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rels" ContentType="application/vnd.openxmlformats-package.relationships+xml"/>
  <Default Extension="xml" ContentType="application/xml"/>
  <Default Extension="wdp" ContentType="image/vnd.ms-photo"/>
  <Default Extension="gif" ContentType="image/gif"/>
  <Default Extension="xlsx" ContentType="application/vnd.openxmlformats-officedocument.spreadsheetml.sheet"/>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chart2.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3.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charts/chart6.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7.xml" ContentType="application/vnd.openxmlformats-officedocument.drawingml.chart+xml"/>
  <Override PartName="/word/charts/style3.xml" ContentType="application/vnd.ms-office.chartstyle+xml"/>
  <Override PartName="/word/charts/colors3.xml" ContentType="application/vnd.ms-office.chartcolorstyle+xml"/>
  <Override PartName="/word/drawings/drawing1.xml" ContentType="application/vnd.openxmlformats-officedocument.drawingml.chartshapes+xml"/>
  <Override PartName="/word/charts/chart8.xml" ContentType="application/vnd.openxmlformats-officedocument.drawingml.chart+xml"/>
  <Override PartName="/word/charts/style4.xml" ContentType="application/vnd.ms-office.chartstyle+xml"/>
  <Override PartName="/word/charts/colors4.xml" ContentType="application/vnd.ms-office.chartcolorstyle+xml"/>
  <Override PartName="/word/drawings/drawing2.xml" ContentType="application/vnd.openxmlformats-officedocument.drawingml.chartshapes+xml"/>
  <Override PartName="/word/charts/chart9.xml" ContentType="application/vnd.openxmlformats-officedocument.drawingml.chart+xml"/>
  <Override PartName="/word/charts/style5.xml" ContentType="application/vnd.ms-office.chartstyle+xml"/>
  <Override PartName="/word/charts/colors5.xml" ContentType="application/vnd.ms-office.chartcolorstyle+xml"/>
  <Override PartName="/word/charts/chart10.xml" ContentType="application/vnd.openxmlformats-officedocument.drawingml.chart+xml"/>
  <Override PartName="/word/charts/style6.xml" ContentType="application/vnd.ms-office.chartstyle+xml"/>
  <Override PartName="/word/charts/colors6.xml" ContentType="application/vnd.ms-office.chartcolorstyle+xml"/>
  <Override PartName="/word/charts/chart11.xml" ContentType="application/vnd.openxmlformats-officedocument.drawingml.chart+xml"/>
  <Override PartName="/word/charts/style7.xml" ContentType="application/vnd.ms-office.chartstyle+xml"/>
  <Override PartName="/word/charts/colors7.xml" ContentType="application/vnd.ms-office.chartcolorstyle+xml"/>
  <Override PartName="/word/theme/themeOverride1.xml" ContentType="application/vnd.openxmlformats-officedocument.themeOverride+xml"/>
  <Override PartName="/word/charts/chart12.xml" ContentType="application/vnd.openxmlformats-officedocument.drawingml.chart+xml"/>
  <Override PartName="/word/charts/style8.xml" ContentType="application/vnd.ms-office.chartstyle+xml"/>
  <Override PartName="/word/charts/colors8.xml" ContentType="application/vnd.ms-office.chartcolorstyle+xml"/>
  <Override PartName="/word/media/image112.jpg" ContentType="image/jpg"/>
  <Override PartName="/word/charts/chart13.xml" ContentType="application/vnd.openxmlformats-officedocument.drawingml.chart+xml"/>
  <Override PartName="/word/charts/style9.xml" ContentType="application/vnd.ms-office.chartstyle+xml"/>
  <Override PartName="/word/charts/colors9.xml" ContentType="application/vnd.ms-office.chartcolorstyle+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34A03A53" w14:textId="77777777" w:rsidR="00606E7A" w:rsidRPr="00153204" w:rsidRDefault="00606E7A" w:rsidP="002334A3">
      <w:pPr>
        <w:pStyle w:val="NoSpacing"/>
        <w:jc w:val="center"/>
        <w:rPr>
          <w:rFonts w:asciiTheme="minorHAnsi" w:hAnsiTheme="minorHAnsi" w:cstheme="minorHAnsi"/>
          <w:b/>
        </w:rPr>
      </w:pPr>
      <w:r w:rsidRPr="00153204">
        <w:rPr>
          <w:rFonts w:asciiTheme="minorHAnsi" w:hAnsiTheme="minorHAnsi" w:cstheme="minorHAnsi"/>
          <w:b/>
        </w:rPr>
        <w:t>BEFORE THE ODISHA ELECTRICITY REGULATORY COMMISSION</w:t>
      </w:r>
    </w:p>
    <w:p w14:paraId="34A03A54" w14:textId="77777777" w:rsidR="00606E7A" w:rsidRPr="00153204" w:rsidRDefault="00606E7A" w:rsidP="002334A3">
      <w:pPr>
        <w:pStyle w:val="NoSpacing"/>
        <w:jc w:val="center"/>
        <w:rPr>
          <w:rFonts w:asciiTheme="minorHAnsi" w:hAnsiTheme="minorHAnsi" w:cstheme="minorHAnsi"/>
          <w:b/>
        </w:rPr>
      </w:pPr>
      <w:r w:rsidRPr="00153204">
        <w:rPr>
          <w:rFonts w:asciiTheme="minorHAnsi" w:hAnsiTheme="minorHAnsi" w:cstheme="minorHAnsi"/>
          <w:b/>
        </w:rPr>
        <w:t>PLOT NO.4, CHUNUKOLI, SAILASHREE VIHAR,</w:t>
      </w:r>
    </w:p>
    <w:p w14:paraId="34A03A55" w14:textId="77777777" w:rsidR="00606E7A" w:rsidRPr="00153204" w:rsidRDefault="00606E7A" w:rsidP="002334A3">
      <w:pPr>
        <w:tabs>
          <w:tab w:val="left" w:pos="5580"/>
        </w:tabs>
        <w:autoSpaceDE w:val="0"/>
        <w:autoSpaceDN w:val="0"/>
        <w:adjustRightInd w:val="0"/>
        <w:ind w:left="-90"/>
        <w:jc w:val="center"/>
        <w:rPr>
          <w:rFonts w:asciiTheme="minorHAnsi" w:hAnsiTheme="minorHAnsi" w:cstheme="minorHAnsi"/>
          <w:b/>
          <w:sz w:val="22"/>
          <w:szCs w:val="22"/>
        </w:rPr>
      </w:pPr>
      <w:r w:rsidRPr="00153204">
        <w:rPr>
          <w:rFonts w:asciiTheme="minorHAnsi" w:hAnsiTheme="minorHAnsi" w:cstheme="minorHAnsi"/>
          <w:b/>
          <w:sz w:val="22"/>
          <w:szCs w:val="22"/>
        </w:rPr>
        <w:t>CHANDRASEKHARPUR, BHUBANESWAR</w:t>
      </w:r>
    </w:p>
    <w:p w14:paraId="34A03A56" w14:textId="77777777" w:rsidR="00606E7A" w:rsidRPr="00153204" w:rsidRDefault="00606E7A" w:rsidP="002334A3">
      <w:pPr>
        <w:tabs>
          <w:tab w:val="left" w:pos="5580"/>
        </w:tabs>
        <w:autoSpaceDE w:val="0"/>
        <w:autoSpaceDN w:val="0"/>
        <w:adjustRightInd w:val="0"/>
        <w:spacing w:line="360" w:lineRule="auto"/>
        <w:ind w:left="-90"/>
        <w:jc w:val="both"/>
        <w:rPr>
          <w:rFonts w:asciiTheme="minorHAnsi" w:hAnsiTheme="minorHAnsi" w:cstheme="minorHAnsi"/>
          <w:b/>
          <w:sz w:val="22"/>
          <w:szCs w:val="22"/>
        </w:rPr>
      </w:pPr>
    </w:p>
    <w:p w14:paraId="34A03A57" w14:textId="6FD28348" w:rsidR="007E7AB0" w:rsidRPr="00153204" w:rsidRDefault="007E7AB0" w:rsidP="002334A3">
      <w:pPr>
        <w:tabs>
          <w:tab w:val="left" w:pos="5580"/>
        </w:tabs>
        <w:autoSpaceDE w:val="0"/>
        <w:autoSpaceDN w:val="0"/>
        <w:adjustRightInd w:val="0"/>
        <w:spacing w:line="360" w:lineRule="auto"/>
        <w:ind w:left="2835" w:hanging="2268"/>
        <w:jc w:val="both"/>
        <w:rPr>
          <w:rFonts w:asciiTheme="minorHAnsi" w:hAnsiTheme="minorHAnsi" w:cstheme="minorHAnsi"/>
          <w:sz w:val="22"/>
          <w:szCs w:val="22"/>
          <w:lang w:val="en-GB"/>
        </w:rPr>
      </w:pPr>
      <w:r w:rsidRPr="00153204">
        <w:rPr>
          <w:rFonts w:asciiTheme="minorHAnsi" w:hAnsiTheme="minorHAnsi" w:cstheme="minorHAnsi"/>
          <w:b/>
          <w:sz w:val="22"/>
          <w:szCs w:val="22"/>
        </w:rPr>
        <w:t xml:space="preserve">IN THE MATTER OF </w:t>
      </w:r>
      <w:r w:rsidR="00BD5055" w:rsidRPr="00153204">
        <w:rPr>
          <w:rFonts w:asciiTheme="minorHAnsi" w:hAnsiTheme="minorHAnsi" w:cstheme="minorHAnsi"/>
          <w:b/>
          <w:sz w:val="22"/>
          <w:szCs w:val="22"/>
        </w:rPr>
        <w:t xml:space="preserve"> </w:t>
      </w:r>
      <w:r w:rsidR="00153204">
        <w:rPr>
          <w:rFonts w:asciiTheme="minorHAnsi" w:hAnsiTheme="minorHAnsi" w:cstheme="minorHAnsi"/>
          <w:b/>
          <w:sz w:val="22"/>
          <w:szCs w:val="22"/>
        </w:rPr>
        <w:t xml:space="preserve">     </w:t>
      </w:r>
      <w:r w:rsidRPr="00153204">
        <w:rPr>
          <w:rFonts w:asciiTheme="minorHAnsi" w:hAnsiTheme="minorHAnsi" w:cstheme="minorHAnsi"/>
          <w:sz w:val="22"/>
          <w:szCs w:val="22"/>
          <w:lang w:val="en-GB"/>
        </w:rPr>
        <w:t xml:space="preserve">Application for approval </w:t>
      </w:r>
      <w:r w:rsidR="00704339" w:rsidRPr="00153204">
        <w:rPr>
          <w:rFonts w:asciiTheme="minorHAnsi" w:hAnsiTheme="minorHAnsi" w:cstheme="minorHAnsi"/>
          <w:sz w:val="22"/>
          <w:szCs w:val="22"/>
          <w:lang w:val="en-GB"/>
        </w:rPr>
        <w:t>of Aggregate</w:t>
      </w:r>
      <w:r w:rsidRPr="00153204">
        <w:rPr>
          <w:rFonts w:asciiTheme="minorHAnsi" w:hAnsiTheme="minorHAnsi" w:cstheme="minorHAnsi"/>
          <w:sz w:val="22"/>
          <w:szCs w:val="22"/>
          <w:lang w:val="en-GB"/>
        </w:rPr>
        <w:t xml:space="preserve"> Revenue Requirement and Retail Supply Tariff for the financial year 20</w:t>
      </w:r>
      <w:r w:rsidR="00C87B15" w:rsidRPr="00153204">
        <w:rPr>
          <w:rFonts w:asciiTheme="minorHAnsi" w:hAnsiTheme="minorHAnsi" w:cstheme="minorHAnsi"/>
          <w:sz w:val="22"/>
          <w:szCs w:val="22"/>
          <w:lang w:val="en-GB"/>
        </w:rPr>
        <w:t>2</w:t>
      </w:r>
      <w:r w:rsidR="0058333C" w:rsidRPr="00153204">
        <w:rPr>
          <w:rFonts w:asciiTheme="minorHAnsi" w:hAnsiTheme="minorHAnsi" w:cstheme="minorHAnsi"/>
          <w:sz w:val="22"/>
          <w:szCs w:val="22"/>
          <w:lang w:val="en-GB"/>
        </w:rPr>
        <w:t>5</w:t>
      </w:r>
      <w:r w:rsidR="00C87B15" w:rsidRPr="00153204">
        <w:rPr>
          <w:rFonts w:asciiTheme="minorHAnsi" w:hAnsiTheme="minorHAnsi" w:cstheme="minorHAnsi"/>
          <w:sz w:val="22"/>
          <w:szCs w:val="22"/>
          <w:lang w:val="en-GB"/>
        </w:rPr>
        <w:t>-2</w:t>
      </w:r>
      <w:r w:rsidR="0058333C" w:rsidRPr="00153204">
        <w:rPr>
          <w:rFonts w:asciiTheme="minorHAnsi" w:hAnsiTheme="minorHAnsi" w:cstheme="minorHAnsi"/>
          <w:sz w:val="22"/>
          <w:szCs w:val="22"/>
          <w:lang w:val="en-GB"/>
        </w:rPr>
        <w:t>6</w:t>
      </w:r>
      <w:r w:rsidRPr="00153204">
        <w:rPr>
          <w:rFonts w:asciiTheme="minorHAnsi" w:hAnsiTheme="minorHAnsi" w:cstheme="minorHAnsi"/>
          <w:sz w:val="22"/>
          <w:szCs w:val="22"/>
          <w:lang w:val="en-GB"/>
        </w:rPr>
        <w:t xml:space="preserve">, under Section 62 and other applicable provisions of the Electricity Act 2003 and in conformity with the provisions of OERC </w:t>
      </w:r>
      <w:r w:rsidR="005553F4" w:rsidRPr="00153204">
        <w:rPr>
          <w:rFonts w:asciiTheme="minorHAnsi" w:hAnsiTheme="minorHAnsi" w:cstheme="minorHAnsi"/>
          <w:sz w:val="22"/>
          <w:szCs w:val="22"/>
        </w:rPr>
        <w:t xml:space="preserve">(Terms and Conditions for </w:t>
      </w:r>
      <w:r w:rsidR="00C9545C" w:rsidRPr="00153204">
        <w:rPr>
          <w:rFonts w:asciiTheme="minorHAnsi" w:hAnsiTheme="minorHAnsi" w:cstheme="minorHAnsi"/>
          <w:sz w:val="22"/>
          <w:szCs w:val="22"/>
        </w:rPr>
        <w:t>D</w:t>
      </w:r>
      <w:r w:rsidR="005553F4" w:rsidRPr="00153204">
        <w:rPr>
          <w:rFonts w:asciiTheme="minorHAnsi" w:hAnsiTheme="minorHAnsi" w:cstheme="minorHAnsi"/>
          <w:sz w:val="22"/>
          <w:szCs w:val="22"/>
        </w:rPr>
        <w:t>etermination of Wheeling Tariff and Retail Supply Tariff) Regulations, 20</w:t>
      </w:r>
      <w:r w:rsidR="00C9545C" w:rsidRPr="00153204">
        <w:rPr>
          <w:rFonts w:asciiTheme="minorHAnsi" w:hAnsiTheme="minorHAnsi" w:cstheme="minorHAnsi"/>
          <w:sz w:val="22"/>
          <w:szCs w:val="22"/>
        </w:rPr>
        <w:t>22</w:t>
      </w:r>
      <w:r w:rsidR="00DD47CC" w:rsidRPr="00153204">
        <w:rPr>
          <w:rFonts w:asciiTheme="minorHAnsi" w:hAnsiTheme="minorHAnsi" w:cstheme="minorHAnsi"/>
          <w:sz w:val="22"/>
          <w:szCs w:val="22"/>
        </w:rPr>
        <w:t xml:space="preserve">, </w:t>
      </w:r>
      <w:r w:rsidR="005553F4" w:rsidRPr="00153204">
        <w:rPr>
          <w:rFonts w:asciiTheme="minorHAnsi" w:hAnsiTheme="minorHAnsi" w:cstheme="minorHAnsi"/>
          <w:sz w:val="22"/>
          <w:szCs w:val="22"/>
        </w:rPr>
        <w:t>OERC (Condu</w:t>
      </w:r>
      <w:r w:rsidR="00C9545C" w:rsidRPr="00153204">
        <w:rPr>
          <w:rFonts w:asciiTheme="minorHAnsi" w:hAnsiTheme="minorHAnsi" w:cstheme="minorHAnsi"/>
          <w:sz w:val="22"/>
          <w:szCs w:val="22"/>
        </w:rPr>
        <w:t>ct of Business) Regulation 2004 a</w:t>
      </w:r>
      <w:r w:rsidR="007D1156" w:rsidRPr="00153204">
        <w:rPr>
          <w:rFonts w:asciiTheme="minorHAnsi" w:hAnsiTheme="minorHAnsi" w:cstheme="minorHAnsi"/>
          <w:sz w:val="22"/>
          <w:szCs w:val="22"/>
        </w:rPr>
        <w:t>nd Vesting order dated 25.3.2021</w:t>
      </w:r>
    </w:p>
    <w:p w14:paraId="34A03A58" w14:textId="52B1CCD6" w:rsidR="004866ED" w:rsidRPr="00153204" w:rsidRDefault="004866ED" w:rsidP="002334A3">
      <w:pPr>
        <w:pStyle w:val="NormalWeb"/>
        <w:spacing w:line="360" w:lineRule="auto"/>
        <w:ind w:left="4320"/>
        <w:rPr>
          <w:rFonts w:asciiTheme="minorHAnsi" w:hAnsiTheme="minorHAnsi" w:cstheme="minorHAnsi"/>
          <w:color w:val="000000"/>
          <w:sz w:val="22"/>
          <w:szCs w:val="22"/>
        </w:rPr>
      </w:pPr>
      <w:r w:rsidRPr="00153204">
        <w:rPr>
          <w:rFonts w:asciiTheme="minorHAnsi" w:hAnsiTheme="minorHAnsi" w:cstheme="minorHAnsi"/>
          <w:color w:val="000000"/>
          <w:sz w:val="22"/>
          <w:szCs w:val="22"/>
        </w:rPr>
        <w:t>And</w:t>
      </w:r>
    </w:p>
    <w:p w14:paraId="34A03A59" w14:textId="4A218401" w:rsidR="007E7AB0" w:rsidRPr="00153204" w:rsidRDefault="007E7AB0" w:rsidP="002334A3">
      <w:pPr>
        <w:tabs>
          <w:tab w:val="left" w:pos="5580"/>
        </w:tabs>
        <w:autoSpaceDE w:val="0"/>
        <w:autoSpaceDN w:val="0"/>
        <w:adjustRightInd w:val="0"/>
        <w:spacing w:line="360" w:lineRule="auto"/>
        <w:ind w:left="-90" w:firstLine="657"/>
        <w:jc w:val="both"/>
        <w:rPr>
          <w:rFonts w:asciiTheme="minorHAnsi" w:hAnsiTheme="minorHAnsi" w:cstheme="minorHAnsi"/>
          <w:sz w:val="22"/>
          <w:szCs w:val="22"/>
          <w:lang w:val="en-GB"/>
        </w:rPr>
      </w:pPr>
      <w:r w:rsidRPr="00153204">
        <w:rPr>
          <w:rFonts w:asciiTheme="minorHAnsi" w:hAnsiTheme="minorHAnsi" w:cstheme="minorHAnsi"/>
          <w:b/>
          <w:sz w:val="22"/>
          <w:szCs w:val="22"/>
        </w:rPr>
        <w:t xml:space="preserve">IN THE MATTER OF </w:t>
      </w:r>
      <w:r w:rsidR="00606E7A" w:rsidRPr="00153204">
        <w:rPr>
          <w:rFonts w:asciiTheme="minorHAnsi" w:hAnsiTheme="minorHAnsi" w:cstheme="minorHAnsi"/>
          <w:b/>
          <w:sz w:val="22"/>
          <w:szCs w:val="22"/>
        </w:rPr>
        <w:t xml:space="preserve">    </w:t>
      </w:r>
      <w:r w:rsidR="00153204">
        <w:rPr>
          <w:rFonts w:asciiTheme="minorHAnsi" w:hAnsiTheme="minorHAnsi" w:cstheme="minorHAnsi"/>
          <w:b/>
          <w:sz w:val="22"/>
          <w:szCs w:val="22"/>
        </w:rPr>
        <w:t xml:space="preserve">        </w:t>
      </w:r>
      <w:r w:rsidR="00606E7A" w:rsidRPr="00153204">
        <w:rPr>
          <w:rFonts w:asciiTheme="minorHAnsi" w:hAnsiTheme="minorHAnsi" w:cstheme="minorHAnsi"/>
          <w:b/>
          <w:sz w:val="22"/>
          <w:szCs w:val="22"/>
        </w:rPr>
        <w:t xml:space="preserve"> </w:t>
      </w:r>
      <w:proofErr w:type="gramStart"/>
      <w:r w:rsidR="00B20CAD" w:rsidRPr="00153204">
        <w:rPr>
          <w:rFonts w:asciiTheme="minorHAnsi" w:hAnsiTheme="minorHAnsi" w:cstheme="minorHAnsi"/>
          <w:sz w:val="22"/>
          <w:szCs w:val="22"/>
          <w:lang w:val="en-GB"/>
        </w:rPr>
        <w:t>TP  Northern</w:t>
      </w:r>
      <w:proofErr w:type="gramEnd"/>
      <w:r w:rsidR="00F07179" w:rsidRPr="00153204">
        <w:rPr>
          <w:rFonts w:asciiTheme="minorHAnsi" w:hAnsiTheme="minorHAnsi" w:cstheme="minorHAnsi"/>
          <w:sz w:val="22"/>
          <w:szCs w:val="22"/>
          <w:lang w:val="en-GB"/>
        </w:rPr>
        <w:t xml:space="preserve"> Odisha </w:t>
      </w:r>
      <w:r w:rsidR="00B20CAD" w:rsidRPr="00153204">
        <w:rPr>
          <w:rFonts w:asciiTheme="minorHAnsi" w:hAnsiTheme="minorHAnsi" w:cstheme="minorHAnsi"/>
          <w:sz w:val="22"/>
          <w:szCs w:val="22"/>
          <w:lang w:val="en-GB"/>
        </w:rPr>
        <w:t xml:space="preserve"> Distribution Limited.</w:t>
      </w:r>
    </w:p>
    <w:p w14:paraId="34A03A5A" w14:textId="77777777" w:rsidR="007E7AB0" w:rsidRPr="00153204" w:rsidRDefault="00B20CAD" w:rsidP="002334A3">
      <w:pPr>
        <w:autoSpaceDE w:val="0"/>
        <w:autoSpaceDN w:val="0"/>
        <w:adjustRightInd w:val="0"/>
        <w:spacing w:line="360" w:lineRule="auto"/>
        <w:ind w:left="2835"/>
        <w:jc w:val="both"/>
        <w:rPr>
          <w:rFonts w:asciiTheme="minorHAnsi" w:hAnsiTheme="minorHAnsi" w:cstheme="minorHAnsi"/>
          <w:sz w:val="22"/>
          <w:szCs w:val="22"/>
          <w:lang w:val="en-GB"/>
        </w:rPr>
      </w:pPr>
      <w:r w:rsidRPr="00153204">
        <w:rPr>
          <w:rFonts w:asciiTheme="minorHAnsi" w:hAnsiTheme="minorHAnsi" w:cstheme="minorHAnsi"/>
          <w:sz w:val="22"/>
          <w:szCs w:val="22"/>
          <w:lang w:val="en-GB"/>
        </w:rPr>
        <w:t xml:space="preserve">  Registered &amp; Corporate Office:</w:t>
      </w:r>
      <w:r w:rsidR="00676426" w:rsidRPr="00153204">
        <w:rPr>
          <w:rFonts w:asciiTheme="minorHAnsi" w:hAnsiTheme="minorHAnsi" w:cstheme="minorHAnsi"/>
          <w:sz w:val="22"/>
          <w:szCs w:val="22"/>
          <w:lang w:val="en-GB"/>
        </w:rPr>
        <w:t xml:space="preserve"> </w:t>
      </w:r>
      <w:proofErr w:type="spellStart"/>
      <w:r w:rsidR="00676426" w:rsidRPr="00153204">
        <w:rPr>
          <w:rFonts w:asciiTheme="minorHAnsi" w:hAnsiTheme="minorHAnsi" w:cstheme="minorHAnsi"/>
          <w:sz w:val="22"/>
          <w:szCs w:val="22"/>
          <w:lang w:val="en-GB"/>
        </w:rPr>
        <w:t>Januganj</w:t>
      </w:r>
      <w:proofErr w:type="spellEnd"/>
      <w:r w:rsidR="005553F4" w:rsidRPr="00153204">
        <w:rPr>
          <w:rFonts w:asciiTheme="minorHAnsi" w:hAnsiTheme="minorHAnsi" w:cstheme="minorHAnsi"/>
          <w:sz w:val="22"/>
          <w:szCs w:val="22"/>
          <w:lang w:val="en-GB"/>
        </w:rPr>
        <w:t xml:space="preserve">, </w:t>
      </w:r>
      <w:proofErr w:type="spellStart"/>
      <w:r w:rsidR="00676426" w:rsidRPr="00153204">
        <w:rPr>
          <w:rFonts w:asciiTheme="minorHAnsi" w:hAnsiTheme="minorHAnsi" w:cstheme="minorHAnsi"/>
          <w:sz w:val="22"/>
          <w:szCs w:val="22"/>
          <w:lang w:val="en-GB"/>
        </w:rPr>
        <w:t>Balasore</w:t>
      </w:r>
      <w:proofErr w:type="spellEnd"/>
      <w:r w:rsidR="005553F4" w:rsidRPr="00153204">
        <w:rPr>
          <w:rFonts w:asciiTheme="minorHAnsi" w:hAnsiTheme="minorHAnsi" w:cstheme="minorHAnsi"/>
          <w:sz w:val="22"/>
          <w:szCs w:val="22"/>
          <w:lang w:val="en-GB"/>
        </w:rPr>
        <w:t>, Odisha-7</w:t>
      </w:r>
      <w:r w:rsidR="00676426" w:rsidRPr="00153204">
        <w:rPr>
          <w:rFonts w:asciiTheme="minorHAnsi" w:hAnsiTheme="minorHAnsi" w:cstheme="minorHAnsi"/>
          <w:sz w:val="22"/>
          <w:szCs w:val="22"/>
          <w:lang w:val="en-GB"/>
        </w:rPr>
        <w:t>5</w:t>
      </w:r>
      <w:r w:rsidR="005553F4" w:rsidRPr="00153204">
        <w:rPr>
          <w:rFonts w:asciiTheme="minorHAnsi" w:hAnsiTheme="minorHAnsi" w:cstheme="minorHAnsi"/>
          <w:sz w:val="22"/>
          <w:szCs w:val="22"/>
          <w:lang w:val="en-GB"/>
        </w:rPr>
        <w:t>6</w:t>
      </w:r>
      <w:r w:rsidR="00676426" w:rsidRPr="00153204">
        <w:rPr>
          <w:rFonts w:asciiTheme="minorHAnsi" w:hAnsiTheme="minorHAnsi" w:cstheme="minorHAnsi"/>
          <w:sz w:val="22"/>
          <w:szCs w:val="22"/>
          <w:lang w:val="en-GB"/>
        </w:rPr>
        <w:t>019</w:t>
      </w:r>
    </w:p>
    <w:p w14:paraId="34A03A5B" w14:textId="1E8CCCCD" w:rsidR="007E7AB0" w:rsidRPr="00153204" w:rsidRDefault="00B20CAD" w:rsidP="002334A3">
      <w:pPr>
        <w:autoSpaceDE w:val="0"/>
        <w:autoSpaceDN w:val="0"/>
        <w:adjustRightInd w:val="0"/>
        <w:spacing w:line="360" w:lineRule="auto"/>
        <w:ind w:left="2835"/>
        <w:jc w:val="both"/>
        <w:rPr>
          <w:rFonts w:asciiTheme="minorHAnsi" w:hAnsiTheme="minorHAnsi" w:cstheme="minorHAnsi"/>
          <w:b/>
          <w:bCs/>
          <w:sz w:val="22"/>
          <w:szCs w:val="22"/>
        </w:rPr>
      </w:pPr>
      <w:r w:rsidRPr="00153204">
        <w:rPr>
          <w:rFonts w:asciiTheme="minorHAnsi" w:hAnsiTheme="minorHAnsi" w:cstheme="minorHAnsi"/>
          <w:sz w:val="22"/>
          <w:szCs w:val="22"/>
          <w:lang w:val="en-GB"/>
        </w:rPr>
        <w:t xml:space="preserve">  Represented by its Chief Executive Officer</w:t>
      </w:r>
      <w:r w:rsidRPr="00153204">
        <w:rPr>
          <w:rFonts w:asciiTheme="minorHAnsi" w:hAnsiTheme="minorHAnsi" w:cstheme="minorHAnsi"/>
          <w:b/>
          <w:bCs/>
          <w:sz w:val="22"/>
          <w:szCs w:val="22"/>
        </w:rPr>
        <w:t xml:space="preserve">          </w:t>
      </w:r>
      <w:r w:rsidR="004866ED" w:rsidRPr="00153204">
        <w:rPr>
          <w:rFonts w:asciiTheme="minorHAnsi" w:hAnsiTheme="minorHAnsi" w:cstheme="minorHAnsi"/>
          <w:b/>
          <w:bCs/>
          <w:sz w:val="22"/>
          <w:szCs w:val="22"/>
        </w:rPr>
        <w:t xml:space="preserve">       </w:t>
      </w:r>
      <w:r w:rsidR="0058333C" w:rsidRPr="00153204">
        <w:rPr>
          <w:rFonts w:asciiTheme="minorHAnsi" w:hAnsiTheme="minorHAnsi" w:cstheme="minorHAnsi"/>
          <w:b/>
          <w:bCs/>
          <w:sz w:val="22"/>
          <w:szCs w:val="22"/>
        </w:rPr>
        <w:t xml:space="preserve">     </w:t>
      </w:r>
      <w:r w:rsidR="004866ED" w:rsidRPr="00153204">
        <w:rPr>
          <w:rFonts w:asciiTheme="minorHAnsi" w:hAnsiTheme="minorHAnsi" w:cstheme="minorHAnsi"/>
          <w:b/>
          <w:bCs/>
          <w:sz w:val="22"/>
          <w:szCs w:val="22"/>
        </w:rPr>
        <w:t xml:space="preserve"> </w:t>
      </w:r>
      <w:r w:rsidR="00E3573F" w:rsidRPr="00153204">
        <w:rPr>
          <w:rFonts w:asciiTheme="minorHAnsi" w:hAnsiTheme="minorHAnsi" w:cstheme="minorHAnsi"/>
          <w:b/>
          <w:bCs/>
          <w:sz w:val="22"/>
          <w:szCs w:val="22"/>
        </w:rPr>
        <w:t>---------Applicant</w:t>
      </w:r>
    </w:p>
    <w:p w14:paraId="34A03A5C" w14:textId="77777777" w:rsidR="00DE2B84" w:rsidRPr="00153204" w:rsidRDefault="00DE2B84" w:rsidP="002334A3">
      <w:pPr>
        <w:pStyle w:val="NormalWeb"/>
        <w:spacing w:line="360" w:lineRule="auto"/>
        <w:ind w:left="4320"/>
        <w:rPr>
          <w:rFonts w:asciiTheme="minorHAnsi" w:hAnsiTheme="minorHAnsi" w:cstheme="minorHAnsi"/>
          <w:color w:val="000000"/>
          <w:sz w:val="22"/>
          <w:szCs w:val="22"/>
        </w:rPr>
      </w:pPr>
      <w:r w:rsidRPr="00153204">
        <w:rPr>
          <w:rFonts w:asciiTheme="minorHAnsi" w:hAnsiTheme="minorHAnsi" w:cstheme="minorHAnsi"/>
          <w:color w:val="000000"/>
          <w:sz w:val="22"/>
          <w:szCs w:val="22"/>
        </w:rPr>
        <w:t>And</w:t>
      </w:r>
    </w:p>
    <w:p w14:paraId="34A03A5D" w14:textId="274837BC" w:rsidR="00DE2B84" w:rsidRPr="00153204" w:rsidRDefault="004866ED" w:rsidP="002334A3">
      <w:pPr>
        <w:pStyle w:val="NormalWeb"/>
        <w:spacing w:line="360" w:lineRule="auto"/>
        <w:ind w:firstLine="567"/>
        <w:rPr>
          <w:rFonts w:asciiTheme="minorHAnsi" w:hAnsiTheme="minorHAnsi" w:cstheme="minorHAnsi"/>
          <w:color w:val="000000"/>
          <w:sz w:val="22"/>
          <w:szCs w:val="22"/>
        </w:rPr>
      </w:pPr>
      <w:r w:rsidRPr="00153204">
        <w:rPr>
          <w:rFonts w:asciiTheme="minorHAnsi" w:hAnsiTheme="minorHAnsi" w:cstheme="minorHAnsi"/>
          <w:b/>
          <w:sz w:val="22"/>
          <w:szCs w:val="22"/>
        </w:rPr>
        <w:t xml:space="preserve">IN THE MATTER OF        </w:t>
      </w:r>
      <w:r w:rsidR="0058333C" w:rsidRPr="00153204">
        <w:rPr>
          <w:rFonts w:asciiTheme="minorHAnsi" w:hAnsiTheme="minorHAnsi" w:cstheme="minorHAnsi"/>
          <w:b/>
          <w:sz w:val="22"/>
          <w:szCs w:val="22"/>
        </w:rPr>
        <w:t xml:space="preserve">   </w:t>
      </w:r>
      <w:r w:rsidRPr="00153204">
        <w:rPr>
          <w:rFonts w:asciiTheme="minorHAnsi" w:hAnsiTheme="minorHAnsi" w:cstheme="minorHAnsi"/>
          <w:b/>
          <w:sz w:val="22"/>
          <w:szCs w:val="22"/>
        </w:rPr>
        <w:t xml:space="preserve"> </w:t>
      </w:r>
      <w:r w:rsidR="00DE2B84" w:rsidRPr="00153204">
        <w:rPr>
          <w:rFonts w:asciiTheme="minorHAnsi" w:hAnsiTheme="minorHAnsi" w:cstheme="minorHAnsi"/>
          <w:color w:val="000000"/>
          <w:sz w:val="22"/>
          <w:szCs w:val="22"/>
        </w:rPr>
        <w:t>All Stake Holders</w:t>
      </w:r>
    </w:p>
    <w:p w14:paraId="34A03A5E" w14:textId="77777777" w:rsidR="004866ED" w:rsidRPr="00153204" w:rsidRDefault="004866ED" w:rsidP="002334A3">
      <w:pPr>
        <w:tabs>
          <w:tab w:val="left" w:pos="5580"/>
        </w:tabs>
        <w:autoSpaceDE w:val="0"/>
        <w:autoSpaceDN w:val="0"/>
        <w:adjustRightInd w:val="0"/>
        <w:spacing w:line="360" w:lineRule="auto"/>
        <w:ind w:left="-90"/>
        <w:jc w:val="both"/>
        <w:rPr>
          <w:rFonts w:asciiTheme="minorHAnsi" w:hAnsiTheme="minorHAnsi" w:cstheme="minorHAnsi"/>
          <w:b/>
          <w:sz w:val="22"/>
          <w:szCs w:val="22"/>
        </w:rPr>
      </w:pPr>
    </w:p>
    <w:p w14:paraId="34A03A5F" w14:textId="135BDCDB" w:rsidR="007E7AB0" w:rsidRPr="00153204" w:rsidRDefault="007E7AB0" w:rsidP="002334A3">
      <w:pPr>
        <w:tabs>
          <w:tab w:val="left" w:pos="5580"/>
        </w:tabs>
        <w:autoSpaceDE w:val="0"/>
        <w:autoSpaceDN w:val="0"/>
        <w:adjustRightInd w:val="0"/>
        <w:spacing w:line="360" w:lineRule="auto"/>
        <w:ind w:left="567"/>
        <w:jc w:val="both"/>
        <w:rPr>
          <w:rFonts w:asciiTheme="minorHAnsi" w:hAnsiTheme="minorHAnsi" w:cstheme="minorHAnsi"/>
          <w:b/>
          <w:sz w:val="22"/>
          <w:szCs w:val="22"/>
        </w:rPr>
      </w:pPr>
      <w:r w:rsidRPr="00153204">
        <w:rPr>
          <w:rFonts w:asciiTheme="minorHAnsi" w:hAnsiTheme="minorHAnsi" w:cstheme="minorHAnsi"/>
          <w:b/>
          <w:sz w:val="22"/>
          <w:szCs w:val="22"/>
        </w:rPr>
        <w:t>The Humble applicant</w:t>
      </w:r>
      <w:r w:rsidR="002334A3" w:rsidRPr="00153204">
        <w:rPr>
          <w:rFonts w:asciiTheme="minorHAnsi" w:hAnsiTheme="minorHAnsi" w:cstheme="minorHAnsi"/>
          <w:b/>
          <w:sz w:val="22"/>
          <w:szCs w:val="22"/>
        </w:rPr>
        <w:t>,</w:t>
      </w:r>
      <w:r w:rsidRPr="00153204">
        <w:rPr>
          <w:rFonts w:asciiTheme="minorHAnsi" w:hAnsiTheme="minorHAnsi" w:cstheme="minorHAnsi"/>
          <w:b/>
          <w:sz w:val="22"/>
          <w:szCs w:val="22"/>
        </w:rPr>
        <w:t xml:space="preserve"> above named</w:t>
      </w:r>
      <w:r w:rsidR="002334A3" w:rsidRPr="00153204">
        <w:rPr>
          <w:rFonts w:asciiTheme="minorHAnsi" w:hAnsiTheme="minorHAnsi" w:cstheme="minorHAnsi"/>
          <w:b/>
          <w:sz w:val="22"/>
          <w:szCs w:val="22"/>
        </w:rPr>
        <w:t xml:space="preserve">, </w:t>
      </w:r>
      <w:proofErr w:type="gramStart"/>
      <w:r w:rsidR="002334A3" w:rsidRPr="00153204">
        <w:rPr>
          <w:rFonts w:asciiTheme="minorHAnsi" w:hAnsiTheme="minorHAnsi" w:cstheme="minorHAnsi"/>
          <w:b/>
          <w:sz w:val="22"/>
          <w:szCs w:val="22"/>
        </w:rPr>
        <w:t xml:space="preserve">most </w:t>
      </w:r>
      <w:r w:rsidRPr="00153204">
        <w:rPr>
          <w:rFonts w:asciiTheme="minorHAnsi" w:hAnsiTheme="minorHAnsi" w:cstheme="minorHAnsi"/>
          <w:b/>
          <w:sz w:val="22"/>
          <w:szCs w:val="22"/>
        </w:rPr>
        <w:t xml:space="preserve"> respectfully</w:t>
      </w:r>
      <w:proofErr w:type="gramEnd"/>
      <w:r w:rsidRPr="00153204">
        <w:rPr>
          <w:rFonts w:asciiTheme="minorHAnsi" w:hAnsiTheme="minorHAnsi" w:cstheme="minorHAnsi"/>
          <w:b/>
          <w:sz w:val="22"/>
          <w:szCs w:val="22"/>
        </w:rPr>
        <w:t xml:space="preserve"> </w:t>
      </w:r>
      <w:proofErr w:type="spellStart"/>
      <w:r w:rsidRPr="00153204">
        <w:rPr>
          <w:rFonts w:asciiTheme="minorHAnsi" w:hAnsiTheme="minorHAnsi" w:cstheme="minorHAnsi"/>
          <w:b/>
          <w:sz w:val="22"/>
          <w:szCs w:val="22"/>
        </w:rPr>
        <w:t>sh</w:t>
      </w:r>
      <w:r w:rsidR="004866ED" w:rsidRPr="00153204">
        <w:rPr>
          <w:rFonts w:asciiTheme="minorHAnsi" w:hAnsiTheme="minorHAnsi" w:cstheme="minorHAnsi"/>
          <w:b/>
          <w:sz w:val="22"/>
          <w:szCs w:val="22"/>
        </w:rPr>
        <w:t>o</w:t>
      </w:r>
      <w:r w:rsidRPr="00153204">
        <w:rPr>
          <w:rFonts w:asciiTheme="minorHAnsi" w:hAnsiTheme="minorHAnsi" w:cstheme="minorHAnsi"/>
          <w:b/>
          <w:sz w:val="22"/>
          <w:szCs w:val="22"/>
        </w:rPr>
        <w:t>weth</w:t>
      </w:r>
      <w:proofErr w:type="spellEnd"/>
      <w:r w:rsidRPr="00153204">
        <w:rPr>
          <w:rFonts w:asciiTheme="minorHAnsi" w:hAnsiTheme="minorHAnsi" w:cstheme="minorHAnsi"/>
          <w:b/>
          <w:sz w:val="22"/>
          <w:szCs w:val="22"/>
        </w:rPr>
        <w:t>:</w:t>
      </w:r>
    </w:p>
    <w:p w14:paraId="34A03A60" w14:textId="77777777" w:rsidR="007A5F8E" w:rsidRPr="00153204" w:rsidRDefault="007A5F8E" w:rsidP="002334A3">
      <w:pPr>
        <w:tabs>
          <w:tab w:val="left" w:pos="5580"/>
        </w:tabs>
        <w:autoSpaceDE w:val="0"/>
        <w:autoSpaceDN w:val="0"/>
        <w:adjustRightInd w:val="0"/>
        <w:spacing w:line="360" w:lineRule="auto"/>
        <w:ind w:left="567"/>
        <w:jc w:val="both"/>
        <w:rPr>
          <w:rFonts w:asciiTheme="minorHAnsi" w:hAnsiTheme="minorHAnsi" w:cstheme="minorHAnsi"/>
          <w:b/>
          <w:sz w:val="22"/>
          <w:szCs w:val="22"/>
        </w:rPr>
      </w:pPr>
    </w:p>
    <w:p w14:paraId="34A03A61" w14:textId="20ED7B48" w:rsidR="009B1461" w:rsidRPr="00153204" w:rsidRDefault="00F91B0B" w:rsidP="002334A3">
      <w:pPr>
        <w:autoSpaceDE w:val="0"/>
        <w:autoSpaceDN w:val="0"/>
        <w:adjustRightInd w:val="0"/>
        <w:spacing w:line="360" w:lineRule="auto"/>
        <w:ind w:left="567"/>
        <w:jc w:val="both"/>
        <w:rPr>
          <w:rFonts w:asciiTheme="minorHAnsi" w:hAnsiTheme="minorHAnsi" w:cstheme="minorHAnsi"/>
          <w:sz w:val="22"/>
          <w:szCs w:val="22"/>
          <w:lang w:eastAsia="en-IN" w:bidi="or-IN"/>
        </w:rPr>
      </w:pPr>
      <w:r w:rsidRPr="00153204">
        <w:rPr>
          <w:rFonts w:asciiTheme="minorHAnsi" w:hAnsiTheme="minorHAnsi" w:cstheme="minorHAnsi"/>
          <w:sz w:val="22"/>
          <w:szCs w:val="22"/>
          <w:lang w:eastAsia="en-IN" w:bidi="or-IN"/>
        </w:rPr>
        <w:t>The present</w:t>
      </w:r>
      <w:r w:rsidR="00C9545C" w:rsidRPr="00153204">
        <w:rPr>
          <w:rFonts w:asciiTheme="minorHAnsi" w:hAnsiTheme="minorHAnsi" w:cstheme="minorHAnsi"/>
          <w:sz w:val="22"/>
          <w:szCs w:val="22"/>
          <w:lang w:eastAsia="en-IN" w:bidi="or-IN"/>
        </w:rPr>
        <w:t xml:space="preserve"> </w:t>
      </w:r>
      <w:r w:rsidRPr="00153204">
        <w:rPr>
          <w:rFonts w:asciiTheme="minorHAnsi" w:hAnsiTheme="minorHAnsi" w:cstheme="minorHAnsi"/>
          <w:sz w:val="22"/>
          <w:szCs w:val="22"/>
          <w:lang w:eastAsia="en-IN" w:bidi="or-IN"/>
        </w:rPr>
        <w:t xml:space="preserve">application is being filed by </w:t>
      </w:r>
      <w:r w:rsidR="009B1461" w:rsidRPr="00153204">
        <w:rPr>
          <w:rFonts w:asciiTheme="minorHAnsi" w:hAnsiTheme="minorHAnsi" w:cstheme="minorHAnsi"/>
          <w:sz w:val="22"/>
          <w:szCs w:val="22"/>
          <w:lang w:eastAsia="en-IN" w:bidi="or-IN"/>
        </w:rPr>
        <w:t>TP</w:t>
      </w:r>
      <w:r w:rsidR="009B1461" w:rsidRPr="00153204">
        <w:rPr>
          <w:rFonts w:asciiTheme="minorHAnsi" w:hAnsiTheme="minorHAnsi" w:cstheme="minorHAnsi"/>
          <w:sz w:val="22"/>
          <w:szCs w:val="22"/>
          <w:lang w:val="en-GB"/>
        </w:rPr>
        <w:t xml:space="preserve"> Northern</w:t>
      </w:r>
      <w:r w:rsidR="00F07179" w:rsidRPr="00153204">
        <w:rPr>
          <w:rFonts w:asciiTheme="minorHAnsi" w:hAnsiTheme="minorHAnsi" w:cstheme="minorHAnsi"/>
          <w:sz w:val="22"/>
          <w:szCs w:val="22"/>
          <w:lang w:val="en-GB"/>
        </w:rPr>
        <w:t xml:space="preserve"> </w:t>
      </w:r>
      <w:r w:rsidR="00704339" w:rsidRPr="00153204">
        <w:rPr>
          <w:rFonts w:asciiTheme="minorHAnsi" w:hAnsiTheme="minorHAnsi" w:cstheme="minorHAnsi"/>
          <w:sz w:val="22"/>
          <w:szCs w:val="22"/>
          <w:lang w:val="en-GB"/>
        </w:rPr>
        <w:t>Odisha Distribution</w:t>
      </w:r>
      <w:r w:rsidR="009B1461" w:rsidRPr="00153204">
        <w:rPr>
          <w:rFonts w:asciiTheme="minorHAnsi" w:hAnsiTheme="minorHAnsi" w:cstheme="minorHAnsi"/>
          <w:sz w:val="22"/>
          <w:szCs w:val="22"/>
          <w:lang w:val="en-GB"/>
        </w:rPr>
        <w:t xml:space="preserve"> Limited</w:t>
      </w:r>
      <w:r w:rsidR="00145983" w:rsidRPr="00153204">
        <w:rPr>
          <w:rFonts w:asciiTheme="minorHAnsi" w:hAnsiTheme="minorHAnsi" w:cstheme="minorHAnsi"/>
          <w:sz w:val="22"/>
          <w:szCs w:val="22"/>
          <w:lang w:val="en-GB"/>
        </w:rPr>
        <w:t xml:space="preserve"> </w:t>
      </w:r>
      <w:r w:rsidR="009B1461" w:rsidRPr="00153204">
        <w:rPr>
          <w:rFonts w:asciiTheme="minorHAnsi" w:hAnsiTheme="minorHAnsi" w:cstheme="minorHAnsi"/>
          <w:sz w:val="22"/>
          <w:szCs w:val="22"/>
          <w:lang w:val="en-GB"/>
        </w:rPr>
        <w:t xml:space="preserve">(TPNODL) </w:t>
      </w:r>
      <w:r w:rsidR="009B1461" w:rsidRPr="00153204">
        <w:rPr>
          <w:rFonts w:asciiTheme="minorHAnsi" w:hAnsiTheme="minorHAnsi" w:cstheme="minorHAnsi"/>
          <w:sz w:val="22"/>
          <w:szCs w:val="22"/>
          <w:lang w:eastAsia="en-IN" w:bidi="or-IN"/>
        </w:rPr>
        <w:t>before the</w:t>
      </w:r>
      <w:r w:rsidR="000A673F" w:rsidRPr="00153204">
        <w:rPr>
          <w:rFonts w:asciiTheme="minorHAnsi" w:hAnsiTheme="minorHAnsi" w:cstheme="minorHAnsi"/>
          <w:sz w:val="22"/>
          <w:szCs w:val="22"/>
          <w:lang w:eastAsia="en-IN" w:bidi="or-IN"/>
        </w:rPr>
        <w:t xml:space="preserve"> </w:t>
      </w:r>
      <w:proofErr w:type="gramStart"/>
      <w:r w:rsidR="000A673F" w:rsidRPr="00153204">
        <w:rPr>
          <w:rFonts w:asciiTheme="minorHAnsi" w:hAnsiTheme="minorHAnsi" w:cstheme="minorHAnsi"/>
          <w:sz w:val="22"/>
          <w:szCs w:val="22"/>
          <w:lang w:eastAsia="en-IN" w:bidi="or-IN"/>
        </w:rPr>
        <w:t xml:space="preserve">Hon'ble </w:t>
      </w:r>
      <w:r w:rsidR="009B1461" w:rsidRPr="00153204">
        <w:rPr>
          <w:rFonts w:asciiTheme="minorHAnsi" w:hAnsiTheme="minorHAnsi" w:cstheme="minorHAnsi"/>
          <w:sz w:val="22"/>
          <w:szCs w:val="22"/>
          <w:lang w:eastAsia="en-IN" w:bidi="or-IN"/>
        </w:rPr>
        <w:t xml:space="preserve"> Commission</w:t>
      </w:r>
      <w:proofErr w:type="gramEnd"/>
      <w:r w:rsidR="009B1461" w:rsidRPr="00153204">
        <w:rPr>
          <w:rFonts w:asciiTheme="minorHAnsi" w:hAnsiTheme="minorHAnsi" w:cstheme="minorHAnsi"/>
          <w:sz w:val="22"/>
          <w:szCs w:val="22"/>
          <w:lang w:eastAsia="en-IN" w:bidi="or-IN"/>
        </w:rPr>
        <w:t xml:space="preserve"> for approval of </w:t>
      </w:r>
      <w:r w:rsidR="00F07179" w:rsidRPr="00153204">
        <w:rPr>
          <w:rFonts w:asciiTheme="minorHAnsi" w:hAnsiTheme="minorHAnsi" w:cstheme="minorHAnsi"/>
          <w:sz w:val="22"/>
          <w:szCs w:val="22"/>
          <w:lang w:val="en-GB"/>
        </w:rPr>
        <w:t>Aggregate</w:t>
      </w:r>
      <w:r w:rsidR="009B1461" w:rsidRPr="00153204">
        <w:rPr>
          <w:rFonts w:asciiTheme="minorHAnsi" w:hAnsiTheme="minorHAnsi" w:cstheme="minorHAnsi"/>
          <w:sz w:val="22"/>
          <w:szCs w:val="22"/>
          <w:lang w:eastAsia="en-IN" w:bidi="or-IN"/>
        </w:rPr>
        <w:t xml:space="preserve"> Revenue Requirement and Tariff proposal for the Financial Year 202</w:t>
      </w:r>
      <w:r w:rsidR="0058333C" w:rsidRPr="00153204">
        <w:rPr>
          <w:rFonts w:asciiTheme="minorHAnsi" w:hAnsiTheme="minorHAnsi" w:cstheme="minorHAnsi"/>
          <w:sz w:val="22"/>
          <w:szCs w:val="22"/>
          <w:lang w:eastAsia="en-IN" w:bidi="or-IN"/>
        </w:rPr>
        <w:t>5</w:t>
      </w:r>
      <w:r w:rsidR="009B1461" w:rsidRPr="00153204">
        <w:rPr>
          <w:rFonts w:asciiTheme="minorHAnsi" w:hAnsiTheme="minorHAnsi" w:cstheme="minorHAnsi"/>
          <w:sz w:val="22"/>
          <w:szCs w:val="22"/>
          <w:lang w:eastAsia="en-IN" w:bidi="or-IN"/>
        </w:rPr>
        <w:t>-2</w:t>
      </w:r>
      <w:r w:rsidR="0058333C" w:rsidRPr="00153204">
        <w:rPr>
          <w:rFonts w:asciiTheme="minorHAnsi" w:hAnsiTheme="minorHAnsi" w:cstheme="minorHAnsi"/>
          <w:sz w:val="22"/>
          <w:szCs w:val="22"/>
          <w:lang w:eastAsia="en-IN" w:bidi="or-IN"/>
        </w:rPr>
        <w:t>6</w:t>
      </w:r>
      <w:r w:rsidR="009B1461" w:rsidRPr="00153204">
        <w:rPr>
          <w:rFonts w:asciiTheme="minorHAnsi" w:hAnsiTheme="minorHAnsi" w:cstheme="minorHAnsi"/>
          <w:sz w:val="22"/>
          <w:szCs w:val="22"/>
          <w:lang w:eastAsia="en-IN" w:bidi="or-IN"/>
        </w:rPr>
        <w:t xml:space="preserve"> </w:t>
      </w:r>
      <w:r w:rsidR="009B1461" w:rsidRPr="00153204">
        <w:rPr>
          <w:rFonts w:asciiTheme="minorHAnsi" w:hAnsiTheme="minorHAnsi" w:cstheme="minorHAnsi"/>
          <w:sz w:val="22"/>
          <w:szCs w:val="22"/>
          <w:lang w:val="en-GB"/>
        </w:rPr>
        <w:t xml:space="preserve">under Section 62 and other applicable provisions of the Electricity Act 2003 and in conformity with the provisions of  OERC </w:t>
      </w:r>
      <w:r w:rsidR="009B1461" w:rsidRPr="00153204">
        <w:rPr>
          <w:rFonts w:asciiTheme="minorHAnsi" w:hAnsiTheme="minorHAnsi" w:cstheme="minorHAnsi"/>
          <w:sz w:val="22"/>
          <w:szCs w:val="22"/>
        </w:rPr>
        <w:t>(Terms and Conditions for determination of Wheeling Tariff and Retail Supply Tariff) Regulations, 20</w:t>
      </w:r>
      <w:r w:rsidR="00C9545C" w:rsidRPr="00153204">
        <w:rPr>
          <w:rFonts w:asciiTheme="minorHAnsi" w:hAnsiTheme="minorHAnsi" w:cstheme="minorHAnsi"/>
          <w:sz w:val="22"/>
          <w:szCs w:val="22"/>
        </w:rPr>
        <w:t>22</w:t>
      </w:r>
      <w:r w:rsidR="009B1461" w:rsidRPr="00153204">
        <w:rPr>
          <w:rFonts w:asciiTheme="minorHAnsi" w:hAnsiTheme="minorHAnsi" w:cstheme="minorHAnsi"/>
          <w:sz w:val="22"/>
          <w:szCs w:val="22"/>
        </w:rPr>
        <w:t xml:space="preserve">. </w:t>
      </w:r>
      <w:r w:rsidR="009B1461" w:rsidRPr="00153204">
        <w:rPr>
          <w:rFonts w:asciiTheme="minorHAnsi" w:hAnsiTheme="minorHAnsi" w:cstheme="minorHAnsi"/>
          <w:sz w:val="22"/>
          <w:szCs w:val="22"/>
          <w:lang w:eastAsia="en-IN" w:bidi="or-IN"/>
        </w:rPr>
        <w:t>The submissions of TPNODL are enclosed</w:t>
      </w:r>
      <w:r w:rsidR="00145983" w:rsidRPr="00153204">
        <w:rPr>
          <w:rFonts w:asciiTheme="minorHAnsi" w:hAnsiTheme="minorHAnsi" w:cstheme="minorHAnsi"/>
          <w:sz w:val="22"/>
          <w:szCs w:val="22"/>
          <w:lang w:eastAsia="en-IN" w:bidi="or-IN"/>
        </w:rPr>
        <w:t xml:space="preserve"> herewith</w:t>
      </w:r>
      <w:r w:rsidR="009B1461" w:rsidRPr="00153204">
        <w:rPr>
          <w:rFonts w:asciiTheme="minorHAnsi" w:hAnsiTheme="minorHAnsi" w:cstheme="minorHAnsi"/>
          <w:sz w:val="22"/>
          <w:szCs w:val="22"/>
          <w:lang w:eastAsia="en-IN" w:bidi="or-IN"/>
        </w:rPr>
        <w:t xml:space="preserve">. </w:t>
      </w:r>
    </w:p>
    <w:p w14:paraId="34A03A62" w14:textId="77777777" w:rsidR="00FE6BA8" w:rsidRPr="00153204" w:rsidRDefault="00FE6BA8" w:rsidP="002334A3">
      <w:pPr>
        <w:tabs>
          <w:tab w:val="left" w:pos="5580"/>
        </w:tabs>
        <w:autoSpaceDE w:val="0"/>
        <w:autoSpaceDN w:val="0"/>
        <w:adjustRightInd w:val="0"/>
        <w:spacing w:line="360" w:lineRule="auto"/>
        <w:rPr>
          <w:rFonts w:asciiTheme="minorHAnsi" w:hAnsiTheme="minorHAnsi" w:cstheme="minorHAnsi"/>
          <w:b/>
          <w:sz w:val="22"/>
          <w:szCs w:val="22"/>
        </w:rPr>
      </w:pPr>
    </w:p>
    <w:p w14:paraId="34A03A64" w14:textId="77777777" w:rsidR="00FE6BA8" w:rsidRPr="00153204" w:rsidRDefault="00FE6BA8" w:rsidP="002334A3">
      <w:pPr>
        <w:tabs>
          <w:tab w:val="left" w:pos="5580"/>
        </w:tabs>
        <w:autoSpaceDE w:val="0"/>
        <w:autoSpaceDN w:val="0"/>
        <w:adjustRightInd w:val="0"/>
        <w:spacing w:line="360" w:lineRule="auto"/>
        <w:ind w:left="567"/>
        <w:rPr>
          <w:rFonts w:asciiTheme="minorHAnsi" w:hAnsiTheme="minorHAnsi" w:cstheme="minorHAnsi"/>
          <w:b/>
          <w:sz w:val="22"/>
          <w:szCs w:val="22"/>
        </w:rPr>
      </w:pPr>
    </w:p>
    <w:p w14:paraId="34A03A65" w14:textId="2FFDB7A8" w:rsidR="00AC666C" w:rsidRPr="00153204" w:rsidRDefault="00EC02FF" w:rsidP="002334A3">
      <w:pPr>
        <w:tabs>
          <w:tab w:val="left" w:pos="5580"/>
        </w:tabs>
        <w:autoSpaceDE w:val="0"/>
        <w:autoSpaceDN w:val="0"/>
        <w:adjustRightInd w:val="0"/>
        <w:rPr>
          <w:rFonts w:asciiTheme="minorHAnsi" w:hAnsiTheme="minorHAnsi" w:cstheme="minorHAnsi"/>
          <w:b/>
          <w:sz w:val="22"/>
          <w:szCs w:val="22"/>
        </w:rPr>
      </w:pPr>
      <w:r w:rsidRPr="00153204">
        <w:rPr>
          <w:rFonts w:asciiTheme="minorHAnsi" w:hAnsiTheme="minorHAnsi" w:cstheme="minorHAnsi"/>
          <w:b/>
          <w:sz w:val="22"/>
          <w:szCs w:val="22"/>
        </w:rPr>
        <w:tab/>
        <w:t xml:space="preserve">    </w:t>
      </w:r>
      <w:r w:rsidR="004866ED" w:rsidRPr="00153204">
        <w:rPr>
          <w:rFonts w:asciiTheme="minorHAnsi" w:hAnsiTheme="minorHAnsi" w:cstheme="minorHAnsi"/>
          <w:b/>
          <w:sz w:val="22"/>
          <w:szCs w:val="22"/>
        </w:rPr>
        <w:t xml:space="preserve">   </w:t>
      </w:r>
      <w:r w:rsidR="0058333C" w:rsidRPr="00153204">
        <w:rPr>
          <w:rFonts w:asciiTheme="minorHAnsi" w:hAnsiTheme="minorHAnsi" w:cstheme="minorHAnsi"/>
          <w:b/>
          <w:sz w:val="22"/>
          <w:szCs w:val="22"/>
        </w:rPr>
        <w:t>DWIJADAS BASAK</w:t>
      </w:r>
      <w:r w:rsidR="007E7AB0" w:rsidRPr="00153204">
        <w:rPr>
          <w:rFonts w:asciiTheme="minorHAnsi" w:hAnsiTheme="minorHAnsi" w:cstheme="minorHAnsi"/>
          <w:b/>
          <w:sz w:val="22"/>
          <w:szCs w:val="22"/>
        </w:rPr>
        <w:t xml:space="preserve"> </w:t>
      </w:r>
    </w:p>
    <w:p w14:paraId="34A03A66" w14:textId="578CC02A" w:rsidR="007E7AB0" w:rsidRPr="00153204" w:rsidRDefault="00EC02FF" w:rsidP="002334A3">
      <w:pPr>
        <w:tabs>
          <w:tab w:val="left" w:pos="5580"/>
        </w:tabs>
        <w:autoSpaceDE w:val="0"/>
        <w:autoSpaceDN w:val="0"/>
        <w:adjustRightInd w:val="0"/>
        <w:ind w:left="-90"/>
        <w:rPr>
          <w:rFonts w:asciiTheme="minorHAnsi" w:hAnsiTheme="minorHAnsi" w:cstheme="minorHAnsi"/>
          <w:b/>
          <w:sz w:val="22"/>
          <w:szCs w:val="22"/>
        </w:rPr>
      </w:pPr>
      <w:r w:rsidRPr="00153204">
        <w:rPr>
          <w:rFonts w:asciiTheme="minorHAnsi" w:hAnsiTheme="minorHAnsi" w:cstheme="minorHAnsi"/>
          <w:b/>
          <w:sz w:val="22"/>
          <w:szCs w:val="22"/>
        </w:rPr>
        <w:t xml:space="preserve">                                                                                           </w:t>
      </w:r>
      <w:r w:rsidR="00606E7A" w:rsidRPr="00153204">
        <w:rPr>
          <w:rFonts w:asciiTheme="minorHAnsi" w:hAnsiTheme="minorHAnsi" w:cstheme="minorHAnsi"/>
          <w:b/>
          <w:sz w:val="22"/>
          <w:szCs w:val="22"/>
        </w:rPr>
        <w:t xml:space="preserve">             </w:t>
      </w:r>
      <w:r w:rsidRPr="00153204">
        <w:rPr>
          <w:rFonts w:asciiTheme="minorHAnsi" w:hAnsiTheme="minorHAnsi" w:cstheme="minorHAnsi"/>
          <w:b/>
          <w:sz w:val="22"/>
          <w:szCs w:val="22"/>
        </w:rPr>
        <w:t xml:space="preserve"> </w:t>
      </w:r>
      <w:r w:rsidR="0041516C" w:rsidRPr="00153204">
        <w:rPr>
          <w:rFonts w:asciiTheme="minorHAnsi" w:hAnsiTheme="minorHAnsi" w:cstheme="minorHAnsi"/>
          <w:b/>
          <w:sz w:val="22"/>
          <w:szCs w:val="22"/>
        </w:rPr>
        <w:t xml:space="preserve">       </w:t>
      </w:r>
      <w:r w:rsidR="002334A3" w:rsidRPr="00153204">
        <w:rPr>
          <w:rFonts w:asciiTheme="minorHAnsi" w:hAnsiTheme="minorHAnsi" w:cstheme="minorHAnsi"/>
          <w:b/>
          <w:sz w:val="22"/>
          <w:szCs w:val="22"/>
        </w:rPr>
        <w:t xml:space="preserve">     </w:t>
      </w:r>
      <w:r w:rsidR="00B20CAD" w:rsidRPr="00153204">
        <w:rPr>
          <w:rFonts w:asciiTheme="minorHAnsi" w:hAnsiTheme="minorHAnsi" w:cstheme="minorHAnsi"/>
          <w:b/>
          <w:sz w:val="22"/>
          <w:szCs w:val="22"/>
        </w:rPr>
        <w:t>CHIEF EXECUTIVE OFFICER</w:t>
      </w:r>
    </w:p>
    <w:p w14:paraId="34A03A67" w14:textId="258BA5D0" w:rsidR="0059078E" w:rsidRPr="00153204" w:rsidRDefault="00FE6BA8" w:rsidP="002334A3">
      <w:pPr>
        <w:tabs>
          <w:tab w:val="left" w:pos="6480"/>
        </w:tabs>
        <w:autoSpaceDE w:val="0"/>
        <w:autoSpaceDN w:val="0"/>
        <w:adjustRightInd w:val="0"/>
        <w:ind w:left="-90"/>
        <w:rPr>
          <w:rFonts w:asciiTheme="minorHAnsi" w:hAnsiTheme="minorHAnsi" w:cstheme="minorHAnsi"/>
          <w:b/>
          <w:sz w:val="22"/>
          <w:szCs w:val="22"/>
        </w:rPr>
      </w:pPr>
      <w:r w:rsidRPr="00153204">
        <w:rPr>
          <w:rFonts w:asciiTheme="minorHAnsi" w:hAnsiTheme="minorHAnsi" w:cstheme="minorHAnsi"/>
          <w:b/>
          <w:sz w:val="22"/>
          <w:szCs w:val="22"/>
        </w:rPr>
        <w:t xml:space="preserve">                                                                                      </w:t>
      </w:r>
      <w:r w:rsidR="00606E7A" w:rsidRPr="00153204">
        <w:rPr>
          <w:rFonts w:asciiTheme="minorHAnsi" w:hAnsiTheme="minorHAnsi" w:cstheme="minorHAnsi"/>
          <w:b/>
          <w:sz w:val="22"/>
          <w:szCs w:val="22"/>
        </w:rPr>
        <w:t xml:space="preserve">            </w:t>
      </w:r>
      <w:r w:rsidR="0076060C" w:rsidRPr="00153204">
        <w:rPr>
          <w:rFonts w:asciiTheme="minorHAnsi" w:hAnsiTheme="minorHAnsi" w:cstheme="minorHAnsi"/>
          <w:b/>
          <w:sz w:val="22"/>
          <w:szCs w:val="22"/>
        </w:rPr>
        <w:t xml:space="preserve">  </w:t>
      </w:r>
      <w:r w:rsidR="002334A3" w:rsidRPr="00153204">
        <w:rPr>
          <w:rFonts w:asciiTheme="minorHAnsi" w:hAnsiTheme="minorHAnsi" w:cstheme="minorHAnsi"/>
          <w:b/>
          <w:sz w:val="22"/>
          <w:szCs w:val="22"/>
        </w:rPr>
        <w:t xml:space="preserve">      </w:t>
      </w:r>
      <w:r w:rsidR="00606E7A" w:rsidRPr="00153204">
        <w:rPr>
          <w:rFonts w:asciiTheme="minorHAnsi" w:hAnsiTheme="minorHAnsi" w:cstheme="minorHAnsi"/>
          <w:b/>
          <w:sz w:val="22"/>
          <w:szCs w:val="22"/>
        </w:rPr>
        <w:t xml:space="preserve"> </w:t>
      </w:r>
      <w:r w:rsidRPr="00153204">
        <w:rPr>
          <w:rFonts w:asciiTheme="minorHAnsi" w:hAnsiTheme="minorHAnsi" w:cstheme="minorHAnsi"/>
          <w:b/>
          <w:sz w:val="22"/>
          <w:szCs w:val="22"/>
        </w:rPr>
        <w:t>TP Northern Odisha Distribution Ltd</w:t>
      </w:r>
    </w:p>
    <w:p w14:paraId="58DDA653" w14:textId="275845D9" w:rsidR="00514495" w:rsidRPr="00153204" w:rsidRDefault="00514495" w:rsidP="00670075">
      <w:pPr>
        <w:tabs>
          <w:tab w:val="left" w:pos="6480"/>
        </w:tabs>
        <w:autoSpaceDE w:val="0"/>
        <w:autoSpaceDN w:val="0"/>
        <w:adjustRightInd w:val="0"/>
        <w:spacing w:line="360" w:lineRule="auto"/>
        <w:rPr>
          <w:rFonts w:asciiTheme="minorHAnsi" w:hAnsiTheme="minorHAnsi" w:cstheme="minorHAnsi"/>
          <w:b/>
          <w:sz w:val="22"/>
          <w:szCs w:val="22"/>
        </w:rPr>
      </w:pPr>
    </w:p>
    <w:p w14:paraId="1B64A0BD" w14:textId="1C27831A" w:rsidR="00243256" w:rsidRPr="00153204" w:rsidRDefault="00243256" w:rsidP="00670075">
      <w:pPr>
        <w:tabs>
          <w:tab w:val="left" w:pos="6480"/>
        </w:tabs>
        <w:autoSpaceDE w:val="0"/>
        <w:autoSpaceDN w:val="0"/>
        <w:adjustRightInd w:val="0"/>
        <w:spacing w:line="360" w:lineRule="auto"/>
        <w:rPr>
          <w:rFonts w:asciiTheme="minorHAnsi" w:hAnsiTheme="minorHAnsi" w:cstheme="minorHAnsi"/>
          <w:b/>
          <w:sz w:val="22"/>
          <w:szCs w:val="22"/>
        </w:rPr>
      </w:pPr>
    </w:p>
    <w:p w14:paraId="6D1CEACA" w14:textId="77777777" w:rsidR="00A35221" w:rsidRDefault="00A35221" w:rsidP="002334A3">
      <w:pPr>
        <w:pStyle w:val="NoSpacing"/>
        <w:jc w:val="center"/>
        <w:rPr>
          <w:rFonts w:asciiTheme="minorHAnsi" w:hAnsiTheme="minorHAnsi" w:cstheme="minorHAnsi"/>
          <w:b/>
        </w:rPr>
      </w:pPr>
    </w:p>
    <w:p w14:paraId="7E7E2F08" w14:textId="77777777" w:rsidR="00A35221" w:rsidRDefault="00A35221" w:rsidP="002334A3">
      <w:pPr>
        <w:pStyle w:val="NoSpacing"/>
        <w:jc w:val="center"/>
        <w:rPr>
          <w:rFonts w:asciiTheme="minorHAnsi" w:hAnsiTheme="minorHAnsi" w:cstheme="minorHAnsi"/>
          <w:b/>
        </w:rPr>
      </w:pPr>
    </w:p>
    <w:p w14:paraId="15329644" w14:textId="77777777" w:rsidR="00A35221" w:rsidRDefault="00A35221" w:rsidP="002334A3">
      <w:pPr>
        <w:pStyle w:val="NoSpacing"/>
        <w:jc w:val="center"/>
        <w:rPr>
          <w:rFonts w:asciiTheme="minorHAnsi" w:hAnsiTheme="minorHAnsi" w:cstheme="minorHAnsi"/>
          <w:b/>
        </w:rPr>
      </w:pPr>
    </w:p>
    <w:p w14:paraId="3F19F73D" w14:textId="77777777" w:rsidR="00A35221" w:rsidRDefault="00A35221" w:rsidP="002334A3">
      <w:pPr>
        <w:pStyle w:val="NoSpacing"/>
        <w:jc w:val="center"/>
        <w:rPr>
          <w:rFonts w:asciiTheme="minorHAnsi" w:hAnsiTheme="minorHAnsi" w:cstheme="minorHAnsi"/>
          <w:b/>
        </w:rPr>
      </w:pPr>
    </w:p>
    <w:p w14:paraId="7B726B50" w14:textId="50BB5E35" w:rsidR="002334A3" w:rsidRPr="00153204" w:rsidRDefault="002334A3" w:rsidP="002334A3">
      <w:pPr>
        <w:pStyle w:val="NoSpacing"/>
        <w:jc w:val="center"/>
        <w:rPr>
          <w:rFonts w:asciiTheme="minorHAnsi" w:hAnsiTheme="minorHAnsi" w:cstheme="minorHAnsi"/>
          <w:b/>
        </w:rPr>
      </w:pPr>
      <w:r w:rsidRPr="00153204">
        <w:rPr>
          <w:rFonts w:asciiTheme="minorHAnsi" w:hAnsiTheme="minorHAnsi" w:cstheme="minorHAnsi"/>
          <w:b/>
        </w:rPr>
        <w:t>BEFORE THE ODISHA ELECTRICITY REGULATORY COMMISSION</w:t>
      </w:r>
    </w:p>
    <w:p w14:paraId="6F8BD4D8" w14:textId="77777777" w:rsidR="002334A3" w:rsidRPr="00153204" w:rsidRDefault="002334A3" w:rsidP="002334A3">
      <w:pPr>
        <w:pStyle w:val="NoSpacing"/>
        <w:jc w:val="center"/>
        <w:rPr>
          <w:rFonts w:asciiTheme="minorHAnsi" w:hAnsiTheme="minorHAnsi" w:cstheme="minorHAnsi"/>
          <w:b/>
        </w:rPr>
      </w:pPr>
      <w:r w:rsidRPr="00153204">
        <w:rPr>
          <w:rFonts w:asciiTheme="minorHAnsi" w:hAnsiTheme="minorHAnsi" w:cstheme="minorHAnsi"/>
          <w:b/>
        </w:rPr>
        <w:t>PLOT NO.4, CHUNUKOLI, SAILASHREE VIHAR,</w:t>
      </w:r>
    </w:p>
    <w:p w14:paraId="62715B2D" w14:textId="77777777" w:rsidR="002334A3" w:rsidRPr="00153204" w:rsidRDefault="002334A3" w:rsidP="002334A3">
      <w:pPr>
        <w:tabs>
          <w:tab w:val="left" w:pos="5580"/>
        </w:tabs>
        <w:autoSpaceDE w:val="0"/>
        <w:autoSpaceDN w:val="0"/>
        <w:adjustRightInd w:val="0"/>
        <w:ind w:left="-90"/>
        <w:jc w:val="center"/>
        <w:rPr>
          <w:rFonts w:asciiTheme="minorHAnsi" w:hAnsiTheme="minorHAnsi" w:cstheme="minorHAnsi"/>
          <w:b/>
          <w:sz w:val="22"/>
          <w:szCs w:val="22"/>
        </w:rPr>
      </w:pPr>
      <w:r w:rsidRPr="00153204">
        <w:rPr>
          <w:rFonts w:asciiTheme="minorHAnsi" w:hAnsiTheme="minorHAnsi" w:cstheme="minorHAnsi"/>
          <w:b/>
          <w:sz w:val="22"/>
          <w:szCs w:val="22"/>
        </w:rPr>
        <w:t>CHANDRASEKHARPUR, BHUBANESWAR</w:t>
      </w:r>
    </w:p>
    <w:p w14:paraId="31C3BF2A" w14:textId="77777777" w:rsidR="002334A3" w:rsidRPr="00153204" w:rsidRDefault="002334A3" w:rsidP="002334A3">
      <w:pPr>
        <w:tabs>
          <w:tab w:val="left" w:pos="5580"/>
        </w:tabs>
        <w:autoSpaceDE w:val="0"/>
        <w:autoSpaceDN w:val="0"/>
        <w:adjustRightInd w:val="0"/>
        <w:spacing w:line="360" w:lineRule="auto"/>
        <w:ind w:left="-90"/>
        <w:jc w:val="both"/>
        <w:rPr>
          <w:rFonts w:asciiTheme="minorHAnsi" w:hAnsiTheme="minorHAnsi" w:cstheme="minorHAnsi"/>
          <w:b/>
          <w:sz w:val="22"/>
          <w:szCs w:val="22"/>
        </w:rPr>
      </w:pPr>
    </w:p>
    <w:p w14:paraId="5C3400BD" w14:textId="05F37B0E" w:rsidR="0079460B" w:rsidRPr="00153204" w:rsidRDefault="0079460B" w:rsidP="0079460B">
      <w:pPr>
        <w:tabs>
          <w:tab w:val="left" w:pos="5580"/>
        </w:tabs>
        <w:autoSpaceDE w:val="0"/>
        <w:autoSpaceDN w:val="0"/>
        <w:adjustRightInd w:val="0"/>
        <w:spacing w:line="360" w:lineRule="auto"/>
        <w:ind w:left="2835" w:hanging="2268"/>
        <w:jc w:val="both"/>
        <w:rPr>
          <w:rFonts w:asciiTheme="minorHAnsi" w:hAnsiTheme="minorHAnsi" w:cstheme="minorHAnsi"/>
          <w:sz w:val="22"/>
          <w:szCs w:val="22"/>
          <w:lang w:val="en-GB"/>
        </w:rPr>
      </w:pPr>
      <w:r w:rsidRPr="00153204">
        <w:rPr>
          <w:rFonts w:asciiTheme="minorHAnsi" w:hAnsiTheme="minorHAnsi" w:cstheme="minorHAnsi"/>
          <w:b/>
          <w:sz w:val="22"/>
          <w:szCs w:val="22"/>
        </w:rPr>
        <w:t xml:space="preserve">IN THE MATTER OF      </w:t>
      </w:r>
      <w:r w:rsidRPr="00153204">
        <w:rPr>
          <w:rFonts w:asciiTheme="minorHAnsi" w:hAnsiTheme="minorHAnsi" w:cstheme="minorHAnsi"/>
          <w:sz w:val="22"/>
          <w:szCs w:val="22"/>
          <w:lang w:val="en-GB"/>
        </w:rPr>
        <w:t xml:space="preserve">Application for approval </w:t>
      </w:r>
      <w:proofErr w:type="gramStart"/>
      <w:r w:rsidRPr="00153204">
        <w:rPr>
          <w:rFonts w:asciiTheme="minorHAnsi" w:hAnsiTheme="minorHAnsi" w:cstheme="minorHAnsi"/>
          <w:sz w:val="22"/>
          <w:szCs w:val="22"/>
          <w:lang w:val="en-GB"/>
        </w:rPr>
        <w:t>of  Aggregate</w:t>
      </w:r>
      <w:proofErr w:type="gramEnd"/>
      <w:r w:rsidRPr="00153204">
        <w:rPr>
          <w:rFonts w:asciiTheme="minorHAnsi" w:hAnsiTheme="minorHAnsi" w:cstheme="minorHAnsi"/>
          <w:sz w:val="22"/>
          <w:szCs w:val="22"/>
          <w:lang w:val="en-GB"/>
        </w:rPr>
        <w:t xml:space="preserve"> Revenue Requirement and Retail Supply Tariff for the financial year 202</w:t>
      </w:r>
      <w:r w:rsidR="0058333C" w:rsidRPr="00153204">
        <w:rPr>
          <w:rFonts w:asciiTheme="minorHAnsi" w:hAnsiTheme="minorHAnsi" w:cstheme="minorHAnsi"/>
          <w:sz w:val="22"/>
          <w:szCs w:val="22"/>
          <w:lang w:val="en-GB"/>
        </w:rPr>
        <w:t>5</w:t>
      </w:r>
      <w:r w:rsidRPr="00153204">
        <w:rPr>
          <w:rFonts w:asciiTheme="minorHAnsi" w:hAnsiTheme="minorHAnsi" w:cstheme="minorHAnsi"/>
          <w:sz w:val="22"/>
          <w:szCs w:val="22"/>
          <w:lang w:val="en-GB"/>
        </w:rPr>
        <w:t>-2</w:t>
      </w:r>
      <w:r w:rsidR="0058333C" w:rsidRPr="00153204">
        <w:rPr>
          <w:rFonts w:asciiTheme="minorHAnsi" w:hAnsiTheme="minorHAnsi" w:cstheme="minorHAnsi"/>
          <w:sz w:val="22"/>
          <w:szCs w:val="22"/>
          <w:lang w:val="en-GB"/>
        </w:rPr>
        <w:t>6</w:t>
      </w:r>
      <w:r w:rsidRPr="00153204">
        <w:rPr>
          <w:rFonts w:asciiTheme="minorHAnsi" w:hAnsiTheme="minorHAnsi" w:cstheme="minorHAnsi"/>
          <w:sz w:val="22"/>
          <w:szCs w:val="22"/>
          <w:lang w:val="en-GB"/>
        </w:rPr>
        <w:t xml:space="preserve">, under Section 62 and other applicable provisions of the Electricity Act 2003 and in conformity with the provisions of OERC </w:t>
      </w:r>
      <w:r w:rsidRPr="00153204">
        <w:rPr>
          <w:rFonts w:asciiTheme="minorHAnsi" w:hAnsiTheme="minorHAnsi" w:cstheme="minorHAnsi"/>
          <w:sz w:val="22"/>
          <w:szCs w:val="22"/>
        </w:rPr>
        <w:t>(Terms and Conditions for Determination of Wheeling Tariff and Retail Supply Tariff) Regulations, 2022 , OERC (Conduct of Business) Regulation 2004 and Vesting order dated 25.3.2021</w:t>
      </w:r>
    </w:p>
    <w:p w14:paraId="520D387D" w14:textId="77777777" w:rsidR="0079460B" w:rsidRPr="00627B2A" w:rsidRDefault="0079460B" w:rsidP="0079460B">
      <w:pPr>
        <w:pStyle w:val="NormalWeb"/>
        <w:spacing w:line="360" w:lineRule="auto"/>
        <w:ind w:left="4320"/>
        <w:rPr>
          <w:rFonts w:asciiTheme="minorHAnsi" w:hAnsiTheme="minorHAnsi" w:cstheme="minorHAnsi"/>
          <w:b/>
          <w:color w:val="000000"/>
          <w:sz w:val="22"/>
          <w:szCs w:val="22"/>
        </w:rPr>
      </w:pPr>
      <w:r w:rsidRPr="00627B2A">
        <w:rPr>
          <w:rFonts w:asciiTheme="minorHAnsi" w:hAnsiTheme="minorHAnsi" w:cstheme="minorHAnsi"/>
          <w:b/>
          <w:color w:val="000000"/>
          <w:sz w:val="22"/>
          <w:szCs w:val="22"/>
        </w:rPr>
        <w:t>And</w:t>
      </w:r>
    </w:p>
    <w:p w14:paraId="603CE77A" w14:textId="77777777" w:rsidR="0079460B" w:rsidRPr="00153204" w:rsidRDefault="0079460B" w:rsidP="0079460B">
      <w:pPr>
        <w:tabs>
          <w:tab w:val="left" w:pos="5580"/>
        </w:tabs>
        <w:autoSpaceDE w:val="0"/>
        <w:autoSpaceDN w:val="0"/>
        <w:adjustRightInd w:val="0"/>
        <w:spacing w:line="360" w:lineRule="auto"/>
        <w:ind w:left="-90" w:firstLine="657"/>
        <w:jc w:val="both"/>
        <w:rPr>
          <w:rFonts w:asciiTheme="minorHAnsi" w:hAnsiTheme="minorHAnsi" w:cstheme="minorHAnsi"/>
          <w:sz w:val="22"/>
          <w:szCs w:val="22"/>
          <w:lang w:val="en-GB"/>
        </w:rPr>
      </w:pPr>
      <w:r w:rsidRPr="00153204">
        <w:rPr>
          <w:rFonts w:asciiTheme="minorHAnsi" w:hAnsiTheme="minorHAnsi" w:cstheme="minorHAnsi"/>
          <w:b/>
          <w:sz w:val="22"/>
          <w:szCs w:val="22"/>
        </w:rPr>
        <w:t xml:space="preserve">IN THE MATTER OF             </w:t>
      </w:r>
      <w:proofErr w:type="gramStart"/>
      <w:r w:rsidRPr="00153204">
        <w:rPr>
          <w:rFonts w:asciiTheme="minorHAnsi" w:hAnsiTheme="minorHAnsi" w:cstheme="minorHAnsi"/>
          <w:sz w:val="22"/>
          <w:szCs w:val="22"/>
          <w:lang w:val="en-GB"/>
        </w:rPr>
        <w:t>TP  Northern</w:t>
      </w:r>
      <w:proofErr w:type="gramEnd"/>
      <w:r w:rsidRPr="00153204">
        <w:rPr>
          <w:rFonts w:asciiTheme="minorHAnsi" w:hAnsiTheme="minorHAnsi" w:cstheme="minorHAnsi"/>
          <w:sz w:val="22"/>
          <w:szCs w:val="22"/>
          <w:lang w:val="en-GB"/>
        </w:rPr>
        <w:t xml:space="preserve"> Odisha  Distribution Limited.</w:t>
      </w:r>
    </w:p>
    <w:p w14:paraId="1B892BE2" w14:textId="77777777" w:rsidR="0079460B" w:rsidRPr="00153204" w:rsidRDefault="0079460B" w:rsidP="0079460B">
      <w:pPr>
        <w:autoSpaceDE w:val="0"/>
        <w:autoSpaceDN w:val="0"/>
        <w:adjustRightInd w:val="0"/>
        <w:spacing w:line="360" w:lineRule="auto"/>
        <w:ind w:left="2835"/>
        <w:jc w:val="both"/>
        <w:rPr>
          <w:rFonts w:asciiTheme="minorHAnsi" w:hAnsiTheme="minorHAnsi" w:cstheme="minorHAnsi"/>
          <w:sz w:val="22"/>
          <w:szCs w:val="22"/>
          <w:lang w:val="en-GB"/>
        </w:rPr>
      </w:pPr>
      <w:r w:rsidRPr="00153204">
        <w:rPr>
          <w:rFonts w:asciiTheme="minorHAnsi" w:hAnsiTheme="minorHAnsi" w:cstheme="minorHAnsi"/>
          <w:sz w:val="22"/>
          <w:szCs w:val="22"/>
          <w:lang w:val="en-GB"/>
        </w:rPr>
        <w:t xml:space="preserve">  Registered &amp; Corporate Office: </w:t>
      </w:r>
      <w:proofErr w:type="spellStart"/>
      <w:r w:rsidRPr="00153204">
        <w:rPr>
          <w:rFonts w:asciiTheme="minorHAnsi" w:hAnsiTheme="minorHAnsi" w:cstheme="minorHAnsi"/>
          <w:sz w:val="22"/>
          <w:szCs w:val="22"/>
          <w:lang w:val="en-GB"/>
        </w:rPr>
        <w:t>Januganj</w:t>
      </w:r>
      <w:proofErr w:type="spellEnd"/>
      <w:r w:rsidRPr="00153204">
        <w:rPr>
          <w:rFonts w:asciiTheme="minorHAnsi" w:hAnsiTheme="minorHAnsi" w:cstheme="minorHAnsi"/>
          <w:sz w:val="22"/>
          <w:szCs w:val="22"/>
          <w:lang w:val="en-GB"/>
        </w:rPr>
        <w:t xml:space="preserve">, </w:t>
      </w:r>
      <w:proofErr w:type="spellStart"/>
      <w:r w:rsidRPr="00153204">
        <w:rPr>
          <w:rFonts w:asciiTheme="minorHAnsi" w:hAnsiTheme="minorHAnsi" w:cstheme="minorHAnsi"/>
          <w:sz w:val="22"/>
          <w:szCs w:val="22"/>
          <w:lang w:val="en-GB"/>
        </w:rPr>
        <w:t>Balasore</w:t>
      </w:r>
      <w:proofErr w:type="spellEnd"/>
      <w:r w:rsidRPr="00153204">
        <w:rPr>
          <w:rFonts w:asciiTheme="minorHAnsi" w:hAnsiTheme="minorHAnsi" w:cstheme="minorHAnsi"/>
          <w:sz w:val="22"/>
          <w:szCs w:val="22"/>
          <w:lang w:val="en-GB"/>
        </w:rPr>
        <w:t>, Odisha-756019</w:t>
      </w:r>
    </w:p>
    <w:p w14:paraId="78653A8A" w14:textId="77777777" w:rsidR="0079460B" w:rsidRPr="00153204" w:rsidRDefault="0079460B" w:rsidP="0079460B">
      <w:pPr>
        <w:autoSpaceDE w:val="0"/>
        <w:autoSpaceDN w:val="0"/>
        <w:adjustRightInd w:val="0"/>
        <w:spacing w:line="360" w:lineRule="auto"/>
        <w:ind w:left="2835"/>
        <w:jc w:val="both"/>
        <w:rPr>
          <w:rFonts w:asciiTheme="minorHAnsi" w:hAnsiTheme="minorHAnsi" w:cstheme="minorHAnsi"/>
          <w:b/>
          <w:bCs/>
          <w:sz w:val="22"/>
          <w:szCs w:val="22"/>
        </w:rPr>
      </w:pPr>
      <w:r w:rsidRPr="00153204">
        <w:rPr>
          <w:rFonts w:asciiTheme="minorHAnsi" w:hAnsiTheme="minorHAnsi" w:cstheme="minorHAnsi"/>
          <w:sz w:val="22"/>
          <w:szCs w:val="22"/>
          <w:lang w:val="en-GB"/>
        </w:rPr>
        <w:t xml:space="preserve">  Represented by its Chief Executive Officer</w:t>
      </w:r>
      <w:r w:rsidRPr="00153204">
        <w:rPr>
          <w:rFonts w:asciiTheme="minorHAnsi" w:hAnsiTheme="minorHAnsi" w:cstheme="minorHAnsi"/>
          <w:b/>
          <w:bCs/>
          <w:sz w:val="22"/>
          <w:szCs w:val="22"/>
        </w:rPr>
        <w:t xml:space="preserve">                  ---------Applicant</w:t>
      </w:r>
    </w:p>
    <w:p w14:paraId="5E83BE3C" w14:textId="77777777" w:rsidR="0079460B" w:rsidRPr="00627B2A" w:rsidRDefault="0079460B" w:rsidP="0079460B">
      <w:pPr>
        <w:pStyle w:val="NormalWeb"/>
        <w:spacing w:line="360" w:lineRule="auto"/>
        <w:ind w:left="4320"/>
        <w:rPr>
          <w:rFonts w:asciiTheme="minorHAnsi" w:hAnsiTheme="minorHAnsi" w:cstheme="minorHAnsi"/>
          <w:b/>
          <w:color w:val="000000"/>
          <w:sz w:val="22"/>
          <w:szCs w:val="22"/>
        </w:rPr>
      </w:pPr>
      <w:r w:rsidRPr="00627B2A">
        <w:rPr>
          <w:rFonts w:asciiTheme="minorHAnsi" w:hAnsiTheme="minorHAnsi" w:cstheme="minorHAnsi"/>
          <w:b/>
          <w:color w:val="000000"/>
          <w:sz w:val="22"/>
          <w:szCs w:val="22"/>
        </w:rPr>
        <w:t>And</w:t>
      </w:r>
    </w:p>
    <w:p w14:paraId="7F25F89B" w14:textId="77777777" w:rsidR="0079460B" w:rsidRPr="00153204" w:rsidRDefault="0079460B" w:rsidP="00153204">
      <w:pPr>
        <w:pStyle w:val="NormalWeb"/>
        <w:spacing w:line="360" w:lineRule="auto"/>
        <w:ind w:firstLine="567"/>
        <w:rPr>
          <w:rFonts w:asciiTheme="minorHAnsi" w:hAnsiTheme="minorHAnsi" w:cstheme="minorHAnsi"/>
          <w:color w:val="000000"/>
          <w:sz w:val="22"/>
          <w:szCs w:val="22"/>
        </w:rPr>
      </w:pPr>
      <w:r w:rsidRPr="00153204">
        <w:rPr>
          <w:rFonts w:asciiTheme="minorHAnsi" w:hAnsiTheme="minorHAnsi" w:cstheme="minorHAnsi"/>
          <w:b/>
          <w:sz w:val="22"/>
          <w:szCs w:val="22"/>
        </w:rPr>
        <w:t xml:space="preserve">IN THE MATTER OF         </w:t>
      </w:r>
      <w:r w:rsidRPr="00153204">
        <w:rPr>
          <w:rFonts w:asciiTheme="minorHAnsi" w:hAnsiTheme="minorHAnsi" w:cstheme="minorHAnsi"/>
          <w:color w:val="000000"/>
          <w:sz w:val="22"/>
          <w:szCs w:val="22"/>
        </w:rPr>
        <w:t>All Stake Holders</w:t>
      </w:r>
    </w:p>
    <w:p w14:paraId="34A03A75" w14:textId="25700C86" w:rsidR="00BF47FD" w:rsidRPr="00153204" w:rsidRDefault="00BF47FD" w:rsidP="00153204">
      <w:pPr>
        <w:autoSpaceDE w:val="0"/>
        <w:autoSpaceDN w:val="0"/>
        <w:adjustRightInd w:val="0"/>
        <w:spacing w:line="360" w:lineRule="auto"/>
        <w:ind w:left="567"/>
        <w:rPr>
          <w:rFonts w:asciiTheme="minorHAnsi" w:hAnsiTheme="minorHAnsi" w:cstheme="minorHAnsi"/>
          <w:b/>
          <w:bCs/>
          <w:sz w:val="22"/>
          <w:szCs w:val="22"/>
        </w:rPr>
      </w:pPr>
      <w:r w:rsidRPr="00153204">
        <w:rPr>
          <w:rFonts w:asciiTheme="minorHAnsi" w:hAnsiTheme="minorHAnsi" w:cstheme="minorHAnsi"/>
          <w:b/>
          <w:bCs/>
          <w:sz w:val="22"/>
          <w:szCs w:val="22"/>
        </w:rPr>
        <w:t>Affidavit verifyin</w:t>
      </w:r>
      <w:r w:rsidR="00C54E8E" w:rsidRPr="00153204">
        <w:rPr>
          <w:rFonts w:asciiTheme="minorHAnsi" w:hAnsiTheme="minorHAnsi" w:cstheme="minorHAnsi"/>
          <w:b/>
          <w:bCs/>
          <w:sz w:val="22"/>
          <w:szCs w:val="22"/>
        </w:rPr>
        <w:t xml:space="preserve">g the application </w:t>
      </w:r>
      <w:r w:rsidR="0041516C" w:rsidRPr="00153204">
        <w:rPr>
          <w:rFonts w:asciiTheme="minorHAnsi" w:hAnsiTheme="minorHAnsi" w:cstheme="minorHAnsi"/>
          <w:b/>
          <w:bCs/>
          <w:sz w:val="22"/>
          <w:szCs w:val="22"/>
        </w:rPr>
        <w:t xml:space="preserve">of the </w:t>
      </w:r>
      <w:r w:rsidR="009A0919" w:rsidRPr="00153204">
        <w:rPr>
          <w:rFonts w:asciiTheme="minorHAnsi" w:hAnsiTheme="minorHAnsi" w:cstheme="minorHAnsi"/>
          <w:b/>
          <w:bCs/>
          <w:sz w:val="22"/>
          <w:szCs w:val="22"/>
        </w:rPr>
        <w:t>licensee for</w:t>
      </w:r>
      <w:r w:rsidR="0058333C" w:rsidRPr="00153204">
        <w:rPr>
          <w:rFonts w:asciiTheme="minorHAnsi" w:hAnsiTheme="minorHAnsi" w:cstheme="minorHAnsi"/>
          <w:b/>
          <w:bCs/>
          <w:sz w:val="22"/>
          <w:szCs w:val="22"/>
        </w:rPr>
        <w:t xml:space="preserve"> approval </w:t>
      </w:r>
      <w:r w:rsidR="009A0919" w:rsidRPr="00153204">
        <w:rPr>
          <w:rFonts w:asciiTheme="minorHAnsi" w:hAnsiTheme="minorHAnsi" w:cstheme="minorHAnsi"/>
          <w:b/>
          <w:bCs/>
          <w:sz w:val="22"/>
          <w:szCs w:val="22"/>
        </w:rPr>
        <w:t>of the</w:t>
      </w:r>
      <w:r w:rsidR="00FC4ADF" w:rsidRPr="00153204">
        <w:rPr>
          <w:rFonts w:asciiTheme="minorHAnsi" w:hAnsiTheme="minorHAnsi" w:cstheme="minorHAnsi"/>
          <w:b/>
          <w:bCs/>
          <w:sz w:val="22"/>
          <w:szCs w:val="22"/>
        </w:rPr>
        <w:t xml:space="preserve"> </w:t>
      </w:r>
      <w:r w:rsidR="00C54E8E" w:rsidRPr="00153204">
        <w:rPr>
          <w:rFonts w:asciiTheme="minorHAnsi" w:hAnsiTheme="minorHAnsi" w:cstheme="minorHAnsi"/>
          <w:b/>
          <w:bCs/>
          <w:sz w:val="22"/>
          <w:szCs w:val="22"/>
        </w:rPr>
        <w:t>Aggregate</w:t>
      </w:r>
      <w:r w:rsidRPr="00153204">
        <w:rPr>
          <w:rFonts w:asciiTheme="minorHAnsi" w:hAnsiTheme="minorHAnsi" w:cstheme="minorHAnsi"/>
          <w:b/>
          <w:bCs/>
          <w:sz w:val="22"/>
          <w:szCs w:val="22"/>
        </w:rPr>
        <w:t xml:space="preserve"> Revenue Requirement and Tariff Application</w:t>
      </w:r>
      <w:r w:rsidR="0041516C" w:rsidRPr="00153204">
        <w:rPr>
          <w:rFonts w:asciiTheme="minorHAnsi" w:hAnsiTheme="minorHAnsi" w:cstheme="minorHAnsi"/>
          <w:b/>
          <w:bCs/>
          <w:sz w:val="22"/>
          <w:szCs w:val="22"/>
        </w:rPr>
        <w:t xml:space="preserve"> for the FY 202</w:t>
      </w:r>
      <w:r w:rsidR="0058333C" w:rsidRPr="00153204">
        <w:rPr>
          <w:rFonts w:asciiTheme="minorHAnsi" w:hAnsiTheme="minorHAnsi" w:cstheme="minorHAnsi"/>
          <w:b/>
          <w:bCs/>
          <w:sz w:val="22"/>
          <w:szCs w:val="22"/>
        </w:rPr>
        <w:t>5</w:t>
      </w:r>
      <w:r w:rsidR="0041516C" w:rsidRPr="00153204">
        <w:rPr>
          <w:rFonts w:asciiTheme="minorHAnsi" w:hAnsiTheme="minorHAnsi" w:cstheme="minorHAnsi"/>
          <w:b/>
          <w:bCs/>
          <w:sz w:val="22"/>
          <w:szCs w:val="22"/>
        </w:rPr>
        <w:t>-2</w:t>
      </w:r>
      <w:r w:rsidR="0058333C" w:rsidRPr="00153204">
        <w:rPr>
          <w:rFonts w:asciiTheme="minorHAnsi" w:hAnsiTheme="minorHAnsi" w:cstheme="minorHAnsi"/>
          <w:b/>
          <w:bCs/>
          <w:sz w:val="22"/>
          <w:szCs w:val="22"/>
        </w:rPr>
        <w:t>6</w:t>
      </w:r>
    </w:p>
    <w:p w14:paraId="34A03A76" w14:textId="77777777" w:rsidR="000A6635" w:rsidRPr="00153204" w:rsidRDefault="000A6635" w:rsidP="00153204">
      <w:pPr>
        <w:autoSpaceDE w:val="0"/>
        <w:autoSpaceDN w:val="0"/>
        <w:adjustRightInd w:val="0"/>
        <w:spacing w:line="360" w:lineRule="auto"/>
        <w:ind w:left="567"/>
        <w:jc w:val="both"/>
        <w:rPr>
          <w:rFonts w:asciiTheme="minorHAnsi" w:hAnsiTheme="minorHAnsi" w:cstheme="minorHAnsi"/>
          <w:sz w:val="22"/>
          <w:szCs w:val="22"/>
          <w:lang w:val="en-GB"/>
        </w:rPr>
      </w:pPr>
    </w:p>
    <w:p w14:paraId="42D2F953" w14:textId="08D931AF" w:rsidR="0058333C" w:rsidRPr="00153204" w:rsidRDefault="0058333C" w:rsidP="00153204">
      <w:pPr>
        <w:pStyle w:val="ListParagraph"/>
        <w:tabs>
          <w:tab w:val="left" w:pos="426"/>
        </w:tabs>
        <w:spacing w:line="360" w:lineRule="auto"/>
        <w:ind w:left="567"/>
        <w:jc w:val="both"/>
        <w:rPr>
          <w:rFonts w:asciiTheme="minorHAnsi" w:hAnsiTheme="minorHAnsi" w:cstheme="minorHAnsi"/>
          <w:lang w:val="en-GB"/>
        </w:rPr>
      </w:pPr>
      <w:r w:rsidRPr="00153204">
        <w:rPr>
          <w:rFonts w:asciiTheme="minorHAnsi" w:hAnsiTheme="minorHAnsi" w:cstheme="minorHAnsi"/>
          <w:lang w:val="en-GB"/>
        </w:rPr>
        <w:t xml:space="preserve">I, Dwijadas Basak, S/o </w:t>
      </w:r>
      <w:proofErr w:type="spellStart"/>
      <w:r w:rsidRPr="00153204">
        <w:rPr>
          <w:rFonts w:asciiTheme="minorHAnsi" w:hAnsiTheme="minorHAnsi" w:cstheme="minorHAnsi"/>
          <w:lang w:val="en-GB"/>
        </w:rPr>
        <w:t>Dhananjoy</w:t>
      </w:r>
      <w:proofErr w:type="spellEnd"/>
      <w:r w:rsidRPr="00153204">
        <w:rPr>
          <w:rFonts w:asciiTheme="minorHAnsi" w:hAnsiTheme="minorHAnsi" w:cstheme="minorHAnsi"/>
          <w:lang w:val="en-GB"/>
        </w:rPr>
        <w:t xml:space="preserve"> Basak, aged </w:t>
      </w:r>
      <w:r w:rsidR="00627B2A" w:rsidRPr="00153204">
        <w:rPr>
          <w:rFonts w:asciiTheme="minorHAnsi" w:hAnsiTheme="minorHAnsi" w:cstheme="minorHAnsi"/>
          <w:lang w:val="en-GB"/>
        </w:rPr>
        <w:t>about 57</w:t>
      </w:r>
      <w:r w:rsidRPr="00153204">
        <w:rPr>
          <w:rFonts w:asciiTheme="minorHAnsi" w:hAnsiTheme="minorHAnsi" w:cstheme="minorHAnsi"/>
          <w:lang w:val="en-GB"/>
        </w:rPr>
        <w:t xml:space="preserve"> years, residing at </w:t>
      </w:r>
      <w:proofErr w:type="spellStart"/>
      <w:r w:rsidRPr="00153204">
        <w:rPr>
          <w:rFonts w:asciiTheme="minorHAnsi" w:hAnsiTheme="minorHAnsi" w:cstheme="minorHAnsi"/>
          <w:lang w:val="en-GB"/>
        </w:rPr>
        <w:t>Balasore</w:t>
      </w:r>
      <w:proofErr w:type="spellEnd"/>
      <w:r w:rsidRPr="00153204">
        <w:rPr>
          <w:rFonts w:asciiTheme="minorHAnsi" w:hAnsiTheme="minorHAnsi" w:cstheme="minorHAnsi"/>
          <w:lang w:val="en-GB"/>
        </w:rPr>
        <w:t xml:space="preserve">, do hereby solemnly affirm and state as </w:t>
      </w:r>
      <w:proofErr w:type="gramStart"/>
      <w:r w:rsidRPr="00153204">
        <w:rPr>
          <w:rFonts w:asciiTheme="minorHAnsi" w:hAnsiTheme="minorHAnsi" w:cstheme="minorHAnsi"/>
          <w:lang w:val="en-GB"/>
        </w:rPr>
        <w:t>follows:-</w:t>
      </w:r>
      <w:proofErr w:type="gramEnd"/>
    </w:p>
    <w:p w14:paraId="32B3B5C7" w14:textId="77777777" w:rsidR="0058333C" w:rsidRPr="00153204" w:rsidRDefault="0058333C" w:rsidP="00153204">
      <w:pPr>
        <w:pStyle w:val="ListParagraph"/>
        <w:tabs>
          <w:tab w:val="left" w:pos="426"/>
        </w:tabs>
        <w:spacing w:line="360" w:lineRule="auto"/>
        <w:ind w:left="567"/>
        <w:jc w:val="both"/>
        <w:rPr>
          <w:rFonts w:asciiTheme="minorHAnsi" w:hAnsiTheme="minorHAnsi" w:cstheme="minorHAnsi"/>
          <w:lang w:val="en-GB"/>
        </w:rPr>
      </w:pPr>
    </w:p>
    <w:p w14:paraId="335157DA" w14:textId="26EED8CF" w:rsidR="0058333C" w:rsidRPr="00153204" w:rsidRDefault="0058333C" w:rsidP="00153204">
      <w:pPr>
        <w:pStyle w:val="ListParagraph"/>
        <w:tabs>
          <w:tab w:val="left" w:pos="426"/>
        </w:tabs>
        <w:spacing w:line="360" w:lineRule="auto"/>
        <w:ind w:left="567"/>
        <w:jc w:val="both"/>
        <w:rPr>
          <w:rFonts w:asciiTheme="minorHAnsi" w:hAnsiTheme="minorHAnsi" w:cstheme="minorHAnsi"/>
          <w:lang w:val="en-GB"/>
        </w:rPr>
      </w:pPr>
      <w:r w:rsidRPr="00153204">
        <w:rPr>
          <w:rFonts w:asciiTheme="minorHAnsi" w:hAnsiTheme="minorHAnsi" w:cstheme="minorHAnsi"/>
          <w:lang w:val="en-GB"/>
        </w:rPr>
        <w:t xml:space="preserve">I am </w:t>
      </w:r>
      <w:r w:rsidR="00627B2A" w:rsidRPr="00153204">
        <w:rPr>
          <w:rFonts w:asciiTheme="minorHAnsi" w:hAnsiTheme="minorHAnsi" w:cstheme="minorHAnsi"/>
          <w:lang w:val="en-GB"/>
        </w:rPr>
        <w:t>the Chief</w:t>
      </w:r>
      <w:r w:rsidRPr="00153204">
        <w:rPr>
          <w:rFonts w:asciiTheme="minorHAnsi" w:hAnsiTheme="minorHAnsi" w:cstheme="minorHAnsi"/>
          <w:lang w:val="en-GB"/>
        </w:rPr>
        <w:t xml:space="preserve"> Executive Officer of </w:t>
      </w:r>
      <w:r w:rsidR="00627B2A" w:rsidRPr="00153204">
        <w:rPr>
          <w:rFonts w:asciiTheme="minorHAnsi" w:hAnsiTheme="minorHAnsi" w:cstheme="minorHAnsi"/>
          <w:lang w:val="en-GB"/>
        </w:rPr>
        <w:t>TP Northern</w:t>
      </w:r>
      <w:r w:rsidRPr="00153204">
        <w:rPr>
          <w:rFonts w:asciiTheme="minorHAnsi" w:hAnsiTheme="minorHAnsi" w:cstheme="minorHAnsi"/>
          <w:lang w:val="en-GB"/>
        </w:rPr>
        <w:t xml:space="preserve"> Odisha Distribution Limited-the applicant in the above matter and duly authorised to swear this affidavit on its behalf.</w:t>
      </w:r>
    </w:p>
    <w:p w14:paraId="52A427C0" w14:textId="77777777" w:rsidR="0058333C" w:rsidRPr="00153204" w:rsidRDefault="0058333C" w:rsidP="00153204">
      <w:pPr>
        <w:pStyle w:val="ListParagraph"/>
        <w:tabs>
          <w:tab w:val="left" w:pos="426"/>
        </w:tabs>
        <w:spacing w:line="360" w:lineRule="auto"/>
        <w:ind w:left="567"/>
        <w:jc w:val="both"/>
        <w:rPr>
          <w:rFonts w:asciiTheme="minorHAnsi" w:hAnsiTheme="minorHAnsi" w:cstheme="minorHAnsi"/>
          <w:lang w:val="en-GB"/>
        </w:rPr>
      </w:pPr>
    </w:p>
    <w:p w14:paraId="7E95DD9E" w14:textId="77777777" w:rsidR="0058333C" w:rsidRPr="00153204" w:rsidRDefault="0058333C" w:rsidP="00153204">
      <w:pPr>
        <w:pStyle w:val="ListParagraph"/>
        <w:tabs>
          <w:tab w:val="left" w:pos="426"/>
        </w:tabs>
        <w:spacing w:line="360" w:lineRule="auto"/>
        <w:ind w:left="567"/>
        <w:jc w:val="both"/>
        <w:rPr>
          <w:rFonts w:asciiTheme="minorHAnsi" w:hAnsiTheme="minorHAnsi" w:cstheme="minorHAnsi"/>
          <w:lang w:val="en-GB"/>
        </w:rPr>
      </w:pPr>
      <w:r w:rsidRPr="00153204">
        <w:rPr>
          <w:rFonts w:asciiTheme="minorHAnsi" w:hAnsiTheme="minorHAnsi" w:cstheme="minorHAnsi"/>
          <w:lang w:val="en-GB"/>
        </w:rPr>
        <w:t>The statements made in the application along with the annexures annexed to this application are true to the best of my knowledge and the statements made are based on information and records and I believe them to be true.</w:t>
      </w:r>
    </w:p>
    <w:p w14:paraId="2F076610" w14:textId="77777777" w:rsidR="00153204" w:rsidRDefault="00153204" w:rsidP="00153204">
      <w:pPr>
        <w:pStyle w:val="ListParagraph"/>
        <w:tabs>
          <w:tab w:val="left" w:pos="426"/>
        </w:tabs>
        <w:spacing w:line="360" w:lineRule="auto"/>
        <w:ind w:left="567" w:right="426"/>
        <w:jc w:val="both"/>
        <w:rPr>
          <w:rFonts w:asciiTheme="minorHAnsi" w:hAnsiTheme="minorHAnsi" w:cstheme="minorHAnsi"/>
          <w:lang w:val="en-GB"/>
        </w:rPr>
      </w:pPr>
    </w:p>
    <w:p w14:paraId="6C7B6673" w14:textId="77777777" w:rsidR="00627B2A" w:rsidRDefault="00153204" w:rsidP="00627B2A">
      <w:pPr>
        <w:pStyle w:val="ListParagraph"/>
        <w:tabs>
          <w:tab w:val="left" w:pos="426"/>
        </w:tabs>
        <w:spacing w:line="360" w:lineRule="auto"/>
        <w:ind w:left="567" w:right="426"/>
        <w:jc w:val="both"/>
        <w:rPr>
          <w:rFonts w:asciiTheme="minorHAnsi" w:hAnsiTheme="minorHAnsi" w:cstheme="minorHAnsi"/>
          <w:lang w:val="en-GB"/>
        </w:rPr>
      </w:pPr>
      <w:r w:rsidRPr="00153204">
        <w:rPr>
          <w:rFonts w:asciiTheme="minorHAnsi" w:hAnsiTheme="minorHAnsi" w:cstheme="minorHAnsi"/>
          <w:b/>
          <w:lang w:val="en-GB"/>
        </w:rPr>
        <w:t xml:space="preserve">Place: </w:t>
      </w:r>
      <w:proofErr w:type="spellStart"/>
      <w:r w:rsidRPr="00153204">
        <w:rPr>
          <w:rFonts w:asciiTheme="minorHAnsi" w:hAnsiTheme="minorHAnsi" w:cstheme="minorHAnsi"/>
          <w:lang w:val="en-GB"/>
        </w:rPr>
        <w:t>Balasore</w:t>
      </w:r>
      <w:proofErr w:type="spellEnd"/>
    </w:p>
    <w:p w14:paraId="34A03A7E" w14:textId="033A4ED2" w:rsidR="00E14069" w:rsidRPr="00627B2A" w:rsidRDefault="00F47C93" w:rsidP="00627B2A">
      <w:pPr>
        <w:pStyle w:val="ListParagraph"/>
        <w:tabs>
          <w:tab w:val="left" w:pos="426"/>
        </w:tabs>
        <w:spacing w:line="360" w:lineRule="auto"/>
        <w:ind w:left="567" w:right="426"/>
        <w:jc w:val="both"/>
        <w:rPr>
          <w:rFonts w:asciiTheme="minorHAnsi" w:hAnsiTheme="minorHAnsi" w:cstheme="minorHAnsi"/>
          <w:lang w:val="en-GB"/>
        </w:rPr>
      </w:pPr>
      <w:r w:rsidRPr="00627B2A">
        <w:rPr>
          <w:rFonts w:asciiTheme="minorHAnsi" w:hAnsiTheme="minorHAnsi" w:cstheme="minorHAnsi"/>
          <w:b/>
        </w:rPr>
        <w:t>Date</w:t>
      </w:r>
      <w:r w:rsidR="005B173E" w:rsidRPr="00627B2A">
        <w:rPr>
          <w:rFonts w:asciiTheme="minorHAnsi" w:hAnsiTheme="minorHAnsi" w:cstheme="minorHAnsi"/>
          <w:b/>
        </w:rPr>
        <w:t>:</w:t>
      </w:r>
      <w:r w:rsidR="00391149">
        <w:rPr>
          <w:rFonts w:asciiTheme="minorHAnsi" w:hAnsiTheme="minorHAnsi" w:cstheme="minorHAnsi"/>
          <w:b/>
        </w:rPr>
        <w:t xml:space="preserve"> 29.1</w:t>
      </w:r>
      <w:r w:rsidR="00BA59D1">
        <w:rPr>
          <w:rFonts w:asciiTheme="minorHAnsi" w:hAnsiTheme="minorHAnsi" w:cstheme="minorHAnsi"/>
          <w:b/>
        </w:rPr>
        <w:t>1</w:t>
      </w:r>
      <w:r w:rsidR="00391149">
        <w:rPr>
          <w:rFonts w:asciiTheme="minorHAnsi" w:hAnsiTheme="minorHAnsi" w:cstheme="minorHAnsi"/>
          <w:b/>
        </w:rPr>
        <w:t>.2024</w:t>
      </w:r>
      <w:r w:rsidR="0058333C" w:rsidRPr="00627B2A">
        <w:rPr>
          <w:rFonts w:asciiTheme="minorHAnsi" w:hAnsiTheme="minorHAnsi" w:cstheme="minorHAnsi"/>
          <w:b/>
        </w:rPr>
        <w:t xml:space="preserve">               </w:t>
      </w:r>
      <w:r w:rsidR="005B173E" w:rsidRPr="00627B2A">
        <w:rPr>
          <w:rFonts w:asciiTheme="minorHAnsi" w:hAnsiTheme="minorHAnsi" w:cstheme="minorHAnsi"/>
        </w:rPr>
        <w:tab/>
      </w:r>
      <w:r w:rsidR="005B173E" w:rsidRPr="00627B2A">
        <w:rPr>
          <w:rFonts w:asciiTheme="minorHAnsi" w:hAnsiTheme="minorHAnsi" w:cstheme="minorHAnsi"/>
        </w:rPr>
        <w:tab/>
      </w:r>
      <w:r w:rsidR="005B173E" w:rsidRPr="00627B2A">
        <w:rPr>
          <w:rFonts w:asciiTheme="minorHAnsi" w:hAnsiTheme="minorHAnsi" w:cstheme="minorHAnsi"/>
        </w:rPr>
        <w:tab/>
      </w:r>
      <w:r w:rsidR="005B173E" w:rsidRPr="00627B2A">
        <w:rPr>
          <w:rFonts w:asciiTheme="minorHAnsi" w:hAnsiTheme="minorHAnsi" w:cstheme="minorHAnsi"/>
        </w:rPr>
        <w:tab/>
      </w:r>
      <w:r w:rsidR="005E571B" w:rsidRPr="00627B2A">
        <w:rPr>
          <w:rFonts w:asciiTheme="minorHAnsi" w:hAnsiTheme="minorHAnsi" w:cstheme="minorHAnsi"/>
        </w:rPr>
        <w:t xml:space="preserve">                              </w:t>
      </w:r>
      <w:r w:rsidR="00E35182" w:rsidRPr="00627B2A">
        <w:rPr>
          <w:rFonts w:asciiTheme="minorHAnsi" w:hAnsiTheme="minorHAnsi" w:cstheme="minorHAnsi"/>
        </w:rPr>
        <w:t xml:space="preserve">          </w:t>
      </w:r>
      <w:r w:rsidR="00627B2A">
        <w:rPr>
          <w:rFonts w:asciiTheme="minorHAnsi" w:hAnsiTheme="minorHAnsi" w:cstheme="minorHAnsi"/>
        </w:rPr>
        <w:t xml:space="preserve">                   </w:t>
      </w:r>
      <w:r w:rsidR="005E571B" w:rsidRPr="00627B2A">
        <w:rPr>
          <w:rFonts w:asciiTheme="minorHAnsi" w:hAnsiTheme="minorHAnsi" w:cstheme="minorHAnsi"/>
        </w:rPr>
        <w:t xml:space="preserve"> </w:t>
      </w:r>
      <w:r w:rsidR="005B173E" w:rsidRPr="00627B2A">
        <w:rPr>
          <w:rFonts w:asciiTheme="minorHAnsi" w:hAnsiTheme="minorHAnsi" w:cstheme="minorHAnsi"/>
          <w:b/>
        </w:rPr>
        <w:t>DEPONENT</w:t>
      </w:r>
    </w:p>
    <w:p w14:paraId="2EA22E47" w14:textId="6AE43201" w:rsidR="00E71523" w:rsidRPr="00153204" w:rsidRDefault="00E71523" w:rsidP="002334A3">
      <w:pPr>
        <w:autoSpaceDE w:val="0"/>
        <w:autoSpaceDN w:val="0"/>
        <w:adjustRightInd w:val="0"/>
        <w:spacing w:line="360" w:lineRule="auto"/>
        <w:ind w:left="567"/>
        <w:jc w:val="both"/>
        <w:rPr>
          <w:rFonts w:asciiTheme="minorHAnsi" w:hAnsiTheme="minorHAnsi" w:cstheme="minorHAnsi"/>
          <w:b/>
          <w:sz w:val="22"/>
          <w:szCs w:val="22"/>
        </w:rPr>
      </w:pPr>
    </w:p>
    <w:p w14:paraId="68B8AF95" w14:textId="664A9587" w:rsidR="00BD5055" w:rsidRPr="00153204" w:rsidRDefault="00BD5055" w:rsidP="00BD5055">
      <w:pPr>
        <w:autoSpaceDE w:val="0"/>
        <w:autoSpaceDN w:val="0"/>
        <w:adjustRightInd w:val="0"/>
        <w:spacing w:line="360" w:lineRule="auto"/>
        <w:ind w:left="567"/>
        <w:jc w:val="both"/>
        <w:rPr>
          <w:rFonts w:asciiTheme="minorHAnsi" w:hAnsiTheme="minorHAnsi" w:cstheme="minorHAnsi"/>
          <w:sz w:val="22"/>
          <w:szCs w:val="22"/>
        </w:rPr>
      </w:pPr>
      <w:r w:rsidRPr="00153204">
        <w:rPr>
          <w:rFonts w:asciiTheme="minorHAnsi" w:hAnsiTheme="minorHAnsi" w:cstheme="minorHAnsi"/>
          <w:noProof/>
          <w:sz w:val="22"/>
          <w:szCs w:val="22"/>
          <w:lang w:val="en-IN" w:eastAsia="en-IN"/>
        </w:rPr>
        <mc:AlternateContent>
          <mc:Choice Requires="wps">
            <w:drawing>
              <wp:anchor distT="0" distB="0" distL="114300" distR="114300" simplePos="0" relativeHeight="251645952" behindDoc="0" locked="0" layoutInCell="1" allowOverlap="1" wp14:anchorId="34A04A2B" wp14:editId="79C4A55B">
                <wp:simplePos x="0" y="0"/>
                <wp:positionH relativeFrom="margin">
                  <wp:posOffset>236840</wp:posOffset>
                </wp:positionH>
                <wp:positionV relativeFrom="paragraph">
                  <wp:posOffset>-108511</wp:posOffset>
                </wp:positionV>
                <wp:extent cx="5667154" cy="353695"/>
                <wp:effectExtent l="0" t="0" r="10160" b="27305"/>
                <wp:wrapNone/>
                <wp:docPr id="27" name="Rectangle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667154" cy="353695"/>
                        </a:xfrm>
                        <a:prstGeom prst="rect">
                          <a:avLst/>
                        </a:prstGeom>
                        <a:solidFill>
                          <a:schemeClr val="tx2">
                            <a:lumMod val="20000"/>
                            <a:lumOff val="80000"/>
                          </a:schemeClr>
                        </a:solidFill>
                        <a:ln w="9525">
                          <a:solidFill>
                            <a:srgbClr val="000000"/>
                          </a:solidFill>
                          <a:miter lim="800000"/>
                          <a:headEnd/>
                          <a:tailEnd/>
                        </a:ln>
                      </wps:spPr>
                      <wps:txbx>
                        <w:txbxContent>
                          <w:p w14:paraId="34A04A5C" w14:textId="77777777" w:rsidR="00535B24" w:rsidRPr="00E560A3" w:rsidRDefault="00535B24">
                            <w:pPr>
                              <w:rPr>
                                <w:rFonts w:asciiTheme="minorHAnsi" w:hAnsiTheme="minorHAnsi" w:cstheme="minorHAnsi"/>
                                <w:b/>
                                <w:sz w:val="28"/>
                                <w:szCs w:val="28"/>
                                <w:lang w:val="en-IN"/>
                              </w:rPr>
                            </w:pPr>
                            <w:r w:rsidRPr="00E560A3">
                              <w:rPr>
                                <w:rFonts w:asciiTheme="minorHAnsi" w:hAnsiTheme="minorHAnsi" w:cstheme="minorHAnsi"/>
                                <w:b/>
                                <w:sz w:val="28"/>
                                <w:szCs w:val="28"/>
                                <w:lang w:val="en-IN"/>
                              </w:rPr>
                              <w:t xml:space="preserve">1. Executive Summary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4A04A2B" id="Rectangle 2" o:spid="_x0000_s1026" style="position:absolute;left:0;text-align:left;margin-left:18.65pt;margin-top:-8.55pt;width:446.25pt;height:27.85pt;z-index:25164595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" fillcolor="#c6d9f1 [671]">
                <v:textbox>
                  <w:txbxContent>
                    <w:p w14:paraId="34A04A5C" w14:textId="77777777" w:rsidR="00535B24" w:rsidRPr="00E560A3" w:rsidRDefault="00535B24">
                      <w:pPr>
                        <w:rPr>
                          <w:rFonts w:asciiTheme="minorHAnsi" w:hAnsiTheme="minorHAnsi" w:cstheme="minorHAnsi"/>
                          <w:b/>
                          <w:sz w:val="28"/>
                          <w:szCs w:val="28"/>
                          <w:lang w:val="en-IN"/>
                        </w:rPr>
                      </w:pPr>
                      <w:r w:rsidRPr="00E560A3">
                        <w:rPr>
                          <w:rFonts w:asciiTheme="minorHAnsi" w:hAnsiTheme="minorHAnsi" w:cstheme="minorHAnsi"/>
                          <w:b/>
                          <w:sz w:val="28"/>
                          <w:szCs w:val="28"/>
                          <w:lang w:val="en-IN"/>
                        </w:rPr>
                        <w:t xml:space="preserve">1. Executive Summary </w:t>
                      </w:r>
                    </w:p>
                  </w:txbxContent>
                </v:textbox>
                <w10:wrap anchorx="margin"/>
              </v:rect>
            </w:pict>
          </mc:Fallback>
        </mc:AlternateContent>
      </w:r>
      <w:r w:rsidR="00C04372" w:rsidRPr="00153204">
        <w:rPr>
          <w:rFonts w:asciiTheme="minorHAnsi" w:hAnsiTheme="minorHAnsi" w:cstheme="minorHAnsi"/>
          <w:sz w:val="22"/>
          <w:szCs w:val="22"/>
        </w:rPr>
        <w:tab/>
      </w:r>
      <w:r w:rsidR="00912E72" w:rsidRPr="00153204">
        <w:rPr>
          <w:rFonts w:asciiTheme="minorHAnsi" w:hAnsiTheme="minorHAnsi" w:cstheme="minorHAnsi"/>
          <w:sz w:val="22"/>
          <w:szCs w:val="22"/>
        </w:rPr>
        <w:tab/>
      </w:r>
    </w:p>
    <w:p w14:paraId="5AB9467A" w14:textId="66AA210E" w:rsidR="006F122F" w:rsidRPr="00153204" w:rsidRDefault="008004C9" w:rsidP="00BD5055">
      <w:pPr>
        <w:autoSpaceDE w:val="0"/>
        <w:autoSpaceDN w:val="0"/>
        <w:adjustRightInd w:val="0"/>
        <w:spacing w:line="360" w:lineRule="auto"/>
        <w:ind w:left="567"/>
        <w:jc w:val="both"/>
        <w:rPr>
          <w:rFonts w:asciiTheme="minorHAnsi" w:hAnsiTheme="minorHAnsi" w:cstheme="minorHAnsi"/>
          <w:sz w:val="22"/>
          <w:szCs w:val="22"/>
        </w:rPr>
      </w:pPr>
      <w:r w:rsidRPr="00153204">
        <w:rPr>
          <w:rFonts w:asciiTheme="minorHAnsi" w:hAnsiTheme="minorHAnsi" w:cstheme="minorHAnsi"/>
          <w:sz w:val="22"/>
          <w:szCs w:val="22"/>
        </w:rPr>
        <w:tab/>
      </w:r>
      <w:r w:rsidR="008E483D" w:rsidRPr="00153204">
        <w:rPr>
          <w:rFonts w:asciiTheme="minorHAnsi" w:hAnsiTheme="minorHAnsi" w:cstheme="minorHAnsi"/>
          <w:sz w:val="22"/>
          <w:szCs w:val="22"/>
        </w:rPr>
        <w:tab/>
      </w:r>
    </w:p>
    <w:p w14:paraId="34A03B9E" w14:textId="542910E5" w:rsidR="00BD2394" w:rsidRPr="00153204" w:rsidRDefault="00E35AD9" w:rsidP="002334A3">
      <w:pPr>
        <w:pStyle w:val="ARR-normalbody"/>
        <w:rPr>
          <w:b w:val="0"/>
          <w:sz w:val="22"/>
          <w:szCs w:val="22"/>
        </w:rPr>
      </w:pPr>
      <w:r w:rsidRPr="00153204">
        <w:rPr>
          <w:b w:val="0"/>
          <w:sz w:val="22"/>
          <w:szCs w:val="22"/>
        </w:rPr>
        <w:t xml:space="preserve">TP Northern </w:t>
      </w:r>
      <w:r w:rsidR="001373B6" w:rsidRPr="00153204">
        <w:rPr>
          <w:b w:val="0"/>
          <w:sz w:val="22"/>
          <w:szCs w:val="22"/>
        </w:rPr>
        <w:t>Odisha Distribution Limited (TPNODL)</w:t>
      </w:r>
      <w:r w:rsidR="0041024A" w:rsidRPr="00153204">
        <w:rPr>
          <w:b w:val="0"/>
          <w:sz w:val="22"/>
          <w:szCs w:val="22"/>
        </w:rPr>
        <w:t xml:space="preserve"> has been </w:t>
      </w:r>
      <w:r w:rsidR="001373B6" w:rsidRPr="00153204">
        <w:rPr>
          <w:b w:val="0"/>
          <w:sz w:val="22"/>
          <w:szCs w:val="22"/>
        </w:rPr>
        <w:t xml:space="preserve">incorporated as a joint venture of </w:t>
      </w:r>
      <w:r w:rsidRPr="00153204">
        <w:rPr>
          <w:b w:val="0"/>
          <w:sz w:val="22"/>
          <w:szCs w:val="22"/>
        </w:rPr>
        <w:t>t</w:t>
      </w:r>
      <w:r w:rsidR="001373B6" w:rsidRPr="00153204">
        <w:rPr>
          <w:b w:val="0"/>
          <w:sz w:val="22"/>
          <w:szCs w:val="22"/>
        </w:rPr>
        <w:t>he Tata Power Company</w:t>
      </w:r>
      <w:r w:rsidR="000D408B" w:rsidRPr="00153204">
        <w:rPr>
          <w:b w:val="0"/>
          <w:sz w:val="22"/>
          <w:szCs w:val="22"/>
        </w:rPr>
        <w:t xml:space="preserve"> </w:t>
      </w:r>
      <w:r w:rsidR="00B5785F" w:rsidRPr="00153204">
        <w:rPr>
          <w:b w:val="0"/>
          <w:sz w:val="22"/>
          <w:szCs w:val="22"/>
        </w:rPr>
        <w:t>Limited (</w:t>
      </w:r>
      <w:r w:rsidR="001373B6" w:rsidRPr="00153204">
        <w:rPr>
          <w:b w:val="0"/>
          <w:sz w:val="22"/>
          <w:szCs w:val="22"/>
        </w:rPr>
        <w:t>51%) and Odisha Government (49%) on the Public-Private Partnership (PPP) mo</w:t>
      </w:r>
      <w:r w:rsidR="005B31FF">
        <w:rPr>
          <w:b w:val="0"/>
          <w:sz w:val="22"/>
          <w:szCs w:val="22"/>
        </w:rPr>
        <w:t>del. TPNODL took over the licenc</w:t>
      </w:r>
      <w:r w:rsidR="001373B6" w:rsidRPr="00153204">
        <w:rPr>
          <w:b w:val="0"/>
          <w:sz w:val="22"/>
          <w:szCs w:val="22"/>
        </w:rPr>
        <w:t xml:space="preserve">e to distribute electricity in the </w:t>
      </w:r>
      <w:r w:rsidR="0041024A" w:rsidRPr="00153204">
        <w:rPr>
          <w:b w:val="0"/>
          <w:sz w:val="22"/>
          <w:szCs w:val="22"/>
        </w:rPr>
        <w:t xml:space="preserve">five districts </w:t>
      </w:r>
      <w:proofErr w:type="spellStart"/>
      <w:r w:rsidR="0041024A" w:rsidRPr="00153204">
        <w:rPr>
          <w:b w:val="0"/>
          <w:sz w:val="22"/>
          <w:szCs w:val="22"/>
        </w:rPr>
        <w:t>Balasore</w:t>
      </w:r>
      <w:proofErr w:type="spellEnd"/>
      <w:r w:rsidR="0041024A" w:rsidRPr="00153204">
        <w:rPr>
          <w:b w:val="0"/>
          <w:sz w:val="22"/>
          <w:szCs w:val="22"/>
        </w:rPr>
        <w:t xml:space="preserve">, Mayurbhanj, </w:t>
      </w:r>
      <w:proofErr w:type="spellStart"/>
      <w:r w:rsidR="0041024A" w:rsidRPr="00153204">
        <w:rPr>
          <w:b w:val="0"/>
          <w:sz w:val="22"/>
          <w:szCs w:val="22"/>
        </w:rPr>
        <w:t>Bhadrak</w:t>
      </w:r>
      <w:proofErr w:type="spellEnd"/>
      <w:r w:rsidR="0041024A" w:rsidRPr="00153204">
        <w:rPr>
          <w:b w:val="0"/>
          <w:sz w:val="22"/>
          <w:szCs w:val="22"/>
        </w:rPr>
        <w:t xml:space="preserve">, </w:t>
      </w:r>
      <w:proofErr w:type="spellStart"/>
      <w:r w:rsidR="0041024A" w:rsidRPr="00153204">
        <w:rPr>
          <w:b w:val="0"/>
          <w:sz w:val="22"/>
          <w:szCs w:val="22"/>
        </w:rPr>
        <w:t>Keonjhar</w:t>
      </w:r>
      <w:proofErr w:type="spellEnd"/>
      <w:r w:rsidR="0041024A" w:rsidRPr="00153204">
        <w:rPr>
          <w:b w:val="0"/>
          <w:sz w:val="22"/>
          <w:szCs w:val="22"/>
        </w:rPr>
        <w:t xml:space="preserve"> and </w:t>
      </w:r>
      <w:proofErr w:type="spellStart"/>
      <w:r w:rsidR="0041024A" w:rsidRPr="00153204">
        <w:rPr>
          <w:b w:val="0"/>
          <w:sz w:val="22"/>
          <w:szCs w:val="22"/>
        </w:rPr>
        <w:t>Jajpur</w:t>
      </w:r>
      <w:proofErr w:type="spellEnd"/>
      <w:r w:rsidR="0041024A" w:rsidRPr="00153204">
        <w:rPr>
          <w:b w:val="0"/>
          <w:sz w:val="22"/>
          <w:szCs w:val="22"/>
        </w:rPr>
        <w:t xml:space="preserve"> districts of </w:t>
      </w:r>
      <w:r w:rsidR="001373B6" w:rsidRPr="00153204">
        <w:rPr>
          <w:b w:val="0"/>
          <w:sz w:val="22"/>
          <w:szCs w:val="22"/>
        </w:rPr>
        <w:t>norther</w:t>
      </w:r>
      <w:r w:rsidR="005B31FF">
        <w:rPr>
          <w:b w:val="0"/>
          <w:sz w:val="22"/>
          <w:szCs w:val="22"/>
        </w:rPr>
        <w:t>n Odisha, which were</w:t>
      </w:r>
      <w:r w:rsidR="001373B6" w:rsidRPr="00153204">
        <w:rPr>
          <w:b w:val="0"/>
          <w:sz w:val="22"/>
          <w:szCs w:val="22"/>
        </w:rPr>
        <w:t xml:space="preserve"> earlier served by erstwhile NESCO</w:t>
      </w:r>
      <w:r w:rsidRPr="00153204">
        <w:rPr>
          <w:b w:val="0"/>
          <w:sz w:val="22"/>
          <w:szCs w:val="22"/>
        </w:rPr>
        <w:t xml:space="preserve"> Utility</w:t>
      </w:r>
      <w:r w:rsidR="001373B6" w:rsidRPr="00153204">
        <w:rPr>
          <w:b w:val="0"/>
          <w:sz w:val="22"/>
          <w:szCs w:val="22"/>
        </w:rPr>
        <w:t>, through a competitive bidding process. The business of TPNODL shall be gove</w:t>
      </w:r>
      <w:r w:rsidR="005B31FF">
        <w:rPr>
          <w:b w:val="0"/>
          <w:sz w:val="22"/>
          <w:szCs w:val="22"/>
        </w:rPr>
        <w:t>rned by the provisions of licenc</w:t>
      </w:r>
      <w:r w:rsidR="001373B6" w:rsidRPr="00153204">
        <w:rPr>
          <w:b w:val="0"/>
          <w:sz w:val="22"/>
          <w:szCs w:val="22"/>
        </w:rPr>
        <w:t xml:space="preserve">e issued by Hon’ble Odisha Electricity Regulatory Commission (OERC) </w:t>
      </w:r>
      <w:r w:rsidR="0041024A" w:rsidRPr="00153204">
        <w:rPr>
          <w:b w:val="0"/>
          <w:sz w:val="22"/>
          <w:szCs w:val="22"/>
        </w:rPr>
        <w:t>vide Order No-OERC/</w:t>
      </w:r>
      <w:proofErr w:type="spellStart"/>
      <w:r w:rsidR="0041024A" w:rsidRPr="00153204">
        <w:rPr>
          <w:b w:val="0"/>
          <w:sz w:val="22"/>
          <w:szCs w:val="22"/>
        </w:rPr>
        <w:t>Engg</w:t>
      </w:r>
      <w:proofErr w:type="spellEnd"/>
      <w:r w:rsidR="0041024A" w:rsidRPr="00153204">
        <w:rPr>
          <w:b w:val="0"/>
          <w:sz w:val="22"/>
          <w:szCs w:val="22"/>
        </w:rPr>
        <w:t xml:space="preserve">/06/2021/718 dated 29.06.2021 </w:t>
      </w:r>
      <w:r w:rsidR="001373B6" w:rsidRPr="00153204">
        <w:rPr>
          <w:b w:val="0"/>
          <w:sz w:val="22"/>
          <w:szCs w:val="22"/>
        </w:rPr>
        <w:t xml:space="preserve">for distribution and retail supply of electricity in North Odisha. </w:t>
      </w:r>
    </w:p>
    <w:p w14:paraId="34A03B9F" w14:textId="3B4361B2" w:rsidR="00AC4EC1" w:rsidRPr="00153204" w:rsidRDefault="00AC4EC1" w:rsidP="002334A3">
      <w:pPr>
        <w:pStyle w:val="ARR-normalbody"/>
        <w:rPr>
          <w:b w:val="0"/>
          <w:sz w:val="22"/>
          <w:szCs w:val="22"/>
        </w:rPr>
      </w:pPr>
      <w:r w:rsidRPr="00153204">
        <w:rPr>
          <w:b w:val="0"/>
          <w:sz w:val="22"/>
          <w:szCs w:val="22"/>
        </w:rPr>
        <w:t>This</w:t>
      </w:r>
      <w:r w:rsidR="002334A3" w:rsidRPr="00153204">
        <w:rPr>
          <w:b w:val="0"/>
          <w:sz w:val="22"/>
          <w:szCs w:val="22"/>
        </w:rPr>
        <w:t xml:space="preserve"> </w:t>
      </w:r>
      <w:r w:rsidRPr="00153204">
        <w:rPr>
          <w:b w:val="0"/>
          <w:sz w:val="22"/>
          <w:szCs w:val="22"/>
        </w:rPr>
        <w:t>submission is made by TPNODL before the Hon</w:t>
      </w:r>
      <w:r w:rsidR="0041024A" w:rsidRPr="00153204">
        <w:rPr>
          <w:b w:val="0"/>
          <w:sz w:val="22"/>
          <w:szCs w:val="22"/>
        </w:rPr>
        <w:t>’</w:t>
      </w:r>
      <w:r w:rsidRPr="00153204">
        <w:rPr>
          <w:b w:val="0"/>
          <w:sz w:val="22"/>
          <w:szCs w:val="22"/>
        </w:rPr>
        <w:t xml:space="preserve">ble Commission </w:t>
      </w:r>
      <w:r w:rsidR="006D1BF5" w:rsidRPr="00153204">
        <w:rPr>
          <w:b w:val="0"/>
          <w:sz w:val="22"/>
          <w:szCs w:val="22"/>
        </w:rPr>
        <w:t xml:space="preserve">in conformity with the OERC (Terms and Conditions for Determination of Wheeling Tariff and Retail Supply Tariff) Regulations, 2022 </w:t>
      </w:r>
      <w:r w:rsidRPr="00153204">
        <w:rPr>
          <w:b w:val="0"/>
          <w:sz w:val="22"/>
          <w:szCs w:val="22"/>
        </w:rPr>
        <w:t>for the determination of Aggregate Annual Revenue Requirement and Retail Supply Tariff for the Financial Year 202</w:t>
      </w:r>
      <w:r w:rsidR="00C83596">
        <w:rPr>
          <w:b w:val="0"/>
          <w:sz w:val="22"/>
          <w:szCs w:val="22"/>
        </w:rPr>
        <w:t>5</w:t>
      </w:r>
      <w:r w:rsidR="00F5584A" w:rsidRPr="00153204">
        <w:rPr>
          <w:b w:val="0"/>
          <w:sz w:val="22"/>
          <w:szCs w:val="22"/>
        </w:rPr>
        <w:t>-2</w:t>
      </w:r>
      <w:r w:rsidR="00C83596">
        <w:rPr>
          <w:b w:val="0"/>
          <w:sz w:val="22"/>
          <w:szCs w:val="22"/>
        </w:rPr>
        <w:t>6</w:t>
      </w:r>
      <w:r w:rsidRPr="00153204">
        <w:rPr>
          <w:b w:val="0"/>
          <w:sz w:val="22"/>
          <w:szCs w:val="22"/>
        </w:rPr>
        <w:t xml:space="preserve">. </w:t>
      </w:r>
    </w:p>
    <w:p w14:paraId="34A03BA0" w14:textId="77777777" w:rsidR="00BD2394" w:rsidRPr="00153204" w:rsidRDefault="008004C9" w:rsidP="002334A3">
      <w:pPr>
        <w:pStyle w:val="ARR-normalbody"/>
        <w:rPr>
          <w:sz w:val="22"/>
          <w:szCs w:val="22"/>
        </w:rPr>
      </w:pPr>
      <w:r w:rsidRPr="00153204">
        <w:rPr>
          <w:sz w:val="22"/>
          <w:szCs w:val="22"/>
        </w:rPr>
        <w:t xml:space="preserve">1.1 </w:t>
      </w:r>
      <w:r w:rsidR="0026690F" w:rsidRPr="00153204">
        <w:rPr>
          <w:sz w:val="22"/>
          <w:szCs w:val="22"/>
        </w:rPr>
        <w:t xml:space="preserve">Background </w:t>
      </w:r>
    </w:p>
    <w:p w14:paraId="34A03BA1" w14:textId="375CA041" w:rsidR="00BD2394" w:rsidRPr="00153204" w:rsidRDefault="004E1503" w:rsidP="002334A3">
      <w:pPr>
        <w:tabs>
          <w:tab w:val="num" w:pos="567"/>
        </w:tabs>
        <w:autoSpaceDE w:val="0"/>
        <w:autoSpaceDN w:val="0"/>
        <w:adjustRightInd w:val="0"/>
        <w:spacing w:line="360" w:lineRule="auto"/>
        <w:ind w:left="567"/>
        <w:jc w:val="both"/>
        <w:rPr>
          <w:rFonts w:asciiTheme="minorHAnsi" w:hAnsiTheme="minorHAnsi" w:cstheme="minorHAnsi"/>
          <w:sz w:val="22"/>
          <w:szCs w:val="22"/>
          <w:lang w:eastAsia="en-IN" w:bidi="or-IN"/>
        </w:rPr>
      </w:pPr>
      <w:r w:rsidRPr="00153204">
        <w:rPr>
          <w:rFonts w:asciiTheme="minorHAnsi" w:hAnsiTheme="minorHAnsi" w:cstheme="minorHAnsi"/>
          <w:sz w:val="22"/>
          <w:szCs w:val="22"/>
          <w:lang w:eastAsia="en-IN" w:bidi="or-IN"/>
        </w:rPr>
        <w:t xml:space="preserve">Hon’ble </w:t>
      </w:r>
      <w:r w:rsidR="00A35221" w:rsidRPr="00153204">
        <w:rPr>
          <w:rFonts w:asciiTheme="minorHAnsi" w:hAnsiTheme="minorHAnsi" w:cstheme="minorHAnsi"/>
          <w:sz w:val="22"/>
          <w:szCs w:val="22"/>
          <w:lang w:eastAsia="en-IN" w:bidi="or-IN"/>
        </w:rPr>
        <w:t>OERC vide</w:t>
      </w:r>
      <w:r w:rsidR="00BD2394" w:rsidRPr="00153204">
        <w:rPr>
          <w:rFonts w:asciiTheme="minorHAnsi" w:hAnsiTheme="minorHAnsi" w:cstheme="minorHAnsi"/>
          <w:sz w:val="22"/>
          <w:szCs w:val="22"/>
          <w:lang w:eastAsia="en-IN" w:bidi="or-IN"/>
        </w:rPr>
        <w:t xml:space="preserve"> its order dated 31.03.1999 passed in Case No.24/98 under the provisions of the Orissa Electricity Reform Act, 1995, had issued </w:t>
      </w:r>
      <w:proofErr w:type="spellStart"/>
      <w:r w:rsidR="00BD2394" w:rsidRPr="00153204">
        <w:rPr>
          <w:rFonts w:asciiTheme="minorHAnsi" w:hAnsiTheme="minorHAnsi" w:cstheme="minorHAnsi"/>
          <w:sz w:val="22"/>
          <w:szCs w:val="22"/>
          <w:lang w:eastAsia="en-IN" w:bidi="or-IN"/>
        </w:rPr>
        <w:t>Licence</w:t>
      </w:r>
      <w:proofErr w:type="spellEnd"/>
      <w:r w:rsidR="00BD2394" w:rsidRPr="00153204">
        <w:rPr>
          <w:rFonts w:asciiTheme="minorHAnsi" w:hAnsiTheme="minorHAnsi" w:cstheme="minorHAnsi"/>
          <w:sz w:val="22"/>
          <w:szCs w:val="22"/>
          <w:lang w:eastAsia="en-IN" w:bidi="or-IN"/>
        </w:rPr>
        <w:t xml:space="preserve"> to North Eastern Electricity Supply Company of Orissa Ltd (the “</w:t>
      </w:r>
      <w:r w:rsidR="00BD2394" w:rsidRPr="00153204">
        <w:rPr>
          <w:rFonts w:asciiTheme="minorHAnsi" w:hAnsiTheme="minorHAnsi" w:cstheme="minorHAnsi"/>
          <w:b/>
          <w:bCs/>
          <w:sz w:val="22"/>
          <w:szCs w:val="22"/>
          <w:lang w:eastAsia="en-IN" w:bidi="or-IN"/>
        </w:rPr>
        <w:t>NESCO</w:t>
      </w:r>
      <w:r w:rsidR="00BD2394" w:rsidRPr="00153204">
        <w:rPr>
          <w:rFonts w:asciiTheme="minorHAnsi" w:hAnsiTheme="minorHAnsi" w:cstheme="minorHAnsi"/>
          <w:sz w:val="22"/>
          <w:szCs w:val="22"/>
          <w:lang w:eastAsia="en-IN" w:bidi="or-IN"/>
        </w:rPr>
        <w:t xml:space="preserve">”), </w:t>
      </w:r>
      <w:proofErr w:type="spellStart"/>
      <w:r w:rsidR="00BD2394" w:rsidRPr="00153204">
        <w:rPr>
          <w:rFonts w:asciiTheme="minorHAnsi" w:hAnsiTheme="minorHAnsi" w:cstheme="minorHAnsi"/>
          <w:sz w:val="22"/>
          <w:szCs w:val="22"/>
          <w:lang w:eastAsia="en-IN" w:bidi="or-IN"/>
        </w:rPr>
        <w:t>Januganj</w:t>
      </w:r>
      <w:proofErr w:type="spellEnd"/>
      <w:r w:rsidR="00BD2394" w:rsidRPr="00153204">
        <w:rPr>
          <w:rFonts w:asciiTheme="minorHAnsi" w:hAnsiTheme="minorHAnsi" w:cstheme="minorHAnsi"/>
          <w:sz w:val="22"/>
          <w:szCs w:val="22"/>
          <w:lang w:eastAsia="en-IN" w:bidi="or-IN"/>
        </w:rPr>
        <w:t xml:space="preserve">, </w:t>
      </w:r>
      <w:proofErr w:type="spellStart"/>
      <w:r w:rsidR="00BD2394" w:rsidRPr="00153204">
        <w:rPr>
          <w:rFonts w:asciiTheme="minorHAnsi" w:hAnsiTheme="minorHAnsi" w:cstheme="minorHAnsi"/>
          <w:sz w:val="22"/>
          <w:szCs w:val="22"/>
          <w:lang w:eastAsia="en-IN" w:bidi="or-IN"/>
        </w:rPr>
        <w:t>Balasore</w:t>
      </w:r>
      <w:proofErr w:type="spellEnd"/>
      <w:r w:rsidR="00BD2394" w:rsidRPr="00153204">
        <w:rPr>
          <w:rFonts w:asciiTheme="minorHAnsi" w:hAnsiTheme="minorHAnsi" w:cstheme="minorHAnsi"/>
          <w:sz w:val="22"/>
          <w:szCs w:val="22"/>
          <w:lang w:eastAsia="en-IN" w:bidi="or-IN"/>
        </w:rPr>
        <w:t xml:space="preserve">- 756019, Orissa to carry out the business of Distribution &amp; Retail Supply in the areas of supply as mentioned in their </w:t>
      </w:r>
      <w:proofErr w:type="spellStart"/>
      <w:r w:rsidR="00BD2394" w:rsidRPr="00153204">
        <w:rPr>
          <w:rFonts w:asciiTheme="minorHAnsi" w:hAnsiTheme="minorHAnsi" w:cstheme="minorHAnsi"/>
          <w:sz w:val="22"/>
          <w:szCs w:val="22"/>
          <w:lang w:eastAsia="en-IN" w:bidi="or-IN"/>
        </w:rPr>
        <w:t>licence</w:t>
      </w:r>
      <w:proofErr w:type="spellEnd"/>
      <w:r w:rsidR="00BD2394" w:rsidRPr="00153204">
        <w:rPr>
          <w:rFonts w:asciiTheme="minorHAnsi" w:hAnsiTheme="minorHAnsi" w:cstheme="minorHAnsi"/>
          <w:sz w:val="22"/>
          <w:szCs w:val="22"/>
          <w:lang w:eastAsia="en-IN" w:bidi="or-IN"/>
        </w:rPr>
        <w:t xml:space="preserve"> No 3/99. Under the said </w:t>
      </w:r>
      <w:proofErr w:type="spellStart"/>
      <w:r w:rsidR="00BD2394" w:rsidRPr="00153204">
        <w:rPr>
          <w:rFonts w:asciiTheme="minorHAnsi" w:hAnsiTheme="minorHAnsi" w:cstheme="minorHAnsi"/>
          <w:sz w:val="22"/>
          <w:szCs w:val="22"/>
          <w:lang w:eastAsia="en-IN" w:bidi="or-IN"/>
        </w:rPr>
        <w:t>Licence</w:t>
      </w:r>
      <w:proofErr w:type="spellEnd"/>
      <w:r w:rsidR="00BD2394" w:rsidRPr="00153204">
        <w:rPr>
          <w:rFonts w:asciiTheme="minorHAnsi" w:hAnsiTheme="minorHAnsi" w:cstheme="minorHAnsi"/>
          <w:sz w:val="22"/>
          <w:szCs w:val="22"/>
          <w:lang w:eastAsia="en-IN" w:bidi="or-IN"/>
        </w:rPr>
        <w:t>, NESCO carried out the Distribution and Retail Supply business as the Licensed Activities in its Area of Supply.</w:t>
      </w:r>
    </w:p>
    <w:p w14:paraId="34A03BA2" w14:textId="77777777" w:rsidR="00BD2394" w:rsidRPr="00153204" w:rsidRDefault="00BD2394" w:rsidP="002334A3">
      <w:pPr>
        <w:tabs>
          <w:tab w:val="num" w:pos="567"/>
        </w:tabs>
        <w:autoSpaceDE w:val="0"/>
        <w:autoSpaceDN w:val="0"/>
        <w:adjustRightInd w:val="0"/>
        <w:spacing w:line="360" w:lineRule="auto"/>
        <w:ind w:left="567"/>
        <w:jc w:val="both"/>
        <w:rPr>
          <w:rFonts w:asciiTheme="minorHAnsi" w:hAnsiTheme="minorHAnsi" w:cstheme="minorHAnsi"/>
          <w:sz w:val="22"/>
          <w:szCs w:val="22"/>
          <w:lang w:eastAsia="en-IN" w:bidi="or-IN"/>
        </w:rPr>
      </w:pPr>
    </w:p>
    <w:p w14:paraId="34A03BA3" w14:textId="77777777" w:rsidR="00BD2394" w:rsidRPr="00153204" w:rsidRDefault="008E483D" w:rsidP="00A35221">
      <w:pPr>
        <w:tabs>
          <w:tab w:val="num" w:pos="567"/>
        </w:tabs>
        <w:autoSpaceDE w:val="0"/>
        <w:autoSpaceDN w:val="0"/>
        <w:adjustRightInd w:val="0"/>
        <w:spacing w:line="360" w:lineRule="auto"/>
        <w:ind w:left="567" w:hanging="141"/>
        <w:jc w:val="both"/>
        <w:rPr>
          <w:rFonts w:asciiTheme="minorHAnsi" w:hAnsiTheme="minorHAnsi" w:cstheme="minorHAnsi"/>
          <w:sz w:val="22"/>
          <w:szCs w:val="22"/>
          <w:lang w:eastAsia="en-IN" w:bidi="or-IN"/>
        </w:rPr>
      </w:pPr>
      <w:r w:rsidRPr="00153204">
        <w:rPr>
          <w:rFonts w:asciiTheme="minorHAnsi" w:hAnsiTheme="minorHAnsi" w:cstheme="minorHAnsi"/>
          <w:sz w:val="22"/>
          <w:szCs w:val="22"/>
          <w:lang w:eastAsia="en-IN" w:bidi="or-IN"/>
        </w:rPr>
        <w:tab/>
      </w:r>
      <w:r w:rsidR="00BD2394" w:rsidRPr="00153204">
        <w:rPr>
          <w:rFonts w:asciiTheme="minorHAnsi" w:hAnsiTheme="minorHAnsi" w:cstheme="minorHAnsi"/>
          <w:sz w:val="22"/>
          <w:szCs w:val="22"/>
          <w:lang w:eastAsia="en-IN" w:bidi="or-IN"/>
        </w:rPr>
        <w:t>The Electricity Act, 2003 (the “</w:t>
      </w:r>
      <w:r w:rsidR="00BD2394" w:rsidRPr="00153204">
        <w:rPr>
          <w:rFonts w:asciiTheme="minorHAnsi" w:hAnsiTheme="minorHAnsi" w:cstheme="minorHAnsi"/>
          <w:b/>
          <w:bCs/>
          <w:sz w:val="22"/>
          <w:szCs w:val="22"/>
          <w:lang w:eastAsia="en-IN" w:bidi="or-IN"/>
        </w:rPr>
        <w:t>Act</w:t>
      </w:r>
      <w:r w:rsidR="00BD2394" w:rsidRPr="00153204">
        <w:rPr>
          <w:rFonts w:asciiTheme="minorHAnsi" w:hAnsiTheme="minorHAnsi" w:cstheme="minorHAnsi"/>
          <w:sz w:val="22"/>
          <w:szCs w:val="22"/>
          <w:lang w:eastAsia="en-IN" w:bidi="or-IN"/>
        </w:rPr>
        <w:t>”) came into force from 10th June 2003. Under Section 14 of the Act, any person engaged in the business of supply of electricity under the provisions of repealed laws or any Act specified in the Schedule on or before the appointed date shall be deemed to be a licensee under the Act. By virtue of this provision, NESCO became a Deemed Distribution Licensee for carrying out the Licensed Activity in its Area of Supply.</w:t>
      </w:r>
    </w:p>
    <w:p w14:paraId="34A03BA4" w14:textId="77777777" w:rsidR="00BD2394" w:rsidRPr="00153204" w:rsidRDefault="00BD2394" w:rsidP="002334A3">
      <w:pPr>
        <w:tabs>
          <w:tab w:val="num" w:pos="567"/>
        </w:tabs>
        <w:autoSpaceDE w:val="0"/>
        <w:autoSpaceDN w:val="0"/>
        <w:adjustRightInd w:val="0"/>
        <w:spacing w:line="360" w:lineRule="auto"/>
        <w:ind w:left="567"/>
        <w:jc w:val="both"/>
        <w:rPr>
          <w:rFonts w:asciiTheme="minorHAnsi" w:hAnsiTheme="minorHAnsi" w:cstheme="minorHAnsi"/>
          <w:sz w:val="22"/>
          <w:szCs w:val="22"/>
          <w:lang w:eastAsia="en-IN" w:bidi="or-IN"/>
        </w:rPr>
      </w:pPr>
    </w:p>
    <w:p w14:paraId="34A03BA7" w14:textId="50A8B7E5" w:rsidR="00BD2394" w:rsidRPr="00153204" w:rsidRDefault="00BD2394" w:rsidP="002334A3">
      <w:pPr>
        <w:autoSpaceDE w:val="0"/>
        <w:autoSpaceDN w:val="0"/>
        <w:adjustRightInd w:val="0"/>
        <w:spacing w:line="360" w:lineRule="auto"/>
        <w:ind w:left="567"/>
        <w:jc w:val="both"/>
        <w:rPr>
          <w:rFonts w:asciiTheme="minorHAnsi" w:hAnsiTheme="minorHAnsi" w:cstheme="minorHAnsi"/>
          <w:sz w:val="22"/>
          <w:szCs w:val="22"/>
          <w:lang w:eastAsia="en-IN" w:bidi="or-IN"/>
        </w:rPr>
      </w:pPr>
      <w:r w:rsidRPr="00153204">
        <w:rPr>
          <w:rFonts w:asciiTheme="minorHAnsi" w:hAnsiTheme="minorHAnsi" w:cstheme="minorHAnsi"/>
          <w:sz w:val="22"/>
          <w:szCs w:val="22"/>
          <w:lang w:eastAsia="en-IN" w:bidi="or-IN"/>
        </w:rPr>
        <w:t xml:space="preserve">Under Section 19 of the Electricity Act, 2003 (the “Act”), </w:t>
      </w:r>
      <w:r w:rsidR="004E1503" w:rsidRPr="00153204">
        <w:rPr>
          <w:rFonts w:asciiTheme="minorHAnsi" w:hAnsiTheme="minorHAnsi" w:cstheme="minorHAnsi"/>
          <w:sz w:val="22"/>
          <w:szCs w:val="22"/>
          <w:lang w:eastAsia="en-IN" w:bidi="or-IN"/>
        </w:rPr>
        <w:t>Hon’ble</w:t>
      </w:r>
      <w:r w:rsidRPr="00153204">
        <w:rPr>
          <w:rFonts w:asciiTheme="minorHAnsi" w:hAnsiTheme="minorHAnsi" w:cstheme="minorHAnsi"/>
          <w:sz w:val="22"/>
          <w:szCs w:val="22"/>
          <w:lang w:eastAsia="en-IN" w:bidi="or-IN"/>
        </w:rPr>
        <w:t xml:space="preserve"> Commission revoked license of NESCO with effect from Mar 2015 and appointed CMD, GRIDCO as the administrator under Section 20(d) of Act and vested the management and control of NESCO Utility along with their assets, interests and rights with the CMD, GRIDCO Limited. </w:t>
      </w:r>
    </w:p>
    <w:p w14:paraId="34A03BA8" w14:textId="77777777" w:rsidR="00BD2394" w:rsidRPr="00153204" w:rsidRDefault="00BD2394" w:rsidP="002334A3">
      <w:pPr>
        <w:autoSpaceDE w:val="0"/>
        <w:autoSpaceDN w:val="0"/>
        <w:adjustRightInd w:val="0"/>
        <w:spacing w:line="360" w:lineRule="auto"/>
        <w:ind w:left="567"/>
        <w:jc w:val="both"/>
        <w:rPr>
          <w:rFonts w:asciiTheme="minorHAnsi" w:hAnsiTheme="minorHAnsi" w:cstheme="minorHAnsi"/>
          <w:sz w:val="22"/>
          <w:szCs w:val="22"/>
          <w:lang w:eastAsia="en-IN" w:bidi="or-IN"/>
        </w:rPr>
      </w:pPr>
    </w:p>
    <w:p w14:paraId="34A03BA9" w14:textId="3E258821" w:rsidR="00BD2394" w:rsidRPr="00153204" w:rsidRDefault="00BD2394" w:rsidP="002334A3">
      <w:pPr>
        <w:autoSpaceDE w:val="0"/>
        <w:autoSpaceDN w:val="0"/>
        <w:adjustRightInd w:val="0"/>
        <w:spacing w:line="360" w:lineRule="auto"/>
        <w:ind w:left="567"/>
        <w:jc w:val="both"/>
        <w:rPr>
          <w:rFonts w:asciiTheme="minorHAnsi" w:hAnsiTheme="minorHAnsi" w:cstheme="minorHAnsi"/>
          <w:sz w:val="22"/>
          <w:szCs w:val="22"/>
          <w:lang w:eastAsia="en-IN" w:bidi="or-IN"/>
        </w:rPr>
      </w:pPr>
      <w:r w:rsidRPr="00153204">
        <w:rPr>
          <w:rFonts w:asciiTheme="minorHAnsi" w:hAnsiTheme="minorHAnsi" w:cstheme="minorHAnsi"/>
          <w:sz w:val="22"/>
          <w:szCs w:val="22"/>
          <w:lang w:eastAsia="en-IN" w:bidi="or-IN"/>
        </w:rPr>
        <w:t>In terms of Section 20 of Act</w:t>
      </w:r>
      <w:r w:rsidR="004E1503" w:rsidRPr="00153204">
        <w:rPr>
          <w:rFonts w:asciiTheme="minorHAnsi" w:hAnsiTheme="minorHAnsi" w:cstheme="minorHAnsi"/>
          <w:sz w:val="22"/>
          <w:szCs w:val="22"/>
          <w:lang w:eastAsia="en-IN" w:bidi="or-IN"/>
        </w:rPr>
        <w:t>,</w:t>
      </w:r>
      <w:r w:rsidRPr="00153204">
        <w:rPr>
          <w:rFonts w:asciiTheme="minorHAnsi" w:hAnsiTheme="minorHAnsi" w:cstheme="minorHAnsi"/>
          <w:sz w:val="22"/>
          <w:szCs w:val="22"/>
          <w:lang w:eastAsia="en-IN" w:bidi="or-IN"/>
        </w:rPr>
        <w:t xml:space="preserve"> </w:t>
      </w:r>
      <w:r w:rsidR="004E1503" w:rsidRPr="00153204">
        <w:rPr>
          <w:rFonts w:asciiTheme="minorHAnsi" w:hAnsiTheme="minorHAnsi" w:cstheme="minorHAnsi"/>
          <w:sz w:val="22"/>
          <w:szCs w:val="22"/>
          <w:lang w:eastAsia="en-IN" w:bidi="or-IN"/>
        </w:rPr>
        <w:t xml:space="preserve">Hon’ble </w:t>
      </w:r>
      <w:r w:rsidRPr="00153204">
        <w:rPr>
          <w:rFonts w:asciiTheme="minorHAnsi" w:hAnsiTheme="minorHAnsi" w:cstheme="minorHAnsi"/>
          <w:sz w:val="22"/>
          <w:szCs w:val="22"/>
          <w:lang w:eastAsia="en-IN" w:bidi="or-IN"/>
        </w:rPr>
        <w:t xml:space="preserve">Commission initiated a transparent and competitive bidding process for selection of an investor for sale of utility of NESCO (“NESCO Utility”) and had issued the updated Request for Proposal (the </w:t>
      </w:r>
      <w:r w:rsidRPr="00153204">
        <w:rPr>
          <w:rFonts w:asciiTheme="minorHAnsi" w:hAnsiTheme="minorHAnsi" w:cstheme="minorHAnsi"/>
          <w:b/>
          <w:bCs/>
          <w:sz w:val="22"/>
          <w:szCs w:val="22"/>
          <w:lang w:eastAsia="en-IN"/>
        </w:rPr>
        <w:t>“</w:t>
      </w:r>
      <w:r w:rsidRPr="00153204">
        <w:rPr>
          <w:rFonts w:asciiTheme="minorHAnsi" w:hAnsiTheme="minorHAnsi" w:cstheme="minorHAnsi"/>
          <w:b/>
          <w:bCs/>
          <w:sz w:val="22"/>
          <w:szCs w:val="22"/>
          <w:lang w:eastAsia="en-IN" w:bidi="or-IN"/>
        </w:rPr>
        <w:t>RFP</w:t>
      </w:r>
      <w:r w:rsidRPr="00153204">
        <w:rPr>
          <w:rFonts w:asciiTheme="minorHAnsi" w:hAnsiTheme="minorHAnsi" w:cstheme="minorHAnsi"/>
          <w:b/>
          <w:bCs/>
          <w:sz w:val="22"/>
          <w:szCs w:val="22"/>
          <w:lang w:eastAsia="en-IN"/>
        </w:rPr>
        <w:t>”</w:t>
      </w:r>
      <w:r w:rsidRPr="00153204">
        <w:rPr>
          <w:rFonts w:asciiTheme="minorHAnsi" w:hAnsiTheme="minorHAnsi" w:cstheme="minorHAnsi"/>
          <w:sz w:val="22"/>
          <w:szCs w:val="22"/>
          <w:lang w:eastAsia="en-IN" w:bidi="or-IN"/>
        </w:rPr>
        <w:t xml:space="preserve">) on 31.07.2020. In response to the said RFP, one bid was received by the bid due date. After detailed evaluation by independent bid evaluation committee setup by </w:t>
      </w:r>
      <w:r w:rsidR="004E1503" w:rsidRPr="00153204">
        <w:rPr>
          <w:rFonts w:asciiTheme="minorHAnsi" w:hAnsiTheme="minorHAnsi" w:cstheme="minorHAnsi"/>
          <w:sz w:val="22"/>
          <w:szCs w:val="22"/>
          <w:lang w:eastAsia="en-IN" w:bidi="or-IN"/>
        </w:rPr>
        <w:t>Hon’ble OERC</w:t>
      </w:r>
      <w:r w:rsidRPr="00153204">
        <w:rPr>
          <w:rFonts w:asciiTheme="minorHAnsi" w:hAnsiTheme="minorHAnsi" w:cstheme="minorHAnsi"/>
          <w:sz w:val="22"/>
          <w:szCs w:val="22"/>
          <w:lang w:eastAsia="en-IN" w:bidi="or-IN"/>
        </w:rPr>
        <w:t xml:space="preserve">, The Tata Power Company Limited (the </w:t>
      </w:r>
      <w:r w:rsidRPr="00153204">
        <w:rPr>
          <w:rFonts w:asciiTheme="minorHAnsi" w:hAnsiTheme="minorHAnsi" w:cstheme="minorHAnsi"/>
          <w:b/>
          <w:bCs/>
          <w:sz w:val="22"/>
          <w:szCs w:val="22"/>
          <w:lang w:eastAsia="en-IN"/>
        </w:rPr>
        <w:t>“</w:t>
      </w:r>
      <w:r w:rsidRPr="00153204">
        <w:rPr>
          <w:rFonts w:asciiTheme="minorHAnsi" w:hAnsiTheme="minorHAnsi" w:cstheme="minorHAnsi"/>
          <w:b/>
          <w:bCs/>
          <w:sz w:val="22"/>
          <w:szCs w:val="22"/>
          <w:lang w:eastAsia="en-IN" w:bidi="or-IN"/>
        </w:rPr>
        <w:t>TPCL</w:t>
      </w:r>
      <w:r w:rsidRPr="00153204">
        <w:rPr>
          <w:rFonts w:asciiTheme="minorHAnsi" w:hAnsiTheme="minorHAnsi" w:cstheme="minorHAnsi"/>
          <w:b/>
          <w:bCs/>
          <w:sz w:val="22"/>
          <w:szCs w:val="22"/>
          <w:lang w:eastAsia="en-IN"/>
        </w:rPr>
        <w:t>”</w:t>
      </w:r>
      <w:r w:rsidRPr="00153204">
        <w:rPr>
          <w:rFonts w:asciiTheme="minorHAnsi" w:hAnsiTheme="minorHAnsi" w:cstheme="minorHAnsi"/>
          <w:sz w:val="22"/>
          <w:szCs w:val="22"/>
          <w:lang w:eastAsia="en-IN" w:bidi="or-IN"/>
        </w:rPr>
        <w:t>) was recommended as the successful bidder and</w:t>
      </w:r>
      <w:r w:rsidR="004E1503" w:rsidRPr="00153204">
        <w:rPr>
          <w:rFonts w:asciiTheme="minorHAnsi" w:hAnsiTheme="minorHAnsi" w:cstheme="minorHAnsi"/>
          <w:sz w:val="22"/>
          <w:szCs w:val="22"/>
          <w:lang w:eastAsia="en-IN" w:bidi="or-IN"/>
        </w:rPr>
        <w:t xml:space="preserve"> Hon’ble OERC</w:t>
      </w:r>
      <w:r w:rsidRPr="00153204">
        <w:rPr>
          <w:rFonts w:asciiTheme="minorHAnsi" w:hAnsiTheme="minorHAnsi" w:cstheme="minorHAnsi"/>
          <w:sz w:val="22"/>
          <w:szCs w:val="22"/>
          <w:lang w:eastAsia="en-IN" w:bidi="or-IN"/>
        </w:rPr>
        <w:t xml:space="preserve"> accepted the same under Section 20(1)(a) of the Act.</w:t>
      </w:r>
    </w:p>
    <w:p w14:paraId="34A03BAA" w14:textId="77777777" w:rsidR="00BD2394" w:rsidRPr="00153204" w:rsidRDefault="00BD2394" w:rsidP="002334A3">
      <w:pPr>
        <w:autoSpaceDE w:val="0"/>
        <w:autoSpaceDN w:val="0"/>
        <w:adjustRightInd w:val="0"/>
        <w:spacing w:line="360" w:lineRule="auto"/>
        <w:ind w:left="567"/>
        <w:jc w:val="both"/>
        <w:rPr>
          <w:rFonts w:asciiTheme="minorHAnsi" w:hAnsiTheme="minorHAnsi" w:cstheme="minorHAnsi"/>
          <w:sz w:val="22"/>
          <w:szCs w:val="22"/>
          <w:lang w:eastAsia="en-IN" w:bidi="or-IN"/>
        </w:rPr>
      </w:pPr>
    </w:p>
    <w:p w14:paraId="34A03BAB" w14:textId="77777777" w:rsidR="00BD2394" w:rsidRPr="00153204" w:rsidRDefault="004E1503" w:rsidP="002334A3">
      <w:pPr>
        <w:autoSpaceDE w:val="0"/>
        <w:autoSpaceDN w:val="0"/>
        <w:adjustRightInd w:val="0"/>
        <w:spacing w:line="360" w:lineRule="auto"/>
        <w:ind w:left="567"/>
        <w:jc w:val="both"/>
        <w:rPr>
          <w:rFonts w:asciiTheme="minorHAnsi" w:hAnsiTheme="minorHAnsi" w:cstheme="minorHAnsi"/>
          <w:sz w:val="22"/>
          <w:szCs w:val="22"/>
          <w:lang w:eastAsia="en-IN" w:bidi="or-IN"/>
        </w:rPr>
      </w:pPr>
      <w:r w:rsidRPr="00153204">
        <w:rPr>
          <w:rFonts w:asciiTheme="minorHAnsi" w:hAnsiTheme="minorHAnsi" w:cstheme="minorHAnsi"/>
          <w:sz w:val="22"/>
          <w:szCs w:val="22"/>
          <w:lang w:eastAsia="en-IN" w:bidi="or-IN"/>
        </w:rPr>
        <w:t xml:space="preserve">Hon’ble OERC </w:t>
      </w:r>
      <w:r w:rsidR="00BD2394" w:rsidRPr="00153204">
        <w:rPr>
          <w:rFonts w:asciiTheme="minorHAnsi" w:hAnsiTheme="minorHAnsi" w:cstheme="minorHAnsi"/>
          <w:sz w:val="22"/>
          <w:szCs w:val="22"/>
          <w:lang w:eastAsia="en-IN" w:bidi="or-IN"/>
        </w:rPr>
        <w:t xml:space="preserve">issued a Letter of Intent (the </w:t>
      </w:r>
      <w:r w:rsidR="00BD2394" w:rsidRPr="00153204">
        <w:rPr>
          <w:rFonts w:asciiTheme="minorHAnsi" w:hAnsiTheme="minorHAnsi" w:cstheme="minorHAnsi"/>
          <w:b/>
          <w:bCs/>
          <w:sz w:val="22"/>
          <w:szCs w:val="22"/>
          <w:lang w:eastAsia="en-IN"/>
        </w:rPr>
        <w:t>“</w:t>
      </w:r>
      <w:proofErr w:type="spellStart"/>
      <w:r w:rsidR="00BD2394" w:rsidRPr="00153204">
        <w:rPr>
          <w:rFonts w:asciiTheme="minorHAnsi" w:hAnsiTheme="minorHAnsi" w:cstheme="minorHAnsi"/>
          <w:b/>
          <w:bCs/>
          <w:sz w:val="22"/>
          <w:szCs w:val="22"/>
          <w:lang w:eastAsia="en-IN" w:bidi="or-IN"/>
        </w:rPr>
        <w:t>LoI</w:t>
      </w:r>
      <w:proofErr w:type="spellEnd"/>
      <w:r w:rsidR="00BD2394" w:rsidRPr="00153204">
        <w:rPr>
          <w:rFonts w:asciiTheme="minorHAnsi" w:hAnsiTheme="minorHAnsi" w:cstheme="minorHAnsi"/>
          <w:b/>
          <w:bCs/>
          <w:sz w:val="22"/>
          <w:szCs w:val="22"/>
          <w:lang w:eastAsia="en-IN"/>
        </w:rPr>
        <w:t>”</w:t>
      </w:r>
      <w:r w:rsidR="00BD2394" w:rsidRPr="00153204">
        <w:rPr>
          <w:rFonts w:asciiTheme="minorHAnsi" w:hAnsiTheme="minorHAnsi" w:cstheme="minorHAnsi"/>
          <w:sz w:val="22"/>
          <w:szCs w:val="22"/>
          <w:lang w:eastAsia="en-IN" w:bidi="or-IN"/>
        </w:rPr>
        <w:t>) to TPCL vide Letter No.</w:t>
      </w:r>
      <w:r w:rsidR="00BD4914" w:rsidRPr="00153204">
        <w:rPr>
          <w:rFonts w:asciiTheme="minorHAnsi" w:hAnsiTheme="minorHAnsi" w:cstheme="minorHAnsi"/>
          <w:sz w:val="22"/>
          <w:szCs w:val="22"/>
          <w:lang w:eastAsia="en-IN" w:bidi="or-IN"/>
        </w:rPr>
        <w:t xml:space="preserve"> </w:t>
      </w:r>
      <w:r w:rsidR="00BD2394" w:rsidRPr="00153204">
        <w:rPr>
          <w:rFonts w:asciiTheme="minorHAnsi" w:hAnsiTheme="minorHAnsi" w:cstheme="minorHAnsi"/>
          <w:sz w:val="22"/>
          <w:szCs w:val="22"/>
          <w:lang w:eastAsia="en-IN" w:bidi="or-IN"/>
        </w:rPr>
        <w:t xml:space="preserve">OERC/RA/SALE of NESCO-26/2019(II)/160 dated 29.01.2021. TPCL communicated the acceptance of the </w:t>
      </w:r>
      <w:proofErr w:type="spellStart"/>
      <w:r w:rsidR="00BD2394" w:rsidRPr="00153204">
        <w:rPr>
          <w:rFonts w:asciiTheme="minorHAnsi" w:hAnsiTheme="minorHAnsi" w:cstheme="minorHAnsi"/>
          <w:sz w:val="22"/>
          <w:szCs w:val="22"/>
          <w:lang w:eastAsia="en-IN" w:bidi="or-IN"/>
        </w:rPr>
        <w:t>LoI</w:t>
      </w:r>
      <w:proofErr w:type="spellEnd"/>
      <w:r w:rsidR="00BD2394" w:rsidRPr="00153204">
        <w:rPr>
          <w:rFonts w:asciiTheme="minorHAnsi" w:hAnsiTheme="minorHAnsi" w:cstheme="minorHAnsi"/>
          <w:sz w:val="22"/>
          <w:szCs w:val="22"/>
          <w:lang w:eastAsia="en-IN" w:bidi="or-IN"/>
        </w:rPr>
        <w:t xml:space="preserve"> vide Letter No. T&amp;D /BD/ DOM/ FY21/ OERC/ NESCO/PPP/100 dated 05.02.2021.</w:t>
      </w:r>
    </w:p>
    <w:p w14:paraId="34A03BAC" w14:textId="77777777" w:rsidR="00BD2394" w:rsidRPr="00153204" w:rsidRDefault="00BD2394" w:rsidP="002334A3">
      <w:pPr>
        <w:autoSpaceDE w:val="0"/>
        <w:autoSpaceDN w:val="0"/>
        <w:adjustRightInd w:val="0"/>
        <w:spacing w:line="360" w:lineRule="auto"/>
        <w:ind w:left="567"/>
        <w:jc w:val="both"/>
        <w:rPr>
          <w:rFonts w:asciiTheme="minorHAnsi" w:hAnsiTheme="minorHAnsi" w:cstheme="minorHAnsi"/>
          <w:sz w:val="22"/>
          <w:szCs w:val="22"/>
          <w:lang w:eastAsia="en-IN" w:bidi="or-IN"/>
        </w:rPr>
      </w:pPr>
    </w:p>
    <w:p w14:paraId="34A03BAD" w14:textId="77777777" w:rsidR="00BD2394" w:rsidRPr="00153204" w:rsidRDefault="00BD2394" w:rsidP="002334A3">
      <w:pPr>
        <w:autoSpaceDE w:val="0"/>
        <w:autoSpaceDN w:val="0"/>
        <w:adjustRightInd w:val="0"/>
        <w:spacing w:line="360" w:lineRule="auto"/>
        <w:ind w:left="567"/>
        <w:jc w:val="both"/>
        <w:rPr>
          <w:rFonts w:asciiTheme="minorHAnsi" w:hAnsiTheme="minorHAnsi" w:cstheme="minorHAnsi"/>
          <w:sz w:val="22"/>
          <w:szCs w:val="22"/>
          <w:lang w:eastAsia="en-IN" w:bidi="or-IN"/>
        </w:rPr>
      </w:pPr>
      <w:r w:rsidRPr="00153204">
        <w:rPr>
          <w:rFonts w:asciiTheme="minorHAnsi" w:hAnsiTheme="minorHAnsi" w:cstheme="minorHAnsi"/>
          <w:sz w:val="22"/>
          <w:szCs w:val="22"/>
          <w:lang w:eastAsia="en-IN" w:bidi="or-IN"/>
        </w:rPr>
        <w:t xml:space="preserve">As per the terms of the RFP, upon completion of sale, NESCO Utility shall vest in a special purpose vehicle (the </w:t>
      </w:r>
      <w:r w:rsidRPr="00153204">
        <w:rPr>
          <w:rFonts w:asciiTheme="minorHAnsi" w:hAnsiTheme="minorHAnsi" w:cstheme="minorHAnsi"/>
          <w:b/>
          <w:bCs/>
          <w:sz w:val="22"/>
          <w:szCs w:val="22"/>
          <w:lang w:eastAsia="en-IN"/>
        </w:rPr>
        <w:t>“</w:t>
      </w:r>
      <w:r w:rsidRPr="00153204">
        <w:rPr>
          <w:rFonts w:asciiTheme="minorHAnsi" w:hAnsiTheme="minorHAnsi" w:cstheme="minorHAnsi"/>
          <w:b/>
          <w:bCs/>
          <w:sz w:val="22"/>
          <w:szCs w:val="22"/>
          <w:lang w:eastAsia="en-IN" w:bidi="or-IN"/>
        </w:rPr>
        <w:t>Project SPV</w:t>
      </w:r>
      <w:r w:rsidRPr="00153204">
        <w:rPr>
          <w:rFonts w:asciiTheme="minorHAnsi" w:hAnsiTheme="minorHAnsi" w:cstheme="minorHAnsi"/>
          <w:b/>
          <w:bCs/>
          <w:sz w:val="22"/>
          <w:szCs w:val="22"/>
          <w:lang w:eastAsia="en-IN"/>
        </w:rPr>
        <w:t xml:space="preserve">” </w:t>
      </w:r>
      <w:r w:rsidRPr="00153204">
        <w:rPr>
          <w:rFonts w:asciiTheme="minorHAnsi" w:hAnsiTheme="minorHAnsi" w:cstheme="minorHAnsi"/>
          <w:sz w:val="22"/>
          <w:szCs w:val="22"/>
          <w:lang w:eastAsia="en-IN" w:bidi="or-IN"/>
        </w:rPr>
        <w:t xml:space="preserve">or </w:t>
      </w:r>
      <w:r w:rsidRPr="00153204">
        <w:rPr>
          <w:rFonts w:asciiTheme="minorHAnsi" w:hAnsiTheme="minorHAnsi" w:cstheme="minorHAnsi"/>
          <w:b/>
          <w:bCs/>
          <w:sz w:val="22"/>
          <w:szCs w:val="22"/>
          <w:lang w:eastAsia="en-IN"/>
        </w:rPr>
        <w:t>“</w:t>
      </w:r>
      <w:r w:rsidRPr="00153204">
        <w:rPr>
          <w:rFonts w:asciiTheme="minorHAnsi" w:hAnsiTheme="minorHAnsi" w:cstheme="minorHAnsi"/>
          <w:b/>
          <w:bCs/>
          <w:sz w:val="22"/>
          <w:szCs w:val="22"/>
          <w:lang w:eastAsia="en-IN" w:bidi="or-IN"/>
        </w:rPr>
        <w:t>Operating Company</w:t>
      </w:r>
      <w:r w:rsidRPr="00153204">
        <w:rPr>
          <w:rFonts w:asciiTheme="minorHAnsi" w:hAnsiTheme="minorHAnsi" w:cstheme="minorHAnsi"/>
          <w:b/>
          <w:bCs/>
          <w:sz w:val="22"/>
          <w:szCs w:val="22"/>
          <w:lang w:eastAsia="en-IN"/>
        </w:rPr>
        <w:t>”</w:t>
      </w:r>
      <w:r w:rsidRPr="00153204">
        <w:rPr>
          <w:rFonts w:asciiTheme="minorHAnsi" w:hAnsiTheme="minorHAnsi" w:cstheme="minorHAnsi"/>
          <w:sz w:val="22"/>
          <w:szCs w:val="22"/>
          <w:lang w:eastAsia="en-IN" w:bidi="or-IN"/>
        </w:rPr>
        <w:t>) in which TPCL shall hold 51% (fifty one percent) equity shares and Government of Odisha (“</w:t>
      </w:r>
      <w:proofErr w:type="spellStart"/>
      <w:r w:rsidRPr="00153204">
        <w:rPr>
          <w:rFonts w:asciiTheme="minorHAnsi" w:hAnsiTheme="minorHAnsi" w:cstheme="minorHAnsi"/>
          <w:sz w:val="22"/>
          <w:szCs w:val="22"/>
          <w:lang w:eastAsia="en-IN" w:bidi="or-IN"/>
        </w:rPr>
        <w:t>GoO</w:t>
      </w:r>
      <w:proofErr w:type="spellEnd"/>
      <w:r w:rsidRPr="00153204">
        <w:rPr>
          <w:rFonts w:asciiTheme="minorHAnsi" w:hAnsiTheme="minorHAnsi" w:cstheme="minorHAnsi"/>
          <w:sz w:val="22"/>
          <w:szCs w:val="22"/>
          <w:lang w:eastAsia="en-IN" w:bidi="or-IN"/>
        </w:rPr>
        <w:t>”) shall hold 49% (forty nine percent) equity shares through GRIDCO Limited (the “</w:t>
      </w:r>
      <w:r w:rsidRPr="00153204">
        <w:rPr>
          <w:rFonts w:asciiTheme="minorHAnsi" w:hAnsiTheme="minorHAnsi" w:cstheme="minorHAnsi"/>
          <w:b/>
          <w:bCs/>
          <w:sz w:val="22"/>
          <w:szCs w:val="22"/>
          <w:lang w:eastAsia="en-IN" w:bidi="or-IN"/>
        </w:rPr>
        <w:t>GRIDCO</w:t>
      </w:r>
      <w:r w:rsidRPr="00153204">
        <w:rPr>
          <w:rFonts w:asciiTheme="minorHAnsi" w:hAnsiTheme="minorHAnsi" w:cstheme="minorHAnsi"/>
          <w:sz w:val="22"/>
          <w:szCs w:val="22"/>
          <w:lang w:eastAsia="en-IN" w:bidi="or-IN"/>
        </w:rPr>
        <w:t>”).</w:t>
      </w:r>
    </w:p>
    <w:p w14:paraId="34A03BAE" w14:textId="77777777" w:rsidR="00BD2394" w:rsidRPr="00153204" w:rsidRDefault="00BD2394" w:rsidP="002334A3">
      <w:pPr>
        <w:autoSpaceDE w:val="0"/>
        <w:autoSpaceDN w:val="0"/>
        <w:adjustRightInd w:val="0"/>
        <w:spacing w:line="360" w:lineRule="auto"/>
        <w:ind w:left="567"/>
        <w:jc w:val="both"/>
        <w:rPr>
          <w:rFonts w:asciiTheme="minorHAnsi" w:hAnsiTheme="minorHAnsi" w:cstheme="minorHAnsi"/>
          <w:sz w:val="22"/>
          <w:szCs w:val="22"/>
          <w:lang w:eastAsia="en-IN" w:bidi="or-IN"/>
        </w:rPr>
      </w:pPr>
    </w:p>
    <w:p w14:paraId="34A03BAF" w14:textId="77777777" w:rsidR="00BD2394" w:rsidRPr="00153204" w:rsidRDefault="004E1503" w:rsidP="002334A3">
      <w:pPr>
        <w:autoSpaceDE w:val="0"/>
        <w:autoSpaceDN w:val="0"/>
        <w:adjustRightInd w:val="0"/>
        <w:spacing w:line="360" w:lineRule="auto"/>
        <w:ind w:left="567"/>
        <w:jc w:val="both"/>
        <w:rPr>
          <w:rFonts w:asciiTheme="minorHAnsi" w:hAnsiTheme="minorHAnsi" w:cstheme="minorHAnsi"/>
          <w:sz w:val="22"/>
          <w:szCs w:val="22"/>
          <w:lang w:eastAsia="en-IN" w:bidi="or-IN"/>
        </w:rPr>
      </w:pPr>
      <w:r w:rsidRPr="00153204">
        <w:rPr>
          <w:rFonts w:asciiTheme="minorHAnsi" w:hAnsiTheme="minorHAnsi" w:cstheme="minorHAnsi"/>
          <w:sz w:val="22"/>
          <w:szCs w:val="22"/>
          <w:lang w:eastAsia="en-IN" w:bidi="or-IN"/>
        </w:rPr>
        <w:t xml:space="preserve">Hon’ble OERC </w:t>
      </w:r>
      <w:r w:rsidR="00BD2394" w:rsidRPr="00153204">
        <w:rPr>
          <w:rFonts w:asciiTheme="minorHAnsi" w:hAnsiTheme="minorHAnsi" w:cstheme="minorHAnsi"/>
          <w:sz w:val="22"/>
          <w:szCs w:val="22"/>
          <w:lang w:eastAsia="en-IN" w:bidi="or-IN"/>
        </w:rPr>
        <w:t>vide letter no. OERC/RA/SALE OF NESCO-26/2019(</w:t>
      </w:r>
      <w:proofErr w:type="spellStart"/>
      <w:r w:rsidR="00BD2394" w:rsidRPr="00153204">
        <w:rPr>
          <w:rFonts w:asciiTheme="minorHAnsi" w:hAnsiTheme="minorHAnsi" w:cstheme="minorHAnsi"/>
          <w:sz w:val="22"/>
          <w:szCs w:val="22"/>
          <w:lang w:eastAsia="en-IN" w:bidi="or-IN"/>
        </w:rPr>
        <w:t>Vol.II</w:t>
      </w:r>
      <w:proofErr w:type="spellEnd"/>
      <w:r w:rsidR="00BD2394" w:rsidRPr="00153204">
        <w:rPr>
          <w:rFonts w:asciiTheme="minorHAnsi" w:hAnsiTheme="minorHAnsi" w:cstheme="minorHAnsi"/>
          <w:sz w:val="22"/>
          <w:szCs w:val="22"/>
          <w:lang w:eastAsia="en-IN" w:bidi="or-IN"/>
        </w:rPr>
        <w:t xml:space="preserve">)/162 dated 29.01.2021 then directed GRIDCO to incorporate the said SPV to which the utility of NESCO shall be vested and </w:t>
      </w:r>
      <w:r w:rsidR="00F16788" w:rsidRPr="00153204">
        <w:rPr>
          <w:rFonts w:asciiTheme="minorHAnsi" w:hAnsiTheme="minorHAnsi" w:cstheme="minorHAnsi"/>
          <w:sz w:val="22"/>
          <w:szCs w:val="22"/>
          <w:lang w:eastAsia="en-IN" w:bidi="or-IN"/>
        </w:rPr>
        <w:t>License</w:t>
      </w:r>
      <w:r w:rsidR="00BD2394" w:rsidRPr="00153204">
        <w:rPr>
          <w:rFonts w:asciiTheme="minorHAnsi" w:hAnsiTheme="minorHAnsi" w:cstheme="minorHAnsi"/>
          <w:sz w:val="22"/>
          <w:szCs w:val="22"/>
          <w:lang w:eastAsia="en-IN" w:bidi="or-IN"/>
        </w:rPr>
        <w:t xml:space="preserve"> of NESCO Utility shall be transferred. TPNODL shall be the SPV in which TPCL and GRIDCO shall hold 51% and 49% equity shares respectively after the completion of sale.</w:t>
      </w:r>
    </w:p>
    <w:p w14:paraId="34A03BB0" w14:textId="77777777" w:rsidR="00BD2394" w:rsidRPr="00153204" w:rsidRDefault="00BD2394" w:rsidP="002334A3">
      <w:pPr>
        <w:autoSpaceDE w:val="0"/>
        <w:autoSpaceDN w:val="0"/>
        <w:adjustRightInd w:val="0"/>
        <w:spacing w:line="360" w:lineRule="auto"/>
        <w:ind w:left="567"/>
        <w:jc w:val="both"/>
        <w:rPr>
          <w:rFonts w:asciiTheme="minorHAnsi" w:hAnsiTheme="minorHAnsi" w:cstheme="minorHAnsi"/>
          <w:sz w:val="22"/>
          <w:szCs w:val="22"/>
          <w:lang w:eastAsia="en-IN" w:bidi="or-IN"/>
        </w:rPr>
      </w:pPr>
    </w:p>
    <w:p w14:paraId="34A03BB2" w14:textId="2C9C420D" w:rsidR="00780347" w:rsidRPr="00153204" w:rsidRDefault="004E1503" w:rsidP="002334A3">
      <w:pPr>
        <w:autoSpaceDE w:val="0"/>
        <w:autoSpaceDN w:val="0"/>
        <w:adjustRightInd w:val="0"/>
        <w:spacing w:line="360" w:lineRule="auto"/>
        <w:ind w:left="567"/>
        <w:jc w:val="both"/>
        <w:rPr>
          <w:rFonts w:asciiTheme="minorHAnsi" w:hAnsiTheme="minorHAnsi" w:cstheme="minorHAnsi"/>
          <w:sz w:val="22"/>
          <w:szCs w:val="22"/>
          <w:lang w:eastAsia="en-IN" w:bidi="or-IN"/>
        </w:rPr>
      </w:pPr>
      <w:r w:rsidRPr="00153204">
        <w:rPr>
          <w:rFonts w:asciiTheme="minorHAnsi" w:hAnsiTheme="minorHAnsi" w:cstheme="minorHAnsi"/>
          <w:sz w:val="22"/>
          <w:szCs w:val="22"/>
          <w:lang w:eastAsia="en-IN" w:bidi="or-IN"/>
        </w:rPr>
        <w:t xml:space="preserve">Hon’ble OERC </w:t>
      </w:r>
      <w:r w:rsidR="00BD2394" w:rsidRPr="00153204">
        <w:rPr>
          <w:rFonts w:asciiTheme="minorHAnsi" w:hAnsiTheme="minorHAnsi" w:cstheme="minorHAnsi"/>
          <w:sz w:val="22"/>
          <w:szCs w:val="22"/>
          <w:lang w:eastAsia="en-IN" w:bidi="or-IN"/>
        </w:rPr>
        <w:t xml:space="preserve">initiated a </w:t>
      </w:r>
      <w:proofErr w:type="spellStart"/>
      <w:r w:rsidR="00BD2394" w:rsidRPr="00153204">
        <w:rPr>
          <w:rFonts w:asciiTheme="minorHAnsi" w:hAnsiTheme="minorHAnsi" w:cstheme="minorHAnsi"/>
          <w:sz w:val="22"/>
          <w:szCs w:val="22"/>
          <w:lang w:eastAsia="en-IN" w:bidi="or-IN"/>
        </w:rPr>
        <w:t>suo-mot</w:t>
      </w:r>
      <w:r w:rsidR="002664A5" w:rsidRPr="00153204">
        <w:rPr>
          <w:rFonts w:asciiTheme="minorHAnsi" w:hAnsiTheme="minorHAnsi" w:cstheme="minorHAnsi"/>
          <w:sz w:val="22"/>
          <w:szCs w:val="22"/>
          <w:lang w:eastAsia="en-IN" w:bidi="or-IN"/>
        </w:rPr>
        <w:t>u</w:t>
      </w:r>
      <w:proofErr w:type="spellEnd"/>
      <w:r w:rsidR="00BD2394" w:rsidRPr="00153204">
        <w:rPr>
          <w:rFonts w:asciiTheme="minorHAnsi" w:hAnsiTheme="minorHAnsi" w:cstheme="minorHAnsi"/>
          <w:sz w:val="22"/>
          <w:szCs w:val="22"/>
          <w:lang w:eastAsia="en-IN" w:bidi="or-IN"/>
        </w:rPr>
        <w:t xml:space="preserve"> proceeding in Case No. 9/2021 to issue suitable directions with respect to sale of utility of NESCO under Section 20 of the Act and for vesting of utility of NESCO to the intending purchaser under Section 21 of the Act. </w:t>
      </w:r>
      <w:r w:rsidRPr="00153204">
        <w:rPr>
          <w:rFonts w:asciiTheme="minorHAnsi" w:hAnsiTheme="minorHAnsi" w:cstheme="minorHAnsi"/>
          <w:sz w:val="22"/>
          <w:szCs w:val="22"/>
          <w:lang w:eastAsia="en-IN" w:bidi="or-IN"/>
        </w:rPr>
        <w:t xml:space="preserve">Hon’ble OERC </w:t>
      </w:r>
      <w:r w:rsidR="00BD2394" w:rsidRPr="00153204">
        <w:rPr>
          <w:rFonts w:asciiTheme="minorHAnsi" w:hAnsiTheme="minorHAnsi" w:cstheme="minorHAnsi"/>
          <w:sz w:val="22"/>
          <w:szCs w:val="22"/>
          <w:lang w:eastAsia="en-IN" w:bidi="or-IN"/>
        </w:rPr>
        <w:t xml:space="preserve">decided to dispose of the petition through a hearing of the </w:t>
      </w:r>
      <w:r w:rsidR="00780347" w:rsidRPr="00153204">
        <w:rPr>
          <w:rFonts w:asciiTheme="minorHAnsi" w:hAnsiTheme="minorHAnsi" w:cstheme="minorHAnsi"/>
          <w:sz w:val="22"/>
          <w:szCs w:val="22"/>
          <w:lang w:eastAsia="en-IN" w:bidi="or-IN"/>
        </w:rPr>
        <w:t xml:space="preserve">concerned parties namely NESCO Utility, TPCL, GRIDCO, OPTCL and the Government of Odisha. After hearing the parties including public interveners, </w:t>
      </w:r>
      <w:r w:rsidRPr="00153204">
        <w:rPr>
          <w:rFonts w:asciiTheme="minorHAnsi" w:hAnsiTheme="minorHAnsi" w:cstheme="minorHAnsi"/>
          <w:sz w:val="22"/>
          <w:szCs w:val="22"/>
          <w:lang w:eastAsia="en-IN" w:bidi="or-IN"/>
        </w:rPr>
        <w:t>Hon’ble OERC</w:t>
      </w:r>
      <w:r w:rsidR="00780347" w:rsidRPr="00153204">
        <w:rPr>
          <w:rFonts w:asciiTheme="minorHAnsi" w:hAnsiTheme="minorHAnsi" w:cstheme="minorHAnsi"/>
          <w:sz w:val="22"/>
          <w:szCs w:val="22"/>
          <w:lang w:eastAsia="en-IN" w:bidi="or-IN"/>
        </w:rPr>
        <w:t xml:space="preserve"> issued an Order (the “</w:t>
      </w:r>
      <w:r w:rsidR="00780347" w:rsidRPr="00153204">
        <w:rPr>
          <w:rFonts w:asciiTheme="minorHAnsi" w:hAnsiTheme="minorHAnsi" w:cstheme="minorHAnsi"/>
          <w:b/>
          <w:bCs/>
          <w:sz w:val="22"/>
          <w:szCs w:val="22"/>
          <w:lang w:eastAsia="en-IN" w:bidi="or-IN"/>
        </w:rPr>
        <w:t>Vesting Order</w:t>
      </w:r>
      <w:r w:rsidR="00780347" w:rsidRPr="00153204">
        <w:rPr>
          <w:rFonts w:asciiTheme="minorHAnsi" w:hAnsiTheme="minorHAnsi" w:cstheme="minorHAnsi"/>
          <w:b/>
          <w:bCs/>
          <w:sz w:val="22"/>
          <w:szCs w:val="22"/>
          <w:lang w:eastAsia="en-IN"/>
        </w:rPr>
        <w:t>”</w:t>
      </w:r>
      <w:r w:rsidR="00780347" w:rsidRPr="00153204">
        <w:rPr>
          <w:rFonts w:asciiTheme="minorHAnsi" w:hAnsiTheme="minorHAnsi" w:cstheme="minorHAnsi"/>
          <w:sz w:val="22"/>
          <w:szCs w:val="22"/>
          <w:lang w:eastAsia="en-IN" w:bidi="or-IN"/>
        </w:rPr>
        <w:t>) on 25.03.2021 to the best interest of all the stakeholders.</w:t>
      </w:r>
    </w:p>
    <w:p w14:paraId="34A03BB3" w14:textId="77777777" w:rsidR="00780347" w:rsidRPr="00153204" w:rsidRDefault="00780347" w:rsidP="002334A3">
      <w:pPr>
        <w:autoSpaceDE w:val="0"/>
        <w:autoSpaceDN w:val="0"/>
        <w:adjustRightInd w:val="0"/>
        <w:spacing w:line="360" w:lineRule="auto"/>
        <w:ind w:left="567"/>
        <w:jc w:val="both"/>
        <w:rPr>
          <w:rFonts w:asciiTheme="minorHAnsi" w:hAnsiTheme="minorHAnsi" w:cstheme="minorHAnsi"/>
          <w:sz w:val="22"/>
          <w:szCs w:val="22"/>
          <w:lang w:eastAsia="en-IN" w:bidi="or-IN"/>
        </w:rPr>
      </w:pPr>
    </w:p>
    <w:p w14:paraId="34A03BB4" w14:textId="77777777" w:rsidR="00780347" w:rsidRPr="00153204" w:rsidRDefault="00780347" w:rsidP="002334A3">
      <w:pPr>
        <w:autoSpaceDE w:val="0"/>
        <w:autoSpaceDN w:val="0"/>
        <w:adjustRightInd w:val="0"/>
        <w:spacing w:line="360" w:lineRule="auto"/>
        <w:ind w:left="567"/>
        <w:jc w:val="both"/>
        <w:rPr>
          <w:rFonts w:asciiTheme="minorHAnsi" w:hAnsiTheme="minorHAnsi" w:cstheme="minorHAnsi"/>
          <w:sz w:val="22"/>
          <w:szCs w:val="22"/>
          <w:lang w:eastAsia="en-IN" w:bidi="or-IN"/>
        </w:rPr>
      </w:pPr>
      <w:r w:rsidRPr="00153204">
        <w:rPr>
          <w:rFonts w:asciiTheme="minorHAnsi" w:hAnsiTheme="minorHAnsi" w:cstheme="minorHAnsi"/>
          <w:sz w:val="22"/>
          <w:szCs w:val="22"/>
          <w:lang w:eastAsia="en-IN" w:bidi="or-IN"/>
        </w:rPr>
        <w:t xml:space="preserve">The Vesting Order specified that the date of vesting of utility of NESCO to TPNODL would be 01.04.2021 (the </w:t>
      </w:r>
      <w:r w:rsidRPr="00153204">
        <w:rPr>
          <w:rFonts w:asciiTheme="minorHAnsi" w:hAnsiTheme="minorHAnsi" w:cstheme="minorHAnsi"/>
          <w:b/>
          <w:bCs/>
          <w:sz w:val="22"/>
          <w:szCs w:val="22"/>
          <w:lang w:eastAsia="en-IN"/>
        </w:rPr>
        <w:t>“</w:t>
      </w:r>
      <w:r w:rsidRPr="00153204">
        <w:rPr>
          <w:rFonts w:asciiTheme="minorHAnsi" w:hAnsiTheme="minorHAnsi" w:cstheme="minorHAnsi"/>
          <w:b/>
          <w:bCs/>
          <w:sz w:val="22"/>
          <w:szCs w:val="22"/>
          <w:lang w:eastAsia="en-IN" w:bidi="or-IN"/>
        </w:rPr>
        <w:t>Effective Date</w:t>
      </w:r>
      <w:r w:rsidRPr="00153204">
        <w:rPr>
          <w:rFonts w:asciiTheme="minorHAnsi" w:hAnsiTheme="minorHAnsi" w:cstheme="minorHAnsi"/>
          <w:b/>
          <w:bCs/>
          <w:sz w:val="22"/>
          <w:szCs w:val="22"/>
          <w:lang w:eastAsia="en-IN"/>
        </w:rPr>
        <w:t>”</w:t>
      </w:r>
      <w:r w:rsidRPr="00153204">
        <w:rPr>
          <w:rFonts w:asciiTheme="minorHAnsi" w:hAnsiTheme="minorHAnsi" w:cstheme="minorHAnsi"/>
          <w:sz w:val="22"/>
          <w:szCs w:val="22"/>
          <w:lang w:eastAsia="en-IN" w:bidi="or-IN"/>
        </w:rPr>
        <w:t xml:space="preserve">). In the said order, </w:t>
      </w:r>
      <w:r w:rsidR="004E1503" w:rsidRPr="00153204">
        <w:rPr>
          <w:rFonts w:asciiTheme="minorHAnsi" w:hAnsiTheme="minorHAnsi" w:cstheme="minorHAnsi"/>
          <w:sz w:val="22"/>
          <w:szCs w:val="22"/>
          <w:lang w:eastAsia="en-IN" w:bidi="or-IN"/>
        </w:rPr>
        <w:t xml:space="preserve">Hon’ble OERC </w:t>
      </w:r>
      <w:r w:rsidRPr="00153204">
        <w:rPr>
          <w:rFonts w:asciiTheme="minorHAnsi" w:hAnsiTheme="minorHAnsi" w:cstheme="minorHAnsi"/>
          <w:sz w:val="22"/>
          <w:szCs w:val="22"/>
          <w:lang w:eastAsia="en-IN" w:bidi="or-IN"/>
        </w:rPr>
        <w:t xml:space="preserve">directed the parties to undertake the transaction in such a manner that all the activities proposed for execution of this transaction in their submissions filed in response to </w:t>
      </w:r>
      <w:proofErr w:type="spellStart"/>
      <w:r w:rsidRPr="00153204">
        <w:rPr>
          <w:rFonts w:asciiTheme="minorHAnsi" w:hAnsiTheme="minorHAnsi" w:cstheme="minorHAnsi"/>
          <w:sz w:val="22"/>
          <w:szCs w:val="22"/>
          <w:lang w:eastAsia="en-IN" w:bidi="or-IN"/>
        </w:rPr>
        <w:t>suo</w:t>
      </w:r>
      <w:proofErr w:type="spellEnd"/>
      <w:r w:rsidRPr="00153204">
        <w:rPr>
          <w:rFonts w:asciiTheme="minorHAnsi" w:hAnsiTheme="minorHAnsi" w:cstheme="minorHAnsi"/>
          <w:sz w:val="22"/>
          <w:szCs w:val="22"/>
          <w:lang w:eastAsia="en-IN" w:bidi="or-IN"/>
        </w:rPr>
        <w:t>-moto petition must be completed on or before 01.04.2021. The sale process would then be considered to be complete.</w:t>
      </w:r>
    </w:p>
    <w:p w14:paraId="34A03BB5" w14:textId="77777777" w:rsidR="00780347" w:rsidRPr="00153204" w:rsidRDefault="00780347" w:rsidP="002334A3">
      <w:pPr>
        <w:autoSpaceDE w:val="0"/>
        <w:autoSpaceDN w:val="0"/>
        <w:adjustRightInd w:val="0"/>
        <w:spacing w:line="360" w:lineRule="auto"/>
        <w:ind w:left="567"/>
        <w:jc w:val="both"/>
        <w:rPr>
          <w:rFonts w:asciiTheme="minorHAnsi" w:hAnsiTheme="minorHAnsi" w:cstheme="minorHAnsi"/>
          <w:sz w:val="22"/>
          <w:szCs w:val="22"/>
          <w:lang w:eastAsia="en-IN" w:bidi="or-IN"/>
        </w:rPr>
      </w:pPr>
    </w:p>
    <w:p w14:paraId="34A03BB6" w14:textId="57A3C210" w:rsidR="00780347" w:rsidRPr="00153204" w:rsidRDefault="00780347" w:rsidP="002334A3">
      <w:pPr>
        <w:autoSpaceDE w:val="0"/>
        <w:autoSpaceDN w:val="0"/>
        <w:adjustRightInd w:val="0"/>
        <w:spacing w:line="360" w:lineRule="auto"/>
        <w:ind w:left="567"/>
        <w:jc w:val="both"/>
        <w:rPr>
          <w:rFonts w:asciiTheme="minorHAnsi" w:hAnsiTheme="minorHAnsi" w:cstheme="minorHAnsi"/>
          <w:sz w:val="22"/>
          <w:szCs w:val="22"/>
          <w:lang w:eastAsia="en-IN" w:bidi="or-IN"/>
        </w:rPr>
      </w:pPr>
      <w:r w:rsidRPr="00153204">
        <w:rPr>
          <w:rFonts w:asciiTheme="minorHAnsi" w:hAnsiTheme="minorHAnsi" w:cstheme="minorHAnsi"/>
          <w:sz w:val="22"/>
          <w:szCs w:val="22"/>
          <w:lang w:eastAsia="en-IN" w:bidi="or-IN"/>
        </w:rPr>
        <w:lastRenderedPageBreak/>
        <w:t>The Vesting Order also stated that upon completion of sale, the rights, powers, authorities,</w:t>
      </w:r>
      <w:r w:rsidR="00BD4914" w:rsidRPr="00153204">
        <w:rPr>
          <w:rFonts w:asciiTheme="minorHAnsi" w:hAnsiTheme="minorHAnsi" w:cstheme="minorHAnsi"/>
          <w:sz w:val="22"/>
          <w:szCs w:val="22"/>
          <w:lang w:eastAsia="en-IN" w:bidi="or-IN"/>
        </w:rPr>
        <w:t xml:space="preserve"> </w:t>
      </w:r>
      <w:r w:rsidRPr="00153204">
        <w:rPr>
          <w:rFonts w:asciiTheme="minorHAnsi" w:hAnsiTheme="minorHAnsi" w:cstheme="minorHAnsi"/>
          <w:sz w:val="22"/>
          <w:szCs w:val="22"/>
          <w:lang w:eastAsia="en-IN" w:bidi="or-IN"/>
        </w:rPr>
        <w:t xml:space="preserve">duties and obligations of the NESCO Utility under its </w:t>
      </w:r>
      <w:r w:rsidR="00A35221" w:rsidRPr="00153204">
        <w:rPr>
          <w:rFonts w:asciiTheme="minorHAnsi" w:hAnsiTheme="minorHAnsi" w:cstheme="minorHAnsi"/>
          <w:sz w:val="22"/>
          <w:szCs w:val="22"/>
          <w:lang w:eastAsia="en-IN" w:bidi="or-IN"/>
        </w:rPr>
        <w:t>licensee</w:t>
      </w:r>
      <w:r w:rsidRPr="00153204">
        <w:rPr>
          <w:rFonts w:asciiTheme="minorHAnsi" w:hAnsiTheme="minorHAnsi" w:cstheme="minorHAnsi"/>
          <w:sz w:val="22"/>
          <w:szCs w:val="22"/>
          <w:lang w:eastAsia="en-IN" w:bidi="or-IN"/>
        </w:rPr>
        <w:t xml:space="preserve"> shall stand transferred to TPNODL as per Section 21(b) of the Act. Upon delivery of utility of NESCO to TPNODL with effect from 01.04.2021, TPNODL shall be deemed to be the Licensee. </w:t>
      </w:r>
      <w:r w:rsidR="004E1503" w:rsidRPr="00153204">
        <w:rPr>
          <w:rFonts w:asciiTheme="minorHAnsi" w:hAnsiTheme="minorHAnsi" w:cstheme="minorHAnsi"/>
          <w:sz w:val="22"/>
          <w:szCs w:val="22"/>
          <w:lang w:eastAsia="en-IN" w:bidi="or-IN"/>
        </w:rPr>
        <w:t xml:space="preserve">Hon’ble OERC </w:t>
      </w:r>
      <w:r w:rsidRPr="00153204">
        <w:rPr>
          <w:rFonts w:asciiTheme="minorHAnsi" w:hAnsiTheme="minorHAnsi" w:cstheme="minorHAnsi"/>
          <w:sz w:val="22"/>
          <w:szCs w:val="22"/>
          <w:lang w:eastAsia="en-IN" w:bidi="or-IN"/>
        </w:rPr>
        <w:t xml:space="preserve">shall then issue an order amending </w:t>
      </w:r>
      <w:r w:rsidR="00A35221">
        <w:rPr>
          <w:rFonts w:asciiTheme="minorHAnsi" w:hAnsiTheme="minorHAnsi" w:cstheme="minorHAnsi"/>
          <w:sz w:val="22"/>
          <w:szCs w:val="22"/>
          <w:lang w:eastAsia="en-IN" w:bidi="or-IN"/>
        </w:rPr>
        <w:t>Licensee</w:t>
      </w:r>
      <w:r w:rsidRPr="00153204">
        <w:rPr>
          <w:rFonts w:asciiTheme="minorHAnsi" w:hAnsiTheme="minorHAnsi" w:cstheme="minorHAnsi"/>
          <w:sz w:val="22"/>
          <w:szCs w:val="22"/>
          <w:lang w:eastAsia="en-IN" w:bidi="or-IN"/>
        </w:rPr>
        <w:t xml:space="preserve"> Conditions within 90 (ninety) days of the Effective Date. Till the time amended </w:t>
      </w:r>
      <w:r w:rsidR="00A35221" w:rsidRPr="00153204">
        <w:rPr>
          <w:rFonts w:asciiTheme="minorHAnsi" w:hAnsiTheme="minorHAnsi" w:cstheme="minorHAnsi"/>
          <w:sz w:val="22"/>
          <w:szCs w:val="22"/>
          <w:lang w:eastAsia="en-IN" w:bidi="or-IN"/>
        </w:rPr>
        <w:t>Licensee</w:t>
      </w:r>
      <w:r w:rsidRPr="00153204">
        <w:rPr>
          <w:rFonts w:asciiTheme="minorHAnsi" w:hAnsiTheme="minorHAnsi" w:cstheme="minorHAnsi"/>
          <w:sz w:val="22"/>
          <w:szCs w:val="22"/>
          <w:lang w:eastAsia="en-IN" w:bidi="or-IN"/>
        </w:rPr>
        <w:t xml:space="preserve"> is granted, the provisions of the Vesting Order and the rights, powers, authorities, duties and obligations specified in the </w:t>
      </w:r>
      <w:r w:rsidR="00A35221">
        <w:rPr>
          <w:rFonts w:asciiTheme="minorHAnsi" w:hAnsiTheme="minorHAnsi" w:cstheme="minorHAnsi"/>
          <w:sz w:val="22"/>
          <w:szCs w:val="22"/>
          <w:lang w:eastAsia="en-IN" w:bidi="or-IN"/>
        </w:rPr>
        <w:t>Licensee</w:t>
      </w:r>
      <w:r w:rsidRPr="00153204">
        <w:rPr>
          <w:rFonts w:asciiTheme="minorHAnsi" w:hAnsiTheme="minorHAnsi" w:cstheme="minorHAnsi"/>
          <w:sz w:val="22"/>
          <w:szCs w:val="22"/>
          <w:lang w:eastAsia="en-IN" w:bidi="or-IN"/>
        </w:rPr>
        <w:t xml:space="preserve"> issued to NESCO vide order dated 27.10.2006 and subsequently transferred to NESCO Utility shall apply to TPNODL.</w:t>
      </w:r>
    </w:p>
    <w:p w14:paraId="34A03BB7" w14:textId="77777777" w:rsidR="00780347" w:rsidRPr="00153204" w:rsidRDefault="00780347" w:rsidP="002334A3">
      <w:pPr>
        <w:autoSpaceDE w:val="0"/>
        <w:autoSpaceDN w:val="0"/>
        <w:adjustRightInd w:val="0"/>
        <w:spacing w:line="360" w:lineRule="auto"/>
        <w:ind w:left="567"/>
        <w:jc w:val="both"/>
        <w:rPr>
          <w:rFonts w:asciiTheme="minorHAnsi" w:hAnsiTheme="minorHAnsi" w:cstheme="minorHAnsi"/>
          <w:sz w:val="22"/>
          <w:szCs w:val="22"/>
          <w:lang w:eastAsia="en-IN" w:bidi="or-IN"/>
        </w:rPr>
      </w:pPr>
    </w:p>
    <w:p w14:paraId="34A03BB8" w14:textId="1D8A6B94" w:rsidR="00780347" w:rsidRPr="00153204" w:rsidRDefault="00780347" w:rsidP="002334A3">
      <w:pPr>
        <w:autoSpaceDE w:val="0"/>
        <w:autoSpaceDN w:val="0"/>
        <w:adjustRightInd w:val="0"/>
        <w:spacing w:line="360" w:lineRule="auto"/>
        <w:ind w:left="567"/>
        <w:jc w:val="both"/>
        <w:rPr>
          <w:rFonts w:asciiTheme="minorHAnsi" w:hAnsiTheme="minorHAnsi" w:cstheme="minorHAnsi"/>
          <w:sz w:val="22"/>
          <w:szCs w:val="22"/>
          <w:lang w:eastAsia="en-IN" w:bidi="or-IN"/>
        </w:rPr>
      </w:pPr>
      <w:r w:rsidRPr="00153204">
        <w:rPr>
          <w:rFonts w:asciiTheme="minorHAnsi" w:hAnsiTheme="minorHAnsi" w:cstheme="minorHAnsi"/>
          <w:sz w:val="22"/>
          <w:szCs w:val="22"/>
          <w:lang w:eastAsia="en-IN" w:bidi="or-IN"/>
        </w:rPr>
        <w:t>TP Northern Odisha Distribution Limited (“</w:t>
      </w:r>
      <w:r w:rsidRPr="00153204">
        <w:rPr>
          <w:rFonts w:asciiTheme="minorHAnsi" w:hAnsiTheme="minorHAnsi" w:cstheme="minorHAnsi"/>
          <w:b/>
          <w:bCs/>
          <w:sz w:val="22"/>
          <w:szCs w:val="22"/>
          <w:lang w:eastAsia="en-IN" w:bidi="or-IN"/>
        </w:rPr>
        <w:t>TPNODL</w:t>
      </w:r>
      <w:r w:rsidRPr="00153204">
        <w:rPr>
          <w:rFonts w:asciiTheme="minorHAnsi" w:hAnsiTheme="minorHAnsi" w:cstheme="minorHAnsi"/>
          <w:sz w:val="22"/>
          <w:szCs w:val="22"/>
          <w:lang w:eastAsia="en-IN" w:bidi="or-IN"/>
        </w:rPr>
        <w:t xml:space="preserve">”) was incorporated on 20.03.2021 as wholly owned subsidiary of GRIDCO with an authorized share capital of </w:t>
      </w:r>
      <w:r w:rsidR="001A2772" w:rsidRPr="00153204">
        <w:rPr>
          <w:rFonts w:asciiTheme="minorHAnsi" w:hAnsiTheme="minorHAnsi" w:cstheme="minorHAnsi"/>
          <w:sz w:val="22"/>
          <w:szCs w:val="22"/>
          <w:lang w:eastAsia="en-IN" w:bidi="or-IN"/>
        </w:rPr>
        <w:t>Rs.</w:t>
      </w:r>
      <w:r w:rsidRPr="00153204">
        <w:rPr>
          <w:rFonts w:asciiTheme="minorHAnsi" w:hAnsiTheme="minorHAnsi" w:cstheme="minorHAnsi"/>
          <w:sz w:val="22"/>
          <w:szCs w:val="22"/>
          <w:lang w:eastAsia="en-IN" w:bidi="or-IN"/>
        </w:rPr>
        <w:t xml:space="preserve"> 1000 crores (Indian Rupee One Thousand </w:t>
      </w:r>
      <w:r w:rsidR="00CA4C56" w:rsidRPr="00153204">
        <w:rPr>
          <w:rFonts w:asciiTheme="minorHAnsi" w:hAnsiTheme="minorHAnsi" w:cstheme="minorHAnsi"/>
          <w:sz w:val="22"/>
          <w:szCs w:val="22"/>
          <w:lang w:eastAsia="en-IN" w:bidi="or-IN"/>
        </w:rPr>
        <w:t>C</w:t>
      </w:r>
      <w:r w:rsidRPr="00153204">
        <w:rPr>
          <w:rFonts w:asciiTheme="minorHAnsi" w:hAnsiTheme="minorHAnsi" w:cstheme="minorHAnsi"/>
          <w:sz w:val="22"/>
          <w:szCs w:val="22"/>
          <w:lang w:eastAsia="en-IN" w:bidi="or-IN"/>
        </w:rPr>
        <w:t xml:space="preserve">rores only) and paid-up capital of </w:t>
      </w:r>
      <w:r w:rsidR="001A2772" w:rsidRPr="00153204">
        <w:rPr>
          <w:rFonts w:asciiTheme="minorHAnsi" w:hAnsiTheme="minorHAnsi" w:cstheme="minorHAnsi"/>
          <w:sz w:val="22"/>
          <w:szCs w:val="22"/>
          <w:lang w:eastAsia="en-IN" w:bidi="or-IN"/>
        </w:rPr>
        <w:t>Rs.</w:t>
      </w:r>
      <w:r w:rsidRPr="00153204">
        <w:rPr>
          <w:rFonts w:asciiTheme="minorHAnsi" w:hAnsiTheme="minorHAnsi" w:cstheme="minorHAnsi"/>
          <w:sz w:val="22"/>
          <w:szCs w:val="22"/>
          <w:lang w:eastAsia="en-IN" w:bidi="or-IN"/>
        </w:rPr>
        <w:t xml:space="preserve"> 5 lakhs (Indian Rupee Five lakhs only). As per the directions contained in the Vesting Order and in </w:t>
      </w:r>
      <w:r w:rsidR="002D32B2" w:rsidRPr="00153204">
        <w:rPr>
          <w:rFonts w:asciiTheme="minorHAnsi" w:hAnsiTheme="minorHAnsi" w:cstheme="minorHAnsi"/>
          <w:sz w:val="22"/>
          <w:szCs w:val="22"/>
          <w:lang w:eastAsia="en-IN" w:bidi="or-IN"/>
        </w:rPr>
        <w:t>fulfillment</w:t>
      </w:r>
      <w:r w:rsidRPr="00153204">
        <w:rPr>
          <w:rFonts w:asciiTheme="minorHAnsi" w:hAnsiTheme="minorHAnsi" w:cstheme="minorHAnsi"/>
          <w:sz w:val="22"/>
          <w:szCs w:val="22"/>
          <w:lang w:eastAsia="en-IN" w:bidi="or-IN"/>
        </w:rPr>
        <w:t xml:space="preserve"> of requirement under Section 20(3) of the Act, the Administrator of NESCO Utility has delivered </w:t>
      </w:r>
      <w:r w:rsidR="00802E46" w:rsidRPr="00153204">
        <w:rPr>
          <w:rFonts w:asciiTheme="minorHAnsi" w:hAnsiTheme="minorHAnsi" w:cstheme="minorHAnsi"/>
          <w:sz w:val="22"/>
          <w:szCs w:val="22"/>
          <w:lang w:eastAsia="en-IN" w:bidi="or-IN"/>
        </w:rPr>
        <w:t xml:space="preserve">the </w:t>
      </w:r>
      <w:r w:rsidRPr="00153204">
        <w:rPr>
          <w:rFonts w:asciiTheme="minorHAnsi" w:hAnsiTheme="minorHAnsi" w:cstheme="minorHAnsi"/>
          <w:sz w:val="22"/>
          <w:szCs w:val="22"/>
          <w:lang w:eastAsia="en-IN" w:bidi="or-IN"/>
        </w:rPr>
        <w:t>utility to TPNODL with effect from 01.04.2021 after completing all the modalities of the transaction.</w:t>
      </w:r>
    </w:p>
    <w:p w14:paraId="34A03BB9" w14:textId="77777777" w:rsidR="00780347" w:rsidRPr="00153204" w:rsidRDefault="00780347" w:rsidP="002334A3">
      <w:pPr>
        <w:autoSpaceDE w:val="0"/>
        <w:autoSpaceDN w:val="0"/>
        <w:adjustRightInd w:val="0"/>
        <w:spacing w:line="360" w:lineRule="auto"/>
        <w:jc w:val="both"/>
        <w:rPr>
          <w:rFonts w:asciiTheme="minorHAnsi" w:hAnsiTheme="minorHAnsi" w:cstheme="minorHAnsi"/>
          <w:sz w:val="22"/>
          <w:szCs w:val="22"/>
          <w:lang w:eastAsia="en-IN" w:bidi="or-IN"/>
        </w:rPr>
      </w:pPr>
    </w:p>
    <w:p w14:paraId="34A03BBA" w14:textId="624DC808" w:rsidR="00AC4EC1" w:rsidRPr="00153204" w:rsidRDefault="00780347" w:rsidP="002334A3">
      <w:pPr>
        <w:autoSpaceDE w:val="0"/>
        <w:autoSpaceDN w:val="0"/>
        <w:adjustRightInd w:val="0"/>
        <w:spacing w:line="360" w:lineRule="auto"/>
        <w:ind w:left="567"/>
        <w:jc w:val="both"/>
        <w:rPr>
          <w:rFonts w:asciiTheme="minorHAnsi" w:hAnsiTheme="minorHAnsi" w:cstheme="minorHAnsi"/>
          <w:sz w:val="22"/>
          <w:szCs w:val="22"/>
          <w:lang w:eastAsia="en-IN" w:bidi="or-IN"/>
        </w:rPr>
      </w:pPr>
      <w:r w:rsidRPr="00153204">
        <w:rPr>
          <w:rFonts w:asciiTheme="minorHAnsi" w:hAnsiTheme="minorHAnsi" w:cstheme="minorHAnsi"/>
          <w:sz w:val="22"/>
          <w:szCs w:val="22"/>
          <w:lang w:eastAsia="en-IN" w:bidi="or-IN"/>
        </w:rPr>
        <w:t xml:space="preserve">With the delivery of utility of NESCO to TPNODL, the </w:t>
      </w:r>
      <w:r w:rsidR="00A35221">
        <w:rPr>
          <w:rFonts w:asciiTheme="minorHAnsi" w:hAnsiTheme="minorHAnsi" w:cstheme="minorHAnsi"/>
          <w:sz w:val="22"/>
          <w:szCs w:val="22"/>
          <w:lang w:eastAsia="en-IN" w:bidi="or-IN"/>
        </w:rPr>
        <w:t>Licensee</w:t>
      </w:r>
      <w:r w:rsidRPr="00153204">
        <w:rPr>
          <w:rFonts w:asciiTheme="minorHAnsi" w:hAnsiTheme="minorHAnsi" w:cstheme="minorHAnsi"/>
          <w:sz w:val="22"/>
          <w:szCs w:val="22"/>
          <w:lang w:eastAsia="en-IN" w:bidi="or-IN"/>
        </w:rPr>
        <w:t xml:space="preserve"> of NESCO Utility stood transferred to TPNODL with effect from 01.04.2021 as per the Vesting Order. </w:t>
      </w:r>
    </w:p>
    <w:p w14:paraId="34A03BBB" w14:textId="77777777" w:rsidR="00AC4EC1" w:rsidRPr="00153204" w:rsidRDefault="00AC4EC1" w:rsidP="002334A3">
      <w:pPr>
        <w:autoSpaceDE w:val="0"/>
        <w:autoSpaceDN w:val="0"/>
        <w:adjustRightInd w:val="0"/>
        <w:spacing w:line="360" w:lineRule="auto"/>
        <w:jc w:val="both"/>
        <w:rPr>
          <w:rFonts w:asciiTheme="minorHAnsi" w:hAnsiTheme="minorHAnsi" w:cstheme="minorHAnsi"/>
          <w:sz w:val="22"/>
          <w:szCs w:val="22"/>
          <w:lang w:eastAsia="en-IN" w:bidi="or-IN"/>
        </w:rPr>
      </w:pPr>
    </w:p>
    <w:p w14:paraId="34A03BBC" w14:textId="5DB0448B" w:rsidR="00AC4EC1" w:rsidRPr="00153204" w:rsidRDefault="00AC4EC1" w:rsidP="002334A3">
      <w:pPr>
        <w:autoSpaceDE w:val="0"/>
        <w:autoSpaceDN w:val="0"/>
        <w:adjustRightInd w:val="0"/>
        <w:spacing w:line="360" w:lineRule="auto"/>
        <w:ind w:left="567"/>
        <w:jc w:val="both"/>
        <w:rPr>
          <w:rFonts w:asciiTheme="minorHAnsi" w:hAnsiTheme="minorHAnsi" w:cstheme="minorHAnsi"/>
          <w:sz w:val="22"/>
          <w:szCs w:val="22"/>
          <w:lang w:eastAsia="en-IN" w:bidi="or-IN"/>
        </w:rPr>
      </w:pPr>
      <w:r w:rsidRPr="00153204">
        <w:rPr>
          <w:rFonts w:asciiTheme="minorHAnsi" w:hAnsiTheme="minorHAnsi" w:cstheme="minorHAnsi"/>
          <w:sz w:val="22"/>
          <w:szCs w:val="22"/>
          <w:lang w:eastAsia="en-IN" w:bidi="or-IN"/>
        </w:rPr>
        <w:t>I</w:t>
      </w:r>
      <w:r w:rsidR="00780347" w:rsidRPr="00153204">
        <w:rPr>
          <w:rFonts w:asciiTheme="minorHAnsi" w:hAnsiTheme="minorHAnsi" w:cstheme="minorHAnsi"/>
          <w:sz w:val="22"/>
          <w:szCs w:val="22"/>
          <w:lang w:eastAsia="en-IN" w:bidi="or-IN"/>
        </w:rPr>
        <w:t xml:space="preserve">n exercise of powers conferred under the OERC (Conduct of Business Regulations), 2004 and the Vesting Order, </w:t>
      </w:r>
      <w:r w:rsidR="001701C7" w:rsidRPr="00153204">
        <w:rPr>
          <w:rFonts w:asciiTheme="minorHAnsi" w:hAnsiTheme="minorHAnsi" w:cstheme="minorHAnsi"/>
          <w:sz w:val="22"/>
          <w:szCs w:val="22"/>
          <w:lang w:eastAsia="en-IN" w:bidi="or-IN"/>
        </w:rPr>
        <w:t xml:space="preserve">Hon’ble OERC </w:t>
      </w:r>
      <w:r w:rsidRPr="00153204">
        <w:rPr>
          <w:rFonts w:asciiTheme="minorHAnsi" w:hAnsiTheme="minorHAnsi" w:cstheme="minorHAnsi"/>
          <w:sz w:val="22"/>
          <w:szCs w:val="22"/>
          <w:lang w:eastAsia="en-IN" w:bidi="or-IN"/>
        </w:rPr>
        <w:t xml:space="preserve">issued </w:t>
      </w:r>
      <w:r w:rsidR="00A35221">
        <w:rPr>
          <w:rFonts w:asciiTheme="minorHAnsi" w:hAnsiTheme="minorHAnsi" w:cstheme="minorHAnsi"/>
          <w:sz w:val="22"/>
          <w:szCs w:val="22"/>
          <w:lang w:eastAsia="en-IN" w:bidi="or-IN"/>
        </w:rPr>
        <w:t>Licensee</w:t>
      </w:r>
      <w:r w:rsidR="00780347" w:rsidRPr="00153204">
        <w:rPr>
          <w:rFonts w:asciiTheme="minorHAnsi" w:hAnsiTheme="minorHAnsi" w:cstheme="minorHAnsi"/>
          <w:sz w:val="22"/>
          <w:szCs w:val="22"/>
          <w:lang w:eastAsia="en-IN" w:bidi="or-IN"/>
        </w:rPr>
        <w:t xml:space="preserve"> Conditions vide order</w:t>
      </w:r>
      <w:r w:rsidRPr="00153204">
        <w:rPr>
          <w:rFonts w:asciiTheme="minorHAnsi" w:hAnsiTheme="minorHAnsi" w:cstheme="minorHAnsi"/>
          <w:sz w:val="22"/>
          <w:szCs w:val="22"/>
          <w:lang w:eastAsia="en-IN" w:bidi="or-IN"/>
        </w:rPr>
        <w:t xml:space="preserve"> </w:t>
      </w:r>
      <w:proofErr w:type="spellStart"/>
      <w:proofErr w:type="gramStart"/>
      <w:r w:rsidRPr="00153204">
        <w:rPr>
          <w:rFonts w:asciiTheme="minorHAnsi" w:hAnsiTheme="minorHAnsi" w:cstheme="minorHAnsi"/>
          <w:sz w:val="22"/>
          <w:szCs w:val="22"/>
          <w:lang w:eastAsia="en-IN" w:bidi="or-IN"/>
        </w:rPr>
        <w:t>no.OERC</w:t>
      </w:r>
      <w:proofErr w:type="spellEnd"/>
      <w:proofErr w:type="gramEnd"/>
      <w:r w:rsidRPr="00153204">
        <w:rPr>
          <w:rFonts w:asciiTheme="minorHAnsi" w:hAnsiTheme="minorHAnsi" w:cstheme="minorHAnsi"/>
          <w:sz w:val="22"/>
          <w:szCs w:val="22"/>
          <w:lang w:eastAsia="en-IN" w:bidi="or-IN"/>
        </w:rPr>
        <w:t>/</w:t>
      </w:r>
      <w:proofErr w:type="spellStart"/>
      <w:r w:rsidRPr="00153204">
        <w:rPr>
          <w:rFonts w:asciiTheme="minorHAnsi" w:hAnsiTheme="minorHAnsi" w:cstheme="minorHAnsi"/>
          <w:sz w:val="22"/>
          <w:szCs w:val="22"/>
          <w:lang w:eastAsia="en-IN" w:bidi="or-IN"/>
        </w:rPr>
        <w:t>Engg</w:t>
      </w:r>
      <w:proofErr w:type="spellEnd"/>
      <w:r w:rsidRPr="00153204">
        <w:rPr>
          <w:rFonts w:asciiTheme="minorHAnsi" w:hAnsiTheme="minorHAnsi" w:cstheme="minorHAnsi"/>
          <w:sz w:val="22"/>
          <w:szCs w:val="22"/>
          <w:lang w:eastAsia="en-IN" w:bidi="or-IN"/>
        </w:rPr>
        <w:t>./06/2021/718  dated 29.06.2021</w:t>
      </w:r>
      <w:r w:rsidR="00780347" w:rsidRPr="00153204">
        <w:rPr>
          <w:rFonts w:asciiTheme="minorHAnsi" w:hAnsiTheme="minorHAnsi" w:cstheme="minorHAnsi"/>
          <w:sz w:val="22"/>
          <w:szCs w:val="22"/>
          <w:lang w:eastAsia="en-IN" w:bidi="or-IN"/>
        </w:rPr>
        <w:t xml:space="preserve"> to TPNODL. </w:t>
      </w:r>
    </w:p>
    <w:p w14:paraId="1E40322F" w14:textId="77777777" w:rsidR="00243256" w:rsidRPr="00153204" w:rsidRDefault="00243256" w:rsidP="002334A3">
      <w:pPr>
        <w:autoSpaceDE w:val="0"/>
        <w:autoSpaceDN w:val="0"/>
        <w:adjustRightInd w:val="0"/>
        <w:spacing w:after="240" w:line="360" w:lineRule="auto"/>
        <w:ind w:left="567"/>
        <w:jc w:val="both"/>
        <w:rPr>
          <w:rFonts w:asciiTheme="minorHAnsi" w:hAnsiTheme="minorHAnsi" w:cstheme="minorHAnsi"/>
          <w:b/>
          <w:color w:val="000000"/>
          <w:sz w:val="22"/>
          <w:szCs w:val="22"/>
          <w:lang w:val="en-GB"/>
        </w:rPr>
      </w:pPr>
    </w:p>
    <w:p w14:paraId="34A03BBF" w14:textId="59F9B194" w:rsidR="005B07FB" w:rsidRPr="00153204" w:rsidRDefault="008004C9" w:rsidP="002334A3">
      <w:pPr>
        <w:autoSpaceDE w:val="0"/>
        <w:autoSpaceDN w:val="0"/>
        <w:adjustRightInd w:val="0"/>
        <w:spacing w:after="240" w:line="360" w:lineRule="auto"/>
        <w:ind w:left="567"/>
        <w:jc w:val="both"/>
        <w:rPr>
          <w:rFonts w:asciiTheme="minorHAnsi" w:hAnsiTheme="minorHAnsi" w:cstheme="minorHAnsi"/>
          <w:b/>
          <w:color w:val="000000"/>
          <w:sz w:val="22"/>
          <w:szCs w:val="22"/>
          <w:lang w:val="en-GB"/>
        </w:rPr>
      </w:pPr>
      <w:r w:rsidRPr="00153204">
        <w:rPr>
          <w:rFonts w:asciiTheme="minorHAnsi" w:hAnsiTheme="minorHAnsi" w:cstheme="minorHAnsi"/>
          <w:b/>
          <w:color w:val="000000"/>
          <w:sz w:val="22"/>
          <w:szCs w:val="22"/>
          <w:lang w:val="en-GB"/>
        </w:rPr>
        <w:t xml:space="preserve">1.2 </w:t>
      </w:r>
      <w:r w:rsidR="00A13B9D" w:rsidRPr="00153204">
        <w:rPr>
          <w:rFonts w:asciiTheme="minorHAnsi" w:hAnsiTheme="minorHAnsi" w:cstheme="minorHAnsi"/>
          <w:b/>
          <w:color w:val="000000"/>
          <w:sz w:val="22"/>
          <w:szCs w:val="22"/>
          <w:lang w:val="en-GB"/>
        </w:rPr>
        <w:t>Basis of P</w:t>
      </w:r>
      <w:r w:rsidR="005B07FB" w:rsidRPr="00153204">
        <w:rPr>
          <w:rFonts w:asciiTheme="minorHAnsi" w:hAnsiTheme="minorHAnsi" w:cstheme="minorHAnsi"/>
          <w:b/>
          <w:color w:val="000000"/>
          <w:sz w:val="22"/>
          <w:szCs w:val="22"/>
          <w:lang w:val="en-GB"/>
        </w:rPr>
        <w:t>reparation of ARR</w:t>
      </w:r>
    </w:p>
    <w:p w14:paraId="34A03BC0" w14:textId="5CFFCEBE" w:rsidR="00037AF8" w:rsidRPr="00153204" w:rsidRDefault="00704339" w:rsidP="002334A3">
      <w:pPr>
        <w:autoSpaceDE w:val="0"/>
        <w:autoSpaceDN w:val="0"/>
        <w:adjustRightInd w:val="0"/>
        <w:spacing w:after="240" w:line="360" w:lineRule="auto"/>
        <w:ind w:left="567"/>
        <w:jc w:val="both"/>
        <w:rPr>
          <w:rFonts w:asciiTheme="minorHAnsi" w:hAnsiTheme="minorHAnsi" w:cstheme="minorHAnsi"/>
          <w:color w:val="000000"/>
          <w:sz w:val="22"/>
          <w:szCs w:val="22"/>
          <w:lang w:val="en-GB"/>
        </w:rPr>
      </w:pPr>
      <w:r w:rsidRPr="00153204">
        <w:rPr>
          <w:rFonts w:asciiTheme="minorHAnsi" w:hAnsiTheme="minorHAnsi" w:cstheme="minorHAnsi"/>
          <w:color w:val="000000"/>
          <w:sz w:val="22"/>
          <w:szCs w:val="22"/>
          <w:lang w:val="en-GB"/>
        </w:rPr>
        <w:t>TPNODL in</w:t>
      </w:r>
      <w:r w:rsidR="00037AF8" w:rsidRPr="00153204">
        <w:rPr>
          <w:rFonts w:asciiTheme="minorHAnsi" w:hAnsiTheme="minorHAnsi" w:cstheme="minorHAnsi"/>
          <w:color w:val="000000"/>
          <w:sz w:val="22"/>
          <w:szCs w:val="22"/>
          <w:lang w:val="en-GB"/>
        </w:rPr>
        <w:t xml:space="preserve"> accordance with the </w:t>
      </w:r>
      <w:r w:rsidR="00864056" w:rsidRPr="00153204">
        <w:rPr>
          <w:rFonts w:asciiTheme="minorHAnsi" w:hAnsiTheme="minorHAnsi" w:cstheme="minorHAnsi"/>
          <w:color w:val="000000"/>
          <w:sz w:val="22"/>
          <w:szCs w:val="22"/>
          <w:lang w:val="en-GB"/>
        </w:rPr>
        <w:t xml:space="preserve">OERC (Terms and Conditions for Determination of Wheeling Tariff and Retail Supply Tariff) Regulations, </w:t>
      </w:r>
      <w:r w:rsidRPr="00153204">
        <w:rPr>
          <w:rFonts w:asciiTheme="minorHAnsi" w:hAnsiTheme="minorHAnsi" w:cstheme="minorHAnsi"/>
          <w:color w:val="000000"/>
          <w:sz w:val="22"/>
          <w:szCs w:val="22"/>
          <w:lang w:val="en-GB"/>
        </w:rPr>
        <w:t>2022 has</w:t>
      </w:r>
      <w:r w:rsidR="00037AF8" w:rsidRPr="00153204">
        <w:rPr>
          <w:rFonts w:asciiTheme="minorHAnsi" w:hAnsiTheme="minorHAnsi" w:cstheme="minorHAnsi"/>
          <w:color w:val="000000"/>
          <w:sz w:val="22"/>
          <w:szCs w:val="22"/>
          <w:lang w:val="en-GB"/>
        </w:rPr>
        <w:t xml:space="preserve"> calculated the total expected revenue from sale of electricity </w:t>
      </w:r>
      <w:r w:rsidR="00864056" w:rsidRPr="00153204">
        <w:rPr>
          <w:rFonts w:asciiTheme="minorHAnsi" w:hAnsiTheme="minorHAnsi" w:cstheme="minorHAnsi"/>
          <w:color w:val="000000"/>
          <w:sz w:val="22"/>
          <w:szCs w:val="22"/>
          <w:lang w:val="en-GB"/>
        </w:rPr>
        <w:t xml:space="preserve">as well as the total revenue requirement </w:t>
      </w:r>
      <w:r w:rsidR="00615756" w:rsidRPr="00153204">
        <w:rPr>
          <w:rFonts w:asciiTheme="minorHAnsi" w:hAnsiTheme="minorHAnsi" w:cstheme="minorHAnsi"/>
          <w:color w:val="000000"/>
          <w:sz w:val="22"/>
          <w:szCs w:val="22"/>
          <w:lang w:val="en-GB"/>
        </w:rPr>
        <w:t xml:space="preserve">for the </w:t>
      </w:r>
      <w:r w:rsidR="00864056" w:rsidRPr="00153204">
        <w:rPr>
          <w:rFonts w:asciiTheme="minorHAnsi" w:hAnsiTheme="minorHAnsi" w:cstheme="minorHAnsi"/>
          <w:color w:val="000000"/>
          <w:sz w:val="22"/>
          <w:szCs w:val="22"/>
          <w:lang w:val="en-GB"/>
        </w:rPr>
        <w:t>f</w:t>
      </w:r>
      <w:r w:rsidR="00C83596">
        <w:rPr>
          <w:rFonts w:asciiTheme="minorHAnsi" w:hAnsiTheme="minorHAnsi" w:cstheme="minorHAnsi"/>
          <w:color w:val="000000"/>
          <w:sz w:val="22"/>
          <w:szCs w:val="22"/>
          <w:lang w:val="en-GB"/>
        </w:rPr>
        <w:t>ifth</w:t>
      </w:r>
      <w:r w:rsidR="00615756" w:rsidRPr="00153204">
        <w:rPr>
          <w:rFonts w:asciiTheme="minorHAnsi" w:hAnsiTheme="minorHAnsi" w:cstheme="minorHAnsi"/>
          <w:color w:val="000000"/>
          <w:sz w:val="22"/>
          <w:szCs w:val="22"/>
          <w:lang w:val="en-GB"/>
        </w:rPr>
        <w:t xml:space="preserve"> year of operation FY 202</w:t>
      </w:r>
      <w:r w:rsidR="00C83596">
        <w:rPr>
          <w:rFonts w:asciiTheme="minorHAnsi" w:hAnsiTheme="minorHAnsi" w:cstheme="minorHAnsi"/>
          <w:color w:val="000000"/>
          <w:sz w:val="22"/>
          <w:szCs w:val="22"/>
          <w:lang w:val="en-GB"/>
        </w:rPr>
        <w:t>5-26</w:t>
      </w:r>
      <w:r w:rsidR="00615756" w:rsidRPr="00153204">
        <w:rPr>
          <w:rFonts w:asciiTheme="minorHAnsi" w:hAnsiTheme="minorHAnsi" w:cstheme="minorHAnsi"/>
          <w:color w:val="000000"/>
          <w:sz w:val="22"/>
          <w:szCs w:val="22"/>
          <w:lang w:val="en-GB"/>
        </w:rPr>
        <w:t xml:space="preserve"> </w:t>
      </w:r>
      <w:r w:rsidR="00037AF8" w:rsidRPr="00153204">
        <w:rPr>
          <w:rFonts w:asciiTheme="minorHAnsi" w:hAnsiTheme="minorHAnsi" w:cstheme="minorHAnsi"/>
          <w:color w:val="000000"/>
          <w:sz w:val="22"/>
          <w:szCs w:val="22"/>
          <w:lang w:val="en-GB"/>
        </w:rPr>
        <w:t>and hereby submitting in the foregoing paragraphs as per the following structure.</w:t>
      </w:r>
    </w:p>
    <w:p w14:paraId="46766BD1" w14:textId="24BAB815" w:rsidR="006F5448" w:rsidRPr="00153204" w:rsidRDefault="00C51A49" w:rsidP="002334A3">
      <w:pPr>
        <w:numPr>
          <w:ilvl w:val="0"/>
          <w:numId w:val="1"/>
        </w:numPr>
        <w:tabs>
          <w:tab w:val="clear" w:pos="720"/>
        </w:tabs>
        <w:autoSpaceDE w:val="0"/>
        <w:autoSpaceDN w:val="0"/>
        <w:adjustRightInd w:val="0"/>
        <w:spacing w:line="360" w:lineRule="auto"/>
        <w:ind w:left="1418" w:hanging="851"/>
        <w:jc w:val="both"/>
        <w:rPr>
          <w:rFonts w:asciiTheme="minorHAnsi" w:hAnsiTheme="minorHAnsi" w:cstheme="minorHAnsi"/>
          <w:color w:val="000000"/>
          <w:sz w:val="22"/>
          <w:szCs w:val="22"/>
          <w:lang w:val="en-GB"/>
        </w:rPr>
      </w:pPr>
      <w:r w:rsidRPr="00153204">
        <w:rPr>
          <w:rFonts w:asciiTheme="minorHAnsi" w:hAnsiTheme="minorHAnsi" w:cstheme="minorHAnsi"/>
          <w:color w:val="000000"/>
          <w:sz w:val="22"/>
          <w:szCs w:val="22"/>
          <w:lang w:val="en-GB"/>
        </w:rPr>
        <w:t>A statement with full details of its expected annual revenue and costs for the ensuing year FY 2</w:t>
      </w:r>
      <w:r w:rsidR="00A07F9F" w:rsidRPr="00153204">
        <w:rPr>
          <w:rFonts w:asciiTheme="minorHAnsi" w:hAnsiTheme="minorHAnsi" w:cstheme="minorHAnsi"/>
          <w:color w:val="000000"/>
          <w:sz w:val="22"/>
          <w:szCs w:val="22"/>
          <w:lang w:val="en-GB"/>
        </w:rPr>
        <w:t>02</w:t>
      </w:r>
      <w:r w:rsidR="00C83596">
        <w:rPr>
          <w:rFonts w:asciiTheme="minorHAnsi" w:hAnsiTheme="minorHAnsi" w:cstheme="minorHAnsi"/>
          <w:color w:val="000000"/>
          <w:sz w:val="22"/>
          <w:szCs w:val="22"/>
          <w:lang w:val="en-GB"/>
        </w:rPr>
        <w:t>5</w:t>
      </w:r>
      <w:r w:rsidRPr="00153204">
        <w:rPr>
          <w:rFonts w:asciiTheme="minorHAnsi" w:hAnsiTheme="minorHAnsi" w:cstheme="minorHAnsi"/>
          <w:color w:val="000000"/>
          <w:sz w:val="22"/>
          <w:szCs w:val="22"/>
          <w:lang w:val="en-GB"/>
        </w:rPr>
        <w:t>-2</w:t>
      </w:r>
      <w:r w:rsidR="00C83596">
        <w:rPr>
          <w:rFonts w:asciiTheme="minorHAnsi" w:hAnsiTheme="minorHAnsi" w:cstheme="minorHAnsi"/>
          <w:color w:val="000000"/>
          <w:sz w:val="22"/>
          <w:szCs w:val="22"/>
          <w:lang w:val="en-GB"/>
        </w:rPr>
        <w:t>6</w:t>
      </w:r>
      <w:r w:rsidRPr="00153204">
        <w:rPr>
          <w:rFonts w:asciiTheme="minorHAnsi" w:hAnsiTheme="minorHAnsi" w:cstheme="minorHAnsi"/>
          <w:color w:val="000000"/>
          <w:sz w:val="22"/>
          <w:szCs w:val="22"/>
          <w:lang w:val="en-GB"/>
        </w:rPr>
        <w:t xml:space="preserve"> for its Licensed Business along with technical, commercial performance and financial parameters in the formats prescribed by the Hon’ble Commission.</w:t>
      </w:r>
    </w:p>
    <w:p w14:paraId="2C105B30" w14:textId="23426B27" w:rsidR="006F5448" w:rsidRPr="00153204" w:rsidRDefault="006F5448" w:rsidP="002334A3">
      <w:pPr>
        <w:numPr>
          <w:ilvl w:val="0"/>
          <w:numId w:val="1"/>
        </w:numPr>
        <w:tabs>
          <w:tab w:val="clear" w:pos="720"/>
        </w:tabs>
        <w:autoSpaceDE w:val="0"/>
        <w:autoSpaceDN w:val="0"/>
        <w:adjustRightInd w:val="0"/>
        <w:spacing w:line="360" w:lineRule="auto"/>
        <w:ind w:left="1418" w:hanging="851"/>
        <w:jc w:val="both"/>
        <w:rPr>
          <w:rFonts w:asciiTheme="minorHAnsi" w:hAnsiTheme="minorHAnsi" w:cstheme="minorHAnsi"/>
          <w:color w:val="000000"/>
          <w:sz w:val="22"/>
          <w:szCs w:val="22"/>
          <w:lang w:val="en-GB"/>
        </w:rPr>
      </w:pPr>
      <w:r w:rsidRPr="00153204">
        <w:rPr>
          <w:rFonts w:asciiTheme="minorHAnsi" w:hAnsiTheme="minorHAnsi" w:cstheme="minorHAnsi"/>
          <w:color w:val="000000"/>
          <w:sz w:val="22"/>
          <w:szCs w:val="22"/>
          <w:lang w:val="en-GB"/>
        </w:rPr>
        <w:lastRenderedPageBreak/>
        <w:t xml:space="preserve">Statement of allocation of wheeling and retail supply cost as per </w:t>
      </w:r>
      <w:r w:rsidRPr="00153204">
        <w:rPr>
          <w:rFonts w:asciiTheme="minorHAnsi" w:hAnsiTheme="minorHAnsi" w:cstheme="minorHAnsi"/>
          <w:sz w:val="22"/>
          <w:szCs w:val="22"/>
          <w:lang w:val="en-GB"/>
        </w:rPr>
        <w:t xml:space="preserve">provisions </w:t>
      </w:r>
      <w:proofErr w:type="gramStart"/>
      <w:r w:rsidRPr="00153204">
        <w:rPr>
          <w:rFonts w:asciiTheme="minorHAnsi" w:hAnsiTheme="minorHAnsi" w:cstheme="minorHAnsi"/>
          <w:sz w:val="22"/>
          <w:szCs w:val="22"/>
          <w:lang w:val="en-GB"/>
        </w:rPr>
        <w:t>of  OERC</w:t>
      </w:r>
      <w:proofErr w:type="gramEnd"/>
      <w:r w:rsidRPr="00153204">
        <w:rPr>
          <w:rFonts w:asciiTheme="minorHAnsi" w:hAnsiTheme="minorHAnsi" w:cstheme="minorHAnsi"/>
          <w:sz w:val="22"/>
          <w:szCs w:val="22"/>
          <w:lang w:val="en-GB"/>
        </w:rPr>
        <w:t xml:space="preserve"> </w:t>
      </w:r>
      <w:r w:rsidRPr="00153204">
        <w:rPr>
          <w:rFonts w:asciiTheme="minorHAnsi" w:hAnsiTheme="minorHAnsi" w:cstheme="minorHAnsi"/>
          <w:sz w:val="22"/>
          <w:szCs w:val="22"/>
        </w:rPr>
        <w:t>(Terms and Conditions for determination of Wheeling Tariff and Retail Supply Tariff) Regulations, 20</w:t>
      </w:r>
      <w:r w:rsidR="006D1BF5" w:rsidRPr="00153204">
        <w:rPr>
          <w:rFonts w:asciiTheme="minorHAnsi" w:hAnsiTheme="minorHAnsi" w:cstheme="minorHAnsi"/>
          <w:sz w:val="22"/>
          <w:szCs w:val="22"/>
        </w:rPr>
        <w:t>22</w:t>
      </w:r>
      <w:r w:rsidRPr="00153204">
        <w:rPr>
          <w:rFonts w:asciiTheme="minorHAnsi" w:hAnsiTheme="minorHAnsi" w:cstheme="minorHAnsi"/>
          <w:sz w:val="22"/>
          <w:szCs w:val="22"/>
        </w:rPr>
        <w:t>.</w:t>
      </w:r>
    </w:p>
    <w:p w14:paraId="0C1E4E88" w14:textId="4594B820" w:rsidR="005F24CB" w:rsidRDefault="005F24CB" w:rsidP="00A62552">
      <w:pPr>
        <w:numPr>
          <w:ilvl w:val="0"/>
          <w:numId w:val="1"/>
        </w:numPr>
        <w:tabs>
          <w:tab w:val="clear" w:pos="720"/>
        </w:tabs>
        <w:autoSpaceDE w:val="0"/>
        <w:autoSpaceDN w:val="0"/>
        <w:adjustRightInd w:val="0"/>
        <w:spacing w:line="360" w:lineRule="auto"/>
        <w:ind w:left="1418" w:hanging="851"/>
        <w:jc w:val="both"/>
        <w:rPr>
          <w:rFonts w:asciiTheme="minorHAnsi" w:hAnsiTheme="minorHAnsi" w:cstheme="minorHAnsi"/>
          <w:color w:val="000000"/>
          <w:sz w:val="22"/>
          <w:szCs w:val="22"/>
          <w:lang w:val="en-GB"/>
        </w:rPr>
      </w:pPr>
      <w:r>
        <w:rPr>
          <w:rFonts w:asciiTheme="minorHAnsi" w:hAnsiTheme="minorHAnsi" w:cstheme="minorHAnsi"/>
          <w:color w:val="000000"/>
          <w:sz w:val="22"/>
          <w:szCs w:val="22"/>
          <w:lang w:val="en-GB"/>
        </w:rPr>
        <w:t>Performance of TPNODL and initiatives undertaken</w:t>
      </w:r>
    </w:p>
    <w:p w14:paraId="0065FE63" w14:textId="63E58417" w:rsidR="00C51A49" w:rsidRDefault="00864056" w:rsidP="00A62552">
      <w:pPr>
        <w:numPr>
          <w:ilvl w:val="0"/>
          <w:numId w:val="1"/>
        </w:numPr>
        <w:tabs>
          <w:tab w:val="clear" w:pos="720"/>
        </w:tabs>
        <w:autoSpaceDE w:val="0"/>
        <w:autoSpaceDN w:val="0"/>
        <w:adjustRightInd w:val="0"/>
        <w:spacing w:line="360" w:lineRule="auto"/>
        <w:ind w:left="1418" w:hanging="851"/>
        <w:jc w:val="both"/>
        <w:rPr>
          <w:rFonts w:asciiTheme="minorHAnsi" w:hAnsiTheme="minorHAnsi" w:cstheme="minorHAnsi"/>
          <w:color w:val="000000"/>
          <w:sz w:val="22"/>
          <w:szCs w:val="22"/>
          <w:lang w:val="en-GB"/>
        </w:rPr>
      </w:pPr>
      <w:r w:rsidRPr="00153204">
        <w:rPr>
          <w:rFonts w:asciiTheme="minorHAnsi" w:hAnsiTheme="minorHAnsi" w:cstheme="minorHAnsi"/>
          <w:color w:val="000000"/>
          <w:sz w:val="22"/>
          <w:szCs w:val="22"/>
          <w:lang w:val="en-GB"/>
        </w:rPr>
        <w:t>Truing-up for the FY 202</w:t>
      </w:r>
      <w:r w:rsidR="00C83596">
        <w:rPr>
          <w:rFonts w:asciiTheme="minorHAnsi" w:hAnsiTheme="minorHAnsi" w:cstheme="minorHAnsi"/>
          <w:color w:val="000000"/>
          <w:sz w:val="22"/>
          <w:szCs w:val="22"/>
          <w:lang w:val="en-GB"/>
        </w:rPr>
        <w:t>3</w:t>
      </w:r>
      <w:r w:rsidR="00C51A49" w:rsidRPr="00153204">
        <w:rPr>
          <w:rFonts w:asciiTheme="minorHAnsi" w:hAnsiTheme="minorHAnsi" w:cstheme="minorHAnsi"/>
          <w:color w:val="000000"/>
          <w:sz w:val="22"/>
          <w:szCs w:val="22"/>
          <w:lang w:val="en-GB"/>
        </w:rPr>
        <w:t>-2</w:t>
      </w:r>
      <w:r w:rsidR="00C83596">
        <w:rPr>
          <w:rFonts w:asciiTheme="minorHAnsi" w:hAnsiTheme="minorHAnsi" w:cstheme="minorHAnsi"/>
          <w:color w:val="000000"/>
          <w:sz w:val="22"/>
          <w:szCs w:val="22"/>
          <w:lang w:val="en-GB"/>
        </w:rPr>
        <w:t>4</w:t>
      </w:r>
    </w:p>
    <w:p w14:paraId="77093FF7" w14:textId="5E7570A9" w:rsidR="00AA4DA9" w:rsidRPr="00153204" w:rsidRDefault="00E04299" w:rsidP="00A62552">
      <w:pPr>
        <w:numPr>
          <w:ilvl w:val="0"/>
          <w:numId w:val="1"/>
        </w:numPr>
        <w:tabs>
          <w:tab w:val="clear" w:pos="720"/>
        </w:tabs>
        <w:autoSpaceDE w:val="0"/>
        <w:autoSpaceDN w:val="0"/>
        <w:adjustRightInd w:val="0"/>
        <w:spacing w:line="360" w:lineRule="auto"/>
        <w:ind w:left="1418" w:hanging="851"/>
        <w:jc w:val="both"/>
        <w:rPr>
          <w:rFonts w:asciiTheme="minorHAnsi" w:hAnsiTheme="minorHAnsi" w:cstheme="minorHAnsi"/>
          <w:color w:val="000000"/>
          <w:sz w:val="22"/>
          <w:szCs w:val="22"/>
          <w:lang w:val="en-GB"/>
        </w:rPr>
      </w:pPr>
      <w:r>
        <w:rPr>
          <w:rFonts w:asciiTheme="minorHAnsi" w:hAnsiTheme="minorHAnsi" w:cstheme="minorHAnsi"/>
          <w:color w:val="000000"/>
          <w:sz w:val="22"/>
          <w:szCs w:val="22"/>
          <w:lang w:val="en-GB"/>
        </w:rPr>
        <w:t xml:space="preserve">Issues pertaining to previous Financial </w:t>
      </w:r>
      <w:r w:rsidR="00AA4DA9">
        <w:rPr>
          <w:rFonts w:asciiTheme="minorHAnsi" w:hAnsiTheme="minorHAnsi" w:cstheme="minorHAnsi"/>
          <w:color w:val="000000"/>
          <w:sz w:val="22"/>
          <w:szCs w:val="22"/>
          <w:lang w:val="en-GB"/>
        </w:rPr>
        <w:t>year</w:t>
      </w:r>
      <w:r>
        <w:rPr>
          <w:rFonts w:asciiTheme="minorHAnsi" w:hAnsiTheme="minorHAnsi" w:cstheme="minorHAnsi"/>
          <w:color w:val="000000"/>
          <w:sz w:val="22"/>
          <w:szCs w:val="22"/>
          <w:lang w:val="en-GB"/>
        </w:rPr>
        <w:t>s</w:t>
      </w:r>
      <w:r w:rsidR="009F1B7A">
        <w:rPr>
          <w:rFonts w:asciiTheme="minorHAnsi" w:hAnsiTheme="minorHAnsi" w:cstheme="minorHAnsi"/>
          <w:color w:val="000000"/>
          <w:sz w:val="22"/>
          <w:szCs w:val="22"/>
          <w:lang w:val="en-GB"/>
        </w:rPr>
        <w:t xml:space="preserve"> Tariff Orders and Truing up orders</w:t>
      </w:r>
    </w:p>
    <w:p w14:paraId="0995CEBF" w14:textId="71F93F71" w:rsidR="00C51A49" w:rsidRPr="00153204" w:rsidRDefault="005F24CB" w:rsidP="002334A3">
      <w:pPr>
        <w:numPr>
          <w:ilvl w:val="0"/>
          <w:numId w:val="1"/>
        </w:numPr>
        <w:tabs>
          <w:tab w:val="clear" w:pos="720"/>
        </w:tabs>
        <w:autoSpaceDE w:val="0"/>
        <w:autoSpaceDN w:val="0"/>
        <w:adjustRightInd w:val="0"/>
        <w:spacing w:line="360" w:lineRule="auto"/>
        <w:ind w:left="1418" w:hanging="851"/>
        <w:jc w:val="both"/>
        <w:rPr>
          <w:rFonts w:asciiTheme="minorHAnsi" w:hAnsiTheme="minorHAnsi" w:cstheme="minorHAnsi"/>
          <w:color w:val="000000"/>
          <w:sz w:val="22"/>
          <w:szCs w:val="22"/>
          <w:lang w:val="en-GB"/>
        </w:rPr>
      </w:pPr>
      <w:r>
        <w:rPr>
          <w:rFonts w:asciiTheme="minorHAnsi" w:hAnsiTheme="minorHAnsi" w:cstheme="minorHAnsi"/>
          <w:color w:val="000000"/>
          <w:sz w:val="22"/>
          <w:szCs w:val="22"/>
          <w:lang w:val="en-GB"/>
        </w:rPr>
        <w:t>Compliance to directives of Hon’ble Commission</w:t>
      </w:r>
    </w:p>
    <w:p w14:paraId="34A03BC3" w14:textId="7B1F1601" w:rsidR="000B7D3A" w:rsidRPr="00153204" w:rsidRDefault="001A6AB0" w:rsidP="002334A3">
      <w:pPr>
        <w:pStyle w:val="ListParagraph"/>
        <w:ind w:left="1276" w:hanging="709"/>
        <w:rPr>
          <w:rFonts w:asciiTheme="minorHAnsi" w:hAnsiTheme="minorHAnsi" w:cstheme="minorHAnsi"/>
          <w:lang w:val="en-GB"/>
        </w:rPr>
      </w:pPr>
      <w:r w:rsidRPr="00153204">
        <w:rPr>
          <w:rFonts w:asciiTheme="minorHAnsi" w:hAnsiTheme="minorHAnsi" w:cstheme="minorHAnsi"/>
          <w:color w:val="000000"/>
          <w:lang w:val="en-GB"/>
        </w:rPr>
        <w:t>g.</w:t>
      </w:r>
      <w:r w:rsidR="000B7BF6" w:rsidRPr="00153204">
        <w:rPr>
          <w:rFonts w:asciiTheme="minorHAnsi" w:hAnsiTheme="minorHAnsi" w:cstheme="minorHAnsi"/>
          <w:lang w:val="en-GB"/>
        </w:rPr>
        <w:t xml:space="preserve"> </w:t>
      </w:r>
      <w:r w:rsidR="002B6EE9" w:rsidRPr="00153204">
        <w:rPr>
          <w:rFonts w:asciiTheme="minorHAnsi" w:hAnsiTheme="minorHAnsi" w:cstheme="minorHAnsi"/>
          <w:lang w:val="en-GB"/>
        </w:rPr>
        <w:t xml:space="preserve">  </w:t>
      </w:r>
      <w:r w:rsidR="002334A3" w:rsidRPr="00153204">
        <w:rPr>
          <w:rFonts w:asciiTheme="minorHAnsi" w:hAnsiTheme="minorHAnsi" w:cstheme="minorHAnsi"/>
          <w:lang w:val="en-GB"/>
        </w:rPr>
        <w:t xml:space="preserve">           </w:t>
      </w:r>
      <w:r w:rsidR="000B7D3A" w:rsidRPr="00153204">
        <w:rPr>
          <w:rFonts w:asciiTheme="minorHAnsi" w:hAnsiTheme="minorHAnsi" w:cstheme="minorHAnsi"/>
          <w:lang w:val="en-GB"/>
        </w:rPr>
        <w:t>Proposal for tariff rationalisation measures.</w:t>
      </w:r>
    </w:p>
    <w:p w14:paraId="729C1880" w14:textId="77777777" w:rsidR="00995DAA" w:rsidRPr="00153204" w:rsidRDefault="00995DAA" w:rsidP="002334A3">
      <w:pPr>
        <w:pStyle w:val="ListParagraph"/>
        <w:ind w:left="1276" w:hanging="709"/>
        <w:rPr>
          <w:rFonts w:asciiTheme="minorHAnsi" w:hAnsiTheme="minorHAnsi" w:cstheme="minorHAnsi"/>
          <w:lang w:val="en-GB"/>
        </w:rPr>
      </w:pPr>
    </w:p>
    <w:p w14:paraId="34A03BC4" w14:textId="4A33A4AC" w:rsidR="00037AF8" w:rsidRPr="00153204" w:rsidRDefault="00037AF8" w:rsidP="002334A3">
      <w:pPr>
        <w:tabs>
          <w:tab w:val="num" w:pos="851"/>
        </w:tabs>
        <w:autoSpaceDE w:val="0"/>
        <w:autoSpaceDN w:val="0"/>
        <w:adjustRightInd w:val="0"/>
        <w:spacing w:after="240" w:line="360" w:lineRule="auto"/>
        <w:ind w:left="567"/>
        <w:jc w:val="both"/>
        <w:rPr>
          <w:rFonts w:asciiTheme="minorHAnsi" w:hAnsiTheme="minorHAnsi" w:cstheme="minorHAnsi"/>
          <w:color w:val="000000"/>
          <w:sz w:val="22"/>
          <w:szCs w:val="22"/>
          <w:lang w:val="en-GB"/>
        </w:rPr>
      </w:pPr>
      <w:bookmarkStart w:id="0" w:name="_Toc57557191"/>
      <w:bookmarkEnd w:id="0"/>
      <w:r w:rsidRPr="00153204">
        <w:rPr>
          <w:rFonts w:asciiTheme="minorHAnsi" w:hAnsiTheme="minorHAnsi" w:cstheme="minorHAnsi"/>
          <w:color w:val="000000"/>
          <w:sz w:val="22"/>
          <w:szCs w:val="22"/>
          <w:lang w:val="en-GB"/>
        </w:rPr>
        <w:t xml:space="preserve">That, </w:t>
      </w:r>
      <w:r w:rsidR="00E35AD9" w:rsidRPr="00153204">
        <w:rPr>
          <w:rFonts w:asciiTheme="minorHAnsi" w:hAnsiTheme="minorHAnsi" w:cstheme="minorHAnsi"/>
          <w:color w:val="000000"/>
          <w:sz w:val="22"/>
          <w:szCs w:val="22"/>
          <w:lang w:val="en-GB"/>
        </w:rPr>
        <w:t xml:space="preserve">TPNODL </w:t>
      </w:r>
      <w:r w:rsidRPr="00153204">
        <w:rPr>
          <w:rFonts w:asciiTheme="minorHAnsi" w:hAnsiTheme="minorHAnsi" w:cstheme="minorHAnsi"/>
          <w:color w:val="000000"/>
          <w:sz w:val="22"/>
          <w:szCs w:val="22"/>
          <w:lang w:val="en-GB"/>
        </w:rPr>
        <w:t>has made certain assumptions while projecti</w:t>
      </w:r>
      <w:r w:rsidR="006339BD" w:rsidRPr="00153204">
        <w:rPr>
          <w:rFonts w:asciiTheme="minorHAnsi" w:hAnsiTheme="minorHAnsi" w:cstheme="minorHAnsi"/>
          <w:color w:val="000000"/>
          <w:sz w:val="22"/>
          <w:szCs w:val="22"/>
          <w:lang w:val="en-GB"/>
        </w:rPr>
        <w:t>n</w:t>
      </w:r>
      <w:r w:rsidR="00984AC2" w:rsidRPr="00153204">
        <w:rPr>
          <w:rFonts w:asciiTheme="minorHAnsi" w:hAnsiTheme="minorHAnsi" w:cstheme="minorHAnsi"/>
          <w:color w:val="000000"/>
          <w:sz w:val="22"/>
          <w:szCs w:val="22"/>
          <w:lang w:val="en-GB"/>
        </w:rPr>
        <w:t>g its operations for the FY 202</w:t>
      </w:r>
      <w:r w:rsidR="00C83596">
        <w:rPr>
          <w:rFonts w:asciiTheme="minorHAnsi" w:hAnsiTheme="minorHAnsi" w:cstheme="minorHAnsi"/>
          <w:color w:val="000000"/>
          <w:sz w:val="22"/>
          <w:szCs w:val="22"/>
          <w:lang w:val="en-GB"/>
        </w:rPr>
        <w:t>5</w:t>
      </w:r>
      <w:r w:rsidR="00984AC2" w:rsidRPr="00153204">
        <w:rPr>
          <w:rFonts w:asciiTheme="minorHAnsi" w:hAnsiTheme="minorHAnsi" w:cstheme="minorHAnsi"/>
          <w:color w:val="000000"/>
          <w:sz w:val="22"/>
          <w:szCs w:val="22"/>
          <w:lang w:val="en-GB"/>
        </w:rPr>
        <w:t>-2</w:t>
      </w:r>
      <w:r w:rsidR="00C83596">
        <w:rPr>
          <w:rFonts w:asciiTheme="minorHAnsi" w:hAnsiTheme="minorHAnsi" w:cstheme="minorHAnsi"/>
          <w:color w:val="000000"/>
          <w:sz w:val="22"/>
          <w:szCs w:val="22"/>
          <w:lang w:val="en-GB"/>
        </w:rPr>
        <w:t>6</w:t>
      </w:r>
      <w:r w:rsidR="007A5F8E" w:rsidRPr="00153204">
        <w:rPr>
          <w:rFonts w:asciiTheme="minorHAnsi" w:hAnsiTheme="minorHAnsi" w:cstheme="minorHAnsi"/>
          <w:color w:val="000000"/>
          <w:sz w:val="22"/>
          <w:szCs w:val="22"/>
          <w:lang w:val="en-GB"/>
        </w:rPr>
        <w:t>.</w:t>
      </w:r>
      <w:r w:rsidRPr="00153204">
        <w:rPr>
          <w:rFonts w:asciiTheme="minorHAnsi" w:hAnsiTheme="minorHAnsi" w:cstheme="minorHAnsi"/>
          <w:color w:val="000000"/>
          <w:sz w:val="22"/>
          <w:szCs w:val="22"/>
          <w:lang w:val="en-GB"/>
        </w:rPr>
        <w:t xml:space="preserve"> These projections are based upon the best estimates of the operations and prospective plans</w:t>
      </w:r>
      <w:r w:rsidR="00A35221">
        <w:rPr>
          <w:rFonts w:asciiTheme="minorHAnsi" w:hAnsiTheme="minorHAnsi" w:cstheme="minorHAnsi"/>
          <w:color w:val="000000"/>
          <w:sz w:val="22"/>
          <w:szCs w:val="22"/>
          <w:lang w:val="en-GB"/>
        </w:rPr>
        <w:t xml:space="preserve"> </w:t>
      </w:r>
      <w:r w:rsidRPr="00153204">
        <w:rPr>
          <w:rFonts w:asciiTheme="minorHAnsi" w:hAnsiTheme="minorHAnsi" w:cstheme="minorHAnsi"/>
          <w:color w:val="000000"/>
          <w:sz w:val="22"/>
          <w:szCs w:val="22"/>
          <w:lang w:val="en-GB"/>
        </w:rPr>
        <w:t xml:space="preserve">of the </w:t>
      </w:r>
      <w:r w:rsidR="00FF0694" w:rsidRPr="00153204">
        <w:rPr>
          <w:rFonts w:asciiTheme="minorHAnsi" w:hAnsiTheme="minorHAnsi" w:cstheme="minorHAnsi"/>
          <w:color w:val="000000"/>
          <w:sz w:val="22"/>
          <w:szCs w:val="22"/>
          <w:lang w:val="en-GB"/>
        </w:rPr>
        <w:t>DISCOM</w:t>
      </w:r>
      <w:r w:rsidR="00F25AB3" w:rsidRPr="00153204">
        <w:rPr>
          <w:rFonts w:asciiTheme="minorHAnsi" w:hAnsiTheme="minorHAnsi" w:cstheme="minorHAnsi"/>
          <w:color w:val="000000"/>
          <w:sz w:val="22"/>
          <w:szCs w:val="22"/>
          <w:lang w:val="en-GB"/>
        </w:rPr>
        <w:t xml:space="preserve"> </w:t>
      </w:r>
      <w:r w:rsidRPr="00153204">
        <w:rPr>
          <w:rFonts w:asciiTheme="minorHAnsi" w:hAnsiTheme="minorHAnsi" w:cstheme="minorHAnsi"/>
          <w:color w:val="000000"/>
          <w:sz w:val="22"/>
          <w:szCs w:val="22"/>
          <w:lang w:val="en-GB"/>
        </w:rPr>
        <w:t xml:space="preserve">at the time of the ARR filing. The actual ARR and the revenue figures </w:t>
      </w:r>
      <w:r w:rsidR="00BD09F3" w:rsidRPr="00153204">
        <w:rPr>
          <w:rFonts w:asciiTheme="minorHAnsi" w:hAnsiTheme="minorHAnsi" w:cstheme="minorHAnsi"/>
          <w:color w:val="000000"/>
          <w:sz w:val="22"/>
          <w:szCs w:val="22"/>
          <w:lang w:val="en-GB"/>
        </w:rPr>
        <w:t xml:space="preserve">may </w:t>
      </w:r>
      <w:r w:rsidRPr="00153204">
        <w:rPr>
          <w:rFonts w:asciiTheme="minorHAnsi" w:hAnsiTheme="minorHAnsi" w:cstheme="minorHAnsi"/>
          <w:color w:val="000000"/>
          <w:sz w:val="22"/>
          <w:szCs w:val="22"/>
          <w:lang w:val="en-GB"/>
        </w:rPr>
        <w:t xml:space="preserve">be different from the above estimates due to several external factors such as power purchase cost and change in consumer mix/ consumption etc. </w:t>
      </w:r>
    </w:p>
    <w:p w14:paraId="66FB2E20" w14:textId="3E21D790" w:rsidR="00C90829" w:rsidRPr="00153204" w:rsidRDefault="00BD09F3" w:rsidP="005055AB">
      <w:pPr>
        <w:tabs>
          <w:tab w:val="num" w:pos="851"/>
        </w:tabs>
        <w:autoSpaceDE w:val="0"/>
        <w:autoSpaceDN w:val="0"/>
        <w:adjustRightInd w:val="0"/>
        <w:spacing w:after="240" w:line="360" w:lineRule="auto"/>
        <w:ind w:left="567"/>
        <w:jc w:val="both"/>
        <w:rPr>
          <w:rFonts w:asciiTheme="minorHAnsi" w:hAnsiTheme="minorHAnsi" w:cstheme="minorHAnsi"/>
          <w:sz w:val="22"/>
          <w:szCs w:val="22"/>
          <w:lang w:val="en-IN" w:bidi="or-IN"/>
        </w:rPr>
      </w:pPr>
      <w:r w:rsidRPr="00153204">
        <w:rPr>
          <w:rFonts w:asciiTheme="minorHAnsi" w:hAnsiTheme="minorHAnsi" w:cstheme="minorHAnsi"/>
          <w:noProof/>
          <w:sz w:val="22"/>
          <w:szCs w:val="22"/>
          <w:lang w:val="en-IN" w:eastAsia="en-IN"/>
        </w:rPr>
        <mc:AlternateContent>
          <mc:Choice Requires="wps">
            <w:drawing>
              <wp:anchor distT="0" distB="0" distL="114300" distR="114300" simplePos="0" relativeHeight="251658240" behindDoc="0" locked="0" layoutInCell="1" allowOverlap="1" wp14:anchorId="34A04A2C" wp14:editId="61EF88A3">
                <wp:simplePos x="0" y="0"/>
                <wp:positionH relativeFrom="margin">
                  <wp:posOffset>311150</wp:posOffset>
                </wp:positionH>
                <wp:positionV relativeFrom="paragraph">
                  <wp:posOffset>40005</wp:posOffset>
                </wp:positionV>
                <wp:extent cx="5695950" cy="315532"/>
                <wp:effectExtent l="0" t="0" r="19050" b="27940"/>
                <wp:wrapNone/>
                <wp:docPr id="26" name="Rectangle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695950" cy="315532"/>
                        </a:xfrm>
                        <a:prstGeom prst="rect">
                          <a:avLst/>
                        </a:prstGeom>
                        <a:solidFill>
                          <a:schemeClr val="tx2">
                            <a:lumMod val="20000"/>
                            <a:lumOff val="80000"/>
                          </a:schemeClr>
                        </a:solidFill>
                        <a:ln w="9525">
                          <a:solidFill>
                            <a:srgbClr val="000000"/>
                          </a:solidFill>
                          <a:miter lim="800000"/>
                          <a:headEnd/>
                          <a:tailEnd/>
                        </a:ln>
                      </wps:spPr>
                      <wps:txbx>
                        <w:txbxContent>
                          <w:p w14:paraId="34A04A5D" w14:textId="714FDC15" w:rsidR="00535B24" w:rsidRPr="00E560A3" w:rsidRDefault="00535B24">
                            <w:pPr>
                              <w:rPr>
                                <w:rFonts w:asciiTheme="minorHAnsi" w:hAnsiTheme="minorHAnsi" w:cstheme="minorHAnsi"/>
                                <w:b/>
                                <w:sz w:val="28"/>
                                <w:szCs w:val="28"/>
                                <w:lang w:val="en-IN"/>
                              </w:rPr>
                            </w:pPr>
                            <w:r w:rsidRPr="00E560A3">
                              <w:rPr>
                                <w:rFonts w:asciiTheme="minorHAnsi" w:hAnsiTheme="minorHAnsi" w:cstheme="minorHAnsi"/>
                                <w:b/>
                                <w:sz w:val="28"/>
                                <w:szCs w:val="28"/>
                                <w:lang w:val="en-IN"/>
                              </w:rPr>
                              <w:t xml:space="preserve">2. </w:t>
                            </w:r>
                            <w:r>
                              <w:rPr>
                                <w:rFonts w:asciiTheme="minorHAnsi" w:hAnsiTheme="minorHAnsi" w:cstheme="minorHAnsi"/>
                                <w:b/>
                                <w:sz w:val="28"/>
                                <w:szCs w:val="28"/>
                                <w:lang w:val="en-IN"/>
                              </w:rPr>
                              <w:t xml:space="preserve"> Revenue Requirement for FY 2025-26</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4A04A2C" id="Rectangle 3" o:spid="_x0000_s1027" style="position:absolute;left:0;text-align:left;margin-left:24.5pt;margin-top:3.15pt;width:448.5pt;height:24.85pt;z-index:25165824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" fillcolor="#c6d9f1 [671]">
                <v:textbox>
                  <w:txbxContent>
                    <w:p w14:paraId="34A04A5D" w14:textId="714FDC15" w:rsidR="00535B24" w:rsidRPr="00E560A3" w:rsidRDefault="00535B24">
                      <w:pPr>
                        <w:rPr>
                          <w:rFonts w:asciiTheme="minorHAnsi" w:hAnsiTheme="minorHAnsi" w:cstheme="minorHAnsi"/>
                          <w:b/>
                          <w:sz w:val="28"/>
                          <w:szCs w:val="28"/>
                          <w:lang w:val="en-IN"/>
                        </w:rPr>
                      </w:pPr>
                      <w:r w:rsidRPr="00E560A3">
                        <w:rPr>
                          <w:rFonts w:asciiTheme="minorHAnsi" w:hAnsiTheme="minorHAnsi" w:cstheme="minorHAnsi"/>
                          <w:b/>
                          <w:sz w:val="28"/>
                          <w:szCs w:val="28"/>
                          <w:lang w:val="en-IN"/>
                        </w:rPr>
                        <w:t xml:space="preserve">2. </w:t>
                      </w:r>
                      <w:r>
                        <w:rPr>
                          <w:rFonts w:asciiTheme="minorHAnsi" w:hAnsiTheme="minorHAnsi" w:cstheme="minorHAnsi"/>
                          <w:b/>
                          <w:sz w:val="28"/>
                          <w:szCs w:val="28"/>
                          <w:lang w:val="en-IN"/>
                        </w:rPr>
                        <w:t xml:space="preserve"> Revenue Requirement for FY 2025-26</w:t>
                      </w:r>
                    </w:p>
                  </w:txbxContent>
                </v:textbox>
                <w10:wrap anchorx="margin"/>
              </v:rect>
            </w:pict>
          </mc:Fallback>
        </mc:AlternateContent>
      </w:r>
    </w:p>
    <w:p w14:paraId="3D331180" w14:textId="77777777" w:rsidR="005055AB" w:rsidRDefault="005055AB" w:rsidP="002334A3">
      <w:pPr>
        <w:tabs>
          <w:tab w:val="num" w:pos="851"/>
        </w:tabs>
        <w:autoSpaceDE w:val="0"/>
        <w:autoSpaceDN w:val="0"/>
        <w:adjustRightInd w:val="0"/>
        <w:spacing w:after="240" w:line="360" w:lineRule="auto"/>
        <w:ind w:left="567"/>
        <w:jc w:val="both"/>
        <w:rPr>
          <w:rFonts w:asciiTheme="minorHAnsi" w:hAnsiTheme="minorHAnsi" w:cstheme="minorHAnsi"/>
          <w:sz w:val="22"/>
          <w:szCs w:val="22"/>
          <w:lang w:val="en-IN" w:bidi="or-IN"/>
        </w:rPr>
      </w:pPr>
    </w:p>
    <w:p w14:paraId="34A03BC6" w14:textId="33577512" w:rsidR="00E0166C" w:rsidRPr="00153204" w:rsidRDefault="00C90829" w:rsidP="002334A3">
      <w:pPr>
        <w:tabs>
          <w:tab w:val="num" w:pos="851"/>
        </w:tabs>
        <w:autoSpaceDE w:val="0"/>
        <w:autoSpaceDN w:val="0"/>
        <w:adjustRightInd w:val="0"/>
        <w:spacing w:after="240" w:line="360" w:lineRule="auto"/>
        <w:ind w:left="567"/>
        <w:jc w:val="both"/>
        <w:rPr>
          <w:rFonts w:asciiTheme="minorHAnsi" w:hAnsiTheme="minorHAnsi" w:cstheme="minorHAnsi"/>
          <w:sz w:val="22"/>
          <w:szCs w:val="22"/>
          <w:lang w:bidi="or-IN"/>
        </w:rPr>
      </w:pPr>
      <w:r w:rsidRPr="00153204">
        <w:rPr>
          <w:rFonts w:asciiTheme="minorHAnsi" w:hAnsiTheme="minorHAnsi" w:cstheme="minorHAnsi"/>
          <w:sz w:val="22"/>
          <w:szCs w:val="22"/>
          <w:lang w:val="en-IN" w:bidi="or-IN"/>
        </w:rPr>
        <w:t>T</w:t>
      </w:r>
      <w:r w:rsidR="00E0166C" w:rsidRPr="00153204">
        <w:rPr>
          <w:rFonts w:asciiTheme="minorHAnsi" w:hAnsiTheme="minorHAnsi" w:cstheme="minorHAnsi"/>
          <w:sz w:val="22"/>
          <w:szCs w:val="22"/>
          <w:lang w:val="en-IN" w:bidi="or-IN"/>
        </w:rPr>
        <w:t>PNODL licensed area is spread over a geography of 27857 </w:t>
      </w:r>
      <w:proofErr w:type="spellStart"/>
      <w:proofErr w:type="gramStart"/>
      <w:r w:rsidR="00E0166C" w:rsidRPr="00153204">
        <w:rPr>
          <w:rFonts w:asciiTheme="minorHAnsi" w:hAnsiTheme="minorHAnsi" w:cstheme="minorHAnsi"/>
          <w:sz w:val="22"/>
          <w:szCs w:val="22"/>
          <w:lang w:val="en-IN" w:bidi="or-IN"/>
        </w:rPr>
        <w:t>Sq.Km</w:t>
      </w:r>
      <w:proofErr w:type="spellEnd"/>
      <w:proofErr w:type="gramEnd"/>
      <w:r w:rsidR="00E0166C" w:rsidRPr="00153204">
        <w:rPr>
          <w:rFonts w:asciiTheme="minorHAnsi" w:hAnsiTheme="minorHAnsi" w:cstheme="minorHAnsi"/>
          <w:sz w:val="22"/>
          <w:szCs w:val="22"/>
          <w:lang w:val="en-IN" w:bidi="or-IN"/>
        </w:rPr>
        <w:t> and serve</w:t>
      </w:r>
      <w:r w:rsidR="002D48F8" w:rsidRPr="00153204">
        <w:rPr>
          <w:rFonts w:asciiTheme="minorHAnsi" w:hAnsiTheme="minorHAnsi" w:cstheme="minorHAnsi"/>
          <w:sz w:val="22"/>
          <w:szCs w:val="22"/>
          <w:lang w:val="en-IN" w:bidi="or-IN"/>
        </w:rPr>
        <w:t>s</w:t>
      </w:r>
      <w:r w:rsidR="00E0166C" w:rsidRPr="00153204">
        <w:rPr>
          <w:rFonts w:asciiTheme="minorHAnsi" w:hAnsiTheme="minorHAnsi" w:cstheme="minorHAnsi"/>
          <w:sz w:val="22"/>
          <w:szCs w:val="22"/>
          <w:lang w:val="en-IN" w:bidi="or-IN"/>
        </w:rPr>
        <w:t xml:space="preserve"> the registered consumer base of </w:t>
      </w:r>
      <w:r w:rsidR="007C56BF" w:rsidRPr="00153204">
        <w:rPr>
          <w:rFonts w:asciiTheme="minorHAnsi" w:hAnsiTheme="minorHAnsi" w:cstheme="minorHAnsi"/>
          <w:sz w:val="22"/>
          <w:szCs w:val="22"/>
          <w:lang w:val="en-IN" w:bidi="or-IN"/>
        </w:rPr>
        <w:t>2</w:t>
      </w:r>
      <w:r w:rsidR="00E0166C" w:rsidRPr="00153204">
        <w:rPr>
          <w:rFonts w:asciiTheme="minorHAnsi" w:hAnsiTheme="minorHAnsi" w:cstheme="minorHAnsi"/>
          <w:sz w:val="22"/>
          <w:szCs w:val="22"/>
          <w:lang w:val="en-IN" w:bidi="or-IN"/>
        </w:rPr>
        <w:t xml:space="preserve">million with a peak load of around </w:t>
      </w:r>
      <w:r w:rsidR="00493F96">
        <w:rPr>
          <w:rFonts w:asciiTheme="minorHAnsi" w:hAnsiTheme="minorHAnsi" w:cstheme="minorHAnsi"/>
          <w:sz w:val="22"/>
          <w:szCs w:val="22"/>
          <w:lang w:val="en-IN" w:bidi="or-IN"/>
        </w:rPr>
        <w:t>1</w:t>
      </w:r>
      <w:r w:rsidR="009F1B7A">
        <w:rPr>
          <w:rFonts w:asciiTheme="minorHAnsi" w:hAnsiTheme="minorHAnsi" w:cstheme="minorHAnsi"/>
          <w:sz w:val="22"/>
          <w:szCs w:val="22"/>
          <w:lang w:val="en-IN" w:bidi="or-IN"/>
        </w:rPr>
        <w:t>400</w:t>
      </w:r>
      <w:r w:rsidR="00E0166C" w:rsidRPr="00153204">
        <w:rPr>
          <w:rFonts w:asciiTheme="minorHAnsi" w:hAnsiTheme="minorHAnsi" w:cstheme="minorHAnsi"/>
          <w:sz w:val="22"/>
          <w:szCs w:val="22"/>
          <w:lang w:val="en-IN" w:bidi="or-IN"/>
        </w:rPr>
        <w:t xml:space="preserve"> M</w:t>
      </w:r>
      <w:r w:rsidR="00321B34">
        <w:rPr>
          <w:rFonts w:asciiTheme="minorHAnsi" w:hAnsiTheme="minorHAnsi" w:cstheme="minorHAnsi"/>
          <w:sz w:val="22"/>
          <w:szCs w:val="22"/>
          <w:lang w:val="en-IN" w:bidi="or-IN"/>
        </w:rPr>
        <w:t>VA</w:t>
      </w:r>
      <w:r w:rsidR="00E0166C" w:rsidRPr="00153204">
        <w:rPr>
          <w:rFonts w:asciiTheme="minorHAnsi" w:hAnsiTheme="minorHAnsi" w:cstheme="minorHAnsi"/>
          <w:sz w:val="22"/>
          <w:szCs w:val="22"/>
          <w:lang w:val="en-IN" w:bidi="or-IN"/>
        </w:rPr>
        <w:t>. It receives electrical power at a sub transmission voltage of 33KV from OPTCL 220/132/33 kV Grid Substations and then distributes the power at 33KV / 11KV / 440V / 230V depending on the demand of the consumers. </w:t>
      </w:r>
      <w:r w:rsidR="00E0166C" w:rsidRPr="00153204">
        <w:rPr>
          <w:rFonts w:asciiTheme="minorHAnsi" w:hAnsiTheme="minorHAnsi" w:cstheme="minorHAnsi"/>
          <w:sz w:val="22"/>
          <w:szCs w:val="22"/>
          <w:lang w:bidi="or-IN"/>
        </w:rPr>
        <w:t xml:space="preserve">For </w:t>
      </w:r>
      <w:r w:rsidR="00317723">
        <w:rPr>
          <w:rFonts w:asciiTheme="minorHAnsi" w:hAnsiTheme="minorHAnsi" w:cstheme="minorHAnsi"/>
          <w:sz w:val="22"/>
          <w:szCs w:val="22"/>
          <w:lang w:bidi="or-IN"/>
        </w:rPr>
        <w:t>effective operations, the licen</w:t>
      </w:r>
      <w:r w:rsidR="00321B34">
        <w:rPr>
          <w:rFonts w:asciiTheme="minorHAnsi" w:hAnsiTheme="minorHAnsi" w:cstheme="minorHAnsi"/>
          <w:sz w:val="22"/>
          <w:szCs w:val="22"/>
          <w:lang w:bidi="or-IN"/>
        </w:rPr>
        <w:t>s</w:t>
      </w:r>
      <w:r w:rsidR="00E0166C" w:rsidRPr="00153204">
        <w:rPr>
          <w:rFonts w:asciiTheme="minorHAnsi" w:hAnsiTheme="minorHAnsi" w:cstheme="minorHAnsi"/>
          <w:sz w:val="22"/>
          <w:szCs w:val="22"/>
          <w:lang w:bidi="or-IN"/>
        </w:rPr>
        <w:t>e</w:t>
      </w:r>
      <w:r w:rsidR="00317723">
        <w:rPr>
          <w:rFonts w:asciiTheme="minorHAnsi" w:hAnsiTheme="minorHAnsi" w:cstheme="minorHAnsi"/>
          <w:sz w:val="22"/>
          <w:szCs w:val="22"/>
          <w:lang w:bidi="or-IN"/>
        </w:rPr>
        <w:t>d</w:t>
      </w:r>
      <w:r w:rsidR="00E0166C" w:rsidRPr="00153204">
        <w:rPr>
          <w:rFonts w:asciiTheme="minorHAnsi" w:hAnsiTheme="minorHAnsi" w:cstheme="minorHAnsi"/>
          <w:sz w:val="22"/>
          <w:szCs w:val="22"/>
          <w:lang w:bidi="or-IN"/>
        </w:rPr>
        <w:t xml:space="preserve"> area is divided into 5 circles which</w:t>
      </w:r>
      <w:r w:rsidR="00317723">
        <w:rPr>
          <w:rFonts w:asciiTheme="minorHAnsi" w:hAnsiTheme="minorHAnsi" w:cstheme="minorHAnsi"/>
          <w:sz w:val="22"/>
          <w:szCs w:val="22"/>
          <w:lang w:bidi="or-IN"/>
        </w:rPr>
        <w:t xml:space="preserve"> are</w:t>
      </w:r>
      <w:r w:rsidR="00E0166C" w:rsidRPr="00153204">
        <w:rPr>
          <w:rFonts w:asciiTheme="minorHAnsi" w:hAnsiTheme="minorHAnsi" w:cstheme="minorHAnsi"/>
          <w:sz w:val="22"/>
          <w:szCs w:val="22"/>
          <w:lang w:bidi="or-IN"/>
        </w:rPr>
        <w:t xml:space="preserve"> further sub divided into 16 Divisions, 50 Sub-divisions &amp; 159 Sections which manage the commercial and O&amp;M activities in order to serve its consumers.   </w:t>
      </w:r>
    </w:p>
    <w:p w14:paraId="0B333AB4" w14:textId="5390FFEF" w:rsidR="00627B2A" w:rsidRPr="00A35221" w:rsidRDefault="008B7E5D" w:rsidP="00A35221">
      <w:pPr>
        <w:pStyle w:val="BodyText2"/>
        <w:spacing w:line="360" w:lineRule="auto"/>
        <w:ind w:left="567"/>
        <w:jc w:val="both"/>
        <w:rPr>
          <w:rFonts w:asciiTheme="minorHAnsi" w:hAnsiTheme="minorHAnsi" w:cstheme="minorHAnsi"/>
          <w:sz w:val="22"/>
          <w:szCs w:val="22"/>
          <w:lang w:val="en-GB"/>
        </w:rPr>
      </w:pPr>
      <w:r w:rsidRPr="00153204">
        <w:rPr>
          <w:rFonts w:asciiTheme="minorHAnsi" w:hAnsiTheme="minorHAnsi" w:cstheme="minorHAnsi"/>
          <w:sz w:val="22"/>
          <w:szCs w:val="22"/>
          <w:lang w:val="en-GB"/>
        </w:rPr>
        <w:t xml:space="preserve">The </w:t>
      </w:r>
      <w:r w:rsidR="00524A4E" w:rsidRPr="00153204">
        <w:rPr>
          <w:rFonts w:asciiTheme="minorHAnsi" w:hAnsiTheme="minorHAnsi" w:cstheme="minorHAnsi"/>
          <w:sz w:val="22"/>
          <w:szCs w:val="22"/>
          <w:lang w:val="en-GB"/>
        </w:rPr>
        <w:t>following sections</w:t>
      </w:r>
      <w:r w:rsidR="00F52CE0" w:rsidRPr="00153204">
        <w:rPr>
          <w:rFonts w:asciiTheme="minorHAnsi" w:hAnsiTheme="minorHAnsi" w:cstheme="minorHAnsi"/>
          <w:sz w:val="22"/>
          <w:szCs w:val="22"/>
          <w:lang w:val="en-GB"/>
        </w:rPr>
        <w:t xml:space="preserve"> outline the estimation of revenue requirement for FY 202</w:t>
      </w:r>
      <w:r w:rsidR="004236C2">
        <w:rPr>
          <w:rFonts w:asciiTheme="minorHAnsi" w:hAnsiTheme="minorHAnsi" w:cstheme="minorHAnsi"/>
          <w:sz w:val="22"/>
          <w:szCs w:val="22"/>
          <w:lang w:val="en-GB"/>
        </w:rPr>
        <w:t>5</w:t>
      </w:r>
      <w:r w:rsidR="00F52CE0" w:rsidRPr="00153204">
        <w:rPr>
          <w:rFonts w:asciiTheme="minorHAnsi" w:hAnsiTheme="minorHAnsi" w:cstheme="minorHAnsi"/>
          <w:sz w:val="22"/>
          <w:szCs w:val="22"/>
          <w:lang w:val="en-GB"/>
        </w:rPr>
        <w:t>-2</w:t>
      </w:r>
      <w:r w:rsidR="004236C2">
        <w:rPr>
          <w:rFonts w:asciiTheme="minorHAnsi" w:hAnsiTheme="minorHAnsi" w:cstheme="minorHAnsi"/>
          <w:sz w:val="22"/>
          <w:szCs w:val="22"/>
          <w:lang w:val="en-GB"/>
        </w:rPr>
        <w:t>6</w:t>
      </w:r>
      <w:r w:rsidR="00F52CE0" w:rsidRPr="00153204">
        <w:rPr>
          <w:rFonts w:asciiTheme="minorHAnsi" w:hAnsiTheme="minorHAnsi" w:cstheme="minorHAnsi"/>
          <w:sz w:val="22"/>
          <w:szCs w:val="22"/>
          <w:lang w:val="en-GB"/>
        </w:rPr>
        <w:t>.</w:t>
      </w:r>
    </w:p>
    <w:p w14:paraId="23B145A5" w14:textId="14909F12" w:rsidR="00243256" w:rsidRPr="00153204" w:rsidRDefault="00317723" w:rsidP="00A35221">
      <w:pPr>
        <w:pStyle w:val="BodyText2"/>
        <w:spacing w:line="360" w:lineRule="auto"/>
        <w:ind w:left="426" w:hanging="142"/>
        <w:jc w:val="both"/>
        <w:rPr>
          <w:rFonts w:asciiTheme="minorHAnsi" w:hAnsiTheme="minorHAnsi" w:cstheme="minorHAnsi"/>
          <w:b/>
          <w:bCs/>
          <w:sz w:val="22"/>
          <w:szCs w:val="22"/>
          <w:lang w:val="en-GB"/>
        </w:rPr>
      </w:pPr>
      <w:r w:rsidRPr="00153204">
        <w:rPr>
          <w:rFonts w:asciiTheme="minorHAnsi" w:hAnsiTheme="minorHAnsi" w:cstheme="minorHAnsi"/>
          <w:noProof/>
          <w:sz w:val="22"/>
          <w:szCs w:val="22"/>
          <w:lang w:val="en-IN" w:eastAsia="en-IN"/>
        </w:rPr>
        <mc:AlternateContent>
          <mc:Choice Requires="wps">
            <w:drawing>
              <wp:anchor distT="0" distB="0" distL="114300" distR="114300" simplePos="0" relativeHeight="251825664" behindDoc="0" locked="0" layoutInCell="1" allowOverlap="1" wp14:anchorId="5F5AA10E" wp14:editId="5DCE2426">
                <wp:simplePos x="0" y="0"/>
                <wp:positionH relativeFrom="margin">
                  <wp:align>right</wp:align>
                </wp:positionH>
                <wp:positionV relativeFrom="paragraph">
                  <wp:posOffset>186690</wp:posOffset>
                </wp:positionV>
                <wp:extent cx="5629275" cy="315532"/>
                <wp:effectExtent l="0" t="0" r="28575" b="27940"/>
                <wp:wrapNone/>
                <wp:docPr id="1" name="Rectangle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629275" cy="315532"/>
                        </a:xfrm>
                        <a:prstGeom prst="rect">
                          <a:avLst/>
                        </a:prstGeom>
                        <a:solidFill>
                          <a:srgbClr val="1F497D">
                            <a:lumMod val="20000"/>
                            <a:lumOff val="80000"/>
                          </a:srgbClr>
                        </a:solidFill>
                        <a:ln w="9525">
                          <a:solidFill>
                            <a:srgbClr val="000000"/>
                          </a:solidFill>
                          <a:miter lim="800000"/>
                          <a:headEnd/>
                          <a:tailEnd/>
                        </a:ln>
                      </wps:spPr>
                      <wps:txbx>
                        <w:txbxContent>
                          <w:p w14:paraId="1BBDC6A3" w14:textId="5773A4BF" w:rsidR="00535B24" w:rsidRPr="00E560A3" w:rsidRDefault="00535B24" w:rsidP="00317723">
                            <w:pPr>
                              <w:rPr>
                                <w:rFonts w:asciiTheme="minorHAnsi" w:hAnsiTheme="minorHAnsi" w:cstheme="minorHAnsi"/>
                                <w:b/>
                                <w:sz w:val="28"/>
                                <w:szCs w:val="28"/>
                                <w:lang w:val="en-IN"/>
                              </w:rPr>
                            </w:pPr>
                            <w:r w:rsidRPr="00E560A3">
                              <w:rPr>
                                <w:rFonts w:asciiTheme="minorHAnsi" w:hAnsiTheme="minorHAnsi" w:cstheme="minorHAnsi"/>
                                <w:b/>
                                <w:sz w:val="28"/>
                                <w:szCs w:val="28"/>
                                <w:lang w:val="en-IN"/>
                              </w:rPr>
                              <w:t>2</w:t>
                            </w:r>
                            <w:r>
                              <w:rPr>
                                <w:rFonts w:asciiTheme="minorHAnsi" w:hAnsiTheme="minorHAnsi" w:cstheme="minorHAnsi"/>
                                <w:b/>
                                <w:sz w:val="28"/>
                                <w:szCs w:val="28"/>
                                <w:lang w:val="en-IN"/>
                              </w:rPr>
                              <w:t>.1 Sales Projection</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F5AA10E" id="_x0000_s1028" style="position:absolute;left:0;text-align:left;margin-left:392.05pt;margin-top:14.7pt;width:443.25pt;height:24.85pt;z-index:251825664;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" fillcolor="#c6d9f1">
                <v:textbox>
                  <w:txbxContent>
                    <w:p w14:paraId="1BBDC6A3" w14:textId="5773A4BF" w:rsidR="00535B24" w:rsidRPr="00E560A3" w:rsidRDefault="00535B24" w:rsidP="00317723">
                      <w:pPr>
                        <w:rPr>
                          <w:rFonts w:asciiTheme="minorHAnsi" w:hAnsiTheme="minorHAnsi" w:cstheme="minorHAnsi"/>
                          <w:b/>
                          <w:sz w:val="28"/>
                          <w:szCs w:val="28"/>
                          <w:lang w:val="en-IN"/>
                        </w:rPr>
                      </w:pPr>
                      <w:r w:rsidRPr="00E560A3">
                        <w:rPr>
                          <w:rFonts w:asciiTheme="minorHAnsi" w:hAnsiTheme="minorHAnsi" w:cstheme="minorHAnsi"/>
                          <w:b/>
                          <w:sz w:val="28"/>
                          <w:szCs w:val="28"/>
                          <w:lang w:val="en-IN"/>
                        </w:rPr>
                        <w:t>2</w:t>
                      </w:r>
                      <w:r>
                        <w:rPr>
                          <w:rFonts w:asciiTheme="minorHAnsi" w:hAnsiTheme="minorHAnsi" w:cstheme="minorHAnsi"/>
                          <w:b/>
                          <w:sz w:val="28"/>
                          <w:szCs w:val="28"/>
                          <w:lang w:val="en-IN"/>
                        </w:rPr>
                        <w:t>.1 Sales Projection</w:t>
                      </w:r>
                    </w:p>
                  </w:txbxContent>
                </v:textbox>
                <w10:wrap anchorx="margin"/>
              </v:rect>
            </w:pict>
          </mc:Fallback>
        </mc:AlternateContent>
      </w:r>
    </w:p>
    <w:p w14:paraId="136022FF" w14:textId="00B1A2B2" w:rsidR="00857DD7" w:rsidRPr="00153204" w:rsidRDefault="00857DD7" w:rsidP="002334A3">
      <w:pPr>
        <w:pStyle w:val="BodyText2"/>
        <w:spacing w:line="360" w:lineRule="auto"/>
        <w:ind w:left="567"/>
        <w:jc w:val="both"/>
        <w:rPr>
          <w:rFonts w:asciiTheme="minorHAnsi" w:hAnsiTheme="minorHAnsi" w:cstheme="minorHAnsi"/>
          <w:b/>
          <w:bCs/>
          <w:sz w:val="22"/>
          <w:szCs w:val="22"/>
          <w:lang w:val="en-GB"/>
        </w:rPr>
      </w:pPr>
      <w:r w:rsidRPr="00153204">
        <w:rPr>
          <w:rFonts w:asciiTheme="minorHAnsi" w:hAnsiTheme="minorHAnsi" w:cstheme="minorHAnsi"/>
          <w:b/>
          <w:bCs/>
          <w:sz w:val="22"/>
          <w:szCs w:val="22"/>
          <w:lang w:val="en-GB"/>
        </w:rPr>
        <w:t xml:space="preserve"> </w:t>
      </w:r>
    </w:p>
    <w:p w14:paraId="11121472" w14:textId="77777777" w:rsidR="002F2B8B" w:rsidRPr="00BD5055" w:rsidRDefault="002F2B8B" w:rsidP="002F2B8B">
      <w:pPr>
        <w:pStyle w:val="BodyText2"/>
        <w:spacing w:line="360" w:lineRule="auto"/>
        <w:ind w:left="567"/>
        <w:jc w:val="both"/>
        <w:rPr>
          <w:rFonts w:asciiTheme="minorHAnsi" w:hAnsiTheme="minorHAnsi" w:cstheme="minorHAnsi"/>
          <w:b/>
          <w:bCs/>
          <w:sz w:val="28"/>
          <w:szCs w:val="28"/>
          <w:lang w:val="en-GB"/>
        </w:rPr>
      </w:pPr>
      <w:r w:rsidRPr="00BD5055">
        <w:rPr>
          <w:rFonts w:asciiTheme="minorHAnsi" w:hAnsiTheme="minorHAnsi" w:cstheme="minorHAnsi"/>
          <w:b/>
          <w:bCs/>
          <w:sz w:val="28"/>
          <w:szCs w:val="28"/>
          <w:lang w:val="en-GB"/>
        </w:rPr>
        <w:t xml:space="preserve">2.1 Sales Projection </w:t>
      </w:r>
    </w:p>
    <w:p w14:paraId="7DA71282" w14:textId="3BA37690" w:rsidR="002F2B8B" w:rsidRDefault="002F2B8B" w:rsidP="002F2B8B">
      <w:pPr>
        <w:pStyle w:val="BodyText2"/>
        <w:spacing w:line="360" w:lineRule="auto"/>
        <w:ind w:left="567"/>
        <w:jc w:val="both"/>
        <w:rPr>
          <w:rFonts w:asciiTheme="minorHAnsi" w:hAnsiTheme="minorHAnsi" w:cstheme="minorHAnsi"/>
          <w:sz w:val="22"/>
          <w:szCs w:val="22"/>
        </w:rPr>
      </w:pPr>
      <w:r w:rsidRPr="00BD5055">
        <w:rPr>
          <w:rFonts w:asciiTheme="minorHAnsi" w:hAnsiTheme="minorHAnsi" w:cstheme="minorHAnsi"/>
          <w:sz w:val="22"/>
          <w:szCs w:val="22"/>
        </w:rPr>
        <w:t>For projecting the consumption of different categories, TPNODL has analyzed and relied on the past trend of consumption pattern for last ten years i.e. from FY 201</w:t>
      </w:r>
      <w:r>
        <w:rPr>
          <w:rFonts w:asciiTheme="minorHAnsi" w:hAnsiTheme="minorHAnsi" w:cstheme="minorHAnsi"/>
          <w:sz w:val="22"/>
          <w:szCs w:val="22"/>
        </w:rPr>
        <w:t>4</w:t>
      </w:r>
      <w:r w:rsidRPr="00BD5055">
        <w:rPr>
          <w:rFonts w:asciiTheme="minorHAnsi" w:hAnsiTheme="minorHAnsi" w:cstheme="minorHAnsi"/>
          <w:sz w:val="22"/>
          <w:szCs w:val="22"/>
        </w:rPr>
        <w:t>-201</w:t>
      </w:r>
      <w:r>
        <w:rPr>
          <w:rFonts w:asciiTheme="minorHAnsi" w:hAnsiTheme="minorHAnsi" w:cstheme="minorHAnsi"/>
          <w:sz w:val="22"/>
          <w:szCs w:val="22"/>
        </w:rPr>
        <w:t>5</w:t>
      </w:r>
      <w:r w:rsidRPr="00BD5055">
        <w:rPr>
          <w:rFonts w:asciiTheme="minorHAnsi" w:hAnsiTheme="minorHAnsi" w:cstheme="minorHAnsi"/>
          <w:sz w:val="22"/>
          <w:szCs w:val="22"/>
        </w:rPr>
        <w:t xml:space="preserve"> to FY 202</w:t>
      </w:r>
      <w:r>
        <w:rPr>
          <w:rFonts w:asciiTheme="minorHAnsi" w:hAnsiTheme="minorHAnsi" w:cstheme="minorHAnsi"/>
          <w:sz w:val="22"/>
          <w:szCs w:val="22"/>
        </w:rPr>
        <w:t>3</w:t>
      </w:r>
      <w:r w:rsidRPr="00BD5055">
        <w:rPr>
          <w:rFonts w:asciiTheme="minorHAnsi" w:hAnsiTheme="minorHAnsi" w:cstheme="minorHAnsi"/>
          <w:sz w:val="22"/>
          <w:szCs w:val="22"/>
        </w:rPr>
        <w:t>-2</w:t>
      </w:r>
      <w:r>
        <w:rPr>
          <w:rFonts w:asciiTheme="minorHAnsi" w:hAnsiTheme="minorHAnsi" w:cstheme="minorHAnsi"/>
          <w:sz w:val="22"/>
          <w:szCs w:val="22"/>
        </w:rPr>
        <w:t>4</w:t>
      </w:r>
      <w:r w:rsidRPr="00BD5055">
        <w:rPr>
          <w:rFonts w:asciiTheme="minorHAnsi" w:hAnsiTheme="minorHAnsi" w:cstheme="minorHAnsi"/>
          <w:sz w:val="22"/>
          <w:szCs w:val="22"/>
        </w:rPr>
        <w:t xml:space="preserve"> &amp; actual sales data for the first six months of FY 202</w:t>
      </w:r>
      <w:r>
        <w:rPr>
          <w:rFonts w:asciiTheme="minorHAnsi" w:hAnsiTheme="minorHAnsi" w:cstheme="minorHAnsi"/>
          <w:sz w:val="22"/>
          <w:szCs w:val="22"/>
        </w:rPr>
        <w:t>4-25</w:t>
      </w:r>
      <w:r w:rsidR="000557F1">
        <w:rPr>
          <w:rFonts w:asciiTheme="minorHAnsi" w:hAnsiTheme="minorHAnsi" w:cstheme="minorHAnsi"/>
          <w:sz w:val="22"/>
          <w:szCs w:val="22"/>
        </w:rPr>
        <w:t xml:space="preserve"> and the load growth in pipeline</w:t>
      </w:r>
      <w:r w:rsidRPr="00BD5055">
        <w:rPr>
          <w:rFonts w:asciiTheme="minorHAnsi" w:hAnsiTheme="minorHAnsi" w:cstheme="minorHAnsi"/>
          <w:sz w:val="22"/>
          <w:szCs w:val="22"/>
        </w:rPr>
        <w:t xml:space="preserve">. </w:t>
      </w:r>
    </w:p>
    <w:p w14:paraId="333F05C4" w14:textId="7CB74378" w:rsidR="002F2B8B" w:rsidRPr="00524A4E" w:rsidRDefault="002F2B8B" w:rsidP="00524A4E">
      <w:pPr>
        <w:pStyle w:val="BodyText2"/>
        <w:spacing w:line="360" w:lineRule="auto"/>
        <w:ind w:left="567"/>
        <w:jc w:val="both"/>
        <w:rPr>
          <w:rFonts w:asciiTheme="minorHAnsi" w:hAnsiTheme="minorHAnsi" w:cstheme="minorHAnsi"/>
          <w:sz w:val="22"/>
          <w:szCs w:val="22"/>
        </w:rPr>
      </w:pPr>
      <w:r>
        <w:rPr>
          <w:rFonts w:asciiTheme="minorHAnsi" w:hAnsiTheme="minorHAnsi" w:cstheme="minorHAnsi"/>
          <w:sz w:val="22"/>
          <w:szCs w:val="22"/>
        </w:rPr>
        <w:lastRenderedPageBreak/>
        <w:t>In addition to the growth rate, a</w:t>
      </w:r>
      <w:r w:rsidRPr="00BD5055">
        <w:rPr>
          <w:rFonts w:asciiTheme="minorHAnsi" w:hAnsiTheme="minorHAnsi" w:cstheme="minorHAnsi"/>
          <w:sz w:val="22"/>
          <w:szCs w:val="22"/>
        </w:rPr>
        <w:t>ctual addition</w:t>
      </w:r>
      <w:r>
        <w:rPr>
          <w:rFonts w:asciiTheme="minorHAnsi" w:hAnsiTheme="minorHAnsi" w:cstheme="minorHAnsi"/>
          <w:sz w:val="22"/>
          <w:szCs w:val="22"/>
        </w:rPr>
        <w:t>/</w:t>
      </w:r>
      <w:r w:rsidRPr="00BD5055">
        <w:rPr>
          <w:rFonts w:asciiTheme="minorHAnsi" w:hAnsiTheme="minorHAnsi" w:cstheme="minorHAnsi"/>
          <w:sz w:val="22"/>
          <w:szCs w:val="22"/>
        </w:rPr>
        <w:t xml:space="preserve">reduction of load, present trend of drawl of power through open access, additional drawl on account of special tariff for industries having CGP with CD up to 20MW, </w:t>
      </w:r>
      <w:r>
        <w:rPr>
          <w:rFonts w:asciiTheme="minorHAnsi" w:hAnsiTheme="minorHAnsi" w:cstheme="minorHAnsi"/>
          <w:sz w:val="22"/>
          <w:szCs w:val="22"/>
        </w:rPr>
        <w:t>mass prawn cultivation in coastal area, water supply schemes of Govt and Irrigation schemes for farmers</w:t>
      </w:r>
      <w:r w:rsidRPr="00BD5055">
        <w:rPr>
          <w:rFonts w:asciiTheme="minorHAnsi" w:hAnsiTheme="minorHAnsi" w:cstheme="minorHAnsi"/>
          <w:sz w:val="22"/>
          <w:szCs w:val="22"/>
        </w:rPr>
        <w:t xml:space="preserve"> ha</w:t>
      </w:r>
      <w:r>
        <w:rPr>
          <w:rFonts w:asciiTheme="minorHAnsi" w:hAnsiTheme="minorHAnsi" w:cstheme="minorHAnsi"/>
          <w:sz w:val="22"/>
          <w:szCs w:val="22"/>
        </w:rPr>
        <w:t>ve</w:t>
      </w:r>
      <w:r w:rsidRPr="00BD5055">
        <w:rPr>
          <w:rFonts w:asciiTheme="minorHAnsi" w:hAnsiTheme="minorHAnsi" w:cstheme="minorHAnsi"/>
          <w:sz w:val="22"/>
          <w:szCs w:val="22"/>
        </w:rPr>
        <w:t xml:space="preserve"> also been considered for projection of sales for current and ensuring year.</w:t>
      </w:r>
      <w:r>
        <w:rPr>
          <w:rFonts w:asciiTheme="minorHAnsi" w:hAnsiTheme="minorHAnsi" w:cstheme="minorHAnsi"/>
          <w:sz w:val="22"/>
          <w:szCs w:val="22"/>
        </w:rPr>
        <w:t xml:space="preserve"> Bas</w:t>
      </w:r>
      <w:r w:rsidR="000557F1">
        <w:rPr>
          <w:rFonts w:asciiTheme="minorHAnsi" w:hAnsiTheme="minorHAnsi" w:cstheme="minorHAnsi"/>
          <w:sz w:val="22"/>
          <w:szCs w:val="22"/>
        </w:rPr>
        <w:t>ed</w:t>
      </w:r>
      <w:r>
        <w:rPr>
          <w:rFonts w:asciiTheme="minorHAnsi" w:hAnsiTheme="minorHAnsi" w:cstheme="minorHAnsi"/>
          <w:sz w:val="22"/>
          <w:szCs w:val="22"/>
        </w:rPr>
        <w:t xml:space="preserve"> on the actual consumption for the first six months of the current financial year and keeping in view the consumption trend and seasonal impact, consumption for the current financial year has been estimated and the projection for the ensuing financial year has been done. </w:t>
      </w:r>
      <w:r w:rsidRPr="00BD5055">
        <w:rPr>
          <w:rFonts w:asciiTheme="minorHAnsi" w:hAnsiTheme="minorHAnsi" w:cstheme="minorHAnsi"/>
          <w:sz w:val="22"/>
          <w:szCs w:val="22"/>
        </w:rPr>
        <w:t>The category-</w:t>
      </w:r>
      <w:r>
        <w:rPr>
          <w:rFonts w:asciiTheme="minorHAnsi" w:hAnsiTheme="minorHAnsi" w:cstheme="minorHAnsi"/>
          <w:sz w:val="22"/>
          <w:szCs w:val="22"/>
        </w:rPr>
        <w:t>w</w:t>
      </w:r>
      <w:r w:rsidRPr="00BD5055">
        <w:rPr>
          <w:rFonts w:asciiTheme="minorHAnsi" w:hAnsiTheme="minorHAnsi" w:cstheme="minorHAnsi"/>
          <w:sz w:val="22"/>
          <w:szCs w:val="22"/>
        </w:rPr>
        <w:t xml:space="preserve">ise consumption </w:t>
      </w:r>
      <w:r>
        <w:rPr>
          <w:rFonts w:asciiTheme="minorHAnsi" w:hAnsiTheme="minorHAnsi" w:cstheme="minorHAnsi"/>
          <w:sz w:val="22"/>
          <w:szCs w:val="22"/>
        </w:rPr>
        <w:t xml:space="preserve">estimated </w:t>
      </w:r>
      <w:r w:rsidRPr="00BD5055">
        <w:rPr>
          <w:rFonts w:asciiTheme="minorHAnsi" w:hAnsiTheme="minorHAnsi" w:cstheme="minorHAnsi"/>
          <w:sz w:val="22"/>
          <w:szCs w:val="22"/>
        </w:rPr>
        <w:t>for FY 2024-25</w:t>
      </w:r>
      <w:r>
        <w:rPr>
          <w:rFonts w:asciiTheme="minorHAnsi" w:hAnsiTheme="minorHAnsi" w:cstheme="minorHAnsi"/>
          <w:sz w:val="22"/>
          <w:szCs w:val="22"/>
        </w:rPr>
        <w:t xml:space="preserve"> and projected for</w:t>
      </w:r>
      <w:r w:rsidRPr="00BD5055">
        <w:rPr>
          <w:rFonts w:asciiTheme="minorHAnsi" w:hAnsiTheme="minorHAnsi" w:cstheme="minorHAnsi"/>
          <w:sz w:val="22"/>
          <w:szCs w:val="22"/>
        </w:rPr>
        <w:t xml:space="preserve"> </w:t>
      </w:r>
      <w:r>
        <w:rPr>
          <w:rFonts w:asciiTheme="minorHAnsi" w:hAnsiTheme="minorHAnsi" w:cstheme="minorHAnsi"/>
          <w:sz w:val="22"/>
          <w:szCs w:val="22"/>
        </w:rPr>
        <w:t xml:space="preserve">FY 2025-26 </w:t>
      </w:r>
      <w:r w:rsidRPr="00BD5055">
        <w:rPr>
          <w:rFonts w:asciiTheme="minorHAnsi" w:hAnsiTheme="minorHAnsi" w:cstheme="minorHAnsi"/>
          <w:sz w:val="22"/>
          <w:szCs w:val="22"/>
        </w:rPr>
        <w:t>ha</w:t>
      </w:r>
      <w:r>
        <w:rPr>
          <w:rFonts w:asciiTheme="minorHAnsi" w:hAnsiTheme="minorHAnsi" w:cstheme="minorHAnsi"/>
          <w:sz w:val="22"/>
          <w:szCs w:val="22"/>
        </w:rPr>
        <w:t>ve</w:t>
      </w:r>
      <w:r w:rsidRPr="00BD5055">
        <w:rPr>
          <w:rFonts w:asciiTheme="minorHAnsi" w:hAnsiTheme="minorHAnsi" w:cstheme="minorHAnsi"/>
          <w:sz w:val="22"/>
          <w:szCs w:val="22"/>
        </w:rPr>
        <w:t xml:space="preserve"> been depicted in following sections.</w:t>
      </w:r>
    </w:p>
    <w:p w14:paraId="13CCFB22" w14:textId="77777777" w:rsidR="002F2B8B" w:rsidRDefault="002F2B8B" w:rsidP="002F2B8B">
      <w:pPr>
        <w:pStyle w:val="BodyText2"/>
        <w:spacing w:line="360" w:lineRule="auto"/>
        <w:ind w:left="567"/>
        <w:jc w:val="both"/>
        <w:rPr>
          <w:rFonts w:asciiTheme="minorHAnsi" w:hAnsiTheme="minorHAnsi" w:cstheme="minorHAnsi"/>
          <w:b/>
          <w:sz w:val="28"/>
          <w:szCs w:val="28"/>
        </w:rPr>
      </w:pPr>
      <w:r w:rsidRPr="00BD5055">
        <w:rPr>
          <w:rFonts w:asciiTheme="minorHAnsi" w:hAnsiTheme="minorHAnsi" w:cstheme="minorHAnsi"/>
          <w:b/>
          <w:sz w:val="28"/>
          <w:szCs w:val="28"/>
        </w:rPr>
        <w:t>LT Category</w:t>
      </w:r>
    </w:p>
    <w:p w14:paraId="39CB1368" w14:textId="3E726C5A" w:rsidR="002F2B8B" w:rsidRDefault="002F2B8B" w:rsidP="00A35221">
      <w:pPr>
        <w:pStyle w:val="BodyText2"/>
        <w:spacing w:line="360" w:lineRule="auto"/>
        <w:ind w:left="567"/>
        <w:jc w:val="both"/>
        <w:rPr>
          <w:rFonts w:asciiTheme="minorHAnsi" w:hAnsiTheme="minorHAnsi" w:cstheme="minorHAnsi"/>
          <w:sz w:val="22"/>
          <w:szCs w:val="22"/>
        </w:rPr>
      </w:pPr>
      <w:r w:rsidRPr="002724F4">
        <w:rPr>
          <w:rFonts w:asciiTheme="minorHAnsi" w:hAnsiTheme="minorHAnsi" w:cstheme="minorHAnsi"/>
          <w:sz w:val="22"/>
          <w:szCs w:val="22"/>
        </w:rPr>
        <w:t xml:space="preserve">The actual consumption in various categories under LT in FY 2023-24 and in the first six months of the current financial year FY 2024-25 </w:t>
      </w:r>
      <w:proofErr w:type="spellStart"/>
      <w:r w:rsidRPr="002724F4">
        <w:rPr>
          <w:rFonts w:asciiTheme="minorHAnsi" w:hAnsiTheme="minorHAnsi" w:cstheme="minorHAnsi"/>
          <w:sz w:val="22"/>
          <w:szCs w:val="22"/>
        </w:rPr>
        <w:t>alongwith</w:t>
      </w:r>
      <w:proofErr w:type="spellEnd"/>
      <w:r w:rsidRPr="002724F4">
        <w:rPr>
          <w:rFonts w:asciiTheme="minorHAnsi" w:hAnsiTheme="minorHAnsi" w:cstheme="minorHAnsi"/>
          <w:sz w:val="22"/>
          <w:szCs w:val="22"/>
        </w:rPr>
        <w:t xml:space="preserve"> the estimated consumption for FY 2024-25 and projection for FY 2025-26 are presented in the following table.</w:t>
      </w:r>
    </w:p>
    <w:tbl>
      <w:tblPr>
        <w:tblpPr w:leftFromText="180" w:rightFromText="180" w:vertAnchor="text" w:horzAnchor="page" w:tblpX="1645" w:tblpY="426"/>
        <w:tblW w:w="0" w:type="auto"/>
        <w:tblLook w:val="0000" w:firstRow="0" w:lastRow="0" w:firstColumn="0" w:lastColumn="0" w:noHBand="0" w:noVBand="0"/>
      </w:tblPr>
      <w:tblGrid>
        <w:gridCol w:w="775"/>
        <w:gridCol w:w="2194"/>
        <w:gridCol w:w="1559"/>
        <w:gridCol w:w="1701"/>
        <w:gridCol w:w="1843"/>
        <w:gridCol w:w="1410"/>
      </w:tblGrid>
      <w:tr w:rsidR="00A35221" w14:paraId="17EDDE51" w14:textId="77777777" w:rsidTr="005055AB">
        <w:trPr>
          <w:trHeight w:val="581"/>
        </w:trPr>
        <w:tc>
          <w:tcPr>
            <w:tcW w:w="0" w:type="auto"/>
            <w:tcBorders>
              <w:top w:val="single" w:sz="6" w:space="0" w:color="auto"/>
              <w:left w:val="single" w:sz="6" w:space="0" w:color="auto"/>
              <w:bottom w:val="single" w:sz="6" w:space="0" w:color="auto"/>
              <w:right w:val="single" w:sz="6" w:space="0" w:color="auto"/>
            </w:tcBorders>
            <w:shd w:val="clear" w:color="auto" w:fill="95B3D7" w:themeFill="accent1" w:themeFillTint="99"/>
          </w:tcPr>
          <w:p w14:paraId="01AA5EE6" w14:textId="77777777" w:rsidR="00A35221" w:rsidRDefault="00A35221" w:rsidP="005055AB">
            <w:pPr>
              <w:autoSpaceDE w:val="0"/>
              <w:autoSpaceDN w:val="0"/>
              <w:adjustRightInd w:val="0"/>
              <w:jc w:val="center"/>
              <w:rPr>
                <w:rFonts w:ascii="Arial" w:eastAsiaTheme="minorHAnsi" w:hAnsi="Arial" w:cs="Arial"/>
                <w:b/>
                <w:bCs/>
                <w:color w:val="000000"/>
                <w:sz w:val="20"/>
                <w:szCs w:val="20"/>
                <w:lang w:val="en-IN"/>
              </w:rPr>
            </w:pPr>
            <w:r>
              <w:rPr>
                <w:rFonts w:ascii="Arial" w:eastAsiaTheme="minorHAnsi" w:hAnsi="Arial" w:cs="Arial"/>
                <w:b/>
                <w:bCs/>
                <w:color w:val="000000"/>
                <w:sz w:val="20"/>
                <w:szCs w:val="20"/>
                <w:lang w:val="en-IN"/>
              </w:rPr>
              <w:t>Sl. No.</w:t>
            </w:r>
          </w:p>
        </w:tc>
        <w:tc>
          <w:tcPr>
            <w:tcW w:w="2194" w:type="dxa"/>
            <w:tcBorders>
              <w:top w:val="single" w:sz="6" w:space="0" w:color="auto"/>
              <w:left w:val="single" w:sz="6" w:space="0" w:color="auto"/>
              <w:bottom w:val="single" w:sz="6" w:space="0" w:color="auto"/>
              <w:right w:val="single" w:sz="6" w:space="0" w:color="auto"/>
            </w:tcBorders>
            <w:shd w:val="clear" w:color="auto" w:fill="95B3D7" w:themeFill="accent1" w:themeFillTint="99"/>
          </w:tcPr>
          <w:p w14:paraId="00075E72" w14:textId="77777777" w:rsidR="00A35221" w:rsidRDefault="00A35221" w:rsidP="005055AB">
            <w:pPr>
              <w:autoSpaceDE w:val="0"/>
              <w:autoSpaceDN w:val="0"/>
              <w:adjustRightInd w:val="0"/>
              <w:jc w:val="center"/>
              <w:rPr>
                <w:rFonts w:ascii="Arial" w:eastAsiaTheme="minorHAnsi" w:hAnsi="Arial" w:cs="Arial"/>
                <w:b/>
                <w:bCs/>
                <w:color w:val="000000"/>
                <w:sz w:val="20"/>
                <w:szCs w:val="20"/>
                <w:lang w:val="en-IN"/>
              </w:rPr>
            </w:pPr>
            <w:r>
              <w:rPr>
                <w:rFonts w:ascii="Arial" w:eastAsiaTheme="minorHAnsi" w:hAnsi="Arial" w:cs="Arial"/>
                <w:b/>
                <w:bCs/>
                <w:color w:val="000000"/>
                <w:sz w:val="20"/>
                <w:szCs w:val="20"/>
                <w:lang w:val="en-IN"/>
              </w:rPr>
              <w:t>LT Category</w:t>
            </w:r>
          </w:p>
        </w:tc>
        <w:tc>
          <w:tcPr>
            <w:tcW w:w="1559" w:type="dxa"/>
            <w:tcBorders>
              <w:top w:val="single" w:sz="6" w:space="0" w:color="auto"/>
              <w:left w:val="single" w:sz="6" w:space="0" w:color="auto"/>
              <w:bottom w:val="single" w:sz="6" w:space="0" w:color="auto"/>
              <w:right w:val="single" w:sz="6" w:space="0" w:color="auto"/>
            </w:tcBorders>
            <w:shd w:val="clear" w:color="auto" w:fill="95B3D7" w:themeFill="accent1" w:themeFillTint="99"/>
          </w:tcPr>
          <w:p w14:paraId="35BEFA6F" w14:textId="77777777" w:rsidR="00A35221" w:rsidRDefault="00A35221" w:rsidP="005055AB">
            <w:pPr>
              <w:autoSpaceDE w:val="0"/>
              <w:autoSpaceDN w:val="0"/>
              <w:adjustRightInd w:val="0"/>
              <w:jc w:val="center"/>
              <w:rPr>
                <w:rFonts w:ascii="Calibri" w:eastAsiaTheme="minorHAnsi" w:hAnsi="Calibri" w:cs="Calibri"/>
                <w:b/>
                <w:bCs/>
                <w:color w:val="000000"/>
                <w:sz w:val="22"/>
                <w:szCs w:val="22"/>
                <w:lang w:val="en-IN"/>
              </w:rPr>
            </w:pPr>
            <w:r>
              <w:rPr>
                <w:rFonts w:ascii="Calibri" w:eastAsiaTheme="minorHAnsi" w:hAnsi="Calibri" w:cs="Calibri"/>
                <w:b/>
                <w:bCs/>
                <w:color w:val="000000"/>
                <w:sz w:val="22"/>
                <w:szCs w:val="22"/>
                <w:lang w:val="en-IN"/>
              </w:rPr>
              <w:t>FY 2023-24</w:t>
            </w:r>
          </w:p>
          <w:p w14:paraId="7A9A3594" w14:textId="77777777" w:rsidR="00A35221" w:rsidRDefault="00A35221" w:rsidP="005055AB">
            <w:pPr>
              <w:autoSpaceDE w:val="0"/>
              <w:autoSpaceDN w:val="0"/>
              <w:adjustRightInd w:val="0"/>
              <w:jc w:val="center"/>
              <w:rPr>
                <w:rFonts w:ascii="Calibri" w:eastAsiaTheme="minorHAnsi" w:hAnsi="Calibri" w:cs="Calibri"/>
                <w:b/>
                <w:bCs/>
                <w:color w:val="000000"/>
                <w:sz w:val="22"/>
                <w:szCs w:val="22"/>
                <w:lang w:val="en-IN"/>
              </w:rPr>
            </w:pPr>
            <w:r>
              <w:rPr>
                <w:rFonts w:ascii="Calibri" w:eastAsiaTheme="minorHAnsi" w:hAnsi="Calibri" w:cs="Calibri"/>
                <w:b/>
                <w:bCs/>
                <w:color w:val="000000"/>
                <w:sz w:val="22"/>
                <w:szCs w:val="22"/>
                <w:lang w:val="en-IN"/>
              </w:rPr>
              <w:t>(Actual)</w:t>
            </w:r>
          </w:p>
        </w:tc>
        <w:tc>
          <w:tcPr>
            <w:tcW w:w="1701" w:type="dxa"/>
            <w:tcBorders>
              <w:top w:val="single" w:sz="6" w:space="0" w:color="auto"/>
              <w:left w:val="single" w:sz="6" w:space="0" w:color="auto"/>
              <w:bottom w:val="single" w:sz="6" w:space="0" w:color="auto"/>
              <w:right w:val="single" w:sz="6" w:space="0" w:color="auto"/>
            </w:tcBorders>
            <w:shd w:val="clear" w:color="auto" w:fill="95B3D7" w:themeFill="accent1" w:themeFillTint="99"/>
          </w:tcPr>
          <w:p w14:paraId="0906660E" w14:textId="484DA27E" w:rsidR="00A35221" w:rsidRDefault="00A35221" w:rsidP="005055AB">
            <w:pPr>
              <w:autoSpaceDE w:val="0"/>
              <w:autoSpaceDN w:val="0"/>
              <w:adjustRightInd w:val="0"/>
              <w:jc w:val="center"/>
              <w:rPr>
                <w:rFonts w:ascii="Calibri" w:eastAsiaTheme="minorHAnsi" w:hAnsi="Calibri" w:cs="Calibri"/>
                <w:b/>
                <w:bCs/>
                <w:color w:val="000000"/>
                <w:sz w:val="22"/>
                <w:szCs w:val="22"/>
                <w:lang w:val="en-IN"/>
              </w:rPr>
            </w:pPr>
            <w:r>
              <w:rPr>
                <w:rFonts w:ascii="Calibri" w:eastAsiaTheme="minorHAnsi" w:hAnsi="Calibri" w:cs="Calibri"/>
                <w:b/>
                <w:bCs/>
                <w:color w:val="000000"/>
                <w:sz w:val="22"/>
                <w:szCs w:val="22"/>
                <w:lang w:val="en-IN"/>
              </w:rPr>
              <w:t>FY 2024-25_H1 (Actual)</w:t>
            </w:r>
          </w:p>
        </w:tc>
        <w:tc>
          <w:tcPr>
            <w:tcW w:w="1843" w:type="dxa"/>
            <w:tcBorders>
              <w:top w:val="single" w:sz="6" w:space="0" w:color="auto"/>
              <w:left w:val="single" w:sz="6" w:space="0" w:color="auto"/>
              <w:bottom w:val="single" w:sz="6" w:space="0" w:color="auto"/>
              <w:right w:val="single" w:sz="6" w:space="0" w:color="auto"/>
            </w:tcBorders>
            <w:shd w:val="clear" w:color="auto" w:fill="95B3D7" w:themeFill="accent1" w:themeFillTint="99"/>
          </w:tcPr>
          <w:p w14:paraId="5585E128" w14:textId="77777777" w:rsidR="00A35221" w:rsidRDefault="00A35221" w:rsidP="005055AB">
            <w:pPr>
              <w:autoSpaceDE w:val="0"/>
              <w:autoSpaceDN w:val="0"/>
              <w:adjustRightInd w:val="0"/>
              <w:jc w:val="center"/>
              <w:rPr>
                <w:rFonts w:ascii="Calibri" w:eastAsiaTheme="minorHAnsi" w:hAnsi="Calibri" w:cs="Calibri"/>
                <w:b/>
                <w:bCs/>
                <w:color w:val="000000"/>
                <w:sz w:val="22"/>
                <w:szCs w:val="22"/>
                <w:lang w:val="en-IN"/>
              </w:rPr>
            </w:pPr>
            <w:r>
              <w:rPr>
                <w:rFonts w:ascii="Calibri" w:eastAsiaTheme="minorHAnsi" w:hAnsi="Calibri" w:cs="Calibri"/>
                <w:b/>
                <w:bCs/>
                <w:color w:val="000000"/>
                <w:sz w:val="22"/>
                <w:szCs w:val="22"/>
                <w:lang w:val="en-IN"/>
              </w:rPr>
              <w:t>FY 2024-25 (Estimated)</w:t>
            </w:r>
          </w:p>
        </w:tc>
        <w:tc>
          <w:tcPr>
            <w:tcW w:w="1410" w:type="dxa"/>
            <w:tcBorders>
              <w:top w:val="single" w:sz="6" w:space="0" w:color="auto"/>
              <w:left w:val="single" w:sz="6" w:space="0" w:color="auto"/>
              <w:bottom w:val="single" w:sz="6" w:space="0" w:color="auto"/>
              <w:right w:val="single" w:sz="6" w:space="0" w:color="auto"/>
            </w:tcBorders>
            <w:shd w:val="clear" w:color="auto" w:fill="95B3D7" w:themeFill="accent1" w:themeFillTint="99"/>
          </w:tcPr>
          <w:p w14:paraId="0C1B8C9B" w14:textId="77777777" w:rsidR="00A35221" w:rsidRDefault="00A35221" w:rsidP="005055AB">
            <w:pPr>
              <w:autoSpaceDE w:val="0"/>
              <w:autoSpaceDN w:val="0"/>
              <w:adjustRightInd w:val="0"/>
              <w:jc w:val="center"/>
              <w:rPr>
                <w:rFonts w:ascii="Calibri" w:eastAsiaTheme="minorHAnsi" w:hAnsi="Calibri" w:cs="Calibri"/>
                <w:b/>
                <w:bCs/>
                <w:color w:val="000000"/>
                <w:sz w:val="22"/>
                <w:szCs w:val="22"/>
                <w:lang w:val="en-IN"/>
              </w:rPr>
            </w:pPr>
            <w:r>
              <w:rPr>
                <w:rFonts w:ascii="Calibri" w:eastAsiaTheme="minorHAnsi" w:hAnsi="Calibri" w:cs="Calibri"/>
                <w:b/>
                <w:bCs/>
                <w:color w:val="000000"/>
                <w:sz w:val="22"/>
                <w:szCs w:val="22"/>
                <w:lang w:val="en-IN"/>
              </w:rPr>
              <w:t>FY 2025-26 (Projection)</w:t>
            </w:r>
          </w:p>
        </w:tc>
      </w:tr>
      <w:tr w:rsidR="00A35221" w14:paraId="1DFDD6D4" w14:textId="77777777" w:rsidTr="005055AB">
        <w:trPr>
          <w:trHeight w:val="290"/>
        </w:trPr>
        <w:tc>
          <w:tcPr>
            <w:tcW w:w="0" w:type="auto"/>
            <w:tcBorders>
              <w:top w:val="single" w:sz="6" w:space="0" w:color="auto"/>
              <w:left w:val="single" w:sz="6" w:space="0" w:color="auto"/>
              <w:bottom w:val="single" w:sz="6" w:space="0" w:color="auto"/>
              <w:right w:val="single" w:sz="6" w:space="0" w:color="auto"/>
            </w:tcBorders>
          </w:tcPr>
          <w:p w14:paraId="1B769242" w14:textId="77777777" w:rsidR="00A35221" w:rsidRDefault="00A35221" w:rsidP="00A35221">
            <w:pPr>
              <w:autoSpaceDE w:val="0"/>
              <w:autoSpaceDN w:val="0"/>
              <w:adjustRightInd w:val="0"/>
              <w:jc w:val="center"/>
              <w:rPr>
                <w:rFonts w:ascii="Calibri" w:eastAsiaTheme="minorHAnsi" w:hAnsi="Calibri" w:cs="Calibri"/>
                <w:color w:val="000000"/>
                <w:sz w:val="22"/>
                <w:szCs w:val="22"/>
                <w:lang w:val="en-IN"/>
              </w:rPr>
            </w:pPr>
            <w:r>
              <w:rPr>
                <w:rFonts w:ascii="Calibri" w:eastAsiaTheme="minorHAnsi" w:hAnsi="Calibri" w:cs="Calibri"/>
                <w:color w:val="000000"/>
                <w:sz w:val="22"/>
                <w:szCs w:val="22"/>
                <w:lang w:val="en-IN"/>
              </w:rPr>
              <w:t>1</w:t>
            </w:r>
          </w:p>
        </w:tc>
        <w:tc>
          <w:tcPr>
            <w:tcW w:w="2194" w:type="dxa"/>
            <w:tcBorders>
              <w:top w:val="single" w:sz="6" w:space="0" w:color="auto"/>
              <w:left w:val="single" w:sz="6" w:space="0" w:color="auto"/>
              <w:bottom w:val="single" w:sz="6" w:space="0" w:color="auto"/>
              <w:right w:val="single" w:sz="6" w:space="0" w:color="auto"/>
            </w:tcBorders>
          </w:tcPr>
          <w:p w14:paraId="2ED5B6BC" w14:textId="77777777" w:rsidR="00A35221" w:rsidRDefault="00A35221" w:rsidP="00A35221">
            <w:pPr>
              <w:autoSpaceDE w:val="0"/>
              <w:autoSpaceDN w:val="0"/>
              <w:adjustRightInd w:val="0"/>
              <w:rPr>
                <w:rFonts w:ascii="Calibri" w:eastAsiaTheme="minorHAnsi" w:hAnsi="Calibri" w:cs="Calibri"/>
                <w:color w:val="000000"/>
                <w:sz w:val="22"/>
                <w:szCs w:val="22"/>
                <w:lang w:val="en-IN"/>
              </w:rPr>
            </w:pPr>
            <w:r>
              <w:rPr>
                <w:rFonts w:ascii="Calibri" w:eastAsiaTheme="minorHAnsi" w:hAnsi="Calibri" w:cs="Calibri"/>
                <w:color w:val="000000"/>
                <w:sz w:val="22"/>
                <w:szCs w:val="22"/>
                <w:lang w:val="en-IN"/>
              </w:rPr>
              <w:t>Domestic</w:t>
            </w:r>
          </w:p>
        </w:tc>
        <w:tc>
          <w:tcPr>
            <w:tcW w:w="1559" w:type="dxa"/>
            <w:tcBorders>
              <w:top w:val="single" w:sz="6" w:space="0" w:color="auto"/>
              <w:left w:val="single" w:sz="6" w:space="0" w:color="auto"/>
              <w:bottom w:val="single" w:sz="6" w:space="0" w:color="auto"/>
              <w:right w:val="single" w:sz="6" w:space="0" w:color="auto"/>
            </w:tcBorders>
          </w:tcPr>
          <w:p w14:paraId="57D00C15" w14:textId="77777777" w:rsidR="00A35221" w:rsidRDefault="00A35221" w:rsidP="00A35221">
            <w:pPr>
              <w:autoSpaceDE w:val="0"/>
              <w:autoSpaceDN w:val="0"/>
              <w:adjustRightInd w:val="0"/>
              <w:jc w:val="center"/>
              <w:rPr>
                <w:rFonts w:ascii="Calibri" w:eastAsiaTheme="minorHAnsi" w:hAnsi="Calibri" w:cs="Calibri"/>
                <w:color w:val="000000"/>
                <w:sz w:val="22"/>
                <w:szCs w:val="22"/>
                <w:lang w:val="en-IN"/>
              </w:rPr>
            </w:pPr>
            <w:r>
              <w:rPr>
                <w:rFonts w:ascii="Calibri" w:eastAsiaTheme="minorHAnsi" w:hAnsi="Calibri" w:cs="Calibri"/>
                <w:color w:val="000000"/>
                <w:sz w:val="22"/>
                <w:szCs w:val="22"/>
                <w:lang w:val="en-IN"/>
              </w:rPr>
              <w:t>1457.31</w:t>
            </w:r>
          </w:p>
        </w:tc>
        <w:tc>
          <w:tcPr>
            <w:tcW w:w="1701" w:type="dxa"/>
            <w:tcBorders>
              <w:top w:val="single" w:sz="6" w:space="0" w:color="auto"/>
              <w:left w:val="single" w:sz="6" w:space="0" w:color="auto"/>
              <w:bottom w:val="single" w:sz="6" w:space="0" w:color="auto"/>
              <w:right w:val="single" w:sz="6" w:space="0" w:color="auto"/>
            </w:tcBorders>
          </w:tcPr>
          <w:p w14:paraId="636C6DE6" w14:textId="77777777" w:rsidR="00A35221" w:rsidRDefault="00A35221" w:rsidP="00A35221">
            <w:pPr>
              <w:autoSpaceDE w:val="0"/>
              <w:autoSpaceDN w:val="0"/>
              <w:adjustRightInd w:val="0"/>
              <w:jc w:val="center"/>
              <w:rPr>
                <w:rFonts w:ascii="Calibri" w:eastAsiaTheme="minorHAnsi" w:hAnsi="Calibri" w:cs="Calibri"/>
                <w:color w:val="000000"/>
                <w:sz w:val="22"/>
                <w:szCs w:val="22"/>
                <w:lang w:val="en-IN"/>
              </w:rPr>
            </w:pPr>
            <w:r>
              <w:rPr>
                <w:rFonts w:ascii="Calibri" w:eastAsiaTheme="minorHAnsi" w:hAnsi="Calibri" w:cs="Calibri"/>
                <w:color w:val="000000"/>
                <w:sz w:val="22"/>
                <w:szCs w:val="22"/>
                <w:lang w:val="en-IN"/>
              </w:rPr>
              <w:t>1065.14</w:t>
            </w:r>
          </w:p>
        </w:tc>
        <w:tc>
          <w:tcPr>
            <w:tcW w:w="1843" w:type="dxa"/>
            <w:tcBorders>
              <w:top w:val="single" w:sz="6" w:space="0" w:color="auto"/>
              <w:left w:val="single" w:sz="6" w:space="0" w:color="auto"/>
              <w:bottom w:val="single" w:sz="6" w:space="0" w:color="auto"/>
              <w:right w:val="single" w:sz="6" w:space="0" w:color="auto"/>
            </w:tcBorders>
          </w:tcPr>
          <w:p w14:paraId="51C0FC73" w14:textId="77777777" w:rsidR="00A35221" w:rsidRDefault="00A35221" w:rsidP="00A35221">
            <w:pPr>
              <w:autoSpaceDE w:val="0"/>
              <w:autoSpaceDN w:val="0"/>
              <w:adjustRightInd w:val="0"/>
              <w:jc w:val="center"/>
              <w:rPr>
                <w:rFonts w:ascii="Calibri" w:eastAsiaTheme="minorHAnsi" w:hAnsi="Calibri" w:cs="Calibri"/>
                <w:color w:val="000000"/>
                <w:sz w:val="22"/>
                <w:szCs w:val="22"/>
                <w:lang w:val="en-IN"/>
              </w:rPr>
            </w:pPr>
            <w:r>
              <w:rPr>
                <w:rFonts w:ascii="Calibri" w:eastAsiaTheme="minorHAnsi" w:hAnsi="Calibri" w:cs="Calibri"/>
                <w:color w:val="000000"/>
                <w:sz w:val="22"/>
                <w:szCs w:val="22"/>
                <w:lang w:val="en-IN"/>
              </w:rPr>
              <w:t>1801.82</w:t>
            </w:r>
          </w:p>
        </w:tc>
        <w:tc>
          <w:tcPr>
            <w:tcW w:w="1410" w:type="dxa"/>
            <w:tcBorders>
              <w:top w:val="single" w:sz="6" w:space="0" w:color="auto"/>
              <w:left w:val="single" w:sz="6" w:space="0" w:color="auto"/>
              <w:bottom w:val="single" w:sz="6" w:space="0" w:color="auto"/>
              <w:right w:val="single" w:sz="6" w:space="0" w:color="auto"/>
            </w:tcBorders>
          </w:tcPr>
          <w:p w14:paraId="73A1B731" w14:textId="77777777" w:rsidR="00A35221" w:rsidRDefault="00A35221" w:rsidP="00A35221">
            <w:pPr>
              <w:autoSpaceDE w:val="0"/>
              <w:autoSpaceDN w:val="0"/>
              <w:adjustRightInd w:val="0"/>
              <w:jc w:val="center"/>
              <w:rPr>
                <w:rFonts w:ascii="Calibri" w:eastAsiaTheme="minorHAnsi" w:hAnsi="Calibri" w:cs="Calibri"/>
                <w:color w:val="000000"/>
                <w:sz w:val="22"/>
                <w:szCs w:val="22"/>
                <w:lang w:val="en-IN"/>
              </w:rPr>
            </w:pPr>
            <w:r>
              <w:rPr>
                <w:rFonts w:ascii="Calibri" w:eastAsiaTheme="minorHAnsi" w:hAnsi="Calibri" w:cs="Calibri"/>
                <w:color w:val="000000"/>
                <w:sz w:val="22"/>
                <w:szCs w:val="22"/>
                <w:lang w:val="en-IN"/>
              </w:rPr>
              <w:t>1880.66</w:t>
            </w:r>
          </w:p>
        </w:tc>
      </w:tr>
      <w:tr w:rsidR="00A35221" w14:paraId="37A8BEE0" w14:textId="77777777" w:rsidTr="005055AB">
        <w:trPr>
          <w:trHeight w:val="290"/>
        </w:trPr>
        <w:tc>
          <w:tcPr>
            <w:tcW w:w="0" w:type="auto"/>
            <w:tcBorders>
              <w:top w:val="single" w:sz="6" w:space="0" w:color="auto"/>
              <w:left w:val="single" w:sz="6" w:space="0" w:color="auto"/>
              <w:bottom w:val="single" w:sz="6" w:space="0" w:color="auto"/>
              <w:right w:val="single" w:sz="6" w:space="0" w:color="auto"/>
            </w:tcBorders>
          </w:tcPr>
          <w:p w14:paraId="2E273897" w14:textId="77777777" w:rsidR="00A35221" w:rsidRDefault="00A35221" w:rsidP="00A35221">
            <w:pPr>
              <w:autoSpaceDE w:val="0"/>
              <w:autoSpaceDN w:val="0"/>
              <w:adjustRightInd w:val="0"/>
              <w:jc w:val="center"/>
              <w:rPr>
                <w:rFonts w:ascii="Calibri" w:eastAsiaTheme="minorHAnsi" w:hAnsi="Calibri" w:cs="Calibri"/>
                <w:color w:val="000000"/>
                <w:sz w:val="22"/>
                <w:szCs w:val="22"/>
                <w:lang w:val="en-IN"/>
              </w:rPr>
            </w:pPr>
            <w:r>
              <w:rPr>
                <w:rFonts w:ascii="Calibri" w:eastAsiaTheme="minorHAnsi" w:hAnsi="Calibri" w:cs="Calibri"/>
                <w:color w:val="000000"/>
                <w:sz w:val="22"/>
                <w:szCs w:val="22"/>
                <w:lang w:val="en-IN"/>
              </w:rPr>
              <w:t>2</w:t>
            </w:r>
          </w:p>
        </w:tc>
        <w:tc>
          <w:tcPr>
            <w:tcW w:w="2194" w:type="dxa"/>
            <w:tcBorders>
              <w:top w:val="single" w:sz="6" w:space="0" w:color="auto"/>
              <w:left w:val="single" w:sz="6" w:space="0" w:color="auto"/>
              <w:bottom w:val="single" w:sz="6" w:space="0" w:color="auto"/>
              <w:right w:val="single" w:sz="6" w:space="0" w:color="auto"/>
            </w:tcBorders>
          </w:tcPr>
          <w:p w14:paraId="31B2CDD3" w14:textId="77777777" w:rsidR="00A35221" w:rsidRDefault="00A35221" w:rsidP="00A35221">
            <w:pPr>
              <w:autoSpaceDE w:val="0"/>
              <w:autoSpaceDN w:val="0"/>
              <w:adjustRightInd w:val="0"/>
              <w:rPr>
                <w:rFonts w:ascii="Calibri" w:eastAsiaTheme="minorHAnsi" w:hAnsi="Calibri" w:cs="Calibri"/>
                <w:color w:val="000000"/>
                <w:sz w:val="22"/>
                <w:szCs w:val="22"/>
                <w:lang w:val="en-IN"/>
              </w:rPr>
            </w:pPr>
            <w:r>
              <w:rPr>
                <w:rFonts w:ascii="Calibri" w:eastAsiaTheme="minorHAnsi" w:hAnsi="Calibri" w:cs="Calibri"/>
                <w:color w:val="000000"/>
                <w:sz w:val="22"/>
                <w:szCs w:val="22"/>
                <w:lang w:val="en-IN"/>
              </w:rPr>
              <w:t>General Purpose&lt;100 kw</w:t>
            </w:r>
          </w:p>
        </w:tc>
        <w:tc>
          <w:tcPr>
            <w:tcW w:w="1559" w:type="dxa"/>
            <w:tcBorders>
              <w:top w:val="single" w:sz="6" w:space="0" w:color="auto"/>
              <w:left w:val="single" w:sz="6" w:space="0" w:color="auto"/>
              <w:bottom w:val="single" w:sz="6" w:space="0" w:color="auto"/>
              <w:right w:val="single" w:sz="6" w:space="0" w:color="auto"/>
            </w:tcBorders>
          </w:tcPr>
          <w:p w14:paraId="338EF0BE" w14:textId="77777777" w:rsidR="00A35221" w:rsidRDefault="00A35221" w:rsidP="00A35221">
            <w:pPr>
              <w:autoSpaceDE w:val="0"/>
              <w:autoSpaceDN w:val="0"/>
              <w:adjustRightInd w:val="0"/>
              <w:jc w:val="center"/>
              <w:rPr>
                <w:rFonts w:ascii="Calibri" w:eastAsiaTheme="minorHAnsi" w:hAnsi="Calibri" w:cs="Calibri"/>
                <w:color w:val="000000"/>
                <w:sz w:val="22"/>
                <w:szCs w:val="22"/>
                <w:lang w:val="en-IN"/>
              </w:rPr>
            </w:pPr>
            <w:r>
              <w:rPr>
                <w:rFonts w:ascii="Calibri" w:eastAsiaTheme="minorHAnsi" w:hAnsi="Calibri" w:cs="Calibri"/>
                <w:color w:val="000000"/>
                <w:sz w:val="22"/>
                <w:szCs w:val="22"/>
                <w:lang w:val="en-IN"/>
              </w:rPr>
              <w:t>438.03</w:t>
            </w:r>
          </w:p>
        </w:tc>
        <w:tc>
          <w:tcPr>
            <w:tcW w:w="1701" w:type="dxa"/>
            <w:tcBorders>
              <w:top w:val="single" w:sz="6" w:space="0" w:color="auto"/>
              <w:left w:val="single" w:sz="6" w:space="0" w:color="auto"/>
              <w:bottom w:val="single" w:sz="6" w:space="0" w:color="auto"/>
              <w:right w:val="single" w:sz="6" w:space="0" w:color="auto"/>
            </w:tcBorders>
          </w:tcPr>
          <w:p w14:paraId="0DB681BE" w14:textId="77777777" w:rsidR="00A35221" w:rsidRDefault="00A35221" w:rsidP="00A35221">
            <w:pPr>
              <w:autoSpaceDE w:val="0"/>
              <w:autoSpaceDN w:val="0"/>
              <w:adjustRightInd w:val="0"/>
              <w:jc w:val="center"/>
              <w:rPr>
                <w:rFonts w:ascii="Calibri" w:eastAsiaTheme="minorHAnsi" w:hAnsi="Calibri" w:cs="Calibri"/>
                <w:color w:val="000000"/>
                <w:sz w:val="22"/>
                <w:szCs w:val="22"/>
                <w:lang w:val="en-IN"/>
              </w:rPr>
            </w:pPr>
            <w:r>
              <w:rPr>
                <w:rFonts w:ascii="Calibri" w:eastAsiaTheme="minorHAnsi" w:hAnsi="Calibri" w:cs="Calibri"/>
                <w:color w:val="000000"/>
                <w:sz w:val="22"/>
                <w:szCs w:val="22"/>
                <w:lang w:val="en-IN"/>
              </w:rPr>
              <w:t>262.71</w:t>
            </w:r>
          </w:p>
        </w:tc>
        <w:tc>
          <w:tcPr>
            <w:tcW w:w="1843" w:type="dxa"/>
            <w:tcBorders>
              <w:top w:val="single" w:sz="6" w:space="0" w:color="auto"/>
              <w:left w:val="single" w:sz="6" w:space="0" w:color="auto"/>
              <w:bottom w:val="single" w:sz="6" w:space="0" w:color="auto"/>
              <w:right w:val="single" w:sz="6" w:space="0" w:color="auto"/>
            </w:tcBorders>
          </w:tcPr>
          <w:p w14:paraId="2D9C0BE6" w14:textId="77777777" w:rsidR="00A35221" w:rsidRDefault="00A35221" w:rsidP="00A35221">
            <w:pPr>
              <w:autoSpaceDE w:val="0"/>
              <w:autoSpaceDN w:val="0"/>
              <w:adjustRightInd w:val="0"/>
              <w:jc w:val="center"/>
              <w:rPr>
                <w:rFonts w:ascii="Calibri" w:eastAsiaTheme="minorHAnsi" w:hAnsi="Calibri" w:cs="Calibri"/>
                <w:color w:val="000000"/>
                <w:sz w:val="22"/>
                <w:szCs w:val="22"/>
                <w:lang w:val="en-IN"/>
              </w:rPr>
            </w:pPr>
            <w:r>
              <w:rPr>
                <w:rFonts w:ascii="Calibri" w:eastAsiaTheme="minorHAnsi" w:hAnsi="Calibri" w:cs="Calibri"/>
                <w:color w:val="000000"/>
                <w:sz w:val="22"/>
                <w:szCs w:val="22"/>
                <w:lang w:val="en-IN"/>
              </w:rPr>
              <w:t>488.63</w:t>
            </w:r>
          </w:p>
        </w:tc>
        <w:tc>
          <w:tcPr>
            <w:tcW w:w="1410" w:type="dxa"/>
            <w:tcBorders>
              <w:top w:val="single" w:sz="6" w:space="0" w:color="auto"/>
              <w:left w:val="single" w:sz="6" w:space="0" w:color="auto"/>
              <w:bottom w:val="single" w:sz="6" w:space="0" w:color="auto"/>
              <w:right w:val="single" w:sz="6" w:space="0" w:color="auto"/>
            </w:tcBorders>
          </w:tcPr>
          <w:p w14:paraId="56814108" w14:textId="77777777" w:rsidR="00A35221" w:rsidRDefault="00A35221" w:rsidP="00A35221">
            <w:pPr>
              <w:autoSpaceDE w:val="0"/>
              <w:autoSpaceDN w:val="0"/>
              <w:adjustRightInd w:val="0"/>
              <w:jc w:val="center"/>
              <w:rPr>
                <w:rFonts w:ascii="Calibri" w:eastAsiaTheme="minorHAnsi" w:hAnsi="Calibri" w:cs="Calibri"/>
                <w:color w:val="000000"/>
                <w:sz w:val="22"/>
                <w:szCs w:val="22"/>
                <w:lang w:val="en-IN"/>
              </w:rPr>
            </w:pPr>
            <w:r>
              <w:rPr>
                <w:rFonts w:ascii="Calibri" w:eastAsiaTheme="minorHAnsi" w:hAnsi="Calibri" w:cs="Calibri"/>
                <w:color w:val="000000"/>
                <w:sz w:val="22"/>
                <w:szCs w:val="22"/>
                <w:lang w:val="en-IN"/>
              </w:rPr>
              <w:t>544.02</w:t>
            </w:r>
          </w:p>
        </w:tc>
      </w:tr>
      <w:tr w:rsidR="00A35221" w14:paraId="1CEC8764" w14:textId="77777777" w:rsidTr="005055AB">
        <w:trPr>
          <w:trHeight w:val="290"/>
        </w:trPr>
        <w:tc>
          <w:tcPr>
            <w:tcW w:w="0" w:type="auto"/>
            <w:tcBorders>
              <w:top w:val="single" w:sz="6" w:space="0" w:color="auto"/>
              <w:left w:val="single" w:sz="6" w:space="0" w:color="auto"/>
              <w:bottom w:val="single" w:sz="6" w:space="0" w:color="auto"/>
              <w:right w:val="single" w:sz="6" w:space="0" w:color="auto"/>
            </w:tcBorders>
          </w:tcPr>
          <w:p w14:paraId="5FAF7196" w14:textId="77777777" w:rsidR="00A35221" w:rsidRDefault="00A35221" w:rsidP="00A35221">
            <w:pPr>
              <w:autoSpaceDE w:val="0"/>
              <w:autoSpaceDN w:val="0"/>
              <w:adjustRightInd w:val="0"/>
              <w:jc w:val="center"/>
              <w:rPr>
                <w:rFonts w:ascii="Calibri" w:eastAsiaTheme="minorHAnsi" w:hAnsi="Calibri" w:cs="Calibri"/>
                <w:color w:val="000000"/>
                <w:sz w:val="22"/>
                <w:szCs w:val="22"/>
                <w:lang w:val="en-IN"/>
              </w:rPr>
            </w:pPr>
            <w:r>
              <w:rPr>
                <w:rFonts w:ascii="Calibri" w:eastAsiaTheme="minorHAnsi" w:hAnsi="Calibri" w:cs="Calibri"/>
                <w:color w:val="000000"/>
                <w:sz w:val="22"/>
                <w:szCs w:val="22"/>
                <w:lang w:val="en-IN"/>
              </w:rPr>
              <w:t>3</w:t>
            </w:r>
          </w:p>
        </w:tc>
        <w:tc>
          <w:tcPr>
            <w:tcW w:w="2194" w:type="dxa"/>
            <w:tcBorders>
              <w:top w:val="single" w:sz="6" w:space="0" w:color="auto"/>
              <w:left w:val="single" w:sz="6" w:space="0" w:color="auto"/>
              <w:bottom w:val="single" w:sz="6" w:space="0" w:color="auto"/>
              <w:right w:val="single" w:sz="6" w:space="0" w:color="auto"/>
            </w:tcBorders>
          </w:tcPr>
          <w:p w14:paraId="68A57C01" w14:textId="77777777" w:rsidR="00A35221" w:rsidRDefault="00A35221" w:rsidP="00A35221">
            <w:pPr>
              <w:autoSpaceDE w:val="0"/>
              <w:autoSpaceDN w:val="0"/>
              <w:adjustRightInd w:val="0"/>
              <w:rPr>
                <w:rFonts w:ascii="Calibri" w:eastAsiaTheme="minorHAnsi" w:hAnsi="Calibri" w:cs="Calibri"/>
                <w:color w:val="000000"/>
                <w:sz w:val="22"/>
                <w:szCs w:val="22"/>
                <w:lang w:val="en-IN"/>
              </w:rPr>
            </w:pPr>
            <w:r>
              <w:rPr>
                <w:rFonts w:ascii="Calibri" w:eastAsiaTheme="minorHAnsi" w:hAnsi="Calibri" w:cs="Calibri"/>
                <w:color w:val="000000"/>
                <w:sz w:val="22"/>
                <w:szCs w:val="22"/>
                <w:lang w:val="en-IN"/>
              </w:rPr>
              <w:t>Specified public purpose</w:t>
            </w:r>
          </w:p>
        </w:tc>
        <w:tc>
          <w:tcPr>
            <w:tcW w:w="1559" w:type="dxa"/>
            <w:tcBorders>
              <w:top w:val="single" w:sz="6" w:space="0" w:color="auto"/>
              <w:left w:val="single" w:sz="6" w:space="0" w:color="auto"/>
              <w:bottom w:val="single" w:sz="6" w:space="0" w:color="auto"/>
              <w:right w:val="single" w:sz="6" w:space="0" w:color="auto"/>
            </w:tcBorders>
          </w:tcPr>
          <w:p w14:paraId="2F931D83" w14:textId="77777777" w:rsidR="00A35221" w:rsidRDefault="00A35221" w:rsidP="00A35221">
            <w:pPr>
              <w:autoSpaceDE w:val="0"/>
              <w:autoSpaceDN w:val="0"/>
              <w:adjustRightInd w:val="0"/>
              <w:jc w:val="center"/>
              <w:rPr>
                <w:rFonts w:ascii="Calibri" w:eastAsiaTheme="minorHAnsi" w:hAnsi="Calibri" w:cs="Calibri"/>
                <w:color w:val="000000"/>
                <w:sz w:val="22"/>
                <w:szCs w:val="22"/>
                <w:lang w:val="en-IN"/>
              </w:rPr>
            </w:pPr>
            <w:r>
              <w:rPr>
                <w:rFonts w:ascii="Calibri" w:eastAsiaTheme="minorHAnsi" w:hAnsi="Calibri" w:cs="Calibri"/>
                <w:color w:val="000000"/>
                <w:sz w:val="22"/>
                <w:szCs w:val="22"/>
                <w:lang w:val="en-IN"/>
              </w:rPr>
              <w:t>42.21</w:t>
            </w:r>
          </w:p>
        </w:tc>
        <w:tc>
          <w:tcPr>
            <w:tcW w:w="1701" w:type="dxa"/>
            <w:tcBorders>
              <w:top w:val="single" w:sz="6" w:space="0" w:color="auto"/>
              <w:left w:val="single" w:sz="6" w:space="0" w:color="auto"/>
              <w:bottom w:val="single" w:sz="6" w:space="0" w:color="auto"/>
              <w:right w:val="single" w:sz="6" w:space="0" w:color="auto"/>
            </w:tcBorders>
          </w:tcPr>
          <w:p w14:paraId="39DFFAB0" w14:textId="77777777" w:rsidR="00A35221" w:rsidRDefault="00A35221" w:rsidP="00A35221">
            <w:pPr>
              <w:autoSpaceDE w:val="0"/>
              <w:autoSpaceDN w:val="0"/>
              <w:adjustRightInd w:val="0"/>
              <w:jc w:val="center"/>
              <w:rPr>
                <w:rFonts w:ascii="Calibri" w:eastAsiaTheme="minorHAnsi" w:hAnsi="Calibri" w:cs="Calibri"/>
                <w:color w:val="000000"/>
                <w:sz w:val="22"/>
                <w:szCs w:val="22"/>
                <w:lang w:val="en-IN"/>
              </w:rPr>
            </w:pPr>
            <w:r>
              <w:rPr>
                <w:rFonts w:ascii="Calibri" w:eastAsiaTheme="minorHAnsi" w:hAnsi="Calibri" w:cs="Calibri"/>
                <w:color w:val="000000"/>
                <w:sz w:val="22"/>
                <w:szCs w:val="22"/>
                <w:lang w:val="en-IN"/>
              </w:rPr>
              <w:t>25.14</w:t>
            </w:r>
          </w:p>
        </w:tc>
        <w:tc>
          <w:tcPr>
            <w:tcW w:w="1843" w:type="dxa"/>
            <w:tcBorders>
              <w:top w:val="single" w:sz="6" w:space="0" w:color="auto"/>
              <w:left w:val="single" w:sz="6" w:space="0" w:color="auto"/>
              <w:bottom w:val="single" w:sz="6" w:space="0" w:color="auto"/>
              <w:right w:val="single" w:sz="6" w:space="0" w:color="auto"/>
            </w:tcBorders>
          </w:tcPr>
          <w:p w14:paraId="60A11272" w14:textId="77777777" w:rsidR="00A35221" w:rsidRDefault="00A35221" w:rsidP="00A35221">
            <w:pPr>
              <w:autoSpaceDE w:val="0"/>
              <w:autoSpaceDN w:val="0"/>
              <w:adjustRightInd w:val="0"/>
              <w:jc w:val="center"/>
              <w:rPr>
                <w:rFonts w:ascii="Calibri" w:eastAsiaTheme="minorHAnsi" w:hAnsi="Calibri" w:cs="Calibri"/>
                <w:color w:val="000000"/>
                <w:sz w:val="22"/>
                <w:szCs w:val="22"/>
                <w:lang w:val="en-IN"/>
              </w:rPr>
            </w:pPr>
            <w:r>
              <w:rPr>
                <w:rFonts w:ascii="Calibri" w:eastAsiaTheme="minorHAnsi" w:hAnsi="Calibri" w:cs="Calibri"/>
                <w:color w:val="000000"/>
                <w:sz w:val="22"/>
                <w:szCs w:val="22"/>
                <w:lang w:val="en-IN"/>
              </w:rPr>
              <w:t>49.51</w:t>
            </w:r>
          </w:p>
        </w:tc>
        <w:tc>
          <w:tcPr>
            <w:tcW w:w="1410" w:type="dxa"/>
            <w:tcBorders>
              <w:top w:val="single" w:sz="6" w:space="0" w:color="auto"/>
              <w:left w:val="single" w:sz="6" w:space="0" w:color="auto"/>
              <w:bottom w:val="single" w:sz="6" w:space="0" w:color="auto"/>
              <w:right w:val="single" w:sz="6" w:space="0" w:color="auto"/>
            </w:tcBorders>
          </w:tcPr>
          <w:p w14:paraId="1E4D7775" w14:textId="77777777" w:rsidR="00A35221" w:rsidRDefault="00A35221" w:rsidP="00A35221">
            <w:pPr>
              <w:autoSpaceDE w:val="0"/>
              <w:autoSpaceDN w:val="0"/>
              <w:adjustRightInd w:val="0"/>
              <w:jc w:val="center"/>
              <w:rPr>
                <w:rFonts w:ascii="Calibri" w:eastAsiaTheme="minorHAnsi" w:hAnsi="Calibri" w:cs="Calibri"/>
                <w:color w:val="000000"/>
                <w:sz w:val="22"/>
                <w:szCs w:val="22"/>
                <w:lang w:val="en-IN"/>
              </w:rPr>
            </w:pPr>
            <w:r>
              <w:rPr>
                <w:rFonts w:ascii="Calibri" w:eastAsiaTheme="minorHAnsi" w:hAnsi="Calibri" w:cs="Calibri"/>
                <w:color w:val="000000"/>
                <w:sz w:val="22"/>
                <w:szCs w:val="22"/>
                <w:lang w:val="en-IN"/>
              </w:rPr>
              <w:t>51.01</w:t>
            </w:r>
          </w:p>
        </w:tc>
      </w:tr>
      <w:tr w:rsidR="00A35221" w14:paraId="18F93307" w14:textId="77777777" w:rsidTr="005055AB">
        <w:trPr>
          <w:trHeight w:val="290"/>
        </w:trPr>
        <w:tc>
          <w:tcPr>
            <w:tcW w:w="0" w:type="auto"/>
            <w:tcBorders>
              <w:top w:val="single" w:sz="6" w:space="0" w:color="auto"/>
              <w:left w:val="single" w:sz="6" w:space="0" w:color="auto"/>
              <w:bottom w:val="single" w:sz="6" w:space="0" w:color="auto"/>
              <w:right w:val="single" w:sz="6" w:space="0" w:color="auto"/>
            </w:tcBorders>
          </w:tcPr>
          <w:p w14:paraId="3912D089" w14:textId="77777777" w:rsidR="00A35221" w:rsidRDefault="00A35221" w:rsidP="00A35221">
            <w:pPr>
              <w:autoSpaceDE w:val="0"/>
              <w:autoSpaceDN w:val="0"/>
              <w:adjustRightInd w:val="0"/>
              <w:jc w:val="center"/>
              <w:rPr>
                <w:rFonts w:ascii="Calibri" w:eastAsiaTheme="minorHAnsi" w:hAnsi="Calibri" w:cs="Calibri"/>
                <w:color w:val="000000"/>
                <w:sz w:val="22"/>
                <w:szCs w:val="22"/>
                <w:lang w:val="en-IN"/>
              </w:rPr>
            </w:pPr>
            <w:r>
              <w:rPr>
                <w:rFonts w:ascii="Calibri" w:eastAsiaTheme="minorHAnsi" w:hAnsi="Calibri" w:cs="Calibri"/>
                <w:color w:val="000000"/>
                <w:sz w:val="22"/>
                <w:szCs w:val="22"/>
                <w:lang w:val="en-IN"/>
              </w:rPr>
              <w:t>4</w:t>
            </w:r>
          </w:p>
        </w:tc>
        <w:tc>
          <w:tcPr>
            <w:tcW w:w="2194" w:type="dxa"/>
            <w:tcBorders>
              <w:top w:val="single" w:sz="6" w:space="0" w:color="auto"/>
              <w:left w:val="single" w:sz="6" w:space="0" w:color="auto"/>
              <w:bottom w:val="single" w:sz="6" w:space="0" w:color="auto"/>
              <w:right w:val="single" w:sz="6" w:space="0" w:color="auto"/>
            </w:tcBorders>
          </w:tcPr>
          <w:p w14:paraId="21D6DD01" w14:textId="77777777" w:rsidR="00A35221" w:rsidRDefault="00A35221" w:rsidP="00A35221">
            <w:pPr>
              <w:autoSpaceDE w:val="0"/>
              <w:autoSpaceDN w:val="0"/>
              <w:adjustRightInd w:val="0"/>
              <w:rPr>
                <w:rFonts w:ascii="Calibri" w:eastAsiaTheme="minorHAnsi" w:hAnsi="Calibri" w:cs="Calibri"/>
                <w:color w:val="000000"/>
                <w:sz w:val="22"/>
                <w:szCs w:val="22"/>
                <w:lang w:val="en-IN"/>
              </w:rPr>
            </w:pPr>
            <w:r>
              <w:rPr>
                <w:rFonts w:ascii="Calibri" w:eastAsiaTheme="minorHAnsi" w:hAnsi="Calibri" w:cs="Calibri"/>
                <w:color w:val="000000"/>
                <w:sz w:val="22"/>
                <w:szCs w:val="22"/>
                <w:lang w:val="en-IN"/>
              </w:rPr>
              <w:t>Irrigation</w:t>
            </w:r>
          </w:p>
        </w:tc>
        <w:tc>
          <w:tcPr>
            <w:tcW w:w="1559" w:type="dxa"/>
            <w:tcBorders>
              <w:top w:val="single" w:sz="6" w:space="0" w:color="auto"/>
              <w:left w:val="single" w:sz="6" w:space="0" w:color="auto"/>
              <w:bottom w:val="single" w:sz="6" w:space="0" w:color="auto"/>
              <w:right w:val="single" w:sz="6" w:space="0" w:color="auto"/>
            </w:tcBorders>
          </w:tcPr>
          <w:p w14:paraId="4AE942E8" w14:textId="77777777" w:rsidR="00A35221" w:rsidRDefault="00A35221" w:rsidP="00A35221">
            <w:pPr>
              <w:autoSpaceDE w:val="0"/>
              <w:autoSpaceDN w:val="0"/>
              <w:adjustRightInd w:val="0"/>
              <w:jc w:val="center"/>
              <w:rPr>
                <w:rFonts w:ascii="Calibri" w:eastAsiaTheme="minorHAnsi" w:hAnsi="Calibri" w:cs="Calibri"/>
                <w:color w:val="000000"/>
                <w:sz w:val="22"/>
                <w:szCs w:val="22"/>
                <w:lang w:val="en-IN"/>
              </w:rPr>
            </w:pPr>
            <w:r>
              <w:rPr>
                <w:rFonts w:ascii="Calibri" w:eastAsiaTheme="minorHAnsi" w:hAnsi="Calibri" w:cs="Calibri"/>
                <w:color w:val="000000"/>
                <w:sz w:val="22"/>
                <w:szCs w:val="22"/>
                <w:lang w:val="en-IN"/>
              </w:rPr>
              <w:t>56.75</w:t>
            </w:r>
          </w:p>
        </w:tc>
        <w:tc>
          <w:tcPr>
            <w:tcW w:w="1701" w:type="dxa"/>
            <w:tcBorders>
              <w:top w:val="single" w:sz="6" w:space="0" w:color="auto"/>
              <w:left w:val="single" w:sz="6" w:space="0" w:color="auto"/>
              <w:bottom w:val="single" w:sz="6" w:space="0" w:color="auto"/>
              <w:right w:val="single" w:sz="6" w:space="0" w:color="auto"/>
            </w:tcBorders>
          </w:tcPr>
          <w:p w14:paraId="71B8AC6C" w14:textId="77777777" w:rsidR="00A35221" w:rsidRDefault="00A35221" w:rsidP="00A35221">
            <w:pPr>
              <w:autoSpaceDE w:val="0"/>
              <w:autoSpaceDN w:val="0"/>
              <w:adjustRightInd w:val="0"/>
              <w:jc w:val="center"/>
              <w:rPr>
                <w:rFonts w:ascii="Calibri" w:eastAsiaTheme="minorHAnsi" w:hAnsi="Calibri" w:cs="Calibri"/>
                <w:color w:val="000000"/>
                <w:sz w:val="22"/>
                <w:szCs w:val="22"/>
                <w:lang w:val="en-IN"/>
              </w:rPr>
            </w:pPr>
            <w:r>
              <w:rPr>
                <w:rFonts w:ascii="Calibri" w:eastAsiaTheme="minorHAnsi" w:hAnsi="Calibri" w:cs="Calibri"/>
                <w:color w:val="000000"/>
                <w:sz w:val="22"/>
                <w:szCs w:val="22"/>
                <w:lang w:val="en-IN"/>
              </w:rPr>
              <w:t>47.26</w:t>
            </w:r>
          </w:p>
        </w:tc>
        <w:tc>
          <w:tcPr>
            <w:tcW w:w="1843" w:type="dxa"/>
            <w:tcBorders>
              <w:top w:val="single" w:sz="6" w:space="0" w:color="auto"/>
              <w:left w:val="single" w:sz="6" w:space="0" w:color="auto"/>
              <w:bottom w:val="single" w:sz="6" w:space="0" w:color="auto"/>
              <w:right w:val="single" w:sz="6" w:space="0" w:color="auto"/>
            </w:tcBorders>
          </w:tcPr>
          <w:p w14:paraId="54BBABE3" w14:textId="77777777" w:rsidR="00A35221" w:rsidRDefault="00A35221" w:rsidP="00A35221">
            <w:pPr>
              <w:autoSpaceDE w:val="0"/>
              <w:autoSpaceDN w:val="0"/>
              <w:adjustRightInd w:val="0"/>
              <w:jc w:val="center"/>
              <w:rPr>
                <w:rFonts w:ascii="Calibri" w:eastAsiaTheme="minorHAnsi" w:hAnsi="Calibri" w:cs="Calibri"/>
                <w:color w:val="000000"/>
                <w:sz w:val="22"/>
                <w:szCs w:val="22"/>
                <w:lang w:val="en-IN"/>
              </w:rPr>
            </w:pPr>
            <w:r>
              <w:rPr>
                <w:rFonts w:ascii="Calibri" w:eastAsiaTheme="minorHAnsi" w:hAnsi="Calibri" w:cs="Calibri"/>
                <w:color w:val="000000"/>
                <w:sz w:val="22"/>
                <w:szCs w:val="22"/>
                <w:lang w:val="en-IN"/>
              </w:rPr>
              <w:t>106.52</w:t>
            </w:r>
          </w:p>
        </w:tc>
        <w:tc>
          <w:tcPr>
            <w:tcW w:w="1410" w:type="dxa"/>
            <w:tcBorders>
              <w:top w:val="single" w:sz="6" w:space="0" w:color="auto"/>
              <w:left w:val="single" w:sz="6" w:space="0" w:color="auto"/>
              <w:bottom w:val="single" w:sz="6" w:space="0" w:color="auto"/>
              <w:right w:val="single" w:sz="6" w:space="0" w:color="auto"/>
            </w:tcBorders>
          </w:tcPr>
          <w:p w14:paraId="3EBDF8A9" w14:textId="77777777" w:rsidR="00A35221" w:rsidRDefault="00A35221" w:rsidP="00A35221">
            <w:pPr>
              <w:autoSpaceDE w:val="0"/>
              <w:autoSpaceDN w:val="0"/>
              <w:adjustRightInd w:val="0"/>
              <w:jc w:val="center"/>
              <w:rPr>
                <w:rFonts w:ascii="Calibri" w:eastAsiaTheme="minorHAnsi" w:hAnsi="Calibri" w:cs="Calibri"/>
                <w:color w:val="000000"/>
                <w:sz w:val="22"/>
                <w:szCs w:val="22"/>
                <w:lang w:val="en-IN"/>
              </w:rPr>
            </w:pPr>
            <w:r>
              <w:rPr>
                <w:rFonts w:ascii="Calibri" w:eastAsiaTheme="minorHAnsi" w:hAnsi="Calibri" w:cs="Calibri"/>
                <w:color w:val="000000"/>
                <w:sz w:val="22"/>
                <w:szCs w:val="22"/>
                <w:lang w:val="en-IN"/>
              </w:rPr>
              <w:t>119.81</w:t>
            </w:r>
          </w:p>
        </w:tc>
      </w:tr>
      <w:tr w:rsidR="00A35221" w14:paraId="4CDF3B03" w14:textId="77777777" w:rsidTr="005055AB">
        <w:trPr>
          <w:trHeight w:val="290"/>
        </w:trPr>
        <w:tc>
          <w:tcPr>
            <w:tcW w:w="0" w:type="auto"/>
            <w:tcBorders>
              <w:top w:val="single" w:sz="6" w:space="0" w:color="auto"/>
              <w:left w:val="single" w:sz="6" w:space="0" w:color="auto"/>
              <w:bottom w:val="single" w:sz="6" w:space="0" w:color="auto"/>
              <w:right w:val="single" w:sz="6" w:space="0" w:color="auto"/>
            </w:tcBorders>
          </w:tcPr>
          <w:p w14:paraId="2B275FE6" w14:textId="77777777" w:rsidR="00A35221" w:rsidRDefault="00A35221" w:rsidP="00A35221">
            <w:pPr>
              <w:autoSpaceDE w:val="0"/>
              <w:autoSpaceDN w:val="0"/>
              <w:adjustRightInd w:val="0"/>
              <w:jc w:val="center"/>
              <w:rPr>
                <w:rFonts w:ascii="Calibri" w:eastAsiaTheme="minorHAnsi" w:hAnsi="Calibri" w:cs="Calibri"/>
                <w:color w:val="000000"/>
                <w:sz w:val="22"/>
                <w:szCs w:val="22"/>
                <w:lang w:val="en-IN"/>
              </w:rPr>
            </w:pPr>
            <w:r>
              <w:rPr>
                <w:rFonts w:ascii="Calibri" w:eastAsiaTheme="minorHAnsi" w:hAnsi="Calibri" w:cs="Calibri"/>
                <w:color w:val="000000"/>
                <w:sz w:val="22"/>
                <w:szCs w:val="22"/>
                <w:lang w:val="en-IN"/>
              </w:rPr>
              <w:t>5</w:t>
            </w:r>
          </w:p>
        </w:tc>
        <w:tc>
          <w:tcPr>
            <w:tcW w:w="2194" w:type="dxa"/>
            <w:tcBorders>
              <w:top w:val="single" w:sz="6" w:space="0" w:color="auto"/>
              <w:left w:val="single" w:sz="6" w:space="0" w:color="auto"/>
              <w:bottom w:val="single" w:sz="6" w:space="0" w:color="auto"/>
              <w:right w:val="single" w:sz="6" w:space="0" w:color="auto"/>
            </w:tcBorders>
          </w:tcPr>
          <w:p w14:paraId="2096B18E" w14:textId="77777777" w:rsidR="00A35221" w:rsidRDefault="00A35221" w:rsidP="00A35221">
            <w:pPr>
              <w:autoSpaceDE w:val="0"/>
              <w:autoSpaceDN w:val="0"/>
              <w:adjustRightInd w:val="0"/>
              <w:rPr>
                <w:rFonts w:ascii="Calibri" w:eastAsiaTheme="minorHAnsi" w:hAnsi="Calibri" w:cs="Calibri"/>
                <w:color w:val="000000"/>
                <w:sz w:val="22"/>
                <w:szCs w:val="22"/>
                <w:lang w:val="en-IN"/>
              </w:rPr>
            </w:pPr>
            <w:r>
              <w:rPr>
                <w:rFonts w:ascii="Calibri" w:eastAsiaTheme="minorHAnsi" w:hAnsi="Calibri" w:cs="Calibri"/>
                <w:color w:val="000000"/>
                <w:sz w:val="22"/>
                <w:szCs w:val="22"/>
                <w:lang w:val="en-IN"/>
              </w:rPr>
              <w:t xml:space="preserve">Allied </w:t>
            </w:r>
            <w:proofErr w:type="spellStart"/>
            <w:r>
              <w:rPr>
                <w:rFonts w:ascii="Calibri" w:eastAsiaTheme="minorHAnsi" w:hAnsi="Calibri" w:cs="Calibri"/>
                <w:color w:val="000000"/>
                <w:sz w:val="22"/>
                <w:szCs w:val="22"/>
                <w:lang w:val="en-IN"/>
              </w:rPr>
              <w:t>Agro</w:t>
            </w:r>
            <w:proofErr w:type="spellEnd"/>
            <w:r>
              <w:rPr>
                <w:rFonts w:ascii="Calibri" w:eastAsiaTheme="minorHAnsi" w:hAnsi="Calibri" w:cs="Calibri"/>
                <w:color w:val="000000"/>
                <w:sz w:val="22"/>
                <w:szCs w:val="22"/>
                <w:lang w:val="en-IN"/>
              </w:rPr>
              <w:t xml:space="preserve"> Activities</w:t>
            </w:r>
          </w:p>
        </w:tc>
        <w:tc>
          <w:tcPr>
            <w:tcW w:w="1559" w:type="dxa"/>
            <w:tcBorders>
              <w:top w:val="single" w:sz="6" w:space="0" w:color="auto"/>
              <w:left w:val="single" w:sz="6" w:space="0" w:color="auto"/>
              <w:bottom w:val="single" w:sz="6" w:space="0" w:color="auto"/>
              <w:right w:val="single" w:sz="6" w:space="0" w:color="auto"/>
            </w:tcBorders>
          </w:tcPr>
          <w:p w14:paraId="50265480" w14:textId="77777777" w:rsidR="00A35221" w:rsidRDefault="00A35221" w:rsidP="00A35221">
            <w:pPr>
              <w:autoSpaceDE w:val="0"/>
              <w:autoSpaceDN w:val="0"/>
              <w:adjustRightInd w:val="0"/>
              <w:jc w:val="center"/>
              <w:rPr>
                <w:rFonts w:ascii="Calibri" w:eastAsiaTheme="minorHAnsi" w:hAnsi="Calibri" w:cs="Calibri"/>
                <w:color w:val="000000"/>
                <w:sz w:val="22"/>
                <w:szCs w:val="22"/>
                <w:lang w:val="en-IN"/>
              </w:rPr>
            </w:pPr>
            <w:r>
              <w:rPr>
                <w:rFonts w:ascii="Calibri" w:eastAsiaTheme="minorHAnsi" w:hAnsi="Calibri" w:cs="Calibri"/>
                <w:color w:val="000000"/>
                <w:sz w:val="22"/>
                <w:szCs w:val="22"/>
                <w:lang w:val="en-IN"/>
              </w:rPr>
              <w:t>45.19</w:t>
            </w:r>
          </w:p>
        </w:tc>
        <w:tc>
          <w:tcPr>
            <w:tcW w:w="1701" w:type="dxa"/>
            <w:tcBorders>
              <w:top w:val="single" w:sz="6" w:space="0" w:color="auto"/>
              <w:left w:val="single" w:sz="6" w:space="0" w:color="auto"/>
              <w:bottom w:val="single" w:sz="6" w:space="0" w:color="auto"/>
              <w:right w:val="single" w:sz="6" w:space="0" w:color="auto"/>
            </w:tcBorders>
          </w:tcPr>
          <w:p w14:paraId="69848A04" w14:textId="77777777" w:rsidR="00A35221" w:rsidRDefault="00A35221" w:rsidP="00A35221">
            <w:pPr>
              <w:autoSpaceDE w:val="0"/>
              <w:autoSpaceDN w:val="0"/>
              <w:adjustRightInd w:val="0"/>
              <w:jc w:val="center"/>
              <w:rPr>
                <w:rFonts w:ascii="Calibri" w:eastAsiaTheme="minorHAnsi" w:hAnsi="Calibri" w:cs="Calibri"/>
                <w:color w:val="000000"/>
                <w:sz w:val="22"/>
                <w:szCs w:val="22"/>
                <w:lang w:val="en-IN"/>
              </w:rPr>
            </w:pPr>
            <w:r>
              <w:rPr>
                <w:rFonts w:ascii="Calibri" w:eastAsiaTheme="minorHAnsi" w:hAnsi="Calibri" w:cs="Calibri"/>
                <w:color w:val="000000"/>
                <w:sz w:val="22"/>
                <w:szCs w:val="22"/>
                <w:lang w:val="en-IN"/>
              </w:rPr>
              <w:t>31.37</w:t>
            </w:r>
          </w:p>
        </w:tc>
        <w:tc>
          <w:tcPr>
            <w:tcW w:w="1843" w:type="dxa"/>
            <w:tcBorders>
              <w:top w:val="single" w:sz="6" w:space="0" w:color="auto"/>
              <w:left w:val="single" w:sz="6" w:space="0" w:color="auto"/>
              <w:bottom w:val="single" w:sz="6" w:space="0" w:color="auto"/>
              <w:right w:val="single" w:sz="6" w:space="0" w:color="auto"/>
            </w:tcBorders>
          </w:tcPr>
          <w:p w14:paraId="1CAF9B4A" w14:textId="77777777" w:rsidR="00A35221" w:rsidRDefault="00A35221" w:rsidP="00A35221">
            <w:pPr>
              <w:autoSpaceDE w:val="0"/>
              <w:autoSpaceDN w:val="0"/>
              <w:adjustRightInd w:val="0"/>
              <w:jc w:val="center"/>
              <w:rPr>
                <w:rFonts w:ascii="Calibri" w:eastAsiaTheme="minorHAnsi" w:hAnsi="Calibri" w:cs="Calibri"/>
                <w:color w:val="000000"/>
                <w:sz w:val="22"/>
                <w:szCs w:val="22"/>
                <w:lang w:val="en-IN"/>
              </w:rPr>
            </w:pPr>
            <w:r>
              <w:rPr>
                <w:rFonts w:ascii="Calibri" w:eastAsiaTheme="minorHAnsi" w:hAnsi="Calibri" w:cs="Calibri"/>
                <w:color w:val="000000"/>
                <w:sz w:val="22"/>
                <w:szCs w:val="22"/>
                <w:lang w:val="en-IN"/>
              </w:rPr>
              <w:t>66.56</w:t>
            </w:r>
          </w:p>
        </w:tc>
        <w:tc>
          <w:tcPr>
            <w:tcW w:w="1410" w:type="dxa"/>
            <w:tcBorders>
              <w:top w:val="single" w:sz="6" w:space="0" w:color="auto"/>
              <w:left w:val="single" w:sz="6" w:space="0" w:color="auto"/>
              <w:bottom w:val="single" w:sz="6" w:space="0" w:color="auto"/>
              <w:right w:val="single" w:sz="6" w:space="0" w:color="auto"/>
            </w:tcBorders>
          </w:tcPr>
          <w:p w14:paraId="17E52593" w14:textId="77777777" w:rsidR="00A35221" w:rsidRDefault="00A35221" w:rsidP="00A35221">
            <w:pPr>
              <w:autoSpaceDE w:val="0"/>
              <w:autoSpaceDN w:val="0"/>
              <w:adjustRightInd w:val="0"/>
              <w:jc w:val="center"/>
              <w:rPr>
                <w:rFonts w:ascii="Calibri" w:eastAsiaTheme="minorHAnsi" w:hAnsi="Calibri" w:cs="Calibri"/>
                <w:color w:val="000000"/>
                <w:sz w:val="22"/>
                <w:szCs w:val="22"/>
                <w:lang w:val="en-IN"/>
              </w:rPr>
            </w:pPr>
            <w:r>
              <w:rPr>
                <w:rFonts w:ascii="Calibri" w:eastAsiaTheme="minorHAnsi" w:hAnsi="Calibri" w:cs="Calibri"/>
                <w:color w:val="000000"/>
                <w:sz w:val="22"/>
                <w:szCs w:val="22"/>
                <w:lang w:val="en-IN"/>
              </w:rPr>
              <w:t>77.09</w:t>
            </w:r>
          </w:p>
        </w:tc>
      </w:tr>
      <w:tr w:rsidR="00A35221" w14:paraId="3C62546A" w14:textId="77777777" w:rsidTr="005055AB">
        <w:trPr>
          <w:trHeight w:val="290"/>
        </w:trPr>
        <w:tc>
          <w:tcPr>
            <w:tcW w:w="0" w:type="auto"/>
            <w:tcBorders>
              <w:top w:val="single" w:sz="6" w:space="0" w:color="auto"/>
              <w:left w:val="single" w:sz="6" w:space="0" w:color="auto"/>
              <w:bottom w:val="single" w:sz="6" w:space="0" w:color="auto"/>
              <w:right w:val="single" w:sz="6" w:space="0" w:color="auto"/>
            </w:tcBorders>
          </w:tcPr>
          <w:p w14:paraId="2AE7CE4A" w14:textId="77777777" w:rsidR="00A35221" w:rsidRDefault="00A35221" w:rsidP="00A35221">
            <w:pPr>
              <w:autoSpaceDE w:val="0"/>
              <w:autoSpaceDN w:val="0"/>
              <w:adjustRightInd w:val="0"/>
              <w:jc w:val="center"/>
              <w:rPr>
                <w:rFonts w:ascii="Calibri" w:eastAsiaTheme="minorHAnsi" w:hAnsi="Calibri" w:cs="Calibri"/>
                <w:color w:val="000000"/>
                <w:sz w:val="22"/>
                <w:szCs w:val="22"/>
                <w:lang w:val="en-IN"/>
              </w:rPr>
            </w:pPr>
            <w:r>
              <w:rPr>
                <w:rFonts w:ascii="Calibri" w:eastAsiaTheme="minorHAnsi" w:hAnsi="Calibri" w:cs="Calibri"/>
                <w:color w:val="000000"/>
                <w:sz w:val="22"/>
                <w:szCs w:val="22"/>
                <w:lang w:val="en-IN"/>
              </w:rPr>
              <w:t>6</w:t>
            </w:r>
          </w:p>
        </w:tc>
        <w:tc>
          <w:tcPr>
            <w:tcW w:w="2194" w:type="dxa"/>
            <w:tcBorders>
              <w:top w:val="single" w:sz="6" w:space="0" w:color="auto"/>
              <w:left w:val="single" w:sz="6" w:space="0" w:color="auto"/>
              <w:bottom w:val="single" w:sz="6" w:space="0" w:color="auto"/>
              <w:right w:val="single" w:sz="6" w:space="0" w:color="auto"/>
            </w:tcBorders>
          </w:tcPr>
          <w:p w14:paraId="19E1AB73" w14:textId="77777777" w:rsidR="00A35221" w:rsidRDefault="00A35221" w:rsidP="00A35221">
            <w:pPr>
              <w:autoSpaceDE w:val="0"/>
              <w:autoSpaceDN w:val="0"/>
              <w:adjustRightInd w:val="0"/>
              <w:rPr>
                <w:rFonts w:ascii="Calibri" w:eastAsiaTheme="minorHAnsi" w:hAnsi="Calibri" w:cs="Calibri"/>
                <w:color w:val="000000"/>
                <w:sz w:val="22"/>
                <w:szCs w:val="22"/>
                <w:lang w:val="en-IN"/>
              </w:rPr>
            </w:pPr>
            <w:r>
              <w:rPr>
                <w:rFonts w:ascii="Calibri" w:eastAsiaTheme="minorHAnsi" w:hAnsi="Calibri" w:cs="Calibri"/>
                <w:color w:val="000000"/>
                <w:sz w:val="22"/>
                <w:szCs w:val="22"/>
                <w:lang w:val="en-IN"/>
              </w:rPr>
              <w:t xml:space="preserve">Allied </w:t>
            </w:r>
            <w:proofErr w:type="spellStart"/>
            <w:r>
              <w:rPr>
                <w:rFonts w:ascii="Calibri" w:eastAsiaTheme="minorHAnsi" w:hAnsi="Calibri" w:cs="Calibri"/>
                <w:color w:val="000000"/>
                <w:sz w:val="22"/>
                <w:szCs w:val="22"/>
                <w:lang w:val="en-IN"/>
              </w:rPr>
              <w:t>Agro</w:t>
            </w:r>
            <w:proofErr w:type="spellEnd"/>
            <w:r>
              <w:rPr>
                <w:rFonts w:ascii="Calibri" w:eastAsiaTheme="minorHAnsi" w:hAnsi="Calibri" w:cs="Calibri"/>
                <w:color w:val="000000"/>
                <w:sz w:val="22"/>
                <w:szCs w:val="22"/>
                <w:lang w:val="en-IN"/>
              </w:rPr>
              <w:t xml:space="preserve"> Industrial</w:t>
            </w:r>
          </w:p>
        </w:tc>
        <w:tc>
          <w:tcPr>
            <w:tcW w:w="1559" w:type="dxa"/>
            <w:tcBorders>
              <w:top w:val="single" w:sz="6" w:space="0" w:color="auto"/>
              <w:left w:val="single" w:sz="6" w:space="0" w:color="auto"/>
              <w:bottom w:val="single" w:sz="6" w:space="0" w:color="auto"/>
              <w:right w:val="single" w:sz="6" w:space="0" w:color="auto"/>
            </w:tcBorders>
          </w:tcPr>
          <w:p w14:paraId="017B27F5" w14:textId="77777777" w:rsidR="00A35221" w:rsidRDefault="00A35221" w:rsidP="00A35221">
            <w:pPr>
              <w:autoSpaceDE w:val="0"/>
              <w:autoSpaceDN w:val="0"/>
              <w:adjustRightInd w:val="0"/>
              <w:jc w:val="center"/>
              <w:rPr>
                <w:rFonts w:ascii="Calibri" w:eastAsiaTheme="minorHAnsi" w:hAnsi="Calibri" w:cs="Calibri"/>
                <w:color w:val="000000"/>
                <w:sz w:val="22"/>
                <w:szCs w:val="22"/>
                <w:lang w:val="en-IN"/>
              </w:rPr>
            </w:pPr>
            <w:r>
              <w:rPr>
                <w:rFonts w:ascii="Calibri" w:eastAsiaTheme="minorHAnsi" w:hAnsi="Calibri" w:cs="Calibri"/>
                <w:color w:val="000000"/>
                <w:sz w:val="22"/>
                <w:szCs w:val="22"/>
                <w:lang w:val="en-IN"/>
              </w:rPr>
              <w:t>1.54</w:t>
            </w:r>
          </w:p>
        </w:tc>
        <w:tc>
          <w:tcPr>
            <w:tcW w:w="1701" w:type="dxa"/>
            <w:tcBorders>
              <w:top w:val="single" w:sz="6" w:space="0" w:color="auto"/>
              <w:left w:val="single" w:sz="6" w:space="0" w:color="auto"/>
              <w:bottom w:val="single" w:sz="6" w:space="0" w:color="auto"/>
              <w:right w:val="single" w:sz="6" w:space="0" w:color="auto"/>
            </w:tcBorders>
          </w:tcPr>
          <w:p w14:paraId="6CB898ED" w14:textId="77777777" w:rsidR="00A35221" w:rsidRDefault="00A35221" w:rsidP="00A35221">
            <w:pPr>
              <w:autoSpaceDE w:val="0"/>
              <w:autoSpaceDN w:val="0"/>
              <w:adjustRightInd w:val="0"/>
              <w:jc w:val="center"/>
              <w:rPr>
                <w:rFonts w:ascii="Calibri" w:eastAsiaTheme="minorHAnsi" w:hAnsi="Calibri" w:cs="Calibri"/>
                <w:color w:val="000000"/>
                <w:sz w:val="22"/>
                <w:szCs w:val="22"/>
                <w:lang w:val="en-IN"/>
              </w:rPr>
            </w:pPr>
            <w:r>
              <w:rPr>
                <w:rFonts w:ascii="Calibri" w:eastAsiaTheme="minorHAnsi" w:hAnsi="Calibri" w:cs="Calibri"/>
                <w:color w:val="000000"/>
                <w:sz w:val="22"/>
                <w:szCs w:val="22"/>
                <w:lang w:val="en-IN"/>
              </w:rPr>
              <w:t>1.15</w:t>
            </w:r>
          </w:p>
        </w:tc>
        <w:tc>
          <w:tcPr>
            <w:tcW w:w="1843" w:type="dxa"/>
            <w:tcBorders>
              <w:top w:val="single" w:sz="6" w:space="0" w:color="auto"/>
              <w:left w:val="single" w:sz="6" w:space="0" w:color="auto"/>
              <w:bottom w:val="single" w:sz="6" w:space="0" w:color="auto"/>
              <w:right w:val="single" w:sz="6" w:space="0" w:color="auto"/>
            </w:tcBorders>
          </w:tcPr>
          <w:p w14:paraId="00CF9B69" w14:textId="77777777" w:rsidR="00A35221" w:rsidRDefault="00A35221" w:rsidP="00A35221">
            <w:pPr>
              <w:autoSpaceDE w:val="0"/>
              <w:autoSpaceDN w:val="0"/>
              <w:adjustRightInd w:val="0"/>
              <w:jc w:val="center"/>
              <w:rPr>
                <w:rFonts w:ascii="Calibri" w:eastAsiaTheme="minorHAnsi" w:hAnsi="Calibri" w:cs="Calibri"/>
                <w:color w:val="000000"/>
                <w:sz w:val="22"/>
                <w:szCs w:val="22"/>
                <w:lang w:val="en-IN"/>
              </w:rPr>
            </w:pPr>
            <w:r>
              <w:rPr>
                <w:rFonts w:ascii="Calibri" w:eastAsiaTheme="minorHAnsi" w:hAnsi="Calibri" w:cs="Calibri"/>
                <w:color w:val="000000"/>
                <w:sz w:val="22"/>
                <w:szCs w:val="22"/>
                <w:lang w:val="en-IN"/>
              </w:rPr>
              <w:t>2.29</w:t>
            </w:r>
          </w:p>
        </w:tc>
        <w:tc>
          <w:tcPr>
            <w:tcW w:w="1410" w:type="dxa"/>
            <w:tcBorders>
              <w:top w:val="single" w:sz="6" w:space="0" w:color="auto"/>
              <w:left w:val="single" w:sz="6" w:space="0" w:color="auto"/>
              <w:bottom w:val="single" w:sz="6" w:space="0" w:color="auto"/>
              <w:right w:val="single" w:sz="6" w:space="0" w:color="auto"/>
            </w:tcBorders>
          </w:tcPr>
          <w:p w14:paraId="3789CBF5" w14:textId="77777777" w:rsidR="00A35221" w:rsidRDefault="00A35221" w:rsidP="00A35221">
            <w:pPr>
              <w:autoSpaceDE w:val="0"/>
              <w:autoSpaceDN w:val="0"/>
              <w:adjustRightInd w:val="0"/>
              <w:jc w:val="center"/>
              <w:rPr>
                <w:rFonts w:ascii="Calibri" w:eastAsiaTheme="minorHAnsi" w:hAnsi="Calibri" w:cs="Calibri"/>
                <w:color w:val="000000"/>
                <w:sz w:val="22"/>
                <w:szCs w:val="22"/>
                <w:lang w:val="en-IN"/>
              </w:rPr>
            </w:pPr>
            <w:r>
              <w:rPr>
                <w:rFonts w:ascii="Calibri" w:eastAsiaTheme="minorHAnsi" w:hAnsi="Calibri" w:cs="Calibri"/>
                <w:color w:val="000000"/>
                <w:sz w:val="22"/>
                <w:szCs w:val="22"/>
                <w:lang w:val="en-IN"/>
              </w:rPr>
              <w:t>3.01</w:t>
            </w:r>
          </w:p>
        </w:tc>
      </w:tr>
      <w:tr w:rsidR="00A35221" w14:paraId="090DD7F6" w14:textId="77777777" w:rsidTr="005055AB">
        <w:trPr>
          <w:trHeight w:val="290"/>
        </w:trPr>
        <w:tc>
          <w:tcPr>
            <w:tcW w:w="0" w:type="auto"/>
            <w:tcBorders>
              <w:top w:val="single" w:sz="6" w:space="0" w:color="auto"/>
              <w:left w:val="single" w:sz="6" w:space="0" w:color="auto"/>
              <w:bottom w:val="single" w:sz="6" w:space="0" w:color="auto"/>
              <w:right w:val="single" w:sz="6" w:space="0" w:color="auto"/>
            </w:tcBorders>
          </w:tcPr>
          <w:p w14:paraId="234D46B8" w14:textId="77777777" w:rsidR="00A35221" w:rsidRDefault="00A35221" w:rsidP="00A35221">
            <w:pPr>
              <w:autoSpaceDE w:val="0"/>
              <w:autoSpaceDN w:val="0"/>
              <w:adjustRightInd w:val="0"/>
              <w:jc w:val="center"/>
              <w:rPr>
                <w:rFonts w:ascii="Calibri" w:eastAsiaTheme="minorHAnsi" w:hAnsi="Calibri" w:cs="Calibri"/>
                <w:color w:val="000000"/>
                <w:sz w:val="22"/>
                <w:szCs w:val="22"/>
                <w:lang w:val="en-IN"/>
              </w:rPr>
            </w:pPr>
            <w:r>
              <w:rPr>
                <w:rFonts w:ascii="Calibri" w:eastAsiaTheme="minorHAnsi" w:hAnsi="Calibri" w:cs="Calibri"/>
                <w:color w:val="000000"/>
                <w:sz w:val="22"/>
                <w:szCs w:val="22"/>
                <w:lang w:val="en-IN"/>
              </w:rPr>
              <w:t>7</w:t>
            </w:r>
          </w:p>
        </w:tc>
        <w:tc>
          <w:tcPr>
            <w:tcW w:w="2194" w:type="dxa"/>
            <w:tcBorders>
              <w:top w:val="single" w:sz="6" w:space="0" w:color="auto"/>
              <w:left w:val="single" w:sz="6" w:space="0" w:color="auto"/>
              <w:bottom w:val="single" w:sz="6" w:space="0" w:color="auto"/>
              <w:right w:val="single" w:sz="6" w:space="0" w:color="auto"/>
            </w:tcBorders>
          </w:tcPr>
          <w:p w14:paraId="669EBD02" w14:textId="77777777" w:rsidR="00A35221" w:rsidRDefault="00A35221" w:rsidP="00A35221">
            <w:pPr>
              <w:autoSpaceDE w:val="0"/>
              <w:autoSpaceDN w:val="0"/>
              <w:adjustRightInd w:val="0"/>
              <w:rPr>
                <w:rFonts w:ascii="Calibri" w:eastAsiaTheme="minorHAnsi" w:hAnsi="Calibri" w:cs="Calibri"/>
                <w:color w:val="000000"/>
                <w:sz w:val="22"/>
                <w:szCs w:val="22"/>
                <w:lang w:val="en-IN"/>
              </w:rPr>
            </w:pPr>
            <w:r>
              <w:rPr>
                <w:rFonts w:ascii="Calibri" w:eastAsiaTheme="minorHAnsi" w:hAnsi="Calibri" w:cs="Calibri"/>
                <w:color w:val="000000"/>
                <w:sz w:val="22"/>
                <w:szCs w:val="22"/>
                <w:lang w:val="en-IN"/>
              </w:rPr>
              <w:t>LT Industrial</w:t>
            </w:r>
          </w:p>
        </w:tc>
        <w:tc>
          <w:tcPr>
            <w:tcW w:w="1559" w:type="dxa"/>
            <w:tcBorders>
              <w:top w:val="single" w:sz="6" w:space="0" w:color="auto"/>
              <w:left w:val="single" w:sz="6" w:space="0" w:color="auto"/>
              <w:bottom w:val="single" w:sz="6" w:space="0" w:color="auto"/>
              <w:right w:val="single" w:sz="6" w:space="0" w:color="auto"/>
            </w:tcBorders>
          </w:tcPr>
          <w:p w14:paraId="72C5F075" w14:textId="77777777" w:rsidR="00A35221" w:rsidRDefault="00A35221" w:rsidP="00A35221">
            <w:pPr>
              <w:autoSpaceDE w:val="0"/>
              <w:autoSpaceDN w:val="0"/>
              <w:adjustRightInd w:val="0"/>
              <w:jc w:val="center"/>
              <w:rPr>
                <w:rFonts w:ascii="Calibri" w:eastAsiaTheme="minorHAnsi" w:hAnsi="Calibri" w:cs="Calibri"/>
                <w:color w:val="000000"/>
                <w:sz w:val="22"/>
                <w:szCs w:val="22"/>
                <w:lang w:val="en-IN"/>
              </w:rPr>
            </w:pPr>
            <w:r>
              <w:rPr>
                <w:rFonts w:ascii="Calibri" w:eastAsiaTheme="minorHAnsi" w:hAnsi="Calibri" w:cs="Calibri"/>
                <w:color w:val="000000"/>
                <w:sz w:val="22"/>
                <w:szCs w:val="22"/>
                <w:lang w:val="en-IN"/>
              </w:rPr>
              <w:t>60.17</w:t>
            </w:r>
          </w:p>
        </w:tc>
        <w:tc>
          <w:tcPr>
            <w:tcW w:w="1701" w:type="dxa"/>
            <w:tcBorders>
              <w:top w:val="single" w:sz="6" w:space="0" w:color="auto"/>
              <w:left w:val="single" w:sz="6" w:space="0" w:color="auto"/>
              <w:bottom w:val="single" w:sz="6" w:space="0" w:color="auto"/>
              <w:right w:val="single" w:sz="6" w:space="0" w:color="auto"/>
            </w:tcBorders>
          </w:tcPr>
          <w:p w14:paraId="2EA6A693" w14:textId="77777777" w:rsidR="00A35221" w:rsidRDefault="00A35221" w:rsidP="00A35221">
            <w:pPr>
              <w:autoSpaceDE w:val="0"/>
              <w:autoSpaceDN w:val="0"/>
              <w:adjustRightInd w:val="0"/>
              <w:jc w:val="center"/>
              <w:rPr>
                <w:rFonts w:ascii="Calibri" w:eastAsiaTheme="minorHAnsi" w:hAnsi="Calibri" w:cs="Calibri"/>
                <w:color w:val="000000"/>
                <w:sz w:val="22"/>
                <w:szCs w:val="22"/>
                <w:lang w:val="en-IN"/>
              </w:rPr>
            </w:pPr>
            <w:r>
              <w:rPr>
                <w:rFonts w:ascii="Calibri" w:eastAsiaTheme="minorHAnsi" w:hAnsi="Calibri" w:cs="Calibri"/>
                <w:color w:val="000000"/>
                <w:sz w:val="22"/>
                <w:szCs w:val="22"/>
                <w:lang w:val="en-IN"/>
              </w:rPr>
              <w:t>31.93</w:t>
            </w:r>
          </w:p>
        </w:tc>
        <w:tc>
          <w:tcPr>
            <w:tcW w:w="1843" w:type="dxa"/>
            <w:tcBorders>
              <w:top w:val="single" w:sz="6" w:space="0" w:color="auto"/>
              <w:left w:val="single" w:sz="6" w:space="0" w:color="auto"/>
              <w:bottom w:val="single" w:sz="6" w:space="0" w:color="auto"/>
              <w:right w:val="single" w:sz="6" w:space="0" w:color="auto"/>
            </w:tcBorders>
          </w:tcPr>
          <w:p w14:paraId="4A5128CC" w14:textId="77777777" w:rsidR="00A35221" w:rsidRDefault="00A35221" w:rsidP="00A35221">
            <w:pPr>
              <w:autoSpaceDE w:val="0"/>
              <w:autoSpaceDN w:val="0"/>
              <w:adjustRightInd w:val="0"/>
              <w:jc w:val="center"/>
              <w:rPr>
                <w:rFonts w:ascii="Calibri" w:eastAsiaTheme="minorHAnsi" w:hAnsi="Calibri" w:cs="Calibri"/>
                <w:color w:val="000000"/>
                <w:sz w:val="22"/>
                <w:szCs w:val="22"/>
                <w:lang w:val="en-IN"/>
              </w:rPr>
            </w:pPr>
            <w:r>
              <w:rPr>
                <w:rFonts w:ascii="Calibri" w:eastAsiaTheme="minorHAnsi" w:hAnsi="Calibri" w:cs="Calibri"/>
                <w:color w:val="000000"/>
                <w:sz w:val="22"/>
                <w:szCs w:val="22"/>
                <w:lang w:val="en-IN"/>
              </w:rPr>
              <w:t>60.71</w:t>
            </w:r>
          </w:p>
        </w:tc>
        <w:tc>
          <w:tcPr>
            <w:tcW w:w="1410" w:type="dxa"/>
            <w:tcBorders>
              <w:top w:val="single" w:sz="6" w:space="0" w:color="auto"/>
              <w:left w:val="single" w:sz="6" w:space="0" w:color="auto"/>
              <w:bottom w:val="single" w:sz="6" w:space="0" w:color="auto"/>
              <w:right w:val="single" w:sz="6" w:space="0" w:color="auto"/>
            </w:tcBorders>
          </w:tcPr>
          <w:p w14:paraId="2696FA52" w14:textId="77777777" w:rsidR="00A35221" w:rsidRDefault="00A35221" w:rsidP="00A35221">
            <w:pPr>
              <w:autoSpaceDE w:val="0"/>
              <w:autoSpaceDN w:val="0"/>
              <w:adjustRightInd w:val="0"/>
              <w:jc w:val="center"/>
              <w:rPr>
                <w:rFonts w:ascii="Calibri" w:eastAsiaTheme="minorHAnsi" w:hAnsi="Calibri" w:cs="Calibri"/>
                <w:color w:val="000000"/>
                <w:sz w:val="22"/>
                <w:szCs w:val="22"/>
                <w:lang w:val="en-IN"/>
              </w:rPr>
            </w:pPr>
            <w:r>
              <w:rPr>
                <w:rFonts w:ascii="Calibri" w:eastAsiaTheme="minorHAnsi" w:hAnsi="Calibri" w:cs="Calibri"/>
                <w:color w:val="000000"/>
                <w:sz w:val="22"/>
                <w:szCs w:val="22"/>
                <w:lang w:val="en-IN"/>
              </w:rPr>
              <w:t>65.13</w:t>
            </w:r>
          </w:p>
        </w:tc>
      </w:tr>
      <w:tr w:rsidR="00A35221" w14:paraId="6AC63C4D" w14:textId="77777777" w:rsidTr="005055AB">
        <w:trPr>
          <w:trHeight w:val="290"/>
        </w:trPr>
        <w:tc>
          <w:tcPr>
            <w:tcW w:w="0" w:type="auto"/>
            <w:tcBorders>
              <w:top w:val="single" w:sz="6" w:space="0" w:color="auto"/>
              <w:left w:val="single" w:sz="6" w:space="0" w:color="auto"/>
              <w:bottom w:val="single" w:sz="6" w:space="0" w:color="auto"/>
              <w:right w:val="single" w:sz="6" w:space="0" w:color="auto"/>
            </w:tcBorders>
          </w:tcPr>
          <w:p w14:paraId="7322A65F" w14:textId="77777777" w:rsidR="00A35221" w:rsidRDefault="00A35221" w:rsidP="00A35221">
            <w:pPr>
              <w:autoSpaceDE w:val="0"/>
              <w:autoSpaceDN w:val="0"/>
              <w:adjustRightInd w:val="0"/>
              <w:jc w:val="center"/>
              <w:rPr>
                <w:rFonts w:ascii="Calibri" w:eastAsiaTheme="minorHAnsi" w:hAnsi="Calibri" w:cs="Calibri"/>
                <w:color w:val="000000"/>
                <w:sz w:val="22"/>
                <w:szCs w:val="22"/>
                <w:lang w:val="en-IN"/>
              </w:rPr>
            </w:pPr>
            <w:r>
              <w:rPr>
                <w:rFonts w:ascii="Calibri" w:eastAsiaTheme="minorHAnsi" w:hAnsi="Calibri" w:cs="Calibri"/>
                <w:color w:val="000000"/>
                <w:sz w:val="22"/>
                <w:szCs w:val="22"/>
                <w:lang w:val="en-IN"/>
              </w:rPr>
              <w:t>8</w:t>
            </w:r>
          </w:p>
        </w:tc>
        <w:tc>
          <w:tcPr>
            <w:tcW w:w="2194" w:type="dxa"/>
            <w:tcBorders>
              <w:top w:val="single" w:sz="6" w:space="0" w:color="auto"/>
              <w:left w:val="single" w:sz="6" w:space="0" w:color="auto"/>
              <w:bottom w:val="single" w:sz="6" w:space="0" w:color="auto"/>
              <w:right w:val="single" w:sz="6" w:space="0" w:color="auto"/>
            </w:tcBorders>
          </w:tcPr>
          <w:p w14:paraId="13557896" w14:textId="77777777" w:rsidR="00A35221" w:rsidRDefault="00A35221" w:rsidP="00A35221">
            <w:pPr>
              <w:autoSpaceDE w:val="0"/>
              <w:autoSpaceDN w:val="0"/>
              <w:adjustRightInd w:val="0"/>
              <w:rPr>
                <w:rFonts w:ascii="Calibri" w:eastAsiaTheme="minorHAnsi" w:hAnsi="Calibri" w:cs="Calibri"/>
                <w:color w:val="000000"/>
                <w:sz w:val="22"/>
                <w:szCs w:val="22"/>
                <w:lang w:val="en-IN"/>
              </w:rPr>
            </w:pPr>
            <w:r>
              <w:rPr>
                <w:rFonts w:ascii="Calibri" w:eastAsiaTheme="minorHAnsi" w:hAnsi="Calibri" w:cs="Calibri"/>
                <w:color w:val="000000"/>
                <w:sz w:val="22"/>
                <w:szCs w:val="22"/>
                <w:lang w:val="en-IN"/>
              </w:rPr>
              <w:t>Public water works</w:t>
            </w:r>
          </w:p>
        </w:tc>
        <w:tc>
          <w:tcPr>
            <w:tcW w:w="1559" w:type="dxa"/>
            <w:tcBorders>
              <w:top w:val="single" w:sz="6" w:space="0" w:color="auto"/>
              <w:left w:val="single" w:sz="6" w:space="0" w:color="auto"/>
              <w:bottom w:val="single" w:sz="6" w:space="0" w:color="auto"/>
              <w:right w:val="single" w:sz="6" w:space="0" w:color="auto"/>
            </w:tcBorders>
          </w:tcPr>
          <w:p w14:paraId="50FFBF86" w14:textId="77777777" w:rsidR="00A35221" w:rsidRDefault="00A35221" w:rsidP="00A35221">
            <w:pPr>
              <w:autoSpaceDE w:val="0"/>
              <w:autoSpaceDN w:val="0"/>
              <w:adjustRightInd w:val="0"/>
              <w:jc w:val="center"/>
              <w:rPr>
                <w:rFonts w:ascii="Calibri" w:eastAsiaTheme="minorHAnsi" w:hAnsi="Calibri" w:cs="Calibri"/>
                <w:color w:val="000000"/>
                <w:sz w:val="22"/>
                <w:szCs w:val="22"/>
                <w:lang w:val="en-IN"/>
              </w:rPr>
            </w:pPr>
            <w:r>
              <w:rPr>
                <w:rFonts w:ascii="Calibri" w:eastAsiaTheme="minorHAnsi" w:hAnsi="Calibri" w:cs="Calibri"/>
                <w:color w:val="000000"/>
                <w:sz w:val="22"/>
                <w:szCs w:val="22"/>
                <w:lang w:val="en-IN"/>
              </w:rPr>
              <w:t>58.74</w:t>
            </w:r>
          </w:p>
        </w:tc>
        <w:tc>
          <w:tcPr>
            <w:tcW w:w="1701" w:type="dxa"/>
            <w:tcBorders>
              <w:top w:val="single" w:sz="6" w:space="0" w:color="auto"/>
              <w:left w:val="single" w:sz="6" w:space="0" w:color="auto"/>
              <w:bottom w:val="single" w:sz="6" w:space="0" w:color="auto"/>
              <w:right w:val="single" w:sz="6" w:space="0" w:color="auto"/>
            </w:tcBorders>
          </w:tcPr>
          <w:p w14:paraId="7E6357E2" w14:textId="77777777" w:rsidR="00A35221" w:rsidRDefault="00A35221" w:rsidP="00A35221">
            <w:pPr>
              <w:autoSpaceDE w:val="0"/>
              <w:autoSpaceDN w:val="0"/>
              <w:adjustRightInd w:val="0"/>
              <w:jc w:val="center"/>
              <w:rPr>
                <w:rFonts w:ascii="Calibri" w:eastAsiaTheme="minorHAnsi" w:hAnsi="Calibri" w:cs="Calibri"/>
                <w:color w:val="000000"/>
                <w:sz w:val="22"/>
                <w:szCs w:val="22"/>
                <w:lang w:val="en-IN"/>
              </w:rPr>
            </w:pPr>
            <w:r>
              <w:rPr>
                <w:rFonts w:ascii="Calibri" w:eastAsiaTheme="minorHAnsi" w:hAnsi="Calibri" w:cs="Calibri"/>
                <w:color w:val="000000"/>
                <w:sz w:val="22"/>
                <w:szCs w:val="22"/>
                <w:lang w:val="en-IN"/>
              </w:rPr>
              <w:t>34.27</w:t>
            </w:r>
          </w:p>
        </w:tc>
        <w:tc>
          <w:tcPr>
            <w:tcW w:w="1843" w:type="dxa"/>
            <w:tcBorders>
              <w:top w:val="single" w:sz="6" w:space="0" w:color="auto"/>
              <w:left w:val="single" w:sz="6" w:space="0" w:color="auto"/>
              <w:bottom w:val="single" w:sz="6" w:space="0" w:color="auto"/>
              <w:right w:val="single" w:sz="6" w:space="0" w:color="auto"/>
            </w:tcBorders>
          </w:tcPr>
          <w:p w14:paraId="442F81FF" w14:textId="77777777" w:rsidR="00A35221" w:rsidRDefault="00A35221" w:rsidP="00A35221">
            <w:pPr>
              <w:autoSpaceDE w:val="0"/>
              <w:autoSpaceDN w:val="0"/>
              <w:adjustRightInd w:val="0"/>
              <w:jc w:val="center"/>
              <w:rPr>
                <w:rFonts w:ascii="Calibri" w:eastAsiaTheme="minorHAnsi" w:hAnsi="Calibri" w:cs="Calibri"/>
                <w:color w:val="000000"/>
                <w:sz w:val="22"/>
                <w:szCs w:val="22"/>
                <w:lang w:val="en-IN"/>
              </w:rPr>
            </w:pPr>
            <w:r>
              <w:rPr>
                <w:rFonts w:ascii="Calibri" w:eastAsiaTheme="minorHAnsi" w:hAnsi="Calibri" w:cs="Calibri"/>
                <w:color w:val="000000"/>
                <w:sz w:val="22"/>
                <w:szCs w:val="22"/>
                <w:lang w:val="en-IN"/>
              </w:rPr>
              <w:t>71.01</w:t>
            </w:r>
          </w:p>
        </w:tc>
        <w:tc>
          <w:tcPr>
            <w:tcW w:w="1410" w:type="dxa"/>
            <w:tcBorders>
              <w:top w:val="single" w:sz="6" w:space="0" w:color="auto"/>
              <w:left w:val="single" w:sz="6" w:space="0" w:color="auto"/>
              <w:bottom w:val="single" w:sz="6" w:space="0" w:color="auto"/>
              <w:right w:val="single" w:sz="6" w:space="0" w:color="auto"/>
            </w:tcBorders>
          </w:tcPr>
          <w:p w14:paraId="6D9AE814" w14:textId="77777777" w:rsidR="00A35221" w:rsidRDefault="00A35221" w:rsidP="00A35221">
            <w:pPr>
              <w:autoSpaceDE w:val="0"/>
              <w:autoSpaceDN w:val="0"/>
              <w:adjustRightInd w:val="0"/>
              <w:jc w:val="center"/>
              <w:rPr>
                <w:rFonts w:ascii="Calibri" w:eastAsiaTheme="minorHAnsi" w:hAnsi="Calibri" w:cs="Calibri"/>
                <w:color w:val="000000"/>
                <w:sz w:val="22"/>
                <w:szCs w:val="22"/>
                <w:lang w:val="en-IN"/>
              </w:rPr>
            </w:pPr>
            <w:r>
              <w:rPr>
                <w:rFonts w:ascii="Calibri" w:eastAsiaTheme="minorHAnsi" w:hAnsi="Calibri" w:cs="Calibri"/>
                <w:color w:val="000000"/>
                <w:sz w:val="22"/>
                <w:szCs w:val="22"/>
                <w:lang w:val="en-IN"/>
              </w:rPr>
              <w:t>82.72</w:t>
            </w:r>
          </w:p>
        </w:tc>
      </w:tr>
      <w:tr w:rsidR="00A35221" w14:paraId="4EB22FEC" w14:textId="77777777" w:rsidTr="005055AB">
        <w:trPr>
          <w:trHeight w:val="334"/>
        </w:trPr>
        <w:tc>
          <w:tcPr>
            <w:tcW w:w="0" w:type="auto"/>
            <w:tcBorders>
              <w:top w:val="single" w:sz="6" w:space="0" w:color="auto"/>
              <w:left w:val="single" w:sz="6" w:space="0" w:color="auto"/>
              <w:bottom w:val="single" w:sz="6" w:space="0" w:color="auto"/>
              <w:right w:val="single" w:sz="6" w:space="0" w:color="auto"/>
            </w:tcBorders>
          </w:tcPr>
          <w:p w14:paraId="52044BAF" w14:textId="77777777" w:rsidR="00A35221" w:rsidRDefault="00A35221" w:rsidP="00A35221">
            <w:pPr>
              <w:autoSpaceDE w:val="0"/>
              <w:autoSpaceDN w:val="0"/>
              <w:adjustRightInd w:val="0"/>
              <w:jc w:val="center"/>
              <w:rPr>
                <w:rFonts w:ascii="Calibri" w:eastAsiaTheme="minorHAnsi" w:hAnsi="Calibri" w:cs="Calibri"/>
                <w:color w:val="000000"/>
                <w:sz w:val="22"/>
                <w:szCs w:val="22"/>
                <w:lang w:val="en-IN"/>
              </w:rPr>
            </w:pPr>
            <w:r>
              <w:rPr>
                <w:rFonts w:ascii="Calibri" w:eastAsiaTheme="minorHAnsi" w:hAnsi="Calibri" w:cs="Calibri"/>
                <w:color w:val="000000"/>
                <w:sz w:val="22"/>
                <w:szCs w:val="22"/>
                <w:lang w:val="en-IN"/>
              </w:rPr>
              <w:t>9</w:t>
            </w:r>
          </w:p>
        </w:tc>
        <w:tc>
          <w:tcPr>
            <w:tcW w:w="2194" w:type="dxa"/>
            <w:tcBorders>
              <w:top w:val="single" w:sz="6" w:space="0" w:color="auto"/>
              <w:left w:val="single" w:sz="6" w:space="0" w:color="auto"/>
              <w:bottom w:val="single" w:sz="6" w:space="0" w:color="auto"/>
              <w:right w:val="single" w:sz="6" w:space="0" w:color="auto"/>
            </w:tcBorders>
          </w:tcPr>
          <w:p w14:paraId="09D86034" w14:textId="77777777" w:rsidR="00A35221" w:rsidRDefault="00A35221" w:rsidP="00A35221">
            <w:pPr>
              <w:autoSpaceDE w:val="0"/>
              <w:autoSpaceDN w:val="0"/>
              <w:adjustRightInd w:val="0"/>
              <w:rPr>
                <w:rFonts w:ascii="Calibri" w:eastAsiaTheme="minorHAnsi" w:hAnsi="Calibri" w:cs="Calibri"/>
                <w:color w:val="000000"/>
                <w:sz w:val="22"/>
                <w:szCs w:val="22"/>
                <w:lang w:val="en-IN"/>
              </w:rPr>
            </w:pPr>
            <w:r>
              <w:rPr>
                <w:rFonts w:ascii="Calibri" w:eastAsiaTheme="minorHAnsi" w:hAnsi="Calibri" w:cs="Calibri"/>
                <w:color w:val="000000"/>
                <w:sz w:val="22"/>
                <w:szCs w:val="22"/>
                <w:lang w:val="en-IN"/>
              </w:rPr>
              <w:t>Public Lighting</w:t>
            </w:r>
          </w:p>
        </w:tc>
        <w:tc>
          <w:tcPr>
            <w:tcW w:w="1559" w:type="dxa"/>
            <w:tcBorders>
              <w:top w:val="single" w:sz="6" w:space="0" w:color="auto"/>
              <w:left w:val="single" w:sz="6" w:space="0" w:color="auto"/>
              <w:bottom w:val="single" w:sz="6" w:space="0" w:color="auto"/>
              <w:right w:val="single" w:sz="6" w:space="0" w:color="auto"/>
            </w:tcBorders>
          </w:tcPr>
          <w:p w14:paraId="4CEF6662" w14:textId="77777777" w:rsidR="00A35221" w:rsidRDefault="00A35221" w:rsidP="00A35221">
            <w:pPr>
              <w:autoSpaceDE w:val="0"/>
              <w:autoSpaceDN w:val="0"/>
              <w:adjustRightInd w:val="0"/>
              <w:jc w:val="center"/>
              <w:rPr>
                <w:rFonts w:ascii="Calibri" w:eastAsiaTheme="minorHAnsi" w:hAnsi="Calibri" w:cs="Calibri"/>
                <w:color w:val="000000"/>
                <w:sz w:val="22"/>
                <w:szCs w:val="22"/>
                <w:lang w:val="en-IN"/>
              </w:rPr>
            </w:pPr>
            <w:r>
              <w:rPr>
                <w:rFonts w:ascii="Calibri" w:eastAsiaTheme="minorHAnsi" w:hAnsi="Calibri" w:cs="Calibri"/>
                <w:color w:val="000000"/>
                <w:sz w:val="22"/>
                <w:szCs w:val="22"/>
                <w:lang w:val="en-IN"/>
              </w:rPr>
              <w:t>35.44</w:t>
            </w:r>
          </w:p>
        </w:tc>
        <w:tc>
          <w:tcPr>
            <w:tcW w:w="1701" w:type="dxa"/>
            <w:tcBorders>
              <w:top w:val="single" w:sz="6" w:space="0" w:color="auto"/>
              <w:left w:val="single" w:sz="6" w:space="0" w:color="auto"/>
              <w:bottom w:val="single" w:sz="6" w:space="0" w:color="auto"/>
              <w:right w:val="single" w:sz="6" w:space="0" w:color="auto"/>
            </w:tcBorders>
          </w:tcPr>
          <w:p w14:paraId="17379FFC" w14:textId="77777777" w:rsidR="00A35221" w:rsidRDefault="00A35221" w:rsidP="00A35221">
            <w:pPr>
              <w:autoSpaceDE w:val="0"/>
              <w:autoSpaceDN w:val="0"/>
              <w:adjustRightInd w:val="0"/>
              <w:jc w:val="center"/>
              <w:rPr>
                <w:rFonts w:ascii="Calibri" w:eastAsiaTheme="minorHAnsi" w:hAnsi="Calibri" w:cs="Calibri"/>
                <w:color w:val="000000"/>
                <w:sz w:val="22"/>
                <w:szCs w:val="22"/>
                <w:lang w:val="en-IN"/>
              </w:rPr>
            </w:pPr>
            <w:r>
              <w:rPr>
                <w:rFonts w:ascii="Calibri" w:eastAsiaTheme="minorHAnsi" w:hAnsi="Calibri" w:cs="Calibri"/>
                <w:color w:val="000000"/>
                <w:sz w:val="22"/>
                <w:szCs w:val="22"/>
                <w:lang w:val="en-IN"/>
              </w:rPr>
              <w:t>24.44</w:t>
            </w:r>
          </w:p>
        </w:tc>
        <w:tc>
          <w:tcPr>
            <w:tcW w:w="1843" w:type="dxa"/>
            <w:tcBorders>
              <w:top w:val="single" w:sz="6" w:space="0" w:color="auto"/>
              <w:left w:val="single" w:sz="6" w:space="0" w:color="auto"/>
              <w:bottom w:val="single" w:sz="6" w:space="0" w:color="auto"/>
              <w:right w:val="single" w:sz="6" w:space="0" w:color="auto"/>
            </w:tcBorders>
          </w:tcPr>
          <w:p w14:paraId="4C014CFB" w14:textId="77777777" w:rsidR="00A35221" w:rsidRDefault="00A35221" w:rsidP="00A35221">
            <w:pPr>
              <w:autoSpaceDE w:val="0"/>
              <w:autoSpaceDN w:val="0"/>
              <w:adjustRightInd w:val="0"/>
              <w:jc w:val="center"/>
              <w:rPr>
                <w:rFonts w:ascii="Calibri" w:eastAsiaTheme="minorHAnsi" w:hAnsi="Calibri" w:cs="Calibri"/>
                <w:color w:val="000000"/>
                <w:sz w:val="22"/>
                <w:szCs w:val="22"/>
                <w:lang w:val="en-IN"/>
              </w:rPr>
            </w:pPr>
            <w:r>
              <w:rPr>
                <w:rFonts w:ascii="Calibri" w:eastAsiaTheme="minorHAnsi" w:hAnsi="Calibri" w:cs="Calibri"/>
                <w:color w:val="000000"/>
                <w:sz w:val="22"/>
                <w:szCs w:val="22"/>
                <w:lang w:val="en-IN"/>
              </w:rPr>
              <w:t>55.69</w:t>
            </w:r>
          </w:p>
        </w:tc>
        <w:tc>
          <w:tcPr>
            <w:tcW w:w="1410" w:type="dxa"/>
            <w:tcBorders>
              <w:top w:val="single" w:sz="6" w:space="0" w:color="auto"/>
              <w:left w:val="single" w:sz="6" w:space="0" w:color="auto"/>
              <w:bottom w:val="single" w:sz="6" w:space="0" w:color="auto"/>
              <w:right w:val="single" w:sz="6" w:space="0" w:color="auto"/>
            </w:tcBorders>
          </w:tcPr>
          <w:p w14:paraId="68F30921" w14:textId="77777777" w:rsidR="00A35221" w:rsidRDefault="00A35221" w:rsidP="00A35221">
            <w:pPr>
              <w:autoSpaceDE w:val="0"/>
              <w:autoSpaceDN w:val="0"/>
              <w:adjustRightInd w:val="0"/>
              <w:jc w:val="center"/>
              <w:rPr>
                <w:rFonts w:ascii="Calibri" w:eastAsiaTheme="minorHAnsi" w:hAnsi="Calibri" w:cs="Calibri"/>
                <w:color w:val="000000"/>
                <w:sz w:val="22"/>
                <w:szCs w:val="22"/>
                <w:lang w:val="en-IN"/>
              </w:rPr>
            </w:pPr>
            <w:r>
              <w:rPr>
                <w:rFonts w:ascii="Calibri" w:eastAsiaTheme="minorHAnsi" w:hAnsi="Calibri" w:cs="Calibri"/>
                <w:color w:val="000000"/>
                <w:sz w:val="22"/>
                <w:szCs w:val="22"/>
                <w:lang w:val="en-IN"/>
              </w:rPr>
              <w:t>63.12</w:t>
            </w:r>
          </w:p>
        </w:tc>
      </w:tr>
      <w:tr w:rsidR="00A35221" w14:paraId="4E264DE2" w14:textId="77777777" w:rsidTr="005055AB">
        <w:trPr>
          <w:trHeight w:val="290"/>
        </w:trPr>
        <w:tc>
          <w:tcPr>
            <w:tcW w:w="0" w:type="auto"/>
            <w:tcBorders>
              <w:top w:val="single" w:sz="6" w:space="0" w:color="auto"/>
              <w:left w:val="single" w:sz="6" w:space="0" w:color="auto"/>
              <w:bottom w:val="single" w:sz="6" w:space="0" w:color="auto"/>
              <w:right w:val="nil"/>
            </w:tcBorders>
            <w:shd w:val="clear" w:color="auto" w:fill="95B3D7" w:themeFill="accent1" w:themeFillTint="99"/>
          </w:tcPr>
          <w:p w14:paraId="24E55105" w14:textId="77777777" w:rsidR="00A35221" w:rsidRDefault="00A35221" w:rsidP="00A35221">
            <w:pPr>
              <w:autoSpaceDE w:val="0"/>
              <w:autoSpaceDN w:val="0"/>
              <w:adjustRightInd w:val="0"/>
              <w:jc w:val="center"/>
              <w:rPr>
                <w:rFonts w:ascii="Calibri" w:eastAsiaTheme="minorHAnsi" w:hAnsi="Calibri" w:cs="Calibri"/>
                <w:b/>
                <w:bCs/>
                <w:color w:val="000000"/>
                <w:sz w:val="22"/>
                <w:szCs w:val="22"/>
                <w:lang w:val="en-IN"/>
              </w:rPr>
            </w:pPr>
            <w:r>
              <w:rPr>
                <w:rFonts w:ascii="Calibri" w:eastAsiaTheme="minorHAnsi" w:hAnsi="Calibri" w:cs="Calibri"/>
                <w:b/>
                <w:bCs/>
                <w:color w:val="000000"/>
                <w:sz w:val="22"/>
                <w:szCs w:val="22"/>
                <w:lang w:val="en-IN"/>
              </w:rPr>
              <w:t>Total</w:t>
            </w:r>
          </w:p>
        </w:tc>
        <w:tc>
          <w:tcPr>
            <w:tcW w:w="2194" w:type="dxa"/>
            <w:tcBorders>
              <w:top w:val="single" w:sz="6" w:space="0" w:color="auto"/>
              <w:left w:val="nil"/>
              <w:bottom w:val="single" w:sz="6" w:space="0" w:color="auto"/>
              <w:right w:val="single" w:sz="6" w:space="0" w:color="auto"/>
            </w:tcBorders>
            <w:shd w:val="clear" w:color="auto" w:fill="95B3D7" w:themeFill="accent1" w:themeFillTint="99"/>
          </w:tcPr>
          <w:p w14:paraId="0C61EFF5" w14:textId="77777777" w:rsidR="00A35221" w:rsidRDefault="00A35221" w:rsidP="00A35221">
            <w:pPr>
              <w:autoSpaceDE w:val="0"/>
              <w:autoSpaceDN w:val="0"/>
              <w:adjustRightInd w:val="0"/>
              <w:jc w:val="center"/>
              <w:rPr>
                <w:rFonts w:ascii="Calibri" w:eastAsiaTheme="minorHAnsi" w:hAnsi="Calibri" w:cs="Calibri"/>
                <w:b/>
                <w:bCs/>
                <w:color w:val="000000"/>
                <w:sz w:val="22"/>
                <w:szCs w:val="22"/>
                <w:lang w:val="en-IN"/>
              </w:rPr>
            </w:pPr>
          </w:p>
        </w:tc>
        <w:tc>
          <w:tcPr>
            <w:tcW w:w="1559" w:type="dxa"/>
            <w:tcBorders>
              <w:top w:val="single" w:sz="6" w:space="0" w:color="auto"/>
              <w:left w:val="single" w:sz="6" w:space="0" w:color="auto"/>
              <w:bottom w:val="single" w:sz="6" w:space="0" w:color="auto"/>
              <w:right w:val="single" w:sz="6" w:space="0" w:color="auto"/>
            </w:tcBorders>
            <w:shd w:val="clear" w:color="auto" w:fill="95B3D7" w:themeFill="accent1" w:themeFillTint="99"/>
          </w:tcPr>
          <w:p w14:paraId="243F33E4" w14:textId="77777777" w:rsidR="00A35221" w:rsidRDefault="00A35221" w:rsidP="00A35221">
            <w:pPr>
              <w:autoSpaceDE w:val="0"/>
              <w:autoSpaceDN w:val="0"/>
              <w:adjustRightInd w:val="0"/>
              <w:jc w:val="center"/>
              <w:rPr>
                <w:rFonts w:ascii="Calibri" w:eastAsiaTheme="minorHAnsi" w:hAnsi="Calibri" w:cs="Calibri"/>
                <w:b/>
                <w:bCs/>
                <w:color w:val="000000"/>
                <w:sz w:val="22"/>
                <w:szCs w:val="22"/>
                <w:lang w:val="en-IN"/>
              </w:rPr>
            </w:pPr>
            <w:r>
              <w:rPr>
                <w:rFonts w:ascii="Calibri" w:eastAsiaTheme="minorHAnsi" w:hAnsi="Calibri" w:cs="Calibri"/>
                <w:b/>
                <w:bCs/>
                <w:color w:val="000000"/>
                <w:sz w:val="22"/>
                <w:szCs w:val="22"/>
                <w:lang w:val="en-IN"/>
              </w:rPr>
              <w:t>2195.38</w:t>
            </w:r>
          </w:p>
        </w:tc>
        <w:tc>
          <w:tcPr>
            <w:tcW w:w="1701" w:type="dxa"/>
            <w:tcBorders>
              <w:top w:val="single" w:sz="6" w:space="0" w:color="auto"/>
              <w:left w:val="single" w:sz="6" w:space="0" w:color="auto"/>
              <w:bottom w:val="single" w:sz="6" w:space="0" w:color="auto"/>
              <w:right w:val="single" w:sz="6" w:space="0" w:color="auto"/>
            </w:tcBorders>
            <w:shd w:val="clear" w:color="auto" w:fill="95B3D7" w:themeFill="accent1" w:themeFillTint="99"/>
          </w:tcPr>
          <w:p w14:paraId="27B679E9" w14:textId="77777777" w:rsidR="00A35221" w:rsidRDefault="00A35221" w:rsidP="00A35221">
            <w:pPr>
              <w:autoSpaceDE w:val="0"/>
              <w:autoSpaceDN w:val="0"/>
              <w:adjustRightInd w:val="0"/>
              <w:jc w:val="center"/>
              <w:rPr>
                <w:rFonts w:ascii="Calibri" w:eastAsiaTheme="minorHAnsi" w:hAnsi="Calibri" w:cs="Calibri"/>
                <w:b/>
                <w:bCs/>
                <w:color w:val="000000"/>
                <w:sz w:val="22"/>
                <w:szCs w:val="22"/>
                <w:lang w:val="en-IN"/>
              </w:rPr>
            </w:pPr>
            <w:r>
              <w:rPr>
                <w:rFonts w:ascii="Calibri" w:eastAsiaTheme="minorHAnsi" w:hAnsi="Calibri" w:cs="Calibri"/>
                <w:b/>
                <w:bCs/>
                <w:color w:val="000000"/>
                <w:sz w:val="22"/>
                <w:szCs w:val="22"/>
                <w:lang w:val="en-IN"/>
              </w:rPr>
              <w:t>1523.39</w:t>
            </w:r>
          </w:p>
        </w:tc>
        <w:tc>
          <w:tcPr>
            <w:tcW w:w="1843" w:type="dxa"/>
            <w:tcBorders>
              <w:top w:val="single" w:sz="6" w:space="0" w:color="auto"/>
              <w:left w:val="single" w:sz="6" w:space="0" w:color="auto"/>
              <w:bottom w:val="single" w:sz="6" w:space="0" w:color="auto"/>
              <w:right w:val="single" w:sz="6" w:space="0" w:color="auto"/>
            </w:tcBorders>
            <w:shd w:val="clear" w:color="auto" w:fill="95B3D7" w:themeFill="accent1" w:themeFillTint="99"/>
          </w:tcPr>
          <w:p w14:paraId="1E6FAF72" w14:textId="77777777" w:rsidR="00A35221" w:rsidRDefault="00A35221" w:rsidP="00A35221">
            <w:pPr>
              <w:autoSpaceDE w:val="0"/>
              <w:autoSpaceDN w:val="0"/>
              <w:adjustRightInd w:val="0"/>
              <w:jc w:val="center"/>
              <w:rPr>
                <w:rFonts w:ascii="Calibri" w:eastAsiaTheme="minorHAnsi" w:hAnsi="Calibri" w:cs="Calibri"/>
                <w:b/>
                <w:bCs/>
                <w:color w:val="000000"/>
                <w:sz w:val="22"/>
                <w:szCs w:val="22"/>
                <w:lang w:val="en-IN"/>
              </w:rPr>
            </w:pPr>
            <w:r>
              <w:rPr>
                <w:rFonts w:ascii="Calibri" w:eastAsiaTheme="minorHAnsi" w:hAnsi="Calibri" w:cs="Calibri"/>
                <w:b/>
                <w:bCs/>
                <w:color w:val="000000"/>
                <w:sz w:val="22"/>
                <w:szCs w:val="22"/>
                <w:lang w:val="en-IN"/>
              </w:rPr>
              <w:t>2702.74</w:t>
            </w:r>
          </w:p>
        </w:tc>
        <w:tc>
          <w:tcPr>
            <w:tcW w:w="1410" w:type="dxa"/>
            <w:tcBorders>
              <w:top w:val="single" w:sz="6" w:space="0" w:color="auto"/>
              <w:left w:val="single" w:sz="6" w:space="0" w:color="auto"/>
              <w:bottom w:val="single" w:sz="6" w:space="0" w:color="auto"/>
              <w:right w:val="single" w:sz="6" w:space="0" w:color="auto"/>
            </w:tcBorders>
            <w:shd w:val="clear" w:color="auto" w:fill="95B3D7" w:themeFill="accent1" w:themeFillTint="99"/>
          </w:tcPr>
          <w:p w14:paraId="3DAA6D0D" w14:textId="77777777" w:rsidR="00A35221" w:rsidRDefault="00A35221" w:rsidP="00A35221">
            <w:pPr>
              <w:autoSpaceDE w:val="0"/>
              <w:autoSpaceDN w:val="0"/>
              <w:adjustRightInd w:val="0"/>
              <w:jc w:val="center"/>
              <w:rPr>
                <w:rFonts w:ascii="Calibri" w:eastAsiaTheme="minorHAnsi" w:hAnsi="Calibri" w:cs="Calibri"/>
                <w:b/>
                <w:bCs/>
                <w:color w:val="000000"/>
                <w:sz w:val="22"/>
                <w:szCs w:val="22"/>
                <w:lang w:val="en-IN"/>
              </w:rPr>
            </w:pPr>
            <w:r>
              <w:rPr>
                <w:rFonts w:ascii="Calibri" w:eastAsiaTheme="minorHAnsi" w:hAnsi="Calibri" w:cs="Calibri"/>
                <w:b/>
                <w:bCs/>
                <w:color w:val="000000"/>
                <w:sz w:val="22"/>
                <w:szCs w:val="22"/>
                <w:lang w:val="en-IN"/>
              </w:rPr>
              <w:t>2886.56</w:t>
            </w:r>
          </w:p>
        </w:tc>
      </w:tr>
    </w:tbl>
    <w:p w14:paraId="3EB43E45" w14:textId="027AE57E" w:rsidR="002F2B8B" w:rsidRDefault="00A35221" w:rsidP="002F2B8B">
      <w:pPr>
        <w:pStyle w:val="BodyText2"/>
        <w:spacing w:line="360" w:lineRule="auto"/>
        <w:ind w:left="567"/>
        <w:jc w:val="center"/>
        <w:rPr>
          <w:rFonts w:asciiTheme="minorHAnsi" w:hAnsiTheme="minorHAnsi" w:cstheme="minorHAnsi"/>
          <w:b/>
          <w:sz w:val="22"/>
          <w:szCs w:val="22"/>
        </w:rPr>
      </w:pPr>
      <w:r w:rsidRPr="00F8252C">
        <w:rPr>
          <w:rFonts w:asciiTheme="minorHAnsi" w:hAnsiTheme="minorHAnsi" w:cstheme="minorHAnsi"/>
          <w:b/>
          <w:sz w:val="22"/>
          <w:szCs w:val="22"/>
        </w:rPr>
        <w:t xml:space="preserve"> </w:t>
      </w:r>
      <w:r w:rsidR="002F2B8B" w:rsidRPr="00F8252C">
        <w:rPr>
          <w:rFonts w:asciiTheme="minorHAnsi" w:hAnsiTheme="minorHAnsi" w:cstheme="minorHAnsi"/>
          <w:b/>
          <w:sz w:val="22"/>
          <w:szCs w:val="22"/>
        </w:rPr>
        <w:t>Table No- 1:</w:t>
      </w:r>
      <w:r w:rsidR="002F2B8B" w:rsidRPr="00F8252C">
        <w:rPr>
          <w:rFonts w:asciiTheme="minorHAnsi" w:hAnsiTheme="minorHAnsi" w:cstheme="minorHAnsi"/>
          <w:sz w:val="22"/>
          <w:szCs w:val="22"/>
        </w:rPr>
        <w:t xml:space="preserve"> </w:t>
      </w:r>
      <w:r w:rsidR="000557F1">
        <w:rPr>
          <w:rFonts w:asciiTheme="minorHAnsi" w:hAnsiTheme="minorHAnsi" w:cstheme="minorHAnsi"/>
          <w:b/>
          <w:sz w:val="22"/>
          <w:szCs w:val="22"/>
        </w:rPr>
        <w:t>L</w:t>
      </w:r>
      <w:r w:rsidR="002F2B8B" w:rsidRPr="00F8252C">
        <w:rPr>
          <w:rFonts w:asciiTheme="minorHAnsi" w:hAnsiTheme="minorHAnsi" w:cstheme="minorHAnsi"/>
          <w:b/>
          <w:sz w:val="22"/>
          <w:szCs w:val="22"/>
        </w:rPr>
        <w:t>T Sales (in MUs)</w:t>
      </w:r>
    </w:p>
    <w:p w14:paraId="48C2459C" w14:textId="77777777" w:rsidR="002F2B8B" w:rsidRDefault="002F2B8B" w:rsidP="00A35221">
      <w:pPr>
        <w:pStyle w:val="BodyText2"/>
        <w:spacing w:line="360" w:lineRule="auto"/>
        <w:jc w:val="both"/>
        <w:rPr>
          <w:rFonts w:asciiTheme="minorHAnsi" w:hAnsiTheme="minorHAnsi" w:cstheme="minorHAnsi"/>
          <w:sz w:val="22"/>
          <w:szCs w:val="22"/>
        </w:rPr>
      </w:pPr>
    </w:p>
    <w:p w14:paraId="5FF54B36" w14:textId="1C972BDC" w:rsidR="002F2B8B" w:rsidRDefault="002F2B8B" w:rsidP="002F2B8B">
      <w:pPr>
        <w:pStyle w:val="BodyText2"/>
        <w:spacing w:line="360" w:lineRule="auto"/>
        <w:ind w:left="567"/>
        <w:jc w:val="both"/>
        <w:rPr>
          <w:rFonts w:asciiTheme="minorHAnsi" w:hAnsiTheme="minorHAnsi" w:cstheme="minorHAnsi"/>
          <w:sz w:val="22"/>
          <w:szCs w:val="22"/>
        </w:rPr>
      </w:pPr>
      <w:r>
        <w:rPr>
          <w:rFonts w:asciiTheme="minorHAnsi" w:hAnsiTheme="minorHAnsi" w:cstheme="minorHAnsi"/>
          <w:sz w:val="22"/>
          <w:szCs w:val="22"/>
        </w:rPr>
        <w:t xml:space="preserve">The actual sales in LT in the first six months of the </w:t>
      </w:r>
      <w:r w:rsidR="000557F1">
        <w:rPr>
          <w:rFonts w:asciiTheme="minorHAnsi" w:hAnsiTheme="minorHAnsi" w:cstheme="minorHAnsi"/>
          <w:sz w:val="22"/>
          <w:szCs w:val="22"/>
        </w:rPr>
        <w:t>current FY is 1523.39</w:t>
      </w:r>
      <w:r w:rsidR="00A35221">
        <w:rPr>
          <w:rFonts w:asciiTheme="minorHAnsi" w:hAnsiTheme="minorHAnsi" w:cstheme="minorHAnsi"/>
          <w:sz w:val="22"/>
          <w:szCs w:val="22"/>
        </w:rPr>
        <w:t xml:space="preserve"> </w:t>
      </w:r>
      <w:r w:rsidR="000557F1">
        <w:rPr>
          <w:rFonts w:asciiTheme="minorHAnsi" w:hAnsiTheme="minorHAnsi" w:cstheme="minorHAnsi"/>
          <w:sz w:val="22"/>
          <w:szCs w:val="22"/>
        </w:rPr>
        <w:t>MU. Based</w:t>
      </w:r>
      <w:r>
        <w:rPr>
          <w:rFonts w:asciiTheme="minorHAnsi" w:hAnsiTheme="minorHAnsi" w:cstheme="minorHAnsi"/>
          <w:sz w:val="22"/>
          <w:szCs w:val="22"/>
        </w:rPr>
        <w:t xml:space="preserve"> on the actual consumption in the first six months and consumption pattern of each category, a </w:t>
      </w:r>
      <w:r w:rsidR="00A35221">
        <w:rPr>
          <w:rFonts w:asciiTheme="minorHAnsi" w:hAnsiTheme="minorHAnsi" w:cstheme="minorHAnsi"/>
          <w:sz w:val="22"/>
          <w:szCs w:val="22"/>
        </w:rPr>
        <w:t>sale of 2702</w:t>
      </w:r>
      <w:r>
        <w:rPr>
          <w:rFonts w:asciiTheme="minorHAnsi" w:hAnsiTheme="minorHAnsi" w:cstheme="minorHAnsi"/>
          <w:sz w:val="22"/>
          <w:szCs w:val="22"/>
        </w:rPr>
        <w:t xml:space="preserve">.74MU has been estimated for FY 2024-25 and 2886.56MU for FY 2025-26. </w:t>
      </w:r>
    </w:p>
    <w:p w14:paraId="605332C7" w14:textId="21C65804" w:rsidR="002F2B8B" w:rsidRDefault="002F2B8B" w:rsidP="002F2B8B">
      <w:pPr>
        <w:pStyle w:val="BodyText2"/>
        <w:spacing w:line="360" w:lineRule="auto"/>
        <w:ind w:left="567"/>
        <w:jc w:val="both"/>
        <w:rPr>
          <w:rFonts w:asciiTheme="minorHAnsi" w:hAnsiTheme="minorHAnsi" w:cstheme="minorHAnsi"/>
          <w:sz w:val="22"/>
          <w:szCs w:val="22"/>
        </w:rPr>
      </w:pPr>
      <w:r w:rsidRPr="00800638">
        <w:rPr>
          <w:rFonts w:asciiTheme="minorHAnsi" w:hAnsiTheme="minorHAnsi" w:cstheme="minorHAnsi"/>
          <w:sz w:val="22"/>
          <w:szCs w:val="22"/>
        </w:rPr>
        <w:t xml:space="preserve">Due to implementation of project </w:t>
      </w:r>
      <w:proofErr w:type="gramStart"/>
      <w:r w:rsidRPr="00800638">
        <w:rPr>
          <w:rFonts w:asciiTheme="minorHAnsi" w:hAnsiTheme="minorHAnsi" w:cstheme="minorHAnsi"/>
          <w:b/>
          <w:sz w:val="22"/>
          <w:szCs w:val="22"/>
        </w:rPr>
        <w:t>K</w:t>
      </w:r>
      <w:r>
        <w:rPr>
          <w:rFonts w:asciiTheme="minorHAnsi" w:hAnsiTheme="minorHAnsi" w:cstheme="minorHAnsi"/>
          <w:b/>
          <w:sz w:val="22"/>
          <w:szCs w:val="22"/>
        </w:rPr>
        <w:t xml:space="preserve">rishi </w:t>
      </w:r>
      <w:r w:rsidRPr="00800638">
        <w:rPr>
          <w:rFonts w:asciiTheme="minorHAnsi" w:hAnsiTheme="minorHAnsi" w:cstheme="minorHAnsi"/>
          <w:b/>
          <w:sz w:val="22"/>
          <w:szCs w:val="22"/>
        </w:rPr>
        <w:t xml:space="preserve"> </w:t>
      </w:r>
      <w:proofErr w:type="spellStart"/>
      <w:r w:rsidRPr="00800638">
        <w:rPr>
          <w:rFonts w:asciiTheme="minorHAnsi" w:hAnsiTheme="minorHAnsi" w:cstheme="minorHAnsi"/>
          <w:b/>
          <w:sz w:val="22"/>
          <w:szCs w:val="22"/>
        </w:rPr>
        <w:t>S</w:t>
      </w:r>
      <w:r>
        <w:rPr>
          <w:rFonts w:asciiTheme="minorHAnsi" w:hAnsiTheme="minorHAnsi" w:cstheme="minorHAnsi"/>
          <w:b/>
          <w:sz w:val="22"/>
          <w:szCs w:val="22"/>
        </w:rPr>
        <w:t>udhar</w:t>
      </w:r>
      <w:proofErr w:type="spellEnd"/>
      <w:proofErr w:type="gramEnd"/>
      <w:r w:rsidRPr="00800638">
        <w:rPr>
          <w:rFonts w:asciiTheme="minorHAnsi" w:hAnsiTheme="minorHAnsi" w:cstheme="minorHAnsi"/>
          <w:sz w:val="22"/>
          <w:szCs w:val="22"/>
        </w:rPr>
        <w:t xml:space="preserve"> for sanitization and arrest of theft in irrigation sector and installation of meter, a </w:t>
      </w:r>
      <w:r>
        <w:rPr>
          <w:rFonts w:asciiTheme="minorHAnsi" w:hAnsiTheme="minorHAnsi" w:cstheme="minorHAnsi"/>
          <w:sz w:val="22"/>
          <w:szCs w:val="22"/>
        </w:rPr>
        <w:t xml:space="preserve">consumption of 47.26MU </w:t>
      </w:r>
      <w:r w:rsidRPr="00800638">
        <w:rPr>
          <w:rFonts w:asciiTheme="minorHAnsi" w:hAnsiTheme="minorHAnsi" w:cstheme="minorHAnsi"/>
          <w:sz w:val="22"/>
          <w:szCs w:val="22"/>
        </w:rPr>
        <w:t xml:space="preserve"> has been noticed during </w:t>
      </w:r>
      <w:r>
        <w:rPr>
          <w:rFonts w:asciiTheme="minorHAnsi" w:hAnsiTheme="minorHAnsi" w:cstheme="minorHAnsi"/>
          <w:sz w:val="22"/>
          <w:szCs w:val="22"/>
        </w:rPr>
        <w:t xml:space="preserve">H1 of </w:t>
      </w:r>
      <w:r w:rsidRPr="00800638">
        <w:rPr>
          <w:rFonts w:asciiTheme="minorHAnsi" w:hAnsiTheme="minorHAnsi" w:cstheme="minorHAnsi"/>
          <w:sz w:val="22"/>
          <w:szCs w:val="22"/>
        </w:rPr>
        <w:t>the current</w:t>
      </w:r>
      <w:r w:rsidR="000557F1">
        <w:rPr>
          <w:rFonts w:asciiTheme="minorHAnsi" w:hAnsiTheme="minorHAnsi" w:cstheme="minorHAnsi"/>
          <w:sz w:val="22"/>
          <w:szCs w:val="22"/>
        </w:rPr>
        <w:t xml:space="preserve"> financial</w:t>
      </w:r>
      <w:r w:rsidRPr="00800638">
        <w:rPr>
          <w:rFonts w:asciiTheme="minorHAnsi" w:hAnsiTheme="minorHAnsi" w:cstheme="minorHAnsi"/>
          <w:sz w:val="22"/>
          <w:szCs w:val="22"/>
        </w:rPr>
        <w:t xml:space="preserve"> year 2024-25 and it is expected that this growth will continue in ensu</w:t>
      </w:r>
      <w:r w:rsidR="00524A4E">
        <w:rPr>
          <w:rFonts w:asciiTheme="minorHAnsi" w:hAnsiTheme="minorHAnsi" w:cstheme="minorHAnsi"/>
          <w:sz w:val="22"/>
          <w:szCs w:val="22"/>
        </w:rPr>
        <w:t>ing</w:t>
      </w:r>
      <w:r w:rsidR="000557F1">
        <w:rPr>
          <w:rFonts w:asciiTheme="minorHAnsi" w:hAnsiTheme="minorHAnsi" w:cstheme="minorHAnsi"/>
          <w:sz w:val="22"/>
          <w:szCs w:val="22"/>
        </w:rPr>
        <w:t xml:space="preserve"> financial </w:t>
      </w:r>
      <w:r w:rsidRPr="00800638">
        <w:rPr>
          <w:rFonts w:asciiTheme="minorHAnsi" w:hAnsiTheme="minorHAnsi" w:cstheme="minorHAnsi"/>
          <w:sz w:val="22"/>
          <w:szCs w:val="22"/>
        </w:rPr>
        <w:t>year</w:t>
      </w:r>
      <w:r>
        <w:rPr>
          <w:rFonts w:asciiTheme="minorHAnsi" w:hAnsiTheme="minorHAnsi" w:cstheme="minorHAnsi"/>
          <w:sz w:val="22"/>
          <w:szCs w:val="22"/>
        </w:rPr>
        <w:t>.</w:t>
      </w:r>
      <w:r w:rsidRPr="00800638">
        <w:rPr>
          <w:rFonts w:asciiTheme="minorHAnsi" w:hAnsiTheme="minorHAnsi" w:cstheme="minorHAnsi"/>
          <w:sz w:val="22"/>
          <w:szCs w:val="22"/>
        </w:rPr>
        <w:t xml:space="preserve"> </w:t>
      </w:r>
      <w:r>
        <w:rPr>
          <w:rFonts w:asciiTheme="minorHAnsi" w:hAnsiTheme="minorHAnsi" w:cstheme="minorHAnsi"/>
          <w:sz w:val="22"/>
          <w:szCs w:val="22"/>
        </w:rPr>
        <w:t xml:space="preserve">A </w:t>
      </w:r>
      <w:proofErr w:type="gramStart"/>
      <w:r>
        <w:rPr>
          <w:rFonts w:asciiTheme="minorHAnsi" w:hAnsiTheme="minorHAnsi" w:cstheme="minorHAnsi"/>
          <w:sz w:val="22"/>
          <w:szCs w:val="22"/>
        </w:rPr>
        <w:t>sales</w:t>
      </w:r>
      <w:proofErr w:type="gramEnd"/>
      <w:r>
        <w:rPr>
          <w:rFonts w:asciiTheme="minorHAnsi" w:hAnsiTheme="minorHAnsi" w:cstheme="minorHAnsi"/>
          <w:sz w:val="22"/>
          <w:szCs w:val="22"/>
        </w:rPr>
        <w:t xml:space="preserve"> of 119.81MU has been projected under irrigation category in the ensuing FY considering a growth rate of 12%. </w:t>
      </w:r>
    </w:p>
    <w:p w14:paraId="2CBDCC59" w14:textId="362F35DA" w:rsidR="002F2B8B" w:rsidRPr="00A35221" w:rsidRDefault="002F2B8B" w:rsidP="00A35221">
      <w:pPr>
        <w:pStyle w:val="BodyText2"/>
        <w:spacing w:line="360" w:lineRule="auto"/>
        <w:ind w:left="567"/>
        <w:jc w:val="both"/>
        <w:rPr>
          <w:rFonts w:asciiTheme="minorHAnsi" w:hAnsiTheme="minorHAnsi" w:cstheme="minorHAnsi"/>
          <w:sz w:val="22"/>
          <w:szCs w:val="22"/>
        </w:rPr>
      </w:pPr>
      <w:r>
        <w:rPr>
          <w:rFonts w:asciiTheme="minorHAnsi" w:hAnsiTheme="minorHAnsi" w:cstheme="minorHAnsi"/>
          <w:sz w:val="22"/>
          <w:szCs w:val="22"/>
        </w:rPr>
        <w:lastRenderedPageBreak/>
        <w:t>Due to scaling</w:t>
      </w:r>
      <w:r w:rsidR="000557F1">
        <w:rPr>
          <w:rFonts w:asciiTheme="minorHAnsi" w:hAnsiTheme="minorHAnsi" w:cstheme="minorHAnsi"/>
          <w:sz w:val="22"/>
          <w:szCs w:val="22"/>
        </w:rPr>
        <w:t xml:space="preserve"> up</w:t>
      </w:r>
      <w:r>
        <w:rPr>
          <w:rFonts w:asciiTheme="minorHAnsi" w:hAnsiTheme="minorHAnsi" w:cstheme="minorHAnsi"/>
          <w:sz w:val="22"/>
          <w:szCs w:val="22"/>
        </w:rPr>
        <w:t xml:space="preserve"> of </w:t>
      </w:r>
      <w:r w:rsidRPr="00800638">
        <w:rPr>
          <w:rFonts w:asciiTheme="minorHAnsi" w:hAnsiTheme="minorHAnsi" w:cstheme="minorHAnsi"/>
          <w:sz w:val="22"/>
          <w:szCs w:val="22"/>
        </w:rPr>
        <w:t>large-scale prawn cultivation in the coastal area</w:t>
      </w:r>
      <w:r>
        <w:rPr>
          <w:rFonts w:asciiTheme="minorHAnsi" w:hAnsiTheme="minorHAnsi" w:cstheme="minorHAnsi"/>
          <w:sz w:val="22"/>
          <w:szCs w:val="22"/>
        </w:rPr>
        <w:t>,</w:t>
      </w:r>
      <w:r w:rsidRPr="00800638">
        <w:rPr>
          <w:rFonts w:asciiTheme="minorHAnsi" w:hAnsiTheme="minorHAnsi" w:cstheme="minorHAnsi"/>
          <w:sz w:val="22"/>
          <w:szCs w:val="22"/>
        </w:rPr>
        <w:t xml:space="preserve"> a </w:t>
      </w:r>
      <w:r>
        <w:rPr>
          <w:rFonts w:asciiTheme="minorHAnsi" w:hAnsiTheme="minorHAnsi" w:cstheme="minorHAnsi"/>
          <w:sz w:val="22"/>
          <w:szCs w:val="22"/>
        </w:rPr>
        <w:t>consumption of 31.37MU and 1.15MU has been noticed in H1 of FY 2024-25 in Allied A</w:t>
      </w:r>
      <w:r w:rsidRPr="00800638">
        <w:rPr>
          <w:rFonts w:asciiTheme="minorHAnsi" w:hAnsiTheme="minorHAnsi" w:cstheme="minorHAnsi"/>
          <w:sz w:val="22"/>
          <w:szCs w:val="22"/>
        </w:rPr>
        <w:t xml:space="preserve">griculture category and Allied </w:t>
      </w:r>
      <w:proofErr w:type="spellStart"/>
      <w:r w:rsidRPr="00800638">
        <w:rPr>
          <w:rFonts w:asciiTheme="minorHAnsi" w:hAnsiTheme="minorHAnsi" w:cstheme="minorHAnsi"/>
          <w:sz w:val="22"/>
          <w:szCs w:val="22"/>
        </w:rPr>
        <w:t>Agro</w:t>
      </w:r>
      <w:proofErr w:type="spellEnd"/>
      <w:r w:rsidRPr="00800638">
        <w:rPr>
          <w:rFonts w:asciiTheme="minorHAnsi" w:hAnsiTheme="minorHAnsi" w:cstheme="minorHAnsi"/>
          <w:sz w:val="22"/>
          <w:szCs w:val="22"/>
        </w:rPr>
        <w:t xml:space="preserve"> </w:t>
      </w:r>
      <w:r w:rsidR="00A35221">
        <w:rPr>
          <w:rFonts w:asciiTheme="minorHAnsi" w:hAnsiTheme="minorHAnsi" w:cstheme="minorHAnsi"/>
          <w:sz w:val="22"/>
          <w:szCs w:val="22"/>
        </w:rPr>
        <w:t xml:space="preserve">Industrial </w:t>
      </w:r>
      <w:r w:rsidR="00A35221" w:rsidRPr="00800638">
        <w:rPr>
          <w:rFonts w:asciiTheme="minorHAnsi" w:hAnsiTheme="minorHAnsi" w:cstheme="minorHAnsi"/>
          <w:sz w:val="22"/>
          <w:szCs w:val="22"/>
        </w:rPr>
        <w:t>category</w:t>
      </w:r>
      <w:r w:rsidR="00A35221">
        <w:rPr>
          <w:rFonts w:asciiTheme="minorHAnsi" w:hAnsiTheme="minorHAnsi" w:cstheme="minorHAnsi"/>
          <w:sz w:val="22"/>
          <w:szCs w:val="22"/>
        </w:rPr>
        <w:t xml:space="preserve"> </w:t>
      </w:r>
      <w:r w:rsidRPr="00800638">
        <w:rPr>
          <w:rFonts w:asciiTheme="minorHAnsi" w:hAnsiTheme="minorHAnsi" w:cstheme="minorHAnsi"/>
          <w:sz w:val="22"/>
          <w:szCs w:val="22"/>
        </w:rPr>
        <w:t xml:space="preserve">respectively. Considering continuance of same pattern in ensuring year, a </w:t>
      </w:r>
      <w:proofErr w:type="gramStart"/>
      <w:r>
        <w:rPr>
          <w:rFonts w:asciiTheme="minorHAnsi" w:hAnsiTheme="minorHAnsi" w:cstheme="minorHAnsi"/>
          <w:sz w:val="22"/>
          <w:szCs w:val="22"/>
        </w:rPr>
        <w:t>sales</w:t>
      </w:r>
      <w:proofErr w:type="gramEnd"/>
      <w:r>
        <w:rPr>
          <w:rFonts w:asciiTheme="minorHAnsi" w:hAnsiTheme="minorHAnsi" w:cstheme="minorHAnsi"/>
          <w:sz w:val="22"/>
          <w:szCs w:val="22"/>
        </w:rPr>
        <w:t xml:space="preserve"> of 77.09MU and 3.01MU has been projected </w:t>
      </w:r>
      <w:r w:rsidRPr="00800638">
        <w:rPr>
          <w:rFonts w:asciiTheme="minorHAnsi" w:hAnsiTheme="minorHAnsi" w:cstheme="minorHAnsi"/>
          <w:sz w:val="22"/>
          <w:szCs w:val="22"/>
        </w:rPr>
        <w:t xml:space="preserve">for ensuing year 2025-26 in Allied agriculture category and Allied </w:t>
      </w:r>
      <w:proofErr w:type="spellStart"/>
      <w:r w:rsidRPr="00800638">
        <w:rPr>
          <w:rFonts w:asciiTheme="minorHAnsi" w:hAnsiTheme="minorHAnsi" w:cstheme="minorHAnsi"/>
          <w:sz w:val="22"/>
          <w:szCs w:val="22"/>
        </w:rPr>
        <w:t>Agro</w:t>
      </w:r>
      <w:proofErr w:type="spellEnd"/>
      <w:r w:rsidRPr="00800638">
        <w:rPr>
          <w:rFonts w:asciiTheme="minorHAnsi" w:hAnsiTheme="minorHAnsi" w:cstheme="minorHAnsi"/>
          <w:sz w:val="22"/>
          <w:szCs w:val="22"/>
        </w:rPr>
        <w:t xml:space="preserve"> </w:t>
      </w:r>
      <w:r>
        <w:rPr>
          <w:rFonts w:asciiTheme="minorHAnsi" w:hAnsiTheme="minorHAnsi" w:cstheme="minorHAnsi"/>
          <w:sz w:val="22"/>
          <w:szCs w:val="22"/>
        </w:rPr>
        <w:t>Industrial</w:t>
      </w:r>
      <w:r w:rsidRPr="00800638">
        <w:rPr>
          <w:rFonts w:asciiTheme="minorHAnsi" w:hAnsiTheme="minorHAnsi" w:cstheme="minorHAnsi"/>
          <w:sz w:val="22"/>
          <w:szCs w:val="22"/>
        </w:rPr>
        <w:t xml:space="preserve"> category respectively. </w:t>
      </w:r>
    </w:p>
    <w:p w14:paraId="08554C2D" w14:textId="32435BB4" w:rsidR="002F2B8B" w:rsidRPr="00800638" w:rsidRDefault="002F2B8B" w:rsidP="002F2B8B">
      <w:pPr>
        <w:pStyle w:val="BodyText2"/>
        <w:spacing w:line="360" w:lineRule="auto"/>
        <w:ind w:left="567"/>
        <w:jc w:val="both"/>
        <w:rPr>
          <w:rFonts w:asciiTheme="minorHAnsi" w:hAnsiTheme="minorHAnsi" w:cstheme="minorHAnsi"/>
          <w:sz w:val="22"/>
          <w:szCs w:val="22"/>
          <w:lang w:val="en-GB"/>
        </w:rPr>
      </w:pPr>
      <w:r w:rsidRPr="00800638">
        <w:rPr>
          <w:rFonts w:asciiTheme="minorHAnsi" w:hAnsiTheme="minorHAnsi" w:cstheme="minorHAnsi"/>
          <w:sz w:val="22"/>
          <w:szCs w:val="22"/>
          <w:lang w:val="en-GB"/>
        </w:rPr>
        <w:t>A sharp rise in consumption under public water works category estimated due to implementation of Central Govt. Scheme like National Rural Drinking Water Programme (NRDWP), Jal Jeevan Mission (JJM) to provide Functional Household Tap Connection (FHTC) to every rural household</w:t>
      </w:r>
      <w:r w:rsidR="000557F1">
        <w:rPr>
          <w:rFonts w:asciiTheme="minorHAnsi" w:hAnsiTheme="minorHAnsi" w:cstheme="minorHAnsi"/>
          <w:sz w:val="22"/>
          <w:szCs w:val="22"/>
          <w:lang w:val="en-GB"/>
        </w:rPr>
        <w:t>.</w:t>
      </w:r>
    </w:p>
    <w:p w14:paraId="59B794CC" w14:textId="77777777" w:rsidR="00B35B36" w:rsidRDefault="002F2B8B" w:rsidP="002F2B8B">
      <w:pPr>
        <w:pStyle w:val="BodyText2"/>
        <w:spacing w:line="360" w:lineRule="auto"/>
        <w:ind w:left="567"/>
        <w:jc w:val="both"/>
        <w:rPr>
          <w:rFonts w:asciiTheme="minorHAnsi" w:hAnsiTheme="minorHAnsi" w:cstheme="minorHAnsi"/>
          <w:sz w:val="22"/>
          <w:szCs w:val="22"/>
        </w:rPr>
      </w:pPr>
      <w:r w:rsidRPr="00800638">
        <w:rPr>
          <w:rFonts w:asciiTheme="minorHAnsi" w:hAnsiTheme="minorHAnsi" w:cstheme="minorHAnsi"/>
          <w:sz w:val="22"/>
          <w:szCs w:val="22"/>
          <w:lang w:val="en-GB"/>
        </w:rPr>
        <w:t xml:space="preserve">The growth in the domestic category has been estimated at 24 % for the current </w:t>
      </w:r>
      <w:r>
        <w:rPr>
          <w:rFonts w:asciiTheme="minorHAnsi" w:hAnsiTheme="minorHAnsi" w:cstheme="minorHAnsi"/>
          <w:sz w:val="22"/>
          <w:szCs w:val="22"/>
          <w:lang w:val="en-GB"/>
        </w:rPr>
        <w:t xml:space="preserve">financial </w:t>
      </w:r>
      <w:r w:rsidRPr="00800638">
        <w:rPr>
          <w:rFonts w:asciiTheme="minorHAnsi" w:hAnsiTheme="minorHAnsi" w:cstheme="minorHAnsi"/>
          <w:sz w:val="22"/>
          <w:szCs w:val="22"/>
          <w:lang w:val="en-GB"/>
        </w:rPr>
        <w:t>year FY 2024-25</w:t>
      </w:r>
      <w:r w:rsidR="00B35B36">
        <w:rPr>
          <w:rFonts w:asciiTheme="minorHAnsi" w:hAnsiTheme="minorHAnsi" w:cstheme="minorHAnsi"/>
          <w:sz w:val="22"/>
          <w:szCs w:val="22"/>
          <w:lang w:val="en-GB"/>
        </w:rPr>
        <w:t>. F</w:t>
      </w:r>
      <w:proofErr w:type="spellStart"/>
      <w:r w:rsidR="000557F1">
        <w:rPr>
          <w:rFonts w:asciiTheme="minorHAnsi" w:hAnsiTheme="minorHAnsi" w:cstheme="minorHAnsi"/>
          <w:sz w:val="22"/>
          <w:szCs w:val="22"/>
        </w:rPr>
        <w:t>acilitation</w:t>
      </w:r>
      <w:r w:rsidR="00B35B36">
        <w:rPr>
          <w:rFonts w:asciiTheme="minorHAnsi" w:hAnsiTheme="minorHAnsi" w:cstheme="minorHAnsi"/>
          <w:sz w:val="22"/>
          <w:szCs w:val="22"/>
        </w:rPr>
        <w:t>s</w:t>
      </w:r>
      <w:proofErr w:type="spellEnd"/>
      <w:r w:rsidR="000557F1">
        <w:rPr>
          <w:rFonts w:asciiTheme="minorHAnsi" w:hAnsiTheme="minorHAnsi" w:cstheme="minorHAnsi"/>
          <w:sz w:val="22"/>
          <w:szCs w:val="22"/>
        </w:rPr>
        <w:t xml:space="preserve"> through</w:t>
      </w:r>
      <w:r w:rsidRPr="00800638">
        <w:rPr>
          <w:rFonts w:asciiTheme="minorHAnsi" w:hAnsiTheme="minorHAnsi" w:cstheme="minorHAnsi"/>
          <w:sz w:val="22"/>
          <w:szCs w:val="22"/>
        </w:rPr>
        <w:t xml:space="preserve"> </w:t>
      </w:r>
      <w:r w:rsidR="00B35B36">
        <w:rPr>
          <w:rFonts w:asciiTheme="minorHAnsi" w:hAnsiTheme="minorHAnsi" w:cstheme="minorHAnsi"/>
          <w:sz w:val="22"/>
          <w:szCs w:val="22"/>
        </w:rPr>
        <w:t>C</w:t>
      </w:r>
      <w:r w:rsidRPr="00800638">
        <w:rPr>
          <w:rFonts w:asciiTheme="minorHAnsi" w:hAnsiTheme="minorHAnsi" w:cstheme="minorHAnsi"/>
          <w:sz w:val="22"/>
          <w:szCs w:val="22"/>
        </w:rPr>
        <w:t xml:space="preserve">ustomer care </w:t>
      </w:r>
      <w:proofErr w:type="spellStart"/>
      <w:proofErr w:type="gramStart"/>
      <w:r w:rsidRPr="00800638">
        <w:rPr>
          <w:rFonts w:asciiTheme="minorHAnsi" w:hAnsiTheme="minorHAnsi" w:cstheme="minorHAnsi"/>
          <w:sz w:val="22"/>
          <w:szCs w:val="22"/>
        </w:rPr>
        <w:t>centres</w:t>
      </w:r>
      <w:proofErr w:type="spellEnd"/>
      <w:r w:rsidRPr="00800638">
        <w:rPr>
          <w:rFonts w:asciiTheme="minorHAnsi" w:hAnsiTheme="minorHAnsi" w:cstheme="minorHAnsi"/>
          <w:sz w:val="22"/>
          <w:szCs w:val="22"/>
        </w:rPr>
        <w:t>,  Anubhav</w:t>
      </w:r>
      <w:proofErr w:type="gramEnd"/>
      <w:r w:rsidRPr="00800638">
        <w:rPr>
          <w:rFonts w:asciiTheme="minorHAnsi" w:hAnsiTheme="minorHAnsi" w:cstheme="minorHAnsi"/>
          <w:sz w:val="22"/>
          <w:szCs w:val="22"/>
        </w:rPr>
        <w:t xml:space="preserve"> </w:t>
      </w:r>
      <w:proofErr w:type="spellStart"/>
      <w:r w:rsidRPr="00800638">
        <w:rPr>
          <w:rFonts w:asciiTheme="minorHAnsi" w:hAnsiTheme="minorHAnsi" w:cstheme="minorHAnsi"/>
          <w:sz w:val="22"/>
          <w:szCs w:val="22"/>
        </w:rPr>
        <w:t>Kendras</w:t>
      </w:r>
      <w:proofErr w:type="spellEnd"/>
      <w:r w:rsidR="00B35B36">
        <w:rPr>
          <w:rFonts w:asciiTheme="minorHAnsi" w:hAnsiTheme="minorHAnsi" w:cstheme="minorHAnsi"/>
          <w:sz w:val="22"/>
          <w:szCs w:val="22"/>
        </w:rPr>
        <w:t xml:space="preserve">, Call </w:t>
      </w:r>
      <w:proofErr w:type="spellStart"/>
      <w:r w:rsidR="00B35B36">
        <w:rPr>
          <w:rFonts w:asciiTheme="minorHAnsi" w:hAnsiTheme="minorHAnsi" w:cstheme="minorHAnsi"/>
          <w:sz w:val="22"/>
          <w:szCs w:val="22"/>
        </w:rPr>
        <w:t>Centres</w:t>
      </w:r>
      <w:proofErr w:type="spellEnd"/>
      <w:r w:rsidRPr="00800638">
        <w:rPr>
          <w:rFonts w:asciiTheme="minorHAnsi" w:hAnsiTheme="minorHAnsi" w:cstheme="minorHAnsi"/>
          <w:sz w:val="22"/>
          <w:szCs w:val="22"/>
        </w:rPr>
        <w:t xml:space="preserve"> </w:t>
      </w:r>
      <w:r w:rsidR="00B35B36">
        <w:rPr>
          <w:rFonts w:asciiTheme="minorHAnsi" w:hAnsiTheme="minorHAnsi" w:cstheme="minorHAnsi"/>
          <w:sz w:val="22"/>
          <w:szCs w:val="22"/>
        </w:rPr>
        <w:t xml:space="preserve"> have resulted into </w:t>
      </w:r>
      <w:r w:rsidRPr="00800638">
        <w:rPr>
          <w:rFonts w:asciiTheme="minorHAnsi" w:hAnsiTheme="minorHAnsi" w:cstheme="minorHAnsi"/>
          <w:sz w:val="22"/>
          <w:szCs w:val="22"/>
        </w:rPr>
        <w:t xml:space="preserve"> hassle free </w:t>
      </w:r>
      <w:r w:rsidR="00B35B36">
        <w:rPr>
          <w:rFonts w:asciiTheme="minorHAnsi" w:hAnsiTheme="minorHAnsi" w:cstheme="minorHAnsi"/>
          <w:sz w:val="22"/>
          <w:szCs w:val="22"/>
        </w:rPr>
        <w:t xml:space="preserve"> onboarding process , which has helped in faster processing  of new connection applications</w:t>
      </w:r>
      <w:r w:rsidRPr="00800638">
        <w:rPr>
          <w:rFonts w:asciiTheme="minorHAnsi" w:hAnsiTheme="minorHAnsi" w:cstheme="minorHAnsi"/>
          <w:sz w:val="22"/>
          <w:szCs w:val="22"/>
          <w:lang w:val="en-GB"/>
        </w:rPr>
        <w:t>.</w:t>
      </w:r>
      <w:r w:rsidRPr="00800638">
        <w:rPr>
          <w:rFonts w:asciiTheme="minorHAnsi" w:hAnsiTheme="minorHAnsi" w:cstheme="minorHAnsi"/>
          <w:sz w:val="22"/>
          <w:szCs w:val="22"/>
        </w:rPr>
        <w:t xml:space="preserve"> </w:t>
      </w:r>
      <w:r w:rsidR="00B35B36">
        <w:rPr>
          <w:rFonts w:asciiTheme="minorHAnsi" w:hAnsiTheme="minorHAnsi" w:cstheme="minorHAnsi"/>
          <w:sz w:val="22"/>
          <w:szCs w:val="22"/>
        </w:rPr>
        <w:t xml:space="preserve">Moreover, many customers which were not in billing net were regularized through structured site verification and consumer indexing process through GIS. </w:t>
      </w:r>
      <w:proofErr w:type="gramStart"/>
      <w:r w:rsidR="00B35B36">
        <w:rPr>
          <w:rFonts w:asciiTheme="minorHAnsi" w:hAnsiTheme="minorHAnsi" w:cstheme="minorHAnsi"/>
          <w:sz w:val="22"/>
          <w:szCs w:val="22"/>
        </w:rPr>
        <w:t>The  actual</w:t>
      </w:r>
      <w:proofErr w:type="gramEnd"/>
      <w:r w:rsidR="00B35B36">
        <w:rPr>
          <w:rFonts w:asciiTheme="minorHAnsi" w:hAnsiTheme="minorHAnsi" w:cstheme="minorHAnsi"/>
          <w:sz w:val="22"/>
          <w:szCs w:val="22"/>
        </w:rPr>
        <w:t xml:space="preserve"> consumption </w:t>
      </w:r>
      <w:r>
        <w:rPr>
          <w:rFonts w:asciiTheme="minorHAnsi" w:hAnsiTheme="minorHAnsi" w:cstheme="minorHAnsi"/>
          <w:sz w:val="22"/>
          <w:szCs w:val="22"/>
        </w:rPr>
        <w:t xml:space="preserve">of 1065.14MU in H1 of the current financial year </w:t>
      </w:r>
      <w:r w:rsidR="00B35B36">
        <w:rPr>
          <w:rFonts w:asciiTheme="minorHAnsi" w:hAnsiTheme="minorHAnsi" w:cstheme="minorHAnsi"/>
          <w:sz w:val="22"/>
          <w:szCs w:val="22"/>
        </w:rPr>
        <w:t>has been considered while projecting the consumption for FY 24-25</w:t>
      </w:r>
      <w:r>
        <w:rPr>
          <w:rFonts w:asciiTheme="minorHAnsi" w:hAnsiTheme="minorHAnsi" w:cstheme="minorHAnsi"/>
          <w:sz w:val="22"/>
          <w:szCs w:val="22"/>
        </w:rPr>
        <w:t xml:space="preserve">. </w:t>
      </w:r>
    </w:p>
    <w:p w14:paraId="4B5805A8" w14:textId="17065B30" w:rsidR="002F2B8B" w:rsidRPr="00800638" w:rsidRDefault="00B35B36" w:rsidP="002F2B8B">
      <w:pPr>
        <w:pStyle w:val="BodyText2"/>
        <w:spacing w:line="360" w:lineRule="auto"/>
        <w:ind w:left="567"/>
        <w:jc w:val="both"/>
        <w:rPr>
          <w:rFonts w:asciiTheme="minorHAnsi" w:hAnsiTheme="minorHAnsi" w:cstheme="minorHAnsi"/>
          <w:sz w:val="22"/>
          <w:szCs w:val="22"/>
        </w:rPr>
      </w:pPr>
      <w:r>
        <w:rPr>
          <w:rFonts w:asciiTheme="minorHAnsi" w:hAnsiTheme="minorHAnsi" w:cstheme="minorHAnsi"/>
          <w:sz w:val="22"/>
          <w:szCs w:val="22"/>
        </w:rPr>
        <w:t>I</w:t>
      </w:r>
      <w:r w:rsidRPr="00800638">
        <w:rPr>
          <w:rFonts w:asciiTheme="minorHAnsi" w:hAnsiTheme="minorHAnsi" w:cstheme="minorHAnsi"/>
          <w:sz w:val="22"/>
          <w:szCs w:val="22"/>
        </w:rPr>
        <w:t xml:space="preserve">n the </w:t>
      </w:r>
      <w:r>
        <w:rPr>
          <w:rFonts w:asciiTheme="minorHAnsi" w:hAnsiTheme="minorHAnsi" w:cstheme="minorHAnsi"/>
          <w:sz w:val="22"/>
          <w:szCs w:val="22"/>
        </w:rPr>
        <w:t>ensuing financial</w:t>
      </w:r>
      <w:r w:rsidRPr="00800638">
        <w:rPr>
          <w:rFonts w:asciiTheme="minorHAnsi" w:hAnsiTheme="minorHAnsi" w:cstheme="minorHAnsi"/>
          <w:sz w:val="22"/>
          <w:szCs w:val="22"/>
        </w:rPr>
        <w:t xml:space="preserve"> year</w:t>
      </w:r>
      <w:r>
        <w:rPr>
          <w:rFonts w:asciiTheme="minorHAnsi" w:hAnsiTheme="minorHAnsi" w:cstheme="minorHAnsi"/>
          <w:sz w:val="22"/>
          <w:szCs w:val="22"/>
        </w:rPr>
        <w:t>,</w:t>
      </w:r>
      <w:r w:rsidR="002F2B8B">
        <w:rPr>
          <w:rFonts w:asciiTheme="minorHAnsi" w:hAnsiTheme="minorHAnsi" w:cstheme="minorHAnsi"/>
          <w:sz w:val="22"/>
          <w:szCs w:val="22"/>
        </w:rPr>
        <w:t xml:space="preserve"> </w:t>
      </w:r>
      <w:r>
        <w:rPr>
          <w:rFonts w:asciiTheme="minorHAnsi" w:hAnsiTheme="minorHAnsi" w:cstheme="minorHAnsi"/>
          <w:sz w:val="22"/>
          <w:szCs w:val="22"/>
        </w:rPr>
        <w:t>a</w:t>
      </w:r>
      <w:r w:rsidR="002F2B8B" w:rsidRPr="00800638">
        <w:rPr>
          <w:rFonts w:asciiTheme="minorHAnsi" w:hAnsiTheme="minorHAnsi" w:cstheme="minorHAnsi"/>
          <w:sz w:val="22"/>
          <w:szCs w:val="22"/>
        </w:rPr>
        <w:t xml:space="preserve"> normal growth of </w:t>
      </w:r>
      <w:r w:rsidR="002F2B8B">
        <w:rPr>
          <w:rFonts w:asciiTheme="minorHAnsi" w:hAnsiTheme="minorHAnsi" w:cstheme="minorHAnsi"/>
          <w:sz w:val="22"/>
          <w:szCs w:val="22"/>
        </w:rPr>
        <w:t>4</w:t>
      </w:r>
      <w:r w:rsidR="002F2B8B" w:rsidRPr="00800638">
        <w:rPr>
          <w:rFonts w:asciiTheme="minorHAnsi" w:hAnsiTheme="minorHAnsi" w:cstheme="minorHAnsi"/>
          <w:sz w:val="22"/>
          <w:szCs w:val="22"/>
        </w:rPr>
        <w:t>% has been considered, as the major portion of prospective consumers will be energized due to above facilitation</w:t>
      </w:r>
      <w:r>
        <w:rPr>
          <w:rFonts w:asciiTheme="minorHAnsi" w:hAnsiTheme="minorHAnsi" w:cstheme="minorHAnsi"/>
          <w:sz w:val="22"/>
          <w:szCs w:val="22"/>
        </w:rPr>
        <w:t>s</w:t>
      </w:r>
      <w:r w:rsidR="00907665">
        <w:rPr>
          <w:rFonts w:asciiTheme="minorHAnsi" w:hAnsiTheme="minorHAnsi" w:cstheme="minorHAnsi"/>
          <w:sz w:val="22"/>
          <w:szCs w:val="22"/>
        </w:rPr>
        <w:t xml:space="preserve"> undertaken.</w:t>
      </w:r>
      <w:r w:rsidR="002F2B8B" w:rsidRPr="00800638">
        <w:rPr>
          <w:rFonts w:asciiTheme="minorHAnsi" w:hAnsiTheme="minorHAnsi" w:cstheme="minorHAnsi"/>
          <w:sz w:val="22"/>
          <w:szCs w:val="22"/>
        </w:rPr>
        <w:t xml:space="preserve"> </w:t>
      </w:r>
    </w:p>
    <w:p w14:paraId="7B9E1875" w14:textId="0502FCE3" w:rsidR="002F2B8B" w:rsidRPr="0085348F" w:rsidRDefault="00907665" w:rsidP="0085348F">
      <w:pPr>
        <w:pStyle w:val="BodyText2"/>
        <w:spacing w:line="360" w:lineRule="auto"/>
        <w:ind w:left="567"/>
        <w:jc w:val="both"/>
        <w:rPr>
          <w:rFonts w:asciiTheme="minorHAnsi" w:hAnsiTheme="minorHAnsi" w:cstheme="minorHAnsi"/>
          <w:sz w:val="22"/>
          <w:szCs w:val="22"/>
        </w:rPr>
      </w:pPr>
      <w:r>
        <w:rPr>
          <w:rFonts w:asciiTheme="minorHAnsi" w:hAnsiTheme="minorHAnsi" w:cstheme="minorHAnsi"/>
          <w:sz w:val="22"/>
          <w:szCs w:val="22"/>
          <w:lang w:val="en-GB"/>
        </w:rPr>
        <w:t>I</w:t>
      </w:r>
      <w:r w:rsidR="002F2B8B" w:rsidRPr="00800638">
        <w:rPr>
          <w:rFonts w:asciiTheme="minorHAnsi" w:hAnsiTheme="minorHAnsi" w:cstheme="minorHAnsi"/>
          <w:sz w:val="22"/>
          <w:szCs w:val="22"/>
          <w:lang w:val="en-GB"/>
        </w:rPr>
        <w:t xml:space="preserve">n </w:t>
      </w:r>
      <w:r w:rsidR="002F2B8B">
        <w:rPr>
          <w:rFonts w:asciiTheme="minorHAnsi" w:hAnsiTheme="minorHAnsi" w:cstheme="minorHAnsi"/>
          <w:sz w:val="22"/>
          <w:szCs w:val="22"/>
          <w:lang w:val="en-GB"/>
        </w:rPr>
        <w:t xml:space="preserve">case of </w:t>
      </w:r>
      <w:r w:rsidR="002F2B8B" w:rsidRPr="00800638">
        <w:rPr>
          <w:rFonts w:asciiTheme="minorHAnsi" w:hAnsiTheme="minorHAnsi" w:cstheme="minorHAnsi"/>
          <w:sz w:val="22"/>
          <w:szCs w:val="22"/>
          <w:lang w:val="en-GB"/>
        </w:rPr>
        <w:t xml:space="preserve">General-purpose </w:t>
      </w:r>
      <w:r w:rsidR="00A35221" w:rsidRPr="00800638">
        <w:rPr>
          <w:rFonts w:asciiTheme="minorHAnsi" w:hAnsiTheme="minorHAnsi" w:cstheme="minorHAnsi"/>
          <w:sz w:val="22"/>
          <w:szCs w:val="22"/>
          <w:lang w:val="en-GB"/>
        </w:rPr>
        <w:t>category,</w:t>
      </w:r>
      <w:r w:rsidR="002F2B8B" w:rsidRPr="00800638">
        <w:rPr>
          <w:rFonts w:asciiTheme="minorHAnsi" w:hAnsiTheme="minorHAnsi" w:cstheme="minorHAnsi"/>
          <w:sz w:val="22"/>
          <w:szCs w:val="22"/>
          <w:lang w:val="en-GB"/>
        </w:rPr>
        <w:t xml:space="preserve"> </w:t>
      </w:r>
      <w:r w:rsidR="002F2B8B">
        <w:rPr>
          <w:rFonts w:asciiTheme="minorHAnsi" w:hAnsiTheme="minorHAnsi" w:cstheme="minorHAnsi"/>
          <w:sz w:val="22"/>
          <w:szCs w:val="22"/>
          <w:lang w:val="en-GB"/>
        </w:rPr>
        <w:t>a normal growth of</w:t>
      </w:r>
      <w:r w:rsidR="002F2B8B" w:rsidRPr="00800638">
        <w:rPr>
          <w:rFonts w:asciiTheme="minorHAnsi" w:hAnsiTheme="minorHAnsi" w:cstheme="minorHAnsi"/>
          <w:sz w:val="22"/>
          <w:szCs w:val="22"/>
          <w:lang w:val="en-GB"/>
        </w:rPr>
        <w:t xml:space="preserve"> 12 % for the current year FY 2024-25 </w:t>
      </w:r>
      <w:r>
        <w:rPr>
          <w:rFonts w:asciiTheme="minorHAnsi" w:hAnsiTheme="minorHAnsi" w:cstheme="minorHAnsi"/>
          <w:sz w:val="22"/>
          <w:szCs w:val="22"/>
          <w:lang w:val="en-GB"/>
        </w:rPr>
        <w:t xml:space="preserve">has been considered </w:t>
      </w:r>
      <w:r w:rsidR="002F2B8B" w:rsidRPr="00800638">
        <w:rPr>
          <w:rFonts w:asciiTheme="minorHAnsi" w:hAnsiTheme="minorHAnsi" w:cstheme="minorHAnsi"/>
          <w:sz w:val="22"/>
          <w:szCs w:val="22"/>
          <w:lang w:val="en-GB"/>
        </w:rPr>
        <w:t>and</w:t>
      </w:r>
      <w:r>
        <w:rPr>
          <w:rFonts w:asciiTheme="minorHAnsi" w:hAnsiTheme="minorHAnsi" w:cstheme="minorHAnsi"/>
          <w:sz w:val="22"/>
          <w:szCs w:val="22"/>
          <w:lang w:val="en-GB"/>
        </w:rPr>
        <w:t xml:space="preserve"> </w:t>
      </w:r>
      <w:r w:rsidR="002F2B8B">
        <w:rPr>
          <w:rFonts w:asciiTheme="minorHAnsi" w:hAnsiTheme="minorHAnsi" w:cstheme="minorHAnsi"/>
          <w:sz w:val="22"/>
          <w:szCs w:val="22"/>
          <w:lang w:val="en-GB"/>
        </w:rPr>
        <w:t>11</w:t>
      </w:r>
      <w:r w:rsidR="002F2B8B" w:rsidRPr="00800638">
        <w:rPr>
          <w:rFonts w:asciiTheme="minorHAnsi" w:hAnsiTheme="minorHAnsi" w:cstheme="minorHAnsi"/>
          <w:sz w:val="22"/>
          <w:szCs w:val="22"/>
          <w:lang w:val="en-GB"/>
        </w:rPr>
        <w:t xml:space="preserve"> % for the ensuing year FY 2025-26</w:t>
      </w:r>
      <w:r w:rsidR="002F2B8B">
        <w:rPr>
          <w:rFonts w:asciiTheme="minorHAnsi" w:hAnsiTheme="minorHAnsi" w:cstheme="minorHAnsi"/>
          <w:sz w:val="22"/>
          <w:szCs w:val="22"/>
          <w:lang w:val="en-GB"/>
        </w:rPr>
        <w:t xml:space="preserve"> has been estimated considering past trend and half yearly consumption of current year</w:t>
      </w:r>
      <w:r w:rsidR="002F2B8B" w:rsidRPr="00800638">
        <w:rPr>
          <w:rFonts w:asciiTheme="minorHAnsi" w:hAnsiTheme="minorHAnsi" w:cstheme="minorHAnsi"/>
          <w:sz w:val="22"/>
          <w:szCs w:val="22"/>
          <w:lang w:val="en-GB"/>
        </w:rPr>
        <w:t>.</w:t>
      </w:r>
    </w:p>
    <w:p w14:paraId="7B1D329E" w14:textId="49FAE9D3" w:rsidR="002F2B8B" w:rsidRPr="00BD5055" w:rsidRDefault="002F2B8B" w:rsidP="002F2B8B">
      <w:pPr>
        <w:pStyle w:val="BodyText2"/>
        <w:spacing w:before="0" w:after="0" w:line="360" w:lineRule="auto"/>
        <w:ind w:left="567"/>
        <w:jc w:val="both"/>
        <w:rPr>
          <w:rFonts w:asciiTheme="minorHAnsi" w:hAnsiTheme="minorHAnsi" w:cstheme="minorHAnsi"/>
          <w:b/>
          <w:sz w:val="22"/>
          <w:szCs w:val="22"/>
        </w:rPr>
      </w:pPr>
      <w:r w:rsidRPr="00800638">
        <w:rPr>
          <w:rFonts w:asciiTheme="minorHAnsi" w:hAnsiTheme="minorHAnsi" w:cstheme="minorHAnsi"/>
          <w:b/>
          <w:sz w:val="22"/>
          <w:szCs w:val="22"/>
        </w:rPr>
        <w:t xml:space="preserve">DISCOM has </w:t>
      </w:r>
      <w:r w:rsidR="00A35221">
        <w:rPr>
          <w:rFonts w:asciiTheme="minorHAnsi" w:hAnsiTheme="minorHAnsi" w:cstheme="minorHAnsi"/>
          <w:b/>
          <w:sz w:val="22"/>
          <w:szCs w:val="22"/>
        </w:rPr>
        <w:t xml:space="preserve">projected </w:t>
      </w:r>
      <w:r w:rsidR="00A35221" w:rsidRPr="00800638">
        <w:rPr>
          <w:rFonts w:asciiTheme="minorHAnsi" w:hAnsiTheme="minorHAnsi" w:cstheme="minorHAnsi"/>
          <w:b/>
          <w:sz w:val="22"/>
          <w:szCs w:val="22"/>
        </w:rPr>
        <w:t>7</w:t>
      </w:r>
      <w:r w:rsidRPr="00800638">
        <w:rPr>
          <w:rFonts w:asciiTheme="minorHAnsi" w:hAnsiTheme="minorHAnsi" w:cstheme="minorHAnsi"/>
          <w:b/>
          <w:sz w:val="22"/>
          <w:szCs w:val="22"/>
        </w:rPr>
        <w:t xml:space="preserve">% growth in ensuing </w:t>
      </w:r>
      <w:r>
        <w:rPr>
          <w:rFonts w:asciiTheme="minorHAnsi" w:hAnsiTheme="minorHAnsi" w:cstheme="minorHAnsi"/>
          <w:b/>
          <w:sz w:val="22"/>
          <w:szCs w:val="22"/>
        </w:rPr>
        <w:t xml:space="preserve">financial </w:t>
      </w:r>
      <w:r w:rsidRPr="00800638">
        <w:rPr>
          <w:rFonts w:asciiTheme="minorHAnsi" w:hAnsiTheme="minorHAnsi" w:cstheme="minorHAnsi"/>
          <w:b/>
          <w:sz w:val="22"/>
          <w:szCs w:val="22"/>
        </w:rPr>
        <w:t xml:space="preserve">year in </w:t>
      </w:r>
      <w:r w:rsidR="00D5417B">
        <w:rPr>
          <w:rFonts w:asciiTheme="minorHAnsi" w:hAnsiTheme="minorHAnsi" w:cstheme="minorHAnsi"/>
          <w:b/>
          <w:sz w:val="22"/>
          <w:szCs w:val="22"/>
        </w:rPr>
        <w:t xml:space="preserve">overall </w:t>
      </w:r>
      <w:r w:rsidRPr="00800638">
        <w:rPr>
          <w:rFonts w:asciiTheme="minorHAnsi" w:hAnsiTheme="minorHAnsi" w:cstheme="minorHAnsi"/>
          <w:b/>
          <w:sz w:val="22"/>
          <w:szCs w:val="22"/>
        </w:rPr>
        <w:t>LT Category.</w:t>
      </w:r>
    </w:p>
    <w:p w14:paraId="2A2BC9D1" w14:textId="77777777" w:rsidR="002F2B8B" w:rsidRDefault="002F2B8B" w:rsidP="002F2B8B">
      <w:pPr>
        <w:pStyle w:val="BodyText2"/>
        <w:spacing w:before="0" w:after="0" w:line="360" w:lineRule="auto"/>
        <w:ind w:left="567"/>
        <w:jc w:val="both"/>
        <w:rPr>
          <w:rFonts w:asciiTheme="minorHAnsi" w:hAnsiTheme="minorHAnsi" w:cstheme="minorHAnsi"/>
          <w:b/>
          <w:sz w:val="28"/>
          <w:szCs w:val="28"/>
        </w:rPr>
      </w:pPr>
    </w:p>
    <w:p w14:paraId="6CEA187C" w14:textId="77777777" w:rsidR="002F2B8B" w:rsidRPr="00BD5055" w:rsidRDefault="002F2B8B" w:rsidP="002F2B8B">
      <w:pPr>
        <w:pStyle w:val="BodyText2"/>
        <w:spacing w:before="0" w:after="0" w:line="360" w:lineRule="auto"/>
        <w:ind w:left="567"/>
        <w:jc w:val="both"/>
        <w:rPr>
          <w:rFonts w:asciiTheme="minorHAnsi" w:hAnsiTheme="minorHAnsi" w:cstheme="minorHAnsi"/>
          <w:b/>
          <w:sz w:val="28"/>
          <w:szCs w:val="28"/>
        </w:rPr>
      </w:pPr>
      <w:r w:rsidRPr="00BD5055">
        <w:rPr>
          <w:rFonts w:asciiTheme="minorHAnsi" w:hAnsiTheme="minorHAnsi" w:cstheme="minorHAnsi"/>
          <w:b/>
          <w:sz w:val="28"/>
          <w:szCs w:val="28"/>
        </w:rPr>
        <w:t xml:space="preserve">HT Category </w:t>
      </w:r>
    </w:p>
    <w:p w14:paraId="64D38656" w14:textId="1D78CC55" w:rsidR="002F2B8B" w:rsidRPr="00A35221" w:rsidRDefault="002F2B8B" w:rsidP="00A35221">
      <w:pPr>
        <w:pStyle w:val="BodyText2"/>
        <w:spacing w:line="360" w:lineRule="auto"/>
        <w:ind w:left="567"/>
        <w:jc w:val="both"/>
        <w:rPr>
          <w:rFonts w:asciiTheme="minorHAnsi" w:hAnsiTheme="minorHAnsi" w:cstheme="minorHAnsi"/>
          <w:sz w:val="22"/>
          <w:szCs w:val="22"/>
        </w:rPr>
      </w:pPr>
      <w:r w:rsidRPr="00BD5055">
        <w:rPr>
          <w:rFonts w:asciiTheme="minorHAnsi" w:hAnsiTheme="minorHAnsi" w:cstheme="minorHAnsi"/>
          <w:sz w:val="22"/>
          <w:szCs w:val="22"/>
        </w:rPr>
        <w:t>While projecting the sales in HT Category, the consumption pattern of each HT consumer with contract demand of more than 1 MVA</w:t>
      </w:r>
      <w:r>
        <w:rPr>
          <w:rFonts w:asciiTheme="minorHAnsi" w:hAnsiTheme="minorHAnsi" w:cstheme="minorHAnsi"/>
          <w:sz w:val="22"/>
          <w:szCs w:val="22"/>
        </w:rPr>
        <w:t xml:space="preserve"> has been analyzed</w:t>
      </w:r>
      <w:r w:rsidRPr="00BD5055">
        <w:rPr>
          <w:rFonts w:asciiTheme="minorHAnsi" w:hAnsiTheme="minorHAnsi" w:cstheme="minorHAnsi"/>
          <w:sz w:val="22"/>
          <w:szCs w:val="22"/>
        </w:rPr>
        <w:t>. The average sale</w:t>
      </w:r>
      <w:r w:rsidR="00D5417B">
        <w:rPr>
          <w:rFonts w:asciiTheme="minorHAnsi" w:hAnsiTheme="minorHAnsi" w:cstheme="minorHAnsi"/>
          <w:sz w:val="22"/>
          <w:szCs w:val="22"/>
        </w:rPr>
        <w:t>s</w:t>
      </w:r>
      <w:r w:rsidRPr="00BD5055">
        <w:rPr>
          <w:rFonts w:asciiTheme="minorHAnsi" w:hAnsiTheme="minorHAnsi" w:cstheme="minorHAnsi"/>
          <w:sz w:val="22"/>
          <w:szCs w:val="22"/>
        </w:rPr>
        <w:t xml:space="preserve"> under HT category consumers has been estimated for the ensuing </w:t>
      </w:r>
      <w:r>
        <w:rPr>
          <w:rFonts w:asciiTheme="minorHAnsi" w:hAnsiTheme="minorHAnsi" w:cstheme="minorHAnsi"/>
          <w:sz w:val="22"/>
          <w:szCs w:val="22"/>
        </w:rPr>
        <w:t xml:space="preserve">financial </w:t>
      </w:r>
      <w:r w:rsidRPr="00BD5055">
        <w:rPr>
          <w:rFonts w:asciiTheme="minorHAnsi" w:hAnsiTheme="minorHAnsi" w:cstheme="minorHAnsi"/>
          <w:sz w:val="22"/>
          <w:szCs w:val="22"/>
        </w:rPr>
        <w:t>year based on the trend of the FY 202</w:t>
      </w:r>
      <w:r>
        <w:rPr>
          <w:rFonts w:asciiTheme="minorHAnsi" w:hAnsiTheme="minorHAnsi" w:cstheme="minorHAnsi"/>
          <w:sz w:val="22"/>
          <w:szCs w:val="22"/>
        </w:rPr>
        <w:t>3</w:t>
      </w:r>
      <w:r w:rsidRPr="00BD5055">
        <w:rPr>
          <w:rFonts w:asciiTheme="minorHAnsi" w:hAnsiTheme="minorHAnsi" w:cstheme="minorHAnsi"/>
          <w:sz w:val="22"/>
          <w:szCs w:val="22"/>
        </w:rPr>
        <w:t>-2</w:t>
      </w:r>
      <w:r>
        <w:rPr>
          <w:rFonts w:asciiTheme="minorHAnsi" w:hAnsiTheme="minorHAnsi" w:cstheme="minorHAnsi"/>
          <w:sz w:val="22"/>
          <w:szCs w:val="22"/>
        </w:rPr>
        <w:t>4</w:t>
      </w:r>
      <w:r w:rsidRPr="00BD5055">
        <w:rPr>
          <w:rFonts w:asciiTheme="minorHAnsi" w:hAnsiTheme="minorHAnsi" w:cstheme="minorHAnsi"/>
          <w:sz w:val="22"/>
          <w:szCs w:val="22"/>
        </w:rPr>
        <w:t xml:space="preserve"> and actual </w:t>
      </w:r>
      <w:proofErr w:type="spellStart"/>
      <w:r w:rsidRPr="00BD5055">
        <w:rPr>
          <w:rFonts w:asciiTheme="minorHAnsi" w:hAnsiTheme="minorHAnsi" w:cstheme="minorHAnsi"/>
          <w:sz w:val="22"/>
          <w:szCs w:val="22"/>
        </w:rPr>
        <w:t>draw</w:t>
      </w:r>
      <w:r w:rsidR="00D5417B">
        <w:rPr>
          <w:rFonts w:asciiTheme="minorHAnsi" w:hAnsiTheme="minorHAnsi" w:cstheme="minorHAnsi"/>
          <w:sz w:val="22"/>
          <w:szCs w:val="22"/>
        </w:rPr>
        <w:t>al</w:t>
      </w:r>
      <w:proofErr w:type="spellEnd"/>
      <w:r w:rsidR="00D5417B">
        <w:rPr>
          <w:rFonts w:asciiTheme="minorHAnsi" w:hAnsiTheme="minorHAnsi" w:cstheme="minorHAnsi"/>
          <w:sz w:val="22"/>
          <w:szCs w:val="22"/>
        </w:rPr>
        <w:t xml:space="preserve"> in</w:t>
      </w:r>
      <w:r w:rsidRPr="00BD5055">
        <w:rPr>
          <w:rFonts w:asciiTheme="minorHAnsi" w:hAnsiTheme="minorHAnsi" w:cstheme="minorHAnsi"/>
          <w:sz w:val="22"/>
          <w:szCs w:val="22"/>
        </w:rPr>
        <w:t xml:space="preserve"> </w:t>
      </w:r>
      <w:r w:rsidR="00D5417B">
        <w:rPr>
          <w:rFonts w:asciiTheme="minorHAnsi" w:hAnsiTheme="minorHAnsi" w:cstheme="minorHAnsi"/>
          <w:sz w:val="22"/>
          <w:szCs w:val="22"/>
        </w:rPr>
        <w:t>H1</w:t>
      </w:r>
      <w:r>
        <w:rPr>
          <w:rFonts w:asciiTheme="minorHAnsi" w:hAnsiTheme="minorHAnsi" w:cstheme="minorHAnsi"/>
          <w:sz w:val="22"/>
          <w:szCs w:val="22"/>
        </w:rPr>
        <w:t xml:space="preserve"> of current financial year. </w:t>
      </w:r>
      <w:r w:rsidRPr="00BD5055">
        <w:rPr>
          <w:rFonts w:asciiTheme="minorHAnsi" w:hAnsiTheme="minorHAnsi" w:cstheme="minorHAnsi"/>
          <w:sz w:val="22"/>
          <w:szCs w:val="22"/>
        </w:rPr>
        <w:t xml:space="preserve"> </w:t>
      </w:r>
      <w:r w:rsidRPr="0059746E">
        <w:rPr>
          <w:rFonts w:asciiTheme="minorHAnsi" w:hAnsiTheme="minorHAnsi" w:cstheme="minorHAnsi"/>
          <w:sz w:val="22"/>
          <w:szCs w:val="22"/>
        </w:rPr>
        <w:t>After reallocation of mines, the consumption under industrial category has shown considerable growth. Due to re-establishment of industries</w:t>
      </w:r>
      <w:r w:rsidR="00D5417B" w:rsidRPr="0059746E">
        <w:rPr>
          <w:rFonts w:asciiTheme="minorHAnsi" w:hAnsiTheme="minorHAnsi" w:cstheme="minorHAnsi"/>
          <w:sz w:val="22"/>
          <w:szCs w:val="22"/>
        </w:rPr>
        <w:t>,</w:t>
      </w:r>
      <w:r w:rsidRPr="0059746E">
        <w:rPr>
          <w:rFonts w:asciiTheme="minorHAnsi" w:hAnsiTheme="minorHAnsi" w:cstheme="minorHAnsi"/>
          <w:sz w:val="22"/>
          <w:szCs w:val="22"/>
        </w:rPr>
        <w:t xml:space="preserve"> growth in ancillary unit</w:t>
      </w:r>
      <w:r w:rsidR="00D5417B" w:rsidRPr="0059746E">
        <w:rPr>
          <w:rFonts w:asciiTheme="minorHAnsi" w:hAnsiTheme="minorHAnsi" w:cstheme="minorHAnsi"/>
          <w:sz w:val="22"/>
          <w:szCs w:val="22"/>
        </w:rPr>
        <w:t xml:space="preserve">s have been </w:t>
      </w:r>
      <w:r w:rsidRPr="0059746E">
        <w:rPr>
          <w:rFonts w:asciiTheme="minorHAnsi" w:hAnsiTheme="minorHAnsi" w:cstheme="minorHAnsi"/>
          <w:sz w:val="22"/>
          <w:szCs w:val="22"/>
        </w:rPr>
        <w:t>noticed. The consumption in industrial category in HT in first six months of the curre</w:t>
      </w:r>
      <w:r w:rsidR="0059746E" w:rsidRPr="0059746E">
        <w:rPr>
          <w:rFonts w:asciiTheme="minorHAnsi" w:hAnsiTheme="minorHAnsi" w:cstheme="minorHAnsi"/>
          <w:sz w:val="22"/>
          <w:szCs w:val="22"/>
        </w:rPr>
        <w:t>nt financial year is 307.78MU and estimated to reach 631.16MU by end of FY 24-25.  The same trend has been considered while estimating the HT Industrial consumption for the next financial year.</w:t>
      </w:r>
      <w:r w:rsidRPr="0059746E">
        <w:rPr>
          <w:rFonts w:asciiTheme="minorHAnsi" w:hAnsiTheme="minorHAnsi" w:cstheme="minorHAnsi"/>
          <w:sz w:val="22"/>
          <w:szCs w:val="22"/>
        </w:rPr>
        <w:t xml:space="preserve"> </w:t>
      </w:r>
    </w:p>
    <w:p w14:paraId="21D58D8D" w14:textId="43DEC907" w:rsidR="002F2B8B" w:rsidRDefault="0059746E" w:rsidP="002F2B8B">
      <w:pPr>
        <w:pStyle w:val="BodyText2"/>
        <w:spacing w:line="360" w:lineRule="auto"/>
        <w:ind w:left="567"/>
        <w:jc w:val="both"/>
        <w:rPr>
          <w:rFonts w:asciiTheme="minorHAnsi" w:hAnsiTheme="minorHAnsi" w:cstheme="minorHAnsi"/>
          <w:b/>
          <w:sz w:val="22"/>
          <w:szCs w:val="22"/>
        </w:rPr>
      </w:pPr>
      <w:r w:rsidRPr="00BD5055">
        <w:rPr>
          <w:rFonts w:asciiTheme="minorHAnsi" w:hAnsiTheme="minorHAnsi" w:cstheme="minorHAnsi"/>
          <w:sz w:val="22"/>
          <w:szCs w:val="22"/>
        </w:rPr>
        <w:lastRenderedPageBreak/>
        <w:t xml:space="preserve">HT sales for </w:t>
      </w:r>
      <w:r>
        <w:rPr>
          <w:rFonts w:asciiTheme="minorHAnsi" w:hAnsiTheme="minorHAnsi" w:cstheme="minorHAnsi"/>
          <w:sz w:val="22"/>
          <w:szCs w:val="22"/>
        </w:rPr>
        <w:t xml:space="preserve">current financial year </w:t>
      </w:r>
      <w:r w:rsidRPr="00BD5055">
        <w:rPr>
          <w:rFonts w:asciiTheme="minorHAnsi" w:hAnsiTheme="minorHAnsi" w:cstheme="minorHAnsi"/>
          <w:sz w:val="22"/>
          <w:szCs w:val="22"/>
        </w:rPr>
        <w:t>202</w:t>
      </w:r>
      <w:r>
        <w:rPr>
          <w:rFonts w:asciiTheme="minorHAnsi" w:hAnsiTheme="minorHAnsi" w:cstheme="minorHAnsi"/>
          <w:sz w:val="22"/>
          <w:szCs w:val="22"/>
        </w:rPr>
        <w:t>4</w:t>
      </w:r>
      <w:r w:rsidRPr="00BD5055">
        <w:rPr>
          <w:rFonts w:asciiTheme="minorHAnsi" w:hAnsiTheme="minorHAnsi" w:cstheme="minorHAnsi"/>
          <w:sz w:val="22"/>
          <w:szCs w:val="22"/>
        </w:rPr>
        <w:t>-2</w:t>
      </w:r>
      <w:r>
        <w:rPr>
          <w:rFonts w:asciiTheme="minorHAnsi" w:hAnsiTheme="minorHAnsi" w:cstheme="minorHAnsi"/>
          <w:sz w:val="22"/>
          <w:szCs w:val="22"/>
        </w:rPr>
        <w:t>5</w:t>
      </w:r>
      <w:r w:rsidRPr="00BD5055">
        <w:rPr>
          <w:rFonts w:asciiTheme="minorHAnsi" w:hAnsiTheme="minorHAnsi" w:cstheme="minorHAnsi"/>
          <w:sz w:val="22"/>
          <w:szCs w:val="22"/>
        </w:rPr>
        <w:t xml:space="preserve"> has been </w:t>
      </w:r>
      <w:proofErr w:type="gramStart"/>
      <w:r w:rsidRPr="00BD5055">
        <w:rPr>
          <w:rFonts w:asciiTheme="minorHAnsi" w:hAnsiTheme="minorHAnsi" w:cstheme="minorHAnsi"/>
          <w:sz w:val="22"/>
          <w:szCs w:val="22"/>
        </w:rPr>
        <w:t xml:space="preserve">estimated </w:t>
      </w:r>
      <w:r>
        <w:rPr>
          <w:rFonts w:asciiTheme="minorHAnsi" w:hAnsiTheme="minorHAnsi" w:cstheme="minorHAnsi"/>
          <w:sz w:val="22"/>
          <w:szCs w:val="22"/>
        </w:rPr>
        <w:t xml:space="preserve"> to</w:t>
      </w:r>
      <w:proofErr w:type="gramEnd"/>
      <w:r>
        <w:rPr>
          <w:rFonts w:asciiTheme="minorHAnsi" w:hAnsiTheme="minorHAnsi" w:cstheme="minorHAnsi"/>
          <w:sz w:val="22"/>
          <w:szCs w:val="22"/>
        </w:rPr>
        <w:t xml:space="preserve"> be </w:t>
      </w:r>
      <w:r w:rsidRPr="00BD5055">
        <w:rPr>
          <w:rFonts w:asciiTheme="minorHAnsi" w:hAnsiTheme="minorHAnsi" w:cstheme="minorHAnsi"/>
          <w:sz w:val="22"/>
          <w:szCs w:val="22"/>
        </w:rPr>
        <w:t xml:space="preserve"> </w:t>
      </w:r>
      <w:r>
        <w:rPr>
          <w:rFonts w:asciiTheme="minorHAnsi" w:hAnsiTheme="minorHAnsi" w:cstheme="minorHAnsi"/>
          <w:sz w:val="22"/>
          <w:szCs w:val="22"/>
        </w:rPr>
        <w:t>844.13</w:t>
      </w:r>
      <w:r w:rsidRPr="00BD5055">
        <w:rPr>
          <w:rFonts w:asciiTheme="minorHAnsi" w:hAnsiTheme="minorHAnsi" w:cstheme="minorHAnsi"/>
          <w:sz w:val="22"/>
          <w:szCs w:val="22"/>
        </w:rPr>
        <w:t xml:space="preserve"> MU </w:t>
      </w:r>
      <w:r>
        <w:rPr>
          <w:rFonts w:asciiTheme="minorHAnsi" w:hAnsiTheme="minorHAnsi" w:cstheme="minorHAnsi"/>
          <w:sz w:val="22"/>
          <w:szCs w:val="22"/>
        </w:rPr>
        <w:t>c</w:t>
      </w:r>
      <w:r w:rsidR="002F2B8B" w:rsidRPr="00BD5055">
        <w:rPr>
          <w:rFonts w:asciiTheme="minorHAnsi" w:hAnsiTheme="minorHAnsi" w:cstheme="minorHAnsi"/>
          <w:sz w:val="22"/>
          <w:szCs w:val="22"/>
        </w:rPr>
        <w:t>onsidering o</w:t>
      </w:r>
      <w:r w:rsidR="002F2B8B">
        <w:rPr>
          <w:rFonts w:asciiTheme="minorHAnsi" w:hAnsiTheme="minorHAnsi" w:cstheme="minorHAnsi"/>
          <w:sz w:val="22"/>
          <w:szCs w:val="22"/>
        </w:rPr>
        <w:t>ngoing</w:t>
      </w:r>
      <w:r w:rsidR="002F2B8B" w:rsidRPr="00BD5055">
        <w:rPr>
          <w:rFonts w:asciiTheme="minorHAnsi" w:hAnsiTheme="minorHAnsi" w:cstheme="minorHAnsi"/>
          <w:sz w:val="22"/>
          <w:szCs w:val="22"/>
        </w:rPr>
        <w:t xml:space="preserve"> rural water supply scheme</w:t>
      </w:r>
      <w:r w:rsidR="002F2B8B">
        <w:rPr>
          <w:rFonts w:asciiTheme="minorHAnsi" w:hAnsiTheme="minorHAnsi" w:cstheme="minorHAnsi"/>
          <w:sz w:val="22"/>
          <w:szCs w:val="22"/>
        </w:rPr>
        <w:t>s</w:t>
      </w:r>
      <w:r w:rsidR="002F2B8B" w:rsidRPr="00BD5055">
        <w:rPr>
          <w:rFonts w:asciiTheme="minorHAnsi" w:hAnsiTheme="minorHAnsi" w:cstheme="minorHAnsi"/>
          <w:sz w:val="22"/>
          <w:szCs w:val="22"/>
        </w:rPr>
        <w:t xml:space="preserve"> </w:t>
      </w:r>
      <w:r w:rsidR="002F2B8B">
        <w:rPr>
          <w:rFonts w:asciiTheme="minorHAnsi" w:hAnsiTheme="minorHAnsi" w:cstheme="minorHAnsi"/>
          <w:sz w:val="22"/>
          <w:szCs w:val="22"/>
        </w:rPr>
        <w:t>and m</w:t>
      </w:r>
      <w:r w:rsidR="002F2B8B" w:rsidRPr="00BD5055">
        <w:rPr>
          <w:rFonts w:asciiTheme="minorHAnsi" w:hAnsiTheme="minorHAnsi" w:cstheme="minorHAnsi"/>
          <w:sz w:val="22"/>
          <w:szCs w:val="22"/>
        </w:rPr>
        <w:t>ega irrigation project</w:t>
      </w:r>
      <w:r w:rsidR="002F2B8B">
        <w:rPr>
          <w:rFonts w:asciiTheme="minorHAnsi" w:hAnsiTheme="minorHAnsi" w:cstheme="minorHAnsi"/>
          <w:sz w:val="22"/>
          <w:szCs w:val="22"/>
        </w:rPr>
        <w:t>s</w:t>
      </w:r>
      <w:r w:rsidR="002F2B8B" w:rsidRPr="00BD5055">
        <w:rPr>
          <w:rFonts w:asciiTheme="minorHAnsi" w:hAnsiTheme="minorHAnsi" w:cstheme="minorHAnsi"/>
          <w:sz w:val="22"/>
          <w:szCs w:val="22"/>
        </w:rPr>
        <w:t xml:space="preserve"> of the Gov</w:t>
      </w:r>
      <w:r w:rsidR="002F2B8B">
        <w:rPr>
          <w:rFonts w:asciiTheme="minorHAnsi" w:hAnsiTheme="minorHAnsi" w:cstheme="minorHAnsi"/>
          <w:sz w:val="22"/>
          <w:szCs w:val="22"/>
        </w:rPr>
        <w:t>ernment</w:t>
      </w:r>
      <w:r w:rsidR="002F2B8B" w:rsidRPr="00BD5055">
        <w:rPr>
          <w:rFonts w:asciiTheme="minorHAnsi" w:hAnsiTheme="minorHAnsi" w:cstheme="minorHAnsi"/>
          <w:sz w:val="22"/>
          <w:szCs w:val="22"/>
        </w:rPr>
        <w:t>, massive cultivation of prawn in coastal area</w:t>
      </w:r>
      <w:r>
        <w:rPr>
          <w:rFonts w:asciiTheme="minorHAnsi" w:hAnsiTheme="minorHAnsi" w:cstheme="minorHAnsi"/>
          <w:sz w:val="22"/>
          <w:szCs w:val="22"/>
        </w:rPr>
        <w:t xml:space="preserve"> </w:t>
      </w:r>
      <w:r w:rsidR="002F2B8B" w:rsidRPr="00BD5055">
        <w:rPr>
          <w:rFonts w:asciiTheme="minorHAnsi" w:hAnsiTheme="minorHAnsi" w:cstheme="minorHAnsi"/>
          <w:sz w:val="22"/>
          <w:szCs w:val="22"/>
        </w:rPr>
        <w:t>and grow</w:t>
      </w:r>
      <w:r w:rsidR="002F2B8B">
        <w:rPr>
          <w:rFonts w:asciiTheme="minorHAnsi" w:hAnsiTheme="minorHAnsi" w:cstheme="minorHAnsi"/>
          <w:sz w:val="22"/>
          <w:szCs w:val="22"/>
        </w:rPr>
        <w:t>th</w:t>
      </w:r>
      <w:r w:rsidR="002F2B8B" w:rsidRPr="00BD5055">
        <w:rPr>
          <w:rFonts w:asciiTheme="minorHAnsi" w:hAnsiTheme="minorHAnsi" w:cstheme="minorHAnsi"/>
          <w:sz w:val="22"/>
          <w:szCs w:val="22"/>
        </w:rPr>
        <w:t xml:space="preserve"> of its processing industries</w:t>
      </w:r>
      <w:r>
        <w:rPr>
          <w:rFonts w:asciiTheme="minorHAnsi" w:hAnsiTheme="minorHAnsi" w:cstheme="minorHAnsi"/>
          <w:sz w:val="22"/>
          <w:szCs w:val="22"/>
        </w:rPr>
        <w:t xml:space="preserve"> and </w:t>
      </w:r>
      <w:r w:rsidR="002F2B8B">
        <w:rPr>
          <w:rFonts w:asciiTheme="minorHAnsi" w:hAnsiTheme="minorHAnsi" w:cstheme="minorHAnsi"/>
          <w:sz w:val="22"/>
          <w:szCs w:val="22"/>
        </w:rPr>
        <w:t xml:space="preserve">the </w:t>
      </w:r>
      <w:r w:rsidR="002F2B8B" w:rsidRPr="00BD5055">
        <w:rPr>
          <w:rFonts w:asciiTheme="minorHAnsi" w:hAnsiTheme="minorHAnsi" w:cstheme="minorHAnsi"/>
          <w:sz w:val="22"/>
          <w:szCs w:val="22"/>
        </w:rPr>
        <w:t xml:space="preserve"> upcoming HT</w:t>
      </w:r>
      <w:r w:rsidR="002F2B8B">
        <w:rPr>
          <w:rFonts w:asciiTheme="minorHAnsi" w:hAnsiTheme="minorHAnsi" w:cstheme="minorHAnsi"/>
          <w:sz w:val="22"/>
          <w:szCs w:val="22"/>
        </w:rPr>
        <w:t xml:space="preserve"> applications in </w:t>
      </w:r>
      <w:r>
        <w:rPr>
          <w:rFonts w:asciiTheme="minorHAnsi" w:hAnsiTheme="minorHAnsi" w:cstheme="minorHAnsi"/>
          <w:sz w:val="22"/>
          <w:szCs w:val="22"/>
        </w:rPr>
        <w:t xml:space="preserve">pipeline. </w:t>
      </w:r>
      <w:r w:rsidR="002F2B8B" w:rsidRPr="00BD5055">
        <w:rPr>
          <w:rFonts w:asciiTheme="minorHAnsi" w:hAnsiTheme="minorHAnsi" w:cstheme="minorHAnsi"/>
          <w:sz w:val="22"/>
          <w:szCs w:val="22"/>
        </w:rPr>
        <w:t xml:space="preserve"> </w:t>
      </w:r>
      <w:r>
        <w:rPr>
          <w:rFonts w:asciiTheme="minorHAnsi" w:hAnsiTheme="minorHAnsi" w:cstheme="minorHAnsi"/>
          <w:sz w:val="22"/>
          <w:szCs w:val="22"/>
        </w:rPr>
        <w:t>H</w:t>
      </w:r>
      <w:r w:rsidR="002F2B8B">
        <w:rPr>
          <w:rFonts w:asciiTheme="minorHAnsi" w:hAnsiTheme="minorHAnsi" w:cstheme="minorHAnsi"/>
          <w:sz w:val="22"/>
          <w:szCs w:val="22"/>
        </w:rPr>
        <w:t>T sales of 943.17</w:t>
      </w:r>
      <w:r w:rsidR="002F2B8B" w:rsidRPr="00BD5055">
        <w:rPr>
          <w:rFonts w:asciiTheme="minorHAnsi" w:hAnsiTheme="minorHAnsi" w:cstheme="minorHAnsi"/>
          <w:sz w:val="22"/>
          <w:szCs w:val="22"/>
        </w:rPr>
        <w:t xml:space="preserve"> MU </w:t>
      </w:r>
      <w:r w:rsidR="002F2B8B">
        <w:rPr>
          <w:rFonts w:asciiTheme="minorHAnsi" w:hAnsiTheme="minorHAnsi" w:cstheme="minorHAnsi"/>
          <w:sz w:val="22"/>
          <w:szCs w:val="22"/>
        </w:rPr>
        <w:t xml:space="preserve">is projected </w:t>
      </w:r>
      <w:r w:rsidR="002F2B8B" w:rsidRPr="00BD5055">
        <w:rPr>
          <w:rFonts w:asciiTheme="minorHAnsi" w:hAnsiTheme="minorHAnsi" w:cstheme="minorHAnsi"/>
          <w:sz w:val="22"/>
          <w:szCs w:val="22"/>
        </w:rPr>
        <w:t xml:space="preserve">for </w:t>
      </w:r>
      <w:r>
        <w:rPr>
          <w:rFonts w:asciiTheme="minorHAnsi" w:hAnsiTheme="minorHAnsi" w:cstheme="minorHAnsi"/>
          <w:sz w:val="22"/>
          <w:szCs w:val="22"/>
        </w:rPr>
        <w:t>the ensu</w:t>
      </w:r>
      <w:r w:rsidR="002F2B8B">
        <w:rPr>
          <w:rFonts w:asciiTheme="minorHAnsi" w:hAnsiTheme="minorHAnsi" w:cstheme="minorHAnsi"/>
          <w:sz w:val="22"/>
          <w:szCs w:val="22"/>
        </w:rPr>
        <w:t xml:space="preserve">ing financial year </w:t>
      </w:r>
      <w:r w:rsidR="002F2B8B" w:rsidRPr="00BD5055">
        <w:rPr>
          <w:rFonts w:asciiTheme="minorHAnsi" w:hAnsiTheme="minorHAnsi" w:cstheme="minorHAnsi"/>
          <w:sz w:val="22"/>
          <w:szCs w:val="22"/>
        </w:rPr>
        <w:t>202</w:t>
      </w:r>
      <w:r w:rsidR="002F2B8B">
        <w:rPr>
          <w:rFonts w:asciiTheme="minorHAnsi" w:hAnsiTheme="minorHAnsi" w:cstheme="minorHAnsi"/>
          <w:sz w:val="22"/>
          <w:szCs w:val="22"/>
        </w:rPr>
        <w:t>5</w:t>
      </w:r>
      <w:r w:rsidR="002F2B8B" w:rsidRPr="00BD5055">
        <w:rPr>
          <w:rFonts w:asciiTheme="minorHAnsi" w:hAnsiTheme="minorHAnsi" w:cstheme="minorHAnsi"/>
          <w:sz w:val="22"/>
          <w:szCs w:val="22"/>
        </w:rPr>
        <w:t>-2</w:t>
      </w:r>
      <w:r w:rsidR="002F2B8B">
        <w:rPr>
          <w:rFonts w:asciiTheme="minorHAnsi" w:hAnsiTheme="minorHAnsi" w:cstheme="minorHAnsi"/>
          <w:sz w:val="22"/>
          <w:szCs w:val="22"/>
        </w:rPr>
        <w:t>6</w:t>
      </w:r>
      <w:r>
        <w:rPr>
          <w:rFonts w:asciiTheme="minorHAnsi" w:hAnsiTheme="minorHAnsi" w:cstheme="minorHAnsi"/>
          <w:sz w:val="22"/>
          <w:szCs w:val="22"/>
        </w:rPr>
        <w:t xml:space="preserve"> with </w:t>
      </w:r>
      <w:proofErr w:type="gramStart"/>
      <w:r>
        <w:rPr>
          <w:rFonts w:asciiTheme="minorHAnsi" w:hAnsiTheme="minorHAnsi" w:cstheme="minorHAnsi"/>
          <w:sz w:val="22"/>
          <w:szCs w:val="22"/>
        </w:rPr>
        <w:t xml:space="preserve">projected </w:t>
      </w:r>
      <w:r w:rsidR="002F2B8B">
        <w:rPr>
          <w:rFonts w:asciiTheme="minorHAnsi" w:hAnsiTheme="minorHAnsi" w:cstheme="minorHAnsi"/>
          <w:b/>
          <w:sz w:val="22"/>
          <w:szCs w:val="22"/>
        </w:rPr>
        <w:t xml:space="preserve"> </w:t>
      </w:r>
      <w:r w:rsidR="002F2B8B" w:rsidRPr="0059746E">
        <w:rPr>
          <w:rFonts w:asciiTheme="minorHAnsi" w:hAnsiTheme="minorHAnsi" w:cstheme="minorHAnsi"/>
          <w:sz w:val="22"/>
          <w:szCs w:val="22"/>
        </w:rPr>
        <w:t>growth</w:t>
      </w:r>
      <w:proofErr w:type="gramEnd"/>
      <w:r w:rsidR="002F2B8B" w:rsidRPr="0059746E">
        <w:rPr>
          <w:rFonts w:asciiTheme="minorHAnsi" w:hAnsiTheme="minorHAnsi" w:cstheme="minorHAnsi"/>
          <w:sz w:val="22"/>
          <w:szCs w:val="22"/>
        </w:rPr>
        <w:t xml:space="preserve"> </w:t>
      </w:r>
      <w:r w:rsidRPr="0059746E">
        <w:rPr>
          <w:rFonts w:asciiTheme="minorHAnsi" w:hAnsiTheme="minorHAnsi" w:cstheme="minorHAnsi"/>
          <w:sz w:val="22"/>
          <w:szCs w:val="22"/>
        </w:rPr>
        <w:t>rate of 12%</w:t>
      </w:r>
      <w:r>
        <w:rPr>
          <w:rFonts w:asciiTheme="minorHAnsi" w:hAnsiTheme="minorHAnsi" w:cstheme="minorHAnsi"/>
          <w:b/>
          <w:sz w:val="22"/>
          <w:szCs w:val="22"/>
        </w:rPr>
        <w:t xml:space="preserve"> </w:t>
      </w:r>
      <w:r w:rsidR="002F2B8B">
        <w:rPr>
          <w:rFonts w:asciiTheme="minorHAnsi" w:hAnsiTheme="minorHAnsi" w:cstheme="minorHAnsi"/>
          <w:b/>
          <w:sz w:val="22"/>
          <w:szCs w:val="22"/>
        </w:rPr>
        <w:t xml:space="preserve">. </w:t>
      </w:r>
    </w:p>
    <w:p w14:paraId="18A41AD0" w14:textId="77777777" w:rsidR="002F2B8B" w:rsidRDefault="002F2B8B" w:rsidP="002F2B8B">
      <w:pPr>
        <w:pStyle w:val="BodyText2"/>
        <w:spacing w:line="360" w:lineRule="auto"/>
        <w:ind w:firstLine="90"/>
        <w:jc w:val="both"/>
        <w:rPr>
          <w:rFonts w:asciiTheme="minorHAnsi" w:hAnsiTheme="minorHAnsi" w:cstheme="minorHAnsi"/>
          <w:sz w:val="22"/>
          <w:szCs w:val="22"/>
        </w:rPr>
      </w:pPr>
      <w:r w:rsidRPr="00BD5055">
        <w:rPr>
          <w:rFonts w:asciiTheme="minorHAnsi" w:hAnsiTheme="minorHAnsi" w:cstheme="minorHAnsi"/>
          <w:sz w:val="22"/>
          <w:szCs w:val="22"/>
        </w:rPr>
        <w:tab/>
        <w:t xml:space="preserve">The summary of sales projections for HT category is given below: </w:t>
      </w:r>
    </w:p>
    <w:p w14:paraId="6AA56711" w14:textId="77777777" w:rsidR="002F2B8B" w:rsidRDefault="002F2B8B" w:rsidP="002F2B8B">
      <w:pPr>
        <w:pStyle w:val="BodyText2"/>
        <w:spacing w:line="360" w:lineRule="auto"/>
        <w:ind w:left="567"/>
        <w:jc w:val="center"/>
        <w:rPr>
          <w:rFonts w:asciiTheme="minorHAnsi" w:hAnsiTheme="minorHAnsi" w:cstheme="minorHAnsi"/>
          <w:b/>
          <w:sz w:val="22"/>
          <w:szCs w:val="22"/>
        </w:rPr>
      </w:pPr>
      <w:r w:rsidRPr="00BD5055">
        <w:rPr>
          <w:rFonts w:asciiTheme="minorHAnsi" w:hAnsiTheme="minorHAnsi" w:cstheme="minorHAnsi"/>
          <w:b/>
          <w:sz w:val="22"/>
          <w:szCs w:val="22"/>
        </w:rPr>
        <w:t>Table-</w:t>
      </w:r>
      <w:r>
        <w:rPr>
          <w:rFonts w:asciiTheme="minorHAnsi" w:hAnsiTheme="minorHAnsi" w:cstheme="minorHAnsi"/>
          <w:b/>
          <w:sz w:val="22"/>
          <w:szCs w:val="22"/>
        </w:rPr>
        <w:t>2</w:t>
      </w:r>
      <w:r w:rsidRPr="00BD5055">
        <w:rPr>
          <w:rFonts w:asciiTheme="minorHAnsi" w:hAnsiTheme="minorHAnsi" w:cstheme="minorHAnsi"/>
          <w:b/>
          <w:sz w:val="22"/>
          <w:szCs w:val="22"/>
        </w:rPr>
        <w:t>: HT Sales (in MUs)</w:t>
      </w:r>
    </w:p>
    <w:tbl>
      <w:tblPr>
        <w:tblW w:w="9695" w:type="dxa"/>
        <w:tblInd w:w="565" w:type="dxa"/>
        <w:tblLayout w:type="fixed"/>
        <w:tblLook w:val="04A0" w:firstRow="1" w:lastRow="0" w:firstColumn="1" w:lastColumn="0" w:noHBand="0" w:noVBand="1"/>
      </w:tblPr>
      <w:tblGrid>
        <w:gridCol w:w="564"/>
        <w:gridCol w:w="3261"/>
        <w:gridCol w:w="1275"/>
        <w:gridCol w:w="1705"/>
        <w:gridCol w:w="1448"/>
        <w:gridCol w:w="1442"/>
      </w:tblGrid>
      <w:tr w:rsidR="002F2B8B" w:rsidRPr="00B90D5E" w14:paraId="771B2105" w14:textId="77777777" w:rsidTr="00675DC2">
        <w:trPr>
          <w:trHeight w:val="606"/>
        </w:trPr>
        <w:tc>
          <w:tcPr>
            <w:tcW w:w="564" w:type="dxa"/>
            <w:tcBorders>
              <w:top w:val="single" w:sz="4" w:space="0" w:color="auto"/>
              <w:left w:val="single" w:sz="4" w:space="0" w:color="auto"/>
              <w:bottom w:val="single" w:sz="4" w:space="0" w:color="auto"/>
              <w:right w:val="single" w:sz="4" w:space="0" w:color="auto"/>
            </w:tcBorders>
            <w:shd w:val="clear" w:color="000000" w:fill="8EA9DB"/>
            <w:noWrap/>
            <w:vAlign w:val="center"/>
            <w:hideMark/>
          </w:tcPr>
          <w:p w14:paraId="666FD848" w14:textId="77777777" w:rsidR="002F2B8B" w:rsidRPr="00675DC2" w:rsidRDefault="002F2B8B" w:rsidP="00574D2E">
            <w:pPr>
              <w:rPr>
                <w:rFonts w:asciiTheme="minorHAnsi" w:hAnsiTheme="minorHAnsi" w:cs="Arial"/>
                <w:b/>
                <w:bCs/>
                <w:sz w:val="22"/>
                <w:szCs w:val="22"/>
                <w:lang w:val="en-IN" w:eastAsia="en-IN"/>
              </w:rPr>
            </w:pPr>
            <w:r w:rsidRPr="00675DC2">
              <w:rPr>
                <w:rFonts w:asciiTheme="minorHAnsi" w:hAnsiTheme="minorHAnsi" w:cs="Arial"/>
                <w:b/>
                <w:bCs/>
                <w:sz w:val="22"/>
                <w:szCs w:val="22"/>
                <w:lang w:val="en-IN" w:eastAsia="en-IN"/>
              </w:rPr>
              <w:t>Sl. No.</w:t>
            </w:r>
          </w:p>
        </w:tc>
        <w:tc>
          <w:tcPr>
            <w:tcW w:w="3261" w:type="dxa"/>
            <w:tcBorders>
              <w:top w:val="single" w:sz="4" w:space="0" w:color="auto"/>
              <w:left w:val="nil"/>
              <w:bottom w:val="single" w:sz="4" w:space="0" w:color="auto"/>
              <w:right w:val="single" w:sz="4" w:space="0" w:color="auto"/>
            </w:tcBorders>
            <w:shd w:val="clear" w:color="000000" w:fill="8EA9DB"/>
            <w:noWrap/>
            <w:vAlign w:val="center"/>
            <w:hideMark/>
          </w:tcPr>
          <w:p w14:paraId="6BC92B94" w14:textId="77777777" w:rsidR="002F2B8B" w:rsidRPr="00675DC2" w:rsidRDefault="002F2B8B" w:rsidP="00574D2E">
            <w:pPr>
              <w:jc w:val="center"/>
              <w:rPr>
                <w:rFonts w:asciiTheme="minorHAnsi" w:hAnsiTheme="minorHAnsi" w:cs="Arial"/>
                <w:b/>
                <w:bCs/>
                <w:color w:val="000000"/>
                <w:sz w:val="22"/>
                <w:szCs w:val="22"/>
                <w:lang w:val="en-IN" w:eastAsia="en-IN"/>
              </w:rPr>
            </w:pPr>
            <w:r w:rsidRPr="00675DC2">
              <w:rPr>
                <w:rFonts w:asciiTheme="minorHAnsi" w:hAnsiTheme="minorHAnsi" w:cs="Arial"/>
                <w:b/>
                <w:bCs/>
                <w:color w:val="000000"/>
                <w:sz w:val="22"/>
                <w:szCs w:val="22"/>
                <w:lang w:val="en-IN" w:eastAsia="en-IN"/>
              </w:rPr>
              <w:t>HT Category</w:t>
            </w:r>
          </w:p>
        </w:tc>
        <w:tc>
          <w:tcPr>
            <w:tcW w:w="1275" w:type="dxa"/>
            <w:tcBorders>
              <w:top w:val="single" w:sz="4" w:space="0" w:color="auto"/>
              <w:left w:val="nil"/>
              <w:bottom w:val="single" w:sz="4" w:space="0" w:color="auto"/>
              <w:right w:val="single" w:sz="4" w:space="0" w:color="auto"/>
            </w:tcBorders>
            <w:shd w:val="clear" w:color="000000" w:fill="8EA9DB"/>
            <w:noWrap/>
            <w:vAlign w:val="center"/>
            <w:hideMark/>
          </w:tcPr>
          <w:p w14:paraId="4BC26AE5" w14:textId="77777777" w:rsidR="002F2B8B" w:rsidRDefault="002F2B8B" w:rsidP="00574D2E">
            <w:pPr>
              <w:jc w:val="center"/>
              <w:rPr>
                <w:rFonts w:asciiTheme="minorHAnsi" w:hAnsiTheme="minorHAnsi" w:cs="Calibri"/>
                <w:b/>
                <w:bCs/>
                <w:color w:val="000000"/>
                <w:sz w:val="22"/>
                <w:szCs w:val="22"/>
                <w:lang w:val="en-IN" w:eastAsia="en-IN"/>
              </w:rPr>
            </w:pPr>
            <w:r w:rsidRPr="00675DC2">
              <w:rPr>
                <w:rFonts w:asciiTheme="minorHAnsi" w:hAnsiTheme="minorHAnsi" w:cs="Calibri"/>
                <w:b/>
                <w:bCs/>
                <w:color w:val="000000"/>
                <w:sz w:val="22"/>
                <w:szCs w:val="22"/>
                <w:lang w:val="en-IN" w:eastAsia="en-IN"/>
              </w:rPr>
              <w:t>FY 2023-24</w:t>
            </w:r>
          </w:p>
          <w:p w14:paraId="1F99BC69" w14:textId="1DA234AA" w:rsidR="00A442F1" w:rsidRPr="00675DC2" w:rsidRDefault="00A442F1" w:rsidP="00574D2E">
            <w:pPr>
              <w:jc w:val="center"/>
              <w:rPr>
                <w:rFonts w:asciiTheme="minorHAnsi" w:hAnsiTheme="minorHAnsi" w:cs="Calibri"/>
                <w:b/>
                <w:bCs/>
                <w:color w:val="000000"/>
                <w:sz w:val="22"/>
                <w:szCs w:val="22"/>
                <w:lang w:val="en-IN" w:eastAsia="en-IN"/>
              </w:rPr>
            </w:pPr>
            <w:r>
              <w:rPr>
                <w:rFonts w:asciiTheme="minorHAnsi" w:hAnsiTheme="minorHAnsi" w:cs="Calibri"/>
                <w:b/>
                <w:bCs/>
                <w:color w:val="000000"/>
                <w:sz w:val="22"/>
                <w:szCs w:val="22"/>
                <w:lang w:val="en-IN" w:eastAsia="en-IN"/>
              </w:rPr>
              <w:t>(Actual)</w:t>
            </w:r>
          </w:p>
        </w:tc>
        <w:tc>
          <w:tcPr>
            <w:tcW w:w="1705" w:type="dxa"/>
            <w:tcBorders>
              <w:top w:val="single" w:sz="4" w:space="0" w:color="auto"/>
              <w:left w:val="nil"/>
              <w:bottom w:val="single" w:sz="4" w:space="0" w:color="auto"/>
              <w:right w:val="single" w:sz="4" w:space="0" w:color="auto"/>
            </w:tcBorders>
            <w:shd w:val="clear" w:color="000000" w:fill="8EA9DB"/>
            <w:vAlign w:val="center"/>
            <w:hideMark/>
          </w:tcPr>
          <w:p w14:paraId="67DDD47F" w14:textId="4BCE2E41" w:rsidR="002F2B8B" w:rsidRPr="00675DC2" w:rsidRDefault="002F2B8B" w:rsidP="00574D2E">
            <w:pPr>
              <w:jc w:val="center"/>
              <w:rPr>
                <w:rFonts w:asciiTheme="minorHAnsi" w:hAnsiTheme="minorHAnsi" w:cs="Calibri"/>
                <w:b/>
                <w:bCs/>
                <w:color w:val="000000"/>
                <w:sz w:val="22"/>
                <w:szCs w:val="22"/>
                <w:lang w:val="en-IN" w:eastAsia="en-IN"/>
              </w:rPr>
            </w:pPr>
            <w:r w:rsidRPr="00675DC2">
              <w:rPr>
                <w:rFonts w:asciiTheme="minorHAnsi" w:hAnsiTheme="minorHAnsi" w:cs="Calibri"/>
                <w:b/>
                <w:bCs/>
                <w:color w:val="000000"/>
                <w:sz w:val="22"/>
                <w:szCs w:val="22"/>
                <w:lang w:val="en-IN" w:eastAsia="en-IN"/>
              </w:rPr>
              <w:t xml:space="preserve"> FY 2024</w:t>
            </w:r>
            <w:r w:rsidR="00675DC2">
              <w:rPr>
                <w:rFonts w:asciiTheme="minorHAnsi" w:hAnsiTheme="minorHAnsi" w:cs="Calibri"/>
                <w:b/>
                <w:bCs/>
                <w:color w:val="000000"/>
                <w:sz w:val="22"/>
                <w:szCs w:val="22"/>
                <w:lang w:val="en-IN" w:eastAsia="en-IN"/>
              </w:rPr>
              <w:t>-</w:t>
            </w:r>
            <w:r w:rsidRPr="00675DC2">
              <w:rPr>
                <w:rFonts w:asciiTheme="minorHAnsi" w:hAnsiTheme="minorHAnsi" w:cs="Calibri"/>
                <w:b/>
                <w:bCs/>
                <w:color w:val="000000"/>
                <w:sz w:val="22"/>
                <w:szCs w:val="22"/>
                <w:lang w:val="en-IN" w:eastAsia="en-IN"/>
              </w:rPr>
              <w:t>25_H1 (Actual)</w:t>
            </w:r>
          </w:p>
        </w:tc>
        <w:tc>
          <w:tcPr>
            <w:tcW w:w="1448" w:type="dxa"/>
            <w:tcBorders>
              <w:top w:val="single" w:sz="4" w:space="0" w:color="auto"/>
              <w:left w:val="nil"/>
              <w:bottom w:val="single" w:sz="4" w:space="0" w:color="auto"/>
              <w:right w:val="single" w:sz="4" w:space="0" w:color="auto"/>
            </w:tcBorders>
            <w:shd w:val="clear" w:color="000000" w:fill="8EA9DB"/>
            <w:vAlign w:val="center"/>
            <w:hideMark/>
          </w:tcPr>
          <w:p w14:paraId="442DE97F" w14:textId="20631365" w:rsidR="002F2B8B" w:rsidRPr="00675DC2" w:rsidRDefault="002F2B8B" w:rsidP="00574D2E">
            <w:pPr>
              <w:jc w:val="center"/>
              <w:rPr>
                <w:rFonts w:asciiTheme="minorHAnsi" w:hAnsiTheme="minorHAnsi" w:cs="Calibri"/>
                <w:b/>
                <w:bCs/>
                <w:color w:val="000000"/>
                <w:sz w:val="22"/>
                <w:szCs w:val="22"/>
                <w:lang w:val="en-IN" w:eastAsia="en-IN"/>
              </w:rPr>
            </w:pPr>
            <w:r w:rsidRPr="00675DC2">
              <w:rPr>
                <w:rFonts w:asciiTheme="minorHAnsi" w:hAnsiTheme="minorHAnsi" w:cs="Calibri"/>
                <w:b/>
                <w:bCs/>
                <w:color w:val="000000"/>
                <w:sz w:val="22"/>
                <w:szCs w:val="22"/>
                <w:lang w:val="en-IN" w:eastAsia="en-IN"/>
              </w:rPr>
              <w:t>FY 2024-25 (Estimat</w:t>
            </w:r>
            <w:r w:rsidR="0085348F" w:rsidRPr="00675DC2">
              <w:rPr>
                <w:rFonts w:asciiTheme="minorHAnsi" w:hAnsiTheme="minorHAnsi" w:cs="Calibri"/>
                <w:b/>
                <w:bCs/>
                <w:color w:val="000000"/>
                <w:sz w:val="22"/>
                <w:szCs w:val="22"/>
                <w:lang w:val="en-IN" w:eastAsia="en-IN"/>
              </w:rPr>
              <w:t>ed</w:t>
            </w:r>
            <w:r w:rsidRPr="00675DC2">
              <w:rPr>
                <w:rFonts w:asciiTheme="minorHAnsi" w:hAnsiTheme="minorHAnsi" w:cs="Calibri"/>
                <w:b/>
                <w:bCs/>
                <w:color w:val="000000"/>
                <w:sz w:val="22"/>
                <w:szCs w:val="22"/>
                <w:lang w:val="en-IN" w:eastAsia="en-IN"/>
              </w:rPr>
              <w:t>)</w:t>
            </w:r>
          </w:p>
        </w:tc>
        <w:tc>
          <w:tcPr>
            <w:tcW w:w="1442" w:type="dxa"/>
            <w:tcBorders>
              <w:top w:val="single" w:sz="4" w:space="0" w:color="auto"/>
              <w:left w:val="nil"/>
              <w:bottom w:val="single" w:sz="4" w:space="0" w:color="auto"/>
              <w:right w:val="single" w:sz="4" w:space="0" w:color="auto"/>
            </w:tcBorders>
            <w:shd w:val="clear" w:color="000000" w:fill="8EA9DB"/>
            <w:vAlign w:val="center"/>
            <w:hideMark/>
          </w:tcPr>
          <w:p w14:paraId="3063936A" w14:textId="77777777" w:rsidR="002F2B8B" w:rsidRPr="00675DC2" w:rsidRDefault="002F2B8B" w:rsidP="00574D2E">
            <w:pPr>
              <w:jc w:val="center"/>
              <w:rPr>
                <w:rFonts w:asciiTheme="minorHAnsi" w:hAnsiTheme="minorHAnsi" w:cs="Calibri"/>
                <w:b/>
                <w:bCs/>
                <w:color w:val="000000"/>
                <w:sz w:val="22"/>
                <w:szCs w:val="22"/>
                <w:lang w:val="en-IN" w:eastAsia="en-IN"/>
              </w:rPr>
            </w:pPr>
            <w:r w:rsidRPr="00675DC2">
              <w:rPr>
                <w:rFonts w:asciiTheme="minorHAnsi" w:hAnsiTheme="minorHAnsi" w:cs="Calibri"/>
                <w:b/>
                <w:bCs/>
                <w:color w:val="000000"/>
                <w:sz w:val="22"/>
                <w:szCs w:val="22"/>
                <w:lang w:val="en-IN" w:eastAsia="en-IN"/>
              </w:rPr>
              <w:t>FY 2025-26 (Projection)</w:t>
            </w:r>
          </w:p>
        </w:tc>
      </w:tr>
      <w:tr w:rsidR="002F2B8B" w:rsidRPr="00B90D5E" w14:paraId="1E12DD13" w14:textId="77777777" w:rsidTr="00675DC2">
        <w:trPr>
          <w:trHeight w:val="303"/>
        </w:trPr>
        <w:tc>
          <w:tcPr>
            <w:tcW w:w="564" w:type="dxa"/>
            <w:tcBorders>
              <w:top w:val="nil"/>
              <w:left w:val="single" w:sz="4" w:space="0" w:color="auto"/>
              <w:bottom w:val="single" w:sz="4" w:space="0" w:color="auto"/>
              <w:right w:val="single" w:sz="4" w:space="0" w:color="auto"/>
            </w:tcBorders>
            <w:shd w:val="clear" w:color="auto" w:fill="auto"/>
            <w:noWrap/>
            <w:vAlign w:val="center"/>
            <w:hideMark/>
          </w:tcPr>
          <w:p w14:paraId="66CEC303" w14:textId="77777777" w:rsidR="002F2B8B" w:rsidRPr="00675DC2" w:rsidRDefault="002F2B8B" w:rsidP="00574D2E">
            <w:pPr>
              <w:jc w:val="center"/>
              <w:rPr>
                <w:rFonts w:asciiTheme="minorHAnsi" w:hAnsiTheme="minorHAnsi" w:cs="Arial"/>
                <w:sz w:val="22"/>
                <w:szCs w:val="22"/>
                <w:lang w:val="en-IN" w:eastAsia="en-IN"/>
              </w:rPr>
            </w:pPr>
            <w:r w:rsidRPr="00675DC2">
              <w:rPr>
                <w:rFonts w:asciiTheme="minorHAnsi" w:hAnsiTheme="minorHAnsi" w:cs="Arial"/>
                <w:sz w:val="22"/>
                <w:szCs w:val="22"/>
                <w:lang w:val="en-IN" w:eastAsia="en-IN"/>
              </w:rPr>
              <w:t>1</w:t>
            </w:r>
          </w:p>
        </w:tc>
        <w:tc>
          <w:tcPr>
            <w:tcW w:w="3261" w:type="dxa"/>
            <w:tcBorders>
              <w:top w:val="nil"/>
              <w:left w:val="nil"/>
              <w:bottom w:val="single" w:sz="4" w:space="0" w:color="auto"/>
              <w:right w:val="single" w:sz="4" w:space="0" w:color="auto"/>
            </w:tcBorders>
            <w:shd w:val="clear" w:color="auto" w:fill="auto"/>
            <w:noWrap/>
            <w:vAlign w:val="center"/>
            <w:hideMark/>
          </w:tcPr>
          <w:p w14:paraId="251C3038" w14:textId="77777777" w:rsidR="002F2B8B" w:rsidRPr="00675DC2" w:rsidRDefault="002F2B8B" w:rsidP="00574D2E">
            <w:pPr>
              <w:rPr>
                <w:rFonts w:asciiTheme="minorHAnsi" w:hAnsiTheme="minorHAnsi" w:cs="Arial"/>
                <w:sz w:val="22"/>
                <w:szCs w:val="22"/>
                <w:lang w:val="en-IN" w:eastAsia="en-IN"/>
              </w:rPr>
            </w:pPr>
            <w:r w:rsidRPr="00675DC2">
              <w:rPr>
                <w:rFonts w:asciiTheme="minorHAnsi" w:hAnsiTheme="minorHAnsi" w:cs="Arial"/>
                <w:sz w:val="22"/>
                <w:szCs w:val="22"/>
                <w:lang w:val="en-IN" w:eastAsia="en-IN"/>
              </w:rPr>
              <w:t>Bulk Supply - Domestic</w:t>
            </w:r>
          </w:p>
        </w:tc>
        <w:tc>
          <w:tcPr>
            <w:tcW w:w="1275" w:type="dxa"/>
            <w:tcBorders>
              <w:top w:val="nil"/>
              <w:left w:val="nil"/>
              <w:bottom w:val="single" w:sz="4" w:space="0" w:color="auto"/>
              <w:right w:val="single" w:sz="4" w:space="0" w:color="auto"/>
            </w:tcBorders>
            <w:shd w:val="clear" w:color="auto" w:fill="auto"/>
            <w:noWrap/>
            <w:vAlign w:val="center"/>
            <w:hideMark/>
          </w:tcPr>
          <w:p w14:paraId="45729DEC" w14:textId="77777777" w:rsidR="002F2B8B" w:rsidRPr="00675DC2" w:rsidRDefault="002F2B8B" w:rsidP="00574D2E">
            <w:pPr>
              <w:jc w:val="center"/>
              <w:rPr>
                <w:rFonts w:asciiTheme="minorHAnsi" w:hAnsiTheme="minorHAnsi" w:cs="Calibri"/>
                <w:color w:val="000000"/>
                <w:sz w:val="22"/>
                <w:szCs w:val="22"/>
                <w:lang w:val="en-IN" w:eastAsia="en-IN"/>
              </w:rPr>
            </w:pPr>
            <w:r w:rsidRPr="00675DC2">
              <w:rPr>
                <w:rFonts w:asciiTheme="minorHAnsi" w:hAnsiTheme="minorHAnsi" w:cs="Calibri"/>
                <w:color w:val="000000"/>
                <w:sz w:val="22"/>
                <w:szCs w:val="22"/>
                <w:lang w:val="en-IN" w:eastAsia="en-IN"/>
              </w:rPr>
              <w:t>16.84</w:t>
            </w:r>
          </w:p>
        </w:tc>
        <w:tc>
          <w:tcPr>
            <w:tcW w:w="1705" w:type="dxa"/>
            <w:tcBorders>
              <w:top w:val="nil"/>
              <w:left w:val="nil"/>
              <w:bottom w:val="single" w:sz="4" w:space="0" w:color="auto"/>
              <w:right w:val="single" w:sz="4" w:space="0" w:color="auto"/>
            </w:tcBorders>
            <w:shd w:val="clear" w:color="auto" w:fill="auto"/>
            <w:noWrap/>
            <w:vAlign w:val="center"/>
            <w:hideMark/>
          </w:tcPr>
          <w:p w14:paraId="59214ECF" w14:textId="77777777" w:rsidR="002F2B8B" w:rsidRPr="00675DC2" w:rsidRDefault="002F2B8B" w:rsidP="00574D2E">
            <w:pPr>
              <w:jc w:val="center"/>
              <w:rPr>
                <w:rFonts w:asciiTheme="minorHAnsi" w:hAnsiTheme="minorHAnsi" w:cs="Calibri"/>
                <w:color w:val="000000"/>
                <w:sz w:val="22"/>
                <w:szCs w:val="22"/>
                <w:lang w:val="en-IN" w:eastAsia="en-IN"/>
              </w:rPr>
            </w:pPr>
            <w:r w:rsidRPr="00675DC2">
              <w:rPr>
                <w:rFonts w:asciiTheme="minorHAnsi" w:hAnsiTheme="minorHAnsi" w:cs="Calibri"/>
                <w:color w:val="000000"/>
                <w:sz w:val="22"/>
                <w:szCs w:val="22"/>
                <w:lang w:val="en-IN" w:eastAsia="en-IN"/>
              </w:rPr>
              <w:t>9.07</w:t>
            </w:r>
          </w:p>
        </w:tc>
        <w:tc>
          <w:tcPr>
            <w:tcW w:w="1448" w:type="dxa"/>
            <w:tcBorders>
              <w:top w:val="nil"/>
              <w:left w:val="nil"/>
              <w:bottom w:val="single" w:sz="4" w:space="0" w:color="auto"/>
              <w:right w:val="single" w:sz="4" w:space="0" w:color="auto"/>
            </w:tcBorders>
            <w:shd w:val="clear" w:color="auto" w:fill="auto"/>
            <w:noWrap/>
            <w:vAlign w:val="center"/>
            <w:hideMark/>
          </w:tcPr>
          <w:p w14:paraId="6DD94080" w14:textId="77777777" w:rsidR="002F2B8B" w:rsidRPr="00675DC2" w:rsidRDefault="002F2B8B" w:rsidP="00574D2E">
            <w:pPr>
              <w:jc w:val="center"/>
              <w:rPr>
                <w:rFonts w:asciiTheme="minorHAnsi" w:hAnsiTheme="minorHAnsi" w:cs="Calibri"/>
                <w:color w:val="000000"/>
                <w:sz w:val="22"/>
                <w:szCs w:val="22"/>
                <w:lang w:val="en-IN" w:eastAsia="en-IN"/>
              </w:rPr>
            </w:pPr>
            <w:r w:rsidRPr="00675DC2">
              <w:rPr>
                <w:rFonts w:asciiTheme="minorHAnsi" w:hAnsiTheme="minorHAnsi" w:cs="Calibri"/>
                <w:color w:val="000000"/>
                <w:sz w:val="22"/>
                <w:szCs w:val="22"/>
                <w:lang w:val="en-IN" w:eastAsia="en-IN"/>
              </w:rPr>
              <w:t>17.99</w:t>
            </w:r>
          </w:p>
        </w:tc>
        <w:tc>
          <w:tcPr>
            <w:tcW w:w="1442" w:type="dxa"/>
            <w:tcBorders>
              <w:top w:val="nil"/>
              <w:left w:val="nil"/>
              <w:bottom w:val="single" w:sz="4" w:space="0" w:color="auto"/>
              <w:right w:val="single" w:sz="4" w:space="0" w:color="auto"/>
            </w:tcBorders>
            <w:shd w:val="clear" w:color="auto" w:fill="auto"/>
            <w:noWrap/>
            <w:vAlign w:val="center"/>
            <w:hideMark/>
          </w:tcPr>
          <w:p w14:paraId="428C5E85" w14:textId="77777777" w:rsidR="002F2B8B" w:rsidRPr="00675DC2" w:rsidRDefault="002F2B8B" w:rsidP="00574D2E">
            <w:pPr>
              <w:jc w:val="center"/>
              <w:rPr>
                <w:rFonts w:asciiTheme="minorHAnsi" w:hAnsiTheme="minorHAnsi" w:cs="Calibri"/>
                <w:color w:val="000000"/>
                <w:sz w:val="22"/>
                <w:szCs w:val="22"/>
                <w:lang w:val="en-IN" w:eastAsia="en-IN"/>
              </w:rPr>
            </w:pPr>
            <w:r w:rsidRPr="00675DC2">
              <w:rPr>
                <w:rFonts w:asciiTheme="minorHAnsi" w:hAnsiTheme="minorHAnsi" w:cs="Calibri"/>
                <w:color w:val="000000"/>
                <w:sz w:val="22"/>
                <w:szCs w:val="22"/>
                <w:lang w:val="en-IN" w:eastAsia="en-IN"/>
              </w:rPr>
              <w:t>18.28</w:t>
            </w:r>
          </w:p>
        </w:tc>
      </w:tr>
      <w:tr w:rsidR="002F2B8B" w:rsidRPr="00B90D5E" w14:paraId="394F55FB" w14:textId="77777777" w:rsidTr="00675DC2">
        <w:trPr>
          <w:trHeight w:val="303"/>
        </w:trPr>
        <w:tc>
          <w:tcPr>
            <w:tcW w:w="564" w:type="dxa"/>
            <w:tcBorders>
              <w:top w:val="nil"/>
              <w:left w:val="single" w:sz="4" w:space="0" w:color="auto"/>
              <w:bottom w:val="single" w:sz="4" w:space="0" w:color="auto"/>
              <w:right w:val="single" w:sz="4" w:space="0" w:color="auto"/>
            </w:tcBorders>
            <w:shd w:val="clear" w:color="auto" w:fill="auto"/>
            <w:noWrap/>
            <w:vAlign w:val="center"/>
            <w:hideMark/>
          </w:tcPr>
          <w:p w14:paraId="54B7E3B0" w14:textId="77777777" w:rsidR="002F2B8B" w:rsidRPr="00675DC2" w:rsidRDefault="002F2B8B" w:rsidP="00574D2E">
            <w:pPr>
              <w:jc w:val="center"/>
              <w:rPr>
                <w:rFonts w:asciiTheme="minorHAnsi" w:hAnsiTheme="minorHAnsi" w:cs="Arial"/>
                <w:sz w:val="22"/>
                <w:szCs w:val="22"/>
                <w:lang w:val="en-IN" w:eastAsia="en-IN"/>
              </w:rPr>
            </w:pPr>
            <w:r w:rsidRPr="00675DC2">
              <w:rPr>
                <w:rFonts w:asciiTheme="minorHAnsi" w:hAnsiTheme="minorHAnsi" w:cs="Arial"/>
                <w:sz w:val="22"/>
                <w:szCs w:val="22"/>
                <w:lang w:val="en-IN" w:eastAsia="en-IN"/>
              </w:rPr>
              <w:t>2</w:t>
            </w:r>
          </w:p>
        </w:tc>
        <w:tc>
          <w:tcPr>
            <w:tcW w:w="3261" w:type="dxa"/>
            <w:tcBorders>
              <w:top w:val="nil"/>
              <w:left w:val="nil"/>
              <w:bottom w:val="single" w:sz="4" w:space="0" w:color="auto"/>
              <w:right w:val="single" w:sz="4" w:space="0" w:color="auto"/>
            </w:tcBorders>
            <w:shd w:val="clear" w:color="auto" w:fill="auto"/>
            <w:noWrap/>
            <w:vAlign w:val="center"/>
            <w:hideMark/>
          </w:tcPr>
          <w:p w14:paraId="2DA6C336" w14:textId="0EDA4734" w:rsidR="002F2B8B" w:rsidRPr="00675DC2" w:rsidRDefault="0085348F" w:rsidP="00574D2E">
            <w:pPr>
              <w:rPr>
                <w:rFonts w:asciiTheme="minorHAnsi" w:hAnsiTheme="minorHAnsi" w:cs="Arial"/>
                <w:sz w:val="22"/>
                <w:szCs w:val="22"/>
                <w:lang w:val="en-IN" w:eastAsia="en-IN"/>
              </w:rPr>
            </w:pPr>
            <w:r w:rsidRPr="00675DC2">
              <w:rPr>
                <w:rFonts w:asciiTheme="minorHAnsi" w:hAnsiTheme="minorHAnsi" w:cs="Arial"/>
                <w:sz w:val="22"/>
                <w:szCs w:val="22"/>
                <w:lang w:val="en-IN" w:eastAsia="en-IN"/>
              </w:rPr>
              <w:t>Irrigation Pumping</w:t>
            </w:r>
            <w:r w:rsidR="002F2B8B" w:rsidRPr="00675DC2">
              <w:rPr>
                <w:rFonts w:asciiTheme="minorHAnsi" w:hAnsiTheme="minorHAnsi" w:cs="Arial"/>
                <w:sz w:val="22"/>
                <w:szCs w:val="22"/>
                <w:lang w:val="en-IN" w:eastAsia="en-IN"/>
              </w:rPr>
              <w:t xml:space="preserve"> &amp; Agriculture</w:t>
            </w:r>
          </w:p>
        </w:tc>
        <w:tc>
          <w:tcPr>
            <w:tcW w:w="1275" w:type="dxa"/>
            <w:tcBorders>
              <w:top w:val="nil"/>
              <w:left w:val="nil"/>
              <w:bottom w:val="single" w:sz="4" w:space="0" w:color="auto"/>
              <w:right w:val="single" w:sz="4" w:space="0" w:color="auto"/>
            </w:tcBorders>
            <w:shd w:val="clear" w:color="auto" w:fill="auto"/>
            <w:noWrap/>
            <w:vAlign w:val="center"/>
            <w:hideMark/>
          </w:tcPr>
          <w:p w14:paraId="719BB426" w14:textId="77777777" w:rsidR="002F2B8B" w:rsidRPr="00675DC2" w:rsidRDefault="002F2B8B" w:rsidP="00574D2E">
            <w:pPr>
              <w:jc w:val="center"/>
              <w:rPr>
                <w:rFonts w:asciiTheme="minorHAnsi" w:hAnsiTheme="minorHAnsi" w:cs="Calibri"/>
                <w:color w:val="000000"/>
                <w:sz w:val="22"/>
                <w:szCs w:val="22"/>
                <w:lang w:val="en-IN" w:eastAsia="en-IN"/>
              </w:rPr>
            </w:pPr>
            <w:r w:rsidRPr="00675DC2">
              <w:rPr>
                <w:rFonts w:asciiTheme="minorHAnsi" w:hAnsiTheme="minorHAnsi" w:cs="Calibri"/>
                <w:color w:val="000000"/>
                <w:sz w:val="22"/>
                <w:szCs w:val="22"/>
                <w:lang w:val="en-IN" w:eastAsia="en-IN"/>
              </w:rPr>
              <w:t>2.66</w:t>
            </w:r>
          </w:p>
        </w:tc>
        <w:tc>
          <w:tcPr>
            <w:tcW w:w="1705" w:type="dxa"/>
            <w:tcBorders>
              <w:top w:val="nil"/>
              <w:left w:val="nil"/>
              <w:bottom w:val="single" w:sz="4" w:space="0" w:color="auto"/>
              <w:right w:val="single" w:sz="4" w:space="0" w:color="auto"/>
            </w:tcBorders>
            <w:shd w:val="clear" w:color="auto" w:fill="auto"/>
            <w:noWrap/>
            <w:vAlign w:val="center"/>
            <w:hideMark/>
          </w:tcPr>
          <w:p w14:paraId="7D5B0538" w14:textId="77777777" w:rsidR="002F2B8B" w:rsidRPr="00675DC2" w:rsidRDefault="002F2B8B" w:rsidP="00574D2E">
            <w:pPr>
              <w:jc w:val="center"/>
              <w:rPr>
                <w:rFonts w:asciiTheme="minorHAnsi" w:hAnsiTheme="minorHAnsi" w:cs="Calibri"/>
                <w:color w:val="000000"/>
                <w:sz w:val="22"/>
                <w:szCs w:val="22"/>
                <w:lang w:val="en-IN" w:eastAsia="en-IN"/>
              </w:rPr>
            </w:pPr>
            <w:r w:rsidRPr="00675DC2">
              <w:rPr>
                <w:rFonts w:asciiTheme="minorHAnsi" w:hAnsiTheme="minorHAnsi" w:cs="Calibri"/>
                <w:color w:val="000000"/>
                <w:sz w:val="22"/>
                <w:szCs w:val="22"/>
                <w:lang w:val="en-IN" w:eastAsia="en-IN"/>
              </w:rPr>
              <w:t>2.01</w:t>
            </w:r>
          </w:p>
        </w:tc>
        <w:tc>
          <w:tcPr>
            <w:tcW w:w="1448" w:type="dxa"/>
            <w:tcBorders>
              <w:top w:val="nil"/>
              <w:left w:val="nil"/>
              <w:bottom w:val="single" w:sz="4" w:space="0" w:color="auto"/>
              <w:right w:val="single" w:sz="4" w:space="0" w:color="auto"/>
            </w:tcBorders>
            <w:shd w:val="clear" w:color="auto" w:fill="auto"/>
            <w:noWrap/>
            <w:vAlign w:val="center"/>
            <w:hideMark/>
          </w:tcPr>
          <w:p w14:paraId="27E43972" w14:textId="77777777" w:rsidR="002F2B8B" w:rsidRPr="00675DC2" w:rsidRDefault="002F2B8B" w:rsidP="00574D2E">
            <w:pPr>
              <w:jc w:val="center"/>
              <w:rPr>
                <w:rFonts w:asciiTheme="minorHAnsi" w:hAnsiTheme="minorHAnsi" w:cs="Calibri"/>
                <w:color w:val="000000"/>
                <w:sz w:val="22"/>
                <w:szCs w:val="22"/>
                <w:lang w:val="en-IN" w:eastAsia="en-IN"/>
              </w:rPr>
            </w:pPr>
            <w:r w:rsidRPr="00675DC2">
              <w:rPr>
                <w:rFonts w:asciiTheme="minorHAnsi" w:hAnsiTheme="minorHAnsi" w:cs="Calibri"/>
                <w:color w:val="000000"/>
                <w:sz w:val="22"/>
                <w:szCs w:val="22"/>
                <w:lang w:val="en-IN" w:eastAsia="en-IN"/>
              </w:rPr>
              <w:t>3.98</w:t>
            </w:r>
          </w:p>
        </w:tc>
        <w:tc>
          <w:tcPr>
            <w:tcW w:w="1442" w:type="dxa"/>
            <w:tcBorders>
              <w:top w:val="nil"/>
              <w:left w:val="nil"/>
              <w:bottom w:val="single" w:sz="4" w:space="0" w:color="auto"/>
              <w:right w:val="single" w:sz="4" w:space="0" w:color="auto"/>
            </w:tcBorders>
            <w:shd w:val="clear" w:color="auto" w:fill="auto"/>
            <w:noWrap/>
            <w:vAlign w:val="center"/>
            <w:hideMark/>
          </w:tcPr>
          <w:p w14:paraId="797C86E1" w14:textId="77777777" w:rsidR="002F2B8B" w:rsidRPr="00675DC2" w:rsidRDefault="002F2B8B" w:rsidP="00574D2E">
            <w:pPr>
              <w:jc w:val="center"/>
              <w:rPr>
                <w:rFonts w:asciiTheme="minorHAnsi" w:hAnsiTheme="minorHAnsi" w:cs="Calibri"/>
                <w:color w:val="000000"/>
                <w:sz w:val="22"/>
                <w:szCs w:val="22"/>
                <w:lang w:val="en-IN" w:eastAsia="en-IN"/>
              </w:rPr>
            </w:pPr>
            <w:r w:rsidRPr="00675DC2">
              <w:rPr>
                <w:rFonts w:asciiTheme="minorHAnsi" w:hAnsiTheme="minorHAnsi" w:cs="Calibri"/>
                <w:color w:val="000000"/>
                <w:sz w:val="22"/>
                <w:szCs w:val="22"/>
                <w:lang w:val="en-IN" w:eastAsia="en-IN"/>
              </w:rPr>
              <w:t>5.48</w:t>
            </w:r>
          </w:p>
        </w:tc>
      </w:tr>
      <w:tr w:rsidR="002F2B8B" w:rsidRPr="00B90D5E" w14:paraId="131A42F6" w14:textId="77777777" w:rsidTr="00675DC2">
        <w:trPr>
          <w:trHeight w:val="303"/>
        </w:trPr>
        <w:tc>
          <w:tcPr>
            <w:tcW w:w="564" w:type="dxa"/>
            <w:tcBorders>
              <w:top w:val="nil"/>
              <w:left w:val="single" w:sz="4" w:space="0" w:color="auto"/>
              <w:bottom w:val="single" w:sz="4" w:space="0" w:color="auto"/>
              <w:right w:val="single" w:sz="4" w:space="0" w:color="auto"/>
            </w:tcBorders>
            <w:shd w:val="clear" w:color="auto" w:fill="auto"/>
            <w:noWrap/>
            <w:vAlign w:val="center"/>
            <w:hideMark/>
          </w:tcPr>
          <w:p w14:paraId="33A25BEC" w14:textId="77777777" w:rsidR="002F2B8B" w:rsidRPr="00675DC2" w:rsidRDefault="002F2B8B" w:rsidP="00574D2E">
            <w:pPr>
              <w:jc w:val="center"/>
              <w:rPr>
                <w:rFonts w:asciiTheme="minorHAnsi" w:hAnsiTheme="minorHAnsi" w:cs="Arial"/>
                <w:sz w:val="22"/>
                <w:szCs w:val="22"/>
                <w:lang w:val="en-IN" w:eastAsia="en-IN"/>
              </w:rPr>
            </w:pPr>
            <w:r w:rsidRPr="00675DC2">
              <w:rPr>
                <w:rFonts w:asciiTheme="minorHAnsi" w:hAnsiTheme="minorHAnsi" w:cs="Arial"/>
                <w:sz w:val="22"/>
                <w:szCs w:val="22"/>
                <w:lang w:val="en-IN" w:eastAsia="en-IN"/>
              </w:rPr>
              <w:t>3</w:t>
            </w:r>
          </w:p>
        </w:tc>
        <w:tc>
          <w:tcPr>
            <w:tcW w:w="3261" w:type="dxa"/>
            <w:tcBorders>
              <w:top w:val="nil"/>
              <w:left w:val="nil"/>
              <w:bottom w:val="single" w:sz="4" w:space="0" w:color="auto"/>
              <w:right w:val="single" w:sz="4" w:space="0" w:color="auto"/>
            </w:tcBorders>
            <w:shd w:val="clear" w:color="auto" w:fill="auto"/>
            <w:noWrap/>
            <w:vAlign w:val="center"/>
            <w:hideMark/>
          </w:tcPr>
          <w:p w14:paraId="76AD2920" w14:textId="77777777" w:rsidR="002F2B8B" w:rsidRPr="00675DC2" w:rsidRDefault="002F2B8B" w:rsidP="00574D2E">
            <w:pPr>
              <w:rPr>
                <w:rFonts w:asciiTheme="minorHAnsi" w:hAnsiTheme="minorHAnsi" w:cs="Arial"/>
                <w:sz w:val="22"/>
                <w:szCs w:val="22"/>
                <w:lang w:val="en-IN" w:eastAsia="en-IN"/>
              </w:rPr>
            </w:pPr>
            <w:r w:rsidRPr="00675DC2">
              <w:rPr>
                <w:rFonts w:asciiTheme="minorHAnsi" w:hAnsiTheme="minorHAnsi" w:cs="Arial"/>
                <w:sz w:val="22"/>
                <w:szCs w:val="22"/>
                <w:lang w:val="en-IN" w:eastAsia="en-IN"/>
              </w:rPr>
              <w:t>Allied agricultural activities</w:t>
            </w:r>
          </w:p>
        </w:tc>
        <w:tc>
          <w:tcPr>
            <w:tcW w:w="1275" w:type="dxa"/>
            <w:tcBorders>
              <w:top w:val="nil"/>
              <w:left w:val="nil"/>
              <w:bottom w:val="single" w:sz="4" w:space="0" w:color="auto"/>
              <w:right w:val="single" w:sz="4" w:space="0" w:color="auto"/>
            </w:tcBorders>
            <w:shd w:val="clear" w:color="auto" w:fill="auto"/>
            <w:noWrap/>
            <w:vAlign w:val="center"/>
            <w:hideMark/>
          </w:tcPr>
          <w:p w14:paraId="6C0F99E6" w14:textId="77777777" w:rsidR="002F2B8B" w:rsidRPr="00675DC2" w:rsidRDefault="002F2B8B" w:rsidP="00574D2E">
            <w:pPr>
              <w:jc w:val="center"/>
              <w:rPr>
                <w:rFonts w:asciiTheme="minorHAnsi" w:hAnsiTheme="minorHAnsi" w:cs="Calibri"/>
                <w:color w:val="000000"/>
                <w:sz w:val="22"/>
                <w:szCs w:val="22"/>
                <w:lang w:val="en-IN" w:eastAsia="en-IN"/>
              </w:rPr>
            </w:pPr>
            <w:r w:rsidRPr="00675DC2">
              <w:rPr>
                <w:rFonts w:asciiTheme="minorHAnsi" w:hAnsiTheme="minorHAnsi" w:cs="Calibri"/>
                <w:color w:val="000000"/>
                <w:sz w:val="22"/>
                <w:szCs w:val="22"/>
                <w:lang w:val="en-IN" w:eastAsia="en-IN"/>
              </w:rPr>
              <w:t>18.16</w:t>
            </w:r>
          </w:p>
        </w:tc>
        <w:tc>
          <w:tcPr>
            <w:tcW w:w="1705" w:type="dxa"/>
            <w:tcBorders>
              <w:top w:val="nil"/>
              <w:left w:val="nil"/>
              <w:bottom w:val="single" w:sz="4" w:space="0" w:color="auto"/>
              <w:right w:val="single" w:sz="4" w:space="0" w:color="auto"/>
            </w:tcBorders>
            <w:shd w:val="clear" w:color="auto" w:fill="auto"/>
            <w:noWrap/>
            <w:vAlign w:val="center"/>
            <w:hideMark/>
          </w:tcPr>
          <w:p w14:paraId="2D8FEE56" w14:textId="77777777" w:rsidR="002F2B8B" w:rsidRPr="00675DC2" w:rsidRDefault="002F2B8B" w:rsidP="00574D2E">
            <w:pPr>
              <w:jc w:val="center"/>
              <w:rPr>
                <w:rFonts w:asciiTheme="minorHAnsi" w:hAnsiTheme="minorHAnsi" w:cs="Calibri"/>
                <w:color w:val="000000"/>
                <w:sz w:val="22"/>
                <w:szCs w:val="22"/>
                <w:lang w:val="en-IN" w:eastAsia="en-IN"/>
              </w:rPr>
            </w:pPr>
            <w:r w:rsidRPr="00675DC2">
              <w:rPr>
                <w:rFonts w:asciiTheme="minorHAnsi" w:hAnsiTheme="minorHAnsi" w:cs="Calibri"/>
                <w:color w:val="000000"/>
                <w:sz w:val="22"/>
                <w:szCs w:val="22"/>
                <w:lang w:val="en-IN" w:eastAsia="en-IN"/>
              </w:rPr>
              <w:t>12.59</w:t>
            </w:r>
          </w:p>
        </w:tc>
        <w:tc>
          <w:tcPr>
            <w:tcW w:w="1448" w:type="dxa"/>
            <w:tcBorders>
              <w:top w:val="nil"/>
              <w:left w:val="nil"/>
              <w:bottom w:val="single" w:sz="4" w:space="0" w:color="auto"/>
              <w:right w:val="single" w:sz="4" w:space="0" w:color="auto"/>
            </w:tcBorders>
            <w:shd w:val="clear" w:color="auto" w:fill="auto"/>
            <w:noWrap/>
            <w:vAlign w:val="center"/>
            <w:hideMark/>
          </w:tcPr>
          <w:p w14:paraId="05B734BC" w14:textId="77777777" w:rsidR="002F2B8B" w:rsidRPr="00675DC2" w:rsidRDefault="002F2B8B" w:rsidP="00574D2E">
            <w:pPr>
              <w:jc w:val="center"/>
              <w:rPr>
                <w:rFonts w:asciiTheme="minorHAnsi" w:hAnsiTheme="minorHAnsi" w:cs="Calibri"/>
                <w:color w:val="000000"/>
                <w:sz w:val="22"/>
                <w:szCs w:val="22"/>
                <w:lang w:val="en-IN" w:eastAsia="en-IN"/>
              </w:rPr>
            </w:pPr>
            <w:r w:rsidRPr="00675DC2">
              <w:rPr>
                <w:rFonts w:asciiTheme="minorHAnsi" w:hAnsiTheme="minorHAnsi" w:cs="Calibri"/>
                <w:color w:val="000000"/>
                <w:sz w:val="22"/>
                <w:szCs w:val="22"/>
                <w:lang w:val="en-IN" w:eastAsia="en-IN"/>
              </w:rPr>
              <w:t>23.64</w:t>
            </w:r>
          </w:p>
        </w:tc>
        <w:tc>
          <w:tcPr>
            <w:tcW w:w="1442" w:type="dxa"/>
            <w:tcBorders>
              <w:top w:val="nil"/>
              <w:left w:val="nil"/>
              <w:bottom w:val="single" w:sz="4" w:space="0" w:color="auto"/>
              <w:right w:val="single" w:sz="4" w:space="0" w:color="auto"/>
            </w:tcBorders>
            <w:shd w:val="clear" w:color="auto" w:fill="auto"/>
            <w:noWrap/>
            <w:vAlign w:val="center"/>
            <w:hideMark/>
          </w:tcPr>
          <w:p w14:paraId="606EBB74" w14:textId="77777777" w:rsidR="002F2B8B" w:rsidRPr="00675DC2" w:rsidRDefault="002F2B8B" w:rsidP="00574D2E">
            <w:pPr>
              <w:jc w:val="center"/>
              <w:rPr>
                <w:rFonts w:asciiTheme="minorHAnsi" w:hAnsiTheme="minorHAnsi" w:cs="Calibri"/>
                <w:color w:val="000000"/>
                <w:sz w:val="22"/>
                <w:szCs w:val="22"/>
                <w:lang w:val="en-IN" w:eastAsia="en-IN"/>
              </w:rPr>
            </w:pPr>
            <w:r w:rsidRPr="00675DC2">
              <w:rPr>
                <w:rFonts w:asciiTheme="minorHAnsi" w:hAnsiTheme="minorHAnsi" w:cs="Calibri"/>
                <w:color w:val="000000"/>
                <w:sz w:val="22"/>
                <w:szCs w:val="22"/>
                <w:lang w:val="en-IN" w:eastAsia="en-IN"/>
              </w:rPr>
              <w:t>28.35</w:t>
            </w:r>
          </w:p>
        </w:tc>
      </w:tr>
      <w:tr w:rsidR="002F2B8B" w:rsidRPr="00B90D5E" w14:paraId="7AA7C1B8" w14:textId="77777777" w:rsidTr="00675DC2">
        <w:trPr>
          <w:trHeight w:val="303"/>
        </w:trPr>
        <w:tc>
          <w:tcPr>
            <w:tcW w:w="564" w:type="dxa"/>
            <w:tcBorders>
              <w:top w:val="nil"/>
              <w:left w:val="single" w:sz="4" w:space="0" w:color="auto"/>
              <w:bottom w:val="single" w:sz="4" w:space="0" w:color="auto"/>
              <w:right w:val="single" w:sz="4" w:space="0" w:color="auto"/>
            </w:tcBorders>
            <w:shd w:val="clear" w:color="auto" w:fill="auto"/>
            <w:noWrap/>
            <w:vAlign w:val="center"/>
            <w:hideMark/>
          </w:tcPr>
          <w:p w14:paraId="71878778" w14:textId="77777777" w:rsidR="002F2B8B" w:rsidRPr="00675DC2" w:rsidRDefault="002F2B8B" w:rsidP="00574D2E">
            <w:pPr>
              <w:jc w:val="center"/>
              <w:rPr>
                <w:rFonts w:asciiTheme="minorHAnsi" w:hAnsiTheme="minorHAnsi" w:cs="Arial"/>
                <w:sz w:val="22"/>
                <w:szCs w:val="22"/>
                <w:lang w:val="en-IN" w:eastAsia="en-IN"/>
              </w:rPr>
            </w:pPr>
            <w:r w:rsidRPr="00675DC2">
              <w:rPr>
                <w:rFonts w:asciiTheme="minorHAnsi" w:hAnsiTheme="minorHAnsi" w:cs="Arial"/>
                <w:sz w:val="22"/>
                <w:szCs w:val="22"/>
                <w:lang w:val="en-IN" w:eastAsia="en-IN"/>
              </w:rPr>
              <w:t>4</w:t>
            </w:r>
          </w:p>
        </w:tc>
        <w:tc>
          <w:tcPr>
            <w:tcW w:w="3261" w:type="dxa"/>
            <w:tcBorders>
              <w:top w:val="nil"/>
              <w:left w:val="nil"/>
              <w:bottom w:val="single" w:sz="4" w:space="0" w:color="auto"/>
              <w:right w:val="single" w:sz="4" w:space="0" w:color="auto"/>
            </w:tcBorders>
            <w:shd w:val="clear" w:color="auto" w:fill="auto"/>
            <w:noWrap/>
            <w:vAlign w:val="center"/>
            <w:hideMark/>
          </w:tcPr>
          <w:p w14:paraId="7764F7F5" w14:textId="77777777" w:rsidR="002F2B8B" w:rsidRPr="00675DC2" w:rsidRDefault="002F2B8B" w:rsidP="00574D2E">
            <w:pPr>
              <w:rPr>
                <w:rFonts w:asciiTheme="minorHAnsi" w:hAnsiTheme="minorHAnsi" w:cs="Arial"/>
                <w:sz w:val="22"/>
                <w:szCs w:val="22"/>
                <w:lang w:val="en-IN" w:eastAsia="en-IN"/>
              </w:rPr>
            </w:pPr>
            <w:r w:rsidRPr="00675DC2">
              <w:rPr>
                <w:rFonts w:asciiTheme="minorHAnsi" w:hAnsiTheme="minorHAnsi" w:cs="Arial"/>
                <w:sz w:val="22"/>
                <w:szCs w:val="22"/>
                <w:lang w:val="en-IN" w:eastAsia="en-IN"/>
              </w:rPr>
              <w:t xml:space="preserve">Allied </w:t>
            </w:r>
            <w:proofErr w:type="spellStart"/>
            <w:r w:rsidRPr="00675DC2">
              <w:rPr>
                <w:rFonts w:asciiTheme="minorHAnsi" w:hAnsiTheme="minorHAnsi" w:cs="Arial"/>
                <w:sz w:val="22"/>
                <w:szCs w:val="22"/>
                <w:lang w:val="en-IN" w:eastAsia="en-IN"/>
              </w:rPr>
              <w:t>Agro</w:t>
            </w:r>
            <w:proofErr w:type="spellEnd"/>
            <w:r w:rsidRPr="00675DC2">
              <w:rPr>
                <w:rFonts w:asciiTheme="minorHAnsi" w:hAnsiTheme="minorHAnsi" w:cs="Arial"/>
                <w:sz w:val="22"/>
                <w:szCs w:val="22"/>
                <w:lang w:val="en-IN" w:eastAsia="en-IN"/>
              </w:rPr>
              <w:t>-Industrial Activities</w:t>
            </w:r>
          </w:p>
        </w:tc>
        <w:tc>
          <w:tcPr>
            <w:tcW w:w="1275" w:type="dxa"/>
            <w:tcBorders>
              <w:top w:val="nil"/>
              <w:left w:val="nil"/>
              <w:bottom w:val="single" w:sz="4" w:space="0" w:color="auto"/>
              <w:right w:val="single" w:sz="4" w:space="0" w:color="auto"/>
            </w:tcBorders>
            <w:shd w:val="clear" w:color="auto" w:fill="auto"/>
            <w:noWrap/>
            <w:vAlign w:val="center"/>
            <w:hideMark/>
          </w:tcPr>
          <w:p w14:paraId="77896B76" w14:textId="77777777" w:rsidR="002F2B8B" w:rsidRPr="00675DC2" w:rsidRDefault="002F2B8B" w:rsidP="00574D2E">
            <w:pPr>
              <w:jc w:val="center"/>
              <w:rPr>
                <w:rFonts w:asciiTheme="minorHAnsi" w:hAnsiTheme="minorHAnsi" w:cs="Calibri"/>
                <w:color w:val="000000"/>
                <w:sz w:val="22"/>
                <w:szCs w:val="22"/>
                <w:lang w:val="en-IN" w:eastAsia="en-IN"/>
              </w:rPr>
            </w:pPr>
            <w:r w:rsidRPr="00675DC2">
              <w:rPr>
                <w:rFonts w:asciiTheme="minorHAnsi" w:hAnsiTheme="minorHAnsi" w:cs="Calibri"/>
                <w:color w:val="000000"/>
                <w:sz w:val="22"/>
                <w:szCs w:val="22"/>
                <w:lang w:val="en-IN" w:eastAsia="en-IN"/>
              </w:rPr>
              <w:t>38.74</w:t>
            </w:r>
          </w:p>
        </w:tc>
        <w:tc>
          <w:tcPr>
            <w:tcW w:w="1705" w:type="dxa"/>
            <w:tcBorders>
              <w:top w:val="nil"/>
              <w:left w:val="nil"/>
              <w:bottom w:val="single" w:sz="4" w:space="0" w:color="auto"/>
              <w:right w:val="single" w:sz="4" w:space="0" w:color="auto"/>
            </w:tcBorders>
            <w:shd w:val="clear" w:color="auto" w:fill="auto"/>
            <w:noWrap/>
            <w:vAlign w:val="center"/>
            <w:hideMark/>
          </w:tcPr>
          <w:p w14:paraId="6DEC78A3" w14:textId="77777777" w:rsidR="002F2B8B" w:rsidRPr="00675DC2" w:rsidRDefault="002F2B8B" w:rsidP="00574D2E">
            <w:pPr>
              <w:jc w:val="center"/>
              <w:rPr>
                <w:rFonts w:asciiTheme="minorHAnsi" w:hAnsiTheme="minorHAnsi" w:cs="Calibri"/>
                <w:color w:val="000000"/>
                <w:sz w:val="22"/>
                <w:szCs w:val="22"/>
                <w:lang w:val="en-IN" w:eastAsia="en-IN"/>
              </w:rPr>
            </w:pPr>
            <w:r w:rsidRPr="00675DC2">
              <w:rPr>
                <w:rFonts w:asciiTheme="minorHAnsi" w:hAnsiTheme="minorHAnsi" w:cs="Calibri"/>
                <w:color w:val="000000"/>
                <w:sz w:val="22"/>
                <w:szCs w:val="22"/>
                <w:lang w:val="en-IN" w:eastAsia="en-IN"/>
              </w:rPr>
              <w:t>24.72</w:t>
            </w:r>
          </w:p>
        </w:tc>
        <w:tc>
          <w:tcPr>
            <w:tcW w:w="1448" w:type="dxa"/>
            <w:tcBorders>
              <w:top w:val="nil"/>
              <w:left w:val="nil"/>
              <w:bottom w:val="single" w:sz="4" w:space="0" w:color="auto"/>
              <w:right w:val="single" w:sz="4" w:space="0" w:color="auto"/>
            </w:tcBorders>
            <w:shd w:val="clear" w:color="auto" w:fill="auto"/>
            <w:noWrap/>
            <w:vAlign w:val="center"/>
            <w:hideMark/>
          </w:tcPr>
          <w:p w14:paraId="23DCFF46" w14:textId="77777777" w:rsidR="002F2B8B" w:rsidRPr="00675DC2" w:rsidRDefault="002F2B8B" w:rsidP="00574D2E">
            <w:pPr>
              <w:jc w:val="center"/>
              <w:rPr>
                <w:rFonts w:asciiTheme="minorHAnsi" w:hAnsiTheme="minorHAnsi" w:cs="Calibri"/>
                <w:color w:val="000000"/>
                <w:sz w:val="22"/>
                <w:szCs w:val="22"/>
                <w:lang w:val="en-IN" w:eastAsia="en-IN"/>
              </w:rPr>
            </w:pPr>
            <w:r w:rsidRPr="00675DC2">
              <w:rPr>
                <w:rFonts w:asciiTheme="minorHAnsi" w:hAnsiTheme="minorHAnsi" w:cs="Calibri"/>
                <w:color w:val="000000"/>
                <w:sz w:val="22"/>
                <w:szCs w:val="22"/>
                <w:lang w:val="en-IN" w:eastAsia="en-IN"/>
              </w:rPr>
              <w:t>47.76</w:t>
            </w:r>
          </w:p>
        </w:tc>
        <w:tc>
          <w:tcPr>
            <w:tcW w:w="1442" w:type="dxa"/>
            <w:tcBorders>
              <w:top w:val="nil"/>
              <w:left w:val="nil"/>
              <w:bottom w:val="single" w:sz="4" w:space="0" w:color="auto"/>
              <w:right w:val="single" w:sz="4" w:space="0" w:color="auto"/>
            </w:tcBorders>
            <w:shd w:val="clear" w:color="auto" w:fill="auto"/>
            <w:noWrap/>
            <w:vAlign w:val="center"/>
            <w:hideMark/>
          </w:tcPr>
          <w:p w14:paraId="7039F638" w14:textId="77777777" w:rsidR="002F2B8B" w:rsidRPr="00675DC2" w:rsidRDefault="002F2B8B" w:rsidP="00574D2E">
            <w:pPr>
              <w:jc w:val="center"/>
              <w:rPr>
                <w:rFonts w:asciiTheme="minorHAnsi" w:hAnsiTheme="minorHAnsi" w:cs="Calibri"/>
                <w:color w:val="000000"/>
                <w:sz w:val="22"/>
                <w:szCs w:val="22"/>
                <w:lang w:val="en-IN" w:eastAsia="en-IN"/>
              </w:rPr>
            </w:pPr>
            <w:r w:rsidRPr="00675DC2">
              <w:rPr>
                <w:rFonts w:asciiTheme="minorHAnsi" w:hAnsiTheme="minorHAnsi" w:cs="Calibri"/>
                <w:color w:val="000000"/>
                <w:sz w:val="22"/>
                <w:szCs w:val="22"/>
                <w:lang w:val="en-IN" w:eastAsia="en-IN"/>
              </w:rPr>
              <w:t>53.72</w:t>
            </w:r>
          </w:p>
        </w:tc>
      </w:tr>
      <w:tr w:rsidR="002F2B8B" w:rsidRPr="00B90D5E" w14:paraId="6F762BA4" w14:textId="77777777" w:rsidTr="00675DC2">
        <w:trPr>
          <w:trHeight w:val="303"/>
        </w:trPr>
        <w:tc>
          <w:tcPr>
            <w:tcW w:w="564" w:type="dxa"/>
            <w:tcBorders>
              <w:top w:val="nil"/>
              <w:left w:val="single" w:sz="4" w:space="0" w:color="auto"/>
              <w:bottom w:val="single" w:sz="4" w:space="0" w:color="auto"/>
              <w:right w:val="single" w:sz="4" w:space="0" w:color="auto"/>
            </w:tcBorders>
            <w:shd w:val="clear" w:color="auto" w:fill="auto"/>
            <w:noWrap/>
            <w:vAlign w:val="center"/>
            <w:hideMark/>
          </w:tcPr>
          <w:p w14:paraId="10BFA7F5" w14:textId="77777777" w:rsidR="002F2B8B" w:rsidRPr="00675DC2" w:rsidRDefault="002F2B8B" w:rsidP="00574D2E">
            <w:pPr>
              <w:jc w:val="center"/>
              <w:rPr>
                <w:rFonts w:asciiTheme="minorHAnsi" w:hAnsiTheme="minorHAnsi" w:cs="Arial"/>
                <w:sz w:val="22"/>
                <w:szCs w:val="22"/>
                <w:lang w:val="en-IN" w:eastAsia="en-IN"/>
              </w:rPr>
            </w:pPr>
            <w:r w:rsidRPr="00675DC2">
              <w:rPr>
                <w:rFonts w:asciiTheme="minorHAnsi" w:hAnsiTheme="minorHAnsi" w:cs="Arial"/>
                <w:sz w:val="22"/>
                <w:szCs w:val="22"/>
                <w:lang w:val="en-IN" w:eastAsia="en-IN"/>
              </w:rPr>
              <w:t>5</w:t>
            </w:r>
          </w:p>
        </w:tc>
        <w:tc>
          <w:tcPr>
            <w:tcW w:w="3261" w:type="dxa"/>
            <w:tcBorders>
              <w:top w:val="nil"/>
              <w:left w:val="nil"/>
              <w:bottom w:val="single" w:sz="4" w:space="0" w:color="auto"/>
              <w:right w:val="single" w:sz="4" w:space="0" w:color="auto"/>
            </w:tcBorders>
            <w:shd w:val="clear" w:color="auto" w:fill="auto"/>
            <w:noWrap/>
            <w:vAlign w:val="center"/>
            <w:hideMark/>
          </w:tcPr>
          <w:p w14:paraId="239B1C13" w14:textId="77777777" w:rsidR="002F2B8B" w:rsidRPr="00675DC2" w:rsidRDefault="002F2B8B" w:rsidP="00574D2E">
            <w:pPr>
              <w:rPr>
                <w:rFonts w:asciiTheme="minorHAnsi" w:hAnsiTheme="minorHAnsi" w:cs="Arial"/>
                <w:sz w:val="22"/>
                <w:szCs w:val="22"/>
                <w:lang w:val="en-IN" w:eastAsia="en-IN"/>
              </w:rPr>
            </w:pPr>
            <w:proofErr w:type="spellStart"/>
            <w:r w:rsidRPr="00675DC2">
              <w:rPr>
                <w:rFonts w:asciiTheme="minorHAnsi" w:hAnsiTheme="minorHAnsi" w:cs="Arial"/>
                <w:sz w:val="22"/>
                <w:szCs w:val="22"/>
                <w:lang w:val="en-IN" w:eastAsia="en-IN"/>
              </w:rPr>
              <w:t>Specfied</w:t>
            </w:r>
            <w:proofErr w:type="spellEnd"/>
            <w:r w:rsidRPr="00675DC2">
              <w:rPr>
                <w:rFonts w:asciiTheme="minorHAnsi" w:hAnsiTheme="minorHAnsi" w:cs="Arial"/>
                <w:sz w:val="22"/>
                <w:szCs w:val="22"/>
                <w:lang w:val="en-IN" w:eastAsia="en-IN"/>
              </w:rPr>
              <w:t xml:space="preserve"> Public Purpose</w:t>
            </w:r>
          </w:p>
        </w:tc>
        <w:tc>
          <w:tcPr>
            <w:tcW w:w="1275" w:type="dxa"/>
            <w:tcBorders>
              <w:top w:val="nil"/>
              <w:left w:val="nil"/>
              <w:bottom w:val="single" w:sz="4" w:space="0" w:color="auto"/>
              <w:right w:val="single" w:sz="4" w:space="0" w:color="auto"/>
            </w:tcBorders>
            <w:shd w:val="clear" w:color="auto" w:fill="auto"/>
            <w:noWrap/>
            <w:vAlign w:val="center"/>
            <w:hideMark/>
          </w:tcPr>
          <w:p w14:paraId="1090D5FA" w14:textId="77777777" w:rsidR="002F2B8B" w:rsidRPr="00675DC2" w:rsidRDefault="002F2B8B" w:rsidP="00574D2E">
            <w:pPr>
              <w:jc w:val="center"/>
              <w:rPr>
                <w:rFonts w:asciiTheme="minorHAnsi" w:hAnsiTheme="minorHAnsi" w:cs="Calibri"/>
                <w:color w:val="000000"/>
                <w:sz w:val="22"/>
                <w:szCs w:val="22"/>
                <w:lang w:val="en-IN" w:eastAsia="en-IN"/>
              </w:rPr>
            </w:pPr>
            <w:r w:rsidRPr="00675DC2">
              <w:rPr>
                <w:rFonts w:asciiTheme="minorHAnsi" w:hAnsiTheme="minorHAnsi" w:cs="Calibri"/>
                <w:color w:val="000000"/>
                <w:sz w:val="22"/>
                <w:szCs w:val="22"/>
                <w:lang w:val="en-IN" w:eastAsia="en-IN"/>
              </w:rPr>
              <w:t>15.75</w:t>
            </w:r>
          </w:p>
        </w:tc>
        <w:tc>
          <w:tcPr>
            <w:tcW w:w="1705" w:type="dxa"/>
            <w:tcBorders>
              <w:top w:val="nil"/>
              <w:left w:val="nil"/>
              <w:bottom w:val="single" w:sz="4" w:space="0" w:color="auto"/>
              <w:right w:val="single" w:sz="4" w:space="0" w:color="auto"/>
            </w:tcBorders>
            <w:shd w:val="clear" w:color="auto" w:fill="auto"/>
            <w:noWrap/>
            <w:vAlign w:val="center"/>
            <w:hideMark/>
          </w:tcPr>
          <w:p w14:paraId="1F6D9FD4" w14:textId="77777777" w:rsidR="002F2B8B" w:rsidRPr="00675DC2" w:rsidRDefault="002F2B8B" w:rsidP="00574D2E">
            <w:pPr>
              <w:jc w:val="center"/>
              <w:rPr>
                <w:rFonts w:asciiTheme="minorHAnsi" w:hAnsiTheme="minorHAnsi" w:cs="Calibri"/>
                <w:color w:val="000000"/>
                <w:sz w:val="22"/>
                <w:szCs w:val="22"/>
                <w:lang w:val="en-IN" w:eastAsia="en-IN"/>
              </w:rPr>
            </w:pPr>
            <w:r w:rsidRPr="00675DC2">
              <w:rPr>
                <w:rFonts w:asciiTheme="minorHAnsi" w:hAnsiTheme="minorHAnsi" w:cs="Calibri"/>
                <w:color w:val="000000"/>
                <w:sz w:val="22"/>
                <w:szCs w:val="22"/>
                <w:lang w:val="en-IN" w:eastAsia="en-IN"/>
              </w:rPr>
              <w:t>12.12</w:t>
            </w:r>
          </w:p>
        </w:tc>
        <w:tc>
          <w:tcPr>
            <w:tcW w:w="1448" w:type="dxa"/>
            <w:tcBorders>
              <w:top w:val="nil"/>
              <w:left w:val="nil"/>
              <w:bottom w:val="single" w:sz="4" w:space="0" w:color="auto"/>
              <w:right w:val="single" w:sz="4" w:space="0" w:color="auto"/>
            </w:tcBorders>
            <w:shd w:val="clear" w:color="auto" w:fill="auto"/>
            <w:noWrap/>
            <w:vAlign w:val="center"/>
            <w:hideMark/>
          </w:tcPr>
          <w:p w14:paraId="4B9950D8" w14:textId="77777777" w:rsidR="002F2B8B" w:rsidRPr="00675DC2" w:rsidRDefault="002F2B8B" w:rsidP="00574D2E">
            <w:pPr>
              <w:jc w:val="center"/>
              <w:rPr>
                <w:rFonts w:asciiTheme="minorHAnsi" w:hAnsiTheme="minorHAnsi" w:cs="Calibri"/>
                <w:color w:val="000000"/>
                <w:sz w:val="22"/>
                <w:szCs w:val="22"/>
                <w:lang w:val="en-IN" w:eastAsia="en-IN"/>
              </w:rPr>
            </w:pPr>
            <w:r w:rsidRPr="00675DC2">
              <w:rPr>
                <w:rFonts w:asciiTheme="minorHAnsi" w:hAnsiTheme="minorHAnsi" w:cs="Calibri"/>
                <w:color w:val="000000"/>
                <w:sz w:val="22"/>
                <w:szCs w:val="22"/>
                <w:lang w:val="en-IN" w:eastAsia="en-IN"/>
              </w:rPr>
              <w:t>23.45</w:t>
            </w:r>
          </w:p>
        </w:tc>
        <w:tc>
          <w:tcPr>
            <w:tcW w:w="1442" w:type="dxa"/>
            <w:tcBorders>
              <w:top w:val="nil"/>
              <w:left w:val="nil"/>
              <w:bottom w:val="single" w:sz="4" w:space="0" w:color="auto"/>
              <w:right w:val="single" w:sz="4" w:space="0" w:color="auto"/>
            </w:tcBorders>
            <w:shd w:val="clear" w:color="auto" w:fill="auto"/>
            <w:noWrap/>
            <w:vAlign w:val="center"/>
            <w:hideMark/>
          </w:tcPr>
          <w:p w14:paraId="53BF5D96" w14:textId="77777777" w:rsidR="002F2B8B" w:rsidRPr="00675DC2" w:rsidRDefault="002F2B8B" w:rsidP="00574D2E">
            <w:pPr>
              <w:jc w:val="center"/>
              <w:rPr>
                <w:rFonts w:asciiTheme="minorHAnsi" w:hAnsiTheme="minorHAnsi" w:cs="Calibri"/>
                <w:color w:val="000000"/>
                <w:sz w:val="22"/>
                <w:szCs w:val="22"/>
                <w:lang w:val="en-IN" w:eastAsia="en-IN"/>
              </w:rPr>
            </w:pPr>
            <w:r w:rsidRPr="00675DC2">
              <w:rPr>
                <w:rFonts w:asciiTheme="minorHAnsi" w:hAnsiTheme="minorHAnsi" w:cs="Calibri"/>
                <w:color w:val="000000"/>
                <w:sz w:val="22"/>
                <w:szCs w:val="22"/>
                <w:lang w:val="en-IN" w:eastAsia="en-IN"/>
              </w:rPr>
              <w:t>31.03</w:t>
            </w:r>
          </w:p>
        </w:tc>
      </w:tr>
      <w:tr w:rsidR="002F2B8B" w:rsidRPr="00B90D5E" w14:paraId="0246179A" w14:textId="77777777" w:rsidTr="00675DC2">
        <w:trPr>
          <w:trHeight w:val="303"/>
        </w:trPr>
        <w:tc>
          <w:tcPr>
            <w:tcW w:w="564" w:type="dxa"/>
            <w:tcBorders>
              <w:top w:val="nil"/>
              <w:left w:val="single" w:sz="4" w:space="0" w:color="auto"/>
              <w:bottom w:val="single" w:sz="4" w:space="0" w:color="auto"/>
              <w:right w:val="single" w:sz="4" w:space="0" w:color="auto"/>
            </w:tcBorders>
            <w:shd w:val="clear" w:color="auto" w:fill="auto"/>
            <w:noWrap/>
            <w:vAlign w:val="center"/>
            <w:hideMark/>
          </w:tcPr>
          <w:p w14:paraId="23751EDA" w14:textId="77777777" w:rsidR="002F2B8B" w:rsidRPr="00675DC2" w:rsidRDefault="002F2B8B" w:rsidP="00574D2E">
            <w:pPr>
              <w:jc w:val="center"/>
              <w:rPr>
                <w:rFonts w:asciiTheme="minorHAnsi" w:hAnsiTheme="minorHAnsi" w:cs="Arial"/>
                <w:sz w:val="22"/>
                <w:szCs w:val="22"/>
                <w:lang w:val="en-IN" w:eastAsia="en-IN"/>
              </w:rPr>
            </w:pPr>
            <w:r w:rsidRPr="00675DC2">
              <w:rPr>
                <w:rFonts w:asciiTheme="minorHAnsi" w:hAnsiTheme="minorHAnsi" w:cs="Arial"/>
                <w:sz w:val="22"/>
                <w:szCs w:val="22"/>
                <w:lang w:val="en-IN" w:eastAsia="en-IN"/>
              </w:rPr>
              <w:t>6</w:t>
            </w:r>
          </w:p>
        </w:tc>
        <w:tc>
          <w:tcPr>
            <w:tcW w:w="3261" w:type="dxa"/>
            <w:tcBorders>
              <w:top w:val="nil"/>
              <w:left w:val="nil"/>
              <w:bottom w:val="single" w:sz="4" w:space="0" w:color="auto"/>
              <w:right w:val="single" w:sz="4" w:space="0" w:color="auto"/>
            </w:tcBorders>
            <w:shd w:val="clear" w:color="auto" w:fill="auto"/>
            <w:noWrap/>
            <w:vAlign w:val="center"/>
            <w:hideMark/>
          </w:tcPr>
          <w:p w14:paraId="5F2D56CD" w14:textId="77777777" w:rsidR="002F2B8B" w:rsidRPr="00675DC2" w:rsidRDefault="002F2B8B" w:rsidP="00574D2E">
            <w:pPr>
              <w:rPr>
                <w:rFonts w:asciiTheme="minorHAnsi" w:hAnsiTheme="minorHAnsi" w:cs="Arial"/>
                <w:sz w:val="22"/>
                <w:szCs w:val="22"/>
                <w:lang w:val="en-IN" w:eastAsia="en-IN"/>
              </w:rPr>
            </w:pPr>
            <w:r w:rsidRPr="00675DC2">
              <w:rPr>
                <w:rFonts w:asciiTheme="minorHAnsi" w:hAnsiTheme="minorHAnsi" w:cs="Arial"/>
                <w:sz w:val="22"/>
                <w:szCs w:val="22"/>
                <w:lang w:val="en-IN" w:eastAsia="en-IN"/>
              </w:rPr>
              <w:t>General Purpose &gt;=110KVA</w:t>
            </w:r>
          </w:p>
        </w:tc>
        <w:tc>
          <w:tcPr>
            <w:tcW w:w="1275" w:type="dxa"/>
            <w:tcBorders>
              <w:top w:val="nil"/>
              <w:left w:val="nil"/>
              <w:bottom w:val="single" w:sz="4" w:space="0" w:color="auto"/>
              <w:right w:val="single" w:sz="4" w:space="0" w:color="auto"/>
            </w:tcBorders>
            <w:shd w:val="clear" w:color="auto" w:fill="auto"/>
            <w:noWrap/>
            <w:vAlign w:val="center"/>
            <w:hideMark/>
          </w:tcPr>
          <w:p w14:paraId="6967ECDB" w14:textId="77777777" w:rsidR="002F2B8B" w:rsidRPr="00675DC2" w:rsidRDefault="002F2B8B" w:rsidP="00574D2E">
            <w:pPr>
              <w:jc w:val="center"/>
              <w:rPr>
                <w:rFonts w:asciiTheme="minorHAnsi" w:hAnsiTheme="minorHAnsi" w:cs="Calibri"/>
                <w:color w:val="000000"/>
                <w:sz w:val="22"/>
                <w:szCs w:val="22"/>
                <w:lang w:val="en-IN" w:eastAsia="en-IN"/>
              </w:rPr>
            </w:pPr>
            <w:r w:rsidRPr="00675DC2">
              <w:rPr>
                <w:rFonts w:asciiTheme="minorHAnsi" w:hAnsiTheme="minorHAnsi" w:cs="Calibri"/>
                <w:color w:val="000000"/>
                <w:sz w:val="22"/>
                <w:szCs w:val="22"/>
                <w:lang w:val="en-IN" w:eastAsia="en-IN"/>
              </w:rPr>
              <w:t>60.45</w:t>
            </w:r>
          </w:p>
        </w:tc>
        <w:tc>
          <w:tcPr>
            <w:tcW w:w="1705" w:type="dxa"/>
            <w:tcBorders>
              <w:top w:val="nil"/>
              <w:left w:val="nil"/>
              <w:bottom w:val="single" w:sz="4" w:space="0" w:color="auto"/>
              <w:right w:val="single" w:sz="4" w:space="0" w:color="auto"/>
            </w:tcBorders>
            <w:shd w:val="clear" w:color="auto" w:fill="auto"/>
            <w:noWrap/>
            <w:vAlign w:val="center"/>
            <w:hideMark/>
          </w:tcPr>
          <w:p w14:paraId="52F68D76" w14:textId="77777777" w:rsidR="002F2B8B" w:rsidRPr="00675DC2" w:rsidRDefault="002F2B8B" w:rsidP="00574D2E">
            <w:pPr>
              <w:jc w:val="center"/>
              <w:rPr>
                <w:rFonts w:asciiTheme="minorHAnsi" w:hAnsiTheme="minorHAnsi" w:cs="Calibri"/>
                <w:color w:val="000000"/>
                <w:sz w:val="22"/>
                <w:szCs w:val="22"/>
                <w:lang w:val="en-IN" w:eastAsia="en-IN"/>
              </w:rPr>
            </w:pPr>
            <w:r w:rsidRPr="00675DC2">
              <w:rPr>
                <w:rFonts w:asciiTheme="minorHAnsi" w:hAnsiTheme="minorHAnsi" w:cs="Calibri"/>
                <w:color w:val="000000"/>
                <w:sz w:val="22"/>
                <w:szCs w:val="22"/>
                <w:lang w:val="en-IN" w:eastAsia="en-IN"/>
              </w:rPr>
              <w:t>34.84</w:t>
            </w:r>
          </w:p>
        </w:tc>
        <w:tc>
          <w:tcPr>
            <w:tcW w:w="1448" w:type="dxa"/>
            <w:tcBorders>
              <w:top w:val="nil"/>
              <w:left w:val="nil"/>
              <w:bottom w:val="single" w:sz="4" w:space="0" w:color="auto"/>
              <w:right w:val="single" w:sz="4" w:space="0" w:color="auto"/>
            </w:tcBorders>
            <w:shd w:val="clear" w:color="auto" w:fill="auto"/>
            <w:noWrap/>
            <w:vAlign w:val="center"/>
            <w:hideMark/>
          </w:tcPr>
          <w:p w14:paraId="579DC407" w14:textId="77777777" w:rsidR="002F2B8B" w:rsidRPr="00675DC2" w:rsidRDefault="002F2B8B" w:rsidP="00574D2E">
            <w:pPr>
              <w:jc w:val="center"/>
              <w:rPr>
                <w:rFonts w:asciiTheme="minorHAnsi" w:hAnsiTheme="minorHAnsi" w:cs="Calibri"/>
                <w:color w:val="000000"/>
                <w:sz w:val="22"/>
                <w:szCs w:val="22"/>
                <w:lang w:val="en-IN" w:eastAsia="en-IN"/>
              </w:rPr>
            </w:pPr>
            <w:r w:rsidRPr="00675DC2">
              <w:rPr>
                <w:rFonts w:asciiTheme="minorHAnsi" w:hAnsiTheme="minorHAnsi" w:cs="Calibri"/>
                <w:color w:val="000000"/>
                <w:sz w:val="22"/>
                <w:szCs w:val="22"/>
                <w:lang w:val="en-IN" w:eastAsia="en-IN"/>
              </w:rPr>
              <w:t>66.74</w:t>
            </w:r>
          </w:p>
        </w:tc>
        <w:tc>
          <w:tcPr>
            <w:tcW w:w="1442" w:type="dxa"/>
            <w:tcBorders>
              <w:top w:val="nil"/>
              <w:left w:val="nil"/>
              <w:bottom w:val="single" w:sz="4" w:space="0" w:color="auto"/>
              <w:right w:val="single" w:sz="4" w:space="0" w:color="auto"/>
            </w:tcBorders>
            <w:shd w:val="clear" w:color="auto" w:fill="auto"/>
            <w:noWrap/>
            <w:vAlign w:val="center"/>
            <w:hideMark/>
          </w:tcPr>
          <w:p w14:paraId="5A762A6A" w14:textId="77777777" w:rsidR="002F2B8B" w:rsidRPr="00675DC2" w:rsidRDefault="002F2B8B" w:rsidP="00574D2E">
            <w:pPr>
              <w:jc w:val="center"/>
              <w:rPr>
                <w:rFonts w:asciiTheme="minorHAnsi" w:hAnsiTheme="minorHAnsi" w:cs="Calibri"/>
                <w:color w:val="000000"/>
                <w:sz w:val="22"/>
                <w:szCs w:val="22"/>
                <w:lang w:val="en-IN" w:eastAsia="en-IN"/>
              </w:rPr>
            </w:pPr>
            <w:r w:rsidRPr="00675DC2">
              <w:rPr>
                <w:rFonts w:asciiTheme="minorHAnsi" w:hAnsiTheme="minorHAnsi" w:cs="Calibri"/>
                <w:color w:val="000000"/>
                <w:sz w:val="22"/>
                <w:szCs w:val="22"/>
                <w:lang w:val="en-IN" w:eastAsia="en-IN"/>
              </w:rPr>
              <w:t>74.94</w:t>
            </w:r>
          </w:p>
        </w:tc>
      </w:tr>
      <w:tr w:rsidR="002F2B8B" w:rsidRPr="00B90D5E" w14:paraId="53306B13" w14:textId="77777777" w:rsidTr="00675DC2">
        <w:trPr>
          <w:trHeight w:val="303"/>
        </w:trPr>
        <w:tc>
          <w:tcPr>
            <w:tcW w:w="564" w:type="dxa"/>
            <w:tcBorders>
              <w:top w:val="nil"/>
              <w:left w:val="single" w:sz="4" w:space="0" w:color="auto"/>
              <w:bottom w:val="single" w:sz="4" w:space="0" w:color="auto"/>
              <w:right w:val="single" w:sz="4" w:space="0" w:color="auto"/>
            </w:tcBorders>
            <w:shd w:val="clear" w:color="auto" w:fill="auto"/>
            <w:noWrap/>
            <w:vAlign w:val="center"/>
            <w:hideMark/>
          </w:tcPr>
          <w:p w14:paraId="5604226C" w14:textId="77777777" w:rsidR="002F2B8B" w:rsidRPr="00675DC2" w:rsidRDefault="002F2B8B" w:rsidP="00574D2E">
            <w:pPr>
              <w:jc w:val="center"/>
              <w:rPr>
                <w:rFonts w:asciiTheme="minorHAnsi" w:hAnsiTheme="minorHAnsi" w:cs="Arial"/>
                <w:sz w:val="22"/>
                <w:szCs w:val="22"/>
                <w:lang w:val="en-IN" w:eastAsia="en-IN"/>
              </w:rPr>
            </w:pPr>
            <w:r w:rsidRPr="00675DC2">
              <w:rPr>
                <w:rFonts w:asciiTheme="minorHAnsi" w:hAnsiTheme="minorHAnsi" w:cs="Arial"/>
                <w:sz w:val="22"/>
                <w:szCs w:val="22"/>
                <w:lang w:val="en-IN" w:eastAsia="en-IN"/>
              </w:rPr>
              <w:t>7</w:t>
            </w:r>
          </w:p>
        </w:tc>
        <w:tc>
          <w:tcPr>
            <w:tcW w:w="3261" w:type="dxa"/>
            <w:tcBorders>
              <w:top w:val="nil"/>
              <w:left w:val="nil"/>
              <w:bottom w:val="single" w:sz="4" w:space="0" w:color="auto"/>
              <w:right w:val="single" w:sz="4" w:space="0" w:color="auto"/>
            </w:tcBorders>
            <w:shd w:val="clear" w:color="auto" w:fill="auto"/>
            <w:noWrap/>
            <w:vAlign w:val="center"/>
            <w:hideMark/>
          </w:tcPr>
          <w:p w14:paraId="77A95AE8" w14:textId="77777777" w:rsidR="002F2B8B" w:rsidRPr="00675DC2" w:rsidRDefault="002F2B8B" w:rsidP="00574D2E">
            <w:pPr>
              <w:rPr>
                <w:rFonts w:asciiTheme="minorHAnsi" w:hAnsiTheme="minorHAnsi" w:cs="Arial"/>
                <w:sz w:val="22"/>
                <w:szCs w:val="22"/>
                <w:lang w:val="en-IN" w:eastAsia="en-IN"/>
              </w:rPr>
            </w:pPr>
            <w:r w:rsidRPr="00675DC2">
              <w:rPr>
                <w:rFonts w:asciiTheme="minorHAnsi" w:hAnsiTheme="minorHAnsi" w:cs="Arial"/>
                <w:sz w:val="22"/>
                <w:szCs w:val="22"/>
                <w:lang w:val="en-IN" w:eastAsia="en-IN"/>
              </w:rPr>
              <w:t>Public Water Works</w:t>
            </w:r>
          </w:p>
        </w:tc>
        <w:tc>
          <w:tcPr>
            <w:tcW w:w="1275" w:type="dxa"/>
            <w:tcBorders>
              <w:top w:val="nil"/>
              <w:left w:val="nil"/>
              <w:bottom w:val="single" w:sz="4" w:space="0" w:color="auto"/>
              <w:right w:val="single" w:sz="4" w:space="0" w:color="auto"/>
            </w:tcBorders>
            <w:shd w:val="clear" w:color="auto" w:fill="auto"/>
            <w:noWrap/>
            <w:vAlign w:val="center"/>
            <w:hideMark/>
          </w:tcPr>
          <w:p w14:paraId="371166AD" w14:textId="77777777" w:rsidR="002F2B8B" w:rsidRPr="00675DC2" w:rsidRDefault="002F2B8B" w:rsidP="00574D2E">
            <w:pPr>
              <w:jc w:val="center"/>
              <w:rPr>
                <w:rFonts w:asciiTheme="minorHAnsi" w:hAnsiTheme="minorHAnsi" w:cs="Calibri"/>
                <w:color w:val="000000"/>
                <w:sz w:val="22"/>
                <w:szCs w:val="22"/>
                <w:lang w:val="en-IN" w:eastAsia="en-IN"/>
              </w:rPr>
            </w:pPr>
            <w:r w:rsidRPr="00675DC2">
              <w:rPr>
                <w:rFonts w:asciiTheme="minorHAnsi" w:hAnsiTheme="minorHAnsi" w:cs="Calibri"/>
                <w:color w:val="000000"/>
                <w:sz w:val="22"/>
                <w:szCs w:val="22"/>
                <w:lang w:val="en-IN" w:eastAsia="en-IN"/>
              </w:rPr>
              <w:t>16.12</w:t>
            </w:r>
          </w:p>
        </w:tc>
        <w:tc>
          <w:tcPr>
            <w:tcW w:w="1705" w:type="dxa"/>
            <w:tcBorders>
              <w:top w:val="nil"/>
              <w:left w:val="nil"/>
              <w:bottom w:val="single" w:sz="4" w:space="0" w:color="auto"/>
              <w:right w:val="single" w:sz="4" w:space="0" w:color="auto"/>
            </w:tcBorders>
            <w:shd w:val="clear" w:color="auto" w:fill="auto"/>
            <w:noWrap/>
            <w:vAlign w:val="center"/>
            <w:hideMark/>
          </w:tcPr>
          <w:p w14:paraId="319CC002" w14:textId="77777777" w:rsidR="002F2B8B" w:rsidRPr="00675DC2" w:rsidRDefault="002F2B8B" w:rsidP="00574D2E">
            <w:pPr>
              <w:jc w:val="center"/>
              <w:rPr>
                <w:rFonts w:asciiTheme="minorHAnsi" w:hAnsiTheme="minorHAnsi" w:cs="Calibri"/>
                <w:color w:val="000000"/>
                <w:sz w:val="22"/>
                <w:szCs w:val="22"/>
                <w:lang w:val="en-IN" w:eastAsia="en-IN"/>
              </w:rPr>
            </w:pPr>
            <w:r w:rsidRPr="00675DC2">
              <w:rPr>
                <w:rFonts w:asciiTheme="minorHAnsi" w:hAnsiTheme="minorHAnsi" w:cs="Calibri"/>
                <w:color w:val="000000"/>
                <w:sz w:val="22"/>
                <w:szCs w:val="22"/>
                <w:lang w:val="en-IN" w:eastAsia="en-IN"/>
              </w:rPr>
              <w:t>13.89</w:t>
            </w:r>
          </w:p>
        </w:tc>
        <w:tc>
          <w:tcPr>
            <w:tcW w:w="1448" w:type="dxa"/>
            <w:tcBorders>
              <w:top w:val="nil"/>
              <w:left w:val="nil"/>
              <w:bottom w:val="single" w:sz="4" w:space="0" w:color="auto"/>
              <w:right w:val="single" w:sz="4" w:space="0" w:color="auto"/>
            </w:tcBorders>
            <w:shd w:val="clear" w:color="auto" w:fill="auto"/>
            <w:noWrap/>
            <w:vAlign w:val="center"/>
            <w:hideMark/>
          </w:tcPr>
          <w:p w14:paraId="657ED94D" w14:textId="77777777" w:rsidR="002F2B8B" w:rsidRPr="00675DC2" w:rsidRDefault="002F2B8B" w:rsidP="00574D2E">
            <w:pPr>
              <w:jc w:val="center"/>
              <w:rPr>
                <w:rFonts w:asciiTheme="minorHAnsi" w:hAnsiTheme="minorHAnsi" w:cs="Calibri"/>
                <w:color w:val="000000"/>
                <w:sz w:val="22"/>
                <w:szCs w:val="22"/>
                <w:lang w:val="en-IN" w:eastAsia="en-IN"/>
              </w:rPr>
            </w:pPr>
            <w:r w:rsidRPr="00675DC2">
              <w:rPr>
                <w:rFonts w:asciiTheme="minorHAnsi" w:hAnsiTheme="minorHAnsi" w:cs="Calibri"/>
                <w:color w:val="000000"/>
                <w:sz w:val="22"/>
                <w:szCs w:val="22"/>
                <w:lang w:val="en-IN" w:eastAsia="en-IN"/>
              </w:rPr>
              <w:t>28.85</w:t>
            </w:r>
          </w:p>
        </w:tc>
        <w:tc>
          <w:tcPr>
            <w:tcW w:w="1442" w:type="dxa"/>
            <w:tcBorders>
              <w:top w:val="nil"/>
              <w:left w:val="nil"/>
              <w:bottom w:val="single" w:sz="4" w:space="0" w:color="auto"/>
              <w:right w:val="single" w:sz="4" w:space="0" w:color="auto"/>
            </w:tcBorders>
            <w:shd w:val="clear" w:color="auto" w:fill="auto"/>
            <w:noWrap/>
            <w:vAlign w:val="center"/>
            <w:hideMark/>
          </w:tcPr>
          <w:p w14:paraId="4E63513D" w14:textId="77777777" w:rsidR="002F2B8B" w:rsidRPr="00675DC2" w:rsidRDefault="002F2B8B" w:rsidP="00574D2E">
            <w:pPr>
              <w:jc w:val="center"/>
              <w:rPr>
                <w:rFonts w:asciiTheme="minorHAnsi" w:hAnsiTheme="minorHAnsi" w:cs="Calibri"/>
                <w:color w:val="000000"/>
                <w:sz w:val="22"/>
                <w:szCs w:val="22"/>
                <w:lang w:val="en-IN" w:eastAsia="en-IN"/>
              </w:rPr>
            </w:pPr>
            <w:r w:rsidRPr="00675DC2">
              <w:rPr>
                <w:rFonts w:asciiTheme="minorHAnsi" w:hAnsiTheme="minorHAnsi" w:cs="Calibri"/>
                <w:color w:val="000000"/>
                <w:sz w:val="22"/>
                <w:szCs w:val="22"/>
                <w:lang w:val="en-IN" w:eastAsia="en-IN"/>
              </w:rPr>
              <w:t>35.22</w:t>
            </w:r>
          </w:p>
        </w:tc>
      </w:tr>
      <w:tr w:rsidR="002F2B8B" w:rsidRPr="00B90D5E" w14:paraId="69008146" w14:textId="77777777" w:rsidTr="00675DC2">
        <w:trPr>
          <w:trHeight w:val="303"/>
        </w:trPr>
        <w:tc>
          <w:tcPr>
            <w:tcW w:w="564" w:type="dxa"/>
            <w:tcBorders>
              <w:top w:val="nil"/>
              <w:left w:val="single" w:sz="4" w:space="0" w:color="auto"/>
              <w:bottom w:val="single" w:sz="4" w:space="0" w:color="auto"/>
              <w:right w:val="single" w:sz="4" w:space="0" w:color="auto"/>
            </w:tcBorders>
            <w:shd w:val="clear" w:color="auto" w:fill="auto"/>
            <w:noWrap/>
            <w:vAlign w:val="center"/>
            <w:hideMark/>
          </w:tcPr>
          <w:p w14:paraId="0388908C" w14:textId="77777777" w:rsidR="002F2B8B" w:rsidRPr="00675DC2" w:rsidRDefault="002F2B8B" w:rsidP="00574D2E">
            <w:pPr>
              <w:jc w:val="center"/>
              <w:rPr>
                <w:rFonts w:asciiTheme="minorHAnsi" w:hAnsiTheme="minorHAnsi" w:cs="Arial"/>
                <w:sz w:val="22"/>
                <w:szCs w:val="22"/>
                <w:lang w:val="en-IN" w:eastAsia="en-IN"/>
              </w:rPr>
            </w:pPr>
            <w:r w:rsidRPr="00675DC2">
              <w:rPr>
                <w:rFonts w:asciiTheme="minorHAnsi" w:hAnsiTheme="minorHAnsi" w:cs="Arial"/>
                <w:sz w:val="22"/>
                <w:szCs w:val="22"/>
                <w:lang w:val="en-IN" w:eastAsia="en-IN"/>
              </w:rPr>
              <w:t>8</w:t>
            </w:r>
          </w:p>
        </w:tc>
        <w:tc>
          <w:tcPr>
            <w:tcW w:w="3261" w:type="dxa"/>
            <w:tcBorders>
              <w:top w:val="nil"/>
              <w:left w:val="nil"/>
              <w:bottom w:val="single" w:sz="4" w:space="0" w:color="auto"/>
              <w:right w:val="single" w:sz="4" w:space="0" w:color="auto"/>
            </w:tcBorders>
            <w:shd w:val="clear" w:color="auto" w:fill="auto"/>
            <w:noWrap/>
            <w:vAlign w:val="center"/>
            <w:hideMark/>
          </w:tcPr>
          <w:p w14:paraId="291DF9C4" w14:textId="77777777" w:rsidR="002F2B8B" w:rsidRPr="00675DC2" w:rsidRDefault="002F2B8B" w:rsidP="00574D2E">
            <w:pPr>
              <w:rPr>
                <w:rFonts w:asciiTheme="minorHAnsi" w:hAnsiTheme="minorHAnsi" w:cs="Arial"/>
                <w:sz w:val="22"/>
                <w:szCs w:val="22"/>
                <w:lang w:val="en-IN" w:eastAsia="en-IN"/>
              </w:rPr>
            </w:pPr>
            <w:r w:rsidRPr="00675DC2">
              <w:rPr>
                <w:rFonts w:asciiTheme="minorHAnsi" w:hAnsiTheme="minorHAnsi" w:cs="Arial"/>
                <w:sz w:val="22"/>
                <w:szCs w:val="22"/>
                <w:lang w:val="en-IN" w:eastAsia="en-IN"/>
              </w:rPr>
              <w:t>Large Industry</w:t>
            </w:r>
          </w:p>
        </w:tc>
        <w:tc>
          <w:tcPr>
            <w:tcW w:w="1275" w:type="dxa"/>
            <w:tcBorders>
              <w:top w:val="nil"/>
              <w:left w:val="nil"/>
              <w:bottom w:val="single" w:sz="4" w:space="0" w:color="auto"/>
              <w:right w:val="single" w:sz="4" w:space="0" w:color="auto"/>
            </w:tcBorders>
            <w:shd w:val="clear" w:color="auto" w:fill="auto"/>
            <w:noWrap/>
            <w:vAlign w:val="center"/>
            <w:hideMark/>
          </w:tcPr>
          <w:p w14:paraId="7E03A2CD" w14:textId="77777777" w:rsidR="002F2B8B" w:rsidRPr="00675DC2" w:rsidRDefault="002F2B8B" w:rsidP="00574D2E">
            <w:pPr>
              <w:jc w:val="center"/>
              <w:rPr>
                <w:rFonts w:asciiTheme="minorHAnsi" w:hAnsiTheme="minorHAnsi" w:cs="Calibri"/>
                <w:color w:val="000000"/>
                <w:sz w:val="22"/>
                <w:szCs w:val="22"/>
                <w:lang w:val="en-IN" w:eastAsia="en-IN"/>
              </w:rPr>
            </w:pPr>
            <w:r w:rsidRPr="00675DC2">
              <w:rPr>
                <w:rFonts w:asciiTheme="minorHAnsi" w:hAnsiTheme="minorHAnsi" w:cs="Calibri"/>
                <w:color w:val="000000"/>
                <w:sz w:val="22"/>
                <w:szCs w:val="22"/>
                <w:lang w:val="en-IN" w:eastAsia="en-IN"/>
              </w:rPr>
              <w:t>516.26</w:t>
            </w:r>
          </w:p>
        </w:tc>
        <w:tc>
          <w:tcPr>
            <w:tcW w:w="1705" w:type="dxa"/>
            <w:tcBorders>
              <w:top w:val="nil"/>
              <w:left w:val="nil"/>
              <w:bottom w:val="single" w:sz="4" w:space="0" w:color="auto"/>
              <w:right w:val="single" w:sz="4" w:space="0" w:color="auto"/>
            </w:tcBorders>
            <w:shd w:val="clear" w:color="auto" w:fill="auto"/>
            <w:noWrap/>
            <w:vAlign w:val="center"/>
            <w:hideMark/>
          </w:tcPr>
          <w:p w14:paraId="6C898110" w14:textId="77777777" w:rsidR="002F2B8B" w:rsidRPr="00675DC2" w:rsidRDefault="002F2B8B" w:rsidP="00574D2E">
            <w:pPr>
              <w:jc w:val="center"/>
              <w:rPr>
                <w:rFonts w:asciiTheme="minorHAnsi" w:hAnsiTheme="minorHAnsi" w:cs="Calibri"/>
                <w:color w:val="000000"/>
                <w:sz w:val="22"/>
                <w:szCs w:val="22"/>
                <w:lang w:val="en-IN" w:eastAsia="en-IN"/>
              </w:rPr>
            </w:pPr>
            <w:r w:rsidRPr="00675DC2">
              <w:rPr>
                <w:rFonts w:asciiTheme="minorHAnsi" w:hAnsiTheme="minorHAnsi" w:cs="Calibri"/>
                <w:color w:val="000000"/>
                <w:sz w:val="22"/>
                <w:szCs w:val="22"/>
                <w:lang w:val="en-IN" w:eastAsia="en-IN"/>
              </w:rPr>
              <w:t>307.78</w:t>
            </w:r>
          </w:p>
        </w:tc>
        <w:tc>
          <w:tcPr>
            <w:tcW w:w="1448" w:type="dxa"/>
            <w:tcBorders>
              <w:top w:val="nil"/>
              <w:left w:val="nil"/>
              <w:bottom w:val="single" w:sz="4" w:space="0" w:color="auto"/>
              <w:right w:val="single" w:sz="4" w:space="0" w:color="auto"/>
            </w:tcBorders>
            <w:shd w:val="clear" w:color="auto" w:fill="auto"/>
            <w:noWrap/>
            <w:vAlign w:val="center"/>
            <w:hideMark/>
          </w:tcPr>
          <w:p w14:paraId="722946E9" w14:textId="77777777" w:rsidR="002F2B8B" w:rsidRPr="00675DC2" w:rsidRDefault="002F2B8B" w:rsidP="00574D2E">
            <w:pPr>
              <w:jc w:val="center"/>
              <w:rPr>
                <w:rFonts w:asciiTheme="minorHAnsi" w:hAnsiTheme="minorHAnsi" w:cs="Calibri"/>
                <w:color w:val="000000"/>
                <w:sz w:val="22"/>
                <w:szCs w:val="22"/>
                <w:lang w:val="en-IN" w:eastAsia="en-IN"/>
              </w:rPr>
            </w:pPr>
            <w:r w:rsidRPr="00675DC2">
              <w:rPr>
                <w:rFonts w:asciiTheme="minorHAnsi" w:hAnsiTheme="minorHAnsi" w:cs="Calibri"/>
                <w:color w:val="000000"/>
                <w:sz w:val="22"/>
                <w:szCs w:val="22"/>
                <w:lang w:val="en-IN" w:eastAsia="en-IN"/>
              </w:rPr>
              <w:t>631.16</w:t>
            </w:r>
          </w:p>
        </w:tc>
        <w:tc>
          <w:tcPr>
            <w:tcW w:w="1442" w:type="dxa"/>
            <w:tcBorders>
              <w:top w:val="nil"/>
              <w:left w:val="nil"/>
              <w:bottom w:val="single" w:sz="4" w:space="0" w:color="auto"/>
              <w:right w:val="single" w:sz="4" w:space="0" w:color="auto"/>
            </w:tcBorders>
            <w:shd w:val="clear" w:color="auto" w:fill="auto"/>
            <w:noWrap/>
            <w:vAlign w:val="center"/>
            <w:hideMark/>
          </w:tcPr>
          <w:p w14:paraId="34923B7A" w14:textId="77777777" w:rsidR="002F2B8B" w:rsidRPr="00675DC2" w:rsidRDefault="002F2B8B" w:rsidP="00574D2E">
            <w:pPr>
              <w:jc w:val="center"/>
              <w:rPr>
                <w:rFonts w:asciiTheme="minorHAnsi" w:hAnsiTheme="minorHAnsi" w:cs="Calibri"/>
                <w:color w:val="000000"/>
                <w:sz w:val="22"/>
                <w:szCs w:val="22"/>
                <w:lang w:val="en-IN" w:eastAsia="en-IN"/>
              </w:rPr>
            </w:pPr>
            <w:r w:rsidRPr="00675DC2">
              <w:rPr>
                <w:rFonts w:asciiTheme="minorHAnsi" w:hAnsiTheme="minorHAnsi" w:cs="Calibri"/>
                <w:color w:val="000000"/>
                <w:sz w:val="22"/>
                <w:szCs w:val="22"/>
                <w:lang w:val="en-IN" w:eastAsia="en-IN"/>
              </w:rPr>
              <w:t>696.12</w:t>
            </w:r>
          </w:p>
        </w:tc>
      </w:tr>
      <w:tr w:rsidR="002F2B8B" w:rsidRPr="00B90D5E" w14:paraId="204C8913" w14:textId="77777777" w:rsidTr="00675DC2">
        <w:trPr>
          <w:trHeight w:val="303"/>
        </w:trPr>
        <w:tc>
          <w:tcPr>
            <w:tcW w:w="564" w:type="dxa"/>
            <w:tcBorders>
              <w:top w:val="nil"/>
              <w:left w:val="single" w:sz="4" w:space="0" w:color="auto"/>
              <w:bottom w:val="single" w:sz="4" w:space="0" w:color="auto"/>
              <w:right w:val="single" w:sz="4" w:space="0" w:color="auto"/>
            </w:tcBorders>
            <w:shd w:val="clear" w:color="auto" w:fill="auto"/>
            <w:noWrap/>
            <w:vAlign w:val="center"/>
            <w:hideMark/>
          </w:tcPr>
          <w:p w14:paraId="536C3EFC" w14:textId="77777777" w:rsidR="002F2B8B" w:rsidRPr="00675DC2" w:rsidRDefault="002F2B8B" w:rsidP="00574D2E">
            <w:pPr>
              <w:jc w:val="center"/>
              <w:rPr>
                <w:rFonts w:asciiTheme="minorHAnsi" w:hAnsiTheme="minorHAnsi" w:cs="Arial"/>
                <w:sz w:val="22"/>
                <w:szCs w:val="22"/>
                <w:lang w:val="en-IN" w:eastAsia="en-IN"/>
              </w:rPr>
            </w:pPr>
            <w:r w:rsidRPr="00675DC2">
              <w:rPr>
                <w:rFonts w:asciiTheme="minorHAnsi" w:hAnsiTheme="minorHAnsi" w:cs="Arial"/>
                <w:sz w:val="22"/>
                <w:szCs w:val="22"/>
                <w:lang w:val="en-IN" w:eastAsia="en-IN"/>
              </w:rPr>
              <w:t>9</w:t>
            </w:r>
          </w:p>
        </w:tc>
        <w:tc>
          <w:tcPr>
            <w:tcW w:w="3261" w:type="dxa"/>
            <w:tcBorders>
              <w:top w:val="nil"/>
              <w:left w:val="nil"/>
              <w:bottom w:val="single" w:sz="4" w:space="0" w:color="auto"/>
              <w:right w:val="single" w:sz="4" w:space="0" w:color="auto"/>
            </w:tcBorders>
            <w:shd w:val="clear" w:color="auto" w:fill="auto"/>
            <w:noWrap/>
            <w:vAlign w:val="center"/>
            <w:hideMark/>
          </w:tcPr>
          <w:p w14:paraId="7AB91A3E" w14:textId="77777777" w:rsidR="002F2B8B" w:rsidRPr="00675DC2" w:rsidRDefault="002F2B8B" w:rsidP="00574D2E">
            <w:pPr>
              <w:rPr>
                <w:rFonts w:asciiTheme="minorHAnsi" w:hAnsiTheme="minorHAnsi" w:cs="Arial"/>
                <w:sz w:val="22"/>
                <w:szCs w:val="22"/>
                <w:lang w:val="en-IN" w:eastAsia="en-IN"/>
              </w:rPr>
            </w:pPr>
            <w:r w:rsidRPr="00675DC2">
              <w:rPr>
                <w:rFonts w:asciiTheme="minorHAnsi" w:hAnsiTheme="minorHAnsi" w:cs="Arial"/>
                <w:sz w:val="22"/>
                <w:szCs w:val="22"/>
                <w:lang w:val="en-IN" w:eastAsia="en-IN"/>
              </w:rPr>
              <w:t>Power Intensive Industry</w:t>
            </w:r>
          </w:p>
        </w:tc>
        <w:tc>
          <w:tcPr>
            <w:tcW w:w="1275" w:type="dxa"/>
            <w:tcBorders>
              <w:top w:val="nil"/>
              <w:left w:val="nil"/>
              <w:bottom w:val="single" w:sz="4" w:space="0" w:color="auto"/>
              <w:right w:val="single" w:sz="4" w:space="0" w:color="auto"/>
            </w:tcBorders>
            <w:shd w:val="clear" w:color="auto" w:fill="auto"/>
            <w:noWrap/>
            <w:vAlign w:val="center"/>
            <w:hideMark/>
          </w:tcPr>
          <w:p w14:paraId="2A30AE6B" w14:textId="77777777" w:rsidR="002F2B8B" w:rsidRPr="00675DC2" w:rsidRDefault="002F2B8B" w:rsidP="00574D2E">
            <w:pPr>
              <w:jc w:val="center"/>
              <w:rPr>
                <w:rFonts w:asciiTheme="minorHAnsi" w:hAnsiTheme="minorHAnsi" w:cs="Calibri"/>
                <w:color w:val="000000"/>
                <w:sz w:val="22"/>
                <w:szCs w:val="22"/>
                <w:lang w:val="en-IN" w:eastAsia="en-IN"/>
              </w:rPr>
            </w:pPr>
            <w:r w:rsidRPr="00675DC2">
              <w:rPr>
                <w:rFonts w:asciiTheme="minorHAnsi" w:hAnsiTheme="minorHAnsi" w:cs="Calibri"/>
                <w:color w:val="000000"/>
                <w:sz w:val="22"/>
                <w:szCs w:val="22"/>
                <w:lang w:val="en-IN" w:eastAsia="en-IN"/>
              </w:rPr>
              <w:t>0.48</w:t>
            </w:r>
          </w:p>
        </w:tc>
        <w:tc>
          <w:tcPr>
            <w:tcW w:w="1705" w:type="dxa"/>
            <w:tcBorders>
              <w:top w:val="nil"/>
              <w:left w:val="nil"/>
              <w:bottom w:val="single" w:sz="4" w:space="0" w:color="auto"/>
              <w:right w:val="single" w:sz="4" w:space="0" w:color="auto"/>
            </w:tcBorders>
            <w:shd w:val="clear" w:color="auto" w:fill="auto"/>
            <w:noWrap/>
            <w:vAlign w:val="center"/>
            <w:hideMark/>
          </w:tcPr>
          <w:p w14:paraId="289FF5F2" w14:textId="77777777" w:rsidR="002F2B8B" w:rsidRPr="00675DC2" w:rsidRDefault="002F2B8B" w:rsidP="00574D2E">
            <w:pPr>
              <w:jc w:val="center"/>
              <w:rPr>
                <w:rFonts w:asciiTheme="minorHAnsi" w:hAnsiTheme="minorHAnsi" w:cs="Calibri"/>
                <w:color w:val="000000"/>
                <w:sz w:val="22"/>
                <w:szCs w:val="22"/>
                <w:lang w:val="en-IN" w:eastAsia="en-IN"/>
              </w:rPr>
            </w:pPr>
            <w:r w:rsidRPr="00675DC2">
              <w:rPr>
                <w:rFonts w:asciiTheme="minorHAnsi" w:hAnsiTheme="minorHAnsi" w:cs="Calibri"/>
                <w:color w:val="000000"/>
                <w:sz w:val="22"/>
                <w:szCs w:val="22"/>
                <w:lang w:val="en-IN" w:eastAsia="en-IN"/>
              </w:rPr>
              <w:t>0.00</w:t>
            </w:r>
          </w:p>
        </w:tc>
        <w:tc>
          <w:tcPr>
            <w:tcW w:w="1448" w:type="dxa"/>
            <w:tcBorders>
              <w:top w:val="nil"/>
              <w:left w:val="nil"/>
              <w:bottom w:val="single" w:sz="4" w:space="0" w:color="auto"/>
              <w:right w:val="single" w:sz="4" w:space="0" w:color="auto"/>
            </w:tcBorders>
            <w:shd w:val="clear" w:color="auto" w:fill="auto"/>
            <w:noWrap/>
            <w:vAlign w:val="center"/>
            <w:hideMark/>
          </w:tcPr>
          <w:p w14:paraId="1BAB0BCC" w14:textId="77777777" w:rsidR="002F2B8B" w:rsidRPr="00675DC2" w:rsidRDefault="002F2B8B" w:rsidP="00574D2E">
            <w:pPr>
              <w:jc w:val="center"/>
              <w:rPr>
                <w:rFonts w:asciiTheme="minorHAnsi" w:hAnsiTheme="minorHAnsi" w:cs="Calibri"/>
                <w:color w:val="000000"/>
                <w:sz w:val="22"/>
                <w:szCs w:val="22"/>
                <w:lang w:val="en-IN" w:eastAsia="en-IN"/>
              </w:rPr>
            </w:pPr>
            <w:r w:rsidRPr="00675DC2">
              <w:rPr>
                <w:rFonts w:asciiTheme="minorHAnsi" w:hAnsiTheme="minorHAnsi" w:cs="Calibri"/>
                <w:color w:val="000000"/>
                <w:sz w:val="22"/>
                <w:szCs w:val="22"/>
                <w:lang w:val="en-IN" w:eastAsia="en-IN"/>
              </w:rPr>
              <w:t>0.00</w:t>
            </w:r>
          </w:p>
        </w:tc>
        <w:tc>
          <w:tcPr>
            <w:tcW w:w="1442" w:type="dxa"/>
            <w:tcBorders>
              <w:top w:val="nil"/>
              <w:left w:val="nil"/>
              <w:bottom w:val="single" w:sz="4" w:space="0" w:color="auto"/>
              <w:right w:val="single" w:sz="4" w:space="0" w:color="auto"/>
            </w:tcBorders>
            <w:shd w:val="clear" w:color="auto" w:fill="auto"/>
            <w:noWrap/>
            <w:vAlign w:val="center"/>
            <w:hideMark/>
          </w:tcPr>
          <w:p w14:paraId="0BF06482" w14:textId="77777777" w:rsidR="002F2B8B" w:rsidRPr="00675DC2" w:rsidRDefault="002F2B8B" w:rsidP="00574D2E">
            <w:pPr>
              <w:jc w:val="center"/>
              <w:rPr>
                <w:rFonts w:asciiTheme="minorHAnsi" w:hAnsiTheme="minorHAnsi" w:cs="Calibri"/>
                <w:color w:val="000000"/>
                <w:sz w:val="22"/>
                <w:szCs w:val="22"/>
                <w:lang w:val="en-IN" w:eastAsia="en-IN"/>
              </w:rPr>
            </w:pPr>
            <w:r w:rsidRPr="00675DC2">
              <w:rPr>
                <w:rFonts w:asciiTheme="minorHAnsi" w:hAnsiTheme="minorHAnsi" w:cs="Calibri"/>
                <w:color w:val="000000"/>
                <w:sz w:val="22"/>
                <w:szCs w:val="22"/>
                <w:lang w:val="en-IN" w:eastAsia="en-IN"/>
              </w:rPr>
              <w:t>0.00</w:t>
            </w:r>
          </w:p>
        </w:tc>
      </w:tr>
      <w:tr w:rsidR="002F2B8B" w:rsidRPr="00B90D5E" w14:paraId="387A18C9" w14:textId="77777777" w:rsidTr="00675DC2">
        <w:trPr>
          <w:trHeight w:val="303"/>
        </w:trPr>
        <w:tc>
          <w:tcPr>
            <w:tcW w:w="564" w:type="dxa"/>
            <w:tcBorders>
              <w:top w:val="nil"/>
              <w:left w:val="single" w:sz="4" w:space="0" w:color="auto"/>
              <w:bottom w:val="single" w:sz="4" w:space="0" w:color="auto"/>
              <w:right w:val="single" w:sz="4" w:space="0" w:color="auto"/>
            </w:tcBorders>
            <w:shd w:val="clear" w:color="auto" w:fill="auto"/>
            <w:noWrap/>
            <w:vAlign w:val="center"/>
            <w:hideMark/>
          </w:tcPr>
          <w:p w14:paraId="33335A12" w14:textId="77777777" w:rsidR="002F2B8B" w:rsidRPr="00675DC2" w:rsidRDefault="002F2B8B" w:rsidP="00574D2E">
            <w:pPr>
              <w:jc w:val="center"/>
              <w:rPr>
                <w:rFonts w:asciiTheme="minorHAnsi" w:hAnsiTheme="minorHAnsi" w:cs="Arial"/>
                <w:sz w:val="22"/>
                <w:szCs w:val="22"/>
                <w:lang w:val="en-IN" w:eastAsia="en-IN"/>
              </w:rPr>
            </w:pPr>
            <w:r w:rsidRPr="00675DC2">
              <w:rPr>
                <w:rFonts w:asciiTheme="minorHAnsi" w:hAnsiTheme="minorHAnsi" w:cs="Arial"/>
                <w:sz w:val="22"/>
                <w:szCs w:val="22"/>
                <w:lang w:val="en-IN" w:eastAsia="en-IN"/>
              </w:rPr>
              <w:t>10</w:t>
            </w:r>
          </w:p>
        </w:tc>
        <w:tc>
          <w:tcPr>
            <w:tcW w:w="3261" w:type="dxa"/>
            <w:tcBorders>
              <w:top w:val="nil"/>
              <w:left w:val="nil"/>
              <w:bottom w:val="single" w:sz="4" w:space="0" w:color="auto"/>
              <w:right w:val="single" w:sz="4" w:space="0" w:color="auto"/>
            </w:tcBorders>
            <w:shd w:val="clear" w:color="auto" w:fill="auto"/>
            <w:noWrap/>
            <w:vAlign w:val="center"/>
            <w:hideMark/>
          </w:tcPr>
          <w:p w14:paraId="541338E8" w14:textId="77777777" w:rsidR="002F2B8B" w:rsidRPr="00675DC2" w:rsidRDefault="002F2B8B" w:rsidP="00574D2E">
            <w:pPr>
              <w:rPr>
                <w:rFonts w:asciiTheme="minorHAnsi" w:hAnsiTheme="minorHAnsi" w:cs="Arial"/>
                <w:sz w:val="22"/>
                <w:szCs w:val="22"/>
                <w:lang w:val="en-IN" w:eastAsia="en-IN"/>
              </w:rPr>
            </w:pPr>
            <w:proofErr w:type="spellStart"/>
            <w:r w:rsidRPr="00675DC2">
              <w:rPr>
                <w:rFonts w:asciiTheme="minorHAnsi" w:hAnsiTheme="minorHAnsi" w:cs="Arial"/>
                <w:sz w:val="22"/>
                <w:szCs w:val="22"/>
                <w:lang w:val="en-IN" w:eastAsia="en-IN"/>
              </w:rPr>
              <w:t>Emerg</w:t>
            </w:r>
            <w:proofErr w:type="spellEnd"/>
            <w:r w:rsidRPr="00675DC2">
              <w:rPr>
                <w:rFonts w:asciiTheme="minorHAnsi" w:hAnsiTheme="minorHAnsi" w:cs="Arial"/>
                <w:sz w:val="22"/>
                <w:szCs w:val="22"/>
                <w:lang w:val="en-IN" w:eastAsia="en-IN"/>
              </w:rPr>
              <w:t>. Supply to CGP</w:t>
            </w:r>
          </w:p>
        </w:tc>
        <w:tc>
          <w:tcPr>
            <w:tcW w:w="1275" w:type="dxa"/>
            <w:tcBorders>
              <w:top w:val="nil"/>
              <w:left w:val="nil"/>
              <w:bottom w:val="single" w:sz="4" w:space="0" w:color="auto"/>
              <w:right w:val="single" w:sz="4" w:space="0" w:color="auto"/>
            </w:tcBorders>
            <w:shd w:val="clear" w:color="auto" w:fill="auto"/>
            <w:noWrap/>
            <w:vAlign w:val="center"/>
            <w:hideMark/>
          </w:tcPr>
          <w:p w14:paraId="007B0A5B" w14:textId="77777777" w:rsidR="002F2B8B" w:rsidRPr="00675DC2" w:rsidRDefault="002F2B8B" w:rsidP="00574D2E">
            <w:pPr>
              <w:jc w:val="center"/>
              <w:rPr>
                <w:rFonts w:asciiTheme="minorHAnsi" w:hAnsiTheme="minorHAnsi" w:cs="Calibri"/>
                <w:color w:val="000000"/>
                <w:sz w:val="22"/>
                <w:szCs w:val="22"/>
                <w:lang w:val="en-IN" w:eastAsia="en-IN"/>
              </w:rPr>
            </w:pPr>
            <w:r w:rsidRPr="00675DC2">
              <w:rPr>
                <w:rFonts w:asciiTheme="minorHAnsi" w:hAnsiTheme="minorHAnsi" w:cs="Calibri"/>
                <w:color w:val="000000"/>
                <w:sz w:val="22"/>
                <w:szCs w:val="22"/>
                <w:lang w:val="en-IN" w:eastAsia="en-IN"/>
              </w:rPr>
              <w:t>0.373</w:t>
            </w:r>
          </w:p>
        </w:tc>
        <w:tc>
          <w:tcPr>
            <w:tcW w:w="1705" w:type="dxa"/>
            <w:tcBorders>
              <w:top w:val="nil"/>
              <w:left w:val="nil"/>
              <w:bottom w:val="single" w:sz="4" w:space="0" w:color="auto"/>
              <w:right w:val="single" w:sz="4" w:space="0" w:color="auto"/>
            </w:tcBorders>
            <w:shd w:val="clear" w:color="auto" w:fill="auto"/>
            <w:noWrap/>
            <w:vAlign w:val="center"/>
            <w:hideMark/>
          </w:tcPr>
          <w:p w14:paraId="0B48F205" w14:textId="77777777" w:rsidR="002F2B8B" w:rsidRPr="00675DC2" w:rsidRDefault="002F2B8B" w:rsidP="00574D2E">
            <w:pPr>
              <w:jc w:val="center"/>
              <w:rPr>
                <w:rFonts w:asciiTheme="minorHAnsi" w:hAnsiTheme="minorHAnsi" w:cs="Calibri"/>
                <w:color w:val="000000"/>
                <w:sz w:val="22"/>
                <w:szCs w:val="22"/>
                <w:lang w:val="en-IN" w:eastAsia="en-IN"/>
              </w:rPr>
            </w:pPr>
            <w:r w:rsidRPr="00675DC2">
              <w:rPr>
                <w:rFonts w:asciiTheme="minorHAnsi" w:hAnsiTheme="minorHAnsi" w:cs="Calibri"/>
                <w:color w:val="000000"/>
                <w:sz w:val="22"/>
                <w:szCs w:val="22"/>
                <w:lang w:val="en-IN" w:eastAsia="en-IN"/>
              </w:rPr>
              <w:t>0.542</w:t>
            </w:r>
          </w:p>
        </w:tc>
        <w:tc>
          <w:tcPr>
            <w:tcW w:w="1448" w:type="dxa"/>
            <w:tcBorders>
              <w:top w:val="nil"/>
              <w:left w:val="nil"/>
              <w:bottom w:val="single" w:sz="4" w:space="0" w:color="auto"/>
              <w:right w:val="single" w:sz="4" w:space="0" w:color="auto"/>
            </w:tcBorders>
            <w:shd w:val="clear" w:color="auto" w:fill="auto"/>
            <w:noWrap/>
            <w:vAlign w:val="center"/>
            <w:hideMark/>
          </w:tcPr>
          <w:p w14:paraId="08795CB3" w14:textId="77777777" w:rsidR="002F2B8B" w:rsidRPr="00675DC2" w:rsidRDefault="002F2B8B" w:rsidP="00574D2E">
            <w:pPr>
              <w:jc w:val="center"/>
              <w:rPr>
                <w:rFonts w:asciiTheme="minorHAnsi" w:hAnsiTheme="minorHAnsi" w:cs="Calibri"/>
                <w:color w:val="000000"/>
                <w:sz w:val="22"/>
                <w:szCs w:val="22"/>
                <w:lang w:val="en-IN" w:eastAsia="en-IN"/>
              </w:rPr>
            </w:pPr>
            <w:r w:rsidRPr="00675DC2">
              <w:rPr>
                <w:rFonts w:asciiTheme="minorHAnsi" w:hAnsiTheme="minorHAnsi" w:cs="Calibri"/>
                <w:color w:val="000000"/>
                <w:sz w:val="22"/>
                <w:szCs w:val="22"/>
                <w:lang w:val="en-IN" w:eastAsia="en-IN"/>
              </w:rPr>
              <w:t>0.554</w:t>
            </w:r>
          </w:p>
        </w:tc>
        <w:tc>
          <w:tcPr>
            <w:tcW w:w="1442" w:type="dxa"/>
            <w:tcBorders>
              <w:top w:val="nil"/>
              <w:left w:val="nil"/>
              <w:bottom w:val="single" w:sz="4" w:space="0" w:color="auto"/>
              <w:right w:val="single" w:sz="4" w:space="0" w:color="auto"/>
            </w:tcBorders>
            <w:shd w:val="clear" w:color="auto" w:fill="auto"/>
            <w:noWrap/>
            <w:vAlign w:val="center"/>
            <w:hideMark/>
          </w:tcPr>
          <w:p w14:paraId="32E5E475" w14:textId="77777777" w:rsidR="002F2B8B" w:rsidRPr="00675DC2" w:rsidRDefault="002F2B8B" w:rsidP="00574D2E">
            <w:pPr>
              <w:jc w:val="center"/>
              <w:rPr>
                <w:rFonts w:asciiTheme="minorHAnsi" w:hAnsiTheme="minorHAnsi" w:cs="Calibri"/>
                <w:color w:val="000000"/>
                <w:sz w:val="22"/>
                <w:szCs w:val="22"/>
                <w:lang w:val="en-IN" w:eastAsia="en-IN"/>
              </w:rPr>
            </w:pPr>
            <w:r w:rsidRPr="00675DC2">
              <w:rPr>
                <w:rFonts w:asciiTheme="minorHAnsi" w:hAnsiTheme="minorHAnsi" w:cs="Calibri"/>
                <w:color w:val="000000"/>
                <w:sz w:val="22"/>
                <w:szCs w:val="22"/>
                <w:lang w:val="en-IN" w:eastAsia="en-IN"/>
              </w:rPr>
              <w:t>0.036</w:t>
            </w:r>
          </w:p>
        </w:tc>
      </w:tr>
      <w:tr w:rsidR="002F2B8B" w:rsidRPr="00B90D5E" w14:paraId="28D759BA" w14:textId="77777777" w:rsidTr="00675DC2">
        <w:trPr>
          <w:trHeight w:val="303"/>
        </w:trPr>
        <w:tc>
          <w:tcPr>
            <w:tcW w:w="3825" w:type="dxa"/>
            <w:gridSpan w:val="2"/>
            <w:tcBorders>
              <w:top w:val="single" w:sz="4" w:space="0" w:color="auto"/>
              <w:left w:val="single" w:sz="4" w:space="0" w:color="auto"/>
              <w:bottom w:val="single" w:sz="4" w:space="0" w:color="auto"/>
              <w:right w:val="single" w:sz="4" w:space="0" w:color="auto"/>
            </w:tcBorders>
            <w:shd w:val="clear" w:color="000000" w:fill="8EA9DB"/>
            <w:noWrap/>
            <w:vAlign w:val="center"/>
            <w:hideMark/>
          </w:tcPr>
          <w:p w14:paraId="3F15A2A9" w14:textId="77777777" w:rsidR="002F2B8B" w:rsidRPr="00675DC2" w:rsidRDefault="002F2B8B" w:rsidP="00574D2E">
            <w:pPr>
              <w:jc w:val="center"/>
              <w:rPr>
                <w:rFonts w:asciiTheme="minorHAnsi" w:hAnsiTheme="minorHAnsi" w:cs="Calibri"/>
                <w:b/>
                <w:bCs/>
                <w:color w:val="000000"/>
                <w:sz w:val="22"/>
                <w:szCs w:val="22"/>
                <w:lang w:val="en-IN" w:eastAsia="en-IN"/>
              </w:rPr>
            </w:pPr>
            <w:r w:rsidRPr="00675DC2">
              <w:rPr>
                <w:rFonts w:asciiTheme="minorHAnsi" w:hAnsiTheme="minorHAnsi" w:cs="Calibri"/>
                <w:b/>
                <w:bCs/>
                <w:color w:val="000000"/>
                <w:sz w:val="22"/>
                <w:szCs w:val="22"/>
                <w:lang w:val="en-IN" w:eastAsia="en-IN"/>
              </w:rPr>
              <w:t>Total</w:t>
            </w:r>
          </w:p>
        </w:tc>
        <w:tc>
          <w:tcPr>
            <w:tcW w:w="1275" w:type="dxa"/>
            <w:tcBorders>
              <w:top w:val="nil"/>
              <w:left w:val="nil"/>
              <w:bottom w:val="single" w:sz="4" w:space="0" w:color="auto"/>
              <w:right w:val="single" w:sz="4" w:space="0" w:color="auto"/>
            </w:tcBorders>
            <w:shd w:val="clear" w:color="000000" w:fill="8EA9DB"/>
            <w:noWrap/>
            <w:vAlign w:val="center"/>
            <w:hideMark/>
          </w:tcPr>
          <w:p w14:paraId="3C0E0210" w14:textId="77777777" w:rsidR="002F2B8B" w:rsidRPr="00675DC2" w:rsidRDefault="002F2B8B" w:rsidP="00574D2E">
            <w:pPr>
              <w:jc w:val="center"/>
              <w:rPr>
                <w:rFonts w:asciiTheme="minorHAnsi" w:hAnsiTheme="minorHAnsi" w:cs="Calibri"/>
                <w:b/>
                <w:bCs/>
                <w:color w:val="000000"/>
                <w:sz w:val="22"/>
                <w:szCs w:val="22"/>
                <w:lang w:val="en-IN" w:eastAsia="en-IN"/>
              </w:rPr>
            </w:pPr>
            <w:r w:rsidRPr="00675DC2">
              <w:rPr>
                <w:rFonts w:asciiTheme="minorHAnsi" w:hAnsiTheme="minorHAnsi" w:cs="Calibri"/>
                <w:b/>
                <w:bCs/>
                <w:color w:val="000000"/>
                <w:sz w:val="22"/>
                <w:szCs w:val="22"/>
                <w:lang w:val="en-IN" w:eastAsia="en-IN"/>
              </w:rPr>
              <w:t>685.81</w:t>
            </w:r>
          </w:p>
        </w:tc>
        <w:tc>
          <w:tcPr>
            <w:tcW w:w="1705" w:type="dxa"/>
            <w:tcBorders>
              <w:top w:val="nil"/>
              <w:left w:val="nil"/>
              <w:bottom w:val="single" w:sz="4" w:space="0" w:color="auto"/>
              <w:right w:val="single" w:sz="4" w:space="0" w:color="auto"/>
            </w:tcBorders>
            <w:shd w:val="clear" w:color="000000" w:fill="8EA9DB"/>
            <w:noWrap/>
            <w:vAlign w:val="center"/>
            <w:hideMark/>
          </w:tcPr>
          <w:p w14:paraId="00720365" w14:textId="77777777" w:rsidR="002F2B8B" w:rsidRPr="00675DC2" w:rsidRDefault="002F2B8B" w:rsidP="00574D2E">
            <w:pPr>
              <w:jc w:val="center"/>
              <w:rPr>
                <w:rFonts w:asciiTheme="minorHAnsi" w:hAnsiTheme="minorHAnsi" w:cs="Calibri"/>
                <w:b/>
                <w:bCs/>
                <w:color w:val="000000"/>
                <w:sz w:val="22"/>
                <w:szCs w:val="22"/>
                <w:lang w:val="en-IN" w:eastAsia="en-IN"/>
              </w:rPr>
            </w:pPr>
            <w:r w:rsidRPr="00675DC2">
              <w:rPr>
                <w:rFonts w:asciiTheme="minorHAnsi" w:hAnsiTheme="minorHAnsi" w:cs="Calibri"/>
                <w:b/>
                <w:bCs/>
                <w:color w:val="000000"/>
                <w:sz w:val="22"/>
                <w:szCs w:val="22"/>
                <w:lang w:val="en-IN" w:eastAsia="en-IN"/>
              </w:rPr>
              <w:t>417.55</w:t>
            </w:r>
          </w:p>
        </w:tc>
        <w:tc>
          <w:tcPr>
            <w:tcW w:w="1448" w:type="dxa"/>
            <w:tcBorders>
              <w:top w:val="nil"/>
              <w:left w:val="nil"/>
              <w:bottom w:val="single" w:sz="4" w:space="0" w:color="auto"/>
              <w:right w:val="single" w:sz="4" w:space="0" w:color="auto"/>
            </w:tcBorders>
            <w:shd w:val="clear" w:color="000000" w:fill="8EA9DB"/>
            <w:noWrap/>
            <w:vAlign w:val="center"/>
            <w:hideMark/>
          </w:tcPr>
          <w:p w14:paraId="30F8FC87" w14:textId="77777777" w:rsidR="002F2B8B" w:rsidRPr="00675DC2" w:rsidRDefault="002F2B8B" w:rsidP="00574D2E">
            <w:pPr>
              <w:jc w:val="center"/>
              <w:rPr>
                <w:rFonts w:asciiTheme="minorHAnsi" w:hAnsiTheme="minorHAnsi" w:cs="Calibri"/>
                <w:b/>
                <w:bCs/>
                <w:color w:val="000000"/>
                <w:sz w:val="22"/>
                <w:szCs w:val="22"/>
                <w:lang w:val="en-IN" w:eastAsia="en-IN"/>
              </w:rPr>
            </w:pPr>
            <w:r w:rsidRPr="00675DC2">
              <w:rPr>
                <w:rFonts w:asciiTheme="minorHAnsi" w:hAnsiTheme="minorHAnsi" w:cs="Calibri"/>
                <w:b/>
                <w:bCs/>
                <w:color w:val="000000"/>
                <w:sz w:val="22"/>
                <w:szCs w:val="22"/>
                <w:lang w:val="en-IN" w:eastAsia="en-IN"/>
              </w:rPr>
              <w:t>844.13</w:t>
            </w:r>
          </w:p>
        </w:tc>
        <w:tc>
          <w:tcPr>
            <w:tcW w:w="1442" w:type="dxa"/>
            <w:tcBorders>
              <w:top w:val="nil"/>
              <w:left w:val="nil"/>
              <w:bottom w:val="single" w:sz="4" w:space="0" w:color="auto"/>
              <w:right w:val="single" w:sz="4" w:space="0" w:color="auto"/>
            </w:tcBorders>
            <w:shd w:val="clear" w:color="000000" w:fill="8EA9DB"/>
            <w:noWrap/>
            <w:vAlign w:val="center"/>
            <w:hideMark/>
          </w:tcPr>
          <w:p w14:paraId="5AFCA1C8" w14:textId="77777777" w:rsidR="002F2B8B" w:rsidRPr="00675DC2" w:rsidRDefault="002F2B8B" w:rsidP="00574D2E">
            <w:pPr>
              <w:jc w:val="center"/>
              <w:rPr>
                <w:rFonts w:asciiTheme="minorHAnsi" w:hAnsiTheme="minorHAnsi" w:cs="Calibri"/>
                <w:b/>
                <w:bCs/>
                <w:color w:val="000000"/>
                <w:sz w:val="22"/>
                <w:szCs w:val="22"/>
                <w:lang w:val="en-IN" w:eastAsia="en-IN"/>
              </w:rPr>
            </w:pPr>
            <w:r w:rsidRPr="00675DC2">
              <w:rPr>
                <w:rFonts w:asciiTheme="minorHAnsi" w:hAnsiTheme="minorHAnsi" w:cs="Calibri"/>
                <w:b/>
                <w:bCs/>
                <w:color w:val="000000"/>
                <w:sz w:val="22"/>
                <w:szCs w:val="22"/>
                <w:lang w:val="en-IN" w:eastAsia="en-IN"/>
              </w:rPr>
              <w:t>943.17</w:t>
            </w:r>
          </w:p>
        </w:tc>
      </w:tr>
    </w:tbl>
    <w:p w14:paraId="6899EB1E" w14:textId="77777777" w:rsidR="002F2B8B" w:rsidRDefault="002F2B8B" w:rsidP="002F2B8B">
      <w:pPr>
        <w:pStyle w:val="BodyText2"/>
        <w:spacing w:line="360" w:lineRule="auto"/>
        <w:ind w:left="567"/>
        <w:jc w:val="center"/>
        <w:rPr>
          <w:rFonts w:asciiTheme="minorHAnsi" w:hAnsiTheme="minorHAnsi" w:cstheme="minorHAnsi"/>
          <w:b/>
          <w:sz w:val="22"/>
          <w:szCs w:val="22"/>
        </w:rPr>
      </w:pPr>
    </w:p>
    <w:p w14:paraId="73DDC0BA" w14:textId="77777777" w:rsidR="002F2B8B" w:rsidRPr="00BD5055" w:rsidRDefault="002F2B8B" w:rsidP="002F2B8B">
      <w:pPr>
        <w:pStyle w:val="BodyText2"/>
        <w:spacing w:line="360" w:lineRule="auto"/>
        <w:ind w:left="567"/>
        <w:jc w:val="both"/>
        <w:rPr>
          <w:rFonts w:asciiTheme="minorHAnsi" w:hAnsiTheme="minorHAnsi" w:cstheme="minorHAnsi"/>
          <w:b/>
          <w:sz w:val="28"/>
          <w:szCs w:val="28"/>
        </w:rPr>
      </w:pPr>
      <w:r w:rsidRPr="00BD5055">
        <w:rPr>
          <w:rFonts w:asciiTheme="minorHAnsi" w:hAnsiTheme="minorHAnsi" w:cstheme="minorHAnsi"/>
          <w:b/>
          <w:sz w:val="28"/>
          <w:szCs w:val="28"/>
        </w:rPr>
        <w:t>EHT Category:</w:t>
      </w:r>
    </w:p>
    <w:p w14:paraId="7794FC4B" w14:textId="3A6BC4C5" w:rsidR="002F2B8B" w:rsidRPr="00EC6227" w:rsidRDefault="002F2B8B" w:rsidP="00EC6227">
      <w:pPr>
        <w:spacing w:line="360" w:lineRule="auto"/>
        <w:ind w:left="567"/>
        <w:jc w:val="both"/>
        <w:rPr>
          <w:rFonts w:asciiTheme="minorHAnsi" w:hAnsiTheme="minorHAnsi" w:cstheme="minorHAnsi"/>
          <w:sz w:val="22"/>
          <w:szCs w:val="22"/>
        </w:rPr>
      </w:pPr>
      <w:r>
        <w:rPr>
          <w:rFonts w:asciiTheme="minorHAnsi" w:hAnsiTheme="minorHAnsi" w:cstheme="minorHAnsi"/>
          <w:sz w:val="22"/>
          <w:szCs w:val="22"/>
        </w:rPr>
        <w:t>In FY 2022-23, a substantial increase in EHT sales was noticed due to i</w:t>
      </w:r>
      <w:r w:rsidRPr="00BD5055">
        <w:rPr>
          <w:rFonts w:asciiTheme="minorHAnsi" w:hAnsiTheme="minorHAnsi" w:cstheme="minorHAnsi"/>
          <w:sz w:val="22"/>
          <w:szCs w:val="22"/>
        </w:rPr>
        <w:t>ntroduction of special tariff for the industries having CGP with CD up to 20MW</w:t>
      </w:r>
      <w:r>
        <w:rPr>
          <w:rFonts w:asciiTheme="minorHAnsi" w:hAnsiTheme="minorHAnsi" w:cstheme="minorHAnsi"/>
          <w:sz w:val="22"/>
          <w:szCs w:val="22"/>
        </w:rPr>
        <w:t>.</w:t>
      </w:r>
      <w:r w:rsidRPr="00BD5055">
        <w:rPr>
          <w:rFonts w:asciiTheme="minorHAnsi" w:hAnsiTheme="minorHAnsi" w:cstheme="minorHAnsi"/>
          <w:sz w:val="22"/>
          <w:szCs w:val="22"/>
        </w:rPr>
        <w:t xml:space="preserve"> Consumers like, </w:t>
      </w:r>
      <w:r>
        <w:rPr>
          <w:rFonts w:asciiTheme="minorHAnsi" w:hAnsiTheme="minorHAnsi" w:cstheme="minorHAnsi"/>
          <w:sz w:val="22"/>
          <w:szCs w:val="22"/>
        </w:rPr>
        <w:t xml:space="preserve">M/s. </w:t>
      </w:r>
      <w:r w:rsidRPr="00BD5055">
        <w:rPr>
          <w:rFonts w:asciiTheme="minorHAnsi" w:hAnsiTheme="minorHAnsi" w:cstheme="minorHAnsi"/>
          <w:sz w:val="22"/>
          <w:szCs w:val="22"/>
        </w:rPr>
        <w:t>JSL,</w:t>
      </w:r>
      <w:r>
        <w:rPr>
          <w:rFonts w:asciiTheme="minorHAnsi" w:hAnsiTheme="minorHAnsi" w:cstheme="minorHAnsi"/>
          <w:sz w:val="22"/>
          <w:szCs w:val="22"/>
        </w:rPr>
        <w:t xml:space="preserve"> M/s. </w:t>
      </w:r>
      <w:r w:rsidRPr="00BD5055">
        <w:rPr>
          <w:rFonts w:asciiTheme="minorHAnsi" w:hAnsiTheme="minorHAnsi" w:cstheme="minorHAnsi"/>
          <w:sz w:val="22"/>
          <w:szCs w:val="22"/>
        </w:rPr>
        <w:t xml:space="preserve"> JSPL, </w:t>
      </w:r>
      <w:r>
        <w:rPr>
          <w:rFonts w:asciiTheme="minorHAnsi" w:hAnsiTheme="minorHAnsi" w:cstheme="minorHAnsi"/>
          <w:sz w:val="22"/>
          <w:szCs w:val="22"/>
        </w:rPr>
        <w:t xml:space="preserve">M/s. </w:t>
      </w:r>
      <w:r w:rsidRPr="00BD5055">
        <w:rPr>
          <w:rFonts w:asciiTheme="minorHAnsi" w:hAnsiTheme="minorHAnsi" w:cstheme="minorHAnsi"/>
          <w:sz w:val="22"/>
          <w:szCs w:val="22"/>
        </w:rPr>
        <w:t>Visa steels</w:t>
      </w:r>
      <w:r>
        <w:rPr>
          <w:rFonts w:asciiTheme="minorHAnsi" w:hAnsiTheme="minorHAnsi" w:cstheme="minorHAnsi"/>
          <w:sz w:val="22"/>
          <w:szCs w:val="22"/>
        </w:rPr>
        <w:t>, M/s.</w:t>
      </w:r>
      <w:r w:rsidRPr="00BD5055">
        <w:rPr>
          <w:rFonts w:asciiTheme="minorHAnsi" w:hAnsiTheme="minorHAnsi" w:cstheme="minorHAnsi"/>
          <w:sz w:val="22"/>
          <w:szCs w:val="22"/>
        </w:rPr>
        <w:t xml:space="preserve"> F</w:t>
      </w:r>
      <w:r>
        <w:rPr>
          <w:rFonts w:asciiTheme="minorHAnsi" w:hAnsiTheme="minorHAnsi" w:cstheme="minorHAnsi"/>
          <w:sz w:val="22"/>
          <w:szCs w:val="22"/>
        </w:rPr>
        <w:t xml:space="preserve">erro </w:t>
      </w:r>
      <w:r w:rsidRPr="00BD5055">
        <w:rPr>
          <w:rFonts w:asciiTheme="minorHAnsi" w:hAnsiTheme="minorHAnsi" w:cstheme="minorHAnsi"/>
          <w:sz w:val="22"/>
          <w:szCs w:val="22"/>
        </w:rPr>
        <w:t>A</w:t>
      </w:r>
      <w:r>
        <w:rPr>
          <w:rFonts w:asciiTheme="minorHAnsi" w:hAnsiTheme="minorHAnsi" w:cstheme="minorHAnsi"/>
          <w:sz w:val="22"/>
          <w:szCs w:val="22"/>
        </w:rPr>
        <w:t>lloys</w:t>
      </w:r>
      <w:r w:rsidRPr="00BD5055">
        <w:rPr>
          <w:rFonts w:asciiTheme="minorHAnsi" w:hAnsiTheme="minorHAnsi" w:cstheme="minorHAnsi"/>
          <w:sz w:val="22"/>
          <w:szCs w:val="22"/>
        </w:rPr>
        <w:t xml:space="preserve"> P</w:t>
      </w:r>
      <w:r>
        <w:rPr>
          <w:rFonts w:asciiTheme="minorHAnsi" w:hAnsiTheme="minorHAnsi" w:cstheme="minorHAnsi"/>
          <w:sz w:val="22"/>
          <w:szCs w:val="22"/>
        </w:rPr>
        <w:t>lant</w:t>
      </w:r>
      <w:r w:rsidRPr="00BD5055">
        <w:rPr>
          <w:rFonts w:asciiTheme="minorHAnsi" w:hAnsiTheme="minorHAnsi" w:cstheme="minorHAnsi"/>
          <w:sz w:val="22"/>
          <w:szCs w:val="22"/>
        </w:rPr>
        <w:t xml:space="preserve">, </w:t>
      </w:r>
      <w:proofErr w:type="spellStart"/>
      <w:r w:rsidRPr="00BD5055">
        <w:rPr>
          <w:rFonts w:asciiTheme="minorHAnsi" w:hAnsiTheme="minorHAnsi" w:cstheme="minorHAnsi"/>
          <w:sz w:val="22"/>
          <w:szCs w:val="22"/>
        </w:rPr>
        <w:t>B</w:t>
      </w:r>
      <w:r>
        <w:rPr>
          <w:rFonts w:asciiTheme="minorHAnsi" w:hAnsiTheme="minorHAnsi" w:cstheme="minorHAnsi"/>
          <w:sz w:val="22"/>
          <w:szCs w:val="22"/>
        </w:rPr>
        <w:t>alasore</w:t>
      </w:r>
      <w:proofErr w:type="spellEnd"/>
      <w:r w:rsidRPr="00BD5055">
        <w:rPr>
          <w:rFonts w:asciiTheme="minorHAnsi" w:hAnsiTheme="minorHAnsi" w:cstheme="minorHAnsi"/>
          <w:sz w:val="22"/>
          <w:szCs w:val="22"/>
        </w:rPr>
        <w:t xml:space="preserve"> (taken over by T</w:t>
      </w:r>
      <w:r>
        <w:rPr>
          <w:rFonts w:asciiTheme="minorHAnsi" w:hAnsiTheme="minorHAnsi" w:cstheme="minorHAnsi"/>
          <w:sz w:val="22"/>
          <w:szCs w:val="22"/>
        </w:rPr>
        <w:t xml:space="preserve">ATA </w:t>
      </w:r>
      <w:r w:rsidRPr="00BD5055">
        <w:rPr>
          <w:rFonts w:asciiTheme="minorHAnsi" w:hAnsiTheme="minorHAnsi" w:cstheme="minorHAnsi"/>
          <w:sz w:val="22"/>
          <w:szCs w:val="22"/>
        </w:rPr>
        <w:t>S</w:t>
      </w:r>
      <w:r>
        <w:rPr>
          <w:rFonts w:asciiTheme="minorHAnsi" w:hAnsiTheme="minorHAnsi" w:cstheme="minorHAnsi"/>
          <w:sz w:val="22"/>
          <w:szCs w:val="22"/>
        </w:rPr>
        <w:t>teel Limited</w:t>
      </w:r>
      <w:r w:rsidRPr="00BD5055">
        <w:rPr>
          <w:rFonts w:asciiTheme="minorHAnsi" w:hAnsiTheme="minorHAnsi" w:cstheme="minorHAnsi"/>
          <w:sz w:val="22"/>
          <w:szCs w:val="22"/>
        </w:rPr>
        <w:t>),</w:t>
      </w:r>
      <w:r>
        <w:rPr>
          <w:rFonts w:asciiTheme="minorHAnsi" w:hAnsiTheme="minorHAnsi" w:cstheme="minorHAnsi"/>
          <w:sz w:val="22"/>
          <w:szCs w:val="22"/>
        </w:rPr>
        <w:t xml:space="preserve"> </w:t>
      </w:r>
      <w:r w:rsidRPr="00BD5055">
        <w:rPr>
          <w:rFonts w:asciiTheme="minorHAnsi" w:hAnsiTheme="minorHAnsi" w:cstheme="minorHAnsi"/>
          <w:sz w:val="22"/>
          <w:szCs w:val="22"/>
        </w:rPr>
        <w:t xml:space="preserve">and FACOR Ltd have availed this benefit in FY 22-23. However, except M/s. JSPL, all other industries have subsequently forgone the scheme due to substantial rise of special tariff from 430 paisa to 500 paisa per unit </w:t>
      </w:r>
      <w:r>
        <w:rPr>
          <w:rFonts w:asciiTheme="minorHAnsi" w:hAnsiTheme="minorHAnsi" w:cstheme="minorHAnsi"/>
          <w:sz w:val="22"/>
          <w:szCs w:val="22"/>
        </w:rPr>
        <w:t>in the</w:t>
      </w:r>
      <w:r w:rsidRPr="00BD5055">
        <w:rPr>
          <w:rFonts w:asciiTheme="minorHAnsi" w:hAnsiTheme="minorHAnsi" w:cstheme="minorHAnsi"/>
          <w:sz w:val="22"/>
          <w:szCs w:val="22"/>
        </w:rPr>
        <w:t xml:space="preserve"> RST for FY 2023-24 thereby reducing the estimated EHT sale</w:t>
      </w:r>
      <w:r>
        <w:rPr>
          <w:rFonts w:asciiTheme="minorHAnsi" w:hAnsiTheme="minorHAnsi" w:cstheme="minorHAnsi"/>
          <w:sz w:val="22"/>
          <w:szCs w:val="22"/>
        </w:rPr>
        <w:t>s on account of Special tariff</w:t>
      </w:r>
      <w:r w:rsidRPr="00BD5055">
        <w:rPr>
          <w:rFonts w:asciiTheme="minorHAnsi" w:hAnsiTheme="minorHAnsi" w:cstheme="minorHAnsi"/>
          <w:sz w:val="22"/>
          <w:szCs w:val="22"/>
        </w:rPr>
        <w:t xml:space="preserve"> </w:t>
      </w:r>
      <w:r>
        <w:rPr>
          <w:rFonts w:asciiTheme="minorHAnsi" w:hAnsiTheme="minorHAnsi" w:cstheme="minorHAnsi"/>
          <w:sz w:val="22"/>
          <w:szCs w:val="22"/>
        </w:rPr>
        <w:t>from FY 2023-24 onwards</w:t>
      </w:r>
      <w:r w:rsidRPr="00BD5055">
        <w:rPr>
          <w:rFonts w:asciiTheme="minorHAnsi" w:hAnsiTheme="minorHAnsi" w:cstheme="minorHAnsi"/>
          <w:sz w:val="22"/>
          <w:szCs w:val="22"/>
        </w:rPr>
        <w:t>.</w:t>
      </w:r>
      <w:r>
        <w:rPr>
          <w:rFonts w:asciiTheme="minorHAnsi" w:hAnsiTheme="minorHAnsi" w:cstheme="minorHAnsi"/>
          <w:sz w:val="22"/>
          <w:szCs w:val="22"/>
        </w:rPr>
        <w:t xml:space="preserve"> </w:t>
      </w:r>
      <w:r w:rsidR="00D26E39">
        <w:rPr>
          <w:rFonts w:asciiTheme="minorHAnsi" w:hAnsiTheme="minorHAnsi" w:cstheme="minorHAnsi"/>
          <w:sz w:val="22"/>
          <w:szCs w:val="22"/>
        </w:rPr>
        <w:t xml:space="preserve">A </w:t>
      </w:r>
      <w:proofErr w:type="gramStart"/>
      <w:r w:rsidR="00D26E39">
        <w:rPr>
          <w:rFonts w:asciiTheme="minorHAnsi" w:hAnsiTheme="minorHAnsi" w:cstheme="minorHAnsi"/>
          <w:sz w:val="22"/>
          <w:szCs w:val="22"/>
        </w:rPr>
        <w:t>sales</w:t>
      </w:r>
      <w:proofErr w:type="gramEnd"/>
      <w:r w:rsidR="00D26E39">
        <w:rPr>
          <w:rFonts w:asciiTheme="minorHAnsi" w:hAnsiTheme="minorHAnsi" w:cstheme="minorHAnsi"/>
          <w:sz w:val="22"/>
          <w:szCs w:val="22"/>
        </w:rPr>
        <w:t xml:space="preserve"> of 116.46MU has been estimated on account of special tariff in FY 2024-25. </w:t>
      </w:r>
      <w:r>
        <w:rPr>
          <w:rFonts w:asciiTheme="minorHAnsi" w:hAnsiTheme="minorHAnsi" w:cstheme="minorHAnsi"/>
          <w:sz w:val="22"/>
          <w:szCs w:val="22"/>
        </w:rPr>
        <w:t xml:space="preserve">With anticipation of continuance of this provision of special tariff to industries having CGP with CD </w:t>
      </w:r>
      <w:proofErr w:type="spellStart"/>
      <w:r>
        <w:rPr>
          <w:rFonts w:asciiTheme="minorHAnsi" w:hAnsiTheme="minorHAnsi" w:cstheme="minorHAnsi"/>
          <w:sz w:val="22"/>
          <w:szCs w:val="22"/>
        </w:rPr>
        <w:t>upto</w:t>
      </w:r>
      <w:proofErr w:type="spellEnd"/>
      <w:r>
        <w:rPr>
          <w:rFonts w:asciiTheme="minorHAnsi" w:hAnsiTheme="minorHAnsi" w:cstheme="minorHAnsi"/>
          <w:sz w:val="22"/>
          <w:szCs w:val="22"/>
        </w:rPr>
        <w:t xml:space="preserve"> 20MW</w:t>
      </w:r>
      <w:r w:rsidR="0059746E">
        <w:rPr>
          <w:rFonts w:asciiTheme="minorHAnsi" w:hAnsiTheme="minorHAnsi" w:cstheme="minorHAnsi"/>
          <w:sz w:val="22"/>
          <w:szCs w:val="22"/>
        </w:rPr>
        <w:t xml:space="preserve">, a </w:t>
      </w:r>
      <w:r w:rsidR="00B47073">
        <w:rPr>
          <w:rFonts w:asciiTheme="minorHAnsi" w:hAnsiTheme="minorHAnsi" w:cstheme="minorHAnsi"/>
          <w:sz w:val="22"/>
          <w:szCs w:val="22"/>
        </w:rPr>
        <w:t>sale of 118.445 MU</w:t>
      </w:r>
      <w:r>
        <w:rPr>
          <w:rFonts w:asciiTheme="minorHAnsi" w:hAnsiTheme="minorHAnsi" w:cstheme="minorHAnsi"/>
          <w:sz w:val="22"/>
          <w:szCs w:val="22"/>
        </w:rPr>
        <w:t xml:space="preserve"> </w:t>
      </w:r>
      <w:r w:rsidR="0059746E">
        <w:rPr>
          <w:rFonts w:asciiTheme="minorHAnsi" w:hAnsiTheme="minorHAnsi" w:cstheme="minorHAnsi"/>
          <w:sz w:val="22"/>
          <w:szCs w:val="22"/>
        </w:rPr>
        <w:t xml:space="preserve">is projected </w:t>
      </w:r>
      <w:r>
        <w:rPr>
          <w:rFonts w:asciiTheme="minorHAnsi" w:hAnsiTheme="minorHAnsi" w:cstheme="minorHAnsi"/>
          <w:sz w:val="22"/>
          <w:szCs w:val="22"/>
        </w:rPr>
        <w:t xml:space="preserve">in 2025-26. </w:t>
      </w:r>
      <w:r w:rsidR="00D26E39">
        <w:rPr>
          <w:rFonts w:asciiTheme="minorHAnsi" w:hAnsiTheme="minorHAnsi" w:cstheme="minorHAnsi"/>
          <w:sz w:val="22"/>
          <w:szCs w:val="22"/>
        </w:rPr>
        <w:t xml:space="preserve"> </w:t>
      </w:r>
      <w:r>
        <w:rPr>
          <w:rFonts w:asciiTheme="minorHAnsi" w:hAnsiTheme="minorHAnsi" w:cstheme="minorHAnsi"/>
          <w:sz w:val="22"/>
          <w:szCs w:val="22"/>
        </w:rPr>
        <w:t>Additional revenue on account of the p</w:t>
      </w:r>
      <w:r w:rsidRPr="00BD5055">
        <w:rPr>
          <w:rFonts w:asciiTheme="minorHAnsi" w:hAnsiTheme="minorHAnsi" w:cstheme="minorHAnsi"/>
          <w:sz w:val="22"/>
          <w:szCs w:val="22"/>
        </w:rPr>
        <w:t>rovision of Special Tari</w:t>
      </w:r>
      <w:r>
        <w:rPr>
          <w:rFonts w:asciiTheme="minorHAnsi" w:hAnsiTheme="minorHAnsi" w:cstheme="minorHAnsi"/>
          <w:sz w:val="22"/>
          <w:szCs w:val="22"/>
        </w:rPr>
        <w:t xml:space="preserve">ff is estimated to be around </w:t>
      </w:r>
      <w:r w:rsidRPr="00BD5055">
        <w:rPr>
          <w:rFonts w:asciiTheme="minorHAnsi" w:hAnsiTheme="minorHAnsi" w:cstheme="minorHAnsi"/>
          <w:sz w:val="22"/>
          <w:szCs w:val="22"/>
        </w:rPr>
        <w:t>Rs.</w:t>
      </w:r>
      <w:r>
        <w:rPr>
          <w:rFonts w:asciiTheme="minorHAnsi" w:hAnsiTheme="minorHAnsi" w:cstheme="minorHAnsi"/>
          <w:sz w:val="22"/>
          <w:szCs w:val="22"/>
        </w:rPr>
        <w:t xml:space="preserve"> 61.48</w:t>
      </w:r>
      <w:r w:rsidRPr="00BD5055">
        <w:rPr>
          <w:rFonts w:asciiTheme="minorHAnsi" w:hAnsiTheme="minorHAnsi" w:cstheme="minorHAnsi"/>
          <w:sz w:val="22"/>
          <w:szCs w:val="22"/>
        </w:rPr>
        <w:t xml:space="preserve"> Cr in 202</w:t>
      </w:r>
      <w:r>
        <w:rPr>
          <w:rFonts w:asciiTheme="minorHAnsi" w:hAnsiTheme="minorHAnsi" w:cstheme="minorHAnsi"/>
          <w:sz w:val="22"/>
          <w:szCs w:val="22"/>
        </w:rPr>
        <w:t>4</w:t>
      </w:r>
      <w:r w:rsidRPr="00BD5055">
        <w:rPr>
          <w:rFonts w:asciiTheme="minorHAnsi" w:hAnsiTheme="minorHAnsi" w:cstheme="minorHAnsi"/>
          <w:sz w:val="22"/>
          <w:szCs w:val="22"/>
        </w:rPr>
        <w:t>-2</w:t>
      </w:r>
      <w:r>
        <w:rPr>
          <w:rFonts w:asciiTheme="minorHAnsi" w:hAnsiTheme="minorHAnsi" w:cstheme="minorHAnsi"/>
          <w:sz w:val="22"/>
          <w:szCs w:val="22"/>
        </w:rPr>
        <w:t>5</w:t>
      </w:r>
      <w:r w:rsidRPr="00BD5055">
        <w:rPr>
          <w:rFonts w:asciiTheme="minorHAnsi" w:hAnsiTheme="minorHAnsi" w:cstheme="minorHAnsi"/>
          <w:sz w:val="22"/>
          <w:szCs w:val="22"/>
        </w:rPr>
        <w:t xml:space="preserve"> against forecast of Rs. </w:t>
      </w:r>
      <w:r>
        <w:rPr>
          <w:rFonts w:asciiTheme="minorHAnsi" w:hAnsiTheme="minorHAnsi" w:cstheme="minorHAnsi"/>
          <w:sz w:val="22"/>
          <w:szCs w:val="22"/>
        </w:rPr>
        <w:t>86.91</w:t>
      </w:r>
      <w:r w:rsidRPr="00BD5055">
        <w:rPr>
          <w:rFonts w:asciiTheme="minorHAnsi" w:hAnsiTheme="minorHAnsi" w:cstheme="minorHAnsi"/>
          <w:sz w:val="22"/>
          <w:szCs w:val="22"/>
        </w:rPr>
        <w:t xml:space="preserve"> Cr and is expected to be around Rs.</w:t>
      </w:r>
      <w:r>
        <w:rPr>
          <w:rFonts w:asciiTheme="minorHAnsi" w:hAnsiTheme="minorHAnsi" w:cstheme="minorHAnsi"/>
          <w:sz w:val="22"/>
          <w:szCs w:val="22"/>
        </w:rPr>
        <w:t xml:space="preserve"> 62</w:t>
      </w:r>
      <w:r w:rsidRPr="00BD5055">
        <w:rPr>
          <w:rFonts w:asciiTheme="minorHAnsi" w:hAnsiTheme="minorHAnsi" w:cstheme="minorHAnsi"/>
          <w:sz w:val="22"/>
          <w:szCs w:val="22"/>
        </w:rPr>
        <w:t>.</w:t>
      </w:r>
      <w:r>
        <w:rPr>
          <w:rFonts w:asciiTheme="minorHAnsi" w:hAnsiTheme="minorHAnsi" w:cstheme="minorHAnsi"/>
          <w:sz w:val="22"/>
          <w:szCs w:val="22"/>
        </w:rPr>
        <w:t>29</w:t>
      </w:r>
      <w:r w:rsidRPr="00BD5055">
        <w:rPr>
          <w:rFonts w:asciiTheme="minorHAnsi" w:hAnsiTheme="minorHAnsi" w:cstheme="minorHAnsi"/>
          <w:sz w:val="22"/>
          <w:szCs w:val="22"/>
        </w:rPr>
        <w:t xml:space="preserve"> Cr in 202</w:t>
      </w:r>
      <w:r>
        <w:rPr>
          <w:rFonts w:asciiTheme="minorHAnsi" w:hAnsiTheme="minorHAnsi" w:cstheme="minorHAnsi"/>
          <w:sz w:val="22"/>
          <w:szCs w:val="22"/>
        </w:rPr>
        <w:t>5</w:t>
      </w:r>
      <w:r w:rsidRPr="00BD5055">
        <w:rPr>
          <w:rFonts w:asciiTheme="minorHAnsi" w:hAnsiTheme="minorHAnsi" w:cstheme="minorHAnsi"/>
          <w:sz w:val="22"/>
          <w:szCs w:val="22"/>
        </w:rPr>
        <w:t>-2</w:t>
      </w:r>
      <w:r>
        <w:rPr>
          <w:rFonts w:asciiTheme="minorHAnsi" w:hAnsiTheme="minorHAnsi" w:cstheme="minorHAnsi"/>
          <w:sz w:val="22"/>
          <w:szCs w:val="22"/>
        </w:rPr>
        <w:t>6</w:t>
      </w:r>
      <w:r w:rsidRPr="00BD5055">
        <w:rPr>
          <w:rFonts w:asciiTheme="minorHAnsi" w:hAnsiTheme="minorHAnsi" w:cstheme="minorHAnsi"/>
          <w:sz w:val="22"/>
          <w:szCs w:val="22"/>
        </w:rPr>
        <w:t>. Summary of additional sales and additional revenue on account special tariff is given below.</w:t>
      </w:r>
    </w:p>
    <w:p w14:paraId="0F6F3C3B" w14:textId="77777777" w:rsidR="00A97283" w:rsidRDefault="00A97283" w:rsidP="002F2B8B">
      <w:pPr>
        <w:pStyle w:val="BodyText2"/>
        <w:spacing w:line="360" w:lineRule="auto"/>
        <w:ind w:left="567"/>
        <w:jc w:val="center"/>
        <w:rPr>
          <w:rFonts w:asciiTheme="minorHAnsi" w:hAnsiTheme="minorHAnsi" w:cstheme="minorHAnsi"/>
          <w:b/>
          <w:sz w:val="22"/>
          <w:szCs w:val="22"/>
        </w:rPr>
      </w:pPr>
    </w:p>
    <w:p w14:paraId="299FD25E" w14:textId="4AE006BC" w:rsidR="002F2B8B" w:rsidRPr="00BD5055" w:rsidRDefault="002F2B8B" w:rsidP="002F2B8B">
      <w:pPr>
        <w:pStyle w:val="BodyText2"/>
        <w:spacing w:line="360" w:lineRule="auto"/>
        <w:ind w:left="567"/>
        <w:jc w:val="center"/>
        <w:rPr>
          <w:rFonts w:asciiTheme="minorHAnsi" w:hAnsiTheme="minorHAnsi" w:cstheme="minorHAnsi"/>
          <w:b/>
          <w:sz w:val="22"/>
          <w:szCs w:val="22"/>
        </w:rPr>
      </w:pPr>
      <w:r w:rsidRPr="00BD5055">
        <w:rPr>
          <w:rFonts w:asciiTheme="minorHAnsi" w:hAnsiTheme="minorHAnsi" w:cstheme="minorHAnsi"/>
          <w:b/>
          <w:sz w:val="22"/>
          <w:szCs w:val="22"/>
        </w:rPr>
        <w:lastRenderedPageBreak/>
        <w:t>Table-</w:t>
      </w:r>
      <w:r>
        <w:rPr>
          <w:rFonts w:asciiTheme="minorHAnsi" w:hAnsiTheme="minorHAnsi" w:cstheme="minorHAnsi"/>
          <w:b/>
          <w:sz w:val="22"/>
          <w:szCs w:val="22"/>
        </w:rPr>
        <w:t>3</w:t>
      </w:r>
      <w:r w:rsidRPr="00BD5055">
        <w:rPr>
          <w:rFonts w:asciiTheme="minorHAnsi" w:hAnsiTheme="minorHAnsi" w:cstheme="minorHAnsi"/>
          <w:b/>
          <w:sz w:val="22"/>
          <w:szCs w:val="22"/>
        </w:rPr>
        <w:t>: Impact of Special Tariff</w:t>
      </w:r>
    </w:p>
    <w:tbl>
      <w:tblPr>
        <w:tblW w:w="9743" w:type="dxa"/>
        <w:tblInd w:w="562" w:type="dxa"/>
        <w:tblLayout w:type="fixed"/>
        <w:tblLook w:val="04A0" w:firstRow="1" w:lastRow="0" w:firstColumn="1" w:lastColumn="0" w:noHBand="0" w:noVBand="1"/>
      </w:tblPr>
      <w:tblGrid>
        <w:gridCol w:w="1276"/>
        <w:gridCol w:w="992"/>
        <w:gridCol w:w="1276"/>
        <w:gridCol w:w="992"/>
        <w:gridCol w:w="993"/>
        <w:gridCol w:w="1275"/>
        <w:gridCol w:w="993"/>
        <w:gridCol w:w="977"/>
        <w:gridCol w:w="969"/>
      </w:tblGrid>
      <w:tr w:rsidR="002F2B8B" w:rsidRPr="00BD5055" w14:paraId="4A9197E6" w14:textId="77777777" w:rsidTr="00B47073">
        <w:trPr>
          <w:trHeight w:val="146"/>
        </w:trPr>
        <w:tc>
          <w:tcPr>
            <w:tcW w:w="9743" w:type="dxa"/>
            <w:gridSpan w:val="9"/>
            <w:tcBorders>
              <w:top w:val="single" w:sz="4" w:space="0" w:color="auto"/>
              <w:left w:val="single" w:sz="4" w:space="0" w:color="auto"/>
              <w:bottom w:val="single" w:sz="4" w:space="0" w:color="auto"/>
              <w:right w:val="single" w:sz="4" w:space="0" w:color="000000"/>
            </w:tcBorders>
            <w:shd w:val="clear" w:color="auto" w:fill="B8CCE4" w:themeFill="accent1" w:themeFillTint="66"/>
            <w:noWrap/>
            <w:vAlign w:val="center"/>
            <w:hideMark/>
          </w:tcPr>
          <w:p w14:paraId="73562335" w14:textId="77777777" w:rsidR="002F2B8B" w:rsidRPr="00BD5055" w:rsidRDefault="002F2B8B" w:rsidP="00574D2E">
            <w:pPr>
              <w:jc w:val="center"/>
              <w:rPr>
                <w:rFonts w:asciiTheme="minorHAnsi" w:hAnsiTheme="minorHAnsi" w:cstheme="minorHAnsi"/>
                <w:b/>
                <w:bCs/>
                <w:sz w:val="22"/>
                <w:szCs w:val="22"/>
                <w:lang w:val="en-IN" w:eastAsia="en-IN"/>
              </w:rPr>
            </w:pPr>
            <w:r w:rsidRPr="00BD5055">
              <w:rPr>
                <w:rFonts w:asciiTheme="minorHAnsi" w:hAnsiTheme="minorHAnsi" w:cstheme="minorHAnsi"/>
                <w:b/>
                <w:bCs/>
                <w:sz w:val="22"/>
                <w:szCs w:val="22"/>
                <w:lang w:val="en-IN" w:eastAsia="en-IN"/>
              </w:rPr>
              <w:t>Addition Consumption / Revenue due to Special Tariff</w:t>
            </w:r>
          </w:p>
        </w:tc>
      </w:tr>
      <w:tr w:rsidR="002F2B8B" w:rsidRPr="00BD5055" w14:paraId="1F6AC1BD" w14:textId="77777777" w:rsidTr="00B47073">
        <w:trPr>
          <w:trHeight w:val="287"/>
        </w:trPr>
        <w:tc>
          <w:tcPr>
            <w:tcW w:w="1276" w:type="dxa"/>
            <w:tcBorders>
              <w:top w:val="nil"/>
              <w:left w:val="single" w:sz="4" w:space="0" w:color="auto"/>
              <w:bottom w:val="single" w:sz="4" w:space="0" w:color="auto"/>
              <w:right w:val="single" w:sz="4" w:space="0" w:color="auto"/>
            </w:tcBorders>
            <w:shd w:val="clear" w:color="auto" w:fill="B8CCE4" w:themeFill="accent1" w:themeFillTint="66"/>
            <w:noWrap/>
            <w:vAlign w:val="center"/>
            <w:hideMark/>
          </w:tcPr>
          <w:p w14:paraId="4E7D1EE8" w14:textId="77777777" w:rsidR="002F2B8B" w:rsidRPr="00BD5055" w:rsidRDefault="002F2B8B" w:rsidP="00574D2E">
            <w:pPr>
              <w:jc w:val="center"/>
              <w:rPr>
                <w:rFonts w:asciiTheme="minorHAnsi" w:hAnsiTheme="minorHAnsi" w:cstheme="minorHAnsi"/>
                <w:sz w:val="22"/>
                <w:szCs w:val="22"/>
                <w:lang w:val="en-IN" w:eastAsia="en-IN"/>
              </w:rPr>
            </w:pPr>
            <w:r w:rsidRPr="00BD5055">
              <w:rPr>
                <w:rFonts w:asciiTheme="minorHAnsi" w:hAnsiTheme="minorHAnsi" w:cstheme="minorHAnsi"/>
                <w:sz w:val="22"/>
                <w:szCs w:val="22"/>
                <w:lang w:val="en-IN" w:eastAsia="en-IN"/>
              </w:rPr>
              <w:t>Name of Consumer (EHT)</w:t>
            </w:r>
          </w:p>
        </w:tc>
        <w:tc>
          <w:tcPr>
            <w:tcW w:w="3260" w:type="dxa"/>
            <w:gridSpan w:val="3"/>
            <w:tcBorders>
              <w:top w:val="single" w:sz="4" w:space="0" w:color="auto"/>
              <w:left w:val="nil"/>
              <w:bottom w:val="single" w:sz="4" w:space="0" w:color="auto"/>
              <w:right w:val="single" w:sz="4" w:space="0" w:color="auto"/>
            </w:tcBorders>
            <w:shd w:val="clear" w:color="auto" w:fill="B8CCE4" w:themeFill="accent1" w:themeFillTint="66"/>
            <w:vAlign w:val="center"/>
            <w:hideMark/>
          </w:tcPr>
          <w:p w14:paraId="311787A5" w14:textId="77777777" w:rsidR="002F2B8B" w:rsidRPr="00BD5055" w:rsidRDefault="002F2B8B" w:rsidP="00574D2E">
            <w:pPr>
              <w:jc w:val="center"/>
              <w:rPr>
                <w:rFonts w:asciiTheme="minorHAnsi" w:hAnsiTheme="minorHAnsi" w:cstheme="minorHAnsi"/>
                <w:sz w:val="22"/>
                <w:szCs w:val="22"/>
                <w:lang w:val="en-IN" w:eastAsia="en-IN"/>
              </w:rPr>
            </w:pPr>
            <w:r w:rsidRPr="00BD5055">
              <w:rPr>
                <w:rFonts w:asciiTheme="minorHAnsi" w:hAnsiTheme="minorHAnsi" w:cstheme="minorHAnsi"/>
                <w:sz w:val="22"/>
                <w:szCs w:val="22"/>
                <w:lang w:val="en-IN" w:eastAsia="en-IN"/>
              </w:rPr>
              <w:t>Current_Year_FY.202</w:t>
            </w:r>
            <w:r>
              <w:rPr>
                <w:rFonts w:asciiTheme="minorHAnsi" w:hAnsiTheme="minorHAnsi" w:cstheme="minorHAnsi"/>
                <w:sz w:val="22"/>
                <w:szCs w:val="22"/>
                <w:lang w:val="en-IN" w:eastAsia="en-IN"/>
              </w:rPr>
              <w:t>4</w:t>
            </w:r>
            <w:r w:rsidRPr="00BD5055">
              <w:rPr>
                <w:rFonts w:asciiTheme="minorHAnsi" w:hAnsiTheme="minorHAnsi" w:cstheme="minorHAnsi"/>
                <w:sz w:val="22"/>
                <w:szCs w:val="22"/>
                <w:lang w:val="en-IN" w:eastAsia="en-IN"/>
              </w:rPr>
              <w:t>-2</w:t>
            </w:r>
            <w:r>
              <w:rPr>
                <w:rFonts w:asciiTheme="minorHAnsi" w:hAnsiTheme="minorHAnsi" w:cstheme="minorHAnsi"/>
                <w:sz w:val="22"/>
                <w:szCs w:val="22"/>
                <w:lang w:val="en-IN" w:eastAsia="en-IN"/>
              </w:rPr>
              <w:t>5</w:t>
            </w:r>
            <w:r w:rsidRPr="00BD5055">
              <w:rPr>
                <w:rFonts w:asciiTheme="minorHAnsi" w:hAnsiTheme="minorHAnsi" w:cstheme="minorHAnsi"/>
                <w:sz w:val="22"/>
                <w:szCs w:val="22"/>
                <w:lang w:val="en-IN" w:eastAsia="en-IN"/>
              </w:rPr>
              <w:t xml:space="preserve"> (MU)</w:t>
            </w:r>
          </w:p>
        </w:tc>
        <w:tc>
          <w:tcPr>
            <w:tcW w:w="3261" w:type="dxa"/>
            <w:gridSpan w:val="3"/>
            <w:tcBorders>
              <w:top w:val="single" w:sz="4" w:space="0" w:color="auto"/>
              <w:left w:val="nil"/>
              <w:bottom w:val="single" w:sz="4" w:space="0" w:color="auto"/>
              <w:right w:val="single" w:sz="4" w:space="0" w:color="auto"/>
            </w:tcBorders>
            <w:shd w:val="clear" w:color="auto" w:fill="B8CCE4" w:themeFill="accent1" w:themeFillTint="66"/>
            <w:vAlign w:val="center"/>
            <w:hideMark/>
          </w:tcPr>
          <w:p w14:paraId="6EBB84DA" w14:textId="77777777" w:rsidR="002F2B8B" w:rsidRPr="00BD5055" w:rsidRDefault="002F2B8B" w:rsidP="00574D2E">
            <w:pPr>
              <w:jc w:val="center"/>
              <w:rPr>
                <w:rFonts w:asciiTheme="minorHAnsi" w:hAnsiTheme="minorHAnsi" w:cstheme="minorHAnsi"/>
                <w:sz w:val="22"/>
                <w:szCs w:val="22"/>
                <w:lang w:val="en-IN" w:eastAsia="en-IN"/>
              </w:rPr>
            </w:pPr>
            <w:r w:rsidRPr="00BD5055">
              <w:rPr>
                <w:rFonts w:asciiTheme="minorHAnsi" w:hAnsiTheme="minorHAnsi" w:cstheme="minorHAnsi"/>
                <w:sz w:val="22"/>
                <w:szCs w:val="22"/>
                <w:lang w:val="en-IN" w:eastAsia="en-IN"/>
              </w:rPr>
              <w:t>Ensuing_Year_FY.202</w:t>
            </w:r>
            <w:r>
              <w:rPr>
                <w:rFonts w:asciiTheme="minorHAnsi" w:hAnsiTheme="minorHAnsi" w:cstheme="minorHAnsi"/>
                <w:sz w:val="22"/>
                <w:szCs w:val="22"/>
                <w:lang w:val="en-IN" w:eastAsia="en-IN"/>
              </w:rPr>
              <w:t>5</w:t>
            </w:r>
            <w:r w:rsidRPr="00BD5055">
              <w:rPr>
                <w:rFonts w:asciiTheme="minorHAnsi" w:hAnsiTheme="minorHAnsi" w:cstheme="minorHAnsi"/>
                <w:sz w:val="22"/>
                <w:szCs w:val="22"/>
                <w:lang w:val="en-IN" w:eastAsia="en-IN"/>
              </w:rPr>
              <w:t>-2</w:t>
            </w:r>
            <w:r>
              <w:rPr>
                <w:rFonts w:asciiTheme="minorHAnsi" w:hAnsiTheme="minorHAnsi" w:cstheme="minorHAnsi"/>
                <w:sz w:val="22"/>
                <w:szCs w:val="22"/>
                <w:lang w:val="en-IN" w:eastAsia="en-IN"/>
              </w:rPr>
              <w:t>6</w:t>
            </w:r>
            <w:r w:rsidRPr="00BD5055">
              <w:rPr>
                <w:rFonts w:asciiTheme="minorHAnsi" w:hAnsiTheme="minorHAnsi" w:cstheme="minorHAnsi"/>
                <w:sz w:val="22"/>
                <w:szCs w:val="22"/>
                <w:lang w:val="en-IN" w:eastAsia="en-IN"/>
              </w:rPr>
              <w:t xml:space="preserve"> (MU)</w:t>
            </w:r>
          </w:p>
        </w:tc>
        <w:tc>
          <w:tcPr>
            <w:tcW w:w="1946" w:type="dxa"/>
            <w:gridSpan w:val="2"/>
            <w:tcBorders>
              <w:top w:val="single" w:sz="4" w:space="0" w:color="auto"/>
              <w:left w:val="nil"/>
              <w:bottom w:val="single" w:sz="4" w:space="0" w:color="auto"/>
              <w:right w:val="single" w:sz="4" w:space="0" w:color="auto"/>
            </w:tcBorders>
            <w:shd w:val="clear" w:color="auto" w:fill="B8CCE4" w:themeFill="accent1" w:themeFillTint="66"/>
            <w:vAlign w:val="center"/>
            <w:hideMark/>
          </w:tcPr>
          <w:p w14:paraId="2AE49D14" w14:textId="13EBDFC9" w:rsidR="002F2B8B" w:rsidRPr="00BD5055" w:rsidRDefault="002F2B8B" w:rsidP="00574D2E">
            <w:pPr>
              <w:jc w:val="center"/>
              <w:rPr>
                <w:rFonts w:asciiTheme="minorHAnsi" w:hAnsiTheme="minorHAnsi" w:cstheme="minorHAnsi"/>
                <w:b/>
                <w:bCs/>
                <w:color w:val="FF0000"/>
                <w:sz w:val="22"/>
                <w:szCs w:val="22"/>
                <w:lang w:val="en-IN" w:eastAsia="en-IN"/>
              </w:rPr>
            </w:pPr>
            <w:r w:rsidRPr="00BD5055">
              <w:rPr>
                <w:rFonts w:asciiTheme="minorHAnsi" w:hAnsiTheme="minorHAnsi" w:cstheme="minorHAnsi"/>
                <w:b/>
                <w:bCs/>
                <w:sz w:val="22"/>
                <w:szCs w:val="22"/>
                <w:lang w:val="en-IN" w:eastAsia="en-IN"/>
              </w:rPr>
              <w:t>Additional Revenue (Rs.</w:t>
            </w:r>
            <w:r w:rsidR="0085348F">
              <w:rPr>
                <w:rFonts w:asciiTheme="minorHAnsi" w:hAnsiTheme="minorHAnsi" w:cstheme="minorHAnsi"/>
                <w:b/>
                <w:bCs/>
                <w:sz w:val="22"/>
                <w:szCs w:val="22"/>
                <w:lang w:val="en-IN" w:eastAsia="en-IN"/>
              </w:rPr>
              <w:t xml:space="preserve"> </w:t>
            </w:r>
            <w:proofErr w:type="spellStart"/>
            <w:r w:rsidRPr="00BD5055">
              <w:rPr>
                <w:rFonts w:asciiTheme="minorHAnsi" w:hAnsiTheme="minorHAnsi" w:cstheme="minorHAnsi"/>
                <w:b/>
                <w:bCs/>
                <w:sz w:val="22"/>
                <w:szCs w:val="22"/>
                <w:lang w:val="en-IN" w:eastAsia="en-IN"/>
              </w:rPr>
              <w:t>Crs</w:t>
            </w:r>
            <w:proofErr w:type="spellEnd"/>
            <w:r w:rsidRPr="00BD5055">
              <w:rPr>
                <w:rFonts w:asciiTheme="minorHAnsi" w:hAnsiTheme="minorHAnsi" w:cstheme="minorHAnsi"/>
                <w:b/>
                <w:bCs/>
                <w:sz w:val="22"/>
                <w:szCs w:val="22"/>
                <w:lang w:val="en-IN" w:eastAsia="en-IN"/>
              </w:rPr>
              <w:t>.)</w:t>
            </w:r>
          </w:p>
        </w:tc>
      </w:tr>
      <w:tr w:rsidR="002F2B8B" w:rsidRPr="00BD5055" w14:paraId="27BD24FF" w14:textId="77777777" w:rsidTr="00B47073">
        <w:trPr>
          <w:trHeight w:val="52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5D972F59" w14:textId="77777777" w:rsidR="002F2B8B" w:rsidRPr="00BD5055" w:rsidRDefault="002F2B8B" w:rsidP="00574D2E">
            <w:pPr>
              <w:rPr>
                <w:rFonts w:asciiTheme="minorHAnsi" w:hAnsiTheme="minorHAnsi" w:cstheme="minorHAnsi"/>
                <w:sz w:val="22"/>
                <w:szCs w:val="22"/>
                <w:lang w:val="en-IN" w:eastAsia="en-IN"/>
              </w:rPr>
            </w:pPr>
            <w:r w:rsidRPr="00BD5055">
              <w:rPr>
                <w:rFonts w:asciiTheme="minorHAnsi" w:hAnsiTheme="minorHAnsi" w:cstheme="minorHAnsi"/>
                <w:sz w:val="22"/>
                <w:szCs w:val="22"/>
                <w:lang w:val="en-IN" w:eastAsia="en-IN"/>
              </w:rPr>
              <w:t> </w:t>
            </w:r>
          </w:p>
        </w:tc>
        <w:tc>
          <w:tcPr>
            <w:tcW w:w="992" w:type="dxa"/>
            <w:tcBorders>
              <w:top w:val="nil"/>
              <w:left w:val="nil"/>
              <w:bottom w:val="single" w:sz="4" w:space="0" w:color="auto"/>
              <w:right w:val="single" w:sz="4" w:space="0" w:color="auto"/>
            </w:tcBorders>
            <w:shd w:val="clear" w:color="auto" w:fill="auto"/>
            <w:vAlign w:val="center"/>
            <w:hideMark/>
          </w:tcPr>
          <w:p w14:paraId="0C00524F" w14:textId="77777777" w:rsidR="002F2B8B" w:rsidRPr="00BD5055" w:rsidRDefault="002F2B8B" w:rsidP="00574D2E">
            <w:pPr>
              <w:jc w:val="center"/>
              <w:rPr>
                <w:rFonts w:asciiTheme="minorHAnsi" w:hAnsiTheme="minorHAnsi" w:cstheme="minorHAnsi"/>
                <w:sz w:val="22"/>
                <w:szCs w:val="22"/>
                <w:lang w:val="en-IN" w:eastAsia="en-IN"/>
              </w:rPr>
            </w:pPr>
            <w:r w:rsidRPr="00BD5055">
              <w:rPr>
                <w:rFonts w:asciiTheme="minorHAnsi" w:hAnsiTheme="minorHAnsi" w:cstheme="minorHAnsi"/>
                <w:sz w:val="22"/>
                <w:szCs w:val="22"/>
                <w:lang w:val="en-IN" w:eastAsia="en-IN"/>
              </w:rPr>
              <w:t>Normal (As per Trend)</w:t>
            </w:r>
          </w:p>
        </w:tc>
        <w:tc>
          <w:tcPr>
            <w:tcW w:w="1276" w:type="dxa"/>
            <w:tcBorders>
              <w:top w:val="nil"/>
              <w:left w:val="nil"/>
              <w:bottom w:val="single" w:sz="4" w:space="0" w:color="auto"/>
              <w:right w:val="single" w:sz="4" w:space="0" w:color="auto"/>
            </w:tcBorders>
            <w:shd w:val="clear" w:color="auto" w:fill="auto"/>
            <w:vAlign w:val="center"/>
            <w:hideMark/>
          </w:tcPr>
          <w:p w14:paraId="03626689" w14:textId="77777777" w:rsidR="002F2B8B" w:rsidRPr="00BD5055" w:rsidRDefault="002F2B8B" w:rsidP="00574D2E">
            <w:pPr>
              <w:jc w:val="center"/>
              <w:rPr>
                <w:rFonts w:asciiTheme="minorHAnsi" w:hAnsiTheme="minorHAnsi" w:cstheme="minorHAnsi"/>
                <w:sz w:val="22"/>
                <w:szCs w:val="22"/>
                <w:lang w:val="en-IN" w:eastAsia="en-IN"/>
              </w:rPr>
            </w:pPr>
            <w:r w:rsidRPr="00BD5055">
              <w:rPr>
                <w:rFonts w:asciiTheme="minorHAnsi" w:hAnsiTheme="minorHAnsi" w:cstheme="minorHAnsi"/>
                <w:sz w:val="22"/>
                <w:szCs w:val="22"/>
                <w:lang w:val="en-IN" w:eastAsia="en-IN"/>
              </w:rPr>
              <w:t>Additional (Due to Special Tariff)</w:t>
            </w:r>
          </w:p>
        </w:tc>
        <w:tc>
          <w:tcPr>
            <w:tcW w:w="992" w:type="dxa"/>
            <w:tcBorders>
              <w:top w:val="nil"/>
              <w:left w:val="nil"/>
              <w:bottom w:val="single" w:sz="4" w:space="0" w:color="auto"/>
              <w:right w:val="single" w:sz="4" w:space="0" w:color="auto"/>
            </w:tcBorders>
            <w:shd w:val="clear" w:color="auto" w:fill="auto"/>
            <w:vAlign w:val="center"/>
            <w:hideMark/>
          </w:tcPr>
          <w:p w14:paraId="71045455" w14:textId="77777777" w:rsidR="002F2B8B" w:rsidRPr="00BD5055" w:rsidRDefault="002F2B8B" w:rsidP="00574D2E">
            <w:pPr>
              <w:jc w:val="center"/>
              <w:rPr>
                <w:rFonts w:asciiTheme="minorHAnsi" w:hAnsiTheme="minorHAnsi" w:cstheme="minorHAnsi"/>
                <w:b/>
                <w:bCs/>
                <w:sz w:val="22"/>
                <w:szCs w:val="22"/>
                <w:lang w:val="en-IN" w:eastAsia="en-IN"/>
              </w:rPr>
            </w:pPr>
            <w:r w:rsidRPr="00BD5055">
              <w:rPr>
                <w:rFonts w:asciiTheme="minorHAnsi" w:hAnsiTheme="minorHAnsi" w:cstheme="minorHAnsi"/>
                <w:b/>
                <w:bCs/>
                <w:sz w:val="22"/>
                <w:szCs w:val="22"/>
                <w:lang w:val="en-IN" w:eastAsia="en-IN"/>
              </w:rPr>
              <w:t>Total</w:t>
            </w:r>
          </w:p>
        </w:tc>
        <w:tc>
          <w:tcPr>
            <w:tcW w:w="993" w:type="dxa"/>
            <w:tcBorders>
              <w:top w:val="nil"/>
              <w:left w:val="nil"/>
              <w:bottom w:val="single" w:sz="4" w:space="0" w:color="auto"/>
              <w:right w:val="single" w:sz="4" w:space="0" w:color="auto"/>
            </w:tcBorders>
            <w:shd w:val="clear" w:color="auto" w:fill="auto"/>
            <w:vAlign w:val="center"/>
            <w:hideMark/>
          </w:tcPr>
          <w:p w14:paraId="4E24346B" w14:textId="77777777" w:rsidR="002F2B8B" w:rsidRPr="00BD5055" w:rsidRDefault="002F2B8B" w:rsidP="00574D2E">
            <w:pPr>
              <w:jc w:val="center"/>
              <w:rPr>
                <w:rFonts w:asciiTheme="minorHAnsi" w:hAnsiTheme="minorHAnsi" w:cstheme="minorHAnsi"/>
                <w:sz w:val="22"/>
                <w:szCs w:val="22"/>
                <w:lang w:val="en-IN" w:eastAsia="en-IN"/>
              </w:rPr>
            </w:pPr>
            <w:r w:rsidRPr="00BD5055">
              <w:rPr>
                <w:rFonts w:asciiTheme="minorHAnsi" w:hAnsiTheme="minorHAnsi" w:cstheme="minorHAnsi"/>
                <w:sz w:val="22"/>
                <w:szCs w:val="22"/>
                <w:lang w:val="en-IN" w:eastAsia="en-IN"/>
              </w:rPr>
              <w:t>Normal (As per Trend)</w:t>
            </w:r>
          </w:p>
        </w:tc>
        <w:tc>
          <w:tcPr>
            <w:tcW w:w="1275" w:type="dxa"/>
            <w:tcBorders>
              <w:top w:val="nil"/>
              <w:left w:val="nil"/>
              <w:bottom w:val="single" w:sz="4" w:space="0" w:color="auto"/>
              <w:right w:val="single" w:sz="4" w:space="0" w:color="auto"/>
            </w:tcBorders>
            <w:shd w:val="clear" w:color="auto" w:fill="auto"/>
            <w:vAlign w:val="center"/>
            <w:hideMark/>
          </w:tcPr>
          <w:p w14:paraId="5DFBCA4E" w14:textId="77777777" w:rsidR="002F2B8B" w:rsidRPr="00BD5055" w:rsidRDefault="002F2B8B" w:rsidP="00574D2E">
            <w:pPr>
              <w:jc w:val="center"/>
              <w:rPr>
                <w:rFonts w:asciiTheme="minorHAnsi" w:hAnsiTheme="minorHAnsi" w:cstheme="minorHAnsi"/>
                <w:sz w:val="22"/>
                <w:szCs w:val="22"/>
                <w:lang w:val="en-IN" w:eastAsia="en-IN"/>
              </w:rPr>
            </w:pPr>
            <w:r w:rsidRPr="00BD5055">
              <w:rPr>
                <w:rFonts w:asciiTheme="minorHAnsi" w:hAnsiTheme="minorHAnsi" w:cstheme="minorHAnsi"/>
                <w:sz w:val="22"/>
                <w:szCs w:val="22"/>
                <w:lang w:val="en-IN" w:eastAsia="en-IN"/>
              </w:rPr>
              <w:t>Additional (Due to Special Tariff)</w:t>
            </w:r>
          </w:p>
        </w:tc>
        <w:tc>
          <w:tcPr>
            <w:tcW w:w="993" w:type="dxa"/>
            <w:tcBorders>
              <w:top w:val="nil"/>
              <w:left w:val="nil"/>
              <w:bottom w:val="single" w:sz="4" w:space="0" w:color="auto"/>
              <w:right w:val="single" w:sz="4" w:space="0" w:color="auto"/>
            </w:tcBorders>
            <w:shd w:val="clear" w:color="auto" w:fill="auto"/>
            <w:vAlign w:val="center"/>
            <w:hideMark/>
          </w:tcPr>
          <w:p w14:paraId="1F8CFF95" w14:textId="77777777" w:rsidR="002F2B8B" w:rsidRPr="00BD5055" w:rsidRDefault="002F2B8B" w:rsidP="00574D2E">
            <w:pPr>
              <w:jc w:val="center"/>
              <w:rPr>
                <w:rFonts w:asciiTheme="minorHAnsi" w:hAnsiTheme="minorHAnsi" w:cstheme="minorHAnsi"/>
                <w:b/>
                <w:bCs/>
                <w:sz w:val="22"/>
                <w:szCs w:val="22"/>
                <w:lang w:val="en-IN" w:eastAsia="en-IN"/>
              </w:rPr>
            </w:pPr>
            <w:r w:rsidRPr="00BD5055">
              <w:rPr>
                <w:rFonts w:asciiTheme="minorHAnsi" w:hAnsiTheme="minorHAnsi" w:cstheme="minorHAnsi"/>
                <w:b/>
                <w:bCs/>
                <w:sz w:val="22"/>
                <w:szCs w:val="22"/>
                <w:lang w:val="en-IN" w:eastAsia="en-IN"/>
              </w:rPr>
              <w:t>Total</w:t>
            </w:r>
          </w:p>
        </w:tc>
        <w:tc>
          <w:tcPr>
            <w:tcW w:w="977" w:type="dxa"/>
            <w:tcBorders>
              <w:top w:val="nil"/>
              <w:left w:val="nil"/>
              <w:bottom w:val="single" w:sz="4" w:space="0" w:color="auto"/>
              <w:right w:val="single" w:sz="4" w:space="0" w:color="auto"/>
            </w:tcBorders>
            <w:shd w:val="clear" w:color="auto" w:fill="auto"/>
            <w:vAlign w:val="center"/>
            <w:hideMark/>
          </w:tcPr>
          <w:p w14:paraId="7F35CA85" w14:textId="77777777" w:rsidR="002F2B8B" w:rsidRPr="00BD5055" w:rsidRDefault="002F2B8B" w:rsidP="00574D2E">
            <w:pPr>
              <w:jc w:val="center"/>
              <w:rPr>
                <w:rFonts w:asciiTheme="minorHAnsi" w:hAnsiTheme="minorHAnsi" w:cstheme="minorHAnsi"/>
                <w:b/>
                <w:bCs/>
                <w:sz w:val="22"/>
                <w:szCs w:val="22"/>
                <w:lang w:val="en-IN" w:eastAsia="en-IN"/>
              </w:rPr>
            </w:pPr>
            <w:r w:rsidRPr="00BD5055">
              <w:rPr>
                <w:rFonts w:asciiTheme="minorHAnsi" w:hAnsiTheme="minorHAnsi" w:cstheme="minorHAnsi"/>
                <w:b/>
                <w:bCs/>
                <w:sz w:val="22"/>
                <w:szCs w:val="22"/>
                <w:lang w:val="en-IN" w:eastAsia="en-IN"/>
              </w:rPr>
              <w:t>Current Year</w:t>
            </w:r>
          </w:p>
        </w:tc>
        <w:tc>
          <w:tcPr>
            <w:tcW w:w="969" w:type="dxa"/>
            <w:tcBorders>
              <w:top w:val="nil"/>
              <w:left w:val="nil"/>
              <w:bottom w:val="single" w:sz="4" w:space="0" w:color="auto"/>
              <w:right w:val="single" w:sz="4" w:space="0" w:color="auto"/>
            </w:tcBorders>
            <w:shd w:val="clear" w:color="auto" w:fill="auto"/>
            <w:vAlign w:val="center"/>
            <w:hideMark/>
          </w:tcPr>
          <w:p w14:paraId="4DA756E3" w14:textId="77777777" w:rsidR="002F2B8B" w:rsidRPr="00BD5055" w:rsidRDefault="002F2B8B" w:rsidP="00574D2E">
            <w:pPr>
              <w:jc w:val="center"/>
              <w:rPr>
                <w:rFonts w:asciiTheme="minorHAnsi" w:hAnsiTheme="minorHAnsi" w:cstheme="minorHAnsi"/>
                <w:b/>
                <w:bCs/>
                <w:sz w:val="22"/>
                <w:szCs w:val="22"/>
                <w:lang w:val="en-IN" w:eastAsia="en-IN"/>
              </w:rPr>
            </w:pPr>
            <w:r w:rsidRPr="00BD5055">
              <w:rPr>
                <w:rFonts w:asciiTheme="minorHAnsi" w:hAnsiTheme="minorHAnsi" w:cstheme="minorHAnsi"/>
                <w:b/>
                <w:bCs/>
                <w:sz w:val="22"/>
                <w:szCs w:val="22"/>
                <w:lang w:val="en-IN" w:eastAsia="en-IN"/>
              </w:rPr>
              <w:t>Ensuing Year</w:t>
            </w:r>
          </w:p>
        </w:tc>
      </w:tr>
      <w:tr w:rsidR="002F2B8B" w:rsidRPr="00BD5055" w14:paraId="7EA6458A" w14:textId="77777777" w:rsidTr="00B47073">
        <w:trPr>
          <w:trHeight w:val="139"/>
        </w:trPr>
        <w:tc>
          <w:tcPr>
            <w:tcW w:w="127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E411F02" w14:textId="77777777" w:rsidR="002F2B8B" w:rsidRPr="00BD5055" w:rsidRDefault="002F2B8B" w:rsidP="00574D2E">
            <w:pPr>
              <w:rPr>
                <w:rFonts w:asciiTheme="minorHAnsi" w:hAnsiTheme="minorHAnsi" w:cstheme="minorHAnsi"/>
                <w:sz w:val="22"/>
                <w:szCs w:val="22"/>
                <w:lang w:val="en-IN" w:eastAsia="en-IN"/>
              </w:rPr>
            </w:pPr>
            <w:r w:rsidRPr="00BD5055">
              <w:rPr>
                <w:rFonts w:asciiTheme="minorHAnsi" w:hAnsiTheme="minorHAnsi" w:cstheme="minorHAnsi"/>
                <w:sz w:val="22"/>
                <w:szCs w:val="22"/>
                <w:lang w:val="en-IN" w:eastAsia="en-IN"/>
              </w:rPr>
              <w:t>Jindal Steel &amp; Power Ltd</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34F576F" w14:textId="77777777" w:rsidR="002F2B8B" w:rsidRPr="00BD5055" w:rsidRDefault="002F2B8B" w:rsidP="0085348F">
            <w:pPr>
              <w:rPr>
                <w:rFonts w:asciiTheme="minorHAnsi" w:hAnsiTheme="minorHAnsi" w:cstheme="minorHAnsi"/>
                <w:sz w:val="22"/>
                <w:szCs w:val="22"/>
                <w:lang w:val="en-IN" w:eastAsia="en-IN"/>
              </w:rPr>
            </w:pPr>
            <w:r w:rsidRPr="0085348F">
              <w:rPr>
                <w:rFonts w:asciiTheme="minorHAnsi" w:hAnsiTheme="minorHAnsi" w:cstheme="minorHAnsi"/>
                <w:sz w:val="22"/>
                <w:szCs w:val="22"/>
                <w:lang w:val="en-IN" w:eastAsia="en-IN"/>
              </w:rPr>
              <w:t>26.251</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5DA10A5" w14:textId="77777777" w:rsidR="002F2B8B" w:rsidRPr="00BD5055" w:rsidRDefault="002F2B8B" w:rsidP="0085348F">
            <w:pPr>
              <w:jc w:val="center"/>
              <w:rPr>
                <w:rFonts w:asciiTheme="minorHAnsi" w:hAnsiTheme="minorHAnsi" w:cstheme="minorHAnsi"/>
                <w:sz w:val="22"/>
                <w:szCs w:val="22"/>
                <w:lang w:val="en-IN" w:eastAsia="en-IN"/>
              </w:rPr>
            </w:pPr>
            <w:r w:rsidRPr="0085348F">
              <w:rPr>
                <w:rFonts w:asciiTheme="minorHAnsi" w:hAnsiTheme="minorHAnsi" w:cstheme="minorHAnsi"/>
                <w:sz w:val="22"/>
                <w:szCs w:val="22"/>
                <w:lang w:val="en-IN" w:eastAsia="en-IN"/>
              </w:rPr>
              <w:t>116.463</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9BD632F" w14:textId="77777777" w:rsidR="002F2B8B" w:rsidRPr="0085348F" w:rsidRDefault="002F2B8B" w:rsidP="0085348F">
            <w:pPr>
              <w:jc w:val="center"/>
              <w:rPr>
                <w:rFonts w:asciiTheme="minorHAnsi" w:hAnsiTheme="minorHAnsi" w:cstheme="minorHAnsi"/>
                <w:sz w:val="22"/>
                <w:szCs w:val="22"/>
                <w:lang w:val="en-IN" w:eastAsia="en-IN"/>
              </w:rPr>
            </w:pPr>
            <w:r w:rsidRPr="0085348F">
              <w:rPr>
                <w:rFonts w:asciiTheme="minorHAnsi" w:hAnsiTheme="minorHAnsi" w:cstheme="minorHAnsi"/>
                <w:sz w:val="22"/>
                <w:szCs w:val="22"/>
                <w:lang w:val="en-IN" w:eastAsia="en-IN"/>
              </w:rPr>
              <w:t>142.714</w:t>
            </w:r>
          </w:p>
        </w:tc>
        <w:tc>
          <w:tcPr>
            <w:tcW w:w="99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192C25C" w14:textId="77777777" w:rsidR="002F2B8B" w:rsidRPr="00BD5055" w:rsidRDefault="002F2B8B" w:rsidP="0085348F">
            <w:pPr>
              <w:jc w:val="center"/>
              <w:rPr>
                <w:rFonts w:asciiTheme="minorHAnsi" w:hAnsiTheme="minorHAnsi" w:cstheme="minorHAnsi"/>
                <w:sz w:val="22"/>
                <w:szCs w:val="22"/>
                <w:lang w:val="en-IN" w:eastAsia="en-IN"/>
              </w:rPr>
            </w:pPr>
            <w:r w:rsidRPr="0085348F">
              <w:rPr>
                <w:rFonts w:asciiTheme="minorHAnsi" w:hAnsiTheme="minorHAnsi" w:cstheme="minorHAnsi"/>
                <w:sz w:val="22"/>
                <w:szCs w:val="22"/>
                <w:lang w:val="en-IN" w:eastAsia="en-IN"/>
              </w:rPr>
              <w:t>26.251</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6373DC7" w14:textId="77777777" w:rsidR="002F2B8B" w:rsidRPr="00BD5055" w:rsidRDefault="002F2B8B" w:rsidP="0085348F">
            <w:pPr>
              <w:jc w:val="center"/>
              <w:rPr>
                <w:rFonts w:asciiTheme="minorHAnsi" w:hAnsiTheme="minorHAnsi" w:cstheme="minorHAnsi"/>
                <w:sz w:val="22"/>
                <w:szCs w:val="22"/>
                <w:lang w:val="en-IN" w:eastAsia="en-IN"/>
              </w:rPr>
            </w:pPr>
            <w:r w:rsidRPr="0085348F">
              <w:rPr>
                <w:rFonts w:asciiTheme="minorHAnsi" w:hAnsiTheme="minorHAnsi" w:cstheme="minorHAnsi"/>
                <w:sz w:val="22"/>
                <w:szCs w:val="22"/>
                <w:lang w:val="en-IN" w:eastAsia="en-IN"/>
              </w:rPr>
              <w:t>118.445</w:t>
            </w:r>
          </w:p>
        </w:tc>
        <w:tc>
          <w:tcPr>
            <w:tcW w:w="99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049ECE3" w14:textId="77777777" w:rsidR="002F2B8B" w:rsidRPr="0085348F" w:rsidRDefault="002F2B8B" w:rsidP="0085348F">
            <w:pPr>
              <w:jc w:val="center"/>
              <w:rPr>
                <w:rFonts w:asciiTheme="minorHAnsi" w:hAnsiTheme="minorHAnsi" w:cstheme="minorHAnsi"/>
                <w:sz w:val="22"/>
                <w:szCs w:val="22"/>
                <w:lang w:val="en-IN" w:eastAsia="en-IN"/>
              </w:rPr>
            </w:pPr>
            <w:r w:rsidRPr="0085348F">
              <w:rPr>
                <w:rFonts w:asciiTheme="minorHAnsi" w:hAnsiTheme="minorHAnsi" w:cstheme="minorHAnsi"/>
                <w:sz w:val="22"/>
                <w:szCs w:val="22"/>
                <w:lang w:val="en-IN" w:eastAsia="en-IN"/>
              </w:rPr>
              <w:t>144.696</w:t>
            </w:r>
          </w:p>
        </w:tc>
        <w:tc>
          <w:tcPr>
            <w:tcW w:w="97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F118207" w14:textId="77777777" w:rsidR="002F2B8B" w:rsidRPr="00BD5055" w:rsidRDefault="002F2B8B" w:rsidP="0085348F">
            <w:pPr>
              <w:jc w:val="center"/>
              <w:rPr>
                <w:rFonts w:asciiTheme="minorHAnsi" w:hAnsiTheme="minorHAnsi" w:cstheme="minorHAnsi"/>
                <w:sz w:val="22"/>
                <w:szCs w:val="22"/>
                <w:lang w:val="en-IN" w:eastAsia="en-IN"/>
              </w:rPr>
            </w:pPr>
            <w:r w:rsidRPr="0085348F">
              <w:rPr>
                <w:rFonts w:asciiTheme="minorHAnsi" w:hAnsiTheme="minorHAnsi" w:cstheme="minorHAnsi"/>
                <w:sz w:val="22"/>
                <w:szCs w:val="22"/>
                <w:lang w:val="en-IN" w:eastAsia="en-IN"/>
              </w:rPr>
              <w:t>61.48</w:t>
            </w:r>
          </w:p>
        </w:tc>
        <w:tc>
          <w:tcPr>
            <w:tcW w:w="96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DB61DE8" w14:textId="77777777" w:rsidR="002F2B8B" w:rsidRPr="0085348F" w:rsidRDefault="002F2B8B" w:rsidP="0085348F">
            <w:pPr>
              <w:jc w:val="center"/>
              <w:rPr>
                <w:rFonts w:asciiTheme="minorHAnsi" w:hAnsiTheme="minorHAnsi" w:cstheme="minorHAnsi"/>
                <w:sz w:val="22"/>
                <w:szCs w:val="22"/>
                <w:lang w:val="en-IN" w:eastAsia="en-IN"/>
              </w:rPr>
            </w:pPr>
            <w:r w:rsidRPr="0085348F">
              <w:rPr>
                <w:rFonts w:asciiTheme="minorHAnsi" w:hAnsiTheme="minorHAnsi" w:cstheme="minorHAnsi"/>
                <w:sz w:val="22"/>
                <w:szCs w:val="22"/>
                <w:lang w:val="en-IN" w:eastAsia="en-IN"/>
              </w:rPr>
              <w:t>62.29</w:t>
            </w:r>
          </w:p>
        </w:tc>
      </w:tr>
      <w:tr w:rsidR="002F2B8B" w:rsidRPr="00BD5055" w14:paraId="1FFA81A2" w14:textId="77777777" w:rsidTr="00B47073">
        <w:trPr>
          <w:trHeight w:val="139"/>
        </w:trPr>
        <w:tc>
          <w:tcPr>
            <w:tcW w:w="1276" w:type="dxa"/>
            <w:tcBorders>
              <w:top w:val="single" w:sz="4" w:space="0" w:color="auto"/>
              <w:left w:val="single" w:sz="4" w:space="0" w:color="auto"/>
              <w:bottom w:val="single" w:sz="4" w:space="0" w:color="auto"/>
              <w:right w:val="single" w:sz="4" w:space="0" w:color="auto"/>
            </w:tcBorders>
            <w:shd w:val="clear" w:color="auto" w:fill="95B3D7" w:themeFill="accent1" w:themeFillTint="99"/>
            <w:noWrap/>
            <w:vAlign w:val="center"/>
            <w:hideMark/>
          </w:tcPr>
          <w:p w14:paraId="4BC6AD80" w14:textId="77777777" w:rsidR="002F2B8B" w:rsidRPr="00BD5055" w:rsidRDefault="002F2B8B" w:rsidP="00574D2E">
            <w:pPr>
              <w:rPr>
                <w:rFonts w:asciiTheme="minorHAnsi" w:hAnsiTheme="minorHAnsi" w:cstheme="minorHAnsi"/>
                <w:sz w:val="22"/>
                <w:szCs w:val="22"/>
                <w:lang w:val="en-IN" w:eastAsia="en-IN"/>
              </w:rPr>
            </w:pPr>
            <w:r w:rsidRPr="00BD5055">
              <w:rPr>
                <w:rFonts w:asciiTheme="minorHAnsi" w:hAnsiTheme="minorHAnsi" w:cstheme="minorHAnsi"/>
                <w:sz w:val="22"/>
                <w:szCs w:val="22"/>
                <w:lang w:val="en-IN" w:eastAsia="en-IN"/>
              </w:rPr>
              <w:t>Total</w:t>
            </w:r>
          </w:p>
        </w:tc>
        <w:tc>
          <w:tcPr>
            <w:tcW w:w="992" w:type="dxa"/>
            <w:tcBorders>
              <w:top w:val="single" w:sz="4" w:space="0" w:color="auto"/>
              <w:left w:val="nil"/>
              <w:bottom w:val="single" w:sz="4" w:space="0" w:color="auto"/>
              <w:right w:val="single" w:sz="4" w:space="0" w:color="auto"/>
            </w:tcBorders>
            <w:shd w:val="clear" w:color="auto" w:fill="95B3D7" w:themeFill="accent1" w:themeFillTint="99"/>
            <w:noWrap/>
            <w:vAlign w:val="bottom"/>
            <w:hideMark/>
          </w:tcPr>
          <w:p w14:paraId="1FFAF6C5" w14:textId="77777777" w:rsidR="002F2B8B" w:rsidRPr="00BD5055" w:rsidRDefault="002F2B8B" w:rsidP="00574D2E">
            <w:pPr>
              <w:jc w:val="right"/>
              <w:rPr>
                <w:rFonts w:asciiTheme="minorHAnsi" w:hAnsiTheme="minorHAnsi" w:cstheme="minorHAnsi"/>
                <w:sz w:val="22"/>
                <w:szCs w:val="22"/>
                <w:lang w:val="en-IN" w:eastAsia="en-IN"/>
              </w:rPr>
            </w:pPr>
            <w:r>
              <w:rPr>
                <w:rFonts w:asciiTheme="minorHAnsi" w:hAnsiTheme="minorHAnsi" w:cstheme="minorHAnsi"/>
                <w:b/>
                <w:bCs/>
                <w:color w:val="000000"/>
                <w:sz w:val="22"/>
                <w:szCs w:val="22"/>
              </w:rPr>
              <w:t>26.251</w:t>
            </w:r>
          </w:p>
        </w:tc>
        <w:tc>
          <w:tcPr>
            <w:tcW w:w="1276" w:type="dxa"/>
            <w:tcBorders>
              <w:top w:val="single" w:sz="4" w:space="0" w:color="auto"/>
              <w:left w:val="nil"/>
              <w:bottom w:val="single" w:sz="4" w:space="0" w:color="auto"/>
              <w:right w:val="single" w:sz="4" w:space="0" w:color="auto"/>
            </w:tcBorders>
            <w:shd w:val="clear" w:color="auto" w:fill="95B3D7" w:themeFill="accent1" w:themeFillTint="99"/>
            <w:noWrap/>
            <w:vAlign w:val="bottom"/>
            <w:hideMark/>
          </w:tcPr>
          <w:p w14:paraId="79D9B349" w14:textId="77777777" w:rsidR="002F2B8B" w:rsidRPr="00F8252C" w:rsidRDefault="002F2B8B" w:rsidP="00574D2E">
            <w:pPr>
              <w:jc w:val="right"/>
              <w:rPr>
                <w:rFonts w:asciiTheme="minorHAnsi" w:hAnsiTheme="minorHAnsi" w:cstheme="minorHAnsi"/>
                <w:sz w:val="22"/>
                <w:szCs w:val="22"/>
                <w:lang w:val="en-IN" w:eastAsia="en-IN"/>
              </w:rPr>
            </w:pPr>
            <w:r w:rsidRPr="00F8252C">
              <w:rPr>
                <w:rFonts w:asciiTheme="minorHAnsi" w:hAnsiTheme="minorHAnsi" w:cstheme="minorHAnsi"/>
                <w:b/>
                <w:bCs/>
                <w:sz w:val="22"/>
                <w:szCs w:val="22"/>
              </w:rPr>
              <w:t>116.463</w:t>
            </w:r>
          </w:p>
        </w:tc>
        <w:tc>
          <w:tcPr>
            <w:tcW w:w="992" w:type="dxa"/>
            <w:tcBorders>
              <w:top w:val="single" w:sz="4" w:space="0" w:color="auto"/>
              <w:left w:val="nil"/>
              <w:bottom w:val="single" w:sz="4" w:space="0" w:color="auto"/>
              <w:right w:val="single" w:sz="4" w:space="0" w:color="auto"/>
            </w:tcBorders>
            <w:shd w:val="clear" w:color="auto" w:fill="95B3D7" w:themeFill="accent1" w:themeFillTint="99"/>
            <w:noWrap/>
            <w:vAlign w:val="bottom"/>
            <w:hideMark/>
          </w:tcPr>
          <w:p w14:paraId="2FC001EA" w14:textId="77777777" w:rsidR="002F2B8B" w:rsidRPr="00F8252C" w:rsidRDefault="002F2B8B" w:rsidP="00574D2E">
            <w:pPr>
              <w:jc w:val="right"/>
              <w:rPr>
                <w:rFonts w:asciiTheme="minorHAnsi" w:hAnsiTheme="minorHAnsi" w:cstheme="minorHAnsi"/>
                <w:b/>
                <w:bCs/>
                <w:sz w:val="22"/>
                <w:szCs w:val="22"/>
                <w:lang w:val="en-IN" w:eastAsia="en-IN"/>
              </w:rPr>
            </w:pPr>
            <w:r w:rsidRPr="00F8252C">
              <w:rPr>
                <w:rFonts w:asciiTheme="minorHAnsi" w:hAnsiTheme="minorHAnsi" w:cstheme="minorHAnsi"/>
                <w:b/>
                <w:bCs/>
                <w:sz w:val="22"/>
                <w:szCs w:val="22"/>
              </w:rPr>
              <w:t>142.714</w:t>
            </w:r>
          </w:p>
        </w:tc>
        <w:tc>
          <w:tcPr>
            <w:tcW w:w="993" w:type="dxa"/>
            <w:tcBorders>
              <w:top w:val="single" w:sz="4" w:space="0" w:color="auto"/>
              <w:left w:val="nil"/>
              <w:bottom w:val="single" w:sz="4" w:space="0" w:color="auto"/>
              <w:right w:val="single" w:sz="4" w:space="0" w:color="auto"/>
            </w:tcBorders>
            <w:shd w:val="clear" w:color="auto" w:fill="95B3D7" w:themeFill="accent1" w:themeFillTint="99"/>
            <w:noWrap/>
            <w:vAlign w:val="bottom"/>
            <w:hideMark/>
          </w:tcPr>
          <w:p w14:paraId="7416345D" w14:textId="77777777" w:rsidR="002F2B8B" w:rsidRPr="00F8252C" w:rsidRDefault="002F2B8B" w:rsidP="00574D2E">
            <w:pPr>
              <w:jc w:val="right"/>
              <w:rPr>
                <w:rFonts w:asciiTheme="minorHAnsi" w:hAnsiTheme="minorHAnsi" w:cstheme="minorHAnsi"/>
                <w:sz w:val="22"/>
                <w:szCs w:val="22"/>
                <w:lang w:val="en-IN" w:eastAsia="en-IN"/>
              </w:rPr>
            </w:pPr>
            <w:r w:rsidRPr="00F8252C">
              <w:rPr>
                <w:rFonts w:asciiTheme="minorHAnsi" w:hAnsiTheme="minorHAnsi" w:cstheme="minorHAnsi"/>
                <w:b/>
                <w:bCs/>
                <w:sz w:val="22"/>
                <w:szCs w:val="22"/>
              </w:rPr>
              <w:t>26.251</w:t>
            </w:r>
          </w:p>
        </w:tc>
        <w:tc>
          <w:tcPr>
            <w:tcW w:w="1275" w:type="dxa"/>
            <w:tcBorders>
              <w:top w:val="single" w:sz="4" w:space="0" w:color="auto"/>
              <w:left w:val="nil"/>
              <w:bottom w:val="single" w:sz="4" w:space="0" w:color="auto"/>
              <w:right w:val="single" w:sz="4" w:space="0" w:color="auto"/>
            </w:tcBorders>
            <w:shd w:val="clear" w:color="auto" w:fill="95B3D7" w:themeFill="accent1" w:themeFillTint="99"/>
            <w:noWrap/>
            <w:vAlign w:val="bottom"/>
            <w:hideMark/>
          </w:tcPr>
          <w:p w14:paraId="12E3C322" w14:textId="77777777" w:rsidR="002F2B8B" w:rsidRPr="00F8252C" w:rsidRDefault="002F2B8B" w:rsidP="00574D2E">
            <w:pPr>
              <w:jc w:val="right"/>
              <w:rPr>
                <w:rFonts w:asciiTheme="minorHAnsi" w:hAnsiTheme="minorHAnsi" w:cstheme="minorHAnsi"/>
                <w:sz w:val="22"/>
                <w:szCs w:val="22"/>
                <w:lang w:val="en-IN" w:eastAsia="en-IN"/>
              </w:rPr>
            </w:pPr>
            <w:r w:rsidRPr="00F8252C">
              <w:rPr>
                <w:rFonts w:asciiTheme="minorHAnsi" w:hAnsiTheme="minorHAnsi" w:cstheme="minorHAnsi"/>
                <w:b/>
                <w:bCs/>
                <w:sz w:val="22"/>
                <w:szCs w:val="22"/>
              </w:rPr>
              <w:t>118.445</w:t>
            </w:r>
          </w:p>
        </w:tc>
        <w:tc>
          <w:tcPr>
            <w:tcW w:w="993" w:type="dxa"/>
            <w:tcBorders>
              <w:top w:val="single" w:sz="4" w:space="0" w:color="auto"/>
              <w:left w:val="nil"/>
              <w:bottom w:val="single" w:sz="4" w:space="0" w:color="auto"/>
              <w:right w:val="single" w:sz="4" w:space="0" w:color="auto"/>
            </w:tcBorders>
            <w:shd w:val="clear" w:color="auto" w:fill="95B3D7" w:themeFill="accent1" w:themeFillTint="99"/>
            <w:noWrap/>
            <w:vAlign w:val="bottom"/>
            <w:hideMark/>
          </w:tcPr>
          <w:p w14:paraId="46C19FD5" w14:textId="77777777" w:rsidR="002F2B8B" w:rsidRPr="00F8252C" w:rsidRDefault="002F2B8B" w:rsidP="00574D2E">
            <w:pPr>
              <w:jc w:val="right"/>
              <w:rPr>
                <w:rFonts w:asciiTheme="minorHAnsi" w:hAnsiTheme="minorHAnsi" w:cstheme="minorHAnsi"/>
                <w:b/>
                <w:bCs/>
                <w:sz w:val="22"/>
                <w:szCs w:val="22"/>
                <w:lang w:val="en-IN" w:eastAsia="en-IN"/>
              </w:rPr>
            </w:pPr>
            <w:r w:rsidRPr="00F8252C">
              <w:rPr>
                <w:rFonts w:asciiTheme="minorHAnsi" w:hAnsiTheme="minorHAnsi" w:cstheme="minorHAnsi"/>
                <w:b/>
                <w:bCs/>
                <w:sz w:val="22"/>
                <w:szCs w:val="22"/>
              </w:rPr>
              <w:t>144.696</w:t>
            </w:r>
          </w:p>
        </w:tc>
        <w:tc>
          <w:tcPr>
            <w:tcW w:w="977" w:type="dxa"/>
            <w:tcBorders>
              <w:top w:val="single" w:sz="4" w:space="0" w:color="auto"/>
              <w:left w:val="nil"/>
              <w:bottom w:val="single" w:sz="4" w:space="0" w:color="auto"/>
              <w:right w:val="single" w:sz="4" w:space="0" w:color="auto"/>
            </w:tcBorders>
            <w:shd w:val="clear" w:color="auto" w:fill="95B3D7" w:themeFill="accent1" w:themeFillTint="99"/>
            <w:noWrap/>
            <w:vAlign w:val="bottom"/>
            <w:hideMark/>
          </w:tcPr>
          <w:p w14:paraId="0D1D75DD" w14:textId="77777777" w:rsidR="002F2B8B" w:rsidRPr="00F8252C" w:rsidRDefault="002F2B8B" w:rsidP="00574D2E">
            <w:pPr>
              <w:jc w:val="right"/>
              <w:rPr>
                <w:rFonts w:asciiTheme="minorHAnsi" w:hAnsiTheme="minorHAnsi" w:cstheme="minorHAnsi"/>
                <w:sz w:val="22"/>
                <w:szCs w:val="22"/>
                <w:lang w:val="en-IN" w:eastAsia="en-IN"/>
              </w:rPr>
            </w:pPr>
            <w:r w:rsidRPr="00F8252C">
              <w:rPr>
                <w:rFonts w:asciiTheme="minorHAnsi" w:hAnsiTheme="minorHAnsi" w:cstheme="minorHAnsi"/>
                <w:b/>
                <w:bCs/>
                <w:sz w:val="22"/>
                <w:szCs w:val="22"/>
              </w:rPr>
              <w:t>61.48</w:t>
            </w:r>
          </w:p>
        </w:tc>
        <w:tc>
          <w:tcPr>
            <w:tcW w:w="969" w:type="dxa"/>
            <w:tcBorders>
              <w:top w:val="single" w:sz="4" w:space="0" w:color="auto"/>
              <w:left w:val="nil"/>
              <w:bottom w:val="single" w:sz="4" w:space="0" w:color="auto"/>
              <w:right w:val="single" w:sz="4" w:space="0" w:color="auto"/>
            </w:tcBorders>
            <w:shd w:val="clear" w:color="auto" w:fill="95B3D7" w:themeFill="accent1" w:themeFillTint="99"/>
            <w:noWrap/>
            <w:vAlign w:val="bottom"/>
            <w:hideMark/>
          </w:tcPr>
          <w:p w14:paraId="3E3F5DB3" w14:textId="77777777" w:rsidR="002F2B8B" w:rsidRPr="00BD5055" w:rsidRDefault="002F2B8B" w:rsidP="00574D2E">
            <w:pPr>
              <w:jc w:val="right"/>
              <w:rPr>
                <w:rFonts w:asciiTheme="minorHAnsi" w:hAnsiTheme="minorHAnsi" w:cstheme="minorHAnsi"/>
                <w:b/>
                <w:sz w:val="22"/>
                <w:szCs w:val="22"/>
                <w:lang w:val="en-IN" w:eastAsia="en-IN"/>
              </w:rPr>
            </w:pPr>
            <w:r>
              <w:rPr>
                <w:rFonts w:asciiTheme="minorHAnsi" w:hAnsiTheme="minorHAnsi" w:cstheme="minorHAnsi"/>
                <w:b/>
                <w:sz w:val="22"/>
                <w:szCs w:val="22"/>
                <w:lang w:val="en-IN" w:eastAsia="en-IN"/>
              </w:rPr>
              <w:t>62.29</w:t>
            </w:r>
          </w:p>
        </w:tc>
      </w:tr>
    </w:tbl>
    <w:p w14:paraId="684BE304" w14:textId="77777777" w:rsidR="002F2B8B" w:rsidRDefault="002F2B8B" w:rsidP="002F2B8B">
      <w:pPr>
        <w:spacing w:line="360" w:lineRule="auto"/>
        <w:ind w:left="567"/>
        <w:jc w:val="both"/>
        <w:rPr>
          <w:rFonts w:asciiTheme="minorHAnsi" w:hAnsiTheme="minorHAnsi" w:cstheme="minorHAnsi"/>
          <w:sz w:val="22"/>
          <w:szCs w:val="22"/>
        </w:rPr>
      </w:pPr>
    </w:p>
    <w:p w14:paraId="4250EF03" w14:textId="3460F64F" w:rsidR="002F2B8B" w:rsidRDefault="002F2B8B" w:rsidP="002F2B8B">
      <w:pPr>
        <w:spacing w:line="360" w:lineRule="auto"/>
        <w:ind w:left="567"/>
        <w:jc w:val="both"/>
        <w:rPr>
          <w:rFonts w:asciiTheme="minorHAnsi" w:hAnsiTheme="minorHAnsi" w:cstheme="minorHAnsi"/>
          <w:sz w:val="22"/>
          <w:szCs w:val="22"/>
        </w:rPr>
      </w:pPr>
      <w:r>
        <w:rPr>
          <w:rFonts w:asciiTheme="minorHAnsi" w:hAnsiTheme="minorHAnsi" w:cstheme="minorHAnsi"/>
          <w:sz w:val="22"/>
          <w:szCs w:val="22"/>
        </w:rPr>
        <w:t>Some EHT consumers either enhanced or planned to enhance their load</w:t>
      </w:r>
      <w:r w:rsidR="00D26E39">
        <w:rPr>
          <w:rFonts w:asciiTheme="minorHAnsi" w:hAnsiTheme="minorHAnsi" w:cstheme="minorHAnsi"/>
          <w:sz w:val="22"/>
          <w:szCs w:val="22"/>
        </w:rPr>
        <w:t>s</w:t>
      </w:r>
      <w:r>
        <w:rPr>
          <w:rFonts w:asciiTheme="minorHAnsi" w:hAnsiTheme="minorHAnsi" w:cstheme="minorHAnsi"/>
          <w:sz w:val="22"/>
          <w:szCs w:val="22"/>
        </w:rPr>
        <w:t xml:space="preserve"> during 24-25 and 25-26. The details of Load enhancement </w:t>
      </w:r>
      <w:proofErr w:type="gramStart"/>
      <w:r>
        <w:rPr>
          <w:rFonts w:asciiTheme="minorHAnsi" w:hAnsiTheme="minorHAnsi" w:cstheme="minorHAnsi"/>
          <w:sz w:val="22"/>
          <w:szCs w:val="22"/>
        </w:rPr>
        <w:t>is</w:t>
      </w:r>
      <w:proofErr w:type="gramEnd"/>
      <w:r>
        <w:rPr>
          <w:rFonts w:asciiTheme="minorHAnsi" w:hAnsiTheme="minorHAnsi" w:cstheme="minorHAnsi"/>
          <w:sz w:val="22"/>
          <w:szCs w:val="22"/>
        </w:rPr>
        <w:t xml:space="preserve"> given below</w:t>
      </w:r>
    </w:p>
    <w:p w14:paraId="35EE28C5" w14:textId="77777777" w:rsidR="002F2B8B" w:rsidRDefault="002F2B8B" w:rsidP="002F2B8B">
      <w:pPr>
        <w:spacing w:line="360" w:lineRule="auto"/>
        <w:ind w:left="567"/>
        <w:jc w:val="both"/>
        <w:rPr>
          <w:rFonts w:asciiTheme="minorHAnsi" w:hAnsiTheme="minorHAnsi" w:cstheme="minorHAnsi"/>
          <w:sz w:val="22"/>
          <w:szCs w:val="22"/>
        </w:rPr>
      </w:pPr>
    </w:p>
    <w:tbl>
      <w:tblPr>
        <w:tblW w:w="9613" w:type="dxa"/>
        <w:tblInd w:w="567" w:type="dxa"/>
        <w:tblLook w:val="04A0" w:firstRow="1" w:lastRow="0" w:firstColumn="1" w:lastColumn="0" w:noHBand="0" w:noVBand="1"/>
      </w:tblPr>
      <w:tblGrid>
        <w:gridCol w:w="5921"/>
        <w:gridCol w:w="1765"/>
        <w:gridCol w:w="1927"/>
      </w:tblGrid>
      <w:tr w:rsidR="002F2B8B" w:rsidRPr="00931DE4" w14:paraId="486523D7" w14:textId="77777777" w:rsidTr="00EC6227">
        <w:trPr>
          <w:trHeight w:val="281"/>
        </w:trPr>
        <w:tc>
          <w:tcPr>
            <w:tcW w:w="9613" w:type="dxa"/>
            <w:gridSpan w:val="3"/>
            <w:tcBorders>
              <w:top w:val="nil"/>
              <w:left w:val="nil"/>
              <w:bottom w:val="single" w:sz="4" w:space="0" w:color="auto"/>
              <w:right w:val="nil"/>
            </w:tcBorders>
            <w:shd w:val="clear" w:color="auto" w:fill="auto"/>
            <w:noWrap/>
            <w:vAlign w:val="bottom"/>
            <w:hideMark/>
          </w:tcPr>
          <w:p w14:paraId="4CDD5ACE" w14:textId="3966666C" w:rsidR="002F2B8B" w:rsidRDefault="002F2B8B" w:rsidP="00574D2E">
            <w:pPr>
              <w:jc w:val="center"/>
              <w:rPr>
                <w:rFonts w:ascii="Calibri" w:hAnsi="Calibri" w:cs="Calibri"/>
                <w:b/>
                <w:bCs/>
                <w:color w:val="000000"/>
                <w:sz w:val="22"/>
                <w:szCs w:val="22"/>
                <w:lang w:val="en-IN" w:eastAsia="en-IN"/>
              </w:rPr>
            </w:pPr>
            <w:r w:rsidRPr="00BD5055">
              <w:rPr>
                <w:rFonts w:asciiTheme="minorHAnsi" w:hAnsiTheme="minorHAnsi" w:cstheme="minorHAnsi"/>
                <w:b/>
                <w:sz w:val="22"/>
                <w:szCs w:val="22"/>
              </w:rPr>
              <w:t>Table-</w:t>
            </w:r>
            <w:r>
              <w:rPr>
                <w:rFonts w:asciiTheme="minorHAnsi" w:hAnsiTheme="minorHAnsi" w:cstheme="minorHAnsi"/>
                <w:b/>
                <w:sz w:val="22"/>
                <w:szCs w:val="22"/>
              </w:rPr>
              <w:t>4</w:t>
            </w:r>
            <w:r w:rsidRPr="00BD5055">
              <w:rPr>
                <w:rFonts w:asciiTheme="minorHAnsi" w:hAnsiTheme="minorHAnsi" w:cstheme="minorHAnsi"/>
                <w:b/>
                <w:sz w:val="22"/>
                <w:szCs w:val="22"/>
              </w:rPr>
              <w:t xml:space="preserve">: </w:t>
            </w:r>
            <w:r w:rsidRPr="00931DE4">
              <w:rPr>
                <w:rFonts w:ascii="Calibri" w:hAnsi="Calibri" w:cs="Calibri"/>
                <w:b/>
                <w:bCs/>
                <w:color w:val="000000"/>
                <w:sz w:val="22"/>
                <w:szCs w:val="22"/>
                <w:lang w:val="en-IN" w:eastAsia="en-IN"/>
              </w:rPr>
              <w:t>Details of Load Enhancement</w:t>
            </w:r>
          </w:p>
          <w:p w14:paraId="2873FF8C" w14:textId="77777777" w:rsidR="00A97283" w:rsidRDefault="00A97283" w:rsidP="00574D2E">
            <w:pPr>
              <w:jc w:val="center"/>
              <w:rPr>
                <w:rFonts w:ascii="Calibri" w:hAnsi="Calibri" w:cs="Calibri"/>
                <w:b/>
                <w:bCs/>
                <w:color w:val="000000"/>
                <w:sz w:val="22"/>
                <w:szCs w:val="22"/>
                <w:lang w:val="en-IN" w:eastAsia="en-IN"/>
              </w:rPr>
            </w:pPr>
          </w:p>
          <w:p w14:paraId="0C9EEFE0" w14:textId="5EF089A5" w:rsidR="00EC6227" w:rsidRPr="00931DE4" w:rsidRDefault="00EC6227" w:rsidP="00574D2E">
            <w:pPr>
              <w:jc w:val="center"/>
              <w:rPr>
                <w:rFonts w:ascii="Calibri" w:hAnsi="Calibri" w:cs="Calibri"/>
                <w:b/>
                <w:bCs/>
                <w:color w:val="000000"/>
                <w:sz w:val="22"/>
                <w:szCs w:val="22"/>
                <w:lang w:val="en-IN" w:eastAsia="en-IN"/>
              </w:rPr>
            </w:pPr>
          </w:p>
        </w:tc>
      </w:tr>
      <w:tr w:rsidR="002F2B8B" w:rsidRPr="00931DE4" w14:paraId="643EF895" w14:textId="77777777" w:rsidTr="00EC6227">
        <w:trPr>
          <w:trHeight w:val="281"/>
        </w:trPr>
        <w:tc>
          <w:tcPr>
            <w:tcW w:w="5921" w:type="dxa"/>
            <w:tcBorders>
              <w:top w:val="nil"/>
              <w:left w:val="single" w:sz="4" w:space="0" w:color="auto"/>
              <w:bottom w:val="single" w:sz="4" w:space="0" w:color="auto"/>
              <w:right w:val="single" w:sz="4" w:space="0" w:color="auto"/>
            </w:tcBorders>
            <w:shd w:val="clear" w:color="auto" w:fill="95B3D7" w:themeFill="accent1" w:themeFillTint="99"/>
            <w:noWrap/>
            <w:vAlign w:val="bottom"/>
            <w:hideMark/>
          </w:tcPr>
          <w:p w14:paraId="6B1CC32C" w14:textId="77777777" w:rsidR="002F2B8B" w:rsidRPr="00931DE4" w:rsidRDefault="002F2B8B" w:rsidP="00574D2E">
            <w:pPr>
              <w:jc w:val="center"/>
              <w:rPr>
                <w:rFonts w:ascii="Calibri" w:hAnsi="Calibri" w:cs="Calibri"/>
                <w:b/>
                <w:bCs/>
                <w:color w:val="000000"/>
                <w:sz w:val="22"/>
                <w:szCs w:val="22"/>
                <w:lang w:val="en-IN" w:eastAsia="en-IN"/>
              </w:rPr>
            </w:pPr>
            <w:r w:rsidRPr="00931DE4">
              <w:rPr>
                <w:rFonts w:ascii="Calibri" w:hAnsi="Calibri" w:cs="Calibri"/>
                <w:b/>
                <w:bCs/>
                <w:color w:val="000000"/>
                <w:sz w:val="22"/>
                <w:szCs w:val="22"/>
                <w:lang w:val="en-IN" w:eastAsia="en-IN"/>
              </w:rPr>
              <w:t>Name of Consumer</w:t>
            </w:r>
          </w:p>
        </w:tc>
        <w:tc>
          <w:tcPr>
            <w:tcW w:w="1765" w:type="dxa"/>
            <w:tcBorders>
              <w:top w:val="nil"/>
              <w:left w:val="nil"/>
              <w:bottom w:val="single" w:sz="4" w:space="0" w:color="auto"/>
              <w:right w:val="single" w:sz="4" w:space="0" w:color="auto"/>
            </w:tcBorders>
            <w:shd w:val="clear" w:color="auto" w:fill="95B3D7" w:themeFill="accent1" w:themeFillTint="99"/>
            <w:noWrap/>
            <w:vAlign w:val="bottom"/>
            <w:hideMark/>
          </w:tcPr>
          <w:p w14:paraId="4978678B" w14:textId="01BCEC20" w:rsidR="002F2B8B" w:rsidRPr="00931DE4" w:rsidRDefault="002F2B8B" w:rsidP="00574D2E">
            <w:pPr>
              <w:jc w:val="center"/>
              <w:rPr>
                <w:rFonts w:ascii="Calibri" w:hAnsi="Calibri" w:cs="Calibri"/>
                <w:b/>
                <w:bCs/>
                <w:color w:val="000000"/>
                <w:sz w:val="22"/>
                <w:szCs w:val="22"/>
                <w:lang w:val="en-IN" w:eastAsia="en-IN"/>
              </w:rPr>
            </w:pPr>
            <w:r w:rsidRPr="00931DE4">
              <w:rPr>
                <w:rFonts w:ascii="Calibri" w:hAnsi="Calibri" w:cs="Calibri"/>
                <w:b/>
                <w:bCs/>
                <w:color w:val="000000"/>
                <w:sz w:val="22"/>
                <w:szCs w:val="22"/>
                <w:lang w:val="en-IN" w:eastAsia="en-IN"/>
              </w:rPr>
              <w:t>Enhanced load</w:t>
            </w:r>
            <w:r w:rsidR="0085348F">
              <w:rPr>
                <w:rFonts w:ascii="Calibri" w:hAnsi="Calibri" w:cs="Calibri"/>
                <w:b/>
                <w:bCs/>
                <w:color w:val="000000"/>
                <w:sz w:val="22"/>
                <w:szCs w:val="22"/>
                <w:lang w:val="en-IN" w:eastAsia="en-IN"/>
              </w:rPr>
              <w:t xml:space="preserve"> </w:t>
            </w:r>
            <w:r w:rsidR="00D26E39">
              <w:rPr>
                <w:rFonts w:ascii="Calibri" w:hAnsi="Calibri" w:cs="Calibri"/>
                <w:b/>
                <w:bCs/>
                <w:color w:val="000000"/>
                <w:sz w:val="22"/>
                <w:szCs w:val="22"/>
                <w:lang w:val="en-IN" w:eastAsia="en-IN"/>
              </w:rPr>
              <w:t>(KVA)</w:t>
            </w:r>
          </w:p>
        </w:tc>
        <w:tc>
          <w:tcPr>
            <w:tcW w:w="1927" w:type="dxa"/>
            <w:tcBorders>
              <w:top w:val="nil"/>
              <w:left w:val="nil"/>
              <w:bottom w:val="single" w:sz="4" w:space="0" w:color="auto"/>
              <w:right w:val="single" w:sz="4" w:space="0" w:color="auto"/>
            </w:tcBorders>
            <w:shd w:val="clear" w:color="auto" w:fill="95B3D7" w:themeFill="accent1" w:themeFillTint="99"/>
            <w:noWrap/>
            <w:vAlign w:val="bottom"/>
            <w:hideMark/>
          </w:tcPr>
          <w:p w14:paraId="2B292361" w14:textId="77777777" w:rsidR="002F2B8B" w:rsidRPr="00931DE4" w:rsidRDefault="002F2B8B" w:rsidP="00574D2E">
            <w:pPr>
              <w:jc w:val="center"/>
              <w:rPr>
                <w:rFonts w:ascii="Calibri" w:hAnsi="Calibri" w:cs="Calibri"/>
                <w:b/>
                <w:bCs/>
                <w:color w:val="000000"/>
                <w:sz w:val="22"/>
                <w:szCs w:val="22"/>
                <w:lang w:val="en-IN" w:eastAsia="en-IN"/>
              </w:rPr>
            </w:pPr>
            <w:r w:rsidRPr="00931DE4">
              <w:rPr>
                <w:rFonts w:ascii="Calibri" w:hAnsi="Calibri" w:cs="Calibri"/>
                <w:b/>
                <w:bCs/>
                <w:color w:val="000000"/>
                <w:sz w:val="22"/>
                <w:szCs w:val="22"/>
                <w:lang w:val="en-IN" w:eastAsia="en-IN"/>
              </w:rPr>
              <w:t>Effective Date</w:t>
            </w:r>
          </w:p>
        </w:tc>
      </w:tr>
      <w:tr w:rsidR="002F2B8B" w:rsidRPr="00931DE4" w14:paraId="74FE9728" w14:textId="77777777" w:rsidTr="00EC6227">
        <w:trPr>
          <w:trHeight w:val="281"/>
        </w:trPr>
        <w:tc>
          <w:tcPr>
            <w:tcW w:w="5921" w:type="dxa"/>
            <w:tcBorders>
              <w:top w:val="nil"/>
              <w:left w:val="single" w:sz="4" w:space="0" w:color="auto"/>
              <w:bottom w:val="single" w:sz="4" w:space="0" w:color="auto"/>
              <w:right w:val="single" w:sz="4" w:space="0" w:color="auto"/>
            </w:tcBorders>
            <w:shd w:val="clear" w:color="auto" w:fill="auto"/>
            <w:noWrap/>
            <w:vAlign w:val="bottom"/>
            <w:hideMark/>
          </w:tcPr>
          <w:p w14:paraId="5ED35CBF" w14:textId="77777777" w:rsidR="002F2B8B" w:rsidRPr="00931DE4" w:rsidRDefault="002F2B8B" w:rsidP="00574D2E">
            <w:pPr>
              <w:rPr>
                <w:rFonts w:ascii="Calibri" w:hAnsi="Calibri" w:cs="Calibri"/>
                <w:color w:val="000000"/>
                <w:sz w:val="22"/>
                <w:szCs w:val="22"/>
                <w:lang w:val="en-IN" w:eastAsia="en-IN"/>
              </w:rPr>
            </w:pPr>
            <w:r w:rsidRPr="00931DE4">
              <w:rPr>
                <w:rFonts w:ascii="Calibri" w:hAnsi="Calibri" w:cs="Calibri"/>
                <w:color w:val="000000"/>
                <w:sz w:val="22"/>
                <w:szCs w:val="22"/>
                <w:lang w:val="en-IN" w:eastAsia="en-IN"/>
              </w:rPr>
              <w:t>M/S TATA STEEL LTD</w:t>
            </w:r>
          </w:p>
        </w:tc>
        <w:tc>
          <w:tcPr>
            <w:tcW w:w="1765" w:type="dxa"/>
            <w:tcBorders>
              <w:top w:val="nil"/>
              <w:left w:val="nil"/>
              <w:bottom w:val="single" w:sz="4" w:space="0" w:color="auto"/>
              <w:right w:val="single" w:sz="4" w:space="0" w:color="auto"/>
            </w:tcBorders>
            <w:shd w:val="clear" w:color="auto" w:fill="auto"/>
            <w:noWrap/>
            <w:vAlign w:val="bottom"/>
            <w:hideMark/>
          </w:tcPr>
          <w:p w14:paraId="6D99E573" w14:textId="77777777" w:rsidR="002F2B8B" w:rsidRPr="00931DE4" w:rsidRDefault="002F2B8B" w:rsidP="0085348F">
            <w:pPr>
              <w:jc w:val="center"/>
              <w:rPr>
                <w:rFonts w:ascii="Calibri" w:hAnsi="Calibri" w:cs="Calibri"/>
                <w:color w:val="000000"/>
                <w:sz w:val="22"/>
                <w:szCs w:val="22"/>
                <w:lang w:val="en-IN" w:eastAsia="en-IN"/>
              </w:rPr>
            </w:pPr>
            <w:r w:rsidRPr="00931DE4">
              <w:rPr>
                <w:rFonts w:ascii="Calibri" w:hAnsi="Calibri" w:cs="Calibri"/>
                <w:color w:val="000000"/>
                <w:sz w:val="22"/>
                <w:szCs w:val="22"/>
                <w:lang w:val="en-IN" w:eastAsia="en-IN"/>
              </w:rPr>
              <w:t>40000</w:t>
            </w:r>
          </w:p>
        </w:tc>
        <w:tc>
          <w:tcPr>
            <w:tcW w:w="1927" w:type="dxa"/>
            <w:tcBorders>
              <w:top w:val="nil"/>
              <w:left w:val="nil"/>
              <w:bottom w:val="single" w:sz="4" w:space="0" w:color="auto"/>
              <w:right w:val="single" w:sz="4" w:space="0" w:color="auto"/>
            </w:tcBorders>
            <w:shd w:val="clear" w:color="auto" w:fill="auto"/>
            <w:noWrap/>
            <w:vAlign w:val="bottom"/>
            <w:hideMark/>
          </w:tcPr>
          <w:p w14:paraId="4404535B" w14:textId="77777777" w:rsidR="002F2B8B" w:rsidRPr="00931DE4" w:rsidRDefault="002F2B8B" w:rsidP="0085348F">
            <w:pPr>
              <w:jc w:val="center"/>
              <w:rPr>
                <w:rFonts w:ascii="Calibri" w:hAnsi="Calibri" w:cs="Calibri"/>
                <w:color w:val="000000"/>
                <w:sz w:val="22"/>
                <w:szCs w:val="22"/>
                <w:lang w:val="en-IN" w:eastAsia="en-IN"/>
              </w:rPr>
            </w:pPr>
            <w:r w:rsidRPr="00931DE4">
              <w:rPr>
                <w:rFonts w:ascii="Calibri" w:hAnsi="Calibri" w:cs="Calibri"/>
                <w:color w:val="000000"/>
                <w:sz w:val="22"/>
                <w:szCs w:val="22"/>
                <w:lang w:val="en-IN" w:eastAsia="en-IN"/>
              </w:rPr>
              <w:t>Nov-24</w:t>
            </w:r>
          </w:p>
        </w:tc>
      </w:tr>
      <w:tr w:rsidR="002F2B8B" w:rsidRPr="00931DE4" w14:paraId="311AA2BE" w14:textId="77777777" w:rsidTr="00EC6227">
        <w:trPr>
          <w:trHeight w:val="281"/>
        </w:trPr>
        <w:tc>
          <w:tcPr>
            <w:tcW w:w="5921" w:type="dxa"/>
            <w:tcBorders>
              <w:top w:val="nil"/>
              <w:left w:val="single" w:sz="4" w:space="0" w:color="auto"/>
              <w:bottom w:val="single" w:sz="4" w:space="0" w:color="auto"/>
              <w:right w:val="single" w:sz="4" w:space="0" w:color="auto"/>
            </w:tcBorders>
            <w:shd w:val="clear" w:color="auto" w:fill="auto"/>
            <w:noWrap/>
            <w:vAlign w:val="bottom"/>
            <w:hideMark/>
          </w:tcPr>
          <w:p w14:paraId="65F9D636" w14:textId="77777777" w:rsidR="002F2B8B" w:rsidRPr="00931DE4" w:rsidRDefault="002F2B8B" w:rsidP="00574D2E">
            <w:pPr>
              <w:rPr>
                <w:rFonts w:ascii="Calibri" w:hAnsi="Calibri" w:cs="Calibri"/>
                <w:color w:val="000000"/>
                <w:sz w:val="22"/>
                <w:szCs w:val="22"/>
                <w:lang w:val="en-IN" w:eastAsia="en-IN"/>
              </w:rPr>
            </w:pPr>
            <w:r w:rsidRPr="00931DE4">
              <w:rPr>
                <w:rFonts w:ascii="Calibri" w:hAnsi="Calibri" w:cs="Calibri"/>
                <w:color w:val="000000"/>
                <w:sz w:val="22"/>
                <w:szCs w:val="22"/>
                <w:lang w:val="en-IN" w:eastAsia="en-IN"/>
              </w:rPr>
              <w:t>M/S. M/S JINDAL STAINLESS LIMITED</w:t>
            </w:r>
          </w:p>
        </w:tc>
        <w:tc>
          <w:tcPr>
            <w:tcW w:w="1765" w:type="dxa"/>
            <w:tcBorders>
              <w:top w:val="nil"/>
              <w:left w:val="nil"/>
              <w:bottom w:val="single" w:sz="4" w:space="0" w:color="auto"/>
              <w:right w:val="single" w:sz="4" w:space="0" w:color="auto"/>
            </w:tcBorders>
            <w:shd w:val="clear" w:color="auto" w:fill="auto"/>
            <w:noWrap/>
            <w:vAlign w:val="bottom"/>
            <w:hideMark/>
          </w:tcPr>
          <w:p w14:paraId="3C9BB90C" w14:textId="77777777" w:rsidR="002F2B8B" w:rsidRPr="00931DE4" w:rsidRDefault="002F2B8B" w:rsidP="0085348F">
            <w:pPr>
              <w:jc w:val="center"/>
              <w:rPr>
                <w:rFonts w:ascii="Calibri" w:hAnsi="Calibri" w:cs="Calibri"/>
                <w:color w:val="000000"/>
                <w:sz w:val="22"/>
                <w:szCs w:val="22"/>
                <w:lang w:val="en-IN" w:eastAsia="en-IN"/>
              </w:rPr>
            </w:pPr>
            <w:r w:rsidRPr="00931DE4">
              <w:rPr>
                <w:rFonts w:ascii="Calibri" w:hAnsi="Calibri" w:cs="Calibri"/>
                <w:color w:val="000000"/>
                <w:sz w:val="22"/>
                <w:szCs w:val="22"/>
                <w:lang w:val="en-IN" w:eastAsia="en-IN"/>
              </w:rPr>
              <w:t>28000</w:t>
            </w:r>
          </w:p>
        </w:tc>
        <w:tc>
          <w:tcPr>
            <w:tcW w:w="1927" w:type="dxa"/>
            <w:tcBorders>
              <w:top w:val="nil"/>
              <w:left w:val="nil"/>
              <w:bottom w:val="single" w:sz="4" w:space="0" w:color="auto"/>
              <w:right w:val="single" w:sz="4" w:space="0" w:color="auto"/>
            </w:tcBorders>
            <w:shd w:val="clear" w:color="auto" w:fill="auto"/>
            <w:noWrap/>
            <w:vAlign w:val="bottom"/>
            <w:hideMark/>
          </w:tcPr>
          <w:p w14:paraId="3D16DC9F" w14:textId="77777777" w:rsidR="002F2B8B" w:rsidRPr="00931DE4" w:rsidRDefault="002F2B8B" w:rsidP="0085348F">
            <w:pPr>
              <w:jc w:val="center"/>
              <w:rPr>
                <w:rFonts w:ascii="Calibri" w:hAnsi="Calibri" w:cs="Calibri"/>
                <w:color w:val="000000"/>
                <w:sz w:val="22"/>
                <w:szCs w:val="22"/>
                <w:lang w:val="en-IN" w:eastAsia="en-IN"/>
              </w:rPr>
            </w:pPr>
            <w:r w:rsidRPr="00931DE4">
              <w:rPr>
                <w:rFonts w:ascii="Calibri" w:hAnsi="Calibri" w:cs="Calibri"/>
                <w:color w:val="000000"/>
                <w:sz w:val="22"/>
                <w:szCs w:val="22"/>
                <w:lang w:val="en-IN" w:eastAsia="en-IN"/>
              </w:rPr>
              <w:t>Nov-24</w:t>
            </w:r>
          </w:p>
        </w:tc>
      </w:tr>
      <w:tr w:rsidR="002F2B8B" w:rsidRPr="00931DE4" w14:paraId="03BF4E72" w14:textId="77777777" w:rsidTr="00EC6227">
        <w:trPr>
          <w:trHeight w:val="281"/>
        </w:trPr>
        <w:tc>
          <w:tcPr>
            <w:tcW w:w="5921" w:type="dxa"/>
            <w:tcBorders>
              <w:top w:val="nil"/>
              <w:left w:val="single" w:sz="4" w:space="0" w:color="auto"/>
              <w:bottom w:val="single" w:sz="4" w:space="0" w:color="auto"/>
              <w:right w:val="single" w:sz="4" w:space="0" w:color="auto"/>
            </w:tcBorders>
            <w:shd w:val="clear" w:color="auto" w:fill="auto"/>
            <w:noWrap/>
            <w:vAlign w:val="bottom"/>
            <w:hideMark/>
          </w:tcPr>
          <w:p w14:paraId="65E22AD6" w14:textId="77777777" w:rsidR="002F2B8B" w:rsidRPr="00931DE4" w:rsidRDefault="002F2B8B" w:rsidP="00574D2E">
            <w:pPr>
              <w:rPr>
                <w:rFonts w:ascii="Calibri" w:hAnsi="Calibri" w:cs="Calibri"/>
                <w:color w:val="000000"/>
                <w:sz w:val="22"/>
                <w:szCs w:val="22"/>
                <w:lang w:val="en-IN" w:eastAsia="en-IN"/>
              </w:rPr>
            </w:pPr>
            <w:r w:rsidRPr="00931DE4">
              <w:rPr>
                <w:rFonts w:ascii="Calibri" w:hAnsi="Calibri" w:cs="Calibri"/>
                <w:color w:val="000000"/>
                <w:sz w:val="22"/>
                <w:szCs w:val="22"/>
                <w:lang w:val="en-IN" w:eastAsia="en-IN"/>
              </w:rPr>
              <w:t>BALANI IRON ORE MINES, SAIL</w:t>
            </w:r>
          </w:p>
        </w:tc>
        <w:tc>
          <w:tcPr>
            <w:tcW w:w="1765" w:type="dxa"/>
            <w:tcBorders>
              <w:top w:val="nil"/>
              <w:left w:val="nil"/>
              <w:bottom w:val="single" w:sz="4" w:space="0" w:color="auto"/>
              <w:right w:val="single" w:sz="4" w:space="0" w:color="auto"/>
            </w:tcBorders>
            <w:shd w:val="clear" w:color="auto" w:fill="auto"/>
            <w:noWrap/>
            <w:vAlign w:val="bottom"/>
            <w:hideMark/>
          </w:tcPr>
          <w:p w14:paraId="30924F73" w14:textId="77777777" w:rsidR="002F2B8B" w:rsidRPr="00931DE4" w:rsidRDefault="002F2B8B" w:rsidP="0085348F">
            <w:pPr>
              <w:jc w:val="center"/>
              <w:rPr>
                <w:rFonts w:ascii="Calibri" w:hAnsi="Calibri" w:cs="Calibri"/>
                <w:color w:val="000000"/>
                <w:sz w:val="22"/>
                <w:szCs w:val="22"/>
                <w:lang w:val="en-IN" w:eastAsia="en-IN"/>
              </w:rPr>
            </w:pPr>
            <w:r w:rsidRPr="00931DE4">
              <w:rPr>
                <w:rFonts w:ascii="Calibri" w:hAnsi="Calibri" w:cs="Calibri"/>
                <w:color w:val="000000"/>
                <w:sz w:val="22"/>
                <w:szCs w:val="22"/>
                <w:lang w:val="en-IN" w:eastAsia="en-IN"/>
              </w:rPr>
              <w:t>3000</w:t>
            </w:r>
          </w:p>
        </w:tc>
        <w:tc>
          <w:tcPr>
            <w:tcW w:w="1927" w:type="dxa"/>
            <w:tcBorders>
              <w:top w:val="nil"/>
              <w:left w:val="nil"/>
              <w:bottom w:val="single" w:sz="4" w:space="0" w:color="auto"/>
              <w:right w:val="single" w:sz="4" w:space="0" w:color="auto"/>
            </w:tcBorders>
            <w:shd w:val="clear" w:color="auto" w:fill="auto"/>
            <w:noWrap/>
            <w:vAlign w:val="bottom"/>
            <w:hideMark/>
          </w:tcPr>
          <w:p w14:paraId="77FEC458" w14:textId="77777777" w:rsidR="002F2B8B" w:rsidRPr="00931DE4" w:rsidRDefault="002F2B8B" w:rsidP="0085348F">
            <w:pPr>
              <w:jc w:val="center"/>
              <w:rPr>
                <w:rFonts w:ascii="Calibri" w:hAnsi="Calibri" w:cs="Calibri"/>
                <w:color w:val="000000"/>
                <w:sz w:val="22"/>
                <w:szCs w:val="22"/>
                <w:lang w:val="en-IN" w:eastAsia="en-IN"/>
              </w:rPr>
            </w:pPr>
            <w:r w:rsidRPr="00931DE4">
              <w:rPr>
                <w:rFonts w:ascii="Calibri" w:hAnsi="Calibri" w:cs="Calibri"/>
                <w:color w:val="000000"/>
                <w:sz w:val="22"/>
                <w:szCs w:val="22"/>
                <w:lang w:val="en-IN" w:eastAsia="en-IN"/>
              </w:rPr>
              <w:t>Nov-24</w:t>
            </w:r>
          </w:p>
        </w:tc>
      </w:tr>
      <w:tr w:rsidR="002F2B8B" w:rsidRPr="00931DE4" w14:paraId="6D7B21D0" w14:textId="77777777" w:rsidTr="00EC6227">
        <w:trPr>
          <w:trHeight w:val="281"/>
        </w:trPr>
        <w:tc>
          <w:tcPr>
            <w:tcW w:w="5921" w:type="dxa"/>
            <w:tcBorders>
              <w:top w:val="nil"/>
              <w:left w:val="single" w:sz="4" w:space="0" w:color="auto"/>
              <w:bottom w:val="single" w:sz="4" w:space="0" w:color="auto"/>
              <w:right w:val="single" w:sz="4" w:space="0" w:color="auto"/>
            </w:tcBorders>
            <w:shd w:val="clear" w:color="auto" w:fill="auto"/>
            <w:noWrap/>
            <w:vAlign w:val="bottom"/>
            <w:hideMark/>
          </w:tcPr>
          <w:p w14:paraId="5D31233C" w14:textId="77777777" w:rsidR="002F2B8B" w:rsidRPr="00931DE4" w:rsidRDefault="002F2B8B" w:rsidP="00574D2E">
            <w:pPr>
              <w:rPr>
                <w:rFonts w:ascii="Calibri" w:hAnsi="Calibri" w:cs="Calibri"/>
                <w:color w:val="000000"/>
                <w:sz w:val="22"/>
                <w:szCs w:val="22"/>
                <w:lang w:val="en-IN" w:eastAsia="en-IN"/>
              </w:rPr>
            </w:pPr>
            <w:r w:rsidRPr="00931DE4">
              <w:rPr>
                <w:rFonts w:ascii="Calibri" w:hAnsi="Calibri" w:cs="Calibri"/>
                <w:color w:val="000000"/>
                <w:sz w:val="22"/>
                <w:szCs w:val="22"/>
                <w:lang w:val="en-IN" w:eastAsia="en-IN"/>
              </w:rPr>
              <w:t>M/S SHRI JAGANNATH STEELS &amp; PWR LTD</w:t>
            </w:r>
          </w:p>
        </w:tc>
        <w:tc>
          <w:tcPr>
            <w:tcW w:w="1765" w:type="dxa"/>
            <w:tcBorders>
              <w:top w:val="nil"/>
              <w:left w:val="nil"/>
              <w:bottom w:val="single" w:sz="4" w:space="0" w:color="auto"/>
              <w:right w:val="single" w:sz="4" w:space="0" w:color="auto"/>
            </w:tcBorders>
            <w:shd w:val="clear" w:color="auto" w:fill="auto"/>
            <w:noWrap/>
            <w:vAlign w:val="bottom"/>
            <w:hideMark/>
          </w:tcPr>
          <w:p w14:paraId="41219B00" w14:textId="77777777" w:rsidR="002F2B8B" w:rsidRPr="00931DE4" w:rsidRDefault="002F2B8B" w:rsidP="0085348F">
            <w:pPr>
              <w:jc w:val="center"/>
              <w:rPr>
                <w:rFonts w:ascii="Calibri" w:hAnsi="Calibri" w:cs="Calibri"/>
                <w:color w:val="000000"/>
                <w:sz w:val="22"/>
                <w:szCs w:val="22"/>
                <w:lang w:val="en-IN" w:eastAsia="en-IN"/>
              </w:rPr>
            </w:pPr>
            <w:r w:rsidRPr="00931DE4">
              <w:rPr>
                <w:rFonts w:ascii="Calibri" w:hAnsi="Calibri" w:cs="Calibri"/>
                <w:color w:val="000000"/>
                <w:sz w:val="22"/>
                <w:szCs w:val="22"/>
                <w:lang w:val="en-IN" w:eastAsia="en-IN"/>
              </w:rPr>
              <w:t>5000</w:t>
            </w:r>
          </w:p>
        </w:tc>
        <w:tc>
          <w:tcPr>
            <w:tcW w:w="1927" w:type="dxa"/>
            <w:tcBorders>
              <w:top w:val="nil"/>
              <w:left w:val="nil"/>
              <w:bottom w:val="single" w:sz="4" w:space="0" w:color="auto"/>
              <w:right w:val="single" w:sz="4" w:space="0" w:color="auto"/>
            </w:tcBorders>
            <w:shd w:val="clear" w:color="auto" w:fill="auto"/>
            <w:noWrap/>
            <w:vAlign w:val="bottom"/>
            <w:hideMark/>
          </w:tcPr>
          <w:p w14:paraId="41441F8C" w14:textId="77777777" w:rsidR="002F2B8B" w:rsidRPr="00931DE4" w:rsidRDefault="002F2B8B" w:rsidP="0085348F">
            <w:pPr>
              <w:jc w:val="center"/>
              <w:rPr>
                <w:rFonts w:ascii="Calibri" w:hAnsi="Calibri" w:cs="Calibri"/>
                <w:color w:val="000000"/>
                <w:sz w:val="22"/>
                <w:szCs w:val="22"/>
                <w:lang w:val="en-IN" w:eastAsia="en-IN"/>
              </w:rPr>
            </w:pPr>
            <w:r w:rsidRPr="00931DE4">
              <w:rPr>
                <w:rFonts w:ascii="Calibri" w:hAnsi="Calibri" w:cs="Calibri"/>
                <w:color w:val="000000"/>
                <w:sz w:val="22"/>
                <w:szCs w:val="22"/>
                <w:lang w:val="en-IN" w:eastAsia="en-IN"/>
              </w:rPr>
              <w:t>Oct-24</w:t>
            </w:r>
          </w:p>
        </w:tc>
      </w:tr>
      <w:tr w:rsidR="002F2B8B" w:rsidRPr="00931DE4" w14:paraId="0D53A98B" w14:textId="77777777" w:rsidTr="00EC6227">
        <w:trPr>
          <w:trHeight w:val="281"/>
        </w:trPr>
        <w:tc>
          <w:tcPr>
            <w:tcW w:w="5921" w:type="dxa"/>
            <w:tcBorders>
              <w:top w:val="nil"/>
              <w:left w:val="single" w:sz="4" w:space="0" w:color="auto"/>
              <w:bottom w:val="single" w:sz="4" w:space="0" w:color="auto"/>
              <w:right w:val="single" w:sz="4" w:space="0" w:color="auto"/>
            </w:tcBorders>
            <w:shd w:val="clear" w:color="auto" w:fill="auto"/>
            <w:noWrap/>
            <w:vAlign w:val="bottom"/>
            <w:hideMark/>
          </w:tcPr>
          <w:p w14:paraId="27CD0E3E" w14:textId="77777777" w:rsidR="002F2B8B" w:rsidRPr="00931DE4" w:rsidRDefault="002F2B8B" w:rsidP="00574D2E">
            <w:pPr>
              <w:rPr>
                <w:rFonts w:ascii="Calibri" w:hAnsi="Calibri" w:cs="Calibri"/>
                <w:color w:val="000000"/>
                <w:sz w:val="22"/>
                <w:szCs w:val="22"/>
                <w:lang w:val="en-IN" w:eastAsia="en-IN"/>
              </w:rPr>
            </w:pPr>
            <w:r w:rsidRPr="00931DE4">
              <w:rPr>
                <w:rFonts w:ascii="Calibri" w:hAnsi="Calibri" w:cs="Calibri"/>
                <w:color w:val="000000"/>
                <w:sz w:val="22"/>
                <w:szCs w:val="22"/>
                <w:lang w:val="en-IN" w:eastAsia="en-IN"/>
              </w:rPr>
              <w:t>DALMIA BHARAT REFRACTORIES LTD</w:t>
            </w:r>
          </w:p>
        </w:tc>
        <w:tc>
          <w:tcPr>
            <w:tcW w:w="1765" w:type="dxa"/>
            <w:tcBorders>
              <w:top w:val="nil"/>
              <w:left w:val="nil"/>
              <w:bottom w:val="single" w:sz="4" w:space="0" w:color="auto"/>
              <w:right w:val="single" w:sz="4" w:space="0" w:color="auto"/>
            </w:tcBorders>
            <w:shd w:val="clear" w:color="auto" w:fill="auto"/>
            <w:noWrap/>
            <w:vAlign w:val="bottom"/>
            <w:hideMark/>
          </w:tcPr>
          <w:p w14:paraId="00A826BC" w14:textId="77777777" w:rsidR="002F2B8B" w:rsidRPr="00931DE4" w:rsidRDefault="002F2B8B" w:rsidP="0085348F">
            <w:pPr>
              <w:jc w:val="center"/>
              <w:rPr>
                <w:rFonts w:ascii="Calibri" w:hAnsi="Calibri" w:cs="Calibri"/>
                <w:color w:val="000000"/>
                <w:sz w:val="22"/>
                <w:szCs w:val="22"/>
                <w:lang w:val="en-IN" w:eastAsia="en-IN"/>
              </w:rPr>
            </w:pPr>
            <w:r w:rsidRPr="00931DE4">
              <w:rPr>
                <w:rFonts w:ascii="Calibri" w:hAnsi="Calibri" w:cs="Calibri"/>
                <w:color w:val="000000"/>
                <w:sz w:val="22"/>
                <w:szCs w:val="22"/>
                <w:lang w:val="en-IN" w:eastAsia="en-IN"/>
              </w:rPr>
              <w:t>4000</w:t>
            </w:r>
          </w:p>
        </w:tc>
        <w:tc>
          <w:tcPr>
            <w:tcW w:w="1927" w:type="dxa"/>
            <w:tcBorders>
              <w:top w:val="nil"/>
              <w:left w:val="nil"/>
              <w:bottom w:val="single" w:sz="4" w:space="0" w:color="auto"/>
              <w:right w:val="single" w:sz="4" w:space="0" w:color="auto"/>
            </w:tcBorders>
            <w:shd w:val="clear" w:color="auto" w:fill="auto"/>
            <w:noWrap/>
            <w:vAlign w:val="bottom"/>
            <w:hideMark/>
          </w:tcPr>
          <w:p w14:paraId="4DE2B557" w14:textId="77777777" w:rsidR="002F2B8B" w:rsidRPr="00931DE4" w:rsidRDefault="002F2B8B" w:rsidP="0085348F">
            <w:pPr>
              <w:jc w:val="center"/>
              <w:rPr>
                <w:rFonts w:ascii="Calibri" w:hAnsi="Calibri" w:cs="Calibri"/>
                <w:color w:val="000000"/>
                <w:sz w:val="22"/>
                <w:szCs w:val="22"/>
                <w:lang w:val="en-IN" w:eastAsia="en-IN"/>
              </w:rPr>
            </w:pPr>
            <w:r w:rsidRPr="00931DE4">
              <w:rPr>
                <w:rFonts w:ascii="Calibri" w:hAnsi="Calibri" w:cs="Calibri"/>
                <w:color w:val="000000"/>
                <w:sz w:val="22"/>
                <w:szCs w:val="22"/>
                <w:lang w:val="en-IN" w:eastAsia="en-IN"/>
              </w:rPr>
              <w:t>Feb-25</w:t>
            </w:r>
          </w:p>
        </w:tc>
      </w:tr>
      <w:tr w:rsidR="002F2B8B" w:rsidRPr="00931DE4" w14:paraId="5B5C91E2" w14:textId="77777777" w:rsidTr="00EC6227">
        <w:trPr>
          <w:trHeight w:val="281"/>
        </w:trPr>
        <w:tc>
          <w:tcPr>
            <w:tcW w:w="5921" w:type="dxa"/>
            <w:tcBorders>
              <w:top w:val="nil"/>
              <w:left w:val="single" w:sz="4" w:space="0" w:color="auto"/>
              <w:bottom w:val="single" w:sz="4" w:space="0" w:color="auto"/>
              <w:right w:val="single" w:sz="4" w:space="0" w:color="auto"/>
            </w:tcBorders>
            <w:shd w:val="clear" w:color="auto" w:fill="auto"/>
            <w:noWrap/>
            <w:vAlign w:val="bottom"/>
            <w:hideMark/>
          </w:tcPr>
          <w:p w14:paraId="5D9BFDC1" w14:textId="77777777" w:rsidR="002F2B8B" w:rsidRPr="00931DE4" w:rsidRDefault="002F2B8B" w:rsidP="00574D2E">
            <w:pPr>
              <w:rPr>
                <w:rFonts w:ascii="Calibri" w:hAnsi="Calibri" w:cs="Calibri"/>
                <w:color w:val="000000"/>
                <w:sz w:val="22"/>
                <w:szCs w:val="22"/>
                <w:lang w:val="en-IN" w:eastAsia="en-IN"/>
              </w:rPr>
            </w:pPr>
            <w:r w:rsidRPr="00931DE4">
              <w:rPr>
                <w:rFonts w:ascii="Calibri" w:hAnsi="Calibri" w:cs="Calibri"/>
                <w:color w:val="000000"/>
                <w:sz w:val="22"/>
                <w:szCs w:val="22"/>
                <w:lang w:val="en-IN" w:eastAsia="en-IN"/>
              </w:rPr>
              <w:t>JAKHAPURA TRACTION SUB-STATION</w:t>
            </w:r>
          </w:p>
        </w:tc>
        <w:tc>
          <w:tcPr>
            <w:tcW w:w="1765" w:type="dxa"/>
            <w:tcBorders>
              <w:top w:val="nil"/>
              <w:left w:val="nil"/>
              <w:bottom w:val="single" w:sz="4" w:space="0" w:color="auto"/>
              <w:right w:val="single" w:sz="4" w:space="0" w:color="auto"/>
            </w:tcBorders>
            <w:shd w:val="clear" w:color="auto" w:fill="auto"/>
            <w:noWrap/>
            <w:vAlign w:val="bottom"/>
            <w:hideMark/>
          </w:tcPr>
          <w:p w14:paraId="4462C129" w14:textId="77777777" w:rsidR="002F2B8B" w:rsidRPr="00931DE4" w:rsidRDefault="002F2B8B" w:rsidP="0085348F">
            <w:pPr>
              <w:jc w:val="center"/>
              <w:rPr>
                <w:rFonts w:ascii="Calibri" w:hAnsi="Calibri" w:cs="Calibri"/>
                <w:color w:val="000000"/>
                <w:sz w:val="22"/>
                <w:szCs w:val="22"/>
                <w:lang w:val="en-IN" w:eastAsia="en-IN"/>
              </w:rPr>
            </w:pPr>
            <w:r w:rsidRPr="00931DE4">
              <w:rPr>
                <w:rFonts w:ascii="Calibri" w:hAnsi="Calibri" w:cs="Calibri"/>
                <w:color w:val="000000"/>
                <w:sz w:val="22"/>
                <w:szCs w:val="22"/>
                <w:lang w:val="en-IN" w:eastAsia="en-IN"/>
              </w:rPr>
              <w:t>2000</w:t>
            </w:r>
          </w:p>
        </w:tc>
        <w:tc>
          <w:tcPr>
            <w:tcW w:w="1927" w:type="dxa"/>
            <w:tcBorders>
              <w:top w:val="nil"/>
              <w:left w:val="nil"/>
              <w:bottom w:val="single" w:sz="4" w:space="0" w:color="auto"/>
              <w:right w:val="single" w:sz="4" w:space="0" w:color="auto"/>
            </w:tcBorders>
            <w:shd w:val="clear" w:color="auto" w:fill="auto"/>
            <w:noWrap/>
            <w:vAlign w:val="bottom"/>
            <w:hideMark/>
          </w:tcPr>
          <w:p w14:paraId="1B9918E4" w14:textId="77777777" w:rsidR="002F2B8B" w:rsidRPr="00931DE4" w:rsidRDefault="002F2B8B" w:rsidP="0085348F">
            <w:pPr>
              <w:jc w:val="center"/>
              <w:rPr>
                <w:rFonts w:ascii="Calibri" w:hAnsi="Calibri" w:cs="Calibri"/>
                <w:color w:val="000000"/>
                <w:sz w:val="22"/>
                <w:szCs w:val="22"/>
                <w:lang w:val="en-IN" w:eastAsia="en-IN"/>
              </w:rPr>
            </w:pPr>
            <w:r w:rsidRPr="00931DE4">
              <w:rPr>
                <w:rFonts w:ascii="Calibri" w:hAnsi="Calibri" w:cs="Calibri"/>
                <w:color w:val="000000"/>
                <w:sz w:val="22"/>
                <w:szCs w:val="22"/>
                <w:lang w:val="en-IN" w:eastAsia="en-IN"/>
              </w:rPr>
              <w:t>Oct-24</w:t>
            </w:r>
          </w:p>
        </w:tc>
      </w:tr>
      <w:tr w:rsidR="002F2B8B" w:rsidRPr="00931DE4" w14:paraId="3112C39C" w14:textId="77777777" w:rsidTr="00EC6227">
        <w:trPr>
          <w:trHeight w:val="281"/>
        </w:trPr>
        <w:tc>
          <w:tcPr>
            <w:tcW w:w="5921" w:type="dxa"/>
            <w:tcBorders>
              <w:top w:val="nil"/>
              <w:left w:val="single" w:sz="4" w:space="0" w:color="auto"/>
              <w:bottom w:val="single" w:sz="4" w:space="0" w:color="auto"/>
              <w:right w:val="single" w:sz="4" w:space="0" w:color="auto"/>
            </w:tcBorders>
            <w:shd w:val="clear" w:color="auto" w:fill="auto"/>
            <w:noWrap/>
            <w:vAlign w:val="bottom"/>
            <w:hideMark/>
          </w:tcPr>
          <w:p w14:paraId="095567A4" w14:textId="77777777" w:rsidR="002F2B8B" w:rsidRPr="00931DE4" w:rsidRDefault="002F2B8B" w:rsidP="00574D2E">
            <w:pPr>
              <w:rPr>
                <w:rFonts w:ascii="Calibri" w:hAnsi="Calibri" w:cs="Calibri"/>
                <w:color w:val="000000"/>
                <w:sz w:val="22"/>
                <w:szCs w:val="22"/>
                <w:lang w:val="en-IN" w:eastAsia="en-IN"/>
              </w:rPr>
            </w:pPr>
            <w:r w:rsidRPr="00931DE4">
              <w:rPr>
                <w:rFonts w:ascii="Calibri" w:hAnsi="Calibri" w:cs="Calibri"/>
                <w:color w:val="000000"/>
                <w:sz w:val="22"/>
                <w:szCs w:val="22"/>
                <w:lang w:val="en-IN" w:eastAsia="en-IN"/>
              </w:rPr>
              <w:t>M/S. NEELACHAL ISPAT NIGAM LTD</w:t>
            </w:r>
          </w:p>
        </w:tc>
        <w:tc>
          <w:tcPr>
            <w:tcW w:w="1765" w:type="dxa"/>
            <w:tcBorders>
              <w:top w:val="nil"/>
              <w:left w:val="nil"/>
              <w:bottom w:val="single" w:sz="4" w:space="0" w:color="auto"/>
              <w:right w:val="single" w:sz="4" w:space="0" w:color="auto"/>
            </w:tcBorders>
            <w:shd w:val="clear" w:color="auto" w:fill="auto"/>
            <w:noWrap/>
            <w:vAlign w:val="bottom"/>
            <w:hideMark/>
          </w:tcPr>
          <w:p w14:paraId="2C75BE92" w14:textId="77777777" w:rsidR="002F2B8B" w:rsidRPr="00931DE4" w:rsidRDefault="002F2B8B" w:rsidP="0085348F">
            <w:pPr>
              <w:jc w:val="center"/>
              <w:rPr>
                <w:rFonts w:ascii="Calibri" w:hAnsi="Calibri" w:cs="Calibri"/>
                <w:color w:val="000000"/>
                <w:sz w:val="22"/>
                <w:szCs w:val="22"/>
                <w:lang w:val="en-IN" w:eastAsia="en-IN"/>
              </w:rPr>
            </w:pPr>
            <w:r w:rsidRPr="00931DE4">
              <w:rPr>
                <w:rFonts w:ascii="Calibri" w:hAnsi="Calibri" w:cs="Calibri"/>
                <w:color w:val="000000"/>
                <w:sz w:val="22"/>
                <w:szCs w:val="22"/>
                <w:lang w:val="en-IN" w:eastAsia="en-IN"/>
              </w:rPr>
              <w:t>15000</w:t>
            </w:r>
          </w:p>
        </w:tc>
        <w:tc>
          <w:tcPr>
            <w:tcW w:w="1927" w:type="dxa"/>
            <w:tcBorders>
              <w:top w:val="nil"/>
              <w:left w:val="nil"/>
              <w:bottom w:val="single" w:sz="4" w:space="0" w:color="auto"/>
              <w:right w:val="single" w:sz="4" w:space="0" w:color="auto"/>
            </w:tcBorders>
            <w:shd w:val="clear" w:color="auto" w:fill="auto"/>
            <w:noWrap/>
            <w:vAlign w:val="bottom"/>
            <w:hideMark/>
          </w:tcPr>
          <w:p w14:paraId="3C1C9F29" w14:textId="77777777" w:rsidR="002F2B8B" w:rsidRPr="00931DE4" w:rsidRDefault="002F2B8B" w:rsidP="0085348F">
            <w:pPr>
              <w:jc w:val="center"/>
              <w:rPr>
                <w:rFonts w:ascii="Calibri" w:hAnsi="Calibri" w:cs="Calibri"/>
                <w:color w:val="000000"/>
                <w:sz w:val="22"/>
                <w:szCs w:val="22"/>
                <w:lang w:val="en-IN" w:eastAsia="en-IN"/>
              </w:rPr>
            </w:pPr>
            <w:r w:rsidRPr="00931DE4">
              <w:rPr>
                <w:rFonts w:ascii="Calibri" w:hAnsi="Calibri" w:cs="Calibri"/>
                <w:color w:val="000000"/>
                <w:sz w:val="22"/>
                <w:szCs w:val="22"/>
                <w:lang w:val="en-IN" w:eastAsia="en-IN"/>
              </w:rPr>
              <w:t>Sep-25</w:t>
            </w:r>
          </w:p>
        </w:tc>
      </w:tr>
      <w:tr w:rsidR="002F2B8B" w:rsidRPr="00931DE4" w14:paraId="17CC2569" w14:textId="77777777" w:rsidTr="00EC6227">
        <w:trPr>
          <w:trHeight w:val="281"/>
        </w:trPr>
        <w:tc>
          <w:tcPr>
            <w:tcW w:w="5921" w:type="dxa"/>
            <w:tcBorders>
              <w:top w:val="nil"/>
              <w:left w:val="single" w:sz="4" w:space="0" w:color="auto"/>
              <w:bottom w:val="single" w:sz="4" w:space="0" w:color="auto"/>
              <w:right w:val="single" w:sz="4" w:space="0" w:color="auto"/>
            </w:tcBorders>
            <w:shd w:val="clear" w:color="auto" w:fill="auto"/>
            <w:noWrap/>
            <w:vAlign w:val="bottom"/>
            <w:hideMark/>
          </w:tcPr>
          <w:p w14:paraId="37E6F7BD" w14:textId="77777777" w:rsidR="002F2B8B" w:rsidRPr="00931DE4" w:rsidRDefault="002F2B8B" w:rsidP="00574D2E">
            <w:pPr>
              <w:rPr>
                <w:rFonts w:ascii="Calibri" w:hAnsi="Calibri" w:cs="Calibri"/>
                <w:color w:val="000000"/>
                <w:sz w:val="22"/>
                <w:szCs w:val="22"/>
                <w:lang w:val="en-IN" w:eastAsia="en-IN"/>
              </w:rPr>
            </w:pPr>
            <w:r w:rsidRPr="00931DE4">
              <w:rPr>
                <w:rFonts w:ascii="Calibri" w:hAnsi="Calibri" w:cs="Calibri"/>
                <w:color w:val="000000"/>
                <w:sz w:val="22"/>
                <w:szCs w:val="22"/>
                <w:lang w:val="en-IN" w:eastAsia="en-IN"/>
              </w:rPr>
              <w:t>M/S MISRILAL MINES PVT.LTD</w:t>
            </w:r>
          </w:p>
        </w:tc>
        <w:tc>
          <w:tcPr>
            <w:tcW w:w="1765" w:type="dxa"/>
            <w:tcBorders>
              <w:top w:val="nil"/>
              <w:left w:val="nil"/>
              <w:bottom w:val="single" w:sz="4" w:space="0" w:color="auto"/>
              <w:right w:val="single" w:sz="4" w:space="0" w:color="auto"/>
            </w:tcBorders>
            <w:shd w:val="clear" w:color="auto" w:fill="auto"/>
            <w:noWrap/>
            <w:vAlign w:val="bottom"/>
            <w:hideMark/>
          </w:tcPr>
          <w:p w14:paraId="32BACCC0" w14:textId="77777777" w:rsidR="002F2B8B" w:rsidRPr="00931DE4" w:rsidRDefault="002F2B8B" w:rsidP="0085348F">
            <w:pPr>
              <w:jc w:val="center"/>
              <w:rPr>
                <w:rFonts w:ascii="Calibri" w:hAnsi="Calibri" w:cs="Calibri"/>
                <w:color w:val="000000"/>
                <w:sz w:val="22"/>
                <w:szCs w:val="22"/>
                <w:lang w:val="en-IN" w:eastAsia="en-IN"/>
              </w:rPr>
            </w:pPr>
            <w:r w:rsidRPr="00931DE4">
              <w:rPr>
                <w:rFonts w:ascii="Calibri" w:hAnsi="Calibri" w:cs="Calibri"/>
                <w:color w:val="000000"/>
                <w:sz w:val="22"/>
                <w:szCs w:val="22"/>
                <w:lang w:val="en-IN" w:eastAsia="en-IN"/>
              </w:rPr>
              <w:t>16000</w:t>
            </w:r>
          </w:p>
        </w:tc>
        <w:tc>
          <w:tcPr>
            <w:tcW w:w="1927" w:type="dxa"/>
            <w:tcBorders>
              <w:top w:val="nil"/>
              <w:left w:val="nil"/>
              <w:bottom w:val="single" w:sz="4" w:space="0" w:color="auto"/>
              <w:right w:val="single" w:sz="4" w:space="0" w:color="auto"/>
            </w:tcBorders>
            <w:shd w:val="clear" w:color="auto" w:fill="auto"/>
            <w:noWrap/>
            <w:vAlign w:val="bottom"/>
            <w:hideMark/>
          </w:tcPr>
          <w:p w14:paraId="434DB957" w14:textId="77777777" w:rsidR="002F2B8B" w:rsidRPr="00931DE4" w:rsidRDefault="002F2B8B" w:rsidP="0085348F">
            <w:pPr>
              <w:jc w:val="center"/>
              <w:rPr>
                <w:rFonts w:ascii="Calibri" w:hAnsi="Calibri" w:cs="Calibri"/>
                <w:color w:val="000000"/>
                <w:sz w:val="22"/>
                <w:szCs w:val="22"/>
                <w:lang w:val="en-IN" w:eastAsia="en-IN"/>
              </w:rPr>
            </w:pPr>
            <w:r w:rsidRPr="00931DE4">
              <w:rPr>
                <w:rFonts w:ascii="Calibri" w:hAnsi="Calibri" w:cs="Calibri"/>
                <w:color w:val="000000"/>
                <w:sz w:val="22"/>
                <w:szCs w:val="22"/>
                <w:lang w:val="en-IN" w:eastAsia="en-IN"/>
              </w:rPr>
              <w:t>Jan-26</w:t>
            </w:r>
          </w:p>
        </w:tc>
      </w:tr>
      <w:tr w:rsidR="002F2B8B" w:rsidRPr="00931DE4" w14:paraId="5E6F9F24" w14:textId="77777777" w:rsidTr="00EC6227">
        <w:trPr>
          <w:trHeight w:val="281"/>
        </w:trPr>
        <w:tc>
          <w:tcPr>
            <w:tcW w:w="5921" w:type="dxa"/>
            <w:tcBorders>
              <w:top w:val="nil"/>
              <w:left w:val="single" w:sz="4" w:space="0" w:color="auto"/>
              <w:bottom w:val="single" w:sz="4" w:space="0" w:color="auto"/>
              <w:right w:val="single" w:sz="4" w:space="0" w:color="auto"/>
            </w:tcBorders>
            <w:shd w:val="clear" w:color="auto" w:fill="95B3D7" w:themeFill="accent1" w:themeFillTint="99"/>
            <w:noWrap/>
            <w:vAlign w:val="bottom"/>
            <w:hideMark/>
          </w:tcPr>
          <w:p w14:paraId="43D9855C" w14:textId="77777777" w:rsidR="002F2B8B" w:rsidRPr="00931DE4" w:rsidRDefault="002F2B8B" w:rsidP="00574D2E">
            <w:pPr>
              <w:rPr>
                <w:rFonts w:ascii="Calibri" w:hAnsi="Calibri" w:cs="Calibri"/>
                <w:b/>
                <w:bCs/>
                <w:color w:val="000000"/>
                <w:sz w:val="22"/>
                <w:szCs w:val="22"/>
                <w:lang w:val="en-IN" w:eastAsia="en-IN"/>
              </w:rPr>
            </w:pPr>
            <w:r w:rsidRPr="00931DE4">
              <w:rPr>
                <w:rFonts w:ascii="Calibri" w:hAnsi="Calibri" w:cs="Calibri"/>
                <w:b/>
                <w:bCs/>
                <w:color w:val="000000"/>
                <w:sz w:val="22"/>
                <w:szCs w:val="22"/>
                <w:lang w:val="en-IN" w:eastAsia="en-IN"/>
              </w:rPr>
              <w:t>TOTAL</w:t>
            </w:r>
          </w:p>
        </w:tc>
        <w:tc>
          <w:tcPr>
            <w:tcW w:w="1765" w:type="dxa"/>
            <w:tcBorders>
              <w:top w:val="nil"/>
              <w:left w:val="nil"/>
              <w:bottom w:val="single" w:sz="4" w:space="0" w:color="auto"/>
              <w:right w:val="single" w:sz="4" w:space="0" w:color="auto"/>
            </w:tcBorders>
            <w:shd w:val="clear" w:color="auto" w:fill="95B3D7" w:themeFill="accent1" w:themeFillTint="99"/>
            <w:noWrap/>
            <w:vAlign w:val="bottom"/>
            <w:hideMark/>
          </w:tcPr>
          <w:p w14:paraId="0ADDE61A" w14:textId="77777777" w:rsidR="002F2B8B" w:rsidRPr="00931DE4" w:rsidRDefault="002F2B8B" w:rsidP="0085348F">
            <w:pPr>
              <w:jc w:val="center"/>
              <w:rPr>
                <w:rFonts w:ascii="Calibri" w:hAnsi="Calibri" w:cs="Calibri"/>
                <w:b/>
                <w:bCs/>
                <w:color w:val="000000"/>
                <w:sz w:val="22"/>
                <w:szCs w:val="22"/>
                <w:lang w:val="en-IN" w:eastAsia="en-IN"/>
              </w:rPr>
            </w:pPr>
            <w:r w:rsidRPr="00931DE4">
              <w:rPr>
                <w:rFonts w:ascii="Calibri" w:hAnsi="Calibri" w:cs="Calibri"/>
                <w:b/>
                <w:bCs/>
                <w:color w:val="000000"/>
                <w:sz w:val="22"/>
                <w:szCs w:val="22"/>
                <w:lang w:val="en-IN" w:eastAsia="en-IN"/>
              </w:rPr>
              <w:t>113000</w:t>
            </w:r>
          </w:p>
        </w:tc>
        <w:tc>
          <w:tcPr>
            <w:tcW w:w="1927" w:type="dxa"/>
            <w:tcBorders>
              <w:top w:val="nil"/>
              <w:left w:val="nil"/>
              <w:bottom w:val="single" w:sz="4" w:space="0" w:color="auto"/>
              <w:right w:val="single" w:sz="4" w:space="0" w:color="auto"/>
            </w:tcBorders>
            <w:shd w:val="clear" w:color="auto" w:fill="95B3D7" w:themeFill="accent1" w:themeFillTint="99"/>
            <w:noWrap/>
            <w:vAlign w:val="bottom"/>
            <w:hideMark/>
          </w:tcPr>
          <w:p w14:paraId="7DD13873" w14:textId="5AF4F08B" w:rsidR="002F2B8B" w:rsidRPr="00931DE4" w:rsidRDefault="002F2B8B" w:rsidP="0085348F">
            <w:pPr>
              <w:jc w:val="center"/>
              <w:rPr>
                <w:rFonts w:ascii="Calibri" w:hAnsi="Calibri" w:cs="Calibri"/>
                <w:color w:val="000000"/>
                <w:sz w:val="22"/>
                <w:szCs w:val="22"/>
                <w:lang w:val="en-IN" w:eastAsia="en-IN"/>
              </w:rPr>
            </w:pPr>
          </w:p>
        </w:tc>
      </w:tr>
    </w:tbl>
    <w:p w14:paraId="7B392295" w14:textId="77777777" w:rsidR="002F2B8B" w:rsidRDefault="002F2B8B" w:rsidP="002F2B8B">
      <w:pPr>
        <w:spacing w:line="360" w:lineRule="auto"/>
        <w:ind w:left="567"/>
        <w:jc w:val="both"/>
        <w:rPr>
          <w:rFonts w:asciiTheme="minorHAnsi" w:hAnsiTheme="minorHAnsi" w:cstheme="minorHAnsi"/>
          <w:sz w:val="22"/>
          <w:szCs w:val="22"/>
        </w:rPr>
      </w:pPr>
    </w:p>
    <w:p w14:paraId="0F735006" w14:textId="56BF13D5" w:rsidR="00B47073" w:rsidRDefault="00D26E39" w:rsidP="00A442F1">
      <w:pPr>
        <w:spacing w:line="360" w:lineRule="auto"/>
        <w:ind w:left="567"/>
        <w:jc w:val="both"/>
        <w:rPr>
          <w:rFonts w:asciiTheme="minorHAnsi" w:hAnsiTheme="minorHAnsi" w:cstheme="minorHAnsi"/>
          <w:sz w:val="22"/>
          <w:szCs w:val="22"/>
        </w:rPr>
      </w:pPr>
      <w:r>
        <w:rPr>
          <w:rFonts w:asciiTheme="minorHAnsi" w:hAnsiTheme="minorHAnsi" w:cstheme="minorHAnsi"/>
          <w:sz w:val="22"/>
          <w:szCs w:val="22"/>
        </w:rPr>
        <w:t>In addition to above, based on applications in pipeline</w:t>
      </w:r>
      <w:r w:rsidR="002F2B8B">
        <w:rPr>
          <w:rFonts w:asciiTheme="minorHAnsi" w:hAnsiTheme="minorHAnsi" w:cstheme="minorHAnsi"/>
          <w:sz w:val="22"/>
          <w:szCs w:val="22"/>
        </w:rPr>
        <w:t xml:space="preserve"> it is expected that few new Industries will start their operation in the second half of 2024-25 a</w:t>
      </w:r>
      <w:r>
        <w:rPr>
          <w:rFonts w:asciiTheme="minorHAnsi" w:hAnsiTheme="minorHAnsi" w:cstheme="minorHAnsi"/>
          <w:sz w:val="22"/>
          <w:szCs w:val="22"/>
        </w:rPr>
        <w:t>nd in FY 2025-26.  The list of n</w:t>
      </w:r>
      <w:r w:rsidR="002F2B8B">
        <w:rPr>
          <w:rFonts w:asciiTheme="minorHAnsi" w:hAnsiTheme="minorHAnsi" w:cstheme="minorHAnsi"/>
          <w:sz w:val="22"/>
          <w:szCs w:val="22"/>
        </w:rPr>
        <w:t>ew consumers with their load is given below.</w:t>
      </w:r>
    </w:p>
    <w:tbl>
      <w:tblPr>
        <w:tblW w:w="8903" w:type="dxa"/>
        <w:tblInd w:w="704" w:type="dxa"/>
        <w:tblLook w:val="04A0" w:firstRow="1" w:lastRow="0" w:firstColumn="1" w:lastColumn="0" w:noHBand="0" w:noVBand="1"/>
      </w:tblPr>
      <w:tblGrid>
        <w:gridCol w:w="4677"/>
        <w:gridCol w:w="2114"/>
        <w:gridCol w:w="2112"/>
      </w:tblGrid>
      <w:tr w:rsidR="002F2B8B" w:rsidRPr="00C13B1F" w14:paraId="0B000D39" w14:textId="77777777" w:rsidTr="00EC6227">
        <w:trPr>
          <w:trHeight w:val="303"/>
        </w:trPr>
        <w:tc>
          <w:tcPr>
            <w:tcW w:w="6791" w:type="dxa"/>
            <w:gridSpan w:val="2"/>
            <w:tcBorders>
              <w:bottom w:val="single" w:sz="4" w:space="0" w:color="auto"/>
            </w:tcBorders>
            <w:shd w:val="clear" w:color="auto" w:fill="auto"/>
            <w:noWrap/>
            <w:vAlign w:val="bottom"/>
            <w:hideMark/>
          </w:tcPr>
          <w:p w14:paraId="0A5C383F" w14:textId="7B68B834" w:rsidR="002F2B8B" w:rsidRDefault="00B47073" w:rsidP="00574D2E">
            <w:pPr>
              <w:jc w:val="center"/>
              <w:rPr>
                <w:rFonts w:ascii="Calibri" w:hAnsi="Calibri" w:cs="Calibri"/>
                <w:b/>
                <w:bCs/>
                <w:color w:val="000000"/>
                <w:sz w:val="22"/>
                <w:szCs w:val="22"/>
                <w:lang w:val="en-IN" w:eastAsia="en-IN"/>
              </w:rPr>
            </w:pPr>
            <w:r>
              <w:rPr>
                <w:rFonts w:asciiTheme="minorHAnsi" w:hAnsiTheme="minorHAnsi" w:cstheme="minorHAnsi"/>
                <w:b/>
                <w:sz w:val="22"/>
                <w:szCs w:val="22"/>
              </w:rPr>
              <w:t xml:space="preserve">                                    </w:t>
            </w:r>
            <w:r w:rsidR="002F2B8B" w:rsidRPr="00BD5055">
              <w:rPr>
                <w:rFonts w:asciiTheme="minorHAnsi" w:hAnsiTheme="minorHAnsi" w:cstheme="minorHAnsi"/>
                <w:b/>
                <w:sz w:val="22"/>
                <w:szCs w:val="22"/>
              </w:rPr>
              <w:t>Table-</w:t>
            </w:r>
            <w:r w:rsidR="002F2B8B">
              <w:rPr>
                <w:rFonts w:asciiTheme="minorHAnsi" w:hAnsiTheme="minorHAnsi" w:cstheme="minorHAnsi"/>
                <w:b/>
                <w:sz w:val="22"/>
                <w:szCs w:val="22"/>
              </w:rPr>
              <w:t>5</w:t>
            </w:r>
            <w:r w:rsidR="002F2B8B" w:rsidRPr="00BD5055">
              <w:rPr>
                <w:rFonts w:asciiTheme="minorHAnsi" w:hAnsiTheme="minorHAnsi" w:cstheme="minorHAnsi"/>
                <w:b/>
                <w:sz w:val="22"/>
                <w:szCs w:val="22"/>
              </w:rPr>
              <w:t xml:space="preserve">: </w:t>
            </w:r>
            <w:r w:rsidR="002F2B8B" w:rsidRPr="00C13B1F">
              <w:rPr>
                <w:rFonts w:ascii="Calibri" w:hAnsi="Calibri" w:cs="Calibri"/>
                <w:b/>
                <w:bCs/>
                <w:color w:val="000000"/>
                <w:sz w:val="22"/>
                <w:szCs w:val="22"/>
                <w:lang w:val="en-IN" w:eastAsia="en-IN"/>
              </w:rPr>
              <w:t>Details of New Consumer</w:t>
            </w:r>
          </w:p>
          <w:p w14:paraId="7B6F9D52" w14:textId="77777777" w:rsidR="00A442F1" w:rsidRDefault="00A442F1" w:rsidP="00574D2E">
            <w:pPr>
              <w:jc w:val="center"/>
              <w:rPr>
                <w:rFonts w:ascii="Calibri" w:hAnsi="Calibri" w:cs="Calibri"/>
                <w:b/>
                <w:bCs/>
                <w:color w:val="000000"/>
                <w:sz w:val="22"/>
                <w:szCs w:val="22"/>
                <w:lang w:val="en-IN" w:eastAsia="en-IN"/>
              </w:rPr>
            </w:pPr>
          </w:p>
          <w:p w14:paraId="0142E5DE" w14:textId="5BF613A3" w:rsidR="00B47073" w:rsidRPr="00C13B1F" w:rsidRDefault="00B47073" w:rsidP="00574D2E">
            <w:pPr>
              <w:jc w:val="center"/>
              <w:rPr>
                <w:rFonts w:ascii="Calibri" w:hAnsi="Calibri" w:cs="Calibri"/>
                <w:b/>
                <w:bCs/>
                <w:color w:val="000000"/>
                <w:sz w:val="22"/>
                <w:szCs w:val="22"/>
                <w:lang w:val="en-IN" w:eastAsia="en-IN"/>
              </w:rPr>
            </w:pPr>
          </w:p>
        </w:tc>
        <w:tc>
          <w:tcPr>
            <w:tcW w:w="2112" w:type="dxa"/>
            <w:tcBorders>
              <w:bottom w:val="single" w:sz="4" w:space="0" w:color="auto"/>
            </w:tcBorders>
          </w:tcPr>
          <w:p w14:paraId="7E793556" w14:textId="77777777" w:rsidR="002F2B8B" w:rsidRPr="00BD5055" w:rsidRDefault="002F2B8B" w:rsidP="00574D2E">
            <w:pPr>
              <w:jc w:val="center"/>
              <w:rPr>
                <w:rFonts w:asciiTheme="minorHAnsi" w:hAnsiTheme="minorHAnsi" w:cstheme="minorHAnsi"/>
                <w:b/>
                <w:sz w:val="22"/>
                <w:szCs w:val="22"/>
              </w:rPr>
            </w:pPr>
          </w:p>
        </w:tc>
      </w:tr>
      <w:tr w:rsidR="002F2B8B" w:rsidRPr="00C13B1F" w14:paraId="19CBB0E3" w14:textId="77777777" w:rsidTr="007319AB">
        <w:trPr>
          <w:trHeight w:val="303"/>
        </w:trPr>
        <w:tc>
          <w:tcPr>
            <w:tcW w:w="4677" w:type="dxa"/>
            <w:tcBorders>
              <w:top w:val="single" w:sz="4" w:space="0" w:color="auto"/>
              <w:left w:val="single" w:sz="4" w:space="0" w:color="auto"/>
              <w:bottom w:val="single" w:sz="4" w:space="0" w:color="auto"/>
              <w:right w:val="single" w:sz="4" w:space="0" w:color="auto"/>
            </w:tcBorders>
            <w:shd w:val="clear" w:color="auto" w:fill="95B3D7" w:themeFill="accent1" w:themeFillTint="99"/>
            <w:noWrap/>
            <w:vAlign w:val="bottom"/>
            <w:hideMark/>
          </w:tcPr>
          <w:p w14:paraId="1C07EECB" w14:textId="77777777" w:rsidR="002F2B8B" w:rsidRPr="00C13B1F" w:rsidRDefault="002F2B8B" w:rsidP="00574D2E">
            <w:pPr>
              <w:jc w:val="center"/>
              <w:rPr>
                <w:rFonts w:ascii="Calibri" w:hAnsi="Calibri" w:cs="Calibri"/>
                <w:b/>
                <w:bCs/>
                <w:color w:val="000000"/>
                <w:sz w:val="22"/>
                <w:szCs w:val="22"/>
                <w:lang w:val="en-IN" w:eastAsia="en-IN"/>
              </w:rPr>
            </w:pPr>
            <w:r w:rsidRPr="00C13B1F">
              <w:rPr>
                <w:rFonts w:ascii="Calibri" w:hAnsi="Calibri" w:cs="Calibri"/>
                <w:b/>
                <w:bCs/>
                <w:color w:val="000000"/>
                <w:sz w:val="22"/>
                <w:szCs w:val="22"/>
                <w:lang w:val="en-IN" w:eastAsia="en-IN"/>
              </w:rPr>
              <w:t>Name of Consumer</w:t>
            </w:r>
          </w:p>
        </w:tc>
        <w:tc>
          <w:tcPr>
            <w:tcW w:w="2113" w:type="dxa"/>
            <w:tcBorders>
              <w:top w:val="single" w:sz="4" w:space="0" w:color="auto"/>
              <w:left w:val="nil"/>
              <w:bottom w:val="single" w:sz="4" w:space="0" w:color="auto"/>
              <w:right w:val="single" w:sz="4" w:space="0" w:color="auto"/>
            </w:tcBorders>
            <w:shd w:val="clear" w:color="auto" w:fill="95B3D7" w:themeFill="accent1" w:themeFillTint="99"/>
            <w:noWrap/>
            <w:vAlign w:val="bottom"/>
            <w:hideMark/>
          </w:tcPr>
          <w:p w14:paraId="7760A63A" w14:textId="3D2336EC" w:rsidR="002F2B8B" w:rsidRPr="00C13B1F" w:rsidRDefault="002F2B8B" w:rsidP="00574D2E">
            <w:pPr>
              <w:jc w:val="center"/>
              <w:rPr>
                <w:rFonts w:ascii="Calibri" w:hAnsi="Calibri" w:cs="Calibri"/>
                <w:b/>
                <w:bCs/>
                <w:color w:val="000000"/>
                <w:sz w:val="22"/>
                <w:szCs w:val="22"/>
                <w:lang w:val="en-IN" w:eastAsia="en-IN"/>
              </w:rPr>
            </w:pPr>
            <w:r w:rsidRPr="00C13B1F">
              <w:rPr>
                <w:rFonts w:ascii="Calibri" w:hAnsi="Calibri" w:cs="Calibri"/>
                <w:b/>
                <w:bCs/>
                <w:color w:val="000000"/>
                <w:sz w:val="22"/>
                <w:szCs w:val="22"/>
                <w:lang w:val="en-IN" w:eastAsia="en-IN"/>
              </w:rPr>
              <w:t>L</w:t>
            </w:r>
            <w:r w:rsidR="007319AB">
              <w:rPr>
                <w:rFonts w:ascii="Calibri" w:hAnsi="Calibri" w:cs="Calibri"/>
                <w:b/>
                <w:bCs/>
                <w:color w:val="000000"/>
                <w:sz w:val="22"/>
                <w:szCs w:val="22"/>
                <w:lang w:val="en-IN" w:eastAsia="en-IN"/>
              </w:rPr>
              <w:t xml:space="preserve">oad </w:t>
            </w:r>
            <w:r w:rsidR="00D26E39">
              <w:rPr>
                <w:rFonts w:ascii="Calibri" w:hAnsi="Calibri" w:cs="Calibri"/>
                <w:b/>
                <w:bCs/>
                <w:color w:val="000000"/>
                <w:sz w:val="22"/>
                <w:szCs w:val="22"/>
                <w:lang w:val="en-IN" w:eastAsia="en-IN"/>
              </w:rPr>
              <w:t>(KVA)</w:t>
            </w:r>
          </w:p>
        </w:tc>
        <w:tc>
          <w:tcPr>
            <w:tcW w:w="2112" w:type="dxa"/>
            <w:tcBorders>
              <w:top w:val="single" w:sz="4" w:space="0" w:color="auto"/>
              <w:left w:val="nil"/>
              <w:bottom w:val="single" w:sz="4" w:space="0" w:color="auto"/>
              <w:right w:val="single" w:sz="4" w:space="0" w:color="auto"/>
            </w:tcBorders>
            <w:shd w:val="clear" w:color="auto" w:fill="95B3D7" w:themeFill="accent1" w:themeFillTint="99"/>
          </w:tcPr>
          <w:p w14:paraId="51D60005" w14:textId="371BA67C" w:rsidR="002F2B8B" w:rsidRPr="00C13B1F" w:rsidRDefault="007319AB" w:rsidP="00574D2E">
            <w:pPr>
              <w:jc w:val="center"/>
              <w:rPr>
                <w:rFonts w:ascii="Calibri" w:hAnsi="Calibri" w:cs="Calibri"/>
                <w:b/>
                <w:bCs/>
                <w:color w:val="000000"/>
                <w:sz w:val="22"/>
                <w:szCs w:val="22"/>
                <w:lang w:val="en-IN" w:eastAsia="en-IN"/>
              </w:rPr>
            </w:pPr>
            <w:r>
              <w:rPr>
                <w:rFonts w:ascii="Calibri" w:hAnsi="Calibri" w:cs="Calibri"/>
                <w:b/>
                <w:bCs/>
                <w:color w:val="000000"/>
                <w:sz w:val="22"/>
                <w:szCs w:val="22"/>
                <w:lang w:val="en-IN" w:eastAsia="en-IN"/>
              </w:rPr>
              <w:t>Year of Supply</w:t>
            </w:r>
          </w:p>
        </w:tc>
      </w:tr>
      <w:tr w:rsidR="002F2B8B" w:rsidRPr="00C13B1F" w14:paraId="6A24253E" w14:textId="77777777" w:rsidTr="00EC6227">
        <w:trPr>
          <w:trHeight w:val="303"/>
        </w:trPr>
        <w:tc>
          <w:tcPr>
            <w:tcW w:w="467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64DAB9D" w14:textId="77777777" w:rsidR="002F2B8B" w:rsidRPr="00C13B1F" w:rsidRDefault="002F2B8B" w:rsidP="00574D2E">
            <w:pPr>
              <w:rPr>
                <w:rFonts w:ascii="Calibri" w:hAnsi="Calibri" w:cs="Calibri"/>
                <w:color w:val="000000"/>
                <w:sz w:val="22"/>
                <w:szCs w:val="22"/>
                <w:lang w:val="en-IN" w:eastAsia="en-IN"/>
              </w:rPr>
            </w:pPr>
            <w:r w:rsidRPr="00C13B1F">
              <w:rPr>
                <w:rFonts w:ascii="Calibri" w:hAnsi="Calibri" w:cs="Calibri"/>
                <w:color w:val="000000"/>
                <w:sz w:val="22"/>
                <w:szCs w:val="22"/>
                <w:lang w:val="en-IN" w:eastAsia="en-IN"/>
              </w:rPr>
              <w:t>TATA STEEL, KHANDBOND</w:t>
            </w:r>
          </w:p>
        </w:tc>
        <w:tc>
          <w:tcPr>
            <w:tcW w:w="2113" w:type="dxa"/>
            <w:tcBorders>
              <w:top w:val="single" w:sz="4" w:space="0" w:color="auto"/>
              <w:left w:val="nil"/>
              <w:bottom w:val="single" w:sz="4" w:space="0" w:color="auto"/>
              <w:right w:val="single" w:sz="4" w:space="0" w:color="auto"/>
            </w:tcBorders>
            <w:shd w:val="clear" w:color="auto" w:fill="auto"/>
            <w:noWrap/>
            <w:vAlign w:val="bottom"/>
            <w:hideMark/>
          </w:tcPr>
          <w:p w14:paraId="5CBD73E2" w14:textId="77777777" w:rsidR="002F2B8B" w:rsidRPr="00C13B1F" w:rsidRDefault="002F2B8B" w:rsidP="00574D2E">
            <w:pPr>
              <w:jc w:val="center"/>
              <w:rPr>
                <w:rFonts w:ascii="Calibri" w:hAnsi="Calibri" w:cs="Calibri"/>
                <w:color w:val="000000"/>
                <w:sz w:val="22"/>
                <w:szCs w:val="22"/>
                <w:lang w:val="en-IN" w:eastAsia="en-IN"/>
              </w:rPr>
            </w:pPr>
            <w:r w:rsidRPr="00C13B1F">
              <w:rPr>
                <w:rFonts w:ascii="Calibri" w:hAnsi="Calibri" w:cs="Calibri"/>
                <w:color w:val="000000"/>
                <w:sz w:val="22"/>
                <w:szCs w:val="22"/>
                <w:lang w:val="en-IN" w:eastAsia="en-IN"/>
              </w:rPr>
              <w:t>7000</w:t>
            </w:r>
          </w:p>
        </w:tc>
        <w:tc>
          <w:tcPr>
            <w:tcW w:w="2112" w:type="dxa"/>
            <w:tcBorders>
              <w:top w:val="single" w:sz="4" w:space="0" w:color="auto"/>
              <w:left w:val="nil"/>
              <w:bottom w:val="single" w:sz="4" w:space="0" w:color="auto"/>
              <w:right w:val="single" w:sz="4" w:space="0" w:color="auto"/>
            </w:tcBorders>
          </w:tcPr>
          <w:p w14:paraId="6B139ABD" w14:textId="77777777" w:rsidR="002F2B8B" w:rsidRPr="00C13B1F" w:rsidRDefault="002F2B8B" w:rsidP="00574D2E">
            <w:pPr>
              <w:jc w:val="center"/>
              <w:rPr>
                <w:rFonts w:ascii="Calibri" w:hAnsi="Calibri" w:cs="Calibri"/>
                <w:color w:val="000000"/>
                <w:sz w:val="22"/>
                <w:szCs w:val="22"/>
                <w:lang w:val="en-IN" w:eastAsia="en-IN"/>
              </w:rPr>
            </w:pPr>
            <w:r>
              <w:rPr>
                <w:rFonts w:ascii="Calibri" w:hAnsi="Calibri" w:cs="Calibri"/>
                <w:color w:val="000000"/>
                <w:sz w:val="22"/>
                <w:szCs w:val="22"/>
                <w:lang w:val="en-IN" w:eastAsia="en-IN"/>
              </w:rPr>
              <w:t>24-25</w:t>
            </w:r>
          </w:p>
        </w:tc>
      </w:tr>
      <w:tr w:rsidR="002F2B8B" w:rsidRPr="00C13B1F" w14:paraId="37EEBC9C" w14:textId="77777777" w:rsidTr="00EC6227">
        <w:trPr>
          <w:trHeight w:val="303"/>
        </w:trPr>
        <w:tc>
          <w:tcPr>
            <w:tcW w:w="467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7B59A9C" w14:textId="77777777" w:rsidR="002F2B8B" w:rsidRPr="00C13B1F" w:rsidRDefault="002F2B8B" w:rsidP="00574D2E">
            <w:pPr>
              <w:rPr>
                <w:rFonts w:ascii="Calibri" w:hAnsi="Calibri" w:cs="Calibri"/>
                <w:color w:val="000000"/>
                <w:sz w:val="22"/>
                <w:szCs w:val="22"/>
                <w:lang w:val="en-IN" w:eastAsia="en-IN"/>
              </w:rPr>
            </w:pPr>
            <w:r w:rsidRPr="00C13B1F">
              <w:rPr>
                <w:rFonts w:ascii="Calibri" w:hAnsi="Calibri" w:cs="Calibri"/>
                <w:color w:val="000000"/>
                <w:sz w:val="22"/>
                <w:szCs w:val="22"/>
                <w:lang w:val="en-IN" w:eastAsia="en-IN"/>
              </w:rPr>
              <w:t>JINDAL Ferrous Ltd, JRED</w:t>
            </w:r>
          </w:p>
        </w:tc>
        <w:tc>
          <w:tcPr>
            <w:tcW w:w="2113" w:type="dxa"/>
            <w:tcBorders>
              <w:top w:val="single" w:sz="4" w:space="0" w:color="auto"/>
              <w:left w:val="nil"/>
              <w:bottom w:val="single" w:sz="4" w:space="0" w:color="auto"/>
              <w:right w:val="single" w:sz="4" w:space="0" w:color="auto"/>
            </w:tcBorders>
            <w:shd w:val="clear" w:color="auto" w:fill="auto"/>
            <w:noWrap/>
            <w:vAlign w:val="bottom"/>
            <w:hideMark/>
          </w:tcPr>
          <w:p w14:paraId="5CF91967" w14:textId="77777777" w:rsidR="002F2B8B" w:rsidRPr="00C13B1F" w:rsidRDefault="002F2B8B" w:rsidP="00574D2E">
            <w:pPr>
              <w:jc w:val="center"/>
              <w:rPr>
                <w:rFonts w:ascii="Calibri" w:hAnsi="Calibri" w:cs="Calibri"/>
                <w:color w:val="000000"/>
                <w:sz w:val="22"/>
                <w:szCs w:val="22"/>
                <w:lang w:val="en-IN" w:eastAsia="en-IN"/>
              </w:rPr>
            </w:pPr>
            <w:r w:rsidRPr="00C13B1F">
              <w:rPr>
                <w:rFonts w:ascii="Calibri" w:hAnsi="Calibri" w:cs="Calibri"/>
                <w:color w:val="000000"/>
                <w:sz w:val="22"/>
                <w:szCs w:val="22"/>
                <w:lang w:val="en-IN" w:eastAsia="en-IN"/>
              </w:rPr>
              <w:t>130000</w:t>
            </w:r>
          </w:p>
        </w:tc>
        <w:tc>
          <w:tcPr>
            <w:tcW w:w="2112" w:type="dxa"/>
            <w:tcBorders>
              <w:top w:val="single" w:sz="4" w:space="0" w:color="auto"/>
              <w:left w:val="nil"/>
              <w:bottom w:val="single" w:sz="4" w:space="0" w:color="auto"/>
              <w:right w:val="single" w:sz="4" w:space="0" w:color="auto"/>
            </w:tcBorders>
          </w:tcPr>
          <w:p w14:paraId="5B50703D" w14:textId="77777777" w:rsidR="002F2B8B" w:rsidRPr="00C13B1F" w:rsidRDefault="002F2B8B" w:rsidP="00574D2E">
            <w:pPr>
              <w:jc w:val="center"/>
              <w:rPr>
                <w:rFonts w:ascii="Calibri" w:hAnsi="Calibri" w:cs="Calibri"/>
                <w:color w:val="000000"/>
                <w:sz w:val="22"/>
                <w:szCs w:val="22"/>
                <w:lang w:val="en-IN" w:eastAsia="en-IN"/>
              </w:rPr>
            </w:pPr>
            <w:r>
              <w:rPr>
                <w:rFonts w:ascii="Calibri" w:hAnsi="Calibri" w:cs="Calibri"/>
                <w:color w:val="000000"/>
                <w:sz w:val="22"/>
                <w:szCs w:val="22"/>
                <w:lang w:val="en-IN" w:eastAsia="en-IN"/>
              </w:rPr>
              <w:t>25-26</w:t>
            </w:r>
          </w:p>
        </w:tc>
      </w:tr>
      <w:tr w:rsidR="002F2B8B" w:rsidRPr="00C13B1F" w14:paraId="1EB669A8" w14:textId="77777777" w:rsidTr="00EC6227">
        <w:trPr>
          <w:trHeight w:val="303"/>
        </w:trPr>
        <w:tc>
          <w:tcPr>
            <w:tcW w:w="467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CC68E74" w14:textId="77777777" w:rsidR="002F2B8B" w:rsidRPr="00C13B1F" w:rsidRDefault="002F2B8B" w:rsidP="00574D2E">
            <w:pPr>
              <w:rPr>
                <w:rFonts w:ascii="Calibri" w:hAnsi="Calibri" w:cs="Calibri"/>
                <w:color w:val="000000"/>
                <w:sz w:val="22"/>
                <w:szCs w:val="22"/>
                <w:lang w:val="en-IN" w:eastAsia="en-IN"/>
              </w:rPr>
            </w:pPr>
            <w:r w:rsidRPr="00C13B1F">
              <w:rPr>
                <w:rFonts w:ascii="Calibri" w:hAnsi="Calibri" w:cs="Calibri"/>
                <w:color w:val="000000"/>
                <w:sz w:val="22"/>
                <w:szCs w:val="22"/>
                <w:lang w:val="en-IN" w:eastAsia="en-IN"/>
              </w:rPr>
              <w:t>M/S. LINDE INDIA LTD.(NSC</w:t>
            </w:r>
            <w:proofErr w:type="gramStart"/>
            <w:r w:rsidRPr="00C13B1F">
              <w:rPr>
                <w:rFonts w:ascii="Calibri" w:hAnsi="Calibri" w:cs="Calibri"/>
                <w:color w:val="000000"/>
                <w:sz w:val="22"/>
                <w:szCs w:val="22"/>
                <w:lang w:val="en-IN" w:eastAsia="en-IN"/>
              </w:rPr>
              <w:t>),</w:t>
            </w:r>
            <w:proofErr w:type="spellStart"/>
            <w:r w:rsidRPr="00C13B1F">
              <w:rPr>
                <w:rFonts w:ascii="Calibri" w:hAnsi="Calibri" w:cs="Calibri"/>
                <w:color w:val="000000"/>
                <w:sz w:val="22"/>
                <w:szCs w:val="22"/>
                <w:lang w:val="en-IN" w:eastAsia="en-IN"/>
              </w:rPr>
              <w:t>Jajpur</w:t>
            </w:r>
            <w:proofErr w:type="spellEnd"/>
            <w:proofErr w:type="gramEnd"/>
          </w:p>
        </w:tc>
        <w:tc>
          <w:tcPr>
            <w:tcW w:w="2113" w:type="dxa"/>
            <w:tcBorders>
              <w:top w:val="single" w:sz="4" w:space="0" w:color="auto"/>
              <w:left w:val="nil"/>
              <w:bottom w:val="single" w:sz="4" w:space="0" w:color="auto"/>
              <w:right w:val="single" w:sz="4" w:space="0" w:color="auto"/>
            </w:tcBorders>
            <w:shd w:val="clear" w:color="auto" w:fill="auto"/>
            <w:noWrap/>
            <w:vAlign w:val="bottom"/>
            <w:hideMark/>
          </w:tcPr>
          <w:p w14:paraId="4853D38E" w14:textId="77777777" w:rsidR="002F2B8B" w:rsidRPr="00C13B1F" w:rsidRDefault="002F2B8B" w:rsidP="00574D2E">
            <w:pPr>
              <w:jc w:val="center"/>
              <w:rPr>
                <w:rFonts w:ascii="Calibri" w:hAnsi="Calibri" w:cs="Calibri"/>
                <w:color w:val="000000"/>
                <w:sz w:val="22"/>
                <w:szCs w:val="22"/>
                <w:lang w:val="en-IN" w:eastAsia="en-IN"/>
              </w:rPr>
            </w:pPr>
            <w:r w:rsidRPr="00C13B1F">
              <w:rPr>
                <w:rFonts w:ascii="Calibri" w:hAnsi="Calibri" w:cs="Calibri"/>
                <w:color w:val="000000"/>
                <w:sz w:val="22"/>
                <w:szCs w:val="22"/>
                <w:lang w:val="en-IN" w:eastAsia="en-IN"/>
              </w:rPr>
              <w:t>80000</w:t>
            </w:r>
          </w:p>
        </w:tc>
        <w:tc>
          <w:tcPr>
            <w:tcW w:w="2112" w:type="dxa"/>
            <w:tcBorders>
              <w:top w:val="single" w:sz="4" w:space="0" w:color="auto"/>
              <w:left w:val="nil"/>
              <w:bottom w:val="single" w:sz="4" w:space="0" w:color="auto"/>
              <w:right w:val="single" w:sz="4" w:space="0" w:color="auto"/>
            </w:tcBorders>
          </w:tcPr>
          <w:p w14:paraId="52E7B924" w14:textId="77777777" w:rsidR="002F2B8B" w:rsidRPr="00C13B1F" w:rsidRDefault="002F2B8B" w:rsidP="00574D2E">
            <w:pPr>
              <w:jc w:val="center"/>
              <w:rPr>
                <w:rFonts w:ascii="Calibri" w:hAnsi="Calibri" w:cs="Calibri"/>
                <w:color w:val="000000"/>
                <w:sz w:val="22"/>
                <w:szCs w:val="22"/>
                <w:lang w:val="en-IN" w:eastAsia="en-IN"/>
              </w:rPr>
            </w:pPr>
            <w:r>
              <w:rPr>
                <w:rFonts w:ascii="Calibri" w:hAnsi="Calibri" w:cs="Calibri"/>
                <w:color w:val="000000"/>
                <w:sz w:val="22"/>
                <w:szCs w:val="22"/>
                <w:lang w:val="en-IN" w:eastAsia="en-IN"/>
              </w:rPr>
              <w:t>25-26</w:t>
            </w:r>
          </w:p>
        </w:tc>
      </w:tr>
      <w:tr w:rsidR="002F2B8B" w:rsidRPr="00C13B1F" w14:paraId="0AB93D01" w14:textId="77777777" w:rsidTr="00EC6227">
        <w:trPr>
          <w:trHeight w:val="303"/>
        </w:trPr>
        <w:tc>
          <w:tcPr>
            <w:tcW w:w="467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70001C2" w14:textId="77777777" w:rsidR="002F2B8B" w:rsidRPr="00C13B1F" w:rsidRDefault="002F2B8B" w:rsidP="00574D2E">
            <w:pPr>
              <w:rPr>
                <w:rFonts w:ascii="Calibri" w:hAnsi="Calibri" w:cs="Calibri"/>
                <w:color w:val="000000"/>
                <w:sz w:val="22"/>
                <w:szCs w:val="22"/>
                <w:lang w:val="en-IN" w:eastAsia="en-IN"/>
              </w:rPr>
            </w:pPr>
            <w:r w:rsidRPr="00C13B1F">
              <w:rPr>
                <w:rFonts w:ascii="Calibri" w:hAnsi="Calibri" w:cs="Calibri"/>
                <w:color w:val="000000"/>
                <w:sz w:val="22"/>
                <w:szCs w:val="22"/>
                <w:lang w:val="en-IN" w:eastAsia="en-IN"/>
              </w:rPr>
              <w:t>M/S. RUNGTA METALS PRIVATE LTD</w:t>
            </w:r>
          </w:p>
        </w:tc>
        <w:tc>
          <w:tcPr>
            <w:tcW w:w="2113" w:type="dxa"/>
            <w:tcBorders>
              <w:top w:val="single" w:sz="4" w:space="0" w:color="auto"/>
              <w:left w:val="nil"/>
              <w:bottom w:val="single" w:sz="4" w:space="0" w:color="auto"/>
              <w:right w:val="single" w:sz="4" w:space="0" w:color="auto"/>
            </w:tcBorders>
            <w:shd w:val="clear" w:color="auto" w:fill="auto"/>
            <w:noWrap/>
            <w:vAlign w:val="bottom"/>
            <w:hideMark/>
          </w:tcPr>
          <w:p w14:paraId="3650645E" w14:textId="77777777" w:rsidR="002F2B8B" w:rsidRPr="00C13B1F" w:rsidRDefault="002F2B8B" w:rsidP="00574D2E">
            <w:pPr>
              <w:jc w:val="center"/>
              <w:rPr>
                <w:rFonts w:ascii="Calibri" w:hAnsi="Calibri" w:cs="Calibri"/>
                <w:color w:val="000000"/>
                <w:sz w:val="22"/>
                <w:szCs w:val="22"/>
                <w:lang w:val="en-IN" w:eastAsia="en-IN"/>
              </w:rPr>
            </w:pPr>
            <w:r w:rsidRPr="00C13B1F">
              <w:rPr>
                <w:rFonts w:ascii="Calibri" w:hAnsi="Calibri" w:cs="Calibri"/>
                <w:color w:val="000000"/>
                <w:sz w:val="22"/>
                <w:szCs w:val="22"/>
                <w:lang w:val="en-IN" w:eastAsia="en-IN"/>
              </w:rPr>
              <w:t>18000</w:t>
            </w:r>
          </w:p>
        </w:tc>
        <w:tc>
          <w:tcPr>
            <w:tcW w:w="2112" w:type="dxa"/>
            <w:tcBorders>
              <w:top w:val="single" w:sz="4" w:space="0" w:color="auto"/>
              <w:left w:val="nil"/>
              <w:bottom w:val="single" w:sz="4" w:space="0" w:color="auto"/>
              <w:right w:val="single" w:sz="4" w:space="0" w:color="auto"/>
            </w:tcBorders>
          </w:tcPr>
          <w:p w14:paraId="45272B69" w14:textId="77777777" w:rsidR="002F2B8B" w:rsidRPr="00C13B1F" w:rsidRDefault="002F2B8B" w:rsidP="00574D2E">
            <w:pPr>
              <w:jc w:val="center"/>
              <w:rPr>
                <w:rFonts w:ascii="Calibri" w:hAnsi="Calibri" w:cs="Calibri"/>
                <w:color w:val="000000"/>
                <w:sz w:val="22"/>
                <w:szCs w:val="22"/>
                <w:lang w:val="en-IN" w:eastAsia="en-IN"/>
              </w:rPr>
            </w:pPr>
            <w:r>
              <w:rPr>
                <w:rFonts w:ascii="Calibri" w:hAnsi="Calibri" w:cs="Calibri"/>
                <w:color w:val="000000"/>
                <w:sz w:val="22"/>
                <w:szCs w:val="22"/>
                <w:lang w:val="en-IN" w:eastAsia="en-IN"/>
              </w:rPr>
              <w:t>25-26</w:t>
            </w:r>
          </w:p>
        </w:tc>
      </w:tr>
      <w:tr w:rsidR="002F2B8B" w:rsidRPr="00C13B1F" w14:paraId="6893F8EA" w14:textId="77777777" w:rsidTr="00EC6227">
        <w:trPr>
          <w:trHeight w:val="303"/>
        </w:trPr>
        <w:tc>
          <w:tcPr>
            <w:tcW w:w="467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F660B61" w14:textId="77777777" w:rsidR="002F2B8B" w:rsidRPr="00C13B1F" w:rsidRDefault="002F2B8B" w:rsidP="00574D2E">
            <w:pPr>
              <w:rPr>
                <w:rFonts w:ascii="Calibri" w:hAnsi="Calibri" w:cs="Calibri"/>
                <w:color w:val="000000"/>
                <w:sz w:val="22"/>
                <w:szCs w:val="22"/>
                <w:lang w:val="en-IN" w:eastAsia="en-IN"/>
              </w:rPr>
            </w:pPr>
            <w:r w:rsidRPr="00C13B1F">
              <w:rPr>
                <w:rFonts w:ascii="Calibri" w:hAnsi="Calibri" w:cs="Calibri"/>
                <w:color w:val="000000"/>
                <w:sz w:val="22"/>
                <w:szCs w:val="22"/>
                <w:lang w:val="en-IN" w:eastAsia="en-IN"/>
              </w:rPr>
              <w:t>M/S ANAND EXPORTS(NSC), JAJPUR</w:t>
            </w:r>
          </w:p>
        </w:tc>
        <w:tc>
          <w:tcPr>
            <w:tcW w:w="2113" w:type="dxa"/>
            <w:tcBorders>
              <w:top w:val="single" w:sz="4" w:space="0" w:color="auto"/>
              <w:left w:val="nil"/>
              <w:bottom w:val="single" w:sz="4" w:space="0" w:color="auto"/>
              <w:right w:val="single" w:sz="4" w:space="0" w:color="auto"/>
            </w:tcBorders>
            <w:shd w:val="clear" w:color="auto" w:fill="auto"/>
            <w:noWrap/>
            <w:vAlign w:val="bottom"/>
            <w:hideMark/>
          </w:tcPr>
          <w:p w14:paraId="08CF750A" w14:textId="77777777" w:rsidR="002F2B8B" w:rsidRPr="00C13B1F" w:rsidRDefault="002F2B8B" w:rsidP="00574D2E">
            <w:pPr>
              <w:jc w:val="center"/>
              <w:rPr>
                <w:rFonts w:ascii="Calibri" w:hAnsi="Calibri" w:cs="Calibri"/>
                <w:color w:val="000000"/>
                <w:sz w:val="22"/>
                <w:szCs w:val="22"/>
                <w:lang w:val="en-IN" w:eastAsia="en-IN"/>
              </w:rPr>
            </w:pPr>
            <w:r w:rsidRPr="00C13B1F">
              <w:rPr>
                <w:rFonts w:ascii="Calibri" w:hAnsi="Calibri" w:cs="Calibri"/>
                <w:color w:val="000000"/>
                <w:sz w:val="22"/>
                <w:szCs w:val="22"/>
                <w:lang w:val="en-IN" w:eastAsia="en-IN"/>
              </w:rPr>
              <w:t>19000</w:t>
            </w:r>
          </w:p>
        </w:tc>
        <w:tc>
          <w:tcPr>
            <w:tcW w:w="2112" w:type="dxa"/>
            <w:tcBorders>
              <w:top w:val="single" w:sz="4" w:space="0" w:color="auto"/>
              <w:left w:val="nil"/>
              <w:bottom w:val="single" w:sz="4" w:space="0" w:color="auto"/>
              <w:right w:val="single" w:sz="4" w:space="0" w:color="auto"/>
            </w:tcBorders>
          </w:tcPr>
          <w:p w14:paraId="19C9AA38" w14:textId="77777777" w:rsidR="002F2B8B" w:rsidRPr="00C13B1F" w:rsidRDefault="002F2B8B" w:rsidP="00574D2E">
            <w:pPr>
              <w:jc w:val="center"/>
              <w:rPr>
                <w:rFonts w:ascii="Calibri" w:hAnsi="Calibri" w:cs="Calibri"/>
                <w:color w:val="000000"/>
                <w:sz w:val="22"/>
                <w:szCs w:val="22"/>
                <w:lang w:val="en-IN" w:eastAsia="en-IN"/>
              </w:rPr>
            </w:pPr>
            <w:r>
              <w:rPr>
                <w:rFonts w:ascii="Calibri" w:hAnsi="Calibri" w:cs="Calibri"/>
                <w:color w:val="000000"/>
                <w:sz w:val="22"/>
                <w:szCs w:val="22"/>
                <w:lang w:val="en-IN" w:eastAsia="en-IN"/>
              </w:rPr>
              <w:t>25-26</w:t>
            </w:r>
          </w:p>
        </w:tc>
      </w:tr>
      <w:tr w:rsidR="002F2B8B" w:rsidRPr="00C13B1F" w14:paraId="200E2EE9" w14:textId="77777777" w:rsidTr="00A442F1">
        <w:trPr>
          <w:trHeight w:val="303"/>
        </w:trPr>
        <w:tc>
          <w:tcPr>
            <w:tcW w:w="4677" w:type="dxa"/>
            <w:tcBorders>
              <w:top w:val="single" w:sz="4" w:space="0" w:color="auto"/>
              <w:left w:val="single" w:sz="4" w:space="0" w:color="auto"/>
              <w:bottom w:val="single" w:sz="4" w:space="0" w:color="auto"/>
              <w:right w:val="single" w:sz="4" w:space="0" w:color="auto"/>
            </w:tcBorders>
            <w:shd w:val="clear" w:color="auto" w:fill="95B3D7" w:themeFill="accent1" w:themeFillTint="99"/>
            <w:noWrap/>
            <w:vAlign w:val="bottom"/>
            <w:hideMark/>
          </w:tcPr>
          <w:p w14:paraId="7EB82A75" w14:textId="77777777" w:rsidR="002F2B8B" w:rsidRPr="00C13B1F" w:rsidRDefault="002F2B8B" w:rsidP="00574D2E">
            <w:pPr>
              <w:rPr>
                <w:rFonts w:ascii="Calibri" w:hAnsi="Calibri" w:cs="Calibri"/>
                <w:b/>
                <w:bCs/>
                <w:color w:val="000000"/>
                <w:sz w:val="22"/>
                <w:szCs w:val="22"/>
                <w:lang w:val="en-IN" w:eastAsia="en-IN"/>
              </w:rPr>
            </w:pPr>
            <w:r w:rsidRPr="00C13B1F">
              <w:rPr>
                <w:rFonts w:ascii="Calibri" w:hAnsi="Calibri" w:cs="Calibri"/>
                <w:b/>
                <w:bCs/>
                <w:color w:val="000000"/>
                <w:sz w:val="22"/>
                <w:szCs w:val="22"/>
                <w:lang w:val="en-IN" w:eastAsia="en-IN"/>
              </w:rPr>
              <w:t>TOTAL</w:t>
            </w:r>
          </w:p>
        </w:tc>
        <w:tc>
          <w:tcPr>
            <w:tcW w:w="2113" w:type="dxa"/>
            <w:tcBorders>
              <w:top w:val="single" w:sz="4" w:space="0" w:color="auto"/>
              <w:left w:val="nil"/>
              <w:bottom w:val="single" w:sz="4" w:space="0" w:color="auto"/>
              <w:right w:val="single" w:sz="4" w:space="0" w:color="auto"/>
            </w:tcBorders>
            <w:shd w:val="clear" w:color="auto" w:fill="95B3D7" w:themeFill="accent1" w:themeFillTint="99"/>
            <w:noWrap/>
            <w:vAlign w:val="bottom"/>
            <w:hideMark/>
          </w:tcPr>
          <w:p w14:paraId="7A41D7BE" w14:textId="77777777" w:rsidR="002F2B8B" w:rsidRPr="00C13B1F" w:rsidRDefault="002F2B8B" w:rsidP="00574D2E">
            <w:pPr>
              <w:jc w:val="center"/>
              <w:rPr>
                <w:rFonts w:ascii="Calibri" w:hAnsi="Calibri" w:cs="Calibri"/>
                <w:b/>
                <w:bCs/>
                <w:color w:val="000000"/>
                <w:sz w:val="22"/>
                <w:szCs w:val="22"/>
                <w:lang w:val="en-IN" w:eastAsia="en-IN"/>
              </w:rPr>
            </w:pPr>
            <w:r w:rsidRPr="00C13B1F">
              <w:rPr>
                <w:rFonts w:ascii="Calibri" w:hAnsi="Calibri" w:cs="Calibri"/>
                <w:b/>
                <w:bCs/>
                <w:color w:val="000000"/>
                <w:sz w:val="22"/>
                <w:szCs w:val="22"/>
                <w:lang w:val="en-IN" w:eastAsia="en-IN"/>
              </w:rPr>
              <w:t>254000</w:t>
            </w:r>
          </w:p>
        </w:tc>
        <w:tc>
          <w:tcPr>
            <w:tcW w:w="2112" w:type="dxa"/>
            <w:tcBorders>
              <w:top w:val="single" w:sz="4" w:space="0" w:color="auto"/>
              <w:left w:val="nil"/>
              <w:bottom w:val="single" w:sz="4" w:space="0" w:color="auto"/>
              <w:right w:val="single" w:sz="4" w:space="0" w:color="auto"/>
            </w:tcBorders>
            <w:shd w:val="clear" w:color="auto" w:fill="95B3D7" w:themeFill="accent1" w:themeFillTint="99"/>
          </w:tcPr>
          <w:p w14:paraId="4AFE7CFF" w14:textId="77777777" w:rsidR="002F2B8B" w:rsidRPr="00C13B1F" w:rsidRDefault="002F2B8B" w:rsidP="00574D2E">
            <w:pPr>
              <w:jc w:val="right"/>
              <w:rPr>
                <w:rFonts w:ascii="Calibri" w:hAnsi="Calibri" w:cs="Calibri"/>
                <w:b/>
                <w:bCs/>
                <w:color w:val="000000"/>
                <w:sz w:val="22"/>
                <w:szCs w:val="22"/>
                <w:lang w:val="en-IN" w:eastAsia="en-IN"/>
              </w:rPr>
            </w:pPr>
          </w:p>
        </w:tc>
      </w:tr>
    </w:tbl>
    <w:p w14:paraId="5B2A662D" w14:textId="77777777" w:rsidR="002F2B8B" w:rsidRDefault="002F2B8B" w:rsidP="002F2B8B">
      <w:pPr>
        <w:spacing w:line="360" w:lineRule="auto"/>
        <w:ind w:left="567"/>
        <w:jc w:val="both"/>
        <w:rPr>
          <w:rFonts w:asciiTheme="minorHAnsi" w:hAnsiTheme="minorHAnsi" w:cstheme="minorHAnsi"/>
          <w:sz w:val="22"/>
          <w:szCs w:val="22"/>
        </w:rPr>
      </w:pPr>
    </w:p>
    <w:p w14:paraId="0C4DF622" w14:textId="0C8DDC7E" w:rsidR="00951E3D" w:rsidRPr="00B47073" w:rsidRDefault="002F2B8B" w:rsidP="00B47073">
      <w:pPr>
        <w:pStyle w:val="BodyText2"/>
        <w:spacing w:line="360" w:lineRule="auto"/>
        <w:ind w:left="567"/>
        <w:jc w:val="both"/>
        <w:rPr>
          <w:rFonts w:asciiTheme="minorHAnsi" w:hAnsiTheme="minorHAnsi" w:cstheme="minorHAnsi"/>
          <w:sz w:val="22"/>
          <w:szCs w:val="22"/>
        </w:rPr>
      </w:pPr>
      <w:r w:rsidRPr="00BD5055">
        <w:rPr>
          <w:rFonts w:asciiTheme="minorHAnsi" w:hAnsiTheme="minorHAnsi" w:cstheme="minorHAnsi"/>
          <w:sz w:val="22"/>
          <w:szCs w:val="22"/>
        </w:rPr>
        <w:lastRenderedPageBreak/>
        <w:t>Consumption</w:t>
      </w:r>
      <w:r w:rsidR="00951E3D">
        <w:rPr>
          <w:rFonts w:asciiTheme="minorHAnsi" w:hAnsiTheme="minorHAnsi" w:cstheme="minorHAnsi"/>
          <w:sz w:val="22"/>
          <w:szCs w:val="22"/>
        </w:rPr>
        <w:t xml:space="preserve"> pattern of each existing EHT consumer had been</w:t>
      </w:r>
      <w:r w:rsidRPr="00BD5055">
        <w:rPr>
          <w:rFonts w:asciiTheme="minorHAnsi" w:hAnsiTheme="minorHAnsi" w:cstheme="minorHAnsi"/>
          <w:sz w:val="22"/>
          <w:szCs w:val="22"/>
        </w:rPr>
        <w:t xml:space="preserve"> analyzed before projecting sales in EHT category in the ensuing year 202</w:t>
      </w:r>
      <w:r>
        <w:rPr>
          <w:rFonts w:asciiTheme="minorHAnsi" w:hAnsiTheme="minorHAnsi" w:cstheme="minorHAnsi"/>
          <w:sz w:val="22"/>
          <w:szCs w:val="22"/>
        </w:rPr>
        <w:t>5</w:t>
      </w:r>
      <w:r w:rsidRPr="00BD5055">
        <w:rPr>
          <w:rFonts w:asciiTheme="minorHAnsi" w:hAnsiTheme="minorHAnsi" w:cstheme="minorHAnsi"/>
          <w:sz w:val="22"/>
          <w:szCs w:val="22"/>
        </w:rPr>
        <w:t>-2</w:t>
      </w:r>
      <w:r>
        <w:rPr>
          <w:rFonts w:asciiTheme="minorHAnsi" w:hAnsiTheme="minorHAnsi" w:cstheme="minorHAnsi"/>
          <w:sz w:val="22"/>
          <w:szCs w:val="22"/>
        </w:rPr>
        <w:t>6</w:t>
      </w:r>
      <w:r w:rsidRPr="00BD5055">
        <w:rPr>
          <w:rFonts w:asciiTheme="minorHAnsi" w:hAnsiTheme="minorHAnsi" w:cstheme="minorHAnsi"/>
          <w:sz w:val="22"/>
          <w:szCs w:val="22"/>
        </w:rPr>
        <w:t xml:space="preserve">. Presently, there are 42 EHT consumers including 9 </w:t>
      </w:r>
      <w:proofErr w:type="spellStart"/>
      <w:r w:rsidRPr="00BD5055">
        <w:rPr>
          <w:rFonts w:asciiTheme="minorHAnsi" w:hAnsiTheme="minorHAnsi" w:cstheme="minorHAnsi"/>
          <w:sz w:val="22"/>
          <w:szCs w:val="22"/>
        </w:rPr>
        <w:t>nos</w:t>
      </w:r>
      <w:proofErr w:type="spellEnd"/>
      <w:r w:rsidRPr="00BD5055">
        <w:rPr>
          <w:rFonts w:asciiTheme="minorHAnsi" w:hAnsiTheme="minorHAnsi" w:cstheme="minorHAnsi"/>
          <w:sz w:val="22"/>
          <w:szCs w:val="22"/>
        </w:rPr>
        <w:t xml:space="preserve"> of Railway Traction connections. Out of the balance 33 </w:t>
      </w:r>
      <w:proofErr w:type="spellStart"/>
      <w:r w:rsidRPr="00BD5055">
        <w:rPr>
          <w:rFonts w:asciiTheme="minorHAnsi" w:hAnsiTheme="minorHAnsi" w:cstheme="minorHAnsi"/>
          <w:sz w:val="22"/>
          <w:szCs w:val="22"/>
        </w:rPr>
        <w:t>nos</w:t>
      </w:r>
      <w:proofErr w:type="spellEnd"/>
      <w:r w:rsidRPr="00BD5055">
        <w:rPr>
          <w:rFonts w:asciiTheme="minorHAnsi" w:hAnsiTheme="minorHAnsi" w:cstheme="minorHAnsi"/>
          <w:sz w:val="22"/>
          <w:szCs w:val="22"/>
        </w:rPr>
        <w:t xml:space="preserve">, 8 no of industries are having their own CPP and 2 </w:t>
      </w:r>
      <w:proofErr w:type="spellStart"/>
      <w:r w:rsidRPr="00BD5055">
        <w:rPr>
          <w:rFonts w:asciiTheme="minorHAnsi" w:hAnsiTheme="minorHAnsi" w:cstheme="minorHAnsi"/>
          <w:sz w:val="22"/>
          <w:szCs w:val="22"/>
        </w:rPr>
        <w:t>nos</w:t>
      </w:r>
      <w:proofErr w:type="spellEnd"/>
      <w:r w:rsidRPr="00BD5055">
        <w:rPr>
          <w:rFonts w:asciiTheme="minorHAnsi" w:hAnsiTheme="minorHAnsi" w:cstheme="minorHAnsi"/>
          <w:sz w:val="22"/>
          <w:szCs w:val="22"/>
        </w:rPr>
        <w:t xml:space="preserve"> of consumers are availing power supply under emergency supply tariff category</w:t>
      </w:r>
      <w:r w:rsidR="00951E3D">
        <w:rPr>
          <w:rFonts w:asciiTheme="minorHAnsi" w:hAnsiTheme="minorHAnsi" w:cstheme="minorHAnsi"/>
          <w:sz w:val="22"/>
          <w:szCs w:val="22"/>
        </w:rPr>
        <w:t>.</w:t>
      </w:r>
      <w:r w:rsidRPr="00BD5055">
        <w:rPr>
          <w:rFonts w:asciiTheme="minorHAnsi" w:hAnsiTheme="minorHAnsi" w:cstheme="minorHAnsi"/>
          <w:sz w:val="22"/>
          <w:szCs w:val="22"/>
        </w:rPr>
        <w:t xml:space="preserve"> </w:t>
      </w:r>
      <w:r w:rsidR="00951E3D">
        <w:rPr>
          <w:rFonts w:asciiTheme="minorHAnsi" w:hAnsiTheme="minorHAnsi" w:cstheme="minorHAnsi"/>
          <w:sz w:val="22"/>
          <w:szCs w:val="22"/>
        </w:rPr>
        <w:t>C</w:t>
      </w:r>
      <w:r w:rsidRPr="00BD5055">
        <w:rPr>
          <w:rFonts w:asciiTheme="minorHAnsi" w:hAnsiTheme="minorHAnsi" w:cstheme="minorHAnsi"/>
          <w:sz w:val="22"/>
          <w:szCs w:val="22"/>
        </w:rPr>
        <w:t xml:space="preserve">onsidering growth of </w:t>
      </w:r>
      <w:r w:rsidR="00951E3D">
        <w:rPr>
          <w:rFonts w:asciiTheme="minorHAnsi" w:hAnsiTheme="minorHAnsi" w:cstheme="minorHAnsi"/>
          <w:sz w:val="22"/>
          <w:szCs w:val="22"/>
        </w:rPr>
        <w:t xml:space="preserve">the </w:t>
      </w:r>
      <w:r w:rsidRPr="00BD5055">
        <w:rPr>
          <w:rFonts w:asciiTheme="minorHAnsi" w:hAnsiTheme="minorHAnsi" w:cstheme="minorHAnsi"/>
          <w:sz w:val="22"/>
          <w:szCs w:val="22"/>
        </w:rPr>
        <w:t xml:space="preserve">existing industries and </w:t>
      </w:r>
      <w:r w:rsidR="00951E3D">
        <w:rPr>
          <w:rFonts w:asciiTheme="minorHAnsi" w:hAnsiTheme="minorHAnsi" w:cstheme="minorHAnsi"/>
          <w:sz w:val="22"/>
          <w:szCs w:val="22"/>
        </w:rPr>
        <w:t xml:space="preserve">expected </w:t>
      </w:r>
      <w:r w:rsidRPr="00BD5055">
        <w:rPr>
          <w:rFonts w:asciiTheme="minorHAnsi" w:hAnsiTheme="minorHAnsi" w:cstheme="minorHAnsi"/>
          <w:sz w:val="22"/>
          <w:szCs w:val="22"/>
        </w:rPr>
        <w:t>energization of upcoming industries</w:t>
      </w:r>
      <w:r w:rsidR="00951E3D">
        <w:rPr>
          <w:rFonts w:asciiTheme="minorHAnsi" w:hAnsiTheme="minorHAnsi" w:cstheme="minorHAnsi"/>
          <w:sz w:val="22"/>
          <w:szCs w:val="22"/>
        </w:rPr>
        <w:t xml:space="preserve"> in pipeline</w:t>
      </w:r>
      <w:r w:rsidRPr="00BD5055">
        <w:rPr>
          <w:rFonts w:asciiTheme="minorHAnsi" w:hAnsiTheme="minorHAnsi" w:cstheme="minorHAnsi"/>
          <w:sz w:val="22"/>
          <w:szCs w:val="22"/>
        </w:rPr>
        <w:t xml:space="preserve">, the EHT sales has been estimated at </w:t>
      </w:r>
      <w:r>
        <w:rPr>
          <w:rFonts w:asciiTheme="minorHAnsi" w:hAnsiTheme="minorHAnsi" w:cstheme="minorHAnsi"/>
          <w:sz w:val="22"/>
          <w:szCs w:val="22"/>
        </w:rPr>
        <w:t>3353.77</w:t>
      </w:r>
      <w:r w:rsidRPr="00BD5055">
        <w:rPr>
          <w:rFonts w:asciiTheme="minorHAnsi" w:hAnsiTheme="minorHAnsi" w:cstheme="minorHAnsi"/>
          <w:sz w:val="22"/>
          <w:szCs w:val="22"/>
        </w:rPr>
        <w:t xml:space="preserve"> MUs for 202</w:t>
      </w:r>
      <w:r>
        <w:rPr>
          <w:rFonts w:asciiTheme="minorHAnsi" w:hAnsiTheme="minorHAnsi" w:cstheme="minorHAnsi"/>
          <w:sz w:val="22"/>
          <w:szCs w:val="22"/>
        </w:rPr>
        <w:t>4</w:t>
      </w:r>
      <w:r w:rsidRPr="00BD5055">
        <w:rPr>
          <w:rFonts w:asciiTheme="minorHAnsi" w:hAnsiTheme="minorHAnsi" w:cstheme="minorHAnsi"/>
          <w:sz w:val="22"/>
          <w:szCs w:val="22"/>
        </w:rPr>
        <w:t>-2</w:t>
      </w:r>
      <w:r>
        <w:rPr>
          <w:rFonts w:asciiTheme="minorHAnsi" w:hAnsiTheme="minorHAnsi" w:cstheme="minorHAnsi"/>
          <w:sz w:val="22"/>
          <w:szCs w:val="22"/>
        </w:rPr>
        <w:t>5</w:t>
      </w:r>
      <w:r w:rsidRPr="00BD5055">
        <w:rPr>
          <w:rFonts w:asciiTheme="minorHAnsi" w:hAnsiTheme="minorHAnsi" w:cstheme="minorHAnsi"/>
          <w:sz w:val="22"/>
          <w:szCs w:val="22"/>
        </w:rPr>
        <w:t xml:space="preserve"> and projected </w:t>
      </w:r>
      <w:r>
        <w:rPr>
          <w:rFonts w:asciiTheme="minorHAnsi" w:hAnsiTheme="minorHAnsi" w:cstheme="minorHAnsi"/>
          <w:sz w:val="22"/>
          <w:szCs w:val="22"/>
        </w:rPr>
        <w:t>3759.09</w:t>
      </w:r>
      <w:r w:rsidRPr="00BD5055">
        <w:rPr>
          <w:rFonts w:asciiTheme="minorHAnsi" w:hAnsiTheme="minorHAnsi" w:cstheme="minorHAnsi"/>
          <w:sz w:val="22"/>
          <w:szCs w:val="22"/>
        </w:rPr>
        <w:t xml:space="preserve"> MUs for ensuing year 202</w:t>
      </w:r>
      <w:r>
        <w:rPr>
          <w:rFonts w:asciiTheme="minorHAnsi" w:hAnsiTheme="minorHAnsi" w:cstheme="minorHAnsi"/>
          <w:sz w:val="22"/>
          <w:szCs w:val="22"/>
        </w:rPr>
        <w:t>5</w:t>
      </w:r>
      <w:r w:rsidRPr="00BD5055">
        <w:rPr>
          <w:rFonts w:asciiTheme="minorHAnsi" w:hAnsiTheme="minorHAnsi" w:cstheme="minorHAnsi"/>
          <w:sz w:val="22"/>
          <w:szCs w:val="22"/>
        </w:rPr>
        <w:t>-2</w:t>
      </w:r>
      <w:r>
        <w:rPr>
          <w:rFonts w:asciiTheme="minorHAnsi" w:hAnsiTheme="minorHAnsi" w:cstheme="minorHAnsi"/>
          <w:sz w:val="22"/>
          <w:szCs w:val="22"/>
        </w:rPr>
        <w:t>6.</w:t>
      </w:r>
      <w:r w:rsidRPr="00BD5055">
        <w:rPr>
          <w:rFonts w:asciiTheme="minorHAnsi" w:hAnsiTheme="minorHAnsi" w:cstheme="minorHAnsi"/>
          <w:sz w:val="22"/>
          <w:szCs w:val="22"/>
        </w:rPr>
        <w:t xml:space="preserve"> </w:t>
      </w:r>
      <w:r>
        <w:rPr>
          <w:rFonts w:asciiTheme="minorHAnsi" w:hAnsiTheme="minorHAnsi" w:cstheme="minorHAnsi"/>
          <w:sz w:val="22"/>
          <w:szCs w:val="22"/>
        </w:rPr>
        <w:t>G</w:t>
      </w:r>
      <w:r w:rsidRPr="00BD5055">
        <w:rPr>
          <w:rFonts w:asciiTheme="minorHAnsi" w:hAnsiTheme="minorHAnsi" w:cstheme="minorHAnsi"/>
          <w:sz w:val="22"/>
          <w:szCs w:val="22"/>
        </w:rPr>
        <w:t>rowth o</w:t>
      </w:r>
      <w:r>
        <w:rPr>
          <w:rFonts w:asciiTheme="minorHAnsi" w:hAnsiTheme="minorHAnsi" w:cstheme="minorHAnsi"/>
          <w:sz w:val="22"/>
          <w:szCs w:val="22"/>
        </w:rPr>
        <w:t>f 12% has been considered in EHT category for the ensuing financial year</w:t>
      </w:r>
      <w:r w:rsidR="00951E3D">
        <w:rPr>
          <w:rFonts w:asciiTheme="minorHAnsi" w:hAnsiTheme="minorHAnsi" w:cstheme="minorHAnsi"/>
          <w:sz w:val="22"/>
          <w:szCs w:val="22"/>
        </w:rPr>
        <w:t xml:space="preserve"> </w:t>
      </w:r>
      <w:r w:rsidRPr="00BD5055">
        <w:rPr>
          <w:rFonts w:asciiTheme="minorHAnsi" w:hAnsiTheme="minorHAnsi" w:cstheme="minorHAnsi"/>
          <w:sz w:val="22"/>
          <w:szCs w:val="22"/>
        </w:rPr>
        <w:t>202</w:t>
      </w:r>
      <w:r>
        <w:rPr>
          <w:rFonts w:asciiTheme="minorHAnsi" w:hAnsiTheme="minorHAnsi" w:cstheme="minorHAnsi"/>
          <w:sz w:val="22"/>
          <w:szCs w:val="22"/>
        </w:rPr>
        <w:t>5</w:t>
      </w:r>
      <w:r w:rsidRPr="00BD5055">
        <w:rPr>
          <w:rFonts w:asciiTheme="minorHAnsi" w:hAnsiTheme="minorHAnsi" w:cstheme="minorHAnsi"/>
          <w:sz w:val="22"/>
          <w:szCs w:val="22"/>
        </w:rPr>
        <w:t>-2</w:t>
      </w:r>
      <w:r>
        <w:rPr>
          <w:rFonts w:asciiTheme="minorHAnsi" w:hAnsiTheme="minorHAnsi" w:cstheme="minorHAnsi"/>
          <w:sz w:val="22"/>
          <w:szCs w:val="22"/>
        </w:rPr>
        <w:t>6</w:t>
      </w:r>
      <w:r w:rsidRPr="00BD5055">
        <w:rPr>
          <w:rFonts w:asciiTheme="minorHAnsi" w:hAnsiTheme="minorHAnsi" w:cstheme="minorHAnsi"/>
          <w:sz w:val="22"/>
          <w:szCs w:val="22"/>
        </w:rPr>
        <w:t>.</w:t>
      </w:r>
    </w:p>
    <w:p w14:paraId="58962BDD" w14:textId="39508E23" w:rsidR="002F2B8B" w:rsidRDefault="002F2B8B" w:rsidP="002F2B8B">
      <w:pPr>
        <w:pStyle w:val="BodyText2"/>
        <w:spacing w:line="360" w:lineRule="auto"/>
        <w:ind w:left="567"/>
        <w:jc w:val="center"/>
        <w:rPr>
          <w:rFonts w:asciiTheme="minorHAnsi" w:hAnsiTheme="minorHAnsi" w:cstheme="minorHAnsi"/>
          <w:b/>
          <w:sz w:val="22"/>
          <w:szCs w:val="22"/>
        </w:rPr>
      </w:pPr>
      <w:r w:rsidRPr="00675D10">
        <w:rPr>
          <w:rFonts w:asciiTheme="minorHAnsi" w:hAnsiTheme="minorHAnsi" w:cstheme="minorHAnsi"/>
          <w:b/>
          <w:sz w:val="22"/>
          <w:szCs w:val="22"/>
        </w:rPr>
        <w:t>Table-</w:t>
      </w:r>
      <w:r>
        <w:rPr>
          <w:rFonts w:asciiTheme="minorHAnsi" w:hAnsiTheme="minorHAnsi" w:cstheme="minorHAnsi"/>
          <w:b/>
          <w:sz w:val="22"/>
          <w:szCs w:val="22"/>
        </w:rPr>
        <w:t>6</w:t>
      </w:r>
      <w:r w:rsidRPr="00675D10">
        <w:rPr>
          <w:rFonts w:asciiTheme="minorHAnsi" w:hAnsiTheme="minorHAnsi" w:cstheme="minorHAnsi"/>
          <w:b/>
          <w:sz w:val="22"/>
          <w:szCs w:val="22"/>
        </w:rPr>
        <w:t>: EHT Sales (in MUs)</w:t>
      </w:r>
    </w:p>
    <w:tbl>
      <w:tblPr>
        <w:tblW w:w="9885" w:type="dxa"/>
        <w:tblLook w:val="04A0" w:firstRow="1" w:lastRow="0" w:firstColumn="1" w:lastColumn="0" w:noHBand="0" w:noVBand="1"/>
      </w:tblPr>
      <w:tblGrid>
        <w:gridCol w:w="761"/>
        <w:gridCol w:w="2858"/>
        <w:gridCol w:w="1333"/>
        <w:gridCol w:w="1847"/>
        <w:gridCol w:w="1560"/>
        <w:gridCol w:w="1526"/>
      </w:tblGrid>
      <w:tr w:rsidR="002F2B8B" w:rsidRPr="00AE0A10" w14:paraId="313C4E63" w14:textId="77777777" w:rsidTr="00A442F1">
        <w:trPr>
          <w:trHeight w:val="579"/>
        </w:trPr>
        <w:tc>
          <w:tcPr>
            <w:tcW w:w="761" w:type="dxa"/>
            <w:tcBorders>
              <w:top w:val="single" w:sz="4" w:space="0" w:color="auto"/>
              <w:left w:val="single" w:sz="4" w:space="0" w:color="auto"/>
              <w:bottom w:val="single" w:sz="4" w:space="0" w:color="auto"/>
              <w:right w:val="single" w:sz="4" w:space="0" w:color="auto"/>
            </w:tcBorders>
            <w:shd w:val="clear" w:color="auto" w:fill="95B3D7" w:themeFill="accent1" w:themeFillTint="99"/>
            <w:noWrap/>
            <w:vAlign w:val="center"/>
            <w:hideMark/>
          </w:tcPr>
          <w:p w14:paraId="141D9913" w14:textId="051F6E30" w:rsidR="002F2B8B" w:rsidRPr="00AE0A10" w:rsidRDefault="002F2B8B" w:rsidP="00574D2E">
            <w:pPr>
              <w:rPr>
                <w:rFonts w:ascii="Arial" w:hAnsi="Arial" w:cs="Arial"/>
                <w:b/>
                <w:bCs/>
                <w:sz w:val="20"/>
                <w:szCs w:val="20"/>
                <w:lang w:val="en-IN" w:eastAsia="en-IN"/>
              </w:rPr>
            </w:pPr>
            <w:r w:rsidRPr="00AE0A10">
              <w:rPr>
                <w:rFonts w:ascii="Arial" w:hAnsi="Arial" w:cs="Arial"/>
                <w:b/>
                <w:bCs/>
                <w:sz w:val="20"/>
                <w:szCs w:val="20"/>
                <w:lang w:val="en-IN" w:eastAsia="en-IN"/>
              </w:rPr>
              <w:t>Sl.</w:t>
            </w:r>
            <w:r w:rsidR="00A97283">
              <w:rPr>
                <w:rFonts w:ascii="Arial" w:hAnsi="Arial" w:cs="Arial"/>
                <w:b/>
                <w:bCs/>
                <w:sz w:val="20"/>
                <w:szCs w:val="20"/>
                <w:lang w:val="en-IN" w:eastAsia="en-IN"/>
              </w:rPr>
              <w:t xml:space="preserve"> </w:t>
            </w:r>
            <w:r w:rsidRPr="00AE0A10">
              <w:rPr>
                <w:rFonts w:ascii="Arial" w:hAnsi="Arial" w:cs="Arial"/>
                <w:b/>
                <w:bCs/>
                <w:sz w:val="20"/>
                <w:szCs w:val="20"/>
                <w:lang w:val="en-IN" w:eastAsia="en-IN"/>
              </w:rPr>
              <w:t>No.</w:t>
            </w:r>
          </w:p>
        </w:tc>
        <w:tc>
          <w:tcPr>
            <w:tcW w:w="2858" w:type="dxa"/>
            <w:tcBorders>
              <w:top w:val="single" w:sz="4" w:space="0" w:color="auto"/>
              <w:left w:val="nil"/>
              <w:bottom w:val="single" w:sz="4" w:space="0" w:color="auto"/>
              <w:right w:val="single" w:sz="4" w:space="0" w:color="auto"/>
            </w:tcBorders>
            <w:shd w:val="clear" w:color="auto" w:fill="95B3D7" w:themeFill="accent1" w:themeFillTint="99"/>
            <w:noWrap/>
            <w:vAlign w:val="center"/>
            <w:hideMark/>
          </w:tcPr>
          <w:p w14:paraId="4E8634EF" w14:textId="77777777" w:rsidR="002F2B8B" w:rsidRPr="00AE0A10" w:rsidRDefault="002F2B8B" w:rsidP="00574D2E">
            <w:pPr>
              <w:jc w:val="center"/>
              <w:rPr>
                <w:rFonts w:ascii="Arial" w:hAnsi="Arial" w:cs="Arial"/>
                <w:b/>
                <w:bCs/>
                <w:color w:val="000000"/>
                <w:sz w:val="20"/>
                <w:szCs w:val="20"/>
                <w:lang w:val="en-IN" w:eastAsia="en-IN"/>
              </w:rPr>
            </w:pPr>
            <w:r w:rsidRPr="00AE0A10">
              <w:rPr>
                <w:rFonts w:ascii="Arial" w:hAnsi="Arial" w:cs="Arial"/>
                <w:b/>
                <w:bCs/>
                <w:color w:val="000000"/>
                <w:sz w:val="20"/>
                <w:szCs w:val="20"/>
                <w:lang w:val="en-IN" w:eastAsia="en-IN"/>
              </w:rPr>
              <w:t>EHT Category</w:t>
            </w:r>
          </w:p>
        </w:tc>
        <w:tc>
          <w:tcPr>
            <w:tcW w:w="1333" w:type="dxa"/>
            <w:tcBorders>
              <w:top w:val="single" w:sz="4" w:space="0" w:color="auto"/>
              <w:left w:val="nil"/>
              <w:bottom w:val="single" w:sz="4" w:space="0" w:color="auto"/>
              <w:right w:val="single" w:sz="4" w:space="0" w:color="auto"/>
            </w:tcBorders>
            <w:shd w:val="clear" w:color="auto" w:fill="95B3D7" w:themeFill="accent1" w:themeFillTint="99"/>
            <w:noWrap/>
            <w:vAlign w:val="center"/>
            <w:hideMark/>
          </w:tcPr>
          <w:p w14:paraId="0790EE4F" w14:textId="77777777" w:rsidR="002F2B8B" w:rsidRDefault="002F2B8B" w:rsidP="00574D2E">
            <w:pPr>
              <w:jc w:val="center"/>
              <w:rPr>
                <w:rFonts w:ascii="Calibri" w:hAnsi="Calibri" w:cs="Calibri"/>
                <w:b/>
                <w:bCs/>
                <w:color w:val="000000"/>
                <w:sz w:val="22"/>
                <w:szCs w:val="22"/>
                <w:lang w:val="en-IN" w:eastAsia="en-IN"/>
              </w:rPr>
            </w:pPr>
            <w:r w:rsidRPr="00AE0A10">
              <w:rPr>
                <w:rFonts w:ascii="Calibri" w:hAnsi="Calibri" w:cs="Calibri"/>
                <w:b/>
                <w:bCs/>
                <w:color w:val="000000"/>
                <w:sz w:val="22"/>
                <w:szCs w:val="22"/>
                <w:lang w:val="en-IN" w:eastAsia="en-IN"/>
              </w:rPr>
              <w:t>FY 2023-24</w:t>
            </w:r>
          </w:p>
          <w:p w14:paraId="0DA99629" w14:textId="59B936A1" w:rsidR="00A442F1" w:rsidRPr="00AE0A10" w:rsidRDefault="00A442F1" w:rsidP="00574D2E">
            <w:pPr>
              <w:jc w:val="center"/>
              <w:rPr>
                <w:rFonts w:ascii="Calibri" w:hAnsi="Calibri" w:cs="Calibri"/>
                <w:b/>
                <w:bCs/>
                <w:color w:val="000000"/>
                <w:sz w:val="22"/>
                <w:szCs w:val="22"/>
                <w:lang w:val="en-IN" w:eastAsia="en-IN"/>
              </w:rPr>
            </w:pPr>
            <w:r>
              <w:rPr>
                <w:rFonts w:ascii="Calibri" w:hAnsi="Calibri" w:cs="Calibri"/>
                <w:b/>
                <w:bCs/>
                <w:color w:val="000000"/>
                <w:sz w:val="22"/>
                <w:szCs w:val="22"/>
                <w:lang w:val="en-IN" w:eastAsia="en-IN"/>
              </w:rPr>
              <w:t>(Actual)</w:t>
            </w:r>
          </w:p>
        </w:tc>
        <w:tc>
          <w:tcPr>
            <w:tcW w:w="1847" w:type="dxa"/>
            <w:tcBorders>
              <w:top w:val="single" w:sz="4" w:space="0" w:color="auto"/>
              <w:left w:val="nil"/>
              <w:bottom w:val="single" w:sz="4" w:space="0" w:color="auto"/>
              <w:right w:val="single" w:sz="4" w:space="0" w:color="auto"/>
            </w:tcBorders>
            <w:shd w:val="clear" w:color="auto" w:fill="95B3D7" w:themeFill="accent1" w:themeFillTint="99"/>
            <w:vAlign w:val="center"/>
            <w:hideMark/>
          </w:tcPr>
          <w:p w14:paraId="3DF2547F" w14:textId="77777777" w:rsidR="002F2B8B" w:rsidRPr="00AE0A10" w:rsidRDefault="002F2B8B" w:rsidP="00574D2E">
            <w:pPr>
              <w:jc w:val="center"/>
              <w:rPr>
                <w:rFonts w:ascii="Calibri" w:hAnsi="Calibri" w:cs="Calibri"/>
                <w:b/>
                <w:bCs/>
                <w:color w:val="000000"/>
                <w:sz w:val="22"/>
                <w:szCs w:val="22"/>
                <w:lang w:val="en-IN" w:eastAsia="en-IN"/>
              </w:rPr>
            </w:pPr>
            <w:r w:rsidRPr="00AE0A10">
              <w:rPr>
                <w:rFonts w:ascii="Calibri" w:hAnsi="Calibri" w:cs="Calibri"/>
                <w:b/>
                <w:bCs/>
                <w:color w:val="000000"/>
                <w:sz w:val="22"/>
                <w:szCs w:val="22"/>
                <w:lang w:val="en-IN" w:eastAsia="en-IN"/>
              </w:rPr>
              <w:t xml:space="preserve"> FY 2024-25_H1 (Actual)</w:t>
            </w:r>
          </w:p>
        </w:tc>
        <w:tc>
          <w:tcPr>
            <w:tcW w:w="1560" w:type="dxa"/>
            <w:tcBorders>
              <w:top w:val="single" w:sz="4" w:space="0" w:color="auto"/>
              <w:left w:val="nil"/>
              <w:bottom w:val="single" w:sz="4" w:space="0" w:color="auto"/>
              <w:right w:val="single" w:sz="4" w:space="0" w:color="auto"/>
            </w:tcBorders>
            <w:shd w:val="clear" w:color="auto" w:fill="95B3D7" w:themeFill="accent1" w:themeFillTint="99"/>
            <w:vAlign w:val="center"/>
            <w:hideMark/>
          </w:tcPr>
          <w:p w14:paraId="14A06F6B" w14:textId="31A3D9D8" w:rsidR="002F2B8B" w:rsidRPr="00AE0A10" w:rsidRDefault="002F2B8B" w:rsidP="00574D2E">
            <w:pPr>
              <w:jc w:val="center"/>
              <w:rPr>
                <w:rFonts w:ascii="Calibri" w:hAnsi="Calibri" w:cs="Calibri"/>
                <w:b/>
                <w:bCs/>
                <w:color w:val="000000"/>
                <w:sz w:val="22"/>
                <w:szCs w:val="22"/>
                <w:lang w:val="en-IN" w:eastAsia="en-IN"/>
              </w:rPr>
            </w:pPr>
            <w:r w:rsidRPr="00AE0A10">
              <w:rPr>
                <w:rFonts w:ascii="Calibri" w:hAnsi="Calibri" w:cs="Calibri"/>
                <w:b/>
                <w:bCs/>
                <w:color w:val="000000"/>
                <w:sz w:val="22"/>
                <w:szCs w:val="22"/>
                <w:lang w:val="en-IN" w:eastAsia="en-IN"/>
              </w:rPr>
              <w:t>FY 2024-25 (Project</w:t>
            </w:r>
            <w:r w:rsidR="00A442F1">
              <w:rPr>
                <w:rFonts w:ascii="Calibri" w:hAnsi="Calibri" w:cs="Calibri"/>
                <w:b/>
                <w:bCs/>
                <w:color w:val="000000"/>
                <w:sz w:val="22"/>
                <w:szCs w:val="22"/>
                <w:lang w:val="en-IN" w:eastAsia="en-IN"/>
              </w:rPr>
              <w:t>ed</w:t>
            </w:r>
            <w:r w:rsidRPr="00AE0A10">
              <w:rPr>
                <w:rFonts w:ascii="Calibri" w:hAnsi="Calibri" w:cs="Calibri"/>
                <w:b/>
                <w:bCs/>
                <w:color w:val="000000"/>
                <w:sz w:val="22"/>
                <w:szCs w:val="22"/>
                <w:lang w:val="en-IN" w:eastAsia="en-IN"/>
              </w:rPr>
              <w:t>)</w:t>
            </w:r>
          </w:p>
        </w:tc>
        <w:tc>
          <w:tcPr>
            <w:tcW w:w="1526" w:type="dxa"/>
            <w:tcBorders>
              <w:top w:val="single" w:sz="4" w:space="0" w:color="auto"/>
              <w:left w:val="nil"/>
              <w:bottom w:val="single" w:sz="4" w:space="0" w:color="auto"/>
              <w:right w:val="single" w:sz="4" w:space="0" w:color="auto"/>
            </w:tcBorders>
            <w:shd w:val="clear" w:color="auto" w:fill="95B3D7" w:themeFill="accent1" w:themeFillTint="99"/>
            <w:vAlign w:val="center"/>
            <w:hideMark/>
          </w:tcPr>
          <w:p w14:paraId="69DF2932" w14:textId="77777777" w:rsidR="002F2B8B" w:rsidRPr="00AE0A10" w:rsidRDefault="002F2B8B" w:rsidP="00574D2E">
            <w:pPr>
              <w:jc w:val="center"/>
              <w:rPr>
                <w:rFonts w:ascii="Calibri" w:hAnsi="Calibri" w:cs="Calibri"/>
                <w:b/>
                <w:bCs/>
                <w:color w:val="000000"/>
                <w:sz w:val="22"/>
                <w:szCs w:val="22"/>
                <w:lang w:val="en-IN" w:eastAsia="en-IN"/>
              </w:rPr>
            </w:pPr>
            <w:r w:rsidRPr="00AE0A10">
              <w:rPr>
                <w:rFonts w:ascii="Calibri" w:hAnsi="Calibri" w:cs="Calibri"/>
                <w:b/>
                <w:bCs/>
                <w:color w:val="000000"/>
                <w:sz w:val="22"/>
                <w:szCs w:val="22"/>
                <w:lang w:val="en-IN" w:eastAsia="en-IN"/>
              </w:rPr>
              <w:t>FY 2025-26 (Projection)</w:t>
            </w:r>
          </w:p>
        </w:tc>
      </w:tr>
      <w:tr w:rsidR="002F2B8B" w:rsidRPr="00AE0A10" w14:paraId="34565B4C" w14:textId="77777777" w:rsidTr="00A442F1">
        <w:trPr>
          <w:trHeight w:val="289"/>
        </w:trPr>
        <w:tc>
          <w:tcPr>
            <w:tcW w:w="761" w:type="dxa"/>
            <w:tcBorders>
              <w:top w:val="nil"/>
              <w:left w:val="single" w:sz="4" w:space="0" w:color="auto"/>
              <w:bottom w:val="single" w:sz="4" w:space="0" w:color="auto"/>
              <w:right w:val="single" w:sz="4" w:space="0" w:color="auto"/>
            </w:tcBorders>
            <w:shd w:val="clear" w:color="auto" w:fill="auto"/>
            <w:noWrap/>
            <w:vAlign w:val="center"/>
            <w:hideMark/>
          </w:tcPr>
          <w:p w14:paraId="71980307" w14:textId="77777777" w:rsidR="002F2B8B" w:rsidRPr="00AE0A10" w:rsidRDefault="002F2B8B" w:rsidP="00574D2E">
            <w:pPr>
              <w:jc w:val="center"/>
              <w:rPr>
                <w:rFonts w:ascii="Arial" w:hAnsi="Arial" w:cs="Arial"/>
                <w:sz w:val="20"/>
                <w:szCs w:val="20"/>
                <w:lang w:val="en-IN" w:eastAsia="en-IN"/>
              </w:rPr>
            </w:pPr>
            <w:r w:rsidRPr="00AE0A10">
              <w:rPr>
                <w:rFonts w:ascii="Arial" w:hAnsi="Arial" w:cs="Arial"/>
                <w:sz w:val="20"/>
                <w:szCs w:val="20"/>
                <w:lang w:val="en-IN" w:eastAsia="en-IN"/>
              </w:rPr>
              <w:t>1</w:t>
            </w:r>
          </w:p>
        </w:tc>
        <w:tc>
          <w:tcPr>
            <w:tcW w:w="2858" w:type="dxa"/>
            <w:tcBorders>
              <w:top w:val="nil"/>
              <w:left w:val="nil"/>
              <w:bottom w:val="single" w:sz="4" w:space="0" w:color="auto"/>
              <w:right w:val="single" w:sz="4" w:space="0" w:color="auto"/>
            </w:tcBorders>
            <w:shd w:val="clear" w:color="auto" w:fill="auto"/>
            <w:noWrap/>
            <w:vAlign w:val="center"/>
            <w:hideMark/>
          </w:tcPr>
          <w:p w14:paraId="6FB9264A" w14:textId="77777777" w:rsidR="002F2B8B" w:rsidRPr="00AE0A10" w:rsidRDefault="002F2B8B" w:rsidP="00574D2E">
            <w:pPr>
              <w:rPr>
                <w:rFonts w:ascii="Arial" w:hAnsi="Arial" w:cs="Arial"/>
                <w:sz w:val="20"/>
                <w:szCs w:val="20"/>
                <w:lang w:val="en-IN" w:eastAsia="en-IN"/>
              </w:rPr>
            </w:pPr>
            <w:r w:rsidRPr="00AE0A10">
              <w:rPr>
                <w:rFonts w:ascii="Arial" w:hAnsi="Arial" w:cs="Arial"/>
                <w:sz w:val="20"/>
                <w:szCs w:val="20"/>
                <w:lang w:val="en-IN" w:eastAsia="en-IN"/>
              </w:rPr>
              <w:t>General Purpose</w:t>
            </w:r>
          </w:p>
        </w:tc>
        <w:tc>
          <w:tcPr>
            <w:tcW w:w="1333" w:type="dxa"/>
            <w:tcBorders>
              <w:top w:val="nil"/>
              <w:left w:val="nil"/>
              <w:bottom w:val="single" w:sz="4" w:space="0" w:color="auto"/>
              <w:right w:val="single" w:sz="4" w:space="0" w:color="auto"/>
            </w:tcBorders>
            <w:shd w:val="clear" w:color="auto" w:fill="auto"/>
            <w:noWrap/>
            <w:vAlign w:val="center"/>
            <w:hideMark/>
          </w:tcPr>
          <w:p w14:paraId="2CFEE3BD" w14:textId="77777777" w:rsidR="002F2B8B" w:rsidRPr="00AE0A10" w:rsidRDefault="002F2B8B" w:rsidP="00574D2E">
            <w:pPr>
              <w:jc w:val="center"/>
              <w:rPr>
                <w:rFonts w:ascii="Calibri" w:hAnsi="Calibri" w:cs="Calibri"/>
                <w:color w:val="000000"/>
                <w:sz w:val="22"/>
                <w:szCs w:val="22"/>
                <w:lang w:val="en-IN" w:eastAsia="en-IN"/>
              </w:rPr>
            </w:pPr>
            <w:r w:rsidRPr="00AE0A10">
              <w:rPr>
                <w:rFonts w:ascii="Calibri" w:hAnsi="Calibri" w:cs="Calibri"/>
                <w:color w:val="000000"/>
                <w:sz w:val="22"/>
                <w:szCs w:val="22"/>
                <w:lang w:val="en-IN" w:eastAsia="en-IN"/>
              </w:rPr>
              <w:t>87.76</w:t>
            </w:r>
          </w:p>
        </w:tc>
        <w:tc>
          <w:tcPr>
            <w:tcW w:w="1847" w:type="dxa"/>
            <w:tcBorders>
              <w:top w:val="nil"/>
              <w:left w:val="nil"/>
              <w:bottom w:val="single" w:sz="4" w:space="0" w:color="auto"/>
              <w:right w:val="single" w:sz="4" w:space="0" w:color="auto"/>
            </w:tcBorders>
            <w:shd w:val="clear" w:color="auto" w:fill="auto"/>
            <w:noWrap/>
            <w:vAlign w:val="center"/>
            <w:hideMark/>
          </w:tcPr>
          <w:p w14:paraId="49739111" w14:textId="77777777" w:rsidR="002F2B8B" w:rsidRPr="00AE0A10" w:rsidRDefault="002F2B8B" w:rsidP="00574D2E">
            <w:pPr>
              <w:jc w:val="center"/>
              <w:rPr>
                <w:rFonts w:ascii="Calibri" w:hAnsi="Calibri" w:cs="Calibri"/>
                <w:color w:val="000000"/>
                <w:sz w:val="22"/>
                <w:szCs w:val="22"/>
                <w:lang w:val="en-IN" w:eastAsia="en-IN"/>
              </w:rPr>
            </w:pPr>
            <w:r w:rsidRPr="00AE0A10">
              <w:rPr>
                <w:rFonts w:ascii="Calibri" w:hAnsi="Calibri" w:cs="Calibri"/>
                <w:color w:val="000000"/>
                <w:sz w:val="22"/>
                <w:szCs w:val="22"/>
                <w:lang w:val="en-IN" w:eastAsia="en-IN"/>
              </w:rPr>
              <w:t>48.93</w:t>
            </w:r>
          </w:p>
        </w:tc>
        <w:tc>
          <w:tcPr>
            <w:tcW w:w="1560" w:type="dxa"/>
            <w:tcBorders>
              <w:top w:val="nil"/>
              <w:left w:val="nil"/>
              <w:bottom w:val="single" w:sz="4" w:space="0" w:color="auto"/>
              <w:right w:val="single" w:sz="4" w:space="0" w:color="auto"/>
            </w:tcBorders>
            <w:shd w:val="clear" w:color="auto" w:fill="auto"/>
            <w:noWrap/>
            <w:vAlign w:val="center"/>
            <w:hideMark/>
          </w:tcPr>
          <w:p w14:paraId="719116FC" w14:textId="77777777" w:rsidR="002F2B8B" w:rsidRPr="00AE0A10" w:rsidRDefault="002F2B8B" w:rsidP="00574D2E">
            <w:pPr>
              <w:jc w:val="center"/>
              <w:rPr>
                <w:rFonts w:ascii="Calibri" w:hAnsi="Calibri" w:cs="Calibri"/>
                <w:color w:val="000000"/>
                <w:sz w:val="22"/>
                <w:szCs w:val="22"/>
                <w:lang w:val="en-IN" w:eastAsia="en-IN"/>
              </w:rPr>
            </w:pPr>
            <w:r w:rsidRPr="00AE0A10">
              <w:rPr>
                <w:rFonts w:ascii="Calibri" w:hAnsi="Calibri" w:cs="Calibri"/>
                <w:color w:val="000000"/>
                <w:sz w:val="22"/>
                <w:szCs w:val="22"/>
                <w:lang w:val="en-IN" w:eastAsia="en-IN"/>
              </w:rPr>
              <w:t>94.42</w:t>
            </w:r>
          </w:p>
        </w:tc>
        <w:tc>
          <w:tcPr>
            <w:tcW w:w="1526" w:type="dxa"/>
            <w:tcBorders>
              <w:top w:val="nil"/>
              <w:left w:val="nil"/>
              <w:bottom w:val="single" w:sz="4" w:space="0" w:color="auto"/>
              <w:right w:val="single" w:sz="4" w:space="0" w:color="auto"/>
            </w:tcBorders>
            <w:shd w:val="clear" w:color="auto" w:fill="auto"/>
            <w:noWrap/>
            <w:vAlign w:val="center"/>
            <w:hideMark/>
          </w:tcPr>
          <w:p w14:paraId="662BAB45" w14:textId="77777777" w:rsidR="002F2B8B" w:rsidRPr="00AE0A10" w:rsidRDefault="002F2B8B" w:rsidP="00574D2E">
            <w:pPr>
              <w:jc w:val="center"/>
              <w:rPr>
                <w:rFonts w:ascii="Calibri" w:hAnsi="Calibri" w:cs="Calibri"/>
                <w:color w:val="000000"/>
                <w:sz w:val="22"/>
                <w:szCs w:val="22"/>
                <w:lang w:val="en-IN" w:eastAsia="en-IN"/>
              </w:rPr>
            </w:pPr>
            <w:r w:rsidRPr="00AE0A10">
              <w:rPr>
                <w:rFonts w:ascii="Calibri" w:hAnsi="Calibri" w:cs="Calibri"/>
                <w:color w:val="000000"/>
                <w:sz w:val="22"/>
                <w:szCs w:val="22"/>
                <w:lang w:val="en-IN" w:eastAsia="en-IN"/>
              </w:rPr>
              <w:t>95.73</w:t>
            </w:r>
          </w:p>
        </w:tc>
      </w:tr>
      <w:tr w:rsidR="002F2B8B" w:rsidRPr="00AE0A10" w14:paraId="7B9CD71D" w14:textId="77777777" w:rsidTr="00A442F1">
        <w:trPr>
          <w:trHeight w:val="289"/>
        </w:trPr>
        <w:tc>
          <w:tcPr>
            <w:tcW w:w="761" w:type="dxa"/>
            <w:tcBorders>
              <w:top w:val="nil"/>
              <w:left w:val="single" w:sz="4" w:space="0" w:color="auto"/>
              <w:bottom w:val="single" w:sz="4" w:space="0" w:color="auto"/>
              <w:right w:val="single" w:sz="4" w:space="0" w:color="auto"/>
            </w:tcBorders>
            <w:shd w:val="clear" w:color="auto" w:fill="auto"/>
            <w:noWrap/>
            <w:vAlign w:val="center"/>
            <w:hideMark/>
          </w:tcPr>
          <w:p w14:paraId="6FF9354B" w14:textId="77777777" w:rsidR="002F2B8B" w:rsidRPr="00AE0A10" w:rsidRDefault="002F2B8B" w:rsidP="00574D2E">
            <w:pPr>
              <w:jc w:val="center"/>
              <w:rPr>
                <w:rFonts w:ascii="Arial" w:hAnsi="Arial" w:cs="Arial"/>
                <w:sz w:val="20"/>
                <w:szCs w:val="20"/>
                <w:lang w:val="en-IN" w:eastAsia="en-IN"/>
              </w:rPr>
            </w:pPr>
            <w:r w:rsidRPr="00AE0A10">
              <w:rPr>
                <w:rFonts w:ascii="Arial" w:hAnsi="Arial" w:cs="Arial"/>
                <w:sz w:val="20"/>
                <w:szCs w:val="20"/>
                <w:lang w:val="en-IN" w:eastAsia="en-IN"/>
              </w:rPr>
              <w:t>2</w:t>
            </w:r>
          </w:p>
        </w:tc>
        <w:tc>
          <w:tcPr>
            <w:tcW w:w="2858" w:type="dxa"/>
            <w:tcBorders>
              <w:top w:val="nil"/>
              <w:left w:val="nil"/>
              <w:bottom w:val="single" w:sz="4" w:space="0" w:color="auto"/>
              <w:right w:val="single" w:sz="4" w:space="0" w:color="auto"/>
            </w:tcBorders>
            <w:shd w:val="clear" w:color="auto" w:fill="auto"/>
            <w:noWrap/>
            <w:vAlign w:val="center"/>
            <w:hideMark/>
          </w:tcPr>
          <w:p w14:paraId="467E7169" w14:textId="77777777" w:rsidR="002F2B8B" w:rsidRPr="00AE0A10" w:rsidRDefault="002F2B8B" w:rsidP="00574D2E">
            <w:pPr>
              <w:rPr>
                <w:rFonts w:ascii="Arial" w:hAnsi="Arial" w:cs="Arial"/>
                <w:sz w:val="20"/>
                <w:szCs w:val="20"/>
                <w:lang w:val="en-IN" w:eastAsia="en-IN"/>
              </w:rPr>
            </w:pPr>
            <w:r w:rsidRPr="00AE0A10">
              <w:rPr>
                <w:rFonts w:ascii="Arial" w:hAnsi="Arial" w:cs="Arial"/>
                <w:sz w:val="20"/>
                <w:szCs w:val="20"/>
                <w:lang w:val="en-IN" w:eastAsia="en-IN"/>
              </w:rPr>
              <w:t>Large Industry</w:t>
            </w:r>
          </w:p>
        </w:tc>
        <w:tc>
          <w:tcPr>
            <w:tcW w:w="1333" w:type="dxa"/>
            <w:tcBorders>
              <w:top w:val="nil"/>
              <w:left w:val="nil"/>
              <w:bottom w:val="single" w:sz="4" w:space="0" w:color="auto"/>
              <w:right w:val="single" w:sz="4" w:space="0" w:color="auto"/>
            </w:tcBorders>
            <w:shd w:val="clear" w:color="auto" w:fill="auto"/>
            <w:noWrap/>
            <w:vAlign w:val="center"/>
            <w:hideMark/>
          </w:tcPr>
          <w:p w14:paraId="7BD1AA06" w14:textId="77777777" w:rsidR="002F2B8B" w:rsidRPr="00AE0A10" w:rsidRDefault="002F2B8B" w:rsidP="00574D2E">
            <w:pPr>
              <w:jc w:val="center"/>
              <w:rPr>
                <w:rFonts w:ascii="Calibri" w:hAnsi="Calibri" w:cs="Calibri"/>
                <w:color w:val="000000"/>
                <w:sz w:val="22"/>
                <w:szCs w:val="22"/>
                <w:lang w:val="en-IN" w:eastAsia="en-IN"/>
              </w:rPr>
            </w:pPr>
            <w:r w:rsidRPr="00AE0A10">
              <w:rPr>
                <w:rFonts w:ascii="Calibri" w:hAnsi="Calibri" w:cs="Calibri"/>
                <w:color w:val="000000"/>
                <w:sz w:val="22"/>
                <w:szCs w:val="22"/>
                <w:lang w:val="en-IN" w:eastAsia="en-IN"/>
              </w:rPr>
              <w:t>2035.06</w:t>
            </w:r>
          </w:p>
        </w:tc>
        <w:tc>
          <w:tcPr>
            <w:tcW w:w="1847" w:type="dxa"/>
            <w:tcBorders>
              <w:top w:val="nil"/>
              <w:left w:val="nil"/>
              <w:bottom w:val="single" w:sz="4" w:space="0" w:color="auto"/>
              <w:right w:val="single" w:sz="4" w:space="0" w:color="auto"/>
            </w:tcBorders>
            <w:shd w:val="clear" w:color="auto" w:fill="auto"/>
            <w:noWrap/>
            <w:vAlign w:val="center"/>
            <w:hideMark/>
          </w:tcPr>
          <w:p w14:paraId="3574A310" w14:textId="77777777" w:rsidR="002F2B8B" w:rsidRPr="00AE0A10" w:rsidRDefault="002F2B8B" w:rsidP="00574D2E">
            <w:pPr>
              <w:jc w:val="center"/>
              <w:rPr>
                <w:rFonts w:ascii="Calibri" w:hAnsi="Calibri" w:cs="Calibri"/>
                <w:color w:val="000000"/>
                <w:sz w:val="22"/>
                <w:szCs w:val="22"/>
                <w:lang w:val="en-IN" w:eastAsia="en-IN"/>
              </w:rPr>
            </w:pPr>
            <w:r w:rsidRPr="00AE0A10">
              <w:rPr>
                <w:rFonts w:ascii="Calibri" w:hAnsi="Calibri" w:cs="Calibri"/>
                <w:color w:val="000000"/>
                <w:sz w:val="22"/>
                <w:szCs w:val="22"/>
                <w:lang w:val="en-IN" w:eastAsia="en-IN"/>
              </w:rPr>
              <w:t>618.42</w:t>
            </w:r>
          </w:p>
        </w:tc>
        <w:tc>
          <w:tcPr>
            <w:tcW w:w="1560" w:type="dxa"/>
            <w:tcBorders>
              <w:top w:val="nil"/>
              <w:left w:val="nil"/>
              <w:bottom w:val="single" w:sz="4" w:space="0" w:color="auto"/>
              <w:right w:val="single" w:sz="4" w:space="0" w:color="auto"/>
            </w:tcBorders>
            <w:shd w:val="clear" w:color="auto" w:fill="auto"/>
            <w:noWrap/>
            <w:vAlign w:val="center"/>
            <w:hideMark/>
          </w:tcPr>
          <w:p w14:paraId="56A07274" w14:textId="77777777" w:rsidR="002F2B8B" w:rsidRPr="00AE0A10" w:rsidRDefault="002F2B8B" w:rsidP="00574D2E">
            <w:pPr>
              <w:jc w:val="center"/>
              <w:rPr>
                <w:rFonts w:ascii="Calibri" w:hAnsi="Calibri" w:cs="Calibri"/>
                <w:color w:val="000000"/>
                <w:sz w:val="22"/>
                <w:szCs w:val="22"/>
                <w:lang w:val="en-IN" w:eastAsia="en-IN"/>
              </w:rPr>
            </w:pPr>
            <w:r w:rsidRPr="00AE0A10">
              <w:rPr>
                <w:rFonts w:ascii="Calibri" w:hAnsi="Calibri" w:cs="Calibri"/>
                <w:color w:val="000000"/>
                <w:sz w:val="22"/>
                <w:szCs w:val="22"/>
                <w:lang w:val="en-IN" w:eastAsia="en-IN"/>
              </w:rPr>
              <w:t>1221.08</w:t>
            </w:r>
          </w:p>
        </w:tc>
        <w:tc>
          <w:tcPr>
            <w:tcW w:w="1526" w:type="dxa"/>
            <w:tcBorders>
              <w:top w:val="nil"/>
              <w:left w:val="nil"/>
              <w:bottom w:val="single" w:sz="4" w:space="0" w:color="auto"/>
              <w:right w:val="single" w:sz="4" w:space="0" w:color="auto"/>
            </w:tcBorders>
            <w:shd w:val="clear" w:color="auto" w:fill="auto"/>
            <w:noWrap/>
            <w:vAlign w:val="center"/>
            <w:hideMark/>
          </w:tcPr>
          <w:p w14:paraId="6453BD95" w14:textId="77777777" w:rsidR="002F2B8B" w:rsidRPr="00AE0A10" w:rsidRDefault="002F2B8B" w:rsidP="00574D2E">
            <w:pPr>
              <w:jc w:val="center"/>
              <w:rPr>
                <w:rFonts w:ascii="Calibri" w:hAnsi="Calibri" w:cs="Calibri"/>
                <w:color w:val="000000"/>
                <w:sz w:val="22"/>
                <w:szCs w:val="22"/>
                <w:lang w:val="en-IN" w:eastAsia="en-IN"/>
              </w:rPr>
            </w:pPr>
            <w:r w:rsidRPr="00AE0A10">
              <w:rPr>
                <w:rFonts w:ascii="Calibri" w:hAnsi="Calibri" w:cs="Calibri"/>
                <w:color w:val="000000"/>
                <w:sz w:val="22"/>
                <w:szCs w:val="22"/>
                <w:lang w:val="en-IN" w:eastAsia="en-IN"/>
              </w:rPr>
              <w:t>1342.61</w:t>
            </w:r>
          </w:p>
        </w:tc>
      </w:tr>
      <w:tr w:rsidR="002F2B8B" w:rsidRPr="00AE0A10" w14:paraId="2E43B199" w14:textId="77777777" w:rsidTr="00A442F1">
        <w:trPr>
          <w:trHeight w:val="289"/>
        </w:trPr>
        <w:tc>
          <w:tcPr>
            <w:tcW w:w="761" w:type="dxa"/>
            <w:tcBorders>
              <w:top w:val="nil"/>
              <w:left w:val="single" w:sz="4" w:space="0" w:color="auto"/>
              <w:bottom w:val="single" w:sz="4" w:space="0" w:color="auto"/>
              <w:right w:val="single" w:sz="4" w:space="0" w:color="auto"/>
            </w:tcBorders>
            <w:shd w:val="clear" w:color="auto" w:fill="auto"/>
            <w:noWrap/>
            <w:vAlign w:val="center"/>
            <w:hideMark/>
          </w:tcPr>
          <w:p w14:paraId="4AF57982" w14:textId="77777777" w:rsidR="002F2B8B" w:rsidRPr="00AE0A10" w:rsidRDefault="002F2B8B" w:rsidP="00574D2E">
            <w:pPr>
              <w:jc w:val="center"/>
              <w:rPr>
                <w:rFonts w:ascii="Arial" w:hAnsi="Arial" w:cs="Arial"/>
                <w:sz w:val="20"/>
                <w:szCs w:val="20"/>
                <w:lang w:val="en-IN" w:eastAsia="en-IN"/>
              </w:rPr>
            </w:pPr>
            <w:r w:rsidRPr="00AE0A10">
              <w:rPr>
                <w:rFonts w:ascii="Arial" w:hAnsi="Arial" w:cs="Arial"/>
                <w:sz w:val="20"/>
                <w:szCs w:val="20"/>
                <w:lang w:val="en-IN" w:eastAsia="en-IN"/>
              </w:rPr>
              <w:t>3</w:t>
            </w:r>
          </w:p>
        </w:tc>
        <w:tc>
          <w:tcPr>
            <w:tcW w:w="2858" w:type="dxa"/>
            <w:tcBorders>
              <w:top w:val="nil"/>
              <w:left w:val="nil"/>
              <w:bottom w:val="single" w:sz="4" w:space="0" w:color="auto"/>
              <w:right w:val="single" w:sz="4" w:space="0" w:color="auto"/>
            </w:tcBorders>
            <w:shd w:val="clear" w:color="auto" w:fill="auto"/>
            <w:noWrap/>
            <w:vAlign w:val="center"/>
            <w:hideMark/>
          </w:tcPr>
          <w:p w14:paraId="46434160" w14:textId="77777777" w:rsidR="002F2B8B" w:rsidRPr="00AE0A10" w:rsidRDefault="002F2B8B" w:rsidP="00574D2E">
            <w:pPr>
              <w:rPr>
                <w:rFonts w:ascii="Arial" w:hAnsi="Arial" w:cs="Arial"/>
                <w:sz w:val="20"/>
                <w:szCs w:val="20"/>
                <w:lang w:val="en-IN" w:eastAsia="en-IN"/>
              </w:rPr>
            </w:pPr>
            <w:r w:rsidRPr="00AE0A10">
              <w:rPr>
                <w:rFonts w:ascii="Arial" w:hAnsi="Arial" w:cs="Arial"/>
                <w:sz w:val="20"/>
                <w:szCs w:val="20"/>
                <w:lang w:val="en-IN" w:eastAsia="en-IN"/>
              </w:rPr>
              <w:t>Railway Traction</w:t>
            </w:r>
          </w:p>
        </w:tc>
        <w:tc>
          <w:tcPr>
            <w:tcW w:w="1333" w:type="dxa"/>
            <w:tcBorders>
              <w:top w:val="nil"/>
              <w:left w:val="nil"/>
              <w:bottom w:val="single" w:sz="4" w:space="0" w:color="auto"/>
              <w:right w:val="single" w:sz="4" w:space="0" w:color="auto"/>
            </w:tcBorders>
            <w:shd w:val="clear" w:color="auto" w:fill="auto"/>
            <w:noWrap/>
            <w:vAlign w:val="center"/>
            <w:hideMark/>
          </w:tcPr>
          <w:p w14:paraId="1D2FCEDA" w14:textId="77777777" w:rsidR="002F2B8B" w:rsidRPr="00AE0A10" w:rsidRDefault="002F2B8B" w:rsidP="00574D2E">
            <w:pPr>
              <w:jc w:val="center"/>
              <w:rPr>
                <w:rFonts w:ascii="Calibri" w:hAnsi="Calibri" w:cs="Calibri"/>
                <w:color w:val="000000"/>
                <w:sz w:val="22"/>
                <w:szCs w:val="22"/>
                <w:lang w:val="en-IN" w:eastAsia="en-IN"/>
              </w:rPr>
            </w:pPr>
            <w:r w:rsidRPr="00AE0A10">
              <w:rPr>
                <w:rFonts w:ascii="Calibri" w:hAnsi="Calibri" w:cs="Calibri"/>
                <w:color w:val="000000"/>
                <w:sz w:val="22"/>
                <w:szCs w:val="22"/>
                <w:lang w:val="en-IN" w:eastAsia="en-IN"/>
              </w:rPr>
              <w:t>480.70</w:t>
            </w:r>
          </w:p>
        </w:tc>
        <w:tc>
          <w:tcPr>
            <w:tcW w:w="1847" w:type="dxa"/>
            <w:tcBorders>
              <w:top w:val="nil"/>
              <w:left w:val="nil"/>
              <w:bottom w:val="single" w:sz="4" w:space="0" w:color="auto"/>
              <w:right w:val="single" w:sz="4" w:space="0" w:color="auto"/>
            </w:tcBorders>
            <w:shd w:val="clear" w:color="auto" w:fill="auto"/>
            <w:noWrap/>
            <w:vAlign w:val="center"/>
            <w:hideMark/>
          </w:tcPr>
          <w:p w14:paraId="4E1F45E7" w14:textId="77777777" w:rsidR="002F2B8B" w:rsidRPr="00AE0A10" w:rsidRDefault="002F2B8B" w:rsidP="00574D2E">
            <w:pPr>
              <w:jc w:val="center"/>
              <w:rPr>
                <w:rFonts w:ascii="Calibri" w:hAnsi="Calibri" w:cs="Calibri"/>
                <w:color w:val="000000"/>
                <w:sz w:val="22"/>
                <w:szCs w:val="22"/>
                <w:lang w:val="en-IN" w:eastAsia="en-IN"/>
              </w:rPr>
            </w:pPr>
            <w:r w:rsidRPr="00AE0A10">
              <w:rPr>
                <w:rFonts w:ascii="Calibri" w:hAnsi="Calibri" w:cs="Calibri"/>
                <w:color w:val="000000"/>
                <w:sz w:val="22"/>
                <w:szCs w:val="22"/>
                <w:lang w:val="en-IN" w:eastAsia="en-IN"/>
              </w:rPr>
              <w:t>272.44</w:t>
            </w:r>
          </w:p>
        </w:tc>
        <w:tc>
          <w:tcPr>
            <w:tcW w:w="1560" w:type="dxa"/>
            <w:tcBorders>
              <w:top w:val="nil"/>
              <w:left w:val="nil"/>
              <w:bottom w:val="single" w:sz="4" w:space="0" w:color="auto"/>
              <w:right w:val="single" w:sz="4" w:space="0" w:color="auto"/>
            </w:tcBorders>
            <w:shd w:val="clear" w:color="auto" w:fill="auto"/>
            <w:noWrap/>
            <w:vAlign w:val="center"/>
            <w:hideMark/>
          </w:tcPr>
          <w:p w14:paraId="20C99E6A" w14:textId="77777777" w:rsidR="002F2B8B" w:rsidRPr="00AE0A10" w:rsidRDefault="002F2B8B" w:rsidP="00574D2E">
            <w:pPr>
              <w:jc w:val="center"/>
              <w:rPr>
                <w:rFonts w:ascii="Calibri" w:hAnsi="Calibri" w:cs="Calibri"/>
                <w:color w:val="000000"/>
                <w:sz w:val="22"/>
                <w:szCs w:val="22"/>
                <w:lang w:val="en-IN" w:eastAsia="en-IN"/>
              </w:rPr>
            </w:pPr>
            <w:r w:rsidRPr="00AE0A10">
              <w:rPr>
                <w:rFonts w:ascii="Calibri" w:hAnsi="Calibri" w:cs="Calibri"/>
                <w:color w:val="000000"/>
                <w:sz w:val="22"/>
                <w:szCs w:val="22"/>
                <w:lang w:val="en-IN" w:eastAsia="en-IN"/>
              </w:rPr>
              <w:t>548.49</w:t>
            </w:r>
          </w:p>
        </w:tc>
        <w:tc>
          <w:tcPr>
            <w:tcW w:w="1526" w:type="dxa"/>
            <w:tcBorders>
              <w:top w:val="nil"/>
              <w:left w:val="nil"/>
              <w:bottom w:val="single" w:sz="4" w:space="0" w:color="auto"/>
              <w:right w:val="single" w:sz="4" w:space="0" w:color="auto"/>
            </w:tcBorders>
            <w:shd w:val="clear" w:color="auto" w:fill="auto"/>
            <w:noWrap/>
            <w:vAlign w:val="center"/>
            <w:hideMark/>
          </w:tcPr>
          <w:p w14:paraId="71CF06C5" w14:textId="77777777" w:rsidR="002F2B8B" w:rsidRPr="00AE0A10" w:rsidRDefault="002F2B8B" w:rsidP="00574D2E">
            <w:pPr>
              <w:jc w:val="center"/>
              <w:rPr>
                <w:rFonts w:ascii="Calibri" w:hAnsi="Calibri" w:cs="Calibri"/>
                <w:color w:val="000000"/>
                <w:sz w:val="22"/>
                <w:szCs w:val="22"/>
                <w:lang w:val="en-IN" w:eastAsia="en-IN"/>
              </w:rPr>
            </w:pPr>
            <w:r w:rsidRPr="00AE0A10">
              <w:rPr>
                <w:rFonts w:ascii="Calibri" w:hAnsi="Calibri" w:cs="Calibri"/>
                <w:color w:val="000000"/>
                <w:sz w:val="22"/>
                <w:szCs w:val="22"/>
                <w:lang w:val="en-IN" w:eastAsia="en-IN"/>
              </w:rPr>
              <w:t>583.91</w:t>
            </w:r>
          </w:p>
        </w:tc>
      </w:tr>
      <w:tr w:rsidR="002F2B8B" w:rsidRPr="00AE0A10" w14:paraId="7C1C4FD7" w14:textId="77777777" w:rsidTr="00A442F1">
        <w:trPr>
          <w:trHeight w:val="289"/>
        </w:trPr>
        <w:tc>
          <w:tcPr>
            <w:tcW w:w="761" w:type="dxa"/>
            <w:tcBorders>
              <w:top w:val="nil"/>
              <w:left w:val="single" w:sz="4" w:space="0" w:color="auto"/>
              <w:bottom w:val="single" w:sz="4" w:space="0" w:color="auto"/>
              <w:right w:val="single" w:sz="4" w:space="0" w:color="auto"/>
            </w:tcBorders>
            <w:shd w:val="clear" w:color="auto" w:fill="auto"/>
            <w:noWrap/>
            <w:vAlign w:val="center"/>
            <w:hideMark/>
          </w:tcPr>
          <w:p w14:paraId="76010223" w14:textId="77777777" w:rsidR="002F2B8B" w:rsidRPr="00AE0A10" w:rsidRDefault="002F2B8B" w:rsidP="00574D2E">
            <w:pPr>
              <w:jc w:val="center"/>
              <w:rPr>
                <w:rFonts w:ascii="Arial" w:hAnsi="Arial" w:cs="Arial"/>
                <w:sz w:val="20"/>
                <w:szCs w:val="20"/>
                <w:lang w:val="en-IN" w:eastAsia="en-IN"/>
              </w:rPr>
            </w:pPr>
            <w:r w:rsidRPr="00AE0A10">
              <w:rPr>
                <w:rFonts w:ascii="Arial" w:hAnsi="Arial" w:cs="Arial"/>
                <w:sz w:val="20"/>
                <w:szCs w:val="20"/>
                <w:lang w:val="en-IN" w:eastAsia="en-IN"/>
              </w:rPr>
              <w:t>4</w:t>
            </w:r>
          </w:p>
        </w:tc>
        <w:tc>
          <w:tcPr>
            <w:tcW w:w="2858" w:type="dxa"/>
            <w:tcBorders>
              <w:top w:val="nil"/>
              <w:left w:val="nil"/>
              <w:bottom w:val="single" w:sz="4" w:space="0" w:color="auto"/>
              <w:right w:val="single" w:sz="4" w:space="0" w:color="auto"/>
            </w:tcBorders>
            <w:shd w:val="clear" w:color="auto" w:fill="auto"/>
            <w:noWrap/>
            <w:vAlign w:val="center"/>
            <w:hideMark/>
          </w:tcPr>
          <w:p w14:paraId="1FBBE477" w14:textId="77777777" w:rsidR="002F2B8B" w:rsidRPr="00AE0A10" w:rsidRDefault="002F2B8B" w:rsidP="00574D2E">
            <w:pPr>
              <w:rPr>
                <w:rFonts w:ascii="Arial" w:hAnsi="Arial" w:cs="Arial"/>
                <w:sz w:val="20"/>
                <w:szCs w:val="20"/>
                <w:lang w:val="en-IN" w:eastAsia="en-IN"/>
              </w:rPr>
            </w:pPr>
            <w:r w:rsidRPr="00AE0A10">
              <w:rPr>
                <w:rFonts w:ascii="Arial" w:hAnsi="Arial" w:cs="Arial"/>
                <w:sz w:val="20"/>
                <w:szCs w:val="20"/>
                <w:lang w:val="en-IN" w:eastAsia="en-IN"/>
              </w:rPr>
              <w:t>Heavy Industry</w:t>
            </w:r>
          </w:p>
        </w:tc>
        <w:tc>
          <w:tcPr>
            <w:tcW w:w="1333" w:type="dxa"/>
            <w:tcBorders>
              <w:top w:val="nil"/>
              <w:left w:val="nil"/>
              <w:bottom w:val="single" w:sz="4" w:space="0" w:color="auto"/>
              <w:right w:val="single" w:sz="4" w:space="0" w:color="auto"/>
            </w:tcBorders>
            <w:shd w:val="clear" w:color="auto" w:fill="auto"/>
            <w:noWrap/>
            <w:vAlign w:val="center"/>
            <w:hideMark/>
          </w:tcPr>
          <w:p w14:paraId="06386481" w14:textId="77777777" w:rsidR="002F2B8B" w:rsidRPr="00AE0A10" w:rsidRDefault="002F2B8B" w:rsidP="00574D2E">
            <w:pPr>
              <w:jc w:val="center"/>
              <w:rPr>
                <w:rFonts w:ascii="Calibri" w:hAnsi="Calibri" w:cs="Calibri"/>
                <w:color w:val="000000"/>
                <w:sz w:val="22"/>
                <w:szCs w:val="22"/>
                <w:lang w:val="en-IN" w:eastAsia="en-IN"/>
              </w:rPr>
            </w:pPr>
            <w:r w:rsidRPr="00AE0A10">
              <w:rPr>
                <w:rFonts w:ascii="Calibri" w:hAnsi="Calibri" w:cs="Calibri"/>
                <w:color w:val="000000"/>
                <w:sz w:val="22"/>
                <w:szCs w:val="22"/>
                <w:lang w:val="en-IN" w:eastAsia="en-IN"/>
              </w:rPr>
              <w:t>375.13</w:t>
            </w:r>
          </w:p>
        </w:tc>
        <w:tc>
          <w:tcPr>
            <w:tcW w:w="1847" w:type="dxa"/>
            <w:tcBorders>
              <w:top w:val="nil"/>
              <w:left w:val="nil"/>
              <w:bottom w:val="single" w:sz="4" w:space="0" w:color="auto"/>
              <w:right w:val="single" w:sz="4" w:space="0" w:color="auto"/>
            </w:tcBorders>
            <w:shd w:val="clear" w:color="auto" w:fill="auto"/>
            <w:noWrap/>
            <w:vAlign w:val="center"/>
            <w:hideMark/>
          </w:tcPr>
          <w:p w14:paraId="3C744FFA" w14:textId="77777777" w:rsidR="002F2B8B" w:rsidRPr="00AE0A10" w:rsidRDefault="002F2B8B" w:rsidP="00574D2E">
            <w:pPr>
              <w:jc w:val="center"/>
              <w:rPr>
                <w:rFonts w:ascii="Calibri" w:hAnsi="Calibri" w:cs="Calibri"/>
                <w:color w:val="000000"/>
                <w:sz w:val="22"/>
                <w:szCs w:val="22"/>
                <w:lang w:val="en-IN" w:eastAsia="en-IN"/>
              </w:rPr>
            </w:pPr>
            <w:r w:rsidRPr="00AE0A10">
              <w:rPr>
                <w:rFonts w:ascii="Calibri" w:hAnsi="Calibri" w:cs="Calibri"/>
                <w:color w:val="000000"/>
                <w:sz w:val="22"/>
                <w:szCs w:val="22"/>
                <w:lang w:val="en-IN" w:eastAsia="en-IN"/>
              </w:rPr>
              <w:t>590.78</w:t>
            </w:r>
          </w:p>
        </w:tc>
        <w:tc>
          <w:tcPr>
            <w:tcW w:w="1560" w:type="dxa"/>
            <w:tcBorders>
              <w:top w:val="nil"/>
              <w:left w:val="nil"/>
              <w:bottom w:val="single" w:sz="4" w:space="0" w:color="auto"/>
              <w:right w:val="single" w:sz="4" w:space="0" w:color="auto"/>
            </w:tcBorders>
            <w:shd w:val="clear" w:color="auto" w:fill="auto"/>
            <w:noWrap/>
            <w:vAlign w:val="center"/>
            <w:hideMark/>
          </w:tcPr>
          <w:p w14:paraId="552CFC9D" w14:textId="77777777" w:rsidR="002F2B8B" w:rsidRPr="00AE0A10" w:rsidRDefault="002F2B8B" w:rsidP="00574D2E">
            <w:pPr>
              <w:jc w:val="center"/>
              <w:rPr>
                <w:rFonts w:ascii="Calibri" w:hAnsi="Calibri" w:cs="Calibri"/>
                <w:color w:val="000000"/>
                <w:sz w:val="22"/>
                <w:szCs w:val="22"/>
                <w:lang w:val="en-IN" w:eastAsia="en-IN"/>
              </w:rPr>
            </w:pPr>
            <w:r w:rsidRPr="00AE0A10">
              <w:rPr>
                <w:rFonts w:ascii="Calibri" w:hAnsi="Calibri" w:cs="Calibri"/>
                <w:color w:val="000000"/>
                <w:sz w:val="22"/>
                <w:szCs w:val="22"/>
                <w:lang w:val="en-IN" w:eastAsia="en-IN"/>
              </w:rPr>
              <w:t>1375.39</w:t>
            </w:r>
          </w:p>
        </w:tc>
        <w:tc>
          <w:tcPr>
            <w:tcW w:w="1526" w:type="dxa"/>
            <w:tcBorders>
              <w:top w:val="nil"/>
              <w:left w:val="nil"/>
              <w:bottom w:val="single" w:sz="4" w:space="0" w:color="auto"/>
              <w:right w:val="single" w:sz="4" w:space="0" w:color="auto"/>
            </w:tcBorders>
            <w:shd w:val="clear" w:color="auto" w:fill="auto"/>
            <w:noWrap/>
            <w:vAlign w:val="center"/>
            <w:hideMark/>
          </w:tcPr>
          <w:p w14:paraId="39E40839" w14:textId="77777777" w:rsidR="002F2B8B" w:rsidRPr="00AE0A10" w:rsidRDefault="002F2B8B" w:rsidP="00574D2E">
            <w:pPr>
              <w:jc w:val="center"/>
              <w:rPr>
                <w:rFonts w:ascii="Calibri" w:hAnsi="Calibri" w:cs="Calibri"/>
                <w:color w:val="000000"/>
                <w:sz w:val="22"/>
                <w:szCs w:val="22"/>
                <w:lang w:val="en-IN" w:eastAsia="en-IN"/>
              </w:rPr>
            </w:pPr>
            <w:r w:rsidRPr="00AE0A10">
              <w:rPr>
                <w:rFonts w:ascii="Calibri" w:hAnsi="Calibri" w:cs="Calibri"/>
                <w:color w:val="000000"/>
                <w:sz w:val="22"/>
                <w:szCs w:val="22"/>
                <w:lang w:val="en-IN" w:eastAsia="en-IN"/>
              </w:rPr>
              <w:t>1621.04</w:t>
            </w:r>
          </w:p>
        </w:tc>
      </w:tr>
      <w:tr w:rsidR="002F2B8B" w:rsidRPr="00AE0A10" w14:paraId="73F887B9" w14:textId="77777777" w:rsidTr="00A442F1">
        <w:trPr>
          <w:trHeight w:val="289"/>
        </w:trPr>
        <w:tc>
          <w:tcPr>
            <w:tcW w:w="761" w:type="dxa"/>
            <w:tcBorders>
              <w:top w:val="nil"/>
              <w:left w:val="single" w:sz="4" w:space="0" w:color="auto"/>
              <w:bottom w:val="single" w:sz="4" w:space="0" w:color="auto"/>
              <w:right w:val="single" w:sz="4" w:space="0" w:color="auto"/>
            </w:tcBorders>
            <w:shd w:val="clear" w:color="auto" w:fill="auto"/>
            <w:noWrap/>
            <w:vAlign w:val="center"/>
            <w:hideMark/>
          </w:tcPr>
          <w:p w14:paraId="652FE2D7" w14:textId="77777777" w:rsidR="002F2B8B" w:rsidRPr="00AE0A10" w:rsidRDefault="002F2B8B" w:rsidP="00574D2E">
            <w:pPr>
              <w:jc w:val="center"/>
              <w:rPr>
                <w:rFonts w:ascii="Arial" w:hAnsi="Arial" w:cs="Arial"/>
                <w:sz w:val="20"/>
                <w:szCs w:val="20"/>
                <w:lang w:val="en-IN" w:eastAsia="en-IN"/>
              </w:rPr>
            </w:pPr>
            <w:r w:rsidRPr="00AE0A10">
              <w:rPr>
                <w:rFonts w:ascii="Arial" w:hAnsi="Arial" w:cs="Arial"/>
                <w:sz w:val="20"/>
                <w:szCs w:val="20"/>
                <w:lang w:val="en-IN" w:eastAsia="en-IN"/>
              </w:rPr>
              <w:t>5</w:t>
            </w:r>
          </w:p>
        </w:tc>
        <w:tc>
          <w:tcPr>
            <w:tcW w:w="2858" w:type="dxa"/>
            <w:tcBorders>
              <w:top w:val="nil"/>
              <w:left w:val="nil"/>
              <w:bottom w:val="single" w:sz="4" w:space="0" w:color="auto"/>
              <w:right w:val="single" w:sz="4" w:space="0" w:color="auto"/>
            </w:tcBorders>
            <w:shd w:val="clear" w:color="auto" w:fill="auto"/>
            <w:noWrap/>
            <w:vAlign w:val="center"/>
            <w:hideMark/>
          </w:tcPr>
          <w:p w14:paraId="791E3622" w14:textId="77777777" w:rsidR="002F2B8B" w:rsidRPr="00AE0A10" w:rsidRDefault="002F2B8B" w:rsidP="00574D2E">
            <w:pPr>
              <w:rPr>
                <w:rFonts w:ascii="Arial" w:hAnsi="Arial" w:cs="Arial"/>
                <w:sz w:val="20"/>
                <w:szCs w:val="20"/>
                <w:lang w:val="en-IN" w:eastAsia="en-IN"/>
              </w:rPr>
            </w:pPr>
            <w:r w:rsidRPr="00AE0A10">
              <w:rPr>
                <w:rFonts w:ascii="Arial" w:hAnsi="Arial" w:cs="Arial"/>
                <w:sz w:val="20"/>
                <w:szCs w:val="20"/>
                <w:lang w:val="en-IN" w:eastAsia="en-IN"/>
              </w:rPr>
              <w:t>Power Intensive Industry</w:t>
            </w:r>
          </w:p>
        </w:tc>
        <w:tc>
          <w:tcPr>
            <w:tcW w:w="1333" w:type="dxa"/>
            <w:tcBorders>
              <w:top w:val="nil"/>
              <w:left w:val="nil"/>
              <w:bottom w:val="single" w:sz="4" w:space="0" w:color="auto"/>
              <w:right w:val="single" w:sz="4" w:space="0" w:color="auto"/>
            </w:tcBorders>
            <w:shd w:val="clear" w:color="auto" w:fill="auto"/>
            <w:noWrap/>
            <w:vAlign w:val="center"/>
            <w:hideMark/>
          </w:tcPr>
          <w:p w14:paraId="170FA300" w14:textId="77777777" w:rsidR="002F2B8B" w:rsidRPr="00AE0A10" w:rsidRDefault="002F2B8B" w:rsidP="00574D2E">
            <w:pPr>
              <w:jc w:val="center"/>
              <w:rPr>
                <w:rFonts w:ascii="Calibri" w:hAnsi="Calibri" w:cs="Calibri"/>
                <w:color w:val="000000"/>
                <w:sz w:val="22"/>
                <w:szCs w:val="22"/>
                <w:lang w:val="en-IN" w:eastAsia="en-IN"/>
              </w:rPr>
            </w:pPr>
            <w:r w:rsidRPr="00AE0A10">
              <w:rPr>
                <w:rFonts w:ascii="Calibri" w:hAnsi="Calibri" w:cs="Calibri"/>
                <w:color w:val="000000"/>
                <w:sz w:val="22"/>
                <w:szCs w:val="22"/>
                <w:lang w:val="en-IN" w:eastAsia="en-IN"/>
              </w:rPr>
              <w:t>136.13</w:t>
            </w:r>
          </w:p>
        </w:tc>
        <w:tc>
          <w:tcPr>
            <w:tcW w:w="1847" w:type="dxa"/>
            <w:tcBorders>
              <w:top w:val="nil"/>
              <w:left w:val="nil"/>
              <w:bottom w:val="single" w:sz="4" w:space="0" w:color="auto"/>
              <w:right w:val="single" w:sz="4" w:space="0" w:color="auto"/>
            </w:tcBorders>
            <w:shd w:val="clear" w:color="auto" w:fill="auto"/>
            <w:noWrap/>
            <w:vAlign w:val="center"/>
            <w:hideMark/>
          </w:tcPr>
          <w:p w14:paraId="4DECF929" w14:textId="77777777" w:rsidR="002F2B8B" w:rsidRPr="00AE0A10" w:rsidRDefault="002F2B8B" w:rsidP="00574D2E">
            <w:pPr>
              <w:jc w:val="center"/>
              <w:rPr>
                <w:rFonts w:ascii="Calibri" w:hAnsi="Calibri" w:cs="Calibri"/>
                <w:color w:val="000000"/>
                <w:sz w:val="22"/>
                <w:szCs w:val="22"/>
                <w:lang w:val="en-IN" w:eastAsia="en-IN"/>
              </w:rPr>
            </w:pPr>
            <w:r w:rsidRPr="00AE0A10">
              <w:rPr>
                <w:rFonts w:ascii="Calibri" w:hAnsi="Calibri" w:cs="Calibri"/>
                <w:color w:val="000000"/>
                <w:sz w:val="22"/>
                <w:szCs w:val="22"/>
                <w:lang w:val="en-IN" w:eastAsia="en-IN"/>
              </w:rPr>
              <w:t>58.19</w:t>
            </w:r>
          </w:p>
        </w:tc>
        <w:tc>
          <w:tcPr>
            <w:tcW w:w="1560" w:type="dxa"/>
            <w:tcBorders>
              <w:top w:val="nil"/>
              <w:left w:val="nil"/>
              <w:bottom w:val="single" w:sz="4" w:space="0" w:color="auto"/>
              <w:right w:val="single" w:sz="4" w:space="0" w:color="auto"/>
            </w:tcBorders>
            <w:shd w:val="clear" w:color="auto" w:fill="auto"/>
            <w:noWrap/>
            <w:vAlign w:val="center"/>
            <w:hideMark/>
          </w:tcPr>
          <w:p w14:paraId="171F82A6" w14:textId="77777777" w:rsidR="002F2B8B" w:rsidRPr="00AE0A10" w:rsidRDefault="002F2B8B" w:rsidP="00574D2E">
            <w:pPr>
              <w:jc w:val="center"/>
              <w:rPr>
                <w:rFonts w:ascii="Calibri" w:hAnsi="Calibri" w:cs="Calibri"/>
                <w:color w:val="000000"/>
                <w:sz w:val="22"/>
                <w:szCs w:val="22"/>
                <w:lang w:val="en-IN" w:eastAsia="en-IN"/>
              </w:rPr>
            </w:pPr>
            <w:r w:rsidRPr="00AE0A10">
              <w:rPr>
                <w:rFonts w:ascii="Calibri" w:hAnsi="Calibri" w:cs="Calibri"/>
                <w:color w:val="000000"/>
                <w:sz w:val="22"/>
                <w:szCs w:val="22"/>
                <w:lang w:val="en-IN" w:eastAsia="en-IN"/>
              </w:rPr>
              <w:t>114.14</w:t>
            </w:r>
          </w:p>
        </w:tc>
        <w:tc>
          <w:tcPr>
            <w:tcW w:w="1526" w:type="dxa"/>
            <w:tcBorders>
              <w:top w:val="nil"/>
              <w:left w:val="nil"/>
              <w:bottom w:val="single" w:sz="4" w:space="0" w:color="auto"/>
              <w:right w:val="single" w:sz="4" w:space="0" w:color="auto"/>
            </w:tcBorders>
            <w:shd w:val="clear" w:color="auto" w:fill="auto"/>
            <w:noWrap/>
            <w:vAlign w:val="center"/>
            <w:hideMark/>
          </w:tcPr>
          <w:p w14:paraId="2EE3CB3C" w14:textId="77777777" w:rsidR="002F2B8B" w:rsidRPr="00AE0A10" w:rsidRDefault="002F2B8B" w:rsidP="00574D2E">
            <w:pPr>
              <w:jc w:val="center"/>
              <w:rPr>
                <w:rFonts w:ascii="Calibri" w:hAnsi="Calibri" w:cs="Calibri"/>
                <w:color w:val="000000"/>
                <w:sz w:val="22"/>
                <w:szCs w:val="22"/>
                <w:lang w:val="en-IN" w:eastAsia="en-IN"/>
              </w:rPr>
            </w:pPr>
            <w:r w:rsidRPr="00AE0A10">
              <w:rPr>
                <w:rFonts w:ascii="Calibri" w:hAnsi="Calibri" w:cs="Calibri"/>
                <w:color w:val="000000"/>
                <w:sz w:val="22"/>
                <w:szCs w:val="22"/>
                <w:lang w:val="en-IN" w:eastAsia="en-IN"/>
              </w:rPr>
              <w:t>115.73</w:t>
            </w:r>
          </w:p>
        </w:tc>
      </w:tr>
      <w:tr w:rsidR="002F2B8B" w:rsidRPr="00AE0A10" w14:paraId="6F87ACFC" w14:textId="77777777" w:rsidTr="00A442F1">
        <w:trPr>
          <w:trHeight w:val="289"/>
        </w:trPr>
        <w:tc>
          <w:tcPr>
            <w:tcW w:w="761" w:type="dxa"/>
            <w:tcBorders>
              <w:top w:val="nil"/>
              <w:left w:val="single" w:sz="4" w:space="0" w:color="auto"/>
              <w:bottom w:val="single" w:sz="4" w:space="0" w:color="auto"/>
              <w:right w:val="single" w:sz="4" w:space="0" w:color="auto"/>
            </w:tcBorders>
            <w:shd w:val="clear" w:color="auto" w:fill="auto"/>
            <w:noWrap/>
            <w:vAlign w:val="center"/>
            <w:hideMark/>
          </w:tcPr>
          <w:p w14:paraId="207BB6A0" w14:textId="77777777" w:rsidR="002F2B8B" w:rsidRPr="00AE0A10" w:rsidRDefault="002F2B8B" w:rsidP="00574D2E">
            <w:pPr>
              <w:jc w:val="center"/>
              <w:rPr>
                <w:rFonts w:ascii="Arial" w:hAnsi="Arial" w:cs="Arial"/>
                <w:sz w:val="20"/>
                <w:szCs w:val="20"/>
                <w:lang w:val="en-IN" w:eastAsia="en-IN"/>
              </w:rPr>
            </w:pPr>
            <w:r w:rsidRPr="00AE0A10">
              <w:rPr>
                <w:rFonts w:ascii="Arial" w:hAnsi="Arial" w:cs="Arial"/>
                <w:sz w:val="20"/>
                <w:szCs w:val="20"/>
                <w:lang w:val="en-IN" w:eastAsia="en-IN"/>
              </w:rPr>
              <w:t>6</w:t>
            </w:r>
          </w:p>
        </w:tc>
        <w:tc>
          <w:tcPr>
            <w:tcW w:w="2858" w:type="dxa"/>
            <w:tcBorders>
              <w:top w:val="nil"/>
              <w:left w:val="nil"/>
              <w:bottom w:val="single" w:sz="4" w:space="0" w:color="auto"/>
              <w:right w:val="single" w:sz="4" w:space="0" w:color="auto"/>
            </w:tcBorders>
            <w:shd w:val="clear" w:color="auto" w:fill="auto"/>
            <w:noWrap/>
            <w:vAlign w:val="center"/>
            <w:hideMark/>
          </w:tcPr>
          <w:p w14:paraId="4519D9B0" w14:textId="77777777" w:rsidR="002F2B8B" w:rsidRPr="00AE0A10" w:rsidRDefault="002F2B8B" w:rsidP="00574D2E">
            <w:pPr>
              <w:rPr>
                <w:rFonts w:ascii="Arial" w:hAnsi="Arial" w:cs="Arial"/>
                <w:sz w:val="20"/>
                <w:szCs w:val="20"/>
                <w:lang w:val="en-IN" w:eastAsia="en-IN"/>
              </w:rPr>
            </w:pPr>
            <w:proofErr w:type="spellStart"/>
            <w:r w:rsidRPr="00AE0A10">
              <w:rPr>
                <w:rFonts w:ascii="Arial" w:hAnsi="Arial" w:cs="Arial"/>
                <w:sz w:val="20"/>
                <w:szCs w:val="20"/>
                <w:lang w:val="en-IN" w:eastAsia="en-IN"/>
              </w:rPr>
              <w:t>Emerg</w:t>
            </w:r>
            <w:proofErr w:type="spellEnd"/>
            <w:r w:rsidRPr="00AE0A10">
              <w:rPr>
                <w:rFonts w:ascii="Arial" w:hAnsi="Arial" w:cs="Arial"/>
                <w:sz w:val="20"/>
                <w:szCs w:val="20"/>
                <w:lang w:val="en-IN" w:eastAsia="en-IN"/>
              </w:rPr>
              <w:t>. Supply to CPP</w:t>
            </w:r>
          </w:p>
        </w:tc>
        <w:tc>
          <w:tcPr>
            <w:tcW w:w="1333" w:type="dxa"/>
            <w:tcBorders>
              <w:top w:val="nil"/>
              <w:left w:val="nil"/>
              <w:bottom w:val="single" w:sz="4" w:space="0" w:color="auto"/>
              <w:right w:val="single" w:sz="4" w:space="0" w:color="auto"/>
            </w:tcBorders>
            <w:shd w:val="clear" w:color="auto" w:fill="auto"/>
            <w:noWrap/>
            <w:vAlign w:val="center"/>
            <w:hideMark/>
          </w:tcPr>
          <w:p w14:paraId="0BC10C4F" w14:textId="77777777" w:rsidR="002F2B8B" w:rsidRPr="00AE0A10" w:rsidRDefault="002F2B8B" w:rsidP="00574D2E">
            <w:pPr>
              <w:jc w:val="center"/>
              <w:rPr>
                <w:rFonts w:ascii="Calibri" w:hAnsi="Calibri" w:cs="Calibri"/>
                <w:color w:val="000000"/>
                <w:sz w:val="22"/>
                <w:szCs w:val="22"/>
                <w:lang w:val="en-IN" w:eastAsia="en-IN"/>
              </w:rPr>
            </w:pPr>
            <w:r w:rsidRPr="00AE0A10">
              <w:rPr>
                <w:rFonts w:ascii="Calibri" w:hAnsi="Calibri" w:cs="Calibri"/>
                <w:color w:val="000000"/>
                <w:sz w:val="22"/>
                <w:szCs w:val="22"/>
                <w:lang w:val="en-IN" w:eastAsia="en-IN"/>
              </w:rPr>
              <w:t>0.3790</w:t>
            </w:r>
          </w:p>
        </w:tc>
        <w:tc>
          <w:tcPr>
            <w:tcW w:w="1847" w:type="dxa"/>
            <w:tcBorders>
              <w:top w:val="nil"/>
              <w:left w:val="nil"/>
              <w:bottom w:val="single" w:sz="4" w:space="0" w:color="auto"/>
              <w:right w:val="single" w:sz="4" w:space="0" w:color="auto"/>
            </w:tcBorders>
            <w:shd w:val="clear" w:color="auto" w:fill="auto"/>
            <w:noWrap/>
            <w:vAlign w:val="center"/>
            <w:hideMark/>
          </w:tcPr>
          <w:p w14:paraId="0801DE3C" w14:textId="77777777" w:rsidR="002F2B8B" w:rsidRPr="00AE0A10" w:rsidRDefault="002F2B8B" w:rsidP="00574D2E">
            <w:pPr>
              <w:jc w:val="center"/>
              <w:rPr>
                <w:rFonts w:ascii="Calibri" w:hAnsi="Calibri" w:cs="Calibri"/>
                <w:color w:val="000000"/>
                <w:sz w:val="22"/>
                <w:szCs w:val="22"/>
                <w:lang w:val="en-IN" w:eastAsia="en-IN"/>
              </w:rPr>
            </w:pPr>
            <w:r w:rsidRPr="00AE0A10">
              <w:rPr>
                <w:rFonts w:ascii="Calibri" w:hAnsi="Calibri" w:cs="Calibri"/>
                <w:color w:val="000000"/>
                <w:sz w:val="22"/>
                <w:szCs w:val="22"/>
                <w:lang w:val="en-IN" w:eastAsia="en-IN"/>
              </w:rPr>
              <w:t>0.2210</w:t>
            </w:r>
          </w:p>
        </w:tc>
        <w:tc>
          <w:tcPr>
            <w:tcW w:w="1560" w:type="dxa"/>
            <w:tcBorders>
              <w:top w:val="nil"/>
              <w:left w:val="nil"/>
              <w:bottom w:val="single" w:sz="4" w:space="0" w:color="auto"/>
              <w:right w:val="single" w:sz="4" w:space="0" w:color="auto"/>
            </w:tcBorders>
            <w:shd w:val="clear" w:color="auto" w:fill="auto"/>
            <w:noWrap/>
            <w:vAlign w:val="center"/>
            <w:hideMark/>
          </w:tcPr>
          <w:p w14:paraId="4AB76BBA" w14:textId="77777777" w:rsidR="002F2B8B" w:rsidRPr="00AE0A10" w:rsidRDefault="002F2B8B" w:rsidP="00574D2E">
            <w:pPr>
              <w:jc w:val="center"/>
              <w:rPr>
                <w:rFonts w:ascii="Calibri" w:hAnsi="Calibri" w:cs="Calibri"/>
                <w:color w:val="000000"/>
                <w:sz w:val="22"/>
                <w:szCs w:val="22"/>
                <w:lang w:val="en-IN" w:eastAsia="en-IN"/>
              </w:rPr>
            </w:pPr>
            <w:r w:rsidRPr="00AE0A10">
              <w:rPr>
                <w:rFonts w:ascii="Calibri" w:hAnsi="Calibri" w:cs="Calibri"/>
                <w:color w:val="000000"/>
                <w:sz w:val="22"/>
                <w:szCs w:val="22"/>
                <w:lang w:val="en-IN" w:eastAsia="en-IN"/>
              </w:rPr>
              <w:t>0.2580</w:t>
            </w:r>
          </w:p>
        </w:tc>
        <w:tc>
          <w:tcPr>
            <w:tcW w:w="1526" w:type="dxa"/>
            <w:tcBorders>
              <w:top w:val="nil"/>
              <w:left w:val="nil"/>
              <w:bottom w:val="single" w:sz="4" w:space="0" w:color="auto"/>
              <w:right w:val="single" w:sz="4" w:space="0" w:color="auto"/>
            </w:tcBorders>
            <w:shd w:val="clear" w:color="auto" w:fill="auto"/>
            <w:noWrap/>
            <w:vAlign w:val="center"/>
            <w:hideMark/>
          </w:tcPr>
          <w:p w14:paraId="79ACA6CB" w14:textId="77777777" w:rsidR="002F2B8B" w:rsidRPr="00AE0A10" w:rsidRDefault="002F2B8B" w:rsidP="00574D2E">
            <w:pPr>
              <w:jc w:val="center"/>
              <w:rPr>
                <w:rFonts w:ascii="Calibri" w:hAnsi="Calibri" w:cs="Calibri"/>
                <w:color w:val="000000"/>
                <w:sz w:val="22"/>
                <w:szCs w:val="22"/>
                <w:lang w:val="en-IN" w:eastAsia="en-IN"/>
              </w:rPr>
            </w:pPr>
            <w:r w:rsidRPr="00AE0A10">
              <w:rPr>
                <w:rFonts w:ascii="Calibri" w:hAnsi="Calibri" w:cs="Calibri"/>
                <w:color w:val="000000"/>
                <w:sz w:val="22"/>
                <w:szCs w:val="22"/>
                <w:lang w:val="en-IN" w:eastAsia="en-IN"/>
              </w:rPr>
              <w:t>0.0720</w:t>
            </w:r>
          </w:p>
        </w:tc>
      </w:tr>
      <w:tr w:rsidR="002F2B8B" w:rsidRPr="00AE0A10" w14:paraId="00D02371" w14:textId="77777777" w:rsidTr="00A442F1">
        <w:trPr>
          <w:trHeight w:val="289"/>
        </w:trPr>
        <w:tc>
          <w:tcPr>
            <w:tcW w:w="3619" w:type="dxa"/>
            <w:gridSpan w:val="2"/>
            <w:tcBorders>
              <w:top w:val="single" w:sz="4" w:space="0" w:color="auto"/>
              <w:left w:val="single" w:sz="4" w:space="0" w:color="auto"/>
              <w:bottom w:val="single" w:sz="4" w:space="0" w:color="auto"/>
              <w:right w:val="single" w:sz="4" w:space="0" w:color="auto"/>
            </w:tcBorders>
            <w:shd w:val="clear" w:color="auto" w:fill="95B3D7" w:themeFill="accent1" w:themeFillTint="99"/>
            <w:noWrap/>
            <w:vAlign w:val="center"/>
            <w:hideMark/>
          </w:tcPr>
          <w:p w14:paraId="43042779" w14:textId="77777777" w:rsidR="002F2B8B" w:rsidRPr="00AE0A10" w:rsidRDefault="002F2B8B" w:rsidP="00574D2E">
            <w:pPr>
              <w:jc w:val="center"/>
              <w:rPr>
                <w:rFonts w:ascii="Calibri" w:hAnsi="Calibri" w:cs="Calibri"/>
                <w:b/>
                <w:bCs/>
                <w:color w:val="000000"/>
                <w:sz w:val="22"/>
                <w:szCs w:val="22"/>
                <w:lang w:val="en-IN" w:eastAsia="en-IN"/>
              </w:rPr>
            </w:pPr>
            <w:r w:rsidRPr="00AE0A10">
              <w:rPr>
                <w:rFonts w:ascii="Calibri" w:hAnsi="Calibri" w:cs="Calibri"/>
                <w:b/>
                <w:bCs/>
                <w:color w:val="000000"/>
                <w:sz w:val="22"/>
                <w:szCs w:val="22"/>
                <w:lang w:val="en-IN" w:eastAsia="en-IN"/>
              </w:rPr>
              <w:t>Total</w:t>
            </w:r>
          </w:p>
        </w:tc>
        <w:tc>
          <w:tcPr>
            <w:tcW w:w="1333" w:type="dxa"/>
            <w:tcBorders>
              <w:top w:val="nil"/>
              <w:left w:val="nil"/>
              <w:bottom w:val="single" w:sz="4" w:space="0" w:color="auto"/>
              <w:right w:val="single" w:sz="4" w:space="0" w:color="auto"/>
            </w:tcBorders>
            <w:shd w:val="clear" w:color="auto" w:fill="95B3D7" w:themeFill="accent1" w:themeFillTint="99"/>
            <w:noWrap/>
            <w:vAlign w:val="center"/>
            <w:hideMark/>
          </w:tcPr>
          <w:p w14:paraId="116B2467" w14:textId="77777777" w:rsidR="002F2B8B" w:rsidRPr="00AE0A10" w:rsidRDefault="002F2B8B" w:rsidP="00574D2E">
            <w:pPr>
              <w:jc w:val="center"/>
              <w:rPr>
                <w:rFonts w:ascii="Calibri" w:hAnsi="Calibri" w:cs="Calibri"/>
                <w:b/>
                <w:bCs/>
                <w:color w:val="000000"/>
                <w:sz w:val="22"/>
                <w:szCs w:val="22"/>
                <w:lang w:val="en-IN" w:eastAsia="en-IN"/>
              </w:rPr>
            </w:pPr>
            <w:r w:rsidRPr="00AE0A10">
              <w:rPr>
                <w:rFonts w:ascii="Calibri" w:hAnsi="Calibri" w:cs="Calibri"/>
                <w:b/>
                <w:bCs/>
                <w:color w:val="000000"/>
                <w:sz w:val="22"/>
                <w:szCs w:val="22"/>
                <w:lang w:val="en-IN" w:eastAsia="en-IN"/>
              </w:rPr>
              <w:t>3115.17</w:t>
            </w:r>
          </w:p>
        </w:tc>
        <w:tc>
          <w:tcPr>
            <w:tcW w:w="1847" w:type="dxa"/>
            <w:tcBorders>
              <w:top w:val="nil"/>
              <w:left w:val="nil"/>
              <w:bottom w:val="single" w:sz="4" w:space="0" w:color="auto"/>
              <w:right w:val="single" w:sz="4" w:space="0" w:color="auto"/>
            </w:tcBorders>
            <w:shd w:val="clear" w:color="auto" w:fill="95B3D7" w:themeFill="accent1" w:themeFillTint="99"/>
            <w:noWrap/>
            <w:vAlign w:val="center"/>
            <w:hideMark/>
          </w:tcPr>
          <w:p w14:paraId="566035EB" w14:textId="77777777" w:rsidR="002F2B8B" w:rsidRPr="00AE0A10" w:rsidRDefault="002F2B8B" w:rsidP="00574D2E">
            <w:pPr>
              <w:jc w:val="center"/>
              <w:rPr>
                <w:rFonts w:ascii="Calibri" w:hAnsi="Calibri" w:cs="Calibri"/>
                <w:b/>
                <w:bCs/>
                <w:color w:val="000000"/>
                <w:sz w:val="22"/>
                <w:szCs w:val="22"/>
                <w:lang w:val="en-IN" w:eastAsia="en-IN"/>
              </w:rPr>
            </w:pPr>
            <w:r w:rsidRPr="00AE0A10">
              <w:rPr>
                <w:rFonts w:ascii="Calibri" w:hAnsi="Calibri" w:cs="Calibri"/>
                <w:b/>
                <w:bCs/>
                <w:color w:val="000000"/>
                <w:sz w:val="22"/>
                <w:szCs w:val="22"/>
                <w:lang w:val="en-IN" w:eastAsia="en-IN"/>
              </w:rPr>
              <w:t>1588.98</w:t>
            </w:r>
          </w:p>
        </w:tc>
        <w:tc>
          <w:tcPr>
            <w:tcW w:w="1560" w:type="dxa"/>
            <w:tcBorders>
              <w:top w:val="nil"/>
              <w:left w:val="nil"/>
              <w:bottom w:val="single" w:sz="4" w:space="0" w:color="auto"/>
              <w:right w:val="single" w:sz="4" w:space="0" w:color="auto"/>
            </w:tcBorders>
            <w:shd w:val="clear" w:color="auto" w:fill="95B3D7" w:themeFill="accent1" w:themeFillTint="99"/>
            <w:noWrap/>
            <w:vAlign w:val="center"/>
            <w:hideMark/>
          </w:tcPr>
          <w:p w14:paraId="4401628B" w14:textId="77777777" w:rsidR="002F2B8B" w:rsidRPr="00AE0A10" w:rsidRDefault="002F2B8B" w:rsidP="00574D2E">
            <w:pPr>
              <w:jc w:val="center"/>
              <w:rPr>
                <w:rFonts w:ascii="Calibri" w:hAnsi="Calibri" w:cs="Calibri"/>
                <w:b/>
                <w:bCs/>
                <w:color w:val="000000"/>
                <w:sz w:val="22"/>
                <w:szCs w:val="22"/>
                <w:lang w:val="en-IN" w:eastAsia="en-IN"/>
              </w:rPr>
            </w:pPr>
            <w:r w:rsidRPr="00AE0A10">
              <w:rPr>
                <w:rFonts w:ascii="Calibri" w:hAnsi="Calibri" w:cs="Calibri"/>
                <w:b/>
                <w:bCs/>
                <w:color w:val="000000"/>
                <w:sz w:val="22"/>
                <w:szCs w:val="22"/>
                <w:lang w:val="en-IN" w:eastAsia="en-IN"/>
              </w:rPr>
              <w:t>3353.77</w:t>
            </w:r>
          </w:p>
        </w:tc>
        <w:tc>
          <w:tcPr>
            <w:tcW w:w="1526" w:type="dxa"/>
            <w:tcBorders>
              <w:top w:val="nil"/>
              <w:left w:val="nil"/>
              <w:bottom w:val="single" w:sz="4" w:space="0" w:color="auto"/>
              <w:right w:val="single" w:sz="4" w:space="0" w:color="auto"/>
            </w:tcBorders>
            <w:shd w:val="clear" w:color="auto" w:fill="95B3D7" w:themeFill="accent1" w:themeFillTint="99"/>
            <w:noWrap/>
            <w:vAlign w:val="center"/>
            <w:hideMark/>
          </w:tcPr>
          <w:p w14:paraId="042E571A" w14:textId="77777777" w:rsidR="002F2B8B" w:rsidRPr="00AE0A10" w:rsidRDefault="002F2B8B" w:rsidP="00574D2E">
            <w:pPr>
              <w:jc w:val="center"/>
              <w:rPr>
                <w:rFonts w:ascii="Calibri" w:hAnsi="Calibri" w:cs="Calibri"/>
                <w:b/>
                <w:bCs/>
                <w:color w:val="000000"/>
                <w:sz w:val="22"/>
                <w:szCs w:val="22"/>
                <w:lang w:val="en-IN" w:eastAsia="en-IN"/>
              </w:rPr>
            </w:pPr>
            <w:r w:rsidRPr="00AE0A10">
              <w:rPr>
                <w:rFonts w:ascii="Calibri" w:hAnsi="Calibri" w:cs="Calibri"/>
                <w:b/>
                <w:bCs/>
                <w:color w:val="000000"/>
                <w:sz w:val="22"/>
                <w:szCs w:val="22"/>
                <w:lang w:val="en-IN" w:eastAsia="en-IN"/>
              </w:rPr>
              <w:t>3759.09</w:t>
            </w:r>
          </w:p>
        </w:tc>
      </w:tr>
    </w:tbl>
    <w:p w14:paraId="4BEC52DC" w14:textId="77777777" w:rsidR="002F2B8B" w:rsidRDefault="002F2B8B" w:rsidP="002F2B8B">
      <w:pPr>
        <w:pStyle w:val="BodyText2"/>
        <w:spacing w:line="360" w:lineRule="auto"/>
        <w:ind w:firstLine="90"/>
        <w:jc w:val="both"/>
        <w:rPr>
          <w:rFonts w:asciiTheme="minorHAnsi" w:hAnsiTheme="minorHAnsi" w:cstheme="minorHAnsi"/>
          <w:sz w:val="22"/>
          <w:szCs w:val="22"/>
        </w:rPr>
      </w:pPr>
      <w:r w:rsidRPr="00675D10">
        <w:rPr>
          <w:rFonts w:asciiTheme="minorHAnsi" w:hAnsiTheme="minorHAnsi" w:cstheme="minorHAnsi"/>
          <w:sz w:val="22"/>
          <w:szCs w:val="22"/>
        </w:rPr>
        <w:t xml:space="preserve">        </w:t>
      </w:r>
    </w:p>
    <w:p w14:paraId="08BDBE12" w14:textId="7CC52122" w:rsidR="002F2B8B" w:rsidRPr="00BD5055" w:rsidRDefault="002F2B8B" w:rsidP="002F2B8B">
      <w:pPr>
        <w:pStyle w:val="BodyText2"/>
        <w:spacing w:line="360" w:lineRule="auto"/>
        <w:ind w:left="567"/>
        <w:jc w:val="both"/>
        <w:rPr>
          <w:rFonts w:asciiTheme="minorHAnsi" w:hAnsiTheme="minorHAnsi" w:cstheme="minorHAnsi"/>
          <w:sz w:val="22"/>
          <w:szCs w:val="22"/>
        </w:rPr>
      </w:pPr>
      <w:r w:rsidRPr="002A7168">
        <w:rPr>
          <w:rFonts w:asciiTheme="minorHAnsi" w:hAnsiTheme="minorHAnsi" w:cstheme="minorHAnsi"/>
          <w:sz w:val="22"/>
          <w:szCs w:val="22"/>
        </w:rPr>
        <w:t>In addition to above, it is to submit that</w:t>
      </w:r>
      <w:r>
        <w:rPr>
          <w:rFonts w:asciiTheme="minorHAnsi" w:hAnsiTheme="minorHAnsi" w:cstheme="minorHAnsi"/>
          <w:sz w:val="22"/>
          <w:szCs w:val="22"/>
        </w:rPr>
        <w:t>,</w:t>
      </w:r>
      <w:r w:rsidRPr="002A7168">
        <w:rPr>
          <w:rFonts w:asciiTheme="minorHAnsi" w:hAnsiTheme="minorHAnsi" w:cstheme="minorHAnsi"/>
          <w:sz w:val="22"/>
          <w:szCs w:val="22"/>
        </w:rPr>
        <w:t xml:space="preserve"> </w:t>
      </w:r>
      <w:r>
        <w:rPr>
          <w:rFonts w:asciiTheme="minorHAnsi" w:hAnsiTheme="minorHAnsi" w:cstheme="minorHAnsi"/>
          <w:sz w:val="22"/>
          <w:szCs w:val="22"/>
        </w:rPr>
        <w:t xml:space="preserve">583.914MU </w:t>
      </w:r>
      <w:r w:rsidRPr="002A7168">
        <w:rPr>
          <w:rFonts w:asciiTheme="minorHAnsi" w:hAnsiTheme="minorHAnsi" w:cstheme="minorHAnsi"/>
          <w:sz w:val="22"/>
          <w:szCs w:val="22"/>
        </w:rPr>
        <w:t>sale</w:t>
      </w:r>
      <w:r>
        <w:rPr>
          <w:rFonts w:asciiTheme="minorHAnsi" w:hAnsiTheme="minorHAnsi" w:cstheme="minorHAnsi"/>
          <w:sz w:val="22"/>
          <w:szCs w:val="22"/>
        </w:rPr>
        <w:t>s</w:t>
      </w:r>
      <w:r w:rsidRPr="002A7168">
        <w:rPr>
          <w:rFonts w:asciiTheme="minorHAnsi" w:hAnsiTheme="minorHAnsi" w:cstheme="minorHAnsi"/>
          <w:sz w:val="22"/>
          <w:szCs w:val="22"/>
        </w:rPr>
        <w:t xml:space="preserve"> </w:t>
      </w:r>
      <w:r>
        <w:rPr>
          <w:rFonts w:asciiTheme="minorHAnsi" w:hAnsiTheme="minorHAnsi" w:cstheme="minorHAnsi"/>
          <w:sz w:val="22"/>
          <w:szCs w:val="22"/>
        </w:rPr>
        <w:t>has been estimated</w:t>
      </w:r>
      <w:r w:rsidR="00F714BF">
        <w:rPr>
          <w:rFonts w:asciiTheme="minorHAnsi" w:hAnsiTheme="minorHAnsi" w:cstheme="minorHAnsi"/>
          <w:sz w:val="22"/>
          <w:szCs w:val="22"/>
        </w:rPr>
        <w:t xml:space="preserve"> (considering a normal growth of 6%)</w:t>
      </w:r>
      <w:r>
        <w:rPr>
          <w:rFonts w:asciiTheme="minorHAnsi" w:hAnsiTheme="minorHAnsi" w:cstheme="minorHAnsi"/>
          <w:sz w:val="22"/>
          <w:szCs w:val="22"/>
        </w:rPr>
        <w:t xml:space="preserve"> </w:t>
      </w:r>
      <w:r w:rsidRPr="002A7168">
        <w:rPr>
          <w:rFonts w:asciiTheme="minorHAnsi" w:hAnsiTheme="minorHAnsi" w:cstheme="minorHAnsi"/>
          <w:sz w:val="22"/>
          <w:szCs w:val="22"/>
        </w:rPr>
        <w:t xml:space="preserve">under Railway traction </w:t>
      </w:r>
      <w:r>
        <w:rPr>
          <w:rFonts w:asciiTheme="minorHAnsi" w:hAnsiTheme="minorHAnsi" w:cstheme="minorHAnsi"/>
          <w:sz w:val="22"/>
          <w:szCs w:val="22"/>
        </w:rPr>
        <w:t xml:space="preserve">for the </w:t>
      </w:r>
      <w:r w:rsidRPr="002A7168">
        <w:rPr>
          <w:rFonts w:asciiTheme="minorHAnsi" w:hAnsiTheme="minorHAnsi" w:cstheme="minorHAnsi"/>
          <w:sz w:val="22"/>
          <w:szCs w:val="22"/>
        </w:rPr>
        <w:t>ensuing</w:t>
      </w:r>
      <w:r>
        <w:rPr>
          <w:rFonts w:asciiTheme="minorHAnsi" w:hAnsiTheme="minorHAnsi" w:cstheme="minorHAnsi"/>
          <w:sz w:val="22"/>
          <w:szCs w:val="22"/>
        </w:rPr>
        <w:t xml:space="preserve"> financial </w:t>
      </w:r>
      <w:r w:rsidRPr="002A7168">
        <w:rPr>
          <w:rFonts w:asciiTheme="minorHAnsi" w:hAnsiTheme="minorHAnsi" w:cstheme="minorHAnsi"/>
          <w:sz w:val="22"/>
          <w:szCs w:val="22"/>
        </w:rPr>
        <w:t>year.</w:t>
      </w:r>
      <w:r w:rsidR="00951E3D">
        <w:rPr>
          <w:rFonts w:asciiTheme="minorHAnsi" w:hAnsiTheme="minorHAnsi" w:cstheme="minorHAnsi"/>
          <w:sz w:val="22"/>
          <w:szCs w:val="22"/>
        </w:rPr>
        <w:t xml:space="preserve"> </w:t>
      </w:r>
    </w:p>
    <w:p w14:paraId="33F5B66E" w14:textId="27102EBF" w:rsidR="00B47073" w:rsidRDefault="002F2B8B" w:rsidP="00A442F1">
      <w:pPr>
        <w:pStyle w:val="BodyText2"/>
        <w:spacing w:line="360" w:lineRule="auto"/>
        <w:ind w:firstLine="567"/>
        <w:jc w:val="both"/>
        <w:rPr>
          <w:rFonts w:asciiTheme="minorHAnsi" w:hAnsiTheme="minorHAnsi" w:cstheme="minorHAnsi"/>
          <w:sz w:val="22"/>
          <w:szCs w:val="22"/>
        </w:rPr>
      </w:pPr>
      <w:r w:rsidRPr="00675D10">
        <w:rPr>
          <w:rFonts w:asciiTheme="minorHAnsi" w:hAnsiTheme="minorHAnsi" w:cstheme="minorHAnsi"/>
          <w:sz w:val="22"/>
          <w:szCs w:val="22"/>
        </w:rPr>
        <w:t>The summary of the category-wise/Voltage wise sales in MUs is given below.</w:t>
      </w:r>
    </w:p>
    <w:p w14:paraId="4C98D2B2" w14:textId="77777777" w:rsidR="00B47073" w:rsidRDefault="00B47073" w:rsidP="002F2B8B">
      <w:pPr>
        <w:pStyle w:val="BodyText2"/>
        <w:spacing w:line="360" w:lineRule="auto"/>
        <w:ind w:firstLine="567"/>
        <w:jc w:val="both"/>
        <w:rPr>
          <w:rFonts w:asciiTheme="minorHAnsi" w:hAnsiTheme="minorHAnsi" w:cstheme="minorHAnsi"/>
          <w:sz w:val="22"/>
          <w:szCs w:val="22"/>
        </w:rPr>
      </w:pPr>
    </w:p>
    <w:p w14:paraId="6AD92057" w14:textId="1DD7DB4C" w:rsidR="002F2B8B" w:rsidRDefault="002F2B8B" w:rsidP="002F2B8B">
      <w:pPr>
        <w:jc w:val="center"/>
        <w:rPr>
          <w:rFonts w:asciiTheme="minorHAnsi" w:hAnsiTheme="minorHAnsi" w:cstheme="minorHAnsi"/>
          <w:b/>
          <w:bCs/>
          <w:color w:val="000000"/>
          <w:sz w:val="22"/>
          <w:szCs w:val="22"/>
        </w:rPr>
      </w:pPr>
      <w:r w:rsidRPr="00675D10">
        <w:rPr>
          <w:rFonts w:asciiTheme="minorHAnsi" w:hAnsiTheme="minorHAnsi" w:cstheme="minorHAnsi"/>
          <w:b/>
          <w:bCs/>
          <w:color w:val="000000"/>
          <w:sz w:val="22"/>
          <w:szCs w:val="22"/>
        </w:rPr>
        <w:t>Table-</w:t>
      </w:r>
      <w:r>
        <w:rPr>
          <w:rFonts w:asciiTheme="minorHAnsi" w:hAnsiTheme="minorHAnsi" w:cstheme="minorHAnsi"/>
          <w:b/>
          <w:bCs/>
          <w:color w:val="000000"/>
          <w:sz w:val="22"/>
          <w:szCs w:val="22"/>
        </w:rPr>
        <w:t>7</w:t>
      </w:r>
      <w:r w:rsidRPr="00675D10">
        <w:rPr>
          <w:rFonts w:asciiTheme="minorHAnsi" w:hAnsiTheme="minorHAnsi" w:cstheme="minorHAnsi"/>
          <w:b/>
          <w:bCs/>
          <w:color w:val="000000"/>
          <w:sz w:val="22"/>
          <w:szCs w:val="22"/>
        </w:rPr>
        <w:t>: Voltage Wise Sales (in MUs)</w:t>
      </w:r>
    </w:p>
    <w:p w14:paraId="7D04A3E9" w14:textId="77777777" w:rsidR="00B47073" w:rsidRPr="00675D10" w:rsidRDefault="00B47073" w:rsidP="002F2B8B">
      <w:pPr>
        <w:jc w:val="center"/>
        <w:rPr>
          <w:rFonts w:asciiTheme="minorHAnsi" w:hAnsiTheme="minorHAnsi" w:cstheme="minorHAnsi"/>
          <w:b/>
          <w:bCs/>
          <w:color w:val="000000"/>
          <w:sz w:val="22"/>
          <w:szCs w:val="22"/>
        </w:rPr>
      </w:pPr>
    </w:p>
    <w:tbl>
      <w:tblPr>
        <w:tblW w:w="9688" w:type="dxa"/>
        <w:tblInd w:w="468" w:type="dxa"/>
        <w:tblLook w:val="04A0" w:firstRow="1" w:lastRow="0" w:firstColumn="1" w:lastColumn="0" w:noHBand="0" w:noVBand="1"/>
      </w:tblPr>
      <w:tblGrid>
        <w:gridCol w:w="804"/>
        <w:gridCol w:w="1471"/>
        <w:gridCol w:w="1374"/>
        <w:gridCol w:w="1372"/>
        <w:gridCol w:w="1524"/>
        <w:gridCol w:w="1523"/>
        <w:gridCol w:w="1620"/>
      </w:tblGrid>
      <w:tr w:rsidR="002F2B8B" w:rsidRPr="00AE0A10" w14:paraId="687E9D2E" w14:textId="77777777" w:rsidTr="00A442F1">
        <w:trPr>
          <w:trHeight w:val="582"/>
        </w:trPr>
        <w:tc>
          <w:tcPr>
            <w:tcW w:w="0" w:type="auto"/>
            <w:tcBorders>
              <w:top w:val="single" w:sz="4" w:space="0" w:color="auto"/>
              <w:left w:val="single" w:sz="4" w:space="0" w:color="auto"/>
              <w:bottom w:val="single" w:sz="4" w:space="0" w:color="auto"/>
              <w:right w:val="single" w:sz="4" w:space="0" w:color="auto"/>
            </w:tcBorders>
            <w:shd w:val="clear" w:color="auto" w:fill="95B3D7" w:themeFill="accent1" w:themeFillTint="99"/>
            <w:noWrap/>
            <w:vAlign w:val="center"/>
            <w:hideMark/>
          </w:tcPr>
          <w:p w14:paraId="26BAA769" w14:textId="77777777" w:rsidR="002F2B8B" w:rsidRPr="00AE0A10" w:rsidRDefault="002F2B8B" w:rsidP="00574D2E">
            <w:pPr>
              <w:rPr>
                <w:rFonts w:ascii="Arial" w:hAnsi="Arial" w:cs="Arial"/>
                <w:b/>
                <w:bCs/>
                <w:sz w:val="20"/>
                <w:szCs w:val="20"/>
                <w:lang w:val="en-IN" w:eastAsia="en-IN"/>
              </w:rPr>
            </w:pPr>
            <w:proofErr w:type="spellStart"/>
            <w:r w:rsidRPr="00AE0A10">
              <w:rPr>
                <w:rFonts w:ascii="Arial" w:hAnsi="Arial" w:cs="Arial"/>
                <w:b/>
                <w:bCs/>
                <w:sz w:val="20"/>
                <w:szCs w:val="20"/>
                <w:lang w:val="en-IN" w:eastAsia="en-IN"/>
              </w:rPr>
              <w:t>Sl.No</w:t>
            </w:r>
            <w:proofErr w:type="spellEnd"/>
            <w:r w:rsidRPr="00AE0A10">
              <w:rPr>
                <w:rFonts w:ascii="Arial" w:hAnsi="Arial" w:cs="Arial"/>
                <w:b/>
                <w:bCs/>
                <w:sz w:val="20"/>
                <w:szCs w:val="20"/>
                <w:lang w:val="en-IN" w:eastAsia="en-IN"/>
              </w:rPr>
              <w:t>.</w:t>
            </w:r>
          </w:p>
        </w:tc>
        <w:tc>
          <w:tcPr>
            <w:tcW w:w="1433" w:type="dxa"/>
            <w:tcBorders>
              <w:top w:val="single" w:sz="4" w:space="0" w:color="auto"/>
              <w:left w:val="nil"/>
              <w:bottom w:val="single" w:sz="4" w:space="0" w:color="auto"/>
              <w:right w:val="single" w:sz="4" w:space="0" w:color="auto"/>
            </w:tcBorders>
            <w:shd w:val="clear" w:color="auto" w:fill="95B3D7" w:themeFill="accent1" w:themeFillTint="99"/>
            <w:noWrap/>
            <w:vAlign w:val="center"/>
            <w:hideMark/>
          </w:tcPr>
          <w:p w14:paraId="61B54015" w14:textId="77777777" w:rsidR="002F2B8B" w:rsidRPr="00AE0A10" w:rsidRDefault="002F2B8B" w:rsidP="00574D2E">
            <w:pPr>
              <w:jc w:val="center"/>
              <w:rPr>
                <w:rFonts w:ascii="Arial" w:hAnsi="Arial" w:cs="Arial"/>
                <w:b/>
                <w:bCs/>
                <w:color w:val="000000"/>
                <w:sz w:val="20"/>
                <w:szCs w:val="20"/>
                <w:lang w:val="en-IN" w:eastAsia="en-IN"/>
              </w:rPr>
            </w:pPr>
            <w:r w:rsidRPr="00AE0A10">
              <w:rPr>
                <w:rFonts w:ascii="Arial" w:hAnsi="Arial" w:cs="Arial"/>
                <w:b/>
                <w:bCs/>
                <w:color w:val="000000"/>
                <w:sz w:val="20"/>
                <w:szCs w:val="20"/>
                <w:lang w:val="en-IN" w:eastAsia="en-IN"/>
              </w:rPr>
              <w:t>Voltage Wise Sales</w:t>
            </w:r>
          </w:p>
        </w:tc>
        <w:tc>
          <w:tcPr>
            <w:tcW w:w="1374" w:type="dxa"/>
            <w:tcBorders>
              <w:top w:val="single" w:sz="4" w:space="0" w:color="auto"/>
              <w:left w:val="nil"/>
              <w:bottom w:val="single" w:sz="4" w:space="0" w:color="auto"/>
              <w:right w:val="single" w:sz="4" w:space="0" w:color="auto"/>
            </w:tcBorders>
            <w:shd w:val="clear" w:color="auto" w:fill="95B3D7" w:themeFill="accent1" w:themeFillTint="99"/>
            <w:noWrap/>
            <w:vAlign w:val="center"/>
            <w:hideMark/>
          </w:tcPr>
          <w:p w14:paraId="6FB0EBE1" w14:textId="77777777" w:rsidR="002F2B8B" w:rsidRDefault="002F2B8B" w:rsidP="00574D2E">
            <w:pPr>
              <w:jc w:val="center"/>
              <w:rPr>
                <w:rFonts w:ascii="Calibri" w:hAnsi="Calibri" w:cs="Calibri"/>
                <w:b/>
                <w:bCs/>
                <w:color w:val="000000"/>
                <w:sz w:val="22"/>
                <w:szCs w:val="22"/>
                <w:lang w:val="en-IN" w:eastAsia="en-IN"/>
              </w:rPr>
            </w:pPr>
            <w:r w:rsidRPr="00AE0A10">
              <w:rPr>
                <w:rFonts w:ascii="Calibri" w:hAnsi="Calibri" w:cs="Calibri"/>
                <w:b/>
                <w:bCs/>
                <w:color w:val="000000"/>
                <w:sz w:val="22"/>
                <w:szCs w:val="22"/>
                <w:lang w:val="en-IN" w:eastAsia="en-IN"/>
              </w:rPr>
              <w:t>FY 2023-24</w:t>
            </w:r>
          </w:p>
          <w:p w14:paraId="016856C6" w14:textId="7FFFBF8B" w:rsidR="00A442F1" w:rsidRPr="00AE0A10" w:rsidRDefault="00A442F1" w:rsidP="00574D2E">
            <w:pPr>
              <w:jc w:val="center"/>
              <w:rPr>
                <w:rFonts w:ascii="Calibri" w:hAnsi="Calibri" w:cs="Calibri"/>
                <w:b/>
                <w:bCs/>
                <w:color w:val="000000"/>
                <w:sz w:val="22"/>
                <w:szCs w:val="22"/>
                <w:lang w:val="en-IN" w:eastAsia="en-IN"/>
              </w:rPr>
            </w:pPr>
            <w:r>
              <w:rPr>
                <w:rFonts w:ascii="Calibri" w:hAnsi="Calibri" w:cs="Calibri"/>
                <w:b/>
                <w:bCs/>
                <w:color w:val="000000"/>
                <w:sz w:val="22"/>
                <w:szCs w:val="22"/>
                <w:lang w:val="en-IN" w:eastAsia="en-IN"/>
              </w:rPr>
              <w:t>(Actual)</w:t>
            </w:r>
          </w:p>
        </w:tc>
        <w:tc>
          <w:tcPr>
            <w:tcW w:w="1372" w:type="dxa"/>
            <w:tcBorders>
              <w:top w:val="single" w:sz="4" w:space="0" w:color="auto"/>
              <w:left w:val="nil"/>
              <w:bottom w:val="single" w:sz="4" w:space="0" w:color="auto"/>
              <w:right w:val="single" w:sz="4" w:space="0" w:color="auto"/>
            </w:tcBorders>
            <w:shd w:val="clear" w:color="auto" w:fill="95B3D7" w:themeFill="accent1" w:themeFillTint="99"/>
            <w:vAlign w:val="center"/>
            <w:hideMark/>
          </w:tcPr>
          <w:p w14:paraId="1AD5A80C" w14:textId="77777777" w:rsidR="002F2B8B" w:rsidRPr="00AE0A10" w:rsidRDefault="002F2B8B" w:rsidP="00574D2E">
            <w:pPr>
              <w:jc w:val="center"/>
              <w:rPr>
                <w:rFonts w:ascii="Calibri" w:hAnsi="Calibri" w:cs="Calibri"/>
                <w:b/>
                <w:bCs/>
                <w:color w:val="000000"/>
                <w:sz w:val="22"/>
                <w:szCs w:val="22"/>
                <w:lang w:val="en-IN" w:eastAsia="en-IN"/>
              </w:rPr>
            </w:pPr>
            <w:r w:rsidRPr="00AE0A10">
              <w:rPr>
                <w:rFonts w:ascii="Calibri" w:hAnsi="Calibri" w:cs="Calibri"/>
                <w:b/>
                <w:bCs/>
                <w:color w:val="000000"/>
                <w:sz w:val="22"/>
                <w:szCs w:val="22"/>
                <w:lang w:val="en-IN" w:eastAsia="en-IN"/>
              </w:rPr>
              <w:t xml:space="preserve"> FY 2024-25_H1 (Actual)</w:t>
            </w:r>
          </w:p>
        </w:tc>
        <w:tc>
          <w:tcPr>
            <w:tcW w:w="1524" w:type="dxa"/>
            <w:tcBorders>
              <w:top w:val="single" w:sz="4" w:space="0" w:color="auto"/>
              <w:left w:val="nil"/>
              <w:bottom w:val="single" w:sz="4" w:space="0" w:color="auto"/>
              <w:right w:val="single" w:sz="4" w:space="0" w:color="auto"/>
            </w:tcBorders>
            <w:shd w:val="clear" w:color="auto" w:fill="95B3D7" w:themeFill="accent1" w:themeFillTint="99"/>
            <w:vAlign w:val="center"/>
            <w:hideMark/>
          </w:tcPr>
          <w:p w14:paraId="119C9E18" w14:textId="4E152B38" w:rsidR="002F2B8B" w:rsidRPr="00AE0A10" w:rsidRDefault="002F2B8B" w:rsidP="00574D2E">
            <w:pPr>
              <w:jc w:val="center"/>
              <w:rPr>
                <w:rFonts w:ascii="Calibri" w:hAnsi="Calibri" w:cs="Calibri"/>
                <w:b/>
                <w:bCs/>
                <w:color w:val="000000"/>
                <w:sz w:val="22"/>
                <w:szCs w:val="22"/>
                <w:lang w:val="en-IN" w:eastAsia="en-IN"/>
              </w:rPr>
            </w:pPr>
            <w:r w:rsidRPr="00AE0A10">
              <w:rPr>
                <w:rFonts w:ascii="Calibri" w:hAnsi="Calibri" w:cs="Calibri"/>
                <w:b/>
                <w:bCs/>
                <w:color w:val="000000"/>
                <w:sz w:val="22"/>
                <w:szCs w:val="22"/>
                <w:lang w:val="en-IN" w:eastAsia="en-IN"/>
              </w:rPr>
              <w:t>FY 2024-25 (</w:t>
            </w:r>
            <w:r w:rsidR="00A442F1">
              <w:rPr>
                <w:rFonts w:ascii="Calibri" w:hAnsi="Calibri" w:cs="Calibri"/>
                <w:b/>
                <w:bCs/>
                <w:color w:val="000000"/>
                <w:sz w:val="22"/>
                <w:szCs w:val="22"/>
                <w:lang w:val="en-IN" w:eastAsia="en-IN"/>
              </w:rPr>
              <w:t>Estimated</w:t>
            </w:r>
            <w:r w:rsidRPr="00AE0A10">
              <w:rPr>
                <w:rFonts w:ascii="Calibri" w:hAnsi="Calibri" w:cs="Calibri"/>
                <w:b/>
                <w:bCs/>
                <w:color w:val="000000"/>
                <w:sz w:val="22"/>
                <w:szCs w:val="22"/>
                <w:lang w:val="en-IN" w:eastAsia="en-IN"/>
              </w:rPr>
              <w:t>)</w:t>
            </w:r>
          </w:p>
        </w:tc>
        <w:tc>
          <w:tcPr>
            <w:tcW w:w="1523" w:type="dxa"/>
            <w:tcBorders>
              <w:top w:val="single" w:sz="4" w:space="0" w:color="auto"/>
              <w:left w:val="nil"/>
              <w:bottom w:val="single" w:sz="4" w:space="0" w:color="auto"/>
              <w:right w:val="single" w:sz="4" w:space="0" w:color="auto"/>
            </w:tcBorders>
            <w:shd w:val="clear" w:color="auto" w:fill="95B3D7" w:themeFill="accent1" w:themeFillTint="99"/>
            <w:vAlign w:val="center"/>
            <w:hideMark/>
          </w:tcPr>
          <w:p w14:paraId="4069B382" w14:textId="77777777" w:rsidR="002F2B8B" w:rsidRPr="00AE0A10" w:rsidRDefault="002F2B8B" w:rsidP="00574D2E">
            <w:pPr>
              <w:jc w:val="center"/>
              <w:rPr>
                <w:rFonts w:ascii="Calibri" w:hAnsi="Calibri" w:cs="Calibri"/>
                <w:b/>
                <w:bCs/>
                <w:color w:val="000000"/>
                <w:sz w:val="22"/>
                <w:szCs w:val="22"/>
                <w:lang w:val="en-IN" w:eastAsia="en-IN"/>
              </w:rPr>
            </w:pPr>
            <w:r w:rsidRPr="00AE0A10">
              <w:rPr>
                <w:rFonts w:ascii="Calibri" w:hAnsi="Calibri" w:cs="Calibri"/>
                <w:b/>
                <w:bCs/>
                <w:color w:val="000000"/>
                <w:sz w:val="22"/>
                <w:szCs w:val="22"/>
                <w:lang w:val="en-IN" w:eastAsia="en-IN"/>
              </w:rPr>
              <w:t>FY 2025-26 (Projection)</w:t>
            </w:r>
          </w:p>
        </w:tc>
        <w:tc>
          <w:tcPr>
            <w:tcW w:w="1620" w:type="dxa"/>
            <w:tcBorders>
              <w:top w:val="single" w:sz="4" w:space="0" w:color="auto"/>
              <w:left w:val="nil"/>
              <w:bottom w:val="single" w:sz="4" w:space="0" w:color="auto"/>
              <w:right w:val="single" w:sz="4" w:space="0" w:color="auto"/>
            </w:tcBorders>
            <w:shd w:val="clear" w:color="auto" w:fill="95B3D7" w:themeFill="accent1" w:themeFillTint="99"/>
          </w:tcPr>
          <w:p w14:paraId="32184793" w14:textId="77777777" w:rsidR="002F2B8B" w:rsidRPr="00AE0A10" w:rsidRDefault="002F2B8B" w:rsidP="00574D2E">
            <w:pPr>
              <w:jc w:val="center"/>
              <w:rPr>
                <w:rFonts w:ascii="Calibri" w:hAnsi="Calibri" w:cs="Calibri"/>
                <w:b/>
                <w:bCs/>
                <w:color w:val="000000"/>
                <w:sz w:val="22"/>
                <w:szCs w:val="22"/>
                <w:lang w:val="en-IN" w:eastAsia="en-IN"/>
              </w:rPr>
            </w:pPr>
            <w:r>
              <w:rPr>
                <w:rFonts w:ascii="Calibri" w:hAnsi="Calibri" w:cs="Calibri"/>
                <w:b/>
                <w:bCs/>
                <w:color w:val="000000"/>
                <w:sz w:val="22"/>
                <w:szCs w:val="22"/>
                <w:lang w:val="en-IN" w:eastAsia="en-IN"/>
              </w:rPr>
              <w:t>Projected Growth Rate (%)</w:t>
            </w:r>
          </w:p>
        </w:tc>
      </w:tr>
      <w:tr w:rsidR="002F2B8B" w:rsidRPr="00AE0A10" w14:paraId="49A6FA0D" w14:textId="77777777" w:rsidTr="00A442F1">
        <w:trPr>
          <w:trHeight w:val="291"/>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5C60D230" w14:textId="77777777" w:rsidR="002F2B8B" w:rsidRPr="00AE0A10" w:rsidRDefault="002F2B8B" w:rsidP="00574D2E">
            <w:pPr>
              <w:jc w:val="center"/>
              <w:rPr>
                <w:rFonts w:ascii="Calibri" w:hAnsi="Calibri" w:cs="Calibri"/>
                <w:color w:val="000000"/>
                <w:sz w:val="22"/>
                <w:szCs w:val="22"/>
                <w:lang w:val="en-IN" w:eastAsia="en-IN"/>
              </w:rPr>
            </w:pPr>
            <w:r w:rsidRPr="00AE0A10">
              <w:rPr>
                <w:rFonts w:ascii="Calibri" w:hAnsi="Calibri" w:cs="Calibri"/>
                <w:color w:val="000000"/>
                <w:sz w:val="22"/>
                <w:szCs w:val="22"/>
                <w:lang w:val="en-IN" w:eastAsia="en-IN"/>
              </w:rPr>
              <w:t>1</w:t>
            </w:r>
          </w:p>
        </w:tc>
        <w:tc>
          <w:tcPr>
            <w:tcW w:w="1433" w:type="dxa"/>
            <w:tcBorders>
              <w:top w:val="nil"/>
              <w:left w:val="nil"/>
              <w:bottom w:val="single" w:sz="4" w:space="0" w:color="auto"/>
              <w:right w:val="single" w:sz="4" w:space="0" w:color="auto"/>
            </w:tcBorders>
            <w:shd w:val="clear" w:color="auto" w:fill="auto"/>
            <w:noWrap/>
            <w:vAlign w:val="bottom"/>
            <w:hideMark/>
          </w:tcPr>
          <w:p w14:paraId="096C6B89" w14:textId="77777777" w:rsidR="002F2B8B" w:rsidRPr="00AE0A10" w:rsidRDefault="002F2B8B" w:rsidP="00574D2E">
            <w:pPr>
              <w:rPr>
                <w:rFonts w:ascii="Calibri" w:hAnsi="Calibri" w:cs="Calibri"/>
                <w:color w:val="000000"/>
                <w:sz w:val="22"/>
                <w:szCs w:val="22"/>
                <w:lang w:val="en-IN" w:eastAsia="en-IN"/>
              </w:rPr>
            </w:pPr>
            <w:r w:rsidRPr="00AE0A10">
              <w:rPr>
                <w:rFonts w:ascii="Calibri" w:hAnsi="Calibri" w:cs="Calibri"/>
                <w:color w:val="000000"/>
                <w:sz w:val="22"/>
                <w:szCs w:val="22"/>
                <w:lang w:val="en-IN" w:eastAsia="en-IN"/>
              </w:rPr>
              <w:t>LT</w:t>
            </w:r>
          </w:p>
        </w:tc>
        <w:tc>
          <w:tcPr>
            <w:tcW w:w="1374" w:type="dxa"/>
            <w:tcBorders>
              <w:top w:val="nil"/>
              <w:left w:val="nil"/>
              <w:bottom w:val="single" w:sz="4" w:space="0" w:color="auto"/>
              <w:right w:val="single" w:sz="4" w:space="0" w:color="auto"/>
            </w:tcBorders>
            <w:shd w:val="clear" w:color="auto" w:fill="auto"/>
            <w:noWrap/>
            <w:vAlign w:val="bottom"/>
            <w:hideMark/>
          </w:tcPr>
          <w:p w14:paraId="1F66100F" w14:textId="77777777" w:rsidR="002F2B8B" w:rsidRPr="00AE0A10" w:rsidRDefault="002F2B8B" w:rsidP="00574D2E">
            <w:pPr>
              <w:jc w:val="center"/>
              <w:rPr>
                <w:rFonts w:ascii="Calibri" w:hAnsi="Calibri" w:cs="Calibri"/>
                <w:color w:val="000000"/>
                <w:sz w:val="22"/>
                <w:szCs w:val="22"/>
                <w:lang w:val="en-IN" w:eastAsia="en-IN"/>
              </w:rPr>
            </w:pPr>
            <w:r w:rsidRPr="00AE0A10">
              <w:rPr>
                <w:rFonts w:ascii="Calibri" w:hAnsi="Calibri" w:cs="Calibri"/>
                <w:color w:val="000000"/>
                <w:sz w:val="22"/>
                <w:szCs w:val="22"/>
                <w:lang w:val="en-IN" w:eastAsia="en-IN"/>
              </w:rPr>
              <w:t>2195.38</w:t>
            </w:r>
          </w:p>
        </w:tc>
        <w:tc>
          <w:tcPr>
            <w:tcW w:w="1372" w:type="dxa"/>
            <w:tcBorders>
              <w:top w:val="nil"/>
              <w:left w:val="nil"/>
              <w:bottom w:val="single" w:sz="4" w:space="0" w:color="auto"/>
              <w:right w:val="single" w:sz="4" w:space="0" w:color="auto"/>
            </w:tcBorders>
            <w:shd w:val="clear" w:color="auto" w:fill="auto"/>
            <w:noWrap/>
            <w:vAlign w:val="bottom"/>
            <w:hideMark/>
          </w:tcPr>
          <w:p w14:paraId="2982C626" w14:textId="77777777" w:rsidR="002F2B8B" w:rsidRPr="00AE0A10" w:rsidRDefault="002F2B8B" w:rsidP="00574D2E">
            <w:pPr>
              <w:jc w:val="center"/>
              <w:rPr>
                <w:rFonts w:ascii="Calibri" w:hAnsi="Calibri" w:cs="Calibri"/>
                <w:color w:val="000000"/>
                <w:sz w:val="22"/>
                <w:szCs w:val="22"/>
                <w:lang w:val="en-IN" w:eastAsia="en-IN"/>
              </w:rPr>
            </w:pPr>
            <w:r w:rsidRPr="00AE0A10">
              <w:rPr>
                <w:rFonts w:ascii="Calibri" w:hAnsi="Calibri" w:cs="Calibri"/>
                <w:color w:val="000000"/>
                <w:sz w:val="22"/>
                <w:szCs w:val="22"/>
                <w:lang w:val="en-IN" w:eastAsia="en-IN"/>
              </w:rPr>
              <w:t>1523.39</w:t>
            </w:r>
          </w:p>
        </w:tc>
        <w:tc>
          <w:tcPr>
            <w:tcW w:w="1524" w:type="dxa"/>
            <w:tcBorders>
              <w:top w:val="nil"/>
              <w:left w:val="nil"/>
              <w:bottom w:val="single" w:sz="4" w:space="0" w:color="auto"/>
              <w:right w:val="single" w:sz="4" w:space="0" w:color="auto"/>
            </w:tcBorders>
            <w:shd w:val="clear" w:color="auto" w:fill="auto"/>
            <w:noWrap/>
            <w:vAlign w:val="bottom"/>
            <w:hideMark/>
          </w:tcPr>
          <w:p w14:paraId="18F86A36" w14:textId="77777777" w:rsidR="002F2B8B" w:rsidRPr="00AE0A10" w:rsidRDefault="002F2B8B" w:rsidP="00574D2E">
            <w:pPr>
              <w:jc w:val="center"/>
              <w:rPr>
                <w:rFonts w:ascii="Calibri" w:hAnsi="Calibri" w:cs="Calibri"/>
                <w:color w:val="000000"/>
                <w:sz w:val="22"/>
                <w:szCs w:val="22"/>
                <w:lang w:val="en-IN" w:eastAsia="en-IN"/>
              </w:rPr>
            </w:pPr>
            <w:r w:rsidRPr="00AE0A10">
              <w:rPr>
                <w:rFonts w:ascii="Calibri" w:hAnsi="Calibri" w:cs="Calibri"/>
                <w:color w:val="000000"/>
                <w:sz w:val="22"/>
                <w:szCs w:val="22"/>
                <w:lang w:val="en-IN" w:eastAsia="en-IN"/>
              </w:rPr>
              <w:t>2702.74</w:t>
            </w:r>
          </w:p>
        </w:tc>
        <w:tc>
          <w:tcPr>
            <w:tcW w:w="1523" w:type="dxa"/>
            <w:tcBorders>
              <w:top w:val="nil"/>
              <w:left w:val="nil"/>
              <w:bottom w:val="single" w:sz="4" w:space="0" w:color="auto"/>
              <w:right w:val="single" w:sz="4" w:space="0" w:color="auto"/>
            </w:tcBorders>
            <w:shd w:val="clear" w:color="auto" w:fill="auto"/>
            <w:noWrap/>
            <w:vAlign w:val="bottom"/>
            <w:hideMark/>
          </w:tcPr>
          <w:p w14:paraId="0D0F5B42" w14:textId="77777777" w:rsidR="002F2B8B" w:rsidRPr="00AE0A10" w:rsidRDefault="002F2B8B" w:rsidP="00574D2E">
            <w:pPr>
              <w:jc w:val="center"/>
              <w:rPr>
                <w:rFonts w:ascii="Calibri" w:hAnsi="Calibri" w:cs="Calibri"/>
                <w:color w:val="000000"/>
                <w:sz w:val="22"/>
                <w:szCs w:val="22"/>
                <w:lang w:val="en-IN" w:eastAsia="en-IN"/>
              </w:rPr>
            </w:pPr>
            <w:r w:rsidRPr="00AE0A10">
              <w:rPr>
                <w:rFonts w:ascii="Calibri" w:hAnsi="Calibri" w:cs="Calibri"/>
                <w:color w:val="000000"/>
                <w:sz w:val="22"/>
                <w:szCs w:val="22"/>
                <w:lang w:val="en-IN" w:eastAsia="en-IN"/>
              </w:rPr>
              <w:t>2886.56</w:t>
            </w:r>
          </w:p>
        </w:tc>
        <w:tc>
          <w:tcPr>
            <w:tcW w:w="1620" w:type="dxa"/>
            <w:tcBorders>
              <w:top w:val="nil"/>
              <w:left w:val="nil"/>
              <w:bottom w:val="single" w:sz="4" w:space="0" w:color="auto"/>
              <w:right w:val="single" w:sz="4" w:space="0" w:color="auto"/>
            </w:tcBorders>
          </w:tcPr>
          <w:p w14:paraId="212CAAF3" w14:textId="77777777" w:rsidR="002F2B8B" w:rsidRPr="00AE0A10" w:rsidRDefault="002F2B8B" w:rsidP="00574D2E">
            <w:pPr>
              <w:jc w:val="center"/>
              <w:rPr>
                <w:rFonts w:ascii="Calibri" w:hAnsi="Calibri" w:cs="Calibri"/>
                <w:color w:val="000000"/>
                <w:sz w:val="22"/>
                <w:szCs w:val="22"/>
                <w:lang w:val="en-IN" w:eastAsia="en-IN"/>
              </w:rPr>
            </w:pPr>
            <w:r>
              <w:rPr>
                <w:rFonts w:ascii="Calibri" w:hAnsi="Calibri" w:cs="Calibri"/>
                <w:color w:val="000000"/>
                <w:sz w:val="22"/>
                <w:szCs w:val="22"/>
                <w:lang w:val="en-IN" w:eastAsia="en-IN"/>
              </w:rPr>
              <w:t>7%</w:t>
            </w:r>
          </w:p>
        </w:tc>
      </w:tr>
      <w:tr w:rsidR="002F2B8B" w:rsidRPr="00AE0A10" w14:paraId="0B89B19B" w14:textId="77777777" w:rsidTr="00A442F1">
        <w:trPr>
          <w:trHeight w:val="291"/>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25D3B365" w14:textId="77777777" w:rsidR="002F2B8B" w:rsidRPr="00AE0A10" w:rsidRDefault="002F2B8B" w:rsidP="00574D2E">
            <w:pPr>
              <w:jc w:val="center"/>
              <w:rPr>
                <w:rFonts w:ascii="Calibri" w:hAnsi="Calibri" w:cs="Calibri"/>
                <w:color w:val="000000"/>
                <w:sz w:val="22"/>
                <w:szCs w:val="22"/>
                <w:lang w:val="en-IN" w:eastAsia="en-IN"/>
              </w:rPr>
            </w:pPr>
            <w:r w:rsidRPr="00AE0A10">
              <w:rPr>
                <w:rFonts w:ascii="Calibri" w:hAnsi="Calibri" w:cs="Calibri"/>
                <w:color w:val="000000"/>
                <w:sz w:val="22"/>
                <w:szCs w:val="22"/>
                <w:lang w:val="en-IN" w:eastAsia="en-IN"/>
              </w:rPr>
              <w:t>2</w:t>
            </w:r>
          </w:p>
        </w:tc>
        <w:tc>
          <w:tcPr>
            <w:tcW w:w="1433" w:type="dxa"/>
            <w:tcBorders>
              <w:top w:val="nil"/>
              <w:left w:val="nil"/>
              <w:bottom w:val="single" w:sz="4" w:space="0" w:color="auto"/>
              <w:right w:val="single" w:sz="4" w:space="0" w:color="auto"/>
            </w:tcBorders>
            <w:shd w:val="clear" w:color="auto" w:fill="auto"/>
            <w:noWrap/>
            <w:vAlign w:val="bottom"/>
            <w:hideMark/>
          </w:tcPr>
          <w:p w14:paraId="4595E808" w14:textId="77777777" w:rsidR="002F2B8B" w:rsidRPr="00AE0A10" w:rsidRDefault="002F2B8B" w:rsidP="00574D2E">
            <w:pPr>
              <w:rPr>
                <w:rFonts w:ascii="Calibri" w:hAnsi="Calibri" w:cs="Calibri"/>
                <w:color w:val="000000"/>
                <w:sz w:val="22"/>
                <w:szCs w:val="22"/>
                <w:lang w:val="en-IN" w:eastAsia="en-IN"/>
              </w:rPr>
            </w:pPr>
            <w:r w:rsidRPr="00AE0A10">
              <w:rPr>
                <w:rFonts w:ascii="Calibri" w:hAnsi="Calibri" w:cs="Calibri"/>
                <w:color w:val="000000"/>
                <w:sz w:val="22"/>
                <w:szCs w:val="22"/>
                <w:lang w:val="en-IN" w:eastAsia="en-IN"/>
              </w:rPr>
              <w:t>HT</w:t>
            </w:r>
          </w:p>
        </w:tc>
        <w:tc>
          <w:tcPr>
            <w:tcW w:w="1374" w:type="dxa"/>
            <w:tcBorders>
              <w:top w:val="nil"/>
              <w:left w:val="nil"/>
              <w:bottom w:val="single" w:sz="4" w:space="0" w:color="auto"/>
              <w:right w:val="single" w:sz="4" w:space="0" w:color="auto"/>
            </w:tcBorders>
            <w:shd w:val="clear" w:color="auto" w:fill="auto"/>
            <w:noWrap/>
            <w:vAlign w:val="bottom"/>
            <w:hideMark/>
          </w:tcPr>
          <w:p w14:paraId="22F3598B" w14:textId="77777777" w:rsidR="002F2B8B" w:rsidRPr="00AE0A10" w:rsidRDefault="002F2B8B" w:rsidP="00574D2E">
            <w:pPr>
              <w:jc w:val="center"/>
              <w:rPr>
                <w:rFonts w:ascii="Calibri" w:hAnsi="Calibri" w:cs="Calibri"/>
                <w:color w:val="000000"/>
                <w:sz w:val="22"/>
                <w:szCs w:val="22"/>
                <w:lang w:val="en-IN" w:eastAsia="en-IN"/>
              </w:rPr>
            </w:pPr>
            <w:r w:rsidRPr="00AE0A10">
              <w:rPr>
                <w:rFonts w:ascii="Calibri" w:hAnsi="Calibri" w:cs="Calibri"/>
                <w:color w:val="000000"/>
                <w:sz w:val="22"/>
                <w:szCs w:val="22"/>
                <w:lang w:val="en-IN" w:eastAsia="en-IN"/>
              </w:rPr>
              <w:t>685.81</w:t>
            </w:r>
          </w:p>
        </w:tc>
        <w:tc>
          <w:tcPr>
            <w:tcW w:w="1372" w:type="dxa"/>
            <w:tcBorders>
              <w:top w:val="nil"/>
              <w:left w:val="nil"/>
              <w:bottom w:val="single" w:sz="4" w:space="0" w:color="auto"/>
              <w:right w:val="single" w:sz="4" w:space="0" w:color="auto"/>
            </w:tcBorders>
            <w:shd w:val="clear" w:color="auto" w:fill="auto"/>
            <w:noWrap/>
            <w:vAlign w:val="bottom"/>
            <w:hideMark/>
          </w:tcPr>
          <w:p w14:paraId="6CBEECC8" w14:textId="77777777" w:rsidR="002F2B8B" w:rsidRPr="00AE0A10" w:rsidRDefault="002F2B8B" w:rsidP="00574D2E">
            <w:pPr>
              <w:jc w:val="center"/>
              <w:rPr>
                <w:rFonts w:ascii="Calibri" w:hAnsi="Calibri" w:cs="Calibri"/>
                <w:color w:val="000000"/>
                <w:sz w:val="22"/>
                <w:szCs w:val="22"/>
                <w:lang w:val="en-IN" w:eastAsia="en-IN"/>
              </w:rPr>
            </w:pPr>
            <w:r w:rsidRPr="00AE0A10">
              <w:rPr>
                <w:rFonts w:ascii="Calibri" w:hAnsi="Calibri" w:cs="Calibri"/>
                <w:color w:val="000000"/>
                <w:sz w:val="22"/>
                <w:szCs w:val="22"/>
                <w:lang w:val="en-IN" w:eastAsia="en-IN"/>
              </w:rPr>
              <w:t>417.55</w:t>
            </w:r>
          </w:p>
        </w:tc>
        <w:tc>
          <w:tcPr>
            <w:tcW w:w="1524" w:type="dxa"/>
            <w:tcBorders>
              <w:top w:val="nil"/>
              <w:left w:val="nil"/>
              <w:bottom w:val="single" w:sz="4" w:space="0" w:color="auto"/>
              <w:right w:val="single" w:sz="4" w:space="0" w:color="auto"/>
            </w:tcBorders>
            <w:shd w:val="clear" w:color="auto" w:fill="auto"/>
            <w:noWrap/>
            <w:vAlign w:val="bottom"/>
            <w:hideMark/>
          </w:tcPr>
          <w:p w14:paraId="738E92D7" w14:textId="77777777" w:rsidR="002F2B8B" w:rsidRPr="00AE0A10" w:rsidRDefault="002F2B8B" w:rsidP="00574D2E">
            <w:pPr>
              <w:jc w:val="center"/>
              <w:rPr>
                <w:rFonts w:ascii="Calibri" w:hAnsi="Calibri" w:cs="Calibri"/>
                <w:color w:val="000000"/>
                <w:sz w:val="22"/>
                <w:szCs w:val="22"/>
                <w:lang w:val="en-IN" w:eastAsia="en-IN"/>
              </w:rPr>
            </w:pPr>
            <w:r w:rsidRPr="00AE0A10">
              <w:rPr>
                <w:rFonts w:ascii="Calibri" w:hAnsi="Calibri" w:cs="Calibri"/>
                <w:color w:val="000000"/>
                <w:sz w:val="22"/>
                <w:szCs w:val="22"/>
                <w:lang w:val="en-IN" w:eastAsia="en-IN"/>
              </w:rPr>
              <w:t>844.13</w:t>
            </w:r>
          </w:p>
        </w:tc>
        <w:tc>
          <w:tcPr>
            <w:tcW w:w="1523" w:type="dxa"/>
            <w:tcBorders>
              <w:top w:val="nil"/>
              <w:left w:val="nil"/>
              <w:bottom w:val="single" w:sz="4" w:space="0" w:color="auto"/>
              <w:right w:val="single" w:sz="4" w:space="0" w:color="auto"/>
            </w:tcBorders>
            <w:shd w:val="clear" w:color="auto" w:fill="auto"/>
            <w:noWrap/>
            <w:vAlign w:val="bottom"/>
            <w:hideMark/>
          </w:tcPr>
          <w:p w14:paraId="3FA42862" w14:textId="77777777" w:rsidR="002F2B8B" w:rsidRPr="00AE0A10" w:rsidRDefault="002F2B8B" w:rsidP="00574D2E">
            <w:pPr>
              <w:jc w:val="center"/>
              <w:rPr>
                <w:rFonts w:ascii="Calibri" w:hAnsi="Calibri" w:cs="Calibri"/>
                <w:color w:val="000000"/>
                <w:sz w:val="22"/>
                <w:szCs w:val="22"/>
                <w:lang w:val="en-IN" w:eastAsia="en-IN"/>
              </w:rPr>
            </w:pPr>
            <w:r w:rsidRPr="00AE0A10">
              <w:rPr>
                <w:rFonts w:ascii="Calibri" w:hAnsi="Calibri" w:cs="Calibri"/>
                <w:color w:val="000000"/>
                <w:sz w:val="22"/>
                <w:szCs w:val="22"/>
                <w:lang w:val="en-IN" w:eastAsia="en-IN"/>
              </w:rPr>
              <w:t>943.17</w:t>
            </w:r>
          </w:p>
        </w:tc>
        <w:tc>
          <w:tcPr>
            <w:tcW w:w="1620" w:type="dxa"/>
            <w:tcBorders>
              <w:top w:val="nil"/>
              <w:left w:val="nil"/>
              <w:bottom w:val="single" w:sz="4" w:space="0" w:color="auto"/>
              <w:right w:val="single" w:sz="4" w:space="0" w:color="auto"/>
            </w:tcBorders>
          </w:tcPr>
          <w:p w14:paraId="17AE0F32" w14:textId="77777777" w:rsidR="002F2B8B" w:rsidRPr="00AE0A10" w:rsidRDefault="002F2B8B" w:rsidP="00574D2E">
            <w:pPr>
              <w:jc w:val="center"/>
              <w:rPr>
                <w:rFonts w:ascii="Calibri" w:hAnsi="Calibri" w:cs="Calibri"/>
                <w:color w:val="000000"/>
                <w:sz w:val="22"/>
                <w:szCs w:val="22"/>
                <w:lang w:val="en-IN" w:eastAsia="en-IN"/>
              </w:rPr>
            </w:pPr>
            <w:r>
              <w:rPr>
                <w:rFonts w:ascii="Calibri" w:hAnsi="Calibri" w:cs="Calibri"/>
                <w:color w:val="000000"/>
                <w:sz w:val="22"/>
                <w:szCs w:val="22"/>
                <w:lang w:val="en-IN" w:eastAsia="en-IN"/>
              </w:rPr>
              <w:t>12%</w:t>
            </w:r>
          </w:p>
        </w:tc>
      </w:tr>
      <w:tr w:rsidR="002F2B8B" w:rsidRPr="00AE0A10" w14:paraId="6250FA96" w14:textId="77777777" w:rsidTr="00A442F1">
        <w:trPr>
          <w:trHeight w:val="291"/>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3C6F42E1" w14:textId="77777777" w:rsidR="002F2B8B" w:rsidRPr="00AE0A10" w:rsidRDefault="002F2B8B" w:rsidP="00574D2E">
            <w:pPr>
              <w:jc w:val="center"/>
              <w:rPr>
                <w:rFonts w:ascii="Calibri" w:hAnsi="Calibri" w:cs="Calibri"/>
                <w:color w:val="000000"/>
                <w:sz w:val="22"/>
                <w:szCs w:val="22"/>
                <w:lang w:val="en-IN" w:eastAsia="en-IN"/>
              </w:rPr>
            </w:pPr>
            <w:r w:rsidRPr="00AE0A10">
              <w:rPr>
                <w:rFonts w:ascii="Calibri" w:hAnsi="Calibri" w:cs="Calibri"/>
                <w:color w:val="000000"/>
                <w:sz w:val="22"/>
                <w:szCs w:val="22"/>
                <w:lang w:val="en-IN" w:eastAsia="en-IN"/>
              </w:rPr>
              <w:t>2</w:t>
            </w:r>
          </w:p>
        </w:tc>
        <w:tc>
          <w:tcPr>
            <w:tcW w:w="1433" w:type="dxa"/>
            <w:tcBorders>
              <w:top w:val="nil"/>
              <w:left w:val="nil"/>
              <w:bottom w:val="single" w:sz="4" w:space="0" w:color="auto"/>
              <w:right w:val="single" w:sz="4" w:space="0" w:color="auto"/>
            </w:tcBorders>
            <w:shd w:val="clear" w:color="auto" w:fill="auto"/>
            <w:noWrap/>
            <w:vAlign w:val="bottom"/>
            <w:hideMark/>
          </w:tcPr>
          <w:p w14:paraId="136574BA" w14:textId="77777777" w:rsidR="002F2B8B" w:rsidRPr="00AE0A10" w:rsidRDefault="002F2B8B" w:rsidP="00574D2E">
            <w:pPr>
              <w:rPr>
                <w:rFonts w:ascii="Calibri" w:hAnsi="Calibri" w:cs="Calibri"/>
                <w:color w:val="000000"/>
                <w:sz w:val="22"/>
                <w:szCs w:val="22"/>
                <w:lang w:val="en-IN" w:eastAsia="en-IN"/>
              </w:rPr>
            </w:pPr>
            <w:r w:rsidRPr="00AE0A10">
              <w:rPr>
                <w:rFonts w:ascii="Calibri" w:hAnsi="Calibri" w:cs="Calibri"/>
                <w:color w:val="000000"/>
                <w:sz w:val="22"/>
                <w:szCs w:val="22"/>
                <w:lang w:val="en-IN" w:eastAsia="en-IN"/>
              </w:rPr>
              <w:t>EHT</w:t>
            </w:r>
          </w:p>
        </w:tc>
        <w:tc>
          <w:tcPr>
            <w:tcW w:w="1374" w:type="dxa"/>
            <w:tcBorders>
              <w:top w:val="nil"/>
              <w:left w:val="nil"/>
              <w:bottom w:val="single" w:sz="4" w:space="0" w:color="auto"/>
              <w:right w:val="single" w:sz="4" w:space="0" w:color="auto"/>
            </w:tcBorders>
            <w:shd w:val="clear" w:color="auto" w:fill="auto"/>
            <w:noWrap/>
            <w:vAlign w:val="bottom"/>
            <w:hideMark/>
          </w:tcPr>
          <w:p w14:paraId="363BC5E2" w14:textId="77777777" w:rsidR="002F2B8B" w:rsidRPr="00AE0A10" w:rsidRDefault="002F2B8B" w:rsidP="00574D2E">
            <w:pPr>
              <w:jc w:val="center"/>
              <w:rPr>
                <w:rFonts w:ascii="Calibri" w:hAnsi="Calibri" w:cs="Calibri"/>
                <w:color w:val="000000"/>
                <w:sz w:val="22"/>
                <w:szCs w:val="22"/>
                <w:lang w:val="en-IN" w:eastAsia="en-IN"/>
              </w:rPr>
            </w:pPr>
            <w:r w:rsidRPr="00AE0A10">
              <w:rPr>
                <w:rFonts w:ascii="Calibri" w:hAnsi="Calibri" w:cs="Calibri"/>
                <w:color w:val="000000"/>
                <w:sz w:val="22"/>
                <w:szCs w:val="22"/>
                <w:lang w:val="en-IN" w:eastAsia="en-IN"/>
              </w:rPr>
              <w:t>3115.17</w:t>
            </w:r>
          </w:p>
        </w:tc>
        <w:tc>
          <w:tcPr>
            <w:tcW w:w="1372" w:type="dxa"/>
            <w:tcBorders>
              <w:top w:val="nil"/>
              <w:left w:val="nil"/>
              <w:bottom w:val="single" w:sz="4" w:space="0" w:color="auto"/>
              <w:right w:val="single" w:sz="4" w:space="0" w:color="auto"/>
            </w:tcBorders>
            <w:shd w:val="clear" w:color="auto" w:fill="auto"/>
            <w:noWrap/>
            <w:vAlign w:val="bottom"/>
            <w:hideMark/>
          </w:tcPr>
          <w:p w14:paraId="2E233F6D" w14:textId="77777777" w:rsidR="002F2B8B" w:rsidRPr="00AE0A10" w:rsidRDefault="002F2B8B" w:rsidP="00574D2E">
            <w:pPr>
              <w:jc w:val="center"/>
              <w:rPr>
                <w:rFonts w:ascii="Calibri" w:hAnsi="Calibri" w:cs="Calibri"/>
                <w:color w:val="000000"/>
                <w:sz w:val="22"/>
                <w:szCs w:val="22"/>
                <w:lang w:val="en-IN" w:eastAsia="en-IN"/>
              </w:rPr>
            </w:pPr>
            <w:r w:rsidRPr="00AE0A10">
              <w:rPr>
                <w:rFonts w:ascii="Calibri" w:hAnsi="Calibri" w:cs="Calibri"/>
                <w:color w:val="000000"/>
                <w:sz w:val="22"/>
                <w:szCs w:val="22"/>
                <w:lang w:val="en-IN" w:eastAsia="en-IN"/>
              </w:rPr>
              <w:t>1588.98</w:t>
            </w:r>
          </w:p>
        </w:tc>
        <w:tc>
          <w:tcPr>
            <w:tcW w:w="1524" w:type="dxa"/>
            <w:tcBorders>
              <w:top w:val="nil"/>
              <w:left w:val="nil"/>
              <w:bottom w:val="single" w:sz="4" w:space="0" w:color="auto"/>
              <w:right w:val="single" w:sz="4" w:space="0" w:color="auto"/>
            </w:tcBorders>
            <w:shd w:val="clear" w:color="auto" w:fill="auto"/>
            <w:noWrap/>
            <w:vAlign w:val="bottom"/>
            <w:hideMark/>
          </w:tcPr>
          <w:p w14:paraId="194507A6" w14:textId="77777777" w:rsidR="002F2B8B" w:rsidRPr="00AE0A10" w:rsidRDefault="002F2B8B" w:rsidP="00574D2E">
            <w:pPr>
              <w:jc w:val="center"/>
              <w:rPr>
                <w:rFonts w:ascii="Calibri" w:hAnsi="Calibri" w:cs="Calibri"/>
                <w:color w:val="000000"/>
                <w:sz w:val="22"/>
                <w:szCs w:val="22"/>
                <w:lang w:val="en-IN" w:eastAsia="en-IN"/>
              </w:rPr>
            </w:pPr>
            <w:r w:rsidRPr="00AE0A10">
              <w:rPr>
                <w:rFonts w:ascii="Calibri" w:hAnsi="Calibri" w:cs="Calibri"/>
                <w:color w:val="000000"/>
                <w:sz w:val="22"/>
                <w:szCs w:val="22"/>
                <w:lang w:val="en-IN" w:eastAsia="en-IN"/>
              </w:rPr>
              <w:t>3353.77</w:t>
            </w:r>
          </w:p>
        </w:tc>
        <w:tc>
          <w:tcPr>
            <w:tcW w:w="1523" w:type="dxa"/>
            <w:tcBorders>
              <w:top w:val="nil"/>
              <w:left w:val="nil"/>
              <w:bottom w:val="single" w:sz="4" w:space="0" w:color="auto"/>
              <w:right w:val="single" w:sz="4" w:space="0" w:color="auto"/>
            </w:tcBorders>
            <w:shd w:val="clear" w:color="auto" w:fill="auto"/>
            <w:noWrap/>
            <w:vAlign w:val="bottom"/>
            <w:hideMark/>
          </w:tcPr>
          <w:p w14:paraId="084336FC" w14:textId="77777777" w:rsidR="002F2B8B" w:rsidRPr="00AE0A10" w:rsidRDefault="002F2B8B" w:rsidP="00574D2E">
            <w:pPr>
              <w:jc w:val="center"/>
              <w:rPr>
                <w:rFonts w:ascii="Calibri" w:hAnsi="Calibri" w:cs="Calibri"/>
                <w:color w:val="000000"/>
                <w:sz w:val="22"/>
                <w:szCs w:val="22"/>
                <w:lang w:val="en-IN" w:eastAsia="en-IN"/>
              </w:rPr>
            </w:pPr>
            <w:r w:rsidRPr="00AE0A10">
              <w:rPr>
                <w:rFonts w:ascii="Calibri" w:hAnsi="Calibri" w:cs="Calibri"/>
                <w:color w:val="000000"/>
                <w:sz w:val="22"/>
                <w:szCs w:val="22"/>
                <w:lang w:val="en-IN" w:eastAsia="en-IN"/>
              </w:rPr>
              <w:t>3759.09</w:t>
            </w:r>
          </w:p>
        </w:tc>
        <w:tc>
          <w:tcPr>
            <w:tcW w:w="1620" w:type="dxa"/>
            <w:tcBorders>
              <w:top w:val="nil"/>
              <w:left w:val="nil"/>
              <w:bottom w:val="single" w:sz="4" w:space="0" w:color="auto"/>
              <w:right w:val="single" w:sz="4" w:space="0" w:color="auto"/>
            </w:tcBorders>
          </w:tcPr>
          <w:p w14:paraId="15A1268F" w14:textId="77777777" w:rsidR="002F2B8B" w:rsidRPr="00AE0A10" w:rsidRDefault="002F2B8B" w:rsidP="00574D2E">
            <w:pPr>
              <w:jc w:val="center"/>
              <w:rPr>
                <w:rFonts w:ascii="Calibri" w:hAnsi="Calibri" w:cs="Calibri"/>
                <w:color w:val="000000"/>
                <w:sz w:val="22"/>
                <w:szCs w:val="22"/>
                <w:lang w:val="en-IN" w:eastAsia="en-IN"/>
              </w:rPr>
            </w:pPr>
            <w:r>
              <w:rPr>
                <w:rFonts w:ascii="Calibri" w:hAnsi="Calibri" w:cs="Calibri"/>
                <w:color w:val="000000"/>
                <w:sz w:val="22"/>
                <w:szCs w:val="22"/>
                <w:lang w:val="en-IN" w:eastAsia="en-IN"/>
              </w:rPr>
              <w:t>12%</w:t>
            </w:r>
          </w:p>
        </w:tc>
      </w:tr>
      <w:tr w:rsidR="002F2B8B" w:rsidRPr="00AE0A10" w14:paraId="401619E4" w14:textId="77777777" w:rsidTr="00A442F1">
        <w:trPr>
          <w:trHeight w:val="291"/>
        </w:trPr>
        <w:tc>
          <w:tcPr>
            <w:tcW w:w="2275" w:type="dxa"/>
            <w:gridSpan w:val="2"/>
            <w:tcBorders>
              <w:top w:val="single" w:sz="4" w:space="0" w:color="auto"/>
              <w:left w:val="single" w:sz="4" w:space="0" w:color="auto"/>
              <w:bottom w:val="single" w:sz="4" w:space="0" w:color="auto"/>
              <w:right w:val="single" w:sz="4" w:space="0" w:color="auto"/>
            </w:tcBorders>
            <w:shd w:val="clear" w:color="auto" w:fill="95B3D7" w:themeFill="accent1" w:themeFillTint="99"/>
            <w:noWrap/>
            <w:vAlign w:val="bottom"/>
            <w:hideMark/>
          </w:tcPr>
          <w:p w14:paraId="57AA4700" w14:textId="77777777" w:rsidR="002F2B8B" w:rsidRPr="00AE0A10" w:rsidRDefault="002F2B8B" w:rsidP="00574D2E">
            <w:pPr>
              <w:jc w:val="center"/>
              <w:rPr>
                <w:rFonts w:ascii="Calibri" w:hAnsi="Calibri" w:cs="Calibri"/>
                <w:b/>
                <w:bCs/>
                <w:color w:val="000000"/>
                <w:sz w:val="22"/>
                <w:szCs w:val="22"/>
                <w:lang w:val="en-IN" w:eastAsia="en-IN"/>
              </w:rPr>
            </w:pPr>
            <w:r w:rsidRPr="00AE0A10">
              <w:rPr>
                <w:rFonts w:ascii="Calibri" w:hAnsi="Calibri" w:cs="Calibri"/>
                <w:b/>
                <w:bCs/>
                <w:color w:val="000000"/>
                <w:sz w:val="22"/>
                <w:szCs w:val="22"/>
                <w:lang w:val="en-IN" w:eastAsia="en-IN"/>
              </w:rPr>
              <w:t>Total</w:t>
            </w:r>
          </w:p>
        </w:tc>
        <w:tc>
          <w:tcPr>
            <w:tcW w:w="1374" w:type="dxa"/>
            <w:tcBorders>
              <w:top w:val="nil"/>
              <w:left w:val="nil"/>
              <w:bottom w:val="single" w:sz="4" w:space="0" w:color="auto"/>
              <w:right w:val="single" w:sz="4" w:space="0" w:color="auto"/>
            </w:tcBorders>
            <w:shd w:val="clear" w:color="auto" w:fill="95B3D7" w:themeFill="accent1" w:themeFillTint="99"/>
            <w:noWrap/>
            <w:vAlign w:val="bottom"/>
            <w:hideMark/>
          </w:tcPr>
          <w:p w14:paraId="3A72A42A" w14:textId="77777777" w:rsidR="002F2B8B" w:rsidRPr="00AE0A10" w:rsidRDefault="002F2B8B" w:rsidP="00574D2E">
            <w:pPr>
              <w:jc w:val="center"/>
              <w:rPr>
                <w:rFonts w:ascii="Calibri" w:hAnsi="Calibri" w:cs="Calibri"/>
                <w:b/>
                <w:bCs/>
                <w:color w:val="000000"/>
                <w:sz w:val="22"/>
                <w:szCs w:val="22"/>
                <w:lang w:val="en-IN" w:eastAsia="en-IN"/>
              </w:rPr>
            </w:pPr>
            <w:r w:rsidRPr="00AE0A10">
              <w:rPr>
                <w:rFonts w:ascii="Calibri" w:hAnsi="Calibri" w:cs="Calibri"/>
                <w:b/>
                <w:bCs/>
                <w:color w:val="000000"/>
                <w:sz w:val="22"/>
                <w:szCs w:val="22"/>
                <w:lang w:val="en-IN" w:eastAsia="en-IN"/>
              </w:rPr>
              <w:t>5996.36</w:t>
            </w:r>
          </w:p>
        </w:tc>
        <w:tc>
          <w:tcPr>
            <w:tcW w:w="1372" w:type="dxa"/>
            <w:tcBorders>
              <w:top w:val="nil"/>
              <w:left w:val="nil"/>
              <w:bottom w:val="single" w:sz="4" w:space="0" w:color="auto"/>
              <w:right w:val="single" w:sz="4" w:space="0" w:color="auto"/>
            </w:tcBorders>
            <w:shd w:val="clear" w:color="auto" w:fill="95B3D7" w:themeFill="accent1" w:themeFillTint="99"/>
            <w:noWrap/>
            <w:vAlign w:val="bottom"/>
            <w:hideMark/>
          </w:tcPr>
          <w:p w14:paraId="5B10BEF1" w14:textId="77777777" w:rsidR="002F2B8B" w:rsidRPr="00AE0A10" w:rsidRDefault="002F2B8B" w:rsidP="00574D2E">
            <w:pPr>
              <w:jc w:val="center"/>
              <w:rPr>
                <w:rFonts w:ascii="Calibri" w:hAnsi="Calibri" w:cs="Calibri"/>
                <w:b/>
                <w:bCs/>
                <w:color w:val="000000"/>
                <w:sz w:val="22"/>
                <w:szCs w:val="22"/>
                <w:lang w:val="en-IN" w:eastAsia="en-IN"/>
              </w:rPr>
            </w:pPr>
            <w:r w:rsidRPr="00AE0A10">
              <w:rPr>
                <w:rFonts w:ascii="Calibri" w:hAnsi="Calibri" w:cs="Calibri"/>
                <w:b/>
                <w:bCs/>
                <w:color w:val="000000"/>
                <w:sz w:val="22"/>
                <w:szCs w:val="22"/>
                <w:lang w:val="en-IN" w:eastAsia="en-IN"/>
              </w:rPr>
              <w:t>3529.92</w:t>
            </w:r>
          </w:p>
        </w:tc>
        <w:tc>
          <w:tcPr>
            <w:tcW w:w="1524" w:type="dxa"/>
            <w:tcBorders>
              <w:top w:val="nil"/>
              <w:left w:val="nil"/>
              <w:bottom w:val="single" w:sz="4" w:space="0" w:color="auto"/>
              <w:right w:val="single" w:sz="4" w:space="0" w:color="auto"/>
            </w:tcBorders>
            <w:shd w:val="clear" w:color="auto" w:fill="95B3D7" w:themeFill="accent1" w:themeFillTint="99"/>
            <w:noWrap/>
            <w:vAlign w:val="bottom"/>
            <w:hideMark/>
          </w:tcPr>
          <w:p w14:paraId="2C79FBAB" w14:textId="77777777" w:rsidR="002F2B8B" w:rsidRPr="00AE0A10" w:rsidRDefault="002F2B8B" w:rsidP="00574D2E">
            <w:pPr>
              <w:jc w:val="center"/>
              <w:rPr>
                <w:rFonts w:ascii="Calibri" w:hAnsi="Calibri" w:cs="Calibri"/>
                <w:b/>
                <w:bCs/>
                <w:color w:val="000000"/>
                <w:sz w:val="22"/>
                <w:szCs w:val="22"/>
                <w:lang w:val="en-IN" w:eastAsia="en-IN"/>
              </w:rPr>
            </w:pPr>
            <w:r w:rsidRPr="00AE0A10">
              <w:rPr>
                <w:rFonts w:ascii="Calibri" w:hAnsi="Calibri" w:cs="Calibri"/>
                <w:b/>
                <w:bCs/>
                <w:color w:val="000000"/>
                <w:sz w:val="22"/>
                <w:szCs w:val="22"/>
                <w:lang w:val="en-IN" w:eastAsia="en-IN"/>
              </w:rPr>
              <w:t>6900.63</w:t>
            </w:r>
          </w:p>
        </w:tc>
        <w:tc>
          <w:tcPr>
            <w:tcW w:w="1523" w:type="dxa"/>
            <w:tcBorders>
              <w:top w:val="nil"/>
              <w:left w:val="nil"/>
              <w:bottom w:val="single" w:sz="4" w:space="0" w:color="auto"/>
              <w:right w:val="single" w:sz="4" w:space="0" w:color="auto"/>
            </w:tcBorders>
            <w:shd w:val="clear" w:color="auto" w:fill="95B3D7" w:themeFill="accent1" w:themeFillTint="99"/>
            <w:noWrap/>
            <w:vAlign w:val="bottom"/>
            <w:hideMark/>
          </w:tcPr>
          <w:p w14:paraId="5EB899F9" w14:textId="77777777" w:rsidR="002F2B8B" w:rsidRPr="00AE0A10" w:rsidRDefault="002F2B8B" w:rsidP="00574D2E">
            <w:pPr>
              <w:jc w:val="center"/>
              <w:rPr>
                <w:rFonts w:ascii="Calibri" w:hAnsi="Calibri" w:cs="Calibri"/>
                <w:b/>
                <w:bCs/>
                <w:color w:val="000000"/>
                <w:sz w:val="22"/>
                <w:szCs w:val="22"/>
                <w:lang w:val="en-IN" w:eastAsia="en-IN"/>
              </w:rPr>
            </w:pPr>
            <w:r w:rsidRPr="00AE0A10">
              <w:rPr>
                <w:rFonts w:ascii="Calibri" w:hAnsi="Calibri" w:cs="Calibri"/>
                <w:b/>
                <w:bCs/>
                <w:color w:val="000000"/>
                <w:sz w:val="22"/>
                <w:szCs w:val="22"/>
                <w:lang w:val="en-IN" w:eastAsia="en-IN"/>
              </w:rPr>
              <w:t>7588.82</w:t>
            </w:r>
          </w:p>
        </w:tc>
        <w:tc>
          <w:tcPr>
            <w:tcW w:w="1620" w:type="dxa"/>
            <w:tcBorders>
              <w:top w:val="nil"/>
              <w:left w:val="nil"/>
              <w:bottom w:val="single" w:sz="4" w:space="0" w:color="auto"/>
              <w:right w:val="single" w:sz="4" w:space="0" w:color="auto"/>
            </w:tcBorders>
            <w:shd w:val="clear" w:color="auto" w:fill="95B3D7" w:themeFill="accent1" w:themeFillTint="99"/>
          </w:tcPr>
          <w:p w14:paraId="6AF7D0E7" w14:textId="77777777" w:rsidR="002F2B8B" w:rsidRPr="00AE0A10" w:rsidRDefault="002F2B8B" w:rsidP="00574D2E">
            <w:pPr>
              <w:jc w:val="center"/>
              <w:rPr>
                <w:rFonts w:ascii="Calibri" w:hAnsi="Calibri" w:cs="Calibri"/>
                <w:b/>
                <w:bCs/>
                <w:color w:val="000000"/>
                <w:sz w:val="22"/>
                <w:szCs w:val="22"/>
                <w:lang w:val="en-IN" w:eastAsia="en-IN"/>
              </w:rPr>
            </w:pPr>
            <w:r>
              <w:rPr>
                <w:rFonts w:ascii="Calibri" w:hAnsi="Calibri" w:cs="Calibri"/>
                <w:b/>
                <w:bCs/>
                <w:color w:val="000000"/>
                <w:sz w:val="22"/>
                <w:szCs w:val="22"/>
                <w:lang w:val="en-IN" w:eastAsia="en-IN"/>
              </w:rPr>
              <w:t>10%</w:t>
            </w:r>
          </w:p>
        </w:tc>
      </w:tr>
    </w:tbl>
    <w:p w14:paraId="3AD73CB2" w14:textId="32DE1CA5" w:rsidR="00951E3D" w:rsidRDefault="002F2B8B" w:rsidP="00B47073">
      <w:pPr>
        <w:pStyle w:val="BodyText2"/>
        <w:spacing w:line="360" w:lineRule="auto"/>
        <w:ind w:left="567"/>
        <w:jc w:val="both"/>
        <w:rPr>
          <w:rFonts w:asciiTheme="minorHAnsi" w:hAnsiTheme="minorHAnsi" w:cstheme="minorHAnsi"/>
          <w:sz w:val="22"/>
          <w:szCs w:val="22"/>
        </w:rPr>
      </w:pPr>
      <w:r w:rsidRPr="00F16123">
        <w:rPr>
          <w:rFonts w:asciiTheme="minorHAnsi" w:hAnsiTheme="minorHAnsi" w:cstheme="minorHAnsi"/>
          <w:sz w:val="22"/>
          <w:szCs w:val="22"/>
        </w:rPr>
        <w:t xml:space="preserve">Overall growth rate of </w:t>
      </w:r>
      <w:r w:rsidRPr="0087128A">
        <w:rPr>
          <w:rFonts w:asciiTheme="minorHAnsi" w:hAnsiTheme="minorHAnsi" w:cstheme="minorHAnsi"/>
          <w:b/>
          <w:sz w:val="22"/>
          <w:szCs w:val="22"/>
        </w:rPr>
        <w:t>10% i</w:t>
      </w:r>
      <w:r w:rsidRPr="00F16123">
        <w:rPr>
          <w:rFonts w:asciiTheme="minorHAnsi" w:hAnsiTheme="minorHAnsi" w:cstheme="minorHAnsi"/>
          <w:sz w:val="22"/>
          <w:szCs w:val="22"/>
        </w:rPr>
        <w:t xml:space="preserve">n sales has been projected </w:t>
      </w:r>
      <w:r>
        <w:rPr>
          <w:rFonts w:asciiTheme="minorHAnsi" w:hAnsiTheme="minorHAnsi" w:cstheme="minorHAnsi"/>
          <w:sz w:val="22"/>
          <w:szCs w:val="22"/>
        </w:rPr>
        <w:t xml:space="preserve">for </w:t>
      </w:r>
      <w:r w:rsidRPr="00F16123">
        <w:rPr>
          <w:rFonts w:asciiTheme="minorHAnsi" w:hAnsiTheme="minorHAnsi" w:cstheme="minorHAnsi"/>
          <w:sz w:val="22"/>
          <w:szCs w:val="22"/>
        </w:rPr>
        <w:t>the ensuing financial year.</w:t>
      </w:r>
    </w:p>
    <w:p w14:paraId="0DFDB5D1" w14:textId="5934DE87" w:rsidR="00A442F1" w:rsidRDefault="00A442F1" w:rsidP="00B47073">
      <w:pPr>
        <w:pStyle w:val="BodyText2"/>
        <w:spacing w:line="360" w:lineRule="auto"/>
        <w:ind w:left="567"/>
        <w:jc w:val="both"/>
        <w:rPr>
          <w:rFonts w:asciiTheme="minorHAnsi" w:hAnsiTheme="minorHAnsi" w:cstheme="minorHAnsi"/>
          <w:sz w:val="22"/>
          <w:szCs w:val="22"/>
        </w:rPr>
      </w:pPr>
    </w:p>
    <w:p w14:paraId="5C49C572" w14:textId="15288F8B" w:rsidR="00A442F1" w:rsidRDefault="00A442F1" w:rsidP="00B47073">
      <w:pPr>
        <w:pStyle w:val="BodyText2"/>
        <w:spacing w:line="360" w:lineRule="auto"/>
        <w:ind w:left="567"/>
        <w:jc w:val="both"/>
        <w:rPr>
          <w:rFonts w:asciiTheme="minorHAnsi" w:hAnsiTheme="minorHAnsi" w:cstheme="minorHAnsi"/>
          <w:sz w:val="22"/>
          <w:szCs w:val="22"/>
        </w:rPr>
      </w:pPr>
    </w:p>
    <w:p w14:paraId="501774E7" w14:textId="77777777" w:rsidR="00A442F1" w:rsidRDefault="00A442F1" w:rsidP="00B47073">
      <w:pPr>
        <w:pStyle w:val="BodyText2"/>
        <w:spacing w:line="360" w:lineRule="auto"/>
        <w:ind w:left="567"/>
        <w:jc w:val="both"/>
        <w:rPr>
          <w:rFonts w:asciiTheme="minorHAnsi" w:hAnsiTheme="minorHAnsi" w:cstheme="minorHAnsi"/>
          <w:sz w:val="22"/>
          <w:szCs w:val="22"/>
        </w:rPr>
      </w:pPr>
    </w:p>
    <w:p w14:paraId="313DD856" w14:textId="7E38056A" w:rsidR="00AA4DA9" w:rsidRDefault="00AA4DA9" w:rsidP="00892D5C">
      <w:pPr>
        <w:pStyle w:val="BodyText2"/>
        <w:spacing w:line="360" w:lineRule="auto"/>
        <w:ind w:left="567"/>
        <w:jc w:val="both"/>
        <w:rPr>
          <w:rFonts w:asciiTheme="minorHAnsi" w:hAnsiTheme="minorHAnsi" w:cstheme="minorHAnsi"/>
          <w:sz w:val="22"/>
          <w:szCs w:val="22"/>
        </w:rPr>
      </w:pPr>
      <w:r w:rsidRPr="00153204">
        <w:rPr>
          <w:rFonts w:asciiTheme="minorHAnsi" w:hAnsiTheme="minorHAnsi" w:cstheme="minorHAnsi"/>
          <w:noProof/>
          <w:sz w:val="22"/>
          <w:szCs w:val="22"/>
          <w:lang w:val="en-IN" w:eastAsia="en-IN"/>
        </w:rPr>
        <w:lastRenderedPageBreak/>
        <mc:AlternateContent>
          <mc:Choice Requires="wps">
            <w:drawing>
              <wp:anchor distT="0" distB="0" distL="114300" distR="114300" simplePos="0" relativeHeight="251945472" behindDoc="0" locked="0" layoutInCell="1" allowOverlap="1" wp14:anchorId="4634B44F" wp14:editId="108AE9EB">
                <wp:simplePos x="0" y="0"/>
                <wp:positionH relativeFrom="margin">
                  <wp:posOffset>308610</wp:posOffset>
                </wp:positionH>
                <wp:positionV relativeFrom="paragraph">
                  <wp:posOffset>7620</wp:posOffset>
                </wp:positionV>
                <wp:extent cx="5611495" cy="315532"/>
                <wp:effectExtent l="0" t="0" r="27305" b="27940"/>
                <wp:wrapNone/>
                <wp:docPr id="6" name="Rectangle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611495" cy="315532"/>
                        </a:xfrm>
                        <a:prstGeom prst="rect">
                          <a:avLst/>
                        </a:prstGeom>
                        <a:solidFill>
                          <a:srgbClr val="1F497D">
                            <a:lumMod val="20000"/>
                            <a:lumOff val="80000"/>
                          </a:srgbClr>
                        </a:solidFill>
                        <a:ln w="9525">
                          <a:solidFill>
                            <a:srgbClr val="000000"/>
                          </a:solidFill>
                          <a:miter lim="800000"/>
                          <a:headEnd/>
                          <a:tailEnd/>
                        </a:ln>
                      </wps:spPr>
                      <wps:txbx>
                        <w:txbxContent>
                          <w:p w14:paraId="1CA52FFC" w14:textId="421FDBFB" w:rsidR="00535B24" w:rsidRPr="00E560A3" w:rsidRDefault="00535B24" w:rsidP="00AA4DA9">
                            <w:pPr>
                              <w:rPr>
                                <w:rFonts w:asciiTheme="minorHAnsi" w:hAnsiTheme="minorHAnsi" w:cstheme="minorHAnsi"/>
                                <w:b/>
                                <w:sz w:val="28"/>
                                <w:szCs w:val="28"/>
                                <w:lang w:val="en-IN"/>
                              </w:rPr>
                            </w:pPr>
                            <w:r w:rsidRPr="00E560A3">
                              <w:rPr>
                                <w:rFonts w:asciiTheme="minorHAnsi" w:hAnsiTheme="minorHAnsi" w:cstheme="minorHAnsi"/>
                                <w:b/>
                                <w:sz w:val="28"/>
                                <w:szCs w:val="28"/>
                                <w:lang w:val="en-IN"/>
                              </w:rPr>
                              <w:t>2</w:t>
                            </w:r>
                            <w:r>
                              <w:rPr>
                                <w:rFonts w:asciiTheme="minorHAnsi" w:hAnsiTheme="minorHAnsi" w:cstheme="minorHAnsi"/>
                                <w:b/>
                                <w:sz w:val="28"/>
                                <w:szCs w:val="28"/>
                                <w:lang w:val="en-IN"/>
                              </w:rPr>
                              <w:t>.2 Estimation of Power Purchase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634B44F" id="_x0000_s1029" style="position:absolute;left:0;text-align:left;margin-left:24.3pt;margin-top:.6pt;width:441.85pt;height:24.85pt;z-index:25194547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" fillcolor="#c6d9f1">
                <v:textbox>
                  <w:txbxContent>
                    <w:p w14:paraId="1CA52FFC" w14:textId="421FDBFB" w:rsidR="00535B24" w:rsidRPr="00E560A3" w:rsidRDefault="00535B24" w:rsidP="00AA4DA9">
                      <w:pPr>
                        <w:rPr>
                          <w:rFonts w:asciiTheme="minorHAnsi" w:hAnsiTheme="minorHAnsi" w:cstheme="minorHAnsi"/>
                          <w:b/>
                          <w:sz w:val="28"/>
                          <w:szCs w:val="28"/>
                          <w:lang w:val="en-IN"/>
                        </w:rPr>
                      </w:pPr>
                      <w:r w:rsidRPr="00E560A3">
                        <w:rPr>
                          <w:rFonts w:asciiTheme="minorHAnsi" w:hAnsiTheme="minorHAnsi" w:cstheme="minorHAnsi"/>
                          <w:b/>
                          <w:sz w:val="28"/>
                          <w:szCs w:val="28"/>
                          <w:lang w:val="en-IN"/>
                        </w:rPr>
                        <w:t>2</w:t>
                      </w:r>
                      <w:r>
                        <w:rPr>
                          <w:rFonts w:asciiTheme="minorHAnsi" w:hAnsiTheme="minorHAnsi" w:cstheme="minorHAnsi"/>
                          <w:b/>
                          <w:sz w:val="28"/>
                          <w:szCs w:val="28"/>
                          <w:lang w:val="en-IN"/>
                        </w:rPr>
                        <w:t>.2 Estimation of Power Purchase</w:t>
                      </w:r>
                    </w:p>
                  </w:txbxContent>
                </v:textbox>
                <w10:wrap anchorx="margin"/>
              </v:rect>
            </w:pict>
          </mc:Fallback>
        </mc:AlternateContent>
      </w:r>
    </w:p>
    <w:p w14:paraId="682317DA" w14:textId="77777777" w:rsidR="00AA4DA9" w:rsidRPr="00153204" w:rsidRDefault="00AA4DA9" w:rsidP="00892D5C">
      <w:pPr>
        <w:pStyle w:val="BodyText2"/>
        <w:spacing w:line="360" w:lineRule="auto"/>
        <w:ind w:left="567"/>
        <w:jc w:val="both"/>
        <w:rPr>
          <w:rFonts w:asciiTheme="minorHAnsi" w:hAnsiTheme="minorHAnsi" w:cstheme="minorHAnsi"/>
          <w:sz w:val="22"/>
          <w:szCs w:val="22"/>
        </w:rPr>
      </w:pPr>
    </w:p>
    <w:p w14:paraId="6C61C3FE" w14:textId="79E7B3A8" w:rsidR="006F5448" w:rsidRPr="00153204" w:rsidRDefault="00FB4F46" w:rsidP="002334A3">
      <w:pPr>
        <w:pStyle w:val="Caption"/>
        <w:keepNext/>
        <w:spacing w:line="360" w:lineRule="auto"/>
        <w:ind w:left="567"/>
        <w:jc w:val="both"/>
        <w:rPr>
          <w:rFonts w:asciiTheme="minorHAnsi" w:hAnsiTheme="minorHAnsi" w:cstheme="minorHAnsi"/>
          <w:sz w:val="22"/>
          <w:szCs w:val="22"/>
        </w:rPr>
      </w:pPr>
      <w:r w:rsidRPr="00153204">
        <w:rPr>
          <w:rFonts w:asciiTheme="minorHAnsi" w:hAnsiTheme="minorHAnsi" w:cstheme="minorHAnsi"/>
          <w:sz w:val="22"/>
          <w:szCs w:val="22"/>
        </w:rPr>
        <w:t>Hon’ble Commission has fixed 10</w:t>
      </w:r>
      <w:r w:rsidR="00565281" w:rsidRPr="00153204">
        <w:rPr>
          <w:rFonts w:asciiTheme="minorHAnsi" w:hAnsiTheme="minorHAnsi" w:cstheme="minorHAnsi"/>
          <w:sz w:val="22"/>
          <w:szCs w:val="22"/>
        </w:rPr>
        <w:t xml:space="preserve"> </w:t>
      </w:r>
      <w:r w:rsidRPr="00153204">
        <w:rPr>
          <w:rFonts w:asciiTheme="minorHAnsi" w:hAnsiTheme="minorHAnsi" w:cstheme="minorHAnsi"/>
          <w:sz w:val="22"/>
          <w:szCs w:val="22"/>
        </w:rPr>
        <w:t>years AT&amp;C loss trajectory to be adopted for determination of tariff for the period FY 2021-22 to FY 2030-31 as given under section 41(a) of the Vesting order which is reproduced in the following table</w:t>
      </w:r>
    </w:p>
    <w:p w14:paraId="5AED517B" w14:textId="77777777" w:rsidR="00A31FBF" w:rsidRPr="00153204" w:rsidRDefault="00A31FBF" w:rsidP="002334A3">
      <w:pPr>
        <w:rPr>
          <w:rFonts w:asciiTheme="minorHAnsi" w:hAnsiTheme="minorHAnsi" w:cstheme="minorHAnsi"/>
          <w:sz w:val="22"/>
          <w:szCs w:val="22"/>
          <w:lang w:val="en-GB"/>
        </w:rPr>
      </w:pPr>
    </w:p>
    <w:p w14:paraId="4505EDB0" w14:textId="1D60059F" w:rsidR="002E2DA8" w:rsidRPr="00153204" w:rsidRDefault="00B47073" w:rsidP="002334A3">
      <w:pPr>
        <w:spacing w:line="360" w:lineRule="auto"/>
        <w:jc w:val="center"/>
        <w:rPr>
          <w:rFonts w:asciiTheme="minorHAnsi" w:hAnsiTheme="minorHAnsi" w:cstheme="minorHAnsi"/>
          <w:b/>
          <w:sz w:val="22"/>
          <w:szCs w:val="22"/>
          <w:lang w:val="en-GB"/>
        </w:rPr>
      </w:pPr>
      <w:r>
        <w:rPr>
          <w:rFonts w:asciiTheme="minorHAnsi" w:hAnsiTheme="minorHAnsi" w:cstheme="minorHAnsi"/>
          <w:b/>
          <w:sz w:val="22"/>
          <w:szCs w:val="22"/>
          <w:lang w:val="en-GB"/>
        </w:rPr>
        <w:t xml:space="preserve">      </w:t>
      </w:r>
      <w:r w:rsidR="00704339" w:rsidRPr="00153204">
        <w:rPr>
          <w:rFonts w:asciiTheme="minorHAnsi" w:hAnsiTheme="minorHAnsi" w:cstheme="minorHAnsi"/>
          <w:b/>
          <w:sz w:val="22"/>
          <w:szCs w:val="22"/>
          <w:lang w:val="en-GB"/>
        </w:rPr>
        <w:t>Table-</w:t>
      </w:r>
      <w:r w:rsidR="00A442F1">
        <w:rPr>
          <w:rFonts w:asciiTheme="minorHAnsi" w:hAnsiTheme="minorHAnsi" w:cstheme="minorHAnsi"/>
          <w:b/>
          <w:sz w:val="22"/>
          <w:szCs w:val="22"/>
          <w:lang w:val="en-GB"/>
        </w:rPr>
        <w:t>8</w:t>
      </w:r>
      <w:r w:rsidR="002E2DA8" w:rsidRPr="00153204">
        <w:rPr>
          <w:rFonts w:asciiTheme="minorHAnsi" w:hAnsiTheme="minorHAnsi" w:cstheme="minorHAnsi"/>
          <w:b/>
          <w:sz w:val="22"/>
          <w:szCs w:val="22"/>
          <w:lang w:val="en-GB"/>
        </w:rPr>
        <w:t>:</w:t>
      </w:r>
      <w:r w:rsidR="00DD23D8" w:rsidRPr="00153204">
        <w:rPr>
          <w:rFonts w:asciiTheme="minorHAnsi" w:hAnsiTheme="minorHAnsi" w:cstheme="minorHAnsi"/>
          <w:b/>
          <w:sz w:val="22"/>
          <w:szCs w:val="22"/>
          <w:lang w:val="en-GB"/>
        </w:rPr>
        <w:t xml:space="preserve"> AT&amp;C Loss Trajectory for Tariff Determination</w:t>
      </w:r>
    </w:p>
    <w:tbl>
      <w:tblPr>
        <w:tblStyle w:val="TableGrid"/>
        <w:tblW w:w="9289" w:type="dxa"/>
        <w:tblInd w:w="534" w:type="dxa"/>
        <w:tblLook w:val="04A0" w:firstRow="1" w:lastRow="0" w:firstColumn="1" w:lastColumn="0" w:noHBand="0" w:noVBand="1"/>
      </w:tblPr>
      <w:tblGrid>
        <w:gridCol w:w="929"/>
        <w:gridCol w:w="929"/>
        <w:gridCol w:w="929"/>
        <w:gridCol w:w="928"/>
        <w:gridCol w:w="929"/>
        <w:gridCol w:w="929"/>
        <w:gridCol w:w="929"/>
        <w:gridCol w:w="929"/>
        <w:gridCol w:w="929"/>
        <w:gridCol w:w="929"/>
      </w:tblGrid>
      <w:tr w:rsidR="00FB4F46" w:rsidRPr="00153204" w14:paraId="34A03C4A" w14:textId="77777777" w:rsidTr="00A442F1">
        <w:trPr>
          <w:trHeight w:val="371"/>
        </w:trPr>
        <w:tc>
          <w:tcPr>
            <w:tcW w:w="9289" w:type="dxa"/>
            <w:gridSpan w:val="10"/>
            <w:shd w:val="clear" w:color="auto" w:fill="95B3D7" w:themeFill="accent1" w:themeFillTint="99"/>
          </w:tcPr>
          <w:p w14:paraId="34A03C49" w14:textId="77777777" w:rsidR="00FB4F46" w:rsidRPr="00153204" w:rsidRDefault="00FB4F46" w:rsidP="002334A3">
            <w:pPr>
              <w:pStyle w:val="BodyText2"/>
              <w:spacing w:line="360" w:lineRule="auto"/>
              <w:jc w:val="center"/>
              <w:rPr>
                <w:rFonts w:asciiTheme="minorHAnsi" w:hAnsiTheme="minorHAnsi" w:cstheme="minorHAnsi"/>
                <w:b/>
                <w:bCs/>
                <w:sz w:val="22"/>
                <w:szCs w:val="22"/>
                <w:lang w:val="en-GB"/>
              </w:rPr>
            </w:pPr>
            <w:r w:rsidRPr="00153204">
              <w:rPr>
                <w:rFonts w:asciiTheme="minorHAnsi" w:hAnsiTheme="minorHAnsi" w:cstheme="minorHAnsi"/>
                <w:b/>
                <w:bCs/>
                <w:sz w:val="22"/>
                <w:szCs w:val="22"/>
                <w:lang w:val="en-GB"/>
              </w:rPr>
              <w:t>AT&amp;C Loss Trajectory for Tariff Determination (%)</w:t>
            </w:r>
          </w:p>
        </w:tc>
      </w:tr>
      <w:tr w:rsidR="00FB4F46" w:rsidRPr="00153204" w14:paraId="34A03C55" w14:textId="77777777" w:rsidTr="00E34D3B">
        <w:tc>
          <w:tcPr>
            <w:tcW w:w="929" w:type="dxa"/>
          </w:tcPr>
          <w:p w14:paraId="34A03C4B" w14:textId="77777777" w:rsidR="00FB4F46" w:rsidRPr="00153204" w:rsidRDefault="00FB4F46" w:rsidP="002334A3">
            <w:pPr>
              <w:pStyle w:val="BodyText2"/>
              <w:spacing w:line="360" w:lineRule="auto"/>
              <w:jc w:val="both"/>
              <w:rPr>
                <w:rFonts w:asciiTheme="minorHAnsi" w:hAnsiTheme="minorHAnsi" w:cstheme="minorHAnsi"/>
                <w:sz w:val="22"/>
                <w:szCs w:val="22"/>
                <w:lang w:val="en-GB"/>
              </w:rPr>
            </w:pPr>
            <w:r w:rsidRPr="00153204">
              <w:rPr>
                <w:rFonts w:asciiTheme="minorHAnsi" w:hAnsiTheme="minorHAnsi" w:cstheme="minorHAnsi"/>
                <w:sz w:val="22"/>
                <w:szCs w:val="22"/>
                <w:lang w:val="en-GB"/>
              </w:rPr>
              <w:t>FY22</w:t>
            </w:r>
          </w:p>
        </w:tc>
        <w:tc>
          <w:tcPr>
            <w:tcW w:w="929" w:type="dxa"/>
          </w:tcPr>
          <w:p w14:paraId="34A03C4C" w14:textId="77777777" w:rsidR="00FB4F46" w:rsidRPr="00153204" w:rsidRDefault="00FB4F46" w:rsidP="002334A3">
            <w:pPr>
              <w:pStyle w:val="BodyText2"/>
              <w:spacing w:line="360" w:lineRule="auto"/>
              <w:jc w:val="both"/>
              <w:rPr>
                <w:rFonts w:asciiTheme="minorHAnsi" w:hAnsiTheme="minorHAnsi" w:cstheme="minorHAnsi"/>
                <w:sz w:val="22"/>
                <w:szCs w:val="22"/>
                <w:lang w:val="en-GB"/>
              </w:rPr>
            </w:pPr>
            <w:r w:rsidRPr="00153204">
              <w:rPr>
                <w:rFonts w:asciiTheme="minorHAnsi" w:hAnsiTheme="minorHAnsi" w:cstheme="minorHAnsi"/>
                <w:sz w:val="22"/>
                <w:szCs w:val="22"/>
                <w:lang w:val="en-GB"/>
              </w:rPr>
              <w:t>FY23</w:t>
            </w:r>
          </w:p>
        </w:tc>
        <w:tc>
          <w:tcPr>
            <w:tcW w:w="929" w:type="dxa"/>
          </w:tcPr>
          <w:p w14:paraId="34A03C4D" w14:textId="77777777" w:rsidR="00FB4F46" w:rsidRPr="00153204" w:rsidRDefault="00FB4F46" w:rsidP="002334A3">
            <w:pPr>
              <w:pStyle w:val="BodyText2"/>
              <w:spacing w:line="360" w:lineRule="auto"/>
              <w:jc w:val="both"/>
              <w:rPr>
                <w:rFonts w:asciiTheme="minorHAnsi" w:hAnsiTheme="minorHAnsi" w:cstheme="minorHAnsi"/>
                <w:sz w:val="22"/>
                <w:szCs w:val="22"/>
                <w:lang w:val="en-GB"/>
              </w:rPr>
            </w:pPr>
            <w:r w:rsidRPr="00153204">
              <w:rPr>
                <w:rFonts w:asciiTheme="minorHAnsi" w:hAnsiTheme="minorHAnsi" w:cstheme="minorHAnsi"/>
                <w:sz w:val="22"/>
                <w:szCs w:val="22"/>
                <w:lang w:val="en-GB"/>
              </w:rPr>
              <w:t>FY24</w:t>
            </w:r>
          </w:p>
        </w:tc>
        <w:tc>
          <w:tcPr>
            <w:tcW w:w="928" w:type="dxa"/>
          </w:tcPr>
          <w:p w14:paraId="34A03C4E" w14:textId="77777777" w:rsidR="00FB4F46" w:rsidRPr="00153204" w:rsidRDefault="00FB4F46" w:rsidP="002334A3">
            <w:pPr>
              <w:pStyle w:val="BodyText2"/>
              <w:spacing w:line="360" w:lineRule="auto"/>
              <w:jc w:val="both"/>
              <w:rPr>
                <w:rFonts w:asciiTheme="minorHAnsi" w:hAnsiTheme="minorHAnsi" w:cstheme="minorHAnsi"/>
                <w:sz w:val="22"/>
                <w:szCs w:val="22"/>
                <w:lang w:val="en-GB"/>
              </w:rPr>
            </w:pPr>
            <w:r w:rsidRPr="00153204">
              <w:rPr>
                <w:rFonts w:asciiTheme="minorHAnsi" w:hAnsiTheme="minorHAnsi" w:cstheme="minorHAnsi"/>
                <w:sz w:val="22"/>
                <w:szCs w:val="22"/>
                <w:lang w:val="en-GB"/>
              </w:rPr>
              <w:t>FY25</w:t>
            </w:r>
          </w:p>
        </w:tc>
        <w:tc>
          <w:tcPr>
            <w:tcW w:w="929" w:type="dxa"/>
          </w:tcPr>
          <w:p w14:paraId="34A03C4F" w14:textId="77777777" w:rsidR="00FB4F46" w:rsidRPr="00153204" w:rsidRDefault="00FB4F46" w:rsidP="002334A3">
            <w:pPr>
              <w:pStyle w:val="BodyText2"/>
              <w:spacing w:line="360" w:lineRule="auto"/>
              <w:jc w:val="both"/>
              <w:rPr>
                <w:rFonts w:asciiTheme="minorHAnsi" w:hAnsiTheme="minorHAnsi" w:cstheme="minorHAnsi"/>
                <w:sz w:val="22"/>
                <w:szCs w:val="22"/>
                <w:lang w:val="en-GB"/>
              </w:rPr>
            </w:pPr>
            <w:r w:rsidRPr="00153204">
              <w:rPr>
                <w:rFonts w:asciiTheme="minorHAnsi" w:hAnsiTheme="minorHAnsi" w:cstheme="minorHAnsi"/>
                <w:sz w:val="22"/>
                <w:szCs w:val="22"/>
                <w:lang w:val="en-GB"/>
              </w:rPr>
              <w:t>FY26</w:t>
            </w:r>
          </w:p>
        </w:tc>
        <w:tc>
          <w:tcPr>
            <w:tcW w:w="929" w:type="dxa"/>
          </w:tcPr>
          <w:p w14:paraId="34A03C50" w14:textId="77777777" w:rsidR="00FB4F46" w:rsidRPr="00153204" w:rsidRDefault="00FB4F46" w:rsidP="002334A3">
            <w:pPr>
              <w:pStyle w:val="BodyText2"/>
              <w:spacing w:line="360" w:lineRule="auto"/>
              <w:jc w:val="both"/>
              <w:rPr>
                <w:rFonts w:asciiTheme="minorHAnsi" w:hAnsiTheme="minorHAnsi" w:cstheme="minorHAnsi"/>
                <w:sz w:val="22"/>
                <w:szCs w:val="22"/>
                <w:lang w:val="en-GB"/>
              </w:rPr>
            </w:pPr>
            <w:r w:rsidRPr="00153204">
              <w:rPr>
                <w:rFonts w:asciiTheme="minorHAnsi" w:hAnsiTheme="minorHAnsi" w:cstheme="minorHAnsi"/>
                <w:sz w:val="22"/>
                <w:szCs w:val="22"/>
                <w:lang w:val="en-GB"/>
              </w:rPr>
              <w:t>FY27</w:t>
            </w:r>
          </w:p>
        </w:tc>
        <w:tc>
          <w:tcPr>
            <w:tcW w:w="929" w:type="dxa"/>
          </w:tcPr>
          <w:p w14:paraId="34A03C51" w14:textId="77777777" w:rsidR="00FB4F46" w:rsidRPr="00153204" w:rsidRDefault="00FB4F46" w:rsidP="002334A3">
            <w:pPr>
              <w:pStyle w:val="BodyText2"/>
              <w:spacing w:line="360" w:lineRule="auto"/>
              <w:jc w:val="both"/>
              <w:rPr>
                <w:rFonts w:asciiTheme="minorHAnsi" w:hAnsiTheme="minorHAnsi" w:cstheme="minorHAnsi"/>
                <w:sz w:val="22"/>
                <w:szCs w:val="22"/>
                <w:lang w:val="en-GB"/>
              </w:rPr>
            </w:pPr>
            <w:r w:rsidRPr="00153204">
              <w:rPr>
                <w:rFonts w:asciiTheme="minorHAnsi" w:hAnsiTheme="minorHAnsi" w:cstheme="minorHAnsi"/>
                <w:sz w:val="22"/>
                <w:szCs w:val="22"/>
                <w:lang w:val="en-GB"/>
              </w:rPr>
              <w:t>FY28</w:t>
            </w:r>
          </w:p>
        </w:tc>
        <w:tc>
          <w:tcPr>
            <w:tcW w:w="929" w:type="dxa"/>
          </w:tcPr>
          <w:p w14:paraId="34A03C52" w14:textId="77777777" w:rsidR="00FB4F46" w:rsidRPr="00153204" w:rsidRDefault="00FB4F46" w:rsidP="002334A3">
            <w:pPr>
              <w:pStyle w:val="BodyText2"/>
              <w:spacing w:line="360" w:lineRule="auto"/>
              <w:jc w:val="both"/>
              <w:rPr>
                <w:rFonts w:asciiTheme="minorHAnsi" w:hAnsiTheme="minorHAnsi" w:cstheme="minorHAnsi"/>
                <w:sz w:val="22"/>
                <w:szCs w:val="22"/>
                <w:lang w:val="en-GB"/>
              </w:rPr>
            </w:pPr>
            <w:r w:rsidRPr="00153204">
              <w:rPr>
                <w:rFonts w:asciiTheme="minorHAnsi" w:hAnsiTheme="minorHAnsi" w:cstheme="minorHAnsi"/>
                <w:sz w:val="22"/>
                <w:szCs w:val="22"/>
                <w:lang w:val="en-GB"/>
              </w:rPr>
              <w:t>FY29</w:t>
            </w:r>
          </w:p>
        </w:tc>
        <w:tc>
          <w:tcPr>
            <w:tcW w:w="929" w:type="dxa"/>
          </w:tcPr>
          <w:p w14:paraId="34A03C53" w14:textId="77777777" w:rsidR="00FB4F46" w:rsidRPr="00153204" w:rsidRDefault="00FB4F46" w:rsidP="002334A3">
            <w:pPr>
              <w:pStyle w:val="BodyText2"/>
              <w:spacing w:line="360" w:lineRule="auto"/>
              <w:jc w:val="both"/>
              <w:rPr>
                <w:rFonts w:asciiTheme="minorHAnsi" w:hAnsiTheme="minorHAnsi" w:cstheme="minorHAnsi"/>
                <w:sz w:val="22"/>
                <w:szCs w:val="22"/>
                <w:lang w:val="en-GB"/>
              </w:rPr>
            </w:pPr>
            <w:r w:rsidRPr="00153204">
              <w:rPr>
                <w:rFonts w:asciiTheme="minorHAnsi" w:hAnsiTheme="minorHAnsi" w:cstheme="minorHAnsi"/>
                <w:sz w:val="22"/>
                <w:szCs w:val="22"/>
                <w:lang w:val="en-GB"/>
              </w:rPr>
              <w:t>FY30</w:t>
            </w:r>
          </w:p>
        </w:tc>
        <w:tc>
          <w:tcPr>
            <w:tcW w:w="929" w:type="dxa"/>
          </w:tcPr>
          <w:p w14:paraId="34A03C54" w14:textId="77777777" w:rsidR="00FB4F46" w:rsidRPr="00153204" w:rsidRDefault="00FB4F46" w:rsidP="002334A3">
            <w:pPr>
              <w:pStyle w:val="BodyText2"/>
              <w:spacing w:line="360" w:lineRule="auto"/>
              <w:jc w:val="both"/>
              <w:rPr>
                <w:rFonts w:asciiTheme="minorHAnsi" w:hAnsiTheme="minorHAnsi" w:cstheme="minorHAnsi"/>
                <w:sz w:val="22"/>
                <w:szCs w:val="22"/>
                <w:lang w:val="en-GB"/>
              </w:rPr>
            </w:pPr>
            <w:r w:rsidRPr="00153204">
              <w:rPr>
                <w:rFonts w:asciiTheme="minorHAnsi" w:hAnsiTheme="minorHAnsi" w:cstheme="minorHAnsi"/>
                <w:sz w:val="22"/>
                <w:szCs w:val="22"/>
                <w:lang w:val="en-GB"/>
              </w:rPr>
              <w:t>FY31</w:t>
            </w:r>
          </w:p>
        </w:tc>
      </w:tr>
      <w:tr w:rsidR="00FB4F46" w:rsidRPr="00153204" w14:paraId="34A03C60" w14:textId="77777777" w:rsidTr="00E34D3B">
        <w:tc>
          <w:tcPr>
            <w:tcW w:w="929" w:type="dxa"/>
          </w:tcPr>
          <w:p w14:paraId="34A03C56" w14:textId="77777777" w:rsidR="00FB4F46" w:rsidRPr="00153204" w:rsidRDefault="00FB4F46" w:rsidP="002334A3">
            <w:pPr>
              <w:pStyle w:val="BodyText2"/>
              <w:spacing w:line="360" w:lineRule="auto"/>
              <w:jc w:val="both"/>
              <w:rPr>
                <w:rFonts w:asciiTheme="minorHAnsi" w:hAnsiTheme="minorHAnsi" w:cstheme="minorHAnsi"/>
                <w:sz w:val="22"/>
                <w:szCs w:val="22"/>
                <w:lang w:val="en-GB"/>
              </w:rPr>
            </w:pPr>
            <w:r w:rsidRPr="00153204">
              <w:rPr>
                <w:rFonts w:asciiTheme="minorHAnsi" w:hAnsiTheme="minorHAnsi" w:cstheme="minorHAnsi"/>
                <w:sz w:val="22"/>
                <w:szCs w:val="22"/>
                <w:lang w:val="en-GB"/>
              </w:rPr>
              <w:t>19.17</w:t>
            </w:r>
          </w:p>
        </w:tc>
        <w:tc>
          <w:tcPr>
            <w:tcW w:w="929" w:type="dxa"/>
          </w:tcPr>
          <w:p w14:paraId="34A03C57" w14:textId="77777777" w:rsidR="00FB4F46" w:rsidRPr="00153204" w:rsidRDefault="00FB4F46" w:rsidP="002334A3">
            <w:pPr>
              <w:pStyle w:val="BodyText2"/>
              <w:spacing w:line="360" w:lineRule="auto"/>
              <w:jc w:val="both"/>
              <w:rPr>
                <w:rFonts w:asciiTheme="minorHAnsi" w:hAnsiTheme="minorHAnsi" w:cstheme="minorHAnsi"/>
                <w:sz w:val="22"/>
                <w:szCs w:val="22"/>
                <w:lang w:val="en-GB"/>
              </w:rPr>
            </w:pPr>
            <w:r w:rsidRPr="00153204">
              <w:rPr>
                <w:rFonts w:asciiTheme="minorHAnsi" w:hAnsiTheme="minorHAnsi" w:cstheme="minorHAnsi"/>
                <w:sz w:val="22"/>
                <w:szCs w:val="22"/>
                <w:lang w:val="en-GB"/>
              </w:rPr>
              <w:t>19.17</w:t>
            </w:r>
          </w:p>
        </w:tc>
        <w:tc>
          <w:tcPr>
            <w:tcW w:w="929" w:type="dxa"/>
          </w:tcPr>
          <w:p w14:paraId="34A03C58" w14:textId="77777777" w:rsidR="00FB4F46" w:rsidRPr="00153204" w:rsidRDefault="00FB4F46" w:rsidP="002334A3">
            <w:pPr>
              <w:pStyle w:val="BodyText2"/>
              <w:spacing w:line="360" w:lineRule="auto"/>
              <w:jc w:val="both"/>
              <w:rPr>
                <w:rFonts w:asciiTheme="minorHAnsi" w:hAnsiTheme="minorHAnsi" w:cstheme="minorHAnsi"/>
                <w:sz w:val="22"/>
                <w:szCs w:val="22"/>
                <w:lang w:val="en-GB"/>
              </w:rPr>
            </w:pPr>
            <w:r w:rsidRPr="00153204">
              <w:rPr>
                <w:rFonts w:asciiTheme="minorHAnsi" w:hAnsiTheme="minorHAnsi" w:cstheme="minorHAnsi"/>
                <w:sz w:val="22"/>
                <w:szCs w:val="22"/>
                <w:lang w:val="en-GB"/>
              </w:rPr>
              <w:t>17.09</w:t>
            </w:r>
          </w:p>
        </w:tc>
        <w:tc>
          <w:tcPr>
            <w:tcW w:w="928" w:type="dxa"/>
          </w:tcPr>
          <w:p w14:paraId="34A03C59" w14:textId="77777777" w:rsidR="00FB4F46" w:rsidRPr="00153204" w:rsidRDefault="00FB4F46" w:rsidP="002334A3">
            <w:pPr>
              <w:pStyle w:val="BodyText2"/>
              <w:spacing w:line="360" w:lineRule="auto"/>
              <w:jc w:val="both"/>
              <w:rPr>
                <w:rFonts w:asciiTheme="minorHAnsi" w:hAnsiTheme="minorHAnsi" w:cstheme="minorHAnsi"/>
                <w:sz w:val="22"/>
                <w:szCs w:val="22"/>
                <w:lang w:val="en-GB"/>
              </w:rPr>
            </w:pPr>
            <w:r w:rsidRPr="00153204">
              <w:rPr>
                <w:rFonts w:asciiTheme="minorHAnsi" w:hAnsiTheme="minorHAnsi" w:cstheme="minorHAnsi"/>
                <w:sz w:val="22"/>
                <w:szCs w:val="22"/>
                <w:lang w:val="en-GB"/>
              </w:rPr>
              <w:t>15.00</w:t>
            </w:r>
          </w:p>
        </w:tc>
        <w:tc>
          <w:tcPr>
            <w:tcW w:w="929" w:type="dxa"/>
          </w:tcPr>
          <w:p w14:paraId="34A03C5A" w14:textId="77777777" w:rsidR="00FB4F46" w:rsidRPr="00153204" w:rsidRDefault="00FB4F46" w:rsidP="002334A3">
            <w:pPr>
              <w:pStyle w:val="BodyText2"/>
              <w:spacing w:line="360" w:lineRule="auto"/>
              <w:jc w:val="both"/>
              <w:rPr>
                <w:rFonts w:asciiTheme="minorHAnsi" w:hAnsiTheme="minorHAnsi" w:cstheme="minorHAnsi"/>
                <w:sz w:val="22"/>
                <w:szCs w:val="22"/>
                <w:lang w:val="en-GB"/>
              </w:rPr>
            </w:pPr>
            <w:r w:rsidRPr="00153204">
              <w:rPr>
                <w:rFonts w:asciiTheme="minorHAnsi" w:hAnsiTheme="minorHAnsi" w:cstheme="minorHAnsi"/>
                <w:sz w:val="22"/>
                <w:szCs w:val="22"/>
                <w:lang w:val="en-GB"/>
              </w:rPr>
              <w:t>13.83</w:t>
            </w:r>
          </w:p>
        </w:tc>
        <w:tc>
          <w:tcPr>
            <w:tcW w:w="929" w:type="dxa"/>
          </w:tcPr>
          <w:p w14:paraId="34A03C5B" w14:textId="77777777" w:rsidR="00FB4F46" w:rsidRPr="00153204" w:rsidRDefault="00FB4F46" w:rsidP="002334A3">
            <w:pPr>
              <w:pStyle w:val="BodyText2"/>
              <w:spacing w:line="360" w:lineRule="auto"/>
              <w:jc w:val="both"/>
              <w:rPr>
                <w:rFonts w:asciiTheme="minorHAnsi" w:hAnsiTheme="minorHAnsi" w:cstheme="minorHAnsi"/>
                <w:sz w:val="22"/>
                <w:szCs w:val="22"/>
                <w:lang w:val="en-GB"/>
              </w:rPr>
            </w:pPr>
            <w:r w:rsidRPr="00153204">
              <w:rPr>
                <w:rFonts w:asciiTheme="minorHAnsi" w:hAnsiTheme="minorHAnsi" w:cstheme="minorHAnsi"/>
                <w:sz w:val="22"/>
                <w:szCs w:val="22"/>
                <w:lang w:val="en-GB"/>
              </w:rPr>
              <w:t>12.76</w:t>
            </w:r>
          </w:p>
        </w:tc>
        <w:tc>
          <w:tcPr>
            <w:tcW w:w="929" w:type="dxa"/>
          </w:tcPr>
          <w:p w14:paraId="34A03C5C" w14:textId="77777777" w:rsidR="00FB4F46" w:rsidRPr="00153204" w:rsidRDefault="00FB4F46" w:rsidP="002334A3">
            <w:pPr>
              <w:pStyle w:val="BodyText2"/>
              <w:spacing w:line="360" w:lineRule="auto"/>
              <w:jc w:val="both"/>
              <w:rPr>
                <w:rFonts w:asciiTheme="minorHAnsi" w:hAnsiTheme="minorHAnsi" w:cstheme="minorHAnsi"/>
                <w:sz w:val="22"/>
                <w:szCs w:val="22"/>
                <w:lang w:val="en-GB"/>
              </w:rPr>
            </w:pPr>
            <w:r w:rsidRPr="00153204">
              <w:rPr>
                <w:rFonts w:asciiTheme="minorHAnsi" w:hAnsiTheme="minorHAnsi" w:cstheme="minorHAnsi"/>
                <w:sz w:val="22"/>
                <w:szCs w:val="22"/>
                <w:lang w:val="en-GB"/>
              </w:rPr>
              <w:t>11.77</w:t>
            </w:r>
          </w:p>
        </w:tc>
        <w:tc>
          <w:tcPr>
            <w:tcW w:w="929" w:type="dxa"/>
          </w:tcPr>
          <w:p w14:paraId="34A03C5D" w14:textId="77777777" w:rsidR="00FB4F46" w:rsidRPr="00153204" w:rsidRDefault="00FB4F46" w:rsidP="002334A3">
            <w:pPr>
              <w:pStyle w:val="BodyText2"/>
              <w:spacing w:line="360" w:lineRule="auto"/>
              <w:jc w:val="both"/>
              <w:rPr>
                <w:rFonts w:asciiTheme="minorHAnsi" w:hAnsiTheme="minorHAnsi" w:cstheme="minorHAnsi"/>
                <w:sz w:val="22"/>
                <w:szCs w:val="22"/>
                <w:lang w:val="en-GB"/>
              </w:rPr>
            </w:pPr>
            <w:r w:rsidRPr="00153204">
              <w:rPr>
                <w:rFonts w:asciiTheme="minorHAnsi" w:hAnsiTheme="minorHAnsi" w:cstheme="minorHAnsi"/>
                <w:sz w:val="22"/>
                <w:szCs w:val="22"/>
                <w:lang w:val="en-GB"/>
              </w:rPr>
              <w:t>10.85</w:t>
            </w:r>
          </w:p>
        </w:tc>
        <w:tc>
          <w:tcPr>
            <w:tcW w:w="929" w:type="dxa"/>
          </w:tcPr>
          <w:p w14:paraId="34A03C5E" w14:textId="77777777" w:rsidR="00FB4F46" w:rsidRPr="00153204" w:rsidRDefault="00FB4F46" w:rsidP="002334A3">
            <w:pPr>
              <w:pStyle w:val="BodyText2"/>
              <w:spacing w:line="360" w:lineRule="auto"/>
              <w:jc w:val="both"/>
              <w:rPr>
                <w:rFonts w:asciiTheme="minorHAnsi" w:hAnsiTheme="minorHAnsi" w:cstheme="minorHAnsi"/>
                <w:sz w:val="22"/>
                <w:szCs w:val="22"/>
                <w:lang w:val="en-GB"/>
              </w:rPr>
            </w:pPr>
            <w:r w:rsidRPr="00153204">
              <w:rPr>
                <w:rFonts w:asciiTheme="minorHAnsi" w:hAnsiTheme="minorHAnsi" w:cstheme="minorHAnsi"/>
                <w:sz w:val="22"/>
                <w:szCs w:val="22"/>
                <w:lang w:val="en-GB"/>
              </w:rPr>
              <w:t>10.00</w:t>
            </w:r>
          </w:p>
        </w:tc>
        <w:tc>
          <w:tcPr>
            <w:tcW w:w="929" w:type="dxa"/>
          </w:tcPr>
          <w:p w14:paraId="34A03C5F" w14:textId="77777777" w:rsidR="00FB4F46" w:rsidRPr="00153204" w:rsidRDefault="00FB4F46" w:rsidP="002334A3">
            <w:pPr>
              <w:pStyle w:val="BodyText2"/>
              <w:spacing w:line="360" w:lineRule="auto"/>
              <w:jc w:val="both"/>
              <w:rPr>
                <w:rFonts w:asciiTheme="minorHAnsi" w:hAnsiTheme="minorHAnsi" w:cstheme="minorHAnsi"/>
                <w:sz w:val="22"/>
                <w:szCs w:val="22"/>
                <w:lang w:val="en-GB"/>
              </w:rPr>
            </w:pPr>
            <w:r w:rsidRPr="00153204">
              <w:rPr>
                <w:rFonts w:asciiTheme="minorHAnsi" w:hAnsiTheme="minorHAnsi" w:cstheme="minorHAnsi"/>
                <w:sz w:val="22"/>
                <w:szCs w:val="22"/>
                <w:lang w:val="en-GB"/>
              </w:rPr>
              <w:t>9.50</w:t>
            </w:r>
          </w:p>
        </w:tc>
      </w:tr>
    </w:tbl>
    <w:p w14:paraId="6EA1117D" w14:textId="77777777" w:rsidR="00704339" w:rsidRPr="00153204" w:rsidRDefault="00704339" w:rsidP="00BD5055">
      <w:pPr>
        <w:spacing w:line="360" w:lineRule="auto"/>
        <w:ind w:left="567"/>
        <w:jc w:val="both"/>
        <w:rPr>
          <w:rFonts w:asciiTheme="minorHAnsi" w:hAnsiTheme="minorHAnsi" w:cstheme="minorHAnsi"/>
          <w:sz w:val="22"/>
          <w:szCs w:val="22"/>
          <w:lang w:val="en-GB"/>
        </w:rPr>
      </w:pPr>
    </w:p>
    <w:p w14:paraId="34A03C62" w14:textId="23CD4074" w:rsidR="00A564FE" w:rsidRPr="00153204" w:rsidRDefault="00A564FE" w:rsidP="1C7A3D4D">
      <w:pPr>
        <w:spacing w:line="360" w:lineRule="auto"/>
        <w:ind w:left="567"/>
        <w:jc w:val="both"/>
        <w:rPr>
          <w:rFonts w:asciiTheme="minorHAnsi" w:hAnsiTheme="minorHAnsi" w:cstheme="minorBidi"/>
          <w:sz w:val="22"/>
          <w:szCs w:val="22"/>
        </w:rPr>
      </w:pPr>
      <w:r w:rsidRPr="1C7A3D4D">
        <w:rPr>
          <w:rFonts w:asciiTheme="minorHAnsi" w:hAnsiTheme="minorHAnsi" w:cstheme="minorBidi"/>
          <w:sz w:val="22"/>
          <w:szCs w:val="22"/>
        </w:rPr>
        <w:t xml:space="preserve">It is submitted that the Hon'ble Commission has fixed the </w:t>
      </w:r>
      <w:r w:rsidR="002E2DA8" w:rsidRPr="1C7A3D4D">
        <w:rPr>
          <w:rFonts w:asciiTheme="minorHAnsi" w:hAnsiTheme="minorHAnsi" w:cstheme="minorBidi"/>
          <w:sz w:val="22"/>
          <w:szCs w:val="22"/>
        </w:rPr>
        <w:t xml:space="preserve">AT&amp;C loss </w:t>
      </w:r>
      <w:r w:rsidR="003204D8" w:rsidRPr="1C7A3D4D">
        <w:rPr>
          <w:rFonts w:asciiTheme="minorHAnsi" w:hAnsiTheme="minorHAnsi" w:cstheme="minorBidi"/>
          <w:sz w:val="22"/>
          <w:szCs w:val="22"/>
        </w:rPr>
        <w:t>13.83</w:t>
      </w:r>
      <w:r w:rsidRPr="1C7A3D4D">
        <w:rPr>
          <w:rFonts w:asciiTheme="minorHAnsi" w:hAnsiTheme="minorHAnsi" w:cstheme="minorBidi"/>
          <w:sz w:val="22"/>
          <w:szCs w:val="22"/>
        </w:rPr>
        <w:t>% (Normative loss), for the FY</w:t>
      </w:r>
      <w:r w:rsidR="002E2DA8" w:rsidRPr="1C7A3D4D">
        <w:rPr>
          <w:rFonts w:asciiTheme="minorHAnsi" w:hAnsiTheme="minorHAnsi" w:cstheme="minorBidi"/>
          <w:sz w:val="22"/>
          <w:szCs w:val="22"/>
        </w:rPr>
        <w:t>202</w:t>
      </w:r>
      <w:r w:rsidR="003204D8" w:rsidRPr="1C7A3D4D">
        <w:rPr>
          <w:rFonts w:asciiTheme="minorHAnsi" w:hAnsiTheme="minorHAnsi" w:cstheme="minorBidi"/>
          <w:sz w:val="22"/>
          <w:szCs w:val="22"/>
        </w:rPr>
        <w:t>5</w:t>
      </w:r>
      <w:r w:rsidR="002E2DA8" w:rsidRPr="1C7A3D4D">
        <w:rPr>
          <w:rFonts w:asciiTheme="minorHAnsi" w:hAnsiTheme="minorHAnsi" w:cstheme="minorBidi"/>
          <w:sz w:val="22"/>
          <w:szCs w:val="22"/>
        </w:rPr>
        <w:t>-2</w:t>
      </w:r>
      <w:r w:rsidR="003204D8" w:rsidRPr="1C7A3D4D">
        <w:rPr>
          <w:rFonts w:asciiTheme="minorHAnsi" w:hAnsiTheme="minorHAnsi" w:cstheme="minorBidi"/>
          <w:sz w:val="22"/>
          <w:szCs w:val="22"/>
        </w:rPr>
        <w:t>6 for tariff determination</w:t>
      </w:r>
      <w:r w:rsidR="0045749B">
        <w:rPr>
          <w:rFonts w:asciiTheme="minorHAnsi" w:hAnsiTheme="minorHAnsi" w:cstheme="minorBidi"/>
          <w:sz w:val="22"/>
          <w:szCs w:val="22"/>
        </w:rPr>
        <w:t>.</w:t>
      </w:r>
      <w:r w:rsidRPr="1C7A3D4D">
        <w:rPr>
          <w:rFonts w:asciiTheme="minorHAnsi" w:hAnsiTheme="minorHAnsi" w:cstheme="minorBidi"/>
          <w:sz w:val="22"/>
          <w:szCs w:val="22"/>
        </w:rPr>
        <w:t xml:space="preserve"> </w:t>
      </w:r>
    </w:p>
    <w:p w14:paraId="34A03C63" w14:textId="4B1FDD67" w:rsidR="001040DD" w:rsidRPr="00153204" w:rsidRDefault="003A189B" w:rsidP="00BD5055">
      <w:pPr>
        <w:pStyle w:val="Caption"/>
        <w:keepNext/>
        <w:spacing w:line="360" w:lineRule="auto"/>
        <w:ind w:left="567"/>
        <w:jc w:val="both"/>
        <w:rPr>
          <w:rFonts w:asciiTheme="minorHAnsi" w:hAnsiTheme="minorHAnsi" w:cstheme="minorHAnsi"/>
          <w:sz w:val="22"/>
          <w:szCs w:val="22"/>
        </w:rPr>
      </w:pPr>
      <w:r w:rsidRPr="00153204">
        <w:rPr>
          <w:rFonts w:asciiTheme="minorHAnsi" w:hAnsiTheme="minorHAnsi" w:cstheme="minorHAnsi"/>
          <w:sz w:val="22"/>
          <w:szCs w:val="22"/>
        </w:rPr>
        <w:t xml:space="preserve">TPNODL has estimated the power purchase requirement </w:t>
      </w:r>
      <w:r w:rsidR="00E51C31" w:rsidRPr="00153204">
        <w:rPr>
          <w:rFonts w:asciiTheme="minorHAnsi" w:hAnsiTheme="minorHAnsi" w:cstheme="minorHAnsi"/>
          <w:sz w:val="22"/>
          <w:szCs w:val="22"/>
        </w:rPr>
        <w:t>by considering</w:t>
      </w:r>
      <w:r w:rsidRPr="00153204">
        <w:rPr>
          <w:rFonts w:asciiTheme="minorHAnsi" w:hAnsiTheme="minorHAnsi" w:cstheme="minorHAnsi"/>
          <w:sz w:val="22"/>
          <w:szCs w:val="22"/>
        </w:rPr>
        <w:t xml:space="preserve"> the </w:t>
      </w:r>
      <w:r w:rsidR="00E51C31" w:rsidRPr="00153204">
        <w:rPr>
          <w:rFonts w:asciiTheme="minorHAnsi" w:hAnsiTheme="minorHAnsi" w:cstheme="minorHAnsi"/>
          <w:sz w:val="22"/>
          <w:szCs w:val="22"/>
        </w:rPr>
        <w:t>estimated sales</w:t>
      </w:r>
      <w:r w:rsidR="00963124" w:rsidRPr="00153204">
        <w:rPr>
          <w:rFonts w:asciiTheme="minorHAnsi" w:hAnsiTheme="minorHAnsi" w:cstheme="minorHAnsi"/>
          <w:sz w:val="22"/>
          <w:szCs w:val="22"/>
        </w:rPr>
        <w:t xml:space="preserve"> </w:t>
      </w:r>
      <w:r w:rsidR="00E51C31" w:rsidRPr="00153204">
        <w:rPr>
          <w:rFonts w:asciiTheme="minorHAnsi" w:hAnsiTheme="minorHAnsi" w:cstheme="minorHAnsi"/>
          <w:sz w:val="22"/>
          <w:szCs w:val="22"/>
        </w:rPr>
        <w:t>requirement for</w:t>
      </w:r>
      <w:r w:rsidRPr="00153204">
        <w:rPr>
          <w:rFonts w:asciiTheme="minorHAnsi" w:hAnsiTheme="minorHAnsi" w:cstheme="minorHAnsi"/>
          <w:sz w:val="22"/>
          <w:szCs w:val="22"/>
        </w:rPr>
        <w:t xml:space="preserve"> the current financial </w:t>
      </w:r>
      <w:r w:rsidR="009A0919" w:rsidRPr="00153204">
        <w:rPr>
          <w:rFonts w:asciiTheme="minorHAnsi" w:hAnsiTheme="minorHAnsi" w:cstheme="minorHAnsi"/>
          <w:sz w:val="22"/>
          <w:szCs w:val="22"/>
        </w:rPr>
        <w:t>year and</w:t>
      </w:r>
      <w:r w:rsidR="00306100" w:rsidRPr="00153204">
        <w:rPr>
          <w:rFonts w:asciiTheme="minorHAnsi" w:hAnsiTheme="minorHAnsi" w:cstheme="minorHAnsi"/>
          <w:sz w:val="22"/>
          <w:szCs w:val="22"/>
        </w:rPr>
        <w:t xml:space="preserve"> projection for the ensuing year</w:t>
      </w:r>
      <w:r w:rsidR="00963124" w:rsidRPr="00153204">
        <w:rPr>
          <w:rFonts w:asciiTheme="minorHAnsi" w:hAnsiTheme="minorHAnsi" w:cstheme="minorHAnsi"/>
          <w:sz w:val="22"/>
          <w:szCs w:val="22"/>
        </w:rPr>
        <w:t>,</w:t>
      </w:r>
      <w:r w:rsidR="00306100" w:rsidRPr="00153204">
        <w:rPr>
          <w:rFonts w:asciiTheme="minorHAnsi" w:hAnsiTheme="minorHAnsi" w:cstheme="minorHAnsi"/>
          <w:sz w:val="22"/>
          <w:szCs w:val="22"/>
        </w:rPr>
        <w:t xml:space="preserve"> by </w:t>
      </w:r>
      <w:r w:rsidR="009A0919" w:rsidRPr="00153204">
        <w:rPr>
          <w:rFonts w:asciiTheme="minorHAnsi" w:hAnsiTheme="minorHAnsi" w:cstheme="minorHAnsi"/>
          <w:sz w:val="22"/>
          <w:szCs w:val="22"/>
        </w:rPr>
        <w:t>taking the</w:t>
      </w:r>
      <w:r w:rsidR="00306100" w:rsidRPr="00153204">
        <w:rPr>
          <w:rFonts w:asciiTheme="minorHAnsi" w:hAnsiTheme="minorHAnsi" w:cstheme="minorHAnsi"/>
          <w:sz w:val="22"/>
          <w:szCs w:val="22"/>
        </w:rPr>
        <w:t xml:space="preserve"> normative loss level fixed by Hon’ble Commission</w:t>
      </w:r>
      <w:r w:rsidR="002E2DA8" w:rsidRPr="00153204">
        <w:rPr>
          <w:rFonts w:asciiTheme="minorHAnsi" w:hAnsiTheme="minorHAnsi" w:cstheme="minorHAnsi"/>
          <w:sz w:val="22"/>
          <w:szCs w:val="22"/>
        </w:rPr>
        <w:t>.</w:t>
      </w:r>
      <w:r w:rsidRPr="00153204">
        <w:rPr>
          <w:rFonts w:asciiTheme="minorHAnsi" w:hAnsiTheme="minorHAnsi" w:cstheme="minorHAnsi"/>
          <w:sz w:val="22"/>
          <w:szCs w:val="22"/>
        </w:rPr>
        <w:t xml:space="preserve"> </w:t>
      </w:r>
    </w:p>
    <w:p w14:paraId="7381FA7F" w14:textId="07C453AC" w:rsidR="00B47073" w:rsidRPr="00A442F1" w:rsidRDefault="00C17EA1" w:rsidP="00A442F1">
      <w:pPr>
        <w:pStyle w:val="Caption"/>
        <w:keepNext/>
        <w:spacing w:line="360" w:lineRule="auto"/>
        <w:ind w:left="567"/>
        <w:jc w:val="both"/>
        <w:rPr>
          <w:rFonts w:asciiTheme="minorHAnsi" w:hAnsiTheme="minorHAnsi" w:cstheme="minorHAnsi"/>
          <w:sz w:val="22"/>
          <w:szCs w:val="22"/>
        </w:rPr>
      </w:pPr>
      <w:r w:rsidRPr="00153204">
        <w:rPr>
          <w:rFonts w:asciiTheme="minorHAnsi" w:hAnsiTheme="minorHAnsi" w:cstheme="minorHAnsi"/>
          <w:sz w:val="22"/>
          <w:szCs w:val="22"/>
        </w:rPr>
        <w:t>While filing the ARR for the FY 2</w:t>
      </w:r>
      <w:r w:rsidR="00EA0775" w:rsidRPr="00153204">
        <w:rPr>
          <w:rFonts w:asciiTheme="minorHAnsi" w:hAnsiTheme="minorHAnsi" w:cstheme="minorHAnsi"/>
          <w:sz w:val="22"/>
          <w:szCs w:val="22"/>
        </w:rPr>
        <w:t>02</w:t>
      </w:r>
      <w:r w:rsidR="003204D8">
        <w:rPr>
          <w:rFonts w:asciiTheme="minorHAnsi" w:hAnsiTheme="minorHAnsi" w:cstheme="minorHAnsi"/>
          <w:sz w:val="22"/>
          <w:szCs w:val="22"/>
        </w:rPr>
        <w:t>5</w:t>
      </w:r>
      <w:r w:rsidRPr="00153204">
        <w:rPr>
          <w:rFonts w:asciiTheme="minorHAnsi" w:hAnsiTheme="minorHAnsi" w:cstheme="minorHAnsi"/>
          <w:sz w:val="22"/>
          <w:szCs w:val="22"/>
        </w:rPr>
        <w:t>-2</w:t>
      </w:r>
      <w:r w:rsidR="003204D8">
        <w:rPr>
          <w:rFonts w:asciiTheme="minorHAnsi" w:hAnsiTheme="minorHAnsi" w:cstheme="minorHAnsi"/>
          <w:sz w:val="22"/>
          <w:szCs w:val="22"/>
        </w:rPr>
        <w:t>6</w:t>
      </w:r>
      <w:r w:rsidRPr="00153204">
        <w:rPr>
          <w:rFonts w:asciiTheme="minorHAnsi" w:hAnsiTheme="minorHAnsi" w:cstheme="minorHAnsi"/>
          <w:sz w:val="22"/>
          <w:szCs w:val="22"/>
        </w:rPr>
        <w:t>, the Distribution loss and AT&amp;C loss considered in the following manner</w:t>
      </w:r>
      <w:r w:rsidR="00B47073">
        <w:rPr>
          <w:rFonts w:asciiTheme="minorHAnsi" w:hAnsiTheme="minorHAnsi" w:cstheme="minorHAnsi"/>
          <w:sz w:val="22"/>
          <w:szCs w:val="22"/>
        </w:rPr>
        <w:t>.</w:t>
      </w:r>
    </w:p>
    <w:p w14:paraId="5F3C3F03" w14:textId="77777777" w:rsidR="00B47073" w:rsidRPr="00B47073" w:rsidRDefault="00B47073" w:rsidP="00B47073">
      <w:pPr>
        <w:rPr>
          <w:lang w:val="en-GB"/>
        </w:rPr>
      </w:pPr>
    </w:p>
    <w:p w14:paraId="1E4474AD" w14:textId="23DEA271" w:rsidR="00BD5055" w:rsidRDefault="00704339" w:rsidP="00BD5055">
      <w:pPr>
        <w:spacing w:line="360" w:lineRule="auto"/>
        <w:jc w:val="center"/>
        <w:rPr>
          <w:rFonts w:asciiTheme="minorHAnsi" w:hAnsiTheme="minorHAnsi" w:cstheme="minorHAnsi"/>
          <w:b/>
          <w:sz w:val="22"/>
          <w:szCs w:val="22"/>
          <w:lang w:val="en-GB"/>
        </w:rPr>
      </w:pPr>
      <w:r w:rsidRPr="00153204">
        <w:rPr>
          <w:rFonts w:asciiTheme="minorHAnsi" w:hAnsiTheme="minorHAnsi" w:cstheme="minorHAnsi"/>
          <w:b/>
          <w:sz w:val="22"/>
          <w:szCs w:val="22"/>
          <w:lang w:val="en-GB"/>
        </w:rPr>
        <w:t>Table-</w:t>
      </w:r>
      <w:r w:rsidR="00A442F1">
        <w:rPr>
          <w:rFonts w:asciiTheme="minorHAnsi" w:hAnsiTheme="minorHAnsi" w:cstheme="minorHAnsi"/>
          <w:b/>
          <w:sz w:val="22"/>
          <w:szCs w:val="22"/>
          <w:lang w:val="en-GB"/>
        </w:rPr>
        <w:t>9</w:t>
      </w:r>
      <w:r w:rsidR="00BD5055" w:rsidRPr="00153204">
        <w:rPr>
          <w:rFonts w:asciiTheme="minorHAnsi" w:hAnsiTheme="minorHAnsi" w:cstheme="minorHAnsi"/>
          <w:b/>
          <w:sz w:val="22"/>
          <w:szCs w:val="22"/>
          <w:lang w:val="en-GB"/>
        </w:rPr>
        <w:t>: Performance Parameters</w:t>
      </w:r>
    </w:p>
    <w:tbl>
      <w:tblPr>
        <w:tblW w:w="10060" w:type="dxa"/>
        <w:tblLook w:val="04A0" w:firstRow="1" w:lastRow="0" w:firstColumn="1" w:lastColumn="0" w:noHBand="0" w:noVBand="1"/>
      </w:tblPr>
      <w:tblGrid>
        <w:gridCol w:w="800"/>
        <w:gridCol w:w="2597"/>
        <w:gridCol w:w="1560"/>
        <w:gridCol w:w="1701"/>
        <w:gridCol w:w="1662"/>
        <w:gridCol w:w="1740"/>
      </w:tblGrid>
      <w:tr w:rsidR="002F2B8B" w14:paraId="0995C33B" w14:textId="77777777" w:rsidTr="00A442F1">
        <w:trPr>
          <w:trHeight w:val="675"/>
        </w:trPr>
        <w:tc>
          <w:tcPr>
            <w:tcW w:w="800" w:type="dxa"/>
            <w:tcBorders>
              <w:top w:val="single" w:sz="4" w:space="0" w:color="auto"/>
              <w:left w:val="single" w:sz="4" w:space="0" w:color="auto"/>
              <w:bottom w:val="single" w:sz="4" w:space="0" w:color="auto"/>
              <w:right w:val="single" w:sz="4" w:space="0" w:color="auto"/>
            </w:tcBorders>
            <w:shd w:val="clear" w:color="000000" w:fill="8EA9DB"/>
            <w:noWrap/>
            <w:vAlign w:val="center"/>
            <w:hideMark/>
          </w:tcPr>
          <w:p w14:paraId="1695D548" w14:textId="77777777" w:rsidR="002F2B8B" w:rsidRDefault="002F2B8B">
            <w:pPr>
              <w:rPr>
                <w:rFonts w:ascii="Calibri" w:hAnsi="Calibri" w:cs="Calibri"/>
                <w:b/>
                <w:bCs/>
                <w:color w:val="000000"/>
                <w:sz w:val="22"/>
                <w:szCs w:val="22"/>
                <w:lang w:val="en-IN" w:eastAsia="en-IN"/>
              </w:rPr>
            </w:pPr>
            <w:r>
              <w:rPr>
                <w:rFonts w:ascii="Calibri" w:hAnsi="Calibri" w:cs="Calibri"/>
                <w:b/>
                <w:bCs/>
                <w:color w:val="000000"/>
                <w:sz w:val="22"/>
                <w:szCs w:val="22"/>
              </w:rPr>
              <w:t>Sl. No.</w:t>
            </w:r>
          </w:p>
        </w:tc>
        <w:tc>
          <w:tcPr>
            <w:tcW w:w="2597" w:type="dxa"/>
            <w:tcBorders>
              <w:top w:val="single" w:sz="4" w:space="0" w:color="auto"/>
              <w:left w:val="nil"/>
              <w:bottom w:val="nil"/>
              <w:right w:val="single" w:sz="4" w:space="0" w:color="auto"/>
            </w:tcBorders>
            <w:shd w:val="clear" w:color="000000" w:fill="8EA9DB"/>
            <w:vAlign w:val="center"/>
            <w:hideMark/>
          </w:tcPr>
          <w:p w14:paraId="0D23DCD6" w14:textId="77777777" w:rsidR="002F2B8B" w:rsidRDefault="002F2B8B">
            <w:pPr>
              <w:jc w:val="center"/>
              <w:rPr>
                <w:rFonts w:ascii="Calibri" w:hAnsi="Calibri" w:cs="Calibri"/>
                <w:b/>
                <w:bCs/>
                <w:color w:val="000000"/>
                <w:sz w:val="22"/>
                <w:szCs w:val="22"/>
              </w:rPr>
            </w:pPr>
            <w:r>
              <w:rPr>
                <w:rFonts w:ascii="Calibri" w:hAnsi="Calibri" w:cs="Calibri"/>
                <w:b/>
                <w:bCs/>
                <w:color w:val="000000"/>
                <w:sz w:val="22"/>
                <w:szCs w:val="22"/>
              </w:rPr>
              <w:t>Particulars</w:t>
            </w:r>
          </w:p>
        </w:tc>
        <w:tc>
          <w:tcPr>
            <w:tcW w:w="1560" w:type="dxa"/>
            <w:tcBorders>
              <w:top w:val="single" w:sz="4" w:space="0" w:color="auto"/>
              <w:left w:val="nil"/>
              <w:bottom w:val="nil"/>
              <w:right w:val="single" w:sz="4" w:space="0" w:color="auto"/>
            </w:tcBorders>
            <w:shd w:val="clear" w:color="000000" w:fill="8EA9DB"/>
            <w:vAlign w:val="center"/>
            <w:hideMark/>
          </w:tcPr>
          <w:p w14:paraId="3FA43C4A" w14:textId="77777777" w:rsidR="002F2B8B" w:rsidRDefault="002F2B8B">
            <w:pPr>
              <w:jc w:val="center"/>
              <w:rPr>
                <w:rFonts w:ascii="Calibri" w:hAnsi="Calibri" w:cs="Calibri"/>
                <w:b/>
                <w:bCs/>
                <w:color w:val="000000"/>
                <w:sz w:val="22"/>
                <w:szCs w:val="22"/>
              </w:rPr>
            </w:pPr>
            <w:r>
              <w:rPr>
                <w:rFonts w:ascii="Calibri" w:hAnsi="Calibri" w:cs="Calibri"/>
                <w:b/>
                <w:bCs/>
                <w:color w:val="000000"/>
                <w:sz w:val="22"/>
                <w:szCs w:val="22"/>
              </w:rPr>
              <w:t>FY 2023-24</w:t>
            </w:r>
          </w:p>
          <w:p w14:paraId="33DBC1A1" w14:textId="6A69E96A" w:rsidR="00A35DF2" w:rsidRDefault="00A35DF2">
            <w:pPr>
              <w:jc w:val="center"/>
              <w:rPr>
                <w:rFonts w:ascii="Calibri" w:hAnsi="Calibri" w:cs="Calibri"/>
                <w:b/>
                <w:bCs/>
                <w:color w:val="000000"/>
                <w:sz w:val="22"/>
                <w:szCs w:val="22"/>
              </w:rPr>
            </w:pPr>
            <w:r>
              <w:rPr>
                <w:rFonts w:ascii="Calibri" w:hAnsi="Calibri" w:cs="Calibri"/>
                <w:b/>
                <w:bCs/>
                <w:color w:val="000000"/>
                <w:sz w:val="22"/>
                <w:szCs w:val="22"/>
              </w:rPr>
              <w:t>(Actual)</w:t>
            </w:r>
          </w:p>
        </w:tc>
        <w:tc>
          <w:tcPr>
            <w:tcW w:w="1701" w:type="dxa"/>
            <w:tcBorders>
              <w:top w:val="single" w:sz="4" w:space="0" w:color="auto"/>
              <w:left w:val="nil"/>
              <w:bottom w:val="nil"/>
              <w:right w:val="single" w:sz="4" w:space="0" w:color="auto"/>
            </w:tcBorders>
            <w:shd w:val="clear" w:color="000000" w:fill="8EA9DB"/>
            <w:vAlign w:val="center"/>
            <w:hideMark/>
          </w:tcPr>
          <w:p w14:paraId="509EE279" w14:textId="77777777" w:rsidR="002F2B8B" w:rsidRDefault="002F2B8B">
            <w:pPr>
              <w:jc w:val="center"/>
              <w:rPr>
                <w:rFonts w:ascii="Calibri" w:hAnsi="Calibri" w:cs="Calibri"/>
                <w:b/>
                <w:bCs/>
                <w:color w:val="000000"/>
                <w:sz w:val="22"/>
                <w:szCs w:val="22"/>
              </w:rPr>
            </w:pPr>
            <w:r>
              <w:rPr>
                <w:rFonts w:ascii="Calibri" w:hAnsi="Calibri" w:cs="Calibri"/>
                <w:b/>
                <w:bCs/>
                <w:color w:val="000000"/>
                <w:sz w:val="22"/>
                <w:szCs w:val="22"/>
              </w:rPr>
              <w:t>FY 2024-25_H1</w:t>
            </w:r>
          </w:p>
          <w:p w14:paraId="10A006B2" w14:textId="5D77A4FD" w:rsidR="00A35DF2" w:rsidRDefault="00A35DF2">
            <w:pPr>
              <w:jc w:val="center"/>
              <w:rPr>
                <w:rFonts w:ascii="Calibri" w:hAnsi="Calibri" w:cs="Calibri"/>
                <w:b/>
                <w:bCs/>
                <w:color w:val="000000"/>
                <w:sz w:val="22"/>
                <w:szCs w:val="22"/>
              </w:rPr>
            </w:pPr>
            <w:r>
              <w:rPr>
                <w:rFonts w:ascii="Calibri" w:hAnsi="Calibri" w:cs="Calibri"/>
                <w:b/>
                <w:bCs/>
                <w:color w:val="000000"/>
                <w:sz w:val="22"/>
                <w:szCs w:val="22"/>
              </w:rPr>
              <w:t>(Actual)</w:t>
            </w:r>
          </w:p>
        </w:tc>
        <w:tc>
          <w:tcPr>
            <w:tcW w:w="1662" w:type="dxa"/>
            <w:tcBorders>
              <w:top w:val="single" w:sz="4" w:space="0" w:color="auto"/>
              <w:left w:val="nil"/>
              <w:bottom w:val="single" w:sz="4" w:space="0" w:color="auto"/>
              <w:right w:val="single" w:sz="4" w:space="0" w:color="auto"/>
            </w:tcBorders>
            <w:shd w:val="clear" w:color="000000" w:fill="8EA9DB"/>
            <w:vAlign w:val="center"/>
            <w:hideMark/>
          </w:tcPr>
          <w:p w14:paraId="662D9FE5" w14:textId="35F25262" w:rsidR="002F2B8B" w:rsidRDefault="002F2B8B">
            <w:pPr>
              <w:jc w:val="center"/>
              <w:rPr>
                <w:rFonts w:ascii="Calibri" w:hAnsi="Calibri" w:cs="Calibri"/>
                <w:b/>
                <w:bCs/>
                <w:color w:val="000000"/>
                <w:sz w:val="22"/>
                <w:szCs w:val="22"/>
              </w:rPr>
            </w:pPr>
            <w:r>
              <w:rPr>
                <w:rFonts w:ascii="Calibri" w:hAnsi="Calibri" w:cs="Calibri"/>
                <w:b/>
                <w:bCs/>
                <w:color w:val="000000"/>
                <w:sz w:val="22"/>
                <w:szCs w:val="22"/>
              </w:rPr>
              <w:t>FY 2024-25 (</w:t>
            </w:r>
            <w:r w:rsidR="00A442F1">
              <w:rPr>
                <w:rFonts w:ascii="Calibri" w:hAnsi="Calibri" w:cs="Calibri"/>
                <w:b/>
                <w:bCs/>
                <w:color w:val="000000"/>
                <w:sz w:val="22"/>
                <w:szCs w:val="22"/>
              </w:rPr>
              <w:t>Estimated)</w:t>
            </w:r>
            <w:r>
              <w:rPr>
                <w:rFonts w:ascii="Calibri" w:hAnsi="Calibri" w:cs="Calibri"/>
                <w:b/>
                <w:bCs/>
                <w:color w:val="000000"/>
                <w:sz w:val="22"/>
                <w:szCs w:val="22"/>
              </w:rPr>
              <w:t>)</w:t>
            </w:r>
          </w:p>
        </w:tc>
        <w:tc>
          <w:tcPr>
            <w:tcW w:w="1740" w:type="dxa"/>
            <w:tcBorders>
              <w:top w:val="single" w:sz="4" w:space="0" w:color="auto"/>
              <w:left w:val="nil"/>
              <w:bottom w:val="single" w:sz="4" w:space="0" w:color="auto"/>
              <w:right w:val="single" w:sz="4" w:space="0" w:color="auto"/>
            </w:tcBorders>
            <w:shd w:val="clear" w:color="000000" w:fill="8EA9DB"/>
            <w:vAlign w:val="center"/>
            <w:hideMark/>
          </w:tcPr>
          <w:p w14:paraId="7F5C0E19" w14:textId="77777777" w:rsidR="002F2B8B" w:rsidRDefault="002F2B8B">
            <w:pPr>
              <w:jc w:val="center"/>
              <w:rPr>
                <w:rFonts w:ascii="Calibri" w:hAnsi="Calibri" w:cs="Calibri"/>
                <w:b/>
                <w:bCs/>
                <w:color w:val="000000"/>
                <w:sz w:val="22"/>
                <w:szCs w:val="22"/>
              </w:rPr>
            </w:pPr>
            <w:r>
              <w:rPr>
                <w:rFonts w:ascii="Calibri" w:hAnsi="Calibri" w:cs="Calibri"/>
                <w:b/>
                <w:bCs/>
                <w:color w:val="000000"/>
                <w:sz w:val="22"/>
                <w:szCs w:val="22"/>
              </w:rPr>
              <w:t>FY 2025-26 (Projection)</w:t>
            </w:r>
          </w:p>
        </w:tc>
      </w:tr>
      <w:tr w:rsidR="002F2B8B" w14:paraId="01F3E93D" w14:textId="77777777" w:rsidTr="00A442F1">
        <w:trPr>
          <w:trHeight w:val="300"/>
        </w:trPr>
        <w:tc>
          <w:tcPr>
            <w:tcW w:w="800" w:type="dxa"/>
            <w:tcBorders>
              <w:top w:val="nil"/>
              <w:left w:val="single" w:sz="4" w:space="0" w:color="auto"/>
              <w:bottom w:val="single" w:sz="4" w:space="0" w:color="auto"/>
              <w:right w:val="single" w:sz="4" w:space="0" w:color="auto"/>
            </w:tcBorders>
            <w:shd w:val="clear" w:color="auto" w:fill="auto"/>
            <w:noWrap/>
            <w:vAlign w:val="bottom"/>
            <w:hideMark/>
          </w:tcPr>
          <w:p w14:paraId="516F6282" w14:textId="77777777" w:rsidR="002F2B8B" w:rsidRDefault="002F2B8B">
            <w:pPr>
              <w:jc w:val="center"/>
              <w:rPr>
                <w:rFonts w:ascii="Calibri" w:hAnsi="Calibri" w:cs="Calibri"/>
                <w:b/>
                <w:bCs/>
                <w:color w:val="000000"/>
                <w:sz w:val="22"/>
                <w:szCs w:val="22"/>
              </w:rPr>
            </w:pPr>
            <w:r>
              <w:rPr>
                <w:rFonts w:ascii="Calibri" w:hAnsi="Calibri" w:cs="Calibri"/>
                <w:b/>
                <w:bCs/>
                <w:color w:val="000000"/>
                <w:sz w:val="22"/>
                <w:szCs w:val="22"/>
              </w:rPr>
              <w:t>1</w:t>
            </w:r>
          </w:p>
        </w:tc>
        <w:tc>
          <w:tcPr>
            <w:tcW w:w="2597" w:type="dxa"/>
            <w:tcBorders>
              <w:top w:val="single" w:sz="4" w:space="0" w:color="auto"/>
              <w:left w:val="nil"/>
              <w:bottom w:val="single" w:sz="4" w:space="0" w:color="auto"/>
              <w:right w:val="single" w:sz="4" w:space="0" w:color="auto"/>
            </w:tcBorders>
            <w:shd w:val="clear" w:color="auto" w:fill="auto"/>
            <w:noWrap/>
            <w:vAlign w:val="bottom"/>
            <w:hideMark/>
          </w:tcPr>
          <w:p w14:paraId="3922F848" w14:textId="77777777" w:rsidR="002F2B8B" w:rsidRDefault="002F2B8B">
            <w:pPr>
              <w:rPr>
                <w:rFonts w:ascii="Calibri" w:hAnsi="Calibri" w:cs="Calibri"/>
                <w:color w:val="000000"/>
                <w:sz w:val="22"/>
                <w:szCs w:val="22"/>
              </w:rPr>
            </w:pPr>
            <w:r>
              <w:rPr>
                <w:rFonts w:ascii="Calibri" w:hAnsi="Calibri" w:cs="Calibri"/>
                <w:color w:val="000000"/>
                <w:sz w:val="22"/>
                <w:szCs w:val="22"/>
              </w:rPr>
              <w:t>Input (MU)</w:t>
            </w:r>
          </w:p>
        </w:tc>
        <w:tc>
          <w:tcPr>
            <w:tcW w:w="1560" w:type="dxa"/>
            <w:tcBorders>
              <w:top w:val="single" w:sz="4" w:space="0" w:color="auto"/>
              <w:left w:val="nil"/>
              <w:bottom w:val="single" w:sz="4" w:space="0" w:color="auto"/>
              <w:right w:val="single" w:sz="4" w:space="0" w:color="auto"/>
            </w:tcBorders>
            <w:shd w:val="clear" w:color="auto" w:fill="auto"/>
            <w:noWrap/>
            <w:vAlign w:val="bottom"/>
            <w:hideMark/>
          </w:tcPr>
          <w:p w14:paraId="0D9BC0F2" w14:textId="77777777" w:rsidR="002F2B8B" w:rsidRDefault="002F2B8B">
            <w:pPr>
              <w:jc w:val="center"/>
              <w:rPr>
                <w:rFonts w:ascii="Calibri" w:hAnsi="Calibri" w:cs="Calibri"/>
                <w:color w:val="000000"/>
                <w:sz w:val="22"/>
                <w:szCs w:val="22"/>
              </w:rPr>
            </w:pPr>
            <w:r>
              <w:rPr>
                <w:rFonts w:ascii="Calibri" w:hAnsi="Calibri" w:cs="Calibri"/>
                <w:color w:val="000000"/>
                <w:sz w:val="22"/>
                <w:szCs w:val="22"/>
              </w:rPr>
              <w:t>7047.15</w:t>
            </w:r>
          </w:p>
        </w:tc>
        <w:tc>
          <w:tcPr>
            <w:tcW w:w="1701" w:type="dxa"/>
            <w:tcBorders>
              <w:top w:val="single" w:sz="4" w:space="0" w:color="auto"/>
              <w:left w:val="nil"/>
              <w:bottom w:val="single" w:sz="4" w:space="0" w:color="auto"/>
              <w:right w:val="single" w:sz="4" w:space="0" w:color="auto"/>
            </w:tcBorders>
            <w:shd w:val="clear" w:color="auto" w:fill="auto"/>
            <w:noWrap/>
            <w:vAlign w:val="bottom"/>
            <w:hideMark/>
          </w:tcPr>
          <w:p w14:paraId="2B45AEC6" w14:textId="77777777" w:rsidR="002F2B8B" w:rsidRDefault="002F2B8B">
            <w:pPr>
              <w:jc w:val="center"/>
              <w:rPr>
                <w:rFonts w:ascii="Calibri" w:hAnsi="Calibri" w:cs="Calibri"/>
                <w:color w:val="000000"/>
                <w:sz w:val="22"/>
                <w:szCs w:val="22"/>
              </w:rPr>
            </w:pPr>
            <w:r>
              <w:rPr>
                <w:rFonts w:ascii="Calibri" w:hAnsi="Calibri" w:cs="Calibri"/>
                <w:color w:val="000000"/>
                <w:sz w:val="22"/>
                <w:szCs w:val="22"/>
              </w:rPr>
              <w:t>4086.74</w:t>
            </w:r>
          </w:p>
        </w:tc>
        <w:tc>
          <w:tcPr>
            <w:tcW w:w="1662" w:type="dxa"/>
            <w:tcBorders>
              <w:top w:val="nil"/>
              <w:left w:val="nil"/>
              <w:bottom w:val="single" w:sz="4" w:space="0" w:color="auto"/>
              <w:right w:val="single" w:sz="4" w:space="0" w:color="auto"/>
            </w:tcBorders>
            <w:shd w:val="clear" w:color="auto" w:fill="auto"/>
            <w:noWrap/>
            <w:vAlign w:val="bottom"/>
            <w:hideMark/>
          </w:tcPr>
          <w:p w14:paraId="2B4EB7E0" w14:textId="77777777" w:rsidR="002F2B8B" w:rsidRDefault="002F2B8B">
            <w:pPr>
              <w:jc w:val="center"/>
              <w:rPr>
                <w:rFonts w:ascii="Calibri" w:hAnsi="Calibri" w:cs="Calibri"/>
                <w:color w:val="000000"/>
                <w:sz w:val="22"/>
                <w:szCs w:val="22"/>
              </w:rPr>
            </w:pPr>
            <w:r>
              <w:rPr>
                <w:rFonts w:ascii="Calibri" w:hAnsi="Calibri" w:cs="Calibri"/>
                <w:color w:val="000000"/>
                <w:sz w:val="22"/>
                <w:szCs w:val="22"/>
              </w:rPr>
              <w:t>8037.07</w:t>
            </w:r>
          </w:p>
        </w:tc>
        <w:tc>
          <w:tcPr>
            <w:tcW w:w="1740" w:type="dxa"/>
            <w:tcBorders>
              <w:top w:val="nil"/>
              <w:left w:val="nil"/>
              <w:bottom w:val="single" w:sz="4" w:space="0" w:color="auto"/>
              <w:right w:val="single" w:sz="4" w:space="0" w:color="auto"/>
            </w:tcBorders>
            <w:shd w:val="clear" w:color="auto" w:fill="auto"/>
            <w:noWrap/>
            <w:vAlign w:val="bottom"/>
            <w:hideMark/>
          </w:tcPr>
          <w:p w14:paraId="05F0CCF8" w14:textId="77777777" w:rsidR="002F2B8B" w:rsidRDefault="002F2B8B">
            <w:pPr>
              <w:jc w:val="center"/>
              <w:rPr>
                <w:rFonts w:ascii="Calibri" w:hAnsi="Calibri" w:cs="Calibri"/>
                <w:color w:val="000000"/>
                <w:sz w:val="22"/>
                <w:szCs w:val="22"/>
              </w:rPr>
            </w:pPr>
            <w:r>
              <w:rPr>
                <w:rFonts w:ascii="Calibri" w:hAnsi="Calibri" w:cs="Calibri"/>
                <w:color w:val="000000"/>
                <w:sz w:val="22"/>
                <w:szCs w:val="22"/>
              </w:rPr>
              <w:t>8718.78</w:t>
            </w:r>
          </w:p>
        </w:tc>
      </w:tr>
      <w:tr w:rsidR="002F2B8B" w14:paraId="263F1D38" w14:textId="77777777" w:rsidTr="00A442F1">
        <w:trPr>
          <w:trHeight w:val="300"/>
        </w:trPr>
        <w:tc>
          <w:tcPr>
            <w:tcW w:w="800" w:type="dxa"/>
            <w:tcBorders>
              <w:top w:val="nil"/>
              <w:left w:val="single" w:sz="4" w:space="0" w:color="auto"/>
              <w:bottom w:val="single" w:sz="4" w:space="0" w:color="auto"/>
              <w:right w:val="single" w:sz="4" w:space="0" w:color="auto"/>
            </w:tcBorders>
            <w:shd w:val="clear" w:color="auto" w:fill="auto"/>
            <w:noWrap/>
            <w:vAlign w:val="bottom"/>
            <w:hideMark/>
          </w:tcPr>
          <w:p w14:paraId="054783E8" w14:textId="77777777" w:rsidR="002F2B8B" w:rsidRDefault="002F2B8B">
            <w:pPr>
              <w:jc w:val="center"/>
              <w:rPr>
                <w:rFonts w:ascii="Calibri" w:hAnsi="Calibri" w:cs="Calibri"/>
                <w:b/>
                <w:bCs/>
                <w:color w:val="000000"/>
                <w:sz w:val="22"/>
                <w:szCs w:val="22"/>
              </w:rPr>
            </w:pPr>
            <w:r>
              <w:rPr>
                <w:rFonts w:ascii="Calibri" w:hAnsi="Calibri" w:cs="Calibri"/>
                <w:b/>
                <w:bCs/>
                <w:color w:val="000000"/>
                <w:sz w:val="22"/>
                <w:szCs w:val="22"/>
              </w:rPr>
              <w:t>2</w:t>
            </w:r>
          </w:p>
        </w:tc>
        <w:tc>
          <w:tcPr>
            <w:tcW w:w="2597" w:type="dxa"/>
            <w:tcBorders>
              <w:top w:val="nil"/>
              <w:left w:val="nil"/>
              <w:bottom w:val="single" w:sz="4" w:space="0" w:color="auto"/>
              <w:right w:val="single" w:sz="4" w:space="0" w:color="auto"/>
            </w:tcBorders>
            <w:shd w:val="clear" w:color="auto" w:fill="auto"/>
            <w:noWrap/>
            <w:vAlign w:val="bottom"/>
            <w:hideMark/>
          </w:tcPr>
          <w:p w14:paraId="239C1E59" w14:textId="77777777" w:rsidR="002F2B8B" w:rsidRDefault="002F2B8B">
            <w:pPr>
              <w:rPr>
                <w:rFonts w:ascii="Calibri" w:hAnsi="Calibri" w:cs="Calibri"/>
                <w:color w:val="000000"/>
                <w:sz w:val="22"/>
                <w:szCs w:val="22"/>
              </w:rPr>
            </w:pPr>
            <w:r>
              <w:rPr>
                <w:rFonts w:ascii="Calibri" w:hAnsi="Calibri" w:cs="Calibri"/>
                <w:color w:val="000000"/>
                <w:sz w:val="22"/>
                <w:szCs w:val="22"/>
              </w:rPr>
              <w:t>Sales (MU)</w:t>
            </w:r>
          </w:p>
        </w:tc>
        <w:tc>
          <w:tcPr>
            <w:tcW w:w="1560" w:type="dxa"/>
            <w:tcBorders>
              <w:top w:val="nil"/>
              <w:left w:val="nil"/>
              <w:bottom w:val="single" w:sz="4" w:space="0" w:color="auto"/>
              <w:right w:val="single" w:sz="4" w:space="0" w:color="auto"/>
            </w:tcBorders>
            <w:shd w:val="clear" w:color="auto" w:fill="auto"/>
            <w:noWrap/>
            <w:vAlign w:val="bottom"/>
            <w:hideMark/>
          </w:tcPr>
          <w:p w14:paraId="3744F63E" w14:textId="77777777" w:rsidR="002F2B8B" w:rsidRDefault="002F2B8B">
            <w:pPr>
              <w:jc w:val="center"/>
              <w:rPr>
                <w:rFonts w:ascii="Calibri" w:hAnsi="Calibri" w:cs="Calibri"/>
                <w:color w:val="000000"/>
                <w:sz w:val="22"/>
                <w:szCs w:val="22"/>
              </w:rPr>
            </w:pPr>
            <w:r>
              <w:rPr>
                <w:rFonts w:ascii="Calibri" w:hAnsi="Calibri" w:cs="Calibri"/>
                <w:color w:val="000000"/>
                <w:sz w:val="22"/>
                <w:szCs w:val="22"/>
              </w:rPr>
              <w:t>5996.36</w:t>
            </w:r>
          </w:p>
        </w:tc>
        <w:tc>
          <w:tcPr>
            <w:tcW w:w="1701" w:type="dxa"/>
            <w:tcBorders>
              <w:top w:val="nil"/>
              <w:left w:val="nil"/>
              <w:bottom w:val="single" w:sz="4" w:space="0" w:color="auto"/>
              <w:right w:val="single" w:sz="4" w:space="0" w:color="auto"/>
            </w:tcBorders>
            <w:shd w:val="clear" w:color="auto" w:fill="auto"/>
            <w:noWrap/>
            <w:vAlign w:val="bottom"/>
            <w:hideMark/>
          </w:tcPr>
          <w:p w14:paraId="6BA782C6" w14:textId="77777777" w:rsidR="002F2B8B" w:rsidRDefault="002F2B8B">
            <w:pPr>
              <w:jc w:val="center"/>
              <w:rPr>
                <w:rFonts w:ascii="Calibri" w:hAnsi="Calibri" w:cs="Calibri"/>
                <w:color w:val="000000"/>
                <w:sz w:val="22"/>
                <w:szCs w:val="22"/>
              </w:rPr>
            </w:pPr>
            <w:r>
              <w:rPr>
                <w:rFonts w:ascii="Calibri" w:hAnsi="Calibri" w:cs="Calibri"/>
                <w:color w:val="000000"/>
                <w:sz w:val="22"/>
                <w:szCs w:val="22"/>
              </w:rPr>
              <w:t>3529.92</w:t>
            </w:r>
          </w:p>
        </w:tc>
        <w:tc>
          <w:tcPr>
            <w:tcW w:w="1662" w:type="dxa"/>
            <w:tcBorders>
              <w:top w:val="nil"/>
              <w:left w:val="nil"/>
              <w:bottom w:val="single" w:sz="4" w:space="0" w:color="auto"/>
              <w:right w:val="single" w:sz="4" w:space="0" w:color="auto"/>
            </w:tcBorders>
            <w:shd w:val="clear" w:color="auto" w:fill="auto"/>
            <w:noWrap/>
            <w:vAlign w:val="bottom"/>
            <w:hideMark/>
          </w:tcPr>
          <w:p w14:paraId="1450CAC9" w14:textId="77777777" w:rsidR="002F2B8B" w:rsidRDefault="002F2B8B">
            <w:pPr>
              <w:jc w:val="center"/>
              <w:rPr>
                <w:rFonts w:ascii="Calibri" w:hAnsi="Calibri" w:cs="Calibri"/>
                <w:color w:val="000000"/>
                <w:sz w:val="22"/>
                <w:szCs w:val="22"/>
              </w:rPr>
            </w:pPr>
            <w:r>
              <w:rPr>
                <w:rFonts w:ascii="Calibri" w:hAnsi="Calibri" w:cs="Calibri"/>
                <w:color w:val="000000"/>
                <w:sz w:val="22"/>
                <w:szCs w:val="22"/>
              </w:rPr>
              <w:t>6900.63</w:t>
            </w:r>
          </w:p>
        </w:tc>
        <w:tc>
          <w:tcPr>
            <w:tcW w:w="1740" w:type="dxa"/>
            <w:tcBorders>
              <w:top w:val="nil"/>
              <w:left w:val="nil"/>
              <w:bottom w:val="single" w:sz="4" w:space="0" w:color="auto"/>
              <w:right w:val="single" w:sz="4" w:space="0" w:color="auto"/>
            </w:tcBorders>
            <w:shd w:val="clear" w:color="auto" w:fill="auto"/>
            <w:noWrap/>
            <w:vAlign w:val="bottom"/>
            <w:hideMark/>
          </w:tcPr>
          <w:p w14:paraId="7A804760" w14:textId="77777777" w:rsidR="002F2B8B" w:rsidRDefault="002F2B8B">
            <w:pPr>
              <w:jc w:val="center"/>
              <w:rPr>
                <w:rFonts w:ascii="Calibri" w:hAnsi="Calibri" w:cs="Calibri"/>
                <w:color w:val="000000"/>
                <w:sz w:val="22"/>
                <w:szCs w:val="22"/>
              </w:rPr>
            </w:pPr>
            <w:r>
              <w:rPr>
                <w:rFonts w:ascii="Calibri" w:hAnsi="Calibri" w:cs="Calibri"/>
                <w:color w:val="000000"/>
                <w:sz w:val="22"/>
                <w:szCs w:val="22"/>
              </w:rPr>
              <w:t>7588.82</w:t>
            </w:r>
          </w:p>
        </w:tc>
      </w:tr>
      <w:tr w:rsidR="002F2B8B" w14:paraId="37B9A5CF" w14:textId="77777777" w:rsidTr="00A442F1">
        <w:trPr>
          <w:trHeight w:val="300"/>
        </w:trPr>
        <w:tc>
          <w:tcPr>
            <w:tcW w:w="800" w:type="dxa"/>
            <w:tcBorders>
              <w:top w:val="nil"/>
              <w:left w:val="single" w:sz="4" w:space="0" w:color="auto"/>
              <w:bottom w:val="single" w:sz="4" w:space="0" w:color="auto"/>
              <w:right w:val="single" w:sz="4" w:space="0" w:color="auto"/>
            </w:tcBorders>
            <w:shd w:val="clear" w:color="auto" w:fill="auto"/>
            <w:noWrap/>
            <w:vAlign w:val="bottom"/>
            <w:hideMark/>
          </w:tcPr>
          <w:p w14:paraId="5E50C42F" w14:textId="77777777" w:rsidR="002F2B8B" w:rsidRDefault="002F2B8B">
            <w:pPr>
              <w:jc w:val="center"/>
              <w:rPr>
                <w:rFonts w:ascii="Calibri" w:hAnsi="Calibri" w:cs="Calibri"/>
                <w:b/>
                <w:bCs/>
                <w:color w:val="000000"/>
                <w:sz w:val="22"/>
                <w:szCs w:val="22"/>
              </w:rPr>
            </w:pPr>
            <w:r>
              <w:rPr>
                <w:rFonts w:ascii="Calibri" w:hAnsi="Calibri" w:cs="Calibri"/>
                <w:b/>
                <w:bCs/>
                <w:color w:val="000000"/>
                <w:sz w:val="22"/>
                <w:szCs w:val="22"/>
              </w:rPr>
              <w:t>3</w:t>
            </w:r>
          </w:p>
        </w:tc>
        <w:tc>
          <w:tcPr>
            <w:tcW w:w="2597" w:type="dxa"/>
            <w:tcBorders>
              <w:top w:val="nil"/>
              <w:left w:val="nil"/>
              <w:bottom w:val="single" w:sz="4" w:space="0" w:color="auto"/>
              <w:right w:val="single" w:sz="4" w:space="0" w:color="auto"/>
            </w:tcBorders>
            <w:shd w:val="clear" w:color="auto" w:fill="auto"/>
            <w:noWrap/>
            <w:vAlign w:val="bottom"/>
            <w:hideMark/>
          </w:tcPr>
          <w:p w14:paraId="5B832CEB" w14:textId="77777777" w:rsidR="002F2B8B" w:rsidRDefault="002F2B8B">
            <w:pPr>
              <w:rPr>
                <w:rFonts w:ascii="Calibri" w:hAnsi="Calibri" w:cs="Calibri"/>
                <w:color w:val="000000"/>
                <w:sz w:val="22"/>
                <w:szCs w:val="22"/>
              </w:rPr>
            </w:pPr>
            <w:r>
              <w:rPr>
                <w:rFonts w:ascii="Calibri" w:hAnsi="Calibri" w:cs="Calibri"/>
                <w:color w:val="000000"/>
                <w:sz w:val="22"/>
                <w:szCs w:val="22"/>
              </w:rPr>
              <w:t>EHT</w:t>
            </w:r>
          </w:p>
        </w:tc>
        <w:tc>
          <w:tcPr>
            <w:tcW w:w="1560" w:type="dxa"/>
            <w:tcBorders>
              <w:top w:val="nil"/>
              <w:left w:val="nil"/>
              <w:bottom w:val="single" w:sz="4" w:space="0" w:color="auto"/>
              <w:right w:val="single" w:sz="4" w:space="0" w:color="auto"/>
            </w:tcBorders>
            <w:shd w:val="clear" w:color="auto" w:fill="auto"/>
            <w:noWrap/>
            <w:vAlign w:val="bottom"/>
            <w:hideMark/>
          </w:tcPr>
          <w:p w14:paraId="525F1826" w14:textId="77777777" w:rsidR="002F2B8B" w:rsidRDefault="002F2B8B">
            <w:pPr>
              <w:jc w:val="center"/>
              <w:rPr>
                <w:rFonts w:ascii="Calibri" w:hAnsi="Calibri" w:cs="Calibri"/>
                <w:color w:val="000000"/>
                <w:sz w:val="22"/>
                <w:szCs w:val="22"/>
              </w:rPr>
            </w:pPr>
            <w:r>
              <w:rPr>
                <w:rFonts w:ascii="Calibri" w:hAnsi="Calibri" w:cs="Calibri"/>
                <w:color w:val="000000"/>
                <w:sz w:val="22"/>
                <w:szCs w:val="22"/>
              </w:rPr>
              <w:t>3115.17</w:t>
            </w:r>
          </w:p>
        </w:tc>
        <w:tc>
          <w:tcPr>
            <w:tcW w:w="1701" w:type="dxa"/>
            <w:tcBorders>
              <w:top w:val="nil"/>
              <w:left w:val="nil"/>
              <w:bottom w:val="single" w:sz="4" w:space="0" w:color="auto"/>
              <w:right w:val="single" w:sz="4" w:space="0" w:color="auto"/>
            </w:tcBorders>
            <w:shd w:val="clear" w:color="auto" w:fill="auto"/>
            <w:noWrap/>
            <w:vAlign w:val="bottom"/>
            <w:hideMark/>
          </w:tcPr>
          <w:p w14:paraId="252E4F69" w14:textId="77777777" w:rsidR="002F2B8B" w:rsidRDefault="002F2B8B">
            <w:pPr>
              <w:jc w:val="center"/>
              <w:rPr>
                <w:rFonts w:ascii="Calibri" w:hAnsi="Calibri" w:cs="Calibri"/>
                <w:color w:val="000000"/>
                <w:sz w:val="22"/>
                <w:szCs w:val="22"/>
              </w:rPr>
            </w:pPr>
            <w:r>
              <w:rPr>
                <w:rFonts w:ascii="Calibri" w:hAnsi="Calibri" w:cs="Calibri"/>
                <w:color w:val="000000"/>
                <w:sz w:val="22"/>
                <w:szCs w:val="22"/>
              </w:rPr>
              <w:t>1588.98</w:t>
            </w:r>
          </w:p>
        </w:tc>
        <w:tc>
          <w:tcPr>
            <w:tcW w:w="1662" w:type="dxa"/>
            <w:tcBorders>
              <w:top w:val="nil"/>
              <w:left w:val="nil"/>
              <w:bottom w:val="single" w:sz="4" w:space="0" w:color="auto"/>
              <w:right w:val="single" w:sz="4" w:space="0" w:color="auto"/>
            </w:tcBorders>
            <w:shd w:val="clear" w:color="auto" w:fill="auto"/>
            <w:noWrap/>
            <w:vAlign w:val="bottom"/>
            <w:hideMark/>
          </w:tcPr>
          <w:p w14:paraId="7CA92E4E" w14:textId="77777777" w:rsidR="002F2B8B" w:rsidRDefault="002F2B8B">
            <w:pPr>
              <w:jc w:val="center"/>
              <w:rPr>
                <w:rFonts w:ascii="Calibri" w:hAnsi="Calibri" w:cs="Calibri"/>
                <w:color w:val="000000"/>
                <w:sz w:val="22"/>
                <w:szCs w:val="22"/>
              </w:rPr>
            </w:pPr>
            <w:r>
              <w:rPr>
                <w:rFonts w:ascii="Calibri" w:hAnsi="Calibri" w:cs="Calibri"/>
                <w:color w:val="000000"/>
                <w:sz w:val="22"/>
                <w:szCs w:val="22"/>
              </w:rPr>
              <w:t>3353.77</w:t>
            </w:r>
          </w:p>
        </w:tc>
        <w:tc>
          <w:tcPr>
            <w:tcW w:w="1740" w:type="dxa"/>
            <w:tcBorders>
              <w:top w:val="nil"/>
              <w:left w:val="nil"/>
              <w:bottom w:val="single" w:sz="4" w:space="0" w:color="auto"/>
              <w:right w:val="single" w:sz="4" w:space="0" w:color="auto"/>
            </w:tcBorders>
            <w:shd w:val="clear" w:color="auto" w:fill="auto"/>
            <w:noWrap/>
            <w:vAlign w:val="bottom"/>
            <w:hideMark/>
          </w:tcPr>
          <w:p w14:paraId="01626B43" w14:textId="77777777" w:rsidR="002F2B8B" w:rsidRDefault="002F2B8B">
            <w:pPr>
              <w:jc w:val="center"/>
              <w:rPr>
                <w:rFonts w:ascii="Calibri" w:hAnsi="Calibri" w:cs="Calibri"/>
                <w:color w:val="000000"/>
                <w:sz w:val="22"/>
                <w:szCs w:val="22"/>
              </w:rPr>
            </w:pPr>
            <w:r>
              <w:rPr>
                <w:rFonts w:ascii="Calibri" w:hAnsi="Calibri" w:cs="Calibri"/>
                <w:color w:val="000000"/>
                <w:sz w:val="22"/>
                <w:szCs w:val="22"/>
              </w:rPr>
              <w:t>3759.09</w:t>
            </w:r>
          </w:p>
        </w:tc>
      </w:tr>
      <w:tr w:rsidR="002F2B8B" w14:paraId="098874E2" w14:textId="77777777" w:rsidTr="00A442F1">
        <w:trPr>
          <w:trHeight w:val="300"/>
        </w:trPr>
        <w:tc>
          <w:tcPr>
            <w:tcW w:w="800" w:type="dxa"/>
            <w:tcBorders>
              <w:top w:val="nil"/>
              <w:left w:val="single" w:sz="4" w:space="0" w:color="auto"/>
              <w:bottom w:val="single" w:sz="4" w:space="0" w:color="auto"/>
              <w:right w:val="single" w:sz="4" w:space="0" w:color="auto"/>
            </w:tcBorders>
            <w:shd w:val="clear" w:color="auto" w:fill="auto"/>
            <w:noWrap/>
            <w:vAlign w:val="bottom"/>
            <w:hideMark/>
          </w:tcPr>
          <w:p w14:paraId="681AC014" w14:textId="77777777" w:rsidR="002F2B8B" w:rsidRDefault="002F2B8B">
            <w:pPr>
              <w:jc w:val="center"/>
              <w:rPr>
                <w:rFonts w:ascii="Calibri" w:hAnsi="Calibri" w:cs="Calibri"/>
                <w:b/>
                <w:bCs/>
                <w:color w:val="000000"/>
                <w:sz w:val="22"/>
                <w:szCs w:val="22"/>
              </w:rPr>
            </w:pPr>
            <w:r>
              <w:rPr>
                <w:rFonts w:ascii="Calibri" w:hAnsi="Calibri" w:cs="Calibri"/>
                <w:b/>
                <w:bCs/>
                <w:color w:val="000000"/>
                <w:sz w:val="22"/>
                <w:szCs w:val="22"/>
              </w:rPr>
              <w:t>4</w:t>
            </w:r>
          </w:p>
        </w:tc>
        <w:tc>
          <w:tcPr>
            <w:tcW w:w="2597" w:type="dxa"/>
            <w:tcBorders>
              <w:top w:val="nil"/>
              <w:left w:val="nil"/>
              <w:bottom w:val="single" w:sz="4" w:space="0" w:color="auto"/>
              <w:right w:val="single" w:sz="4" w:space="0" w:color="auto"/>
            </w:tcBorders>
            <w:shd w:val="clear" w:color="auto" w:fill="auto"/>
            <w:noWrap/>
            <w:vAlign w:val="bottom"/>
            <w:hideMark/>
          </w:tcPr>
          <w:p w14:paraId="6547A850" w14:textId="77777777" w:rsidR="002F2B8B" w:rsidRDefault="002F2B8B">
            <w:pPr>
              <w:rPr>
                <w:rFonts w:ascii="Calibri" w:hAnsi="Calibri" w:cs="Calibri"/>
                <w:color w:val="000000"/>
                <w:sz w:val="22"/>
                <w:szCs w:val="22"/>
              </w:rPr>
            </w:pPr>
            <w:r>
              <w:rPr>
                <w:rFonts w:ascii="Calibri" w:hAnsi="Calibri" w:cs="Calibri"/>
                <w:color w:val="000000"/>
                <w:sz w:val="22"/>
                <w:szCs w:val="22"/>
              </w:rPr>
              <w:t>HT</w:t>
            </w:r>
          </w:p>
        </w:tc>
        <w:tc>
          <w:tcPr>
            <w:tcW w:w="1560" w:type="dxa"/>
            <w:tcBorders>
              <w:top w:val="nil"/>
              <w:left w:val="nil"/>
              <w:bottom w:val="single" w:sz="4" w:space="0" w:color="auto"/>
              <w:right w:val="single" w:sz="4" w:space="0" w:color="auto"/>
            </w:tcBorders>
            <w:shd w:val="clear" w:color="auto" w:fill="auto"/>
            <w:noWrap/>
            <w:vAlign w:val="bottom"/>
            <w:hideMark/>
          </w:tcPr>
          <w:p w14:paraId="0910F83B" w14:textId="77777777" w:rsidR="002F2B8B" w:rsidRDefault="002F2B8B">
            <w:pPr>
              <w:jc w:val="center"/>
              <w:rPr>
                <w:rFonts w:ascii="Calibri" w:hAnsi="Calibri" w:cs="Calibri"/>
                <w:color w:val="000000"/>
                <w:sz w:val="22"/>
                <w:szCs w:val="22"/>
              </w:rPr>
            </w:pPr>
            <w:r>
              <w:rPr>
                <w:rFonts w:ascii="Calibri" w:hAnsi="Calibri" w:cs="Calibri"/>
                <w:color w:val="000000"/>
                <w:sz w:val="22"/>
                <w:szCs w:val="22"/>
              </w:rPr>
              <w:t>685.81</w:t>
            </w:r>
          </w:p>
        </w:tc>
        <w:tc>
          <w:tcPr>
            <w:tcW w:w="1701" w:type="dxa"/>
            <w:tcBorders>
              <w:top w:val="nil"/>
              <w:left w:val="nil"/>
              <w:bottom w:val="single" w:sz="4" w:space="0" w:color="auto"/>
              <w:right w:val="single" w:sz="4" w:space="0" w:color="auto"/>
            </w:tcBorders>
            <w:shd w:val="clear" w:color="auto" w:fill="auto"/>
            <w:noWrap/>
            <w:vAlign w:val="bottom"/>
            <w:hideMark/>
          </w:tcPr>
          <w:p w14:paraId="6B0FA9E0" w14:textId="77777777" w:rsidR="002F2B8B" w:rsidRDefault="002F2B8B">
            <w:pPr>
              <w:jc w:val="center"/>
              <w:rPr>
                <w:rFonts w:ascii="Calibri" w:hAnsi="Calibri" w:cs="Calibri"/>
                <w:color w:val="000000"/>
                <w:sz w:val="22"/>
                <w:szCs w:val="22"/>
              </w:rPr>
            </w:pPr>
            <w:r>
              <w:rPr>
                <w:rFonts w:ascii="Calibri" w:hAnsi="Calibri" w:cs="Calibri"/>
                <w:color w:val="000000"/>
                <w:sz w:val="22"/>
                <w:szCs w:val="22"/>
              </w:rPr>
              <w:t>417.55</w:t>
            </w:r>
          </w:p>
        </w:tc>
        <w:tc>
          <w:tcPr>
            <w:tcW w:w="1662" w:type="dxa"/>
            <w:tcBorders>
              <w:top w:val="nil"/>
              <w:left w:val="nil"/>
              <w:bottom w:val="single" w:sz="4" w:space="0" w:color="auto"/>
              <w:right w:val="single" w:sz="4" w:space="0" w:color="auto"/>
            </w:tcBorders>
            <w:shd w:val="clear" w:color="auto" w:fill="auto"/>
            <w:noWrap/>
            <w:vAlign w:val="bottom"/>
            <w:hideMark/>
          </w:tcPr>
          <w:p w14:paraId="52F4EA4A" w14:textId="77777777" w:rsidR="002F2B8B" w:rsidRDefault="002F2B8B">
            <w:pPr>
              <w:jc w:val="center"/>
              <w:rPr>
                <w:rFonts w:ascii="Calibri" w:hAnsi="Calibri" w:cs="Calibri"/>
                <w:color w:val="000000"/>
                <w:sz w:val="22"/>
                <w:szCs w:val="22"/>
              </w:rPr>
            </w:pPr>
            <w:r>
              <w:rPr>
                <w:rFonts w:ascii="Calibri" w:hAnsi="Calibri" w:cs="Calibri"/>
                <w:color w:val="000000"/>
                <w:sz w:val="22"/>
                <w:szCs w:val="22"/>
              </w:rPr>
              <w:t>844.13</w:t>
            </w:r>
          </w:p>
        </w:tc>
        <w:tc>
          <w:tcPr>
            <w:tcW w:w="1740" w:type="dxa"/>
            <w:tcBorders>
              <w:top w:val="nil"/>
              <w:left w:val="nil"/>
              <w:bottom w:val="single" w:sz="4" w:space="0" w:color="auto"/>
              <w:right w:val="single" w:sz="4" w:space="0" w:color="auto"/>
            </w:tcBorders>
            <w:shd w:val="clear" w:color="auto" w:fill="auto"/>
            <w:noWrap/>
            <w:vAlign w:val="bottom"/>
            <w:hideMark/>
          </w:tcPr>
          <w:p w14:paraId="18CCF2B9" w14:textId="77777777" w:rsidR="002F2B8B" w:rsidRDefault="002F2B8B">
            <w:pPr>
              <w:jc w:val="center"/>
              <w:rPr>
                <w:rFonts w:ascii="Calibri" w:hAnsi="Calibri" w:cs="Calibri"/>
                <w:color w:val="000000"/>
                <w:sz w:val="22"/>
                <w:szCs w:val="22"/>
              </w:rPr>
            </w:pPr>
            <w:r>
              <w:rPr>
                <w:rFonts w:ascii="Calibri" w:hAnsi="Calibri" w:cs="Calibri"/>
                <w:color w:val="000000"/>
                <w:sz w:val="22"/>
                <w:szCs w:val="22"/>
              </w:rPr>
              <w:t>943.17</w:t>
            </w:r>
          </w:p>
        </w:tc>
      </w:tr>
      <w:tr w:rsidR="002F2B8B" w14:paraId="3D0C82C6" w14:textId="77777777" w:rsidTr="00A442F1">
        <w:trPr>
          <w:trHeight w:val="300"/>
        </w:trPr>
        <w:tc>
          <w:tcPr>
            <w:tcW w:w="800" w:type="dxa"/>
            <w:tcBorders>
              <w:top w:val="nil"/>
              <w:left w:val="single" w:sz="4" w:space="0" w:color="auto"/>
              <w:bottom w:val="single" w:sz="4" w:space="0" w:color="auto"/>
              <w:right w:val="single" w:sz="4" w:space="0" w:color="auto"/>
            </w:tcBorders>
            <w:shd w:val="clear" w:color="auto" w:fill="auto"/>
            <w:noWrap/>
            <w:vAlign w:val="bottom"/>
            <w:hideMark/>
          </w:tcPr>
          <w:p w14:paraId="52F8B520" w14:textId="77777777" w:rsidR="002F2B8B" w:rsidRDefault="002F2B8B">
            <w:pPr>
              <w:jc w:val="center"/>
              <w:rPr>
                <w:rFonts w:ascii="Calibri" w:hAnsi="Calibri" w:cs="Calibri"/>
                <w:b/>
                <w:bCs/>
                <w:color w:val="000000"/>
                <w:sz w:val="22"/>
                <w:szCs w:val="22"/>
              </w:rPr>
            </w:pPr>
            <w:r>
              <w:rPr>
                <w:rFonts w:ascii="Calibri" w:hAnsi="Calibri" w:cs="Calibri"/>
                <w:b/>
                <w:bCs/>
                <w:color w:val="000000"/>
                <w:sz w:val="22"/>
                <w:szCs w:val="22"/>
              </w:rPr>
              <w:t>5</w:t>
            </w:r>
          </w:p>
        </w:tc>
        <w:tc>
          <w:tcPr>
            <w:tcW w:w="2597" w:type="dxa"/>
            <w:tcBorders>
              <w:top w:val="nil"/>
              <w:left w:val="nil"/>
              <w:bottom w:val="single" w:sz="4" w:space="0" w:color="auto"/>
              <w:right w:val="single" w:sz="4" w:space="0" w:color="auto"/>
            </w:tcBorders>
            <w:shd w:val="clear" w:color="auto" w:fill="auto"/>
            <w:noWrap/>
            <w:vAlign w:val="bottom"/>
            <w:hideMark/>
          </w:tcPr>
          <w:p w14:paraId="2A498137" w14:textId="77777777" w:rsidR="002F2B8B" w:rsidRDefault="002F2B8B">
            <w:pPr>
              <w:rPr>
                <w:rFonts w:ascii="Calibri" w:hAnsi="Calibri" w:cs="Calibri"/>
                <w:color w:val="000000"/>
                <w:sz w:val="22"/>
                <w:szCs w:val="22"/>
              </w:rPr>
            </w:pPr>
            <w:r>
              <w:rPr>
                <w:rFonts w:ascii="Calibri" w:hAnsi="Calibri" w:cs="Calibri"/>
                <w:color w:val="000000"/>
                <w:sz w:val="22"/>
                <w:szCs w:val="22"/>
              </w:rPr>
              <w:t>LT</w:t>
            </w:r>
          </w:p>
        </w:tc>
        <w:tc>
          <w:tcPr>
            <w:tcW w:w="1560" w:type="dxa"/>
            <w:tcBorders>
              <w:top w:val="nil"/>
              <w:left w:val="nil"/>
              <w:bottom w:val="single" w:sz="4" w:space="0" w:color="auto"/>
              <w:right w:val="single" w:sz="4" w:space="0" w:color="auto"/>
            </w:tcBorders>
            <w:shd w:val="clear" w:color="auto" w:fill="auto"/>
            <w:noWrap/>
            <w:vAlign w:val="bottom"/>
            <w:hideMark/>
          </w:tcPr>
          <w:p w14:paraId="60EEE6BB" w14:textId="77777777" w:rsidR="002F2B8B" w:rsidRDefault="002F2B8B">
            <w:pPr>
              <w:jc w:val="center"/>
              <w:rPr>
                <w:rFonts w:ascii="Calibri" w:hAnsi="Calibri" w:cs="Calibri"/>
                <w:color w:val="000000"/>
                <w:sz w:val="22"/>
                <w:szCs w:val="22"/>
              </w:rPr>
            </w:pPr>
            <w:r>
              <w:rPr>
                <w:rFonts w:ascii="Calibri" w:hAnsi="Calibri" w:cs="Calibri"/>
                <w:color w:val="000000"/>
                <w:sz w:val="22"/>
                <w:szCs w:val="22"/>
              </w:rPr>
              <w:t>2195.38</w:t>
            </w:r>
          </w:p>
        </w:tc>
        <w:tc>
          <w:tcPr>
            <w:tcW w:w="1701" w:type="dxa"/>
            <w:tcBorders>
              <w:top w:val="nil"/>
              <w:left w:val="nil"/>
              <w:bottom w:val="single" w:sz="4" w:space="0" w:color="auto"/>
              <w:right w:val="single" w:sz="4" w:space="0" w:color="auto"/>
            </w:tcBorders>
            <w:shd w:val="clear" w:color="auto" w:fill="auto"/>
            <w:noWrap/>
            <w:vAlign w:val="bottom"/>
            <w:hideMark/>
          </w:tcPr>
          <w:p w14:paraId="48168646" w14:textId="77777777" w:rsidR="002F2B8B" w:rsidRDefault="002F2B8B">
            <w:pPr>
              <w:jc w:val="center"/>
              <w:rPr>
                <w:rFonts w:ascii="Calibri" w:hAnsi="Calibri" w:cs="Calibri"/>
                <w:color w:val="000000"/>
                <w:sz w:val="22"/>
                <w:szCs w:val="22"/>
              </w:rPr>
            </w:pPr>
            <w:r>
              <w:rPr>
                <w:rFonts w:ascii="Calibri" w:hAnsi="Calibri" w:cs="Calibri"/>
                <w:color w:val="000000"/>
                <w:sz w:val="22"/>
                <w:szCs w:val="22"/>
              </w:rPr>
              <w:t>1523.39</w:t>
            </w:r>
          </w:p>
        </w:tc>
        <w:tc>
          <w:tcPr>
            <w:tcW w:w="1662" w:type="dxa"/>
            <w:tcBorders>
              <w:top w:val="nil"/>
              <w:left w:val="nil"/>
              <w:bottom w:val="single" w:sz="4" w:space="0" w:color="auto"/>
              <w:right w:val="single" w:sz="4" w:space="0" w:color="auto"/>
            </w:tcBorders>
            <w:shd w:val="clear" w:color="auto" w:fill="auto"/>
            <w:noWrap/>
            <w:vAlign w:val="bottom"/>
            <w:hideMark/>
          </w:tcPr>
          <w:p w14:paraId="232A0C50" w14:textId="77777777" w:rsidR="002F2B8B" w:rsidRDefault="002F2B8B">
            <w:pPr>
              <w:jc w:val="center"/>
              <w:rPr>
                <w:rFonts w:ascii="Calibri" w:hAnsi="Calibri" w:cs="Calibri"/>
                <w:color w:val="000000"/>
                <w:sz w:val="22"/>
                <w:szCs w:val="22"/>
              </w:rPr>
            </w:pPr>
            <w:r>
              <w:rPr>
                <w:rFonts w:ascii="Calibri" w:hAnsi="Calibri" w:cs="Calibri"/>
                <w:color w:val="000000"/>
                <w:sz w:val="22"/>
                <w:szCs w:val="22"/>
              </w:rPr>
              <w:t>2702.74</w:t>
            </w:r>
          </w:p>
        </w:tc>
        <w:tc>
          <w:tcPr>
            <w:tcW w:w="1740" w:type="dxa"/>
            <w:tcBorders>
              <w:top w:val="nil"/>
              <w:left w:val="nil"/>
              <w:bottom w:val="single" w:sz="4" w:space="0" w:color="auto"/>
              <w:right w:val="single" w:sz="4" w:space="0" w:color="auto"/>
            </w:tcBorders>
            <w:shd w:val="clear" w:color="auto" w:fill="auto"/>
            <w:noWrap/>
            <w:vAlign w:val="bottom"/>
            <w:hideMark/>
          </w:tcPr>
          <w:p w14:paraId="1F272D95" w14:textId="77777777" w:rsidR="002F2B8B" w:rsidRDefault="002F2B8B">
            <w:pPr>
              <w:jc w:val="center"/>
              <w:rPr>
                <w:rFonts w:ascii="Calibri" w:hAnsi="Calibri" w:cs="Calibri"/>
                <w:color w:val="000000"/>
                <w:sz w:val="22"/>
                <w:szCs w:val="22"/>
              </w:rPr>
            </w:pPr>
            <w:r>
              <w:rPr>
                <w:rFonts w:ascii="Calibri" w:hAnsi="Calibri" w:cs="Calibri"/>
                <w:color w:val="000000"/>
                <w:sz w:val="22"/>
                <w:szCs w:val="22"/>
              </w:rPr>
              <w:t>2886.56</w:t>
            </w:r>
          </w:p>
        </w:tc>
      </w:tr>
      <w:tr w:rsidR="002F2B8B" w14:paraId="70765E18" w14:textId="77777777" w:rsidTr="00A442F1">
        <w:trPr>
          <w:trHeight w:val="300"/>
        </w:trPr>
        <w:tc>
          <w:tcPr>
            <w:tcW w:w="800" w:type="dxa"/>
            <w:tcBorders>
              <w:top w:val="nil"/>
              <w:left w:val="single" w:sz="4" w:space="0" w:color="auto"/>
              <w:bottom w:val="single" w:sz="4" w:space="0" w:color="auto"/>
              <w:right w:val="single" w:sz="4" w:space="0" w:color="auto"/>
            </w:tcBorders>
            <w:shd w:val="clear" w:color="000000" w:fill="8EA9DB"/>
            <w:noWrap/>
            <w:vAlign w:val="bottom"/>
            <w:hideMark/>
          </w:tcPr>
          <w:p w14:paraId="2401B103" w14:textId="77777777" w:rsidR="002F2B8B" w:rsidRDefault="002F2B8B">
            <w:pPr>
              <w:jc w:val="center"/>
              <w:rPr>
                <w:rFonts w:ascii="Calibri" w:hAnsi="Calibri" w:cs="Calibri"/>
                <w:b/>
                <w:bCs/>
                <w:color w:val="000000"/>
                <w:sz w:val="22"/>
                <w:szCs w:val="22"/>
              </w:rPr>
            </w:pPr>
            <w:r>
              <w:rPr>
                <w:rFonts w:ascii="Calibri" w:hAnsi="Calibri" w:cs="Calibri"/>
                <w:b/>
                <w:bCs/>
                <w:color w:val="000000"/>
                <w:sz w:val="22"/>
                <w:szCs w:val="22"/>
              </w:rPr>
              <w:t>6</w:t>
            </w:r>
          </w:p>
        </w:tc>
        <w:tc>
          <w:tcPr>
            <w:tcW w:w="2597" w:type="dxa"/>
            <w:tcBorders>
              <w:top w:val="nil"/>
              <w:left w:val="nil"/>
              <w:bottom w:val="single" w:sz="4" w:space="0" w:color="auto"/>
              <w:right w:val="single" w:sz="4" w:space="0" w:color="auto"/>
            </w:tcBorders>
            <w:shd w:val="clear" w:color="000000" w:fill="8EA9DB"/>
            <w:noWrap/>
            <w:vAlign w:val="bottom"/>
            <w:hideMark/>
          </w:tcPr>
          <w:p w14:paraId="6FF073B6" w14:textId="77777777" w:rsidR="002F2B8B" w:rsidRDefault="002F2B8B">
            <w:pPr>
              <w:rPr>
                <w:rFonts w:ascii="Calibri" w:hAnsi="Calibri" w:cs="Calibri"/>
                <w:b/>
                <w:bCs/>
                <w:color w:val="000000"/>
                <w:sz w:val="22"/>
                <w:szCs w:val="22"/>
              </w:rPr>
            </w:pPr>
            <w:r>
              <w:rPr>
                <w:rFonts w:ascii="Calibri" w:hAnsi="Calibri" w:cs="Calibri"/>
                <w:b/>
                <w:bCs/>
                <w:color w:val="000000"/>
                <w:sz w:val="22"/>
                <w:szCs w:val="22"/>
              </w:rPr>
              <w:t>Total</w:t>
            </w:r>
          </w:p>
        </w:tc>
        <w:tc>
          <w:tcPr>
            <w:tcW w:w="1560" w:type="dxa"/>
            <w:tcBorders>
              <w:top w:val="nil"/>
              <w:left w:val="nil"/>
              <w:bottom w:val="single" w:sz="4" w:space="0" w:color="auto"/>
              <w:right w:val="single" w:sz="4" w:space="0" w:color="auto"/>
            </w:tcBorders>
            <w:shd w:val="clear" w:color="000000" w:fill="8EA9DB"/>
            <w:noWrap/>
            <w:vAlign w:val="bottom"/>
            <w:hideMark/>
          </w:tcPr>
          <w:p w14:paraId="76941316" w14:textId="77777777" w:rsidR="002F2B8B" w:rsidRDefault="002F2B8B">
            <w:pPr>
              <w:jc w:val="center"/>
              <w:rPr>
                <w:rFonts w:ascii="Calibri" w:hAnsi="Calibri" w:cs="Calibri"/>
                <w:b/>
                <w:bCs/>
                <w:color w:val="000000"/>
                <w:sz w:val="22"/>
                <w:szCs w:val="22"/>
              </w:rPr>
            </w:pPr>
            <w:r>
              <w:rPr>
                <w:rFonts w:ascii="Calibri" w:hAnsi="Calibri" w:cs="Calibri"/>
                <w:b/>
                <w:bCs/>
                <w:color w:val="000000"/>
                <w:sz w:val="22"/>
                <w:szCs w:val="22"/>
              </w:rPr>
              <w:t>5996.36</w:t>
            </w:r>
          </w:p>
        </w:tc>
        <w:tc>
          <w:tcPr>
            <w:tcW w:w="1701" w:type="dxa"/>
            <w:tcBorders>
              <w:top w:val="nil"/>
              <w:left w:val="nil"/>
              <w:bottom w:val="single" w:sz="4" w:space="0" w:color="auto"/>
              <w:right w:val="single" w:sz="4" w:space="0" w:color="auto"/>
            </w:tcBorders>
            <w:shd w:val="clear" w:color="000000" w:fill="8EA9DB"/>
            <w:noWrap/>
            <w:vAlign w:val="bottom"/>
            <w:hideMark/>
          </w:tcPr>
          <w:p w14:paraId="29AD2A81" w14:textId="77777777" w:rsidR="002F2B8B" w:rsidRDefault="002F2B8B">
            <w:pPr>
              <w:jc w:val="center"/>
              <w:rPr>
                <w:rFonts w:ascii="Calibri" w:hAnsi="Calibri" w:cs="Calibri"/>
                <w:b/>
                <w:bCs/>
                <w:color w:val="000000"/>
                <w:sz w:val="22"/>
                <w:szCs w:val="22"/>
              </w:rPr>
            </w:pPr>
            <w:r>
              <w:rPr>
                <w:rFonts w:ascii="Calibri" w:hAnsi="Calibri" w:cs="Calibri"/>
                <w:b/>
                <w:bCs/>
                <w:color w:val="000000"/>
                <w:sz w:val="22"/>
                <w:szCs w:val="22"/>
              </w:rPr>
              <w:t>3529.92</w:t>
            </w:r>
          </w:p>
        </w:tc>
        <w:tc>
          <w:tcPr>
            <w:tcW w:w="1662" w:type="dxa"/>
            <w:tcBorders>
              <w:top w:val="nil"/>
              <w:left w:val="nil"/>
              <w:bottom w:val="single" w:sz="4" w:space="0" w:color="auto"/>
              <w:right w:val="single" w:sz="4" w:space="0" w:color="auto"/>
            </w:tcBorders>
            <w:shd w:val="clear" w:color="000000" w:fill="8EA9DB"/>
            <w:noWrap/>
            <w:vAlign w:val="bottom"/>
            <w:hideMark/>
          </w:tcPr>
          <w:p w14:paraId="734465E9" w14:textId="77777777" w:rsidR="002F2B8B" w:rsidRDefault="002F2B8B">
            <w:pPr>
              <w:jc w:val="center"/>
              <w:rPr>
                <w:rFonts w:ascii="Calibri" w:hAnsi="Calibri" w:cs="Calibri"/>
                <w:b/>
                <w:bCs/>
                <w:color w:val="000000"/>
                <w:sz w:val="22"/>
                <w:szCs w:val="22"/>
              </w:rPr>
            </w:pPr>
            <w:r>
              <w:rPr>
                <w:rFonts w:ascii="Calibri" w:hAnsi="Calibri" w:cs="Calibri"/>
                <w:b/>
                <w:bCs/>
                <w:color w:val="000000"/>
                <w:sz w:val="22"/>
                <w:szCs w:val="22"/>
              </w:rPr>
              <w:t>6900.63</w:t>
            </w:r>
          </w:p>
        </w:tc>
        <w:tc>
          <w:tcPr>
            <w:tcW w:w="1740" w:type="dxa"/>
            <w:tcBorders>
              <w:top w:val="nil"/>
              <w:left w:val="nil"/>
              <w:bottom w:val="single" w:sz="4" w:space="0" w:color="auto"/>
              <w:right w:val="single" w:sz="4" w:space="0" w:color="auto"/>
            </w:tcBorders>
            <w:shd w:val="clear" w:color="000000" w:fill="8EA9DB"/>
            <w:noWrap/>
            <w:vAlign w:val="bottom"/>
            <w:hideMark/>
          </w:tcPr>
          <w:p w14:paraId="22068DB0" w14:textId="77777777" w:rsidR="002F2B8B" w:rsidRDefault="002F2B8B">
            <w:pPr>
              <w:jc w:val="center"/>
              <w:rPr>
                <w:rFonts w:ascii="Calibri" w:hAnsi="Calibri" w:cs="Calibri"/>
                <w:b/>
                <w:bCs/>
                <w:color w:val="000000"/>
                <w:sz w:val="22"/>
                <w:szCs w:val="22"/>
              </w:rPr>
            </w:pPr>
            <w:r>
              <w:rPr>
                <w:rFonts w:ascii="Calibri" w:hAnsi="Calibri" w:cs="Calibri"/>
                <w:b/>
                <w:bCs/>
                <w:color w:val="000000"/>
                <w:sz w:val="22"/>
                <w:szCs w:val="22"/>
              </w:rPr>
              <w:t>7588.82</w:t>
            </w:r>
          </w:p>
        </w:tc>
      </w:tr>
      <w:tr w:rsidR="002F2B8B" w14:paraId="75BF81A7" w14:textId="77777777" w:rsidTr="00A442F1">
        <w:trPr>
          <w:trHeight w:val="300"/>
        </w:trPr>
        <w:tc>
          <w:tcPr>
            <w:tcW w:w="800" w:type="dxa"/>
            <w:tcBorders>
              <w:top w:val="nil"/>
              <w:left w:val="single" w:sz="4" w:space="0" w:color="auto"/>
              <w:bottom w:val="single" w:sz="4" w:space="0" w:color="auto"/>
              <w:right w:val="single" w:sz="4" w:space="0" w:color="auto"/>
            </w:tcBorders>
            <w:shd w:val="clear" w:color="auto" w:fill="auto"/>
            <w:noWrap/>
            <w:vAlign w:val="bottom"/>
            <w:hideMark/>
          </w:tcPr>
          <w:p w14:paraId="0804B1AA" w14:textId="77777777" w:rsidR="002F2B8B" w:rsidRDefault="002F2B8B">
            <w:pPr>
              <w:jc w:val="center"/>
              <w:rPr>
                <w:rFonts w:ascii="Calibri" w:hAnsi="Calibri" w:cs="Calibri"/>
                <w:b/>
                <w:bCs/>
                <w:color w:val="000000"/>
                <w:sz w:val="22"/>
                <w:szCs w:val="22"/>
              </w:rPr>
            </w:pPr>
            <w:r>
              <w:rPr>
                <w:rFonts w:ascii="Calibri" w:hAnsi="Calibri" w:cs="Calibri"/>
                <w:b/>
                <w:bCs/>
                <w:color w:val="000000"/>
                <w:sz w:val="22"/>
                <w:szCs w:val="22"/>
              </w:rPr>
              <w:t>7</w:t>
            </w:r>
          </w:p>
        </w:tc>
        <w:tc>
          <w:tcPr>
            <w:tcW w:w="2597" w:type="dxa"/>
            <w:tcBorders>
              <w:top w:val="nil"/>
              <w:left w:val="nil"/>
              <w:bottom w:val="single" w:sz="4" w:space="0" w:color="auto"/>
              <w:right w:val="single" w:sz="4" w:space="0" w:color="auto"/>
            </w:tcBorders>
            <w:shd w:val="clear" w:color="auto" w:fill="auto"/>
            <w:noWrap/>
            <w:vAlign w:val="bottom"/>
            <w:hideMark/>
          </w:tcPr>
          <w:p w14:paraId="37206C73" w14:textId="77777777" w:rsidR="002F2B8B" w:rsidRDefault="002F2B8B">
            <w:pPr>
              <w:rPr>
                <w:rFonts w:ascii="Calibri" w:hAnsi="Calibri" w:cs="Calibri"/>
                <w:b/>
                <w:bCs/>
                <w:color w:val="000000"/>
                <w:sz w:val="22"/>
                <w:szCs w:val="22"/>
              </w:rPr>
            </w:pPr>
            <w:r>
              <w:rPr>
                <w:rFonts w:ascii="Calibri" w:hAnsi="Calibri" w:cs="Calibri"/>
                <w:b/>
                <w:bCs/>
                <w:color w:val="000000"/>
                <w:sz w:val="22"/>
                <w:szCs w:val="22"/>
              </w:rPr>
              <w:t>T&amp;D Loss</w:t>
            </w:r>
          </w:p>
        </w:tc>
        <w:tc>
          <w:tcPr>
            <w:tcW w:w="1560" w:type="dxa"/>
            <w:tcBorders>
              <w:top w:val="nil"/>
              <w:left w:val="nil"/>
              <w:bottom w:val="single" w:sz="4" w:space="0" w:color="auto"/>
              <w:right w:val="single" w:sz="4" w:space="0" w:color="auto"/>
            </w:tcBorders>
            <w:shd w:val="clear" w:color="auto" w:fill="auto"/>
            <w:noWrap/>
            <w:vAlign w:val="bottom"/>
            <w:hideMark/>
          </w:tcPr>
          <w:p w14:paraId="71ED3943" w14:textId="77777777" w:rsidR="002F2B8B" w:rsidRDefault="002F2B8B">
            <w:pPr>
              <w:jc w:val="center"/>
              <w:rPr>
                <w:rFonts w:ascii="Calibri" w:hAnsi="Calibri" w:cs="Calibri"/>
                <w:b/>
                <w:bCs/>
                <w:color w:val="000000"/>
                <w:sz w:val="22"/>
                <w:szCs w:val="22"/>
              </w:rPr>
            </w:pPr>
            <w:r>
              <w:rPr>
                <w:rFonts w:ascii="Calibri" w:hAnsi="Calibri" w:cs="Calibri"/>
                <w:b/>
                <w:bCs/>
                <w:color w:val="000000"/>
                <w:sz w:val="22"/>
                <w:szCs w:val="22"/>
              </w:rPr>
              <w:t>14.91%</w:t>
            </w:r>
          </w:p>
        </w:tc>
        <w:tc>
          <w:tcPr>
            <w:tcW w:w="1701" w:type="dxa"/>
            <w:tcBorders>
              <w:top w:val="nil"/>
              <w:left w:val="nil"/>
              <w:bottom w:val="single" w:sz="4" w:space="0" w:color="auto"/>
              <w:right w:val="single" w:sz="4" w:space="0" w:color="auto"/>
            </w:tcBorders>
            <w:shd w:val="clear" w:color="auto" w:fill="auto"/>
            <w:noWrap/>
            <w:vAlign w:val="bottom"/>
            <w:hideMark/>
          </w:tcPr>
          <w:p w14:paraId="34BAB61A" w14:textId="77777777" w:rsidR="002F2B8B" w:rsidRDefault="002F2B8B">
            <w:pPr>
              <w:jc w:val="center"/>
              <w:rPr>
                <w:rFonts w:ascii="Calibri" w:hAnsi="Calibri" w:cs="Calibri"/>
                <w:b/>
                <w:bCs/>
                <w:color w:val="000000"/>
                <w:sz w:val="22"/>
                <w:szCs w:val="22"/>
              </w:rPr>
            </w:pPr>
            <w:r>
              <w:rPr>
                <w:rFonts w:ascii="Calibri" w:hAnsi="Calibri" w:cs="Calibri"/>
                <w:b/>
                <w:bCs/>
                <w:color w:val="000000"/>
                <w:sz w:val="22"/>
                <w:szCs w:val="22"/>
              </w:rPr>
              <w:t>13.62%</w:t>
            </w:r>
          </w:p>
        </w:tc>
        <w:tc>
          <w:tcPr>
            <w:tcW w:w="1662" w:type="dxa"/>
            <w:tcBorders>
              <w:top w:val="nil"/>
              <w:left w:val="nil"/>
              <w:bottom w:val="single" w:sz="4" w:space="0" w:color="auto"/>
              <w:right w:val="single" w:sz="4" w:space="0" w:color="auto"/>
            </w:tcBorders>
            <w:shd w:val="clear" w:color="auto" w:fill="auto"/>
            <w:noWrap/>
            <w:vAlign w:val="bottom"/>
            <w:hideMark/>
          </w:tcPr>
          <w:p w14:paraId="79E8D989" w14:textId="77777777" w:rsidR="002F2B8B" w:rsidRDefault="002F2B8B">
            <w:pPr>
              <w:jc w:val="center"/>
              <w:rPr>
                <w:rFonts w:ascii="Calibri" w:hAnsi="Calibri" w:cs="Calibri"/>
                <w:b/>
                <w:bCs/>
                <w:color w:val="000000"/>
                <w:sz w:val="22"/>
                <w:szCs w:val="22"/>
              </w:rPr>
            </w:pPr>
            <w:r>
              <w:rPr>
                <w:rFonts w:ascii="Calibri" w:hAnsi="Calibri" w:cs="Calibri"/>
                <w:b/>
                <w:bCs/>
                <w:color w:val="000000"/>
                <w:sz w:val="22"/>
                <w:szCs w:val="22"/>
              </w:rPr>
              <w:t>14.14%</w:t>
            </w:r>
          </w:p>
        </w:tc>
        <w:tc>
          <w:tcPr>
            <w:tcW w:w="1740" w:type="dxa"/>
            <w:tcBorders>
              <w:top w:val="nil"/>
              <w:left w:val="nil"/>
              <w:bottom w:val="single" w:sz="4" w:space="0" w:color="auto"/>
              <w:right w:val="single" w:sz="4" w:space="0" w:color="auto"/>
            </w:tcBorders>
            <w:shd w:val="clear" w:color="auto" w:fill="auto"/>
            <w:noWrap/>
            <w:vAlign w:val="bottom"/>
            <w:hideMark/>
          </w:tcPr>
          <w:p w14:paraId="74EE51A8" w14:textId="77777777" w:rsidR="002F2B8B" w:rsidRDefault="002F2B8B">
            <w:pPr>
              <w:jc w:val="center"/>
              <w:rPr>
                <w:rFonts w:ascii="Calibri" w:hAnsi="Calibri" w:cs="Calibri"/>
                <w:b/>
                <w:bCs/>
                <w:color w:val="000000"/>
                <w:sz w:val="22"/>
                <w:szCs w:val="22"/>
              </w:rPr>
            </w:pPr>
            <w:r>
              <w:rPr>
                <w:rFonts w:ascii="Calibri" w:hAnsi="Calibri" w:cs="Calibri"/>
                <w:b/>
                <w:bCs/>
                <w:color w:val="000000"/>
                <w:sz w:val="22"/>
                <w:szCs w:val="22"/>
              </w:rPr>
              <w:t>12.96%</w:t>
            </w:r>
          </w:p>
        </w:tc>
      </w:tr>
      <w:tr w:rsidR="002F2B8B" w14:paraId="62EC3680" w14:textId="77777777" w:rsidTr="00A442F1">
        <w:trPr>
          <w:trHeight w:val="300"/>
        </w:trPr>
        <w:tc>
          <w:tcPr>
            <w:tcW w:w="800" w:type="dxa"/>
            <w:tcBorders>
              <w:top w:val="nil"/>
              <w:left w:val="single" w:sz="4" w:space="0" w:color="auto"/>
              <w:bottom w:val="single" w:sz="4" w:space="0" w:color="auto"/>
              <w:right w:val="single" w:sz="4" w:space="0" w:color="auto"/>
            </w:tcBorders>
            <w:shd w:val="clear" w:color="auto" w:fill="auto"/>
            <w:noWrap/>
            <w:vAlign w:val="bottom"/>
            <w:hideMark/>
          </w:tcPr>
          <w:p w14:paraId="4EDDEBF6" w14:textId="77777777" w:rsidR="002F2B8B" w:rsidRDefault="002F2B8B">
            <w:pPr>
              <w:jc w:val="center"/>
              <w:rPr>
                <w:rFonts w:ascii="Calibri" w:hAnsi="Calibri" w:cs="Calibri"/>
                <w:b/>
                <w:bCs/>
                <w:color w:val="000000"/>
                <w:sz w:val="22"/>
                <w:szCs w:val="22"/>
              </w:rPr>
            </w:pPr>
            <w:r>
              <w:rPr>
                <w:rFonts w:ascii="Calibri" w:hAnsi="Calibri" w:cs="Calibri"/>
                <w:b/>
                <w:bCs/>
                <w:color w:val="000000"/>
                <w:sz w:val="22"/>
                <w:szCs w:val="22"/>
              </w:rPr>
              <w:t>8</w:t>
            </w:r>
          </w:p>
        </w:tc>
        <w:tc>
          <w:tcPr>
            <w:tcW w:w="2597" w:type="dxa"/>
            <w:tcBorders>
              <w:top w:val="nil"/>
              <w:left w:val="nil"/>
              <w:bottom w:val="single" w:sz="4" w:space="0" w:color="auto"/>
              <w:right w:val="single" w:sz="4" w:space="0" w:color="auto"/>
            </w:tcBorders>
            <w:shd w:val="clear" w:color="auto" w:fill="auto"/>
            <w:noWrap/>
            <w:vAlign w:val="bottom"/>
            <w:hideMark/>
          </w:tcPr>
          <w:p w14:paraId="32B225CB" w14:textId="77777777" w:rsidR="002F2B8B" w:rsidRDefault="002F2B8B">
            <w:pPr>
              <w:rPr>
                <w:rFonts w:ascii="Calibri" w:hAnsi="Calibri" w:cs="Calibri"/>
                <w:b/>
                <w:bCs/>
                <w:color w:val="000000"/>
                <w:sz w:val="22"/>
                <w:szCs w:val="22"/>
              </w:rPr>
            </w:pPr>
            <w:r>
              <w:rPr>
                <w:rFonts w:ascii="Calibri" w:hAnsi="Calibri" w:cs="Calibri"/>
                <w:b/>
                <w:bCs/>
                <w:color w:val="000000"/>
                <w:sz w:val="22"/>
                <w:szCs w:val="22"/>
              </w:rPr>
              <w:t>Collection Efficiency</w:t>
            </w:r>
          </w:p>
        </w:tc>
        <w:tc>
          <w:tcPr>
            <w:tcW w:w="1560" w:type="dxa"/>
            <w:tcBorders>
              <w:top w:val="nil"/>
              <w:left w:val="nil"/>
              <w:bottom w:val="single" w:sz="4" w:space="0" w:color="auto"/>
              <w:right w:val="single" w:sz="4" w:space="0" w:color="auto"/>
            </w:tcBorders>
            <w:shd w:val="clear" w:color="auto" w:fill="auto"/>
            <w:noWrap/>
            <w:vAlign w:val="bottom"/>
            <w:hideMark/>
          </w:tcPr>
          <w:p w14:paraId="7760A606" w14:textId="77777777" w:rsidR="002F2B8B" w:rsidRDefault="002F2B8B">
            <w:pPr>
              <w:jc w:val="center"/>
              <w:rPr>
                <w:rFonts w:ascii="Calibri" w:hAnsi="Calibri" w:cs="Calibri"/>
                <w:b/>
                <w:bCs/>
                <w:color w:val="000000"/>
                <w:sz w:val="22"/>
                <w:szCs w:val="22"/>
              </w:rPr>
            </w:pPr>
            <w:r>
              <w:rPr>
                <w:rFonts w:ascii="Calibri" w:hAnsi="Calibri" w:cs="Calibri"/>
                <w:b/>
                <w:bCs/>
                <w:color w:val="000000"/>
                <w:sz w:val="22"/>
                <w:szCs w:val="22"/>
              </w:rPr>
              <w:t>103.76%</w:t>
            </w:r>
          </w:p>
        </w:tc>
        <w:tc>
          <w:tcPr>
            <w:tcW w:w="1701" w:type="dxa"/>
            <w:tcBorders>
              <w:top w:val="nil"/>
              <w:left w:val="nil"/>
              <w:bottom w:val="single" w:sz="4" w:space="0" w:color="auto"/>
              <w:right w:val="single" w:sz="4" w:space="0" w:color="auto"/>
            </w:tcBorders>
            <w:shd w:val="clear" w:color="auto" w:fill="auto"/>
            <w:noWrap/>
            <w:vAlign w:val="bottom"/>
            <w:hideMark/>
          </w:tcPr>
          <w:p w14:paraId="51CE26BF" w14:textId="77777777" w:rsidR="002F2B8B" w:rsidRDefault="002F2B8B">
            <w:pPr>
              <w:jc w:val="center"/>
              <w:rPr>
                <w:rFonts w:ascii="Calibri" w:hAnsi="Calibri" w:cs="Calibri"/>
                <w:b/>
                <w:bCs/>
                <w:color w:val="000000"/>
                <w:sz w:val="22"/>
                <w:szCs w:val="22"/>
              </w:rPr>
            </w:pPr>
            <w:r>
              <w:rPr>
                <w:rFonts w:ascii="Calibri" w:hAnsi="Calibri" w:cs="Calibri"/>
                <w:b/>
                <w:bCs/>
                <w:color w:val="000000"/>
                <w:sz w:val="22"/>
                <w:szCs w:val="22"/>
              </w:rPr>
              <w:t>96.61%</w:t>
            </w:r>
          </w:p>
        </w:tc>
        <w:tc>
          <w:tcPr>
            <w:tcW w:w="1662" w:type="dxa"/>
            <w:tcBorders>
              <w:top w:val="nil"/>
              <w:left w:val="nil"/>
              <w:bottom w:val="single" w:sz="4" w:space="0" w:color="auto"/>
              <w:right w:val="single" w:sz="4" w:space="0" w:color="auto"/>
            </w:tcBorders>
            <w:shd w:val="clear" w:color="auto" w:fill="auto"/>
            <w:noWrap/>
            <w:vAlign w:val="bottom"/>
            <w:hideMark/>
          </w:tcPr>
          <w:p w14:paraId="6CB13CE2" w14:textId="77777777" w:rsidR="002F2B8B" w:rsidRDefault="002F2B8B">
            <w:pPr>
              <w:jc w:val="center"/>
              <w:rPr>
                <w:rFonts w:ascii="Calibri" w:hAnsi="Calibri" w:cs="Calibri"/>
                <w:b/>
                <w:bCs/>
                <w:color w:val="000000"/>
                <w:sz w:val="22"/>
                <w:szCs w:val="22"/>
              </w:rPr>
            </w:pPr>
            <w:r>
              <w:rPr>
                <w:rFonts w:ascii="Calibri" w:hAnsi="Calibri" w:cs="Calibri"/>
                <w:b/>
                <w:bCs/>
                <w:color w:val="000000"/>
                <w:sz w:val="22"/>
                <w:szCs w:val="22"/>
              </w:rPr>
              <w:t>99.00%</w:t>
            </w:r>
          </w:p>
        </w:tc>
        <w:tc>
          <w:tcPr>
            <w:tcW w:w="1740" w:type="dxa"/>
            <w:tcBorders>
              <w:top w:val="nil"/>
              <w:left w:val="nil"/>
              <w:bottom w:val="single" w:sz="4" w:space="0" w:color="auto"/>
              <w:right w:val="single" w:sz="4" w:space="0" w:color="auto"/>
            </w:tcBorders>
            <w:shd w:val="clear" w:color="auto" w:fill="auto"/>
            <w:noWrap/>
            <w:vAlign w:val="bottom"/>
            <w:hideMark/>
          </w:tcPr>
          <w:p w14:paraId="66799F96" w14:textId="77777777" w:rsidR="002F2B8B" w:rsidRDefault="002F2B8B">
            <w:pPr>
              <w:jc w:val="center"/>
              <w:rPr>
                <w:rFonts w:ascii="Calibri" w:hAnsi="Calibri" w:cs="Calibri"/>
                <w:b/>
                <w:bCs/>
                <w:color w:val="000000"/>
                <w:sz w:val="22"/>
                <w:szCs w:val="22"/>
              </w:rPr>
            </w:pPr>
            <w:r>
              <w:rPr>
                <w:rFonts w:ascii="Calibri" w:hAnsi="Calibri" w:cs="Calibri"/>
                <w:b/>
                <w:bCs/>
                <w:color w:val="000000"/>
                <w:sz w:val="22"/>
                <w:szCs w:val="22"/>
              </w:rPr>
              <w:t>99.00%</w:t>
            </w:r>
          </w:p>
        </w:tc>
      </w:tr>
      <w:tr w:rsidR="002F2B8B" w14:paraId="137A5264" w14:textId="77777777" w:rsidTr="00A442F1">
        <w:trPr>
          <w:trHeight w:val="300"/>
        </w:trPr>
        <w:tc>
          <w:tcPr>
            <w:tcW w:w="800" w:type="dxa"/>
            <w:tcBorders>
              <w:top w:val="nil"/>
              <w:left w:val="single" w:sz="4" w:space="0" w:color="auto"/>
              <w:bottom w:val="single" w:sz="4" w:space="0" w:color="auto"/>
              <w:right w:val="single" w:sz="4" w:space="0" w:color="auto"/>
            </w:tcBorders>
            <w:shd w:val="clear" w:color="auto" w:fill="auto"/>
            <w:noWrap/>
            <w:vAlign w:val="bottom"/>
            <w:hideMark/>
          </w:tcPr>
          <w:p w14:paraId="1AF3B3C1" w14:textId="77777777" w:rsidR="002F2B8B" w:rsidRDefault="002F2B8B">
            <w:pPr>
              <w:jc w:val="center"/>
              <w:rPr>
                <w:rFonts w:ascii="Calibri" w:hAnsi="Calibri" w:cs="Calibri"/>
                <w:b/>
                <w:bCs/>
                <w:color w:val="000000"/>
                <w:sz w:val="22"/>
                <w:szCs w:val="22"/>
              </w:rPr>
            </w:pPr>
            <w:r>
              <w:rPr>
                <w:rFonts w:ascii="Calibri" w:hAnsi="Calibri" w:cs="Calibri"/>
                <w:b/>
                <w:bCs/>
                <w:color w:val="000000"/>
                <w:sz w:val="22"/>
                <w:szCs w:val="22"/>
              </w:rPr>
              <w:t>9</w:t>
            </w:r>
          </w:p>
        </w:tc>
        <w:tc>
          <w:tcPr>
            <w:tcW w:w="2597" w:type="dxa"/>
            <w:tcBorders>
              <w:top w:val="nil"/>
              <w:left w:val="nil"/>
              <w:bottom w:val="single" w:sz="4" w:space="0" w:color="auto"/>
              <w:right w:val="single" w:sz="4" w:space="0" w:color="auto"/>
            </w:tcBorders>
            <w:shd w:val="clear" w:color="auto" w:fill="auto"/>
            <w:noWrap/>
            <w:vAlign w:val="center"/>
            <w:hideMark/>
          </w:tcPr>
          <w:p w14:paraId="1243B222" w14:textId="77777777" w:rsidR="002F2B8B" w:rsidRDefault="002F2B8B">
            <w:pPr>
              <w:rPr>
                <w:rFonts w:ascii="Calibri" w:hAnsi="Calibri" w:cs="Calibri"/>
                <w:b/>
                <w:bCs/>
                <w:color w:val="000000"/>
                <w:sz w:val="22"/>
                <w:szCs w:val="22"/>
              </w:rPr>
            </w:pPr>
            <w:r>
              <w:rPr>
                <w:rFonts w:ascii="Calibri" w:hAnsi="Calibri" w:cs="Calibri"/>
                <w:b/>
                <w:bCs/>
                <w:color w:val="000000"/>
                <w:sz w:val="22"/>
                <w:szCs w:val="22"/>
              </w:rPr>
              <w:t>AT &amp; C Loss</w:t>
            </w:r>
          </w:p>
        </w:tc>
        <w:tc>
          <w:tcPr>
            <w:tcW w:w="1560" w:type="dxa"/>
            <w:tcBorders>
              <w:top w:val="nil"/>
              <w:left w:val="nil"/>
              <w:bottom w:val="single" w:sz="4" w:space="0" w:color="auto"/>
              <w:right w:val="single" w:sz="4" w:space="0" w:color="auto"/>
            </w:tcBorders>
            <w:shd w:val="clear" w:color="auto" w:fill="auto"/>
            <w:noWrap/>
            <w:vAlign w:val="center"/>
            <w:hideMark/>
          </w:tcPr>
          <w:p w14:paraId="4A156C9C" w14:textId="77777777" w:rsidR="002F2B8B" w:rsidRDefault="002F2B8B">
            <w:pPr>
              <w:jc w:val="center"/>
              <w:rPr>
                <w:rFonts w:ascii="Calibri" w:hAnsi="Calibri" w:cs="Calibri"/>
                <w:b/>
                <w:bCs/>
                <w:color w:val="000000"/>
                <w:sz w:val="22"/>
                <w:szCs w:val="22"/>
              </w:rPr>
            </w:pPr>
            <w:r>
              <w:rPr>
                <w:rFonts w:ascii="Calibri" w:hAnsi="Calibri" w:cs="Calibri"/>
                <w:b/>
                <w:bCs/>
                <w:color w:val="000000"/>
                <w:sz w:val="22"/>
                <w:szCs w:val="22"/>
              </w:rPr>
              <w:t>11.71%</w:t>
            </w:r>
          </w:p>
        </w:tc>
        <w:tc>
          <w:tcPr>
            <w:tcW w:w="1701" w:type="dxa"/>
            <w:tcBorders>
              <w:top w:val="nil"/>
              <w:left w:val="nil"/>
              <w:bottom w:val="single" w:sz="4" w:space="0" w:color="auto"/>
              <w:right w:val="single" w:sz="4" w:space="0" w:color="auto"/>
            </w:tcBorders>
            <w:shd w:val="clear" w:color="auto" w:fill="auto"/>
            <w:noWrap/>
            <w:vAlign w:val="center"/>
            <w:hideMark/>
          </w:tcPr>
          <w:p w14:paraId="32F48798" w14:textId="77777777" w:rsidR="002F2B8B" w:rsidRDefault="002F2B8B">
            <w:pPr>
              <w:jc w:val="center"/>
              <w:rPr>
                <w:rFonts w:ascii="Calibri" w:hAnsi="Calibri" w:cs="Calibri"/>
                <w:b/>
                <w:bCs/>
                <w:color w:val="000000"/>
                <w:sz w:val="22"/>
                <w:szCs w:val="22"/>
              </w:rPr>
            </w:pPr>
            <w:r>
              <w:rPr>
                <w:rFonts w:ascii="Calibri" w:hAnsi="Calibri" w:cs="Calibri"/>
                <w:b/>
                <w:bCs/>
                <w:color w:val="000000"/>
                <w:sz w:val="22"/>
                <w:szCs w:val="22"/>
              </w:rPr>
              <w:t>16.55%</w:t>
            </w:r>
          </w:p>
        </w:tc>
        <w:tc>
          <w:tcPr>
            <w:tcW w:w="1662" w:type="dxa"/>
            <w:tcBorders>
              <w:top w:val="nil"/>
              <w:left w:val="nil"/>
              <w:bottom w:val="single" w:sz="4" w:space="0" w:color="auto"/>
              <w:right w:val="single" w:sz="4" w:space="0" w:color="auto"/>
            </w:tcBorders>
            <w:shd w:val="clear" w:color="auto" w:fill="auto"/>
            <w:noWrap/>
            <w:vAlign w:val="center"/>
            <w:hideMark/>
          </w:tcPr>
          <w:p w14:paraId="6A02B3C6" w14:textId="77777777" w:rsidR="002F2B8B" w:rsidRDefault="002F2B8B">
            <w:pPr>
              <w:jc w:val="center"/>
              <w:rPr>
                <w:rFonts w:ascii="Calibri" w:hAnsi="Calibri" w:cs="Calibri"/>
                <w:b/>
                <w:bCs/>
                <w:color w:val="000000"/>
                <w:sz w:val="22"/>
                <w:szCs w:val="22"/>
              </w:rPr>
            </w:pPr>
            <w:r>
              <w:rPr>
                <w:rFonts w:ascii="Calibri" w:hAnsi="Calibri" w:cs="Calibri"/>
                <w:b/>
                <w:bCs/>
                <w:color w:val="000000"/>
                <w:sz w:val="22"/>
                <w:szCs w:val="22"/>
              </w:rPr>
              <w:t>15.00%</w:t>
            </w:r>
          </w:p>
        </w:tc>
        <w:tc>
          <w:tcPr>
            <w:tcW w:w="1740" w:type="dxa"/>
            <w:tcBorders>
              <w:top w:val="nil"/>
              <w:left w:val="nil"/>
              <w:bottom w:val="single" w:sz="4" w:space="0" w:color="auto"/>
              <w:right w:val="single" w:sz="4" w:space="0" w:color="auto"/>
            </w:tcBorders>
            <w:shd w:val="clear" w:color="auto" w:fill="auto"/>
            <w:noWrap/>
            <w:vAlign w:val="center"/>
            <w:hideMark/>
          </w:tcPr>
          <w:p w14:paraId="04B79FCE" w14:textId="77777777" w:rsidR="002F2B8B" w:rsidRDefault="002F2B8B">
            <w:pPr>
              <w:jc w:val="center"/>
              <w:rPr>
                <w:rFonts w:ascii="Calibri" w:hAnsi="Calibri" w:cs="Calibri"/>
                <w:b/>
                <w:bCs/>
                <w:color w:val="000000"/>
                <w:sz w:val="22"/>
                <w:szCs w:val="22"/>
              </w:rPr>
            </w:pPr>
            <w:r>
              <w:rPr>
                <w:rFonts w:ascii="Calibri" w:hAnsi="Calibri" w:cs="Calibri"/>
                <w:b/>
                <w:bCs/>
                <w:color w:val="000000"/>
                <w:sz w:val="22"/>
                <w:szCs w:val="22"/>
              </w:rPr>
              <w:t>13.83%</w:t>
            </w:r>
          </w:p>
        </w:tc>
      </w:tr>
    </w:tbl>
    <w:p w14:paraId="3B789A7D" w14:textId="1F535FDE" w:rsidR="002F2B8B" w:rsidRDefault="002F2B8B" w:rsidP="00BD5055">
      <w:pPr>
        <w:spacing w:line="360" w:lineRule="auto"/>
        <w:jc w:val="center"/>
        <w:rPr>
          <w:rFonts w:asciiTheme="minorHAnsi" w:hAnsiTheme="minorHAnsi" w:cstheme="minorHAnsi"/>
          <w:b/>
          <w:sz w:val="22"/>
          <w:szCs w:val="22"/>
          <w:lang w:val="en-GB"/>
        </w:rPr>
      </w:pPr>
    </w:p>
    <w:p w14:paraId="34A03C86" w14:textId="32BCA9B7" w:rsidR="001040DD" w:rsidRPr="00153204" w:rsidRDefault="00AA4DA9" w:rsidP="002334A3">
      <w:pPr>
        <w:pStyle w:val="Caption"/>
        <w:keepNext/>
        <w:spacing w:line="360" w:lineRule="auto"/>
        <w:ind w:left="567"/>
        <w:jc w:val="both"/>
        <w:rPr>
          <w:rFonts w:asciiTheme="minorHAnsi" w:hAnsiTheme="minorHAnsi" w:cstheme="minorHAnsi"/>
          <w:sz w:val="22"/>
          <w:szCs w:val="22"/>
        </w:rPr>
      </w:pPr>
      <w:r w:rsidRPr="00153204">
        <w:rPr>
          <w:rFonts w:asciiTheme="minorHAnsi" w:hAnsiTheme="minorHAnsi" w:cstheme="minorHAnsi"/>
          <w:noProof/>
          <w:sz w:val="22"/>
          <w:szCs w:val="22"/>
          <w:lang w:val="en-IN" w:eastAsia="en-IN"/>
        </w:rPr>
        <w:lastRenderedPageBreak/>
        <mc:AlternateContent>
          <mc:Choice Requires="wps">
            <w:drawing>
              <wp:anchor distT="0" distB="0" distL="114300" distR="114300" simplePos="0" relativeHeight="251947520" behindDoc="1" locked="0" layoutInCell="1" allowOverlap="1" wp14:anchorId="6926F207" wp14:editId="18810849">
                <wp:simplePos x="0" y="0"/>
                <wp:positionH relativeFrom="margin">
                  <wp:posOffset>337185</wp:posOffset>
                </wp:positionH>
                <wp:positionV relativeFrom="paragraph">
                  <wp:posOffset>833120</wp:posOffset>
                </wp:positionV>
                <wp:extent cx="5611495" cy="314960"/>
                <wp:effectExtent l="0" t="0" r="27305" b="27940"/>
                <wp:wrapSquare wrapText="bothSides"/>
                <wp:docPr id="7" name="Rectangle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611495" cy="314960"/>
                        </a:xfrm>
                        <a:prstGeom prst="rect">
                          <a:avLst/>
                        </a:prstGeom>
                        <a:solidFill>
                          <a:srgbClr val="1F497D">
                            <a:lumMod val="20000"/>
                            <a:lumOff val="80000"/>
                          </a:srgbClr>
                        </a:solidFill>
                        <a:ln w="9525">
                          <a:solidFill>
                            <a:srgbClr val="000000"/>
                          </a:solidFill>
                          <a:miter lim="800000"/>
                          <a:headEnd/>
                          <a:tailEnd/>
                        </a:ln>
                      </wps:spPr>
                      <wps:txbx>
                        <w:txbxContent>
                          <w:p w14:paraId="5A683668" w14:textId="2C879354" w:rsidR="00535B24" w:rsidRPr="00E560A3" w:rsidRDefault="00535B24" w:rsidP="00AA4DA9">
                            <w:pPr>
                              <w:rPr>
                                <w:rFonts w:asciiTheme="minorHAnsi" w:hAnsiTheme="minorHAnsi" w:cstheme="minorHAnsi"/>
                                <w:b/>
                                <w:sz w:val="28"/>
                                <w:szCs w:val="28"/>
                                <w:lang w:val="en-IN"/>
                              </w:rPr>
                            </w:pPr>
                            <w:r w:rsidRPr="00E560A3">
                              <w:rPr>
                                <w:rFonts w:asciiTheme="minorHAnsi" w:hAnsiTheme="minorHAnsi" w:cstheme="minorHAnsi"/>
                                <w:b/>
                                <w:sz w:val="28"/>
                                <w:szCs w:val="28"/>
                                <w:lang w:val="en-IN"/>
                              </w:rPr>
                              <w:t>2</w:t>
                            </w:r>
                            <w:r>
                              <w:rPr>
                                <w:rFonts w:asciiTheme="minorHAnsi" w:hAnsiTheme="minorHAnsi" w:cstheme="minorHAnsi"/>
                                <w:b/>
                                <w:sz w:val="28"/>
                                <w:szCs w:val="28"/>
                                <w:lang w:val="en-IN"/>
                              </w:rPr>
                              <w:t>.3 Cost of Power Purchase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926F207" id="_x0000_s1030" style="position:absolute;left:0;text-align:left;margin-left:26.55pt;margin-top:65.6pt;width:441.85pt;height:24.8pt;z-index:-25136896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" fillcolor="#c6d9f1">
                <v:textbox>
                  <w:txbxContent>
                    <w:p w14:paraId="5A683668" w14:textId="2C879354" w:rsidR="00535B24" w:rsidRPr="00E560A3" w:rsidRDefault="00535B24" w:rsidP="00AA4DA9">
                      <w:pPr>
                        <w:rPr>
                          <w:rFonts w:asciiTheme="minorHAnsi" w:hAnsiTheme="minorHAnsi" w:cstheme="minorHAnsi"/>
                          <w:b/>
                          <w:sz w:val="28"/>
                          <w:szCs w:val="28"/>
                          <w:lang w:val="en-IN"/>
                        </w:rPr>
                      </w:pPr>
                      <w:r w:rsidRPr="00E560A3">
                        <w:rPr>
                          <w:rFonts w:asciiTheme="minorHAnsi" w:hAnsiTheme="minorHAnsi" w:cstheme="minorHAnsi"/>
                          <w:b/>
                          <w:sz w:val="28"/>
                          <w:szCs w:val="28"/>
                          <w:lang w:val="en-IN"/>
                        </w:rPr>
                        <w:t>2</w:t>
                      </w:r>
                      <w:r>
                        <w:rPr>
                          <w:rFonts w:asciiTheme="minorHAnsi" w:hAnsiTheme="minorHAnsi" w:cstheme="minorHAnsi"/>
                          <w:b/>
                          <w:sz w:val="28"/>
                          <w:szCs w:val="28"/>
                          <w:lang w:val="en-IN"/>
                        </w:rPr>
                        <w:t>.3 Cost of Power Purchase</w:t>
                      </w:r>
                    </w:p>
                  </w:txbxContent>
                </v:textbox>
                <w10:wrap type="square" anchorx="margin"/>
              </v:rect>
            </w:pict>
          </mc:Fallback>
        </mc:AlternateContent>
      </w:r>
      <w:r w:rsidR="003A189B" w:rsidRPr="00153204">
        <w:rPr>
          <w:rFonts w:asciiTheme="minorHAnsi" w:hAnsiTheme="minorHAnsi" w:cstheme="minorHAnsi"/>
          <w:sz w:val="22"/>
          <w:szCs w:val="22"/>
        </w:rPr>
        <w:t>The power purchase as estimated for the current</w:t>
      </w:r>
      <w:r w:rsidR="00306100" w:rsidRPr="00153204">
        <w:rPr>
          <w:rFonts w:asciiTheme="minorHAnsi" w:hAnsiTheme="minorHAnsi" w:cstheme="minorHAnsi"/>
          <w:sz w:val="22"/>
          <w:szCs w:val="22"/>
        </w:rPr>
        <w:t xml:space="preserve"> year will be </w:t>
      </w:r>
      <w:r w:rsidR="002F2B8B">
        <w:rPr>
          <w:rFonts w:asciiTheme="minorHAnsi" w:hAnsiTheme="minorHAnsi" w:cstheme="minorHAnsi"/>
          <w:sz w:val="22"/>
          <w:szCs w:val="22"/>
        </w:rPr>
        <w:t>8037.07</w:t>
      </w:r>
      <w:proofErr w:type="gramStart"/>
      <w:r w:rsidR="002F2B8B">
        <w:rPr>
          <w:rFonts w:asciiTheme="minorHAnsi" w:hAnsiTheme="minorHAnsi" w:cstheme="minorHAnsi"/>
          <w:sz w:val="22"/>
          <w:szCs w:val="22"/>
        </w:rPr>
        <w:t xml:space="preserve">MU </w:t>
      </w:r>
      <w:r w:rsidR="00670075" w:rsidRPr="00153204">
        <w:rPr>
          <w:rFonts w:asciiTheme="minorHAnsi" w:hAnsiTheme="minorHAnsi" w:cstheme="minorHAnsi"/>
          <w:sz w:val="22"/>
          <w:szCs w:val="22"/>
        </w:rPr>
        <w:t xml:space="preserve"> whereas</w:t>
      </w:r>
      <w:proofErr w:type="gramEnd"/>
      <w:r w:rsidR="00670075" w:rsidRPr="00153204">
        <w:rPr>
          <w:rFonts w:asciiTheme="minorHAnsi" w:hAnsiTheme="minorHAnsi" w:cstheme="minorHAnsi"/>
          <w:sz w:val="22"/>
          <w:szCs w:val="22"/>
        </w:rPr>
        <w:t>,</w:t>
      </w:r>
      <w:r w:rsidR="00306100" w:rsidRPr="00153204">
        <w:rPr>
          <w:rFonts w:asciiTheme="minorHAnsi" w:hAnsiTheme="minorHAnsi" w:cstheme="minorHAnsi"/>
          <w:sz w:val="22"/>
          <w:szCs w:val="22"/>
        </w:rPr>
        <w:t xml:space="preserve"> in the ensuing FY , the requirement will be </w:t>
      </w:r>
      <w:r w:rsidR="002F2B8B">
        <w:rPr>
          <w:rFonts w:asciiTheme="minorHAnsi" w:hAnsiTheme="minorHAnsi" w:cstheme="minorHAnsi"/>
          <w:sz w:val="22"/>
          <w:szCs w:val="22"/>
        </w:rPr>
        <w:t>8718.78</w:t>
      </w:r>
      <w:r w:rsidR="00855F28" w:rsidRPr="00153204">
        <w:rPr>
          <w:rFonts w:asciiTheme="minorHAnsi" w:hAnsiTheme="minorHAnsi" w:cstheme="minorHAnsi"/>
          <w:b/>
          <w:bCs/>
          <w:color w:val="000000"/>
          <w:sz w:val="22"/>
          <w:szCs w:val="22"/>
        </w:rPr>
        <w:t xml:space="preserve"> </w:t>
      </w:r>
      <w:r w:rsidR="00D26BDC" w:rsidRPr="00153204">
        <w:rPr>
          <w:rFonts w:asciiTheme="minorHAnsi" w:hAnsiTheme="minorHAnsi" w:cstheme="minorHAnsi"/>
          <w:sz w:val="22"/>
          <w:szCs w:val="22"/>
        </w:rPr>
        <w:t>MU</w:t>
      </w:r>
      <w:r w:rsidR="0033224E" w:rsidRPr="00153204">
        <w:rPr>
          <w:rFonts w:asciiTheme="minorHAnsi" w:hAnsiTheme="minorHAnsi" w:cstheme="minorHAnsi"/>
          <w:sz w:val="22"/>
          <w:szCs w:val="22"/>
        </w:rPr>
        <w:t>.</w:t>
      </w:r>
    </w:p>
    <w:p w14:paraId="42DB7925" w14:textId="51E8D75C" w:rsidR="00AA4DA9" w:rsidRPr="00153204" w:rsidRDefault="00AA4DA9" w:rsidP="002334A3">
      <w:pPr>
        <w:autoSpaceDE w:val="0"/>
        <w:autoSpaceDN w:val="0"/>
        <w:adjustRightInd w:val="0"/>
        <w:spacing w:line="360" w:lineRule="auto"/>
        <w:ind w:left="567"/>
        <w:jc w:val="both"/>
        <w:rPr>
          <w:rFonts w:asciiTheme="minorHAnsi" w:hAnsiTheme="minorHAnsi" w:cstheme="minorHAnsi"/>
          <w:b/>
          <w:bCs/>
          <w:sz w:val="22"/>
          <w:szCs w:val="22"/>
          <w:lang w:eastAsia="en-IN" w:bidi="or-IN"/>
        </w:rPr>
      </w:pPr>
    </w:p>
    <w:p w14:paraId="34A03C88" w14:textId="5D80F624" w:rsidR="00530F0D" w:rsidRPr="00153204" w:rsidRDefault="00530F0D" w:rsidP="002334A3">
      <w:pPr>
        <w:pStyle w:val="BodyText2"/>
        <w:spacing w:line="360" w:lineRule="auto"/>
        <w:ind w:left="567"/>
        <w:jc w:val="both"/>
        <w:rPr>
          <w:rFonts w:asciiTheme="minorHAnsi" w:hAnsiTheme="minorHAnsi" w:cstheme="minorHAnsi"/>
          <w:color w:val="FF0000"/>
          <w:sz w:val="22"/>
          <w:szCs w:val="22"/>
          <w:lang w:val="en-GB"/>
        </w:rPr>
      </w:pPr>
      <w:r w:rsidRPr="00153204">
        <w:rPr>
          <w:rFonts w:asciiTheme="minorHAnsi" w:hAnsiTheme="minorHAnsi" w:cstheme="minorHAnsi"/>
          <w:sz w:val="22"/>
          <w:szCs w:val="22"/>
          <w:lang w:val="en-GB"/>
        </w:rPr>
        <w:t xml:space="preserve">The power purchase expenses have been derived from the </w:t>
      </w:r>
      <w:r w:rsidR="00086BCA" w:rsidRPr="00153204">
        <w:rPr>
          <w:rFonts w:asciiTheme="minorHAnsi" w:hAnsiTheme="minorHAnsi" w:cstheme="minorHAnsi"/>
          <w:sz w:val="22"/>
          <w:szCs w:val="22"/>
          <w:lang w:val="en-GB"/>
        </w:rPr>
        <w:t>estimated input basing on the sales estimate</w:t>
      </w:r>
      <w:r w:rsidRPr="00153204">
        <w:rPr>
          <w:rFonts w:asciiTheme="minorHAnsi" w:hAnsiTheme="minorHAnsi" w:cstheme="minorHAnsi"/>
          <w:sz w:val="22"/>
          <w:szCs w:val="22"/>
          <w:lang w:val="en-GB"/>
        </w:rPr>
        <w:t xml:space="preserve"> and the</w:t>
      </w:r>
      <w:r w:rsidR="00086BCA" w:rsidRPr="00153204">
        <w:rPr>
          <w:rFonts w:asciiTheme="minorHAnsi" w:hAnsiTheme="minorHAnsi" w:cstheme="minorHAnsi"/>
          <w:sz w:val="22"/>
          <w:szCs w:val="22"/>
          <w:lang w:val="en-GB"/>
        </w:rPr>
        <w:t xml:space="preserve"> targeted </w:t>
      </w:r>
      <w:r w:rsidRPr="00153204">
        <w:rPr>
          <w:rFonts w:asciiTheme="minorHAnsi" w:hAnsiTheme="minorHAnsi" w:cstheme="minorHAnsi"/>
          <w:sz w:val="22"/>
          <w:szCs w:val="22"/>
          <w:lang w:val="en-GB"/>
        </w:rPr>
        <w:t>distribution loss</w:t>
      </w:r>
      <w:r w:rsidR="00086BCA" w:rsidRPr="00153204">
        <w:rPr>
          <w:rFonts w:asciiTheme="minorHAnsi" w:hAnsiTheme="minorHAnsi" w:cstheme="minorHAnsi"/>
          <w:sz w:val="22"/>
          <w:szCs w:val="22"/>
          <w:lang w:val="en-GB"/>
        </w:rPr>
        <w:t xml:space="preserve"> (normative</w:t>
      </w:r>
      <w:proofErr w:type="gramStart"/>
      <w:r w:rsidR="00086BCA" w:rsidRPr="00153204">
        <w:rPr>
          <w:rFonts w:asciiTheme="minorHAnsi" w:hAnsiTheme="minorHAnsi" w:cstheme="minorHAnsi"/>
          <w:sz w:val="22"/>
          <w:szCs w:val="22"/>
          <w:lang w:val="en-GB"/>
        </w:rPr>
        <w:t>)</w:t>
      </w:r>
      <w:r w:rsidRPr="00153204">
        <w:rPr>
          <w:rFonts w:asciiTheme="minorHAnsi" w:hAnsiTheme="minorHAnsi" w:cstheme="minorHAnsi"/>
          <w:sz w:val="22"/>
          <w:szCs w:val="22"/>
          <w:lang w:val="en-GB"/>
        </w:rPr>
        <w:t xml:space="preserve"> .</w:t>
      </w:r>
      <w:proofErr w:type="gramEnd"/>
      <w:r w:rsidRPr="00153204">
        <w:rPr>
          <w:rFonts w:asciiTheme="minorHAnsi" w:hAnsiTheme="minorHAnsi" w:cstheme="minorHAnsi"/>
          <w:sz w:val="22"/>
          <w:szCs w:val="22"/>
          <w:lang w:val="en-GB"/>
        </w:rPr>
        <w:t xml:space="preserve"> For the year FY 202</w:t>
      </w:r>
      <w:r w:rsidR="00574D2E">
        <w:rPr>
          <w:rFonts w:asciiTheme="minorHAnsi" w:hAnsiTheme="minorHAnsi" w:cstheme="minorHAnsi"/>
          <w:sz w:val="22"/>
          <w:szCs w:val="22"/>
          <w:lang w:val="en-GB"/>
        </w:rPr>
        <w:t>4</w:t>
      </w:r>
      <w:r w:rsidRPr="00153204">
        <w:rPr>
          <w:rFonts w:asciiTheme="minorHAnsi" w:hAnsiTheme="minorHAnsi" w:cstheme="minorHAnsi"/>
          <w:sz w:val="22"/>
          <w:szCs w:val="22"/>
          <w:lang w:val="en-GB"/>
        </w:rPr>
        <w:t>-2</w:t>
      </w:r>
      <w:r w:rsidR="00212AAE">
        <w:rPr>
          <w:rFonts w:asciiTheme="minorHAnsi" w:hAnsiTheme="minorHAnsi" w:cstheme="minorHAnsi"/>
          <w:sz w:val="22"/>
          <w:szCs w:val="22"/>
          <w:lang w:val="en-GB"/>
        </w:rPr>
        <w:t>5</w:t>
      </w:r>
      <w:r w:rsidRPr="00153204">
        <w:rPr>
          <w:rFonts w:asciiTheme="minorHAnsi" w:hAnsiTheme="minorHAnsi" w:cstheme="minorHAnsi"/>
          <w:sz w:val="22"/>
          <w:szCs w:val="22"/>
          <w:lang w:val="en-GB"/>
        </w:rPr>
        <w:t xml:space="preserve">, energy input </w:t>
      </w:r>
      <w:r w:rsidR="00B47073" w:rsidRPr="00153204">
        <w:rPr>
          <w:rFonts w:asciiTheme="minorHAnsi" w:hAnsiTheme="minorHAnsi" w:cstheme="minorHAnsi"/>
          <w:sz w:val="22"/>
          <w:szCs w:val="22"/>
          <w:lang w:val="en-GB"/>
        </w:rPr>
        <w:t>of 8037</w:t>
      </w:r>
      <w:r w:rsidR="00574D2E">
        <w:rPr>
          <w:rFonts w:ascii="Calibri" w:hAnsi="Calibri" w:cs="Calibri"/>
          <w:color w:val="000000"/>
          <w:sz w:val="22"/>
          <w:szCs w:val="22"/>
        </w:rPr>
        <w:t>.07</w:t>
      </w:r>
      <w:r w:rsidRPr="00153204">
        <w:rPr>
          <w:rFonts w:asciiTheme="minorHAnsi" w:hAnsiTheme="minorHAnsi" w:cstheme="minorHAnsi"/>
          <w:sz w:val="22"/>
          <w:szCs w:val="22"/>
          <w:lang w:val="en-GB"/>
        </w:rPr>
        <w:t>MU has been estimated based on the estimated sale of</w:t>
      </w:r>
      <w:r w:rsidR="00574D2E">
        <w:rPr>
          <w:rFonts w:asciiTheme="minorHAnsi" w:hAnsiTheme="minorHAnsi" w:cstheme="minorHAnsi"/>
          <w:sz w:val="22"/>
          <w:szCs w:val="22"/>
          <w:lang w:val="en-GB"/>
        </w:rPr>
        <w:t xml:space="preserve"> </w:t>
      </w:r>
      <w:r w:rsidR="00574D2E">
        <w:rPr>
          <w:rFonts w:ascii="Calibri" w:hAnsi="Calibri" w:cs="Calibri"/>
          <w:color w:val="000000"/>
          <w:sz w:val="22"/>
          <w:szCs w:val="22"/>
        </w:rPr>
        <w:t>6900.63</w:t>
      </w:r>
      <w:r w:rsidRPr="00153204">
        <w:rPr>
          <w:rFonts w:asciiTheme="minorHAnsi" w:hAnsiTheme="minorHAnsi" w:cstheme="minorHAnsi"/>
          <w:sz w:val="22"/>
          <w:szCs w:val="22"/>
          <w:lang w:val="en-GB"/>
        </w:rPr>
        <w:t xml:space="preserve"> </w:t>
      </w:r>
      <w:r w:rsidRPr="0045749B">
        <w:rPr>
          <w:rFonts w:asciiTheme="minorHAnsi" w:hAnsiTheme="minorHAnsi" w:cstheme="minorHAnsi"/>
          <w:sz w:val="22"/>
          <w:szCs w:val="22"/>
          <w:lang w:val="en-GB"/>
        </w:rPr>
        <w:t>MU</w:t>
      </w:r>
      <w:r w:rsidRPr="00153204">
        <w:rPr>
          <w:rFonts w:asciiTheme="minorHAnsi" w:hAnsiTheme="minorHAnsi" w:cstheme="minorHAnsi"/>
          <w:sz w:val="22"/>
          <w:szCs w:val="22"/>
          <w:lang w:val="en-GB"/>
        </w:rPr>
        <w:t xml:space="preserve"> and </w:t>
      </w:r>
      <w:r w:rsidR="004F46C7" w:rsidRPr="00153204">
        <w:rPr>
          <w:rFonts w:asciiTheme="minorHAnsi" w:hAnsiTheme="minorHAnsi" w:cstheme="minorHAnsi"/>
          <w:sz w:val="22"/>
          <w:szCs w:val="22"/>
          <w:lang w:val="en-GB"/>
        </w:rPr>
        <w:t xml:space="preserve">T&amp;D </w:t>
      </w:r>
      <w:r w:rsidR="00212AAE">
        <w:rPr>
          <w:rFonts w:asciiTheme="minorHAnsi" w:hAnsiTheme="minorHAnsi" w:cstheme="minorHAnsi"/>
          <w:sz w:val="22"/>
          <w:szCs w:val="22"/>
          <w:lang w:val="en-GB"/>
        </w:rPr>
        <w:t>Loss of 14.14</w:t>
      </w:r>
      <w:r w:rsidRPr="00153204">
        <w:rPr>
          <w:rFonts w:asciiTheme="minorHAnsi" w:hAnsiTheme="minorHAnsi" w:cstheme="minorHAnsi"/>
          <w:sz w:val="22"/>
          <w:szCs w:val="22"/>
          <w:lang w:val="en-GB"/>
        </w:rPr>
        <w:t>%.</w:t>
      </w:r>
      <w:r w:rsidR="00963124" w:rsidRPr="00153204">
        <w:rPr>
          <w:rFonts w:asciiTheme="minorHAnsi" w:hAnsiTheme="minorHAnsi" w:cstheme="minorHAnsi"/>
          <w:sz w:val="22"/>
          <w:szCs w:val="22"/>
          <w:lang w:val="en-GB"/>
        </w:rPr>
        <w:t xml:space="preserve"> Power </w:t>
      </w:r>
      <w:r w:rsidR="00B47073" w:rsidRPr="00153204">
        <w:rPr>
          <w:rFonts w:asciiTheme="minorHAnsi" w:hAnsiTheme="minorHAnsi" w:cstheme="minorHAnsi"/>
          <w:sz w:val="22"/>
          <w:szCs w:val="22"/>
          <w:lang w:val="en-GB"/>
        </w:rPr>
        <w:t>purchase of</w:t>
      </w:r>
      <w:r w:rsidR="00963124" w:rsidRPr="00153204">
        <w:rPr>
          <w:rFonts w:asciiTheme="minorHAnsi" w:hAnsiTheme="minorHAnsi" w:cstheme="minorHAnsi"/>
          <w:sz w:val="22"/>
          <w:szCs w:val="22"/>
          <w:lang w:val="en-GB"/>
        </w:rPr>
        <w:t xml:space="preserve"> </w:t>
      </w:r>
      <w:r w:rsidR="00574D2E">
        <w:rPr>
          <w:rFonts w:ascii="Calibri" w:hAnsi="Calibri" w:cs="Calibri"/>
          <w:color w:val="000000"/>
          <w:sz w:val="22"/>
          <w:szCs w:val="22"/>
        </w:rPr>
        <w:t>8718.</w:t>
      </w:r>
      <w:r w:rsidR="00574D2E" w:rsidRPr="0045749B">
        <w:rPr>
          <w:rFonts w:ascii="Calibri" w:hAnsi="Calibri" w:cs="Calibri"/>
          <w:color w:val="000000"/>
          <w:sz w:val="22"/>
          <w:szCs w:val="22"/>
        </w:rPr>
        <w:t>78</w:t>
      </w:r>
      <w:r w:rsidR="00600855" w:rsidRPr="0045749B">
        <w:rPr>
          <w:rFonts w:asciiTheme="minorHAnsi" w:hAnsiTheme="minorHAnsi" w:cstheme="minorHAnsi"/>
          <w:sz w:val="22"/>
          <w:szCs w:val="22"/>
          <w:lang w:val="en-GB"/>
        </w:rPr>
        <w:t>M</w:t>
      </w:r>
      <w:r w:rsidR="00963124" w:rsidRPr="0045749B">
        <w:rPr>
          <w:rFonts w:asciiTheme="minorHAnsi" w:hAnsiTheme="minorHAnsi" w:cstheme="minorHAnsi"/>
          <w:sz w:val="22"/>
          <w:szCs w:val="22"/>
          <w:lang w:val="en-GB"/>
        </w:rPr>
        <w:t>U h</w:t>
      </w:r>
      <w:r w:rsidR="00963124" w:rsidRPr="00153204">
        <w:rPr>
          <w:rFonts w:asciiTheme="minorHAnsi" w:hAnsiTheme="minorHAnsi" w:cstheme="minorHAnsi"/>
          <w:sz w:val="22"/>
          <w:szCs w:val="22"/>
          <w:lang w:val="en-GB"/>
        </w:rPr>
        <w:t xml:space="preserve">as been projected based on the estimated sale of </w:t>
      </w:r>
      <w:r w:rsidR="00574D2E">
        <w:rPr>
          <w:rFonts w:ascii="Calibri" w:hAnsi="Calibri" w:cs="Calibri"/>
          <w:color w:val="000000"/>
          <w:sz w:val="22"/>
          <w:szCs w:val="22"/>
        </w:rPr>
        <w:t>7588.82</w:t>
      </w:r>
      <w:r w:rsidR="00963124" w:rsidRPr="0045749B">
        <w:rPr>
          <w:rFonts w:asciiTheme="minorHAnsi" w:hAnsiTheme="minorHAnsi" w:cstheme="minorHAnsi"/>
          <w:sz w:val="22"/>
          <w:szCs w:val="22"/>
          <w:lang w:val="en-GB"/>
        </w:rPr>
        <w:t>MU</w:t>
      </w:r>
      <w:r w:rsidR="00963124" w:rsidRPr="00153204">
        <w:rPr>
          <w:rFonts w:asciiTheme="minorHAnsi" w:hAnsiTheme="minorHAnsi" w:cstheme="minorHAnsi"/>
          <w:sz w:val="22"/>
          <w:szCs w:val="22"/>
          <w:lang w:val="en-GB"/>
        </w:rPr>
        <w:t xml:space="preserve"> and </w:t>
      </w:r>
      <w:r w:rsidR="004F46C7" w:rsidRPr="00153204">
        <w:rPr>
          <w:rFonts w:asciiTheme="minorHAnsi" w:hAnsiTheme="minorHAnsi" w:cstheme="minorHAnsi"/>
          <w:sz w:val="22"/>
          <w:szCs w:val="22"/>
          <w:lang w:val="en-GB"/>
        </w:rPr>
        <w:t>T&amp;D</w:t>
      </w:r>
      <w:r w:rsidR="00963124" w:rsidRPr="00153204">
        <w:rPr>
          <w:rFonts w:asciiTheme="minorHAnsi" w:hAnsiTheme="minorHAnsi" w:cstheme="minorHAnsi"/>
          <w:sz w:val="22"/>
          <w:szCs w:val="22"/>
          <w:lang w:val="en-GB"/>
        </w:rPr>
        <w:t xml:space="preserve"> Loss of </w:t>
      </w:r>
      <w:r w:rsidR="00212AAE">
        <w:rPr>
          <w:rFonts w:asciiTheme="minorHAnsi" w:hAnsiTheme="minorHAnsi" w:cstheme="minorHAnsi"/>
          <w:sz w:val="22"/>
          <w:szCs w:val="22"/>
          <w:lang w:val="en-GB"/>
        </w:rPr>
        <w:t>12.96</w:t>
      </w:r>
      <w:r w:rsidR="00963124" w:rsidRPr="00153204">
        <w:rPr>
          <w:rFonts w:asciiTheme="minorHAnsi" w:hAnsiTheme="minorHAnsi" w:cstheme="minorHAnsi"/>
          <w:b/>
          <w:sz w:val="22"/>
          <w:szCs w:val="22"/>
          <w:lang w:val="en-GB"/>
        </w:rPr>
        <w:t>%</w:t>
      </w:r>
      <w:r w:rsidR="00963124" w:rsidRPr="00153204">
        <w:rPr>
          <w:rFonts w:asciiTheme="minorHAnsi" w:hAnsiTheme="minorHAnsi" w:cstheme="minorHAnsi"/>
          <w:sz w:val="22"/>
          <w:szCs w:val="22"/>
          <w:lang w:val="en-GB"/>
        </w:rPr>
        <w:t xml:space="preserve"> for the ensuing year</w:t>
      </w:r>
      <w:r w:rsidR="004F46C7" w:rsidRPr="00153204">
        <w:rPr>
          <w:rFonts w:asciiTheme="minorHAnsi" w:hAnsiTheme="minorHAnsi" w:cstheme="minorHAnsi"/>
          <w:sz w:val="22"/>
          <w:szCs w:val="22"/>
          <w:lang w:val="en-GB"/>
        </w:rPr>
        <w:t xml:space="preserve"> corresponding to the AT&amp;C loss - </w:t>
      </w:r>
      <w:r w:rsidR="00212AAE">
        <w:rPr>
          <w:rFonts w:asciiTheme="minorHAnsi" w:hAnsiTheme="minorHAnsi" w:cstheme="minorHAnsi"/>
          <w:sz w:val="22"/>
          <w:szCs w:val="22"/>
          <w:lang w:val="en-GB"/>
        </w:rPr>
        <w:t>13.83</w:t>
      </w:r>
      <w:r w:rsidR="00212AAE" w:rsidRPr="00153204">
        <w:rPr>
          <w:rFonts w:asciiTheme="minorHAnsi" w:hAnsiTheme="minorHAnsi" w:cstheme="minorHAnsi"/>
          <w:b/>
          <w:sz w:val="22"/>
          <w:szCs w:val="22"/>
          <w:lang w:val="en-GB"/>
        </w:rPr>
        <w:t>%</w:t>
      </w:r>
      <w:r w:rsidR="00212AAE" w:rsidRPr="00153204">
        <w:rPr>
          <w:rFonts w:asciiTheme="minorHAnsi" w:hAnsiTheme="minorHAnsi" w:cstheme="minorHAnsi"/>
          <w:sz w:val="22"/>
          <w:szCs w:val="22"/>
          <w:lang w:val="en-GB"/>
        </w:rPr>
        <w:t xml:space="preserve"> </w:t>
      </w:r>
      <w:r w:rsidR="004F46C7" w:rsidRPr="00153204">
        <w:rPr>
          <w:rFonts w:asciiTheme="minorHAnsi" w:hAnsiTheme="minorHAnsi" w:cstheme="minorHAnsi"/>
          <w:sz w:val="22"/>
          <w:szCs w:val="22"/>
          <w:lang w:val="en-GB"/>
        </w:rPr>
        <w:t>fixed by Hon’ble Commission for the FY 202</w:t>
      </w:r>
      <w:r w:rsidR="00212AAE">
        <w:rPr>
          <w:rFonts w:asciiTheme="minorHAnsi" w:hAnsiTheme="minorHAnsi" w:cstheme="minorHAnsi"/>
          <w:sz w:val="22"/>
          <w:szCs w:val="22"/>
          <w:lang w:val="en-GB"/>
        </w:rPr>
        <w:t>5</w:t>
      </w:r>
      <w:r w:rsidR="004F46C7" w:rsidRPr="00153204">
        <w:rPr>
          <w:rFonts w:asciiTheme="minorHAnsi" w:hAnsiTheme="minorHAnsi" w:cstheme="minorHAnsi"/>
          <w:sz w:val="22"/>
          <w:szCs w:val="22"/>
          <w:lang w:val="en-GB"/>
        </w:rPr>
        <w:t>-2</w:t>
      </w:r>
      <w:r w:rsidR="00212AAE">
        <w:rPr>
          <w:rFonts w:asciiTheme="minorHAnsi" w:hAnsiTheme="minorHAnsi" w:cstheme="minorHAnsi"/>
          <w:sz w:val="22"/>
          <w:szCs w:val="22"/>
          <w:lang w:val="en-GB"/>
        </w:rPr>
        <w:t>6</w:t>
      </w:r>
      <w:r w:rsidR="004F46C7" w:rsidRPr="00153204">
        <w:rPr>
          <w:rFonts w:asciiTheme="minorHAnsi" w:hAnsiTheme="minorHAnsi" w:cstheme="minorHAnsi"/>
          <w:sz w:val="22"/>
          <w:szCs w:val="22"/>
          <w:lang w:val="en-GB"/>
        </w:rPr>
        <w:t xml:space="preserve"> in the Vesting order.</w:t>
      </w:r>
    </w:p>
    <w:p w14:paraId="34A03C89" w14:textId="5108E7DA" w:rsidR="00530F0D" w:rsidRPr="00153204" w:rsidRDefault="00530F0D" w:rsidP="002334A3">
      <w:pPr>
        <w:pStyle w:val="BodyText2"/>
        <w:spacing w:line="360" w:lineRule="auto"/>
        <w:ind w:left="567"/>
        <w:jc w:val="both"/>
        <w:rPr>
          <w:rFonts w:asciiTheme="minorHAnsi" w:hAnsiTheme="minorHAnsi" w:cstheme="minorHAnsi"/>
          <w:sz w:val="22"/>
          <w:szCs w:val="22"/>
          <w:lang w:val="en-GB"/>
        </w:rPr>
      </w:pPr>
      <w:r w:rsidRPr="00153204">
        <w:rPr>
          <w:rFonts w:asciiTheme="minorHAnsi" w:hAnsiTheme="minorHAnsi" w:cstheme="minorHAnsi"/>
          <w:sz w:val="22"/>
          <w:szCs w:val="22"/>
          <w:lang w:val="en-GB"/>
        </w:rPr>
        <w:t xml:space="preserve">Power purchase </w:t>
      </w:r>
      <w:r w:rsidR="00F56664" w:rsidRPr="00153204">
        <w:rPr>
          <w:rFonts w:asciiTheme="minorHAnsi" w:hAnsiTheme="minorHAnsi" w:cstheme="minorHAnsi"/>
          <w:sz w:val="22"/>
          <w:szCs w:val="22"/>
          <w:lang w:val="en-GB"/>
        </w:rPr>
        <w:t>cost for the current year is</w:t>
      </w:r>
      <w:r w:rsidR="00574D2E">
        <w:rPr>
          <w:rFonts w:asciiTheme="minorHAnsi" w:hAnsiTheme="minorHAnsi" w:cstheme="minorHAnsi"/>
          <w:sz w:val="22"/>
          <w:szCs w:val="22"/>
          <w:lang w:val="en-GB"/>
        </w:rPr>
        <w:t xml:space="preserve"> estimated to be</w:t>
      </w:r>
      <w:r w:rsidR="00F56664" w:rsidRPr="00153204">
        <w:rPr>
          <w:rFonts w:asciiTheme="minorHAnsi" w:hAnsiTheme="minorHAnsi" w:cstheme="minorHAnsi"/>
          <w:sz w:val="22"/>
          <w:szCs w:val="22"/>
          <w:lang w:val="en-GB"/>
        </w:rPr>
        <w:t xml:space="preserve"> </w:t>
      </w:r>
      <w:r w:rsidR="001A2772" w:rsidRPr="00153204">
        <w:rPr>
          <w:rFonts w:asciiTheme="minorHAnsi" w:hAnsiTheme="minorHAnsi" w:cstheme="minorHAnsi"/>
          <w:sz w:val="22"/>
          <w:szCs w:val="22"/>
          <w:lang w:val="en-GB"/>
        </w:rPr>
        <w:t>Rs.</w:t>
      </w:r>
      <w:r w:rsidR="00F56664" w:rsidRPr="00153204">
        <w:rPr>
          <w:rFonts w:asciiTheme="minorHAnsi" w:hAnsiTheme="minorHAnsi" w:cstheme="minorHAnsi"/>
          <w:sz w:val="22"/>
          <w:szCs w:val="22"/>
          <w:lang w:val="en-GB"/>
        </w:rPr>
        <w:t xml:space="preserve"> </w:t>
      </w:r>
      <w:r w:rsidR="00574D2E" w:rsidRPr="0045749B">
        <w:rPr>
          <w:rFonts w:ascii="Calibri" w:hAnsi="Calibri" w:cs="Calibri"/>
          <w:bCs/>
          <w:color w:val="000000"/>
          <w:sz w:val="22"/>
          <w:szCs w:val="22"/>
        </w:rPr>
        <w:t>3007.46</w:t>
      </w:r>
      <w:proofErr w:type="spellStart"/>
      <w:r w:rsidRPr="0045749B">
        <w:rPr>
          <w:rFonts w:asciiTheme="minorHAnsi" w:hAnsiTheme="minorHAnsi" w:cstheme="minorHAnsi"/>
          <w:sz w:val="22"/>
          <w:szCs w:val="22"/>
          <w:lang w:val="en-GB"/>
        </w:rPr>
        <w:t>Crs</w:t>
      </w:r>
      <w:proofErr w:type="spellEnd"/>
      <w:r w:rsidRPr="00153204">
        <w:rPr>
          <w:rFonts w:asciiTheme="minorHAnsi" w:hAnsiTheme="minorHAnsi" w:cstheme="minorHAnsi"/>
          <w:sz w:val="22"/>
          <w:szCs w:val="22"/>
          <w:lang w:val="en-GB"/>
        </w:rPr>
        <w:t xml:space="preserve"> and for the </w:t>
      </w:r>
      <w:r w:rsidR="00963124" w:rsidRPr="00153204">
        <w:rPr>
          <w:rFonts w:asciiTheme="minorHAnsi" w:hAnsiTheme="minorHAnsi" w:cstheme="minorHAnsi"/>
          <w:sz w:val="22"/>
          <w:szCs w:val="22"/>
          <w:lang w:val="en-GB"/>
        </w:rPr>
        <w:t xml:space="preserve">ensuing year </w:t>
      </w:r>
      <w:r w:rsidRPr="00153204">
        <w:rPr>
          <w:rFonts w:asciiTheme="minorHAnsi" w:hAnsiTheme="minorHAnsi" w:cstheme="minorHAnsi"/>
          <w:sz w:val="22"/>
          <w:szCs w:val="22"/>
          <w:lang w:val="en-GB"/>
        </w:rPr>
        <w:t>FY 202</w:t>
      </w:r>
      <w:r w:rsidR="00574D2E">
        <w:rPr>
          <w:rFonts w:asciiTheme="minorHAnsi" w:hAnsiTheme="minorHAnsi" w:cstheme="minorHAnsi"/>
          <w:sz w:val="22"/>
          <w:szCs w:val="22"/>
          <w:lang w:val="en-GB"/>
        </w:rPr>
        <w:t>5</w:t>
      </w:r>
      <w:r w:rsidR="00963124" w:rsidRPr="00153204">
        <w:rPr>
          <w:rFonts w:asciiTheme="minorHAnsi" w:hAnsiTheme="minorHAnsi" w:cstheme="minorHAnsi"/>
          <w:sz w:val="22"/>
          <w:szCs w:val="22"/>
          <w:lang w:val="en-GB"/>
        </w:rPr>
        <w:t>-2</w:t>
      </w:r>
      <w:r w:rsidR="00574D2E">
        <w:rPr>
          <w:rFonts w:asciiTheme="minorHAnsi" w:hAnsiTheme="minorHAnsi" w:cstheme="minorHAnsi"/>
          <w:sz w:val="22"/>
          <w:szCs w:val="22"/>
          <w:lang w:val="en-GB"/>
        </w:rPr>
        <w:t>6</w:t>
      </w:r>
      <w:r w:rsidRPr="00153204">
        <w:rPr>
          <w:rFonts w:asciiTheme="minorHAnsi" w:hAnsiTheme="minorHAnsi" w:cstheme="minorHAnsi"/>
          <w:sz w:val="22"/>
          <w:szCs w:val="22"/>
          <w:lang w:val="en-GB"/>
        </w:rPr>
        <w:t xml:space="preserve"> power purchas</w:t>
      </w:r>
      <w:r w:rsidR="00F56664" w:rsidRPr="00153204">
        <w:rPr>
          <w:rFonts w:asciiTheme="minorHAnsi" w:hAnsiTheme="minorHAnsi" w:cstheme="minorHAnsi"/>
          <w:sz w:val="22"/>
          <w:szCs w:val="22"/>
          <w:lang w:val="en-GB"/>
        </w:rPr>
        <w:t xml:space="preserve">e cost has been estimated at </w:t>
      </w:r>
      <w:r w:rsidR="001A2772" w:rsidRPr="00153204">
        <w:rPr>
          <w:rFonts w:asciiTheme="minorHAnsi" w:hAnsiTheme="minorHAnsi" w:cstheme="minorHAnsi"/>
          <w:sz w:val="22"/>
          <w:szCs w:val="22"/>
          <w:lang w:val="en-GB"/>
        </w:rPr>
        <w:t>Rs.</w:t>
      </w:r>
      <w:r w:rsidRPr="00153204">
        <w:rPr>
          <w:rFonts w:asciiTheme="minorHAnsi" w:hAnsiTheme="minorHAnsi" w:cstheme="minorHAnsi"/>
          <w:sz w:val="22"/>
          <w:szCs w:val="22"/>
          <w:lang w:val="en-GB"/>
        </w:rPr>
        <w:t xml:space="preserve"> </w:t>
      </w:r>
      <w:r w:rsidR="00574D2E" w:rsidRPr="0045749B">
        <w:rPr>
          <w:rFonts w:ascii="Calibri" w:hAnsi="Calibri" w:cs="Calibri"/>
          <w:bCs/>
          <w:color w:val="000000"/>
          <w:sz w:val="22"/>
          <w:szCs w:val="22"/>
        </w:rPr>
        <w:t>3262.42</w:t>
      </w:r>
      <w:proofErr w:type="spellStart"/>
      <w:r w:rsidR="00E37E50" w:rsidRPr="0045749B">
        <w:rPr>
          <w:rFonts w:asciiTheme="minorHAnsi" w:hAnsiTheme="minorHAnsi" w:cstheme="minorHAnsi"/>
          <w:sz w:val="22"/>
          <w:szCs w:val="22"/>
          <w:lang w:val="en-GB"/>
        </w:rPr>
        <w:t>Crs</w:t>
      </w:r>
      <w:proofErr w:type="spellEnd"/>
      <w:r w:rsidR="00E37E50" w:rsidRPr="00153204">
        <w:rPr>
          <w:rFonts w:asciiTheme="minorHAnsi" w:hAnsiTheme="minorHAnsi" w:cstheme="minorHAnsi"/>
          <w:sz w:val="22"/>
          <w:szCs w:val="22"/>
          <w:lang w:val="en-GB"/>
        </w:rPr>
        <w:t xml:space="preserve"> with BSP @ 3</w:t>
      </w:r>
      <w:r w:rsidR="00574D2E">
        <w:rPr>
          <w:rFonts w:asciiTheme="minorHAnsi" w:hAnsiTheme="minorHAnsi" w:cstheme="minorHAnsi"/>
          <w:sz w:val="22"/>
          <w:szCs w:val="22"/>
          <w:lang w:val="en-GB"/>
        </w:rPr>
        <w:t>50</w:t>
      </w:r>
      <w:r w:rsidRPr="00153204">
        <w:rPr>
          <w:rFonts w:asciiTheme="minorHAnsi" w:hAnsiTheme="minorHAnsi" w:cstheme="minorHAnsi"/>
          <w:sz w:val="22"/>
          <w:szCs w:val="22"/>
          <w:lang w:val="en-GB"/>
        </w:rPr>
        <w:t xml:space="preserve">.00 </w:t>
      </w:r>
      <w:proofErr w:type="spellStart"/>
      <w:r w:rsidRPr="00153204">
        <w:rPr>
          <w:rFonts w:asciiTheme="minorHAnsi" w:hAnsiTheme="minorHAnsi" w:cstheme="minorHAnsi"/>
          <w:sz w:val="22"/>
          <w:szCs w:val="22"/>
          <w:lang w:val="en-GB"/>
        </w:rPr>
        <w:t>paise</w:t>
      </w:r>
      <w:proofErr w:type="spellEnd"/>
      <w:r w:rsidRPr="00153204">
        <w:rPr>
          <w:rFonts w:asciiTheme="minorHAnsi" w:hAnsiTheme="minorHAnsi" w:cstheme="minorHAnsi"/>
          <w:sz w:val="22"/>
          <w:szCs w:val="22"/>
          <w:lang w:val="en-GB"/>
        </w:rPr>
        <w:t xml:space="preserve"> </w:t>
      </w:r>
      <w:proofErr w:type="spellStart"/>
      <w:r w:rsidRPr="00153204">
        <w:rPr>
          <w:rFonts w:asciiTheme="minorHAnsi" w:hAnsiTheme="minorHAnsi" w:cstheme="minorHAnsi"/>
          <w:sz w:val="22"/>
          <w:szCs w:val="22"/>
          <w:lang w:val="en-GB"/>
        </w:rPr>
        <w:t>p.</w:t>
      </w:r>
      <w:r w:rsidR="00E37E50" w:rsidRPr="00153204">
        <w:rPr>
          <w:rFonts w:asciiTheme="minorHAnsi" w:hAnsiTheme="minorHAnsi" w:cstheme="minorHAnsi"/>
          <w:sz w:val="22"/>
          <w:szCs w:val="22"/>
          <w:lang w:val="en-GB"/>
        </w:rPr>
        <w:t>u</w:t>
      </w:r>
      <w:proofErr w:type="spellEnd"/>
      <w:r w:rsidR="00E37E50" w:rsidRPr="00153204">
        <w:rPr>
          <w:rFonts w:asciiTheme="minorHAnsi" w:hAnsiTheme="minorHAnsi" w:cstheme="minorHAnsi"/>
          <w:sz w:val="22"/>
          <w:szCs w:val="22"/>
          <w:lang w:val="en-GB"/>
        </w:rPr>
        <w:t>. and transmission charges @ 24</w:t>
      </w:r>
      <w:r w:rsidRPr="00153204">
        <w:rPr>
          <w:rFonts w:asciiTheme="minorHAnsi" w:hAnsiTheme="minorHAnsi" w:cstheme="minorHAnsi"/>
          <w:sz w:val="22"/>
          <w:szCs w:val="22"/>
          <w:lang w:val="en-GB"/>
        </w:rPr>
        <w:t xml:space="preserve"> </w:t>
      </w:r>
      <w:proofErr w:type="spellStart"/>
      <w:r w:rsidRPr="00153204">
        <w:rPr>
          <w:rFonts w:asciiTheme="minorHAnsi" w:hAnsiTheme="minorHAnsi" w:cstheme="minorHAnsi"/>
          <w:sz w:val="22"/>
          <w:szCs w:val="22"/>
          <w:lang w:val="en-GB"/>
        </w:rPr>
        <w:t>paise</w:t>
      </w:r>
      <w:proofErr w:type="spellEnd"/>
      <w:r w:rsidRPr="00153204">
        <w:rPr>
          <w:rFonts w:asciiTheme="minorHAnsi" w:hAnsiTheme="minorHAnsi" w:cstheme="minorHAnsi"/>
          <w:sz w:val="22"/>
          <w:szCs w:val="22"/>
          <w:lang w:val="en-GB"/>
        </w:rPr>
        <w:t xml:space="preserve"> </w:t>
      </w:r>
      <w:proofErr w:type="spellStart"/>
      <w:r w:rsidRPr="00153204">
        <w:rPr>
          <w:rFonts w:asciiTheme="minorHAnsi" w:hAnsiTheme="minorHAnsi" w:cstheme="minorHAnsi"/>
          <w:sz w:val="22"/>
          <w:szCs w:val="22"/>
          <w:lang w:val="en-GB"/>
        </w:rPr>
        <w:t>p.u</w:t>
      </w:r>
      <w:proofErr w:type="spellEnd"/>
      <w:r w:rsidRPr="00153204">
        <w:rPr>
          <w:rFonts w:asciiTheme="minorHAnsi" w:hAnsiTheme="minorHAnsi" w:cstheme="minorHAnsi"/>
          <w:sz w:val="22"/>
          <w:szCs w:val="22"/>
          <w:lang w:val="en-GB"/>
        </w:rPr>
        <w:t xml:space="preserve">. SLDC charges @ </w:t>
      </w:r>
      <w:r w:rsidR="001A2772" w:rsidRPr="00153204">
        <w:rPr>
          <w:rFonts w:asciiTheme="minorHAnsi" w:hAnsiTheme="minorHAnsi" w:cstheme="minorHAnsi"/>
          <w:sz w:val="22"/>
          <w:szCs w:val="22"/>
          <w:lang w:val="en-GB"/>
        </w:rPr>
        <w:t>Rs.</w:t>
      </w:r>
      <w:r w:rsidRPr="00153204">
        <w:rPr>
          <w:rFonts w:asciiTheme="minorHAnsi" w:hAnsiTheme="minorHAnsi" w:cstheme="minorHAnsi"/>
          <w:sz w:val="22"/>
          <w:szCs w:val="22"/>
          <w:lang w:val="en-GB"/>
        </w:rPr>
        <w:t xml:space="preserve"> </w:t>
      </w:r>
      <w:r w:rsidR="00B06B1B" w:rsidRPr="00153204">
        <w:rPr>
          <w:rFonts w:asciiTheme="minorHAnsi" w:hAnsiTheme="minorHAnsi" w:cstheme="minorHAnsi"/>
          <w:sz w:val="22"/>
          <w:szCs w:val="22"/>
          <w:lang w:val="en-GB"/>
        </w:rPr>
        <w:t>1.</w:t>
      </w:r>
      <w:r w:rsidR="00574D2E">
        <w:rPr>
          <w:rFonts w:asciiTheme="minorHAnsi" w:hAnsiTheme="minorHAnsi" w:cstheme="minorHAnsi"/>
          <w:sz w:val="22"/>
          <w:szCs w:val="22"/>
          <w:lang w:val="en-GB"/>
        </w:rPr>
        <w:t>5964</w:t>
      </w:r>
      <w:r w:rsidR="00373BAA" w:rsidRPr="00153204">
        <w:rPr>
          <w:rFonts w:asciiTheme="minorHAnsi" w:hAnsiTheme="minorHAnsi" w:cstheme="minorHAnsi"/>
          <w:sz w:val="22"/>
          <w:szCs w:val="22"/>
          <w:lang w:val="en-GB"/>
        </w:rPr>
        <w:t xml:space="preserve"> </w:t>
      </w:r>
      <w:proofErr w:type="spellStart"/>
      <w:r w:rsidR="00B06B1B" w:rsidRPr="00153204">
        <w:rPr>
          <w:rFonts w:asciiTheme="minorHAnsi" w:hAnsiTheme="minorHAnsi" w:cstheme="minorHAnsi"/>
          <w:sz w:val="22"/>
          <w:szCs w:val="22"/>
          <w:lang w:val="en-GB"/>
        </w:rPr>
        <w:t>Crs</w:t>
      </w:r>
      <w:proofErr w:type="spellEnd"/>
      <w:r w:rsidR="00B06B1B" w:rsidRPr="00153204">
        <w:rPr>
          <w:rFonts w:asciiTheme="minorHAnsi" w:hAnsiTheme="minorHAnsi" w:cstheme="minorHAnsi"/>
          <w:sz w:val="22"/>
          <w:szCs w:val="22"/>
          <w:lang w:val="en-GB"/>
        </w:rPr>
        <w:t xml:space="preserve"> </w:t>
      </w:r>
      <w:r w:rsidRPr="00153204">
        <w:rPr>
          <w:rFonts w:asciiTheme="minorHAnsi" w:hAnsiTheme="minorHAnsi" w:cstheme="minorHAnsi"/>
          <w:sz w:val="22"/>
          <w:szCs w:val="22"/>
          <w:lang w:val="en-GB"/>
        </w:rPr>
        <w:t xml:space="preserve">  per </w:t>
      </w:r>
      <w:r w:rsidR="00B06B1B" w:rsidRPr="00153204">
        <w:rPr>
          <w:rFonts w:asciiTheme="minorHAnsi" w:hAnsiTheme="minorHAnsi" w:cstheme="minorHAnsi"/>
          <w:sz w:val="22"/>
          <w:szCs w:val="22"/>
          <w:lang w:val="en-GB"/>
        </w:rPr>
        <w:t>annum.</w:t>
      </w:r>
      <w:r w:rsidRPr="00153204">
        <w:rPr>
          <w:rFonts w:asciiTheme="minorHAnsi" w:hAnsiTheme="minorHAnsi" w:cstheme="minorHAnsi"/>
          <w:sz w:val="22"/>
          <w:szCs w:val="22"/>
          <w:lang w:val="en-GB"/>
        </w:rPr>
        <w:t xml:space="preserve"> </w:t>
      </w:r>
    </w:p>
    <w:p w14:paraId="34A03C8A" w14:textId="5DB3713B" w:rsidR="00530F0D" w:rsidRPr="00153204" w:rsidRDefault="00530F0D" w:rsidP="002334A3">
      <w:pPr>
        <w:spacing w:line="360" w:lineRule="auto"/>
        <w:ind w:left="567"/>
        <w:jc w:val="both"/>
        <w:rPr>
          <w:rFonts w:asciiTheme="minorHAnsi" w:hAnsiTheme="minorHAnsi" w:cstheme="minorHAnsi"/>
          <w:sz w:val="22"/>
          <w:szCs w:val="22"/>
        </w:rPr>
      </w:pPr>
      <w:r w:rsidRPr="00153204">
        <w:rPr>
          <w:rFonts w:asciiTheme="minorHAnsi" w:hAnsiTheme="minorHAnsi" w:cstheme="minorHAnsi"/>
          <w:sz w:val="22"/>
          <w:szCs w:val="22"/>
        </w:rPr>
        <w:t xml:space="preserve">Accordingly, the power purchase cost for the </w:t>
      </w:r>
      <w:r w:rsidR="00963124" w:rsidRPr="00153204">
        <w:rPr>
          <w:rFonts w:asciiTheme="minorHAnsi" w:hAnsiTheme="minorHAnsi" w:cstheme="minorHAnsi"/>
          <w:sz w:val="22"/>
          <w:szCs w:val="22"/>
        </w:rPr>
        <w:t xml:space="preserve">current year as well as the ensuing year have been </w:t>
      </w:r>
      <w:r w:rsidRPr="00153204">
        <w:rPr>
          <w:rFonts w:asciiTheme="minorHAnsi" w:hAnsiTheme="minorHAnsi" w:cstheme="minorHAnsi"/>
          <w:sz w:val="22"/>
          <w:szCs w:val="22"/>
        </w:rPr>
        <w:t>worked out as follows:</w:t>
      </w:r>
    </w:p>
    <w:p w14:paraId="65BD1021" w14:textId="2C4F4BA6" w:rsidR="00B47073" w:rsidRDefault="00E71523" w:rsidP="00A442F1">
      <w:pPr>
        <w:tabs>
          <w:tab w:val="left" w:pos="8070"/>
        </w:tabs>
        <w:spacing w:line="360" w:lineRule="auto"/>
        <w:ind w:left="360"/>
        <w:rPr>
          <w:rFonts w:asciiTheme="minorHAnsi" w:hAnsiTheme="minorHAnsi" w:cstheme="minorHAnsi"/>
          <w:b/>
          <w:sz w:val="22"/>
          <w:szCs w:val="22"/>
        </w:rPr>
      </w:pPr>
      <w:r w:rsidRPr="00153204">
        <w:rPr>
          <w:rFonts w:asciiTheme="minorHAnsi" w:hAnsiTheme="minorHAnsi" w:cstheme="minorHAnsi"/>
          <w:b/>
          <w:sz w:val="22"/>
          <w:szCs w:val="22"/>
        </w:rPr>
        <w:t xml:space="preserve">    </w:t>
      </w:r>
    </w:p>
    <w:p w14:paraId="46B08FC9" w14:textId="680C8FCB" w:rsidR="00AE015E" w:rsidRPr="00B47073" w:rsidRDefault="00E71523" w:rsidP="00B47073">
      <w:pPr>
        <w:tabs>
          <w:tab w:val="left" w:pos="8070"/>
        </w:tabs>
        <w:spacing w:line="360" w:lineRule="auto"/>
        <w:ind w:left="360"/>
        <w:rPr>
          <w:rFonts w:asciiTheme="minorHAnsi" w:hAnsiTheme="minorHAnsi" w:cstheme="minorHAnsi"/>
          <w:b/>
          <w:sz w:val="22"/>
          <w:szCs w:val="22"/>
        </w:rPr>
      </w:pPr>
      <w:r w:rsidRPr="00153204">
        <w:rPr>
          <w:rFonts w:asciiTheme="minorHAnsi" w:hAnsiTheme="minorHAnsi" w:cstheme="minorHAnsi"/>
          <w:b/>
          <w:sz w:val="22"/>
          <w:szCs w:val="22"/>
        </w:rPr>
        <w:t xml:space="preserve">                                                    </w:t>
      </w:r>
      <w:r w:rsidR="00E50DFA" w:rsidRPr="00153204">
        <w:rPr>
          <w:rFonts w:asciiTheme="minorHAnsi" w:hAnsiTheme="minorHAnsi" w:cstheme="minorHAnsi"/>
          <w:b/>
          <w:sz w:val="22"/>
          <w:szCs w:val="22"/>
        </w:rPr>
        <w:t xml:space="preserve"> </w:t>
      </w:r>
      <w:r w:rsidR="00F56664" w:rsidRPr="00153204">
        <w:rPr>
          <w:rFonts w:asciiTheme="minorHAnsi" w:hAnsiTheme="minorHAnsi" w:cstheme="minorHAnsi"/>
          <w:b/>
          <w:sz w:val="22"/>
          <w:szCs w:val="22"/>
        </w:rPr>
        <w:t>Table</w:t>
      </w:r>
      <w:r w:rsidR="00E51C31" w:rsidRPr="00153204">
        <w:rPr>
          <w:rFonts w:asciiTheme="minorHAnsi" w:hAnsiTheme="minorHAnsi" w:cstheme="minorHAnsi"/>
          <w:b/>
          <w:sz w:val="22"/>
          <w:szCs w:val="22"/>
        </w:rPr>
        <w:t xml:space="preserve"> -</w:t>
      </w:r>
      <w:r w:rsidR="00A442F1">
        <w:rPr>
          <w:rFonts w:asciiTheme="minorHAnsi" w:hAnsiTheme="minorHAnsi" w:cstheme="minorHAnsi"/>
          <w:b/>
          <w:sz w:val="22"/>
          <w:szCs w:val="22"/>
        </w:rPr>
        <w:t>10</w:t>
      </w:r>
      <w:r w:rsidR="002E2DA8" w:rsidRPr="00153204">
        <w:rPr>
          <w:rFonts w:asciiTheme="minorHAnsi" w:hAnsiTheme="minorHAnsi" w:cstheme="minorHAnsi"/>
          <w:b/>
          <w:sz w:val="22"/>
          <w:szCs w:val="22"/>
        </w:rPr>
        <w:t>:</w:t>
      </w:r>
      <w:r w:rsidR="00B06B1B" w:rsidRPr="00153204">
        <w:rPr>
          <w:rFonts w:asciiTheme="minorHAnsi" w:hAnsiTheme="minorHAnsi" w:cstheme="minorHAnsi"/>
          <w:b/>
          <w:sz w:val="22"/>
          <w:szCs w:val="22"/>
        </w:rPr>
        <w:t xml:space="preserve"> Power Purchase Cost</w:t>
      </w:r>
      <w:r w:rsidR="00F56664" w:rsidRPr="00153204">
        <w:rPr>
          <w:rFonts w:asciiTheme="minorHAnsi" w:hAnsiTheme="minorHAnsi" w:cstheme="minorHAnsi"/>
          <w:b/>
          <w:sz w:val="22"/>
          <w:szCs w:val="22"/>
        </w:rPr>
        <w:t xml:space="preserve">                                     </w:t>
      </w:r>
      <w:proofErr w:type="gramStart"/>
      <w:r w:rsidR="00F56664" w:rsidRPr="00153204">
        <w:rPr>
          <w:rFonts w:asciiTheme="minorHAnsi" w:hAnsiTheme="minorHAnsi" w:cstheme="minorHAnsi"/>
          <w:b/>
          <w:sz w:val="22"/>
          <w:szCs w:val="22"/>
        </w:rPr>
        <w:t xml:space="preserve">   </w:t>
      </w:r>
      <w:r w:rsidR="00250E14" w:rsidRPr="00153204">
        <w:rPr>
          <w:rFonts w:asciiTheme="minorHAnsi" w:hAnsiTheme="minorHAnsi" w:cstheme="minorHAnsi"/>
          <w:b/>
          <w:sz w:val="22"/>
          <w:szCs w:val="22"/>
        </w:rPr>
        <w:t>(</w:t>
      </w:r>
      <w:proofErr w:type="gramEnd"/>
      <w:r w:rsidR="00F56664" w:rsidRPr="00153204">
        <w:rPr>
          <w:rFonts w:asciiTheme="minorHAnsi" w:hAnsiTheme="minorHAnsi" w:cstheme="minorHAnsi"/>
          <w:b/>
          <w:sz w:val="22"/>
          <w:szCs w:val="22"/>
        </w:rPr>
        <w:t xml:space="preserve">In </w:t>
      </w:r>
      <w:r w:rsidR="001A2772" w:rsidRPr="00153204">
        <w:rPr>
          <w:rFonts w:asciiTheme="minorHAnsi" w:hAnsiTheme="minorHAnsi" w:cstheme="minorHAnsi"/>
          <w:b/>
          <w:sz w:val="22"/>
          <w:szCs w:val="22"/>
        </w:rPr>
        <w:t>Rs.</w:t>
      </w:r>
      <w:r w:rsidR="00F56664" w:rsidRPr="00153204">
        <w:rPr>
          <w:rFonts w:asciiTheme="minorHAnsi" w:hAnsiTheme="minorHAnsi" w:cstheme="minorHAnsi"/>
          <w:b/>
          <w:sz w:val="22"/>
          <w:szCs w:val="22"/>
        </w:rPr>
        <w:t xml:space="preserve"> </w:t>
      </w:r>
      <w:proofErr w:type="spellStart"/>
      <w:r w:rsidR="00250E14" w:rsidRPr="00153204">
        <w:rPr>
          <w:rFonts w:asciiTheme="minorHAnsi" w:hAnsiTheme="minorHAnsi" w:cstheme="minorHAnsi"/>
          <w:b/>
          <w:sz w:val="22"/>
          <w:szCs w:val="22"/>
        </w:rPr>
        <w:t>Crs</w:t>
      </w:r>
      <w:proofErr w:type="spellEnd"/>
      <w:r w:rsidR="00250E14" w:rsidRPr="00153204">
        <w:rPr>
          <w:rFonts w:asciiTheme="minorHAnsi" w:hAnsiTheme="minorHAnsi" w:cstheme="minorHAnsi"/>
          <w:b/>
          <w:sz w:val="22"/>
          <w:szCs w:val="22"/>
        </w:rPr>
        <w:t>)</w:t>
      </w:r>
    </w:p>
    <w:tbl>
      <w:tblPr>
        <w:tblW w:w="9649" w:type="dxa"/>
        <w:tblInd w:w="274" w:type="dxa"/>
        <w:tblLook w:val="04A0" w:firstRow="1" w:lastRow="0" w:firstColumn="1" w:lastColumn="0" w:noHBand="0" w:noVBand="1"/>
      </w:tblPr>
      <w:tblGrid>
        <w:gridCol w:w="567"/>
        <w:gridCol w:w="1922"/>
        <w:gridCol w:w="1532"/>
        <w:gridCol w:w="985"/>
        <w:gridCol w:w="2010"/>
        <w:gridCol w:w="1306"/>
        <w:gridCol w:w="1327"/>
      </w:tblGrid>
      <w:tr w:rsidR="00A35DF2" w14:paraId="0527716F" w14:textId="77777777" w:rsidTr="00A35DF2">
        <w:trPr>
          <w:trHeight w:val="868"/>
        </w:trPr>
        <w:tc>
          <w:tcPr>
            <w:tcW w:w="567" w:type="dxa"/>
            <w:tcBorders>
              <w:top w:val="single" w:sz="8" w:space="0" w:color="auto"/>
              <w:left w:val="single" w:sz="8" w:space="0" w:color="auto"/>
              <w:bottom w:val="single" w:sz="8" w:space="0" w:color="auto"/>
              <w:right w:val="single" w:sz="8" w:space="0" w:color="auto"/>
            </w:tcBorders>
            <w:shd w:val="clear" w:color="auto" w:fill="95B3D7" w:themeFill="accent1" w:themeFillTint="99"/>
            <w:vAlign w:val="center"/>
            <w:hideMark/>
          </w:tcPr>
          <w:p w14:paraId="67A404FD" w14:textId="77777777" w:rsidR="00A35DF2" w:rsidRDefault="00A35DF2" w:rsidP="00A35DF2">
            <w:pPr>
              <w:jc w:val="center"/>
              <w:rPr>
                <w:rFonts w:ascii="Calibri" w:hAnsi="Calibri" w:cs="Calibri"/>
                <w:b/>
                <w:bCs/>
                <w:color w:val="000000"/>
                <w:sz w:val="22"/>
                <w:szCs w:val="22"/>
                <w:lang w:val="en-IN" w:eastAsia="en-IN"/>
              </w:rPr>
            </w:pPr>
            <w:r>
              <w:rPr>
                <w:rFonts w:ascii="Calibri" w:hAnsi="Calibri" w:cs="Calibri"/>
                <w:b/>
                <w:bCs/>
                <w:color w:val="000000"/>
                <w:sz w:val="22"/>
                <w:szCs w:val="22"/>
              </w:rPr>
              <w:t>Sl. No</w:t>
            </w:r>
          </w:p>
        </w:tc>
        <w:tc>
          <w:tcPr>
            <w:tcW w:w="1922" w:type="dxa"/>
            <w:tcBorders>
              <w:top w:val="single" w:sz="8" w:space="0" w:color="auto"/>
              <w:left w:val="nil"/>
              <w:bottom w:val="single" w:sz="8" w:space="0" w:color="auto"/>
              <w:right w:val="single" w:sz="8" w:space="0" w:color="auto"/>
            </w:tcBorders>
            <w:shd w:val="clear" w:color="auto" w:fill="95B3D7" w:themeFill="accent1" w:themeFillTint="99"/>
            <w:vAlign w:val="center"/>
            <w:hideMark/>
          </w:tcPr>
          <w:p w14:paraId="1A604AC9" w14:textId="77777777" w:rsidR="00A35DF2" w:rsidRDefault="00A35DF2" w:rsidP="00A35DF2">
            <w:pPr>
              <w:jc w:val="center"/>
              <w:rPr>
                <w:rFonts w:ascii="Calibri" w:hAnsi="Calibri" w:cs="Calibri"/>
                <w:b/>
                <w:bCs/>
                <w:color w:val="000000"/>
                <w:sz w:val="22"/>
                <w:szCs w:val="22"/>
              </w:rPr>
            </w:pPr>
            <w:r>
              <w:rPr>
                <w:rFonts w:ascii="Calibri" w:hAnsi="Calibri" w:cs="Calibri"/>
                <w:b/>
                <w:bCs/>
                <w:color w:val="000000"/>
                <w:sz w:val="22"/>
                <w:szCs w:val="22"/>
              </w:rPr>
              <w:t>Particulars</w:t>
            </w:r>
          </w:p>
        </w:tc>
        <w:tc>
          <w:tcPr>
            <w:tcW w:w="1532" w:type="dxa"/>
            <w:tcBorders>
              <w:top w:val="single" w:sz="8" w:space="0" w:color="auto"/>
              <w:left w:val="nil"/>
              <w:bottom w:val="single" w:sz="8" w:space="0" w:color="auto"/>
              <w:right w:val="single" w:sz="8" w:space="0" w:color="auto"/>
            </w:tcBorders>
            <w:shd w:val="clear" w:color="auto" w:fill="95B3D7" w:themeFill="accent1" w:themeFillTint="99"/>
            <w:vAlign w:val="center"/>
            <w:hideMark/>
          </w:tcPr>
          <w:p w14:paraId="7B21B192" w14:textId="77777777" w:rsidR="00A35DF2" w:rsidRDefault="00A35DF2" w:rsidP="00A35DF2">
            <w:pPr>
              <w:jc w:val="center"/>
              <w:rPr>
                <w:rFonts w:ascii="Calibri" w:hAnsi="Calibri" w:cs="Calibri"/>
                <w:b/>
                <w:bCs/>
                <w:color w:val="000000"/>
                <w:sz w:val="22"/>
                <w:szCs w:val="22"/>
              </w:rPr>
            </w:pPr>
            <w:r>
              <w:rPr>
                <w:rFonts w:ascii="Calibri" w:hAnsi="Calibri" w:cs="Calibri"/>
                <w:b/>
                <w:bCs/>
                <w:color w:val="000000"/>
                <w:sz w:val="22"/>
                <w:szCs w:val="22"/>
              </w:rPr>
              <w:t>Unit</w:t>
            </w:r>
          </w:p>
        </w:tc>
        <w:tc>
          <w:tcPr>
            <w:tcW w:w="985" w:type="dxa"/>
            <w:tcBorders>
              <w:top w:val="single" w:sz="8" w:space="0" w:color="auto"/>
              <w:left w:val="nil"/>
              <w:bottom w:val="single" w:sz="8" w:space="0" w:color="auto"/>
              <w:right w:val="single" w:sz="8" w:space="0" w:color="auto"/>
            </w:tcBorders>
            <w:shd w:val="clear" w:color="auto" w:fill="95B3D7" w:themeFill="accent1" w:themeFillTint="99"/>
            <w:vAlign w:val="center"/>
            <w:hideMark/>
          </w:tcPr>
          <w:p w14:paraId="56A622DA" w14:textId="77777777" w:rsidR="00A35DF2" w:rsidRDefault="00A35DF2" w:rsidP="00A35DF2">
            <w:pPr>
              <w:jc w:val="center"/>
              <w:rPr>
                <w:rFonts w:ascii="Calibri" w:hAnsi="Calibri" w:cs="Calibri"/>
                <w:b/>
                <w:bCs/>
                <w:color w:val="000000"/>
                <w:sz w:val="22"/>
                <w:szCs w:val="22"/>
              </w:rPr>
            </w:pPr>
            <w:r>
              <w:rPr>
                <w:rFonts w:ascii="Calibri" w:hAnsi="Calibri" w:cs="Calibri"/>
                <w:b/>
                <w:bCs/>
                <w:color w:val="000000"/>
                <w:sz w:val="22"/>
                <w:szCs w:val="22"/>
              </w:rPr>
              <w:t>Rate</w:t>
            </w:r>
          </w:p>
        </w:tc>
        <w:tc>
          <w:tcPr>
            <w:tcW w:w="2010" w:type="dxa"/>
            <w:tcBorders>
              <w:top w:val="single" w:sz="8" w:space="0" w:color="auto"/>
              <w:left w:val="nil"/>
              <w:bottom w:val="single" w:sz="8" w:space="0" w:color="auto"/>
              <w:right w:val="single" w:sz="8" w:space="0" w:color="auto"/>
            </w:tcBorders>
            <w:shd w:val="clear" w:color="auto" w:fill="95B3D7" w:themeFill="accent1" w:themeFillTint="99"/>
            <w:vAlign w:val="center"/>
            <w:hideMark/>
          </w:tcPr>
          <w:p w14:paraId="4163C803" w14:textId="77777777" w:rsidR="00A35DF2" w:rsidRDefault="00A35DF2" w:rsidP="00A35DF2">
            <w:pPr>
              <w:jc w:val="center"/>
              <w:rPr>
                <w:rFonts w:ascii="Calibri" w:hAnsi="Calibri" w:cs="Calibri"/>
                <w:b/>
                <w:bCs/>
                <w:color w:val="000000"/>
                <w:sz w:val="22"/>
                <w:szCs w:val="22"/>
              </w:rPr>
            </w:pPr>
            <w:r>
              <w:rPr>
                <w:rFonts w:ascii="Calibri" w:hAnsi="Calibri" w:cs="Calibri"/>
                <w:b/>
                <w:bCs/>
                <w:color w:val="000000"/>
                <w:sz w:val="22"/>
                <w:szCs w:val="22"/>
              </w:rPr>
              <w:t>FY 2024-25_H1</w:t>
            </w:r>
          </w:p>
          <w:p w14:paraId="3E93E5EE" w14:textId="2BFCF8D4" w:rsidR="00A35DF2" w:rsidRDefault="00A35DF2" w:rsidP="00A35DF2">
            <w:pPr>
              <w:jc w:val="center"/>
              <w:rPr>
                <w:rFonts w:ascii="Calibri" w:hAnsi="Calibri" w:cs="Calibri"/>
                <w:b/>
                <w:bCs/>
                <w:color w:val="000000"/>
                <w:sz w:val="22"/>
                <w:szCs w:val="22"/>
              </w:rPr>
            </w:pPr>
            <w:r>
              <w:rPr>
                <w:rFonts w:ascii="Calibri" w:hAnsi="Calibri" w:cs="Calibri"/>
                <w:b/>
                <w:bCs/>
                <w:color w:val="000000"/>
                <w:sz w:val="22"/>
                <w:szCs w:val="22"/>
              </w:rPr>
              <w:t>(Actual)</w:t>
            </w:r>
          </w:p>
        </w:tc>
        <w:tc>
          <w:tcPr>
            <w:tcW w:w="0" w:type="auto"/>
            <w:tcBorders>
              <w:top w:val="single" w:sz="8" w:space="0" w:color="auto"/>
              <w:left w:val="nil"/>
              <w:bottom w:val="single" w:sz="8" w:space="0" w:color="auto"/>
              <w:right w:val="single" w:sz="8" w:space="0" w:color="auto"/>
            </w:tcBorders>
            <w:shd w:val="clear" w:color="auto" w:fill="95B3D7" w:themeFill="accent1" w:themeFillTint="99"/>
            <w:vAlign w:val="center"/>
            <w:hideMark/>
          </w:tcPr>
          <w:p w14:paraId="4AE8A20B" w14:textId="570A3F7C" w:rsidR="00A35DF2" w:rsidRDefault="00A35DF2" w:rsidP="00A35DF2">
            <w:pPr>
              <w:jc w:val="center"/>
              <w:rPr>
                <w:rFonts w:ascii="Calibri" w:hAnsi="Calibri" w:cs="Calibri"/>
                <w:b/>
                <w:bCs/>
                <w:color w:val="000000"/>
                <w:sz w:val="22"/>
                <w:szCs w:val="22"/>
              </w:rPr>
            </w:pPr>
            <w:r>
              <w:rPr>
                <w:rFonts w:ascii="Calibri" w:hAnsi="Calibri" w:cs="Calibri"/>
                <w:b/>
                <w:bCs/>
                <w:color w:val="000000"/>
                <w:sz w:val="22"/>
                <w:szCs w:val="22"/>
              </w:rPr>
              <w:t>FY 2024-25 (Estimated)</w:t>
            </w:r>
          </w:p>
        </w:tc>
        <w:tc>
          <w:tcPr>
            <w:tcW w:w="0" w:type="auto"/>
            <w:tcBorders>
              <w:top w:val="single" w:sz="8" w:space="0" w:color="auto"/>
              <w:left w:val="nil"/>
              <w:bottom w:val="single" w:sz="8" w:space="0" w:color="auto"/>
              <w:right w:val="single" w:sz="8" w:space="0" w:color="auto"/>
            </w:tcBorders>
            <w:shd w:val="clear" w:color="auto" w:fill="95B3D7" w:themeFill="accent1" w:themeFillTint="99"/>
            <w:vAlign w:val="center"/>
            <w:hideMark/>
          </w:tcPr>
          <w:p w14:paraId="599D5DE1" w14:textId="0DCFC632" w:rsidR="00A35DF2" w:rsidRDefault="00A35DF2" w:rsidP="00A35DF2">
            <w:pPr>
              <w:jc w:val="center"/>
              <w:rPr>
                <w:rFonts w:ascii="Calibri" w:hAnsi="Calibri" w:cs="Calibri"/>
                <w:b/>
                <w:bCs/>
                <w:color w:val="000000"/>
                <w:sz w:val="22"/>
                <w:szCs w:val="22"/>
              </w:rPr>
            </w:pPr>
            <w:r>
              <w:rPr>
                <w:rFonts w:ascii="Calibri" w:hAnsi="Calibri" w:cs="Calibri"/>
                <w:b/>
                <w:bCs/>
                <w:color w:val="000000"/>
                <w:sz w:val="22"/>
                <w:szCs w:val="22"/>
              </w:rPr>
              <w:t>FY 2025-26 (Projection)</w:t>
            </w:r>
          </w:p>
        </w:tc>
      </w:tr>
      <w:tr w:rsidR="00A35DF2" w14:paraId="505F2395" w14:textId="77777777" w:rsidTr="00A35DF2">
        <w:trPr>
          <w:trHeight w:val="624"/>
        </w:trPr>
        <w:tc>
          <w:tcPr>
            <w:tcW w:w="567" w:type="dxa"/>
            <w:tcBorders>
              <w:top w:val="nil"/>
              <w:left w:val="single" w:sz="8" w:space="0" w:color="auto"/>
              <w:bottom w:val="single" w:sz="8" w:space="0" w:color="auto"/>
              <w:right w:val="single" w:sz="8" w:space="0" w:color="auto"/>
            </w:tcBorders>
            <w:shd w:val="clear" w:color="auto" w:fill="auto"/>
            <w:vAlign w:val="center"/>
            <w:hideMark/>
          </w:tcPr>
          <w:p w14:paraId="553769FE" w14:textId="77777777" w:rsidR="00574D2E" w:rsidRDefault="00574D2E">
            <w:pPr>
              <w:jc w:val="center"/>
              <w:rPr>
                <w:rFonts w:ascii="Calibri" w:hAnsi="Calibri" w:cs="Calibri"/>
                <w:color w:val="000000"/>
                <w:sz w:val="22"/>
                <w:szCs w:val="22"/>
              </w:rPr>
            </w:pPr>
            <w:r>
              <w:rPr>
                <w:rFonts w:ascii="Calibri" w:hAnsi="Calibri" w:cs="Calibri"/>
                <w:color w:val="000000"/>
                <w:sz w:val="22"/>
                <w:szCs w:val="22"/>
              </w:rPr>
              <w:t>1</w:t>
            </w:r>
          </w:p>
        </w:tc>
        <w:tc>
          <w:tcPr>
            <w:tcW w:w="1922" w:type="dxa"/>
            <w:tcBorders>
              <w:top w:val="nil"/>
              <w:left w:val="nil"/>
              <w:bottom w:val="single" w:sz="8" w:space="0" w:color="auto"/>
              <w:right w:val="single" w:sz="8" w:space="0" w:color="auto"/>
            </w:tcBorders>
            <w:shd w:val="clear" w:color="auto" w:fill="auto"/>
            <w:vAlign w:val="center"/>
            <w:hideMark/>
          </w:tcPr>
          <w:p w14:paraId="49EA17BB" w14:textId="77777777" w:rsidR="00574D2E" w:rsidRDefault="00574D2E">
            <w:pPr>
              <w:rPr>
                <w:rFonts w:ascii="Calibri" w:hAnsi="Calibri" w:cs="Calibri"/>
                <w:color w:val="000000"/>
                <w:sz w:val="22"/>
                <w:szCs w:val="22"/>
              </w:rPr>
            </w:pPr>
            <w:r>
              <w:rPr>
                <w:rFonts w:ascii="Calibri" w:hAnsi="Calibri" w:cs="Calibri"/>
                <w:color w:val="000000"/>
                <w:sz w:val="22"/>
                <w:szCs w:val="22"/>
              </w:rPr>
              <w:t>Power Purchase</w:t>
            </w:r>
          </w:p>
        </w:tc>
        <w:tc>
          <w:tcPr>
            <w:tcW w:w="1532" w:type="dxa"/>
            <w:tcBorders>
              <w:top w:val="nil"/>
              <w:left w:val="nil"/>
              <w:bottom w:val="single" w:sz="8" w:space="0" w:color="auto"/>
              <w:right w:val="single" w:sz="8" w:space="0" w:color="auto"/>
            </w:tcBorders>
            <w:shd w:val="clear" w:color="auto" w:fill="auto"/>
            <w:vAlign w:val="center"/>
            <w:hideMark/>
          </w:tcPr>
          <w:p w14:paraId="349D2E56" w14:textId="77777777" w:rsidR="00574D2E" w:rsidRDefault="00574D2E">
            <w:pPr>
              <w:jc w:val="center"/>
              <w:rPr>
                <w:rFonts w:ascii="Calibri" w:hAnsi="Calibri" w:cs="Calibri"/>
                <w:color w:val="000000"/>
                <w:sz w:val="22"/>
                <w:szCs w:val="22"/>
              </w:rPr>
            </w:pPr>
            <w:r>
              <w:rPr>
                <w:rFonts w:ascii="Calibri" w:hAnsi="Calibri" w:cs="Calibri"/>
                <w:color w:val="000000"/>
                <w:sz w:val="22"/>
                <w:szCs w:val="22"/>
              </w:rPr>
              <w:t>MU</w:t>
            </w:r>
          </w:p>
        </w:tc>
        <w:tc>
          <w:tcPr>
            <w:tcW w:w="985" w:type="dxa"/>
            <w:tcBorders>
              <w:top w:val="nil"/>
              <w:left w:val="nil"/>
              <w:bottom w:val="single" w:sz="8" w:space="0" w:color="auto"/>
              <w:right w:val="single" w:sz="8" w:space="0" w:color="auto"/>
            </w:tcBorders>
            <w:shd w:val="clear" w:color="auto" w:fill="auto"/>
            <w:vAlign w:val="center"/>
            <w:hideMark/>
          </w:tcPr>
          <w:p w14:paraId="0D076513" w14:textId="77777777" w:rsidR="00574D2E" w:rsidRDefault="00574D2E">
            <w:pPr>
              <w:jc w:val="center"/>
              <w:rPr>
                <w:rFonts w:ascii="Calibri" w:hAnsi="Calibri" w:cs="Calibri"/>
                <w:color w:val="000000"/>
                <w:sz w:val="22"/>
                <w:szCs w:val="22"/>
              </w:rPr>
            </w:pPr>
            <w:r>
              <w:rPr>
                <w:rFonts w:ascii="Calibri" w:hAnsi="Calibri" w:cs="Calibri"/>
                <w:color w:val="000000"/>
                <w:sz w:val="22"/>
                <w:szCs w:val="22"/>
              </w:rPr>
              <w:t> </w:t>
            </w:r>
          </w:p>
        </w:tc>
        <w:tc>
          <w:tcPr>
            <w:tcW w:w="2010" w:type="dxa"/>
            <w:tcBorders>
              <w:top w:val="nil"/>
              <w:left w:val="nil"/>
              <w:bottom w:val="single" w:sz="8" w:space="0" w:color="auto"/>
              <w:right w:val="single" w:sz="8" w:space="0" w:color="auto"/>
            </w:tcBorders>
            <w:shd w:val="clear" w:color="auto" w:fill="auto"/>
            <w:vAlign w:val="center"/>
            <w:hideMark/>
          </w:tcPr>
          <w:p w14:paraId="6FBD367B" w14:textId="77777777" w:rsidR="00574D2E" w:rsidRDefault="00574D2E">
            <w:pPr>
              <w:jc w:val="center"/>
              <w:rPr>
                <w:rFonts w:ascii="Calibri" w:hAnsi="Calibri" w:cs="Calibri"/>
                <w:color w:val="000000"/>
                <w:sz w:val="22"/>
                <w:szCs w:val="22"/>
              </w:rPr>
            </w:pPr>
            <w:r>
              <w:rPr>
                <w:rFonts w:ascii="Calibri" w:hAnsi="Calibri" w:cs="Calibri"/>
                <w:color w:val="000000"/>
                <w:sz w:val="22"/>
                <w:szCs w:val="22"/>
              </w:rPr>
              <w:t>4086.74</w:t>
            </w:r>
          </w:p>
        </w:tc>
        <w:tc>
          <w:tcPr>
            <w:tcW w:w="0" w:type="auto"/>
            <w:tcBorders>
              <w:top w:val="nil"/>
              <w:left w:val="nil"/>
              <w:bottom w:val="single" w:sz="8" w:space="0" w:color="auto"/>
              <w:right w:val="single" w:sz="8" w:space="0" w:color="auto"/>
            </w:tcBorders>
            <w:shd w:val="clear" w:color="auto" w:fill="auto"/>
            <w:vAlign w:val="center"/>
            <w:hideMark/>
          </w:tcPr>
          <w:p w14:paraId="48E00FCF" w14:textId="77777777" w:rsidR="00574D2E" w:rsidRDefault="00574D2E">
            <w:pPr>
              <w:jc w:val="center"/>
              <w:rPr>
                <w:rFonts w:ascii="Calibri" w:hAnsi="Calibri" w:cs="Calibri"/>
                <w:color w:val="000000"/>
                <w:sz w:val="22"/>
                <w:szCs w:val="22"/>
              </w:rPr>
            </w:pPr>
            <w:r>
              <w:rPr>
                <w:rFonts w:ascii="Calibri" w:hAnsi="Calibri" w:cs="Calibri"/>
                <w:color w:val="000000"/>
                <w:sz w:val="22"/>
                <w:szCs w:val="22"/>
              </w:rPr>
              <w:t>8037.07</w:t>
            </w:r>
          </w:p>
        </w:tc>
        <w:tc>
          <w:tcPr>
            <w:tcW w:w="0" w:type="auto"/>
            <w:tcBorders>
              <w:top w:val="nil"/>
              <w:left w:val="nil"/>
              <w:bottom w:val="single" w:sz="8" w:space="0" w:color="auto"/>
              <w:right w:val="single" w:sz="8" w:space="0" w:color="auto"/>
            </w:tcBorders>
            <w:shd w:val="clear" w:color="auto" w:fill="auto"/>
            <w:vAlign w:val="center"/>
            <w:hideMark/>
          </w:tcPr>
          <w:p w14:paraId="56CB4D3E" w14:textId="77777777" w:rsidR="00574D2E" w:rsidRDefault="00574D2E">
            <w:pPr>
              <w:jc w:val="center"/>
              <w:rPr>
                <w:rFonts w:ascii="Calibri" w:hAnsi="Calibri" w:cs="Calibri"/>
                <w:color w:val="000000"/>
                <w:sz w:val="22"/>
                <w:szCs w:val="22"/>
              </w:rPr>
            </w:pPr>
            <w:r>
              <w:rPr>
                <w:rFonts w:ascii="Calibri" w:hAnsi="Calibri" w:cs="Calibri"/>
                <w:color w:val="000000"/>
                <w:sz w:val="22"/>
                <w:szCs w:val="22"/>
              </w:rPr>
              <w:t>8718.78</w:t>
            </w:r>
          </w:p>
        </w:tc>
      </w:tr>
      <w:tr w:rsidR="00A35DF2" w14:paraId="19163523" w14:textId="77777777" w:rsidTr="00A35DF2">
        <w:trPr>
          <w:trHeight w:val="381"/>
        </w:trPr>
        <w:tc>
          <w:tcPr>
            <w:tcW w:w="567" w:type="dxa"/>
            <w:tcBorders>
              <w:top w:val="nil"/>
              <w:left w:val="single" w:sz="8" w:space="0" w:color="auto"/>
              <w:bottom w:val="single" w:sz="8" w:space="0" w:color="auto"/>
              <w:right w:val="single" w:sz="8" w:space="0" w:color="auto"/>
            </w:tcBorders>
            <w:shd w:val="clear" w:color="auto" w:fill="auto"/>
            <w:vAlign w:val="center"/>
            <w:hideMark/>
          </w:tcPr>
          <w:p w14:paraId="6CE4DFB8" w14:textId="77777777" w:rsidR="00574D2E" w:rsidRDefault="00574D2E">
            <w:pPr>
              <w:jc w:val="center"/>
              <w:rPr>
                <w:rFonts w:ascii="Calibri" w:hAnsi="Calibri" w:cs="Calibri"/>
                <w:color w:val="000000"/>
                <w:sz w:val="22"/>
                <w:szCs w:val="22"/>
              </w:rPr>
            </w:pPr>
            <w:r>
              <w:rPr>
                <w:rFonts w:ascii="Calibri" w:hAnsi="Calibri" w:cs="Calibri"/>
                <w:color w:val="000000"/>
                <w:sz w:val="22"/>
                <w:szCs w:val="22"/>
              </w:rPr>
              <w:t>2</w:t>
            </w:r>
          </w:p>
        </w:tc>
        <w:tc>
          <w:tcPr>
            <w:tcW w:w="1922" w:type="dxa"/>
            <w:tcBorders>
              <w:top w:val="nil"/>
              <w:left w:val="nil"/>
              <w:bottom w:val="single" w:sz="8" w:space="0" w:color="auto"/>
              <w:right w:val="single" w:sz="8" w:space="0" w:color="auto"/>
            </w:tcBorders>
            <w:shd w:val="clear" w:color="auto" w:fill="auto"/>
            <w:vAlign w:val="center"/>
            <w:hideMark/>
          </w:tcPr>
          <w:p w14:paraId="236798D2" w14:textId="77777777" w:rsidR="00574D2E" w:rsidRDefault="00574D2E">
            <w:pPr>
              <w:rPr>
                <w:rFonts w:ascii="Calibri" w:hAnsi="Calibri" w:cs="Calibri"/>
                <w:color w:val="000000"/>
                <w:sz w:val="22"/>
                <w:szCs w:val="22"/>
              </w:rPr>
            </w:pPr>
            <w:r>
              <w:rPr>
                <w:rFonts w:ascii="Calibri" w:hAnsi="Calibri" w:cs="Calibri"/>
                <w:color w:val="000000"/>
                <w:sz w:val="22"/>
                <w:szCs w:val="22"/>
              </w:rPr>
              <w:t>BSP</w:t>
            </w:r>
          </w:p>
        </w:tc>
        <w:tc>
          <w:tcPr>
            <w:tcW w:w="1532" w:type="dxa"/>
            <w:tcBorders>
              <w:top w:val="nil"/>
              <w:left w:val="nil"/>
              <w:bottom w:val="single" w:sz="8" w:space="0" w:color="auto"/>
              <w:right w:val="single" w:sz="8" w:space="0" w:color="auto"/>
            </w:tcBorders>
            <w:shd w:val="clear" w:color="auto" w:fill="auto"/>
            <w:vAlign w:val="center"/>
            <w:hideMark/>
          </w:tcPr>
          <w:p w14:paraId="585E773F" w14:textId="77777777" w:rsidR="00574D2E" w:rsidRDefault="00574D2E">
            <w:pPr>
              <w:jc w:val="center"/>
              <w:rPr>
                <w:rFonts w:ascii="Calibri" w:hAnsi="Calibri" w:cs="Calibri"/>
                <w:color w:val="000000"/>
                <w:sz w:val="22"/>
                <w:szCs w:val="22"/>
              </w:rPr>
            </w:pPr>
            <w:proofErr w:type="gramStart"/>
            <w:r>
              <w:rPr>
                <w:rFonts w:ascii="Calibri" w:hAnsi="Calibri" w:cs="Calibri"/>
                <w:color w:val="000000"/>
                <w:sz w:val="22"/>
                <w:szCs w:val="22"/>
              </w:rPr>
              <w:t>Rs./</w:t>
            </w:r>
            <w:proofErr w:type="gramEnd"/>
            <w:r>
              <w:rPr>
                <w:rFonts w:ascii="Calibri" w:hAnsi="Calibri" w:cs="Calibri"/>
                <w:color w:val="000000"/>
                <w:sz w:val="22"/>
                <w:szCs w:val="22"/>
              </w:rPr>
              <w:t>kwh</w:t>
            </w:r>
          </w:p>
        </w:tc>
        <w:tc>
          <w:tcPr>
            <w:tcW w:w="985" w:type="dxa"/>
            <w:tcBorders>
              <w:top w:val="nil"/>
              <w:left w:val="nil"/>
              <w:bottom w:val="single" w:sz="8" w:space="0" w:color="auto"/>
              <w:right w:val="single" w:sz="8" w:space="0" w:color="auto"/>
            </w:tcBorders>
            <w:shd w:val="clear" w:color="auto" w:fill="auto"/>
            <w:vAlign w:val="center"/>
            <w:hideMark/>
          </w:tcPr>
          <w:p w14:paraId="3B118640" w14:textId="77777777" w:rsidR="00574D2E" w:rsidRDefault="00574D2E">
            <w:pPr>
              <w:jc w:val="center"/>
              <w:rPr>
                <w:rFonts w:ascii="Calibri" w:hAnsi="Calibri" w:cs="Calibri"/>
                <w:color w:val="000000"/>
                <w:sz w:val="22"/>
                <w:szCs w:val="22"/>
              </w:rPr>
            </w:pPr>
            <w:r>
              <w:rPr>
                <w:rFonts w:ascii="Calibri" w:hAnsi="Calibri" w:cs="Calibri"/>
                <w:color w:val="000000"/>
                <w:sz w:val="22"/>
                <w:szCs w:val="22"/>
              </w:rPr>
              <w:t>3.5</w:t>
            </w:r>
          </w:p>
        </w:tc>
        <w:tc>
          <w:tcPr>
            <w:tcW w:w="2010" w:type="dxa"/>
            <w:tcBorders>
              <w:top w:val="nil"/>
              <w:left w:val="nil"/>
              <w:bottom w:val="single" w:sz="8" w:space="0" w:color="auto"/>
              <w:right w:val="single" w:sz="8" w:space="0" w:color="auto"/>
            </w:tcBorders>
            <w:shd w:val="clear" w:color="auto" w:fill="auto"/>
            <w:vAlign w:val="center"/>
            <w:hideMark/>
          </w:tcPr>
          <w:p w14:paraId="2A582157" w14:textId="77777777" w:rsidR="00574D2E" w:rsidRDefault="00574D2E">
            <w:pPr>
              <w:jc w:val="center"/>
              <w:rPr>
                <w:rFonts w:ascii="Calibri" w:hAnsi="Calibri" w:cs="Calibri"/>
                <w:color w:val="000000"/>
                <w:sz w:val="22"/>
                <w:szCs w:val="22"/>
              </w:rPr>
            </w:pPr>
            <w:r>
              <w:rPr>
                <w:rFonts w:ascii="Calibri" w:hAnsi="Calibri" w:cs="Calibri"/>
                <w:color w:val="000000"/>
                <w:sz w:val="22"/>
                <w:szCs w:val="22"/>
              </w:rPr>
              <w:t>1430.36</w:t>
            </w:r>
          </w:p>
        </w:tc>
        <w:tc>
          <w:tcPr>
            <w:tcW w:w="0" w:type="auto"/>
            <w:tcBorders>
              <w:top w:val="nil"/>
              <w:left w:val="nil"/>
              <w:bottom w:val="single" w:sz="8" w:space="0" w:color="auto"/>
              <w:right w:val="single" w:sz="8" w:space="0" w:color="auto"/>
            </w:tcBorders>
            <w:shd w:val="clear" w:color="auto" w:fill="auto"/>
            <w:vAlign w:val="center"/>
            <w:hideMark/>
          </w:tcPr>
          <w:p w14:paraId="1203C327" w14:textId="77777777" w:rsidR="00574D2E" w:rsidRDefault="00574D2E">
            <w:pPr>
              <w:jc w:val="center"/>
              <w:rPr>
                <w:rFonts w:ascii="Calibri" w:hAnsi="Calibri" w:cs="Calibri"/>
                <w:color w:val="000000"/>
                <w:sz w:val="22"/>
                <w:szCs w:val="22"/>
              </w:rPr>
            </w:pPr>
            <w:r>
              <w:rPr>
                <w:rFonts w:ascii="Calibri" w:hAnsi="Calibri" w:cs="Calibri"/>
                <w:color w:val="000000"/>
                <w:sz w:val="22"/>
                <w:szCs w:val="22"/>
              </w:rPr>
              <w:t>2812.97</w:t>
            </w:r>
          </w:p>
        </w:tc>
        <w:tc>
          <w:tcPr>
            <w:tcW w:w="0" w:type="auto"/>
            <w:tcBorders>
              <w:top w:val="nil"/>
              <w:left w:val="nil"/>
              <w:bottom w:val="single" w:sz="8" w:space="0" w:color="auto"/>
              <w:right w:val="single" w:sz="8" w:space="0" w:color="auto"/>
            </w:tcBorders>
            <w:shd w:val="clear" w:color="auto" w:fill="auto"/>
            <w:vAlign w:val="center"/>
            <w:hideMark/>
          </w:tcPr>
          <w:p w14:paraId="356259A7" w14:textId="77777777" w:rsidR="00574D2E" w:rsidRDefault="00574D2E">
            <w:pPr>
              <w:jc w:val="center"/>
              <w:rPr>
                <w:rFonts w:ascii="Calibri" w:hAnsi="Calibri" w:cs="Calibri"/>
                <w:color w:val="000000"/>
                <w:sz w:val="22"/>
                <w:szCs w:val="22"/>
              </w:rPr>
            </w:pPr>
            <w:r>
              <w:rPr>
                <w:rFonts w:ascii="Calibri" w:hAnsi="Calibri" w:cs="Calibri"/>
                <w:color w:val="000000"/>
                <w:sz w:val="22"/>
                <w:szCs w:val="22"/>
              </w:rPr>
              <w:t>3051.57</w:t>
            </w:r>
          </w:p>
        </w:tc>
      </w:tr>
      <w:tr w:rsidR="00A35DF2" w14:paraId="50899E31" w14:textId="77777777" w:rsidTr="00A35DF2">
        <w:trPr>
          <w:trHeight w:val="624"/>
        </w:trPr>
        <w:tc>
          <w:tcPr>
            <w:tcW w:w="567" w:type="dxa"/>
            <w:tcBorders>
              <w:top w:val="nil"/>
              <w:left w:val="single" w:sz="8" w:space="0" w:color="auto"/>
              <w:bottom w:val="single" w:sz="8" w:space="0" w:color="auto"/>
              <w:right w:val="single" w:sz="8" w:space="0" w:color="auto"/>
            </w:tcBorders>
            <w:shd w:val="clear" w:color="auto" w:fill="auto"/>
            <w:vAlign w:val="center"/>
            <w:hideMark/>
          </w:tcPr>
          <w:p w14:paraId="04012E8D" w14:textId="77777777" w:rsidR="00574D2E" w:rsidRDefault="00574D2E">
            <w:pPr>
              <w:jc w:val="center"/>
              <w:rPr>
                <w:rFonts w:ascii="Calibri" w:hAnsi="Calibri" w:cs="Calibri"/>
                <w:color w:val="000000"/>
                <w:sz w:val="22"/>
                <w:szCs w:val="22"/>
              </w:rPr>
            </w:pPr>
            <w:r>
              <w:rPr>
                <w:rFonts w:ascii="Calibri" w:hAnsi="Calibri" w:cs="Calibri"/>
                <w:color w:val="000000"/>
                <w:sz w:val="22"/>
                <w:szCs w:val="22"/>
              </w:rPr>
              <w:t>3</w:t>
            </w:r>
          </w:p>
        </w:tc>
        <w:tc>
          <w:tcPr>
            <w:tcW w:w="1922" w:type="dxa"/>
            <w:tcBorders>
              <w:top w:val="nil"/>
              <w:left w:val="nil"/>
              <w:bottom w:val="single" w:sz="8" w:space="0" w:color="auto"/>
              <w:right w:val="single" w:sz="8" w:space="0" w:color="auto"/>
            </w:tcBorders>
            <w:shd w:val="clear" w:color="auto" w:fill="auto"/>
            <w:vAlign w:val="center"/>
            <w:hideMark/>
          </w:tcPr>
          <w:p w14:paraId="3C63787E" w14:textId="77777777" w:rsidR="00574D2E" w:rsidRDefault="00574D2E">
            <w:pPr>
              <w:rPr>
                <w:rFonts w:ascii="Calibri" w:hAnsi="Calibri" w:cs="Calibri"/>
                <w:color w:val="000000"/>
                <w:sz w:val="22"/>
                <w:szCs w:val="22"/>
              </w:rPr>
            </w:pPr>
            <w:r>
              <w:rPr>
                <w:rFonts w:ascii="Calibri" w:hAnsi="Calibri" w:cs="Calibri"/>
                <w:color w:val="000000"/>
                <w:sz w:val="22"/>
                <w:szCs w:val="22"/>
              </w:rPr>
              <w:t>Transmission Charges</w:t>
            </w:r>
          </w:p>
        </w:tc>
        <w:tc>
          <w:tcPr>
            <w:tcW w:w="1532" w:type="dxa"/>
            <w:tcBorders>
              <w:top w:val="nil"/>
              <w:left w:val="nil"/>
              <w:bottom w:val="single" w:sz="8" w:space="0" w:color="auto"/>
              <w:right w:val="single" w:sz="8" w:space="0" w:color="auto"/>
            </w:tcBorders>
            <w:shd w:val="clear" w:color="auto" w:fill="auto"/>
            <w:vAlign w:val="center"/>
            <w:hideMark/>
          </w:tcPr>
          <w:p w14:paraId="4F124620" w14:textId="77777777" w:rsidR="00574D2E" w:rsidRDefault="00574D2E">
            <w:pPr>
              <w:jc w:val="center"/>
              <w:rPr>
                <w:rFonts w:ascii="Calibri" w:hAnsi="Calibri" w:cs="Calibri"/>
                <w:color w:val="000000"/>
                <w:sz w:val="22"/>
                <w:szCs w:val="22"/>
              </w:rPr>
            </w:pPr>
            <w:proofErr w:type="gramStart"/>
            <w:r>
              <w:rPr>
                <w:rFonts w:ascii="Calibri" w:hAnsi="Calibri" w:cs="Calibri"/>
                <w:color w:val="000000"/>
                <w:sz w:val="22"/>
                <w:szCs w:val="22"/>
              </w:rPr>
              <w:t>Rs./</w:t>
            </w:r>
            <w:proofErr w:type="gramEnd"/>
            <w:r>
              <w:rPr>
                <w:rFonts w:ascii="Calibri" w:hAnsi="Calibri" w:cs="Calibri"/>
                <w:color w:val="000000"/>
                <w:sz w:val="22"/>
                <w:szCs w:val="22"/>
              </w:rPr>
              <w:t>kwh</w:t>
            </w:r>
          </w:p>
        </w:tc>
        <w:tc>
          <w:tcPr>
            <w:tcW w:w="985" w:type="dxa"/>
            <w:tcBorders>
              <w:top w:val="nil"/>
              <w:left w:val="nil"/>
              <w:bottom w:val="single" w:sz="8" w:space="0" w:color="auto"/>
              <w:right w:val="single" w:sz="8" w:space="0" w:color="auto"/>
            </w:tcBorders>
            <w:shd w:val="clear" w:color="auto" w:fill="auto"/>
            <w:vAlign w:val="center"/>
            <w:hideMark/>
          </w:tcPr>
          <w:p w14:paraId="0B1916FD" w14:textId="77777777" w:rsidR="00574D2E" w:rsidRDefault="00574D2E">
            <w:pPr>
              <w:jc w:val="center"/>
              <w:rPr>
                <w:rFonts w:ascii="Calibri" w:hAnsi="Calibri" w:cs="Calibri"/>
                <w:color w:val="000000"/>
                <w:sz w:val="22"/>
                <w:szCs w:val="22"/>
              </w:rPr>
            </w:pPr>
            <w:r>
              <w:rPr>
                <w:rFonts w:ascii="Calibri" w:hAnsi="Calibri" w:cs="Calibri"/>
                <w:color w:val="000000"/>
                <w:sz w:val="22"/>
                <w:szCs w:val="22"/>
              </w:rPr>
              <w:t>0.24</w:t>
            </w:r>
          </w:p>
        </w:tc>
        <w:tc>
          <w:tcPr>
            <w:tcW w:w="2010" w:type="dxa"/>
            <w:tcBorders>
              <w:top w:val="nil"/>
              <w:left w:val="nil"/>
              <w:bottom w:val="single" w:sz="8" w:space="0" w:color="auto"/>
              <w:right w:val="single" w:sz="8" w:space="0" w:color="auto"/>
            </w:tcBorders>
            <w:shd w:val="clear" w:color="auto" w:fill="auto"/>
            <w:vAlign w:val="center"/>
            <w:hideMark/>
          </w:tcPr>
          <w:p w14:paraId="5C93A7D3" w14:textId="77777777" w:rsidR="00574D2E" w:rsidRDefault="00574D2E">
            <w:pPr>
              <w:jc w:val="center"/>
              <w:rPr>
                <w:rFonts w:ascii="Calibri" w:hAnsi="Calibri" w:cs="Calibri"/>
                <w:color w:val="000000"/>
                <w:sz w:val="22"/>
                <w:szCs w:val="22"/>
              </w:rPr>
            </w:pPr>
            <w:r>
              <w:rPr>
                <w:rFonts w:ascii="Calibri" w:hAnsi="Calibri" w:cs="Calibri"/>
                <w:color w:val="000000"/>
                <w:sz w:val="22"/>
                <w:szCs w:val="22"/>
              </w:rPr>
              <w:t>98.08</w:t>
            </w:r>
          </w:p>
        </w:tc>
        <w:tc>
          <w:tcPr>
            <w:tcW w:w="0" w:type="auto"/>
            <w:tcBorders>
              <w:top w:val="nil"/>
              <w:left w:val="nil"/>
              <w:bottom w:val="single" w:sz="8" w:space="0" w:color="auto"/>
              <w:right w:val="single" w:sz="8" w:space="0" w:color="auto"/>
            </w:tcBorders>
            <w:shd w:val="clear" w:color="auto" w:fill="auto"/>
            <w:vAlign w:val="center"/>
            <w:hideMark/>
          </w:tcPr>
          <w:p w14:paraId="279A212C" w14:textId="77777777" w:rsidR="00574D2E" w:rsidRDefault="00574D2E">
            <w:pPr>
              <w:jc w:val="center"/>
              <w:rPr>
                <w:rFonts w:ascii="Calibri" w:hAnsi="Calibri" w:cs="Calibri"/>
                <w:color w:val="000000"/>
                <w:sz w:val="22"/>
                <w:szCs w:val="22"/>
              </w:rPr>
            </w:pPr>
            <w:r>
              <w:rPr>
                <w:rFonts w:ascii="Calibri" w:hAnsi="Calibri" w:cs="Calibri"/>
                <w:color w:val="000000"/>
                <w:sz w:val="22"/>
                <w:szCs w:val="22"/>
              </w:rPr>
              <w:t>192.89</w:t>
            </w:r>
          </w:p>
        </w:tc>
        <w:tc>
          <w:tcPr>
            <w:tcW w:w="0" w:type="auto"/>
            <w:tcBorders>
              <w:top w:val="nil"/>
              <w:left w:val="nil"/>
              <w:bottom w:val="single" w:sz="8" w:space="0" w:color="auto"/>
              <w:right w:val="single" w:sz="8" w:space="0" w:color="auto"/>
            </w:tcBorders>
            <w:shd w:val="clear" w:color="auto" w:fill="auto"/>
            <w:vAlign w:val="center"/>
            <w:hideMark/>
          </w:tcPr>
          <w:p w14:paraId="5EF74E74" w14:textId="77777777" w:rsidR="00574D2E" w:rsidRDefault="00574D2E">
            <w:pPr>
              <w:jc w:val="center"/>
              <w:rPr>
                <w:rFonts w:ascii="Calibri" w:hAnsi="Calibri" w:cs="Calibri"/>
                <w:color w:val="000000"/>
                <w:sz w:val="22"/>
                <w:szCs w:val="22"/>
              </w:rPr>
            </w:pPr>
            <w:r>
              <w:rPr>
                <w:rFonts w:ascii="Calibri" w:hAnsi="Calibri" w:cs="Calibri"/>
                <w:color w:val="000000"/>
                <w:sz w:val="22"/>
                <w:szCs w:val="22"/>
              </w:rPr>
              <w:t>209.25</w:t>
            </w:r>
          </w:p>
        </w:tc>
      </w:tr>
      <w:tr w:rsidR="00A35DF2" w14:paraId="5024B7D4" w14:textId="77777777" w:rsidTr="00A35DF2">
        <w:trPr>
          <w:trHeight w:val="381"/>
        </w:trPr>
        <w:tc>
          <w:tcPr>
            <w:tcW w:w="567" w:type="dxa"/>
            <w:tcBorders>
              <w:top w:val="nil"/>
              <w:left w:val="single" w:sz="8" w:space="0" w:color="auto"/>
              <w:bottom w:val="single" w:sz="8" w:space="0" w:color="auto"/>
              <w:right w:val="single" w:sz="8" w:space="0" w:color="auto"/>
            </w:tcBorders>
            <w:shd w:val="clear" w:color="auto" w:fill="auto"/>
            <w:vAlign w:val="center"/>
            <w:hideMark/>
          </w:tcPr>
          <w:p w14:paraId="4A86A6C6" w14:textId="77777777" w:rsidR="00574D2E" w:rsidRDefault="00574D2E">
            <w:pPr>
              <w:jc w:val="center"/>
              <w:rPr>
                <w:rFonts w:ascii="Calibri" w:hAnsi="Calibri" w:cs="Calibri"/>
                <w:color w:val="000000"/>
                <w:sz w:val="22"/>
                <w:szCs w:val="22"/>
              </w:rPr>
            </w:pPr>
            <w:r>
              <w:rPr>
                <w:rFonts w:ascii="Calibri" w:hAnsi="Calibri" w:cs="Calibri"/>
                <w:color w:val="000000"/>
                <w:sz w:val="22"/>
                <w:szCs w:val="22"/>
              </w:rPr>
              <w:t>4</w:t>
            </w:r>
          </w:p>
        </w:tc>
        <w:tc>
          <w:tcPr>
            <w:tcW w:w="1922" w:type="dxa"/>
            <w:tcBorders>
              <w:top w:val="nil"/>
              <w:left w:val="nil"/>
              <w:bottom w:val="single" w:sz="8" w:space="0" w:color="auto"/>
              <w:right w:val="single" w:sz="8" w:space="0" w:color="auto"/>
            </w:tcBorders>
            <w:shd w:val="clear" w:color="auto" w:fill="auto"/>
            <w:vAlign w:val="center"/>
            <w:hideMark/>
          </w:tcPr>
          <w:p w14:paraId="2AB8E621" w14:textId="77777777" w:rsidR="00574D2E" w:rsidRDefault="00574D2E">
            <w:pPr>
              <w:rPr>
                <w:rFonts w:ascii="Calibri" w:hAnsi="Calibri" w:cs="Calibri"/>
                <w:color w:val="000000"/>
                <w:sz w:val="22"/>
                <w:szCs w:val="22"/>
              </w:rPr>
            </w:pPr>
            <w:r>
              <w:rPr>
                <w:rFonts w:ascii="Calibri" w:hAnsi="Calibri" w:cs="Calibri"/>
                <w:color w:val="000000"/>
                <w:sz w:val="22"/>
                <w:szCs w:val="22"/>
              </w:rPr>
              <w:t>SLDC Charges</w:t>
            </w:r>
          </w:p>
        </w:tc>
        <w:tc>
          <w:tcPr>
            <w:tcW w:w="1532" w:type="dxa"/>
            <w:tcBorders>
              <w:top w:val="nil"/>
              <w:left w:val="nil"/>
              <w:bottom w:val="single" w:sz="8" w:space="0" w:color="auto"/>
              <w:right w:val="single" w:sz="8" w:space="0" w:color="auto"/>
            </w:tcBorders>
            <w:shd w:val="clear" w:color="auto" w:fill="auto"/>
            <w:vAlign w:val="center"/>
            <w:hideMark/>
          </w:tcPr>
          <w:p w14:paraId="12613E8E" w14:textId="77777777" w:rsidR="00574D2E" w:rsidRDefault="00574D2E">
            <w:pPr>
              <w:jc w:val="center"/>
              <w:rPr>
                <w:rFonts w:ascii="Calibri" w:hAnsi="Calibri" w:cs="Calibri"/>
                <w:color w:val="000000"/>
                <w:sz w:val="22"/>
                <w:szCs w:val="22"/>
              </w:rPr>
            </w:pPr>
            <w:r>
              <w:rPr>
                <w:rFonts w:ascii="Calibri" w:hAnsi="Calibri" w:cs="Calibri"/>
                <w:color w:val="000000"/>
                <w:sz w:val="22"/>
                <w:szCs w:val="22"/>
              </w:rPr>
              <w:t xml:space="preserve">Rs. </w:t>
            </w:r>
            <w:proofErr w:type="spellStart"/>
            <w:r>
              <w:rPr>
                <w:rFonts w:ascii="Calibri" w:hAnsi="Calibri" w:cs="Calibri"/>
                <w:color w:val="000000"/>
                <w:sz w:val="22"/>
                <w:szCs w:val="22"/>
              </w:rPr>
              <w:t>Crs</w:t>
            </w:r>
            <w:proofErr w:type="spellEnd"/>
            <w:r>
              <w:rPr>
                <w:rFonts w:ascii="Calibri" w:hAnsi="Calibri" w:cs="Calibri"/>
                <w:color w:val="000000"/>
                <w:sz w:val="22"/>
                <w:szCs w:val="22"/>
              </w:rPr>
              <w:t>/ annum</w:t>
            </w:r>
          </w:p>
        </w:tc>
        <w:tc>
          <w:tcPr>
            <w:tcW w:w="985" w:type="dxa"/>
            <w:tcBorders>
              <w:top w:val="nil"/>
              <w:left w:val="nil"/>
              <w:bottom w:val="single" w:sz="8" w:space="0" w:color="auto"/>
              <w:right w:val="single" w:sz="8" w:space="0" w:color="auto"/>
            </w:tcBorders>
            <w:shd w:val="clear" w:color="auto" w:fill="auto"/>
            <w:vAlign w:val="center"/>
            <w:hideMark/>
          </w:tcPr>
          <w:p w14:paraId="37A99AC3" w14:textId="77777777" w:rsidR="00574D2E" w:rsidRDefault="00574D2E">
            <w:pPr>
              <w:jc w:val="center"/>
              <w:rPr>
                <w:rFonts w:ascii="Calibri" w:hAnsi="Calibri" w:cs="Calibri"/>
                <w:color w:val="000000"/>
                <w:sz w:val="22"/>
                <w:szCs w:val="22"/>
              </w:rPr>
            </w:pPr>
            <w:r>
              <w:rPr>
                <w:rFonts w:ascii="Calibri" w:hAnsi="Calibri" w:cs="Calibri"/>
                <w:color w:val="000000"/>
                <w:sz w:val="22"/>
                <w:szCs w:val="22"/>
              </w:rPr>
              <w:t>1.5964</w:t>
            </w:r>
          </w:p>
        </w:tc>
        <w:tc>
          <w:tcPr>
            <w:tcW w:w="2010" w:type="dxa"/>
            <w:tcBorders>
              <w:top w:val="nil"/>
              <w:left w:val="nil"/>
              <w:bottom w:val="single" w:sz="8" w:space="0" w:color="auto"/>
              <w:right w:val="single" w:sz="8" w:space="0" w:color="auto"/>
            </w:tcBorders>
            <w:shd w:val="clear" w:color="auto" w:fill="auto"/>
            <w:vAlign w:val="center"/>
            <w:hideMark/>
          </w:tcPr>
          <w:p w14:paraId="00A30821" w14:textId="77777777" w:rsidR="00574D2E" w:rsidRDefault="00574D2E">
            <w:pPr>
              <w:jc w:val="center"/>
              <w:rPr>
                <w:rFonts w:ascii="Calibri" w:hAnsi="Calibri" w:cs="Calibri"/>
                <w:color w:val="000000"/>
                <w:sz w:val="22"/>
                <w:szCs w:val="22"/>
              </w:rPr>
            </w:pPr>
            <w:r>
              <w:rPr>
                <w:rFonts w:ascii="Calibri" w:hAnsi="Calibri" w:cs="Calibri"/>
                <w:color w:val="000000"/>
                <w:sz w:val="22"/>
                <w:szCs w:val="22"/>
              </w:rPr>
              <w:t>0.7982</w:t>
            </w:r>
          </w:p>
        </w:tc>
        <w:tc>
          <w:tcPr>
            <w:tcW w:w="0" w:type="auto"/>
            <w:tcBorders>
              <w:top w:val="nil"/>
              <w:left w:val="nil"/>
              <w:bottom w:val="single" w:sz="8" w:space="0" w:color="auto"/>
              <w:right w:val="single" w:sz="8" w:space="0" w:color="auto"/>
            </w:tcBorders>
            <w:shd w:val="clear" w:color="auto" w:fill="auto"/>
            <w:vAlign w:val="center"/>
            <w:hideMark/>
          </w:tcPr>
          <w:p w14:paraId="097B92F0" w14:textId="77777777" w:rsidR="00574D2E" w:rsidRDefault="00574D2E">
            <w:pPr>
              <w:jc w:val="center"/>
              <w:rPr>
                <w:rFonts w:ascii="Calibri" w:hAnsi="Calibri" w:cs="Calibri"/>
                <w:color w:val="000000"/>
                <w:sz w:val="22"/>
                <w:szCs w:val="22"/>
              </w:rPr>
            </w:pPr>
            <w:r>
              <w:rPr>
                <w:rFonts w:ascii="Calibri" w:hAnsi="Calibri" w:cs="Calibri"/>
                <w:color w:val="000000"/>
                <w:sz w:val="22"/>
                <w:szCs w:val="22"/>
              </w:rPr>
              <w:t>1.5964</w:t>
            </w:r>
          </w:p>
        </w:tc>
        <w:tc>
          <w:tcPr>
            <w:tcW w:w="0" w:type="auto"/>
            <w:tcBorders>
              <w:top w:val="nil"/>
              <w:left w:val="nil"/>
              <w:bottom w:val="single" w:sz="8" w:space="0" w:color="auto"/>
              <w:right w:val="single" w:sz="8" w:space="0" w:color="auto"/>
            </w:tcBorders>
            <w:shd w:val="clear" w:color="auto" w:fill="auto"/>
            <w:vAlign w:val="center"/>
            <w:hideMark/>
          </w:tcPr>
          <w:p w14:paraId="64C0B676" w14:textId="77777777" w:rsidR="00574D2E" w:rsidRDefault="00574D2E">
            <w:pPr>
              <w:jc w:val="center"/>
              <w:rPr>
                <w:rFonts w:ascii="Calibri" w:hAnsi="Calibri" w:cs="Calibri"/>
                <w:color w:val="000000"/>
                <w:sz w:val="22"/>
                <w:szCs w:val="22"/>
              </w:rPr>
            </w:pPr>
            <w:r>
              <w:rPr>
                <w:rFonts w:ascii="Calibri" w:hAnsi="Calibri" w:cs="Calibri"/>
                <w:color w:val="000000"/>
                <w:sz w:val="22"/>
                <w:szCs w:val="22"/>
              </w:rPr>
              <w:t>1.5964</w:t>
            </w:r>
          </w:p>
        </w:tc>
      </w:tr>
      <w:tr w:rsidR="00A35DF2" w14:paraId="7B109A98" w14:textId="77777777" w:rsidTr="00A35DF2">
        <w:trPr>
          <w:trHeight w:val="624"/>
        </w:trPr>
        <w:tc>
          <w:tcPr>
            <w:tcW w:w="567" w:type="dxa"/>
            <w:tcBorders>
              <w:top w:val="nil"/>
              <w:left w:val="single" w:sz="8" w:space="0" w:color="auto"/>
              <w:bottom w:val="single" w:sz="8" w:space="0" w:color="auto"/>
              <w:right w:val="single" w:sz="8" w:space="0" w:color="auto"/>
            </w:tcBorders>
            <w:shd w:val="clear" w:color="auto" w:fill="95B3D7" w:themeFill="accent1" w:themeFillTint="99"/>
            <w:vAlign w:val="center"/>
            <w:hideMark/>
          </w:tcPr>
          <w:p w14:paraId="2BAD11D7" w14:textId="77777777" w:rsidR="00574D2E" w:rsidRDefault="00574D2E">
            <w:pPr>
              <w:jc w:val="center"/>
              <w:rPr>
                <w:rFonts w:ascii="Calibri" w:hAnsi="Calibri" w:cs="Calibri"/>
                <w:b/>
                <w:bCs/>
                <w:color w:val="000000"/>
                <w:sz w:val="22"/>
                <w:szCs w:val="22"/>
              </w:rPr>
            </w:pPr>
            <w:r>
              <w:rPr>
                <w:rFonts w:ascii="Calibri" w:hAnsi="Calibri" w:cs="Calibri"/>
                <w:b/>
                <w:bCs/>
                <w:color w:val="000000"/>
                <w:sz w:val="22"/>
                <w:szCs w:val="22"/>
              </w:rPr>
              <w:t>5</w:t>
            </w:r>
          </w:p>
        </w:tc>
        <w:tc>
          <w:tcPr>
            <w:tcW w:w="1922" w:type="dxa"/>
            <w:tcBorders>
              <w:top w:val="nil"/>
              <w:left w:val="nil"/>
              <w:bottom w:val="single" w:sz="8" w:space="0" w:color="auto"/>
              <w:right w:val="single" w:sz="8" w:space="0" w:color="auto"/>
            </w:tcBorders>
            <w:shd w:val="clear" w:color="auto" w:fill="95B3D7" w:themeFill="accent1" w:themeFillTint="99"/>
            <w:vAlign w:val="center"/>
            <w:hideMark/>
          </w:tcPr>
          <w:p w14:paraId="29922612" w14:textId="77777777" w:rsidR="00574D2E" w:rsidRDefault="00574D2E">
            <w:pPr>
              <w:rPr>
                <w:rFonts w:ascii="Calibri" w:hAnsi="Calibri" w:cs="Calibri"/>
                <w:b/>
                <w:bCs/>
                <w:color w:val="000000"/>
                <w:sz w:val="22"/>
                <w:szCs w:val="22"/>
              </w:rPr>
            </w:pPr>
            <w:r>
              <w:rPr>
                <w:rFonts w:ascii="Calibri" w:hAnsi="Calibri" w:cs="Calibri"/>
                <w:b/>
                <w:bCs/>
                <w:color w:val="000000"/>
                <w:sz w:val="22"/>
                <w:szCs w:val="22"/>
              </w:rPr>
              <w:t>Total Power purchase Cost</w:t>
            </w:r>
          </w:p>
        </w:tc>
        <w:tc>
          <w:tcPr>
            <w:tcW w:w="1532" w:type="dxa"/>
            <w:tcBorders>
              <w:top w:val="nil"/>
              <w:left w:val="nil"/>
              <w:bottom w:val="single" w:sz="8" w:space="0" w:color="auto"/>
              <w:right w:val="single" w:sz="8" w:space="0" w:color="auto"/>
            </w:tcBorders>
            <w:shd w:val="clear" w:color="auto" w:fill="95B3D7" w:themeFill="accent1" w:themeFillTint="99"/>
            <w:vAlign w:val="center"/>
            <w:hideMark/>
          </w:tcPr>
          <w:p w14:paraId="66CB4685" w14:textId="77777777" w:rsidR="00574D2E" w:rsidRDefault="00574D2E">
            <w:pPr>
              <w:jc w:val="center"/>
              <w:rPr>
                <w:rFonts w:ascii="Calibri" w:hAnsi="Calibri" w:cs="Calibri"/>
                <w:b/>
                <w:bCs/>
                <w:color w:val="000000"/>
                <w:sz w:val="22"/>
                <w:szCs w:val="22"/>
              </w:rPr>
            </w:pPr>
            <w:r>
              <w:rPr>
                <w:rFonts w:ascii="Calibri" w:hAnsi="Calibri" w:cs="Calibri"/>
                <w:b/>
                <w:bCs/>
                <w:color w:val="000000"/>
                <w:sz w:val="22"/>
                <w:szCs w:val="22"/>
              </w:rPr>
              <w:t xml:space="preserve">Rs. </w:t>
            </w:r>
            <w:proofErr w:type="spellStart"/>
            <w:r>
              <w:rPr>
                <w:rFonts w:ascii="Calibri" w:hAnsi="Calibri" w:cs="Calibri"/>
                <w:b/>
                <w:bCs/>
                <w:color w:val="000000"/>
                <w:sz w:val="22"/>
                <w:szCs w:val="22"/>
              </w:rPr>
              <w:t>Crs</w:t>
            </w:r>
            <w:proofErr w:type="spellEnd"/>
          </w:p>
        </w:tc>
        <w:tc>
          <w:tcPr>
            <w:tcW w:w="985" w:type="dxa"/>
            <w:tcBorders>
              <w:top w:val="nil"/>
              <w:left w:val="nil"/>
              <w:bottom w:val="single" w:sz="8" w:space="0" w:color="auto"/>
              <w:right w:val="single" w:sz="8" w:space="0" w:color="auto"/>
            </w:tcBorders>
            <w:shd w:val="clear" w:color="auto" w:fill="95B3D7" w:themeFill="accent1" w:themeFillTint="99"/>
            <w:vAlign w:val="center"/>
            <w:hideMark/>
          </w:tcPr>
          <w:p w14:paraId="1F5D4F2F" w14:textId="77777777" w:rsidR="00574D2E" w:rsidRDefault="00574D2E">
            <w:pPr>
              <w:jc w:val="center"/>
              <w:rPr>
                <w:rFonts w:ascii="Calibri" w:hAnsi="Calibri" w:cs="Calibri"/>
                <w:b/>
                <w:bCs/>
                <w:color w:val="000000"/>
                <w:sz w:val="22"/>
                <w:szCs w:val="22"/>
              </w:rPr>
            </w:pPr>
            <w:r>
              <w:rPr>
                <w:rFonts w:ascii="Calibri" w:hAnsi="Calibri" w:cs="Calibri"/>
                <w:b/>
                <w:bCs/>
                <w:color w:val="000000"/>
                <w:sz w:val="22"/>
                <w:szCs w:val="22"/>
              </w:rPr>
              <w:t> </w:t>
            </w:r>
          </w:p>
        </w:tc>
        <w:tc>
          <w:tcPr>
            <w:tcW w:w="2010" w:type="dxa"/>
            <w:tcBorders>
              <w:top w:val="nil"/>
              <w:left w:val="nil"/>
              <w:bottom w:val="single" w:sz="8" w:space="0" w:color="auto"/>
              <w:right w:val="single" w:sz="8" w:space="0" w:color="auto"/>
            </w:tcBorders>
            <w:shd w:val="clear" w:color="auto" w:fill="95B3D7" w:themeFill="accent1" w:themeFillTint="99"/>
            <w:vAlign w:val="center"/>
            <w:hideMark/>
          </w:tcPr>
          <w:p w14:paraId="59B38302" w14:textId="77777777" w:rsidR="00574D2E" w:rsidRDefault="00574D2E">
            <w:pPr>
              <w:jc w:val="center"/>
              <w:rPr>
                <w:rFonts w:ascii="Calibri" w:hAnsi="Calibri" w:cs="Calibri"/>
                <w:b/>
                <w:bCs/>
                <w:color w:val="000000"/>
                <w:sz w:val="22"/>
                <w:szCs w:val="22"/>
              </w:rPr>
            </w:pPr>
            <w:r>
              <w:rPr>
                <w:rFonts w:ascii="Calibri" w:hAnsi="Calibri" w:cs="Calibri"/>
                <w:b/>
                <w:bCs/>
                <w:color w:val="000000"/>
                <w:sz w:val="22"/>
                <w:szCs w:val="22"/>
              </w:rPr>
              <w:t>1529.24</w:t>
            </w:r>
          </w:p>
        </w:tc>
        <w:tc>
          <w:tcPr>
            <w:tcW w:w="0" w:type="auto"/>
            <w:tcBorders>
              <w:top w:val="nil"/>
              <w:left w:val="nil"/>
              <w:bottom w:val="single" w:sz="8" w:space="0" w:color="auto"/>
              <w:right w:val="single" w:sz="8" w:space="0" w:color="auto"/>
            </w:tcBorders>
            <w:shd w:val="clear" w:color="auto" w:fill="95B3D7" w:themeFill="accent1" w:themeFillTint="99"/>
            <w:vAlign w:val="center"/>
            <w:hideMark/>
          </w:tcPr>
          <w:p w14:paraId="56B5C1C3" w14:textId="77777777" w:rsidR="00574D2E" w:rsidRDefault="00574D2E">
            <w:pPr>
              <w:jc w:val="center"/>
              <w:rPr>
                <w:rFonts w:ascii="Calibri" w:hAnsi="Calibri" w:cs="Calibri"/>
                <w:b/>
                <w:bCs/>
                <w:color w:val="000000"/>
                <w:sz w:val="22"/>
                <w:szCs w:val="22"/>
              </w:rPr>
            </w:pPr>
            <w:r>
              <w:rPr>
                <w:rFonts w:ascii="Calibri" w:hAnsi="Calibri" w:cs="Calibri"/>
                <w:b/>
                <w:bCs/>
                <w:color w:val="000000"/>
                <w:sz w:val="22"/>
                <w:szCs w:val="22"/>
              </w:rPr>
              <w:t>3007.46</w:t>
            </w:r>
          </w:p>
        </w:tc>
        <w:tc>
          <w:tcPr>
            <w:tcW w:w="0" w:type="auto"/>
            <w:tcBorders>
              <w:top w:val="nil"/>
              <w:left w:val="nil"/>
              <w:bottom w:val="single" w:sz="8" w:space="0" w:color="auto"/>
              <w:right w:val="single" w:sz="8" w:space="0" w:color="auto"/>
            </w:tcBorders>
            <w:shd w:val="clear" w:color="auto" w:fill="95B3D7" w:themeFill="accent1" w:themeFillTint="99"/>
            <w:vAlign w:val="center"/>
            <w:hideMark/>
          </w:tcPr>
          <w:p w14:paraId="15D72E1C" w14:textId="77777777" w:rsidR="00574D2E" w:rsidRDefault="00574D2E">
            <w:pPr>
              <w:jc w:val="center"/>
              <w:rPr>
                <w:rFonts w:ascii="Calibri" w:hAnsi="Calibri" w:cs="Calibri"/>
                <w:b/>
                <w:bCs/>
                <w:color w:val="000000"/>
                <w:sz w:val="22"/>
                <w:szCs w:val="22"/>
              </w:rPr>
            </w:pPr>
            <w:r>
              <w:rPr>
                <w:rFonts w:ascii="Calibri" w:hAnsi="Calibri" w:cs="Calibri"/>
                <w:b/>
                <w:bCs/>
                <w:color w:val="000000"/>
                <w:sz w:val="22"/>
                <w:szCs w:val="22"/>
              </w:rPr>
              <w:t>3262.42</w:t>
            </w:r>
          </w:p>
        </w:tc>
      </w:tr>
    </w:tbl>
    <w:p w14:paraId="1A80D5C1" w14:textId="7BAD9E2F" w:rsidR="00574D2E" w:rsidRDefault="00574D2E" w:rsidP="00B47073">
      <w:pPr>
        <w:spacing w:line="360" w:lineRule="auto"/>
        <w:rPr>
          <w:rFonts w:asciiTheme="minorHAnsi" w:hAnsiTheme="minorHAnsi" w:cstheme="minorHAnsi"/>
          <w:sz w:val="22"/>
          <w:szCs w:val="22"/>
        </w:rPr>
      </w:pPr>
    </w:p>
    <w:p w14:paraId="4E9A67FC" w14:textId="60286708" w:rsidR="00B47073" w:rsidRDefault="00533D8C" w:rsidP="00B47073">
      <w:pPr>
        <w:spacing w:line="360" w:lineRule="auto"/>
        <w:rPr>
          <w:rFonts w:asciiTheme="minorHAnsi" w:hAnsiTheme="minorHAnsi" w:cstheme="minorHAnsi"/>
          <w:sz w:val="22"/>
          <w:szCs w:val="22"/>
        </w:rPr>
      </w:pPr>
      <w:r w:rsidRPr="00153204">
        <w:rPr>
          <w:rFonts w:asciiTheme="minorHAnsi" w:hAnsiTheme="minorHAnsi" w:cstheme="minorHAnsi"/>
          <w:noProof/>
          <w:sz w:val="22"/>
          <w:szCs w:val="22"/>
          <w:lang w:val="en-IN" w:eastAsia="en-IN"/>
        </w:rPr>
        <mc:AlternateContent>
          <mc:Choice Requires="wps">
            <w:drawing>
              <wp:anchor distT="0" distB="0" distL="114300" distR="114300" simplePos="0" relativeHeight="251949568" behindDoc="1" locked="0" layoutInCell="1" allowOverlap="1" wp14:anchorId="66C8314A" wp14:editId="193AC195">
                <wp:simplePos x="0" y="0"/>
                <wp:positionH relativeFrom="margin">
                  <wp:posOffset>327660</wp:posOffset>
                </wp:positionH>
                <wp:positionV relativeFrom="paragraph">
                  <wp:posOffset>269240</wp:posOffset>
                </wp:positionV>
                <wp:extent cx="5981700" cy="314960"/>
                <wp:effectExtent l="0" t="0" r="19050" b="27940"/>
                <wp:wrapSquare wrapText="bothSides"/>
                <wp:docPr id="18" name="Rectangle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981700" cy="314960"/>
                        </a:xfrm>
                        <a:prstGeom prst="rect">
                          <a:avLst/>
                        </a:prstGeom>
                        <a:solidFill>
                          <a:srgbClr val="1F497D">
                            <a:lumMod val="20000"/>
                            <a:lumOff val="80000"/>
                          </a:srgbClr>
                        </a:solidFill>
                        <a:ln w="9525">
                          <a:solidFill>
                            <a:srgbClr val="000000"/>
                          </a:solidFill>
                          <a:miter lim="800000"/>
                          <a:headEnd/>
                          <a:tailEnd/>
                        </a:ln>
                      </wps:spPr>
                      <wps:txbx>
                        <w:txbxContent>
                          <w:p w14:paraId="78827E58" w14:textId="204795ED" w:rsidR="00535B24" w:rsidRPr="00E560A3" w:rsidRDefault="00535B24" w:rsidP="00AA4DA9">
                            <w:pPr>
                              <w:rPr>
                                <w:rFonts w:asciiTheme="minorHAnsi" w:hAnsiTheme="minorHAnsi" w:cstheme="minorHAnsi"/>
                                <w:b/>
                                <w:sz w:val="28"/>
                                <w:szCs w:val="28"/>
                                <w:lang w:val="en-IN"/>
                              </w:rPr>
                            </w:pPr>
                            <w:r w:rsidRPr="00E560A3">
                              <w:rPr>
                                <w:rFonts w:asciiTheme="minorHAnsi" w:hAnsiTheme="minorHAnsi" w:cstheme="minorHAnsi"/>
                                <w:b/>
                                <w:sz w:val="28"/>
                                <w:szCs w:val="28"/>
                                <w:lang w:val="en-IN"/>
                              </w:rPr>
                              <w:t>2</w:t>
                            </w:r>
                            <w:r>
                              <w:rPr>
                                <w:rFonts w:asciiTheme="minorHAnsi" w:hAnsiTheme="minorHAnsi" w:cstheme="minorHAnsi"/>
                                <w:b/>
                                <w:sz w:val="28"/>
                                <w:szCs w:val="28"/>
                                <w:lang w:val="en-IN"/>
                              </w:rPr>
                              <w:t>.4   SMD Projection</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6C8314A" id="_x0000_s1031" style="position:absolute;margin-left:25.8pt;margin-top:21.2pt;width:471pt;height:24.8pt;z-index:-25136691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" fillcolor="#c6d9f1">
                <v:textbox>
                  <w:txbxContent>
                    <w:p w14:paraId="78827E58" w14:textId="204795ED" w:rsidR="00535B24" w:rsidRPr="00E560A3" w:rsidRDefault="00535B24" w:rsidP="00AA4DA9">
                      <w:pPr>
                        <w:rPr>
                          <w:rFonts w:asciiTheme="minorHAnsi" w:hAnsiTheme="minorHAnsi" w:cstheme="minorHAnsi"/>
                          <w:b/>
                          <w:sz w:val="28"/>
                          <w:szCs w:val="28"/>
                          <w:lang w:val="en-IN"/>
                        </w:rPr>
                      </w:pPr>
                      <w:r w:rsidRPr="00E560A3">
                        <w:rPr>
                          <w:rFonts w:asciiTheme="minorHAnsi" w:hAnsiTheme="minorHAnsi" w:cstheme="minorHAnsi"/>
                          <w:b/>
                          <w:sz w:val="28"/>
                          <w:szCs w:val="28"/>
                          <w:lang w:val="en-IN"/>
                        </w:rPr>
                        <w:t>2</w:t>
                      </w:r>
                      <w:r>
                        <w:rPr>
                          <w:rFonts w:asciiTheme="minorHAnsi" w:hAnsiTheme="minorHAnsi" w:cstheme="minorHAnsi"/>
                          <w:b/>
                          <w:sz w:val="28"/>
                          <w:szCs w:val="28"/>
                          <w:lang w:val="en-IN"/>
                        </w:rPr>
                        <w:t>.4   SMD Projection</w:t>
                      </w:r>
                    </w:p>
                  </w:txbxContent>
                </v:textbox>
                <w10:wrap type="square" anchorx="margin"/>
              </v:rect>
            </w:pict>
          </mc:Fallback>
        </mc:AlternateContent>
      </w:r>
    </w:p>
    <w:p w14:paraId="34A03CCB" w14:textId="04E37691" w:rsidR="0044502F" w:rsidRDefault="0044502F" w:rsidP="002334A3">
      <w:pPr>
        <w:pStyle w:val="BodyText2"/>
        <w:spacing w:line="360" w:lineRule="auto"/>
        <w:ind w:left="567"/>
        <w:jc w:val="both"/>
        <w:rPr>
          <w:rFonts w:asciiTheme="minorHAnsi" w:hAnsiTheme="minorHAnsi" w:cstheme="minorHAnsi"/>
          <w:sz w:val="22"/>
          <w:szCs w:val="22"/>
          <w:lang w:val="en-GB"/>
        </w:rPr>
      </w:pPr>
      <w:r w:rsidRPr="00153204">
        <w:rPr>
          <w:rFonts w:asciiTheme="minorHAnsi" w:hAnsiTheme="minorHAnsi" w:cstheme="minorHAnsi"/>
          <w:sz w:val="22"/>
          <w:szCs w:val="22"/>
          <w:lang w:val="en-GB"/>
        </w:rPr>
        <w:t xml:space="preserve">Considering the past record and additional load </w:t>
      </w:r>
      <w:r w:rsidR="00C06C34" w:rsidRPr="00153204">
        <w:rPr>
          <w:rFonts w:asciiTheme="minorHAnsi" w:hAnsiTheme="minorHAnsi" w:cstheme="minorHAnsi"/>
          <w:sz w:val="22"/>
          <w:szCs w:val="22"/>
          <w:lang w:val="en-GB"/>
        </w:rPr>
        <w:t xml:space="preserve">growth </w:t>
      </w:r>
      <w:r w:rsidRPr="00153204">
        <w:rPr>
          <w:rFonts w:asciiTheme="minorHAnsi" w:hAnsiTheme="minorHAnsi" w:cstheme="minorHAnsi"/>
          <w:sz w:val="22"/>
          <w:szCs w:val="22"/>
          <w:lang w:val="en-GB"/>
        </w:rPr>
        <w:t xml:space="preserve">in each category and additional load towards upcoming EHT consumers, the </w:t>
      </w:r>
      <w:r w:rsidR="00EC02FF" w:rsidRPr="00153204">
        <w:rPr>
          <w:rFonts w:asciiTheme="minorHAnsi" w:hAnsiTheme="minorHAnsi" w:cstheme="minorHAnsi"/>
          <w:sz w:val="22"/>
          <w:szCs w:val="22"/>
          <w:lang w:val="en-GB"/>
        </w:rPr>
        <w:t>licensee</w:t>
      </w:r>
      <w:r w:rsidRPr="00153204">
        <w:rPr>
          <w:rFonts w:asciiTheme="minorHAnsi" w:hAnsiTheme="minorHAnsi" w:cstheme="minorHAnsi"/>
          <w:sz w:val="22"/>
          <w:szCs w:val="22"/>
          <w:lang w:val="en-GB"/>
        </w:rPr>
        <w:t xml:space="preserve"> proposes </w:t>
      </w:r>
      <w:r w:rsidRPr="00153204">
        <w:rPr>
          <w:rFonts w:asciiTheme="minorHAnsi" w:hAnsiTheme="minorHAnsi" w:cstheme="minorHAnsi"/>
          <w:b/>
          <w:bCs/>
          <w:sz w:val="22"/>
          <w:szCs w:val="22"/>
          <w:lang w:val="en-GB"/>
        </w:rPr>
        <w:t>1</w:t>
      </w:r>
      <w:r w:rsidR="0020747C">
        <w:rPr>
          <w:rFonts w:asciiTheme="minorHAnsi" w:hAnsiTheme="minorHAnsi" w:cstheme="minorHAnsi"/>
          <w:b/>
          <w:bCs/>
          <w:sz w:val="22"/>
          <w:szCs w:val="22"/>
          <w:lang w:val="en-GB"/>
        </w:rPr>
        <w:t>5</w:t>
      </w:r>
      <w:r w:rsidR="005227E9">
        <w:rPr>
          <w:rFonts w:asciiTheme="minorHAnsi" w:hAnsiTheme="minorHAnsi" w:cstheme="minorHAnsi"/>
          <w:b/>
          <w:bCs/>
          <w:sz w:val="22"/>
          <w:szCs w:val="22"/>
          <w:lang w:val="en-GB"/>
        </w:rPr>
        <w:t>80</w:t>
      </w:r>
      <w:r w:rsidRPr="00153204">
        <w:rPr>
          <w:rFonts w:asciiTheme="minorHAnsi" w:hAnsiTheme="minorHAnsi" w:cstheme="minorHAnsi"/>
          <w:b/>
          <w:bCs/>
          <w:sz w:val="22"/>
          <w:szCs w:val="22"/>
          <w:lang w:val="en-GB"/>
        </w:rPr>
        <w:t xml:space="preserve"> MVA</w:t>
      </w:r>
      <w:r w:rsidRPr="00153204">
        <w:rPr>
          <w:rFonts w:asciiTheme="minorHAnsi" w:hAnsiTheme="minorHAnsi" w:cstheme="minorHAnsi"/>
          <w:sz w:val="22"/>
          <w:szCs w:val="22"/>
          <w:lang w:val="en-GB"/>
        </w:rPr>
        <w:t xml:space="preserve"> as SMD for FY 202</w:t>
      </w:r>
      <w:r w:rsidR="0020747C">
        <w:rPr>
          <w:rFonts w:asciiTheme="minorHAnsi" w:hAnsiTheme="minorHAnsi" w:cstheme="minorHAnsi"/>
          <w:sz w:val="22"/>
          <w:szCs w:val="22"/>
          <w:lang w:val="en-GB"/>
        </w:rPr>
        <w:t>5</w:t>
      </w:r>
      <w:r w:rsidR="00092DA7" w:rsidRPr="00153204">
        <w:rPr>
          <w:rFonts w:asciiTheme="minorHAnsi" w:hAnsiTheme="minorHAnsi" w:cstheme="minorHAnsi"/>
          <w:sz w:val="22"/>
          <w:szCs w:val="22"/>
          <w:lang w:val="en-GB"/>
        </w:rPr>
        <w:t>-2</w:t>
      </w:r>
      <w:r w:rsidR="0020747C">
        <w:rPr>
          <w:rFonts w:asciiTheme="minorHAnsi" w:hAnsiTheme="minorHAnsi" w:cstheme="minorHAnsi"/>
          <w:sz w:val="22"/>
          <w:szCs w:val="22"/>
          <w:lang w:val="en-GB"/>
        </w:rPr>
        <w:t>6</w:t>
      </w:r>
      <w:r w:rsidR="00800A59">
        <w:rPr>
          <w:rFonts w:asciiTheme="minorHAnsi" w:hAnsiTheme="minorHAnsi" w:cstheme="minorHAnsi"/>
          <w:sz w:val="22"/>
          <w:szCs w:val="22"/>
          <w:lang w:val="en-GB"/>
        </w:rPr>
        <w:t xml:space="preserve">, considering </w:t>
      </w:r>
      <w:r w:rsidR="005227E9">
        <w:rPr>
          <w:rFonts w:asciiTheme="minorHAnsi" w:hAnsiTheme="minorHAnsi" w:cstheme="minorHAnsi"/>
          <w:sz w:val="22"/>
          <w:szCs w:val="22"/>
          <w:lang w:val="en-GB"/>
        </w:rPr>
        <w:t>70</w:t>
      </w:r>
      <w:r w:rsidR="00800A59">
        <w:rPr>
          <w:rFonts w:asciiTheme="minorHAnsi" w:hAnsiTheme="minorHAnsi" w:cstheme="minorHAnsi"/>
          <w:sz w:val="22"/>
          <w:szCs w:val="22"/>
          <w:lang w:val="en-GB"/>
        </w:rPr>
        <w:t>% LF with the projected input of 8</w:t>
      </w:r>
      <w:r w:rsidR="005227E9">
        <w:rPr>
          <w:rFonts w:asciiTheme="minorHAnsi" w:hAnsiTheme="minorHAnsi" w:cstheme="minorHAnsi"/>
          <w:sz w:val="22"/>
          <w:szCs w:val="22"/>
          <w:lang w:val="en-GB"/>
        </w:rPr>
        <w:t>718.78</w:t>
      </w:r>
      <w:r w:rsidR="00800A59">
        <w:rPr>
          <w:rFonts w:asciiTheme="minorHAnsi" w:hAnsiTheme="minorHAnsi" w:cstheme="minorHAnsi"/>
          <w:sz w:val="22"/>
          <w:szCs w:val="22"/>
          <w:lang w:val="en-GB"/>
        </w:rPr>
        <w:t>MU</w:t>
      </w:r>
      <w:r w:rsidR="00533D8C">
        <w:rPr>
          <w:rFonts w:asciiTheme="minorHAnsi" w:hAnsiTheme="minorHAnsi" w:cstheme="minorHAnsi"/>
          <w:sz w:val="22"/>
          <w:szCs w:val="22"/>
          <w:lang w:val="en-GB"/>
        </w:rPr>
        <w:t>.</w:t>
      </w:r>
    </w:p>
    <w:p w14:paraId="11617A41" w14:textId="53A790E3" w:rsidR="002B64C6" w:rsidRPr="00B47073" w:rsidRDefault="00800A59" w:rsidP="00B47073">
      <w:pPr>
        <w:pStyle w:val="BodyText2"/>
        <w:spacing w:line="360" w:lineRule="auto"/>
        <w:ind w:left="2727" w:firstLine="153"/>
        <w:jc w:val="both"/>
        <w:rPr>
          <w:rFonts w:asciiTheme="minorHAnsi" w:hAnsiTheme="minorHAnsi" w:cstheme="minorHAnsi"/>
          <w:b/>
          <w:sz w:val="22"/>
          <w:szCs w:val="22"/>
        </w:rPr>
      </w:pPr>
      <w:r w:rsidRPr="00153204">
        <w:rPr>
          <w:rFonts w:asciiTheme="minorHAnsi" w:hAnsiTheme="minorHAnsi" w:cstheme="minorHAnsi"/>
          <w:b/>
          <w:sz w:val="22"/>
          <w:szCs w:val="22"/>
        </w:rPr>
        <w:lastRenderedPageBreak/>
        <w:t>Table -</w:t>
      </w:r>
      <w:r w:rsidR="00533D8C">
        <w:rPr>
          <w:rFonts w:asciiTheme="minorHAnsi" w:hAnsiTheme="minorHAnsi" w:cstheme="minorHAnsi"/>
          <w:b/>
          <w:sz w:val="22"/>
          <w:szCs w:val="22"/>
        </w:rPr>
        <w:t>11</w:t>
      </w:r>
      <w:r w:rsidRPr="00153204">
        <w:rPr>
          <w:rFonts w:asciiTheme="minorHAnsi" w:hAnsiTheme="minorHAnsi" w:cstheme="minorHAnsi"/>
          <w:b/>
          <w:sz w:val="22"/>
          <w:szCs w:val="22"/>
        </w:rPr>
        <w:t xml:space="preserve">: </w:t>
      </w:r>
      <w:r>
        <w:rPr>
          <w:rFonts w:asciiTheme="minorHAnsi" w:hAnsiTheme="minorHAnsi" w:cstheme="minorHAnsi"/>
          <w:b/>
          <w:sz w:val="22"/>
          <w:szCs w:val="22"/>
        </w:rPr>
        <w:t>SMD Projection (MVA)</w:t>
      </w:r>
      <w:r w:rsidRPr="00153204">
        <w:rPr>
          <w:rFonts w:asciiTheme="minorHAnsi" w:hAnsiTheme="minorHAnsi" w:cstheme="minorHAnsi"/>
          <w:b/>
          <w:sz w:val="22"/>
          <w:szCs w:val="22"/>
        </w:rPr>
        <w:t xml:space="preserve">       </w:t>
      </w:r>
    </w:p>
    <w:tbl>
      <w:tblPr>
        <w:tblW w:w="9527" w:type="dxa"/>
        <w:tblLook w:val="04A0" w:firstRow="1" w:lastRow="0" w:firstColumn="1" w:lastColumn="0" w:noHBand="0" w:noVBand="1"/>
      </w:tblPr>
      <w:tblGrid>
        <w:gridCol w:w="1235"/>
        <w:gridCol w:w="996"/>
        <w:gridCol w:w="996"/>
        <w:gridCol w:w="996"/>
        <w:gridCol w:w="996"/>
        <w:gridCol w:w="996"/>
        <w:gridCol w:w="996"/>
        <w:gridCol w:w="996"/>
        <w:gridCol w:w="1320"/>
      </w:tblGrid>
      <w:tr w:rsidR="002B64C6" w14:paraId="08836DD0" w14:textId="77777777" w:rsidTr="002B64C6">
        <w:trPr>
          <w:trHeight w:val="276"/>
        </w:trPr>
        <w:tc>
          <w:tcPr>
            <w:tcW w:w="0" w:type="auto"/>
            <w:vMerge w:val="restart"/>
            <w:tcBorders>
              <w:top w:val="single" w:sz="4" w:space="0" w:color="auto"/>
              <w:left w:val="single" w:sz="4" w:space="0" w:color="auto"/>
              <w:bottom w:val="single" w:sz="4" w:space="0" w:color="auto"/>
              <w:right w:val="single" w:sz="4" w:space="0" w:color="auto"/>
            </w:tcBorders>
            <w:shd w:val="clear" w:color="000000" w:fill="9BC2E6"/>
            <w:vAlign w:val="center"/>
            <w:hideMark/>
          </w:tcPr>
          <w:p w14:paraId="3B2D7A36" w14:textId="77777777" w:rsidR="002B64C6" w:rsidRDefault="002B64C6">
            <w:pPr>
              <w:rPr>
                <w:rFonts w:ascii="Calibri" w:hAnsi="Calibri" w:cs="Calibri"/>
                <w:b/>
                <w:bCs/>
                <w:color w:val="000000"/>
                <w:sz w:val="22"/>
                <w:szCs w:val="22"/>
                <w:lang w:val="en-IN" w:eastAsia="en-IN"/>
              </w:rPr>
            </w:pPr>
            <w:r>
              <w:rPr>
                <w:rFonts w:ascii="Calibri" w:hAnsi="Calibri" w:cs="Calibri"/>
                <w:b/>
                <w:bCs/>
                <w:color w:val="000000"/>
                <w:sz w:val="22"/>
                <w:szCs w:val="22"/>
              </w:rPr>
              <w:t>Particulars</w:t>
            </w:r>
          </w:p>
        </w:tc>
        <w:tc>
          <w:tcPr>
            <w:tcW w:w="0" w:type="auto"/>
            <w:vMerge w:val="restart"/>
            <w:tcBorders>
              <w:top w:val="single" w:sz="4" w:space="0" w:color="auto"/>
              <w:left w:val="single" w:sz="4" w:space="0" w:color="auto"/>
              <w:bottom w:val="single" w:sz="4" w:space="0" w:color="auto"/>
              <w:right w:val="single" w:sz="4" w:space="0" w:color="auto"/>
            </w:tcBorders>
            <w:shd w:val="clear" w:color="000000" w:fill="9BC2E6"/>
            <w:vAlign w:val="center"/>
            <w:hideMark/>
          </w:tcPr>
          <w:p w14:paraId="5AB63C7D" w14:textId="77777777" w:rsidR="002B64C6" w:rsidRDefault="002B64C6">
            <w:pPr>
              <w:jc w:val="center"/>
              <w:rPr>
                <w:rFonts w:ascii="Calibri" w:hAnsi="Calibri" w:cs="Calibri"/>
                <w:b/>
                <w:bCs/>
                <w:color w:val="000000"/>
                <w:sz w:val="22"/>
                <w:szCs w:val="22"/>
              </w:rPr>
            </w:pPr>
            <w:r>
              <w:rPr>
                <w:rFonts w:ascii="Calibri" w:hAnsi="Calibri" w:cs="Calibri"/>
                <w:b/>
                <w:bCs/>
                <w:color w:val="000000"/>
                <w:sz w:val="22"/>
                <w:szCs w:val="22"/>
              </w:rPr>
              <w:t>2018-19</w:t>
            </w:r>
          </w:p>
        </w:tc>
        <w:tc>
          <w:tcPr>
            <w:tcW w:w="0" w:type="auto"/>
            <w:vMerge w:val="restart"/>
            <w:tcBorders>
              <w:top w:val="single" w:sz="4" w:space="0" w:color="auto"/>
              <w:left w:val="single" w:sz="4" w:space="0" w:color="auto"/>
              <w:bottom w:val="single" w:sz="4" w:space="0" w:color="auto"/>
              <w:right w:val="single" w:sz="4" w:space="0" w:color="auto"/>
            </w:tcBorders>
            <w:shd w:val="clear" w:color="000000" w:fill="9BC2E6"/>
            <w:vAlign w:val="center"/>
            <w:hideMark/>
          </w:tcPr>
          <w:p w14:paraId="1C3B5D35" w14:textId="77777777" w:rsidR="002B64C6" w:rsidRDefault="002B64C6">
            <w:pPr>
              <w:jc w:val="center"/>
              <w:rPr>
                <w:rFonts w:ascii="Calibri" w:hAnsi="Calibri" w:cs="Calibri"/>
                <w:b/>
                <w:bCs/>
                <w:color w:val="000000"/>
                <w:sz w:val="22"/>
                <w:szCs w:val="22"/>
              </w:rPr>
            </w:pPr>
            <w:r>
              <w:rPr>
                <w:rFonts w:ascii="Calibri" w:hAnsi="Calibri" w:cs="Calibri"/>
                <w:b/>
                <w:bCs/>
                <w:color w:val="000000"/>
                <w:sz w:val="22"/>
                <w:szCs w:val="22"/>
              </w:rPr>
              <w:t>2019-20</w:t>
            </w:r>
          </w:p>
        </w:tc>
        <w:tc>
          <w:tcPr>
            <w:tcW w:w="0" w:type="auto"/>
            <w:vMerge w:val="restart"/>
            <w:tcBorders>
              <w:top w:val="single" w:sz="4" w:space="0" w:color="auto"/>
              <w:left w:val="single" w:sz="4" w:space="0" w:color="auto"/>
              <w:bottom w:val="single" w:sz="4" w:space="0" w:color="auto"/>
              <w:right w:val="single" w:sz="4" w:space="0" w:color="auto"/>
            </w:tcBorders>
            <w:shd w:val="clear" w:color="000000" w:fill="9BC2E6"/>
            <w:vAlign w:val="center"/>
            <w:hideMark/>
          </w:tcPr>
          <w:p w14:paraId="2C736CE8" w14:textId="77777777" w:rsidR="002B64C6" w:rsidRDefault="002B64C6">
            <w:pPr>
              <w:jc w:val="center"/>
              <w:rPr>
                <w:rFonts w:ascii="Calibri" w:hAnsi="Calibri" w:cs="Calibri"/>
                <w:b/>
                <w:bCs/>
                <w:color w:val="000000"/>
                <w:sz w:val="22"/>
                <w:szCs w:val="22"/>
              </w:rPr>
            </w:pPr>
            <w:r>
              <w:rPr>
                <w:rFonts w:ascii="Calibri" w:hAnsi="Calibri" w:cs="Calibri"/>
                <w:b/>
                <w:bCs/>
                <w:color w:val="000000"/>
                <w:sz w:val="22"/>
                <w:szCs w:val="22"/>
              </w:rPr>
              <w:t>2020-21</w:t>
            </w:r>
          </w:p>
        </w:tc>
        <w:tc>
          <w:tcPr>
            <w:tcW w:w="0" w:type="auto"/>
            <w:vMerge w:val="restart"/>
            <w:tcBorders>
              <w:top w:val="single" w:sz="4" w:space="0" w:color="auto"/>
              <w:left w:val="single" w:sz="4" w:space="0" w:color="auto"/>
              <w:bottom w:val="single" w:sz="4" w:space="0" w:color="auto"/>
              <w:right w:val="single" w:sz="4" w:space="0" w:color="auto"/>
            </w:tcBorders>
            <w:shd w:val="clear" w:color="000000" w:fill="9BC2E6"/>
            <w:vAlign w:val="center"/>
            <w:hideMark/>
          </w:tcPr>
          <w:p w14:paraId="6325D207" w14:textId="77777777" w:rsidR="002B64C6" w:rsidRDefault="002B64C6">
            <w:pPr>
              <w:jc w:val="center"/>
              <w:rPr>
                <w:rFonts w:ascii="Calibri" w:hAnsi="Calibri" w:cs="Calibri"/>
                <w:b/>
                <w:bCs/>
                <w:color w:val="000000"/>
                <w:sz w:val="22"/>
                <w:szCs w:val="22"/>
              </w:rPr>
            </w:pPr>
            <w:r>
              <w:rPr>
                <w:rFonts w:ascii="Calibri" w:hAnsi="Calibri" w:cs="Calibri"/>
                <w:b/>
                <w:bCs/>
                <w:color w:val="000000"/>
                <w:sz w:val="22"/>
                <w:szCs w:val="22"/>
              </w:rPr>
              <w:t>2021-22</w:t>
            </w:r>
          </w:p>
        </w:tc>
        <w:tc>
          <w:tcPr>
            <w:tcW w:w="0" w:type="auto"/>
            <w:vMerge w:val="restart"/>
            <w:tcBorders>
              <w:top w:val="single" w:sz="4" w:space="0" w:color="auto"/>
              <w:left w:val="single" w:sz="4" w:space="0" w:color="auto"/>
              <w:bottom w:val="single" w:sz="4" w:space="0" w:color="auto"/>
              <w:right w:val="single" w:sz="4" w:space="0" w:color="auto"/>
            </w:tcBorders>
            <w:shd w:val="clear" w:color="000000" w:fill="9BC2E6"/>
            <w:vAlign w:val="center"/>
            <w:hideMark/>
          </w:tcPr>
          <w:p w14:paraId="3CF736E7" w14:textId="77777777" w:rsidR="002B64C6" w:rsidRDefault="002B64C6">
            <w:pPr>
              <w:jc w:val="center"/>
              <w:rPr>
                <w:rFonts w:ascii="Calibri" w:hAnsi="Calibri" w:cs="Calibri"/>
                <w:b/>
                <w:bCs/>
                <w:color w:val="000000"/>
                <w:sz w:val="22"/>
                <w:szCs w:val="22"/>
              </w:rPr>
            </w:pPr>
            <w:r>
              <w:rPr>
                <w:rFonts w:ascii="Calibri" w:hAnsi="Calibri" w:cs="Calibri"/>
                <w:b/>
                <w:bCs/>
                <w:color w:val="000000"/>
                <w:sz w:val="22"/>
                <w:szCs w:val="22"/>
              </w:rPr>
              <w:t>2022-23</w:t>
            </w:r>
          </w:p>
        </w:tc>
        <w:tc>
          <w:tcPr>
            <w:tcW w:w="0" w:type="auto"/>
            <w:vMerge w:val="restart"/>
            <w:tcBorders>
              <w:top w:val="single" w:sz="4" w:space="0" w:color="auto"/>
              <w:left w:val="single" w:sz="4" w:space="0" w:color="auto"/>
              <w:bottom w:val="single" w:sz="4" w:space="0" w:color="auto"/>
              <w:right w:val="single" w:sz="4" w:space="0" w:color="auto"/>
            </w:tcBorders>
            <w:shd w:val="clear" w:color="000000" w:fill="9BC2E6"/>
            <w:vAlign w:val="center"/>
            <w:hideMark/>
          </w:tcPr>
          <w:p w14:paraId="73020605" w14:textId="77777777" w:rsidR="002B64C6" w:rsidRDefault="002B64C6">
            <w:pPr>
              <w:jc w:val="center"/>
              <w:rPr>
                <w:rFonts w:ascii="Calibri" w:hAnsi="Calibri" w:cs="Calibri"/>
                <w:b/>
                <w:bCs/>
                <w:color w:val="000000"/>
                <w:sz w:val="22"/>
                <w:szCs w:val="22"/>
              </w:rPr>
            </w:pPr>
            <w:r>
              <w:rPr>
                <w:rFonts w:ascii="Calibri" w:hAnsi="Calibri" w:cs="Calibri"/>
                <w:b/>
                <w:bCs/>
                <w:color w:val="000000"/>
                <w:sz w:val="22"/>
                <w:szCs w:val="22"/>
              </w:rPr>
              <w:t xml:space="preserve">2023-24 </w:t>
            </w:r>
          </w:p>
        </w:tc>
        <w:tc>
          <w:tcPr>
            <w:tcW w:w="0" w:type="auto"/>
            <w:vMerge w:val="restart"/>
            <w:tcBorders>
              <w:top w:val="single" w:sz="4" w:space="0" w:color="auto"/>
              <w:left w:val="single" w:sz="4" w:space="0" w:color="auto"/>
              <w:bottom w:val="single" w:sz="4" w:space="0" w:color="auto"/>
              <w:right w:val="single" w:sz="4" w:space="0" w:color="auto"/>
            </w:tcBorders>
            <w:shd w:val="clear" w:color="000000" w:fill="9BC2E6"/>
            <w:vAlign w:val="center"/>
            <w:hideMark/>
          </w:tcPr>
          <w:p w14:paraId="2FADE04F" w14:textId="77777777" w:rsidR="002B64C6" w:rsidRDefault="002B64C6">
            <w:pPr>
              <w:jc w:val="center"/>
              <w:rPr>
                <w:rFonts w:ascii="Calibri" w:hAnsi="Calibri" w:cs="Calibri"/>
                <w:b/>
                <w:bCs/>
                <w:color w:val="000000"/>
                <w:sz w:val="22"/>
                <w:szCs w:val="22"/>
              </w:rPr>
            </w:pPr>
            <w:r>
              <w:rPr>
                <w:rFonts w:ascii="Calibri" w:hAnsi="Calibri" w:cs="Calibri"/>
                <w:b/>
                <w:bCs/>
                <w:color w:val="000000"/>
                <w:sz w:val="22"/>
                <w:szCs w:val="22"/>
              </w:rPr>
              <w:t xml:space="preserve">2024-25                          </w:t>
            </w:r>
          </w:p>
        </w:tc>
        <w:tc>
          <w:tcPr>
            <w:tcW w:w="0" w:type="auto"/>
            <w:vMerge w:val="restart"/>
            <w:tcBorders>
              <w:top w:val="single" w:sz="4" w:space="0" w:color="auto"/>
              <w:left w:val="single" w:sz="4" w:space="0" w:color="auto"/>
              <w:bottom w:val="single" w:sz="4" w:space="0" w:color="000000"/>
              <w:right w:val="single" w:sz="4" w:space="0" w:color="auto"/>
            </w:tcBorders>
            <w:shd w:val="clear" w:color="000000" w:fill="9BC2E6"/>
            <w:vAlign w:val="bottom"/>
            <w:hideMark/>
          </w:tcPr>
          <w:p w14:paraId="3C82FF28" w14:textId="77777777" w:rsidR="002B64C6" w:rsidRDefault="002B64C6">
            <w:pPr>
              <w:jc w:val="center"/>
              <w:rPr>
                <w:rFonts w:ascii="Calibri" w:hAnsi="Calibri" w:cs="Calibri"/>
                <w:b/>
                <w:bCs/>
                <w:color w:val="000000"/>
                <w:sz w:val="22"/>
                <w:szCs w:val="22"/>
              </w:rPr>
            </w:pPr>
            <w:r>
              <w:rPr>
                <w:rFonts w:ascii="Calibri" w:hAnsi="Calibri" w:cs="Calibri"/>
                <w:b/>
                <w:bCs/>
                <w:color w:val="000000"/>
                <w:sz w:val="22"/>
                <w:szCs w:val="22"/>
              </w:rPr>
              <w:t>2025-26 (Projection)</w:t>
            </w:r>
          </w:p>
        </w:tc>
      </w:tr>
      <w:tr w:rsidR="002B64C6" w14:paraId="1ACBE36F" w14:textId="77777777" w:rsidTr="002B64C6">
        <w:trPr>
          <w:trHeight w:val="27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5187498" w14:textId="77777777" w:rsidR="002B64C6" w:rsidRDefault="002B64C6">
            <w:pPr>
              <w:rPr>
                <w:rFonts w:ascii="Calibri" w:hAnsi="Calibri" w:cs="Calibri"/>
                <w:b/>
                <w:bCs/>
                <w:color w:val="000000"/>
                <w:sz w:val="22"/>
                <w:szCs w:val="22"/>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63DAF42" w14:textId="77777777" w:rsidR="002B64C6" w:rsidRDefault="002B64C6">
            <w:pPr>
              <w:rPr>
                <w:rFonts w:ascii="Calibri" w:hAnsi="Calibri" w:cs="Calibri"/>
                <w:b/>
                <w:bCs/>
                <w:color w:val="000000"/>
                <w:sz w:val="22"/>
                <w:szCs w:val="22"/>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77927C2" w14:textId="77777777" w:rsidR="002B64C6" w:rsidRDefault="002B64C6">
            <w:pPr>
              <w:rPr>
                <w:rFonts w:ascii="Calibri" w:hAnsi="Calibri" w:cs="Calibri"/>
                <w:b/>
                <w:bCs/>
                <w:color w:val="000000"/>
                <w:sz w:val="22"/>
                <w:szCs w:val="22"/>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DF6FA78" w14:textId="77777777" w:rsidR="002B64C6" w:rsidRDefault="002B64C6">
            <w:pPr>
              <w:rPr>
                <w:rFonts w:ascii="Calibri" w:hAnsi="Calibri" w:cs="Calibri"/>
                <w:b/>
                <w:bCs/>
                <w:color w:val="000000"/>
                <w:sz w:val="22"/>
                <w:szCs w:val="22"/>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6F3A1E4" w14:textId="77777777" w:rsidR="002B64C6" w:rsidRDefault="002B64C6">
            <w:pPr>
              <w:rPr>
                <w:rFonts w:ascii="Calibri" w:hAnsi="Calibri" w:cs="Calibri"/>
                <w:b/>
                <w:bCs/>
                <w:color w:val="000000"/>
                <w:sz w:val="22"/>
                <w:szCs w:val="22"/>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B966892" w14:textId="77777777" w:rsidR="002B64C6" w:rsidRDefault="002B64C6">
            <w:pPr>
              <w:rPr>
                <w:rFonts w:ascii="Calibri" w:hAnsi="Calibri" w:cs="Calibri"/>
                <w:b/>
                <w:bCs/>
                <w:color w:val="000000"/>
                <w:sz w:val="22"/>
                <w:szCs w:val="22"/>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4365A1D" w14:textId="77777777" w:rsidR="002B64C6" w:rsidRDefault="002B64C6">
            <w:pPr>
              <w:rPr>
                <w:rFonts w:ascii="Calibri" w:hAnsi="Calibri" w:cs="Calibri"/>
                <w:b/>
                <w:bCs/>
                <w:color w:val="000000"/>
                <w:sz w:val="22"/>
                <w:szCs w:val="22"/>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42C09C3" w14:textId="77777777" w:rsidR="002B64C6" w:rsidRDefault="002B64C6">
            <w:pPr>
              <w:rPr>
                <w:rFonts w:ascii="Calibri" w:hAnsi="Calibri" w:cs="Calibri"/>
                <w:b/>
                <w:bCs/>
                <w:color w:val="000000"/>
                <w:sz w:val="22"/>
                <w:szCs w:val="22"/>
              </w:rPr>
            </w:pPr>
          </w:p>
        </w:tc>
        <w:tc>
          <w:tcPr>
            <w:tcW w:w="0" w:type="auto"/>
            <w:vMerge/>
            <w:tcBorders>
              <w:top w:val="single" w:sz="4" w:space="0" w:color="auto"/>
              <w:left w:val="single" w:sz="4" w:space="0" w:color="auto"/>
              <w:bottom w:val="single" w:sz="4" w:space="0" w:color="000000"/>
              <w:right w:val="single" w:sz="4" w:space="0" w:color="auto"/>
            </w:tcBorders>
            <w:vAlign w:val="center"/>
            <w:hideMark/>
          </w:tcPr>
          <w:p w14:paraId="087F682B" w14:textId="77777777" w:rsidR="002B64C6" w:rsidRDefault="002B64C6">
            <w:pPr>
              <w:rPr>
                <w:rFonts w:ascii="Calibri" w:hAnsi="Calibri" w:cs="Calibri"/>
                <w:b/>
                <w:bCs/>
                <w:color w:val="000000"/>
                <w:sz w:val="22"/>
                <w:szCs w:val="22"/>
              </w:rPr>
            </w:pPr>
          </w:p>
        </w:tc>
      </w:tr>
      <w:tr w:rsidR="002B64C6" w14:paraId="514E6B4C" w14:textId="77777777" w:rsidTr="002B64C6">
        <w:trPr>
          <w:trHeight w:val="263"/>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AE0DA71" w14:textId="77777777" w:rsidR="002B64C6" w:rsidRDefault="002B64C6">
            <w:pPr>
              <w:rPr>
                <w:rFonts w:ascii="Calibri" w:hAnsi="Calibri" w:cs="Calibri"/>
                <w:color w:val="000000"/>
                <w:sz w:val="22"/>
                <w:szCs w:val="22"/>
              </w:rPr>
            </w:pPr>
            <w:r>
              <w:rPr>
                <w:rFonts w:ascii="Calibri" w:hAnsi="Calibri" w:cs="Calibri"/>
                <w:color w:val="000000"/>
                <w:sz w:val="22"/>
                <w:szCs w:val="22"/>
              </w:rPr>
              <w:t>Input Energy (MU)</w:t>
            </w:r>
          </w:p>
        </w:tc>
        <w:tc>
          <w:tcPr>
            <w:tcW w:w="0" w:type="auto"/>
            <w:tcBorders>
              <w:top w:val="nil"/>
              <w:left w:val="nil"/>
              <w:bottom w:val="single" w:sz="4" w:space="0" w:color="auto"/>
              <w:right w:val="single" w:sz="4" w:space="0" w:color="auto"/>
            </w:tcBorders>
            <w:shd w:val="clear" w:color="auto" w:fill="auto"/>
            <w:vAlign w:val="center"/>
            <w:hideMark/>
          </w:tcPr>
          <w:p w14:paraId="3F28CE9C" w14:textId="77777777" w:rsidR="002B64C6" w:rsidRDefault="002B64C6" w:rsidP="00B47073">
            <w:pPr>
              <w:jc w:val="center"/>
              <w:rPr>
                <w:rFonts w:ascii="Calibri" w:hAnsi="Calibri" w:cs="Calibri"/>
                <w:color w:val="000000"/>
                <w:sz w:val="22"/>
                <w:szCs w:val="22"/>
              </w:rPr>
            </w:pPr>
            <w:r>
              <w:rPr>
                <w:rFonts w:ascii="Calibri" w:hAnsi="Calibri" w:cs="Calibri"/>
                <w:color w:val="000000"/>
                <w:sz w:val="22"/>
                <w:szCs w:val="22"/>
              </w:rPr>
              <w:t>5,575.61</w:t>
            </w:r>
          </w:p>
        </w:tc>
        <w:tc>
          <w:tcPr>
            <w:tcW w:w="0" w:type="auto"/>
            <w:tcBorders>
              <w:top w:val="nil"/>
              <w:left w:val="nil"/>
              <w:bottom w:val="single" w:sz="4" w:space="0" w:color="auto"/>
              <w:right w:val="single" w:sz="4" w:space="0" w:color="auto"/>
            </w:tcBorders>
            <w:shd w:val="clear" w:color="auto" w:fill="auto"/>
            <w:vAlign w:val="center"/>
            <w:hideMark/>
          </w:tcPr>
          <w:p w14:paraId="1B8AFAEF" w14:textId="77777777" w:rsidR="002B64C6" w:rsidRDefault="002B64C6" w:rsidP="00B47073">
            <w:pPr>
              <w:jc w:val="center"/>
              <w:rPr>
                <w:rFonts w:ascii="Calibri" w:hAnsi="Calibri" w:cs="Calibri"/>
                <w:color w:val="000000"/>
                <w:sz w:val="22"/>
                <w:szCs w:val="22"/>
              </w:rPr>
            </w:pPr>
            <w:r>
              <w:rPr>
                <w:rFonts w:ascii="Calibri" w:hAnsi="Calibri" w:cs="Calibri"/>
                <w:color w:val="000000"/>
                <w:sz w:val="22"/>
                <w:szCs w:val="22"/>
              </w:rPr>
              <w:t>5,439.43</w:t>
            </w:r>
          </w:p>
        </w:tc>
        <w:tc>
          <w:tcPr>
            <w:tcW w:w="0" w:type="auto"/>
            <w:tcBorders>
              <w:top w:val="nil"/>
              <w:left w:val="nil"/>
              <w:bottom w:val="single" w:sz="4" w:space="0" w:color="auto"/>
              <w:right w:val="single" w:sz="4" w:space="0" w:color="auto"/>
            </w:tcBorders>
            <w:shd w:val="clear" w:color="auto" w:fill="auto"/>
            <w:vAlign w:val="center"/>
            <w:hideMark/>
          </w:tcPr>
          <w:p w14:paraId="3DC96882" w14:textId="77777777" w:rsidR="002B64C6" w:rsidRDefault="002B64C6" w:rsidP="00B47073">
            <w:pPr>
              <w:jc w:val="center"/>
              <w:rPr>
                <w:rFonts w:ascii="Calibri" w:hAnsi="Calibri" w:cs="Calibri"/>
                <w:color w:val="000000"/>
                <w:sz w:val="22"/>
                <w:szCs w:val="22"/>
              </w:rPr>
            </w:pPr>
            <w:r>
              <w:rPr>
                <w:rFonts w:ascii="Calibri" w:hAnsi="Calibri" w:cs="Calibri"/>
                <w:color w:val="000000"/>
                <w:sz w:val="22"/>
                <w:szCs w:val="22"/>
              </w:rPr>
              <w:t>4,941.19</w:t>
            </w:r>
          </w:p>
        </w:tc>
        <w:tc>
          <w:tcPr>
            <w:tcW w:w="0" w:type="auto"/>
            <w:tcBorders>
              <w:top w:val="nil"/>
              <w:left w:val="nil"/>
              <w:bottom w:val="single" w:sz="4" w:space="0" w:color="auto"/>
              <w:right w:val="single" w:sz="4" w:space="0" w:color="auto"/>
            </w:tcBorders>
            <w:shd w:val="clear" w:color="auto" w:fill="auto"/>
            <w:vAlign w:val="center"/>
            <w:hideMark/>
          </w:tcPr>
          <w:p w14:paraId="72BB1A37" w14:textId="77777777" w:rsidR="002B64C6" w:rsidRDefault="002B64C6" w:rsidP="00B47073">
            <w:pPr>
              <w:jc w:val="center"/>
              <w:rPr>
                <w:rFonts w:ascii="Calibri" w:hAnsi="Calibri" w:cs="Calibri"/>
                <w:color w:val="000000"/>
                <w:sz w:val="22"/>
                <w:szCs w:val="22"/>
              </w:rPr>
            </w:pPr>
            <w:r>
              <w:rPr>
                <w:rFonts w:ascii="Calibri" w:hAnsi="Calibri" w:cs="Calibri"/>
                <w:color w:val="000000"/>
                <w:sz w:val="22"/>
                <w:szCs w:val="22"/>
              </w:rPr>
              <w:t>5,327.04</w:t>
            </w:r>
          </w:p>
        </w:tc>
        <w:tc>
          <w:tcPr>
            <w:tcW w:w="0" w:type="auto"/>
            <w:tcBorders>
              <w:top w:val="nil"/>
              <w:left w:val="nil"/>
              <w:bottom w:val="single" w:sz="4" w:space="0" w:color="auto"/>
              <w:right w:val="single" w:sz="4" w:space="0" w:color="auto"/>
            </w:tcBorders>
            <w:shd w:val="clear" w:color="auto" w:fill="auto"/>
            <w:vAlign w:val="center"/>
            <w:hideMark/>
          </w:tcPr>
          <w:p w14:paraId="0EE9ABC4" w14:textId="77777777" w:rsidR="002B64C6" w:rsidRDefault="002B64C6" w:rsidP="00B47073">
            <w:pPr>
              <w:jc w:val="center"/>
              <w:rPr>
                <w:rFonts w:ascii="Calibri" w:hAnsi="Calibri" w:cs="Calibri"/>
                <w:color w:val="000000"/>
                <w:sz w:val="22"/>
                <w:szCs w:val="22"/>
              </w:rPr>
            </w:pPr>
            <w:r>
              <w:rPr>
                <w:rFonts w:ascii="Calibri" w:hAnsi="Calibri" w:cs="Calibri"/>
                <w:color w:val="000000"/>
                <w:sz w:val="22"/>
                <w:szCs w:val="22"/>
              </w:rPr>
              <w:t>6,473.32</w:t>
            </w:r>
          </w:p>
        </w:tc>
        <w:tc>
          <w:tcPr>
            <w:tcW w:w="0" w:type="auto"/>
            <w:tcBorders>
              <w:top w:val="nil"/>
              <w:left w:val="nil"/>
              <w:bottom w:val="single" w:sz="4" w:space="0" w:color="auto"/>
              <w:right w:val="single" w:sz="4" w:space="0" w:color="auto"/>
            </w:tcBorders>
            <w:shd w:val="clear" w:color="auto" w:fill="auto"/>
            <w:vAlign w:val="center"/>
            <w:hideMark/>
          </w:tcPr>
          <w:p w14:paraId="356F3461" w14:textId="77777777" w:rsidR="002B64C6" w:rsidRDefault="002B64C6" w:rsidP="00B47073">
            <w:pPr>
              <w:jc w:val="center"/>
              <w:rPr>
                <w:rFonts w:ascii="Calibri" w:hAnsi="Calibri" w:cs="Calibri"/>
                <w:color w:val="000000"/>
                <w:sz w:val="22"/>
                <w:szCs w:val="22"/>
              </w:rPr>
            </w:pPr>
            <w:r>
              <w:rPr>
                <w:rFonts w:ascii="Calibri" w:hAnsi="Calibri" w:cs="Calibri"/>
                <w:color w:val="000000"/>
                <w:sz w:val="22"/>
                <w:szCs w:val="22"/>
              </w:rPr>
              <w:t>7,047.15</w:t>
            </w:r>
          </w:p>
        </w:tc>
        <w:tc>
          <w:tcPr>
            <w:tcW w:w="0" w:type="auto"/>
            <w:tcBorders>
              <w:top w:val="nil"/>
              <w:left w:val="nil"/>
              <w:bottom w:val="single" w:sz="4" w:space="0" w:color="auto"/>
              <w:right w:val="single" w:sz="4" w:space="0" w:color="auto"/>
            </w:tcBorders>
            <w:shd w:val="clear" w:color="auto" w:fill="auto"/>
            <w:vAlign w:val="center"/>
            <w:hideMark/>
          </w:tcPr>
          <w:p w14:paraId="06392D3B" w14:textId="77777777" w:rsidR="002B64C6" w:rsidRDefault="002B64C6" w:rsidP="00B47073">
            <w:pPr>
              <w:jc w:val="center"/>
              <w:rPr>
                <w:rFonts w:ascii="Calibri" w:hAnsi="Calibri" w:cs="Calibri"/>
                <w:color w:val="000000"/>
                <w:sz w:val="22"/>
                <w:szCs w:val="22"/>
              </w:rPr>
            </w:pPr>
            <w:r>
              <w:rPr>
                <w:rFonts w:ascii="Calibri" w:hAnsi="Calibri" w:cs="Calibri"/>
                <w:color w:val="000000"/>
                <w:sz w:val="22"/>
                <w:szCs w:val="22"/>
              </w:rPr>
              <w:t>8,037.07</w:t>
            </w:r>
          </w:p>
        </w:tc>
        <w:tc>
          <w:tcPr>
            <w:tcW w:w="0" w:type="auto"/>
            <w:tcBorders>
              <w:top w:val="nil"/>
              <w:left w:val="nil"/>
              <w:bottom w:val="nil"/>
              <w:right w:val="single" w:sz="4" w:space="0" w:color="auto"/>
            </w:tcBorders>
            <w:shd w:val="clear" w:color="auto" w:fill="auto"/>
            <w:vAlign w:val="center"/>
            <w:hideMark/>
          </w:tcPr>
          <w:p w14:paraId="5A88E88E" w14:textId="77777777" w:rsidR="002B64C6" w:rsidRDefault="002B64C6" w:rsidP="00B47073">
            <w:pPr>
              <w:jc w:val="center"/>
              <w:rPr>
                <w:rFonts w:ascii="Calibri" w:hAnsi="Calibri" w:cs="Calibri"/>
                <w:color w:val="000000"/>
                <w:sz w:val="22"/>
                <w:szCs w:val="22"/>
              </w:rPr>
            </w:pPr>
            <w:r>
              <w:rPr>
                <w:rFonts w:ascii="Calibri" w:hAnsi="Calibri" w:cs="Calibri"/>
                <w:color w:val="000000"/>
                <w:sz w:val="22"/>
                <w:szCs w:val="22"/>
              </w:rPr>
              <w:t>8,718.78</w:t>
            </w:r>
          </w:p>
        </w:tc>
      </w:tr>
      <w:tr w:rsidR="002B64C6" w14:paraId="6E7CF6FA" w14:textId="77777777" w:rsidTr="00B47073">
        <w:trPr>
          <w:trHeight w:val="526"/>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8772909" w14:textId="77777777" w:rsidR="002B64C6" w:rsidRDefault="002B64C6">
            <w:pPr>
              <w:rPr>
                <w:rFonts w:ascii="Calibri" w:hAnsi="Calibri" w:cs="Calibri"/>
                <w:color w:val="000000"/>
                <w:sz w:val="22"/>
                <w:szCs w:val="22"/>
              </w:rPr>
            </w:pPr>
            <w:r>
              <w:rPr>
                <w:rFonts w:ascii="Calibri" w:hAnsi="Calibri" w:cs="Calibri"/>
                <w:color w:val="000000"/>
                <w:sz w:val="22"/>
                <w:szCs w:val="22"/>
              </w:rPr>
              <w:t>Maximum Demand (MVA)</w:t>
            </w:r>
          </w:p>
        </w:tc>
        <w:tc>
          <w:tcPr>
            <w:tcW w:w="0" w:type="auto"/>
            <w:tcBorders>
              <w:top w:val="nil"/>
              <w:left w:val="nil"/>
              <w:bottom w:val="single" w:sz="4" w:space="0" w:color="auto"/>
              <w:right w:val="single" w:sz="4" w:space="0" w:color="auto"/>
            </w:tcBorders>
            <w:shd w:val="clear" w:color="auto" w:fill="auto"/>
            <w:vAlign w:val="center"/>
            <w:hideMark/>
          </w:tcPr>
          <w:p w14:paraId="1E6E23BA" w14:textId="77777777" w:rsidR="002B64C6" w:rsidRDefault="002B64C6" w:rsidP="00B47073">
            <w:pPr>
              <w:jc w:val="center"/>
              <w:rPr>
                <w:rFonts w:ascii="Calibri" w:hAnsi="Calibri" w:cs="Calibri"/>
                <w:color w:val="000000"/>
                <w:sz w:val="22"/>
                <w:szCs w:val="22"/>
              </w:rPr>
            </w:pPr>
            <w:r>
              <w:rPr>
                <w:rFonts w:ascii="Calibri" w:hAnsi="Calibri" w:cs="Calibri"/>
                <w:color w:val="000000"/>
                <w:sz w:val="22"/>
                <w:szCs w:val="22"/>
              </w:rPr>
              <w:t>973.31</w:t>
            </w:r>
          </w:p>
        </w:tc>
        <w:tc>
          <w:tcPr>
            <w:tcW w:w="0" w:type="auto"/>
            <w:tcBorders>
              <w:top w:val="nil"/>
              <w:left w:val="nil"/>
              <w:bottom w:val="single" w:sz="4" w:space="0" w:color="auto"/>
              <w:right w:val="single" w:sz="4" w:space="0" w:color="auto"/>
            </w:tcBorders>
            <w:shd w:val="clear" w:color="auto" w:fill="auto"/>
            <w:vAlign w:val="center"/>
            <w:hideMark/>
          </w:tcPr>
          <w:p w14:paraId="025D47CD" w14:textId="77777777" w:rsidR="002B64C6" w:rsidRDefault="002B64C6" w:rsidP="00B47073">
            <w:pPr>
              <w:jc w:val="center"/>
              <w:rPr>
                <w:rFonts w:ascii="Calibri" w:hAnsi="Calibri" w:cs="Calibri"/>
                <w:color w:val="000000"/>
                <w:sz w:val="22"/>
                <w:szCs w:val="22"/>
              </w:rPr>
            </w:pPr>
            <w:r>
              <w:rPr>
                <w:rFonts w:ascii="Calibri" w:hAnsi="Calibri" w:cs="Calibri"/>
                <w:color w:val="000000"/>
                <w:sz w:val="22"/>
                <w:szCs w:val="22"/>
              </w:rPr>
              <w:t>1,015.24</w:t>
            </w:r>
          </w:p>
        </w:tc>
        <w:tc>
          <w:tcPr>
            <w:tcW w:w="0" w:type="auto"/>
            <w:tcBorders>
              <w:top w:val="nil"/>
              <w:left w:val="nil"/>
              <w:bottom w:val="single" w:sz="4" w:space="0" w:color="auto"/>
              <w:right w:val="single" w:sz="4" w:space="0" w:color="auto"/>
            </w:tcBorders>
            <w:shd w:val="clear" w:color="auto" w:fill="auto"/>
            <w:vAlign w:val="center"/>
            <w:hideMark/>
          </w:tcPr>
          <w:p w14:paraId="4F9843E9" w14:textId="77777777" w:rsidR="002B64C6" w:rsidRDefault="002B64C6" w:rsidP="00B47073">
            <w:pPr>
              <w:jc w:val="center"/>
              <w:rPr>
                <w:rFonts w:ascii="Calibri" w:hAnsi="Calibri" w:cs="Calibri"/>
                <w:color w:val="000000"/>
                <w:sz w:val="22"/>
                <w:szCs w:val="22"/>
              </w:rPr>
            </w:pPr>
            <w:r>
              <w:rPr>
                <w:rFonts w:ascii="Calibri" w:hAnsi="Calibri" w:cs="Calibri"/>
                <w:color w:val="000000"/>
                <w:sz w:val="22"/>
                <w:szCs w:val="22"/>
              </w:rPr>
              <w:t>980.5</w:t>
            </w:r>
          </w:p>
        </w:tc>
        <w:tc>
          <w:tcPr>
            <w:tcW w:w="0" w:type="auto"/>
            <w:tcBorders>
              <w:top w:val="nil"/>
              <w:left w:val="nil"/>
              <w:bottom w:val="single" w:sz="4" w:space="0" w:color="auto"/>
              <w:right w:val="single" w:sz="4" w:space="0" w:color="auto"/>
            </w:tcBorders>
            <w:shd w:val="clear" w:color="auto" w:fill="auto"/>
            <w:vAlign w:val="center"/>
            <w:hideMark/>
          </w:tcPr>
          <w:p w14:paraId="1F722395" w14:textId="77777777" w:rsidR="002B64C6" w:rsidRDefault="002B64C6" w:rsidP="00B47073">
            <w:pPr>
              <w:jc w:val="center"/>
              <w:rPr>
                <w:rFonts w:ascii="Calibri" w:hAnsi="Calibri" w:cs="Calibri"/>
                <w:color w:val="000000"/>
                <w:sz w:val="22"/>
                <w:szCs w:val="22"/>
              </w:rPr>
            </w:pPr>
            <w:r>
              <w:rPr>
                <w:rFonts w:ascii="Calibri" w:hAnsi="Calibri" w:cs="Calibri"/>
                <w:color w:val="000000"/>
                <w:sz w:val="22"/>
                <w:szCs w:val="22"/>
              </w:rPr>
              <w:t>937.94</w:t>
            </w:r>
          </w:p>
        </w:tc>
        <w:tc>
          <w:tcPr>
            <w:tcW w:w="0" w:type="auto"/>
            <w:tcBorders>
              <w:top w:val="nil"/>
              <w:left w:val="nil"/>
              <w:bottom w:val="single" w:sz="4" w:space="0" w:color="auto"/>
              <w:right w:val="single" w:sz="4" w:space="0" w:color="auto"/>
            </w:tcBorders>
            <w:shd w:val="clear" w:color="auto" w:fill="auto"/>
            <w:vAlign w:val="center"/>
            <w:hideMark/>
          </w:tcPr>
          <w:p w14:paraId="78CBBEC0" w14:textId="77777777" w:rsidR="002B64C6" w:rsidRDefault="002B64C6" w:rsidP="00B47073">
            <w:pPr>
              <w:jc w:val="center"/>
              <w:rPr>
                <w:rFonts w:ascii="Calibri" w:hAnsi="Calibri" w:cs="Calibri"/>
                <w:color w:val="000000"/>
                <w:sz w:val="22"/>
                <w:szCs w:val="22"/>
              </w:rPr>
            </w:pPr>
            <w:r>
              <w:rPr>
                <w:rFonts w:ascii="Calibri" w:hAnsi="Calibri" w:cs="Calibri"/>
                <w:color w:val="000000"/>
                <w:sz w:val="22"/>
                <w:szCs w:val="22"/>
              </w:rPr>
              <w:t>1,154.65</w:t>
            </w:r>
          </w:p>
        </w:tc>
        <w:tc>
          <w:tcPr>
            <w:tcW w:w="0" w:type="auto"/>
            <w:tcBorders>
              <w:top w:val="nil"/>
              <w:left w:val="nil"/>
              <w:bottom w:val="single" w:sz="4" w:space="0" w:color="auto"/>
              <w:right w:val="single" w:sz="4" w:space="0" w:color="auto"/>
            </w:tcBorders>
            <w:shd w:val="clear" w:color="auto" w:fill="auto"/>
            <w:vAlign w:val="center"/>
            <w:hideMark/>
          </w:tcPr>
          <w:p w14:paraId="3B61D1B9" w14:textId="77777777" w:rsidR="002B64C6" w:rsidRDefault="002B64C6" w:rsidP="00B47073">
            <w:pPr>
              <w:jc w:val="center"/>
              <w:rPr>
                <w:rFonts w:ascii="Calibri" w:hAnsi="Calibri" w:cs="Calibri"/>
                <w:color w:val="000000"/>
                <w:sz w:val="22"/>
                <w:szCs w:val="22"/>
              </w:rPr>
            </w:pPr>
            <w:r>
              <w:rPr>
                <w:rFonts w:ascii="Calibri" w:hAnsi="Calibri" w:cs="Calibri"/>
                <w:color w:val="000000"/>
                <w:sz w:val="22"/>
                <w:szCs w:val="22"/>
              </w:rPr>
              <w:t>1,267.20</w:t>
            </w:r>
          </w:p>
        </w:tc>
        <w:tc>
          <w:tcPr>
            <w:tcW w:w="0" w:type="auto"/>
            <w:tcBorders>
              <w:top w:val="nil"/>
              <w:left w:val="nil"/>
              <w:bottom w:val="single" w:sz="4" w:space="0" w:color="auto"/>
              <w:right w:val="single" w:sz="4" w:space="0" w:color="auto"/>
            </w:tcBorders>
            <w:shd w:val="clear" w:color="auto" w:fill="auto"/>
            <w:vAlign w:val="center"/>
            <w:hideMark/>
          </w:tcPr>
          <w:p w14:paraId="32B7775B" w14:textId="77777777" w:rsidR="002B64C6" w:rsidRDefault="002B64C6" w:rsidP="00B47073">
            <w:pPr>
              <w:jc w:val="center"/>
              <w:rPr>
                <w:rFonts w:ascii="Calibri" w:hAnsi="Calibri" w:cs="Calibri"/>
                <w:color w:val="000000"/>
                <w:sz w:val="22"/>
                <w:szCs w:val="22"/>
              </w:rPr>
            </w:pPr>
            <w:r>
              <w:rPr>
                <w:rFonts w:ascii="Calibri" w:hAnsi="Calibri" w:cs="Calibri"/>
                <w:color w:val="000000"/>
                <w:sz w:val="22"/>
                <w:szCs w:val="22"/>
              </w:rPr>
              <w:t>1,405.00</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436AAD08" w14:textId="213359D2" w:rsidR="002B64C6" w:rsidRDefault="00533D8C" w:rsidP="00533D8C">
            <w:pPr>
              <w:spacing w:line="480" w:lineRule="auto"/>
              <w:rPr>
                <w:rFonts w:ascii="Calibri" w:hAnsi="Calibri" w:cs="Calibri"/>
                <w:color w:val="000000"/>
                <w:sz w:val="22"/>
                <w:szCs w:val="22"/>
              </w:rPr>
            </w:pPr>
            <w:r>
              <w:rPr>
                <w:rFonts w:ascii="Calibri" w:hAnsi="Calibri" w:cs="Calibri"/>
                <w:color w:val="000000"/>
                <w:sz w:val="22"/>
                <w:szCs w:val="22"/>
              </w:rPr>
              <w:t xml:space="preserve">      1580</w:t>
            </w:r>
          </w:p>
        </w:tc>
      </w:tr>
      <w:tr w:rsidR="002B64C6" w14:paraId="391E06DE" w14:textId="77777777" w:rsidTr="002B64C6">
        <w:trPr>
          <w:trHeight w:val="263"/>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B1BC450" w14:textId="77777777" w:rsidR="002B64C6" w:rsidRDefault="002B64C6">
            <w:pPr>
              <w:rPr>
                <w:rFonts w:ascii="Calibri" w:hAnsi="Calibri" w:cs="Calibri"/>
                <w:color w:val="000000"/>
                <w:sz w:val="22"/>
                <w:szCs w:val="22"/>
              </w:rPr>
            </w:pPr>
            <w:r>
              <w:rPr>
                <w:rFonts w:ascii="Calibri" w:hAnsi="Calibri" w:cs="Calibri"/>
                <w:color w:val="000000"/>
                <w:sz w:val="22"/>
                <w:szCs w:val="22"/>
              </w:rPr>
              <w:t>Load Factor %</w:t>
            </w:r>
          </w:p>
        </w:tc>
        <w:tc>
          <w:tcPr>
            <w:tcW w:w="0" w:type="auto"/>
            <w:tcBorders>
              <w:top w:val="nil"/>
              <w:left w:val="nil"/>
              <w:bottom w:val="single" w:sz="4" w:space="0" w:color="auto"/>
              <w:right w:val="single" w:sz="4" w:space="0" w:color="auto"/>
            </w:tcBorders>
            <w:shd w:val="clear" w:color="auto" w:fill="auto"/>
            <w:vAlign w:val="center"/>
            <w:hideMark/>
          </w:tcPr>
          <w:p w14:paraId="034715B2" w14:textId="77777777" w:rsidR="002B64C6" w:rsidRDefault="002B64C6" w:rsidP="00B47073">
            <w:pPr>
              <w:jc w:val="center"/>
              <w:rPr>
                <w:rFonts w:ascii="Calibri" w:hAnsi="Calibri" w:cs="Calibri"/>
                <w:color w:val="000000"/>
                <w:sz w:val="22"/>
                <w:szCs w:val="22"/>
              </w:rPr>
            </w:pPr>
            <w:r>
              <w:rPr>
                <w:rFonts w:ascii="Calibri" w:hAnsi="Calibri" w:cs="Calibri"/>
                <w:color w:val="000000"/>
                <w:sz w:val="22"/>
                <w:szCs w:val="22"/>
              </w:rPr>
              <w:t>72.70%</w:t>
            </w:r>
          </w:p>
        </w:tc>
        <w:tc>
          <w:tcPr>
            <w:tcW w:w="0" w:type="auto"/>
            <w:tcBorders>
              <w:top w:val="nil"/>
              <w:left w:val="nil"/>
              <w:bottom w:val="single" w:sz="4" w:space="0" w:color="auto"/>
              <w:right w:val="single" w:sz="4" w:space="0" w:color="auto"/>
            </w:tcBorders>
            <w:shd w:val="clear" w:color="auto" w:fill="auto"/>
            <w:vAlign w:val="center"/>
            <w:hideMark/>
          </w:tcPr>
          <w:p w14:paraId="5917FEF7" w14:textId="77777777" w:rsidR="002B64C6" w:rsidRDefault="002B64C6" w:rsidP="00B47073">
            <w:pPr>
              <w:jc w:val="center"/>
              <w:rPr>
                <w:rFonts w:ascii="Calibri" w:hAnsi="Calibri" w:cs="Calibri"/>
                <w:color w:val="000000"/>
                <w:sz w:val="22"/>
                <w:szCs w:val="22"/>
              </w:rPr>
            </w:pPr>
            <w:r>
              <w:rPr>
                <w:rFonts w:ascii="Calibri" w:hAnsi="Calibri" w:cs="Calibri"/>
                <w:color w:val="000000"/>
                <w:sz w:val="22"/>
                <w:szCs w:val="22"/>
              </w:rPr>
              <w:t>68.00%</w:t>
            </w:r>
          </w:p>
        </w:tc>
        <w:tc>
          <w:tcPr>
            <w:tcW w:w="0" w:type="auto"/>
            <w:tcBorders>
              <w:top w:val="nil"/>
              <w:left w:val="nil"/>
              <w:bottom w:val="single" w:sz="4" w:space="0" w:color="auto"/>
              <w:right w:val="single" w:sz="4" w:space="0" w:color="auto"/>
            </w:tcBorders>
            <w:shd w:val="clear" w:color="auto" w:fill="auto"/>
            <w:vAlign w:val="center"/>
            <w:hideMark/>
          </w:tcPr>
          <w:p w14:paraId="089D3782" w14:textId="77777777" w:rsidR="002B64C6" w:rsidRDefault="002B64C6" w:rsidP="00B47073">
            <w:pPr>
              <w:jc w:val="center"/>
              <w:rPr>
                <w:rFonts w:ascii="Calibri" w:hAnsi="Calibri" w:cs="Calibri"/>
                <w:color w:val="000000"/>
                <w:sz w:val="22"/>
                <w:szCs w:val="22"/>
              </w:rPr>
            </w:pPr>
            <w:r>
              <w:rPr>
                <w:rFonts w:ascii="Calibri" w:hAnsi="Calibri" w:cs="Calibri"/>
                <w:color w:val="000000"/>
                <w:sz w:val="22"/>
                <w:szCs w:val="22"/>
              </w:rPr>
              <w:t>63.90%</w:t>
            </w:r>
          </w:p>
        </w:tc>
        <w:tc>
          <w:tcPr>
            <w:tcW w:w="0" w:type="auto"/>
            <w:tcBorders>
              <w:top w:val="nil"/>
              <w:left w:val="nil"/>
              <w:bottom w:val="single" w:sz="4" w:space="0" w:color="auto"/>
              <w:right w:val="single" w:sz="4" w:space="0" w:color="auto"/>
            </w:tcBorders>
            <w:shd w:val="clear" w:color="auto" w:fill="auto"/>
            <w:vAlign w:val="center"/>
            <w:hideMark/>
          </w:tcPr>
          <w:p w14:paraId="12671E51" w14:textId="77777777" w:rsidR="002B64C6" w:rsidRDefault="002B64C6" w:rsidP="00B47073">
            <w:pPr>
              <w:jc w:val="center"/>
              <w:rPr>
                <w:rFonts w:ascii="Calibri" w:hAnsi="Calibri" w:cs="Calibri"/>
                <w:color w:val="000000"/>
                <w:sz w:val="22"/>
                <w:szCs w:val="22"/>
              </w:rPr>
            </w:pPr>
            <w:r>
              <w:rPr>
                <w:rFonts w:ascii="Calibri" w:hAnsi="Calibri" w:cs="Calibri"/>
                <w:color w:val="000000"/>
                <w:sz w:val="22"/>
                <w:szCs w:val="22"/>
              </w:rPr>
              <w:t>72.00%</w:t>
            </w:r>
          </w:p>
        </w:tc>
        <w:tc>
          <w:tcPr>
            <w:tcW w:w="0" w:type="auto"/>
            <w:tcBorders>
              <w:top w:val="nil"/>
              <w:left w:val="nil"/>
              <w:bottom w:val="single" w:sz="4" w:space="0" w:color="auto"/>
              <w:right w:val="single" w:sz="4" w:space="0" w:color="auto"/>
            </w:tcBorders>
            <w:shd w:val="clear" w:color="auto" w:fill="auto"/>
            <w:vAlign w:val="center"/>
            <w:hideMark/>
          </w:tcPr>
          <w:p w14:paraId="1902C3B9" w14:textId="77777777" w:rsidR="002B64C6" w:rsidRDefault="002B64C6" w:rsidP="00B47073">
            <w:pPr>
              <w:jc w:val="center"/>
              <w:rPr>
                <w:rFonts w:ascii="Calibri" w:hAnsi="Calibri" w:cs="Calibri"/>
                <w:color w:val="000000"/>
                <w:sz w:val="22"/>
                <w:szCs w:val="22"/>
              </w:rPr>
            </w:pPr>
            <w:r>
              <w:rPr>
                <w:rFonts w:ascii="Calibri" w:hAnsi="Calibri" w:cs="Calibri"/>
                <w:color w:val="000000"/>
                <w:sz w:val="22"/>
                <w:szCs w:val="22"/>
              </w:rPr>
              <w:t>71.10%</w:t>
            </w:r>
          </w:p>
        </w:tc>
        <w:tc>
          <w:tcPr>
            <w:tcW w:w="0" w:type="auto"/>
            <w:tcBorders>
              <w:top w:val="nil"/>
              <w:left w:val="nil"/>
              <w:bottom w:val="single" w:sz="4" w:space="0" w:color="auto"/>
              <w:right w:val="single" w:sz="4" w:space="0" w:color="auto"/>
            </w:tcBorders>
            <w:shd w:val="clear" w:color="auto" w:fill="auto"/>
            <w:noWrap/>
            <w:vAlign w:val="bottom"/>
            <w:hideMark/>
          </w:tcPr>
          <w:p w14:paraId="1A1B4FD3" w14:textId="77777777" w:rsidR="002B64C6" w:rsidRDefault="002B64C6" w:rsidP="00533D8C">
            <w:pPr>
              <w:spacing w:line="360" w:lineRule="auto"/>
              <w:jc w:val="center"/>
              <w:rPr>
                <w:rFonts w:ascii="Calibri" w:hAnsi="Calibri" w:cs="Calibri"/>
                <w:color w:val="000000"/>
                <w:sz w:val="22"/>
                <w:szCs w:val="22"/>
              </w:rPr>
            </w:pPr>
            <w:r>
              <w:rPr>
                <w:rFonts w:ascii="Calibri" w:hAnsi="Calibri" w:cs="Calibri"/>
                <w:color w:val="000000"/>
                <w:sz w:val="22"/>
                <w:szCs w:val="22"/>
              </w:rPr>
              <w:t>70.54%</w:t>
            </w:r>
          </w:p>
        </w:tc>
        <w:tc>
          <w:tcPr>
            <w:tcW w:w="0" w:type="auto"/>
            <w:tcBorders>
              <w:top w:val="nil"/>
              <w:left w:val="nil"/>
              <w:bottom w:val="single" w:sz="4" w:space="0" w:color="auto"/>
              <w:right w:val="single" w:sz="4" w:space="0" w:color="auto"/>
            </w:tcBorders>
            <w:shd w:val="clear" w:color="auto" w:fill="auto"/>
            <w:noWrap/>
            <w:vAlign w:val="bottom"/>
            <w:hideMark/>
          </w:tcPr>
          <w:p w14:paraId="24D20D4C" w14:textId="77777777" w:rsidR="002B64C6" w:rsidRDefault="002B64C6" w:rsidP="00533D8C">
            <w:pPr>
              <w:spacing w:line="360" w:lineRule="auto"/>
              <w:jc w:val="center"/>
              <w:rPr>
                <w:rFonts w:ascii="Calibri" w:hAnsi="Calibri" w:cs="Calibri"/>
                <w:color w:val="000000"/>
                <w:sz w:val="22"/>
                <w:szCs w:val="22"/>
              </w:rPr>
            </w:pPr>
            <w:r>
              <w:rPr>
                <w:rFonts w:ascii="Calibri" w:hAnsi="Calibri" w:cs="Calibri"/>
                <w:color w:val="000000"/>
                <w:sz w:val="22"/>
                <w:szCs w:val="22"/>
              </w:rPr>
              <w:t>73%</w:t>
            </w:r>
          </w:p>
        </w:tc>
        <w:tc>
          <w:tcPr>
            <w:tcW w:w="0" w:type="auto"/>
            <w:tcBorders>
              <w:top w:val="nil"/>
              <w:left w:val="nil"/>
              <w:bottom w:val="single" w:sz="4" w:space="0" w:color="auto"/>
              <w:right w:val="single" w:sz="4" w:space="0" w:color="auto"/>
            </w:tcBorders>
            <w:shd w:val="clear" w:color="auto" w:fill="auto"/>
            <w:noWrap/>
            <w:vAlign w:val="bottom"/>
            <w:hideMark/>
          </w:tcPr>
          <w:p w14:paraId="2954E691" w14:textId="77777777" w:rsidR="002B64C6" w:rsidRDefault="002B64C6" w:rsidP="00533D8C">
            <w:pPr>
              <w:spacing w:line="360" w:lineRule="auto"/>
              <w:jc w:val="center"/>
              <w:rPr>
                <w:rFonts w:ascii="Calibri" w:hAnsi="Calibri" w:cs="Calibri"/>
                <w:color w:val="000000"/>
                <w:sz w:val="22"/>
                <w:szCs w:val="22"/>
              </w:rPr>
            </w:pPr>
            <w:r>
              <w:rPr>
                <w:rFonts w:ascii="Calibri" w:hAnsi="Calibri" w:cs="Calibri"/>
                <w:color w:val="000000"/>
                <w:sz w:val="22"/>
                <w:szCs w:val="22"/>
              </w:rPr>
              <w:t>70%</w:t>
            </w:r>
          </w:p>
        </w:tc>
      </w:tr>
    </w:tbl>
    <w:p w14:paraId="7FC95740" w14:textId="77777777" w:rsidR="002B64C6" w:rsidRPr="00153204" w:rsidRDefault="002B64C6" w:rsidP="00B47073">
      <w:pPr>
        <w:pStyle w:val="BodyText2"/>
        <w:spacing w:line="360" w:lineRule="auto"/>
        <w:jc w:val="both"/>
        <w:rPr>
          <w:rFonts w:asciiTheme="minorHAnsi" w:hAnsiTheme="minorHAnsi" w:cstheme="minorHAnsi"/>
          <w:color w:val="FF0000"/>
          <w:sz w:val="22"/>
          <w:szCs w:val="22"/>
          <w:lang w:val="en-GB"/>
        </w:rPr>
      </w:pPr>
    </w:p>
    <w:p w14:paraId="34A03CCC" w14:textId="238AC747" w:rsidR="0044502F" w:rsidRPr="00153204" w:rsidRDefault="006A7BDF" w:rsidP="002334A3">
      <w:pPr>
        <w:pStyle w:val="BodyText2"/>
        <w:spacing w:line="360" w:lineRule="auto"/>
        <w:ind w:left="567"/>
        <w:jc w:val="both"/>
        <w:rPr>
          <w:rFonts w:asciiTheme="minorHAnsi" w:hAnsiTheme="minorHAnsi" w:cstheme="minorHAnsi"/>
          <w:bCs/>
          <w:sz w:val="22"/>
          <w:szCs w:val="22"/>
          <w:lang w:val="en-GB"/>
        </w:rPr>
      </w:pPr>
      <w:r w:rsidRPr="00153204">
        <w:rPr>
          <w:rFonts w:asciiTheme="minorHAnsi" w:hAnsiTheme="minorHAnsi" w:cstheme="minorHAnsi"/>
          <w:noProof/>
          <w:sz w:val="22"/>
          <w:szCs w:val="22"/>
          <w:lang w:val="en-IN" w:eastAsia="en-IN"/>
        </w:rPr>
        <mc:AlternateContent>
          <mc:Choice Requires="wps">
            <w:drawing>
              <wp:anchor distT="0" distB="0" distL="114300" distR="114300" simplePos="0" relativeHeight="251951616" behindDoc="1" locked="0" layoutInCell="1" allowOverlap="1" wp14:anchorId="0A95AF9A" wp14:editId="04B35656">
                <wp:simplePos x="0" y="0"/>
                <wp:positionH relativeFrom="margin">
                  <wp:posOffset>342900</wp:posOffset>
                </wp:positionH>
                <wp:positionV relativeFrom="paragraph">
                  <wp:posOffset>692150</wp:posOffset>
                </wp:positionV>
                <wp:extent cx="5611495" cy="314960"/>
                <wp:effectExtent l="0" t="0" r="27305" b="27940"/>
                <wp:wrapSquare wrapText="bothSides"/>
                <wp:docPr id="24" name="Rectangle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611495" cy="314960"/>
                        </a:xfrm>
                        <a:prstGeom prst="rect">
                          <a:avLst/>
                        </a:prstGeom>
                        <a:solidFill>
                          <a:srgbClr val="1F497D">
                            <a:lumMod val="20000"/>
                            <a:lumOff val="80000"/>
                          </a:srgbClr>
                        </a:solidFill>
                        <a:ln w="9525">
                          <a:solidFill>
                            <a:srgbClr val="000000"/>
                          </a:solidFill>
                          <a:miter lim="800000"/>
                          <a:headEnd/>
                          <a:tailEnd/>
                        </a:ln>
                      </wps:spPr>
                      <wps:txbx>
                        <w:txbxContent>
                          <w:p w14:paraId="585DB279" w14:textId="43BDCC4A" w:rsidR="00535B24" w:rsidRPr="00E560A3" w:rsidRDefault="00535B24" w:rsidP="00AA4DA9">
                            <w:pPr>
                              <w:rPr>
                                <w:rFonts w:asciiTheme="minorHAnsi" w:hAnsiTheme="minorHAnsi" w:cstheme="minorHAnsi"/>
                                <w:b/>
                                <w:sz w:val="28"/>
                                <w:szCs w:val="28"/>
                                <w:lang w:val="en-IN"/>
                              </w:rPr>
                            </w:pPr>
                            <w:r w:rsidRPr="00E560A3">
                              <w:rPr>
                                <w:rFonts w:asciiTheme="minorHAnsi" w:hAnsiTheme="minorHAnsi" w:cstheme="minorHAnsi"/>
                                <w:b/>
                                <w:sz w:val="28"/>
                                <w:szCs w:val="28"/>
                                <w:lang w:val="en-IN"/>
                              </w:rPr>
                              <w:t>2</w:t>
                            </w:r>
                            <w:r>
                              <w:rPr>
                                <w:rFonts w:asciiTheme="minorHAnsi" w:hAnsiTheme="minorHAnsi" w:cstheme="minorHAnsi"/>
                                <w:b/>
                                <w:sz w:val="28"/>
                                <w:szCs w:val="28"/>
                                <w:lang w:val="en-IN"/>
                              </w:rPr>
                              <w:t>.5 Employee Expenses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A95AF9A" id="_x0000_s1032" style="position:absolute;left:0;text-align:left;margin-left:27pt;margin-top:54.5pt;width:441.85pt;height:24.8pt;z-index:-2513648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" fillcolor="#c6d9f1">
                <v:textbox>
                  <w:txbxContent>
                    <w:p w14:paraId="585DB279" w14:textId="43BDCC4A" w:rsidR="00535B24" w:rsidRPr="00E560A3" w:rsidRDefault="00535B24" w:rsidP="00AA4DA9">
                      <w:pPr>
                        <w:rPr>
                          <w:rFonts w:asciiTheme="minorHAnsi" w:hAnsiTheme="minorHAnsi" w:cstheme="minorHAnsi"/>
                          <w:b/>
                          <w:sz w:val="28"/>
                          <w:szCs w:val="28"/>
                          <w:lang w:val="en-IN"/>
                        </w:rPr>
                      </w:pPr>
                      <w:r w:rsidRPr="00E560A3">
                        <w:rPr>
                          <w:rFonts w:asciiTheme="minorHAnsi" w:hAnsiTheme="minorHAnsi" w:cstheme="minorHAnsi"/>
                          <w:b/>
                          <w:sz w:val="28"/>
                          <w:szCs w:val="28"/>
                          <w:lang w:val="en-IN"/>
                        </w:rPr>
                        <w:t>2</w:t>
                      </w:r>
                      <w:r>
                        <w:rPr>
                          <w:rFonts w:asciiTheme="minorHAnsi" w:hAnsiTheme="minorHAnsi" w:cstheme="minorHAnsi"/>
                          <w:b/>
                          <w:sz w:val="28"/>
                          <w:szCs w:val="28"/>
                          <w:lang w:val="en-IN"/>
                        </w:rPr>
                        <w:t>.5 Employee Expenses</w:t>
                      </w:r>
                    </w:p>
                  </w:txbxContent>
                </v:textbox>
                <w10:wrap type="square" anchorx="margin"/>
              </v:rect>
            </w:pict>
          </mc:Fallback>
        </mc:AlternateContent>
      </w:r>
      <w:r w:rsidR="0044502F" w:rsidRPr="00153204">
        <w:rPr>
          <w:rFonts w:asciiTheme="minorHAnsi" w:hAnsiTheme="minorHAnsi" w:cstheme="minorHAnsi"/>
          <w:bCs/>
          <w:sz w:val="22"/>
          <w:szCs w:val="22"/>
          <w:lang w:val="en-GB"/>
        </w:rPr>
        <w:t xml:space="preserve">The </w:t>
      </w:r>
      <w:r w:rsidR="0010746A" w:rsidRPr="00153204">
        <w:rPr>
          <w:rFonts w:asciiTheme="minorHAnsi" w:hAnsiTheme="minorHAnsi" w:cstheme="minorHAnsi"/>
          <w:bCs/>
          <w:sz w:val="22"/>
          <w:szCs w:val="22"/>
          <w:lang w:val="en-GB"/>
        </w:rPr>
        <w:t xml:space="preserve">SMD (MVA) projection for the ensuing year has been done </w:t>
      </w:r>
      <w:r w:rsidR="0044502F" w:rsidRPr="00153204">
        <w:rPr>
          <w:rFonts w:asciiTheme="minorHAnsi" w:hAnsiTheme="minorHAnsi" w:cstheme="minorHAnsi"/>
          <w:bCs/>
          <w:sz w:val="22"/>
          <w:szCs w:val="22"/>
          <w:lang w:val="en-GB"/>
        </w:rPr>
        <w:t xml:space="preserve">based on load mix, consumption patterns and </w:t>
      </w:r>
      <w:r w:rsidR="0020747C">
        <w:rPr>
          <w:rFonts w:asciiTheme="minorHAnsi" w:hAnsiTheme="minorHAnsi" w:cstheme="minorHAnsi"/>
          <w:bCs/>
          <w:sz w:val="22"/>
          <w:szCs w:val="22"/>
          <w:lang w:val="en-GB"/>
        </w:rPr>
        <w:t>applications in hand</w:t>
      </w:r>
      <w:r w:rsidR="0044502F" w:rsidRPr="00153204">
        <w:rPr>
          <w:rFonts w:asciiTheme="minorHAnsi" w:hAnsiTheme="minorHAnsi" w:cstheme="minorHAnsi"/>
          <w:bCs/>
          <w:sz w:val="22"/>
          <w:szCs w:val="22"/>
          <w:lang w:val="en-GB"/>
        </w:rPr>
        <w:t>.</w:t>
      </w:r>
    </w:p>
    <w:p w14:paraId="1157B760" w14:textId="6D229A91" w:rsidR="006A7BDF" w:rsidRDefault="006A7BDF" w:rsidP="006A7BDF"/>
    <w:p w14:paraId="639096F6" w14:textId="77777777" w:rsidR="006A7BDF" w:rsidRPr="006A7BDF" w:rsidRDefault="006A7BDF" w:rsidP="006A7BDF"/>
    <w:p w14:paraId="5F157865" w14:textId="77777777" w:rsidR="00944AAE" w:rsidRDefault="00944AAE" w:rsidP="00BD5055">
      <w:pPr>
        <w:ind w:left="567"/>
        <w:rPr>
          <w:rFonts w:asciiTheme="minorHAnsi" w:hAnsiTheme="minorHAnsi" w:cstheme="minorHAnsi"/>
          <w:b/>
          <w:szCs w:val="22"/>
        </w:rPr>
      </w:pPr>
    </w:p>
    <w:p w14:paraId="4828C745" w14:textId="39286E1F" w:rsidR="0084231E" w:rsidRPr="00ED6D97" w:rsidRDefault="00ED6D97" w:rsidP="00BD5055">
      <w:pPr>
        <w:ind w:left="567"/>
        <w:rPr>
          <w:rFonts w:asciiTheme="minorHAnsi" w:hAnsiTheme="minorHAnsi" w:cstheme="minorHAnsi"/>
          <w:b/>
          <w:szCs w:val="22"/>
        </w:rPr>
      </w:pPr>
      <w:r w:rsidRPr="00ED6D97">
        <w:rPr>
          <w:rFonts w:asciiTheme="minorHAnsi" w:hAnsiTheme="minorHAnsi" w:cstheme="minorHAnsi"/>
          <w:b/>
          <w:szCs w:val="22"/>
        </w:rPr>
        <w:t>2.5.1 Manpower</w:t>
      </w:r>
      <w:r w:rsidR="009F12D0" w:rsidRPr="00ED6D97">
        <w:rPr>
          <w:rFonts w:asciiTheme="minorHAnsi" w:hAnsiTheme="minorHAnsi" w:cstheme="minorHAnsi"/>
          <w:b/>
          <w:szCs w:val="22"/>
        </w:rPr>
        <w:t xml:space="preserve"> </w:t>
      </w:r>
      <w:r w:rsidRPr="00ED6D97">
        <w:rPr>
          <w:rFonts w:asciiTheme="minorHAnsi" w:hAnsiTheme="minorHAnsi" w:cstheme="minorHAnsi"/>
          <w:b/>
          <w:szCs w:val="22"/>
        </w:rPr>
        <w:t>P</w:t>
      </w:r>
      <w:r w:rsidR="009F12D0" w:rsidRPr="00ED6D97">
        <w:rPr>
          <w:rFonts w:asciiTheme="minorHAnsi" w:hAnsiTheme="minorHAnsi" w:cstheme="minorHAnsi"/>
          <w:b/>
          <w:szCs w:val="22"/>
        </w:rPr>
        <w:t xml:space="preserve">osition </w:t>
      </w:r>
    </w:p>
    <w:p w14:paraId="4AC9BDFB" w14:textId="6660C6A5" w:rsidR="009F12D0" w:rsidRPr="00153204" w:rsidRDefault="009F12D0" w:rsidP="00BD5055">
      <w:pPr>
        <w:ind w:left="567"/>
        <w:rPr>
          <w:rFonts w:asciiTheme="minorHAnsi" w:hAnsiTheme="minorHAnsi" w:cstheme="minorHAnsi"/>
          <w:b/>
          <w:sz w:val="22"/>
          <w:szCs w:val="22"/>
        </w:rPr>
      </w:pPr>
    </w:p>
    <w:p w14:paraId="495D6635" w14:textId="09DACBB2" w:rsidR="006E4B90" w:rsidRPr="00153204" w:rsidRDefault="007F73B2" w:rsidP="00BD5055">
      <w:pPr>
        <w:pStyle w:val="TableParagraph"/>
        <w:tabs>
          <w:tab w:val="left" w:pos="426"/>
        </w:tabs>
        <w:spacing w:line="360" w:lineRule="auto"/>
        <w:ind w:left="567" w:right="-23"/>
        <w:jc w:val="both"/>
        <w:rPr>
          <w:rFonts w:asciiTheme="minorHAnsi" w:hAnsiTheme="minorHAnsi" w:cstheme="minorHAnsi"/>
          <w:bCs/>
          <w:lang w:val="en-IN"/>
        </w:rPr>
      </w:pPr>
      <w:r w:rsidRPr="00153204">
        <w:rPr>
          <w:rFonts w:asciiTheme="minorHAnsi" w:hAnsiTheme="minorHAnsi" w:cstheme="minorHAnsi"/>
          <w:bCs/>
          <w:lang w:val="en-IN"/>
        </w:rPr>
        <w:t>TPNODL inherited 2159</w:t>
      </w:r>
      <w:r w:rsidR="006E4B90" w:rsidRPr="00153204">
        <w:rPr>
          <w:rFonts w:asciiTheme="minorHAnsi" w:hAnsiTheme="minorHAnsi" w:cstheme="minorHAnsi"/>
          <w:bCs/>
          <w:lang w:val="en-IN"/>
        </w:rPr>
        <w:t xml:space="preserve"> nos. of regular employees and 13 nos. of contractual employees from erstwhile NESCO utility as on 31.3.2021. Subsequently, it has added resources on transfer from Tata Power.</w:t>
      </w:r>
    </w:p>
    <w:p w14:paraId="1F26E6E2" w14:textId="77777777" w:rsidR="006E4B90" w:rsidRPr="00153204" w:rsidRDefault="006E4B90" w:rsidP="00BD5055">
      <w:pPr>
        <w:pStyle w:val="TableParagraph"/>
        <w:tabs>
          <w:tab w:val="left" w:pos="426"/>
        </w:tabs>
        <w:spacing w:line="360" w:lineRule="auto"/>
        <w:ind w:left="567" w:right="-23"/>
        <w:jc w:val="both"/>
        <w:rPr>
          <w:rFonts w:asciiTheme="minorHAnsi" w:hAnsiTheme="minorHAnsi" w:cstheme="minorHAnsi"/>
          <w:bCs/>
          <w:lang w:val="en-IN"/>
        </w:rPr>
      </w:pPr>
    </w:p>
    <w:p w14:paraId="32742799" w14:textId="77777777" w:rsidR="006E4B90" w:rsidRPr="00153204" w:rsidRDefault="006E4B90" w:rsidP="00BD5055">
      <w:pPr>
        <w:pStyle w:val="paragraph"/>
        <w:tabs>
          <w:tab w:val="left" w:pos="426"/>
        </w:tabs>
        <w:spacing w:before="0" w:beforeAutospacing="0" w:after="0" w:afterAutospacing="0" w:line="360" w:lineRule="auto"/>
        <w:ind w:left="567" w:right="-23"/>
        <w:jc w:val="both"/>
        <w:textAlignment w:val="baseline"/>
        <w:rPr>
          <w:rFonts w:asciiTheme="minorHAnsi" w:hAnsiTheme="minorHAnsi" w:cstheme="minorHAnsi"/>
          <w:sz w:val="22"/>
          <w:szCs w:val="22"/>
        </w:rPr>
      </w:pPr>
      <w:r w:rsidRPr="00153204">
        <w:rPr>
          <w:rStyle w:val="normaltextrun"/>
          <w:rFonts w:asciiTheme="minorHAnsi" w:hAnsiTheme="minorHAnsi" w:cstheme="minorHAnsi"/>
          <w:color w:val="000000"/>
          <w:sz w:val="22"/>
          <w:szCs w:val="22"/>
        </w:rPr>
        <w:t>The shortage of manpower posed real challenge for seamless operation. </w:t>
      </w:r>
      <w:r w:rsidRPr="00153204">
        <w:rPr>
          <w:rStyle w:val="eop"/>
          <w:rFonts w:asciiTheme="minorHAnsi" w:hAnsiTheme="minorHAnsi" w:cstheme="minorHAnsi"/>
          <w:color w:val="000000"/>
          <w:sz w:val="22"/>
          <w:szCs w:val="22"/>
        </w:rPr>
        <w:t> </w:t>
      </w:r>
      <w:r w:rsidRPr="00153204">
        <w:rPr>
          <w:rStyle w:val="normaltextrun"/>
          <w:rFonts w:asciiTheme="minorHAnsi" w:hAnsiTheme="minorHAnsi" w:cstheme="minorHAnsi"/>
          <w:color w:val="000000"/>
          <w:sz w:val="22"/>
          <w:szCs w:val="22"/>
        </w:rPr>
        <w:t>Further, as per manpower analysis, need was felt for creating missing bandwidths in Project Monitoring, Civil Engineering, Network Engineering &amp; Planning, Sub-Transmission System, N/W Protection, Preventive Maintenance, Consumer care, Enforcement, Meter Management. Accordingly plans for induction of manpower were prepared. Further, the commercial organization had to be redefined </w:t>
      </w:r>
      <w:proofErr w:type="spellStart"/>
      <w:r w:rsidRPr="00153204">
        <w:rPr>
          <w:rStyle w:val="normaltextrun"/>
          <w:rFonts w:asciiTheme="minorHAnsi" w:hAnsiTheme="minorHAnsi" w:cstheme="minorHAnsi"/>
          <w:color w:val="000000"/>
          <w:sz w:val="22"/>
          <w:szCs w:val="22"/>
        </w:rPr>
        <w:t>upto</w:t>
      </w:r>
      <w:proofErr w:type="spellEnd"/>
      <w:r w:rsidRPr="00153204">
        <w:rPr>
          <w:rStyle w:val="normaltextrun"/>
          <w:rFonts w:asciiTheme="minorHAnsi" w:hAnsiTheme="minorHAnsi" w:cstheme="minorHAnsi"/>
          <w:color w:val="000000"/>
          <w:sz w:val="22"/>
          <w:szCs w:val="22"/>
        </w:rPr>
        <w:t> the section level to bring in more focus on commercial activities. The Section Level which is the foundation for all Commercial and Technical activities, needed to be strengthened.  IT &amp; OT – Competencies had to be enhanced to take care of advent of new technologies like SCADA, GIS, ADMS, Data Center, IT applications, ERP, Infrastructure Management &amp; control.</w:t>
      </w:r>
      <w:r w:rsidRPr="00153204">
        <w:rPr>
          <w:rStyle w:val="eop"/>
          <w:rFonts w:asciiTheme="minorHAnsi" w:hAnsiTheme="minorHAnsi" w:cstheme="minorHAnsi"/>
          <w:color w:val="000000"/>
          <w:sz w:val="22"/>
          <w:szCs w:val="22"/>
        </w:rPr>
        <w:t> </w:t>
      </w:r>
    </w:p>
    <w:p w14:paraId="2D1FD49A" w14:textId="77777777" w:rsidR="006E4B90" w:rsidRPr="00153204" w:rsidRDefault="006E4B90" w:rsidP="00BD5055">
      <w:pPr>
        <w:pStyle w:val="paragraph"/>
        <w:tabs>
          <w:tab w:val="left" w:pos="426"/>
        </w:tabs>
        <w:spacing w:before="0" w:beforeAutospacing="0" w:after="0" w:afterAutospacing="0" w:line="360" w:lineRule="auto"/>
        <w:ind w:left="567" w:right="-23"/>
        <w:jc w:val="both"/>
        <w:textAlignment w:val="baseline"/>
        <w:rPr>
          <w:rStyle w:val="eop"/>
          <w:rFonts w:asciiTheme="minorHAnsi" w:hAnsiTheme="minorHAnsi" w:cstheme="minorHAnsi"/>
          <w:color w:val="000000"/>
          <w:sz w:val="22"/>
          <w:szCs w:val="22"/>
        </w:rPr>
      </w:pPr>
    </w:p>
    <w:p w14:paraId="392BDE61" w14:textId="77777777" w:rsidR="006E4B90" w:rsidRPr="00153204" w:rsidRDefault="006E4B90" w:rsidP="00BD5055">
      <w:pPr>
        <w:pStyle w:val="paragraph"/>
        <w:tabs>
          <w:tab w:val="left" w:pos="426"/>
        </w:tabs>
        <w:spacing w:before="0" w:beforeAutospacing="0" w:after="0" w:afterAutospacing="0" w:line="360" w:lineRule="auto"/>
        <w:ind w:left="567" w:right="-23"/>
        <w:jc w:val="both"/>
        <w:textAlignment w:val="baseline"/>
        <w:rPr>
          <w:rFonts w:asciiTheme="minorHAnsi" w:hAnsiTheme="minorHAnsi" w:cstheme="minorHAnsi"/>
          <w:color w:val="000000"/>
          <w:sz w:val="22"/>
          <w:szCs w:val="22"/>
        </w:rPr>
      </w:pPr>
      <w:r w:rsidRPr="00153204">
        <w:rPr>
          <w:rFonts w:asciiTheme="minorHAnsi" w:hAnsiTheme="minorHAnsi" w:cstheme="minorHAnsi"/>
          <w:color w:val="000000"/>
          <w:sz w:val="22"/>
          <w:szCs w:val="22"/>
        </w:rPr>
        <w:t xml:space="preserve">TPNODL carried out detailed study of the existing manpower gaps across various Departments and geographies of TPNODL and worked out requirement of new expert manpower to fill up various resource gap areas like Network Planning &amp; Engineering, Sub Transmission System management, Enforcement, Energy Audit, Safety, Projects, Civil, IT &amp; OT and formulated a comprehensive recruitment plan. </w:t>
      </w:r>
    </w:p>
    <w:p w14:paraId="62FEFF2F" w14:textId="77777777" w:rsidR="006E4B90" w:rsidRPr="00153204" w:rsidRDefault="006E4B90" w:rsidP="00BD5055">
      <w:pPr>
        <w:pStyle w:val="paragraph"/>
        <w:tabs>
          <w:tab w:val="left" w:pos="426"/>
        </w:tabs>
        <w:spacing w:before="0" w:beforeAutospacing="0" w:after="0" w:afterAutospacing="0" w:line="360" w:lineRule="auto"/>
        <w:ind w:left="567" w:right="-23"/>
        <w:jc w:val="both"/>
        <w:textAlignment w:val="baseline"/>
        <w:rPr>
          <w:rFonts w:asciiTheme="minorHAnsi" w:hAnsiTheme="minorHAnsi" w:cstheme="minorHAnsi"/>
          <w:color w:val="000000"/>
          <w:sz w:val="22"/>
          <w:szCs w:val="22"/>
        </w:rPr>
      </w:pPr>
    </w:p>
    <w:p w14:paraId="6B90A702" w14:textId="77777777" w:rsidR="006E4B90" w:rsidRPr="00153204" w:rsidRDefault="006E4B90" w:rsidP="00BD5055">
      <w:pPr>
        <w:tabs>
          <w:tab w:val="left" w:pos="426"/>
        </w:tabs>
        <w:spacing w:line="360" w:lineRule="auto"/>
        <w:ind w:left="567" w:right="-23"/>
        <w:jc w:val="both"/>
        <w:rPr>
          <w:rFonts w:asciiTheme="minorHAnsi" w:hAnsiTheme="minorHAnsi" w:cstheme="minorHAnsi"/>
          <w:sz w:val="22"/>
          <w:szCs w:val="22"/>
        </w:rPr>
      </w:pPr>
      <w:r w:rsidRPr="00153204">
        <w:rPr>
          <w:rFonts w:asciiTheme="minorHAnsi" w:hAnsiTheme="minorHAnsi" w:cstheme="minorHAnsi"/>
          <w:sz w:val="22"/>
          <w:szCs w:val="22"/>
        </w:rPr>
        <w:t>Hon’ble Commission has permitted recruitments for FY 22-23 up to employee / consumer ratio of 1.4/ 1000 Consumers, vide its letter no OERC/RA/TPWODL-38/2021/18 dt. 17.01.2022. The relevant extract of the Order is reproduced below:</w:t>
      </w:r>
    </w:p>
    <w:p w14:paraId="2763D803" w14:textId="77777777" w:rsidR="006E4B90" w:rsidRPr="00153204" w:rsidRDefault="006E4B90" w:rsidP="00BD5055">
      <w:pPr>
        <w:tabs>
          <w:tab w:val="left" w:pos="426"/>
        </w:tabs>
        <w:spacing w:line="360" w:lineRule="auto"/>
        <w:ind w:left="567" w:right="-23"/>
        <w:jc w:val="both"/>
        <w:rPr>
          <w:rFonts w:asciiTheme="minorHAnsi" w:hAnsiTheme="minorHAnsi" w:cstheme="minorHAnsi"/>
          <w:sz w:val="22"/>
          <w:szCs w:val="22"/>
        </w:rPr>
      </w:pPr>
    </w:p>
    <w:p w14:paraId="793B5F85" w14:textId="77777777" w:rsidR="006A7BDF" w:rsidRDefault="006E4B90" w:rsidP="00BD5055">
      <w:pPr>
        <w:tabs>
          <w:tab w:val="left" w:pos="1418"/>
        </w:tabs>
        <w:spacing w:line="360" w:lineRule="auto"/>
        <w:ind w:left="1276" w:right="-23" w:hanging="142"/>
        <w:jc w:val="both"/>
        <w:rPr>
          <w:rFonts w:asciiTheme="minorHAnsi" w:hAnsiTheme="minorHAnsi" w:cstheme="minorHAnsi"/>
          <w:b/>
          <w:i/>
          <w:sz w:val="22"/>
          <w:szCs w:val="22"/>
        </w:rPr>
      </w:pPr>
      <w:r w:rsidRPr="00153204">
        <w:rPr>
          <w:rFonts w:asciiTheme="minorHAnsi" w:hAnsiTheme="minorHAnsi" w:cstheme="minorHAnsi"/>
          <w:i/>
          <w:sz w:val="22"/>
          <w:szCs w:val="22"/>
        </w:rPr>
        <w:t>“The Commission has now allowed filling up of retirement in view of a low percentage of employees per one thousand consumers.</w:t>
      </w:r>
      <w:r w:rsidRPr="00153204">
        <w:rPr>
          <w:rFonts w:asciiTheme="minorHAnsi" w:hAnsiTheme="minorHAnsi" w:cstheme="minorHAnsi"/>
          <w:sz w:val="22"/>
          <w:szCs w:val="22"/>
        </w:rPr>
        <w:t xml:space="preserve"> </w:t>
      </w:r>
      <w:r w:rsidRPr="00153204">
        <w:rPr>
          <w:rFonts w:asciiTheme="minorHAnsi" w:hAnsiTheme="minorHAnsi" w:cstheme="minorHAnsi"/>
          <w:b/>
          <w:i/>
          <w:sz w:val="22"/>
          <w:szCs w:val="22"/>
        </w:rPr>
        <w:t>The Commission further observes that the recruitment for the ensuing year (FY 22-23) maybe undertaken to the extent so that the number of employees per one thousand consumers including replenishment of retiring vacancies of TPWODL, TPNODL and TPSODL</w:t>
      </w:r>
      <w:r w:rsidRPr="00153204">
        <w:rPr>
          <w:rFonts w:asciiTheme="minorHAnsi" w:hAnsiTheme="minorHAnsi" w:cstheme="minorHAnsi"/>
          <w:i/>
          <w:sz w:val="22"/>
          <w:szCs w:val="22"/>
        </w:rPr>
        <w:t xml:space="preserve">……… The Commission observes that the number of employees per thousand employees of TPCODL is already high relative to other </w:t>
      </w:r>
      <w:proofErr w:type="spellStart"/>
      <w:r w:rsidRPr="00153204">
        <w:rPr>
          <w:rFonts w:asciiTheme="minorHAnsi" w:hAnsiTheme="minorHAnsi" w:cstheme="minorHAnsi"/>
          <w:i/>
          <w:sz w:val="22"/>
          <w:szCs w:val="22"/>
        </w:rPr>
        <w:t>Discoms</w:t>
      </w:r>
      <w:proofErr w:type="spellEnd"/>
      <w:r w:rsidRPr="00153204">
        <w:rPr>
          <w:rFonts w:asciiTheme="minorHAnsi" w:hAnsiTheme="minorHAnsi" w:cstheme="minorHAnsi"/>
          <w:i/>
          <w:sz w:val="22"/>
          <w:szCs w:val="22"/>
        </w:rPr>
        <w:t xml:space="preserve"> and it shall be rationalized over the years to bring it to the level mentioned above. </w:t>
      </w:r>
      <w:r w:rsidRPr="00153204">
        <w:rPr>
          <w:rFonts w:asciiTheme="minorHAnsi" w:hAnsiTheme="minorHAnsi" w:cstheme="minorHAnsi"/>
          <w:b/>
          <w:i/>
          <w:sz w:val="22"/>
          <w:szCs w:val="22"/>
        </w:rPr>
        <w:t xml:space="preserve">The Commission further directs the DISCOMS to file their separate manpower requirement and </w:t>
      </w:r>
    </w:p>
    <w:p w14:paraId="3C490E60" w14:textId="77777777" w:rsidR="006A7BDF" w:rsidRDefault="006A7BDF" w:rsidP="00BD5055">
      <w:pPr>
        <w:tabs>
          <w:tab w:val="left" w:pos="1418"/>
        </w:tabs>
        <w:spacing w:line="360" w:lineRule="auto"/>
        <w:ind w:left="1276" w:right="-23" w:hanging="142"/>
        <w:jc w:val="both"/>
        <w:rPr>
          <w:rFonts w:asciiTheme="minorHAnsi" w:hAnsiTheme="minorHAnsi" w:cstheme="minorHAnsi"/>
          <w:b/>
          <w:i/>
          <w:sz w:val="22"/>
          <w:szCs w:val="22"/>
        </w:rPr>
      </w:pPr>
    </w:p>
    <w:p w14:paraId="356D8ABD" w14:textId="77777777" w:rsidR="006A7BDF" w:rsidRDefault="006A7BDF" w:rsidP="00BD5055">
      <w:pPr>
        <w:tabs>
          <w:tab w:val="left" w:pos="1418"/>
        </w:tabs>
        <w:spacing w:line="360" w:lineRule="auto"/>
        <w:ind w:left="1276" w:right="-23" w:hanging="142"/>
        <w:jc w:val="both"/>
        <w:rPr>
          <w:rFonts w:asciiTheme="minorHAnsi" w:hAnsiTheme="minorHAnsi" w:cstheme="minorHAnsi"/>
          <w:b/>
          <w:i/>
          <w:sz w:val="22"/>
          <w:szCs w:val="22"/>
        </w:rPr>
      </w:pPr>
    </w:p>
    <w:p w14:paraId="3C62AE4D" w14:textId="467053BE" w:rsidR="006E4B90" w:rsidRDefault="006E4B90" w:rsidP="006A7BDF">
      <w:pPr>
        <w:tabs>
          <w:tab w:val="left" w:pos="1418"/>
        </w:tabs>
        <w:spacing w:line="360" w:lineRule="auto"/>
        <w:ind w:left="1276" w:right="-23"/>
        <w:jc w:val="both"/>
        <w:rPr>
          <w:rFonts w:asciiTheme="minorHAnsi" w:hAnsiTheme="minorHAnsi" w:cstheme="minorHAnsi"/>
          <w:i/>
          <w:sz w:val="22"/>
          <w:szCs w:val="22"/>
        </w:rPr>
      </w:pPr>
      <w:r w:rsidRPr="00153204">
        <w:rPr>
          <w:rFonts w:asciiTheme="minorHAnsi" w:hAnsiTheme="minorHAnsi" w:cstheme="minorHAnsi"/>
          <w:b/>
          <w:i/>
          <w:sz w:val="22"/>
          <w:szCs w:val="22"/>
        </w:rPr>
        <w:t>Action Plan for FY 22-23 keeping in view the number of employees per thousand consumers as indicated by the Commission above. It shall be kept within 1.40.</w:t>
      </w:r>
      <w:r w:rsidRPr="00153204">
        <w:rPr>
          <w:rFonts w:asciiTheme="minorHAnsi" w:hAnsiTheme="minorHAnsi" w:cstheme="minorHAnsi"/>
          <w:i/>
          <w:sz w:val="22"/>
          <w:szCs w:val="22"/>
        </w:rPr>
        <w:t xml:space="preserve">” </w:t>
      </w:r>
    </w:p>
    <w:p w14:paraId="79E0FB7F" w14:textId="3CFC3B5A" w:rsidR="00012813" w:rsidRDefault="00012813" w:rsidP="006A7BDF">
      <w:pPr>
        <w:tabs>
          <w:tab w:val="left" w:pos="1418"/>
        </w:tabs>
        <w:spacing w:line="360" w:lineRule="auto"/>
        <w:ind w:left="1276" w:right="-23" w:hanging="142"/>
        <w:jc w:val="both"/>
        <w:rPr>
          <w:rFonts w:asciiTheme="minorHAnsi" w:hAnsiTheme="minorHAnsi" w:cstheme="minorHAnsi"/>
          <w:i/>
          <w:sz w:val="22"/>
          <w:szCs w:val="22"/>
        </w:rPr>
      </w:pPr>
      <w:r>
        <w:rPr>
          <w:rFonts w:asciiTheme="minorHAnsi" w:hAnsiTheme="minorHAnsi" w:cstheme="minorHAnsi"/>
          <w:i/>
          <w:sz w:val="22"/>
          <w:szCs w:val="22"/>
        </w:rPr>
        <w:t xml:space="preserve">   </w:t>
      </w:r>
    </w:p>
    <w:p w14:paraId="22D722AE" w14:textId="43DFC04C" w:rsidR="00012813" w:rsidRPr="00012813" w:rsidRDefault="00012813" w:rsidP="00012813">
      <w:pPr>
        <w:tabs>
          <w:tab w:val="left" w:pos="1418"/>
        </w:tabs>
        <w:spacing w:line="360" w:lineRule="auto"/>
        <w:ind w:left="567" w:right="-23"/>
        <w:jc w:val="both"/>
        <w:rPr>
          <w:rFonts w:asciiTheme="minorHAnsi" w:hAnsiTheme="minorHAnsi" w:cstheme="minorHAnsi"/>
          <w:sz w:val="22"/>
          <w:szCs w:val="22"/>
        </w:rPr>
      </w:pPr>
      <w:r w:rsidRPr="00012813">
        <w:rPr>
          <w:rFonts w:asciiTheme="minorHAnsi" w:hAnsiTheme="minorHAnsi" w:cstheme="minorHAnsi"/>
          <w:sz w:val="22"/>
          <w:szCs w:val="22"/>
        </w:rPr>
        <w:t xml:space="preserve">Further, to approve the CTC employee cost for FY 2023-24 and FY 2024-25 under para 115 of RST order FY 24-25 </w:t>
      </w:r>
      <w:proofErr w:type="gramStart"/>
      <w:r w:rsidRPr="00012813">
        <w:rPr>
          <w:rFonts w:asciiTheme="minorHAnsi" w:hAnsiTheme="minorHAnsi" w:cstheme="minorHAnsi"/>
          <w:sz w:val="22"/>
          <w:szCs w:val="22"/>
        </w:rPr>
        <w:t>also,  Hon’ble</w:t>
      </w:r>
      <w:proofErr w:type="gramEnd"/>
      <w:r w:rsidRPr="00012813">
        <w:rPr>
          <w:rFonts w:asciiTheme="minorHAnsi" w:hAnsiTheme="minorHAnsi" w:cstheme="minorHAnsi"/>
          <w:sz w:val="22"/>
          <w:szCs w:val="22"/>
        </w:rPr>
        <w:t xml:space="preserve"> Commission has considered average no. of employees keeping the no. of employees per 1000 consumers within 1.4 and allowed the new employee addition for FY 24-25. Relevant extracts of the para 115 of the RST order is reproduced hereunder</w:t>
      </w:r>
    </w:p>
    <w:p w14:paraId="6FAEF0EA" w14:textId="4FE88352" w:rsidR="00012813" w:rsidRDefault="00012813" w:rsidP="00BD5055">
      <w:pPr>
        <w:tabs>
          <w:tab w:val="left" w:pos="1418"/>
        </w:tabs>
        <w:spacing w:line="360" w:lineRule="auto"/>
        <w:ind w:left="1276" w:right="-23" w:hanging="142"/>
        <w:jc w:val="both"/>
        <w:rPr>
          <w:rFonts w:asciiTheme="minorHAnsi" w:hAnsiTheme="minorHAnsi" w:cstheme="minorHAnsi"/>
          <w:i/>
          <w:sz w:val="22"/>
          <w:szCs w:val="22"/>
        </w:rPr>
      </w:pPr>
    </w:p>
    <w:p w14:paraId="2602C99E" w14:textId="009FE9D6" w:rsidR="00012813" w:rsidRDefault="00012813" w:rsidP="006A7BDF">
      <w:pPr>
        <w:pStyle w:val="ListParagraph"/>
        <w:widowControl w:val="0"/>
        <w:tabs>
          <w:tab w:val="left" w:pos="1134"/>
        </w:tabs>
        <w:autoSpaceDE w:val="0"/>
        <w:autoSpaceDN w:val="0"/>
        <w:spacing w:before="109" w:line="369" w:lineRule="auto"/>
        <w:ind w:left="993" w:right="1"/>
        <w:jc w:val="both"/>
        <w:rPr>
          <w:i/>
        </w:rPr>
      </w:pPr>
      <w:r>
        <w:rPr>
          <w:i/>
        </w:rPr>
        <w:t xml:space="preserve">“115. </w:t>
      </w:r>
      <w:r w:rsidRPr="00012813">
        <w:rPr>
          <w:i/>
        </w:rPr>
        <w:t>For</w:t>
      </w:r>
      <w:r w:rsidRPr="00012813">
        <w:rPr>
          <w:i/>
          <w:spacing w:val="40"/>
        </w:rPr>
        <w:t xml:space="preserve"> </w:t>
      </w:r>
      <w:r w:rsidRPr="00012813">
        <w:rPr>
          <w:i/>
        </w:rPr>
        <w:t>the</w:t>
      </w:r>
      <w:r w:rsidRPr="00012813">
        <w:rPr>
          <w:i/>
          <w:spacing w:val="42"/>
        </w:rPr>
        <w:t xml:space="preserve"> </w:t>
      </w:r>
      <w:r w:rsidRPr="00012813">
        <w:rPr>
          <w:i/>
        </w:rPr>
        <w:t>purpose</w:t>
      </w:r>
      <w:r w:rsidRPr="00012813">
        <w:rPr>
          <w:i/>
          <w:spacing w:val="42"/>
        </w:rPr>
        <w:t xml:space="preserve"> </w:t>
      </w:r>
      <w:r w:rsidRPr="00012813">
        <w:rPr>
          <w:i/>
        </w:rPr>
        <w:t>of</w:t>
      </w:r>
      <w:r w:rsidRPr="00012813">
        <w:rPr>
          <w:i/>
          <w:spacing w:val="41"/>
        </w:rPr>
        <w:t xml:space="preserve"> </w:t>
      </w:r>
      <w:r w:rsidRPr="00012813">
        <w:rPr>
          <w:i/>
        </w:rPr>
        <w:t>calculation</w:t>
      </w:r>
      <w:r w:rsidRPr="00012813">
        <w:rPr>
          <w:i/>
          <w:spacing w:val="40"/>
        </w:rPr>
        <w:t xml:space="preserve"> </w:t>
      </w:r>
      <w:r w:rsidRPr="00012813">
        <w:rPr>
          <w:i/>
        </w:rPr>
        <w:t>of</w:t>
      </w:r>
      <w:r w:rsidRPr="00012813">
        <w:rPr>
          <w:i/>
          <w:spacing w:val="41"/>
        </w:rPr>
        <w:t xml:space="preserve"> </w:t>
      </w:r>
      <w:r w:rsidRPr="00012813">
        <w:rPr>
          <w:i/>
        </w:rPr>
        <w:t>Basic</w:t>
      </w:r>
      <w:r w:rsidRPr="00012813">
        <w:rPr>
          <w:i/>
          <w:spacing w:val="39"/>
        </w:rPr>
        <w:t xml:space="preserve"> </w:t>
      </w:r>
      <w:r w:rsidRPr="00012813">
        <w:rPr>
          <w:i/>
        </w:rPr>
        <w:t>pay,</w:t>
      </w:r>
      <w:r w:rsidRPr="00012813">
        <w:rPr>
          <w:i/>
          <w:spacing w:val="43"/>
        </w:rPr>
        <w:t xml:space="preserve"> </w:t>
      </w:r>
      <w:r w:rsidRPr="00012813">
        <w:rPr>
          <w:i/>
        </w:rPr>
        <w:t>the</w:t>
      </w:r>
      <w:r w:rsidRPr="00012813">
        <w:rPr>
          <w:i/>
          <w:spacing w:val="43"/>
        </w:rPr>
        <w:t xml:space="preserve"> </w:t>
      </w:r>
      <w:r w:rsidRPr="00012813">
        <w:rPr>
          <w:i/>
        </w:rPr>
        <w:t>Commission</w:t>
      </w:r>
      <w:r w:rsidRPr="00012813">
        <w:rPr>
          <w:i/>
          <w:spacing w:val="39"/>
        </w:rPr>
        <w:t xml:space="preserve"> </w:t>
      </w:r>
      <w:r w:rsidRPr="00012813">
        <w:rPr>
          <w:i/>
        </w:rPr>
        <w:t>has</w:t>
      </w:r>
      <w:r w:rsidRPr="00012813">
        <w:rPr>
          <w:i/>
          <w:spacing w:val="41"/>
        </w:rPr>
        <w:t xml:space="preserve"> </w:t>
      </w:r>
      <w:r w:rsidRPr="00012813">
        <w:rPr>
          <w:i/>
        </w:rPr>
        <w:t>considered</w:t>
      </w:r>
      <w:r w:rsidRPr="00012813">
        <w:rPr>
          <w:i/>
          <w:spacing w:val="40"/>
        </w:rPr>
        <w:t xml:space="preserve"> </w:t>
      </w:r>
      <w:r w:rsidRPr="00012813">
        <w:rPr>
          <w:i/>
        </w:rPr>
        <w:t>average</w:t>
      </w:r>
      <w:r w:rsidRPr="00012813">
        <w:rPr>
          <w:i/>
          <w:spacing w:val="-52"/>
        </w:rPr>
        <w:t xml:space="preserve"> </w:t>
      </w:r>
      <w:r>
        <w:rPr>
          <w:i/>
          <w:spacing w:val="-52"/>
        </w:rPr>
        <w:t xml:space="preserve">     </w:t>
      </w:r>
      <w:r w:rsidRPr="00012813">
        <w:rPr>
          <w:i/>
        </w:rPr>
        <w:t>no. of employees during the FY 2023-24 and FY 2024-25. Similar methodology is also</w:t>
      </w:r>
      <w:r w:rsidRPr="00012813">
        <w:rPr>
          <w:i/>
          <w:spacing w:val="1"/>
        </w:rPr>
        <w:t xml:space="preserve"> </w:t>
      </w:r>
      <w:r w:rsidRPr="00012813">
        <w:rPr>
          <w:i/>
        </w:rPr>
        <w:t>followed</w:t>
      </w:r>
      <w:r w:rsidRPr="00012813">
        <w:rPr>
          <w:i/>
          <w:spacing w:val="1"/>
        </w:rPr>
        <w:t xml:space="preserve"> </w:t>
      </w:r>
      <w:r w:rsidRPr="00012813">
        <w:rPr>
          <w:i/>
        </w:rPr>
        <w:t>for</w:t>
      </w:r>
      <w:r w:rsidRPr="00012813">
        <w:rPr>
          <w:i/>
          <w:spacing w:val="1"/>
        </w:rPr>
        <w:t xml:space="preserve"> </w:t>
      </w:r>
      <w:r w:rsidRPr="00012813">
        <w:rPr>
          <w:i/>
        </w:rPr>
        <w:t>calculation</w:t>
      </w:r>
      <w:r w:rsidRPr="00012813">
        <w:rPr>
          <w:i/>
          <w:spacing w:val="1"/>
        </w:rPr>
        <w:t xml:space="preserve"> </w:t>
      </w:r>
      <w:r w:rsidRPr="00012813">
        <w:rPr>
          <w:i/>
        </w:rPr>
        <w:t>of</w:t>
      </w:r>
      <w:r w:rsidRPr="00012813">
        <w:rPr>
          <w:i/>
          <w:spacing w:val="1"/>
        </w:rPr>
        <w:t xml:space="preserve"> </w:t>
      </w:r>
      <w:r w:rsidRPr="00012813">
        <w:rPr>
          <w:i/>
        </w:rPr>
        <w:t>CTC</w:t>
      </w:r>
      <w:r w:rsidRPr="00012813">
        <w:rPr>
          <w:i/>
          <w:spacing w:val="1"/>
        </w:rPr>
        <w:t xml:space="preserve"> </w:t>
      </w:r>
      <w:r w:rsidRPr="00012813">
        <w:rPr>
          <w:i/>
        </w:rPr>
        <w:t>employee</w:t>
      </w:r>
      <w:r w:rsidRPr="00012813">
        <w:rPr>
          <w:i/>
          <w:spacing w:val="1"/>
        </w:rPr>
        <w:t xml:space="preserve"> </w:t>
      </w:r>
      <w:r w:rsidRPr="00012813">
        <w:rPr>
          <w:i/>
        </w:rPr>
        <w:t>expenses</w:t>
      </w:r>
      <w:r w:rsidRPr="00012813">
        <w:rPr>
          <w:i/>
          <w:spacing w:val="1"/>
        </w:rPr>
        <w:t xml:space="preserve"> </w:t>
      </w:r>
      <w:r w:rsidRPr="00012813">
        <w:rPr>
          <w:i/>
        </w:rPr>
        <w:t>considering</w:t>
      </w:r>
      <w:r w:rsidRPr="00012813">
        <w:rPr>
          <w:i/>
          <w:spacing w:val="1"/>
        </w:rPr>
        <w:t xml:space="preserve"> </w:t>
      </w:r>
      <w:r w:rsidRPr="00012813">
        <w:rPr>
          <w:i/>
        </w:rPr>
        <w:t>the</w:t>
      </w:r>
      <w:r w:rsidRPr="00012813">
        <w:rPr>
          <w:i/>
          <w:spacing w:val="1"/>
        </w:rPr>
        <w:t xml:space="preserve"> </w:t>
      </w:r>
      <w:r w:rsidRPr="00012813">
        <w:rPr>
          <w:i/>
        </w:rPr>
        <w:t>average</w:t>
      </w:r>
      <w:r w:rsidRPr="00012813">
        <w:rPr>
          <w:i/>
          <w:spacing w:val="1"/>
        </w:rPr>
        <w:t xml:space="preserve"> </w:t>
      </w:r>
      <w:r w:rsidRPr="00012813">
        <w:rPr>
          <w:i/>
        </w:rPr>
        <w:t>no.</w:t>
      </w:r>
      <w:r w:rsidRPr="00012813">
        <w:rPr>
          <w:i/>
          <w:spacing w:val="1"/>
        </w:rPr>
        <w:t xml:space="preserve"> </w:t>
      </w:r>
      <w:r w:rsidRPr="00012813">
        <w:rPr>
          <w:i/>
        </w:rPr>
        <w:t>of</w:t>
      </w:r>
      <w:r w:rsidRPr="00012813">
        <w:rPr>
          <w:i/>
          <w:spacing w:val="-52"/>
        </w:rPr>
        <w:t xml:space="preserve"> </w:t>
      </w:r>
      <w:r w:rsidRPr="00012813">
        <w:rPr>
          <w:i/>
        </w:rPr>
        <w:t>employee for FY 2023-24 and FY 2024-25, keeping the ratio of employees per 1000</w:t>
      </w:r>
      <w:r w:rsidRPr="00012813">
        <w:rPr>
          <w:i/>
          <w:spacing w:val="1"/>
        </w:rPr>
        <w:t xml:space="preserve"> </w:t>
      </w:r>
      <w:r w:rsidRPr="00012813">
        <w:rPr>
          <w:i/>
        </w:rPr>
        <w:t>consumers</w:t>
      </w:r>
      <w:r w:rsidRPr="00012813">
        <w:rPr>
          <w:i/>
          <w:spacing w:val="1"/>
        </w:rPr>
        <w:t xml:space="preserve"> </w:t>
      </w:r>
      <w:r w:rsidRPr="00012813">
        <w:rPr>
          <w:i/>
        </w:rPr>
        <w:t>within</w:t>
      </w:r>
      <w:r w:rsidRPr="00012813">
        <w:rPr>
          <w:i/>
          <w:spacing w:val="1"/>
        </w:rPr>
        <w:t xml:space="preserve"> </w:t>
      </w:r>
      <w:r w:rsidRPr="00012813">
        <w:rPr>
          <w:i/>
        </w:rPr>
        <w:t>1.40.</w:t>
      </w:r>
      <w:r w:rsidRPr="00012813">
        <w:rPr>
          <w:i/>
          <w:spacing w:val="1"/>
        </w:rPr>
        <w:t xml:space="preserve"> </w:t>
      </w:r>
      <w:r w:rsidRPr="00012813">
        <w:rPr>
          <w:i/>
        </w:rPr>
        <w:t>Accordingly,</w:t>
      </w:r>
      <w:r w:rsidRPr="00012813">
        <w:rPr>
          <w:i/>
          <w:spacing w:val="1"/>
        </w:rPr>
        <w:t xml:space="preserve"> </w:t>
      </w:r>
      <w:r w:rsidRPr="00012813">
        <w:rPr>
          <w:i/>
        </w:rPr>
        <w:t>Commission</w:t>
      </w:r>
      <w:r w:rsidRPr="00012813">
        <w:rPr>
          <w:i/>
          <w:spacing w:val="1"/>
        </w:rPr>
        <w:t xml:space="preserve"> </w:t>
      </w:r>
      <w:r w:rsidRPr="00012813">
        <w:rPr>
          <w:i/>
        </w:rPr>
        <w:t>approves</w:t>
      </w:r>
      <w:r w:rsidRPr="00012813">
        <w:rPr>
          <w:i/>
          <w:spacing w:val="1"/>
        </w:rPr>
        <w:t xml:space="preserve"> </w:t>
      </w:r>
      <w:r w:rsidRPr="00012813">
        <w:rPr>
          <w:i/>
        </w:rPr>
        <w:t>following</w:t>
      </w:r>
      <w:r w:rsidRPr="00012813">
        <w:rPr>
          <w:i/>
          <w:spacing w:val="1"/>
        </w:rPr>
        <w:t xml:space="preserve"> </w:t>
      </w:r>
      <w:r w:rsidRPr="00012813">
        <w:rPr>
          <w:i/>
        </w:rPr>
        <w:t>number</w:t>
      </w:r>
      <w:r w:rsidRPr="00012813">
        <w:rPr>
          <w:i/>
          <w:spacing w:val="1"/>
        </w:rPr>
        <w:t xml:space="preserve"> </w:t>
      </w:r>
      <w:r w:rsidRPr="00012813">
        <w:rPr>
          <w:i/>
        </w:rPr>
        <w:t>of</w:t>
      </w:r>
      <w:r w:rsidRPr="00012813">
        <w:rPr>
          <w:i/>
          <w:spacing w:val="1"/>
        </w:rPr>
        <w:t xml:space="preserve"> </w:t>
      </w:r>
      <w:r w:rsidRPr="00012813">
        <w:rPr>
          <w:i/>
        </w:rPr>
        <w:t>employees for the DISCOMs for FY 2024-25 for the purpose calculation of employee</w:t>
      </w:r>
      <w:r w:rsidRPr="00012813">
        <w:rPr>
          <w:i/>
          <w:spacing w:val="1"/>
        </w:rPr>
        <w:t xml:space="preserve"> </w:t>
      </w:r>
      <w:r w:rsidRPr="00012813">
        <w:rPr>
          <w:i/>
        </w:rPr>
        <w:t>expenses.</w:t>
      </w:r>
      <w:r>
        <w:rPr>
          <w:i/>
        </w:rPr>
        <w:t>”</w:t>
      </w:r>
    </w:p>
    <w:p w14:paraId="11DA56E4" w14:textId="77777777" w:rsidR="006A7BDF" w:rsidRPr="006A7BDF" w:rsidRDefault="006A7BDF" w:rsidP="006A7BDF">
      <w:pPr>
        <w:pStyle w:val="ListParagraph"/>
        <w:widowControl w:val="0"/>
        <w:tabs>
          <w:tab w:val="left" w:pos="1134"/>
        </w:tabs>
        <w:autoSpaceDE w:val="0"/>
        <w:autoSpaceDN w:val="0"/>
        <w:spacing w:before="109" w:line="369" w:lineRule="auto"/>
        <w:ind w:left="993" w:right="1"/>
        <w:jc w:val="both"/>
        <w:rPr>
          <w:i/>
        </w:rPr>
      </w:pPr>
    </w:p>
    <w:p w14:paraId="730E7CA7" w14:textId="46BD02CF" w:rsidR="00B075A5" w:rsidRDefault="00791D2A" w:rsidP="006A7BDF">
      <w:pPr>
        <w:pStyle w:val="ListParagraph"/>
        <w:tabs>
          <w:tab w:val="left" w:pos="426"/>
        </w:tabs>
        <w:autoSpaceDE w:val="0"/>
        <w:autoSpaceDN w:val="0"/>
        <w:adjustRightInd w:val="0"/>
        <w:spacing w:after="0" w:line="360" w:lineRule="auto"/>
        <w:ind w:left="567" w:right="-23"/>
        <w:contextualSpacing w:val="0"/>
        <w:jc w:val="both"/>
        <w:rPr>
          <w:rFonts w:asciiTheme="minorHAnsi" w:hAnsiTheme="minorHAnsi" w:cstheme="minorHAnsi"/>
          <w:bCs/>
        </w:rPr>
      </w:pPr>
      <w:r w:rsidRPr="00153204">
        <w:rPr>
          <w:rFonts w:asciiTheme="minorHAnsi" w:hAnsiTheme="minorHAnsi" w:cstheme="minorHAnsi"/>
        </w:rPr>
        <w:t xml:space="preserve"> </w:t>
      </w:r>
      <w:r w:rsidR="006E4B90" w:rsidRPr="00153204">
        <w:rPr>
          <w:rFonts w:asciiTheme="minorHAnsi" w:hAnsiTheme="minorHAnsi" w:cstheme="minorHAnsi"/>
          <w:bCs/>
        </w:rPr>
        <w:t>In line with the direction of Hon’ble Commission to keep the number of employees per thousand cons</w:t>
      </w:r>
      <w:r w:rsidR="00AA4DA9">
        <w:rPr>
          <w:rFonts w:asciiTheme="minorHAnsi" w:hAnsiTheme="minorHAnsi" w:cstheme="minorHAnsi"/>
          <w:bCs/>
        </w:rPr>
        <w:t>umers within the ratio of 1.40</w:t>
      </w:r>
      <w:r w:rsidR="005D48FF">
        <w:rPr>
          <w:rFonts w:asciiTheme="minorHAnsi" w:hAnsiTheme="minorHAnsi" w:cstheme="minorHAnsi"/>
          <w:bCs/>
        </w:rPr>
        <w:t xml:space="preserve"> and in line with the new employee additions approved by the Hon’ble Commission, the recruitments have been done. </w:t>
      </w:r>
    </w:p>
    <w:p w14:paraId="5C218CAC" w14:textId="77777777" w:rsidR="006A7BDF" w:rsidRPr="006A7BDF" w:rsidRDefault="006A7BDF" w:rsidP="006A7BDF">
      <w:pPr>
        <w:pStyle w:val="ListParagraph"/>
        <w:tabs>
          <w:tab w:val="left" w:pos="426"/>
        </w:tabs>
        <w:autoSpaceDE w:val="0"/>
        <w:autoSpaceDN w:val="0"/>
        <w:adjustRightInd w:val="0"/>
        <w:spacing w:after="0" w:line="360" w:lineRule="auto"/>
        <w:ind w:left="567" w:right="-23"/>
        <w:contextualSpacing w:val="0"/>
        <w:jc w:val="both"/>
        <w:rPr>
          <w:rFonts w:asciiTheme="minorHAnsi" w:hAnsiTheme="minorHAnsi" w:cstheme="minorHAnsi"/>
        </w:rPr>
      </w:pPr>
    </w:p>
    <w:p w14:paraId="3F494651" w14:textId="14DB4CC6" w:rsidR="006A7BDF" w:rsidRPr="00944AAE" w:rsidRDefault="007F73B2" w:rsidP="00944AAE">
      <w:pPr>
        <w:pStyle w:val="ListParagraph"/>
        <w:tabs>
          <w:tab w:val="left" w:pos="426"/>
        </w:tabs>
        <w:autoSpaceDE w:val="0"/>
        <w:autoSpaceDN w:val="0"/>
        <w:adjustRightInd w:val="0"/>
        <w:spacing w:after="0" w:line="360" w:lineRule="auto"/>
        <w:ind w:left="567" w:right="-23"/>
        <w:contextualSpacing w:val="0"/>
        <w:jc w:val="both"/>
        <w:rPr>
          <w:rFonts w:asciiTheme="minorHAnsi" w:hAnsiTheme="minorHAnsi" w:cstheme="minorHAnsi"/>
        </w:rPr>
      </w:pPr>
      <w:r w:rsidRPr="00153204">
        <w:rPr>
          <w:rFonts w:asciiTheme="minorHAnsi" w:hAnsiTheme="minorHAnsi" w:cstheme="minorHAnsi"/>
        </w:rPr>
        <w:lastRenderedPageBreak/>
        <w:t xml:space="preserve"> The details of recruitments planned for</w:t>
      </w:r>
      <w:r w:rsidR="00012813">
        <w:rPr>
          <w:rFonts w:asciiTheme="minorHAnsi" w:hAnsiTheme="minorHAnsi" w:cstheme="minorHAnsi"/>
        </w:rPr>
        <w:t xml:space="preserve"> the current </w:t>
      </w:r>
      <w:r w:rsidRPr="00153204">
        <w:rPr>
          <w:rFonts w:asciiTheme="minorHAnsi" w:hAnsiTheme="minorHAnsi" w:cstheme="minorHAnsi"/>
        </w:rPr>
        <w:t>FY 2</w:t>
      </w:r>
      <w:r w:rsidR="005D48FF">
        <w:rPr>
          <w:rFonts w:asciiTheme="minorHAnsi" w:hAnsiTheme="minorHAnsi" w:cstheme="minorHAnsi"/>
        </w:rPr>
        <w:t>4</w:t>
      </w:r>
      <w:r w:rsidRPr="00153204">
        <w:rPr>
          <w:rFonts w:asciiTheme="minorHAnsi" w:hAnsiTheme="minorHAnsi" w:cstheme="minorHAnsi"/>
        </w:rPr>
        <w:t>-2</w:t>
      </w:r>
      <w:r w:rsidR="005D48FF">
        <w:rPr>
          <w:rFonts w:asciiTheme="minorHAnsi" w:hAnsiTheme="minorHAnsi" w:cstheme="minorHAnsi"/>
        </w:rPr>
        <w:t>5</w:t>
      </w:r>
      <w:r w:rsidRPr="00153204">
        <w:rPr>
          <w:rFonts w:asciiTheme="minorHAnsi" w:hAnsiTheme="minorHAnsi" w:cstheme="minorHAnsi"/>
        </w:rPr>
        <w:t xml:space="preserve"> and </w:t>
      </w:r>
      <w:r w:rsidR="00012813">
        <w:rPr>
          <w:rFonts w:asciiTheme="minorHAnsi" w:hAnsiTheme="minorHAnsi" w:cstheme="minorHAnsi"/>
        </w:rPr>
        <w:t xml:space="preserve">the ensuing </w:t>
      </w:r>
      <w:r w:rsidRPr="00153204">
        <w:rPr>
          <w:rFonts w:asciiTheme="minorHAnsi" w:hAnsiTheme="minorHAnsi" w:cstheme="minorHAnsi"/>
        </w:rPr>
        <w:t>FY 2</w:t>
      </w:r>
      <w:r w:rsidR="005D48FF">
        <w:rPr>
          <w:rFonts w:asciiTheme="minorHAnsi" w:hAnsiTheme="minorHAnsi" w:cstheme="minorHAnsi"/>
        </w:rPr>
        <w:t>5</w:t>
      </w:r>
      <w:r w:rsidRPr="00153204">
        <w:rPr>
          <w:rFonts w:asciiTheme="minorHAnsi" w:hAnsiTheme="minorHAnsi" w:cstheme="minorHAnsi"/>
        </w:rPr>
        <w:t>-2</w:t>
      </w:r>
      <w:r w:rsidR="005D48FF">
        <w:rPr>
          <w:rFonts w:asciiTheme="minorHAnsi" w:hAnsiTheme="minorHAnsi" w:cstheme="minorHAnsi"/>
        </w:rPr>
        <w:t>6</w:t>
      </w:r>
      <w:r w:rsidRPr="00153204">
        <w:rPr>
          <w:rFonts w:asciiTheme="minorHAnsi" w:hAnsiTheme="minorHAnsi" w:cstheme="minorHAnsi"/>
        </w:rPr>
        <w:t xml:space="preserve"> are furnished in the following table </w:t>
      </w:r>
      <w:proofErr w:type="spellStart"/>
      <w:r w:rsidRPr="00153204">
        <w:rPr>
          <w:rFonts w:asciiTheme="minorHAnsi" w:hAnsiTheme="minorHAnsi" w:cstheme="minorHAnsi"/>
        </w:rPr>
        <w:t>alongwith</w:t>
      </w:r>
      <w:proofErr w:type="spellEnd"/>
      <w:r w:rsidRPr="00153204">
        <w:rPr>
          <w:rFonts w:asciiTheme="minorHAnsi" w:hAnsiTheme="minorHAnsi" w:cstheme="minorHAnsi"/>
        </w:rPr>
        <w:t xml:space="preserve"> the existing manpower position starting from takeover.</w:t>
      </w:r>
    </w:p>
    <w:p w14:paraId="1D8B92D3" w14:textId="26DB6329" w:rsidR="000A321A" w:rsidRDefault="002427D4" w:rsidP="00BD5055">
      <w:pPr>
        <w:pStyle w:val="ListParagraph"/>
        <w:spacing w:after="0" w:line="360" w:lineRule="auto"/>
        <w:ind w:left="567"/>
        <w:jc w:val="both"/>
        <w:rPr>
          <w:rFonts w:asciiTheme="minorHAnsi" w:hAnsiTheme="minorHAnsi" w:cstheme="minorHAnsi"/>
          <w:b/>
          <w:lang w:val="en-GB"/>
        </w:rPr>
      </w:pPr>
      <w:r w:rsidRPr="00153204">
        <w:rPr>
          <w:rFonts w:asciiTheme="minorHAnsi" w:hAnsiTheme="minorHAnsi" w:cstheme="minorHAnsi"/>
          <w:b/>
          <w:lang w:val="en-GB"/>
        </w:rPr>
        <w:t xml:space="preserve">                              </w:t>
      </w:r>
      <w:r w:rsidR="00BD5055" w:rsidRPr="00153204">
        <w:rPr>
          <w:rFonts w:asciiTheme="minorHAnsi" w:hAnsiTheme="minorHAnsi" w:cstheme="minorHAnsi"/>
          <w:b/>
          <w:lang w:val="en-GB"/>
        </w:rPr>
        <w:t xml:space="preserve">              </w:t>
      </w:r>
      <w:r w:rsidR="009D2B56" w:rsidRPr="00153204">
        <w:rPr>
          <w:rFonts w:asciiTheme="minorHAnsi" w:hAnsiTheme="minorHAnsi" w:cstheme="minorHAnsi"/>
          <w:b/>
          <w:lang w:val="en-GB"/>
        </w:rPr>
        <w:t xml:space="preserve">       </w:t>
      </w:r>
      <w:r w:rsidR="00BD5055" w:rsidRPr="00153204">
        <w:rPr>
          <w:rFonts w:asciiTheme="minorHAnsi" w:hAnsiTheme="minorHAnsi" w:cstheme="minorHAnsi"/>
          <w:b/>
          <w:lang w:val="en-GB"/>
        </w:rPr>
        <w:t xml:space="preserve">  </w:t>
      </w:r>
      <w:r w:rsidR="00B50496" w:rsidRPr="00153204">
        <w:rPr>
          <w:rFonts w:asciiTheme="minorHAnsi" w:hAnsiTheme="minorHAnsi" w:cstheme="minorHAnsi"/>
          <w:b/>
          <w:lang w:val="en-GB"/>
        </w:rPr>
        <w:t>Table</w:t>
      </w:r>
      <w:r w:rsidR="00E51C31" w:rsidRPr="00153204">
        <w:rPr>
          <w:rFonts w:asciiTheme="minorHAnsi" w:hAnsiTheme="minorHAnsi" w:cstheme="minorHAnsi"/>
          <w:b/>
          <w:lang w:val="en-GB"/>
        </w:rPr>
        <w:t>-</w:t>
      </w:r>
      <w:r w:rsidR="00944AAE">
        <w:rPr>
          <w:rFonts w:asciiTheme="minorHAnsi" w:hAnsiTheme="minorHAnsi" w:cstheme="minorHAnsi"/>
          <w:b/>
          <w:lang w:val="en-GB"/>
        </w:rPr>
        <w:t>12</w:t>
      </w:r>
      <w:r w:rsidR="000A321A" w:rsidRPr="00153204">
        <w:rPr>
          <w:rFonts w:asciiTheme="minorHAnsi" w:hAnsiTheme="minorHAnsi" w:cstheme="minorHAnsi"/>
          <w:b/>
          <w:lang w:val="en-GB"/>
        </w:rPr>
        <w:t>:</w:t>
      </w:r>
      <w:r w:rsidR="000004C6" w:rsidRPr="00153204">
        <w:rPr>
          <w:rFonts w:asciiTheme="minorHAnsi" w:hAnsiTheme="minorHAnsi" w:cstheme="minorHAnsi"/>
          <w:b/>
          <w:lang w:val="en-GB"/>
        </w:rPr>
        <w:t xml:space="preserve"> Employee Details </w:t>
      </w:r>
      <w:r w:rsidR="000004C6" w:rsidRPr="00153204">
        <w:rPr>
          <w:rFonts w:asciiTheme="minorHAnsi" w:hAnsiTheme="minorHAnsi" w:cstheme="minorHAnsi"/>
          <w:b/>
          <w:lang w:val="en-GB"/>
        </w:rPr>
        <w:tab/>
      </w:r>
      <w:r w:rsidR="000004C6" w:rsidRPr="00153204">
        <w:rPr>
          <w:rFonts w:asciiTheme="minorHAnsi" w:hAnsiTheme="minorHAnsi" w:cstheme="minorHAnsi"/>
          <w:b/>
          <w:lang w:val="en-GB"/>
        </w:rPr>
        <w:tab/>
      </w:r>
      <w:r w:rsidR="00B51C83" w:rsidRPr="00153204">
        <w:rPr>
          <w:rFonts w:asciiTheme="minorHAnsi" w:hAnsiTheme="minorHAnsi" w:cstheme="minorHAnsi"/>
          <w:b/>
          <w:lang w:val="en-GB"/>
        </w:rPr>
        <w:tab/>
      </w:r>
      <w:r w:rsidRPr="00153204">
        <w:rPr>
          <w:rFonts w:asciiTheme="minorHAnsi" w:hAnsiTheme="minorHAnsi" w:cstheme="minorHAnsi"/>
          <w:b/>
          <w:lang w:val="en-GB"/>
        </w:rPr>
        <w:t xml:space="preserve">              </w:t>
      </w:r>
      <w:r w:rsidR="006A7BDF">
        <w:rPr>
          <w:rFonts w:asciiTheme="minorHAnsi" w:hAnsiTheme="minorHAnsi" w:cstheme="minorHAnsi"/>
          <w:b/>
          <w:lang w:val="en-GB"/>
        </w:rPr>
        <w:t xml:space="preserve"> </w:t>
      </w:r>
      <w:proofErr w:type="gramStart"/>
      <w:r w:rsidR="006A7BDF">
        <w:rPr>
          <w:rFonts w:asciiTheme="minorHAnsi" w:hAnsiTheme="minorHAnsi" w:cstheme="minorHAnsi"/>
          <w:b/>
          <w:lang w:val="en-GB"/>
        </w:rPr>
        <w:t xml:space="preserve"> </w:t>
      </w:r>
      <w:r w:rsidRPr="00153204">
        <w:rPr>
          <w:rFonts w:asciiTheme="minorHAnsi" w:hAnsiTheme="minorHAnsi" w:cstheme="minorHAnsi"/>
          <w:b/>
          <w:lang w:val="en-GB"/>
        </w:rPr>
        <w:t xml:space="preserve"> </w:t>
      </w:r>
      <w:r w:rsidR="000004C6" w:rsidRPr="00153204">
        <w:rPr>
          <w:rFonts w:asciiTheme="minorHAnsi" w:hAnsiTheme="minorHAnsi" w:cstheme="minorHAnsi"/>
          <w:b/>
          <w:lang w:val="en-GB"/>
        </w:rPr>
        <w:t xml:space="preserve"> </w:t>
      </w:r>
      <w:r w:rsidR="00B51C83" w:rsidRPr="00153204">
        <w:rPr>
          <w:rFonts w:asciiTheme="minorHAnsi" w:hAnsiTheme="minorHAnsi" w:cstheme="minorHAnsi"/>
          <w:b/>
          <w:lang w:val="en-GB"/>
        </w:rPr>
        <w:t>(</w:t>
      </w:r>
      <w:proofErr w:type="gramEnd"/>
      <w:r w:rsidR="00921242" w:rsidRPr="00153204">
        <w:rPr>
          <w:rFonts w:asciiTheme="minorHAnsi" w:hAnsiTheme="minorHAnsi" w:cstheme="minorHAnsi"/>
          <w:b/>
          <w:lang w:val="en-GB"/>
        </w:rPr>
        <w:t>In Nos)</w:t>
      </w:r>
    </w:p>
    <w:tbl>
      <w:tblPr>
        <w:tblW w:w="10281" w:type="dxa"/>
        <w:tblInd w:w="-147" w:type="dxa"/>
        <w:tblLook w:val="04A0" w:firstRow="1" w:lastRow="0" w:firstColumn="1" w:lastColumn="0" w:noHBand="0" w:noVBand="1"/>
      </w:tblPr>
      <w:tblGrid>
        <w:gridCol w:w="3808"/>
        <w:gridCol w:w="1479"/>
        <w:gridCol w:w="990"/>
        <w:gridCol w:w="1047"/>
        <w:gridCol w:w="917"/>
        <w:gridCol w:w="1085"/>
        <w:gridCol w:w="955"/>
      </w:tblGrid>
      <w:tr w:rsidR="00713A56" w14:paraId="32841453" w14:textId="77777777" w:rsidTr="00944AAE">
        <w:trPr>
          <w:trHeight w:val="246"/>
        </w:trPr>
        <w:tc>
          <w:tcPr>
            <w:tcW w:w="3808" w:type="dxa"/>
            <w:vMerge w:val="restart"/>
            <w:tcBorders>
              <w:top w:val="single" w:sz="4" w:space="0" w:color="auto"/>
              <w:left w:val="single" w:sz="4" w:space="0" w:color="auto"/>
              <w:bottom w:val="single" w:sz="4" w:space="0" w:color="auto"/>
              <w:right w:val="single" w:sz="4" w:space="0" w:color="auto"/>
            </w:tcBorders>
            <w:shd w:val="clear" w:color="auto" w:fill="95B3D7" w:themeFill="accent1" w:themeFillTint="99"/>
            <w:noWrap/>
            <w:vAlign w:val="center"/>
            <w:hideMark/>
          </w:tcPr>
          <w:p w14:paraId="5893643D" w14:textId="77777777" w:rsidR="00713A56" w:rsidRDefault="00713A56">
            <w:pPr>
              <w:jc w:val="center"/>
              <w:rPr>
                <w:rFonts w:ascii="Calibri" w:hAnsi="Calibri" w:cs="Calibri"/>
                <w:b/>
                <w:bCs/>
                <w:color w:val="000000"/>
                <w:sz w:val="18"/>
                <w:szCs w:val="18"/>
                <w:lang w:val="en-IN" w:eastAsia="en-IN"/>
              </w:rPr>
            </w:pPr>
            <w:r>
              <w:rPr>
                <w:rFonts w:ascii="Calibri" w:hAnsi="Calibri" w:cs="Calibri"/>
                <w:b/>
                <w:bCs/>
                <w:color w:val="000000"/>
                <w:sz w:val="18"/>
                <w:szCs w:val="18"/>
              </w:rPr>
              <w:t>Employees Details</w:t>
            </w:r>
          </w:p>
        </w:tc>
        <w:tc>
          <w:tcPr>
            <w:tcW w:w="2469" w:type="dxa"/>
            <w:gridSpan w:val="2"/>
            <w:tcBorders>
              <w:top w:val="single" w:sz="4" w:space="0" w:color="auto"/>
              <w:left w:val="nil"/>
              <w:bottom w:val="single" w:sz="4" w:space="0" w:color="auto"/>
              <w:right w:val="single" w:sz="4" w:space="0" w:color="auto"/>
            </w:tcBorders>
            <w:shd w:val="clear" w:color="auto" w:fill="95B3D7" w:themeFill="accent1" w:themeFillTint="99"/>
            <w:noWrap/>
            <w:vAlign w:val="center"/>
            <w:hideMark/>
          </w:tcPr>
          <w:p w14:paraId="29795838" w14:textId="77777777" w:rsidR="00713A56" w:rsidRDefault="00713A56">
            <w:pPr>
              <w:jc w:val="center"/>
              <w:rPr>
                <w:rFonts w:ascii="Calibri" w:hAnsi="Calibri" w:cs="Calibri"/>
                <w:b/>
                <w:bCs/>
                <w:color w:val="000000"/>
                <w:sz w:val="18"/>
                <w:szCs w:val="18"/>
              </w:rPr>
            </w:pPr>
            <w:r>
              <w:rPr>
                <w:rFonts w:ascii="Calibri" w:hAnsi="Calibri" w:cs="Calibri"/>
                <w:b/>
                <w:bCs/>
                <w:color w:val="000000"/>
                <w:sz w:val="18"/>
                <w:szCs w:val="18"/>
              </w:rPr>
              <w:t>Executive</w:t>
            </w:r>
          </w:p>
        </w:tc>
        <w:tc>
          <w:tcPr>
            <w:tcW w:w="1964" w:type="dxa"/>
            <w:gridSpan w:val="2"/>
            <w:tcBorders>
              <w:top w:val="single" w:sz="4" w:space="0" w:color="auto"/>
              <w:left w:val="nil"/>
              <w:bottom w:val="single" w:sz="4" w:space="0" w:color="auto"/>
              <w:right w:val="single" w:sz="4" w:space="0" w:color="auto"/>
            </w:tcBorders>
            <w:shd w:val="clear" w:color="auto" w:fill="95B3D7" w:themeFill="accent1" w:themeFillTint="99"/>
            <w:noWrap/>
            <w:vAlign w:val="center"/>
            <w:hideMark/>
          </w:tcPr>
          <w:p w14:paraId="2F3A30F0" w14:textId="77777777" w:rsidR="00713A56" w:rsidRDefault="00713A56">
            <w:pPr>
              <w:jc w:val="center"/>
              <w:rPr>
                <w:rFonts w:ascii="Calibri" w:hAnsi="Calibri" w:cs="Calibri"/>
                <w:b/>
                <w:bCs/>
                <w:color w:val="000000"/>
                <w:sz w:val="18"/>
                <w:szCs w:val="18"/>
              </w:rPr>
            </w:pPr>
            <w:r>
              <w:rPr>
                <w:rFonts w:ascii="Calibri" w:hAnsi="Calibri" w:cs="Calibri"/>
                <w:b/>
                <w:bCs/>
                <w:color w:val="000000"/>
                <w:sz w:val="18"/>
                <w:szCs w:val="18"/>
              </w:rPr>
              <w:t>Non-Executive</w:t>
            </w:r>
          </w:p>
        </w:tc>
        <w:tc>
          <w:tcPr>
            <w:tcW w:w="1085" w:type="dxa"/>
            <w:vMerge w:val="restart"/>
            <w:tcBorders>
              <w:top w:val="single" w:sz="4" w:space="0" w:color="auto"/>
              <w:left w:val="single" w:sz="4" w:space="0" w:color="auto"/>
              <w:bottom w:val="single" w:sz="4" w:space="0" w:color="auto"/>
              <w:right w:val="single" w:sz="4" w:space="0" w:color="auto"/>
            </w:tcBorders>
            <w:shd w:val="clear" w:color="auto" w:fill="95B3D7" w:themeFill="accent1" w:themeFillTint="99"/>
            <w:noWrap/>
            <w:vAlign w:val="center"/>
            <w:hideMark/>
          </w:tcPr>
          <w:p w14:paraId="667443CC" w14:textId="77777777" w:rsidR="00713A56" w:rsidRDefault="00713A56">
            <w:pPr>
              <w:jc w:val="center"/>
              <w:rPr>
                <w:rFonts w:ascii="Calibri" w:hAnsi="Calibri" w:cs="Calibri"/>
                <w:b/>
                <w:bCs/>
                <w:color w:val="000000"/>
                <w:sz w:val="18"/>
                <w:szCs w:val="18"/>
              </w:rPr>
            </w:pPr>
            <w:r>
              <w:rPr>
                <w:rFonts w:ascii="Calibri" w:hAnsi="Calibri" w:cs="Calibri"/>
                <w:b/>
                <w:bCs/>
                <w:color w:val="000000"/>
                <w:sz w:val="18"/>
                <w:szCs w:val="18"/>
              </w:rPr>
              <w:t>Total</w:t>
            </w:r>
          </w:p>
        </w:tc>
        <w:tc>
          <w:tcPr>
            <w:tcW w:w="955" w:type="dxa"/>
            <w:vMerge w:val="restart"/>
            <w:tcBorders>
              <w:top w:val="single" w:sz="4" w:space="0" w:color="auto"/>
              <w:left w:val="single" w:sz="4" w:space="0" w:color="auto"/>
              <w:bottom w:val="single" w:sz="4" w:space="0" w:color="auto"/>
              <w:right w:val="single" w:sz="4" w:space="0" w:color="auto"/>
            </w:tcBorders>
            <w:shd w:val="clear" w:color="auto" w:fill="95B3D7" w:themeFill="accent1" w:themeFillTint="99"/>
            <w:vAlign w:val="center"/>
            <w:hideMark/>
          </w:tcPr>
          <w:p w14:paraId="1559D66F" w14:textId="77777777" w:rsidR="00713A56" w:rsidRDefault="00713A56">
            <w:pPr>
              <w:jc w:val="center"/>
              <w:rPr>
                <w:rFonts w:ascii="Calibri" w:hAnsi="Calibri" w:cs="Calibri"/>
                <w:b/>
                <w:bCs/>
                <w:color w:val="000000"/>
                <w:sz w:val="18"/>
                <w:szCs w:val="18"/>
              </w:rPr>
            </w:pPr>
            <w:r>
              <w:rPr>
                <w:rFonts w:ascii="Calibri" w:hAnsi="Calibri" w:cs="Calibri"/>
                <w:b/>
                <w:bCs/>
                <w:color w:val="000000"/>
                <w:sz w:val="18"/>
                <w:szCs w:val="18"/>
              </w:rPr>
              <w:t>New CTC Employee</w:t>
            </w:r>
          </w:p>
        </w:tc>
      </w:tr>
      <w:tr w:rsidR="00713A56" w14:paraId="039F7904" w14:textId="77777777" w:rsidTr="00944AAE">
        <w:trPr>
          <w:trHeight w:val="696"/>
        </w:trPr>
        <w:tc>
          <w:tcPr>
            <w:tcW w:w="3808" w:type="dxa"/>
            <w:vMerge/>
            <w:tcBorders>
              <w:top w:val="single" w:sz="4" w:space="0" w:color="auto"/>
              <w:left w:val="single" w:sz="4" w:space="0" w:color="auto"/>
              <w:bottom w:val="single" w:sz="4" w:space="0" w:color="auto"/>
              <w:right w:val="single" w:sz="4" w:space="0" w:color="auto"/>
            </w:tcBorders>
            <w:vAlign w:val="center"/>
            <w:hideMark/>
          </w:tcPr>
          <w:p w14:paraId="100C903E" w14:textId="77777777" w:rsidR="00713A56" w:rsidRDefault="00713A56">
            <w:pPr>
              <w:rPr>
                <w:rFonts w:ascii="Calibri" w:hAnsi="Calibri" w:cs="Calibri"/>
                <w:b/>
                <w:bCs/>
                <w:color w:val="000000"/>
                <w:sz w:val="18"/>
                <w:szCs w:val="18"/>
              </w:rPr>
            </w:pPr>
          </w:p>
        </w:tc>
        <w:tc>
          <w:tcPr>
            <w:tcW w:w="1479" w:type="dxa"/>
            <w:tcBorders>
              <w:top w:val="nil"/>
              <w:left w:val="nil"/>
              <w:bottom w:val="single" w:sz="4" w:space="0" w:color="auto"/>
              <w:right w:val="single" w:sz="4" w:space="0" w:color="auto"/>
            </w:tcBorders>
            <w:shd w:val="clear" w:color="auto" w:fill="95B3D7" w:themeFill="accent1" w:themeFillTint="99"/>
            <w:vAlign w:val="center"/>
            <w:hideMark/>
          </w:tcPr>
          <w:p w14:paraId="4D065711" w14:textId="77777777" w:rsidR="00713A56" w:rsidRDefault="00713A56">
            <w:pPr>
              <w:jc w:val="center"/>
              <w:rPr>
                <w:rFonts w:ascii="Calibri" w:hAnsi="Calibri" w:cs="Calibri"/>
                <w:b/>
                <w:bCs/>
                <w:color w:val="000000"/>
                <w:sz w:val="18"/>
                <w:szCs w:val="18"/>
              </w:rPr>
            </w:pPr>
            <w:r>
              <w:rPr>
                <w:rFonts w:ascii="Calibri" w:hAnsi="Calibri" w:cs="Calibri"/>
                <w:b/>
                <w:bCs/>
                <w:color w:val="000000"/>
                <w:sz w:val="18"/>
                <w:szCs w:val="18"/>
              </w:rPr>
              <w:t>Technical </w:t>
            </w:r>
            <w:proofErr w:type="gramStart"/>
            <w:r>
              <w:rPr>
                <w:rFonts w:ascii="Calibri" w:hAnsi="Calibri" w:cs="Calibri"/>
                <w:b/>
                <w:bCs/>
                <w:color w:val="000000"/>
                <w:sz w:val="18"/>
                <w:szCs w:val="18"/>
              </w:rPr>
              <w:t>   (</w:t>
            </w:r>
            <w:proofErr w:type="gramEnd"/>
            <w:r>
              <w:rPr>
                <w:rFonts w:ascii="Calibri" w:hAnsi="Calibri" w:cs="Calibri"/>
                <w:b/>
                <w:bCs/>
                <w:color w:val="000000"/>
                <w:sz w:val="18"/>
                <w:szCs w:val="18"/>
              </w:rPr>
              <w:t>Nos)</w:t>
            </w:r>
          </w:p>
        </w:tc>
        <w:tc>
          <w:tcPr>
            <w:tcW w:w="990" w:type="dxa"/>
            <w:tcBorders>
              <w:top w:val="nil"/>
              <w:left w:val="nil"/>
              <w:bottom w:val="single" w:sz="4" w:space="0" w:color="auto"/>
              <w:right w:val="single" w:sz="4" w:space="0" w:color="auto"/>
            </w:tcBorders>
            <w:shd w:val="clear" w:color="auto" w:fill="95B3D7" w:themeFill="accent1" w:themeFillTint="99"/>
            <w:vAlign w:val="center"/>
            <w:hideMark/>
          </w:tcPr>
          <w:p w14:paraId="0746F807" w14:textId="77777777" w:rsidR="00713A56" w:rsidRDefault="00713A56">
            <w:pPr>
              <w:jc w:val="center"/>
              <w:rPr>
                <w:rFonts w:ascii="Calibri" w:hAnsi="Calibri" w:cs="Calibri"/>
                <w:b/>
                <w:bCs/>
                <w:color w:val="000000"/>
                <w:sz w:val="18"/>
                <w:szCs w:val="18"/>
              </w:rPr>
            </w:pPr>
            <w:r>
              <w:rPr>
                <w:rFonts w:ascii="Calibri" w:hAnsi="Calibri" w:cs="Calibri"/>
                <w:b/>
                <w:bCs/>
                <w:color w:val="000000"/>
                <w:sz w:val="18"/>
                <w:szCs w:val="18"/>
              </w:rPr>
              <w:t>Non-Technical (Nos)</w:t>
            </w:r>
          </w:p>
        </w:tc>
        <w:tc>
          <w:tcPr>
            <w:tcW w:w="1047" w:type="dxa"/>
            <w:tcBorders>
              <w:top w:val="nil"/>
              <w:left w:val="nil"/>
              <w:bottom w:val="single" w:sz="4" w:space="0" w:color="auto"/>
              <w:right w:val="single" w:sz="4" w:space="0" w:color="auto"/>
            </w:tcBorders>
            <w:shd w:val="clear" w:color="auto" w:fill="95B3D7" w:themeFill="accent1" w:themeFillTint="99"/>
            <w:vAlign w:val="center"/>
            <w:hideMark/>
          </w:tcPr>
          <w:p w14:paraId="48A5D7A5" w14:textId="77777777" w:rsidR="00713A56" w:rsidRDefault="00713A56">
            <w:pPr>
              <w:jc w:val="center"/>
              <w:rPr>
                <w:rFonts w:ascii="Calibri" w:hAnsi="Calibri" w:cs="Calibri"/>
                <w:b/>
                <w:bCs/>
                <w:color w:val="000000"/>
                <w:sz w:val="18"/>
                <w:szCs w:val="18"/>
              </w:rPr>
            </w:pPr>
            <w:r>
              <w:rPr>
                <w:rFonts w:ascii="Calibri" w:hAnsi="Calibri" w:cs="Calibri"/>
                <w:b/>
                <w:bCs/>
                <w:color w:val="000000"/>
                <w:sz w:val="18"/>
                <w:szCs w:val="18"/>
              </w:rPr>
              <w:t>Technical (Nos)</w:t>
            </w:r>
          </w:p>
        </w:tc>
        <w:tc>
          <w:tcPr>
            <w:tcW w:w="917" w:type="dxa"/>
            <w:tcBorders>
              <w:top w:val="nil"/>
              <w:left w:val="nil"/>
              <w:bottom w:val="single" w:sz="4" w:space="0" w:color="auto"/>
              <w:right w:val="single" w:sz="4" w:space="0" w:color="auto"/>
            </w:tcBorders>
            <w:shd w:val="clear" w:color="auto" w:fill="95B3D7" w:themeFill="accent1" w:themeFillTint="99"/>
            <w:vAlign w:val="center"/>
            <w:hideMark/>
          </w:tcPr>
          <w:p w14:paraId="1D4EAA23" w14:textId="77777777" w:rsidR="00713A56" w:rsidRDefault="00713A56">
            <w:pPr>
              <w:jc w:val="center"/>
              <w:rPr>
                <w:rFonts w:ascii="Calibri" w:hAnsi="Calibri" w:cs="Calibri"/>
                <w:b/>
                <w:bCs/>
                <w:color w:val="000000"/>
                <w:sz w:val="18"/>
                <w:szCs w:val="18"/>
              </w:rPr>
            </w:pPr>
            <w:r>
              <w:rPr>
                <w:rFonts w:ascii="Calibri" w:hAnsi="Calibri" w:cs="Calibri"/>
                <w:b/>
                <w:bCs/>
                <w:color w:val="000000"/>
                <w:sz w:val="18"/>
                <w:szCs w:val="18"/>
              </w:rPr>
              <w:t>Non-Technical (Nos)</w:t>
            </w:r>
          </w:p>
        </w:tc>
        <w:tc>
          <w:tcPr>
            <w:tcW w:w="1085" w:type="dxa"/>
            <w:vMerge/>
            <w:tcBorders>
              <w:top w:val="single" w:sz="4" w:space="0" w:color="auto"/>
              <w:left w:val="single" w:sz="4" w:space="0" w:color="auto"/>
              <w:bottom w:val="single" w:sz="4" w:space="0" w:color="auto"/>
              <w:right w:val="single" w:sz="4" w:space="0" w:color="auto"/>
            </w:tcBorders>
            <w:vAlign w:val="center"/>
            <w:hideMark/>
          </w:tcPr>
          <w:p w14:paraId="6DE1C858" w14:textId="77777777" w:rsidR="00713A56" w:rsidRDefault="00713A56">
            <w:pPr>
              <w:rPr>
                <w:rFonts w:ascii="Calibri" w:hAnsi="Calibri" w:cs="Calibri"/>
                <w:b/>
                <w:bCs/>
                <w:color w:val="000000"/>
                <w:sz w:val="18"/>
                <w:szCs w:val="18"/>
              </w:rPr>
            </w:pPr>
          </w:p>
        </w:tc>
        <w:tc>
          <w:tcPr>
            <w:tcW w:w="955" w:type="dxa"/>
            <w:vMerge/>
            <w:tcBorders>
              <w:top w:val="single" w:sz="4" w:space="0" w:color="auto"/>
              <w:left w:val="single" w:sz="4" w:space="0" w:color="auto"/>
              <w:bottom w:val="single" w:sz="4" w:space="0" w:color="auto"/>
              <w:right w:val="single" w:sz="4" w:space="0" w:color="auto"/>
            </w:tcBorders>
            <w:vAlign w:val="center"/>
            <w:hideMark/>
          </w:tcPr>
          <w:p w14:paraId="09CFCAB0" w14:textId="77777777" w:rsidR="00713A56" w:rsidRDefault="00713A56">
            <w:pPr>
              <w:rPr>
                <w:rFonts w:ascii="Calibri" w:hAnsi="Calibri" w:cs="Calibri"/>
                <w:b/>
                <w:bCs/>
                <w:color w:val="000000"/>
                <w:sz w:val="18"/>
                <w:szCs w:val="18"/>
              </w:rPr>
            </w:pPr>
          </w:p>
        </w:tc>
      </w:tr>
      <w:tr w:rsidR="00713A56" w14:paraId="79AA2262" w14:textId="77777777" w:rsidTr="009A0919">
        <w:trPr>
          <w:trHeight w:val="246"/>
        </w:trPr>
        <w:tc>
          <w:tcPr>
            <w:tcW w:w="3808" w:type="dxa"/>
            <w:tcBorders>
              <w:top w:val="nil"/>
              <w:left w:val="single" w:sz="4" w:space="0" w:color="auto"/>
              <w:bottom w:val="single" w:sz="4" w:space="0" w:color="auto"/>
              <w:right w:val="single" w:sz="4" w:space="0" w:color="auto"/>
            </w:tcBorders>
            <w:shd w:val="clear" w:color="auto" w:fill="auto"/>
            <w:noWrap/>
            <w:vAlign w:val="center"/>
            <w:hideMark/>
          </w:tcPr>
          <w:p w14:paraId="17F22EFA" w14:textId="77777777" w:rsidR="00713A56" w:rsidRDefault="00713A56">
            <w:pPr>
              <w:rPr>
                <w:rFonts w:ascii="Calibri" w:hAnsi="Calibri" w:cs="Calibri"/>
                <w:b/>
                <w:bCs/>
                <w:color w:val="000000"/>
                <w:sz w:val="18"/>
                <w:szCs w:val="18"/>
              </w:rPr>
            </w:pPr>
            <w:r>
              <w:rPr>
                <w:rFonts w:ascii="Calibri" w:hAnsi="Calibri" w:cs="Calibri"/>
                <w:b/>
                <w:bCs/>
                <w:color w:val="000000"/>
                <w:sz w:val="18"/>
                <w:szCs w:val="18"/>
              </w:rPr>
              <w:t>Erstwhile employees(existing) as 01-04-2021 (A)</w:t>
            </w:r>
          </w:p>
        </w:tc>
        <w:tc>
          <w:tcPr>
            <w:tcW w:w="1479" w:type="dxa"/>
            <w:tcBorders>
              <w:top w:val="nil"/>
              <w:left w:val="nil"/>
              <w:bottom w:val="single" w:sz="4" w:space="0" w:color="auto"/>
              <w:right w:val="single" w:sz="4" w:space="0" w:color="auto"/>
            </w:tcBorders>
            <w:shd w:val="clear" w:color="auto" w:fill="auto"/>
            <w:noWrap/>
            <w:vAlign w:val="center"/>
            <w:hideMark/>
          </w:tcPr>
          <w:p w14:paraId="4100D9DA" w14:textId="77777777" w:rsidR="00713A56" w:rsidRDefault="00713A56">
            <w:pPr>
              <w:jc w:val="center"/>
              <w:rPr>
                <w:rFonts w:ascii="Calibri" w:hAnsi="Calibri" w:cs="Calibri"/>
                <w:b/>
                <w:bCs/>
                <w:color w:val="000000"/>
                <w:sz w:val="18"/>
                <w:szCs w:val="18"/>
              </w:rPr>
            </w:pPr>
            <w:r>
              <w:rPr>
                <w:rFonts w:ascii="Calibri" w:hAnsi="Calibri" w:cs="Calibri"/>
                <w:b/>
                <w:bCs/>
                <w:color w:val="000000"/>
                <w:sz w:val="18"/>
                <w:szCs w:val="18"/>
              </w:rPr>
              <w:t>318</w:t>
            </w:r>
          </w:p>
        </w:tc>
        <w:tc>
          <w:tcPr>
            <w:tcW w:w="990" w:type="dxa"/>
            <w:tcBorders>
              <w:top w:val="nil"/>
              <w:left w:val="nil"/>
              <w:bottom w:val="single" w:sz="4" w:space="0" w:color="auto"/>
              <w:right w:val="single" w:sz="4" w:space="0" w:color="auto"/>
            </w:tcBorders>
            <w:shd w:val="clear" w:color="auto" w:fill="auto"/>
            <w:noWrap/>
            <w:vAlign w:val="center"/>
            <w:hideMark/>
          </w:tcPr>
          <w:p w14:paraId="58B26067" w14:textId="77777777" w:rsidR="00713A56" w:rsidRDefault="00713A56">
            <w:pPr>
              <w:jc w:val="center"/>
              <w:rPr>
                <w:rFonts w:ascii="Calibri" w:hAnsi="Calibri" w:cs="Calibri"/>
                <w:b/>
                <w:bCs/>
                <w:color w:val="000000"/>
                <w:sz w:val="18"/>
                <w:szCs w:val="18"/>
              </w:rPr>
            </w:pPr>
            <w:r>
              <w:rPr>
                <w:rFonts w:ascii="Calibri" w:hAnsi="Calibri" w:cs="Calibri"/>
                <w:b/>
                <w:bCs/>
                <w:color w:val="000000"/>
                <w:sz w:val="18"/>
                <w:szCs w:val="18"/>
              </w:rPr>
              <w:t>89</w:t>
            </w:r>
          </w:p>
        </w:tc>
        <w:tc>
          <w:tcPr>
            <w:tcW w:w="1047" w:type="dxa"/>
            <w:tcBorders>
              <w:top w:val="nil"/>
              <w:left w:val="nil"/>
              <w:bottom w:val="single" w:sz="4" w:space="0" w:color="auto"/>
              <w:right w:val="single" w:sz="4" w:space="0" w:color="auto"/>
            </w:tcBorders>
            <w:shd w:val="clear" w:color="auto" w:fill="auto"/>
            <w:noWrap/>
            <w:vAlign w:val="center"/>
            <w:hideMark/>
          </w:tcPr>
          <w:p w14:paraId="4E2931F3" w14:textId="77777777" w:rsidR="00713A56" w:rsidRDefault="00713A56">
            <w:pPr>
              <w:jc w:val="center"/>
              <w:rPr>
                <w:rFonts w:ascii="Calibri" w:hAnsi="Calibri" w:cs="Calibri"/>
                <w:b/>
                <w:bCs/>
                <w:color w:val="000000"/>
                <w:sz w:val="18"/>
                <w:szCs w:val="18"/>
              </w:rPr>
            </w:pPr>
            <w:r>
              <w:rPr>
                <w:rFonts w:ascii="Calibri" w:hAnsi="Calibri" w:cs="Calibri"/>
                <w:b/>
                <w:bCs/>
                <w:color w:val="000000"/>
                <w:sz w:val="18"/>
                <w:szCs w:val="18"/>
              </w:rPr>
              <w:t>1444</w:t>
            </w:r>
          </w:p>
        </w:tc>
        <w:tc>
          <w:tcPr>
            <w:tcW w:w="917" w:type="dxa"/>
            <w:tcBorders>
              <w:top w:val="nil"/>
              <w:left w:val="nil"/>
              <w:bottom w:val="single" w:sz="4" w:space="0" w:color="auto"/>
              <w:right w:val="single" w:sz="4" w:space="0" w:color="auto"/>
            </w:tcBorders>
            <w:shd w:val="clear" w:color="auto" w:fill="auto"/>
            <w:noWrap/>
            <w:vAlign w:val="center"/>
            <w:hideMark/>
          </w:tcPr>
          <w:p w14:paraId="1D6E0BA6" w14:textId="77777777" w:rsidR="00713A56" w:rsidRDefault="00713A56">
            <w:pPr>
              <w:jc w:val="center"/>
              <w:rPr>
                <w:rFonts w:ascii="Calibri" w:hAnsi="Calibri" w:cs="Calibri"/>
                <w:b/>
                <w:bCs/>
                <w:color w:val="000000"/>
                <w:sz w:val="18"/>
                <w:szCs w:val="18"/>
              </w:rPr>
            </w:pPr>
            <w:r>
              <w:rPr>
                <w:rFonts w:ascii="Calibri" w:hAnsi="Calibri" w:cs="Calibri"/>
                <w:b/>
                <w:bCs/>
                <w:color w:val="000000"/>
                <w:sz w:val="18"/>
                <w:szCs w:val="18"/>
              </w:rPr>
              <w:t>308</w:t>
            </w:r>
          </w:p>
        </w:tc>
        <w:tc>
          <w:tcPr>
            <w:tcW w:w="1085" w:type="dxa"/>
            <w:tcBorders>
              <w:top w:val="nil"/>
              <w:left w:val="nil"/>
              <w:bottom w:val="single" w:sz="4" w:space="0" w:color="auto"/>
              <w:right w:val="single" w:sz="4" w:space="0" w:color="auto"/>
            </w:tcBorders>
            <w:shd w:val="clear" w:color="auto" w:fill="auto"/>
            <w:noWrap/>
            <w:vAlign w:val="center"/>
            <w:hideMark/>
          </w:tcPr>
          <w:p w14:paraId="21C1A703" w14:textId="77777777" w:rsidR="00713A56" w:rsidRDefault="00713A56">
            <w:pPr>
              <w:jc w:val="center"/>
              <w:rPr>
                <w:rFonts w:ascii="Calibri" w:hAnsi="Calibri" w:cs="Calibri"/>
                <w:b/>
                <w:bCs/>
                <w:color w:val="000000"/>
                <w:sz w:val="18"/>
                <w:szCs w:val="18"/>
              </w:rPr>
            </w:pPr>
            <w:r>
              <w:rPr>
                <w:rFonts w:ascii="Calibri" w:hAnsi="Calibri" w:cs="Calibri"/>
                <w:b/>
                <w:bCs/>
                <w:color w:val="000000"/>
                <w:sz w:val="18"/>
                <w:szCs w:val="18"/>
              </w:rPr>
              <w:t>2159</w:t>
            </w:r>
          </w:p>
        </w:tc>
        <w:tc>
          <w:tcPr>
            <w:tcW w:w="955" w:type="dxa"/>
            <w:tcBorders>
              <w:top w:val="nil"/>
              <w:left w:val="nil"/>
              <w:bottom w:val="single" w:sz="4" w:space="0" w:color="auto"/>
              <w:right w:val="single" w:sz="4" w:space="0" w:color="auto"/>
            </w:tcBorders>
            <w:shd w:val="clear" w:color="auto" w:fill="auto"/>
            <w:noWrap/>
            <w:vAlign w:val="center"/>
            <w:hideMark/>
          </w:tcPr>
          <w:p w14:paraId="1D30F16A" w14:textId="77777777" w:rsidR="00713A56" w:rsidRDefault="00713A56">
            <w:pPr>
              <w:rPr>
                <w:sz w:val="20"/>
                <w:szCs w:val="20"/>
              </w:rPr>
            </w:pPr>
            <w:r>
              <w:rPr>
                <w:sz w:val="20"/>
                <w:szCs w:val="20"/>
              </w:rPr>
              <w:t> </w:t>
            </w:r>
          </w:p>
        </w:tc>
      </w:tr>
      <w:tr w:rsidR="00713A56" w14:paraId="607096C7" w14:textId="77777777" w:rsidTr="009A0919">
        <w:trPr>
          <w:trHeight w:val="246"/>
        </w:trPr>
        <w:tc>
          <w:tcPr>
            <w:tcW w:w="3808" w:type="dxa"/>
            <w:tcBorders>
              <w:top w:val="nil"/>
              <w:left w:val="single" w:sz="4" w:space="0" w:color="auto"/>
              <w:bottom w:val="single" w:sz="4" w:space="0" w:color="auto"/>
              <w:right w:val="single" w:sz="4" w:space="0" w:color="auto"/>
            </w:tcBorders>
            <w:shd w:val="clear" w:color="auto" w:fill="auto"/>
            <w:noWrap/>
            <w:vAlign w:val="center"/>
            <w:hideMark/>
          </w:tcPr>
          <w:p w14:paraId="0EF5F042" w14:textId="77777777" w:rsidR="00713A56" w:rsidRPr="006A7BDF" w:rsidRDefault="00713A56">
            <w:pPr>
              <w:rPr>
                <w:rFonts w:ascii="Calibri" w:hAnsi="Calibri" w:cs="Calibri"/>
                <w:color w:val="000000"/>
                <w:sz w:val="18"/>
                <w:szCs w:val="18"/>
              </w:rPr>
            </w:pPr>
            <w:r w:rsidRPr="006A7BDF">
              <w:rPr>
                <w:rFonts w:ascii="Calibri" w:hAnsi="Calibri" w:cs="Calibri"/>
                <w:color w:val="000000"/>
                <w:sz w:val="18"/>
                <w:szCs w:val="18"/>
              </w:rPr>
              <w:t>Tata Power Transferred employees in FY2021-22 (B)</w:t>
            </w:r>
          </w:p>
        </w:tc>
        <w:tc>
          <w:tcPr>
            <w:tcW w:w="1479" w:type="dxa"/>
            <w:tcBorders>
              <w:top w:val="nil"/>
              <w:left w:val="nil"/>
              <w:bottom w:val="single" w:sz="4" w:space="0" w:color="auto"/>
              <w:right w:val="single" w:sz="4" w:space="0" w:color="auto"/>
            </w:tcBorders>
            <w:shd w:val="clear" w:color="auto" w:fill="auto"/>
            <w:noWrap/>
            <w:vAlign w:val="center"/>
            <w:hideMark/>
          </w:tcPr>
          <w:p w14:paraId="0C0EC1C3" w14:textId="77777777" w:rsidR="00713A56" w:rsidRPr="006A7BDF" w:rsidRDefault="00713A56">
            <w:pPr>
              <w:jc w:val="center"/>
              <w:rPr>
                <w:rFonts w:ascii="Calibri" w:hAnsi="Calibri" w:cs="Calibri"/>
                <w:color w:val="000000"/>
                <w:sz w:val="18"/>
                <w:szCs w:val="18"/>
              </w:rPr>
            </w:pPr>
            <w:r w:rsidRPr="006A7BDF">
              <w:rPr>
                <w:rFonts w:ascii="Calibri" w:hAnsi="Calibri" w:cs="Calibri"/>
                <w:color w:val="000000"/>
                <w:sz w:val="18"/>
                <w:szCs w:val="18"/>
              </w:rPr>
              <w:t>32</w:t>
            </w:r>
          </w:p>
        </w:tc>
        <w:tc>
          <w:tcPr>
            <w:tcW w:w="990" w:type="dxa"/>
            <w:tcBorders>
              <w:top w:val="nil"/>
              <w:left w:val="nil"/>
              <w:bottom w:val="single" w:sz="4" w:space="0" w:color="auto"/>
              <w:right w:val="single" w:sz="4" w:space="0" w:color="auto"/>
            </w:tcBorders>
            <w:shd w:val="clear" w:color="auto" w:fill="auto"/>
            <w:noWrap/>
            <w:vAlign w:val="center"/>
            <w:hideMark/>
          </w:tcPr>
          <w:p w14:paraId="2D2C08A5" w14:textId="77777777" w:rsidR="00713A56" w:rsidRPr="006A7BDF" w:rsidRDefault="00713A56">
            <w:pPr>
              <w:jc w:val="center"/>
              <w:rPr>
                <w:rFonts w:ascii="Calibri" w:hAnsi="Calibri" w:cs="Calibri"/>
                <w:color w:val="000000"/>
                <w:sz w:val="18"/>
                <w:szCs w:val="18"/>
              </w:rPr>
            </w:pPr>
            <w:r w:rsidRPr="006A7BDF">
              <w:rPr>
                <w:rFonts w:ascii="Calibri" w:hAnsi="Calibri" w:cs="Calibri"/>
                <w:color w:val="000000"/>
                <w:sz w:val="18"/>
                <w:szCs w:val="18"/>
              </w:rPr>
              <w:t>18</w:t>
            </w:r>
          </w:p>
        </w:tc>
        <w:tc>
          <w:tcPr>
            <w:tcW w:w="1047" w:type="dxa"/>
            <w:tcBorders>
              <w:top w:val="nil"/>
              <w:left w:val="nil"/>
              <w:bottom w:val="single" w:sz="4" w:space="0" w:color="auto"/>
              <w:right w:val="single" w:sz="4" w:space="0" w:color="auto"/>
            </w:tcBorders>
            <w:shd w:val="clear" w:color="auto" w:fill="auto"/>
            <w:noWrap/>
            <w:vAlign w:val="center"/>
            <w:hideMark/>
          </w:tcPr>
          <w:p w14:paraId="0D545B44" w14:textId="77777777" w:rsidR="00713A56" w:rsidRPr="006A7BDF" w:rsidRDefault="00713A56">
            <w:pPr>
              <w:rPr>
                <w:sz w:val="20"/>
                <w:szCs w:val="20"/>
              </w:rPr>
            </w:pPr>
            <w:r w:rsidRPr="006A7BDF">
              <w:rPr>
                <w:sz w:val="20"/>
                <w:szCs w:val="20"/>
              </w:rPr>
              <w:t> </w:t>
            </w:r>
          </w:p>
        </w:tc>
        <w:tc>
          <w:tcPr>
            <w:tcW w:w="917" w:type="dxa"/>
            <w:tcBorders>
              <w:top w:val="nil"/>
              <w:left w:val="nil"/>
              <w:bottom w:val="single" w:sz="4" w:space="0" w:color="auto"/>
              <w:right w:val="single" w:sz="4" w:space="0" w:color="auto"/>
            </w:tcBorders>
            <w:shd w:val="clear" w:color="auto" w:fill="auto"/>
            <w:noWrap/>
            <w:vAlign w:val="center"/>
            <w:hideMark/>
          </w:tcPr>
          <w:p w14:paraId="783DF174" w14:textId="77777777" w:rsidR="00713A56" w:rsidRPr="006A7BDF" w:rsidRDefault="00713A56">
            <w:pPr>
              <w:rPr>
                <w:sz w:val="20"/>
                <w:szCs w:val="20"/>
              </w:rPr>
            </w:pPr>
            <w:r w:rsidRPr="006A7BDF">
              <w:rPr>
                <w:sz w:val="20"/>
                <w:szCs w:val="20"/>
              </w:rPr>
              <w:t> </w:t>
            </w:r>
          </w:p>
        </w:tc>
        <w:tc>
          <w:tcPr>
            <w:tcW w:w="1085" w:type="dxa"/>
            <w:tcBorders>
              <w:top w:val="nil"/>
              <w:left w:val="nil"/>
              <w:bottom w:val="single" w:sz="4" w:space="0" w:color="auto"/>
              <w:right w:val="single" w:sz="4" w:space="0" w:color="auto"/>
            </w:tcBorders>
            <w:shd w:val="clear" w:color="auto" w:fill="auto"/>
            <w:noWrap/>
            <w:vAlign w:val="center"/>
            <w:hideMark/>
          </w:tcPr>
          <w:p w14:paraId="7B64E05B" w14:textId="77777777" w:rsidR="00713A56" w:rsidRPr="006A7BDF" w:rsidRDefault="00713A56">
            <w:pPr>
              <w:jc w:val="center"/>
              <w:rPr>
                <w:rFonts w:ascii="Calibri" w:hAnsi="Calibri" w:cs="Calibri"/>
                <w:b/>
                <w:bCs/>
                <w:color w:val="000000"/>
                <w:sz w:val="18"/>
                <w:szCs w:val="18"/>
              </w:rPr>
            </w:pPr>
            <w:r w:rsidRPr="006A7BDF">
              <w:rPr>
                <w:rFonts w:ascii="Calibri" w:hAnsi="Calibri" w:cs="Calibri"/>
                <w:b/>
                <w:bCs/>
                <w:color w:val="000000"/>
                <w:sz w:val="18"/>
                <w:szCs w:val="18"/>
              </w:rPr>
              <w:t>50</w:t>
            </w:r>
          </w:p>
        </w:tc>
        <w:tc>
          <w:tcPr>
            <w:tcW w:w="955" w:type="dxa"/>
            <w:tcBorders>
              <w:top w:val="nil"/>
              <w:left w:val="nil"/>
              <w:bottom w:val="single" w:sz="4" w:space="0" w:color="auto"/>
              <w:right w:val="single" w:sz="4" w:space="0" w:color="auto"/>
            </w:tcBorders>
            <w:shd w:val="clear" w:color="auto" w:fill="auto"/>
            <w:noWrap/>
            <w:vAlign w:val="center"/>
            <w:hideMark/>
          </w:tcPr>
          <w:p w14:paraId="67FFEE94" w14:textId="77777777" w:rsidR="00713A56" w:rsidRPr="006A7BDF" w:rsidRDefault="00713A56">
            <w:pPr>
              <w:rPr>
                <w:sz w:val="20"/>
                <w:szCs w:val="20"/>
              </w:rPr>
            </w:pPr>
            <w:r w:rsidRPr="006A7BDF">
              <w:rPr>
                <w:sz w:val="20"/>
                <w:szCs w:val="20"/>
              </w:rPr>
              <w:t> </w:t>
            </w:r>
          </w:p>
        </w:tc>
      </w:tr>
      <w:tr w:rsidR="00713A56" w14:paraId="68953DFA" w14:textId="77777777" w:rsidTr="009A0919">
        <w:trPr>
          <w:trHeight w:val="246"/>
        </w:trPr>
        <w:tc>
          <w:tcPr>
            <w:tcW w:w="3808" w:type="dxa"/>
            <w:tcBorders>
              <w:top w:val="nil"/>
              <w:left w:val="single" w:sz="4" w:space="0" w:color="auto"/>
              <w:bottom w:val="single" w:sz="4" w:space="0" w:color="auto"/>
              <w:right w:val="single" w:sz="4" w:space="0" w:color="auto"/>
            </w:tcBorders>
            <w:shd w:val="clear" w:color="auto" w:fill="auto"/>
            <w:noWrap/>
            <w:vAlign w:val="center"/>
            <w:hideMark/>
          </w:tcPr>
          <w:p w14:paraId="5A554987" w14:textId="77777777" w:rsidR="00713A56" w:rsidRPr="006A7BDF" w:rsidRDefault="00713A56">
            <w:pPr>
              <w:rPr>
                <w:rFonts w:ascii="Calibri" w:hAnsi="Calibri" w:cs="Calibri"/>
                <w:color w:val="000000"/>
                <w:sz w:val="18"/>
                <w:szCs w:val="18"/>
              </w:rPr>
            </w:pPr>
            <w:r w:rsidRPr="006A7BDF">
              <w:rPr>
                <w:rFonts w:ascii="Calibri" w:hAnsi="Calibri" w:cs="Calibri"/>
                <w:color w:val="000000"/>
                <w:sz w:val="18"/>
                <w:szCs w:val="18"/>
              </w:rPr>
              <w:t>Newly recruited employees in FY2021-22 (C)</w:t>
            </w:r>
          </w:p>
        </w:tc>
        <w:tc>
          <w:tcPr>
            <w:tcW w:w="1479" w:type="dxa"/>
            <w:tcBorders>
              <w:top w:val="nil"/>
              <w:left w:val="nil"/>
              <w:bottom w:val="single" w:sz="4" w:space="0" w:color="auto"/>
              <w:right w:val="single" w:sz="4" w:space="0" w:color="auto"/>
            </w:tcBorders>
            <w:shd w:val="clear" w:color="auto" w:fill="auto"/>
            <w:noWrap/>
            <w:vAlign w:val="center"/>
            <w:hideMark/>
          </w:tcPr>
          <w:p w14:paraId="14F295D7" w14:textId="77777777" w:rsidR="00713A56" w:rsidRPr="006A7BDF" w:rsidRDefault="00713A56">
            <w:pPr>
              <w:jc w:val="center"/>
              <w:rPr>
                <w:rFonts w:ascii="Calibri" w:hAnsi="Calibri" w:cs="Calibri"/>
                <w:color w:val="000000"/>
                <w:sz w:val="18"/>
                <w:szCs w:val="18"/>
              </w:rPr>
            </w:pPr>
            <w:r w:rsidRPr="006A7BDF">
              <w:rPr>
                <w:rFonts w:ascii="Calibri" w:hAnsi="Calibri" w:cs="Calibri"/>
                <w:color w:val="000000"/>
                <w:sz w:val="18"/>
                <w:szCs w:val="18"/>
              </w:rPr>
              <w:t>208</w:t>
            </w:r>
          </w:p>
        </w:tc>
        <w:tc>
          <w:tcPr>
            <w:tcW w:w="990" w:type="dxa"/>
            <w:tcBorders>
              <w:top w:val="nil"/>
              <w:left w:val="nil"/>
              <w:bottom w:val="single" w:sz="4" w:space="0" w:color="auto"/>
              <w:right w:val="single" w:sz="4" w:space="0" w:color="auto"/>
            </w:tcBorders>
            <w:shd w:val="clear" w:color="auto" w:fill="auto"/>
            <w:noWrap/>
            <w:vAlign w:val="center"/>
            <w:hideMark/>
          </w:tcPr>
          <w:p w14:paraId="396B0BC2" w14:textId="77777777" w:rsidR="00713A56" w:rsidRPr="006A7BDF" w:rsidRDefault="00713A56">
            <w:pPr>
              <w:jc w:val="center"/>
              <w:rPr>
                <w:rFonts w:ascii="Calibri" w:hAnsi="Calibri" w:cs="Calibri"/>
                <w:color w:val="000000"/>
                <w:sz w:val="18"/>
                <w:szCs w:val="18"/>
              </w:rPr>
            </w:pPr>
            <w:r w:rsidRPr="006A7BDF">
              <w:rPr>
                <w:rFonts w:ascii="Calibri" w:hAnsi="Calibri" w:cs="Calibri"/>
                <w:color w:val="000000"/>
                <w:sz w:val="18"/>
                <w:szCs w:val="18"/>
              </w:rPr>
              <w:t>104</w:t>
            </w:r>
          </w:p>
        </w:tc>
        <w:tc>
          <w:tcPr>
            <w:tcW w:w="1047" w:type="dxa"/>
            <w:tcBorders>
              <w:top w:val="nil"/>
              <w:left w:val="nil"/>
              <w:bottom w:val="single" w:sz="4" w:space="0" w:color="auto"/>
              <w:right w:val="single" w:sz="4" w:space="0" w:color="auto"/>
            </w:tcBorders>
            <w:shd w:val="clear" w:color="auto" w:fill="auto"/>
            <w:noWrap/>
            <w:vAlign w:val="center"/>
            <w:hideMark/>
          </w:tcPr>
          <w:p w14:paraId="5AAEE339" w14:textId="77777777" w:rsidR="00713A56" w:rsidRPr="006A7BDF" w:rsidRDefault="00713A56">
            <w:pPr>
              <w:rPr>
                <w:sz w:val="20"/>
                <w:szCs w:val="20"/>
              </w:rPr>
            </w:pPr>
            <w:r w:rsidRPr="006A7BDF">
              <w:rPr>
                <w:sz w:val="20"/>
                <w:szCs w:val="20"/>
              </w:rPr>
              <w:t> </w:t>
            </w:r>
          </w:p>
        </w:tc>
        <w:tc>
          <w:tcPr>
            <w:tcW w:w="917" w:type="dxa"/>
            <w:tcBorders>
              <w:top w:val="nil"/>
              <w:left w:val="nil"/>
              <w:bottom w:val="single" w:sz="4" w:space="0" w:color="auto"/>
              <w:right w:val="single" w:sz="4" w:space="0" w:color="auto"/>
            </w:tcBorders>
            <w:shd w:val="clear" w:color="auto" w:fill="auto"/>
            <w:noWrap/>
            <w:vAlign w:val="center"/>
            <w:hideMark/>
          </w:tcPr>
          <w:p w14:paraId="024FE212" w14:textId="77777777" w:rsidR="00713A56" w:rsidRPr="006A7BDF" w:rsidRDefault="00713A56">
            <w:pPr>
              <w:rPr>
                <w:sz w:val="20"/>
                <w:szCs w:val="20"/>
              </w:rPr>
            </w:pPr>
            <w:r w:rsidRPr="006A7BDF">
              <w:rPr>
                <w:sz w:val="20"/>
                <w:szCs w:val="20"/>
              </w:rPr>
              <w:t> </w:t>
            </w:r>
          </w:p>
        </w:tc>
        <w:tc>
          <w:tcPr>
            <w:tcW w:w="1085" w:type="dxa"/>
            <w:tcBorders>
              <w:top w:val="nil"/>
              <w:left w:val="nil"/>
              <w:bottom w:val="single" w:sz="4" w:space="0" w:color="auto"/>
              <w:right w:val="single" w:sz="4" w:space="0" w:color="auto"/>
            </w:tcBorders>
            <w:shd w:val="clear" w:color="auto" w:fill="auto"/>
            <w:noWrap/>
            <w:vAlign w:val="center"/>
            <w:hideMark/>
          </w:tcPr>
          <w:p w14:paraId="4DA07048" w14:textId="77777777" w:rsidR="00713A56" w:rsidRPr="006A7BDF" w:rsidRDefault="00713A56">
            <w:pPr>
              <w:jc w:val="center"/>
              <w:rPr>
                <w:rFonts w:ascii="Calibri" w:hAnsi="Calibri" w:cs="Calibri"/>
                <w:b/>
                <w:bCs/>
                <w:color w:val="000000"/>
                <w:sz w:val="18"/>
                <w:szCs w:val="18"/>
              </w:rPr>
            </w:pPr>
            <w:r w:rsidRPr="006A7BDF">
              <w:rPr>
                <w:rFonts w:ascii="Calibri" w:hAnsi="Calibri" w:cs="Calibri"/>
                <w:b/>
                <w:bCs/>
                <w:color w:val="000000"/>
                <w:sz w:val="18"/>
                <w:szCs w:val="18"/>
              </w:rPr>
              <w:t>312</w:t>
            </w:r>
          </w:p>
        </w:tc>
        <w:tc>
          <w:tcPr>
            <w:tcW w:w="955" w:type="dxa"/>
            <w:tcBorders>
              <w:top w:val="nil"/>
              <w:left w:val="nil"/>
              <w:bottom w:val="single" w:sz="4" w:space="0" w:color="auto"/>
              <w:right w:val="single" w:sz="4" w:space="0" w:color="auto"/>
            </w:tcBorders>
            <w:shd w:val="clear" w:color="auto" w:fill="auto"/>
            <w:noWrap/>
            <w:vAlign w:val="center"/>
            <w:hideMark/>
          </w:tcPr>
          <w:p w14:paraId="1F00464A" w14:textId="45902E89" w:rsidR="00713A56" w:rsidRPr="006A7BDF" w:rsidRDefault="00713A56">
            <w:pPr>
              <w:jc w:val="center"/>
              <w:rPr>
                <w:rFonts w:ascii="Calibri" w:hAnsi="Calibri" w:cs="Calibri"/>
                <w:color w:val="000000"/>
                <w:sz w:val="18"/>
                <w:szCs w:val="18"/>
              </w:rPr>
            </w:pPr>
            <w:r w:rsidRPr="006A7BDF">
              <w:rPr>
                <w:rFonts w:ascii="Calibri" w:hAnsi="Calibri" w:cs="Calibri"/>
                <w:color w:val="000000"/>
                <w:sz w:val="18"/>
                <w:szCs w:val="18"/>
              </w:rPr>
              <w:t>3</w:t>
            </w:r>
            <w:r w:rsidR="0018027F">
              <w:rPr>
                <w:rFonts w:ascii="Calibri" w:hAnsi="Calibri" w:cs="Calibri"/>
                <w:color w:val="000000"/>
                <w:sz w:val="18"/>
                <w:szCs w:val="18"/>
              </w:rPr>
              <w:t>12</w:t>
            </w:r>
          </w:p>
        </w:tc>
      </w:tr>
      <w:tr w:rsidR="00713A56" w14:paraId="7AA4291E" w14:textId="77777777" w:rsidTr="009A0919">
        <w:trPr>
          <w:trHeight w:val="246"/>
        </w:trPr>
        <w:tc>
          <w:tcPr>
            <w:tcW w:w="3808" w:type="dxa"/>
            <w:tcBorders>
              <w:top w:val="nil"/>
              <w:left w:val="single" w:sz="4" w:space="0" w:color="auto"/>
              <w:bottom w:val="single" w:sz="4" w:space="0" w:color="auto"/>
              <w:right w:val="single" w:sz="4" w:space="0" w:color="auto"/>
            </w:tcBorders>
            <w:shd w:val="clear" w:color="auto" w:fill="auto"/>
            <w:noWrap/>
            <w:vAlign w:val="center"/>
            <w:hideMark/>
          </w:tcPr>
          <w:p w14:paraId="40778965" w14:textId="77777777" w:rsidR="00713A56" w:rsidRPr="006A7BDF" w:rsidRDefault="00713A56">
            <w:pPr>
              <w:rPr>
                <w:rFonts w:ascii="Calibri" w:hAnsi="Calibri" w:cs="Calibri"/>
                <w:color w:val="000000"/>
                <w:sz w:val="18"/>
                <w:szCs w:val="18"/>
              </w:rPr>
            </w:pPr>
            <w:r w:rsidRPr="006A7BDF">
              <w:rPr>
                <w:rFonts w:ascii="Calibri" w:hAnsi="Calibri" w:cs="Calibri"/>
                <w:color w:val="000000"/>
                <w:sz w:val="18"/>
                <w:szCs w:val="18"/>
              </w:rPr>
              <w:t>Newly recruited Trainees (D)</w:t>
            </w:r>
          </w:p>
        </w:tc>
        <w:tc>
          <w:tcPr>
            <w:tcW w:w="1479" w:type="dxa"/>
            <w:tcBorders>
              <w:top w:val="nil"/>
              <w:left w:val="nil"/>
              <w:bottom w:val="single" w:sz="4" w:space="0" w:color="auto"/>
              <w:right w:val="single" w:sz="4" w:space="0" w:color="auto"/>
            </w:tcBorders>
            <w:shd w:val="clear" w:color="auto" w:fill="auto"/>
            <w:noWrap/>
            <w:vAlign w:val="center"/>
            <w:hideMark/>
          </w:tcPr>
          <w:p w14:paraId="44DEBEE8" w14:textId="77777777" w:rsidR="00713A56" w:rsidRPr="006A7BDF" w:rsidRDefault="00713A56">
            <w:pPr>
              <w:jc w:val="center"/>
              <w:rPr>
                <w:rFonts w:ascii="Calibri" w:hAnsi="Calibri" w:cs="Calibri"/>
                <w:color w:val="000000"/>
                <w:sz w:val="18"/>
                <w:szCs w:val="18"/>
              </w:rPr>
            </w:pPr>
            <w:r w:rsidRPr="006A7BDF">
              <w:rPr>
                <w:rFonts w:ascii="Calibri" w:hAnsi="Calibri" w:cs="Calibri"/>
                <w:color w:val="000000"/>
                <w:sz w:val="18"/>
                <w:szCs w:val="18"/>
              </w:rPr>
              <w:t>108</w:t>
            </w:r>
          </w:p>
        </w:tc>
        <w:tc>
          <w:tcPr>
            <w:tcW w:w="990" w:type="dxa"/>
            <w:tcBorders>
              <w:top w:val="nil"/>
              <w:left w:val="nil"/>
              <w:bottom w:val="single" w:sz="4" w:space="0" w:color="auto"/>
              <w:right w:val="single" w:sz="4" w:space="0" w:color="auto"/>
            </w:tcBorders>
            <w:shd w:val="clear" w:color="auto" w:fill="auto"/>
            <w:noWrap/>
            <w:vAlign w:val="center"/>
            <w:hideMark/>
          </w:tcPr>
          <w:p w14:paraId="304EB49B" w14:textId="77777777" w:rsidR="00713A56" w:rsidRPr="006A7BDF" w:rsidRDefault="00713A56">
            <w:pPr>
              <w:jc w:val="center"/>
              <w:rPr>
                <w:rFonts w:ascii="Calibri" w:hAnsi="Calibri" w:cs="Calibri"/>
                <w:color w:val="000000"/>
                <w:sz w:val="18"/>
                <w:szCs w:val="18"/>
              </w:rPr>
            </w:pPr>
            <w:r w:rsidRPr="006A7BDF">
              <w:rPr>
                <w:rFonts w:ascii="Calibri" w:hAnsi="Calibri" w:cs="Calibri"/>
                <w:color w:val="000000"/>
                <w:sz w:val="18"/>
                <w:szCs w:val="18"/>
              </w:rPr>
              <w:t>54</w:t>
            </w:r>
          </w:p>
        </w:tc>
        <w:tc>
          <w:tcPr>
            <w:tcW w:w="1047" w:type="dxa"/>
            <w:tcBorders>
              <w:top w:val="nil"/>
              <w:left w:val="nil"/>
              <w:bottom w:val="single" w:sz="4" w:space="0" w:color="auto"/>
              <w:right w:val="single" w:sz="4" w:space="0" w:color="auto"/>
            </w:tcBorders>
            <w:shd w:val="clear" w:color="auto" w:fill="auto"/>
            <w:noWrap/>
            <w:vAlign w:val="center"/>
            <w:hideMark/>
          </w:tcPr>
          <w:p w14:paraId="56736E7B" w14:textId="77777777" w:rsidR="00713A56" w:rsidRPr="006A7BDF" w:rsidRDefault="00713A56">
            <w:pPr>
              <w:rPr>
                <w:sz w:val="20"/>
                <w:szCs w:val="20"/>
              </w:rPr>
            </w:pPr>
            <w:r w:rsidRPr="006A7BDF">
              <w:rPr>
                <w:sz w:val="20"/>
                <w:szCs w:val="20"/>
              </w:rPr>
              <w:t> </w:t>
            </w:r>
          </w:p>
        </w:tc>
        <w:tc>
          <w:tcPr>
            <w:tcW w:w="917" w:type="dxa"/>
            <w:tcBorders>
              <w:top w:val="nil"/>
              <w:left w:val="nil"/>
              <w:bottom w:val="single" w:sz="4" w:space="0" w:color="auto"/>
              <w:right w:val="single" w:sz="4" w:space="0" w:color="auto"/>
            </w:tcBorders>
            <w:shd w:val="clear" w:color="auto" w:fill="auto"/>
            <w:noWrap/>
            <w:vAlign w:val="center"/>
            <w:hideMark/>
          </w:tcPr>
          <w:p w14:paraId="25624C29" w14:textId="77777777" w:rsidR="00713A56" w:rsidRPr="006A7BDF" w:rsidRDefault="00713A56">
            <w:pPr>
              <w:rPr>
                <w:sz w:val="20"/>
                <w:szCs w:val="20"/>
              </w:rPr>
            </w:pPr>
            <w:r w:rsidRPr="006A7BDF">
              <w:rPr>
                <w:sz w:val="20"/>
                <w:szCs w:val="20"/>
              </w:rPr>
              <w:t> </w:t>
            </w:r>
          </w:p>
        </w:tc>
        <w:tc>
          <w:tcPr>
            <w:tcW w:w="1085" w:type="dxa"/>
            <w:tcBorders>
              <w:top w:val="nil"/>
              <w:left w:val="nil"/>
              <w:bottom w:val="single" w:sz="4" w:space="0" w:color="auto"/>
              <w:right w:val="single" w:sz="4" w:space="0" w:color="auto"/>
            </w:tcBorders>
            <w:shd w:val="clear" w:color="auto" w:fill="auto"/>
            <w:noWrap/>
            <w:vAlign w:val="center"/>
            <w:hideMark/>
          </w:tcPr>
          <w:p w14:paraId="471094D0" w14:textId="77777777" w:rsidR="00713A56" w:rsidRPr="006A7BDF" w:rsidRDefault="00713A56">
            <w:pPr>
              <w:jc w:val="center"/>
              <w:rPr>
                <w:rFonts w:ascii="Calibri" w:hAnsi="Calibri" w:cs="Calibri"/>
                <w:b/>
                <w:bCs/>
                <w:color w:val="000000"/>
                <w:sz w:val="18"/>
                <w:szCs w:val="18"/>
              </w:rPr>
            </w:pPr>
            <w:r w:rsidRPr="006A7BDF">
              <w:rPr>
                <w:rFonts w:ascii="Calibri" w:hAnsi="Calibri" w:cs="Calibri"/>
                <w:b/>
                <w:bCs/>
                <w:color w:val="000000"/>
                <w:sz w:val="18"/>
                <w:szCs w:val="18"/>
              </w:rPr>
              <w:t>162</w:t>
            </w:r>
          </w:p>
        </w:tc>
        <w:tc>
          <w:tcPr>
            <w:tcW w:w="955" w:type="dxa"/>
            <w:tcBorders>
              <w:top w:val="nil"/>
              <w:left w:val="nil"/>
              <w:bottom w:val="single" w:sz="4" w:space="0" w:color="auto"/>
              <w:right w:val="single" w:sz="4" w:space="0" w:color="auto"/>
            </w:tcBorders>
            <w:shd w:val="clear" w:color="auto" w:fill="auto"/>
            <w:noWrap/>
            <w:vAlign w:val="center"/>
            <w:hideMark/>
          </w:tcPr>
          <w:p w14:paraId="6229DA2F" w14:textId="77777777" w:rsidR="00713A56" w:rsidRPr="006A7BDF" w:rsidRDefault="00713A56">
            <w:pPr>
              <w:jc w:val="center"/>
              <w:rPr>
                <w:rFonts w:ascii="Calibri" w:hAnsi="Calibri" w:cs="Calibri"/>
                <w:color w:val="000000"/>
                <w:sz w:val="18"/>
                <w:szCs w:val="18"/>
              </w:rPr>
            </w:pPr>
            <w:r w:rsidRPr="006A7BDF">
              <w:rPr>
                <w:rFonts w:ascii="Calibri" w:hAnsi="Calibri" w:cs="Calibri"/>
                <w:color w:val="000000"/>
                <w:sz w:val="18"/>
                <w:szCs w:val="18"/>
              </w:rPr>
              <w:t>162</w:t>
            </w:r>
          </w:p>
        </w:tc>
      </w:tr>
      <w:tr w:rsidR="00713A56" w14:paraId="6B2F7E9D" w14:textId="77777777" w:rsidTr="009A0919">
        <w:trPr>
          <w:trHeight w:val="246"/>
        </w:trPr>
        <w:tc>
          <w:tcPr>
            <w:tcW w:w="3808" w:type="dxa"/>
            <w:tcBorders>
              <w:top w:val="nil"/>
              <w:left w:val="single" w:sz="4" w:space="0" w:color="auto"/>
              <w:bottom w:val="single" w:sz="4" w:space="0" w:color="auto"/>
              <w:right w:val="single" w:sz="4" w:space="0" w:color="auto"/>
            </w:tcBorders>
            <w:shd w:val="clear" w:color="auto" w:fill="auto"/>
            <w:noWrap/>
            <w:vAlign w:val="center"/>
            <w:hideMark/>
          </w:tcPr>
          <w:p w14:paraId="06CA6142" w14:textId="77777777" w:rsidR="00713A56" w:rsidRPr="006A7BDF" w:rsidRDefault="00713A56">
            <w:pPr>
              <w:rPr>
                <w:rFonts w:ascii="Calibri" w:hAnsi="Calibri" w:cs="Calibri"/>
                <w:color w:val="000000"/>
                <w:sz w:val="18"/>
                <w:szCs w:val="18"/>
              </w:rPr>
            </w:pPr>
            <w:r w:rsidRPr="006A7BDF">
              <w:rPr>
                <w:rFonts w:ascii="Calibri" w:hAnsi="Calibri" w:cs="Calibri"/>
                <w:color w:val="000000"/>
                <w:sz w:val="18"/>
                <w:szCs w:val="18"/>
              </w:rPr>
              <w:t xml:space="preserve">New employees resigned during FY2021-22 </w:t>
            </w:r>
            <w:proofErr w:type="gramStart"/>
            <w:r w:rsidRPr="006A7BDF">
              <w:rPr>
                <w:rFonts w:ascii="Calibri" w:hAnsi="Calibri" w:cs="Calibri"/>
                <w:color w:val="000000"/>
                <w:sz w:val="18"/>
                <w:szCs w:val="18"/>
              </w:rPr>
              <w:t>( E</w:t>
            </w:r>
            <w:proofErr w:type="gramEnd"/>
            <w:r w:rsidRPr="006A7BDF">
              <w:rPr>
                <w:rFonts w:ascii="Calibri" w:hAnsi="Calibri" w:cs="Calibri"/>
                <w:color w:val="000000"/>
                <w:sz w:val="18"/>
                <w:szCs w:val="18"/>
              </w:rPr>
              <w:t xml:space="preserve"> )</w:t>
            </w:r>
          </w:p>
        </w:tc>
        <w:tc>
          <w:tcPr>
            <w:tcW w:w="1479" w:type="dxa"/>
            <w:tcBorders>
              <w:top w:val="nil"/>
              <w:left w:val="nil"/>
              <w:bottom w:val="single" w:sz="4" w:space="0" w:color="auto"/>
              <w:right w:val="single" w:sz="4" w:space="0" w:color="auto"/>
            </w:tcBorders>
            <w:shd w:val="clear" w:color="auto" w:fill="auto"/>
            <w:noWrap/>
            <w:vAlign w:val="center"/>
            <w:hideMark/>
          </w:tcPr>
          <w:p w14:paraId="1D01D01C" w14:textId="77777777" w:rsidR="00713A56" w:rsidRPr="006A7BDF" w:rsidRDefault="00713A56">
            <w:pPr>
              <w:jc w:val="center"/>
              <w:rPr>
                <w:rFonts w:ascii="Calibri" w:hAnsi="Calibri" w:cs="Calibri"/>
                <w:color w:val="000000"/>
                <w:sz w:val="18"/>
                <w:szCs w:val="18"/>
              </w:rPr>
            </w:pPr>
            <w:r w:rsidRPr="006A7BDF">
              <w:rPr>
                <w:rFonts w:ascii="Calibri" w:hAnsi="Calibri" w:cs="Calibri"/>
                <w:color w:val="000000"/>
                <w:sz w:val="18"/>
                <w:szCs w:val="18"/>
              </w:rPr>
              <w:t>7</w:t>
            </w:r>
          </w:p>
        </w:tc>
        <w:tc>
          <w:tcPr>
            <w:tcW w:w="990" w:type="dxa"/>
            <w:tcBorders>
              <w:top w:val="nil"/>
              <w:left w:val="nil"/>
              <w:bottom w:val="single" w:sz="4" w:space="0" w:color="auto"/>
              <w:right w:val="single" w:sz="4" w:space="0" w:color="auto"/>
            </w:tcBorders>
            <w:shd w:val="clear" w:color="auto" w:fill="auto"/>
            <w:noWrap/>
            <w:vAlign w:val="center"/>
            <w:hideMark/>
          </w:tcPr>
          <w:p w14:paraId="69997F50" w14:textId="77777777" w:rsidR="00713A56" w:rsidRPr="006A7BDF" w:rsidRDefault="00713A56">
            <w:pPr>
              <w:rPr>
                <w:sz w:val="20"/>
                <w:szCs w:val="20"/>
              </w:rPr>
            </w:pPr>
            <w:r w:rsidRPr="006A7BDF">
              <w:rPr>
                <w:sz w:val="20"/>
                <w:szCs w:val="20"/>
              </w:rPr>
              <w:t> </w:t>
            </w:r>
          </w:p>
        </w:tc>
        <w:tc>
          <w:tcPr>
            <w:tcW w:w="1047" w:type="dxa"/>
            <w:tcBorders>
              <w:top w:val="nil"/>
              <w:left w:val="nil"/>
              <w:bottom w:val="single" w:sz="4" w:space="0" w:color="auto"/>
              <w:right w:val="single" w:sz="4" w:space="0" w:color="auto"/>
            </w:tcBorders>
            <w:shd w:val="clear" w:color="auto" w:fill="auto"/>
            <w:noWrap/>
            <w:vAlign w:val="center"/>
            <w:hideMark/>
          </w:tcPr>
          <w:p w14:paraId="40B6024B" w14:textId="77777777" w:rsidR="00713A56" w:rsidRPr="006A7BDF" w:rsidRDefault="00713A56">
            <w:pPr>
              <w:rPr>
                <w:sz w:val="20"/>
                <w:szCs w:val="20"/>
              </w:rPr>
            </w:pPr>
            <w:r w:rsidRPr="006A7BDF">
              <w:rPr>
                <w:sz w:val="20"/>
                <w:szCs w:val="20"/>
              </w:rPr>
              <w:t> </w:t>
            </w:r>
          </w:p>
        </w:tc>
        <w:tc>
          <w:tcPr>
            <w:tcW w:w="917" w:type="dxa"/>
            <w:tcBorders>
              <w:top w:val="nil"/>
              <w:left w:val="nil"/>
              <w:bottom w:val="single" w:sz="4" w:space="0" w:color="auto"/>
              <w:right w:val="single" w:sz="4" w:space="0" w:color="auto"/>
            </w:tcBorders>
            <w:shd w:val="clear" w:color="auto" w:fill="auto"/>
            <w:noWrap/>
            <w:vAlign w:val="center"/>
            <w:hideMark/>
          </w:tcPr>
          <w:p w14:paraId="2182D61C" w14:textId="77777777" w:rsidR="00713A56" w:rsidRPr="006A7BDF" w:rsidRDefault="00713A56">
            <w:pPr>
              <w:rPr>
                <w:sz w:val="20"/>
                <w:szCs w:val="20"/>
              </w:rPr>
            </w:pPr>
            <w:r w:rsidRPr="006A7BDF">
              <w:rPr>
                <w:sz w:val="20"/>
                <w:szCs w:val="20"/>
              </w:rPr>
              <w:t> </w:t>
            </w:r>
          </w:p>
        </w:tc>
        <w:tc>
          <w:tcPr>
            <w:tcW w:w="1085" w:type="dxa"/>
            <w:tcBorders>
              <w:top w:val="nil"/>
              <w:left w:val="nil"/>
              <w:bottom w:val="single" w:sz="4" w:space="0" w:color="auto"/>
              <w:right w:val="single" w:sz="4" w:space="0" w:color="auto"/>
            </w:tcBorders>
            <w:shd w:val="clear" w:color="auto" w:fill="auto"/>
            <w:noWrap/>
            <w:vAlign w:val="center"/>
            <w:hideMark/>
          </w:tcPr>
          <w:p w14:paraId="335CA200" w14:textId="77777777" w:rsidR="00713A56" w:rsidRPr="006A7BDF" w:rsidRDefault="00713A56">
            <w:pPr>
              <w:jc w:val="center"/>
              <w:rPr>
                <w:rFonts w:ascii="Calibri" w:hAnsi="Calibri" w:cs="Calibri"/>
                <w:b/>
                <w:bCs/>
                <w:color w:val="000000"/>
                <w:sz w:val="18"/>
                <w:szCs w:val="18"/>
              </w:rPr>
            </w:pPr>
            <w:r w:rsidRPr="006A7BDF">
              <w:rPr>
                <w:rFonts w:ascii="Calibri" w:hAnsi="Calibri" w:cs="Calibri"/>
                <w:b/>
                <w:bCs/>
                <w:color w:val="000000"/>
                <w:sz w:val="18"/>
                <w:szCs w:val="18"/>
              </w:rPr>
              <w:t>7</w:t>
            </w:r>
          </w:p>
        </w:tc>
        <w:tc>
          <w:tcPr>
            <w:tcW w:w="955" w:type="dxa"/>
            <w:tcBorders>
              <w:top w:val="nil"/>
              <w:left w:val="nil"/>
              <w:bottom w:val="single" w:sz="4" w:space="0" w:color="auto"/>
              <w:right w:val="single" w:sz="4" w:space="0" w:color="auto"/>
            </w:tcBorders>
            <w:shd w:val="clear" w:color="auto" w:fill="auto"/>
            <w:noWrap/>
            <w:vAlign w:val="center"/>
            <w:hideMark/>
          </w:tcPr>
          <w:p w14:paraId="03BFABD3" w14:textId="77777777" w:rsidR="00713A56" w:rsidRPr="006A7BDF" w:rsidRDefault="00713A56">
            <w:pPr>
              <w:rPr>
                <w:sz w:val="20"/>
                <w:szCs w:val="20"/>
              </w:rPr>
            </w:pPr>
            <w:r w:rsidRPr="006A7BDF">
              <w:rPr>
                <w:sz w:val="20"/>
                <w:szCs w:val="20"/>
              </w:rPr>
              <w:t> </w:t>
            </w:r>
          </w:p>
        </w:tc>
      </w:tr>
      <w:tr w:rsidR="00713A56" w14:paraId="4948D619" w14:textId="77777777" w:rsidTr="009A0919">
        <w:trPr>
          <w:trHeight w:val="246"/>
        </w:trPr>
        <w:tc>
          <w:tcPr>
            <w:tcW w:w="3808" w:type="dxa"/>
            <w:tcBorders>
              <w:top w:val="nil"/>
              <w:left w:val="single" w:sz="4" w:space="0" w:color="auto"/>
              <w:bottom w:val="single" w:sz="4" w:space="0" w:color="auto"/>
              <w:right w:val="single" w:sz="4" w:space="0" w:color="auto"/>
            </w:tcBorders>
            <w:shd w:val="clear" w:color="auto" w:fill="auto"/>
            <w:noWrap/>
            <w:vAlign w:val="center"/>
            <w:hideMark/>
          </w:tcPr>
          <w:p w14:paraId="18193962" w14:textId="77777777" w:rsidR="00713A56" w:rsidRDefault="00713A56">
            <w:pPr>
              <w:rPr>
                <w:rFonts w:ascii="Calibri" w:hAnsi="Calibri" w:cs="Calibri"/>
                <w:color w:val="000000"/>
                <w:sz w:val="18"/>
                <w:szCs w:val="18"/>
              </w:rPr>
            </w:pPr>
            <w:r>
              <w:rPr>
                <w:rFonts w:ascii="Calibri" w:hAnsi="Calibri" w:cs="Calibri"/>
                <w:color w:val="000000"/>
                <w:sz w:val="18"/>
                <w:szCs w:val="18"/>
              </w:rPr>
              <w:t>Retired during FY2021-22 (F)</w:t>
            </w:r>
          </w:p>
        </w:tc>
        <w:tc>
          <w:tcPr>
            <w:tcW w:w="1479" w:type="dxa"/>
            <w:tcBorders>
              <w:top w:val="nil"/>
              <w:left w:val="nil"/>
              <w:bottom w:val="single" w:sz="4" w:space="0" w:color="auto"/>
              <w:right w:val="single" w:sz="4" w:space="0" w:color="auto"/>
            </w:tcBorders>
            <w:shd w:val="clear" w:color="auto" w:fill="auto"/>
            <w:noWrap/>
            <w:vAlign w:val="center"/>
            <w:hideMark/>
          </w:tcPr>
          <w:p w14:paraId="1ABB3141" w14:textId="77777777" w:rsidR="00713A56" w:rsidRDefault="00713A56">
            <w:pPr>
              <w:jc w:val="center"/>
              <w:rPr>
                <w:rFonts w:ascii="Calibri" w:hAnsi="Calibri" w:cs="Calibri"/>
                <w:color w:val="000000"/>
                <w:sz w:val="18"/>
                <w:szCs w:val="18"/>
              </w:rPr>
            </w:pPr>
            <w:r>
              <w:rPr>
                <w:rFonts w:ascii="Calibri" w:hAnsi="Calibri" w:cs="Calibri"/>
                <w:color w:val="000000"/>
                <w:sz w:val="18"/>
                <w:szCs w:val="18"/>
              </w:rPr>
              <w:t>3</w:t>
            </w:r>
          </w:p>
        </w:tc>
        <w:tc>
          <w:tcPr>
            <w:tcW w:w="990" w:type="dxa"/>
            <w:tcBorders>
              <w:top w:val="nil"/>
              <w:left w:val="nil"/>
              <w:bottom w:val="single" w:sz="4" w:space="0" w:color="auto"/>
              <w:right w:val="single" w:sz="4" w:space="0" w:color="auto"/>
            </w:tcBorders>
            <w:shd w:val="clear" w:color="auto" w:fill="auto"/>
            <w:noWrap/>
            <w:vAlign w:val="center"/>
            <w:hideMark/>
          </w:tcPr>
          <w:p w14:paraId="1A5D5D7D" w14:textId="77777777" w:rsidR="00713A56" w:rsidRDefault="00713A56">
            <w:pPr>
              <w:jc w:val="center"/>
              <w:rPr>
                <w:rFonts w:ascii="Calibri" w:hAnsi="Calibri" w:cs="Calibri"/>
                <w:color w:val="000000"/>
                <w:sz w:val="18"/>
                <w:szCs w:val="18"/>
              </w:rPr>
            </w:pPr>
            <w:r>
              <w:rPr>
                <w:rFonts w:ascii="Calibri" w:hAnsi="Calibri" w:cs="Calibri"/>
                <w:color w:val="000000"/>
                <w:sz w:val="18"/>
                <w:szCs w:val="18"/>
              </w:rPr>
              <w:t>12</w:t>
            </w:r>
          </w:p>
        </w:tc>
        <w:tc>
          <w:tcPr>
            <w:tcW w:w="1047" w:type="dxa"/>
            <w:tcBorders>
              <w:top w:val="nil"/>
              <w:left w:val="nil"/>
              <w:bottom w:val="single" w:sz="4" w:space="0" w:color="auto"/>
              <w:right w:val="single" w:sz="4" w:space="0" w:color="auto"/>
            </w:tcBorders>
            <w:shd w:val="clear" w:color="auto" w:fill="auto"/>
            <w:noWrap/>
            <w:vAlign w:val="center"/>
            <w:hideMark/>
          </w:tcPr>
          <w:p w14:paraId="0AD833D8" w14:textId="77777777" w:rsidR="00713A56" w:rsidRDefault="00713A56">
            <w:pPr>
              <w:jc w:val="center"/>
              <w:rPr>
                <w:rFonts w:ascii="Calibri" w:hAnsi="Calibri" w:cs="Calibri"/>
                <w:color w:val="000000"/>
                <w:sz w:val="18"/>
                <w:szCs w:val="18"/>
              </w:rPr>
            </w:pPr>
            <w:r>
              <w:rPr>
                <w:rFonts w:ascii="Calibri" w:hAnsi="Calibri" w:cs="Calibri"/>
                <w:color w:val="000000"/>
                <w:sz w:val="18"/>
                <w:szCs w:val="18"/>
              </w:rPr>
              <w:t>12</w:t>
            </w:r>
          </w:p>
        </w:tc>
        <w:tc>
          <w:tcPr>
            <w:tcW w:w="917" w:type="dxa"/>
            <w:tcBorders>
              <w:top w:val="nil"/>
              <w:left w:val="nil"/>
              <w:bottom w:val="single" w:sz="4" w:space="0" w:color="auto"/>
              <w:right w:val="single" w:sz="4" w:space="0" w:color="auto"/>
            </w:tcBorders>
            <w:shd w:val="clear" w:color="auto" w:fill="auto"/>
            <w:noWrap/>
            <w:vAlign w:val="center"/>
            <w:hideMark/>
          </w:tcPr>
          <w:p w14:paraId="2349981F" w14:textId="77777777" w:rsidR="00713A56" w:rsidRDefault="00713A56">
            <w:pPr>
              <w:jc w:val="center"/>
              <w:rPr>
                <w:rFonts w:ascii="Calibri" w:hAnsi="Calibri" w:cs="Calibri"/>
                <w:color w:val="000000"/>
                <w:sz w:val="18"/>
                <w:szCs w:val="18"/>
              </w:rPr>
            </w:pPr>
            <w:r>
              <w:rPr>
                <w:rFonts w:ascii="Calibri" w:hAnsi="Calibri" w:cs="Calibri"/>
                <w:color w:val="000000"/>
                <w:sz w:val="18"/>
                <w:szCs w:val="18"/>
              </w:rPr>
              <w:t>73</w:t>
            </w:r>
          </w:p>
        </w:tc>
        <w:tc>
          <w:tcPr>
            <w:tcW w:w="1085" w:type="dxa"/>
            <w:tcBorders>
              <w:top w:val="nil"/>
              <w:left w:val="nil"/>
              <w:bottom w:val="single" w:sz="4" w:space="0" w:color="auto"/>
              <w:right w:val="single" w:sz="4" w:space="0" w:color="auto"/>
            </w:tcBorders>
            <w:shd w:val="clear" w:color="auto" w:fill="auto"/>
            <w:noWrap/>
            <w:vAlign w:val="center"/>
            <w:hideMark/>
          </w:tcPr>
          <w:p w14:paraId="595DAF02" w14:textId="77777777" w:rsidR="00713A56" w:rsidRDefault="00713A56">
            <w:pPr>
              <w:jc w:val="center"/>
              <w:rPr>
                <w:rFonts w:ascii="Calibri" w:hAnsi="Calibri" w:cs="Calibri"/>
                <w:b/>
                <w:bCs/>
                <w:color w:val="000000"/>
                <w:sz w:val="18"/>
                <w:szCs w:val="18"/>
              </w:rPr>
            </w:pPr>
            <w:r>
              <w:rPr>
                <w:rFonts w:ascii="Calibri" w:hAnsi="Calibri" w:cs="Calibri"/>
                <w:b/>
                <w:bCs/>
                <w:color w:val="000000"/>
                <w:sz w:val="18"/>
                <w:szCs w:val="18"/>
              </w:rPr>
              <w:t>100</w:t>
            </w:r>
          </w:p>
        </w:tc>
        <w:tc>
          <w:tcPr>
            <w:tcW w:w="955" w:type="dxa"/>
            <w:tcBorders>
              <w:top w:val="nil"/>
              <w:left w:val="nil"/>
              <w:bottom w:val="single" w:sz="4" w:space="0" w:color="auto"/>
              <w:right w:val="single" w:sz="4" w:space="0" w:color="auto"/>
            </w:tcBorders>
            <w:shd w:val="clear" w:color="auto" w:fill="auto"/>
            <w:noWrap/>
            <w:vAlign w:val="center"/>
            <w:hideMark/>
          </w:tcPr>
          <w:p w14:paraId="7A0FC015" w14:textId="77777777" w:rsidR="00713A56" w:rsidRDefault="00713A56">
            <w:pPr>
              <w:rPr>
                <w:sz w:val="20"/>
                <w:szCs w:val="20"/>
              </w:rPr>
            </w:pPr>
            <w:r>
              <w:rPr>
                <w:sz w:val="20"/>
                <w:szCs w:val="20"/>
              </w:rPr>
              <w:t> </w:t>
            </w:r>
          </w:p>
        </w:tc>
      </w:tr>
      <w:tr w:rsidR="00713A56" w14:paraId="75FD9CA6" w14:textId="77777777" w:rsidTr="009A0919">
        <w:trPr>
          <w:trHeight w:val="246"/>
        </w:trPr>
        <w:tc>
          <w:tcPr>
            <w:tcW w:w="3808" w:type="dxa"/>
            <w:tcBorders>
              <w:top w:val="nil"/>
              <w:left w:val="single" w:sz="4" w:space="0" w:color="auto"/>
              <w:bottom w:val="single" w:sz="4" w:space="0" w:color="auto"/>
              <w:right w:val="single" w:sz="4" w:space="0" w:color="auto"/>
            </w:tcBorders>
            <w:shd w:val="clear" w:color="000000" w:fill="C6D9F1"/>
            <w:noWrap/>
            <w:vAlign w:val="center"/>
            <w:hideMark/>
          </w:tcPr>
          <w:p w14:paraId="0A4A494A" w14:textId="77777777" w:rsidR="00713A56" w:rsidRDefault="00713A56">
            <w:pPr>
              <w:rPr>
                <w:rFonts w:ascii="Calibri" w:hAnsi="Calibri" w:cs="Calibri"/>
                <w:b/>
                <w:bCs/>
                <w:color w:val="000000"/>
                <w:sz w:val="18"/>
                <w:szCs w:val="18"/>
              </w:rPr>
            </w:pPr>
            <w:r>
              <w:rPr>
                <w:rFonts w:ascii="Calibri" w:hAnsi="Calibri" w:cs="Calibri"/>
                <w:b/>
                <w:bCs/>
                <w:color w:val="000000"/>
                <w:sz w:val="18"/>
                <w:szCs w:val="18"/>
              </w:rPr>
              <w:t>Total As on 01-04-</w:t>
            </w:r>
            <w:proofErr w:type="gramStart"/>
            <w:r>
              <w:rPr>
                <w:rFonts w:ascii="Calibri" w:hAnsi="Calibri" w:cs="Calibri"/>
                <w:b/>
                <w:bCs/>
                <w:color w:val="000000"/>
                <w:sz w:val="18"/>
                <w:szCs w:val="18"/>
              </w:rPr>
              <w:t>2022( G</w:t>
            </w:r>
            <w:proofErr w:type="gramEnd"/>
            <w:r>
              <w:rPr>
                <w:rFonts w:ascii="Calibri" w:hAnsi="Calibri" w:cs="Calibri"/>
                <w:b/>
                <w:bCs/>
                <w:color w:val="000000"/>
                <w:sz w:val="18"/>
                <w:szCs w:val="18"/>
              </w:rPr>
              <w:t>= (A+B+C+D-E-F))</w:t>
            </w:r>
          </w:p>
        </w:tc>
        <w:tc>
          <w:tcPr>
            <w:tcW w:w="1479" w:type="dxa"/>
            <w:tcBorders>
              <w:top w:val="nil"/>
              <w:left w:val="nil"/>
              <w:bottom w:val="single" w:sz="4" w:space="0" w:color="auto"/>
              <w:right w:val="single" w:sz="4" w:space="0" w:color="auto"/>
            </w:tcBorders>
            <w:shd w:val="clear" w:color="000000" w:fill="C6D9F1"/>
            <w:noWrap/>
            <w:vAlign w:val="center"/>
            <w:hideMark/>
          </w:tcPr>
          <w:p w14:paraId="5EEA44F1" w14:textId="77777777" w:rsidR="00713A56" w:rsidRDefault="00713A56">
            <w:pPr>
              <w:jc w:val="center"/>
              <w:rPr>
                <w:rFonts w:ascii="Calibri" w:hAnsi="Calibri" w:cs="Calibri"/>
                <w:b/>
                <w:bCs/>
                <w:color w:val="000000"/>
                <w:sz w:val="18"/>
                <w:szCs w:val="18"/>
              </w:rPr>
            </w:pPr>
            <w:r>
              <w:rPr>
                <w:rFonts w:ascii="Calibri" w:hAnsi="Calibri" w:cs="Calibri"/>
                <w:b/>
                <w:bCs/>
                <w:color w:val="000000"/>
                <w:sz w:val="18"/>
                <w:szCs w:val="18"/>
              </w:rPr>
              <w:t>656</w:t>
            </w:r>
          </w:p>
        </w:tc>
        <w:tc>
          <w:tcPr>
            <w:tcW w:w="990" w:type="dxa"/>
            <w:tcBorders>
              <w:top w:val="nil"/>
              <w:left w:val="nil"/>
              <w:bottom w:val="single" w:sz="4" w:space="0" w:color="auto"/>
              <w:right w:val="single" w:sz="4" w:space="0" w:color="auto"/>
            </w:tcBorders>
            <w:shd w:val="clear" w:color="000000" w:fill="C6D9F1"/>
            <w:noWrap/>
            <w:vAlign w:val="center"/>
            <w:hideMark/>
          </w:tcPr>
          <w:p w14:paraId="5C63C012" w14:textId="77777777" w:rsidR="00713A56" w:rsidRDefault="00713A56">
            <w:pPr>
              <w:jc w:val="center"/>
              <w:rPr>
                <w:rFonts w:ascii="Calibri" w:hAnsi="Calibri" w:cs="Calibri"/>
                <w:b/>
                <w:bCs/>
                <w:color w:val="000000"/>
                <w:sz w:val="18"/>
                <w:szCs w:val="18"/>
              </w:rPr>
            </w:pPr>
            <w:r>
              <w:rPr>
                <w:rFonts w:ascii="Calibri" w:hAnsi="Calibri" w:cs="Calibri"/>
                <w:b/>
                <w:bCs/>
                <w:color w:val="000000"/>
                <w:sz w:val="18"/>
                <w:szCs w:val="18"/>
              </w:rPr>
              <w:t>253</w:t>
            </w:r>
          </w:p>
        </w:tc>
        <w:tc>
          <w:tcPr>
            <w:tcW w:w="1047" w:type="dxa"/>
            <w:tcBorders>
              <w:top w:val="nil"/>
              <w:left w:val="nil"/>
              <w:bottom w:val="single" w:sz="4" w:space="0" w:color="auto"/>
              <w:right w:val="single" w:sz="4" w:space="0" w:color="auto"/>
            </w:tcBorders>
            <w:shd w:val="clear" w:color="000000" w:fill="C6D9F1"/>
            <w:noWrap/>
            <w:vAlign w:val="center"/>
            <w:hideMark/>
          </w:tcPr>
          <w:p w14:paraId="79CC494E" w14:textId="77777777" w:rsidR="00713A56" w:rsidRDefault="00713A56">
            <w:pPr>
              <w:jc w:val="center"/>
              <w:rPr>
                <w:rFonts w:ascii="Calibri" w:hAnsi="Calibri" w:cs="Calibri"/>
                <w:b/>
                <w:bCs/>
                <w:color w:val="000000"/>
                <w:sz w:val="18"/>
                <w:szCs w:val="18"/>
              </w:rPr>
            </w:pPr>
            <w:r>
              <w:rPr>
                <w:rFonts w:ascii="Calibri" w:hAnsi="Calibri" w:cs="Calibri"/>
                <w:b/>
                <w:bCs/>
                <w:color w:val="000000"/>
                <w:sz w:val="18"/>
                <w:szCs w:val="18"/>
              </w:rPr>
              <w:t>1432</w:t>
            </w:r>
          </w:p>
        </w:tc>
        <w:tc>
          <w:tcPr>
            <w:tcW w:w="917" w:type="dxa"/>
            <w:tcBorders>
              <w:top w:val="nil"/>
              <w:left w:val="nil"/>
              <w:bottom w:val="single" w:sz="4" w:space="0" w:color="auto"/>
              <w:right w:val="single" w:sz="4" w:space="0" w:color="auto"/>
            </w:tcBorders>
            <w:shd w:val="clear" w:color="000000" w:fill="C6D9F1"/>
            <w:noWrap/>
            <w:vAlign w:val="center"/>
            <w:hideMark/>
          </w:tcPr>
          <w:p w14:paraId="2D251C37" w14:textId="77777777" w:rsidR="00713A56" w:rsidRDefault="00713A56">
            <w:pPr>
              <w:jc w:val="center"/>
              <w:rPr>
                <w:rFonts w:ascii="Calibri" w:hAnsi="Calibri" w:cs="Calibri"/>
                <w:b/>
                <w:bCs/>
                <w:color w:val="000000"/>
                <w:sz w:val="18"/>
                <w:szCs w:val="18"/>
              </w:rPr>
            </w:pPr>
            <w:r>
              <w:rPr>
                <w:rFonts w:ascii="Calibri" w:hAnsi="Calibri" w:cs="Calibri"/>
                <w:b/>
                <w:bCs/>
                <w:color w:val="000000"/>
                <w:sz w:val="18"/>
                <w:szCs w:val="18"/>
              </w:rPr>
              <w:t>235</w:t>
            </w:r>
          </w:p>
        </w:tc>
        <w:tc>
          <w:tcPr>
            <w:tcW w:w="1085" w:type="dxa"/>
            <w:tcBorders>
              <w:top w:val="nil"/>
              <w:left w:val="nil"/>
              <w:bottom w:val="single" w:sz="4" w:space="0" w:color="auto"/>
              <w:right w:val="single" w:sz="4" w:space="0" w:color="auto"/>
            </w:tcBorders>
            <w:shd w:val="clear" w:color="000000" w:fill="C6D9F1"/>
            <w:noWrap/>
            <w:vAlign w:val="center"/>
            <w:hideMark/>
          </w:tcPr>
          <w:p w14:paraId="03B82C99" w14:textId="77777777" w:rsidR="00713A56" w:rsidRDefault="00713A56">
            <w:pPr>
              <w:jc w:val="center"/>
              <w:rPr>
                <w:rFonts w:ascii="Calibri" w:hAnsi="Calibri" w:cs="Calibri"/>
                <w:b/>
                <w:bCs/>
                <w:color w:val="000000"/>
                <w:sz w:val="18"/>
                <w:szCs w:val="18"/>
              </w:rPr>
            </w:pPr>
            <w:r>
              <w:rPr>
                <w:rFonts w:ascii="Calibri" w:hAnsi="Calibri" w:cs="Calibri"/>
                <w:b/>
                <w:bCs/>
                <w:color w:val="000000"/>
                <w:sz w:val="18"/>
                <w:szCs w:val="18"/>
              </w:rPr>
              <w:t>2576</w:t>
            </w:r>
          </w:p>
        </w:tc>
        <w:tc>
          <w:tcPr>
            <w:tcW w:w="955" w:type="dxa"/>
            <w:tcBorders>
              <w:top w:val="nil"/>
              <w:left w:val="nil"/>
              <w:bottom w:val="single" w:sz="4" w:space="0" w:color="auto"/>
              <w:right w:val="single" w:sz="4" w:space="0" w:color="auto"/>
            </w:tcBorders>
            <w:shd w:val="clear" w:color="000000" w:fill="C6D9F1"/>
            <w:noWrap/>
            <w:vAlign w:val="center"/>
            <w:hideMark/>
          </w:tcPr>
          <w:p w14:paraId="4B93890D" w14:textId="06F82BC4" w:rsidR="00713A56" w:rsidRDefault="0018027F">
            <w:pPr>
              <w:jc w:val="center"/>
              <w:rPr>
                <w:rFonts w:ascii="Calibri" w:hAnsi="Calibri" w:cs="Calibri"/>
                <w:b/>
                <w:bCs/>
                <w:color w:val="000000"/>
                <w:sz w:val="18"/>
                <w:szCs w:val="18"/>
              </w:rPr>
            </w:pPr>
            <w:r>
              <w:rPr>
                <w:rFonts w:ascii="Calibri" w:hAnsi="Calibri" w:cs="Calibri"/>
                <w:b/>
                <w:bCs/>
                <w:color w:val="000000"/>
                <w:sz w:val="18"/>
                <w:szCs w:val="18"/>
              </w:rPr>
              <w:t>474</w:t>
            </w:r>
          </w:p>
        </w:tc>
      </w:tr>
      <w:tr w:rsidR="00713A56" w14:paraId="2C432A60" w14:textId="77777777" w:rsidTr="009A0919">
        <w:trPr>
          <w:trHeight w:val="246"/>
        </w:trPr>
        <w:tc>
          <w:tcPr>
            <w:tcW w:w="3808" w:type="dxa"/>
            <w:tcBorders>
              <w:top w:val="nil"/>
              <w:left w:val="single" w:sz="4" w:space="0" w:color="auto"/>
              <w:bottom w:val="single" w:sz="4" w:space="0" w:color="auto"/>
              <w:right w:val="single" w:sz="4" w:space="0" w:color="auto"/>
            </w:tcBorders>
            <w:shd w:val="clear" w:color="auto" w:fill="auto"/>
            <w:noWrap/>
            <w:vAlign w:val="center"/>
            <w:hideMark/>
          </w:tcPr>
          <w:p w14:paraId="1D6F7FD9" w14:textId="77777777" w:rsidR="00713A56" w:rsidRDefault="00713A56">
            <w:pPr>
              <w:rPr>
                <w:rFonts w:ascii="Calibri" w:hAnsi="Calibri" w:cs="Calibri"/>
                <w:color w:val="000000"/>
                <w:sz w:val="18"/>
                <w:szCs w:val="18"/>
              </w:rPr>
            </w:pPr>
            <w:r>
              <w:rPr>
                <w:rFonts w:ascii="Calibri" w:hAnsi="Calibri" w:cs="Calibri"/>
                <w:color w:val="000000"/>
                <w:sz w:val="18"/>
                <w:szCs w:val="18"/>
              </w:rPr>
              <w:t>Tata Power Transferred employees in FY 2022-23 (H)</w:t>
            </w:r>
          </w:p>
        </w:tc>
        <w:tc>
          <w:tcPr>
            <w:tcW w:w="1479" w:type="dxa"/>
            <w:tcBorders>
              <w:top w:val="nil"/>
              <w:left w:val="nil"/>
              <w:bottom w:val="single" w:sz="4" w:space="0" w:color="auto"/>
              <w:right w:val="single" w:sz="4" w:space="0" w:color="auto"/>
            </w:tcBorders>
            <w:shd w:val="clear" w:color="auto" w:fill="auto"/>
            <w:noWrap/>
            <w:vAlign w:val="center"/>
            <w:hideMark/>
          </w:tcPr>
          <w:p w14:paraId="59885EE7" w14:textId="77777777" w:rsidR="00713A56" w:rsidRDefault="00713A56">
            <w:pPr>
              <w:jc w:val="center"/>
              <w:rPr>
                <w:rFonts w:ascii="Calibri" w:hAnsi="Calibri" w:cs="Calibri"/>
                <w:color w:val="000000"/>
                <w:sz w:val="18"/>
                <w:szCs w:val="18"/>
              </w:rPr>
            </w:pPr>
            <w:r>
              <w:rPr>
                <w:rFonts w:ascii="Calibri" w:hAnsi="Calibri" w:cs="Calibri"/>
                <w:color w:val="000000"/>
                <w:sz w:val="18"/>
                <w:szCs w:val="18"/>
              </w:rPr>
              <w:t>7</w:t>
            </w:r>
          </w:p>
        </w:tc>
        <w:tc>
          <w:tcPr>
            <w:tcW w:w="990" w:type="dxa"/>
            <w:tcBorders>
              <w:top w:val="nil"/>
              <w:left w:val="nil"/>
              <w:bottom w:val="single" w:sz="4" w:space="0" w:color="auto"/>
              <w:right w:val="single" w:sz="4" w:space="0" w:color="auto"/>
            </w:tcBorders>
            <w:shd w:val="clear" w:color="auto" w:fill="auto"/>
            <w:noWrap/>
            <w:vAlign w:val="center"/>
            <w:hideMark/>
          </w:tcPr>
          <w:p w14:paraId="5FADB129" w14:textId="77777777" w:rsidR="00713A56" w:rsidRDefault="00713A56">
            <w:pPr>
              <w:jc w:val="center"/>
              <w:rPr>
                <w:rFonts w:ascii="Calibri" w:hAnsi="Calibri" w:cs="Calibri"/>
                <w:color w:val="000000"/>
                <w:sz w:val="18"/>
                <w:szCs w:val="18"/>
              </w:rPr>
            </w:pPr>
            <w:r>
              <w:rPr>
                <w:rFonts w:ascii="Calibri" w:hAnsi="Calibri" w:cs="Calibri"/>
                <w:color w:val="000000"/>
                <w:sz w:val="18"/>
                <w:szCs w:val="18"/>
              </w:rPr>
              <w:t>4</w:t>
            </w:r>
          </w:p>
        </w:tc>
        <w:tc>
          <w:tcPr>
            <w:tcW w:w="1047" w:type="dxa"/>
            <w:tcBorders>
              <w:top w:val="nil"/>
              <w:left w:val="nil"/>
              <w:bottom w:val="single" w:sz="4" w:space="0" w:color="auto"/>
              <w:right w:val="single" w:sz="4" w:space="0" w:color="auto"/>
            </w:tcBorders>
            <w:shd w:val="clear" w:color="auto" w:fill="auto"/>
            <w:noWrap/>
            <w:vAlign w:val="center"/>
            <w:hideMark/>
          </w:tcPr>
          <w:p w14:paraId="25726BA8" w14:textId="77777777" w:rsidR="00713A56" w:rsidRDefault="00713A56">
            <w:pPr>
              <w:rPr>
                <w:sz w:val="20"/>
                <w:szCs w:val="20"/>
              </w:rPr>
            </w:pPr>
            <w:r>
              <w:rPr>
                <w:sz w:val="20"/>
                <w:szCs w:val="20"/>
              </w:rPr>
              <w:t> </w:t>
            </w:r>
          </w:p>
        </w:tc>
        <w:tc>
          <w:tcPr>
            <w:tcW w:w="917" w:type="dxa"/>
            <w:tcBorders>
              <w:top w:val="nil"/>
              <w:left w:val="nil"/>
              <w:bottom w:val="single" w:sz="4" w:space="0" w:color="auto"/>
              <w:right w:val="single" w:sz="4" w:space="0" w:color="auto"/>
            </w:tcBorders>
            <w:shd w:val="clear" w:color="auto" w:fill="auto"/>
            <w:noWrap/>
            <w:vAlign w:val="center"/>
            <w:hideMark/>
          </w:tcPr>
          <w:p w14:paraId="3198C5E1" w14:textId="77777777" w:rsidR="00713A56" w:rsidRDefault="00713A56">
            <w:pPr>
              <w:rPr>
                <w:sz w:val="20"/>
                <w:szCs w:val="20"/>
              </w:rPr>
            </w:pPr>
            <w:r>
              <w:rPr>
                <w:sz w:val="20"/>
                <w:szCs w:val="20"/>
              </w:rPr>
              <w:t> </w:t>
            </w:r>
          </w:p>
        </w:tc>
        <w:tc>
          <w:tcPr>
            <w:tcW w:w="1085" w:type="dxa"/>
            <w:tcBorders>
              <w:top w:val="nil"/>
              <w:left w:val="nil"/>
              <w:bottom w:val="single" w:sz="4" w:space="0" w:color="auto"/>
              <w:right w:val="single" w:sz="4" w:space="0" w:color="auto"/>
            </w:tcBorders>
            <w:shd w:val="clear" w:color="auto" w:fill="auto"/>
            <w:noWrap/>
            <w:vAlign w:val="center"/>
            <w:hideMark/>
          </w:tcPr>
          <w:p w14:paraId="4CEC04E8" w14:textId="77777777" w:rsidR="00713A56" w:rsidRDefault="00713A56">
            <w:pPr>
              <w:jc w:val="center"/>
              <w:rPr>
                <w:rFonts w:ascii="Calibri" w:hAnsi="Calibri" w:cs="Calibri"/>
                <w:color w:val="000000"/>
                <w:sz w:val="18"/>
                <w:szCs w:val="18"/>
              </w:rPr>
            </w:pPr>
            <w:r>
              <w:rPr>
                <w:rFonts w:ascii="Calibri" w:hAnsi="Calibri" w:cs="Calibri"/>
                <w:color w:val="000000"/>
                <w:sz w:val="18"/>
                <w:szCs w:val="18"/>
              </w:rPr>
              <w:t>11</w:t>
            </w:r>
          </w:p>
        </w:tc>
        <w:tc>
          <w:tcPr>
            <w:tcW w:w="955" w:type="dxa"/>
            <w:tcBorders>
              <w:top w:val="nil"/>
              <w:left w:val="nil"/>
              <w:bottom w:val="single" w:sz="4" w:space="0" w:color="auto"/>
              <w:right w:val="single" w:sz="4" w:space="0" w:color="auto"/>
            </w:tcBorders>
            <w:shd w:val="clear" w:color="auto" w:fill="auto"/>
            <w:noWrap/>
            <w:vAlign w:val="center"/>
            <w:hideMark/>
          </w:tcPr>
          <w:p w14:paraId="15850CA7" w14:textId="77777777" w:rsidR="00713A56" w:rsidRDefault="00713A56">
            <w:pPr>
              <w:rPr>
                <w:sz w:val="20"/>
                <w:szCs w:val="20"/>
              </w:rPr>
            </w:pPr>
            <w:r>
              <w:rPr>
                <w:sz w:val="20"/>
                <w:szCs w:val="20"/>
              </w:rPr>
              <w:t> </w:t>
            </w:r>
          </w:p>
        </w:tc>
      </w:tr>
      <w:tr w:rsidR="00713A56" w14:paraId="3EC2471C" w14:textId="77777777" w:rsidTr="009A0919">
        <w:trPr>
          <w:trHeight w:val="246"/>
        </w:trPr>
        <w:tc>
          <w:tcPr>
            <w:tcW w:w="3808" w:type="dxa"/>
            <w:tcBorders>
              <w:top w:val="nil"/>
              <w:left w:val="single" w:sz="4" w:space="0" w:color="auto"/>
              <w:bottom w:val="single" w:sz="4" w:space="0" w:color="auto"/>
              <w:right w:val="single" w:sz="4" w:space="0" w:color="auto"/>
            </w:tcBorders>
            <w:shd w:val="clear" w:color="auto" w:fill="auto"/>
            <w:noWrap/>
            <w:vAlign w:val="center"/>
            <w:hideMark/>
          </w:tcPr>
          <w:p w14:paraId="27BD7832" w14:textId="77777777" w:rsidR="00713A56" w:rsidRDefault="00713A56">
            <w:pPr>
              <w:rPr>
                <w:rFonts w:ascii="Calibri" w:hAnsi="Calibri" w:cs="Calibri"/>
                <w:color w:val="000000"/>
                <w:sz w:val="18"/>
                <w:szCs w:val="18"/>
              </w:rPr>
            </w:pPr>
            <w:r>
              <w:rPr>
                <w:rFonts w:ascii="Calibri" w:hAnsi="Calibri" w:cs="Calibri"/>
                <w:color w:val="000000"/>
                <w:sz w:val="18"/>
                <w:szCs w:val="18"/>
              </w:rPr>
              <w:t>Recruitment in FY 2022-23 (I)</w:t>
            </w:r>
          </w:p>
        </w:tc>
        <w:tc>
          <w:tcPr>
            <w:tcW w:w="1479" w:type="dxa"/>
            <w:tcBorders>
              <w:top w:val="nil"/>
              <w:left w:val="nil"/>
              <w:bottom w:val="single" w:sz="4" w:space="0" w:color="auto"/>
              <w:right w:val="single" w:sz="4" w:space="0" w:color="auto"/>
            </w:tcBorders>
            <w:shd w:val="clear" w:color="auto" w:fill="auto"/>
            <w:noWrap/>
            <w:vAlign w:val="center"/>
            <w:hideMark/>
          </w:tcPr>
          <w:p w14:paraId="2AB8EF68" w14:textId="77777777" w:rsidR="00713A56" w:rsidRDefault="00713A56">
            <w:pPr>
              <w:jc w:val="center"/>
              <w:rPr>
                <w:rFonts w:ascii="Calibri" w:hAnsi="Calibri" w:cs="Calibri"/>
                <w:color w:val="000000"/>
                <w:sz w:val="18"/>
                <w:szCs w:val="18"/>
              </w:rPr>
            </w:pPr>
            <w:r>
              <w:rPr>
                <w:rFonts w:ascii="Calibri" w:hAnsi="Calibri" w:cs="Calibri"/>
                <w:color w:val="000000"/>
                <w:sz w:val="18"/>
                <w:szCs w:val="18"/>
              </w:rPr>
              <w:t>204</w:t>
            </w:r>
          </w:p>
        </w:tc>
        <w:tc>
          <w:tcPr>
            <w:tcW w:w="990" w:type="dxa"/>
            <w:tcBorders>
              <w:top w:val="nil"/>
              <w:left w:val="nil"/>
              <w:bottom w:val="single" w:sz="4" w:space="0" w:color="auto"/>
              <w:right w:val="single" w:sz="4" w:space="0" w:color="auto"/>
            </w:tcBorders>
            <w:shd w:val="clear" w:color="000000" w:fill="FFFFFF"/>
            <w:noWrap/>
            <w:vAlign w:val="center"/>
            <w:hideMark/>
          </w:tcPr>
          <w:p w14:paraId="13C52913" w14:textId="77777777" w:rsidR="00713A56" w:rsidRDefault="00713A56">
            <w:pPr>
              <w:jc w:val="center"/>
              <w:rPr>
                <w:rFonts w:ascii="Calibri" w:hAnsi="Calibri" w:cs="Calibri"/>
                <w:color w:val="000000"/>
                <w:sz w:val="18"/>
                <w:szCs w:val="18"/>
              </w:rPr>
            </w:pPr>
            <w:r>
              <w:rPr>
                <w:rFonts w:ascii="Calibri" w:hAnsi="Calibri" w:cs="Calibri"/>
                <w:color w:val="000000"/>
                <w:sz w:val="18"/>
                <w:szCs w:val="18"/>
              </w:rPr>
              <w:t>99</w:t>
            </w:r>
          </w:p>
        </w:tc>
        <w:tc>
          <w:tcPr>
            <w:tcW w:w="1047" w:type="dxa"/>
            <w:tcBorders>
              <w:top w:val="nil"/>
              <w:left w:val="nil"/>
              <w:bottom w:val="single" w:sz="4" w:space="0" w:color="auto"/>
              <w:right w:val="single" w:sz="4" w:space="0" w:color="auto"/>
            </w:tcBorders>
            <w:shd w:val="clear" w:color="auto" w:fill="auto"/>
            <w:noWrap/>
            <w:vAlign w:val="center"/>
            <w:hideMark/>
          </w:tcPr>
          <w:p w14:paraId="0DC56B89" w14:textId="77777777" w:rsidR="00713A56" w:rsidRDefault="00713A56">
            <w:pPr>
              <w:rPr>
                <w:sz w:val="20"/>
                <w:szCs w:val="20"/>
              </w:rPr>
            </w:pPr>
            <w:r>
              <w:rPr>
                <w:sz w:val="20"/>
                <w:szCs w:val="20"/>
              </w:rPr>
              <w:t> </w:t>
            </w:r>
          </w:p>
        </w:tc>
        <w:tc>
          <w:tcPr>
            <w:tcW w:w="917" w:type="dxa"/>
            <w:tcBorders>
              <w:top w:val="nil"/>
              <w:left w:val="nil"/>
              <w:bottom w:val="single" w:sz="4" w:space="0" w:color="auto"/>
              <w:right w:val="single" w:sz="4" w:space="0" w:color="auto"/>
            </w:tcBorders>
            <w:shd w:val="clear" w:color="auto" w:fill="auto"/>
            <w:noWrap/>
            <w:vAlign w:val="center"/>
            <w:hideMark/>
          </w:tcPr>
          <w:p w14:paraId="69BB31FF" w14:textId="77777777" w:rsidR="00713A56" w:rsidRDefault="00713A56">
            <w:pPr>
              <w:rPr>
                <w:sz w:val="20"/>
                <w:szCs w:val="20"/>
              </w:rPr>
            </w:pPr>
            <w:r>
              <w:rPr>
                <w:sz w:val="20"/>
                <w:szCs w:val="20"/>
              </w:rPr>
              <w:t> </w:t>
            </w:r>
          </w:p>
        </w:tc>
        <w:tc>
          <w:tcPr>
            <w:tcW w:w="1085" w:type="dxa"/>
            <w:tcBorders>
              <w:top w:val="nil"/>
              <w:left w:val="nil"/>
              <w:bottom w:val="single" w:sz="4" w:space="0" w:color="auto"/>
              <w:right w:val="single" w:sz="4" w:space="0" w:color="auto"/>
            </w:tcBorders>
            <w:shd w:val="clear" w:color="auto" w:fill="auto"/>
            <w:noWrap/>
            <w:vAlign w:val="center"/>
            <w:hideMark/>
          </w:tcPr>
          <w:p w14:paraId="4D79EB90" w14:textId="77777777" w:rsidR="00713A56" w:rsidRDefault="00713A56">
            <w:pPr>
              <w:jc w:val="center"/>
              <w:rPr>
                <w:rFonts w:ascii="Calibri" w:hAnsi="Calibri" w:cs="Calibri"/>
                <w:color w:val="000000"/>
                <w:sz w:val="18"/>
                <w:szCs w:val="18"/>
              </w:rPr>
            </w:pPr>
            <w:r>
              <w:rPr>
                <w:rFonts w:ascii="Calibri" w:hAnsi="Calibri" w:cs="Calibri"/>
                <w:color w:val="000000"/>
                <w:sz w:val="18"/>
                <w:szCs w:val="18"/>
              </w:rPr>
              <w:t>303</w:t>
            </w:r>
          </w:p>
        </w:tc>
        <w:tc>
          <w:tcPr>
            <w:tcW w:w="955" w:type="dxa"/>
            <w:tcBorders>
              <w:top w:val="nil"/>
              <w:left w:val="nil"/>
              <w:bottom w:val="single" w:sz="4" w:space="0" w:color="auto"/>
              <w:right w:val="single" w:sz="4" w:space="0" w:color="auto"/>
            </w:tcBorders>
            <w:shd w:val="clear" w:color="auto" w:fill="auto"/>
            <w:noWrap/>
            <w:vAlign w:val="center"/>
            <w:hideMark/>
          </w:tcPr>
          <w:p w14:paraId="594ECAAD" w14:textId="77777777" w:rsidR="00713A56" w:rsidRDefault="00713A56">
            <w:pPr>
              <w:jc w:val="center"/>
              <w:rPr>
                <w:rFonts w:ascii="Calibri" w:hAnsi="Calibri" w:cs="Calibri"/>
                <w:color w:val="000000"/>
                <w:sz w:val="18"/>
                <w:szCs w:val="18"/>
              </w:rPr>
            </w:pPr>
            <w:r>
              <w:rPr>
                <w:rFonts w:ascii="Calibri" w:hAnsi="Calibri" w:cs="Calibri"/>
                <w:color w:val="000000"/>
                <w:sz w:val="18"/>
                <w:szCs w:val="18"/>
              </w:rPr>
              <w:t>303</w:t>
            </w:r>
          </w:p>
        </w:tc>
      </w:tr>
      <w:tr w:rsidR="00713A56" w14:paraId="50FF4D08" w14:textId="77777777" w:rsidTr="009A0919">
        <w:trPr>
          <w:trHeight w:val="246"/>
        </w:trPr>
        <w:tc>
          <w:tcPr>
            <w:tcW w:w="3808" w:type="dxa"/>
            <w:tcBorders>
              <w:top w:val="nil"/>
              <w:left w:val="single" w:sz="4" w:space="0" w:color="auto"/>
              <w:bottom w:val="single" w:sz="4" w:space="0" w:color="auto"/>
              <w:right w:val="single" w:sz="4" w:space="0" w:color="auto"/>
            </w:tcBorders>
            <w:shd w:val="clear" w:color="auto" w:fill="auto"/>
            <w:noWrap/>
            <w:vAlign w:val="center"/>
            <w:hideMark/>
          </w:tcPr>
          <w:p w14:paraId="3E2EC51A" w14:textId="77777777" w:rsidR="00713A56" w:rsidRDefault="00713A56">
            <w:pPr>
              <w:rPr>
                <w:rFonts w:ascii="Calibri" w:hAnsi="Calibri" w:cs="Calibri"/>
                <w:color w:val="000000"/>
                <w:sz w:val="18"/>
                <w:szCs w:val="18"/>
              </w:rPr>
            </w:pPr>
            <w:r>
              <w:rPr>
                <w:rFonts w:ascii="Calibri" w:hAnsi="Calibri" w:cs="Calibri"/>
                <w:color w:val="000000"/>
                <w:sz w:val="18"/>
                <w:szCs w:val="18"/>
              </w:rPr>
              <w:t>Recruitment of Trainees during FY 2022-23 (J)</w:t>
            </w:r>
          </w:p>
        </w:tc>
        <w:tc>
          <w:tcPr>
            <w:tcW w:w="1479" w:type="dxa"/>
            <w:tcBorders>
              <w:top w:val="nil"/>
              <w:left w:val="nil"/>
              <w:bottom w:val="single" w:sz="4" w:space="0" w:color="auto"/>
              <w:right w:val="single" w:sz="4" w:space="0" w:color="auto"/>
            </w:tcBorders>
            <w:shd w:val="clear" w:color="auto" w:fill="auto"/>
            <w:noWrap/>
            <w:vAlign w:val="center"/>
            <w:hideMark/>
          </w:tcPr>
          <w:p w14:paraId="234C5EAC" w14:textId="77777777" w:rsidR="00713A56" w:rsidRDefault="00713A56">
            <w:pPr>
              <w:jc w:val="center"/>
              <w:rPr>
                <w:rFonts w:ascii="Calibri" w:hAnsi="Calibri" w:cs="Calibri"/>
                <w:color w:val="000000"/>
                <w:sz w:val="18"/>
                <w:szCs w:val="18"/>
              </w:rPr>
            </w:pPr>
            <w:r>
              <w:rPr>
                <w:rFonts w:ascii="Calibri" w:hAnsi="Calibri" w:cs="Calibri"/>
                <w:color w:val="000000"/>
                <w:sz w:val="18"/>
                <w:szCs w:val="18"/>
              </w:rPr>
              <w:t>71</w:t>
            </w:r>
          </w:p>
        </w:tc>
        <w:tc>
          <w:tcPr>
            <w:tcW w:w="990" w:type="dxa"/>
            <w:tcBorders>
              <w:top w:val="nil"/>
              <w:left w:val="nil"/>
              <w:bottom w:val="single" w:sz="4" w:space="0" w:color="auto"/>
              <w:right w:val="single" w:sz="4" w:space="0" w:color="auto"/>
            </w:tcBorders>
            <w:shd w:val="clear" w:color="auto" w:fill="auto"/>
            <w:noWrap/>
            <w:vAlign w:val="center"/>
            <w:hideMark/>
          </w:tcPr>
          <w:p w14:paraId="43D8B95C" w14:textId="77777777" w:rsidR="00713A56" w:rsidRDefault="00713A56">
            <w:pPr>
              <w:jc w:val="center"/>
              <w:rPr>
                <w:rFonts w:ascii="Calibri" w:hAnsi="Calibri" w:cs="Calibri"/>
                <w:color w:val="000000"/>
                <w:sz w:val="18"/>
                <w:szCs w:val="18"/>
              </w:rPr>
            </w:pPr>
            <w:r>
              <w:rPr>
                <w:rFonts w:ascii="Calibri" w:hAnsi="Calibri" w:cs="Calibri"/>
                <w:color w:val="000000"/>
                <w:sz w:val="18"/>
                <w:szCs w:val="18"/>
              </w:rPr>
              <w:t>144</w:t>
            </w:r>
          </w:p>
        </w:tc>
        <w:tc>
          <w:tcPr>
            <w:tcW w:w="1047" w:type="dxa"/>
            <w:tcBorders>
              <w:top w:val="nil"/>
              <w:left w:val="nil"/>
              <w:bottom w:val="single" w:sz="4" w:space="0" w:color="auto"/>
              <w:right w:val="single" w:sz="4" w:space="0" w:color="auto"/>
            </w:tcBorders>
            <w:shd w:val="clear" w:color="auto" w:fill="auto"/>
            <w:noWrap/>
            <w:vAlign w:val="center"/>
            <w:hideMark/>
          </w:tcPr>
          <w:p w14:paraId="6C4BE632" w14:textId="77777777" w:rsidR="00713A56" w:rsidRDefault="00713A56">
            <w:pPr>
              <w:rPr>
                <w:sz w:val="20"/>
                <w:szCs w:val="20"/>
              </w:rPr>
            </w:pPr>
            <w:r>
              <w:rPr>
                <w:sz w:val="20"/>
                <w:szCs w:val="20"/>
              </w:rPr>
              <w:t> </w:t>
            </w:r>
          </w:p>
        </w:tc>
        <w:tc>
          <w:tcPr>
            <w:tcW w:w="917" w:type="dxa"/>
            <w:tcBorders>
              <w:top w:val="nil"/>
              <w:left w:val="nil"/>
              <w:bottom w:val="single" w:sz="4" w:space="0" w:color="auto"/>
              <w:right w:val="single" w:sz="4" w:space="0" w:color="auto"/>
            </w:tcBorders>
            <w:shd w:val="clear" w:color="auto" w:fill="auto"/>
            <w:noWrap/>
            <w:vAlign w:val="center"/>
            <w:hideMark/>
          </w:tcPr>
          <w:p w14:paraId="36CAFBF5" w14:textId="77777777" w:rsidR="00713A56" w:rsidRDefault="00713A56">
            <w:pPr>
              <w:rPr>
                <w:sz w:val="20"/>
                <w:szCs w:val="20"/>
              </w:rPr>
            </w:pPr>
            <w:r>
              <w:rPr>
                <w:sz w:val="20"/>
                <w:szCs w:val="20"/>
              </w:rPr>
              <w:t> </w:t>
            </w:r>
          </w:p>
        </w:tc>
        <w:tc>
          <w:tcPr>
            <w:tcW w:w="1085" w:type="dxa"/>
            <w:tcBorders>
              <w:top w:val="nil"/>
              <w:left w:val="nil"/>
              <w:bottom w:val="single" w:sz="4" w:space="0" w:color="auto"/>
              <w:right w:val="single" w:sz="4" w:space="0" w:color="auto"/>
            </w:tcBorders>
            <w:shd w:val="clear" w:color="auto" w:fill="auto"/>
            <w:noWrap/>
            <w:vAlign w:val="center"/>
            <w:hideMark/>
          </w:tcPr>
          <w:p w14:paraId="2430C025" w14:textId="77777777" w:rsidR="00713A56" w:rsidRDefault="00713A56">
            <w:pPr>
              <w:jc w:val="center"/>
              <w:rPr>
                <w:rFonts w:ascii="Calibri" w:hAnsi="Calibri" w:cs="Calibri"/>
                <w:color w:val="000000"/>
                <w:sz w:val="18"/>
                <w:szCs w:val="18"/>
              </w:rPr>
            </w:pPr>
            <w:r>
              <w:rPr>
                <w:rFonts w:ascii="Calibri" w:hAnsi="Calibri" w:cs="Calibri"/>
                <w:color w:val="000000"/>
                <w:sz w:val="18"/>
                <w:szCs w:val="18"/>
              </w:rPr>
              <w:t>215</w:t>
            </w:r>
          </w:p>
        </w:tc>
        <w:tc>
          <w:tcPr>
            <w:tcW w:w="955" w:type="dxa"/>
            <w:tcBorders>
              <w:top w:val="nil"/>
              <w:left w:val="nil"/>
              <w:bottom w:val="single" w:sz="4" w:space="0" w:color="auto"/>
              <w:right w:val="single" w:sz="4" w:space="0" w:color="auto"/>
            </w:tcBorders>
            <w:shd w:val="clear" w:color="auto" w:fill="auto"/>
            <w:noWrap/>
            <w:vAlign w:val="center"/>
            <w:hideMark/>
          </w:tcPr>
          <w:p w14:paraId="7D48129F" w14:textId="77777777" w:rsidR="00713A56" w:rsidRDefault="00713A56">
            <w:pPr>
              <w:jc w:val="center"/>
              <w:rPr>
                <w:rFonts w:ascii="Calibri" w:hAnsi="Calibri" w:cs="Calibri"/>
                <w:color w:val="000000"/>
                <w:sz w:val="18"/>
                <w:szCs w:val="18"/>
              </w:rPr>
            </w:pPr>
            <w:r>
              <w:rPr>
                <w:rFonts w:ascii="Calibri" w:hAnsi="Calibri" w:cs="Calibri"/>
                <w:color w:val="000000"/>
                <w:sz w:val="18"/>
                <w:szCs w:val="18"/>
              </w:rPr>
              <w:t>215</w:t>
            </w:r>
          </w:p>
        </w:tc>
      </w:tr>
      <w:tr w:rsidR="00713A56" w14:paraId="3971B3C9" w14:textId="77777777" w:rsidTr="009A0919">
        <w:trPr>
          <w:trHeight w:val="246"/>
        </w:trPr>
        <w:tc>
          <w:tcPr>
            <w:tcW w:w="3808" w:type="dxa"/>
            <w:tcBorders>
              <w:top w:val="nil"/>
              <w:left w:val="single" w:sz="4" w:space="0" w:color="auto"/>
              <w:bottom w:val="single" w:sz="4" w:space="0" w:color="auto"/>
              <w:right w:val="single" w:sz="4" w:space="0" w:color="auto"/>
            </w:tcBorders>
            <w:shd w:val="clear" w:color="auto" w:fill="auto"/>
            <w:noWrap/>
            <w:vAlign w:val="center"/>
            <w:hideMark/>
          </w:tcPr>
          <w:p w14:paraId="6D3AFBB4" w14:textId="77777777" w:rsidR="00713A56" w:rsidRDefault="00713A56">
            <w:pPr>
              <w:rPr>
                <w:rFonts w:ascii="Calibri" w:hAnsi="Calibri" w:cs="Calibri"/>
                <w:color w:val="000000"/>
                <w:sz w:val="18"/>
                <w:szCs w:val="18"/>
              </w:rPr>
            </w:pPr>
            <w:r>
              <w:rPr>
                <w:rFonts w:ascii="Calibri" w:hAnsi="Calibri" w:cs="Calibri"/>
                <w:color w:val="000000"/>
                <w:sz w:val="18"/>
                <w:szCs w:val="18"/>
              </w:rPr>
              <w:t>New employees resigned during FY 2022-23 (K)</w:t>
            </w:r>
          </w:p>
        </w:tc>
        <w:tc>
          <w:tcPr>
            <w:tcW w:w="1479" w:type="dxa"/>
            <w:tcBorders>
              <w:top w:val="nil"/>
              <w:left w:val="nil"/>
              <w:bottom w:val="single" w:sz="4" w:space="0" w:color="auto"/>
              <w:right w:val="single" w:sz="4" w:space="0" w:color="auto"/>
            </w:tcBorders>
            <w:shd w:val="clear" w:color="auto" w:fill="auto"/>
            <w:noWrap/>
            <w:vAlign w:val="center"/>
            <w:hideMark/>
          </w:tcPr>
          <w:p w14:paraId="0AD71364" w14:textId="77777777" w:rsidR="00713A56" w:rsidRDefault="00713A56">
            <w:pPr>
              <w:jc w:val="center"/>
              <w:rPr>
                <w:rFonts w:ascii="Calibri" w:hAnsi="Calibri" w:cs="Calibri"/>
                <w:color w:val="000000"/>
                <w:sz w:val="18"/>
                <w:szCs w:val="18"/>
              </w:rPr>
            </w:pPr>
            <w:r>
              <w:rPr>
                <w:rFonts w:ascii="Calibri" w:hAnsi="Calibri" w:cs="Calibri"/>
                <w:color w:val="000000"/>
                <w:sz w:val="18"/>
                <w:szCs w:val="18"/>
              </w:rPr>
              <w:t>20</w:t>
            </w:r>
          </w:p>
        </w:tc>
        <w:tc>
          <w:tcPr>
            <w:tcW w:w="990" w:type="dxa"/>
            <w:tcBorders>
              <w:top w:val="nil"/>
              <w:left w:val="nil"/>
              <w:bottom w:val="single" w:sz="4" w:space="0" w:color="auto"/>
              <w:right w:val="single" w:sz="4" w:space="0" w:color="auto"/>
            </w:tcBorders>
            <w:shd w:val="clear" w:color="auto" w:fill="auto"/>
            <w:noWrap/>
            <w:vAlign w:val="center"/>
            <w:hideMark/>
          </w:tcPr>
          <w:p w14:paraId="780FA57D" w14:textId="77777777" w:rsidR="00713A56" w:rsidRDefault="00713A56">
            <w:pPr>
              <w:jc w:val="center"/>
              <w:rPr>
                <w:rFonts w:ascii="Calibri" w:hAnsi="Calibri" w:cs="Calibri"/>
                <w:color w:val="000000"/>
                <w:sz w:val="18"/>
                <w:szCs w:val="18"/>
              </w:rPr>
            </w:pPr>
            <w:r>
              <w:rPr>
                <w:rFonts w:ascii="Calibri" w:hAnsi="Calibri" w:cs="Calibri"/>
                <w:color w:val="000000"/>
                <w:sz w:val="18"/>
                <w:szCs w:val="18"/>
              </w:rPr>
              <w:t>19</w:t>
            </w:r>
          </w:p>
        </w:tc>
        <w:tc>
          <w:tcPr>
            <w:tcW w:w="1047" w:type="dxa"/>
            <w:tcBorders>
              <w:top w:val="nil"/>
              <w:left w:val="nil"/>
              <w:bottom w:val="single" w:sz="4" w:space="0" w:color="auto"/>
              <w:right w:val="single" w:sz="4" w:space="0" w:color="auto"/>
            </w:tcBorders>
            <w:shd w:val="clear" w:color="auto" w:fill="auto"/>
            <w:noWrap/>
            <w:vAlign w:val="center"/>
            <w:hideMark/>
          </w:tcPr>
          <w:p w14:paraId="0B4C952A" w14:textId="77777777" w:rsidR="00713A56" w:rsidRDefault="00713A56">
            <w:pPr>
              <w:rPr>
                <w:sz w:val="20"/>
                <w:szCs w:val="20"/>
              </w:rPr>
            </w:pPr>
            <w:r>
              <w:rPr>
                <w:sz w:val="20"/>
                <w:szCs w:val="20"/>
              </w:rPr>
              <w:t> </w:t>
            </w:r>
          </w:p>
        </w:tc>
        <w:tc>
          <w:tcPr>
            <w:tcW w:w="917" w:type="dxa"/>
            <w:tcBorders>
              <w:top w:val="nil"/>
              <w:left w:val="nil"/>
              <w:bottom w:val="single" w:sz="4" w:space="0" w:color="auto"/>
              <w:right w:val="single" w:sz="4" w:space="0" w:color="auto"/>
            </w:tcBorders>
            <w:shd w:val="clear" w:color="auto" w:fill="auto"/>
            <w:noWrap/>
            <w:vAlign w:val="center"/>
            <w:hideMark/>
          </w:tcPr>
          <w:p w14:paraId="14031D57" w14:textId="77777777" w:rsidR="00713A56" w:rsidRDefault="00713A56">
            <w:pPr>
              <w:rPr>
                <w:sz w:val="20"/>
                <w:szCs w:val="20"/>
              </w:rPr>
            </w:pPr>
            <w:r>
              <w:rPr>
                <w:sz w:val="20"/>
                <w:szCs w:val="20"/>
              </w:rPr>
              <w:t> </w:t>
            </w:r>
          </w:p>
        </w:tc>
        <w:tc>
          <w:tcPr>
            <w:tcW w:w="1085" w:type="dxa"/>
            <w:tcBorders>
              <w:top w:val="nil"/>
              <w:left w:val="nil"/>
              <w:bottom w:val="single" w:sz="4" w:space="0" w:color="auto"/>
              <w:right w:val="single" w:sz="4" w:space="0" w:color="auto"/>
            </w:tcBorders>
            <w:shd w:val="clear" w:color="auto" w:fill="auto"/>
            <w:noWrap/>
            <w:vAlign w:val="center"/>
            <w:hideMark/>
          </w:tcPr>
          <w:p w14:paraId="5689451B" w14:textId="77777777" w:rsidR="00713A56" w:rsidRDefault="00713A56">
            <w:pPr>
              <w:jc w:val="center"/>
              <w:rPr>
                <w:rFonts w:ascii="Calibri" w:hAnsi="Calibri" w:cs="Calibri"/>
                <w:color w:val="000000"/>
                <w:sz w:val="18"/>
                <w:szCs w:val="18"/>
              </w:rPr>
            </w:pPr>
            <w:r>
              <w:rPr>
                <w:rFonts w:ascii="Calibri" w:hAnsi="Calibri" w:cs="Calibri"/>
                <w:color w:val="000000"/>
                <w:sz w:val="18"/>
                <w:szCs w:val="18"/>
              </w:rPr>
              <w:t>39</w:t>
            </w:r>
          </w:p>
        </w:tc>
        <w:tc>
          <w:tcPr>
            <w:tcW w:w="955" w:type="dxa"/>
            <w:tcBorders>
              <w:top w:val="nil"/>
              <w:left w:val="nil"/>
              <w:bottom w:val="single" w:sz="4" w:space="0" w:color="auto"/>
              <w:right w:val="single" w:sz="4" w:space="0" w:color="auto"/>
            </w:tcBorders>
            <w:shd w:val="clear" w:color="auto" w:fill="auto"/>
            <w:noWrap/>
            <w:vAlign w:val="center"/>
            <w:hideMark/>
          </w:tcPr>
          <w:p w14:paraId="6B2D06FB" w14:textId="77777777" w:rsidR="00713A56" w:rsidRDefault="00713A56">
            <w:pPr>
              <w:rPr>
                <w:sz w:val="20"/>
                <w:szCs w:val="20"/>
              </w:rPr>
            </w:pPr>
            <w:r>
              <w:rPr>
                <w:sz w:val="20"/>
                <w:szCs w:val="20"/>
              </w:rPr>
              <w:t> </w:t>
            </w:r>
          </w:p>
        </w:tc>
      </w:tr>
      <w:tr w:rsidR="00713A56" w14:paraId="50F44ABD" w14:textId="77777777" w:rsidTr="009A0919">
        <w:trPr>
          <w:trHeight w:val="246"/>
        </w:trPr>
        <w:tc>
          <w:tcPr>
            <w:tcW w:w="3808" w:type="dxa"/>
            <w:tcBorders>
              <w:top w:val="nil"/>
              <w:left w:val="single" w:sz="4" w:space="0" w:color="auto"/>
              <w:bottom w:val="single" w:sz="4" w:space="0" w:color="auto"/>
              <w:right w:val="single" w:sz="4" w:space="0" w:color="auto"/>
            </w:tcBorders>
            <w:shd w:val="clear" w:color="auto" w:fill="auto"/>
            <w:noWrap/>
            <w:vAlign w:val="center"/>
            <w:hideMark/>
          </w:tcPr>
          <w:p w14:paraId="5A0AEF60" w14:textId="77777777" w:rsidR="00713A56" w:rsidRDefault="00713A56">
            <w:pPr>
              <w:rPr>
                <w:rFonts w:ascii="Calibri" w:hAnsi="Calibri" w:cs="Calibri"/>
                <w:color w:val="000000"/>
                <w:sz w:val="18"/>
                <w:szCs w:val="18"/>
              </w:rPr>
            </w:pPr>
            <w:r>
              <w:rPr>
                <w:rFonts w:ascii="Calibri" w:hAnsi="Calibri" w:cs="Calibri"/>
                <w:color w:val="000000"/>
                <w:sz w:val="18"/>
                <w:szCs w:val="18"/>
              </w:rPr>
              <w:t>Retirement during FY 2022-23(L)</w:t>
            </w:r>
          </w:p>
        </w:tc>
        <w:tc>
          <w:tcPr>
            <w:tcW w:w="1479" w:type="dxa"/>
            <w:tcBorders>
              <w:top w:val="nil"/>
              <w:left w:val="nil"/>
              <w:bottom w:val="single" w:sz="4" w:space="0" w:color="auto"/>
              <w:right w:val="single" w:sz="4" w:space="0" w:color="auto"/>
            </w:tcBorders>
            <w:shd w:val="clear" w:color="auto" w:fill="auto"/>
            <w:noWrap/>
            <w:vAlign w:val="center"/>
            <w:hideMark/>
          </w:tcPr>
          <w:p w14:paraId="708E090B" w14:textId="77777777" w:rsidR="00713A56" w:rsidRDefault="00713A56">
            <w:pPr>
              <w:jc w:val="center"/>
              <w:rPr>
                <w:rFonts w:ascii="Calibri" w:hAnsi="Calibri" w:cs="Calibri"/>
                <w:color w:val="000000"/>
                <w:sz w:val="18"/>
                <w:szCs w:val="18"/>
              </w:rPr>
            </w:pPr>
            <w:r>
              <w:rPr>
                <w:rFonts w:ascii="Calibri" w:hAnsi="Calibri" w:cs="Calibri"/>
                <w:color w:val="000000"/>
                <w:sz w:val="18"/>
                <w:szCs w:val="18"/>
              </w:rPr>
              <w:t>6</w:t>
            </w:r>
          </w:p>
        </w:tc>
        <w:tc>
          <w:tcPr>
            <w:tcW w:w="990" w:type="dxa"/>
            <w:tcBorders>
              <w:top w:val="nil"/>
              <w:left w:val="nil"/>
              <w:bottom w:val="single" w:sz="4" w:space="0" w:color="auto"/>
              <w:right w:val="single" w:sz="4" w:space="0" w:color="auto"/>
            </w:tcBorders>
            <w:shd w:val="clear" w:color="auto" w:fill="auto"/>
            <w:noWrap/>
            <w:vAlign w:val="center"/>
            <w:hideMark/>
          </w:tcPr>
          <w:p w14:paraId="13FDDCAA" w14:textId="77777777" w:rsidR="00713A56" w:rsidRDefault="00713A56">
            <w:pPr>
              <w:jc w:val="center"/>
              <w:rPr>
                <w:rFonts w:ascii="Calibri" w:hAnsi="Calibri" w:cs="Calibri"/>
                <w:color w:val="000000"/>
                <w:sz w:val="18"/>
                <w:szCs w:val="18"/>
              </w:rPr>
            </w:pPr>
            <w:r>
              <w:rPr>
                <w:rFonts w:ascii="Calibri" w:hAnsi="Calibri" w:cs="Calibri"/>
                <w:color w:val="000000"/>
                <w:sz w:val="18"/>
                <w:szCs w:val="18"/>
              </w:rPr>
              <w:t>2</w:t>
            </w:r>
          </w:p>
        </w:tc>
        <w:tc>
          <w:tcPr>
            <w:tcW w:w="1047" w:type="dxa"/>
            <w:tcBorders>
              <w:top w:val="nil"/>
              <w:left w:val="nil"/>
              <w:bottom w:val="single" w:sz="4" w:space="0" w:color="auto"/>
              <w:right w:val="single" w:sz="4" w:space="0" w:color="auto"/>
            </w:tcBorders>
            <w:shd w:val="clear" w:color="auto" w:fill="auto"/>
            <w:noWrap/>
            <w:vAlign w:val="center"/>
            <w:hideMark/>
          </w:tcPr>
          <w:p w14:paraId="0D072E5E" w14:textId="77777777" w:rsidR="00713A56" w:rsidRDefault="00713A56">
            <w:pPr>
              <w:jc w:val="center"/>
              <w:rPr>
                <w:rFonts w:ascii="Calibri" w:hAnsi="Calibri" w:cs="Calibri"/>
                <w:color w:val="000000"/>
                <w:sz w:val="18"/>
                <w:szCs w:val="18"/>
              </w:rPr>
            </w:pPr>
            <w:r>
              <w:rPr>
                <w:rFonts w:ascii="Calibri" w:hAnsi="Calibri" w:cs="Calibri"/>
                <w:color w:val="000000"/>
                <w:sz w:val="18"/>
                <w:szCs w:val="18"/>
              </w:rPr>
              <w:t>85</w:t>
            </w:r>
          </w:p>
        </w:tc>
        <w:tc>
          <w:tcPr>
            <w:tcW w:w="917" w:type="dxa"/>
            <w:tcBorders>
              <w:top w:val="nil"/>
              <w:left w:val="nil"/>
              <w:bottom w:val="single" w:sz="4" w:space="0" w:color="auto"/>
              <w:right w:val="single" w:sz="4" w:space="0" w:color="auto"/>
            </w:tcBorders>
            <w:shd w:val="clear" w:color="auto" w:fill="auto"/>
            <w:noWrap/>
            <w:vAlign w:val="center"/>
            <w:hideMark/>
          </w:tcPr>
          <w:p w14:paraId="678A7FFF" w14:textId="77777777" w:rsidR="00713A56" w:rsidRDefault="00713A56">
            <w:pPr>
              <w:jc w:val="center"/>
              <w:rPr>
                <w:rFonts w:ascii="Calibri" w:hAnsi="Calibri" w:cs="Calibri"/>
                <w:color w:val="000000"/>
                <w:sz w:val="18"/>
                <w:szCs w:val="18"/>
              </w:rPr>
            </w:pPr>
            <w:r>
              <w:rPr>
                <w:rFonts w:ascii="Calibri" w:hAnsi="Calibri" w:cs="Calibri"/>
                <w:color w:val="000000"/>
                <w:sz w:val="18"/>
                <w:szCs w:val="18"/>
              </w:rPr>
              <w:t>12</w:t>
            </w:r>
          </w:p>
        </w:tc>
        <w:tc>
          <w:tcPr>
            <w:tcW w:w="1085" w:type="dxa"/>
            <w:tcBorders>
              <w:top w:val="nil"/>
              <w:left w:val="nil"/>
              <w:bottom w:val="single" w:sz="4" w:space="0" w:color="auto"/>
              <w:right w:val="single" w:sz="4" w:space="0" w:color="auto"/>
            </w:tcBorders>
            <w:shd w:val="clear" w:color="auto" w:fill="auto"/>
            <w:noWrap/>
            <w:vAlign w:val="center"/>
            <w:hideMark/>
          </w:tcPr>
          <w:p w14:paraId="475D4E26" w14:textId="77777777" w:rsidR="00713A56" w:rsidRDefault="00713A56">
            <w:pPr>
              <w:jc w:val="center"/>
              <w:rPr>
                <w:rFonts w:ascii="Calibri" w:hAnsi="Calibri" w:cs="Calibri"/>
                <w:color w:val="000000"/>
                <w:sz w:val="18"/>
                <w:szCs w:val="18"/>
              </w:rPr>
            </w:pPr>
            <w:r>
              <w:rPr>
                <w:rFonts w:ascii="Calibri" w:hAnsi="Calibri" w:cs="Calibri"/>
                <w:color w:val="000000"/>
                <w:sz w:val="18"/>
                <w:szCs w:val="18"/>
              </w:rPr>
              <w:t>105</w:t>
            </w:r>
          </w:p>
        </w:tc>
        <w:tc>
          <w:tcPr>
            <w:tcW w:w="955" w:type="dxa"/>
            <w:tcBorders>
              <w:top w:val="nil"/>
              <w:left w:val="nil"/>
              <w:bottom w:val="single" w:sz="4" w:space="0" w:color="auto"/>
              <w:right w:val="single" w:sz="4" w:space="0" w:color="auto"/>
            </w:tcBorders>
            <w:shd w:val="clear" w:color="auto" w:fill="auto"/>
            <w:noWrap/>
            <w:vAlign w:val="center"/>
            <w:hideMark/>
          </w:tcPr>
          <w:p w14:paraId="618BF2F3" w14:textId="77777777" w:rsidR="00713A56" w:rsidRDefault="00713A56">
            <w:pPr>
              <w:rPr>
                <w:sz w:val="20"/>
                <w:szCs w:val="20"/>
              </w:rPr>
            </w:pPr>
            <w:r>
              <w:rPr>
                <w:sz w:val="20"/>
                <w:szCs w:val="20"/>
              </w:rPr>
              <w:t> </w:t>
            </w:r>
          </w:p>
        </w:tc>
      </w:tr>
      <w:tr w:rsidR="00713A56" w14:paraId="6391FC36" w14:textId="77777777" w:rsidTr="009A0919">
        <w:trPr>
          <w:trHeight w:val="246"/>
        </w:trPr>
        <w:tc>
          <w:tcPr>
            <w:tcW w:w="3808" w:type="dxa"/>
            <w:tcBorders>
              <w:top w:val="nil"/>
              <w:left w:val="single" w:sz="4" w:space="0" w:color="auto"/>
              <w:bottom w:val="single" w:sz="4" w:space="0" w:color="auto"/>
              <w:right w:val="single" w:sz="4" w:space="0" w:color="auto"/>
            </w:tcBorders>
            <w:shd w:val="clear" w:color="000000" w:fill="C6D9F1"/>
            <w:noWrap/>
            <w:vAlign w:val="center"/>
            <w:hideMark/>
          </w:tcPr>
          <w:p w14:paraId="46E4152B" w14:textId="77777777" w:rsidR="00713A56" w:rsidRDefault="00713A56">
            <w:pPr>
              <w:rPr>
                <w:rFonts w:ascii="Calibri" w:hAnsi="Calibri" w:cs="Calibri"/>
                <w:b/>
                <w:bCs/>
                <w:color w:val="000000"/>
                <w:sz w:val="18"/>
                <w:szCs w:val="18"/>
              </w:rPr>
            </w:pPr>
            <w:r>
              <w:rPr>
                <w:rFonts w:ascii="Calibri" w:hAnsi="Calibri" w:cs="Calibri"/>
                <w:b/>
                <w:bCs/>
                <w:color w:val="000000"/>
                <w:sz w:val="18"/>
                <w:szCs w:val="18"/>
              </w:rPr>
              <w:t>Total as on1-04-2023(M=(G+H+I+J-K-L))</w:t>
            </w:r>
          </w:p>
        </w:tc>
        <w:tc>
          <w:tcPr>
            <w:tcW w:w="1479" w:type="dxa"/>
            <w:tcBorders>
              <w:top w:val="nil"/>
              <w:left w:val="nil"/>
              <w:bottom w:val="single" w:sz="4" w:space="0" w:color="auto"/>
              <w:right w:val="single" w:sz="4" w:space="0" w:color="auto"/>
            </w:tcBorders>
            <w:shd w:val="clear" w:color="000000" w:fill="C6D9F1"/>
            <w:noWrap/>
            <w:vAlign w:val="center"/>
            <w:hideMark/>
          </w:tcPr>
          <w:p w14:paraId="370CEAAA" w14:textId="77777777" w:rsidR="00713A56" w:rsidRDefault="00713A56">
            <w:pPr>
              <w:jc w:val="center"/>
              <w:rPr>
                <w:rFonts w:ascii="Calibri" w:hAnsi="Calibri" w:cs="Calibri"/>
                <w:b/>
                <w:bCs/>
                <w:color w:val="000000"/>
                <w:sz w:val="18"/>
                <w:szCs w:val="18"/>
              </w:rPr>
            </w:pPr>
            <w:r>
              <w:rPr>
                <w:rFonts w:ascii="Calibri" w:hAnsi="Calibri" w:cs="Calibri"/>
                <w:b/>
                <w:bCs/>
                <w:color w:val="000000"/>
                <w:sz w:val="18"/>
                <w:szCs w:val="18"/>
              </w:rPr>
              <w:t>912</w:t>
            </w:r>
          </w:p>
        </w:tc>
        <w:tc>
          <w:tcPr>
            <w:tcW w:w="990" w:type="dxa"/>
            <w:tcBorders>
              <w:top w:val="nil"/>
              <w:left w:val="nil"/>
              <w:bottom w:val="single" w:sz="4" w:space="0" w:color="auto"/>
              <w:right w:val="single" w:sz="4" w:space="0" w:color="auto"/>
            </w:tcBorders>
            <w:shd w:val="clear" w:color="000000" w:fill="C6D9F1"/>
            <w:noWrap/>
            <w:vAlign w:val="center"/>
            <w:hideMark/>
          </w:tcPr>
          <w:p w14:paraId="05933FA6" w14:textId="77777777" w:rsidR="00713A56" w:rsidRDefault="00713A56">
            <w:pPr>
              <w:jc w:val="center"/>
              <w:rPr>
                <w:rFonts w:ascii="Calibri" w:hAnsi="Calibri" w:cs="Calibri"/>
                <w:b/>
                <w:bCs/>
                <w:color w:val="000000"/>
                <w:sz w:val="18"/>
                <w:szCs w:val="18"/>
              </w:rPr>
            </w:pPr>
            <w:r>
              <w:rPr>
                <w:rFonts w:ascii="Calibri" w:hAnsi="Calibri" w:cs="Calibri"/>
                <w:b/>
                <w:bCs/>
                <w:color w:val="000000"/>
                <w:sz w:val="18"/>
                <w:szCs w:val="18"/>
              </w:rPr>
              <w:t>479</w:t>
            </w:r>
          </w:p>
        </w:tc>
        <w:tc>
          <w:tcPr>
            <w:tcW w:w="1047" w:type="dxa"/>
            <w:tcBorders>
              <w:top w:val="nil"/>
              <w:left w:val="nil"/>
              <w:bottom w:val="single" w:sz="4" w:space="0" w:color="auto"/>
              <w:right w:val="single" w:sz="4" w:space="0" w:color="auto"/>
            </w:tcBorders>
            <w:shd w:val="clear" w:color="000000" w:fill="C6D9F1"/>
            <w:noWrap/>
            <w:vAlign w:val="center"/>
            <w:hideMark/>
          </w:tcPr>
          <w:p w14:paraId="7CFD6625" w14:textId="77777777" w:rsidR="00713A56" w:rsidRDefault="00713A56">
            <w:pPr>
              <w:jc w:val="center"/>
              <w:rPr>
                <w:rFonts w:ascii="Calibri" w:hAnsi="Calibri" w:cs="Calibri"/>
                <w:b/>
                <w:bCs/>
                <w:color w:val="000000"/>
                <w:sz w:val="18"/>
                <w:szCs w:val="18"/>
              </w:rPr>
            </w:pPr>
            <w:r>
              <w:rPr>
                <w:rFonts w:ascii="Calibri" w:hAnsi="Calibri" w:cs="Calibri"/>
                <w:b/>
                <w:bCs/>
                <w:color w:val="000000"/>
                <w:sz w:val="18"/>
                <w:szCs w:val="18"/>
              </w:rPr>
              <w:t>1347</w:t>
            </w:r>
          </w:p>
        </w:tc>
        <w:tc>
          <w:tcPr>
            <w:tcW w:w="917" w:type="dxa"/>
            <w:tcBorders>
              <w:top w:val="nil"/>
              <w:left w:val="nil"/>
              <w:bottom w:val="single" w:sz="4" w:space="0" w:color="auto"/>
              <w:right w:val="single" w:sz="4" w:space="0" w:color="auto"/>
            </w:tcBorders>
            <w:shd w:val="clear" w:color="000000" w:fill="C6D9F1"/>
            <w:noWrap/>
            <w:vAlign w:val="center"/>
            <w:hideMark/>
          </w:tcPr>
          <w:p w14:paraId="2044850A" w14:textId="77777777" w:rsidR="00713A56" w:rsidRDefault="00713A56">
            <w:pPr>
              <w:jc w:val="center"/>
              <w:rPr>
                <w:rFonts w:ascii="Calibri" w:hAnsi="Calibri" w:cs="Calibri"/>
                <w:b/>
                <w:bCs/>
                <w:color w:val="000000"/>
                <w:sz w:val="18"/>
                <w:szCs w:val="18"/>
              </w:rPr>
            </w:pPr>
            <w:r>
              <w:rPr>
                <w:rFonts w:ascii="Calibri" w:hAnsi="Calibri" w:cs="Calibri"/>
                <w:b/>
                <w:bCs/>
                <w:color w:val="000000"/>
                <w:sz w:val="18"/>
                <w:szCs w:val="18"/>
              </w:rPr>
              <w:t>223</w:t>
            </w:r>
          </w:p>
        </w:tc>
        <w:tc>
          <w:tcPr>
            <w:tcW w:w="1085" w:type="dxa"/>
            <w:tcBorders>
              <w:top w:val="nil"/>
              <w:left w:val="nil"/>
              <w:bottom w:val="single" w:sz="4" w:space="0" w:color="auto"/>
              <w:right w:val="single" w:sz="4" w:space="0" w:color="auto"/>
            </w:tcBorders>
            <w:shd w:val="clear" w:color="000000" w:fill="C6D9F1"/>
            <w:noWrap/>
            <w:vAlign w:val="center"/>
            <w:hideMark/>
          </w:tcPr>
          <w:p w14:paraId="7FB0A42D" w14:textId="77777777" w:rsidR="00713A56" w:rsidRDefault="00713A56">
            <w:pPr>
              <w:jc w:val="center"/>
              <w:rPr>
                <w:rFonts w:ascii="Calibri" w:hAnsi="Calibri" w:cs="Calibri"/>
                <w:b/>
                <w:bCs/>
                <w:color w:val="000000"/>
                <w:sz w:val="18"/>
                <w:szCs w:val="18"/>
              </w:rPr>
            </w:pPr>
            <w:r>
              <w:rPr>
                <w:rFonts w:ascii="Calibri" w:hAnsi="Calibri" w:cs="Calibri"/>
                <w:b/>
                <w:bCs/>
                <w:color w:val="000000"/>
                <w:sz w:val="18"/>
                <w:szCs w:val="18"/>
              </w:rPr>
              <w:t>2961</w:t>
            </w:r>
          </w:p>
        </w:tc>
        <w:tc>
          <w:tcPr>
            <w:tcW w:w="955" w:type="dxa"/>
            <w:tcBorders>
              <w:top w:val="nil"/>
              <w:left w:val="nil"/>
              <w:bottom w:val="single" w:sz="4" w:space="0" w:color="auto"/>
              <w:right w:val="single" w:sz="4" w:space="0" w:color="auto"/>
            </w:tcBorders>
            <w:shd w:val="clear" w:color="000000" w:fill="C6D9F1"/>
            <w:noWrap/>
            <w:vAlign w:val="center"/>
            <w:hideMark/>
          </w:tcPr>
          <w:p w14:paraId="3697407E" w14:textId="77777777" w:rsidR="00713A56" w:rsidRDefault="00713A56">
            <w:pPr>
              <w:jc w:val="center"/>
              <w:rPr>
                <w:rFonts w:ascii="Calibri" w:hAnsi="Calibri" w:cs="Calibri"/>
                <w:b/>
                <w:bCs/>
                <w:color w:val="000000"/>
                <w:sz w:val="18"/>
                <w:szCs w:val="18"/>
              </w:rPr>
            </w:pPr>
            <w:r>
              <w:rPr>
                <w:rFonts w:ascii="Calibri" w:hAnsi="Calibri" w:cs="Calibri"/>
                <w:b/>
                <w:bCs/>
                <w:color w:val="000000"/>
                <w:sz w:val="18"/>
                <w:szCs w:val="18"/>
              </w:rPr>
              <w:t>518</w:t>
            </w:r>
          </w:p>
        </w:tc>
      </w:tr>
      <w:tr w:rsidR="00713A56" w14:paraId="4108EB74" w14:textId="77777777" w:rsidTr="009A0919">
        <w:trPr>
          <w:trHeight w:val="246"/>
        </w:trPr>
        <w:tc>
          <w:tcPr>
            <w:tcW w:w="3808" w:type="dxa"/>
            <w:tcBorders>
              <w:top w:val="nil"/>
              <w:left w:val="single" w:sz="4" w:space="0" w:color="auto"/>
              <w:bottom w:val="single" w:sz="4" w:space="0" w:color="auto"/>
              <w:right w:val="single" w:sz="4" w:space="0" w:color="auto"/>
            </w:tcBorders>
            <w:shd w:val="clear" w:color="auto" w:fill="auto"/>
            <w:noWrap/>
            <w:vAlign w:val="center"/>
            <w:hideMark/>
          </w:tcPr>
          <w:p w14:paraId="728586AB" w14:textId="77777777" w:rsidR="00713A56" w:rsidRDefault="00713A56">
            <w:pPr>
              <w:rPr>
                <w:rFonts w:ascii="Calibri" w:hAnsi="Calibri" w:cs="Calibri"/>
                <w:color w:val="000000"/>
                <w:sz w:val="18"/>
                <w:szCs w:val="18"/>
              </w:rPr>
            </w:pPr>
            <w:r>
              <w:rPr>
                <w:rFonts w:ascii="Calibri" w:hAnsi="Calibri" w:cs="Calibri"/>
                <w:color w:val="000000"/>
                <w:sz w:val="18"/>
                <w:szCs w:val="18"/>
              </w:rPr>
              <w:t>Tata Power Transferred employees in FY 2023-24 (N)</w:t>
            </w:r>
          </w:p>
        </w:tc>
        <w:tc>
          <w:tcPr>
            <w:tcW w:w="1479" w:type="dxa"/>
            <w:tcBorders>
              <w:top w:val="nil"/>
              <w:left w:val="nil"/>
              <w:bottom w:val="single" w:sz="4" w:space="0" w:color="auto"/>
              <w:right w:val="single" w:sz="4" w:space="0" w:color="auto"/>
            </w:tcBorders>
            <w:shd w:val="clear" w:color="auto" w:fill="auto"/>
            <w:noWrap/>
            <w:vAlign w:val="center"/>
            <w:hideMark/>
          </w:tcPr>
          <w:p w14:paraId="078C5346" w14:textId="77777777" w:rsidR="00713A56" w:rsidRDefault="00713A56">
            <w:pPr>
              <w:jc w:val="center"/>
              <w:rPr>
                <w:rFonts w:ascii="Calibri" w:hAnsi="Calibri" w:cs="Calibri"/>
                <w:color w:val="000000"/>
                <w:sz w:val="18"/>
                <w:szCs w:val="18"/>
              </w:rPr>
            </w:pPr>
            <w:r>
              <w:rPr>
                <w:rFonts w:ascii="Calibri" w:hAnsi="Calibri" w:cs="Calibri"/>
                <w:color w:val="000000"/>
                <w:sz w:val="18"/>
                <w:szCs w:val="18"/>
              </w:rPr>
              <w:t>12</w:t>
            </w:r>
          </w:p>
        </w:tc>
        <w:tc>
          <w:tcPr>
            <w:tcW w:w="990" w:type="dxa"/>
            <w:tcBorders>
              <w:top w:val="nil"/>
              <w:left w:val="nil"/>
              <w:bottom w:val="single" w:sz="4" w:space="0" w:color="auto"/>
              <w:right w:val="single" w:sz="4" w:space="0" w:color="auto"/>
            </w:tcBorders>
            <w:shd w:val="clear" w:color="auto" w:fill="auto"/>
            <w:noWrap/>
            <w:vAlign w:val="center"/>
            <w:hideMark/>
          </w:tcPr>
          <w:p w14:paraId="2D634F5D" w14:textId="77777777" w:rsidR="00713A56" w:rsidRDefault="00713A56">
            <w:pPr>
              <w:jc w:val="center"/>
              <w:rPr>
                <w:rFonts w:ascii="Calibri" w:hAnsi="Calibri" w:cs="Calibri"/>
                <w:color w:val="000000"/>
                <w:sz w:val="18"/>
                <w:szCs w:val="18"/>
              </w:rPr>
            </w:pPr>
            <w:r>
              <w:rPr>
                <w:rFonts w:ascii="Calibri" w:hAnsi="Calibri" w:cs="Calibri"/>
                <w:color w:val="000000"/>
                <w:sz w:val="18"/>
                <w:szCs w:val="18"/>
              </w:rPr>
              <w:t>9</w:t>
            </w:r>
          </w:p>
        </w:tc>
        <w:tc>
          <w:tcPr>
            <w:tcW w:w="1047" w:type="dxa"/>
            <w:tcBorders>
              <w:top w:val="nil"/>
              <w:left w:val="nil"/>
              <w:bottom w:val="single" w:sz="4" w:space="0" w:color="auto"/>
              <w:right w:val="single" w:sz="4" w:space="0" w:color="auto"/>
            </w:tcBorders>
            <w:shd w:val="clear" w:color="auto" w:fill="auto"/>
            <w:noWrap/>
            <w:vAlign w:val="center"/>
            <w:hideMark/>
          </w:tcPr>
          <w:p w14:paraId="55E87FB2" w14:textId="77777777" w:rsidR="00713A56" w:rsidRDefault="00713A56">
            <w:pPr>
              <w:jc w:val="center"/>
              <w:rPr>
                <w:sz w:val="20"/>
                <w:szCs w:val="20"/>
              </w:rPr>
            </w:pPr>
            <w:r>
              <w:rPr>
                <w:sz w:val="20"/>
                <w:szCs w:val="20"/>
              </w:rPr>
              <w:t>0</w:t>
            </w:r>
          </w:p>
        </w:tc>
        <w:tc>
          <w:tcPr>
            <w:tcW w:w="917" w:type="dxa"/>
            <w:tcBorders>
              <w:top w:val="nil"/>
              <w:left w:val="nil"/>
              <w:bottom w:val="single" w:sz="4" w:space="0" w:color="auto"/>
              <w:right w:val="single" w:sz="4" w:space="0" w:color="auto"/>
            </w:tcBorders>
            <w:shd w:val="clear" w:color="auto" w:fill="auto"/>
            <w:noWrap/>
            <w:vAlign w:val="center"/>
            <w:hideMark/>
          </w:tcPr>
          <w:p w14:paraId="5377B27E" w14:textId="77777777" w:rsidR="00713A56" w:rsidRDefault="00713A56">
            <w:pPr>
              <w:jc w:val="center"/>
              <w:rPr>
                <w:sz w:val="20"/>
                <w:szCs w:val="20"/>
              </w:rPr>
            </w:pPr>
            <w:r>
              <w:rPr>
                <w:sz w:val="20"/>
                <w:szCs w:val="20"/>
              </w:rPr>
              <w:t>0</w:t>
            </w:r>
          </w:p>
        </w:tc>
        <w:tc>
          <w:tcPr>
            <w:tcW w:w="1085" w:type="dxa"/>
            <w:tcBorders>
              <w:top w:val="nil"/>
              <w:left w:val="nil"/>
              <w:bottom w:val="single" w:sz="4" w:space="0" w:color="auto"/>
              <w:right w:val="single" w:sz="4" w:space="0" w:color="auto"/>
            </w:tcBorders>
            <w:shd w:val="clear" w:color="auto" w:fill="auto"/>
            <w:noWrap/>
            <w:vAlign w:val="center"/>
            <w:hideMark/>
          </w:tcPr>
          <w:p w14:paraId="32077C04" w14:textId="77777777" w:rsidR="00713A56" w:rsidRDefault="00713A56">
            <w:pPr>
              <w:jc w:val="center"/>
              <w:rPr>
                <w:rFonts w:ascii="Calibri" w:hAnsi="Calibri" w:cs="Calibri"/>
                <w:color w:val="000000"/>
                <w:sz w:val="18"/>
                <w:szCs w:val="18"/>
              </w:rPr>
            </w:pPr>
            <w:r>
              <w:rPr>
                <w:rFonts w:ascii="Calibri" w:hAnsi="Calibri" w:cs="Calibri"/>
                <w:color w:val="000000"/>
                <w:sz w:val="18"/>
                <w:szCs w:val="18"/>
              </w:rPr>
              <w:t>21</w:t>
            </w:r>
          </w:p>
        </w:tc>
        <w:tc>
          <w:tcPr>
            <w:tcW w:w="955" w:type="dxa"/>
            <w:tcBorders>
              <w:top w:val="nil"/>
              <w:left w:val="nil"/>
              <w:bottom w:val="single" w:sz="4" w:space="0" w:color="auto"/>
              <w:right w:val="single" w:sz="4" w:space="0" w:color="auto"/>
            </w:tcBorders>
            <w:shd w:val="clear" w:color="auto" w:fill="auto"/>
            <w:noWrap/>
            <w:vAlign w:val="center"/>
            <w:hideMark/>
          </w:tcPr>
          <w:p w14:paraId="642D8309" w14:textId="77777777" w:rsidR="00713A56" w:rsidRDefault="00713A56">
            <w:pPr>
              <w:rPr>
                <w:sz w:val="20"/>
                <w:szCs w:val="20"/>
              </w:rPr>
            </w:pPr>
            <w:r>
              <w:rPr>
                <w:sz w:val="20"/>
                <w:szCs w:val="20"/>
              </w:rPr>
              <w:t> </w:t>
            </w:r>
          </w:p>
        </w:tc>
      </w:tr>
      <w:tr w:rsidR="00713A56" w14:paraId="4050F425" w14:textId="77777777" w:rsidTr="009A0919">
        <w:trPr>
          <w:trHeight w:val="246"/>
        </w:trPr>
        <w:tc>
          <w:tcPr>
            <w:tcW w:w="3808" w:type="dxa"/>
            <w:tcBorders>
              <w:top w:val="nil"/>
              <w:left w:val="single" w:sz="4" w:space="0" w:color="auto"/>
              <w:bottom w:val="single" w:sz="4" w:space="0" w:color="auto"/>
              <w:right w:val="single" w:sz="4" w:space="0" w:color="auto"/>
            </w:tcBorders>
            <w:shd w:val="clear" w:color="auto" w:fill="auto"/>
            <w:noWrap/>
            <w:vAlign w:val="center"/>
            <w:hideMark/>
          </w:tcPr>
          <w:p w14:paraId="0E3D8C4C" w14:textId="77777777" w:rsidR="00713A56" w:rsidRDefault="00713A56">
            <w:pPr>
              <w:rPr>
                <w:rFonts w:ascii="Calibri" w:hAnsi="Calibri" w:cs="Calibri"/>
                <w:color w:val="000000"/>
                <w:sz w:val="18"/>
                <w:szCs w:val="18"/>
              </w:rPr>
            </w:pPr>
            <w:r>
              <w:rPr>
                <w:rFonts w:ascii="Calibri" w:hAnsi="Calibri" w:cs="Calibri"/>
                <w:color w:val="000000"/>
                <w:sz w:val="18"/>
                <w:szCs w:val="18"/>
              </w:rPr>
              <w:t>Recruitment in FY2023-24 (O)</w:t>
            </w:r>
          </w:p>
        </w:tc>
        <w:tc>
          <w:tcPr>
            <w:tcW w:w="1479" w:type="dxa"/>
            <w:tcBorders>
              <w:top w:val="nil"/>
              <w:left w:val="nil"/>
              <w:bottom w:val="single" w:sz="4" w:space="0" w:color="auto"/>
              <w:right w:val="single" w:sz="4" w:space="0" w:color="auto"/>
            </w:tcBorders>
            <w:shd w:val="clear" w:color="auto" w:fill="auto"/>
            <w:noWrap/>
            <w:vAlign w:val="center"/>
            <w:hideMark/>
          </w:tcPr>
          <w:p w14:paraId="6A3BFA33" w14:textId="77777777" w:rsidR="00713A56" w:rsidRDefault="00713A56">
            <w:pPr>
              <w:jc w:val="center"/>
              <w:rPr>
                <w:rFonts w:ascii="Calibri" w:hAnsi="Calibri" w:cs="Calibri"/>
                <w:color w:val="000000"/>
                <w:sz w:val="18"/>
                <w:szCs w:val="18"/>
              </w:rPr>
            </w:pPr>
            <w:r>
              <w:rPr>
                <w:rFonts w:ascii="Calibri" w:hAnsi="Calibri" w:cs="Calibri"/>
                <w:color w:val="000000"/>
                <w:sz w:val="18"/>
                <w:szCs w:val="18"/>
              </w:rPr>
              <w:t>29</w:t>
            </w:r>
          </w:p>
        </w:tc>
        <w:tc>
          <w:tcPr>
            <w:tcW w:w="990" w:type="dxa"/>
            <w:tcBorders>
              <w:top w:val="nil"/>
              <w:left w:val="nil"/>
              <w:bottom w:val="single" w:sz="4" w:space="0" w:color="auto"/>
              <w:right w:val="single" w:sz="4" w:space="0" w:color="auto"/>
            </w:tcBorders>
            <w:shd w:val="clear" w:color="auto" w:fill="auto"/>
            <w:noWrap/>
            <w:vAlign w:val="center"/>
            <w:hideMark/>
          </w:tcPr>
          <w:p w14:paraId="19FA7861" w14:textId="77777777" w:rsidR="00713A56" w:rsidRDefault="00713A56">
            <w:pPr>
              <w:jc w:val="center"/>
              <w:rPr>
                <w:rFonts w:ascii="Calibri" w:hAnsi="Calibri" w:cs="Calibri"/>
                <w:color w:val="000000"/>
                <w:sz w:val="18"/>
                <w:szCs w:val="18"/>
              </w:rPr>
            </w:pPr>
            <w:r>
              <w:rPr>
                <w:rFonts w:ascii="Calibri" w:hAnsi="Calibri" w:cs="Calibri"/>
                <w:color w:val="000000"/>
                <w:sz w:val="18"/>
                <w:szCs w:val="18"/>
              </w:rPr>
              <w:t>15</w:t>
            </w:r>
          </w:p>
        </w:tc>
        <w:tc>
          <w:tcPr>
            <w:tcW w:w="1047" w:type="dxa"/>
            <w:tcBorders>
              <w:top w:val="nil"/>
              <w:left w:val="nil"/>
              <w:bottom w:val="single" w:sz="4" w:space="0" w:color="auto"/>
              <w:right w:val="single" w:sz="4" w:space="0" w:color="auto"/>
            </w:tcBorders>
            <w:shd w:val="clear" w:color="auto" w:fill="auto"/>
            <w:noWrap/>
            <w:vAlign w:val="center"/>
            <w:hideMark/>
          </w:tcPr>
          <w:p w14:paraId="38E8F2C3" w14:textId="77777777" w:rsidR="00713A56" w:rsidRDefault="00713A56">
            <w:pPr>
              <w:jc w:val="center"/>
              <w:rPr>
                <w:sz w:val="20"/>
                <w:szCs w:val="20"/>
              </w:rPr>
            </w:pPr>
            <w:r>
              <w:rPr>
                <w:sz w:val="20"/>
                <w:szCs w:val="20"/>
              </w:rPr>
              <w:t>0</w:t>
            </w:r>
          </w:p>
        </w:tc>
        <w:tc>
          <w:tcPr>
            <w:tcW w:w="917" w:type="dxa"/>
            <w:tcBorders>
              <w:top w:val="nil"/>
              <w:left w:val="nil"/>
              <w:bottom w:val="single" w:sz="4" w:space="0" w:color="auto"/>
              <w:right w:val="single" w:sz="4" w:space="0" w:color="auto"/>
            </w:tcBorders>
            <w:shd w:val="clear" w:color="auto" w:fill="auto"/>
            <w:noWrap/>
            <w:vAlign w:val="center"/>
            <w:hideMark/>
          </w:tcPr>
          <w:p w14:paraId="5BB5EE4B" w14:textId="77777777" w:rsidR="00713A56" w:rsidRDefault="00713A56">
            <w:pPr>
              <w:jc w:val="center"/>
              <w:rPr>
                <w:sz w:val="20"/>
                <w:szCs w:val="20"/>
              </w:rPr>
            </w:pPr>
            <w:r>
              <w:rPr>
                <w:sz w:val="20"/>
                <w:szCs w:val="20"/>
              </w:rPr>
              <w:t>0</w:t>
            </w:r>
          </w:p>
        </w:tc>
        <w:tc>
          <w:tcPr>
            <w:tcW w:w="1085" w:type="dxa"/>
            <w:tcBorders>
              <w:top w:val="nil"/>
              <w:left w:val="nil"/>
              <w:bottom w:val="single" w:sz="4" w:space="0" w:color="auto"/>
              <w:right w:val="single" w:sz="4" w:space="0" w:color="auto"/>
            </w:tcBorders>
            <w:shd w:val="clear" w:color="auto" w:fill="auto"/>
            <w:noWrap/>
            <w:vAlign w:val="center"/>
            <w:hideMark/>
          </w:tcPr>
          <w:p w14:paraId="6D8389B6" w14:textId="77777777" w:rsidR="00713A56" w:rsidRDefault="00713A56">
            <w:pPr>
              <w:jc w:val="center"/>
              <w:rPr>
                <w:rFonts w:ascii="Calibri" w:hAnsi="Calibri" w:cs="Calibri"/>
                <w:color w:val="000000"/>
                <w:sz w:val="18"/>
                <w:szCs w:val="18"/>
              </w:rPr>
            </w:pPr>
            <w:r>
              <w:rPr>
                <w:rFonts w:ascii="Calibri" w:hAnsi="Calibri" w:cs="Calibri"/>
                <w:color w:val="000000"/>
                <w:sz w:val="18"/>
                <w:szCs w:val="18"/>
              </w:rPr>
              <w:t>44</w:t>
            </w:r>
          </w:p>
        </w:tc>
        <w:tc>
          <w:tcPr>
            <w:tcW w:w="955" w:type="dxa"/>
            <w:tcBorders>
              <w:top w:val="nil"/>
              <w:left w:val="nil"/>
              <w:bottom w:val="single" w:sz="4" w:space="0" w:color="auto"/>
              <w:right w:val="single" w:sz="4" w:space="0" w:color="auto"/>
            </w:tcBorders>
            <w:shd w:val="clear" w:color="auto" w:fill="auto"/>
            <w:noWrap/>
            <w:vAlign w:val="center"/>
            <w:hideMark/>
          </w:tcPr>
          <w:p w14:paraId="6A46FC7B" w14:textId="77777777" w:rsidR="00713A56" w:rsidRDefault="00713A56">
            <w:pPr>
              <w:jc w:val="center"/>
              <w:rPr>
                <w:rFonts w:ascii="Calibri" w:hAnsi="Calibri" w:cs="Calibri"/>
                <w:color w:val="000000"/>
                <w:sz w:val="18"/>
                <w:szCs w:val="18"/>
              </w:rPr>
            </w:pPr>
            <w:r>
              <w:rPr>
                <w:rFonts w:ascii="Calibri" w:hAnsi="Calibri" w:cs="Calibri"/>
                <w:color w:val="000000"/>
                <w:sz w:val="18"/>
                <w:szCs w:val="18"/>
              </w:rPr>
              <w:t>44</w:t>
            </w:r>
          </w:p>
        </w:tc>
      </w:tr>
      <w:tr w:rsidR="00713A56" w14:paraId="057E3971" w14:textId="77777777" w:rsidTr="009A0919">
        <w:trPr>
          <w:trHeight w:val="246"/>
        </w:trPr>
        <w:tc>
          <w:tcPr>
            <w:tcW w:w="3808" w:type="dxa"/>
            <w:tcBorders>
              <w:top w:val="nil"/>
              <w:left w:val="single" w:sz="4" w:space="0" w:color="auto"/>
              <w:bottom w:val="single" w:sz="4" w:space="0" w:color="auto"/>
              <w:right w:val="single" w:sz="4" w:space="0" w:color="auto"/>
            </w:tcBorders>
            <w:shd w:val="clear" w:color="auto" w:fill="auto"/>
            <w:noWrap/>
            <w:vAlign w:val="center"/>
            <w:hideMark/>
          </w:tcPr>
          <w:p w14:paraId="7CB2F3C6" w14:textId="77777777" w:rsidR="00713A56" w:rsidRDefault="00713A56">
            <w:pPr>
              <w:rPr>
                <w:rFonts w:ascii="Calibri" w:hAnsi="Calibri" w:cs="Calibri"/>
                <w:color w:val="000000"/>
                <w:sz w:val="18"/>
                <w:szCs w:val="18"/>
              </w:rPr>
            </w:pPr>
            <w:r>
              <w:rPr>
                <w:rFonts w:ascii="Calibri" w:hAnsi="Calibri" w:cs="Calibri"/>
                <w:color w:val="000000"/>
                <w:sz w:val="18"/>
                <w:szCs w:val="18"/>
              </w:rPr>
              <w:t>Recruitment of Trainees during FY 2023-24(P)</w:t>
            </w:r>
          </w:p>
        </w:tc>
        <w:tc>
          <w:tcPr>
            <w:tcW w:w="1479" w:type="dxa"/>
            <w:tcBorders>
              <w:top w:val="nil"/>
              <w:left w:val="nil"/>
              <w:bottom w:val="single" w:sz="4" w:space="0" w:color="auto"/>
              <w:right w:val="single" w:sz="4" w:space="0" w:color="auto"/>
            </w:tcBorders>
            <w:shd w:val="clear" w:color="auto" w:fill="auto"/>
            <w:noWrap/>
            <w:vAlign w:val="center"/>
            <w:hideMark/>
          </w:tcPr>
          <w:p w14:paraId="783EE5F1" w14:textId="77777777" w:rsidR="00713A56" w:rsidRDefault="00713A56">
            <w:pPr>
              <w:jc w:val="center"/>
              <w:rPr>
                <w:rFonts w:ascii="Calibri" w:hAnsi="Calibri" w:cs="Calibri"/>
                <w:color w:val="000000"/>
                <w:sz w:val="18"/>
                <w:szCs w:val="18"/>
              </w:rPr>
            </w:pPr>
            <w:r>
              <w:rPr>
                <w:rFonts w:ascii="Calibri" w:hAnsi="Calibri" w:cs="Calibri"/>
                <w:color w:val="000000"/>
                <w:sz w:val="18"/>
                <w:szCs w:val="18"/>
              </w:rPr>
              <w:t>82</w:t>
            </w:r>
          </w:p>
        </w:tc>
        <w:tc>
          <w:tcPr>
            <w:tcW w:w="990" w:type="dxa"/>
            <w:tcBorders>
              <w:top w:val="nil"/>
              <w:left w:val="nil"/>
              <w:bottom w:val="single" w:sz="4" w:space="0" w:color="auto"/>
              <w:right w:val="single" w:sz="4" w:space="0" w:color="auto"/>
            </w:tcBorders>
            <w:shd w:val="clear" w:color="auto" w:fill="auto"/>
            <w:noWrap/>
            <w:vAlign w:val="center"/>
            <w:hideMark/>
          </w:tcPr>
          <w:p w14:paraId="200847DD" w14:textId="77777777" w:rsidR="00713A56" w:rsidRDefault="00713A56">
            <w:pPr>
              <w:jc w:val="center"/>
              <w:rPr>
                <w:rFonts w:ascii="Calibri" w:hAnsi="Calibri" w:cs="Calibri"/>
                <w:color w:val="000000"/>
                <w:sz w:val="18"/>
                <w:szCs w:val="18"/>
              </w:rPr>
            </w:pPr>
            <w:r>
              <w:rPr>
                <w:rFonts w:ascii="Calibri" w:hAnsi="Calibri" w:cs="Calibri"/>
                <w:color w:val="000000"/>
                <w:sz w:val="18"/>
                <w:szCs w:val="18"/>
              </w:rPr>
              <w:t>15</w:t>
            </w:r>
          </w:p>
        </w:tc>
        <w:tc>
          <w:tcPr>
            <w:tcW w:w="1047" w:type="dxa"/>
            <w:tcBorders>
              <w:top w:val="nil"/>
              <w:left w:val="nil"/>
              <w:bottom w:val="single" w:sz="4" w:space="0" w:color="auto"/>
              <w:right w:val="single" w:sz="4" w:space="0" w:color="auto"/>
            </w:tcBorders>
            <w:shd w:val="clear" w:color="auto" w:fill="auto"/>
            <w:noWrap/>
            <w:vAlign w:val="center"/>
            <w:hideMark/>
          </w:tcPr>
          <w:p w14:paraId="78B99FC1" w14:textId="77777777" w:rsidR="00713A56" w:rsidRDefault="00713A56">
            <w:pPr>
              <w:jc w:val="center"/>
              <w:rPr>
                <w:sz w:val="20"/>
                <w:szCs w:val="20"/>
              </w:rPr>
            </w:pPr>
            <w:r>
              <w:rPr>
                <w:sz w:val="20"/>
                <w:szCs w:val="20"/>
              </w:rPr>
              <w:t>0</w:t>
            </w:r>
          </w:p>
        </w:tc>
        <w:tc>
          <w:tcPr>
            <w:tcW w:w="917" w:type="dxa"/>
            <w:tcBorders>
              <w:top w:val="nil"/>
              <w:left w:val="nil"/>
              <w:bottom w:val="single" w:sz="4" w:space="0" w:color="auto"/>
              <w:right w:val="single" w:sz="4" w:space="0" w:color="auto"/>
            </w:tcBorders>
            <w:shd w:val="clear" w:color="auto" w:fill="auto"/>
            <w:noWrap/>
            <w:vAlign w:val="center"/>
            <w:hideMark/>
          </w:tcPr>
          <w:p w14:paraId="0432B158" w14:textId="77777777" w:rsidR="00713A56" w:rsidRDefault="00713A56">
            <w:pPr>
              <w:jc w:val="center"/>
              <w:rPr>
                <w:sz w:val="20"/>
                <w:szCs w:val="20"/>
              </w:rPr>
            </w:pPr>
            <w:r>
              <w:rPr>
                <w:sz w:val="20"/>
                <w:szCs w:val="20"/>
              </w:rPr>
              <w:t>0</w:t>
            </w:r>
          </w:p>
        </w:tc>
        <w:tc>
          <w:tcPr>
            <w:tcW w:w="1085" w:type="dxa"/>
            <w:tcBorders>
              <w:top w:val="nil"/>
              <w:left w:val="nil"/>
              <w:bottom w:val="single" w:sz="4" w:space="0" w:color="auto"/>
              <w:right w:val="single" w:sz="4" w:space="0" w:color="auto"/>
            </w:tcBorders>
            <w:shd w:val="clear" w:color="auto" w:fill="auto"/>
            <w:noWrap/>
            <w:vAlign w:val="center"/>
            <w:hideMark/>
          </w:tcPr>
          <w:p w14:paraId="27CA24C2" w14:textId="77777777" w:rsidR="00713A56" w:rsidRDefault="00713A56">
            <w:pPr>
              <w:jc w:val="center"/>
              <w:rPr>
                <w:rFonts w:ascii="Calibri" w:hAnsi="Calibri" w:cs="Calibri"/>
                <w:color w:val="000000"/>
                <w:sz w:val="18"/>
                <w:szCs w:val="18"/>
              </w:rPr>
            </w:pPr>
            <w:r>
              <w:rPr>
                <w:rFonts w:ascii="Calibri" w:hAnsi="Calibri" w:cs="Calibri"/>
                <w:color w:val="000000"/>
                <w:sz w:val="18"/>
                <w:szCs w:val="18"/>
              </w:rPr>
              <w:t>97</w:t>
            </w:r>
          </w:p>
        </w:tc>
        <w:tc>
          <w:tcPr>
            <w:tcW w:w="955" w:type="dxa"/>
            <w:tcBorders>
              <w:top w:val="nil"/>
              <w:left w:val="nil"/>
              <w:bottom w:val="single" w:sz="4" w:space="0" w:color="auto"/>
              <w:right w:val="single" w:sz="4" w:space="0" w:color="auto"/>
            </w:tcBorders>
            <w:shd w:val="clear" w:color="auto" w:fill="auto"/>
            <w:noWrap/>
            <w:vAlign w:val="center"/>
            <w:hideMark/>
          </w:tcPr>
          <w:p w14:paraId="10F0EB44" w14:textId="77777777" w:rsidR="00713A56" w:rsidRDefault="00713A56">
            <w:pPr>
              <w:jc w:val="center"/>
              <w:rPr>
                <w:rFonts w:ascii="Calibri" w:hAnsi="Calibri" w:cs="Calibri"/>
                <w:color w:val="000000"/>
                <w:sz w:val="18"/>
                <w:szCs w:val="18"/>
              </w:rPr>
            </w:pPr>
            <w:r>
              <w:rPr>
                <w:rFonts w:ascii="Calibri" w:hAnsi="Calibri" w:cs="Calibri"/>
                <w:color w:val="000000"/>
                <w:sz w:val="18"/>
                <w:szCs w:val="18"/>
              </w:rPr>
              <w:t>97</w:t>
            </w:r>
          </w:p>
        </w:tc>
      </w:tr>
      <w:tr w:rsidR="00713A56" w14:paraId="7C3F72D6" w14:textId="77777777" w:rsidTr="009A0919">
        <w:trPr>
          <w:trHeight w:val="246"/>
        </w:trPr>
        <w:tc>
          <w:tcPr>
            <w:tcW w:w="3808" w:type="dxa"/>
            <w:tcBorders>
              <w:top w:val="nil"/>
              <w:left w:val="single" w:sz="4" w:space="0" w:color="auto"/>
              <w:bottom w:val="single" w:sz="4" w:space="0" w:color="auto"/>
              <w:right w:val="single" w:sz="4" w:space="0" w:color="auto"/>
            </w:tcBorders>
            <w:shd w:val="clear" w:color="auto" w:fill="auto"/>
            <w:noWrap/>
            <w:vAlign w:val="center"/>
            <w:hideMark/>
          </w:tcPr>
          <w:p w14:paraId="566E5E32" w14:textId="77777777" w:rsidR="00713A56" w:rsidRDefault="00713A56">
            <w:pPr>
              <w:rPr>
                <w:rFonts w:ascii="Calibri" w:hAnsi="Calibri" w:cs="Calibri"/>
                <w:color w:val="000000"/>
                <w:sz w:val="18"/>
                <w:szCs w:val="18"/>
              </w:rPr>
            </w:pPr>
            <w:r>
              <w:rPr>
                <w:rFonts w:ascii="Calibri" w:hAnsi="Calibri" w:cs="Calibri"/>
                <w:color w:val="000000"/>
                <w:sz w:val="18"/>
                <w:szCs w:val="18"/>
              </w:rPr>
              <w:t>New employees resigned during FY 2023-24(Q)</w:t>
            </w:r>
          </w:p>
        </w:tc>
        <w:tc>
          <w:tcPr>
            <w:tcW w:w="1479" w:type="dxa"/>
            <w:tcBorders>
              <w:top w:val="nil"/>
              <w:left w:val="nil"/>
              <w:bottom w:val="single" w:sz="4" w:space="0" w:color="auto"/>
              <w:right w:val="single" w:sz="4" w:space="0" w:color="auto"/>
            </w:tcBorders>
            <w:shd w:val="clear" w:color="auto" w:fill="auto"/>
            <w:noWrap/>
            <w:vAlign w:val="center"/>
            <w:hideMark/>
          </w:tcPr>
          <w:p w14:paraId="63207C34" w14:textId="77777777" w:rsidR="00713A56" w:rsidRDefault="00713A56">
            <w:pPr>
              <w:jc w:val="center"/>
              <w:rPr>
                <w:rFonts w:ascii="Calibri" w:hAnsi="Calibri" w:cs="Calibri"/>
                <w:color w:val="000000"/>
                <w:sz w:val="18"/>
                <w:szCs w:val="18"/>
              </w:rPr>
            </w:pPr>
            <w:r>
              <w:rPr>
                <w:rFonts w:ascii="Calibri" w:hAnsi="Calibri" w:cs="Calibri"/>
                <w:color w:val="000000"/>
                <w:sz w:val="18"/>
                <w:szCs w:val="18"/>
              </w:rPr>
              <w:t>54</w:t>
            </w:r>
          </w:p>
        </w:tc>
        <w:tc>
          <w:tcPr>
            <w:tcW w:w="990" w:type="dxa"/>
            <w:tcBorders>
              <w:top w:val="nil"/>
              <w:left w:val="nil"/>
              <w:bottom w:val="single" w:sz="4" w:space="0" w:color="auto"/>
              <w:right w:val="single" w:sz="4" w:space="0" w:color="auto"/>
            </w:tcBorders>
            <w:shd w:val="clear" w:color="auto" w:fill="auto"/>
            <w:noWrap/>
            <w:vAlign w:val="center"/>
            <w:hideMark/>
          </w:tcPr>
          <w:p w14:paraId="7049C123" w14:textId="77777777" w:rsidR="00713A56" w:rsidRDefault="00713A56">
            <w:pPr>
              <w:jc w:val="center"/>
              <w:rPr>
                <w:rFonts w:ascii="Calibri" w:hAnsi="Calibri" w:cs="Calibri"/>
                <w:color w:val="000000"/>
                <w:sz w:val="18"/>
                <w:szCs w:val="18"/>
              </w:rPr>
            </w:pPr>
            <w:r>
              <w:rPr>
                <w:rFonts w:ascii="Calibri" w:hAnsi="Calibri" w:cs="Calibri"/>
                <w:color w:val="000000"/>
                <w:sz w:val="18"/>
                <w:szCs w:val="18"/>
              </w:rPr>
              <w:t>13</w:t>
            </w:r>
          </w:p>
        </w:tc>
        <w:tc>
          <w:tcPr>
            <w:tcW w:w="1047" w:type="dxa"/>
            <w:tcBorders>
              <w:top w:val="nil"/>
              <w:left w:val="nil"/>
              <w:bottom w:val="single" w:sz="4" w:space="0" w:color="auto"/>
              <w:right w:val="single" w:sz="4" w:space="0" w:color="auto"/>
            </w:tcBorders>
            <w:shd w:val="clear" w:color="auto" w:fill="auto"/>
            <w:noWrap/>
            <w:vAlign w:val="center"/>
            <w:hideMark/>
          </w:tcPr>
          <w:p w14:paraId="58834B48" w14:textId="77777777" w:rsidR="00713A56" w:rsidRDefault="00713A56">
            <w:pPr>
              <w:jc w:val="center"/>
              <w:rPr>
                <w:sz w:val="20"/>
                <w:szCs w:val="20"/>
              </w:rPr>
            </w:pPr>
            <w:r>
              <w:rPr>
                <w:sz w:val="20"/>
                <w:szCs w:val="20"/>
              </w:rPr>
              <w:t>0</w:t>
            </w:r>
          </w:p>
        </w:tc>
        <w:tc>
          <w:tcPr>
            <w:tcW w:w="917" w:type="dxa"/>
            <w:tcBorders>
              <w:top w:val="nil"/>
              <w:left w:val="nil"/>
              <w:bottom w:val="single" w:sz="4" w:space="0" w:color="auto"/>
              <w:right w:val="single" w:sz="4" w:space="0" w:color="auto"/>
            </w:tcBorders>
            <w:shd w:val="clear" w:color="auto" w:fill="auto"/>
            <w:noWrap/>
            <w:vAlign w:val="center"/>
            <w:hideMark/>
          </w:tcPr>
          <w:p w14:paraId="3FEBF4D4" w14:textId="77777777" w:rsidR="00713A56" w:rsidRDefault="00713A56">
            <w:pPr>
              <w:jc w:val="center"/>
              <w:rPr>
                <w:sz w:val="20"/>
                <w:szCs w:val="20"/>
              </w:rPr>
            </w:pPr>
            <w:r>
              <w:rPr>
                <w:sz w:val="20"/>
                <w:szCs w:val="20"/>
              </w:rPr>
              <w:t>0</w:t>
            </w:r>
          </w:p>
        </w:tc>
        <w:tc>
          <w:tcPr>
            <w:tcW w:w="1085" w:type="dxa"/>
            <w:tcBorders>
              <w:top w:val="nil"/>
              <w:left w:val="nil"/>
              <w:bottom w:val="single" w:sz="4" w:space="0" w:color="auto"/>
              <w:right w:val="single" w:sz="4" w:space="0" w:color="auto"/>
            </w:tcBorders>
            <w:shd w:val="clear" w:color="auto" w:fill="auto"/>
            <w:noWrap/>
            <w:vAlign w:val="center"/>
            <w:hideMark/>
          </w:tcPr>
          <w:p w14:paraId="5A1C4387" w14:textId="77777777" w:rsidR="00713A56" w:rsidRDefault="00713A56">
            <w:pPr>
              <w:jc w:val="center"/>
              <w:rPr>
                <w:rFonts w:ascii="Calibri" w:hAnsi="Calibri" w:cs="Calibri"/>
                <w:color w:val="000000"/>
                <w:sz w:val="18"/>
                <w:szCs w:val="18"/>
              </w:rPr>
            </w:pPr>
            <w:r>
              <w:rPr>
                <w:rFonts w:ascii="Calibri" w:hAnsi="Calibri" w:cs="Calibri"/>
                <w:color w:val="000000"/>
                <w:sz w:val="18"/>
                <w:szCs w:val="18"/>
              </w:rPr>
              <w:t>67</w:t>
            </w:r>
          </w:p>
        </w:tc>
        <w:tc>
          <w:tcPr>
            <w:tcW w:w="955" w:type="dxa"/>
            <w:tcBorders>
              <w:top w:val="nil"/>
              <w:left w:val="nil"/>
              <w:bottom w:val="single" w:sz="4" w:space="0" w:color="auto"/>
              <w:right w:val="single" w:sz="4" w:space="0" w:color="auto"/>
            </w:tcBorders>
            <w:shd w:val="clear" w:color="auto" w:fill="auto"/>
            <w:noWrap/>
            <w:vAlign w:val="center"/>
            <w:hideMark/>
          </w:tcPr>
          <w:p w14:paraId="09577C12" w14:textId="77777777" w:rsidR="00713A56" w:rsidRDefault="00713A56">
            <w:pPr>
              <w:rPr>
                <w:sz w:val="20"/>
                <w:szCs w:val="20"/>
              </w:rPr>
            </w:pPr>
            <w:r>
              <w:rPr>
                <w:sz w:val="20"/>
                <w:szCs w:val="20"/>
              </w:rPr>
              <w:t> </w:t>
            </w:r>
          </w:p>
        </w:tc>
      </w:tr>
      <w:tr w:rsidR="00713A56" w14:paraId="1D284CA7" w14:textId="77777777" w:rsidTr="009A0919">
        <w:trPr>
          <w:trHeight w:val="246"/>
        </w:trPr>
        <w:tc>
          <w:tcPr>
            <w:tcW w:w="3808" w:type="dxa"/>
            <w:tcBorders>
              <w:top w:val="nil"/>
              <w:left w:val="single" w:sz="4" w:space="0" w:color="auto"/>
              <w:bottom w:val="single" w:sz="4" w:space="0" w:color="auto"/>
              <w:right w:val="single" w:sz="4" w:space="0" w:color="auto"/>
            </w:tcBorders>
            <w:shd w:val="clear" w:color="auto" w:fill="auto"/>
            <w:noWrap/>
            <w:vAlign w:val="center"/>
            <w:hideMark/>
          </w:tcPr>
          <w:p w14:paraId="292573B4" w14:textId="77777777" w:rsidR="00713A56" w:rsidRDefault="00713A56">
            <w:pPr>
              <w:rPr>
                <w:rFonts w:ascii="Calibri" w:hAnsi="Calibri" w:cs="Calibri"/>
                <w:color w:val="000000"/>
                <w:sz w:val="18"/>
                <w:szCs w:val="18"/>
              </w:rPr>
            </w:pPr>
            <w:r>
              <w:rPr>
                <w:rFonts w:ascii="Calibri" w:hAnsi="Calibri" w:cs="Calibri"/>
                <w:color w:val="000000"/>
                <w:sz w:val="18"/>
                <w:szCs w:val="18"/>
              </w:rPr>
              <w:t>Retirement during FY 2023-</w:t>
            </w:r>
            <w:proofErr w:type="gramStart"/>
            <w:r>
              <w:rPr>
                <w:rFonts w:ascii="Calibri" w:hAnsi="Calibri" w:cs="Calibri"/>
                <w:color w:val="000000"/>
                <w:sz w:val="18"/>
                <w:szCs w:val="18"/>
              </w:rPr>
              <w:t>24  (</w:t>
            </w:r>
            <w:proofErr w:type="gramEnd"/>
            <w:r>
              <w:rPr>
                <w:rFonts w:ascii="Calibri" w:hAnsi="Calibri" w:cs="Calibri"/>
                <w:color w:val="000000"/>
                <w:sz w:val="18"/>
                <w:szCs w:val="18"/>
              </w:rPr>
              <w:t>  R)</w:t>
            </w:r>
          </w:p>
        </w:tc>
        <w:tc>
          <w:tcPr>
            <w:tcW w:w="1479" w:type="dxa"/>
            <w:tcBorders>
              <w:top w:val="nil"/>
              <w:left w:val="nil"/>
              <w:bottom w:val="single" w:sz="4" w:space="0" w:color="auto"/>
              <w:right w:val="single" w:sz="4" w:space="0" w:color="auto"/>
            </w:tcBorders>
            <w:shd w:val="clear" w:color="auto" w:fill="auto"/>
            <w:noWrap/>
            <w:vAlign w:val="center"/>
            <w:hideMark/>
          </w:tcPr>
          <w:p w14:paraId="1CD492E4" w14:textId="77777777" w:rsidR="00713A56" w:rsidRDefault="00713A56">
            <w:pPr>
              <w:jc w:val="center"/>
              <w:rPr>
                <w:rFonts w:ascii="Calibri" w:hAnsi="Calibri" w:cs="Calibri"/>
                <w:color w:val="000000"/>
                <w:sz w:val="18"/>
                <w:szCs w:val="18"/>
              </w:rPr>
            </w:pPr>
            <w:r>
              <w:rPr>
                <w:rFonts w:ascii="Calibri" w:hAnsi="Calibri" w:cs="Calibri"/>
                <w:color w:val="000000"/>
                <w:sz w:val="18"/>
                <w:szCs w:val="18"/>
              </w:rPr>
              <w:t>5</w:t>
            </w:r>
          </w:p>
        </w:tc>
        <w:tc>
          <w:tcPr>
            <w:tcW w:w="990" w:type="dxa"/>
            <w:tcBorders>
              <w:top w:val="nil"/>
              <w:left w:val="nil"/>
              <w:bottom w:val="single" w:sz="4" w:space="0" w:color="auto"/>
              <w:right w:val="single" w:sz="4" w:space="0" w:color="auto"/>
            </w:tcBorders>
            <w:shd w:val="clear" w:color="auto" w:fill="auto"/>
            <w:noWrap/>
            <w:vAlign w:val="center"/>
            <w:hideMark/>
          </w:tcPr>
          <w:p w14:paraId="2213E7C8" w14:textId="77777777" w:rsidR="00713A56" w:rsidRDefault="00713A56">
            <w:pPr>
              <w:jc w:val="center"/>
              <w:rPr>
                <w:rFonts w:ascii="Calibri" w:hAnsi="Calibri" w:cs="Calibri"/>
                <w:color w:val="000000"/>
                <w:sz w:val="18"/>
                <w:szCs w:val="18"/>
              </w:rPr>
            </w:pPr>
            <w:r>
              <w:rPr>
                <w:rFonts w:ascii="Calibri" w:hAnsi="Calibri" w:cs="Calibri"/>
                <w:color w:val="000000"/>
                <w:sz w:val="18"/>
                <w:szCs w:val="18"/>
              </w:rPr>
              <w:t>6</w:t>
            </w:r>
          </w:p>
        </w:tc>
        <w:tc>
          <w:tcPr>
            <w:tcW w:w="1047" w:type="dxa"/>
            <w:tcBorders>
              <w:top w:val="nil"/>
              <w:left w:val="nil"/>
              <w:bottom w:val="single" w:sz="4" w:space="0" w:color="auto"/>
              <w:right w:val="single" w:sz="4" w:space="0" w:color="auto"/>
            </w:tcBorders>
            <w:shd w:val="clear" w:color="auto" w:fill="auto"/>
            <w:noWrap/>
            <w:vAlign w:val="center"/>
            <w:hideMark/>
          </w:tcPr>
          <w:p w14:paraId="70AFAAE9" w14:textId="77777777" w:rsidR="00713A56" w:rsidRDefault="00713A56">
            <w:pPr>
              <w:jc w:val="center"/>
              <w:rPr>
                <w:rFonts w:ascii="Calibri" w:hAnsi="Calibri" w:cs="Calibri"/>
                <w:color w:val="000000"/>
                <w:sz w:val="18"/>
                <w:szCs w:val="18"/>
              </w:rPr>
            </w:pPr>
            <w:r>
              <w:rPr>
                <w:rFonts w:ascii="Calibri" w:hAnsi="Calibri" w:cs="Calibri"/>
                <w:color w:val="000000"/>
                <w:sz w:val="18"/>
                <w:szCs w:val="18"/>
              </w:rPr>
              <w:t>35</w:t>
            </w:r>
          </w:p>
        </w:tc>
        <w:tc>
          <w:tcPr>
            <w:tcW w:w="917" w:type="dxa"/>
            <w:tcBorders>
              <w:top w:val="nil"/>
              <w:left w:val="nil"/>
              <w:bottom w:val="single" w:sz="4" w:space="0" w:color="auto"/>
              <w:right w:val="single" w:sz="4" w:space="0" w:color="auto"/>
            </w:tcBorders>
            <w:shd w:val="clear" w:color="auto" w:fill="auto"/>
            <w:noWrap/>
            <w:vAlign w:val="center"/>
            <w:hideMark/>
          </w:tcPr>
          <w:p w14:paraId="1E3CA2E2" w14:textId="77777777" w:rsidR="00713A56" w:rsidRDefault="00713A56">
            <w:pPr>
              <w:jc w:val="center"/>
              <w:rPr>
                <w:rFonts w:ascii="Calibri" w:hAnsi="Calibri" w:cs="Calibri"/>
                <w:color w:val="000000"/>
                <w:sz w:val="18"/>
                <w:szCs w:val="18"/>
              </w:rPr>
            </w:pPr>
            <w:r>
              <w:rPr>
                <w:rFonts w:ascii="Calibri" w:hAnsi="Calibri" w:cs="Calibri"/>
                <w:color w:val="000000"/>
                <w:sz w:val="18"/>
                <w:szCs w:val="18"/>
              </w:rPr>
              <w:t>19</w:t>
            </w:r>
          </w:p>
        </w:tc>
        <w:tc>
          <w:tcPr>
            <w:tcW w:w="1085" w:type="dxa"/>
            <w:tcBorders>
              <w:top w:val="nil"/>
              <w:left w:val="nil"/>
              <w:bottom w:val="single" w:sz="4" w:space="0" w:color="auto"/>
              <w:right w:val="single" w:sz="4" w:space="0" w:color="auto"/>
            </w:tcBorders>
            <w:shd w:val="clear" w:color="auto" w:fill="auto"/>
            <w:noWrap/>
            <w:vAlign w:val="center"/>
            <w:hideMark/>
          </w:tcPr>
          <w:p w14:paraId="174183DB" w14:textId="77777777" w:rsidR="00713A56" w:rsidRDefault="00713A56">
            <w:pPr>
              <w:jc w:val="center"/>
              <w:rPr>
                <w:rFonts w:ascii="Calibri" w:hAnsi="Calibri" w:cs="Calibri"/>
                <w:color w:val="000000"/>
                <w:sz w:val="18"/>
                <w:szCs w:val="18"/>
              </w:rPr>
            </w:pPr>
            <w:r>
              <w:rPr>
                <w:rFonts w:ascii="Calibri" w:hAnsi="Calibri" w:cs="Calibri"/>
                <w:color w:val="000000"/>
                <w:sz w:val="18"/>
                <w:szCs w:val="18"/>
              </w:rPr>
              <w:t>65</w:t>
            </w:r>
          </w:p>
        </w:tc>
        <w:tc>
          <w:tcPr>
            <w:tcW w:w="955" w:type="dxa"/>
            <w:tcBorders>
              <w:top w:val="nil"/>
              <w:left w:val="nil"/>
              <w:bottom w:val="single" w:sz="4" w:space="0" w:color="auto"/>
              <w:right w:val="single" w:sz="4" w:space="0" w:color="auto"/>
            </w:tcBorders>
            <w:shd w:val="clear" w:color="auto" w:fill="auto"/>
            <w:noWrap/>
            <w:vAlign w:val="center"/>
            <w:hideMark/>
          </w:tcPr>
          <w:p w14:paraId="476C3489" w14:textId="77777777" w:rsidR="00713A56" w:rsidRDefault="00713A56">
            <w:pPr>
              <w:rPr>
                <w:sz w:val="20"/>
                <w:szCs w:val="20"/>
              </w:rPr>
            </w:pPr>
            <w:r>
              <w:rPr>
                <w:sz w:val="20"/>
                <w:szCs w:val="20"/>
              </w:rPr>
              <w:t> </w:t>
            </w:r>
          </w:p>
        </w:tc>
      </w:tr>
      <w:tr w:rsidR="00713A56" w14:paraId="55B71B23" w14:textId="77777777" w:rsidTr="009A0919">
        <w:trPr>
          <w:trHeight w:val="246"/>
        </w:trPr>
        <w:tc>
          <w:tcPr>
            <w:tcW w:w="3808" w:type="dxa"/>
            <w:tcBorders>
              <w:top w:val="nil"/>
              <w:left w:val="single" w:sz="4" w:space="0" w:color="auto"/>
              <w:bottom w:val="single" w:sz="4" w:space="0" w:color="auto"/>
              <w:right w:val="single" w:sz="4" w:space="0" w:color="auto"/>
            </w:tcBorders>
            <w:shd w:val="clear" w:color="000000" w:fill="C6D9F1"/>
            <w:noWrap/>
            <w:vAlign w:val="center"/>
            <w:hideMark/>
          </w:tcPr>
          <w:p w14:paraId="2E117730" w14:textId="77777777" w:rsidR="00713A56" w:rsidRDefault="00713A56">
            <w:pPr>
              <w:rPr>
                <w:rFonts w:ascii="Calibri" w:hAnsi="Calibri" w:cs="Calibri"/>
                <w:b/>
                <w:bCs/>
                <w:color w:val="000000"/>
                <w:sz w:val="18"/>
                <w:szCs w:val="18"/>
              </w:rPr>
            </w:pPr>
            <w:r>
              <w:rPr>
                <w:rFonts w:ascii="Calibri" w:hAnsi="Calibri" w:cs="Calibri"/>
                <w:b/>
                <w:bCs/>
                <w:color w:val="000000"/>
                <w:sz w:val="18"/>
                <w:szCs w:val="18"/>
              </w:rPr>
              <w:t>Total as on 1-04-</w:t>
            </w:r>
            <w:proofErr w:type="gramStart"/>
            <w:r>
              <w:rPr>
                <w:rFonts w:ascii="Calibri" w:hAnsi="Calibri" w:cs="Calibri"/>
                <w:b/>
                <w:bCs/>
                <w:color w:val="000000"/>
                <w:sz w:val="18"/>
                <w:szCs w:val="18"/>
              </w:rPr>
              <w:t>2024( S</w:t>
            </w:r>
            <w:proofErr w:type="gramEnd"/>
            <w:r>
              <w:rPr>
                <w:rFonts w:ascii="Calibri" w:hAnsi="Calibri" w:cs="Calibri"/>
                <w:b/>
                <w:bCs/>
                <w:color w:val="000000"/>
                <w:sz w:val="18"/>
                <w:szCs w:val="18"/>
              </w:rPr>
              <w:t>= (M+N+O+P-Q-R))</w:t>
            </w:r>
          </w:p>
        </w:tc>
        <w:tc>
          <w:tcPr>
            <w:tcW w:w="1479" w:type="dxa"/>
            <w:tcBorders>
              <w:top w:val="nil"/>
              <w:left w:val="nil"/>
              <w:bottom w:val="single" w:sz="4" w:space="0" w:color="auto"/>
              <w:right w:val="single" w:sz="4" w:space="0" w:color="auto"/>
            </w:tcBorders>
            <w:shd w:val="clear" w:color="000000" w:fill="C6D9F1"/>
            <w:noWrap/>
            <w:vAlign w:val="center"/>
            <w:hideMark/>
          </w:tcPr>
          <w:p w14:paraId="6F164214" w14:textId="77777777" w:rsidR="00713A56" w:rsidRDefault="00713A56">
            <w:pPr>
              <w:jc w:val="center"/>
              <w:rPr>
                <w:rFonts w:ascii="Calibri" w:hAnsi="Calibri" w:cs="Calibri"/>
                <w:b/>
                <w:bCs/>
                <w:color w:val="000000"/>
                <w:sz w:val="18"/>
                <w:szCs w:val="18"/>
              </w:rPr>
            </w:pPr>
            <w:r>
              <w:rPr>
                <w:rFonts w:ascii="Calibri" w:hAnsi="Calibri" w:cs="Calibri"/>
                <w:b/>
                <w:bCs/>
                <w:color w:val="000000"/>
                <w:sz w:val="18"/>
                <w:szCs w:val="18"/>
              </w:rPr>
              <w:t>976</w:t>
            </w:r>
          </w:p>
        </w:tc>
        <w:tc>
          <w:tcPr>
            <w:tcW w:w="990" w:type="dxa"/>
            <w:tcBorders>
              <w:top w:val="nil"/>
              <w:left w:val="nil"/>
              <w:bottom w:val="single" w:sz="4" w:space="0" w:color="auto"/>
              <w:right w:val="single" w:sz="4" w:space="0" w:color="auto"/>
            </w:tcBorders>
            <w:shd w:val="clear" w:color="000000" w:fill="C6D9F1"/>
            <w:noWrap/>
            <w:vAlign w:val="center"/>
            <w:hideMark/>
          </w:tcPr>
          <w:p w14:paraId="43F1EAB5" w14:textId="77777777" w:rsidR="00713A56" w:rsidRDefault="00713A56">
            <w:pPr>
              <w:jc w:val="center"/>
              <w:rPr>
                <w:rFonts w:ascii="Calibri" w:hAnsi="Calibri" w:cs="Calibri"/>
                <w:b/>
                <w:bCs/>
                <w:color w:val="000000"/>
                <w:sz w:val="18"/>
                <w:szCs w:val="18"/>
              </w:rPr>
            </w:pPr>
            <w:r>
              <w:rPr>
                <w:rFonts w:ascii="Calibri" w:hAnsi="Calibri" w:cs="Calibri"/>
                <w:b/>
                <w:bCs/>
                <w:color w:val="000000"/>
                <w:sz w:val="18"/>
                <w:szCs w:val="18"/>
              </w:rPr>
              <w:t>499</w:t>
            </w:r>
          </w:p>
        </w:tc>
        <w:tc>
          <w:tcPr>
            <w:tcW w:w="1047" w:type="dxa"/>
            <w:tcBorders>
              <w:top w:val="nil"/>
              <w:left w:val="nil"/>
              <w:bottom w:val="single" w:sz="4" w:space="0" w:color="auto"/>
              <w:right w:val="single" w:sz="4" w:space="0" w:color="auto"/>
            </w:tcBorders>
            <w:shd w:val="clear" w:color="000000" w:fill="C6D9F1"/>
            <w:noWrap/>
            <w:vAlign w:val="center"/>
            <w:hideMark/>
          </w:tcPr>
          <w:p w14:paraId="32C5FBE5" w14:textId="77777777" w:rsidR="00713A56" w:rsidRDefault="00713A56">
            <w:pPr>
              <w:jc w:val="center"/>
              <w:rPr>
                <w:rFonts w:ascii="Calibri" w:hAnsi="Calibri" w:cs="Calibri"/>
                <w:b/>
                <w:bCs/>
                <w:color w:val="000000"/>
                <w:sz w:val="18"/>
                <w:szCs w:val="18"/>
              </w:rPr>
            </w:pPr>
            <w:r>
              <w:rPr>
                <w:rFonts w:ascii="Calibri" w:hAnsi="Calibri" w:cs="Calibri"/>
                <w:b/>
                <w:bCs/>
                <w:color w:val="000000"/>
                <w:sz w:val="18"/>
                <w:szCs w:val="18"/>
              </w:rPr>
              <w:t>1312</w:t>
            </w:r>
          </w:p>
        </w:tc>
        <w:tc>
          <w:tcPr>
            <w:tcW w:w="917" w:type="dxa"/>
            <w:tcBorders>
              <w:top w:val="nil"/>
              <w:left w:val="nil"/>
              <w:bottom w:val="single" w:sz="4" w:space="0" w:color="auto"/>
              <w:right w:val="single" w:sz="4" w:space="0" w:color="auto"/>
            </w:tcBorders>
            <w:shd w:val="clear" w:color="000000" w:fill="C6D9F1"/>
            <w:noWrap/>
            <w:vAlign w:val="center"/>
            <w:hideMark/>
          </w:tcPr>
          <w:p w14:paraId="705D475F" w14:textId="77777777" w:rsidR="00713A56" w:rsidRDefault="00713A56">
            <w:pPr>
              <w:jc w:val="center"/>
              <w:rPr>
                <w:rFonts w:ascii="Calibri" w:hAnsi="Calibri" w:cs="Calibri"/>
                <w:b/>
                <w:bCs/>
                <w:color w:val="000000"/>
                <w:sz w:val="18"/>
                <w:szCs w:val="18"/>
              </w:rPr>
            </w:pPr>
            <w:r>
              <w:rPr>
                <w:rFonts w:ascii="Calibri" w:hAnsi="Calibri" w:cs="Calibri"/>
                <w:b/>
                <w:bCs/>
                <w:color w:val="000000"/>
                <w:sz w:val="18"/>
                <w:szCs w:val="18"/>
              </w:rPr>
              <w:t>204</w:t>
            </w:r>
          </w:p>
        </w:tc>
        <w:tc>
          <w:tcPr>
            <w:tcW w:w="1085" w:type="dxa"/>
            <w:tcBorders>
              <w:top w:val="nil"/>
              <w:left w:val="nil"/>
              <w:bottom w:val="single" w:sz="4" w:space="0" w:color="auto"/>
              <w:right w:val="single" w:sz="4" w:space="0" w:color="auto"/>
            </w:tcBorders>
            <w:shd w:val="clear" w:color="000000" w:fill="C6D9F1"/>
            <w:noWrap/>
            <w:vAlign w:val="center"/>
            <w:hideMark/>
          </w:tcPr>
          <w:p w14:paraId="4587F6C8" w14:textId="77777777" w:rsidR="00713A56" w:rsidRDefault="00713A56">
            <w:pPr>
              <w:jc w:val="center"/>
              <w:rPr>
                <w:rFonts w:ascii="Calibri" w:hAnsi="Calibri" w:cs="Calibri"/>
                <w:b/>
                <w:bCs/>
                <w:color w:val="000000"/>
                <w:sz w:val="18"/>
                <w:szCs w:val="18"/>
              </w:rPr>
            </w:pPr>
            <w:r>
              <w:rPr>
                <w:rFonts w:ascii="Calibri" w:hAnsi="Calibri" w:cs="Calibri"/>
                <w:b/>
                <w:bCs/>
                <w:color w:val="000000"/>
                <w:sz w:val="18"/>
                <w:szCs w:val="18"/>
              </w:rPr>
              <w:t>2991</w:t>
            </w:r>
          </w:p>
        </w:tc>
        <w:tc>
          <w:tcPr>
            <w:tcW w:w="955" w:type="dxa"/>
            <w:tcBorders>
              <w:top w:val="nil"/>
              <w:left w:val="nil"/>
              <w:bottom w:val="single" w:sz="4" w:space="0" w:color="auto"/>
              <w:right w:val="single" w:sz="4" w:space="0" w:color="auto"/>
            </w:tcBorders>
            <w:shd w:val="clear" w:color="000000" w:fill="C6D9F1"/>
            <w:noWrap/>
            <w:vAlign w:val="center"/>
            <w:hideMark/>
          </w:tcPr>
          <w:p w14:paraId="0C132675" w14:textId="77777777" w:rsidR="00713A56" w:rsidRDefault="00713A56">
            <w:pPr>
              <w:jc w:val="center"/>
              <w:rPr>
                <w:rFonts w:ascii="Calibri" w:hAnsi="Calibri" w:cs="Calibri"/>
                <w:b/>
                <w:bCs/>
                <w:color w:val="000000"/>
                <w:sz w:val="18"/>
                <w:szCs w:val="18"/>
              </w:rPr>
            </w:pPr>
            <w:r>
              <w:rPr>
                <w:rFonts w:ascii="Calibri" w:hAnsi="Calibri" w:cs="Calibri"/>
                <w:b/>
                <w:bCs/>
                <w:color w:val="000000"/>
                <w:sz w:val="18"/>
                <w:szCs w:val="18"/>
              </w:rPr>
              <w:t>141</w:t>
            </w:r>
          </w:p>
        </w:tc>
      </w:tr>
      <w:tr w:rsidR="00713A56" w14:paraId="749BF317" w14:textId="77777777" w:rsidTr="009A0919">
        <w:trPr>
          <w:trHeight w:val="246"/>
        </w:trPr>
        <w:tc>
          <w:tcPr>
            <w:tcW w:w="3808" w:type="dxa"/>
            <w:tcBorders>
              <w:top w:val="nil"/>
              <w:left w:val="single" w:sz="4" w:space="0" w:color="auto"/>
              <w:bottom w:val="single" w:sz="4" w:space="0" w:color="auto"/>
              <w:right w:val="single" w:sz="4" w:space="0" w:color="auto"/>
            </w:tcBorders>
            <w:shd w:val="clear" w:color="auto" w:fill="auto"/>
            <w:noWrap/>
            <w:vAlign w:val="center"/>
            <w:hideMark/>
          </w:tcPr>
          <w:p w14:paraId="6C98F63D" w14:textId="77777777" w:rsidR="00713A56" w:rsidRDefault="00713A56">
            <w:pPr>
              <w:rPr>
                <w:rFonts w:ascii="Calibri" w:hAnsi="Calibri" w:cs="Calibri"/>
                <w:b/>
                <w:bCs/>
                <w:color w:val="000000"/>
                <w:sz w:val="18"/>
                <w:szCs w:val="18"/>
              </w:rPr>
            </w:pPr>
            <w:r>
              <w:rPr>
                <w:rFonts w:ascii="Calibri" w:hAnsi="Calibri" w:cs="Calibri"/>
                <w:b/>
                <w:bCs/>
                <w:color w:val="000000"/>
                <w:sz w:val="18"/>
                <w:szCs w:val="18"/>
              </w:rPr>
              <w:t>Actual for FY 2024-25 H1</w:t>
            </w:r>
          </w:p>
        </w:tc>
        <w:tc>
          <w:tcPr>
            <w:tcW w:w="1479" w:type="dxa"/>
            <w:tcBorders>
              <w:top w:val="nil"/>
              <w:left w:val="nil"/>
              <w:bottom w:val="single" w:sz="4" w:space="0" w:color="auto"/>
              <w:right w:val="single" w:sz="4" w:space="0" w:color="auto"/>
            </w:tcBorders>
            <w:shd w:val="clear" w:color="auto" w:fill="auto"/>
            <w:noWrap/>
            <w:vAlign w:val="center"/>
            <w:hideMark/>
          </w:tcPr>
          <w:p w14:paraId="432B6AE9" w14:textId="77777777" w:rsidR="00713A56" w:rsidRDefault="00713A56">
            <w:pPr>
              <w:jc w:val="center"/>
              <w:rPr>
                <w:rFonts w:ascii="Calibri" w:hAnsi="Calibri" w:cs="Calibri"/>
                <w:color w:val="000000"/>
                <w:sz w:val="18"/>
                <w:szCs w:val="18"/>
              </w:rPr>
            </w:pPr>
            <w:r>
              <w:rPr>
                <w:rFonts w:ascii="Calibri" w:hAnsi="Calibri" w:cs="Calibri"/>
                <w:color w:val="000000"/>
                <w:sz w:val="18"/>
                <w:szCs w:val="18"/>
              </w:rPr>
              <w:t> </w:t>
            </w:r>
          </w:p>
        </w:tc>
        <w:tc>
          <w:tcPr>
            <w:tcW w:w="990" w:type="dxa"/>
            <w:tcBorders>
              <w:top w:val="nil"/>
              <w:left w:val="nil"/>
              <w:bottom w:val="single" w:sz="4" w:space="0" w:color="auto"/>
              <w:right w:val="single" w:sz="4" w:space="0" w:color="auto"/>
            </w:tcBorders>
            <w:shd w:val="clear" w:color="auto" w:fill="auto"/>
            <w:noWrap/>
            <w:vAlign w:val="center"/>
            <w:hideMark/>
          </w:tcPr>
          <w:p w14:paraId="73B14415" w14:textId="77777777" w:rsidR="00713A56" w:rsidRDefault="00713A56">
            <w:pPr>
              <w:jc w:val="center"/>
              <w:rPr>
                <w:rFonts w:ascii="Calibri" w:hAnsi="Calibri" w:cs="Calibri"/>
                <w:color w:val="000000"/>
                <w:sz w:val="18"/>
                <w:szCs w:val="18"/>
              </w:rPr>
            </w:pPr>
            <w:r>
              <w:rPr>
                <w:rFonts w:ascii="Calibri" w:hAnsi="Calibri" w:cs="Calibri"/>
                <w:color w:val="000000"/>
                <w:sz w:val="18"/>
                <w:szCs w:val="18"/>
              </w:rPr>
              <w:t> </w:t>
            </w:r>
          </w:p>
        </w:tc>
        <w:tc>
          <w:tcPr>
            <w:tcW w:w="1047" w:type="dxa"/>
            <w:tcBorders>
              <w:top w:val="nil"/>
              <w:left w:val="nil"/>
              <w:bottom w:val="single" w:sz="4" w:space="0" w:color="auto"/>
              <w:right w:val="single" w:sz="4" w:space="0" w:color="auto"/>
            </w:tcBorders>
            <w:shd w:val="clear" w:color="auto" w:fill="auto"/>
            <w:noWrap/>
            <w:vAlign w:val="center"/>
            <w:hideMark/>
          </w:tcPr>
          <w:p w14:paraId="728DD8DB" w14:textId="77777777" w:rsidR="00713A56" w:rsidRDefault="00713A56">
            <w:pPr>
              <w:jc w:val="center"/>
              <w:rPr>
                <w:rFonts w:ascii="Calibri" w:hAnsi="Calibri" w:cs="Calibri"/>
                <w:color w:val="000000"/>
                <w:sz w:val="18"/>
                <w:szCs w:val="18"/>
              </w:rPr>
            </w:pPr>
            <w:r>
              <w:rPr>
                <w:rFonts w:ascii="Calibri" w:hAnsi="Calibri" w:cs="Calibri"/>
                <w:color w:val="000000"/>
                <w:sz w:val="18"/>
                <w:szCs w:val="18"/>
              </w:rPr>
              <w:t> </w:t>
            </w:r>
          </w:p>
        </w:tc>
        <w:tc>
          <w:tcPr>
            <w:tcW w:w="917" w:type="dxa"/>
            <w:tcBorders>
              <w:top w:val="nil"/>
              <w:left w:val="nil"/>
              <w:bottom w:val="single" w:sz="4" w:space="0" w:color="auto"/>
              <w:right w:val="single" w:sz="4" w:space="0" w:color="auto"/>
            </w:tcBorders>
            <w:shd w:val="clear" w:color="auto" w:fill="auto"/>
            <w:noWrap/>
            <w:vAlign w:val="center"/>
            <w:hideMark/>
          </w:tcPr>
          <w:p w14:paraId="46C533E2" w14:textId="77777777" w:rsidR="00713A56" w:rsidRDefault="00713A56">
            <w:pPr>
              <w:jc w:val="center"/>
              <w:rPr>
                <w:rFonts w:ascii="Calibri" w:hAnsi="Calibri" w:cs="Calibri"/>
                <w:color w:val="000000"/>
                <w:sz w:val="18"/>
                <w:szCs w:val="18"/>
              </w:rPr>
            </w:pPr>
            <w:r>
              <w:rPr>
                <w:rFonts w:ascii="Calibri" w:hAnsi="Calibri" w:cs="Calibri"/>
                <w:color w:val="000000"/>
                <w:sz w:val="18"/>
                <w:szCs w:val="18"/>
              </w:rPr>
              <w:t> </w:t>
            </w:r>
          </w:p>
        </w:tc>
        <w:tc>
          <w:tcPr>
            <w:tcW w:w="1085" w:type="dxa"/>
            <w:tcBorders>
              <w:top w:val="nil"/>
              <w:left w:val="nil"/>
              <w:bottom w:val="single" w:sz="4" w:space="0" w:color="auto"/>
              <w:right w:val="single" w:sz="4" w:space="0" w:color="auto"/>
            </w:tcBorders>
            <w:shd w:val="clear" w:color="000000" w:fill="FFFFFF"/>
            <w:noWrap/>
            <w:vAlign w:val="center"/>
            <w:hideMark/>
          </w:tcPr>
          <w:p w14:paraId="1664355A" w14:textId="77777777" w:rsidR="00713A56" w:rsidRDefault="00713A56">
            <w:pPr>
              <w:jc w:val="center"/>
              <w:rPr>
                <w:rFonts w:ascii="Calibri" w:hAnsi="Calibri" w:cs="Calibri"/>
                <w:b/>
                <w:bCs/>
                <w:color w:val="000000"/>
                <w:sz w:val="18"/>
                <w:szCs w:val="18"/>
              </w:rPr>
            </w:pPr>
            <w:r>
              <w:rPr>
                <w:rFonts w:ascii="Calibri" w:hAnsi="Calibri" w:cs="Calibri"/>
                <w:b/>
                <w:bCs/>
                <w:color w:val="000000"/>
                <w:sz w:val="18"/>
                <w:szCs w:val="18"/>
              </w:rPr>
              <w:t> </w:t>
            </w:r>
          </w:p>
        </w:tc>
        <w:tc>
          <w:tcPr>
            <w:tcW w:w="955" w:type="dxa"/>
            <w:tcBorders>
              <w:top w:val="nil"/>
              <w:left w:val="nil"/>
              <w:bottom w:val="single" w:sz="4" w:space="0" w:color="auto"/>
              <w:right w:val="single" w:sz="4" w:space="0" w:color="auto"/>
            </w:tcBorders>
            <w:shd w:val="clear" w:color="000000" w:fill="FFFFFF"/>
            <w:noWrap/>
            <w:vAlign w:val="center"/>
            <w:hideMark/>
          </w:tcPr>
          <w:p w14:paraId="1D5F85C7" w14:textId="77777777" w:rsidR="00713A56" w:rsidRDefault="00713A56">
            <w:pPr>
              <w:jc w:val="center"/>
              <w:rPr>
                <w:rFonts w:ascii="Calibri" w:hAnsi="Calibri" w:cs="Calibri"/>
                <w:b/>
                <w:bCs/>
                <w:color w:val="000000"/>
                <w:sz w:val="18"/>
                <w:szCs w:val="18"/>
              </w:rPr>
            </w:pPr>
            <w:r>
              <w:rPr>
                <w:rFonts w:ascii="Calibri" w:hAnsi="Calibri" w:cs="Calibri"/>
                <w:b/>
                <w:bCs/>
                <w:color w:val="000000"/>
                <w:sz w:val="18"/>
                <w:szCs w:val="18"/>
              </w:rPr>
              <w:t> </w:t>
            </w:r>
          </w:p>
        </w:tc>
      </w:tr>
      <w:tr w:rsidR="00713A56" w14:paraId="4337AE2D" w14:textId="77777777" w:rsidTr="009A0919">
        <w:trPr>
          <w:trHeight w:val="246"/>
        </w:trPr>
        <w:tc>
          <w:tcPr>
            <w:tcW w:w="3808" w:type="dxa"/>
            <w:tcBorders>
              <w:top w:val="nil"/>
              <w:left w:val="single" w:sz="4" w:space="0" w:color="auto"/>
              <w:bottom w:val="single" w:sz="4" w:space="0" w:color="auto"/>
              <w:right w:val="single" w:sz="4" w:space="0" w:color="auto"/>
            </w:tcBorders>
            <w:shd w:val="clear" w:color="auto" w:fill="auto"/>
            <w:noWrap/>
            <w:vAlign w:val="center"/>
            <w:hideMark/>
          </w:tcPr>
          <w:p w14:paraId="1DC9A45B" w14:textId="77777777" w:rsidR="00713A56" w:rsidRDefault="00713A56">
            <w:pPr>
              <w:rPr>
                <w:rFonts w:ascii="Calibri" w:hAnsi="Calibri" w:cs="Calibri"/>
                <w:color w:val="000000"/>
                <w:sz w:val="18"/>
                <w:szCs w:val="18"/>
              </w:rPr>
            </w:pPr>
            <w:r>
              <w:rPr>
                <w:rFonts w:ascii="Calibri" w:hAnsi="Calibri" w:cs="Calibri"/>
                <w:color w:val="000000"/>
                <w:sz w:val="18"/>
                <w:szCs w:val="18"/>
              </w:rPr>
              <w:t>Tata Power Transferred Employees in H1 FY 2024-25 (N)</w:t>
            </w:r>
          </w:p>
        </w:tc>
        <w:tc>
          <w:tcPr>
            <w:tcW w:w="1479" w:type="dxa"/>
            <w:tcBorders>
              <w:top w:val="nil"/>
              <w:left w:val="nil"/>
              <w:bottom w:val="single" w:sz="4" w:space="0" w:color="auto"/>
              <w:right w:val="single" w:sz="4" w:space="0" w:color="auto"/>
            </w:tcBorders>
            <w:shd w:val="clear" w:color="auto" w:fill="auto"/>
            <w:noWrap/>
            <w:vAlign w:val="center"/>
            <w:hideMark/>
          </w:tcPr>
          <w:p w14:paraId="5BB2F938" w14:textId="77777777" w:rsidR="00713A56" w:rsidRDefault="00713A56">
            <w:pPr>
              <w:jc w:val="center"/>
              <w:rPr>
                <w:rFonts w:ascii="Calibri" w:hAnsi="Calibri" w:cs="Calibri"/>
                <w:color w:val="000000"/>
                <w:sz w:val="18"/>
                <w:szCs w:val="18"/>
              </w:rPr>
            </w:pPr>
            <w:r>
              <w:rPr>
                <w:rFonts w:ascii="Calibri" w:hAnsi="Calibri" w:cs="Calibri"/>
                <w:color w:val="000000"/>
                <w:sz w:val="18"/>
                <w:szCs w:val="18"/>
              </w:rPr>
              <w:t>9</w:t>
            </w:r>
          </w:p>
        </w:tc>
        <w:tc>
          <w:tcPr>
            <w:tcW w:w="990" w:type="dxa"/>
            <w:tcBorders>
              <w:top w:val="nil"/>
              <w:left w:val="nil"/>
              <w:bottom w:val="single" w:sz="4" w:space="0" w:color="auto"/>
              <w:right w:val="single" w:sz="4" w:space="0" w:color="auto"/>
            </w:tcBorders>
            <w:shd w:val="clear" w:color="auto" w:fill="auto"/>
            <w:noWrap/>
            <w:vAlign w:val="center"/>
            <w:hideMark/>
          </w:tcPr>
          <w:p w14:paraId="7C0FC217" w14:textId="77777777" w:rsidR="00713A56" w:rsidRDefault="00713A56">
            <w:pPr>
              <w:jc w:val="center"/>
              <w:rPr>
                <w:rFonts w:ascii="Calibri" w:hAnsi="Calibri" w:cs="Calibri"/>
                <w:color w:val="000000"/>
                <w:sz w:val="18"/>
                <w:szCs w:val="18"/>
              </w:rPr>
            </w:pPr>
            <w:r>
              <w:rPr>
                <w:rFonts w:ascii="Calibri" w:hAnsi="Calibri" w:cs="Calibri"/>
                <w:color w:val="000000"/>
                <w:sz w:val="18"/>
                <w:szCs w:val="18"/>
              </w:rPr>
              <w:t>1</w:t>
            </w:r>
          </w:p>
        </w:tc>
        <w:tc>
          <w:tcPr>
            <w:tcW w:w="1047" w:type="dxa"/>
            <w:tcBorders>
              <w:top w:val="nil"/>
              <w:left w:val="nil"/>
              <w:bottom w:val="single" w:sz="4" w:space="0" w:color="auto"/>
              <w:right w:val="single" w:sz="4" w:space="0" w:color="auto"/>
            </w:tcBorders>
            <w:shd w:val="clear" w:color="auto" w:fill="auto"/>
            <w:noWrap/>
            <w:vAlign w:val="center"/>
            <w:hideMark/>
          </w:tcPr>
          <w:p w14:paraId="0395EA04" w14:textId="77777777" w:rsidR="00713A56" w:rsidRDefault="00713A56">
            <w:pPr>
              <w:jc w:val="center"/>
              <w:rPr>
                <w:rFonts w:ascii="Calibri" w:hAnsi="Calibri" w:cs="Calibri"/>
                <w:color w:val="000000"/>
                <w:sz w:val="18"/>
                <w:szCs w:val="18"/>
              </w:rPr>
            </w:pPr>
            <w:r>
              <w:rPr>
                <w:rFonts w:ascii="Calibri" w:hAnsi="Calibri" w:cs="Calibri"/>
                <w:color w:val="000000"/>
                <w:sz w:val="18"/>
                <w:szCs w:val="18"/>
              </w:rPr>
              <w:t>0</w:t>
            </w:r>
          </w:p>
        </w:tc>
        <w:tc>
          <w:tcPr>
            <w:tcW w:w="917" w:type="dxa"/>
            <w:tcBorders>
              <w:top w:val="nil"/>
              <w:left w:val="nil"/>
              <w:bottom w:val="single" w:sz="4" w:space="0" w:color="auto"/>
              <w:right w:val="single" w:sz="4" w:space="0" w:color="auto"/>
            </w:tcBorders>
            <w:shd w:val="clear" w:color="auto" w:fill="auto"/>
            <w:noWrap/>
            <w:vAlign w:val="center"/>
            <w:hideMark/>
          </w:tcPr>
          <w:p w14:paraId="293F4018" w14:textId="77777777" w:rsidR="00713A56" w:rsidRDefault="00713A56">
            <w:pPr>
              <w:jc w:val="center"/>
              <w:rPr>
                <w:rFonts w:ascii="Calibri" w:hAnsi="Calibri" w:cs="Calibri"/>
                <w:color w:val="000000"/>
                <w:sz w:val="18"/>
                <w:szCs w:val="18"/>
              </w:rPr>
            </w:pPr>
            <w:r>
              <w:rPr>
                <w:rFonts w:ascii="Calibri" w:hAnsi="Calibri" w:cs="Calibri"/>
                <w:color w:val="000000"/>
                <w:sz w:val="18"/>
                <w:szCs w:val="18"/>
              </w:rPr>
              <w:t>0</w:t>
            </w:r>
          </w:p>
        </w:tc>
        <w:tc>
          <w:tcPr>
            <w:tcW w:w="1085" w:type="dxa"/>
            <w:tcBorders>
              <w:top w:val="nil"/>
              <w:left w:val="nil"/>
              <w:bottom w:val="single" w:sz="4" w:space="0" w:color="auto"/>
              <w:right w:val="single" w:sz="4" w:space="0" w:color="auto"/>
            </w:tcBorders>
            <w:shd w:val="clear" w:color="000000" w:fill="FFFFFF"/>
            <w:noWrap/>
            <w:vAlign w:val="center"/>
            <w:hideMark/>
          </w:tcPr>
          <w:p w14:paraId="7A8AABBC" w14:textId="77777777" w:rsidR="00713A56" w:rsidRDefault="00713A56">
            <w:pPr>
              <w:jc w:val="center"/>
              <w:rPr>
                <w:rFonts w:ascii="Calibri" w:hAnsi="Calibri" w:cs="Calibri"/>
                <w:b/>
                <w:bCs/>
                <w:color w:val="000000"/>
                <w:sz w:val="18"/>
                <w:szCs w:val="18"/>
              </w:rPr>
            </w:pPr>
            <w:r>
              <w:rPr>
                <w:rFonts w:ascii="Calibri" w:hAnsi="Calibri" w:cs="Calibri"/>
                <w:b/>
                <w:bCs/>
                <w:color w:val="000000"/>
                <w:sz w:val="18"/>
                <w:szCs w:val="18"/>
              </w:rPr>
              <w:t>10</w:t>
            </w:r>
          </w:p>
        </w:tc>
        <w:tc>
          <w:tcPr>
            <w:tcW w:w="955" w:type="dxa"/>
            <w:tcBorders>
              <w:top w:val="nil"/>
              <w:left w:val="nil"/>
              <w:bottom w:val="single" w:sz="4" w:space="0" w:color="auto"/>
              <w:right w:val="single" w:sz="4" w:space="0" w:color="auto"/>
            </w:tcBorders>
            <w:shd w:val="clear" w:color="000000" w:fill="FFFFFF"/>
            <w:noWrap/>
            <w:vAlign w:val="center"/>
            <w:hideMark/>
          </w:tcPr>
          <w:p w14:paraId="34EB5564" w14:textId="77777777" w:rsidR="00713A56" w:rsidRDefault="00713A56">
            <w:pPr>
              <w:jc w:val="center"/>
              <w:rPr>
                <w:rFonts w:ascii="Calibri" w:hAnsi="Calibri" w:cs="Calibri"/>
                <w:b/>
                <w:bCs/>
                <w:color w:val="000000"/>
                <w:sz w:val="18"/>
                <w:szCs w:val="18"/>
              </w:rPr>
            </w:pPr>
            <w:r>
              <w:rPr>
                <w:rFonts w:ascii="Calibri" w:hAnsi="Calibri" w:cs="Calibri"/>
                <w:b/>
                <w:bCs/>
                <w:color w:val="000000"/>
                <w:sz w:val="18"/>
                <w:szCs w:val="18"/>
              </w:rPr>
              <w:t> </w:t>
            </w:r>
          </w:p>
        </w:tc>
      </w:tr>
      <w:tr w:rsidR="00713A56" w14:paraId="2E0B669A" w14:textId="77777777" w:rsidTr="009A0919">
        <w:trPr>
          <w:trHeight w:val="246"/>
        </w:trPr>
        <w:tc>
          <w:tcPr>
            <w:tcW w:w="3808" w:type="dxa"/>
            <w:tcBorders>
              <w:top w:val="nil"/>
              <w:left w:val="single" w:sz="4" w:space="0" w:color="auto"/>
              <w:bottom w:val="single" w:sz="4" w:space="0" w:color="auto"/>
              <w:right w:val="single" w:sz="4" w:space="0" w:color="auto"/>
            </w:tcBorders>
            <w:shd w:val="clear" w:color="auto" w:fill="auto"/>
            <w:noWrap/>
            <w:vAlign w:val="center"/>
            <w:hideMark/>
          </w:tcPr>
          <w:p w14:paraId="4A21CDD0" w14:textId="77777777" w:rsidR="00713A56" w:rsidRDefault="00713A56">
            <w:pPr>
              <w:rPr>
                <w:rFonts w:ascii="Calibri" w:hAnsi="Calibri" w:cs="Calibri"/>
                <w:color w:val="000000"/>
                <w:sz w:val="18"/>
                <w:szCs w:val="18"/>
              </w:rPr>
            </w:pPr>
            <w:r>
              <w:rPr>
                <w:rFonts w:ascii="Calibri" w:hAnsi="Calibri" w:cs="Calibri"/>
                <w:color w:val="000000"/>
                <w:sz w:val="18"/>
                <w:szCs w:val="18"/>
              </w:rPr>
              <w:t>Recruitment in H1 FY 2024-25 (O)</w:t>
            </w:r>
          </w:p>
        </w:tc>
        <w:tc>
          <w:tcPr>
            <w:tcW w:w="1479" w:type="dxa"/>
            <w:tcBorders>
              <w:top w:val="nil"/>
              <w:left w:val="nil"/>
              <w:bottom w:val="single" w:sz="4" w:space="0" w:color="auto"/>
              <w:right w:val="single" w:sz="4" w:space="0" w:color="auto"/>
            </w:tcBorders>
            <w:shd w:val="clear" w:color="auto" w:fill="auto"/>
            <w:noWrap/>
            <w:vAlign w:val="center"/>
            <w:hideMark/>
          </w:tcPr>
          <w:p w14:paraId="0DE179C2" w14:textId="77777777" w:rsidR="00713A56" w:rsidRDefault="00713A56">
            <w:pPr>
              <w:jc w:val="center"/>
              <w:rPr>
                <w:rFonts w:ascii="Calibri" w:hAnsi="Calibri" w:cs="Calibri"/>
                <w:color w:val="000000"/>
                <w:sz w:val="18"/>
                <w:szCs w:val="18"/>
              </w:rPr>
            </w:pPr>
            <w:r>
              <w:rPr>
                <w:rFonts w:ascii="Calibri" w:hAnsi="Calibri" w:cs="Calibri"/>
                <w:color w:val="000000"/>
                <w:sz w:val="18"/>
                <w:szCs w:val="18"/>
              </w:rPr>
              <w:t>20</w:t>
            </w:r>
          </w:p>
        </w:tc>
        <w:tc>
          <w:tcPr>
            <w:tcW w:w="990" w:type="dxa"/>
            <w:tcBorders>
              <w:top w:val="nil"/>
              <w:left w:val="nil"/>
              <w:bottom w:val="single" w:sz="4" w:space="0" w:color="auto"/>
              <w:right w:val="single" w:sz="4" w:space="0" w:color="auto"/>
            </w:tcBorders>
            <w:shd w:val="clear" w:color="auto" w:fill="auto"/>
            <w:noWrap/>
            <w:vAlign w:val="center"/>
            <w:hideMark/>
          </w:tcPr>
          <w:p w14:paraId="1E08CF1C" w14:textId="77777777" w:rsidR="00713A56" w:rsidRDefault="00713A56">
            <w:pPr>
              <w:jc w:val="center"/>
              <w:rPr>
                <w:rFonts w:ascii="Calibri" w:hAnsi="Calibri" w:cs="Calibri"/>
                <w:color w:val="000000"/>
                <w:sz w:val="18"/>
                <w:szCs w:val="18"/>
              </w:rPr>
            </w:pPr>
            <w:r>
              <w:rPr>
                <w:rFonts w:ascii="Calibri" w:hAnsi="Calibri" w:cs="Calibri"/>
                <w:color w:val="000000"/>
                <w:sz w:val="18"/>
                <w:szCs w:val="18"/>
              </w:rPr>
              <w:t>7</w:t>
            </w:r>
          </w:p>
        </w:tc>
        <w:tc>
          <w:tcPr>
            <w:tcW w:w="1047" w:type="dxa"/>
            <w:tcBorders>
              <w:top w:val="nil"/>
              <w:left w:val="nil"/>
              <w:bottom w:val="single" w:sz="4" w:space="0" w:color="auto"/>
              <w:right w:val="single" w:sz="4" w:space="0" w:color="auto"/>
            </w:tcBorders>
            <w:shd w:val="clear" w:color="auto" w:fill="auto"/>
            <w:noWrap/>
            <w:vAlign w:val="center"/>
            <w:hideMark/>
          </w:tcPr>
          <w:p w14:paraId="52FE3186" w14:textId="77777777" w:rsidR="00713A56" w:rsidRDefault="00713A56">
            <w:pPr>
              <w:jc w:val="center"/>
              <w:rPr>
                <w:rFonts w:ascii="Calibri" w:hAnsi="Calibri" w:cs="Calibri"/>
                <w:color w:val="000000"/>
                <w:sz w:val="18"/>
                <w:szCs w:val="18"/>
              </w:rPr>
            </w:pPr>
            <w:r>
              <w:rPr>
                <w:rFonts w:ascii="Calibri" w:hAnsi="Calibri" w:cs="Calibri"/>
                <w:color w:val="000000"/>
                <w:sz w:val="18"/>
                <w:szCs w:val="18"/>
              </w:rPr>
              <w:t>0</w:t>
            </w:r>
          </w:p>
        </w:tc>
        <w:tc>
          <w:tcPr>
            <w:tcW w:w="917" w:type="dxa"/>
            <w:tcBorders>
              <w:top w:val="nil"/>
              <w:left w:val="nil"/>
              <w:bottom w:val="single" w:sz="4" w:space="0" w:color="auto"/>
              <w:right w:val="single" w:sz="4" w:space="0" w:color="auto"/>
            </w:tcBorders>
            <w:shd w:val="clear" w:color="auto" w:fill="auto"/>
            <w:noWrap/>
            <w:vAlign w:val="center"/>
            <w:hideMark/>
          </w:tcPr>
          <w:p w14:paraId="7CBEBF09" w14:textId="77777777" w:rsidR="00713A56" w:rsidRDefault="00713A56">
            <w:pPr>
              <w:jc w:val="center"/>
              <w:rPr>
                <w:rFonts w:ascii="Calibri" w:hAnsi="Calibri" w:cs="Calibri"/>
                <w:color w:val="000000"/>
                <w:sz w:val="18"/>
                <w:szCs w:val="18"/>
              </w:rPr>
            </w:pPr>
            <w:r>
              <w:rPr>
                <w:rFonts w:ascii="Calibri" w:hAnsi="Calibri" w:cs="Calibri"/>
                <w:color w:val="000000"/>
                <w:sz w:val="18"/>
                <w:szCs w:val="18"/>
              </w:rPr>
              <w:t>0</w:t>
            </w:r>
          </w:p>
        </w:tc>
        <w:tc>
          <w:tcPr>
            <w:tcW w:w="1085" w:type="dxa"/>
            <w:tcBorders>
              <w:top w:val="nil"/>
              <w:left w:val="nil"/>
              <w:bottom w:val="single" w:sz="4" w:space="0" w:color="auto"/>
              <w:right w:val="single" w:sz="4" w:space="0" w:color="auto"/>
            </w:tcBorders>
            <w:shd w:val="clear" w:color="000000" w:fill="FFFFFF"/>
            <w:noWrap/>
            <w:vAlign w:val="center"/>
            <w:hideMark/>
          </w:tcPr>
          <w:p w14:paraId="3CB3C8E9" w14:textId="77777777" w:rsidR="00713A56" w:rsidRDefault="00713A56">
            <w:pPr>
              <w:jc w:val="center"/>
              <w:rPr>
                <w:rFonts w:ascii="Calibri" w:hAnsi="Calibri" w:cs="Calibri"/>
                <w:b/>
                <w:bCs/>
                <w:color w:val="000000"/>
                <w:sz w:val="18"/>
                <w:szCs w:val="18"/>
              </w:rPr>
            </w:pPr>
            <w:r>
              <w:rPr>
                <w:rFonts w:ascii="Calibri" w:hAnsi="Calibri" w:cs="Calibri"/>
                <w:b/>
                <w:bCs/>
                <w:color w:val="000000"/>
                <w:sz w:val="18"/>
                <w:szCs w:val="18"/>
              </w:rPr>
              <w:t>27</w:t>
            </w:r>
          </w:p>
        </w:tc>
        <w:tc>
          <w:tcPr>
            <w:tcW w:w="955" w:type="dxa"/>
            <w:tcBorders>
              <w:top w:val="nil"/>
              <w:left w:val="nil"/>
              <w:bottom w:val="single" w:sz="4" w:space="0" w:color="auto"/>
              <w:right w:val="single" w:sz="4" w:space="0" w:color="auto"/>
            </w:tcBorders>
            <w:shd w:val="clear" w:color="000000" w:fill="FFFFFF"/>
            <w:noWrap/>
            <w:vAlign w:val="center"/>
            <w:hideMark/>
          </w:tcPr>
          <w:p w14:paraId="582F6A3C" w14:textId="77777777" w:rsidR="00713A56" w:rsidRDefault="00713A56">
            <w:pPr>
              <w:jc w:val="center"/>
              <w:rPr>
                <w:rFonts w:ascii="Calibri" w:hAnsi="Calibri" w:cs="Calibri"/>
                <w:color w:val="000000"/>
                <w:sz w:val="18"/>
                <w:szCs w:val="18"/>
              </w:rPr>
            </w:pPr>
            <w:r>
              <w:rPr>
                <w:rFonts w:ascii="Calibri" w:hAnsi="Calibri" w:cs="Calibri"/>
                <w:color w:val="000000"/>
                <w:sz w:val="18"/>
                <w:szCs w:val="18"/>
              </w:rPr>
              <w:t>27</w:t>
            </w:r>
          </w:p>
        </w:tc>
      </w:tr>
      <w:tr w:rsidR="00713A56" w14:paraId="5AE2CE7A" w14:textId="77777777" w:rsidTr="009A0919">
        <w:trPr>
          <w:trHeight w:val="246"/>
        </w:trPr>
        <w:tc>
          <w:tcPr>
            <w:tcW w:w="3808" w:type="dxa"/>
            <w:tcBorders>
              <w:top w:val="nil"/>
              <w:left w:val="single" w:sz="4" w:space="0" w:color="auto"/>
              <w:bottom w:val="single" w:sz="4" w:space="0" w:color="auto"/>
              <w:right w:val="single" w:sz="4" w:space="0" w:color="auto"/>
            </w:tcBorders>
            <w:shd w:val="clear" w:color="auto" w:fill="auto"/>
            <w:noWrap/>
            <w:vAlign w:val="center"/>
            <w:hideMark/>
          </w:tcPr>
          <w:p w14:paraId="066BDD84" w14:textId="77777777" w:rsidR="00713A56" w:rsidRDefault="00713A56">
            <w:pPr>
              <w:rPr>
                <w:rFonts w:ascii="Calibri" w:hAnsi="Calibri" w:cs="Calibri"/>
                <w:color w:val="000000"/>
                <w:sz w:val="18"/>
                <w:szCs w:val="18"/>
              </w:rPr>
            </w:pPr>
            <w:r>
              <w:rPr>
                <w:rFonts w:ascii="Calibri" w:hAnsi="Calibri" w:cs="Calibri"/>
                <w:color w:val="000000"/>
                <w:sz w:val="18"/>
                <w:szCs w:val="18"/>
              </w:rPr>
              <w:t>Recruitment of Trainees during H1 FY 2024-25 (P)</w:t>
            </w:r>
          </w:p>
        </w:tc>
        <w:tc>
          <w:tcPr>
            <w:tcW w:w="1479" w:type="dxa"/>
            <w:tcBorders>
              <w:top w:val="nil"/>
              <w:left w:val="nil"/>
              <w:bottom w:val="single" w:sz="4" w:space="0" w:color="auto"/>
              <w:right w:val="single" w:sz="4" w:space="0" w:color="auto"/>
            </w:tcBorders>
            <w:shd w:val="clear" w:color="auto" w:fill="auto"/>
            <w:noWrap/>
            <w:vAlign w:val="center"/>
            <w:hideMark/>
          </w:tcPr>
          <w:p w14:paraId="731DD3F0" w14:textId="77777777" w:rsidR="00713A56" w:rsidRDefault="00713A56">
            <w:pPr>
              <w:jc w:val="center"/>
              <w:rPr>
                <w:rFonts w:ascii="Calibri" w:hAnsi="Calibri" w:cs="Calibri"/>
                <w:color w:val="000000"/>
                <w:sz w:val="18"/>
                <w:szCs w:val="18"/>
              </w:rPr>
            </w:pPr>
            <w:r>
              <w:rPr>
                <w:rFonts w:ascii="Calibri" w:hAnsi="Calibri" w:cs="Calibri"/>
                <w:color w:val="000000"/>
                <w:sz w:val="18"/>
                <w:szCs w:val="18"/>
              </w:rPr>
              <w:t>103</w:t>
            </w:r>
          </w:p>
        </w:tc>
        <w:tc>
          <w:tcPr>
            <w:tcW w:w="990" w:type="dxa"/>
            <w:tcBorders>
              <w:top w:val="nil"/>
              <w:left w:val="nil"/>
              <w:bottom w:val="single" w:sz="4" w:space="0" w:color="auto"/>
              <w:right w:val="single" w:sz="4" w:space="0" w:color="auto"/>
            </w:tcBorders>
            <w:shd w:val="clear" w:color="auto" w:fill="auto"/>
            <w:noWrap/>
            <w:vAlign w:val="center"/>
            <w:hideMark/>
          </w:tcPr>
          <w:p w14:paraId="5A5886DC" w14:textId="77777777" w:rsidR="00713A56" w:rsidRDefault="00713A56">
            <w:pPr>
              <w:jc w:val="center"/>
              <w:rPr>
                <w:rFonts w:ascii="Calibri" w:hAnsi="Calibri" w:cs="Calibri"/>
                <w:color w:val="000000"/>
                <w:sz w:val="18"/>
                <w:szCs w:val="18"/>
              </w:rPr>
            </w:pPr>
            <w:r>
              <w:rPr>
                <w:rFonts w:ascii="Calibri" w:hAnsi="Calibri" w:cs="Calibri"/>
                <w:color w:val="000000"/>
                <w:sz w:val="18"/>
                <w:szCs w:val="18"/>
              </w:rPr>
              <w:t>11</w:t>
            </w:r>
          </w:p>
        </w:tc>
        <w:tc>
          <w:tcPr>
            <w:tcW w:w="1047" w:type="dxa"/>
            <w:tcBorders>
              <w:top w:val="nil"/>
              <w:left w:val="nil"/>
              <w:bottom w:val="single" w:sz="4" w:space="0" w:color="auto"/>
              <w:right w:val="single" w:sz="4" w:space="0" w:color="auto"/>
            </w:tcBorders>
            <w:shd w:val="clear" w:color="auto" w:fill="auto"/>
            <w:noWrap/>
            <w:vAlign w:val="center"/>
            <w:hideMark/>
          </w:tcPr>
          <w:p w14:paraId="113A9CB0" w14:textId="77777777" w:rsidR="00713A56" w:rsidRDefault="00713A56">
            <w:pPr>
              <w:jc w:val="center"/>
              <w:rPr>
                <w:rFonts w:ascii="Calibri" w:hAnsi="Calibri" w:cs="Calibri"/>
                <w:color w:val="000000"/>
                <w:sz w:val="18"/>
                <w:szCs w:val="18"/>
              </w:rPr>
            </w:pPr>
            <w:r>
              <w:rPr>
                <w:rFonts w:ascii="Calibri" w:hAnsi="Calibri" w:cs="Calibri"/>
                <w:color w:val="000000"/>
                <w:sz w:val="18"/>
                <w:szCs w:val="18"/>
              </w:rPr>
              <w:t>83</w:t>
            </w:r>
          </w:p>
        </w:tc>
        <w:tc>
          <w:tcPr>
            <w:tcW w:w="917" w:type="dxa"/>
            <w:tcBorders>
              <w:top w:val="nil"/>
              <w:left w:val="nil"/>
              <w:bottom w:val="single" w:sz="4" w:space="0" w:color="auto"/>
              <w:right w:val="single" w:sz="4" w:space="0" w:color="auto"/>
            </w:tcBorders>
            <w:shd w:val="clear" w:color="auto" w:fill="auto"/>
            <w:noWrap/>
            <w:vAlign w:val="center"/>
            <w:hideMark/>
          </w:tcPr>
          <w:p w14:paraId="1099BB98" w14:textId="77777777" w:rsidR="00713A56" w:rsidRDefault="00713A56">
            <w:pPr>
              <w:jc w:val="center"/>
              <w:rPr>
                <w:rFonts w:ascii="Calibri" w:hAnsi="Calibri" w:cs="Calibri"/>
                <w:color w:val="000000"/>
                <w:sz w:val="18"/>
                <w:szCs w:val="18"/>
              </w:rPr>
            </w:pPr>
            <w:r>
              <w:rPr>
                <w:rFonts w:ascii="Calibri" w:hAnsi="Calibri" w:cs="Calibri"/>
                <w:color w:val="000000"/>
                <w:sz w:val="18"/>
                <w:szCs w:val="18"/>
              </w:rPr>
              <w:t>0</w:t>
            </w:r>
          </w:p>
        </w:tc>
        <w:tc>
          <w:tcPr>
            <w:tcW w:w="1085" w:type="dxa"/>
            <w:tcBorders>
              <w:top w:val="nil"/>
              <w:left w:val="nil"/>
              <w:bottom w:val="single" w:sz="4" w:space="0" w:color="auto"/>
              <w:right w:val="single" w:sz="4" w:space="0" w:color="auto"/>
            </w:tcBorders>
            <w:shd w:val="clear" w:color="000000" w:fill="FFFFFF"/>
            <w:noWrap/>
            <w:vAlign w:val="center"/>
            <w:hideMark/>
          </w:tcPr>
          <w:p w14:paraId="74BE7DC6" w14:textId="77777777" w:rsidR="00713A56" w:rsidRDefault="00713A56">
            <w:pPr>
              <w:jc w:val="center"/>
              <w:rPr>
                <w:rFonts w:ascii="Calibri" w:hAnsi="Calibri" w:cs="Calibri"/>
                <w:b/>
                <w:bCs/>
                <w:color w:val="000000"/>
                <w:sz w:val="18"/>
                <w:szCs w:val="18"/>
              </w:rPr>
            </w:pPr>
            <w:r>
              <w:rPr>
                <w:rFonts w:ascii="Calibri" w:hAnsi="Calibri" w:cs="Calibri"/>
                <w:b/>
                <w:bCs/>
                <w:color w:val="000000"/>
                <w:sz w:val="18"/>
                <w:szCs w:val="18"/>
              </w:rPr>
              <w:t>197</w:t>
            </w:r>
          </w:p>
        </w:tc>
        <w:tc>
          <w:tcPr>
            <w:tcW w:w="955" w:type="dxa"/>
            <w:tcBorders>
              <w:top w:val="nil"/>
              <w:left w:val="nil"/>
              <w:bottom w:val="single" w:sz="4" w:space="0" w:color="auto"/>
              <w:right w:val="single" w:sz="4" w:space="0" w:color="auto"/>
            </w:tcBorders>
            <w:shd w:val="clear" w:color="000000" w:fill="FFFFFF"/>
            <w:noWrap/>
            <w:vAlign w:val="center"/>
            <w:hideMark/>
          </w:tcPr>
          <w:p w14:paraId="4AEC00AD" w14:textId="77777777" w:rsidR="00713A56" w:rsidRDefault="00713A56">
            <w:pPr>
              <w:jc w:val="center"/>
              <w:rPr>
                <w:rFonts w:ascii="Calibri" w:hAnsi="Calibri" w:cs="Calibri"/>
                <w:color w:val="000000"/>
                <w:sz w:val="18"/>
                <w:szCs w:val="18"/>
              </w:rPr>
            </w:pPr>
            <w:r>
              <w:rPr>
                <w:rFonts w:ascii="Calibri" w:hAnsi="Calibri" w:cs="Calibri"/>
                <w:color w:val="000000"/>
                <w:sz w:val="18"/>
                <w:szCs w:val="18"/>
              </w:rPr>
              <w:t>197</w:t>
            </w:r>
          </w:p>
        </w:tc>
      </w:tr>
      <w:tr w:rsidR="00713A56" w14:paraId="13C867DF" w14:textId="77777777" w:rsidTr="009A0919">
        <w:trPr>
          <w:trHeight w:val="246"/>
        </w:trPr>
        <w:tc>
          <w:tcPr>
            <w:tcW w:w="3808" w:type="dxa"/>
            <w:tcBorders>
              <w:top w:val="nil"/>
              <w:left w:val="single" w:sz="4" w:space="0" w:color="auto"/>
              <w:bottom w:val="single" w:sz="4" w:space="0" w:color="auto"/>
              <w:right w:val="single" w:sz="4" w:space="0" w:color="auto"/>
            </w:tcBorders>
            <w:shd w:val="clear" w:color="auto" w:fill="auto"/>
            <w:noWrap/>
            <w:vAlign w:val="center"/>
            <w:hideMark/>
          </w:tcPr>
          <w:p w14:paraId="4A181229" w14:textId="77777777" w:rsidR="00713A56" w:rsidRDefault="00713A56">
            <w:pPr>
              <w:rPr>
                <w:rFonts w:ascii="Calibri" w:hAnsi="Calibri" w:cs="Calibri"/>
                <w:color w:val="000000"/>
                <w:sz w:val="18"/>
                <w:szCs w:val="18"/>
              </w:rPr>
            </w:pPr>
            <w:r>
              <w:rPr>
                <w:rFonts w:ascii="Calibri" w:hAnsi="Calibri" w:cs="Calibri"/>
                <w:color w:val="000000"/>
                <w:sz w:val="18"/>
                <w:szCs w:val="18"/>
              </w:rPr>
              <w:t>New Employee Resigned during H1 FY 2024-25 (Q)</w:t>
            </w:r>
          </w:p>
        </w:tc>
        <w:tc>
          <w:tcPr>
            <w:tcW w:w="1479" w:type="dxa"/>
            <w:tcBorders>
              <w:top w:val="nil"/>
              <w:left w:val="nil"/>
              <w:bottom w:val="single" w:sz="4" w:space="0" w:color="auto"/>
              <w:right w:val="single" w:sz="4" w:space="0" w:color="auto"/>
            </w:tcBorders>
            <w:shd w:val="clear" w:color="auto" w:fill="auto"/>
            <w:noWrap/>
            <w:vAlign w:val="center"/>
            <w:hideMark/>
          </w:tcPr>
          <w:p w14:paraId="187D81B1" w14:textId="77777777" w:rsidR="00713A56" w:rsidRDefault="00713A56">
            <w:pPr>
              <w:jc w:val="center"/>
              <w:rPr>
                <w:rFonts w:ascii="Calibri" w:hAnsi="Calibri" w:cs="Calibri"/>
                <w:color w:val="000000"/>
                <w:sz w:val="18"/>
                <w:szCs w:val="18"/>
              </w:rPr>
            </w:pPr>
            <w:r>
              <w:rPr>
                <w:rFonts w:ascii="Calibri" w:hAnsi="Calibri" w:cs="Calibri"/>
                <w:color w:val="000000"/>
                <w:sz w:val="18"/>
                <w:szCs w:val="18"/>
              </w:rPr>
              <w:t>44</w:t>
            </w:r>
          </w:p>
        </w:tc>
        <w:tc>
          <w:tcPr>
            <w:tcW w:w="990" w:type="dxa"/>
            <w:tcBorders>
              <w:top w:val="nil"/>
              <w:left w:val="nil"/>
              <w:bottom w:val="single" w:sz="4" w:space="0" w:color="auto"/>
              <w:right w:val="single" w:sz="4" w:space="0" w:color="auto"/>
            </w:tcBorders>
            <w:shd w:val="clear" w:color="auto" w:fill="auto"/>
            <w:noWrap/>
            <w:vAlign w:val="center"/>
            <w:hideMark/>
          </w:tcPr>
          <w:p w14:paraId="21E53221" w14:textId="77777777" w:rsidR="00713A56" w:rsidRDefault="00713A56">
            <w:pPr>
              <w:jc w:val="center"/>
              <w:rPr>
                <w:rFonts w:ascii="Calibri" w:hAnsi="Calibri" w:cs="Calibri"/>
                <w:color w:val="000000"/>
                <w:sz w:val="18"/>
                <w:szCs w:val="18"/>
              </w:rPr>
            </w:pPr>
            <w:r>
              <w:rPr>
                <w:rFonts w:ascii="Calibri" w:hAnsi="Calibri" w:cs="Calibri"/>
                <w:color w:val="000000"/>
                <w:sz w:val="18"/>
                <w:szCs w:val="18"/>
              </w:rPr>
              <w:t>9</w:t>
            </w:r>
          </w:p>
        </w:tc>
        <w:tc>
          <w:tcPr>
            <w:tcW w:w="1047" w:type="dxa"/>
            <w:tcBorders>
              <w:top w:val="nil"/>
              <w:left w:val="nil"/>
              <w:bottom w:val="single" w:sz="4" w:space="0" w:color="auto"/>
              <w:right w:val="single" w:sz="4" w:space="0" w:color="auto"/>
            </w:tcBorders>
            <w:shd w:val="clear" w:color="auto" w:fill="auto"/>
            <w:noWrap/>
            <w:vAlign w:val="center"/>
            <w:hideMark/>
          </w:tcPr>
          <w:p w14:paraId="70C0D2C2" w14:textId="77777777" w:rsidR="00713A56" w:rsidRDefault="00713A56">
            <w:pPr>
              <w:jc w:val="center"/>
              <w:rPr>
                <w:rFonts w:ascii="Calibri" w:hAnsi="Calibri" w:cs="Calibri"/>
                <w:color w:val="000000"/>
                <w:sz w:val="18"/>
                <w:szCs w:val="18"/>
              </w:rPr>
            </w:pPr>
            <w:r>
              <w:rPr>
                <w:rFonts w:ascii="Calibri" w:hAnsi="Calibri" w:cs="Calibri"/>
                <w:color w:val="000000"/>
                <w:sz w:val="18"/>
                <w:szCs w:val="18"/>
              </w:rPr>
              <w:t>0</w:t>
            </w:r>
          </w:p>
        </w:tc>
        <w:tc>
          <w:tcPr>
            <w:tcW w:w="917" w:type="dxa"/>
            <w:tcBorders>
              <w:top w:val="nil"/>
              <w:left w:val="nil"/>
              <w:bottom w:val="single" w:sz="4" w:space="0" w:color="auto"/>
              <w:right w:val="single" w:sz="4" w:space="0" w:color="auto"/>
            </w:tcBorders>
            <w:shd w:val="clear" w:color="auto" w:fill="auto"/>
            <w:noWrap/>
            <w:vAlign w:val="center"/>
            <w:hideMark/>
          </w:tcPr>
          <w:p w14:paraId="30625437" w14:textId="77777777" w:rsidR="00713A56" w:rsidRDefault="00713A56">
            <w:pPr>
              <w:jc w:val="center"/>
              <w:rPr>
                <w:rFonts w:ascii="Calibri" w:hAnsi="Calibri" w:cs="Calibri"/>
                <w:color w:val="000000"/>
                <w:sz w:val="18"/>
                <w:szCs w:val="18"/>
              </w:rPr>
            </w:pPr>
            <w:r>
              <w:rPr>
                <w:rFonts w:ascii="Calibri" w:hAnsi="Calibri" w:cs="Calibri"/>
                <w:color w:val="000000"/>
                <w:sz w:val="18"/>
                <w:szCs w:val="18"/>
              </w:rPr>
              <w:t>0</w:t>
            </w:r>
          </w:p>
        </w:tc>
        <w:tc>
          <w:tcPr>
            <w:tcW w:w="1085" w:type="dxa"/>
            <w:tcBorders>
              <w:top w:val="nil"/>
              <w:left w:val="nil"/>
              <w:bottom w:val="single" w:sz="4" w:space="0" w:color="auto"/>
              <w:right w:val="single" w:sz="4" w:space="0" w:color="auto"/>
            </w:tcBorders>
            <w:shd w:val="clear" w:color="000000" w:fill="FFFFFF"/>
            <w:noWrap/>
            <w:vAlign w:val="center"/>
            <w:hideMark/>
          </w:tcPr>
          <w:p w14:paraId="47457FA5" w14:textId="77777777" w:rsidR="00713A56" w:rsidRDefault="00713A56">
            <w:pPr>
              <w:jc w:val="center"/>
              <w:rPr>
                <w:rFonts w:ascii="Calibri" w:hAnsi="Calibri" w:cs="Calibri"/>
                <w:b/>
                <w:bCs/>
                <w:color w:val="000000"/>
                <w:sz w:val="18"/>
                <w:szCs w:val="18"/>
              </w:rPr>
            </w:pPr>
            <w:r>
              <w:rPr>
                <w:rFonts w:ascii="Calibri" w:hAnsi="Calibri" w:cs="Calibri"/>
                <w:b/>
                <w:bCs/>
                <w:color w:val="000000"/>
                <w:sz w:val="18"/>
                <w:szCs w:val="18"/>
              </w:rPr>
              <w:t>53</w:t>
            </w:r>
          </w:p>
        </w:tc>
        <w:tc>
          <w:tcPr>
            <w:tcW w:w="955" w:type="dxa"/>
            <w:tcBorders>
              <w:top w:val="nil"/>
              <w:left w:val="nil"/>
              <w:bottom w:val="single" w:sz="4" w:space="0" w:color="auto"/>
              <w:right w:val="single" w:sz="4" w:space="0" w:color="auto"/>
            </w:tcBorders>
            <w:shd w:val="clear" w:color="000000" w:fill="FFFFFF"/>
            <w:noWrap/>
            <w:vAlign w:val="center"/>
            <w:hideMark/>
          </w:tcPr>
          <w:p w14:paraId="503EC996" w14:textId="77777777" w:rsidR="00713A56" w:rsidRDefault="00713A56">
            <w:pPr>
              <w:jc w:val="center"/>
              <w:rPr>
                <w:rFonts w:ascii="Calibri" w:hAnsi="Calibri" w:cs="Calibri"/>
                <w:b/>
                <w:bCs/>
                <w:color w:val="000000"/>
                <w:sz w:val="18"/>
                <w:szCs w:val="18"/>
              </w:rPr>
            </w:pPr>
            <w:r>
              <w:rPr>
                <w:rFonts w:ascii="Calibri" w:hAnsi="Calibri" w:cs="Calibri"/>
                <w:b/>
                <w:bCs/>
                <w:color w:val="000000"/>
                <w:sz w:val="18"/>
                <w:szCs w:val="18"/>
              </w:rPr>
              <w:t> </w:t>
            </w:r>
          </w:p>
        </w:tc>
      </w:tr>
      <w:tr w:rsidR="00713A56" w14:paraId="3A60AF88" w14:textId="77777777" w:rsidTr="009A0919">
        <w:trPr>
          <w:trHeight w:val="246"/>
        </w:trPr>
        <w:tc>
          <w:tcPr>
            <w:tcW w:w="3808" w:type="dxa"/>
            <w:tcBorders>
              <w:top w:val="nil"/>
              <w:left w:val="single" w:sz="4" w:space="0" w:color="auto"/>
              <w:bottom w:val="single" w:sz="4" w:space="0" w:color="auto"/>
              <w:right w:val="single" w:sz="4" w:space="0" w:color="auto"/>
            </w:tcBorders>
            <w:shd w:val="clear" w:color="auto" w:fill="auto"/>
            <w:noWrap/>
            <w:vAlign w:val="center"/>
            <w:hideMark/>
          </w:tcPr>
          <w:p w14:paraId="0A458A77" w14:textId="77777777" w:rsidR="00713A56" w:rsidRDefault="00713A56">
            <w:pPr>
              <w:rPr>
                <w:rFonts w:ascii="Calibri" w:hAnsi="Calibri" w:cs="Calibri"/>
                <w:color w:val="000000"/>
                <w:sz w:val="18"/>
                <w:szCs w:val="18"/>
              </w:rPr>
            </w:pPr>
            <w:r>
              <w:rPr>
                <w:rFonts w:ascii="Calibri" w:hAnsi="Calibri" w:cs="Calibri"/>
                <w:color w:val="000000"/>
                <w:sz w:val="18"/>
                <w:szCs w:val="18"/>
              </w:rPr>
              <w:t xml:space="preserve">Retirement during H1 FY 2024-25 </w:t>
            </w:r>
            <w:proofErr w:type="gramStart"/>
            <w:r>
              <w:rPr>
                <w:rFonts w:ascii="Calibri" w:hAnsi="Calibri" w:cs="Calibri"/>
                <w:color w:val="000000"/>
                <w:sz w:val="18"/>
                <w:szCs w:val="18"/>
              </w:rPr>
              <w:t>( R</w:t>
            </w:r>
            <w:proofErr w:type="gramEnd"/>
            <w:r>
              <w:rPr>
                <w:rFonts w:ascii="Calibri" w:hAnsi="Calibri" w:cs="Calibri"/>
                <w:color w:val="000000"/>
                <w:sz w:val="18"/>
                <w:szCs w:val="18"/>
              </w:rPr>
              <w:t>)</w:t>
            </w:r>
          </w:p>
        </w:tc>
        <w:tc>
          <w:tcPr>
            <w:tcW w:w="1479" w:type="dxa"/>
            <w:tcBorders>
              <w:top w:val="nil"/>
              <w:left w:val="nil"/>
              <w:bottom w:val="single" w:sz="4" w:space="0" w:color="auto"/>
              <w:right w:val="single" w:sz="4" w:space="0" w:color="auto"/>
            </w:tcBorders>
            <w:shd w:val="clear" w:color="auto" w:fill="auto"/>
            <w:noWrap/>
            <w:vAlign w:val="center"/>
            <w:hideMark/>
          </w:tcPr>
          <w:p w14:paraId="28DDB067" w14:textId="77777777" w:rsidR="00713A56" w:rsidRDefault="00713A56">
            <w:pPr>
              <w:jc w:val="center"/>
              <w:rPr>
                <w:rFonts w:ascii="Calibri" w:hAnsi="Calibri" w:cs="Calibri"/>
                <w:color w:val="000000"/>
                <w:sz w:val="18"/>
                <w:szCs w:val="18"/>
              </w:rPr>
            </w:pPr>
            <w:r>
              <w:rPr>
                <w:rFonts w:ascii="Calibri" w:hAnsi="Calibri" w:cs="Calibri"/>
                <w:color w:val="000000"/>
                <w:sz w:val="18"/>
                <w:szCs w:val="18"/>
              </w:rPr>
              <w:t>1</w:t>
            </w:r>
          </w:p>
        </w:tc>
        <w:tc>
          <w:tcPr>
            <w:tcW w:w="990" w:type="dxa"/>
            <w:tcBorders>
              <w:top w:val="nil"/>
              <w:left w:val="nil"/>
              <w:bottom w:val="single" w:sz="4" w:space="0" w:color="auto"/>
              <w:right w:val="single" w:sz="4" w:space="0" w:color="auto"/>
            </w:tcBorders>
            <w:shd w:val="clear" w:color="auto" w:fill="auto"/>
            <w:noWrap/>
            <w:vAlign w:val="center"/>
            <w:hideMark/>
          </w:tcPr>
          <w:p w14:paraId="5BC52998" w14:textId="77777777" w:rsidR="00713A56" w:rsidRDefault="00713A56">
            <w:pPr>
              <w:jc w:val="center"/>
              <w:rPr>
                <w:rFonts w:ascii="Calibri" w:hAnsi="Calibri" w:cs="Calibri"/>
                <w:color w:val="000000"/>
                <w:sz w:val="18"/>
                <w:szCs w:val="18"/>
              </w:rPr>
            </w:pPr>
            <w:r>
              <w:rPr>
                <w:rFonts w:ascii="Calibri" w:hAnsi="Calibri" w:cs="Calibri"/>
                <w:color w:val="000000"/>
                <w:sz w:val="18"/>
                <w:szCs w:val="18"/>
              </w:rPr>
              <w:t>2</w:t>
            </w:r>
          </w:p>
        </w:tc>
        <w:tc>
          <w:tcPr>
            <w:tcW w:w="1047" w:type="dxa"/>
            <w:tcBorders>
              <w:top w:val="nil"/>
              <w:left w:val="nil"/>
              <w:bottom w:val="single" w:sz="4" w:space="0" w:color="auto"/>
              <w:right w:val="single" w:sz="4" w:space="0" w:color="auto"/>
            </w:tcBorders>
            <w:shd w:val="clear" w:color="auto" w:fill="auto"/>
            <w:noWrap/>
            <w:vAlign w:val="center"/>
            <w:hideMark/>
          </w:tcPr>
          <w:p w14:paraId="35D9A5AE" w14:textId="77777777" w:rsidR="00713A56" w:rsidRDefault="00713A56">
            <w:pPr>
              <w:jc w:val="center"/>
              <w:rPr>
                <w:rFonts w:ascii="Calibri" w:hAnsi="Calibri" w:cs="Calibri"/>
                <w:color w:val="000000"/>
                <w:sz w:val="18"/>
                <w:szCs w:val="18"/>
              </w:rPr>
            </w:pPr>
            <w:r>
              <w:rPr>
                <w:rFonts w:ascii="Calibri" w:hAnsi="Calibri" w:cs="Calibri"/>
                <w:color w:val="000000"/>
                <w:sz w:val="18"/>
                <w:szCs w:val="18"/>
              </w:rPr>
              <w:t>27</w:t>
            </w:r>
          </w:p>
        </w:tc>
        <w:tc>
          <w:tcPr>
            <w:tcW w:w="917" w:type="dxa"/>
            <w:tcBorders>
              <w:top w:val="nil"/>
              <w:left w:val="nil"/>
              <w:bottom w:val="single" w:sz="4" w:space="0" w:color="auto"/>
              <w:right w:val="single" w:sz="4" w:space="0" w:color="auto"/>
            </w:tcBorders>
            <w:shd w:val="clear" w:color="auto" w:fill="auto"/>
            <w:noWrap/>
            <w:vAlign w:val="center"/>
            <w:hideMark/>
          </w:tcPr>
          <w:p w14:paraId="79B5C88B" w14:textId="77777777" w:rsidR="00713A56" w:rsidRDefault="00713A56">
            <w:pPr>
              <w:jc w:val="center"/>
              <w:rPr>
                <w:rFonts w:ascii="Calibri" w:hAnsi="Calibri" w:cs="Calibri"/>
                <w:color w:val="000000"/>
                <w:sz w:val="18"/>
                <w:szCs w:val="18"/>
              </w:rPr>
            </w:pPr>
            <w:r>
              <w:rPr>
                <w:rFonts w:ascii="Calibri" w:hAnsi="Calibri" w:cs="Calibri"/>
                <w:color w:val="000000"/>
                <w:sz w:val="18"/>
                <w:szCs w:val="18"/>
              </w:rPr>
              <w:t>4</w:t>
            </w:r>
          </w:p>
        </w:tc>
        <w:tc>
          <w:tcPr>
            <w:tcW w:w="1085" w:type="dxa"/>
            <w:tcBorders>
              <w:top w:val="nil"/>
              <w:left w:val="nil"/>
              <w:bottom w:val="single" w:sz="4" w:space="0" w:color="auto"/>
              <w:right w:val="single" w:sz="4" w:space="0" w:color="auto"/>
            </w:tcBorders>
            <w:shd w:val="clear" w:color="000000" w:fill="FFFFFF"/>
            <w:noWrap/>
            <w:vAlign w:val="center"/>
            <w:hideMark/>
          </w:tcPr>
          <w:p w14:paraId="4DDB6F83" w14:textId="77777777" w:rsidR="00713A56" w:rsidRDefault="00713A56">
            <w:pPr>
              <w:jc w:val="center"/>
              <w:rPr>
                <w:rFonts w:ascii="Calibri" w:hAnsi="Calibri" w:cs="Calibri"/>
                <w:b/>
                <w:bCs/>
                <w:color w:val="000000"/>
                <w:sz w:val="18"/>
                <w:szCs w:val="18"/>
              </w:rPr>
            </w:pPr>
            <w:r>
              <w:rPr>
                <w:rFonts w:ascii="Calibri" w:hAnsi="Calibri" w:cs="Calibri"/>
                <w:b/>
                <w:bCs/>
                <w:color w:val="000000"/>
                <w:sz w:val="18"/>
                <w:szCs w:val="18"/>
              </w:rPr>
              <w:t>34</w:t>
            </w:r>
          </w:p>
        </w:tc>
        <w:tc>
          <w:tcPr>
            <w:tcW w:w="955" w:type="dxa"/>
            <w:tcBorders>
              <w:top w:val="nil"/>
              <w:left w:val="nil"/>
              <w:bottom w:val="single" w:sz="4" w:space="0" w:color="auto"/>
              <w:right w:val="single" w:sz="4" w:space="0" w:color="auto"/>
            </w:tcBorders>
            <w:shd w:val="clear" w:color="000000" w:fill="FFFFFF"/>
            <w:noWrap/>
            <w:vAlign w:val="center"/>
            <w:hideMark/>
          </w:tcPr>
          <w:p w14:paraId="7651C788" w14:textId="77777777" w:rsidR="00713A56" w:rsidRDefault="00713A56">
            <w:pPr>
              <w:jc w:val="center"/>
              <w:rPr>
                <w:rFonts w:ascii="Calibri" w:hAnsi="Calibri" w:cs="Calibri"/>
                <w:b/>
                <w:bCs/>
                <w:color w:val="000000"/>
                <w:sz w:val="18"/>
                <w:szCs w:val="18"/>
              </w:rPr>
            </w:pPr>
            <w:r>
              <w:rPr>
                <w:rFonts w:ascii="Calibri" w:hAnsi="Calibri" w:cs="Calibri"/>
                <w:b/>
                <w:bCs/>
                <w:color w:val="000000"/>
                <w:sz w:val="18"/>
                <w:szCs w:val="18"/>
              </w:rPr>
              <w:t> </w:t>
            </w:r>
          </w:p>
        </w:tc>
      </w:tr>
      <w:tr w:rsidR="00713A56" w14:paraId="68FD4E7E" w14:textId="77777777" w:rsidTr="009A0919">
        <w:trPr>
          <w:trHeight w:val="246"/>
        </w:trPr>
        <w:tc>
          <w:tcPr>
            <w:tcW w:w="3808" w:type="dxa"/>
            <w:tcBorders>
              <w:top w:val="nil"/>
              <w:left w:val="single" w:sz="4" w:space="0" w:color="auto"/>
              <w:bottom w:val="single" w:sz="4" w:space="0" w:color="auto"/>
              <w:right w:val="single" w:sz="4" w:space="0" w:color="auto"/>
            </w:tcBorders>
            <w:shd w:val="clear" w:color="000000" w:fill="BDD7EE"/>
            <w:noWrap/>
            <w:vAlign w:val="center"/>
            <w:hideMark/>
          </w:tcPr>
          <w:p w14:paraId="2A3AC974" w14:textId="77777777" w:rsidR="00713A56" w:rsidRDefault="00713A56">
            <w:pPr>
              <w:rPr>
                <w:rFonts w:ascii="Calibri" w:hAnsi="Calibri" w:cs="Calibri"/>
                <w:b/>
                <w:bCs/>
                <w:color w:val="000000"/>
                <w:sz w:val="18"/>
                <w:szCs w:val="18"/>
              </w:rPr>
            </w:pPr>
            <w:r>
              <w:rPr>
                <w:rFonts w:ascii="Calibri" w:hAnsi="Calibri" w:cs="Calibri"/>
                <w:b/>
                <w:bCs/>
                <w:color w:val="000000"/>
                <w:sz w:val="18"/>
                <w:szCs w:val="18"/>
              </w:rPr>
              <w:t>Total as on 30-09-2024 (S=(N+O+P-Q-R)</w:t>
            </w:r>
          </w:p>
        </w:tc>
        <w:tc>
          <w:tcPr>
            <w:tcW w:w="1479" w:type="dxa"/>
            <w:tcBorders>
              <w:top w:val="nil"/>
              <w:left w:val="nil"/>
              <w:bottom w:val="single" w:sz="4" w:space="0" w:color="auto"/>
              <w:right w:val="single" w:sz="4" w:space="0" w:color="auto"/>
            </w:tcBorders>
            <w:shd w:val="clear" w:color="000000" w:fill="BDD7EE"/>
            <w:noWrap/>
            <w:vAlign w:val="center"/>
            <w:hideMark/>
          </w:tcPr>
          <w:p w14:paraId="2C4F20D6" w14:textId="77777777" w:rsidR="00713A56" w:rsidRDefault="00713A56">
            <w:pPr>
              <w:jc w:val="center"/>
              <w:rPr>
                <w:rFonts w:ascii="Calibri" w:hAnsi="Calibri" w:cs="Calibri"/>
                <w:b/>
                <w:bCs/>
                <w:color w:val="000000"/>
                <w:sz w:val="18"/>
                <w:szCs w:val="18"/>
              </w:rPr>
            </w:pPr>
            <w:r>
              <w:rPr>
                <w:rFonts w:ascii="Calibri" w:hAnsi="Calibri" w:cs="Calibri"/>
                <w:b/>
                <w:bCs/>
                <w:color w:val="000000"/>
                <w:sz w:val="18"/>
                <w:szCs w:val="18"/>
              </w:rPr>
              <w:t>1063</w:t>
            </w:r>
          </w:p>
        </w:tc>
        <w:tc>
          <w:tcPr>
            <w:tcW w:w="990" w:type="dxa"/>
            <w:tcBorders>
              <w:top w:val="nil"/>
              <w:left w:val="nil"/>
              <w:bottom w:val="single" w:sz="4" w:space="0" w:color="auto"/>
              <w:right w:val="single" w:sz="4" w:space="0" w:color="auto"/>
            </w:tcBorders>
            <w:shd w:val="clear" w:color="000000" w:fill="BDD7EE"/>
            <w:noWrap/>
            <w:vAlign w:val="center"/>
            <w:hideMark/>
          </w:tcPr>
          <w:p w14:paraId="72AB8655" w14:textId="77777777" w:rsidR="00713A56" w:rsidRDefault="00713A56">
            <w:pPr>
              <w:jc w:val="center"/>
              <w:rPr>
                <w:rFonts w:ascii="Calibri" w:hAnsi="Calibri" w:cs="Calibri"/>
                <w:b/>
                <w:bCs/>
                <w:color w:val="000000"/>
                <w:sz w:val="18"/>
                <w:szCs w:val="18"/>
              </w:rPr>
            </w:pPr>
            <w:r>
              <w:rPr>
                <w:rFonts w:ascii="Calibri" w:hAnsi="Calibri" w:cs="Calibri"/>
                <w:b/>
                <w:bCs/>
                <w:color w:val="000000"/>
                <w:sz w:val="18"/>
                <w:szCs w:val="18"/>
              </w:rPr>
              <w:t>507</w:t>
            </w:r>
          </w:p>
        </w:tc>
        <w:tc>
          <w:tcPr>
            <w:tcW w:w="1047" w:type="dxa"/>
            <w:tcBorders>
              <w:top w:val="nil"/>
              <w:left w:val="nil"/>
              <w:bottom w:val="single" w:sz="4" w:space="0" w:color="auto"/>
              <w:right w:val="single" w:sz="4" w:space="0" w:color="auto"/>
            </w:tcBorders>
            <w:shd w:val="clear" w:color="000000" w:fill="BDD7EE"/>
            <w:noWrap/>
            <w:vAlign w:val="center"/>
            <w:hideMark/>
          </w:tcPr>
          <w:p w14:paraId="394D6DDB" w14:textId="77777777" w:rsidR="00713A56" w:rsidRDefault="00713A56">
            <w:pPr>
              <w:jc w:val="center"/>
              <w:rPr>
                <w:rFonts w:ascii="Calibri" w:hAnsi="Calibri" w:cs="Calibri"/>
                <w:b/>
                <w:bCs/>
                <w:color w:val="000000"/>
                <w:sz w:val="18"/>
                <w:szCs w:val="18"/>
              </w:rPr>
            </w:pPr>
            <w:r>
              <w:rPr>
                <w:rFonts w:ascii="Calibri" w:hAnsi="Calibri" w:cs="Calibri"/>
                <w:b/>
                <w:bCs/>
                <w:color w:val="000000"/>
                <w:sz w:val="18"/>
                <w:szCs w:val="18"/>
              </w:rPr>
              <w:t>1368</w:t>
            </w:r>
          </w:p>
        </w:tc>
        <w:tc>
          <w:tcPr>
            <w:tcW w:w="917" w:type="dxa"/>
            <w:tcBorders>
              <w:top w:val="nil"/>
              <w:left w:val="nil"/>
              <w:bottom w:val="single" w:sz="4" w:space="0" w:color="auto"/>
              <w:right w:val="single" w:sz="4" w:space="0" w:color="auto"/>
            </w:tcBorders>
            <w:shd w:val="clear" w:color="000000" w:fill="BDD7EE"/>
            <w:noWrap/>
            <w:vAlign w:val="center"/>
            <w:hideMark/>
          </w:tcPr>
          <w:p w14:paraId="6A7C3183" w14:textId="77777777" w:rsidR="00713A56" w:rsidRDefault="00713A56">
            <w:pPr>
              <w:jc w:val="center"/>
              <w:rPr>
                <w:rFonts w:ascii="Calibri" w:hAnsi="Calibri" w:cs="Calibri"/>
                <w:b/>
                <w:bCs/>
                <w:color w:val="000000"/>
                <w:sz w:val="18"/>
                <w:szCs w:val="18"/>
              </w:rPr>
            </w:pPr>
            <w:r>
              <w:rPr>
                <w:rFonts w:ascii="Calibri" w:hAnsi="Calibri" w:cs="Calibri"/>
                <w:b/>
                <w:bCs/>
                <w:color w:val="000000"/>
                <w:sz w:val="18"/>
                <w:szCs w:val="18"/>
              </w:rPr>
              <w:t>200</w:t>
            </w:r>
          </w:p>
        </w:tc>
        <w:tc>
          <w:tcPr>
            <w:tcW w:w="1085" w:type="dxa"/>
            <w:tcBorders>
              <w:top w:val="nil"/>
              <w:left w:val="nil"/>
              <w:bottom w:val="single" w:sz="4" w:space="0" w:color="auto"/>
              <w:right w:val="single" w:sz="4" w:space="0" w:color="auto"/>
            </w:tcBorders>
            <w:shd w:val="clear" w:color="000000" w:fill="BDD7EE"/>
            <w:noWrap/>
            <w:vAlign w:val="center"/>
            <w:hideMark/>
          </w:tcPr>
          <w:p w14:paraId="39846F51" w14:textId="77777777" w:rsidR="00713A56" w:rsidRDefault="00713A56">
            <w:pPr>
              <w:jc w:val="center"/>
              <w:rPr>
                <w:rFonts w:ascii="Calibri" w:hAnsi="Calibri" w:cs="Calibri"/>
                <w:b/>
                <w:bCs/>
                <w:color w:val="000000"/>
                <w:sz w:val="18"/>
                <w:szCs w:val="18"/>
              </w:rPr>
            </w:pPr>
            <w:r>
              <w:rPr>
                <w:rFonts w:ascii="Calibri" w:hAnsi="Calibri" w:cs="Calibri"/>
                <w:b/>
                <w:bCs/>
                <w:color w:val="000000"/>
                <w:sz w:val="18"/>
                <w:szCs w:val="18"/>
              </w:rPr>
              <w:t>3138</w:t>
            </w:r>
          </w:p>
        </w:tc>
        <w:tc>
          <w:tcPr>
            <w:tcW w:w="955" w:type="dxa"/>
            <w:tcBorders>
              <w:top w:val="nil"/>
              <w:left w:val="nil"/>
              <w:bottom w:val="single" w:sz="4" w:space="0" w:color="auto"/>
              <w:right w:val="single" w:sz="4" w:space="0" w:color="auto"/>
            </w:tcBorders>
            <w:shd w:val="clear" w:color="000000" w:fill="C6D9F1"/>
            <w:noWrap/>
            <w:vAlign w:val="center"/>
            <w:hideMark/>
          </w:tcPr>
          <w:p w14:paraId="28AF5284" w14:textId="77777777" w:rsidR="00713A56" w:rsidRDefault="00713A56">
            <w:pPr>
              <w:jc w:val="center"/>
              <w:rPr>
                <w:rFonts w:ascii="Calibri" w:hAnsi="Calibri" w:cs="Calibri"/>
                <w:b/>
                <w:bCs/>
                <w:color w:val="000000"/>
                <w:sz w:val="18"/>
                <w:szCs w:val="18"/>
              </w:rPr>
            </w:pPr>
            <w:r>
              <w:rPr>
                <w:rFonts w:ascii="Calibri" w:hAnsi="Calibri" w:cs="Calibri"/>
                <w:b/>
                <w:bCs/>
                <w:color w:val="000000"/>
                <w:sz w:val="18"/>
                <w:szCs w:val="18"/>
              </w:rPr>
              <w:t>224</w:t>
            </w:r>
          </w:p>
        </w:tc>
      </w:tr>
      <w:tr w:rsidR="00713A56" w14:paraId="210EDC25" w14:textId="77777777" w:rsidTr="009A0919">
        <w:trPr>
          <w:trHeight w:val="246"/>
        </w:trPr>
        <w:tc>
          <w:tcPr>
            <w:tcW w:w="3808" w:type="dxa"/>
            <w:tcBorders>
              <w:top w:val="nil"/>
              <w:left w:val="single" w:sz="4" w:space="0" w:color="auto"/>
              <w:bottom w:val="single" w:sz="4" w:space="0" w:color="auto"/>
              <w:right w:val="single" w:sz="4" w:space="0" w:color="auto"/>
            </w:tcBorders>
            <w:shd w:val="clear" w:color="auto" w:fill="auto"/>
            <w:noWrap/>
            <w:vAlign w:val="center"/>
            <w:hideMark/>
          </w:tcPr>
          <w:p w14:paraId="58B92EFC" w14:textId="77777777" w:rsidR="00713A56" w:rsidRDefault="00713A56">
            <w:pPr>
              <w:rPr>
                <w:rFonts w:ascii="Calibri" w:hAnsi="Calibri" w:cs="Calibri"/>
                <w:b/>
                <w:bCs/>
                <w:color w:val="000000"/>
                <w:sz w:val="18"/>
                <w:szCs w:val="18"/>
              </w:rPr>
            </w:pPr>
            <w:proofErr w:type="gramStart"/>
            <w:r>
              <w:rPr>
                <w:rFonts w:ascii="Calibri" w:hAnsi="Calibri" w:cs="Calibri"/>
                <w:b/>
                <w:bCs/>
                <w:color w:val="000000"/>
                <w:sz w:val="18"/>
                <w:szCs w:val="18"/>
              </w:rPr>
              <w:t>Projection  for</w:t>
            </w:r>
            <w:proofErr w:type="gramEnd"/>
            <w:r>
              <w:rPr>
                <w:rFonts w:ascii="Calibri" w:hAnsi="Calibri" w:cs="Calibri"/>
                <w:b/>
                <w:bCs/>
                <w:color w:val="000000"/>
                <w:sz w:val="18"/>
                <w:szCs w:val="18"/>
              </w:rPr>
              <w:t xml:space="preserve"> FY 2024-25</w:t>
            </w:r>
          </w:p>
        </w:tc>
        <w:tc>
          <w:tcPr>
            <w:tcW w:w="1479" w:type="dxa"/>
            <w:tcBorders>
              <w:top w:val="nil"/>
              <w:left w:val="nil"/>
              <w:bottom w:val="single" w:sz="4" w:space="0" w:color="auto"/>
              <w:right w:val="single" w:sz="4" w:space="0" w:color="auto"/>
            </w:tcBorders>
            <w:shd w:val="clear" w:color="auto" w:fill="auto"/>
            <w:noWrap/>
            <w:vAlign w:val="center"/>
            <w:hideMark/>
          </w:tcPr>
          <w:p w14:paraId="534C5303" w14:textId="77777777" w:rsidR="00713A56" w:rsidRDefault="00713A56">
            <w:pPr>
              <w:rPr>
                <w:sz w:val="20"/>
                <w:szCs w:val="20"/>
              </w:rPr>
            </w:pPr>
            <w:r>
              <w:rPr>
                <w:sz w:val="20"/>
                <w:szCs w:val="20"/>
              </w:rPr>
              <w:t> </w:t>
            </w:r>
          </w:p>
        </w:tc>
        <w:tc>
          <w:tcPr>
            <w:tcW w:w="990" w:type="dxa"/>
            <w:tcBorders>
              <w:top w:val="nil"/>
              <w:left w:val="nil"/>
              <w:bottom w:val="single" w:sz="4" w:space="0" w:color="auto"/>
              <w:right w:val="single" w:sz="4" w:space="0" w:color="auto"/>
            </w:tcBorders>
            <w:shd w:val="clear" w:color="auto" w:fill="auto"/>
            <w:noWrap/>
            <w:vAlign w:val="center"/>
            <w:hideMark/>
          </w:tcPr>
          <w:p w14:paraId="32196F49" w14:textId="77777777" w:rsidR="00713A56" w:rsidRDefault="00713A56">
            <w:pPr>
              <w:rPr>
                <w:sz w:val="20"/>
                <w:szCs w:val="20"/>
              </w:rPr>
            </w:pPr>
            <w:r>
              <w:rPr>
                <w:sz w:val="20"/>
                <w:szCs w:val="20"/>
              </w:rPr>
              <w:t> </w:t>
            </w:r>
          </w:p>
        </w:tc>
        <w:tc>
          <w:tcPr>
            <w:tcW w:w="1047" w:type="dxa"/>
            <w:tcBorders>
              <w:top w:val="nil"/>
              <w:left w:val="nil"/>
              <w:bottom w:val="single" w:sz="4" w:space="0" w:color="auto"/>
              <w:right w:val="single" w:sz="4" w:space="0" w:color="auto"/>
            </w:tcBorders>
            <w:shd w:val="clear" w:color="auto" w:fill="auto"/>
            <w:noWrap/>
            <w:vAlign w:val="center"/>
            <w:hideMark/>
          </w:tcPr>
          <w:p w14:paraId="14CF0B27" w14:textId="77777777" w:rsidR="00713A56" w:rsidRDefault="00713A56">
            <w:pPr>
              <w:rPr>
                <w:sz w:val="20"/>
                <w:szCs w:val="20"/>
              </w:rPr>
            </w:pPr>
            <w:r>
              <w:rPr>
                <w:sz w:val="20"/>
                <w:szCs w:val="20"/>
              </w:rPr>
              <w:t> </w:t>
            </w:r>
          </w:p>
        </w:tc>
        <w:tc>
          <w:tcPr>
            <w:tcW w:w="917" w:type="dxa"/>
            <w:tcBorders>
              <w:top w:val="nil"/>
              <w:left w:val="nil"/>
              <w:bottom w:val="single" w:sz="4" w:space="0" w:color="auto"/>
              <w:right w:val="single" w:sz="4" w:space="0" w:color="auto"/>
            </w:tcBorders>
            <w:shd w:val="clear" w:color="auto" w:fill="auto"/>
            <w:noWrap/>
            <w:vAlign w:val="center"/>
            <w:hideMark/>
          </w:tcPr>
          <w:p w14:paraId="65EBA385" w14:textId="77777777" w:rsidR="00713A56" w:rsidRDefault="00713A56">
            <w:pPr>
              <w:rPr>
                <w:sz w:val="20"/>
                <w:szCs w:val="20"/>
              </w:rPr>
            </w:pPr>
            <w:r>
              <w:rPr>
                <w:sz w:val="20"/>
                <w:szCs w:val="20"/>
              </w:rPr>
              <w:t> </w:t>
            </w:r>
          </w:p>
        </w:tc>
        <w:tc>
          <w:tcPr>
            <w:tcW w:w="1085" w:type="dxa"/>
            <w:tcBorders>
              <w:top w:val="nil"/>
              <w:left w:val="nil"/>
              <w:bottom w:val="single" w:sz="4" w:space="0" w:color="auto"/>
              <w:right w:val="single" w:sz="4" w:space="0" w:color="auto"/>
            </w:tcBorders>
            <w:shd w:val="clear" w:color="auto" w:fill="auto"/>
            <w:noWrap/>
            <w:vAlign w:val="center"/>
            <w:hideMark/>
          </w:tcPr>
          <w:p w14:paraId="1BED02AE" w14:textId="77777777" w:rsidR="00713A56" w:rsidRDefault="00713A56">
            <w:pPr>
              <w:rPr>
                <w:sz w:val="20"/>
                <w:szCs w:val="20"/>
              </w:rPr>
            </w:pPr>
            <w:r>
              <w:rPr>
                <w:sz w:val="20"/>
                <w:szCs w:val="20"/>
              </w:rPr>
              <w:t> </w:t>
            </w:r>
          </w:p>
        </w:tc>
        <w:tc>
          <w:tcPr>
            <w:tcW w:w="955" w:type="dxa"/>
            <w:tcBorders>
              <w:top w:val="nil"/>
              <w:left w:val="nil"/>
              <w:bottom w:val="single" w:sz="4" w:space="0" w:color="auto"/>
              <w:right w:val="single" w:sz="4" w:space="0" w:color="auto"/>
            </w:tcBorders>
            <w:shd w:val="clear" w:color="000000" w:fill="FFFFFF"/>
            <w:noWrap/>
            <w:vAlign w:val="center"/>
            <w:hideMark/>
          </w:tcPr>
          <w:p w14:paraId="6E8C8D1F" w14:textId="77777777" w:rsidR="00713A56" w:rsidRDefault="00713A56">
            <w:pPr>
              <w:jc w:val="center"/>
              <w:rPr>
                <w:rFonts w:ascii="Calibri" w:hAnsi="Calibri" w:cs="Calibri"/>
                <w:b/>
                <w:bCs/>
                <w:color w:val="000000"/>
                <w:sz w:val="18"/>
                <w:szCs w:val="18"/>
              </w:rPr>
            </w:pPr>
            <w:r>
              <w:rPr>
                <w:rFonts w:ascii="Calibri" w:hAnsi="Calibri" w:cs="Calibri"/>
                <w:b/>
                <w:bCs/>
                <w:color w:val="000000"/>
                <w:sz w:val="18"/>
                <w:szCs w:val="18"/>
              </w:rPr>
              <w:t> </w:t>
            </w:r>
          </w:p>
        </w:tc>
      </w:tr>
      <w:tr w:rsidR="00713A56" w14:paraId="7F7EAB92" w14:textId="77777777" w:rsidTr="009A0919">
        <w:trPr>
          <w:trHeight w:val="246"/>
        </w:trPr>
        <w:tc>
          <w:tcPr>
            <w:tcW w:w="3808" w:type="dxa"/>
            <w:tcBorders>
              <w:top w:val="nil"/>
              <w:left w:val="single" w:sz="4" w:space="0" w:color="auto"/>
              <w:bottom w:val="single" w:sz="4" w:space="0" w:color="auto"/>
              <w:right w:val="single" w:sz="4" w:space="0" w:color="auto"/>
            </w:tcBorders>
            <w:shd w:val="clear" w:color="auto" w:fill="auto"/>
            <w:noWrap/>
            <w:vAlign w:val="center"/>
            <w:hideMark/>
          </w:tcPr>
          <w:p w14:paraId="522030E9" w14:textId="77777777" w:rsidR="00713A56" w:rsidRDefault="00713A56">
            <w:pPr>
              <w:rPr>
                <w:rFonts w:ascii="Calibri" w:hAnsi="Calibri" w:cs="Calibri"/>
                <w:color w:val="000000"/>
                <w:sz w:val="18"/>
                <w:szCs w:val="18"/>
              </w:rPr>
            </w:pPr>
            <w:r>
              <w:rPr>
                <w:rFonts w:ascii="Calibri" w:hAnsi="Calibri" w:cs="Calibri"/>
                <w:color w:val="000000"/>
                <w:sz w:val="18"/>
                <w:szCs w:val="18"/>
              </w:rPr>
              <w:t>Tata Power Transferred employees in FY 2024-25 (N)</w:t>
            </w:r>
          </w:p>
        </w:tc>
        <w:tc>
          <w:tcPr>
            <w:tcW w:w="1479" w:type="dxa"/>
            <w:tcBorders>
              <w:top w:val="nil"/>
              <w:left w:val="nil"/>
              <w:bottom w:val="single" w:sz="4" w:space="0" w:color="auto"/>
              <w:right w:val="single" w:sz="4" w:space="0" w:color="auto"/>
            </w:tcBorders>
            <w:shd w:val="clear" w:color="auto" w:fill="auto"/>
            <w:noWrap/>
            <w:vAlign w:val="center"/>
            <w:hideMark/>
          </w:tcPr>
          <w:p w14:paraId="380140B3" w14:textId="77777777" w:rsidR="00713A56" w:rsidRDefault="00713A56">
            <w:pPr>
              <w:jc w:val="center"/>
              <w:rPr>
                <w:rFonts w:ascii="Calibri" w:hAnsi="Calibri" w:cs="Calibri"/>
                <w:color w:val="000000"/>
                <w:sz w:val="18"/>
                <w:szCs w:val="18"/>
              </w:rPr>
            </w:pPr>
            <w:r>
              <w:rPr>
                <w:rFonts w:ascii="Calibri" w:hAnsi="Calibri" w:cs="Calibri"/>
                <w:color w:val="000000"/>
                <w:sz w:val="18"/>
                <w:szCs w:val="18"/>
              </w:rPr>
              <w:t>9</w:t>
            </w:r>
          </w:p>
        </w:tc>
        <w:tc>
          <w:tcPr>
            <w:tcW w:w="990" w:type="dxa"/>
            <w:tcBorders>
              <w:top w:val="nil"/>
              <w:left w:val="nil"/>
              <w:bottom w:val="single" w:sz="4" w:space="0" w:color="auto"/>
              <w:right w:val="single" w:sz="4" w:space="0" w:color="auto"/>
            </w:tcBorders>
            <w:shd w:val="clear" w:color="auto" w:fill="auto"/>
            <w:noWrap/>
            <w:vAlign w:val="center"/>
            <w:hideMark/>
          </w:tcPr>
          <w:p w14:paraId="231BD5A4" w14:textId="77777777" w:rsidR="00713A56" w:rsidRDefault="00713A56">
            <w:pPr>
              <w:jc w:val="center"/>
              <w:rPr>
                <w:rFonts w:ascii="Calibri" w:hAnsi="Calibri" w:cs="Calibri"/>
                <w:color w:val="000000"/>
                <w:sz w:val="18"/>
                <w:szCs w:val="18"/>
              </w:rPr>
            </w:pPr>
            <w:r>
              <w:rPr>
                <w:rFonts w:ascii="Calibri" w:hAnsi="Calibri" w:cs="Calibri"/>
                <w:color w:val="000000"/>
                <w:sz w:val="18"/>
                <w:szCs w:val="18"/>
              </w:rPr>
              <w:t>10</w:t>
            </w:r>
          </w:p>
        </w:tc>
        <w:tc>
          <w:tcPr>
            <w:tcW w:w="1047" w:type="dxa"/>
            <w:tcBorders>
              <w:top w:val="nil"/>
              <w:left w:val="nil"/>
              <w:bottom w:val="single" w:sz="4" w:space="0" w:color="auto"/>
              <w:right w:val="single" w:sz="4" w:space="0" w:color="auto"/>
            </w:tcBorders>
            <w:shd w:val="clear" w:color="auto" w:fill="auto"/>
            <w:noWrap/>
            <w:vAlign w:val="center"/>
            <w:hideMark/>
          </w:tcPr>
          <w:p w14:paraId="7DDFBA68" w14:textId="77777777" w:rsidR="00713A56" w:rsidRDefault="00713A56">
            <w:pPr>
              <w:jc w:val="center"/>
              <w:rPr>
                <w:sz w:val="20"/>
                <w:szCs w:val="20"/>
              </w:rPr>
            </w:pPr>
            <w:r>
              <w:rPr>
                <w:sz w:val="20"/>
                <w:szCs w:val="20"/>
              </w:rPr>
              <w:t>0</w:t>
            </w:r>
          </w:p>
        </w:tc>
        <w:tc>
          <w:tcPr>
            <w:tcW w:w="917" w:type="dxa"/>
            <w:tcBorders>
              <w:top w:val="nil"/>
              <w:left w:val="nil"/>
              <w:bottom w:val="single" w:sz="4" w:space="0" w:color="auto"/>
              <w:right w:val="single" w:sz="4" w:space="0" w:color="auto"/>
            </w:tcBorders>
            <w:shd w:val="clear" w:color="auto" w:fill="auto"/>
            <w:noWrap/>
            <w:vAlign w:val="center"/>
            <w:hideMark/>
          </w:tcPr>
          <w:p w14:paraId="0AFF3314" w14:textId="77777777" w:rsidR="00713A56" w:rsidRDefault="00713A56">
            <w:pPr>
              <w:jc w:val="center"/>
              <w:rPr>
                <w:sz w:val="20"/>
                <w:szCs w:val="20"/>
              </w:rPr>
            </w:pPr>
            <w:r>
              <w:rPr>
                <w:sz w:val="20"/>
                <w:szCs w:val="20"/>
              </w:rPr>
              <w:t>0</w:t>
            </w:r>
          </w:p>
        </w:tc>
        <w:tc>
          <w:tcPr>
            <w:tcW w:w="1085" w:type="dxa"/>
            <w:tcBorders>
              <w:top w:val="nil"/>
              <w:left w:val="nil"/>
              <w:bottom w:val="single" w:sz="4" w:space="0" w:color="auto"/>
              <w:right w:val="single" w:sz="4" w:space="0" w:color="auto"/>
            </w:tcBorders>
            <w:shd w:val="clear" w:color="auto" w:fill="auto"/>
            <w:noWrap/>
            <w:vAlign w:val="center"/>
            <w:hideMark/>
          </w:tcPr>
          <w:p w14:paraId="7B572D26" w14:textId="77777777" w:rsidR="00713A56" w:rsidRDefault="00713A56">
            <w:pPr>
              <w:jc w:val="center"/>
              <w:rPr>
                <w:rFonts w:ascii="Calibri" w:hAnsi="Calibri" w:cs="Calibri"/>
                <w:color w:val="000000"/>
                <w:sz w:val="18"/>
                <w:szCs w:val="18"/>
              </w:rPr>
            </w:pPr>
            <w:r>
              <w:rPr>
                <w:rFonts w:ascii="Calibri" w:hAnsi="Calibri" w:cs="Calibri"/>
                <w:color w:val="000000"/>
                <w:sz w:val="18"/>
                <w:szCs w:val="18"/>
              </w:rPr>
              <w:t>19</w:t>
            </w:r>
          </w:p>
        </w:tc>
        <w:tc>
          <w:tcPr>
            <w:tcW w:w="955" w:type="dxa"/>
            <w:tcBorders>
              <w:top w:val="nil"/>
              <w:left w:val="nil"/>
              <w:bottom w:val="single" w:sz="4" w:space="0" w:color="auto"/>
              <w:right w:val="single" w:sz="4" w:space="0" w:color="auto"/>
            </w:tcBorders>
            <w:shd w:val="clear" w:color="auto" w:fill="auto"/>
            <w:noWrap/>
            <w:vAlign w:val="center"/>
            <w:hideMark/>
          </w:tcPr>
          <w:p w14:paraId="5A6C156C" w14:textId="77777777" w:rsidR="00713A56" w:rsidRDefault="00713A56">
            <w:pPr>
              <w:rPr>
                <w:sz w:val="20"/>
                <w:szCs w:val="20"/>
              </w:rPr>
            </w:pPr>
            <w:r>
              <w:rPr>
                <w:sz w:val="20"/>
                <w:szCs w:val="20"/>
              </w:rPr>
              <w:t> </w:t>
            </w:r>
          </w:p>
        </w:tc>
      </w:tr>
      <w:tr w:rsidR="00713A56" w14:paraId="473A36A4" w14:textId="77777777" w:rsidTr="009A0919">
        <w:trPr>
          <w:trHeight w:val="246"/>
        </w:trPr>
        <w:tc>
          <w:tcPr>
            <w:tcW w:w="3808" w:type="dxa"/>
            <w:tcBorders>
              <w:top w:val="nil"/>
              <w:left w:val="single" w:sz="4" w:space="0" w:color="auto"/>
              <w:bottom w:val="single" w:sz="4" w:space="0" w:color="auto"/>
              <w:right w:val="single" w:sz="4" w:space="0" w:color="auto"/>
            </w:tcBorders>
            <w:shd w:val="clear" w:color="auto" w:fill="auto"/>
            <w:noWrap/>
            <w:vAlign w:val="center"/>
            <w:hideMark/>
          </w:tcPr>
          <w:p w14:paraId="3988E9FD" w14:textId="77777777" w:rsidR="00713A56" w:rsidRDefault="00713A56">
            <w:pPr>
              <w:rPr>
                <w:rFonts w:ascii="Calibri" w:hAnsi="Calibri" w:cs="Calibri"/>
                <w:color w:val="000000"/>
                <w:sz w:val="18"/>
                <w:szCs w:val="18"/>
              </w:rPr>
            </w:pPr>
            <w:r>
              <w:rPr>
                <w:rFonts w:ascii="Calibri" w:hAnsi="Calibri" w:cs="Calibri"/>
                <w:color w:val="000000"/>
                <w:sz w:val="18"/>
                <w:szCs w:val="18"/>
              </w:rPr>
              <w:t>Recruitment in H2 FY 2024-25 (O)</w:t>
            </w:r>
          </w:p>
        </w:tc>
        <w:tc>
          <w:tcPr>
            <w:tcW w:w="1479" w:type="dxa"/>
            <w:tcBorders>
              <w:top w:val="nil"/>
              <w:left w:val="nil"/>
              <w:bottom w:val="single" w:sz="4" w:space="0" w:color="auto"/>
              <w:right w:val="single" w:sz="4" w:space="0" w:color="auto"/>
            </w:tcBorders>
            <w:shd w:val="clear" w:color="auto" w:fill="auto"/>
            <w:noWrap/>
            <w:vAlign w:val="center"/>
            <w:hideMark/>
          </w:tcPr>
          <w:p w14:paraId="548562C1" w14:textId="77777777" w:rsidR="00713A56" w:rsidRDefault="00713A56">
            <w:pPr>
              <w:jc w:val="center"/>
              <w:rPr>
                <w:rFonts w:ascii="Calibri" w:hAnsi="Calibri" w:cs="Calibri"/>
                <w:color w:val="000000"/>
                <w:sz w:val="18"/>
                <w:szCs w:val="18"/>
              </w:rPr>
            </w:pPr>
            <w:r>
              <w:rPr>
                <w:rFonts w:ascii="Calibri" w:hAnsi="Calibri" w:cs="Calibri"/>
                <w:color w:val="000000"/>
                <w:sz w:val="18"/>
                <w:szCs w:val="18"/>
              </w:rPr>
              <w:t>6</w:t>
            </w:r>
          </w:p>
        </w:tc>
        <w:tc>
          <w:tcPr>
            <w:tcW w:w="990" w:type="dxa"/>
            <w:tcBorders>
              <w:top w:val="nil"/>
              <w:left w:val="nil"/>
              <w:bottom w:val="single" w:sz="4" w:space="0" w:color="auto"/>
              <w:right w:val="single" w:sz="4" w:space="0" w:color="auto"/>
            </w:tcBorders>
            <w:shd w:val="clear" w:color="auto" w:fill="auto"/>
            <w:noWrap/>
            <w:vAlign w:val="center"/>
            <w:hideMark/>
          </w:tcPr>
          <w:p w14:paraId="1C2A69C5" w14:textId="77777777" w:rsidR="00713A56" w:rsidRDefault="00713A56">
            <w:pPr>
              <w:jc w:val="center"/>
              <w:rPr>
                <w:rFonts w:ascii="Calibri" w:hAnsi="Calibri" w:cs="Calibri"/>
                <w:color w:val="000000"/>
                <w:sz w:val="18"/>
                <w:szCs w:val="18"/>
              </w:rPr>
            </w:pPr>
            <w:r>
              <w:rPr>
                <w:rFonts w:ascii="Calibri" w:hAnsi="Calibri" w:cs="Calibri"/>
                <w:color w:val="000000"/>
                <w:sz w:val="18"/>
                <w:szCs w:val="18"/>
              </w:rPr>
              <w:t>6</w:t>
            </w:r>
          </w:p>
        </w:tc>
        <w:tc>
          <w:tcPr>
            <w:tcW w:w="1047" w:type="dxa"/>
            <w:tcBorders>
              <w:top w:val="nil"/>
              <w:left w:val="nil"/>
              <w:bottom w:val="single" w:sz="4" w:space="0" w:color="auto"/>
              <w:right w:val="single" w:sz="4" w:space="0" w:color="auto"/>
            </w:tcBorders>
            <w:shd w:val="clear" w:color="auto" w:fill="auto"/>
            <w:noWrap/>
            <w:vAlign w:val="center"/>
            <w:hideMark/>
          </w:tcPr>
          <w:p w14:paraId="2228745F" w14:textId="77777777" w:rsidR="00713A56" w:rsidRDefault="00713A56">
            <w:pPr>
              <w:jc w:val="center"/>
              <w:rPr>
                <w:sz w:val="20"/>
                <w:szCs w:val="20"/>
              </w:rPr>
            </w:pPr>
            <w:r>
              <w:rPr>
                <w:sz w:val="20"/>
                <w:szCs w:val="20"/>
              </w:rPr>
              <w:t>0</w:t>
            </w:r>
          </w:p>
        </w:tc>
        <w:tc>
          <w:tcPr>
            <w:tcW w:w="917" w:type="dxa"/>
            <w:tcBorders>
              <w:top w:val="nil"/>
              <w:left w:val="nil"/>
              <w:bottom w:val="single" w:sz="4" w:space="0" w:color="auto"/>
              <w:right w:val="single" w:sz="4" w:space="0" w:color="auto"/>
            </w:tcBorders>
            <w:shd w:val="clear" w:color="auto" w:fill="auto"/>
            <w:noWrap/>
            <w:vAlign w:val="center"/>
            <w:hideMark/>
          </w:tcPr>
          <w:p w14:paraId="05053722" w14:textId="77777777" w:rsidR="00713A56" w:rsidRDefault="00713A56">
            <w:pPr>
              <w:jc w:val="center"/>
              <w:rPr>
                <w:sz w:val="20"/>
                <w:szCs w:val="20"/>
              </w:rPr>
            </w:pPr>
            <w:r>
              <w:rPr>
                <w:sz w:val="20"/>
                <w:szCs w:val="20"/>
              </w:rPr>
              <w:t>0</w:t>
            </w:r>
          </w:p>
        </w:tc>
        <w:tc>
          <w:tcPr>
            <w:tcW w:w="1085" w:type="dxa"/>
            <w:tcBorders>
              <w:top w:val="nil"/>
              <w:left w:val="nil"/>
              <w:bottom w:val="single" w:sz="4" w:space="0" w:color="auto"/>
              <w:right w:val="single" w:sz="4" w:space="0" w:color="auto"/>
            </w:tcBorders>
            <w:shd w:val="clear" w:color="auto" w:fill="auto"/>
            <w:noWrap/>
            <w:vAlign w:val="center"/>
            <w:hideMark/>
          </w:tcPr>
          <w:p w14:paraId="3420C5EE" w14:textId="77777777" w:rsidR="00713A56" w:rsidRDefault="00713A56">
            <w:pPr>
              <w:jc w:val="center"/>
              <w:rPr>
                <w:rFonts w:ascii="Calibri" w:hAnsi="Calibri" w:cs="Calibri"/>
                <w:color w:val="000000"/>
                <w:sz w:val="18"/>
                <w:szCs w:val="18"/>
              </w:rPr>
            </w:pPr>
            <w:r>
              <w:rPr>
                <w:rFonts w:ascii="Calibri" w:hAnsi="Calibri" w:cs="Calibri"/>
                <w:color w:val="000000"/>
                <w:sz w:val="18"/>
                <w:szCs w:val="18"/>
              </w:rPr>
              <w:t>12</w:t>
            </w:r>
          </w:p>
        </w:tc>
        <w:tc>
          <w:tcPr>
            <w:tcW w:w="955" w:type="dxa"/>
            <w:tcBorders>
              <w:top w:val="nil"/>
              <w:left w:val="nil"/>
              <w:bottom w:val="single" w:sz="4" w:space="0" w:color="auto"/>
              <w:right w:val="single" w:sz="4" w:space="0" w:color="auto"/>
            </w:tcBorders>
            <w:shd w:val="clear" w:color="auto" w:fill="auto"/>
            <w:noWrap/>
            <w:vAlign w:val="center"/>
            <w:hideMark/>
          </w:tcPr>
          <w:p w14:paraId="6856063D" w14:textId="77777777" w:rsidR="00713A56" w:rsidRDefault="00713A56">
            <w:pPr>
              <w:jc w:val="center"/>
              <w:rPr>
                <w:rFonts w:ascii="Calibri" w:hAnsi="Calibri" w:cs="Calibri"/>
                <w:color w:val="000000"/>
                <w:sz w:val="18"/>
                <w:szCs w:val="18"/>
              </w:rPr>
            </w:pPr>
            <w:r>
              <w:rPr>
                <w:rFonts w:ascii="Calibri" w:hAnsi="Calibri" w:cs="Calibri"/>
                <w:color w:val="000000"/>
                <w:sz w:val="18"/>
                <w:szCs w:val="18"/>
              </w:rPr>
              <w:t>12</w:t>
            </w:r>
          </w:p>
        </w:tc>
      </w:tr>
      <w:tr w:rsidR="00713A56" w14:paraId="1E47E7B8" w14:textId="77777777" w:rsidTr="009A0919">
        <w:trPr>
          <w:trHeight w:val="246"/>
        </w:trPr>
        <w:tc>
          <w:tcPr>
            <w:tcW w:w="3808" w:type="dxa"/>
            <w:tcBorders>
              <w:top w:val="nil"/>
              <w:left w:val="single" w:sz="4" w:space="0" w:color="auto"/>
              <w:bottom w:val="single" w:sz="4" w:space="0" w:color="auto"/>
              <w:right w:val="single" w:sz="4" w:space="0" w:color="auto"/>
            </w:tcBorders>
            <w:shd w:val="clear" w:color="auto" w:fill="auto"/>
            <w:noWrap/>
            <w:vAlign w:val="center"/>
            <w:hideMark/>
          </w:tcPr>
          <w:p w14:paraId="1F4EFB4F" w14:textId="795FF20B" w:rsidR="00713A56" w:rsidRDefault="00713A56">
            <w:pPr>
              <w:rPr>
                <w:rFonts w:ascii="Calibri" w:hAnsi="Calibri" w:cs="Calibri"/>
                <w:color w:val="000000"/>
                <w:sz w:val="18"/>
                <w:szCs w:val="18"/>
              </w:rPr>
            </w:pPr>
            <w:r>
              <w:rPr>
                <w:rFonts w:ascii="Calibri" w:hAnsi="Calibri" w:cs="Calibri"/>
                <w:color w:val="000000"/>
                <w:sz w:val="18"/>
                <w:szCs w:val="18"/>
              </w:rPr>
              <w:t xml:space="preserve">Recruitment of Trainees </w:t>
            </w:r>
            <w:r w:rsidR="00627B2A">
              <w:rPr>
                <w:rFonts w:ascii="Calibri" w:hAnsi="Calibri" w:cs="Calibri"/>
                <w:color w:val="000000"/>
                <w:sz w:val="18"/>
                <w:szCs w:val="18"/>
              </w:rPr>
              <w:t>during H</w:t>
            </w:r>
            <w:r>
              <w:rPr>
                <w:rFonts w:ascii="Calibri" w:hAnsi="Calibri" w:cs="Calibri"/>
                <w:color w:val="000000"/>
                <w:sz w:val="18"/>
                <w:szCs w:val="18"/>
              </w:rPr>
              <w:t>2 FY 2024-25(P)</w:t>
            </w:r>
          </w:p>
        </w:tc>
        <w:tc>
          <w:tcPr>
            <w:tcW w:w="1479" w:type="dxa"/>
            <w:tcBorders>
              <w:top w:val="nil"/>
              <w:left w:val="nil"/>
              <w:bottom w:val="single" w:sz="4" w:space="0" w:color="auto"/>
              <w:right w:val="single" w:sz="4" w:space="0" w:color="auto"/>
            </w:tcBorders>
            <w:shd w:val="clear" w:color="auto" w:fill="auto"/>
            <w:noWrap/>
            <w:vAlign w:val="center"/>
            <w:hideMark/>
          </w:tcPr>
          <w:p w14:paraId="340BD559" w14:textId="77777777" w:rsidR="00713A56" w:rsidRDefault="00713A56">
            <w:pPr>
              <w:jc w:val="center"/>
              <w:rPr>
                <w:rFonts w:ascii="Calibri" w:hAnsi="Calibri" w:cs="Calibri"/>
                <w:color w:val="000000"/>
                <w:sz w:val="18"/>
                <w:szCs w:val="18"/>
              </w:rPr>
            </w:pPr>
            <w:r>
              <w:rPr>
                <w:rFonts w:ascii="Calibri" w:hAnsi="Calibri" w:cs="Calibri"/>
                <w:color w:val="000000"/>
                <w:sz w:val="18"/>
                <w:szCs w:val="18"/>
              </w:rPr>
              <w:t>0</w:t>
            </w:r>
          </w:p>
        </w:tc>
        <w:tc>
          <w:tcPr>
            <w:tcW w:w="990" w:type="dxa"/>
            <w:tcBorders>
              <w:top w:val="nil"/>
              <w:left w:val="nil"/>
              <w:bottom w:val="single" w:sz="4" w:space="0" w:color="auto"/>
              <w:right w:val="single" w:sz="4" w:space="0" w:color="auto"/>
            </w:tcBorders>
            <w:shd w:val="clear" w:color="auto" w:fill="auto"/>
            <w:noWrap/>
            <w:vAlign w:val="center"/>
            <w:hideMark/>
          </w:tcPr>
          <w:p w14:paraId="45049465" w14:textId="77777777" w:rsidR="00713A56" w:rsidRDefault="00713A56">
            <w:pPr>
              <w:jc w:val="center"/>
              <w:rPr>
                <w:rFonts w:ascii="Calibri" w:hAnsi="Calibri" w:cs="Calibri"/>
                <w:color w:val="000000"/>
                <w:sz w:val="18"/>
                <w:szCs w:val="18"/>
              </w:rPr>
            </w:pPr>
            <w:r>
              <w:rPr>
                <w:rFonts w:ascii="Calibri" w:hAnsi="Calibri" w:cs="Calibri"/>
                <w:color w:val="000000"/>
                <w:sz w:val="18"/>
                <w:szCs w:val="18"/>
              </w:rPr>
              <w:t>0</w:t>
            </w:r>
          </w:p>
        </w:tc>
        <w:tc>
          <w:tcPr>
            <w:tcW w:w="1047" w:type="dxa"/>
            <w:tcBorders>
              <w:top w:val="nil"/>
              <w:left w:val="nil"/>
              <w:bottom w:val="single" w:sz="4" w:space="0" w:color="auto"/>
              <w:right w:val="single" w:sz="4" w:space="0" w:color="auto"/>
            </w:tcBorders>
            <w:shd w:val="clear" w:color="auto" w:fill="auto"/>
            <w:noWrap/>
            <w:vAlign w:val="center"/>
            <w:hideMark/>
          </w:tcPr>
          <w:p w14:paraId="5BBDB118" w14:textId="77777777" w:rsidR="00713A56" w:rsidRDefault="00713A56">
            <w:pPr>
              <w:jc w:val="center"/>
              <w:rPr>
                <w:sz w:val="20"/>
                <w:szCs w:val="20"/>
              </w:rPr>
            </w:pPr>
            <w:r>
              <w:rPr>
                <w:sz w:val="20"/>
                <w:szCs w:val="20"/>
              </w:rPr>
              <w:t>0</w:t>
            </w:r>
          </w:p>
        </w:tc>
        <w:tc>
          <w:tcPr>
            <w:tcW w:w="917" w:type="dxa"/>
            <w:tcBorders>
              <w:top w:val="nil"/>
              <w:left w:val="nil"/>
              <w:bottom w:val="single" w:sz="4" w:space="0" w:color="auto"/>
              <w:right w:val="single" w:sz="4" w:space="0" w:color="auto"/>
            </w:tcBorders>
            <w:shd w:val="clear" w:color="auto" w:fill="auto"/>
            <w:noWrap/>
            <w:vAlign w:val="center"/>
            <w:hideMark/>
          </w:tcPr>
          <w:p w14:paraId="173FCDB9" w14:textId="77777777" w:rsidR="00713A56" w:rsidRDefault="00713A56">
            <w:pPr>
              <w:jc w:val="center"/>
              <w:rPr>
                <w:sz w:val="20"/>
                <w:szCs w:val="20"/>
              </w:rPr>
            </w:pPr>
            <w:r>
              <w:rPr>
                <w:sz w:val="20"/>
                <w:szCs w:val="20"/>
              </w:rPr>
              <w:t>0</w:t>
            </w:r>
          </w:p>
        </w:tc>
        <w:tc>
          <w:tcPr>
            <w:tcW w:w="1085" w:type="dxa"/>
            <w:tcBorders>
              <w:top w:val="nil"/>
              <w:left w:val="nil"/>
              <w:bottom w:val="single" w:sz="4" w:space="0" w:color="auto"/>
              <w:right w:val="single" w:sz="4" w:space="0" w:color="auto"/>
            </w:tcBorders>
            <w:shd w:val="clear" w:color="auto" w:fill="auto"/>
            <w:noWrap/>
            <w:vAlign w:val="center"/>
            <w:hideMark/>
          </w:tcPr>
          <w:p w14:paraId="05C3EA2F" w14:textId="77777777" w:rsidR="00713A56" w:rsidRDefault="00713A56">
            <w:pPr>
              <w:jc w:val="center"/>
              <w:rPr>
                <w:rFonts w:ascii="Calibri" w:hAnsi="Calibri" w:cs="Calibri"/>
                <w:color w:val="000000"/>
                <w:sz w:val="18"/>
                <w:szCs w:val="18"/>
              </w:rPr>
            </w:pPr>
            <w:r>
              <w:rPr>
                <w:rFonts w:ascii="Calibri" w:hAnsi="Calibri" w:cs="Calibri"/>
                <w:color w:val="000000"/>
                <w:sz w:val="18"/>
                <w:szCs w:val="18"/>
              </w:rPr>
              <w:t>0</w:t>
            </w:r>
          </w:p>
        </w:tc>
        <w:tc>
          <w:tcPr>
            <w:tcW w:w="955" w:type="dxa"/>
            <w:tcBorders>
              <w:top w:val="nil"/>
              <w:left w:val="nil"/>
              <w:bottom w:val="single" w:sz="4" w:space="0" w:color="auto"/>
              <w:right w:val="single" w:sz="4" w:space="0" w:color="auto"/>
            </w:tcBorders>
            <w:shd w:val="clear" w:color="auto" w:fill="auto"/>
            <w:noWrap/>
            <w:vAlign w:val="center"/>
            <w:hideMark/>
          </w:tcPr>
          <w:p w14:paraId="47FBB47D" w14:textId="77777777" w:rsidR="00713A56" w:rsidRDefault="00713A56">
            <w:pPr>
              <w:jc w:val="center"/>
              <w:rPr>
                <w:rFonts w:ascii="Calibri" w:hAnsi="Calibri" w:cs="Calibri"/>
                <w:color w:val="000000"/>
                <w:sz w:val="18"/>
                <w:szCs w:val="18"/>
              </w:rPr>
            </w:pPr>
            <w:r>
              <w:rPr>
                <w:rFonts w:ascii="Calibri" w:hAnsi="Calibri" w:cs="Calibri"/>
                <w:color w:val="000000"/>
                <w:sz w:val="18"/>
                <w:szCs w:val="18"/>
              </w:rPr>
              <w:t>0</w:t>
            </w:r>
          </w:p>
        </w:tc>
      </w:tr>
      <w:tr w:rsidR="00713A56" w14:paraId="55F278FB" w14:textId="77777777" w:rsidTr="009A0919">
        <w:trPr>
          <w:trHeight w:val="246"/>
        </w:trPr>
        <w:tc>
          <w:tcPr>
            <w:tcW w:w="3808" w:type="dxa"/>
            <w:tcBorders>
              <w:top w:val="nil"/>
              <w:left w:val="single" w:sz="4" w:space="0" w:color="auto"/>
              <w:bottom w:val="single" w:sz="4" w:space="0" w:color="auto"/>
              <w:right w:val="single" w:sz="4" w:space="0" w:color="auto"/>
            </w:tcBorders>
            <w:shd w:val="clear" w:color="auto" w:fill="auto"/>
            <w:noWrap/>
            <w:vAlign w:val="center"/>
            <w:hideMark/>
          </w:tcPr>
          <w:p w14:paraId="47913C2F" w14:textId="77777777" w:rsidR="00713A56" w:rsidRDefault="00713A56">
            <w:pPr>
              <w:rPr>
                <w:rFonts w:ascii="Calibri" w:hAnsi="Calibri" w:cs="Calibri"/>
                <w:color w:val="000000"/>
                <w:sz w:val="18"/>
                <w:szCs w:val="18"/>
              </w:rPr>
            </w:pPr>
            <w:r>
              <w:rPr>
                <w:rFonts w:ascii="Calibri" w:hAnsi="Calibri" w:cs="Calibri"/>
                <w:color w:val="000000"/>
                <w:sz w:val="18"/>
                <w:szCs w:val="18"/>
              </w:rPr>
              <w:t>New employees resigned during FY 2024-25(Q)</w:t>
            </w:r>
          </w:p>
        </w:tc>
        <w:tc>
          <w:tcPr>
            <w:tcW w:w="1479" w:type="dxa"/>
            <w:tcBorders>
              <w:top w:val="nil"/>
              <w:left w:val="nil"/>
              <w:bottom w:val="single" w:sz="4" w:space="0" w:color="auto"/>
              <w:right w:val="single" w:sz="4" w:space="0" w:color="auto"/>
            </w:tcBorders>
            <w:shd w:val="clear" w:color="auto" w:fill="auto"/>
            <w:noWrap/>
            <w:vAlign w:val="center"/>
            <w:hideMark/>
          </w:tcPr>
          <w:p w14:paraId="29BEB5B6" w14:textId="77777777" w:rsidR="00713A56" w:rsidRDefault="00713A56">
            <w:pPr>
              <w:jc w:val="center"/>
              <w:rPr>
                <w:rFonts w:ascii="Calibri" w:hAnsi="Calibri" w:cs="Calibri"/>
                <w:color w:val="000000"/>
                <w:sz w:val="18"/>
                <w:szCs w:val="18"/>
              </w:rPr>
            </w:pPr>
            <w:r>
              <w:rPr>
                <w:rFonts w:ascii="Calibri" w:hAnsi="Calibri" w:cs="Calibri"/>
                <w:color w:val="000000"/>
                <w:sz w:val="18"/>
                <w:szCs w:val="18"/>
              </w:rPr>
              <w:t>11</w:t>
            </w:r>
          </w:p>
        </w:tc>
        <w:tc>
          <w:tcPr>
            <w:tcW w:w="990" w:type="dxa"/>
            <w:tcBorders>
              <w:top w:val="nil"/>
              <w:left w:val="nil"/>
              <w:bottom w:val="single" w:sz="4" w:space="0" w:color="auto"/>
              <w:right w:val="single" w:sz="4" w:space="0" w:color="auto"/>
            </w:tcBorders>
            <w:shd w:val="clear" w:color="auto" w:fill="auto"/>
            <w:noWrap/>
            <w:vAlign w:val="center"/>
            <w:hideMark/>
          </w:tcPr>
          <w:p w14:paraId="144DCA68" w14:textId="77777777" w:rsidR="00713A56" w:rsidRDefault="00713A56">
            <w:pPr>
              <w:jc w:val="center"/>
              <w:rPr>
                <w:rFonts w:ascii="Calibri" w:hAnsi="Calibri" w:cs="Calibri"/>
                <w:color w:val="000000"/>
                <w:sz w:val="18"/>
                <w:szCs w:val="18"/>
              </w:rPr>
            </w:pPr>
            <w:r>
              <w:rPr>
                <w:rFonts w:ascii="Calibri" w:hAnsi="Calibri" w:cs="Calibri"/>
                <w:color w:val="000000"/>
                <w:sz w:val="18"/>
                <w:szCs w:val="18"/>
              </w:rPr>
              <w:t>4</w:t>
            </w:r>
          </w:p>
        </w:tc>
        <w:tc>
          <w:tcPr>
            <w:tcW w:w="1047" w:type="dxa"/>
            <w:tcBorders>
              <w:top w:val="nil"/>
              <w:left w:val="nil"/>
              <w:bottom w:val="single" w:sz="4" w:space="0" w:color="auto"/>
              <w:right w:val="single" w:sz="4" w:space="0" w:color="auto"/>
            </w:tcBorders>
            <w:shd w:val="clear" w:color="auto" w:fill="auto"/>
            <w:noWrap/>
            <w:vAlign w:val="center"/>
            <w:hideMark/>
          </w:tcPr>
          <w:p w14:paraId="075AAF9B" w14:textId="77777777" w:rsidR="00713A56" w:rsidRDefault="00713A56">
            <w:pPr>
              <w:jc w:val="center"/>
              <w:rPr>
                <w:sz w:val="20"/>
                <w:szCs w:val="20"/>
              </w:rPr>
            </w:pPr>
            <w:r>
              <w:rPr>
                <w:sz w:val="20"/>
                <w:szCs w:val="20"/>
              </w:rPr>
              <w:t>0</w:t>
            </w:r>
          </w:p>
        </w:tc>
        <w:tc>
          <w:tcPr>
            <w:tcW w:w="917" w:type="dxa"/>
            <w:tcBorders>
              <w:top w:val="nil"/>
              <w:left w:val="nil"/>
              <w:bottom w:val="single" w:sz="4" w:space="0" w:color="auto"/>
              <w:right w:val="single" w:sz="4" w:space="0" w:color="auto"/>
            </w:tcBorders>
            <w:shd w:val="clear" w:color="auto" w:fill="auto"/>
            <w:noWrap/>
            <w:vAlign w:val="center"/>
            <w:hideMark/>
          </w:tcPr>
          <w:p w14:paraId="3D0F8D26" w14:textId="77777777" w:rsidR="00713A56" w:rsidRDefault="00713A56">
            <w:pPr>
              <w:jc w:val="center"/>
              <w:rPr>
                <w:sz w:val="20"/>
                <w:szCs w:val="20"/>
              </w:rPr>
            </w:pPr>
            <w:r>
              <w:rPr>
                <w:sz w:val="20"/>
                <w:szCs w:val="20"/>
              </w:rPr>
              <w:t>0</w:t>
            </w:r>
          </w:p>
        </w:tc>
        <w:tc>
          <w:tcPr>
            <w:tcW w:w="1085" w:type="dxa"/>
            <w:tcBorders>
              <w:top w:val="nil"/>
              <w:left w:val="nil"/>
              <w:bottom w:val="single" w:sz="4" w:space="0" w:color="auto"/>
              <w:right w:val="single" w:sz="4" w:space="0" w:color="auto"/>
            </w:tcBorders>
            <w:shd w:val="clear" w:color="auto" w:fill="auto"/>
            <w:noWrap/>
            <w:vAlign w:val="center"/>
            <w:hideMark/>
          </w:tcPr>
          <w:p w14:paraId="18A6BB5B" w14:textId="77777777" w:rsidR="00713A56" w:rsidRDefault="00713A56">
            <w:pPr>
              <w:jc w:val="center"/>
              <w:rPr>
                <w:rFonts w:ascii="Calibri" w:hAnsi="Calibri" w:cs="Calibri"/>
                <w:color w:val="000000"/>
                <w:sz w:val="18"/>
                <w:szCs w:val="18"/>
              </w:rPr>
            </w:pPr>
            <w:r>
              <w:rPr>
                <w:rFonts w:ascii="Calibri" w:hAnsi="Calibri" w:cs="Calibri"/>
                <w:color w:val="000000"/>
                <w:sz w:val="18"/>
                <w:szCs w:val="18"/>
              </w:rPr>
              <w:t>15</w:t>
            </w:r>
          </w:p>
        </w:tc>
        <w:tc>
          <w:tcPr>
            <w:tcW w:w="955" w:type="dxa"/>
            <w:tcBorders>
              <w:top w:val="nil"/>
              <w:left w:val="nil"/>
              <w:bottom w:val="single" w:sz="4" w:space="0" w:color="auto"/>
              <w:right w:val="single" w:sz="4" w:space="0" w:color="auto"/>
            </w:tcBorders>
            <w:shd w:val="clear" w:color="auto" w:fill="auto"/>
            <w:noWrap/>
            <w:vAlign w:val="center"/>
            <w:hideMark/>
          </w:tcPr>
          <w:p w14:paraId="4F6E4FA6" w14:textId="77777777" w:rsidR="00713A56" w:rsidRDefault="00713A56">
            <w:pPr>
              <w:rPr>
                <w:sz w:val="20"/>
                <w:szCs w:val="20"/>
              </w:rPr>
            </w:pPr>
            <w:r>
              <w:rPr>
                <w:sz w:val="20"/>
                <w:szCs w:val="20"/>
              </w:rPr>
              <w:t> </w:t>
            </w:r>
          </w:p>
        </w:tc>
      </w:tr>
      <w:tr w:rsidR="00713A56" w14:paraId="724FA2FF" w14:textId="77777777" w:rsidTr="009A0919">
        <w:trPr>
          <w:trHeight w:val="246"/>
        </w:trPr>
        <w:tc>
          <w:tcPr>
            <w:tcW w:w="3808" w:type="dxa"/>
            <w:tcBorders>
              <w:top w:val="nil"/>
              <w:left w:val="single" w:sz="4" w:space="0" w:color="auto"/>
              <w:bottom w:val="single" w:sz="4" w:space="0" w:color="auto"/>
              <w:right w:val="single" w:sz="4" w:space="0" w:color="auto"/>
            </w:tcBorders>
            <w:shd w:val="clear" w:color="auto" w:fill="auto"/>
            <w:noWrap/>
            <w:vAlign w:val="center"/>
            <w:hideMark/>
          </w:tcPr>
          <w:p w14:paraId="521821AE" w14:textId="3D2D5336" w:rsidR="00713A56" w:rsidRDefault="00713A56">
            <w:pPr>
              <w:rPr>
                <w:rFonts w:ascii="Calibri" w:hAnsi="Calibri" w:cs="Calibri"/>
                <w:color w:val="000000"/>
                <w:sz w:val="18"/>
                <w:szCs w:val="18"/>
              </w:rPr>
            </w:pPr>
            <w:r>
              <w:rPr>
                <w:rFonts w:ascii="Calibri" w:hAnsi="Calibri" w:cs="Calibri"/>
                <w:color w:val="000000"/>
                <w:sz w:val="18"/>
                <w:szCs w:val="18"/>
              </w:rPr>
              <w:t>Retirement during FY 2024-</w:t>
            </w:r>
            <w:r w:rsidR="00627B2A">
              <w:rPr>
                <w:rFonts w:ascii="Calibri" w:hAnsi="Calibri" w:cs="Calibri"/>
                <w:color w:val="000000"/>
                <w:sz w:val="18"/>
                <w:szCs w:val="18"/>
              </w:rPr>
              <w:t>25 </w:t>
            </w:r>
            <w:proofErr w:type="gramStart"/>
            <w:r w:rsidR="00627B2A">
              <w:rPr>
                <w:rFonts w:ascii="Calibri" w:hAnsi="Calibri" w:cs="Calibri"/>
                <w:color w:val="000000"/>
                <w:sz w:val="18"/>
                <w:szCs w:val="18"/>
              </w:rPr>
              <w:t>(</w:t>
            </w:r>
            <w:r>
              <w:rPr>
                <w:rFonts w:ascii="Calibri" w:hAnsi="Calibri" w:cs="Calibri"/>
                <w:color w:val="000000"/>
                <w:sz w:val="18"/>
                <w:szCs w:val="18"/>
              </w:rPr>
              <w:t> R</w:t>
            </w:r>
            <w:proofErr w:type="gramEnd"/>
            <w:r>
              <w:rPr>
                <w:rFonts w:ascii="Calibri" w:hAnsi="Calibri" w:cs="Calibri"/>
                <w:color w:val="000000"/>
                <w:sz w:val="18"/>
                <w:szCs w:val="18"/>
              </w:rPr>
              <w:t>)</w:t>
            </w:r>
          </w:p>
        </w:tc>
        <w:tc>
          <w:tcPr>
            <w:tcW w:w="1479" w:type="dxa"/>
            <w:tcBorders>
              <w:top w:val="nil"/>
              <w:left w:val="nil"/>
              <w:bottom w:val="single" w:sz="4" w:space="0" w:color="auto"/>
              <w:right w:val="single" w:sz="4" w:space="0" w:color="auto"/>
            </w:tcBorders>
            <w:shd w:val="clear" w:color="auto" w:fill="auto"/>
            <w:noWrap/>
            <w:vAlign w:val="center"/>
            <w:hideMark/>
          </w:tcPr>
          <w:p w14:paraId="02D0EAA7" w14:textId="77777777" w:rsidR="00713A56" w:rsidRDefault="00713A56">
            <w:pPr>
              <w:jc w:val="center"/>
              <w:rPr>
                <w:rFonts w:ascii="Calibri" w:hAnsi="Calibri" w:cs="Calibri"/>
                <w:color w:val="000000"/>
                <w:sz w:val="18"/>
                <w:szCs w:val="18"/>
              </w:rPr>
            </w:pPr>
            <w:r>
              <w:rPr>
                <w:rFonts w:ascii="Calibri" w:hAnsi="Calibri" w:cs="Calibri"/>
                <w:color w:val="000000"/>
                <w:sz w:val="18"/>
                <w:szCs w:val="18"/>
              </w:rPr>
              <w:t>2</w:t>
            </w:r>
          </w:p>
        </w:tc>
        <w:tc>
          <w:tcPr>
            <w:tcW w:w="990" w:type="dxa"/>
            <w:tcBorders>
              <w:top w:val="nil"/>
              <w:left w:val="nil"/>
              <w:bottom w:val="single" w:sz="4" w:space="0" w:color="auto"/>
              <w:right w:val="single" w:sz="4" w:space="0" w:color="auto"/>
            </w:tcBorders>
            <w:shd w:val="clear" w:color="auto" w:fill="auto"/>
            <w:noWrap/>
            <w:vAlign w:val="center"/>
            <w:hideMark/>
          </w:tcPr>
          <w:p w14:paraId="23C6C55D" w14:textId="77777777" w:rsidR="00713A56" w:rsidRDefault="00713A56">
            <w:pPr>
              <w:jc w:val="center"/>
              <w:rPr>
                <w:rFonts w:ascii="Calibri" w:hAnsi="Calibri" w:cs="Calibri"/>
                <w:color w:val="000000"/>
                <w:sz w:val="18"/>
                <w:szCs w:val="18"/>
              </w:rPr>
            </w:pPr>
            <w:r>
              <w:rPr>
                <w:rFonts w:ascii="Calibri" w:hAnsi="Calibri" w:cs="Calibri"/>
                <w:color w:val="000000"/>
                <w:sz w:val="18"/>
                <w:szCs w:val="18"/>
              </w:rPr>
              <w:t>2</w:t>
            </w:r>
          </w:p>
        </w:tc>
        <w:tc>
          <w:tcPr>
            <w:tcW w:w="1047" w:type="dxa"/>
            <w:tcBorders>
              <w:top w:val="nil"/>
              <w:left w:val="nil"/>
              <w:bottom w:val="single" w:sz="4" w:space="0" w:color="auto"/>
              <w:right w:val="single" w:sz="4" w:space="0" w:color="auto"/>
            </w:tcBorders>
            <w:shd w:val="clear" w:color="auto" w:fill="auto"/>
            <w:noWrap/>
            <w:vAlign w:val="center"/>
            <w:hideMark/>
          </w:tcPr>
          <w:p w14:paraId="1B8E3936" w14:textId="77777777" w:rsidR="00713A56" w:rsidRDefault="00713A56">
            <w:pPr>
              <w:jc w:val="center"/>
              <w:rPr>
                <w:rFonts w:ascii="Calibri" w:hAnsi="Calibri" w:cs="Calibri"/>
                <w:color w:val="000000"/>
                <w:sz w:val="18"/>
                <w:szCs w:val="18"/>
              </w:rPr>
            </w:pPr>
            <w:r>
              <w:rPr>
                <w:rFonts w:ascii="Calibri" w:hAnsi="Calibri" w:cs="Calibri"/>
                <w:color w:val="000000"/>
                <w:sz w:val="18"/>
                <w:szCs w:val="18"/>
              </w:rPr>
              <w:t>3</w:t>
            </w:r>
          </w:p>
        </w:tc>
        <w:tc>
          <w:tcPr>
            <w:tcW w:w="917" w:type="dxa"/>
            <w:tcBorders>
              <w:top w:val="nil"/>
              <w:left w:val="nil"/>
              <w:bottom w:val="single" w:sz="4" w:space="0" w:color="auto"/>
              <w:right w:val="single" w:sz="4" w:space="0" w:color="auto"/>
            </w:tcBorders>
            <w:shd w:val="clear" w:color="auto" w:fill="auto"/>
            <w:noWrap/>
            <w:vAlign w:val="center"/>
            <w:hideMark/>
          </w:tcPr>
          <w:p w14:paraId="3A358E7B" w14:textId="77777777" w:rsidR="00713A56" w:rsidRDefault="00713A56">
            <w:pPr>
              <w:jc w:val="center"/>
              <w:rPr>
                <w:rFonts w:ascii="Calibri" w:hAnsi="Calibri" w:cs="Calibri"/>
                <w:color w:val="000000"/>
                <w:sz w:val="18"/>
                <w:szCs w:val="18"/>
              </w:rPr>
            </w:pPr>
            <w:r>
              <w:rPr>
                <w:rFonts w:ascii="Calibri" w:hAnsi="Calibri" w:cs="Calibri"/>
                <w:color w:val="000000"/>
                <w:sz w:val="18"/>
                <w:szCs w:val="18"/>
              </w:rPr>
              <w:t>2</w:t>
            </w:r>
          </w:p>
        </w:tc>
        <w:tc>
          <w:tcPr>
            <w:tcW w:w="1085" w:type="dxa"/>
            <w:tcBorders>
              <w:top w:val="nil"/>
              <w:left w:val="nil"/>
              <w:bottom w:val="single" w:sz="4" w:space="0" w:color="auto"/>
              <w:right w:val="single" w:sz="4" w:space="0" w:color="auto"/>
            </w:tcBorders>
            <w:shd w:val="clear" w:color="auto" w:fill="auto"/>
            <w:noWrap/>
            <w:vAlign w:val="center"/>
            <w:hideMark/>
          </w:tcPr>
          <w:p w14:paraId="33A7D190" w14:textId="77777777" w:rsidR="00713A56" w:rsidRDefault="00713A56">
            <w:pPr>
              <w:jc w:val="center"/>
              <w:rPr>
                <w:rFonts w:ascii="Calibri" w:hAnsi="Calibri" w:cs="Calibri"/>
                <w:color w:val="000000"/>
                <w:sz w:val="18"/>
                <w:szCs w:val="18"/>
              </w:rPr>
            </w:pPr>
            <w:r>
              <w:rPr>
                <w:rFonts w:ascii="Calibri" w:hAnsi="Calibri" w:cs="Calibri"/>
                <w:color w:val="000000"/>
                <w:sz w:val="18"/>
                <w:szCs w:val="18"/>
              </w:rPr>
              <w:t>9</w:t>
            </w:r>
          </w:p>
        </w:tc>
        <w:tc>
          <w:tcPr>
            <w:tcW w:w="955" w:type="dxa"/>
            <w:tcBorders>
              <w:top w:val="nil"/>
              <w:left w:val="nil"/>
              <w:bottom w:val="single" w:sz="4" w:space="0" w:color="auto"/>
              <w:right w:val="single" w:sz="4" w:space="0" w:color="auto"/>
            </w:tcBorders>
            <w:shd w:val="clear" w:color="auto" w:fill="auto"/>
            <w:noWrap/>
            <w:vAlign w:val="center"/>
            <w:hideMark/>
          </w:tcPr>
          <w:p w14:paraId="481F42BA" w14:textId="77777777" w:rsidR="00713A56" w:rsidRDefault="00713A56">
            <w:pPr>
              <w:rPr>
                <w:sz w:val="20"/>
                <w:szCs w:val="20"/>
              </w:rPr>
            </w:pPr>
            <w:r>
              <w:rPr>
                <w:sz w:val="20"/>
                <w:szCs w:val="20"/>
              </w:rPr>
              <w:t> </w:t>
            </w:r>
          </w:p>
        </w:tc>
      </w:tr>
      <w:tr w:rsidR="00713A56" w14:paraId="1AAF762B" w14:textId="77777777" w:rsidTr="009A0919">
        <w:trPr>
          <w:trHeight w:val="246"/>
        </w:trPr>
        <w:tc>
          <w:tcPr>
            <w:tcW w:w="3808" w:type="dxa"/>
            <w:tcBorders>
              <w:top w:val="nil"/>
              <w:left w:val="single" w:sz="4" w:space="0" w:color="auto"/>
              <w:bottom w:val="single" w:sz="4" w:space="0" w:color="auto"/>
              <w:right w:val="single" w:sz="4" w:space="0" w:color="auto"/>
            </w:tcBorders>
            <w:shd w:val="clear" w:color="000000" w:fill="C6D9F1"/>
            <w:noWrap/>
            <w:vAlign w:val="center"/>
            <w:hideMark/>
          </w:tcPr>
          <w:p w14:paraId="742D1123" w14:textId="77777777" w:rsidR="00713A56" w:rsidRDefault="00713A56">
            <w:pPr>
              <w:rPr>
                <w:rFonts w:ascii="Calibri" w:hAnsi="Calibri" w:cs="Calibri"/>
                <w:b/>
                <w:bCs/>
                <w:color w:val="000000"/>
                <w:sz w:val="18"/>
                <w:szCs w:val="18"/>
              </w:rPr>
            </w:pPr>
            <w:r>
              <w:rPr>
                <w:rFonts w:ascii="Calibri" w:hAnsi="Calibri" w:cs="Calibri"/>
                <w:b/>
                <w:bCs/>
                <w:color w:val="000000"/>
                <w:sz w:val="18"/>
                <w:szCs w:val="18"/>
              </w:rPr>
              <w:t>Total as on 1-04-</w:t>
            </w:r>
            <w:proofErr w:type="gramStart"/>
            <w:r>
              <w:rPr>
                <w:rFonts w:ascii="Calibri" w:hAnsi="Calibri" w:cs="Calibri"/>
                <w:b/>
                <w:bCs/>
                <w:color w:val="000000"/>
                <w:sz w:val="18"/>
                <w:szCs w:val="18"/>
              </w:rPr>
              <w:t>2025( T</w:t>
            </w:r>
            <w:proofErr w:type="gramEnd"/>
            <w:r>
              <w:rPr>
                <w:rFonts w:ascii="Calibri" w:hAnsi="Calibri" w:cs="Calibri"/>
                <w:b/>
                <w:bCs/>
                <w:color w:val="000000"/>
                <w:sz w:val="18"/>
                <w:szCs w:val="18"/>
              </w:rPr>
              <w:t>= (S+N+O+P-Q-R))</w:t>
            </w:r>
          </w:p>
        </w:tc>
        <w:tc>
          <w:tcPr>
            <w:tcW w:w="1479" w:type="dxa"/>
            <w:tcBorders>
              <w:top w:val="nil"/>
              <w:left w:val="nil"/>
              <w:bottom w:val="single" w:sz="4" w:space="0" w:color="auto"/>
              <w:right w:val="single" w:sz="4" w:space="0" w:color="auto"/>
            </w:tcBorders>
            <w:shd w:val="clear" w:color="000000" w:fill="C6D9F1"/>
            <w:noWrap/>
            <w:vAlign w:val="center"/>
            <w:hideMark/>
          </w:tcPr>
          <w:p w14:paraId="7FF75955" w14:textId="77777777" w:rsidR="00713A56" w:rsidRDefault="00713A56">
            <w:pPr>
              <w:jc w:val="center"/>
              <w:rPr>
                <w:rFonts w:ascii="Calibri" w:hAnsi="Calibri" w:cs="Calibri"/>
                <w:b/>
                <w:bCs/>
                <w:color w:val="000000"/>
                <w:sz w:val="18"/>
                <w:szCs w:val="18"/>
              </w:rPr>
            </w:pPr>
            <w:r>
              <w:rPr>
                <w:rFonts w:ascii="Calibri" w:hAnsi="Calibri" w:cs="Calibri"/>
                <w:b/>
                <w:bCs/>
                <w:color w:val="000000"/>
                <w:sz w:val="18"/>
                <w:szCs w:val="18"/>
              </w:rPr>
              <w:t>1065</w:t>
            </w:r>
          </w:p>
        </w:tc>
        <w:tc>
          <w:tcPr>
            <w:tcW w:w="990" w:type="dxa"/>
            <w:tcBorders>
              <w:top w:val="nil"/>
              <w:left w:val="nil"/>
              <w:bottom w:val="single" w:sz="4" w:space="0" w:color="auto"/>
              <w:right w:val="single" w:sz="4" w:space="0" w:color="auto"/>
            </w:tcBorders>
            <w:shd w:val="clear" w:color="000000" w:fill="C6D9F1"/>
            <w:noWrap/>
            <w:vAlign w:val="center"/>
            <w:hideMark/>
          </w:tcPr>
          <w:p w14:paraId="4F2B0831" w14:textId="77777777" w:rsidR="00713A56" w:rsidRDefault="00713A56">
            <w:pPr>
              <w:jc w:val="center"/>
              <w:rPr>
                <w:rFonts w:ascii="Calibri" w:hAnsi="Calibri" w:cs="Calibri"/>
                <w:b/>
                <w:bCs/>
                <w:color w:val="000000"/>
                <w:sz w:val="18"/>
                <w:szCs w:val="18"/>
              </w:rPr>
            </w:pPr>
            <w:r>
              <w:rPr>
                <w:rFonts w:ascii="Calibri" w:hAnsi="Calibri" w:cs="Calibri"/>
                <w:b/>
                <w:bCs/>
                <w:color w:val="000000"/>
                <w:sz w:val="18"/>
                <w:szCs w:val="18"/>
              </w:rPr>
              <w:t>517</w:t>
            </w:r>
          </w:p>
        </w:tc>
        <w:tc>
          <w:tcPr>
            <w:tcW w:w="1047" w:type="dxa"/>
            <w:tcBorders>
              <w:top w:val="nil"/>
              <w:left w:val="nil"/>
              <w:bottom w:val="single" w:sz="4" w:space="0" w:color="auto"/>
              <w:right w:val="single" w:sz="4" w:space="0" w:color="auto"/>
            </w:tcBorders>
            <w:shd w:val="clear" w:color="000000" w:fill="C6D9F1"/>
            <w:noWrap/>
            <w:vAlign w:val="center"/>
            <w:hideMark/>
          </w:tcPr>
          <w:p w14:paraId="40E61272" w14:textId="77777777" w:rsidR="00713A56" w:rsidRDefault="00713A56">
            <w:pPr>
              <w:jc w:val="center"/>
              <w:rPr>
                <w:rFonts w:ascii="Calibri" w:hAnsi="Calibri" w:cs="Calibri"/>
                <w:b/>
                <w:bCs/>
                <w:color w:val="000000"/>
                <w:sz w:val="18"/>
                <w:szCs w:val="18"/>
              </w:rPr>
            </w:pPr>
            <w:r>
              <w:rPr>
                <w:rFonts w:ascii="Calibri" w:hAnsi="Calibri" w:cs="Calibri"/>
                <w:b/>
                <w:bCs/>
                <w:color w:val="000000"/>
                <w:sz w:val="18"/>
                <w:szCs w:val="18"/>
              </w:rPr>
              <w:t>1365</w:t>
            </w:r>
          </w:p>
        </w:tc>
        <w:tc>
          <w:tcPr>
            <w:tcW w:w="917" w:type="dxa"/>
            <w:tcBorders>
              <w:top w:val="nil"/>
              <w:left w:val="nil"/>
              <w:bottom w:val="single" w:sz="4" w:space="0" w:color="auto"/>
              <w:right w:val="single" w:sz="4" w:space="0" w:color="auto"/>
            </w:tcBorders>
            <w:shd w:val="clear" w:color="000000" w:fill="C6D9F1"/>
            <w:noWrap/>
            <w:vAlign w:val="center"/>
            <w:hideMark/>
          </w:tcPr>
          <w:p w14:paraId="555E86AA" w14:textId="77777777" w:rsidR="00713A56" w:rsidRDefault="00713A56">
            <w:pPr>
              <w:jc w:val="center"/>
              <w:rPr>
                <w:rFonts w:ascii="Calibri" w:hAnsi="Calibri" w:cs="Calibri"/>
                <w:b/>
                <w:bCs/>
                <w:color w:val="000000"/>
                <w:sz w:val="18"/>
                <w:szCs w:val="18"/>
              </w:rPr>
            </w:pPr>
            <w:r>
              <w:rPr>
                <w:rFonts w:ascii="Calibri" w:hAnsi="Calibri" w:cs="Calibri"/>
                <w:b/>
                <w:bCs/>
                <w:color w:val="000000"/>
                <w:sz w:val="18"/>
                <w:szCs w:val="18"/>
              </w:rPr>
              <w:t>198</w:t>
            </w:r>
          </w:p>
        </w:tc>
        <w:tc>
          <w:tcPr>
            <w:tcW w:w="1085" w:type="dxa"/>
            <w:tcBorders>
              <w:top w:val="nil"/>
              <w:left w:val="nil"/>
              <w:bottom w:val="single" w:sz="4" w:space="0" w:color="auto"/>
              <w:right w:val="single" w:sz="4" w:space="0" w:color="auto"/>
            </w:tcBorders>
            <w:shd w:val="clear" w:color="000000" w:fill="C6D9F1"/>
            <w:noWrap/>
            <w:vAlign w:val="center"/>
            <w:hideMark/>
          </w:tcPr>
          <w:p w14:paraId="26610D23" w14:textId="77777777" w:rsidR="00713A56" w:rsidRDefault="00713A56">
            <w:pPr>
              <w:jc w:val="center"/>
              <w:rPr>
                <w:rFonts w:ascii="Calibri" w:hAnsi="Calibri" w:cs="Calibri"/>
                <w:b/>
                <w:bCs/>
                <w:color w:val="000000"/>
                <w:sz w:val="18"/>
                <w:szCs w:val="18"/>
              </w:rPr>
            </w:pPr>
            <w:r>
              <w:rPr>
                <w:rFonts w:ascii="Calibri" w:hAnsi="Calibri" w:cs="Calibri"/>
                <w:b/>
                <w:bCs/>
                <w:color w:val="000000"/>
                <w:sz w:val="18"/>
                <w:szCs w:val="18"/>
              </w:rPr>
              <w:t>3145</w:t>
            </w:r>
          </w:p>
        </w:tc>
        <w:tc>
          <w:tcPr>
            <w:tcW w:w="955" w:type="dxa"/>
            <w:tcBorders>
              <w:top w:val="nil"/>
              <w:left w:val="nil"/>
              <w:bottom w:val="single" w:sz="4" w:space="0" w:color="auto"/>
              <w:right w:val="single" w:sz="4" w:space="0" w:color="auto"/>
            </w:tcBorders>
            <w:shd w:val="clear" w:color="000000" w:fill="C6D9F1"/>
            <w:noWrap/>
            <w:vAlign w:val="center"/>
            <w:hideMark/>
          </w:tcPr>
          <w:p w14:paraId="7441C856" w14:textId="77777777" w:rsidR="00713A56" w:rsidRDefault="00713A56">
            <w:pPr>
              <w:jc w:val="center"/>
              <w:rPr>
                <w:rFonts w:ascii="Calibri" w:hAnsi="Calibri" w:cs="Calibri"/>
                <w:b/>
                <w:bCs/>
                <w:color w:val="000000"/>
                <w:sz w:val="18"/>
                <w:szCs w:val="18"/>
              </w:rPr>
            </w:pPr>
            <w:r>
              <w:rPr>
                <w:rFonts w:ascii="Calibri" w:hAnsi="Calibri" w:cs="Calibri"/>
                <w:b/>
                <w:bCs/>
                <w:color w:val="000000"/>
                <w:sz w:val="18"/>
                <w:szCs w:val="18"/>
              </w:rPr>
              <w:t>236</w:t>
            </w:r>
          </w:p>
        </w:tc>
      </w:tr>
      <w:tr w:rsidR="00713A56" w14:paraId="60C22546" w14:textId="77777777" w:rsidTr="009A0919">
        <w:trPr>
          <w:trHeight w:val="246"/>
        </w:trPr>
        <w:tc>
          <w:tcPr>
            <w:tcW w:w="3808" w:type="dxa"/>
            <w:tcBorders>
              <w:top w:val="nil"/>
              <w:left w:val="single" w:sz="4" w:space="0" w:color="auto"/>
              <w:bottom w:val="single" w:sz="4" w:space="0" w:color="auto"/>
              <w:right w:val="single" w:sz="4" w:space="0" w:color="auto"/>
            </w:tcBorders>
            <w:shd w:val="clear" w:color="auto" w:fill="auto"/>
            <w:noWrap/>
            <w:vAlign w:val="center"/>
            <w:hideMark/>
          </w:tcPr>
          <w:p w14:paraId="58550AE3" w14:textId="77777777" w:rsidR="00713A56" w:rsidRDefault="00713A56">
            <w:pPr>
              <w:rPr>
                <w:rFonts w:ascii="Calibri" w:hAnsi="Calibri" w:cs="Calibri"/>
                <w:b/>
                <w:bCs/>
                <w:color w:val="000000"/>
                <w:sz w:val="18"/>
                <w:szCs w:val="18"/>
              </w:rPr>
            </w:pPr>
            <w:r>
              <w:rPr>
                <w:rFonts w:ascii="Calibri" w:hAnsi="Calibri" w:cs="Calibri"/>
                <w:b/>
                <w:bCs/>
                <w:color w:val="000000"/>
                <w:sz w:val="18"/>
                <w:szCs w:val="18"/>
              </w:rPr>
              <w:t>Projection for FY 2025-26</w:t>
            </w:r>
          </w:p>
        </w:tc>
        <w:tc>
          <w:tcPr>
            <w:tcW w:w="1479" w:type="dxa"/>
            <w:tcBorders>
              <w:top w:val="nil"/>
              <w:left w:val="nil"/>
              <w:bottom w:val="single" w:sz="4" w:space="0" w:color="auto"/>
              <w:right w:val="single" w:sz="4" w:space="0" w:color="auto"/>
            </w:tcBorders>
            <w:shd w:val="clear" w:color="auto" w:fill="auto"/>
            <w:noWrap/>
            <w:vAlign w:val="bottom"/>
            <w:hideMark/>
          </w:tcPr>
          <w:p w14:paraId="518F9A4E" w14:textId="77777777" w:rsidR="00713A56" w:rsidRDefault="00713A56">
            <w:pPr>
              <w:rPr>
                <w:rFonts w:ascii="Arial" w:hAnsi="Arial" w:cs="Arial"/>
                <w:sz w:val="20"/>
                <w:szCs w:val="20"/>
              </w:rPr>
            </w:pPr>
            <w:r>
              <w:rPr>
                <w:rFonts w:ascii="Arial" w:hAnsi="Arial" w:cs="Arial"/>
                <w:sz w:val="20"/>
                <w:szCs w:val="20"/>
              </w:rPr>
              <w:t> </w:t>
            </w:r>
          </w:p>
        </w:tc>
        <w:tc>
          <w:tcPr>
            <w:tcW w:w="990" w:type="dxa"/>
            <w:tcBorders>
              <w:top w:val="nil"/>
              <w:left w:val="nil"/>
              <w:bottom w:val="single" w:sz="4" w:space="0" w:color="auto"/>
              <w:right w:val="single" w:sz="4" w:space="0" w:color="auto"/>
            </w:tcBorders>
            <w:shd w:val="clear" w:color="auto" w:fill="auto"/>
            <w:noWrap/>
            <w:vAlign w:val="bottom"/>
            <w:hideMark/>
          </w:tcPr>
          <w:p w14:paraId="0D1F7523" w14:textId="77777777" w:rsidR="00713A56" w:rsidRDefault="00713A56">
            <w:pPr>
              <w:rPr>
                <w:rFonts w:ascii="Arial" w:hAnsi="Arial" w:cs="Arial"/>
                <w:sz w:val="20"/>
                <w:szCs w:val="20"/>
              </w:rPr>
            </w:pPr>
            <w:r>
              <w:rPr>
                <w:rFonts w:ascii="Arial" w:hAnsi="Arial" w:cs="Arial"/>
                <w:sz w:val="20"/>
                <w:szCs w:val="20"/>
              </w:rPr>
              <w:t> </w:t>
            </w:r>
          </w:p>
        </w:tc>
        <w:tc>
          <w:tcPr>
            <w:tcW w:w="1047" w:type="dxa"/>
            <w:tcBorders>
              <w:top w:val="nil"/>
              <w:left w:val="nil"/>
              <w:bottom w:val="single" w:sz="4" w:space="0" w:color="auto"/>
              <w:right w:val="single" w:sz="4" w:space="0" w:color="auto"/>
            </w:tcBorders>
            <w:shd w:val="clear" w:color="auto" w:fill="auto"/>
            <w:noWrap/>
            <w:vAlign w:val="bottom"/>
            <w:hideMark/>
          </w:tcPr>
          <w:p w14:paraId="0ADD682E" w14:textId="77777777" w:rsidR="00713A56" w:rsidRDefault="00713A56">
            <w:pPr>
              <w:rPr>
                <w:rFonts w:ascii="Arial" w:hAnsi="Arial" w:cs="Arial"/>
                <w:sz w:val="20"/>
                <w:szCs w:val="20"/>
              </w:rPr>
            </w:pPr>
            <w:r>
              <w:rPr>
                <w:rFonts w:ascii="Arial" w:hAnsi="Arial" w:cs="Arial"/>
                <w:sz w:val="20"/>
                <w:szCs w:val="20"/>
              </w:rPr>
              <w:t> </w:t>
            </w:r>
          </w:p>
        </w:tc>
        <w:tc>
          <w:tcPr>
            <w:tcW w:w="917" w:type="dxa"/>
            <w:tcBorders>
              <w:top w:val="nil"/>
              <w:left w:val="nil"/>
              <w:bottom w:val="single" w:sz="4" w:space="0" w:color="auto"/>
              <w:right w:val="single" w:sz="4" w:space="0" w:color="auto"/>
            </w:tcBorders>
            <w:shd w:val="clear" w:color="auto" w:fill="auto"/>
            <w:noWrap/>
            <w:vAlign w:val="bottom"/>
            <w:hideMark/>
          </w:tcPr>
          <w:p w14:paraId="6AF2637B" w14:textId="77777777" w:rsidR="00713A56" w:rsidRDefault="00713A56">
            <w:pPr>
              <w:rPr>
                <w:rFonts w:ascii="Arial" w:hAnsi="Arial" w:cs="Arial"/>
                <w:sz w:val="20"/>
                <w:szCs w:val="20"/>
              </w:rPr>
            </w:pPr>
            <w:r>
              <w:rPr>
                <w:rFonts w:ascii="Arial" w:hAnsi="Arial" w:cs="Arial"/>
                <w:sz w:val="20"/>
                <w:szCs w:val="20"/>
              </w:rPr>
              <w:t> </w:t>
            </w:r>
          </w:p>
        </w:tc>
        <w:tc>
          <w:tcPr>
            <w:tcW w:w="1085" w:type="dxa"/>
            <w:tcBorders>
              <w:top w:val="nil"/>
              <w:left w:val="nil"/>
              <w:bottom w:val="single" w:sz="4" w:space="0" w:color="auto"/>
              <w:right w:val="single" w:sz="4" w:space="0" w:color="auto"/>
            </w:tcBorders>
            <w:shd w:val="clear" w:color="auto" w:fill="auto"/>
            <w:noWrap/>
            <w:vAlign w:val="bottom"/>
            <w:hideMark/>
          </w:tcPr>
          <w:p w14:paraId="6FDF5D6B" w14:textId="77777777" w:rsidR="00713A56" w:rsidRDefault="00713A56">
            <w:pPr>
              <w:rPr>
                <w:rFonts w:ascii="Arial" w:hAnsi="Arial" w:cs="Arial"/>
                <w:sz w:val="20"/>
                <w:szCs w:val="20"/>
              </w:rPr>
            </w:pPr>
            <w:r>
              <w:rPr>
                <w:rFonts w:ascii="Arial" w:hAnsi="Arial" w:cs="Arial"/>
                <w:sz w:val="20"/>
                <w:szCs w:val="20"/>
              </w:rPr>
              <w:t> </w:t>
            </w:r>
          </w:p>
        </w:tc>
        <w:tc>
          <w:tcPr>
            <w:tcW w:w="955" w:type="dxa"/>
            <w:tcBorders>
              <w:top w:val="nil"/>
              <w:left w:val="nil"/>
              <w:bottom w:val="single" w:sz="4" w:space="0" w:color="auto"/>
              <w:right w:val="single" w:sz="4" w:space="0" w:color="auto"/>
            </w:tcBorders>
            <w:shd w:val="clear" w:color="auto" w:fill="auto"/>
            <w:noWrap/>
            <w:vAlign w:val="bottom"/>
            <w:hideMark/>
          </w:tcPr>
          <w:p w14:paraId="670FB5E6" w14:textId="77777777" w:rsidR="00713A56" w:rsidRDefault="00713A56">
            <w:pPr>
              <w:rPr>
                <w:rFonts w:ascii="Arial" w:hAnsi="Arial" w:cs="Arial"/>
                <w:sz w:val="20"/>
                <w:szCs w:val="20"/>
              </w:rPr>
            </w:pPr>
            <w:r>
              <w:rPr>
                <w:rFonts w:ascii="Arial" w:hAnsi="Arial" w:cs="Arial"/>
                <w:sz w:val="20"/>
                <w:szCs w:val="20"/>
              </w:rPr>
              <w:t> </w:t>
            </w:r>
          </w:p>
        </w:tc>
      </w:tr>
      <w:tr w:rsidR="00713A56" w14:paraId="26791334" w14:textId="77777777" w:rsidTr="009A0919">
        <w:trPr>
          <w:trHeight w:val="246"/>
        </w:trPr>
        <w:tc>
          <w:tcPr>
            <w:tcW w:w="3808" w:type="dxa"/>
            <w:tcBorders>
              <w:top w:val="nil"/>
              <w:left w:val="single" w:sz="4" w:space="0" w:color="auto"/>
              <w:bottom w:val="single" w:sz="4" w:space="0" w:color="auto"/>
              <w:right w:val="single" w:sz="4" w:space="0" w:color="auto"/>
            </w:tcBorders>
            <w:shd w:val="clear" w:color="auto" w:fill="auto"/>
            <w:noWrap/>
            <w:vAlign w:val="center"/>
            <w:hideMark/>
          </w:tcPr>
          <w:p w14:paraId="131CDDC7" w14:textId="77777777" w:rsidR="00713A56" w:rsidRDefault="00713A56">
            <w:pPr>
              <w:rPr>
                <w:rFonts w:ascii="Calibri" w:hAnsi="Calibri" w:cs="Calibri"/>
                <w:color w:val="000000"/>
                <w:sz w:val="18"/>
                <w:szCs w:val="18"/>
              </w:rPr>
            </w:pPr>
            <w:r>
              <w:rPr>
                <w:rFonts w:ascii="Calibri" w:hAnsi="Calibri" w:cs="Calibri"/>
                <w:color w:val="000000"/>
                <w:sz w:val="18"/>
                <w:szCs w:val="18"/>
              </w:rPr>
              <w:t>Tata Power Transferred employees in FY 2025-26 (N)</w:t>
            </w:r>
          </w:p>
        </w:tc>
        <w:tc>
          <w:tcPr>
            <w:tcW w:w="1479" w:type="dxa"/>
            <w:tcBorders>
              <w:top w:val="nil"/>
              <w:left w:val="nil"/>
              <w:bottom w:val="single" w:sz="4" w:space="0" w:color="auto"/>
              <w:right w:val="single" w:sz="4" w:space="0" w:color="auto"/>
            </w:tcBorders>
            <w:shd w:val="clear" w:color="auto" w:fill="auto"/>
            <w:noWrap/>
            <w:vAlign w:val="center"/>
            <w:hideMark/>
          </w:tcPr>
          <w:p w14:paraId="5574CB9F" w14:textId="77777777" w:rsidR="00713A56" w:rsidRDefault="00713A56">
            <w:pPr>
              <w:jc w:val="center"/>
              <w:rPr>
                <w:rFonts w:ascii="Calibri" w:hAnsi="Calibri" w:cs="Calibri"/>
                <w:color w:val="000000"/>
                <w:sz w:val="18"/>
                <w:szCs w:val="18"/>
              </w:rPr>
            </w:pPr>
            <w:r>
              <w:rPr>
                <w:rFonts w:ascii="Calibri" w:hAnsi="Calibri" w:cs="Calibri"/>
                <w:color w:val="000000"/>
                <w:sz w:val="18"/>
                <w:szCs w:val="18"/>
              </w:rPr>
              <w:t>13</w:t>
            </w:r>
          </w:p>
        </w:tc>
        <w:tc>
          <w:tcPr>
            <w:tcW w:w="990" w:type="dxa"/>
            <w:tcBorders>
              <w:top w:val="nil"/>
              <w:left w:val="nil"/>
              <w:bottom w:val="single" w:sz="4" w:space="0" w:color="auto"/>
              <w:right w:val="single" w:sz="4" w:space="0" w:color="auto"/>
            </w:tcBorders>
            <w:shd w:val="clear" w:color="auto" w:fill="auto"/>
            <w:noWrap/>
            <w:vAlign w:val="center"/>
            <w:hideMark/>
          </w:tcPr>
          <w:p w14:paraId="7CB472AB" w14:textId="77777777" w:rsidR="00713A56" w:rsidRDefault="00713A56">
            <w:pPr>
              <w:jc w:val="center"/>
              <w:rPr>
                <w:rFonts w:ascii="Calibri" w:hAnsi="Calibri" w:cs="Calibri"/>
                <w:color w:val="000000"/>
                <w:sz w:val="18"/>
                <w:szCs w:val="18"/>
              </w:rPr>
            </w:pPr>
            <w:r>
              <w:rPr>
                <w:rFonts w:ascii="Calibri" w:hAnsi="Calibri" w:cs="Calibri"/>
                <w:color w:val="000000"/>
                <w:sz w:val="18"/>
                <w:szCs w:val="18"/>
              </w:rPr>
              <w:t>11</w:t>
            </w:r>
          </w:p>
        </w:tc>
        <w:tc>
          <w:tcPr>
            <w:tcW w:w="1047" w:type="dxa"/>
            <w:tcBorders>
              <w:top w:val="nil"/>
              <w:left w:val="nil"/>
              <w:bottom w:val="single" w:sz="4" w:space="0" w:color="auto"/>
              <w:right w:val="single" w:sz="4" w:space="0" w:color="auto"/>
            </w:tcBorders>
            <w:shd w:val="clear" w:color="auto" w:fill="auto"/>
            <w:noWrap/>
            <w:vAlign w:val="center"/>
            <w:hideMark/>
          </w:tcPr>
          <w:p w14:paraId="319FF725" w14:textId="77777777" w:rsidR="00713A56" w:rsidRDefault="00713A56">
            <w:pPr>
              <w:jc w:val="center"/>
              <w:rPr>
                <w:rFonts w:ascii="Calibri" w:hAnsi="Calibri" w:cs="Calibri"/>
                <w:color w:val="000000"/>
                <w:sz w:val="18"/>
                <w:szCs w:val="18"/>
              </w:rPr>
            </w:pPr>
            <w:r>
              <w:rPr>
                <w:rFonts w:ascii="Calibri" w:hAnsi="Calibri" w:cs="Calibri"/>
                <w:color w:val="000000"/>
                <w:sz w:val="18"/>
                <w:szCs w:val="18"/>
              </w:rPr>
              <w:t>0</w:t>
            </w:r>
          </w:p>
        </w:tc>
        <w:tc>
          <w:tcPr>
            <w:tcW w:w="917" w:type="dxa"/>
            <w:tcBorders>
              <w:top w:val="nil"/>
              <w:left w:val="nil"/>
              <w:bottom w:val="single" w:sz="4" w:space="0" w:color="auto"/>
              <w:right w:val="single" w:sz="4" w:space="0" w:color="auto"/>
            </w:tcBorders>
            <w:shd w:val="clear" w:color="auto" w:fill="auto"/>
            <w:noWrap/>
            <w:vAlign w:val="center"/>
            <w:hideMark/>
          </w:tcPr>
          <w:p w14:paraId="60D90501" w14:textId="77777777" w:rsidR="00713A56" w:rsidRDefault="00713A56">
            <w:pPr>
              <w:jc w:val="center"/>
              <w:rPr>
                <w:rFonts w:ascii="Calibri" w:hAnsi="Calibri" w:cs="Calibri"/>
                <w:color w:val="000000"/>
                <w:sz w:val="18"/>
                <w:szCs w:val="18"/>
              </w:rPr>
            </w:pPr>
            <w:r>
              <w:rPr>
                <w:rFonts w:ascii="Calibri" w:hAnsi="Calibri" w:cs="Calibri"/>
                <w:color w:val="000000"/>
                <w:sz w:val="18"/>
                <w:szCs w:val="18"/>
              </w:rPr>
              <w:t>0</w:t>
            </w:r>
          </w:p>
        </w:tc>
        <w:tc>
          <w:tcPr>
            <w:tcW w:w="1085" w:type="dxa"/>
            <w:tcBorders>
              <w:top w:val="nil"/>
              <w:left w:val="nil"/>
              <w:bottom w:val="single" w:sz="4" w:space="0" w:color="auto"/>
              <w:right w:val="single" w:sz="4" w:space="0" w:color="auto"/>
            </w:tcBorders>
            <w:shd w:val="clear" w:color="auto" w:fill="auto"/>
            <w:noWrap/>
            <w:vAlign w:val="center"/>
            <w:hideMark/>
          </w:tcPr>
          <w:p w14:paraId="00A1EAE8" w14:textId="77777777" w:rsidR="00713A56" w:rsidRDefault="00713A56">
            <w:pPr>
              <w:jc w:val="center"/>
              <w:rPr>
                <w:rFonts w:ascii="Calibri" w:hAnsi="Calibri" w:cs="Calibri"/>
                <w:color w:val="000000"/>
                <w:sz w:val="18"/>
                <w:szCs w:val="18"/>
              </w:rPr>
            </w:pPr>
            <w:r>
              <w:rPr>
                <w:rFonts w:ascii="Calibri" w:hAnsi="Calibri" w:cs="Calibri"/>
                <w:color w:val="000000"/>
                <w:sz w:val="18"/>
                <w:szCs w:val="18"/>
              </w:rPr>
              <w:t>24</w:t>
            </w:r>
          </w:p>
        </w:tc>
        <w:tc>
          <w:tcPr>
            <w:tcW w:w="955" w:type="dxa"/>
            <w:tcBorders>
              <w:top w:val="nil"/>
              <w:left w:val="nil"/>
              <w:bottom w:val="single" w:sz="4" w:space="0" w:color="auto"/>
              <w:right w:val="single" w:sz="4" w:space="0" w:color="auto"/>
            </w:tcBorders>
            <w:shd w:val="clear" w:color="auto" w:fill="auto"/>
            <w:noWrap/>
            <w:vAlign w:val="bottom"/>
            <w:hideMark/>
          </w:tcPr>
          <w:p w14:paraId="5EBD7D34" w14:textId="77777777" w:rsidR="00713A56" w:rsidRDefault="00713A56">
            <w:pPr>
              <w:rPr>
                <w:rFonts w:ascii="Arial" w:hAnsi="Arial" w:cs="Arial"/>
                <w:sz w:val="20"/>
                <w:szCs w:val="20"/>
              </w:rPr>
            </w:pPr>
            <w:r>
              <w:rPr>
                <w:rFonts w:ascii="Arial" w:hAnsi="Arial" w:cs="Arial"/>
                <w:sz w:val="20"/>
                <w:szCs w:val="20"/>
              </w:rPr>
              <w:t> </w:t>
            </w:r>
          </w:p>
        </w:tc>
      </w:tr>
      <w:tr w:rsidR="00713A56" w14:paraId="7DA10F81" w14:textId="77777777" w:rsidTr="009A0919">
        <w:trPr>
          <w:trHeight w:val="246"/>
        </w:trPr>
        <w:tc>
          <w:tcPr>
            <w:tcW w:w="3808" w:type="dxa"/>
            <w:tcBorders>
              <w:top w:val="nil"/>
              <w:left w:val="single" w:sz="4" w:space="0" w:color="auto"/>
              <w:bottom w:val="single" w:sz="4" w:space="0" w:color="auto"/>
              <w:right w:val="single" w:sz="4" w:space="0" w:color="auto"/>
            </w:tcBorders>
            <w:shd w:val="clear" w:color="auto" w:fill="auto"/>
            <w:noWrap/>
            <w:vAlign w:val="center"/>
            <w:hideMark/>
          </w:tcPr>
          <w:p w14:paraId="0DE272A2" w14:textId="77777777" w:rsidR="00713A56" w:rsidRDefault="00713A56">
            <w:pPr>
              <w:rPr>
                <w:rFonts w:ascii="Calibri" w:hAnsi="Calibri" w:cs="Calibri"/>
                <w:color w:val="000000"/>
                <w:sz w:val="18"/>
                <w:szCs w:val="18"/>
              </w:rPr>
            </w:pPr>
            <w:r>
              <w:rPr>
                <w:rFonts w:ascii="Calibri" w:hAnsi="Calibri" w:cs="Calibri"/>
                <w:color w:val="000000"/>
                <w:sz w:val="18"/>
                <w:szCs w:val="18"/>
              </w:rPr>
              <w:t>Recruitment in FY 2025-26 (O)</w:t>
            </w:r>
          </w:p>
        </w:tc>
        <w:tc>
          <w:tcPr>
            <w:tcW w:w="1479" w:type="dxa"/>
            <w:tcBorders>
              <w:top w:val="nil"/>
              <w:left w:val="nil"/>
              <w:bottom w:val="single" w:sz="4" w:space="0" w:color="auto"/>
              <w:right w:val="single" w:sz="4" w:space="0" w:color="auto"/>
            </w:tcBorders>
            <w:shd w:val="clear" w:color="auto" w:fill="auto"/>
            <w:noWrap/>
            <w:vAlign w:val="center"/>
            <w:hideMark/>
          </w:tcPr>
          <w:p w14:paraId="435461EE" w14:textId="77777777" w:rsidR="00713A56" w:rsidRDefault="00713A56">
            <w:pPr>
              <w:jc w:val="center"/>
              <w:rPr>
                <w:rFonts w:ascii="Calibri" w:hAnsi="Calibri" w:cs="Calibri"/>
                <w:color w:val="000000"/>
                <w:sz w:val="18"/>
                <w:szCs w:val="18"/>
              </w:rPr>
            </w:pPr>
            <w:r>
              <w:rPr>
                <w:rFonts w:ascii="Calibri" w:hAnsi="Calibri" w:cs="Calibri"/>
                <w:color w:val="000000"/>
                <w:sz w:val="18"/>
                <w:szCs w:val="18"/>
              </w:rPr>
              <w:t>13</w:t>
            </w:r>
          </w:p>
        </w:tc>
        <w:tc>
          <w:tcPr>
            <w:tcW w:w="990" w:type="dxa"/>
            <w:tcBorders>
              <w:top w:val="nil"/>
              <w:left w:val="nil"/>
              <w:bottom w:val="single" w:sz="4" w:space="0" w:color="auto"/>
              <w:right w:val="single" w:sz="4" w:space="0" w:color="auto"/>
            </w:tcBorders>
            <w:shd w:val="clear" w:color="auto" w:fill="auto"/>
            <w:noWrap/>
            <w:vAlign w:val="center"/>
            <w:hideMark/>
          </w:tcPr>
          <w:p w14:paraId="173DC054" w14:textId="77777777" w:rsidR="00713A56" w:rsidRDefault="00713A56">
            <w:pPr>
              <w:jc w:val="center"/>
              <w:rPr>
                <w:rFonts w:ascii="Calibri" w:hAnsi="Calibri" w:cs="Calibri"/>
                <w:color w:val="000000"/>
                <w:sz w:val="18"/>
                <w:szCs w:val="18"/>
              </w:rPr>
            </w:pPr>
            <w:r>
              <w:rPr>
                <w:rFonts w:ascii="Calibri" w:hAnsi="Calibri" w:cs="Calibri"/>
                <w:color w:val="000000"/>
                <w:sz w:val="18"/>
                <w:szCs w:val="18"/>
              </w:rPr>
              <w:t>7</w:t>
            </w:r>
          </w:p>
        </w:tc>
        <w:tc>
          <w:tcPr>
            <w:tcW w:w="1047" w:type="dxa"/>
            <w:tcBorders>
              <w:top w:val="nil"/>
              <w:left w:val="nil"/>
              <w:bottom w:val="single" w:sz="4" w:space="0" w:color="auto"/>
              <w:right w:val="single" w:sz="4" w:space="0" w:color="auto"/>
            </w:tcBorders>
            <w:shd w:val="clear" w:color="auto" w:fill="auto"/>
            <w:noWrap/>
            <w:vAlign w:val="center"/>
            <w:hideMark/>
          </w:tcPr>
          <w:p w14:paraId="37081A54" w14:textId="77777777" w:rsidR="00713A56" w:rsidRDefault="00713A56">
            <w:pPr>
              <w:jc w:val="center"/>
              <w:rPr>
                <w:rFonts w:ascii="Calibri" w:hAnsi="Calibri" w:cs="Calibri"/>
                <w:color w:val="000000"/>
                <w:sz w:val="18"/>
                <w:szCs w:val="18"/>
              </w:rPr>
            </w:pPr>
            <w:r>
              <w:rPr>
                <w:rFonts w:ascii="Calibri" w:hAnsi="Calibri" w:cs="Calibri"/>
                <w:color w:val="000000"/>
                <w:sz w:val="18"/>
                <w:szCs w:val="18"/>
              </w:rPr>
              <w:t>0</w:t>
            </w:r>
          </w:p>
        </w:tc>
        <w:tc>
          <w:tcPr>
            <w:tcW w:w="917" w:type="dxa"/>
            <w:tcBorders>
              <w:top w:val="nil"/>
              <w:left w:val="nil"/>
              <w:bottom w:val="single" w:sz="4" w:space="0" w:color="auto"/>
              <w:right w:val="single" w:sz="4" w:space="0" w:color="auto"/>
            </w:tcBorders>
            <w:shd w:val="clear" w:color="auto" w:fill="auto"/>
            <w:noWrap/>
            <w:vAlign w:val="center"/>
            <w:hideMark/>
          </w:tcPr>
          <w:p w14:paraId="4CE6CAC0" w14:textId="77777777" w:rsidR="00713A56" w:rsidRDefault="00713A56">
            <w:pPr>
              <w:jc w:val="center"/>
              <w:rPr>
                <w:rFonts w:ascii="Calibri" w:hAnsi="Calibri" w:cs="Calibri"/>
                <w:color w:val="000000"/>
                <w:sz w:val="18"/>
                <w:szCs w:val="18"/>
              </w:rPr>
            </w:pPr>
            <w:r>
              <w:rPr>
                <w:rFonts w:ascii="Calibri" w:hAnsi="Calibri" w:cs="Calibri"/>
                <w:color w:val="000000"/>
                <w:sz w:val="18"/>
                <w:szCs w:val="18"/>
              </w:rPr>
              <w:t>0</w:t>
            </w:r>
          </w:p>
        </w:tc>
        <w:tc>
          <w:tcPr>
            <w:tcW w:w="1085" w:type="dxa"/>
            <w:tcBorders>
              <w:top w:val="nil"/>
              <w:left w:val="nil"/>
              <w:bottom w:val="single" w:sz="4" w:space="0" w:color="auto"/>
              <w:right w:val="single" w:sz="4" w:space="0" w:color="auto"/>
            </w:tcBorders>
            <w:shd w:val="clear" w:color="auto" w:fill="auto"/>
            <w:noWrap/>
            <w:vAlign w:val="center"/>
            <w:hideMark/>
          </w:tcPr>
          <w:p w14:paraId="4CFD1778" w14:textId="77777777" w:rsidR="00713A56" w:rsidRDefault="00713A56">
            <w:pPr>
              <w:jc w:val="center"/>
              <w:rPr>
                <w:rFonts w:ascii="Calibri" w:hAnsi="Calibri" w:cs="Calibri"/>
                <w:color w:val="000000"/>
                <w:sz w:val="18"/>
                <w:szCs w:val="18"/>
              </w:rPr>
            </w:pPr>
            <w:r>
              <w:rPr>
                <w:rFonts w:ascii="Calibri" w:hAnsi="Calibri" w:cs="Calibri"/>
                <w:color w:val="000000"/>
                <w:sz w:val="18"/>
                <w:szCs w:val="18"/>
              </w:rPr>
              <w:t>20</w:t>
            </w:r>
          </w:p>
        </w:tc>
        <w:tc>
          <w:tcPr>
            <w:tcW w:w="955" w:type="dxa"/>
            <w:tcBorders>
              <w:top w:val="nil"/>
              <w:left w:val="nil"/>
              <w:bottom w:val="single" w:sz="4" w:space="0" w:color="auto"/>
              <w:right w:val="single" w:sz="4" w:space="0" w:color="auto"/>
            </w:tcBorders>
            <w:shd w:val="clear" w:color="auto" w:fill="auto"/>
            <w:noWrap/>
            <w:vAlign w:val="center"/>
            <w:hideMark/>
          </w:tcPr>
          <w:p w14:paraId="247A29C4" w14:textId="77777777" w:rsidR="00713A56" w:rsidRDefault="00713A56">
            <w:pPr>
              <w:jc w:val="center"/>
              <w:rPr>
                <w:rFonts w:ascii="Calibri" w:hAnsi="Calibri" w:cs="Calibri"/>
                <w:color w:val="000000"/>
                <w:sz w:val="18"/>
                <w:szCs w:val="18"/>
              </w:rPr>
            </w:pPr>
            <w:r>
              <w:rPr>
                <w:rFonts w:ascii="Calibri" w:hAnsi="Calibri" w:cs="Calibri"/>
                <w:color w:val="000000"/>
                <w:sz w:val="18"/>
                <w:szCs w:val="18"/>
              </w:rPr>
              <w:t>20</w:t>
            </w:r>
          </w:p>
        </w:tc>
      </w:tr>
      <w:tr w:rsidR="00713A56" w14:paraId="42B2CB81" w14:textId="77777777" w:rsidTr="009A0919">
        <w:trPr>
          <w:trHeight w:val="246"/>
        </w:trPr>
        <w:tc>
          <w:tcPr>
            <w:tcW w:w="3808" w:type="dxa"/>
            <w:tcBorders>
              <w:top w:val="nil"/>
              <w:left w:val="single" w:sz="4" w:space="0" w:color="auto"/>
              <w:bottom w:val="single" w:sz="4" w:space="0" w:color="auto"/>
              <w:right w:val="single" w:sz="4" w:space="0" w:color="auto"/>
            </w:tcBorders>
            <w:shd w:val="clear" w:color="auto" w:fill="auto"/>
            <w:noWrap/>
            <w:vAlign w:val="center"/>
            <w:hideMark/>
          </w:tcPr>
          <w:p w14:paraId="26DCB6C2" w14:textId="77777777" w:rsidR="00713A56" w:rsidRDefault="00713A56">
            <w:pPr>
              <w:rPr>
                <w:rFonts w:ascii="Calibri" w:hAnsi="Calibri" w:cs="Calibri"/>
                <w:color w:val="000000"/>
                <w:sz w:val="18"/>
                <w:szCs w:val="18"/>
              </w:rPr>
            </w:pPr>
            <w:r>
              <w:rPr>
                <w:rFonts w:ascii="Calibri" w:hAnsi="Calibri" w:cs="Calibri"/>
                <w:color w:val="000000"/>
                <w:sz w:val="18"/>
                <w:szCs w:val="18"/>
              </w:rPr>
              <w:t>Recruitment of Trainees during FY 2025-26(P)</w:t>
            </w:r>
          </w:p>
        </w:tc>
        <w:tc>
          <w:tcPr>
            <w:tcW w:w="1479" w:type="dxa"/>
            <w:tcBorders>
              <w:top w:val="nil"/>
              <w:left w:val="nil"/>
              <w:bottom w:val="single" w:sz="4" w:space="0" w:color="auto"/>
              <w:right w:val="single" w:sz="4" w:space="0" w:color="auto"/>
            </w:tcBorders>
            <w:shd w:val="clear" w:color="auto" w:fill="auto"/>
            <w:noWrap/>
            <w:vAlign w:val="center"/>
            <w:hideMark/>
          </w:tcPr>
          <w:p w14:paraId="7C5C03B8" w14:textId="77777777" w:rsidR="00713A56" w:rsidRDefault="00713A56">
            <w:pPr>
              <w:jc w:val="center"/>
              <w:rPr>
                <w:rFonts w:ascii="Calibri" w:hAnsi="Calibri" w:cs="Calibri"/>
                <w:color w:val="000000"/>
                <w:sz w:val="18"/>
                <w:szCs w:val="18"/>
              </w:rPr>
            </w:pPr>
            <w:r>
              <w:rPr>
                <w:rFonts w:ascii="Calibri" w:hAnsi="Calibri" w:cs="Calibri"/>
                <w:color w:val="000000"/>
                <w:sz w:val="18"/>
                <w:szCs w:val="18"/>
              </w:rPr>
              <w:t>50</w:t>
            </w:r>
          </w:p>
        </w:tc>
        <w:tc>
          <w:tcPr>
            <w:tcW w:w="990" w:type="dxa"/>
            <w:tcBorders>
              <w:top w:val="nil"/>
              <w:left w:val="nil"/>
              <w:bottom w:val="single" w:sz="4" w:space="0" w:color="auto"/>
              <w:right w:val="single" w:sz="4" w:space="0" w:color="auto"/>
            </w:tcBorders>
            <w:shd w:val="clear" w:color="auto" w:fill="auto"/>
            <w:noWrap/>
            <w:vAlign w:val="center"/>
            <w:hideMark/>
          </w:tcPr>
          <w:p w14:paraId="7107A27A" w14:textId="77777777" w:rsidR="00713A56" w:rsidRDefault="00713A56">
            <w:pPr>
              <w:jc w:val="center"/>
              <w:rPr>
                <w:rFonts w:ascii="Calibri" w:hAnsi="Calibri" w:cs="Calibri"/>
                <w:color w:val="000000"/>
                <w:sz w:val="18"/>
                <w:szCs w:val="18"/>
              </w:rPr>
            </w:pPr>
            <w:r>
              <w:rPr>
                <w:rFonts w:ascii="Calibri" w:hAnsi="Calibri" w:cs="Calibri"/>
                <w:color w:val="000000"/>
                <w:sz w:val="18"/>
                <w:szCs w:val="18"/>
              </w:rPr>
              <w:t>10</w:t>
            </w:r>
          </w:p>
        </w:tc>
        <w:tc>
          <w:tcPr>
            <w:tcW w:w="1047" w:type="dxa"/>
            <w:tcBorders>
              <w:top w:val="nil"/>
              <w:left w:val="nil"/>
              <w:bottom w:val="single" w:sz="4" w:space="0" w:color="auto"/>
              <w:right w:val="single" w:sz="4" w:space="0" w:color="auto"/>
            </w:tcBorders>
            <w:shd w:val="clear" w:color="auto" w:fill="auto"/>
            <w:noWrap/>
            <w:vAlign w:val="center"/>
            <w:hideMark/>
          </w:tcPr>
          <w:p w14:paraId="4CF10D3E" w14:textId="77777777" w:rsidR="00713A56" w:rsidRDefault="00713A56">
            <w:pPr>
              <w:jc w:val="center"/>
              <w:rPr>
                <w:rFonts w:ascii="Calibri" w:hAnsi="Calibri" w:cs="Calibri"/>
                <w:color w:val="000000"/>
                <w:sz w:val="18"/>
                <w:szCs w:val="18"/>
              </w:rPr>
            </w:pPr>
            <w:r>
              <w:rPr>
                <w:rFonts w:ascii="Calibri" w:hAnsi="Calibri" w:cs="Calibri"/>
                <w:color w:val="000000"/>
                <w:sz w:val="18"/>
                <w:szCs w:val="18"/>
              </w:rPr>
              <w:t>65</w:t>
            </w:r>
          </w:p>
        </w:tc>
        <w:tc>
          <w:tcPr>
            <w:tcW w:w="917" w:type="dxa"/>
            <w:tcBorders>
              <w:top w:val="nil"/>
              <w:left w:val="nil"/>
              <w:bottom w:val="single" w:sz="4" w:space="0" w:color="auto"/>
              <w:right w:val="single" w:sz="4" w:space="0" w:color="auto"/>
            </w:tcBorders>
            <w:shd w:val="clear" w:color="auto" w:fill="auto"/>
            <w:noWrap/>
            <w:vAlign w:val="center"/>
            <w:hideMark/>
          </w:tcPr>
          <w:p w14:paraId="5695E527" w14:textId="77777777" w:rsidR="00713A56" w:rsidRDefault="00713A56">
            <w:pPr>
              <w:jc w:val="center"/>
              <w:rPr>
                <w:rFonts w:ascii="Calibri" w:hAnsi="Calibri" w:cs="Calibri"/>
                <w:color w:val="000000"/>
                <w:sz w:val="18"/>
                <w:szCs w:val="18"/>
              </w:rPr>
            </w:pPr>
            <w:r>
              <w:rPr>
                <w:rFonts w:ascii="Calibri" w:hAnsi="Calibri" w:cs="Calibri"/>
                <w:color w:val="000000"/>
                <w:sz w:val="18"/>
                <w:szCs w:val="18"/>
              </w:rPr>
              <w:t>0</w:t>
            </w:r>
          </w:p>
        </w:tc>
        <w:tc>
          <w:tcPr>
            <w:tcW w:w="1085" w:type="dxa"/>
            <w:tcBorders>
              <w:top w:val="nil"/>
              <w:left w:val="nil"/>
              <w:bottom w:val="single" w:sz="4" w:space="0" w:color="auto"/>
              <w:right w:val="single" w:sz="4" w:space="0" w:color="auto"/>
            </w:tcBorders>
            <w:shd w:val="clear" w:color="auto" w:fill="auto"/>
            <w:noWrap/>
            <w:vAlign w:val="center"/>
            <w:hideMark/>
          </w:tcPr>
          <w:p w14:paraId="4F84FD02" w14:textId="77777777" w:rsidR="00713A56" w:rsidRDefault="00713A56">
            <w:pPr>
              <w:jc w:val="center"/>
              <w:rPr>
                <w:rFonts w:ascii="Calibri" w:hAnsi="Calibri" w:cs="Calibri"/>
                <w:color w:val="000000"/>
                <w:sz w:val="18"/>
                <w:szCs w:val="18"/>
              </w:rPr>
            </w:pPr>
            <w:r>
              <w:rPr>
                <w:rFonts w:ascii="Calibri" w:hAnsi="Calibri" w:cs="Calibri"/>
                <w:color w:val="000000"/>
                <w:sz w:val="18"/>
                <w:szCs w:val="18"/>
              </w:rPr>
              <w:t>125</w:t>
            </w:r>
          </w:p>
        </w:tc>
        <w:tc>
          <w:tcPr>
            <w:tcW w:w="955" w:type="dxa"/>
            <w:tcBorders>
              <w:top w:val="nil"/>
              <w:left w:val="nil"/>
              <w:bottom w:val="single" w:sz="4" w:space="0" w:color="auto"/>
              <w:right w:val="single" w:sz="4" w:space="0" w:color="auto"/>
            </w:tcBorders>
            <w:shd w:val="clear" w:color="auto" w:fill="auto"/>
            <w:noWrap/>
            <w:vAlign w:val="center"/>
            <w:hideMark/>
          </w:tcPr>
          <w:p w14:paraId="3BEB0886" w14:textId="77777777" w:rsidR="00713A56" w:rsidRDefault="00713A56">
            <w:pPr>
              <w:jc w:val="center"/>
              <w:rPr>
                <w:rFonts w:ascii="Calibri" w:hAnsi="Calibri" w:cs="Calibri"/>
                <w:color w:val="000000"/>
                <w:sz w:val="18"/>
                <w:szCs w:val="18"/>
              </w:rPr>
            </w:pPr>
            <w:r>
              <w:rPr>
                <w:rFonts w:ascii="Calibri" w:hAnsi="Calibri" w:cs="Calibri"/>
                <w:color w:val="000000"/>
                <w:sz w:val="18"/>
                <w:szCs w:val="18"/>
              </w:rPr>
              <w:t>125</w:t>
            </w:r>
          </w:p>
        </w:tc>
      </w:tr>
      <w:tr w:rsidR="00713A56" w14:paraId="35DCCE18" w14:textId="77777777" w:rsidTr="009A0919">
        <w:trPr>
          <w:trHeight w:val="246"/>
        </w:trPr>
        <w:tc>
          <w:tcPr>
            <w:tcW w:w="3808" w:type="dxa"/>
            <w:tcBorders>
              <w:top w:val="nil"/>
              <w:left w:val="single" w:sz="4" w:space="0" w:color="auto"/>
              <w:bottom w:val="single" w:sz="4" w:space="0" w:color="auto"/>
              <w:right w:val="single" w:sz="4" w:space="0" w:color="auto"/>
            </w:tcBorders>
            <w:shd w:val="clear" w:color="auto" w:fill="auto"/>
            <w:noWrap/>
            <w:vAlign w:val="center"/>
            <w:hideMark/>
          </w:tcPr>
          <w:p w14:paraId="6035F0FF" w14:textId="77777777" w:rsidR="00713A56" w:rsidRDefault="00713A56">
            <w:pPr>
              <w:rPr>
                <w:rFonts w:ascii="Calibri" w:hAnsi="Calibri" w:cs="Calibri"/>
                <w:color w:val="000000"/>
                <w:sz w:val="18"/>
                <w:szCs w:val="18"/>
              </w:rPr>
            </w:pPr>
            <w:r>
              <w:rPr>
                <w:rFonts w:ascii="Calibri" w:hAnsi="Calibri" w:cs="Calibri"/>
                <w:color w:val="000000"/>
                <w:sz w:val="18"/>
                <w:szCs w:val="18"/>
              </w:rPr>
              <w:t>New employees resigned during FY 2025-26(Q)</w:t>
            </w:r>
          </w:p>
        </w:tc>
        <w:tc>
          <w:tcPr>
            <w:tcW w:w="1479" w:type="dxa"/>
            <w:tcBorders>
              <w:top w:val="nil"/>
              <w:left w:val="nil"/>
              <w:bottom w:val="single" w:sz="4" w:space="0" w:color="auto"/>
              <w:right w:val="single" w:sz="4" w:space="0" w:color="auto"/>
            </w:tcBorders>
            <w:shd w:val="clear" w:color="auto" w:fill="auto"/>
            <w:noWrap/>
            <w:vAlign w:val="center"/>
            <w:hideMark/>
          </w:tcPr>
          <w:p w14:paraId="106B5E60" w14:textId="77777777" w:rsidR="00713A56" w:rsidRDefault="00713A56">
            <w:pPr>
              <w:jc w:val="center"/>
              <w:rPr>
                <w:rFonts w:ascii="Calibri" w:hAnsi="Calibri" w:cs="Calibri"/>
                <w:color w:val="000000"/>
                <w:sz w:val="18"/>
                <w:szCs w:val="18"/>
              </w:rPr>
            </w:pPr>
            <w:r>
              <w:rPr>
                <w:rFonts w:ascii="Calibri" w:hAnsi="Calibri" w:cs="Calibri"/>
                <w:color w:val="000000"/>
                <w:sz w:val="18"/>
                <w:szCs w:val="18"/>
              </w:rPr>
              <w:t>45</w:t>
            </w:r>
          </w:p>
        </w:tc>
        <w:tc>
          <w:tcPr>
            <w:tcW w:w="990" w:type="dxa"/>
            <w:tcBorders>
              <w:top w:val="nil"/>
              <w:left w:val="nil"/>
              <w:bottom w:val="single" w:sz="4" w:space="0" w:color="auto"/>
              <w:right w:val="single" w:sz="4" w:space="0" w:color="auto"/>
            </w:tcBorders>
            <w:shd w:val="clear" w:color="auto" w:fill="auto"/>
            <w:noWrap/>
            <w:vAlign w:val="center"/>
            <w:hideMark/>
          </w:tcPr>
          <w:p w14:paraId="02104665" w14:textId="77777777" w:rsidR="00713A56" w:rsidRDefault="00713A56">
            <w:pPr>
              <w:jc w:val="center"/>
              <w:rPr>
                <w:rFonts w:ascii="Calibri" w:hAnsi="Calibri" w:cs="Calibri"/>
                <w:color w:val="000000"/>
                <w:sz w:val="18"/>
                <w:szCs w:val="18"/>
              </w:rPr>
            </w:pPr>
            <w:r>
              <w:rPr>
                <w:rFonts w:ascii="Calibri" w:hAnsi="Calibri" w:cs="Calibri"/>
                <w:color w:val="000000"/>
                <w:sz w:val="18"/>
                <w:szCs w:val="18"/>
              </w:rPr>
              <w:t>10</w:t>
            </w:r>
          </w:p>
        </w:tc>
        <w:tc>
          <w:tcPr>
            <w:tcW w:w="1047" w:type="dxa"/>
            <w:tcBorders>
              <w:top w:val="nil"/>
              <w:left w:val="nil"/>
              <w:bottom w:val="single" w:sz="4" w:space="0" w:color="auto"/>
              <w:right w:val="single" w:sz="4" w:space="0" w:color="auto"/>
            </w:tcBorders>
            <w:shd w:val="clear" w:color="auto" w:fill="auto"/>
            <w:noWrap/>
            <w:vAlign w:val="center"/>
            <w:hideMark/>
          </w:tcPr>
          <w:p w14:paraId="4569490A" w14:textId="77777777" w:rsidR="00713A56" w:rsidRDefault="00713A56">
            <w:pPr>
              <w:jc w:val="center"/>
              <w:rPr>
                <w:rFonts w:ascii="Calibri" w:hAnsi="Calibri" w:cs="Calibri"/>
                <w:color w:val="000000"/>
                <w:sz w:val="18"/>
                <w:szCs w:val="18"/>
              </w:rPr>
            </w:pPr>
            <w:r>
              <w:rPr>
                <w:rFonts w:ascii="Calibri" w:hAnsi="Calibri" w:cs="Calibri"/>
                <w:color w:val="000000"/>
                <w:sz w:val="18"/>
                <w:szCs w:val="18"/>
              </w:rPr>
              <w:t>0</w:t>
            </w:r>
          </w:p>
        </w:tc>
        <w:tc>
          <w:tcPr>
            <w:tcW w:w="917" w:type="dxa"/>
            <w:tcBorders>
              <w:top w:val="nil"/>
              <w:left w:val="nil"/>
              <w:bottom w:val="single" w:sz="4" w:space="0" w:color="auto"/>
              <w:right w:val="single" w:sz="4" w:space="0" w:color="auto"/>
            </w:tcBorders>
            <w:shd w:val="clear" w:color="auto" w:fill="auto"/>
            <w:noWrap/>
            <w:vAlign w:val="center"/>
            <w:hideMark/>
          </w:tcPr>
          <w:p w14:paraId="7323CEE3" w14:textId="77777777" w:rsidR="00713A56" w:rsidRDefault="00713A56">
            <w:pPr>
              <w:jc w:val="center"/>
              <w:rPr>
                <w:rFonts w:ascii="Calibri" w:hAnsi="Calibri" w:cs="Calibri"/>
                <w:color w:val="000000"/>
                <w:sz w:val="18"/>
                <w:szCs w:val="18"/>
              </w:rPr>
            </w:pPr>
            <w:r>
              <w:rPr>
                <w:rFonts w:ascii="Calibri" w:hAnsi="Calibri" w:cs="Calibri"/>
                <w:color w:val="000000"/>
                <w:sz w:val="18"/>
                <w:szCs w:val="18"/>
              </w:rPr>
              <w:t>0</w:t>
            </w:r>
          </w:p>
        </w:tc>
        <w:tc>
          <w:tcPr>
            <w:tcW w:w="1085" w:type="dxa"/>
            <w:tcBorders>
              <w:top w:val="nil"/>
              <w:left w:val="nil"/>
              <w:bottom w:val="single" w:sz="4" w:space="0" w:color="auto"/>
              <w:right w:val="single" w:sz="4" w:space="0" w:color="auto"/>
            </w:tcBorders>
            <w:shd w:val="clear" w:color="auto" w:fill="auto"/>
            <w:noWrap/>
            <w:vAlign w:val="center"/>
            <w:hideMark/>
          </w:tcPr>
          <w:p w14:paraId="3FC4CB88" w14:textId="77777777" w:rsidR="00713A56" w:rsidRDefault="00713A56">
            <w:pPr>
              <w:jc w:val="center"/>
              <w:rPr>
                <w:rFonts w:ascii="Calibri" w:hAnsi="Calibri" w:cs="Calibri"/>
                <w:color w:val="000000"/>
                <w:sz w:val="18"/>
                <w:szCs w:val="18"/>
              </w:rPr>
            </w:pPr>
            <w:r>
              <w:rPr>
                <w:rFonts w:ascii="Calibri" w:hAnsi="Calibri" w:cs="Calibri"/>
                <w:color w:val="000000"/>
                <w:sz w:val="18"/>
                <w:szCs w:val="18"/>
              </w:rPr>
              <w:t>55</w:t>
            </w:r>
          </w:p>
        </w:tc>
        <w:tc>
          <w:tcPr>
            <w:tcW w:w="955" w:type="dxa"/>
            <w:tcBorders>
              <w:top w:val="nil"/>
              <w:left w:val="nil"/>
              <w:bottom w:val="single" w:sz="4" w:space="0" w:color="auto"/>
              <w:right w:val="single" w:sz="4" w:space="0" w:color="auto"/>
            </w:tcBorders>
            <w:shd w:val="clear" w:color="auto" w:fill="auto"/>
            <w:noWrap/>
            <w:vAlign w:val="center"/>
            <w:hideMark/>
          </w:tcPr>
          <w:p w14:paraId="7BC0FDFD" w14:textId="77777777" w:rsidR="00713A56" w:rsidRDefault="00713A56">
            <w:pPr>
              <w:jc w:val="center"/>
              <w:rPr>
                <w:rFonts w:ascii="Calibri" w:hAnsi="Calibri" w:cs="Calibri"/>
                <w:color w:val="000000"/>
                <w:sz w:val="18"/>
                <w:szCs w:val="18"/>
              </w:rPr>
            </w:pPr>
            <w:r>
              <w:rPr>
                <w:rFonts w:ascii="Calibri" w:hAnsi="Calibri" w:cs="Calibri"/>
                <w:color w:val="000000"/>
                <w:sz w:val="18"/>
                <w:szCs w:val="18"/>
              </w:rPr>
              <w:t> </w:t>
            </w:r>
          </w:p>
        </w:tc>
      </w:tr>
      <w:tr w:rsidR="00713A56" w14:paraId="389D6319" w14:textId="77777777" w:rsidTr="009A0919">
        <w:trPr>
          <w:trHeight w:val="246"/>
        </w:trPr>
        <w:tc>
          <w:tcPr>
            <w:tcW w:w="3808" w:type="dxa"/>
            <w:tcBorders>
              <w:top w:val="nil"/>
              <w:left w:val="single" w:sz="4" w:space="0" w:color="auto"/>
              <w:bottom w:val="single" w:sz="4" w:space="0" w:color="auto"/>
              <w:right w:val="single" w:sz="4" w:space="0" w:color="auto"/>
            </w:tcBorders>
            <w:shd w:val="clear" w:color="auto" w:fill="auto"/>
            <w:noWrap/>
            <w:vAlign w:val="center"/>
            <w:hideMark/>
          </w:tcPr>
          <w:p w14:paraId="72DB39DE" w14:textId="77777777" w:rsidR="00713A56" w:rsidRDefault="00713A56">
            <w:pPr>
              <w:rPr>
                <w:rFonts w:ascii="Calibri" w:hAnsi="Calibri" w:cs="Calibri"/>
                <w:color w:val="000000"/>
                <w:sz w:val="18"/>
                <w:szCs w:val="18"/>
              </w:rPr>
            </w:pPr>
            <w:r>
              <w:rPr>
                <w:rFonts w:ascii="Calibri" w:hAnsi="Calibri" w:cs="Calibri"/>
                <w:color w:val="000000"/>
                <w:sz w:val="18"/>
                <w:szCs w:val="18"/>
              </w:rPr>
              <w:t>Retirement during FY 2025-</w:t>
            </w:r>
            <w:proofErr w:type="gramStart"/>
            <w:r>
              <w:rPr>
                <w:rFonts w:ascii="Calibri" w:hAnsi="Calibri" w:cs="Calibri"/>
                <w:color w:val="000000"/>
                <w:sz w:val="18"/>
                <w:szCs w:val="18"/>
              </w:rPr>
              <w:t>26  (</w:t>
            </w:r>
            <w:proofErr w:type="gramEnd"/>
            <w:r>
              <w:rPr>
                <w:rFonts w:ascii="Calibri" w:hAnsi="Calibri" w:cs="Calibri"/>
                <w:color w:val="000000"/>
                <w:sz w:val="18"/>
                <w:szCs w:val="18"/>
              </w:rPr>
              <w:t> R)</w:t>
            </w:r>
          </w:p>
        </w:tc>
        <w:tc>
          <w:tcPr>
            <w:tcW w:w="1479" w:type="dxa"/>
            <w:tcBorders>
              <w:top w:val="nil"/>
              <w:left w:val="nil"/>
              <w:bottom w:val="single" w:sz="4" w:space="0" w:color="auto"/>
              <w:right w:val="single" w:sz="4" w:space="0" w:color="auto"/>
            </w:tcBorders>
            <w:shd w:val="clear" w:color="auto" w:fill="auto"/>
            <w:noWrap/>
            <w:vAlign w:val="center"/>
            <w:hideMark/>
          </w:tcPr>
          <w:p w14:paraId="5F4800F8" w14:textId="77777777" w:rsidR="00713A56" w:rsidRDefault="00713A56">
            <w:pPr>
              <w:jc w:val="center"/>
              <w:rPr>
                <w:rFonts w:ascii="Calibri" w:hAnsi="Calibri" w:cs="Calibri"/>
                <w:color w:val="000000"/>
                <w:sz w:val="18"/>
                <w:szCs w:val="18"/>
              </w:rPr>
            </w:pPr>
            <w:r>
              <w:rPr>
                <w:rFonts w:ascii="Calibri" w:hAnsi="Calibri" w:cs="Calibri"/>
                <w:color w:val="000000"/>
                <w:sz w:val="18"/>
                <w:szCs w:val="18"/>
              </w:rPr>
              <w:t>3</w:t>
            </w:r>
          </w:p>
        </w:tc>
        <w:tc>
          <w:tcPr>
            <w:tcW w:w="990" w:type="dxa"/>
            <w:tcBorders>
              <w:top w:val="nil"/>
              <w:left w:val="nil"/>
              <w:bottom w:val="single" w:sz="4" w:space="0" w:color="auto"/>
              <w:right w:val="single" w:sz="4" w:space="0" w:color="auto"/>
            </w:tcBorders>
            <w:shd w:val="clear" w:color="auto" w:fill="auto"/>
            <w:noWrap/>
            <w:vAlign w:val="center"/>
            <w:hideMark/>
          </w:tcPr>
          <w:p w14:paraId="685A05BB" w14:textId="77777777" w:rsidR="00713A56" w:rsidRDefault="00713A56">
            <w:pPr>
              <w:jc w:val="center"/>
              <w:rPr>
                <w:rFonts w:ascii="Calibri" w:hAnsi="Calibri" w:cs="Calibri"/>
                <w:color w:val="000000"/>
                <w:sz w:val="18"/>
                <w:szCs w:val="18"/>
              </w:rPr>
            </w:pPr>
            <w:r>
              <w:rPr>
                <w:rFonts w:ascii="Calibri" w:hAnsi="Calibri" w:cs="Calibri"/>
                <w:color w:val="000000"/>
                <w:sz w:val="18"/>
                <w:szCs w:val="18"/>
              </w:rPr>
              <w:t>3</w:t>
            </w:r>
          </w:p>
        </w:tc>
        <w:tc>
          <w:tcPr>
            <w:tcW w:w="1047" w:type="dxa"/>
            <w:tcBorders>
              <w:top w:val="nil"/>
              <w:left w:val="nil"/>
              <w:bottom w:val="single" w:sz="4" w:space="0" w:color="auto"/>
              <w:right w:val="single" w:sz="4" w:space="0" w:color="auto"/>
            </w:tcBorders>
            <w:shd w:val="clear" w:color="auto" w:fill="auto"/>
            <w:noWrap/>
            <w:vAlign w:val="center"/>
            <w:hideMark/>
          </w:tcPr>
          <w:p w14:paraId="609AB664" w14:textId="77777777" w:rsidR="00713A56" w:rsidRDefault="00713A56">
            <w:pPr>
              <w:jc w:val="center"/>
              <w:rPr>
                <w:rFonts w:ascii="Calibri" w:hAnsi="Calibri" w:cs="Calibri"/>
                <w:color w:val="000000"/>
                <w:sz w:val="18"/>
                <w:szCs w:val="18"/>
              </w:rPr>
            </w:pPr>
            <w:r>
              <w:rPr>
                <w:rFonts w:ascii="Calibri" w:hAnsi="Calibri" w:cs="Calibri"/>
                <w:color w:val="000000"/>
                <w:sz w:val="18"/>
                <w:szCs w:val="18"/>
              </w:rPr>
              <w:t>12</w:t>
            </w:r>
          </w:p>
        </w:tc>
        <w:tc>
          <w:tcPr>
            <w:tcW w:w="917" w:type="dxa"/>
            <w:tcBorders>
              <w:top w:val="nil"/>
              <w:left w:val="nil"/>
              <w:bottom w:val="single" w:sz="4" w:space="0" w:color="auto"/>
              <w:right w:val="single" w:sz="4" w:space="0" w:color="auto"/>
            </w:tcBorders>
            <w:shd w:val="clear" w:color="auto" w:fill="auto"/>
            <w:noWrap/>
            <w:vAlign w:val="center"/>
            <w:hideMark/>
          </w:tcPr>
          <w:p w14:paraId="2A5403E7" w14:textId="77777777" w:rsidR="00713A56" w:rsidRDefault="00713A56">
            <w:pPr>
              <w:jc w:val="center"/>
              <w:rPr>
                <w:rFonts w:ascii="Calibri" w:hAnsi="Calibri" w:cs="Calibri"/>
                <w:color w:val="000000"/>
                <w:sz w:val="18"/>
                <w:szCs w:val="18"/>
              </w:rPr>
            </w:pPr>
            <w:r>
              <w:rPr>
                <w:rFonts w:ascii="Calibri" w:hAnsi="Calibri" w:cs="Calibri"/>
                <w:color w:val="000000"/>
                <w:sz w:val="18"/>
                <w:szCs w:val="18"/>
              </w:rPr>
              <w:t>4</w:t>
            </w:r>
          </w:p>
        </w:tc>
        <w:tc>
          <w:tcPr>
            <w:tcW w:w="1085" w:type="dxa"/>
            <w:tcBorders>
              <w:top w:val="nil"/>
              <w:left w:val="nil"/>
              <w:bottom w:val="single" w:sz="4" w:space="0" w:color="auto"/>
              <w:right w:val="single" w:sz="4" w:space="0" w:color="auto"/>
            </w:tcBorders>
            <w:shd w:val="clear" w:color="auto" w:fill="auto"/>
            <w:noWrap/>
            <w:vAlign w:val="center"/>
            <w:hideMark/>
          </w:tcPr>
          <w:p w14:paraId="74268C22" w14:textId="77777777" w:rsidR="00713A56" w:rsidRDefault="00713A56">
            <w:pPr>
              <w:jc w:val="center"/>
              <w:rPr>
                <w:rFonts w:ascii="Calibri" w:hAnsi="Calibri" w:cs="Calibri"/>
                <w:color w:val="000000"/>
                <w:sz w:val="18"/>
                <w:szCs w:val="18"/>
              </w:rPr>
            </w:pPr>
            <w:r>
              <w:rPr>
                <w:rFonts w:ascii="Calibri" w:hAnsi="Calibri" w:cs="Calibri"/>
                <w:color w:val="000000"/>
                <w:sz w:val="18"/>
                <w:szCs w:val="18"/>
              </w:rPr>
              <w:t>22</w:t>
            </w:r>
          </w:p>
        </w:tc>
        <w:tc>
          <w:tcPr>
            <w:tcW w:w="955" w:type="dxa"/>
            <w:tcBorders>
              <w:top w:val="nil"/>
              <w:left w:val="nil"/>
              <w:bottom w:val="single" w:sz="4" w:space="0" w:color="auto"/>
              <w:right w:val="single" w:sz="4" w:space="0" w:color="auto"/>
            </w:tcBorders>
            <w:shd w:val="clear" w:color="auto" w:fill="auto"/>
            <w:noWrap/>
            <w:vAlign w:val="bottom"/>
            <w:hideMark/>
          </w:tcPr>
          <w:p w14:paraId="05DADEAE" w14:textId="77777777" w:rsidR="00713A56" w:rsidRDefault="00713A56">
            <w:pPr>
              <w:rPr>
                <w:rFonts w:ascii="Arial" w:hAnsi="Arial" w:cs="Arial"/>
                <w:sz w:val="20"/>
                <w:szCs w:val="20"/>
              </w:rPr>
            </w:pPr>
            <w:r>
              <w:rPr>
                <w:rFonts w:ascii="Arial" w:hAnsi="Arial" w:cs="Arial"/>
                <w:sz w:val="20"/>
                <w:szCs w:val="20"/>
              </w:rPr>
              <w:t> </w:t>
            </w:r>
          </w:p>
        </w:tc>
      </w:tr>
      <w:tr w:rsidR="00713A56" w14:paraId="477DB8FD" w14:textId="77777777" w:rsidTr="009A0919">
        <w:trPr>
          <w:trHeight w:val="246"/>
        </w:trPr>
        <w:tc>
          <w:tcPr>
            <w:tcW w:w="3808" w:type="dxa"/>
            <w:tcBorders>
              <w:top w:val="nil"/>
              <w:left w:val="single" w:sz="4" w:space="0" w:color="auto"/>
              <w:bottom w:val="single" w:sz="4" w:space="0" w:color="auto"/>
              <w:right w:val="single" w:sz="4" w:space="0" w:color="auto"/>
            </w:tcBorders>
            <w:shd w:val="clear" w:color="000000" w:fill="BDD7EE"/>
            <w:noWrap/>
            <w:vAlign w:val="center"/>
            <w:hideMark/>
          </w:tcPr>
          <w:p w14:paraId="08EF7E2B" w14:textId="77777777" w:rsidR="00713A56" w:rsidRDefault="00713A56">
            <w:pPr>
              <w:rPr>
                <w:rFonts w:ascii="Calibri" w:hAnsi="Calibri" w:cs="Calibri"/>
                <w:b/>
                <w:bCs/>
                <w:color w:val="000000"/>
                <w:sz w:val="18"/>
                <w:szCs w:val="18"/>
              </w:rPr>
            </w:pPr>
            <w:r>
              <w:rPr>
                <w:rFonts w:ascii="Calibri" w:hAnsi="Calibri" w:cs="Calibri"/>
                <w:b/>
                <w:bCs/>
                <w:color w:val="000000"/>
                <w:sz w:val="18"/>
                <w:szCs w:val="18"/>
              </w:rPr>
              <w:t>Total as on 01-04-2026 (U=(T+N+O+P-Q-R))</w:t>
            </w:r>
          </w:p>
        </w:tc>
        <w:tc>
          <w:tcPr>
            <w:tcW w:w="1479" w:type="dxa"/>
            <w:tcBorders>
              <w:top w:val="nil"/>
              <w:left w:val="nil"/>
              <w:bottom w:val="single" w:sz="4" w:space="0" w:color="auto"/>
              <w:right w:val="single" w:sz="4" w:space="0" w:color="auto"/>
            </w:tcBorders>
            <w:shd w:val="clear" w:color="000000" w:fill="C6D9F1"/>
            <w:noWrap/>
            <w:vAlign w:val="center"/>
            <w:hideMark/>
          </w:tcPr>
          <w:p w14:paraId="66C7E10E" w14:textId="77777777" w:rsidR="00713A56" w:rsidRDefault="00713A56">
            <w:pPr>
              <w:jc w:val="center"/>
              <w:rPr>
                <w:rFonts w:ascii="Calibri" w:hAnsi="Calibri" w:cs="Calibri"/>
                <w:b/>
                <w:bCs/>
                <w:color w:val="000000"/>
                <w:sz w:val="18"/>
                <w:szCs w:val="18"/>
              </w:rPr>
            </w:pPr>
            <w:r>
              <w:rPr>
                <w:rFonts w:ascii="Calibri" w:hAnsi="Calibri" w:cs="Calibri"/>
                <w:b/>
                <w:bCs/>
                <w:color w:val="000000"/>
                <w:sz w:val="18"/>
                <w:szCs w:val="18"/>
              </w:rPr>
              <w:t>1093</w:t>
            </w:r>
          </w:p>
        </w:tc>
        <w:tc>
          <w:tcPr>
            <w:tcW w:w="990" w:type="dxa"/>
            <w:tcBorders>
              <w:top w:val="nil"/>
              <w:left w:val="nil"/>
              <w:bottom w:val="single" w:sz="4" w:space="0" w:color="auto"/>
              <w:right w:val="single" w:sz="4" w:space="0" w:color="auto"/>
            </w:tcBorders>
            <w:shd w:val="clear" w:color="000000" w:fill="C6D9F1"/>
            <w:noWrap/>
            <w:vAlign w:val="center"/>
            <w:hideMark/>
          </w:tcPr>
          <w:p w14:paraId="1D11C116" w14:textId="77777777" w:rsidR="00713A56" w:rsidRDefault="00713A56">
            <w:pPr>
              <w:jc w:val="center"/>
              <w:rPr>
                <w:rFonts w:ascii="Calibri" w:hAnsi="Calibri" w:cs="Calibri"/>
                <w:b/>
                <w:bCs/>
                <w:color w:val="000000"/>
                <w:sz w:val="18"/>
                <w:szCs w:val="18"/>
              </w:rPr>
            </w:pPr>
            <w:r>
              <w:rPr>
                <w:rFonts w:ascii="Calibri" w:hAnsi="Calibri" w:cs="Calibri"/>
                <w:b/>
                <w:bCs/>
                <w:color w:val="000000"/>
                <w:sz w:val="18"/>
                <w:szCs w:val="18"/>
              </w:rPr>
              <w:t>532</w:t>
            </w:r>
          </w:p>
        </w:tc>
        <w:tc>
          <w:tcPr>
            <w:tcW w:w="1047" w:type="dxa"/>
            <w:tcBorders>
              <w:top w:val="nil"/>
              <w:left w:val="nil"/>
              <w:bottom w:val="single" w:sz="4" w:space="0" w:color="auto"/>
              <w:right w:val="single" w:sz="4" w:space="0" w:color="auto"/>
            </w:tcBorders>
            <w:shd w:val="clear" w:color="000000" w:fill="C6D9F1"/>
            <w:noWrap/>
            <w:vAlign w:val="center"/>
            <w:hideMark/>
          </w:tcPr>
          <w:p w14:paraId="4D292B27" w14:textId="77777777" w:rsidR="00713A56" w:rsidRDefault="00713A56">
            <w:pPr>
              <w:jc w:val="center"/>
              <w:rPr>
                <w:rFonts w:ascii="Calibri" w:hAnsi="Calibri" w:cs="Calibri"/>
                <w:b/>
                <w:bCs/>
                <w:color w:val="000000"/>
                <w:sz w:val="18"/>
                <w:szCs w:val="18"/>
              </w:rPr>
            </w:pPr>
            <w:r>
              <w:rPr>
                <w:rFonts w:ascii="Calibri" w:hAnsi="Calibri" w:cs="Calibri"/>
                <w:b/>
                <w:bCs/>
                <w:color w:val="000000"/>
                <w:sz w:val="18"/>
                <w:szCs w:val="18"/>
              </w:rPr>
              <w:t>1418</w:t>
            </w:r>
          </w:p>
        </w:tc>
        <w:tc>
          <w:tcPr>
            <w:tcW w:w="917" w:type="dxa"/>
            <w:tcBorders>
              <w:top w:val="nil"/>
              <w:left w:val="nil"/>
              <w:bottom w:val="single" w:sz="4" w:space="0" w:color="auto"/>
              <w:right w:val="single" w:sz="4" w:space="0" w:color="auto"/>
            </w:tcBorders>
            <w:shd w:val="clear" w:color="000000" w:fill="C6D9F1"/>
            <w:noWrap/>
            <w:vAlign w:val="center"/>
            <w:hideMark/>
          </w:tcPr>
          <w:p w14:paraId="3F695FEB" w14:textId="77777777" w:rsidR="00713A56" w:rsidRDefault="00713A56">
            <w:pPr>
              <w:jc w:val="center"/>
              <w:rPr>
                <w:rFonts w:ascii="Calibri" w:hAnsi="Calibri" w:cs="Calibri"/>
                <w:b/>
                <w:bCs/>
                <w:color w:val="000000"/>
                <w:sz w:val="18"/>
                <w:szCs w:val="18"/>
              </w:rPr>
            </w:pPr>
            <w:r>
              <w:rPr>
                <w:rFonts w:ascii="Calibri" w:hAnsi="Calibri" w:cs="Calibri"/>
                <w:b/>
                <w:bCs/>
                <w:color w:val="000000"/>
                <w:sz w:val="18"/>
                <w:szCs w:val="18"/>
              </w:rPr>
              <w:t>194</w:t>
            </w:r>
          </w:p>
        </w:tc>
        <w:tc>
          <w:tcPr>
            <w:tcW w:w="1085" w:type="dxa"/>
            <w:tcBorders>
              <w:top w:val="nil"/>
              <w:left w:val="nil"/>
              <w:bottom w:val="single" w:sz="4" w:space="0" w:color="auto"/>
              <w:right w:val="single" w:sz="4" w:space="0" w:color="auto"/>
            </w:tcBorders>
            <w:shd w:val="clear" w:color="000000" w:fill="C6D9F1"/>
            <w:noWrap/>
            <w:vAlign w:val="center"/>
            <w:hideMark/>
          </w:tcPr>
          <w:p w14:paraId="489191AA" w14:textId="77777777" w:rsidR="00713A56" w:rsidRDefault="00713A56">
            <w:pPr>
              <w:jc w:val="center"/>
              <w:rPr>
                <w:rFonts w:ascii="Calibri" w:hAnsi="Calibri" w:cs="Calibri"/>
                <w:b/>
                <w:bCs/>
                <w:color w:val="000000"/>
                <w:sz w:val="18"/>
                <w:szCs w:val="18"/>
              </w:rPr>
            </w:pPr>
            <w:r>
              <w:rPr>
                <w:rFonts w:ascii="Calibri" w:hAnsi="Calibri" w:cs="Calibri"/>
                <w:b/>
                <w:bCs/>
                <w:color w:val="000000"/>
                <w:sz w:val="18"/>
                <w:szCs w:val="18"/>
              </w:rPr>
              <w:t>3237</w:t>
            </w:r>
          </w:p>
        </w:tc>
        <w:tc>
          <w:tcPr>
            <w:tcW w:w="955" w:type="dxa"/>
            <w:tcBorders>
              <w:top w:val="nil"/>
              <w:left w:val="nil"/>
              <w:bottom w:val="single" w:sz="4" w:space="0" w:color="auto"/>
              <w:right w:val="single" w:sz="4" w:space="0" w:color="auto"/>
            </w:tcBorders>
            <w:shd w:val="clear" w:color="000000" w:fill="C6D9F1"/>
            <w:noWrap/>
            <w:vAlign w:val="center"/>
            <w:hideMark/>
          </w:tcPr>
          <w:p w14:paraId="138DF1B0" w14:textId="77777777" w:rsidR="00713A56" w:rsidRDefault="00713A56">
            <w:pPr>
              <w:jc w:val="center"/>
              <w:rPr>
                <w:rFonts w:ascii="Calibri" w:hAnsi="Calibri" w:cs="Calibri"/>
                <w:b/>
                <w:bCs/>
                <w:color w:val="000000"/>
                <w:sz w:val="18"/>
                <w:szCs w:val="18"/>
              </w:rPr>
            </w:pPr>
            <w:r>
              <w:rPr>
                <w:rFonts w:ascii="Calibri" w:hAnsi="Calibri" w:cs="Calibri"/>
                <w:b/>
                <w:bCs/>
                <w:color w:val="000000"/>
                <w:sz w:val="18"/>
                <w:szCs w:val="18"/>
              </w:rPr>
              <w:t>145</w:t>
            </w:r>
          </w:p>
        </w:tc>
      </w:tr>
    </w:tbl>
    <w:p w14:paraId="2BEB17AA" w14:textId="75490A42" w:rsidR="003871CC" w:rsidRDefault="003871CC" w:rsidP="002334A3">
      <w:pPr>
        <w:pStyle w:val="BodyText2"/>
        <w:spacing w:line="360" w:lineRule="auto"/>
        <w:ind w:left="567"/>
        <w:jc w:val="center"/>
        <w:rPr>
          <w:rFonts w:asciiTheme="minorHAnsi" w:hAnsiTheme="minorHAnsi" w:cstheme="minorHAnsi"/>
          <w:b/>
          <w:sz w:val="22"/>
          <w:szCs w:val="22"/>
          <w:highlight w:val="yellow"/>
          <w:lang w:val="en-GB"/>
        </w:rPr>
      </w:pPr>
    </w:p>
    <w:p w14:paraId="00BF5F73" w14:textId="297DEB6C" w:rsidR="003B656B" w:rsidRPr="00153204" w:rsidRDefault="00061B4C" w:rsidP="006E4B90">
      <w:pPr>
        <w:pStyle w:val="Footer"/>
        <w:tabs>
          <w:tab w:val="clear" w:pos="4320"/>
          <w:tab w:val="clear" w:pos="8640"/>
        </w:tabs>
        <w:spacing w:line="360" w:lineRule="auto"/>
        <w:ind w:left="567"/>
        <w:jc w:val="both"/>
        <w:rPr>
          <w:rFonts w:asciiTheme="minorHAnsi" w:hAnsiTheme="minorHAnsi" w:cstheme="minorHAnsi"/>
          <w:b/>
          <w:sz w:val="22"/>
          <w:szCs w:val="22"/>
          <w:highlight w:val="yellow"/>
          <w:u w:val="single"/>
        </w:rPr>
      </w:pPr>
      <w:r w:rsidRPr="00153204">
        <w:rPr>
          <w:rFonts w:asciiTheme="minorHAnsi" w:hAnsiTheme="minorHAnsi" w:cstheme="minorHAnsi"/>
          <w:sz w:val="22"/>
          <w:szCs w:val="22"/>
        </w:rPr>
        <w:t>To keep the manpower cost optimized, TPNODL has recruited majorly</w:t>
      </w:r>
      <w:r w:rsidR="006A7BDF">
        <w:rPr>
          <w:rFonts w:asciiTheme="minorHAnsi" w:hAnsiTheme="minorHAnsi" w:cstheme="minorHAnsi"/>
          <w:sz w:val="22"/>
          <w:szCs w:val="22"/>
        </w:rPr>
        <w:t xml:space="preserve"> </w:t>
      </w:r>
      <w:r w:rsidR="00B72FD6">
        <w:rPr>
          <w:rFonts w:asciiTheme="minorHAnsi" w:hAnsiTheme="minorHAnsi" w:cstheme="minorHAnsi"/>
          <w:sz w:val="22"/>
          <w:szCs w:val="22"/>
        </w:rPr>
        <w:t xml:space="preserve">in </w:t>
      </w:r>
      <w:r w:rsidRPr="00153204">
        <w:rPr>
          <w:rFonts w:asciiTheme="minorHAnsi" w:hAnsiTheme="minorHAnsi" w:cstheme="minorHAnsi"/>
          <w:sz w:val="22"/>
          <w:szCs w:val="22"/>
        </w:rPr>
        <w:t>trainees</w:t>
      </w:r>
      <w:r w:rsidR="00B72FD6">
        <w:rPr>
          <w:rFonts w:asciiTheme="minorHAnsi" w:hAnsiTheme="minorHAnsi" w:cstheme="minorHAnsi"/>
          <w:sz w:val="22"/>
          <w:szCs w:val="22"/>
        </w:rPr>
        <w:t xml:space="preserve"> level</w:t>
      </w:r>
      <w:r w:rsidRPr="00153204">
        <w:rPr>
          <w:rFonts w:asciiTheme="minorHAnsi" w:hAnsiTheme="minorHAnsi" w:cstheme="minorHAnsi"/>
          <w:sz w:val="22"/>
          <w:szCs w:val="22"/>
        </w:rPr>
        <w:t xml:space="preserve">. Same philosophy has been extended to </w:t>
      </w:r>
      <w:r w:rsidR="00304E50" w:rsidRPr="00153204">
        <w:rPr>
          <w:rFonts w:asciiTheme="minorHAnsi" w:hAnsiTheme="minorHAnsi" w:cstheme="minorHAnsi"/>
          <w:sz w:val="22"/>
          <w:szCs w:val="22"/>
        </w:rPr>
        <w:t>the ensuing year</w:t>
      </w:r>
      <w:r w:rsidR="00530F0D" w:rsidRPr="00153204">
        <w:rPr>
          <w:rFonts w:asciiTheme="minorHAnsi" w:hAnsiTheme="minorHAnsi" w:cstheme="minorHAnsi"/>
          <w:sz w:val="22"/>
          <w:szCs w:val="22"/>
        </w:rPr>
        <w:t xml:space="preserve"> 202</w:t>
      </w:r>
      <w:r w:rsidR="00B72FD6">
        <w:rPr>
          <w:rFonts w:asciiTheme="minorHAnsi" w:hAnsiTheme="minorHAnsi" w:cstheme="minorHAnsi"/>
          <w:sz w:val="22"/>
          <w:szCs w:val="22"/>
        </w:rPr>
        <w:t>5</w:t>
      </w:r>
      <w:r w:rsidR="00530F0D" w:rsidRPr="00153204">
        <w:rPr>
          <w:rFonts w:asciiTheme="minorHAnsi" w:hAnsiTheme="minorHAnsi" w:cstheme="minorHAnsi"/>
          <w:sz w:val="22"/>
          <w:szCs w:val="22"/>
        </w:rPr>
        <w:t>-2</w:t>
      </w:r>
      <w:r w:rsidR="00B72FD6">
        <w:rPr>
          <w:rFonts w:asciiTheme="minorHAnsi" w:hAnsiTheme="minorHAnsi" w:cstheme="minorHAnsi"/>
          <w:sz w:val="22"/>
          <w:szCs w:val="22"/>
        </w:rPr>
        <w:t>6</w:t>
      </w:r>
      <w:r w:rsidRPr="00153204">
        <w:rPr>
          <w:rFonts w:asciiTheme="minorHAnsi" w:hAnsiTheme="minorHAnsi" w:cstheme="minorHAnsi"/>
          <w:sz w:val="22"/>
          <w:szCs w:val="22"/>
        </w:rPr>
        <w:t xml:space="preserve"> also.</w:t>
      </w:r>
      <w:r w:rsidR="00BE5BE9" w:rsidRPr="00153204">
        <w:rPr>
          <w:rFonts w:asciiTheme="minorHAnsi" w:hAnsiTheme="minorHAnsi" w:cstheme="minorHAnsi"/>
          <w:sz w:val="22"/>
          <w:szCs w:val="22"/>
        </w:rPr>
        <w:t xml:space="preserve"> </w:t>
      </w:r>
    </w:p>
    <w:p w14:paraId="35B856A4" w14:textId="1A736666" w:rsidR="003B656B" w:rsidRPr="00153204" w:rsidRDefault="003B656B" w:rsidP="002334A3">
      <w:pPr>
        <w:pStyle w:val="BodyText2"/>
        <w:spacing w:before="0" w:after="0" w:line="360" w:lineRule="auto"/>
        <w:jc w:val="both"/>
        <w:rPr>
          <w:rFonts w:asciiTheme="minorHAnsi" w:hAnsiTheme="minorHAnsi" w:cstheme="minorHAnsi"/>
          <w:b/>
          <w:sz w:val="22"/>
          <w:szCs w:val="22"/>
          <w:highlight w:val="yellow"/>
          <w:u w:val="single"/>
        </w:rPr>
      </w:pPr>
    </w:p>
    <w:p w14:paraId="34A03D75" w14:textId="7E8921B7" w:rsidR="00263480" w:rsidRPr="004D5E58" w:rsidRDefault="009A0919" w:rsidP="002334A3">
      <w:pPr>
        <w:pStyle w:val="BodyText2"/>
        <w:spacing w:before="0" w:after="0" w:line="360" w:lineRule="auto"/>
        <w:ind w:left="567"/>
        <w:jc w:val="both"/>
        <w:rPr>
          <w:rFonts w:asciiTheme="minorHAnsi" w:hAnsiTheme="minorHAnsi" w:cstheme="minorHAnsi"/>
          <w:b/>
          <w:sz w:val="24"/>
          <w:szCs w:val="22"/>
        </w:rPr>
      </w:pPr>
      <w:r w:rsidRPr="004D5E58">
        <w:rPr>
          <w:rFonts w:asciiTheme="minorHAnsi" w:hAnsiTheme="minorHAnsi" w:cstheme="minorHAnsi"/>
          <w:b/>
          <w:sz w:val="24"/>
          <w:szCs w:val="22"/>
        </w:rPr>
        <w:t>2.5.2 Expenses</w:t>
      </w:r>
      <w:r w:rsidR="00CD336C" w:rsidRPr="004D5E58">
        <w:rPr>
          <w:rFonts w:asciiTheme="minorHAnsi" w:hAnsiTheme="minorHAnsi" w:cstheme="minorHAnsi"/>
          <w:b/>
          <w:sz w:val="24"/>
          <w:szCs w:val="22"/>
        </w:rPr>
        <w:t xml:space="preserve"> Terminal Benefit Liability</w:t>
      </w:r>
    </w:p>
    <w:p w14:paraId="34A03D7C" w14:textId="2CE42D96" w:rsidR="00530F0D" w:rsidRPr="00153204" w:rsidRDefault="00530F0D" w:rsidP="002334A3">
      <w:pPr>
        <w:autoSpaceDE w:val="0"/>
        <w:autoSpaceDN w:val="0"/>
        <w:adjustRightInd w:val="0"/>
        <w:spacing w:line="360" w:lineRule="auto"/>
        <w:ind w:left="567"/>
        <w:jc w:val="both"/>
        <w:rPr>
          <w:rFonts w:asciiTheme="minorHAnsi" w:hAnsiTheme="minorHAnsi" w:cstheme="minorHAnsi"/>
          <w:color w:val="000000"/>
          <w:sz w:val="22"/>
          <w:szCs w:val="22"/>
          <w:lang w:eastAsia="en-IN"/>
        </w:rPr>
      </w:pPr>
      <w:r w:rsidRPr="00153204">
        <w:rPr>
          <w:rFonts w:asciiTheme="minorHAnsi" w:hAnsiTheme="minorHAnsi" w:cstheme="minorHAnsi"/>
          <w:color w:val="000000"/>
          <w:sz w:val="22"/>
          <w:szCs w:val="22"/>
          <w:lang w:eastAsia="en-IN"/>
        </w:rPr>
        <w:t xml:space="preserve">TPNODL has estimated </w:t>
      </w:r>
      <w:r w:rsidR="002D1C87" w:rsidRPr="00153204">
        <w:rPr>
          <w:rFonts w:asciiTheme="minorHAnsi" w:hAnsiTheme="minorHAnsi" w:cstheme="minorHAnsi"/>
          <w:color w:val="000000"/>
          <w:sz w:val="22"/>
          <w:szCs w:val="22"/>
          <w:lang w:eastAsia="en-IN"/>
        </w:rPr>
        <w:t xml:space="preserve">terminal benefits </w:t>
      </w:r>
      <w:r w:rsidRPr="00153204">
        <w:rPr>
          <w:rFonts w:asciiTheme="minorHAnsi" w:hAnsiTheme="minorHAnsi" w:cstheme="minorHAnsi"/>
          <w:color w:val="000000"/>
          <w:sz w:val="22"/>
          <w:szCs w:val="22"/>
          <w:lang w:eastAsia="en-IN"/>
        </w:rPr>
        <w:t>for the current year and ensuing year as follows-</w:t>
      </w:r>
    </w:p>
    <w:p w14:paraId="0D521651" w14:textId="5545A10D" w:rsidR="002D1C87" w:rsidRPr="00153204" w:rsidRDefault="006A7BDF" w:rsidP="006A7BDF">
      <w:pPr>
        <w:pStyle w:val="BodyText2"/>
        <w:spacing w:line="360" w:lineRule="auto"/>
        <w:rPr>
          <w:rFonts w:asciiTheme="minorHAnsi" w:hAnsiTheme="minorHAnsi" w:cstheme="minorHAnsi"/>
          <w:b/>
          <w:i/>
          <w:sz w:val="22"/>
          <w:szCs w:val="22"/>
          <w:lang w:val="en-GB"/>
        </w:rPr>
      </w:pPr>
      <w:r>
        <w:rPr>
          <w:rFonts w:asciiTheme="minorHAnsi" w:hAnsiTheme="minorHAnsi" w:cstheme="minorHAnsi"/>
          <w:b/>
          <w:color w:val="000000"/>
          <w:sz w:val="22"/>
          <w:szCs w:val="22"/>
          <w:lang w:eastAsia="en-IN"/>
        </w:rPr>
        <w:t xml:space="preserve">                                                                </w:t>
      </w:r>
      <w:r w:rsidR="00DC42B0" w:rsidRPr="00153204">
        <w:rPr>
          <w:rFonts w:asciiTheme="minorHAnsi" w:hAnsiTheme="minorHAnsi" w:cstheme="minorHAnsi"/>
          <w:b/>
          <w:color w:val="000000"/>
          <w:sz w:val="22"/>
          <w:szCs w:val="22"/>
          <w:lang w:eastAsia="en-IN"/>
        </w:rPr>
        <w:t>Table</w:t>
      </w:r>
      <w:r w:rsidR="009D2B56" w:rsidRPr="00153204">
        <w:rPr>
          <w:rFonts w:asciiTheme="minorHAnsi" w:hAnsiTheme="minorHAnsi" w:cstheme="minorHAnsi"/>
          <w:b/>
          <w:color w:val="000000"/>
          <w:sz w:val="22"/>
          <w:szCs w:val="22"/>
          <w:lang w:eastAsia="en-IN"/>
        </w:rPr>
        <w:t>-</w:t>
      </w:r>
      <w:r w:rsidR="00DC42B0" w:rsidRPr="00153204">
        <w:rPr>
          <w:rFonts w:asciiTheme="minorHAnsi" w:hAnsiTheme="minorHAnsi" w:cstheme="minorHAnsi"/>
          <w:b/>
          <w:color w:val="000000"/>
          <w:sz w:val="22"/>
          <w:szCs w:val="22"/>
          <w:lang w:eastAsia="en-IN"/>
        </w:rPr>
        <w:t>1</w:t>
      </w:r>
      <w:r w:rsidR="00944AAE">
        <w:rPr>
          <w:rFonts w:asciiTheme="minorHAnsi" w:hAnsiTheme="minorHAnsi" w:cstheme="minorHAnsi"/>
          <w:b/>
          <w:color w:val="000000"/>
          <w:sz w:val="22"/>
          <w:szCs w:val="22"/>
          <w:lang w:eastAsia="en-IN"/>
        </w:rPr>
        <w:t>3</w:t>
      </w:r>
      <w:r w:rsidR="002E2DA8" w:rsidRPr="00153204">
        <w:rPr>
          <w:rFonts w:asciiTheme="minorHAnsi" w:hAnsiTheme="minorHAnsi" w:cstheme="minorHAnsi"/>
          <w:b/>
          <w:color w:val="000000"/>
          <w:sz w:val="22"/>
          <w:szCs w:val="22"/>
          <w:lang w:eastAsia="en-IN"/>
        </w:rPr>
        <w:t xml:space="preserve">: </w:t>
      </w:r>
      <w:r w:rsidR="00B51C83" w:rsidRPr="00153204">
        <w:rPr>
          <w:rFonts w:asciiTheme="minorHAnsi" w:hAnsiTheme="minorHAnsi" w:cstheme="minorHAnsi"/>
          <w:b/>
          <w:color w:val="000000"/>
          <w:sz w:val="22"/>
          <w:szCs w:val="22"/>
          <w:lang w:eastAsia="en-IN"/>
        </w:rPr>
        <w:t>Terminal Benefit</w:t>
      </w:r>
      <w:r w:rsidR="002D1C87" w:rsidRPr="00153204">
        <w:rPr>
          <w:rFonts w:asciiTheme="minorHAnsi" w:hAnsiTheme="minorHAnsi" w:cstheme="minorHAnsi"/>
          <w:b/>
          <w:color w:val="000000"/>
          <w:sz w:val="22"/>
          <w:szCs w:val="22"/>
          <w:lang w:eastAsia="en-IN"/>
        </w:rPr>
        <w:t xml:space="preserve">                       </w:t>
      </w:r>
      <w:r w:rsidR="00DC42B0" w:rsidRPr="00153204">
        <w:rPr>
          <w:rFonts w:asciiTheme="minorHAnsi" w:hAnsiTheme="minorHAnsi" w:cstheme="minorHAnsi"/>
          <w:b/>
          <w:color w:val="000000"/>
          <w:sz w:val="22"/>
          <w:szCs w:val="22"/>
          <w:lang w:eastAsia="en-IN"/>
        </w:rPr>
        <w:t xml:space="preserve">                           </w:t>
      </w:r>
      <w:proofErr w:type="gramStart"/>
      <w:r w:rsidR="00DC42B0" w:rsidRPr="00153204">
        <w:rPr>
          <w:rFonts w:asciiTheme="minorHAnsi" w:hAnsiTheme="minorHAnsi" w:cstheme="minorHAnsi"/>
          <w:b/>
          <w:color w:val="000000"/>
          <w:sz w:val="22"/>
          <w:szCs w:val="22"/>
          <w:lang w:eastAsia="en-IN"/>
        </w:rPr>
        <w:t xml:space="preserve">  </w:t>
      </w:r>
      <w:r w:rsidR="002D1C87" w:rsidRPr="00153204">
        <w:rPr>
          <w:rFonts w:asciiTheme="minorHAnsi" w:hAnsiTheme="minorHAnsi" w:cstheme="minorHAnsi"/>
          <w:b/>
          <w:i/>
          <w:sz w:val="22"/>
          <w:szCs w:val="22"/>
          <w:lang w:val="en-GB"/>
        </w:rPr>
        <w:t xml:space="preserve"> </w:t>
      </w:r>
      <w:r w:rsidR="002D1C87" w:rsidRPr="00153204">
        <w:rPr>
          <w:rFonts w:asciiTheme="minorHAnsi" w:hAnsiTheme="minorHAnsi" w:cstheme="minorHAnsi"/>
          <w:b/>
          <w:sz w:val="22"/>
          <w:szCs w:val="22"/>
          <w:lang w:val="en-GB"/>
        </w:rPr>
        <w:t>(</w:t>
      </w:r>
      <w:proofErr w:type="gramEnd"/>
      <w:r w:rsidR="002D1C87" w:rsidRPr="00153204">
        <w:rPr>
          <w:rFonts w:asciiTheme="minorHAnsi" w:hAnsiTheme="minorHAnsi" w:cstheme="minorHAnsi"/>
          <w:b/>
          <w:sz w:val="22"/>
          <w:szCs w:val="22"/>
          <w:lang w:val="en-GB"/>
        </w:rPr>
        <w:t xml:space="preserve"> In </w:t>
      </w:r>
      <w:r w:rsidR="001A2772" w:rsidRPr="00153204">
        <w:rPr>
          <w:rFonts w:asciiTheme="minorHAnsi" w:hAnsiTheme="minorHAnsi" w:cstheme="minorHAnsi"/>
          <w:b/>
          <w:sz w:val="22"/>
          <w:szCs w:val="22"/>
          <w:lang w:val="en-GB"/>
        </w:rPr>
        <w:t>Rs.</w:t>
      </w:r>
      <w:r w:rsidR="002D1C87" w:rsidRPr="00153204">
        <w:rPr>
          <w:rFonts w:asciiTheme="minorHAnsi" w:hAnsiTheme="minorHAnsi" w:cstheme="minorHAnsi"/>
          <w:b/>
          <w:sz w:val="22"/>
          <w:szCs w:val="22"/>
          <w:lang w:val="en-GB"/>
        </w:rPr>
        <w:t xml:space="preserve"> </w:t>
      </w:r>
      <w:proofErr w:type="spellStart"/>
      <w:r w:rsidR="002D1C87" w:rsidRPr="00153204">
        <w:rPr>
          <w:rFonts w:asciiTheme="minorHAnsi" w:hAnsiTheme="minorHAnsi" w:cstheme="minorHAnsi"/>
          <w:b/>
          <w:sz w:val="22"/>
          <w:szCs w:val="22"/>
          <w:lang w:val="en-GB"/>
        </w:rPr>
        <w:t>Crs</w:t>
      </w:r>
      <w:proofErr w:type="spellEnd"/>
      <w:r w:rsidR="002D1C87" w:rsidRPr="00153204">
        <w:rPr>
          <w:rFonts w:asciiTheme="minorHAnsi" w:hAnsiTheme="minorHAnsi" w:cstheme="minorHAnsi"/>
          <w:b/>
          <w:sz w:val="22"/>
          <w:szCs w:val="22"/>
          <w:lang w:val="en-GB"/>
        </w:rPr>
        <w:t>)</w:t>
      </w:r>
    </w:p>
    <w:tbl>
      <w:tblPr>
        <w:tblW w:w="8811" w:type="dxa"/>
        <w:tblInd w:w="562" w:type="dxa"/>
        <w:tblLook w:val="04A0" w:firstRow="1" w:lastRow="0" w:firstColumn="1" w:lastColumn="0" w:noHBand="0" w:noVBand="1"/>
      </w:tblPr>
      <w:tblGrid>
        <w:gridCol w:w="1857"/>
        <w:gridCol w:w="2066"/>
        <w:gridCol w:w="2242"/>
        <w:gridCol w:w="2646"/>
      </w:tblGrid>
      <w:tr w:rsidR="00B72FD6" w14:paraId="69E446B6" w14:textId="77777777" w:rsidTr="00944AAE">
        <w:trPr>
          <w:trHeight w:val="295"/>
        </w:trPr>
        <w:tc>
          <w:tcPr>
            <w:tcW w:w="1857" w:type="dxa"/>
            <w:tcBorders>
              <w:top w:val="single" w:sz="4" w:space="0" w:color="auto"/>
              <w:left w:val="single" w:sz="4" w:space="0" w:color="auto"/>
              <w:bottom w:val="single" w:sz="4" w:space="0" w:color="auto"/>
              <w:right w:val="single" w:sz="4" w:space="0" w:color="auto"/>
            </w:tcBorders>
            <w:shd w:val="clear" w:color="auto" w:fill="95B3D7" w:themeFill="accent1" w:themeFillTint="99"/>
            <w:noWrap/>
            <w:vAlign w:val="center"/>
            <w:hideMark/>
          </w:tcPr>
          <w:p w14:paraId="0CF78382" w14:textId="77777777" w:rsidR="00B72FD6" w:rsidRDefault="00B72FD6">
            <w:pPr>
              <w:rPr>
                <w:rFonts w:ascii="Calibri" w:hAnsi="Calibri" w:cs="Calibri"/>
                <w:b/>
                <w:bCs/>
                <w:color w:val="000000"/>
                <w:sz w:val="22"/>
                <w:szCs w:val="22"/>
                <w:lang w:val="en-IN" w:eastAsia="en-IN"/>
              </w:rPr>
            </w:pPr>
            <w:r>
              <w:rPr>
                <w:rFonts w:ascii="Calibri" w:hAnsi="Calibri" w:cs="Calibri"/>
                <w:b/>
                <w:bCs/>
                <w:color w:val="000000"/>
                <w:sz w:val="22"/>
                <w:szCs w:val="22"/>
              </w:rPr>
              <w:t>Particulars</w:t>
            </w:r>
          </w:p>
        </w:tc>
        <w:tc>
          <w:tcPr>
            <w:tcW w:w="2066" w:type="dxa"/>
            <w:tcBorders>
              <w:top w:val="single" w:sz="4" w:space="0" w:color="auto"/>
              <w:left w:val="nil"/>
              <w:bottom w:val="single" w:sz="4" w:space="0" w:color="auto"/>
              <w:right w:val="single" w:sz="4" w:space="0" w:color="auto"/>
            </w:tcBorders>
            <w:shd w:val="clear" w:color="auto" w:fill="95B3D7" w:themeFill="accent1" w:themeFillTint="99"/>
            <w:noWrap/>
            <w:vAlign w:val="center"/>
            <w:hideMark/>
          </w:tcPr>
          <w:p w14:paraId="0E7CCB1A" w14:textId="77777777" w:rsidR="00B72FD6" w:rsidRDefault="00B72FD6">
            <w:pPr>
              <w:jc w:val="center"/>
              <w:rPr>
                <w:rFonts w:ascii="Calibri" w:hAnsi="Calibri" w:cs="Calibri"/>
                <w:b/>
                <w:bCs/>
                <w:color w:val="000000"/>
                <w:sz w:val="22"/>
                <w:szCs w:val="22"/>
              </w:rPr>
            </w:pPr>
            <w:r>
              <w:rPr>
                <w:rFonts w:ascii="Calibri" w:hAnsi="Calibri" w:cs="Calibri"/>
                <w:b/>
                <w:bCs/>
                <w:color w:val="000000"/>
                <w:sz w:val="22"/>
                <w:szCs w:val="22"/>
              </w:rPr>
              <w:t>2023-24</w:t>
            </w:r>
          </w:p>
        </w:tc>
        <w:tc>
          <w:tcPr>
            <w:tcW w:w="2242" w:type="dxa"/>
            <w:tcBorders>
              <w:top w:val="single" w:sz="4" w:space="0" w:color="auto"/>
              <w:left w:val="nil"/>
              <w:bottom w:val="single" w:sz="4" w:space="0" w:color="auto"/>
              <w:right w:val="single" w:sz="4" w:space="0" w:color="auto"/>
            </w:tcBorders>
            <w:shd w:val="clear" w:color="auto" w:fill="95B3D7" w:themeFill="accent1" w:themeFillTint="99"/>
            <w:noWrap/>
            <w:vAlign w:val="center"/>
            <w:hideMark/>
          </w:tcPr>
          <w:p w14:paraId="648852C0" w14:textId="77777777" w:rsidR="00B72FD6" w:rsidRDefault="00B72FD6">
            <w:pPr>
              <w:jc w:val="center"/>
              <w:rPr>
                <w:rFonts w:ascii="Calibri" w:hAnsi="Calibri" w:cs="Calibri"/>
                <w:b/>
                <w:bCs/>
                <w:color w:val="000000"/>
                <w:sz w:val="22"/>
                <w:szCs w:val="22"/>
              </w:rPr>
            </w:pPr>
            <w:r>
              <w:rPr>
                <w:rFonts w:ascii="Calibri" w:hAnsi="Calibri" w:cs="Calibri"/>
                <w:b/>
                <w:bCs/>
                <w:color w:val="000000"/>
                <w:sz w:val="22"/>
                <w:szCs w:val="22"/>
              </w:rPr>
              <w:t>2024-25</w:t>
            </w:r>
          </w:p>
        </w:tc>
        <w:tc>
          <w:tcPr>
            <w:tcW w:w="2646" w:type="dxa"/>
            <w:tcBorders>
              <w:top w:val="single" w:sz="4" w:space="0" w:color="auto"/>
              <w:left w:val="nil"/>
              <w:bottom w:val="single" w:sz="4" w:space="0" w:color="auto"/>
              <w:right w:val="single" w:sz="4" w:space="0" w:color="auto"/>
            </w:tcBorders>
            <w:shd w:val="clear" w:color="auto" w:fill="95B3D7" w:themeFill="accent1" w:themeFillTint="99"/>
            <w:noWrap/>
            <w:vAlign w:val="center"/>
            <w:hideMark/>
          </w:tcPr>
          <w:p w14:paraId="5CDB7354" w14:textId="77777777" w:rsidR="00B72FD6" w:rsidRDefault="00B72FD6">
            <w:pPr>
              <w:jc w:val="center"/>
              <w:rPr>
                <w:rFonts w:ascii="Calibri" w:hAnsi="Calibri" w:cs="Calibri"/>
                <w:b/>
                <w:bCs/>
                <w:color w:val="000000"/>
                <w:sz w:val="22"/>
                <w:szCs w:val="22"/>
              </w:rPr>
            </w:pPr>
            <w:r>
              <w:rPr>
                <w:rFonts w:ascii="Calibri" w:hAnsi="Calibri" w:cs="Calibri"/>
                <w:b/>
                <w:bCs/>
                <w:color w:val="000000"/>
                <w:sz w:val="22"/>
                <w:szCs w:val="22"/>
              </w:rPr>
              <w:t>2025-26</w:t>
            </w:r>
          </w:p>
        </w:tc>
      </w:tr>
      <w:tr w:rsidR="00B72FD6" w14:paraId="0F946FDB" w14:textId="77777777" w:rsidTr="00B72FD6">
        <w:trPr>
          <w:trHeight w:val="295"/>
        </w:trPr>
        <w:tc>
          <w:tcPr>
            <w:tcW w:w="1857" w:type="dxa"/>
            <w:tcBorders>
              <w:top w:val="nil"/>
              <w:left w:val="single" w:sz="4" w:space="0" w:color="auto"/>
              <w:bottom w:val="single" w:sz="4" w:space="0" w:color="auto"/>
              <w:right w:val="single" w:sz="4" w:space="0" w:color="auto"/>
            </w:tcBorders>
            <w:shd w:val="clear" w:color="000000" w:fill="FFFFFF"/>
            <w:noWrap/>
            <w:vAlign w:val="center"/>
            <w:hideMark/>
          </w:tcPr>
          <w:p w14:paraId="7579B537" w14:textId="616D200C" w:rsidR="00B72FD6" w:rsidRDefault="00B72FD6">
            <w:pPr>
              <w:rPr>
                <w:rFonts w:ascii="Calibri" w:hAnsi="Calibri" w:cs="Calibri"/>
                <w:color w:val="000000"/>
                <w:sz w:val="22"/>
                <w:szCs w:val="22"/>
              </w:rPr>
            </w:pPr>
            <w:r>
              <w:rPr>
                <w:rFonts w:ascii="Calibri" w:hAnsi="Calibri" w:cs="Calibri"/>
                <w:color w:val="000000"/>
                <w:sz w:val="22"/>
                <w:szCs w:val="22"/>
              </w:rPr>
              <w:t>Provident Fund</w:t>
            </w:r>
          </w:p>
        </w:tc>
        <w:tc>
          <w:tcPr>
            <w:tcW w:w="2066" w:type="dxa"/>
            <w:tcBorders>
              <w:top w:val="nil"/>
              <w:left w:val="nil"/>
              <w:bottom w:val="single" w:sz="4" w:space="0" w:color="auto"/>
              <w:right w:val="single" w:sz="4" w:space="0" w:color="auto"/>
            </w:tcBorders>
            <w:shd w:val="clear" w:color="auto" w:fill="auto"/>
            <w:noWrap/>
            <w:vAlign w:val="bottom"/>
            <w:hideMark/>
          </w:tcPr>
          <w:p w14:paraId="5929FDE8" w14:textId="77777777" w:rsidR="00B72FD6" w:rsidRDefault="00B72FD6">
            <w:pPr>
              <w:jc w:val="center"/>
              <w:rPr>
                <w:rFonts w:ascii="Calibri" w:hAnsi="Calibri" w:cs="Calibri"/>
                <w:color w:val="000000"/>
                <w:sz w:val="22"/>
                <w:szCs w:val="22"/>
              </w:rPr>
            </w:pPr>
            <w:r>
              <w:rPr>
                <w:rFonts w:ascii="Calibri" w:hAnsi="Calibri" w:cs="Calibri"/>
                <w:color w:val="000000"/>
                <w:sz w:val="22"/>
                <w:szCs w:val="22"/>
              </w:rPr>
              <w:t>15.27</w:t>
            </w:r>
          </w:p>
        </w:tc>
        <w:tc>
          <w:tcPr>
            <w:tcW w:w="2242" w:type="dxa"/>
            <w:tcBorders>
              <w:top w:val="nil"/>
              <w:left w:val="nil"/>
              <w:bottom w:val="single" w:sz="4" w:space="0" w:color="auto"/>
              <w:right w:val="single" w:sz="4" w:space="0" w:color="auto"/>
            </w:tcBorders>
            <w:shd w:val="clear" w:color="auto" w:fill="auto"/>
            <w:noWrap/>
            <w:vAlign w:val="bottom"/>
            <w:hideMark/>
          </w:tcPr>
          <w:p w14:paraId="3AFEA218" w14:textId="77777777" w:rsidR="00B72FD6" w:rsidRDefault="00B72FD6">
            <w:pPr>
              <w:jc w:val="center"/>
              <w:rPr>
                <w:rFonts w:ascii="Calibri" w:hAnsi="Calibri" w:cs="Calibri"/>
                <w:color w:val="000000"/>
                <w:sz w:val="22"/>
                <w:szCs w:val="22"/>
              </w:rPr>
            </w:pPr>
            <w:r>
              <w:rPr>
                <w:rFonts w:ascii="Calibri" w:hAnsi="Calibri" w:cs="Calibri"/>
                <w:color w:val="000000"/>
                <w:sz w:val="22"/>
                <w:szCs w:val="22"/>
              </w:rPr>
              <w:t>16.85</w:t>
            </w:r>
          </w:p>
        </w:tc>
        <w:tc>
          <w:tcPr>
            <w:tcW w:w="2646" w:type="dxa"/>
            <w:tcBorders>
              <w:top w:val="nil"/>
              <w:left w:val="nil"/>
              <w:bottom w:val="single" w:sz="4" w:space="0" w:color="auto"/>
              <w:right w:val="single" w:sz="4" w:space="0" w:color="auto"/>
            </w:tcBorders>
            <w:shd w:val="clear" w:color="auto" w:fill="auto"/>
            <w:noWrap/>
            <w:vAlign w:val="bottom"/>
            <w:hideMark/>
          </w:tcPr>
          <w:p w14:paraId="559D5360" w14:textId="77777777" w:rsidR="00B72FD6" w:rsidRDefault="00B72FD6">
            <w:pPr>
              <w:jc w:val="center"/>
              <w:rPr>
                <w:rFonts w:ascii="Calibri" w:hAnsi="Calibri" w:cs="Calibri"/>
                <w:color w:val="000000"/>
                <w:sz w:val="22"/>
                <w:szCs w:val="22"/>
              </w:rPr>
            </w:pPr>
            <w:r>
              <w:rPr>
                <w:rFonts w:ascii="Calibri" w:hAnsi="Calibri" w:cs="Calibri"/>
                <w:color w:val="000000"/>
                <w:sz w:val="22"/>
                <w:szCs w:val="22"/>
              </w:rPr>
              <w:t>17.55</w:t>
            </w:r>
          </w:p>
        </w:tc>
      </w:tr>
      <w:tr w:rsidR="00B72FD6" w14:paraId="510F0057" w14:textId="77777777" w:rsidTr="00B72FD6">
        <w:trPr>
          <w:trHeight w:val="295"/>
        </w:trPr>
        <w:tc>
          <w:tcPr>
            <w:tcW w:w="1857" w:type="dxa"/>
            <w:tcBorders>
              <w:top w:val="nil"/>
              <w:left w:val="single" w:sz="4" w:space="0" w:color="auto"/>
              <w:bottom w:val="single" w:sz="4" w:space="0" w:color="auto"/>
              <w:right w:val="single" w:sz="4" w:space="0" w:color="auto"/>
            </w:tcBorders>
            <w:shd w:val="clear" w:color="000000" w:fill="FFFFFF"/>
            <w:noWrap/>
            <w:vAlign w:val="center"/>
            <w:hideMark/>
          </w:tcPr>
          <w:p w14:paraId="4C93E033" w14:textId="77777777" w:rsidR="00B72FD6" w:rsidRDefault="00B72FD6">
            <w:pPr>
              <w:rPr>
                <w:rFonts w:ascii="Calibri" w:hAnsi="Calibri" w:cs="Calibri"/>
                <w:color w:val="000000"/>
                <w:sz w:val="22"/>
                <w:szCs w:val="22"/>
              </w:rPr>
            </w:pPr>
            <w:r>
              <w:rPr>
                <w:rFonts w:ascii="Calibri" w:hAnsi="Calibri" w:cs="Calibri"/>
                <w:color w:val="000000"/>
                <w:sz w:val="22"/>
                <w:szCs w:val="22"/>
              </w:rPr>
              <w:t>Pension</w:t>
            </w:r>
          </w:p>
        </w:tc>
        <w:tc>
          <w:tcPr>
            <w:tcW w:w="2066" w:type="dxa"/>
            <w:tcBorders>
              <w:top w:val="nil"/>
              <w:left w:val="nil"/>
              <w:bottom w:val="single" w:sz="4" w:space="0" w:color="auto"/>
              <w:right w:val="single" w:sz="4" w:space="0" w:color="auto"/>
            </w:tcBorders>
            <w:shd w:val="clear" w:color="auto" w:fill="auto"/>
            <w:noWrap/>
            <w:vAlign w:val="bottom"/>
            <w:hideMark/>
          </w:tcPr>
          <w:p w14:paraId="600CF4D8" w14:textId="77777777" w:rsidR="00B72FD6" w:rsidRDefault="00B72FD6">
            <w:pPr>
              <w:jc w:val="center"/>
              <w:rPr>
                <w:rFonts w:ascii="Calibri" w:hAnsi="Calibri" w:cs="Calibri"/>
                <w:color w:val="000000"/>
                <w:sz w:val="22"/>
                <w:szCs w:val="22"/>
              </w:rPr>
            </w:pPr>
            <w:r>
              <w:rPr>
                <w:rFonts w:ascii="Calibri" w:hAnsi="Calibri" w:cs="Calibri"/>
                <w:color w:val="000000"/>
                <w:sz w:val="22"/>
                <w:szCs w:val="22"/>
              </w:rPr>
              <w:t>140.69</w:t>
            </w:r>
          </w:p>
        </w:tc>
        <w:tc>
          <w:tcPr>
            <w:tcW w:w="2242" w:type="dxa"/>
            <w:tcBorders>
              <w:top w:val="nil"/>
              <w:left w:val="nil"/>
              <w:bottom w:val="single" w:sz="4" w:space="0" w:color="auto"/>
              <w:right w:val="single" w:sz="4" w:space="0" w:color="auto"/>
            </w:tcBorders>
            <w:shd w:val="clear" w:color="auto" w:fill="auto"/>
            <w:noWrap/>
            <w:vAlign w:val="bottom"/>
            <w:hideMark/>
          </w:tcPr>
          <w:p w14:paraId="6C19E705" w14:textId="77777777" w:rsidR="00B72FD6" w:rsidRDefault="00B72FD6">
            <w:pPr>
              <w:jc w:val="center"/>
              <w:rPr>
                <w:rFonts w:ascii="Calibri" w:hAnsi="Calibri" w:cs="Calibri"/>
                <w:color w:val="000000"/>
                <w:sz w:val="22"/>
                <w:szCs w:val="22"/>
              </w:rPr>
            </w:pPr>
            <w:r>
              <w:rPr>
                <w:rFonts w:ascii="Calibri" w:hAnsi="Calibri" w:cs="Calibri"/>
                <w:color w:val="000000"/>
                <w:sz w:val="22"/>
                <w:szCs w:val="22"/>
              </w:rPr>
              <w:t>145.42</w:t>
            </w:r>
          </w:p>
        </w:tc>
        <w:tc>
          <w:tcPr>
            <w:tcW w:w="2646" w:type="dxa"/>
            <w:tcBorders>
              <w:top w:val="nil"/>
              <w:left w:val="nil"/>
              <w:bottom w:val="single" w:sz="4" w:space="0" w:color="auto"/>
              <w:right w:val="single" w:sz="4" w:space="0" w:color="auto"/>
            </w:tcBorders>
            <w:shd w:val="clear" w:color="auto" w:fill="auto"/>
            <w:noWrap/>
            <w:vAlign w:val="bottom"/>
            <w:hideMark/>
          </w:tcPr>
          <w:p w14:paraId="38C0A1E1" w14:textId="77777777" w:rsidR="00B72FD6" w:rsidRDefault="00B72FD6">
            <w:pPr>
              <w:jc w:val="center"/>
              <w:rPr>
                <w:rFonts w:ascii="Calibri" w:hAnsi="Calibri" w:cs="Calibri"/>
                <w:color w:val="000000"/>
                <w:sz w:val="22"/>
                <w:szCs w:val="22"/>
              </w:rPr>
            </w:pPr>
            <w:r>
              <w:rPr>
                <w:rFonts w:ascii="Calibri" w:hAnsi="Calibri" w:cs="Calibri"/>
                <w:color w:val="000000"/>
                <w:sz w:val="22"/>
                <w:szCs w:val="22"/>
              </w:rPr>
              <w:t>145.42</w:t>
            </w:r>
          </w:p>
        </w:tc>
      </w:tr>
      <w:tr w:rsidR="00B72FD6" w14:paraId="37B37BCC" w14:textId="77777777" w:rsidTr="00B72FD6">
        <w:trPr>
          <w:trHeight w:val="295"/>
        </w:trPr>
        <w:tc>
          <w:tcPr>
            <w:tcW w:w="1857" w:type="dxa"/>
            <w:tcBorders>
              <w:top w:val="nil"/>
              <w:left w:val="single" w:sz="4" w:space="0" w:color="auto"/>
              <w:bottom w:val="single" w:sz="4" w:space="0" w:color="auto"/>
              <w:right w:val="single" w:sz="4" w:space="0" w:color="auto"/>
            </w:tcBorders>
            <w:shd w:val="clear" w:color="000000" w:fill="FFFFFF"/>
            <w:noWrap/>
            <w:vAlign w:val="center"/>
            <w:hideMark/>
          </w:tcPr>
          <w:p w14:paraId="478CEE02" w14:textId="77777777" w:rsidR="00B72FD6" w:rsidRDefault="00B72FD6">
            <w:pPr>
              <w:rPr>
                <w:rFonts w:ascii="Calibri" w:hAnsi="Calibri" w:cs="Calibri"/>
                <w:color w:val="000000"/>
                <w:sz w:val="22"/>
                <w:szCs w:val="22"/>
              </w:rPr>
            </w:pPr>
            <w:r>
              <w:rPr>
                <w:rFonts w:ascii="Calibri" w:hAnsi="Calibri" w:cs="Calibri"/>
                <w:color w:val="000000"/>
                <w:sz w:val="22"/>
                <w:szCs w:val="22"/>
              </w:rPr>
              <w:t>Gratuity</w:t>
            </w:r>
          </w:p>
        </w:tc>
        <w:tc>
          <w:tcPr>
            <w:tcW w:w="2066" w:type="dxa"/>
            <w:tcBorders>
              <w:top w:val="nil"/>
              <w:left w:val="nil"/>
              <w:bottom w:val="single" w:sz="4" w:space="0" w:color="auto"/>
              <w:right w:val="single" w:sz="4" w:space="0" w:color="auto"/>
            </w:tcBorders>
            <w:shd w:val="clear" w:color="auto" w:fill="auto"/>
            <w:noWrap/>
            <w:vAlign w:val="bottom"/>
            <w:hideMark/>
          </w:tcPr>
          <w:p w14:paraId="0493ABDB" w14:textId="77777777" w:rsidR="00B72FD6" w:rsidRDefault="00B72FD6">
            <w:pPr>
              <w:jc w:val="center"/>
              <w:rPr>
                <w:rFonts w:ascii="Calibri" w:hAnsi="Calibri" w:cs="Calibri"/>
                <w:color w:val="000000"/>
                <w:sz w:val="22"/>
                <w:szCs w:val="22"/>
              </w:rPr>
            </w:pPr>
            <w:r>
              <w:rPr>
                <w:rFonts w:ascii="Calibri" w:hAnsi="Calibri" w:cs="Calibri"/>
                <w:color w:val="000000"/>
                <w:sz w:val="22"/>
                <w:szCs w:val="22"/>
              </w:rPr>
              <w:t>12.28</w:t>
            </w:r>
          </w:p>
        </w:tc>
        <w:tc>
          <w:tcPr>
            <w:tcW w:w="2242" w:type="dxa"/>
            <w:tcBorders>
              <w:top w:val="nil"/>
              <w:left w:val="nil"/>
              <w:bottom w:val="single" w:sz="4" w:space="0" w:color="auto"/>
              <w:right w:val="single" w:sz="4" w:space="0" w:color="auto"/>
            </w:tcBorders>
            <w:shd w:val="clear" w:color="auto" w:fill="auto"/>
            <w:noWrap/>
            <w:vAlign w:val="bottom"/>
            <w:hideMark/>
          </w:tcPr>
          <w:p w14:paraId="30349DF7" w14:textId="77777777" w:rsidR="00B72FD6" w:rsidRDefault="00B72FD6">
            <w:pPr>
              <w:jc w:val="center"/>
              <w:rPr>
                <w:rFonts w:ascii="Calibri" w:hAnsi="Calibri" w:cs="Calibri"/>
                <w:color w:val="000000"/>
                <w:sz w:val="22"/>
                <w:szCs w:val="22"/>
              </w:rPr>
            </w:pPr>
            <w:r>
              <w:rPr>
                <w:rFonts w:ascii="Calibri" w:hAnsi="Calibri" w:cs="Calibri"/>
                <w:color w:val="000000"/>
                <w:sz w:val="22"/>
                <w:szCs w:val="22"/>
              </w:rPr>
              <w:t>11.83</w:t>
            </w:r>
          </w:p>
        </w:tc>
        <w:tc>
          <w:tcPr>
            <w:tcW w:w="2646" w:type="dxa"/>
            <w:tcBorders>
              <w:top w:val="nil"/>
              <w:left w:val="nil"/>
              <w:bottom w:val="single" w:sz="4" w:space="0" w:color="auto"/>
              <w:right w:val="single" w:sz="4" w:space="0" w:color="auto"/>
            </w:tcBorders>
            <w:shd w:val="clear" w:color="auto" w:fill="auto"/>
            <w:noWrap/>
            <w:vAlign w:val="bottom"/>
            <w:hideMark/>
          </w:tcPr>
          <w:p w14:paraId="6D9CE96A" w14:textId="77777777" w:rsidR="00B72FD6" w:rsidRDefault="00B72FD6">
            <w:pPr>
              <w:jc w:val="center"/>
              <w:rPr>
                <w:rFonts w:ascii="Calibri" w:hAnsi="Calibri" w:cs="Calibri"/>
                <w:color w:val="000000"/>
                <w:sz w:val="22"/>
                <w:szCs w:val="22"/>
              </w:rPr>
            </w:pPr>
            <w:r>
              <w:rPr>
                <w:rFonts w:ascii="Calibri" w:hAnsi="Calibri" w:cs="Calibri"/>
                <w:color w:val="000000"/>
                <w:sz w:val="22"/>
                <w:szCs w:val="22"/>
              </w:rPr>
              <w:t>10.48</w:t>
            </w:r>
          </w:p>
        </w:tc>
      </w:tr>
      <w:tr w:rsidR="00B72FD6" w14:paraId="1EFA6607" w14:textId="77777777" w:rsidTr="00B72FD6">
        <w:trPr>
          <w:trHeight w:val="295"/>
        </w:trPr>
        <w:tc>
          <w:tcPr>
            <w:tcW w:w="1857" w:type="dxa"/>
            <w:tcBorders>
              <w:top w:val="nil"/>
              <w:left w:val="single" w:sz="4" w:space="0" w:color="auto"/>
              <w:bottom w:val="single" w:sz="4" w:space="0" w:color="auto"/>
              <w:right w:val="single" w:sz="4" w:space="0" w:color="auto"/>
            </w:tcBorders>
            <w:shd w:val="clear" w:color="000000" w:fill="FFFFFF"/>
            <w:noWrap/>
            <w:vAlign w:val="center"/>
            <w:hideMark/>
          </w:tcPr>
          <w:p w14:paraId="7BA11759" w14:textId="77777777" w:rsidR="00B72FD6" w:rsidRDefault="00B72FD6">
            <w:pPr>
              <w:rPr>
                <w:rFonts w:ascii="Calibri" w:hAnsi="Calibri" w:cs="Calibri"/>
                <w:color w:val="000000"/>
                <w:sz w:val="22"/>
                <w:szCs w:val="22"/>
              </w:rPr>
            </w:pPr>
            <w:r>
              <w:rPr>
                <w:rFonts w:ascii="Calibri" w:hAnsi="Calibri" w:cs="Calibri"/>
                <w:color w:val="000000"/>
                <w:sz w:val="22"/>
                <w:szCs w:val="22"/>
              </w:rPr>
              <w:t>Rehabilitation</w:t>
            </w:r>
          </w:p>
        </w:tc>
        <w:tc>
          <w:tcPr>
            <w:tcW w:w="2066" w:type="dxa"/>
            <w:tcBorders>
              <w:top w:val="nil"/>
              <w:left w:val="nil"/>
              <w:bottom w:val="single" w:sz="4" w:space="0" w:color="auto"/>
              <w:right w:val="single" w:sz="4" w:space="0" w:color="auto"/>
            </w:tcBorders>
            <w:shd w:val="clear" w:color="auto" w:fill="auto"/>
            <w:noWrap/>
            <w:vAlign w:val="bottom"/>
            <w:hideMark/>
          </w:tcPr>
          <w:p w14:paraId="6E09B428" w14:textId="77777777" w:rsidR="00B72FD6" w:rsidRDefault="00B72FD6">
            <w:pPr>
              <w:jc w:val="center"/>
              <w:rPr>
                <w:rFonts w:ascii="Calibri" w:hAnsi="Calibri" w:cs="Calibri"/>
                <w:color w:val="000000"/>
                <w:sz w:val="22"/>
                <w:szCs w:val="22"/>
              </w:rPr>
            </w:pPr>
            <w:r>
              <w:rPr>
                <w:rFonts w:ascii="Calibri" w:hAnsi="Calibri" w:cs="Calibri"/>
                <w:color w:val="000000"/>
                <w:sz w:val="22"/>
                <w:szCs w:val="22"/>
              </w:rPr>
              <w:t>-0.59</w:t>
            </w:r>
          </w:p>
        </w:tc>
        <w:tc>
          <w:tcPr>
            <w:tcW w:w="2242" w:type="dxa"/>
            <w:tcBorders>
              <w:top w:val="nil"/>
              <w:left w:val="nil"/>
              <w:bottom w:val="single" w:sz="4" w:space="0" w:color="auto"/>
              <w:right w:val="single" w:sz="4" w:space="0" w:color="auto"/>
            </w:tcBorders>
            <w:shd w:val="clear" w:color="auto" w:fill="auto"/>
            <w:noWrap/>
            <w:vAlign w:val="bottom"/>
            <w:hideMark/>
          </w:tcPr>
          <w:p w14:paraId="05514212" w14:textId="77777777" w:rsidR="00B72FD6" w:rsidRDefault="00B72FD6">
            <w:pPr>
              <w:jc w:val="center"/>
              <w:rPr>
                <w:rFonts w:ascii="Calibri" w:hAnsi="Calibri" w:cs="Calibri"/>
                <w:color w:val="000000"/>
                <w:sz w:val="22"/>
                <w:szCs w:val="22"/>
              </w:rPr>
            </w:pPr>
            <w:r>
              <w:rPr>
                <w:rFonts w:ascii="Calibri" w:hAnsi="Calibri" w:cs="Calibri"/>
                <w:color w:val="000000"/>
                <w:sz w:val="22"/>
                <w:szCs w:val="22"/>
              </w:rPr>
              <w:t>0.40</w:t>
            </w:r>
          </w:p>
        </w:tc>
        <w:tc>
          <w:tcPr>
            <w:tcW w:w="2646" w:type="dxa"/>
            <w:tcBorders>
              <w:top w:val="nil"/>
              <w:left w:val="nil"/>
              <w:bottom w:val="single" w:sz="4" w:space="0" w:color="auto"/>
              <w:right w:val="single" w:sz="4" w:space="0" w:color="auto"/>
            </w:tcBorders>
            <w:shd w:val="clear" w:color="auto" w:fill="auto"/>
            <w:noWrap/>
            <w:vAlign w:val="bottom"/>
            <w:hideMark/>
          </w:tcPr>
          <w:p w14:paraId="1960506F" w14:textId="77777777" w:rsidR="00B72FD6" w:rsidRDefault="00B72FD6">
            <w:pPr>
              <w:jc w:val="center"/>
              <w:rPr>
                <w:rFonts w:ascii="Calibri" w:hAnsi="Calibri" w:cs="Calibri"/>
                <w:color w:val="000000"/>
                <w:sz w:val="22"/>
                <w:szCs w:val="22"/>
              </w:rPr>
            </w:pPr>
            <w:r>
              <w:rPr>
                <w:rFonts w:ascii="Calibri" w:hAnsi="Calibri" w:cs="Calibri"/>
                <w:color w:val="000000"/>
                <w:sz w:val="22"/>
                <w:szCs w:val="22"/>
              </w:rPr>
              <w:t>0.40</w:t>
            </w:r>
          </w:p>
        </w:tc>
      </w:tr>
      <w:tr w:rsidR="00B72FD6" w14:paraId="05778883" w14:textId="77777777" w:rsidTr="00B72FD6">
        <w:trPr>
          <w:trHeight w:val="295"/>
        </w:trPr>
        <w:tc>
          <w:tcPr>
            <w:tcW w:w="1857" w:type="dxa"/>
            <w:tcBorders>
              <w:top w:val="nil"/>
              <w:left w:val="single" w:sz="4" w:space="0" w:color="auto"/>
              <w:bottom w:val="single" w:sz="4" w:space="0" w:color="auto"/>
              <w:right w:val="single" w:sz="4" w:space="0" w:color="auto"/>
            </w:tcBorders>
            <w:shd w:val="clear" w:color="000000" w:fill="FFFFFF"/>
            <w:noWrap/>
            <w:vAlign w:val="center"/>
            <w:hideMark/>
          </w:tcPr>
          <w:p w14:paraId="0728DAC3" w14:textId="77777777" w:rsidR="00B72FD6" w:rsidRDefault="00B72FD6">
            <w:pPr>
              <w:rPr>
                <w:rFonts w:ascii="Calibri" w:hAnsi="Calibri" w:cs="Calibri"/>
                <w:color w:val="000000"/>
                <w:sz w:val="22"/>
                <w:szCs w:val="22"/>
              </w:rPr>
            </w:pPr>
            <w:r>
              <w:rPr>
                <w:rFonts w:ascii="Calibri" w:hAnsi="Calibri" w:cs="Calibri"/>
                <w:color w:val="000000"/>
                <w:sz w:val="22"/>
                <w:szCs w:val="22"/>
              </w:rPr>
              <w:t>Leave Salary</w:t>
            </w:r>
          </w:p>
        </w:tc>
        <w:tc>
          <w:tcPr>
            <w:tcW w:w="2066" w:type="dxa"/>
            <w:tcBorders>
              <w:top w:val="nil"/>
              <w:left w:val="nil"/>
              <w:bottom w:val="single" w:sz="4" w:space="0" w:color="auto"/>
              <w:right w:val="single" w:sz="4" w:space="0" w:color="auto"/>
            </w:tcBorders>
            <w:shd w:val="clear" w:color="auto" w:fill="auto"/>
            <w:noWrap/>
            <w:vAlign w:val="bottom"/>
            <w:hideMark/>
          </w:tcPr>
          <w:p w14:paraId="455D1181" w14:textId="77777777" w:rsidR="00B72FD6" w:rsidRDefault="00B72FD6">
            <w:pPr>
              <w:jc w:val="center"/>
              <w:rPr>
                <w:rFonts w:ascii="Calibri" w:hAnsi="Calibri" w:cs="Calibri"/>
                <w:color w:val="000000"/>
                <w:sz w:val="22"/>
                <w:szCs w:val="22"/>
              </w:rPr>
            </w:pPr>
            <w:r>
              <w:rPr>
                <w:rFonts w:ascii="Calibri" w:hAnsi="Calibri" w:cs="Calibri"/>
                <w:color w:val="000000"/>
                <w:sz w:val="22"/>
                <w:szCs w:val="22"/>
              </w:rPr>
              <w:t>23.29</w:t>
            </w:r>
          </w:p>
        </w:tc>
        <w:tc>
          <w:tcPr>
            <w:tcW w:w="2242" w:type="dxa"/>
            <w:tcBorders>
              <w:top w:val="nil"/>
              <w:left w:val="nil"/>
              <w:bottom w:val="single" w:sz="4" w:space="0" w:color="auto"/>
              <w:right w:val="single" w:sz="4" w:space="0" w:color="auto"/>
            </w:tcBorders>
            <w:shd w:val="clear" w:color="auto" w:fill="auto"/>
            <w:noWrap/>
            <w:vAlign w:val="bottom"/>
            <w:hideMark/>
          </w:tcPr>
          <w:p w14:paraId="1E755137" w14:textId="77777777" w:rsidR="00B72FD6" w:rsidRDefault="00B72FD6">
            <w:pPr>
              <w:jc w:val="center"/>
              <w:rPr>
                <w:rFonts w:ascii="Calibri" w:hAnsi="Calibri" w:cs="Calibri"/>
                <w:color w:val="000000"/>
                <w:sz w:val="22"/>
                <w:szCs w:val="22"/>
              </w:rPr>
            </w:pPr>
            <w:r>
              <w:rPr>
                <w:rFonts w:ascii="Calibri" w:hAnsi="Calibri" w:cs="Calibri"/>
                <w:color w:val="000000"/>
                <w:sz w:val="22"/>
                <w:szCs w:val="22"/>
              </w:rPr>
              <w:t>22.32</w:t>
            </w:r>
          </w:p>
        </w:tc>
        <w:tc>
          <w:tcPr>
            <w:tcW w:w="2646" w:type="dxa"/>
            <w:tcBorders>
              <w:top w:val="nil"/>
              <w:left w:val="nil"/>
              <w:bottom w:val="single" w:sz="4" w:space="0" w:color="auto"/>
              <w:right w:val="single" w:sz="4" w:space="0" w:color="auto"/>
            </w:tcBorders>
            <w:shd w:val="clear" w:color="auto" w:fill="auto"/>
            <w:noWrap/>
            <w:vAlign w:val="bottom"/>
            <w:hideMark/>
          </w:tcPr>
          <w:p w14:paraId="15B96C2C" w14:textId="77777777" w:rsidR="00B72FD6" w:rsidRDefault="00B72FD6">
            <w:pPr>
              <w:jc w:val="center"/>
              <w:rPr>
                <w:rFonts w:ascii="Calibri" w:hAnsi="Calibri" w:cs="Calibri"/>
                <w:color w:val="000000"/>
                <w:sz w:val="22"/>
                <w:szCs w:val="22"/>
              </w:rPr>
            </w:pPr>
            <w:r>
              <w:rPr>
                <w:rFonts w:ascii="Calibri" w:hAnsi="Calibri" w:cs="Calibri"/>
                <w:color w:val="000000"/>
                <w:sz w:val="22"/>
                <w:szCs w:val="22"/>
              </w:rPr>
              <w:t>16.19</w:t>
            </w:r>
          </w:p>
        </w:tc>
      </w:tr>
      <w:tr w:rsidR="00B72FD6" w14:paraId="324AADF0" w14:textId="77777777" w:rsidTr="00944AAE">
        <w:trPr>
          <w:trHeight w:val="295"/>
        </w:trPr>
        <w:tc>
          <w:tcPr>
            <w:tcW w:w="1857" w:type="dxa"/>
            <w:tcBorders>
              <w:top w:val="nil"/>
              <w:left w:val="single" w:sz="4" w:space="0" w:color="auto"/>
              <w:bottom w:val="single" w:sz="4" w:space="0" w:color="auto"/>
              <w:right w:val="single" w:sz="4" w:space="0" w:color="auto"/>
            </w:tcBorders>
            <w:shd w:val="clear" w:color="auto" w:fill="95B3D7" w:themeFill="accent1" w:themeFillTint="99"/>
            <w:noWrap/>
            <w:vAlign w:val="center"/>
            <w:hideMark/>
          </w:tcPr>
          <w:p w14:paraId="55BCC9BA" w14:textId="77777777" w:rsidR="00B72FD6" w:rsidRPr="00944AAE" w:rsidRDefault="00B72FD6">
            <w:pPr>
              <w:rPr>
                <w:rFonts w:ascii="Calibri" w:hAnsi="Calibri" w:cs="Calibri"/>
                <w:b/>
                <w:bCs/>
                <w:color w:val="000000"/>
                <w:sz w:val="22"/>
                <w:szCs w:val="22"/>
              </w:rPr>
            </w:pPr>
            <w:r w:rsidRPr="00944AAE">
              <w:rPr>
                <w:rFonts w:ascii="Calibri" w:hAnsi="Calibri" w:cs="Calibri"/>
                <w:b/>
                <w:bCs/>
                <w:color w:val="000000"/>
                <w:sz w:val="22"/>
                <w:szCs w:val="22"/>
              </w:rPr>
              <w:t>Total</w:t>
            </w:r>
          </w:p>
        </w:tc>
        <w:tc>
          <w:tcPr>
            <w:tcW w:w="2066" w:type="dxa"/>
            <w:tcBorders>
              <w:top w:val="nil"/>
              <w:left w:val="nil"/>
              <w:bottom w:val="single" w:sz="4" w:space="0" w:color="auto"/>
              <w:right w:val="single" w:sz="4" w:space="0" w:color="auto"/>
            </w:tcBorders>
            <w:shd w:val="clear" w:color="auto" w:fill="95B3D7" w:themeFill="accent1" w:themeFillTint="99"/>
            <w:noWrap/>
            <w:vAlign w:val="bottom"/>
            <w:hideMark/>
          </w:tcPr>
          <w:p w14:paraId="4693D0FE" w14:textId="77777777" w:rsidR="00B72FD6" w:rsidRPr="00944AAE" w:rsidRDefault="00B72FD6">
            <w:pPr>
              <w:jc w:val="center"/>
              <w:rPr>
                <w:rFonts w:ascii="Calibri" w:hAnsi="Calibri" w:cs="Calibri"/>
                <w:b/>
                <w:color w:val="000000"/>
                <w:sz w:val="22"/>
                <w:szCs w:val="22"/>
              </w:rPr>
            </w:pPr>
            <w:r w:rsidRPr="00944AAE">
              <w:rPr>
                <w:rFonts w:ascii="Calibri" w:hAnsi="Calibri" w:cs="Calibri"/>
                <w:b/>
                <w:color w:val="000000"/>
                <w:sz w:val="22"/>
                <w:szCs w:val="22"/>
              </w:rPr>
              <w:t>190.94</w:t>
            </w:r>
          </w:p>
        </w:tc>
        <w:tc>
          <w:tcPr>
            <w:tcW w:w="2242" w:type="dxa"/>
            <w:tcBorders>
              <w:top w:val="nil"/>
              <w:left w:val="nil"/>
              <w:bottom w:val="single" w:sz="4" w:space="0" w:color="auto"/>
              <w:right w:val="single" w:sz="4" w:space="0" w:color="auto"/>
            </w:tcBorders>
            <w:shd w:val="clear" w:color="auto" w:fill="95B3D7" w:themeFill="accent1" w:themeFillTint="99"/>
            <w:noWrap/>
            <w:vAlign w:val="bottom"/>
            <w:hideMark/>
          </w:tcPr>
          <w:p w14:paraId="2FC573BF" w14:textId="77777777" w:rsidR="00B72FD6" w:rsidRPr="00944AAE" w:rsidRDefault="00B72FD6">
            <w:pPr>
              <w:jc w:val="center"/>
              <w:rPr>
                <w:rFonts w:ascii="Calibri" w:hAnsi="Calibri" w:cs="Calibri"/>
                <w:b/>
                <w:color w:val="000000"/>
                <w:sz w:val="22"/>
                <w:szCs w:val="22"/>
              </w:rPr>
            </w:pPr>
            <w:r w:rsidRPr="00944AAE">
              <w:rPr>
                <w:rFonts w:ascii="Calibri" w:hAnsi="Calibri" w:cs="Calibri"/>
                <w:b/>
                <w:color w:val="000000"/>
                <w:sz w:val="22"/>
                <w:szCs w:val="22"/>
              </w:rPr>
              <w:t>196.82</w:t>
            </w:r>
          </w:p>
        </w:tc>
        <w:tc>
          <w:tcPr>
            <w:tcW w:w="2646" w:type="dxa"/>
            <w:tcBorders>
              <w:top w:val="nil"/>
              <w:left w:val="nil"/>
              <w:bottom w:val="single" w:sz="4" w:space="0" w:color="auto"/>
              <w:right w:val="single" w:sz="4" w:space="0" w:color="auto"/>
            </w:tcBorders>
            <w:shd w:val="clear" w:color="auto" w:fill="95B3D7" w:themeFill="accent1" w:themeFillTint="99"/>
            <w:noWrap/>
            <w:vAlign w:val="bottom"/>
            <w:hideMark/>
          </w:tcPr>
          <w:p w14:paraId="44F62733" w14:textId="77777777" w:rsidR="00B72FD6" w:rsidRPr="00944AAE" w:rsidRDefault="00B72FD6">
            <w:pPr>
              <w:jc w:val="center"/>
              <w:rPr>
                <w:rFonts w:ascii="Calibri" w:hAnsi="Calibri" w:cs="Calibri"/>
                <w:b/>
                <w:color w:val="000000"/>
                <w:sz w:val="22"/>
                <w:szCs w:val="22"/>
              </w:rPr>
            </w:pPr>
            <w:r w:rsidRPr="00944AAE">
              <w:rPr>
                <w:rFonts w:ascii="Calibri" w:hAnsi="Calibri" w:cs="Calibri"/>
                <w:b/>
                <w:color w:val="000000"/>
                <w:sz w:val="22"/>
                <w:szCs w:val="22"/>
              </w:rPr>
              <w:t>190.04</w:t>
            </w:r>
          </w:p>
        </w:tc>
      </w:tr>
    </w:tbl>
    <w:p w14:paraId="4BB10A2B" w14:textId="112CDFA8" w:rsidR="00B72FD6" w:rsidRDefault="00B72FD6" w:rsidP="002334A3">
      <w:pPr>
        <w:autoSpaceDE w:val="0"/>
        <w:autoSpaceDN w:val="0"/>
        <w:adjustRightInd w:val="0"/>
        <w:spacing w:line="360" w:lineRule="auto"/>
        <w:rPr>
          <w:rFonts w:asciiTheme="minorHAnsi" w:hAnsiTheme="minorHAnsi" w:cstheme="minorHAnsi"/>
          <w:color w:val="000000"/>
          <w:sz w:val="22"/>
          <w:szCs w:val="22"/>
          <w:highlight w:val="yellow"/>
          <w:lang w:eastAsia="en-IN"/>
        </w:rPr>
      </w:pPr>
    </w:p>
    <w:p w14:paraId="639A9C7C" w14:textId="77777777" w:rsidR="00B72FD6" w:rsidRPr="00261A85" w:rsidRDefault="00B72FD6" w:rsidP="002334A3">
      <w:pPr>
        <w:autoSpaceDE w:val="0"/>
        <w:autoSpaceDN w:val="0"/>
        <w:adjustRightInd w:val="0"/>
        <w:spacing w:line="360" w:lineRule="auto"/>
        <w:rPr>
          <w:rFonts w:asciiTheme="minorHAnsi" w:hAnsiTheme="minorHAnsi" w:cstheme="minorHAnsi"/>
          <w:color w:val="000000"/>
          <w:sz w:val="22"/>
          <w:szCs w:val="22"/>
          <w:lang w:eastAsia="en-IN"/>
        </w:rPr>
      </w:pPr>
    </w:p>
    <w:p w14:paraId="2997A64E" w14:textId="26C5A7C3" w:rsidR="006E4B90" w:rsidRPr="00261A85" w:rsidRDefault="00573868" w:rsidP="00573868">
      <w:pPr>
        <w:tabs>
          <w:tab w:val="left" w:pos="426"/>
        </w:tabs>
        <w:spacing w:line="360" w:lineRule="auto"/>
        <w:ind w:right="-23"/>
        <w:jc w:val="both"/>
        <w:rPr>
          <w:rFonts w:asciiTheme="minorHAnsi" w:hAnsiTheme="minorHAnsi" w:cstheme="minorHAnsi"/>
          <w:b/>
          <w:bCs/>
          <w:sz w:val="22"/>
          <w:szCs w:val="22"/>
        </w:rPr>
      </w:pPr>
      <w:r w:rsidRPr="00261A85">
        <w:rPr>
          <w:rFonts w:asciiTheme="minorHAnsi" w:hAnsiTheme="minorHAnsi" w:cstheme="minorHAnsi"/>
          <w:b/>
          <w:bCs/>
          <w:sz w:val="22"/>
          <w:szCs w:val="22"/>
        </w:rPr>
        <w:t xml:space="preserve">         </w:t>
      </w:r>
      <w:r w:rsidR="004D5E58">
        <w:rPr>
          <w:rFonts w:asciiTheme="minorHAnsi" w:hAnsiTheme="minorHAnsi" w:cstheme="minorHAnsi"/>
          <w:b/>
          <w:bCs/>
          <w:sz w:val="22"/>
          <w:szCs w:val="22"/>
        </w:rPr>
        <w:t xml:space="preserve"> </w:t>
      </w:r>
      <w:r w:rsidR="009F12D0" w:rsidRPr="004D5E58">
        <w:rPr>
          <w:rFonts w:asciiTheme="minorHAnsi" w:hAnsiTheme="minorHAnsi" w:cstheme="minorHAnsi"/>
          <w:b/>
          <w:bCs/>
          <w:szCs w:val="22"/>
        </w:rPr>
        <w:t xml:space="preserve">2.5.3 </w:t>
      </w:r>
      <w:r w:rsidR="007F73B2" w:rsidRPr="004D5E58">
        <w:rPr>
          <w:rFonts w:asciiTheme="minorHAnsi" w:hAnsiTheme="minorHAnsi" w:cstheme="minorHAnsi"/>
          <w:b/>
          <w:bCs/>
          <w:szCs w:val="22"/>
        </w:rPr>
        <w:t xml:space="preserve">Interest Cost on </w:t>
      </w:r>
      <w:r w:rsidR="009D2B56" w:rsidRPr="004D5E58">
        <w:rPr>
          <w:rFonts w:asciiTheme="minorHAnsi" w:hAnsiTheme="minorHAnsi" w:cstheme="minorHAnsi"/>
          <w:b/>
          <w:bCs/>
          <w:szCs w:val="22"/>
        </w:rPr>
        <w:t>Electric Vehicle Advance Policy</w:t>
      </w:r>
    </w:p>
    <w:p w14:paraId="20873B83" w14:textId="77777777" w:rsidR="009C0341" w:rsidRPr="00261A85" w:rsidRDefault="009C0341" w:rsidP="007F73B2">
      <w:pPr>
        <w:spacing w:line="271" w:lineRule="auto"/>
        <w:ind w:left="709"/>
        <w:contextualSpacing/>
        <w:jc w:val="both"/>
        <w:rPr>
          <w:rFonts w:asciiTheme="minorHAnsi" w:hAnsiTheme="minorHAnsi" w:cstheme="minorHAnsi"/>
          <w:sz w:val="22"/>
          <w:szCs w:val="22"/>
        </w:rPr>
      </w:pPr>
    </w:p>
    <w:p w14:paraId="5D3BC05F" w14:textId="71B66747" w:rsidR="007F73B2" w:rsidRPr="00261A85" w:rsidRDefault="007F73B2" w:rsidP="00A61FCB">
      <w:pPr>
        <w:pStyle w:val="Footer"/>
        <w:tabs>
          <w:tab w:val="clear" w:pos="4320"/>
          <w:tab w:val="clear" w:pos="8640"/>
        </w:tabs>
        <w:spacing w:line="360" w:lineRule="auto"/>
        <w:ind w:left="567"/>
        <w:jc w:val="both"/>
        <w:rPr>
          <w:rFonts w:asciiTheme="minorHAnsi" w:hAnsiTheme="minorHAnsi" w:cstheme="minorHAnsi"/>
          <w:sz w:val="22"/>
          <w:szCs w:val="22"/>
        </w:rPr>
      </w:pPr>
      <w:r w:rsidRPr="00261A85">
        <w:rPr>
          <w:rFonts w:asciiTheme="minorHAnsi" w:hAnsiTheme="minorHAnsi" w:cstheme="minorHAnsi"/>
          <w:sz w:val="22"/>
          <w:szCs w:val="22"/>
        </w:rPr>
        <w:t>OPTCL, vide its Circular No.AW/E&amp;M-EV-1/2023(PT)/3358 dated 03rd March 2023 announced its Electric Vehicle Advance Policy (EVAP) for its employees which is in line with the guideline issued by the Finance Department, Government of Odisha (</w:t>
      </w:r>
      <w:proofErr w:type="spellStart"/>
      <w:r w:rsidRPr="00261A85">
        <w:rPr>
          <w:rFonts w:asciiTheme="minorHAnsi" w:hAnsiTheme="minorHAnsi" w:cstheme="minorHAnsi"/>
          <w:sz w:val="22"/>
          <w:szCs w:val="22"/>
        </w:rPr>
        <w:t>GoO</w:t>
      </w:r>
      <w:proofErr w:type="spellEnd"/>
      <w:r w:rsidRPr="00261A85">
        <w:rPr>
          <w:rFonts w:asciiTheme="minorHAnsi" w:hAnsiTheme="minorHAnsi" w:cstheme="minorHAnsi"/>
          <w:sz w:val="22"/>
          <w:szCs w:val="22"/>
        </w:rPr>
        <w:t xml:space="preserve">) vide Memorandum No. 8524/F dated 05th April 2022. Advance will be interest free and will be granted based on eligibility and subject to availability of budget. All Executives will be eligible to purchase electric motor car/ two-wheeler and non-executives will be eligible for electric two-wheelers only. Advance amount will be 75% of cost of vehicle or repaying capacity and maximum advance limit for electric motor car is </w:t>
      </w:r>
      <w:r w:rsidR="001A2772" w:rsidRPr="00261A85">
        <w:rPr>
          <w:rFonts w:asciiTheme="minorHAnsi" w:hAnsiTheme="minorHAnsi" w:cstheme="minorHAnsi"/>
          <w:sz w:val="22"/>
          <w:szCs w:val="22"/>
        </w:rPr>
        <w:t>Rs.</w:t>
      </w:r>
      <w:r w:rsidRPr="00261A85">
        <w:rPr>
          <w:rFonts w:asciiTheme="minorHAnsi" w:hAnsiTheme="minorHAnsi" w:cstheme="minorHAnsi"/>
          <w:sz w:val="22"/>
          <w:szCs w:val="22"/>
        </w:rPr>
        <w:t xml:space="preserve"> 15 lakhs and for electric two-wheeler is </w:t>
      </w:r>
      <w:r w:rsidR="001A2772" w:rsidRPr="00261A85">
        <w:rPr>
          <w:rFonts w:asciiTheme="minorHAnsi" w:hAnsiTheme="minorHAnsi" w:cstheme="minorHAnsi"/>
          <w:sz w:val="22"/>
          <w:szCs w:val="22"/>
        </w:rPr>
        <w:t>Rs.</w:t>
      </w:r>
      <w:r w:rsidRPr="00261A85">
        <w:rPr>
          <w:rFonts w:asciiTheme="minorHAnsi" w:hAnsiTheme="minorHAnsi" w:cstheme="minorHAnsi"/>
          <w:sz w:val="22"/>
          <w:szCs w:val="22"/>
        </w:rPr>
        <w:t xml:space="preserve"> 2</w:t>
      </w:r>
      <w:r w:rsidR="006A7BDF">
        <w:rPr>
          <w:rFonts w:asciiTheme="minorHAnsi" w:hAnsiTheme="minorHAnsi" w:cstheme="minorHAnsi"/>
          <w:sz w:val="22"/>
          <w:szCs w:val="22"/>
        </w:rPr>
        <w:t xml:space="preserve"> </w:t>
      </w:r>
      <w:proofErr w:type="gramStart"/>
      <w:r w:rsidRPr="00261A85">
        <w:rPr>
          <w:rFonts w:asciiTheme="minorHAnsi" w:hAnsiTheme="minorHAnsi" w:cstheme="minorHAnsi"/>
          <w:sz w:val="22"/>
          <w:szCs w:val="22"/>
        </w:rPr>
        <w:t>lakh</w:t>
      </w:r>
      <w:proofErr w:type="gramEnd"/>
      <w:r w:rsidRPr="00261A85">
        <w:rPr>
          <w:rFonts w:asciiTheme="minorHAnsi" w:hAnsiTheme="minorHAnsi" w:cstheme="minorHAnsi"/>
          <w:sz w:val="22"/>
          <w:szCs w:val="22"/>
        </w:rPr>
        <w:t xml:space="preserve">. </w:t>
      </w:r>
      <w:r w:rsidR="00F92555" w:rsidRPr="00261A85">
        <w:rPr>
          <w:rFonts w:asciiTheme="minorHAnsi" w:hAnsiTheme="minorHAnsi" w:cstheme="minorHAnsi"/>
          <w:sz w:val="22"/>
          <w:szCs w:val="22"/>
        </w:rPr>
        <w:t>T</w:t>
      </w:r>
      <w:r w:rsidRPr="00261A85">
        <w:rPr>
          <w:rFonts w:asciiTheme="minorHAnsi" w:hAnsiTheme="minorHAnsi" w:cstheme="minorHAnsi"/>
          <w:sz w:val="22"/>
          <w:szCs w:val="22"/>
        </w:rPr>
        <w:t>his scheme will be in vogue till December 31, 2025 unless extended otherwise in line with the guidelines issued by the State Government vide O.M. No. 8524 dated April 05, 2022</w:t>
      </w:r>
    </w:p>
    <w:p w14:paraId="584FEE1A" w14:textId="77777777" w:rsidR="007F73B2" w:rsidRPr="00261A85" w:rsidRDefault="007F73B2" w:rsidP="00A61FCB">
      <w:pPr>
        <w:pStyle w:val="Footer"/>
        <w:tabs>
          <w:tab w:val="clear" w:pos="4320"/>
          <w:tab w:val="clear" w:pos="8640"/>
        </w:tabs>
        <w:spacing w:line="360" w:lineRule="auto"/>
        <w:ind w:left="567"/>
        <w:jc w:val="both"/>
        <w:rPr>
          <w:rFonts w:asciiTheme="minorHAnsi" w:hAnsiTheme="minorHAnsi" w:cstheme="minorHAnsi"/>
          <w:sz w:val="22"/>
          <w:szCs w:val="22"/>
        </w:rPr>
      </w:pPr>
    </w:p>
    <w:p w14:paraId="0D6E4360" w14:textId="77777777" w:rsidR="007F73B2" w:rsidRPr="00261A85" w:rsidRDefault="007F73B2" w:rsidP="00A61FCB">
      <w:pPr>
        <w:pStyle w:val="Footer"/>
        <w:tabs>
          <w:tab w:val="clear" w:pos="4320"/>
          <w:tab w:val="clear" w:pos="8640"/>
        </w:tabs>
        <w:spacing w:line="360" w:lineRule="auto"/>
        <w:ind w:left="567"/>
        <w:jc w:val="both"/>
        <w:rPr>
          <w:rFonts w:asciiTheme="minorHAnsi" w:hAnsiTheme="minorHAnsi" w:cstheme="minorHAnsi"/>
          <w:sz w:val="22"/>
          <w:szCs w:val="22"/>
        </w:rPr>
      </w:pPr>
      <w:r w:rsidRPr="00261A85">
        <w:rPr>
          <w:rFonts w:asciiTheme="minorHAnsi" w:hAnsiTheme="minorHAnsi" w:cstheme="minorHAnsi"/>
          <w:sz w:val="22"/>
          <w:szCs w:val="22"/>
        </w:rPr>
        <w:t xml:space="preserve">Further, the employees’ wellbeing related policies and procedures, as and when framed/adopted by GRIDCO/ Odisha Power Transmission Corporation Limited (OPTCL) for their employees, were subsequently adopted by erstwhile NESCO utility.  </w:t>
      </w:r>
    </w:p>
    <w:p w14:paraId="5A1B6AE0" w14:textId="77777777" w:rsidR="007F73B2" w:rsidRPr="00261A85" w:rsidRDefault="007F73B2" w:rsidP="00A61FCB">
      <w:pPr>
        <w:pStyle w:val="Footer"/>
        <w:tabs>
          <w:tab w:val="clear" w:pos="4320"/>
          <w:tab w:val="clear" w:pos="8640"/>
        </w:tabs>
        <w:spacing w:line="360" w:lineRule="auto"/>
        <w:ind w:left="567"/>
        <w:jc w:val="both"/>
        <w:rPr>
          <w:rFonts w:asciiTheme="minorHAnsi" w:hAnsiTheme="minorHAnsi" w:cstheme="minorHAnsi"/>
          <w:sz w:val="22"/>
          <w:szCs w:val="22"/>
        </w:rPr>
      </w:pPr>
    </w:p>
    <w:p w14:paraId="68E00BA2" w14:textId="3422E81B" w:rsidR="007F73B2" w:rsidRPr="00261A85" w:rsidRDefault="007F73B2" w:rsidP="00A61FCB">
      <w:pPr>
        <w:pStyle w:val="Footer"/>
        <w:tabs>
          <w:tab w:val="clear" w:pos="4320"/>
          <w:tab w:val="clear" w:pos="8640"/>
        </w:tabs>
        <w:spacing w:line="360" w:lineRule="auto"/>
        <w:ind w:left="567"/>
        <w:jc w:val="both"/>
        <w:rPr>
          <w:rFonts w:asciiTheme="minorHAnsi" w:hAnsiTheme="minorHAnsi" w:cstheme="minorHAnsi"/>
          <w:sz w:val="22"/>
          <w:szCs w:val="22"/>
        </w:rPr>
      </w:pPr>
      <w:r w:rsidRPr="00261A85">
        <w:rPr>
          <w:rFonts w:asciiTheme="minorHAnsi" w:hAnsiTheme="minorHAnsi" w:cstheme="minorHAnsi"/>
          <w:sz w:val="22"/>
          <w:szCs w:val="22"/>
        </w:rPr>
        <w:t>TPNODL also being committed to decarboni</w:t>
      </w:r>
      <w:r w:rsidR="006A7BDF">
        <w:rPr>
          <w:rFonts w:asciiTheme="minorHAnsi" w:hAnsiTheme="minorHAnsi" w:cstheme="minorHAnsi"/>
          <w:sz w:val="22"/>
          <w:szCs w:val="22"/>
        </w:rPr>
        <w:t>z</w:t>
      </w:r>
      <w:r w:rsidRPr="00261A85">
        <w:rPr>
          <w:rFonts w:asciiTheme="minorHAnsi" w:hAnsiTheme="minorHAnsi" w:cstheme="minorHAnsi"/>
          <w:sz w:val="22"/>
          <w:szCs w:val="22"/>
        </w:rPr>
        <w:t>ation and promotion of National and State mandate for promoting Electric Vehicles</w:t>
      </w:r>
      <w:r w:rsidR="009C0341" w:rsidRPr="00261A85">
        <w:rPr>
          <w:rFonts w:asciiTheme="minorHAnsi" w:hAnsiTheme="minorHAnsi" w:cstheme="minorHAnsi"/>
          <w:sz w:val="22"/>
          <w:szCs w:val="22"/>
        </w:rPr>
        <w:t>, has adopted EV Advance Policy</w:t>
      </w:r>
      <w:r w:rsidRPr="00261A85">
        <w:rPr>
          <w:rFonts w:asciiTheme="minorHAnsi" w:hAnsiTheme="minorHAnsi" w:cstheme="minorHAnsi"/>
          <w:sz w:val="22"/>
          <w:szCs w:val="22"/>
        </w:rPr>
        <w:t xml:space="preserve"> in line with the OPTCL and Government of Odisha Memorandum.</w:t>
      </w:r>
    </w:p>
    <w:p w14:paraId="762B3425" w14:textId="77777777" w:rsidR="007F73B2" w:rsidRPr="00261A85" w:rsidRDefault="007F73B2" w:rsidP="00A61FCB">
      <w:pPr>
        <w:pStyle w:val="Footer"/>
        <w:tabs>
          <w:tab w:val="clear" w:pos="4320"/>
          <w:tab w:val="clear" w:pos="8640"/>
        </w:tabs>
        <w:spacing w:line="360" w:lineRule="auto"/>
        <w:ind w:left="567"/>
        <w:jc w:val="both"/>
        <w:rPr>
          <w:rFonts w:asciiTheme="minorHAnsi" w:hAnsiTheme="minorHAnsi" w:cstheme="minorHAnsi"/>
          <w:sz w:val="22"/>
          <w:szCs w:val="22"/>
        </w:rPr>
      </w:pPr>
      <w:r w:rsidRPr="00261A85">
        <w:rPr>
          <w:rFonts w:asciiTheme="minorHAnsi" w:hAnsiTheme="minorHAnsi" w:cstheme="minorHAnsi"/>
          <w:sz w:val="22"/>
          <w:szCs w:val="22"/>
        </w:rPr>
        <w:lastRenderedPageBreak/>
        <w:t xml:space="preserve"> </w:t>
      </w:r>
    </w:p>
    <w:p w14:paraId="77B8A317" w14:textId="68E4C2ED" w:rsidR="000A5FDD" w:rsidRDefault="009C0341" w:rsidP="000A5FDD">
      <w:pPr>
        <w:pStyle w:val="Footer"/>
        <w:tabs>
          <w:tab w:val="clear" w:pos="4320"/>
          <w:tab w:val="clear" w:pos="8640"/>
        </w:tabs>
        <w:spacing w:line="360" w:lineRule="auto"/>
        <w:ind w:left="567"/>
        <w:jc w:val="both"/>
        <w:rPr>
          <w:rFonts w:asciiTheme="minorHAnsi" w:hAnsiTheme="minorHAnsi" w:cstheme="minorHAnsi"/>
          <w:sz w:val="22"/>
          <w:szCs w:val="22"/>
        </w:rPr>
      </w:pPr>
      <w:r w:rsidRPr="00261A85">
        <w:rPr>
          <w:rFonts w:asciiTheme="minorHAnsi" w:hAnsiTheme="minorHAnsi" w:cstheme="minorHAnsi"/>
          <w:sz w:val="22"/>
          <w:szCs w:val="22"/>
        </w:rPr>
        <w:t>T</w:t>
      </w:r>
      <w:r w:rsidR="007F73B2" w:rsidRPr="00261A85">
        <w:rPr>
          <w:rFonts w:asciiTheme="minorHAnsi" w:hAnsiTheme="minorHAnsi" w:cstheme="minorHAnsi"/>
          <w:sz w:val="22"/>
          <w:szCs w:val="22"/>
        </w:rPr>
        <w:t>o facilitate eligible and interested employees to purchase EV by providing interest free recoverable advance</w:t>
      </w:r>
      <w:r w:rsidRPr="00261A85">
        <w:rPr>
          <w:rFonts w:asciiTheme="minorHAnsi" w:hAnsiTheme="minorHAnsi" w:cstheme="minorHAnsi"/>
          <w:sz w:val="22"/>
          <w:szCs w:val="22"/>
        </w:rPr>
        <w:t xml:space="preserve">, </w:t>
      </w:r>
      <w:r w:rsidR="007F73B2" w:rsidRPr="00261A85">
        <w:rPr>
          <w:rFonts w:asciiTheme="minorHAnsi" w:hAnsiTheme="minorHAnsi" w:cstheme="minorHAnsi"/>
          <w:sz w:val="22"/>
          <w:szCs w:val="22"/>
        </w:rPr>
        <w:t>these vehicle loans to employees shall be interest free and the cost for the same shall need to be borne by the TPNODL.  It is estimated that 15 % of Executives and 20 % of Total Employee of erstwhile utility may avail the scheme</w:t>
      </w:r>
      <w:r w:rsidR="00F92555" w:rsidRPr="00261A85">
        <w:rPr>
          <w:rFonts w:asciiTheme="minorHAnsi" w:hAnsiTheme="minorHAnsi" w:cstheme="minorHAnsi"/>
          <w:sz w:val="22"/>
          <w:szCs w:val="22"/>
        </w:rPr>
        <w:t xml:space="preserve">. </w:t>
      </w:r>
      <w:r w:rsidR="007F73B2" w:rsidRPr="00261A85">
        <w:rPr>
          <w:rFonts w:asciiTheme="minorHAnsi" w:hAnsiTheme="minorHAnsi" w:cstheme="minorHAnsi"/>
          <w:sz w:val="22"/>
          <w:szCs w:val="22"/>
        </w:rPr>
        <w:t xml:space="preserve"> </w:t>
      </w:r>
    </w:p>
    <w:p w14:paraId="2B16DC82" w14:textId="77777777" w:rsidR="006A7BDF" w:rsidRPr="00261A85" w:rsidRDefault="006A7BDF" w:rsidP="000A5FDD">
      <w:pPr>
        <w:pStyle w:val="Footer"/>
        <w:tabs>
          <w:tab w:val="clear" w:pos="4320"/>
          <w:tab w:val="clear" w:pos="8640"/>
        </w:tabs>
        <w:spacing w:line="360" w:lineRule="auto"/>
        <w:ind w:left="567"/>
        <w:jc w:val="both"/>
        <w:rPr>
          <w:rFonts w:asciiTheme="minorHAnsi" w:hAnsiTheme="minorHAnsi" w:cstheme="minorHAnsi"/>
          <w:sz w:val="22"/>
          <w:szCs w:val="22"/>
        </w:rPr>
      </w:pPr>
    </w:p>
    <w:p w14:paraId="00BF1A6A" w14:textId="1B0783A5" w:rsidR="00393457" w:rsidRDefault="00393457" w:rsidP="00A61FCB">
      <w:pPr>
        <w:pStyle w:val="Footer"/>
        <w:tabs>
          <w:tab w:val="clear" w:pos="4320"/>
          <w:tab w:val="clear" w:pos="8640"/>
        </w:tabs>
        <w:spacing w:line="360" w:lineRule="auto"/>
        <w:ind w:left="567"/>
        <w:jc w:val="both"/>
        <w:rPr>
          <w:rFonts w:asciiTheme="minorHAnsi" w:hAnsiTheme="minorHAnsi" w:cstheme="minorHAnsi"/>
          <w:sz w:val="22"/>
          <w:szCs w:val="22"/>
        </w:rPr>
      </w:pPr>
      <w:r w:rsidRPr="00261A85">
        <w:rPr>
          <w:rFonts w:asciiTheme="minorHAnsi" w:hAnsiTheme="minorHAnsi" w:cstheme="minorHAnsi"/>
          <w:sz w:val="22"/>
          <w:szCs w:val="22"/>
        </w:rPr>
        <w:t xml:space="preserve">The licensee had submitted before Hon’ble Commission for approval of the interest free advance towards EV in ARR for FY 24-25 under Staff Welfare Expenses, which Hon’ble Commission had approved in toto. </w:t>
      </w:r>
    </w:p>
    <w:p w14:paraId="0A520FA9" w14:textId="77777777" w:rsidR="006A7BDF" w:rsidRPr="00261A85" w:rsidRDefault="006A7BDF" w:rsidP="00A61FCB">
      <w:pPr>
        <w:pStyle w:val="Footer"/>
        <w:tabs>
          <w:tab w:val="clear" w:pos="4320"/>
          <w:tab w:val="clear" w:pos="8640"/>
        </w:tabs>
        <w:spacing w:line="360" w:lineRule="auto"/>
        <w:ind w:left="567"/>
        <w:jc w:val="both"/>
        <w:rPr>
          <w:rFonts w:asciiTheme="minorHAnsi" w:hAnsiTheme="minorHAnsi" w:cstheme="minorHAnsi"/>
          <w:sz w:val="22"/>
          <w:szCs w:val="22"/>
        </w:rPr>
      </w:pPr>
    </w:p>
    <w:p w14:paraId="450E895C" w14:textId="092F7B26" w:rsidR="007F73B2" w:rsidRPr="00153204" w:rsidRDefault="00393457" w:rsidP="00A61FCB">
      <w:pPr>
        <w:pStyle w:val="Footer"/>
        <w:tabs>
          <w:tab w:val="clear" w:pos="4320"/>
          <w:tab w:val="clear" w:pos="8640"/>
        </w:tabs>
        <w:spacing w:line="360" w:lineRule="auto"/>
        <w:ind w:left="567"/>
        <w:jc w:val="both"/>
        <w:rPr>
          <w:rFonts w:asciiTheme="minorHAnsi" w:hAnsiTheme="minorHAnsi" w:cstheme="minorHAnsi"/>
          <w:sz w:val="22"/>
          <w:szCs w:val="22"/>
        </w:rPr>
      </w:pPr>
      <w:r w:rsidRPr="00261A85">
        <w:rPr>
          <w:rFonts w:asciiTheme="minorHAnsi" w:hAnsiTheme="minorHAnsi" w:cstheme="minorHAnsi"/>
          <w:sz w:val="22"/>
          <w:szCs w:val="22"/>
        </w:rPr>
        <w:t>For FY 25-26, the</w:t>
      </w:r>
      <w:r w:rsidR="00F92555" w:rsidRPr="00261A85">
        <w:rPr>
          <w:rFonts w:asciiTheme="minorHAnsi" w:hAnsiTheme="minorHAnsi" w:cstheme="minorHAnsi"/>
          <w:sz w:val="22"/>
          <w:szCs w:val="22"/>
        </w:rPr>
        <w:t xml:space="preserve"> licensee has considered Rs</w:t>
      </w:r>
      <w:r w:rsidR="00A61FCB" w:rsidRPr="00261A85">
        <w:rPr>
          <w:rFonts w:asciiTheme="minorHAnsi" w:hAnsiTheme="minorHAnsi" w:cstheme="minorHAnsi"/>
          <w:sz w:val="22"/>
          <w:szCs w:val="22"/>
        </w:rPr>
        <w:t xml:space="preserve">. </w:t>
      </w:r>
      <w:r w:rsidR="00261A85" w:rsidRPr="00261A85">
        <w:rPr>
          <w:rFonts w:asciiTheme="minorHAnsi" w:hAnsiTheme="minorHAnsi" w:cstheme="minorHAnsi"/>
          <w:sz w:val="22"/>
          <w:szCs w:val="22"/>
        </w:rPr>
        <w:t>2</w:t>
      </w:r>
      <w:r w:rsidR="00A61FCB" w:rsidRPr="00261A85">
        <w:rPr>
          <w:rFonts w:asciiTheme="minorHAnsi" w:hAnsiTheme="minorHAnsi" w:cstheme="minorHAnsi"/>
          <w:sz w:val="22"/>
          <w:szCs w:val="22"/>
        </w:rPr>
        <w:t>Crs.</w:t>
      </w:r>
      <w:r w:rsidR="00F92555" w:rsidRPr="00261A85">
        <w:rPr>
          <w:rFonts w:asciiTheme="minorHAnsi" w:hAnsiTheme="minorHAnsi" w:cstheme="minorHAnsi"/>
          <w:sz w:val="22"/>
          <w:szCs w:val="22"/>
        </w:rPr>
        <w:t xml:space="preserve"> towards interest cost on such advances to be extended to eligible employees </w:t>
      </w:r>
      <w:r w:rsidR="00DC7E20" w:rsidRPr="00261A85">
        <w:rPr>
          <w:rFonts w:asciiTheme="minorHAnsi" w:hAnsiTheme="minorHAnsi" w:cstheme="minorHAnsi"/>
          <w:sz w:val="22"/>
          <w:szCs w:val="22"/>
        </w:rPr>
        <w:t>under Staff Welfare</w:t>
      </w:r>
      <w:r w:rsidR="00F92555" w:rsidRPr="00261A85">
        <w:rPr>
          <w:rFonts w:asciiTheme="minorHAnsi" w:hAnsiTheme="minorHAnsi" w:cstheme="minorHAnsi"/>
          <w:sz w:val="22"/>
          <w:szCs w:val="22"/>
        </w:rPr>
        <w:t xml:space="preserve"> and prays before Hon’ble Commission to kindly approve the same.</w:t>
      </w:r>
      <w:r w:rsidR="00F92555" w:rsidRPr="00153204">
        <w:rPr>
          <w:rFonts w:asciiTheme="minorHAnsi" w:hAnsiTheme="minorHAnsi" w:cstheme="minorHAnsi"/>
          <w:sz w:val="22"/>
          <w:szCs w:val="22"/>
        </w:rPr>
        <w:t xml:space="preserve"> </w:t>
      </w:r>
      <w:r w:rsidR="007F73B2" w:rsidRPr="00153204">
        <w:rPr>
          <w:rFonts w:asciiTheme="minorHAnsi" w:hAnsiTheme="minorHAnsi" w:cstheme="minorHAnsi"/>
          <w:sz w:val="22"/>
          <w:szCs w:val="22"/>
        </w:rPr>
        <w:t xml:space="preserve">    </w:t>
      </w:r>
    </w:p>
    <w:p w14:paraId="2E6739FD" w14:textId="35C479EA" w:rsidR="00174BF9" w:rsidRPr="00153204" w:rsidRDefault="00174BF9" w:rsidP="009D2B56">
      <w:pPr>
        <w:tabs>
          <w:tab w:val="left" w:pos="426"/>
        </w:tabs>
        <w:spacing w:line="360" w:lineRule="auto"/>
        <w:ind w:right="-23"/>
        <w:jc w:val="both"/>
        <w:rPr>
          <w:rFonts w:asciiTheme="minorHAnsi" w:hAnsiTheme="minorHAnsi" w:cstheme="minorHAnsi"/>
          <w:bCs/>
          <w:color w:val="244061" w:themeColor="accent1" w:themeShade="80"/>
          <w:sz w:val="22"/>
          <w:szCs w:val="22"/>
        </w:rPr>
      </w:pPr>
    </w:p>
    <w:p w14:paraId="39D3D661" w14:textId="26AF7B2B" w:rsidR="006E4B90" w:rsidRPr="004D5E58" w:rsidRDefault="00ED6D97" w:rsidP="006E4B90">
      <w:pPr>
        <w:tabs>
          <w:tab w:val="left" w:pos="426"/>
        </w:tabs>
        <w:spacing w:line="360" w:lineRule="auto"/>
        <w:ind w:right="-23" w:firstLine="600"/>
        <w:jc w:val="both"/>
        <w:rPr>
          <w:rFonts w:asciiTheme="minorHAnsi" w:hAnsiTheme="minorHAnsi" w:cstheme="minorHAnsi"/>
          <w:b/>
          <w:bCs/>
          <w:szCs w:val="22"/>
        </w:rPr>
      </w:pPr>
      <w:r w:rsidRPr="004D5E58">
        <w:rPr>
          <w:rFonts w:asciiTheme="minorHAnsi" w:hAnsiTheme="minorHAnsi" w:cstheme="minorHAnsi"/>
          <w:b/>
          <w:bCs/>
          <w:szCs w:val="22"/>
        </w:rPr>
        <w:t>2.5.4 Steps</w:t>
      </w:r>
      <w:r w:rsidR="006E4B90" w:rsidRPr="004D5E58">
        <w:rPr>
          <w:rFonts w:asciiTheme="minorHAnsi" w:hAnsiTheme="minorHAnsi" w:cstheme="minorHAnsi"/>
          <w:b/>
          <w:bCs/>
          <w:szCs w:val="22"/>
        </w:rPr>
        <w:t xml:space="preserve"> taken for optimization of Employee Cost:</w:t>
      </w:r>
    </w:p>
    <w:p w14:paraId="0ED40B20" w14:textId="77777777" w:rsidR="006E4B90" w:rsidRPr="00153204" w:rsidRDefault="006E4B90" w:rsidP="00174BF9">
      <w:pPr>
        <w:tabs>
          <w:tab w:val="left" w:pos="426"/>
        </w:tabs>
        <w:spacing w:line="360" w:lineRule="auto"/>
        <w:ind w:right="-23" w:firstLine="567"/>
        <w:jc w:val="both"/>
        <w:rPr>
          <w:rFonts w:asciiTheme="minorHAnsi" w:hAnsiTheme="minorHAnsi" w:cstheme="minorHAnsi"/>
          <w:b/>
          <w:bCs/>
          <w:sz w:val="22"/>
          <w:szCs w:val="22"/>
        </w:rPr>
      </w:pPr>
    </w:p>
    <w:p w14:paraId="77BB93D4" w14:textId="77777777" w:rsidR="006E4B90" w:rsidRPr="00153204" w:rsidRDefault="006E4B90" w:rsidP="00AB536C">
      <w:pPr>
        <w:pStyle w:val="ListParagraph"/>
        <w:numPr>
          <w:ilvl w:val="0"/>
          <w:numId w:val="18"/>
        </w:numPr>
        <w:tabs>
          <w:tab w:val="left" w:pos="426"/>
        </w:tabs>
        <w:spacing w:line="360" w:lineRule="auto"/>
        <w:ind w:right="-23" w:hanging="578"/>
        <w:jc w:val="both"/>
        <w:rPr>
          <w:rFonts w:asciiTheme="minorHAnsi" w:hAnsiTheme="minorHAnsi" w:cstheme="minorHAnsi"/>
        </w:rPr>
      </w:pPr>
      <w:r w:rsidRPr="00153204">
        <w:rPr>
          <w:rFonts w:asciiTheme="minorHAnsi" w:hAnsiTheme="minorHAnsi" w:cstheme="minorHAnsi"/>
        </w:rPr>
        <w:t>To optimize the employee cost, the licensee has inducted mostly trainees. A comparative analysis of the no. of recruitments done in the first two years of operation and the percentage of trainees inducted year wise depicted in the following table</w:t>
      </w:r>
    </w:p>
    <w:p w14:paraId="3079A576" w14:textId="0A3F411C" w:rsidR="006E4B90" w:rsidRPr="00153204" w:rsidRDefault="006E4B90" w:rsidP="006E4B90">
      <w:pPr>
        <w:pStyle w:val="ListParagraph"/>
        <w:tabs>
          <w:tab w:val="left" w:pos="426"/>
        </w:tabs>
        <w:spacing w:line="360" w:lineRule="auto"/>
        <w:ind w:left="567" w:right="-23"/>
        <w:jc w:val="center"/>
        <w:rPr>
          <w:rFonts w:asciiTheme="minorHAnsi" w:hAnsiTheme="minorHAnsi" w:cstheme="minorHAnsi"/>
          <w:b/>
        </w:rPr>
      </w:pPr>
      <w:r w:rsidRPr="00153204">
        <w:rPr>
          <w:rFonts w:asciiTheme="minorHAnsi" w:hAnsiTheme="minorHAnsi" w:cstheme="minorHAnsi"/>
          <w:b/>
        </w:rPr>
        <w:t xml:space="preserve">                             </w:t>
      </w:r>
    </w:p>
    <w:p w14:paraId="7223179C" w14:textId="0F91FA54" w:rsidR="006E4B90" w:rsidRPr="00153204" w:rsidRDefault="006E4B90" w:rsidP="006E4B90">
      <w:pPr>
        <w:pStyle w:val="ListParagraph"/>
        <w:tabs>
          <w:tab w:val="left" w:pos="426"/>
        </w:tabs>
        <w:spacing w:line="360" w:lineRule="auto"/>
        <w:ind w:left="567" w:right="-23"/>
        <w:jc w:val="center"/>
        <w:rPr>
          <w:rFonts w:asciiTheme="minorHAnsi" w:hAnsiTheme="minorHAnsi" w:cstheme="minorHAnsi"/>
          <w:b/>
          <w:i/>
        </w:rPr>
      </w:pPr>
      <w:r w:rsidRPr="00153204">
        <w:rPr>
          <w:rFonts w:asciiTheme="minorHAnsi" w:hAnsiTheme="minorHAnsi" w:cstheme="minorHAnsi"/>
          <w:b/>
        </w:rPr>
        <w:t xml:space="preserve"> </w:t>
      </w:r>
      <w:r w:rsidR="00174BF9" w:rsidRPr="00153204">
        <w:rPr>
          <w:rFonts w:asciiTheme="minorHAnsi" w:hAnsiTheme="minorHAnsi" w:cstheme="minorHAnsi"/>
          <w:b/>
        </w:rPr>
        <w:t xml:space="preserve">                                            </w:t>
      </w:r>
      <w:r w:rsidRPr="00153204">
        <w:rPr>
          <w:rFonts w:asciiTheme="minorHAnsi" w:hAnsiTheme="minorHAnsi" w:cstheme="minorHAnsi"/>
          <w:b/>
        </w:rPr>
        <w:t xml:space="preserve"> </w:t>
      </w:r>
      <w:r w:rsidR="009D2B56" w:rsidRPr="00153204">
        <w:rPr>
          <w:rFonts w:asciiTheme="minorHAnsi" w:hAnsiTheme="minorHAnsi" w:cstheme="minorHAnsi"/>
          <w:b/>
        </w:rPr>
        <w:t>Table-1</w:t>
      </w:r>
      <w:r w:rsidR="003B3A1B">
        <w:rPr>
          <w:rFonts w:asciiTheme="minorHAnsi" w:hAnsiTheme="minorHAnsi" w:cstheme="minorHAnsi"/>
          <w:b/>
        </w:rPr>
        <w:t>4</w:t>
      </w:r>
      <w:r w:rsidRPr="00153204">
        <w:rPr>
          <w:rFonts w:asciiTheme="minorHAnsi" w:hAnsiTheme="minorHAnsi" w:cstheme="minorHAnsi"/>
          <w:b/>
        </w:rPr>
        <w:t>: Recruitment Details</w:t>
      </w:r>
      <w:r w:rsidRPr="00153204">
        <w:rPr>
          <w:rFonts w:asciiTheme="minorHAnsi" w:hAnsiTheme="minorHAnsi" w:cstheme="minorHAnsi"/>
          <w:b/>
        </w:rPr>
        <w:tab/>
        <w:t xml:space="preserve">                           </w:t>
      </w:r>
      <w:proofErr w:type="gramStart"/>
      <w:r w:rsidRPr="00153204">
        <w:rPr>
          <w:rFonts w:asciiTheme="minorHAnsi" w:hAnsiTheme="minorHAnsi" w:cstheme="minorHAnsi"/>
          <w:b/>
        </w:rPr>
        <w:t xml:space="preserve">   (</w:t>
      </w:r>
      <w:proofErr w:type="gramEnd"/>
      <w:r w:rsidRPr="00153204">
        <w:rPr>
          <w:rFonts w:asciiTheme="minorHAnsi" w:hAnsiTheme="minorHAnsi" w:cstheme="minorHAnsi"/>
          <w:b/>
        </w:rPr>
        <w:t>In Nos.)</w:t>
      </w:r>
    </w:p>
    <w:tbl>
      <w:tblPr>
        <w:tblW w:w="8876" w:type="dxa"/>
        <w:tblInd w:w="704" w:type="dxa"/>
        <w:tblLook w:val="04A0" w:firstRow="1" w:lastRow="0" w:firstColumn="1" w:lastColumn="0" w:noHBand="0" w:noVBand="1"/>
      </w:tblPr>
      <w:tblGrid>
        <w:gridCol w:w="2268"/>
        <w:gridCol w:w="1985"/>
        <w:gridCol w:w="1984"/>
        <w:gridCol w:w="2639"/>
      </w:tblGrid>
      <w:tr w:rsidR="00573868" w:rsidRPr="00ED6D97" w14:paraId="6E8849A1" w14:textId="77777777" w:rsidTr="00944AAE">
        <w:trPr>
          <w:trHeight w:val="1320"/>
        </w:trPr>
        <w:tc>
          <w:tcPr>
            <w:tcW w:w="2268" w:type="dxa"/>
            <w:tcBorders>
              <w:top w:val="single" w:sz="4" w:space="0" w:color="auto"/>
              <w:left w:val="single" w:sz="4" w:space="0" w:color="auto"/>
              <w:bottom w:val="single" w:sz="4" w:space="0" w:color="auto"/>
              <w:right w:val="single" w:sz="4" w:space="0" w:color="auto"/>
            </w:tcBorders>
            <w:shd w:val="clear" w:color="auto" w:fill="95B3D7" w:themeFill="accent1" w:themeFillTint="99"/>
            <w:vAlign w:val="center"/>
            <w:hideMark/>
          </w:tcPr>
          <w:p w14:paraId="5A696160" w14:textId="77777777" w:rsidR="00573868" w:rsidRPr="00ED6D97" w:rsidRDefault="00573868">
            <w:pPr>
              <w:jc w:val="center"/>
              <w:rPr>
                <w:rFonts w:asciiTheme="minorHAnsi" w:hAnsiTheme="minorHAnsi" w:cs="Arial"/>
                <w:b/>
                <w:bCs/>
                <w:color w:val="000000"/>
                <w:sz w:val="22"/>
                <w:szCs w:val="22"/>
                <w:lang w:val="en-IN" w:eastAsia="en-IN"/>
              </w:rPr>
            </w:pPr>
            <w:r w:rsidRPr="00ED6D97">
              <w:rPr>
                <w:rFonts w:asciiTheme="minorHAnsi" w:hAnsiTheme="minorHAnsi" w:cs="Arial"/>
                <w:b/>
                <w:bCs/>
                <w:color w:val="000000"/>
                <w:sz w:val="22"/>
                <w:szCs w:val="22"/>
              </w:rPr>
              <w:t>FY</w:t>
            </w:r>
          </w:p>
        </w:tc>
        <w:tc>
          <w:tcPr>
            <w:tcW w:w="1985" w:type="dxa"/>
            <w:tcBorders>
              <w:top w:val="single" w:sz="4" w:space="0" w:color="auto"/>
              <w:left w:val="nil"/>
              <w:bottom w:val="single" w:sz="4" w:space="0" w:color="auto"/>
              <w:right w:val="single" w:sz="4" w:space="0" w:color="auto"/>
            </w:tcBorders>
            <w:shd w:val="clear" w:color="auto" w:fill="95B3D7" w:themeFill="accent1" w:themeFillTint="99"/>
            <w:vAlign w:val="center"/>
            <w:hideMark/>
          </w:tcPr>
          <w:p w14:paraId="17C975D2" w14:textId="77777777" w:rsidR="00573868" w:rsidRPr="00ED6D97" w:rsidRDefault="00573868">
            <w:pPr>
              <w:jc w:val="center"/>
              <w:rPr>
                <w:rFonts w:asciiTheme="minorHAnsi" w:hAnsiTheme="minorHAnsi" w:cs="Arial"/>
                <w:b/>
                <w:bCs/>
                <w:color w:val="000000"/>
                <w:sz w:val="22"/>
                <w:szCs w:val="22"/>
              </w:rPr>
            </w:pPr>
            <w:r w:rsidRPr="00ED6D97">
              <w:rPr>
                <w:rFonts w:asciiTheme="minorHAnsi" w:hAnsiTheme="minorHAnsi" w:cs="Arial"/>
                <w:b/>
                <w:bCs/>
                <w:color w:val="000000"/>
                <w:sz w:val="22"/>
                <w:szCs w:val="22"/>
              </w:rPr>
              <w:t>Total no. of recruitment done/planned</w:t>
            </w:r>
          </w:p>
        </w:tc>
        <w:tc>
          <w:tcPr>
            <w:tcW w:w="1984" w:type="dxa"/>
            <w:tcBorders>
              <w:top w:val="single" w:sz="4" w:space="0" w:color="auto"/>
              <w:left w:val="nil"/>
              <w:bottom w:val="single" w:sz="4" w:space="0" w:color="auto"/>
              <w:right w:val="single" w:sz="4" w:space="0" w:color="auto"/>
            </w:tcBorders>
            <w:shd w:val="clear" w:color="auto" w:fill="95B3D7" w:themeFill="accent1" w:themeFillTint="99"/>
            <w:vAlign w:val="center"/>
            <w:hideMark/>
          </w:tcPr>
          <w:p w14:paraId="26B9B9E1" w14:textId="77777777" w:rsidR="00573868" w:rsidRPr="00ED6D97" w:rsidRDefault="00573868">
            <w:pPr>
              <w:jc w:val="center"/>
              <w:rPr>
                <w:rFonts w:asciiTheme="minorHAnsi" w:hAnsiTheme="minorHAnsi" w:cs="Arial"/>
                <w:b/>
                <w:bCs/>
                <w:color w:val="000000"/>
                <w:sz w:val="22"/>
                <w:szCs w:val="22"/>
              </w:rPr>
            </w:pPr>
            <w:r w:rsidRPr="00ED6D97">
              <w:rPr>
                <w:rFonts w:asciiTheme="minorHAnsi" w:hAnsiTheme="minorHAnsi" w:cs="Arial"/>
                <w:b/>
                <w:bCs/>
                <w:color w:val="000000"/>
                <w:sz w:val="22"/>
                <w:szCs w:val="22"/>
              </w:rPr>
              <w:t>No. of Trainees out of (b)</w:t>
            </w:r>
          </w:p>
        </w:tc>
        <w:tc>
          <w:tcPr>
            <w:tcW w:w="2639" w:type="dxa"/>
            <w:tcBorders>
              <w:top w:val="single" w:sz="4" w:space="0" w:color="auto"/>
              <w:left w:val="nil"/>
              <w:bottom w:val="single" w:sz="4" w:space="0" w:color="auto"/>
              <w:right w:val="single" w:sz="4" w:space="0" w:color="auto"/>
            </w:tcBorders>
            <w:shd w:val="clear" w:color="auto" w:fill="95B3D7" w:themeFill="accent1" w:themeFillTint="99"/>
            <w:vAlign w:val="center"/>
            <w:hideMark/>
          </w:tcPr>
          <w:p w14:paraId="3E1CB63E" w14:textId="77777777" w:rsidR="00573868" w:rsidRPr="00ED6D97" w:rsidRDefault="00573868">
            <w:pPr>
              <w:jc w:val="center"/>
              <w:rPr>
                <w:rFonts w:asciiTheme="minorHAnsi" w:hAnsiTheme="minorHAnsi" w:cs="Arial"/>
                <w:b/>
                <w:bCs/>
                <w:color w:val="000000"/>
                <w:sz w:val="22"/>
                <w:szCs w:val="22"/>
              </w:rPr>
            </w:pPr>
            <w:r w:rsidRPr="00ED6D97">
              <w:rPr>
                <w:rFonts w:asciiTheme="minorHAnsi" w:hAnsiTheme="minorHAnsi" w:cs="Arial"/>
                <w:b/>
                <w:bCs/>
                <w:color w:val="000000"/>
                <w:sz w:val="22"/>
                <w:szCs w:val="22"/>
              </w:rPr>
              <w:t>Percentage of trainee to total no. of recruitments</w:t>
            </w:r>
          </w:p>
        </w:tc>
      </w:tr>
      <w:tr w:rsidR="00573868" w:rsidRPr="00ED6D97" w14:paraId="5AC5C51F" w14:textId="77777777" w:rsidTr="00573868">
        <w:trPr>
          <w:trHeight w:val="300"/>
        </w:trPr>
        <w:tc>
          <w:tcPr>
            <w:tcW w:w="2268" w:type="dxa"/>
            <w:tcBorders>
              <w:top w:val="nil"/>
              <w:left w:val="single" w:sz="4" w:space="0" w:color="auto"/>
              <w:bottom w:val="single" w:sz="4" w:space="0" w:color="auto"/>
              <w:right w:val="single" w:sz="4" w:space="0" w:color="auto"/>
            </w:tcBorders>
            <w:shd w:val="clear" w:color="auto" w:fill="auto"/>
            <w:vAlign w:val="center"/>
            <w:hideMark/>
          </w:tcPr>
          <w:p w14:paraId="7D7D8EE9" w14:textId="77777777" w:rsidR="00573868" w:rsidRPr="00ED6D97" w:rsidRDefault="00573868">
            <w:pPr>
              <w:jc w:val="center"/>
              <w:rPr>
                <w:rFonts w:asciiTheme="minorHAnsi" w:hAnsiTheme="minorHAnsi" w:cs="Arial"/>
                <w:b/>
                <w:bCs/>
                <w:color w:val="000000"/>
                <w:sz w:val="22"/>
                <w:szCs w:val="22"/>
              </w:rPr>
            </w:pPr>
            <w:r w:rsidRPr="00ED6D97">
              <w:rPr>
                <w:rFonts w:asciiTheme="minorHAnsi" w:hAnsiTheme="minorHAnsi" w:cs="Arial"/>
                <w:b/>
                <w:bCs/>
                <w:color w:val="000000"/>
                <w:sz w:val="22"/>
                <w:szCs w:val="22"/>
              </w:rPr>
              <w:t>(a)</w:t>
            </w:r>
          </w:p>
        </w:tc>
        <w:tc>
          <w:tcPr>
            <w:tcW w:w="1985" w:type="dxa"/>
            <w:tcBorders>
              <w:top w:val="nil"/>
              <w:left w:val="nil"/>
              <w:bottom w:val="single" w:sz="4" w:space="0" w:color="auto"/>
              <w:right w:val="single" w:sz="4" w:space="0" w:color="auto"/>
            </w:tcBorders>
            <w:shd w:val="clear" w:color="auto" w:fill="auto"/>
            <w:vAlign w:val="center"/>
            <w:hideMark/>
          </w:tcPr>
          <w:p w14:paraId="54E0705D" w14:textId="77777777" w:rsidR="00573868" w:rsidRPr="00ED6D97" w:rsidRDefault="00573868">
            <w:pPr>
              <w:jc w:val="center"/>
              <w:rPr>
                <w:rFonts w:asciiTheme="minorHAnsi" w:hAnsiTheme="minorHAnsi" w:cs="Arial"/>
                <w:b/>
                <w:bCs/>
                <w:color w:val="000000"/>
                <w:sz w:val="22"/>
                <w:szCs w:val="22"/>
              </w:rPr>
            </w:pPr>
            <w:r w:rsidRPr="00ED6D97">
              <w:rPr>
                <w:rFonts w:asciiTheme="minorHAnsi" w:hAnsiTheme="minorHAnsi" w:cs="Arial"/>
                <w:b/>
                <w:bCs/>
                <w:color w:val="000000"/>
                <w:sz w:val="22"/>
                <w:szCs w:val="22"/>
              </w:rPr>
              <w:t>(b)</w:t>
            </w:r>
          </w:p>
        </w:tc>
        <w:tc>
          <w:tcPr>
            <w:tcW w:w="1984" w:type="dxa"/>
            <w:tcBorders>
              <w:top w:val="nil"/>
              <w:left w:val="nil"/>
              <w:bottom w:val="single" w:sz="4" w:space="0" w:color="auto"/>
              <w:right w:val="single" w:sz="4" w:space="0" w:color="auto"/>
            </w:tcBorders>
            <w:shd w:val="clear" w:color="auto" w:fill="auto"/>
            <w:vAlign w:val="center"/>
            <w:hideMark/>
          </w:tcPr>
          <w:p w14:paraId="41437308" w14:textId="77777777" w:rsidR="00573868" w:rsidRPr="00ED6D97" w:rsidRDefault="00573868">
            <w:pPr>
              <w:jc w:val="center"/>
              <w:rPr>
                <w:rFonts w:asciiTheme="minorHAnsi" w:hAnsiTheme="minorHAnsi" w:cs="Arial"/>
                <w:b/>
                <w:bCs/>
                <w:color w:val="000000"/>
                <w:sz w:val="22"/>
                <w:szCs w:val="22"/>
              </w:rPr>
            </w:pPr>
            <w:r w:rsidRPr="00ED6D97">
              <w:rPr>
                <w:rFonts w:asciiTheme="minorHAnsi" w:hAnsiTheme="minorHAnsi" w:cs="Arial"/>
                <w:b/>
                <w:bCs/>
                <w:color w:val="000000"/>
                <w:sz w:val="22"/>
                <w:szCs w:val="22"/>
              </w:rPr>
              <w:t>(c)</w:t>
            </w:r>
          </w:p>
        </w:tc>
        <w:tc>
          <w:tcPr>
            <w:tcW w:w="2639" w:type="dxa"/>
            <w:tcBorders>
              <w:top w:val="nil"/>
              <w:left w:val="nil"/>
              <w:bottom w:val="single" w:sz="4" w:space="0" w:color="auto"/>
              <w:right w:val="single" w:sz="4" w:space="0" w:color="auto"/>
            </w:tcBorders>
            <w:shd w:val="clear" w:color="auto" w:fill="auto"/>
            <w:vAlign w:val="center"/>
            <w:hideMark/>
          </w:tcPr>
          <w:p w14:paraId="53A0CC2D" w14:textId="77777777" w:rsidR="00573868" w:rsidRPr="00ED6D97" w:rsidRDefault="00573868">
            <w:pPr>
              <w:jc w:val="center"/>
              <w:rPr>
                <w:rFonts w:asciiTheme="minorHAnsi" w:hAnsiTheme="minorHAnsi" w:cs="Arial"/>
                <w:b/>
                <w:bCs/>
                <w:color w:val="000000"/>
                <w:sz w:val="22"/>
                <w:szCs w:val="22"/>
              </w:rPr>
            </w:pPr>
            <w:r w:rsidRPr="00ED6D97">
              <w:rPr>
                <w:rFonts w:asciiTheme="minorHAnsi" w:hAnsiTheme="minorHAnsi" w:cs="Arial"/>
                <w:b/>
                <w:bCs/>
                <w:color w:val="000000"/>
                <w:sz w:val="22"/>
                <w:szCs w:val="22"/>
              </w:rPr>
              <w:t>(d)</w:t>
            </w:r>
          </w:p>
        </w:tc>
      </w:tr>
      <w:tr w:rsidR="00573868" w:rsidRPr="00ED6D97" w14:paraId="17E48031" w14:textId="77777777" w:rsidTr="00573868">
        <w:trPr>
          <w:trHeight w:val="300"/>
        </w:trPr>
        <w:tc>
          <w:tcPr>
            <w:tcW w:w="2268" w:type="dxa"/>
            <w:tcBorders>
              <w:top w:val="nil"/>
              <w:left w:val="single" w:sz="4" w:space="0" w:color="auto"/>
              <w:bottom w:val="single" w:sz="4" w:space="0" w:color="auto"/>
              <w:right w:val="single" w:sz="4" w:space="0" w:color="auto"/>
            </w:tcBorders>
            <w:shd w:val="clear" w:color="auto" w:fill="auto"/>
            <w:vAlign w:val="center"/>
            <w:hideMark/>
          </w:tcPr>
          <w:p w14:paraId="702809E1" w14:textId="77777777" w:rsidR="00573868" w:rsidRPr="00ED6D97" w:rsidRDefault="00573868">
            <w:pPr>
              <w:jc w:val="center"/>
              <w:rPr>
                <w:rFonts w:asciiTheme="minorHAnsi" w:hAnsiTheme="minorHAnsi" w:cs="Arial"/>
                <w:b/>
                <w:bCs/>
                <w:color w:val="000000"/>
                <w:sz w:val="22"/>
                <w:szCs w:val="22"/>
              </w:rPr>
            </w:pPr>
            <w:r w:rsidRPr="00ED6D97">
              <w:rPr>
                <w:rFonts w:asciiTheme="minorHAnsi" w:hAnsiTheme="minorHAnsi" w:cs="Arial"/>
                <w:b/>
                <w:bCs/>
                <w:color w:val="000000"/>
                <w:sz w:val="22"/>
                <w:szCs w:val="22"/>
              </w:rPr>
              <w:t>2021-22</w:t>
            </w:r>
          </w:p>
        </w:tc>
        <w:tc>
          <w:tcPr>
            <w:tcW w:w="1985" w:type="dxa"/>
            <w:tcBorders>
              <w:top w:val="nil"/>
              <w:left w:val="nil"/>
              <w:bottom w:val="single" w:sz="4" w:space="0" w:color="auto"/>
              <w:right w:val="single" w:sz="4" w:space="0" w:color="auto"/>
            </w:tcBorders>
            <w:shd w:val="clear" w:color="auto" w:fill="auto"/>
            <w:vAlign w:val="center"/>
            <w:hideMark/>
          </w:tcPr>
          <w:p w14:paraId="4B0FF1DA" w14:textId="3334D15D" w:rsidR="00573868" w:rsidRPr="00ED6D97" w:rsidRDefault="0018027F">
            <w:pPr>
              <w:jc w:val="center"/>
              <w:rPr>
                <w:rFonts w:asciiTheme="minorHAnsi" w:hAnsiTheme="minorHAnsi" w:cs="Arial"/>
                <w:color w:val="000000"/>
                <w:sz w:val="22"/>
                <w:szCs w:val="22"/>
              </w:rPr>
            </w:pPr>
            <w:r>
              <w:rPr>
                <w:rFonts w:asciiTheme="minorHAnsi" w:hAnsiTheme="minorHAnsi" w:cs="Arial"/>
                <w:color w:val="000000"/>
                <w:sz w:val="22"/>
                <w:szCs w:val="22"/>
              </w:rPr>
              <w:t>474</w:t>
            </w:r>
          </w:p>
        </w:tc>
        <w:tc>
          <w:tcPr>
            <w:tcW w:w="1984" w:type="dxa"/>
            <w:tcBorders>
              <w:top w:val="nil"/>
              <w:left w:val="nil"/>
              <w:bottom w:val="single" w:sz="4" w:space="0" w:color="auto"/>
              <w:right w:val="single" w:sz="4" w:space="0" w:color="auto"/>
            </w:tcBorders>
            <w:shd w:val="clear" w:color="auto" w:fill="auto"/>
            <w:vAlign w:val="center"/>
            <w:hideMark/>
          </w:tcPr>
          <w:p w14:paraId="3DBE0E70" w14:textId="77777777" w:rsidR="00573868" w:rsidRPr="00ED6D97" w:rsidRDefault="00573868">
            <w:pPr>
              <w:jc w:val="center"/>
              <w:rPr>
                <w:rFonts w:asciiTheme="minorHAnsi" w:hAnsiTheme="minorHAnsi" w:cs="Arial"/>
                <w:color w:val="000000"/>
                <w:sz w:val="22"/>
                <w:szCs w:val="22"/>
              </w:rPr>
            </w:pPr>
            <w:r w:rsidRPr="00ED6D97">
              <w:rPr>
                <w:rFonts w:asciiTheme="minorHAnsi" w:hAnsiTheme="minorHAnsi" w:cs="Arial"/>
                <w:color w:val="000000"/>
                <w:sz w:val="22"/>
                <w:szCs w:val="22"/>
              </w:rPr>
              <w:t>162</w:t>
            </w:r>
          </w:p>
        </w:tc>
        <w:tc>
          <w:tcPr>
            <w:tcW w:w="2639" w:type="dxa"/>
            <w:tcBorders>
              <w:top w:val="nil"/>
              <w:left w:val="nil"/>
              <w:bottom w:val="single" w:sz="4" w:space="0" w:color="auto"/>
              <w:right w:val="single" w:sz="4" w:space="0" w:color="auto"/>
            </w:tcBorders>
            <w:shd w:val="clear" w:color="auto" w:fill="auto"/>
            <w:vAlign w:val="center"/>
            <w:hideMark/>
          </w:tcPr>
          <w:p w14:paraId="3F3CBB26" w14:textId="0E1959B5" w:rsidR="00573868" w:rsidRPr="00ED6D97" w:rsidRDefault="00573868">
            <w:pPr>
              <w:jc w:val="center"/>
              <w:rPr>
                <w:rFonts w:asciiTheme="minorHAnsi" w:hAnsiTheme="minorHAnsi" w:cs="Arial"/>
                <w:color w:val="000000"/>
                <w:sz w:val="22"/>
                <w:szCs w:val="22"/>
              </w:rPr>
            </w:pPr>
            <w:r w:rsidRPr="00ED6D97">
              <w:rPr>
                <w:rFonts w:asciiTheme="minorHAnsi" w:hAnsiTheme="minorHAnsi" w:cs="Arial"/>
                <w:color w:val="000000"/>
                <w:sz w:val="22"/>
                <w:szCs w:val="22"/>
              </w:rPr>
              <w:t>3</w:t>
            </w:r>
            <w:r w:rsidR="0018027F">
              <w:rPr>
                <w:rFonts w:asciiTheme="minorHAnsi" w:hAnsiTheme="minorHAnsi" w:cs="Arial"/>
                <w:color w:val="000000"/>
                <w:sz w:val="22"/>
                <w:szCs w:val="22"/>
              </w:rPr>
              <w:t>4</w:t>
            </w:r>
            <w:r w:rsidRPr="00ED6D97">
              <w:rPr>
                <w:rFonts w:asciiTheme="minorHAnsi" w:hAnsiTheme="minorHAnsi" w:cs="Arial"/>
                <w:color w:val="000000"/>
                <w:sz w:val="22"/>
                <w:szCs w:val="22"/>
              </w:rPr>
              <w:t>%</w:t>
            </w:r>
          </w:p>
        </w:tc>
      </w:tr>
      <w:tr w:rsidR="00573868" w:rsidRPr="00ED6D97" w14:paraId="74A802D5" w14:textId="77777777" w:rsidTr="00573868">
        <w:trPr>
          <w:trHeight w:val="300"/>
        </w:trPr>
        <w:tc>
          <w:tcPr>
            <w:tcW w:w="2268" w:type="dxa"/>
            <w:tcBorders>
              <w:top w:val="nil"/>
              <w:left w:val="single" w:sz="4" w:space="0" w:color="auto"/>
              <w:bottom w:val="single" w:sz="4" w:space="0" w:color="auto"/>
              <w:right w:val="single" w:sz="4" w:space="0" w:color="auto"/>
            </w:tcBorders>
            <w:shd w:val="clear" w:color="auto" w:fill="auto"/>
            <w:vAlign w:val="center"/>
            <w:hideMark/>
          </w:tcPr>
          <w:p w14:paraId="3416940B" w14:textId="77777777" w:rsidR="00573868" w:rsidRPr="00ED6D97" w:rsidRDefault="00573868">
            <w:pPr>
              <w:jc w:val="center"/>
              <w:rPr>
                <w:rFonts w:asciiTheme="minorHAnsi" w:hAnsiTheme="minorHAnsi" w:cs="Arial"/>
                <w:b/>
                <w:bCs/>
                <w:color w:val="000000"/>
                <w:sz w:val="22"/>
                <w:szCs w:val="22"/>
              </w:rPr>
            </w:pPr>
            <w:r w:rsidRPr="00ED6D97">
              <w:rPr>
                <w:rFonts w:asciiTheme="minorHAnsi" w:hAnsiTheme="minorHAnsi" w:cs="Arial"/>
                <w:b/>
                <w:bCs/>
                <w:color w:val="000000"/>
                <w:sz w:val="22"/>
                <w:szCs w:val="22"/>
              </w:rPr>
              <w:t>2022-23</w:t>
            </w:r>
          </w:p>
        </w:tc>
        <w:tc>
          <w:tcPr>
            <w:tcW w:w="1985" w:type="dxa"/>
            <w:tcBorders>
              <w:top w:val="nil"/>
              <w:left w:val="nil"/>
              <w:bottom w:val="single" w:sz="4" w:space="0" w:color="auto"/>
              <w:right w:val="single" w:sz="4" w:space="0" w:color="auto"/>
            </w:tcBorders>
            <w:shd w:val="clear" w:color="auto" w:fill="auto"/>
            <w:vAlign w:val="center"/>
            <w:hideMark/>
          </w:tcPr>
          <w:p w14:paraId="613A4555" w14:textId="77777777" w:rsidR="00573868" w:rsidRPr="00ED6D97" w:rsidRDefault="00573868">
            <w:pPr>
              <w:jc w:val="center"/>
              <w:rPr>
                <w:rFonts w:asciiTheme="minorHAnsi" w:hAnsiTheme="minorHAnsi" w:cs="Arial"/>
                <w:color w:val="000000"/>
                <w:sz w:val="22"/>
                <w:szCs w:val="22"/>
              </w:rPr>
            </w:pPr>
            <w:r w:rsidRPr="00ED6D97">
              <w:rPr>
                <w:rFonts w:asciiTheme="minorHAnsi" w:hAnsiTheme="minorHAnsi" w:cs="Arial"/>
                <w:color w:val="000000"/>
                <w:sz w:val="22"/>
                <w:szCs w:val="22"/>
              </w:rPr>
              <w:t>518</w:t>
            </w:r>
          </w:p>
        </w:tc>
        <w:tc>
          <w:tcPr>
            <w:tcW w:w="1984" w:type="dxa"/>
            <w:tcBorders>
              <w:top w:val="nil"/>
              <w:left w:val="nil"/>
              <w:bottom w:val="single" w:sz="4" w:space="0" w:color="auto"/>
              <w:right w:val="single" w:sz="4" w:space="0" w:color="auto"/>
            </w:tcBorders>
            <w:shd w:val="clear" w:color="auto" w:fill="auto"/>
            <w:vAlign w:val="center"/>
            <w:hideMark/>
          </w:tcPr>
          <w:p w14:paraId="1382B7D5" w14:textId="77777777" w:rsidR="00573868" w:rsidRPr="00ED6D97" w:rsidRDefault="00573868">
            <w:pPr>
              <w:jc w:val="center"/>
              <w:rPr>
                <w:rFonts w:asciiTheme="minorHAnsi" w:hAnsiTheme="minorHAnsi" w:cs="Arial"/>
                <w:color w:val="000000"/>
                <w:sz w:val="22"/>
                <w:szCs w:val="22"/>
              </w:rPr>
            </w:pPr>
            <w:r w:rsidRPr="00ED6D97">
              <w:rPr>
                <w:rFonts w:asciiTheme="minorHAnsi" w:hAnsiTheme="minorHAnsi" w:cs="Arial"/>
                <w:color w:val="000000"/>
                <w:sz w:val="22"/>
                <w:szCs w:val="22"/>
              </w:rPr>
              <w:t>215</w:t>
            </w:r>
          </w:p>
        </w:tc>
        <w:tc>
          <w:tcPr>
            <w:tcW w:w="2639" w:type="dxa"/>
            <w:tcBorders>
              <w:top w:val="nil"/>
              <w:left w:val="nil"/>
              <w:bottom w:val="single" w:sz="4" w:space="0" w:color="auto"/>
              <w:right w:val="single" w:sz="4" w:space="0" w:color="auto"/>
            </w:tcBorders>
            <w:shd w:val="clear" w:color="auto" w:fill="auto"/>
            <w:vAlign w:val="center"/>
            <w:hideMark/>
          </w:tcPr>
          <w:p w14:paraId="18D313B7" w14:textId="77777777" w:rsidR="00573868" w:rsidRPr="00ED6D97" w:rsidRDefault="00573868">
            <w:pPr>
              <w:jc w:val="center"/>
              <w:rPr>
                <w:rFonts w:asciiTheme="minorHAnsi" w:hAnsiTheme="minorHAnsi" w:cs="Arial"/>
                <w:color w:val="000000"/>
                <w:sz w:val="22"/>
                <w:szCs w:val="22"/>
              </w:rPr>
            </w:pPr>
            <w:r w:rsidRPr="00ED6D97">
              <w:rPr>
                <w:rFonts w:asciiTheme="minorHAnsi" w:hAnsiTheme="minorHAnsi" w:cs="Arial"/>
                <w:color w:val="000000"/>
                <w:sz w:val="22"/>
                <w:szCs w:val="22"/>
              </w:rPr>
              <w:t>42%</w:t>
            </w:r>
          </w:p>
        </w:tc>
      </w:tr>
      <w:tr w:rsidR="00573868" w:rsidRPr="00ED6D97" w14:paraId="1526AC10" w14:textId="77777777" w:rsidTr="00573868">
        <w:trPr>
          <w:trHeight w:val="300"/>
        </w:trPr>
        <w:tc>
          <w:tcPr>
            <w:tcW w:w="2268" w:type="dxa"/>
            <w:tcBorders>
              <w:top w:val="nil"/>
              <w:left w:val="single" w:sz="4" w:space="0" w:color="auto"/>
              <w:bottom w:val="single" w:sz="4" w:space="0" w:color="auto"/>
              <w:right w:val="single" w:sz="4" w:space="0" w:color="auto"/>
            </w:tcBorders>
            <w:shd w:val="clear" w:color="auto" w:fill="auto"/>
            <w:vAlign w:val="center"/>
            <w:hideMark/>
          </w:tcPr>
          <w:p w14:paraId="6C819DC9" w14:textId="77777777" w:rsidR="00573868" w:rsidRPr="00ED6D97" w:rsidRDefault="00573868">
            <w:pPr>
              <w:jc w:val="center"/>
              <w:rPr>
                <w:rFonts w:asciiTheme="minorHAnsi" w:hAnsiTheme="minorHAnsi" w:cs="Arial"/>
                <w:b/>
                <w:bCs/>
                <w:color w:val="000000"/>
                <w:sz w:val="22"/>
                <w:szCs w:val="22"/>
              </w:rPr>
            </w:pPr>
            <w:r w:rsidRPr="00ED6D97">
              <w:rPr>
                <w:rFonts w:asciiTheme="minorHAnsi" w:hAnsiTheme="minorHAnsi" w:cs="Arial"/>
                <w:b/>
                <w:bCs/>
                <w:color w:val="000000"/>
                <w:sz w:val="22"/>
                <w:szCs w:val="22"/>
              </w:rPr>
              <w:t>2023-24</w:t>
            </w:r>
          </w:p>
        </w:tc>
        <w:tc>
          <w:tcPr>
            <w:tcW w:w="1985" w:type="dxa"/>
            <w:tcBorders>
              <w:top w:val="nil"/>
              <w:left w:val="nil"/>
              <w:bottom w:val="single" w:sz="4" w:space="0" w:color="auto"/>
              <w:right w:val="single" w:sz="4" w:space="0" w:color="auto"/>
            </w:tcBorders>
            <w:shd w:val="clear" w:color="auto" w:fill="auto"/>
            <w:vAlign w:val="center"/>
            <w:hideMark/>
          </w:tcPr>
          <w:p w14:paraId="438F2453" w14:textId="77777777" w:rsidR="00573868" w:rsidRPr="00ED6D97" w:rsidRDefault="00573868">
            <w:pPr>
              <w:jc w:val="center"/>
              <w:rPr>
                <w:rFonts w:asciiTheme="minorHAnsi" w:hAnsiTheme="minorHAnsi" w:cs="Arial"/>
                <w:color w:val="000000"/>
                <w:sz w:val="22"/>
                <w:szCs w:val="22"/>
              </w:rPr>
            </w:pPr>
            <w:r w:rsidRPr="00ED6D97">
              <w:rPr>
                <w:rFonts w:asciiTheme="minorHAnsi" w:hAnsiTheme="minorHAnsi" w:cs="Arial"/>
                <w:color w:val="000000"/>
                <w:sz w:val="22"/>
                <w:szCs w:val="22"/>
              </w:rPr>
              <w:t>141</w:t>
            </w:r>
          </w:p>
        </w:tc>
        <w:tc>
          <w:tcPr>
            <w:tcW w:w="1984" w:type="dxa"/>
            <w:tcBorders>
              <w:top w:val="nil"/>
              <w:left w:val="nil"/>
              <w:bottom w:val="single" w:sz="4" w:space="0" w:color="auto"/>
              <w:right w:val="single" w:sz="4" w:space="0" w:color="auto"/>
            </w:tcBorders>
            <w:shd w:val="clear" w:color="auto" w:fill="auto"/>
            <w:vAlign w:val="center"/>
            <w:hideMark/>
          </w:tcPr>
          <w:p w14:paraId="65716B2D" w14:textId="77777777" w:rsidR="00573868" w:rsidRPr="00ED6D97" w:rsidRDefault="00573868">
            <w:pPr>
              <w:jc w:val="center"/>
              <w:rPr>
                <w:rFonts w:asciiTheme="minorHAnsi" w:hAnsiTheme="minorHAnsi" w:cs="Arial"/>
                <w:color w:val="000000"/>
                <w:sz w:val="22"/>
                <w:szCs w:val="22"/>
              </w:rPr>
            </w:pPr>
            <w:r w:rsidRPr="00ED6D97">
              <w:rPr>
                <w:rFonts w:asciiTheme="minorHAnsi" w:hAnsiTheme="minorHAnsi" w:cs="Arial"/>
                <w:color w:val="000000"/>
                <w:sz w:val="22"/>
                <w:szCs w:val="22"/>
              </w:rPr>
              <w:t>97</w:t>
            </w:r>
          </w:p>
        </w:tc>
        <w:tc>
          <w:tcPr>
            <w:tcW w:w="2639" w:type="dxa"/>
            <w:tcBorders>
              <w:top w:val="nil"/>
              <w:left w:val="nil"/>
              <w:bottom w:val="single" w:sz="4" w:space="0" w:color="auto"/>
              <w:right w:val="single" w:sz="4" w:space="0" w:color="auto"/>
            </w:tcBorders>
            <w:shd w:val="clear" w:color="auto" w:fill="auto"/>
            <w:vAlign w:val="center"/>
            <w:hideMark/>
          </w:tcPr>
          <w:p w14:paraId="4B29942F" w14:textId="77777777" w:rsidR="00573868" w:rsidRPr="00ED6D97" w:rsidRDefault="00573868">
            <w:pPr>
              <w:jc w:val="center"/>
              <w:rPr>
                <w:rFonts w:asciiTheme="minorHAnsi" w:hAnsiTheme="minorHAnsi" w:cs="Arial"/>
                <w:color w:val="000000"/>
                <w:sz w:val="22"/>
                <w:szCs w:val="22"/>
              </w:rPr>
            </w:pPr>
            <w:r w:rsidRPr="00ED6D97">
              <w:rPr>
                <w:rFonts w:asciiTheme="minorHAnsi" w:hAnsiTheme="minorHAnsi" w:cs="Arial"/>
                <w:color w:val="000000"/>
                <w:sz w:val="22"/>
                <w:szCs w:val="22"/>
              </w:rPr>
              <w:t>69%</w:t>
            </w:r>
          </w:p>
        </w:tc>
      </w:tr>
    </w:tbl>
    <w:p w14:paraId="606DC850" w14:textId="77777777" w:rsidR="006E4B90" w:rsidRPr="00153204" w:rsidRDefault="006E4B90" w:rsidP="006E4B90">
      <w:pPr>
        <w:tabs>
          <w:tab w:val="left" w:pos="426"/>
        </w:tabs>
        <w:spacing w:line="360" w:lineRule="auto"/>
        <w:ind w:left="567" w:right="-23"/>
        <w:jc w:val="both"/>
        <w:rPr>
          <w:rFonts w:asciiTheme="minorHAnsi" w:hAnsiTheme="minorHAnsi" w:cstheme="minorHAnsi"/>
          <w:b/>
          <w:sz w:val="22"/>
          <w:szCs w:val="22"/>
        </w:rPr>
      </w:pPr>
    </w:p>
    <w:p w14:paraId="6EAA9228" w14:textId="619D2D34" w:rsidR="006E4B90" w:rsidRPr="00153204" w:rsidRDefault="006E4B90" w:rsidP="00AB536C">
      <w:pPr>
        <w:pStyle w:val="ListParagraph"/>
        <w:numPr>
          <w:ilvl w:val="0"/>
          <w:numId w:val="18"/>
        </w:numPr>
        <w:tabs>
          <w:tab w:val="left" w:pos="426"/>
        </w:tabs>
        <w:spacing w:line="360" w:lineRule="auto"/>
        <w:ind w:right="-23" w:hanging="578"/>
        <w:jc w:val="both"/>
        <w:rPr>
          <w:rFonts w:asciiTheme="minorHAnsi" w:hAnsiTheme="minorHAnsi" w:cstheme="minorHAnsi"/>
        </w:rPr>
      </w:pPr>
      <w:r w:rsidRPr="00153204">
        <w:rPr>
          <w:rFonts w:asciiTheme="minorHAnsi" w:hAnsiTheme="minorHAnsi" w:cstheme="minorHAnsi"/>
        </w:rPr>
        <w:t xml:space="preserve">The average salary of new </w:t>
      </w:r>
      <w:proofErr w:type="spellStart"/>
      <w:r w:rsidRPr="00153204">
        <w:rPr>
          <w:rFonts w:asciiTheme="minorHAnsi" w:hAnsiTheme="minorHAnsi" w:cstheme="minorHAnsi"/>
        </w:rPr>
        <w:t>joinees</w:t>
      </w:r>
      <w:proofErr w:type="spellEnd"/>
      <w:r w:rsidRPr="00153204">
        <w:rPr>
          <w:rFonts w:asciiTheme="minorHAnsi" w:hAnsiTheme="minorHAnsi" w:cstheme="minorHAnsi"/>
        </w:rPr>
        <w:t xml:space="preserve"> in executive cadre is around </w:t>
      </w:r>
      <w:r w:rsidR="006A7BDF">
        <w:rPr>
          <w:rFonts w:asciiTheme="minorHAnsi" w:hAnsiTheme="minorHAnsi" w:cstheme="minorHAnsi"/>
        </w:rPr>
        <w:t>seventy-four</w:t>
      </w:r>
      <w:r w:rsidRPr="00153204">
        <w:rPr>
          <w:rFonts w:asciiTheme="minorHAnsi" w:hAnsiTheme="minorHAnsi" w:cstheme="minorHAnsi"/>
        </w:rPr>
        <w:t xml:space="preserve"> thousand. The average salary of trainees is around </w:t>
      </w:r>
      <w:r w:rsidR="006A7BDF">
        <w:rPr>
          <w:rFonts w:asciiTheme="minorHAnsi" w:hAnsiTheme="minorHAnsi" w:cstheme="minorHAnsi"/>
        </w:rPr>
        <w:t>twenty-four</w:t>
      </w:r>
      <w:r w:rsidRPr="00153204">
        <w:rPr>
          <w:rFonts w:asciiTheme="minorHAnsi" w:hAnsiTheme="minorHAnsi" w:cstheme="minorHAnsi"/>
        </w:rPr>
        <w:t xml:space="preserve"> thousand. The licensee has tried to optimize the no. of employees vis-à-vis employee cost by inducting </w:t>
      </w:r>
      <w:proofErr w:type="gramStart"/>
      <w:r w:rsidRPr="00153204">
        <w:rPr>
          <w:rFonts w:asciiTheme="minorHAnsi" w:hAnsiTheme="minorHAnsi" w:cstheme="minorHAnsi"/>
        </w:rPr>
        <w:t>more</w:t>
      </w:r>
      <w:proofErr w:type="gramEnd"/>
      <w:r w:rsidRPr="00153204">
        <w:rPr>
          <w:rFonts w:asciiTheme="minorHAnsi" w:hAnsiTheme="minorHAnsi" w:cstheme="minorHAnsi"/>
        </w:rPr>
        <w:t xml:space="preserve"> number of Trainees.  </w:t>
      </w:r>
    </w:p>
    <w:p w14:paraId="20B5F45B" w14:textId="65DC1E3F" w:rsidR="006E4B90" w:rsidRDefault="00174BF9" w:rsidP="006E4B90">
      <w:pPr>
        <w:tabs>
          <w:tab w:val="left" w:pos="426"/>
        </w:tabs>
        <w:spacing w:line="360" w:lineRule="auto"/>
        <w:ind w:left="567" w:right="-23"/>
        <w:jc w:val="both"/>
        <w:rPr>
          <w:rFonts w:asciiTheme="minorHAnsi" w:hAnsiTheme="minorHAnsi" w:cstheme="minorHAnsi"/>
          <w:sz w:val="22"/>
          <w:szCs w:val="22"/>
        </w:rPr>
      </w:pPr>
      <w:r w:rsidRPr="00153204">
        <w:rPr>
          <w:rFonts w:asciiTheme="minorHAnsi" w:hAnsiTheme="minorHAnsi" w:cstheme="minorHAnsi"/>
          <w:sz w:val="22"/>
          <w:szCs w:val="22"/>
        </w:rPr>
        <w:tab/>
        <w:t xml:space="preserve">           </w:t>
      </w:r>
      <w:r w:rsidR="006E4B90" w:rsidRPr="00153204">
        <w:rPr>
          <w:rFonts w:asciiTheme="minorHAnsi" w:hAnsiTheme="minorHAnsi" w:cstheme="minorHAnsi"/>
          <w:sz w:val="22"/>
          <w:szCs w:val="22"/>
        </w:rPr>
        <w:t>An estimation of cost optimization is depicted in the following table.</w:t>
      </w:r>
    </w:p>
    <w:p w14:paraId="4881487A" w14:textId="77777777" w:rsidR="006A7BDF" w:rsidRPr="00153204" w:rsidRDefault="006A7BDF" w:rsidP="006E4B90">
      <w:pPr>
        <w:tabs>
          <w:tab w:val="left" w:pos="426"/>
        </w:tabs>
        <w:spacing w:line="360" w:lineRule="auto"/>
        <w:ind w:left="567" w:right="-23"/>
        <w:jc w:val="both"/>
        <w:rPr>
          <w:rFonts w:asciiTheme="minorHAnsi" w:hAnsiTheme="minorHAnsi" w:cstheme="minorHAnsi"/>
          <w:sz w:val="22"/>
          <w:szCs w:val="22"/>
        </w:rPr>
      </w:pPr>
    </w:p>
    <w:p w14:paraId="6EAA9217" w14:textId="3BB4F66F" w:rsidR="006E4B90" w:rsidRPr="00153204" w:rsidRDefault="009D2B56" w:rsidP="006E4B90">
      <w:pPr>
        <w:tabs>
          <w:tab w:val="left" w:pos="426"/>
        </w:tabs>
        <w:spacing w:line="360" w:lineRule="auto"/>
        <w:ind w:left="567" w:right="-23"/>
        <w:jc w:val="center"/>
        <w:rPr>
          <w:rFonts w:asciiTheme="minorHAnsi" w:hAnsiTheme="minorHAnsi" w:cstheme="minorHAnsi"/>
          <w:b/>
          <w:sz w:val="22"/>
          <w:szCs w:val="22"/>
        </w:rPr>
      </w:pPr>
      <w:r w:rsidRPr="00153204">
        <w:rPr>
          <w:rFonts w:asciiTheme="minorHAnsi" w:hAnsiTheme="minorHAnsi" w:cstheme="minorHAnsi"/>
          <w:b/>
          <w:sz w:val="22"/>
          <w:szCs w:val="22"/>
        </w:rPr>
        <w:lastRenderedPageBreak/>
        <w:t xml:space="preserve">                             Table-1</w:t>
      </w:r>
      <w:r w:rsidR="003B3A1B">
        <w:rPr>
          <w:rFonts w:asciiTheme="minorHAnsi" w:hAnsiTheme="minorHAnsi" w:cstheme="minorHAnsi"/>
          <w:b/>
          <w:sz w:val="22"/>
          <w:szCs w:val="22"/>
        </w:rPr>
        <w:t>5</w:t>
      </w:r>
      <w:r w:rsidR="006E4B90" w:rsidRPr="00153204">
        <w:rPr>
          <w:rFonts w:asciiTheme="minorHAnsi" w:hAnsiTheme="minorHAnsi" w:cstheme="minorHAnsi"/>
          <w:b/>
          <w:sz w:val="22"/>
          <w:szCs w:val="22"/>
        </w:rPr>
        <w:t>:  Employee Cost Optimization</w:t>
      </w:r>
      <w:r w:rsidRPr="00153204">
        <w:rPr>
          <w:rFonts w:asciiTheme="minorHAnsi" w:hAnsiTheme="minorHAnsi" w:cstheme="minorHAnsi"/>
          <w:b/>
          <w:sz w:val="22"/>
          <w:szCs w:val="22"/>
        </w:rPr>
        <w:t xml:space="preserve">                    </w:t>
      </w:r>
      <w:proofErr w:type="gramStart"/>
      <w:r w:rsidRPr="00153204">
        <w:rPr>
          <w:rFonts w:asciiTheme="minorHAnsi" w:hAnsiTheme="minorHAnsi" w:cstheme="minorHAnsi"/>
          <w:b/>
          <w:sz w:val="22"/>
          <w:szCs w:val="22"/>
        </w:rPr>
        <w:t xml:space="preserve">   (</w:t>
      </w:r>
      <w:proofErr w:type="gramEnd"/>
      <w:r w:rsidRPr="00153204">
        <w:rPr>
          <w:rFonts w:asciiTheme="minorHAnsi" w:hAnsiTheme="minorHAnsi" w:cstheme="minorHAnsi"/>
          <w:b/>
          <w:sz w:val="22"/>
          <w:szCs w:val="22"/>
        </w:rPr>
        <w:t>Rs. In Lakhs)</w:t>
      </w:r>
    </w:p>
    <w:tbl>
      <w:tblPr>
        <w:tblW w:w="9070" w:type="dxa"/>
        <w:tblInd w:w="704" w:type="dxa"/>
        <w:tblLook w:val="04A0" w:firstRow="1" w:lastRow="0" w:firstColumn="1" w:lastColumn="0" w:noHBand="0" w:noVBand="1"/>
      </w:tblPr>
      <w:tblGrid>
        <w:gridCol w:w="2608"/>
        <w:gridCol w:w="2106"/>
        <w:gridCol w:w="1495"/>
        <w:gridCol w:w="2861"/>
      </w:tblGrid>
      <w:tr w:rsidR="00573868" w:rsidRPr="00ED6D97" w14:paraId="5C6DA946" w14:textId="77777777" w:rsidTr="00B06BD1">
        <w:trPr>
          <w:trHeight w:val="975"/>
        </w:trPr>
        <w:tc>
          <w:tcPr>
            <w:tcW w:w="2608" w:type="dxa"/>
            <w:tcBorders>
              <w:top w:val="single" w:sz="4" w:space="0" w:color="auto"/>
              <w:left w:val="single" w:sz="4" w:space="0" w:color="auto"/>
              <w:bottom w:val="single" w:sz="4" w:space="0" w:color="auto"/>
              <w:right w:val="single" w:sz="4" w:space="0" w:color="auto"/>
            </w:tcBorders>
            <w:shd w:val="clear" w:color="auto" w:fill="95B3D7" w:themeFill="accent1" w:themeFillTint="99"/>
            <w:vAlign w:val="center"/>
            <w:hideMark/>
          </w:tcPr>
          <w:p w14:paraId="3F5C8A86" w14:textId="77777777" w:rsidR="00573868" w:rsidRPr="00ED6D97" w:rsidRDefault="00573868">
            <w:pPr>
              <w:jc w:val="center"/>
              <w:rPr>
                <w:rFonts w:asciiTheme="minorHAnsi" w:hAnsiTheme="minorHAnsi" w:cs="Arial"/>
                <w:b/>
                <w:bCs/>
                <w:color w:val="000000"/>
                <w:sz w:val="22"/>
                <w:szCs w:val="22"/>
                <w:lang w:val="en-IN" w:eastAsia="en-IN"/>
              </w:rPr>
            </w:pPr>
            <w:r w:rsidRPr="00ED6D97">
              <w:rPr>
                <w:rFonts w:asciiTheme="minorHAnsi" w:hAnsiTheme="minorHAnsi" w:cs="Arial"/>
                <w:b/>
                <w:bCs/>
                <w:color w:val="000000"/>
                <w:sz w:val="22"/>
                <w:szCs w:val="22"/>
              </w:rPr>
              <w:t>Particulars</w:t>
            </w:r>
          </w:p>
        </w:tc>
        <w:tc>
          <w:tcPr>
            <w:tcW w:w="2106" w:type="dxa"/>
            <w:tcBorders>
              <w:top w:val="single" w:sz="4" w:space="0" w:color="auto"/>
              <w:left w:val="nil"/>
              <w:bottom w:val="single" w:sz="4" w:space="0" w:color="auto"/>
              <w:right w:val="single" w:sz="4" w:space="0" w:color="auto"/>
            </w:tcBorders>
            <w:shd w:val="clear" w:color="auto" w:fill="95B3D7" w:themeFill="accent1" w:themeFillTint="99"/>
            <w:vAlign w:val="center"/>
            <w:hideMark/>
          </w:tcPr>
          <w:p w14:paraId="5C3B1D7B" w14:textId="77777777" w:rsidR="00573868" w:rsidRPr="00ED6D97" w:rsidRDefault="00573868">
            <w:pPr>
              <w:jc w:val="center"/>
              <w:rPr>
                <w:rFonts w:asciiTheme="minorHAnsi" w:hAnsiTheme="minorHAnsi" w:cs="Arial"/>
                <w:b/>
                <w:bCs/>
                <w:color w:val="000000"/>
                <w:sz w:val="22"/>
                <w:szCs w:val="22"/>
              </w:rPr>
            </w:pPr>
            <w:r w:rsidRPr="00ED6D97">
              <w:rPr>
                <w:rFonts w:asciiTheme="minorHAnsi" w:hAnsiTheme="minorHAnsi" w:cs="Arial"/>
                <w:b/>
                <w:bCs/>
                <w:color w:val="000000"/>
                <w:sz w:val="22"/>
                <w:szCs w:val="22"/>
              </w:rPr>
              <w:t>Avg. Salary (CTC)</w:t>
            </w:r>
            <w:r w:rsidRPr="00ED6D97">
              <w:rPr>
                <w:rFonts w:asciiTheme="minorHAnsi" w:hAnsiTheme="minorHAnsi" w:cs="Arial"/>
                <w:b/>
                <w:bCs/>
                <w:color w:val="1F497D"/>
                <w:sz w:val="22"/>
                <w:szCs w:val="22"/>
              </w:rPr>
              <w:t xml:space="preserve"> - </w:t>
            </w:r>
            <w:r w:rsidRPr="00ED6D97">
              <w:rPr>
                <w:rFonts w:asciiTheme="minorHAnsi" w:hAnsiTheme="minorHAnsi" w:cs="Arial"/>
                <w:b/>
                <w:bCs/>
                <w:sz w:val="22"/>
                <w:szCs w:val="22"/>
              </w:rPr>
              <w:t>per month</w:t>
            </w:r>
          </w:p>
        </w:tc>
        <w:tc>
          <w:tcPr>
            <w:tcW w:w="1495" w:type="dxa"/>
            <w:tcBorders>
              <w:top w:val="single" w:sz="4" w:space="0" w:color="auto"/>
              <w:left w:val="nil"/>
              <w:bottom w:val="single" w:sz="4" w:space="0" w:color="auto"/>
              <w:right w:val="single" w:sz="4" w:space="0" w:color="auto"/>
            </w:tcBorders>
            <w:shd w:val="clear" w:color="auto" w:fill="95B3D7" w:themeFill="accent1" w:themeFillTint="99"/>
            <w:vAlign w:val="center"/>
            <w:hideMark/>
          </w:tcPr>
          <w:p w14:paraId="62E6D99D" w14:textId="77777777" w:rsidR="00573868" w:rsidRPr="00ED6D97" w:rsidRDefault="00573868">
            <w:pPr>
              <w:jc w:val="center"/>
              <w:rPr>
                <w:rFonts w:asciiTheme="minorHAnsi" w:hAnsiTheme="minorHAnsi" w:cs="Arial"/>
                <w:b/>
                <w:bCs/>
                <w:color w:val="000000"/>
                <w:sz w:val="22"/>
                <w:szCs w:val="22"/>
              </w:rPr>
            </w:pPr>
            <w:r w:rsidRPr="00ED6D97">
              <w:rPr>
                <w:rFonts w:asciiTheme="minorHAnsi" w:hAnsiTheme="minorHAnsi" w:cs="Arial"/>
                <w:b/>
                <w:bCs/>
                <w:color w:val="000000"/>
                <w:sz w:val="22"/>
                <w:szCs w:val="22"/>
              </w:rPr>
              <w:t>Nos. Inducted up to 2023-24</w:t>
            </w:r>
          </w:p>
        </w:tc>
        <w:tc>
          <w:tcPr>
            <w:tcW w:w="2861" w:type="dxa"/>
            <w:tcBorders>
              <w:top w:val="single" w:sz="4" w:space="0" w:color="auto"/>
              <w:left w:val="nil"/>
              <w:bottom w:val="single" w:sz="4" w:space="0" w:color="auto"/>
              <w:right w:val="single" w:sz="4" w:space="0" w:color="auto"/>
            </w:tcBorders>
            <w:shd w:val="clear" w:color="auto" w:fill="95B3D7" w:themeFill="accent1" w:themeFillTint="99"/>
            <w:vAlign w:val="center"/>
            <w:hideMark/>
          </w:tcPr>
          <w:p w14:paraId="4D374562" w14:textId="77777777" w:rsidR="00573868" w:rsidRPr="00ED6D97" w:rsidRDefault="00573868">
            <w:pPr>
              <w:jc w:val="center"/>
              <w:rPr>
                <w:rFonts w:asciiTheme="minorHAnsi" w:hAnsiTheme="minorHAnsi" w:cs="Arial"/>
                <w:b/>
                <w:bCs/>
                <w:color w:val="000000"/>
                <w:sz w:val="22"/>
                <w:szCs w:val="22"/>
              </w:rPr>
            </w:pPr>
            <w:r w:rsidRPr="00ED6D97">
              <w:rPr>
                <w:rFonts w:asciiTheme="minorHAnsi" w:hAnsiTheme="minorHAnsi" w:cs="Arial"/>
                <w:b/>
                <w:bCs/>
                <w:color w:val="000000"/>
                <w:sz w:val="22"/>
                <w:szCs w:val="22"/>
              </w:rPr>
              <w:t>Total Cost (Per Month)</w:t>
            </w:r>
          </w:p>
        </w:tc>
      </w:tr>
      <w:tr w:rsidR="00573868" w:rsidRPr="00ED6D97" w14:paraId="036B14FD" w14:textId="77777777" w:rsidTr="00B06BD1">
        <w:trPr>
          <w:trHeight w:val="285"/>
        </w:trPr>
        <w:tc>
          <w:tcPr>
            <w:tcW w:w="2608" w:type="dxa"/>
            <w:tcBorders>
              <w:top w:val="nil"/>
              <w:left w:val="single" w:sz="4" w:space="0" w:color="auto"/>
              <w:bottom w:val="single" w:sz="4" w:space="0" w:color="auto"/>
              <w:right w:val="single" w:sz="4" w:space="0" w:color="auto"/>
            </w:tcBorders>
            <w:shd w:val="clear" w:color="auto" w:fill="auto"/>
            <w:vAlign w:val="center"/>
            <w:hideMark/>
          </w:tcPr>
          <w:p w14:paraId="7603D91D" w14:textId="77777777" w:rsidR="00573868" w:rsidRPr="00ED6D97" w:rsidRDefault="00573868">
            <w:pPr>
              <w:rPr>
                <w:rFonts w:asciiTheme="minorHAnsi" w:hAnsiTheme="minorHAnsi" w:cs="Arial"/>
                <w:color w:val="000000"/>
                <w:sz w:val="22"/>
                <w:szCs w:val="22"/>
              </w:rPr>
            </w:pPr>
            <w:r w:rsidRPr="00ED6D97">
              <w:rPr>
                <w:rFonts w:asciiTheme="minorHAnsi" w:hAnsiTheme="minorHAnsi" w:cs="Arial"/>
                <w:color w:val="000000"/>
                <w:sz w:val="22"/>
                <w:szCs w:val="22"/>
              </w:rPr>
              <w:t xml:space="preserve">New </w:t>
            </w:r>
            <w:proofErr w:type="spellStart"/>
            <w:r w:rsidRPr="00ED6D97">
              <w:rPr>
                <w:rFonts w:asciiTheme="minorHAnsi" w:hAnsiTheme="minorHAnsi" w:cs="Arial"/>
                <w:color w:val="000000"/>
                <w:sz w:val="22"/>
                <w:szCs w:val="22"/>
              </w:rPr>
              <w:t>Joinee</w:t>
            </w:r>
            <w:proofErr w:type="spellEnd"/>
            <w:r w:rsidRPr="00ED6D97">
              <w:rPr>
                <w:rFonts w:asciiTheme="minorHAnsi" w:hAnsiTheme="minorHAnsi" w:cs="Arial"/>
                <w:color w:val="000000"/>
                <w:sz w:val="22"/>
                <w:szCs w:val="22"/>
              </w:rPr>
              <w:t xml:space="preserve"> </w:t>
            </w:r>
          </w:p>
        </w:tc>
        <w:tc>
          <w:tcPr>
            <w:tcW w:w="2106" w:type="dxa"/>
            <w:tcBorders>
              <w:top w:val="nil"/>
              <w:left w:val="nil"/>
              <w:bottom w:val="single" w:sz="4" w:space="0" w:color="auto"/>
              <w:right w:val="single" w:sz="4" w:space="0" w:color="auto"/>
            </w:tcBorders>
            <w:shd w:val="clear" w:color="000000" w:fill="FFFFFF"/>
            <w:vAlign w:val="center"/>
            <w:hideMark/>
          </w:tcPr>
          <w:p w14:paraId="0CAD22F4" w14:textId="77777777" w:rsidR="00573868" w:rsidRPr="00ED6D97" w:rsidRDefault="00573868">
            <w:pPr>
              <w:jc w:val="center"/>
              <w:rPr>
                <w:rFonts w:asciiTheme="minorHAnsi" w:hAnsiTheme="minorHAnsi" w:cs="Arial"/>
                <w:color w:val="000000"/>
                <w:sz w:val="22"/>
                <w:szCs w:val="22"/>
              </w:rPr>
            </w:pPr>
            <w:r w:rsidRPr="00ED6D97">
              <w:rPr>
                <w:rFonts w:asciiTheme="minorHAnsi" w:hAnsiTheme="minorHAnsi" w:cs="Arial"/>
                <w:color w:val="000000"/>
                <w:sz w:val="22"/>
                <w:szCs w:val="22"/>
              </w:rPr>
              <w:t>0.74</w:t>
            </w:r>
          </w:p>
        </w:tc>
        <w:tc>
          <w:tcPr>
            <w:tcW w:w="1495" w:type="dxa"/>
            <w:tcBorders>
              <w:top w:val="nil"/>
              <w:left w:val="nil"/>
              <w:bottom w:val="single" w:sz="4" w:space="0" w:color="auto"/>
              <w:right w:val="single" w:sz="4" w:space="0" w:color="auto"/>
            </w:tcBorders>
            <w:shd w:val="clear" w:color="auto" w:fill="auto"/>
            <w:vAlign w:val="center"/>
            <w:hideMark/>
          </w:tcPr>
          <w:p w14:paraId="69229007" w14:textId="77777777" w:rsidR="00573868" w:rsidRPr="00ED6D97" w:rsidRDefault="00573868">
            <w:pPr>
              <w:jc w:val="center"/>
              <w:rPr>
                <w:rFonts w:asciiTheme="minorHAnsi" w:hAnsiTheme="minorHAnsi" w:cs="Arial"/>
                <w:color w:val="000000"/>
                <w:sz w:val="22"/>
                <w:szCs w:val="22"/>
              </w:rPr>
            </w:pPr>
            <w:r w:rsidRPr="00ED6D97">
              <w:rPr>
                <w:rFonts w:asciiTheme="minorHAnsi" w:hAnsiTheme="minorHAnsi" w:cs="Arial"/>
                <w:color w:val="000000"/>
                <w:sz w:val="22"/>
                <w:szCs w:val="22"/>
              </w:rPr>
              <w:t>44</w:t>
            </w:r>
          </w:p>
        </w:tc>
        <w:tc>
          <w:tcPr>
            <w:tcW w:w="2861" w:type="dxa"/>
            <w:tcBorders>
              <w:top w:val="nil"/>
              <w:left w:val="nil"/>
              <w:bottom w:val="single" w:sz="4" w:space="0" w:color="auto"/>
              <w:right w:val="single" w:sz="4" w:space="0" w:color="auto"/>
            </w:tcBorders>
            <w:shd w:val="clear" w:color="auto" w:fill="auto"/>
            <w:vAlign w:val="center"/>
            <w:hideMark/>
          </w:tcPr>
          <w:p w14:paraId="6DFC4EE2" w14:textId="77777777" w:rsidR="00573868" w:rsidRPr="00ED6D97" w:rsidRDefault="00573868">
            <w:pPr>
              <w:jc w:val="center"/>
              <w:rPr>
                <w:rFonts w:asciiTheme="minorHAnsi" w:hAnsiTheme="minorHAnsi" w:cs="Arial"/>
                <w:color w:val="000000"/>
                <w:sz w:val="22"/>
                <w:szCs w:val="22"/>
              </w:rPr>
            </w:pPr>
            <w:r w:rsidRPr="00ED6D97">
              <w:rPr>
                <w:rFonts w:asciiTheme="minorHAnsi" w:hAnsiTheme="minorHAnsi" w:cs="Arial"/>
                <w:color w:val="000000"/>
                <w:sz w:val="22"/>
                <w:szCs w:val="22"/>
              </w:rPr>
              <w:t>32.56</w:t>
            </w:r>
          </w:p>
        </w:tc>
      </w:tr>
      <w:tr w:rsidR="00573868" w:rsidRPr="00ED6D97" w14:paraId="6CB041D7" w14:textId="77777777" w:rsidTr="00B06BD1">
        <w:trPr>
          <w:trHeight w:val="285"/>
        </w:trPr>
        <w:tc>
          <w:tcPr>
            <w:tcW w:w="2608" w:type="dxa"/>
            <w:tcBorders>
              <w:top w:val="nil"/>
              <w:left w:val="single" w:sz="4" w:space="0" w:color="auto"/>
              <w:bottom w:val="single" w:sz="4" w:space="0" w:color="auto"/>
              <w:right w:val="single" w:sz="4" w:space="0" w:color="auto"/>
            </w:tcBorders>
            <w:shd w:val="clear" w:color="auto" w:fill="auto"/>
            <w:vAlign w:val="center"/>
            <w:hideMark/>
          </w:tcPr>
          <w:p w14:paraId="3E10DC24" w14:textId="77777777" w:rsidR="00573868" w:rsidRPr="00ED6D97" w:rsidRDefault="00573868">
            <w:pPr>
              <w:rPr>
                <w:rFonts w:asciiTheme="minorHAnsi" w:hAnsiTheme="minorHAnsi" w:cs="Arial"/>
                <w:color w:val="000000"/>
                <w:sz w:val="22"/>
                <w:szCs w:val="22"/>
              </w:rPr>
            </w:pPr>
            <w:r w:rsidRPr="00ED6D97">
              <w:rPr>
                <w:rFonts w:asciiTheme="minorHAnsi" w:hAnsiTheme="minorHAnsi" w:cs="Arial"/>
                <w:color w:val="000000"/>
                <w:sz w:val="22"/>
                <w:szCs w:val="22"/>
              </w:rPr>
              <w:t>Trainees</w:t>
            </w:r>
          </w:p>
        </w:tc>
        <w:tc>
          <w:tcPr>
            <w:tcW w:w="2106" w:type="dxa"/>
            <w:tcBorders>
              <w:top w:val="nil"/>
              <w:left w:val="nil"/>
              <w:bottom w:val="single" w:sz="4" w:space="0" w:color="auto"/>
              <w:right w:val="single" w:sz="4" w:space="0" w:color="auto"/>
            </w:tcBorders>
            <w:shd w:val="clear" w:color="000000" w:fill="FFFFFF"/>
            <w:vAlign w:val="center"/>
            <w:hideMark/>
          </w:tcPr>
          <w:p w14:paraId="27DA2DB1" w14:textId="77777777" w:rsidR="00573868" w:rsidRPr="00ED6D97" w:rsidRDefault="00573868">
            <w:pPr>
              <w:jc w:val="center"/>
              <w:rPr>
                <w:rFonts w:asciiTheme="minorHAnsi" w:hAnsiTheme="minorHAnsi" w:cs="Arial"/>
                <w:color w:val="000000"/>
                <w:sz w:val="22"/>
                <w:szCs w:val="22"/>
              </w:rPr>
            </w:pPr>
            <w:r w:rsidRPr="00ED6D97">
              <w:rPr>
                <w:rFonts w:asciiTheme="minorHAnsi" w:hAnsiTheme="minorHAnsi" w:cs="Arial"/>
                <w:color w:val="000000"/>
                <w:sz w:val="22"/>
                <w:szCs w:val="22"/>
              </w:rPr>
              <w:t>0.24</w:t>
            </w:r>
          </w:p>
        </w:tc>
        <w:tc>
          <w:tcPr>
            <w:tcW w:w="1495" w:type="dxa"/>
            <w:tcBorders>
              <w:top w:val="nil"/>
              <w:left w:val="nil"/>
              <w:bottom w:val="single" w:sz="4" w:space="0" w:color="auto"/>
              <w:right w:val="single" w:sz="4" w:space="0" w:color="auto"/>
            </w:tcBorders>
            <w:shd w:val="clear" w:color="auto" w:fill="auto"/>
            <w:vAlign w:val="center"/>
            <w:hideMark/>
          </w:tcPr>
          <w:p w14:paraId="7817A641" w14:textId="77777777" w:rsidR="00573868" w:rsidRPr="00ED6D97" w:rsidRDefault="00573868">
            <w:pPr>
              <w:jc w:val="center"/>
              <w:rPr>
                <w:rFonts w:asciiTheme="minorHAnsi" w:hAnsiTheme="minorHAnsi" w:cs="Arial"/>
                <w:color w:val="000000"/>
                <w:sz w:val="22"/>
                <w:szCs w:val="22"/>
              </w:rPr>
            </w:pPr>
            <w:r w:rsidRPr="00ED6D97">
              <w:rPr>
                <w:rFonts w:asciiTheme="minorHAnsi" w:hAnsiTheme="minorHAnsi" w:cs="Arial"/>
                <w:color w:val="000000"/>
                <w:sz w:val="22"/>
                <w:szCs w:val="22"/>
              </w:rPr>
              <w:t>97</w:t>
            </w:r>
          </w:p>
        </w:tc>
        <w:tc>
          <w:tcPr>
            <w:tcW w:w="2861" w:type="dxa"/>
            <w:tcBorders>
              <w:top w:val="nil"/>
              <w:left w:val="nil"/>
              <w:bottom w:val="single" w:sz="4" w:space="0" w:color="auto"/>
              <w:right w:val="single" w:sz="4" w:space="0" w:color="auto"/>
            </w:tcBorders>
            <w:shd w:val="clear" w:color="auto" w:fill="auto"/>
            <w:vAlign w:val="center"/>
            <w:hideMark/>
          </w:tcPr>
          <w:p w14:paraId="3E520C57" w14:textId="77777777" w:rsidR="00573868" w:rsidRPr="00ED6D97" w:rsidRDefault="00573868">
            <w:pPr>
              <w:jc w:val="center"/>
              <w:rPr>
                <w:rFonts w:asciiTheme="minorHAnsi" w:hAnsiTheme="minorHAnsi" w:cs="Arial"/>
                <w:color w:val="000000"/>
                <w:sz w:val="22"/>
                <w:szCs w:val="22"/>
              </w:rPr>
            </w:pPr>
            <w:r w:rsidRPr="00ED6D97">
              <w:rPr>
                <w:rFonts w:asciiTheme="minorHAnsi" w:hAnsiTheme="minorHAnsi" w:cs="Arial"/>
                <w:color w:val="000000"/>
                <w:sz w:val="22"/>
                <w:szCs w:val="22"/>
              </w:rPr>
              <w:t>23.28</w:t>
            </w:r>
          </w:p>
        </w:tc>
      </w:tr>
      <w:tr w:rsidR="00573868" w:rsidRPr="00ED6D97" w14:paraId="0FFB66F5" w14:textId="77777777" w:rsidTr="00B06BD1">
        <w:trPr>
          <w:trHeight w:val="285"/>
        </w:trPr>
        <w:tc>
          <w:tcPr>
            <w:tcW w:w="2608" w:type="dxa"/>
            <w:tcBorders>
              <w:top w:val="nil"/>
              <w:left w:val="single" w:sz="4" w:space="0" w:color="auto"/>
              <w:bottom w:val="single" w:sz="4" w:space="0" w:color="auto"/>
              <w:right w:val="single" w:sz="4" w:space="0" w:color="auto"/>
            </w:tcBorders>
            <w:shd w:val="clear" w:color="auto" w:fill="auto"/>
            <w:vAlign w:val="center"/>
            <w:hideMark/>
          </w:tcPr>
          <w:p w14:paraId="40DAC5F3" w14:textId="77777777" w:rsidR="00573868" w:rsidRPr="00ED6D97" w:rsidRDefault="00573868">
            <w:pPr>
              <w:rPr>
                <w:rFonts w:asciiTheme="minorHAnsi" w:hAnsiTheme="minorHAnsi" w:cs="Arial"/>
                <w:color w:val="000000"/>
                <w:sz w:val="22"/>
                <w:szCs w:val="22"/>
              </w:rPr>
            </w:pPr>
            <w:r w:rsidRPr="00ED6D97">
              <w:rPr>
                <w:rFonts w:asciiTheme="minorHAnsi" w:hAnsiTheme="minorHAnsi" w:cs="Arial"/>
                <w:color w:val="000000"/>
                <w:sz w:val="22"/>
                <w:szCs w:val="22"/>
              </w:rPr>
              <w:t>Total Cost in Rs. Lakhs</w:t>
            </w:r>
          </w:p>
        </w:tc>
        <w:tc>
          <w:tcPr>
            <w:tcW w:w="2106" w:type="dxa"/>
            <w:tcBorders>
              <w:top w:val="nil"/>
              <w:left w:val="nil"/>
              <w:bottom w:val="single" w:sz="4" w:space="0" w:color="auto"/>
              <w:right w:val="single" w:sz="4" w:space="0" w:color="auto"/>
            </w:tcBorders>
            <w:shd w:val="clear" w:color="000000" w:fill="FFFFFF"/>
            <w:vAlign w:val="center"/>
            <w:hideMark/>
          </w:tcPr>
          <w:p w14:paraId="23E8C409" w14:textId="77777777" w:rsidR="00573868" w:rsidRPr="00ED6D97" w:rsidRDefault="00573868">
            <w:pPr>
              <w:jc w:val="center"/>
              <w:rPr>
                <w:rFonts w:asciiTheme="minorHAnsi" w:hAnsiTheme="minorHAnsi" w:cs="Arial"/>
                <w:sz w:val="22"/>
                <w:szCs w:val="22"/>
              </w:rPr>
            </w:pPr>
            <w:r w:rsidRPr="00ED6D97">
              <w:rPr>
                <w:rFonts w:asciiTheme="minorHAnsi" w:hAnsiTheme="minorHAnsi" w:cs="Arial"/>
                <w:sz w:val="22"/>
                <w:szCs w:val="22"/>
              </w:rPr>
              <w:t> </w:t>
            </w:r>
          </w:p>
        </w:tc>
        <w:tc>
          <w:tcPr>
            <w:tcW w:w="1495" w:type="dxa"/>
            <w:tcBorders>
              <w:top w:val="nil"/>
              <w:left w:val="nil"/>
              <w:bottom w:val="single" w:sz="4" w:space="0" w:color="auto"/>
              <w:right w:val="single" w:sz="4" w:space="0" w:color="auto"/>
            </w:tcBorders>
            <w:shd w:val="clear" w:color="auto" w:fill="auto"/>
            <w:vAlign w:val="center"/>
            <w:hideMark/>
          </w:tcPr>
          <w:p w14:paraId="33B54F0F" w14:textId="77777777" w:rsidR="00573868" w:rsidRPr="00ED6D97" w:rsidRDefault="00573868">
            <w:pPr>
              <w:jc w:val="center"/>
              <w:rPr>
                <w:rFonts w:asciiTheme="minorHAnsi" w:hAnsiTheme="minorHAnsi" w:cs="Arial"/>
                <w:color w:val="000000"/>
                <w:sz w:val="22"/>
                <w:szCs w:val="22"/>
              </w:rPr>
            </w:pPr>
            <w:r w:rsidRPr="00ED6D97">
              <w:rPr>
                <w:rFonts w:asciiTheme="minorHAnsi" w:hAnsiTheme="minorHAnsi" w:cs="Arial"/>
                <w:color w:val="000000"/>
                <w:sz w:val="22"/>
                <w:szCs w:val="22"/>
              </w:rPr>
              <w:t> </w:t>
            </w:r>
          </w:p>
        </w:tc>
        <w:tc>
          <w:tcPr>
            <w:tcW w:w="2861" w:type="dxa"/>
            <w:tcBorders>
              <w:top w:val="nil"/>
              <w:left w:val="nil"/>
              <w:bottom w:val="single" w:sz="4" w:space="0" w:color="auto"/>
              <w:right w:val="single" w:sz="4" w:space="0" w:color="auto"/>
            </w:tcBorders>
            <w:shd w:val="clear" w:color="auto" w:fill="auto"/>
            <w:vAlign w:val="center"/>
            <w:hideMark/>
          </w:tcPr>
          <w:p w14:paraId="4DA6B85B" w14:textId="77777777" w:rsidR="00573868" w:rsidRPr="00ED6D97" w:rsidRDefault="00573868">
            <w:pPr>
              <w:jc w:val="center"/>
              <w:rPr>
                <w:rFonts w:asciiTheme="minorHAnsi" w:hAnsiTheme="minorHAnsi" w:cs="Arial"/>
                <w:color w:val="000000"/>
                <w:sz w:val="22"/>
                <w:szCs w:val="22"/>
              </w:rPr>
            </w:pPr>
            <w:r w:rsidRPr="00ED6D97">
              <w:rPr>
                <w:rFonts w:asciiTheme="minorHAnsi" w:hAnsiTheme="minorHAnsi" w:cs="Arial"/>
                <w:color w:val="000000"/>
                <w:sz w:val="22"/>
                <w:szCs w:val="22"/>
              </w:rPr>
              <w:t>55.84</w:t>
            </w:r>
          </w:p>
        </w:tc>
      </w:tr>
      <w:tr w:rsidR="00573868" w:rsidRPr="00ED6D97" w14:paraId="7DFB7262" w14:textId="77777777" w:rsidTr="00B06BD1">
        <w:trPr>
          <w:trHeight w:val="570"/>
        </w:trPr>
        <w:tc>
          <w:tcPr>
            <w:tcW w:w="2608" w:type="dxa"/>
            <w:tcBorders>
              <w:top w:val="nil"/>
              <w:left w:val="single" w:sz="4" w:space="0" w:color="auto"/>
              <w:bottom w:val="single" w:sz="4" w:space="0" w:color="auto"/>
              <w:right w:val="single" w:sz="4" w:space="0" w:color="auto"/>
            </w:tcBorders>
            <w:shd w:val="clear" w:color="auto" w:fill="auto"/>
            <w:vAlign w:val="center"/>
            <w:hideMark/>
          </w:tcPr>
          <w:p w14:paraId="3AA98E0F" w14:textId="77777777" w:rsidR="00573868" w:rsidRPr="00ED6D97" w:rsidRDefault="00573868">
            <w:pPr>
              <w:rPr>
                <w:rFonts w:asciiTheme="minorHAnsi" w:hAnsiTheme="minorHAnsi" w:cs="Arial"/>
                <w:color w:val="000000"/>
                <w:sz w:val="22"/>
                <w:szCs w:val="22"/>
              </w:rPr>
            </w:pPr>
            <w:r w:rsidRPr="00ED6D97">
              <w:rPr>
                <w:rFonts w:asciiTheme="minorHAnsi" w:hAnsiTheme="minorHAnsi" w:cs="Arial"/>
                <w:color w:val="000000"/>
                <w:sz w:val="22"/>
                <w:szCs w:val="22"/>
              </w:rPr>
              <w:t xml:space="preserve">Total cost with all executive </w:t>
            </w:r>
          </w:p>
        </w:tc>
        <w:tc>
          <w:tcPr>
            <w:tcW w:w="2106" w:type="dxa"/>
            <w:tcBorders>
              <w:top w:val="nil"/>
              <w:left w:val="nil"/>
              <w:bottom w:val="single" w:sz="4" w:space="0" w:color="auto"/>
              <w:right w:val="single" w:sz="4" w:space="0" w:color="auto"/>
            </w:tcBorders>
            <w:shd w:val="clear" w:color="000000" w:fill="FFFFFF"/>
            <w:noWrap/>
            <w:vAlign w:val="center"/>
            <w:hideMark/>
          </w:tcPr>
          <w:p w14:paraId="15BBB31D" w14:textId="77777777" w:rsidR="00573868" w:rsidRPr="00ED6D97" w:rsidRDefault="00573868">
            <w:pPr>
              <w:jc w:val="center"/>
              <w:rPr>
                <w:rFonts w:asciiTheme="minorHAnsi" w:hAnsiTheme="minorHAnsi" w:cs="Arial"/>
                <w:sz w:val="22"/>
                <w:szCs w:val="22"/>
              </w:rPr>
            </w:pPr>
            <w:r w:rsidRPr="00ED6D97">
              <w:rPr>
                <w:rFonts w:asciiTheme="minorHAnsi" w:hAnsiTheme="minorHAnsi" w:cs="Arial"/>
                <w:sz w:val="22"/>
                <w:szCs w:val="22"/>
              </w:rPr>
              <w:t>0.74</w:t>
            </w:r>
          </w:p>
        </w:tc>
        <w:tc>
          <w:tcPr>
            <w:tcW w:w="1495" w:type="dxa"/>
            <w:tcBorders>
              <w:top w:val="nil"/>
              <w:left w:val="nil"/>
              <w:bottom w:val="single" w:sz="4" w:space="0" w:color="auto"/>
              <w:right w:val="single" w:sz="4" w:space="0" w:color="auto"/>
            </w:tcBorders>
            <w:shd w:val="clear" w:color="auto" w:fill="auto"/>
            <w:noWrap/>
            <w:vAlign w:val="center"/>
            <w:hideMark/>
          </w:tcPr>
          <w:p w14:paraId="5CD314F5" w14:textId="77777777" w:rsidR="00573868" w:rsidRPr="00ED6D97" w:rsidRDefault="00573868">
            <w:pPr>
              <w:jc w:val="center"/>
              <w:rPr>
                <w:rFonts w:asciiTheme="minorHAnsi" w:hAnsiTheme="minorHAnsi" w:cs="Arial"/>
                <w:sz w:val="22"/>
                <w:szCs w:val="22"/>
              </w:rPr>
            </w:pPr>
            <w:r w:rsidRPr="00ED6D97">
              <w:rPr>
                <w:rFonts w:asciiTheme="minorHAnsi" w:hAnsiTheme="minorHAnsi" w:cs="Arial"/>
                <w:sz w:val="22"/>
                <w:szCs w:val="22"/>
              </w:rPr>
              <w:t>141</w:t>
            </w:r>
          </w:p>
        </w:tc>
        <w:tc>
          <w:tcPr>
            <w:tcW w:w="2861" w:type="dxa"/>
            <w:tcBorders>
              <w:top w:val="nil"/>
              <w:left w:val="nil"/>
              <w:bottom w:val="single" w:sz="4" w:space="0" w:color="auto"/>
              <w:right w:val="single" w:sz="4" w:space="0" w:color="auto"/>
            </w:tcBorders>
            <w:shd w:val="clear" w:color="auto" w:fill="auto"/>
            <w:noWrap/>
            <w:vAlign w:val="center"/>
            <w:hideMark/>
          </w:tcPr>
          <w:p w14:paraId="28D7E867" w14:textId="77777777" w:rsidR="00573868" w:rsidRPr="00ED6D97" w:rsidRDefault="00573868">
            <w:pPr>
              <w:jc w:val="center"/>
              <w:rPr>
                <w:rFonts w:asciiTheme="minorHAnsi" w:hAnsiTheme="minorHAnsi" w:cs="Arial"/>
                <w:sz w:val="22"/>
                <w:szCs w:val="22"/>
              </w:rPr>
            </w:pPr>
            <w:r w:rsidRPr="00ED6D97">
              <w:rPr>
                <w:rFonts w:asciiTheme="minorHAnsi" w:hAnsiTheme="minorHAnsi" w:cs="Arial"/>
                <w:sz w:val="22"/>
                <w:szCs w:val="22"/>
              </w:rPr>
              <w:t>104.34</w:t>
            </w:r>
          </w:p>
        </w:tc>
      </w:tr>
      <w:tr w:rsidR="00573868" w:rsidRPr="00ED6D97" w14:paraId="3CCEDA0F" w14:textId="77777777" w:rsidTr="00B06BD1">
        <w:trPr>
          <w:trHeight w:val="570"/>
        </w:trPr>
        <w:tc>
          <w:tcPr>
            <w:tcW w:w="2608" w:type="dxa"/>
            <w:tcBorders>
              <w:top w:val="nil"/>
              <w:left w:val="single" w:sz="4" w:space="0" w:color="auto"/>
              <w:bottom w:val="single" w:sz="4" w:space="0" w:color="auto"/>
              <w:right w:val="single" w:sz="4" w:space="0" w:color="auto"/>
            </w:tcBorders>
            <w:shd w:val="clear" w:color="auto" w:fill="auto"/>
            <w:vAlign w:val="center"/>
            <w:hideMark/>
          </w:tcPr>
          <w:p w14:paraId="326017EF" w14:textId="77777777" w:rsidR="00573868" w:rsidRPr="00ED6D97" w:rsidRDefault="00573868">
            <w:pPr>
              <w:rPr>
                <w:rFonts w:asciiTheme="minorHAnsi" w:hAnsiTheme="minorHAnsi" w:cs="Arial"/>
                <w:color w:val="000000"/>
                <w:sz w:val="22"/>
                <w:szCs w:val="22"/>
              </w:rPr>
            </w:pPr>
            <w:r w:rsidRPr="00ED6D97">
              <w:rPr>
                <w:rFonts w:asciiTheme="minorHAnsi" w:hAnsiTheme="minorHAnsi" w:cs="Arial"/>
                <w:color w:val="000000"/>
                <w:sz w:val="22"/>
                <w:szCs w:val="22"/>
              </w:rPr>
              <w:t>Cost optimization in Rs. Lakhs</w:t>
            </w:r>
          </w:p>
        </w:tc>
        <w:tc>
          <w:tcPr>
            <w:tcW w:w="2106" w:type="dxa"/>
            <w:tcBorders>
              <w:top w:val="nil"/>
              <w:left w:val="nil"/>
              <w:bottom w:val="single" w:sz="4" w:space="0" w:color="auto"/>
              <w:right w:val="single" w:sz="4" w:space="0" w:color="auto"/>
            </w:tcBorders>
            <w:shd w:val="clear" w:color="000000" w:fill="FFFFFF"/>
            <w:vAlign w:val="center"/>
            <w:hideMark/>
          </w:tcPr>
          <w:p w14:paraId="2B82E8E4" w14:textId="77777777" w:rsidR="00573868" w:rsidRPr="00ED6D97" w:rsidRDefault="00573868">
            <w:pPr>
              <w:jc w:val="center"/>
              <w:rPr>
                <w:rFonts w:asciiTheme="minorHAnsi" w:hAnsiTheme="minorHAnsi" w:cs="Arial"/>
                <w:color w:val="000000"/>
                <w:sz w:val="22"/>
                <w:szCs w:val="22"/>
              </w:rPr>
            </w:pPr>
            <w:r w:rsidRPr="00ED6D97">
              <w:rPr>
                <w:rFonts w:asciiTheme="minorHAnsi" w:hAnsiTheme="minorHAnsi" w:cs="Arial"/>
                <w:color w:val="000000"/>
                <w:sz w:val="22"/>
                <w:szCs w:val="22"/>
              </w:rPr>
              <w:t> </w:t>
            </w:r>
          </w:p>
        </w:tc>
        <w:tc>
          <w:tcPr>
            <w:tcW w:w="1495" w:type="dxa"/>
            <w:tcBorders>
              <w:top w:val="nil"/>
              <w:left w:val="nil"/>
              <w:bottom w:val="single" w:sz="4" w:space="0" w:color="auto"/>
              <w:right w:val="single" w:sz="4" w:space="0" w:color="auto"/>
            </w:tcBorders>
            <w:shd w:val="clear" w:color="auto" w:fill="auto"/>
            <w:vAlign w:val="center"/>
            <w:hideMark/>
          </w:tcPr>
          <w:p w14:paraId="582D4E17" w14:textId="77777777" w:rsidR="00573868" w:rsidRPr="00ED6D97" w:rsidRDefault="00573868">
            <w:pPr>
              <w:jc w:val="center"/>
              <w:rPr>
                <w:rFonts w:asciiTheme="minorHAnsi" w:hAnsiTheme="minorHAnsi" w:cs="Arial"/>
                <w:color w:val="000000"/>
                <w:sz w:val="22"/>
                <w:szCs w:val="22"/>
              </w:rPr>
            </w:pPr>
            <w:r w:rsidRPr="00ED6D97">
              <w:rPr>
                <w:rFonts w:asciiTheme="minorHAnsi" w:hAnsiTheme="minorHAnsi" w:cs="Arial"/>
                <w:color w:val="000000"/>
                <w:sz w:val="22"/>
                <w:szCs w:val="22"/>
              </w:rPr>
              <w:t> </w:t>
            </w:r>
          </w:p>
        </w:tc>
        <w:tc>
          <w:tcPr>
            <w:tcW w:w="2861" w:type="dxa"/>
            <w:tcBorders>
              <w:top w:val="nil"/>
              <w:left w:val="nil"/>
              <w:bottom w:val="single" w:sz="4" w:space="0" w:color="auto"/>
              <w:right w:val="single" w:sz="4" w:space="0" w:color="auto"/>
            </w:tcBorders>
            <w:shd w:val="clear" w:color="auto" w:fill="auto"/>
            <w:vAlign w:val="center"/>
            <w:hideMark/>
          </w:tcPr>
          <w:p w14:paraId="5D19AB56" w14:textId="77777777" w:rsidR="00573868" w:rsidRPr="00ED6D97" w:rsidRDefault="00573868">
            <w:pPr>
              <w:jc w:val="center"/>
              <w:rPr>
                <w:rFonts w:asciiTheme="minorHAnsi" w:hAnsiTheme="minorHAnsi" w:cs="Arial"/>
                <w:color w:val="000000"/>
                <w:sz w:val="22"/>
                <w:szCs w:val="22"/>
              </w:rPr>
            </w:pPr>
            <w:r w:rsidRPr="00ED6D97">
              <w:rPr>
                <w:rFonts w:asciiTheme="minorHAnsi" w:hAnsiTheme="minorHAnsi" w:cs="Arial"/>
                <w:color w:val="000000"/>
                <w:sz w:val="22"/>
                <w:szCs w:val="22"/>
              </w:rPr>
              <w:t>48.50</w:t>
            </w:r>
          </w:p>
        </w:tc>
      </w:tr>
      <w:tr w:rsidR="00573868" w:rsidRPr="00ED6D97" w14:paraId="5AFA11F9" w14:textId="77777777" w:rsidTr="00B06BD1">
        <w:trPr>
          <w:trHeight w:val="285"/>
        </w:trPr>
        <w:tc>
          <w:tcPr>
            <w:tcW w:w="2608" w:type="dxa"/>
            <w:tcBorders>
              <w:top w:val="nil"/>
              <w:left w:val="single" w:sz="4" w:space="0" w:color="auto"/>
              <w:bottom w:val="single" w:sz="4" w:space="0" w:color="auto"/>
              <w:right w:val="single" w:sz="4" w:space="0" w:color="auto"/>
            </w:tcBorders>
            <w:shd w:val="clear" w:color="auto" w:fill="auto"/>
            <w:vAlign w:val="center"/>
            <w:hideMark/>
          </w:tcPr>
          <w:p w14:paraId="669046CA" w14:textId="77777777" w:rsidR="00573868" w:rsidRPr="00ED6D97" w:rsidRDefault="00573868">
            <w:pPr>
              <w:rPr>
                <w:rFonts w:asciiTheme="minorHAnsi" w:hAnsiTheme="minorHAnsi" w:cs="Arial"/>
                <w:color w:val="000000"/>
                <w:sz w:val="22"/>
                <w:szCs w:val="22"/>
              </w:rPr>
            </w:pPr>
            <w:r w:rsidRPr="00ED6D97">
              <w:rPr>
                <w:rFonts w:asciiTheme="minorHAnsi" w:hAnsiTheme="minorHAnsi" w:cs="Arial"/>
                <w:color w:val="000000"/>
                <w:sz w:val="22"/>
                <w:szCs w:val="22"/>
              </w:rPr>
              <w:t>Cost optimization (%)</w:t>
            </w:r>
          </w:p>
        </w:tc>
        <w:tc>
          <w:tcPr>
            <w:tcW w:w="2106" w:type="dxa"/>
            <w:tcBorders>
              <w:top w:val="nil"/>
              <w:left w:val="nil"/>
              <w:bottom w:val="single" w:sz="4" w:space="0" w:color="auto"/>
              <w:right w:val="single" w:sz="4" w:space="0" w:color="auto"/>
            </w:tcBorders>
            <w:shd w:val="clear" w:color="000000" w:fill="FFFFFF"/>
            <w:vAlign w:val="center"/>
            <w:hideMark/>
          </w:tcPr>
          <w:p w14:paraId="47F8AF50" w14:textId="77777777" w:rsidR="00573868" w:rsidRPr="00ED6D97" w:rsidRDefault="00573868">
            <w:pPr>
              <w:jc w:val="center"/>
              <w:rPr>
                <w:rFonts w:asciiTheme="minorHAnsi" w:hAnsiTheme="minorHAnsi" w:cs="Arial"/>
                <w:color w:val="000000"/>
                <w:sz w:val="22"/>
                <w:szCs w:val="22"/>
              </w:rPr>
            </w:pPr>
            <w:r w:rsidRPr="00ED6D97">
              <w:rPr>
                <w:rFonts w:asciiTheme="minorHAnsi" w:hAnsiTheme="minorHAnsi" w:cs="Arial"/>
                <w:color w:val="000000"/>
                <w:sz w:val="22"/>
                <w:szCs w:val="22"/>
              </w:rPr>
              <w:t> </w:t>
            </w:r>
          </w:p>
        </w:tc>
        <w:tc>
          <w:tcPr>
            <w:tcW w:w="1495" w:type="dxa"/>
            <w:tcBorders>
              <w:top w:val="nil"/>
              <w:left w:val="nil"/>
              <w:bottom w:val="single" w:sz="4" w:space="0" w:color="auto"/>
              <w:right w:val="single" w:sz="4" w:space="0" w:color="auto"/>
            </w:tcBorders>
            <w:shd w:val="clear" w:color="auto" w:fill="auto"/>
            <w:vAlign w:val="center"/>
            <w:hideMark/>
          </w:tcPr>
          <w:p w14:paraId="2A6A7A8A" w14:textId="77777777" w:rsidR="00573868" w:rsidRPr="00ED6D97" w:rsidRDefault="00573868">
            <w:pPr>
              <w:jc w:val="center"/>
              <w:rPr>
                <w:rFonts w:asciiTheme="minorHAnsi" w:hAnsiTheme="minorHAnsi" w:cs="Arial"/>
                <w:color w:val="000000"/>
                <w:sz w:val="22"/>
                <w:szCs w:val="22"/>
              </w:rPr>
            </w:pPr>
            <w:r w:rsidRPr="00ED6D97">
              <w:rPr>
                <w:rFonts w:asciiTheme="minorHAnsi" w:hAnsiTheme="minorHAnsi" w:cs="Arial"/>
                <w:color w:val="000000"/>
                <w:sz w:val="22"/>
                <w:szCs w:val="22"/>
              </w:rPr>
              <w:t> </w:t>
            </w:r>
          </w:p>
        </w:tc>
        <w:tc>
          <w:tcPr>
            <w:tcW w:w="2861" w:type="dxa"/>
            <w:tcBorders>
              <w:top w:val="nil"/>
              <w:left w:val="nil"/>
              <w:bottom w:val="single" w:sz="4" w:space="0" w:color="auto"/>
              <w:right w:val="single" w:sz="4" w:space="0" w:color="auto"/>
            </w:tcBorders>
            <w:shd w:val="clear" w:color="auto" w:fill="auto"/>
            <w:vAlign w:val="center"/>
            <w:hideMark/>
          </w:tcPr>
          <w:p w14:paraId="51EBB7E1" w14:textId="77777777" w:rsidR="00573868" w:rsidRPr="00ED6D97" w:rsidRDefault="00573868">
            <w:pPr>
              <w:jc w:val="center"/>
              <w:rPr>
                <w:rFonts w:asciiTheme="minorHAnsi" w:hAnsiTheme="minorHAnsi" w:cs="Arial"/>
                <w:color w:val="000000"/>
                <w:sz w:val="22"/>
                <w:szCs w:val="22"/>
              </w:rPr>
            </w:pPr>
            <w:r w:rsidRPr="00ED6D97">
              <w:rPr>
                <w:rFonts w:asciiTheme="minorHAnsi" w:hAnsiTheme="minorHAnsi" w:cs="Arial"/>
                <w:color w:val="000000"/>
                <w:sz w:val="22"/>
                <w:szCs w:val="22"/>
              </w:rPr>
              <w:t>46%</w:t>
            </w:r>
          </w:p>
        </w:tc>
      </w:tr>
    </w:tbl>
    <w:p w14:paraId="295BDB60" w14:textId="43FBB34A" w:rsidR="006A7BDF" w:rsidRPr="00BF1CBD" w:rsidRDefault="006A7BDF" w:rsidP="00BF1CBD">
      <w:pPr>
        <w:tabs>
          <w:tab w:val="left" w:pos="426"/>
        </w:tabs>
        <w:spacing w:line="360" w:lineRule="auto"/>
        <w:ind w:right="-23"/>
        <w:jc w:val="both"/>
        <w:rPr>
          <w:rFonts w:asciiTheme="minorHAnsi" w:hAnsiTheme="minorHAnsi" w:cstheme="minorHAnsi"/>
        </w:rPr>
      </w:pPr>
    </w:p>
    <w:p w14:paraId="2A19E750" w14:textId="77777777" w:rsidR="006A7BDF" w:rsidRPr="00153204" w:rsidRDefault="006A7BDF" w:rsidP="006E4B90">
      <w:pPr>
        <w:pStyle w:val="ListParagraph"/>
        <w:tabs>
          <w:tab w:val="left" w:pos="426"/>
        </w:tabs>
        <w:spacing w:line="360" w:lineRule="auto"/>
        <w:ind w:left="1287" w:right="-23"/>
        <w:jc w:val="both"/>
        <w:rPr>
          <w:rFonts w:asciiTheme="minorHAnsi" w:hAnsiTheme="minorHAnsi" w:cstheme="minorHAnsi"/>
        </w:rPr>
      </w:pPr>
    </w:p>
    <w:p w14:paraId="716FF40F" w14:textId="777A2510" w:rsidR="006E4B90" w:rsidRPr="00153204" w:rsidRDefault="006E4B90" w:rsidP="00AB536C">
      <w:pPr>
        <w:pStyle w:val="ListParagraph"/>
        <w:numPr>
          <w:ilvl w:val="0"/>
          <w:numId w:val="18"/>
        </w:numPr>
        <w:tabs>
          <w:tab w:val="left" w:pos="426"/>
        </w:tabs>
        <w:spacing w:line="360" w:lineRule="auto"/>
        <w:ind w:left="1276" w:right="-23" w:hanging="567"/>
        <w:jc w:val="both"/>
        <w:rPr>
          <w:rFonts w:asciiTheme="minorHAnsi" w:hAnsiTheme="minorHAnsi" w:cstheme="minorHAnsi"/>
        </w:rPr>
      </w:pPr>
      <w:r w:rsidRPr="00153204">
        <w:rPr>
          <w:rFonts w:asciiTheme="minorHAnsi" w:hAnsiTheme="minorHAnsi" w:cstheme="minorHAnsi"/>
        </w:rPr>
        <w:t>In addition to the above, the licensee has planned recruitment in a staggered manner for every financial year to optimize the employee cost.</w:t>
      </w:r>
    </w:p>
    <w:p w14:paraId="23ECD60B" w14:textId="77777777" w:rsidR="00367794" w:rsidRPr="00153204" w:rsidRDefault="00367794" w:rsidP="00367794">
      <w:pPr>
        <w:pStyle w:val="ListParagraph"/>
        <w:tabs>
          <w:tab w:val="left" w:pos="426"/>
        </w:tabs>
        <w:spacing w:line="360" w:lineRule="auto"/>
        <w:ind w:left="1287" w:right="-23"/>
        <w:jc w:val="both"/>
        <w:rPr>
          <w:rFonts w:asciiTheme="minorHAnsi" w:hAnsiTheme="minorHAnsi" w:cstheme="minorHAnsi"/>
        </w:rPr>
      </w:pPr>
    </w:p>
    <w:p w14:paraId="1F1710C2" w14:textId="07C1A94D" w:rsidR="00367794" w:rsidRPr="004D5E58" w:rsidRDefault="00367794" w:rsidP="00AB536C">
      <w:pPr>
        <w:pStyle w:val="ListParagraph"/>
        <w:numPr>
          <w:ilvl w:val="2"/>
          <w:numId w:val="20"/>
        </w:numPr>
        <w:tabs>
          <w:tab w:val="left" w:pos="426"/>
        </w:tabs>
        <w:spacing w:line="360" w:lineRule="auto"/>
        <w:ind w:left="1276" w:right="-23" w:hanging="709"/>
        <w:jc w:val="both"/>
        <w:rPr>
          <w:rFonts w:asciiTheme="minorHAnsi" w:hAnsiTheme="minorHAnsi" w:cstheme="minorHAnsi"/>
          <w:b/>
          <w:bCs/>
          <w:sz w:val="24"/>
        </w:rPr>
      </w:pPr>
      <w:r w:rsidRPr="004D5E58">
        <w:rPr>
          <w:rFonts w:asciiTheme="minorHAnsi" w:hAnsiTheme="minorHAnsi" w:cstheme="minorHAnsi"/>
          <w:b/>
          <w:bCs/>
          <w:sz w:val="24"/>
        </w:rPr>
        <w:t>Proposed Employee Cost:</w:t>
      </w:r>
    </w:p>
    <w:p w14:paraId="30103A77" w14:textId="7969FDCE" w:rsidR="006E4B90" w:rsidRPr="00153204" w:rsidRDefault="006E4B90" w:rsidP="006E4B90">
      <w:pPr>
        <w:pStyle w:val="Footer"/>
        <w:tabs>
          <w:tab w:val="clear" w:pos="4320"/>
          <w:tab w:val="clear" w:pos="8640"/>
        </w:tabs>
        <w:spacing w:line="360" w:lineRule="auto"/>
        <w:ind w:left="567"/>
        <w:jc w:val="both"/>
        <w:rPr>
          <w:rFonts w:asciiTheme="minorHAnsi" w:hAnsiTheme="minorHAnsi" w:cstheme="minorHAnsi"/>
          <w:sz w:val="22"/>
          <w:szCs w:val="22"/>
        </w:rPr>
      </w:pPr>
      <w:r w:rsidRPr="00153204">
        <w:rPr>
          <w:rFonts w:asciiTheme="minorHAnsi" w:hAnsiTheme="minorHAnsi" w:cstheme="minorHAnsi"/>
          <w:sz w:val="22"/>
          <w:szCs w:val="22"/>
        </w:rPr>
        <w:t xml:space="preserve">TPNODL has projected Employee Cost </w:t>
      </w:r>
      <w:proofErr w:type="gramStart"/>
      <w:r w:rsidRPr="00153204">
        <w:rPr>
          <w:rFonts w:asciiTheme="minorHAnsi" w:hAnsiTheme="minorHAnsi" w:cstheme="minorHAnsi"/>
          <w:sz w:val="22"/>
          <w:szCs w:val="22"/>
        </w:rPr>
        <w:t xml:space="preserve">of  </w:t>
      </w:r>
      <w:r w:rsidR="001A2772" w:rsidRPr="00153204">
        <w:rPr>
          <w:rFonts w:asciiTheme="minorHAnsi" w:hAnsiTheme="minorHAnsi" w:cstheme="minorHAnsi"/>
          <w:sz w:val="22"/>
          <w:szCs w:val="22"/>
        </w:rPr>
        <w:t>Rs</w:t>
      </w:r>
      <w:proofErr w:type="gramEnd"/>
      <w:r w:rsidR="001A2772" w:rsidRPr="00153204">
        <w:rPr>
          <w:rFonts w:asciiTheme="minorHAnsi" w:hAnsiTheme="minorHAnsi" w:cstheme="minorHAnsi"/>
          <w:sz w:val="22"/>
          <w:szCs w:val="22"/>
        </w:rPr>
        <w:t>.</w:t>
      </w:r>
      <w:r w:rsidRPr="00153204">
        <w:rPr>
          <w:rFonts w:asciiTheme="minorHAnsi" w:hAnsiTheme="minorHAnsi" w:cstheme="minorHAnsi"/>
          <w:sz w:val="22"/>
          <w:szCs w:val="22"/>
        </w:rPr>
        <w:t xml:space="preserve"> 5</w:t>
      </w:r>
      <w:r w:rsidR="00573868">
        <w:rPr>
          <w:rFonts w:asciiTheme="minorHAnsi" w:hAnsiTheme="minorHAnsi" w:cstheme="minorHAnsi"/>
          <w:sz w:val="22"/>
          <w:szCs w:val="22"/>
        </w:rPr>
        <w:t>4</w:t>
      </w:r>
      <w:r w:rsidR="00E47A65">
        <w:rPr>
          <w:rFonts w:asciiTheme="minorHAnsi" w:hAnsiTheme="minorHAnsi" w:cstheme="minorHAnsi"/>
          <w:sz w:val="22"/>
          <w:szCs w:val="22"/>
        </w:rPr>
        <w:t>3</w:t>
      </w:r>
      <w:r w:rsidR="00573868">
        <w:rPr>
          <w:rFonts w:asciiTheme="minorHAnsi" w:hAnsiTheme="minorHAnsi" w:cstheme="minorHAnsi"/>
          <w:sz w:val="22"/>
          <w:szCs w:val="22"/>
        </w:rPr>
        <w:t>.</w:t>
      </w:r>
      <w:r w:rsidR="00E47A65">
        <w:rPr>
          <w:rFonts w:asciiTheme="minorHAnsi" w:hAnsiTheme="minorHAnsi" w:cstheme="minorHAnsi"/>
          <w:sz w:val="22"/>
          <w:szCs w:val="22"/>
        </w:rPr>
        <w:t>18</w:t>
      </w:r>
      <w:r w:rsidRPr="00153204">
        <w:rPr>
          <w:rFonts w:asciiTheme="minorHAnsi" w:hAnsiTheme="minorHAnsi" w:cstheme="minorHAnsi"/>
          <w:sz w:val="22"/>
          <w:szCs w:val="22"/>
        </w:rPr>
        <w:t xml:space="preserve"> </w:t>
      </w:r>
      <w:proofErr w:type="spellStart"/>
      <w:r w:rsidRPr="00153204">
        <w:rPr>
          <w:rFonts w:asciiTheme="minorHAnsi" w:hAnsiTheme="minorHAnsi" w:cstheme="minorHAnsi"/>
          <w:sz w:val="22"/>
          <w:szCs w:val="22"/>
        </w:rPr>
        <w:t>Crs</w:t>
      </w:r>
      <w:proofErr w:type="spellEnd"/>
      <w:r w:rsidRPr="00153204">
        <w:rPr>
          <w:rFonts w:asciiTheme="minorHAnsi" w:hAnsiTheme="minorHAnsi" w:cstheme="minorHAnsi"/>
          <w:sz w:val="22"/>
          <w:szCs w:val="22"/>
        </w:rPr>
        <w:t xml:space="preserve"> in FY 202</w:t>
      </w:r>
      <w:r w:rsidR="00573868">
        <w:rPr>
          <w:rFonts w:asciiTheme="minorHAnsi" w:hAnsiTheme="minorHAnsi" w:cstheme="minorHAnsi"/>
          <w:sz w:val="22"/>
          <w:szCs w:val="22"/>
        </w:rPr>
        <w:t>5</w:t>
      </w:r>
      <w:r w:rsidRPr="00153204">
        <w:rPr>
          <w:rFonts w:asciiTheme="minorHAnsi" w:hAnsiTheme="minorHAnsi" w:cstheme="minorHAnsi"/>
          <w:sz w:val="22"/>
          <w:szCs w:val="22"/>
        </w:rPr>
        <w:t>-2</w:t>
      </w:r>
      <w:r w:rsidR="00881E6F">
        <w:rPr>
          <w:rFonts w:asciiTheme="minorHAnsi" w:hAnsiTheme="minorHAnsi" w:cstheme="minorHAnsi"/>
          <w:sz w:val="22"/>
          <w:szCs w:val="22"/>
        </w:rPr>
        <w:t>6</w:t>
      </w:r>
      <w:r w:rsidRPr="00153204">
        <w:rPr>
          <w:rFonts w:asciiTheme="minorHAnsi" w:hAnsiTheme="minorHAnsi" w:cstheme="minorHAnsi"/>
          <w:sz w:val="22"/>
          <w:szCs w:val="22"/>
        </w:rPr>
        <w:t xml:space="preserve"> considering the following:</w:t>
      </w:r>
    </w:p>
    <w:p w14:paraId="799FC2B7" w14:textId="77777777" w:rsidR="006E4B90" w:rsidRPr="00153204" w:rsidRDefault="006E4B90" w:rsidP="006E4B90">
      <w:pPr>
        <w:pStyle w:val="Footer"/>
        <w:tabs>
          <w:tab w:val="clear" w:pos="4320"/>
          <w:tab w:val="clear" w:pos="8640"/>
        </w:tabs>
        <w:spacing w:line="360" w:lineRule="auto"/>
        <w:ind w:left="567"/>
        <w:jc w:val="both"/>
        <w:rPr>
          <w:rFonts w:asciiTheme="minorHAnsi" w:hAnsiTheme="minorHAnsi" w:cstheme="minorHAnsi"/>
          <w:sz w:val="22"/>
          <w:szCs w:val="22"/>
        </w:rPr>
      </w:pPr>
    </w:p>
    <w:p w14:paraId="00FDDE5F" w14:textId="430EE99C" w:rsidR="006E4B90" w:rsidRPr="004E41C6" w:rsidRDefault="006E4B90" w:rsidP="00914D95">
      <w:pPr>
        <w:numPr>
          <w:ilvl w:val="0"/>
          <w:numId w:val="4"/>
        </w:numPr>
        <w:tabs>
          <w:tab w:val="left" w:pos="780"/>
        </w:tabs>
        <w:spacing w:line="360" w:lineRule="auto"/>
        <w:ind w:left="567"/>
        <w:rPr>
          <w:rFonts w:asciiTheme="minorHAnsi" w:hAnsiTheme="minorHAnsi" w:cstheme="minorHAnsi"/>
          <w:sz w:val="22"/>
          <w:szCs w:val="22"/>
        </w:rPr>
      </w:pPr>
      <w:r w:rsidRPr="004E41C6">
        <w:rPr>
          <w:rFonts w:asciiTheme="minorHAnsi" w:hAnsiTheme="minorHAnsi" w:cstheme="minorHAnsi"/>
          <w:sz w:val="22"/>
          <w:szCs w:val="22"/>
        </w:rPr>
        <w:t>3% escalation conside</w:t>
      </w:r>
      <w:r w:rsidR="004E41C6" w:rsidRPr="004E41C6">
        <w:rPr>
          <w:rFonts w:asciiTheme="minorHAnsi" w:hAnsiTheme="minorHAnsi" w:cstheme="minorHAnsi"/>
          <w:sz w:val="22"/>
          <w:szCs w:val="22"/>
        </w:rPr>
        <w:t>red on Basic Salary over FY 2024</w:t>
      </w:r>
      <w:r w:rsidRPr="004E41C6">
        <w:rPr>
          <w:rFonts w:asciiTheme="minorHAnsi" w:hAnsiTheme="minorHAnsi" w:cstheme="minorHAnsi"/>
          <w:sz w:val="22"/>
          <w:szCs w:val="22"/>
        </w:rPr>
        <w:t>-2</w:t>
      </w:r>
      <w:r w:rsidR="004E41C6" w:rsidRPr="004E41C6">
        <w:rPr>
          <w:rFonts w:asciiTheme="minorHAnsi" w:hAnsiTheme="minorHAnsi" w:cstheme="minorHAnsi"/>
          <w:sz w:val="22"/>
          <w:szCs w:val="22"/>
        </w:rPr>
        <w:t>5</w:t>
      </w:r>
    </w:p>
    <w:p w14:paraId="2648879A" w14:textId="77777777" w:rsidR="006E4B90" w:rsidRPr="004E41C6" w:rsidRDefault="006E4B90" w:rsidP="00914D95">
      <w:pPr>
        <w:numPr>
          <w:ilvl w:val="0"/>
          <w:numId w:val="4"/>
        </w:numPr>
        <w:tabs>
          <w:tab w:val="left" w:pos="780"/>
        </w:tabs>
        <w:spacing w:line="360" w:lineRule="auto"/>
        <w:ind w:left="567"/>
        <w:rPr>
          <w:rFonts w:asciiTheme="minorHAnsi" w:hAnsiTheme="minorHAnsi" w:cstheme="minorHAnsi"/>
          <w:sz w:val="22"/>
          <w:szCs w:val="22"/>
        </w:rPr>
      </w:pPr>
      <w:r w:rsidRPr="004E41C6">
        <w:rPr>
          <w:rFonts w:asciiTheme="minorHAnsi" w:hAnsiTheme="minorHAnsi" w:cstheme="minorHAnsi"/>
          <w:sz w:val="22"/>
          <w:szCs w:val="22"/>
        </w:rPr>
        <w:t>Housing Rent allowance considered at 20% of Basic Salary</w:t>
      </w:r>
    </w:p>
    <w:p w14:paraId="4786F56A" w14:textId="77777777" w:rsidR="006E4B90" w:rsidRPr="004E41C6" w:rsidRDefault="006E4B90" w:rsidP="00914D95">
      <w:pPr>
        <w:numPr>
          <w:ilvl w:val="0"/>
          <w:numId w:val="4"/>
        </w:numPr>
        <w:tabs>
          <w:tab w:val="left" w:pos="780"/>
        </w:tabs>
        <w:spacing w:line="360" w:lineRule="auto"/>
        <w:ind w:left="567"/>
        <w:rPr>
          <w:rFonts w:asciiTheme="minorHAnsi" w:hAnsiTheme="minorHAnsi" w:cstheme="minorHAnsi"/>
          <w:sz w:val="22"/>
          <w:szCs w:val="22"/>
        </w:rPr>
      </w:pPr>
      <w:r w:rsidRPr="004E41C6">
        <w:rPr>
          <w:rFonts w:asciiTheme="minorHAnsi" w:hAnsiTheme="minorHAnsi" w:cstheme="minorHAnsi"/>
          <w:sz w:val="22"/>
          <w:szCs w:val="22"/>
        </w:rPr>
        <w:t>Reimbursement of Medical expenses are considered at 5% of the basic Salary.</w:t>
      </w:r>
    </w:p>
    <w:p w14:paraId="1F81BA04" w14:textId="355279C9" w:rsidR="006E4B90" w:rsidRPr="004E41C6" w:rsidRDefault="006E4B90" w:rsidP="00914D95">
      <w:pPr>
        <w:numPr>
          <w:ilvl w:val="0"/>
          <w:numId w:val="4"/>
        </w:numPr>
        <w:tabs>
          <w:tab w:val="left" w:pos="780"/>
        </w:tabs>
        <w:spacing w:line="360" w:lineRule="auto"/>
        <w:ind w:left="567"/>
        <w:rPr>
          <w:rFonts w:asciiTheme="minorHAnsi" w:hAnsiTheme="minorHAnsi" w:cstheme="minorHAnsi"/>
          <w:sz w:val="22"/>
          <w:szCs w:val="22"/>
        </w:rPr>
      </w:pPr>
      <w:r w:rsidRPr="004E41C6">
        <w:rPr>
          <w:rFonts w:asciiTheme="minorHAnsi" w:hAnsiTheme="minorHAnsi" w:cstheme="minorHAnsi"/>
          <w:sz w:val="22"/>
          <w:szCs w:val="22"/>
        </w:rPr>
        <w:t>Nominal escalation of 10% considered for other employee allowances.</w:t>
      </w:r>
    </w:p>
    <w:p w14:paraId="3816EDC9" w14:textId="723ABDEC" w:rsidR="003871CC" w:rsidRPr="004E41C6" w:rsidRDefault="003871CC" w:rsidP="00914D95">
      <w:pPr>
        <w:numPr>
          <w:ilvl w:val="0"/>
          <w:numId w:val="4"/>
        </w:numPr>
        <w:tabs>
          <w:tab w:val="left" w:pos="780"/>
        </w:tabs>
        <w:spacing w:line="360" w:lineRule="auto"/>
        <w:ind w:left="567"/>
        <w:rPr>
          <w:rFonts w:asciiTheme="minorHAnsi" w:hAnsiTheme="minorHAnsi" w:cstheme="minorHAnsi"/>
          <w:sz w:val="22"/>
          <w:szCs w:val="22"/>
        </w:rPr>
      </w:pPr>
      <w:r w:rsidRPr="004E41C6">
        <w:rPr>
          <w:rFonts w:asciiTheme="minorHAnsi" w:hAnsiTheme="minorHAnsi" w:cstheme="minorHAnsi"/>
          <w:sz w:val="22"/>
          <w:szCs w:val="22"/>
        </w:rPr>
        <w:t>Interest cost for providing</w:t>
      </w:r>
      <w:r w:rsidR="00DC7E20" w:rsidRPr="004E41C6">
        <w:rPr>
          <w:rFonts w:asciiTheme="minorHAnsi" w:hAnsiTheme="minorHAnsi" w:cstheme="minorHAnsi"/>
          <w:sz w:val="22"/>
          <w:szCs w:val="22"/>
        </w:rPr>
        <w:t xml:space="preserve"> interest free advance to eligible employee for</w:t>
      </w:r>
      <w:r w:rsidRPr="004E41C6">
        <w:rPr>
          <w:rFonts w:asciiTheme="minorHAnsi" w:hAnsiTheme="minorHAnsi" w:cstheme="minorHAnsi"/>
          <w:sz w:val="22"/>
          <w:szCs w:val="22"/>
        </w:rPr>
        <w:t xml:space="preserve"> EV under Staff welfare</w:t>
      </w:r>
    </w:p>
    <w:p w14:paraId="39040E44" w14:textId="2FA672BE" w:rsidR="00181E31" w:rsidRPr="004E41C6" w:rsidRDefault="00181E31" w:rsidP="00914D95">
      <w:pPr>
        <w:numPr>
          <w:ilvl w:val="0"/>
          <w:numId w:val="4"/>
        </w:numPr>
        <w:tabs>
          <w:tab w:val="left" w:pos="780"/>
        </w:tabs>
        <w:spacing w:line="360" w:lineRule="auto"/>
        <w:ind w:left="567"/>
        <w:rPr>
          <w:rFonts w:asciiTheme="minorHAnsi" w:hAnsiTheme="minorHAnsi" w:cstheme="minorHAnsi"/>
          <w:sz w:val="22"/>
          <w:szCs w:val="22"/>
        </w:rPr>
      </w:pPr>
      <w:r w:rsidRPr="004E41C6">
        <w:rPr>
          <w:rFonts w:asciiTheme="minorHAnsi" w:hAnsiTheme="minorHAnsi" w:cstheme="minorHAnsi"/>
          <w:sz w:val="22"/>
          <w:szCs w:val="22"/>
        </w:rPr>
        <w:t xml:space="preserve">Impact of cadre restructuring </w:t>
      </w:r>
    </w:p>
    <w:p w14:paraId="2E63EAAA" w14:textId="5294EAC3" w:rsidR="00181E31" w:rsidRDefault="00181E31" w:rsidP="00914D95">
      <w:pPr>
        <w:numPr>
          <w:ilvl w:val="0"/>
          <w:numId w:val="4"/>
        </w:numPr>
        <w:tabs>
          <w:tab w:val="left" w:pos="780"/>
        </w:tabs>
        <w:spacing w:line="360" w:lineRule="auto"/>
        <w:ind w:left="567"/>
        <w:rPr>
          <w:rFonts w:asciiTheme="minorHAnsi" w:hAnsiTheme="minorHAnsi" w:cstheme="minorHAnsi"/>
          <w:sz w:val="22"/>
          <w:szCs w:val="22"/>
        </w:rPr>
      </w:pPr>
      <w:r w:rsidRPr="004E41C6">
        <w:rPr>
          <w:rFonts w:asciiTheme="minorHAnsi" w:hAnsiTheme="minorHAnsi" w:cstheme="minorHAnsi"/>
          <w:sz w:val="22"/>
          <w:szCs w:val="22"/>
        </w:rPr>
        <w:t xml:space="preserve">Impact of wage revision </w:t>
      </w:r>
      <w:r w:rsidR="00466DB4">
        <w:rPr>
          <w:rFonts w:asciiTheme="minorHAnsi" w:hAnsiTheme="minorHAnsi" w:cstheme="minorHAnsi"/>
          <w:sz w:val="22"/>
          <w:szCs w:val="22"/>
        </w:rPr>
        <w:t>and revision of minimum wages</w:t>
      </w:r>
    </w:p>
    <w:p w14:paraId="35FF2790" w14:textId="77777777" w:rsidR="006A7BDF" w:rsidRPr="004E41C6" w:rsidRDefault="006A7BDF" w:rsidP="006A7BDF">
      <w:pPr>
        <w:tabs>
          <w:tab w:val="left" w:pos="780"/>
        </w:tabs>
        <w:spacing w:line="360" w:lineRule="auto"/>
        <w:ind w:left="567"/>
        <w:rPr>
          <w:rFonts w:asciiTheme="minorHAnsi" w:hAnsiTheme="minorHAnsi" w:cstheme="minorHAnsi"/>
          <w:sz w:val="22"/>
          <w:szCs w:val="22"/>
        </w:rPr>
      </w:pPr>
    </w:p>
    <w:p w14:paraId="32A7F48E" w14:textId="07882A6B" w:rsidR="006E4B90" w:rsidRDefault="006A7BDF" w:rsidP="006E4B90">
      <w:pPr>
        <w:pStyle w:val="BodyText2"/>
        <w:spacing w:line="360" w:lineRule="auto"/>
        <w:jc w:val="center"/>
        <w:rPr>
          <w:rFonts w:asciiTheme="minorHAnsi" w:hAnsiTheme="minorHAnsi" w:cstheme="minorHAnsi"/>
          <w:b/>
          <w:sz w:val="22"/>
          <w:szCs w:val="22"/>
          <w:lang w:val="en-GB"/>
        </w:rPr>
      </w:pPr>
      <w:r>
        <w:rPr>
          <w:rFonts w:asciiTheme="minorHAnsi" w:hAnsiTheme="minorHAnsi" w:cstheme="minorHAnsi"/>
          <w:b/>
          <w:sz w:val="22"/>
          <w:szCs w:val="22"/>
        </w:rPr>
        <w:t xml:space="preserve">            </w:t>
      </w:r>
      <w:r w:rsidR="009D2B56" w:rsidRPr="00153204">
        <w:rPr>
          <w:rFonts w:asciiTheme="minorHAnsi" w:hAnsiTheme="minorHAnsi" w:cstheme="minorHAnsi"/>
          <w:b/>
          <w:sz w:val="22"/>
          <w:szCs w:val="22"/>
        </w:rPr>
        <w:t xml:space="preserve"> </w:t>
      </w:r>
      <w:r w:rsidR="00482BFE">
        <w:rPr>
          <w:rFonts w:asciiTheme="minorHAnsi" w:hAnsiTheme="minorHAnsi" w:cstheme="minorHAnsi"/>
          <w:b/>
          <w:sz w:val="22"/>
          <w:szCs w:val="22"/>
        </w:rPr>
        <w:t xml:space="preserve">                        </w:t>
      </w:r>
      <w:r w:rsidR="009D2B56" w:rsidRPr="00153204">
        <w:rPr>
          <w:rFonts w:asciiTheme="minorHAnsi" w:hAnsiTheme="minorHAnsi" w:cstheme="minorHAnsi"/>
          <w:b/>
          <w:sz w:val="22"/>
          <w:szCs w:val="22"/>
        </w:rPr>
        <w:t>Table-1</w:t>
      </w:r>
      <w:r w:rsidR="00482BFE">
        <w:rPr>
          <w:rFonts w:asciiTheme="minorHAnsi" w:hAnsiTheme="minorHAnsi" w:cstheme="minorHAnsi"/>
          <w:b/>
          <w:sz w:val="22"/>
          <w:szCs w:val="22"/>
        </w:rPr>
        <w:t>6</w:t>
      </w:r>
      <w:r w:rsidR="006E4B90" w:rsidRPr="00153204">
        <w:rPr>
          <w:rFonts w:asciiTheme="minorHAnsi" w:hAnsiTheme="minorHAnsi" w:cstheme="minorHAnsi"/>
          <w:b/>
          <w:sz w:val="22"/>
          <w:szCs w:val="22"/>
        </w:rPr>
        <w:t xml:space="preserve">: Employee Cost              </w:t>
      </w:r>
      <w:r w:rsidR="00482BFE">
        <w:rPr>
          <w:rFonts w:asciiTheme="minorHAnsi" w:hAnsiTheme="minorHAnsi" w:cstheme="minorHAnsi"/>
          <w:b/>
          <w:sz w:val="22"/>
          <w:szCs w:val="22"/>
        </w:rPr>
        <w:t xml:space="preserve">       </w:t>
      </w:r>
      <w:proofErr w:type="gramStart"/>
      <w:r w:rsidR="00482BFE">
        <w:rPr>
          <w:rFonts w:asciiTheme="minorHAnsi" w:hAnsiTheme="minorHAnsi" w:cstheme="minorHAnsi"/>
          <w:b/>
          <w:sz w:val="22"/>
          <w:szCs w:val="22"/>
        </w:rPr>
        <w:t xml:space="preserve">   </w:t>
      </w:r>
      <w:r w:rsidR="006E4B90" w:rsidRPr="00153204">
        <w:rPr>
          <w:rFonts w:asciiTheme="minorHAnsi" w:hAnsiTheme="minorHAnsi" w:cstheme="minorHAnsi"/>
          <w:b/>
          <w:sz w:val="22"/>
          <w:szCs w:val="22"/>
          <w:lang w:val="en-GB"/>
        </w:rPr>
        <w:t>(</w:t>
      </w:r>
      <w:proofErr w:type="gramEnd"/>
      <w:r w:rsidR="006E4B90" w:rsidRPr="00153204">
        <w:rPr>
          <w:rFonts w:asciiTheme="minorHAnsi" w:hAnsiTheme="minorHAnsi" w:cstheme="minorHAnsi"/>
          <w:b/>
          <w:sz w:val="22"/>
          <w:szCs w:val="22"/>
          <w:lang w:val="en-GB"/>
        </w:rPr>
        <w:t xml:space="preserve"> In </w:t>
      </w:r>
      <w:r w:rsidR="001A2772" w:rsidRPr="00153204">
        <w:rPr>
          <w:rFonts w:asciiTheme="minorHAnsi" w:hAnsiTheme="minorHAnsi" w:cstheme="minorHAnsi"/>
          <w:b/>
          <w:sz w:val="22"/>
          <w:szCs w:val="22"/>
          <w:lang w:val="en-GB"/>
        </w:rPr>
        <w:t>Rs.</w:t>
      </w:r>
      <w:r w:rsidR="006E4B90" w:rsidRPr="00153204">
        <w:rPr>
          <w:rFonts w:asciiTheme="minorHAnsi" w:hAnsiTheme="minorHAnsi" w:cstheme="minorHAnsi"/>
          <w:b/>
          <w:sz w:val="22"/>
          <w:szCs w:val="22"/>
          <w:lang w:val="en-GB"/>
        </w:rPr>
        <w:t xml:space="preserve"> </w:t>
      </w:r>
      <w:proofErr w:type="spellStart"/>
      <w:r w:rsidR="006E4B90" w:rsidRPr="00153204">
        <w:rPr>
          <w:rFonts w:asciiTheme="minorHAnsi" w:hAnsiTheme="minorHAnsi" w:cstheme="minorHAnsi"/>
          <w:b/>
          <w:sz w:val="22"/>
          <w:szCs w:val="22"/>
          <w:lang w:val="en-GB"/>
        </w:rPr>
        <w:t>Crs</w:t>
      </w:r>
      <w:proofErr w:type="spellEnd"/>
      <w:r w:rsidR="006E4B90" w:rsidRPr="00153204">
        <w:rPr>
          <w:rFonts w:asciiTheme="minorHAnsi" w:hAnsiTheme="minorHAnsi" w:cstheme="minorHAnsi"/>
          <w:b/>
          <w:sz w:val="22"/>
          <w:szCs w:val="22"/>
          <w:lang w:val="en-GB"/>
        </w:rPr>
        <w:t>)</w:t>
      </w:r>
    </w:p>
    <w:tbl>
      <w:tblPr>
        <w:tblW w:w="8776" w:type="dxa"/>
        <w:tblInd w:w="898" w:type="dxa"/>
        <w:tblLook w:val="04A0" w:firstRow="1" w:lastRow="0" w:firstColumn="1" w:lastColumn="0" w:noHBand="0" w:noVBand="1"/>
      </w:tblPr>
      <w:tblGrid>
        <w:gridCol w:w="2494"/>
        <w:gridCol w:w="2429"/>
        <w:gridCol w:w="1871"/>
        <w:gridCol w:w="1982"/>
      </w:tblGrid>
      <w:tr w:rsidR="004E41C6" w:rsidRPr="00627B2A" w14:paraId="62263EC1" w14:textId="77777777" w:rsidTr="00482BFE">
        <w:trPr>
          <w:trHeight w:val="606"/>
        </w:trPr>
        <w:tc>
          <w:tcPr>
            <w:tcW w:w="2494" w:type="dxa"/>
            <w:tcBorders>
              <w:top w:val="single" w:sz="8" w:space="0" w:color="auto"/>
              <w:left w:val="single" w:sz="8" w:space="0" w:color="auto"/>
              <w:bottom w:val="single" w:sz="8" w:space="0" w:color="auto"/>
              <w:right w:val="single" w:sz="8" w:space="0" w:color="auto"/>
            </w:tcBorders>
            <w:shd w:val="clear" w:color="auto" w:fill="95B3D7" w:themeFill="accent1" w:themeFillTint="99"/>
            <w:vAlign w:val="center"/>
            <w:hideMark/>
          </w:tcPr>
          <w:p w14:paraId="41F48402" w14:textId="77777777" w:rsidR="004E41C6" w:rsidRPr="00627B2A" w:rsidRDefault="004E41C6">
            <w:pPr>
              <w:rPr>
                <w:rFonts w:asciiTheme="minorHAnsi" w:hAnsiTheme="minorHAnsi" w:cstheme="minorHAnsi"/>
                <w:color w:val="000000"/>
                <w:sz w:val="22"/>
                <w:szCs w:val="22"/>
                <w:lang w:val="en-IN" w:eastAsia="en-IN"/>
              </w:rPr>
            </w:pPr>
            <w:r w:rsidRPr="00627B2A">
              <w:rPr>
                <w:rFonts w:asciiTheme="minorHAnsi" w:hAnsiTheme="minorHAnsi" w:cstheme="minorHAnsi"/>
                <w:color w:val="000000"/>
                <w:sz w:val="22"/>
                <w:szCs w:val="22"/>
              </w:rPr>
              <w:t xml:space="preserve">           </w:t>
            </w:r>
            <w:r w:rsidRPr="00627B2A">
              <w:rPr>
                <w:rFonts w:asciiTheme="minorHAnsi" w:hAnsiTheme="minorHAnsi" w:cstheme="minorHAnsi"/>
                <w:b/>
                <w:bCs/>
                <w:color w:val="000000"/>
                <w:sz w:val="22"/>
                <w:szCs w:val="22"/>
              </w:rPr>
              <w:t>Particulars</w:t>
            </w:r>
          </w:p>
        </w:tc>
        <w:tc>
          <w:tcPr>
            <w:tcW w:w="2429" w:type="dxa"/>
            <w:tcBorders>
              <w:top w:val="single" w:sz="8" w:space="0" w:color="auto"/>
              <w:left w:val="nil"/>
              <w:bottom w:val="single" w:sz="8" w:space="0" w:color="auto"/>
              <w:right w:val="single" w:sz="8" w:space="0" w:color="auto"/>
            </w:tcBorders>
            <w:shd w:val="clear" w:color="auto" w:fill="95B3D7" w:themeFill="accent1" w:themeFillTint="99"/>
            <w:vAlign w:val="center"/>
            <w:hideMark/>
          </w:tcPr>
          <w:p w14:paraId="6B702718" w14:textId="77777777" w:rsidR="004E41C6" w:rsidRDefault="004E41C6" w:rsidP="00E33039">
            <w:pPr>
              <w:jc w:val="center"/>
              <w:rPr>
                <w:rFonts w:asciiTheme="minorHAnsi" w:hAnsiTheme="minorHAnsi" w:cstheme="minorHAnsi"/>
                <w:b/>
                <w:bCs/>
                <w:color w:val="000000"/>
                <w:sz w:val="22"/>
                <w:szCs w:val="22"/>
              </w:rPr>
            </w:pPr>
            <w:r w:rsidRPr="00627B2A">
              <w:rPr>
                <w:rFonts w:asciiTheme="minorHAnsi" w:hAnsiTheme="minorHAnsi" w:cstheme="minorHAnsi"/>
                <w:b/>
                <w:bCs/>
                <w:color w:val="000000"/>
                <w:sz w:val="22"/>
                <w:szCs w:val="22"/>
              </w:rPr>
              <w:t>FY 2023-24</w:t>
            </w:r>
          </w:p>
          <w:p w14:paraId="5C7928BA" w14:textId="5150B686" w:rsidR="00B06BD1" w:rsidRPr="00627B2A" w:rsidRDefault="00B06BD1" w:rsidP="00E33039">
            <w:pPr>
              <w:jc w:val="center"/>
              <w:rPr>
                <w:rFonts w:asciiTheme="minorHAnsi" w:hAnsiTheme="minorHAnsi" w:cstheme="minorHAnsi"/>
                <w:b/>
                <w:bCs/>
                <w:color w:val="000000"/>
                <w:sz w:val="22"/>
                <w:szCs w:val="22"/>
              </w:rPr>
            </w:pPr>
            <w:r>
              <w:rPr>
                <w:rFonts w:asciiTheme="minorHAnsi" w:hAnsiTheme="minorHAnsi" w:cstheme="minorHAnsi"/>
                <w:b/>
                <w:bCs/>
                <w:color w:val="000000"/>
                <w:sz w:val="22"/>
                <w:szCs w:val="22"/>
              </w:rPr>
              <w:t>(Actual)</w:t>
            </w:r>
          </w:p>
        </w:tc>
        <w:tc>
          <w:tcPr>
            <w:tcW w:w="1871" w:type="dxa"/>
            <w:tcBorders>
              <w:top w:val="single" w:sz="8" w:space="0" w:color="auto"/>
              <w:left w:val="nil"/>
              <w:bottom w:val="single" w:sz="8" w:space="0" w:color="auto"/>
              <w:right w:val="single" w:sz="8" w:space="0" w:color="auto"/>
            </w:tcBorders>
            <w:shd w:val="clear" w:color="auto" w:fill="95B3D7" w:themeFill="accent1" w:themeFillTint="99"/>
            <w:vAlign w:val="center"/>
            <w:hideMark/>
          </w:tcPr>
          <w:p w14:paraId="14082665" w14:textId="77777777" w:rsidR="004E41C6" w:rsidRDefault="004E41C6" w:rsidP="00E33039">
            <w:pPr>
              <w:jc w:val="center"/>
              <w:rPr>
                <w:rFonts w:asciiTheme="minorHAnsi" w:hAnsiTheme="minorHAnsi" w:cstheme="minorHAnsi"/>
                <w:b/>
                <w:bCs/>
                <w:color w:val="000000"/>
                <w:sz w:val="22"/>
                <w:szCs w:val="22"/>
              </w:rPr>
            </w:pPr>
            <w:r w:rsidRPr="00627B2A">
              <w:rPr>
                <w:rFonts w:asciiTheme="minorHAnsi" w:hAnsiTheme="minorHAnsi" w:cstheme="minorHAnsi"/>
                <w:b/>
                <w:bCs/>
                <w:color w:val="000000"/>
                <w:sz w:val="22"/>
                <w:szCs w:val="22"/>
              </w:rPr>
              <w:t>FY 2024-25</w:t>
            </w:r>
          </w:p>
          <w:p w14:paraId="2F1C45E8" w14:textId="0B8422A1" w:rsidR="00B06BD1" w:rsidRPr="00627B2A" w:rsidRDefault="00B06BD1" w:rsidP="00E33039">
            <w:pPr>
              <w:jc w:val="center"/>
              <w:rPr>
                <w:rFonts w:asciiTheme="minorHAnsi" w:hAnsiTheme="minorHAnsi" w:cstheme="minorHAnsi"/>
                <w:b/>
                <w:bCs/>
                <w:color w:val="000000"/>
                <w:sz w:val="22"/>
                <w:szCs w:val="22"/>
              </w:rPr>
            </w:pPr>
            <w:r>
              <w:rPr>
                <w:rFonts w:asciiTheme="minorHAnsi" w:hAnsiTheme="minorHAnsi" w:cstheme="minorHAnsi"/>
                <w:b/>
                <w:bCs/>
                <w:color w:val="000000"/>
                <w:sz w:val="22"/>
                <w:szCs w:val="22"/>
              </w:rPr>
              <w:t>(Estimated)</w:t>
            </w:r>
          </w:p>
        </w:tc>
        <w:tc>
          <w:tcPr>
            <w:tcW w:w="0" w:type="auto"/>
            <w:tcBorders>
              <w:top w:val="single" w:sz="8" w:space="0" w:color="auto"/>
              <w:left w:val="nil"/>
              <w:bottom w:val="single" w:sz="8" w:space="0" w:color="auto"/>
              <w:right w:val="single" w:sz="8" w:space="0" w:color="auto"/>
            </w:tcBorders>
            <w:shd w:val="clear" w:color="auto" w:fill="95B3D7" w:themeFill="accent1" w:themeFillTint="99"/>
            <w:vAlign w:val="center"/>
            <w:hideMark/>
          </w:tcPr>
          <w:p w14:paraId="675DD023" w14:textId="77777777" w:rsidR="004E41C6" w:rsidRDefault="004E41C6" w:rsidP="00E33039">
            <w:pPr>
              <w:jc w:val="center"/>
              <w:rPr>
                <w:rFonts w:asciiTheme="minorHAnsi" w:hAnsiTheme="minorHAnsi" w:cstheme="minorHAnsi"/>
                <w:b/>
                <w:bCs/>
                <w:color w:val="000000"/>
                <w:sz w:val="22"/>
                <w:szCs w:val="22"/>
              </w:rPr>
            </w:pPr>
            <w:r w:rsidRPr="00627B2A">
              <w:rPr>
                <w:rFonts w:asciiTheme="minorHAnsi" w:hAnsiTheme="minorHAnsi" w:cstheme="minorHAnsi"/>
                <w:b/>
                <w:bCs/>
                <w:color w:val="000000"/>
                <w:sz w:val="22"/>
                <w:szCs w:val="22"/>
              </w:rPr>
              <w:t>FY 2025-26</w:t>
            </w:r>
          </w:p>
          <w:p w14:paraId="6AB2A30E" w14:textId="1330C830" w:rsidR="00B06BD1" w:rsidRPr="00627B2A" w:rsidRDefault="00B06BD1" w:rsidP="00E33039">
            <w:pPr>
              <w:jc w:val="center"/>
              <w:rPr>
                <w:rFonts w:asciiTheme="minorHAnsi" w:hAnsiTheme="minorHAnsi" w:cstheme="minorHAnsi"/>
                <w:b/>
                <w:bCs/>
                <w:color w:val="000000"/>
                <w:sz w:val="22"/>
                <w:szCs w:val="22"/>
              </w:rPr>
            </w:pPr>
            <w:r>
              <w:rPr>
                <w:rFonts w:asciiTheme="minorHAnsi" w:hAnsiTheme="minorHAnsi" w:cstheme="minorHAnsi"/>
                <w:b/>
                <w:bCs/>
                <w:color w:val="000000"/>
                <w:sz w:val="22"/>
                <w:szCs w:val="22"/>
              </w:rPr>
              <w:t>(Projection)</w:t>
            </w:r>
          </w:p>
        </w:tc>
      </w:tr>
      <w:tr w:rsidR="004E41C6" w:rsidRPr="00627B2A" w14:paraId="7AE3E34B" w14:textId="77777777" w:rsidTr="00482BFE">
        <w:trPr>
          <w:trHeight w:val="324"/>
        </w:trPr>
        <w:tc>
          <w:tcPr>
            <w:tcW w:w="2494" w:type="dxa"/>
            <w:tcBorders>
              <w:top w:val="nil"/>
              <w:left w:val="single" w:sz="8" w:space="0" w:color="auto"/>
              <w:bottom w:val="single" w:sz="8" w:space="0" w:color="auto"/>
              <w:right w:val="single" w:sz="8" w:space="0" w:color="auto"/>
            </w:tcBorders>
            <w:shd w:val="clear" w:color="auto" w:fill="auto"/>
            <w:vAlign w:val="center"/>
            <w:hideMark/>
          </w:tcPr>
          <w:p w14:paraId="704256D0" w14:textId="77777777" w:rsidR="004E41C6" w:rsidRPr="00627B2A" w:rsidRDefault="004E41C6">
            <w:pPr>
              <w:rPr>
                <w:rFonts w:asciiTheme="minorHAnsi" w:hAnsiTheme="minorHAnsi" w:cstheme="minorHAnsi"/>
                <w:color w:val="000000"/>
                <w:sz w:val="22"/>
                <w:szCs w:val="22"/>
              </w:rPr>
            </w:pPr>
            <w:r w:rsidRPr="00627B2A">
              <w:rPr>
                <w:rFonts w:asciiTheme="minorHAnsi" w:hAnsiTheme="minorHAnsi" w:cstheme="minorHAnsi"/>
                <w:color w:val="000000"/>
                <w:sz w:val="22"/>
                <w:szCs w:val="22"/>
              </w:rPr>
              <w:t xml:space="preserve">Employee Cost </w:t>
            </w:r>
          </w:p>
        </w:tc>
        <w:tc>
          <w:tcPr>
            <w:tcW w:w="2429" w:type="dxa"/>
            <w:tcBorders>
              <w:top w:val="nil"/>
              <w:left w:val="nil"/>
              <w:bottom w:val="single" w:sz="8" w:space="0" w:color="auto"/>
              <w:right w:val="single" w:sz="8" w:space="0" w:color="auto"/>
            </w:tcBorders>
            <w:shd w:val="clear" w:color="auto" w:fill="auto"/>
            <w:vAlign w:val="center"/>
            <w:hideMark/>
          </w:tcPr>
          <w:p w14:paraId="3C096E90" w14:textId="626F056D" w:rsidR="004E41C6" w:rsidRPr="00627B2A" w:rsidRDefault="004E41C6" w:rsidP="00E33039">
            <w:pPr>
              <w:jc w:val="center"/>
              <w:rPr>
                <w:rFonts w:asciiTheme="minorHAnsi" w:hAnsiTheme="minorHAnsi" w:cstheme="minorHAnsi"/>
                <w:color w:val="000000"/>
                <w:sz w:val="22"/>
                <w:szCs w:val="22"/>
              </w:rPr>
            </w:pPr>
            <w:r w:rsidRPr="00627B2A">
              <w:rPr>
                <w:rFonts w:asciiTheme="minorHAnsi" w:hAnsiTheme="minorHAnsi" w:cstheme="minorHAnsi"/>
                <w:color w:val="000000"/>
                <w:sz w:val="22"/>
                <w:szCs w:val="22"/>
              </w:rPr>
              <w:t>496.09</w:t>
            </w:r>
          </w:p>
        </w:tc>
        <w:tc>
          <w:tcPr>
            <w:tcW w:w="1871" w:type="dxa"/>
            <w:tcBorders>
              <w:top w:val="nil"/>
              <w:left w:val="nil"/>
              <w:bottom w:val="single" w:sz="8" w:space="0" w:color="auto"/>
              <w:right w:val="single" w:sz="8" w:space="0" w:color="auto"/>
            </w:tcBorders>
            <w:shd w:val="clear" w:color="auto" w:fill="auto"/>
            <w:vAlign w:val="center"/>
            <w:hideMark/>
          </w:tcPr>
          <w:p w14:paraId="50E34DAC" w14:textId="30599E58" w:rsidR="004E41C6" w:rsidRPr="00627B2A" w:rsidRDefault="004E41C6" w:rsidP="00E33039">
            <w:pPr>
              <w:jc w:val="center"/>
              <w:rPr>
                <w:rFonts w:asciiTheme="minorHAnsi" w:hAnsiTheme="minorHAnsi" w:cstheme="minorHAnsi"/>
                <w:color w:val="000000"/>
                <w:sz w:val="22"/>
                <w:szCs w:val="22"/>
              </w:rPr>
            </w:pPr>
            <w:r w:rsidRPr="00627B2A">
              <w:rPr>
                <w:rFonts w:asciiTheme="minorHAnsi" w:hAnsiTheme="minorHAnsi" w:cstheme="minorHAnsi"/>
                <w:color w:val="000000"/>
                <w:sz w:val="22"/>
                <w:szCs w:val="22"/>
              </w:rPr>
              <w:t>5</w:t>
            </w:r>
            <w:r w:rsidR="00944AAE">
              <w:rPr>
                <w:rFonts w:asciiTheme="minorHAnsi" w:hAnsiTheme="minorHAnsi" w:cstheme="minorHAnsi"/>
                <w:color w:val="000000"/>
                <w:sz w:val="22"/>
                <w:szCs w:val="22"/>
              </w:rPr>
              <w:t>31.</w:t>
            </w:r>
            <w:r w:rsidR="00BF1CBD">
              <w:rPr>
                <w:rFonts w:asciiTheme="minorHAnsi" w:hAnsiTheme="minorHAnsi" w:cstheme="minorHAnsi"/>
                <w:color w:val="000000"/>
                <w:sz w:val="22"/>
                <w:szCs w:val="22"/>
              </w:rPr>
              <w:t>14</w:t>
            </w:r>
          </w:p>
        </w:tc>
        <w:tc>
          <w:tcPr>
            <w:tcW w:w="0" w:type="auto"/>
            <w:tcBorders>
              <w:top w:val="nil"/>
              <w:left w:val="nil"/>
              <w:bottom w:val="single" w:sz="8" w:space="0" w:color="auto"/>
              <w:right w:val="single" w:sz="8" w:space="0" w:color="auto"/>
            </w:tcBorders>
            <w:shd w:val="clear" w:color="auto" w:fill="auto"/>
            <w:vAlign w:val="center"/>
            <w:hideMark/>
          </w:tcPr>
          <w:p w14:paraId="3B27A4A3" w14:textId="47113DE6" w:rsidR="004E41C6" w:rsidRPr="00627B2A" w:rsidRDefault="004E41C6" w:rsidP="00E33039">
            <w:pPr>
              <w:jc w:val="center"/>
              <w:rPr>
                <w:rFonts w:asciiTheme="minorHAnsi" w:hAnsiTheme="minorHAnsi" w:cstheme="minorHAnsi"/>
                <w:color w:val="000000"/>
                <w:sz w:val="22"/>
                <w:szCs w:val="22"/>
              </w:rPr>
            </w:pPr>
            <w:r w:rsidRPr="00627B2A">
              <w:rPr>
                <w:rFonts w:asciiTheme="minorHAnsi" w:hAnsiTheme="minorHAnsi" w:cstheme="minorHAnsi"/>
                <w:color w:val="000000"/>
                <w:sz w:val="22"/>
                <w:szCs w:val="22"/>
              </w:rPr>
              <w:t>561.36</w:t>
            </w:r>
          </w:p>
        </w:tc>
      </w:tr>
      <w:tr w:rsidR="004E41C6" w:rsidRPr="00627B2A" w14:paraId="04A0C8AE" w14:textId="77777777" w:rsidTr="00482BFE">
        <w:trPr>
          <w:trHeight w:val="576"/>
        </w:trPr>
        <w:tc>
          <w:tcPr>
            <w:tcW w:w="2494" w:type="dxa"/>
            <w:tcBorders>
              <w:top w:val="nil"/>
              <w:left w:val="single" w:sz="8" w:space="0" w:color="auto"/>
              <w:bottom w:val="single" w:sz="8" w:space="0" w:color="auto"/>
              <w:right w:val="single" w:sz="8" w:space="0" w:color="auto"/>
            </w:tcBorders>
            <w:shd w:val="clear" w:color="auto" w:fill="auto"/>
            <w:vAlign w:val="center"/>
            <w:hideMark/>
          </w:tcPr>
          <w:p w14:paraId="1393AB89" w14:textId="77777777" w:rsidR="004E41C6" w:rsidRPr="00627B2A" w:rsidRDefault="004E41C6">
            <w:pPr>
              <w:rPr>
                <w:rFonts w:asciiTheme="minorHAnsi" w:hAnsiTheme="minorHAnsi" w:cstheme="minorHAnsi"/>
                <w:color w:val="000000"/>
                <w:sz w:val="22"/>
                <w:szCs w:val="22"/>
              </w:rPr>
            </w:pPr>
            <w:r w:rsidRPr="00627B2A">
              <w:rPr>
                <w:rFonts w:asciiTheme="minorHAnsi" w:hAnsiTheme="minorHAnsi" w:cstheme="minorHAnsi"/>
                <w:color w:val="000000"/>
                <w:sz w:val="22"/>
                <w:szCs w:val="22"/>
              </w:rPr>
              <w:t>Less: Cost Capitalized</w:t>
            </w:r>
          </w:p>
        </w:tc>
        <w:tc>
          <w:tcPr>
            <w:tcW w:w="2429" w:type="dxa"/>
            <w:tcBorders>
              <w:top w:val="nil"/>
              <w:left w:val="nil"/>
              <w:bottom w:val="single" w:sz="8" w:space="0" w:color="auto"/>
              <w:right w:val="single" w:sz="8" w:space="0" w:color="auto"/>
            </w:tcBorders>
            <w:shd w:val="clear" w:color="auto" w:fill="auto"/>
            <w:vAlign w:val="center"/>
            <w:hideMark/>
          </w:tcPr>
          <w:p w14:paraId="232860D7" w14:textId="77777777" w:rsidR="004E41C6" w:rsidRPr="00627B2A" w:rsidRDefault="004E41C6" w:rsidP="00E33039">
            <w:pPr>
              <w:jc w:val="center"/>
              <w:rPr>
                <w:rFonts w:asciiTheme="minorHAnsi" w:hAnsiTheme="minorHAnsi" w:cstheme="minorHAnsi"/>
                <w:color w:val="000000"/>
                <w:sz w:val="22"/>
                <w:szCs w:val="22"/>
              </w:rPr>
            </w:pPr>
            <w:r w:rsidRPr="00627B2A">
              <w:rPr>
                <w:rFonts w:asciiTheme="minorHAnsi" w:hAnsiTheme="minorHAnsi" w:cstheme="minorHAnsi"/>
                <w:color w:val="000000"/>
                <w:sz w:val="22"/>
                <w:szCs w:val="22"/>
              </w:rPr>
              <w:t>16.70</w:t>
            </w:r>
          </w:p>
        </w:tc>
        <w:tc>
          <w:tcPr>
            <w:tcW w:w="1871" w:type="dxa"/>
            <w:tcBorders>
              <w:top w:val="nil"/>
              <w:left w:val="nil"/>
              <w:bottom w:val="single" w:sz="8" w:space="0" w:color="auto"/>
              <w:right w:val="single" w:sz="8" w:space="0" w:color="auto"/>
            </w:tcBorders>
            <w:shd w:val="clear" w:color="auto" w:fill="auto"/>
            <w:vAlign w:val="center"/>
            <w:hideMark/>
          </w:tcPr>
          <w:p w14:paraId="5F17E92D" w14:textId="0B967E59" w:rsidR="004E41C6" w:rsidRPr="00627B2A" w:rsidRDefault="004E41C6" w:rsidP="00E33039">
            <w:pPr>
              <w:jc w:val="center"/>
              <w:rPr>
                <w:rFonts w:asciiTheme="minorHAnsi" w:hAnsiTheme="minorHAnsi" w:cstheme="minorHAnsi"/>
                <w:color w:val="000000"/>
                <w:sz w:val="22"/>
                <w:szCs w:val="22"/>
              </w:rPr>
            </w:pPr>
            <w:r w:rsidRPr="00627B2A">
              <w:rPr>
                <w:rFonts w:asciiTheme="minorHAnsi" w:hAnsiTheme="minorHAnsi" w:cstheme="minorHAnsi"/>
                <w:color w:val="000000"/>
                <w:sz w:val="22"/>
                <w:szCs w:val="22"/>
              </w:rPr>
              <w:t>16.99</w:t>
            </w:r>
          </w:p>
        </w:tc>
        <w:tc>
          <w:tcPr>
            <w:tcW w:w="0" w:type="auto"/>
            <w:tcBorders>
              <w:top w:val="nil"/>
              <w:left w:val="nil"/>
              <w:bottom w:val="single" w:sz="8" w:space="0" w:color="auto"/>
              <w:right w:val="single" w:sz="8" w:space="0" w:color="auto"/>
            </w:tcBorders>
            <w:shd w:val="clear" w:color="auto" w:fill="auto"/>
            <w:vAlign w:val="center"/>
            <w:hideMark/>
          </w:tcPr>
          <w:p w14:paraId="335951B8" w14:textId="0908F426" w:rsidR="004E41C6" w:rsidRPr="00627B2A" w:rsidRDefault="004E41C6" w:rsidP="00E33039">
            <w:pPr>
              <w:jc w:val="center"/>
              <w:rPr>
                <w:rFonts w:asciiTheme="minorHAnsi" w:hAnsiTheme="minorHAnsi" w:cstheme="minorHAnsi"/>
                <w:color w:val="000000"/>
                <w:sz w:val="22"/>
                <w:szCs w:val="22"/>
              </w:rPr>
            </w:pPr>
            <w:r w:rsidRPr="00627B2A">
              <w:rPr>
                <w:rFonts w:asciiTheme="minorHAnsi" w:hAnsiTheme="minorHAnsi" w:cstheme="minorHAnsi"/>
                <w:color w:val="000000"/>
                <w:sz w:val="22"/>
                <w:szCs w:val="22"/>
              </w:rPr>
              <w:t>18.18</w:t>
            </w:r>
          </w:p>
        </w:tc>
      </w:tr>
      <w:tr w:rsidR="004E41C6" w:rsidRPr="00627B2A" w14:paraId="7766AC40" w14:textId="77777777" w:rsidTr="00482BFE">
        <w:trPr>
          <w:trHeight w:val="576"/>
        </w:trPr>
        <w:tc>
          <w:tcPr>
            <w:tcW w:w="2494" w:type="dxa"/>
            <w:tcBorders>
              <w:top w:val="nil"/>
              <w:left w:val="single" w:sz="8" w:space="0" w:color="auto"/>
              <w:bottom w:val="single" w:sz="8" w:space="0" w:color="auto"/>
              <w:right w:val="single" w:sz="8" w:space="0" w:color="auto"/>
            </w:tcBorders>
            <w:shd w:val="clear" w:color="auto" w:fill="95B3D7" w:themeFill="accent1" w:themeFillTint="99"/>
            <w:vAlign w:val="center"/>
            <w:hideMark/>
          </w:tcPr>
          <w:p w14:paraId="273F5D9B" w14:textId="77777777" w:rsidR="004E41C6" w:rsidRPr="00CD7BF3" w:rsidRDefault="004E41C6">
            <w:pPr>
              <w:rPr>
                <w:rFonts w:asciiTheme="minorHAnsi" w:hAnsiTheme="minorHAnsi" w:cstheme="minorHAnsi"/>
                <w:b/>
                <w:color w:val="000000"/>
                <w:sz w:val="22"/>
                <w:szCs w:val="22"/>
              </w:rPr>
            </w:pPr>
            <w:r w:rsidRPr="00CD7BF3">
              <w:rPr>
                <w:rFonts w:asciiTheme="minorHAnsi" w:hAnsiTheme="minorHAnsi" w:cstheme="minorHAnsi"/>
                <w:b/>
                <w:color w:val="000000"/>
                <w:sz w:val="22"/>
                <w:szCs w:val="22"/>
              </w:rPr>
              <w:t>Net Employee Cost</w:t>
            </w:r>
          </w:p>
        </w:tc>
        <w:tc>
          <w:tcPr>
            <w:tcW w:w="2429" w:type="dxa"/>
            <w:tcBorders>
              <w:top w:val="nil"/>
              <w:left w:val="nil"/>
              <w:bottom w:val="single" w:sz="8" w:space="0" w:color="auto"/>
              <w:right w:val="single" w:sz="8" w:space="0" w:color="auto"/>
            </w:tcBorders>
            <w:shd w:val="clear" w:color="auto" w:fill="95B3D7" w:themeFill="accent1" w:themeFillTint="99"/>
            <w:vAlign w:val="center"/>
            <w:hideMark/>
          </w:tcPr>
          <w:p w14:paraId="44F6C518" w14:textId="6B99A4B5" w:rsidR="004E41C6" w:rsidRPr="00CD7BF3" w:rsidRDefault="004E41C6" w:rsidP="00E33039">
            <w:pPr>
              <w:jc w:val="center"/>
              <w:rPr>
                <w:rFonts w:asciiTheme="minorHAnsi" w:hAnsiTheme="minorHAnsi" w:cstheme="minorHAnsi"/>
                <w:b/>
                <w:color w:val="000000"/>
                <w:sz w:val="22"/>
                <w:szCs w:val="22"/>
              </w:rPr>
            </w:pPr>
            <w:r w:rsidRPr="00CD7BF3">
              <w:rPr>
                <w:rFonts w:asciiTheme="minorHAnsi" w:hAnsiTheme="minorHAnsi" w:cstheme="minorHAnsi"/>
                <w:b/>
                <w:color w:val="000000"/>
                <w:sz w:val="22"/>
                <w:szCs w:val="22"/>
              </w:rPr>
              <w:t>479.39</w:t>
            </w:r>
          </w:p>
        </w:tc>
        <w:tc>
          <w:tcPr>
            <w:tcW w:w="1871" w:type="dxa"/>
            <w:tcBorders>
              <w:top w:val="nil"/>
              <w:left w:val="nil"/>
              <w:bottom w:val="single" w:sz="8" w:space="0" w:color="auto"/>
              <w:right w:val="single" w:sz="8" w:space="0" w:color="auto"/>
            </w:tcBorders>
            <w:shd w:val="clear" w:color="auto" w:fill="95B3D7" w:themeFill="accent1" w:themeFillTint="99"/>
            <w:vAlign w:val="center"/>
            <w:hideMark/>
          </w:tcPr>
          <w:p w14:paraId="49F415FD" w14:textId="0C39AC5B" w:rsidR="004E41C6" w:rsidRPr="00CD7BF3" w:rsidRDefault="004E41C6" w:rsidP="00E33039">
            <w:pPr>
              <w:jc w:val="center"/>
              <w:rPr>
                <w:rFonts w:asciiTheme="minorHAnsi" w:hAnsiTheme="minorHAnsi" w:cstheme="minorHAnsi"/>
                <w:b/>
                <w:color w:val="000000"/>
                <w:sz w:val="22"/>
                <w:szCs w:val="22"/>
              </w:rPr>
            </w:pPr>
            <w:r w:rsidRPr="00CD7BF3">
              <w:rPr>
                <w:rFonts w:asciiTheme="minorHAnsi" w:hAnsiTheme="minorHAnsi" w:cstheme="minorHAnsi"/>
                <w:b/>
                <w:color w:val="000000"/>
                <w:sz w:val="22"/>
                <w:szCs w:val="22"/>
              </w:rPr>
              <w:t>5</w:t>
            </w:r>
            <w:r w:rsidR="00944AAE">
              <w:rPr>
                <w:rFonts w:asciiTheme="minorHAnsi" w:hAnsiTheme="minorHAnsi" w:cstheme="minorHAnsi"/>
                <w:b/>
                <w:color w:val="000000"/>
                <w:sz w:val="22"/>
                <w:szCs w:val="22"/>
              </w:rPr>
              <w:t>14.15</w:t>
            </w:r>
          </w:p>
        </w:tc>
        <w:tc>
          <w:tcPr>
            <w:tcW w:w="0" w:type="auto"/>
            <w:tcBorders>
              <w:top w:val="nil"/>
              <w:left w:val="nil"/>
              <w:bottom w:val="single" w:sz="8" w:space="0" w:color="auto"/>
              <w:right w:val="single" w:sz="8" w:space="0" w:color="auto"/>
            </w:tcBorders>
            <w:shd w:val="clear" w:color="auto" w:fill="95B3D7" w:themeFill="accent1" w:themeFillTint="99"/>
            <w:vAlign w:val="center"/>
            <w:hideMark/>
          </w:tcPr>
          <w:p w14:paraId="33FC76CF" w14:textId="6D1F0DBE" w:rsidR="004E41C6" w:rsidRPr="00CD7BF3" w:rsidRDefault="004E41C6" w:rsidP="00E33039">
            <w:pPr>
              <w:jc w:val="center"/>
              <w:rPr>
                <w:rFonts w:asciiTheme="minorHAnsi" w:hAnsiTheme="minorHAnsi" w:cstheme="minorHAnsi"/>
                <w:b/>
                <w:color w:val="000000"/>
                <w:sz w:val="22"/>
                <w:szCs w:val="22"/>
              </w:rPr>
            </w:pPr>
            <w:r w:rsidRPr="00CD7BF3">
              <w:rPr>
                <w:rFonts w:asciiTheme="minorHAnsi" w:hAnsiTheme="minorHAnsi" w:cstheme="minorHAnsi"/>
                <w:b/>
                <w:color w:val="000000"/>
                <w:sz w:val="22"/>
                <w:szCs w:val="22"/>
              </w:rPr>
              <w:t>543.18</w:t>
            </w:r>
          </w:p>
        </w:tc>
      </w:tr>
    </w:tbl>
    <w:p w14:paraId="55DDE155" w14:textId="77777777" w:rsidR="004E41C6" w:rsidRDefault="004E41C6" w:rsidP="006A7BDF">
      <w:pPr>
        <w:spacing w:line="360" w:lineRule="auto"/>
        <w:jc w:val="both"/>
        <w:rPr>
          <w:rFonts w:asciiTheme="minorHAnsi" w:hAnsiTheme="minorHAnsi" w:cstheme="minorHAnsi"/>
          <w:b/>
          <w:sz w:val="22"/>
          <w:szCs w:val="22"/>
        </w:rPr>
      </w:pPr>
    </w:p>
    <w:p w14:paraId="2015E7B7" w14:textId="100B734C" w:rsidR="006A7BDF" w:rsidRDefault="00530F0D" w:rsidP="00AC267C">
      <w:pPr>
        <w:spacing w:line="360" w:lineRule="auto"/>
        <w:ind w:left="567"/>
        <w:jc w:val="both"/>
        <w:rPr>
          <w:rFonts w:asciiTheme="minorHAnsi" w:hAnsiTheme="minorHAnsi" w:cstheme="minorHAnsi"/>
          <w:b/>
          <w:sz w:val="22"/>
          <w:szCs w:val="22"/>
        </w:rPr>
      </w:pPr>
      <w:r w:rsidRPr="00153204">
        <w:rPr>
          <w:rFonts w:asciiTheme="minorHAnsi" w:hAnsiTheme="minorHAnsi" w:cstheme="minorHAnsi"/>
          <w:b/>
          <w:sz w:val="22"/>
          <w:szCs w:val="22"/>
        </w:rPr>
        <w:lastRenderedPageBreak/>
        <w:t>In view of the above</w:t>
      </w:r>
      <w:r w:rsidR="001F2A94" w:rsidRPr="00153204">
        <w:rPr>
          <w:rFonts w:asciiTheme="minorHAnsi" w:hAnsiTheme="minorHAnsi" w:cstheme="minorHAnsi"/>
          <w:b/>
          <w:sz w:val="22"/>
          <w:szCs w:val="22"/>
        </w:rPr>
        <w:t>,</w:t>
      </w:r>
      <w:r w:rsidRPr="00153204">
        <w:rPr>
          <w:rFonts w:asciiTheme="minorHAnsi" w:hAnsiTheme="minorHAnsi" w:cstheme="minorHAnsi"/>
          <w:b/>
          <w:sz w:val="22"/>
          <w:szCs w:val="22"/>
        </w:rPr>
        <w:t xml:space="preserve"> it is humbly submitted before Hon’ble Commission to approve </w:t>
      </w:r>
      <w:r w:rsidR="007D0D22" w:rsidRPr="00153204">
        <w:rPr>
          <w:rFonts w:asciiTheme="minorHAnsi" w:hAnsiTheme="minorHAnsi" w:cstheme="minorHAnsi"/>
          <w:b/>
          <w:sz w:val="22"/>
          <w:szCs w:val="22"/>
        </w:rPr>
        <w:t xml:space="preserve">the proposed employee cost of </w:t>
      </w:r>
      <w:r w:rsidR="001A2772" w:rsidRPr="00153204">
        <w:rPr>
          <w:rFonts w:asciiTheme="minorHAnsi" w:hAnsiTheme="minorHAnsi" w:cstheme="minorHAnsi"/>
          <w:b/>
          <w:sz w:val="22"/>
          <w:szCs w:val="22"/>
        </w:rPr>
        <w:t>Rs.</w:t>
      </w:r>
      <w:r w:rsidR="00B0087D" w:rsidRPr="00153204">
        <w:rPr>
          <w:rFonts w:asciiTheme="minorHAnsi" w:hAnsiTheme="minorHAnsi" w:cstheme="minorHAnsi"/>
          <w:b/>
          <w:sz w:val="22"/>
          <w:szCs w:val="22"/>
        </w:rPr>
        <w:t xml:space="preserve"> </w:t>
      </w:r>
      <w:r w:rsidR="00B51C83" w:rsidRPr="00925BCD">
        <w:rPr>
          <w:rFonts w:asciiTheme="minorHAnsi" w:hAnsiTheme="minorHAnsi" w:cstheme="minorHAnsi"/>
          <w:b/>
          <w:sz w:val="22"/>
          <w:szCs w:val="22"/>
        </w:rPr>
        <w:t>5</w:t>
      </w:r>
      <w:r w:rsidR="004E41C6">
        <w:rPr>
          <w:rFonts w:asciiTheme="minorHAnsi" w:hAnsiTheme="minorHAnsi" w:cstheme="minorHAnsi"/>
          <w:b/>
          <w:sz w:val="22"/>
          <w:szCs w:val="22"/>
        </w:rPr>
        <w:t>43</w:t>
      </w:r>
      <w:r w:rsidR="00881E6F" w:rsidRPr="00925BCD">
        <w:rPr>
          <w:rFonts w:asciiTheme="minorHAnsi" w:hAnsiTheme="minorHAnsi" w:cstheme="minorHAnsi"/>
          <w:b/>
          <w:sz w:val="22"/>
          <w:szCs w:val="22"/>
        </w:rPr>
        <w:t>.</w:t>
      </w:r>
      <w:r w:rsidR="004E41C6">
        <w:rPr>
          <w:rFonts w:asciiTheme="minorHAnsi" w:hAnsiTheme="minorHAnsi" w:cstheme="minorHAnsi"/>
          <w:b/>
          <w:sz w:val="22"/>
          <w:szCs w:val="22"/>
        </w:rPr>
        <w:t>18</w:t>
      </w:r>
      <w:r w:rsidR="00147270" w:rsidRPr="00153204">
        <w:rPr>
          <w:rFonts w:asciiTheme="minorHAnsi" w:hAnsiTheme="minorHAnsi" w:cstheme="minorHAnsi"/>
          <w:b/>
          <w:sz w:val="22"/>
          <w:szCs w:val="22"/>
        </w:rPr>
        <w:t xml:space="preserve"> </w:t>
      </w:r>
      <w:proofErr w:type="spellStart"/>
      <w:r w:rsidR="005C034B" w:rsidRPr="00153204">
        <w:rPr>
          <w:rFonts w:asciiTheme="minorHAnsi" w:hAnsiTheme="minorHAnsi" w:cstheme="minorHAnsi"/>
          <w:b/>
          <w:sz w:val="22"/>
          <w:szCs w:val="22"/>
        </w:rPr>
        <w:t>C</w:t>
      </w:r>
      <w:r w:rsidRPr="00153204">
        <w:rPr>
          <w:rFonts w:asciiTheme="minorHAnsi" w:hAnsiTheme="minorHAnsi" w:cstheme="minorHAnsi"/>
          <w:b/>
          <w:sz w:val="22"/>
          <w:szCs w:val="22"/>
        </w:rPr>
        <w:t>rs</w:t>
      </w:r>
      <w:proofErr w:type="spellEnd"/>
      <w:r w:rsidRPr="00153204">
        <w:rPr>
          <w:rFonts w:asciiTheme="minorHAnsi" w:hAnsiTheme="minorHAnsi" w:cstheme="minorHAnsi"/>
          <w:b/>
          <w:sz w:val="22"/>
          <w:szCs w:val="22"/>
        </w:rPr>
        <w:t xml:space="preserve"> for the ensuing </w:t>
      </w:r>
      <w:r w:rsidR="00D915B9" w:rsidRPr="00153204">
        <w:rPr>
          <w:rFonts w:asciiTheme="minorHAnsi" w:hAnsiTheme="minorHAnsi" w:cstheme="minorHAnsi"/>
          <w:b/>
          <w:sz w:val="22"/>
          <w:szCs w:val="22"/>
        </w:rPr>
        <w:t xml:space="preserve">financial </w:t>
      </w:r>
      <w:r w:rsidRPr="00153204">
        <w:rPr>
          <w:rFonts w:asciiTheme="minorHAnsi" w:hAnsiTheme="minorHAnsi" w:cstheme="minorHAnsi"/>
          <w:b/>
          <w:sz w:val="22"/>
          <w:szCs w:val="22"/>
        </w:rPr>
        <w:t>year.</w:t>
      </w:r>
    </w:p>
    <w:p w14:paraId="753E1502" w14:textId="1A89449B" w:rsidR="00881E6F" w:rsidRDefault="00564D41" w:rsidP="00CD7BF3">
      <w:pPr>
        <w:spacing w:line="360" w:lineRule="auto"/>
        <w:jc w:val="both"/>
        <w:rPr>
          <w:rFonts w:asciiTheme="minorHAnsi" w:hAnsiTheme="minorHAnsi" w:cstheme="minorHAnsi"/>
          <w:b/>
          <w:sz w:val="22"/>
          <w:szCs w:val="22"/>
        </w:rPr>
      </w:pPr>
      <w:r w:rsidRPr="00153204">
        <w:rPr>
          <w:rFonts w:asciiTheme="minorHAnsi" w:hAnsiTheme="minorHAnsi" w:cstheme="minorHAnsi"/>
          <w:noProof/>
          <w:sz w:val="22"/>
          <w:szCs w:val="22"/>
          <w:lang w:val="en-IN" w:eastAsia="en-IN"/>
        </w:rPr>
        <mc:AlternateContent>
          <mc:Choice Requires="wps">
            <w:drawing>
              <wp:anchor distT="0" distB="0" distL="114300" distR="114300" simplePos="0" relativeHeight="251953664" behindDoc="1" locked="0" layoutInCell="1" allowOverlap="1" wp14:anchorId="1F199BF1" wp14:editId="7DE172DB">
                <wp:simplePos x="0" y="0"/>
                <wp:positionH relativeFrom="margin">
                  <wp:posOffset>244475</wp:posOffset>
                </wp:positionH>
                <wp:positionV relativeFrom="paragraph">
                  <wp:posOffset>243840</wp:posOffset>
                </wp:positionV>
                <wp:extent cx="5743575" cy="314960"/>
                <wp:effectExtent l="0" t="0" r="28575" b="27940"/>
                <wp:wrapSquare wrapText="bothSides"/>
                <wp:docPr id="25" name="Rectangle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743575" cy="314960"/>
                        </a:xfrm>
                        <a:prstGeom prst="rect">
                          <a:avLst/>
                        </a:prstGeom>
                        <a:solidFill>
                          <a:srgbClr val="1F497D">
                            <a:lumMod val="20000"/>
                            <a:lumOff val="80000"/>
                          </a:srgbClr>
                        </a:solidFill>
                        <a:ln w="9525">
                          <a:solidFill>
                            <a:srgbClr val="000000"/>
                          </a:solidFill>
                          <a:miter lim="800000"/>
                          <a:headEnd/>
                          <a:tailEnd/>
                        </a:ln>
                      </wps:spPr>
                      <wps:txbx>
                        <w:txbxContent>
                          <w:p w14:paraId="279FDB7A" w14:textId="45EE3006" w:rsidR="00535B24" w:rsidRPr="00E560A3" w:rsidRDefault="00535B24" w:rsidP="00564D41">
                            <w:pPr>
                              <w:rPr>
                                <w:rFonts w:asciiTheme="minorHAnsi" w:hAnsiTheme="minorHAnsi" w:cstheme="minorHAnsi"/>
                                <w:b/>
                                <w:sz w:val="28"/>
                                <w:szCs w:val="28"/>
                                <w:lang w:val="en-IN"/>
                              </w:rPr>
                            </w:pPr>
                            <w:r w:rsidRPr="00E560A3">
                              <w:rPr>
                                <w:rFonts w:asciiTheme="minorHAnsi" w:hAnsiTheme="minorHAnsi" w:cstheme="minorHAnsi"/>
                                <w:b/>
                                <w:sz w:val="28"/>
                                <w:szCs w:val="28"/>
                                <w:lang w:val="en-IN"/>
                              </w:rPr>
                              <w:t>2</w:t>
                            </w:r>
                            <w:r>
                              <w:rPr>
                                <w:rFonts w:asciiTheme="minorHAnsi" w:hAnsiTheme="minorHAnsi" w:cstheme="minorHAnsi"/>
                                <w:b/>
                                <w:sz w:val="28"/>
                                <w:szCs w:val="28"/>
                                <w:lang w:val="en-IN"/>
                              </w:rPr>
                              <w:t xml:space="preserve">.6   </w:t>
                            </w:r>
                            <w:r w:rsidRPr="00564D41">
                              <w:rPr>
                                <w:rFonts w:asciiTheme="minorHAnsi" w:hAnsiTheme="minorHAnsi" w:cstheme="minorHAnsi"/>
                                <w:b/>
                                <w:sz w:val="28"/>
                                <w:szCs w:val="28"/>
                              </w:rPr>
                              <w:t>Administrative and General Expenses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F199BF1" id="_x0000_s1033" style="position:absolute;left:0;text-align:left;margin-left:19.25pt;margin-top:19.2pt;width:452.25pt;height:24.8pt;z-index:-25136281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" fillcolor="#c6d9f1">
                <v:textbox>
                  <w:txbxContent>
                    <w:p w14:paraId="279FDB7A" w14:textId="45EE3006" w:rsidR="00535B24" w:rsidRPr="00E560A3" w:rsidRDefault="00535B24" w:rsidP="00564D41">
                      <w:pPr>
                        <w:rPr>
                          <w:rFonts w:asciiTheme="minorHAnsi" w:hAnsiTheme="minorHAnsi" w:cstheme="minorHAnsi"/>
                          <w:b/>
                          <w:sz w:val="28"/>
                          <w:szCs w:val="28"/>
                          <w:lang w:val="en-IN"/>
                        </w:rPr>
                      </w:pPr>
                      <w:r w:rsidRPr="00E560A3">
                        <w:rPr>
                          <w:rFonts w:asciiTheme="minorHAnsi" w:hAnsiTheme="minorHAnsi" w:cstheme="minorHAnsi"/>
                          <w:b/>
                          <w:sz w:val="28"/>
                          <w:szCs w:val="28"/>
                          <w:lang w:val="en-IN"/>
                        </w:rPr>
                        <w:t>2</w:t>
                      </w:r>
                      <w:r>
                        <w:rPr>
                          <w:rFonts w:asciiTheme="minorHAnsi" w:hAnsiTheme="minorHAnsi" w:cstheme="minorHAnsi"/>
                          <w:b/>
                          <w:sz w:val="28"/>
                          <w:szCs w:val="28"/>
                          <w:lang w:val="en-IN"/>
                        </w:rPr>
                        <w:t xml:space="preserve">.6   </w:t>
                      </w:r>
                      <w:r w:rsidRPr="00564D41">
                        <w:rPr>
                          <w:rFonts w:asciiTheme="minorHAnsi" w:hAnsiTheme="minorHAnsi" w:cstheme="minorHAnsi"/>
                          <w:b/>
                          <w:sz w:val="28"/>
                          <w:szCs w:val="28"/>
                        </w:rPr>
                        <w:t>Administrative and General Expenses</w:t>
                      </w:r>
                    </w:p>
                  </w:txbxContent>
                </v:textbox>
                <w10:wrap type="square" anchorx="margin"/>
              </v:rect>
            </w:pict>
          </mc:Fallback>
        </mc:AlternateContent>
      </w:r>
    </w:p>
    <w:p w14:paraId="2005548C" w14:textId="77777777" w:rsidR="00E06740" w:rsidRPr="00153204" w:rsidRDefault="00E06740" w:rsidP="006A7BDF">
      <w:pPr>
        <w:spacing w:line="360" w:lineRule="auto"/>
        <w:jc w:val="both"/>
        <w:rPr>
          <w:rFonts w:asciiTheme="minorHAnsi" w:hAnsiTheme="minorHAnsi" w:cstheme="minorHAnsi"/>
          <w:b/>
          <w:sz w:val="22"/>
          <w:szCs w:val="22"/>
        </w:rPr>
      </w:pPr>
    </w:p>
    <w:p w14:paraId="07893A82" w14:textId="77777777" w:rsidR="00E06740" w:rsidRPr="00153204" w:rsidRDefault="00E06740" w:rsidP="00E06740">
      <w:pPr>
        <w:pStyle w:val="BodyText2"/>
        <w:spacing w:line="360" w:lineRule="auto"/>
        <w:ind w:left="567"/>
        <w:jc w:val="both"/>
        <w:rPr>
          <w:rFonts w:asciiTheme="minorHAnsi" w:hAnsiTheme="minorHAnsi" w:cstheme="minorHAnsi"/>
          <w:sz w:val="22"/>
          <w:szCs w:val="22"/>
          <w:lang w:val="en-GB"/>
        </w:rPr>
      </w:pPr>
      <w:r>
        <w:rPr>
          <w:rFonts w:asciiTheme="minorHAnsi" w:hAnsiTheme="minorHAnsi" w:cstheme="minorHAnsi"/>
          <w:sz w:val="22"/>
          <w:szCs w:val="22"/>
          <w:lang w:val="en-GB"/>
        </w:rPr>
        <w:t>T</w:t>
      </w:r>
      <w:r w:rsidRPr="00153204">
        <w:rPr>
          <w:rFonts w:asciiTheme="minorHAnsi" w:hAnsiTheme="minorHAnsi" w:cstheme="minorHAnsi"/>
          <w:sz w:val="22"/>
          <w:szCs w:val="22"/>
          <w:lang w:val="en-GB"/>
        </w:rPr>
        <w:t>he A&amp;G expenses for FY 202</w:t>
      </w:r>
      <w:r>
        <w:rPr>
          <w:rFonts w:asciiTheme="minorHAnsi" w:hAnsiTheme="minorHAnsi" w:cstheme="minorHAnsi"/>
          <w:sz w:val="22"/>
          <w:szCs w:val="22"/>
          <w:lang w:val="en-GB"/>
        </w:rPr>
        <w:t>4</w:t>
      </w:r>
      <w:r w:rsidRPr="00153204">
        <w:rPr>
          <w:rFonts w:asciiTheme="minorHAnsi" w:hAnsiTheme="minorHAnsi" w:cstheme="minorHAnsi"/>
          <w:sz w:val="22"/>
          <w:szCs w:val="22"/>
          <w:lang w:val="en-GB"/>
        </w:rPr>
        <w:t>-2</w:t>
      </w:r>
      <w:r>
        <w:rPr>
          <w:rFonts w:asciiTheme="minorHAnsi" w:hAnsiTheme="minorHAnsi" w:cstheme="minorHAnsi"/>
          <w:sz w:val="22"/>
          <w:szCs w:val="22"/>
          <w:lang w:val="en-GB"/>
        </w:rPr>
        <w:t>5</w:t>
      </w:r>
      <w:r w:rsidRPr="00153204">
        <w:rPr>
          <w:rFonts w:asciiTheme="minorHAnsi" w:hAnsiTheme="minorHAnsi" w:cstheme="minorHAnsi"/>
          <w:sz w:val="22"/>
          <w:szCs w:val="22"/>
          <w:lang w:val="en-GB"/>
        </w:rPr>
        <w:t xml:space="preserve"> is estimated a</w:t>
      </w:r>
      <w:r>
        <w:rPr>
          <w:rFonts w:asciiTheme="minorHAnsi" w:hAnsiTheme="minorHAnsi" w:cstheme="minorHAnsi"/>
          <w:sz w:val="22"/>
          <w:szCs w:val="22"/>
          <w:lang w:val="en-GB"/>
        </w:rPr>
        <w:t>s</w:t>
      </w:r>
      <w:r w:rsidRPr="00153204">
        <w:rPr>
          <w:rFonts w:asciiTheme="minorHAnsi" w:hAnsiTheme="minorHAnsi" w:cstheme="minorHAnsi"/>
          <w:sz w:val="22"/>
          <w:szCs w:val="22"/>
          <w:lang w:val="en-GB"/>
        </w:rPr>
        <w:t xml:space="preserve"> Rs.</w:t>
      </w:r>
      <w:r>
        <w:rPr>
          <w:rFonts w:asciiTheme="minorHAnsi" w:hAnsiTheme="minorHAnsi" w:cstheme="minorHAnsi"/>
          <w:sz w:val="22"/>
          <w:szCs w:val="22"/>
          <w:lang w:val="en-GB"/>
        </w:rPr>
        <w:t xml:space="preserve"> </w:t>
      </w:r>
      <w:r w:rsidRPr="00153204">
        <w:rPr>
          <w:rFonts w:asciiTheme="minorHAnsi" w:hAnsiTheme="minorHAnsi" w:cstheme="minorHAnsi"/>
          <w:sz w:val="22"/>
          <w:szCs w:val="22"/>
          <w:lang w:val="en-GB"/>
        </w:rPr>
        <w:t>1</w:t>
      </w:r>
      <w:r>
        <w:rPr>
          <w:rFonts w:asciiTheme="minorHAnsi" w:hAnsiTheme="minorHAnsi" w:cstheme="minorHAnsi"/>
          <w:sz w:val="22"/>
          <w:szCs w:val="22"/>
          <w:lang w:val="en-GB"/>
        </w:rPr>
        <w:t>62.08</w:t>
      </w:r>
      <w:r w:rsidRPr="00153204">
        <w:rPr>
          <w:rFonts w:asciiTheme="minorHAnsi" w:hAnsiTheme="minorHAnsi" w:cstheme="minorHAnsi"/>
          <w:sz w:val="22"/>
          <w:szCs w:val="22"/>
          <w:lang w:val="en-GB"/>
        </w:rPr>
        <w:t xml:space="preserve"> </w:t>
      </w:r>
      <w:proofErr w:type="spellStart"/>
      <w:r w:rsidRPr="00153204">
        <w:rPr>
          <w:rFonts w:asciiTheme="minorHAnsi" w:hAnsiTheme="minorHAnsi" w:cstheme="minorHAnsi"/>
          <w:sz w:val="22"/>
          <w:szCs w:val="22"/>
          <w:lang w:val="en-GB"/>
        </w:rPr>
        <w:t>Crs</w:t>
      </w:r>
      <w:proofErr w:type="spellEnd"/>
      <w:r>
        <w:rPr>
          <w:rFonts w:asciiTheme="minorHAnsi" w:hAnsiTheme="minorHAnsi" w:cstheme="minorHAnsi"/>
          <w:sz w:val="22"/>
          <w:szCs w:val="22"/>
          <w:lang w:val="en-GB"/>
        </w:rPr>
        <w:t>.</w:t>
      </w:r>
      <w:r w:rsidRPr="00153204">
        <w:rPr>
          <w:rFonts w:asciiTheme="minorHAnsi" w:hAnsiTheme="minorHAnsi" w:cstheme="minorHAnsi"/>
          <w:sz w:val="22"/>
          <w:szCs w:val="22"/>
          <w:lang w:val="en-GB"/>
        </w:rPr>
        <w:t xml:space="preserve"> based on actual expenses till Sep, 202</w:t>
      </w:r>
      <w:r>
        <w:rPr>
          <w:rFonts w:asciiTheme="minorHAnsi" w:hAnsiTheme="minorHAnsi" w:cstheme="minorHAnsi"/>
          <w:sz w:val="22"/>
          <w:szCs w:val="22"/>
          <w:lang w:val="en-GB"/>
        </w:rPr>
        <w:t>4</w:t>
      </w:r>
      <w:r w:rsidRPr="00153204">
        <w:rPr>
          <w:rFonts w:asciiTheme="minorHAnsi" w:hAnsiTheme="minorHAnsi" w:cstheme="minorHAnsi"/>
          <w:sz w:val="22"/>
          <w:szCs w:val="22"/>
          <w:lang w:val="en-GB"/>
        </w:rPr>
        <w:t>.  Estimation of A&amp;G expenses during the current year as well as in the ensuing year has been envisaged on account of</w:t>
      </w:r>
      <w:r>
        <w:rPr>
          <w:rFonts w:asciiTheme="minorHAnsi" w:hAnsiTheme="minorHAnsi" w:cstheme="minorHAnsi"/>
          <w:sz w:val="22"/>
          <w:szCs w:val="22"/>
          <w:lang w:val="en-GB"/>
        </w:rPr>
        <w:t xml:space="preserve"> expenses towards</w:t>
      </w:r>
      <w:r w:rsidRPr="00153204">
        <w:rPr>
          <w:rFonts w:asciiTheme="minorHAnsi" w:hAnsiTheme="minorHAnsi" w:cstheme="minorHAnsi"/>
          <w:sz w:val="22"/>
          <w:szCs w:val="22"/>
          <w:lang w:val="en-GB"/>
        </w:rPr>
        <w:t xml:space="preserve"> meter reading, billing</w:t>
      </w:r>
      <w:r>
        <w:rPr>
          <w:rFonts w:asciiTheme="minorHAnsi" w:hAnsiTheme="minorHAnsi" w:cstheme="minorHAnsi"/>
          <w:sz w:val="22"/>
          <w:szCs w:val="22"/>
          <w:lang w:val="en-GB"/>
        </w:rPr>
        <w:t>,</w:t>
      </w:r>
      <w:r w:rsidRPr="00153204">
        <w:rPr>
          <w:rFonts w:asciiTheme="minorHAnsi" w:hAnsiTheme="minorHAnsi" w:cstheme="minorHAnsi"/>
          <w:sz w:val="22"/>
          <w:szCs w:val="22"/>
          <w:lang w:val="en-GB"/>
        </w:rPr>
        <w:t xml:space="preserve"> collection, IT Automation, AM</w:t>
      </w:r>
      <w:r>
        <w:rPr>
          <w:rFonts w:asciiTheme="minorHAnsi" w:hAnsiTheme="minorHAnsi" w:cstheme="minorHAnsi"/>
          <w:sz w:val="22"/>
          <w:szCs w:val="22"/>
          <w:lang w:val="en-GB"/>
        </w:rPr>
        <w:t xml:space="preserve">I operational </w:t>
      </w:r>
      <w:r w:rsidRPr="00153204">
        <w:rPr>
          <w:rFonts w:asciiTheme="minorHAnsi" w:hAnsiTheme="minorHAnsi" w:cstheme="minorHAnsi"/>
          <w:sz w:val="22"/>
          <w:szCs w:val="22"/>
          <w:lang w:val="en-GB"/>
        </w:rPr>
        <w:t xml:space="preserve">expenses, Insurance expenses, Professional Charges, Enforcement activities, Customer Care </w:t>
      </w:r>
      <w:r>
        <w:rPr>
          <w:rFonts w:asciiTheme="minorHAnsi" w:hAnsiTheme="minorHAnsi" w:cstheme="minorHAnsi"/>
          <w:sz w:val="22"/>
          <w:szCs w:val="22"/>
          <w:lang w:val="en-GB"/>
        </w:rPr>
        <w:t xml:space="preserve">&amp; Call centre expenses and also </w:t>
      </w:r>
      <w:r w:rsidRPr="00153204">
        <w:rPr>
          <w:rFonts w:asciiTheme="minorHAnsi" w:hAnsiTheme="minorHAnsi" w:cstheme="minorHAnsi"/>
          <w:sz w:val="22"/>
          <w:szCs w:val="22"/>
          <w:lang w:val="en-GB"/>
        </w:rPr>
        <w:t>compensation towards electrical accidents etc</w:t>
      </w:r>
      <w:r>
        <w:rPr>
          <w:rFonts w:asciiTheme="minorHAnsi" w:hAnsiTheme="minorHAnsi" w:cstheme="minorHAnsi"/>
          <w:sz w:val="22"/>
          <w:szCs w:val="22"/>
          <w:lang w:val="en-GB"/>
        </w:rPr>
        <w:t>.</w:t>
      </w:r>
      <w:r w:rsidRPr="00153204">
        <w:rPr>
          <w:rFonts w:asciiTheme="minorHAnsi" w:hAnsiTheme="minorHAnsi" w:cstheme="minorHAnsi"/>
          <w:sz w:val="22"/>
          <w:szCs w:val="22"/>
          <w:lang w:val="en-GB"/>
        </w:rPr>
        <w:t xml:space="preserve"> All of these activities would contribute significantly towards reduction of AT&amp;C losses and provide</w:t>
      </w:r>
      <w:r>
        <w:rPr>
          <w:rFonts w:asciiTheme="minorHAnsi" w:hAnsiTheme="minorHAnsi" w:cstheme="minorHAnsi"/>
          <w:sz w:val="22"/>
          <w:szCs w:val="22"/>
          <w:lang w:val="en-GB"/>
        </w:rPr>
        <w:t xml:space="preserve"> superior</w:t>
      </w:r>
      <w:r w:rsidRPr="00153204">
        <w:rPr>
          <w:rFonts w:asciiTheme="minorHAnsi" w:hAnsiTheme="minorHAnsi" w:cstheme="minorHAnsi"/>
          <w:sz w:val="22"/>
          <w:szCs w:val="22"/>
          <w:lang w:val="en-GB"/>
        </w:rPr>
        <w:t xml:space="preserve"> </w:t>
      </w:r>
      <w:r>
        <w:rPr>
          <w:rFonts w:asciiTheme="minorHAnsi" w:hAnsiTheme="minorHAnsi" w:cstheme="minorHAnsi"/>
          <w:sz w:val="22"/>
          <w:szCs w:val="22"/>
          <w:lang w:val="en-GB"/>
        </w:rPr>
        <w:t>customer experience</w:t>
      </w:r>
      <w:r w:rsidRPr="00153204">
        <w:rPr>
          <w:rFonts w:asciiTheme="minorHAnsi" w:hAnsiTheme="minorHAnsi" w:cstheme="minorHAnsi"/>
          <w:sz w:val="22"/>
          <w:szCs w:val="22"/>
          <w:lang w:val="en-GB"/>
        </w:rPr>
        <w:t>.</w:t>
      </w:r>
    </w:p>
    <w:p w14:paraId="3ADBA67B" w14:textId="03671D78" w:rsidR="00E06740" w:rsidRDefault="00E06740" w:rsidP="006A7BDF">
      <w:pPr>
        <w:spacing w:before="120" w:after="120" w:line="360" w:lineRule="auto"/>
        <w:ind w:left="567"/>
        <w:jc w:val="both"/>
        <w:rPr>
          <w:rFonts w:asciiTheme="minorHAnsi" w:hAnsiTheme="minorHAnsi" w:cstheme="minorHAnsi"/>
          <w:sz w:val="22"/>
          <w:szCs w:val="22"/>
          <w:lang w:val="en-GB"/>
        </w:rPr>
      </w:pPr>
      <w:r w:rsidRPr="00153204">
        <w:rPr>
          <w:rFonts w:asciiTheme="minorHAnsi" w:hAnsiTheme="minorHAnsi" w:cstheme="minorHAnsi"/>
          <w:sz w:val="22"/>
          <w:szCs w:val="22"/>
          <w:lang w:val="en-GB"/>
        </w:rPr>
        <w:t xml:space="preserve">Keeping in view the need </w:t>
      </w:r>
      <w:r>
        <w:rPr>
          <w:rFonts w:asciiTheme="minorHAnsi" w:hAnsiTheme="minorHAnsi" w:cstheme="minorHAnsi"/>
          <w:sz w:val="22"/>
          <w:szCs w:val="22"/>
          <w:lang w:val="en-GB"/>
        </w:rPr>
        <w:t xml:space="preserve">for substantial </w:t>
      </w:r>
      <w:r w:rsidRPr="00153204">
        <w:rPr>
          <w:rFonts w:asciiTheme="minorHAnsi" w:hAnsiTheme="minorHAnsi" w:cstheme="minorHAnsi"/>
          <w:sz w:val="22"/>
          <w:szCs w:val="22"/>
          <w:lang w:val="en-GB"/>
        </w:rPr>
        <w:t>reduc</w:t>
      </w:r>
      <w:r>
        <w:rPr>
          <w:rFonts w:asciiTheme="minorHAnsi" w:hAnsiTheme="minorHAnsi" w:cstheme="minorHAnsi"/>
          <w:sz w:val="22"/>
          <w:szCs w:val="22"/>
          <w:lang w:val="en-GB"/>
        </w:rPr>
        <w:t>tion of</w:t>
      </w:r>
      <w:r w:rsidRPr="00153204">
        <w:rPr>
          <w:rFonts w:asciiTheme="minorHAnsi" w:hAnsiTheme="minorHAnsi" w:cstheme="minorHAnsi"/>
          <w:sz w:val="22"/>
          <w:szCs w:val="22"/>
          <w:lang w:val="en-GB"/>
        </w:rPr>
        <w:t xml:space="preserve"> the AT&amp;C Losses, special emphasis was required to improve the billing and collection efficiencies.</w:t>
      </w:r>
      <w:r>
        <w:rPr>
          <w:rFonts w:asciiTheme="minorHAnsi" w:hAnsiTheme="minorHAnsi" w:cstheme="minorHAnsi"/>
          <w:sz w:val="22"/>
          <w:szCs w:val="22"/>
          <w:lang w:val="en-GB"/>
        </w:rPr>
        <w:t xml:space="preserve"> </w:t>
      </w:r>
      <w:r w:rsidRPr="00153204">
        <w:rPr>
          <w:rFonts w:asciiTheme="minorHAnsi" w:hAnsiTheme="minorHAnsi" w:cstheme="minorHAnsi"/>
          <w:sz w:val="22"/>
          <w:szCs w:val="22"/>
          <w:lang w:val="en-GB"/>
        </w:rPr>
        <w:t>The licensee has put in place new MBC contract, through reengineering</w:t>
      </w:r>
      <w:r>
        <w:rPr>
          <w:rFonts w:asciiTheme="minorHAnsi" w:hAnsiTheme="minorHAnsi" w:cstheme="minorHAnsi"/>
          <w:sz w:val="22"/>
          <w:szCs w:val="22"/>
          <w:lang w:val="en-GB"/>
        </w:rPr>
        <w:t xml:space="preserve"> </w:t>
      </w:r>
      <w:r w:rsidRPr="00153204">
        <w:rPr>
          <w:rFonts w:asciiTheme="minorHAnsi" w:hAnsiTheme="minorHAnsi" w:cstheme="minorHAnsi"/>
          <w:sz w:val="22"/>
          <w:szCs w:val="22"/>
          <w:lang w:val="en-GB"/>
        </w:rPr>
        <w:t>of contract and modality for separated meter reading-billing and collection</w:t>
      </w:r>
      <w:r>
        <w:rPr>
          <w:rFonts w:asciiTheme="minorHAnsi" w:hAnsiTheme="minorHAnsi" w:cstheme="minorHAnsi"/>
          <w:sz w:val="22"/>
          <w:szCs w:val="22"/>
          <w:lang w:val="en-GB"/>
        </w:rPr>
        <w:t xml:space="preserve"> </w:t>
      </w:r>
      <w:r w:rsidRPr="00153204">
        <w:rPr>
          <w:rFonts w:asciiTheme="minorHAnsi" w:hAnsiTheme="minorHAnsi" w:cstheme="minorHAnsi"/>
          <w:sz w:val="22"/>
          <w:szCs w:val="22"/>
          <w:lang w:val="en-GB"/>
        </w:rPr>
        <w:t>to increase the consumer coverage. Similarly, billing coverage</w:t>
      </w:r>
      <w:r>
        <w:rPr>
          <w:rFonts w:asciiTheme="minorHAnsi" w:hAnsiTheme="minorHAnsi" w:cstheme="minorHAnsi"/>
          <w:sz w:val="22"/>
          <w:szCs w:val="22"/>
          <w:lang w:val="en-GB"/>
        </w:rPr>
        <w:t xml:space="preserve"> &amp; collection Efficiency</w:t>
      </w:r>
      <w:r w:rsidRPr="00153204">
        <w:rPr>
          <w:rFonts w:asciiTheme="minorHAnsi" w:hAnsiTheme="minorHAnsi" w:cstheme="minorHAnsi"/>
          <w:sz w:val="22"/>
          <w:szCs w:val="22"/>
          <w:lang w:val="en-GB"/>
        </w:rPr>
        <w:t xml:space="preserve"> ha</w:t>
      </w:r>
      <w:r>
        <w:rPr>
          <w:rFonts w:asciiTheme="minorHAnsi" w:hAnsiTheme="minorHAnsi" w:cstheme="minorHAnsi"/>
          <w:sz w:val="22"/>
          <w:szCs w:val="22"/>
          <w:lang w:val="en-GB"/>
        </w:rPr>
        <w:t>ve</w:t>
      </w:r>
      <w:r w:rsidRPr="00153204">
        <w:rPr>
          <w:rFonts w:asciiTheme="minorHAnsi" w:hAnsiTheme="minorHAnsi" w:cstheme="minorHAnsi"/>
          <w:sz w:val="22"/>
          <w:szCs w:val="22"/>
          <w:lang w:val="en-GB"/>
        </w:rPr>
        <w:t xml:space="preserve"> </w:t>
      </w:r>
      <w:r>
        <w:rPr>
          <w:rFonts w:asciiTheme="minorHAnsi" w:hAnsiTheme="minorHAnsi" w:cstheme="minorHAnsi"/>
          <w:sz w:val="22"/>
          <w:szCs w:val="22"/>
          <w:lang w:val="en-GB"/>
        </w:rPr>
        <w:t>been maintained</w:t>
      </w:r>
      <w:r w:rsidRPr="00153204">
        <w:rPr>
          <w:rFonts w:asciiTheme="minorHAnsi" w:hAnsiTheme="minorHAnsi" w:cstheme="minorHAnsi"/>
          <w:sz w:val="22"/>
          <w:szCs w:val="22"/>
          <w:lang w:val="en-GB"/>
        </w:rPr>
        <w:t xml:space="preserve"> </w:t>
      </w:r>
      <w:r>
        <w:rPr>
          <w:rFonts w:asciiTheme="minorHAnsi" w:hAnsiTheme="minorHAnsi" w:cstheme="minorHAnsi"/>
          <w:sz w:val="22"/>
          <w:szCs w:val="22"/>
          <w:lang w:val="en-GB"/>
        </w:rPr>
        <w:t xml:space="preserve">at more than </w:t>
      </w:r>
      <w:r w:rsidRPr="00153204">
        <w:rPr>
          <w:rFonts w:asciiTheme="minorHAnsi" w:hAnsiTheme="minorHAnsi" w:cstheme="minorHAnsi"/>
          <w:sz w:val="22"/>
          <w:szCs w:val="22"/>
          <w:lang w:val="en-GB"/>
        </w:rPr>
        <w:t>9</w:t>
      </w:r>
      <w:r>
        <w:rPr>
          <w:rFonts w:asciiTheme="minorHAnsi" w:hAnsiTheme="minorHAnsi" w:cstheme="minorHAnsi"/>
          <w:sz w:val="22"/>
          <w:szCs w:val="22"/>
          <w:lang w:val="en-GB"/>
        </w:rPr>
        <w:t>8</w:t>
      </w:r>
      <w:r w:rsidRPr="00153204">
        <w:rPr>
          <w:rFonts w:asciiTheme="minorHAnsi" w:hAnsiTheme="minorHAnsi" w:cstheme="minorHAnsi"/>
          <w:sz w:val="22"/>
          <w:szCs w:val="22"/>
          <w:lang w:val="en-GB"/>
        </w:rPr>
        <w:t xml:space="preserve">% </w:t>
      </w:r>
      <w:r>
        <w:rPr>
          <w:rFonts w:asciiTheme="minorHAnsi" w:hAnsiTheme="minorHAnsi" w:cstheme="minorHAnsi"/>
          <w:sz w:val="22"/>
          <w:szCs w:val="22"/>
          <w:lang w:val="en-GB"/>
        </w:rPr>
        <w:t>&amp; more than 97% respectively.</w:t>
      </w:r>
      <w:r w:rsidRPr="00153204">
        <w:rPr>
          <w:rFonts w:asciiTheme="minorHAnsi" w:hAnsiTheme="minorHAnsi" w:cstheme="minorHAnsi"/>
          <w:sz w:val="22"/>
          <w:szCs w:val="22"/>
          <w:lang w:val="en-GB"/>
        </w:rPr>
        <w:t xml:space="preserve"> Percentage of provisional bills have been brought</w:t>
      </w:r>
      <w:r>
        <w:rPr>
          <w:rFonts w:asciiTheme="minorHAnsi" w:hAnsiTheme="minorHAnsi" w:cstheme="minorHAnsi"/>
          <w:sz w:val="22"/>
          <w:szCs w:val="22"/>
          <w:lang w:val="en-GB"/>
        </w:rPr>
        <w:t xml:space="preserve"> to </w:t>
      </w:r>
      <w:r w:rsidRPr="00E33039">
        <w:rPr>
          <w:rFonts w:asciiTheme="minorHAnsi" w:hAnsiTheme="minorHAnsi" w:cstheme="minorHAnsi"/>
          <w:sz w:val="22"/>
          <w:szCs w:val="22"/>
          <w:lang w:val="en-GB"/>
        </w:rPr>
        <w:t>1.41% as on H1 of FY</w:t>
      </w:r>
      <w:r>
        <w:rPr>
          <w:rFonts w:asciiTheme="minorHAnsi" w:hAnsiTheme="minorHAnsi" w:cstheme="minorHAnsi"/>
          <w:sz w:val="22"/>
          <w:szCs w:val="22"/>
          <w:lang w:val="en-GB"/>
        </w:rPr>
        <w:t>-</w:t>
      </w:r>
      <w:r w:rsidRPr="00E33039">
        <w:rPr>
          <w:rFonts w:asciiTheme="minorHAnsi" w:hAnsiTheme="minorHAnsi" w:cstheme="minorHAnsi"/>
          <w:sz w:val="22"/>
          <w:szCs w:val="22"/>
          <w:lang w:val="en-GB"/>
        </w:rPr>
        <w:t>25. Imp</w:t>
      </w:r>
      <w:r w:rsidRPr="00153204">
        <w:rPr>
          <w:rFonts w:asciiTheme="minorHAnsi" w:hAnsiTheme="minorHAnsi" w:cstheme="minorHAnsi"/>
          <w:sz w:val="22"/>
          <w:szCs w:val="22"/>
          <w:lang w:val="en-GB"/>
        </w:rPr>
        <w:t xml:space="preserve">rovement in various parameters are detailed in the following sections </w:t>
      </w:r>
    </w:p>
    <w:p w14:paraId="178E8D62" w14:textId="77777777" w:rsidR="00E06740" w:rsidRPr="004D5E58" w:rsidRDefault="00E06740" w:rsidP="00E06740">
      <w:pPr>
        <w:tabs>
          <w:tab w:val="left" w:pos="426"/>
        </w:tabs>
        <w:spacing w:before="120" w:after="120" w:line="360" w:lineRule="auto"/>
        <w:ind w:left="567" w:right="-23"/>
        <w:jc w:val="both"/>
        <w:rPr>
          <w:rFonts w:asciiTheme="minorHAnsi" w:hAnsiTheme="minorHAnsi" w:cstheme="minorHAnsi"/>
          <w:b/>
          <w:szCs w:val="22"/>
          <w:lang w:val="en-GB"/>
        </w:rPr>
      </w:pPr>
      <w:r w:rsidRPr="004D5E58">
        <w:rPr>
          <w:rFonts w:asciiTheme="minorHAnsi" w:hAnsiTheme="minorHAnsi" w:cstheme="minorHAnsi"/>
          <w:b/>
          <w:szCs w:val="22"/>
          <w:lang w:val="en-GB"/>
        </w:rPr>
        <w:t xml:space="preserve">2.6.1. Billing Efficiency Improvement: </w:t>
      </w:r>
    </w:p>
    <w:p w14:paraId="52D2B421" w14:textId="77777777" w:rsidR="00E06740" w:rsidRDefault="00E06740" w:rsidP="00E06740">
      <w:pPr>
        <w:tabs>
          <w:tab w:val="left" w:pos="426"/>
        </w:tabs>
        <w:spacing w:before="120" w:after="120" w:line="360" w:lineRule="auto"/>
        <w:ind w:left="567" w:right="-23"/>
        <w:jc w:val="both"/>
        <w:rPr>
          <w:rFonts w:asciiTheme="minorHAnsi" w:hAnsiTheme="minorHAnsi" w:cstheme="minorHAnsi"/>
          <w:b/>
          <w:sz w:val="22"/>
          <w:szCs w:val="22"/>
          <w:lang w:val="en-GB"/>
        </w:rPr>
      </w:pPr>
      <w:r>
        <w:rPr>
          <w:rFonts w:asciiTheme="minorHAnsi" w:hAnsiTheme="minorHAnsi" w:cstheme="minorHAnsi"/>
          <w:b/>
          <w:sz w:val="22"/>
          <w:szCs w:val="22"/>
          <w:lang w:val="en-GB"/>
        </w:rPr>
        <w:t>The following initiatives have been undertaken for improving Billing Efficiency:</w:t>
      </w:r>
    </w:p>
    <w:p w14:paraId="7855336C" w14:textId="77777777" w:rsidR="00E06740" w:rsidRPr="008B57F2" w:rsidRDefault="00E06740" w:rsidP="00E06740">
      <w:pPr>
        <w:pStyle w:val="ListParagraph"/>
        <w:numPr>
          <w:ilvl w:val="0"/>
          <w:numId w:val="71"/>
        </w:numPr>
        <w:tabs>
          <w:tab w:val="left" w:pos="426"/>
        </w:tabs>
        <w:spacing w:before="120" w:after="120" w:line="360" w:lineRule="auto"/>
        <w:ind w:right="-23"/>
        <w:jc w:val="both"/>
        <w:rPr>
          <w:rFonts w:asciiTheme="minorHAnsi" w:hAnsiTheme="minorHAnsi" w:cstheme="minorHAnsi"/>
          <w:b/>
          <w:lang w:val="en-GB"/>
        </w:rPr>
      </w:pPr>
      <w:r>
        <w:rPr>
          <w:rFonts w:asciiTheme="minorHAnsi" w:hAnsiTheme="minorHAnsi" w:cstheme="minorHAnsi"/>
          <w:b/>
          <w:lang w:val="en-GB"/>
        </w:rPr>
        <w:t xml:space="preserve">MBC Contact Separation - </w:t>
      </w:r>
      <w:r w:rsidRPr="00465CF4">
        <w:rPr>
          <w:rFonts w:asciiTheme="minorHAnsi" w:hAnsiTheme="minorHAnsi" w:cstheme="minorHAnsi"/>
          <w:lang w:val="en-GB"/>
        </w:rPr>
        <w:t xml:space="preserve">Dedicated </w:t>
      </w:r>
      <w:r>
        <w:rPr>
          <w:rFonts w:asciiTheme="minorHAnsi" w:hAnsiTheme="minorHAnsi" w:cstheme="minorHAnsi"/>
          <w:lang w:val="en-GB"/>
        </w:rPr>
        <w:t xml:space="preserve">team for Reading &amp; </w:t>
      </w:r>
      <w:r w:rsidRPr="00465CF4">
        <w:rPr>
          <w:rFonts w:asciiTheme="minorHAnsi" w:hAnsiTheme="minorHAnsi" w:cstheme="minorHAnsi"/>
          <w:lang w:val="en-GB"/>
        </w:rPr>
        <w:t>Billing</w:t>
      </w:r>
      <w:r>
        <w:rPr>
          <w:rFonts w:asciiTheme="minorHAnsi" w:hAnsiTheme="minorHAnsi" w:cstheme="minorHAnsi"/>
          <w:lang w:val="en-GB"/>
        </w:rPr>
        <w:t xml:space="preserve"> activities</w:t>
      </w:r>
      <w:r w:rsidRPr="00465CF4">
        <w:rPr>
          <w:rFonts w:asciiTheme="minorHAnsi" w:hAnsiTheme="minorHAnsi" w:cstheme="minorHAnsi"/>
          <w:lang w:val="en-GB"/>
        </w:rPr>
        <w:t xml:space="preserve"> for Single Phase Billing</w:t>
      </w:r>
      <w:r>
        <w:rPr>
          <w:rFonts w:asciiTheme="minorHAnsi" w:hAnsiTheme="minorHAnsi" w:cstheme="minorHAnsi"/>
          <w:lang w:val="en-GB"/>
        </w:rPr>
        <w:t>.</w:t>
      </w:r>
    </w:p>
    <w:p w14:paraId="77A2A37A" w14:textId="77777777" w:rsidR="00E06740" w:rsidRPr="008B57F2" w:rsidRDefault="00E06740" w:rsidP="00E06740">
      <w:pPr>
        <w:pStyle w:val="ListParagraph"/>
        <w:numPr>
          <w:ilvl w:val="0"/>
          <w:numId w:val="71"/>
        </w:numPr>
        <w:tabs>
          <w:tab w:val="left" w:pos="426"/>
        </w:tabs>
        <w:spacing w:before="120" w:after="120" w:line="360" w:lineRule="auto"/>
        <w:ind w:right="-23"/>
        <w:jc w:val="both"/>
        <w:rPr>
          <w:rFonts w:asciiTheme="minorHAnsi" w:hAnsiTheme="minorHAnsi" w:cstheme="minorHAnsi"/>
          <w:b/>
          <w:lang w:val="en-GB"/>
        </w:rPr>
      </w:pPr>
      <w:r>
        <w:rPr>
          <w:rFonts w:asciiTheme="minorHAnsi" w:hAnsiTheme="minorHAnsi" w:cstheme="minorHAnsi"/>
          <w:b/>
          <w:lang w:val="en-GB"/>
        </w:rPr>
        <w:t xml:space="preserve">100% MRU wise Billing - </w:t>
      </w:r>
      <w:r w:rsidRPr="00465CF4">
        <w:rPr>
          <w:rFonts w:asciiTheme="minorHAnsi" w:hAnsiTheme="minorHAnsi" w:cstheme="minorHAnsi"/>
          <w:lang w:val="en-GB"/>
        </w:rPr>
        <w:t xml:space="preserve">Each Binder area </w:t>
      </w:r>
      <w:r>
        <w:rPr>
          <w:rFonts w:asciiTheme="minorHAnsi" w:hAnsiTheme="minorHAnsi" w:cstheme="minorHAnsi"/>
          <w:lang w:val="en-GB"/>
        </w:rPr>
        <w:t xml:space="preserve">was </w:t>
      </w:r>
      <w:r w:rsidRPr="00465CF4">
        <w:rPr>
          <w:rFonts w:asciiTheme="minorHAnsi" w:hAnsiTheme="minorHAnsi" w:cstheme="minorHAnsi"/>
          <w:lang w:val="en-GB"/>
        </w:rPr>
        <w:t>split in</w:t>
      </w:r>
      <w:r>
        <w:rPr>
          <w:rFonts w:asciiTheme="minorHAnsi" w:hAnsiTheme="minorHAnsi" w:cstheme="minorHAnsi"/>
          <w:lang w:val="en-GB"/>
        </w:rPr>
        <w:t>to</w:t>
      </w:r>
      <w:r w:rsidRPr="00465CF4">
        <w:rPr>
          <w:rFonts w:asciiTheme="minorHAnsi" w:hAnsiTheme="minorHAnsi" w:cstheme="minorHAnsi"/>
          <w:lang w:val="en-GB"/>
        </w:rPr>
        <w:t xml:space="preserve"> small </w:t>
      </w:r>
      <w:r>
        <w:rPr>
          <w:rFonts w:asciiTheme="minorHAnsi" w:hAnsiTheme="minorHAnsi" w:cstheme="minorHAnsi"/>
          <w:lang w:val="en-GB"/>
        </w:rPr>
        <w:t>pockets</w:t>
      </w:r>
      <w:r w:rsidRPr="00465CF4">
        <w:rPr>
          <w:rFonts w:asciiTheme="minorHAnsi" w:hAnsiTheme="minorHAnsi" w:cstheme="minorHAnsi"/>
          <w:lang w:val="en-GB"/>
        </w:rPr>
        <w:t xml:space="preserve"> with </w:t>
      </w:r>
      <w:r>
        <w:rPr>
          <w:rFonts w:asciiTheme="minorHAnsi" w:hAnsiTheme="minorHAnsi" w:cstheme="minorHAnsi"/>
          <w:lang w:val="en-GB"/>
        </w:rPr>
        <w:t xml:space="preserve">schedule </w:t>
      </w:r>
      <w:r w:rsidRPr="00465CF4">
        <w:rPr>
          <w:rFonts w:asciiTheme="minorHAnsi" w:hAnsiTheme="minorHAnsi" w:cstheme="minorHAnsi"/>
          <w:lang w:val="en-GB"/>
        </w:rPr>
        <w:t>reading date range</w:t>
      </w:r>
      <w:r>
        <w:rPr>
          <w:rFonts w:asciiTheme="minorHAnsi" w:hAnsiTheme="minorHAnsi" w:cstheme="minorHAnsi"/>
          <w:lang w:val="en-GB"/>
        </w:rPr>
        <w:t>.</w:t>
      </w:r>
    </w:p>
    <w:p w14:paraId="3566793B" w14:textId="77777777" w:rsidR="00E06740" w:rsidRPr="00F64ED7" w:rsidRDefault="00E06740" w:rsidP="00E06740">
      <w:pPr>
        <w:pStyle w:val="ListParagraph"/>
        <w:numPr>
          <w:ilvl w:val="0"/>
          <w:numId w:val="71"/>
        </w:numPr>
        <w:tabs>
          <w:tab w:val="left" w:pos="426"/>
        </w:tabs>
        <w:spacing w:before="120" w:after="120" w:line="360" w:lineRule="auto"/>
        <w:ind w:right="-23"/>
        <w:jc w:val="both"/>
        <w:rPr>
          <w:rFonts w:asciiTheme="minorHAnsi" w:hAnsiTheme="minorHAnsi" w:cstheme="minorHAnsi"/>
          <w:b/>
          <w:lang w:val="en-GB"/>
        </w:rPr>
      </w:pPr>
      <w:r w:rsidRPr="008B57F2">
        <w:rPr>
          <w:rFonts w:asciiTheme="minorHAnsi" w:hAnsiTheme="minorHAnsi" w:cstheme="minorHAnsi"/>
          <w:b/>
          <w:lang w:val="en-GB"/>
        </w:rPr>
        <w:t xml:space="preserve">AI &amp; OCR Based Meter Reading- </w:t>
      </w:r>
      <w:r w:rsidRPr="008B57F2">
        <w:rPr>
          <w:rFonts w:asciiTheme="minorHAnsi" w:hAnsiTheme="minorHAnsi" w:cstheme="minorHAnsi"/>
          <w:lang w:val="en-GB"/>
        </w:rPr>
        <w:t xml:space="preserve">Integrated Mobile application </w:t>
      </w:r>
      <w:r>
        <w:rPr>
          <w:rFonts w:asciiTheme="minorHAnsi" w:hAnsiTheme="minorHAnsi" w:cstheme="minorHAnsi"/>
          <w:lang w:val="en-GB"/>
        </w:rPr>
        <w:t xml:space="preserve">to </w:t>
      </w:r>
      <w:r w:rsidRPr="008B57F2">
        <w:rPr>
          <w:rFonts w:asciiTheme="minorHAnsi" w:hAnsiTheme="minorHAnsi" w:cstheme="minorHAnsi"/>
          <w:lang w:val="en-GB"/>
        </w:rPr>
        <w:t>auto scan</w:t>
      </w:r>
      <w:r>
        <w:rPr>
          <w:rFonts w:asciiTheme="minorHAnsi" w:hAnsiTheme="minorHAnsi" w:cstheme="minorHAnsi"/>
          <w:lang w:val="en-GB"/>
        </w:rPr>
        <w:t xml:space="preserve"> meter reading</w:t>
      </w:r>
      <w:r w:rsidRPr="008B57F2">
        <w:rPr>
          <w:rFonts w:asciiTheme="minorHAnsi" w:hAnsiTheme="minorHAnsi" w:cstheme="minorHAnsi"/>
          <w:lang w:val="en-GB"/>
        </w:rPr>
        <w:t xml:space="preserve"> </w:t>
      </w:r>
      <w:r>
        <w:rPr>
          <w:rFonts w:asciiTheme="minorHAnsi" w:hAnsiTheme="minorHAnsi" w:cstheme="minorHAnsi"/>
          <w:lang w:val="en-GB"/>
        </w:rPr>
        <w:t>thus eliminating reading errors</w:t>
      </w:r>
      <w:r w:rsidRPr="008B57F2">
        <w:rPr>
          <w:rFonts w:asciiTheme="minorHAnsi" w:hAnsiTheme="minorHAnsi" w:cstheme="minorHAnsi"/>
          <w:lang w:val="en-GB"/>
        </w:rPr>
        <w:t xml:space="preserve">. </w:t>
      </w:r>
    </w:p>
    <w:p w14:paraId="3745944A" w14:textId="77777777" w:rsidR="00E06740" w:rsidRPr="008B57F2" w:rsidRDefault="00E06740" w:rsidP="00E06740">
      <w:pPr>
        <w:pStyle w:val="ListParagraph"/>
        <w:numPr>
          <w:ilvl w:val="0"/>
          <w:numId w:val="71"/>
        </w:numPr>
        <w:tabs>
          <w:tab w:val="left" w:pos="426"/>
        </w:tabs>
        <w:spacing w:before="120" w:after="120" w:line="360" w:lineRule="auto"/>
        <w:ind w:right="-23"/>
        <w:jc w:val="both"/>
        <w:rPr>
          <w:rFonts w:asciiTheme="minorHAnsi" w:hAnsiTheme="minorHAnsi" w:cstheme="minorHAnsi"/>
          <w:b/>
          <w:lang w:val="en-GB"/>
        </w:rPr>
      </w:pPr>
      <w:r>
        <w:rPr>
          <w:rFonts w:asciiTheme="minorHAnsi" w:hAnsiTheme="minorHAnsi" w:cstheme="minorHAnsi"/>
          <w:b/>
          <w:lang w:val="en-GB"/>
        </w:rPr>
        <w:t xml:space="preserve">Replacement of Meters- </w:t>
      </w:r>
      <w:r w:rsidRPr="00F64ED7">
        <w:rPr>
          <w:rFonts w:asciiTheme="minorHAnsi" w:hAnsiTheme="minorHAnsi" w:cstheme="minorHAnsi"/>
          <w:lang w:val="en-GB"/>
        </w:rPr>
        <w:t xml:space="preserve">Focus </w:t>
      </w:r>
      <w:r>
        <w:rPr>
          <w:rFonts w:asciiTheme="minorHAnsi" w:hAnsiTheme="minorHAnsi" w:cstheme="minorHAnsi"/>
          <w:lang w:val="en-GB"/>
        </w:rPr>
        <w:t>on burnt &amp; defective meters (2.5 Lakh meter replaced)</w:t>
      </w:r>
    </w:p>
    <w:p w14:paraId="0356BC25" w14:textId="77777777" w:rsidR="00E06740" w:rsidRPr="00E87615" w:rsidRDefault="00E06740" w:rsidP="00E06740">
      <w:pPr>
        <w:pStyle w:val="ListParagraph"/>
        <w:numPr>
          <w:ilvl w:val="0"/>
          <w:numId w:val="71"/>
        </w:numPr>
        <w:tabs>
          <w:tab w:val="left" w:pos="426"/>
        </w:tabs>
        <w:spacing w:before="120" w:after="120" w:line="360" w:lineRule="auto"/>
        <w:ind w:right="-23"/>
        <w:jc w:val="both"/>
        <w:rPr>
          <w:rFonts w:asciiTheme="minorHAnsi" w:hAnsiTheme="minorHAnsi" w:cstheme="minorHAnsi"/>
          <w:b/>
          <w:lang w:val="en-GB"/>
        </w:rPr>
      </w:pPr>
      <w:r w:rsidRPr="00AE5DDB">
        <w:rPr>
          <w:rFonts w:asciiTheme="minorHAnsi" w:hAnsiTheme="minorHAnsi" w:cstheme="minorHAnsi"/>
          <w:b/>
          <w:lang w:val="en-GB"/>
        </w:rPr>
        <w:t>Data analytics-based surveillance</w:t>
      </w:r>
      <w:r>
        <w:rPr>
          <w:rFonts w:asciiTheme="minorHAnsi" w:hAnsiTheme="minorHAnsi" w:cstheme="minorHAnsi"/>
          <w:lang w:val="en-GB"/>
        </w:rPr>
        <w:t xml:space="preserve">- </w:t>
      </w:r>
      <w:r w:rsidRPr="008B57F2">
        <w:rPr>
          <w:rFonts w:asciiTheme="minorHAnsi" w:hAnsiTheme="minorHAnsi" w:cstheme="minorHAnsi"/>
          <w:lang w:val="en-GB"/>
        </w:rPr>
        <w:t>Anal</w:t>
      </w:r>
      <w:r>
        <w:rPr>
          <w:rFonts w:asciiTheme="minorHAnsi" w:hAnsiTheme="minorHAnsi" w:cstheme="minorHAnsi"/>
          <w:lang w:val="en-GB"/>
        </w:rPr>
        <w:t>ysis of consumption patterns to pre-empt probable theft cases</w:t>
      </w:r>
      <w:r w:rsidRPr="008B57F2">
        <w:rPr>
          <w:rFonts w:asciiTheme="minorHAnsi" w:hAnsiTheme="minorHAnsi" w:cstheme="minorHAnsi"/>
          <w:lang w:val="en-GB"/>
        </w:rPr>
        <w:t xml:space="preserve">. </w:t>
      </w:r>
    </w:p>
    <w:p w14:paraId="317C8214" w14:textId="77777777" w:rsidR="00E06740" w:rsidRPr="00AE5DDB" w:rsidRDefault="00E06740" w:rsidP="00E06740">
      <w:pPr>
        <w:pStyle w:val="ListParagraph"/>
        <w:numPr>
          <w:ilvl w:val="0"/>
          <w:numId w:val="71"/>
        </w:numPr>
        <w:tabs>
          <w:tab w:val="left" w:pos="426"/>
        </w:tabs>
        <w:spacing w:before="120" w:after="120" w:line="360" w:lineRule="auto"/>
        <w:ind w:right="-23"/>
        <w:jc w:val="both"/>
        <w:rPr>
          <w:rFonts w:asciiTheme="minorHAnsi" w:hAnsiTheme="minorHAnsi" w:cstheme="minorHAnsi"/>
          <w:b/>
          <w:lang w:val="en-GB"/>
        </w:rPr>
      </w:pPr>
      <w:r>
        <w:rPr>
          <w:rFonts w:asciiTheme="minorHAnsi" w:hAnsiTheme="minorHAnsi" w:cstheme="minorHAnsi"/>
          <w:b/>
          <w:lang w:val="en-GB"/>
        </w:rPr>
        <w:t xml:space="preserve">Theft Reduction Initiatives- </w:t>
      </w:r>
      <w:r w:rsidRPr="00E87615">
        <w:rPr>
          <w:rFonts w:asciiTheme="minorHAnsi" w:hAnsiTheme="minorHAnsi" w:cstheme="minorHAnsi"/>
          <w:lang w:val="en-GB"/>
        </w:rPr>
        <w:t>Energy Audit &amp; data analytics</w:t>
      </w:r>
      <w:r>
        <w:rPr>
          <w:rFonts w:asciiTheme="minorHAnsi" w:hAnsiTheme="minorHAnsi" w:cstheme="minorHAnsi"/>
          <w:lang w:val="en-GB"/>
        </w:rPr>
        <w:t>-based enforcement drives to arrest pilferage of electricity. This resulted unauthorised load booking of 123 MW.</w:t>
      </w:r>
    </w:p>
    <w:p w14:paraId="1096FA4E" w14:textId="25E22ABC" w:rsidR="00E06740" w:rsidRDefault="00E06740" w:rsidP="00E06740">
      <w:pPr>
        <w:pStyle w:val="ListParagraph"/>
        <w:tabs>
          <w:tab w:val="left" w:pos="426"/>
        </w:tabs>
        <w:spacing w:before="120" w:after="120" w:line="360" w:lineRule="auto"/>
        <w:ind w:left="1287" w:right="-23"/>
        <w:jc w:val="both"/>
        <w:rPr>
          <w:rFonts w:asciiTheme="minorHAnsi" w:hAnsiTheme="minorHAnsi" w:cstheme="minorHAnsi"/>
          <w:lang w:val="en-GB"/>
        </w:rPr>
      </w:pPr>
      <w:r w:rsidRPr="00AE5DDB">
        <w:rPr>
          <w:rFonts w:asciiTheme="minorHAnsi" w:hAnsiTheme="minorHAnsi" w:cstheme="minorHAnsi"/>
          <w:lang w:val="en-GB"/>
        </w:rPr>
        <w:lastRenderedPageBreak/>
        <w:t>All the above-mentioned initiatives have helped</w:t>
      </w:r>
      <w:r>
        <w:rPr>
          <w:rFonts w:asciiTheme="minorHAnsi" w:hAnsiTheme="minorHAnsi" w:cstheme="minorHAnsi"/>
          <w:b/>
          <w:lang w:val="en-GB"/>
        </w:rPr>
        <w:t xml:space="preserve"> </w:t>
      </w:r>
      <w:r>
        <w:rPr>
          <w:rFonts w:asciiTheme="minorHAnsi" w:hAnsiTheme="minorHAnsi" w:cstheme="minorHAnsi"/>
          <w:lang w:val="en-GB"/>
        </w:rPr>
        <w:t>improving billing coverage (98.59%) &amp; slab adherence (87%) and overall Billing efficiency</w:t>
      </w:r>
    </w:p>
    <w:p w14:paraId="708E333A" w14:textId="77777777" w:rsidR="006A7BDF" w:rsidRPr="00AE5DDB" w:rsidRDefault="006A7BDF" w:rsidP="00E06740">
      <w:pPr>
        <w:pStyle w:val="ListParagraph"/>
        <w:tabs>
          <w:tab w:val="left" w:pos="426"/>
        </w:tabs>
        <w:spacing w:before="120" w:after="120" w:line="360" w:lineRule="auto"/>
        <w:ind w:left="1287" w:right="-23"/>
        <w:jc w:val="both"/>
        <w:rPr>
          <w:rFonts w:asciiTheme="minorHAnsi" w:hAnsiTheme="minorHAnsi" w:cstheme="minorHAnsi"/>
          <w:b/>
          <w:lang w:val="en-GB"/>
        </w:rPr>
      </w:pPr>
    </w:p>
    <w:p w14:paraId="0B0D4F4A" w14:textId="77777777" w:rsidR="00E06740" w:rsidRPr="00465CF4" w:rsidRDefault="00E06740" w:rsidP="00E06740">
      <w:pPr>
        <w:pStyle w:val="NormalWeb"/>
        <w:tabs>
          <w:tab w:val="left" w:pos="426"/>
        </w:tabs>
        <w:spacing w:before="58" w:beforeAutospacing="0" w:afterAutospacing="0" w:line="360" w:lineRule="auto"/>
        <w:ind w:right="-23"/>
        <w:jc w:val="both"/>
        <w:rPr>
          <w:rFonts w:asciiTheme="minorHAnsi" w:hAnsiTheme="minorHAnsi" w:cstheme="minorHAnsi"/>
          <w:bCs/>
          <w:sz w:val="22"/>
          <w:szCs w:val="22"/>
        </w:rPr>
      </w:pPr>
      <w:r w:rsidRPr="00465CF4">
        <w:rPr>
          <w:rFonts w:asciiTheme="minorHAnsi" w:hAnsiTheme="minorHAnsi" w:cstheme="minorHAnsi"/>
          <w:b/>
          <w:bCs/>
          <w:noProof/>
          <w:sz w:val="22"/>
          <w:szCs w:val="22"/>
          <w:lang w:val="en-IN" w:eastAsia="en-IN"/>
        </w:rPr>
        <w:drawing>
          <wp:anchor distT="0" distB="0" distL="0" distR="0" simplePos="0" relativeHeight="252131840" behindDoc="0" locked="0" layoutInCell="1" allowOverlap="1" wp14:anchorId="5C7DD210" wp14:editId="61F0A36D">
            <wp:simplePos x="0" y="0"/>
            <wp:positionH relativeFrom="margin">
              <wp:posOffset>292735</wp:posOffset>
            </wp:positionH>
            <wp:positionV relativeFrom="paragraph">
              <wp:posOffset>0</wp:posOffset>
            </wp:positionV>
            <wp:extent cx="5638800" cy="2171700"/>
            <wp:effectExtent l="0" t="0" r="0" b="0"/>
            <wp:wrapSquare wrapText="bothSides"/>
            <wp:docPr id="28"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14:sizeRelH relativeFrom="margin">
              <wp14:pctWidth>0</wp14:pctWidth>
            </wp14:sizeRelH>
            <wp14:sizeRelV relativeFrom="margin">
              <wp14:pctHeight>0</wp14:pctHeight>
            </wp14:sizeRelV>
          </wp:anchor>
        </w:drawing>
      </w:r>
    </w:p>
    <w:p w14:paraId="18A79244" w14:textId="77777777" w:rsidR="00E06740" w:rsidRPr="00465CF4" w:rsidRDefault="00E06740" w:rsidP="00E06740">
      <w:pPr>
        <w:tabs>
          <w:tab w:val="left" w:pos="426"/>
        </w:tabs>
        <w:spacing w:before="120" w:after="120" w:line="360" w:lineRule="auto"/>
        <w:ind w:left="567" w:right="-23"/>
        <w:jc w:val="both"/>
        <w:rPr>
          <w:rFonts w:asciiTheme="minorHAnsi" w:hAnsiTheme="minorHAnsi" w:cstheme="minorHAnsi"/>
          <w:b/>
          <w:sz w:val="22"/>
          <w:szCs w:val="22"/>
          <w:lang w:val="en-GB"/>
        </w:rPr>
      </w:pPr>
    </w:p>
    <w:p w14:paraId="6FA30002" w14:textId="77777777" w:rsidR="00E06740" w:rsidRPr="004D5E58" w:rsidRDefault="00E06740" w:rsidP="00E06740">
      <w:pPr>
        <w:tabs>
          <w:tab w:val="left" w:pos="426"/>
        </w:tabs>
        <w:spacing w:before="120" w:after="120" w:line="360" w:lineRule="auto"/>
        <w:ind w:left="567" w:right="-23"/>
        <w:jc w:val="both"/>
        <w:rPr>
          <w:rFonts w:asciiTheme="minorHAnsi" w:hAnsiTheme="minorHAnsi" w:cstheme="minorHAnsi"/>
          <w:szCs w:val="22"/>
          <w:lang w:val="en-GB"/>
        </w:rPr>
      </w:pPr>
      <w:r w:rsidRPr="004D5E58">
        <w:rPr>
          <w:rFonts w:asciiTheme="minorHAnsi" w:hAnsiTheme="minorHAnsi" w:cstheme="minorHAnsi"/>
          <w:b/>
          <w:szCs w:val="22"/>
          <w:lang w:val="en-GB"/>
        </w:rPr>
        <w:t>2.6.2 Collection Efficiency Improvement:</w:t>
      </w:r>
      <w:r w:rsidRPr="004D5E58">
        <w:rPr>
          <w:rFonts w:asciiTheme="minorHAnsi" w:hAnsiTheme="minorHAnsi" w:cstheme="minorHAnsi"/>
          <w:szCs w:val="22"/>
          <w:lang w:val="en-GB"/>
        </w:rPr>
        <w:t xml:space="preserve"> </w:t>
      </w:r>
    </w:p>
    <w:p w14:paraId="5B444D9A" w14:textId="77777777" w:rsidR="00E06740" w:rsidRDefault="00E06740" w:rsidP="00E06740">
      <w:pPr>
        <w:tabs>
          <w:tab w:val="left" w:pos="426"/>
        </w:tabs>
        <w:spacing w:before="120" w:after="120" w:line="360" w:lineRule="auto"/>
        <w:ind w:left="567" w:right="-23"/>
        <w:jc w:val="both"/>
        <w:rPr>
          <w:rFonts w:asciiTheme="minorHAnsi" w:hAnsiTheme="minorHAnsi" w:cstheme="minorHAnsi"/>
          <w:b/>
          <w:sz w:val="22"/>
          <w:szCs w:val="22"/>
          <w:lang w:val="en-GB"/>
        </w:rPr>
      </w:pPr>
      <w:r>
        <w:rPr>
          <w:rFonts w:asciiTheme="minorHAnsi" w:hAnsiTheme="minorHAnsi" w:cstheme="minorHAnsi"/>
          <w:b/>
          <w:sz w:val="22"/>
          <w:szCs w:val="22"/>
          <w:lang w:val="en-GB"/>
        </w:rPr>
        <w:t>Collection Efficiency improvement was driven through following initiatives:</w:t>
      </w:r>
    </w:p>
    <w:p w14:paraId="6661F6F8" w14:textId="77777777" w:rsidR="00E06740" w:rsidRPr="00F64ED7" w:rsidRDefault="00E06740" w:rsidP="00E06740">
      <w:pPr>
        <w:pStyle w:val="ListParagraph"/>
        <w:numPr>
          <w:ilvl w:val="0"/>
          <w:numId w:val="72"/>
        </w:numPr>
        <w:tabs>
          <w:tab w:val="left" w:pos="426"/>
        </w:tabs>
        <w:spacing w:before="120" w:after="120" w:line="360" w:lineRule="auto"/>
        <w:ind w:right="-23"/>
        <w:jc w:val="both"/>
        <w:rPr>
          <w:rFonts w:asciiTheme="minorHAnsi" w:hAnsiTheme="minorHAnsi" w:cstheme="minorHAnsi"/>
          <w:b/>
          <w:lang w:val="en-GB"/>
        </w:rPr>
      </w:pPr>
      <w:r>
        <w:rPr>
          <w:rFonts w:asciiTheme="minorHAnsi" w:hAnsiTheme="minorHAnsi" w:cstheme="minorHAnsi"/>
          <w:b/>
          <w:lang w:val="en-GB"/>
        </w:rPr>
        <w:t xml:space="preserve">Separate Collection Contract – </w:t>
      </w:r>
      <w:r>
        <w:rPr>
          <w:rFonts w:asciiTheme="minorHAnsi" w:hAnsiTheme="minorHAnsi" w:cstheme="minorHAnsi"/>
          <w:lang w:val="en-GB"/>
        </w:rPr>
        <w:t>Separate team for recovery activities in order to improve collection coverage</w:t>
      </w:r>
    </w:p>
    <w:p w14:paraId="574C62C2" w14:textId="77777777" w:rsidR="00E06740" w:rsidRPr="006C0446" w:rsidRDefault="00E06740" w:rsidP="00E06740">
      <w:pPr>
        <w:pStyle w:val="ListParagraph"/>
        <w:numPr>
          <w:ilvl w:val="0"/>
          <w:numId w:val="72"/>
        </w:numPr>
        <w:tabs>
          <w:tab w:val="left" w:pos="426"/>
        </w:tabs>
        <w:spacing w:before="120" w:after="120" w:line="360" w:lineRule="auto"/>
        <w:ind w:right="-23"/>
        <w:jc w:val="both"/>
        <w:rPr>
          <w:rFonts w:asciiTheme="minorHAnsi" w:hAnsiTheme="minorHAnsi" w:cstheme="minorHAnsi"/>
          <w:b/>
          <w:lang w:val="en-GB"/>
        </w:rPr>
      </w:pPr>
      <w:r w:rsidRPr="006C0446">
        <w:rPr>
          <w:rFonts w:asciiTheme="minorHAnsi" w:hAnsiTheme="minorHAnsi" w:cstheme="minorHAnsi"/>
          <w:b/>
          <w:lang w:val="en-GB"/>
        </w:rPr>
        <w:t>Strengthening the Disconnection Activities</w:t>
      </w:r>
      <w:r>
        <w:rPr>
          <w:rFonts w:asciiTheme="minorHAnsi" w:hAnsiTheme="minorHAnsi" w:cstheme="minorHAnsi"/>
          <w:b/>
          <w:lang w:val="en-GB"/>
        </w:rPr>
        <w:t xml:space="preserve"> – </w:t>
      </w:r>
      <w:r>
        <w:rPr>
          <w:rFonts w:asciiTheme="minorHAnsi" w:hAnsiTheme="minorHAnsi" w:cstheme="minorHAnsi"/>
          <w:lang w:val="en-GB"/>
        </w:rPr>
        <w:t>System based tracking of defaulters &amp; monitoring of individual disconnection through e-enabled platforms (DO App).</w:t>
      </w:r>
    </w:p>
    <w:p w14:paraId="28757E13" w14:textId="77777777" w:rsidR="00E06740" w:rsidRPr="006C0446" w:rsidRDefault="00E06740" w:rsidP="00E06740">
      <w:pPr>
        <w:pStyle w:val="ListParagraph"/>
        <w:numPr>
          <w:ilvl w:val="0"/>
          <w:numId w:val="72"/>
        </w:numPr>
        <w:tabs>
          <w:tab w:val="left" w:pos="426"/>
        </w:tabs>
        <w:spacing w:before="120" w:after="120" w:line="360" w:lineRule="auto"/>
        <w:ind w:right="-23"/>
        <w:jc w:val="both"/>
        <w:rPr>
          <w:rFonts w:asciiTheme="minorHAnsi" w:hAnsiTheme="minorHAnsi" w:cstheme="minorHAnsi"/>
          <w:b/>
          <w:lang w:val="en-GB"/>
        </w:rPr>
      </w:pPr>
      <w:r>
        <w:rPr>
          <w:rFonts w:asciiTheme="minorHAnsi" w:hAnsiTheme="minorHAnsi" w:cstheme="minorHAnsi"/>
          <w:b/>
          <w:lang w:val="en-GB"/>
        </w:rPr>
        <w:t xml:space="preserve">Project Shikhar- </w:t>
      </w:r>
      <w:r>
        <w:rPr>
          <w:rFonts w:asciiTheme="minorHAnsi" w:hAnsiTheme="minorHAnsi" w:cstheme="minorHAnsi"/>
          <w:lang w:val="en-GB"/>
        </w:rPr>
        <w:t>Focus drive for liquidating long pending arrears</w:t>
      </w:r>
    </w:p>
    <w:p w14:paraId="3E727153" w14:textId="77777777" w:rsidR="00E06740" w:rsidRPr="00F64ED7" w:rsidRDefault="00E06740" w:rsidP="00E06740">
      <w:pPr>
        <w:pStyle w:val="ListParagraph"/>
        <w:numPr>
          <w:ilvl w:val="0"/>
          <w:numId w:val="72"/>
        </w:numPr>
        <w:tabs>
          <w:tab w:val="left" w:pos="426"/>
        </w:tabs>
        <w:spacing w:before="120" w:after="120" w:line="360" w:lineRule="auto"/>
        <w:ind w:right="-23"/>
        <w:jc w:val="both"/>
        <w:rPr>
          <w:rFonts w:asciiTheme="minorHAnsi" w:hAnsiTheme="minorHAnsi" w:cstheme="minorHAnsi"/>
          <w:b/>
          <w:lang w:val="en-GB"/>
        </w:rPr>
      </w:pPr>
      <w:r>
        <w:rPr>
          <w:rFonts w:asciiTheme="minorHAnsi" w:hAnsiTheme="minorHAnsi" w:cstheme="minorHAnsi"/>
          <w:b/>
          <w:lang w:val="en-GB"/>
        </w:rPr>
        <w:t xml:space="preserve">Increase in Payment Avenues- </w:t>
      </w:r>
      <w:r>
        <w:rPr>
          <w:rFonts w:asciiTheme="minorHAnsi" w:hAnsiTheme="minorHAnsi" w:cstheme="minorHAnsi"/>
          <w:lang w:val="en-GB"/>
        </w:rPr>
        <w:t>Introduced multiple payment platforms for enabling customer to pay digitally.</w:t>
      </w:r>
    </w:p>
    <w:p w14:paraId="47724F80" w14:textId="77777777" w:rsidR="00E06740" w:rsidRPr="00F64ED7" w:rsidRDefault="00E06740" w:rsidP="00E06740">
      <w:pPr>
        <w:pStyle w:val="ListParagraph"/>
        <w:numPr>
          <w:ilvl w:val="0"/>
          <w:numId w:val="72"/>
        </w:numPr>
        <w:tabs>
          <w:tab w:val="left" w:pos="426"/>
        </w:tabs>
        <w:spacing w:before="120" w:after="120" w:line="360" w:lineRule="auto"/>
        <w:ind w:right="-23"/>
        <w:jc w:val="both"/>
        <w:rPr>
          <w:rFonts w:asciiTheme="minorHAnsi" w:hAnsiTheme="minorHAnsi" w:cstheme="minorHAnsi"/>
          <w:b/>
          <w:lang w:val="en-GB"/>
        </w:rPr>
      </w:pPr>
      <w:r>
        <w:rPr>
          <w:rFonts w:asciiTheme="minorHAnsi" w:hAnsiTheme="minorHAnsi" w:cstheme="minorHAnsi"/>
          <w:b/>
          <w:lang w:val="en-GB"/>
        </w:rPr>
        <w:t>Customer Recognition Program-</w:t>
      </w:r>
      <w:r>
        <w:rPr>
          <w:rFonts w:asciiTheme="minorHAnsi" w:hAnsiTheme="minorHAnsi" w:cstheme="minorHAnsi"/>
          <w:lang w:val="en-GB"/>
        </w:rPr>
        <w:t xml:space="preserve"> Special rewards for Arrear free &amp; timely paying consumers </w:t>
      </w:r>
    </w:p>
    <w:p w14:paraId="0760ACE2" w14:textId="77777777" w:rsidR="00E06740" w:rsidRPr="00AE5DDB" w:rsidRDefault="00E06740" w:rsidP="00E06740">
      <w:pPr>
        <w:pStyle w:val="ListParagraph"/>
        <w:tabs>
          <w:tab w:val="left" w:pos="426"/>
        </w:tabs>
        <w:spacing w:before="120" w:after="120" w:line="360" w:lineRule="auto"/>
        <w:ind w:left="1287" w:right="-23"/>
        <w:jc w:val="both"/>
        <w:rPr>
          <w:rFonts w:asciiTheme="minorHAnsi" w:hAnsiTheme="minorHAnsi" w:cstheme="minorHAnsi"/>
          <w:b/>
          <w:lang w:val="en-GB"/>
        </w:rPr>
      </w:pPr>
      <w:r w:rsidRPr="00AE5DDB">
        <w:rPr>
          <w:rFonts w:asciiTheme="minorHAnsi" w:hAnsiTheme="minorHAnsi" w:cstheme="minorHAnsi"/>
          <w:lang w:val="en-GB"/>
        </w:rPr>
        <w:t>All the above-mentioned initiatives have helped</w:t>
      </w:r>
      <w:r>
        <w:rPr>
          <w:rFonts w:asciiTheme="minorHAnsi" w:hAnsiTheme="minorHAnsi" w:cstheme="minorHAnsi"/>
          <w:b/>
          <w:lang w:val="en-GB"/>
        </w:rPr>
        <w:t xml:space="preserve"> </w:t>
      </w:r>
      <w:r>
        <w:rPr>
          <w:rFonts w:asciiTheme="minorHAnsi" w:hAnsiTheme="minorHAnsi" w:cstheme="minorHAnsi"/>
          <w:lang w:val="en-GB"/>
        </w:rPr>
        <w:t>improving digital collection to 30%, arrear recovery of ₹107 Cr., Unique collection coverage to 95% resulting improvement in overall collection efficiency.</w:t>
      </w:r>
    </w:p>
    <w:p w14:paraId="22D5033D" w14:textId="77777777" w:rsidR="00E06740" w:rsidRPr="00465CF4" w:rsidRDefault="00E06740" w:rsidP="00E06740">
      <w:pPr>
        <w:pStyle w:val="NormalWeb"/>
        <w:tabs>
          <w:tab w:val="left" w:pos="426"/>
        </w:tabs>
        <w:spacing w:before="58" w:beforeAutospacing="0" w:afterAutospacing="0" w:line="360" w:lineRule="auto"/>
        <w:ind w:left="567" w:right="-23"/>
        <w:jc w:val="both"/>
        <w:rPr>
          <w:rFonts w:asciiTheme="minorHAnsi" w:hAnsiTheme="minorHAnsi" w:cstheme="minorHAnsi"/>
          <w:bCs/>
          <w:sz w:val="22"/>
          <w:szCs w:val="22"/>
        </w:rPr>
      </w:pPr>
      <w:r w:rsidRPr="00465CF4">
        <w:rPr>
          <w:rFonts w:asciiTheme="minorHAnsi" w:hAnsiTheme="minorHAnsi" w:cstheme="minorHAnsi"/>
          <w:noProof/>
          <w:sz w:val="22"/>
          <w:szCs w:val="22"/>
          <w:lang w:val="en-IN" w:eastAsia="en-IN"/>
        </w:rPr>
        <w:lastRenderedPageBreak/>
        <w:drawing>
          <wp:inline distT="0" distB="0" distL="0" distR="0" wp14:anchorId="67BA70DA" wp14:editId="76883661">
            <wp:extent cx="5562600" cy="2266950"/>
            <wp:effectExtent l="0" t="0" r="0" b="0"/>
            <wp:docPr id="29" name="Chart 29">
              <a:extLst xmlns:a="http://schemas.openxmlformats.org/drawingml/2006/main">
                <a:ext uri="{FF2B5EF4-FFF2-40B4-BE49-F238E27FC236}">
                  <a16:creationId xmlns:a16="http://schemas.microsoft.com/office/drawing/2014/main" id="{B9BED5AA-1F85-492A-9B92-8658588B5476}"/>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p>
    <w:p w14:paraId="60EA0A48" w14:textId="77777777" w:rsidR="00E06740" w:rsidRPr="00465CF4" w:rsidRDefault="00E06740" w:rsidP="00E06740">
      <w:pPr>
        <w:pStyle w:val="NormalWeb"/>
        <w:tabs>
          <w:tab w:val="left" w:pos="426"/>
        </w:tabs>
        <w:spacing w:before="58" w:beforeAutospacing="0" w:afterAutospacing="0" w:line="360" w:lineRule="auto"/>
        <w:ind w:left="567" w:right="-23"/>
        <w:jc w:val="both"/>
        <w:rPr>
          <w:rFonts w:asciiTheme="minorHAnsi" w:hAnsiTheme="minorHAnsi" w:cstheme="minorHAnsi"/>
          <w:bCs/>
          <w:sz w:val="22"/>
          <w:szCs w:val="22"/>
        </w:rPr>
      </w:pPr>
    </w:p>
    <w:p w14:paraId="0D99652B" w14:textId="77777777" w:rsidR="00E06740" w:rsidRPr="00465CF4" w:rsidRDefault="00E06740" w:rsidP="00E06740">
      <w:pPr>
        <w:tabs>
          <w:tab w:val="left" w:pos="426"/>
        </w:tabs>
        <w:spacing w:line="360" w:lineRule="auto"/>
        <w:ind w:left="426" w:right="-23"/>
        <w:rPr>
          <w:rFonts w:asciiTheme="minorHAnsi" w:hAnsiTheme="minorHAnsi" w:cstheme="minorHAnsi"/>
          <w:b/>
          <w:sz w:val="22"/>
          <w:szCs w:val="22"/>
          <w:lang w:val="en-GB"/>
        </w:rPr>
      </w:pPr>
      <w:r>
        <w:rPr>
          <w:rFonts w:asciiTheme="minorHAnsi" w:hAnsiTheme="minorHAnsi" w:cstheme="minorHAnsi"/>
          <w:b/>
          <w:sz w:val="22"/>
          <w:szCs w:val="22"/>
          <w:lang w:val="en-GB"/>
        </w:rPr>
        <w:t>The above-mentioned initiatives for improving Billing &amp; Collection Efficiency have resulted in reduction in AT&amp;C loss as depicted bellow</w:t>
      </w:r>
    </w:p>
    <w:p w14:paraId="50CAE382" w14:textId="77777777" w:rsidR="00E06740" w:rsidRPr="00465CF4" w:rsidRDefault="00E06740" w:rsidP="00E06740">
      <w:pPr>
        <w:tabs>
          <w:tab w:val="left" w:pos="426"/>
          <w:tab w:val="left" w:pos="8931"/>
          <w:tab w:val="left" w:pos="9069"/>
        </w:tabs>
        <w:spacing w:line="360" w:lineRule="auto"/>
        <w:ind w:left="284" w:right="-23"/>
        <w:jc w:val="both"/>
        <w:rPr>
          <w:rFonts w:asciiTheme="minorHAnsi" w:eastAsia="Yu Gothic" w:hAnsiTheme="minorHAnsi" w:cstheme="minorHAnsi"/>
          <w:sz w:val="22"/>
          <w:szCs w:val="22"/>
        </w:rPr>
      </w:pPr>
    </w:p>
    <w:p w14:paraId="1286D79C" w14:textId="77777777" w:rsidR="00E06740" w:rsidRPr="00465CF4" w:rsidRDefault="00E06740" w:rsidP="00E06740">
      <w:pPr>
        <w:tabs>
          <w:tab w:val="left" w:pos="426"/>
          <w:tab w:val="left" w:pos="8931"/>
          <w:tab w:val="left" w:pos="9069"/>
        </w:tabs>
        <w:spacing w:line="360" w:lineRule="auto"/>
        <w:ind w:left="284" w:right="-23"/>
        <w:jc w:val="both"/>
        <w:rPr>
          <w:rFonts w:asciiTheme="minorHAnsi" w:eastAsia="Yu Gothic" w:hAnsiTheme="minorHAnsi" w:cstheme="minorHAnsi"/>
          <w:sz w:val="22"/>
          <w:szCs w:val="22"/>
        </w:rPr>
      </w:pPr>
      <w:r w:rsidRPr="00465CF4">
        <w:rPr>
          <w:rFonts w:asciiTheme="minorHAnsi" w:hAnsiTheme="minorHAnsi" w:cstheme="minorHAnsi"/>
          <w:noProof/>
          <w:sz w:val="22"/>
          <w:szCs w:val="22"/>
          <w:lang w:val="en-IN" w:eastAsia="en-IN"/>
        </w:rPr>
        <w:drawing>
          <wp:anchor distT="0" distB="0" distL="114300" distR="114300" simplePos="0" relativeHeight="252132864" behindDoc="1" locked="0" layoutInCell="1" allowOverlap="1" wp14:anchorId="629B299D" wp14:editId="759847F8">
            <wp:simplePos x="0" y="0"/>
            <wp:positionH relativeFrom="column">
              <wp:posOffset>358775</wp:posOffset>
            </wp:positionH>
            <wp:positionV relativeFrom="paragraph">
              <wp:posOffset>5715</wp:posOffset>
            </wp:positionV>
            <wp:extent cx="5476875" cy="2124075"/>
            <wp:effectExtent l="0" t="0" r="9525" b="9525"/>
            <wp:wrapTight wrapText="bothSides">
              <wp:wrapPolygon edited="0">
                <wp:start x="0" y="0"/>
                <wp:lineTo x="0" y="21503"/>
                <wp:lineTo x="21562" y="21503"/>
                <wp:lineTo x="21562" y="0"/>
                <wp:lineTo x="0" y="0"/>
              </wp:wrapPolygon>
            </wp:wrapTight>
            <wp:docPr id="43" name="Chart 55"/>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14:sizeRelH relativeFrom="margin">
              <wp14:pctWidth>0</wp14:pctWidth>
            </wp14:sizeRelH>
            <wp14:sizeRelV relativeFrom="margin">
              <wp14:pctHeight>0</wp14:pctHeight>
            </wp14:sizeRelV>
          </wp:anchor>
        </w:drawing>
      </w:r>
    </w:p>
    <w:p w14:paraId="5A0A25EE" w14:textId="77777777" w:rsidR="00E06740" w:rsidRPr="00465CF4" w:rsidRDefault="00E06740" w:rsidP="00E06740">
      <w:pPr>
        <w:tabs>
          <w:tab w:val="left" w:pos="426"/>
          <w:tab w:val="left" w:pos="8931"/>
          <w:tab w:val="left" w:pos="9069"/>
        </w:tabs>
        <w:spacing w:line="360" w:lineRule="auto"/>
        <w:ind w:left="284" w:right="-23"/>
        <w:jc w:val="both"/>
        <w:rPr>
          <w:rFonts w:asciiTheme="minorHAnsi" w:eastAsia="Yu Gothic" w:hAnsiTheme="minorHAnsi" w:cstheme="minorHAnsi"/>
          <w:sz w:val="22"/>
          <w:szCs w:val="22"/>
        </w:rPr>
      </w:pPr>
    </w:p>
    <w:p w14:paraId="525E0662" w14:textId="77777777" w:rsidR="00E06740" w:rsidRPr="00465CF4" w:rsidRDefault="00E06740" w:rsidP="00E06740">
      <w:pPr>
        <w:tabs>
          <w:tab w:val="left" w:pos="426"/>
          <w:tab w:val="left" w:pos="8931"/>
          <w:tab w:val="left" w:pos="9069"/>
        </w:tabs>
        <w:spacing w:line="360" w:lineRule="auto"/>
        <w:ind w:left="284" w:right="-23"/>
        <w:jc w:val="both"/>
        <w:rPr>
          <w:rFonts w:asciiTheme="minorHAnsi" w:eastAsia="Yu Gothic" w:hAnsiTheme="minorHAnsi" w:cstheme="minorHAnsi"/>
          <w:sz w:val="22"/>
          <w:szCs w:val="22"/>
        </w:rPr>
      </w:pPr>
    </w:p>
    <w:p w14:paraId="7C27BF28" w14:textId="77777777" w:rsidR="00E06740" w:rsidRPr="00465CF4" w:rsidRDefault="00E06740" w:rsidP="00E06740">
      <w:pPr>
        <w:tabs>
          <w:tab w:val="left" w:pos="426"/>
          <w:tab w:val="left" w:pos="8931"/>
          <w:tab w:val="left" w:pos="9069"/>
        </w:tabs>
        <w:spacing w:line="360" w:lineRule="auto"/>
        <w:ind w:left="284" w:right="-23"/>
        <w:jc w:val="both"/>
        <w:rPr>
          <w:rFonts w:asciiTheme="minorHAnsi" w:eastAsia="Yu Gothic" w:hAnsiTheme="minorHAnsi" w:cstheme="minorHAnsi"/>
          <w:sz w:val="22"/>
          <w:szCs w:val="22"/>
        </w:rPr>
      </w:pPr>
    </w:p>
    <w:p w14:paraId="1BDD4E68" w14:textId="77777777" w:rsidR="00E06740" w:rsidRPr="00465CF4" w:rsidRDefault="00E06740" w:rsidP="00E06740">
      <w:pPr>
        <w:tabs>
          <w:tab w:val="left" w:pos="426"/>
          <w:tab w:val="left" w:pos="8931"/>
          <w:tab w:val="left" w:pos="9069"/>
        </w:tabs>
        <w:spacing w:line="360" w:lineRule="auto"/>
        <w:ind w:left="284" w:right="-23"/>
        <w:jc w:val="both"/>
        <w:rPr>
          <w:rFonts w:asciiTheme="minorHAnsi" w:eastAsia="Yu Gothic" w:hAnsiTheme="minorHAnsi" w:cstheme="minorHAnsi"/>
          <w:sz w:val="22"/>
          <w:szCs w:val="22"/>
        </w:rPr>
      </w:pPr>
    </w:p>
    <w:p w14:paraId="14159C6A" w14:textId="77777777" w:rsidR="00E06740" w:rsidRPr="00465CF4" w:rsidRDefault="00E06740" w:rsidP="00E06740">
      <w:pPr>
        <w:tabs>
          <w:tab w:val="left" w:pos="426"/>
          <w:tab w:val="left" w:pos="8931"/>
          <w:tab w:val="left" w:pos="9069"/>
        </w:tabs>
        <w:spacing w:line="360" w:lineRule="auto"/>
        <w:ind w:left="709" w:right="-23"/>
        <w:jc w:val="both"/>
        <w:rPr>
          <w:rFonts w:asciiTheme="minorHAnsi" w:eastAsia="Yu Gothic" w:hAnsiTheme="minorHAnsi" w:cstheme="minorHAnsi"/>
          <w:sz w:val="22"/>
          <w:szCs w:val="22"/>
        </w:rPr>
      </w:pPr>
    </w:p>
    <w:p w14:paraId="1C1E3D91" w14:textId="77777777" w:rsidR="00E06740" w:rsidRDefault="00E06740" w:rsidP="00E06740">
      <w:pPr>
        <w:tabs>
          <w:tab w:val="left" w:pos="426"/>
          <w:tab w:val="left" w:pos="8931"/>
          <w:tab w:val="left" w:pos="9069"/>
        </w:tabs>
        <w:spacing w:line="360" w:lineRule="auto"/>
        <w:ind w:left="567" w:right="-23"/>
        <w:jc w:val="both"/>
        <w:rPr>
          <w:rFonts w:asciiTheme="minorHAnsi" w:eastAsia="Yu Gothic" w:hAnsiTheme="minorHAnsi" w:cstheme="minorHAnsi"/>
          <w:sz w:val="22"/>
          <w:szCs w:val="22"/>
        </w:rPr>
      </w:pPr>
      <w:r w:rsidRPr="00465CF4">
        <w:rPr>
          <w:rFonts w:asciiTheme="minorHAnsi" w:eastAsia="Yu Gothic" w:hAnsiTheme="minorHAnsi" w:cstheme="minorHAnsi"/>
          <w:sz w:val="22"/>
          <w:szCs w:val="22"/>
        </w:rPr>
        <w:t>Further, advanced Technology adoption and analytics have been the prime focus of the licensee to provide quality customer services, manage revenue cycle processes for reduction of AT&amp;C losses and efficiently manage to deliver reliable and quality supply in safe manner to its consumer by meeting various standards of operation.</w:t>
      </w:r>
    </w:p>
    <w:p w14:paraId="4F2C99D9" w14:textId="77777777" w:rsidR="00E06740" w:rsidRDefault="00E06740" w:rsidP="00E06740">
      <w:pPr>
        <w:pStyle w:val="BodyText2"/>
        <w:tabs>
          <w:tab w:val="left" w:pos="0"/>
        </w:tabs>
        <w:spacing w:line="360" w:lineRule="auto"/>
        <w:ind w:left="567" w:hanging="142"/>
        <w:jc w:val="both"/>
        <w:rPr>
          <w:rFonts w:asciiTheme="minorHAnsi" w:hAnsiTheme="minorHAnsi" w:cstheme="minorHAnsi"/>
          <w:sz w:val="22"/>
          <w:szCs w:val="22"/>
          <w:lang w:val="en-GB"/>
        </w:rPr>
      </w:pPr>
      <w:r>
        <w:rPr>
          <w:rFonts w:asciiTheme="minorHAnsi" w:hAnsiTheme="minorHAnsi" w:cstheme="minorHAnsi"/>
          <w:sz w:val="22"/>
          <w:szCs w:val="22"/>
          <w:lang w:val="en-GB"/>
        </w:rPr>
        <w:tab/>
      </w:r>
      <w:r>
        <w:rPr>
          <w:rFonts w:asciiTheme="minorHAnsi" w:hAnsiTheme="minorHAnsi" w:cstheme="minorHAnsi"/>
          <w:sz w:val="22"/>
          <w:szCs w:val="22"/>
          <w:lang w:val="en-GB"/>
        </w:rPr>
        <w:tab/>
        <w:t xml:space="preserve">  </w:t>
      </w:r>
    </w:p>
    <w:p w14:paraId="766EE98E" w14:textId="0F5F494D" w:rsidR="00E06740" w:rsidRDefault="00E06740" w:rsidP="006A7BDF">
      <w:pPr>
        <w:pStyle w:val="BodyText2"/>
        <w:tabs>
          <w:tab w:val="left" w:pos="0"/>
        </w:tabs>
        <w:spacing w:line="360" w:lineRule="auto"/>
        <w:ind w:left="567"/>
        <w:jc w:val="both"/>
        <w:rPr>
          <w:rFonts w:asciiTheme="minorHAnsi" w:hAnsiTheme="minorHAnsi" w:cstheme="minorHAnsi"/>
          <w:b/>
          <w:sz w:val="22"/>
          <w:szCs w:val="22"/>
          <w:lang w:val="en-GB"/>
        </w:rPr>
      </w:pPr>
      <w:r w:rsidRPr="00153204">
        <w:rPr>
          <w:rFonts w:asciiTheme="minorHAnsi" w:hAnsiTheme="minorHAnsi" w:cstheme="minorHAnsi"/>
          <w:sz w:val="22"/>
          <w:szCs w:val="22"/>
          <w:lang w:val="en-GB"/>
        </w:rPr>
        <w:t>The details of A&amp;G expenses estimated for the FY 202</w:t>
      </w:r>
      <w:r>
        <w:rPr>
          <w:rFonts w:asciiTheme="minorHAnsi" w:hAnsiTheme="minorHAnsi" w:cstheme="minorHAnsi"/>
          <w:sz w:val="22"/>
          <w:szCs w:val="22"/>
          <w:lang w:val="en-GB"/>
        </w:rPr>
        <w:t>4</w:t>
      </w:r>
      <w:r w:rsidRPr="00153204">
        <w:rPr>
          <w:rFonts w:asciiTheme="minorHAnsi" w:hAnsiTheme="minorHAnsi" w:cstheme="minorHAnsi"/>
          <w:sz w:val="22"/>
          <w:szCs w:val="22"/>
          <w:lang w:val="en-GB"/>
        </w:rPr>
        <w:t>-2</w:t>
      </w:r>
      <w:r>
        <w:rPr>
          <w:rFonts w:asciiTheme="minorHAnsi" w:hAnsiTheme="minorHAnsi" w:cstheme="minorHAnsi"/>
          <w:sz w:val="22"/>
          <w:szCs w:val="22"/>
          <w:lang w:val="en-GB"/>
        </w:rPr>
        <w:t>5</w:t>
      </w:r>
      <w:r w:rsidRPr="00153204">
        <w:rPr>
          <w:rFonts w:asciiTheme="minorHAnsi" w:hAnsiTheme="minorHAnsi" w:cstheme="minorHAnsi"/>
          <w:sz w:val="22"/>
          <w:szCs w:val="22"/>
          <w:lang w:val="en-GB"/>
        </w:rPr>
        <w:t xml:space="preserve"> and projected for the FY 202</w:t>
      </w:r>
      <w:r>
        <w:rPr>
          <w:rFonts w:asciiTheme="minorHAnsi" w:hAnsiTheme="minorHAnsi" w:cstheme="minorHAnsi"/>
          <w:sz w:val="22"/>
          <w:szCs w:val="22"/>
          <w:lang w:val="en-GB"/>
        </w:rPr>
        <w:t>5</w:t>
      </w:r>
      <w:r w:rsidRPr="00153204">
        <w:rPr>
          <w:rFonts w:asciiTheme="minorHAnsi" w:hAnsiTheme="minorHAnsi" w:cstheme="minorHAnsi"/>
          <w:sz w:val="22"/>
          <w:szCs w:val="22"/>
          <w:lang w:val="en-GB"/>
        </w:rPr>
        <w:t>-2</w:t>
      </w:r>
      <w:r>
        <w:rPr>
          <w:rFonts w:asciiTheme="minorHAnsi" w:hAnsiTheme="minorHAnsi" w:cstheme="minorHAnsi"/>
          <w:sz w:val="22"/>
          <w:szCs w:val="22"/>
          <w:lang w:val="en-GB"/>
        </w:rPr>
        <w:t>6</w:t>
      </w:r>
      <w:r w:rsidRPr="00153204">
        <w:rPr>
          <w:rFonts w:asciiTheme="minorHAnsi" w:hAnsiTheme="minorHAnsi" w:cstheme="minorHAnsi"/>
          <w:sz w:val="22"/>
          <w:szCs w:val="22"/>
          <w:lang w:val="en-GB"/>
        </w:rPr>
        <w:t xml:space="preserve"> are furnished in the following table.</w:t>
      </w:r>
      <w:r w:rsidRPr="00153204">
        <w:rPr>
          <w:rFonts w:asciiTheme="minorHAnsi" w:hAnsiTheme="minorHAnsi" w:cstheme="minorHAnsi"/>
          <w:b/>
          <w:sz w:val="22"/>
          <w:szCs w:val="22"/>
          <w:lang w:val="en-GB"/>
        </w:rPr>
        <w:t xml:space="preserve">                                        </w:t>
      </w:r>
    </w:p>
    <w:p w14:paraId="5FF3A59A" w14:textId="77777777" w:rsidR="00AC267C" w:rsidRDefault="006A7BDF" w:rsidP="00E06740">
      <w:pPr>
        <w:pStyle w:val="BodyText2"/>
        <w:spacing w:line="360" w:lineRule="auto"/>
        <w:jc w:val="center"/>
        <w:rPr>
          <w:rFonts w:asciiTheme="minorHAnsi" w:hAnsiTheme="minorHAnsi" w:cstheme="minorHAnsi"/>
          <w:b/>
          <w:sz w:val="22"/>
          <w:szCs w:val="22"/>
          <w:lang w:val="en-GB"/>
        </w:rPr>
      </w:pPr>
      <w:r>
        <w:rPr>
          <w:rFonts w:asciiTheme="minorHAnsi" w:hAnsiTheme="minorHAnsi" w:cstheme="minorHAnsi"/>
          <w:b/>
          <w:sz w:val="22"/>
          <w:szCs w:val="22"/>
          <w:lang w:val="en-GB"/>
        </w:rPr>
        <w:t xml:space="preserve">          </w:t>
      </w:r>
    </w:p>
    <w:p w14:paraId="21F60EFE" w14:textId="77777777" w:rsidR="00AC267C" w:rsidRDefault="00AC267C" w:rsidP="00E06740">
      <w:pPr>
        <w:pStyle w:val="BodyText2"/>
        <w:spacing w:line="360" w:lineRule="auto"/>
        <w:jc w:val="center"/>
        <w:rPr>
          <w:rFonts w:asciiTheme="minorHAnsi" w:hAnsiTheme="minorHAnsi" w:cstheme="minorHAnsi"/>
          <w:b/>
          <w:sz w:val="22"/>
          <w:szCs w:val="22"/>
          <w:lang w:val="en-GB"/>
        </w:rPr>
      </w:pPr>
    </w:p>
    <w:p w14:paraId="4A21CBC6" w14:textId="77777777" w:rsidR="00AC267C" w:rsidRDefault="00AC267C" w:rsidP="00E06740">
      <w:pPr>
        <w:pStyle w:val="BodyText2"/>
        <w:spacing w:line="360" w:lineRule="auto"/>
        <w:jc w:val="center"/>
        <w:rPr>
          <w:rFonts w:asciiTheme="minorHAnsi" w:hAnsiTheme="minorHAnsi" w:cstheme="minorHAnsi"/>
          <w:b/>
          <w:sz w:val="22"/>
          <w:szCs w:val="22"/>
          <w:lang w:val="en-GB"/>
        </w:rPr>
      </w:pPr>
    </w:p>
    <w:p w14:paraId="1802EEBD" w14:textId="3D337E85" w:rsidR="00E06740" w:rsidRPr="00153204" w:rsidRDefault="00AC267C" w:rsidP="00E06740">
      <w:pPr>
        <w:pStyle w:val="BodyText2"/>
        <w:spacing w:line="360" w:lineRule="auto"/>
        <w:jc w:val="center"/>
        <w:rPr>
          <w:rFonts w:asciiTheme="minorHAnsi" w:hAnsiTheme="minorHAnsi" w:cstheme="minorHAnsi"/>
          <w:b/>
          <w:sz w:val="22"/>
          <w:szCs w:val="22"/>
          <w:lang w:val="en-GB"/>
        </w:rPr>
      </w:pPr>
      <w:r>
        <w:rPr>
          <w:rFonts w:asciiTheme="minorHAnsi" w:hAnsiTheme="minorHAnsi" w:cstheme="minorHAnsi"/>
          <w:b/>
          <w:sz w:val="22"/>
          <w:szCs w:val="22"/>
          <w:lang w:val="en-GB"/>
        </w:rPr>
        <w:lastRenderedPageBreak/>
        <w:t xml:space="preserve">  </w:t>
      </w:r>
      <w:r w:rsidR="006A7BDF">
        <w:rPr>
          <w:rFonts w:asciiTheme="minorHAnsi" w:hAnsiTheme="minorHAnsi" w:cstheme="minorHAnsi"/>
          <w:b/>
          <w:sz w:val="22"/>
          <w:szCs w:val="22"/>
          <w:lang w:val="en-GB"/>
        </w:rPr>
        <w:t xml:space="preserve"> </w:t>
      </w:r>
      <w:r w:rsidR="00182E48">
        <w:rPr>
          <w:rFonts w:asciiTheme="minorHAnsi" w:hAnsiTheme="minorHAnsi" w:cstheme="minorHAnsi"/>
          <w:b/>
          <w:sz w:val="22"/>
          <w:szCs w:val="22"/>
          <w:lang w:val="en-GB"/>
        </w:rPr>
        <w:t xml:space="preserve">              </w:t>
      </w:r>
      <w:r w:rsidR="006A7BDF">
        <w:rPr>
          <w:rFonts w:asciiTheme="minorHAnsi" w:hAnsiTheme="minorHAnsi" w:cstheme="minorHAnsi"/>
          <w:b/>
          <w:sz w:val="22"/>
          <w:szCs w:val="22"/>
          <w:lang w:val="en-GB"/>
        </w:rPr>
        <w:t xml:space="preserve"> </w:t>
      </w:r>
      <w:r w:rsidR="00E06740" w:rsidRPr="00153204">
        <w:rPr>
          <w:rFonts w:asciiTheme="minorHAnsi" w:hAnsiTheme="minorHAnsi" w:cstheme="minorHAnsi"/>
          <w:b/>
          <w:sz w:val="22"/>
          <w:szCs w:val="22"/>
          <w:lang w:val="en-GB"/>
        </w:rPr>
        <w:t>Table-1</w:t>
      </w:r>
      <w:r>
        <w:rPr>
          <w:rFonts w:asciiTheme="minorHAnsi" w:hAnsiTheme="minorHAnsi" w:cstheme="minorHAnsi"/>
          <w:b/>
          <w:sz w:val="22"/>
          <w:szCs w:val="22"/>
          <w:lang w:val="en-GB"/>
        </w:rPr>
        <w:t>7</w:t>
      </w:r>
      <w:r w:rsidR="00E06740" w:rsidRPr="00153204">
        <w:rPr>
          <w:rFonts w:asciiTheme="minorHAnsi" w:hAnsiTheme="minorHAnsi" w:cstheme="minorHAnsi"/>
          <w:b/>
          <w:sz w:val="22"/>
          <w:szCs w:val="22"/>
          <w:lang w:val="en-GB"/>
        </w:rPr>
        <w:t>: Administrative &amp; General Expenses</w:t>
      </w:r>
      <w:r w:rsidR="00E06740" w:rsidRPr="00153204">
        <w:rPr>
          <w:rFonts w:asciiTheme="minorHAnsi" w:hAnsiTheme="minorHAnsi" w:cstheme="minorHAnsi"/>
          <w:b/>
          <w:sz w:val="22"/>
          <w:szCs w:val="22"/>
          <w:lang w:val="en-GB"/>
        </w:rPr>
        <w:tab/>
      </w:r>
      <w:r w:rsidR="00E06740" w:rsidRPr="00153204">
        <w:rPr>
          <w:rFonts w:asciiTheme="minorHAnsi" w:hAnsiTheme="minorHAnsi" w:cstheme="minorHAnsi"/>
          <w:b/>
          <w:sz w:val="22"/>
          <w:szCs w:val="22"/>
          <w:lang w:val="en-GB"/>
        </w:rPr>
        <w:tab/>
        <w:t xml:space="preserve">  </w:t>
      </w:r>
      <w:r>
        <w:rPr>
          <w:rFonts w:asciiTheme="minorHAnsi" w:hAnsiTheme="minorHAnsi" w:cstheme="minorHAnsi"/>
          <w:b/>
          <w:sz w:val="22"/>
          <w:szCs w:val="22"/>
          <w:lang w:val="en-GB"/>
        </w:rPr>
        <w:t xml:space="preserve">      </w:t>
      </w:r>
      <w:r w:rsidR="00E06740" w:rsidRPr="00153204">
        <w:rPr>
          <w:rFonts w:asciiTheme="minorHAnsi" w:hAnsiTheme="minorHAnsi" w:cstheme="minorHAnsi"/>
          <w:b/>
          <w:sz w:val="22"/>
          <w:szCs w:val="22"/>
          <w:lang w:val="en-GB"/>
        </w:rPr>
        <w:t xml:space="preserve">  </w:t>
      </w:r>
      <w:proofErr w:type="gramStart"/>
      <w:r w:rsidR="00182E48">
        <w:rPr>
          <w:rFonts w:asciiTheme="minorHAnsi" w:hAnsiTheme="minorHAnsi" w:cstheme="minorHAnsi"/>
          <w:b/>
          <w:sz w:val="22"/>
          <w:szCs w:val="22"/>
          <w:lang w:val="en-GB"/>
        </w:rPr>
        <w:t xml:space="preserve">   </w:t>
      </w:r>
      <w:r w:rsidR="00E06740" w:rsidRPr="00153204">
        <w:rPr>
          <w:rFonts w:asciiTheme="minorHAnsi" w:hAnsiTheme="minorHAnsi" w:cstheme="minorHAnsi"/>
          <w:b/>
          <w:sz w:val="22"/>
          <w:szCs w:val="22"/>
          <w:lang w:val="en-GB"/>
        </w:rPr>
        <w:t>(</w:t>
      </w:r>
      <w:proofErr w:type="gramEnd"/>
      <w:r w:rsidR="00E06740" w:rsidRPr="00153204">
        <w:rPr>
          <w:rFonts w:asciiTheme="minorHAnsi" w:hAnsiTheme="minorHAnsi" w:cstheme="minorHAnsi"/>
          <w:b/>
          <w:sz w:val="22"/>
          <w:szCs w:val="22"/>
          <w:lang w:val="en-GB"/>
        </w:rPr>
        <w:t xml:space="preserve">In Rs. </w:t>
      </w:r>
      <w:proofErr w:type="spellStart"/>
      <w:r w:rsidR="00E06740" w:rsidRPr="00153204">
        <w:rPr>
          <w:rFonts w:asciiTheme="minorHAnsi" w:hAnsiTheme="minorHAnsi" w:cstheme="minorHAnsi"/>
          <w:b/>
          <w:sz w:val="22"/>
          <w:szCs w:val="22"/>
          <w:lang w:val="en-GB"/>
        </w:rPr>
        <w:t>Crs</w:t>
      </w:r>
      <w:proofErr w:type="spellEnd"/>
      <w:r w:rsidR="00E06740" w:rsidRPr="00153204">
        <w:rPr>
          <w:rFonts w:asciiTheme="minorHAnsi" w:hAnsiTheme="minorHAnsi" w:cstheme="minorHAnsi"/>
          <w:b/>
          <w:sz w:val="22"/>
          <w:szCs w:val="22"/>
          <w:lang w:val="en-GB"/>
        </w:rPr>
        <w:t>)</w:t>
      </w:r>
    </w:p>
    <w:tbl>
      <w:tblPr>
        <w:tblW w:w="9496" w:type="dxa"/>
        <w:tblInd w:w="260" w:type="dxa"/>
        <w:tblLook w:val="04A0" w:firstRow="1" w:lastRow="0" w:firstColumn="1" w:lastColumn="0" w:noHBand="0" w:noVBand="1"/>
      </w:tblPr>
      <w:tblGrid>
        <w:gridCol w:w="824"/>
        <w:gridCol w:w="3284"/>
        <w:gridCol w:w="1248"/>
        <w:gridCol w:w="1555"/>
        <w:gridCol w:w="1261"/>
        <w:gridCol w:w="1324"/>
      </w:tblGrid>
      <w:tr w:rsidR="001F3A39" w:rsidRPr="003C3095" w14:paraId="6F7913E9" w14:textId="77777777" w:rsidTr="001F3A39">
        <w:trPr>
          <w:trHeight w:val="620"/>
        </w:trPr>
        <w:tc>
          <w:tcPr>
            <w:tcW w:w="0" w:type="auto"/>
            <w:tcBorders>
              <w:top w:val="single" w:sz="4" w:space="0" w:color="auto"/>
              <w:left w:val="single" w:sz="4" w:space="0" w:color="auto"/>
              <w:bottom w:val="single" w:sz="4" w:space="0" w:color="auto"/>
              <w:right w:val="single" w:sz="4" w:space="0" w:color="auto"/>
            </w:tcBorders>
            <w:shd w:val="clear" w:color="auto" w:fill="95B3D7" w:themeFill="accent1" w:themeFillTint="99"/>
            <w:noWrap/>
            <w:vAlign w:val="center"/>
            <w:hideMark/>
          </w:tcPr>
          <w:p w14:paraId="438D8FC4" w14:textId="77777777" w:rsidR="00E06740" w:rsidRPr="003C3095" w:rsidRDefault="00E06740" w:rsidP="00E06740">
            <w:pPr>
              <w:jc w:val="center"/>
              <w:rPr>
                <w:rFonts w:asciiTheme="minorHAnsi" w:hAnsiTheme="minorHAnsi" w:cs="Calibri"/>
                <w:b/>
                <w:bCs/>
                <w:color w:val="000000"/>
                <w:sz w:val="22"/>
                <w:szCs w:val="22"/>
                <w:lang w:val="en-IN" w:eastAsia="en-IN"/>
              </w:rPr>
            </w:pPr>
            <w:r w:rsidRPr="003C3095">
              <w:rPr>
                <w:rFonts w:asciiTheme="minorHAnsi" w:hAnsiTheme="minorHAnsi" w:cs="Calibri"/>
                <w:b/>
                <w:bCs/>
                <w:color w:val="000000"/>
                <w:sz w:val="22"/>
                <w:szCs w:val="22"/>
              </w:rPr>
              <w:t>Sl. No.</w:t>
            </w:r>
          </w:p>
        </w:tc>
        <w:tc>
          <w:tcPr>
            <w:tcW w:w="0" w:type="auto"/>
            <w:tcBorders>
              <w:top w:val="single" w:sz="4" w:space="0" w:color="auto"/>
              <w:left w:val="nil"/>
              <w:bottom w:val="single" w:sz="4" w:space="0" w:color="auto"/>
              <w:right w:val="single" w:sz="4" w:space="0" w:color="auto"/>
            </w:tcBorders>
            <w:shd w:val="clear" w:color="auto" w:fill="95B3D7" w:themeFill="accent1" w:themeFillTint="99"/>
            <w:noWrap/>
            <w:vAlign w:val="center"/>
            <w:hideMark/>
          </w:tcPr>
          <w:p w14:paraId="28D13A81" w14:textId="77777777" w:rsidR="00E06740" w:rsidRPr="003C3095" w:rsidRDefault="00E06740" w:rsidP="00E06740">
            <w:pPr>
              <w:jc w:val="center"/>
              <w:rPr>
                <w:rFonts w:asciiTheme="minorHAnsi" w:hAnsiTheme="minorHAnsi" w:cs="Calibri"/>
                <w:b/>
                <w:bCs/>
                <w:color w:val="000000"/>
                <w:sz w:val="22"/>
                <w:szCs w:val="22"/>
              </w:rPr>
            </w:pPr>
            <w:r w:rsidRPr="003C3095">
              <w:rPr>
                <w:rFonts w:asciiTheme="minorHAnsi" w:hAnsiTheme="minorHAnsi" w:cs="Calibri"/>
                <w:b/>
                <w:bCs/>
                <w:color w:val="000000"/>
                <w:sz w:val="22"/>
                <w:szCs w:val="22"/>
              </w:rPr>
              <w:t>Particulars</w:t>
            </w:r>
          </w:p>
        </w:tc>
        <w:tc>
          <w:tcPr>
            <w:tcW w:w="0" w:type="auto"/>
            <w:tcBorders>
              <w:top w:val="single" w:sz="4" w:space="0" w:color="auto"/>
              <w:left w:val="nil"/>
              <w:bottom w:val="single" w:sz="4" w:space="0" w:color="auto"/>
              <w:right w:val="single" w:sz="4" w:space="0" w:color="auto"/>
            </w:tcBorders>
            <w:shd w:val="clear" w:color="auto" w:fill="95B3D7" w:themeFill="accent1" w:themeFillTint="99"/>
            <w:noWrap/>
            <w:vAlign w:val="center"/>
            <w:hideMark/>
          </w:tcPr>
          <w:p w14:paraId="415AF08F" w14:textId="77777777" w:rsidR="00E06740" w:rsidRDefault="001F3A39" w:rsidP="00E06740">
            <w:pPr>
              <w:jc w:val="center"/>
              <w:rPr>
                <w:rFonts w:asciiTheme="minorHAnsi" w:hAnsiTheme="minorHAnsi" w:cs="Calibri"/>
                <w:b/>
                <w:bCs/>
                <w:color w:val="000000"/>
                <w:sz w:val="22"/>
                <w:szCs w:val="22"/>
              </w:rPr>
            </w:pPr>
            <w:r>
              <w:rPr>
                <w:rFonts w:asciiTheme="minorHAnsi" w:hAnsiTheme="minorHAnsi" w:cs="Calibri"/>
                <w:b/>
                <w:bCs/>
                <w:color w:val="000000"/>
                <w:sz w:val="22"/>
                <w:szCs w:val="22"/>
              </w:rPr>
              <w:t>FY 2023-24</w:t>
            </w:r>
          </w:p>
          <w:p w14:paraId="7DBE3AB4" w14:textId="07593E5C" w:rsidR="001F3A39" w:rsidRPr="003C3095" w:rsidRDefault="001F3A39" w:rsidP="00E06740">
            <w:pPr>
              <w:jc w:val="center"/>
              <w:rPr>
                <w:rFonts w:asciiTheme="minorHAnsi" w:hAnsiTheme="minorHAnsi" w:cs="Calibri"/>
                <w:b/>
                <w:bCs/>
                <w:color w:val="000000"/>
                <w:sz w:val="22"/>
                <w:szCs w:val="22"/>
              </w:rPr>
            </w:pPr>
            <w:r>
              <w:rPr>
                <w:rFonts w:asciiTheme="minorHAnsi" w:hAnsiTheme="minorHAnsi" w:cs="Calibri"/>
                <w:b/>
                <w:bCs/>
                <w:color w:val="000000"/>
                <w:sz w:val="22"/>
                <w:szCs w:val="22"/>
              </w:rPr>
              <w:t>(Actual)</w:t>
            </w:r>
          </w:p>
        </w:tc>
        <w:tc>
          <w:tcPr>
            <w:tcW w:w="0" w:type="auto"/>
            <w:tcBorders>
              <w:top w:val="single" w:sz="4" w:space="0" w:color="auto"/>
              <w:left w:val="nil"/>
              <w:bottom w:val="single" w:sz="4" w:space="0" w:color="auto"/>
              <w:right w:val="single" w:sz="4" w:space="0" w:color="auto"/>
            </w:tcBorders>
            <w:shd w:val="clear" w:color="auto" w:fill="95B3D7" w:themeFill="accent1" w:themeFillTint="99"/>
            <w:noWrap/>
            <w:vAlign w:val="center"/>
            <w:hideMark/>
          </w:tcPr>
          <w:p w14:paraId="46485E70" w14:textId="77777777" w:rsidR="001F3A39" w:rsidRDefault="00E06740" w:rsidP="00E06740">
            <w:pPr>
              <w:jc w:val="center"/>
              <w:rPr>
                <w:rFonts w:asciiTheme="minorHAnsi" w:hAnsiTheme="minorHAnsi" w:cs="Calibri"/>
                <w:b/>
                <w:bCs/>
                <w:color w:val="000000"/>
                <w:sz w:val="22"/>
                <w:szCs w:val="22"/>
              </w:rPr>
            </w:pPr>
            <w:r>
              <w:rPr>
                <w:rFonts w:asciiTheme="minorHAnsi" w:hAnsiTheme="minorHAnsi" w:cs="Calibri"/>
                <w:b/>
                <w:bCs/>
                <w:color w:val="000000"/>
                <w:sz w:val="22"/>
                <w:szCs w:val="22"/>
              </w:rPr>
              <w:t>FY 2024-25 H1</w:t>
            </w:r>
            <w:r w:rsidR="001F3A39">
              <w:rPr>
                <w:rFonts w:asciiTheme="minorHAnsi" w:hAnsiTheme="minorHAnsi" w:cs="Calibri"/>
                <w:b/>
                <w:bCs/>
                <w:color w:val="000000"/>
                <w:sz w:val="22"/>
                <w:szCs w:val="22"/>
              </w:rPr>
              <w:t xml:space="preserve"> </w:t>
            </w:r>
          </w:p>
          <w:p w14:paraId="05DF156A" w14:textId="5E7EEC9E" w:rsidR="00E06740" w:rsidRPr="003C3095" w:rsidRDefault="001F3A39" w:rsidP="00E06740">
            <w:pPr>
              <w:jc w:val="center"/>
              <w:rPr>
                <w:rFonts w:asciiTheme="minorHAnsi" w:hAnsiTheme="minorHAnsi" w:cs="Calibri"/>
                <w:b/>
                <w:bCs/>
                <w:color w:val="000000"/>
                <w:sz w:val="22"/>
                <w:szCs w:val="22"/>
              </w:rPr>
            </w:pPr>
            <w:r>
              <w:rPr>
                <w:rFonts w:asciiTheme="minorHAnsi" w:hAnsiTheme="minorHAnsi" w:cs="Calibri"/>
                <w:b/>
                <w:bCs/>
                <w:color w:val="000000"/>
                <w:sz w:val="22"/>
                <w:szCs w:val="22"/>
              </w:rPr>
              <w:t>(Actual)</w:t>
            </w:r>
          </w:p>
        </w:tc>
        <w:tc>
          <w:tcPr>
            <w:tcW w:w="0" w:type="auto"/>
            <w:tcBorders>
              <w:top w:val="single" w:sz="4" w:space="0" w:color="auto"/>
              <w:left w:val="nil"/>
              <w:bottom w:val="single" w:sz="4" w:space="0" w:color="auto"/>
              <w:right w:val="single" w:sz="4" w:space="0" w:color="auto"/>
            </w:tcBorders>
            <w:shd w:val="clear" w:color="auto" w:fill="95B3D7" w:themeFill="accent1" w:themeFillTint="99"/>
            <w:vAlign w:val="center"/>
            <w:hideMark/>
          </w:tcPr>
          <w:p w14:paraId="297B8546" w14:textId="77777777" w:rsidR="00E06740" w:rsidRDefault="00E06740" w:rsidP="00E06740">
            <w:pPr>
              <w:jc w:val="center"/>
              <w:rPr>
                <w:rFonts w:asciiTheme="minorHAnsi" w:hAnsiTheme="minorHAnsi" w:cs="Calibri"/>
                <w:b/>
                <w:bCs/>
                <w:color w:val="000000"/>
                <w:sz w:val="22"/>
                <w:szCs w:val="22"/>
              </w:rPr>
            </w:pPr>
            <w:r w:rsidRPr="003C3095">
              <w:rPr>
                <w:rFonts w:asciiTheme="minorHAnsi" w:hAnsiTheme="minorHAnsi" w:cs="Calibri"/>
                <w:b/>
                <w:bCs/>
                <w:color w:val="000000"/>
                <w:sz w:val="22"/>
                <w:szCs w:val="22"/>
              </w:rPr>
              <w:t>FY 2024-25</w:t>
            </w:r>
          </w:p>
          <w:p w14:paraId="5A452719" w14:textId="5268C135" w:rsidR="001F3A39" w:rsidRPr="003C3095" w:rsidRDefault="001F3A39" w:rsidP="00E06740">
            <w:pPr>
              <w:jc w:val="center"/>
              <w:rPr>
                <w:rFonts w:asciiTheme="minorHAnsi" w:hAnsiTheme="minorHAnsi" w:cs="Calibri"/>
                <w:b/>
                <w:bCs/>
                <w:color w:val="000000"/>
                <w:sz w:val="22"/>
                <w:szCs w:val="22"/>
              </w:rPr>
            </w:pPr>
            <w:r>
              <w:rPr>
                <w:rFonts w:asciiTheme="minorHAnsi" w:hAnsiTheme="minorHAnsi" w:cs="Calibri"/>
                <w:b/>
                <w:bCs/>
                <w:color w:val="000000"/>
                <w:sz w:val="22"/>
                <w:szCs w:val="22"/>
              </w:rPr>
              <w:t>(Projected)</w:t>
            </w:r>
          </w:p>
        </w:tc>
        <w:tc>
          <w:tcPr>
            <w:tcW w:w="0" w:type="auto"/>
            <w:tcBorders>
              <w:top w:val="single" w:sz="4" w:space="0" w:color="auto"/>
              <w:left w:val="nil"/>
              <w:bottom w:val="single" w:sz="4" w:space="0" w:color="auto"/>
              <w:right w:val="single" w:sz="4" w:space="0" w:color="auto"/>
            </w:tcBorders>
            <w:shd w:val="clear" w:color="auto" w:fill="95B3D7" w:themeFill="accent1" w:themeFillTint="99"/>
            <w:noWrap/>
            <w:vAlign w:val="center"/>
            <w:hideMark/>
          </w:tcPr>
          <w:p w14:paraId="17908715" w14:textId="77777777" w:rsidR="001F3A39" w:rsidRDefault="00E06740" w:rsidP="00E06740">
            <w:pPr>
              <w:jc w:val="center"/>
              <w:rPr>
                <w:rFonts w:asciiTheme="minorHAnsi" w:hAnsiTheme="minorHAnsi" w:cs="Calibri"/>
                <w:b/>
                <w:bCs/>
                <w:color w:val="000000"/>
                <w:sz w:val="22"/>
                <w:szCs w:val="22"/>
              </w:rPr>
            </w:pPr>
            <w:r w:rsidRPr="003C3095">
              <w:rPr>
                <w:rFonts w:asciiTheme="minorHAnsi" w:hAnsiTheme="minorHAnsi" w:cs="Calibri"/>
                <w:b/>
                <w:bCs/>
                <w:color w:val="000000"/>
                <w:sz w:val="22"/>
                <w:szCs w:val="22"/>
              </w:rPr>
              <w:t>FY 2025-26</w:t>
            </w:r>
            <w:r w:rsidR="001F3A39">
              <w:rPr>
                <w:rFonts w:asciiTheme="minorHAnsi" w:hAnsiTheme="minorHAnsi" w:cs="Calibri"/>
                <w:b/>
                <w:bCs/>
                <w:color w:val="000000"/>
                <w:sz w:val="22"/>
                <w:szCs w:val="22"/>
              </w:rPr>
              <w:t xml:space="preserve"> </w:t>
            </w:r>
          </w:p>
          <w:p w14:paraId="29F9CEA3" w14:textId="615BBDE3" w:rsidR="00E06740" w:rsidRPr="003C3095" w:rsidRDefault="001F3A39" w:rsidP="00E06740">
            <w:pPr>
              <w:jc w:val="center"/>
              <w:rPr>
                <w:rFonts w:asciiTheme="minorHAnsi" w:hAnsiTheme="minorHAnsi" w:cs="Calibri"/>
                <w:b/>
                <w:bCs/>
                <w:color w:val="000000"/>
                <w:sz w:val="22"/>
                <w:szCs w:val="22"/>
              </w:rPr>
            </w:pPr>
            <w:r>
              <w:rPr>
                <w:rFonts w:asciiTheme="minorHAnsi" w:hAnsiTheme="minorHAnsi" w:cs="Calibri"/>
                <w:b/>
                <w:bCs/>
                <w:color w:val="000000"/>
                <w:sz w:val="22"/>
                <w:szCs w:val="22"/>
              </w:rPr>
              <w:t>(Projection)</w:t>
            </w:r>
          </w:p>
        </w:tc>
      </w:tr>
      <w:tr w:rsidR="001F3A39" w:rsidRPr="003C3095" w14:paraId="5E5E78EF" w14:textId="77777777" w:rsidTr="001F3A39">
        <w:trPr>
          <w:trHeight w:val="387"/>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12FDC38A" w14:textId="77777777" w:rsidR="00E06740" w:rsidRPr="003C3095" w:rsidRDefault="00E06740" w:rsidP="00E06740">
            <w:pPr>
              <w:jc w:val="center"/>
              <w:rPr>
                <w:rFonts w:asciiTheme="minorHAnsi" w:hAnsiTheme="minorHAnsi" w:cs="Calibri"/>
                <w:color w:val="000000"/>
                <w:sz w:val="22"/>
                <w:szCs w:val="22"/>
              </w:rPr>
            </w:pPr>
            <w:r w:rsidRPr="003C3095">
              <w:rPr>
                <w:rFonts w:asciiTheme="minorHAnsi" w:hAnsiTheme="minorHAnsi" w:cs="Calibri"/>
                <w:color w:val="000000"/>
                <w:sz w:val="22"/>
                <w:szCs w:val="22"/>
              </w:rPr>
              <w:t>1</w:t>
            </w:r>
          </w:p>
        </w:tc>
        <w:tc>
          <w:tcPr>
            <w:tcW w:w="0" w:type="auto"/>
            <w:tcBorders>
              <w:top w:val="nil"/>
              <w:left w:val="nil"/>
              <w:bottom w:val="single" w:sz="4" w:space="0" w:color="auto"/>
              <w:right w:val="single" w:sz="4" w:space="0" w:color="auto"/>
            </w:tcBorders>
            <w:shd w:val="clear" w:color="auto" w:fill="auto"/>
            <w:noWrap/>
            <w:vAlign w:val="center"/>
            <w:hideMark/>
          </w:tcPr>
          <w:p w14:paraId="2C433C35" w14:textId="77777777" w:rsidR="00E06740" w:rsidRPr="003C3095" w:rsidRDefault="00E06740" w:rsidP="00E06740">
            <w:pPr>
              <w:rPr>
                <w:rFonts w:asciiTheme="minorHAnsi" w:hAnsiTheme="minorHAnsi" w:cs="Calibri"/>
                <w:color w:val="000000"/>
                <w:sz w:val="22"/>
                <w:szCs w:val="22"/>
              </w:rPr>
            </w:pPr>
            <w:r w:rsidRPr="003C3095">
              <w:rPr>
                <w:rFonts w:asciiTheme="minorHAnsi" w:hAnsiTheme="minorHAnsi" w:cs="Calibri"/>
                <w:color w:val="000000"/>
                <w:sz w:val="22"/>
                <w:szCs w:val="22"/>
              </w:rPr>
              <w:t>Rent, Rates, Insurances</w:t>
            </w:r>
          </w:p>
        </w:tc>
        <w:tc>
          <w:tcPr>
            <w:tcW w:w="0" w:type="auto"/>
            <w:tcBorders>
              <w:top w:val="nil"/>
              <w:left w:val="nil"/>
              <w:bottom w:val="single" w:sz="4" w:space="0" w:color="auto"/>
              <w:right w:val="single" w:sz="4" w:space="0" w:color="auto"/>
            </w:tcBorders>
            <w:shd w:val="clear" w:color="auto" w:fill="auto"/>
            <w:noWrap/>
            <w:vAlign w:val="bottom"/>
            <w:hideMark/>
          </w:tcPr>
          <w:p w14:paraId="2A698423" w14:textId="77777777" w:rsidR="00E06740" w:rsidRPr="003C3095" w:rsidRDefault="00E06740" w:rsidP="00E06740">
            <w:pPr>
              <w:jc w:val="center"/>
              <w:rPr>
                <w:rFonts w:asciiTheme="minorHAnsi" w:hAnsiTheme="minorHAnsi" w:cs="Arial"/>
                <w:sz w:val="22"/>
                <w:szCs w:val="22"/>
              </w:rPr>
            </w:pPr>
            <w:r w:rsidRPr="003C3095">
              <w:rPr>
                <w:rFonts w:asciiTheme="minorHAnsi" w:hAnsiTheme="minorHAnsi" w:cs="Arial"/>
                <w:sz w:val="22"/>
                <w:szCs w:val="22"/>
              </w:rPr>
              <w:t>8.69</w:t>
            </w:r>
          </w:p>
        </w:tc>
        <w:tc>
          <w:tcPr>
            <w:tcW w:w="0" w:type="auto"/>
            <w:tcBorders>
              <w:top w:val="nil"/>
              <w:left w:val="nil"/>
              <w:bottom w:val="single" w:sz="4" w:space="0" w:color="auto"/>
              <w:right w:val="single" w:sz="4" w:space="0" w:color="auto"/>
            </w:tcBorders>
            <w:shd w:val="clear" w:color="auto" w:fill="auto"/>
            <w:noWrap/>
            <w:vAlign w:val="bottom"/>
            <w:hideMark/>
          </w:tcPr>
          <w:p w14:paraId="2CFF061D" w14:textId="77777777" w:rsidR="00E06740" w:rsidRPr="003C3095" w:rsidRDefault="00E06740" w:rsidP="00E06740">
            <w:pPr>
              <w:jc w:val="center"/>
              <w:rPr>
                <w:rFonts w:asciiTheme="minorHAnsi" w:hAnsiTheme="minorHAnsi" w:cs="Arial"/>
                <w:sz w:val="22"/>
                <w:szCs w:val="22"/>
              </w:rPr>
            </w:pPr>
            <w:r w:rsidRPr="003C3095">
              <w:rPr>
                <w:rFonts w:asciiTheme="minorHAnsi" w:hAnsiTheme="minorHAnsi" w:cs="Arial"/>
                <w:sz w:val="22"/>
                <w:szCs w:val="22"/>
              </w:rPr>
              <w:t>5.09</w:t>
            </w:r>
          </w:p>
        </w:tc>
        <w:tc>
          <w:tcPr>
            <w:tcW w:w="0" w:type="auto"/>
            <w:tcBorders>
              <w:top w:val="nil"/>
              <w:left w:val="nil"/>
              <w:bottom w:val="single" w:sz="4" w:space="0" w:color="auto"/>
              <w:right w:val="single" w:sz="4" w:space="0" w:color="auto"/>
            </w:tcBorders>
            <w:shd w:val="clear" w:color="auto" w:fill="auto"/>
            <w:noWrap/>
            <w:vAlign w:val="bottom"/>
            <w:hideMark/>
          </w:tcPr>
          <w:p w14:paraId="4E9A4061" w14:textId="77777777" w:rsidR="00E06740" w:rsidRPr="003C3095" w:rsidRDefault="00E06740" w:rsidP="00E06740">
            <w:pPr>
              <w:jc w:val="center"/>
              <w:rPr>
                <w:rFonts w:asciiTheme="minorHAnsi" w:hAnsiTheme="minorHAnsi" w:cs="Arial"/>
                <w:sz w:val="22"/>
                <w:szCs w:val="22"/>
              </w:rPr>
            </w:pPr>
            <w:r w:rsidRPr="003C3095">
              <w:rPr>
                <w:rFonts w:asciiTheme="minorHAnsi" w:hAnsiTheme="minorHAnsi" w:cs="Arial"/>
                <w:sz w:val="22"/>
                <w:szCs w:val="22"/>
              </w:rPr>
              <w:t>10.58</w:t>
            </w:r>
          </w:p>
        </w:tc>
        <w:tc>
          <w:tcPr>
            <w:tcW w:w="0" w:type="auto"/>
            <w:tcBorders>
              <w:top w:val="nil"/>
              <w:left w:val="nil"/>
              <w:bottom w:val="single" w:sz="4" w:space="0" w:color="auto"/>
              <w:right w:val="single" w:sz="4" w:space="0" w:color="auto"/>
            </w:tcBorders>
            <w:shd w:val="clear" w:color="auto" w:fill="auto"/>
            <w:noWrap/>
            <w:vAlign w:val="bottom"/>
            <w:hideMark/>
          </w:tcPr>
          <w:p w14:paraId="0EA4ABC6" w14:textId="77777777" w:rsidR="00E06740" w:rsidRPr="003C3095" w:rsidRDefault="00E06740" w:rsidP="00E06740">
            <w:pPr>
              <w:jc w:val="center"/>
              <w:rPr>
                <w:rFonts w:asciiTheme="minorHAnsi" w:hAnsiTheme="minorHAnsi" w:cs="Arial"/>
                <w:sz w:val="22"/>
                <w:szCs w:val="22"/>
              </w:rPr>
            </w:pPr>
            <w:r w:rsidRPr="003C3095">
              <w:rPr>
                <w:rFonts w:asciiTheme="minorHAnsi" w:hAnsiTheme="minorHAnsi" w:cs="Arial"/>
                <w:sz w:val="22"/>
                <w:szCs w:val="22"/>
              </w:rPr>
              <w:t>12.36</w:t>
            </w:r>
          </w:p>
        </w:tc>
      </w:tr>
      <w:tr w:rsidR="001F3A39" w:rsidRPr="003C3095" w14:paraId="353A548D" w14:textId="77777777" w:rsidTr="001F3A39">
        <w:trPr>
          <w:trHeight w:val="387"/>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695256E4" w14:textId="77777777" w:rsidR="00E06740" w:rsidRPr="003C3095" w:rsidRDefault="00E06740" w:rsidP="00E06740">
            <w:pPr>
              <w:jc w:val="center"/>
              <w:rPr>
                <w:rFonts w:asciiTheme="minorHAnsi" w:hAnsiTheme="minorHAnsi" w:cs="Calibri"/>
                <w:color w:val="000000"/>
                <w:sz w:val="22"/>
                <w:szCs w:val="22"/>
              </w:rPr>
            </w:pPr>
            <w:r w:rsidRPr="003C3095">
              <w:rPr>
                <w:rFonts w:asciiTheme="minorHAnsi" w:hAnsiTheme="minorHAnsi" w:cs="Calibri"/>
                <w:color w:val="000000"/>
                <w:sz w:val="22"/>
                <w:szCs w:val="22"/>
              </w:rPr>
              <w:t>2</w:t>
            </w:r>
          </w:p>
        </w:tc>
        <w:tc>
          <w:tcPr>
            <w:tcW w:w="0" w:type="auto"/>
            <w:tcBorders>
              <w:top w:val="nil"/>
              <w:left w:val="nil"/>
              <w:bottom w:val="single" w:sz="4" w:space="0" w:color="auto"/>
              <w:right w:val="single" w:sz="4" w:space="0" w:color="auto"/>
            </w:tcBorders>
            <w:shd w:val="clear" w:color="auto" w:fill="auto"/>
            <w:noWrap/>
            <w:vAlign w:val="center"/>
            <w:hideMark/>
          </w:tcPr>
          <w:p w14:paraId="16DC6284" w14:textId="77777777" w:rsidR="00E06740" w:rsidRPr="003C3095" w:rsidRDefault="00E06740" w:rsidP="00E06740">
            <w:pPr>
              <w:rPr>
                <w:rFonts w:asciiTheme="minorHAnsi" w:hAnsiTheme="minorHAnsi" w:cs="Calibri"/>
                <w:color w:val="000000"/>
                <w:sz w:val="22"/>
                <w:szCs w:val="22"/>
              </w:rPr>
            </w:pPr>
            <w:r w:rsidRPr="003C3095">
              <w:rPr>
                <w:rFonts w:asciiTheme="minorHAnsi" w:hAnsiTheme="minorHAnsi" w:cs="Calibri"/>
                <w:color w:val="000000"/>
                <w:sz w:val="22"/>
                <w:szCs w:val="22"/>
              </w:rPr>
              <w:t>Communication</w:t>
            </w:r>
          </w:p>
        </w:tc>
        <w:tc>
          <w:tcPr>
            <w:tcW w:w="0" w:type="auto"/>
            <w:tcBorders>
              <w:top w:val="nil"/>
              <w:left w:val="nil"/>
              <w:bottom w:val="single" w:sz="4" w:space="0" w:color="auto"/>
              <w:right w:val="single" w:sz="4" w:space="0" w:color="auto"/>
            </w:tcBorders>
            <w:shd w:val="clear" w:color="auto" w:fill="auto"/>
            <w:noWrap/>
            <w:vAlign w:val="bottom"/>
            <w:hideMark/>
          </w:tcPr>
          <w:p w14:paraId="1FBC14D5" w14:textId="77777777" w:rsidR="00E06740" w:rsidRPr="003C3095" w:rsidRDefault="00E06740" w:rsidP="00E06740">
            <w:pPr>
              <w:jc w:val="center"/>
              <w:rPr>
                <w:rFonts w:asciiTheme="minorHAnsi" w:hAnsiTheme="minorHAnsi" w:cs="Arial"/>
                <w:sz w:val="22"/>
                <w:szCs w:val="22"/>
              </w:rPr>
            </w:pPr>
            <w:r w:rsidRPr="003C3095">
              <w:rPr>
                <w:rFonts w:asciiTheme="minorHAnsi" w:hAnsiTheme="minorHAnsi" w:cs="Arial"/>
                <w:sz w:val="22"/>
                <w:szCs w:val="22"/>
              </w:rPr>
              <w:t>2.15</w:t>
            </w:r>
          </w:p>
        </w:tc>
        <w:tc>
          <w:tcPr>
            <w:tcW w:w="0" w:type="auto"/>
            <w:tcBorders>
              <w:top w:val="nil"/>
              <w:left w:val="nil"/>
              <w:bottom w:val="single" w:sz="4" w:space="0" w:color="auto"/>
              <w:right w:val="single" w:sz="4" w:space="0" w:color="auto"/>
            </w:tcBorders>
            <w:shd w:val="clear" w:color="auto" w:fill="auto"/>
            <w:noWrap/>
            <w:vAlign w:val="bottom"/>
            <w:hideMark/>
          </w:tcPr>
          <w:p w14:paraId="0D77EFAC" w14:textId="77777777" w:rsidR="00E06740" w:rsidRPr="003C3095" w:rsidRDefault="00E06740" w:rsidP="00E06740">
            <w:pPr>
              <w:jc w:val="center"/>
              <w:rPr>
                <w:rFonts w:asciiTheme="minorHAnsi" w:hAnsiTheme="minorHAnsi" w:cs="Arial"/>
                <w:sz w:val="22"/>
                <w:szCs w:val="22"/>
              </w:rPr>
            </w:pPr>
            <w:r w:rsidRPr="003C3095">
              <w:rPr>
                <w:rFonts w:asciiTheme="minorHAnsi" w:hAnsiTheme="minorHAnsi" w:cs="Arial"/>
                <w:sz w:val="22"/>
                <w:szCs w:val="22"/>
              </w:rPr>
              <w:t>1.60</w:t>
            </w:r>
          </w:p>
        </w:tc>
        <w:tc>
          <w:tcPr>
            <w:tcW w:w="0" w:type="auto"/>
            <w:tcBorders>
              <w:top w:val="nil"/>
              <w:left w:val="nil"/>
              <w:bottom w:val="single" w:sz="4" w:space="0" w:color="auto"/>
              <w:right w:val="single" w:sz="4" w:space="0" w:color="auto"/>
            </w:tcBorders>
            <w:shd w:val="clear" w:color="auto" w:fill="auto"/>
            <w:noWrap/>
            <w:vAlign w:val="bottom"/>
            <w:hideMark/>
          </w:tcPr>
          <w:p w14:paraId="4D32471D" w14:textId="77777777" w:rsidR="00E06740" w:rsidRPr="003C3095" w:rsidRDefault="00E06740" w:rsidP="00E06740">
            <w:pPr>
              <w:jc w:val="center"/>
              <w:rPr>
                <w:rFonts w:asciiTheme="minorHAnsi" w:hAnsiTheme="minorHAnsi" w:cs="Arial"/>
                <w:sz w:val="22"/>
                <w:szCs w:val="22"/>
              </w:rPr>
            </w:pPr>
            <w:r w:rsidRPr="003C3095">
              <w:rPr>
                <w:rFonts w:asciiTheme="minorHAnsi" w:hAnsiTheme="minorHAnsi" w:cs="Arial"/>
                <w:sz w:val="22"/>
                <w:szCs w:val="22"/>
              </w:rPr>
              <w:t>3.47</w:t>
            </w:r>
          </w:p>
        </w:tc>
        <w:tc>
          <w:tcPr>
            <w:tcW w:w="0" w:type="auto"/>
            <w:tcBorders>
              <w:top w:val="nil"/>
              <w:left w:val="nil"/>
              <w:bottom w:val="single" w:sz="4" w:space="0" w:color="auto"/>
              <w:right w:val="single" w:sz="4" w:space="0" w:color="auto"/>
            </w:tcBorders>
            <w:shd w:val="clear" w:color="auto" w:fill="auto"/>
            <w:noWrap/>
            <w:vAlign w:val="bottom"/>
            <w:hideMark/>
          </w:tcPr>
          <w:p w14:paraId="1CDF1521" w14:textId="77777777" w:rsidR="00E06740" w:rsidRPr="003C3095" w:rsidRDefault="00E06740" w:rsidP="00E06740">
            <w:pPr>
              <w:jc w:val="center"/>
              <w:rPr>
                <w:rFonts w:asciiTheme="minorHAnsi" w:hAnsiTheme="minorHAnsi" w:cs="Arial"/>
                <w:sz w:val="22"/>
                <w:szCs w:val="22"/>
              </w:rPr>
            </w:pPr>
            <w:r w:rsidRPr="003C3095">
              <w:rPr>
                <w:rFonts w:asciiTheme="minorHAnsi" w:hAnsiTheme="minorHAnsi" w:cs="Arial"/>
                <w:sz w:val="22"/>
                <w:szCs w:val="22"/>
              </w:rPr>
              <w:t>3.60</w:t>
            </w:r>
          </w:p>
        </w:tc>
      </w:tr>
      <w:tr w:rsidR="001F3A39" w:rsidRPr="003C3095" w14:paraId="0BC0159B" w14:textId="77777777" w:rsidTr="001F3A39">
        <w:trPr>
          <w:trHeight w:val="387"/>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19CA7C97" w14:textId="77777777" w:rsidR="00E06740" w:rsidRPr="003C3095" w:rsidRDefault="00E06740" w:rsidP="00E06740">
            <w:pPr>
              <w:jc w:val="center"/>
              <w:rPr>
                <w:rFonts w:asciiTheme="minorHAnsi" w:hAnsiTheme="minorHAnsi" w:cs="Calibri"/>
                <w:color w:val="000000"/>
                <w:sz w:val="22"/>
                <w:szCs w:val="22"/>
              </w:rPr>
            </w:pPr>
            <w:r w:rsidRPr="003C3095">
              <w:rPr>
                <w:rFonts w:asciiTheme="minorHAnsi" w:hAnsiTheme="minorHAnsi" w:cs="Calibri"/>
                <w:color w:val="000000"/>
                <w:sz w:val="22"/>
                <w:szCs w:val="22"/>
              </w:rPr>
              <w:t>3</w:t>
            </w:r>
          </w:p>
        </w:tc>
        <w:tc>
          <w:tcPr>
            <w:tcW w:w="0" w:type="auto"/>
            <w:tcBorders>
              <w:top w:val="nil"/>
              <w:left w:val="nil"/>
              <w:bottom w:val="single" w:sz="4" w:space="0" w:color="auto"/>
              <w:right w:val="single" w:sz="4" w:space="0" w:color="auto"/>
            </w:tcBorders>
            <w:shd w:val="clear" w:color="auto" w:fill="auto"/>
            <w:noWrap/>
            <w:vAlign w:val="center"/>
            <w:hideMark/>
          </w:tcPr>
          <w:p w14:paraId="081A7EC1" w14:textId="77777777" w:rsidR="00E06740" w:rsidRPr="003C3095" w:rsidRDefault="00E06740" w:rsidP="00E06740">
            <w:pPr>
              <w:rPr>
                <w:rFonts w:asciiTheme="minorHAnsi" w:hAnsiTheme="minorHAnsi" w:cs="Calibri"/>
                <w:color w:val="000000"/>
                <w:sz w:val="22"/>
                <w:szCs w:val="22"/>
              </w:rPr>
            </w:pPr>
            <w:r w:rsidRPr="003C3095">
              <w:rPr>
                <w:rFonts w:asciiTheme="minorHAnsi" w:hAnsiTheme="minorHAnsi" w:cs="Calibri"/>
                <w:color w:val="000000"/>
                <w:sz w:val="22"/>
                <w:szCs w:val="22"/>
              </w:rPr>
              <w:t>Professional Charges</w:t>
            </w:r>
          </w:p>
        </w:tc>
        <w:tc>
          <w:tcPr>
            <w:tcW w:w="0" w:type="auto"/>
            <w:tcBorders>
              <w:top w:val="nil"/>
              <w:left w:val="nil"/>
              <w:bottom w:val="single" w:sz="4" w:space="0" w:color="auto"/>
              <w:right w:val="single" w:sz="4" w:space="0" w:color="auto"/>
            </w:tcBorders>
            <w:shd w:val="clear" w:color="auto" w:fill="auto"/>
            <w:noWrap/>
            <w:vAlign w:val="bottom"/>
            <w:hideMark/>
          </w:tcPr>
          <w:p w14:paraId="7B7D7A0B" w14:textId="77777777" w:rsidR="00E06740" w:rsidRPr="003C3095" w:rsidRDefault="00E06740" w:rsidP="00E06740">
            <w:pPr>
              <w:jc w:val="center"/>
              <w:rPr>
                <w:rFonts w:asciiTheme="minorHAnsi" w:hAnsiTheme="minorHAnsi" w:cs="Arial"/>
                <w:sz w:val="22"/>
                <w:szCs w:val="22"/>
              </w:rPr>
            </w:pPr>
            <w:r w:rsidRPr="003C3095">
              <w:rPr>
                <w:rFonts w:asciiTheme="minorHAnsi" w:hAnsiTheme="minorHAnsi" w:cs="Arial"/>
                <w:sz w:val="22"/>
                <w:szCs w:val="22"/>
              </w:rPr>
              <w:t>8.64</w:t>
            </w:r>
          </w:p>
        </w:tc>
        <w:tc>
          <w:tcPr>
            <w:tcW w:w="0" w:type="auto"/>
            <w:tcBorders>
              <w:top w:val="nil"/>
              <w:left w:val="nil"/>
              <w:bottom w:val="single" w:sz="4" w:space="0" w:color="auto"/>
              <w:right w:val="single" w:sz="4" w:space="0" w:color="auto"/>
            </w:tcBorders>
            <w:shd w:val="clear" w:color="auto" w:fill="auto"/>
            <w:noWrap/>
            <w:vAlign w:val="bottom"/>
            <w:hideMark/>
          </w:tcPr>
          <w:p w14:paraId="17BFE039" w14:textId="77777777" w:rsidR="00E06740" w:rsidRPr="003C3095" w:rsidRDefault="00E06740" w:rsidP="00E06740">
            <w:pPr>
              <w:jc w:val="center"/>
              <w:rPr>
                <w:rFonts w:asciiTheme="minorHAnsi" w:hAnsiTheme="minorHAnsi" w:cs="Arial"/>
                <w:sz w:val="22"/>
                <w:szCs w:val="22"/>
              </w:rPr>
            </w:pPr>
            <w:r w:rsidRPr="003C3095">
              <w:rPr>
                <w:rFonts w:asciiTheme="minorHAnsi" w:hAnsiTheme="minorHAnsi" w:cs="Arial"/>
                <w:sz w:val="22"/>
                <w:szCs w:val="22"/>
              </w:rPr>
              <w:t>4.30</w:t>
            </w:r>
          </w:p>
        </w:tc>
        <w:tc>
          <w:tcPr>
            <w:tcW w:w="0" w:type="auto"/>
            <w:tcBorders>
              <w:top w:val="nil"/>
              <w:left w:val="nil"/>
              <w:bottom w:val="single" w:sz="4" w:space="0" w:color="auto"/>
              <w:right w:val="single" w:sz="4" w:space="0" w:color="auto"/>
            </w:tcBorders>
            <w:shd w:val="clear" w:color="auto" w:fill="auto"/>
            <w:noWrap/>
            <w:vAlign w:val="bottom"/>
            <w:hideMark/>
          </w:tcPr>
          <w:p w14:paraId="3709B7A9" w14:textId="77777777" w:rsidR="00E06740" w:rsidRPr="003C3095" w:rsidRDefault="00E06740" w:rsidP="00E06740">
            <w:pPr>
              <w:jc w:val="center"/>
              <w:rPr>
                <w:rFonts w:asciiTheme="minorHAnsi" w:hAnsiTheme="minorHAnsi" w:cs="Arial"/>
                <w:sz w:val="22"/>
                <w:szCs w:val="22"/>
              </w:rPr>
            </w:pPr>
            <w:r w:rsidRPr="003C3095">
              <w:rPr>
                <w:rFonts w:asciiTheme="minorHAnsi" w:hAnsiTheme="minorHAnsi" w:cs="Arial"/>
                <w:sz w:val="22"/>
                <w:szCs w:val="22"/>
              </w:rPr>
              <w:t>13.78</w:t>
            </w:r>
          </w:p>
        </w:tc>
        <w:tc>
          <w:tcPr>
            <w:tcW w:w="0" w:type="auto"/>
            <w:tcBorders>
              <w:top w:val="nil"/>
              <w:left w:val="nil"/>
              <w:bottom w:val="single" w:sz="4" w:space="0" w:color="auto"/>
              <w:right w:val="single" w:sz="4" w:space="0" w:color="auto"/>
            </w:tcBorders>
            <w:shd w:val="clear" w:color="auto" w:fill="auto"/>
            <w:noWrap/>
            <w:vAlign w:val="bottom"/>
            <w:hideMark/>
          </w:tcPr>
          <w:p w14:paraId="0AD796C7" w14:textId="77777777" w:rsidR="00E06740" w:rsidRPr="003C3095" w:rsidRDefault="00E06740" w:rsidP="00E06740">
            <w:pPr>
              <w:jc w:val="center"/>
              <w:rPr>
                <w:rFonts w:asciiTheme="minorHAnsi" w:hAnsiTheme="minorHAnsi" w:cs="Arial"/>
                <w:sz w:val="22"/>
                <w:szCs w:val="22"/>
              </w:rPr>
            </w:pPr>
            <w:r w:rsidRPr="003C3095">
              <w:rPr>
                <w:rFonts w:asciiTheme="minorHAnsi" w:hAnsiTheme="minorHAnsi" w:cs="Arial"/>
                <w:sz w:val="22"/>
                <w:szCs w:val="22"/>
              </w:rPr>
              <w:t>14.35</w:t>
            </w:r>
          </w:p>
        </w:tc>
      </w:tr>
      <w:tr w:rsidR="001F3A39" w:rsidRPr="003C3095" w14:paraId="0E920831" w14:textId="77777777" w:rsidTr="001F3A39">
        <w:trPr>
          <w:trHeight w:val="387"/>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63098F75" w14:textId="77777777" w:rsidR="00E06740" w:rsidRPr="003C3095" w:rsidRDefault="00E06740" w:rsidP="00E06740">
            <w:pPr>
              <w:jc w:val="center"/>
              <w:rPr>
                <w:rFonts w:asciiTheme="minorHAnsi" w:hAnsiTheme="minorHAnsi" w:cs="Calibri"/>
                <w:color w:val="000000"/>
                <w:sz w:val="22"/>
                <w:szCs w:val="22"/>
              </w:rPr>
            </w:pPr>
            <w:r w:rsidRPr="003C3095">
              <w:rPr>
                <w:rFonts w:asciiTheme="minorHAnsi" w:hAnsiTheme="minorHAnsi" w:cs="Calibri"/>
                <w:color w:val="000000"/>
                <w:sz w:val="22"/>
                <w:szCs w:val="22"/>
              </w:rPr>
              <w:t>4</w:t>
            </w:r>
          </w:p>
        </w:tc>
        <w:tc>
          <w:tcPr>
            <w:tcW w:w="0" w:type="auto"/>
            <w:tcBorders>
              <w:top w:val="nil"/>
              <w:left w:val="nil"/>
              <w:bottom w:val="single" w:sz="4" w:space="0" w:color="auto"/>
              <w:right w:val="single" w:sz="4" w:space="0" w:color="auto"/>
            </w:tcBorders>
            <w:shd w:val="clear" w:color="auto" w:fill="auto"/>
            <w:noWrap/>
            <w:vAlign w:val="center"/>
            <w:hideMark/>
          </w:tcPr>
          <w:p w14:paraId="00D16588" w14:textId="77777777" w:rsidR="00E06740" w:rsidRPr="003C3095" w:rsidRDefault="00E06740" w:rsidP="00E06740">
            <w:pPr>
              <w:rPr>
                <w:rFonts w:asciiTheme="minorHAnsi" w:hAnsiTheme="minorHAnsi" w:cs="Calibri"/>
                <w:color w:val="000000"/>
                <w:sz w:val="22"/>
                <w:szCs w:val="22"/>
              </w:rPr>
            </w:pPr>
            <w:r w:rsidRPr="003C3095">
              <w:rPr>
                <w:rFonts w:asciiTheme="minorHAnsi" w:hAnsiTheme="minorHAnsi" w:cs="Calibri"/>
                <w:color w:val="000000"/>
                <w:sz w:val="22"/>
                <w:szCs w:val="22"/>
              </w:rPr>
              <w:t xml:space="preserve">Conveyance &amp;Travelling </w:t>
            </w:r>
          </w:p>
        </w:tc>
        <w:tc>
          <w:tcPr>
            <w:tcW w:w="0" w:type="auto"/>
            <w:tcBorders>
              <w:top w:val="nil"/>
              <w:left w:val="nil"/>
              <w:bottom w:val="single" w:sz="4" w:space="0" w:color="auto"/>
              <w:right w:val="single" w:sz="4" w:space="0" w:color="auto"/>
            </w:tcBorders>
            <w:shd w:val="clear" w:color="auto" w:fill="auto"/>
            <w:noWrap/>
            <w:vAlign w:val="bottom"/>
            <w:hideMark/>
          </w:tcPr>
          <w:p w14:paraId="7C30C6B4" w14:textId="77777777" w:rsidR="00E06740" w:rsidRPr="003C3095" w:rsidRDefault="00E06740" w:rsidP="00E06740">
            <w:pPr>
              <w:jc w:val="center"/>
              <w:rPr>
                <w:rFonts w:asciiTheme="minorHAnsi" w:hAnsiTheme="minorHAnsi" w:cs="Arial"/>
                <w:sz w:val="22"/>
                <w:szCs w:val="22"/>
              </w:rPr>
            </w:pPr>
            <w:r w:rsidRPr="003C3095">
              <w:rPr>
                <w:rFonts w:asciiTheme="minorHAnsi" w:hAnsiTheme="minorHAnsi" w:cs="Arial"/>
                <w:sz w:val="22"/>
                <w:szCs w:val="22"/>
              </w:rPr>
              <w:t>16.24</w:t>
            </w:r>
          </w:p>
        </w:tc>
        <w:tc>
          <w:tcPr>
            <w:tcW w:w="0" w:type="auto"/>
            <w:tcBorders>
              <w:top w:val="nil"/>
              <w:left w:val="nil"/>
              <w:bottom w:val="single" w:sz="4" w:space="0" w:color="auto"/>
              <w:right w:val="single" w:sz="4" w:space="0" w:color="auto"/>
            </w:tcBorders>
            <w:shd w:val="clear" w:color="auto" w:fill="auto"/>
            <w:noWrap/>
            <w:vAlign w:val="bottom"/>
            <w:hideMark/>
          </w:tcPr>
          <w:p w14:paraId="7643DF59" w14:textId="77777777" w:rsidR="00E06740" w:rsidRPr="003C3095" w:rsidRDefault="00E06740" w:rsidP="00E06740">
            <w:pPr>
              <w:jc w:val="center"/>
              <w:rPr>
                <w:rFonts w:asciiTheme="minorHAnsi" w:hAnsiTheme="minorHAnsi" w:cs="Arial"/>
                <w:sz w:val="22"/>
                <w:szCs w:val="22"/>
              </w:rPr>
            </w:pPr>
            <w:r w:rsidRPr="003C3095">
              <w:rPr>
                <w:rFonts w:asciiTheme="minorHAnsi" w:hAnsiTheme="minorHAnsi" w:cs="Arial"/>
                <w:sz w:val="22"/>
                <w:szCs w:val="22"/>
              </w:rPr>
              <w:t>7.25</w:t>
            </w:r>
          </w:p>
        </w:tc>
        <w:tc>
          <w:tcPr>
            <w:tcW w:w="0" w:type="auto"/>
            <w:tcBorders>
              <w:top w:val="nil"/>
              <w:left w:val="nil"/>
              <w:bottom w:val="single" w:sz="4" w:space="0" w:color="auto"/>
              <w:right w:val="single" w:sz="4" w:space="0" w:color="auto"/>
            </w:tcBorders>
            <w:shd w:val="clear" w:color="auto" w:fill="auto"/>
            <w:noWrap/>
            <w:vAlign w:val="bottom"/>
            <w:hideMark/>
          </w:tcPr>
          <w:p w14:paraId="24DC5DBB" w14:textId="77777777" w:rsidR="00E06740" w:rsidRPr="003C3095" w:rsidRDefault="00E06740" w:rsidP="00E06740">
            <w:pPr>
              <w:jc w:val="center"/>
              <w:rPr>
                <w:rFonts w:asciiTheme="minorHAnsi" w:hAnsiTheme="minorHAnsi" w:cs="Arial"/>
                <w:sz w:val="22"/>
                <w:szCs w:val="22"/>
              </w:rPr>
            </w:pPr>
            <w:r w:rsidRPr="003C3095">
              <w:rPr>
                <w:rFonts w:asciiTheme="minorHAnsi" w:hAnsiTheme="minorHAnsi" w:cs="Arial"/>
                <w:sz w:val="22"/>
                <w:szCs w:val="22"/>
              </w:rPr>
              <w:t>21.30</w:t>
            </w:r>
          </w:p>
        </w:tc>
        <w:tc>
          <w:tcPr>
            <w:tcW w:w="0" w:type="auto"/>
            <w:tcBorders>
              <w:top w:val="nil"/>
              <w:left w:val="nil"/>
              <w:bottom w:val="single" w:sz="4" w:space="0" w:color="auto"/>
              <w:right w:val="single" w:sz="4" w:space="0" w:color="auto"/>
            </w:tcBorders>
            <w:shd w:val="clear" w:color="auto" w:fill="auto"/>
            <w:noWrap/>
            <w:vAlign w:val="bottom"/>
            <w:hideMark/>
          </w:tcPr>
          <w:p w14:paraId="3504A746" w14:textId="77777777" w:rsidR="00E06740" w:rsidRPr="003C3095" w:rsidRDefault="00E06740" w:rsidP="00E06740">
            <w:pPr>
              <w:jc w:val="center"/>
              <w:rPr>
                <w:rFonts w:asciiTheme="minorHAnsi" w:hAnsiTheme="minorHAnsi" w:cs="Arial"/>
                <w:sz w:val="22"/>
                <w:szCs w:val="22"/>
              </w:rPr>
            </w:pPr>
            <w:r w:rsidRPr="003C3095">
              <w:rPr>
                <w:rFonts w:asciiTheme="minorHAnsi" w:hAnsiTheme="minorHAnsi" w:cs="Arial"/>
                <w:sz w:val="22"/>
                <w:szCs w:val="22"/>
              </w:rPr>
              <w:t>19.49</w:t>
            </w:r>
          </w:p>
        </w:tc>
      </w:tr>
      <w:tr w:rsidR="001F3A39" w:rsidRPr="003C3095" w14:paraId="73F404FD" w14:textId="77777777" w:rsidTr="001F3A39">
        <w:trPr>
          <w:trHeight w:val="387"/>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1350F886" w14:textId="77777777" w:rsidR="00E06740" w:rsidRPr="003C3095" w:rsidRDefault="00E06740" w:rsidP="00E06740">
            <w:pPr>
              <w:jc w:val="center"/>
              <w:rPr>
                <w:rFonts w:asciiTheme="minorHAnsi" w:hAnsiTheme="minorHAnsi" w:cs="Calibri"/>
                <w:color w:val="000000"/>
                <w:sz w:val="22"/>
                <w:szCs w:val="22"/>
              </w:rPr>
            </w:pPr>
            <w:r w:rsidRPr="003C3095">
              <w:rPr>
                <w:rFonts w:asciiTheme="minorHAnsi" w:hAnsiTheme="minorHAnsi" w:cs="Calibri"/>
                <w:color w:val="000000"/>
                <w:sz w:val="22"/>
                <w:szCs w:val="22"/>
              </w:rPr>
              <w:t>5</w:t>
            </w:r>
          </w:p>
        </w:tc>
        <w:tc>
          <w:tcPr>
            <w:tcW w:w="0" w:type="auto"/>
            <w:tcBorders>
              <w:top w:val="nil"/>
              <w:left w:val="nil"/>
              <w:bottom w:val="single" w:sz="4" w:space="0" w:color="auto"/>
              <w:right w:val="single" w:sz="4" w:space="0" w:color="auto"/>
            </w:tcBorders>
            <w:shd w:val="clear" w:color="auto" w:fill="auto"/>
            <w:noWrap/>
            <w:vAlign w:val="center"/>
            <w:hideMark/>
          </w:tcPr>
          <w:p w14:paraId="245AF36A" w14:textId="7E1AC36A" w:rsidR="00E06740" w:rsidRPr="003C3095" w:rsidRDefault="00BF1CBD" w:rsidP="00E06740">
            <w:pPr>
              <w:rPr>
                <w:rFonts w:asciiTheme="minorHAnsi" w:hAnsiTheme="minorHAnsi" w:cs="Arial"/>
                <w:color w:val="000000"/>
                <w:sz w:val="22"/>
                <w:szCs w:val="22"/>
              </w:rPr>
            </w:pPr>
            <w:r w:rsidRPr="00BF1CBD">
              <w:rPr>
                <w:rFonts w:asciiTheme="minorHAnsi" w:hAnsiTheme="minorHAnsi" w:cs="Arial"/>
                <w:color w:val="000000"/>
                <w:sz w:val="22"/>
                <w:szCs w:val="22"/>
              </w:rPr>
              <w:t>Spot Billing &amp; collection Expenses</w:t>
            </w:r>
          </w:p>
        </w:tc>
        <w:tc>
          <w:tcPr>
            <w:tcW w:w="0" w:type="auto"/>
            <w:tcBorders>
              <w:top w:val="nil"/>
              <w:left w:val="nil"/>
              <w:bottom w:val="single" w:sz="4" w:space="0" w:color="auto"/>
              <w:right w:val="single" w:sz="4" w:space="0" w:color="auto"/>
            </w:tcBorders>
            <w:shd w:val="clear" w:color="auto" w:fill="auto"/>
            <w:noWrap/>
            <w:vAlign w:val="bottom"/>
            <w:hideMark/>
          </w:tcPr>
          <w:p w14:paraId="5038EEF7" w14:textId="7CC51CC6" w:rsidR="00E06740" w:rsidRPr="003C3095" w:rsidRDefault="00BF1CBD" w:rsidP="00E06740">
            <w:pPr>
              <w:jc w:val="center"/>
              <w:rPr>
                <w:rFonts w:asciiTheme="minorHAnsi" w:hAnsiTheme="minorHAnsi" w:cs="Arial"/>
                <w:sz w:val="22"/>
                <w:szCs w:val="22"/>
              </w:rPr>
            </w:pPr>
            <w:r>
              <w:rPr>
                <w:rFonts w:asciiTheme="minorHAnsi" w:hAnsiTheme="minorHAnsi" w:cs="Arial"/>
                <w:sz w:val="22"/>
                <w:szCs w:val="22"/>
              </w:rPr>
              <w:t>83.79</w:t>
            </w:r>
          </w:p>
        </w:tc>
        <w:tc>
          <w:tcPr>
            <w:tcW w:w="0" w:type="auto"/>
            <w:tcBorders>
              <w:top w:val="nil"/>
              <w:left w:val="nil"/>
              <w:bottom w:val="single" w:sz="4" w:space="0" w:color="auto"/>
              <w:right w:val="single" w:sz="4" w:space="0" w:color="auto"/>
            </w:tcBorders>
            <w:shd w:val="clear" w:color="auto" w:fill="auto"/>
            <w:noWrap/>
            <w:vAlign w:val="bottom"/>
            <w:hideMark/>
          </w:tcPr>
          <w:p w14:paraId="3334622E" w14:textId="7833E2C9" w:rsidR="00E06740" w:rsidRPr="003C3095" w:rsidRDefault="00BF1CBD" w:rsidP="00E06740">
            <w:pPr>
              <w:jc w:val="center"/>
              <w:rPr>
                <w:rFonts w:asciiTheme="minorHAnsi" w:hAnsiTheme="minorHAnsi" w:cs="Arial"/>
                <w:sz w:val="22"/>
                <w:szCs w:val="22"/>
              </w:rPr>
            </w:pPr>
            <w:r>
              <w:rPr>
                <w:rFonts w:asciiTheme="minorHAnsi" w:hAnsiTheme="minorHAnsi" w:cs="Arial"/>
                <w:sz w:val="22"/>
                <w:szCs w:val="22"/>
              </w:rPr>
              <w:t>45.06</w:t>
            </w:r>
          </w:p>
        </w:tc>
        <w:tc>
          <w:tcPr>
            <w:tcW w:w="0" w:type="auto"/>
            <w:tcBorders>
              <w:top w:val="nil"/>
              <w:left w:val="nil"/>
              <w:bottom w:val="single" w:sz="4" w:space="0" w:color="auto"/>
              <w:right w:val="single" w:sz="4" w:space="0" w:color="auto"/>
            </w:tcBorders>
            <w:shd w:val="clear" w:color="auto" w:fill="auto"/>
            <w:noWrap/>
            <w:vAlign w:val="bottom"/>
            <w:hideMark/>
          </w:tcPr>
          <w:p w14:paraId="7BA7607D" w14:textId="77D045B3" w:rsidR="00E06740" w:rsidRPr="003C3095" w:rsidRDefault="00BF1CBD" w:rsidP="00E06740">
            <w:pPr>
              <w:jc w:val="center"/>
              <w:rPr>
                <w:rFonts w:asciiTheme="minorHAnsi" w:hAnsiTheme="minorHAnsi" w:cs="Arial"/>
                <w:sz w:val="22"/>
                <w:szCs w:val="22"/>
              </w:rPr>
            </w:pPr>
            <w:r>
              <w:rPr>
                <w:rFonts w:asciiTheme="minorHAnsi" w:hAnsiTheme="minorHAnsi" w:cs="Arial"/>
                <w:sz w:val="22"/>
                <w:szCs w:val="22"/>
              </w:rPr>
              <w:t>88.67</w:t>
            </w:r>
          </w:p>
        </w:tc>
        <w:tc>
          <w:tcPr>
            <w:tcW w:w="0" w:type="auto"/>
            <w:tcBorders>
              <w:top w:val="nil"/>
              <w:left w:val="nil"/>
              <w:bottom w:val="single" w:sz="4" w:space="0" w:color="auto"/>
              <w:right w:val="single" w:sz="4" w:space="0" w:color="auto"/>
            </w:tcBorders>
            <w:shd w:val="clear" w:color="auto" w:fill="auto"/>
            <w:noWrap/>
            <w:vAlign w:val="bottom"/>
            <w:hideMark/>
          </w:tcPr>
          <w:p w14:paraId="5F2D9D2F" w14:textId="6DE76955" w:rsidR="00E06740" w:rsidRPr="003C3095" w:rsidRDefault="00BF1CBD" w:rsidP="00E06740">
            <w:pPr>
              <w:jc w:val="center"/>
              <w:rPr>
                <w:rFonts w:asciiTheme="minorHAnsi" w:hAnsiTheme="minorHAnsi" w:cs="Arial"/>
                <w:sz w:val="22"/>
                <w:szCs w:val="22"/>
              </w:rPr>
            </w:pPr>
            <w:r>
              <w:rPr>
                <w:rFonts w:asciiTheme="minorHAnsi" w:hAnsiTheme="minorHAnsi" w:cs="Arial"/>
                <w:sz w:val="22"/>
                <w:szCs w:val="22"/>
              </w:rPr>
              <w:t>106.97</w:t>
            </w:r>
          </w:p>
        </w:tc>
      </w:tr>
      <w:tr w:rsidR="001F3A39" w:rsidRPr="003C3095" w14:paraId="78A75119" w14:textId="77777777" w:rsidTr="001F3A39">
        <w:trPr>
          <w:trHeight w:val="387"/>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737053D8" w14:textId="6398CECF" w:rsidR="00284ED4" w:rsidRPr="003C3095" w:rsidRDefault="00182E48" w:rsidP="00284ED4">
            <w:pPr>
              <w:jc w:val="center"/>
              <w:rPr>
                <w:rFonts w:asciiTheme="minorHAnsi" w:hAnsiTheme="minorHAnsi" w:cs="Calibri"/>
                <w:color w:val="000000"/>
                <w:sz w:val="22"/>
                <w:szCs w:val="22"/>
              </w:rPr>
            </w:pPr>
            <w:r>
              <w:rPr>
                <w:rFonts w:asciiTheme="minorHAnsi" w:hAnsiTheme="minorHAnsi" w:cs="Calibri"/>
                <w:color w:val="000000"/>
                <w:sz w:val="22"/>
                <w:szCs w:val="22"/>
              </w:rPr>
              <w:t>6</w:t>
            </w:r>
          </w:p>
        </w:tc>
        <w:tc>
          <w:tcPr>
            <w:tcW w:w="0" w:type="auto"/>
            <w:tcBorders>
              <w:top w:val="nil"/>
              <w:left w:val="nil"/>
              <w:bottom w:val="single" w:sz="4" w:space="0" w:color="auto"/>
              <w:right w:val="single" w:sz="4" w:space="0" w:color="auto"/>
            </w:tcBorders>
            <w:shd w:val="clear" w:color="auto" w:fill="auto"/>
            <w:noWrap/>
            <w:vAlign w:val="center"/>
            <w:hideMark/>
          </w:tcPr>
          <w:p w14:paraId="374D8213" w14:textId="77777777" w:rsidR="00284ED4" w:rsidRPr="003C3095" w:rsidRDefault="00284ED4" w:rsidP="00284ED4">
            <w:pPr>
              <w:rPr>
                <w:rFonts w:asciiTheme="minorHAnsi" w:hAnsiTheme="minorHAnsi" w:cs="Calibri"/>
                <w:color w:val="000000"/>
                <w:sz w:val="22"/>
                <w:szCs w:val="22"/>
              </w:rPr>
            </w:pPr>
            <w:r w:rsidRPr="003C3095">
              <w:rPr>
                <w:rFonts w:asciiTheme="minorHAnsi" w:hAnsiTheme="minorHAnsi" w:cs="Calibri"/>
                <w:color w:val="000000"/>
                <w:sz w:val="22"/>
                <w:szCs w:val="22"/>
              </w:rPr>
              <w:t>Others</w:t>
            </w:r>
          </w:p>
        </w:tc>
        <w:tc>
          <w:tcPr>
            <w:tcW w:w="0" w:type="auto"/>
            <w:tcBorders>
              <w:top w:val="nil"/>
              <w:left w:val="nil"/>
              <w:bottom w:val="single" w:sz="8" w:space="0" w:color="auto"/>
              <w:right w:val="single" w:sz="8" w:space="0" w:color="auto"/>
            </w:tcBorders>
            <w:shd w:val="clear" w:color="auto" w:fill="auto"/>
            <w:noWrap/>
            <w:vAlign w:val="center"/>
            <w:hideMark/>
          </w:tcPr>
          <w:p w14:paraId="3383EF71" w14:textId="61C10659" w:rsidR="00284ED4" w:rsidRPr="003C3095" w:rsidRDefault="00284ED4" w:rsidP="00284ED4">
            <w:pPr>
              <w:jc w:val="center"/>
              <w:rPr>
                <w:rFonts w:asciiTheme="minorHAnsi" w:hAnsiTheme="minorHAnsi" w:cs="Arial"/>
                <w:sz w:val="22"/>
                <w:szCs w:val="22"/>
              </w:rPr>
            </w:pPr>
            <w:r>
              <w:rPr>
                <w:rFonts w:ascii="Calibri" w:hAnsi="Calibri"/>
                <w:color w:val="000000"/>
                <w:sz w:val="22"/>
                <w:szCs w:val="22"/>
              </w:rPr>
              <w:t>24.47</w:t>
            </w:r>
          </w:p>
        </w:tc>
        <w:tc>
          <w:tcPr>
            <w:tcW w:w="0" w:type="auto"/>
            <w:tcBorders>
              <w:top w:val="nil"/>
              <w:left w:val="nil"/>
              <w:bottom w:val="single" w:sz="8" w:space="0" w:color="auto"/>
              <w:right w:val="single" w:sz="8" w:space="0" w:color="auto"/>
            </w:tcBorders>
            <w:shd w:val="clear" w:color="auto" w:fill="auto"/>
            <w:noWrap/>
            <w:vAlign w:val="center"/>
            <w:hideMark/>
          </w:tcPr>
          <w:p w14:paraId="6785820A" w14:textId="1353886B" w:rsidR="00284ED4" w:rsidRPr="003C3095" w:rsidRDefault="00284ED4" w:rsidP="00284ED4">
            <w:pPr>
              <w:jc w:val="center"/>
              <w:rPr>
                <w:rFonts w:asciiTheme="minorHAnsi" w:hAnsiTheme="minorHAnsi" w:cs="Arial"/>
                <w:sz w:val="22"/>
                <w:szCs w:val="22"/>
              </w:rPr>
            </w:pPr>
            <w:r>
              <w:rPr>
                <w:rFonts w:ascii="Calibri" w:hAnsi="Calibri"/>
                <w:color w:val="000000"/>
                <w:sz w:val="22"/>
                <w:szCs w:val="22"/>
              </w:rPr>
              <w:t>18.79</w:t>
            </w:r>
          </w:p>
        </w:tc>
        <w:tc>
          <w:tcPr>
            <w:tcW w:w="0" w:type="auto"/>
            <w:tcBorders>
              <w:top w:val="nil"/>
              <w:left w:val="nil"/>
              <w:bottom w:val="single" w:sz="8" w:space="0" w:color="auto"/>
              <w:right w:val="single" w:sz="8" w:space="0" w:color="auto"/>
            </w:tcBorders>
            <w:shd w:val="clear" w:color="auto" w:fill="auto"/>
            <w:noWrap/>
            <w:vAlign w:val="center"/>
            <w:hideMark/>
          </w:tcPr>
          <w:p w14:paraId="07DA981F" w14:textId="0847FDD1" w:rsidR="00284ED4" w:rsidRPr="003C3095" w:rsidRDefault="00284ED4" w:rsidP="00284ED4">
            <w:pPr>
              <w:jc w:val="center"/>
              <w:rPr>
                <w:rFonts w:asciiTheme="minorHAnsi" w:hAnsiTheme="minorHAnsi" w:cs="Arial"/>
                <w:sz w:val="22"/>
                <w:szCs w:val="22"/>
              </w:rPr>
            </w:pPr>
            <w:r>
              <w:rPr>
                <w:rFonts w:ascii="Calibri" w:hAnsi="Calibri"/>
                <w:color w:val="000000"/>
                <w:sz w:val="22"/>
                <w:szCs w:val="22"/>
              </w:rPr>
              <w:t>24.29</w:t>
            </w:r>
          </w:p>
        </w:tc>
        <w:tc>
          <w:tcPr>
            <w:tcW w:w="0" w:type="auto"/>
            <w:tcBorders>
              <w:top w:val="nil"/>
              <w:left w:val="nil"/>
              <w:bottom w:val="single" w:sz="8" w:space="0" w:color="auto"/>
              <w:right w:val="single" w:sz="8" w:space="0" w:color="auto"/>
            </w:tcBorders>
            <w:shd w:val="clear" w:color="auto" w:fill="auto"/>
            <w:noWrap/>
            <w:vAlign w:val="center"/>
            <w:hideMark/>
          </w:tcPr>
          <w:p w14:paraId="680A929C" w14:textId="6EFB167F" w:rsidR="00284ED4" w:rsidRPr="003C3095" w:rsidRDefault="00284ED4" w:rsidP="00284ED4">
            <w:pPr>
              <w:jc w:val="center"/>
              <w:rPr>
                <w:rFonts w:asciiTheme="minorHAnsi" w:hAnsiTheme="minorHAnsi" w:cs="Arial"/>
                <w:sz w:val="22"/>
                <w:szCs w:val="22"/>
              </w:rPr>
            </w:pPr>
            <w:r>
              <w:rPr>
                <w:rFonts w:ascii="Calibri" w:hAnsi="Calibri"/>
                <w:color w:val="000000"/>
                <w:sz w:val="22"/>
                <w:szCs w:val="22"/>
              </w:rPr>
              <w:t>30.06</w:t>
            </w:r>
          </w:p>
        </w:tc>
      </w:tr>
      <w:tr w:rsidR="001F3A39" w:rsidRPr="003C3095" w14:paraId="6D633A0B" w14:textId="77777777" w:rsidTr="00151114">
        <w:trPr>
          <w:trHeight w:val="387"/>
        </w:trPr>
        <w:tc>
          <w:tcPr>
            <w:tcW w:w="0" w:type="auto"/>
            <w:tcBorders>
              <w:top w:val="nil"/>
              <w:left w:val="single" w:sz="4" w:space="0" w:color="auto"/>
              <w:bottom w:val="single" w:sz="4" w:space="0" w:color="auto"/>
              <w:right w:val="single" w:sz="4" w:space="0" w:color="auto"/>
            </w:tcBorders>
            <w:shd w:val="clear" w:color="auto" w:fill="95B3D7" w:themeFill="accent1" w:themeFillTint="99"/>
            <w:noWrap/>
            <w:vAlign w:val="center"/>
            <w:hideMark/>
          </w:tcPr>
          <w:p w14:paraId="45DF1189" w14:textId="3649E2B7" w:rsidR="00E06740" w:rsidRPr="003C3095" w:rsidRDefault="00182E48" w:rsidP="00E06740">
            <w:pPr>
              <w:jc w:val="center"/>
              <w:rPr>
                <w:rFonts w:asciiTheme="minorHAnsi" w:hAnsiTheme="minorHAnsi" w:cs="Calibri"/>
                <w:b/>
                <w:color w:val="000000"/>
                <w:sz w:val="22"/>
                <w:szCs w:val="22"/>
              </w:rPr>
            </w:pPr>
            <w:r>
              <w:rPr>
                <w:rFonts w:asciiTheme="minorHAnsi" w:hAnsiTheme="minorHAnsi" w:cs="Calibri"/>
                <w:b/>
                <w:color w:val="000000"/>
                <w:sz w:val="22"/>
                <w:szCs w:val="22"/>
              </w:rPr>
              <w:t>7</w:t>
            </w:r>
          </w:p>
        </w:tc>
        <w:tc>
          <w:tcPr>
            <w:tcW w:w="0" w:type="auto"/>
            <w:tcBorders>
              <w:top w:val="nil"/>
              <w:left w:val="nil"/>
              <w:bottom w:val="single" w:sz="4" w:space="0" w:color="auto"/>
              <w:right w:val="single" w:sz="4" w:space="0" w:color="auto"/>
            </w:tcBorders>
            <w:shd w:val="clear" w:color="auto" w:fill="95B3D7" w:themeFill="accent1" w:themeFillTint="99"/>
            <w:noWrap/>
            <w:vAlign w:val="center"/>
            <w:hideMark/>
          </w:tcPr>
          <w:p w14:paraId="19B08C83" w14:textId="77777777" w:rsidR="00E06740" w:rsidRPr="003C3095" w:rsidRDefault="00E06740" w:rsidP="00E06740">
            <w:pPr>
              <w:rPr>
                <w:rFonts w:asciiTheme="minorHAnsi" w:hAnsiTheme="minorHAnsi" w:cs="Calibri"/>
                <w:b/>
                <w:color w:val="000000"/>
                <w:sz w:val="22"/>
                <w:szCs w:val="22"/>
              </w:rPr>
            </w:pPr>
            <w:r w:rsidRPr="003C3095">
              <w:rPr>
                <w:rFonts w:asciiTheme="minorHAnsi" w:hAnsiTheme="minorHAnsi" w:cs="Calibri"/>
                <w:b/>
                <w:color w:val="000000"/>
                <w:sz w:val="22"/>
                <w:szCs w:val="22"/>
              </w:rPr>
              <w:t xml:space="preserve">Total </w:t>
            </w:r>
          </w:p>
        </w:tc>
        <w:tc>
          <w:tcPr>
            <w:tcW w:w="0" w:type="auto"/>
            <w:tcBorders>
              <w:top w:val="nil"/>
              <w:left w:val="nil"/>
              <w:bottom w:val="single" w:sz="4" w:space="0" w:color="auto"/>
              <w:right w:val="single" w:sz="4" w:space="0" w:color="auto"/>
            </w:tcBorders>
            <w:shd w:val="clear" w:color="auto" w:fill="95B3D7" w:themeFill="accent1" w:themeFillTint="99"/>
            <w:noWrap/>
            <w:vAlign w:val="bottom"/>
            <w:hideMark/>
          </w:tcPr>
          <w:p w14:paraId="250B4BF8" w14:textId="77777777" w:rsidR="00E06740" w:rsidRPr="003C3095" w:rsidRDefault="00E06740" w:rsidP="00E06740">
            <w:pPr>
              <w:jc w:val="center"/>
              <w:rPr>
                <w:rFonts w:asciiTheme="minorHAnsi" w:hAnsiTheme="minorHAnsi" w:cs="Arial"/>
                <w:b/>
                <w:sz w:val="22"/>
                <w:szCs w:val="22"/>
              </w:rPr>
            </w:pPr>
            <w:r w:rsidRPr="003C3095">
              <w:rPr>
                <w:rFonts w:asciiTheme="minorHAnsi" w:hAnsiTheme="minorHAnsi" w:cs="Arial"/>
                <w:b/>
                <w:sz w:val="22"/>
                <w:szCs w:val="22"/>
              </w:rPr>
              <w:t>143.98</w:t>
            </w:r>
          </w:p>
        </w:tc>
        <w:tc>
          <w:tcPr>
            <w:tcW w:w="0" w:type="auto"/>
            <w:tcBorders>
              <w:top w:val="nil"/>
              <w:left w:val="nil"/>
              <w:bottom w:val="single" w:sz="4" w:space="0" w:color="auto"/>
              <w:right w:val="single" w:sz="4" w:space="0" w:color="auto"/>
            </w:tcBorders>
            <w:shd w:val="clear" w:color="auto" w:fill="95B3D7" w:themeFill="accent1" w:themeFillTint="99"/>
            <w:noWrap/>
            <w:vAlign w:val="bottom"/>
            <w:hideMark/>
          </w:tcPr>
          <w:p w14:paraId="3D6E1C6C" w14:textId="77777777" w:rsidR="00E06740" w:rsidRPr="003C3095" w:rsidRDefault="00E06740" w:rsidP="00E06740">
            <w:pPr>
              <w:jc w:val="center"/>
              <w:rPr>
                <w:rFonts w:asciiTheme="minorHAnsi" w:hAnsiTheme="minorHAnsi" w:cs="Arial"/>
                <w:b/>
                <w:sz w:val="22"/>
                <w:szCs w:val="22"/>
              </w:rPr>
            </w:pPr>
            <w:r w:rsidRPr="003C3095">
              <w:rPr>
                <w:rFonts w:asciiTheme="minorHAnsi" w:hAnsiTheme="minorHAnsi" w:cs="Arial"/>
                <w:b/>
                <w:sz w:val="22"/>
                <w:szCs w:val="22"/>
              </w:rPr>
              <w:t>82.09</w:t>
            </w:r>
          </w:p>
        </w:tc>
        <w:tc>
          <w:tcPr>
            <w:tcW w:w="0" w:type="auto"/>
            <w:tcBorders>
              <w:top w:val="nil"/>
              <w:left w:val="nil"/>
              <w:bottom w:val="single" w:sz="4" w:space="0" w:color="auto"/>
              <w:right w:val="single" w:sz="4" w:space="0" w:color="auto"/>
            </w:tcBorders>
            <w:shd w:val="clear" w:color="auto" w:fill="95B3D7" w:themeFill="accent1" w:themeFillTint="99"/>
            <w:noWrap/>
            <w:vAlign w:val="bottom"/>
            <w:hideMark/>
          </w:tcPr>
          <w:p w14:paraId="44451EF8" w14:textId="77777777" w:rsidR="00E06740" w:rsidRPr="003C3095" w:rsidRDefault="00E06740" w:rsidP="00E06740">
            <w:pPr>
              <w:jc w:val="center"/>
              <w:rPr>
                <w:rFonts w:asciiTheme="minorHAnsi" w:hAnsiTheme="minorHAnsi" w:cs="Arial"/>
                <w:b/>
                <w:sz w:val="22"/>
                <w:szCs w:val="22"/>
              </w:rPr>
            </w:pPr>
            <w:r w:rsidRPr="003C3095">
              <w:rPr>
                <w:rFonts w:asciiTheme="minorHAnsi" w:hAnsiTheme="minorHAnsi" w:cs="Arial"/>
                <w:b/>
                <w:sz w:val="22"/>
                <w:szCs w:val="22"/>
              </w:rPr>
              <w:t>162.08</w:t>
            </w:r>
          </w:p>
        </w:tc>
        <w:tc>
          <w:tcPr>
            <w:tcW w:w="0" w:type="auto"/>
            <w:tcBorders>
              <w:top w:val="nil"/>
              <w:left w:val="nil"/>
              <w:bottom w:val="single" w:sz="4" w:space="0" w:color="auto"/>
              <w:right w:val="single" w:sz="4" w:space="0" w:color="auto"/>
            </w:tcBorders>
            <w:shd w:val="clear" w:color="auto" w:fill="95B3D7" w:themeFill="accent1" w:themeFillTint="99"/>
            <w:noWrap/>
            <w:vAlign w:val="bottom"/>
            <w:hideMark/>
          </w:tcPr>
          <w:p w14:paraId="2AC1F1BA" w14:textId="77777777" w:rsidR="00E06740" w:rsidRPr="003C3095" w:rsidRDefault="00E06740" w:rsidP="00E06740">
            <w:pPr>
              <w:jc w:val="center"/>
              <w:rPr>
                <w:rFonts w:asciiTheme="minorHAnsi" w:hAnsiTheme="minorHAnsi" w:cs="Arial"/>
                <w:b/>
                <w:sz w:val="22"/>
                <w:szCs w:val="22"/>
              </w:rPr>
            </w:pPr>
            <w:r w:rsidRPr="003C3095">
              <w:rPr>
                <w:rFonts w:asciiTheme="minorHAnsi" w:hAnsiTheme="minorHAnsi" w:cs="Arial"/>
                <w:b/>
                <w:sz w:val="22"/>
                <w:szCs w:val="22"/>
              </w:rPr>
              <w:t>186.82</w:t>
            </w:r>
          </w:p>
        </w:tc>
      </w:tr>
    </w:tbl>
    <w:p w14:paraId="11801359" w14:textId="77777777" w:rsidR="006A7BDF" w:rsidRPr="006A7BDF" w:rsidRDefault="006A7BDF" w:rsidP="006A7BDF">
      <w:pPr>
        <w:rPr>
          <w:lang w:val="en-GB"/>
        </w:rPr>
      </w:pPr>
    </w:p>
    <w:p w14:paraId="12B6B129" w14:textId="334CAAFB" w:rsidR="00E06740" w:rsidRDefault="00E06740" w:rsidP="00E06740">
      <w:pPr>
        <w:pStyle w:val="Heading1"/>
        <w:spacing w:line="360" w:lineRule="auto"/>
        <w:ind w:left="567"/>
        <w:jc w:val="both"/>
        <w:rPr>
          <w:rFonts w:asciiTheme="minorHAnsi" w:hAnsiTheme="minorHAnsi" w:cstheme="minorHAnsi"/>
          <w:bCs w:val="0"/>
          <w:sz w:val="22"/>
          <w:szCs w:val="22"/>
        </w:rPr>
      </w:pPr>
      <w:r w:rsidRPr="00153204">
        <w:rPr>
          <w:rFonts w:asciiTheme="minorHAnsi" w:hAnsiTheme="minorHAnsi" w:cstheme="minorHAnsi"/>
          <w:sz w:val="22"/>
          <w:szCs w:val="22"/>
          <w:lang w:val="en-GB"/>
        </w:rPr>
        <w:t>The licensee has estimated A&amp;G expenses of Rs. 1</w:t>
      </w:r>
      <w:r>
        <w:rPr>
          <w:rFonts w:asciiTheme="minorHAnsi" w:hAnsiTheme="minorHAnsi" w:cstheme="minorHAnsi"/>
          <w:sz w:val="22"/>
          <w:szCs w:val="22"/>
          <w:lang w:val="en-GB"/>
        </w:rPr>
        <w:t>62.08</w:t>
      </w:r>
      <w:r w:rsidRPr="00153204">
        <w:rPr>
          <w:rFonts w:asciiTheme="minorHAnsi" w:hAnsiTheme="minorHAnsi" w:cstheme="minorHAnsi"/>
          <w:sz w:val="22"/>
          <w:szCs w:val="22"/>
          <w:lang w:val="en-GB"/>
        </w:rPr>
        <w:t xml:space="preserve"> </w:t>
      </w:r>
      <w:proofErr w:type="spellStart"/>
      <w:r w:rsidRPr="00153204">
        <w:rPr>
          <w:rFonts w:asciiTheme="minorHAnsi" w:hAnsiTheme="minorHAnsi" w:cstheme="minorHAnsi"/>
          <w:sz w:val="22"/>
          <w:szCs w:val="22"/>
          <w:lang w:val="en-GB"/>
        </w:rPr>
        <w:t>Crs</w:t>
      </w:r>
      <w:proofErr w:type="spellEnd"/>
      <w:r w:rsidRPr="00153204">
        <w:rPr>
          <w:rFonts w:asciiTheme="minorHAnsi" w:hAnsiTheme="minorHAnsi" w:cstheme="minorHAnsi"/>
          <w:sz w:val="22"/>
          <w:szCs w:val="22"/>
          <w:lang w:val="en-GB"/>
        </w:rPr>
        <w:t xml:space="preserve"> in the current FY 202</w:t>
      </w:r>
      <w:r>
        <w:rPr>
          <w:rFonts w:asciiTheme="minorHAnsi" w:hAnsiTheme="minorHAnsi" w:cstheme="minorHAnsi"/>
          <w:sz w:val="22"/>
          <w:szCs w:val="22"/>
          <w:lang w:val="en-GB"/>
        </w:rPr>
        <w:t>4</w:t>
      </w:r>
      <w:r w:rsidRPr="00153204">
        <w:rPr>
          <w:rFonts w:asciiTheme="minorHAnsi" w:hAnsiTheme="minorHAnsi" w:cstheme="minorHAnsi"/>
          <w:sz w:val="22"/>
          <w:szCs w:val="22"/>
          <w:lang w:val="en-GB"/>
        </w:rPr>
        <w:t>-2</w:t>
      </w:r>
      <w:r>
        <w:rPr>
          <w:rFonts w:asciiTheme="minorHAnsi" w:hAnsiTheme="minorHAnsi" w:cstheme="minorHAnsi"/>
          <w:sz w:val="22"/>
          <w:szCs w:val="22"/>
          <w:lang w:val="en-GB"/>
        </w:rPr>
        <w:t>5</w:t>
      </w:r>
      <w:r w:rsidRPr="00153204">
        <w:rPr>
          <w:rFonts w:asciiTheme="minorHAnsi" w:hAnsiTheme="minorHAnsi" w:cstheme="minorHAnsi"/>
          <w:sz w:val="22"/>
          <w:szCs w:val="22"/>
          <w:lang w:val="en-GB"/>
        </w:rPr>
        <w:t xml:space="preserve"> and Rs. 1</w:t>
      </w:r>
      <w:r>
        <w:rPr>
          <w:rFonts w:asciiTheme="minorHAnsi" w:hAnsiTheme="minorHAnsi" w:cstheme="minorHAnsi"/>
          <w:sz w:val="22"/>
          <w:szCs w:val="22"/>
          <w:lang w:val="en-GB"/>
        </w:rPr>
        <w:t>86.82</w:t>
      </w:r>
      <w:r w:rsidRPr="00153204">
        <w:rPr>
          <w:rFonts w:asciiTheme="minorHAnsi" w:hAnsiTheme="minorHAnsi" w:cstheme="minorHAnsi"/>
          <w:sz w:val="22"/>
          <w:szCs w:val="22"/>
          <w:lang w:val="en-GB"/>
        </w:rPr>
        <w:t xml:space="preserve"> </w:t>
      </w:r>
      <w:proofErr w:type="spellStart"/>
      <w:r w:rsidRPr="00153204">
        <w:rPr>
          <w:rFonts w:asciiTheme="minorHAnsi" w:hAnsiTheme="minorHAnsi" w:cstheme="minorHAnsi"/>
          <w:sz w:val="22"/>
          <w:szCs w:val="22"/>
          <w:lang w:val="en-GB"/>
        </w:rPr>
        <w:t>Crs</w:t>
      </w:r>
      <w:proofErr w:type="spellEnd"/>
      <w:r w:rsidRPr="00153204">
        <w:rPr>
          <w:rFonts w:asciiTheme="minorHAnsi" w:hAnsiTheme="minorHAnsi" w:cstheme="minorHAnsi"/>
          <w:sz w:val="22"/>
          <w:szCs w:val="22"/>
          <w:lang w:val="en-GB"/>
        </w:rPr>
        <w:t xml:space="preserve"> for the ensuing FY 202</w:t>
      </w:r>
      <w:r>
        <w:rPr>
          <w:rFonts w:asciiTheme="minorHAnsi" w:hAnsiTheme="minorHAnsi" w:cstheme="minorHAnsi"/>
          <w:sz w:val="22"/>
          <w:szCs w:val="22"/>
          <w:lang w:val="en-GB"/>
        </w:rPr>
        <w:t>5</w:t>
      </w:r>
      <w:r w:rsidRPr="00153204">
        <w:rPr>
          <w:rFonts w:asciiTheme="minorHAnsi" w:hAnsiTheme="minorHAnsi" w:cstheme="minorHAnsi"/>
          <w:sz w:val="22"/>
          <w:szCs w:val="22"/>
          <w:lang w:val="en-GB"/>
        </w:rPr>
        <w:t>-2</w:t>
      </w:r>
      <w:r>
        <w:rPr>
          <w:rFonts w:asciiTheme="minorHAnsi" w:hAnsiTheme="minorHAnsi" w:cstheme="minorHAnsi"/>
          <w:sz w:val="22"/>
          <w:szCs w:val="22"/>
          <w:lang w:val="en-GB"/>
        </w:rPr>
        <w:t>6</w:t>
      </w:r>
      <w:r w:rsidRPr="00153204">
        <w:rPr>
          <w:rFonts w:asciiTheme="minorHAnsi" w:hAnsiTheme="minorHAnsi" w:cstheme="minorHAnsi"/>
          <w:sz w:val="22"/>
          <w:szCs w:val="22"/>
          <w:lang w:val="en-GB"/>
        </w:rPr>
        <w:t xml:space="preserve"> </w:t>
      </w:r>
      <w:r w:rsidRPr="00153204">
        <w:rPr>
          <w:rFonts w:asciiTheme="minorHAnsi" w:hAnsiTheme="minorHAnsi" w:cstheme="minorHAnsi"/>
          <w:bCs w:val="0"/>
          <w:sz w:val="22"/>
          <w:szCs w:val="22"/>
        </w:rPr>
        <w:t>on the basis of actual commitments and vari</w:t>
      </w:r>
      <w:r>
        <w:rPr>
          <w:rFonts w:asciiTheme="minorHAnsi" w:hAnsiTheme="minorHAnsi" w:cstheme="minorHAnsi"/>
          <w:bCs w:val="0"/>
          <w:sz w:val="22"/>
          <w:szCs w:val="22"/>
        </w:rPr>
        <w:t xml:space="preserve">ous activities planned for FY </w:t>
      </w:r>
      <w:r w:rsidR="00151114">
        <w:rPr>
          <w:rFonts w:asciiTheme="minorHAnsi" w:hAnsiTheme="minorHAnsi" w:cstheme="minorHAnsi"/>
          <w:bCs w:val="0"/>
          <w:sz w:val="22"/>
          <w:szCs w:val="22"/>
        </w:rPr>
        <w:t>2025-</w:t>
      </w:r>
      <w:r>
        <w:rPr>
          <w:rFonts w:asciiTheme="minorHAnsi" w:hAnsiTheme="minorHAnsi" w:cstheme="minorHAnsi"/>
          <w:bCs w:val="0"/>
          <w:sz w:val="22"/>
          <w:szCs w:val="22"/>
        </w:rPr>
        <w:t>26</w:t>
      </w:r>
      <w:r w:rsidRPr="00153204">
        <w:rPr>
          <w:rFonts w:asciiTheme="minorHAnsi" w:hAnsiTheme="minorHAnsi" w:cstheme="minorHAnsi"/>
          <w:bCs w:val="0"/>
          <w:sz w:val="22"/>
          <w:szCs w:val="22"/>
        </w:rPr>
        <w:t xml:space="preserve"> for reducing the AT&amp;C loss and improve the performance standards, which may please be approved.</w:t>
      </w:r>
    </w:p>
    <w:p w14:paraId="2B216C57" w14:textId="779ADAC5" w:rsidR="003D5FB5" w:rsidRDefault="002F0A87" w:rsidP="00627B2A">
      <w:pPr>
        <w:pStyle w:val="Heading1"/>
        <w:spacing w:line="360" w:lineRule="auto"/>
        <w:jc w:val="both"/>
        <w:rPr>
          <w:rFonts w:asciiTheme="minorHAnsi" w:hAnsiTheme="minorHAnsi" w:cstheme="minorHAnsi"/>
          <w:sz w:val="22"/>
          <w:szCs w:val="22"/>
        </w:rPr>
      </w:pPr>
      <w:r w:rsidRPr="00153204">
        <w:rPr>
          <w:rFonts w:asciiTheme="minorHAnsi" w:hAnsiTheme="minorHAnsi" w:cstheme="minorHAnsi"/>
          <w:noProof/>
          <w:sz w:val="22"/>
          <w:szCs w:val="22"/>
          <w:lang w:val="en-IN" w:eastAsia="en-IN"/>
        </w:rPr>
        <mc:AlternateContent>
          <mc:Choice Requires="wps">
            <w:drawing>
              <wp:anchor distT="0" distB="0" distL="114300" distR="114300" simplePos="0" relativeHeight="251958784" behindDoc="1" locked="0" layoutInCell="1" allowOverlap="1" wp14:anchorId="0447B793" wp14:editId="26B614E3">
                <wp:simplePos x="0" y="0"/>
                <wp:positionH relativeFrom="margin">
                  <wp:posOffset>330200</wp:posOffset>
                </wp:positionH>
                <wp:positionV relativeFrom="paragraph">
                  <wp:posOffset>457200</wp:posOffset>
                </wp:positionV>
                <wp:extent cx="5543550" cy="314960"/>
                <wp:effectExtent l="0" t="0" r="19050" b="27940"/>
                <wp:wrapSquare wrapText="bothSides"/>
                <wp:docPr id="31" name="Rectangle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543550" cy="314960"/>
                        </a:xfrm>
                        <a:prstGeom prst="rect">
                          <a:avLst/>
                        </a:prstGeom>
                        <a:solidFill>
                          <a:srgbClr val="1F497D">
                            <a:lumMod val="20000"/>
                            <a:lumOff val="80000"/>
                          </a:srgbClr>
                        </a:solidFill>
                        <a:ln w="9525">
                          <a:solidFill>
                            <a:srgbClr val="000000"/>
                          </a:solidFill>
                          <a:miter lim="800000"/>
                          <a:headEnd/>
                          <a:tailEnd/>
                        </a:ln>
                      </wps:spPr>
                      <wps:txbx>
                        <w:txbxContent>
                          <w:p w14:paraId="03A5A48D" w14:textId="4FD944BD" w:rsidR="00535B24" w:rsidRPr="00E560A3" w:rsidRDefault="00535B24" w:rsidP="002F0A87">
                            <w:pPr>
                              <w:rPr>
                                <w:rFonts w:asciiTheme="minorHAnsi" w:hAnsiTheme="minorHAnsi" w:cstheme="minorHAnsi"/>
                                <w:b/>
                                <w:sz w:val="28"/>
                                <w:szCs w:val="28"/>
                                <w:lang w:val="en-IN"/>
                              </w:rPr>
                            </w:pPr>
                            <w:r w:rsidRPr="00E560A3">
                              <w:rPr>
                                <w:rFonts w:asciiTheme="minorHAnsi" w:hAnsiTheme="minorHAnsi" w:cstheme="minorHAnsi"/>
                                <w:b/>
                                <w:sz w:val="28"/>
                                <w:szCs w:val="28"/>
                                <w:lang w:val="en-IN"/>
                              </w:rPr>
                              <w:t>2</w:t>
                            </w:r>
                            <w:r>
                              <w:rPr>
                                <w:rFonts w:asciiTheme="minorHAnsi" w:hAnsiTheme="minorHAnsi" w:cstheme="minorHAnsi"/>
                                <w:b/>
                                <w:sz w:val="28"/>
                                <w:szCs w:val="28"/>
                                <w:lang w:val="en-IN"/>
                              </w:rPr>
                              <w:t xml:space="preserve">.7 Repair &amp; Maintenance </w:t>
                            </w:r>
                            <w:r w:rsidRPr="00564D41">
                              <w:rPr>
                                <w:rFonts w:asciiTheme="minorHAnsi" w:hAnsiTheme="minorHAnsi" w:cstheme="minorHAnsi"/>
                                <w:b/>
                                <w:sz w:val="28"/>
                                <w:szCs w:val="28"/>
                              </w:rPr>
                              <w:t>Expenses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447B793" id="_x0000_s1034" style="position:absolute;left:0;text-align:left;margin-left:26pt;margin-top:36pt;width:436.5pt;height:24.8pt;z-index:-25135769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" fillcolor="#c6d9f1">
                <v:textbox>
                  <w:txbxContent>
                    <w:p w14:paraId="03A5A48D" w14:textId="4FD944BD" w:rsidR="00535B24" w:rsidRPr="00E560A3" w:rsidRDefault="00535B24" w:rsidP="002F0A87">
                      <w:pPr>
                        <w:rPr>
                          <w:rFonts w:asciiTheme="minorHAnsi" w:hAnsiTheme="minorHAnsi" w:cstheme="minorHAnsi"/>
                          <w:b/>
                          <w:sz w:val="28"/>
                          <w:szCs w:val="28"/>
                          <w:lang w:val="en-IN"/>
                        </w:rPr>
                      </w:pPr>
                      <w:r w:rsidRPr="00E560A3">
                        <w:rPr>
                          <w:rFonts w:asciiTheme="minorHAnsi" w:hAnsiTheme="minorHAnsi" w:cstheme="minorHAnsi"/>
                          <w:b/>
                          <w:sz w:val="28"/>
                          <w:szCs w:val="28"/>
                          <w:lang w:val="en-IN"/>
                        </w:rPr>
                        <w:t>2</w:t>
                      </w:r>
                      <w:r>
                        <w:rPr>
                          <w:rFonts w:asciiTheme="minorHAnsi" w:hAnsiTheme="minorHAnsi" w:cstheme="minorHAnsi"/>
                          <w:b/>
                          <w:sz w:val="28"/>
                          <w:szCs w:val="28"/>
                          <w:lang w:val="en-IN"/>
                        </w:rPr>
                        <w:t xml:space="preserve">.7 Repair &amp; Maintenance </w:t>
                      </w:r>
                      <w:r w:rsidRPr="00564D41">
                        <w:rPr>
                          <w:rFonts w:asciiTheme="minorHAnsi" w:hAnsiTheme="minorHAnsi" w:cstheme="minorHAnsi"/>
                          <w:b/>
                          <w:sz w:val="28"/>
                          <w:szCs w:val="28"/>
                        </w:rPr>
                        <w:t>Expenses</w:t>
                      </w:r>
                    </w:p>
                  </w:txbxContent>
                </v:textbox>
                <w10:wrap type="square" anchorx="margin"/>
              </v:rect>
            </w:pict>
          </mc:Fallback>
        </mc:AlternateContent>
      </w:r>
    </w:p>
    <w:p w14:paraId="6A1F3AF2" w14:textId="73DE1D92" w:rsidR="000553FD" w:rsidRPr="00480682" w:rsidRDefault="00DB057F" w:rsidP="003D5FB5">
      <w:pPr>
        <w:pStyle w:val="Heading1"/>
        <w:spacing w:line="360" w:lineRule="auto"/>
        <w:ind w:left="567"/>
        <w:jc w:val="both"/>
        <w:rPr>
          <w:rFonts w:asciiTheme="minorHAnsi" w:hAnsiTheme="minorHAnsi" w:cstheme="minorHAnsi"/>
          <w:b w:val="0"/>
          <w:sz w:val="22"/>
          <w:szCs w:val="22"/>
        </w:rPr>
      </w:pPr>
      <w:r w:rsidRPr="00480682">
        <w:rPr>
          <w:rFonts w:asciiTheme="minorHAnsi" w:hAnsiTheme="minorHAnsi" w:cstheme="minorHAnsi"/>
          <w:b w:val="0"/>
          <w:sz w:val="22"/>
          <w:szCs w:val="22"/>
        </w:rPr>
        <w:t xml:space="preserve">Basing on the actual R&amp;M expenses incurred in the first six months of the current FY and the contracts /orders issued for network maintenance, the estimated expenditure for the current year has been worked out as </w:t>
      </w:r>
      <w:r w:rsidR="001A2772" w:rsidRPr="00480682">
        <w:rPr>
          <w:rFonts w:asciiTheme="minorHAnsi" w:hAnsiTheme="minorHAnsi" w:cstheme="minorHAnsi"/>
          <w:b w:val="0"/>
          <w:sz w:val="22"/>
          <w:szCs w:val="22"/>
        </w:rPr>
        <w:t>Rs.</w:t>
      </w:r>
      <w:r w:rsidR="000553FD" w:rsidRPr="00480682">
        <w:rPr>
          <w:rFonts w:asciiTheme="minorHAnsi" w:hAnsiTheme="minorHAnsi" w:cstheme="minorHAnsi"/>
          <w:b w:val="0"/>
          <w:sz w:val="22"/>
          <w:szCs w:val="22"/>
        </w:rPr>
        <w:t xml:space="preserve"> </w:t>
      </w:r>
      <w:r w:rsidR="002F0A87" w:rsidRPr="00480682">
        <w:rPr>
          <w:rFonts w:asciiTheme="minorHAnsi" w:hAnsiTheme="minorHAnsi" w:cstheme="minorHAnsi"/>
          <w:b w:val="0"/>
          <w:sz w:val="22"/>
          <w:szCs w:val="22"/>
        </w:rPr>
        <w:t>272.49</w:t>
      </w:r>
      <w:r w:rsidRPr="00480682">
        <w:rPr>
          <w:rFonts w:asciiTheme="minorHAnsi" w:hAnsiTheme="minorHAnsi" w:cstheme="minorHAnsi"/>
          <w:b w:val="0"/>
          <w:sz w:val="22"/>
          <w:szCs w:val="22"/>
        </w:rPr>
        <w:t xml:space="preserve"> and for the ensuing FY 202</w:t>
      </w:r>
      <w:r w:rsidR="002F0A87" w:rsidRPr="00480682">
        <w:rPr>
          <w:rFonts w:asciiTheme="minorHAnsi" w:hAnsiTheme="minorHAnsi" w:cstheme="minorHAnsi"/>
          <w:b w:val="0"/>
          <w:sz w:val="22"/>
          <w:szCs w:val="22"/>
        </w:rPr>
        <w:t>5</w:t>
      </w:r>
      <w:r w:rsidRPr="00480682">
        <w:rPr>
          <w:rFonts w:asciiTheme="minorHAnsi" w:hAnsiTheme="minorHAnsi" w:cstheme="minorHAnsi"/>
          <w:b w:val="0"/>
          <w:sz w:val="22"/>
          <w:szCs w:val="22"/>
        </w:rPr>
        <w:t>-</w:t>
      </w:r>
      <w:proofErr w:type="gramStart"/>
      <w:r w:rsidRPr="00480682">
        <w:rPr>
          <w:rFonts w:asciiTheme="minorHAnsi" w:hAnsiTheme="minorHAnsi" w:cstheme="minorHAnsi"/>
          <w:b w:val="0"/>
          <w:sz w:val="22"/>
          <w:szCs w:val="22"/>
        </w:rPr>
        <w:t>2</w:t>
      </w:r>
      <w:r w:rsidR="002F0A87" w:rsidRPr="00480682">
        <w:rPr>
          <w:rFonts w:asciiTheme="minorHAnsi" w:hAnsiTheme="minorHAnsi" w:cstheme="minorHAnsi"/>
          <w:b w:val="0"/>
          <w:sz w:val="22"/>
          <w:szCs w:val="22"/>
        </w:rPr>
        <w:t>6</w:t>
      </w:r>
      <w:r w:rsidRPr="00480682">
        <w:rPr>
          <w:rFonts w:asciiTheme="minorHAnsi" w:hAnsiTheme="minorHAnsi" w:cstheme="minorHAnsi"/>
          <w:b w:val="0"/>
          <w:sz w:val="22"/>
          <w:szCs w:val="22"/>
        </w:rPr>
        <w:t xml:space="preserve"> ,</w:t>
      </w:r>
      <w:proofErr w:type="gramEnd"/>
      <w:r w:rsidRPr="00480682">
        <w:rPr>
          <w:rFonts w:asciiTheme="minorHAnsi" w:hAnsiTheme="minorHAnsi" w:cstheme="minorHAnsi"/>
          <w:b w:val="0"/>
          <w:sz w:val="22"/>
          <w:szCs w:val="22"/>
        </w:rPr>
        <w:t xml:space="preserve"> </w:t>
      </w:r>
      <w:r w:rsidR="001A2772" w:rsidRPr="00480682">
        <w:rPr>
          <w:rFonts w:asciiTheme="minorHAnsi" w:hAnsiTheme="minorHAnsi" w:cstheme="minorHAnsi"/>
          <w:b w:val="0"/>
          <w:sz w:val="22"/>
          <w:szCs w:val="22"/>
        </w:rPr>
        <w:t>Rs.</w:t>
      </w:r>
      <w:r w:rsidR="000553FD" w:rsidRPr="00480682">
        <w:rPr>
          <w:rFonts w:asciiTheme="minorHAnsi" w:hAnsiTheme="minorHAnsi" w:cstheme="minorHAnsi"/>
          <w:b w:val="0"/>
          <w:sz w:val="22"/>
          <w:szCs w:val="22"/>
        </w:rPr>
        <w:t xml:space="preserve"> </w:t>
      </w:r>
      <w:r w:rsidR="002F0A87" w:rsidRPr="00480682">
        <w:rPr>
          <w:rFonts w:asciiTheme="minorHAnsi" w:hAnsiTheme="minorHAnsi" w:cstheme="minorHAnsi"/>
          <w:b w:val="0"/>
          <w:sz w:val="22"/>
          <w:szCs w:val="22"/>
        </w:rPr>
        <w:t>288.70</w:t>
      </w:r>
      <w:r w:rsidR="000553FD" w:rsidRPr="00480682">
        <w:rPr>
          <w:rFonts w:asciiTheme="minorHAnsi" w:hAnsiTheme="minorHAnsi" w:cstheme="minorHAnsi"/>
          <w:b w:val="0"/>
          <w:sz w:val="22"/>
          <w:szCs w:val="22"/>
        </w:rPr>
        <w:t xml:space="preserve"> </w:t>
      </w:r>
      <w:proofErr w:type="spellStart"/>
      <w:r w:rsidRPr="00480682">
        <w:rPr>
          <w:rFonts w:asciiTheme="minorHAnsi" w:hAnsiTheme="minorHAnsi" w:cstheme="minorHAnsi"/>
          <w:b w:val="0"/>
          <w:sz w:val="22"/>
          <w:szCs w:val="22"/>
        </w:rPr>
        <w:t>Crs</w:t>
      </w:r>
      <w:proofErr w:type="spellEnd"/>
      <w:r w:rsidRPr="00480682">
        <w:rPr>
          <w:rFonts w:asciiTheme="minorHAnsi" w:hAnsiTheme="minorHAnsi" w:cstheme="minorHAnsi"/>
          <w:b w:val="0"/>
          <w:sz w:val="22"/>
          <w:szCs w:val="22"/>
        </w:rPr>
        <w:t>.</w:t>
      </w:r>
      <w:r w:rsidR="006F5237" w:rsidRPr="00480682">
        <w:rPr>
          <w:rFonts w:asciiTheme="minorHAnsi" w:hAnsiTheme="minorHAnsi" w:cstheme="minorHAnsi"/>
          <w:b w:val="0"/>
          <w:sz w:val="22"/>
          <w:szCs w:val="22"/>
        </w:rPr>
        <w:t xml:space="preserve"> </w:t>
      </w:r>
      <w:r w:rsidRPr="00480682">
        <w:rPr>
          <w:rFonts w:asciiTheme="minorHAnsi" w:hAnsiTheme="minorHAnsi" w:cstheme="minorHAnsi"/>
          <w:b w:val="0"/>
          <w:sz w:val="22"/>
          <w:szCs w:val="22"/>
        </w:rPr>
        <w:t>The details are furnished in the following tabl</w:t>
      </w:r>
      <w:r w:rsidR="000553FD" w:rsidRPr="00480682">
        <w:rPr>
          <w:rFonts w:asciiTheme="minorHAnsi" w:hAnsiTheme="minorHAnsi" w:cstheme="minorHAnsi"/>
          <w:b w:val="0"/>
          <w:sz w:val="22"/>
          <w:szCs w:val="22"/>
        </w:rPr>
        <w:t>e.</w:t>
      </w:r>
    </w:p>
    <w:p w14:paraId="447CAE28" w14:textId="27E81DAC" w:rsidR="004B7CBF" w:rsidRPr="00153204" w:rsidRDefault="000553FD" w:rsidP="002334A3">
      <w:pPr>
        <w:pStyle w:val="BodyText2"/>
        <w:tabs>
          <w:tab w:val="left" w:pos="3544"/>
        </w:tabs>
        <w:spacing w:line="360" w:lineRule="auto"/>
        <w:ind w:left="426"/>
        <w:jc w:val="both"/>
        <w:rPr>
          <w:rFonts w:asciiTheme="minorHAnsi" w:hAnsiTheme="minorHAnsi" w:cstheme="minorHAnsi"/>
          <w:b/>
          <w:sz w:val="22"/>
          <w:szCs w:val="22"/>
          <w:lang w:val="en-GB"/>
        </w:rPr>
      </w:pPr>
      <w:r w:rsidRPr="00153204">
        <w:rPr>
          <w:rFonts w:asciiTheme="minorHAnsi" w:hAnsiTheme="minorHAnsi" w:cstheme="minorHAnsi"/>
          <w:sz w:val="22"/>
          <w:szCs w:val="22"/>
        </w:rPr>
        <w:t xml:space="preserve">                                 </w:t>
      </w:r>
      <w:r w:rsidR="004B17AF" w:rsidRPr="00153204">
        <w:rPr>
          <w:rFonts w:asciiTheme="minorHAnsi" w:hAnsiTheme="minorHAnsi" w:cstheme="minorHAnsi"/>
          <w:sz w:val="22"/>
          <w:szCs w:val="22"/>
        </w:rPr>
        <w:t xml:space="preserve">   </w:t>
      </w:r>
      <w:r w:rsidRPr="00153204">
        <w:rPr>
          <w:rFonts w:asciiTheme="minorHAnsi" w:hAnsiTheme="minorHAnsi" w:cstheme="minorHAnsi"/>
          <w:sz w:val="22"/>
          <w:szCs w:val="22"/>
        </w:rPr>
        <w:t xml:space="preserve">   </w:t>
      </w:r>
      <w:r w:rsidR="00767C89" w:rsidRPr="00153204">
        <w:rPr>
          <w:rFonts w:asciiTheme="minorHAnsi" w:hAnsiTheme="minorHAnsi" w:cstheme="minorHAnsi"/>
          <w:sz w:val="22"/>
          <w:szCs w:val="22"/>
        </w:rPr>
        <w:t xml:space="preserve"> </w:t>
      </w:r>
      <w:r w:rsidRPr="00153204">
        <w:rPr>
          <w:rFonts w:asciiTheme="minorHAnsi" w:hAnsiTheme="minorHAnsi" w:cstheme="minorHAnsi"/>
          <w:sz w:val="22"/>
          <w:szCs w:val="22"/>
        </w:rPr>
        <w:t xml:space="preserve"> </w:t>
      </w:r>
      <w:r w:rsidR="00767C89" w:rsidRPr="00153204">
        <w:rPr>
          <w:rFonts w:asciiTheme="minorHAnsi" w:hAnsiTheme="minorHAnsi" w:cstheme="minorHAnsi"/>
          <w:sz w:val="22"/>
          <w:szCs w:val="22"/>
        </w:rPr>
        <w:t xml:space="preserve">                         </w:t>
      </w:r>
      <w:r w:rsidR="005F6ACB" w:rsidRPr="00153204">
        <w:rPr>
          <w:rFonts w:asciiTheme="minorHAnsi" w:hAnsiTheme="minorHAnsi" w:cstheme="minorHAnsi"/>
          <w:b/>
          <w:sz w:val="22"/>
          <w:szCs w:val="22"/>
        </w:rPr>
        <w:t>Table-1</w:t>
      </w:r>
      <w:r w:rsidR="002E7AC9">
        <w:rPr>
          <w:rFonts w:asciiTheme="minorHAnsi" w:hAnsiTheme="minorHAnsi" w:cstheme="minorHAnsi"/>
          <w:b/>
          <w:sz w:val="22"/>
          <w:szCs w:val="22"/>
        </w:rPr>
        <w:t>8</w:t>
      </w:r>
      <w:r w:rsidR="009F21A0" w:rsidRPr="00153204">
        <w:rPr>
          <w:rFonts w:asciiTheme="minorHAnsi" w:hAnsiTheme="minorHAnsi" w:cstheme="minorHAnsi"/>
          <w:b/>
          <w:sz w:val="22"/>
          <w:szCs w:val="22"/>
        </w:rPr>
        <w:t xml:space="preserve">: </w:t>
      </w:r>
      <w:r w:rsidR="00B978E4" w:rsidRPr="00153204">
        <w:rPr>
          <w:rFonts w:asciiTheme="minorHAnsi" w:hAnsiTheme="minorHAnsi" w:cstheme="minorHAnsi"/>
          <w:b/>
          <w:sz w:val="22"/>
          <w:szCs w:val="22"/>
        </w:rPr>
        <w:t>R&amp;M Expenses</w:t>
      </w:r>
      <w:r w:rsidR="004B7CBF" w:rsidRPr="00153204">
        <w:rPr>
          <w:rFonts w:asciiTheme="minorHAnsi" w:hAnsiTheme="minorHAnsi" w:cstheme="minorHAnsi"/>
          <w:sz w:val="22"/>
          <w:szCs w:val="22"/>
        </w:rPr>
        <w:t xml:space="preserve">                 </w:t>
      </w:r>
      <w:r w:rsidRPr="00153204">
        <w:rPr>
          <w:rFonts w:asciiTheme="minorHAnsi" w:hAnsiTheme="minorHAnsi" w:cstheme="minorHAnsi"/>
          <w:sz w:val="22"/>
          <w:szCs w:val="22"/>
        </w:rPr>
        <w:t xml:space="preserve">                 </w:t>
      </w:r>
      <w:proofErr w:type="gramStart"/>
      <w:r w:rsidRPr="00153204">
        <w:rPr>
          <w:rFonts w:asciiTheme="minorHAnsi" w:hAnsiTheme="minorHAnsi" w:cstheme="minorHAnsi"/>
          <w:sz w:val="22"/>
          <w:szCs w:val="22"/>
        </w:rPr>
        <w:t xml:space="preserve">   </w:t>
      </w:r>
      <w:r w:rsidR="004B7CBF" w:rsidRPr="00153204">
        <w:rPr>
          <w:rFonts w:asciiTheme="minorHAnsi" w:hAnsiTheme="minorHAnsi" w:cstheme="minorHAnsi"/>
          <w:b/>
          <w:sz w:val="22"/>
          <w:szCs w:val="22"/>
          <w:lang w:val="en-GB"/>
        </w:rPr>
        <w:t>(</w:t>
      </w:r>
      <w:proofErr w:type="gramEnd"/>
      <w:r w:rsidR="004B7CBF" w:rsidRPr="00153204">
        <w:rPr>
          <w:rFonts w:asciiTheme="minorHAnsi" w:hAnsiTheme="minorHAnsi" w:cstheme="minorHAnsi"/>
          <w:b/>
          <w:sz w:val="22"/>
          <w:szCs w:val="22"/>
          <w:lang w:val="en-GB"/>
        </w:rPr>
        <w:t xml:space="preserve"> In </w:t>
      </w:r>
      <w:r w:rsidR="001A2772" w:rsidRPr="00153204">
        <w:rPr>
          <w:rFonts w:asciiTheme="minorHAnsi" w:hAnsiTheme="minorHAnsi" w:cstheme="minorHAnsi"/>
          <w:b/>
          <w:sz w:val="22"/>
          <w:szCs w:val="22"/>
          <w:lang w:val="en-GB"/>
        </w:rPr>
        <w:t>Rs.</w:t>
      </w:r>
      <w:r w:rsidR="004B7CBF" w:rsidRPr="00153204">
        <w:rPr>
          <w:rFonts w:asciiTheme="minorHAnsi" w:hAnsiTheme="minorHAnsi" w:cstheme="minorHAnsi"/>
          <w:b/>
          <w:sz w:val="22"/>
          <w:szCs w:val="22"/>
          <w:lang w:val="en-GB"/>
        </w:rPr>
        <w:t xml:space="preserve"> </w:t>
      </w:r>
      <w:proofErr w:type="spellStart"/>
      <w:r w:rsidR="004B7CBF" w:rsidRPr="00153204">
        <w:rPr>
          <w:rFonts w:asciiTheme="minorHAnsi" w:hAnsiTheme="minorHAnsi" w:cstheme="minorHAnsi"/>
          <w:b/>
          <w:sz w:val="22"/>
          <w:szCs w:val="22"/>
          <w:lang w:val="en-GB"/>
        </w:rPr>
        <w:t>Crs</w:t>
      </w:r>
      <w:proofErr w:type="spellEnd"/>
      <w:r w:rsidR="004B7CBF" w:rsidRPr="00153204">
        <w:rPr>
          <w:rFonts w:asciiTheme="minorHAnsi" w:hAnsiTheme="minorHAnsi" w:cstheme="minorHAnsi"/>
          <w:b/>
          <w:sz w:val="22"/>
          <w:szCs w:val="22"/>
          <w:lang w:val="en-GB"/>
        </w:rPr>
        <w:t>)</w:t>
      </w:r>
    </w:p>
    <w:tbl>
      <w:tblPr>
        <w:tblW w:w="9114" w:type="dxa"/>
        <w:tblInd w:w="562" w:type="dxa"/>
        <w:tblLook w:val="04A0" w:firstRow="1" w:lastRow="0" w:firstColumn="1" w:lastColumn="0" w:noHBand="0" w:noVBand="1"/>
      </w:tblPr>
      <w:tblGrid>
        <w:gridCol w:w="2701"/>
        <w:gridCol w:w="1486"/>
        <w:gridCol w:w="1625"/>
        <w:gridCol w:w="1481"/>
        <w:gridCol w:w="1821"/>
      </w:tblGrid>
      <w:tr w:rsidR="002E7AC9" w:rsidRPr="00627B2A" w14:paraId="3D3D26F7" w14:textId="77777777" w:rsidTr="002E7AC9">
        <w:trPr>
          <w:trHeight w:val="1062"/>
        </w:trPr>
        <w:tc>
          <w:tcPr>
            <w:tcW w:w="2701" w:type="dxa"/>
            <w:tcBorders>
              <w:top w:val="single" w:sz="4" w:space="0" w:color="auto"/>
              <w:left w:val="single" w:sz="4" w:space="0" w:color="auto"/>
              <w:bottom w:val="single" w:sz="4" w:space="0" w:color="auto"/>
              <w:right w:val="single" w:sz="4" w:space="0" w:color="auto"/>
            </w:tcBorders>
            <w:shd w:val="clear" w:color="000000" w:fill="95B3D7"/>
            <w:noWrap/>
            <w:vAlign w:val="center"/>
            <w:hideMark/>
          </w:tcPr>
          <w:p w14:paraId="00C18E37" w14:textId="77777777" w:rsidR="002E7AC9" w:rsidRPr="00627B2A" w:rsidRDefault="002E7AC9" w:rsidP="002E7AC9">
            <w:pPr>
              <w:jc w:val="center"/>
              <w:rPr>
                <w:rFonts w:asciiTheme="minorHAnsi" w:hAnsiTheme="minorHAnsi" w:cstheme="minorHAnsi"/>
                <w:b/>
                <w:bCs/>
                <w:sz w:val="22"/>
                <w:szCs w:val="22"/>
                <w:lang w:val="en-IN" w:eastAsia="en-IN"/>
              </w:rPr>
            </w:pPr>
            <w:r w:rsidRPr="00627B2A">
              <w:rPr>
                <w:rFonts w:asciiTheme="minorHAnsi" w:hAnsiTheme="minorHAnsi" w:cstheme="minorHAnsi"/>
                <w:b/>
                <w:bCs/>
                <w:sz w:val="22"/>
                <w:szCs w:val="22"/>
              </w:rPr>
              <w:t>Particulars</w:t>
            </w:r>
          </w:p>
        </w:tc>
        <w:tc>
          <w:tcPr>
            <w:tcW w:w="1486" w:type="dxa"/>
            <w:tcBorders>
              <w:top w:val="single" w:sz="4" w:space="0" w:color="auto"/>
              <w:left w:val="nil"/>
              <w:bottom w:val="single" w:sz="4" w:space="0" w:color="auto"/>
              <w:right w:val="single" w:sz="4" w:space="0" w:color="auto"/>
            </w:tcBorders>
            <w:shd w:val="clear" w:color="000000" w:fill="95B3D7"/>
            <w:vAlign w:val="center"/>
            <w:hideMark/>
          </w:tcPr>
          <w:p w14:paraId="5E420823" w14:textId="77777777" w:rsidR="002E7AC9" w:rsidRDefault="002E7AC9" w:rsidP="002E7AC9">
            <w:pPr>
              <w:jc w:val="center"/>
              <w:rPr>
                <w:rFonts w:asciiTheme="minorHAnsi" w:hAnsiTheme="minorHAnsi" w:cs="Calibri"/>
                <w:b/>
                <w:bCs/>
                <w:color w:val="000000"/>
                <w:sz w:val="22"/>
                <w:szCs w:val="22"/>
              </w:rPr>
            </w:pPr>
            <w:r>
              <w:rPr>
                <w:rFonts w:asciiTheme="minorHAnsi" w:hAnsiTheme="minorHAnsi" w:cs="Calibri"/>
                <w:b/>
                <w:bCs/>
                <w:color w:val="000000"/>
                <w:sz w:val="22"/>
                <w:szCs w:val="22"/>
              </w:rPr>
              <w:t>FY 2023-24</w:t>
            </w:r>
          </w:p>
          <w:p w14:paraId="1C79782C" w14:textId="263F0DD1" w:rsidR="002E7AC9" w:rsidRPr="00627B2A" w:rsidRDefault="002E7AC9" w:rsidP="002E7AC9">
            <w:pPr>
              <w:jc w:val="center"/>
              <w:rPr>
                <w:rFonts w:asciiTheme="minorHAnsi" w:hAnsiTheme="minorHAnsi" w:cstheme="minorHAnsi"/>
                <w:b/>
                <w:bCs/>
                <w:sz w:val="22"/>
                <w:szCs w:val="22"/>
              </w:rPr>
            </w:pPr>
            <w:r>
              <w:rPr>
                <w:rFonts w:asciiTheme="minorHAnsi" w:hAnsiTheme="minorHAnsi" w:cs="Calibri"/>
                <w:b/>
                <w:bCs/>
                <w:color w:val="000000"/>
                <w:sz w:val="22"/>
                <w:szCs w:val="22"/>
              </w:rPr>
              <w:t>(Actual)</w:t>
            </w:r>
          </w:p>
        </w:tc>
        <w:tc>
          <w:tcPr>
            <w:tcW w:w="1625" w:type="dxa"/>
            <w:tcBorders>
              <w:top w:val="single" w:sz="4" w:space="0" w:color="auto"/>
              <w:left w:val="nil"/>
              <w:bottom w:val="single" w:sz="4" w:space="0" w:color="auto"/>
              <w:right w:val="single" w:sz="4" w:space="0" w:color="auto"/>
            </w:tcBorders>
            <w:shd w:val="clear" w:color="000000" w:fill="95B3D7"/>
            <w:vAlign w:val="center"/>
            <w:hideMark/>
          </w:tcPr>
          <w:p w14:paraId="4F560903" w14:textId="77777777" w:rsidR="002E7AC9" w:rsidRDefault="002E7AC9" w:rsidP="002E7AC9">
            <w:pPr>
              <w:jc w:val="center"/>
              <w:rPr>
                <w:rFonts w:asciiTheme="minorHAnsi" w:hAnsiTheme="minorHAnsi" w:cs="Calibri"/>
                <w:b/>
                <w:bCs/>
                <w:color w:val="000000"/>
                <w:sz w:val="22"/>
                <w:szCs w:val="22"/>
              </w:rPr>
            </w:pPr>
            <w:r>
              <w:rPr>
                <w:rFonts w:asciiTheme="minorHAnsi" w:hAnsiTheme="minorHAnsi" w:cs="Calibri"/>
                <w:b/>
                <w:bCs/>
                <w:color w:val="000000"/>
                <w:sz w:val="22"/>
                <w:szCs w:val="22"/>
              </w:rPr>
              <w:t xml:space="preserve">FY 2024-25 H1 </w:t>
            </w:r>
          </w:p>
          <w:p w14:paraId="7B03FF8E" w14:textId="32A4A244" w:rsidR="002E7AC9" w:rsidRPr="00627B2A" w:rsidRDefault="002E7AC9" w:rsidP="002E7AC9">
            <w:pPr>
              <w:jc w:val="center"/>
              <w:rPr>
                <w:rFonts w:asciiTheme="minorHAnsi" w:hAnsiTheme="minorHAnsi" w:cstheme="minorHAnsi"/>
                <w:b/>
                <w:bCs/>
                <w:sz w:val="22"/>
                <w:szCs w:val="22"/>
              </w:rPr>
            </w:pPr>
            <w:r>
              <w:rPr>
                <w:rFonts w:asciiTheme="minorHAnsi" w:hAnsiTheme="minorHAnsi" w:cs="Calibri"/>
                <w:b/>
                <w:bCs/>
                <w:color w:val="000000"/>
                <w:sz w:val="22"/>
                <w:szCs w:val="22"/>
              </w:rPr>
              <w:t>(Actual)</w:t>
            </w:r>
          </w:p>
        </w:tc>
        <w:tc>
          <w:tcPr>
            <w:tcW w:w="1481" w:type="dxa"/>
            <w:tcBorders>
              <w:top w:val="single" w:sz="4" w:space="0" w:color="auto"/>
              <w:left w:val="nil"/>
              <w:bottom w:val="single" w:sz="4" w:space="0" w:color="auto"/>
              <w:right w:val="single" w:sz="4" w:space="0" w:color="auto"/>
            </w:tcBorders>
            <w:shd w:val="clear" w:color="000000" w:fill="95B3D7"/>
            <w:vAlign w:val="center"/>
            <w:hideMark/>
          </w:tcPr>
          <w:p w14:paraId="075002E9" w14:textId="77777777" w:rsidR="002E7AC9" w:rsidRDefault="002E7AC9" w:rsidP="002E7AC9">
            <w:pPr>
              <w:jc w:val="center"/>
              <w:rPr>
                <w:rFonts w:asciiTheme="minorHAnsi" w:hAnsiTheme="minorHAnsi" w:cs="Calibri"/>
                <w:b/>
                <w:bCs/>
                <w:color w:val="000000"/>
                <w:sz w:val="22"/>
                <w:szCs w:val="22"/>
              </w:rPr>
            </w:pPr>
            <w:r w:rsidRPr="003C3095">
              <w:rPr>
                <w:rFonts w:asciiTheme="minorHAnsi" w:hAnsiTheme="minorHAnsi" w:cs="Calibri"/>
                <w:b/>
                <w:bCs/>
                <w:color w:val="000000"/>
                <w:sz w:val="22"/>
                <w:szCs w:val="22"/>
              </w:rPr>
              <w:t>FY 2024-25</w:t>
            </w:r>
          </w:p>
          <w:p w14:paraId="636FF28B" w14:textId="238C5187" w:rsidR="002E7AC9" w:rsidRPr="00627B2A" w:rsidRDefault="002E7AC9" w:rsidP="002E7AC9">
            <w:pPr>
              <w:jc w:val="center"/>
              <w:rPr>
                <w:rFonts w:asciiTheme="minorHAnsi" w:hAnsiTheme="minorHAnsi" w:cstheme="minorHAnsi"/>
                <w:b/>
                <w:bCs/>
                <w:sz w:val="22"/>
                <w:szCs w:val="22"/>
              </w:rPr>
            </w:pPr>
            <w:r>
              <w:rPr>
                <w:rFonts w:asciiTheme="minorHAnsi" w:hAnsiTheme="minorHAnsi" w:cs="Calibri"/>
                <w:b/>
                <w:bCs/>
                <w:color w:val="000000"/>
                <w:sz w:val="22"/>
                <w:szCs w:val="22"/>
              </w:rPr>
              <w:t>(Projected)</w:t>
            </w:r>
          </w:p>
        </w:tc>
        <w:tc>
          <w:tcPr>
            <w:tcW w:w="1821" w:type="dxa"/>
            <w:tcBorders>
              <w:top w:val="single" w:sz="4" w:space="0" w:color="auto"/>
              <w:left w:val="nil"/>
              <w:bottom w:val="single" w:sz="4" w:space="0" w:color="auto"/>
              <w:right w:val="single" w:sz="4" w:space="0" w:color="auto"/>
            </w:tcBorders>
            <w:shd w:val="clear" w:color="000000" w:fill="95B3D7"/>
            <w:vAlign w:val="center"/>
            <w:hideMark/>
          </w:tcPr>
          <w:p w14:paraId="4E0139D6" w14:textId="77777777" w:rsidR="002E7AC9" w:rsidRDefault="002E7AC9" w:rsidP="002E7AC9">
            <w:pPr>
              <w:jc w:val="center"/>
              <w:rPr>
                <w:rFonts w:asciiTheme="minorHAnsi" w:hAnsiTheme="minorHAnsi" w:cs="Calibri"/>
                <w:b/>
                <w:bCs/>
                <w:color w:val="000000"/>
                <w:sz w:val="22"/>
                <w:szCs w:val="22"/>
              </w:rPr>
            </w:pPr>
            <w:r w:rsidRPr="003C3095">
              <w:rPr>
                <w:rFonts w:asciiTheme="minorHAnsi" w:hAnsiTheme="minorHAnsi" w:cs="Calibri"/>
                <w:b/>
                <w:bCs/>
                <w:color w:val="000000"/>
                <w:sz w:val="22"/>
                <w:szCs w:val="22"/>
              </w:rPr>
              <w:t>FY 2025-26</w:t>
            </w:r>
            <w:r>
              <w:rPr>
                <w:rFonts w:asciiTheme="minorHAnsi" w:hAnsiTheme="minorHAnsi" w:cs="Calibri"/>
                <w:b/>
                <w:bCs/>
                <w:color w:val="000000"/>
                <w:sz w:val="22"/>
                <w:szCs w:val="22"/>
              </w:rPr>
              <w:t xml:space="preserve"> </w:t>
            </w:r>
          </w:p>
          <w:p w14:paraId="58B89BC8" w14:textId="20149A5D" w:rsidR="002E7AC9" w:rsidRPr="00627B2A" w:rsidRDefault="002E7AC9" w:rsidP="002E7AC9">
            <w:pPr>
              <w:jc w:val="center"/>
              <w:rPr>
                <w:rFonts w:asciiTheme="minorHAnsi" w:hAnsiTheme="minorHAnsi" w:cstheme="minorHAnsi"/>
                <w:b/>
                <w:bCs/>
                <w:sz w:val="22"/>
                <w:szCs w:val="22"/>
              </w:rPr>
            </w:pPr>
            <w:r>
              <w:rPr>
                <w:rFonts w:asciiTheme="minorHAnsi" w:hAnsiTheme="minorHAnsi" w:cs="Calibri"/>
                <w:b/>
                <w:bCs/>
                <w:color w:val="000000"/>
                <w:sz w:val="22"/>
                <w:szCs w:val="22"/>
              </w:rPr>
              <w:t>(Projection)</w:t>
            </w:r>
          </w:p>
        </w:tc>
      </w:tr>
      <w:tr w:rsidR="002F0A87" w:rsidRPr="00627B2A" w14:paraId="7AC7535E" w14:textId="77777777" w:rsidTr="002E7AC9">
        <w:trPr>
          <w:trHeight w:val="413"/>
        </w:trPr>
        <w:tc>
          <w:tcPr>
            <w:tcW w:w="2701" w:type="dxa"/>
            <w:tcBorders>
              <w:top w:val="nil"/>
              <w:left w:val="single" w:sz="4" w:space="0" w:color="auto"/>
              <w:bottom w:val="single" w:sz="4" w:space="0" w:color="auto"/>
              <w:right w:val="single" w:sz="4" w:space="0" w:color="auto"/>
            </w:tcBorders>
            <w:shd w:val="clear" w:color="auto" w:fill="auto"/>
            <w:noWrap/>
            <w:vAlign w:val="center"/>
            <w:hideMark/>
          </w:tcPr>
          <w:p w14:paraId="6E0CAD5E" w14:textId="77777777" w:rsidR="002F0A87" w:rsidRPr="00627B2A" w:rsidRDefault="002F0A87">
            <w:pPr>
              <w:rPr>
                <w:rFonts w:asciiTheme="minorHAnsi" w:hAnsiTheme="minorHAnsi" w:cstheme="minorHAnsi"/>
                <w:color w:val="000000"/>
                <w:sz w:val="22"/>
                <w:szCs w:val="22"/>
              </w:rPr>
            </w:pPr>
            <w:r w:rsidRPr="00627B2A">
              <w:rPr>
                <w:rFonts w:asciiTheme="minorHAnsi" w:hAnsiTheme="minorHAnsi" w:cstheme="minorHAnsi"/>
                <w:color w:val="000000"/>
                <w:sz w:val="22"/>
                <w:szCs w:val="22"/>
              </w:rPr>
              <w:t>Civil repairs &amp; maintenance</w:t>
            </w:r>
          </w:p>
        </w:tc>
        <w:tc>
          <w:tcPr>
            <w:tcW w:w="1486" w:type="dxa"/>
            <w:tcBorders>
              <w:top w:val="nil"/>
              <w:left w:val="nil"/>
              <w:bottom w:val="single" w:sz="4" w:space="0" w:color="auto"/>
              <w:right w:val="single" w:sz="4" w:space="0" w:color="auto"/>
            </w:tcBorders>
            <w:shd w:val="clear" w:color="auto" w:fill="auto"/>
            <w:noWrap/>
            <w:vAlign w:val="center"/>
            <w:hideMark/>
          </w:tcPr>
          <w:p w14:paraId="7763CE9B" w14:textId="77777777" w:rsidR="002F0A87" w:rsidRPr="00627B2A" w:rsidRDefault="002F0A87" w:rsidP="002F0A87">
            <w:pPr>
              <w:jc w:val="center"/>
              <w:rPr>
                <w:rFonts w:asciiTheme="minorHAnsi" w:hAnsiTheme="minorHAnsi" w:cstheme="minorHAnsi"/>
                <w:sz w:val="22"/>
                <w:szCs w:val="22"/>
              </w:rPr>
            </w:pPr>
            <w:r w:rsidRPr="00627B2A">
              <w:rPr>
                <w:rFonts w:asciiTheme="minorHAnsi" w:hAnsiTheme="minorHAnsi" w:cstheme="minorHAnsi"/>
                <w:sz w:val="22"/>
                <w:szCs w:val="22"/>
              </w:rPr>
              <w:t>1.33</w:t>
            </w:r>
          </w:p>
        </w:tc>
        <w:tc>
          <w:tcPr>
            <w:tcW w:w="1625" w:type="dxa"/>
            <w:tcBorders>
              <w:top w:val="nil"/>
              <w:left w:val="nil"/>
              <w:bottom w:val="single" w:sz="4" w:space="0" w:color="auto"/>
              <w:right w:val="single" w:sz="4" w:space="0" w:color="auto"/>
            </w:tcBorders>
            <w:shd w:val="clear" w:color="auto" w:fill="auto"/>
            <w:noWrap/>
            <w:vAlign w:val="center"/>
            <w:hideMark/>
          </w:tcPr>
          <w:p w14:paraId="4AF9FA08" w14:textId="77777777" w:rsidR="002F0A87" w:rsidRPr="00627B2A" w:rsidRDefault="002F0A87" w:rsidP="002F0A87">
            <w:pPr>
              <w:jc w:val="center"/>
              <w:rPr>
                <w:rFonts w:asciiTheme="minorHAnsi" w:hAnsiTheme="minorHAnsi" w:cstheme="minorHAnsi"/>
                <w:sz w:val="22"/>
                <w:szCs w:val="22"/>
              </w:rPr>
            </w:pPr>
            <w:r w:rsidRPr="00627B2A">
              <w:rPr>
                <w:rFonts w:asciiTheme="minorHAnsi" w:hAnsiTheme="minorHAnsi" w:cstheme="minorHAnsi"/>
                <w:sz w:val="22"/>
                <w:szCs w:val="22"/>
              </w:rPr>
              <w:t>0.74</w:t>
            </w:r>
          </w:p>
        </w:tc>
        <w:tc>
          <w:tcPr>
            <w:tcW w:w="1481" w:type="dxa"/>
            <w:tcBorders>
              <w:top w:val="nil"/>
              <w:left w:val="nil"/>
              <w:bottom w:val="single" w:sz="4" w:space="0" w:color="auto"/>
              <w:right w:val="single" w:sz="4" w:space="0" w:color="auto"/>
            </w:tcBorders>
            <w:shd w:val="clear" w:color="auto" w:fill="auto"/>
            <w:noWrap/>
            <w:vAlign w:val="center"/>
            <w:hideMark/>
          </w:tcPr>
          <w:p w14:paraId="72F9EA22" w14:textId="77777777" w:rsidR="002F0A87" w:rsidRPr="00627B2A" w:rsidRDefault="002F0A87" w:rsidP="002F0A87">
            <w:pPr>
              <w:jc w:val="center"/>
              <w:rPr>
                <w:rFonts w:asciiTheme="minorHAnsi" w:hAnsiTheme="minorHAnsi" w:cstheme="minorHAnsi"/>
                <w:sz w:val="22"/>
                <w:szCs w:val="22"/>
              </w:rPr>
            </w:pPr>
            <w:r w:rsidRPr="00627B2A">
              <w:rPr>
                <w:rFonts w:asciiTheme="minorHAnsi" w:hAnsiTheme="minorHAnsi" w:cstheme="minorHAnsi"/>
                <w:sz w:val="22"/>
                <w:szCs w:val="22"/>
              </w:rPr>
              <w:t>1.50</w:t>
            </w:r>
          </w:p>
        </w:tc>
        <w:tc>
          <w:tcPr>
            <w:tcW w:w="1821" w:type="dxa"/>
            <w:tcBorders>
              <w:top w:val="nil"/>
              <w:left w:val="nil"/>
              <w:bottom w:val="single" w:sz="4" w:space="0" w:color="auto"/>
              <w:right w:val="single" w:sz="4" w:space="0" w:color="auto"/>
            </w:tcBorders>
            <w:shd w:val="clear" w:color="auto" w:fill="auto"/>
            <w:noWrap/>
            <w:vAlign w:val="center"/>
            <w:hideMark/>
          </w:tcPr>
          <w:p w14:paraId="78980366" w14:textId="77777777" w:rsidR="002F0A87" w:rsidRPr="00627B2A" w:rsidRDefault="002F0A87" w:rsidP="002F0A87">
            <w:pPr>
              <w:jc w:val="center"/>
              <w:rPr>
                <w:rFonts w:asciiTheme="minorHAnsi" w:hAnsiTheme="minorHAnsi" w:cstheme="minorHAnsi"/>
                <w:sz w:val="22"/>
                <w:szCs w:val="22"/>
              </w:rPr>
            </w:pPr>
            <w:r w:rsidRPr="00627B2A">
              <w:rPr>
                <w:rFonts w:asciiTheme="minorHAnsi" w:hAnsiTheme="minorHAnsi" w:cstheme="minorHAnsi"/>
                <w:sz w:val="22"/>
                <w:szCs w:val="22"/>
              </w:rPr>
              <w:t>1.59</w:t>
            </w:r>
          </w:p>
        </w:tc>
      </w:tr>
      <w:tr w:rsidR="002F0A87" w:rsidRPr="00627B2A" w14:paraId="3B6DE255" w14:textId="77777777" w:rsidTr="002E7AC9">
        <w:trPr>
          <w:trHeight w:val="413"/>
        </w:trPr>
        <w:tc>
          <w:tcPr>
            <w:tcW w:w="2701" w:type="dxa"/>
            <w:tcBorders>
              <w:top w:val="nil"/>
              <w:left w:val="single" w:sz="4" w:space="0" w:color="auto"/>
              <w:bottom w:val="single" w:sz="4" w:space="0" w:color="auto"/>
              <w:right w:val="single" w:sz="4" w:space="0" w:color="auto"/>
            </w:tcBorders>
            <w:shd w:val="clear" w:color="auto" w:fill="auto"/>
            <w:noWrap/>
            <w:vAlign w:val="center"/>
            <w:hideMark/>
          </w:tcPr>
          <w:p w14:paraId="4BD62BF8" w14:textId="77777777" w:rsidR="002F0A87" w:rsidRPr="00627B2A" w:rsidRDefault="002F0A87">
            <w:pPr>
              <w:rPr>
                <w:rFonts w:asciiTheme="minorHAnsi" w:hAnsiTheme="minorHAnsi" w:cstheme="minorHAnsi"/>
                <w:color w:val="000000"/>
                <w:sz w:val="22"/>
                <w:szCs w:val="22"/>
              </w:rPr>
            </w:pPr>
            <w:r w:rsidRPr="00627B2A">
              <w:rPr>
                <w:rFonts w:asciiTheme="minorHAnsi" w:hAnsiTheme="minorHAnsi" w:cstheme="minorHAnsi"/>
                <w:color w:val="000000"/>
                <w:sz w:val="22"/>
                <w:szCs w:val="22"/>
              </w:rPr>
              <w:t>Distribution line repairs &amp; maintenance</w:t>
            </w:r>
          </w:p>
        </w:tc>
        <w:tc>
          <w:tcPr>
            <w:tcW w:w="1486" w:type="dxa"/>
            <w:tcBorders>
              <w:top w:val="nil"/>
              <w:left w:val="nil"/>
              <w:bottom w:val="single" w:sz="4" w:space="0" w:color="auto"/>
              <w:right w:val="single" w:sz="4" w:space="0" w:color="auto"/>
            </w:tcBorders>
            <w:shd w:val="clear" w:color="auto" w:fill="auto"/>
            <w:noWrap/>
            <w:vAlign w:val="center"/>
            <w:hideMark/>
          </w:tcPr>
          <w:p w14:paraId="72619571" w14:textId="77777777" w:rsidR="002F0A87" w:rsidRPr="00627B2A" w:rsidRDefault="002F0A87" w:rsidP="002F0A87">
            <w:pPr>
              <w:jc w:val="center"/>
              <w:rPr>
                <w:rFonts w:asciiTheme="minorHAnsi" w:hAnsiTheme="minorHAnsi" w:cstheme="minorHAnsi"/>
                <w:sz w:val="22"/>
                <w:szCs w:val="22"/>
              </w:rPr>
            </w:pPr>
            <w:r w:rsidRPr="00627B2A">
              <w:rPr>
                <w:rFonts w:asciiTheme="minorHAnsi" w:hAnsiTheme="minorHAnsi" w:cstheme="minorHAnsi"/>
                <w:sz w:val="22"/>
                <w:szCs w:val="22"/>
              </w:rPr>
              <w:t>16.44</w:t>
            </w:r>
          </w:p>
        </w:tc>
        <w:tc>
          <w:tcPr>
            <w:tcW w:w="1625" w:type="dxa"/>
            <w:tcBorders>
              <w:top w:val="nil"/>
              <w:left w:val="nil"/>
              <w:bottom w:val="single" w:sz="4" w:space="0" w:color="auto"/>
              <w:right w:val="single" w:sz="4" w:space="0" w:color="auto"/>
            </w:tcBorders>
            <w:shd w:val="clear" w:color="auto" w:fill="auto"/>
            <w:noWrap/>
            <w:vAlign w:val="center"/>
            <w:hideMark/>
          </w:tcPr>
          <w:p w14:paraId="24AF13C7" w14:textId="77777777" w:rsidR="002F0A87" w:rsidRPr="00627B2A" w:rsidRDefault="002F0A87" w:rsidP="002F0A87">
            <w:pPr>
              <w:jc w:val="center"/>
              <w:rPr>
                <w:rFonts w:asciiTheme="minorHAnsi" w:hAnsiTheme="minorHAnsi" w:cstheme="minorHAnsi"/>
                <w:sz w:val="22"/>
                <w:szCs w:val="22"/>
              </w:rPr>
            </w:pPr>
            <w:r w:rsidRPr="00627B2A">
              <w:rPr>
                <w:rFonts w:asciiTheme="minorHAnsi" w:hAnsiTheme="minorHAnsi" w:cstheme="minorHAnsi"/>
                <w:sz w:val="22"/>
                <w:szCs w:val="22"/>
              </w:rPr>
              <w:t>9.13</w:t>
            </w:r>
          </w:p>
        </w:tc>
        <w:tc>
          <w:tcPr>
            <w:tcW w:w="1481" w:type="dxa"/>
            <w:tcBorders>
              <w:top w:val="nil"/>
              <w:left w:val="nil"/>
              <w:bottom w:val="single" w:sz="4" w:space="0" w:color="auto"/>
              <w:right w:val="single" w:sz="4" w:space="0" w:color="auto"/>
            </w:tcBorders>
            <w:shd w:val="clear" w:color="auto" w:fill="auto"/>
            <w:noWrap/>
            <w:vAlign w:val="center"/>
            <w:hideMark/>
          </w:tcPr>
          <w:p w14:paraId="6B96795B" w14:textId="77777777" w:rsidR="002F0A87" w:rsidRPr="00627B2A" w:rsidRDefault="002F0A87" w:rsidP="002F0A87">
            <w:pPr>
              <w:jc w:val="center"/>
              <w:rPr>
                <w:rFonts w:asciiTheme="minorHAnsi" w:hAnsiTheme="minorHAnsi" w:cstheme="minorHAnsi"/>
                <w:sz w:val="22"/>
                <w:szCs w:val="22"/>
              </w:rPr>
            </w:pPr>
            <w:r w:rsidRPr="00627B2A">
              <w:rPr>
                <w:rFonts w:asciiTheme="minorHAnsi" w:hAnsiTheme="minorHAnsi" w:cstheme="minorHAnsi"/>
                <w:sz w:val="22"/>
                <w:szCs w:val="22"/>
              </w:rPr>
              <w:t>18.58</w:t>
            </w:r>
          </w:p>
        </w:tc>
        <w:tc>
          <w:tcPr>
            <w:tcW w:w="1821" w:type="dxa"/>
            <w:tcBorders>
              <w:top w:val="nil"/>
              <w:left w:val="nil"/>
              <w:bottom w:val="single" w:sz="4" w:space="0" w:color="auto"/>
              <w:right w:val="single" w:sz="4" w:space="0" w:color="auto"/>
            </w:tcBorders>
            <w:shd w:val="clear" w:color="auto" w:fill="auto"/>
            <w:noWrap/>
            <w:vAlign w:val="center"/>
            <w:hideMark/>
          </w:tcPr>
          <w:p w14:paraId="06BA7D84" w14:textId="77777777" w:rsidR="002F0A87" w:rsidRPr="00627B2A" w:rsidRDefault="002F0A87" w:rsidP="002F0A87">
            <w:pPr>
              <w:jc w:val="center"/>
              <w:rPr>
                <w:rFonts w:asciiTheme="minorHAnsi" w:hAnsiTheme="minorHAnsi" w:cstheme="minorHAnsi"/>
                <w:sz w:val="22"/>
                <w:szCs w:val="22"/>
              </w:rPr>
            </w:pPr>
            <w:r w:rsidRPr="00627B2A">
              <w:rPr>
                <w:rFonts w:asciiTheme="minorHAnsi" w:hAnsiTheme="minorHAnsi" w:cstheme="minorHAnsi"/>
                <w:sz w:val="22"/>
                <w:szCs w:val="22"/>
              </w:rPr>
              <w:t>19.69</w:t>
            </w:r>
          </w:p>
        </w:tc>
      </w:tr>
      <w:tr w:rsidR="002F0A87" w:rsidRPr="00627B2A" w14:paraId="414580B0" w14:textId="77777777" w:rsidTr="002E7AC9">
        <w:trPr>
          <w:trHeight w:val="413"/>
        </w:trPr>
        <w:tc>
          <w:tcPr>
            <w:tcW w:w="2701" w:type="dxa"/>
            <w:tcBorders>
              <w:top w:val="nil"/>
              <w:left w:val="single" w:sz="4" w:space="0" w:color="auto"/>
              <w:bottom w:val="single" w:sz="4" w:space="0" w:color="auto"/>
              <w:right w:val="single" w:sz="4" w:space="0" w:color="auto"/>
            </w:tcBorders>
            <w:shd w:val="clear" w:color="auto" w:fill="auto"/>
            <w:noWrap/>
            <w:vAlign w:val="center"/>
            <w:hideMark/>
          </w:tcPr>
          <w:p w14:paraId="0190A542" w14:textId="77777777" w:rsidR="002F0A87" w:rsidRPr="00627B2A" w:rsidRDefault="002F0A87">
            <w:pPr>
              <w:rPr>
                <w:rFonts w:asciiTheme="minorHAnsi" w:hAnsiTheme="minorHAnsi" w:cstheme="minorHAnsi"/>
                <w:color w:val="000000"/>
                <w:sz w:val="22"/>
                <w:szCs w:val="22"/>
              </w:rPr>
            </w:pPr>
            <w:r w:rsidRPr="00627B2A">
              <w:rPr>
                <w:rFonts w:asciiTheme="minorHAnsi" w:hAnsiTheme="minorHAnsi" w:cstheme="minorHAnsi"/>
                <w:color w:val="000000"/>
                <w:sz w:val="22"/>
                <w:szCs w:val="22"/>
              </w:rPr>
              <w:t>Transformer Repair</w:t>
            </w:r>
          </w:p>
        </w:tc>
        <w:tc>
          <w:tcPr>
            <w:tcW w:w="1486" w:type="dxa"/>
            <w:tcBorders>
              <w:top w:val="nil"/>
              <w:left w:val="nil"/>
              <w:bottom w:val="single" w:sz="4" w:space="0" w:color="auto"/>
              <w:right w:val="single" w:sz="4" w:space="0" w:color="auto"/>
            </w:tcBorders>
            <w:shd w:val="clear" w:color="auto" w:fill="auto"/>
            <w:noWrap/>
            <w:vAlign w:val="center"/>
            <w:hideMark/>
          </w:tcPr>
          <w:p w14:paraId="2520884E" w14:textId="77777777" w:rsidR="002F0A87" w:rsidRPr="00627B2A" w:rsidRDefault="002F0A87" w:rsidP="002F0A87">
            <w:pPr>
              <w:jc w:val="center"/>
              <w:rPr>
                <w:rFonts w:asciiTheme="minorHAnsi" w:hAnsiTheme="minorHAnsi" w:cstheme="minorHAnsi"/>
                <w:sz w:val="22"/>
                <w:szCs w:val="22"/>
              </w:rPr>
            </w:pPr>
            <w:r w:rsidRPr="00627B2A">
              <w:rPr>
                <w:rFonts w:asciiTheme="minorHAnsi" w:hAnsiTheme="minorHAnsi" w:cstheme="minorHAnsi"/>
                <w:sz w:val="22"/>
                <w:szCs w:val="22"/>
              </w:rPr>
              <w:t>94.02</w:t>
            </w:r>
          </w:p>
        </w:tc>
        <w:tc>
          <w:tcPr>
            <w:tcW w:w="1625" w:type="dxa"/>
            <w:tcBorders>
              <w:top w:val="nil"/>
              <w:left w:val="nil"/>
              <w:bottom w:val="single" w:sz="4" w:space="0" w:color="auto"/>
              <w:right w:val="single" w:sz="4" w:space="0" w:color="auto"/>
            </w:tcBorders>
            <w:shd w:val="clear" w:color="auto" w:fill="auto"/>
            <w:noWrap/>
            <w:vAlign w:val="center"/>
            <w:hideMark/>
          </w:tcPr>
          <w:p w14:paraId="6C19DC12" w14:textId="77777777" w:rsidR="002F0A87" w:rsidRPr="00627B2A" w:rsidRDefault="002F0A87" w:rsidP="002F0A87">
            <w:pPr>
              <w:jc w:val="center"/>
              <w:rPr>
                <w:rFonts w:asciiTheme="minorHAnsi" w:hAnsiTheme="minorHAnsi" w:cstheme="minorHAnsi"/>
                <w:sz w:val="22"/>
                <w:szCs w:val="22"/>
              </w:rPr>
            </w:pPr>
            <w:r w:rsidRPr="00627B2A">
              <w:rPr>
                <w:rFonts w:asciiTheme="minorHAnsi" w:hAnsiTheme="minorHAnsi" w:cstheme="minorHAnsi"/>
                <w:sz w:val="22"/>
                <w:szCs w:val="22"/>
              </w:rPr>
              <w:t>52.19</w:t>
            </w:r>
          </w:p>
        </w:tc>
        <w:tc>
          <w:tcPr>
            <w:tcW w:w="1481" w:type="dxa"/>
            <w:tcBorders>
              <w:top w:val="nil"/>
              <w:left w:val="nil"/>
              <w:bottom w:val="single" w:sz="4" w:space="0" w:color="auto"/>
              <w:right w:val="single" w:sz="4" w:space="0" w:color="auto"/>
            </w:tcBorders>
            <w:shd w:val="clear" w:color="auto" w:fill="auto"/>
            <w:noWrap/>
            <w:vAlign w:val="center"/>
            <w:hideMark/>
          </w:tcPr>
          <w:p w14:paraId="371C8BAC" w14:textId="77777777" w:rsidR="002F0A87" w:rsidRPr="00627B2A" w:rsidRDefault="002F0A87" w:rsidP="002F0A87">
            <w:pPr>
              <w:jc w:val="center"/>
              <w:rPr>
                <w:rFonts w:asciiTheme="minorHAnsi" w:hAnsiTheme="minorHAnsi" w:cstheme="minorHAnsi"/>
                <w:sz w:val="22"/>
                <w:szCs w:val="22"/>
              </w:rPr>
            </w:pPr>
            <w:r w:rsidRPr="00627B2A">
              <w:rPr>
                <w:rFonts w:asciiTheme="minorHAnsi" w:hAnsiTheme="minorHAnsi" w:cstheme="minorHAnsi"/>
                <w:sz w:val="22"/>
                <w:szCs w:val="22"/>
              </w:rPr>
              <w:t>106.25</w:t>
            </w:r>
          </w:p>
        </w:tc>
        <w:tc>
          <w:tcPr>
            <w:tcW w:w="1821" w:type="dxa"/>
            <w:tcBorders>
              <w:top w:val="nil"/>
              <w:left w:val="nil"/>
              <w:bottom w:val="single" w:sz="4" w:space="0" w:color="auto"/>
              <w:right w:val="single" w:sz="4" w:space="0" w:color="auto"/>
            </w:tcBorders>
            <w:shd w:val="clear" w:color="auto" w:fill="auto"/>
            <w:noWrap/>
            <w:vAlign w:val="center"/>
            <w:hideMark/>
          </w:tcPr>
          <w:p w14:paraId="5D2721B8" w14:textId="77777777" w:rsidR="002F0A87" w:rsidRPr="00627B2A" w:rsidRDefault="002F0A87" w:rsidP="002F0A87">
            <w:pPr>
              <w:jc w:val="center"/>
              <w:rPr>
                <w:rFonts w:asciiTheme="minorHAnsi" w:hAnsiTheme="minorHAnsi" w:cstheme="minorHAnsi"/>
                <w:sz w:val="22"/>
                <w:szCs w:val="22"/>
              </w:rPr>
            </w:pPr>
            <w:r w:rsidRPr="00627B2A">
              <w:rPr>
                <w:rFonts w:asciiTheme="minorHAnsi" w:hAnsiTheme="minorHAnsi" w:cstheme="minorHAnsi"/>
                <w:sz w:val="22"/>
                <w:szCs w:val="22"/>
              </w:rPr>
              <w:t>112.57</w:t>
            </w:r>
          </w:p>
        </w:tc>
      </w:tr>
      <w:tr w:rsidR="002F0A87" w:rsidRPr="00627B2A" w14:paraId="6745F9C0" w14:textId="77777777" w:rsidTr="002E7AC9">
        <w:trPr>
          <w:trHeight w:val="413"/>
        </w:trPr>
        <w:tc>
          <w:tcPr>
            <w:tcW w:w="2701" w:type="dxa"/>
            <w:tcBorders>
              <w:top w:val="nil"/>
              <w:left w:val="single" w:sz="4" w:space="0" w:color="auto"/>
              <w:bottom w:val="single" w:sz="4" w:space="0" w:color="auto"/>
              <w:right w:val="single" w:sz="4" w:space="0" w:color="auto"/>
            </w:tcBorders>
            <w:shd w:val="clear" w:color="auto" w:fill="auto"/>
            <w:noWrap/>
            <w:vAlign w:val="center"/>
            <w:hideMark/>
          </w:tcPr>
          <w:p w14:paraId="2266A88C" w14:textId="77777777" w:rsidR="002F0A87" w:rsidRPr="00627B2A" w:rsidRDefault="002F0A87">
            <w:pPr>
              <w:rPr>
                <w:rFonts w:asciiTheme="minorHAnsi" w:hAnsiTheme="minorHAnsi" w:cstheme="minorHAnsi"/>
                <w:color w:val="000000"/>
                <w:sz w:val="22"/>
                <w:szCs w:val="22"/>
              </w:rPr>
            </w:pPr>
            <w:r w:rsidRPr="00627B2A">
              <w:rPr>
                <w:rFonts w:asciiTheme="minorHAnsi" w:hAnsiTheme="minorHAnsi" w:cstheme="minorHAnsi"/>
                <w:color w:val="000000"/>
                <w:sz w:val="22"/>
                <w:szCs w:val="22"/>
              </w:rPr>
              <w:t>Other repairs &amp; maintenance</w:t>
            </w:r>
          </w:p>
        </w:tc>
        <w:tc>
          <w:tcPr>
            <w:tcW w:w="1486" w:type="dxa"/>
            <w:tcBorders>
              <w:top w:val="nil"/>
              <w:left w:val="nil"/>
              <w:bottom w:val="single" w:sz="4" w:space="0" w:color="auto"/>
              <w:right w:val="single" w:sz="4" w:space="0" w:color="auto"/>
            </w:tcBorders>
            <w:shd w:val="clear" w:color="auto" w:fill="auto"/>
            <w:noWrap/>
            <w:vAlign w:val="center"/>
            <w:hideMark/>
          </w:tcPr>
          <w:p w14:paraId="575CB6B5" w14:textId="77777777" w:rsidR="002F0A87" w:rsidRPr="00627B2A" w:rsidRDefault="002F0A87" w:rsidP="002F0A87">
            <w:pPr>
              <w:jc w:val="center"/>
              <w:rPr>
                <w:rFonts w:asciiTheme="minorHAnsi" w:hAnsiTheme="minorHAnsi" w:cstheme="minorHAnsi"/>
                <w:sz w:val="22"/>
                <w:szCs w:val="22"/>
              </w:rPr>
            </w:pPr>
            <w:r w:rsidRPr="00627B2A">
              <w:rPr>
                <w:rFonts w:asciiTheme="minorHAnsi" w:hAnsiTheme="minorHAnsi" w:cstheme="minorHAnsi"/>
                <w:sz w:val="22"/>
                <w:szCs w:val="22"/>
              </w:rPr>
              <w:t>129.33</w:t>
            </w:r>
          </w:p>
        </w:tc>
        <w:tc>
          <w:tcPr>
            <w:tcW w:w="1625" w:type="dxa"/>
            <w:tcBorders>
              <w:top w:val="nil"/>
              <w:left w:val="nil"/>
              <w:bottom w:val="single" w:sz="4" w:space="0" w:color="auto"/>
              <w:right w:val="single" w:sz="4" w:space="0" w:color="auto"/>
            </w:tcBorders>
            <w:shd w:val="clear" w:color="auto" w:fill="auto"/>
            <w:noWrap/>
            <w:vAlign w:val="center"/>
            <w:hideMark/>
          </w:tcPr>
          <w:p w14:paraId="1ADA3245" w14:textId="77777777" w:rsidR="002F0A87" w:rsidRPr="00627B2A" w:rsidRDefault="002F0A87" w:rsidP="002F0A87">
            <w:pPr>
              <w:jc w:val="center"/>
              <w:rPr>
                <w:rFonts w:asciiTheme="minorHAnsi" w:hAnsiTheme="minorHAnsi" w:cstheme="minorHAnsi"/>
                <w:sz w:val="22"/>
                <w:szCs w:val="22"/>
              </w:rPr>
            </w:pPr>
            <w:r w:rsidRPr="00627B2A">
              <w:rPr>
                <w:rFonts w:asciiTheme="minorHAnsi" w:hAnsiTheme="minorHAnsi" w:cstheme="minorHAnsi"/>
                <w:sz w:val="22"/>
                <w:szCs w:val="22"/>
              </w:rPr>
              <w:t>71.79</w:t>
            </w:r>
          </w:p>
        </w:tc>
        <w:tc>
          <w:tcPr>
            <w:tcW w:w="1481" w:type="dxa"/>
            <w:tcBorders>
              <w:top w:val="nil"/>
              <w:left w:val="nil"/>
              <w:bottom w:val="single" w:sz="4" w:space="0" w:color="auto"/>
              <w:right w:val="single" w:sz="4" w:space="0" w:color="auto"/>
            </w:tcBorders>
            <w:shd w:val="clear" w:color="auto" w:fill="auto"/>
            <w:noWrap/>
            <w:vAlign w:val="center"/>
            <w:hideMark/>
          </w:tcPr>
          <w:p w14:paraId="3FC745DA" w14:textId="77777777" w:rsidR="002F0A87" w:rsidRPr="00627B2A" w:rsidRDefault="002F0A87" w:rsidP="002F0A87">
            <w:pPr>
              <w:jc w:val="center"/>
              <w:rPr>
                <w:rFonts w:asciiTheme="minorHAnsi" w:hAnsiTheme="minorHAnsi" w:cstheme="minorHAnsi"/>
                <w:sz w:val="22"/>
                <w:szCs w:val="22"/>
              </w:rPr>
            </w:pPr>
            <w:r w:rsidRPr="00627B2A">
              <w:rPr>
                <w:rFonts w:asciiTheme="minorHAnsi" w:hAnsiTheme="minorHAnsi" w:cstheme="minorHAnsi"/>
                <w:sz w:val="22"/>
                <w:szCs w:val="22"/>
              </w:rPr>
              <w:t>146.16</w:t>
            </w:r>
          </w:p>
        </w:tc>
        <w:tc>
          <w:tcPr>
            <w:tcW w:w="1821" w:type="dxa"/>
            <w:tcBorders>
              <w:top w:val="nil"/>
              <w:left w:val="nil"/>
              <w:bottom w:val="single" w:sz="4" w:space="0" w:color="auto"/>
              <w:right w:val="single" w:sz="4" w:space="0" w:color="auto"/>
            </w:tcBorders>
            <w:shd w:val="clear" w:color="auto" w:fill="auto"/>
            <w:noWrap/>
            <w:vAlign w:val="center"/>
            <w:hideMark/>
          </w:tcPr>
          <w:p w14:paraId="5ACF8C4B" w14:textId="77777777" w:rsidR="002F0A87" w:rsidRPr="00627B2A" w:rsidRDefault="002F0A87" w:rsidP="002F0A87">
            <w:pPr>
              <w:jc w:val="center"/>
              <w:rPr>
                <w:rFonts w:asciiTheme="minorHAnsi" w:hAnsiTheme="minorHAnsi" w:cstheme="minorHAnsi"/>
                <w:sz w:val="22"/>
                <w:szCs w:val="22"/>
              </w:rPr>
            </w:pPr>
            <w:r w:rsidRPr="00627B2A">
              <w:rPr>
                <w:rFonts w:asciiTheme="minorHAnsi" w:hAnsiTheme="minorHAnsi" w:cstheme="minorHAnsi"/>
                <w:sz w:val="22"/>
                <w:szCs w:val="22"/>
              </w:rPr>
              <w:t>154.85</w:t>
            </w:r>
          </w:p>
        </w:tc>
      </w:tr>
      <w:tr w:rsidR="002F0A87" w:rsidRPr="00627B2A" w14:paraId="723F6F92" w14:textId="77777777" w:rsidTr="002E7AC9">
        <w:trPr>
          <w:trHeight w:val="413"/>
        </w:trPr>
        <w:tc>
          <w:tcPr>
            <w:tcW w:w="2701" w:type="dxa"/>
            <w:tcBorders>
              <w:top w:val="nil"/>
              <w:left w:val="single" w:sz="4" w:space="0" w:color="auto"/>
              <w:bottom w:val="single" w:sz="4" w:space="0" w:color="auto"/>
              <w:right w:val="single" w:sz="4" w:space="0" w:color="auto"/>
            </w:tcBorders>
            <w:shd w:val="clear" w:color="000000" w:fill="95B3D7"/>
            <w:noWrap/>
            <w:vAlign w:val="center"/>
            <w:hideMark/>
          </w:tcPr>
          <w:p w14:paraId="028B3928" w14:textId="77777777" w:rsidR="002F0A87" w:rsidRPr="00627B2A" w:rsidRDefault="002F0A87">
            <w:pPr>
              <w:jc w:val="right"/>
              <w:rPr>
                <w:rFonts w:asciiTheme="minorHAnsi" w:hAnsiTheme="minorHAnsi" w:cstheme="minorHAnsi"/>
                <w:b/>
                <w:bCs/>
                <w:color w:val="000000"/>
                <w:sz w:val="22"/>
                <w:szCs w:val="22"/>
              </w:rPr>
            </w:pPr>
            <w:r w:rsidRPr="00627B2A">
              <w:rPr>
                <w:rFonts w:asciiTheme="minorHAnsi" w:hAnsiTheme="minorHAnsi" w:cstheme="minorHAnsi"/>
                <w:b/>
                <w:bCs/>
                <w:color w:val="000000"/>
                <w:sz w:val="22"/>
                <w:szCs w:val="22"/>
              </w:rPr>
              <w:t>TOTAL</w:t>
            </w:r>
          </w:p>
        </w:tc>
        <w:tc>
          <w:tcPr>
            <w:tcW w:w="1486" w:type="dxa"/>
            <w:tcBorders>
              <w:top w:val="nil"/>
              <w:left w:val="nil"/>
              <w:bottom w:val="single" w:sz="4" w:space="0" w:color="auto"/>
              <w:right w:val="single" w:sz="4" w:space="0" w:color="auto"/>
            </w:tcBorders>
            <w:shd w:val="clear" w:color="000000" w:fill="95B3D7"/>
            <w:noWrap/>
            <w:vAlign w:val="center"/>
            <w:hideMark/>
          </w:tcPr>
          <w:p w14:paraId="321C776B" w14:textId="77777777" w:rsidR="002F0A87" w:rsidRPr="00627B2A" w:rsidRDefault="002F0A87" w:rsidP="002F0A87">
            <w:pPr>
              <w:jc w:val="center"/>
              <w:rPr>
                <w:rFonts w:asciiTheme="minorHAnsi" w:hAnsiTheme="minorHAnsi" w:cstheme="minorHAnsi"/>
                <w:b/>
                <w:bCs/>
                <w:sz w:val="22"/>
                <w:szCs w:val="22"/>
              </w:rPr>
            </w:pPr>
            <w:r w:rsidRPr="00627B2A">
              <w:rPr>
                <w:rFonts w:asciiTheme="minorHAnsi" w:hAnsiTheme="minorHAnsi" w:cstheme="minorHAnsi"/>
                <w:b/>
                <w:bCs/>
                <w:sz w:val="22"/>
                <w:szCs w:val="22"/>
              </w:rPr>
              <w:t>241.13</w:t>
            </w:r>
          </w:p>
        </w:tc>
        <w:tc>
          <w:tcPr>
            <w:tcW w:w="1625" w:type="dxa"/>
            <w:tcBorders>
              <w:top w:val="nil"/>
              <w:left w:val="nil"/>
              <w:bottom w:val="single" w:sz="4" w:space="0" w:color="auto"/>
              <w:right w:val="single" w:sz="4" w:space="0" w:color="auto"/>
            </w:tcBorders>
            <w:shd w:val="clear" w:color="000000" w:fill="95B3D7"/>
            <w:noWrap/>
            <w:vAlign w:val="center"/>
            <w:hideMark/>
          </w:tcPr>
          <w:p w14:paraId="091E0D15" w14:textId="77777777" w:rsidR="002F0A87" w:rsidRPr="00627B2A" w:rsidRDefault="002F0A87" w:rsidP="002F0A87">
            <w:pPr>
              <w:jc w:val="center"/>
              <w:rPr>
                <w:rFonts w:asciiTheme="minorHAnsi" w:hAnsiTheme="minorHAnsi" w:cstheme="minorHAnsi"/>
                <w:b/>
                <w:bCs/>
                <w:sz w:val="22"/>
                <w:szCs w:val="22"/>
              </w:rPr>
            </w:pPr>
            <w:r w:rsidRPr="00627B2A">
              <w:rPr>
                <w:rFonts w:asciiTheme="minorHAnsi" w:hAnsiTheme="minorHAnsi" w:cstheme="minorHAnsi"/>
                <w:b/>
                <w:bCs/>
                <w:sz w:val="22"/>
                <w:szCs w:val="22"/>
              </w:rPr>
              <w:t>133.84</w:t>
            </w:r>
          </w:p>
        </w:tc>
        <w:tc>
          <w:tcPr>
            <w:tcW w:w="1481" w:type="dxa"/>
            <w:tcBorders>
              <w:top w:val="nil"/>
              <w:left w:val="nil"/>
              <w:bottom w:val="single" w:sz="4" w:space="0" w:color="auto"/>
              <w:right w:val="single" w:sz="4" w:space="0" w:color="auto"/>
            </w:tcBorders>
            <w:shd w:val="clear" w:color="000000" w:fill="95B3D7"/>
            <w:noWrap/>
            <w:vAlign w:val="center"/>
            <w:hideMark/>
          </w:tcPr>
          <w:p w14:paraId="60E89480" w14:textId="77777777" w:rsidR="002F0A87" w:rsidRPr="00627B2A" w:rsidRDefault="002F0A87" w:rsidP="002F0A87">
            <w:pPr>
              <w:jc w:val="center"/>
              <w:rPr>
                <w:rFonts w:asciiTheme="minorHAnsi" w:hAnsiTheme="minorHAnsi" w:cstheme="minorHAnsi"/>
                <w:b/>
                <w:bCs/>
                <w:sz w:val="22"/>
                <w:szCs w:val="22"/>
              </w:rPr>
            </w:pPr>
            <w:r w:rsidRPr="00627B2A">
              <w:rPr>
                <w:rFonts w:asciiTheme="minorHAnsi" w:hAnsiTheme="minorHAnsi" w:cstheme="minorHAnsi"/>
                <w:b/>
                <w:bCs/>
                <w:sz w:val="22"/>
                <w:szCs w:val="22"/>
              </w:rPr>
              <w:t>272.49</w:t>
            </w:r>
          </w:p>
        </w:tc>
        <w:tc>
          <w:tcPr>
            <w:tcW w:w="1821" w:type="dxa"/>
            <w:tcBorders>
              <w:top w:val="nil"/>
              <w:left w:val="nil"/>
              <w:bottom w:val="single" w:sz="4" w:space="0" w:color="auto"/>
              <w:right w:val="single" w:sz="4" w:space="0" w:color="auto"/>
            </w:tcBorders>
            <w:shd w:val="clear" w:color="000000" w:fill="95B3D7"/>
            <w:noWrap/>
            <w:vAlign w:val="center"/>
            <w:hideMark/>
          </w:tcPr>
          <w:p w14:paraId="5595E357" w14:textId="77777777" w:rsidR="002F0A87" w:rsidRPr="00627B2A" w:rsidRDefault="002F0A87" w:rsidP="002F0A87">
            <w:pPr>
              <w:jc w:val="center"/>
              <w:rPr>
                <w:rFonts w:asciiTheme="minorHAnsi" w:hAnsiTheme="minorHAnsi" w:cstheme="minorHAnsi"/>
                <w:b/>
                <w:bCs/>
                <w:sz w:val="22"/>
                <w:szCs w:val="22"/>
              </w:rPr>
            </w:pPr>
            <w:r w:rsidRPr="00627B2A">
              <w:rPr>
                <w:rFonts w:asciiTheme="minorHAnsi" w:hAnsiTheme="minorHAnsi" w:cstheme="minorHAnsi"/>
                <w:b/>
                <w:bCs/>
                <w:sz w:val="22"/>
                <w:szCs w:val="22"/>
              </w:rPr>
              <w:t>288.70</w:t>
            </w:r>
          </w:p>
        </w:tc>
      </w:tr>
    </w:tbl>
    <w:p w14:paraId="1F86A618" w14:textId="77777777" w:rsidR="00174BF9" w:rsidRPr="00153204" w:rsidRDefault="00174BF9" w:rsidP="00954DC2">
      <w:pPr>
        <w:pStyle w:val="paragraph"/>
        <w:spacing w:before="0" w:beforeAutospacing="0" w:after="0" w:afterAutospacing="0" w:line="360" w:lineRule="auto"/>
        <w:jc w:val="both"/>
        <w:textAlignment w:val="baseline"/>
        <w:rPr>
          <w:rStyle w:val="normaltextrun"/>
          <w:rFonts w:asciiTheme="minorHAnsi" w:hAnsiTheme="minorHAnsi" w:cstheme="minorHAnsi"/>
          <w:sz w:val="22"/>
          <w:szCs w:val="22"/>
        </w:rPr>
      </w:pPr>
    </w:p>
    <w:p w14:paraId="5961BF18" w14:textId="3339FCAA" w:rsidR="000D7474" w:rsidRPr="00153204" w:rsidRDefault="000D7474" w:rsidP="00E71523">
      <w:pPr>
        <w:pStyle w:val="paragraph"/>
        <w:spacing w:before="0" w:beforeAutospacing="0" w:after="0" w:afterAutospacing="0" w:line="360" w:lineRule="auto"/>
        <w:ind w:left="567"/>
        <w:jc w:val="both"/>
        <w:textAlignment w:val="baseline"/>
        <w:rPr>
          <w:rFonts w:asciiTheme="minorHAnsi" w:hAnsiTheme="minorHAnsi" w:cstheme="minorHAnsi"/>
          <w:sz w:val="22"/>
          <w:szCs w:val="22"/>
        </w:rPr>
      </w:pPr>
      <w:r w:rsidRPr="00153204">
        <w:rPr>
          <w:rStyle w:val="normaltextrun"/>
          <w:rFonts w:asciiTheme="minorHAnsi" w:hAnsiTheme="minorHAnsi" w:cstheme="minorHAnsi"/>
          <w:sz w:val="22"/>
          <w:szCs w:val="22"/>
        </w:rPr>
        <w:lastRenderedPageBreak/>
        <w:t xml:space="preserve">It is pertinent to mention that, the entire network right from 33KV feeders to LT consumers were previously owned and maintained </w:t>
      </w:r>
      <w:r w:rsidR="00124CFA" w:rsidRPr="00153204">
        <w:rPr>
          <w:rStyle w:val="normaltextrun"/>
          <w:rFonts w:asciiTheme="minorHAnsi" w:hAnsiTheme="minorHAnsi" w:cstheme="minorHAnsi"/>
          <w:sz w:val="22"/>
          <w:szCs w:val="22"/>
        </w:rPr>
        <w:t xml:space="preserve">only </w:t>
      </w:r>
      <w:r w:rsidRPr="00153204">
        <w:rPr>
          <w:rStyle w:val="normaltextrun"/>
          <w:rFonts w:asciiTheme="minorHAnsi" w:hAnsiTheme="minorHAnsi" w:cstheme="minorHAnsi"/>
          <w:sz w:val="22"/>
          <w:szCs w:val="22"/>
        </w:rPr>
        <w:t xml:space="preserve">by </w:t>
      </w:r>
      <w:r w:rsidR="00124CFA" w:rsidRPr="00153204">
        <w:rPr>
          <w:rStyle w:val="normaltextrun"/>
          <w:rFonts w:asciiTheme="minorHAnsi" w:hAnsiTheme="minorHAnsi" w:cstheme="minorHAnsi"/>
          <w:sz w:val="22"/>
          <w:szCs w:val="22"/>
        </w:rPr>
        <w:t xml:space="preserve">the </w:t>
      </w:r>
      <w:r w:rsidRPr="00153204">
        <w:rPr>
          <w:rStyle w:val="normaltextrun"/>
          <w:rFonts w:asciiTheme="minorHAnsi" w:hAnsiTheme="minorHAnsi" w:cstheme="minorHAnsi"/>
          <w:sz w:val="22"/>
          <w:szCs w:val="22"/>
        </w:rPr>
        <w:t xml:space="preserve">Junior Manager (O&amp;M) along with his team comprising of </w:t>
      </w:r>
      <w:r w:rsidR="00124CFA" w:rsidRPr="00153204">
        <w:rPr>
          <w:rStyle w:val="normaltextrun"/>
          <w:rFonts w:asciiTheme="minorHAnsi" w:hAnsiTheme="minorHAnsi" w:cstheme="minorHAnsi"/>
          <w:sz w:val="22"/>
          <w:szCs w:val="22"/>
        </w:rPr>
        <w:t xml:space="preserve">limited number of </w:t>
      </w:r>
      <w:r w:rsidRPr="00153204">
        <w:rPr>
          <w:rStyle w:val="normaltextrun"/>
          <w:rFonts w:asciiTheme="minorHAnsi" w:hAnsiTheme="minorHAnsi" w:cstheme="minorHAnsi"/>
          <w:sz w:val="22"/>
          <w:szCs w:val="22"/>
        </w:rPr>
        <w:t xml:space="preserve">Lineman A/B/C, Helper, and Jr. Technician posted in respective sections. E&amp;MR section was extending support to section staff for maintenance of 33/11KV primary substations. As sufficient manpower was not </w:t>
      </w:r>
      <w:r w:rsidR="00480682" w:rsidRPr="00153204">
        <w:rPr>
          <w:rStyle w:val="normaltextrun"/>
          <w:rFonts w:asciiTheme="minorHAnsi" w:hAnsiTheme="minorHAnsi" w:cstheme="minorHAnsi"/>
          <w:sz w:val="22"/>
          <w:szCs w:val="22"/>
        </w:rPr>
        <w:t>available, only</w:t>
      </w:r>
      <w:r w:rsidRPr="00153204">
        <w:rPr>
          <w:rStyle w:val="normaltextrun"/>
          <w:rFonts w:asciiTheme="minorHAnsi" w:hAnsiTheme="minorHAnsi" w:cstheme="minorHAnsi"/>
          <w:sz w:val="22"/>
          <w:szCs w:val="22"/>
        </w:rPr>
        <w:t xml:space="preserve"> </w:t>
      </w:r>
      <w:r w:rsidR="00124CFA" w:rsidRPr="00153204">
        <w:rPr>
          <w:rStyle w:val="normaltextrun"/>
          <w:rFonts w:asciiTheme="minorHAnsi" w:hAnsiTheme="minorHAnsi" w:cstheme="minorHAnsi"/>
          <w:sz w:val="22"/>
          <w:szCs w:val="22"/>
        </w:rPr>
        <w:t xml:space="preserve">limited </w:t>
      </w:r>
      <w:r w:rsidRPr="00153204">
        <w:rPr>
          <w:rStyle w:val="normaltextrun"/>
          <w:rFonts w:asciiTheme="minorHAnsi" w:hAnsiTheme="minorHAnsi" w:cstheme="minorHAnsi"/>
          <w:sz w:val="22"/>
          <w:szCs w:val="22"/>
        </w:rPr>
        <w:t xml:space="preserve">corrective maintenance </w:t>
      </w:r>
      <w:r w:rsidR="00124CFA" w:rsidRPr="00153204">
        <w:rPr>
          <w:rStyle w:val="normaltextrun"/>
          <w:rFonts w:asciiTheme="minorHAnsi" w:hAnsiTheme="minorHAnsi" w:cstheme="minorHAnsi"/>
          <w:sz w:val="22"/>
          <w:szCs w:val="22"/>
        </w:rPr>
        <w:t xml:space="preserve">and restoration of power supply </w:t>
      </w:r>
      <w:r w:rsidRPr="00153204">
        <w:rPr>
          <w:rStyle w:val="normaltextrun"/>
          <w:rFonts w:asciiTheme="minorHAnsi" w:hAnsiTheme="minorHAnsi" w:cstheme="minorHAnsi"/>
          <w:sz w:val="22"/>
          <w:szCs w:val="22"/>
        </w:rPr>
        <w:t>was in place.</w:t>
      </w:r>
      <w:r w:rsidRPr="00153204">
        <w:rPr>
          <w:rStyle w:val="eop"/>
          <w:rFonts w:asciiTheme="minorHAnsi" w:hAnsiTheme="minorHAnsi" w:cstheme="minorHAnsi"/>
          <w:sz w:val="22"/>
          <w:szCs w:val="22"/>
        </w:rPr>
        <w:t> </w:t>
      </w:r>
    </w:p>
    <w:p w14:paraId="397084A2" w14:textId="7819DB7C" w:rsidR="000D7474" w:rsidRPr="00153204" w:rsidRDefault="000D7474" w:rsidP="00E71523">
      <w:pPr>
        <w:pStyle w:val="Heading1"/>
        <w:spacing w:line="360" w:lineRule="auto"/>
        <w:ind w:left="567"/>
        <w:jc w:val="both"/>
        <w:rPr>
          <w:rFonts w:asciiTheme="minorHAnsi" w:hAnsiTheme="minorHAnsi" w:cstheme="minorHAnsi"/>
          <w:b w:val="0"/>
          <w:sz w:val="22"/>
          <w:szCs w:val="22"/>
        </w:rPr>
      </w:pPr>
      <w:r w:rsidRPr="00153204">
        <w:rPr>
          <w:rFonts w:asciiTheme="minorHAnsi" w:hAnsiTheme="minorHAnsi" w:cstheme="minorHAnsi"/>
          <w:b w:val="0"/>
          <w:sz w:val="22"/>
          <w:szCs w:val="22"/>
        </w:rPr>
        <w:t xml:space="preserve">To address the above issues and for proper maintenance of </w:t>
      </w:r>
      <w:proofErr w:type="gramStart"/>
      <w:r w:rsidRPr="00153204">
        <w:rPr>
          <w:rFonts w:asciiTheme="minorHAnsi" w:hAnsiTheme="minorHAnsi" w:cstheme="minorHAnsi"/>
          <w:b w:val="0"/>
          <w:sz w:val="22"/>
          <w:szCs w:val="22"/>
        </w:rPr>
        <w:t>network ,</w:t>
      </w:r>
      <w:proofErr w:type="gramEnd"/>
      <w:r w:rsidRPr="00153204">
        <w:rPr>
          <w:rFonts w:asciiTheme="minorHAnsi" w:hAnsiTheme="minorHAnsi" w:cstheme="minorHAnsi"/>
          <w:b w:val="0"/>
          <w:sz w:val="22"/>
          <w:szCs w:val="22"/>
        </w:rPr>
        <w:t xml:space="preserve"> separate AMC  has been </w:t>
      </w:r>
      <w:r w:rsidR="00F2262A" w:rsidRPr="00153204">
        <w:rPr>
          <w:rFonts w:asciiTheme="minorHAnsi" w:hAnsiTheme="minorHAnsi" w:cstheme="minorHAnsi"/>
          <w:b w:val="0"/>
          <w:sz w:val="22"/>
          <w:szCs w:val="22"/>
        </w:rPr>
        <w:t>introduced</w:t>
      </w:r>
      <w:r w:rsidR="00124CFA" w:rsidRPr="00153204">
        <w:rPr>
          <w:rFonts w:asciiTheme="minorHAnsi" w:hAnsiTheme="minorHAnsi" w:cstheme="minorHAnsi"/>
          <w:b w:val="0"/>
          <w:sz w:val="22"/>
          <w:szCs w:val="22"/>
        </w:rPr>
        <w:t xml:space="preserve"> post takeover of TPNODL</w:t>
      </w:r>
      <w:r w:rsidRPr="00153204">
        <w:rPr>
          <w:rFonts w:asciiTheme="minorHAnsi" w:hAnsiTheme="minorHAnsi" w:cstheme="minorHAnsi"/>
          <w:b w:val="0"/>
          <w:sz w:val="22"/>
          <w:szCs w:val="22"/>
        </w:rPr>
        <w:t xml:space="preserve"> for 33KV and 11KV maintenance to create a culture of preventive maintenance.</w:t>
      </w:r>
    </w:p>
    <w:p w14:paraId="5B55A53B" w14:textId="77777777" w:rsidR="007F5821" w:rsidRPr="00153204" w:rsidRDefault="007F5821" w:rsidP="00E71523">
      <w:pPr>
        <w:ind w:left="567"/>
        <w:rPr>
          <w:rFonts w:asciiTheme="minorHAnsi" w:hAnsiTheme="minorHAnsi" w:cstheme="minorHAnsi"/>
          <w:sz w:val="22"/>
          <w:szCs w:val="22"/>
        </w:rPr>
      </w:pPr>
    </w:p>
    <w:p w14:paraId="2C9CFA8B" w14:textId="17928A89" w:rsidR="000D7474" w:rsidRDefault="000D7474" w:rsidP="00E71523">
      <w:pPr>
        <w:pStyle w:val="paragraph"/>
        <w:spacing w:before="0" w:beforeAutospacing="0" w:after="0" w:afterAutospacing="0" w:line="360" w:lineRule="auto"/>
        <w:ind w:left="567"/>
        <w:jc w:val="both"/>
        <w:textAlignment w:val="baseline"/>
        <w:rPr>
          <w:rStyle w:val="normaltextrun"/>
          <w:rFonts w:asciiTheme="minorHAnsi" w:hAnsiTheme="minorHAnsi" w:cstheme="minorHAnsi"/>
          <w:sz w:val="22"/>
          <w:szCs w:val="22"/>
        </w:rPr>
      </w:pPr>
      <w:r w:rsidRPr="00153204">
        <w:rPr>
          <w:rStyle w:val="normaltextrun"/>
          <w:rFonts w:asciiTheme="minorHAnsi" w:hAnsiTheme="minorHAnsi" w:cstheme="minorHAnsi"/>
          <w:sz w:val="22"/>
          <w:szCs w:val="22"/>
        </w:rPr>
        <w:t xml:space="preserve">Annual maintenance contracts </w:t>
      </w:r>
      <w:r w:rsidR="00124CFA" w:rsidRPr="00153204">
        <w:rPr>
          <w:rStyle w:val="normaltextrun"/>
          <w:rFonts w:asciiTheme="minorHAnsi" w:hAnsiTheme="minorHAnsi" w:cstheme="minorHAnsi"/>
          <w:sz w:val="22"/>
          <w:szCs w:val="22"/>
        </w:rPr>
        <w:t xml:space="preserve">for 33 kV network </w:t>
      </w:r>
      <w:r w:rsidRPr="00153204">
        <w:rPr>
          <w:rStyle w:val="normaltextrun"/>
          <w:rFonts w:asciiTheme="minorHAnsi" w:hAnsiTheme="minorHAnsi" w:cstheme="minorHAnsi"/>
          <w:sz w:val="22"/>
          <w:szCs w:val="22"/>
        </w:rPr>
        <w:t>have been established with expert market agencies for all 5 circles.</w:t>
      </w:r>
      <w:r w:rsidR="00124CFA" w:rsidRPr="00153204">
        <w:rPr>
          <w:rStyle w:val="normaltextrun"/>
          <w:rFonts w:asciiTheme="minorHAnsi" w:hAnsiTheme="minorHAnsi" w:cstheme="minorHAnsi"/>
          <w:sz w:val="22"/>
          <w:szCs w:val="22"/>
        </w:rPr>
        <w:t xml:space="preserve"> </w:t>
      </w:r>
      <w:r w:rsidRPr="00153204">
        <w:rPr>
          <w:rStyle w:val="normaltextrun"/>
          <w:rFonts w:asciiTheme="minorHAnsi" w:hAnsiTheme="minorHAnsi" w:cstheme="minorHAnsi"/>
          <w:sz w:val="22"/>
          <w:szCs w:val="22"/>
        </w:rPr>
        <w:t xml:space="preserve">The network </w:t>
      </w:r>
      <w:r w:rsidR="00124CFA" w:rsidRPr="00153204">
        <w:rPr>
          <w:rStyle w:val="normaltextrun"/>
          <w:rFonts w:asciiTheme="minorHAnsi" w:hAnsiTheme="minorHAnsi" w:cstheme="minorHAnsi"/>
          <w:sz w:val="22"/>
          <w:szCs w:val="22"/>
        </w:rPr>
        <w:t>is being</w:t>
      </w:r>
      <w:r w:rsidRPr="00153204">
        <w:rPr>
          <w:rStyle w:val="normaltextrun"/>
          <w:rFonts w:asciiTheme="minorHAnsi" w:hAnsiTheme="minorHAnsi" w:cstheme="minorHAnsi"/>
          <w:sz w:val="22"/>
          <w:szCs w:val="22"/>
        </w:rPr>
        <w:t xml:space="preserve"> inspected regularly </w:t>
      </w:r>
      <w:r w:rsidR="00124CFA" w:rsidRPr="00153204">
        <w:rPr>
          <w:rStyle w:val="normaltextrun"/>
          <w:rFonts w:asciiTheme="minorHAnsi" w:hAnsiTheme="minorHAnsi" w:cstheme="minorHAnsi"/>
          <w:sz w:val="22"/>
          <w:szCs w:val="22"/>
        </w:rPr>
        <w:t xml:space="preserve">through manual patrolling as well as drone inspection in forest and inaccessible areas. </w:t>
      </w:r>
      <w:proofErr w:type="spellStart"/>
      <w:r w:rsidR="00124CFA" w:rsidRPr="00153204">
        <w:rPr>
          <w:rStyle w:val="normaltextrun"/>
          <w:rFonts w:asciiTheme="minorHAnsi" w:hAnsiTheme="minorHAnsi" w:cstheme="minorHAnsi"/>
          <w:sz w:val="22"/>
          <w:szCs w:val="22"/>
        </w:rPr>
        <w:t>Thermoscanning</w:t>
      </w:r>
      <w:proofErr w:type="spellEnd"/>
      <w:r w:rsidR="00124CFA" w:rsidRPr="00153204">
        <w:rPr>
          <w:rStyle w:val="normaltextrun"/>
          <w:rFonts w:asciiTheme="minorHAnsi" w:hAnsiTheme="minorHAnsi" w:cstheme="minorHAnsi"/>
          <w:sz w:val="22"/>
          <w:szCs w:val="22"/>
        </w:rPr>
        <w:t xml:space="preserve"> is done for the entire network using high power thermo scanning cameras and </w:t>
      </w:r>
      <w:r w:rsidRPr="00153204">
        <w:rPr>
          <w:rStyle w:val="normaltextrun"/>
          <w:rFonts w:asciiTheme="minorHAnsi" w:hAnsiTheme="minorHAnsi" w:cstheme="minorHAnsi"/>
          <w:sz w:val="22"/>
          <w:szCs w:val="22"/>
        </w:rPr>
        <w:t>to identify the defects</w:t>
      </w:r>
      <w:r w:rsidR="00124CFA" w:rsidRPr="00153204">
        <w:rPr>
          <w:rStyle w:val="normaltextrun"/>
          <w:rFonts w:asciiTheme="minorHAnsi" w:hAnsiTheme="minorHAnsi" w:cstheme="minorHAnsi"/>
          <w:sz w:val="22"/>
          <w:szCs w:val="22"/>
        </w:rPr>
        <w:t>, hotspots</w:t>
      </w:r>
      <w:r w:rsidRPr="00153204">
        <w:rPr>
          <w:rStyle w:val="normaltextrun"/>
          <w:rFonts w:asciiTheme="minorHAnsi" w:hAnsiTheme="minorHAnsi" w:cstheme="minorHAnsi"/>
          <w:sz w:val="22"/>
          <w:szCs w:val="22"/>
        </w:rPr>
        <w:t xml:space="preserve"> and attend breakdowns in quick time and perform </w:t>
      </w:r>
      <w:r w:rsidR="00124CFA" w:rsidRPr="00153204">
        <w:rPr>
          <w:rStyle w:val="normaltextrun"/>
          <w:rFonts w:asciiTheme="minorHAnsi" w:hAnsiTheme="minorHAnsi" w:cstheme="minorHAnsi"/>
          <w:sz w:val="22"/>
          <w:szCs w:val="22"/>
        </w:rPr>
        <w:t xml:space="preserve">preventive </w:t>
      </w:r>
      <w:r w:rsidRPr="00153204">
        <w:rPr>
          <w:rStyle w:val="normaltextrun"/>
          <w:rFonts w:asciiTheme="minorHAnsi" w:hAnsiTheme="minorHAnsi" w:cstheme="minorHAnsi"/>
          <w:sz w:val="22"/>
          <w:szCs w:val="22"/>
        </w:rPr>
        <w:t>maintenance activities to enhance system reliability</w:t>
      </w:r>
      <w:r w:rsidR="007049E8" w:rsidRPr="00153204">
        <w:rPr>
          <w:rStyle w:val="normaltextrun"/>
          <w:rFonts w:asciiTheme="minorHAnsi" w:hAnsiTheme="minorHAnsi" w:cstheme="minorHAnsi"/>
          <w:sz w:val="22"/>
          <w:szCs w:val="22"/>
        </w:rPr>
        <w:t xml:space="preserve"> by re</w:t>
      </w:r>
      <w:r w:rsidR="00F8057A" w:rsidRPr="00153204">
        <w:rPr>
          <w:rStyle w:val="normaltextrun"/>
          <w:rFonts w:asciiTheme="minorHAnsi" w:hAnsiTheme="minorHAnsi" w:cstheme="minorHAnsi"/>
          <w:sz w:val="22"/>
          <w:szCs w:val="22"/>
        </w:rPr>
        <w:t>c</w:t>
      </w:r>
      <w:r w:rsidR="007049E8" w:rsidRPr="00153204">
        <w:rPr>
          <w:rStyle w:val="normaltextrun"/>
          <w:rFonts w:asciiTheme="minorHAnsi" w:hAnsiTheme="minorHAnsi" w:cstheme="minorHAnsi"/>
          <w:sz w:val="22"/>
          <w:szCs w:val="22"/>
        </w:rPr>
        <w:t>tifying the probable faults even before they occur.</w:t>
      </w:r>
    </w:p>
    <w:p w14:paraId="6BD96CD4" w14:textId="77777777" w:rsidR="00DD4EFA" w:rsidRPr="00153204" w:rsidRDefault="00DD4EFA" w:rsidP="00E71523">
      <w:pPr>
        <w:pStyle w:val="paragraph"/>
        <w:spacing w:before="0" w:beforeAutospacing="0" w:after="0" w:afterAutospacing="0" w:line="360" w:lineRule="auto"/>
        <w:ind w:left="567"/>
        <w:jc w:val="both"/>
        <w:textAlignment w:val="baseline"/>
        <w:rPr>
          <w:rStyle w:val="normaltextrun"/>
          <w:rFonts w:asciiTheme="minorHAnsi" w:hAnsiTheme="minorHAnsi" w:cstheme="minorHAnsi"/>
          <w:sz w:val="22"/>
          <w:szCs w:val="22"/>
        </w:rPr>
      </w:pPr>
    </w:p>
    <w:p w14:paraId="1D44691C" w14:textId="741DF4AD" w:rsidR="000D7474" w:rsidRPr="00153204" w:rsidRDefault="000D7474" w:rsidP="00E71523">
      <w:pPr>
        <w:pStyle w:val="paragraph"/>
        <w:spacing w:before="0" w:beforeAutospacing="0" w:after="0" w:afterAutospacing="0" w:line="360" w:lineRule="auto"/>
        <w:ind w:left="567"/>
        <w:jc w:val="both"/>
        <w:textAlignment w:val="baseline"/>
        <w:rPr>
          <w:rStyle w:val="normaltextrun"/>
          <w:rFonts w:asciiTheme="minorHAnsi" w:hAnsiTheme="minorHAnsi" w:cstheme="minorHAnsi"/>
          <w:sz w:val="22"/>
          <w:szCs w:val="22"/>
        </w:rPr>
      </w:pPr>
      <w:r w:rsidRPr="00153204">
        <w:rPr>
          <w:rStyle w:val="normaltextrun"/>
          <w:rFonts w:asciiTheme="minorHAnsi" w:hAnsiTheme="minorHAnsi" w:cstheme="minorHAnsi"/>
          <w:sz w:val="22"/>
          <w:szCs w:val="22"/>
        </w:rPr>
        <w:t>The Performance Based Maintenance Contract also includes 24X7 Breakdowns Crews for restoration of 33KV &amp; 11KV feeders and substation equipment. Besides, preventive maintenance activities are being performed as per the maintenance plan and schedule prepared by TPNODL</w:t>
      </w:r>
      <w:r w:rsidR="007049E8" w:rsidRPr="00153204">
        <w:rPr>
          <w:rStyle w:val="normaltextrun"/>
          <w:rFonts w:asciiTheme="minorHAnsi" w:hAnsiTheme="minorHAnsi" w:cstheme="minorHAnsi"/>
          <w:sz w:val="22"/>
          <w:szCs w:val="22"/>
        </w:rPr>
        <w:t xml:space="preserve"> using the SAP PM system.</w:t>
      </w:r>
    </w:p>
    <w:p w14:paraId="64811D01" w14:textId="77777777" w:rsidR="000D7474" w:rsidRPr="00153204" w:rsidRDefault="000D7474" w:rsidP="00E71523">
      <w:pPr>
        <w:pStyle w:val="paragraph"/>
        <w:spacing w:before="0" w:beforeAutospacing="0" w:after="0" w:afterAutospacing="0" w:line="360" w:lineRule="auto"/>
        <w:ind w:left="567"/>
        <w:jc w:val="both"/>
        <w:textAlignment w:val="baseline"/>
        <w:rPr>
          <w:rStyle w:val="normaltextrun"/>
          <w:rFonts w:asciiTheme="minorHAnsi" w:hAnsiTheme="minorHAnsi" w:cstheme="minorHAnsi"/>
          <w:sz w:val="22"/>
          <w:szCs w:val="22"/>
        </w:rPr>
      </w:pPr>
    </w:p>
    <w:p w14:paraId="593FB339" w14:textId="0F30F0A9" w:rsidR="0060740B" w:rsidRPr="00153204" w:rsidRDefault="0060740B" w:rsidP="00DD4EFA">
      <w:pPr>
        <w:autoSpaceDE w:val="0"/>
        <w:autoSpaceDN w:val="0"/>
        <w:adjustRightInd w:val="0"/>
        <w:spacing w:line="360" w:lineRule="auto"/>
        <w:ind w:left="567"/>
        <w:jc w:val="both"/>
        <w:rPr>
          <w:rFonts w:asciiTheme="minorHAnsi" w:hAnsiTheme="minorHAnsi" w:cstheme="minorHAnsi"/>
          <w:sz w:val="22"/>
          <w:szCs w:val="22"/>
        </w:rPr>
      </w:pPr>
      <w:r w:rsidRPr="00153204">
        <w:rPr>
          <w:rFonts w:asciiTheme="minorHAnsi" w:hAnsiTheme="minorHAnsi" w:cstheme="minorHAnsi"/>
          <w:sz w:val="22"/>
          <w:szCs w:val="22"/>
        </w:rPr>
        <w:t xml:space="preserve"> The Annual Maintenance Contracts for maintenance of LT, 11 KV and 33 KV infrastructure,</w:t>
      </w:r>
      <w:r w:rsidR="007049E8" w:rsidRPr="00153204">
        <w:rPr>
          <w:rFonts w:asciiTheme="minorHAnsi" w:hAnsiTheme="minorHAnsi" w:cstheme="minorHAnsi"/>
          <w:sz w:val="22"/>
          <w:szCs w:val="22"/>
        </w:rPr>
        <w:t xml:space="preserve"> </w:t>
      </w:r>
      <w:proofErr w:type="gramStart"/>
      <w:r w:rsidR="007049E8" w:rsidRPr="00153204">
        <w:rPr>
          <w:rFonts w:asciiTheme="minorHAnsi" w:hAnsiTheme="minorHAnsi" w:cstheme="minorHAnsi"/>
          <w:sz w:val="22"/>
          <w:szCs w:val="22"/>
        </w:rPr>
        <w:t xml:space="preserve">covers </w:t>
      </w:r>
      <w:r w:rsidRPr="00153204">
        <w:rPr>
          <w:rFonts w:asciiTheme="minorHAnsi" w:hAnsiTheme="minorHAnsi" w:cstheme="minorHAnsi"/>
          <w:sz w:val="22"/>
          <w:szCs w:val="22"/>
        </w:rPr>
        <w:t xml:space="preserve"> both</w:t>
      </w:r>
      <w:proofErr w:type="gramEnd"/>
      <w:r w:rsidRPr="00153204">
        <w:rPr>
          <w:rFonts w:asciiTheme="minorHAnsi" w:hAnsiTheme="minorHAnsi" w:cstheme="minorHAnsi"/>
          <w:sz w:val="22"/>
          <w:szCs w:val="22"/>
        </w:rPr>
        <w:t xml:space="preserve"> the infrastructure in the GFA /Books of TPNODL as well as the Govt. Funded Infrastructure; the Hon’ble Commission shall appreciate that both, the Company owned Assets as well as those financed by the Government and transferred to the DISCOM to use and maintain, form part of the same Distribution Network and consequently require similar maintenance.</w:t>
      </w:r>
    </w:p>
    <w:p w14:paraId="3575080C" w14:textId="77777777" w:rsidR="00DD4EFA" w:rsidRDefault="0060740B" w:rsidP="00DD4EFA">
      <w:pPr>
        <w:autoSpaceDE w:val="0"/>
        <w:autoSpaceDN w:val="0"/>
        <w:adjustRightInd w:val="0"/>
        <w:spacing w:line="360" w:lineRule="auto"/>
        <w:ind w:left="567"/>
        <w:jc w:val="both"/>
        <w:rPr>
          <w:rFonts w:asciiTheme="minorHAnsi" w:hAnsiTheme="minorHAnsi" w:cstheme="minorHAnsi"/>
          <w:sz w:val="22"/>
          <w:szCs w:val="22"/>
        </w:rPr>
      </w:pPr>
      <w:r w:rsidRPr="00153204">
        <w:rPr>
          <w:rFonts w:asciiTheme="minorHAnsi" w:hAnsiTheme="minorHAnsi" w:cstheme="minorHAnsi"/>
          <w:sz w:val="22"/>
          <w:szCs w:val="22"/>
        </w:rPr>
        <w:t xml:space="preserve">It is worthwhile to clarify that the Maintenance Contracts placed by the Company are for maintaining all Assets in the Network, which includes both Co. owned (reflected as Company’s GFA) as well as the Govt. funded Assets. Since these are largely </w:t>
      </w:r>
      <w:proofErr w:type="spellStart"/>
      <w:r w:rsidRPr="00153204">
        <w:rPr>
          <w:rFonts w:asciiTheme="minorHAnsi" w:hAnsiTheme="minorHAnsi" w:cstheme="minorHAnsi"/>
          <w:sz w:val="22"/>
          <w:szCs w:val="22"/>
        </w:rPr>
        <w:t>labour-intensive</w:t>
      </w:r>
      <w:proofErr w:type="spellEnd"/>
      <w:r w:rsidRPr="00153204">
        <w:rPr>
          <w:rFonts w:asciiTheme="minorHAnsi" w:hAnsiTheme="minorHAnsi" w:cstheme="minorHAnsi"/>
          <w:sz w:val="22"/>
          <w:szCs w:val="22"/>
        </w:rPr>
        <w:t xml:space="preserve"> contracts for maintenance of the entire network, the cost of such maintenance cannot be different for own and govt. funded assets.</w:t>
      </w:r>
    </w:p>
    <w:p w14:paraId="70FBED0C" w14:textId="77777777" w:rsidR="00DD4EFA" w:rsidRDefault="00DD4EFA" w:rsidP="00DD4EFA">
      <w:pPr>
        <w:autoSpaceDE w:val="0"/>
        <w:autoSpaceDN w:val="0"/>
        <w:adjustRightInd w:val="0"/>
        <w:spacing w:line="360" w:lineRule="auto"/>
        <w:ind w:left="567"/>
        <w:jc w:val="both"/>
        <w:rPr>
          <w:rFonts w:asciiTheme="minorHAnsi" w:hAnsiTheme="minorHAnsi" w:cstheme="minorHAnsi"/>
          <w:b/>
        </w:rPr>
      </w:pPr>
    </w:p>
    <w:p w14:paraId="3630C204" w14:textId="65C27B2A" w:rsidR="002F0A87" w:rsidRPr="00DD4EFA" w:rsidRDefault="002F0A87" w:rsidP="00DD4EFA">
      <w:pPr>
        <w:autoSpaceDE w:val="0"/>
        <w:autoSpaceDN w:val="0"/>
        <w:adjustRightInd w:val="0"/>
        <w:spacing w:line="360" w:lineRule="auto"/>
        <w:ind w:left="567"/>
        <w:jc w:val="both"/>
        <w:rPr>
          <w:rFonts w:asciiTheme="minorHAnsi" w:hAnsiTheme="minorHAnsi" w:cstheme="minorHAnsi"/>
          <w:sz w:val="22"/>
          <w:szCs w:val="22"/>
        </w:rPr>
      </w:pPr>
      <w:r w:rsidRPr="00DD4EFA">
        <w:rPr>
          <w:rFonts w:asciiTheme="minorHAnsi" w:hAnsiTheme="minorHAnsi" w:cstheme="minorHAnsi"/>
        </w:rPr>
        <w:t>The licensee is placing hereunder the comparative achievements in Reliability parameters in the FY 23-24</w:t>
      </w:r>
      <w:r w:rsidRPr="00DD4EFA">
        <w:rPr>
          <w:rFonts w:asciiTheme="minorHAnsi" w:hAnsiTheme="minorHAnsi" w:cstheme="minorHAnsi"/>
          <w:b/>
        </w:rPr>
        <w:t>.</w:t>
      </w:r>
    </w:p>
    <w:p w14:paraId="078FDB03" w14:textId="52CA742B" w:rsidR="002F0A87" w:rsidRPr="003D5FB5" w:rsidRDefault="002F0A87" w:rsidP="002F0A87">
      <w:pPr>
        <w:jc w:val="center"/>
        <w:rPr>
          <w:rFonts w:asciiTheme="minorHAnsi" w:hAnsiTheme="minorHAnsi" w:cstheme="minorHAnsi"/>
          <w:sz w:val="22"/>
          <w:szCs w:val="22"/>
          <w:lang w:val="en-IN"/>
        </w:rPr>
      </w:pPr>
      <w:r w:rsidRPr="003D5FB5">
        <w:rPr>
          <w:rFonts w:asciiTheme="minorHAnsi" w:hAnsiTheme="minorHAnsi" w:cstheme="minorHAnsi"/>
          <w:b/>
          <w:sz w:val="22"/>
          <w:szCs w:val="22"/>
        </w:rPr>
        <w:lastRenderedPageBreak/>
        <w:t>Table-1</w:t>
      </w:r>
      <w:r w:rsidR="00EA573A">
        <w:rPr>
          <w:rFonts w:asciiTheme="minorHAnsi" w:hAnsiTheme="minorHAnsi" w:cstheme="minorHAnsi"/>
          <w:b/>
          <w:sz w:val="22"/>
          <w:szCs w:val="22"/>
        </w:rPr>
        <w:t>9</w:t>
      </w:r>
      <w:r w:rsidRPr="003D5FB5">
        <w:rPr>
          <w:rFonts w:asciiTheme="minorHAnsi" w:hAnsiTheme="minorHAnsi" w:cstheme="minorHAnsi"/>
          <w:b/>
          <w:sz w:val="22"/>
          <w:szCs w:val="22"/>
        </w:rPr>
        <w:t xml:space="preserve"> –Reliability Indices in three years of Operation</w:t>
      </w:r>
    </w:p>
    <w:p w14:paraId="34D1C779" w14:textId="77777777" w:rsidR="002F0A87" w:rsidRPr="003D5FB5" w:rsidRDefault="002F0A87" w:rsidP="002F0A87">
      <w:pPr>
        <w:jc w:val="center"/>
        <w:rPr>
          <w:rFonts w:asciiTheme="minorHAnsi" w:hAnsiTheme="minorHAnsi" w:cstheme="minorHAnsi"/>
          <w:sz w:val="22"/>
          <w:szCs w:val="22"/>
          <w:lang w:val="en-IN"/>
        </w:rPr>
      </w:pPr>
    </w:p>
    <w:tbl>
      <w:tblPr>
        <w:tblW w:w="8700" w:type="dxa"/>
        <w:tblInd w:w="632" w:type="dxa"/>
        <w:tblLayout w:type="fixed"/>
        <w:tblLook w:val="04A0" w:firstRow="1" w:lastRow="0" w:firstColumn="1" w:lastColumn="0" w:noHBand="0" w:noVBand="1"/>
      </w:tblPr>
      <w:tblGrid>
        <w:gridCol w:w="2818"/>
        <w:gridCol w:w="3020"/>
        <w:gridCol w:w="2862"/>
      </w:tblGrid>
      <w:tr w:rsidR="002F0A87" w:rsidRPr="003D5FB5" w14:paraId="625FF244" w14:textId="77777777" w:rsidTr="00EA573A">
        <w:trPr>
          <w:trHeight w:val="341"/>
        </w:trPr>
        <w:tc>
          <w:tcPr>
            <w:tcW w:w="2818" w:type="dxa"/>
            <w:tcBorders>
              <w:top w:val="single" w:sz="8" w:space="0" w:color="000000"/>
              <w:left w:val="single" w:sz="8" w:space="0" w:color="000000"/>
              <w:bottom w:val="single" w:sz="8" w:space="0" w:color="000000"/>
              <w:right w:val="single" w:sz="8" w:space="0" w:color="000000"/>
            </w:tcBorders>
            <w:shd w:val="clear" w:color="auto" w:fill="95B3D7" w:themeFill="accent1" w:themeFillTint="99"/>
            <w:vAlign w:val="bottom"/>
          </w:tcPr>
          <w:p w14:paraId="6EDE4E70" w14:textId="77777777" w:rsidR="002F0A87" w:rsidRPr="003D5FB5" w:rsidRDefault="002F0A87" w:rsidP="002F0A87">
            <w:pPr>
              <w:jc w:val="center"/>
              <w:rPr>
                <w:rFonts w:asciiTheme="minorHAnsi" w:hAnsiTheme="minorHAnsi" w:cstheme="minorHAnsi"/>
                <w:b/>
                <w:bCs/>
                <w:color w:val="000000"/>
                <w:sz w:val="22"/>
                <w:szCs w:val="22"/>
                <w:lang w:eastAsia="en-IN"/>
              </w:rPr>
            </w:pPr>
            <w:r w:rsidRPr="003D5FB5">
              <w:rPr>
                <w:rFonts w:asciiTheme="minorHAnsi" w:hAnsiTheme="minorHAnsi" w:cstheme="minorHAnsi"/>
                <w:b/>
                <w:bCs/>
                <w:color w:val="000000"/>
                <w:sz w:val="22"/>
                <w:szCs w:val="22"/>
                <w:lang w:eastAsia="en-IN"/>
              </w:rPr>
              <w:t>FY</w:t>
            </w:r>
          </w:p>
        </w:tc>
        <w:tc>
          <w:tcPr>
            <w:tcW w:w="3020" w:type="dxa"/>
            <w:tcBorders>
              <w:top w:val="single" w:sz="8" w:space="0" w:color="000000"/>
              <w:bottom w:val="single" w:sz="8" w:space="0" w:color="000000"/>
              <w:right w:val="single" w:sz="8" w:space="0" w:color="000000"/>
            </w:tcBorders>
            <w:shd w:val="clear" w:color="auto" w:fill="95B3D7" w:themeFill="accent1" w:themeFillTint="99"/>
            <w:vAlign w:val="bottom"/>
          </w:tcPr>
          <w:p w14:paraId="61740497" w14:textId="77777777" w:rsidR="002F0A87" w:rsidRPr="003D5FB5" w:rsidRDefault="002F0A87" w:rsidP="002F0A87">
            <w:pPr>
              <w:jc w:val="center"/>
              <w:rPr>
                <w:rFonts w:asciiTheme="minorHAnsi" w:hAnsiTheme="minorHAnsi" w:cstheme="minorHAnsi"/>
                <w:b/>
                <w:bCs/>
                <w:color w:val="000000"/>
                <w:sz w:val="22"/>
                <w:szCs w:val="22"/>
                <w:lang w:eastAsia="en-IN"/>
              </w:rPr>
            </w:pPr>
            <w:r w:rsidRPr="003D5FB5">
              <w:rPr>
                <w:rFonts w:asciiTheme="minorHAnsi" w:hAnsiTheme="minorHAnsi" w:cstheme="minorHAnsi"/>
                <w:b/>
                <w:bCs/>
                <w:color w:val="000000"/>
                <w:sz w:val="22"/>
                <w:szCs w:val="22"/>
                <w:lang w:eastAsia="en-IN"/>
              </w:rPr>
              <w:t>SAIDI</w:t>
            </w:r>
          </w:p>
        </w:tc>
        <w:tc>
          <w:tcPr>
            <w:tcW w:w="2862" w:type="dxa"/>
            <w:tcBorders>
              <w:top w:val="single" w:sz="8" w:space="0" w:color="000000"/>
              <w:bottom w:val="single" w:sz="8" w:space="0" w:color="000000"/>
              <w:right w:val="single" w:sz="8" w:space="0" w:color="000000"/>
            </w:tcBorders>
            <w:shd w:val="clear" w:color="auto" w:fill="95B3D7" w:themeFill="accent1" w:themeFillTint="99"/>
            <w:vAlign w:val="bottom"/>
          </w:tcPr>
          <w:p w14:paraId="3AE0EFE5" w14:textId="77777777" w:rsidR="002F0A87" w:rsidRPr="003D5FB5" w:rsidRDefault="002F0A87" w:rsidP="002F0A87">
            <w:pPr>
              <w:jc w:val="center"/>
              <w:rPr>
                <w:rFonts w:asciiTheme="minorHAnsi" w:hAnsiTheme="minorHAnsi" w:cstheme="minorHAnsi"/>
                <w:b/>
                <w:bCs/>
                <w:color w:val="000000"/>
                <w:sz w:val="22"/>
                <w:szCs w:val="22"/>
                <w:lang w:eastAsia="en-IN"/>
              </w:rPr>
            </w:pPr>
            <w:r w:rsidRPr="003D5FB5">
              <w:rPr>
                <w:rFonts w:asciiTheme="minorHAnsi" w:hAnsiTheme="minorHAnsi" w:cstheme="minorHAnsi"/>
                <w:b/>
                <w:bCs/>
                <w:color w:val="000000"/>
                <w:sz w:val="22"/>
                <w:szCs w:val="22"/>
                <w:lang w:eastAsia="en-IN"/>
              </w:rPr>
              <w:t>SAIFI</w:t>
            </w:r>
          </w:p>
        </w:tc>
      </w:tr>
      <w:tr w:rsidR="002F0A87" w:rsidRPr="003D5FB5" w14:paraId="0443D64D" w14:textId="77777777" w:rsidTr="00EA573A">
        <w:trPr>
          <w:trHeight w:val="341"/>
        </w:trPr>
        <w:tc>
          <w:tcPr>
            <w:tcW w:w="2818" w:type="dxa"/>
            <w:tcBorders>
              <w:left w:val="single" w:sz="8" w:space="0" w:color="000000"/>
              <w:bottom w:val="single" w:sz="8" w:space="0" w:color="000000"/>
              <w:right w:val="single" w:sz="8" w:space="0" w:color="000000"/>
            </w:tcBorders>
            <w:vAlign w:val="bottom"/>
          </w:tcPr>
          <w:p w14:paraId="15DDFEE3" w14:textId="77777777" w:rsidR="002F0A87" w:rsidRPr="003D5FB5" w:rsidRDefault="002F0A87" w:rsidP="002F0A87">
            <w:pPr>
              <w:jc w:val="center"/>
              <w:rPr>
                <w:rFonts w:asciiTheme="minorHAnsi" w:hAnsiTheme="minorHAnsi" w:cstheme="minorHAnsi"/>
                <w:b/>
                <w:bCs/>
                <w:color w:val="000000"/>
                <w:sz w:val="22"/>
                <w:szCs w:val="22"/>
                <w:lang w:eastAsia="en-IN"/>
              </w:rPr>
            </w:pPr>
            <w:r w:rsidRPr="003D5FB5">
              <w:rPr>
                <w:rFonts w:asciiTheme="minorHAnsi" w:hAnsiTheme="minorHAnsi" w:cstheme="minorHAnsi"/>
                <w:b/>
                <w:bCs/>
                <w:color w:val="000000"/>
                <w:sz w:val="22"/>
                <w:szCs w:val="22"/>
                <w:lang w:eastAsia="en-IN"/>
              </w:rPr>
              <w:t>2021-22</w:t>
            </w:r>
          </w:p>
        </w:tc>
        <w:tc>
          <w:tcPr>
            <w:tcW w:w="3020" w:type="dxa"/>
            <w:tcBorders>
              <w:bottom w:val="single" w:sz="8" w:space="0" w:color="000000"/>
              <w:right w:val="single" w:sz="8" w:space="0" w:color="000000"/>
            </w:tcBorders>
            <w:vAlign w:val="bottom"/>
          </w:tcPr>
          <w:p w14:paraId="0087F853" w14:textId="77777777" w:rsidR="002F0A87" w:rsidRPr="003D5FB5" w:rsidRDefault="002F0A87" w:rsidP="002F0A87">
            <w:pPr>
              <w:jc w:val="center"/>
              <w:rPr>
                <w:rFonts w:asciiTheme="minorHAnsi" w:hAnsiTheme="minorHAnsi" w:cstheme="minorHAnsi"/>
                <w:color w:val="000000"/>
                <w:sz w:val="22"/>
                <w:szCs w:val="22"/>
                <w:lang w:eastAsia="en-IN"/>
              </w:rPr>
            </w:pPr>
            <w:r w:rsidRPr="003D5FB5">
              <w:rPr>
                <w:rFonts w:asciiTheme="minorHAnsi" w:hAnsiTheme="minorHAnsi" w:cstheme="minorHAnsi"/>
                <w:color w:val="000000"/>
                <w:sz w:val="22"/>
                <w:szCs w:val="22"/>
                <w:lang w:eastAsia="en-IN"/>
              </w:rPr>
              <w:t>455.51</w:t>
            </w:r>
          </w:p>
        </w:tc>
        <w:tc>
          <w:tcPr>
            <w:tcW w:w="2862" w:type="dxa"/>
            <w:tcBorders>
              <w:bottom w:val="single" w:sz="8" w:space="0" w:color="000000"/>
              <w:right w:val="single" w:sz="8" w:space="0" w:color="000000"/>
            </w:tcBorders>
            <w:vAlign w:val="bottom"/>
          </w:tcPr>
          <w:p w14:paraId="7B4E41EB" w14:textId="77777777" w:rsidR="002F0A87" w:rsidRPr="003D5FB5" w:rsidRDefault="002F0A87" w:rsidP="002F0A87">
            <w:pPr>
              <w:jc w:val="center"/>
              <w:rPr>
                <w:rFonts w:asciiTheme="minorHAnsi" w:hAnsiTheme="minorHAnsi" w:cstheme="minorHAnsi"/>
                <w:color w:val="000000"/>
                <w:sz w:val="22"/>
                <w:szCs w:val="22"/>
                <w:lang w:eastAsia="en-IN"/>
              </w:rPr>
            </w:pPr>
            <w:r w:rsidRPr="003D5FB5">
              <w:rPr>
                <w:rFonts w:asciiTheme="minorHAnsi" w:hAnsiTheme="minorHAnsi" w:cstheme="minorHAnsi"/>
                <w:color w:val="000000"/>
                <w:sz w:val="22"/>
                <w:szCs w:val="22"/>
                <w:lang w:eastAsia="en-IN"/>
              </w:rPr>
              <w:t>680.00</w:t>
            </w:r>
          </w:p>
        </w:tc>
      </w:tr>
      <w:tr w:rsidR="002F0A87" w:rsidRPr="003D5FB5" w14:paraId="1E77986D" w14:textId="77777777" w:rsidTr="00EA573A">
        <w:trPr>
          <w:trHeight w:val="358"/>
        </w:trPr>
        <w:tc>
          <w:tcPr>
            <w:tcW w:w="2818" w:type="dxa"/>
            <w:tcBorders>
              <w:left w:val="single" w:sz="8" w:space="0" w:color="000000"/>
              <w:bottom w:val="single" w:sz="8" w:space="0" w:color="000000"/>
              <w:right w:val="single" w:sz="8" w:space="0" w:color="000000"/>
            </w:tcBorders>
            <w:vAlign w:val="bottom"/>
          </w:tcPr>
          <w:p w14:paraId="398105A4" w14:textId="77777777" w:rsidR="002F0A87" w:rsidRPr="003D5FB5" w:rsidRDefault="002F0A87" w:rsidP="002F0A87">
            <w:pPr>
              <w:jc w:val="center"/>
              <w:rPr>
                <w:rFonts w:asciiTheme="minorHAnsi" w:hAnsiTheme="minorHAnsi" w:cstheme="minorHAnsi"/>
                <w:b/>
                <w:bCs/>
                <w:color w:val="000000"/>
                <w:sz w:val="22"/>
                <w:szCs w:val="22"/>
                <w:lang w:eastAsia="en-IN"/>
              </w:rPr>
            </w:pPr>
            <w:r w:rsidRPr="003D5FB5">
              <w:rPr>
                <w:rFonts w:asciiTheme="minorHAnsi" w:hAnsiTheme="minorHAnsi" w:cstheme="minorHAnsi"/>
                <w:b/>
                <w:bCs/>
                <w:color w:val="000000"/>
                <w:sz w:val="22"/>
                <w:szCs w:val="22"/>
                <w:lang w:eastAsia="en-IN"/>
              </w:rPr>
              <w:t>2022-23</w:t>
            </w:r>
          </w:p>
        </w:tc>
        <w:tc>
          <w:tcPr>
            <w:tcW w:w="3020" w:type="dxa"/>
            <w:tcBorders>
              <w:bottom w:val="single" w:sz="8" w:space="0" w:color="000000"/>
              <w:right w:val="single" w:sz="8" w:space="0" w:color="000000"/>
            </w:tcBorders>
            <w:vAlign w:val="bottom"/>
          </w:tcPr>
          <w:p w14:paraId="25C22ADD" w14:textId="77777777" w:rsidR="002F0A87" w:rsidRPr="003D5FB5" w:rsidRDefault="002F0A87" w:rsidP="002F0A87">
            <w:pPr>
              <w:jc w:val="center"/>
              <w:rPr>
                <w:rFonts w:asciiTheme="minorHAnsi" w:hAnsiTheme="minorHAnsi" w:cstheme="minorHAnsi"/>
                <w:color w:val="000000"/>
                <w:sz w:val="22"/>
                <w:szCs w:val="22"/>
                <w:lang w:eastAsia="en-IN"/>
              </w:rPr>
            </w:pPr>
            <w:r w:rsidRPr="003D5FB5">
              <w:rPr>
                <w:rFonts w:asciiTheme="minorHAnsi" w:hAnsiTheme="minorHAnsi" w:cstheme="minorHAnsi"/>
                <w:color w:val="000000"/>
                <w:sz w:val="22"/>
                <w:szCs w:val="22"/>
                <w:lang w:eastAsia="en-IN"/>
              </w:rPr>
              <w:t>378.39</w:t>
            </w:r>
          </w:p>
        </w:tc>
        <w:tc>
          <w:tcPr>
            <w:tcW w:w="2862" w:type="dxa"/>
            <w:tcBorders>
              <w:bottom w:val="single" w:sz="8" w:space="0" w:color="000000"/>
              <w:right w:val="single" w:sz="8" w:space="0" w:color="000000"/>
            </w:tcBorders>
            <w:vAlign w:val="bottom"/>
          </w:tcPr>
          <w:p w14:paraId="24F3224D" w14:textId="77777777" w:rsidR="002F0A87" w:rsidRPr="003D5FB5" w:rsidRDefault="002F0A87" w:rsidP="002F0A87">
            <w:pPr>
              <w:jc w:val="center"/>
              <w:rPr>
                <w:rFonts w:asciiTheme="minorHAnsi" w:hAnsiTheme="minorHAnsi" w:cstheme="minorHAnsi"/>
                <w:color w:val="000000"/>
                <w:sz w:val="22"/>
                <w:szCs w:val="22"/>
                <w:lang w:eastAsia="en-IN"/>
              </w:rPr>
            </w:pPr>
            <w:r w:rsidRPr="003D5FB5">
              <w:rPr>
                <w:rFonts w:asciiTheme="minorHAnsi" w:hAnsiTheme="minorHAnsi" w:cstheme="minorHAnsi"/>
                <w:color w:val="000000"/>
                <w:sz w:val="22"/>
                <w:szCs w:val="22"/>
                <w:lang w:eastAsia="en-IN"/>
              </w:rPr>
              <w:t>621.20</w:t>
            </w:r>
          </w:p>
        </w:tc>
      </w:tr>
      <w:tr w:rsidR="002F0A87" w:rsidRPr="003D5FB5" w14:paraId="63F6E81F" w14:textId="77777777" w:rsidTr="00EA573A">
        <w:trPr>
          <w:trHeight w:val="341"/>
        </w:trPr>
        <w:tc>
          <w:tcPr>
            <w:tcW w:w="2818" w:type="dxa"/>
            <w:tcBorders>
              <w:left w:val="single" w:sz="8" w:space="0" w:color="000000"/>
              <w:bottom w:val="single" w:sz="8" w:space="0" w:color="000000"/>
              <w:right w:val="single" w:sz="8" w:space="0" w:color="000000"/>
            </w:tcBorders>
            <w:vAlign w:val="bottom"/>
          </w:tcPr>
          <w:p w14:paraId="6D1F46C4" w14:textId="77777777" w:rsidR="002F0A87" w:rsidRPr="003D5FB5" w:rsidRDefault="002F0A87" w:rsidP="002F0A87">
            <w:pPr>
              <w:jc w:val="center"/>
              <w:rPr>
                <w:rFonts w:asciiTheme="minorHAnsi" w:hAnsiTheme="minorHAnsi" w:cstheme="minorHAnsi"/>
                <w:b/>
                <w:bCs/>
                <w:color w:val="000000"/>
                <w:sz w:val="22"/>
                <w:szCs w:val="22"/>
                <w:lang w:eastAsia="en-IN"/>
              </w:rPr>
            </w:pPr>
            <w:r w:rsidRPr="003D5FB5">
              <w:rPr>
                <w:rFonts w:asciiTheme="minorHAnsi" w:hAnsiTheme="minorHAnsi" w:cstheme="minorHAnsi"/>
                <w:b/>
                <w:bCs/>
                <w:color w:val="000000"/>
                <w:sz w:val="22"/>
                <w:szCs w:val="22"/>
                <w:lang w:eastAsia="en-IN"/>
              </w:rPr>
              <w:t>2023-24</w:t>
            </w:r>
          </w:p>
        </w:tc>
        <w:tc>
          <w:tcPr>
            <w:tcW w:w="3020" w:type="dxa"/>
            <w:tcBorders>
              <w:bottom w:val="single" w:sz="8" w:space="0" w:color="000000"/>
              <w:right w:val="single" w:sz="8" w:space="0" w:color="000000"/>
            </w:tcBorders>
            <w:vAlign w:val="bottom"/>
          </w:tcPr>
          <w:p w14:paraId="63EABDBE" w14:textId="77777777" w:rsidR="002F0A87" w:rsidRPr="003D5FB5" w:rsidRDefault="002F0A87" w:rsidP="002F0A87">
            <w:pPr>
              <w:jc w:val="center"/>
              <w:rPr>
                <w:rFonts w:asciiTheme="minorHAnsi" w:hAnsiTheme="minorHAnsi" w:cstheme="minorHAnsi"/>
                <w:color w:val="000000"/>
                <w:sz w:val="22"/>
                <w:szCs w:val="22"/>
                <w:lang w:eastAsia="en-IN"/>
              </w:rPr>
            </w:pPr>
            <w:r w:rsidRPr="003D5FB5">
              <w:rPr>
                <w:rFonts w:asciiTheme="minorHAnsi" w:hAnsiTheme="minorHAnsi" w:cstheme="minorHAnsi"/>
                <w:color w:val="000000"/>
                <w:sz w:val="22"/>
                <w:szCs w:val="22"/>
                <w:lang w:eastAsia="en-IN"/>
              </w:rPr>
              <w:t>348.95</w:t>
            </w:r>
          </w:p>
        </w:tc>
        <w:tc>
          <w:tcPr>
            <w:tcW w:w="2862" w:type="dxa"/>
            <w:tcBorders>
              <w:bottom w:val="single" w:sz="8" w:space="0" w:color="000000"/>
              <w:right w:val="single" w:sz="8" w:space="0" w:color="000000"/>
            </w:tcBorders>
            <w:vAlign w:val="bottom"/>
          </w:tcPr>
          <w:p w14:paraId="3F7E1BA2" w14:textId="77777777" w:rsidR="002F0A87" w:rsidRPr="003D5FB5" w:rsidRDefault="002F0A87" w:rsidP="002F0A87">
            <w:pPr>
              <w:jc w:val="center"/>
              <w:rPr>
                <w:rFonts w:asciiTheme="minorHAnsi" w:hAnsiTheme="minorHAnsi" w:cstheme="minorHAnsi"/>
                <w:color w:val="000000"/>
                <w:sz w:val="22"/>
                <w:szCs w:val="22"/>
                <w:lang w:eastAsia="en-IN"/>
              </w:rPr>
            </w:pPr>
            <w:r w:rsidRPr="003D5FB5">
              <w:rPr>
                <w:rFonts w:asciiTheme="minorHAnsi" w:hAnsiTheme="minorHAnsi" w:cstheme="minorHAnsi"/>
                <w:color w:val="000000"/>
                <w:sz w:val="22"/>
                <w:szCs w:val="22"/>
                <w:lang w:eastAsia="en-IN"/>
              </w:rPr>
              <w:t>576.45</w:t>
            </w:r>
          </w:p>
        </w:tc>
      </w:tr>
    </w:tbl>
    <w:p w14:paraId="1233D80A" w14:textId="26E915CD" w:rsidR="002F0A87" w:rsidRPr="003D5FB5" w:rsidRDefault="00EA573A" w:rsidP="002F0A87">
      <w:pPr>
        <w:spacing w:line="360" w:lineRule="auto"/>
        <w:ind w:left="284"/>
        <w:jc w:val="both"/>
        <w:rPr>
          <w:rFonts w:asciiTheme="minorHAnsi" w:hAnsiTheme="minorHAnsi" w:cstheme="minorHAnsi"/>
          <w:sz w:val="22"/>
          <w:szCs w:val="22"/>
        </w:rPr>
      </w:pPr>
      <w:r w:rsidRPr="003D5FB5">
        <w:rPr>
          <w:rFonts w:asciiTheme="minorHAnsi" w:hAnsiTheme="minorHAnsi" w:cstheme="minorHAnsi"/>
          <w:noProof/>
          <w:sz w:val="22"/>
          <w:szCs w:val="22"/>
          <w:lang w:val="en-IN" w:eastAsia="en-IN"/>
        </w:rPr>
        <w:drawing>
          <wp:anchor distT="0" distB="0" distL="114300" distR="114300" simplePos="0" relativeHeight="251974144" behindDoc="0" locked="0" layoutInCell="0" allowOverlap="1" wp14:anchorId="6164545F" wp14:editId="6F8050D8">
            <wp:simplePos x="0" y="0"/>
            <wp:positionH relativeFrom="page">
              <wp:posOffset>1200150</wp:posOffset>
            </wp:positionH>
            <wp:positionV relativeFrom="paragraph">
              <wp:posOffset>187960</wp:posOffset>
            </wp:positionV>
            <wp:extent cx="5467350" cy="2276475"/>
            <wp:effectExtent l="0" t="0" r="0" b="9525"/>
            <wp:wrapTight wrapText="bothSides">
              <wp:wrapPolygon edited="0">
                <wp:start x="0" y="0"/>
                <wp:lineTo x="0" y="21510"/>
                <wp:lineTo x="21525" y="21510"/>
                <wp:lineTo x="21525" y="0"/>
                <wp:lineTo x="0" y="0"/>
              </wp:wrapPolygon>
            </wp:wrapTight>
            <wp:docPr id="5" name="Picture 23" descr="cid:image008.png@01DB2485.43DF27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23" descr="cid:image008.png@01DB2485.43DF2770"/>
                    <pic:cNvPicPr>
                      <a:picLocks noChangeAspect="1" noChangeArrowheads="1"/>
                    </pic:cNvPicPr>
                  </pic:nvPicPr>
                  <pic:blipFill>
                    <a:blip r:embed="rId14"/>
                    <a:stretch>
                      <a:fillRect/>
                    </a:stretch>
                  </pic:blipFill>
                  <pic:spPr bwMode="auto">
                    <a:xfrm>
                      <a:off x="0" y="0"/>
                      <a:ext cx="5467350" cy="2276475"/>
                    </a:xfrm>
                    <a:prstGeom prst="rect">
                      <a:avLst/>
                    </a:prstGeom>
                  </pic:spPr>
                </pic:pic>
              </a:graphicData>
            </a:graphic>
            <wp14:sizeRelH relativeFrom="margin">
              <wp14:pctWidth>0</wp14:pctWidth>
            </wp14:sizeRelH>
            <wp14:sizeRelV relativeFrom="margin">
              <wp14:pctHeight>0</wp14:pctHeight>
            </wp14:sizeRelV>
          </wp:anchor>
        </w:drawing>
      </w:r>
    </w:p>
    <w:p w14:paraId="69F3A4E3" w14:textId="77777777" w:rsidR="002F0A87" w:rsidRPr="003D5FB5" w:rsidRDefault="002F0A87" w:rsidP="002F0A87">
      <w:pPr>
        <w:rPr>
          <w:rFonts w:asciiTheme="minorHAnsi" w:hAnsiTheme="minorHAnsi" w:cstheme="minorHAnsi"/>
          <w:sz w:val="22"/>
          <w:szCs w:val="22"/>
        </w:rPr>
      </w:pPr>
    </w:p>
    <w:p w14:paraId="43098D94" w14:textId="77777777" w:rsidR="002F0A87" w:rsidRPr="003D5FB5" w:rsidRDefault="002F0A87" w:rsidP="002F0A87">
      <w:pPr>
        <w:rPr>
          <w:rFonts w:asciiTheme="minorHAnsi" w:hAnsiTheme="minorHAnsi" w:cstheme="minorHAnsi"/>
          <w:sz w:val="22"/>
          <w:szCs w:val="22"/>
        </w:rPr>
      </w:pPr>
    </w:p>
    <w:p w14:paraId="60893CEE" w14:textId="77777777" w:rsidR="002F0A87" w:rsidRPr="003D5FB5" w:rsidRDefault="002F0A87" w:rsidP="002F0A87">
      <w:pPr>
        <w:rPr>
          <w:rFonts w:asciiTheme="minorHAnsi" w:hAnsiTheme="minorHAnsi" w:cstheme="minorHAnsi"/>
          <w:sz w:val="22"/>
          <w:szCs w:val="22"/>
        </w:rPr>
      </w:pPr>
    </w:p>
    <w:p w14:paraId="0BF37252" w14:textId="77777777" w:rsidR="002F0A87" w:rsidRPr="003D5FB5" w:rsidRDefault="002F0A87" w:rsidP="002F0A87">
      <w:pPr>
        <w:rPr>
          <w:rFonts w:asciiTheme="minorHAnsi" w:hAnsiTheme="minorHAnsi" w:cstheme="minorHAnsi"/>
          <w:sz w:val="22"/>
          <w:szCs w:val="22"/>
        </w:rPr>
      </w:pPr>
    </w:p>
    <w:p w14:paraId="157570EF" w14:textId="09AF58AA" w:rsidR="002F0A87" w:rsidRPr="003D5FB5" w:rsidRDefault="002F0A87" w:rsidP="002F0A87">
      <w:pPr>
        <w:rPr>
          <w:rFonts w:asciiTheme="minorHAnsi" w:hAnsiTheme="minorHAnsi" w:cstheme="minorHAnsi"/>
          <w:sz w:val="22"/>
          <w:szCs w:val="22"/>
        </w:rPr>
      </w:pPr>
    </w:p>
    <w:p w14:paraId="557A3CB1" w14:textId="77777777" w:rsidR="002F0A87" w:rsidRPr="003D5FB5" w:rsidRDefault="002F0A87" w:rsidP="002F0A87">
      <w:pPr>
        <w:rPr>
          <w:rFonts w:asciiTheme="minorHAnsi" w:hAnsiTheme="minorHAnsi" w:cstheme="minorHAnsi"/>
          <w:sz w:val="22"/>
          <w:szCs w:val="22"/>
        </w:rPr>
      </w:pPr>
    </w:p>
    <w:p w14:paraId="4D773129" w14:textId="77777777" w:rsidR="002F0A87" w:rsidRPr="003D5FB5" w:rsidRDefault="002F0A87" w:rsidP="002F0A87">
      <w:pPr>
        <w:rPr>
          <w:rFonts w:asciiTheme="minorHAnsi" w:hAnsiTheme="minorHAnsi" w:cstheme="minorHAnsi"/>
          <w:sz w:val="22"/>
          <w:szCs w:val="22"/>
        </w:rPr>
      </w:pPr>
    </w:p>
    <w:p w14:paraId="70A5CA15" w14:textId="77777777" w:rsidR="002F0A87" w:rsidRPr="003D5FB5" w:rsidRDefault="002F0A87" w:rsidP="002F0A87">
      <w:pPr>
        <w:rPr>
          <w:rFonts w:asciiTheme="minorHAnsi" w:hAnsiTheme="minorHAnsi" w:cstheme="minorHAnsi"/>
          <w:sz w:val="22"/>
          <w:szCs w:val="22"/>
        </w:rPr>
      </w:pPr>
    </w:p>
    <w:p w14:paraId="23467FD1" w14:textId="77777777" w:rsidR="002F0A87" w:rsidRPr="003D5FB5" w:rsidRDefault="002F0A87" w:rsidP="002F0A87">
      <w:pPr>
        <w:rPr>
          <w:rFonts w:asciiTheme="minorHAnsi" w:hAnsiTheme="minorHAnsi" w:cstheme="minorHAnsi"/>
          <w:sz w:val="22"/>
          <w:szCs w:val="22"/>
        </w:rPr>
      </w:pPr>
    </w:p>
    <w:p w14:paraId="62A235E3" w14:textId="77777777" w:rsidR="002F0A87" w:rsidRPr="003D5FB5" w:rsidRDefault="002F0A87" w:rsidP="002F0A87">
      <w:pPr>
        <w:rPr>
          <w:rFonts w:asciiTheme="minorHAnsi" w:hAnsiTheme="minorHAnsi" w:cstheme="minorHAnsi"/>
          <w:sz w:val="22"/>
          <w:szCs w:val="22"/>
        </w:rPr>
      </w:pPr>
    </w:p>
    <w:p w14:paraId="03FA31D1" w14:textId="77777777" w:rsidR="002F0A87" w:rsidRPr="003D5FB5" w:rsidRDefault="002F0A87" w:rsidP="002F0A87">
      <w:pPr>
        <w:rPr>
          <w:rFonts w:asciiTheme="minorHAnsi" w:hAnsiTheme="minorHAnsi" w:cstheme="minorHAnsi"/>
          <w:sz w:val="22"/>
          <w:szCs w:val="22"/>
        </w:rPr>
      </w:pPr>
    </w:p>
    <w:p w14:paraId="3055C511" w14:textId="77777777" w:rsidR="002F0A87" w:rsidRPr="003D5FB5" w:rsidRDefault="002F0A87" w:rsidP="002F0A87">
      <w:pPr>
        <w:spacing w:line="360" w:lineRule="auto"/>
        <w:ind w:left="284"/>
        <w:jc w:val="both"/>
        <w:rPr>
          <w:rFonts w:asciiTheme="minorHAnsi" w:hAnsiTheme="minorHAnsi" w:cstheme="minorHAnsi"/>
          <w:sz w:val="22"/>
          <w:szCs w:val="22"/>
          <w:highlight w:val="yellow"/>
        </w:rPr>
      </w:pPr>
    </w:p>
    <w:p w14:paraId="6575E21C" w14:textId="77777777" w:rsidR="002F0A87" w:rsidRPr="003D5FB5" w:rsidRDefault="002F0A87" w:rsidP="002F0A87">
      <w:pPr>
        <w:spacing w:line="360" w:lineRule="auto"/>
        <w:jc w:val="both"/>
        <w:rPr>
          <w:rFonts w:asciiTheme="minorHAnsi" w:hAnsiTheme="minorHAnsi" w:cstheme="minorHAnsi"/>
          <w:sz w:val="22"/>
          <w:szCs w:val="22"/>
          <w:highlight w:val="yellow"/>
        </w:rPr>
      </w:pPr>
    </w:p>
    <w:p w14:paraId="76702A34" w14:textId="77777777" w:rsidR="002F0A87" w:rsidRPr="003D5FB5" w:rsidRDefault="002F0A87" w:rsidP="002F0A87">
      <w:pPr>
        <w:spacing w:line="360" w:lineRule="auto"/>
        <w:jc w:val="both"/>
        <w:rPr>
          <w:rFonts w:asciiTheme="minorHAnsi" w:hAnsiTheme="minorHAnsi" w:cstheme="minorHAnsi"/>
          <w:sz w:val="22"/>
          <w:szCs w:val="22"/>
          <w:highlight w:val="yellow"/>
        </w:rPr>
      </w:pPr>
      <w:r w:rsidRPr="003D5FB5">
        <w:rPr>
          <w:rFonts w:asciiTheme="minorHAnsi" w:hAnsiTheme="minorHAnsi" w:cstheme="minorHAnsi"/>
          <w:noProof/>
          <w:sz w:val="22"/>
          <w:szCs w:val="22"/>
          <w:highlight w:val="yellow"/>
          <w:lang w:val="en-IN" w:eastAsia="en-IN"/>
        </w:rPr>
        <w:drawing>
          <wp:anchor distT="0" distB="0" distL="114300" distR="114300" simplePos="0" relativeHeight="251973120" behindDoc="0" locked="0" layoutInCell="0" allowOverlap="1" wp14:anchorId="3354CE73" wp14:editId="08B5D1A5">
            <wp:simplePos x="0" y="0"/>
            <wp:positionH relativeFrom="margin">
              <wp:posOffset>470535</wp:posOffset>
            </wp:positionH>
            <wp:positionV relativeFrom="paragraph">
              <wp:posOffset>208280</wp:posOffset>
            </wp:positionV>
            <wp:extent cx="5514975" cy="2513330"/>
            <wp:effectExtent l="0" t="0" r="9525" b="1270"/>
            <wp:wrapSquare wrapText="bothSides"/>
            <wp:docPr id="60" name="Picture 19" descr="cid:image009.png@01DB2485.43DF27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19" descr="cid:image009.png@01DB2485.43DF2770"/>
                    <pic:cNvPicPr>
                      <a:picLocks noChangeAspect="1" noChangeArrowheads="1"/>
                    </pic:cNvPicPr>
                  </pic:nvPicPr>
                  <pic:blipFill>
                    <a:blip r:embed="rId15"/>
                    <a:stretch>
                      <a:fillRect/>
                    </a:stretch>
                  </pic:blipFill>
                  <pic:spPr bwMode="auto">
                    <a:xfrm>
                      <a:off x="0" y="0"/>
                      <a:ext cx="5514975" cy="2513330"/>
                    </a:xfrm>
                    <a:prstGeom prst="rect">
                      <a:avLst/>
                    </a:prstGeom>
                  </pic:spPr>
                </pic:pic>
              </a:graphicData>
            </a:graphic>
            <wp14:sizeRelH relativeFrom="margin">
              <wp14:pctWidth>0</wp14:pctWidth>
            </wp14:sizeRelH>
            <wp14:sizeRelV relativeFrom="margin">
              <wp14:pctHeight>0</wp14:pctHeight>
            </wp14:sizeRelV>
          </wp:anchor>
        </w:drawing>
      </w:r>
    </w:p>
    <w:p w14:paraId="48100B85" w14:textId="77777777" w:rsidR="002F0A87" w:rsidRPr="003D5FB5" w:rsidRDefault="002F0A87" w:rsidP="002F0A87">
      <w:pPr>
        <w:spacing w:line="360" w:lineRule="auto"/>
        <w:jc w:val="both"/>
        <w:rPr>
          <w:rFonts w:asciiTheme="minorHAnsi" w:hAnsiTheme="minorHAnsi" w:cstheme="minorHAnsi"/>
          <w:sz w:val="22"/>
          <w:szCs w:val="22"/>
          <w:highlight w:val="yellow"/>
        </w:rPr>
      </w:pPr>
    </w:p>
    <w:p w14:paraId="2A96C642" w14:textId="77777777" w:rsidR="002F0A87" w:rsidRPr="003D5FB5" w:rsidRDefault="002F0A87" w:rsidP="002F0A87">
      <w:pPr>
        <w:spacing w:line="360" w:lineRule="auto"/>
        <w:jc w:val="both"/>
        <w:rPr>
          <w:rFonts w:asciiTheme="minorHAnsi" w:hAnsiTheme="minorHAnsi" w:cstheme="minorHAnsi"/>
          <w:sz w:val="22"/>
          <w:szCs w:val="22"/>
          <w:highlight w:val="yellow"/>
        </w:rPr>
      </w:pPr>
    </w:p>
    <w:p w14:paraId="75409CC1" w14:textId="77777777" w:rsidR="002F0A87" w:rsidRPr="003D5FB5" w:rsidRDefault="002F0A87" w:rsidP="002F0A87">
      <w:pPr>
        <w:pStyle w:val="ListParagraph"/>
        <w:tabs>
          <w:tab w:val="left" w:pos="426"/>
        </w:tabs>
        <w:spacing w:after="0" w:line="360" w:lineRule="auto"/>
        <w:ind w:left="426" w:right="-23"/>
        <w:contextualSpacing w:val="0"/>
        <w:jc w:val="both"/>
        <w:rPr>
          <w:rFonts w:asciiTheme="minorHAnsi" w:hAnsiTheme="minorHAnsi" w:cstheme="minorHAnsi"/>
          <w:bCs/>
          <w:highlight w:val="yellow"/>
        </w:rPr>
      </w:pPr>
    </w:p>
    <w:p w14:paraId="4ACA7C97" w14:textId="77777777" w:rsidR="002F0A87" w:rsidRPr="003D5FB5" w:rsidRDefault="002F0A87" w:rsidP="002F0A87">
      <w:pPr>
        <w:spacing w:line="360" w:lineRule="auto"/>
        <w:jc w:val="both"/>
        <w:rPr>
          <w:rFonts w:asciiTheme="minorHAnsi" w:hAnsiTheme="minorHAnsi" w:cstheme="minorHAnsi"/>
          <w:sz w:val="22"/>
          <w:szCs w:val="22"/>
          <w:highlight w:val="yellow"/>
        </w:rPr>
      </w:pPr>
    </w:p>
    <w:p w14:paraId="551A9D06" w14:textId="77777777" w:rsidR="002F0A87" w:rsidRPr="003D5FB5" w:rsidRDefault="002F0A87" w:rsidP="002F0A87">
      <w:pPr>
        <w:spacing w:line="360" w:lineRule="auto"/>
        <w:ind w:firstLine="284"/>
        <w:jc w:val="both"/>
        <w:rPr>
          <w:rFonts w:asciiTheme="minorHAnsi" w:hAnsiTheme="minorHAnsi" w:cstheme="minorHAnsi"/>
          <w:sz w:val="22"/>
          <w:szCs w:val="22"/>
          <w:highlight w:val="yellow"/>
        </w:rPr>
      </w:pPr>
    </w:p>
    <w:p w14:paraId="7906C5CB" w14:textId="77777777" w:rsidR="002F0A87" w:rsidRPr="003D5FB5" w:rsidRDefault="002F0A87" w:rsidP="002F0A87">
      <w:pPr>
        <w:spacing w:line="360" w:lineRule="auto"/>
        <w:ind w:firstLine="284"/>
        <w:jc w:val="both"/>
        <w:rPr>
          <w:rFonts w:asciiTheme="minorHAnsi" w:hAnsiTheme="minorHAnsi" w:cstheme="minorHAnsi"/>
          <w:sz w:val="22"/>
          <w:szCs w:val="22"/>
          <w:highlight w:val="yellow"/>
        </w:rPr>
      </w:pPr>
    </w:p>
    <w:p w14:paraId="13DEFC0D" w14:textId="77777777" w:rsidR="002F0A87" w:rsidRPr="003D5FB5" w:rsidRDefault="002F0A87" w:rsidP="002F0A87">
      <w:pPr>
        <w:spacing w:line="360" w:lineRule="auto"/>
        <w:ind w:firstLine="284"/>
        <w:jc w:val="both"/>
        <w:rPr>
          <w:rFonts w:asciiTheme="minorHAnsi" w:hAnsiTheme="minorHAnsi" w:cstheme="minorHAnsi"/>
          <w:sz w:val="22"/>
          <w:szCs w:val="22"/>
          <w:highlight w:val="yellow"/>
        </w:rPr>
      </w:pPr>
    </w:p>
    <w:p w14:paraId="6C784993" w14:textId="77777777" w:rsidR="002F0A87" w:rsidRPr="003D5FB5" w:rsidRDefault="002F0A87" w:rsidP="002F0A87">
      <w:pPr>
        <w:spacing w:line="360" w:lineRule="auto"/>
        <w:ind w:firstLine="284"/>
        <w:jc w:val="both"/>
        <w:rPr>
          <w:rFonts w:asciiTheme="minorHAnsi" w:hAnsiTheme="minorHAnsi" w:cstheme="minorHAnsi"/>
          <w:sz w:val="22"/>
          <w:szCs w:val="22"/>
          <w:highlight w:val="yellow"/>
        </w:rPr>
      </w:pPr>
    </w:p>
    <w:p w14:paraId="5DAB77D9" w14:textId="77777777" w:rsidR="002F0A87" w:rsidRPr="003D5FB5" w:rsidRDefault="002F0A87" w:rsidP="002F0A87">
      <w:pPr>
        <w:spacing w:line="360" w:lineRule="auto"/>
        <w:ind w:firstLine="284"/>
        <w:jc w:val="both"/>
        <w:rPr>
          <w:rFonts w:asciiTheme="minorHAnsi" w:hAnsiTheme="minorHAnsi" w:cstheme="minorHAnsi"/>
          <w:sz w:val="22"/>
          <w:szCs w:val="22"/>
          <w:highlight w:val="yellow"/>
        </w:rPr>
      </w:pPr>
    </w:p>
    <w:p w14:paraId="1621ABF5" w14:textId="77777777" w:rsidR="002F0A87" w:rsidRPr="003D5FB5" w:rsidRDefault="002F0A87" w:rsidP="002F0A87">
      <w:pPr>
        <w:spacing w:line="360" w:lineRule="auto"/>
        <w:ind w:firstLine="284"/>
        <w:jc w:val="both"/>
        <w:rPr>
          <w:rFonts w:asciiTheme="minorHAnsi" w:hAnsiTheme="minorHAnsi" w:cstheme="minorHAnsi"/>
          <w:sz w:val="22"/>
          <w:szCs w:val="22"/>
          <w:highlight w:val="yellow"/>
        </w:rPr>
      </w:pPr>
    </w:p>
    <w:p w14:paraId="24CE8D9A" w14:textId="77777777" w:rsidR="002F0A87" w:rsidRPr="003D5FB5" w:rsidRDefault="002F0A87" w:rsidP="002F0A87">
      <w:pPr>
        <w:spacing w:line="360" w:lineRule="auto"/>
        <w:jc w:val="both"/>
        <w:rPr>
          <w:rFonts w:asciiTheme="minorHAnsi" w:hAnsiTheme="minorHAnsi" w:cstheme="minorHAnsi"/>
          <w:sz w:val="22"/>
          <w:szCs w:val="22"/>
        </w:rPr>
      </w:pPr>
    </w:p>
    <w:p w14:paraId="231B1E3F" w14:textId="77777777" w:rsidR="002F0A87" w:rsidRPr="003D5FB5" w:rsidRDefault="002F0A87" w:rsidP="002F0A87">
      <w:pPr>
        <w:spacing w:line="360" w:lineRule="auto"/>
        <w:ind w:left="284"/>
        <w:jc w:val="both"/>
        <w:rPr>
          <w:rFonts w:asciiTheme="minorHAnsi" w:hAnsiTheme="minorHAnsi" w:cstheme="minorHAnsi"/>
          <w:sz w:val="22"/>
          <w:szCs w:val="22"/>
        </w:rPr>
      </w:pPr>
      <w:r w:rsidRPr="003D5FB5">
        <w:rPr>
          <w:rFonts w:asciiTheme="minorHAnsi" w:hAnsiTheme="minorHAnsi" w:cstheme="minorHAnsi"/>
          <w:sz w:val="22"/>
          <w:szCs w:val="22"/>
        </w:rPr>
        <w:t>As detailed above, System Average Interruption Duration Index has been reduced by 23.4% over the same in FY 21-22. Similarly, System Average Interruption Frequency Index has been reduced by 15%.</w:t>
      </w:r>
    </w:p>
    <w:p w14:paraId="62640D6F" w14:textId="77777777" w:rsidR="002F0A87" w:rsidRPr="003D5FB5" w:rsidRDefault="002F0A87" w:rsidP="002F0A87">
      <w:pPr>
        <w:spacing w:line="360" w:lineRule="auto"/>
        <w:ind w:left="284"/>
        <w:jc w:val="both"/>
        <w:rPr>
          <w:rFonts w:asciiTheme="minorHAnsi" w:hAnsiTheme="minorHAnsi" w:cstheme="minorHAnsi"/>
          <w:sz w:val="22"/>
          <w:szCs w:val="22"/>
        </w:rPr>
      </w:pPr>
    </w:p>
    <w:p w14:paraId="33643E28" w14:textId="77777777" w:rsidR="002F0A87" w:rsidRPr="003D5FB5" w:rsidRDefault="002F0A87" w:rsidP="002F0A87">
      <w:pPr>
        <w:spacing w:line="360" w:lineRule="auto"/>
        <w:ind w:left="284"/>
        <w:jc w:val="both"/>
        <w:rPr>
          <w:rFonts w:asciiTheme="minorHAnsi" w:hAnsiTheme="minorHAnsi" w:cstheme="minorHAnsi"/>
          <w:sz w:val="22"/>
          <w:szCs w:val="22"/>
        </w:rPr>
      </w:pPr>
      <w:r w:rsidRPr="003D5FB5">
        <w:rPr>
          <w:rFonts w:asciiTheme="minorHAnsi" w:hAnsiTheme="minorHAnsi" w:cstheme="minorHAnsi"/>
          <w:sz w:val="22"/>
          <w:szCs w:val="22"/>
        </w:rPr>
        <w:t xml:space="preserve">102 nos. of 11KV feeders have been identified as priority feeders which are supplying power to critical establishments like Health care centers, etc. and have been identified for targeted improvement of reliability. Target SAIDI reduction on these feeders has been fixed at 25% reduction through targeted maintenance activity like replacement of Jumpers and Insulators, and capex projects for reliability </w:t>
      </w:r>
      <w:r w:rsidRPr="003D5FB5">
        <w:rPr>
          <w:rFonts w:asciiTheme="minorHAnsi" w:hAnsiTheme="minorHAnsi" w:cstheme="minorHAnsi"/>
          <w:sz w:val="22"/>
          <w:szCs w:val="22"/>
        </w:rPr>
        <w:lastRenderedPageBreak/>
        <w:t>improvements like installation of LT switchgears, Installation of Auto-</w:t>
      </w:r>
      <w:proofErr w:type="spellStart"/>
      <w:r w:rsidRPr="003D5FB5">
        <w:rPr>
          <w:rFonts w:asciiTheme="minorHAnsi" w:hAnsiTheme="minorHAnsi" w:cstheme="minorHAnsi"/>
          <w:sz w:val="22"/>
          <w:szCs w:val="22"/>
        </w:rPr>
        <w:t>reclosures</w:t>
      </w:r>
      <w:proofErr w:type="spellEnd"/>
      <w:r w:rsidRPr="003D5FB5">
        <w:rPr>
          <w:rFonts w:asciiTheme="minorHAnsi" w:hAnsiTheme="minorHAnsi" w:cstheme="minorHAnsi"/>
          <w:sz w:val="22"/>
          <w:szCs w:val="22"/>
        </w:rPr>
        <w:t>, Ring Main Units, Fault Passage Indicators.</w:t>
      </w:r>
    </w:p>
    <w:p w14:paraId="27B14E6A" w14:textId="77777777" w:rsidR="002F0A87" w:rsidRPr="003D5FB5" w:rsidRDefault="002F0A87" w:rsidP="002F0A87">
      <w:pPr>
        <w:spacing w:line="360" w:lineRule="auto"/>
        <w:jc w:val="both"/>
        <w:rPr>
          <w:rFonts w:asciiTheme="minorHAnsi" w:hAnsiTheme="minorHAnsi" w:cstheme="minorHAnsi"/>
          <w:sz w:val="22"/>
          <w:szCs w:val="22"/>
        </w:rPr>
      </w:pPr>
    </w:p>
    <w:p w14:paraId="5819EFBB" w14:textId="77777777" w:rsidR="002F0A87" w:rsidRPr="003D5FB5" w:rsidRDefault="002F0A87" w:rsidP="002F0A87">
      <w:pPr>
        <w:spacing w:line="360" w:lineRule="auto"/>
        <w:ind w:left="284"/>
        <w:jc w:val="both"/>
        <w:rPr>
          <w:rFonts w:asciiTheme="minorHAnsi" w:hAnsiTheme="minorHAnsi" w:cstheme="minorHAnsi"/>
          <w:sz w:val="22"/>
          <w:szCs w:val="22"/>
        </w:rPr>
      </w:pPr>
      <w:r w:rsidRPr="003D5FB5">
        <w:rPr>
          <w:rFonts w:asciiTheme="minorHAnsi" w:hAnsiTheme="minorHAnsi" w:cstheme="minorHAnsi"/>
          <w:sz w:val="22"/>
          <w:szCs w:val="22"/>
        </w:rPr>
        <w:t>Similar prioritization has been done in 33 KV feeders where thirty-five (35) number of feeders has been identified as priority feeders for reduction of SAIDI by 25% through targeted maintenance and Capex infusion for installation and replacement of Switchgears.</w:t>
      </w:r>
    </w:p>
    <w:p w14:paraId="760EADC0" w14:textId="77777777" w:rsidR="002F0A87" w:rsidRPr="003D5FB5" w:rsidRDefault="002F0A87" w:rsidP="002F0A87">
      <w:pPr>
        <w:spacing w:line="360" w:lineRule="auto"/>
        <w:ind w:left="284"/>
        <w:jc w:val="both"/>
        <w:rPr>
          <w:rFonts w:asciiTheme="minorHAnsi" w:hAnsiTheme="minorHAnsi" w:cstheme="minorHAnsi"/>
          <w:bCs/>
          <w:sz w:val="22"/>
          <w:szCs w:val="22"/>
        </w:rPr>
      </w:pPr>
    </w:p>
    <w:p w14:paraId="2C2C9045" w14:textId="77777777" w:rsidR="002F0A87" w:rsidRPr="003D5FB5" w:rsidRDefault="002F0A87" w:rsidP="002F0A87">
      <w:pPr>
        <w:spacing w:line="360" w:lineRule="auto"/>
        <w:ind w:left="284"/>
        <w:jc w:val="both"/>
        <w:rPr>
          <w:rFonts w:asciiTheme="minorHAnsi" w:hAnsiTheme="minorHAnsi" w:cstheme="minorHAnsi"/>
          <w:sz w:val="22"/>
          <w:szCs w:val="22"/>
        </w:rPr>
      </w:pPr>
      <w:r w:rsidRPr="003D5FB5">
        <w:rPr>
          <w:rFonts w:asciiTheme="minorHAnsi" w:hAnsiTheme="minorHAnsi" w:cstheme="minorHAnsi"/>
          <w:sz w:val="22"/>
          <w:szCs w:val="22"/>
        </w:rPr>
        <w:t>An analysis of the power supply reliability to those critical establishments in those priority 11KV feeders are furnished hereunder:</w:t>
      </w:r>
    </w:p>
    <w:p w14:paraId="44A761BC" w14:textId="77777777" w:rsidR="002F0A87" w:rsidRPr="003D5FB5" w:rsidRDefault="002F0A87" w:rsidP="002F0A87">
      <w:pPr>
        <w:tabs>
          <w:tab w:val="left" w:pos="426"/>
        </w:tabs>
        <w:spacing w:line="360" w:lineRule="auto"/>
        <w:ind w:left="426" w:right="-23"/>
        <w:jc w:val="both"/>
        <w:rPr>
          <w:rFonts w:asciiTheme="minorHAnsi" w:hAnsiTheme="minorHAnsi" w:cstheme="minorHAnsi"/>
          <w:bCs/>
          <w:sz w:val="22"/>
          <w:szCs w:val="22"/>
        </w:rPr>
      </w:pPr>
      <w:r w:rsidRPr="003D5FB5">
        <w:rPr>
          <w:rFonts w:asciiTheme="minorHAnsi" w:hAnsiTheme="minorHAnsi" w:cstheme="minorHAnsi"/>
          <w:noProof/>
          <w:sz w:val="22"/>
          <w:szCs w:val="22"/>
          <w:lang w:val="en-IN" w:eastAsia="en-IN"/>
        </w:rPr>
        <w:drawing>
          <wp:inline distT="0" distB="0" distL="0" distR="0" wp14:anchorId="051E7DA1" wp14:editId="7DC6449A">
            <wp:extent cx="5695950" cy="3848100"/>
            <wp:effectExtent l="0" t="0" r="0" b="0"/>
            <wp:docPr id="61"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26"/>
                    <pic:cNvPicPr>
                      <a:picLocks noChangeAspect="1" noChangeArrowheads="1"/>
                    </pic:cNvPicPr>
                  </pic:nvPicPr>
                  <pic:blipFill>
                    <a:blip r:embed="rId16"/>
                    <a:stretch>
                      <a:fillRect/>
                    </a:stretch>
                  </pic:blipFill>
                  <pic:spPr bwMode="auto">
                    <a:xfrm>
                      <a:off x="0" y="0"/>
                      <a:ext cx="5695950" cy="3848100"/>
                    </a:xfrm>
                    <a:prstGeom prst="rect">
                      <a:avLst/>
                    </a:prstGeom>
                  </pic:spPr>
                </pic:pic>
              </a:graphicData>
            </a:graphic>
          </wp:inline>
        </w:drawing>
      </w:r>
    </w:p>
    <w:p w14:paraId="645D4BC0" w14:textId="77777777" w:rsidR="002F0A87" w:rsidRPr="003D5FB5" w:rsidRDefault="002F0A87" w:rsidP="002F0A87">
      <w:pPr>
        <w:tabs>
          <w:tab w:val="left" w:pos="426"/>
        </w:tabs>
        <w:spacing w:line="360" w:lineRule="auto"/>
        <w:ind w:left="426" w:right="-23"/>
        <w:jc w:val="both"/>
        <w:rPr>
          <w:rFonts w:asciiTheme="minorHAnsi" w:hAnsiTheme="minorHAnsi" w:cstheme="minorHAnsi"/>
          <w:bCs/>
          <w:sz w:val="22"/>
          <w:szCs w:val="22"/>
        </w:rPr>
      </w:pPr>
    </w:p>
    <w:p w14:paraId="6A2FF883" w14:textId="77777777" w:rsidR="002F0A87" w:rsidRPr="003D5FB5" w:rsidRDefault="002F0A87" w:rsidP="002F0A87">
      <w:pPr>
        <w:tabs>
          <w:tab w:val="left" w:pos="426"/>
        </w:tabs>
        <w:spacing w:line="360" w:lineRule="auto"/>
        <w:ind w:left="426" w:right="-23"/>
        <w:jc w:val="both"/>
        <w:rPr>
          <w:rFonts w:asciiTheme="minorHAnsi" w:hAnsiTheme="minorHAnsi" w:cstheme="minorHAnsi"/>
          <w:bCs/>
          <w:sz w:val="22"/>
          <w:szCs w:val="22"/>
        </w:rPr>
      </w:pPr>
      <w:r w:rsidRPr="003D5FB5">
        <w:rPr>
          <w:rFonts w:asciiTheme="minorHAnsi" w:hAnsiTheme="minorHAnsi" w:cstheme="minorHAnsi"/>
          <w:bCs/>
          <w:sz w:val="22"/>
          <w:szCs w:val="22"/>
        </w:rPr>
        <w:t>There has been 23% reduction in SAIDI, 26% reduction in SAIFI in the 11KV Priority feeders. Fault tripping have been reduced by 27% in comparison to last financial year.</w:t>
      </w:r>
    </w:p>
    <w:p w14:paraId="4E9BF2B5" w14:textId="211A77A4" w:rsidR="002F0A87" w:rsidRPr="003D5FB5" w:rsidRDefault="002F0A87" w:rsidP="006A7BDF">
      <w:pPr>
        <w:tabs>
          <w:tab w:val="left" w:pos="426"/>
        </w:tabs>
        <w:spacing w:line="360" w:lineRule="auto"/>
        <w:ind w:left="426" w:right="-23"/>
        <w:jc w:val="both"/>
        <w:rPr>
          <w:rFonts w:asciiTheme="minorHAnsi" w:hAnsiTheme="minorHAnsi" w:cstheme="minorHAnsi"/>
          <w:bCs/>
          <w:sz w:val="22"/>
          <w:szCs w:val="22"/>
        </w:rPr>
      </w:pPr>
      <w:r w:rsidRPr="003D5FB5">
        <w:rPr>
          <w:rFonts w:asciiTheme="minorHAnsi" w:hAnsiTheme="minorHAnsi" w:cstheme="minorHAnsi"/>
          <w:noProof/>
          <w:sz w:val="22"/>
          <w:szCs w:val="22"/>
          <w:lang w:val="en-IN" w:eastAsia="en-IN"/>
        </w:rPr>
        <w:lastRenderedPageBreak/>
        <w:drawing>
          <wp:anchor distT="0" distB="0" distL="114300" distR="0" simplePos="0" relativeHeight="251964928" behindDoc="0" locked="0" layoutInCell="0" allowOverlap="1" wp14:anchorId="3A42D436" wp14:editId="30D3F6A8">
            <wp:simplePos x="0" y="0"/>
            <wp:positionH relativeFrom="margin">
              <wp:align>right</wp:align>
            </wp:positionH>
            <wp:positionV relativeFrom="paragraph">
              <wp:posOffset>577850</wp:posOffset>
            </wp:positionV>
            <wp:extent cx="5781675" cy="2190750"/>
            <wp:effectExtent l="0" t="0" r="9525" b="0"/>
            <wp:wrapTight wrapText="bothSides">
              <wp:wrapPolygon edited="0">
                <wp:start x="0" y="0"/>
                <wp:lineTo x="0" y="21412"/>
                <wp:lineTo x="21564" y="21412"/>
                <wp:lineTo x="21564" y="0"/>
                <wp:lineTo x="0" y="0"/>
              </wp:wrapPolygon>
            </wp:wrapTight>
            <wp:docPr id="63"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31"/>
                    <pic:cNvPicPr>
                      <a:picLocks noChangeAspect="1" noChangeArrowheads="1"/>
                    </pic:cNvPicPr>
                  </pic:nvPicPr>
                  <pic:blipFill>
                    <a:blip r:embed="rId17"/>
                    <a:stretch>
                      <a:fillRect/>
                    </a:stretch>
                  </pic:blipFill>
                  <pic:spPr bwMode="auto">
                    <a:xfrm>
                      <a:off x="0" y="0"/>
                      <a:ext cx="5781675" cy="2190750"/>
                    </a:xfrm>
                    <a:prstGeom prst="rect">
                      <a:avLst/>
                    </a:prstGeom>
                  </pic:spPr>
                </pic:pic>
              </a:graphicData>
            </a:graphic>
            <wp14:sizeRelH relativeFrom="margin">
              <wp14:pctWidth>0</wp14:pctWidth>
            </wp14:sizeRelH>
            <wp14:sizeRelV relativeFrom="margin">
              <wp14:pctHeight>0</wp14:pctHeight>
            </wp14:sizeRelV>
          </wp:anchor>
        </w:drawing>
      </w:r>
      <w:r w:rsidRPr="003D5FB5">
        <w:rPr>
          <w:rFonts w:asciiTheme="minorHAnsi" w:hAnsiTheme="minorHAnsi" w:cstheme="minorHAnsi"/>
          <w:bCs/>
          <w:sz w:val="22"/>
          <w:szCs w:val="22"/>
        </w:rPr>
        <w:t>The improvement in the reliability parameters in 33KV Priority feeders are furnished in the following sections</w:t>
      </w:r>
    </w:p>
    <w:p w14:paraId="4FBADEA6" w14:textId="77777777" w:rsidR="002F0A87" w:rsidRPr="003D5FB5" w:rsidRDefault="002F0A87" w:rsidP="002F0A87">
      <w:pPr>
        <w:tabs>
          <w:tab w:val="left" w:pos="426"/>
        </w:tabs>
        <w:spacing w:line="360" w:lineRule="auto"/>
        <w:ind w:left="426" w:right="-23"/>
        <w:jc w:val="both"/>
        <w:rPr>
          <w:rFonts w:asciiTheme="minorHAnsi" w:hAnsiTheme="minorHAnsi" w:cstheme="minorHAnsi"/>
          <w:bCs/>
          <w:sz w:val="22"/>
          <w:szCs w:val="22"/>
        </w:rPr>
      </w:pPr>
      <w:r w:rsidRPr="003D5FB5">
        <w:rPr>
          <w:rFonts w:asciiTheme="minorHAnsi" w:hAnsiTheme="minorHAnsi" w:cstheme="minorHAnsi"/>
          <w:bCs/>
          <w:sz w:val="22"/>
          <w:szCs w:val="22"/>
        </w:rPr>
        <w:t>SAIDI in 33KV priority feeders is 23% lower and SAIFI 29% lower than that in non-priority feeders.</w:t>
      </w:r>
    </w:p>
    <w:p w14:paraId="72FA382C" w14:textId="77777777" w:rsidR="006A7BDF" w:rsidRPr="003D5FB5" w:rsidRDefault="006A7BDF" w:rsidP="00EA573A">
      <w:pPr>
        <w:shd w:val="clear" w:color="auto" w:fill="FFFFFF" w:themeFill="background1"/>
        <w:tabs>
          <w:tab w:val="left" w:pos="426"/>
        </w:tabs>
        <w:spacing w:line="360" w:lineRule="auto"/>
        <w:ind w:right="-23"/>
        <w:jc w:val="both"/>
        <w:rPr>
          <w:rFonts w:asciiTheme="minorHAnsi" w:hAnsiTheme="minorHAnsi" w:cstheme="minorHAnsi"/>
          <w:bCs/>
          <w:sz w:val="22"/>
          <w:szCs w:val="22"/>
          <w:u w:val="single"/>
        </w:rPr>
      </w:pPr>
    </w:p>
    <w:p w14:paraId="41D92A6F" w14:textId="2E1FEB45" w:rsidR="002F0A87" w:rsidRPr="004D5E58" w:rsidRDefault="003D5FB5" w:rsidP="002F0A87">
      <w:pPr>
        <w:shd w:val="clear" w:color="auto" w:fill="FFFFFF" w:themeFill="background1"/>
        <w:tabs>
          <w:tab w:val="left" w:pos="426"/>
        </w:tabs>
        <w:spacing w:line="360" w:lineRule="auto"/>
        <w:ind w:left="426" w:right="-23"/>
        <w:jc w:val="both"/>
        <w:rPr>
          <w:rFonts w:asciiTheme="minorHAnsi" w:hAnsiTheme="minorHAnsi" w:cstheme="minorHAnsi"/>
          <w:b/>
          <w:szCs w:val="22"/>
        </w:rPr>
      </w:pPr>
      <w:r w:rsidRPr="004D5E58">
        <w:rPr>
          <w:rFonts w:asciiTheme="minorHAnsi" w:hAnsiTheme="minorHAnsi" w:cstheme="minorHAnsi"/>
          <w:b/>
          <w:szCs w:val="22"/>
        </w:rPr>
        <w:t>2.7.1</w:t>
      </w:r>
      <w:r w:rsidR="002F0A87" w:rsidRPr="004D5E58">
        <w:rPr>
          <w:rFonts w:asciiTheme="minorHAnsi" w:hAnsiTheme="minorHAnsi" w:cstheme="minorHAnsi"/>
          <w:b/>
          <w:szCs w:val="22"/>
        </w:rPr>
        <w:t xml:space="preserve"> Circle-wise Reliability Improvement: </w:t>
      </w:r>
    </w:p>
    <w:p w14:paraId="433DC030" w14:textId="77777777" w:rsidR="002F0A87" w:rsidRPr="003D5FB5" w:rsidRDefault="002F0A87" w:rsidP="002F0A87">
      <w:pPr>
        <w:tabs>
          <w:tab w:val="left" w:pos="426"/>
        </w:tabs>
        <w:spacing w:line="360" w:lineRule="auto"/>
        <w:ind w:left="426" w:right="-23"/>
        <w:jc w:val="both"/>
        <w:rPr>
          <w:rFonts w:asciiTheme="minorHAnsi" w:hAnsiTheme="minorHAnsi" w:cstheme="minorHAnsi"/>
          <w:b/>
          <w:sz w:val="22"/>
          <w:szCs w:val="22"/>
        </w:rPr>
      </w:pPr>
    </w:p>
    <w:p w14:paraId="3302BF70" w14:textId="77777777" w:rsidR="002F0A87" w:rsidRPr="003D5FB5" w:rsidRDefault="002F0A87" w:rsidP="002F0A87">
      <w:pPr>
        <w:tabs>
          <w:tab w:val="left" w:pos="426"/>
        </w:tabs>
        <w:spacing w:line="360" w:lineRule="auto"/>
        <w:ind w:left="426" w:right="-23"/>
        <w:jc w:val="both"/>
        <w:rPr>
          <w:rFonts w:asciiTheme="minorHAnsi" w:hAnsiTheme="minorHAnsi" w:cstheme="minorHAnsi"/>
          <w:bCs/>
          <w:sz w:val="22"/>
          <w:szCs w:val="22"/>
        </w:rPr>
      </w:pPr>
      <w:r w:rsidRPr="003D5FB5">
        <w:rPr>
          <w:rFonts w:asciiTheme="minorHAnsi" w:hAnsiTheme="minorHAnsi" w:cstheme="minorHAnsi"/>
          <w:bCs/>
          <w:sz w:val="22"/>
          <w:szCs w:val="22"/>
        </w:rPr>
        <w:t>The Circle wise achieved SAIDI &amp; SAIFI for the FY 2022-23 &amp; FY 2023-24 are depicted in the below graphs.</w:t>
      </w:r>
    </w:p>
    <w:p w14:paraId="0B7708E7" w14:textId="77777777" w:rsidR="002F0A87" w:rsidRPr="003D5FB5" w:rsidRDefault="002F0A87" w:rsidP="002F0A87">
      <w:pPr>
        <w:tabs>
          <w:tab w:val="left" w:pos="426"/>
        </w:tabs>
        <w:spacing w:line="360" w:lineRule="auto"/>
        <w:ind w:left="426" w:right="-23"/>
        <w:jc w:val="center"/>
        <w:rPr>
          <w:rFonts w:asciiTheme="minorHAnsi" w:hAnsiTheme="minorHAnsi" w:cstheme="minorHAnsi"/>
          <w:b/>
          <w:bCs/>
          <w:sz w:val="22"/>
          <w:szCs w:val="22"/>
        </w:rPr>
      </w:pPr>
      <w:r w:rsidRPr="003D5FB5">
        <w:rPr>
          <w:rFonts w:asciiTheme="minorHAnsi" w:hAnsiTheme="minorHAnsi" w:cstheme="minorHAnsi"/>
          <w:b/>
          <w:sz w:val="22"/>
          <w:szCs w:val="22"/>
        </w:rPr>
        <w:t>Achieved SAIDI Circle Wise FY 2022-23 Vs FY 2023-24</w:t>
      </w:r>
    </w:p>
    <w:p w14:paraId="709D37E4" w14:textId="77777777" w:rsidR="002F0A87" w:rsidRPr="003D5FB5" w:rsidRDefault="002F0A87" w:rsidP="002F0A87">
      <w:pPr>
        <w:tabs>
          <w:tab w:val="left" w:pos="426"/>
        </w:tabs>
        <w:spacing w:line="360" w:lineRule="auto"/>
        <w:ind w:left="426" w:right="-23"/>
        <w:jc w:val="both"/>
        <w:rPr>
          <w:rFonts w:asciiTheme="minorHAnsi" w:hAnsiTheme="minorHAnsi" w:cstheme="minorHAnsi"/>
          <w:bCs/>
          <w:sz w:val="22"/>
          <w:szCs w:val="22"/>
        </w:rPr>
      </w:pPr>
      <w:r w:rsidRPr="003D5FB5">
        <w:rPr>
          <w:rFonts w:asciiTheme="minorHAnsi" w:hAnsiTheme="minorHAnsi" w:cstheme="minorHAnsi"/>
          <w:noProof/>
          <w:sz w:val="22"/>
          <w:szCs w:val="22"/>
          <w:lang w:val="en-IN" w:eastAsia="en-IN"/>
        </w:rPr>
        <w:drawing>
          <wp:inline distT="0" distB="0" distL="0" distR="0" wp14:anchorId="4EAA591B" wp14:editId="782944FC">
            <wp:extent cx="5880100" cy="2562225"/>
            <wp:effectExtent l="0" t="0" r="0" b="0"/>
            <wp:docPr id="212922797" name="Chart 40"/>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14:paraId="5A762BF3" w14:textId="77777777" w:rsidR="002F0A87" w:rsidRPr="003D5FB5" w:rsidRDefault="002F0A87" w:rsidP="002F0A87">
      <w:pPr>
        <w:tabs>
          <w:tab w:val="left" w:pos="426"/>
        </w:tabs>
        <w:spacing w:line="360" w:lineRule="auto"/>
        <w:ind w:left="426" w:right="-23"/>
        <w:jc w:val="both"/>
        <w:rPr>
          <w:rFonts w:asciiTheme="minorHAnsi" w:hAnsiTheme="minorHAnsi" w:cstheme="minorHAnsi"/>
          <w:bCs/>
          <w:sz w:val="22"/>
          <w:szCs w:val="22"/>
        </w:rPr>
      </w:pPr>
    </w:p>
    <w:p w14:paraId="07368971" w14:textId="77777777" w:rsidR="00EA573A" w:rsidRDefault="00EA573A" w:rsidP="002F0A87">
      <w:pPr>
        <w:tabs>
          <w:tab w:val="left" w:pos="426"/>
        </w:tabs>
        <w:spacing w:line="360" w:lineRule="auto"/>
        <w:ind w:left="426" w:right="-23"/>
        <w:jc w:val="center"/>
        <w:rPr>
          <w:rFonts w:asciiTheme="minorHAnsi" w:hAnsiTheme="minorHAnsi" w:cstheme="minorHAnsi"/>
          <w:b/>
          <w:sz w:val="22"/>
          <w:szCs w:val="22"/>
        </w:rPr>
      </w:pPr>
    </w:p>
    <w:p w14:paraId="01431C8F" w14:textId="77777777" w:rsidR="00EA573A" w:rsidRDefault="00EA573A" w:rsidP="002F0A87">
      <w:pPr>
        <w:tabs>
          <w:tab w:val="left" w:pos="426"/>
        </w:tabs>
        <w:spacing w:line="360" w:lineRule="auto"/>
        <w:ind w:left="426" w:right="-23"/>
        <w:jc w:val="center"/>
        <w:rPr>
          <w:rFonts w:asciiTheme="minorHAnsi" w:hAnsiTheme="minorHAnsi" w:cstheme="minorHAnsi"/>
          <w:b/>
          <w:sz w:val="22"/>
          <w:szCs w:val="22"/>
        </w:rPr>
      </w:pPr>
    </w:p>
    <w:p w14:paraId="773E83D1" w14:textId="77777777" w:rsidR="00EA573A" w:rsidRDefault="00EA573A" w:rsidP="002F0A87">
      <w:pPr>
        <w:tabs>
          <w:tab w:val="left" w:pos="426"/>
        </w:tabs>
        <w:spacing w:line="360" w:lineRule="auto"/>
        <w:ind w:left="426" w:right="-23"/>
        <w:jc w:val="center"/>
        <w:rPr>
          <w:rFonts w:asciiTheme="minorHAnsi" w:hAnsiTheme="minorHAnsi" w:cstheme="minorHAnsi"/>
          <w:b/>
          <w:sz w:val="22"/>
          <w:szCs w:val="22"/>
        </w:rPr>
      </w:pPr>
    </w:p>
    <w:p w14:paraId="1027E199" w14:textId="77777777" w:rsidR="00EA573A" w:rsidRDefault="00EA573A" w:rsidP="002F0A87">
      <w:pPr>
        <w:tabs>
          <w:tab w:val="left" w:pos="426"/>
        </w:tabs>
        <w:spacing w:line="360" w:lineRule="auto"/>
        <w:ind w:left="426" w:right="-23"/>
        <w:jc w:val="center"/>
        <w:rPr>
          <w:rFonts w:asciiTheme="minorHAnsi" w:hAnsiTheme="minorHAnsi" w:cstheme="minorHAnsi"/>
          <w:b/>
          <w:sz w:val="22"/>
          <w:szCs w:val="22"/>
        </w:rPr>
      </w:pPr>
    </w:p>
    <w:p w14:paraId="3E8FEB6D" w14:textId="77777777" w:rsidR="00EA573A" w:rsidRDefault="00EA573A" w:rsidP="002F0A87">
      <w:pPr>
        <w:tabs>
          <w:tab w:val="left" w:pos="426"/>
        </w:tabs>
        <w:spacing w:line="360" w:lineRule="auto"/>
        <w:ind w:left="426" w:right="-23"/>
        <w:jc w:val="center"/>
        <w:rPr>
          <w:rFonts w:asciiTheme="minorHAnsi" w:hAnsiTheme="minorHAnsi" w:cstheme="minorHAnsi"/>
          <w:b/>
          <w:sz w:val="22"/>
          <w:szCs w:val="22"/>
        </w:rPr>
      </w:pPr>
    </w:p>
    <w:p w14:paraId="0280E884" w14:textId="6506524B" w:rsidR="002F0A87" w:rsidRPr="003D5FB5" w:rsidRDefault="002F0A87" w:rsidP="002F0A87">
      <w:pPr>
        <w:tabs>
          <w:tab w:val="left" w:pos="426"/>
        </w:tabs>
        <w:spacing w:line="360" w:lineRule="auto"/>
        <w:ind w:left="426" w:right="-23"/>
        <w:jc w:val="center"/>
        <w:rPr>
          <w:rFonts w:asciiTheme="minorHAnsi" w:hAnsiTheme="minorHAnsi" w:cstheme="minorHAnsi"/>
          <w:b/>
          <w:bCs/>
          <w:sz w:val="22"/>
          <w:szCs w:val="22"/>
        </w:rPr>
      </w:pPr>
      <w:r w:rsidRPr="003D5FB5">
        <w:rPr>
          <w:rFonts w:asciiTheme="minorHAnsi" w:hAnsiTheme="minorHAnsi" w:cstheme="minorHAnsi"/>
          <w:b/>
          <w:sz w:val="22"/>
          <w:szCs w:val="22"/>
        </w:rPr>
        <w:lastRenderedPageBreak/>
        <w:t>Achieved SAIFI Circle Wise FY 2022-23 Vs FY 2023-24</w:t>
      </w:r>
    </w:p>
    <w:p w14:paraId="2664BE43" w14:textId="77777777" w:rsidR="002F0A87" w:rsidRPr="003D5FB5" w:rsidRDefault="002F0A87" w:rsidP="002F0A87">
      <w:pPr>
        <w:tabs>
          <w:tab w:val="left" w:pos="426"/>
        </w:tabs>
        <w:spacing w:line="360" w:lineRule="auto"/>
        <w:ind w:left="426" w:right="-23"/>
        <w:jc w:val="both"/>
        <w:rPr>
          <w:rFonts w:asciiTheme="minorHAnsi" w:hAnsiTheme="minorHAnsi" w:cstheme="minorHAnsi"/>
          <w:bCs/>
          <w:sz w:val="22"/>
          <w:szCs w:val="22"/>
        </w:rPr>
      </w:pPr>
      <w:r w:rsidRPr="003D5FB5">
        <w:rPr>
          <w:rFonts w:asciiTheme="minorHAnsi" w:hAnsiTheme="minorHAnsi" w:cstheme="minorHAnsi"/>
          <w:noProof/>
          <w:sz w:val="22"/>
          <w:szCs w:val="22"/>
          <w:lang w:val="en-IN" w:eastAsia="en-IN"/>
        </w:rPr>
        <w:drawing>
          <wp:inline distT="0" distB="0" distL="0" distR="0" wp14:anchorId="62487221" wp14:editId="104F3C20">
            <wp:extent cx="5741670" cy="2962275"/>
            <wp:effectExtent l="0" t="0" r="0" b="0"/>
            <wp:docPr id="212922798" name="Chart 86"/>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p w14:paraId="1B51C0CA" w14:textId="652F1590" w:rsidR="002F0A87" w:rsidRPr="003D5FB5" w:rsidRDefault="002F0A87" w:rsidP="002F0A87">
      <w:pPr>
        <w:shd w:val="clear" w:color="auto" w:fill="FFFFFF" w:themeFill="background1"/>
        <w:tabs>
          <w:tab w:val="left" w:pos="426"/>
        </w:tabs>
        <w:spacing w:line="360" w:lineRule="auto"/>
        <w:ind w:right="-23"/>
        <w:jc w:val="both"/>
        <w:rPr>
          <w:rFonts w:asciiTheme="minorHAnsi" w:hAnsiTheme="minorHAnsi" w:cstheme="minorHAnsi"/>
          <w:bCs/>
          <w:sz w:val="22"/>
          <w:szCs w:val="22"/>
        </w:rPr>
      </w:pPr>
    </w:p>
    <w:p w14:paraId="2A5DD70F" w14:textId="0228095F" w:rsidR="002F0A87" w:rsidRPr="003D5FB5" w:rsidRDefault="002F0A87" w:rsidP="002F0A87">
      <w:pPr>
        <w:shd w:val="clear" w:color="auto" w:fill="FFFFFF" w:themeFill="background1"/>
        <w:tabs>
          <w:tab w:val="left" w:pos="426"/>
        </w:tabs>
        <w:spacing w:line="360" w:lineRule="auto"/>
        <w:ind w:left="426" w:right="-23"/>
        <w:jc w:val="both"/>
        <w:rPr>
          <w:rFonts w:asciiTheme="minorHAnsi" w:hAnsiTheme="minorHAnsi" w:cstheme="minorHAnsi"/>
          <w:bCs/>
          <w:sz w:val="22"/>
          <w:szCs w:val="22"/>
        </w:rPr>
      </w:pPr>
      <w:r w:rsidRPr="003D5FB5">
        <w:rPr>
          <w:rFonts w:asciiTheme="minorHAnsi" w:hAnsiTheme="minorHAnsi" w:cstheme="minorHAnsi"/>
          <w:bCs/>
          <w:sz w:val="22"/>
          <w:szCs w:val="22"/>
        </w:rPr>
        <w:t xml:space="preserve">The SAIFI and SAIDI figures of </w:t>
      </w:r>
      <w:proofErr w:type="spellStart"/>
      <w:r w:rsidRPr="003D5FB5">
        <w:rPr>
          <w:rFonts w:asciiTheme="minorHAnsi" w:hAnsiTheme="minorHAnsi" w:cstheme="minorHAnsi"/>
          <w:bCs/>
          <w:sz w:val="22"/>
          <w:szCs w:val="22"/>
        </w:rPr>
        <w:t>Baripada</w:t>
      </w:r>
      <w:proofErr w:type="spellEnd"/>
      <w:r w:rsidRPr="003D5FB5">
        <w:rPr>
          <w:rFonts w:asciiTheme="minorHAnsi" w:hAnsiTheme="minorHAnsi" w:cstheme="minorHAnsi"/>
          <w:bCs/>
          <w:sz w:val="22"/>
          <w:szCs w:val="22"/>
        </w:rPr>
        <w:t xml:space="preserve"> and </w:t>
      </w:r>
      <w:proofErr w:type="spellStart"/>
      <w:r w:rsidRPr="003D5FB5">
        <w:rPr>
          <w:rFonts w:asciiTheme="minorHAnsi" w:hAnsiTheme="minorHAnsi" w:cstheme="minorHAnsi"/>
          <w:bCs/>
          <w:sz w:val="22"/>
          <w:szCs w:val="22"/>
        </w:rPr>
        <w:t>Keonjhar</w:t>
      </w:r>
      <w:proofErr w:type="spellEnd"/>
      <w:r w:rsidRPr="003D5FB5">
        <w:rPr>
          <w:rFonts w:asciiTheme="minorHAnsi" w:hAnsiTheme="minorHAnsi" w:cstheme="minorHAnsi"/>
          <w:bCs/>
          <w:sz w:val="22"/>
          <w:szCs w:val="22"/>
        </w:rPr>
        <w:t xml:space="preserve"> Circle hav</w:t>
      </w:r>
      <w:r w:rsidR="003D5FB5">
        <w:rPr>
          <w:rFonts w:asciiTheme="minorHAnsi" w:hAnsiTheme="minorHAnsi" w:cstheme="minorHAnsi"/>
          <w:bCs/>
          <w:sz w:val="22"/>
          <w:szCs w:val="22"/>
        </w:rPr>
        <w:t xml:space="preserve">e increased over the figures   </w:t>
      </w:r>
      <w:r w:rsidRPr="003D5FB5">
        <w:rPr>
          <w:rFonts w:asciiTheme="minorHAnsi" w:hAnsiTheme="minorHAnsi" w:cstheme="minorHAnsi"/>
          <w:bCs/>
          <w:sz w:val="22"/>
          <w:szCs w:val="22"/>
        </w:rPr>
        <w:t>of FY 22-23 mainly due to shutdown of feeders that were taken for elephant movement.</w:t>
      </w:r>
    </w:p>
    <w:p w14:paraId="2ADCDD54" w14:textId="77777777" w:rsidR="00DE31A1" w:rsidRPr="003D5FB5" w:rsidRDefault="00DE31A1" w:rsidP="00EA573A">
      <w:pPr>
        <w:widowControl w:val="0"/>
        <w:tabs>
          <w:tab w:val="left" w:pos="1432"/>
          <w:tab w:val="left" w:pos="1433"/>
        </w:tabs>
        <w:spacing w:before="2" w:line="360" w:lineRule="auto"/>
        <w:jc w:val="both"/>
        <w:rPr>
          <w:rFonts w:asciiTheme="minorHAnsi" w:hAnsiTheme="minorHAnsi" w:cstheme="minorHAnsi"/>
          <w:color w:val="000000" w:themeColor="text1"/>
          <w:sz w:val="22"/>
          <w:szCs w:val="22"/>
        </w:rPr>
      </w:pPr>
    </w:p>
    <w:p w14:paraId="1D2A514B" w14:textId="33306056" w:rsidR="002F0A87" w:rsidRPr="003D5FB5" w:rsidRDefault="002F0A87" w:rsidP="00EA573A">
      <w:pPr>
        <w:widowControl w:val="0"/>
        <w:shd w:val="clear" w:color="auto" w:fill="FFFFFF" w:themeFill="background1"/>
        <w:tabs>
          <w:tab w:val="left" w:pos="589"/>
        </w:tabs>
        <w:spacing w:before="75" w:line="360" w:lineRule="auto"/>
        <w:jc w:val="both"/>
        <w:rPr>
          <w:rFonts w:asciiTheme="minorHAnsi" w:hAnsiTheme="minorHAnsi" w:cstheme="minorHAnsi"/>
          <w:b/>
          <w:sz w:val="22"/>
          <w:szCs w:val="22"/>
        </w:rPr>
      </w:pPr>
      <w:r w:rsidRPr="003D5FB5">
        <w:rPr>
          <w:rFonts w:asciiTheme="minorHAnsi" w:hAnsiTheme="minorHAnsi" w:cstheme="minorHAnsi"/>
          <w:noProof/>
          <w:sz w:val="22"/>
          <w:szCs w:val="22"/>
          <w:lang w:val="en-IN" w:eastAsia="en-IN"/>
        </w:rPr>
        <mc:AlternateContent>
          <mc:Choice Requires="wps">
            <w:drawing>
              <wp:anchor distT="8255" distB="3175" distL="6985" distR="4445" simplePos="0" relativeHeight="251963904" behindDoc="1" locked="0" layoutInCell="0" allowOverlap="1" wp14:anchorId="0F7736B2" wp14:editId="6B7A022F">
                <wp:simplePos x="0" y="0"/>
                <wp:positionH relativeFrom="page">
                  <wp:posOffset>12284710</wp:posOffset>
                </wp:positionH>
                <wp:positionV relativeFrom="paragraph">
                  <wp:posOffset>-535940</wp:posOffset>
                </wp:positionV>
                <wp:extent cx="312420" cy="264160"/>
                <wp:effectExtent l="0" t="0" r="635" b="0"/>
                <wp:wrapNone/>
                <wp:docPr id="35" name="Freeform 70"/>
                <wp:cNvGraphicFramePr/>
                <a:graphic xmlns:a="http://schemas.openxmlformats.org/drawingml/2006/main">
                  <a:graphicData uri="http://schemas.microsoft.com/office/word/2010/wordprocessingShape">
                    <wps:wsp>
                      <wps:cNvSpPr/>
                      <wps:spPr>
                        <a:xfrm>
                          <a:off x="0" y="0"/>
                          <a:ext cx="312480" cy="264240"/>
                        </a:xfrm>
                        <a:custGeom>
                          <a:avLst/>
                          <a:gdLst>
                            <a:gd name="textAreaLeft" fmla="*/ 0 w 177120"/>
                            <a:gd name="textAreaRight" fmla="*/ 177480 w 177120"/>
                            <a:gd name="textAreaTop" fmla="*/ 0 h 149760"/>
                            <a:gd name="textAreaBottom" fmla="*/ 150120 h 149760"/>
                          </a:gdLst>
                          <a:ahLst/>
                          <a:cxnLst/>
                          <a:rect l="textAreaLeft" t="textAreaTop" r="textAreaRight" b="textAreaBottom"/>
                          <a:pathLst>
                            <a:path w="492" h="416">
                              <a:moveTo>
                                <a:pt x="285" y="0"/>
                              </a:moveTo>
                              <a:lnTo>
                                <a:pt x="0" y="0"/>
                              </a:lnTo>
                              <a:lnTo>
                                <a:pt x="208" y="208"/>
                              </a:lnTo>
                              <a:lnTo>
                                <a:pt x="0" y="415"/>
                              </a:lnTo>
                              <a:lnTo>
                                <a:pt x="285" y="415"/>
                              </a:lnTo>
                              <a:lnTo>
                                <a:pt x="492" y="208"/>
                              </a:lnTo>
                              <a:lnTo>
                                <a:pt x="285" y="0"/>
                              </a:lnTo>
                              <a:close/>
                            </a:path>
                          </a:pathLst>
                        </a:custGeom>
                        <a:solidFill>
                          <a:srgbClr val="3A3838"/>
                        </a:solidFill>
                        <a:ln w="0">
                          <a:noFill/>
                        </a:ln>
                      </wps:spPr>
                      <wps:style>
                        <a:lnRef idx="0">
                          <a:scrgbClr r="0" g="0" b="0"/>
                        </a:lnRef>
                        <a:fillRef idx="0">
                          <a:scrgbClr r="0" g="0" b="0"/>
                        </a:fillRef>
                        <a:effectRef idx="0">
                          <a:scrgbClr r="0" g="0" b="0"/>
                        </a:effectRef>
                        <a:fontRef idx="minor"/>
                      </wps:style>
                      <wps:bodyPr/>
                    </wps:wsp>
                  </a:graphicData>
                </a:graphic>
              </wp:anchor>
            </w:drawing>
          </mc:Choice>
          <mc:Fallback xmlns:a14="http://schemas.microsoft.com/office/drawing/2010/main" xmlns:pic="http://schemas.openxmlformats.org/drawingml/2006/picture" xmlns:a16="http://schemas.microsoft.com/office/drawing/2014/main" xmlns:c="http://schemas.openxmlformats.org/drawingml/2006/chart" xmlns:a="http://schemas.openxmlformats.org/drawingml/2006/main">
            <w:pict w14:anchorId="757FB524">
              <v:shape id="Freeform 70" style="position:absolute;margin-left:967.3pt;margin-top:-42.2pt;width:24.6pt;height:20.8pt;z-index:-251352576;visibility:visible;mso-wrap-style:square;mso-wrap-distance-left:.55pt;mso-wrap-distance-top:.65pt;mso-wrap-distance-right:.35pt;mso-wrap-distance-bottom:.25pt;mso-position-horizontal:absolute;mso-position-horizontal-relative:page;mso-position-vertical:absolute;mso-position-vertical-relative:text;v-text-anchor:top" coordsize="492,416" o:spid="_x0000_s1026" o:allowincell="f" fillcolor="#3a3838" stroked="f" strokeweight="0" path="m285,l,,208,208,,415r285,l492,208,285,x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" w14:anchorId="41B699B1">
                <v:path textboxrect="0,0,493,417" arrowok="t"/>
                <w10:wrap anchorx="page"/>
              </v:shape>
            </w:pict>
          </mc:Fallback>
        </mc:AlternateContent>
      </w:r>
      <w:r w:rsidR="00EA573A">
        <w:rPr>
          <w:rFonts w:asciiTheme="minorHAnsi" w:hAnsiTheme="minorHAnsi" w:cstheme="minorHAnsi"/>
          <w:b/>
          <w:sz w:val="22"/>
          <w:szCs w:val="22"/>
        </w:rPr>
        <w:t xml:space="preserve">         </w:t>
      </w:r>
      <w:r w:rsidR="00466DB4" w:rsidRPr="004D5E58">
        <w:rPr>
          <w:rFonts w:asciiTheme="minorHAnsi" w:hAnsiTheme="minorHAnsi" w:cstheme="minorHAnsi"/>
          <w:b/>
          <w:szCs w:val="22"/>
        </w:rPr>
        <w:t>2.7.2</w:t>
      </w:r>
      <w:r w:rsidRPr="004D5E58">
        <w:rPr>
          <w:rFonts w:asciiTheme="minorHAnsi" w:hAnsiTheme="minorHAnsi" w:cstheme="minorHAnsi"/>
          <w:b/>
          <w:szCs w:val="22"/>
        </w:rPr>
        <w:t xml:space="preserve"> Impact of Auto-Recloser in Reliability Improvement:</w:t>
      </w:r>
    </w:p>
    <w:p w14:paraId="3B6A3F47" w14:textId="6689511F" w:rsidR="006A7BDF" w:rsidRPr="00E02343" w:rsidRDefault="002F0A87" w:rsidP="00E02343">
      <w:pPr>
        <w:tabs>
          <w:tab w:val="left" w:pos="426"/>
        </w:tabs>
        <w:spacing w:line="360" w:lineRule="auto"/>
        <w:ind w:left="426" w:right="-23"/>
        <w:jc w:val="both"/>
        <w:rPr>
          <w:rFonts w:asciiTheme="minorHAnsi" w:hAnsiTheme="minorHAnsi" w:cstheme="minorHAnsi"/>
          <w:spacing w:val="-7"/>
          <w:sz w:val="22"/>
          <w:szCs w:val="22"/>
        </w:rPr>
      </w:pPr>
      <w:r w:rsidRPr="003D5FB5">
        <w:rPr>
          <w:rFonts w:asciiTheme="minorHAnsi" w:hAnsiTheme="minorHAnsi" w:cstheme="minorHAnsi"/>
          <w:w w:val="95"/>
          <w:sz w:val="22"/>
          <w:szCs w:val="22"/>
        </w:rPr>
        <w:t>Auto-Reclosers play</w:t>
      </w:r>
      <w:r w:rsidRPr="003D5FB5">
        <w:rPr>
          <w:rFonts w:asciiTheme="minorHAnsi" w:hAnsiTheme="minorHAnsi" w:cstheme="minorHAnsi"/>
          <w:spacing w:val="2"/>
          <w:w w:val="95"/>
          <w:sz w:val="22"/>
          <w:szCs w:val="22"/>
        </w:rPr>
        <w:t xml:space="preserve"> </w:t>
      </w:r>
      <w:r w:rsidRPr="003D5FB5">
        <w:rPr>
          <w:rFonts w:asciiTheme="minorHAnsi" w:hAnsiTheme="minorHAnsi" w:cstheme="minorHAnsi"/>
          <w:w w:val="95"/>
          <w:sz w:val="22"/>
          <w:szCs w:val="22"/>
        </w:rPr>
        <w:t>a</w:t>
      </w:r>
      <w:r w:rsidRPr="003D5FB5">
        <w:rPr>
          <w:rFonts w:asciiTheme="minorHAnsi" w:hAnsiTheme="minorHAnsi" w:cstheme="minorHAnsi"/>
          <w:spacing w:val="3"/>
          <w:w w:val="95"/>
          <w:sz w:val="22"/>
          <w:szCs w:val="22"/>
        </w:rPr>
        <w:t xml:space="preserve"> </w:t>
      </w:r>
      <w:r w:rsidRPr="003D5FB5">
        <w:rPr>
          <w:rFonts w:asciiTheme="minorHAnsi" w:hAnsiTheme="minorHAnsi" w:cstheme="minorHAnsi"/>
          <w:w w:val="95"/>
          <w:sz w:val="22"/>
          <w:szCs w:val="22"/>
        </w:rPr>
        <w:t>significant</w:t>
      </w:r>
      <w:r w:rsidRPr="003D5FB5">
        <w:rPr>
          <w:rFonts w:asciiTheme="minorHAnsi" w:hAnsiTheme="minorHAnsi" w:cstheme="minorHAnsi"/>
          <w:spacing w:val="7"/>
          <w:w w:val="95"/>
          <w:sz w:val="22"/>
          <w:szCs w:val="22"/>
        </w:rPr>
        <w:t xml:space="preserve"> </w:t>
      </w:r>
      <w:r w:rsidRPr="003D5FB5">
        <w:rPr>
          <w:rFonts w:asciiTheme="minorHAnsi" w:hAnsiTheme="minorHAnsi" w:cstheme="minorHAnsi"/>
          <w:w w:val="95"/>
          <w:sz w:val="22"/>
          <w:szCs w:val="22"/>
        </w:rPr>
        <w:t>role in</w:t>
      </w:r>
      <w:r w:rsidRPr="003D5FB5">
        <w:rPr>
          <w:rFonts w:asciiTheme="minorHAnsi" w:hAnsiTheme="minorHAnsi" w:cstheme="minorHAnsi"/>
          <w:spacing w:val="2"/>
          <w:w w:val="95"/>
          <w:sz w:val="22"/>
          <w:szCs w:val="22"/>
        </w:rPr>
        <w:t xml:space="preserve"> </w:t>
      </w:r>
      <w:r w:rsidRPr="003D5FB5">
        <w:rPr>
          <w:rFonts w:asciiTheme="minorHAnsi" w:hAnsiTheme="minorHAnsi" w:cstheme="minorHAnsi"/>
          <w:w w:val="95"/>
          <w:sz w:val="22"/>
          <w:szCs w:val="22"/>
        </w:rPr>
        <w:t>improving</w:t>
      </w:r>
      <w:r w:rsidRPr="003D5FB5">
        <w:rPr>
          <w:rFonts w:asciiTheme="minorHAnsi" w:hAnsiTheme="minorHAnsi" w:cstheme="minorHAnsi"/>
          <w:spacing w:val="5"/>
          <w:w w:val="95"/>
          <w:sz w:val="22"/>
          <w:szCs w:val="22"/>
        </w:rPr>
        <w:t xml:space="preserve"> </w:t>
      </w:r>
      <w:r w:rsidRPr="003D5FB5">
        <w:rPr>
          <w:rFonts w:asciiTheme="minorHAnsi" w:hAnsiTheme="minorHAnsi" w:cstheme="minorHAnsi"/>
          <w:w w:val="95"/>
          <w:sz w:val="22"/>
          <w:szCs w:val="22"/>
        </w:rPr>
        <w:t>the</w:t>
      </w:r>
      <w:r w:rsidRPr="003D5FB5">
        <w:rPr>
          <w:rFonts w:asciiTheme="minorHAnsi" w:hAnsiTheme="minorHAnsi" w:cstheme="minorHAnsi"/>
          <w:spacing w:val="3"/>
          <w:w w:val="95"/>
          <w:sz w:val="22"/>
          <w:szCs w:val="22"/>
        </w:rPr>
        <w:t xml:space="preserve"> </w:t>
      </w:r>
      <w:r w:rsidRPr="003D5FB5">
        <w:rPr>
          <w:rFonts w:asciiTheme="minorHAnsi" w:hAnsiTheme="minorHAnsi" w:cstheme="minorHAnsi"/>
          <w:w w:val="95"/>
          <w:sz w:val="22"/>
          <w:szCs w:val="22"/>
        </w:rPr>
        <w:t>reliability</w:t>
      </w:r>
      <w:r w:rsidRPr="003D5FB5">
        <w:rPr>
          <w:rFonts w:asciiTheme="minorHAnsi" w:hAnsiTheme="minorHAnsi" w:cstheme="minorHAnsi"/>
          <w:spacing w:val="1"/>
          <w:w w:val="95"/>
          <w:sz w:val="22"/>
          <w:szCs w:val="22"/>
        </w:rPr>
        <w:t xml:space="preserve"> </w:t>
      </w:r>
      <w:r w:rsidRPr="003D5FB5">
        <w:rPr>
          <w:rFonts w:asciiTheme="minorHAnsi" w:hAnsiTheme="minorHAnsi" w:cstheme="minorHAnsi"/>
          <w:w w:val="95"/>
          <w:sz w:val="22"/>
          <w:szCs w:val="22"/>
        </w:rPr>
        <w:t>of</w:t>
      </w:r>
      <w:r w:rsidRPr="003D5FB5">
        <w:rPr>
          <w:rFonts w:asciiTheme="minorHAnsi" w:hAnsiTheme="minorHAnsi" w:cstheme="minorHAnsi"/>
          <w:spacing w:val="4"/>
          <w:w w:val="95"/>
          <w:sz w:val="22"/>
          <w:szCs w:val="22"/>
        </w:rPr>
        <w:t xml:space="preserve"> </w:t>
      </w:r>
      <w:r w:rsidRPr="003D5FB5">
        <w:rPr>
          <w:rFonts w:asciiTheme="minorHAnsi" w:hAnsiTheme="minorHAnsi" w:cstheme="minorHAnsi"/>
          <w:w w:val="95"/>
          <w:sz w:val="22"/>
          <w:szCs w:val="22"/>
        </w:rPr>
        <w:t>electrical</w:t>
      </w:r>
      <w:r w:rsidRPr="003D5FB5">
        <w:rPr>
          <w:rFonts w:asciiTheme="minorHAnsi" w:hAnsiTheme="minorHAnsi" w:cstheme="minorHAnsi"/>
          <w:spacing w:val="1"/>
          <w:w w:val="95"/>
          <w:sz w:val="22"/>
          <w:szCs w:val="22"/>
        </w:rPr>
        <w:t xml:space="preserve"> </w:t>
      </w:r>
      <w:r w:rsidRPr="003D5FB5">
        <w:rPr>
          <w:rFonts w:asciiTheme="minorHAnsi" w:hAnsiTheme="minorHAnsi" w:cstheme="minorHAnsi"/>
          <w:w w:val="95"/>
          <w:sz w:val="22"/>
          <w:szCs w:val="22"/>
        </w:rPr>
        <w:t>distribution</w:t>
      </w:r>
      <w:r w:rsidRPr="003D5FB5">
        <w:rPr>
          <w:rFonts w:asciiTheme="minorHAnsi" w:hAnsiTheme="minorHAnsi" w:cstheme="minorHAnsi"/>
          <w:spacing w:val="13"/>
          <w:w w:val="95"/>
          <w:sz w:val="22"/>
          <w:szCs w:val="22"/>
        </w:rPr>
        <w:t xml:space="preserve"> </w:t>
      </w:r>
      <w:r w:rsidRPr="003D5FB5">
        <w:rPr>
          <w:rFonts w:asciiTheme="minorHAnsi" w:hAnsiTheme="minorHAnsi" w:cstheme="minorHAnsi"/>
          <w:w w:val="95"/>
          <w:sz w:val="22"/>
          <w:szCs w:val="22"/>
        </w:rPr>
        <w:t>systems by facilitating F</w:t>
      </w:r>
      <w:r w:rsidRPr="003D5FB5">
        <w:rPr>
          <w:rFonts w:asciiTheme="minorHAnsi" w:hAnsiTheme="minorHAnsi" w:cstheme="minorHAnsi"/>
          <w:sz w:val="22"/>
          <w:szCs w:val="22"/>
        </w:rPr>
        <w:t>ault</w:t>
      </w:r>
      <w:r w:rsidRPr="003D5FB5">
        <w:rPr>
          <w:rFonts w:asciiTheme="minorHAnsi" w:hAnsiTheme="minorHAnsi" w:cstheme="minorHAnsi"/>
          <w:spacing w:val="-9"/>
          <w:sz w:val="22"/>
          <w:szCs w:val="22"/>
        </w:rPr>
        <w:t xml:space="preserve"> </w:t>
      </w:r>
      <w:r w:rsidRPr="003D5FB5">
        <w:rPr>
          <w:rFonts w:asciiTheme="minorHAnsi" w:hAnsiTheme="minorHAnsi" w:cstheme="minorHAnsi"/>
          <w:sz w:val="22"/>
          <w:szCs w:val="22"/>
        </w:rPr>
        <w:t>Detection</w:t>
      </w:r>
      <w:r w:rsidRPr="003D5FB5">
        <w:rPr>
          <w:rFonts w:asciiTheme="minorHAnsi" w:hAnsiTheme="minorHAnsi" w:cstheme="minorHAnsi"/>
          <w:spacing w:val="-9"/>
          <w:sz w:val="22"/>
          <w:szCs w:val="22"/>
        </w:rPr>
        <w:t xml:space="preserve"> </w:t>
      </w:r>
      <w:r w:rsidRPr="003D5FB5">
        <w:rPr>
          <w:rFonts w:asciiTheme="minorHAnsi" w:hAnsiTheme="minorHAnsi" w:cstheme="minorHAnsi"/>
          <w:sz w:val="22"/>
          <w:szCs w:val="22"/>
        </w:rPr>
        <w:t>and</w:t>
      </w:r>
      <w:r w:rsidRPr="003D5FB5">
        <w:rPr>
          <w:rFonts w:asciiTheme="minorHAnsi" w:hAnsiTheme="minorHAnsi" w:cstheme="minorHAnsi"/>
          <w:spacing w:val="-9"/>
          <w:sz w:val="22"/>
          <w:szCs w:val="22"/>
        </w:rPr>
        <w:t xml:space="preserve"> </w:t>
      </w:r>
      <w:r w:rsidRPr="003D5FB5">
        <w:rPr>
          <w:rFonts w:asciiTheme="minorHAnsi" w:hAnsiTheme="minorHAnsi" w:cstheme="minorHAnsi"/>
          <w:sz w:val="22"/>
          <w:szCs w:val="22"/>
        </w:rPr>
        <w:t xml:space="preserve">Isolation, </w:t>
      </w:r>
      <w:r w:rsidRPr="003D5FB5">
        <w:rPr>
          <w:rFonts w:asciiTheme="minorHAnsi" w:hAnsiTheme="minorHAnsi" w:cstheme="minorHAnsi"/>
          <w:spacing w:val="-1"/>
          <w:sz w:val="22"/>
          <w:szCs w:val="22"/>
        </w:rPr>
        <w:t>Automatic</w:t>
      </w:r>
      <w:r w:rsidRPr="003D5FB5">
        <w:rPr>
          <w:rFonts w:asciiTheme="minorHAnsi" w:hAnsiTheme="minorHAnsi" w:cstheme="minorHAnsi"/>
          <w:spacing w:val="-10"/>
          <w:sz w:val="22"/>
          <w:szCs w:val="22"/>
        </w:rPr>
        <w:t xml:space="preserve"> </w:t>
      </w:r>
      <w:r w:rsidRPr="003D5FB5">
        <w:rPr>
          <w:rFonts w:asciiTheme="minorHAnsi" w:hAnsiTheme="minorHAnsi" w:cstheme="minorHAnsi"/>
          <w:spacing w:val="-1"/>
          <w:sz w:val="22"/>
          <w:szCs w:val="22"/>
        </w:rPr>
        <w:t xml:space="preserve">Restoration, </w:t>
      </w:r>
      <w:r w:rsidRPr="003D5FB5">
        <w:rPr>
          <w:rFonts w:asciiTheme="minorHAnsi" w:hAnsiTheme="minorHAnsi" w:cstheme="minorHAnsi"/>
          <w:sz w:val="22"/>
          <w:szCs w:val="22"/>
        </w:rPr>
        <w:t>Reduced</w:t>
      </w:r>
      <w:r w:rsidRPr="003D5FB5">
        <w:rPr>
          <w:rFonts w:asciiTheme="minorHAnsi" w:hAnsiTheme="minorHAnsi" w:cstheme="minorHAnsi"/>
          <w:spacing w:val="-8"/>
          <w:sz w:val="22"/>
          <w:szCs w:val="22"/>
        </w:rPr>
        <w:t xml:space="preserve"> </w:t>
      </w:r>
      <w:r w:rsidRPr="003D5FB5">
        <w:rPr>
          <w:rFonts w:asciiTheme="minorHAnsi" w:hAnsiTheme="minorHAnsi" w:cstheme="minorHAnsi"/>
          <w:sz w:val="22"/>
          <w:szCs w:val="22"/>
        </w:rPr>
        <w:t>Outage</w:t>
      </w:r>
      <w:r w:rsidRPr="003D5FB5">
        <w:rPr>
          <w:rFonts w:asciiTheme="minorHAnsi" w:hAnsiTheme="minorHAnsi" w:cstheme="minorHAnsi"/>
          <w:spacing w:val="-3"/>
          <w:sz w:val="22"/>
          <w:szCs w:val="22"/>
        </w:rPr>
        <w:t xml:space="preserve"> </w:t>
      </w:r>
      <w:r w:rsidRPr="003D5FB5">
        <w:rPr>
          <w:rFonts w:asciiTheme="minorHAnsi" w:hAnsiTheme="minorHAnsi" w:cstheme="minorHAnsi"/>
          <w:sz w:val="22"/>
          <w:szCs w:val="22"/>
        </w:rPr>
        <w:t>Duration</w:t>
      </w:r>
      <w:r w:rsidRPr="003D5FB5">
        <w:rPr>
          <w:rFonts w:asciiTheme="minorHAnsi" w:hAnsiTheme="minorHAnsi" w:cstheme="minorHAnsi"/>
          <w:spacing w:val="-7"/>
          <w:sz w:val="22"/>
          <w:szCs w:val="22"/>
        </w:rPr>
        <w:t xml:space="preserve"> </w:t>
      </w:r>
      <w:r w:rsidRPr="003D5FB5">
        <w:rPr>
          <w:rFonts w:asciiTheme="minorHAnsi" w:hAnsiTheme="minorHAnsi" w:cstheme="minorHAnsi"/>
          <w:sz w:val="22"/>
          <w:szCs w:val="22"/>
        </w:rPr>
        <w:t>in</w:t>
      </w:r>
      <w:r w:rsidRPr="003D5FB5">
        <w:rPr>
          <w:rFonts w:asciiTheme="minorHAnsi" w:hAnsiTheme="minorHAnsi" w:cstheme="minorHAnsi"/>
          <w:spacing w:val="-5"/>
          <w:sz w:val="22"/>
          <w:szCs w:val="22"/>
        </w:rPr>
        <w:t xml:space="preserve"> </w:t>
      </w:r>
      <w:r w:rsidRPr="003D5FB5">
        <w:rPr>
          <w:rFonts w:asciiTheme="minorHAnsi" w:hAnsiTheme="minorHAnsi" w:cstheme="minorHAnsi"/>
          <w:sz w:val="22"/>
          <w:szCs w:val="22"/>
        </w:rPr>
        <w:t>the</w:t>
      </w:r>
      <w:r w:rsidRPr="003D5FB5">
        <w:rPr>
          <w:rFonts w:asciiTheme="minorHAnsi" w:hAnsiTheme="minorHAnsi" w:cstheme="minorHAnsi"/>
          <w:spacing w:val="-4"/>
          <w:sz w:val="22"/>
          <w:szCs w:val="22"/>
        </w:rPr>
        <w:t xml:space="preserve"> </w:t>
      </w:r>
      <w:r w:rsidRPr="003D5FB5">
        <w:rPr>
          <w:rFonts w:asciiTheme="minorHAnsi" w:hAnsiTheme="minorHAnsi" w:cstheme="minorHAnsi"/>
          <w:sz w:val="22"/>
          <w:szCs w:val="22"/>
        </w:rPr>
        <w:t>case</w:t>
      </w:r>
      <w:r w:rsidRPr="003D5FB5">
        <w:rPr>
          <w:rFonts w:asciiTheme="minorHAnsi" w:hAnsiTheme="minorHAnsi" w:cstheme="minorHAnsi"/>
          <w:spacing w:val="-7"/>
          <w:sz w:val="22"/>
          <w:szCs w:val="22"/>
        </w:rPr>
        <w:t xml:space="preserve"> </w:t>
      </w:r>
    </w:p>
    <w:p w14:paraId="7B7D73BF" w14:textId="75A8C0D9" w:rsidR="002F0A87" w:rsidRDefault="002F0A87" w:rsidP="00480682">
      <w:pPr>
        <w:tabs>
          <w:tab w:val="left" w:pos="426"/>
        </w:tabs>
        <w:spacing w:line="360" w:lineRule="auto"/>
        <w:ind w:left="426" w:right="-23"/>
        <w:jc w:val="both"/>
        <w:rPr>
          <w:rFonts w:asciiTheme="minorHAnsi" w:hAnsiTheme="minorHAnsi" w:cstheme="minorHAnsi"/>
          <w:sz w:val="22"/>
          <w:szCs w:val="22"/>
        </w:rPr>
      </w:pPr>
      <w:r w:rsidRPr="003D5FB5">
        <w:rPr>
          <w:rFonts w:asciiTheme="minorHAnsi" w:hAnsiTheme="minorHAnsi" w:cstheme="minorHAnsi"/>
          <w:sz w:val="22"/>
          <w:szCs w:val="22"/>
        </w:rPr>
        <w:t>of</w:t>
      </w:r>
      <w:r w:rsidRPr="003D5FB5">
        <w:rPr>
          <w:rFonts w:asciiTheme="minorHAnsi" w:hAnsiTheme="minorHAnsi" w:cstheme="minorHAnsi"/>
          <w:spacing w:val="-3"/>
          <w:sz w:val="22"/>
          <w:szCs w:val="22"/>
        </w:rPr>
        <w:t xml:space="preserve"> </w:t>
      </w:r>
      <w:r w:rsidRPr="003D5FB5">
        <w:rPr>
          <w:rFonts w:asciiTheme="minorHAnsi" w:hAnsiTheme="minorHAnsi" w:cstheme="minorHAnsi"/>
          <w:sz w:val="22"/>
          <w:szCs w:val="22"/>
        </w:rPr>
        <w:t>Transient</w:t>
      </w:r>
      <w:r w:rsidRPr="003D5FB5">
        <w:rPr>
          <w:rFonts w:asciiTheme="minorHAnsi" w:hAnsiTheme="minorHAnsi" w:cstheme="minorHAnsi"/>
          <w:spacing w:val="-7"/>
          <w:sz w:val="22"/>
          <w:szCs w:val="22"/>
        </w:rPr>
        <w:t xml:space="preserve"> </w:t>
      </w:r>
      <w:r w:rsidRPr="003D5FB5">
        <w:rPr>
          <w:rFonts w:asciiTheme="minorHAnsi" w:hAnsiTheme="minorHAnsi" w:cstheme="minorHAnsi"/>
          <w:sz w:val="22"/>
          <w:szCs w:val="22"/>
        </w:rPr>
        <w:t xml:space="preserve">Fault, </w:t>
      </w:r>
      <w:r w:rsidRPr="003D5FB5">
        <w:rPr>
          <w:rFonts w:asciiTheme="minorHAnsi" w:hAnsiTheme="minorHAnsi" w:cstheme="minorHAnsi"/>
          <w:w w:val="95"/>
          <w:sz w:val="22"/>
          <w:szCs w:val="22"/>
        </w:rPr>
        <w:t>Improved</w:t>
      </w:r>
      <w:r w:rsidRPr="003D5FB5">
        <w:rPr>
          <w:rFonts w:asciiTheme="minorHAnsi" w:hAnsiTheme="minorHAnsi" w:cstheme="minorHAnsi"/>
          <w:spacing w:val="9"/>
          <w:w w:val="95"/>
          <w:sz w:val="22"/>
          <w:szCs w:val="22"/>
        </w:rPr>
        <w:t xml:space="preserve"> </w:t>
      </w:r>
      <w:r w:rsidRPr="003D5FB5">
        <w:rPr>
          <w:rFonts w:asciiTheme="minorHAnsi" w:hAnsiTheme="minorHAnsi" w:cstheme="minorHAnsi"/>
          <w:w w:val="95"/>
          <w:sz w:val="22"/>
          <w:szCs w:val="22"/>
        </w:rPr>
        <w:t>System</w:t>
      </w:r>
      <w:r w:rsidRPr="003D5FB5">
        <w:rPr>
          <w:rFonts w:asciiTheme="minorHAnsi" w:hAnsiTheme="minorHAnsi" w:cstheme="minorHAnsi"/>
          <w:spacing w:val="9"/>
          <w:w w:val="95"/>
          <w:sz w:val="22"/>
          <w:szCs w:val="22"/>
        </w:rPr>
        <w:t xml:space="preserve"> </w:t>
      </w:r>
      <w:r w:rsidRPr="003D5FB5">
        <w:rPr>
          <w:rFonts w:asciiTheme="minorHAnsi" w:hAnsiTheme="minorHAnsi" w:cstheme="minorHAnsi"/>
          <w:w w:val="95"/>
          <w:sz w:val="22"/>
          <w:szCs w:val="22"/>
        </w:rPr>
        <w:t>Reliability</w:t>
      </w:r>
      <w:r w:rsidRPr="003D5FB5">
        <w:rPr>
          <w:rFonts w:asciiTheme="minorHAnsi" w:hAnsiTheme="minorHAnsi" w:cstheme="minorHAnsi"/>
          <w:spacing w:val="6"/>
          <w:w w:val="95"/>
          <w:sz w:val="22"/>
          <w:szCs w:val="22"/>
        </w:rPr>
        <w:t xml:space="preserve"> </w:t>
      </w:r>
      <w:r w:rsidRPr="003D5FB5">
        <w:rPr>
          <w:rFonts w:asciiTheme="minorHAnsi" w:hAnsiTheme="minorHAnsi" w:cstheme="minorHAnsi"/>
          <w:w w:val="95"/>
          <w:sz w:val="22"/>
          <w:szCs w:val="22"/>
        </w:rPr>
        <w:t>by</w:t>
      </w:r>
      <w:r w:rsidRPr="003D5FB5">
        <w:rPr>
          <w:rFonts w:asciiTheme="minorHAnsi" w:hAnsiTheme="minorHAnsi" w:cstheme="minorHAnsi"/>
          <w:spacing w:val="4"/>
          <w:w w:val="95"/>
          <w:sz w:val="22"/>
          <w:szCs w:val="22"/>
        </w:rPr>
        <w:t xml:space="preserve"> </w:t>
      </w:r>
      <w:r w:rsidRPr="003D5FB5">
        <w:rPr>
          <w:rFonts w:asciiTheme="minorHAnsi" w:hAnsiTheme="minorHAnsi" w:cstheme="minorHAnsi"/>
          <w:w w:val="95"/>
          <w:sz w:val="22"/>
          <w:szCs w:val="22"/>
        </w:rPr>
        <w:t>limiting</w:t>
      </w:r>
      <w:r w:rsidRPr="003D5FB5">
        <w:rPr>
          <w:rFonts w:asciiTheme="minorHAnsi" w:hAnsiTheme="minorHAnsi" w:cstheme="minorHAnsi"/>
          <w:spacing w:val="9"/>
          <w:w w:val="95"/>
          <w:sz w:val="22"/>
          <w:szCs w:val="22"/>
        </w:rPr>
        <w:t xml:space="preserve"> </w:t>
      </w:r>
      <w:r w:rsidRPr="003D5FB5">
        <w:rPr>
          <w:rFonts w:asciiTheme="minorHAnsi" w:hAnsiTheme="minorHAnsi" w:cstheme="minorHAnsi"/>
          <w:w w:val="95"/>
          <w:sz w:val="22"/>
          <w:szCs w:val="22"/>
        </w:rPr>
        <w:t>the</w:t>
      </w:r>
      <w:r w:rsidRPr="003D5FB5">
        <w:rPr>
          <w:rFonts w:asciiTheme="minorHAnsi" w:hAnsiTheme="minorHAnsi" w:cstheme="minorHAnsi"/>
          <w:spacing w:val="8"/>
          <w:w w:val="95"/>
          <w:sz w:val="22"/>
          <w:szCs w:val="22"/>
        </w:rPr>
        <w:t xml:space="preserve"> </w:t>
      </w:r>
      <w:r w:rsidRPr="003D5FB5">
        <w:rPr>
          <w:rFonts w:asciiTheme="minorHAnsi" w:hAnsiTheme="minorHAnsi" w:cstheme="minorHAnsi"/>
          <w:w w:val="95"/>
          <w:sz w:val="22"/>
          <w:szCs w:val="22"/>
        </w:rPr>
        <w:t>Affected</w:t>
      </w:r>
      <w:r w:rsidRPr="003D5FB5">
        <w:rPr>
          <w:rFonts w:asciiTheme="minorHAnsi" w:hAnsiTheme="minorHAnsi" w:cstheme="minorHAnsi"/>
          <w:spacing w:val="6"/>
          <w:w w:val="95"/>
          <w:sz w:val="22"/>
          <w:szCs w:val="22"/>
        </w:rPr>
        <w:t xml:space="preserve"> </w:t>
      </w:r>
      <w:r w:rsidRPr="003D5FB5">
        <w:rPr>
          <w:rFonts w:asciiTheme="minorHAnsi" w:hAnsiTheme="minorHAnsi" w:cstheme="minorHAnsi"/>
          <w:w w:val="95"/>
          <w:sz w:val="22"/>
          <w:szCs w:val="22"/>
        </w:rPr>
        <w:t xml:space="preserve">Area. </w:t>
      </w:r>
      <w:r w:rsidRPr="003D5FB5">
        <w:rPr>
          <w:rFonts w:asciiTheme="minorHAnsi" w:hAnsiTheme="minorHAnsi" w:cstheme="minorHAnsi"/>
          <w:sz w:val="22"/>
          <w:szCs w:val="22"/>
        </w:rPr>
        <w:t>In</w:t>
      </w:r>
      <w:r w:rsidRPr="003D5FB5">
        <w:rPr>
          <w:rFonts w:asciiTheme="minorHAnsi" w:hAnsiTheme="minorHAnsi" w:cstheme="minorHAnsi"/>
          <w:spacing w:val="-9"/>
          <w:sz w:val="22"/>
          <w:szCs w:val="22"/>
        </w:rPr>
        <w:t xml:space="preserve"> </w:t>
      </w:r>
      <w:r w:rsidRPr="003D5FB5">
        <w:rPr>
          <w:rFonts w:asciiTheme="minorHAnsi" w:hAnsiTheme="minorHAnsi" w:cstheme="minorHAnsi"/>
          <w:sz w:val="22"/>
          <w:szCs w:val="22"/>
        </w:rPr>
        <w:t>the</w:t>
      </w:r>
      <w:r w:rsidRPr="003D5FB5">
        <w:rPr>
          <w:rFonts w:asciiTheme="minorHAnsi" w:hAnsiTheme="minorHAnsi" w:cstheme="minorHAnsi"/>
          <w:spacing w:val="-11"/>
          <w:sz w:val="22"/>
          <w:szCs w:val="22"/>
        </w:rPr>
        <w:t xml:space="preserve"> </w:t>
      </w:r>
      <w:r w:rsidRPr="003D5FB5">
        <w:rPr>
          <w:rFonts w:asciiTheme="minorHAnsi" w:hAnsiTheme="minorHAnsi" w:cstheme="minorHAnsi"/>
          <w:sz w:val="22"/>
          <w:szCs w:val="22"/>
        </w:rPr>
        <w:t>Case</w:t>
      </w:r>
      <w:r w:rsidRPr="003D5FB5">
        <w:rPr>
          <w:rFonts w:asciiTheme="minorHAnsi" w:hAnsiTheme="minorHAnsi" w:cstheme="minorHAnsi"/>
          <w:spacing w:val="-11"/>
          <w:sz w:val="22"/>
          <w:szCs w:val="22"/>
        </w:rPr>
        <w:t xml:space="preserve"> </w:t>
      </w:r>
      <w:r w:rsidRPr="003D5FB5">
        <w:rPr>
          <w:rFonts w:asciiTheme="minorHAnsi" w:hAnsiTheme="minorHAnsi" w:cstheme="minorHAnsi"/>
          <w:sz w:val="22"/>
          <w:szCs w:val="22"/>
        </w:rPr>
        <w:t>of</w:t>
      </w:r>
      <w:r w:rsidRPr="003D5FB5">
        <w:rPr>
          <w:rFonts w:asciiTheme="minorHAnsi" w:hAnsiTheme="minorHAnsi" w:cstheme="minorHAnsi"/>
          <w:spacing w:val="-8"/>
          <w:sz w:val="22"/>
          <w:szCs w:val="22"/>
        </w:rPr>
        <w:t xml:space="preserve"> </w:t>
      </w:r>
      <w:r w:rsidRPr="003D5FB5">
        <w:rPr>
          <w:rFonts w:asciiTheme="minorHAnsi" w:hAnsiTheme="minorHAnsi" w:cstheme="minorHAnsi"/>
          <w:sz w:val="22"/>
          <w:szCs w:val="22"/>
        </w:rPr>
        <w:t>Permanent</w:t>
      </w:r>
      <w:r w:rsidRPr="003D5FB5">
        <w:rPr>
          <w:rFonts w:asciiTheme="minorHAnsi" w:hAnsiTheme="minorHAnsi" w:cstheme="minorHAnsi"/>
          <w:spacing w:val="-9"/>
          <w:sz w:val="22"/>
          <w:szCs w:val="22"/>
        </w:rPr>
        <w:t xml:space="preserve"> </w:t>
      </w:r>
      <w:r w:rsidRPr="003D5FB5">
        <w:rPr>
          <w:rFonts w:asciiTheme="minorHAnsi" w:hAnsiTheme="minorHAnsi" w:cstheme="minorHAnsi"/>
          <w:sz w:val="22"/>
          <w:szCs w:val="22"/>
        </w:rPr>
        <w:t>Fault,</w:t>
      </w:r>
      <w:r w:rsidRPr="003D5FB5">
        <w:rPr>
          <w:rFonts w:asciiTheme="minorHAnsi" w:hAnsiTheme="minorHAnsi" w:cstheme="minorHAnsi"/>
          <w:spacing w:val="-10"/>
          <w:sz w:val="22"/>
          <w:szCs w:val="22"/>
        </w:rPr>
        <w:t xml:space="preserve"> </w:t>
      </w:r>
      <w:r w:rsidRPr="003D5FB5">
        <w:rPr>
          <w:rFonts w:asciiTheme="minorHAnsi" w:hAnsiTheme="minorHAnsi" w:cstheme="minorHAnsi"/>
          <w:sz w:val="22"/>
          <w:szCs w:val="22"/>
        </w:rPr>
        <w:t>it</w:t>
      </w:r>
      <w:r w:rsidRPr="003D5FB5">
        <w:rPr>
          <w:rFonts w:asciiTheme="minorHAnsi" w:hAnsiTheme="minorHAnsi" w:cstheme="minorHAnsi"/>
          <w:spacing w:val="-9"/>
          <w:sz w:val="22"/>
          <w:szCs w:val="22"/>
        </w:rPr>
        <w:t xml:space="preserve"> </w:t>
      </w:r>
      <w:r w:rsidRPr="003D5FB5">
        <w:rPr>
          <w:rFonts w:asciiTheme="minorHAnsi" w:hAnsiTheme="minorHAnsi" w:cstheme="minorHAnsi"/>
          <w:sz w:val="22"/>
          <w:szCs w:val="22"/>
        </w:rPr>
        <w:t>helps</w:t>
      </w:r>
      <w:r w:rsidRPr="003D5FB5">
        <w:rPr>
          <w:rFonts w:asciiTheme="minorHAnsi" w:hAnsiTheme="minorHAnsi" w:cstheme="minorHAnsi"/>
          <w:spacing w:val="-12"/>
          <w:sz w:val="22"/>
          <w:szCs w:val="22"/>
        </w:rPr>
        <w:t xml:space="preserve"> </w:t>
      </w:r>
      <w:r w:rsidRPr="003D5FB5">
        <w:rPr>
          <w:rFonts w:asciiTheme="minorHAnsi" w:hAnsiTheme="minorHAnsi" w:cstheme="minorHAnsi"/>
          <w:sz w:val="22"/>
          <w:szCs w:val="22"/>
        </w:rPr>
        <w:t>us</w:t>
      </w:r>
      <w:r w:rsidRPr="003D5FB5">
        <w:rPr>
          <w:rFonts w:asciiTheme="minorHAnsi" w:hAnsiTheme="minorHAnsi" w:cstheme="minorHAnsi"/>
          <w:spacing w:val="-9"/>
          <w:sz w:val="22"/>
          <w:szCs w:val="22"/>
        </w:rPr>
        <w:t xml:space="preserve"> </w:t>
      </w:r>
      <w:r w:rsidRPr="003D5FB5">
        <w:rPr>
          <w:rFonts w:asciiTheme="minorHAnsi" w:hAnsiTheme="minorHAnsi" w:cstheme="minorHAnsi"/>
          <w:sz w:val="22"/>
          <w:szCs w:val="22"/>
        </w:rPr>
        <w:t>to</w:t>
      </w:r>
      <w:r w:rsidRPr="003D5FB5">
        <w:rPr>
          <w:rFonts w:asciiTheme="minorHAnsi" w:hAnsiTheme="minorHAnsi" w:cstheme="minorHAnsi"/>
          <w:spacing w:val="-10"/>
          <w:sz w:val="22"/>
          <w:szCs w:val="22"/>
        </w:rPr>
        <w:t xml:space="preserve"> </w:t>
      </w:r>
      <w:r w:rsidRPr="003D5FB5">
        <w:rPr>
          <w:rFonts w:asciiTheme="minorHAnsi" w:hAnsiTheme="minorHAnsi" w:cstheme="minorHAnsi"/>
          <w:sz w:val="22"/>
          <w:szCs w:val="22"/>
        </w:rPr>
        <w:t>identify</w:t>
      </w:r>
      <w:r w:rsidRPr="003D5FB5">
        <w:rPr>
          <w:rFonts w:asciiTheme="minorHAnsi" w:hAnsiTheme="minorHAnsi" w:cstheme="minorHAnsi"/>
          <w:spacing w:val="-10"/>
          <w:sz w:val="22"/>
          <w:szCs w:val="22"/>
        </w:rPr>
        <w:t xml:space="preserve"> </w:t>
      </w:r>
      <w:r w:rsidRPr="003D5FB5">
        <w:rPr>
          <w:rFonts w:asciiTheme="minorHAnsi" w:hAnsiTheme="minorHAnsi" w:cstheme="minorHAnsi"/>
          <w:sz w:val="22"/>
          <w:szCs w:val="22"/>
        </w:rPr>
        <w:t>the</w:t>
      </w:r>
      <w:r w:rsidRPr="003D5FB5">
        <w:rPr>
          <w:rFonts w:asciiTheme="minorHAnsi" w:hAnsiTheme="minorHAnsi" w:cstheme="minorHAnsi"/>
          <w:spacing w:val="-9"/>
          <w:sz w:val="22"/>
          <w:szCs w:val="22"/>
        </w:rPr>
        <w:t xml:space="preserve"> </w:t>
      </w:r>
      <w:r w:rsidRPr="003D5FB5">
        <w:rPr>
          <w:rFonts w:asciiTheme="minorHAnsi" w:hAnsiTheme="minorHAnsi" w:cstheme="minorHAnsi"/>
          <w:sz w:val="22"/>
          <w:szCs w:val="22"/>
        </w:rPr>
        <w:t>faulty</w:t>
      </w:r>
      <w:r w:rsidRPr="003D5FB5">
        <w:rPr>
          <w:rFonts w:asciiTheme="minorHAnsi" w:hAnsiTheme="minorHAnsi" w:cstheme="minorHAnsi"/>
          <w:spacing w:val="-11"/>
          <w:sz w:val="22"/>
          <w:szCs w:val="22"/>
        </w:rPr>
        <w:t xml:space="preserve"> </w:t>
      </w:r>
      <w:r w:rsidRPr="003D5FB5">
        <w:rPr>
          <w:rFonts w:asciiTheme="minorHAnsi" w:hAnsiTheme="minorHAnsi" w:cstheme="minorHAnsi"/>
          <w:sz w:val="22"/>
          <w:szCs w:val="22"/>
        </w:rPr>
        <w:t>area</w:t>
      </w:r>
      <w:r w:rsidRPr="003D5FB5">
        <w:rPr>
          <w:rFonts w:asciiTheme="minorHAnsi" w:hAnsiTheme="minorHAnsi" w:cstheme="minorHAnsi"/>
          <w:spacing w:val="-12"/>
          <w:sz w:val="22"/>
          <w:szCs w:val="22"/>
        </w:rPr>
        <w:t xml:space="preserve"> </w:t>
      </w:r>
      <w:r w:rsidRPr="003D5FB5">
        <w:rPr>
          <w:rFonts w:asciiTheme="minorHAnsi" w:hAnsiTheme="minorHAnsi" w:cstheme="minorHAnsi"/>
          <w:sz w:val="22"/>
          <w:szCs w:val="22"/>
        </w:rPr>
        <w:t>among</w:t>
      </w:r>
      <w:r w:rsidRPr="003D5FB5">
        <w:rPr>
          <w:rFonts w:asciiTheme="minorHAnsi" w:hAnsiTheme="minorHAnsi" w:cstheme="minorHAnsi"/>
          <w:spacing w:val="-8"/>
          <w:sz w:val="22"/>
          <w:szCs w:val="22"/>
        </w:rPr>
        <w:t xml:space="preserve"> </w:t>
      </w:r>
      <w:r w:rsidRPr="003D5FB5">
        <w:rPr>
          <w:rFonts w:asciiTheme="minorHAnsi" w:hAnsiTheme="minorHAnsi" w:cstheme="minorHAnsi"/>
          <w:sz w:val="22"/>
          <w:szCs w:val="22"/>
        </w:rPr>
        <w:t>the total</w:t>
      </w:r>
      <w:r w:rsidRPr="003D5FB5">
        <w:rPr>
          <w:rFonts w:asciiTheme="minorHAnsi" w:hAnsiTheme="minorHAnsi" w:cstheme="minorHAnsi"/>
          <w:spacing w:val="-5"/>
          <w:sz w:val="22"/>
          <w:szCs w:val="22"/>
        </w:rPr>
        <w:t xml:space="preserve"> </w:t>
      </w:r>
      <w:r w:rsidRPr="003D5FB5">
        <w:rPr>
          <w:rFonts w:asciiTheme="minorHAnsi" w:hAnsiTheme="minorHAnsi" w:cstheme="minorHAnsi"/>
          <w:sz w:val="22"/>
          <w:szCs w:val="22"/>
        </w:rPr>
        <w:t>Feeder.</w:t>
      </w:r>
    </w:p>
    <w:p w14:paraId="65FB493A" w14:textId="77777777" w:rsidR="00EA573A" w:rsidRDefault="00EA573A" w:rsidP="00480682">
      <w:pPr>
        <w:tabs>
          <w:tab w:val="left" w:pos="426"/>
        </w:tabs>
        <w:spacing w:line="360" w:lineRule="auto"/>
        <w:ind w:left="426" w:right="-23"/>
        <w:jc w:val="both"/>
        <w:rPr>
          <w:rFonts w:asciiTheme="minorHAnsi" w:hAnsiTheme="minorHAnsi" w:cstheme="minorHAnsi"/>
          <w:sz w:val="22"/>
          <w:szCs w:val="22"/>
        </w:rPr>
      </w:pPr>
    </w:p>
    <w:p w14:paraId="5ECA27C4" w14:textId="7A4CF6E6" w:rsidR="00E02343" w:rsidRPr="00E02343" w:rsidRDefault="00E02343" w:rsidP="00E02343">
      <w:pPr>
        <w:tabs>
          <w:tab w:val="left" w:pos="993"/>
        </w:tabs>
        <w:spacing w:line="360" w:lineRule="auto"/>
        <w:ind w:left="426"/>
        <w:jc w:val="center"/>
        <w:rPr>
          <w:rFonts w:asciiTheme="minorHAnsi" w:hAnsiTheme="minorHAnsi" w:cstheme="minorHAnsi"/>
          <w:b/>
          <w:sz w:val="22"/>
          <w:szCs w:val="22"/>
        </w:rPr>
      </w:pPr>
      <w:r w:rsidRPr="003D5FB5">
        <w:rPr>
          <w:rFonts w:asciiTheme="minorHAnsi" w:hAnsiTheme="minorHAnsi" w:cstheme="minorHAnsi"/>
          <w:b/>
          <w:sz w:val="22"/>
          <w:szCs w:val="22"/>
        </w:rPr>
        <w:t>Table-1</w:t>
      </w:r>
      <w:r w:rsidR="00EA573A">
        <w:rPr>
          <w:rFonts w:asciiTheme="minorHAnsi" w:hAnsiTheme="minorHAnsi" w:cstheme="minorHAnsi"/>
          <w:b/>
          <w:sz w:val="22"/>
          <w:szCs w:val="22"/>
        </w:rPr>
        <w:t>9</w:t>
      </w:r>
      <w:r w:rsidRPr="003D5FB5">
        <w:rPr>
          <w:rFonts w:asciiTheme="minorHAnsi" w:hAnsiTheme="minorHAnsi" w:cstheme="minorHAnsi"/>
          <w:b/>
          <w:sz w:val="22"/>
          <w:szCs w:val="22"/>
        </w:rPr>
        <w:t>: Impact Assessment Auto-recloser</w:t>
      </w:r>
    </w:p>
    <w:tbl>
      <w:tblPr>
        <w:tblpPr w:leftFromText="180" w:rightFromText="180" w:vertAnchor="page" w:horzAnchor="margin" w:tblpXSpec="center" w:tblpY="11431"/>
        <w:tblW w:w="8697" w:type="dxa"/>
        <w:tblCellMar>
          <w:left w:w="5" w:type="dxa"/>
          <w:right w:w="5" w:type="dxa"/>
        </w:tblCellMar>
        <w:tblLook w:val="01E0" w:firstRow="1" w:lastRow="1" w:firstColumn="1" w:lastColumn="1" w:noHBand="0" w:noVBand="0"/>
      </w:tblPr>
      <w:tblGrid>
        <w:gridCol w:w="4429"/>
        <w:gridCol w:w="1394"/>
        <w:gridCol w:w="1453"/>
        <w:gridCol w:w="1421"/>
      </w:tblGrid>
      <w:tr w:rsidR="00EA573A" w:rsidRPr="003D5FB5" w14:paraId="54E88ECA" w14:textId="77777777" w:rsidTr="00EA573A">
        <w:trPr>
          <w:trHeight w:val="177"/>
        </w:trPr>
        <w:tc>
          <w:tcPr>
            <w:tcW w:w="4429" w:type="dxa"/>
            <w:tcBorders>
              <w:top w:val="single" w:sz="4" w:space="0" w:color="000000"/>
              <w:left w:val="single" w:sz="4" w:space="0" w:color="000000"/>
              <w:bottom w:val="single" w:sz="4" w:space="0" w:color="000000"/>
              <w:right w:val="single" w:sz="4" w:space="0" w:color="000000"/>
            </w:tcBorders>
            <w:shd w:val="clear" w:color="auto" w:fill="95B3D7" w:themeFill="accent1" w:themeFillTint="99"/>
          </w:tcPr>
          <w:p w14:paraId="604AE384" w14:textId="77777777" w:rsidR="00EA573A" w:rsidRPr="003D5FB5" w:rsidRDefault="00EA573A" w:rsidP="00EA573A">
            <w:pPr>
              <w:pStyle w:val="TableParagraph"/>
              <w:spacing w:before="28"/>
              <w:ind w:left="892"/>
              <w:jc w:val="center"/>
              <w:rPr>
                <w:rFonts w:asciiTheme="minorHAnsi" w:hAnsiTheme="minorHAnsi" w:cstheme="minorHAnsi"/>
                <w:b/>
              </w:rPr>
            </w:pPr>
            <w:r w:rsidRPr="003D5FB5">
              <w:rPr>
                <w:rFonts w:asciiTheme="minorHAnsi" w:hAnsiTheme="minorHAnsi" w:cstheme="minorHAnsi"/>
                <w:b/>
              </w:rPr>
              <w:t>Parameters</w:t>
            </w:r>
          </w:p>
        </w:tc>
        <w:tc>
          <w:tcPr>
            <w:tcW w:w="0" w:type="auto"/>
            <w:tcBorders>
              <w:top w:val="single" w:sz="4" w:space="0" w:color="000000"/>
              <w:left w:val="single" w:sz="4" w:space="0" w:color="000000"/>
              <w:bottom w:val="single" w:sz="4" w:space="0" w:color="000000"/>
              <w:right w:val="single" w:sz="4" w:space="0" w:color="000000"/>
            </w:tcBorders>
            <w:shd w:val="clear" w:color="auto" w:fill="95B3D7" w:themeFill="accent1" w:themeFillTint="99"/>
          </w:tcPr>
          <w:p w14:paraId="34072455" w14:textId="77777777" w:rsidR="00EA573A" w:rsidRPr="003D5FB5" w:rsidRDefault="00EA573A" w:rsidP="00EA573A">
            <w:pPr>
              <w:pStyle w:val="TableParagraph"/>
              <w:spacing w:before="28"/>
              <w:ind w:left="100" w:right="84"/>
              <w:jc w:val="center"/>
              <w:rPr>
                <w:rFonts w:asciiTheme="minorHAnsi" w:hAnsiTheme="minorHAnsi" w:cstheme="minorHAnsi"/>
                <w:b/>
              </w:rPr>
            </w:pPr>
            <w:r w:rsidRPr="003D5FB5">
              <w:rPr>
                <w:rFonts w:asciiTheme="minorHAnsi" w:hAnsiTheme="minorHAnsi" w:cstheme="minorHAnsi"/>
                <w:b/>
              </w:rPr>
              <w:t>Jan-24</w:t>
            </w:r>
          </w:p>
        </w:tc>
        <w:tc>
          <w:tcPr>
            <w:tcW w:w="0" w:type="auto"/>
            <w:tcBorders>
              <w:top w:val="single" w:sz="4" w:space="0" w:color="000000"/>
              <w:left w:val="single" w:sz="4" w:space="0" w:color="000000"/>
              <w:bottom w:val="single" w:sz="4" w:space="0" w:color="000000"/>
              <w:right w:val="single" w:sz="4" w:space="0" w:color="000000"/>
            </w:tcBorders>
            <w:shd w:val="clear" w:color="auto" w:fill="95B3D7" w:themeFill="accent1" w:themeFillTint="99"/>
          </w:tcPr>
          <w:p w14:paraId="1109A181" w14:textId="77777777" w:rsidR="00EA573A" w:rsidRPr="003D5FB5" w:rsidRDefault="00EA573A" w:rsidP="00EA573A">
            <w:pPr>
              <w:pStyle w:val="TableParagraph"/>
              <w:spacing w:before="28"/>
              <w:ind w:left="100" w:right="86"/>
              <w:jc w:val="center"/>
              <w:rPr>
                <w:rFonts w:asciiTheme="minorHAnsi" w:hAnsiTheme="minorHAnsi" w:cstheme="minorHAnsi"/>
                <w:b/>
              </w:rPr>
            </w:pPr>
            <w:r w:rsidRPr="003D5FB5">
              <w:rPr>
                <w:rFonts w:asciiTheme="minorHAnsi" w:hAnsiTheme="minorHAnsi" w:cstheme="minorHAnsi"/>
                <w:b/>
              </w:rPr>
              <w:t>Feb-24</w:t>
            </w:r>
          </w:p>
        </w:tc>
        <w:tc>
          <w:tcPr>
            <w:tcW w:w="0" w:type="auto"/>
            <w:tcBorders>
              <w:top w:val="single" w:sz="4" w:space="0" w:color="000000"/>
              <w:left w:val="single" w:sz="4" w:space="0" w:color="000000"/>
              <w:bottom w:val="single" w:sz="4" w:space="0" w:color="000000"/>
              <w:right w:val="single" w:sz="4" w:space="0" w:color="000000"/>
            </w:tcBorders>
            <w:shd w:val="clear" w:color="auto" w:fill="95B3D7" w:themeFill="accent1" w:themeFillTint="99"/>
          </w:tcPr>
          <w:p w14:paraId="3985966C" w14:textId="77777777" w:rsidR="00EA573A" w:rsidRPr="003D5FB5" w:rsidRDefault="00EA573A" w:rsidP="00EA573A">
            <w:pPr>
              <w:pStyle w:val="TableParagraph"/>
              <w:spacing w:before="28"/>
              <w:ind w:left="61" w:right="58"/>
              <w:jc w:val="center"/>
              <w:rPr>
                <w:rFonts w:asciiTheme="minorHAnsi" w:hAnsiTheme="minorHAnsi" w:cstheme="minorHAnsi"/>
                <w:b/>
              </w:rPr>
            </w:pPr>
            <w:r w:rsidRPr="003D5FB5">
              <w:rPr>
                <w:rFonts w:asciiTheme="minorHAnsi" w:hAnsiTheme="minorHAnsi" w:cstheme="minorHAnsi"/>
                <w:b/>
              </w:rPr>
              <w:t>Mar-24</w:t>
            </w:r>
          </w:p>
        </w:tc>
      </w:tr>
      <w:tr w:rsidR="00EA573A" w:rsidRPr="003D5FB5" w14:paraId="7EE1E0F4" w14:textId="77777777" w:rsidTr="00EA573A">
        <w:trPr>
          <w:trHeight w:val="177"/>
        </w:trPr>
        <w:tc>
          <w:tcPr>
            <w:tcW w:w="4429" w:type="dxa"/>
            <w:tcBorders>
              <w:top w:val="single" w:sz="4" w:space="0" w:color="000000"/>
              <w:left w:val="single" w:sz="4" w:space="0" w:color="000000"/>
              <w:bottom w:val="single" w:sz="4" w:space="0" w:color="000000"/>
              <w:right w:val="single" w:sz="4" w:space="0" w:color="000000"/>
            </w:tcBorders>
          </w:tcPr>
          <w:p w14:paraId="78BAC840" w14:textId="77777777" w:rsidR="00EA573A" w:rsidRPr="003D5FB5" w:rsidRDefault="00EA573A" w:rsidP="00EA573A">
            <w:pPr>
              <w:pStyle w:val="TableParagraph"/>
              <w:spacing w:before="61"/>
              <w:ind w:left="15"/>
              <w:jc w:val="both"/>
              <w:rPr>
                <w:rFonts w:asciiTheme="minorHAnsi" w:hAnsiTheme="minorHAnsi" w:cstheme="minorHAnsi"/>
              </w:rPr>
            </w:pPr>
            <w:r w:rsidRPr="003D5FB5">
              <w:rPr>
                <w:rFonts w:asciiTheme="minorHAnsi" w:hAnsiTheme="minorHAnsi" w:cstheme="minorHAnsi"/>
              </w:rPr>
              <w:t>Total</w:t>
            </w:r>
            <w:r w:rsidRPr="003D5FB5">
              <w:rPr>
                <w:rFonts w:asciiTheme="minorHAnsi" w:hAnsiTheme="minorHAnsi" w:cstheme="minorHAnsi"/>
                <w:spacing w:val="-7"/>
              </w:rPr>
              <w:t xml:space="preserve"> </w:t>
            </w:r>
            <w:r w:rsidRPr="003D5FB5">
              <w:rPr>
                <w:rFonts w:asciiTheme="minorHAnsi" w:hAnsiTheme="minorHAnsi" w:cstheme="minorHAnsi"/>
              </w:rPr>
              <w:t>Interruption</w:t>
            </w:r>
            <w:r w:rsidRPr="003D5FB5">
              <w:rPr>
                <w:rFonts w:asciiTheme="minorHAnsi" w:hAnsiTheme="minorHAnsi" w:cstheme="minorHAnsi"/>
                <w:spacing w:val="-8"/>
              </w:rPr>
              <w:t xml:space="preserve"> </w:t>
            </w:r>
            <w:r w:rsidRPr="003D5FB5">
              <w:rPr>
                <w:rFonts w:asciiTheme="minorHAnsi" w:hAnsiTheme="minorHAnsi" w:cstheme="minorHAnsi"/>
              </w:rPr>
              <w:t>at</w:t>
            </w:r>
            <w:r w:rsidRPr="003D5FB5">
              <w:rPr>
                <w:rFonts w:asciiTheme="minorHAnsi" w:hAnsiTheme="minorHAnsi" w:cstheme="minorHAnsi"/>
                <w:spacing w:val="-5"/>
              </w:rPr>
              <w:t xml:space="preserve"> </w:t>
            </w:r>
            <w:r w:rsidRPr="003D5FB5">
              <w:rPr>
                <w:rFonts w:asciiTheme="minorHAnsi" w:hAnsiTheme="minorHAnsi" w:cstheme="minorHAnsi"/>
              </w:rPr>
              <w:t>Auto-Recloser</w:t>
            </w:r>
          </w:p>
        </w:tc>
        <w:tc>
          <w:tcPr>
            <w:tcW w:w="0" w:type="auto"/>
            <w:tcBorders>
              <w:top w:val="single" w:sz="4" w:space="0" w:color="000000"/>
              <w:left w:val="single" w:sz="4" w:space="0" w:color="000000"/>
              <w:bottom w:val="single" w:sz="4" w:space="0" w:color="000000"/>
              <w:right w:val="single" w:sz="4" w:space="0" w:color="000000"/>
            </w:tcBorders>
          </w:tcPr>
          <w:p w14:paraId="30A13C88" w14:textId="77777777" w:rsidR="00EA573A" w:rsidRPr="003D5FB5" w:rsidRDefault="00EA573A" w:rsidP="00EA573A">
            <w:pPr>
              <w:pStyle w:val="TableParagraph"/>
              <w:spacing w:before="61"/>
              <w:ind w:left="96" w:right="86"/>
              <w:jc w:val="center"/>
              <w:rPr>
                <w:rFonts w:asciiTheme="minorHAnsi" w:hAnsiTheme="minorHAnsi" w:cstheme="minorHAnsi"/>
              </w:rPr>
            </w:pPr>
            <w:r w:rsidRPr="003D5FB5">
              <w:rPr>
                <w:rFonts w:asciiTheme="minorHAnsi" w:hAnsiTheme="minorHAnsi" w:cstheme="minorHAnsi"/>
              </w:rPr>
              <w:t>305</w:t>
            </w:r>
          </w:p>
        </w:tc>
        <w:tc>
          <w:tcPr>
            <w:tcW w:w="0" w:type="auto"/>
            <w:tcBorders>
              <w:top w:val="single" w:sz="4" w:space="0" w:color="000000"/>
              <w:left w:val="single" w:sz="4" w:space="0" w:color="000000"/>
              <w:bottom w:val="single" w:sz="4" w:space="0" w:color="000000"/>
              <w:right w:val="single" w:sz="4" w:space="0" w:color="000000"/>
            </w:tcBorders>
          </w:tcPr>
          <w:p w14:paraId="349BFBDB" w14:textId="77777777" w:rsidR="00EA573A" w:rsidRPr="003D5FB5" w:rsidRDefault="00EA573A" w:rsidP="00EA573A">
            <w:pPr>
              <w:pStyle w:val="TableParagraph"/>
              <w:spacing w:before="61"/>
              <w:ind w:left="98" w:right="86"/>
              <w:jc w:val="center"/>
              <w:rPr>
                <w:rFonts w:asciiTheme="minorHAnsi" w:hAnsiTheme="minorHAnsi" w:cstheme="minorHAnsi"/>
              </w:rPr>
            </w:pPr>
            <w:r w:rsidRPr="003D5FB5">
              <w:rPr>
                <w:rFonts w:asciiTheme="minorHAnsi" w:hAnsiTheme="minorHAnsi" w:cstheme="minorHAnsi"/>
              </w:rPr>
              <w:t>278</w:t>
            </w:r>
          </w:p>
        </w:tc>
        <w:tc>
          <w:tcPr>
            <w:tcW w:w="0" w:type="auto"/>
            <w:tcBorders>
              <w:top w:val="single" w:sz="4" w:space="0" w:color="000000"/>
              <w:left w:val="single" w:sz="4" w:space="0" w:color="000000"/>
              <w:bottom w:val="single" w:sz="4" w:space="0" w:color="000000"/>
              <w:right w:val="single" w:sz="4" w:space="0" w:color="000000"/>
            </w:tcBorders>
          </w:tcPr>
          <w:p w14:paraId="5F19E137" w14:textId="77777777" w:rsidR="00EA573A" w:rsidRPr="003D5FB5" w:rsidRDefault="00EA573A" w:rsidP="00EA573A">
            <w:pPr>
              <w:pStyle w:val="TableParagraph"/>
              <w:spacing w:before="61"/>
              <w:ind w:left="60" w:right="58"/>
              <w:jc w:val="center"/>
              <w:rPr>
                <w:rFonts w:asciiTheme="minorHAnsi" w:hAnsiTheme="minorHAnsi" w:cstheme="minorHAnsi"/>
              </w:rPr>
            </w:pPr>
            <w:r w:rsidRPr="003D5FB5">
              <w:rPr>
                <w:rFonts w:asciiTheme="minorHAnsi" w:hAnsiTheme="minorHAnsi" w:cstheme="minorHAnsi"/>
              </w:rPr>
              <w:t>758</w:t>
            </w:r>
          </w:p>
        </w:tc>
      </w:tr>
      <w:tr w:rsidR="00EA573A" w:rsidRPr="003D5FB5" w14:paraId="762A8A42" w14:textId="77777777" w:rsidTr="00EA573A">
        <w:trPr>
          <w:trHeight w:val="177"/>
        </w:trPr>
        <w:tc>
          <w:tcPr>
            <w:tcW w:w="4429" w:type="dxa"/>
            <w:tcBorders>
              <w:top w:val="single" w:sz="4" w:space="0" w:color="000000"/>
              <w:left w:val="single" w:sz="4" w:space="0" w:color="000000"/>
              <w:bottom w:val="single" w:sz="4" w:space="0" w:color="000000"/>
              <w:right w:val="single" w:sz="4" w:space="0" w:color="000000"/>
            </w:tcBorders>
          </w:tcPr>
          <w:p w14:paraId="3A7FF903" w14:textId="77777777" w:rsidR="00EA573A" w:rsidRPr="003D5FB5" w:rsidRDefault="00EA573A" w:rsidP="00EA573A">
            <w:pPr>
              <w:pStyle w:val="TableParagraph"/>
              <w:spacing w:before="61"/>
              <w:ind w:left="15"/>
              <w:jc w:val="both"/>
              <w:rPr>
                <w:rFonts w:asciiTheme="minorHAnsi" w:hAnsiTheme="minorHAnsi" w:cstheme="minorHAnsi"/>
              </w:rPr>
            </w:pPr>
            <w:r w:rsidRPr="003D5FB5">
              <w:rPr>
                <w:rFonts w:asciiTheme="minorHAnsi" w:hAnsiTheme="minorHAnsi" w:cstheme="minorHAnsi"/>
              </w:rPr>
              <w:t>Total</w:t>
            </w:r>
            <w:r w:rsidRPr="003D5FB5">
              <w:rPr>
                <w:rFonts w:asciiTheme="minorHAnsi" w:hAnsiTheme="minorHAnsi" w:cstheme="minorHAnsi"/>
                <w:spacing w:val="-6"/>
              </w:rPr>
              <w:t xml:space="preserve"> </w:t>
            </w:r>
            <w:r w:rsidRPr="003D5FB5">
              <w:rPr>
                <w:rFonts w:asciiTheme="minorHAnsi" w:hAnsiTheme="minorHAnsi" w:cstheme="minorHAnsi"/>
              </w:rPr>
              <w:t>Sustained</w:t>
            </w:r>
            <w:r w:rsidRPr="003D5FB5">
              <w:rPr>
                <w:rFonts w:asciiTheme="minorHAnsi" w:hAnsiTheme="minorHAnsi" w:cstheme="minorHAnsi"/>
                <w:spacing w:val="-7"/>
              </w:rPr>
              <w:t xml:space="preserve"> </w:t>
            </w:r>
            <w:r w:rsidRPr="003D5FB5">
              <w:rPr>
                <w:rFonts w:asciiTheme="minorHAnsi" w:hAnsiTheme="minorHAnsi" w:cstheme="minorHAnsi"/>
              </w:rPr>
              <w:t>Interruptions</w:t>
            </w:r>
          </w:p>
        </w:tc>
        <w:tc>
          <w:tcPr>
            <w:tcW w:w="0" w:type="auto"/>
            <w:tcBorders>
              <w:top w:val="single" w:sz="4" w:space="0" w:color="000000"/>
              <w:left w:val="single" w:sz="4" w:space="0" w:color="000000"/>
              <w:bottom w:val="single" w:sz="4" w:space="0" w:color="000000"/>
              <w:right w:val="single" w:sz="4" w:space="0" w:color="000000"/>
            </w:tcBorders>
          </w:tcPr>
          <w:p w14:paraId="5A80B20B" w14:textId="77777777" w:rsidR="00EA573A" w:rsidRPr="003D5FB5" w:rsidRDefault="00EA573A" w:rsidP="00EA573A">
            <w:pPr>
              <w:pStyle w:val="TableParagraph"/>
              <w:spacing w:before="61"/>
              <w:ind w:left="96" w:right="86"/>
              <w:jc w:val="center"/>
              <w:rPr>
                <w:rFonts w:asciiTheme="minorHAnsi" w:hAnsiTheme="minorHAnsi" w:cstheme="minorHAnsi"/>
              </w:rPr>
            </w:pPr>
            <w:r w:rsidRPr="003D5FB5">
              <w:rPr>
                <w:rFonts w:asciiTheme="minorHAnsi" w:hAnsiTheme="minorHAnsi" w:cstheme="minorHAnsi"/>
              </w:rPr>
              <w:t>215</w:t>
            </w:r>
          </w:p>
        </w:tc>
        <w:tc>
          <w:tcPr>
            <w:tcW w:w="0" w:type="auto"/>
            <w:tcBorders>
              <w:top w:val="single" w:sz="4" w:space="0" w:color="000000"/>
              <w:left w:val="single" w:sz="4" w:space="0" w:color="000000"/>
              <w:bottom w:val="single" w:sz="4" w:space="0" w:color="000000"/>
              <w:right w:val="single" w:sz="4" w:space="0" w:color="000000"/>
            </w:tcBorders>
          </w:tcPr>
          <w:p w14:paraId="163B348E" w14:textId="77777777" w:rsidR="00EA573A" w:rsidRPr="003D5FB5" w:rsidRDefault="00EA573A" w:rsidP="00EA573A">
            <w:pPr>
              <w:pStyle w:val="TableParagraph"/>
              <w:spacing w:before="61"/>
              <w:ind w:left="98" w:right="86"/>
              <w:jc w:val="center"/>
              <w:rPr>
                <w:rFonts w:asciiTheme="minorHAnsi" w:hAnsiTheme="minorHAnsi" w:cstheme="minorHAnsi"/>
              </w:rPr>
            </w:pPr>
            <w:r w:rsidRPr="003D5FB5">
              <w:rPr>
                <w:rFonts w:asciiTheme="minorHAnsi" w:hAnsiTheme="minorHAnsi" w:cstheme="minorHAnsi"/>
              </w:rPr>
              <w:t>103</w:t>
            </w:r>
          </w:p>
        </w:tc>
        <w:tc>
          <w:tcPr>
            <w:tcW w:w="0" w:type="auto"/>
            <w:tcBorders>
              <w:top w:val="single" w:sz="4" w:space="0" w:color="000000"/>
              <w:left w:val="single" w:sz="4" w:space="0" w:color="000000"/>
              <w:bottom w:val="single" w:sz="4" w:space="0" w:color="000000"/>
              <w:right w:val="single" w:sz="4" w:space="0" w:color="000000"/>
            </w:tcBorders>
          </w:tcPr>
          <w:p w14:paraId="785BD5EB" w14:textId="77777777" w:rsidR="00EA573A" w:rsidRPr="003D5FB5" w:rsidRDefault="00EA573A" w:rsidP="00EA573A">
            <w:pPr>
              <w:pStyle w:val="TableParagraph"/>
              <w:spacing w:before="61"/>
              <w:ind w:left="60" w:right="58"/>
              <w:jc w:val="center"/>
              <w:rPr>
                <w:rFonts w:asciiTheme="minorHAnsi" w:hAnsiTheme="minorHAnsi" w:cstheme="minorHAnsi"/>
              </w:rPr>
            </w:pPr>
            <w:r w:rsidRPr="003D5FB5">
              <w:rPr>
                <w:rFonts w:asciiTheme="minorHAnsi" w:hAnsiTheme="minorHAnsi" w:cstheme="minorHAnsi"/>
              </w:rPr>
              <w:t>304</w:t>
            </w:r>
          </w:p>
        </w:tc>
      </w:tr>
      <w:tr w:rsidR="00EA573A" w:rsidRPr="003D5FB5" w14:paraId="10C74DE9" w14:textId="77777777" w:rsidTr="00EA573A">
        <w:trPr>
          <w:trHeight w:val="177"/>
        </w:trPr>
        <w:tc>
          <w:tcPr>
            <w:tcW w:w="4429" w:type="dxa"/>
            <w:tcBorders>
              <w:top w:val="single" w:sz="4" w:space="0" w:color="000000"/>
              <w:left w:val="single" w:sz="4" w:space="0" w:color="000000"/>
              <w:bottom w:val="single" w:sz="4" w:space="0" w:color="000000"/>
              <w:right w:val="single" w:sz="4" w:space="0" w:color="000000"/>
            </w:tcBorders>
          </w:tcPr>
          <w:p w14:paraId="590709C6" w14:textId="77777777" w:rsidR="00EA573A" w:rsidRPr="003D5FB5" w:rsidRDefault="00EA573A" w:rsidP="00EA573A">
            <w:pPr>
              <w:pStyle w:val="TableParagraph"/>
              <w:spacing w:before="61"/>
              <w:ind w:left="15"/>
              <w:jc w:val="both"/>
              <w:rPr>
                <w:rFonts w:asciiTheme="minorHAnsi" w:hAnsiTheme="minorHAnsi" w:cstheme="minorHAnsi"/>
              </w:rPr>
            </w:pPr>
            <w:r w:rsidRPr="003D5FB5">
              <w:rPr>
                <w:rFonts w:asciiTheme="minorHAnsi" w:hAnsiTheme="minorHAnsi" w:cstheme="minorHAnsi"/>
              </w:rPr>
              <w:t>Affected</w:t>
            </w:r>
            <w:r w:rsidRPr="003D5FB5">
              <w:rPr>
                <w:rFonts w:asciiTheme="minorHAnsi" w:hAnsiTheme="minorHAnsi" w:cstheme="minorHAnsi"/>
                <w:spacing w:val="-11"/>
              </w:rPr>
              <w:t xml:space="preserve"> </w:t>
            </w:r>
            <w:r w:rsidRPr="003D5FB5">
              <w:rPr>
                <w:rFonts w:asciiTheme="minorHAnsi" w:hAnsiTheme="minorHAnsi" w:cstheme="minorHAnsi"/>
              </w:rPr>
              <w:t>SAIDI(</w:t>
            </w:r>
            <w:proofErr w:type="spellStart"/>
            <w:r w:rsidRPr="003D5FB5">
              <w:rPr>
                <w:rFonts w:asciiTheme="minorHAnsi" w:hAnsiTheme="minorHAnsi" w:cstheme="minorHAnsi"/>
              </w:rPr>
              <w:t>Hrs</w:t>
            </w:r>
            <w:proofErr w:type="spellEnd"/>
            <w:r w:rsidRPr="003D5FB5">
              <w:rPr>
                <w:rFonts w:asciiTheme="minorHAnsi" w:hAnsiTheme="minorHAnsi" w:cstheme="minorHAnsi"/>
              </w:rPr>
              <w:t>)</w:t>
            </w:r>
          </w:p>
        </w:tc>
        <w:tc>
          <w:tcPr>
            <w:tcW w:w="0" w:type="auto"/>
            <w:tcBorders>
              <w:top w:val="single" w:sz="4" w:space="0" w:color="000000"/>
              <w:left w:val="single" w:sz="4" w:space="0" w:color="000000"/>
              <w:bottom w:val="single" w:sz="4" w:space="0" w:color="000000"/>
              <w:right w:val="single" w:sz="4" w:space="0" w:color="000000"/>
            </w:tcBorders>
          </w:tcPr>
          <w:p w14:paraId="7E0EDE3F" w14:textId="77777777" w:rsidR="00EA573A" w:rsidRPr="003D5FB5" w:rsidRDefault="00EA573A" w:rsidP="00EA573A">
            <w:pPr>
              <w:pStyle w:val="TableParagraph"/>
              <w:spacing w:before="61"/>
              <w:ind w:left="99" w:right="86"/>
              <w:jc w:val="center"/>
              <w:rPr>
                <w:rFonts w:asciiTheme="minorHAnsi" w:hAnsiTheme="minorHAnsi" w:cstheme="minorHAnsi"/>
              </w:rPr>
            </w:pPr>
            <w:r w:rsidRPr="003D5FB5">
              <w:rPr>
                <w:rFonts w:asciiTheme="minorHAnsi" w:hAnsiTheme="minorHAnsi" w:cstheme="minorHAnsi"/>
              </w:rPr>
              <w:t>0.91</w:t>
            </w:r>
          </w:p>
        </w:tc>
        <w:tc>
          <w:tcPr>
            <w:tcW w:w="0" w:type="auto"/>
            <w:tcBorders>
              <w:top w:val="single" w:sz="4" w:space="0" w:color="000000"/>
              <w:left w:val="single" w:sz="4" w:space="0" w:color="000000"/>
              <w:bottom w:val="single" w:sz="4" w:space="0" w:color="000000"/>
              <w:right w:val="single" w:sz="4" w:space="0" w:color="000000"/>
            </w:tcBorders>
          </w:tcPr>
          <w:p w14:paraId="1B71179E" w14:textId="77777777" w:rsidR="00EA573A" w:rsidRPr="003D5FB5" w:rsidRDefault="00EA573A" w:rsidP="00EA573A">
            <w:pPr>
              <w:pStyle w:val="TableParagraph"/>
              <w:spacing w:before="61"/>
              <w:ind w:left="100" w:right="86"/>
              <w:jc w:val="center"/>
              <w:rPr>
                <w:rFonts w:asciiTheme="minorHAnsi" w:hAnsiTheme="minorHAnsi" w:cstheme="minorHAnsi"/>
              </w:rPr>
            </w:pPr>
            <w:r w:rsidRPr="003D5FB5">
              <w:rPr>
                <w:rFonts w:asciiTheme="minorHAnsi" w:hAnsiTheme="minorHAnsi" w:cstheme="minorHAnsi"/>
              </w:rPr>
              <w:t>0.51</w:t>
            </w:r>
          </w:p>
        </w:tc>
        <w:tc>
          <w:tcPr>
            <w:tcW w:w="0" w:type="auto"/>
            <w:tcBorders>
              <w:top w:val="single" w:sz="4" w:space="0" w:color="000000"/>
              <w:left w:val="single" w:sz="4" w:space="0" w:color="000000"/>
              <w:bottom w:val="single" w:sz="4" w:space="0" w:color="000000"/>
              <w:right w:val="single" w:sz="4" w:space="0" w:color="000000"/>
            </w:tcBorders>
          </w:tcPr>
          <w:p w14:paraId="5CA3BE45" w14:textId="77777777" w:rsidR="00EA573A" w:rsidRPr="003D5FB5" w:rsidRDefault="00EA573A" w:rsidP="00EA573A">
            <w:pPr>
              <w:pStyle w:val="TableParagraph"/>
              <w:spacing w:before="61"/>
              <w:ind w:left="61" w:right="56"/>
              <w:jc w:val="center"/>
              <w:rPr>
                <w:rFonts w:asciiTheme="minorHAnsi" w:hAnsiTheme="minorHAnsi" w:cstheme="minorHAnsi"/>
              </w:rPr>
            </w:pPr>
            <w:r w:rsidRPr="003D5FB5">
              <w:rPr>
                <w:rFonts w:asciiTheme="minorHAnsi" w:hAnsiTheme="minorHAnsi" w:cstheme="minorHAnsi"/>
              </w:rPr>
              <w:t>1.88</w:t>
            </w:r>
          </w:p>
        </w:tc>
      </w:tr>
      <w:tr w:rsidR="00EA573A" w:rsidRPr="003D5FB5" w14:paraId="3E6E6610" w14:textId="77777777" w:rsidTr="00EA573A">
        <w:trPr>
          <w:trHeight w:val="177"/>
        </w:trPr>
        <w:tc>
          <w:tcPr>
            <w:tcW w:w="4429" w:type="dxa"/>
            <w:tcBorders>
              <w:top w:val="single" w:sz="4" w:space="0" w:color="000000"/>
              <w:left w:val="single" w:sz="4" w:space="0" w:color="000000"/>
              <w:bottom w:val="single" w:sz="4" w:space="0" w:color="000000"/>
              <w:right w:val="single" w:sz="4" w:space="0" w:color="000000"/>
            </w:tcBorders>
          </w:tcPr>
          <w:p w14:paraId="4904AC40" w14:textId="77777777" w:rsidR="00EA573A" w:rsidRPr="003D5FB5" w:rsidRDefault="00EA573A" w:rsidP="00EA573A">
            <w:pPr>
              <w:pStyle w:val="TableParagraph"/>
              <w:spacing w:before="60"/>
              <w:ind w:left="15"/>
              <w:jc w:val="both"/>
              <w:rPr>
                <w:rFonts w:asciiTheme="minorHAnsi" w:hAnsiTheme="minorHAnsi" w:cstheme="minorHAnsi"/>
              </w:rPr>
            </w:pPr>
            <w:r w:rsidRPr="003D5FB5">
              <w:rPr>
                <w:rFonts w:asciiTheme="minorHAnsi" w:hAnsiTheme="minorHAnsi" w:cstheme="minorHAnsi"/>
              </w:rPr>
              <w:t>Saved</w:t>
            </w:r>
            <w:r w:rsidRPr="003D5FB5">
              <w:rPr>
                <w:rFonts w:asciiTheme="minorHAnsi" w:hAnsiTheme="minorHAnsi" w:cstheme="minorHAnsi"/>
                <w:spacing w:val="-5"/>
              </w:rPr>
              <w:t xml:space="preserve"> </w:t>
            </w:r>
            <w:r w:rsidRPr="003D5FB5">
              <w:rPr>
                <w:rFonts w:asciiTheme="minorHAnsi" w:hAnsiTheme="minorHAnsi" w:cstheme="minorHAnsi"/>
              </w:rPr>
              <w:t>SAIDI(</w:t>
            </w:r>
            <w:proofErr w:type="spellStart"/>
            <w:r w:rsidRPr="003D5FB5">
              <w:rPr>
                <w:rFonts w:asciiTheme="minorHAnsi" w:hAnsiTheme="minorHAnsi" w:cstheme="minorHAnsi"/>
              </w:rPr>
              <w:t>Hrs</w:t>
            </w:r>
            <w:proofErr w:type="spellEnd"/>
            <w:r w:rsidRPr="003D5FB5">
              <w:rPr>
                <w:rFonts w:asciiTheme="minorHAnsi" w:hAnsiTheme="minorHAnsi" w:cstheme="minorHAnsi"/>
              </w:rPr>
              <w:t>)</w:t>
            </w:r>
          </w:p>
        </w:tc>
        <w:tc>
          <w:tcPr>
            <w:tcW w:w="0" w:type="auto"/>
            <w:tcBorders>
              <w:top w:val="single" w:sz="4" w:space="0" w:color="000000"/>
              <w:left w:val="single" w:sz="4" w:space="0" w:color="000000"/>
              <w:bottom w:val="single" w:sz="4" w:space="0" w:color="000000"/>
              <w:right w:val="single" w:sz="4" w:space="0" w:color="000000"/>
            </w:tcBorders>
          </w:tcPr>
          <w:p w14:paraId="5350ED76" w14:textId="77777777" w:rsidR="00EA573A" w:rsidRPr="003D5FB5" w:rsidRDefault="00EA573A" w:rsidP="00EA573A">
            <w:pPr>
              <w:pStyle w:val="TableParagraph"/>
              <w:spacing w:before="60"/>
              <w:ind w:left="99" w:right="86"/>
              <w:jc w:val="center"/>
              <w:rPr>
                <w:rFonts w:asciiTheme="minorHAnsi" w:hAnsiTheme="minorHAnsi" w:cstheme="minorHAnsi"/>
                <w:b/>
              </w:rPr>
            </w:pPr>
            <w:r w:rsidRPr="003D5FB5">
              <w:rPr>
                <w:rFonts w:asciiTheme="minorHAnsi" w:hAnsiTheme="minorHAnsi" w:cstheme="minorHAnsi"/>
                <w:b/>
              </w:rPr>
              <w:t>2.73</w:t>
            </w:r>
          </w:p>
        </w:tc>
        <w:tc>
          <w:tcPr>
            <w:tcW w:w="0" w:type="auto"/>
            <w:tcBorders>
              <w:top w:val="single" w:sz="4" w:space="0" w:color="000000"/>
              <w:left w:val="single" w:sz="4" w:space="0" w:color="000000"/>
              <w:bottom w:val="single" w:sz="4" w:space="0" w:color="000000"/>
              <w:right w:val="single" w:sz="4" w:space="0" w:color="000000"/>
            </w:tcBorders>
          </w:tcPr>
          <w:p w14:paraId="62B2BC61" w14:textId="77777777" w:rsidR="00EA573A" w:rsidRPr="003D5FB5" w:rsidRDefault="00EA573A" w:rsidP="00EA573A">
            <w:pPr>
              <w:pStyle w:val="TableParagraph"/>
              <w:spacing w:before="60"/>
              <w:ind w:left="100" w:right="86"/>
              <w:jc w:val="center"/>
              <w:rPr>
                <w:rFonts w:asciiTheme="minorHAnsi" w:hAnsiTheme="minorHAnsi" w:cstheme="minorHAnsi"/>
                <w:b/>
              </w:rPr>
            </w:pPr>
            <w:r w:rsidRPr="003D5FB5">
              <w:rPr>
                <w:rFonts w:asciiTheme="minorHAnsi" w:hAnsiTheme="minorHAnsi" w:cstheme="minorHAnsi"/>
                <w:b/>
              </w:rPr>
              <w:t>1.23</w:t>
            </w:r>
          </w:p>
        </w:tc>
        <w:tc>
          <w:tcPr>
            <w:tcW w:w="0" w:type="auto"/>
            <w:tcBorders>
              <w:top w:val="single" w:sz="4" w:space="0" w:color="000000"/>
              <w:left w:val="single" w:sz="4" w:space="0" w:color="000000"/>
              <w:bottom w:val="single" w:sz="4" w:space="0" w:color="000000"/>
              <w:right w:val="single" w:sz="4" w:space="0" w:color="000000"/>
            </w:tcBorders>
          </w:tcPr>
          <w:p w14:paraId="7DF1C062" w14:textId="77777777" w:rsidR="00EA573A" w:rsidRPr="003D5FB5" w:rsidRDefault="00EA573A" w:rsidP="00EA573A">
            <w:pPr>
              <w:pStyle w:val="TableParagraph"/>
              <w:spacing w:before="60"/>
              <w:ind w:left="61" w:right="56"/>
              <w:jc w:val="center"/>
              <w:rPr>
                <w:rFonts w:asciiTheme="minorHAnsi" w:hAnsiTheme="minorHAnsi" w:cstheme="minorHAnsi"/>
                <w:b/>
              </w:rPr>
            </w:pPr>
            <w:r w:rsidRPr="003D5FB5">
              <w:rPr>
                <w:rFonts w:asciiTheme="minorHAnsi" w:hAnsiTheme="minorHAnsi" w:cstheme="minorHAnsi"/>
                <w:b/>
              </w:rPr>
              <w:t>5.1</w:t>
            </w:r>
          </w:p>
        </w:tc>
      </w:tr>
      <w:tr w:rsidR="00EA573A" w:rsidRPr="003D5FB5" w14:paraId="526B9C3F" w14:textId="77777777" w:rsidTr="00EA573A">
        <w:trPr>
          <w:trHeight w:val="177"/>
        </w:trPr>
        <w:tc>
          <w:tcPr>
            <w:tcW w:w="4429" w:type="dxa"/>
            <w:tcBorders>
              <w:top w:val="single" w:sz="4" w:space="0" w:color="000000"/>
              <w:left w:val="single" w:sz="4" w:space="0" w:color="000000"/>
              <w:bottom w:val="single" w:sz="4" w:space="0" w:color="000000"/>
              <w:right w:val="single" w:sz="4" w:space="0" w:color="000000"/>
            </w:tcBorders>
          </w:tcPr>
          <w:p w14:paraId="2C4E5466" w14:textId="77777777" w:rsidR="00EA573A" w:rsidRPr="003D5FB5" w:rsidRDefault="00EA573A" w:rsidP="00EA573A">
            <w:pPr>
              <w:pStyle w:val="TableParagraph"/>
              <w:spacing w:before="60"/>
              <w:ind w:left="15"/>
              <w:jc w:val="both"/>
              <w:rPr>
                <w:rFonts w:asciiTheme="minorHAnsi" w:hAnsiTheme="minorHAnsi" w:cstheme="minorHAnsi"/>
              </w:rPr>
            </w:pPr>
            <w:r w:rsidRPr="003D5FB5">
              <w:rPr>
                <w:rFonts w:asciiTheme="minorHAnsi" w:hAnsiTheme="minorHAnsi" w:cstheme="minorHAnsi"/>
              </w:rPr>
              <w:t>Saved</w:t>
            </w:r>
            <w:r w:rsidRPr="003D5FB5">
              <w:rPr>
                <w:rFonts w:asciiTheme="minorHAnsi" w:hAnsiTheme="minorHAnsi" w:cstheme="minorHAnsi"/>
                <w:spacing w:val="-2"/>
              </w:rPr>
              <w:t xml:space="preserve"> </w:t>
            </w:r>
            <w:r w:rsidRPr="003D5FB5">
              <w:rPr>
                <w:rFonts w:asciiTheme="minorHAnsi" w:hAnsiTheme="minorHAnsi" w:cstheme="minorHAnsi"/>
              </w:rPr>
              <w:t>SAIDI</w:t>
            </w:r>
            <w:r w:rsidRPr="003D5FB5">
              <w:rPr>
                <w:rFonts w:asciiTheme="minorHAnsi" w:hAnsiTheme="minorHAnsi" w:cstheme="minorHAnsi"/>
                <w:spacing w:val="4"/>
              </w:rPr>
              <w:t xml:space="preserve"> </w:t>
            </w:r>
            <w:r w:rsidRPr="003D5FB5">
              <w:rPr>
                <w:rFonts w:asciiTheme="minorHAnsi" w:hAnsiTheme="minorHAnsi" w:cstheme="minorHAnsi"/>
              </w:rPr>
              <w:t>in</w:t>
            </w:r>
            <w:r w:rsidRPr="003D5FB5">
              <w:rPr>
                <w:rFonts w:asciiTheme="minorHAnsi" w:hAnsiTheme="minorHAnsi" w:cstheme="minorHAnsi"/>
                <w:spacing w:val="-6"/>
              </w:rPr>
              <w:t xml:space="preserve"> </w:t>
            </w:r>
            <w:r w:rsidRPr="003D5FB5">
              <w:rPr>
                <w:rFonts w:asciiTheme="minorHAnsi" w:hAnsiTheme="minorHAnsi" w:cstheme="minorHAnsi"/>
              </w:rPr>
              <w:t>%</w:t>
            </w:r>
          </w:p>
        </w:tc>
        <w:tc>
          <w:tcPr>
            <w:tcW w:w="0" w:type="auto"/>
            <w:tcBorders>
              <w:top w:val="single" w:sz="4" w:space="0" w:color="000000"/>
              <w:left w:val="single" w:sz="4" w:space="0" w:color="000000"/>
              <w:bottom w:val="single" w:sz="4" w:space="0" w:color="000000"/>
              <w:right w:val="single" w:sz="4" w:space="0" w:color="000000"/>
            </w:tcBorders>
          </w:tcPr>
          <w:p w14:paraId="540885B3" w14:textId="77777777" w:rsidR="00EA573A" w:rsidRPr="003D5FB5" w:rsidRDefault="00EA573A" w:rsidP="00EA573A">
            <w:pPr>
              <w:pStyle w:val="TableParagraph"/>
              <w:spacing w:before="60"/>
              <w:ind w:left="98" w:right="86"/>
              <w:jc w:val="center"/>
              <w:rPr>
                <w:rFonts w:asciiTheme="minorHAnsi" w:hAnsiTheme="minorHAnsi" w:cstheme="minorHAnsi"/>
                <w:b/>
              </w:rPr>
            </w:pPr>
            <w:r w:rsidRPr="003D5FB5">
              <w:rPr>
                <w:rFonts w:asciiTheme="minorHAnsi" w:hAnsiTheme="minorHAnsi" w:cstheme="minorHAnsi"/>
                <w:b/>
              </w:rPr>
              <w:t>75%</w:t>
            </w:r>
          </w:p>
        </w:tc>
        <w:tc>
          <w:tcPr>
            <w:tcW w:w="0" w:type="auto"/>
            <w:tcBorders>
              <w:top w:val="single" w:sz="4" w:space="0" w:color="000000"/>
              <w:left w:val="single" w:sz="4" w:space="0" w:color="000000"/>
              <w:bottom w:val="single" w:sz="4" w:space="0" w:color="000000"/>
              <w:right w:val="single" w:sz="4" w:space="0" w:color="000000"/>
            </w:tcBorders>
          </w:tcPr>
          <w:p w14:paraId="65FE0A27" w14:textId="77777777" w:rsidR="00EA573A" w:rsidRPr="003D5FB5" w:rsidRDefault="00EA573A" w:rsidP="00EA573A">
            <w:pPr>
              <w:pStyle w:val="TableParagraph"/>
              <w:spacing w:before="60"/>
              <w:ind w:left="99" w:right="86"/>
              <w:jc w:val="center"/>
              <w:rPr>
                <w:rFonts w:asciiTheme="minorHAnsi" w:hAnsiTheme="minorHAnsi" w:cstheme="minorHAnsi"/>
                <w:b/>
              </w:rPr>
            </w:pPr>
            <w:r w:rsidRPr="003D5FB5">
              <w:rPr>
                <w:rFonts w:asciiTheme="minorHAnsi" w:hAnsiTheme="minorHAnsi" w:cstheme="minorHAnsi"/>
                <w:b/>
              </w:rPr>
              <w:t>71%</w:t>
            </w:r>
          </w:p>
        </w:tc>
        <w:tc>
          <w:tcPr>
            <w:tcW w:w="0" w:type="auto"/>
            <w:tcBorders>
              <w:top w:val="single" w:sz="4" w:space="0" w:color="000000"/>
              <w:left w:val="single" w:sz="4" w:space="0" w:color="000000"/>
              <w:bottom w:val="single" w:sz="4" w:space="0" w:color="000000"/>
              <w:right w:val="single" w:sz="4" w:space="0" w:color="000000"/>
            </w:tcBorders>
          </w:tcPr>
          <w:p w14:paraId="5DD86A1C" w14:textId="77777777" w:rsidR="00EA573A" w:rsidRPr="003D5FB5" w:rsidRDefault="00EA573A" w:rsidP="00EA573A">
            <w:pPr>
              <w:pStyle w:val="TableParagraph"/>
              <w:spacing w:before="60"/>
              <w:ind w:left="61" w:right="57"/>
              <w:jc w:val="center"/>
              <w:rPr>
                <w:rFonts w:asciiTheme="minorHAnsi" w:hAnsiTheme="minorHAnsi" w:cstheme="minorHAnsi"/>
                <w:b/>
              </w:rPr>
            </w:pPr>
            <w:r w:rsidRPr="003D5FB5">
              <w:rPr>
                <w:rFonts w:asciiTheme="minorHAnsi" w:hAnsiTheme="minorHAnsi" w:cstheme="minorHAnsi"/>
                <w:b/>
              </w:rPr>
              <w:t>73%</w:t>
            </w:r>
          </w:p>
        </w:tc>
      </w:tr>
    </w:tbl>
    <w:p w14:paraId="19722D41" w14:textId="1E25EC47" w:rsidR="00480682" w:rsidRDefault="002F0A87" w:rsidP="00480682">
      <w:pPr>
        <w:tabs>
          <w:tab w:val="left" w:pos="993"/>
        </w:tabs>
        <w:spacing w:line="360" w:lineRule="auto"/>
        <w:ind w:left="426"/>
        <w:jc w:val="both"/>
        <w:rPr>
          <w:rFonts w:asciiTheme="minorHAnsi" w:hAnsiTheme="minorHAnsi" w:cstheme="minorHAnsi"/>
          <w:b/>
          <w:sz w:val="22"/>
          <w:szCs w:val="22"/>
        </w:rPr>
      </w:pPr>
      <w:r w:rsidRPr="003D5FB5">
        <w:rPr>
          <w:rFonts w:asciiTheme="minorHAnsi" w:hAnsiTheme="minorHAnsi" w:cstheme="minorHAnsi"/>
          <w:b/>
          <w:sz w:val="22"/>
          <w:szCs w:val="22"/>
        </w:rPr>
        <w:t>The following table depicts the saving in SAIDI achieved in Q4 month wise due to auto-recloser.</w:t>
      </w:r>
    </w:p>
    <w:p w14:paraId="4C2DBC71" w14:textId="48E6A864" w:rsidR="00EA573A" w:rsidRDefault="002F0A87" w:rsidP="00480682">
      <w:pPr>
        <w:tabs>
          <w:tab w:val="left" w:pos="993"/>
        </w:tabs>
        <w:spacing w:line="360" w:lineRule="auto"/>
        <w:rPr>
          <w:rFonts w:asciiTheme="minorHAnsi" w:hAnsiTheme="minorHAnsi" w:cstheme="minorHAnsi"/>
          <w:sz w:val="22"/>
          <w:szCs w:val="22"/>
        </w:rPr>
      </w:pPr>
      <w:r w:rsidRPr="003D5FB5">
        <w:rPr>
          <w:rFonts w:asciiTheme="minorHAnsi" w:hAnsiTheme="minorHAnsi" w:cstheme="minorHAnsi"/>
          <w:b/>
          <w:noProof/>
          <w:sz w:val="22"/>
          <w:szCs w:val="22"/>
          <w:lang w:val="en-IN" w:eastAsia="en-IN"/>
        </w:rPr>
        <w:drawing>
          <wp:anchor distT="0" distB="0" distL="0" distR="0" simplePos="0" relativeHeight="251961856" behindDoc="0" locked="0" layoutInCell="0" allowOverlap="1" wp14:anchorId="42B2B5C4" wp14:editId="5CF4013C">
            <wp:simplePos x="0" y="0"/>
            <wp:positionH relativeFrom="page">
              <wp:posOffset>11186160</wp:posOffset>
            </wp:positionH>
            <wp:positionV relativeFrom="page">
              <wp:posOffset>9229725</wp:posOffset>
            </wp:positionV>
            <wp:extent cx="1501775" cy="358775"/>
            <wp:effectExtent l="0" t="0" r="0" b="0"/>
            <wp:wrapNone/>
            <wp:docPr id="212922802" name="Image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mage2"/>
                    <pic:cNvPicPr>
                      <a:picLocks noChangeAspect="1" noChangeArrowheads="1"/>
                    </pic:cNvPicPr>
                  </pic:nvPicPr>
                  <pic:blipFill>
                    <a:blip r:embed="rId20"/>
                    <a:stretch>
                      <a:fillRect/>
                    </a:stretch>
                  </pic:blipFill>
                  <pic:spPr bwMode="auto">
                    <a:xfrm>
                      <a:off x="0" y="0"/>
                      <a:ext cx="1501775" cy="358775"/>
                    </a:xfrm>
                    <a:prstGeom prst="rect">
                      <a:avLst/>
                    </a:prstGeom>
                  </pic:spPr>
                </pic:pic>
              </a:graphicData>
            </a:graphic>
          </wp:anchor>
        </w:drawing>
      </w:r>
      <w:r w:rsidRPr="003D5FB5">
        <w:rPr>
          <w:rFonts w:asciiTheme="minorHAnsi" w:hAnsiTheme="minorHAnsi" w:cstheme="minorHAnsi"/>
          <w:b/>
          <w:noProof/>
          <w:sz w:val="22"/>
          <w:szCs w:val="22"/>
          <w:lang w:val="en-IN" w:eastAsia="en-IN"/>
        </w:rPr>
        <mc:AlternateContent>
          <mc:Choice Requires="wpg">
            <w:drawing>
              <wp:anchor distT="1905" distB="0" distL="0" distR="0" simplePos="0" relativeHeight="251962880" behindDoc="0" locked="0" layoutInCell="0" allowOverlap="1" wp14:anchorId="17E03D41" wp14:editId="109AB404">
                <wp:simplePos x="0" y="0"/>
                <wp:positionH relativeFrom="page">
                  <wp:posOffset>10523220</wp:posOffset>
                </wp:positionH>
                <wp:positionV relativeFrom="page">
                  <wp:posOffset>6544945</wp:posOffset>
                </wp:positionV>
                <wp:extent cx="2278380" cy="3055620"/>
                <wp:effectExtent l="0" t="0" r="0" b="0"/>
                <wp:wrapNone/>
                <wp:docPr id="36" name="Group 71"/>
                <wp:cNvGraphicFramePr/>
                <a:graphic xmlns:a="http://schemas.openxmlformats.org/drawingml/2006/main">
                  <a:graphicData uri="http://schemas.microsoft.com/office/word/2010/wordprocessingGroup">
                    <wpg:wgp>
                      <wpg:cNvGrpSpPr/>
                      <wpg:grpSpPr>
                        <a:xfrm>
                          <a:off x="0" y="0"/>
                          <a:ext cx="2278440" cy="3055680"/>
                          <a:chOff x="0" y="0"/>
                          <a:chExt cx="2278440" cy="3055680"/>
                        </a:xfrm>
                      </wpg:grpSpPr>
                      <pic:pic xmlns:pic="http://schemas.openxmlformats.org/drawingml/2006/picture">
                        <pic:nvPicPr>
                          <pic:cNvPr id="38" name="Picture 33"/>
                          <pic:cNvPicPr/>
                        </pic:nvPicPr>
                        <pic:blipFill>
                          <a:blip r:embed="rId21"/>
                          <a:stretch/>
                        </pic:blipFill>
                        <pic:spPr>
                          <a:xfrm>
                            <a:off x="10080" y="0"/>
                            <a:ext cx="2268360" cy="1921680"/>
                          </a:xfrm>
                          <a:prstGeom prst="rect">
                            <a:avLst/>
                          </a:prstGeom>
                          <a:ln w="0">
                            <a:noFill/>
                          </a:ln>
                        </pic:spPr>
                      </pic:pic>
                      <pic:pic xmlns:pic="http://schemas.openxmlformats.org/drawingml/2006/picture">
                        <pic:nvPicPr>
                          <pic:cNvPr id="39" name="Picture 34"/>
                          <pic:cNvPicPr/>
                        </pic:nvPicPr>
                        <pic:blipFill>
                          <a:blip r:embed="rId22"/>
                          <a:stretch/>
                        </pic:blipFill>
                        <pic:spPr>
                          <a:xfrm>
                            <a:off x="205920" y="195480"/>
                            <a:ext cx="1990800" cy="1351440"/>
                          </a:xfrm>
                          <a:prstGeom prst="rect">
                            <a:avLst/>
                          </a:prstGeom>
                          <a:ln w="0">
                            <a:noFill/>
                          </a:ln>
                        </pic:spPr>
                      </pic:pic>
                      <pic:pic xmlns:pic="http://schemas.openxmlformats.org/drawingml/2006/picture">
                        <pic:nvPicPr>
                          <pic:cNvPr id="47" name="Picture 35"/>
                          <pic:cNvPicPr/>
                        </pic:nvPicPr>
                        <pic:blipFill>
                          <a:blip r:embed="rId23"/>
                          <a:stretch/>
                        </pic:blipFill>
                        <pic:spPr>
                          <a:xfrm>
                            <a:off x="0" y="1351800"/>
                            <a:ext cx="2278440" cy="1703880"/>
                          </a:xfrm>
                          <a:prstGeom prst="rect">
                            <a:avLst/>
                          </a:prstGeom>
                          <a:ln w="0">
                            <a:noFill/>
                          </a:ln>
                        </pic:spPr>
                      </pic:pic>
                      <pic:pic xmlns:pic="http://schemas.openxmlformats.org/drawingml/2006/picture">
                        <pic:nvPicPr>
                          <pic:cNvPr id="57" name="Picture 36"/>
                          <pic:cNvPicPr/>
                        </pic:nvPicPr>
                        <pic:blipFill>
                          <a:blip r:embed="rId24"/>
                          <a:stretch/>
                        </pic:blipFill>
                        <pic:spPr>
                          <a:xfrm>
                            <a:off x="195120" y="1547640"/>
                            <a:ext cx="2077560" cy="1133640"/>
                          </a:xfrm>
                          <a:prstGeom prst="rect">
                            <a:avLst/>
                          </a:prstGeom>
                          <a:ln w="0">
                            <a:noFill/>
                          </a:ln>
                        </pic:spPr>
                      </pic:pic>
                    </wpg:wgp>
                  </a:graphicData>
                </a:graphic>
              </wp:anchor>
            </w:drawing>
          </mc:Choice>
          <mc:Fallback xmlns:a14="http://schemas.microsoft.com/office/drawing/2010/main" xmlns:pic="http://schemas.openxmlformats.org/drawingml/2006/picture" xmlns:a16="http://schemas.microsoft.com/office/drawing/2014/main" xmlns:c="http://schemas.openxmlformats.org/drawingml/2006/chart" xmlns:a="http://schemas.openxmlformats.org/drawingml/2006/main">
            <w:pict w14:anchorId="6CA34DEF">
              <v:group id="Group 71" style="position:absolute;margin-left:828.6pt;margin-top:515.35pt;width:179.4pt;height:240.6pt;z-index:251962880;mso-wrap-distance-left:0;mso-wrap-distance-top:.15pt;mso-wrap-distance-right:0;mso-position-horizontal-relative:page;mso-position-vertical-relative:page" coordsize="22784,30556" o:spid="_x0000_s1026" o:allowincell="f" w14:anchorId="08B6048A"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">
                <v:shapetype id="_x0000_t75" coordsize="21600,21600" filled="f" stroked="f" o:spt="75"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Picture 33" style="position:absolute;left:100;width:22684;height:19216;visibility:visible;mso-wrap-style:square" o:spid="_x0000_s1027" strokeweight="0"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">
                  <v:imagedata o:title="" r:id="rId27"/>
                </v:shape>
                <v:shape id="Picture 34" style="position:absolute;left:2059;top:1954;width:19908;height:13515;visibility:visible;mso-wrap-style:square" o:spid="_x0000_s1028" strokeweight="0"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">
                  <v:imagedata o:title="" r:id="rId28"/>
                </v:shape>
                <v:shape id="Picture 35" style="position:absolute;top:13518;width:22784;height:17038;visibility:visible;mso-wrap-style:square" o:spid="_x0000_s1029" strokeweight="0"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">
                  <v:imagedata o:title="" r:id="rId29"/>
                </v:shape>
                <v:shape id="Picture 36" style="position:absolute;left:1951;top:15476;width:20775;height:11336;visibility:visible;mso-wrap-style:square" o:spid="_x0000_s1030" strokeweight="0"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">
                  <v:imagedata o:title="" r:id="rId30"/>
                </v:shape>
                <w10:wrap anchorx="page" anchory="page"/>
              </v:group>
            </w:pict>
          </mc:Fallback>
        </mc:AlternateContent>
      </w:r>
      <w:r w:rsidRPr="003D5FB5">
        <w:rPr>
          <w:rFonts w:asciiTheme="minorHAnsi" w:hAnsiTheme="minorHAnsi" w:cstheme="minorHAnsi"/>
          <w:b/>
          <w:noProof/>
          <w:sz w:val="22"/>
          <w:szCs w:val="22"/>
          <w:lang w:val="en-IN" w:eastAsia="en-IN"/>
        </w:rPr>
        <mc:AlternateContent>
          <mc:Choice Requires="wps">
            <w:drawing>
              <wp:anchor distT="8890" distB="2540" distL="6985" distR="4445" simplePos="0" relativeHeight="251968000" behindDoc="1" locked="0" layoutInCell="0" allowOverlap="1" wp14:anchorId="19F8C949" wp14:editId="784EA219">
                <wp:simplePos x="0" y="0"/>
                <wp:positionH relativeFrom="page">
                  <wp:posOffset>12284710</wp:posOffset>
                </wp:positionH>
                <wp:positionV relativeFrom="paragraph">
                  <wp:posOffset>-533400</wp:posOffset>
                </wp:positionV>
                <wp:extent cx="312420" cy="264160"/>
                <wp:effectExtent l="0" t="635" r="635" b="0"/>
                <wp:wrapNone/>
                <wp:docPr id="58" name="Freeform 76"/>
                <wp:cNvGraphicFramePr/>
                <a:graphic xmlns:a="http://schemas.openxmlformats.org/drawingml/2006/main">
                  <a:graphicData uri="http://schemas.microsoft.com/office/word/2010/wordprocessingShape">
                    <wps:wsp>
                      <wps:cNvSpPr/>
                      <wps:spPr>
                        <a:xfrm>
                          <a:off x="0" y="0"/>
                          <a:ext cx="312480" cy="264240"/>
                        </a:xfrm>
                        <a:custGeom>
                          <a:avLst/>
                          <a:gdLst>
                            <a:gd name="textAreaLeft" fmla="*/ 0 w 177120"/>
                            <a:gd name="textAreaRight" fmla="*/ 177480 w 177120"/>
                            <a:gd name="textAreaTop" fmla="*/ 0 h 149760"/>
                            <a:gd name="textAreaBottom" fmla="*/ 150120 h 149760"/>
                          </a:gdLst>
                          <a:ahLst/>
                          <a:cxnLst/>
                          <a:rect l="textAreaLeft" t="textAreaTop" r="textAreaRight" b="textAreaBottom"/>
                          <a:pathLst>
                            <a:path w="492" h="416">
                              <a:moveTo>
                                <a:pt x="285" y="0"/>
                              </a:moveTo>
                              <a:lnTo>
                                <a:pt x="0" y="0"/>
                              </a:lnTo>
                              <a:lnTo>
                                <a:pt x="208" y="208"/>
                              </a:lnTo>
                              <a:lnTo>
                                <a:pt x="0" y="415"/>
                              </a:lnTo>
                              <a:lnTo>
                                <a:pt x="285" y="415"/>
                              </a:lnTo>
                              <a:lnTo>
                                <a:pt x="492" y="208"/>
                              </a:lnTo>
                              <a:lnTo>
                                <a:pt x="285" y="0"/>
                              </a:lnTo>
                              <a:close/>
                            </a:path>
                          </a:pathLst>
                        </a:custGeom>
                        <a:solidFill>
                          <a:srgbClr val="3A3838"/>
                        </a:solidFill>
                        <a:ln w="0">
                          <a:noFill/>
                        </a:ln>
                      </wps:spPr>
                      <wps:style>
                        <a:lnRef idx="0">
                          <a:scrgbClr r="0" g="0" b="0"/>
                        </a:lnRef>
                        <a:fillRef idx="0">
                          <a:scrgbClr r="0" g="0" b="0"/>
                        </a:fillRef>
                        <a:effectRef idx="0">
                          <a:scrgbClr r="0" g="0" b="0"/>
                        </a:effectRef>
                        <a:fontRef idx="minor"/>
                      </wps:style>
                      <wps:bodyPr/>
                    </wps:wsp>
                  </a:graphicData>
                </a:graphic>
              </wp:anchor>
            </w:drawing>
          </mc:Choice>
          <mc:Fallback xmlns:a14="http://schemas.microsoft.com/office/drawing/2010/main" xmlns:pic="http://schemas.openxmlformats.org/drawingml/2006/picture" xmlns:a16="http://schemas.microsoft.com/office/drawing/2014/main" xmlns:c="http://schemas.openxmlformats.org/drawingml/2006/chart" xmlns:a="http://schemas.openxmlformats.org/drawingml/2006/main">
            <w:pict w14:anchorId="3125938C">
              <v:shape id="Freeform 76" style="position:absolute;margin-left:967.3pt;margin-top:-42pt;width:24.6pt;height:20.8pt;z-index:-251348480;visibility:visible;mso-wrap-style:square;mso-wrap-distance-left:.55pt;mso-wrap-distance-top:.7pt;mso-wrap-distance-right:.35pt;mso-wrap-distance-bottom:.2pt;mso-position-horizontal:absolute;mso-position-horizontal-relative:page;mso-position-vertical:absolute;mso-position-vertical-relative:text;v-text-anchor:top" coordsize="492,416" o:spid="_x0000_s1026" o:allowincell="f" fillcolor="#3a3838" stroked="f" strokeweight="0" path="m285,l,,208,208,,415r285,l492,208,285,x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" w14:anchorId="625C6B2B">
                <v:path textboxrect="0,0,493,417" arrowok="t"/>
                <w10:wrap anchorx="page"/>
              </v:shape>
            </w:pict>
          </mc:Fallback>
        </mc:AlternateContent>
      </w:r>
    </w:p>
    <w:p w14:paraId="116D1463" w14:textId="7E50075B" w:rsidR="003444D4" w:rsidRDefault="00EA573A" w:rsidP="00480682">
      <w:pPr>
        <w:tabs>
          <w:tab w:val="left" w:pos="993"/>
        </w:tabs>
        <w:spacing w:line="360" w:lineRule="auto"/>
        <w:rPr>
          <w:rFonts w:asciiTheme="minorHAnsi" w:hAnsiTheme="minorHAnsi" w:cstheme="minorHAnsi"/>
          <w:sz w:val="22"/>
          <w:szCs w:val="22"/>
        </w:rPr>
      </w:pPr>
      <w:r>
        <w:rPr>
          <w:rFonts w:asciiTheme="minorHAnsi" w:hAnsiTheme="minorHAnsi" w:cstheme="minorHAnsi"/>
          <w:sz w:val="22"/>
          <w:szCs w:val="22"/>
        </w:rPr>
        <w:t xml:space="preserve">        </w:t>
      </w:r>
      <w:proofErr w:type="spellStart"/>
      <w:r>
        <w:rPr>
          <w:rFonts w:asciiTheme="minorHAnsi" w:hAnsiTheme="minorHAnsi" w:cstheme="minorHAnsi"/>
          <w:sz w:val="22"/>
          <w:szCs w:val="22"/>
        </w:rPr>
        <w:t>c</w:t>
      </w:r>
      <w:r w:rsidR="003444D4" w:rsidRPr="003D5FB5">
        <w:rPr>
          <w:rFonts w:asciiTheme="minorHAnsi" w:hAnsiTheme="minorHAnsi" w:cstheme="minorHAnsi"/>
          <w:sz w:val="22"/>
          <w:szCs w:val="22"/>
        </w:rPr>
        <w:t>Total</w:t>
      </w:r>
      <w:proofErr w:type="spellEnd"/>
      <w:r w:rsidR="003444D4" w:rsidRPr="003D5FB5">
        <w:rPr>
          <w:rFonts w:asciiTheme="minorHAnsi" w:hAnsiTheme="minorHAnsi" w:cstheme="minorHAnsi"/>
          <w:sz w:val="22"/>
          <w:szCs w:val="22"/>
        </w:rPr>
        <w:t xml:space="preserve"> 154612 of Consumer benefited after installation of Auto-Reclosers</w:t>
      </w:r>
    </w:p>
    <w:p w14:paraId="73699C8F" w14:textId="77777777" w:rsidR="00EA573A" w:rsidRDefault="00EA573A" w:rsidP="00480682">
      <w:pPr>
        <w:tabs>
          <w:tab w:val="left" w:pos="993"/>
        </w:tabs>
        <w:spacing w:line="360" w:lineRule="auto"/>
        <w:rPr>
          <w:rFonts w:asciiTheme="minorHAnsi" w:hAnsiTheme="minorHAnsi" w:cstheme="minorHAnsi"/>
          <w:b/>
          <w:sz w:val="22"/>
          <w:szCs w:val="22"/>
        </w:rPr>
      </w:pPr>
    </w:p>
    <w:p w14:paraId="5A8F7AB9" w14:textId="77777777" w:rsidR="00480682" w:rsidRDefault="00480682" w:rsidP="003444D4">
      <w:pPr>
        <w:widowControl w:val="0"/>
        <w:shd w:val="clear" w:color="auto" w:fill="FFFFFF" w:themeFill="background1"/>
        <w:tabs>
          <w:tab w:val="left" w:pos="646"/>
        </w:tabs>
        <w:spacing w:before="41" w:line="360" w:lineRule="auto"/>
        <w:jc w:val="both"/>
        <w:rPr>
          <w:rFonts w:asciiTheme="minorHAnsi" w:hAnsiTheme="minorHAnsi" w:cstheme="minorHAnsi"/>
          <w:b/>
          <w:sz w:val="22"/>
          <w:szCs w:val="22"/>
        </w:rPr>
      </w:pPr>
    </w:p>
    <w:p w14:paraId="2AB5C4BB" w14:textId="5176C598" w:rsidR="002F0A87" w:rsidRPr="003D5FB5" w:rsidRDefault="00466DB4" w:rsidP="00EA573A">
      <w:pPr>
        <w:widowControl w:val="0"/>
        <w:shd w:val="clear" w:color="auto" w:fill="FFFFFF" w:themeFill="background1"/>
        <w:tabs>
          <w:tab w:val="left" w:pos="646"/>
        </w:tabs>
        <w:spacing w:before="41" w:line="360" w:lineRule="auto"/>
        <w:ind w:left="567"/>
        <w:jc w:val="both"/>
        <w:rPr>
          <w:rFonts w:asciiTheme="minorHAnsi" w:hAnsiTheme="minorHAnsi" w:cstheme="minorHAnsi"/>
          <w:b/>
          <w:sz w:val="22"/>
          <w:szCs w:val="22"/>
        </w:rPr>
      </w:pPr>
      <w:proofErr w:type="gramStart"/>
      <w:r>
        <w:rPr>
          <w:rFonts w:asciiTheme="minorHAnsi" w:hAnsiTheme="minorHAnsi" w:cstheme="minorHAnsi"/>
          <w:b/>
          <w:szCs w:val="22"/>
        </w:rPr>
        <w:lastRenderedPageBreak/>
        <w:t>2.7.3</w:t>
      </w:r>
      <w:r w:rsidR="003D5FB5" w:rsidRPr="00480682">
        <w:rPr>
          <w:rFonts w:asciiTheme="minorHAnsi" w:hAnsiTheme="minorHAnsi" w:cstheme="minorHAnsi"/>
          <w:b/>
          <w:szCs w:val="22"/>
        </w:rPr>
        <w:t xml:space="preserve">  </w:t>
      </w:r>
      <w:r w:rsidR="002F0A87" w:rsidRPr="00480682">
        <w:rPr>
          <w:rFonts w:asciiTheme="minorHAnsi" w:hAnsiTheme="minorHAnsi" w:cstheme="minorHAnsi"/>
          <w:b/>
          <w:szCs w:val="22"/>
        </w:rPr>
        <w:t>Empowering</w:t>
      </w:r>
      <w:proofErr w:type="gramEnd"/>
      <w:r w:rsidR="002F0A87" w:rsidRPr="00480682">
        <w:rPr>
          <w:rFonts w:asciiTheme="minorHAnsi" w:hAnsiTheme="minorHAnsi" w:cstheme="minorHAnsi"/>
          <w:b/>
          <w:szCs w:val="22"/>
        </w:rPr>
        <w:t xml:space="preserve"> Reliability through Preventive &amp; Predictive Maintenance Strategies:</w:t>
      </w:r>
    </w:p>
    <w:p w14:paraId="0FF33CD1" w14:textId="5EB13584" w:rsidR="00E02343" w:rsidRDefault="002F0A87" w:rsidP="00EA573A">
      <w:pPr>
        <w:spacing w:line="360" w:lineRule="auto"/>
        <w:ind w:left="567" w:right="-23"/>
        <w:jc w:val="both"/>
        <w:rPr>
          <w:rFonts w:asciiTheme="minorHAnsi" w:hAnsiTheme="minorHAnsi" w:cstheme="minorHAnsi"/>
          <w:sz w:val="22"/>
          <w:szCs w:val="22"/>
        </w:rPr>
      </w:pPr>
      <w:r w:rsidRPr="003D5FB5">
        <w:rPr>
          <w:rFonts w:asciiTheme="minorHAnsi" w:hAnsiTheme="minorHAnsi" w:cstheme="minorHAnsi"/>
          <w:sz w:val="22"/>
          <w:szCs w:val="22"/>
        </w:rPr>
        <w:t>Preventive maintenance plays most significant role in reliability improvement. TPNODL Focuses on proactively identifying and addressing potential issues before they escalate, thereby minimizing disruptions, optimizing asset performance, and ensuring consistent power supply to communities.</w:t>
      </w:r>
    </w:p>
    <w:p w14:paraId="4F5EF1EE" w14:textId="77777777" w:rsidR="00E02343" w:rsidRPr="00480682" w:rsidRDefault="00E02343" w:rsidP="00EA573A">
      <w:pPr>
        <w:spacing w:line="360" w:lineRule="auto"/>
        <w:ind w:left="567" w:right="-23"/>
        <w:jc w:val="both"/>
        <w:rPr>
          <w:rFonts w:asciiTheme="minorHAnsi" w:hAnsiTheme="minorHAnsi" w:cstheme="minorHAnsi"/>
          <w:sz w:val="22"/>
          <w:szCs w:val="22"/>
        </w:rPr>
      </w:pPr>
    </w:p>
    <w:p w14:paraId="3281B2E5" w14:textId="6E21E4D4" w:rsidR="002F0A87" w:rsidRPr="000860B0" w:rsidRDefault="00BA576C" w:rsidP="00EA573A">
      <w:pPr>
        <w:tabs>
          <w:tab w:val="left" w:pos="426"/>
        </w:tabs>
        <w:spacing w:line="360" w:lineRule="auto"/>
        <w:ind w:left="567" w:right="-23"/>
        <w:jc w:val="both"/>
        <w:rPr>
          <w:rFonts w:asciiTheme="minorHAnsi" w:hAnsiTheme="minorHAnsi" w:cstheme="minorHAnsi"/>
          <w:b/>
          <w:szCs w:val="22"/>
        </w:rPr>
      </w:pPr>
      <w:r w:rsidRPr="000860B0">
        <w:rPr>
          <w:rFonts w:asciiTheme="minorHAnsi" w:hAnsiTheme="minorHAnsi" w:cstheme="minorHAnsi"/>
          <w:b/>
          <w:szCs w:val="22"/>
        </w:rPr>
        <w:t xml:space="preserve"> </w:t>
      </w:r>
      <w:proofErr w:type="gramStart"/>
      <w:r w:rsidR="00563D22" w:rsidRPr="000860B0">
        <w:rPr>
          <w:rFonts w:asciiTheme="minorHAnsi" w:hAnsiTheme="minorHAnsi" w:cstheme="minorHAnsi"/>
          <w:b/>
          <w:szCs w:val="22"/>
        </w:rPr>
        <w:t>2.7.</w:t>
      </w:r>
      <w:r w:rsidR="000860B0">
        <w:rPr>
          <w:rFonts w:asciiTheme="minorHAnsi" w:hAnsiTheme="minorHAnsi" w:cstheme="minorHAnsi"/>
          <w:b/>
          <w:szCs w:val="22"/>
        </w:rPr>
        <w:t>3</w:t>
      </w:r>
      <w:r w:rsidR="00563D22" w:rsidRPr="000860B0">
        <w:rPr>
          <w:rFonts w:asciiTheme="minorHAnsi" w:hAnsiTheme="minorHAnsi" w:cstheme="minorHAnsi"/>
          <w:b/>
          <w:szCs w:val="22"/>
        </w:rPr>
        <w:t xml:space="preserve">.1  </w:t>
      </w:r>
      <w:r w:rsidR="002F0A87" w:rsidRPr="000860B0">
        <w:rPr>
          <w:rFonts w:asciiTheme="minorHAnsi" w:hAnsiTheme="minorHAnsi" w:cstheme="minorHAnsi"/>
          <w:b/>
          <w:szCs w:val="22"/>
        </w:rPr>
        <w:t>Project</w:t>
      </w:r>
      <w:proofErr w:type="gramEnd"/>
      <w:r w:rsidR="002F0A87" w:rsidRPr="000860B0">
        <w:rPr>
          <w:rFonts w:asciiTheme="minorHAnsi" w:hAnsiTheme="minorHAnsi" w:cstheme="minorHAnsi"/>
          <w:b/>
          <w:szCs w:val="22"/>
        </w:rPr>
        <w:t xml:space="preserve"> PTR Care</w:t>
      </w:r>
    </w:p>
    <w:p w14:paraId="34B8BA6F" w14:textId="77777777" w:rsidR="002F0A87" w:rsidRPr="003D5FB5" w:rsidRDefault="002F0A87" w:rsidP="00EA573A">
      <w:pPr>
        <w:spacing w:line="360" w:lineRule="auto"/>
        <w:ind w:left="567"/>
        <w:jc w:val="both"/>
        <w:rPr>
          <w:rFonts w:asciiTheme="minorHAnsi" w:eastAsia="Calibri" w:hAnsiTheme="minorHAnsi" w:cstheme="minorHAnsi"/>
          <w:color w:val="000000" w:themeColor="text1"/>
          <w:sz w:val="22"/>
          <w:szCs w:val="22"/>
        </w:rPr>
      </w:pPr>
      <w:r w:rsidRPr="003D5FB5">
        <w:rPr>
          <w:rFonts w:asciiTheme="minorHAnsi" w:eastAsia="Calibri" w:hAnsiTheme="minorHAnsi" w:cstheme="minorHAnsi"/>
          <w:color w:val="000000" w:themeColor="text1"/>
          <w:sz w:val="22"/>
          <w:szCs w:val="22"/>
        </w:rPr>
        <w:t xml:space="preserve">The licensee is having 247 nos. of PSS, 564 nos. of PTR and 3226 </w:t>
      </w:r>
      <w:proofErr w:type="spellStart"/>
      <w:r w:rsidRPr="003D5FB5">
        <w:rPr>
          <w:rFonts w:asciiTheme="minorHAnsi" w:eastAsia="Calibri" w:hAnsiTheme="minorHAnsi" w:cstheme="minorHAnsi"/>
          <w:color w:val="000000" w:themeColor="text1"/>
          <w:sz w:val="22"/>
          <w:szCs w:val="22"/>
        </w:rPr>
        <w:t>CKm</w:t>
      </w:r>
      <w:proofErr w:type="spellEnd"/>
      <w:r w:rsidRPr="003D5FB5">
        <w:rPr>
          <w:rFonts w:asciiTheme="minorHAnsi" w:eastAsia="Calibri" w:hAnsiTheme="minorHAnsi" w:cstheme="minorHAnsi"/>
          <w:color w:val="000000" w:themeColor="text1"/>
          <w:sz w:val="22"/>
          <w:szCs w:val="22"/>
        </w:rPr>
        <w:t xml:space="preserve"> of 33KV line.  Under Project PTR Care, in last Financial Year, Silica gel replaced in 214 nos., oil filtration/top-up carried out in 87 PTRs, PTR overhauling done in 39 PTRs, capacity of 17 nos. PTRs augmented/addition done. Below is a brief of the activities carried out. </w:t>
      </w:r>
    </w:p>
    <w:p w14:paraId="7C4E6AC9" w14:textId="77777777" w:rsidR="00DE31A1" w:rsidRDefault="00DE31A1" w:rsidP="00EA573A">
      <w:pPr>
        <w:tabs>
          <w:tab w:val="left" w:pos="426"/>
        </w:tabs>
        <w:spacing w:line="360" w:lineRule="auto"/>
        <w:ind w:left="567" w:right="-23"/>
        <w:jc w:val="both"/>
        <w:rPr>
          <w:rFonts w:asciiTheme="minorHAnsi" w:hAnsiTheme="minorHAnsi" w:cstheme="minorHAnsi"/>
          <w:b/>
          <w:bCs/>
          <w:sz w:val="22"/>
          <w:szCs w:val="22"/>
        </w:rPr>
      </w:pPr>
    </w:p>
    <w:p w14:paraId="2DD4F37D" w14:textId="5126E9B2" w:rsidR="002F0A87" w:rsidRPr="003D5FB5" w:rsidRDefault="002F0A87" w:rsidP="00E02343">
      <w:pPr>
        <w:tabs>
          <w:tab w:val="left" w:pos="426"/>
        </w:tabs>
        <w:spacing w:line="360" w:lineRule="auto"/>
        <w:ind w:left="567" w:right="-23"/>
        <w:jc w:val="center"/>
        <w:rPr>
          <w:rFonts w:asciiTheme="minorHAnsi" w:hAnsiTheme="minorHAnsi" w:cstheme="minorHAnsi"/>
          <w:b/>
          <w:bCs/>
          <w:sz w:val="22"/>
          <w:szCs w:val="22"/>
        </w:rPr>
      </w:pPr>
      <w:r w:rsidRPr="003D5FB5">
        <w:rPr>
          <w:rFonts w:asciiTheme="minorHAnsi" w:hAnsiTheme="minorHAnsi" w:cstheme="minorHAnsi"/>
          <w:b/>
          <w:bCs/>
          <w:sz w:val="22"/>
          <w:szCs w:val="22"/>
        </w:rPr>
        <w:t>Table-</w:t>
      </w:r>
      <w:r w:rsidR="00EA573A">
        <w:rPr>
          <w:rFonts w:asciiTheme="minorHAnsi" w:hAnsiTheme="minorHAnsi" w:cstheme="minorHAnsi"/>
          <w:b/>
          <w:bCs/>
          <w:sz w:val="22"/>
          <w:szCs w:val="22"/>
        </w:rPr>
        <w:t>20</w:t>
      </w:r>
      <w:r w:rsidRPr="003D5FB5">
        <w:rPr>
          <w:rFonts w:asciiTheme="minorHAnsi" w:hAnsiTheme="minorHAnsi" w:cstheme="minorHAnsi"/>
          <w:b/>
          <w:bCs/>
          <w:sz w:val="22"/>
          <w:szCs w:val="22"/>
        </w:rPr>
        <w:t xml:space="preserve">: Status of PTR Maintenance </w:t>
      </w:r>
      <w:r w:rsidRPr="003D5FB5">
        <w:rPr>
          <w:rFonts w:asciiTheme="minorHAnsi" w:eastAsia="Calibri" w:hAnsiTheme="minorHAnsi" w:cstheme="minorHAnsi"/>
          <w:b/>
          <w:bCs/>
          <w:color w:val="000000" w:themeColor="text1"/>
          <w:sz w:val="22"/>
          <w:szCs w:val="22"/>
        </w:rPr>
        <w:t>Status of PTR Maintenance in FY24</w:t>
      </w:r>
    </w:p>
    <w:tbl>
      <w:tblPr>
        <w:tblpPr w:leftFromText="180" w:rightFromText="180" w:vertAnchor="text" w:horzAnchor="page" w:tblpX="2031" w:tblpY="71"/>
        <w:tblW w:w="4403" w:type="dxa"/>
        <w:tblCellMar>
          <w:top w:w="72" w:type="dxa"/>
          <w:left w:w="105" w:type="dxa"/>
          <w:bottom w:w="72" w:type="dxa"/>
          <w:right w:w="105" w:type="dxa"/>
        </w:tblCellMar>
        <w:tblLook w:val="0420" w:firstRow="1" w:lastRow="0" w:firstColumn="0" w:lastColumn="0" w:noHBand="0" w:noVBand="1"/>
      </w:tblPr>
      <w:tblGrid>
        <w:gridCol w:w="2830"/>
        <w:gridCol w:w="1573"/>
      </w:tblGrid>
      <w:tr w:rsidR="002F0A87" w:rsidRPr="003D5FB5" w14:paraId="26FC6CC7" w14:textId="77777777" w:rsidTr="00480682">
        <w:trPr>
          <w:trHeight w:val="58"/>
        </w:trPr>
        <w:tc>
          <w:tcPr>
            <w:tcW w:w="4403" w:type="dxa"/>
            <w:gridSpan w:val="2"/>
            <w:tcBorders>
              <w:top w:val="single" w:sz="4" w:space="0" w:color="auto"/>
              <w:left w:val="single" w:sz="4" w:space="0" w:color="auto"/>
              <w:bottom w:val="single" w:sz="4" w:space="0" w:color="auto"/>
              <w:right w:val="single" w:sz="4" w:space="0" w:color="auto"/>
            </w:tcBorders>
            <w:shd w:val="clear" w:color="auto" w:fill="95B3D7" w:themeFill="accent1" w:themeFillTint="99"/>
          </w:tcPr>
          <w:p w14:paraId="5D8DE0F8" w14:textId="77777777" w:rsidR="002F0A87" w:rsidRPr="003D5FB5" w:rsidRDefault="002F0A87" w:rsidP="00EA573A">
            <w:pPr>
              <w:pStyle w:val="NormalWeb"/>
              <w:spacing w:beforeAutospacing="0" w:afterAutospacing="0"/>
              <w:jc w:val="center"/>
              <w:rPr>
                <w:rFonts w:asciiTheme="minorHAnsi" w:eastAsia="Calibri" w:hAnsiTheme="minorHAnsi" w:cstheme="minorHAnsi"/>
                <w:sz w:val="22"/>
                <w:szCs w:val="22"/>
              </w:rPr>
            </w:pPr>
            <w:r w:rsidRPr="003D5FB5">
              <w:rPr>
                <w:rFonts w:asciiTheme="minorHAnsi" w:eastAsia="Calibri" w:hAnsiTheme="minorHAnsi" w:cstheme="minorHAnsi"/>
                <w:b/>
                <w:bCs/>
                <w:sz w:val="22"/>
                <w:szCs w:val="22"/>
              </w:rPr>
              <w:t>PTR Care</w:t>
            </w:r>
          </w:p>
        </w:tc>
      </w:tr>
      <w:tr w:rsidR="002F0A87" w:rsidRPr="003D5FB5" w14:paraId="5E57DF31" w14:textId="77777777" w:rsidTr="00480682">
        <w:trPr>
          <w:trHeight w:val="126"/>
        </w:trPr>
        <w:tc>
          <w:tcPr>
            <w:tcW w:w="2830" w:type="dxa"/>
            <w:tcBorders>
              <w:top w:val="single" w:sz="4" w:space="0" w:color="auto"/>
              <w:left w:val="single" w:sz="4" w:space="0" w:color="auto"/>
              <w:bottom w:val="single" w:sz="4" w:space="0" w:color="auto"/>
              <w:right w:val="single" w:sz="4" w:space="0" w:color="auto"/>
            </w:tcBorders>
            <w:shd w:val="clear" w:color="auto" w:fill="95B3D7" w:themeFill="accent1" w:themeFillTint="99"/>
          </w:tcPr>
          <w:p w14:paraId="3CE5CA3C" w14:textId="77777777" w:rsidR="002F0A87" w:rsidRPr="003D5FB5" w:rsidRDefault="002F0A87" w:rsidP="00EA573A">
            <w:pPr>
              <w:pStyle w:val="NormalWeb"/>
              <w:spacing w:beforeAutospacing="0" w:afterAutospacing="0"/>
              <w:jc w:val="center"/>
              <w:rPr>
                <w:rFonts w:asciiTheme="minorHAnsi" w:eastAsia="Calibri" w:hAnsiTheme="minorHAnsi" w:cstheme="minorHAnsi"/>
                <w:color w:val="FFFFFF" w:themeColor="background1"/>
                <w:sz w:val="22"/>
                <w:szCs w:val="22"/>
              </w:rPr>
            </w:pPr>
            <w:r w:rsidRPr="003D5FB5">
              <w:rPr>
                <w:rFonts w:asciiTheme="minorHAnsi" w:eastAsia="Calibri" w:hAnsiTheme="minorHAnsi" w:cstheme="minorHAnsi"/>
                <w:b/>
                <w:bCs/>
                <w:sz w:val="22"/>
                <w:szCs w:val="22"/>
              </w:rPr>
              <w:t>Description</w:t>
            </w:r>
          </w:p>
        </w:tc>
        <w:tc>
          <w:tcPr>
            <w:tcW w:w="1573" w:type="dxa"/>
            <w:tcBorders>
              <w:top w:val="single" w:sz="6" w:space="0" w:color="000000"/>
              <w:left w:val="single" w:sz="4" w:space="0" w:color="auto"/>
              <w:bottom w:val="single" w:sz="6" w:space="0" w:color="000000"/>
              <w:right w:val="single" w:sz="6" w:space="0" w:color="000000"/>
            </w:tcBorders>
            <w:shd w:val="clear" w:color="auto" w:fill="95B3D7" w:themeFill="accent1" w:themeFillTint="99"/>
            <w:tcMar>
              <w:top w:w="0" w:type="dxa"/>
              <w:bottom w:w="0" w:type="dxa"/>
            </w:tcMar>
          </w:tcPr>
          <w:p w14:paraId="568C45A0" w14:textId="77777777" w:rsidR="002F0A87" w:rsidRPr="003D5FB5" w:rsidRDefault="002F0A87" w:rsidP="00EA573A">
            <w:pPr>
              <w:pStyle w:val="NormalWeb"/>
              <w:spacing w:beforeAutospacing="0" w:afterAutospacing="0"/>
              <w:jc w:val="center"/>
              <w:rPr>
                <w:rFonts w:asciiTheme="minorHAnsi" w:eastAsia="Calibri" w:hAnsiTheme="minorHAnsi" w:cstheme="minorHAnsi"/>
                <w:sz w:val="22"/>
                <w:szCs w:val="22"/>
              </w:rPr>
            </w:pPr>
            <w:r w:rsidRPr="003D5FB5">
              <w:rPr>
                <w:rFonts w:asciiTheme="minorHAnsi" w:eastAsia="Calibri" w:hAnsiTheme="minorHAnsi" w:cstheme="minorHAnsi"/>
                <w:b/>
                <w:bCs/>
                <w:sz w:val="22"/>
                <w:szCs w:val="22"/>
              </w:rPr>
              <w:t>Nos</w:t>
            </w:r>
          </w:p>
        </w:tc>
      </w:tr>
      <w:tr w:rsidR="002F0A87" w:rsidRPr="003D5FB5" w14:paraId="26668CD0" w14:textId="77777777" w:rsidTr="00480682">
        <w:trPr>
          <w:trHeight w:val="139"/>
        </w:trPr>
        <w:tc>
          <w:tcPr>
            <w:tcW w:w="2830" w:type="dxa"/>
            <w:tcBorders>
              <w:top w:val="single" w:sz="4" w:space="0" w:color="auto"/>
              <w:left w:val="single" w:sz="4" w:space="0" w:color="auto"/>
              <w:bottom w:val="single" w:sz="4" w:space="0" w:color="auto"/>
              <w:right w:val="single" w:sz="4" w:space="0" w:color="auto"/>
            </w:tcBorders>
          </w:tcPr>
          <w:p w14:paraId="6C1A535C" w14:textId="77777777" w:rsidR="002F0A87" w:rsidRPr="003D5FB5" w:rsidRDefault="002F0A87" w:rsidP="00EA573A">
            <w:pPr>
              <w:pStyle w:val="NormalWeb"/>
              <w:spacing w:beforeAutospacing="0" w:afterAutospacing="0"/>
              <w:jc w:val="both"/>
              <w:rPr>
                <w:rFonts w:asciiTheme="minorHAnsi" w:eastAsia="Calibri" w:hAnsiTheme="minorHAnsi" w:cstheme="minorHAnsi"/>
                <w:color w:val="000000" w:themeColor="text1"/>
                <w:sz w:val="22"/>
                <w:szCs w:val="22"/>
              </w:rPr>
            </w:pPr>
            <w:r w:rsidRPr="003D5FB5">
              <w:rPr>
                <w:rFonts w:asciiTheme="minorHAnsi" w:eastAsia="Calibri" w:hAnsiTheme="minorHAnsi" w:cstheme="minorHAnsi"/>
                <w:color w:val="000000" w:themeColor="text1"/>
                <w:sz w:val="22"/>
                <w:szCs w:val="22"/>
              </w:rPr>
              <w:t>PTR Maintenance</w:t>
            </w:r>
          </w:p>
        </w:tc>
        <w:tc>
          <w:tcPr>
            <w:tcW w:w="1573" w:type="dxa"/>
            <w:tcBorders>
              <w:top w:val="single" w:sz="6" w:space="0" w:color="000000"/>
              <w:left w:val="single" w:sz="4" w:space="0" w:color="auto"/>
              <w:bottom w:val="single" w:sz="6" w:space="0" w:color="000000"/>
              <w:right w:val="single" w:sz="6" w:space="0" w:color="000000"/>
            </w:tcBorders>
            <w:tcMar>
              <w:top w:w="0" w:type="dxa"/>
              <w:bottom w:w="0" w:type="dxa"/>
            </w:tcMar>
          </w:tcPr>
          <w:p w14:paraId="48FCD43A" w14:textId="77777777" w:rsidR="002F0A87" w:rsidRPr="003D5FB5" w:rsidRDefault="002F0A87" w:rsidP="00EA573A">
            <w:pPr>
              <w:pStyle w:val="NormalWeb"/>
              <w:spacing w:beforeAutospacing="0" w:afterAutospacing="0"/>
              <w:jc w:val="center"/>
              <w:rPr>
                <w:rFonts w:asciiTheme="minorHAnsi" w:eastAsia="Calibri" w:hAnsiTheme="minorHAnsi" w:cstheme="minorHAnsi"/>
                <w:color w:val="000000" w:themeColor="text1"/>
                <w:sz w:val="22"/>
                <w:szCs w:val="22"/>
              </w:rPr>
            </w:pPr>
            <w:r w:rsidRPr="003D5FB5">
              <w:rPr>
                <w:rFonts w:asciiTheme="minorHAnsi" w:eastAsia="Calibri" w:hAnsiTheme="minorHAnsi" w:cstheme="minorHAnsi"/>
                <w:color w:val="000000" w:themeColor="text1"/>
                <w:sz w:val="22"/>
                <w:szCs w:val="22"/>
              </w:rPr>
              <w:t>515</w:t>
            </w:r>
          </w:p>
        </w:tc>
      </w:tr>
      <w:tr w:rsidR="002F0A87" w:rsidRPr="003D5FB5" w14:paraId="0F86487A" w14:textId="77777777" w:rsidTr="00480682">
        <w:trPr>
          <w:trHeight w:val="139"/>
        </w:trPr>
        <w:tc>
          <w:tcPr>
            <w:tcW w:w="2830" w:type="dxa"/>
            <w:tcBorders>
              <w:top w:val="single" w:sz="4" w:space="0" w:color="auto"/>
              <w:left w:val="single" w:sz="4" w:space="0" w:color="auto"/>
              <w:bottom w:val="single" w:sz="4" w:space="0" w:color="auto"/>
              <w:right w:val="single" w:sz="4" w:space="0" w:color="auto"/>
            </w:tcBorders>
          </w:tcPr>
          <w:p w14:paraId="4734D5F0" w14:textId="77777777" w:rsidR="002F0A87" w:rsidRPr="003D5FB5" w:rsidRDefault="002F0A87" w:rsidP="00EA573A">
            <w:pPr>
              <w:pStyle w:val="NormalWeb"/>
              <w:spacing w:beforeAutospacing="0" w:afterAutospacing="0"/>
              <w:ind w:firstLine="37"/>
              <w:jc w:val="both"/>
              <w:rPr>
                <w:rFonts w:asciiTheme="minorHAnsi" w:eastAsia="Calibri" w:hAnsiTheme="minorHAnsi" w:cstheme="minorHAnsi"/>
                <w:color w:val="000000" w:themeColor="text1"/>
                <w:sz w:val="22"/>
                <w:szCs w:val="22"/>
              </w:rPr>
            </w:pPr>
            <w:r w:rsidRPr="003D5FB5">
              <w:rPr>
                <w:rFonts w:asciiTheme="minorHAnsi" w:eastAsia="Calibri" w:hAnsiTheme="minorHAnsi" w:cstheme="minorHAnsi"/>
                <w:color w:val="000000" w:themeColor="text1"/>
                <w:sz w:val="22"/>
                <w:szCs w:val="22"/>
              </w:rPr>
              <w:t xml:space="preserve">Silica Gel Replacement </w:t>
            </w:r>
          </w:p>
        </w:tc>
        <w:tc>
          <w:tcPr>
            <w:tcW w:w="1573" w:type="dxa"/>
            <w:tcBorders>
              <w:top w:val="single" w:sz="6" w:space="0" w:color="000000"/>
              <w:left w:val="single" w:sz="4" w:space="0" w:color="auto"/>
              <w:bottom w:val="single" w:sz="6" w:space="0" w:color="000000"/>
              <w:right w:val="single" w:sz="6" w:space="0" w:color="000000"/>
            </w:tcBorders>
            <w:tcMar>
              <w:top w:w="0" w:type="dxa"/>
              <w:bottom w:w="0" w:type="dxa"/>
            </w:tcMar>
          </w:tcPr>
          <w:p w14:paraId="510031E0" w14:textId="77777777" w:rsidR="002F0A87" w:rsidRPr="003D5FB5" w:rsidRDefault="002F0A87" w:rsidP="00EA573A">
            <w:pPr>
              <w:pStyle w:val="NormalWeb"/>
              <w:spacing w:beforeAutospacing="0" w:afterAutospacing="0"/>
              <w:jc w:val="center"/>
              <w:rPr>
                <w:rFonts w:asciiTheme="minorHAnsi" w:eastAsia="Calibri" w:hAnsiTheme="minorHAnsi" w:cstheme="minorHAnsi"/>
                <w:color w:val="000000" w:themeColor="text1"/>
                <w:sz w:val="22"/>
                <w:szCs w:val="22"/>
              </w:rPr>
            </w:pPr>
            <w:r w:rsidRPr="003D5FB5">
              <w:rPr>
                <w:rFonts w:asciiTheme="minorHAnsi" w:eastAsia="Calibri" w:hAnsiTheme="minorHAnsi" w:cstheme="minorHAnsi"/>
                <w:color w:val="000000" w:themeColor="text1"/>
                <w:sz w:val="22"/>
                <w:szCs w:val="22"/>
              </w:rPr>
              <w:t>214</w:t>
            </w:r>
          </w:p>
        </w:tc>
      </w:tr>
      <w:tr w:rsidR="002F0A87" w:rsidRPr="003D5FB5" w14:paraId="34BC48AD" w14:textId="77777777" w:rsidTr="00480682">
        <w:trPr>
          <w:trHeight w:val="139"/>
        </w:trPr>
        <w:tc>
          <w:tcPr>
            <w:tcW w:w="2830" w:type="dxa"/>
            <w:tcBorders>
              <w:top w:val="single" w:sz="4" w:space="0" w:color="auto"/>
              <w:left w:val="single" w:sz="4" w:space="0" w:color="auto"/>
              <w:bottom w:val="single" w:sz="4" w:space="0" w:color="auto"/>
              <w:right w:val="single" w:sz="4" w:space="0" w:color="auto"/>
            </w:tcBorders>
          </w:tcPr>
          <w:p w14:paraId="2D972B97" w14:textId="77777777" w:rsidR="002F0A87" w:rsidRPr="003D5FB5" w:rsidRDefault="002F0A87" w:rsidP="00EA573A">
            <w:pPr>
              <w:pStyle w:val="NormalWeb"/>
              <w:spacing w:beforeAutospacing="0" w:afterAutospacing="0"/>
              <w:jc w:val="both"/>
              <w:rPr>
                <w:rFonts w:asciiTheme="minorHAnsi" w:eastAsia="Calibri" w:hAnsiTheme="minorHAnsi" w:cstheme="minorHAnsi"/>
                <w:color w:val="000000" w:themeColor="text1"/>
                <w:sz w:val="22"/>
                <w:szCs w:val="22"/>
              </w:rPr>
            </w:pPr>
            <w:r w:rsidRPr="003D5FB5">
              <w:rPr>
                <w:rFonts w:asciiTheme="minorHAnsi" w:eastAsia="Calibri" w:hAnsiTheme="minorHAnsi" w:cstheme="minorHAnsi"/>
                <w:color w:val="000000" w:themeColor="text1"/>
                <w:sz w:val="22"/>
                <w:szCs w:val="22"/>
              </w:rPr>
              <w:t>Oil Top up/Filtration</w:t>
            </w:r>
          </w:p>
        </w:tc>
        <w:tc>
          <w:tcPr>
            <w:tcW w:w="1573" w:type="dxa"/>
            <w:tcBorders>
              <w:top w:val="single" w:sz="6" w:space="0" w:color="000000"/>
              <w:left w:val="single" w:sz="4" w:space="0" w:color="auto"/>
              <w:bottom w:val="single" w:sz="6" w:space="0" w:color="000000"/>
              <w:right w:val="single" w:sz="6" w:space="0" w:color="000000"/>
            </w:tcBorders>
            <w:tcMar>
              <w:top w:w="0" w:type="dxa"/>
              <w:bottom w:w="0" w:type="dxa"/>
            </w:tcMar>
          </w:tcPr>
          <w:p w14:paraId="1B700D55" w14:textId="77777777" w:rsidR="002F0A87" w:rsidRPr="003D5FB5" w:rsidRDefault="002F0A87" w:rsidP="00EA573A">
            <w:pPr>
              <w:pStyle w:val="NormalWeb"/>
              <w:spacing w:beforeAutospacing="0" w:afterAutospacing="0"/>
              <w:jc w:val="center"/>
              <w:rPr>
                <w:rFonts w:asciiTheme="minorHAnsi" w:eastAsia="Calibri" w:hAnsiTheme="minorHAnsi" w:cstheme="minorHAnsi"/>
                <w:color w:val="000000" w:themeColor="text1"/>
                <w:sz w:val="22"/>
                <w:szCs w:val="22"/>
              </w:rPr>
            </w:pPr>
            <w:r w:rsidRPr="003D5FB5">
              <w:rPr>
                <w:rFonts w:asciiTheme="minorHAnsi" w:eastAsia="Calibri" w:hAnsiTheme="minorHAnsi" w:cstheme="minorHAnsi"/>
                <w:color w:val="000000" w:themeColor="text1"/>
                <w:sz w:val="22"/>
                <w:szCs w:val="22"/>
              </w:rPr>
              <w:t>87</w:t>
            </w:r>
          </w:p>
        </w:tc>
      </w:tr>
      <w:tr w:rsidR="002F0A87" w:rsidRPr="003D5FB5" w14:paraId="1AC51723" w14:textId="77777777" w:rsidTr="00480682">
        <w:trPr>
          <w:trHeight w:val="139"/>
        </w:trPr>
        <w:tc>
          <w:tcPr>
            <w:tcW w:w="2830" w:type="dxa"/>
            <w:tcBorders>
              <w:top w:val="single" w:sz="4" w:space="0" w:color="auto"/>
              <w:left w:val="single" w:sz="4" w:space="0" w:color="auto"/>
              <w:bottom w:val="single" w:sz="4" w:space="0" w:color="auto"/>
              <w:right w:val="single" w:sz="4" w:space="0" w:color="auto"/>
            </w:tcBorders>
          </w:tcPr>
          <w:p w14:paraId="363CE3AC" w14:textId="77777777" w:rsidR="002F0A87" w:rsidRPr="003D5FB5" w:rsidRDefault="002F0A87" w:rsidP="00EA573A">
            <w:pPr>
              <w:pStyle w:val="NormalWeb"/>
              <w:spacing w:beforeAutospacing="0" w:afterAutospacing="0"/>
              <w:jc w:val="both"/>
              <w:rPr>
                <w:rFonts w:asciiTheme="minorHAnsi" w:eastAsia="Calibri" w:hAnsiTheme="minorHAnsi" w:cstheme="minorHAnsi"/>
                <w:color w:val="000000" w:themeColor="text1"/>
                <w:sz w:val="22"/>
                <w:szCs w:val="22"/>
              </w:rPr>
            </w:pPr>
            <w:r w:rsidRPr="003D5FB5">
              <w:rPr>
                <w:rFonts w:asciiTheme="minorHAnsi" w:eastAsia="Calibri" w:hAnsiTheme="minorHAnsi" w:cstheme="minorHAnsi"/>
                <w:color w:val="000000" w:themeColor="text1"/>
                <w:sz w:val="22"/>
                <w:szCs w:val="22"/>
              </w:rPr>
              <w:t xml:space="preserve">Breather Replacement </w:t>
            </w:r>
          </w:p>
        </w:tc>
        <w:tc>
          <w:tcPr>
            <w:tcW w:w="1573" w:type="dxa"/>
            <w:tcBorders>
              <w:top w:val="single" w:sz="6" w:space="0" w:color="000000"/>
              <w:left w:val="single" w:sz="4" w:space="0" w:color="auto"/>
              <w:bottom w:val="single" w:sz="6" w:space="0" w:color="000000"/>
              <w:right w:val="single" w:sz="6" w:space="0" w:color="000000"/>
            </w:tcBorders>
            <w:tcMar>
              <w:top w:w="0" w:type="dxa"/>
              <w:bottom w:w="0" w:type="dxa"/>
            </w:tcMar>
          </w:tcPr>
          <w:p w14:paraId="58F71A9E" w14:textId="77777777" w:rsidR="002F0A87" w:rsidRPr="003D5FB5" w:rsidRDefault="002F0A87" w:rsidP="00EA573A">
            <w:pPr>
              <w:pStyle w:val="NormalWeb"/>
              <w:spacing w:beforeAutospacing="0" w:afterAutospacing="0"/>
              <w:jc w:val="center"/>
              <w:rPr>
                <w:rFonts w:asciiTheme="minorHAnsi" w:eastAsia="Calibri" w:hAnsiTheme="minorHAnsi" w:cstheme="minorHAnsi"/>
                <w:color w:val="000000" w:themeColor="text1"/>
                <w:sz w:val="22"/>
                <w:szCs w:val="22"/>
              </w:rPr>
            </w:pPr>
            <w:r w:rsidRPr="003D5FB5">
              <w:rPr>
                <w:rFonts w:asciiTheme="minorHAnsi" w:eastAsia="Calibri" w:hAnsiTheme="minorHAnsi" w:cstheme="minorHAnsi"/>
                <w:color w:val="000000" w:themeColor="text1"/>
                <w:sz w:val="22"/>
                <w:szCs w:val="22"/>
              </w:rPr>
              <w:t>61</w:t>
            </w:r>
          </w:p>
        </w:tc>
      </w:tr>
      <w:tr w:rsidR="002F0A87" w:rsidRPr="003D5FB5" w14:paraId="2BF5C2B2" w14:textId="77777777" w:rsidTr="00480682">
        <w:trPr>
          <w:trHeight w:val="139"/>
        </w:trPr>
        <w:tc>
          <w:tcPr>
            <w:tcW w:w="2830" w:type="dxa"/>
            <w:tcBorders>
              <w:top w:val="single" w:sz="4" w:space="0" w:color="auto"/>
              <w:left w:val="single" w:sz="4" w:space="0" w:color="auto"/>
              <w:bottom w:val="single" w:sz="4" w:space="0" w:color="auto"/>
              <w:right w:val="single" w:sz="4" w:space="0" w:color="auto"/>
            </w:tcBorders>
          </w:tcPr>
          <w:p w14:paraId="1615573C" w14:textId="77777777" w:rsidR="002F0A87" w:rsidRPr="003D5FB5" w:rsidRDefault="002F0A87" w:rsidP="00EA573A">
            <w:pPr>
              <w:pStyle w:val="NormalWeb"/>
              <w:spacing w:beforeAutospacing="0" w:afterAutospacing="0"/>
              <w:jc w:val="both"/>
              <w:rPr>
                <w:rFonts w:asciiTheme="minorHAnsi" w:eastAsia="Calibri" w:hAnsiTheme="minorHAnsi" w:cstheme="minorHAnsi"/>
                <w:color w:val="000000" w:themeColor="text1"/>
                <w:sz w:val="22"/>
                <w:szCs w:val="22"/>
              </w:rPr>
            </w:pPr>
            <w:r w:rsidRPr="003D5FB5">
              <w:rPr>
                <w:rFonts w:asciiTheme="minorHAnsi" w:eastAsia="Calibri" w:hAnsiTheme="minorHAnsi" w:cstheme="minorHAnsi"/>
                <w:color w:val="000000" w:themeColor="text1"/>
                <w:sz w:val="22"/>
                <w:szCs w:val="22"/>
              </w:rPr>
              <w:t>PTR Overhauling</w:t>
            </w:r>
          </w:p>
        </w:tc>
        <w:tc>
          <w:tcPr>
            <w:tcW w:w="1573" w:type="dxa"/>
            <w:tcBorders>
              <w:top w:val="single" w:sz="6" w:space="0" w:color="000000"/>
              <w:left w:val="single" w:sz="4" w:space="0" w:color="auto"/>
              <w:bottom w:val="single" w:sz="6" w:space="0" w:color="000000"/>
              <w:right w:val="single" w:sz="6" w:space="0" w:color="000000"/>
            </w:tcBorders>
            <w:tcMar>
              <w:top w:w="0" w:type="dxa"/>
              <w:bottom w:w="0" w:type="dxa"/>
            </w:tcMar>
          </w:tcPr>
          <w:p w14:paraId="4BC05124" w14:textId="77777777" w:rsidR="002F0A87" w:rsidRPr="003D5FB5" w:rsidRDefault="002F0A87" w:rsidP="00EA573A">
            <w:pPr>
              <w:pStyle w:val="NormalWeb"/>
              <w:spacing w:beforeAutospacing="0" w:afterAutospacing="0"/>
              <w:jc w:val="center"/>
              <w:rPr>
                <w:rFonts w:asciiTheme="minorHAnsi" w:eastAsia="Calibri" w:hAnsiTheme="minorHAnsi" w:cstheme="minorHAnsi"/>
                <w:color w:val="000000" w:themeColor="text1"/>
                <w:sz w:val="22"/>
                <w:szCs w:val="22"/>
              </w:rPr>
            </w:pPr>
            <w:r w:rsidRPr="003D5FB5">
              <w:rPr>
                <w:rFonts w:asciiTheme="minorHAnsi" w:eastAsia="Calibri" w:hAnsiTheme="minorHAnsi" w:cstheme="minorHAnsi"/>
                <w:color w:val="000000" w:themeColor="text1"/>
                <w:sz w:val="22"/>
                <w:szCs w:val="22"/>
              </w:rPr>
              <w:t>39</w:t>
            </w:r>
          </w:p>
        </w:tc>
      </w:tr>
      <w:tr w:rsidR="002F0A87" w:rsidRPr="003D5FB5" w14:paraId="41996CD5" w14:textId="77777777" w:rsidTr="00480682">
        <w:trPr>
          <w:trHeight w:val="38"/>
        </w:trPr>
        <w:tc>
          <w:tcPr>
            <w:tcW w:w="2830" w:type="dxa"/>
            <w:tcBorders>
              <w:top w:val="single" w:sz="4" w:space="0" w:color="auto"/>
              <w:left w:val="single" w:sz="4" w:space="0" w:color="auto"/>
              <w:bottom w:val="single" w:sz="4" w:space="0" w:color="auto"/>
              <w:right w:val="single" w:sz="4" w:space="0" w:color="auto"/>
            </w:tcBorders>
          </w:tcPr>
          <w:p w14:paraId="0E3B00BB" w14:textId="77777777" w:rsidR="002F0A87" w:rsidRPr="003D5FB5" w:rsidRDefault="002F0A87" w:rsidP="00EA573A">
            <w:pPr>
              <w:pStyle w:val="NormalWeb"/>
              <w:spacing w:beforeAutospacing="0" w:afterAutospacing="0"/>
              <w:jc w:val="both"/>
              <w:rPr>
                <w:rFonts w:asciiTheme="minorHAnsi" w:eastAsia="Calibri" w:hAnsiTheme="minorHAnsi" w:cstheme="minorHAnsi"/>
                <w:color w:val="000000" w:themeColor="text1"/>
                <w:sz w:val="22"/>
                <w:szCs w:val="22"/>
              </w:rPr>
            </w:pPr>
            <w:r w:rsidRPr="003D5FB5">
              <w:rPr>
                <w:rFonts w:asciiTheme="minorHAnsi" w:eastAsia="Calibri" w:hAnsiTheme="minorHAnsi" w:cstheme="minorHAnsi"/>
                <w:color w:val="000000" w:themeColor="text1"/>
                <w:sz w:val="22"/>
                <w:szCs w:val="22"/>
              </w:rPr>
              <w:t xml:space="preserve">PTR Upgraded_ </w:t>
            </w:r>
            <w:proofErr w:type="spellStart"/>
            <w:r w:rsidRPr="003D5FB5">
              <w:rPr>
                <w:rFonts w:asciiTheme="minorHAnsi" w:eastAsia="Calibri" w:hAnsiTheme="minorHAnsi" w:cstheme="minorHAnsi"/>
                <w:color w:val="000000" w:themeColor="text1"/>
                <w:sz w:val="22"/>
                <w:szCs w:val="22"/>
              </w:rPr>
              <w:t>Opex</w:t>
            </w:r>
            <w:proofErr w:type="spellEnd"/>
          </w:p>
        </w:tc>
        <w:tc>
          <w:tcPr>
            <w:tcW w:w="1573" w:type="dxa"/>
            <w:tcBorders>
              <w:top w:val="single" w:sz="6" w:space="0" w:color="000000"/>
              <w:left w:val="single" w:sz="4" w:space="0" w:color="auto"/>
              <w:bottom w:val="single" w:sz="6" w:space="0" w:color="000000"/>
              <w:right w:val="single" w:sz="6" w:space="0" w:color="000000"/>
            </w:tcBorders>
            <w:tcMar>
              <w:top w:w="0" w:type="dxa"/>
              <w:bottom w:w="0" w:type="dxa"/>
            </w:tcMar>
          </w:tcPr>
          <w:p w14:paraId="0897C627" w14:textId="77777777" w:rsidR="002F0A87" w:rsidRPr="003D5FB5" w:rsidRDefault="002F0A87" w:rsidP="00EA573A">
            <w:pPr>
              <w:pStyle w:val="NormalWeb"/>
              <w:spacing w:beforeAutospacing="0" w:afterAutospacing="0"/>
              <w:jc w:val="center"/>
              <w:rPr>
                <w:rFonts w:asciiTheme="minorHAnsi" w:eastAsia="Calibri" w:hAnsiTheme="minorHAnsi" w:cstheme="minorHAnsi"/>
                <w:color w:val="000000" w:themeColor="text1"/>
                <w:sz w:val="22"/>
                <w:szCs w:val="22"/>
              </w:rPr>
            </w:pPr>
            <w:r w:rsidRPr="003D5FB5">
              <w:rPr>
                <w:rFonts w:asciiTheme="minorHAnsi" w:eastAsia="Calibri" w:hAnsiTheme="minorHAnsi" w:cstheme="minorHAnsi"/>
                <w:color w:val="000000" w:themeColor="text1"/>
                <w:sz w:val="22"/>
                <w:szCs w:val="22"/>
              </w:rPr>
              <w:t>17</w:t>
            </w:r>
          </w:p>
        </w:tc>
      </w:tr>
      <w:tr w:rsidR="002F0A87" w:rsidRPr="003D5FB5" w14:paraId="503AF126" w14:textId="77777777" w:rsidTr="00480682">
        <w:trPr>
          <w:trHeight w:val="132"/>
        </w:trPr>
        <w:tc>
          <w:tcPr>
            <w:tcW w:w="2830" w:type="dxa"/>
            <w:tcBorders>
              <w:top w:val="single" w:sz="4" w:space="0" w:color="auto"/>
              <w:left w:val="single" w:sz="4" w:space="0" w:color="auto"/>
              <w:bottom w:val="single" w:sz="4" w:space="0" w:color="auto"/>
              <w:right w:val="single" w:sz="4" w:space="0" w:color="auto"/>
            </w:tcBorders>
          </w:tcPr>
          <w:p w14:paraId="35F0F6BB" w14:textId="77777777" w:rsidR="002F0A87" w:rsidRPr="003D5FB5" w:rsidRDefault="002F0A87" w:rsidP="00EA573A">
            <w:pPr>
              <w:pStyle w:val="NormalWeb"/>
              <w:jc w:val="both"/>
              <w:rPr>
                <w:rFonts w:asciiTheme="minorHAnsi" w:eastAsia="Calibri" w:hAnsiTheme="minorHAnsi" w:cstheme="minorHAnsi"/>
                <w:color w:val="000000" w:themeColor="text1"/>
                <w:sz w:val="22"/>
                <w:szCs w:val="22"/>
              </w:rPr>
            </w:pPr>
            <w:r w:rsidRPr="003D5FB5">
              <w:rPr>
                <w:rFonts w:asciiTheme="minorHAnsi" w:eastAsia="Calibri" w:hAnsiTheme="minorHAnsi" w:cstheme="minorHAnsi"/>
                <w:color w:val="000000" w:themeColor="text1"/>
                <w:sz w:val="22"/>
                <w:szCs w:val="22"/>
              </w:rPr>
              <w:t>Residual Life Analysis of PTR</w:t>
            </w:r>
          </w:p>
        </w:tc>
        <w:tc>
          <w:tcPr>
            <w:tcW w:w="1573" w:type="dxa"/>
            <w:tcBorders>
              <w:top w:val="single" w:sz="6" w:space="0" w:color="000000"/>
              <w:left w:val="single" w:sz="4" w:space="0" w:color="auto"/>
              <w:bottom w:val="single" w:sz="6" w:space="0" w:color="000000"/>
              <w:right w:val="single" w:sz="6" w:space="0" w:color="000000"/>
            </w:tcBorders>
            <w:tcMar>
              <w:top w:w="0" w:type="dxa"/>
              <w:bottom w:w="0" w:type="dxa"/>
            </w:tcMar>
          </w:tcPr>
          <w:p w14:paraId="7836251E" w14:textId="77777777" w:rsidR="002F0A87" w:rsidRPr="003D5FB5" w:rsidRDefault="002F0A87" w:rsidP="00EA573A">
            <w:pPr>
              <w:pStyle w:val="NormalWeb"/>
              <w:jc w:val="center"/>
              <w:rPr>
                <w:rFonts w:asciiTheme="minorHAnsi" w:eastAsia="Calibri" w:hAnsiTheme="minorHAnsi" w:cstheme="minorHAnsi"/>
                <w:color w:val="000000" w:themeColor="text1"/>
                <w:sz w:val="22"/>
                <w:szCs w:val="22"/>
              </w:rPr>
            </w:pPr>
            <w:r w:rsidRPr="003D5FB5">
              <w:rPr>
                <w:rFonts w:asciiTheme="minorHAnsi" w:eastAsia="Calibri" w:hAnsiTheme="minorHAnsi" w:cstheme="minorHAnsi"/>
                <w:color w:val="000000" w:themeColor="text1"/>
                <w:sz w:val="22"/>
                <w:szCs w:val="22"/>
              </w:rPr>
              <w:t>548</w:t>
            </w:r>
          </w:p>
        </w:tc>
      </w:tr>
    </w:tbl>
    <w:p w14:paraId="774B7DFA" w14:textId="297059A7" w:rsidR="003444D4" w:rsidRDefault="00EA573A" w:rsidP="00BA576C">
      <w:pPr>
        <w:tabs>
          <w:tab w:val="left" w:pos="426"/>
        </w:tabs>
        <w:spacing w:line="360" w:lineRule="auto"/>
        <w:ind w:right="-23"/>
        <w:jc w:val="both"/>
        <w:rPr>
          <w:rFonts w:asciiTheme="minorHAnsi" w:hAnsiTheme="minorHAnsi" w:cstheme="minorHAnsi"/>
          <w:sz w:val="22"/>
          <w:szCs w:val="22"/>
        </w:rPr>
      </w:pPr>
      <w:r w:rsidRPr="003D5FB5">
        <w:rPr>
          <w:rFonts w:asciiTheme="minorHAnsi" w:hAnsiTheme="minorHAnsi" w:cstheme="minorHAnsi"/>
          <w:noProof/>
          <w:sz w:val="22"/>
          <w:szCs w:val="22"/>
          <w:lang w:val="en-IN" w:eastAsia="en-IN"/>
        </w:rPr>
        <w:drawing>
          <wp:anchor distT="0" distB="0" distL="113665" distR="114300" simplePos="0" relativeHeight="251965952" behindDoc="0" locked="0" layoutInCell="0" allowOverlap="1" wp14:anchorId="7BAD9C34" wp14:editId="36B5BC17">
            <wp:simplePos x="0" y="0"/>
            <wp:positionH relativeFrom="column">
              <wp:posOffset>3585210</wp:posOffset>
            </wp:positionH>
            <wp:positionV relativeFrom="paragraph">
              <wp:posOffset>67945</wp:posOffset>
            </wp:positionV>
            <wp:extent cx="2409825" cy="3324225"/>
            <wp:effectExtent l="76200" t="76200" r="142875" b="142875"/>
            <wp:wrapTight wrapText="bothSides">
              <wp:wrapPolygon edited="0">
                <wp:start x="-342" y="-495"/>
                <wp:lineTo x="-683" y="-371"/>
                <wp:lineTo x="-683" y="21909"/>
                <wp:lineTo x="-342" y="22405"/>
                <wp:lineTo x="22368" y="22405"/>
                <wp:lineTo x="22710" y="21538"/>
                <wp:lineTo x="22710" y="1609"/>
                <wp:lineTo x="22368" y="-248"/>
                <wp:lineTo x="22368" y="-495"/>
                <wp:lineTo x="-342" y="-495"/>
              </wp:wrapPolygon>
            </wp:wrapTight>
            <wp:docPr id="212922803" name="Picture 19"/>
            <wp:cNvGraphicFramePr/>
            <a:graphic xmlns:a="http://schemas.openxmlformats.org/drawingml/2006/main">
              <a:graphicData uri="http://schemas.openxmlformats.org/drawingml/2006/picture">
                <pic:pic xmlns:pic="http://schemas.openxmlformats.org/drawingml/2006/picture">
                  <pic:nvPicPr>
                    <pic:cNvPr id="24" name="Picture 19"/>
                    <pic:cNvPicPr/>
                  </pic:nvPicPr>
                  <pic:blipFill>
                    <a:blip r:embed="rId31"/>
                    <a:stretch/>
                  </pic:blipFill>
                  <pic:spPr>
                    <a:xfrm>
                      <a:off x="0" y="0"/>
                      <a:ext cx="2409825" cy="3324225"/>
                    </a:xfrm>
                    <a:prstGeom prst="rect">
                      <a:avLst/>
                    </a:prstGeom>
                    <a:ln w="38100" cap="sq">
                      <a:solidFill>
                        <a:srgbClr val="000000"/>
                      </a:solidFill>
                      <a:miter/>
                    </a:ln>
                    <a:effectLst>
                      <a:outerShdw blurRad="50760" dist="37674" dir="2700000" algn="tl" rotWithShape="0">
                        <a:srgbClr val="000000">
                          <a:alpha val="43000"/>
                        </a:srgbClr>
                      </a:outerShdw>
                    </a:effectLst>
                  </pic:spPr>
                </pic:pic>
              </a:graphicData>
            </a:graphic>
            <wp14:sizeRelH relativeFrom="margin">
              <wp14:pctWidth>0</wp14:pctWidth>
            </wp14:sizeRelH>
            <wp14:sizeRelV relativeFrom="margin">
              <wp14:pctHeight>0</wp14:pctHeight>
            </wp14:sizeRelV>
          </wp:anchor>
        </w:drawing>
      </w:r>
    </w:p>
    <w:p w14:paraId="7F5679B1" w14:textId="77777777" w:rsidR="00E02343" w:rsidRDefault="00480682" w:rsidP="00480682">
      <w:pPr>
        <w:tabs>
          <w:tab w:val="left" w:pos="426"/>
        </w:tabs>
        <w:spacing w:line="360" w:lineRule="auto"/>
        <w:ind w:right="-23"/>
        <w:jc w:val="both"/>
        <w:rPr>
          <w:rFonts w:asciiTheme="minorHAnsi" w:hAnsiTheme="minorHAnsi" w:cstheme="minorHAnsi"/>
          <w:sz w:val="22"/>
          <w:szCs w:val="22"/>
        </w:rPr>
      </w:pPr>
      <w:r>
        <w:rPr>
          <w:rFonts w:asciiTheme="minorHAnsi" w:hAnsiTheme="minorHAnsi" w:cstheme="minorHAnsi"/>
          <w:sz w:val="22"/>
          <w:szCs w:val="22"/>
        </w:rPr>
        <w:t xml:space="preserve">        </w:t>
      </w:r>
    </w:p>
    <w:p w14:paraId="71E9FAF7" w14:textId="77777777" w:rsidR="00E02343" w:rsidRDefault="00E02343" w:rsidP="00480682">
      <w:pPr>
        <w:tabs>
          <w:tab w:val="left" w:pos="426"/>
        </w:tabs>
        <w:spacing w:line="360" w:lineRule="auto"/>
        <w:ind w:right="-23"/>
        <w:jc w:val="both"/>
        <w:rPr>
          <w:rFonts w:asciiTheme="minorHAnsi" w:hAnsiTheme="minorHAnsi" w:cstheme="minorHAnsi"/>
          <w:sz w:val="22"/>
          <w:szCs w:val="22"/>
        </w:rPr>
      </w:pPr>
    </w:p>
    <w:p w14:paraId="1D5160C8" w14:textId="77777777" w:rsidR="00E02343" w:rsidRDefault="00E02343" w:rsidP="00480682">
      <w:pPr>
        <w:tabs>
          <w:tab w:val="left" w:pos="426"/>
        </w:tabs>
        <w:spacing w:line="360" w:lineRule="auto"/>
        <w:ind w:right="-23"/>
        <w:jc w:val="both"/>
        <w:rPr>
          <w:rFonts w:asciiTheme="minorHAnsi" w:hAnsiTheme="minorHAnsi" w:cstheme="minorHAnsi"/>
          <w:sz w:val="22"/>
          <w:szCs w:val="22"/>
        </w:rPr>
      </w:pPr>
    </w:p>
    <w:p w14:paraId="0C14B588" w14:textId="77777777" w:rsidR="00E02343" w:rsidRDefault="00E02343" w:rsidP="00480682">
      <w:pPr>
        <w:tabs>
          <w:tab w:val="left" w:pos="426"/>
        </w:tabs>
        <w:spacing w:line="360" w:lineRule="auto"/>
        <w:ind w:right="-23"/>
        <w:jc w:val="both"/>
        <w:rPr>
          <w:rFonts w:asciiTheme="minorHAnsi" w:hAnsiTheme="minorHAnsi" w:cstheme="minorHAnsi"/>
          <w:sz w:val="22"/>
          <w:szCs w:val="22"/>
        </w:rPr>
      </w:pPr>
    </w:p>
    <w:p w14:paraId="2E5C044E" w14:textId="77777777" w:rsidR="00E02343" w:rsidRDefault="00E02343" w:rsidP="00480682">
      <w:pPr>
        <w:tabs>
          <w:tab w:val="left" w:pos="426"/>
        </w:tabs>
        <w:spacing w:line="360" w:lineRule="auto"/>
        <w:ind w:right="-23"/>
        <w:jc w:val="both"/>
        <w:rPr>
          <w:rFonts w:asciiTheme="minorHAnsi" w:hAnsiTheme="minorHAnsi" w:cstheme="minorHAnsi"/>
          <w:sz w:val="22"/>
          <w:szCs w:val="22"/>
        </w:rPr>
      </w:pPr>
    </w:p>
    <w:p w14:paraId="6420AA65" w14:textId="77777777" w:rsidR="00E02343" w:rsidRDefault="00E02343" w:rsidP="00480682">
      <w:pPr>
        <w:tabs>
          <w:tab w:val="left" w:pos="426"/>
        </w:tabs>
        <w:spacing w:line="360" w:lineRule="auto"/>
        <w:ind w:right="-23"/>
        <w:jc w:val="both"/>
        <w:rPr>
          <w:rFonts w:asciiTheme="minorHAnsi" w:hAnsiTheme="minorHAnsi" w:cstheme="minorHAnsi"/>
          <w:sz w:val="22"/>
          <w:szCs w:val="22"/>
        </w:rPr>
      </w:pPr>
    </w:p>
    <w:p w14:paraId="2FB2785C" w14:textId="77777777" w:rsidR="00E02343" w:rsidRDefault="00E02343" w:rsidP="00480682">
      <w:pPr>
        <w:tabs>
          <w:tab w:val="left" w:pos="426"/>
        </w:tabs>
        <w:spacing w:line="360" w:lineRule="auto"/>
        <w:ind w:right="-23"/>
        <w:jc w:val="both"/>
        <w:rPr>
          <w:rFonts w:asciiTheme="minorHAnsi" w:hAnsiTheme="minorHAnsi" w:cstheme="minorHAnsi"/>
          <w:sz w:val="22"/>
          <w:szCs w:val="22"/>
        </w:rPr>
      </w:pPr>
    </w:p>
    <w:p w14:paraId="2497778F" w14:textId="77777777" w:rsidR="00E02343" w:rsidRDefault="00E02343" w:rsidP="00480682">
      <w:pPr>
        <w:tabs>
          <w:tab w:val="left" w:pos="426"/>
        </w:tabs>
        <w:spacing w:line="360" w:lineRule="auto"/>
        <w:ind w:right="-23"/>
        <w:jc w:val="both"/>
        <w:rPr>
          <w:rFonts w:asciiTheme="minorHAnsi" w:hAnsiTheme="minorHAnsi" w:cstheme="minorHAnsi"/>
          <w:sz w:val="22"/>
          <w:szCs w:val="22"/>
        </w:rPr>
      </w:pPr>
    </w:p>
    <w:p w14:paraId="608C381C" w14:textId="77777777" w:rsidR="00E02343" w:rsidRDefault="00E02343" w:rsidP="00480682">
      <w:pPr>
        <w:tabs>
          <w:tab w:val="left" w:pos="426"/>
        </w:tabs>
        <w:spacing w:line="360" w:lineRule="auto"/>
        <w:ind w:right="-23"/>
        <w:jc w:val="both"/>
        <w:rPr>
          <w:rFonts w:asciiTheme="minorHAnsi" w:hAnsiTheme="minorHAnsi" w:cstheme="minorHAnsi"/>
          <w:sz w:val="22"/>
          <w:szCs w:val="22"/>
        </w:rPr>
      </w:pPr>
    </w:p>
    <w:p w14:paraId="15EEFC50" w14:textId="77777777" w:rsidR="00E02343" w:rsidRDefault="00E02343" w:rsidP="00480682">
      <w:pPr>
        <w:tabs>
          <w:tab w:val="left" w:pos="426"/>
        </w:tabs>
        <w:spacing w:line="360" w:lineRule="auto"/>
        <w:ind w:right="-23"/>
        <w:jc w:val="both"/>
        <w:rPr>
          <w:rFonts w:asciiTheme="minorHAnsi" w:hAnsiTheme="minorHAnsi" w:cstheme="minorHAnsi"/>
          <w:sz w:val="22"/>
          <w:szCs w:val="22"/>
        </w:rPr>
      </w:pPr>
    </w:p>
    <w:p w14:paraId="4BFA3402" w14:textId="77777777" w:rsidR="00E02343" w:rsidRDefault="00E02343" w:rsidP="00480682">
      <w:pPr>
        <w:tabs>
          <w:tab w:val="left" w:pos="426"/>
        </w:tabs>
        <w:spacing w:line="360" w:lineRule="auto"/>
        <w:ind w:right="-23"/>
        <w:jc w:val="both"/>
        <w:rPr>
          <w:rFonts w:asciiTheme="minorHAnsi" w:hAnsiTheme="minorHAnsi" w:cstheme="minorHAnsi"/>
          <w:sz w:val="22"/>
          <w:szCs w:val="22"/>
        </w:rPr>
      </w:pPr>
    </w:p>
    <w:p w14:paraId="0FABDF9C" w14:textId="77777777" w:rsidR="00E02343" w:rsidRDefault="00E02343" w:rsidP="00480682">
      <w:pPr>
        <w:tabs>
          <w:tab w:val="left" w:pos="426"/>
        </w:tabs>
        <w:spacing w:line="360" w:lineRule="auto"/>
        <w:ind w:right="-23"/>
        <w:jc w:val="both"/>
        <w:rPr>
          <w:rFonts w:asciiTheme="minorHAnsi" w:hAnsiTheme="minorHAnsi" w:cstheme="minorHAnsi"/>
          <w:sz w:val="22"/>
          <w:szCs w:val="22"/>
        </w:rPr>
      </w:pPr>
    </w:p>
    <w:p w14:paraId="633F6F8C" w14:textId="77777777" w:rsidR="00E02343" w:rsidRDefault="00E02343" w:rsidP="00480682">
      <w:pPr>
        <w:tabs>
          <w:tab w:val="left" w:pos="426"/>
        </w:tabs>
        <w:spacing w:line="360" w:lineRule="auto"/>
        <w:ind w:right="-23"/>
        <w:jc w:val="both"/>
        <w:rPr>
          <w:rFonts w:asciiTheme="minorHAnsi" w:hAnsiTheme="minorHAnsi" w:cstheme="minorHAnsi"/>
          <w:sz w:val="22"/>
          <w:szCs w:val="22"/>
        </w:rPr>
      </w:pPr>
    </w:p>
    <w:p w14:paraId="3764EFAB" w14:textId="6194C083" w:rsidR="002F0A87" w:rsidRPr="003D5FB5" w:rsidRDefault="00E02343" w:rsidP="00480682">
      <w:pPr>
        <w:tabs>
          <w:tab w:val="left" w:pos="426"/>
        </w:tabs>
        <w:spacing w:line="360" w:lineRule="auto"/>
        <w:ind w:right="-23"/>
        <w:jc w:val="both"/>
        <w:rPr>
          <w:rFonts w:asciiTheme="minorHAnsi" w:hAnsiTheme="minorHAnsi" w:cstheme="minorHAnsi"/>
          <w:sz w:val="22"/>
          <w:szCs w:val="22"/>
        </w:rPr>
      </w:pPr>
      <w:r>
        <w:rPr>
          <w:rFonts w:asciiTheme="minorHAnsi" w:hAnsiTheme="minorHAnsi" w:cstheme="minorHAnsi"/>
          <w:sz w:val="22"/>
          <w:szCs w:val="22"/>
        </w:rPr>
        <w:t xml:space="preserve">                   </w:t>
      </w:r>
      <w:r w:rsidR="002F0A87" w:rsidRPr="003D5FB5">
        <w:rPr>
          <w:rFonts w:asciiTheme="minorHAnsi" w:hAnsiTheme="minorHAnsi" w:cstheme="minorHAnsi"/>
          <w:sz w:val="22"/>
          <w:szCs w:val="22"/>
        </w:rPr>
        <w:t>Major maintenance activity done in last financial (FY 2023-24) year as below.</w:t>
      </w:r>
    </w:p>
    <w:p w14:paraId="364B3253" w14:textId="77777777" w:rsidR="002F0A87" w:rsidRPr="003D5FB5" w:rsidRDefault="002F0A87" w:rsidP="002F0A87">
      <w:pPr>
        <w:tabs>
          <w:tab w:val="left" w:pos="426"/>
        </w:tabs>
        <w:spacing w:line="360" w:lineRule="auto"/>
        <w:ind w:left="567" w:right="-23"/>
        <w:jc w:val="both"/>
        <w:rPr>
          <w:rFonts w:asciiTheme="minorHAnsi" w:hAnsiTheme="minorHAnsi" w:cstheme="minorHAnsi"/>
          <w:sz w:val="22"/>
          <w:szCs w:val="22"/>
        </w:rPr>
      </w:pPr>
    </w:p>
    <w:p w14:paraId="7DD668F9" w14:textId="74BA92EA" w:rsidR="002F0A87" w:rsidRPr="003D5FB5" w:rsidRDefault="002F0A87" w:rsidP="00E02343">
      <w:pPr>
        <w:tabs>
          <w:tab w:val="left" w:pos="426"/>
        </w:tabs>
        <w:spacing w:line="360" w:lineRule="auto"/>
        <w:ind w:left="567" w:right="-23"/>
        <w:jc w:val="center"/>
        <w:rPr>
          <w:rFonts w:asciiTheme="minorHAnsi" w:eastAsia="Arial" w:hAnsiTheme="minorHAnsi" w:cstheme="minorHAnsi"/>
          <w:sz w:val="22"/>
          <w:szCs w:val="22"/>
        </w:rPr>
      </w:pPr>
      <w:r w:rsidRPr="003D5FB5">
        <w:rPr>
          <w:rFonts w:asciiTheme="minorHAnsi" w:hAnsiTheme="minorHAnsi" w:cstheme="minorHAnsi"/>
          <w:b/>
          <w:bCs/>
          <w:sz w:val="22"/>
          <w:szCs w:val="22"/>
        </w:rPr>
        <w:t>Table-</w:t>
      </w:r>
      <w:r w:rsidR="00EA573A">
        <w:rPr>
          <w:rFonts w:asciiTheme="minorHAnsi" w:hAnsiTheme="minorHAnsi" w:cstheme="minorHAnsi"/>
          <w:b/>
          <w:bCs/>
          <w:sz w:val="22"/>
          <w:szCs w:val="22"/>
        </w:rPr>
        <w:t>21</w:t>
      </w:r>
      <w:r w:rsidRPr="003D5FB5">
        <w:rPr>
          <w:rFonts w:asciiTheme="minorHAnsi" w:hAnsiTheme="minorHAnsi" w:cstheme="minorHAnsi"/>
          <w:b/>
          <w:bCs/>
          <w:sz w:val="22"/>
          <w:szCs w:val="22"/>
        </w:rPr>
        <w:t xml:space="preserve">: </w:t>
      </w:r>
      <w:r w:rsidRPr="003D5FB5">
        <w:rPr>
          <w:rFonts w:asciiTheme="minorHAnsi" w:eastAsia="Calibri" w:hAnsiTheme="minorHAnsi" w:cstheme="minorHAnsi"/>
          <w:b/>
          <w:bCs/>
          <w:color w:val="000000" w:themeColor="text1"/>
          <w:sz w:val="22"/>
          <w:szCs w:val="22"/>
        </w:rPr>
        <w:t>Major Maintenance Activity done in FY24</w:t>
      </w:r>
    </w:p>
    <w:tbl>
      <w:tblPr>
        <w:tblW w:w="8385" w:type="dxa"/>
        <w:tblInd w:w="701" w:type="dxa"/>
        <w:tblLayout w:type="fixed"/>
        <w:tblCellMar>
          <w:left w:w="105" w:type="dxa"/>
          <w:right w:w="105" w:type="dxa"/>
        </w:tblCellMar>
        <w:tblLook w:val="04A0" w:firstRow="1" w:lastRow="0" w:firstColumn="1" w:lastColumn="0" w:noHBand="0" w:noVBand="1"/>
      </w:tblPr>
      <w:tblGrid>
        <w:gridCol w:w="851"/>
        <w:gridCol w:w="4819"/>
        <w:gridCol w:w="1843"/>
        <w:gridCol w:w="872"/>
      </w:tblGrid>
      <w:tr w:rsidR="002F0A87" w:rsidRPr="003D5FB5" w14:paraId="1F4BC430" w14:textId="77777777" w:rsidTr="00EA573A">
        <w:trPr>
          <w:trHeight w:val="287"/>
        </w:trPr>
        <w:tc>
          <w:tcPr>
            <w:tcW w:w="851" w:type="dxa"/>
            <w:tcBorders>
              <w:top w:val="single" w:sz="6" w:space="0" w:color="000000"/>
              <w:left w:val="single" w:sz="6" w:space="0" w:color="000000"/>
              <w:bottom w:val="single" w:sz="6" w:space="0" w:color="000000"/>
              <w:right w:val="single" w:sz="6" w:space="0" w:color="000000"/>
            </w:tcBorders>
            <w:shd w:val="clear" w:color="auto" w:fill="95B3D7" w:themeFill="accent1" w:themeFillTint="99"/>
            <w:vAlign w:val="center"/>
          </w:tcPr>
          <w:p w14:paraId="25861BF5" w14:textId="77777777" w:rsidR="002F0A87" w:rsidRPr="003D5FB5" w:rsidRDefault="002F0A87" w:rsidP="002F0A87">
            <w:pPr>
              <w:spacing w:line="360" w:lineRule="auto"/>
              <w:jc w:val="center"/>
              <w:rPr>
                <w:rFonts w:asciiTheme="minorHAnsi" w:eastAsia="Calibri" w:hAnsiTheme="minorHAnsi" w:cstheme="minorHAnsi"/>
                <w:sz w:val="22"/>
                <w:szCs w:val="22"/>
              </w:rPr>
            </w:pPr>
            <w:r w:rsidRPr="003D5FB5">
              <w:rPr>
                <w:rFonts w:asciiTheme="minorHAnsi" w:eastAsia="Calibri" w:hAnsiTheme="minorHAnsi" w:cstheme="minorHAnsi"/>
                <w:b/>
                <w:bCs/>
                <w:sz w:val="22"/>
                <w:szCs w:val="22"/>
              </w:rPr>
              <w:t>Sr. No.</w:t>
            </w:r>
          </w:p>
        </w:tc>
        <w:tc>
          <w:tcPr>
            <w:tcW w:w="4819" w:type="dxa"/>
            <w:tcBorders>
              <w:top w:val="single" w:sz="6" w:space="0" w:color="000000"/>
              <w:left w:val="single" w:sz="6" w:space="0" w:color="000000"/>
              <w:bottom w:val="single" w:sz="6" w:space="0" w:color="000000"/>
              <w:right w:val="single" w:sz="6" w:space="0" w:color="000000"/>
            </w:tcBorders>
            <w:shd w:val="clear" w:color="auto" w:fill="95B3D7" w:themeFill="accent1" w:themeFillTint="99"/>
            <w:vAlign w:val="center"/>
          </w:tcPr>
          <w:p w14:paraId="24EB5774" w14:textId="77777777" w:rsidR="002F0A87" w:rsidRPr="003D5FB5" w:rsidRDefault="002F0A87" w:rsidP="002F0A87">
            <w:pPr>
              <w:spacing w:line="360" w:lineRule="auto"/>
              <w:jc w:val="center"/>
              <w:rPr>
                <w:rFonts w:asciiTheme="minorHAnsi" w:eastAsia="Calibri" w:hAnsiTheme="minorHAnsi" w:cstheme="minorHAnsi"/>
                <w:sz w:val="22"/>
                <w:szCs w:val="22"/>
              </w:rPr>
            </w:pPr>
            <w:r w:rsidRPr="003D5FB5">
              <w:rPr>
                <w:rFonts w:asciiTheme="minorHAnsi" w:eastAsia="Calibri" w:hAnsiTheme="minorHAnsi" w:cstheme="minorHAnsi"/>
                <w:b/>
                <w:bCs/>
                <w:sz w:val="22"/>
                <w:szCs w:val="22"/>
              </w:rPr>
              <w:t>List of Activity</w:t>
            </w:r>
          </w:p>
        </w:tc>
        <w:tc>
          <w:tcPr>
            <w:tcW w:w="1843" w:type="dxa"/>
            <w:tcBorders>
              <w:top w:val="single" w:sz="6" w:space="0" w:color="000000"/>
              <w:left w:val="single" w:sz="6" w:space="0" w:color="000000"/>
              <w:bottom w:val="single" w:sz="6" w:space="0" w:color="000000"/>
              <w:right w:val="single" w:sz="6" w:space="0" w:color="000000"/>
            </w:tcBorders>
            <w:shd w:val="clear" w:color="auto" w:fill="95B3D7" w:themeFill="accent1" w:themeFillTint="99"/>
            <w:vAlign w:val="center"/>
          </w:tcPr>
          <w:p w14:paraId="7386C19F" w14:textId="77777777" w:rsidR="002F0A87" w:rsidRPr="003D5FB5" w:rsidRDefault="002F0A87" w:rsidP="002F0A87">
            <w:pPr>
              <w:spacing w:line="360" w:lineRule="auto"/>
              <w:jc w:val="center"/>
              <w:rPr>
                <w:rFonts w:asciiTheme="minorHAnsi" w:eastAsia="Calibri" w:hAnsiTheme="minorHAnsi" w:cstheme="minorHAnsi"/>
                <w:sz w:val="22"/>
                <w:szCs w:val="22"/>
              </w:rPr>
            </w:pPr>
            <w:r w:rsidRPr="003D5FB5">
              <w:rPr>
                <w:rFonts w:asciiTheme="minorHAnsi" w:eastAsia="Calibri" w:hAnsiTheme="minorHAnsi" w:cstheme="minorHAnsi"/>
                <w:b/>
                <w:bCs/>
                <w:sz w:val="22"/>
                <w:szCs w:val="22"/>
              </w:rPr>
              <w:t>Scheme</w:t>
            </w:r>
          </w:p>
        </w:tc>
        <w:tc>
          <w:tcPr>
            <w:tcW w:w="872" w:type="dxa"/>
            <w:tcBorders>
              <w:top w:val="single" w:sz="6" w:space="0" w:color="000000"/>
              <w:left w:val="single" w:sz="6" w:space="0" w:color="000000"/>
              <w:bottom w:val="single" w:sz="6" w:space="0" w:color="000000"/>
              <w:right w:val="single" w:sz="6" w:space="0" w:color="000000"/>
            </w:tcBorders>
            <w:shd w:val="clear" w:color="auto" w:fill="95B3D7" w:themeFill="accent1" w:themeFillTint="99"/>
            <w:vAlign w:val="center"/>
          </w:tcPr>
          <w:p w14:paraId="13BEF1B7" w14:textId="77777777" w:rsidR="002F0A87" w:rsidRPr="003D5FB5" w:rsidRDefault="002F0A87" w:rsidP="002F0A87">
            <w:pPr>
              <w:spacing w:line="360" w:lineRule="auto"/>
              <w:jc w:val="center"/>
              <w:rPr>
                <w:rFonts w:asciiTheme="minorHAnsi" w:eastAsia="Calibri" w:hAnsiTheme="minorHAnsi" w:cstheme="minorHAnsi"/>
                <w:sz w:val="22"/>
                <w:szCs w:val="22"/>
              </w:rPr>
            </w:pPr>
            <w:r w:rsidRPr="003D5FB5">
              <w:rPr>
                <w:rFonts w:asciiTheme="minorHAnsi" w:eastAsia="Calibri" w:hAnsiTheme="minorHAnsi" w:cstheme="minorHAnsi"/>
                <w:b/>
                <w:bCs/>
                <w:sz w:val="22"/>
                <w:szCs w:val="22"/>
              </w:rPr>
              <w:t>Total</w:t>
            </w:r>
          </w:p>
        </w:tc>
      </w:tr>
      <w:tr w:rsidR="002F0A87" w:rsidRPr="003D5FB5" w14:paraId="58CA04D1" w14:textId="77777777" w:rsidTr="00EA573A">
        <w:trPr>
          <w:trHeight w:val="607"/>
        </w:trPr>
        <w:tc>
          <w:tcPr>
            <w:tcW w:w="851" w:type="dxa"/>
            <w:tcBorders>
              <w:top w:val="single" w:sz="6" w:space="0" w:color="000000"/>
              <w:left w:val="single" w:sz="6" w:space="0" w:color="000000"/>
              <w:bottom w:val="single" w:sz="6" w:space="0" w:color="000000"/>
              <w:right w:val="single" w:sz="6" w:space="0" w:color="000000"/>
            </w:tcBorders>
            <w:shd w:val="clear" w:color="auto" w:fill="FFFFFF" w:themeFill="background1"/>
            <w:vAlign w:val="center"/>
          </w:tcPr>
          <w:p w14:paraId="38B21C96" w14:textId="77777777" w:rsidR="002F0A87" w:rsidRPr="003D5FB5" w:rsidRDefault="002F0A87" w:rsidP="002F0A87">
            <w:pPr>
              <w:spacing w:line="360" w:lineRule="auto"/>
              <w:jc w:val="center"/>
              <w:rPr>
                <w:rFonts w:asciiTheme="minorHAnsi" w:eastAsia="Calibri" w:hAnsiTheme="minorHAnsi" w:cstheme="minorHAnsi"/>
                <w:color w:val="000000" w:themeColor="text1"/>
                <w:sz w:val="22"/>
                <w:szCs w:val="22"/>
              </w:rPr>
            </w:pPr>
            <w:r w:rsidRPr="003D5FB5">
              <w:rPr>
                <w:rFonts w:asciiTheme="minorHAnsi" w:eastAsia="Calibri" w:hAnsiTheme="minorHAnsi" w:cstheme="minorHAnsi"/>
                <w:color w:val="000000" w:themeColor="text1"/>
                <w:sz w:val="22"/>
                <w:szCs w:val="22"/>
              </w:rPr>
              <w:t>1</w:t>
            </w:r>
          </w:p>
        </w:tc>
        <w:tc>
          <w:tcPr>
            <w:tcW w:w="4819" w:type="dxa"/>
            <w:tcBorders>
              <w:top w:val="single" w:sz="6" w:space="0" w:color="000000"/>
              <w:left w:val="single" w:sz="6" w:space="0" w:color="000000"/>
              <w:bottom w:val="single" w:sz="6" w:space="0" w:color="000000"/>
              <w:right w:val="single" w:sz="6" w:space="0" w:color="000000"/>
            </w:tcBorders>
            <w:shd w:val="clear" w:color="auto" w:fill="FFFFFF" w:themeFill="background1"/>
            <w:vAlign w:val="center"/>
          </w:tcPr>
          <w:p w14:paraId="23FF7458" w14:textId="77777777" w:rsidR="002F0A87" w:rsidRPr="003D5FB5" w:rsidRDefault="002F0A87" w:rsidP="002F0A87">
            <w:pPr>
              <w:spacing w:line="360" w:lineRule="auto"/>
              <w:jc w:val="both"/>
              <w:rPr>
                <w:rFonts w:asciiTheme="minorHAnsi" w:eastAsia="Calibri" w:hAnsiTheme="minorHAnsi" w:cstheme="minorHAnsi"/>
                <w:color w:val="000000" w:themeColor="text1"/>
                <w:sz w:val="22"/>
                <w:szCs w:val="22"/>
              </w:rPr>
            </w:pPr>
            <w:r w:rsidRPr="003D5FB5">
              <w:rPr>
                <w:rFonts w:asciiTheme="minorHAnsi" w:eastAsia="Calibri" w:hAnsiTheme="minorHAnsi" w:cstheme="minorHAnsi"/>
                <w:color w:val="000000" w:themeColor="text1"/>
                <w:sz w:val="22"/>
                <w:szCs w:val="22"/>
              </w:rPr>
              <w:t>Operation "BHOOMI"/Neutral Earthing Maintenance</w:t>
            </w:r>
          </w:p>
        </w:tc>
        <w:tc>
          <w:tcPr>
            <w:tcW w:w="1843" w:type="dxa"/>
            <w:tcBorders>
              <w:top w:val="single" w:sz="6" w:space="0" w:color="000000"/>
              <w:left w:val="single" w:sz="6" w:space="0" w:color="000000"/>
              <w:bottom w:val="single" w:sz="6" w:space="0" w:color="000000"/>
              <w:right w:val="single" w:sz="6" w:space="0" w:color="000000"/>
            </w:tcBorders>
            <w:shd w:val="clear" w:color="auto" w:fill="FFFFFF" w:themeFill="background1"/>
            <w:vAlign w:val="center"/>
          </w:tcPr>
          <w:p w14:paraId="1A1F233F" w14:textId="77777777" w:rsidR="002F0A87" w:rsidRPr="003D5FB5" w:rsidRDefault="002F0A87" w:rsidP="002F0A87">
            <w:pPr>
              <w:spacing w:line="360" w:lineRule="auto"/>
              <w:jc w:val="center"/>
              <w:rPr>
                <w:rFonts w:asciiTheme="minorHAnsi" w:eastAsia="Calibri" w:hAnsiTheme="minorHAnsi" w:cstheme="minorHAnsi"/>
                <w:color w:val="000000" w:themeColor="text1"/>
                <w:sz w:val="22"/>
                <w:szCs w:val="22"/>
              </w:rPr>
            </w:pPr>
            <w:r w:rsidRPr="003D5FB5">
              <w:rPr>
                <w:rFonts w:asciiTheme="minorHAnsi" w:eastAsia="Calibri" w:hAnsiTheme="minorHAnsi" w:cstheme="minorHAnsi"/>
                <w:color w:val="000000" w:themeColor="text1"/>
                <w:sz w:val="22"/>
                <w:szCs w:val="22"/>
              </w:rPr>
              <w:t>PTR BACHAO</w:t>
            </w:r>
          </w:p>
        </w:tc>
        <w:tc>
          <w:tcPr>
            <w:tcW w:w="872" w:type="dxa"/>
            <w:tcBorders>
              <w:top w:val="single" w:sz="6" w:space="0" w:color="000000"/>
              <w:left w:val="single" w:sz="6" w:space="0" w:color="000000"/>
              <w:bottom w:val="single" w:sz="6" w:space="0" w:color="000000"/>
              <w:right w:val="single" w:sz="6" w:space="0" w:color="000000"/>
            </w:tcBorders>
            <w:shd w:val="clear" w:color="auto" w:fill="FFFFFF" w:themeFill="background1"/>
            <w:vAlign w:val="center"/>
          </w:tcPr>
          <w:p w14:paraId="3797E21B" w14:textId="77777777" w:rsidR="002F0A87" w:rsidRPr="003D5FB5" w:rsidRDefault="002F0A87" w:rsidP="002F0A87">
            <w:pPr>
              <w:spacing w:line="360" w:lineRule="auto"/>
              <w:jc w:val="center"/>
              <w:rPr>
                <w:rFonts w:asciiTheme="minorHAnsi" w:eastAsia="Calibri" w:hAnsiTheme="minorHAnsi" w:cstheme="minorHAnsi"/>
                <w:color w:val="000000" w:themeColor="text1"/>
                <w:sz w:val="22"/>
                <w:szCs w:val="22"/>
              </w:rPr>
            </w:pPr>
            <w:r w:rsidRPr="003D5FB5">
              <w:rPr>
                <w:rFonts w:asciiTheme="minorHAnsi" w:eastAsia="Calibri" w:hAnsiTheme="minorHAnsi" w:cstheme="minorHAnsi"/>
                <w:color w:val="000000" w:themeColor="text1"/>
                <w:sz w:val="22"/>
                <w:szCs w:val="22"/>
              </w:rPr>
              <w:t>249</w:t>
            </w:r>
          </w:p>
        </w:tc>
      </w:tr>
      <w:tr w:rsidR="002F0A87" w:rsidRPr="003D5FB5" w14:paraId="547F923A" w14:textId="77777777" w:rsidTr="00EA573A">
        <w:trPr>
          <w:trHeight w:val="227"/>
        </w:trPr>
        <w:tc>
          <w:tcPr>
            <w:tcW w:w="851" w:type="dxa"/>
            <w:tcBorders>
              <w:top w:val="single" w:sz="6" w:space="0" w:color="000000"/>
              <w:left w:val="single" w:sz="6" w:space="0" w:color="000000"/>
              <w:bottom w:val="single" w:sz="6" w:space="0" w:color="000000"/>
              <w:right w:val="single" w:sz="6" w:space="0" w:color="000000"/>
            </w:tcBorders>
            <w:shd w:val="clear" w:color="auto" w:fill="FFFFFF" w:themeFill="background1"/>
            <w:vAlign w:val="center"/>
          </w:tcPr>
          <w:p w14:paraId="5927AC0D" w14:textId="77777777" w:rsidR="002F0A87" w:rsidRPr="003D5FB5" w:rsidRDefault="002F0A87" w:rsidP="002F0A87">
            <w:pPr>
              <w:spacing w:line="360" w:lineRule="auto"/>
              <w:jc w:val="center"/>
              <w:rPr>
                <w:rFonts w:asciiTheme="minorHAnsi" w:eastAsia="Calibri" w:hAnsiTheme="minorHAnsi" w:cstheme="minorHAnsi"/>
                <w:color w:val="000000" w:themeColor="text1"/>
                <w:sz w:val="22"/>
                <w:szCs w:val="22"/>
              </w:rPr>
            </w:pPr>
            <w:r w:rsidRPr="003D5FB5">
              <w:rPr>
                <w:rFonts w:asciiTheme="minorHAnsi" w:eastAsia="Calibri" w:hAnsiTheme="minorHAnsi" w:cstheme="minorHAnsi"/>
                <w:color w:val="000000" w:themeColor="text1"/>
                <w:sz w:val="22"/>
                <w:szCs w:val="22"/>
              </w:rPr>
              <w:t>2</w:t>
            </w:r>
          </w:p>
        </w:tc>
        <w:tc>
          <w:tcPr>
            <w:tcW w:w="4819" w:type="dxa"/>
            <w:tcBorders>
              <w:top w:val="single" w:sz="6" w:space="0" w:color="000000"/>
              <w:left w:val="single" w:sz="6" w:space="0" w:color="000000"/>
              <w:bottom w:val="single" w:sz="6" w:space="0" w:color="000000"/>
              <w:right w:val="single" w:sz="6" w:space="0" w:color="000000"/>
            </w:tcBorders>
            <w:shd w:val="clear" w:color="auto" w:fill="FFFFFF" w:themeFill="background1"/>
            <w:vAlign w:val="center"/>
          </w:tcPr>
          <w:p w14:paraId="62005EAA" w14:textId="77777777" w:rsidR="002F0A87" w:rsidRPr="003D5FB5" w:rsidRDefault="002F0A87" w:rsidP="002F0A87">
            <w:pPr>
              <w:spacing w:line="360" w:lineRule="auto"/>
              <w:jc w:val="both"/>
              <w:rPr>
                <w:rFonts w:asciiTheme="minorHAnsi" w:eastAsia="Calibri" w:hAnsiTheme="minorHAnsi" w:cstheme="minorHAnsi"/>
                <w:color w:val="000000" w:themeColor="text1"/>
                <w:sz w:val="22"/>
                <w:szCs w:val="22"/>
              </w:rPr>
            </w:pPr>
            <w:r w:rsidRPr="003D5FB5">
              <w:rPr>
                <w:rFonts w:asciiTheme="minorHAnsi" w:eastAsia="Calibri" w:hAnsiTheme="minorHAnsi" w:cstheme="minorHAnsi"/>
                <w:color w:val="000000" w:themeColor="text1"/>
                <w:sz w:val="22"/>
                <w:szCs w:val="22"/>
              </w:rPr>
              <w:t xml:space="preserve">PTR Health Index </w:t>
            </w:r>
          </w:p>
        </w:tc>
        <w:tc>
          <w:tcPr>
            <w:tcW w:w="1843" w:type="dxa"/>
            <w:tcBorders>
              <w:top w:val="single" w:sz="6" w:space="0" w:color="000000"/>
              <w:left w:val="single" w:sz="6" w:space="0" w:color="000000"/>
              <w:bottom w:val="single" w:sz="6" w:space="0" w:color="000000"/>
              <w:right w:val="single" w:sz="6" w:space="0" w:color="000000"/>
            </w:tcBorders>
            <w:shd w:val="clear" w:color="auto" w:fill="FFFFFF" w:themeFill="background1"/>
            <w:vAlign w:val="center"/>
          </w:tcPr>
          <w:p w14:paraId="433C87D5" w14:textId="77777777" w:rsidR="002F0A87" w:rsidRPr="003D5FB5" w:rsidRDefault="002F0A87" w:rsidP="002F0A87">
            <w:pPr>
              <w:spacing w:line="360" w:lineRule="auto"/>
              <w:jc w:val="center"/>
              <w:rPr>
                <w:rFonts w:asciiTheme="minorHAnsi" w:eastAsia="Calibri" w:hAnsiTheme="minorHAnsi" w:cstheme="minorHAnsi"/>
                <w:color w:val="000000" w:themeColor="text1"/>
                <w:sz w:val="22"/>
                <w:szCs w:val="22"/>
              </w:rPr>
            </w:pPr>
            <w:r w:rsidRPr="003D5FB5">
              <w:rPr>
                <w:rFonts w:asciiTheme="minorHAnsi" w:eastAsia="Calibri" w:hAnsiTheme="minorHAnsi" w:cstheme="minorHAnsi"/>
                <w:color w:val="000000" w:themeColor="text1"/>
                <w:sz w:val="22"/>
                <w:szCs w:val="22"/>
              </w:rPr>
              <w:t>PTR BACHAO</w:t>
            </w:r>
          </w:p>
        </w:tc>
        <w:tc>
          <w:tcPr>
            <w:tcW w:w="872" w:type="dxa"/>
            <w:tcBorders>
              <w:top w:val="single" w:sz="6" w:space="0" w:color="000000"/>
              <w:left w:val="single" w:sz="6" w:space="0" w:color="000000"/>
              <w:bottom w:val="single" w:sz="6" w:space="0" w:color="000000"/>
              <w:right w:val="single" w:sz="6" w:space="0" w:color="000000"/>
            </w:tcBorders>
            <w:shd w:val="clear" w:color="auto" w:fill="FFFFFF" w:themeFill="background1"/>
            <w:vAlign w:val="center"/>
          </w:tcPr>
          <w:p w14:paraId="0433DBB0" w14:textId="77777777" w:rsidR="002F0A87" w:rsidRPr="003D5FB5" w:rsidRDefault="002F0A87" w:rsidP="002F0A87">
            <w:pPr>
              <w:spacing w:line="360" w:lineRule="auto"/>
              <w:jc w:val="center"/>
              <w:rPr>
                <w:rFonts w:asciiTheme="minorHAnsi" w:eastAsia="Calibri" w:hAnsiTheme="minorHAnsi" w:cstheme="minorHAnsi"/>
                <w:color w:val="000000" w:themeColor="text1"/>
                <w:sz w:val="22"/>
                <w:szCs w:val="22"/>
              </w:rPr>
            </w:pPr>
            <w:r w:rsidRPr="003D5FB5">
              <w:rPr>
                <w:rFonts w:asciiTheme="minorHAnsi" w:eastAsia="Calibri" w:hAnsiTheme="minorHAnsi" w:cstheme="minorHAnsi"/>
                <w:color w:val="000000" w:themeColor="text1"/>
                <w:sz w:val="22"/>
                <w:szCs w:val="22"/>
              </w:rPr>
              <w:t>360</w:t>
            </w:r>
          </w:p>
        </w:tc>
      </w:tr>
      <w:tr w:rsidR="002F0A87" w:rsidRPr="003D5FB5" w14:paraId="0A8EB55A" w14:textId="77777777" w:rsidTr="00EA573A">
        <w:trPr>
          <w:trHeight w:val="227"/>
        </w:trPr>
        <w:tc>
          <w:tcPr>
            <w:tcW w:w="851" w:type="dxa"/>
            <w:tcBorders>
              <w:top w:val="single" w:sz="6" w:space="0" w:color="000000"/>
              <w:left w:val="single" w:sz="6" w:space="0" w:color="000000"/>
              <w:bottom w:val="single" w:sz="6" w:space="0" w:color="000000"/>
              <w:right w:val="single" w:sz="6" w:space="0" w:color="000000"/>
            </w:tcBorders>
            <w:shd w:val="clear" w:color="auto" w:fill="FFFFFF" w:themeFill="background1"/>
            <w:vAlign w:val="center"/>
          </w:tcPr>
          <w:p w14:paraId="3D19AA1D" w14:textId="77777777" w:rsidR="002F0A87" w:rsidRPr="003D5FB5" w:rsidRDefault="002F0A87" w:rsidP="002F0A87">
            <w:pPr>
              <w:spacing w:line="360" w:lineRule="auto"/>
              <w:jc w:val="center"/>
              <w:rPr>
                <w:rFonts w:asciiTheme="minorHAnsi" w:eastAsia="Calibri" w:hAnsiTheme="minorHAnsi" w:cstheme="minorHAnsi"/>
                <w:color w:val="000000" w:themeColor="text1"/>
                <w:sz w:val="22"/>
                <w:szCs w:val="22"/>
              </w:rPr>
            </w:pPr>
            <w:r w:rsidRPr="003D5FB5">
              <w:rPr>
                <w:rFonts w:asciiTheme="minorHAnsi" w:eastAsia="Calibri" w:hAnsiTheme="minorHAnsi" w:cstheme="minorHAnsi"/>
                <w:color w:val="000000" w:themeColor="text1"/>
                <w:sz w:val="22"/>
                <w:szCs w:val="22"/>
              </w:rPr>
              <w:t>3</w:t>
            </w:r>
          </w:p>
        </w:tc>
        <w:tc>
          <w:tcPr>
            <w:tcW w:w="4819" w:type="dxa"/>
            <w:tcBorders>
              <w:top w:val="single" w:sz="6" w:space="0" w:color="000000"/>
              <w:left w:val="single" w:sz="6" w:space="0" w:color="000000"/>
              <w:bottom w:val="single" w:sz="6" w:space="0" w:color="000000"/>
              <w:right w:val="single" w:sz="6" w:space="0" w:color="000000"/>
            </w:tcBorders>
            <w:shd w:val="clear" w:color="auto" w:fill="FFFFFF" w:themeFill="background1"/>
            <w:vAlign w:val="center"/>
          </w:tcPr>
          <w:p w14:paraId="1C9FFBB8" w14:textId="77777777" w:rsidR="002F0A87" w:rsidRPr="003D5FB5" w:rsidRDefault="002F0A87" w:rsidP="002F0A87">
            <w:pPr>
              <w:spacing w:line="360" w:lineRule="auto"/>
              <w:jc w:val="both"/>
              <w:rPr>
                <w:rFonts w:asciiTheme="minorHAnsi" w:eastAsia="Calibri" w:hAnsiTheme="minorHAnsi" w:cstheme="minorHAnsi"/>
                <w:color w:val="000000" w:themeColor="text1"/>
                <w:sz w:val="22"/>
                <w:szCs w:val="22"/>
              </w:rPr>
            </w:pPr>
            <w:r w:rsidRPr="003D5FB5">
              <w:rPr>
                <w:rFonts w:asciiTheme="minorHAnsi" w:eastAsia="Calibri" w:hAnsiTheme="minorHAnsi" w:cstheme="minorHAnsi"/>
                <w:color w:val="000000" w:themeColor="text1"/>
                <w:sz w:val="22"/>
                <w:szCs w:val="22"/>
              </w:rPr>
              <w:t>Leakage Arrest of Oil from PTR</w:t>
            </w:r>
          </w:p>
        </w:tc>
        <w:tc>
          <w:tcPr>
            <w:tcW w:w="1843" w:type="dxa"/>
            <w:tcBorders>
              <w:top w:val="single" w:sz="6" w:space="0" w:color="000000"/>
              <w:left w:val="single" w:sz="6" w:space="0" w:color="000000"/>
              <w:bottom w:val="single" w:sz="6" w:space="0" w:color="000000"/>
              <w:right w:val="single" w:sz="6" w:space="0" w:color="000000"/>
            </w:tcBorders>
            <w:shd w:val="clear" w:color="auto" w:fill="FFFFFF" w:themeFill="background1"/>
            <w:vAlign w:val="center"/>
          </w:tcPr>
          <w:p w14:paraId="40888BE0" w14:textId="77777777" w:rsidR="002F0A87" w:rsidRPr="003D5FB5" w:rsidRDefault="002F0A87" w:rsidP="002F0A87">
            <w:pPr>
              <w:spacing w:line="360" w:lineRule="auto"/>
              <w:jc w:val="center"/>
              <w:rPr>
                <w:rFonts w:asciiTheme="minorHAnsi" w:eastAsia="Calibri" w:hAnsiTheme="minorHAnsi" w:cstheme="minorHAnsi"/>
                <w:color w:val="000000" w:themeColor="text1"/>
                <w:sz w:val="22"/>
                <w:szCs w:val="22"/>
              </w:rPr>
            </w:pPr>
            <w:r w:rsidRPr="003D5FB5">
              <w:rPr>
                <w:rFonts w:asciiTheme="minorHAnsi" w:eastAsia="Calibri" w:hAnsiTheme="minorHAnsi" w:cstheme="minorHAnsi"/>
                <w:color w:val="000000" w:themeColor="text1"/>
                <w:sz w:val="22"/>
                <w:szCs w:val="22"/>
              </w:rPr>
              <w:t>PTR BACHAO</w:t>
            </w:r>
          </w:p>
        </w:tc>
        <w:tc>
          <w:tcPr>
            <w:tcW w:w="872" w:type="dxa"/>
            <w:tcBorders>
              <w:top w:val="single" w:sz="6" w:space="0" w:color="000000"/>
              <w:left w:val="single" w:sz="6" w:space="0" w:color="000000"/>
              <w:bottom w:val="single" w:sz="6" w:space="0" w:color="000000"/>
              <w:right w:val="single" w:sz="6" w:space="0" w:color="000000"/>
            </w:tcBorders>
            <w:shd w:val="clear" w:color="auto" w:fill="FFFFFF" w:themeFill="background1"/>
            <w:vAlign w:val="center"/>
          </w:tcPr>
          <w:p w14:paraId="516AD588" w14:textId="77777777" w:rsidR="002F0A87" w:rsidRPr="003D5FB5" w:rsidRDefault="002F0A87" w:rsidP="002F0A87">
            <w:pPr>
              <w:spacing w:line="360" w:lineRule="auto"/>
              <w:jc w:val="center"/>
              <w:rPr>
                <w:rFonts w:asciiTheme="minorHAnsi" w:eastAsia="Calibri" w:hAnsiTheme="minorHAnsi" w:cstheme="minorHAnsi"/>
                <w:color w:val="000000" w:themeColor="text1"/>
                <w:sz w:val="22"/>
                <w:szCs w:val="22"/>
              </w:rPr>
            </w:pPr>
            <w:r w:rsidRPr="003D5FB5">
              <w:rPr>
                <w:rFonts w:asciiTheme="minorHAnsi" w:eastAsia="Calibri" w:hAnsiTheme="minorHAnsi" w:cstheme="minorHAnsi"/>
                <w:color w:val="000000" w:themeColor="text1"/>
                <w:sz w:val="22"/>
                <w:szCs w:val="22"/>
              </w:rPr>
              <w:t>78</w:t>
            </w:r>
          </w:p>
        </w:tc>
      </w:tr>
      <w:tr w:rsidR="002F0A87" w:rsidRPr="003D5FB5" w14:paraId="4DC46CFD" w14:textId="77777777" w:rsidTr="00EA573A">
        <w:trPr>
          <w:trHeight w:val="227"/>
        </w:trPr>
        <w:tc>
          <w:tcPr>
            <w:tcW w:w="851" w:type="dxa"/>
            <w:tcBorders>
              <w:top w:val="single" w:sz="6" w:space="0" w:color="000000"/>
              <w:left w:val="single" w:sz="6" w:space="0" w:color="000000"/>
              <w:bottom w:val="single" w:sz="6" w:space="0" w:color="000000"/>
              <w:right w:val="single" w:sz="6" w:space="0" w:color="000000"/>
            </w:tcBorders>
            <w:shd w:val="clear" w:color="auto" w:fill="FFFFFF" w:themeFill="background1"/>
            <w:vAlign w:val="center"/>
          </w:tcPr>
          <w:p w14:paraId="1FCFE33D" w14:textId="77777777" w:rsidR="002F0A87" w:rsidRPr="003D5FB5" w:rsidRDefault="002F0A87" w:rsidP="002F0A87">
            <w:pPr>
              <w:spacing w:line="360" w:lineRule="auto"/>
              <w:jc w:val="center"/>
              <w:rPr>
                <w:rFonts w:asciiTheme="minorHAnsi" w:eastAsia="Calibri" w:hAnsiTheme="minorHAnsi" w:cstheme="minorHAnsi"/>
                <w:color w:val="000000" w:themeColor="text1"/>
                <w:sz w:val="22"/>
                <w:szCs w:val="22"/>
              </w:rPr>
            </w:pPr>
            <w:r w:rsidRPr="003D5FB5">
              <w:rPr>
                <w:rFonts w:asciiTheme="minorHAnsi" w:eastAsia="Calibri" w:hAnsiTheme="minorHAnsi" w:cstheme="minorHAnsi"/>
                <w:color w:val="000000" w:themeColor="text1"/>
                <w:sz w:val="22"/>
                <w:szCs w:val="22"/>
              </w:rPr>
              <w:lastRenderedPageBreak/>
              <w:t>4</w:t>
            </w:r>
          </w:p>
        </w:tc>
        <w:tc>
          <w:tcPr>
            <w:tcW w:w="4819" w:type="dxa"/>
            <w:tcBorders>
              <w:top w:val="single" w:sz="6" w:space="0" w:color="000000"/>
              <w:left w:val="single" w:sz="6" w:space="0" w:color="000000"/>
              <w:bottom w:val="single" w:sz="6" w:space="0" w:color="000000"/>
              <w:right w:val="single" w:sz="6" w:space="0" w:color="000000"/>
            </w:tcBorders>
            <w:shd w:val="clear" w:color="auto" w:fill="FFFFFF" w:themeFill="background1"/>
            <w:vAlign w:val="center"/>
          </w:tcPr>
          <w:p w14:paraId="054D4EB7" w14:textId="77777777" w:rsidR="002F0A87" w:rsidRPr="003D5FB5" w:rsidRDefault="002F0A87" w:rsidP="002F0A87">
            <w:pPr>
              <w:spacing w:line="360" w:lineRule="auto"/>
              <w:jc w:val="both"/>
              <w:rPr>
                <w:rFonts w:asciiTheme="minorHAnsi" w:eastAsia="Calibri" w:hAnsiTheme="minorHAnsi" w:cstheme="minorHAnsi"/>
                <w:color w:val="000000" w:themeColor="text1"/>
                <w:sz w:val="22"/>
                <w:szCs w:val="22"/>
              </w:rPr>
            </w:pPr>
            <w:r w:rsidRPr="003D5FB5">
              <w:rPr>
                <w:rFonts w:asciiTheme="minorHAnsi" w:eastAsia="Calibri" w:hAnsiTheme="minorHAnsi" w:cstheme="minorHAnsi"/>
                <w:color w:val="000000" w:themeColor="text1"/>
                <w:sz w:val="22"/>
                <w:szCs w:val="22"/>
              </w:rPr>
              <w:t>PTR Oil DGA test</w:t>
            </w:r>
          </w:p>
        </w:tc>
        <w:tc>
          <w:tcPr>
            <w:tcW w:w="1843" w:type="dxa"/>
            <w:tcBorders>
              <w:top w:val="single" w:sz="6" w:space="0" w:color="000000"/>
              <w:left w:val="single" w:sz="6" w:space="0" w:color="000000"/>
              <w:bottom w:val="single" w:sz="6" w:space="0" w:color="000000"/>
              <w:right w:val="single" w:sz="6" w:space="0" w:color="000000"/>
            </w:tcBorders>
            <w:shd w:val="clear" w:color="auto" w:fill="FFFFFF" w:themeFill="background1"/>
            <w:vAlign w:val="center"/>
          </w:tcPr>
          <w:p w14:paraId="01D174C3" w14:textId="77777777" w:rsidR="002F0A87" w:rsidRPr="003D5FB5" w:rsidRDefault="002F0A87" w:rsidP="002F0A87">
            <w:pPr>
              <w:spacing w:line="360" w:lineRule="auto"/>
              <w:jc w:val="center"/>
              <w:rPr>
                <w:rFonts w:asciiTheme="minorHAnsi" w:eastAsia="Calibri" w:hAnsiTheme="minorHAnsi" w:cstheme="minorHAnsi"/>
                <w:color w:val="000000" w:themeColor="text1"/>
                <w:sz w:val="22"/>
                <w:szCs w:val="22"/>
              </w:rPr>
            </w:pPr>
            <w:r w:rsidRPr="003D5FB5">
              <w:rPr>
                <w:rFonts w:asciiTheme="minorHAnsi" w:eastAsia="Calibri" w:hAnsiTheme="minorHAnsi" w:cstheme="minorHAnsi"/>
                <w:color w:val="000000" w:themeColor="text1"/>
                <w:sz w:val="22"/>
                <w:szCs w:val="22"/>
              </w:rPr>
              <w:t>PARIKSHAN</w:t>
            </w:r>
          </w:p>
        </w:tc>
        <w:tc>
          <w:tcPr>
            <w:tcW w:w="872" w:type="dxa"/>
            <w:tcBorders>
              <w:top w:val="single" w:sz="6" w:space="0" w:color="000000"/>
              <w:left w:val="single" w:sz="6" w:space="0" w:color="000000"/>
              <w:bottom w:val="single" w:sz="6" w:space="0" w:color="000000"/>
              <w:right w:val="single" w:sz="6" w:space="0" w:color="000000"/>
            </w:tcBorders>
            <w:shd w:val="clear" w:color="auto" w:fill="FFFFFF" w:themeFill="background1"/>
            <w:vAlign w:val="center"/>
          </w:tcPr>
          <w:p w14:paraId="5B790BBE" w14:textId="77777777" w:rsidR="002F0A87" w:rsidRPr="003D5FB5" w:rsidRDefault="002F0A87" w:rsidP="002F0A87">
            <w:pPr>
              <w:spacing w:line="360" w:lineRule="auto"/>
              <w:jc w:val="center"/>
              <w:rPr>
                <w:rFonts w:asciiTheme="minorHAnsi" w:eastAsia="Calibri" w:hAnsiTheme="minorHAnsi" w:cstheme="minorHAnsi"/>
                <w:color w:val="000000" w:themeColor="text1"/>
                <w:sz w:val="22"/>
                <w:szCs w:val="22"/>
              </w:rPr>
            </w:pPr>
            <w:r w:rsidRPr="003D5FB5">
              <w:rPr>
                <w:rFonts w:asciiTheme="minorHAnsi" w:eastAsia="Calibri" w:hAnsiTheme="minorHAnsi" w:cstheme="minorHAnsi"/>
                <w:color w:val="000000" w:themeColor="text1"/>
                <w:sz w:val="22"/>
                <w:szCs w:val="22"/>
              </w:rPr>
              <w:t>360</w:t>
            </w:r>
          </w:p>
        </w:tc>
      </w:tr>
      <w:tr w:rsidR="002F0A87" w:rsidRPr="003D5FB5" w14:paraId="1CECED05" w14:textId="77777777" w:rsidTr="00EA573A">
        <w:trPr>
          <w:trHeight w:val="227"/>
        </w:trPr>
        <w:tc>
          <w:tcPr>
            <w:tcW w:w="851" w:type="dxa"/>
            <w:tcBorders>
              <w:top w:val="single" w:sz="6" w:space="0" w:color="000000"/>
              <w:left w:val="single" w:sz="6" w:space="0" w:color="000000"/>
              <w:bottom w:val="single" w:sz="6" w:space="0" w:color="000000"/>
              <w:right w:val="single" w:sz="6" w:space="0" w:color="000000"/>
            </w:tcBorders>
            <w:shd w:val="clear" w:color="auto" w:fill="FFFFFF" w:themeFill="background1"/>
            <w:vAlign w:val="center"/>
          </w:tcPr>
          <w:p w14:paraId="03960526" w14:textId="77777777" w:rsidR="002F0A87" w:rsidRPr="003D5FB5" w:rsidRDefault="002F0A87" w:rsidP="002F0A87">
            <w:pPr>
              <w:spacing w:line="360" w:lineRule="auto"/>
              <w:jc w:val="center"/>
              <w:rPr>
                <w:rFonts w:asciiTheme="minorHAnsi" w:eastAsia="Calibri" w:hAnsiTheme="minorHAnsi" w:cstheme="minorHAnsi"/>
                <w:color w:val="000000" w:themeColor="text1"/>
                <w:sz w:val="22"/>
                <w:szCs w:val="22"/>
              </w:rPr>
            </w:pPr>
            <w:r w:rsidRPr="003D5FB5">
              <w:rPr>
                <w:rFonts w:asciiTheme="minorHAnsi" w:eastAsia="Calibri" w:hAnsiTheme="minorHAnsi" w:cstheme="minorHAnsi"/>
                <w:color w:val="000000" w:themeColor="text1"/>
                <w:sz w:val="22"/>
                <w:szCs w:val="22"/>
              </w:rPr>
              <w:t>5</w:t>
            </w:r>
          </w:p>
        </w:tc>
        <w:tc>
          <w:tcPr>
            <w:tcW w:w="4819" w:type="dxa"/>
            <w:tcBorders>
              <w:top w:val="single" w:sz="6" w:space="0" w:color="000000"/>
              <w:left w:val="single" w:sz="6" w:space="0" w:color="000000"/>
              <w:bottom w:val="single" w:sz="6" w:space="0" w:color="000000"/>
              <w:right w:val="single" w:sz="6" w:space="0" w:color="000000"/>
            </w:tcBorders>
            <w:shd w:val="clear" w:color="auto" w:fill="FFFFFF" w:themeFill="background1"/>
            <w:vAlign w:val="center"/>
          </w:tcPr>
          <w:p w14:paraId="2D50311D" w14:textId="77777777" w:rsidR="002F0A87" w:rsidRPr="003D5FB5" w:rsidRDefault="002F0A87" w:rsidP="002F0A87">
            <w:pPr>
              <w:spacing w:line="360" w:lineRule="auto"/>
              <w:jc w:val="both"/>
              <w:rPr>
                <w:rFonts w:asciiTheme="minorHAnsi" w:eastAsia="Calibri" w:hAnsiTheme="minorHAnsi" w:cstheme="minorHAnsi"/>
                <w:color w:val="000000" w:themeColor="text1"/>
                <w:sz w:val="22"/>
                <w:szCs w:val="22"/>
              </w:rPr>
            </w:pPr>
            <w:r w:rsidRPr="003D5FB5">
              <w:rPr>
                <w:rFonts w:asciiTheme="minorHAnsi" w:eastAsia="Calibri" w:hAnsiTheme="minorHAnsi" w:cstheme="minorHAnsi"/>
                <w:color w:val="000000" w:themeColor="text1"/>
                <w:sz w:val="22"/>
                <w:szCs w:val="22"/>
              </w:rPr>
              <w:t>PTR Preventive Maintenance</w:t>
            </w:r>
          </w:p>
        </w:tc>
        <w:tc>
          <w:tcPr>
            <w:tcW w:w="1843" w:type="dxa"/>
            <w:tcBorders>
              <w:top w:val="single" w:sz="6" w:space="0" w:color="000000"/>
              <w:left w:val="single" w:sz="6" w:space="0" w:color="000000"/>
              <w:bottom w:val="single" w:sz="6" w:space="0" w:color="000000"/>
              <w:right w:val="single" w:sz="6" w:space="0" w:color="000000"/>
            </w:tcBorders>
            <w:shd w:val="clear" w:color="auto" w:fill="FFFFFF" w:themeFill="background1"/>
            <w:vAlign w:val="center"/>
          </w:tcPr>
          <w:p w14:paraId="7878E2C0" w14:textId="77777777" w:rsidR="002F0A87" w:rsidRPr="003D5FB5" w:rsidRDefault="002F0A87" w:rsidP="002F0A87">
            <w:pPr>
              <w:spacing w:line="360" w:lineRule="auto"/>
              <w:jc w:val="center"/>
              <w:rPr>
                <w:rFonts w:asciiTheme="minorHAnsi" w:eastAsia="Calibri" w:hAnsiTheme="minorHAnsi" w:cstheme="minorHAnsi"/>
                <w:color w:val="000000" w:themeColor="text1"/>
                <w:sz w:val="22"/>
                <w:szCs w:val="22"/>
              </w:rPr>
            </w:pPr>
            <w:r w:rsidRPr="003D5FB5">
              <w:rPr>
                <w:rFonts w:asciiTheme="minorHAnsi" w:eastAsia="Calibri" w:hAnsiTheme="minorHAnsi" w:cstheme="minorHAnsi"/>
                <w:color w:val="000000" w:themeColor="text1"/>
                <w:sz w:val="22"/>
                <w:szCs w:val="22"/>
              </w:rPr>
              <w:t>PM</w:t>
            </w:r>
          </w:p>
        </w:tc>
        <w:tc>
          <w:tcPr>
            <w:tcW w:w="872" w:type="dxa"/>
            <w:tcBorders>
              <w:top w:val="single" w:sz="6" w:space="0" w:color="000000"/>
              <w:left w:val="single" w:sz="6" w:space="0" w:color="000000"/>
              <w:bottom w:val="single" w:sz="6" w:space="0" w:color="000000"/>
              <w:right w:val="single" w:sz="6" w:space="0" w:color="000000"/>
            </w:tcBorders>
            <w:shd w:val="clear" w:color="auto" w:fill="FFFFFF" w:themeFill="background1"/>
            <w:vAlign w:val="center"/>
          </w:tcPr>
          <w:p w14:paraId="509FC8F3" w14:textId="77777777" w:rsidR="002F0A87" w:rsidRPr="003D5FB5" w:rsidRDefault="002F0A87" w:rsidP="002F0A87">
            <w:pPr>
              <w:spacing w:line="360" w:lineRule="auto"/>
              <w:jc w:val="center"/>
              <w:rPr>
                <w:rFonts w:asciiTheme="minorHAnsi" w:eastAsia="Calibri" w:hAnsiTheme="minorHAnsi" w:cstheme="minorHAnsi"/>
                <w:color w:val="000000" w:themeColor="text1"/>
                <w:sz w:val="22"/>
                <w:szCs w:val="22"/>
              </w:rPr>
            </w:pPr>
            <w:r w:rsidRPr="003D5FB5">
              <w:rPr>
                <w:rFonts w:asciiTheme="minorHAnsi" w:eastAsia="Calibri" w:hAnsiTheme="minorHAnsi" w:cstheme="minorHAnsi"/>
                <w:color w:val="000000" w:themeColor="text1"/>
                <w:sz w:val="22"/>
                <w:szCs w:val="22"/>
              </w:rPr>
              <w:t>515</w:t>
            </w:r>
          </w:p>
        </w:tc>
      </w:tr>
      <w:tr w:rsidR="002F0A87" w:rsidRPr="003D5FB5" w14:paraId="2147B7A8" w14:textId="77777777" w:rsidTr="00EA573A">
        <w:trPr>
          <w:trHeight w:val="227"/>
        </w:trPr>
        <w:tc>
          <w:tcPr>
            <w:tcW w:w="851" w:type="dxa"/>
            <w:tcBorders>
              <w:top w:val="single" w:sz="6" w:space="0" w:color="000000"/>
              <w:left w:val="single" w:sz="6" w:space="0" w:color="000000"/>
              <w:bottom w:val="single" w:sz="6" w:space="0" w:color="000000"/>
              <w:right w:val="single" w:sz="6" w:space="0" w:color="000000"/>
            </w:tcBorders>
            <w:shd w:val="clear" w:color="auto" w:fill="FFFFFF" w:themeFill="background1"/>
            <w:vAlign w:val="center"/>
          </w:tcPr>
          <w:p w14:paraId="484D8B05" w14:textId="77777777" w:rsidR="002F0A87" w:rsidRPr="003D5FB5" w:rsidRDefault="002F0A87" w:rsidP="002F0A87">
            <w:pPr>
              <w:spacing w:line="360" w:lineRule="auto"/>
              <w:jc w:val="center"/>
              <w:rPr>
                <w:rFonts w:asciiTheme="minorHAnsi" w:eastAsia="Calibri" w:hAnsiTheme="minorHAnsi" w:cstheme="minorHAnsi"/>
                <w:color w:val="000000" w:themeColor="text1"/>
                <w:sz w:val="22"/>
                <w:szCs w:val="22"/>
              </w:rPr>
            </w:pPr>
            <w:r w:rsidRPr="003D5FB5">
              <w:rPr>
                <w:rFonts w:asciiTheme="minorHAnsi" w:eastAsia="Calibri" w:hAnsiTheme="minorHAnsi" w:cstheme="minorHAnsi"/>
                <w:color w:val="000000" w:themeColor="text1"/>
                <w:sz w:val="22"/>
                <w:szCs w:val="22"/>
              </w:rPr>
              <w:t>6</w:t>
            </w:r>
          </w:p>
        </w:tc>
        <w:tc>
          <w:tcPr>
            <w:tcW w:w="4819" w:type="dxa"/>
            <w:tcBorders>
              <w:top w:val="single" w:sz="6" w:space="0" w:color="000000"/>
              <w:left w:val="single" w:sz="6" w:space="0" w:color="000000"/>
              <w:bottom w:val="single" w:sz="6" w:space="0" w:color="000000"/>
              <w:right w:val="single" w:sz="6" w:space="0" w:color="000000"/>
            </w:tcBorders>
            <w:shd w:val="clear" w:color="auto" w:fill="FFFFFF" w:themeFill="background1"/>
            <w:vAlign w:val="center"/>
          </w:tcPr>
          <w:p w14:paraId="61DB0D1D" w14:textId="77777777" w:rsidR="002F0A87" w:rsidRPr="003D5FB5" w:rsidRDefault="002F0A87" w:rsidP="002F0A87">
            <w:pPr>
              <w:spacing w:line="360" w:lineRule="auto"/>
              <w:jc w:val="both"/>
              <w:rPr>
                <w:rFonts w:asciiTheme="minorHAnsi" w:eastAsia="Calibri" w:hAnsiTheme="minorHAnsi" w:cstheme="minorHAnsi"/>
                <w:color w:val="000000" w:themeColor="text1"/>
                <w:sz w:val="22"/>
                <w:szCs w:val="22"/>
              </w:rPr>
            </w:pPr>
            <w:r w:rsidRPr="003D5FB5">
              <w:rPr>
                <w:rFonts w:asciiTheme="minorHAnsi" w:eastAsia="Calibri" w:hAnsiTheme="minorHAnsi" w:cstheme="minorHAnsi"/>
                <w:color w:val="000000" w:themeColor="text1"/>
                <w:sz w:val="22"/>
                <w:szCs w:val="22"/>
              </w:rPr>
              <w:t>CB LIMB/POLE REPLACEMENT 33KV</w:t>
            </w:r>
          </w:p>
        </w:tc>
        <w:tc>
          <w:tcPr>
            <w:tcW w:w="1843" w:type="dxa"/>
            <w:tcBorders>
              <w:top w:val="single" w:sz="6" w:space="0" w:color="000000"/>
              <w:left w:val="single" w:sz="6" w:space="0" w:color="000000"/>
              <w:bottom w:val="single" w:sz="6" w:space="0" w:color="000000"/>
              <w:right w:val="single" w:sz="6" w:space="0" w:color="000000"/>
            </w:tcBorders>
            <w:shd w:val="clear" w:color="auto" w:fill="FFFFFF" w:themeFill="background1"/>
            <w:vAlign w:val="center"/>
          </w:tcPr>
          <w:p w14:paraId="2B930A9F" w14:textId="77777777" w:rsidR="002F0A87" w:rsidRPr="003D5FB5" w:rsidRDefault="002F0A87" w:rsidP="002F0A87">
            <w:pPr>
              <w:spacing w:line="360" w:lineRule="auto"/>
              <w:jc w:val="center"/>
              <w:rPr>
                <w:rFonts w:asciiTheme="minorHAnsi" w:eastAsia="Calibri" w:hAnsiTheme="minorHAnsi" w:cstheme="minorHAnsi"/>
                <w:color w:val="000000" w:themeColor="text1"/>
                <w:sz w:val="22"/>
                <w:szCs w:val="22"/>
              </w:rPr>
            </w:pPr>
            <w:r w:rsidRPr="003D5FB5">
              <w:rPr>
                <w:rFonts w:asciiTheme="minorHAnsi" w:eastAsia="Calibri" w:hAnsiTheme="minorHAnsi" w:cstheme="minorHAnsi"/>
                <w:color w:val="000000" w:themeColor="text1"/>
                <w:sz w:val="22"/>
                <w:szCs w:val="22"/>
              </w:rPr>
              <w:t>CB</w:t>
            </w:r>
          </w:p>
        </w:tc>
        <w:tc>
          <w:tcPr>
            <w:tcW w:w="872" w:type="dxa"/>
            <w:tcBorders>
              <w:top w:val="single" w:sz="6" w:space="0" w:color="000000"/>
              <w:left w:val="single" w:sz="6" w:space="0" w:color="000000"/>
              <w:bottom w:val="single" w:sz="6" w:space="0" w:color="000000"/>
              <w:right w:val="single" w:sz="6" w:space="0" w:color="000000"/>
            </w:tcBorders>
            <w:shd w:val="clear" w:color="auto" w:fill="FFFFFF" w:themeFill="background1"/>
            <w:vAlign w:val="center"/>
          </w:tcPr>
          <w:p w14:paraId="430B3D9E" w14:textId="77777777" w:rsidR="002F0A87" w:rsidRPr="003D5FB5" w:rsidRDefault="002F0A87" w:rsidP="002F0A87">
            <w:pPr>
              <w:spacing w:line="360" w:lineRule="auto"/>
              <w:jc w:val="center"/>
              <w:rPr>
                <w:rFonts w:asciiTheme="minorHAnsi" w:eastAsia="Calibri" w:hAnsiTheme="minorHAnsi" w:cstheme="minorHAnsi"/>
                <w:color w:val="000000" w:themeColor="text1"/>
                <w:sz w:val="22"/>
                <w:szCs w:val="22"/>
              </w:rPr>
            </w:pPr>
            <w:r w:rsidRPr="003D5FB5">
              <w:rPr>
                <w:rFonts w:asciiTheme="minorHAnsi" w:eastAsia="Calibri" w:hAnsiTheme="minorHAnsi" w:cstheme="minorHAnsi"/>
                <w:color w:val="000000" w:themeColor="text1"/>
                <w:sz w:val="22"/>
                <w:szCs w:val="22"/>
              </w:rPr>
              <w:t>35</w:t>
            </w:r>
          </w:p>
        </w:tc>
      </w:tr>
      <w:tr w:rsidR="002F0A87" w:rsidRPr="003D5FB5" w14:paraId="1828C938" w14:textId="77777777" w:rsidTr="00EA573A">
        <w:trPr>
          <w:trHeight w:val="227"/>
        </w:trPr>
        <w:tc>
          <w:tcPr>
            <w:tcW w:w="851" w:type="dxa"/>
            <w:tcBorders>
              <w:top w:val="single" w:sz="6" w:space="0" w:color="000000"/>
              <w:left w:val="single" w:sz="6" w:space="0" w:color="000000"/>
              <w:bottom w:val="single" w:sz="6" w:space="0" w:color="000000"/>
              <w:right w:val="single" w:sz="6" w:space="0" w:color="000000"/>
            </w:tcBorders>
            <w:shd w:val="clear" w:color="auto" w:fill="FFFFFF" w:themeFill="background1"/>
            <w:vAlign w:val="center"/>
          </w:tcPr>
          <w:p w14:paraId="575D7907" w14:textId="77777777" w:rsidR="002F0A87" w:rsidRPr="003D5FB5" w:rsidRDefault="002F0A87" w:rsidP="002F0A87">
            <w:pPr>
              <w:spacing w:line="360" w:lineRule="auto"/>
              <w:jc w:val="center"/>
              <w:rPr>
                <w:rFonts w:asciiTheme="minorHAnsi" w:eastAsia="Calibri" w:hAnsiTheme="minorHAnsi" w:cstheme="minorHAnsi"/>
                <w:color w:val="000000" w:themeColor="text1"/>
                <w:sz w:val="22"/>
                <w:szCs w:val="22"/>
              </w:rPr>
            </w:pPr>
            <w:r w:rsidRPr="003D5FB5">
              <w:rPr>
                <w:rFonts w:asciiTheme="minorHAnsi" w:eastAsia="Calibri" w:hAnsiTheme="minorHAnsi" w:cstheme="minorHAnsi"/>
                <w:color w:val="000000" w:themeColor="text1"/>
                <w:sz w:val="22"/>
                <w:szCs w:val="22"/>
              </w:rPr>
              <w:t>7</w:t>
            </w:r>
          </w:p>
        </w:tc>
        <w:tc>
          <w:tcPr>
            <w:tcW w:w="4819" w:type="dxa"/>
            <w:tcBorders>
              <w:top w:val="single" w:sz="6" w:space="0" w:color="000000"/>
              <w:left w:val="single" w:sz="6" w:space="0" w:color="000000"/>
              <w:bottom w:val="single" w:sz="6" w:space="0" w:color="000000"/>
              <w:right w:val="single" w:sz="6" w:space="0" w:color="000000"/>
            </w:tcBorders>
            <w:shd w:val="clear" w:color="auto" w:fill="FFFFFF" w:themeFill="background1"/>
            <w:vAlign w:val="center"/>
          </w:tcPr>
          <w:p w14:paraId="37F8E8F2" w14:textId="77777777" w:rsidR="002F0A87" w:rsidRPr="003D5FB5" w:rsidRDefault="002F0A87" w:rsidP="002F0A87">
            <w:pPr>
              <w:spacing w:line="360" w:lineRule="auto"/>
              <w:jc w:val="both"/>
              <w:rPr>
                <w:rFonts w:asciiTheme="minorHAnsi" w:eastAsia="Calibri" w:hAnsiTheme="minorHAnsi" w:cstheme="minorHAnsi"/>
                <w:color w:val="000000" w:themeColor="text1"/>
                <w:sz w:val="22"/>
                <w:szCs w:val="22"/>
              </w:rPr>
            </w:pPr>
            <w:r w:rsidRPr="003D5FB5">
              <w:rPr>
                <w:rFonts w:asciiTheme="minorHAnsi" w:eastAsia="Calibri" w:hAnsiTheme="minorHAnsi" w:cstheme="minorHAnsi"/>
                <w:color w:val="000000" w:themeColor="text1"/>
                <w:sz w:val="22"/>
                <w:szCs w:val="22"/>
              </w:rPr>
              <w:t>CB LIMB/POLE REPLACEMENT 11KV</w:t>
            </w:r>
          </w:p>
        </w:tc>
        <w:tc>
          <w:tcPr>
            <w:tcW w:w="1843" w:type="dxa"/>
            <w:tcBorders>
              <w:top w:val="single" w:sz="6" w:space="0" w:color="000000"/>
              <w:left w:val="single" w:sz="6" w:space="0" w:color="000000"/>
              <w:bottom w:val="single" w:sz="6" w:space="0" w:color="000000"/>
              <w:right w:val="single" w:sz="6" w:space="0" w:color="000000"/>
            </w:tcBorders>
            <w:shd w:val="clear" w:color="auto" w:fill="FFFFFF" w:themeFill="background1"/>
            <w:vAlign w:val="center"/>
          </w:tcPr>
          <w:p w14:paraId="630D58DD" w14:textId="77777777" w:rsidR="002F0A87" w:rsidRPr="003D5FB5" w:rsidRDefault="002F0A87" w:rsidP="002F0A87">
            <w:pPr>
              <w:spacing w:line="360" w:lineRule="auto"/>
              <w:jc w:val="center"/>
              <w:rPr>
                <w:rFonts w:asciiTheme="minorHAnsi" w:eastAsia="Calibri" w:hAnsiTheme="minorHAnsi" w:cstheme="minorHAnsi"/>
                <w:color w:val="000000" w:themeColor="text1"/>
                <w:sz w:val="22"/>
                <w:szCs w:val="22"/>
              </w:rPr>
            </w:pPr>
            <w:r w:rsidRPr="003D5FB5">
              <w:rPr>
                <w:rFonts w:asciiTheme="minorHAnsi" w:eastAsia="Calibri" w:hAnsiTheme="minorHAnsi" w:cstheme="minorHAnsi"/>
                <w:color w:val="000000" w:themeColor="text1"/>
                <w:sz w:val="22"/>
                <w:szCs w:val="22"/>
              </w:rPr>
              <w:t>CB</w:t>
            </w:r>
          </w:p>
        </w:tc>
        <w:tc>
          <w:tcPr>
            <w:tcW w:w="872" w:type="dxa"/>
            <w:tcBorders>
              <w:top w:val="single" w:sz="6" w:space="0" w:color="000000"/>
              <w:left w:val="single" w:sz="6" w:space="0" w:color="000000"/>
              <w:bottom w:val="single" w:sz="6" w:space="0" w:color="000000"/>
              <w:right w:val="single" w:sz="6" w:space="0" w:color="000000"/>
            </w:tcBorders>
            <w:shd w:val="clear" w:color="auto" w:fill="FFFFFF" w:themeFill="background1"/>
            <w:vAlign w:val="center"/>
          </w:tcPr>
          <w:p w14:paraId="12170508" w14:textId="77777777" w:rsidR="002F0A87" w:rsidRPr="003D5FB5" w:rsidRDefault="002F0A87" w:rsidP="002F0A87">
            <w:pPr>
              <w:spacing w:line="360" w:lineRule="auto"/>
              <w:jc w:val="center"/>
              <w:rPr>
                <w:rFonts w:asciiTheme="minorHAnsi" w:eastAsia="Calibri" w:hAnsiTheme="minorHAnsi" w:cstheme="minorHAnsi"/>
                <w:color w:val="000000" w:themeColor="text1"/>
                <w:sz w:val="22"/>
                <w:szCs w:val="22"/>
              </w:rPr>
            </w:pPr>
            <w:r w:rsidRPr="003D5FB5">
              <w:rPr>
                <w:rFonts w:asciiTheme="minorHAnsi" w:eastAsia="Calibri" w:hAnsiTheme="minorHAnsi" w:cstheme="minorHAnsi"/>
                <w:color w:val="000000" w:themeColor="text1"/>
                <w:sz w:val="22"/>
                <w:szCs w:val="22"/>
              </w:rPr>
              <w:t>53</w:t>
            </w:r>
          </w:p>
        </w:tc>
      </w:tr>
      <w:tr w:rsidR="002F0A87" w:rsidRPr="003D5FB5" w14:paraId="65AE5081" w14:textId="77777777" w:rsidTr="00EA573A">
        <w:trPr>
          <w:trHeight w:val="348"/>
        </w:trPr>
        <w:tc>
          <w:tcPr>
            <w:tcW w:w="851" w:type="dxa"/>
            <w:tcBorders>
              <w:top w:val="single" w:sz="6" w:space="0" w:color="000000"/>
              <w:left w:val="single" w:sz="6" w:space="0" w:color="000000"/>
              <w:bottom w:val="single" w:sz="6" w:space="0" w:color="000000"/>
              <w:right w:val="single" w:sz="6" w:space="0" w:color="000000"/>
            </w:tcBorders>
            <w:shd w:val="clear" w:color="auto" w:fill="FFFFFF" w:themeFill="background1"/>
            <w:vAlign w:val="center"/>
          </w:tcPr>
          <w:p w14:paraId="6FBC1D7E" w14:textId="77777777" w:rsidR="002F0A87" w:rsidRPr="003D5FB5" w:rsidRDefault="002F0A87" w:rsidP="002F0A87">
            <w:pPr>
              <w:spacing w:line="360" w:lineRule="auto"/>
              <w:jc w:val="center"/>
              <w:rPr>
                <w:rFonts w:asciiTheme="minorHAnsi" w:eastAsia="Calibri" w:hAnsiTheme="minorHAnsi" w:cstheme="minorHAnsi"/>
                <w:color w:val="000000" w:themeColor="text1"/>
                <w:sz w:val="22"/>
                <w:szCs w:val="22"/>
              </w:rPr>
            </w:pPr>
            <w:r w:rsidRPr="003D5FB5">
              <w:rPr>
                <w:rFonts w:asciiTheme="minorHAnsi" w:eastAsia="Calibri" w:hAnsiTheme="minorHAnsi" w:cstheme="minorHAnsi"/>
                <w:color w:val="000000" w:themeColor="text1"/>
                <w:sz w:val="22"/>
                <w:szCs w:val="22"/>
              </w:rPr>
              <w:t>8</w:t>
            </w:r>
          </w:p>
        </w:tc>
        <w:tc>
          <w:tcPr>
            <w:tcW w:w="4819" w:type="dxa"/>
            <w:tcBorders>
              <w:top w:val="single" w:sz="6" w:space="0" w:color="000000"/>
              <w:left w:val="single" w:sz="6" w:space="0" w:color="000000"/>
              <w:bottom w:val="single" w:sz="6" w:space="0" w:color="000000"/>
              <w:right w:val="single" w:sz="6" w:space="0" w:color="000000"/>
            </w:tcBorders>
            <w:shd w:val="clear" w:color="auto" w:fill="FFFFFF" w:themeFill="background1"/>
            <w:vAlign w:val="center"/>
          </w:tcPr>
          <w:p w14:paraId="1EC454CD" w14:textId="77777777" w:rsidR="002F0A87" w:rsidRPr="003D5FB5" w:rsidRDefault="002F0A87" w:rsidP="002F0A87">
            <w:pPr>
              <w:spacing w:line="360" w:lineRule="auto"/>
              <w:jc w:val="both"/>
              <w:rPr>
                <w:rFonts w:asciiTheme="minorHAnsi" w:eastAsia="Calibri" w:hAnsiTheme="minorHAnsi" w:cstheme="minorHAnsi"/>
                <w:color w:val="000000" w:themeColor="text1"/>
                <w:sz w:val="22"/>
                <w:szCs w:val="22"/>
              </w:rPr>
            </w:pPr>
            <w:r w:rsidRPr="003D5FB5">
              <w:rPr>
                <w:rFonts w:asciiTheme="minorHAnsi" w:eastAsia="Calibri" w:hAnsiTheme="minorHAnsi" w:cstheme="minorHAnsi"/>
                <w:color w:val="000000" w:themeColor="text1"/>
                <w:sz w:val="22"/>
                <w:szCs w:val="22"/>
              </w:rPr>
              <w:t xml:space="preserve">CB MECHANISM /LUBRICATION/ Maintenance </w:t>
            </w:r>
          </w:p>
        </w:tc>
        <w:tc>
          <w:tcPr>
            <w:tcW w:w="1843" w:type="dxa"/>
            <w:tcBorders>
              <w:top w:val="single" w:sz="6" w:space="0" w:color="000000"/>
              <w:left w:val="single" w:sz="6" w:space="0" w:color="000000"/>
              <w:bottom w:val="single" w:sz="6" w:space="0" w:color="000000"/>
              <w:right w:val="single" w:sz="6" w:space="0" w:color="000000"/>
            </w:tcBorders>
            <w:shd w:val="clear" w:color="auto" w:fill="FFFFFF" w:themeFill="background1"/>
            <w:vAlign w:val="center"/>
          </w:tcPr>
          <w:p w14:paraId="6CF5F0D8" w14:textId="77777777" w:rsidR="002F0A87" w:rsidRPr="003D5FB5" w:rsidRDefault="002F0A87" w:rsidP="002F0A87">
            <w:pPr>
              <w:spacing w:line="360" w:lineRule="auto"/>
              <w:jc w:val="center"/>
              <w:rPr>
                <w:rFonts w:asciiTheme="minorHAnsi" w:eastAsia="Calibri" w:hAnsiTheme="minorHAnsi" w:cstheme="minorHAnsi"/>
                <w:color w:val="000000" w:themeColor="text1"/>
                <w:sz w:val="22"/>
                <w:szCs w:val="22"/>
              </w:rPr>
            </w:pPr>
            <w:r w:rsidRPr="003D5FB5">
              <w:rPr>
                <w:rFonts w:asciiTheme="minorHAnsi" w:eastAsia="Calibri" w:hAnsiTheme="minorHAnsi" w:cstheme="minorHAnsi"/>
                <w:color w:val="000000" w:themeColor="text1"/>
                <w:sz w:val="22"/>
                <w:szCs w:val="22"/>
              </w:rPr>
              <w:t>CB</w:t>
            </w:r>
          </w:p>
        </w:tc>
        <w:tc>
          <w:tcPr>
            <w:tcW w:w="872" w:type="dxa"/>
            <w:tcBorders>
              <w:top w:val="single" w:sz="6" w:space="0" w:color="000000"/>
              <w:left w:val="single" w:sz="6" w:space="0" w:color="000000"/>
              <w:bottom w:val="single" w:sz="6" w:space="0" w:color="000000"/>
              <w:right w:val="single" w:sz="6" w:space="0" w:color="000000"/>
            </w:tcBorders>
            <w:shd w:val="clear" w:color="auto" w:fill="FFFFFF" w:themeFill="background1"/>
            <w:vAlign w:val="center"/>
          </w:tcPr>
          <w:p w14:paraId="32258D66" w14:textId="77777777" w:rsidR="002F0A87" w:rsidRPr="003D5FB5" w:rsidRDefault="002F0A87" w:rsidP="002F0A87">
            <w:pPr>
              <w:spacing w:line="360" w:lineRule="auto"/>
              <w:jc w:val="center"/>
              <w:rPr>
                <w:rFonts w:asciiTheme="minorHAnsi" w:eastAsia="Calibri" w:hAnsiTheme="minorHAnsi" w:cstheme="minorHAnsi"/>
                <w:color w:val="000000" w:themeColor="text1"/>
                <w:sz w:val="22"/>
                <w:szCs w:val="22"/>
              </w:rPr>
            </w:pPr>
            <w:r w:rsidRPr="003D5FB5">
              <w:rPr>
                <w:rFonts w:asciiTheme="minorHAnsi" w:eastAsia="Calibri" w:hAnsiTheme="minorHAnsi" w:cstheme="minorHAnsi"/>
                <w:color w:val="000000" w:themeColor="text1"/>
                <w:sz w:val="22"/>
                <w:szCs w:val="22"/>
              </w:rPr>
              <w:t>371</w:t>
            </w:r>
          </w:p>
        </w:tc>
      </w:tr>
      <w:tr w:rsidR="002F0A87" w:rsidRPr="003D5FB5" w14:paraId="177AC3FE" w14:textId="77777777" w:rsidTr="00EA573A">
        <w:trPr>
          <w:trHeight w:val="227"/>
        </w:trPr>
        <w:tc>
          <w:tcPr>
            <w:tcW w:w="851" w:type="dxa"/>
            <w:tcBorders>
              <w:top w:val="single" w:sz="6" w:space="0" w:color="000000"/>
              <w:left w:val="single" w:sz="6" w:space="0" w:color="000000"/>
              <w:bottom w:val="single" w:sz="6" w:space="0" w:color="000000"/>
              <w:right w:val="single" w:sz="6" w:space="0" w:color="000000"/>
            </w:tcBorders>
            <w:shd w:val="clear" w:color="auto" w:fill="FFFFFF" w:themeFill="background1"/>
            <w:vAlign w:val="center"/>
          </w:tcPr>
          <w:p w14:paraId="6B534585" w14:textId="77777777" w:rsidR="002F0A87" w:rsidRPr="003D5FB5" w:rsidRDefault="002F0A87" w:rsidP="002F0A87">
            <w:pPr>
              <w:spacing w:line="360" w:lineRule="auto"/>
              <w:jc w:val="center"/>
              <w:rPr>
                <w:rFonts w:asciiTheme="minorHAnsi" w:eastAsia="Calibri" w:hAnsiTheme="minorHAnsi" w:cstheme="minorHAnsi"/>
                <w:color w:val="000000" w:themeColor="text1"/>
                <w:sz w:val="22"/>
                <w:szCs w:val="22"/>
              </w:rPr>
            </w:pPr>
            <w:r w:rsidRPr="003D5FB5">
              <w:rPr>
                <w:rFonts w:asciiTheme="minorHAnsi" w:eastAsia="Calibri" w:hAnsiTheme="minorHAnsi" w:cstheme="minorHAnsi"/>
                <w:color w:val="000000" w:themeColor="text1"/>
                <w:sz w:val="22"/>
                <w:szCs w:val="22"/>
              </w:rPr>
              <w:t>9</w:t>
            </w:r>
          </w:p>
        </w:tc>
        <w:tc>
          <w:tcPr>
            <w:tcW w:w="4819" w:type="dxa"/>
            <w:tcBorders>
              <w:top w:val="single" w:sz="6" w:space="0" w:color="000000"/>
              <w:left w:val="single" w:sz="6" w:space="0" w:color="000000"/>
              <w:bottom w:val="single" w:sz="6" w:space="0" w:color="000000"/>
              <w:right w:val="single" w:sz="6" w:space="0" w:color="000000"/>
            </w:tcBorders>
            <w:shd w:val="clear" w:color="auto" w:fill="FFFFFF" w:themeFill="background1"/>
            <w:vAlign w:val="center"/>
          </w:tcPr>
          <w:p w14:paraId="749EE54A" w14:textId="77777777" w:rsidR="002F0A87" w:rsidRPr="003D5FB5" w:rsidRDefault="002F0A87" w:rsidP="002F0A87">
            <w:pPr>
              <w:spacing w:line="360" w:lineRule="auto"/>
              <w:jc w:val="both"/>
              <w:rPr>
                <w:rFonts w:asciiTheme="minorHAnsi" w:eastAsia="Calibri" w:hAnsiTheme="minorHAnsi" w:cstheme="minorHAnsi"/>
                <w:color w:val="000000" w:themeColor="text1"/>
                <w:sz w:val="22"/>
                <w:szCs w:val="22"/>
              </w:rPr>
            </w:pPr>
            <w:r w:rsidRPr="003D5FB5">
              <w:rPr>
                <w:rFonts w:asciiTheme="minorHAnsi" w:eastAsia="Calibri" w:hAnsiTheme="minorHAnsi" w:cstheme="minorHAnsi"/>
                <w:color w:val="000000" w:themeColor="text1"/>
                <w:sz w:val="22"/>
                <w:szCs w:val="22"/>
              </w:rPr>
              <w:t>CB Repair- (In House)</w:t>
            </w:r>
          </w:p>
        </w:tc>
        <w:tc>
          <w:tcPr>
            <w:tcW w:w="1843" w:type="dxa"/>
            <w:tcBorders>
              <w:top w:val="single" w:sz="6" w:space="0" w:color="000000"/>
              <w:left w:val="single" w:sz="6" w:space="0" w:color="000000"/>
              <w:bottom w:val="single" w:sz="6" w:space="0" w:color="000000"/>
              <w:right w:val="single" w:sz="6" w:space="0" w:color="000000"/>
            </w:tcBorders>
            <w:shd w:val="clear" w:color="auto" w:fill="FFFFFF" w:themeFill="background1"/>
            <w:vAlign w:val="center"/>
          </w:tcPr>
          <w:p w14:paraId="0ECF5055" w14:textId="77777777" w:rsidR="002F0A87" w:rsidRPr="003D5FB5" w:rsidRDefault="002F0A87" w:rsidP="002F0A87">
            <w:pPr>
              <w:spacing w:line="360" w:lineRule="auto"/>
              <w:jc w:val="center"/>
              <w:rPr>
                <w:rFonts w:asciiTheme="minorHAnsi" w:eastAsia="Calibri" w:hAnsiTheme="minorHAnsi" w:cstheme="minorHAnsi"/>
                <w:color w:val="000000" w:themeColor="text1"/>
                <w:sz w:val="22"/>
                <w:szCs w:val="22"/>
              </w:rPr>
            </w:pPr>
            <w:r w:rsidRPr="003D5FB5">
              <w:rPr>
                <w:rFonts w:asciiTheme="minorHAnsi" w:eastAsia="Calibri" w:hAnsiTheme="minorHAnsi" w:cstheme="minorHAnsi"/>
                <w:color w:val="000000" w:themeColor="text1"/>
                <w:sz w:val="22"/>
                <w:szCs w:val="22"/>
              </w:rPr>
              <w:t>CB</w:t>
            </w:r>
          </w:p>
        </w:tc>
        <w:tc>
          <w:tcPr>
            <w:tcW w:w="872" w:type="dxa"/>
            <w:tcBorders>
              <w:top w:val="single" w:sz="6" w:space="0" w:color="000000"/>
              <w:left w:val="single" w:sz="6" w:space="0" w:color="000000"/>
              <w:bottom w:val="single" w:sz="6" w:space="0" w:color="000000"/>
              <w:right w:val="single" w:sz="6" w:space="0" w:color="000000"/>
            </w:tcBorders>
            <w:shd w:val="clear" w:color="auto" w:fill="FFFFFF" w:themeFill="background1"/>
            <w:vAlign w:val="center"/>
          </w:tcPr>
          <w:p w14:paraId="42497783" w14:textId="77777777" w:rsidR="002F0A87" w:rsidRPr="003D5FB5" w:rsidRDefault="002F0A87" w:rsidP="002F0A87">
            <w:pPr>
              <w:spacing w:line="360" w:lineRule="auto"/>
              <w:jc w:val="center"/>
              <w:rPr>
                <w:rFonts w:asciiTheme="minorHAnsi" w:eastAsia="Calibri" w:hAnsiTheme="minorHAnsi" w:cstheme="minorHAnsi"/>
                <w:color w:val="000000" w:themeColor="text1"/>
                <w:sz w:val="22"/>
                <w:szCs w:val="22"/>
              </w:rPr>
            </w:pPr>
            <w:r w:rsidRPr="003D5FB5">
              <w:rPr>
                <w:rFonts w:asciiTheme="minorHAnsi" w:eastAsia="Calibri" w:hAnsiTheme="minorHAnsi" w:cstheme="minorHAnsi"/>
                <w:color w:val="000000" w:themeColor="text1"/>
                <w:sz w:val="22"/>
                <w:szCs w:val="22"/>
              </w:rPr>
              <w:t>61</w:t>
            </w:r>
          </w:p>
        </w:tc>
      </w:tr>
      <w:tr w:rsidR="002F0A87" w:rsidRPr="003D5FB5" w14:paraId="5500EEE8" w14:textId="77777777" w:rsidTr="00EA573A">
        <w:trPr>
          <w:trHeight w:val="348"/>
        </w:trPr>
        <w:tc>
          <w:tcPr>
            <w:tcW w:w="851" w:type="dxa"/>
            <w:tcBorders>
              <w:top w:val="single" w:sz="6" w:space="0" w:color="000000"/>
              <w:left w:val="single" w:sz="6" w:space="0" w:color="000000"/>
              <w:bottom w:val="single" w:sz="6" w:space="0" w:color="000000"/>
              <w:right w:val="single" w:sz="6" w:space="0" w:color="000000"/>
            </w:tcBorders>
            <w:shd w:val="clear" w:color="auto" w:fill="FFFFFF" w:themeFill="background1"/>
            <w:vAlign w:val="center"/>
          </w:tcPr>
          <w:p w14:paraId="5BBDB439" w14:textId="77777777" w:rsidR="002F0A87" w:rsidRPr="003D5FB5" w:rsidRDefault="002F0A87" w:rsidP="002F0A87">
            <w:pPr>
              <w:spacing w:line="360" w:lineRule="auto"/>
              <w:jc w:val="center"/>
              <w:rPr>
                <w:rFonts w:asciiTheme="minorHAnsi" w:eastAsia="Calibri" w:hAnsiTheme="minorHAnsi" w:cstheme="minorHAnsi"/>
                <w:color w:val="000000" w:themeColor="text1"/>
                <w:sz w:val="22"/>
                <w:szCs w:val="22"/>
              </w:rPr>
            </w:pPr>
            <w:r w:rsidRPr="003D5FB5">
              <w:rPr>
                <w:rFonts w:asciiTheme="minorHAnsi" w:eastAsia="Calibri" w:hAnsiTheme="minorHAnsi" w:cstheme="minorHAnsi"/>
                <w:color w:val="000000" w:themeColor="text1"/>
                <w:sz w:val="22"/>
                <w:szCs w:val="22"/>
              </w:rPr>
              <w:t>10</w:t>
            </w:r>
          </w:p>
        </w:tc>
        <w:tc>
          <w:tcPr>
            <w:tcW w:w="4819" w:type="dxa"/>
            <w:tcBorders>
              <w:top w:val="single" w:sz="6" w:space="0" w:color="000000"/>
              <w:left w:val="single" w:sz="6" w:space="0" w:color="000000"/>
              <w:bottom w:val="single" w:sz="6" w:space="0" w:color="000000"/>
              <w:right w:val="single" w:sz="6" w:space="0" w:color="000000"/>
            </w:tcBorders>
            <w:shd w:val="clear" w:color="auto" w:fill="FFFFFF" w:themeFill="background1"/>
            <w:vAlign w:val="center"/>
          </w:tcPr>
          <w:p w14:paraId="17B7DD74" w14:textId="77777777" w:rsidR="002F0A87" w:rsidRPr="003D5FB5" w:rsidRDefault="002F0A87" w:rsidP="002F0A87">
            <w:pPr>
              <w:spacing w:line="360" w:lineRule="auto"/>
              <w:rPr>
                <w:rFonts w:asciiTheme="minorHAnsi" w:eastAsia="Calibri" w:hAnsiTheme="minorHAnsi" w:cstheme="minorHAnsi"/>
                <w:color w:val="000000" w:themeColor="text1"/>
                <w:sz w:val="22"/>
                <w:szCs w:val="22"/>
              </w:rPr>
            </w:pPr>
            <w:r w:rsidRPr="003D5FB5">
              <w:rPr>
                <w:rFonts w:asciiTheme="minorHAnsi" w:eastAsia="Calibri" w:hAnsiTheme="minorHAnsi" w:cstheme="minorHAnsi"/>
                <w:color w:val="000000" w:themeColor="text1"/>
                <w:sz w:val="22"/>
                <w:szCs w:val="22"/>
              </w:rPr>
              <w:t>AB SWITCH/ISOLATOR MAINTENANCE/Repair</w:t>
            </w:r>
          </w:p>
        </w:tc>
        <w:tc>
          <w:tcPr>
            <w:tcW w:w="1843" w:type="dxa"/>
            <w:tcBorders>
              <w:top w:val="single" w:sz="6" w:space="0" w:color="000000"/>
              <w:left w:val="single" w:sz="6" w:space="0" w:color="000000"/>
              <w:bottom w:val="single" w:sz="6" w:space="0" w:color="000000"/>
              <w:right w:val="single" w:sz="6" w:space="0" w:color="000000"/>
            </w:tcBorders>
            <w:shd w:val="clear" w:color="auto" w:fill="FFFFFF" w:themeFill="background1"/>
            <w:vAlign w:val="center"/>
          </w:tcPr>
          <w:p w14:paraId="03B77074" w14:textId="77777777" w:rsidR="002F0A87" w:rsidRPr="003D5FB5" w:rsidRDefault="002F0A87" w:rsidP="002F0A87">
            <w:pPr>
              <w:spacing w:line="360" w:lineRule="auto"/>
              <w:jc w:val="center"/>
              <w:rPr>
                <w:rFonts w:asciiTheme="minorHAnsi" w:eastAsia="Calibri" w:hAnsiTheme="minorHAnsi" w:cstheme="minorHAnsi"/>
                <w:color w:val="000000" w:themeColor="text1"/>
                <w:sz w:val="22"/>
                <w:szCs w:val="22"/>
              </w:rPr>
            </w:pPr>
            <w:r w:rsidRPr="003D5FB5">
              <w:rPr>
                <w:rFonts w:asciiTheme="minorHAnsi" w:eastAsia="Calibri" w:hAnsiTheme="minorHAnsi" w:cstheme="minorHAnsi"/>
                <w:color w:val="000000" w:themeColor="text1"/>
                <w:sz w:val="22"/>
                <w:szCs w:val="22"/>
              </w:rPr>
              <w:t>SWITCHYARD</w:t>
            </w:r>
          </w:p>
        </w:tc>
        <w:tc>
          <w:tcPr>
            <w:tcW w:w="872" w:type="dxa"/>
            <w:tcBorders>
              <w:top w:val="single" w:sz="6" w:space="0" w:color="000000"/>
              <w:left w:val="single" w:sz="6" w:space="0" w:color="000000"/>
              <w:bottom w:val="single" w:sz="6" w:space="0" w:color="000000"/>
              <w:right w:val="single" w:sz="6" w:space="0" w:color="000000"/>
            </w:tcBorders>
            <w:shd w:val="clear" w:color="auto" w:fill="FFFFFF" w:themeFill="background1"/>
            <w:vAlign w:val="center"/>
          </w:tcPr>
          <w:p w14:paraId="2F61C64B" w14:textId="77777777" w:rsidR="002F0A87" w:rsidRPr="003D5FB5" w:rsidRDefault="002F0A87" w:rsidP="002F0A87">
            <w:pPr>
              <w:spacing w:line="360" w:lineRule="auto"/>
              <w:jc w:val="center"/>
              <w:rPr>
                <w:rFonts w:asciiTheme="minorHAnsi" w:eastAsia="Calibri" w:hAnsiTheme="minorHAnsi" w:cstheme="minorHAnsi"/>
                <w:color w:val="000000" w:themeColor="text1"/>
                <w:sz w:val="22"/>
                <w:szCs w:val="22"/>
              </w:rPr>
            </w:pPr>
            <w:r w:rsidRPr="003D5FB5">
              <w:rPr>
                <w:rFonts w:asciiTheme="minorHAnsi" w:eastAsia="Calibri" w:hAnsiTheme="minorHAnsi" w:cstheme="minorHAnsi"/>
                <w:color w:val="000000" w:themeColor="text1"/>
                <w:sz w:val="22"/>
                <w:szCs w:val="22"/>
              </w:rPr>
              <w:t>154</w:t>
            </w:r>
          </w:p>
        </w:tc>
      </w:tr>
      <w:tr w:rsidR="002F0A87" w:rsidRPr="003D5FB5" w14:paraId="23C07611" w14:textId="77777777" w:rsidTr="00EA573A">
        <w:trPr>
          <w:trHeight w:val="227"/>
        </w:trPr>
        <w:tc>
          <w:tcPr>
            <w:tcW w:w="851" w:type="dxa"/>
            <w:tcBorders>
              <w:top w:val="single" w:sz="6" w:space="0" w:color="000000"/>
              <w:left w:val="single" w:sz="6" w:space="0" w:color="000000"/>
              <w:bottom w:val="single" w:sz="6" w:space="0" w:color="000000"/>
              <w:right w:val="single" w:sz="6" w:space="0" w:color="000000"/>
            </w:tcBorders>
            <w:shd w:val="clear" w:color="auto" w:fill="FFFFFF" w:themeFill="background1"/>
            <w:vAlign w:val="center"/>
          </w:tcPr>
          <w:p w14:paraId="1FDA14F2" w14:textId="77777777" w:rsidR="002F0A87" w:rsidRPr="003D5FB5" w:rsidRDefault="002F0A87" w:rsidP="002F0A87">
            <w:pPr>
              <w:spacing w:line="360" w:lineRule="auto"/>
              <w:jc w:val="center"/>
              <w:rPr>
                <w:rFonts w:asciiTheme="minorHAnsi" w:eastAsia="Calibri" w:hAnsiTheme="minorHAnsi" w:cstheme="minorHAnsi"/>
                <w:color w:val="000000" w:themeColor="text1"/>
                <w:sz w:val="22"/>
                <w:szCs w:val="22"/>
              </w:rPr>
            </w:pPr>
            <w:r w:rsidRPr="003D5FB5">
              <w:rPr>
                <w:rFonts w:asciiTheme="minorHAnsi" w:eastAsia="Calibri" w:hAnsiTheme="minorHAnsi" w:cstheme="minorHAnsi"/>
                <w:color w:val="000000" w:themeColor="text1"/>
                <w:sz w:val="22"/>
                <w:szCs w:val="22"/>
              </w:rPr>
              <w:t>11</w:t>
            </w:r>
          </w:p>
        </w:tc>
        <w:tc>
          <w:tcPr>
            <w:tcW w:w="4819" w:type="dxa"/>
            <w:tcBorders>
              <w:top w:val="single" w:sz="6" w:space="0" w:color="000000"/>
              <w:left w:val="single" w:sz="6" w:space="0" w:color="000000"/>
              <w:bottom w:val="single" w:sz="6" w:space="0" w:color="000000"/>
              <w:right w:val="single" w:sz="6" w:space="0" w:color="000000"/>
            </w:tcBorders>
            <w:shd w:val="clear" w:color="auto" w:fill="FFFFFF" w:themeFill="background1"/>
            <w:vAlign w:val="center"/>
          </w:tcPr>
          <w:p w14:paraId="0C625984" w14:textId="77777777" w:rsidR="002F0A87" w:rsidRPr="003D5FB5" w:rsidRDefault="002F0A87" w:rsidP="002F0A87">
            <w:pPr>
              <w:spacing w:line="360" w:lineRule="auto"/>
              <w:jc w:val="both"/>
              <w:rPr>
                <w:rFonts w:asciiTheme="minorHAnsi" w:eastAsia="Calibri" w:hAnsiTheme="minorHAnsi" w:cstheme="minorHAnsi"/>
                <w:color w:val="000000" w:themeColor="text1"/>
                <w:sz w:val="22"/>
                <w:szCs w:val="22"/>
              </w:rPr>
            </w:pPr>
            <w:r w:rsidRPr="003D5FB5">
              <w:rPr>
                <w:rFonts w:asciiTheme="minorHAnsi" w:eastAsia="Calibri" w:hAnsiTheme="minorHAnsi" w:cstheme="minorHAnsi"/>
                <w:color w:val="000000" w:themeColor="text1"/>
                <w:sz w:val="22"/>
                <w:szCs w:val="22"/>
              </w:rPr>
              <w:t>LA INSTALLATION/Maintenance</w:t>
            </w:r>
          </w:p>
        </w:tc>
        <w:tc>
          <w:tcPr>
            <w:tcW w:w="1843" w:type="dxa"/>
            <w:tcBorders>
              <w:top w:val="single" w:sz="6" w:space="0" w:color="000000"/>
              <w:left w:val="single" w:sz="6" w:space="0" w:color="000000"/>
              <w:bottom w:val="single" w:sz="6" w:space="0" w:color="000000"/>
              <w:right w:val="single" w:sz="6" w:space="0" w:color="000000"/>
            </w:tcBorders>
            <w:shd w:val="clear" w:color="auto" w:fill="FFFFFF" w:themeFill="background1"/>
            <w:vAlign w:val="center"/>
          </w:tcPr>
          <w:p w14:paraId="3410C903" w14:textId="77777777" w:rsidR="002F0A87" w:rsidRPr="003D5FB5" w:rsidRDefault="002F0A87" w:rsidP="002F0A87">
            <w:pPr>
              <w:spacing w:line="360" w:lineRule="auto"/>
              <w:jc w:val="center"/>
              <w:rPr>
                <w:rFonts w:asciiTheme="minorHAnsi" w:eastAsia="Calibri" w:hAnsiTheme="minorHAnsi" w:cstheme="minorHAnsi"/>
                <w:color w:val="000000" w:themeColor="text1"/>
                <w:sz w:val="22"/>
                <w:szCs w:val="22"/>
              </w:rPr>
            </w:pPr>
            <w:r w:rsidRPr="003D5FB5">
              <w:rPr>
                <w:rFonts w:asciiTheme="minorHAnsi" w:eastAsia="Calibri" w:hAnsiTheme="minorHAnsi" w:cstheme="minorHAnsi"/>
                <w:color w:val="000000" w:themeColor="text1"/>
                <w:sz w:val="22"/>
                <w:szCs w:val="22"/>
              </w:rPr>
              <w:t>SWITCHYARD</w:t>
            </w:r>
          </w:p>
        </w:tc>
        <w:tc>
          <w:tcPr>
            <w:tcW w:w="872" w:type="dxa"/>
            <w:tcBorders>
              <w:top w:val="single" w:sz="6" w:space="0" w:color="000000"/>
              <w:left w:val="single" w:sz="6" w:space="0" w:color="000000"/>
              <w:bottom w:val="single" w:sz="6" w:space="0" w:color="000000"/>
              <w:right w:val="single" w:sz="6" w:space="0" w:color="000000"/>
            </w:tcBorders>
            <w:shd w:val="clear" w:color="auto" w:fill="FFFFFF" w:themeFill="background1"/>
            <w:vAlign w:val="center"/>
          </w:tcPr>
          <w:p w14:paraId="02FC4A71" w14:textId="77777777" w:rsidR="002F0A87" w:rsidRPr="003D5FB5" w:rsidRDefault="002F0A87" w:rsidP="002F0A87">
            <w:pPr>
              <w:spacing w:line="360" w:lineRule="auto"/>
              <w:jc w:val="center"/>
              <w:rPr>
                <w:rFonts w:asciiTheme="minorHAnsi" w:eastAsia="Calibri" w:hAnsiTheme="minorHAnsi" w:cstheme="minorHAnsi"/>
                <w:color w:val="000000" w:themeColor="text1"/>
                <w:sz w:val="22"/>
                <w:szCs w:val="22"/>
              </w:rPr>
            </w:pPr>
            <w:r w:rsidRPr="003D5FB5">
              <w:rPr>
                <w:rFonts w:asciiTheme="minorHAnsi" w:eastAsia="Calibri" w:hAnsiTheme="minorHAnsi" w:cstheme="minorHAnsi"/>
                <w:color w:val="000000" w:themeColor="text1"/>
                <w:sz w:val="22"/>
                <w:szCs w:val="22"/>
              </w:rPr>
              <w:t>1050</w:t>
            </w:r>
          </w:p>
        </w:tc>
      </w:tr>
      <w:tr w:rsidR="002F0A87" w:rsidRPr="003D5FB5" w14:paraId="1217874B" w14:textId="77777777" w:rsidTr="00EA573A">
        <w:trPr>
          <w:trHeight w:val="227"/>
        </w:trPr>
        <w:tc>
          <w:tcPr>
            <w:tcW w:w="851" w:type="dxa"/>
            <w:tcBorders>
              <w:top w:val="single" w:sz="6" w:space="0" w:color="000000"/>
              <w:left w:val="single" w:sz="6" w:space="0" w:color="000000"/>
              <w:bottom w:val="single" w:sz="6" w:space="0" w:color="000000"/>
              <w:right w:val="single" w:sz="6" w:space="0" w:color="000000"/>
            </w:tcBorders>
            <w:shd w:val="clear" w:color="auto" w:fill="FFFFFF" w:themeFill="background1"/>
            <w:vAlign w:val="center"/>
          </w:tcPr>
          <w:p w14:paraId="297E39AE" w14:textId="77777777" w:rsidR="002F0A87" w:rsidRPr="003D5FB5" w:rsidRDefault="002F0A87" w:rsidP="002F0A87">
            <w:pPr>
              <w:spacing w:line="360" w:lineRule="auto"/>
              <w:jc w:val="center"/>
              <w:rPr>
                <w:rFonts w:asciiTheme="minorHAnsi" w:eastAsia="Calibri" w:hAnsiTheme="minorHAnsi" w:cstheme="minorHAnsi"/>
                <w:color w:val="000000" w:themeColor="text1"/>
                <w:sz w:val="22"/>
                <w:szCs w:val="22"/>
              </w:rPr>
            </w:pPr>
            <w:r w:rsidRPr="003D5FB5">
              <w:rPr>
                <w:rFonts w:asciiTheme="minorHAnsi" w:eastAsia="Calibri" w:hAnsiTheme="minorHAnsi" w:cstheme="minorHAnsi"/>
                <w:color w:val="000000" w:themeColor="text1"/>
                <w:sz w:val="22"/>
                <w:szCs w:val="22"/>
              </w:rPr>
              <w:t>12</w:t>
            </w:r>
          </w:p>
        </w:tc>
        <w:tc>
          <w:tcPr>
            <w:tcW w:w="4819" w:type="dxa"/>
            <w:tcBorders>
              <w:top w:val="single" w:sz="6" w:space="0" w:color="000000"/>
              <w:left w:val="single" w:sz="6" w:space="0" w:color="000000"/>
              <w:bottom w:val="single" w:sz="6" w:space="0" w:color="000000"/>
              <w:right w:val="single" w:sz="6" w:space="0" w:color="000000"/>
            </w:tcBorders>
            <w:shd w:val="clear" w:color="auto" w:fill="FFFFFF" w:themeFill="background1"/>
            <w:vAlign w:val="center"/>
          </w:tcPr>
          <w:p w14:paraId="6A7787F9" w14:textId="77777777" w:rsidR="002F0A87" w:rsidRPr="003D5FB5" w:rsidRDefault="002F0A87" w:rsidP="002F0A87">
            <w:pPr>
              <w:spacing w:line="360" w:lineRule="auto"/>
              <w:jc w:val="both"/>
              <w:rPr>
                <w:rFonts w:asciiTheme="minorHAnsi" w:eastAsia="Calibri" w:hAnsiTheme="minorHAnsi" w:cstheme="minorHAnsi"/>
                <w:color w:val="000000" w:themeColor="text1"/>
                <w:sz w:val="22"/>
                <w:szCs w:val="22"/>
              </w:rPr>
            </w:pPr>
            <w:r w:rsidRPr="003D5FB5">
              <w:rPr>
                <w:rFonts w:asciiTheme="minorHAnsi" w:eastAsia="Calibri" w:hAnsiTheme="minorHAnsi" w:cstheme="minorHAnsi"/>
                <w:color w:val="000000" w:themeColor="text1"/>
                <w:sz w:val="22"/>
                <w:szCs w:val="22"/>
              </w:rPr>
              <w:t>PSS Preventive Maintenance</w:t>
            </w:r>
          </w:p>
        </w:tc>
        <w:tc>
          <w:tcPr>
            <w:tcW w:w="1843" w:type="dxa"/>
            <w:tcBorders>
              <w:top w:val="single" w:sz="6" w:space="0" w:color="000000"/>
              <w:left w:val="single" w:sz="6" w:space="0" w:color="000000"/>
              <w:bottom w:val="single" w:sz="6" w:space="0" w:color="000000"/>
              <w:right w:val="single" w:sz="6" w:space="0" w:color="000000"/>
            </w:tcBorders>
            <w:shd w:val="clear" w:color="auto" w:fill="FFFFFF" w:themeFill="background1"/>
            <w:vAlign w:val="center"/>
          </w:tcPr>
          <w:p w14:paraId="06A84B67" w14:textId="77777777" w:rsidR="002F0A87" w:rsidRPr="003D5FB5" w:rsidRDefault="002F0A87" w:rsidP="002F0A87">
            <w:pPr>
              <w:spacing w:line="360" w:lineRule="auto"/>
              <w:jc w:val="center"/>
              <w:rPr>
                <w:rFonts w:asciiTheme="minorHAnsi" w:eastAsia="Calibri" w:hAnsiTheme="minorHAnsi" w:cstheme="minorHAnsi"/>
                <w:color w:val="000000" w:themeColor="text1"/>
                <w:sz w:val="22"/>
                <w:szCs w:val="22"/>
              </w:rPr>
            </w:pPr>
            <w:r w:rsidRPr="003D5FB5">
              <w:rPr>
                <w:rFonts w:asciiTheme="minorHAnsi" w:eastAsia="Calibri" w:hAnsiTheme="minorHAnsi" w:cstheme="minorHAnsi"/>
                <w:color w:val="000000" w:themeColor="text1"/>
                <w:sz w:val="22"/>
                <w:szCs w:val="22"/>
              </w:rPr>
              <w:t>PM</w:t>
            </w:r>
          </w:p>
        </w:tc>
        <w:tc>
          <w:tcPr>
            <w:tcW w:w="872" w:type="dxa"/>
            <w:tcBorders>
              <w:top w:val="single" w:sz="6" w:space="0" w:color="000000"/>
              <w:left w:val="single" w:sz="6" w:space="0" w:color="000000"/>
              <w:bottom w:val="single" w:sz="6" w:space="0" w:color="000000"/>
              <w:right w:val="single" w:sz="6" w:space="0" w:color="000000"/>
            </w:tcBorders>
            <w:shd w:val="clear" w:color="auto" w:fill="FFFFFF" w:themeFill="background1"/>
            <w:vAlign w:val="center"/>
          </w:tcPr>
          <w:p w14:paraId="01617022" w14:textId="77777777" w:rsidR="002F0A87" w:rsidRPr="003D5FB5" w:rsidRDefault="002F0A87" w:rsidP="002F0A87">
            <w:pPr>
              <w:spacing w:line="360" w:lineRule="auto"/>
              <w:jc w:val="center"/>
              <w:rPr>
                <w:rFonts w:asciiTheme="minorHAnsi" w:eastAsia="Calibri" w:hAnsiTheme="minorHAnsi" w:cstheme="minorHAnsi"/>
                <w:color w:val="000000" w:themeColor="text1"/>
                <w:sz w:val="22"/>
                <w:szCs w:val="22"/>
              </w:rPr>
            </w:pPr>
            <w:r w:rsidRPr="003D5FB5">
              <w:rPr>
                <w:rFonts w:asciiTheme="minorHAnsi" w:eastAsia="Calibri" w:hAnsiTheme="minorHAnsi" w:cstheme="minorHAnsi"/>
                <w:color w:val="000000" w:themeColor="text1"/>
                <w:sz w:val="22"/>
                <w:szCs w:val="22"/>
              </w:rPr>
              <w:t>247</w:t>
            </w:r>
          </w:p>
        </w:tc>
      </w:tr>
      <w:tr w:rsidR="002F0A87" w:rsidRPr="003D5FB5" w14:paraId="5982CC04" w14:textId="77777777" w:rsidTr="00EA573A">
        <w:trPr>
          <w:trHeight w:val="348"/>
        </w:trPr>
        <w:tc>
          <w:tcPr>
            <w:tcW w:w="851" w:type="dxa"/>
            <w:tcBorders>
              <w:top w:val="single" w:sz="6" w:space="0" w:color="000000"/>
              <w:left w:val="single" w:sz="6" w:space="0" w:color="000000"/>
              <w:bottom w:val="single" w:sz="6" w:space="0" w:color="000000"/>
              <w:right w:val="single" w:sz="6" w:space="0" w:color="000000"/>
            </w:tcBorders>
            <w:shd w:val="clear" w:color="auto" w:fill="FFFFFF" w:themeFill="background1"/>
            <w:vAlign w:val="center"/>
          </w:tcPr>
          <w:p w14:paraId="2BAE11E7" w14:textId="77777777" w:rsidR="002F0A87" w:rsidRPr="003D5FB5" w:rsidRDefault="002F0A87" w:rsidP="002F0A87">
            <w:pPr>
              <w:spacing w:line="360" w:lineRule="auto"/>
              <w:jc w:val="center"/>
              <w:rPr>
                <w:rFonts w:asciiTheme="minorHAnsi" w:eastAsia="Calibri" w:hAnsiTheme="minorHAnsi" w:cstheme="minorHAnsi"/>
                <w:color w:val="000000" w:themeColor="text1"/>
                <w:sz w:val="22"/>
                <w:szCs w:val="22"/>
              </w:rPr>
            </w:pPr>
            <w:r w:rsidRPr="003D5FB5">
              <w:rPr>
                <w:rFonts w:asciiTheme="minorHAnsi" w:eastAsia="Calibri" w:hAnsiTheme="minorHAnsi" w:cstheme="minorHAnsi"/>
                <w:color w:val="000000" w:themeColor="text1"/>
                <w:sz w:val="22"/>
                <w:szCs w:val="22"/>
              </w:rPr>
              <w:t>13</w:t>
            </w:r>
          </w:p>
        </w:tc>
        <w:tc>
          <w:tcPr>
            <w:tcW w:w="4819" w:type="dxa"/>
            <w:tcBorders>
              <w:top w:val="single" w:sz="6" w:space="0" w:color="000000"/>
              <w:left w:val="single" w:sz="6" w:space="0" w:color="000000"/>
              <w:bottom w:val="single" w:sz="6" w:space="0" w:color="000000"/>
              <w:right w:val="single" w:sz="6" w:space="0" w:color="000000"/>
            </w:tcBorders>
            <w:shd w:val="clear" w:color="auto" w:fill="FFFFFF" w:themeFill="background1"/>
            <w:vAlign w:val="center"/>
          </w:tcPr>
          <w:p w14:paraId="4FF19F19" w14:textId="77777777" w:rsidR="002F0A87" w:rsidRPr="003D5FB5" w:rsidRDefault="002F0A87" w:rsidP="002F0A87">
            <w:pPr>
              <w:spacing w:line="360" w:lineRule="auto"/>
              <w:jc w:val="both"/>
              <w:rPr>
                <w:rFonts w:asciiTheme="minorHAnsi" w:eastAsia="Calibri" w:hAnsiTheme="minorHAnsi" w:cstheme="minorHAnsi"/>
                <w:color w:val="000000" w:themeColor="text1"/>
                <w:sz w:val="22"/>
                <w:szCs w:val="22"/>
              </w:rPr>
            </w:pPr>
            <w:r w:rsidRPr="003D5FB5">
              <w:rPr>
                <w:rFonts w:asciiTheme="minorHAnsi" w:eastAsia="Calibri" w:hAnsiTheme="minorHAnsi" w:cstheme="minorHAnsi"/>
                <w:color w:val="000000" w:themeColor="text1"/>
                <w:sz w:val="22"/>
                <w:szCs w:val="22"/>
              </w:rPr>
              <w:t>PSS/Line Thermal Scanning (No's of Hot Spot Found/Rectified)</w:t>
            </w:r>
          </w:p>
        </w:tc>
        <w:tc>
          <w:tcPr>
            <w:tcW w:w="1843" w:type="dxa"/>
            <w:tcBorders>
              <w:top w:val="single" w:sz="6" w:space="0" w:color="000000"/>
              <w:left w:val="single" w:sz="6" w:space="0" w:color="000000"/>
              <w:bottom w:val="single" w:sz="6" w:space="0" w:color="000000"/>
              <w:right w:val="single" w:sz="6" w:space="0" w:color="000000"/>
            </w:tcBorders>
            <w:shd w:val="clear" w:color="auto" w:fill="FFFFFF" w:themeFill="background1"/>
            <w:vAlign w:val="center"/>
          </w:tcPr>
          <w:p w14:paraId="037171EB" w14:textId="77777777" w:rsidR="002F0A87" w:rsidRPr="003D5FB5" w:rsidRDefault="002F0A87" w:rsidP="002F0A87">
            <w:pPr>
              <w:spacing w:line="360" w:lineRule="auto"/>
              <w:jc w:val="center"/>
              <w:rPr>
                <w:rFonts w:asciiTheme="minorHAnsi" w:eastAsia="Calibri" w:hAnsiTheme="minorHAnsi" w:cstheme="minorHAnsi"/>
                <w:color w:val="000000" w:themeColor="text1"/>
                <w:sz w:val="22"/>
                <w:szCs w:val="22"/>
              </w:rPr>
            </w:pPr>
            <w:r w:rsidRPr="003D5FB5">
              <w:rPr>
                <w:rFonts w:asciiTheme="minorHAnsi" w:eastAsia="Calibri" w:hAnsiTheme="minorHAnsi" w:cstheme="minorHAnsi"/>
                <w:color w:val="000000" w:themeColor="text1"/>
                <w:sz w:val="22"/>
                <w:szCs w:val="22"/>
              </w:rPr>
              <w:t>PM</w:t>
            </w:r>
          </w:p>
        </w:tc>
        <w:tc>
          <w:tcPr>
            <w:tcW w:w="872" w:type="dxa"/>
            <w:tcBorders>
              <w:top w:val="single" w:sz="6" w:space="0" w:color="000000"/>
              <w:left w:val="single" w:sz="6" w:space="0" w:color="000000"/>
              <w:bottom w:val="single" w:sz="6" w:space="0" w:color="000000"/>
              <w:right w:val="single" w:sz="6" w:space="0" w:color="000000"/>
            </w:tcBorders>
            <w:shd w:val="clear" w:color="auto" w:fill="FFFFFF" w:themeFill="background1"/>
            <w:vAlign w:val="center"/>
          </w:tcPr>
          <w:p w14:paraId="322BE87D" w14:textId="77777777" w:rsidR="002F0A87" w:rsidRPr="003D5FB5" w:rsidRDefault="002F0A87" w:rsidP="002F0A87">
            <w:pPr>
              <w:spacing w:line="360" w:lineRule="auto"/>
              <w:jc w:val="center"/>
              <w:rPr>
                <w:rFonts w:asciiTheme="minorHAnsi" w:eastAsia="Calibri" w:hAnsiTheme="minorHAnsi" w:cstheme="minorHAnsi"/>
                <w:color w:val="000000" w:themeColor="text1"/>
                <w:sz w:val="22"/>
                <w:szCs w:val="22"/>
              </w:rPr>
            </w:pPr>
            <w:r w:rsidRPr="003D5FB5">
              <w:rPr>
                <w:rFonts w:asciiTheme="minorHAnsi" w:eastAsia="Calibri" w:hAnsiTheme="minorHAnsi" w:cstheme="minorHAnsi"/>
                <w:color w:val="000000" w:themeColor="text1"/>
                <w:sz w:val="22"/>
                <w:szCs w:val="22"/>
              </w:rPr>
              <w:t>345</w:t>
            </w:r>
          </w:p>
        </w:tc>
      </w:tr>
      <w:tr w:rsidR="002F0A87" w:rsidRPr="003D5FB5" w14:paraId="6BA36C83" w14:textId="77777777" w:rsidTr="00EA573A">
        <w:trPr>
          <w:trHeight w:val="348"/>
        </w:trPr>
        <w:tc>
          <w:tcPr>
            <w:tcW w:w="851" w:type="dxa"/>
            <w:tcBorders>
              <w:top w:val="single" w:sz="6" w:space="0" w:color="000000"/>
              <w:left w:val="single" w:sz="6" w:space="0" w:color="000000"/>
              <w:bottom w:val="single" w:sz="6" w:space="0" w:color="000000"/>
              <w:right w:val="single" w:sz="6" w:space="0" w:color="000000"/>
            </w:tcBorders>
            <w:shd w:val="clear" w:color="auto" w:fill="FFFFFF" w:themeFill="background1"/>
            <w:vAlign w:val="center"/>
          </w:tcPr>
          <w:p w14:paraId="09D98FAC" w14:textId="77777777" w:rsidR="002F0A87" w:rsidRPr="003D5FB5" w:rsidRDefault="002F0A87" w:rsidP="002F0A87">
            <w:pPr>
              <w:spacing w:line="360" w:lineRule="auto"/>
              <w:jc w:val="center"/>
              <w:rPr>
                <w:rFonts w:asciiTheme="minorHAnsi" w:eastAsia="Calibri" w:hAnsiTheme="minorHAnsi" w:cstheme="minorHAnsi"/>
                <w:color w:val="000000" w:themeColor="text1"/>
                <w:sz w:val="22"/>
                <w:szCs w:val="22"/>
              </w:rPr>
            </w:pPr>
            <w:r w:rsidRPr="003D5FB5">
              <w:rPr>
                <w:rFonts w:asciiTheme="minorHAnsi" w:eastAsia="Calibri" w:hAnsiTheme="minorHAnsi" w:cstheme="minorHAnsi"/>
                <w:color w:val="000000" w:themeColor="text1"/>
                <w:sz w:val="22"/>
                <w:szCs w:val="22"/>
              </w:rPr>
              <w:t>14</w:t>
            </w:r>
          </w:p>
        </w:tc>
        <w:tc>
          <w:tcPr>
            <w:tcW w:w="4819" w:type="dxa"/>
            <w:tcBorders>
              <w:top w:val="single" w:sz="6" w:space="0" w:color="000000"/>
              <w:left w:val="single" w:sz="6" w:space="0" w:color="000000"/>
              <w:bottom w:val="single" w:sz="6" w:space="0" w:color="000000"/>
              <w:right w:val="single" w:sz="6" w:space="0" w:color="000000"/>
            </w:tcBorders>
            <w:shd w:val="clear" w:color="auto" w:fill="FFFFFF" w:themeFill="background1"/>
            <w:vAlign w:val="center"/>
          </w:tcPr>
          <w:p w14:paraId="7A696145" w14:textId="77777777" w:rsidR="002F0A87" w:rsidRPr="003D5FB5" w:rsidRDefault="002F0A87" w:rsidP="002F0A87">
            <w:pPr>
              <w:spacing w:line="360" w:lineRule="auto"/>
              <w:jc w:val="both"/>
              <w:rPr>
                <w:rFonts w:asciiTheme="minorHAnsi" w:eastAsia="Calibri" w:hAnsiTheme="minorHAnsi" w:cstheme="minorHAnsi"/>
                <w:color w:val="000000" w:themeColor="text1"/>
                <w:sz w:val="22"/>
                <w:szCs w:val="22"/>
              </w:rPr>
            </w:pPr>
            <w:r w:rsidRPr="003D5FB5">
              <w:rPr>
                <w:rFonts w:asciiTheme="minorHAnsi" w:eastAsia="Calibri" w:hAnsiTheme="minorHAnsi" w:cstheme="minorHAnsi"/>
                <w:color w:val="000000" w:themeColor="text1"/>
                <w:sz w:val="22"/>
                <w:szCs w:val="22"/>
              </w:rPr>
              <w:t>Repair/Maintenance of BATTERY CHARGER</w:t>
            </w:r>
          </w:p>
        </w:tc>
        <w:tc>
          <w:tcPr>
            <w:tcW w:w="1843" w:type="dxa"/>
            <w:tcBorders>
              <w:top w:val="single" w:sz="6" w:space="0" w:color="000000"/>
              <w:left w:val="single" w:sz="6" w:space="0" w:color="000000"/>
              <w:bottom w:val="single" w:sz="6" w:space="0" w:color="000000"/>
              <w:right w:val="single" w:sz="6" w:space="0" w:color="000000"/>
            </w:tcBorders>
            <w:shd w:val="clear" w:color="auto" w:fill="FFFFFF" w:themeFill="background1"/>
            <w:vAlign w:val="center"/>
          </w:tcPr>
          <w:p w14:paraId="37C57F37" w14:textId="77777777" w:rsidR="002F0A87" w:rsidRPr="003D5FB5" w:rsidRDefault="002F0A87" w:rsidP="002F0A87">
            <w:pPr>
              <w:spacing w:line="360" w:lineRule="auto"/>
              <w:jc w:val="center"/>
              <w:rPr>
                <w:rFonts w:asciiTheme="minorHAnsi" w:eastAsia="Calibri" w:hAnsiTheme="minorHAnsi" w:cstheme="minorHAnsi"/>
                <w:color w:val="000000" w:themeColor="text1"/>
                <w:sz w:val="22"/>
                <w:szCs w:val="22"/>
              </w:rPr>
            </w:pPr>
            <w:r w:rsidRPr="003D5FB5">
              <w:rPr>
                <w:rFonts w:asciiTheme="minorHAnsi" w:eastAsia="Calibri" w:hAnsiTheme="minorHAnsi" w:cstheme="minorHAnsi"/>
                <w:color w:val="000000" w:themeColor="text1"/>
                <w:sz w:val="22"/>
                <w:szCs w:val="22"/>
              </w:rPr>
              <w:t>PM</w:t>
            </w:r>
          </w:p>
        </w:tc>
        <w:tc>
          <w:tcPr>
            <w:tcW w:w="872" w:type="dxa"/>
            <w:tcBorders>
              <w:top w:val="single" w:sz="6" w:space="0" w:color="000000"/>
              <w:left w:val="single" w:sz="6" w:space="0" w:color="000000"/>
              <w:bottom w:val="single" w:sz="6" w:space="0" w:color="000000"/>
              <w:right w:val="single" w:sz="6" w:space="0" w:color="000000"/>
            </w:tcBorders>
            <w:shd w:val="clear" w:color="auto" w:fill="FFFFFF" w:themeFill="background1"/>
            <w:vAlign w:val="center"/>
          </w:tcPr>
          <w:p w14:paraId="2EAE313B" w14:textId="77777777" w:rsidR="002F0A87" w:rsidRPr="003D5FB5" w:rsidRDefault="002F0A87" w:rsidP="002F0A87">
            <w:pPr>
              <w:spacing w:line="360" w:lineRule="auto"/>
              <w:jc w:val="center"/>
              <w:rPr>
                <w:rFonts w:asciiTheme="minorHAnsi" w:eastAsia="Calibri" w:hAnsiTheme="minorHAnsi" w:cstheme="minorHAnsi"/>
                <w:color w:val="000000" w:themeColor="text1"/>
                <w:sz w:val="22"/>
                <w:szCs w:val="22"/>
              </w:rPr>
            </w:pPr>
            <w:r w:rsidRPr="003D5FB5">
              <w:rPr>
                <w:rFonts w:asciiTheme="minorHAnsi" w:eastAsia="Calibri" w:hAnsiTheme="minorHAnsi" w:cstheme="minorHAnsi"/>
                <w:color w:val="000000" w:themeColor="text1"/>
                <w:sz w:val="22"/>
                <w:szCs w:val="22"/>
              </w:rPr>
              <w:t>24</w:t>
            </w:r>
          </w:p>
        </w:tc>
      </w:tr>
      <w:tr w:rsidR="002F0A87" w:rsidRPr="003D5FB5" w14:paraId="18EE0D14" w14:textId="77777777" w:rsidTr="00EA573A">
        <w:trPr>
          <w:trHeight w:val="227"/>
        </w:trPr>
        <w:tc>
          <w:tcPr>
            <w:tcW w:w="851" w:type="dxa"/>
            <w:tcBorders>
              <w:top w:val="single" w:sz="6" w:space="0" w:color="000000"/>
              <w:left w:val="single" w:sz="6" w:space="0" w:color="000000"/>
              <w:bottom w:val="single" w:sz="6" w:space="0" w:color="000000"/>
              <w:right w:val="single" w:sz="6" w:space="0" w:color="000000"/>
            </w:tcBorders>
            <w:shd w:val="clear" w:color="auto" w:fill="FFFFFF" w:themeFill="background1"/>
            <w:vAlign w:val="center"/>
          </w:tcPr>
          <w:p w14:paraId="7786D3C0" w14:textId="77777777" w:rsidR="002F0A87" w:rsidRPr="003D5FB5" w:rsidRDefault="002F0A87" w:rsidP="002F0A87">
            <w:pPr>
              <w:spacing w:line="360" w:lineRule="auto"/>
              <w:jc w:val="center"/>
              <w:rPr>
                <w:rFonts w:asciiTheme="minorHAnsi" w:eastAsia="Calibri" w:hAnsiTheme="minorHAnsi" w:cstheme="minorHAnsi"/>
                <w:color w:val="000000" w:themeColor="text1"/>
                <w:sz w:val="22"/>
                <w:szCs w:val="22"/>
              </w:rPr>
            </w:pPr>
            <w:r w:rsidRPr="003D5FB5">
              <w:rPr>
                <w:rFonts w:asciiTheme="minorHAnsi" w:eastAsia="Calibri" w:hAnsiTheme="minorHAnsi" w:cstheme="minorHAnsi"/>
                <w:color w:val="000000" w:themeColor="text1"/>
                <w:sz w:val="22"/>
                <w:szCs w:val="22"/>
              </w:rPr>
              <w:t>15</w:t>
            </w:r>
          </w:p>
        </w:tc>
        <w:tc>
          <w:tcPr>
            <w:tcW w:w="4819" w:type="dxa"/>
            <w:tcBorders>
              <w:top w:val="single" w:sz="6" w:space="0" w:color="000000"/>
              <w:left w:val="single" w:sz="6" w:space="0" w:color="000000"/>
              <w:bottom w:val="single" w:sz="6" w:space="0" w:color="000000"/>
              <w:right w:val="single" w:sz="6" w:space="0" w:color="000000"/>
            </w:tcBorders>
            <w:shd w:val="clear" w:color="auto" w:fill="FFFFFF" w:themeFill="background1"/>
            <w:vAlign w:val="center"/>
          </w:tcPr>
          <w:p w14:paraId="0A7657D3" w14:textId="77777777" w:rsidR="002F0A87" w:rsidRPr="003D5FB5" w:rsidRDefault="002F0A87" w:rsidP="002F0A87">
            <w:pPr>
              <w:spacing w:line="360" w:lineRule="auto"/>
              <w:jc w:val="both"/>
              <w:rPr>
                <w:rFonts w:asciiTheme="minorHAnsi" w:eastAsia="Calibri" w:hAnsiTheme="minorHAnsi" w:cstheme="minorHAnsi"/>
                <w:color w:val="000000" w:themeColor="text1"/>
                <w:sz w:val="22"/>
                <w:szCs w:val="22"/>
              </w:rPr>
            </w:pPr>
            <w:r w:rsidRPr="003D5FB5">
              <w:rPr>
                <w:rFonts w:asciiTheme="minorHAnsi" w:eastAsia="Calibri" w:hAnsiTheme="minorHAnsi" w:cstheme="minorHAnsi"/>
                <w:color w:val="000000" w:themeColor="text1"/>
                <w:sz w:val="22"/>
                <w:szCs w:val="22"/>
              </w:rPr>
              <w:t>Repair/Maintenance of BATTERY BANK</w:t>
            </w:r>
          </w:p>
        </w:tc>
        <w:tc>
          <w:tcPr>
            <w:tcW w:w="1843" w:type="dxa"/>
            <w:tcBorders>
              <w:top w:val="single" w:sz="6" w:space="0" w:color="000000"/>
              <w:left w:val="single" w:sz="6" w:space="0" w:color="000000"/>
              <w:bottom w:val="single" w:sz="6" w:space="0" w:color="000000"/>
              <w:right w:val="single" w:sz="6" w:space="0" w:color="000000"/>
            </w:tcBorders>
            <w:shd w:val="clear" w:color="auto" w:fill="FFFFFF" w:themeFill="background1"/>
            <w:vAlign w:val="center"/>
          </w:tcPr>
          <w:p w14:paraId="791402DB" w14:textId="77777777" w:rsidR="002F0A87" w:rsidRPr="003D5FB5" w:rsidRDefault="002F0A87" w:rsidP="002F0A87">
            <w:pPr>
              <w:spacing w:line="360" w:lineRule="auto"/>
              <w:jc w:val="center"/>
              <w:rPr>
                <w:rFonts w:asciiTheme="minorHAnsi" w:eastAsia="Calibri" w:hAnsiTheme="minorHAnsi" w:cstheme="minorHAnsi"/>
                <w:color w:val="000000" w:themeColor="text1"/>
                <w:sz w:val="22"/>
                <w:szCs w:val="22"/>
              </w:rPr>
            </w:pPr>
            <w:r w:rsidRPr="003D5FB5">
              <w:rPr>
                <w:rFonts w:asciiTheme="minorHAnsi" w:eastAsia="Calibri" w:hAnsiTheme="minorHAnsi" w:cstheme="minorHAnsi"/>
                <w:color w:val="000000" w:themeColor="text1"/>
                <w:sz w:val="22"/>
                <w:szCs w:val="22"/>
              </w:rPr>
              <w:t>PM</w:t>
            </w:r>
          </w:p>
        </w:tc>
        <w:tc>
          <w:tcPr>
            <w:tcW w:w="872" w:type="dxa"/>
            <w:tcBorders>
              <w:top w:val="single" w:sz="6" w:space="0" w:color="000000"/>
              <w:left w:val="single" w:sz="6" w:space="0" w:color="000000"/>
              <w:bottom w:val="single" w:sz="6" w:space="0" w:color="000000"/>
              <w:right w:val="single" w:sz="6" w:space="0" w:color="000000"/>
            </w:tcBorders>
            <w:shd w:val="clear" w:color="auto" w:fill="FFFFFF" w:themeFill="background1"/>
            <w:vAlign w:val="center"/>
          </w:tcPr>
          <w:p w14:paraId="0FBE7729" w14:textId="77777777" w:rsidR="002F0A87" w:rsidRPr="003D5FB5" w:rsidRDefault="002F0A87" w:rsidP="002F0A87">
            <w:pPr>
              <w:spacing w:line="360" w:lineRule="auto"/>
              <w:jc w:val="center"/>
              <w:rPr>
                <w:rFonts w:asciiTheme="minorHAnsi" w:eastAsia="Calibri" w:hAnsiTheme="minorHAnsi" w:cstheme="minorHAnsi"/>
                <w:color w:val="000000" w:themeColor="text1"/>
                <w:sz w:val="22"/>
                <w:szCs w:val="22"/>
              </w:rPr>
            </w:pPr>
            <w:r w:rsidRPr="003D5FB5">
              <w:rPr>
                <w:rFonts w:asciiTheme="minorHAnsi" w:eastAsia="Calibri" w:hAnsiTheme="minorHAnsi" w:cstheme="minorHAnsi"/>
                <w:color w:val="000000" w:themeColor="text1"/>
                <w:sz w:val="22"/>
                <w:szCs w:val="22"/>
              </w:rPr>
              <w:t>11</w:t>
            </w:r>
          </w:p>
        </w:tc>
      </w:tr>
      <w:tr w:rsidR="002F0A87" w:rsidRPr="003D5FB5" w14:paraId="3E481DB4" w14:textId="77777777" w:rsidTr="00EA573A">
        <w:trPr>
          <w:trHeight w:val="227"/>
        </w:trPr>
        <w:tc>
          <w:tcPr>
            <w:tcW w:w="851" w:type="dxa"/>
            <w:tcBorders>
              <w:top w:val="single" w:sz="6" w:space="0" w:color="000000"/>
              <w:left w:val="single" w:sz="6" w:space="0" w:color="000000"/>
              <w:bottom w:val="single" w:sz="6" w:space="0" w:color="000000"/>
              <w:right w:val="single" w:sz="6" w:space="0" w:color="000000"/>
            </w:tcBorders>
            <w:shd w:val="clear" w:color="auto" w:fill="FFFFFF" w:themeFill="background1"/>
            <w:vAlign w:val="center"/>
          </w:tcPr>
          <w:p w14:paraId="7F78800B" w14:textId="77777777" w:rsidR="002F0A87" w:rsidRPr="003D5FB5" w:rsidRDefault="002F0A87" w:rsidP="002F0A87">
            <w:pPr>
              <w:spacing w:line="360" w:lineRule="auto"/>
              <w:jc w:val="center"/>
              <w:rPr>
                <w:rFonts w:asciiTheme="minorHAnsi" w:eastAsia="Calibri" w:hAnsiTheme="minorHAnsi" w:cstheme="minorHAnsi"/>
                <w:color w:val="000000" w:themeColor="text1"/>
                <w:sz w:val="22"/>
                <w:szCs w:val="22"/>
              </w:rPr>
            </w:pPr>
            <w:r w:rsidRPr="003D5FB5">
              <w:rPr>
                <w:rFonts w:asciiTheme="minorHAnsi" w:eastAsia="Calibri" w:hAnsiTheme="minorHAnsi" w:cstheme="minorHAnsi"/>
                <w:color w:val="000000" w:themeColor="text1"/>
                <w:sz w:val="22"/>
                <w:szCs w:val="22"/>
              </w:rPr>
              <w:t>16</w:t>
            </w:r>
          </w:p>
        </w:tc>
        <w:tc>
          <w:tcPr>
            <w:tcW w:w="4819" w:type="dxa"/>
            <w:tcBorders>
              <w:top w:val="single" w:sz="6" w:space="0" w:color="000000"/>
              <w:left w:val="single" w:sz="6" w:space="0" w:color="000000"/>
              <w:bottom w:val="single" w:sz="6" w:space="0" w:color="000000"/>
              <w:right w:val="single" w:sz="6" w:space="0" w:color="000000"/>
            </w:tcBorders>
            <w:shd w:val="clear" w:color="auto" w:fill="FFFFFF" w:themeFill="background1"/>
            <w:vAlign w:val="center"/>
          </w:tcPr>
          <w:p w14:paraId="4CD526A6" w14:textId="77777777" w:rsidR="002F0A87" w:rsidRPr="003D5FB5" w:rsidRDefault="002F0A87" w:rsidP="002F0A87">
            <w:pPr>
              <w:spacing w:line="360" w:lineRule="auto"/>
              <w:jc w:val="both"/>
              <w:rPr>
                <w:rFonts w:asciiTheme="minorHAnsi" w:eastAsia="Calibri" w:hAnsiTheme="minorHAnsi" w:cstheme="minorHAnsi"/>
                <w:color w:val="000000" w:themeColor="text1"/>
                <w:sz w:val="22"/>
                <w:szCs w:val="22"/>
              </w:rPr>
            </w:pPr>
            <w:r w:rsidRPr="003D5FB5">
              <w:rPr>
                <w:rFonts w:asciiTheme="minorHAnsi" w:eastAsia="Calibri" w:hAnsiTheme="minorHAnsi" w:cstheme="minorHAnsi"/>
                <w:color w:val="000000" w:themeColor="text1"/>
                <w:sz w:val="22"/>
                <w:szCs w:val="22"/>
              </w:rPr>
              <w:t>Switchyard/Control Room Cleaning</w:t>
            </w:r>
          </w:p>
        </w:tc>
        <w:tc>
          <w:tcPr>
            <w:tcW w:w="1843" w:type="dxa"/>
            <w:tcBorders>
              <w:top w:val="single" w:sz="6" w:space="0" w:color="000000"/>
              <w:left w:val="single" w:sz="6" w:space="0" w:color="000000"/>
              <w:bottom w:val="single" w:sz="6" w:space="0" w:color="000000"/>
              <w:right w:val="single" w:sz="6" w:space="0" w:color="000000"/>
            </w:tcBorders>
            <w:shd w:val="clear" w:color="auto" w:fill="FFFFFF" w:themeFill="background1"/>
            <w:vAlign w:val="center"/>
          </w:tcPr>
          <w:p w14:paraId="28388380" w14:textId="77777777" w:rsidR="002F0A87" w:rsidRPr="003D5FB5" w:rsidRDefault="002F0A87" w:rsidP="002F0A87">
            <w:pPr>
              <w:spacing w:line="360" w:lineRule="auto"/>
              <w:jc w:val="center"/>
              <w:rPr>
                <w:rFonts w:asciiTheme="minorHAnsi" w:eastAsia="Calibri" w:hAnsiTheme="minorHAnsi" w:cstheme="minorHAnsi"/>
                <w:color w:val="000000" w:themeColor="text1"/>
                <w:sz w:val="22"/>
                <w:szCs w:val="22"/>
              </w:rPr>
            </w:pPr>
            <w:r w:rsidRPr="003D5FB5">
              <w:rPr>
                <w:rFonts w:asciiTheme="minorHAnsi" w:eastAsia="Calibri" w:hAnsiTheme="minorHAnsi" w:cstheme="minorHAnsi"/>
                <w:color w:val="000000" w:themeColor="text1"/>
                <w:sz w:val="22"/>
                <w:szCs w:val="22"/>
              </w:rPr>
              <w:t>MO PSS NIRMALPSS</w:t>
            </w:r>
          </w:p>
        </w:tc>
        <w:tc>
          <w:tcPr>
            <w:tcW w:w="872" w:type="dxa"/>
            <w:tcBorders>
              <w:top w:val="single" w:sz="6" w:space="0" w:color="000000"/>
              <w:left w:val="single" w:sz="6" w:space="0" w:color="000000"/>
              <w:bottom w:val="single" w:sz="6" w:space="0" w:color="000000"/>
              <w:right w:val="single" w:sz="6" w:space="0" w:color="000000"/>
            </w:tcBorders>
            <w:shd w:val="clear" w:color="auto" w:fill="FFFFFF" w:themeFill="background1"/>
            <w:vAlign w:val="center"/>
          </w:tcPr>
          <w:p w14:paraId="1B198D22" w14:textId="77777777" w:rsidR="002F0A87" w:rsidRPr="003D5FB5" w:rsidRDefault="002F0A87" w:rsidP="002F0A87">
            <w:pPr>
              <w:spacing w:line="360" w:lineRule="auto"/>
              <w:jc w:val="center"/>
              <w:rPr>
                <w:rFonts w:asciiTheme="minorHAnsi" w:eastAsia="Calibri" w:hAnsiTheme="minorHAnsi" w:cstheme="minorHAnsi"/>
                <w:color w:val="000000" w:themeColor="text1"/>
                <w:sz w:val="22"/>
                <w:szCs w:val="22"/>
              </w:rPr>
            </w:pPr>
            <w:r w:rsidRPr="003D5FB5">
              <w:rPr>
                <w:rFonts w:asciiTheme="minorHAnsi" w:eastAsia="Calibri" w:hAnsiTheme="minorHAnsi" w:cstheme="minorHAnsi"/>
                <w:color w:val="000000" w:themeColor="text1"/>
                <w:sz w:val="22"/>
                <w:szCs w:val="22"/>
              </w:rPr>
              <w:t>247</w:t>
            </w:r>
          </w:p>
        </w:tc>
      </w:tr>
      <w:tr w:rsidR="002F0A87" w:rsidRPr="003D5FB5" w14:paraId="58914C1A" w14:textId="77777777" w:rsidTr="00EA573A">
        <w:trPr>
          <w:trHeight w:val="302"/>
        </w:trPr>
        <w:tc>
          <w:tcPr>
            <w:tcW w:w="851" w:type="dxa"/>
            <w:tcBorders>
              <w:top w:val="single" w:sz="6" w:space="0" w:color="000000"/>
              <w:left w:val="single" w:sz="6" w:space="0" w:color="000000"/>
              <w:bottom w:val="single" w:sz="6" w:space="0" w:color="000000"/>
              <w:right w:val="single" w:sz="6" w:space="0" w:color="000000"/>
            </w:tcBorders>
            <w:shd w:val="clear" w:color="auto" w:fill="FFFFFF" w:themeFill="background1"/>
            <w:vAlign w:val="center"/>
          </w:tcPr>
          <w:p w14:paraId="6FA85FC0" w14:textId="77777777" w:rsidR="002F0A87" w:rsidRPr="003D5FB5" w:rsidRDefault="002F0A87" w:rsidP="002F0A87">
            <w:pPr>
              <w:spacing w:line="360" w:lineRule="auto"/>
              <w:jc w:val="center"/>
              <w:rPr>
                <w:rFonts w:asciiTheme="minorHAnsi" w:eastAsia="Calibri" w:hAnsiTheme="minorHAnsi" w:cstheme="minorHAnsi"/>
                <w:color w:val="000000" w:themeColor="text1"/>
                <w:sz w:val="22"/>
                <w:szCs w:val="22"/>
              </w:rPr>
            </w:pPr>
            <w:r w:rsidRPr="003D5FB5">
              <w:rPr>
                <w:rFonts w:asciiTheme="minorHAnsi" w:eastAsia="Calibri" w:hAnsiTheme="minorHAnsi" w:cstheme="minorHAnsi"/>
                <w:color w:val="000000" w:themeColor="text1"/>
                <w:sz w:val="22"/>
                <w:szCs w:val="22"/>
              </w:rPr>
              <w:t>17</w:t>
            </w:r>
          </w:p>
        </w:tc>
        <w:tc>
          <w:tcPr>
            <w:tcW w:w="4819" w:type="dxa"/>
            <w:tcBorders>
              <w:top w:val="single" w:sz="6" w:space="0" w:color="000000"/>
              <w:left w:val="single" w:sz="6" w:space="0" w:color="000000"/>
              <w:bottom w:val="single" w:sz="6" w:space="0" w:color="000000"/>
              <w:right w:val="single" w:sz="6" w:space="0" w:color="000000"/>
            </w:tcBorders>
            <w:shd w:val="clear" w:color="auto" w:fill="FFFFFF" w:themeFill="background1"/>
            <w:vAlign w:val="center"/>
          </w:tcPr>
          <w:p w14:paraId="296E2F07" w14:textId="77777777" w:rsidR="002F0A87" w:rsidRPr="003D5FB5" w:rsidRDefault="002F0A87" w:rsidP="002F0A87">
            <w:pPr>
              <w:spacing w:line="360" w:lineRule="auto"/>
              <w:jc w:val="both"/>
              <w:rPr>
                <w:rFonts w:asciiTheme="minorHAnsi" w:eastAsia="Calibri" w:hAnsiTheme="minorHAnsi" w:cstheme="minorHAnsi"/>
                <w:color w:val="000000" w:themeColor="text1"/>
                <w:sz w:val="22"/>
                <w:szCs w:val="22"/>
              </w:rPr>
            </w:pPr>
            <w:r w:rsidRPr="003D5FB5">
              <w:rPr>
                <w:rFonts w:asciiTheme="minorHAnsi" w:eastAsia="Calibri" w:hAnsiTheme="minorHAnsi" w:cstheme="minorHAnsi"/>
                <w:color w:val="000000" w:themeColor="text1"/>
                <w:sz w:val="22"/>
                <w:szCs w:val="22"/>
              </w:rPr>
              <w:t>Residual Life Analysis of PTR</w:t>
            </w:r>
          </w:p>
        </w:tc>
        <w:tc>
          <w:tcPr>
            <w:tcW w:w="1843" w:type="dxa"/>
            <w:tcBorders>
              <w:top w:val="single" w:sz="6" w:space="0" w:color="000000"/>
              <w:left w:val="single" w:sz="6" w:space="0" w:color="000000"/>
              <w:bottom w:val="single" w:sz="6" w:space="0" w:color="000000"/>
              <w:right w:val="single" w:sz="6" w:space="0" w:color="000000"/>
            </w:tcBorders>
            <w:shd w:val="clear" w:color="auto" w:fill="FFFFFF" w:themeFill="background1"/>
            <w:vAlign w:val="center"/>
          </w:tcPr>
          <w:p w14:paraId="030EF723" w14:textId="77777777" w:rsidR="002F0A87" w:rsidRPr="003D5FB5" w:rsidRDefault="002F0A87" w:rsidP="002F0A87">
            <w:pPr>
              <w:spacing w:line="360" w:lineRule="auto"/>
              <w:jc w:val="center"/>
              <w:rPr>
                <w:rFonts w:asciiTheme="minorHAnsi" w:eastAsia="Calibri" w:hAnsiTheme="minorHAnsi" w:cstheme="minorHAnsi"/>
                <w:color w:val="000000" w:themeColor="text1"/>
                <w:sz w:val="22"/>
                <w:szCs w:val="22"/>
              </w:rPr>
            </w:pPr>
            <w:r w:rsidRPr="003D5FB5">
              <w:rPr>
                <w:rFonts w:asciiTheme="minorHAnsi" w:eastAsia="Calibri" w:hAnsiTheme="minorHAnsi" w:cstheme="minorHAnsi"/>
                <w:color w:val="000000" w:themeColor="text1"/>
                <w:sz w:val="22"/>
                <w:szCs w:val="22"/>
              </w:rPr>
              <w:t>PTR BACHAO</w:t>
            </w:r>
          </w:p>
        </w:tc>
        <w:tc>
          <w:tcPr>
            <w:tcW w:w="872" w:type="dxa"/>
            <w:tcBorders>
              <w:top w:val="single" w:sz="6" w:space="0" w:color="000000"/>
              <w:left w:val="single" w:sz="6" w:space="0" w:color="000000"/>
              <w:bottom w:val="single" w:sz="6" w:space="0" w:color="000000"/>
              <w:right w:val="single" w:sz="6" w:space="0" w:color="000000"/>
            </w:tcBorders>
            <w:shd w:val="clear" w:color="auto" w:fill="FFFFFF" w:themeFill="background1"/>
            <w:vAlign w:val="center"/>
          </w:tcPr>
          <w:p w14:paraId="702BBA27" w14:textId="77777777" w:rsidR="002F0A87" w:rsidRPr="003D5FB5" w:rsidRDefault="002F0A87" w:rsidP="002F0A87">
            <w:pPr>
              <w:spacing w:line="360" w:lineRule="auto"/>
              <w:jc w:val="center"/>
              <w:rPr>
                <w:rFonts w:asciiTheme="minorHAnsi" w:eastAsia="Calibri" w:hAnsiTheme="minorHAnsi" w:cstheme="minorHAnsi"/>
                <w:color w:val="000000" w:themeColor="text1"/>
                <w:sz w:val="22"/>
                <w:szCs w:val="22"/>
              </w:rPr>
            </w:pPr>
            <w:r w:rsidRPr="003D5FB5">
              <w:rPr>
                <w:rFonts w:asciiTheme="minorHAnsi" w:eastAsia="Calibri" w:hAnsiTheme="minorHAnsi" w:cstheme="minorHAnsi"/>
                <w:color w:val="000000" w:themeColor="text1"/>
                <w:sz w:val="22"/>
                <w:szCs w:val="22"/>
              </w:rPr>
              <w:t>548</w:t>
            </w:r>
          </w:p>
        </w:tc>
      </w:tr>
    </w:tbl>
    <w:p w14:paraId="59215B6F" w14:textId="77777777" w:rsidR="002F0A87" w:rsidRPr="003D5FB5" w:rsidRDefault="002F0A87" w:rsidP="002F0A87">
      <w:pPr>
        <w:tabs>
          <w:tab w:val="left" w:pos="426"/>
        </w:tabs>
        <w:spacing w:line="360" w:lineRule="auto"/>
        <w:ind w:right="-23"/>
        <w:jc w:val="both"/>
        <w:rPr>
          <w:rFonts w:asciiTheme="minorHAnsi" w:eastAsia="Calibri" w:hAnsiTheme="minorHAnsi" w:cstheme="minorHAnsi"/>
          <w:b/>
          <w:bCs/>
          <w:color w:val="000000" w:themeColor="text1"/>
          <w:sz w:val="22"/>
          <w:szCs w:val="22"/>
        </w:rPr>
      </w:pPr>
    </w:p>
    <w:p w14:paraId="6FBD90EE" w14:textId="3564FAAF" w:rsidR="002F0A87" w:rsidRPr="003D5FB5" w:rsidRDefault="002F0A87" w:rsidP="00EA573A">
      <w:pPr>
        <w:tabs>
          <w:tab w:val="left" w:pos="426"/>
        </w:tabs>
        <w:spacing w:line="360" w:lineRule="auto"/>
        <w:ind w:left="567" w:right="-23"/>
        <w:jc w:val="both"/>
        <w:rPr>
          <w:rFonts w:asciiTheme="minorHAnsi" w:hAnsiTheme="minorHAnsi" w:cstheme="minorHAnsi"/>
          <w:b/>
          <w:bCs/>
          <w:sz w:val="22"/>
          <w:szCs w:val="22"/>
        </w:rPr>
      </w:pPr>
      <w:r w:rsidRPr="003D5FB5">
        <w:rPr>
          <w:rFonts w:asciiTheme="minorHAnsi" w:hAnsiTheme="minorHAnsi" w:cstheme="minorHAnsi"/>
          <w:b/>
          <w:bCs/>
          <w:sz w:val="22"/>
          <w:szCs w:val="22"/>
        </w:rPr>
        <w:t xml:space="preserve">  </w:t>
      </w:r>
      <w:r w:rsidR="00F36EB6">
        <w:rPr>
          <w:rFonts w:asciiTheme="minorHAnsi" w:hAnsiTheme="minorHAnsi" w:cstheme="minorHAnsi"/>
          <w:b/>
          <w:bCs/>
          <w:sz w:val="22"/>
          <w:szCs w:val="22"/>
        </w:rPr>
        <w:t>2.7.</w:t>
      </w:r>
      <w:r w:rsidR="000860B0">
        <w:rPr>
          <w:rFonts w:asciiTheme="minorHAnsi" w:hAnsiTheme="minorHAnsi" w:cstheme="minorHAnsi"/>
          <w:b/>
          <w:bCs/>
          <w:sz w:val="22"/>
          <w:szCs w:val="22"/>
        </w:rPr>
        <w:t>3</w:t>
      </w:r>
      <w:r w:rsidR="00F36EB6">
        <w:rPr>
          <w:rFonts w:asciiTheme="minorHAnsi" w:hAnsiTheme="minorHAnsi" w:cstheme="minorHAnsi"/>
          <w:b/>
          <w:bCs/>
          <w:sz w:val="22"/>
          <w:szCs w:val="22"/>
        </w:rPr>
        <w:t>.</w:t>
      </w:r>
      <w:r w:rsidRPr="003D5FB5">
        <w:rPr>
          <w:rFonts w:asciiTheme="minorHAnsi" w:hAnsiTheme="minorHAnsi" w:cstheme="minorHAnsi"/>
          <w:b/>
          <w:bCs/>
          <w:sz w:val="22"/>
          <w:szCs w:val="22"/>
        </w:rPr>
        <w:t>2 SAP Based Plant Maintenance:</w:t>
      </w:r>
    </w:p>
    <w:p w14:paraId="566DF1F8" w14:textId="77777777" w:rsidR="002F0A87" w:rsidRPr="003D5FB5" w:rsidRDefault="002F0A87" w:rsidP="00EA573A">
      <w:pPr>
        <w:tabs>
          <w:tab w:val="left" w:pos="426"/>
        </w:tabs>
        <w:spacing w:line="360" w:lineRule="auto"/>
        <w:ind w:left="567" w:right="-23"/>
        <w:jc w:val="both"/>
        <w:rPr>
          <w:rFonts w:asciiTheme="minorHAnsi" w:hAnsiTheme="minorHAnsi" w:cstheme="minorHAnsi"/>
          <w:sz w:val="22"/>
          <w:szCs w:val="22"/>
        </w:rPr>
      </w:pPr>
      <w:r w:rsidRPr="003D5FB5">
        <w:rPr>
          <w:rFonts w:asciiTheme="minorHAnsi" w:hAnsiTheme="minorHAnsi" w:cstheme="minorHAnsi"/>
          <w:sz w:val="22"/>
          <w:szCs w:val="22"/>
        </w:rPr>
        <w:t xml:space="preserve">  We had introduced SAP Based Preventive Maintenance &amp; testing of PSS equipment’s in SAP.</w:t>
      </w:r>
    </w:p>
    <w:p w14:paraId="52E8AC81" w14:textId="77777777" w:rsidR="002F0A87" w:rsidRPr="003D5FB5" w:rsidRDefault="002F0A87" w:rsidP="002F0A87">
      <w:pPr>
        <w:tabs>
          <w:tab w:val="left" w:pos="426"/>
        </w:tabs>
        <w:spacing w:line="360" w:lineRule="auto"/>
        <w:ind w:right="-23"/>
        <w:jc w:val="both"/>
        <w:rPr>
          <w:rFonts w:asciiTheme="minorHAnsi" w:hAnsiTheme="minorHAnsi" w:cstheme="minorHAnsi"/>
          <w:sz w:val="22"/>
          <w:szCs w:val="22"/>
        </w:rPr>
      </w:pPr>
      <w:r w:rsidRPr="003D5FB5">
        <w:rPr>
          <w:rFonts w:asciiTheme="minorHAnsi" w:hAnsiTheme="minorHAnsi" w:cstheme="minorHAnsi"/>
          <w:sz w:val="22"/>
          <w:szCs w:val="22"/>
        </w:rPr>
        <w:t xml:space="preserve"> </w:t>
      </w:r>
    </w:p>
    <w:p w14:paraId="432EC2E7" w14:textId="6BFBB572" w:rsidR="002F0A87" w:rsidRPr="003D5FB5" w:rsidRDefault="002F0A87" w:rsidP="002F0A87">
      <w:pPr>
        <w:tabs>
          <w:tab w:val="left" w:pos="426"/>
        </w:tabs>
        <w:spacing w:line="360" w:lineRule="auto"/>
        <w:ind w:right="-23"/>
        <w:jc w:val="center"/>
        <w:rPr>
          <w:rFonts w:asciiTheme="minorHAnsi" w:hAnsiTheme="minorHAnsi" w:cstheme="minorHAnsi"/>
          <w:b/>
          <w:sz w:val="22"/>
          <w:szCs w:val="22"/>
        </w:rPr>
      </w:pPr>
      <w:r w:rsidRPr="003D5FB5">
        <w:rPr>
          <w:rFonts w:asciiTheme="minorHAnsi" w:hAnsiTheme="minorHAnsi" w:cstheme="minorHAnsi"/>
          <w:b/>
          <w:bCs/>
          <w:sz w:val="22"/>
          <w:szCs w:val="22"/>
        </w:rPr>
        <w:t>Table-</w:t>
      </w:r>
      <w:r w:rsidR="00E02343">
        <w:rPr>
          <w:rFonts w:asciiTheme="minorHAnsi" w:hAnsiTheme="minorHAnsi" w:cstheme="minorHAnsi"/>
          <w:b/>
          <w:bCs/>
          <w:sz w:val="22"/>
          <w:szCs w:val="22"/>
        </w:rPr>
        <w:t>2</w:t>
      </w:r>
      <w:r w:rsidR="00EA573A">
        <w:rPr>
          <w:rFonts w:asciiTheme="minorHAnsi" w:hAnsiTheme="minorHAnsi" w:cstheme="minorHAnsi"/>
          <w:b/>
          <w:bCs/>
          <w:sz w:val="22"/>
          <w:szCs w:val="22"/>
        </w:rPr>
        <w:t>1</w:t>
      </w:r>
      <w:r w:rsidRPr="003D5FB5">
        <w:rPr>
          <w:rFonts w:asciiTheme="minorHAnsi" w:hAnsiTheme="minorHAnsi" w:cstheme="minorHAnsi"/>
          <w:b/>
          <w:bCs/>
          <w:sz w:val="22"/>
          <w:szCs w:val="22"/>
        </w:rPr>
        <w:t>: Status of SAP Based Plant Maintenance</w:t>
      </w:r>
    </w:p>
    <w:tbl>
      <w:tblPr>
        <w:tblW w:w="9720" w:type="dxa"/>
        <w:tblInd w:w="421" w:type="dxa"/>
        <w:tblLayout w:type="fixed"/>
        <w:tblCellMar>
          <w:top w:w="15" w:type="dxa"/>
          <w:left w:w="15" w:type="dxa"/>
          <w:right w:w="15" w:type="dxa"/>
        </w:tblCellMar>
        <w:tblLook w:val="06A0" w:firstRow="1" w:lastRow="0" w:firstColumn="1" w:lastColumn="0" w:noHBand="1" w:noVBand="1"/>
      </w:tblPr>
      <w:tblGrid>
        <w:gridCol w:w="942"/>
        <w:gridCol w:w="1100"/>
        <w:gridCol w:w="787"/>
        <w:gridCol w:w="629"/>
        <w:gridCol w:w="1100"/>
        <w:gridCol w:w="787"/>
        <w:gridCol w:w="629"/>
        <w:gridCol w:w="1100"/>
        <w:gridCol w:w="787"/>
        <w:gridCol w:w="629"/>
        <w:gridCol w:w="1230"/>
      </w:tblGrid>
      <w:tr w:rsidR="002F0A87" w:rsidRPr="003D5FB5" w14:paraId="0CA312E4" w14:textId="77777777" w:rsidTr="00EA573A">
        <w:trPr>
          <w:trHeight w:val="292"/>
        </w:trPr>
        <w:tc>
          <w:tcPr>
            <w:tcW w:w="9720" w:type="dxa"/>
            <w:gridSpan w:val="11"/>
            <w:tcBorders>
              <w:top w:val="single" w:sz="4" w:space="0" w:color="000000"/>
              <w:left w:val="single" w:sz="4" w:space="0" w:color="000000"/>
              <w:bottom w:val="single" w:sz="4" w:space="0" w:color="000000"/>
              <w:right w:val="single" w:sz="4" w:space="0" w:color="000000"/>
            </w:tcBorders>
            <w:shd w:val="clear" w:color="auto" w:fill="95B3D7" w:themeFill="accent1" w:themeFillTint="99"/>
            <w:vAlign w:val="bottom"/>
          </w:tcPr>
          <w:p w14:paraId="73F8034A" w14:textId="77777777" w:rsidR="002F0A87" w:rsidRPr="003D5FB5" w:rsidRDefault="002F0A87" w:rsidP="002F0A87">
            <w:pPr>
              <w:spacing w:line="360" w:lineRule="auto"/>
              <w:jc w:val="center"/>
              <w:rPr>
                <w:rFonts w:asciiTheme="minorHAnsi" w:hAnsiTheme="minorHAnsi" w:cstheme="minorHAnsi"/>
                <w:sz w:val="22"/>
                <w:szCs w:val="22"/>
              </w:rPr>
            </w:pPr>
            <w:r w:rsidRPr="003D5FB5">
              <w:rPr>
                <w:rFonts w:asciiTheme="minorHAnsi" w:eastAsia="Calibri" w:hAnsiTheme="minorHAnsi" w:cstheme="minorHAnsi"/>
                <w:b/>
                <w:bCs/>
                <w:sz w:val="22"/>
                <w:szCs w:val="22"/>
              </w:rPr>
              <w:t>33KV PSS Maintenance SAP FY24</w:t>
            </w:r>
          </w:p>
        </w:tc>
      </w:tr>
      <w:tr w:rsidR="002F0A87" w:rsidRPr="003D5FB5" w14:paraId="55F2D4B7" w14:textId="77777777" w:rsidTr="00EA573A">
        <w:trPr>
          <w:trHeight w:val="278"/>
        </w:trPr>
        <w:tc>
          <w:tcPr>
            <w:tcW w:w="942" w:type="dxa"/>
            <w:tcBorders>
              <w:top w:val="single" w:sz="4" w:space="0" w:color="000000"/>
              <w:left w:val="single" w:sz="4" w:space="0" w:color="000000"/>
              <w:bottom w:val="single" w:sz="4" w:space="0" w:color="000000"/>
              <w:right w:val="single" w:sz="4" w:space="0" w:color="000000"/>
            </w:tcBorders>
            <w:shd w:val="clear" w:color="auto" w:fill="95B3D7" w:themeFill="accent1" w:themeFillTint="99"/>
            <w:vAlign w:val="bottom"/>
          </w:tcPr>
          <w:p w14:paraId="6718629B" w14:textId="77777777" w:rsidR="002F0A87" w:rsidRPr="003D5FB5" w:rsidRDefault="002F0A87" w:rsidP="002F0A87">
            <w:pPr>
              <w:spacing w:line="360" w:lineRule="auto"/>
              <w:jc w:val="center"/>
              <w:rPr>
                <w:rFonts w:asciiTheme="minorHAnsi" w:hAnsiTheme="minorHAnsi" w:cstheme="minorHAnsi"/>
                <w:b/>
                <w:sz w:val="22"/>
                <w:szCs w:val="22"/>
              </w:rPr>
            </w:pPr>
          </w:p>
        </w:tc>
        <w:tc>
          <w:tcPr>
            <w:tcW w:w="1887" w:type="dxa"/>
            <w:gridSpan w:val="2"/>
            <w:tcBorders>
              <w:top w:val="single" w:sz="4" w:space="0" w:color="000000"/>
              <w:left w:val="single" w:sz="4" w:space="0" w:color="000000"/>
              <w:bottom w:val="single" w:sz="4" w:space="0" w:color="000000"/>
              <w:right w:val="single" w:sz="4" w:space="0" w:color="000000"/>
            </w:tcBorders>
            <w:shd w:val="clear" w:color="auto" w:fill="95B3D7" w:themeFill="accent1" w:themeFillTint="99"/>
            <w:vAlign w:val="bottom"/>
          </w:tcPr>
          <w:p w14:paraId="2D8BD3D7" w14:textId="77777777" w:rsidR="002F0A87" w:rsidRPr="003D5FB5" w:rsidRDefault="002F0A87" w:rsidP="002F0A87">
            <w:pPr>
              <w:spacing w:line="360" w:lineRule="auto"/>
              <w:jc w:val="center"/>
              <w:rPr>
                <w:rFonts w:asciiTheme="minorHAnsi" w:hAnsiTheme="minorHAnsi" w:cstheme="minorHAnsi"/>
                <w:b/>
                <w:sz w:val="22"/>
                <w:szCs w:val="22"/>
              </w:rPr>
            </w:pPr>
            <w:r w:rsidRPr="003D5FB5">
              <w:rPr>
                <w:rFonts w:asciiTheme="minorHAnsi" w:eastAsia="Calibri" w:hAnsiTheme="minorHAnsi" w:cstheme="minorHAnsi"/>
                <w:b/>
                <w:sz w:val="22"/>
                <w:szCs w:val="22"/>
              </w:rPr>
              <w:t>M1</w:t>
            </w:r>
          </w:p>
        </w:tc>
        <w:tc>
          <w:tcPr>
            <w:tcW w:w="629" w:type="dxa"/>
            <w:tcBorders>
              <w:top w:val="single" w:sz="4" w:space="0" w:color="000000"/>
              <w:left w:val="single" w:sz="4" w:space="0" w:color="000000"/>
              <w:bottom w:val="single" w:sz="4" w:space="0" w:color="000000"/>
              <w:right w:val="single" w:sz="4" w:space="0" w:color="000000"/>
            </w:tcBorders>
            <w:shd w:val="clear" w:color="auto" w:fill="95B3D7" w:themeFill="accent1" w:themeFillTint="99"/>
            <w:vAlign w:val="bottom"/>
          </w:tcPr>
          <w:p w14:paraId="684A986C" w14:textId="77777777" w:rsidR="002F0A87" w:rsidRPr="003D5FB5" w:rsidRDefault="002F0A87" w:rsidP="002F0A87">
            <w:pPr>
              <w:spacing w:line="360" w:lineRule="auto"/>
              <w:jc w:val="center"/>
              <w:rPr>
                <w:rFonts w:asciiTheme="minorHAnsi" w:hAnsiTheme="minorHAnsi" w:cstheme="minorHAnsi"/>
                <w:b/>
                <w:sz w:val="22"/>
                <w:szCs w:val="22"/>
              </w:rPr>
            </w:pPr>
            <w:r w:rsidRPr="003D5FB5">
              <w:rPr>
                <w:rFonts w:asciiTheme="minorHAnsi" w:eastAsia="Calibri" w:hAnsiTheme="minorHAnsi" w:cstheme="minorHAnsi"/>
                <w:b/>
                <w:sz w:val="22"/>
                <w:szCs w:val="22"/>
              </w:rPr>
              <w:t>M1 Total</w:t>
            </w:r>
          </w:p>
        </w:tc>
        <w:tc>
          <w:tcPr>
            <w:tcW w:w="1887" w:type="dxa"/>
            <w:gridSpan w:val="2"/>
            <w:tcBorders>
              <w:top w:val="single" w:sz="4" w:space="0" w:color="000000"/>
              <w:left w:val="single" w:sz="4" w:space="0" w:color="000000"/>
              <w:bottom w:val="single" w:sz="4" w:space="0" w:color="000000"/>
              <w:right w:val="single" w:sz="4" w:space="0" w:color="000000"/>
            </w:tcBorders>
            <w:shd w:val="clear" w:color="auto" w:fill="95B3D7" w:themeFill="accent1" w:themeFillTint="99"/>
            <w:vAlign w:val="bottom"/>
          </w:tcPr>
          <w:p w14:paraId="10C665B7" w14:textId="77777777" w:rsidR="002F0A87" w:rsidRPr="003D5FB5" w:rsidRDefault="002F0A87" w:rsidP="002F0A87">
            <w:pPr>
              <w:spacing w:line="360" w:lineRule="auto"/>
              <w:jc w:val="center"/>
              <w:rPr>
                <w:rFonts w:asciiTheme="minorHAnsi" w:hAnsiTheme="minorHAnsi" w:cstheme="minorHAnsi"/>
                <w:b/>
                <w:sz w:val="22"/>
                <w:szCs w:val="22"/>
              </w:rPr>
            </w:pPr>
            <w:r w:rsidRPr="003D5FB5">
              <w:rPr>
                <w:rFonts w:asciiTheme="minorHAnsi" w:eastAsia="Calibri" w:hAnsiTheme="minorHAnsi" w:cstheme="minorHAnsi"/>
                <w:b/>
                <w:sz w:val="22"/>
                <w:szCs w:val="22"/>
              </w:rPr>
              <w:t>M2</w:t>
            </w:r>
          </w:p>
        </w:tc>
        <w:tc>
          <w:tcPr>
            <w:tcW w:w="629" w:type="dxa"/>
            <w:tcBorders>
              <w:top w:val="single" w:sz="4" w:space="0" w:color="000000"/>
              <w:left w:val="single" w:sz="4" w:space="0" w:color="000000"/>
              <w:bottom w:val="single" w:sz="4" w:space="0" w:color="000000"/>
              <w:right w:val="single" w:sz="4" w:space="0" w:color="000000"/>
            </w:tcBorders>
            <w:shd w:val="clear" w:color="auto" w:fill="95B3D7" w:themeFill="accent1" w:themeFillTint="99"/>
            <w:vAlign w:val="bottom"/>
          </w:tcPr>
          <w:p w14:paraId="2638E856" w14:textId="77777777" w:rsidR="002F0A87" w:rsidRPr="003D5FB5" w:rsidRDefault="002F0A87" w:rsidP="002F0A87">
            <w:pPr>
              <w:spacing w:line="360" w:lineRule="auto"/>
              <w:jc w:val="center"/>
              <w:rPr>
                <w:rFonts w:asciiTheme="minorHAnsi" w:hAnsiTheme="minorHAnsi" w:cstheme="minorHAnsi"/>
                <w:b/>
                <w:sz w:val="22"/>
                <w:szCs w:val="22"/>
              </w:rPr>
            </w:pPr>
            <w:r w:rsidRPr="003D5FB5">
              <w:rPr>
                <w:rFonts w:asciiTheme="minorHAnsi" w:eastAsia="Calibri" w:hAnsiTheme="minorHAnsi" w:cstheme="minorHAnsi"/>
                <w:b/>
                <w:sz w:val="22"/>
                <w:szCs w:val="22"/>
              </w:rPr>
              <w:t>M2 Total</w:t>
            </w:r>
          </w:p>
        </w:tc>
        <w:tc>
          <w:tcPr>
            <w:tcW w:w="1887" w:type="dxa"/>
            <w:gridSpan w:val="2"/>
            <w:tcBorders>
              <w:top w:val="single" w:sz="4" w:space="0" w:color="000000"/>
              <w:left w:val="single" w:sz="4" w:space="0" w:color="000000"/>
              <w:bottom w:val="single" w:sz="4" w:space="0" w:color="000000"/>
              <w:right w:val="single" w:sz="4" w:space="0" w:color="000000"/>
            </w:tcBorders>
            <w:shd w:val="clear" w:color="auto" w:fill="95B3D7" w:themeFill="accent1" w:themeFillTint="99"/>
            <w:vAlign w:val="bottom"/>
          </w:tcPr>
          <w:p w14:paraId="7035F053" w14:textId="77777777" w:rsidR="002F0A87" w:rsidRPr="003D5FB5" w:rsidRDefault="002F0A87" w:rsidP="002F0A87">
            <w:pPr>
              <w:spacing w:line="360" w:lineRule="auto"/>
              <w:jc w:val="center"/>
              <w:rPr>
                <w:rFonts w:asciiTheme="minorHAnsi" w:hAnsiTheme="minorHAnsi" w:cstheme="minorHAnsi"/>
                <w:b/>
                <w:sz w:val="22"/>
                <w:szCs w:val="22"/>
              </w:rPr>
            </w:pPr>
            <w:r w:rsidRPr="003D5FB5">
              <w:rPr>
                <w:rFonts w:asciiTheme="minorHAnsi" w:eastAsia="Calibri" w:hAnsiTheme="minorHAnsi" w:cstheme="minorHAnsi"/>
                <w:b/>
                <w:sz w:val="22"/>
                <w:szCs w:val="22"/>
              </w:rPr>
              <w:t>M3</w:t>
            </w:r>
          </w:p>
        </w:tc>
        <w:tc>
          <w:tcPr>
            <w:tcW w:w="629" w:type="dxa"/>
            <w:tcBorders>
              <w:top w:val="single" w:sz="4" w:space="0" w:color="000000"/>
              <w:left w:val="single" w:sz="4" w:space="0" w:color="000000"/>
              <w:bottom w:val="single" w:sz="4" w:space="0" w:color="000000"/>
              <w:right w:val="single" w:sz="4" w:space="0" w:color="000000"/>
            </w:tcBorders>
            <w:shd w:val="clear" w:color="auto" w:fill="95B3D7" w:themeFill="accent1" w:themeFillTint="99"/>
            <w:vAlign w:val="bottom"/>
          </w:tcPr>
          <w:p w14:paraId="60518C1F" w14:textId="77777777" w:rsidR="002F0A87" w:rsidRPr="003D5FB5" w:rsidRDefault="002F0A87" w:rsidP="002F0A87">
            <w:pPr>
              <w:spacing w:line="360" w:lineRule="auto"/>
              <w:jc w:val="center"/>
              <w:rPr>
                <w:rFonts w:asciiTheme="minorHAnsi" w:hAnsiTheme="minorHAnsi" w:cstheme="minorHAnsi"/>
                <w:b/>
                <w:sz w:val="22"/>
                <w:szCs w:val="22"/>
              </w:rPr>
            </w:pPr>
            <w:r w:rsidRPr="003D5FB5">
              <w:rPr>
                <w:rFonts w:asciiTheme="minorHAnsi" w:eastAsia="Calibri" w:hAnsiTheme="minorHAnsi" w:cstheme="minorHAnsi"/>
                <w:b/>
                <w:sz w:val="22"/>
                <w:szCs w:val="22"/>
              </w:rPr>
              <w:t>M3 Total</w:t>
            </w:r>
          </w:p>
        </w:tc>
        <w:tc>
          <w:tcPr>
            <w:tcW w:w="1229" w:type="dxa"/>
            <w:tcBorders>
              <w:top w:val="single" w:sz="4" w:space="0" w:color="000000"/>
              <w:left w:val="single" w:sz="4" w:space="0" w:color="000000"/>
              <w:bottom w:val="single" w:sz="4" w:space="0" w:color="000000"/>
              <w:right w:val="single" w:sz="4" w:space="0" w:color="000000"/>
            </w:tcBorders>
            <w:shd w:val="clear" w:color="auto" w:fill="95B3D7" w:themeFill="accent1" w:themeFillTint="99"/>
            <w:vAlign w:val="bottom"/>
          </w:tcPr>
          <w:p w14:paraId="337977B9" w14:textId="77777777" w:rsidR="002F0A87" w:rsidRPr="003D5FB5" w:rsidRDefault="002F0A87" w:rsidP="002F0A87">
            <w:pPr>
              <w:spacing w:line="360" w:lineRule="auto"/>
              <w:jc w:val="center"/>
              <w:rPr>
                <w:rFonts w:asciiTheme="minorHAnsi" w:hAnsiTheme="minorHAnsi" w:cstheme="minorHAnsi"/>
                <w:b/>
                <w:sz w:val="22"/>
                <w:szCs w:val="22"/>
              </w:rPr>
            </w:pPr>
            <w:r w:rsidRPr="003D5FB5">
              <w:rPr>
                <w:rFonts w:asciiTheme="minorHAnsi" w:eastAsia="Calibri" w:hAnsiTheme="minorHAnsi" w:cstheme="minorHAnsi"/>
                <w:b/>
                <w:sz w:val="22"/>
                <w:szCs w:val="22"/>
              </w:rPr>
              <w:t>Grand Total</w:t>
            </w:r>
          </w:p>
        </w:tc>
      </w:tr>
      <w:tr w:rsidR="002F0A87" w:rsidRPr="003D5FB5" w14:paraId="76982DDE" w14:textId="77777777" w:rsidTr="00EA573A">
        <w:trPr>
          <w:trHeight w:val="278"/>
        </w:trPr>
        <w:tc>
          <w:tcPr>
            <w:tcW w:w="942" w:type="dxa"/>
            <w:tcBorders>
              <w:top w:val="single" w:sz="4" w:space="0" w:color="000000"/>
              <w:left w:val="single" w:sz="4" w:space="0" w:color="000000"/>
              <w:bottom w:val="single" w:sz="4" w:space="0" w:color="000000"/>
              <w:right w:val="single" w:sz="4" w:space="0" w:color="000000"/>
            </w:tcBorders>
            <w:vAlign w:val="bottom"/>
          </w:tcPr>
          <w:p w14:paraId="5FD74885" w14:textId="77777777" w:rsidR="002F0A87" w:rsidRPr="003D5FB5" w:rsidRDefault="002F0A87" w:rsidP="002F0A87">
            <w:pPr>
              <w:spacing w:line="360" w:lineRule="auto"/>
              <w:jc w:val="center"/>
              <w:rPr>
                <w:rFonts w:asciiTheme="minorHAnsi" w:hAnsiTheme="minorHAnsi" w:cstheme="minorHAnsi"/>
                <w:b/>
                <w:sz w:val="22"/>
                <w:szCs w:val="22"/>
              </w:rPr>
            </w:pPr>
            <w:r w:rsidRPr="003D5FB5">
              <w:rPr>
                <w:rFonts w:asciiTheme="minorHAnsi" w:eastAsia="Calibri" w:hAnsiTheme="minorHAnsi" w:cstheme="minorHAnsi"/>
                <w:b/>
                <w:color w:val="000000" w:themeColor="text1"/>
                <w:sz w:val="22"/>
                <w:szCs w:val="22"/>
              </w:rPr>
              <w:t>Row Labels</w:t>
            </w:r>
          </w:p>
        </w:tc>
        <w:tc>
          <w:tcPr>
            <w:tcW w:w="1100" w:type="dxa"/>
            <w:tcBorders>
              <w:top w:val="single" w:sz="4" w:space="0" w:color="000000"/>
              <w:left w:val="single" w:sz="4" w:space="0" w:color="000000"/>
              <w:bottom w:val="single" w:sz="4" w:space="0" w:color="000000"/>
              <w:right w:val="single" w:sz="4" w:space="0" w:color="000000"/>
            </w:tcBorders>
            <w:vAlign w:val="bottom"/>
          </w:tcPr>
          <w:p w14:paraId="61060090" w14:textId="77777777" w:rsidR="002F0A87" w:rsidRPr="003D5FB5" w:rsidRDefault="002F0A87" w:rsidP="002F0A87">
            <w:pPr>
              <w:spacing w:line="360" w:lineRule="auto"/>
              <w:jc w:val="center"/>
              <w:rPr>
                <w:rFonts w:asciiTheme="minorHAnsi" w:hAnsiTheme="minorHAnsi" w:cstheme="minorHAnsi"/>
                <w:b/>
                <w:sz w:val="22"/>
                <w:szCs w:val="22"/>
              </w:rPr>
            </w:pPr>
            <w:r w:rsidRPr="003D5FB5">
              <w:rPr>
                <w:rFonts w:asciiTheme="minorHAnsi" w:eastAsia="Calibri" w:hAnsiTheme="minorHAnsi" w:cstheme="minorHAnsi"/>
                <w:b/>
                <w:color w:val="000000" w:themeColor="text1"/>
                <w:sz w:val="22"/>
                <w:szCs w:val="22"/>
              </w:rPr>
              <w:t>CLOSED</w:t>
            </w:r>
          </w:p>
        </w:tc>
        <w:tc>
          <w:tcPr>
            <w:tcW w:w="786" w:type="dxa"/>
            <w:tcBorders>
              <w:top w:val="single" w:sz="4" w:space="0" w:color="000000"/>
              <w:left w:val="single" w:sz="4" w:space="0" w:color="000000"/>
              <w:bottom w:val="single" w:sz="4" w:space="0" w:color="000000"/>
              <w:right w:val="single" w:sz="4" w:space="0" w:color="000000"/>
            </w:tcBorders>
            <w:vAlign w:val="bottom"/>
          </w:tcPr>
          <w:p w14:paraId="3E5083E2" w14:textId="77777777" w:rsidR="002F0A87" w:rsidRPr="003D5FB5" w:rsidRDefault="002F0A87" w:rsidP="002F0A87">
            <w:pPr>
              <w:spacing w:line="360" w:lineRule="auto"/>
              <w:jc w:val="center"/>
              <w:rPr>
                <w:rFonts w:asciiTheme="minorHAnsi" w:hAnsiTheme="minorHAnsi" w:cstheme="minorHAnsi"/>
                <w:b/>
                <w:sz w:val="22"/>
                <w:szCs w:val="22"/>
              </w:rPr>
            </w:pPr>
            <w:r w:rsidRPr="003D5FB5">
              <w:rPr>
                <w:rFonts w:asciiTheme="minorHAnsi" w:eastAsia="Calibri" w:hAnsiTheme="minorHAnsi" w:cstheme="minorHAnsi"/>
                <w:b/>
                <w:color w:val="000000" w:themeColor="text1"/>
                <w:sz w:val="22"/>
                <w:szCs w:val="22"/>
              </w:rPr>
              <w:t>OPEN</w:t>
            </w:r>
          </w:p>
        </w:tc>
        <w:tc>
          <w:tcPr>
            <w:tcW w:w="629" w:type="dxa"/>
            <w:tcBorders>
              <w:top w:val="single" w:sz="4" w:space="0" w:color="000000"/>
              <w:left w:val="single" w:sz="4" w:space="0" w:color="000000"/>
              <w:bottom w:val="single" w:sz="4" w:space="0" w:color="000000"/>
              <w:right w:val="single" w:sz="4" w:space="0" w:color="000000"/>
            </w:tcBorders>
            <w:vAlign w:val="bottom"/>
          </w:tcPr>
          <w:p w14:paraId="31E03A56" w14:textId="77777777" w:rsidR="002F0A87" w:rsidRPr="003D5FB5" w:rsidRDefault="002F0A87" w:rsidP="002F0A87">
            <w:pPr>
              <w:spacing w:line="360" w:lineRule="auto"/>
              <w:jc w:val="center"/>
              <w:rPr>
                <w:rFonts w:asciiTheme="minorHAnsi" w:hAnsiTheme="minorHAnsi" w:cstheme="minorHAnsi"/>
                <w:b/>
                <w:sz w:val="22"/>
                <w:szCs w:val="22"/>
              </w:rPr>
            </w:pPr>
          </w:p>
        </w:tc>
        <w:tc>
          <w:tcPr>
            <w:tcW w:w="1100" w:type="dxa"/>
            <w:tcBorders>
              <w:top w:val="single" w:sz="4" w:space="0" w:color="000000"/>
              <w:left w:val="single" w:sz="4" w:space="0" w:color="000000"/>
              <w:bottom w:val="single" w:sz="4" w:space="0" w:color="000000"/>
              <w:right w:val="single" w:sz="4" w:space="0" w:color="000000"/>
            </w:tcBorders>
            <w:vAlign w:val="bottom"/>
          </w:tcPr>
          <w:p w14:paraId="022AC8CB" w14:textId="77777777" w:rsidR="002F0A87" w:rsidRPr="003D5FB5" w:rsidRDefault="002F0A87" w:rsidP="002F0A87">
            <w:pPr>
              <w:spacing w:line="360" w:lineRule="auto"/>
              <w:jc w:val="center"/>
              <w:rPr>
                <w:rFonts w:asciiTheme="minorHAnsi" w:hAnsiTheme="minorHAnsi" w:cstheme="minorHAnsi"/>
                <w:b/>
                <w:sz w:val="22"/>
                <w:szCs w:val="22"/>
              </w:rPr>
            </w:pPr>
            <w:r w:rsidRPr="003D5FB5">
              <w:rPr>
                <w:rFonts w:asciiTheme="minorHAnsi" w:eastAsia="Calibri" w:hAnsiTheme="minorHAnsi" w:cstheme="minorHAnsi"/>
                <w:b/>
                <w:color w:val="000000" w:themeColor="text1"/>
                <w:sz w:val="22"/>
                <w:szCs w:val="22"/>
              </w:rPr>
              <w:t>CLOSED</w:t>
            </w:r>
          </w:p>
        </w:tc>
        <w:tc>
          <w:tcPr>
            <w:tcW w:w="786" w:type="dxa"/>
            <w:tcBorders>
              <w:top w:val="single" w:sz="4" w:space="0" w:color="000000"/>
              <w:left w:val="single" w:sz="4" w:space="0" w:color="000000"/>
              <w:bottom w:val="single" w:sz="4" w:space="0" w:color="000000"/>
              <w:right w:val="single" w:sz="4" w:space="0" w:color="000000"/>
            </w:tcBorders>
            <w:vAlign w:val="bottom"/>
          </w:tcPr>
          <w:p w14:paraId="3E65B52A" w14:textId="77777777" w:rsidR="002F0A87" w:rsidRPr="003D5FB5" w:rsidRDefault="002F0A87" w:rsidP="002F0A87">
            <w:pPr>
              <w:spacing w:line="360" w:lineRule="auto"/>
              <w:jc w:val="center"/>
              <w:rPr>
                <w:rFonts w:asciiTheme="minorHAnsi" w:hAnsiTheme="minorHAnsi" w:cstheme="minorHAnsi"/>
                <w:b/>
                <w:sz w:val="22"/>
                <w:szCs w:val="22"/>
              </w:rPr>
            </w:pPr>
            <w:r w:rsidRPr="003D5FB5">
              <w:rPr>
                <w:rFonts w:asciiTheme="minorHAnsi" w:eastAsia="Calibri" w:hAnsiTheme="minorHAnsi" w:cstheme="minorHAnsi"/>
                <w:b/>
                <w:color w:val="000000" w:themeColor="text1"/>
                <w:sz w:val="22"/>
                <w:szCs w:val="22"/>
              </w:rPr>
              <w:t>OPEN</w:t>
            </w:r>
          </w:p>
        </w:tc>
        <w:tc>
          <w:tcPr>
            <w:tcW w:w="629" w:type="dxa"/>
            <w:tcBorders>
              <w:top w:val="single" w:sz="4" w:space="0" w:color="000000"/>
              <w:left w:val="single" w:sz="4" w:space="0" w:color="000000"/>
              <w:bottom w:val="single" w:sz="4" w:space="0" w:color="000000"/>
              <w:right w:val="single" w:sz="4" w:space="0" w:color="000000"/>
            </w:tcBorders>
            <w:vAlign w:val="bottom"/>
          </w:tcPr>
          <w:p w14:paraId="5EE3E68C" w14:textId="77777777" w:rsidR="002F0A87" w:rsidRPr="003D5FB5" w:rsidRDefault="002F0A87" w:rsidP="002F0A87">
            <w:pPr>
              <w:spacing w:line="360" w:lineRule="auto"/>
              <w:jc w:val="center"/>
              <w:rPr>
                <w:rFonts w:asciiTheme="minorHAnsi" w:hAnsiTheme="minorHAnsi" w:cstheme="minorHAnsi"/>
                <w:b/>
                <w:sz w:val="22"/>
                <w:szCs w:val="22"/>
              </w:rPr>
            </w:pPr>
          </w:p>
        </w:tc>
        <w:tc>
          <w:tcPr>
            <w:tcW w:w="1100" w:type="dxa"/>
            <w:tcBorders>
              <w:top w:val="single" w:sz="4" w:space="0" w:color="000000"/>
              <w:left w:val="single" w:sz="4" w:space="0" w:color="000000"/>
              <w:bottom w:val="single" w:sz="4" w:space="0" w:color="000000"/>
              <w:right w:val="single" w:sz="4" w:space="0" w:color="000000"/>
            </w:tcBorders>
            <w:vAlign w:val="bottom"/>
          </w:tcPr>
          <w:p w14:paraId="681074FB" w14:textId="77777777" w:rsidR="002F0A87" w:rsidRPr="003D5FB5" w:rsidRDefault="002F0A87" w:rsidP="002F0A87">
            <w:pPr>
              <w:spacing w:line="360" w:lineRule="auto"/>
              <w:jc w:val="center"/>
              <w:rPr>
                <w:rFonts w:asciiTheme="minorHAnsi" w:hAnsiTheme="minorHAnsi" w:cstheme="minorHAnsi"/>
                <w:b/>
                <w:sz w:val="22"/>
                <w:szCs w:val="22"/>
              </w:rPr>
            </w:pPr>
            <w:r w:rsidRPr="003D5FB5">
              <w:rPr>
                <w:rFonts w:asciiTheme="minorHAnsi" w:eastAsia="Calibri" w:hAnsiTheme="minorHAnsi" w:cstheme="minorHAnsi"/>
                <w:b/>
                <w:color w:val="000000" w:themeColor="text1"/>
                <w:sz w:val="22"/>
                <w:szCs w:val="22"/>
              </w:rPr>
              <w:t>CLOSED</w:t>
            </w:r>
          </w:p>
        </w:tc>
        <w:tc>
          <w:tcPr>
            <w:tcW w:w="786" w:type="dxa"/>
            <w:tcBorders>
              <w:top w:val="single" w:sz="4" w:space="0" w:color="000000"/>
              <w:left w:val="single" w:sz="4" w:space="0" w:color="000000"/>
              <w:bottom w:val="single" w:sz="4" w:space="0" w:color="000000"/>
              <w:right w:val="single" w:sz="4" w:space="0" w:color="000000"/>
            </w:tcBorders>
            <w:vAlign w:val="bottom"/>
          </w:tcPr>
          <w:p w14:paraId="5A649F24" w14:textId="77777777" w:rsidR="002F0A87" w:rsidRPr="003D5FB5" w:rsidRDefault="002F0A87" w:rsidP="002F0A87">
            <w:pPr>
              <w:spacing w:line="360" w:lineRule="auto"/>
              <w:jc w:val="center"/>
              <w:rPr>
                <w:rFonts w:asciiTheme="minorHAnsi" w:hAnsiTheme="minorHAnsi" w:cstheme="minorHAnsi"/>
                <w:b/>
                <w:sz w:val="22"/>
                <w:szCs w:val="22"/>
              </w:rPr>
            </w:pPr>
            <w:r w:rsidRPr="003D5FB5">
              <w:rPr>
                <w:rFonts w:asciiTheme="minorHAnsi" w:eastAsia="Calibri" w:hAnsiTheme="minorHAnsi" w:cstheme="minorHAnsi"/>
                <w:b/>
                <w:color w:val="000000" w:themeColor="text1"/>
                <w:sz w:val="22"/>
                <w:szCs w:val="22"/>
              </w:rPr>
              <w:t>OPEN</w:t>
            </w:r>
          </w:p>
        </w:tc>
        <w:tc>
          <w:tcPr>
            <w:tcW w:w="629" w:type="dxa"/>
            <w:tcBorders>
              <w:top w:val="single" w:sz="4" w:space="0" w:color="000000"/>
              <w:left w:val="single" w:sz="4" w:space="0" w:color="000000"/>
              <w:bottom w:val="single" w:sz="4" w:space="0" w:color="000000"/>
              <w:right w:val="single" w:sz="4" w:space="0" w:color="000000"/>
            </w:tcBorders>
            <w:vAlign w:val="bottom"/>
          </w:tcPr>
          <w:p w14:paraId="613A1FBD" w14:textId="77777777" w:rsidR="002F0A87" w:rsidRPr="003D5FB5" w:rsidRDefault="002F0A87" w:rsidP="002F0A87">
            <w:pPr>
              <w:spacing w:line="360" w:lineRule="auto"/>
              <w:jc w:val="center"/>
              <w:rPr>
                <w:rFonts w:asciiTheme="minorHAnsi" w:hAnsiTheme="minorHAnsi" w:cstheme="minorHAnsi"/>
                <w:b/>
                <w:sz w:val="22"/>
                <w:szCs w:val="22"/>
              </w:rPr>
            </w:pPr>
          </w:p>
        </w:tc>
        <w:tc>
          <w:tcPr>
            <w:tcW w:w="1229" w:type="dxa"/>
            <w:tcBorders>
              <w:top w:val="single" w:sz="4" w:space="0" w:color="000000"/>
              <w:left w:val="single" w:sz="4" w:space="0" w:color="000000"/>
              <w:bottom w:val="single" w:sz="4" w:space="0" w:color="000000"/>
              <w:right w:val="single" w:sz="4" w:space="0" w:color="000000"/>
            </w:tcBorders>
            <w:vAlign w:val="bottom"/>
          </w:tcPr>
          <w:p w14:paraId="0DE07293" w14:textId="77777777" w:rsidR="002F0A87" w:rsidRPr="003D5FB5" w:rsidRDefault="002F0A87" w:rsidP="002F0A87">
            <w:pPr>
              <w:spacing w:line="360" w:lineRule="auto"/>
              <w:jc w:val="center"/>
              <w:rPr>
                <w:rFonts w:asciiTheme="minorHAnsi" w:hAnsiTheme="minorHAnsi" w:cstheme="minorHAnsi"/>
                <w:b/>
                <w:sz w:val="22"/>
                <w:szCs w:val="22"/>
              </w:rPr>
            </w:pPr>
          </w:p>
        </w:tc>
      </w:tr>
      <w:tr w:rsidR="002F0A87" w:rsidRPr="003D5FB5" w14:paraId="6CA6D2EC" w14:textId="77777777" w:rsidTr="00EA573A">
        <w:trPr>
          <w:trHeight w:val="278"/>
        </w:trPr>
        <w:tc>
          <w:tcPr>
            <w:tcW w:w="942" w:type="dxa"/>
            <w:tcBorders>
              <w:top w:val="single" w:sz="4" w:space="0" w:color="000000"/>
              <w:left w:val="single" w:sz="4" w:space="0" w:color="000000"/>
              <w:bottom w:val="single" w:sz="4" w:space="0" w:color="000000"/>
              <w:right w:val="single" w:sz="4" w:space="0" w:color="000000"/>
            </w:tcBorders>
            <w:shd w:val="clear" w:color="auto" w:fill="auto"/>
            <w:vAlign w:val="bottom"/>
          </w:tcPr>
          <w:p w14:paraId="47248DE4" w14:textId="77777777" w:rsidR="002F0A87" w:rsidRPr="003D5FB5" w:rsidRDefault="002F0A87" w:rsidP="002F0A87">
            <w:pPr>
              <w:spacing w:line="360" w:lineRule="auto"/>
              <w:jc w:val="both"/>
              <w:rPr>
                <w:rFonts w:asciiTheme="minorHAnsi" w:hAnsiTheme="minorHAnsi" w:cstheme="minorHAnsi"/>
                <w:sz w:val="22"/>
                <w:szCs w:val="22"/>
              </w:rPr>
            </w:pPr>
            <w:proofErr w:type="spellStart"/>
            <w:r w:rsidRPr="003D5FB5">
              <w:rPr>
                <w:rFonts w:asciiTheme="minorHAnsi" w:eastAsia="Calibri" w:hAnsiTheme="minorHAnsi" w:cstheme="minorHAnsi"/>
                <w:color w:val="000000" w:themeColor="text1"/>
                <w:sz w:val="22"/>
                <w:szCs w:val="22"/>
              </w:rPr>
              <w:t>Balasore</w:t>
            </w:r>
            <w:proofErr w:type="spellEnd"/>
          </w:p>
        </w:tc>
        <w:tc>
          <w:tcPr>
            <w:tcW w:w="1100" w:type="dxa"/>
            <w:tcBorders>
              <w:top w:val="single" w:sz="4" w:space="0" w:color="000000"/>
              <w:left w:val="single" w:sz="4" w:space="0" w:color="000000"/>
              <w:bottom w:val="single" w:sz="4" w:space="0" w:color="000000"/>
              <w:right w:val="single" w:sz="4" w:space="0" w:color="000000"/>
            </w:tcBorders>
            <w:shd w:val="clear" w:color="auto" w:fill="auto"/>
            <w:vAlign w:val="bottom"/>
          </w:tcPr>
          <w:p w14:paraId="60644190" w14:textId="77777777" w:rsidR="002F0A87" w:rsidRPr="003D5FB5" w:rsidRDefault="002F0A87" w:rsidP="002F0A87">
            <w:pPr>
              <w:spacing w:line="360" w:lineRule="auto"/>
              <w:jc w:val="center"/>
              <w:rPr>
                <w:rFonts w:asciiTheme="minorHAnsi" w:hAnsiTheme="minorHAnsi" w:cstheme="minorHAnsi"/>
                <w:sz w:val="22"/>
                <w:szCs w:val="22"/>
              </w:rPr>
            </w:pPr>
            <w:r w:rsidRPr="003D5FB5">
              <w:rPr>
                <w:rFonts w:asciiTheme="minorHAnsi" w:eastAsia="Calibri" w:hAnsiTheme="minorHAnsi" w:cstheme="minorHAnsi"/>
                <w:color w:val="000000" w:themeColor="text1"/>
                <w:sz w:val="22"/>
                <w:szCs w:val="22"/>
              </w:rPr>
              <w:t>47</w:t>
            </w:r>
          </w:p>
        </w:tc>
        <w:tc>
          <w:tcPr>
            <w:tcW w:w="786" w:type="dxa"/>
            <w:tcBorders>
              <w:top w:val="single" w:sz="4" w:space="0" w:color="000000"/>
              <w:left w:val="single" w:sz="4" w:space="0" w:color="000000"/>
              <w:bottom w:val="single" w:sz="4" w:space="0" w:color="000000"/>
              <w:right w:val="single" w:sz="4" w:space="0" w:color="000000"/>
            </w:tcBorders>
            <w:shd w:val="clear" w:color="auto" w:fill="auto"/>
            <w:vAlign w:val="bottom"/>
          </w:tcPr>
          <w:p w14:paraId="01341412" w14:textId="77777777" w:rsidR="002F0A87" w:rsidRPr="003D5FB5" w:rsidRDefault="002F0A87" w:rsidP="002F0A87">
            <w:pPr>
              <w:spacing w:line="360" w:lineRule="auto"/>
              <w:jc w:val="center"/>
              <w:rPr>
                <w:rFonts w:asciiTheme="minorHAnsi" w:hAnsiTheme="minorHAnsi" w:cstheme="minorHAnsi"/>
                <w:sz w:val="22"/>
                <w:szCs w:val="22"/>
              </w:rPr>
            </w:pPr>
            <w:r w:rsidRPr="003D5FB5">
              <w:rPr>
                <w:rFonts w:asciiTheme="minorHAnsi" w:eastAsia="Calibri" w:hAnsiTheme="minorHAnsi" w:cstheme="minorHAnsi"/>
                <w:color w:val="000000" w:themeColor="text1"/>
                <w:sz w:val="22"/>
                <w:szCs w:val="22"/>
              </w:rPr>
              <w:t>8</w:t>
            </w:r>
          </w:p>
        </w:tc>
        <w:tc>
          <w:tcPr>
            <w:tcW w:w="629" w:type="dxa"/>
            <w:tcBorders>
              <w:top w:val="single" w:sz="4" w:space="0" w:color="000000"/>
              <w:left w:val="single" w:sz="4" w:space="0" w:color="000000"/>
              <w:bottom w:val="single" w:sz="4" w:space="0" w:color="000000"/>
              <w:right w:val="single" w:sz="4" w:space="0" w:color="000000"/>
            </w:tcBorders>
            <w:shd w:val="clear" w:color="auto" w:fill="auto"/>
            <w:vAlign w:val="bottom"/>
          </w:tcPr>
          <w:p w14:paraId="45F2B973" w14:textId="77777777" w:rsidR="002F0A87" w:rsidRPr="003D5FB5" w:rsidRDefault="002F0A87" w:rsidP="002F0A87">
            <w:pPr>
              <w:spacing w:line="360" w:lineRule="auto"/>
              <w:jc w:val="center"/>
              <w:rPr>
                <w:rFonts w:asciiTheme="minorHAnsi" w:hAnsiTheme="minorHAnsi" w:cstheme="minorHAnsi"/>
                <w:b/>
                <w:sz w:val="22"/>
                <w:szCs w:val="22"/>
              </w:rPr>
            </w:pPr>
            <w:r w:rsidRPr="003D5FB5">
              <w:rPr>
                <w:rFonts w:asciiTheme="minorHAnsi" w:eastAsia="Calibri" w:hAnsiTheme="minorHAnsi" w:cstheme="minorHAnsi"/>
                <w:b/>
                <w:color w:val="000000" w:themeColor="text1"/>
                <w:sz w:val="22"/>
                <w:szCs w:val="22"/>
              </w:rPr>
              <w:t>55</w:t>
            </w:r>
          </w:p>
        </w:tc>
        <w:tc>
          <w:tcPr>
            <w:tcW w:w="1100" w:type="dxa"/>
            <w:tcBorders>
              <w:top w:val="single" w:sz="4" w:space="0" w:color="000000"/>
              <w:left w:val="single" w:sz="4" w:space="0" w:color="000000"/>
              <w:bottom w:val="single" w:sz="4" w:space="0" w:color="000000"/>
              <w:right w:val="single" w:sz="4" w:space="0" w:color="000000"/>
            </w:tcBorders>
            <w:shd w:val="clear" w:color="auto" w:fill="auto"/>
            <w:vAlign w:val="bottom"/>
          </w:tcPr>
          <w:p w14:paraId="0BC1527D" w14:textId="77777777" w:rsidR="002F0A87" w:rsidRPr="003D5FB5" w:rsidRDefault="002F0A87" w:rsidP="002F0A87">
            <w:pPr>
              <w:spacing w:line="360" w:lineRule="auto"/>
              <w:jc w:val="center"/>
              <w:rPr>
                <w:rFonts w:asciiTheme="minorHAnsi" w:hAnsiTheme="minorHAnsi" w:cstheme="minorHAnsi"/>
                <w:sz w:val="22"/>
                <w:szCs w:val="22"/>
              </w:rPr>
            </w:pPr>
            <w:r w:rsidRPr="003D5FB5">
              <w:rPr>
                <w:rFonts w:asciiTheme="minorHAnsi" w:eastAsia="Calibri" w:hAnsiTheme="minorHAnsi" w:cstheme="minorHAnsi"/>
                <w:color w:val="000000" w:themeColor="text1"/>
                <w:sz w:val="22"/>
                <w:szCs w:val="22"/>
              </w:rPr>
              <w:t>5</w:t>
            </w:r>
          </w:p>
        </w:tc>
        <w:tc>
          <w:tcPr>
            <w:tcW w:w="786" w:type="dxa"/>
            <w:tcBorders>
              <w:top w:val="single" w:sz="4" w:space="0" w:color="000000"/>
              <w:left w:val="single" w:sz="4" w:space="0" w:color="000000"/>
              <w:bottom w:val="single" w:sz="4" w:space="0" w:color="000000"/>
              <w:right w:val="single" w:sz="4" w:space="0" w:color="000000"/>
            </w:tcBorders>
            <w:shd w:val="clear" w:color="auto" w:fill="auto"/>
            <w:vAlign w:val="bottom"/>
          </w:tcPr>
          <w:p w14:paraId="12863EF5" w14:textId="77777777" w:rsidR="002F0A87" w:rsidRPr="003D5FB5" w:rsidRDefault="002F0A87" w:rsidP="002F0A87">
            <w:pPr>
              <w:spacing w:line="360" w:lineRule="auto"/>
              <w:jc w:val="center"/>
              <w:rPr>
                <w:rFonts w:asciiTheme="minorHAnsi" w:hAnsiTheme="minorHAnsi" w:cstheme="minorHAnsi"/>
                <w:sz w:val="22"/>
                <w:szCs w:val="22"/>
              </w:rPr>
            </w:pPr>
            <w:r w:rsidRPr="003D5FB5">
              <w:rPr>
                <w:rFonts w:asciiTheme="minorHAnsi" w:eastAsia="Calibri" w:hAnsiTheme="minorHAnsi" w:cstheme="minorHAnsi"/>
                <w:color w:val="000000" w:themeColor="text1"/>
                <w:sz w:val="22"/>
                <w:szCs w:val="22"/>
              </w:rPr>
              <w:t>5</w:t>
            </w:r>
          </w:p>
        </w:tc>
        <w:tc>
          <w:tcPr>
            <w:tcW w:w="629" w:type="dxa"/>
            <w:tcBorders>
              <w:top w:val="single" w:sz="4" w:space="0" w:color="000000"/>
              <w:left w:val="single" w:sz="4" w:space="0" w:color="000000"/>
              <w:bottom w:val="single" w:sz="4" w:space="0" w:color="000000"/>
              <w:right w:val="single" w:sz="4" w:space="0" w:color="000000"/>
            </w:tcBorders>
            <w:shd w:val="clear" w:color="auto" w:fill="auto"/>
            <w:vAlign w:val="bottom"/>
          </w:tcPr>
          <w:p w14:paraId="432A03A9" w14:textId="77777777" w:rsidR="002F0A87" w:rsidRPr="003D5FB5" w:rsidRDefault="002F0A87" w:rsidP="002F0A87">
            <w:pPr>
              <w:spacing w:line="360" w:lineRule="auto"/>
              <w:jc w:val="center"/>
              <w:rPr>
                <w:rFonts w:asciiTheme="minorHAnsi" w:hAnsiTheme="minorHAnsi" w:cstheme="minorHAnsi"/>
                <w:b/>
                <w:sz w:val="22"/>
                <w:szCs w:val="22"/>
              </w:rPr>
            </w:pPr>
            <w:r w:rsidRPr="003D5FB5">
              <w:rPr>
                <w:rFonts w:asciiTheme="minorHAnsi" w:eastAsia="Calibri" w:hAnsiTheme="minorHAnsi" w:cstheme="minorHAnsi"/>
                <w:b/>
                <w:color w:val="000000" w:themeColor="text1"/>
                <w:sz w:val="22"/>
                <w:szCs w:val="22"/>
              </w:rPr>
              <w:t>10</w:t>
            </w:r>
          </w:p>
        </w:tc>
        <w:tc>
          <w:tcPr>
            <w:tcW w:w="1100" w:type="dxa"/>
            <w:tcBorders>
              <w:top w:val="single" w:sz="4" w:space="0" w:color="000000"/>
              <w:left w:val="single" w:sz="4" w:space="0" w:color="000000"/>
              <w:bottom w:val="single" w:sz="4" w:space="0" w:color="000000"/>
              <w:right w:val="single" w:sz="4" w:space="0" w:color="000000"/>
            </w:tcBorders>
            <w:shd w:val="clear" w:color="auto" w:fill="auto"/>
            <w:vAlign w:val="bottom"/>
          </w:tcPr>
          <w:p w14:paraId="3DDB4F40" w14:textId="77777777" w:rsidR="002F0A87" w:rsidRPr="003D5FB5" w:rsidRDefault="002F0A87" w:rsidP="002F0A87">
            <w:pPr>
              <w:spacing w:line="360" w:lineRule="auto"/>
              <w:jc w:val="center"/>
              <w:rPr>
                <w:rFonts w:asciiTheme="minorHAnsi" w:hAnsiTheme="minorHAnsi" w:cstheme="minorHAnsi"/>
                <w:sz w:val="22"/>
                <w:szCs w:val="22"/>
              </w:rPr>
            </w:pPr>
            <w:r w:rsidRPr="003D5FB5">
              <w:rPr>
                <w:rFonts w:asciiTheme="minorHAnsi" w:eastAsia="Calibri" w:hAnsiTheme="minorHAnsi" w:cstheme="minorHAnsi"/>
                <w:color w:val="000000" w:themeColor="text1"/>
                <w:sz w:val="22"/>
                <w:szCs w:val="22"/>
              </w:rPr>
              <w:t>172</w:t>
            </w:r>
          </w:p>
        </w:tc>
        <w:tc>
          <w:tcPr>
            <w:tcW w:w="786" w:type="dxa"/>
            <w:tcBorders>
              <w:top w:val="single" w:sz="4" w:space="0" w:color="000000"/>
              <w:left w:val="single" w:sz="4" w:space="0" w:color="000000"/>
              <w:bottom w:val="single" w:sz="4" w:space="0" w:color="000000"/>
              <w:right w:val="single" w:sz="4" w:space="0" w:color="000000"/>
            </w:tcBorders>
            <w:shd w:val="clear" w:color="auto" w:fill="auto"/>
            <w:vAlign w:val="bottom"/>
          </w:tcPr>
          <w:p w14:paraId="217C1076" w14:textId="77777777" w:rsidR="002F0A87" w:rsidRPr="003D5FB5" w:rsidRDefault="002F0A87" w:rsidP="002F0A87">
            <w:pPr>
              <w:spacing w:line="360" w:lineRule="auto"/>
              <w:jc w:val="center"/>
              <w:rPr>
                <w:rFonts w:asciiTheme="minorHAnsi" w:hAnsiTheme="minorHAnsi" w:cstheme="minorHAnsi"/>
                <w:sz w:val="22"/>
                <w:szCs w:val="22"/>
              </w:rPr>
            </w:pPr>
            <w:r w:rsidRPr="003D5FB5">
              <w:rPr>
                <w:rFonts w:asciiTheme="minorHAnsi" w:eastAsia="Calibri" w:hAnsiTheme="minorHAnsi" w:cstheme="minorHAnsi"/>
                <w:color w:val="000000" w:themeColor="text1"/>
                <w:sz w:val="22"/>
                <w:szCs w:val="22"/>
              </w:rPr>
              <w:t>91</w:t>
            </w:r>
          </w:p>
        </w:tc>
        <w:tc>
          <w:tcPr>
            <w:tcW w:w="629" w:type="dxa"/>
            <w:tcBorders>
              <w:top w:val="single" w:sz="4" w:space="0" w:color="000000"/>
              <w:left w:val="single" w:sz="4" w:space="0" w:color="000000"/>
              <w:bottom w:val="single" w:sz="4" w:space="0" w:color="000000"/>
              <w:right w:val="single" w:sz="4" w:space="0" w:color="000000"/>
            </w:tcBorders>
            <w:shd w:val="clear" w:color="auto" w:fill="auto"/>
            <w:vAlign w:val="bottom"/>
          </w:tcPr>
          <w:p w14:paraId="2F9039E9" w14:textId="77777777" w:rsidR="002F0A87" w:rsidRPr="003D5FB5" w:rsidRDefault="002F0A87" w:rsidP="002F0A87">
            <w:pPr>
              <w:spacing w:line="360" w:lineRule="auto"/>
              <w:jc w:val="center"/>
              <w:rPr>
                <w:rFonts w:asciiTheme="minorHAnsi" w:hAnsiTheme="minorHAnsi" w:cstheme="minorHAnsi"/>
                <w:b/>
                <w:sz w:val="22"/>
                <w:szCs w:val="22"/>
              </w:rPr>
            </w:pPr>
            <w:r w:rsidRPr="003D5FB5">
              <w:rPr>
                <w:rFonts w:asciiTheme="minorHAnsi" w:eastAsia="Calibri" w:hAnsiTheme="minorHAnsi" w:cstheme="minorHAnsi"/>
                <w:b/>
                <w:color w:val="000000" w:themeColor="text1"/>
                <w:sz w:val="22"/>
                <w:szCs w:val="22"/>
              </w:rPr>
              <w:t>263</w:t>
            </w:r>
          </w:p>
        </w:tc>
        <w:tc>
          <w:tcPr>
            <w:tcW w:w="1229" w:type="dxa"/>
            <w:tcBorders>
              <w:top w:val="single" w:sz="4" w:space="0" w:color="000000"/>
              <w:left w:val="single" w:sz="4" w:space="0" w:color="000000"/>
              <w:bottom w:val="single" w:sz="4" w:space="0" w:color="000000"/>
              <w:right w:val="single" w:sz="4" w:space="0" w:color="000000"/>
            </w:tcBorders>
            <w:shd w:val="clear" w:color="auto" w:fill="auto"/>
            <w:vAlign w:val="bottom"/>
          </w:tcPr>
          <w:p w14:paraId="4B0A7E94" w14:textId="77777777" w:rsidR="002F0A87" w:rsidRPr="003D5FB5" w:rsidRDefault="002F0A87" w:rsidP="002F0A87">
            <w:pPr>
              <w:spacing w:line="360" w:lineRule="auto"/>
              <w:jc w:val="center"/>
              <w:rPr>
                <w:rFonts w:asciiTheme="minorHAnsi" w:hAnsiTheme="minorHAnsi" w:cstheme="minorHAnsi"/>
                <w:sz w:val="22"/>
                <w:szCs w:val="22"/>
              </w:rPr>
            </w:pPr>
            <w:r w:rsidRPr="003D5FB5">
              <w:rPr>
                <w:rFonts w:asciiTheme="minorHAnsi" w:eastAsia="Calibri" w:hAnsiTheme="minorHAnsi" w:cstheme="minorHAnsi"/>
                <w:b/>
                <w:bCs/>
                <w:color w:val="000000" w:themeColor="text1"/>
                <w:sz w:val="22"/>
                <w:szCs w:val="22"/>
              </w:rPr>
              <w:t>328</w:t>
            </w:r>
          </w:p>
        </w:tc>
      </w:tr>
      <w:tr w:rsidR="002F0A87" w:rsidRPr="003D5FB5" w14:paraId="09BF35C2" w14:textId="77777777" w:rsidTr="00EA573A">
        <w:trPr>
          <w:trHeight w:val="278"/>
        </w:trPr>
        <w:tc>
          <w:tcPr>
            <w:tcW w:w="942" w:type="dxa"/>
            <w:tcBorders>
              <w:top w:val="single" w:sz="4" w:space="0" w:color="000000"/>
              <w:left w:val="single" w:sz="4" w:space="0" w:color="000000"/>
              <w:bottom w:val="single" w:sz="4" w:space="0" w:color="000000"/>
              <w:right w:val="single" w:sz="4" w:space="0" w:color="000000"/>
            </w:tcBorders>
            <w:shd w:val="clear" w:color="auto" w:fill="auto"/>
            <w:vAlign w:val="bottom"/>
          </w:tcPr>
          <w:p w14:paraId="56F69BCC" w14:textId="77777777" w:rsidR="002F0A87" w:rsidRPr="003D5FB5" w:rsidRDefault="002F0A87" w:rsidP="002F0A87">
            <w:pPr>
              <w:spacing w:line="360" w:lineRule="auto"/>
              <w:jc w:val="both"/>
              <w:rPr>
                <w:rFonts w:asciiTheme="minorHAnsi" w:hAnsiTheme="minorHAnsi" w:cstheme="minorHAnsi"/>
                <w:sz w:val="22"/>
                <w:szCs w:val="22"/>
              </w:rPr>
            </w:pPr>
            <w:proofErr w:type="spellStart"/>
            <w:r w:rsidRPr="003D5FB5">
              <w:rPr>
                <w:rFonts w:asciiTheme="minorHAnsi" w:eastAsia="Calibri" w:hAnsiTheme="minorHAnsi" w:cstheme="minorHAnsi"/>
                <w:color w:val="000000" w:themeColor="text1"/>
                <w:sz w:val="22"/>
                <w:szCs w:val="22"/>
              </w:rPr>
              <w:t>Baripada</w:t>
            </w:r>
            <w:proofErr w:type="spellEnd"/>
          </w:p>
        </w:tc>
        <w:tc>
          <w:tcPr>
            <w:tcW w:w="1100" w:type="dxa"/>
            <w:tcBorders>
              <w:top w:val="single" w:sz="4" w:space="0" w:color="000000"/>
              <w:left w:val="single" w:sz="4" w:space="0" w:color="000000"/>
              <w:bottom w:val="single" w:sz="4" w:space="0" w:color="000000"/>
              <w:right w:val="single" w:sz="4" w:space="0" w:color="000000"/>
            </w:tcBorders>
            <w:shd w:val="clear" w:color="auto" w:fill="auto"/>
            <w:vAlign w:val="bottom"/>
          </w:tcPr>
          <w:p w14:paraId="4DC3C8E2" w14:textId="77777777" w:rsidR="002F0A87" w:rsidRPr="003D5FB5" w:rsidRDefault="002F0A87" w:rsidP="002F0A87">
            <w:pPr>
              <w:spacing w:line="360" w:lineRule="auto"/>
              <w:jc w:val="center"/>
              <w:rPr>
                <w:rFonts w:asciiTheme="minorHAnsi" w:hAnsiTheme="minorHAnsi" w:cstheme="minorHAnsi"/>
                <w:sz w:val="22"/>
                <w:szCs w:val="22"/>
              </w:rPr>
            </w:pPr>
            <w:r w:rsidRPr="003D5FB5">
              <w:rPr>
                <w:rFonts w:asciiTheme="minorHAnsi" w:eastAsia="Calibri" w:hAnsiTheme="minorHAnsi" w:cstheme="minorHAnsi"/>
                <w:color w:val="000000" w:themeColor="text1"/>
                <w:sz w:val="22"/>
                <w:szCs w:val="22"/>
              </w:rPr>
              <w:t>129</w:t>
            </w:r>
          </w:p>
        </w:tc>
        <w:tc>
          <w:tcPr>
            <w:tcW w:w="786" w:type="dxa"/>
            <w:tcBorders>
              <w:top w:val="single" w:sz="4" w:space="0" w:color="000000"/>
              <w:left w:val="single" w:sz="4" w:space="0" w:color="000000"/>
              <w:bottom w:val="single" w:sz="4" w:space="0" w:color="000000"/>
              <w:right w:val="single" w:sz="4" w:space="0" w:color="000000"/>
            </w:tcBorders>
            <w:shd w:val="clear" w:color="auto" w:fill="auto"/>
            <w:vAlign w:val="bottom"/>
          </w:tcPr>
          <w:p w14:paraId="6AFE75E4" w14:textId="77777777" w:rsidR="002F0A87" w:rsidRPr="003D5FB5" w:rsidRDefault="002F0A87" w:rsidP="002F0A87">
            <w:pPr>
              <w:spacing w:line="360" w:lineRule="auto"/>
              <w:jc w:val="center"/>
              <w:rPr>
                <w:rFonts w:asciiTheme="minorHAnsi" w:hAnsiTheme="minorHAnsi" w:cstheme="minorHAnsi"/>
                <w:sz w:val="22"/>
                <w:szCs w:val="22"/>
              </w:rPr>
            </w:pPr>
            <w:r w:rsidRPr="003D5FB5">
              <w:rPr>
                <w:rFonts w:asciiTheme="minorHAnsi" w:eastAsia="Calibri" w:hAnsiTheme="minorHAnsi" w:cstheme="minorHAnsi"/>
                <w:color w:val="000000" w:themeColor="text1"/>
                <w:sz w:val="22"/>
                <w:szCs w:val="22"/>
              </w:rPr>
              <w:t>9</w:t>
            </w:r>
          </w:p>
        </w:tc>
        <w:tc>
          <w:tcPr>
            <w:tcW w:w="629" w:type="dxa"/>
            <w:tcBorders>
              <w:top w:val="single" w:sz="4" w:space="0" w:color="000000"/>
              <w:left w:val="single" w:sz="4" w:space="0" w:color="000000"/>
              <w:bottom w:val="single" w:sz="4" w:space="0" w:color="000000"/>
              <w:right w:val="single" w:sz="4" w:space="0" w:color="000000"/>
            </w:tcBorders>
            <w:shd w:val="clear" w:color="auto" w:fill="auto"/>
            <w:vAlign w:val="bottom"/>
          </w:tcPr>
          <w:p w14:paraId="3EFDAC55" w14:textId="77777777" w:rsidR="002F0A87" w:rsidRPr="003D5FB5" w:rsidRDefault="002F0A87" w:rsidP="002F0A87">
            <w:pPr>
              <w:spacing w:line="360" w:lineRule="auto"/>
              <w:jc w:val="center"/>
              <w:rPr>
                <w:rFonts w:asciiTheme="minorHAnsi" w:hAnsiTheme="minorHAnsi" w:cstheme="minorHAnsi"/>
                <w:b/>
                <w:sz w:val="22"/>
                <w:szCs w:val="22"/>
              </w:rPr>
            </w:pPr>
            <w:r w:rsidRPr="003D5FB5">
              <w:rPr>
                <w:rFonts w:asciiTheme="minorHAnsi" w:eastAsia="Calibri" w:hAnsiTheme="minorHAnsi" w:cstheme="minorHAnsi"/>
                <w:b/>
                <w:color w:val="000000" w:themeColor="text1"/>
                <w:sz w:val="22"/>
                <w:szCs w:val="22"/>
              </w:rPr>
              <w:t>138</w:t>
            </w:r>
          </w:p>
        </w:tc>
        <w:tc>
          <w:tcPr>
            <w:tcW w:w="1100" w:type="dxa"/>
            <w:tcBorders>
              <w:top w:val="single" w:sz="4" w:space="0" w:color="000000"/>
              <w:left w:val="single" w:sz="4" w:space="0" w:color="000000"/>
              <w:bottom w:val="single" w:sz="4" w:space="0" w:color="000000"/>
              <w:right w:val="single" w:sz="4" w:space="0" w:color="000000"/>
            </w:tcBorders>
            <w:shd w:val="clear" w:color="auto" w:fill="auto"/>
            <w:vAlign w:val="bottom"/>
          </w:tcPr>
          <w:p w14:paraId="24C90023" w14:textId="77777777" w:rsidR="002F0A87" w:rsidRPr="003D5FB5" w:rsidRDefault="002F0A87" w:rsidP="002F0A87">
            <w:pPr>
              <w:spacing w:line="360" w:lineRule="auto"/>
              <w:jc w:val="center"/>
              <w:rPr>
                <w:rFonts w:asciiTheme="minorHAnsi" w:hAnsiTheme="minorHAnsi" w:cstheme="minorHAnsi"/>
                <w:sz w:val="22"/>
                <w:szCs w:val="22"/>
              </w:rPr>
            </w:pPr>
            <w:r w:rsidRPr="003D5FB5">
              <w:rPr>
                <w:rFonts w:asciiTheme="minorHAnsi" w:eastAsia="Calibri" w:hAnsiTheme="minorHAnsi" w:cstheme="minorHAnsi"/>
                <w:color w:val="000000" w:themeColor="text1"/>
                <w:sz w:val="22"/>
                <w:szCs w:val="22"/>
              </w:rPr>
              <w:t>12</w:t>
            </w:r>
          </w:p>
        </w:tc>
        <w:tc>
          <w:tcPr>
            <w:tcW w:w="786" w:type="dxa"/>
            <w:tcBorders>
              <w:top w:val="single" w:sz="4" w:space="0" w:color="000000"/>
              <w:left w:val="single" w:sz="4" w:space="0" w:color="000000"/>
              <w:bottom w:val="single" w:sz="4" w:space="0" w:color="000000"/>
              <w:right w:val="single" w:sz="4" w:space="0" w:color="000000"/>
            </w:tcBorders>
            <w:shd w:val="clear" w:color="auto" w:fill="auto"/>
            <w:vAlign w:val="bottom"/>
          </w:tcPr>
          <w:p w14:paraId="4E170E96" w14:textId="77777777" w:rsidR="002F0A87" w:rsidRPr="003D5FB5" w:rsidRDefault="002F0A87" w:rsidP="002F0A87">
            <w:pPr>
              <w:spacing w:line="360" w:lineRule="auto"/>
              <w:jc w:val="center"/>
              <w:rPr>
                <w:rFonts w:asciiTheme="minorHAnsi" w:hAnsiTheme="minorHAnsi" w:cstheme="minorHAnsi"/>
                <w:sz w:val="22"/>
                <w:szCs w:val="22"/>
              </w:rPr>
            </w:pPr>
            <w:r w:rsidRPr="003D5FB5">
              <w:rPr>
                <w:rFonts w:asciiTheme="minorHAnsi" w:eastAsia="Calibri" w:hAnsiTheme="minorHAnsi" w:cstheme="minorHAnsi"/>
                <w:color w:val="000000" w:themeColor="text1"/>
                <w:sz w:val="22"/>
                <w:szCs w:val="22"/>
              </w:rPr>
              <w:t>6</w:t>
            </w:r>
          </w:p>
        </w:tc>
        <w:tc>
          <w:tcPr>
            <w:tcW w:w="629" w:type="dxa"/>
            <w:tcBorders>
              <w:top w:val="single" w:sz="4" w:space="0" w:color="000000"/>
              <w:left w:val="single" w:sz="4" w:space="0" w:color="000000"/>
              <w:bottom w:val="single" w:sz="4" w:space="0" w:color="000000"/>
              <w:right w:val="single" w:sz="4" w:space="0" w:color="000000"/>
            </w:tcBorders>
            <w:shd w:val="clear" w:color="auto" w:fill="auto"/>
            <w:vAlign w:val="bottom"/>
          </w:tcPr>
          <w:p w14:paraId="65978275" w14:textId="77777777" w:rsidR="002F0A87" w:rsidRPr="003D5FB5" w:rsidRDefault="002F0A87" w:rsidP="002F0A87">
            <w:pPr>
              <w:spacing w:line="360" w:lineRule="auto"/>
              <w:jc w:val="center"/>
              <w:rPr>
                <w:rFonts w:asciiTheme="minorHAnsi" w:hAnsiTheme="minorHAnsi" w:cstheme="minorHAnsi"/>
                <w:b/>
                <w:sz w:val="22"/>
                <w:szCs w:val="22"/>
              </w:rPr>
            </w:pPr>
            <w:r w:rsidRPr="003D5FB5">
              <w:rPr>
                <w:rFonts w:asciiTheme="minorHAnsi" w:eastAsia="Calibri" w:hAnsiTheme="minorHAnsi" w:cstheme="minorHAnsi"/>
                <w:b/>
                <w:color w:val="000000" w:themeColor="text1"/>
                <w:sz w:val="22"/>
                <w:szCs w:val="22"/>
              </w:rPr>
              <w:t>18</w:t>
            </w:r>
          </w:p>
        </w:tc>
        <w:tc>
          <w:tcPr>
            <w:tcW w:w="1100" w:type="dxa"/>
            <w:tcBorders>
              <w:top w:val="single" w:sz="4" w:space="0" w:color="000000"/>
              <w:left w:val="single" w:sz="4" w:space="0" w:color="000000"/>
              <w:bottom w:val="single" w:sz="4" w:space="0" w:color="000000"/>
              <w:right w:val="single" w:sz="4" w:space="0" w:color="000000"/>
            </w:tcBorders>
            <w:shd w:val="clear" w:color="auto" w:fill="auto"/>
            <w:vAlign w:val="bottom"/>
          </w:tcPr>
          <w:p w14:paraId="0074A6E9" w14:textId="77777777" w:rsidR="002F0A87" w:rsidRPr="003D5FB5" w:rsidRDefault="002F0A87" w:rsidP="002F0A87">
            <w:pPr>
              <w:spacing w:line="360" w:lineRule="auto"/>
              <w:jc w:val="center"/>
              <w:rPr>
                <w:rFonts w:asciiTheme="minorHAnsi" w:hAnsiTheme="minorHAnsi" w:cstheme="minorHAnsi"/>
                <w:sz w:val="22"/>
                <w:szCs w:val="22"/>
              </w:rPr>
            </w:pPr>
            <w:r w:rsidRPr="003D5FB5">
              <w:rPr>
                <w:rFonts w:asciiTheme="minorHAnsi" w:eastAsia="Calibri" w:hAnsiTheme="minorHAnsi" w:cstheme="minorHAnsi"/>
                <w:color w:val="000000" w:themeColor="text1"/>
                <w:sz w:val="22"/>
                <w:szCs w:val="22"/>
              </w:rPr>
              <w:t>525</w:t>
            </w:r>
          </w:p>
        </w:tc>
        <w:tc>
          <w:tcPr>
            <w:tcW w:w="786" w:type="dxa"/>
            <w:tcBorders>
              <w:top w:val="single" w:sz="4" w:space="0" w:color="000000"/>
              <w:left w:val="single" w:sz="4" w:space="0" w:color="000000"/>
              <w:bottom w:val="single" w:sz="4" w:space="0" w:color="000000"/>
              <w:right w:val="single" w:sz="4" w:space="0" w:color="000000"/>
            </w:tcBorders>
            <w:shd w:val="clear" w:color="auto" w:fill="auto"/>
            <w:vAlign w:val="bottom"/>
          </w:tcPr>
          <w:p w14:paraId="1633FB69" w14:textId="77777777" w:rsidR="002F0A87" w:rsidRPr="003D5FB5" w:rsidRDefault="002F0A87" w:rsidP="002F0A87">
            <w:pPr>
              <w:spacing w:line="360" w:lineRule="auto"/>
              <w:jc w:val="center"/>
              <w:rPr>
                <w:rFonts w:asciiTheme="minorHAnsi" w:hAnsiTheme="minorHAnsi" w:cstheme="minorHAnsi"/>
                <w:sz w:val="22"/>
                <w:szCs w:val="22"/>
              </w:rPr>
            </w:pPr>
            <w:r w:rsidRPr="003D5FB5">
              <w:rPr>
                <w:rFonts w:asciiTheme="minorHAnsi" w:eastAsia="Calibri" w:hAnsiTheme="minorHAnsi" w:cstheme="minorHAnsi"/>
                <w:color w:val="000000" w:themeColor="text1"/>
                <w:sz w:val="22"/>
                <w:szCs w:val="22"/>
              </w:rPr>
              <w:t>83</w:t>
            </w:r>
          </w:p>
        </w:tc>
        <w:tc>
          <w:tcPr>
            <w:tcW w:w="629" w:type="dxa"/>
            <w:tcBorders>
              <w:top w:val="single" w:sz="4" w:space="0" w:color="000000"/>
              <w:left w:val="single" w:sz="4" w:space="0" w:color="000000"/>
              <w:bottom w:val="single" w:sz="4" w:space="0" w:color="000000"/>
              <w:right w:val="single" w:sz="4" w:space="0" w:color="000000"/>
            </w:tcBorders>
            <w:shd w:val="clear" w:color="auto" w:fill="auto"/>
            <w:vAlign w:val="bottom"/>
          </w:tcPr>
          <w:p w14:paraId="6340988D" w14:textId="77777777" w:rsidR="002F0A87" w:rsidRPr="003D5FB5" w:rsidRDefault="002F0A87" w:rsidP="002F0A87">
            <w:pPr>
              <w:spacing w:line="360" w:lineRule="auto"/>
              <w:jc w:val="center"/>
              <w:rPr>
                <w:rFonts w:asciiTheme="minorHAnsi" w:hAnsiTheme="minorHAnsi" w:cstheme="minorHAnsi"/>
                <w:b/>
                <w:sz w:val="22"/>
                <w:szCs w:val="22"/>
              </w:rPr>
            </w:pPr>
            <w:r w:rsidRPr="003D5FB5">
              <w:rPr>
                <w:rFonts w:asciiTheme="minorHAnsi" w:eastAsia="Calibri" w:hAnsiTheme="minorHAnsi" w:cstheme="minorHAnsi"/>
                <w:b/>
                <w:color w:val="000000" w:themeColor="text1"/>
                <w:sz w:val="22"/>
                <w:szCs w:val="22"/>
              </w:rPr>
              <w:t>608</w:t>
            </w:r>
          </w:p>
        </w:tc>
        <w:tc>
          <w:tcPr>
            <w:tcW w:w="1229" w:type="dxa"/>
            <w:tcBorders>
              <w:top w:val="single" w:sz="4" w:space="0" w:color="000000"/>
              <w:left w:val="single" w:sz="4" w:space="0" w:color="000000"/>
              <w:bottom w:val="single" w:sz="4" w:space="0" w:color="000000"/>
              <w:right w:val="single" w:sz="4" w:space="0" w:color="000000"/>
            </w:tcBorders>
            <w:shd w:val="clear" w:color="auto" w:fill="auto"/>
            <w:vAlign w:val="bottom"/>
          </w:tcPr>
          <w:p w14:paraId="40294169" w14:textId="77777777" w:rsidR="002F0A87" w:rsidRPr="003D5FB5" w:rsidRDefault="002F0A87" w:rsidP="002F0A87">
            <w:pPr>
              <w:spacing w:line="360" w:lineRule="auto"/>
              <w:jc w:val="center"/>
              <w:rPr>
                <w:rFonts w:asciiTheme="minorHAnsi" w:hAnsiTheme="minorHAnsi" w:cstheme="minorHAnsi"/>
                <w:sz w:val="22"/>
                <w:szCs w:val="22"/>
              </w:rPr>
            </w:pPr>
            <w:r w:rsidRPr="003D5FB5">
              <w:rPr>
                <w:rFonts w:asciiTheme="minorHAnsi" w:eastAsia="Calibri" w:hAnsiTheme="minorHAnsi" w:cstheme="minorHAnsi"/>
                <w:b/>
                <w:bCs/>
                <w:color w:val="000000" w:themeColor="text1"/>
                <w:sz w:val="22"/>
                <w:szCs w:val="22"/>
              </w:rPr>
              <w:t>764</w:t>
            </w:r>
          </w:p>
        </w:tc>
      </w:tr>
      <w:tr w:rsidR="002F0A87" w:rsidRPr="003D5FB5" w14:paraId="688B0769" w14:textId="77777777" w:rsidTr="00EA573A">
        <w:trPr>
          <w:trHeight w:val="278"/>
        </w:trPr>
        <w:tc>
          <w:tcPr>
            <w:tcW w:w="942" w:type="dxa"/>
            <w:tcBorders>
              <w:top w:val="single" w:sz="4" w:space="0" w:color="000000"/>
              <w:left w:val="single" w:sz="4" w:space="0" w:color="000000"/>
              <w:bottom w:val="single" w:sz="4" w:space="0" w:color="000000"/>
              <w:right w:val="single" w:sz="4" w:space="0" w:color="000000"/>
            </w:tcBorders>
            <w:shd w:val="clear" w:color="auto" w:fill="auto"/>
            <w:vAlign w:val="bottom"/>
          </w:tcPr>
          <w:p w14:paraId="077E1A70" w14:textId="77777777" w:rsidR="002F0A87" w:rsidRPr="003D5FB5" w:rsidRDefault="002F0A87" w:rsidP="002F0A87">
            <w:pPr>
              <w:spacing w:line="360" w:lineRule="auto"/>
              <w:jc w:val="both"/>
              <w:rPr>
                <w:rFonts w:asciiTheme="minorHAnsi" w:hAnsiTheme="minorHAnsi" w:cstheme="minorHAnsi"/>
                <w:sz w:val="22"/>
                <w:szCs w:val="22"/>
              </w:rPr>
            </w:pPr>
            <w:proofErr w:type="spellStart"/>
            <w:r w:rsidRPr="003D5FB5">
              <w:rPr>
                <w:rFonts w:asciiTheme="minorHAnsi" w:eastAsia="Calibri" w:hAnsiTheme="minorHAnsi" w:cstheme="minorHAnsi"/>
                <w:color w:val="000000" w:themeColor="text1"/>
                <w:sz w:val="22"/>
                <w:szCs w:val="22"/>
              </w:rPr>
              <w:t>Bhadrak</w:t>
            </w:r>
            <w:proofErr w:type="spellEnd"/>
          </w:p>
        </w:tc>
        <w:tc>
          <w:tcPr>
            <w:tcW w:w="1100" w:type="dxa"/>
            <w:tcBorders>
              <w:top w:val="single" w:sz="4" w:space="0" w:color="000000"/>
              <w:left w:val="single" w:sz="4" w:space="0" w:color="000000"/>
              <w:bottom w:val="single" w:sz="4" w:space="0" w:color="000000"/>
              <w:right w:val="single" w:sz="4" w:space="0" w:color="000000"/>
            </w:tcBorders>
            <w:shd w:val="clear" w:color="auto" w:fill="auto"/>
            <w:vAlign w:val="bottom"/>
          </w:tcPr>
          <w:p w14:paraId="0BC8EEB1" w14:textId="77777777" w:rsidR="002F0A87" w:rsidRPr="003D5FB5" w:rsidRDefault="002F0A87" w:rsidP="002F0A87">
            <w:pPr>
              <w:spacing w:line="360" w:lineRule="auto"/>
              <w:jc w:val="center"/>
              <w:rPr>
                <w:rFonts w:asciiTheme="minorHAnsi" w:hAnsiTheme="minorHAnsi" w:cstheme="minorHAnsi"/>
                <w:sz w:val="22"/>
                <w:szCs w:val="22"/>
              </w:rPr>
            </w:pPr>
            <w:r w:rsidRPr="003D5FB5">
              <w:rPr>
                <w:rFonts w:asciiTheme="minorHAnsi" w:eastAsia="Calibri" w:hAnsiTheme="minorHAnsi" w:cstheme="minorHAnsi"/>
                <w:color w:val="000000" w:themeColor="text1"/>
                <w:sz w:val="22"/>
                <w:szCs w:val="22"/>
              </w:rPr>
              <w:t>348</w:t>
            </w:r>
          </w:p>
        </w:tc>
        <w:tc>
          <w:tcPr>
            <w:tcW w:w="786" w:type="dxa"/>
            <w:tcBorders>
              <w:top w:val="single" w:sz="4" w:space="0" w:color="000000"/>
              <w:left w:val="single" w:sz="4" w:space="0" w:color="000000"/>
              <w:bottom w:val="single" w:sz="4" w:space="0" w:color="000000"/>
              <w:right w:val="single" w:sz="4" w:space="0" w:color="000000"/>
            </w:tcBorders>
            <w:shd w:val="clear" w:color="auto" w:fill="auto"/>
            <w:vAlign w:val="bottom"/>
          </w:tcPr>
          <w:p w14:paraId="3679B206" w14:textId="77777777" w:rsidR="002F0A87" w:rsidRPr="003D5FB5" w:rsidRDefault="002F0A87" w:rsidP="002F0A87">
            <w:pPr>
              <w:spacing w:line="360" w:lineRule="auto"/>
              <w:jc w:val="center"/>
              <w:rPr>
                <w:rFonts w:asciiTheme="minorHAnsi" w:hAnsiTheme="minorHAnsi" w:cstheme="minorHAnsi"/>
                <w:sz w:val="22"/>
                <w:szCs w:val="22"/>
              </w:rPr>
            </w:pPr>
            <w:r w:rsidRPr="003D5FB5">
              <w:rPr>
                <w:rFonts w:asciiTheme="minorHAnsi" w:eastAsia="Calibri" w:hAnsiTheme="minorHAnsi" w:cstheme="minorHAnsi"/>
                <w:color w:val="000000" w:themeColor="text1"/>
                <w:sz w:val="22"/>
                <w:szCs w:val="22"/>
              </w:rPr>
              <w:t>8</w:t>
            </w:r>
          </w:p>
        </w:tc>
        <w:tc>
          <w:tcPr>
            <w:tcW w:w="629" w:type="dxa"/>
            <w:tcBorders>
              <w:top w:val="single" w:sz="4" w:space="0" w:color="000000"/>
              <w:left w:val="single" w:sz="4" w:space="0" w:color="000000"/>
              <w:bottom w:val="single" w:sz="4" w:space="0" w:color="000000"/>
              <w:right w:val="single" w:sz="4" w:space="0" w:color="000000"/>
            </w:tcBorders>
            <w:shd w:val="clear" w:color="auto" w:fill="auto"/>
            <w:vAlign w:val="bottom"/>
          </w:tcPr>
          <w:p w14:paraId="75AF7315" w14:textId="77777777" w:rsidR="002F0A87" w:rsidRPr="003D5FB5" w:rsidRDefault="002F0A87" w:rsidP="002F0A87">
            <w:pPr>
              <w:spacing w:line="360" w:lineRule="auto"/>
              <w:jc w:val="center"/>
              <w:rPr>
                <w:rFonts w:asciiTheme="minorHAnsi" w:hAnsiTheme="minorHAnsi" w:cstheme="minorHAnsi"/>
                <w:b/>
                <w:sz w:val="22"/>
                <w:szCs w:val="22"/>
              </w:rPr>
            </w:pPr>
            <w:r w:rsidRPr="003D5FB5">
              <w:rPr>
                <w:rFonts w:asciiTheme="minorHAnsi" w:eastAsia="Calibri" w:hAnsiTheme="minorHAnsi" w:cstheme="minorHAnsi"/>
                <w:b/>
                <w:color w:val="000000" w:themeColor="text1"/>
                <w:sz w:val="22"/>
                <w:szCs w:val="22"/>
              </w:rPr>
              <w:t>356</w:t>
            </w:r>
          </w:p>
        </w:tc>
        <w:tc>
          <w:tcPr>
            <w:tcW w:w="1100" w:type="dxa"/>
            <w:tcBorders>
              <w:top w:val="single" w:sz="4" w:space="0" w:color="000000"/>
              <w:left w:val="single" w:sz="4" w:space="0" w:color="000000"/>
              <w:bottom w:val="single" w:sz="4" w:space="0" w:color="000000"/>
              <w:right w:val="single" w:sz="4" w:space="0" w:color="000000"/>
            </w:tcBorders>
            <w:shd w:val="clear" w:color="auto" w:fill="auto"/>
            <w:vAlign w:val="bottom"/>
          </w:tcPr>
          <w:p w14:paraId="66DEE3D6" w14:textId="77777777" w:rsidR="002F0A87" w:rsidRPr="003D5FB5" w:rsidRDefault="002F0A87" w:rsidP="002F0A87">
            <w:pPr>
              <w:spacing w:line="360" w:lineRule="auto"/>
              <w:jc w:val="center"/>
              <w:rPr>
                <w:rFonts w:asciiTheme="minorHAnsi" w:hAnsiTheme="minorHAnsi" w:cstheme="minorHAnsi"/>
                <w:sz w:val="22"/>
                <w:szCs w:val="22"/>
              </w:rPr>
            </w:pPr>
            <w:r w:rsidRPr="003D5FB5">
              <w:rPr>
                <w:rFonts w:asciiTheme="minorHAnsi" w:eastAsia="Calibri" w:hAnsiTheme="minorHAnsi" w:cstheme="minorHAnsi"/>
                <w:color w:val="000000" w:themeColor="text1"/>
                <w:sz w:val="22"/>
                <w:szCs w:val="22"/>
              </w:rPr>
              <w:t>5</w:t>
            </w:r>
          </w:p>
        </w:tc>
        <w:tc>
          <w:tcPr>
            <w:tcW w:w="786" w:type="dxa"/>
            <w:tcBorders>
              <w:top w:val="single" w:sz="4" w:space="0" w:color="000000"/>
              <w:left w:val="single" w:sz="4" w:space="0" w:color="000000"/>
              <w:bottom w:val="single" w:sz="4" w:space="0" w:color="000000"/>
              <w:right w:val="single" w:sz="4" w:space="0" w:color="000000"/>
            </w:tcBorders>
            <w:shd w:val="clear" w:color="auto" w:fill="auto"/>
            <w:vAlign w:val="bottom"/>
          </w:tcPr>
          <w:p w14:paraId="0FD788A6" w14:textId="77777777" w:rsidR="002F0A87" w:rsidRPr="003D5FB5" w:rsidRDefault="002F0A87" w:rsidP="002F0A87">
            <w:pPr>
              <w:spacing w:line="360" w:lineRule="auto"/>
              <w:jc w:val="center"/>
              <w:rPr>
                <w:rFonts w:asciiTheme="minorHAnsi" w:hAnsiTheme="minorHAnsi" w:cstheme="minorHAnsi"/>
                <w:sz w:val="22"/>
                <w:szCs w:val="22"/>
              </w:rPr>
            </w:pPr>
            <w:r w:rsidRPr="003D5FB5">
              <w:rPr>
                <w:rFonts w:asciiTheme="minorHAnsi" w:eastAsia="Calibri" w:hAnsiTheme="minorHAnsi" w:cstheme="minorHAnsi"/>
                <w:color w:val="000000" w:themeColor="text1"/>
                <w:sz w:val="22"/>
                <w:szCs w:val="22"/>
              </w:rPr>
              <w:t>1</w:t>
            </w:r>
          </w:p>
        </w:tc>
        <w:tc>
          <w:tcPr>
            <w:tcW w:w="629" w:type="dxa"/>
            <w:tcBorders>
              <w:top w:val="single" w:sz="4" w:space="0" w:color="000000"/>
              <w:left w:val="single" w:sz="4" w:space="0" w:color="000000"/>
              <w:bottom w:val="single" w:sz="4" w:space="0" w:color="000000"/>
              <w:right w:val="single" w:sz="4" w:space="0" w:color="000000"/>
            </w:tcBorders>
            <w:shd w:val="clear" w:color="auto" w:fill="auto"/>
            <w:vAlign w:val="bottom"/>
          </w:tcPr>
          <w:p w14:paraId="5AA1FE1A" w14:textId="77777777" w:rsidR="002F0A87" w:rsidRPr="003D5FB5" w:rsidRDefault="002F0A87" w:rsidP="002F0A87">
            <w:pPr>
              <w:spacing w:line="360" w:lineRule="auto"/>
              <w:jc w:val="center"/>
              <w:rPr>
                <w:rFonts w:asciiTheme="minorHAnsi" w:hAnsiTheme="minorHAnsi" w:cstheme="minorHAnsi"/>
                <w:b/>
                <w:sz w:val="22"/>
                <w:szCs w:val="22"/>
              </w:rPr>
            </w:pPr>
            <w:r w:rsidRPr="003D5FB5">
              <w:rPr>
                <w:rFonts w:asciiTheme="minorHAnsi" w:eastAsia="Calibri" w:hAnsiTheme="minorHAnsi" w:cstheme="minorHAnsi"/>
                <w:b/>
                <w:color w:val="000000" w:themeColor="text1"/>
                <w:sz w:val="22"/>
                <w:szCs w:val="22"/>
              </w:rPr>
              <w:t>6</w:t>
            </w:r>
          </w:p>
        </w:tc>
        <w:tc>
          <w:tcPr>
            <w:tcW w:w="1100" w:type="dxa"/>
            <w:tcBorders>
              <w:top w:val="single" w:sz="4" w:space="0" w:color="000000"/>
              <w:left w:val="single" w:sz="4" w:space="0" w:color="000000"/>
              <w:bottom w:val="single" w:sz="4" w:space="0" w:color="000000"/>
              <w:right w:val="single" w:sz="4" w:space="0" w:color="000000"/>
            </w:tcBorders>
            <w:shd w:val="clear" w:color="auto" w:fill="auto"/>
            <w:vAlign w:val="bottom"/>
          </w:tcPr>
          <w:p w14:paraId="139E1552" w14:textId="77777777" w:rsidR="002F0A87" w:rsidRPr="003D5FB5" w:rsidRDefault="002F0A87" w:rsidP="002F0A87">
            <w:pPr>
              <w:spacing w:line="360" w:lineRule="auto"/>
              <w:jc w:val="center"/>
              <w:rPr>
                <w:rFonts w:asciiTheme="minorHAnsi" w:hAnsiTheme="minorHAnsi" w:cstheme="minorHAnsi"/>
                <w:sz w:val="22"/>
                <w:szCs w:val="22"/>
              </w:rPr>
            </w:pPr>
            <w:r w:rsidRPr="003D5FB5">
              <w:rPr>
                <w:rFonts w:asciiTheme="minorHAnsi" w:eastAsia="Calibri" w:hAnsiTheme="minorHAnsi" w:cstheme="minorHAnsi"/>
                <w:color w:val="000000" w:themeColor="text1"/>
                <w:sz w:val="22"/>
                <w:szCs w:val="22"/>
              </w:rPr>
              <w:t>155</w:t>
            </w:r>
          </w:p>
        </w:tc>
        <w:tc>
          <w:tcPr>
            <w:tcW w:w="786" w:type="dxa"/>
            <w:tcBorders>
              <w:top w:val="single" w:sz="4" w:space="0" w:color="000000"/>
              <w:left w:val="single" w:sz="4" w:space="0" w:color="000000"/>
              <w:bottom w:val="single" w:sz="4" w:space="0" w:color="000000"/>
              <w:right w:val="single" w:sz="4" w:space="0" w:color="000000"/>
            </w:tcBorders>
            <w:shd w:val="clear" w:color="auto" w:fill="auto"/>
            <w:vAlign w:val="bottom"/>
          </w:tcPr>
          <w:p w14:paraId="32A4B784" w14:textId="77777777" w:rsidR="002F0A87" w:rsidRPr="003D5FB5" w:rsidRDefault="002F0A87" w:rsidP="002F0A87">
            <w:pPr>
              <w:spacing w:line="360" w:lineRule="auto"/>
              <w:jc w:val="center"/>
              <w:rPr>
                <w:rFonts w:asciiTheme="minorHAnsi" w:hAnsiTheme="minorHAnsi" w:cstheme="minorHAnsi"/>
                <w:sz w:val="22"/>
                <w:szCs w:val="22"/>
              </w:rPr>
            </w:pPr>
            <w:r w:rsidRPr="003D5FB5">
              <w:rPr>
                <w:rFonts w:asciiTheme="minorHAnsi" w:eastAsia="Calibri" w:hAnsiTheme="minorHAnsi" w:cstheme="minorHAnsi"/>
                <w:color w:val="000000" w:themeColor="text1"/>
                <w:sz w:val="22"/>
                <w:szCs w:val="22"/>
              </w:rPr>
              <w:t>3</w:t>
            </w:r>
          </w:p>
        </w:tc>
        <w:tc>
          <w:tcPr>
            <w:tcW w:w="629" w:type="dxa"/>
            <w:tcBorders>
              <w:top w:val="single" w:sz="4" w:space="0" w:color="000000"/>
              <w:left w:val="single" w:sz="4" w:space="0" w:color="000000"/>
              <w:bottom w:val="single" w:sz="4" w:space="0" w:color="000000"/>
              <w:right w:val="single" w:sz="4" w:space="0" w:color="000000"/>
            </w:tcBorders>
            <w:shd w:val="clear" w:color="auto" w:fill="auto"/>
            <w:vAlign w:val="bottom"/>
          </w:tcPr>
          <w:p w14:paraId="74211CCA" w14:textId="77777777" w:rsidR="002F0A87" w:rsidRPr="003D5FB5" w:rsidRDefault="002F0A87" w:rsidP="002F0A87">
            <w:pPr>
              <w:spacing w:line="360" w:lineRule="auto"/>
              <w:jc w:val="center"/>
              <w:rPr>
                <w:rFonts w:asciiTheme="minorHAnsi" w:hAnsiTheme="minorHAnsi" w:cstheme="minorHAnsi"/>
                <w:b/>
                <w:sz w:val="22"/>
                <w:szCs w:val="22"/>
              </w:rPr>
            </w:pPr>
            <w:r w:rsidRPr="003D5FB5">
              <w:rPr>
                <w:rFonts w:asciiTheme="minorHAnsi" w:eastAsia="Calibri" w:hAnsiTheme="minorHAnsi" w:cstheme="minorHAnsi"/>
                <w:b/>
                <w:color w:val="000000" w:themeColor="text1"/>
                <w:sz w:val="22"/>
                <w:szCs w:val="22"/>
              </w:rPr>
              <w:t>158</w:t>
            </w:r>
          </w:p>
        </w:tc>
        <w:tc>
          <w:tcPr>
            <w:tcW w:w="1229" w:type="dxa"/>
            <w:tcBorders>
              <w:top w:val="single" w:sz="4" w:space="0" w:color="000000"/>
              <w:left w:val="single" w:sz="4" w:space="0" w:color="000000"/>
              <w:bottom w:val="single" w:sz="4" w:space="0" w:color="000000"/>
              <w:right w:val="single" w:sz="4" w:space="0" w:color="000000"/>
            </w:tcBorders>
            <w:shd w:val="clear" w:color="auto" w:fill="auto"/>
            <w:vAlign w:val="bottom"/>
          </w:tcPr>
          <w:p w14:paraId="355A696B" w14:textId="77777777" w:rsidR="002F0A87" w:rsidRPr="003D5FB5" w:rsidRDefault="002F0A87" w:rsidP="002F0A87">
            <w:pPr>
              <w:spacing w:line="360" w:lineRule="auto"/>
              <w:jc w:val="center"/>
              <w:rPr>
                <w:rFonts w:asciiTheme="minorHAnsi" w:hAnsiTheme="minorHAnsi" w:cstheme="minorHAnsi"/>
                <w:sz w:val="22"/>
                <w:szCs w:val="22"/>
              </w:rPr>
            </w:pPr>
            <w:r w:rsidRPr="003D5FB5">
              <w:rPr>
                <w:rFonts w:asciiTheme="minorHAnsi" w:eastAsia="Calibri" w:hAnsiTheme="minorHAnsi" w:cstheme="minorHAnsi"/>
                <w:b/>
                <w:bCs/>
                <w:color w:val="000000" w:themeColor="text1"/>
                <w:sz w:val="22"/>
                <w:szCs w:val="22"/>
              </w:rPr>
              <w:t>520</w:t>
            </w:r>
          </w:p>
        </w:tc>
      </w:tr>
      <w:tr w:rsidR="002F0A87" w:rsidRPr="003D5FB5" w14:paraId="3E37249C" w14:textId="77777777" w:rsidTr="00EA573A">
        <w:trPr>
          <w:trHeight w:val="278"/>
        </w:trPr>
        <w:tc>
          <w:tcPr>
            <w:tcW w:w="942" w:type="dxa"/>
            <w:tcBorders>
              <w:top w:val="single" w:sz="4" w:space="0" w:color="000000"/>
              <w:left w:val="single" w:sz="4" w:space="0" w:color="000000"/>
              <w:bottom w:val="single" w:sz="4" w:space="0" w:color="000000"/>
              <w:right w:val="single" w:sz="4" w:space="0" w:color="000000"/>
            </w:tcBorders>
            <w:shd w:val="clear" w:color="auto" w:fill="auto"/>
            <w:vAlign w:val="bottom"/>
          </w:tcPr>
          <w:p w14:paraId="38A8234F" w14:textId="77777777" w:rsidR="002F0A87" w:rsidRPr="003D5FB5" w:rsidRDefault="002F0A87" w:rsidP="002F0A87">
            <w:pPr>
              <w:spacing w:line="360" w:lineRule="auto"/>
              <w:jc w:val="both"/>
              <w:rPr>
                <w:rFonts w:asciiTheme="minorHAnsi" w:hAnsiTheme="minorHAnsi" w:cstheme="minorHAnsi"/>
                <w:sz w:val="22"/>
                <w:szCs w:val="22"/>
              </w:rPr>
            </w:pPr>
            <w:proofErr w:type="spellStart"/>
            <w:r w:rsidRPr="003D5FB5">
              <w:rPr>
                <w:rFonts w:asciiTheme="minorHAnsi" w:eastAsia="Calibri" w:hAnsiTheme="minorHAnsi" w:cstheme="minorHAnsi"/>
                <w:color w:val="000000" w:themeColor="text1"/>
                <w:sz w:val="22"/>
                <w:szCs w:val="22"/>
              </w:rPr>
              <w:t>Jajpur</w:t>
            </w:r>
            <w:proofErr w:type="spellEnd"/>
          </w:p>
        </w:tc>
        <w:tc>
          <w:tcPr>
            <w:tcW w:w="1100" w:type="dxa"/>
            <w:tcBorders>
              <w:top w:val="single" w:sz="4" w:space="0" w:color="000000"/>
              <w:left w:val="single" w:sz="4" w:space="0" w:color="000000"/>
              <w:bottom w:val="single" w:sz="4" w:space="0" w:color="000000"/>
              <w:right w:val="single" w:sz="4" w:space="0" w:color="000000"/>
            </w:tcBorders>
            <w:shd w:val="clear" w:color="auto" w:fill="auto"/>
            <w:vAlign w:val="bottom"/>
          </w:tcPr>
          <w:p w14:paraId="255F5136" w14:textId="77777777" w:rsidR="002F0A87" w:rsidRPr="003D5FB5" w:rsidRDefault="002F0A87" w:rsidP="002F0A87">
            <w:pPr>
              <w:spacing w:line="360" w:lineRule="auto"/>
              <w:jc w:val="center"/>
              <w:rPr>
                <w:rFonts w:asciiTheme="minorHAnsi" w:hAnsiTheme="minorHAnsi" w:cstheme="minorHAnsi"/>
                <w:sz w:val="22"/>
                <w:szCs w:val="22"/>
              </w:rPr>
            </w:pPr>
            <w:r w:rsidRPr="003D5FB5">
              <w:rPr>
                <w:rFonts w:asciiTheme="minorHAnsi" w:eastAsia="Calibri" w:hAnsiTheme="minorHAnsi" w:cstheme="minorHAnsi"/>
                <w:color w:val="000000" w:themeColor="text1"/>
                <w:sz w:val="22"/>
                <w:szCs w:val="22"/>
              </w:rPr>
              <w:t>364</w:t>
            </w:r>
          </w:p>
        </w:tc>
        <w:tc>
          <w:tcPr>
            <w:tcW w:w="786" w:type="dxa"/>
            <w:tcBorders>
              <w:top w:val="single" w:sz="4" w:space="0" w:color="000000"/>
              <w:left w:val="single" w:sz="4" w:space="0" w:color="000000"/>
              <w:bottom w:val="single" w:sz="4" w:space="0" w:color="000000"/>
              <w:right w:val="single" w:sz="4" w:space="0" w:color="000000"/>
            </w:tcBorders>
            <w:shd w:val="clear" w:color="auto" w:fill="auto"/>
            <w:vAlign w:val="bottom"/>
          </w:tcPr>
          <w:p w14:paraId="54BB5158" w14:textId="77777777" w:rsidR="002F0A87" w:rsidRPr="003D5FB5" w:rsidRDefault="002F0A87" w:rsidP="002F0A87">
            <w:pPr>
              <w:spacing w:line="360" w:lineRule="auto"/>
              <w:jc w:val="center"/>
              <w:rPr>
                <w:rFonts w:asciiTheme="minorHAnsi" w:hAnsiTheme="minorHAnsi" w:cstheme="minorHAnsi"/>
                <w:sz w:val="22"/>
                <w:szCs w:val="22"/>
              </w:rPr>
            </w:pPr>
            <w:r w:rsidRPr="003D5FB5">
              <w:rPr>
                <w:rFonts w:asciiTheme="minorHAnsi" w:eastAsia="Calibri" w:hAnsiTheme="minorHAnsi" w:cstheme="minorHAnsi"/>
                <w:color w:val="000000" w:themeColor="text1"/>
                <w:sz w:val="22"/>
                <w:szCs w:val="22"/>
              </w:rPr>
              <w:t>12</w:t>
            </w:r>
          </w:p>
        </w:tc>
        <w:tc>
          <w:tcPr>
            <w:tcW w:w="629" w:type="dxa"/>
            <w:tcBorders>
              <w:top w:val="single" w:sz="4" w:space="0" w:color="000000"/>
              <w:left w:val="single" w:sz="4" w:space="0" w:color="000000"/>
              <w:bottom w:val="single" w:sz="4" w:space="0" w:color="000000"/>
              <w:right w:val="single" w:sz="4" w:space="0" w:color="000000"/>
            </w:tcBorders>
            <w:shd w:val="clear" w:color="auto" w:fill="auto"/>
            <w:vAlign w:val="bottom"/>
          </w:tcPr>
          <w:p w14:paraId="312C76CF" w14:textId="77777777" w:rsidR="002F0A87" w:rsidRPr="003D5FB5" w:rsidRDefault="002F0A87" w:rsidP="002F0A87">
            <w:pPr>
              <w:spacing w:line="360" w:lineRule="auto"/>
              <w:jc w:val="center"/>
              <w:rPr>
                <w:rFonts w:asciiTheme="minorHAnsi" w:hAnsiTheme="minorHAnsi" w:cstheme="minorHAnsi"/>
                <w:b/>
                <w:sz w:val="22"/>
                <w:szCs w:val="22"/>
              </w:rPr>
            </w:pPr>
            <w:r w:rsidRPr="003D5FB5">
              <w:rPr>
                <w:rFonts w:asciiTheme="minorHAnsi" w:eastAsia="Calibri" w:hAnsiTheme="minorHAnsi" w:cstheme="minorHAnsi"/>
                <w:b/>
                <w:color w:val="000000" w:themeColor="text1"/>
                <w:sz w:val="22"/>
                <w:szCs w:val="22"/>
              </w:rPr>
              <w:t>376</w:t>
            </w:r>
          </w:p>
        </w:tc>
        <w:tc>
          <w:tcPr>
            <w:tcW w:w="1100" w:type="dxa"/>
            <w:tcBorders>
              <w:top w:val="single" w:sz="4" w:space="0" w:color="000000"/>
              <w:left w:val="single" w:sz="4" w:space="0" w:color="000000"/>
              <w:bottom w:val="single" w:sz="4" w:space="0" w:color="000000"/>
              <w:right w:val="single" w:sz="4" w:space="0" w:color="000000"/>
            </w:tcBorders>
            <w:shd w:val="clear" w:color="auto" w:fill="auto"/>
            <w:vAlign w:val="bottom"/>
          </w:tcPr>
          <w:p w14:paraId="11D6B4E0" w14:textId="77777777" w:rsidR="002F0A87" w:rsidRPr="003D5FB5" w:rsidRDefault="002F0A87" w:rsidP="002F0A87">
            <w:pPr>
              <w:spacing w:line="360" w:lineRule="auto"/>
              <w:jc w:val="center"/>
              <w:rPr>
                <w:rFonts w:asciiTheme="minorHAnsi" w:hAnsiTheme="minorHAnsi" w:cstheme="minorHAnsi"/>
                <w:sz w:val="22"/>
                <w:szCs w:val="22"/>
              </w:rPr>
            </w:pPr>
            <w:r w:rsidRPr="003D5FB5">
              <w:rPr>
                <w:rFonts w:asciiTheme="minorHAnsi" w:eastAsia="Calibri" w:hAnsiTheme="minorHAnsi" w:cstheme="minorHAnsi"/>
                <w:color w:val="000000" w:themeColor="text1"/>
                <w:sz w:val="22"/>
                <w:szCs w:val="22"/>
              </w:rPr>
              <w:t>34</w:t>
            </w:r>
          </w:p>
        </w:tc>
        <w:tc>
          <w:tcPr>
            <w:tcW w:w="786" w:type="dxa"/>
            <w:tcBorders>
              <w:top w:val="single" w:sz="4" w:space="0" w:color="000000"/>
              <w:left w:val="single" w:sz="4" w:space="0" w:color="000000"/>
              <w:bottom w:val="single" w:sz="4" w:space="0" w:color="000000"/>
              <w:right w:val="single" w:sz="4" w:space="0" w:color="000000"/>
            </w:tcBorders>
            <w:shd w:val="clear" w:color="auto" w:fill="auto"/>
            <w:vAlign w:val="bottom"/>
          </w:tcPr>
          <w:p w14:paraId="74E5A866" w14:textId="77777777" w:rsidR="002F0A87" w:rsidRPr="003D5FB5" w:rsidRDefault="002F0A87" w:rsidP="002F0A87">
            <w:pPr>
              <w:spacing w:line="360" w:lineRule="auto"/>
              <w:jc w:val="center"/>
              <w:rPr>
                <w:rFonts w:asciiTheme="minorHAnsi" w:hAnsiTheme="minorHAnsi" w:cstheme="minorHAnsi"/>
                <w:sz w:val="22"/>
                <w:szCs w:val="22"/>
              </w:rPr>
            </w:pPr>
            <w:r w:rsidRPr="003D5FB5">
              <w:rPr>
                <w:rFonts w:asciiTheme="minorHAnsi" w:eastAsia="Calibri" w:hAnsiTheme="minorHAnsi" w:cstheme="minorHAnsi"/>
                <w:color w:val="000000" w:themeColor="text1"/>
                <w:sz w:val="22"/>
                <w:szCs w:val="22"/>
              </w:rPr>
              <w:t>4</w:t>
            </w:r>
          </w:p>
        </w:tc>
        <w:tc>
          <w:tcPr>
            <w:tcW w:w="629" w:type="dxa"/>
            <w:tcBorders>
              <w:top w:val="single" w:sz="4" w:space="0" w:color="000000"/>
              <w:left w:val="single" w:sz="4" w:space="0" w:color="000000"/>
              <w:bottom w:val="single" w:sz="4" w:space="0" w:color="000000"/>
              <w:right w:val="single" w:sz="4" w:space="0" w:color="000000"/>
            </w:tcBorders>
            <w:shd w:val="clear" w:color="auto" w:fill="auto"/>
            <w:vAlign w:val="bottom"/>
          </w:tcPr>
          <w:p w14:paraId="297A45A5" w14:textId="77777777" w:rsidR="002F0A87" w:rsidRPr="003D5FB5" w:rsidRDefault="002F0A87" w:rsidP="002F0A87">
            <w:pPr>
              <w:spacing w:line="360" w:lineRule="auto"/>
              <w:jc w:val="center"/>
              <w:rPr>
                <w:rFonts w:asciiTheme="minorHAnsi" w:hAnsiTheme="minorHAnsi" w:cstheme="minorHAnsi"/>
                <w:b/>
                <w:sz w:val="22"/>
                <w:szCs w:val="22"/>
              </w:rPr>
            </w:pPr>
            <w:r w:rsidRPr="003D5FB5">
              <w:rPr>
                <w:rFonts w:asciiTheme="minorHAnsi" w:eastAsia="Calibri" w:hAnsiTheme="minorHAnsi" w:cstheme="minorHAnsi"/>
                <w:b/>
                <w:color w:val="000000" w:themeColor="text1"/>
                <w:sz w:val="22"/>
                <w:szCs w:val="22"/>
              </w:rPr>
              <w:t>38</w:t>
            </w:r>
          </w:p>
        </w:tc>
        <w:tc>
          <w:tcPr>
            <w:tcW w:w="1100" w:type="dxa"/>
            <w:tcBorders>
              <w:top w:val="single" w:sz="4" w:space="0" w:color="000000"/>
              <w:left w:val="single" w:sz="4" w:space="0" w:color="000000"/>
              <w:bottom w:val="single" w:sz="4" w:space="0" w:color="000000"/>
              <w:right w:val="single" w:sz="4" w:space="0" w:color="000000"/>
            </w:tcBorders>
            <w:shd w:val="clear" w:color="auto" w:fill="auto"/>
            <w:vAlign w:val="bottom"/>
          </w:tcPr>
          <w:p w14:paraId="52CE96B1" w14:textId="77777777" w:rsidR="002F0A87" w:rsidRPr="003D5FB5" w:rsidRDefault="002F0A87" w:rsidP="002F0A87">
            <w:pPr>
              <w:spacing w:line="360" w:lineRule="auto"/>
              <w:jc w:val="center"/>
              <w:rPr>
                <w:rFonts w:asciiTheme="minorHAnsi" w:hAnsiTheme="minorHAnsi" w:cstheme="minorHAnsi"/>
                <w:sz w:val="22"/>
                <w:szCs w:val="22"/>
              </w:rPr>
            </w:pPr>
            <w:r w:rsidRPr="003D5FB5">
              <w:rPr>
                <w:rFonts w:asciiTheme="minorHAnsi" w:eastAsia="Calibri" w:hAnsiTheme="minorHAnsi" w:cstheme="minorHAnsi"/>
                <w:color w:val="000000" w:themeColor="text1"/>
                <w:sz w:val="22"/>
                <w:szCs w:val="22"/>
              </w:rPr>
              <w:t>156</w:t>
            </w:r>
          </w:p>
        </w:tc>
        <w:tc>
          <w:tcPr>
            <w:tcW w:w="786" w:type="dxa"/>
            <w:tcBorders>
              <w:top w:val="single" w:sz="4" w:space="0" w:color="000000"/>
              <w:left w:val="single" w:sz="4" w:space="0" w:color="000000"/>
              <w:bottom w:val="single" w:sz="4" w:space="0" w:color="000000"/>
              <w:right w:val="single" w:sz="4" w:space="0" w:color="000000"/>
            </w:tcBorders>
            <w:shd w:val="clear" w:color="auto" w:fill="auto"/>
            <w:vAlign w:val="bottom"/>
          </w:tcPr>
          <w:p w14:paraId="5A77F6A4" w14:textId="77777777" w:rsidR="002F0A87" w:rsidRPr="003D5FB5" w:rsidRDefault="002F0A87" w:rsidP="002F0A87">
            <w:pPr>
              <w:spacing w:line="360" w:lineRule="auto"/>
              <w:jc w:val="center"/>
              <w:rPr>
                <w:rFonts w:asciiTheme="minorHAnsi" w:hAnsiTheme="minorHAnsi" w:cstheme="minorHAnsi"/>
                <w:sz w:val="22"/>
                <w:szCs w:val="22"/>
              </w:rPr>
            </w:pPr>
            <w:r w:rsidRPr="003D5FB5">
              <w:rPr>
                <w:rFonts w:asciiTheme="minorHAnsi" w:eastAsia="Calibri" w:hAnsiTheme="minorHAnsi" w:cstheme="minorHAnsi"/>
                <w:color w:val="000000" w:themeColor="text1"/>
                <w:sz w:val="22"/>
                <w:szCs w:val="22"/>
              </w:rPr>
              <w:t>20</w:t>
            </w:r>
          </w:p>
        </w:tc>
        <w:tc>
          <w:tcPr>
            <w:tcW w:w="629" w:type="dxa"/>
            <w:tcBorders>
              <w:top w:val="single" w:sz="4" w:space="0" w:color="000000"/>
              <w:left w:val="single" w:sz="4" w:space="0" w:color="000000"/>
              <w:bottom w:val="single" w:sz="4" w:space="0" w:color="000000"/>
              <w:right w:val="single" w:sz="4" w:space="0" w:color="000000"/>
            </w:tcBorders>
            <w:shd w:val="clear" w:color="auto" w:fill="auto"/>
            <w:vAlign w:val="bottom"/>
          </w:tcPr>
          <w:p w14:paraId="473DD276" w14:textId="77777777" w:rsidR="002F0A87" w:rsidRPr="003D5FB5" w:rsidRDefault="002F0A87" w:rsidP="002F0A87">
            <w:pPr>
              <w:spacing w:line="360" w:lineRule="auto"/>
              <w:jc w:val="center"/>
              <w:rPr>
                <w:rFonts w:asciiTheme="minorHAnsi" w:hAnsiTheme="minorHAnsi" w:cstheme="minorHAnsi"/>
                <w:b/>
                <w:sz w:val="22"/>
                <w:szCs w:val="22"/>
              </w:rPr>
            </w:pPr>
            <w:r w:rsidRPr="003D5FB5">
              <w:rPr>
                <w:rFonts w:asciiTheme="minorHAnsi" w:eastAsia="Calibri" w:hAnsiTheme="minorHAnsi" w:cstheme="minorHAnsi"/>
                <w:b/>
                <w:color w:val="000000" w:themeColor="text1"/>
                <w:sz w:val="22"/>
                <w:szCs w:val="22"/>
              </w:rPr>
              <w:t>176</w:t>
            </w:r>
          </w:p>
        </w:tc>
        <w:tc>
          <w:tcPr>
            <w:tcW w:w="1229" w:type="dxa"/>
            <w:tcBorders>
              <w:top w:val="single" w:sz="4" w:space="0" w:color="000000"/>
              <w:left w:val="single" w:sz="4" w:space="0" w:color="000000"/>
              <w:bottom w:val="single" w:sz="4" w:space="0" w:color="000000"/>
              <w:right w:val="single" w:sz="4" w:space="0" w:color="000000"/>
            </w:tcBorders>
            <w:shd w:val="clear" w:color="auto" w:fill="auto"/>
            <w:vAlign w:val="bottom"/>
          </w:tcPr>
          <w:p w14:paraId="29BFCD63" w14:textId="77777777" w:rsidR="002F0A87" w:rsidRPr="003D5FB5" w:rsidRDefault="002F0A87" w:rsidP="002F0A87">
            <w:pPr>
              <w:spacing w:line="360" w:lineRule="auto"/>
              <w:jc w:val="center"/>
              <w:rPr>
                <w:rFonts w:asciiTheme="minorHAnsi" w:hAnsiTheme="minorHAnsi" w:cstheme="minorHAnsi"/>
                <w:sz w:val="22"/>
                <w:szCs w:val="22"/>
              </w:rPr>
            </w:pPr>
            <w:r w:rsidRPr="003D5FB5">
              <w:rPr>
                <w:rFonts w:asciiTheme="minorHAnsi" w:eastAsia="Calibri" w:hAnsiTheme="minorHAnsi" w:cstheme="minorHAnsi"/>
                <w:b/>
                <w:bCs/>
                <w:color w:val="000000" w:themeColor="text1"/>
                <w:sz w:val="22"/>
                <w:szCs w:val="22"/>
              </w:rPr>
              <w:t>590</w:t>
            </w:r>
          </w:p>
        </w:tc>
      </w:tr>
      <w:tr w:rsidR="002F0A87" w:rsidRPr="003D5FB5" w14:paraId="6CD26108" w14:textId="77777777" w:rsidTr="00EA573A">
        <w:trPr>
          <w:trHeight w:val="278"/>
        </w:trPr>
        <w:tc>
          <w:tcPr>
            <w:tcW w:w="942" w:type="dxa"/>
            <w:tcBorders>
              <w:top w:val="single" w:sz="4" w:space="0" w:color="000000"/>
              <w:left w:val="single" w:sz="4" w:space="0" w:color="000000"/>
              <w:bottom w:val="single" w:sz="4" w:space="0" w:color="000000"/>
              <w:right w:val="single" w:sz="4" w:space="0" w:color="000000"/>
            </w:tcBorders>
            <w:shd w:val="clear" w:color="auto" w:fill="auto"/>
            <w:vAlign w:val="bottom"/>
          </w:tcPr>
          <w:p w14:paraId="64843FC0" w14:textId="77777777" w:rsidR="002F0A87" w:rsidRPr="003D5FB5" w:rsidRDefault="002F0A87" w:rsidP="002F0A87">
            <w:pPr>
              <w:spacing w:line="360" w:lineRule="auto"/>
              <w:jc w:val="both"/>
              <w:rPr>
                <w:rFonts w:asciiTheme="minorHAnsi" w:hAnsiTheme="minorHAnsi" w:cstheme="minorHAnsi"/>
                <w:sz w:val="22"/>
                <w:szCs w:val="22"/>
              </w:rPr>
            </w:pPr>
            <w:proofErr w:type="spellStart"/>
            <w:r w:rsidRPr="003D5FB5">
              <w:rPr>
                <w:rFonts w:asciiTheme="minorHAnsi" w:eastAsia="Calibri" w:hAnsiTheme="minorHAnsi" w:cstheme="minorHAnsi"/>
                <w:color w:val="000000" w:themeColor="text1"/>
                <w:sz w:val="22"/>
                <w:szCs w:val="22"/>
              </w:rPr>
              <w:t>Keonjhar</w:t>
            </w:r>
            <w:proofErr w:type="spellEnd"/>
          </w:p>
        </w:tc>
        <w:tc>
          <w:tcPr>
            <w:tcW w:w="1100" w:type="dxa"/>
            <w:tcBorders>
              <w:top w:val="single" w:sz="4" w:space="0" w:color="000000"/>
              <w:left w:val="single" w:sz="4" w:space="0" w:color="000000"/>
              <w:bottom w:val="single" w:sz="4" w:space="0" w:color="000000"/>
              <w:right w:val="single" w:sz="4" w:space="0" w:color="000000"/>
            </w:tcBorders>
            <w:shd w:val="clear" w:color="auto" w:fill="auto"/>
            <w:vAlign w:val="bottom"/>
          </w:tcPr>
          <w:p w14:paraId="408E82BD" w14:textId="77777777" w:rsidR="002F0A87" w:rsidRPr="003D5FB5" w:rsidRDefault="002F0A87" w:rsidP="002F0A87">
            <w:pPr>
              <w:spacing w:line="360" w:lineRule="auto"/>
              <w:jc w:val="center"/>
              <w:rPr>
                <w:rFonts w:asciiTheme="minorHAnsi" w:hAnsiTheme="minorHAnsi" w:cstheme="minorHAnsi"/>
                <w:sz w:val="22"/>
                <w:szCs w:val="22"/>
              </w:rPr>
            </w:pPr>
            <w:r w:rsidRPr="003D5FB5">
              <w:rPr>
                <w:rFonts w:asciiTheme="minorHAnsi" w:eastAsia="Calibri" w:hAnsiTheme="minorHAnsi" w:cstheme="minorHAnsi"/>
                <w:color w:val="000000" w:themeColor="text1"/>
                <w:sz w:val="22"/>
                <w:szCs w:val="22"/>
              </w:rPr>
              <w:t>71</w:t>
            </w:r>
          </w:p>
        </w:tc>
        <w:tc>
          <w:tcPr>
            <w:tcW w:w="786" w:type="dxa"/>
            <w:tcBorders>
              <w:top w:val="single" w:sz="4" w:space="0" w:color="000000"/>
              <w:left w:val="single" w:sz="4" w:space="0" w:color="000000"/>
              <w:bottom w:val="single" w:sz="4" w:space="0" w:color="000000"/>
              <w:right w:val="single" w:sz="4" w:space="0" w:color="000000"/>
            </w:tcBorders>
            <w:shd w:val="clear" w:color="auto" w:fill="auto"/>
            <w:vAlign w:val="bottom"/>
          </w:tcPr>
          <w:p w14:paraId="363A6C45" w14:textId="77777777" w:rsidR="002F0A87" w:rsidRPr="003D5FB5" w:rsidRDefault="002F0A87" w:rsidP="002F0A87">
            <w:pPr>
              <w:spacing w:line="360" w:lineRule="auto"/>
              <w:jc w:val="center"/>
              <w:rPr>
                <w:rFonts w:asciiTheme="minorHAnsi" w:hAnsiTheme="minorHAnsi" w:cstheme="minorHAnsi"/>
                <w:sz w:val="22"/>
                <w:szCs w:val="22"/>
              </w:rPr>
            </w:pPr>
            <w:r w:rsidRPr="003D5FB5">
              <w:rPr>
                <w:rFonts w:asciiTheme="minorHAnsi" w:eastAsia="Calibri" w:hAnsiTheme="minorHAnsi" w:cstheme="minorHAnsi"/>
                <w:color w:val="000000" w:themeColor="text1"/>
                <w:sz w:val="22"/>
                <w:szCs w:val="22"/>
              </w:rPr>
              <w:t>31</w:t>
            </w:r>
          </w:p>
        </w:tc>
        <w:tc>
          <w:tcPr>
            <w:tcW w:w="629" w:type="dxa"/>
            <w:tcBorders>
              <w:top w:val="single" w:sz="4" w:space="0" w:color="000000"/>
              <w:left w:val="single" w:sz="4" w:space="0" w:color="000000"/>
              <w:bottom w:val="single" w:sz="4" w:space="0" w:color="000000"/>
              <w:right w:val="single" w:sz="4" w:space="0" w:color="000000"/>
            </w:tcBorders>
            <w:shd w:val="clear" w:color="auto" w:fill="auto"/>
            <w:vAlign w:val="bottom"/>
          </w:tcPr>
          <w:p w14:paraId="7A586436" w14:textId="77777777" w:rsidR="002F0A87" w:rsidRPr="003D5FB5" w:rsidRDefault="002F0A87" w:rsidP="002F0A87">
            <w:pPr>
              <w:spacing w:line="360" w:lineRule="auto"/>
              <w:jc w:val="center"/>
              <w:rPr>
                <w:rFonts w:asciiTheme="minorHAnsi" w:hAnsiTheme="minorHAnsi" w:cstheme="minorHAnsi"/>
                <w:b/>
                <w:sz w:val="22"/>
                <w:szCs w:val="22"/>
              </w:rPr>
            </w:pPr>
            <w:r w:rsidRPr="003D5FB5">
              <w:rPr>
                <w:rFonts w:asciiTheme="minorHAnsi" w:eastAsia="Calibri" w:hAnsiTheme="minorHAnsi" w:cstheme="minorHAnsi"/>
                <w:b/>
                <w:color w:val="000000" w:themeColor="text1"/>
                <w:sz w:val="22"/>
                <w:szCs w:val="22"/>
              </w:rPr>
              <w:t>102</w:t>
            </w:r>
          </w:p>
        </w:tc>
        <w:tc>
          <w:tcPr>
            <w:tcW w:w="1100" w:type="dxa"/>
            <w:tcBorders>
              <w:top w:val="single" w:sz="4" w:space="0" w:color="000000"/>
              <w:left w:val="single" w:sz="4" w:space="0" w:color="000000"/>
              <w:bottom w:val="single" w:sz="4" w:space="0" w:color="000000"/>
              <w:right w:val="single" w:sz="4" w:space="0" w:color="000000"/>
            </w:tcBorders>
            <w:shd w:val="clear" w:color="auto" w:fill="auto"/>
            <w:vAlign w:val="bottom"/>
          </w:tcPr>
          <w:p w14:paraId="2C0960F5" w14:textId="77777777" w:rsidR="002F0A87" w:rsidRPr="003D5FB5" w:rsidRDefault="002F0A87" w:rsidP="002F0A87">
            <w:pPr>
              <w:spacing w:line="360" w:lineRule="auto"/>
              <w:jc w:val="center"/>
              <w:rPr>
                <w:rFonts w:asciiTheme="minorHAnsi" w:hAnsiTheme="minorHAnsi" w:cstheme="minorHAnsi"/>
                <w:sz w:val="22"/>
                <w:szCs w:val="22"/>
              </w:rPr>
            </w:pPr>
            <w:r w:rsidRPr="003D5FB5">
              <w:rPr>
                <w:rFonts w:asciiTheme="minorHAnsi" w:eastAsia="Calibri" w:hAnsiTheme="minorHAnsi" w:cstheme="minorHAnsi"/>
                <w:color w:val="000000" w:themeColor="text1"/>
                <w:sz w:val="22"/>
                <w:szCs w:val="22"/>
              </w:rPr>
              <w:t>4</w:t>
            </w:r>
          </w:p>
        </w:tc>
        <w:tc>
          <w:tcPr>
            <w:tcW w:w="786" w:type="dxa"/>
            <w:tcBorders>
              <w:top w:val="single" w:sz="4" w:space="0" w:color="000000"/>
              <w:left w:val="single" w:sz="4" w:space="0" w:color="000000"/>
              <w:bottom w:val="single" w:sz="4" w:space="0" w:color="000000"/>
              <w:right w:val="single" w:sz="4" w:space="0" w:color="000000"/>
            </w:tcBorders>
            <w:shd w:val="clear" w:color="auto" w:fill="auto"/>
            <w:vAlign w:val="bottom"/>
          </w:tcPr>
          <w:p w14:paraId="7ED95BDC" w14:textId="77777777" w:rsidR="002F0A87" w:rsidRPr="003D5FB5" w:rsidRDefault="002F0A87" w:rsidP="002F0A87">
            <w:pPr>
              <w:spacing w:line="360" w:lineRule="auto"/>
              <w:jc w:val="center"/>
              <w:rPr>
                <w:rFonts w:asciiTheme="minorHAnsi" w:hAnsiTheme="minorHAnsi" w:cstheme="minorHAnsi"/>
                <w:sz w:val="22"/>
                <w:szCs w:val="22"/>
              </w:rPr>
            </w:pPr>
            <w:r w:rsidRPr="003D5FB5">
              <w:rPr>
                <w:rFonts w:asciiTheme="minorHAnsi" w:eastAsia="Calibri" w:hAnsiTheme="minorHAnsi" w:cstheme="minorHAnsi"/>
                <w:color w:val="000000" w:themeColor="text1"/>
                <w:sz w:val="22"/>
                <w:szCs w:val="22"/>
              </w:rPr>
              <w:t>11</w:t>
            </w:r>
          </w:p>
        </w:tc>
        <w:tc>
          <w:tcPr>
            <w:tcW w:w="629" w:type="dxa"/>
            <w:tcBorders>
              <w:top w:val="single" w:sz="4" w:space="0" w:color="000000"/>
              <w:left w:val="single" w:sz="4" w:space="0" w:color="000000"/>
              <w:bottom w:val="single" w:sz="4" w:space="0" w:color="000000"/>
              <w:right w:val="single" w:sz="4" w:space="0" w:color="000000"/>
            </w:tcBorders>
            <w:shd w:val="clear" w:color="auto" w:fill="auto"/>
            <w:vAlign w:val="bottom"/>
          </w:tcPr>
          <w:p w14:paraId="73A60459" w14:textId="77777777" w:rsidR="002F0A87" w:rsidRPr="003D5FB5" w:rsidRDefault="002F0A87" w:rsidP="002F0A87">
            <w:pPr>
              <w:spacing w:line="360" w:lineRule="auto"/>
              <w:jc w:val="center"/>
              <w:rPr>
                <w:rFonts w:asciiTheme="minorHAnsi" w:hAnsiTheme="minorHAnsi" w:cstheme="minorHAnsi"/>
                <w:b/>
                <w:sz w:val="22"/>
                <w:szCs w:val="22"/>
              </w:rPr>
            </w:pPr>
            <w:r w:rsidRPr="003D5FB5">
              <w:rPr>
                <w:rFonts w:asciiTheme="minorHAnsi" w:eastAsia="Calibri" w:hAnsiTheme="minorHAnsi" w:cstheme="minorHAnsi"/>
                <w:b/>
                <w:color w:val="000000" w:themeColor="text1"/>
                <w:sz w:val="22"/>
                <w:szCs w:val="22"/>
              </w:rPr>
              <w:t>15</w:t>
            </w:r>
          </w:p>
        </w:tc>
        <w:tc>
          <w:tcPr>
            <w:tcW w:w="1100" w:type="dxa"/>
            <w:tcBorders>
              <w:top w:val="single" w:sz="4" w:space="0" w:color="000000"/>
              <w:left w:val="single" w:sz="4" w:space="0" w:color="000000"/>
              <w:bottom w:val="single" w:sz="4" w:space="0" w:color="000000"/>
              <w:right w:val="single" w:sz="4" w:space="0" w:color="000000"/>
            </w:tcBorders>
            <w:shd w:val="clear" w:color="auto" w:fill="auto"/>
            <w:vAlign w:val="bottom"/>
          </w:tcPr>
          <w:p w14:paraId="4301CD3B" w14:textId="77777777" w:rsidR="002F0A87" w:rsidRPr="003D5FB5" w:rsidRDefault="002F0A87" w:rsidP="002F0A87">
            <w:pPr>
              <w:spacing w:line="360" w:lineRule="auto"/>
              <w:jc w:val="center"/>
              <w:rPr>
                <w:rFonts w:asciiTheme="minorHAnsi" w:hAnsiTheme="minorHAnsi" w:cstheme="minorHAnsi"/>
                <w:sz w:val="22"/>
                <w:szCs w:val="22"/>
              </w:rPr>
            </w:pPr>
            <w:r w:rsidRPr="003D5FB5">
              <w:rPr>
                <w:rFonts w:asciiTheme="minorHAnsi" w:eastAsia="Calibri" w:hAnsiTheme="minorHAnsi" w:cstheme="minorHAnsi"/>
                <w:color w:val="000000" w:themeColor="text1"/>
                <w:sz w:val="22"/>
                <w:szCs w:val="22"/>
              </w:rPr>
              <w:t>116</w:t>
            </w:r>
          </w:p>
        </w:tc>
        <w:tc>
          <w:tcPr>
            <w:tcW w:w="786" w:type="dxa"/>
            <w:tcBorders>
              <w:top w:val="single" w:sz="4" w:space="0" w:color="000000"/>
              <w:left w:val="single" w:sz="4" w:space="0" w:color="000000"/>
              <w:bottom w:val="single" w:sz="4" w:space="0" w:color="000000"/>
              <w:right w:val="single" w:sz="4" w:space="0" w:color="000000"/>
            </w:tcBorders>
            <w:shd w:val="clear" w:color="auto" w:fill="auto"/>
            <w:vAlign w:val="bottom"/>
          </w:tcPr>
          <w:p w14:paraId="372B36DD" w14:textId="77777777" w:rsidR="002F0A87" w:rsidRPr="003D5FB5" w:rsidRDefault="002F0A87" w:rsidP="002F0A87">
            <w:pPr>
              <w:spacing w:line="360" w:lineRule="auto"/>
              <w:jc w:val="center"/>
              <w:rPr>
                <w:rFonts w:asciiTheme="minorHAnsi" w:hAnsiTheme="minorHAnsi" w:cstheme="minorHAnsi"/>
                <w:sz w:val="22"/>
                <w:szCs w:val="22"/>
              </w:rPr>
            </w:pPr>
            <w:r w:rsidRPr="003D5FB5">
              <w:rPr>
                <w:rFonts w:asciiTheme="minorHAnsi" w:eastAsia="Calibri" w:hAnsiTheme="minorHAnsi" w:cstheme="minorHAnsi"/>
                <w:color w:val="000000" w:themeColor="text1"/>
                <w:sz w:val="22"/>
                <w:szCs w:val="22"/>
              </w:rPr>
              <w:t>42</w:t>
            </w:r>
          </w:p>
        </w:tc>
        <w:tc>
          <w:tcPr>
            <w:tcW w:w="629" w:type="dxa"/>
            <w:tcBorders>
              <w:top w:val="single" w:sz="4" w:space="0" w:color="000000"/>
              <w:left w:val="single" w:sz="4" w:space="0" w:color="000000"/>
              <w:bottom w:val="single" w:sz="4" w:space="0" w:color="000000"/>
              <w:right w:val="single" w:sz="4" w:space="0" w:color="000000"/>
            </w:tcBorders>
            <w:shd w:val="clear" w:color="auto" w:fill="auto"/>
            <w:vAlign w:val="bottom"/>
          </w:tcPr>
          <w:p w14:paraId="0FE47B61" w14:textId="77777777" w:rsidR="002F0A87" w:rsidRPr="003D5FB5" w:rsidRDefault="002F0A87" w:rsidP="002F0A87">
            <w:pPr>
              <w:spacing w:line="360" w:lineRule="auto"/>
              <w:jc w:val="center"/>
              <w:rPr>
                <w:rFonts w:asciiTheme="minorHAnsi" w:hAnsiTheme="minorHAnsi" w:cstheme="minorHAnsi"/>
                <w:b/>
                <w:sz w:val="22"/>
                <w:szCs w:val="22"/>
              </w:rPr>
            </w:pPr>
            <w:r w:rsidRPr="003D5FB5">
              <w:rPr>
                <w:rFonts w:asciiTheme="minorHAnsi" w:eastAsia="Calibri" w:hAnsiTheme="minorHAnsi" w:cstheme="minorHAnsi"/>
                <w:b/>
                <w:color w:val="000000" w:themeColor="text1"/>
                <w:sz w:val="22"/>
                <w:szCs w:val="22"/>
              </w:rPr>
              <w:t>158</w:t>
            </w:r>
          </w:p>
        </w:tc>
        <w:tc>
          <w:tcPr>
            <w:tcW w:w="1229" w:type="dxa"/>
            <w:tcBorders>
              <w:top w:val="single" w:sz="4" w:space="0" w:color="000000"/>
              <w:left w:val="single" w:sz="4" w:space="0" w:color="000000"/>
              <w:bottom w:val="single" w:sz="4" w:space="0" w:color="000000"/>
              <w:right w:val="single" w:sz="4" w:space="0" w:color="000000"/>
            </w:tcBorders>
            <w:shd w:val="clear" w:color="auto" w:fill="auto"/>
            <w:vAlign w:val="bottom"/>
          </w:tcPr>
          <w:p w14:paraId="4B5DE977" w14:textId="77777777" w:rsidR="002F0A87" w:rsidRPr="003D5FB5" w:rsidRDefault="002F0A87" w:rsidP="002F0A87">
            <w:pPr>
              <w:spacing w:line="360" w:lineRule="auto"/>
              <w:jc w:val="center"/>
              <w:rPr>
                <w:rFonts w:asciiTheme="minorHAnsi" w:hAnsiTheme="minorHAnsi" w:cstheme="minorHAnsi"/>
                <w:sz w:val="22"/>
                <w:szCs w:val="22"/>
              </w:rPr>
            </w:pPr>
            <w:r w:rsidRPr="003D5FB5">
              <w:rPr>
                <w:rFonts w:asciiTheme="minorHAnsi" w:eastAsia="Calibri" w:hAnsiTheme="minorHAnsi" w:cstheme="minorHAnsi"/>
                <w:b/>
                <w:bCs/>
                <w:color w:val="000000" w:themeColor="text1"/>
                <w:sz w:val="22"/>
                <w:szCs w:val="22"/>
              </w:rPr>
              <w:t>275</w:t>
            </w:r>
          </w:p>
        </w:tc>
      </w:tr>
      <w:tr w:rsidR="002F0A87" w:rsidRPr="003D5FB5" w14:paraId="6A62603A" w14:textId="77777777" w:rsidTr="00EA573A">
        <w:trPr>
          <w:trHeight w:val="517"/>
        </w:trPr>
        <w:tc>
          <w:tcPr>
            <w:tcW w:w="942" w:type="dxa"/>
            <w:tcBorders>
              <w:top w:val="single" w:sz="4" w:space="0" w:color="000000"/>
              <w:left w:val="single" w:sz="4" w:space="0" w:color="000000"/>
              <w:bottom w:val="single" w:sz="4" w:space="0" w:color="000000"/>
              <w:right w:val="single" w:sz="4" w:space="0" w:color="000000"/>
            </w:tcBorders>
            <w:shd w:val="clear" w:color="auto" w:fill="95B3D7" w:themeFill="accent1" w:themeFillTint="99"/>
            <w:vAlign w:val="bottom"/>
          </w:tcPr>
          <w:p w14:paraId="5DE151D6" w14:textId="77777777" w:rsidR="002F0A87" w:rsidRPr="003D5FB5" w:rsidRDefault="002F0A87" w:rsidP="002F0A87">
            <w:pPr>
              <w:spacing w:line="360" w:lineRule="auto"/>
              <w:jc w:val="center"/>
              <w:rPr>
                <w:rFonts w:asciiTheme="minorHAnsi" w:hAnsiTheme="minorHAnsi" w:cstheme="minorHAnsi"/>
                <w:sz w:val="22"/>
                <w:szCs w:val="22"/>
              </w:rPr>
            </w:pPr>
            <w:r w:rsidRPr="003D5FB5">
              <w:rPr>
                <w:rFonts w:asciiTheme="minorHAnsi" w:eastAsia="Calibri" w:hAnsiTheme="minorHAnsi" w:cstheme="minorHAnsi"/>
                <w:b/>
                <w:bCs/>
                <w:sz w:val="22"/>
                <w:szCs w:val="22"/>
              </w:rPr>
              <w:t>Grand Total</w:t>
            </w:r>
          </w:p>
        </w:tc>
        <w:tc>
          <w:tcPr>
            <w:tcW w:w="1100" w:type="dxa"/>
            <w:tcBorders>
              <w:top w:val="single" w:sz="4" w:space="0" w:color="000000"/>
              <w:left w:val="single" w:sz="4" w:space="0" w:color="000000"/>
              <w:bottom w:val="single" w:sz="4" w:space="0" w:color="000000"/>
              <w:right w:val="single" w:sz="4" w:space="0" w:color="000000"/>
            </w:tcBorders>
            <w:shd w:val="clear" w:color="auto" w:fill="95B3D7" w:themeFill="accent1" w:themeFillTint="99"/>
            <w:vAlign w:val="bottom"/>
          </w:tcPr>
          <w:p w14:paraId="280D682B" w14:textId="77777777" w:rsidR="002F0A87" w:rsidRPr="003D5FB5" w:rsidRDefault="002F0A87" w:rsidP="002F0A87">
            <w:pPr>
              <w:spacing w:line="360" w:lineRule="auto"/>
              <w:jc w:val="center"/>
              <w:rPr>
                <w:rFonts w:asciiTheme="minorHAnsi" w:hAnsiTheme="minorHAnsi" w:cstheme="minorHAnsi"/>
                <w:sz w:val="22"/>
                <w:szCs w:val="22"/>
              </w:rPr>
            </w:pPr>
            <w:r w:rsidRPr="003D5FB5">
              <w:rPr>
                <w:rFonts w:asciiTheme="minorHAnsi" w:eastAsia="Calibri" w:hAnsiTheme="minorHAnsi" w:cstheme="minorHAnsi"/>
                <w:b/>
                <w:bCs/>
                <w:sz w:val="22"/>
                <w:szCs w:val="22"/>
              </w:rPr>
              <w:t>959</w:t>
            </w:r>
          </w:p>
        </w:tc>
        <w:tc>
          <w:tcPr>
            <w:tcW w:w="786" w:type="dxa"/>
            <w:tcBorders>
              <w:top w:val="single" w:sz="4" w:space="0" w:color="000000"/>
              <w:left w:val="single" w:sz="4" w:space="0" w:color="000000"/>
              <w:bottom w:val="single" w:sz="4" w:space="0" w:color="000000"/>
              <w:right w:val="single" w:sz="4" w:space="0" w:color="000000"/>
            </w:tcBorders>
            <w:shd w:val="clear" w:color="auto" w:fill="95B3D7" w:themeFill="accent1" w:themeFillTint="99"/>
            <w:vAlign w:val="bottom"/>
          </w:tcPr>
          <w:p w14:paraId="256202E7" w14:textId="77777777" w:rsidR="002F0A87" w:rsidRPr="003D5FB5" w:rsidRDefault="002F0A87" w:rsidP="002F0A87">
            <w:pPr>
              <w:spacing w:line="360" w:lineRule="auto"/>
              <w:jc w:val="center"/>
              <w:rPr>
                <w:rFonts w:asciiTheme="minorHAnsi" w:hAnsiTheme="minorHAnsi" w:cstheme="minorHAnsi"/>
                <w:sz w:val="22"/>
                <w:szCs w:val="22"/>
              </w:rPr>
            </w:pPr>
            <w:r w:rsidRPr="003D5FB5">
              <w:rPr>
                <w:rFonts w:asciiTheme="minorHAnsi" w:eastAsia="Calibri" w:hAnsiTheme="minorHAnsi" w:cstheme="minorHAnsi"/>
                <w:b/>
                <w:bCs/>
                <w:sz w:val="22"/>
                <w:szCs w:val="22"/>
              </w:rPr>
              <w:t>68</w:t>
            </w:r>
          </w:p>
        </w:tc>
        <w:tc>
          <w:tcPr>
            <w:tcW w:w="629" w:type="dxa"/>
            <w:tcBorders>
              <w:top w:val="single" w:sz="4" w:space="0" w:color="000000"/>
              <w:left w:val="single" w:sz="4" w:space="0" w:color="000000"/>
              <w:bottom w:val="single" w:sz="4" w:space="0" w:color="000000"/>
              <w:right w:val="single" w:sz="4" w:space="0" w:color="000000"/>
            </w:tcBorders>
            <w:shd w:val="clear" w:color="auto" w:fill="95B3D7" w:themeFill="accent1" w:themeFillTint="99"/>
            <w:vAlign w:val="bottom"/>
          </w:tcPr>
          <w:p w14:paraId="3C16241F" w14:textId="77777777" w:rsidR="002F0A87" w:rsidRPr="003D5FB5" w:rsidRDefault="002F0A87" w:rsidP="002F0A87">
            <w:pPr>
              <w:spacing w:line="360" w:lineRule="auto"/>
              <w:jc w:val="center"/>
              <w:rPr>
                <w:rFonts w:asciiTheme="minorHAnsi" w:hAnsiTheme="minorHAnsi" w:cstheme="minorHAnsi"/>
                <w:sz w:val="22"/>
                <w:szCs w:val="22"/>
              </w:rPr>
            </w:pPr>
            <w:r w:rsidRPr="003D5FB5">
              <w:rPr>
                <w:rFonts w:asciiTheme="minorHAnsi" w:eastAsia="Calibri" w:hAnsiTheme="minorHAnsi" w:cstheme="minorHAnsi"/>
                <w:b/>
                <w:bCs/>
                <w:sz w:val="22"/>
                <w:szCs w:val="22"/>
              </w:rPr>
              <w:t>1027</w:t>
            </w:r>
          </w:p>
        </w:tc>
        <w:tc>
          <w:tcPr>
            <w:tcW w:w="1100" w:type="dxa"/>
            <w:tcBorders>
              <w:top w:val="single" w:sz="4" w:space="0" w:color="000000"/>
              <w:left w:val="single" w:sz="4" w:space="0" w:color="000000"/>
              <w:bottom w:val="single" w:sz="4" w:space="0" w:color="000000"/>
              <w:right w:val="single" w:sz="4" w:space="0" w:color="000000"/>
            </w:tcBorders>
            <w:shd w:val="clear" w:color="auto" w:fill="95B3D7" w:themeFill="accent1" w:themeFillTint="99"/>
            <w:vAlign w:val="bottom"/>
          </w:tcPr>
          <w:p w14:paraId="387488B0" w14:textId="77777777" w:rsidR="002F0A87" w:rsidRPr="003D5FB5" w:rsidRDefault="002F0A87" w:rsidP="002F0A87">
            <w:pPr>
              <w:spacing w:line="360" w:lineRule="auto"/>
              <w:jc w:val="center"/>
              <w:rPr>
                <w:rFonts w:asciiTheme="minorHAnsi" w:hAnsiTheme="minorHAnsi" w:cstheme="minorHAnsi"/>
                <w:sz w:val="22"/>
                <w:szCs w:val="22"/>
              </w:rPr>
            </w:pPr>
            <w:r w:rsidRPr="003D5FB5">
              <w:rPr>
                <w:rFonts w:asciiTheme="minorHAnsi" w:eastAsia="Calibri" w:hAnsiTheme="minorHAnsi" w:cstheme="minorHAnsi"/>
                <w:b/>
                <w:bCs/>
                <w:sz w:val="22"/>
                <w:szCs w:val="22"/>
              </w:rPr>
              <w:t>60</w:t>
            </w:r>
          </w:p>
        </w:tc>
        <w:tc>
          <w:tcPr>
            <w:tcW w:w="786" w:type="dxa"/>
            <w:tcBorders>
              <w:top w:val="single" w:sz="4" w:space="0" w:color="000000"/>
              <w:left w:val="single" w:sz="4" w:space="0" w:color="000000"/>
              <w:bottom w:val="single" w:sz="4" w:space="0" w:color="000000"/>
              <w:right w:val="single" w:sz="4" w:space="0" w:color="000000"/>
            </w:tcBorders>
            <w:shd w:val="clear" w:color="auto" w:fill="95B3D7" w:themeFill="accent1" w:themeFillTint="99"/>
            <w:vAlign w:val="bottom"/>
          </w:tcPr>
          <w:p w14:paraId="69AC9017" w14:textId="77777777" w:rsidR="002F0A87" w:rsidRPr="003D5FB5" w:rsidRDefault="002F0A87" w:rsidP="002F0A87">
            <w:pPr>
              <w:spacing w:line="360" w:lineRule="auto"/>
              <w:jc w:val="center"/>
              <w:rPr>
                <w:rFonts w:asciiTheme="minorHAnsi" w:hAnsiTheme="minorHAnsi" w:cstheme="minorHAnsi"/>
                <w:sz w:val="22"/>
                <w:szCs w:val="22"/>
              </w:rPr>
            </w:pPr>
            <w:r w:rsidRPr="003D5FB5">
              <w:rPr>
                <w:rFonts w:asciiTheme="minorHAnsi" w:eastAsia="Calibri" w:hAnsiTheme="minorHAnsi" w:cstheme="minorHAnsi"/>
                <w:b/>
                <w:bCs/>
                <w:sz w:val="22"/>
                <w:szCs w:val="22"/>
              </w:rPr>
              <w:t>27</w:t>
            </w:r>
          </w:p>
        </w:tc>
        <w:tc>
          <w:tcPr>
            <w:tcW w:w="629" w:type="dxa"/>
            <w:tcBorders>
              <w:top w:val="single" w:sz="4" w:space="0" w:color="000000"/>
              <w:left w:val="single" w:sz="4" w:space="0" w:color="000000"/>
              <w:bottom w:val="single" w:sz="4" w:space="0" w:color="000000"/>
              <w:right w:val="single" w:sz="4" w:space="0" w:color="000000"/>
            </w:tcBorders>
            <w:shd w:val="clear" w:color="auto" w:fill="95B3D7" w:themeFill="accent1" w:themeFillTint="99"/>
            <w:vAlign w:val="bottom"/>
          </w:tcPr>
          <w:p w14:paraId="1C20BF7D" w14:textId="77777777" w:rsidR="002F0A87" w:rsidRPr="003D5FB5" w:rsidRDefault="002F0A87" w:rsidP="002F0A87">
            <w:pPr>
              <w:spacing w:line="360" w:lineRule="auto"/>
              <w:jc w:val="center"/>
              <w:rPr>
                <w:rFonts w:asciiTheme="minorHAnsi" w:hAnsiTheme="minorHAnsi" w:cstheme="minorHAnsi"/>
                <w:sz w:val="22"/>
                <w:szCs w:val="22"/>
              </w:rPr>
            </w:pPr>
            <w:r w:rsidRPr="003D5FB5">
              <w:rPr>
                <w:rFonts w:asciiTheme="minorHAnsi" w:eastAsia="Calibri" w:hAnsiTheme="minorHAnsi" w:cstheme="minorHAnsi"/>
                <w:b/>
                <w:bCs/>
                <w:sz w:val="22"/>
                <w:szCs w:val="22"/>
              </w:rPr>
              <w:t>87</w:t>
            </w:r>
          </w:p>
        </w:tc>
        <w:tc>
          <w:tcPr>
            <w:tcW w:w="1100" w:type="dxa"/>
            <w:tcBorders>
              <w:top w:val="single" w:sz="4" w:space="0" w:color="000000"/>
              <w:left w:val="single" w:sz="4" w:space="0" w:color="000000"/>
              <w:bottom w:val="single" w:sz="4" w:space="0" w:color="000000"/>
              <w:right w:val="single" w:sz="4" w:space="0" w:color="000000"/>
            </w:tcBorders>
            <w:shd w:val="clear" w:color="auto" w:fill="95B3D7" w:themeFill="accent1" w:themeFillTint="99"/>
            <w:vAlign w:val="bottom"/>
          </w:tcPr>
          <w:p w14:paraId="2F5EDEED" w14:textId="77777777" w:rsidR="002F0A87" w:rsidRPr="003D5FB5" w:rsidRDefault="002F0A87" w:rsidP="002F0A87">
            <w:pPr>
              <w:spacing w:line="360" w:lineRule="auto"/>
              <w:jc w:val="center"/>
              <w:rPr>
                <w:rFonts w:asciiTheme="minorHAnsi" w:hAnsiTheme="minorHAnsi" w:cstheme="minorHAnsi"/>
                <w:sz w:val="22"/>
                <w:szCs w:val="22"/>
              </w:rPr>
            </w:pPr>
            <w:r w:rsidRPr="003D5FB5">
              <w:rPr>
                <w:rFonts w:asciiTheme="minorHAnsi" w:eastAsia="Calibri" w:hAnsiTheme="minorHAnsi" w:cstheme="minorHAnsi"/>
                <w:b/>
                <w:bCs/>
                <w:sz w:val="22"/>
                <w:szCs w:val="22"/>
              </w:rPr>
              <w:t>1124</w:t>
            </w:r>
          </w:p>
        </w:tc>
        <w:tc>
          <w:tcPr>
            <w:tcW w:w="786" w:type="dxa"/>
            <w:tcBorders>
              <w:top w:val="single" w:sz="4" w:space="0" w:color="000000"/>
              <w:left w:val="single" w:sz="4" w:space="0" w:color="000000"/>
              <w:bottom w:val="single" w:sz="4" w:space="0" w:color="000000"/>
              <w:right w:val="single" w:sz="4" w:space="0" w:color="000000"/>
            </w:tcBorders>
            <w:shd w:val="clear" w:color="auto" w:fill="95B3D7" w:themeFill="accent1" w:themeFillTint="99"/>
            <w:vAlign w:val="bottom"/>
          </w:tcPr>
          <w:p w14:paraId="659AECA2" w14:textId="77777777" w:rsidR="002F0A87" w:rsidRPr="003D5FB5" w:rsidRDefault="002F0A87" w:rsidP="002F0A87">
            <w:pPr>
              <w:spacing w:line="360" w:lineRule="auto"/>
              <w:jc w:val="center"/>
              <w:rPr>
                <w:rFonts w:asciiTheme="minorHAnsi" w:hAnsiTheme="minorHAnsi" w:cstheme="minorHAnsi"/>
                <w:sz w:val="22"/>
                <w:szCs w:val="22"/>
              </w:rPr>
            </w:pPr>
            <w:r w:rsidRPr="003D5FB5">
              <w:rPr>
                <w:rFonts w:asciiTheme="minorHAnsi" w:eastAsia="Calibri" w:hAnsiTheme="minorHAnsi" w:cstheme="minorHAnsi"/>
                <w:b/>
                <w:bCs/>
                <w:sz w:val="22"/>
                <w:szCs w:val="22"/>
              </w:rPr>
              <w:t>239</w:t>
            </w:r>
          </w:p>
        </w:tc>
        <w:tc>
          <w:tcPr>
            <w:tcW w:w="629" w:type="dxa"/>
            <w:tcBorders>
              <w:top w:val="single" w:sz="4" w:space="0" w:color="000000"/>
              <w:left w:val="single" w:sz="4" w:space="0" w:color="000000"/>
              <w:bottom w:val="single" w:sz="4" w:space="0" w:color="000000"/>
              <w:right w:val="single" w:sz="4" w:space="0" w:color="000000"/>
            </w:tcBorders>
            <w:shd w:val="clear" w:color="auto" w:fill="95B3D7" w:themeFill="accent1" w:themeFillTint="99"/>
            <w:vAlign w:val="bottom"/>
          </w:tcPr>
          <w:p w14:paraId="0374E815" w14:textId="77777777" w:rsidR="002F0A87" w:rsidRPr="003D5FB5" w:rsidRDefault="002F0A87" w:rsidP="002F0A87">
            <w:pPr>
              <w:spacing w:line="360" w:lineRule="auto"/>
              <w:jc w:val="center"/>
              <w:rPr>
                <w:rFonts w:asciiTheme="minorHAnsi" w:hAnsiTheme="minorHAnsi" w:cstheme="minorHAnsi"/>
                <w:sz w:val="22"/>
                <w:szCs w:val="22"/>
              </w:rPr>
            </w:pPr>
            <w:r w:rsidRPr="003D5FB5">
              <w:rPr>
                <w:rFonts w:asciiTheme="minorHAnsi" w:eastAsia="Calibri" w:hAnsiTheme="minorHAnsi" w:cstheme="minorHAnsi"/>
                <w:b/>
                <w:bCs/>
                <w:sz w:val="22"/>
                <w:szCs w:val="22"/>
              </w:rPr>
              <w:t>1363</w:t>
            </w:r>
          </w:p>
        </w:tc>
        <w:tc>
          <w:tcPr>
            <w:tcW w:w="1229" w:type="dxa"/>
            <w:tcBorders>
              <w:top w:val="single" w:sz="4" w:space="0" w:color="000000"/>
              <w:left w:val="single" w:sz="4" w:space="0" w:color="000000"/>
              <w:bottom w:val="single" w:sz="4" w:space="0" w:color="000000"/>
              <w:right w:val="single" w:sz="4" w:space="0" w:color="000000"/>
            </w:tcBorders>
            <w:shd w:val="clear" w:color="auto" w:fill="95B3D7" w:themeFill="accent1" w:themeFillTint="99"/>
            <w:vAlign w:val="bottom"/>
          </w:tcPr>
          <w:p w14:paraId="36F83051" w14:textId="77777777" w:rsidR="002F0A87" w:rsidRPr="003D5FB5" w:rsidRDefault="002F0A87" w:rsidP="002F0A87">
            <w:pPr>
              <w:spacing w:line="360" w:lineRule="auto"/>
              <w:jc w:val="center"/>
              <w:rPr>
                <w:rFonts w:asciiTheme="minorHAnsi" w:hAnsiTheme="minorHAnsi" w:cstheme="minorHAnsi"/>
                <w:sz w:val="22"/>
                <w:szCs w:val="22"/>
              </w:rPr>
            </w:pPr>
            <w:r w:rsidRPr="003D5FB5">
              <w:rPr>
                <w:rFonts w:asciiTheme="minorHAnsi" w:eastAsia="Calibri" w:hAnsiTheme="minorHAnsi" w:cstheme="minorHAnsi"/>
                <w:b/>
                <w:bCs/>
                <w:sz w:val="22"/>
                <w:szCs w:val="22"/>
              </w:rPr>
              <w:t>2477</w:t>
            </w:r>
          </w:p>
        </w:tc>
      </w:tr>
    </w:tbl>
    <w:p w14:paraId="5B1271E0" w14:textId="77777777" w:rsidR="002F0A87" w:rsidRPr="003D5FB5" w:rsidRDefault="002F0A87" w:rsidP="002F0A87">
      <w:pPr>
        <w:tabs>
          <w:tab w:val="left" w:pos="426"/>
        </w:tabs>
        <w:spacing w:line="360" w:lineRule="auto"/>
        <w:ind w:right="-23"/>
        <w:jc w:val="both"/>
        <w:rPr>
          <w:rFonts w:asciiTheme="minorHAnsi" w:hAnsiTheme="minorHAnsi" w:cstheme="minorHAnsi"/>
          <w:sz w:val="22"/>
          <w:szCs w:val="22"/>
        </w:rPr>
      </w:pPr>
    </w:p>
    <w:p w14:paraId="2F75D468" w14:textId="4D22EE2F" w:rsidR="00DE31A1" w:rsidRPr="00E02343" w:rsidRDefault="002F0A87" w:rsidP="00EA573A">
      <w:pPr>
        <w:tabs>
          <w:tab w:val="left" w:pos="426"/>
        </w:tabs>
        <w:spacing w:line="360" w:lineRule="auto"/>
        <w:ind w:left="567" w:right="-23"/>
        <w:jc w:val="both"/>
        <w:rPr>
          <w:rFonts w:asciiTheme="minorHAnsi" w:hAnsiTheme="minorHAnsi" w:cstheme="minorHAnsi"/>
          <w:sz w:val="22"/>
          <w:szCs w:val="22"/>
        </w:rPr>
      </w:pPr>
      <w:r w:rsidRPr="003D5FB5">
        <w:rPr>
          <w:rFonts w:asciiTheme="minorHAnsi" w:hAnsiTheme="minorHAnsi" w:cstheme="minorHAnsi"/>
          <w:sz w:val="22"/>
          <w:szCs w:val="22"/>
        </w:rPr>
        <w:lastRenderedPageBreak/>
        <w:t xml:space="preserve">To ensure proper protection system of the PSS, New Relay installation, new battery bank and charger, New CR Panel installation and LA installation and upkeep carried out. A report on the same is provided below. </w:t>
      </w:r>
    </w:p>
    <w:tbl>
      <w:tblPr>
        <w:tblpPr w:leftFromText="180" w:rightFromText="180" w:vertAnchor="text" w:horzAnchor="page" w:tblpX="1835" w:tblpY="367"/>
        <w:tblW w:w="8855" w:type="dxa"/>
        <w:tblLayout w:type="fixed"/>
        <w:tblCellMar>
          <w:top w:w="15" w:type="dxa"/>
          <w:left w:w="15" w:type="dxa"/>
          <w:right w:w="15" w:type="dxa"/>
        </w:tblCellMar>
        <w:tblLook w:val="0600" w:firstRow="0" w:lastRow="0" w:firstColumn="0" w:lastColumn="0" w:noHBand="1" w:noVBand="1"/>
      </w:tblPr>
      <w:tblGrid>
        <w:gridCol w:w="1077"/>
        <w:gridCol w:w="3485"/>
        <w:gridCol w:w="1474"/>
        <w:gridCol w:w="1474"/>
        <w:gridCol w:w="1345"/>
      </w:tblGrid>
      <w:tr w:rsidR="00EA573A" w:rsidRPr="003D5FB5" w14:paraId="37E4E659" w14:textId="77777777" w:rsidTr="00EA573A">
        <w:trPr>
          <w:trHeight w:val="276"/>
        </w:trPr>
        <w:tc>
          <w:tcPr>
            <w:tcW w:w="1077" w:type="dxa"/>
            <w:tcBorders>
              <w:top w:val="single" w:sz="4" w:space="0" w:color="000000"/>
              <w:left w:val="single" w:sz="4" w:space="0" w:color="000000"/>
              <w:bottom w:val="single" w:sz="4" w:space="0" w:color="000000"/>
              <w:right w:val="single" w:sz="4" w:space="0" w:color="000000"/>
            </w:tcBorders>
            <w:shd w:val="clear" w:color="auto" w:fill="95B3D7" w:themeFill="accent1" w:themeFillTint="99"/>
            <w:vAlign w:val="center"/>
          </w:tcPr>
          <w:p w14:paraId="62AE31D7" w14:textId="77777777" w:rsidR="00EA573A" w:rsidRPr="003D5FB5" w:rsidRDefault="00EA573A" w:rsidP="00EA573A">
            <w:pPr>
              <w:spacing w:line="360" w:lineRule="auto"/>
              <w:jc w:val="center"/>
              <w:rPr>
                <w:rFonts w:asciiTheme="minorHAnsi" w:hAnsiTheme="minorHAnsi" w:cstheme="minorHAnsi"/>
                <w:sz w:val="22"/>
                <w:szCs w:val="22"/>
              </w:rPr>
            </w:pPr>
            <w:r w:rsidRPr="003D5FB5">
              <w:rPr>
                <w:rFonts w:asciiTheme="minorHAnsi" w:eastAsia="Segoe UI Semibold" w:hAnsiTheme="minorHAnsi" w:cstheme="minorHAnsi"/>
                <w:b/>
                <w:bCs/>
                <w:sz w:val="22"/>
                <w:szCs w:val="22"/>
              </w:rPr>
              <w:t>Sr. No.</w:t>
            </w:r>
          </w:p>
        </w:tc>
        <w:tc>
          <w:tcPr>
            <w:tcW w:w="3485" w:type="dxa"/>
            <w:tcBorders>
              <w:top w:val="single" w:sz="4" w:space="0" w:color="000000"/>
              <w:left w:val="single" w:sz="4" w:space="0" w:color="000000"/>
              <w:bottom w:val="single" w:sz="4" w:space="0" w:color="000000"/>
              <w:right w:val="single" w:sz="4" w:space="0" w:color="000000"/>
            </w:tcBorders>
            <w:shd w:val="clear" w:color="auto" w:fill="95B3D7" w:themeFill="accent1" w:themeFillTint="99"/>
            <w:vAlign w:val="center"/>
          </w:tcPr>
          <w:p w14:paraId="4FBAF6EC" w14:textId="77777777" w:rsidR="00EA573A" w:rsidRPr="003D5FB5" w:rsidRDefault="00EA573A" w:rsidP="00EA573A">
            <w:pPr>
              <w:spacing w:line="360" w:lineRule="auto"/>
              <w:jc w:val="center"/>
              <w:rPr>
                <w:rFonts w:asciiTheme="minorHAnsi" w:hAnsiTheme="minorHAnsi" w:cstheme="minorHAnsi"/>
                <w:sz w:val="22"/>
                <w:szCs w:val="22"/>
              </w:rPr>
            </w:pPr>
            <w:r w:rsidRPr="003D5FB5">
              <w:rPr>
                <w:rFonts w:asciiTheme="minorHAnsi" w:eastAsia="Segoe UI Semibold" w:hAnsiTheme="minorHAnsi" w:cstheme="minorHAnsi"/>
                <w:b/>
                <w:bCs/>
                <w:sz w:val="22"/>
                <w:szCs w:val="22"/>
              </w:rPr>
              <w:t>KPI</w:t>
            </w:r>
          </w:p>
        </w:tc>
        <w:tc>
          <w:tcPr>
            <w:tcW w:w="1474" w:type="dxa"/>
            <w:tcBorders>
              <w:top w:val="single" w:sz="4" w:space="0" w:color="000000"/>
              <w:left w:val="single" w:sz="4" w:space="0" w:color="000000"/>
              <w:bottom w:val="single" w:sz="4" w:space="0" w:color="000000"/>
              <w:right w:val="single" w:sz="4" w:space="0" w:color="000000"/>
            </w:tcBorders>
            <w:shd w:val="clear" w:color="auto" w:fill="95B3D7" w:themeFill="accent1" w:themeFillTint="99"/>
            <w:vAlign w:val="center"/>
          </w:tcPr>
          <w:p w14:paraId="529F9233" w14:textId="77777777" w:rsidR="00EA573A" w:rsidRPr="003D5FB5" w:rsidRDefault="00EA573A" w:rsidP="00EA573A">
            <w:pPr>
              <w:spacing w:line="360" w:lineRule="auto"/>
              <w:jc w:val="center"/>
              <w:rPr>
                <w:rFonts w:asciiTheme="minorHAnsi" w:hAnsiTheme="minorHAnsi" w:cstheme="minorHAnsi"/>
                <w:sz w:val="22"/>
                <w:szCs w:val="22"/>
              </w:rPr>
            </w:pPr>
            <w:r w:rsidRPr="003D5FB5">
              <w:rPr>
                <w:rFonts w:asciiTheme="minorHAnsi" w:eastAsia="Segoe UI Semibold" w:hAnsiTheme="minorHAnsi" w:cstheme="minorHAnsi"/>
                <w:b/>
                <w:bCs/>
                <w:sz w:val="22"/>
                <w:szCs w:val="22"/>
              </w:rPr>
              <w:t>FY22</w:t>
            </w:r>
          </w:p>
        </w:tc>
        <w:tc>
          <w:tcPr>
            <w:tcW w:w="1474" w:type="dxa"/>
            <w:tcBorders>
              <w:top w:val="single" w:sz="4" w:space="0" w:color="000000"/>
              <w:left w:val="single" w:sz="4" w:space="0" w:color="000000"/>
              <w:bottom w:val="single" w:sz="4" w:space="0" w:color="000000"/>
              <w:right w:val="single" w:sz="4" w:space="0" w:color="000000"/>
            </w:tcBorders>
            <w:shd w:val="clear" w:color="auto" w:fill="95B3D7" w:themeFill="accent1" w:themeFillTint="99"/>
            <w:vAlign w:val="center"/>
          </w:tcPr>
          <w:p w14:paraId="4EB89FE5" w14:textId="77777777" w:rsidR="00EA573A" w:rsidRPr="003D5FB5" w:rsidRDefault="00EA573A" w:rsidP="00EA573A">
            <w:pPr>
              <w:spacing w:line="360" w:lineRule="auto"/>
              <w:jc w:val="center"/>
              <w:rPr>
                <w:rFonts w:asciiTheme="minorHAnsi" w:hAnsiTheme="minorHAnsi" w:cstheme="minorHAnsi"/>
                <w:sz w:val="22"/>
                <w:szCs w:val="22"/>
              </w:rPr>
            </w:pPr>
            <w:r w:rsidRPr="003D5FB5">
              <w:rPr>
                <w:rFonts w:asciiTheme="minorHAnsi" w:eastAsia="Segoe UI Semibold" w:hAnsiTheme="minorHAnsi" w:cstheme="minorHAnsi"/>
                <w:b/>
                <w:bCs/>
                <w:sz w:val="22"/>
                <w:szCs w:val="22"/>
              </w:rPr>
              <w:t>FY23</w:t>
            </w:r>
          </w:p>
        </w:tc>
        <w:tc>
          <w:tcPr>
            <w:tcW w:w="1345" w:type="dxa"/>
            <w:tcBorders>
              <w:top w:val="single" w:sz="4" w:space="0" w:color="000000"/>
              <w:left w:val="single" w:sz="4" w:space="0" w:color="000000"/>
              <w:bottom w:val="single" w:sz="4" w:space="0" w:color="000000"/>
              <w:right w:val="single" w:sz="4" w:space="0" w:color="000000"/>
            </w:tcBorders>
            <w:shd w:val="clear" w:color="auto" w:fill="95B3D7" w:themeFill="accent1" w:themeFillTint="99"/>
            <w:vAlign w:val="center"/>
          </w:tcPr>
          <w:p w14:paraId="1BDAE737" w14:textId="77777777" w:rsidR="00EA573A" w:rsidRPr="003D5FB5" w:rsidRDefault="00EA573A" w:rsidP="00EA573A">
            <w:pPr>
              <w:spacing w:line="360" w:lineRule="auto"/>
              <w:jc w:val="center"/>
              <w:rPr>
                <w:rFonts w:asciiTheme="minorHAnsi" w:hAnsiTheme="minorHAnsi" w:cstheme="minorHAnsi"/>
                <w:sz w:val="22"/>
                <w:szCs w:val="22"/>
              </w:rPr>
            </w:pPr>
            <w:r w:rsidRPr="003D5FB5">
              <w:rPr>
                <w:rFonts w:asciiTheme="minorHAnsi" w:eastAsia="Segoe UI Semibold" w:hAnsiTheme="minorHAnsi" w:cstheme="minorHAnsi"/>
                <w:b/>
                <w:bCs/>
                <w:sz w:val="22"/>
                <w:szCs w:val="22"/>
              </w:rPr>
              <w:t>FY24</w:t>
            </w:r>
          </w:p>
        </w:tc>
      </w:tr>
      <w:tr w:rsidR="00EA573A" w:rsidRPr="003D5FB5" w14:paraId="4FC7B410" w14:textId="77777777" w:rsidTr="00EA573A">
        <w:trPr>
          <w:trHeight w:val="276"/>
        </w:trPr>
        <w:tc>
          <w:tcPr>
            <w:tcW w:w="1077"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6365B51A" w14:textId="77777777" w:rsidR="00EA573A" w:rsidRPr="003D5FB5" w:rsidRDefault="00EA573A" w:rsidP="00EA573A">
            <w:pPr>
              <w:spacing w:line="360" w:lineRule="auto"/>
              <w:jc w:val="center"/>
              <w:rPr>
                <w:rFonts w:asciiTheme="minorHAnsi" w:hAnsiTheme="minorHAnsi" w:cstheme="minorHAnsi"/>
                <w:sz w:val="22"/>
                <w:szCs w:val="22"/>
              </w:rPr>
            </w:pPr>
            <w:r w:rsidRPr="003D5FB5">
              <w:rPr>
                <w:rFonts w:asciiTheme="minorHAnsi" w:eastAsia="Segoe UI Semibold" w:hAnsiTheme="minorHAnsi" w:cstheme="minorHAnsi"/>
                <w:bCs/>
                <w:color w:val="000000" w:themeColor="text1"/>
                <w:sz w:val="22"/>
                <w:szCs w:val="22"/>
              </w:rPr>
              <w:t>1</w:t>
            </w:r>
          </w:p>
        </w:tc>
        <w:tc>
          <w:tcPr>
            <w:tcW w:w="3485"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4FE19F4E" w14:textId="77777777" w:rsidR="00EA573A" w:rsidRPr="003D5FB5" w:rsidRDefault="00EA573A" w:rsidP="00EA573A">
            <w:pPr>
              <w:spacing w:line="360" w:lineRule="auto"/>
              <w:jc w:val="both"/>
              <w:rPr>
                <w:rFonts w:asciiTheme="minorHAnsi" w:hAnsiTheme="minorHAnsi" w:cstheme="minorHAnsi"/>
                <w:sz w:val="22"/>
                <w:szCs w:val="22"/>
              </w:rPr>
            </w:pPr>
            <w:r w:rsidRPr="003D5FB5">
              <w:rPr>
                <w:rFonts w:asciiTheme="minorHAnsi" w:eastAsia="Segoe UI Semibold" w:hAnsiTheme="minorHAnsi" w:cstheme="minorHAnsi"/>
                <w:bCs/>
                <w:color w:val="000000" w:themeColor="text1"/>
                <w:sz w:val="22"/>
                <w:szCs w:val="22"/>
              </w:rPr>
              <w:t>Relay Installation Capex</w:t>
            </w:r>
          </w:p>
        </w:tc>
        <w:tc>
          <w:tcPr>
            <w:tcW w:w="1474"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1DA94CA7" w14:textId="77777777" w:rsidR="00EA573A" w:rsidRPr="003D5FB5" w:rsidRDefault="00EA573A" w:rsidP="00EA573A">
            <w:pPr>
              <w:spacing w:line="360" w:lineRule="auto"/>
              <w:jc w:val="center"/>
              <w:rPr>
                <w:rFonts w:asciiTheme="minorHAnsi" w:hAnsiTheme="minorHAnsi" w:cstheme="minorHAnsi"/>
                <w:sz w:val="22"/>
                <w:szCs w:val="22"/>
              </w:rPr>
            </w:pPr>
            <w:r w:rsidRPr="003D5FB5">
              <w:rPr>
                <w:rFonts w:asciiTheme="minorHAnsi" w:eastAsia="Segoe UI Semibold" w:hAnsiTheme="minorHAnsi" w:cstheme="minorHAnsi"/>
                <w:bCs/>
                <w:color w:val="000000" w:themeColor="text1"/>
                <w:sz w:val="22"/>
                <w:szCs w:val="22"/>
              </w:rPr>
              <w:t>NA</w:t>
            </w:r>
          </w:p>
        </w:tc>
        <w:tc>
          <w:tcPr>
            <w:tcW w:w="1474"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02EE69EE" w14:textId="77777777" w:rsidR="00EA573A" w:rsidRPr="003D5FB5" w:rsidRDefault="00EA573A" w:rsidP="00EA573A">
            <w:pPr>
              <w:spacing w:line="360" w:lineRule="auto"/>
              <w:jc w:val="center"/>
              <w:rPr>
                <w:rFonts w:asciiTheme="minorHAnsi" w:hAnsiTheme="minorHAnsi" w:cstheme="minorHAnsi"/>
                <w:sz w:val="22"/>
                <w:szCs w:val="22"/>
              </w:rPr>
            </w:pPr>
            <w:r w:rsidRPr="003D5FB5">
              <w:rPr>
                <w:rFonts w:asciiTheme="minorHAnsi" w:eastAsia="Segoe UI Semibold" w:hAnsiTheme="minorHAnsi" w:cstheme="minorHAnsi"/>
                <w:bCs/>
                <w:color w:val="000000" w:themeColor="text1"/>
                <w:sz w:val="22"/>
                <w:szCs w:val="22"/>
              </w:rPr>
              <w:t>201</w:t>
            </w:r>
          </w:p>
        </w:tc>
        <w:tc>
          <w:tcPr>
            <w:tcW w:w="1345"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0F6278F9" w14:textId="77777777" w:rsidR="00EA573A" w:rsidRPr="003D5FB5" w:rsidRDefault="00EA573A" w:rsidP="00EA573A">
            <w:pPr>
              <w:spacing w:line="360" w:lineRule="auto"/>
              <w:jc w:val="center"/>
              <w:rPr>
                <w:rFonts w:asciiTheme="minorHAnsi" w:hAnsiTheme="minorHAnsi" w:cstheme="minorHAnsi"/>
                <w:sz w:val="22"/>
                <w:szCs w:val="22"/>
              </w:rPr>
            </w:pPr>
            <w:r w:rsidRPr="003D5FB5">
              <w:rPr>
                <w:rFonts w:asciiTheme="minorHAnsi" w:eastAsia="Segoe UI Semibold" w:hAnsiTheme="minorHAnsi" w:cstheme="minorHAnsi"/>
                <w:bCs/>
                <w:color w:val="000000" w:themeColor="text1"/>
                <w:sz w:val="22"/>
                <w:szCs w:val="22"/>
              </w:rPr>
              <w:t>182</w:t>
            </w:r>
          </w:p>
        </w:tc>
      </w:tr>
      <w:tr w:rsidR="00EA573A" w:rsidRPr="003D5FB5" w14:paraId="3EEA6099" w14:textId="77777777" w:rsidTr="00EA573A">
        <w:trPr>
          <w:trHeight w:val="276"/>
        </w:trPr>
        <w:tc>
          <w:tcPr>
            <w:tcW w:w="1077"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3B539EDB" w14:textId="77777777" w:rsidR="00EA573A" w:rsidRPr="003D5FB5" w:rsidRDefault="00EA573A" w:rsidP="00EA573A">
            <w:pPr>
              <w:spacing w:line="360" w:lineRule="auto"/>
              <w:jc w:val="center"/>
              <w:rPr>
                <w:rFonts w:asciiTheme="minorHAnsi" w:hAnsiTheme="minorHAnsi" w:cstheme="minorHAnsi"/>
                <w:sz w:val="22"/>
                <w:szCs w:val="22"/>
              </w:rPr>
            </w:pPr>
            <w:r w:rsidRPr="003D5FB5">
              <w:rPr>
                <w:rFonts w:asciiTheme="minorHAnsi" w:eastAsia="Segoe UI Semibold" w:hAnsiTheme="minorHAnsi" w:cstheme="minorHAnsi"/>
                <w:bCs/>
                <w:color w:val="000000" w:themeColor="text1"/>
                <w:sz w:val="22"/>
                <w:szCs w:val="22"/>
              </w:rPr>
              <w:t>2</w:t>
            </w:r>
          </w:p>
        </w:tc>
        <w:tc>
          <w:tcPr>
            <w:tcW w:w="3485"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1202179F" w14:textId="77777777" w:rsidR="00EA573A" w:rsidRPr="003D5FB5" w:rsidRDefault="00EA573A" w:rsidP="00EA573A">
            <w:pPr>
              <w:spacing w:line="360" w:lineRule="auto"/>
              <w:jc w:val="both"/>
              <w:rPr>
                <w:rFonts w:asciiTheme="minorHAnsi" w:hAnsiTheme="minorHAnsi" w:cstheme="minorHAnsi"/>
                <w:sz w:val="22"/>
                <w:szCs w:val="22"/>
              </w:rPr>
            </w:pPr>
            <w:r w:rsidRPr="003D5FB5">
              <w:rPr>
                <w:rFonts w:asciiTheme="minorHAnsi" w:eastAsia="Segoe UI Semibold" w:hAnsiTheme="minorHAnsi" w:cstheme="minorHAnsi"/>
                <w:bCs/>
                <w:color w:val="000000" w:themeColor="text1"/>
                <w:sz w:val="22"/>
                <w:szCs w:val="22"/>
              </w:rPr>
              <w:t>PTR Augmentation Capex</w:t>
            </w:r>
          </w:p>
        </w:tc>
        <w:tc>
          <w:tcPr>
            <w:tcW w:w="1474"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7550DCFD" w14:textId="77777777" w:rsidR="00EA573A" w:rsidRPr="003D5FB5" w:rsidRDefault="00EA573A" w:rsidP="00EA573A">
            <w:pPr>
              <w:spacing w:line="360" w:lineRule="auto"/>
              <w:jc w:val="center"/>
              <w:rPr>
                <w:rFonts w:asciiTheme="minorHAnsi" w:hAnsiTheme="minorHAnsi" w:cstheme="minorHAnsi"/>
                <w:sz w:val="22"/>
                <w:szCs w:val="22"/>
              </w:rPr>
            </w:pPr>
            <w:r w:rsidRPr="003D5FB5">
              <w:rPr>
                <w:rFonts w:asciiTheme="minorHAnsi" w:eastAsia="Segoe UI Semibold" w:hAnsiTheme="minorHAnsi" w:cstheme="minorHAnsi"/>
                <w:bCs/>
                <w:color w:val="000000" w:themeColor="text1"/>
                <w:sz w:val="22"/>
                <w:szCs w:val="22"/>
              </w:rPr>
              <w:t>NA</w:t>
            </w:r>
          </w:p>
        </w:tc>
        <w:tc>
          <w:tcPr>
            <w:tcW w:w="1474"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3A3AD8E3" w14:textId="77777777" w:rsidR="00EA573A" w:rsidRPr="003D5FB5" w:rsidRDefault="00EA573A" w:rsidP="00EA573A">
            <w:pPr>
              <w:spacing w:line="360" w:lineRule="auto"/>
              <w:jc w:val="center"/>
              <w:rPr>
                <w:rFonts w:asciiTheme="minorHAnsi" w:hAnsiTheme="minorHAnsi" w:cstheme="minorHAnsi"/>
                <w:sz w:val="22"/>
                <w:szCs w:val="22"/>
              </w:rPr>
            </w:pPr>
            <w:r w:rsidRPr="003D5FB5">
              <w:rPr>
                <w:rFonts w:asciiTheme="minorHAnsi" w:eastAsia="Segoe UI Semibold" w:hAnsiTheme="minorHAnsi" w:cstheme="minorHAnsi"/>
                <w:bCs/>
                <w:color w:val="000000" w:themeColor="text1"/>
                <w:sz w:val="22"/>
                <w:szCs w:val="22"/>
              </w:rPr>
              <w:t>27</w:t>
            </w:r>
          </w:p>
        </w:tc>
        <w:tc>
          <w:tcPr>
            <w:tcW w:w="1345"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7E9F436B" w14:textId="77777777" w:rsidR="00EA573A" w:rsidRPr="003D5FB5" w:rsidRDefault="00EA573A" w:rsidP="00EA573A">
            <w:pPr>
              <w:spacing w:line="360" w:lineRule="auto"/>
              <w:jc w:val="center"/>
              <w:rPr>
                <w:rFonts w:asciiTheme="minorHAnsi" w:hAnsiTheme="minorHAnsi" w:cstheme="minorHAnsi"/>
                <w:sz w:val="22"/>
                <w:szCs w:val="22"/>
              </w:rPr>
            </w:pPr>
            <w:r w:rsidRPr="003D5FB5">
              <w:rPr>
                <w:rFonts w:asciiTheme="minorHAnsi" w:eastAsia="Segoe UI Semibold" w:hAnsiTheme="minorHAnsi" w:cstheme="minorHAnsi"/>
                <w:bCs/>
                <w:color w:val="000000" w:themeColor="text1"/>
                <w:sz w:val="22"/>
                <w:szCs w:val="22"/>
              </w:rPr>
              <w:t>8</w:t>
            </w:r>
          </w:p>
        </w:tc>
      </w:tr>
      <w:tr w:rsidR="00EA573A" w:rsidRPr="003D5FB5" w14:paraId="3B02A0FF" w14:textId="77777777" w:rsidTr="00EA573A">
        <w:trPr>
          <w:trHeight w:val="276"/>
        </w:trPr>
        <w:tc>
          <w:tcPr>
            <w:tcW w:w="1077"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4088A9D2" w14:textId="77777777" w:rsidR="00EA573A" w:rsidRPr="003D5FB5" w:rsidRDefault="00EA573A" w:rsidP="00EA573A">
            <w:pPr>
              <w:spacing w:line="360" w:lineRule="auto"/>
              <w:jc w:val="center"/>
              <w:rPr>
                <w:rFonts w:asciiTheme="minorHAnsi" w:hAnsiTheme="minorHAnsi" w:cstheme="minorHAnsi"/>
                <w:sz w:val="22"/>
                <w:szCs w:val="22"/>
              </w:rPr>
            </w:pPr>
            <w:r w:rsidRPr="003D5FB5">
              <w:rPr>
                <w:rFonts w:asciiTheme="minorHAnsi" w:eastAsia="Segoe UI Semibold" w:hAnsiTheme="minorHAnsi" w:cstheme="minorHAnsi"/>
                <w:bCs/>
                <w:color w:val="000000" w:themeColor="text1"/>
                <w:sz w:val="22"/>
                <w:szCs w:val="22"/>
              </w:rPr>
              <w:t>3</w:t>
            </w:r>
          </w:p>
        </w:tc>
        <w:tc>
          <w:tcPr>
            <w:tcW w:w="3485"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55E7A7C4" w14:textId="77777777" w:rsidR="00EA573A" w:rsidRPr="003D5FB5" w:rsidRDefault="00EA573A" w:rsidP="00EA573A">
            <w:pPr>
              <w:spacing w:line="360" w:lineRule="auto"/>
              <w:jc w:val="both"/>
              <w:rPr>
                <w:rFonts w:asciiTheme="minorHAnsi" w:hAnsiTheme="minorHAnsi" w:cstheme="minorHAnsi"/>
                <w:sz w:val="22"/>
                <w:szCs w:val="22"/>
              </w:rPr>
            </w:pPr>
            <w:r w:rsidRPr="003D5FB5">
              <w:rPr>
                <w:rFonts w:asciiTheme="minorHAnsi" w:eastAsia="Segoe UI Semibold" w:hAnsiTheme="minorHAnsi" w:cstheme="minorHAnsi"/>
                <w:bCs/>
                <w:color w:val="000000" w:themeColor="text1"/>
                <w:sz w:val="22"/>
                <w:szCs w:val="22"/>
              </w:rPr>
              <w:t>NEW CB Installation-CB 11KV</w:t>
            </w:r>
          </w:p>
        </w:tc>
        <w:tc>
          <w:tcPr>
            <w:tcW w:w="1474"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331BF92C" w14:textId="77777777" w:rsidR="00EA573A" w:rsidRPr="003D5FB5" w:rsidRDefault="00EA573A" w:rsidP="00EA573A">
            <w:pPr>
              <w:spacing w:line="360" w:lineRule="auto"/>
              <w:jc w:val="center"/>
              <w:rPr>
                <w:rFonts w:asciiTheme="minorHAnsi" w:hAnsiTheme="minorHAnsi" w:cstheme="minorHAnsi"/>
                <w:sz w:val="22"/>
                <w:szCs w:val="22"/>
              </w:rPr>
            </w:pPr>
            <w:r w:rsidRPr="003D5FB5">
              <w:rPr>
                <w:rFonts w:asciiTheme="minorHAnsi" w:eastAsia="Segoe UI Semibold" w:hAnsiTheme="minorHAnsi" w:cstheme="minorHAnsi"/>
                <w:bCs/>
                <w:color w:val="000000" w:themeColor="text1"/>
                <w:sz w:val="22"/>
                <w:szCs w:val="22"/>
              </w:rPr>
              <w:t>11</w:t>
            </w:r>
          </w:p>
        </w:tc>
        <w:tc>
          <w:tcPr>
            <w:tcW w:w="1474"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5332E732" w14:textId="77777777" w:rsidR="00EA573A" w:rsidRPr="003D5FB5" w:rsidRDefault="00EA573A" w:rsidP="00EA573A">
            <w:pPr>
              <w:spacing w:line="360" w:lineRule="auto"/>
              <w:jc w:val="center"/>
              <w:rPr>
                <w:rFonts w:asciiTheme="minorHAnsi" w:hAnsiTheme="minorHAnsi" w:cstheme="minorHAnsi"/>
                <w:sz w:val="22"/>
                <w:szCs w:val="22"/>
              </w:rPr>
            </w:pPr>
            <w:r w:rsidRPr="003D5FB5">
              <w:rPr>
                <w:rFonts w:asciiTheme="minorHAnsi" w:eastAsia="Segoe UI Semibold" w:hAnsiTheme="minorHAnsi" w:cstheme="minorHAnsi"/>
                <w:bCs/>
                <w:color w:val="000000" w:themeColor="text1"/>
                <w:sz w:val="22"/>
                <w:szCs w:val="22"/>
              </w:rPr>
              <w:t>107</w:t>
            </w:r>
          </w:p>
        </w:tc>
        <w:tc>
          <w:tcPr>
            <w:tcW w:w="1345"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62DC5DAD" w14:textId="77777777" w:rsidR="00EA573A" w:rsidRPr="003D5FB5" w:rsidRDefault="00EA573A" w:rsidP="00EA573A">
            <w:pPr>
              <w:spacing w:line="360" w:lineRule="auto"/>
              <w:jc w:val="center"/>
              <w:rPr>
                <w:rFonts w:asciiTheme="minorHAnsi" w:hAnsiTheme="minorHAnsi" w:cstheme="minorHAnsi"/>
                <w:sz w:val="22"/>
                <w:szCs w:val="22"/>
              </w:rPr>
            </w:pPr>
            <w:r w:rsidRPr="003D5FB5">
              <w:rPr>
                <w:rFonts w:asciiTheme="minorHAnsi" w:eastAsia="Segoe UI Semibold" w:hAnsiTheme="minorHAnsi" w:cstheme="minorHAnsi"/>
                <w:bCs/>
                <w:color w:val="000000" w:themeColor="text1"/>
                <w:sz w:val="22"/>
                <w:szCs w:val="22"/>
              </w:rPr>
              <w:t>111</w:t>
            </w:r>
          </w:p>
        </w:tc>
      </w:tr>
      <w:tr w:rsidR="00EA573A" w:rsidRPr="003D5FB5" w14:paraId="79FB741C" w14:textId="77777777" w:rsidTr="00EA573A">
        <w:trPr>
          <w:trHeight w:val="276"/>
        </w:trPr>
        <w:tc>
          <w:tcPr>
            <w:tcW w:w="1077"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6EE726BC" w14:textId="77777777" w:rsidR="00EA573A" w:rsidRPr="003D5FB5" w:rsidRDefault="00EA573A" w:rsidP="00EA573A">
            <w:pPr>
              <w:spacing w:line="360" w:lineRule="auto"/>
              <w:jc w:val="center"/>
              <w:rPr>
                <w:rFonts w:asciiTheme="minorHAnsi" w:hAnsiTheme="minorHAnsi" w:cstheme="minorHAnsi"/>
                <w:sz w:val="22"/>
                <w:szCs w:val="22"/>
              </w:rPr>
            </w:pPr>
            <w:r w:rsidRPr="003D5FB5">
              <w:rPr>
                <w:rFonts w:asciiTheme="minorHAnsi" w:eastAsia="Segoe UI Semibold" w:hAnsiTheme="minorHAnsi" w:cstheme="minorHAnsi"/>
                <w:bCs/>
                <w:color w:val="000000" w:themeColor="text1"/>
                <w:sz w:val="22"/>
                <w:szCs w:val="22"/>
              </w:rPr>
              <w:t>4</w:t>
            </w:r>
          </w:p>
        </w:tc>
        <w:tc>
          <w:tcPr>
            <w:tcW w:w="3485"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34C5DACE" w14:textId="77777777" w:rsidR="00EA573A" w:rsidRPr="003D5FB5" w:rsidRDefault="00EA573A" w:rsidP="00EA573A">
            <w:pPr>
              <w:spacing w:line="360" w:lineRule="auto"/>
              <w:jc w:val="both"/>
              <w:rPr>
                <w:rFonts w:asciiTheme="minorHAnsi" w:hAnsiTheme="minorHAnsi" w:cstheme="minorHAnsi"/>
                <w:sz w:val="22"/>
                <w:szCs w:val="22"/>
              </w:rPr>
            </w:pPr>
            <w:r w:rsidRPr="003D5FB5">
              <w:rPr>
                <w:rFonts w:asciiTheme="minorHAnsi" w:eastAsia="Segoe UI Semibold" w:hAnsiTheme="minorHAnsi" w:cstheme="minorHAnsi"/>
                <w:bCs/>
                <w:color w:val="000000" w:themeColor="text1"/>
                <w:sz w:val="22"/>
                <w:szCs w:val="22"/>
              </w:rPr>
              <w:t>NEW CB Installation-CB 33KV</w:t>
            </w:r>
          </w:p>
        </w:tc>
        <w:tc>
          <w:tcPr>
            <w:tcW w:w="1474"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2567E8E1" w14:textId="77777777" w:rsidR="00EA573A" w:rsidRPr="003D5FB5" w:rsidRDefault="00EA573A" w:rsidP="00EA573A">
            <w:pPr>
              <w:spacing w:line="360" w:lineRule="auto"/>
              <w:jc w:val="center"/>
              <w:rPr>
                <w:rFonts w:asciiTheme="minorHAnsi" w:hAnsiTheme="minorHAnsi" w:cstheme="minorHAnsi"/>
                <w:sz w:val="22"/>
                <w:szCs w:val="22"/>
              </w:rPr>
            </w:pPr>
            <w:r w:rsidRPr="003D5FB5">
              <w:rPr>
                <w:rFonts w:asciiTheme="minorHAnsi" w:eastAsia="Segoe UI Semibold" w:hAnsiTheme="minorHAnsi" w:cstheme="minorHAnsi"/>
                <w:bCs/>
                <w:color w:val="000000" w:themeColor="text1"/>
                <w:sz w:val="22"/>
                <w:szCs w:val="22"/>
              </w:rPr>
              <w:t>8</w:t>
            </w:r>
          </w:p>
        </w:tc>
        <w:tc>
          <w:tcPr>
            <w:tcW w:w="1474"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1E5DC3A0" w14:textId="77777777" w:rsidR="00EA573A" w:rsidRPr="003D5FB5" w:rsidRDefault="00EA573A" w:rsidP="00EA573A">
            <w:pPr>
              <w:spacing w:line="360" w:lineRule="auto"/>
              <w:jc w:val="center"/>
              <w:rPr>
                <w:rFonts w:asciiTheme="minorHAnsi" w:hAnsiTheme="minorHAnsi" w:cstheme="minorHAnsi"/>
                <w:sz w:val="22"/>
                <w:szCs w:val="22"/>
              </w:rPr>
            </w:pPr>
            <w:r w:rsidRPr="003D5FB5">
              <w:rPr>
                <w:rFonts w:asciiTheme="minorHAnsi" w:eastAsia="Segoe UI Semibold" w:hAnsiTheme="minorHAnsi" w:cstheme="minorHAnsi"/>
                <w:bCs/>
                <w:color w:val="000000" w:themeColor="text1"/>
                <w:sz w:val="22"/>
                <w:szCs w:val="22"/>
              </w:rPr>
              <w:t>71</w:t>
            </w:r>
          </w:p>
        </w:tc>
        <w:tc>
          <w:tcPr>
            <w:tcW w:w="1345"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0E269A55" w14:textId="77777777" w:rsidR="00EA573A" w:rsidRPr="003D5FB5" w:rsidRDefault="00EA573A" w:rsidP="00EA573A">
            <w:pPr>
              <w:spacing w:line="360" w:lineRule="auto"/>
              <w:jc w:val="center"/>
              <w:rPr>
                <w:rFonts w:asciiTheme="minorHAnsi" w:hAnsiTheme="minorHAnsi" w:cstheme="minorHAnsi"/>
                <w:sz w:val="22"/>
                <w:szCs w:val="22"/>
              </w:rPr>
            </w:pPr>
            <w:r w:rsidRPr="003D5FB5">
              <w:rPr>
                <w:rFonts w:asciiTheme="minorHAnsi" w:eastAsia="Segoe UI Semibold" w:hAnsiTheme="minorHAnsi" w:cstheme="minorHAnsi"/>
                <w:bCs/>
                <w:color w:val="000000" w:themeColor="text1"/>
                <w:sz w:val="22"/>
                <w:szCs w:val="22"/>
              </w:rPr>
              <w:t>40</w:t>
            </w:r>
          </w:p>
        </w:tc>
      </w:tr>
      <w:tr w:rsidR="00EA573A" w:rsidRPr="003D5FB5" w14:paraId="47F702D6" w14:textId="77777777" w:rsidTr="00EA573A">
        <w:trPr>
          <w:trHeight w:val="276"/>
        </w:trPr>
        <w:tc>
          <w:tcPr>
            <w:tcW w:w="1077"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3EA25015" w14:textId="77777777" w:rsidR="00EA573A" w:rsidRPr="003D5FB5" w:rsidRDefault="00EA573A" w:rsidP="00EA573A">
            <w:pPr>
              <w:spacing w:line="360" w:lineRule="auto"/>
              <w:jc w:val="center"/>
              <w:rPr>
                <w:rFonts w:asciiTheme="minorHAnsi" w:hAnsiTheme="minorHAnsi" w:cstheme="minorHAnsi"/>
                <w:sz w:val="22"/>
                <w:szCs w:val="22"/>
              </w:rPr>
            </w:pPr>
            <w:r w:rsidRPr="003D5FB5">
              <w:rPr>
                <w:rFonts w:asciiTheme="minorHAnsi" w:eastAsia="Segoe UI Semibold" w:hAnsiTheme="minorHAnsi" w:cstheme="minorHAnsi"/>
                <w:bCs/>
                <w:color w:val="000000" w:themeColor="text1"/>
                <w:sz w:val="22"/>
                <w:szCs w:val="22"/>
              </w:rPr>
              <w:t>5</w:t>
            </w:r>
          </w:p>
        </w:tc>
        <w:tc>
          <w:tcPr>
            <w:tcW w:w="3485"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73E6FD7B" w14:textId="77777777" w:rsidR="00EA573A" w:rsidRPr="003D5FB5" w:rsidRDefault="00EA573A" w:rsidP="00EA573A">
            <w:pPr>
              <w:spacing w:line="360" w:lineRule="auto"/>
              <w:jc w:val="both"/>
              <w:rPr>
                <w:rFonts w:asciiTheme="minorHAnsi" w:hAnsiTheme="minorHAnsi" w:cstheme="minorHAnsi"/>
                <w:sz w:val="22"/>
                <w:szCs w:val="22"/>
              </w:rPr>
            </w:pPr>
            <w:r w:rsidRPr="003D5FB5">
              <w:rPr>
                <w:rFonts w:asciiTheme="minorHAnsi" w:eastAsia="Segoe UI Semibold" w:hAnsiTheme="minorHAnsi" w:cstheme="minorHAnsi"/>
                <w:bCs/>
                <w:color w:val="000000" w:themeColor="text1"/>
                <w:sz w:val="22"/>
                <w:szCs w:val="22"/>
              </w:rPr>
              <w:t>Battery Bank</w:t>
            </w:r>
          </w:p>
        </w:tc>
        <w:tc>
          <w:tcPr>
            <w:tcW w:w="1474"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7F975F4D" w14:textId="77777777" w:rsidR="00EA573A" w:rsidRPr="003D5FB5" w:rsidRDefault="00EA573A" w:rsidP="00EA573A">
            <w:pPr>
              <w:spacing w:line="360" w:lineRule="auto"/>
              <w:jc w:val="center"/>
              <w:rPr>
                <w:rFonts w:asciiTheme="minorHAnsi" w:hAnsiTheme="minorHAnsi" w:cstheme="minorHAnsi"/>
                <w:sz w:val="22"/>
                <w:szCs w:val="22"/>
              </w:rPr>
            </w:pPr>
            <w:r w:rsidRPr="003D5FB5">
              <w:rPr>
                <w:rFonts w:asciiTheme="minorHAnsi" w:eastAsia="Segoe UI Semibold" w:hAnsiTheme="minorHAnsi" w:cstheme="minorHAnsi"/>
                <w:bCs/>
                <w:color w:val="000000" w:themeColor="text1"/>
                <w:sz w:val="22"/>
                <w:szCs w:val="22"/>
              </w:rPr>
              <w:t>44</w:t>
            </w:r>
          </w:p>
        </w:tc>
        <w:tc>
          <w:tcPr>
            <w:tcW w:w="1474"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6D30047B" w14:textId="77777777" w:rsidR="00EA573A" w:rsidRPr="003D5FB5" w:rsidRDefault="00EA573A" w:rsidP="00EA573A">
            <w:pPr>
              <w:spacing w:line="360" w:lineRule="auto"/>
              <w:jc w:val="center"/>
              <w:rPr>
                <w:rFonts w:asciiTheme="minorHAnsi" w:hAnsiTheme="minorHAnsi" w:cstheme="minorHAnsi"/>
                <w:sz w:val="22"/>
                <w:szCs w:val="22"/>
              </w:rPr>
            </w:pPr>
            <w:r w:rsidRPr="003D5FB5">
              <w:rPr>
                <w:rFonts w:asciiTheme="minorHAnsi" w:eastAsia="Segoe UI Semibold" w:hAnsiTheme="minorHAnsi" w:cstheme="minorHAnsi"/>
                <w:bCs/>
                <w:color w:val="000000" w:themeColor="text1"/>
                <w:sz w:val="22"/>
                <w:szCs w:val="22"/>
              </w:rPr>
              <w:t>75</w:t>
            </w:r>
          </w:p>
        </w:tc>
        <w:tc>
          <w:tcPr>
            <w:tcW w:w="1345"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6628D818" w14:textId="77777777" w:rsidR="00EA573A" w:rsidRPr="003D5FB5" w:rsidRDefault="00EA573A" w:rsidP="00EA573A">
            <w:pPr>
              <w:spacing w:line="360" w:lineRule="auto"/>
              <w:jc w:val="center"/>
              <w:rPr>
                <w:rFonts w:asciiTheme="minorHAnsi" w:hAnsiTheme="minorHAnsi" w:cstheme="minorHAnsi"/>
                <w:sz w:val="22"/>
                <w:szCs w:val="22"/>
              </w:rPr>
            </w:pPr>
            <w:r w:rsidRPr="003D5FB5">
              <w:rPr>
                <w:rFonts w:asciiTheme="minorHAnsi" w:eastAsia="Segoe UI Semibold" w:hAnsiTheme="minorHAnsi" w:cstheme="minorHAnsi"/>
                <w:bCs/>
                <w:color w:val="000000" w:themeColor="text1"/>
                <w:sz w:val="22"/>
                <w:szCs w:val="22"/>
              </w:rPr>
              <w:t>15</w:t>
            </w:r>
          </w:p>
        </w:tc>
      </w:tr>
      <w:tr w:rsidR="00EA573A" w:rsidRPr="003D5FB5" w14:paraId="68125241" w14:textId="77777777" w:rsidTr="00EA573A">
        <w:trPr>
          <w:trHeight w:val="276"/>
        </w:trPr>
        <w:tc>
          <w:tcPr>
            <w:tcW w:w="1077"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6A3497B8" w14:textId="77777777" w:rsidR="00EA573A" w:rsidRPr="003D5FB5" w:rsidRDefault="00EA573A" w:rsidP="00EA573A">
            <w:pPr>
              <w:spacing w:line="360" w:lineRule="auto"/>
              <w:jc w:val="center"/>
              <w:rPr>
                <w:rFonts w:asciiTheme="minorHAnsi" w:hAnsiTheme="minorHAnsi" w:cstheme="minorHAnsi"/>
                <w:sz w:val="22"/>
                <w:szCs w:val="22"/>
              </w:rPr>
            </w:pPr>
            <w:r w:rsidRPr="003D5FB5">
              <w:rPr>
                <w:rFonts w:asciiTheme="minorHAnsi" w:eastAsia="Segoe UI Semibold" w:hAnsiTheme="minorHAnsi" w:cstheme="minorHAnsi"/>
                <w:bCs/>
                <w:color w:val="000000" w:themeColor="text1"/>
                <w:sz w:val="22"/>
                <w:szCs w:val="22"/>
              </w:rPr>
              <w:t>6</w:t>
            </w:r>
          </w:p>
        </w:tc>
        <w:tc>
          <w:tcPr>
            <w:tcW w:w="3485"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7EAD4EB9" w14:textId="77777777" w:rsidR="00EA573A" w:rsidRPr="003D5FB5" w:rsidRDefault="00EA573A" w:rsidP="00EA573A">
            <w:pPr>
              <w:spacing w:line="360" w:lineRule="auto"/>
              <w:jc w:val="both"/>
              <w:rPr>
                <w:rFonts w:asciiTheme="minorHAnsi" w:hAnsiTheme="minorHAnsi" w:cstheme="minorHAnsi"/>
                <w:sz w:val="22"/>
                <w:szCs w:val="22"/>
              </w:rPr>
            </w:pPr>
            <w:r w:rsidRPr="003D5FB5">
              <w:rPr>
                <w:rFonts w:asciiTheme="minorHAnsi" w:eastAsia="Segoe UI Semibold" w:hAnsiTheme="minorHAnsi" w:cstheme="minorHAnsi"/>
                <w:bCs/>
                <w:color w:val="000000" w:themeColor="text1"/>
                <w:sz w:val="22"/>
                <w:szCs w:val="22"/>
              </w:rPr>
              <w:t>Battery Charger</w:t>
            </w:r>
          </w:p>
        </w:tc>
        <w:tc>
          <w:tcPr>
            <w:tcW w:w="1474"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59B20A17" w14:textId="77777777" w:rsidR="00EA573A" w:rsidRPr="003D5FB5" w:rsidRDefault="00EA573A" w:rsidP="00EA573A">
            <w:pPr>
              <w:spacing w:line="360" w:lineRule="auto"/>
              <w:jc w:val="center"/>
              <w:rPr>
                <w:rFonts w:asciiTheme="minorHAnsi" w:hAnsiTheme="minorHAnsi" w:cstheme="minorHAnsi"/>
                <w:sz w:val="22"/>
                <w:szCs w:val="22"/>
              </w:rPr>
            </w:pPr>
            <w:r w:rsidRPr="003D5FB5">
              <w:rPr>
                <w:rFonts w:asciiTheme="minorHAnsi" w:eastAsia="Segoe UI Semibold" w:hAnsiTheme="minorHAnsi" w:cstheme="minorHAnsi"/>
                <w:bCs/>
                <w:color w:val="000000" w:themeColor="text1"/>
                <w:sz w:val="22"/>
                <w:szCs w:val="22"/>
              </w:rPr>
              <w:t>33</w:t>
            </w:r>
          </w:p>
        </w:tc>
        <w:tc>
          <w:tcPr>
            <w:tcW w:w="1474"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1E39EA00" w14:textId="77777777" w:rsidR="00EA573A" w:rsidRPr="003D5FB5" w:rsidRDefault="00EA573A" w:rsidP="00EA573A">
            <w:pPr>
              <w:spacing w:line="360" w:lineRule="auto"/>
              <w:jc w:val="center"/>
              <w:rPr>
                <w:rFonts w:asciiTheme="minorHAnsi" w:hAnsiTheme="minorHAnsi" w:cstheme="minorHAnsi"/>
                <w:sz w:val="22"/>
                <w:szCs w:val="22"/>
              </w:rPr>
            </w:pPr>
            <w:r w:rsidRPr="003D5FB5">
              <w:rPr>
                <w:rFonts w:asciiTheme="minorHAnsi" w:eastAsia="Segoe UI Semibold" w:hAnsiTheme="minorHAnsi" w:cstheme="minorHAnsi"/>
                <w:bCs/>
                <w:color w:val="000000" w:themeColor="text1"/>
                <w:sz w:val="22"/>
                <w:szCs w:val="22"/>
              </w:rPr>
              <w:t>55</w:t>
            </w:r>
          </w:p>
        </w:tc>
        <w:tc>
          <w:tcPr>
            <w:tcW w:w="1345"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2ED2CD14" w14:textId="77777777" w:rsidR="00EA573A" w:rsidRPr="003D5FB5" w:rsidRDefault="00EA573A" w:rsidP="00EA573A">
            <w:pPr>
              <w:spacing w:line="360" w:lineRule="auto"/>
              <w:jc w:val="center"/>
              <w:rPr>
                <w:rFonts w:asciiTheme="minorHAnsi" w:hAnsiTheme="minorHAnsi" w:cstheme="minorHAnsi"/>
                <w:sz w:val="22"/>
                <w:szCs w:val="22"/>
              </w:rPr>
            </w:pPr>
            <w:r w:rsidRPr="003D5FB5">
              <w:rPr>
                <w:rFonts w:asciiTheme="minorHAnsi" w:eastAsia="Segoe UI Semibold" w:hAnsiTheme="minorHAnsi" w:cstheme="minorHAnsi"/>
                <w:bCs/>
                <w:color w:val="000000" w:themeColor="text1"/>
                <w:sz w:val="22"/>
                <w:szCs w:val="22"/>
              </w:rPr>
              <w:t>15</w:t>
            </w:r>
          </w:p>
        </w:tc>
      </w:tr>
      <w:tr w:rsidR="00EA573A" w:rsidRPr="003D5FB5" w14:paraId="5A837D31" w14:textId="77777777" w:rsidTr="00EA573A">
        <w:trPr>
          <w:trHeight w:val="276"/>
        </w:trPr>
        <w:tc>
          <w:tcPr>
            <w:tcW w:w="1077"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21EA6739" w14:textId="77777777" w:rsidR="00EA573A" w:rsidRPr="003D5FB5" w:rsidRDefault="00EA573A" w:rsidP="00EA573A">
            <w:pPr>
              <w:spacing w:line="360" w:lineRule="auto"/>
              <w:jc w:val="center"/>
              <w:rPr>
                <w:rFonts w:asciiTheme="minorHAnsi" w:hAnsiTheme="minorHAnsi" w:cstheme="minorHAnsi"/>
                <w:sz w:val="22"/>
                <w:szCs w:val="22"/>
              </w:rPr>
            </w:pPr>
            <w:r w:rsidRPr="003D5FB5">
              <w:rPr>
                <w:rFonts w:asciiTheme="minorHAnsi" w:eastAsia="Segoe UI Semibold" w:hAnsiTheme="minorHAnsi" w:cstheme="minorHAnsi"/>
                <w:bCs/>
                <w:color w:val="000000" w:themeColor="text1"/>
                <w:sz w:val="22"/>
                <w:szCs w:val="22"/>
              </w:rPr>
              <w:t>7</w:t>
            </w:r>
          </w:p>
        </w:tc>
        <w:tc>
          <w:tcPr>
            <w:tcW w:w="3485"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3886C6DB" w14:textId="77777777" w:rsidR="00EA573A" w:rsidRPr="003D5FB5" w:rsidRDefault="00EA573A" w:rsidP="00EA573A">
            <w:pPr>
              <w:spacing w:line="360" w:lineRule="auto"/>
              <w:jc w:val="both"/>
              <w:rPr>
                <w:rFonts w:asciiTheme="minorHAnsi" w:hAnsiTheme="minorHAnsi" w:cstheme="minorHAnsi"/>
                <w:sz w:val="22"/>
                <w:szCs w:val="22"/>
              </w:rPr>
            </w:pPr>
            <w:r w:rsidRPr="003D5FB5">
              <w:rPr>
                <w:rFonts w:asciiTheme="minorHAnsi" w:eastAsia="Segoe UI Semibold" w:hAnsiTheme="minorHAnsi" w:cstheme="minorHAnsi"/>
                <w:bCs/>
                <w:color w:val="000000" w:themeColor="text1"/>
                <w:sz w:val="22"/>
                <w:szCs w:val="22"/>
              </w:rPr>
              <w:t xml:space="preserve">PTR Earthing Capex </w:t>
            </w:r>
          </w:p>
        </w:tc>
        <w:tc>
          <w:tcPr>
            <w:tcW w:w="1474"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25878E89" w14:textId="77777777" w:rsidR="00EA573A" w:rsidRPr="003D5FB5" w:rsidRDefault="00EA573A" w:rsidP="00EA573A">
            <w:pPr>
              <w:spacing w:line="360" w:lineRule="auto"/>
              <w:jc w:val="center"/>
              <w:rPr>
                <w:rFonts w:asciiTheme="minorHAnsi" w:hAnsiTheme="minorHAnsi" w:cstheme="minorHAnsi"/>
                <w:sz w:val="22"/>
                <w:szCs w:val="22"/>
              </w:rPr>
            </w:pPr>
            <w:r w:rsidRPr="003D5FB5">
              <w:rPr>
                <w:rFonts w:asciiTheme="minorHAnsi" w:eastAsia="Segoe UI Semibold" w:hAnsiTheme="minorHAnsi" w:cstheme="minorHAnsi"/>
                <w:bCs/>
                <w:color w:val="000000" w:themeColor="text1"/>
                <w:sz w:val="22"/>
                <w:szCs w:val="22"/>
              </w:rPr>
              <w:t>10</w:t>
            </w:r>
          </w:p>
        </w:tc>
        <w:tc>
          <w:tcPr>
            <w:tcW w:w="1474"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5C73E27A" w14:textId="77777777" w:rsidR="00EA573A" w:rsidRPr="003D5FB5" w:rsidRDefault="00EA573A" w:rsidP="00EA573A">
            <w:pPr>
              <w:spacing w:line="360" w:lineRule="auto"/>
              <w:jc w:val="center"/>
              <w:rPr>
                <w:rFonts w:asciiTheme="minorHAnsi" w:hAnsiTheme="minorHAnsi" w:cstheme="minorHAnsi"/>
                <w:sz w:val="22"/>
                <w:szCs w:val="22"/>
              </w:rPr>
            </w:pPr>
            <w:r w:rsidRPr="003D5FB5">
              <w:rPr>
                <w:rFonts w:asciiTheme="minorHAnsi" w:eastAsia="Segoe UI Semibold" w:hAnsiTheme="minorHAnsi" w:cstheme="minorHAnsi"/>
                <w:bCs/>
                <w:color w:val="000000" w:themeColor="text1"/>
                <w:sz w:val="22"/>
                <w:szCs w:val="22"/>
              </w:rPr>
              <w:t>98</w:t>
            </w:r>
          </w:p>
        </w:tc>
        <w:tc>
          <w:tcPr>
            <w:tcW w:w="1345"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64C451D0" w14:textId="77777777" w:rsidR="00EA573A" w:rsidRPr="003D5FB5" w:rsidRDefault="00EA573A" w:rsidP="00EA573A">
            <w:pPr>
              <w:spacing w:line="360" w:lineRule="auto"/>
              <w:jc w:val="center"/>
              <w:rPr>
                <w:rFonts w:asciiTheme="minorHAnsi" w:hAnsiTheme="minorHAnsi" w:cstheme="minorHAnsi"/>
                <w:sz w:val="22"/>
                <w:szCs w:val="22"/>
              </w:rPr>
            </w:pPr>
            <w:r w:rsidRPr="003D5FB5">
              <w:rPr>
                <w:rFonts w:asciiTheme="minorHAnsi" w:eastAsia="Segoe UI Semibold" w:hAnsiTheme="minorHAnsi" w:cstheme="minorHAnsi"/>
                <w:bCs/>
                <w:color w:val="000000" w:themeColor="text1"/>
                <w:sz w:val="22"/>
                <w:szCs w:val="22"/>
              </w:rPr>
              <w:t>36</w:t>
            </w:r>
          </w:p>
        </w:tc>
      </w:tr>
      <w:tr w:rsidR="00EA573A" w:rsidRPr="003D5FB5" w14:paraId="76E143D0" w14:textId="77777777" w:rsidTr="00EA573A">
        <w:trPr>
          <w:trHeight w:val="276"/>
        </w:trPr>
        <w:tc>
          <w:tcPr>
            <w:tcW w:w="1077"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01669879" w14:textId="77777777" w:rsidR="00EA573A" w:rsidRPr="003D5FB5" w:rsidRDefault="00EA573A" w:rsidP="00EA573A">
            <w:pPr>
              <w:spacing w:line="360" w:lineRule="auto"/>
              <w:jc w:val="center"/>
              <w:rPr>
                <w:rFonts w:asciiTheme="minorHAnsi" w:hAnsiTheme="minorHAnsi" w:cstheme="minorHAnsi"/>
                <w:sz w:val="22"/>
                <w:szCs w:val="22"/>
              </w:rPr>
            </w:pPr>
            <w:r w:rsidRPr="003D5FB5">
              <w:rPr>
                <w:rFonts w:asciiTheme="minorHAnsi" w:eastAsia="Segoe UI Semibold" w:hAnsiTheme="minorHAnsi" w:cstheme="minorHAnsi"/>
                <w:bCs/>
                <w:color w:val="000000" w:themeColor="text1"/>
                <w:sz w:val="22"/>
                <w:szCs w:val="22"/>
              </w:rPr>
              <w:t>8</w:t>
            </w:r>
          </w:p>
        </w:tc>
        <w:tc>
          <w:tcPr>
            <w:tcW w:w="3485"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57F3FB00" w14:textId="77777777" w:rsidR="00EA573A" w:rsidRPr="003D5FB5" w:rsidRDefault="00EA573A" w:rsidP="00EA573A">
            <w:pPr>
              <w:spacing w:line="360" w:lineRule="auto"/>
              <w:jc w:val="both"/>
              <w:rPr>
                <w:rFonts w:asciiTheme="minorHAnsi" w:hAnsiTheme="minorHAnsi" w:cstheme="minorHAnsi"/>
                <w:sz w:val="22"/>
                <w:szCs w:val="22"/>
              </w:rPr>
            </w:pPr>
            <w:r w:rsidRPr="003D5FB5">
              <w:rPr>
                <w:rFonts w:asciiTheme="minorHAnsi" w:eastAsia="Segoe UI Semibold" w:hAnsiTheme="minorHAnsi" w:cstheme="minorHAnsi"/>
                <w:bCs/>
                <w:color w:val="000000" w:themeColor="text1"/>
                <w:sz w:val="22"/>
                <w:szCs w:val="22"/>
              </w:rPr>
              <w:t>RTU Installation</w:t>
            </w:r>
          </w:p>
        </w:tc>
        <w:tc>
          <w:tcPr>
            <w:tcW w:w="1474"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45F10CD0" w14:textId="77777777" w:rsidR="00EA573A" w:rsidRPr="003D5FB5" w:rsidRDefault="00EA573A" w:rsidP="00EA573A">
            <w:pPr>
              <w:spacing w:line="360" w:lineRule="auto"/>
              <w:jc w:val="center"/>
              <w:rPr>
                <w:rFonts w:asciiTheme="minorHAnsi" w:hAnsiTheme="minorHAnsi" w:cstheme="minorHAnsi"/>
                <w:sz w:val="22"/>
                <w:szCs w:val="22"/>
              </w:rPr>
            </w:pPr>
            <w:r w:rsidRPr="003D5FB5">
              <w:rPr>
                <w:rFonts w:asciiTheme="minorHAnsi" w:eastAsia="Segoe UI Semibold" w:hAnsiTheme="minorHAnsi" w:cstheme="minorHAnsi"/>
                <w:bCs/>
                <w:color w:val="000000" w:themeColor="text1"/>
                <w:sz w:val="22"/>
                <w:szCs w:val="22"/>
              </w:rPr>
              <w:t>NA</w:t>
            </w:r>
          </w:p>
        </w:tc>
        <w:tc>
          <w:tcPr>
            <w:tcW w:w="1474"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4B855663" w14:textId="77777777" w:rsidR="00EA573A" w:rsidRPr="003D5FB5" w:rsidRDefault="00EA573A" w:rsidP="00EA573A">
            <w:pPr>
              <w:spacing w:line="360" w:lineRule="auto"/>
              <w:jc w:val="center"/>
              <w:rPr>
                <w:rFonts w:asciiTheme="minorHAnsi" w:hAnsiTheme="minorHAnsi" w:cstheme="minorHAnsi"/>
                <w:sz w:val="22"/>
                <w:szCs w:val="22"/>
              </w:rPr>
            </w:pPr>
            <w:r w:rsidRPr="003D5FB5">
              <w:rPr>
                <w:rFonts w:asciiTheme="minorHAnsi" w:eastAsia="Segoe UI Semibold" w:hAnsiTheme="minorHAnsi" w:cstheme="minorHAnsi"/>
                <w:bCs/>
                <w:color w:val="000000" w:themeColor="text1"/>
                <w:sz w:val="22"/>
                <w:szCs w:val="22"/>
              </w:rPr>
              <w:t>26</w:t>
            </w:r>
          </w:p>
        </w:tc>
        <w:tc>
          <w:tcPr>
            <w:tcW w:w="1345"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554FF11A" w14:textId="77777777" w:rsidR="00EA573A" w:rsidRPr="003D5FB5" w:rsidRDefault="00EA573A" w:rsidP="00EA573A">
            <w:pPr>
              <w:spacing w:line="360" w:lineRule="auto"/>
              <w:jc w:val="center"/>
              <w:rPr>
                <w:rFonts w:asciiTheme="minorHAnsi" w:hAnsiTheme="minorHAnsi" w:cstheme="minorHAnsi"/>
                <w:sz w:val="22"/>
                <w:szCs w:val="22"/>
              </w:rPr>
            </w:pPr>
            <w:r w:rsidRPr="003D5FB5">
              <w:rPr>
                <w:rFonts w:asciiTheme="minorHAnsi" w:eastAsia="Segoe UI Semibold" w:hAnsiTheme="minorHAnsi" w:cstheme="minorHAnsi"/>
                <w:bCs/>
                <w:color w:val="000000" w:themeColor="text1"/>
                <w:sz w:val="22"/>
                <w:szCs w:val="22"/>
              </w:rPr>
              <w:t>39</w:t>
            </w:r>
          </w:p>
        </w:tc>
      </w:tr>
      <w:tr w:rsidR="00EA573A" w:rsidRPr="003D5FB5" w14:paraId="5633D14A" w14:textId="77777777" w:rsidTr="00EA573A">
        <w:trPr>
          <w:trHeight w:val="276"/>
        </w:trPr>
        <w:tc>
          <w:tcPr>
            <w:tcW w:w="1077"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3AF38CCE" w14:textId="77777777" w:rsidR="00EA573A" w:rsidRPr="003D5FB5" w:rsidRDefault="00EA573A" w:rsidP="00EA573A">
            <w:pPr>
              <w:spacing w:line="360" w:lineRule="auto"/>
              <w:jc w:val="center"/>
              <w:rPr>
                <w:rFonts w:asciiTheme="minorHAnsi" w:hAnsiTheme="minorHAnsi" w:cstheme="minorHAnsi"/>
                <w:sz w:val="22"/>
                <w:szCs w:val="22"/>
              </w:rPr>
            </w:pPr>
            <w:r w:rsidRPr="003D5FB5">
              <w:rPr>
                <w:rFonts w:asciiTheme="minorHAnsi" w:eastAsia="Segoe UI Semibold" w:hAnsiTheme="minorHAnsi" w:cstheme="minorHAnsi"/>
                <w:bCs/>
                <w:color w:val="000000" w:themeColor="text1"/>
                <w:sz w:val="22"/>
                <w:szCs w:val="22"/>
              </w:rPr>
              <w:t>9</w:t>
            </w:r>
          </w:p>
        </w:tc>
        <w:tc>
          <w:tcPr>
            <w:tcW w:w="3485"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2C6D999F" w14:textId="77777777" w:rsidR="00EA573A" w:rsidRPr="003D5FB5" w:rsidRDefault="00EA573A" w:rsidP="00EA573A">
            <w:pPr>
              <w:spacing w:line="360" w:lineRule="auto"/>
              <w:jc w:val="both"/>
              <w:rPr>
                <w:rFonts w:asciiTheme="minorHAnsi" w:hAnsiTheme="minorHAnsi" w:cstheme="minorHAnsi"/>
                <w:sz w:val="22"/>
                <w:szCs w:val="22"/>
              </w:rPr>
            </w:pPr>
            <w:r w:rsidRPr="003D5FB5">
              <w:rPr>
                <w:rFonts w:asciiTheme="minorHAnsi" w:eastAsia="Segoe UI Semibold" w:hAnsiTheme="minorHAnsi" w:cstheme="minorHAnsi"/>
                <w:bCs/>
                <w:color w:val="000000" w:themeColor="text1"/>
                <w:sz w:val="22"/>
                <w:szCs w:val="22"/>
              </w:rPr>
              <w:t>CR Panel Installation</w:t>
            </w:r>
          </w:p>
        </w:tc>
        <w:tc>
          <w:tcPr>
            <w:tcW w:w="1474"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03AB39FD" w14:textId="77777777" w:rsidR="00EA573A" w:rsidRPr="003D5FB5" w:rsidRDefault="00EA573A" w:rsidP="00EA573A">
            <w:pPr>
              <w:spacing w:line="360" w:lineRule="auto"/>
              <w:jc w:val="center"/>
              <w:rPr>
                <w:rFonts w:asciiTheme="minorHAnsi" w:hAnsiTheme="minorHAnsi" w:cstheme="minorHAnsi"/>
                <w:sz w:val="22"/>
                <w:szCs w:val="22"/>
              </w:rPr>
            </w:pPr>
            <w:r w:rsidRPr="003D5FB5">
              <w:rPr>
                <w:rFonts w:asciiTheme="minorHAnsi" w:eastAsia="Segoe UI Semibold" w:hAnsiTheme="minorHAnsi" w:cstheme="minorHAnsi"/>
                <w:bCs/>
                <w:color w:val="000000" w:themeColor="text1"/>
                <w:sz w:val="22"/>
                <w:szCs w:val="22"/>
              </w:rPr>
              <w:t>NA</w:t>
            </w:r>
          </w:p>
        </w:tc>
        <w:tc>
          <w:tcPr>
            <w:tcW w:w="1474"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5ADC4E7D" w14:textId="77777777" w:rsidR="00EA573A" w:rsidRPr="003D5FB5" w:rsidRDefault="00EA573A" w:rsidP="00EA573A">
            <w:pPr>
              <w:spacing w:line="360" w:lineRule="auto"/>
              <w:jc w:val="center"/>
              <w:rPr>
                <w:rFonts w:asciiTheme="minorHAnsi" w:hAnsiTheme="minorHAnsi" w:cstheme="minorHAnsi"/>
                <w:sz w:val="22"/>
                <w:szCs w:val="22"/>
              </w:rPr>
            </w:pPr>
            <w:r w:rsidRPr="003D5FB5">
              <w:rPr>
                <w:rFonts w:asciiTheme="minorHAnsi" w:eastAsia="Segoe UI Semibold" w:hAnsiTheme="minorHAnsi" w:cstheme="minorHAnsi"/>
                <w:bCs/>
                <w:color w:val="000000" w:themeColor="text1"/>
                <w:sz w:val="22"/>
                <w:szCs w:val="22"/>
              </w:rPr>
              <w:t>82</w:t>
            </w:r>
          </w:p>
        </w:tc>
        <w:tc>
          <w:tcPr>
            <w:tcW w:w="1345"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50BBF85C" w14:textId="77777777" w:rsidR="00EA573A" w:rsidRPr="003D5FB5" w:rsidRDefault="00EA573A" w:rsidP="00EA573A">
            <w:pPr>
              <w:spacing w:line="360" w:lineRule="auto"/>
              <w:jc w:val="center"/>
              <w:rPr>
                <w:rFonts w:asciiTheme="minorHAnsi" w:hAnsiTheme="minorHAnsi" w:cstheme="minorHAnsi"/>
                <w:sz w:val="22"/>
                <w:szCs w:val="22"/>
              </w:rPr>
            </w:pPr>
            <w:r w:rsidRPr="003D5FB5">
              <w:rPr>
                <w:rFonts w:asciiTheme="minorHAnsi" w:eastAsia="Segoe UI Semibold" w:hAnsiTheme="minorHAnsi" w:cstheme="minorHAnsi"/>
                <w:bCs/>
                <w:color w:val="000000" w:themeColor="text1"/>
                <w:sz w:val="22"/>
                <w:szCs w:val="22"/>
              </w:rPr>
              <w:t>117</w:t>
            </w:r>
          </w:p>
        </w:tc>
      </w:tr>
      <w:tr w:rsidR="00EA573A" w:rsidRPr="003D5FB5" w14:paraId="26AA6F33" w14:textId="77777777" w:rsidTr="00EA573A">
        <w:trPr>
          <w:trHeight w:val="276"/>
        </w:trPr>
        <w:tc>
          <w:tcPr>
            <w:tcW w:w="1077"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1CF0E4FE" w14:textId="77777777" w:rsidR="00EA573A" w:rsidRPr="003D5FB5" w:rsidRDefault="00EA573A" w:rsidP="00EA573A">
            <w:pPr>
              <w:spacing w:line="360" w:lineRule="auto"/>
              <w:jc w:val="center"/>
              <w:rPr>
                <w:rFonts w:asciiTheme="minorHAnsi" w:hAnsiTheme="minorHAnsi" w:cstheme="minorHAnsi"/>
                <w:sz w:val="22"/>
                <w:szCs w:val="22"/>
              </w:rPr>
            </w:pPr>
            <w:r w:rsidRPr="003D5FB5">
              <w:rPr>
                <w:rFonts w:asciiTheme="minorHAnsi" w:eastAsia="Segoe UI Semibold" w:hAnsiTheme="minorHAnsi" w:cstheme="minorHAnsi"/>
                <w:bCs/>
                <w:color w:val="000000" w:themeColor="text1"/>
                <w:sz w:val="22"/>
                <w:szCs w:val="22"/>
              </w:rPr>
              <w:t>10</w:t>
            </w:r>
          </w:p>
        </w:tc>
        <w:tc>
          <w:tcPr>
            <w:tcW w:w="3485"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608DA755" w14:textId="77777777" w:rsidR="00EA573A" w:rsidRPr="003D5FB5" w:rsidRDefault="00EA573A" w:rsidP="00EA573A">
            <w:pPr>
              <w:spacing w:line="360" w:lineRule="auto"/>
              <w:jc w:val="both"/>
              <w:rPr>
                <w:rFonts w:asciiTheme="minorHAnsi" w:hAnsiTheme="minorHAnsi" w:cstheme="minorHAnsi"/>
                <w:sz w:val="22"/>
                <w:szCs w:val="22"/>
              </w:rPr>
            </w:pPr>
            <w:r w:rsidRPr="003D5FB5">
              <w:rPr>
                <w:rFonts w:asciiTheme="minorHAnsi" w:eastAsia="Segoe UI Semibold" w:hAnsiTheme="minorHAnsi" w:cstheme="minorHAnsi"/>
                <w:bCs/>
                <w:color w:val="000000" w:themeColor="text1"/>
                <w:sz w:val="22"/>
                <w:szCs w:val="22"/>
              </w:rPr>
              <w:t>ISOLATOR Installation</w:t>
            </w:r>
          </w:p>
        </w:tc>
        <w:tc>
          <w:tcPr>
            <w:tcW w:w="1474"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35595786" w14:textId="77777777" w:rsidR="00EA573A" w:rsidRPr="003D5FB5" w:rsidRDefault="00EA573A" w:rsidP="00EA573A">
            <w:pPr>
              <w:spacing w:line="360" w:lineRule="auto"/>
              <w:jc w:val="center"/>
              <w:rPr>
                <w:rFonts w:asciiTheme="minorHAnsi" w:hAnsiTheme="minorHAnsi" w:cstheme="minorHAnsi"/>
                <w:sz w:val="22"/>
                <w:szCs w:val="22"/>
              </w:rPr>
            </w:pPr>
            <w:r w:rsidRPr="003D5FB5">
              <w:rPr>
                <w:rFonts w:asciiTheme="minorHAnsi" w:eastAsia="Segoe UI Semibold" w:hAnsiTheme="minorHAnsi" w:cstheme="minorHAnsi"/>
                <w:bCs/>
                <w:color w:val="000000" w:themeColor="text1"/>
                <w:sz w:val="22"/>
                <w:szCs w:val="22"/>
              </w:rPr>
              <w:t>NA</w:t>
            </w:r>
          </w:p>
        </w:tc>
        <w:tc>
          <w:tcPr>
            <w:tcW w:w="1474"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3F7F7BE2" w14:textId="77777777" w:rsidR="00EA573A" w:rsidRPr="003D5FB5" w:rsidRDefault="00EA573A" w:rsidP="00EA573A">
            <w:pPr>
              <w:spacing w:line="360" w:lineRule="auto"/>
              <w:jc w:val="center"/>
              <w:rPr>
                <w:rFonts w:asciiTheme="minorHAnsi" w:hAnsiTheme="minorHAnsi" w:cstheme="minorHAnsi"/>
                <w:sz w:val="22"/>
                <w:szCs w:val="22"/>
              </w:rPr>
            </w:pPr>
            <w:r w:rsidRPr="003D5FB5">
              <w:rPr>
                <w:rFonts w:asciiTheme="minorHAnsi" w:eastAsia="Segoe UI Semibold" w:hAnsiTheme="minorHAnsi" w:cstheme="minorHAnsi"/>
                <w:bCs/>
                <w:color w:val="000000" w:themeColor="text1"/>
                <w:sz w:val="22"/>
                <w:szCs w:val="22"/>
              </w:rPr>
              <w:t>100</w:t>
            </w:r>
          </w:p>
        </w:tc>
        <w:tc>
          <w:tcPr>
            <w:tcW w:w="1345"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18C05C87" w14:textId="77777777" w:rsidR="00EA573A" w:rsidRPr="003D5FB5" w:rsidRDefault="00EA573A" w:rsidP="00EA573A">
            <w:pPr>
              <w:spacing w:line="360" w:lineRule="auto"/>
              <w:jc w:val="center"/>
              <w:rPr>
                <w:rFonts w:asciiTheme="minorHAnsi" w:hAnsiTheme="minorHAnsi" w:cstheme="minorHAnsi"/>
                <w:sz w:val="22"/>
                <w:szCs w:val="22"/>
              </w:rPr>
            </w:pPr>
            <w:r w:rsidRPr="003D5FB5">
              <w:rPr>
                <w:rFonts w:asciiTheme="minorHAnsi" w:eastAsia="Segoe UI Semibold" w:hAnsiTheme="minorHAnsi" w:cstheme="minorHAnsi"/>
                <w:bCs/>
                <w:color w:val="000000" w:themeColor="text1"/>
                <w:sz w:val="22"/>
                <w:szCs w:val="22"/>
              </w:rPr>
              <w:t>204</w:t>
            </w:r>
          </w:p>
        </w:tc>
      </w:tr>
    </w:tbl>
    <w:p w14:paraId="3DD37D29" w14:textId="438E198E" w:rsidR="002F0A87" w:rsidRPr="003D5FB5" w:rsidRDefault="002F0A87" w:rsidP="002F0A87">
      <w:pPr>
        <w:tabs>
          <w:tab w:val="left" w:pos="426"/>
        </w:tabs>
        <w:spacing w:line="360" w:lineRule="auto"/>
        <w:ind w:right="-23"/>
        <w:jc w:val="center"/>
        <w:rPr>
          <w:rFonts w:asciiTheme="minorHAnsi" w:eastAsia="Calibri" w:hAnsiTheme="minorHAnsi" w:cstheme="minorHAnsi"/>
          <w:b/>
          <w:bCs/>
          <w:color w:val="000000" w:themeColor="text1"/>
          <w:sz w:val="22"/>
          <w:szCs w:val="22"/>
        </w:rPr>
      </w:pPr>
      <w:r w:rsidRPr="003D5FB5">
        <w:rPr>
          <w:rFonts w:asciiTheme="minorHAnsi" w:hAnsiTheme="minorHAnsi" w:cstheme="minorHAnsi"/>
          <w:b/>
          <w:bCs/>
          <w:sz w:val="22"/>
          <w:szCs w:val="22"/>
        </w:rPr>
        <w:t>Table-2</w:t>
      </w:r>
      <w:r w:rsidR="00EA573A">
        <w:rPr>
          <w:rFonts w:asciiTheme="minorHAnsi" w:hAnsiTheme="minorHAnsi" w:cstheme="minorHAnsi"/>
          <w:b/>
          <w:bCs/>
          <w:sz w:val="22"/>
          <w:szCs w:val="22"/>
        </w:rPr>
        <w:t>2</w:t>
      </w:r>
      <w:r w:rsidRPr="003D5FB5">
        <w:rPr>
          <w:rFonts w:asciiTheme="minorHAnsi" w:hAnsiTheme="minorHAnsi" w:cstheme="minorHAnsi"/>
          <w:b/>
          <w:bCs/>
          <w:sz w:val="22"/>
          <w:szCs w:val="22"/>
        </w:rPr>
        <w:t xml:space="preserve">(a): </w:t>
      </w:r>
      <w:r w:rsidRPr="003D5FB5">
        <w:rPr>
          <w:rFonts w:asciiTheme="minorHAnsi" w:eastAsia="Calibri" w:hAnsiTheme="minorHAnsi" w:cstheme="minorHAnsi"/>
          <w:b/>
          <w:bCs/>
          <w:color w:val="000000" w:themeColor="text1"/>
          <w:sz w:val="22"/>
          <w:szCs w:val="22"/>
        </w:rPr>
        <w:t>33kv Network Protection Plan &amp; Status</w:t>
      </w:r>
    </w:p>
    <w:p w14:paraId="5E6D5CA9" w14:textId="77777777" w:rsidR="002F0A87" w:rsidRPr="003D5FB5" w:rsidRDefault="002F0A87" w:rsidP="002F0A87">
      <w:pPr>
        <w:tabs>
          <w:tab w:val="left" w:pos="426"/>
        </w:tabs>
        <w:spacing w:line="360" w:lineRule="auto"/>
        <w:ind w:right="-23"/>
        <w:jc w:val="both"/>
        <w:rPr>
          <w:rFonts w:asciiTheme="minorHAnsi" w:hAnsiTheme="minorHAnsi" w:cstheme="minorHAnsi"/>
          <w:b/>
          <w:bCs/>
          <w:sz w:val="22"/>
          <w:szCs w:val="22"/>
        </w:rPr>
      </w:pPr>
    </w:p>
    <w:p w14:paraId="46EDA57A" w14:textId="77777777" w:rsidR="00EA573A" w:rsidRDefault="00EA573A" w:rsidP="002F0A87">
      <w:pPr>
        <w:tabs>
          <w:tab w:val="left" w:pos="426"/>
        </w:tabs>
        <w:spacing w:line="360" w:lineRule="auto"/>
        <w:ind w:right="-23"/>
        <w:jc w:val="center"/>
        <w:rPr>
          <w:rFonts w:asciiTheme="minorHAnsi" w:hAnsiTheme="minorHAnsi" w:cstheme="minorHAnsi"/>
          <w:b/>
          <w:bCs/>
          <w:sz w:val="22"/>
          <w:szCs w:val="22"/>
        </w:rPr>
      </w:pPr>
    </w:p>
    <w:p w14:paraId="53B6137A" w14:textId="77777777" w:rsidR="00EA573A" w:rsidRDefault="00EA573A" w:rsidP="002F0A87">
      <w:pPr>
        <w:tabs>
          <w:tab w:val="left" w:pos="426"/>
        </w:tabs>
        <w:spacing w:line="360" w:lineRule="auto"/>
        <w:ind w:right="-23"/>
        <w:jc w:val="center"/>
        <w:rPr>
          <w:rFonts w:asciiTheme="minorHAnsi" w:hAnsiTheme="minorHAnsi" w:cstheme="minorHAnsi"/>
          <w:b/>
          <w:bCs/>
          <w:sz w:val="22"/>
          <w:szCs w:val="22"/>
        </w:rPr>
      </w:pPr>
    </w:p>
    <w:p w14:paraId="6AEB1337" w14:textId="77777777" w:rsidR="00EA573A" w:rsidRDefault="00EA573A" w:rsidP="002F0A87">
      <w:pPr>
        <w:tabs>
          <w:tab w:val="left" w:pos="426"/>
        </w:tabs>
        <w:spacing w:line="360" w:lineRule="auto"/>
        <w:ind w:right="-23"/>
        <w:jc w:val="center"/>
        <w:rPr>
          <w:rFonts w:asciiTheme="minorHAnsi" w:hAnsiTheme="minorHAnsi" w:cstheme="minorHAnsi"/>
          <w:b/>
          <w:bCs/>
          <w:sz w:val="22"/>
          <w:szCs w:val="22"/>
        </w:rPr>
      </w:pPr>
    </w:p>
    <w:p w14:paraId="429030BD" w14:textId="77777777" w:rsidR="00EA573A" w:rsidRDefault="00EA573A" w:rsidP="002F0A87">
      <w:pPr>
        <w:tabs>
          <w:tab w:val="left" w:pos="426"/>
        </w:tabs>
        <w:spacing w:line="360" w:lineRule="auto"/>
        <w:ind w:right="-23"/>
        <w:jc w:val="center"/>
        <w:rPr>
          <w:rFonts w:asciiTheme="minorHAnsi" w:hAnsiTheme="minorHAnsi" w:cstheme="minorHAnsi"/>
          <w:b/>
          <w:bCs/>
          <w:sz w:val="22"/>
          <w:szCs w:val="22"/>
        </w:rPr>
      </w:pPr>
    </w:p>
    <w:p w14:paraId="1D4280AA" w14:textId="77777777" w:rsidR="00EA573A" w:rsidRDefault="00EA573A" w:rsidP="002F0A87">
      <w:pPr>
        <w:tabs>
          <w:tab w:val="left" w:pos="426"/>
        </w:tabs>
        <w:spacing w:line="360" w:lineRule="auto"/>
        <w:ind w:right="-23"/>
        <w:jc w:val="center"/>
        <w:rPr>
          <w:rFonts w:asciiTheme="minorHAnsi" w:hAnsiTheme="minorHAnsi" w:cstheme="minorHAnsi"/>
          <w:b/>
          <w:bCs/>
          <w:sz w:val="22"/>
          <w:szCs w:val="22"/>
        </w:rPr>
      </w:pPr>
    </w:p>
    <w:p w14:paraId="36CE2C26" w14:textId="77777777" w:rsidR="00EA573A" w:rsidRDefault="00EA573A" w:rsidP="002F0A87">
      <w:pPr>
        <w:tabs>
          <w:tab w:val="left" w:pos="426"/>
        </w:tabs>
        <w:spacing w:line="360" w:lineRule="auto"/>
        <w:ind w:right="-23"/>
        <w:jc w:val="center"/>
        <w:rPr>
          <w:rFonts w:asciiTheme="minorHAnsi" w:hAnsiTheme="minorHAnsi" w:cstheme="minorHAnsi"/>
          <w:b/>
          <w:bCs/>
          <w:sz w:val="22"/>
          <w:szCs w:val="22"/>
        </w:rPr>
      </w:pPr>
    </w:p>
    <w:p w14:paraId="40CA1A2E" w14:textId="77777777" w:rsidR="00EA573A" w:rsidRDefault="00EA573A" w:rsidP="002F0A87">
      <w:pPr>
        <w:tabs>
          <w:tab w:val="left" w:pos="426"/>
        </w:tabs>
        <w:spacing w:line="360" w:lineRule="auto"/>
        <w:ind w:right="-23"/>
        <w:jc w:val="center"/>
        <w:rPr>
          <w:rFonts w:asciiTheme="minorHAnsi" w:hAnsiTheme="minorHAnsi" w:cstheme="minorHAnsi"/>
          <w:b/>
          <w:bCs/>
          <w:sz w:val="22"/>
          <w:szCs w:val="22"/>
        </w:rPr>
      </w:pPr>
    </w:p>
    <w:p w14:paraId="56ADA210" w14:textId="77777777" w:rsidR="00EA573A" w:rsidRDefault="00EA573A" w:rsidP="002F0A87">
      <w:pPr>
        <w:tabs>
          <w:tab w:val="left" w:pos="426"/>
        </w:tabs>
        <w:spacing w:line="360" w:lineRule="auto"/>
        <w:ind w:right="-23"/>
        <w:jc w:val="center"/>
        <w:rPr>
          <w:rFonts w:asciiTheme="minorHAnsi" w:hAnsiTheme="minorHAnsi" w:cstheme="minorHAnsi"/>
          <w:b/>
          <w:bCs/>
          <w:sz w:val="22"/>
          <w:szCs w:val="22"/>
        </w:rPr>
      </w:pPr>
    </w:p>
    <w:p w14:paraId="4F42D57D" w14:textId="77777777" w:rsidR="00EA573A" w:rsidRDefault="00EA573A" w:rsidP="002F0A87">
      <w:pPr>
        <w:tabs>
          <w:tab w:val="left" w:pos="426"/>
        </w:tabs>
        <w:spacing w:line="360" w:lineRule="auto"/>
        <w:ind w:right="-23"/>
        <w:jc w:val="center"/>
        <w:rPr>
          <w:rFonts w:asciiTheme="minorHAnsi" w:hAnsiTheme="minorHAnsi" w:cstheme="minorHAnsi"/>
          <w:b/>
          <w:bCs/>
          <w:sz w:val="22"/>
          <w:szCs w:val="22"/>
        </w:rPr>
      </w:pPr>
    </w:p>
    <w:p w14:paraId="22007717" w14:textId="77777777" w:rsidR="00EA573A" w:rsidRDefault="00EA573A" w:rsidP="002F0A87">
      <w:pPr>
        <w:tabs>
          <w:tab w:val="left" w:pos="426"/>
        </w:tabs>
        <w:spacing w:line="360" w:lineRule="auto"/>
        <w:ind w:right="-23"/>
        <w:jc w:val="center"/>
        <w:rPr>
          <w:rFonts w:asciiTheme="minorHAnsi" w:hAnsiTheme="minorHAnsi" w:cstheme="minorHAnsi"/>
          <w:b/>
          <w:bCs/>
          <w:sz w:val="22"/>
          <w:szCs w:val="22"/>
        </w:rPr>
      </w:pPr>
    </w:p>
    <w:p w14:paraId="2B24E182" w14:textId="77777777" w:rsidR="00EA573A" w:rsidRDefault="00EA573A" w:rsidP="002F0A87">
      <w:pPr>
        <w:tabs>
          <w:tab w:val="left" w:pos="426"/>
        </w:tabs>
        <w:spacing w:line="360" w:lineRule="auto"/>
        <w:ind w:right="-23"/>
        <w:jc w:val="center"/>
        <w:rPr>
          <w:rFonts w:asciiTheme="minorHAnsi" w:hAnsiTheme="minorHAnsi" w:cstheme="minorHAnsi"/>
          <w:b/>
          <w:bCs/>
          <w:sz w:val="22"/>
          <w:szCs w:val="22"/>
        </w:rPr>
      </w:pPr>
    </w:p>
    <w:p w14:paraId="2488A1A1" w14:textId="06E570CB" w:rsidR="002F0A87" w:rsidRPr="003D5FB5" w:rsidRDefault="002F0A87" w:rsidP="002F0A87">
      <w:pPr>
        <w:tabs>
          <w:tab w:val="left" w:pos="426"/>
        </w:tabs>
        <w:spacing w:line="360" w:lineRule="auto"/>
        <w:ind w:right="-23"/>
        <w:jc w:val="center"/>
        <w:rPr>
          <w:rFonts w:asciiTheme="minorHAnsi" w:hAnsiTheme="minorHAnsi" w:cstheme="minorHAnsi"/>
          <w:b/>
          <w:bCs/>
          <w:sz w:val="22"/>
          <w:szCs w:val="22"/>
        </w:rPr>
      </w:pPr>
      <w:r w:rsidRPr="003D5FB5">
        <w:rPr>
          <w:rFonts w:asciiTheme="minorHAnsi" w:hAnsiTheme="minorHAnsi" w:cstheme="minorHAnsi"/>
          <w:b/>
          <w:bCs/>
          <w:sz w:val="22"/>
          <w:szCs w:val="22"/>
        </w:rPr>
        <w:t>Table-2</w:t>
      </w:r>
      <w:r w:rsidR="00EA573A">
        <w:rPr>
          <w:rFonts w:asciiTheme="minorHAnsi" w:hAnsiTheme="minorHAnsi" w:cstheme="minorHAnsi"/>
          <w:b/>
          <w:bCs/>
          <w:sz w:val="22"/>
          <w:szCs w:val="22"/>
        </w:rPr>
        <w:t>2</w:t>
      </w:r>
      <w:r w:rsidRPr="003D5FB5">
        <w:rPr>
          <w:rFonts w:asciiTheme="minorHAnsi" w:hAnsiTheme="minorHAnsi" w:cstheme="minorHAnsi"/>
          <w:b/>
          <w:bCs/>
          <w:sz w:val="22"/>
          <w:szCs w:val="22"/>
        </w:rPr>
        <w:t>(b): Maintenance Status of PSS</w:t>
      </w:r>
    </w:p>
    <w:tbl>
      <w:tblPr>
        <w:tblW w:w="8930" w:type="dxa"/>
        <w:tblInd w:w="552" w:type="dxa"/>
        <w:tblLayout w:type="fixed"/>
        <w:tblLook w:val="0600" w:firstRow="0" w:lastRow="0" w:firstColumn="0" w:lastColumn="0" w:noHBand="1" w:noVBand="1"/>
      </w:tblPr>
      <w:tblGrid>
        <w:gridCol w:w="905"/>
        <w:gridCol w:w="2991"/>
        <w:gridCol w:w="749"/>
        <w:gridCol w:w="942"/>
        <w:gridCol w:w="907"/>
        <w:gridCol w:w="1057"/>
        <w:gridCol w:w="1379"/>
      </w:tblGrid>
      <w:tr w:rsidR="002F0A87" w:rsidRPr="003D5FB5" w14:paraId="5BBE4C84" w14:textId="77777777" w:rsidTr="00EA573A">
        <w:trPr>
          <w:trHeight w:val="496"/>
        </w:trPr>
        <w:tc>
          <w:tcPr>
            <w:tcW w:w="905" w:type="dxa"/>
            <w:tcBorders>
              <w:top w:val="single" w:sz="4" w:space="0" w:color="000000"/>
              <w:left w:val="single" w:sz="4" w:space="0" w:color="000000"/>
              <w:bottom w:val="single" w:sz="4" w:space="0" w:color="000000"/>
              <w:right w:val="single" w:sz="4" w:space="0" w:color="000000"/>
            </w:tcBorders>
            <w:shd w:val="clear" w:color="auto" w:fill="95B3D7" w:themeFill="accent1" w:themeFillTint="99"/>
            <w:vAlign w:val="center"/>
          </w:tcPr>
          <w:p w14:paraId="28AD55FC" w14:textId="77777777" w:rsidR="002F0A87" w:rsidRPr="003D5FB5" w:rsidRDefault="002F0A87" w:rsidP="002F0A87">
            <w:pPr>
              <w:spacing w:line="360" w:lineRule="auto"/>
              <w:jc w:val="center"/>
              <w:rPr>
                <w:rFonts w:asciiTheme="minorHAnsi" w:hAnsiTheme="minorHAnsi" w:cstheme="minorHAnsi"/>
                <w:b/>
                <w:sz w:val="22"/>
                <w:szCs w:val="22"/>
              </w:rPr>
            </w:pPr>
            <w:r w:rsidRPr="003D5FB5">
              <w:rPr>
                <w:rFonts w:asciiTheme="minorHAnsi" w:eastAsia="Segoe UI Semibold" w:hAnsiTheme="minorHAnsi" w:cstheme="minorHAnsi"/>
                <w:b/>
                <w:bCs/>
                <w:sz w:val="22"/>
                <w:szCs w:val="22"/>
              </w:rPr>
              <w:t>Sr. No.</w:t>
            </w:r>
          </w:p>
        </w:tc>
        <w:tc>
          <w:tcPr>
            <w:tcW w:w="2991" w:type="dxa"/>
            <w:tcBorders>
              <w:top w:val="single" w:sz="4" w:space="0" w:color="000000"/>
              <w:left w:val="single" w:sz="4" w:space="0" w:color="000000"/>
              <w:bottom w:val="single" w:sz="4" w:space="0" w:color="000000"/>
              <w:right w:val="single" w:sz="4" w:space="0" w:color="000000"/>
            </w:tcBorders>
            <w:shd w:val="clear" w:color="auto" w:fill="95B3D7" w:themeFill="accent1" w:themeFillTint="99"/>
            <w:vAlign w:val="center"/>
          </w:tcPr>
          <w:p w14:paraId="1CC87CBD" w14:textId="77777777" w:rsidR="002F0A87" w:rsidRPr="003D5FB5" w:rsidRDefault="002F0A87" w:rsidP="002F0A87">
            <w:pPr>
              <w:spacing w:line="360" w:lineRule="auto"/>
              <w:jc w:val="center"/>
              <w:rPr>
                <w:rFonts w:asciiTheme="minorHAnsi" w:hAnsiTheme="minorHAnsi" w:cstheme="minorHAnsi"/>
                <w:b/>
                <w:sz w:val="22"/>
                <w:szCs w:val="22"/>
              </w:rPr>
            </w:pPr>
            <w:r w:rsidRPr="003D5FB5">
              <w:rPr>
                <w:rFonts w:asciiTheme="minorHAnsi" w:eastAsia="Segoe UI Semibold" w:hAnsiTheme="minorHAnsi" w:cstheme="minorHAnsi"/>
                <w:b/>
                <w:bCs/>
                <w:sz w:val="22"/>
                <w:szCs w:val="22"/>
              </w:rPr>
              <w:t>Description</w:t>
            </w:r>
          </w:p>
        </w:tc>
        <w:tc>
          <w:tcPr>
            <w:tcW w:w="749" w:type="dxa"/>
            <w:tcBorders>
              <w:top w:val="single" w:sz="4" w:space="0" w:color="000000"/>
              <w:left w:val="single" w:sz="4" w:space="0" w:color="000000"/>
              <w:bottom w:val="single" w:sz="4" w:space="0" w:color="000000"/>
              <w:right w:val="single" w:sz="4" w:space="0" w:color="000000"/>
            </w:tcBorders>
            <w:shd w:val="clear" w:color="auto" w:fill="95B3D7" w:themeFill="accent1" w:themeFillTint="99"/>
            <w:vAlign w:val="center"/>
          </w:tcPr>
          <w:p w14:paraId="5266307B" w14:textId="77777777" w:rsidR="002F0A87" w:rsidRPr="003D5FB5" w:rsidRDefault="002F0A87" w:rsidP="002F0A87">
            <w:pPr>
              <w:spacing w:line="360" w:lineRule="auto"/>
              <w:jc w:val="center"/>
              <w:rPr>
                <w:rFonts w:asciiTheme="minorHAnsi" w:hAnsiTheme="minorHAnsi" w:cstheme="minorHAnsi"/>
                <w:b/>
                <w:sz w:val="22"/>
                <w:szCs w:val="22"/>
              </w:rPr>
            </w:pPr>
            <w:r w:rsidRPr="003D5FB5">
              <w:rPr>
                <w:rFonts w:asciiTheme="minorHAnsi" w:eastAsia="Segoe UI Semibold" w:hAnsiTheme="minorHAnsi" w:cstheme="minorHAnsi"/>
                <w:b/>
                <w:bCs/>
                <w:sz w:val="22"/>
                <w:szCs w:val="22"/>
              </w:rPr>
              <w:t>UOM</w:t>
            </w:r>
          </w:p>
        </w:tc>
        <w:tc>
          <w:tcPr>
            <w:tcW w:w="942" w:type="dxa"/>
            <w:tcBorders>
              <w:top w:val="single" w:sz="4" w:space="0" w:color="000000"/>
              <w:left w:val="single" w:sz="4" w:space="0" w:color="000000"/>
              <w:bottom w:val="single" w:sz="4" w:space="0" w:color="000000"/>
              <w:right w:val="single" w:sz="4" w:space="0" w:color="000000"/>
            </w:tcBorders>
            <w:shd w:val="clear" w:color="auto" w:fill="95B3D7" w:themeFill="accent1" w:themeFillTint="99"/>
            <w:vAlign w:val="center"/>
          </w:tcPr>
          <w:p w14:paraId="355EC603" w14:textId="77777777" w:rsidR="002F0A87" w:rsidRPr="003D5FB5" w:rsidRDefault="002F0A87" w:rsidP="002F0A87">
            <w:pPr>
              <w:spacing w:line="360" w:lineRule="auto"/>
              <w:jc w:val="center"/>
              <w:rPr>
                <w:rFonts w:asciiTheme="minorHAnsi" w:hAnsiTheme="minorHAnsi" w:cstheme="minorHAnsi"/>
                <w:b/>
                <w:sz w:val="22"/>
                <w:szCs w:val="22"/>
              </w:rPr>
            </w:pPr>
            <w:r w:rsidRPr="003D5FB5">
              <w:rPr>
                <w:rFonts w:asciiTheme="minorHAnsi" w:eastAsia="Segoe UI Semibold" w:hAnsiTheme="minorHAnsi" w:cstheme="minorHAnsi"/>
                <w:b/>
                <w:bCs/>
                <w:sz w:val="22"/>
                <w:szCs w:val="22"/>
              </w:rPr>
              <w:t>FY-22</w:t>
            </w:r>
          </w:p>
        </w:tc>
        <w:tc>
          <w:tcPr>
            <w:tcW w:w="907" w:type="dxa"/>
            <w:tcBorders>
              <w:top w:val="single" w:sz="4" w:space="0" w:color="000000"/>
              <w:left w:val="single" w:sz="4" w:space="0" w:color="000000"/>
              <w:bottom w:val="single" w:sz="4" w:space="0" w:color="000000"/>
              <w:right w:val="single" w:sz="4" w:space="0" w:color="000000"/>
            </w:tcBorders>
            <w:shd w:val="clear" w:color="auto" w:fill="95B3D7" w:themeFill="accent1" w:themeFillTint="99"/>
            <w:vAlign w:val="center"/>
          </w:tcPr>
          <w:p w14:paraId="0FDF2713" w14:textId="77777777" w:rsidR="002F0A87" w:rsidRPr="003D5FB5" w:rsidRDefault="002F0A87" w:rsidP="002F0A87">
            <w:pPr>
              <w:spacing w:line="360" w:lineRule="auto"/>
              <w:jc w:val="center"/>
              <w:rPr>
                <w:rFonts w:asciiTheme="minorHAnsi" w:hAnsiTheme="minorHAnsi" w:cstheme="minorHAnsi"/>
                <w:b/>
                <w:sz w:val="22"/>
                <w:szCs w:val="22"/>
              </w:rPr>
            </w:pPr>
            <w:r w:rsidRPr="003D5FB5">
              <w:rPr>
                <w:rFonts w:asciiTheme="minorHAnsi" w:eastAsia="Segoe UI Semibold" w:hAnsiTheme="minorHAnsi" w:cstheme="minorHAnsi"/>
                <w:b/>
                <w:bCs/>
                <w:sz w:val="22"/>
                <w:szCs w:val="22"/>
              </w:rPr>
              <w:t>FY-23</w:t>
            </w:r>
          </w:p>
        </w:tc>
        <w:tc>
          <w:tcPr>
            <w:tcW w:w="1057" w:type="dxa"/>
            <w:tcBorders>
              <w:top w:val="single" w:sz="4" w:space="0" w:color="000000"/>
              <w:left w:val="single" w:sz="4" w:space="0" w:color="000000"/>
              <w:bottom w:val="single" w:sz="4" w:space="0" w:color="000000"/>
              <w:right w:val="single" w:sz="4" w:space="0" w:color="000000"/>
            </w:tcBorders>
            <w:shd w:val="clear" w:color="auto" w:fill="95B3D7" w:themeFill="accent1" w:themeFillTint="99"/>
            <w:vAlign w:val="center"/>
          </w:tcPr>
          <w:p w14:paraId="7EEAD067" w14:textId="77777777" w:rsidR="002F0A87" w:rsidRPr="003D5FB5" w:rsidRDefault="002F0A87" w:rsidP="002F0A87">
            <w:pPr>
              <w:spacing w:line="360" w:lineRule="auto"/>
              <w:jc w:val="center"/>
              <w:rPr>
                <w:rFonts w:asciiTheme="minorHAnsi" w:hAnsiTheme="minorHAnsi" w:cstheme="minorHAnsi"/>
                <w:b/>
                <w:sz w:val="22"/>
                <w:szCs w:val="22"/>
              </w:rPr>
            </w:pPr>
            <w:r w:rsidRPr="003D5FB5">
              <w:rPr>
                <w:rFonts w:asciiTheme="minorHAnsi" w:eastAsia="Segoe UI Semibold" w:hAnsiTheme="minorHAnsi" w:cstheme="minorHAnsi"/>
                <w:b/>
                <w:bCs/>
                <w:sz w:val="22"/>
                <w:szCs w:val="22"/>
              </w:rPr>
              <w:t>FY24</w:t>
            </w:r>
          </w:p>
        </w:tc>
        <w:tc>
          <w:tcPr>
            <w:tcW w:w="1379" w:type="dxa"/>
            <w:tcBorders>
              <w:top w:val="single" w:sz="4" w:space="0" w:color="000000"/>
              <w:left w:val="single" w:sz="4" w:space="0" w:color="000000"/>
              <w:bottom w:val="single" w:sz="4" w:space="0" w:color="000000"/>
              <w:right w:val="single" w:sz="4" w:space="0" w:color="000000"/>
            </w:tcBorders>
            <w:shd w:val="clear" w:color="auto" w:fill="95B3D7" w:themeFill="accent1" w:themeFillTint="99"/>
            <w:vAlign w:val="center"/>
          </w:tcPr>
          <w:p w14:paraId="1149EAB8" w14:textId="77777777" w:rsidR="002F0A87" w:rsidRPr="003D5FB5" w:rsidRDefault="002F0A87" w:rsidP="002F0A87">
            <w:pPr>
              <w:spacing w:line="360" w:lineRule="auto"/>
              <w:jc w:val="center"/>
              <w:rPr>
                <w:rFonts w:asciiTheme="minorHAnsi" w:hAnsiTheme="minorHAnsi" w:cstheme="minorHAnsi"/>
                <w:b/>
                <w:sz w:val="22"/>
                <w:szCs w:val="22"/>
              </w:rPr>
            </w:pPr>
            <w:r w:rsidRPr="003D5FB5">
              <w:rPr>
                <w:rFonts w:asciiTheme="minorHAnsi" w:eastAsia="Segoe UI Semibold" w:hAnsiTheme="minorHAnsi" w:cstheme="minorHAnsi"/>
                <w:b/>
                <w:bCs/>
                <w:sz w:val="22"/>
                <w:szCs w:val="22"/>
              </w:rPr>
              <w:t>Remarks</w:t>
            </w:r>
          </w:p>
        </w:tc>
      </w:tr>
      <w:tr w:rsidR="002F0A87" w:rsidRPr="003D5FB5" w14:paraId="06226EC5" w14:textId="77777777" w:rsidTr="00EA573A">
        <w:trPr>
          <w:trHeight w:val="496"/>
        </w:trPr>
        <w:tc>
          <w:tcPr>
            <w:tcW w:w="905"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2E8A3C38" w14:textId="77777777" w:rsidR="002F0A87" w:rsidRPr="003D5FB5" w:rsidRDefault="002F0A87" w:rsidP="002F0A87">
            <w:pPr>
              <w:spacing w:line="360" w:lineRule="auto"/>
              <w:jc w:val="center"/>
              <w:rPr>
                <w:rFonts w:asciiTheme="minorHAnsi" w:hAnsiTheme="minorHAnsi" w:cstheme="minorHAnsi"/>
                <w:sz w:val="22"/>
                <w:szCs w:val="22"/>
              </w:rPr>
            </w:pPr>
            <w:r w:rsidRPr="003D5FB5">
              <w:rPr>
                <w:rFonts w:asciiTheme="minorHAnsi" w:eastAsia="Segoe UI Semibold" w:hAnsiTheme="minorHAnsi" w:cstheme="minorHAnsi"/>
                <w:sz w:val="22"/>
                <w:szCs w:val="22"/>
              </w:rPr>
              <w:t>1</w:t>
            </w:r>
          </w:p>
        </w:tc>
        <w:tc>
          <w:tcPr>
            <w:tcW w:w="2991"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08350923" w14:textId="77777777" w:rsidR="002F0A87" w:rsidRPr="003D5FB5" w:rsidRDefault="002F0A87" w:rsidP="002F0A87">
            <w:pPr>
              <w:spacing w:line="360" w:lineRule="auto"/>
              <w:jc w:val="both"/>
              <w:rPr>
                <w:rFonts w:asciiTheme="minorHAnsi" w:hAnsiTheme="minorHAnsi" w:cstheme="minorHAnsi"/>
                <w:sz w:val="22"/>
                <w:szCs w:val="22"/>
              </w:rPr>
            </w:pPr>
            <w:r w:rsidRPr="003D5FB5">
              <w:rPr>
                <w:rFonts w:asciiTheme="minorHAnsi" w:eastAsia="Segoe UI Semibold" w:hAnsiTheme="minorHAnsi" w:cstheme="minorHAnsi"/>
                <w:sz w:val="22"/>
                <w:szCs w:val="22"/>
              </w:rPr>
              <w:t>Project "NAVIKARAN" PTR Overhauling</w:t>
            </w:r>
          </w:p>
        </w:tc>
        <w:tc>
          <w:tcPr>
            <w:tcW w:w="749"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75AC408E" w14:textId="77777777" w:rsidR="002F0A87" w:rsidRPr="003D5FB5" w:rsidRDefault="002F0A87" w:rsidP="002F0A87">
            <w:pPr>
              <w:spacing w:line="360" w:lineRule="auto"/>
              <w:jc w:val="center"/>
              <w:rPr>
                <w:rFonts w:asciiTheme="minorHAnsi" w:hAnsiTheme="minorHAnsi" w:cstheme="minorHAnsi"/>
                <w:sz w:val="22"/>
                <w:szCs w:val="22"/>
              </w:rPr>
            </w:pPr>
            <w:r w:rsidRPr="003D5FB5">
              <w:rPr>
                <w:rFonts w:asciiTheme="minorHAnsi" w:eastAsia="Segoe UI Semibold" w:hAnsiTheme="minorHAnsi" w:cstheme="minorHAnsi"/>
                <w:sz w:val="22"/>
                <w:szCs w:val="22"/>
              </w:rPr>
              <w:t>No's</w:t>
            </w:r>
          </w:p>
        </w:tc>
        <w:tc>
          <w:tcPr>
            <w:tcW w:w="942"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6C35744E" w14:textId="77777777" w:rsidR="002F0A87" w:rsidRPr="003D5FB5" w:rsidRDefault="002F0A87" w:rsidP="002F0A87">
            <w:pPr>
              <w:spacing w:line="360" w:lineRule="auto"/>
              <w:jc w:val="center"/>
              <w:rPr>
                <w:rFonts w:asciiTheme="minorHAnsi" w:hAnsiTheme="minorHAnsi" w:cstheme="minorHAnsi"/>
                <w:sz w:val="22"/>
                <w:szCs w:val="22"/>
              </w:rPr>
            </w:pPr>
            <w:r w:rsidRPr="003D5FB5">
              <w:rPr>
                <w:rFonts w:asciiTheme="minorHAnsi" w:eastAsia="Segoe UI Semibold" w:hAnsiTheme="minorHAnsi" w:cstheme="minorHAnsi"/>
                <w:sz w:val="22"/>
                <w:szCs w:val="22"/>
              </w:rPr>
              <w:t>24</w:t>
            </w:r>
          </w:p>
        </w:tc>
        <w:tc>
          <w:tcPr>
            <w:tcW w:w="907"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59BBC3C1" w14:textId="77777777" w:rsidR="002F0A87" w:rsidRPr="003D5FB5" w:rsidRDefault="002F0A87" w:rsidP="002F0A87">
            <w:pPr>
              <w:spacing w:line="360" w:lineRule="auto"/>
              <w:jc w:val="center"/>
              <w:rPr>
                <w:rFonts w:asciiTheme="minorHAnsi" w:hAnsiTheme="minorHAnsi" w:cstheme="minorHAnsi"/>
                <w:sz w:val="22"/>
                <w:szCs w:val="22"/>
              </w:rPr>
            </w:pPr>
            <w:r w:rsidRPr="003D5FB5">
              <w:rPr>
                <w:rFonts w:asciiTheme="minorHAnsi" w:eastAsia="Segoe UI Semibold" w:hAnsiTheme="minorHAnsi" w:cstheme="minorHAnsi"/>
                <w:sz w:val="22"/>
                <w:szCs w:val="22"/>
              </w:rPr>
              <w:t>47</w:t>
            </w:r>
          </w:p>
        </w:tc>
        <w:tc>
          <w:tcPr>
            <w:tcW w:w="1057"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1351A0DA" w14:textId="77777777" w:rsidR="002F0A87" w:rsidRPr="003D5FB5" w:rsidRDefault="002F0A87" w:rsidP="002F0A87">
            <w:pPr>
              <w:spacing w:line="360" w:lineRule="auto"/>
              <w:jc w:val="center"/>
              <w:rPr>
                <w:rFonts w:asciiTheme="minorHAnsi" w:hAnsiTheme="minorHAnsi" w:cstheme="minorHAnsi"/>
                <w:sz w:val="22"/>
                <w:szCs w:val="22"/>
              </w:rPr>
            </w:pPr>
            <w:r w:rsidRPr="003D5FB5">
              <w:rPr>
                <w:rFonts w:asciiTheme="minorHAnsi" w:eastAsia="Segoe UI Semibold" w:hAnsiTheme="minorHAnsi" w:cstheme="minorHAnsi"/>
                <w:sz w:val="22"/>
                <w:szCs w:val="22"/>
              </w:rPr>
              <w:t>39</w:t>
            </w:r>
          </w:p>
        </w:tc>
        <w:tc>
          <w:tcPr>
            <w:tcW w:w="1379"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3D948797" w14:textId="77777777" w:rsidR="002F0A87" w:rsidRPr="003D5FB5" w:rsidRDefault="002F0A87" w:rsidP="002F0A87">
            <w:pPr>
              <w:spacing w:line="360" w:lineRule="auto"/>
              <w:jc w:val="center"/>
              <w:rPr>
                <w:rFonts w:asciiTheme="minorHAnsi" w:hAnsiTheme="minorHAnsi" w:cstheme="minorHAnsi"/>
                <w:sz w:val="22"/>
                <w:szCs w:val="22"/>
              </w:rPr>
            </w:pPr>
          </w:p>
        </w:tc>
      </w:tr>
      <w:tr w:rsidR="002F0A87" w:rsidRPr="003D5FB5" w14:paraId="1CCC9E25" w14:textId="77777777" w:rsidTr="00EA573A">
        <w:trPr>
          <w:trHeight w:val="252"/>
        </w:trPr>
        <w:tc>
          <w:tcPr>
            <w:tcW w:w="905"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720036E8" w14:textId="77777777" w:rsidR="002F0A87" w:rsidRPr="003D5FB5" w:rsidRDefault="002F0A87" w:rsidP="002F0A87">
            <w:pPr>
              <w:spacing w:line="360" w:lineRule="auto"/>
              <w:jc w:val="center"/>
              <w:rPr>
                <w:rFonts w:asciiTheme="minorHAnsi" w:hAnsiTheme="minorHAnsi" w:cstheme="minorHAnsi"/>
                <w:sz w:val="22"/>
                <w:szCs w:val="22"/>
              </w:rPr>
            </w:pPr>
            <w:r w:rsidRPr="003D5FB5">
              <w:rPr>
                <w:rFonts w:asciiTheme="minorHAnsi" w:eastAsia="Segoe UI Semibold" w:hAnsiTheme="minorHAnsi" w:cstheme="minorHAnsi"/>
                <w:sz w:val="22"/>
                <w:szCs w:val="22"/>
              </w:rPr>
              <w:t>2</w:t>
            </w:r>
          </w:p>
        </w:tc>
        <w:tc>
          <w:tcPr>
            <w:tcW w:w="2991"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0D475D18" w14:textId="77777777" w:rsidR="002F0A87" w:rsidRPr="003D5FB5" w:rsidRDefault="002F0A87" w:rsidP="002F0A87">
            <w:pPr>
              <w:spacing w:line="360" w:lineRule="auto"/>
              <w:jc w:val="both"/>
              <w:rPr>
                <w:rFonts w:asciiTheme="minorHAnsi" w:hAnsiTheme="minorHAnsi" w:cstheme="minorHAnsi"/>
                <w:sz w:val="22"/>
                <w:szCs w:val="22"/>
              </w:rPr>
            </w:pPr>
            <w:r w:rsidRPr="003D5FB5">
              <w:rPr>
                <w:rFonts w:asciiTheme="minorHAnsi" w:eastAsia="Segoe UI Semibold" w:hAnsiTheme="minorHAnsi" w:cstheme="minorHAnsi"/>
                <w:sz w:val="22"/>
                <w:szCs w:val="22"/>
              </w:rPr>
              <w:t>Relay Setting Coordination</w:t>
            </w:r>
          </w:p>
        </w:tc>
        <w:tc>
          <w:tcPr>
            <w:tcW w:w="749"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05CB0A1C" w14:textId="77777777" w:rsidR="002F0A87" w:rsidRPr="003D5FB5" w:rsidRDefault="002F0A87" w:rsidP="002F0A87">
            <w:pPr>
              <w:spacing w:line="360" w:lineRule="auto"/>
              <w:jc w:val="center"/>
              <w:rPr>
                <w:rFonts w:asciiTheme="minorHAnsi" w:hAnsiTheme="minorHAnsi" w:cstheme="minorHAnsi"/>
                <w:sz w:val="22"/>
                <w:szCs w:val="22"/>
              </w:rPr>
            </w:pPr>
            <w:r w:rsidRPr="003D5FB5">
              <w:rPr>
                <w:rFonts w:asciiTheme="minorHAnsi" w:eastAsia="Segoe UI Semibold" w:hAnsiTheme="minorHAnsi" w:cstheme="minorHAnsi"/>
                <w:sz w:val="22"/>
                <w:szCs w:val="22"/>
              </w:rPr>
              <w:t>%</w:t>
            </w:r>
          </w:p>
        </w:tc>
        <w:tc>
          <w:tcPr>
            <w:tcW w:w="942"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594F83FA" w14:textId="77777777" w:rsidR="002F0A87" w:rsidRPr="003D5FB5" w:rsidRDefault="002F0A87" w:rsidP="002F0A87">
            <w:pPr>
              <w:spacing w:line="360" w:lineRule="auto"/>
              <w:jc w:val="center"/>
              <w:rPr>
                <w:rFonts w:asciiTheme="minorHAnsi" w:hAnsiTheme="minorHAnsi" w:cstheme="minorHAnsi"/>
                <w:sz w:val="22"/>
                <w:szCs w:val="22"/>
              </w:rPr>
            </w:pPr>
            <w:r w:rsidRPr="003D5FB5">
              <w:rPr>
                <w:rFonts w:asciiTheme="minorHAnsi" w:eastAsia="Segoe UI Semibold" w:hAnsiTheme="minorHAnsi" w:cstheme="minorHAnsi"/>
                <w:sz w:val="22"/>
                <w:szCs w:val="22"/>
              </w:rPr>
              <w:t>16</w:t>
            </w:r>
          </w:p>
        </w:tc>
        <w:tc>
          <w:tcPr>
            <w:tcW w:w="907"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5A86E350" w14:textId="77777777" w:rsidR="002F0A87" w:rsidRPr="003D5FB5" w:rsidRDefault="002F0A87" w:rsidP="002F0A87">
            <w:pPr>
              <w:spacing w:line="360" w:lineRule="auto"/>
              <w:jc w:val="center"/>
              <w:rPr>
                <w:rFonts w:asciiTheme="minorHAnsi" w:hAnsiTheme="minorHAnsi" w:cstheme="minorHAnsi"/>
                <w:sz w:val="22"/>
                <w:szCs w:val="22"/>
              </w:rPr>
            </w:pPr>
            <w:r w:rsidRPr="003D5FB5">
              <w:rPr>
                <w:rFonts w:asciiTheme="minorHAnsi" w:eastAsia="Segoe UI Semibold" w:hAnsiTheme="minorHAnsi" w:cstheme="minorHAnsi"/>
                <w:sz w:val="22"/>
                <w:szCs w:val="22"/>
              </w:rPr>
              <w:t>40</w:t>
            </w:r>
          </w:p>
        </w:tc>
        <w:tc>
          <w:tcPr>
            <w:tcW w:w="1057"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03CB5792" w14:textId="77777777" w:rsidR="002F0A87" w:rsidRPr="003D5FB5" w:rsidRDefault="002F0A87" w:rsidP="002F0A87">
            <w:pPr>
              <w:spacing w:line="360" w:lineRule="auto"/>
              <w:jc w:val="center"/>
              <w:rPr>
                <w:rFonts w:asciiTheme="minorHAnsi" w:hAnsiTheme="minorHAnsi" w:cstheme="minorHAnsi"/>
                <w:sz w:val="22"/>
                <w:szCs w:val="22"/>
              </w:rPr>
            </w:pPr>
            <w:r w:rsidRPr="003D5FB5">
              <w:rPr>
                <w:rFonts w:asciiTheme="minorHAnsi" w:eastAsia="Segoe UI Semibold" w:hAnsiTheme="minorHAnsi" w:cstheme="minorHAnsi"/>
                <w:sz w:val="22"/>
                <w:szCs w:val="22"/>
              </w:rPr>
              <w:t>65</w:t>
            </w:r>
          </w:p>
        </w:tc>
        <w:tc>
          <w:tcPr>
            <w:tcW w:w="1379"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2AEB37E9" w14:textId="77777777" w:rsidR="002F0A87" w:rsidRPr="003D5FB5" w:rsidRDefault="002F0A87" w:rsidP="002F0A87">
            <w:pPr>
              <w:spacing w:line="360" w:lineRule="auto"/>
              <w:jc w:val="center"/>
              <w:rPr>
                <w:rFonts w:asciiTheme="minorHAnsi" w:hAnsiTheme="minorHAnsi" w:cstheme="minorHAnsi"/>
                <w:sz w:val="22"/>
                <w:szCs w:val="22"/>
              </w:rPr>
            </w:pPr>
          </w:p>
        </w:tc>
      </w:tr>
      <w:tr w:rsidR="002F0A87" w:rsidRPr="003D5FB5" w14:paraId="09005D61" w14:textId="77777777" w:rsidTr="00EA573A">
        <w:trPr>
          <w:trHeight w:val="252"/>
        </w:trPr>
        <w:tc>
          <w:tcPr>
            <w:tcW w:w="905"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70DBA344" w14:textId="77777777" w:rsidR="002F0A87" w:rsidRPr="003D5FB5" w:rsidRDefault="002F0A87" w:rsidP="002F0A87">
            <w:pPr>
              <w:spacing w:line="360" w:lineRule="auto"/>
              <w:jc w:val="center"/>
              <w:rPr>
                <w:rFonts w:asciiTheme="minorHAnsi" w:hAnsiTheme="minorHAnsi" w:cstheme="minorHAnsi"/>
                <w:sz w:val="22"/>
                <w:szCs w:val="22"/>
              </w:rPr>
            </w:pPr>
            <w:r w:rsidRPr="003D5FB5">
              <w:rPr>
                <w:rFonts w:asciiTheme="minorHAnsi" w:eastAsia="Segoe UI Semibold" w:hAnsiTheme="minorHAnsi" w:cstheme="minorHAnsi"/>
                <w:sz w:val="22"/>
                <w:szCs w:val="22"/>
              </w:rPr>
              <w:t>3</w:t>
            </w:r>
          </w:p>
        </w:tc>
        <w:tc>
          <w:tcPr>
            <w:tcW w:w="2991"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35135FE4" w14:textId="77777777" w:rsidR="002F0A87" w:rsidRPr="003D5FB5" w:rsidRDefault="002F0A87" w:rsidP="002F0A87">
            <w:pPr>
              <w:spacing w:line="360" w:lineRule="auto"/>
              <w:jc w:val="both"/>
              <w:rPr>
                <w:rFonts w:asciiTheme="minorHAnsi" w:hAnsiTheme="minorHAnsi" w:cstheme="minorHAnsi"/>
                <w:sz w:val="22"/>
                <w:szCs w:val="22"/>
              </w:rPr>
            </w:pPr>
            <w:r w:rsidRPr="003D5FB5">
              <w:rPr>
                <w:rFonts w:asciiTheme="minorHAnsi" w:eastAsia="Segoe UI Semibold" w:hAnsiTheme="minorHAnsi" w:cstheme="minorHAnsi"/>
                <w:sz w:val="22"/>
                <w:szCs w:val="22"/>
              </w:rPr>
              <w:t>11KV Metering Work</w:t>
            </w:r>
          </w:p>
        </w:tc>
        <w:tc>
          <w:tcPr>
            <w:tcW w:w="749"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43526ECB" w14:textId="77777777" w:rsidR="002F0A87" w:rsidRPr="003D5FB5" w:rsidRDefault="002F0A87" w:rsidP="002F0A87">
            <w:pPr>
              <w:spacing w:line="360" w:lineRule="auto"/>
              <w:jc w:val="center"/>
              <w:rPr>
                <w:rFonts w:asciiTheme="minorHAnsi" w:hAnsiTheme="minorHAnsi" w:cstheme="minorHAnsi"/>
                <w:sz w:val="22"/>
                <w:szCs w:val="22"/>
              </w:rPr>
            </w:pPr>
            <w:r w:rsidRPr="003D5FB5">
              <w:rPr>
                <w:rFonts w:asciiTheme="minorHAnsi" w:eastAsia="Segoe UI Semibold" w:hAnsiTheme="minorHAnsi" w:cstheme="minorHAnsi"/>
                <w:sz w:val="22"/>
                <w:szCs w:val="22"/>
              </w:rPr>
              <w:t>No's</w:t>
            </w:r>
          </w:p>
        </w:tc>
        <w:tc>
          <w:tcPr>
            <w:tcW w:w="942"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4C7127BB" w14:textId="77777777" w:rsidR="002F0A87" w:rsidRPr="003D5FB5" w:rsidRDefault="002F0A87" w:rsidP="002F0A87">
            <w:pPr>
              <w:spacing w:line="360" w:lineRule="auto"/>
              <w:jc w:val="center"/>
              <w:rPr>
                <w:rFonts w:asciiTheme="minorHAnsi" w:hAnsiTheme="minorHAnsi" w:cstheme="minorHAnsi"/>
                <w:sz w:val="22"/>
                <w:szCs w:val="22"/>
              </w:rPr>
            </w:pPr>
            <w:r w:rsidRPr="003D5FB5">
              <w:rPr>
                <w:rFonts w:asciiTheme="minorHAnsi" w:eastAsia="Segoe UI Semibold" w:hAnsiTheme="minorHAnsi" w:cstheme="minorHAnsi"/>
                <w:sz w:val="22"/>
                <w:szCs w:val="22"/>
              </w:rPr>
              <w:t>NA</w:t>
            </w:r>
          </w:p>
        </w:tc>
        <w:tc>
          <w:tcPr>
            <w:tcW w:w="907"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2C0DFD70" w14:textId="77777777" w:rsidR="002F0A87" w:rsidRPr="003D5FB5" w:rsidRDefault="002F0A87" w:rsidP="002F0A87">
            <w:pPr>
              <w:spacing w:line="360" w:lineRule="auto"/>
              <w:jc w:val="center"/>
              <w:rPr>
                <w:rFonts w:asciiTheme="minorHAnsi" w:hAnsiTheme="minorHAnsi" w:cstheme="minorHAnsi"/>
                <w:sz w:val="22"/>
                <w:szCs w:val="22"/>
              </w:rPr>
            </w:pPr>
            <w:r w:rsidRPr="003D5FB5">
              <w:rPr>
                <w:rFonts w:asciiTheme="minorHAnsi" w:eastAsia="Segoe UI Semibold" w:hAnsiTheme="minorHAnsi" w:cstheme="minorHAnsi"/>
                <w:sz w:val="22"/>
                <w:szCs w:val="22"/>
              </w:rPr>
              <w:t>776</w:t>
            </w:r>
          </w:p>
        </w:tc>
        <w:tc>
          <w:tcPr>
            <w:tcW w:w="1057"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2FC0769F" w14:textId="77777777" w:rsidR="002F0A87" w:rsidRPr="003D5FB5" w:rsidRDefault="002F0A87" w:rsidP="002F0A87">
            <w:pPr>
              <w:spacing w:line="360" w:lineRule="auto"/>
              <w:jc w:val="center"/>
              <w:rPr>
                <w:rFonts w:asciiTheme="minorHAnsi" w:hAnsiTheme="minorHAnsi" w:cstheme="minorHAnsi"/>
                <w:sz w:val="22"/>
                <w:szCs w:val="22"/>
              </w:rPr>
            </w:pPr>
            <w:r w:rsidRPr="003D5FB5">
              <w:rPr>
                <w:rFonts w:asciiTheme="minorHAnsi" w:eastAsia="Segoe UI Semibold" w:hAnsiTheme="minorHAnsi" w:cstheme="minorHAnsi"/>
                <w:sz w:val="22"/>
                <w:szCs w:val="22"/>
              </w:rPr>
              <w:t>NA</w:t>
            </w:r>
          </w:p>
        </w:tc>
        <w:tc>
          <w:tcPr>
            <w:tcW w:w="1379"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05938FCD" w14:textId="77777777" w:rsidR="002F0A87" w:rsidRPr="003D5FB5" w:rsidRDefault="002F0A87" w:rsidP="002F0A87">
            <w:pPr>
              <w:spacing w:line="360" w:lineRule="auto"/>
              <w:jc w:val="center"/>
              <w:rPr>
                <w:rFonts w:asciiTheme="minorHAnsi" w:hAnsiTheme="minorHAnsi" w:cstheme="minorHAnsi"/>
                <w:sz w:val="22"/>
                <w:szCs w:val="22"/>
              </w:rPr>
            </w:pPr>
            <w:r w:rsidRPr="003D5FB5">
              <w:rPr>
                <w:rFonts w:asciiTheme="minorHAnsi" w:eastAsia="Segoe UI Semibold" w:hAnsiTheme="minorHAnsi" w:cstheme="minorHAnsi"/>
                <w:sz w:val="22"/>
                <w:szCs w:val="22"/>
              </w:rPr>
              <w:t>All Completed</w:t>
            </w:r>
          </w:p>
        </w:tc>
      </w:tr>
      <w:tr w:rsidR="002F0A87" w:rsidRPr="003D5FB5" w14:paraId="573FA97E" w14:textId="77777777" w:rsidTr="00EA573A">
        <w:trPr>
          <w:trHeight w:val="252"/>
        </w:trPr>
        <w:tc>
          <w:tcPr>
            <w:tcW w:w="905"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6E0B04AA" w14:textId="77777777" w:rsidR="002F0A87" w:rsidRPr="003D5FB5" w:rsidRDefault="002F0A87" w:rsidP="002F0A87">
            <w:pPr>
              <w:spacing w:line="360" w:lineRule="auto"/>
              <w:jc w:val="center"/>
              <w:rPr>
                <w:rFonts w:asciiTheme="minorHAnsi" w:hAnsiTheme="minorHAnsi" w:cstheme="minorHAnsi"/>
                <w:sz w:val="22"/>
                <w:szCs w:val="22"/>
              </w:rPr>
            </w:pPr>
            <w:r w:rsidRPr="003D5FB5">
              <w:rPr>
                <w:rFonts w:asciiTheme="minorHAnsi" w:eastAsia="Segoe UI Semibold" w:hAnsiTheme="minorHAnsi" w:cstheme="minorHAnsi"/>
                <w:sz w:val="22"/>
                <w:szCs w:val="22"/>
              </w:rPr>
              <w:t>4</w:t>
            </w:r>
          </w:p>
        </w:tc>
        <w:tc>
          <w:tcPr>
            <w:tcW w:w="2991"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37BED0F7" w14:textId="77777777" w:rsidR="002F0A87" w:rsidRPr="003D5FB5" w:rsidRDefault="002F0A87" w:rsidP="002F0A87">
            <w:pPr>
              <w:spacing w:line="360" w:lineRule="auto"/>
              <w:jc w:val="both"/>
              <w:rPr>
                <w:rFonts w:asciiTheme="minorHAnsi" w:hAnsiTheme="minorHAnsi" w:cstheme="minorHAnsi"/>
                <w:sz w:val="22"/>
                <w:szCs w:val="22"/>
              </w:rPr>
            </w:pPr>
            <w:r w:rsidRPr="003D5FB5">
              <w:rPr>
                <w:rFonts w:asciiTheme="minorHAnsi" w:eastAsia="Segoe UI Semibold" w:hAnsiTheme="minorHAnsi" w:cstheme="minorHAnsi"/>
                <w:sz w:val="22"/>
                <w:szCs w:val="22"/>
              </w:rPr>
              <w:t>33KV Metering Work</w:t>
            </w:r>
          </w:p>
        </w:tc>
        <w:tc>
          <w:tcPr>
            <w:tcW w:w="749"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2E635A17" w14:textId="77777777" w:rsidR="002F0A87" w:rsidRPr="003D5FB5" w:rsidRDefault="002F0A87" w:rsidP="002F0A87">
            <w:pPr>
              <w:spacing w:line="360" w:lineRule="auto"/>
              <w:jc w:val="center"/>
              <w:rPr>
                <w:rFonts w:asciiTheme="minorHAnsi" w:hAnsiTheme="minorHAnsi" w:cstheme="minorHAnsi"/>
                <w:sz w:val="22"/>
                <w:szCs w:val="22"/>
              </w:rPr>
            </w:pPr>
            <w:r w:rsidRPr="003D5FB5">
              <w:rPr>
                <w:rFonts w:asciiTheme="minorHAnsi" w:eastAsia="Segoe UI Semibold" w:hAnsiTheme="minorHAnsi" w:cstheme="minorHAnsi"/>
                <w:sz w:val="22"/>
                <w:szCs w:val="22"/>
              </w:rPr>
              <w:t>No's</w:t>
            </w:r>
          </w:p>
        </w:tc>
        <w:tc>
          <w:tcPr>
            <w:tcW w:w="942"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3483ED56" w14:textId="77777777" w:rsidR="002F0A87" w:rsidRPr="003D5FB5" w:rsidRDefault="002F0A87" w:rsidP="002F0A87">
            <w:pPr>
              <w:spacing w:line="360" w:lineRule="auto"/>
              <w:jc w:val="center"/>
              <w:rPr>
                <w:rFonts w:asciiTheme="minorHAnsi" w:hAnsiTheme="minorHAnsi" w:cstheme="minorHAnsi"/>
                <w:sz w:val="22"/>
                <w:szCs w:val="22"/>
              </w:rPr>
            </w:pPr>
            <w:r w:rsidRPr="003D5FB5">
              <w:rPr>
                <w:rFonts w:asciiTheme="minorHAnsi" w:eastAsia="Segoe UI Semibold" w:hAnsiTheme="minorHAnsi" w:cstheme="minorHAnsi"/>
                <w:sz w:val="22"/>
                <w:szCs w:val="22"/>
              </w:rPr>
              <w:t>NA</w:t>
            </w:r>
          </w:p>
        </w:tc>
        <w:tc>
          <w:tcPr>
            <w:tcW w:w="907"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4434D2EF" w14:textId="77777777" w:rsidR="002F0A87" w:rsidRPr="003D5FB5" w:rsidRDefault="002F0A87" w:rsidP="002F0A87">
            <w:pPr>
              <w:spacing w:line="360" w:lineRule="auto"/>
              <w:jc w:val="center"/>
              <w:rPr>
                <w:rFonts w:asciiTheme="minorHAnsi" w:hAnsiTheme="minorHAnsi" w:cstheme="minorHAnsi"/>
                <w:sz w:val="22"/>
                <w:szCs w:val="22"/>
              </w:rPr>
            </w:pPr>
            <w:r w:rsidRPr="003D5FB5">
              <w:rPr>
                <w:rFonts w:asciiTheme="minorHAnsi" w:eastAsia="Segoe UI Semibold" w:hAnsiTheme="minorHAnsi" w:cstheme="minorHAnsi"/>
                <w:sz w:val="22"/>
                <w:szCs w:val="22"/>
              </w:rPr>
              <w:t>222</w:t>
            </w:r>
          </w:p>
        </w:tc>
        <w:tc>
          <w:tcPr>
            <w:tcW w:w="1057"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398CFABC" w14:textId="77777777" w:rsidR="002F0A87" w:rsidRPr="003D5FB5" w:rsidRDefault="002F0A87" w:rsidP="002F0A87">
            <w:pPr>
              <w:spacing w:line="360" w:lineRule="auto"/>
              <w:jc w:val="center"/>
              <w:rPr>
                <w:rFonts w:asciiTheme="minorHAnsi" w:hAnsiTheme="minorHAnsi" w:cstheme="minorHAnsi"/>
                <w:sz w:val="22"/>
                <w:szCs w:val="22"/>
              </w:rPr>
            </w:pPr>
            <w:r w:rsidRPr="003D5FB5">
              <w:rPr>
                <w:rFonts w:asciiTheme="minorHAnsi" w:eastAsia="Segoe UI Semibold" w:hAnsiTheme="minorHAnsi" w:cstheme="minorHAnsi"/>
                <w:sz w:val="22"/>
                <w:szCs w:val="22"/>
              </w:rPr>
              <w:t>NA</w:t>
            </w:r>
          </w:p>
        </w:tc>
        <w:tc>
          <w:tcPr>
            <w:tcW w:w="1379"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707BC4F4" w14:textId="77777777" w:rsidR="002F0A87" w:rsidRPr="003D5FB5" w:rsidRDefault="002F0A87" w:rsidP="002F0A87">
            <w:pPr>
              <w:spacing w:line="360" w:lineRule="auto"/>
              <w:jc w:val="center"/>
              <w:rPr>
                <w:rFonts w:asciiTheme="minorHAnsi" w:hAnsiTheme="minorHAnsi" w:cstheme="minorHAnsi"/>
                <w:sz w:val="22"/>
                <w:szCs w:val="22"/>
              </w:rPr>
            </w:pPr>
            <w:r w:rsidRPr="003D5FB5">
              <w:rPr>
                <w:rFonts w:asciiTheme="minorHAnsi" w:eastAsia="Segoe UI Semibold" w:hAnsiTheme="minorHAnsi" w:cstheme="minorHAnsi"/>
                <w:sz w:val="22"/>
                <w:szCs w:val="22"/>
              </w:rPr>
              <w:t>All Completed</w:t>
            </w:r>
          </w:p>
        </w:tc>
      </w:tr>
      <w:tr w:rsidR="002F0A87" w:rsidRPr="003D5FB5" w14:paraId="0C0545BA" w14:textId="77777777" w:rsidTr="00EA573A">
        <w:trPr>
          <w:trHeight w:val="252"/>
        </w:trPr>
        <w:tc>
          <w:tcPr>
            <w:tcW w:w="905"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4056337F" w14:textId="77777777" w:rsidR="002F0A87" w:rsidRPr="003D5FB5" w:rsidRDefault="002F0A87" w:rsidP="002F0A87">
            <w:pPr>
              <w:spacing w:line="360" w:lineRule="auto"/>
              <w:jc w:val="center"/>
              <w:rPr>
                <w:rFonts w:asciiTheme="minorHAnsi" w:hAnsiTheme="minorHAnsi" w:cstheme="minorHAnsi"/>
                <w:sz w:val="22"/>
                <w:szCs w:val="22"/>
              </w:rPr>
            </w:pPr>
            <w:r w:rsidRPr="003D5FB5">
              <w:rPr>
                <w:rFonts w:asciiTheme="minorHAnsi" w:eastAsia="Segoe UI Semibold" w:hAnsiTheme="minorHAnsi" w:cstheme="minorHAnsi"/>
                <w:sz w:val="22"/>
                <w:szCs w:val="22"/>
              </w:rPr>
              <w:t>5</w:t>
            </w:r>
          </w:p>
        </w:tc>
        <w:tc>
          <w:tcPr>
            <w:tcW w:w="2991"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4602581E" w14:textId="77777777" w:rsidR="002F0A87" w:rsidRPr="003D5FB5" w:rsidRDefault="002F0A87" w:rsidP="002F0A87">
            <w:pPr>
              <w:spacing w:line="360" w:lineRule="auto"/>
              <w:jc w:val="both"/>
              <w:rPr>
                <w:rFonts w:asciiTheme="minorHAnsi" w:hAnsiTheme="minorHAnsi" w:cstheme="minorHAnsi"/>
                <w:sz w:val="22"/>
                <w:szCs w:val="22"/>
              </w:rPr>
            </w:pPr>
            <w:r w:rsidRPr="003D5FB5">
              <w:rPr>
                <w:rFonts w:asciiTheme="minorHAnsi" w:eastAsia="Segoe UI Semibold" w:hAnsiTheme="minorHAnsi" w:cstheme="minorHAnsi"/>
                <w:sz w:val="22"/>
                <w:szCs w:val="22"/>
              </w:rPr>
              <w:t>PTR Maintenance in SAP</w:t>
            </w:r>
          </w:p>
        </w:tc>
        <w:tc>
          <w:tcPr>
            <w:tcW w:w="749"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62FB4D97" w14:textId="77777777" w:rsidR="002F0A87" w:rsidRPr="003D5FB5" w:rsidRDefault="002F0A87" w:rsidP="002F0A87">
            <w:pPr>
              <w:spacing w:line="360" w:lineRule="auto"/>
              <w:jc w:val="center"/>
              <w:rPr>
                <w:rFonts w:asciiTheme="minorHAnsi" w:hAnsiTheme="minorHAnsi" w:cstheme="minorHAnsi"/>
                <w:sz w:val="22"/>
                <w:szCs w:val="22"/>
              </w:rPr>
            </w:pPr>
            <w:r w:rsidRPr="003D5FB5">
              <w:rPr>
                <w:rFonts w:asciiTheme="minorHAnsi" w:eastAsia="Segoe UI Semibold" w:hAnsiTheme="minorHAnsi" w:cstheme="minorHAnsi"/>
                <w:sz w:val="22"/>
                <w:szCs w:val="22"/>
              </w:rPr>
              <w:t>No's</w:t>
            </w:r>
          </w:p>
        </w:tc>
        <w:tc>
          <w:tcPr>
            <w:tcW w:w="942"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5DDC79C3" w14:textId="77777777" w:rsidR="002F0A87" w:rsidRPr="003D5FB5" w:rsidRDefault="002F0A87" w:rsidP="002F0A87">
            <w:pPr>
              <w:spacing w:line="360" w:lineRule="auto"/>
              <w:jc w:val="center"/>
              <w:rPr>
                <w:rFonts w:asciiTheme="minorHAnsi" w:hAnsiTheme="minorHAnsi" w:cstheme="minorHAnsi"/>
                <w:sz w:val="22"/>
                <w:szCs w:val="22"/>
              </w:rPr>
            </w:pPr>
            <w:r w:rsidRPr="003D5FB5">
              <w:rPr>
                <w:rFonts w:asciiTheme="minorHAnsi" w:eastAsia="Segoe UI Semibold" w:hAnsiTheme="minorHAnsi" w:cstheme="minorHAnsi"/>
                <w:sz w:val="22"/>
                <w:szCs w:val="22"/>
              </w:rPr>
              <w:t>NA</w:t>
            </w:r>
          </w:p>
        </w:tc>
        <w:tc>
          <w:tcPr>
            <w:tcW w:w="907"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6E381ADC" w14:textId="77777777" w:rsidR="002F0A87" w:rsidRPr="003D5FB5" w:rsidRDefault="002F0A87" w:rsidP="002F0A87">
            <w:pPr>
              <w:spacing w:line="360" w:lineRule="auto"/>
              <w:jc w:val="center"/>
              <w:rPr>
                <w:rFonts w:asciiTheme="minorHAnsi" w:hAnsiTheme="minorHAnsi" w:cstheme="minorHAnsi"/>
                <w:sz w:val="22"/>
                <w:szCs w:val="22"/>
              </w:rPr>
            </w:pPr>
            <w:r w:rsidRPr="003D5FB5">
              <w:rPr>
                <w:rFonts w:asciiTheme="minorHAnsi" w:eastAsia="Segoe UI Semibold" w:hAnsiTheme="minorHAnsi" w:cstheme="minorHAnsi"/>
                <w:sz w:val="22"/>
                <w:szCs w:val="22"/>
              </w:rPr>
              <w:t>515</w:t>
            </w:r>
          </w:p>
        </w:tc>
        <w:tc>
          <w:tcPr>
            <w:tcW w:w="1057"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796B4EC6" w14:textId="77777777" w:rsidR="002F0A87" w:rsidRPr="003D5FB5" w:rsidRDefault="002F0A87" w:rsidP="002F0A87">
            <w:pPr>
              <w:spacing w:line="360" w:lineRule="auto"/>
              <w:jc w:val="center"/>
              <w:rPr>
                <w:rFonts w:asciiTheme="minorHAnsi" w:hAnsiTheme="minorHAnsi" w:cstheme="minorHAnsi"/>
                <w:sz w:val="22"/>
                <w:szCs w:val="22"/>
              </w:rPr>
            </w:pPr>
            <w:r w:rsidRPr="003D5FB5">
              <w:rPr>
                <w:rFonts w:asciiTheme="minorHAnsi" w:eastAsia="Segoe UI Semibold" w:hAnsiTheme="minorHAnsi" w:cstheme="minorHAnsi"/>
                <w:sz w:val="22"/>
                <w:szCs w:val="22"/>
              </w:rPr>
              <w:t>544</w:t>
            </w:r>
          </w:p>
        </w:tc>
        <w:tc>
          <w:tcPr>
            <w:tcW w:w="1379"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24B9EEA7" w14:textId="77777777" w:rsidR="002F0A87" w:rsidRPr="003D5FB5" w:rsidRDefault="002F0A87" w:rsidP="002F0A87">
            <w:pPr>
              <w:spacing w:line="360" w:lineRule="auto"/>
              <w:jc w:val="center"/>
              <w:rPr>
                <w:rFonts w:asciiTheme="minorHAnsi" w:hAnsiTheme="minorHAnsi" w:cstheme="minorHAnsi"/>
                <w:sz w:val="22"/>
                <w:szCs w:val="22"/>
              </w:rPr>
            </w:pPr>
          </w:p>
        </w:tc>
      </w:tr>
      <w:tr w:rsidR="002F0A87" w:rsidRPr="003D5FB5" w14:paraId="7E4CC977" w14:textId="77777777" w:rsidTr="00EA573A">
        <w:trPr>
          <w:trHeight w:val="252"/>
        </w:trPr>
        <w:tc>
          <w:tcPr>
            <w:tcW w:w="905"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4150A7DE" w14:textId="77777777" w:rsidR="002F0A87" w:rsidRPr="003D5FB5" w:rsidRDefault="002F0A87" w:rsidP="002F0A87">
            <w:pPr>
              <w:spacing w:line="360" w:lineRule="auto"/>
              <w:jc w:val="center"/>
              <w:rPr>
                <w:rFonts w:asciiTheme="minorHAnsi" w:hAnsiTheme="minorHAnsi" w:cstheme="minorHAnsi"/>
                <w:sz w:val="22"/>
                <w:szCs w:val="22"/>
              </w:rPr>
            </w:pPr>
            <w:r w:rsidRPr="003D5FB5">
              <w:rPr>
                <w:rFonts w:asciiTheme="minorHAnsi" w:eastAsia="Segoe UI Semibold" w:hAnsiTheme="minorHAnsi" w:cstheme="minorHAnsi"/>
                <w:sz w:val="22"/>
                <w:szCs w:val="22"/>
              </w:rPr>
              <w:t>6</w:t>
            </w:r>
          </w:p>
        </w:tc>
        <w:tc>
          <w:tcPr>
            <w:tcW w:w="2991"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4E44CB6F" w14:textId="77777777" w:rsidR="002F0A87" w:rsidRPr="003D5FB5" w:rsidRDefault="002F0A87" w:rsidP="002F0A87">
            <w:pPr>
              <w:spacing w:line="360" w:lineRule="auto"/>
              <w:jc w:val="both"/>
              <w:rPr>
                <w:rFonts w:asciiTheme="minorHAnsi" w:hAnsiTheme="minorHAnsi" w:cstheme="minorHAnsi"/>
                <w:sz w:val="22"/>
                <w:szCs w:val="22"/>
              </w:rPr>
            </w:pPr>
            <w:r w:rsidRPr="003D5FB5">
              <w:rPr>
                <w:rFonts w:asciiTheme="minorHAnsi" w:eastAsia="Segoe UI Semibold" w:hAnsiTheme="minorHAnsi" w:cstheme="minorHAnsi"/>
                <w:sz w:val="22"/>
                <w:szCs w:val="22"/>
              </w:rPr>
              <w:t>PTR Health Index</w:t>
            </w:r>
          </w:p>
        </w:tc>
        <w:tc>
          <w:tcPr>
            <w:tcW w:w="749"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403D4EB8" w14:textId="77777777" w:rsidR="002F0A87" w:rsidRPr="003D5FB5" w:rsidRDefault="002F0A87" w:rsidP="002F0A87">
            <w:pPr>
              <w:spacing w:line="360" w:lineRule="auto"/>
              <w:jc w:val="center"/>
              <w:rPr>
                <w:rFonts w:asciiTheme="minorHAnsi" w:hAnsiTheme="minorHAnsi" w:cstheme="minorHAnsi"/>
                <w:sz w:val="22"/>
                <w:szCs w:val="22"/>
              </w:rPr>
            </w:pPr>
            <w:r w:rsidRPr="003D5FB5">
              <w:rPr>
                <w:rFonts w:asciiTheme="minorHAnsi" w:eastAsia="Segoe UI Semibold" w:hAnsiTheme="minorHAnsi" w:cstheme="minorHAnsi"/>
                <w:sz w:val="22"/>
                <w:szCs w:val="22"/>
              </w:rPr>
              <w:t>No's</w:t>
            </w:r>
          </w:p>
        </w:tc>
        <w:tc>
          <w:tcPr>
            <w:tcW w:w="942"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0B01CA2E" w14:textId="77777777" w:rsidR="002F0A87" w:rsidRPr="003D5FB5" w:rsidRDefault="002F0A87" w:rsidP="002F0A87">
            <w:pPr>
              <w:spacing w:line="360" w:lineRule="auto"/>
              <w:jc w:val="center"/>
              <w:rPr>
                <w:rFonts w:asciiTheme="minorHAnsi" w:hAnsiTheme="minorHAnsi" w:cstheme="minorHAnsi"/>
                <w:sz w:val="22"/>
                <w:szCs w:val="22"/>
              </w:rPr>
            </w:pPr>
            <w:r w:rsidRPr="003D5FB5">
              <w:rPr>
                <w:rFonts w:asciiTheme="minorHAnsi" w:eastAsia="Segoe UI Semibold" w:hAnsiTheme="minorHAnsi" w:cstheme="minorHAnsi"/>
                <w:sz w:val="22"/>
                <w:szCs w:val="22"/>
              </w:rPr>
              <w:t>NA</w:t>
            </w:r>
          </w:p>
        </w:tc>
        <w:tc>
          <w:tcPr>
            <w:tcW w:w="907"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5EB5F850" w14:textId="77777777" w:rsidR="002F0A87" w:rsidRPr="003D5FB5" w:rsidRDefault="002F0A87" w:rsidP="002F0A87">
            <w:pPr>
              <w:spacing w:line="360" w:lineRule="auto"/>
              <w:jc w:val="center"/>
              <w:rPr>
                <w:rFonts w:asciiTheme="minorHAnsi" w:hAnsiTheme="minorHAnsi" w:cstheme="minorHAnsi"/>
                <w:sz w:val="22"/>
                <w:szCs w:val="22"/>
              </w:rPr>
            </w:pPr>
            <w:r w:rsidRPr="003D5FB5">
              <w:rPr>
                <w:rFonts w:asciiTheme="minorHAnsi" w:eastAsia="Segoe UI Semibold" w:hAnsiTheme="minorHAnsi" w:cstheme="minorHAnsi"/>
                <w:sz w:val="22"/>
                <w:szCs w:val="22"/>
              </w:rPr>
              <w:t>285</w:t>
            </w:r>
          </w:p>
        </w:tc>
        <w:tc>
          <w:tcPr>
            <w:tcW w:w="1057"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0603F859" w14:textId="77777777" w:rsidR="002F0A87" w:rsidRPr="003D5FB5" w:rsidRDefault="002F0A87" w:rsidP="002F0A87">
            <w:pPr>
              <w:spacing w:line="360" w:lineRule="auto"/>
              <w:jc w:val="center"/>
              <w:rPr>
                <w:rFonts w:asciiTheme="minorHAnsi" w:hAnsiTheme="minorHAnsi" w:cstheme="minorHAnsi"/>
                <w:sz w:val="22"/>
                <w:szCs w:val="22"/>
              </w:rPr>
            </w:pPr>
            <w:r w:rsidRPr="003D5FB5">
              <w:rPr>
                <w:rFonts w:asciiTheme="minorHAnsi" w:eastAsia="Segoe UI Semibold" w:hAnsiTheme="minorHAnsi" w:cstheme="minorHAnsi"/>
                <w:sz w:val="22"/>
                <w:szCs w:val="22"/>
              </w:rPr>
              <w:t>360</w:t>
            </w:r>
          </w:p>
        </w:tc>
        <w:tc>
          <w:tcPr>
            <w:tcW w:w="1379"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615B154B" w14:textId="77777777" w:rsidR="002F0A87" w:rsidRPr="003D5FB5" w:rsidRDefault="002F0A87" w:rsidP="002F0A87">
            <w:pPr>
              <w:spacing w:line="360" w:lineRule="auto"/>
              <w:jc w:val="center"/>
              <w:rPr>
                <w:rFonts w:asciiTheme="minorHAnsi" w:hAnsiTheme="minorHAnsi" w:cstheme="minorHAnsi"/>
                <w:sz w:val="22"/>
                <w:szCs w:val="22"/>
              </w:rPr>
            </w:pPr>
          </w:p>
        </w:tc>
      </w:tr>
      <w:tr w:rsidR="002F0A87" w:rsidRPr="003D5FB5" w14:paraId="4EE92BDE" w14:textId="77777777" w:rsidTr="00EA573A">
        <w:trPr>
          <w:trHeight w:val="241"/>
        </w:trPr>
        <w:tc>
          <w:tcPr>
            <w:tcW w:w="905"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62D9D7A9" w14:textId="77777777" w:rsidR="002F0A87" w:rsidRPr="003D5FB5" w:rsidRDefault="002F0A87" w:rsidP="002F0A87">
            <w:pPr>
              <w:spacing w:line="360" w:lineRule="auto"/>
              <w:jc w:val="center"/>
              <w:rPr>
                <w:rFonts w:asciiTheme="minorHAnsi" w:hAnsiTheme="minorHAnsi" w:cstheme="minorHAnsi"/>
                <w:sz w:val="22"/>
                <w:szCs w:val="22"/>
              </w:rPr>
            </w:pPr>
            <w:r w:rsidRPr="003D5FB5">
              <w:rPr>
                <w:rFonts w:asciiTheme="minorHAnsi" w:eastAsia="Segoe UI Semibold" w:hAnsiTheme="minorHAnsi" w:cstheme="minorHAnsi"/>
                <w:sz w:val="22"/>
                <w:szCs w:val="22"/>
              </w:rPr>
              <w:t>7</w:t>
            </w:r>
          </w:p>
        </w:tc>
        <w:tc>
          <w:tcPr>
            <w:tcW w:w="2991"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5A334AEE" w14:textId="77777777" w:rsidR="002F0A87" w:rsidRPr="003D5FB5" w:rsidRDefault="002F0A87" w:rsidP="002F0A87">
            <w:pPr>
              <w:spacing w:line="360" w:lineRule="auto"/>
              <w:jc w:val="both"/>
              <w:rPr>
                <w:rFonts w:asciiTheme="minorHAnsi" w:hAnsiTheme="minorHAnsi" w:cstheme="minorHAnsi"/>
                <w:sz w:val="22"/>
                <w:szCs w:val="22"/>
              </w:rPr>
            </w:pPr>
            <w:r w:rsidRPr="003D5FB5">
              <w:rPr>
                <w:rFonts w:asciiTheme="minorHAnsi" w:eastAsia="Segoe UI Semibold" w:hAnsiTheme="minorHAnsi" w:cstheme="minorHAnsi"/>
                <w:sz w:val="22"/>
                <w:szCs w:val="22"/>
              </w:rPr>
              <w:t>PTR Augmentation _</w:t>
            </w:r>
            <w:proofErr w:type="spellStart"/>
            <w:r w:rsidRPr="003D5FB5">
              <w:rPr>
                <w:rFonts w:asciiTheme="minorHAnsi" w:eastAsia="Segoe UI Semibold" w:hAnsiTheme="minorHAnsi" w:cstheme="minorHAnsi"/>
                <w:sz w:val="22"/>
                <w:szCs w:val="22"/>
              </w:rPr>
              <w:t>Opex</w:t>
            </w:r>
            <w:proofErr w:type="spellEnd"/>
          </w:p>
        </w:tc>
        <w:tc>
          <w:tcPr>
            <w:tcW w:w="749"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7CCE72CF" w14:textId="77777777" w:rsidR="002F0A87" w:rsidRPr="003D5FB5" w:rsidRDefault="002F0A87" w:rsidP="002F0A87">
            <w:pPr>
              <w:spacing w:line="360" w:lineRule="auto"/>
              <w:jc w:val="center"/>
              <w:rPr>
                <w:rFonts w:asciiTheme="minorHAnsi" w:hAnsiTheme="minorHAnsi" w:cstheme="minorHAnsi"/>
                <w:sz w:val="22"/>
                <w:szCs w:val="22"/>
              </w:rPr>
            </w:pPr>
            <w:r w:rsidRPr="003D5FB5">
              <w:rPr>
                <w:rFonts w:asciiTheme="minorHAnsi" w:eastAsia="Segoe UI Semibold" w:hAnsiTheme="minorHAnsi" w:cstheme="minorHAnsi"/>
                <w:sz w:val="22"/>
                <w:szCs w:val="22"/>
              </w:rPr>
              <w:t>No's</w:t>
            </w:r>
          </w:p>
        </w:tc>
        <w:tc>
          <w:tcPr>
            <w:tcW w:w="942"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1717740D" w14:textId="77777777" w:rsidR="002F0A87" w:rsidRPr="003D5FB5" w:rsidRDefault="002F0A87" w:rsidP="002F0A87">
            <w:pPr>
              <w:spacing w:line="360" w:lineRule="auto"/>
              <w:jc w:val="center"/>
              <w:rPr>
                <w:rFonts w:asciiTheme="minorHAnsi" w:hAnsiTheme="minorHAnsi" w:cstheme="minorHAnsi"/>
                <w:sz w:val="22"/>
                <w:szCs w:val="22"/>
              </w:rPr>
            </w:pPr>
            <w:r w:rsidRPr="003D5FB5">
              <w:rPr>
                <w:rFonts w:asciiTheme="minorHAnsi" w:eastAsia="Segoe UI Semibold" w:hAnsiTheme="minorHAnsi" w:cstheme="minorHAnsi"/>
                <w:sz w:val="22"/>
                <w:szCs w:val="22"/>
              </w:rPr>
              <w:t>NA</w:t>
            </w:r>
          </w:p>
        </w:tc>
        <w:tc>
          <w:tcPr>
            <w:tcW w:w="907"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79CBCC25" w14:textId="77777777" w:rsidR="002F0A87" w:rsidRPr="003D5FB5" w:rsidRDefault="002F0A87" w:rsidP="002F0A87">
            <w:pPr>
              <w:spacing w:line="360" w:lineRule="auto"/>
              <w:jc w:val="center"/>
              <w:rPr>
                <w:rFonts w:asciiTheme="minorHAnsi" w:hAnsiTheme="minorHAnsi" w:cstheme="minorHAnsi"/>
                <w:sz w:val="22"/>
                <w:szCs w:val="22"/>
              </w:rPr>
            </w:pPr>
            <w:r w:rsidRPr="003D5FB5">
              <w:rPr>
                <w:rFonts w:asciiTheme="minorHAnsi" w:eastAsia="Segoe UI Semibold" w:hAnsiTheme="minorHAnsi" w:cstheme="minorHAnsi"/>
                <w:sz w:val="22"/>
                <w:szCs w:val="22"/>
              </w:rPr>
              <w:t>16</w:t>
            </w:r>
          </w:p>
        </w:tc>
        <w:tc>
          <w:tcPr>
            <w:tcW w:w="1057"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1A6394D7" w14:textId="77777777" w:rsidR="002F0A87" w:rsidRPr="003D5FB5" w:rsidRDefault="002F0A87" w:rsidP="002F0A87">
            <w:pPr>
              <w:spacing w:line="360" w:lineRule="auto"/>
              <w:jc w:val="center"/>
              <w:rPr>
                <w:rFonts w:asciiTheme="minorHAnsi" w:hAnsiTheme="minorHAnsi" w:cstheme="minorHAnsi"/>
                <w:sz w:val="22"/>
                <w:szCs w:val="22"/>
              </w:rPr>
            </w:pPr>
            <w:r w:rsidRPr="003D5FB5">
              <w:rPr>
                <w:rFonts w:asciiTheme="minorHAnsi" w:eastAsia="Segoe UI Semibold" w:hAnsiTheme="minorHAnsi" w:cstheme="minorHAnsi"/>
                <w:sz w:val="22"/>
                <w:szCs w:val="22"/>
              </w:rPr>
              <w:t>17</w:t>
            </w:r>
          </w:p>
        </w:tc>
        <w:tc>
          <w:tcPr>
            <w:tcW w:w="1379"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7951B712" w14:textId="77777777" w:rsidR="002F0A87" w:rsidRPr="003D5FB5" w:rsidRDefault="002F0A87" w:rsidP="002F0A87">
            <w:pPr>
              <w:spacing w:line="360" w:lineRule="auto"/>
              <w:jc w:val="center"/>
              <w:rPr>
                <w:rFonts w:asciiTheme="minorHAnsi" w:hAnsiTheme="minorHAnsi" w:cstheme="minorHAnsi"/>
                <w:sz w:val="22"/>
                <w:szCs w:val="22"/>
              </w:rPr>
            </w:pPr>
          </w:p>
        </w:tc>
      </w:tr>
      <w:tr w:rsidR="002F0A87" w:rsidRPr="003D5FB5" w14:paraId="6B69818E" w14:textId="77777777" w:rsidTr="00EA573A">
        <w:trPr>
          <w:trHeight w:val="241"/>
        </w:trPr>
        <w:tc>
          <w:tcPr>
            <w:tcW w:w="905"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6244C714" w14:textId="77777777" w:rsidR="002F0A87" w:rsidRPr="003D5FB5" w:rsidRDefault="002F0A87" w:rsidP="002F0A87">
            <w:pPr>
              <w:spacing w:line="360" w:lineRule="auto"/>
              <w:jc w:val="center"/>
              <w:rPr>
                <w:rFonts w:asciiTheme="minorHAnsi" w:hAnsiTheme="minorHAnsi" w:cstheme="minorHAnsi"/>
                <w:sz w:val="22"/>
                <w:szCs w:val="22"/>
              </w:rPr>
            </w:pPr>
            <w:r w:rsidRPr="003D5FB5">
              <w:rPr>
                <w:rFonts w:asciiTheme="minorHAnsi" w:eastAsia="Segoe UI Semibold" w:hAnsiTheme="minorHAnsi" w:cstheme="minorHAnsi"/>
                <w:sz w:val="22"/>
                <w:szCs w:val="22"/>
              </w:rPr>
              <w:t>8</w:t>
            </w:r>
          </w:p>
        </w:tc>
        <w:tc>
          <w:tcPr>
            <w:tcW w:w="2991"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03962588" w14:textId="77777777" w:rsidR="002F0A87" w:rsidRPr="003D5FB5" w:rsidRDefault="002F0A87" w:rsidP="002F0A87">
            <w:pPr>
              <w:spacing w:line="360" w:lineRule="auto"/>
              <w:jc w:val="both"/>
              <w:rPr>
                <w:rFonts w:asciiTheme="minorHAnsi" w:hAnsiTheme="minorHAnsi" w:cstheme="minorHAnsi"/>
                <w:sz w:val="22"/>
                <w:szCs w:val="22"/>
              </w:rPr>
            </w:pPr>
            <w:r w:rsidRPr="003D5FB5">
              <w:rPr>
                <w:rFonts w:asciiTheme="minorHAnsi" w:eastAsia="Segoe UI Semibold" w:hAnsiTheme="minorHAnsi" w:cstheme="minorHAnsi"/>
                <w:sz w:val="22"/>
                <w:szCs w:val="22"/>
              </w:rPr>
              <w:t>PTR Residual Analysis (% Life)</w:t>
            </w:r>
          </w:p>
        </w:tc>
        <w:tc>
          <w:tcPr>
            <w:tcW w:w="749"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322A8F06" w14:textId="77777777" w:rsidR="002F0A87" w:rsidRPr="003D5FB5" w:rsidRDefault="002F0A87" w:rsidP="002F0A87">
            <w:pPr>
              <w:spacing w:line="360" w:lineRule="auto"/>
              <w:jc w:val="center"/>
              <w:rPr>
                <w:rFonts w:asciiTheme="minorHAnsi" w:hAnsiTheme="minorHAnsi" w:cstheme="minorHAnsi"/>
                <w:sz w:val="22"/>
                <w:szCs w:val="22"/>
              </w:rPr>
            </w:pPr>
            <w:r w:rsidRPr="003D5FB5">
              <w:rPr>
                <w:rFonts w:asciiTheme="minorHAnsi" w:eastAsia="Segoe UI Semibold" w:hAnsiTheme="minorHAnsi" w:cstheme="minorHAnsi"/>
                <w:sz w:val="22"/>
                <w:szCs w:val="22"/>
              </w:rPr>
              <w:t>No's</w:t>
            </w:r>
          </w:p>
        </w:tc>
        <w:tc>
          <w:tcPr>
            <w:tcW w:w="942"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25BDB0FF" w14:textId="77777777" w:rsidR="002F0A87" w:rsidRPr="003D5FB5" w:rsidRDefault="002F0A87" w:rsidP="002F0A87">
            <w:pPr>
              <w:spacing w:line="360" w:lineRule="auto"/>
              <w:jc w:val="center"/>
              <w:rPr>
                <w:rFonts w:asciiTheme="minorHAnsi" w:hAnsiTheme="minorHAnsi" w:cstheme="minorHAnsi"/>
                <w:sz w:val="22"/>
                <w:szCs w:val="22"/>
              </w:rPr>
            </w:pPr>
            <w:r w:rsidRPr="003D5FB5">
              <w:rPr>
                <w:rFonts w:asciiTheme="minorHAnsi" w:eastAsia="Segoe UI Semibold" w:hAnsiTheme="minorHAnsi" w:cstheme="minorHAnsi"/>
                <w:sz w:val="22"/>
                <w:szCs w:val="22"/>
              </w:rPr>
              <w:t>NA</w:t>
            </w:r>
          </w:p>
        </w:tc>
        <w:tc>
          <w:tcPr>
            <w:tcW w:w="907"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793BFBFA" w14:textId="77777777" w:rsidR="002F0A87" w:rsidRPr="003D5FB5" w:rsidRDefault="002F0A87" w:rsidP="002F0A87">
            <w:pPr>
              <w:spacing w:line="360" w:lineRule="auto"/>
              <w:jc w:val="center"/>
              <w:rPr>
                <w:rFonts w:asciiTheme="minorHAnsi" w:hAnsiTheme="minorHAnsi" w:cstheme="minorHAnsi"/>
                <w:sz w:val="22"/>
                <w:szCs w:val="22"/>
              </w:rPr>
            </w:pPr>
            <w:r w:rsidRPr="003D5FB5">
              <w:rPr>
                <w:rFonts w:asciiTheme="minorHAnsi" w:eastAsia="Segoe UI Semibold" w:hAnsiTheme="minorHAnsi" w:cstheme="minorHAnsi"/>
                <w:sz w:val="22"/>
                <w:szCs w:val="22"/>
              </w:rPr>
              <w:t>NA</w:t>
            </w:r>
          </w:p>
        </w:tc>
        <w:tc>
          <w:tcPr>
            <w:tcW w:w="1057"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0D3EA1C1" w14:textId="77777777" w:rsidR="002F0A87" w:rsidRPr="003D5FB5" w:rsidRDefault="002F0A87" w:rsidP="002F0A87">
            <w:pPr>
              <w:spacing w:line="360" w:lineRule="auto"/>
              <w:jc w:val="center"/>
              <w:rPr>
                <w:rFonts w:asciiTheme="minorHAnsi" w:hAnsiTheme="minorHAnsi" w:cstheme="minorHAnsi"/>
                <w:sz w:val="22"/>
                <w:szCs w:val="22"/>
              </w:rPr>
            </w:pPr>
            <w:r w:rsidRPr="003D5FB5">
              <w:rPr>
                <w:rFonts w:asciiTheme="minorHAnsi" w:eastAsia="Segoe UI Semibold" w:hAnsiTheme="minorHAnsi" w:cstheme="minorHAnsi"/>
                <w:sz w:val="22"/>
                <w:szCs w:val="22"/>
              </w:rPr>
              <w:t>548</w:t>
            </w:r>
          </w:p>
        </w:tc>
        <w:tc>
          <w:tcPr>
            <w:tcW w:w="1379"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36D02D60" w14:textId="77777777" w:rsidR="002F0A87" w:rsidRPr="003D5FB5" w:rsidRDefault="002F0A87" w:rsidP="002F0A87">
            <w:pPr>
              <w:spacing w:line="360" w:lineRule="auto"/>
              <w:jc w:val="center"/>
              <w:rPr>
                <w:rFonts w:asciiTheme="minorHAnsi" w:hAnsiTheme="minorHAnsi" w:cstheme="minorHAnsi"/>
                <w:sz w:val="22"/>
                <w:szCs w:val="22"/>
              </w:rPr>
            </w:pPr>
            <w:r w:rsidRPr="003D5FB5">
              <w:rPr>
                <w:rFonts w:asciiTheme="minorHAnsi" w:eastAsia="Segoe UI Semibold" w:hAnsiTheme="minorHAnsi" w:cstheme="minorHAnsi"/>
                <w:sz w:val="22"/>
                <w:szCs w:val="22"/>
              </w:rPr>
              <w:t>All Completed</w:t>
            </w:r>
          </w:p>
        </w:tc>
      </w:tr>
    </w:tbl>
    <w:p w14:paraId="4DD22147" w14:textId="77777777" w:rsidR="000A74BB" w:rsidRDefault="000A74BB" w:rsidP="00E02343">
      <w:pPr>
        <w:tabs>
          <w:tab w:val="left" w:pos="426"/>
        </w:tabs>
        <w:spacing w:line="360" w:lineRule="auto"/>
        <w:ind w:right="-23"/>
        <w:jc w:val="both"/>
        <w:rPr>
          <w:rFonts w:asciiTheme="minorHAnsi" w:hAnsiTheme="minorHAnsi" w:cstheme="minorHAnsi"/>
          <w:b/>
          <w:sz w:val="22"/>
          <w:szCs w:val="22"/>
        </w:rPr>
      </w:pPr>
    </w:p>
    <w:p w14:paraId="3DE15434" w14:textId="77777777" w:rsidR="00EA573A" w:rsidRDefault="00EA573A" w:rsidP="002F0A87">
      <w:pPr>
        <w:tabs>
          <w:tab w:val="left" w:pos="426"/>
        </w:tabs>
        <w:spacing w:line="360" w:lineRule="auto"/>
        <w:ind w:left="426" w:right="-23"/>
        <w:jc w:val="both"/>
        <w:rPr>
          <w:rFonts w:asciiTheme="minorHAnsi" w:hAnsiTheme="minorHAnsi" w:cstheme="minorHAnsi"/>
          <w:b/>
          <w:sz w:val="22"/>
          <w:szCs w:val="22"/>
        </w:rPr>
      </w:pPr>
    </w:p>
    <w:p w14:paraId="1E1AA92E" w14:textId="77777777" w:rsidR="00EA573A" w:rsidRDefault="00EA573A" w:rsidP="002F0A87">
      <w:pPr>
        <w:tabs>
          <w:tab w:val="left" w:pos="426"/>
        </w:tabs>
        <w:spacing w:line="360" w:lineRule="auto"/>
        <w:ind w:left="426" w:right="-23"/>
        <w:jc w:val="both"/>
        <w:rPr>
          <w:rFonts w:asciiTheme="minorHAnsi" w:hAnsiTheme="minorHAnsi" w:cstheme="minorHAnsi"/>
          <w:b/>
          <w:sz w:val="22"/>
          <w:szCs w:val="22"/>
        </w:rPr>
      </w:pPr>
    </w:p>
    <w:p w14:paraId="4219F03F" w14:textId="77777777" w:rsidR="00EA573A" w:rsidRDefault="00EA573A" w:rsidP="002F0A87">
      <w:pPr>
        <w:tabs>
          <w:tab w:val="left" w:pos="426"/>
        </w:tabs>
        <w:spacing w:line="360" w:lineRule="auto"/>
        <w:ind w:left="426" w:right="-23"/>
        <w:jc w:val="both"/>
        <w:rPr>
          <w:rFonts w:asciiTheme="minorHAnsi" w:hAnsiTheme="minorHAnsi" w:cstheme="minorHAnsi"/>
          <w:b/>
          <w:sz w:val="22"/>
          <w:szCs w:val="22"/>
        </w:rPr>
      </w:pPr>
    </w:p>
    <w:p w14:paraId="05CEF00C" w14:textId="2321A5E8" w:rsidR="002F0A87" w:rsidRPr="003D5FB5" w:rsidRDefault="00F36EB6" w:rsidP="00EA573A">
      <w:pPr>
        <w:tabs>
          <w:tab w:val="left" w:pos="709"/>
        </w:tabs>
        <w:spacing w:line="360" w:lineRule="auto"/>
        <w:ind w:left="567" w:right="-23"/>
        <w:jc w:val="both"/>
        <w:rPr>
          <w:rFonts w:asciiTheme="minorHAnsi" w:hAnsiTheme="minorHAnsi" w:cstheme="minorHAnsi"/>
          <w:b/>
          <w:sz w:val="22"/>
          <w:szCs w:val="22"/>
        </w:rPr>
      </w:pPr>
      <w:r>
        <w:rPr>
          <w:rFonts w:asciiTheme="minorHAnsi" w:hAnsiTheme="minorHAnsi" w:cstheme="minorHAnsi"/>
          <w:b/>
          <w:sz w:val="22"/>
          <w:szCs w:val="22"/>
        </w:rPr>
        <w:lastRenderedPageBreak/>
        <w:t>2.7.</w:t>
      </w:r>
      <w:r w:rsidR="000860B0">
        <w:rPr>
          <w:rFonts w:asciiTheme="minorHAnsi" w:hAnsiTheme="minorHAnsi" w:cstheme="minorHAnsi"/>
          <w:b/>
          <w:sz w:val="22"/>
          <w:szCs w:val="22"/>
        </w:rPr>
        <w:t>3</w:t>
      </w:r>
      <w:r>
        <w:rPr>
          <w:rFonts w:asciiTheme="minorHAnsi" w:hAnsiTheme="minorHAnsi" w:cstheme="minorHAnsi"/>
          <w:b/>
          <w:sz w:val="22"/>
          <w:szCs w:val="22"/>
        </w:rPr>
        <w:t>.</w:t>
      </w:r>
      <w:r w:rsidR="002F0A87" w:rsidRPr="003D5FB5">
        <w:rPr>
          <w:rFonts w:asciiTheme="minorHAnsi" w:hAnsiTheme="minorHAnsi" w:cstheme="minorHAnsi"/>
          <w:b/>
          <w:sz w:val="22"/>
          <w:szCs w:val="22"/>
        </w:rPr>
        <w:t>3   33KV Line Upkeep</w:t>
      </w:r>
    </w:p>
    <w:p w14:paraId="6EDBB980" w14:textId="77777777" w:rsidR="002F0A87" w:rsidRPr="003D5FB5" w:rsidRDefault="002F0A87" w:rsidP="00EA573A">
      <w:pPr>
        <w:tabs>
          <w:tab w:val="left" w:pos="709"/>
        </w:tabs>
        <w:spacing w:line="360" w:lineRule="auto"/>
        <w:ind w:left="567" w:right="-23"/>
        <w:jc w:val="both"/>
        <w:rPr>
          <w:rFonts w:asciiTheme="minorHAnsi" w:hAnsiTheme="minorHAnsi" w:cstheme="minorHAnsi"/>
          <w:b/>
          <w:sz w:val="22"/>
          <w:szCs w:val="22"/>
        </w:rPr>
      </w:pPr>
    </w:p>
    <w:p w14:paraId="7E6845BA" w14:textId="38A0F521" w:rsidR="002F0A87" w:rsidRDefault="002F0A87" w:rsidP="00EA573A">
      <w:pPr>
        <w:tabs>
          <w:tab w:val="left" w:pos="709"/>
        </w:tabs>
        <w:spacing w:line="360" w:lineRule="auto"/>
        <w:ind w:left="567" w:right="-23"/>
        <w:jc w:val="both"/>
        <w:rPr>
          <w:rFonts w:asciiTheme="minorHAnsi" w:hAnsiTheme="minorHAnsi" w:cstheme="minorHAnsi"/>
          <w:sz w:val="22"/>
          <w:szCs w:val="22"/>
        </w:rPr>
      </w:pPr>
      <w:r w:rsidRPr="003D5FB5">
        <w:rPr>
          <w:rFonts w:asciiTheme="minorHAnsi" w:hAnsiTheme="minorHAnsi" w:cstheme="minorHAnsi"/>
          <w:sz w:val="22"/>
          <w:szCs w:val="22"/>
        </w:rPr>
        <w:t xml:space="preserve">Towards the 33KV line upkeep, 2720 nos. of Tilted poles &amp; V Cross arm straightened, 4150 conductor </w:t>
      </w:r>
      <w:r w:rsidR="00E02343" w:rsidRPr="003D5FB5">
        <w:rPr>
          <w:rFonts w:asciiTheme="minorHAnsi" w:hAnsiTheme="minorHAnsi" w:cstheme="minorHAnsi"/>
          <w:sz w:val="22"/>
          <w:szCs w:val="22"/>
        </w:rPr>
        <w:t>renumbering</w:t>
      </w:r>
      <w:r w:rsidRPr="003D5FB5">
        <w:rPr>
          <w:rFonts w:asciiTheme="minorHAnsi" w:hAnsiTheme="minorHAnsi" w:cstheme="minorHAnsi"/>
          <w:sz w:val="22"/>
          <w:szCs w:val="22"/>
        </w:rPr>
        <w:t xml:space="preserve"> carried out, 26121 nos. of PIN insulators replaced. </w:t>
      </w:r>
    </w:p>
    <w:p w14:paraId="11E8C590" w14:textId="77777777" w:rsidR="00EA573A" w:rsidRPr="003D5FB5" w:rsidRDefault="00EA573A" w:rsidP="00EA573A">
      <w:pPr>
        <w:tabs>
          <w:tab w:val="left" w:pos="709"/>
        </w:tabs>
        <w:spacing w:line="360" w:lineRule="auto"/>
        <w:ind w:left="567" w:right="-23"/>
        <w:jc w:val="both"/>
        <w:rPr>
          <w:rFonts w:asciiTheme="minorHAnsi" w:hAnsiTheme="minorHAnsi" w:cstheme="minorHAnsi"/>
          <w:sz w:val="22"/>
          <w:szCs w:val="22"/>
        </w:rPr>
      </w:pPr>
    </w:p>
    <w:p w14:paraId="0147F5DF" w14:textId="4EB9E72A" w:rsidR="002F0A87" w:rsidRDefault="002F0A87" w:rsidP="00EA573A">
      <w:pPr>
        <w:tabs>
          <w:tab w:val="left" w:pos="709"/>
        </w:tabs>
        <w:spacing w:line="360" w:lineRule="auto"/>
        <w:ind w:left="567" w:right="-23"/>
        <w:jc w:val="both"/>
        <w:rPr>
          <w:rFonts w:asciiTheme="minorHAnsi" w:hAnsiTheme="minorHAnsi" w:cstheme="minorHAnsi"/>
          <w:sz w:val="22"/>
          <w:szCs w:val="22"/>
        </w:rPr>
      </w:pPr>
      <w:r w:rsidRPr="003D5FB5">
        <w:rPr>
          <w:rFonts w:asciiTheme="minorHAnsi" w:hAnsiTheme="minorHAnsi" w:cstheme="minorHAnsi"/>
          <w:sz w:val="22"/>
          <w:szCs w:val="22"/>
        </w:rPr>
        <w:t xml:space="preserve">Crossing of the huge 384Mtr span of Subarnarekha River &amp; 290 </w:t>
      </w:r>
      <w:proofErr w:type="spellStart"/>
      <w:r w:rsidRPr="003D5FB5">
        <w:rPr>
          <w:rFonts w:asciiTheme="minorHAnsi" w:hAnsiTheme="minorHAnsi" w:cstheme="minorHAnsi"/>
          <w:sz w:val="22"/>
          <w:szCs w:val="22"/>
        </w:rPr>
        <w:t>Mtr</w:t>
      </w:r>
      <w:proofErr w:type="spellEnd"/>
      <w:r w:rsidRPr="003D5FB5">
        <w:rPr>
          <w:rFonts w:asciiTheme="minorHAnsi" w:hAnsiTheme="minorHAnsi" w:cstheme="minorHAnsi"/>
          <w:sz w:val="22"/>
          <w:szCs w:val="22"/>
        </w:rPr>
        <w:t xml:space="preserve"> span on </w:t>
      </w:r>
      <w:proofErr w:type="spellStart"/>
      <w:r w:rsidRPr="003D5FB5">
        <w:rPr>
          <w:rFonts w:asciiTheme="minorHAnsi" w:hAnsiTheme="minorHAnsi" w:cstheme="minorHAnsi"/>
          <w:sz w:val="22"/>
          <w:szCs w:val="22"/>
        </w:rPr>
        <w:t>Budabalanga</w:t>
      </w:r>
      <w:proofErr w:type="spellEnd"/>
      <w:r w:rsidRPr="003D5FB5">
        <w:rPr>
          <w:rFonts w:asciiTheme="minorHAnsi" w:hAnsiTheme="minorHAnsi" w:cstheme="minorHAnsi"/>
          <w:sz w:val="22"/>
          <w:szCs w:val="22"/>
        </w:rPr>
        <w:t xml:space="preserve"> river with two interposing PC type towers at both sides of the river completed. This project has helped in providing a reliable power supply to more than 30,000 Consumers of 33/11kV </w:t>
      </w:r>
      <w:proofErr w:type="spellStart"/>
      <w:r w:rsidRPr="003D5FB5">
        <w:rPr>
          <w:rFonts w:asciiTheme="minorHAnsi" w:hAnsiTheme="minorHAnsi" w:cstheme="minorHAnsi"/>
          <w:sz w:val="22"/>
          <w:szCs w:val="22"/>
        </w:rPr>
        <w:t>Rajghat</w:t>
      </w:r>
      <w:proofErr w:type="spellEnd"/>
      <w:r w:rsidRPr="003D5FB5">
        <w:rPr>
          <w:rFonts w:asciiTheme="minorHAnsi" w:hAnsiTheme="minorHAnsi" w:cstheme="minorHAnsi"/>
          <w:sz w:val="22"/>
          <w:szCs w:val="22"/>
        </w:rPr>
        <w:t xml:space="preserve"> PSS, Gao </w:t>
      </w:r>
      <w:proofErr w:type="spellStart"/>
      <w:r w:rsidRPr="003D5FB5">
        <w:rPr>
          <w:rFonts w:asciiTheme="minorHAnsi" w:hAnsiTheme="minorHAnsi" w:cstheme="minorHAnsi"/>
          <w:sz w:val="22"/>
          <w:szCs w:val="22"/>
        </w:rPr>
        <w:t>Amarda</w:t>
      </w:r>
      <w:proofErr w:type="spellEnd"/>
      <w:r w:rsidRPr="003D5FB5">
        <w:rPr>
          <w:rFonts w:asciiTheme="minorHAnsi" w:hAnsiTheme="minorHAnsi" w:cstheme="minorHAnsi"/>
          <w:sz w:val="22"/>
          <w:szCs w:val="22"/>
        </w:rPr>
        <w:t xml:space="preserve"> PSS &amp; </w:t>
      </w:r>
      <w:proofErr w:type="spellStart"/>
      <w:r w:rsidRPr="003D5FB5">
        <w:rPr>
          <w:rFonts w:asciiTheme="minorHAnsi" w:hAnsiTheme="minorHAnsi" w:cstheme="minorHAnsi"/>
          <w:sz w:val="22"/>
          <w:szCs w:val="22"/>
        </w:rPr>
        <w:t>Manatri.PSS</w:t>
      </w:r>
      <w:proofErr w:type="spellEnd"/>
      <w:r w:rsidRPr="003D5FB5">
        <w:rPr>
          <w:rFonts w:asciiTheme="minorHAnsi" w:hAnsiTheme="minorHAnsi" w:cstheme="minorHAnsi"/>
          <w:sz w:val="22"/>
          <w:szCs w:val="22"/>
        </w:rPr>
        <w:t>.</w:t>
      </w:r>
    </w:p>
    <w:p w14:paraId="1A313ECF" w14:textId="77777777" w:rsidR="00E02343" w:rsidRPr="003D5FB5" w:rsidRDefault="00E02343" w:rsidP="002F0A87">
      <w:pPr>
        <w:tabs>
          <w:tab w:val="left" w:pos="426"/>
        </w:tabs>
        <w:spacing w:line="360" w:lineRule="auto"/>
        <w:ind w:left="426" w:right="-23"/>
        <w:jc w:val="both"/>
        <w:rPr>
          <w:rFonts w:asciiTheme="minorHAnsi" w:hAnsiTheme="minorHAnsi" w:cstheme="minorHAnsi"/>
          <w:sz w:val="22"/>
          <w:szCs w:val="22"/>
        </w:rPr>
      </w:pPr>
    </w:p>
    <w:tbl>
      <w:tblPr>
        <w:tblpPr w:leftFromText="180" w:rightFromText="180" w:vertAnchor="text" w:horzAnchor="page" w:tblpX="1572" w:tblpY="555"/>
        <w:tblW w:w="4603" w:type="dxa"/>
        <w:tblLayout w:type="fixed"/>
        <w:tblCellMar>
          <w:top w:w="72" w:type="dxa"/>
          <w:left w:w="144" w:type="dxa"/>
          <w:bottom w:w="72" w:type="dxa"/>
          <w:right w:w="144" w:type="dxa"/>
        </w:tblCellMar>
        <w:tblLook w:val="0420" w:firstRow="1" w:lastRow="0" w:firstColumn="0" w:lastColumn="0" w:noHBand="0" w:noVBand="1"/>
      </w:tblPr>
      <w:tblGrid>
        <w:gridCol w:w="3513"/>
        <w:gridCol w:w="1090"/>
      </w:tblGrid>
      <w:tr w:rsidR="002F0A87" w:rsidRPr="003D5FB5" w14:paraId="4083C6C6" w14:textId="77777777" w:rsidTr="008356F6">
        <w:trPr>
          <w:trHeight w:val="123"/>
        </w:trPr>
        <w:tc>
          <w:tcPr>
            <w:tcW w:w="4603" w:type="dxa"/>
            <w:gridSpan w:val="2"/>
            <w:tcBorders>
              <w:top w:val="single" w:sz="4" w:space="0" w:color="000000"/>
              <w:left w:val="single" w:sz="4" w:space="0" w:color="000000"/>
              <w:bottom w:val="single" w:sz="4" w:space="0" w:color="000000"/>
              <w:right w:val="single" w:sz="4" w:space="0" w:color="000000"/>
            </w:tcBorders>
            <w:shd w:val="clear" w:color="auto" w:fill="95B3D7" w:themeFill="accent1" w:themeFillTint="99"/>
          </w:tcPr>
          <w:p w14:paraId="40B024E2" w14:textId="77777777" w:rsidR="002F0A87" w:rsidRPr="003D5FB5" w:rsidRDefault="002F0A87" w:rsidP="008356F6">
            <w:pPr>
              <w:tabs>
                <w:tab w:val="left" w:pos="426"/>
              </w:tabs>
              <w:spacing w:line="360" w:lineRule="auto"/>
              <w:ind w:right="-23"/>
              <w:jc w:val="center"/>
              <w:rPr>
                <w:rFonts w:asciiTheme="minorHAnsi" w:hAnsiTheme="minorHAnsi" w:cstheme="minorHAnsi"/>
                <w:b/>
                <w:bCs/>
                <w:sz w:val="22"/>
                <w:szCs w:val="22"/>
              </w:rPr>
            </w:pPr>
            <w:r w:rsidRPr="003D5FB5">
              <w:rPr>
                <w:rFonts w:asciiTheme="minorHAnsi" w:hAnsiTheme="minorHAnsi" w:cstheme="minorHAnsi"/>
                <w:b/>
                <w:bCs/>
                <w:sz w:val="22"/>
                <w:szCs w:val="22"/>
              </w:rPr>
              <w:t>33KV Line-upkeep</w:t>
            </w:r>
          </w:p>
        </w:tc>
      </w:tr>
      <w:tr w:rsidR="002F0A87" w:rsidRPr="003D5FB5" w14:paraId="783B2A96" w14:textId="77777777" w:rsidTr="008356F6">
        <w:trPr>
          <w:trHeight w:val="115"/>
        </w:trPr>
        <w:tc>
          <w:tcPr>
            <w:tcW w:w="3513" w:type="dxa"/>
            <w:tcBorders>
              <w:top w:val="single" w:sz="4" w:space="0" w:color="000000"/>
              <w:left w:val="single" w:sz="4" w:space="0" w:color="000000"/>
              <w:bottom w:val="single" w:sz="4" w:space="0" w:color="000000"/>
              <w:right w:val="single" w:sz="4" w:space="0" w:color="000000"/>
            </w:tcBorders>
            <w:shd w:val="clear" w:color="auto" w:fill="95B3D7" w:themeFill="accent1" w:themeFillTint="99"/>
          </w:tcPr>
          <w:p w14:paraId="1A6D629D" w14:textId="77777777" w:rsidR="002F0A87" w:rsidRPr="003D5FB5" w:rsidRDefault="002F0A87" w:rsidP="008356F6">
            <w:pPr>
              <w:tabs>
                <w:tab w:val="left" w:pos="426"/>
              </w:tabs>
              <w:spacing w:line="360" w:lineRule="auto"/>
              <w:ind w:right="-23"/>
              <w:jc w:val="center"/>
              <w:rPr>
                <w:rFonts w:asciiTheme="minorHAnsi" w:hAnsiTheme="minorHAnsi" w:cstheme="minorHAnsi"/>
                <w:sz w:val="22"/>
                <w:szCs w:val="22"/>
              </w:rPr>
            </w:pPr>
            <w:r w:rsidRPr="003D5FB5">
              <w:rPr>
                <w:rFonts w:asciiTheme="minorHAnsi" w:hAnsiTheme="minorHAnsi" w:cstheme="minorHAnsi"/>
                <w:b/>
                <w:bCs/>
                <w:sz w:val="22"/>
                <w:szCs w:val="22"/>
              </w:rPr>
              <w:t>Description</w:t>
            </w:r>
          </w:p>
        </w:tc>
        <w:tc>
          <w:tcPr>
            <w:tcW w:w="1090" w:type="dxa"/>
            <w:tcBorders>
              <w:top w:val="single" w:sz="4" w:space="0" w:color="000000"/>
              <w:left w:val="single" w:sz="4" w:space="0" w:color="000000"/>
              <w:bottom w:val="single" w:sz="4" w:space="0" w:color="000000"/>
              <w:right w:val="single" w:sz="4" w:space="0" w:color="000000"/>
            </w:tcBorders>
            <w:shd w:val="clear" w:color="auto" w:fill="95B3D7" w:themeFill="accent1" w:themeFillTint="99"/>
          </w:tcPr>
          <w:p w14:paraId="716CDBDA" w14:textId="77777777" w:rsidR="002F0A87" w:rsidRPr="003D5FB5" w:rsidRDefault="002F0A87" w:rsidP="008356F6">
            <w:pPr>
              <w:tabs>
                <w:tab w:val="left" w:pos="426"/>
              </w:tabs>
              <w:spacing w:line="360" w:lineRule="auto"/>
              <w:ind w:right="-23"/>
              <w:jc w:val="center"/>
              <w:rPr>
                <w:rFonts w:asciiTheme="minorHAnsi" w:hAnsiTheme="minorHAnsi" w:cstheme="minorHAnsi"/>
                <w:sz w:val="22"/>
                <w:szCs w:val="22"/>
              </w:rPr>
            </w:pPr>
            <w:r w:rsidRPr="003D5FB5">
              <w:rPr>
                <w:rFonts w:asciiTheme="minorHAnsi" w:hAnsiTheme="minorHAnsi" w:cstheme="minorHAnsi"/>
                <w:b/>
                <w:bCs/>
                <w:sz w:val="22"/>
                <w:szCs w:val="22"/>
              </w:rPr>
              <w:t>Nos.</w:t>
            </w:r>
          </w:p>
        </w:tc>
      </w:tr>
      <w:tr w:rsidR="002F0A87" w:rsidRPr="003D5FB5" w14:paraId="2723D4AE" w14:textId="77777777" w:rsidTr="008356F6">
        <w:trPr>
          <w:trHeight w:val="523"/>
        </w:trPr>
        <w:tc>
          <w:tcPr>
            <w:tcW w:w="3513" w:type="dxa"/>
            <w:tcBorders>
              <w:top w:val="single" w:sz="4" w:space="0" w:color="000000"/>
              <w:left w:val="single" w:sz="4" w:space="0" w:color="000000"/>
              <w:bottom w:val="single" w:sz="4" w:space="0" w:color="000000"/>
              <w:right w:val="single" w:sz="4" w:space="0" w:color="000000"/>
            </w:tcBorders>
            <w:shd w:val="clear" w:color="auto" w:fill="FFFFFF" w:themeFill="background1"/>
            <w:tcMar>
              <w:top w:w="15" w:type="dxa"/>
              <w:left w:w="15" w:type="dxa"/>
              <w:bottom w:w="0" w:type="dxa"/>
              <w:right w:w="15" w:type="dxa"/>
            </w:tcMar>
            <w:vAlign w:val="center"/>
          </w:tcPr>
          <w:p w14:paraId="10DDA804" w14:textId="77777777" w:rsidR="002F0A87" w:rsidRPr="003D5FB5" w:rsidRDefault="002F0A87" w:rsidP="008356F6">
            <w:pPr>
              <w:tabs>
                <w:tab w:val="left" w:pos="426"/>
              </w:tabs>
              <w:spacing w:line="360" w:lineRule="auto"/>
              <w:ind w:right="-23"/>
              <w:rPr>
                <w:rFonts w:asciiTheme="minorHAnsi" w:hAnsiTheme="minorHAnsi" w:cstheme="minorHAnsi"/>
                <w:sz w:val="22"/>
                <w:szCs w:val="22"/>
              </w:rPr>
            </w:pPr>
            <w:r w:rsidRPr="003D5FB5">
              <w:rPr>
                <w:rFonts w:asciiTheme="minorHAnsi" w:hAnsiTheme="minorHAnsi" w:cstheme="minorHAnsi"/>
                <w:sz w:val="22"/>
                <w:szCs w:val="22"/>
              </w:rPr>
              <w:t>Tilted Poles &amp; Cross arm straightened</w:t>
            </w:r>
          </w:p>
        </w:tc>
        <w:tc>
          <w:tcPr>
            <w:tcW w:w="1090" w:type="dxa"/>
            <w:tcBorders>
              <w:top w:val="single" w:sz="4" w:space="0" w:color="000000"/>
              <w:left w:val="single" w:sz="4" w:space="0" w:color="000000"/>
              <w:bottom w:val="single" w:sz="4" w:space="0" w:color="000000"/>
              <w:right w:val="single" w:sz="4" w:space="0" w:color="000000"/>
            </w:tcBorders>
            <w:shd w:val="clear" w:color="auto" w:fill="FFFFFF" w:themeFill="background1"/>
            <w:tcMar>
              <w:top w:w="15" w:type="dxa"/>
              <w:left w:w="15" w:type="dxa"/>
              <w:bottom w:w="0" w:type="dxa"/>
              <w:right w:w="15" w:type="dxa"/>
            </w:tcMar>
            <w:vAlign w:val="center"/>
          </w:tcPr>
          <w:p w14:paraId="22836E1B" w14:textId="77777777" w:rsidR="002F0A87" w:rsidRPr="003D5FB5" w:rsidRDefault="002F0A87" w:rsidP="008356F6">
            <w:pPr>
              <w:tabs>
                <w:tab w:val="left" w:pos="426"/>
              </w:tabs>
              <w:spacing w:line="360" w:lineRule="auto"/>
              <w:ind w:right="-23"/>
              <w:rPr>
                <w:rFonts w:asciiTheme="minorHAnsi" w:hAnsiTheme="minorHAnsi" w:cstheme="minorHAnsi"/>
                <w:sz w:val="22"/>
                <w:szCs w:val="22"/>
              </w:rPr>
            </w:pPr>
            <w:r w:rsidRPr="003D5FB5">
              <w:rPr>
                <w:rFonts w:asciiTheme="minorHAnsi" w:hAnsiTheme="minorHAnsi" w:cstheme="minorHAnsi"/>
                <w:sz w:val="22"/>
                <w:szCs w:val="22"/>
              </w:rPr>
              <w:t>2720</w:t>
            </w:r>
          </w:p>
        </w:tc>
      </w:tr>
      <w:tr w:rsidR="002F0A87" w:rsidRPr="003D5FB5" w14:paraId="3C9312FC" w14:textId="77777777" w:rsidTr="008356F6">
        <w:trPr>
          <w:trHeight w:val="76"/>
        </w:trPr>
        <w:tc>
          <w:tcPr>
            <w:tcW w:w="3513" w:type="dxa"/>
            <w:tcBorders>
              <w:top w:val="single" w:sz="4" w:space="0" w:color="000000"/>
              <w:left w:val="single" w:sz="4" w:space="0" w:color="000000"/>
              <w:bottom w:val="single" w:sz="4" w:space="0" w:color="000000"/>
              <w:right w:val="single" w:sz="4" w:space="0" w:color="000000"/>
            </w:tcBorders>
            <w:shd w:val="clear" w:color="auto" w:fill="FFFFFF" w:themeFill="background1"/>
            <w:tcMar>
              <w:top w:w="15" w:type="dxa"/>
              <w:left w:w="15" w:type="dxa"/>
              <w:bottom w:w="0" w:type="dxa"/>
              <w:right w:w="15" w:type="dxa"/>
            </w:tcMar>
            <w:vAlign w:val="center"/>
          </w:tcPr>
          <w:p w14:paraId="24A2ED01" w14:textId="77777777" w:rsidR="002F0A87" w:rsidRPr="003D5FB5" w:rsidRDefault="002F0A87" w:rsidP="008356F6">
            <w:pPr>
              <w:tabs>
                <w:tab w:val="left" w:pos="426"/>
              </w:tabs>
              <w:spacing w:line="360" w:lineRule="auto"/>
              <w:ind w:right="-23"/>
              <w:rPr>
                <w:rFonts w:asciiTheme="minorHAnsi" w:hAnsiTheme="minorHAnsi" w:cstheme="minorHAnsi"/>
                <w:sz w:val="22"/>
                <w:szCs w:val="22"/>
              </w:rPr>
            </w:pPr>
            <w:r w:rsidRPr="003D5FB5">
              <w:rPr>
                <w:rFonts w:asciiTheme="minorHAnsi" w:hAnsiTheme="minorHAnsi" w:cstheme="minorHAnsi"/>
                <w:sz w:val="22"/>
                <w:szCs w:val="22"/>
              </w:rPr>
              <w:t>Conductor Re-</w:t>
            </w:r>
            <w:proofErr w:type="spellStart"/>
            <w:r w:rsidRPr="003D5FB5">
              <w:rPr>
                <w:rFonts w:asciiTheme="minorHAnsi" w:hAnsiTheme="minorHAnsi" w:cstheme="minorHAnsi"/>
                <w:sz w:val="22"/>
                <w:szCs w:val="22"/>
              </w:rPr>
              <w:t>Jumpering</w:t>
            </w:r>
            <w:proofErr w:type="spellEnd"/>
          </w:p>
        </w:tc>
        <w:tc>
          <w:tcPr>
            <w:tcW w:w="1090" w:type="dxa"/>
            <w:tcBorders>
              <w:top w:val="single" w:sz="4" w:space="0" w:color="000000"/>
              <w:left w:val="single" w:sz="4" w:space="0" w:color="000000"/>
              <w:bottom w:val="single" w:sz="4" w:space="0" w:color="000000"/>
              <w:right w:val="single" w:sz="4" w:space="0" w:color="000000"/>
            </w:tcBorders>
            <w:shd w:val="clear" w:color="auto" w:fill="FFFFFF" w:themeFill="background1"/>
            <w:tcMar>
              <w:top w:w="15" w:type="dxa"/>
              <w:left w:w="15" w:type="dxa"/>
              <w:bottom w:w="0" w:type="dxa"/>
              <w:right w:w="15" w:type="dxa"/>
            </w:tcMar>
            <w:vAlign w:val="center"/>
          </w:tcPr>
          <w:p w14:paraId="196B1861" w14:textId="77777777" w:rsidR="002F0A87" w:rsidRPr="003D5FB5" w:rsidRDefault="002F0A87" w:rsidP="008356F6">
            <w:pPr>
              <w:tabs>
                <w:tab w:val="left" w:pos="426"/>
              </w:tabs>
              <w:spacing w:line="360" w:lineRule="auto"/>
              <w:ind w:right="-23"/>
              <w:rPr>
                <w:rFonts w:asciiTheme="minorHAnsi" w:hAnsiTheme="minorHAnsi" w:cstheme="minorHAnsi"/>
                <w:sz w:val="22"/>
                <w:szCs w:val="22"/>
              </w:rPr>
            </w:pPr>
            <w:r w:rsidRPr="003D5FB5">
              <w:rPr>
                <w:rFonts w:asciiTheme="minorHAnsi" w:hAnsiTheme="minorHAnsi" w:cstheme="minorHAnsi"/>
                <w:sz w:val="22"/>
                <w:szCs w:val="22"/>
              </w:rPr>
              <w:t>2857</w:t>
            </w:r>
          </w:p>
        </w:tc>
      </w:tr>
      <w:tr w:rsidR="002F0A87" w:rsidRPr="003D5FB5" w14:paraId="4F7E8D2B" w14:textId="77777777" w:rsidTr="008356F6">
        <w:trPr>
          <w:trHeight w:val="231"/>
        </w:trPr>
        <w:tc>
          <w:tcPr>
            <w:tcW w:w="3513" w:type="dxa"/>
            <w:tcBorders>
              <w:top w:val="single" w:sz="4" w:space="0" w:color="000000"/>
              <w:left w:val="single" w:sz="4" w:space="0" w:color="000000"/>
              <w:bottom w:val="single" w:sz="4" w:space="0" w:color="000000"/>
              <w:right w:val="single" w:sz="4" w:space="0" w:color="000000"/>
            </w:tcBorders>
            <w:shd w:val="clear" w:color="auto" w:fill="FFFFFF" w:themeFill="background1"/>
            <w:tcMar>
              <w:top w:w="15" w:type="dxa"/>
              <w:left w:w="15" w:type="dxa"/>
              <w:bottom w:w="0" w:type="dxa"/>
              <w:right w:w="15" w:type="dxa"/>
            </w:tcMar>
            <w:vAlign w:val="center"/>
          </w:tcPr>
          <w:p w14:paraId="714C2DE7" w14:textId="77777777" w:rsidR="002F0A87" w:rsidRPr="003D5FB5" w:rsidRDefault="002F0A87" w:rsidP="008356F6">
            <w:pPr>
              <w:tabs>
                <w:tab w:val="left" w:pos="426"/>
              </w:tabs>
              <w:spacing w:line="360" w:lineRule="auto"/>
              <w:ind w:right="-23"/>
              <w:rPr>
                <w:rFonts w:asciiTheme="minorHAnsi" w:hAnsiTheme="minorHAnsi" w:cstheme="minorHAnsi"/>
                <w:sz w:val="22"/>
                <w:szCs w:val="22"/>
              </w:rPr>
            </w:pPr>
            <w:r w:rsidRPr="003D5FB5">
              <w:rPr>
                <w:rFonts w:asciiTheme="minorHAnsi" w:hAnsiTheme="minorHAnsi" w:cstheme="minorHAnsi"/>
                <w:sz w:val="22"/>
                <w:szCs w:val="22"/>
              </w:rPr>
              <w:t>Replacement of Pin Insulators</w:t>
            </w:r>
          </w:p>
        </w:tc>
        <w:tc>
          <w:tcPr>
            <w:tcW w:w="1090" w:type="dxa"/>
            <w:tcBorders>
              <w:top w:val="single" w:sz="4" w:space="0" w:color="000000"/>
              <w:left w:val="single" w:sz="4" w:space="0" w:color="000000"/>
              <w:bottom w:val="single" w:sz="4" w:space="0" w:color="000000"/>
              <w:right w:val="single" w:sz="4" w:space="0" w:color="000000"/>
            </w:tcBorders>
            <w:shd w:val="clear" w:color="auto" w:fill="FFFFFF" w:themeFill="background1"/>
            <w:tcMar>
              <w:top w:w="15" w:type="dxa"/>
              <w:left w:w="15" w:type="dxa"/>
              <w:bottom w:w="0" w:type="dxa"/>
              <w:right w:w="15" w:type="dxa"/>
            </w:tcMar>
            <w:vAlign w:val="center"/>
          </w:tcPr>
          <w:p w14:paraId="1289E763" w14:textId="77777777" w:rsidR="002F0A87" w:rsidRPr="003D5FB5" w:rsidRDefault="002F0A87" w:rsidP="008356F6">
            <w:pPr>
              <w:tabs>
                <w:tab w:val="left" w:pos="426"/>
              </w:tabs>
              <w:spacing w:line="360" w:lineRule="auto"/>
              <w:ind w:right="-23"/>
              <w:rPr>
                <w:rFonts w:asciiTheme="minorHAnsi" w:hAnsiTheme="minorHAnsi" w:cstheme="minorHAnsi"/>
                <w:sz w:val="22"/>
                <w:szCs w:val="22"/>
              </w:rPr>
            </w:pPr>
            <w:r w:rsidRPr="003D5FB5">
              <w:rPr>
                <w:rFonts w:asciiTheme="minorHAnsi" w:hAnsiTheme="minorHAnsi" w:cstheme="minorHAnsi"/>
                <w:sz w:val="22"/>
                <w:szCs w:val="22"/>
              </w:rPr>
              <w:t>11737</w:t>
            </w:r>
          </w:p>
        </w:tc>
      </w:tr>
      <w:tr w:rsidR="002F0A87" w:rsidRPr="003D5FB5" w14:paraId="34202CB9" w14:textId="77777777" w:rsidTr="008356F6">
        <w:trPr>
          <w:trHeight w:val="152"/>
        </w:trPr>
        <w:tc>
          <w:tcPr>
            <w:tcW w:w="3513" w:type="dxa"/>
            <w:tcBorders>
              <w:top w:val="single" w:sz="4" w:space="0" w:color="000000"/>
              <w:left w:val="single" w:sz="4" w:space="0" w:color="000000"/>
              <w:bottom w:val="single" w:sz="4" w:space="0" w:color="000000"/>
              <w:right w:val="single" w:sz="4" w:space="0" w:color="000000"/>
            </w:tcBorders>
            <w:shd w:val="clear" w:color="auto" w:fill="FFFFFF" w:themeFill="background1"/>
            <w:tcMar>
              <w:top w:w="15" w:type="dxa"/>
              <w:left w:w="15" w:type="dxa"/>
              <w:bottom w:w="0" w:type="dxa"/>
              <w:right w:w="15" w:type="dxa"/>
            </w:tcMar>
            <w:vAlign w:val="center"/>
          </w:tcPr>
          <w:p w14:paraId="44FA7A0C" w14:textId="77777777" w:rsidR="002F0A87" w:rsidRPr="003D5FB5" w:rsidRDefault="002F0A87" w:rsidP="008356F6">
            <w:pPr>
              <w:tabs>
                <w:tab w:val="left" w:pos="426"/>
              </w:tabs>
              <w:spacing w:line="360" w:lineRule="auto"/>
              <w:ind w:right="-23"/>
              <w:rPr>
                <w:rFonts w:asciiTheme="minorHAnsi" w:hAnsiTheme="minorHAnsi" w:cstheme="minorHAnsi"/>
                <w:sz w:val="22"/>
                <w:szCs w:val="22"/>
              </w:rPr>
            </w:pPr>
            <w:r w:rsidRPr="003D5FB5">
              <w:rPr>
                <w:rFonts w:asciiTheme="minorHAnsi" w:hAnsiTheme="minorHAnsi" w:cstheme="minorHAnsi"/>
                <w:sz w:val="22"/>
                <w:szCs w:val="22"/>
              </w:rPr>
              <w:t>Tree Trimming (spans)</w:t>
            </w:r>
          </w:p>
        </w:tc>
        <w:tc>
          <w:tcPr>
            <w:tcW w:w="1090" w:type="dxa"/>
            <w:tcBorders>
              <w:top w:val="single" w:sz="4" w:space="0" w:color="000000"/>
              <w:left w:val="single" w:sz="4" w:space="0" w:color="000000"/>
              <w:bottom w:val="single" w:sz="4" w:space="0" w:color="000000"/>
              <w:right w:val="single" w:sz="4" w:space="0" w:color="000000"/>
            </w:tcBorders>
            <w:shd w:val="clear" w:color="auto" w:fill="FFFFFF" w:themeFill="background1"/>
            <w:tcMar>
              <w:top w:w="15" w:type="dxa"/>
              <w:left w:w="15" w:type="dxa"/>
              <w:bottom w:w="0" w:type="dxa"/>
              <w:right w:w="15" w:type="dxa"/>
            </w:tcMar>
            <w:vAlign w:val="center"/>
          </w:tcPr>
          <w:p w14:paraId="5828E684" w14:textId="77777777" w:rsidR="002F0A87" w:rsidRPr="003D5FB5" w:rsidRDefault="002F0A87" w:rsidP="008356F6">
            <w:pPr>
              <w:tabs>
                <w:tab w:val="left" w:pos="426"/>
              </w:tabs>
              <w:spacing w:line="360" w:lineRule="auto"/>
              <w:ind w:right="-23"/>
              <w:rPr>
                <w:rFonts w:asciiTheme="minorHAnsi" w:hAnsiTheme="minorHAnsi" w:cstheme="minorHAnsi"/>
                <w:sz w:val="22"/>
                <w:szCs w:val="22"/>
              </w:rPr>
            </w:pPr>
            <w:r w:rsidRPr="003D5FB5">
              <w:rPr>
                <w:rFonts w:asciiTheme="minorHAnsi" w:hAnsiTheme="minorHAnsi" w:cstheme="minorHAnsi"/>
                <w:sz w:val="22"/>
                <w:szCs w:val="22"/>
              </w:rPr>
              <w:t>33948</w:t>
            </w:r>
          </w:p>
        </w:tc>
      </w:tr>
      <w:tr w:rsidR="002F0A87" w:rsidRPr="003D5FB5" w14:paraId="613CEA40" w14:textId="77777777" w:rsidTr="008356F6">
        <w:trPr>
          <w:trHeight w:val="152"/>
        </w:trPr>
        <w:tc>
          <w:tcPr>
            <w:tcW w:w="3513" w:type="dxa"/>
            <w:tcBorders>
              <w:top w:val="single" w:sz="4" w:space="0" w:color="000000"/>
              <w:left w:val="single" w:sz="4" w:space="0" w:color="000000"/>
              <w:bottom w:val="single" w:sz="4" w:space="0" w:color="000000"/>
              <w:right w:val="single" w:sz="4" w:space="0" w:color="000000"/>
            </w:tcBorders>
            <w:shd w:val="clear" w:color="auto" w:fill="FFFFFF" w:themeFill="background1"/>
            <w:tcMar>
              <w:top w:w="15" w:type="dxa"/>
              <w:left w:w="15" w:type="dxa"/>
              <w:bottom w:w="0" w:type="dxa"/>
              <w:right w:w="15" w:type="dxa"/>
            </w:tcMar>
            <w:vAlign w:val="center"/>
          </w:tcPr>
          <w:p w14:paraId="516075B8" w14:textId="77777777" w:rsidR="002F0A87" w:rsidRPr="003D5FB5" w:rsidRDefault="002F0A87" w:rsidP="008356F6">
            <w:pPr>
              <w:tabs>
                <w:tab w:val="left" w:pos="426"/>
              </w:tabs>
              <w:spacing w:line="360" w:lineRule="auto"/>
              <w:ind w:right="-23"/>
              <w:rPr>
                <w:rFonts w:asciiTheme="minorHAnsi" w:hAnsiTheme="minorHAnsi" w:cstheme="minorHAnsi"/>
                <w:sz w:val="22"/>
                <w:szCs w:val="22"/>
              </w:rPr>
            </w:pPr>
            <w:r w:rsidRPr="003D5FB5">
              <w:rPr>
                <w:rFonts w:asciiTheme="minorHAnsi" w:hAnsiTheme="minorHAnsi" w:cstheme="minorHAnsi"/>
                <w:sz w:val="22"/>
                <w:szCs w:val="22"/>
              </w:rPr>
              <w:t>Intermediate Pole Erection. (Critical)</w:t>
            </w:r>
          </w:p>
        </w:tc>
        <w:tc>
          <w:tcPr>
            <w:tcW w:w="1090" w:type="dxa"/>
            <w:tcBorders>
              <w:top w:val="single" w:sz="4" w:space="0" w:color="000000"/>
              <w:left w:val="single" w:sz="4" w:space="0" w:color="000000"/>
              <w:bottom w:val="single" w:sz="4" w:space="0" w:color="000000"/>
              <w:right w:val="single" w:sz="4" w:space="0" w:color="000000"/>
            </w:tcBorders>
            <w:shd w:val="clear" w:color="auto" w:fill="FFFFFF" w:themeFill="background1"/>
            <w:tcMar>
              <w:top w:w="15" w:type="dxa"/>
              <w:left w:w="15" w:type="dxa"/>
              <w:bottom w:w="0" w:type="dxa"/>
              <w:right w:w="15" w:type="dxa"/>
            </w:tcMar>
            <w:vAlign w:val="center"/>
          </w:tcPr>
          <w:p w14:paraId="7C90FCBD" w14:textId="77777777" w:rsidR="002F0A87" w:rsidRPr="003D5FB5" w:rsidRDefault="002F0A87" w:rsidP="008356F6">
            <w:pPr>
              <w:tabs>
                <w:tab w:val="left" w:pos="426"/>
              </w:tabs>
              <w:spacing w:line="360" w:lineRule="auto"/>
              <w:ind w:right="-23"/>
              <w:rPr>
                <w:rFonts w:asciiTheme="minorHAnsi" w:hAnsiTheme="minorHAnsi" w:cstheme="minorHAnsi"/>
                <w:sz w:val="22"/>
                <w:szCs w:val="22"/>
              </w:rPr>
            </w:pPr>
            <w:r w:rsidRPr="003D5FB5">
              <w:rPr>
                <w:rFonts w:asciiTheme="minorHAnsi" w:hAnsiTheme="minorHAnsi" w:cstheme="minorHAnsi"/>
                <w:sz w:val="22"/>
                <w:szCs w:val="22"/>
              </w:rPr>
              <w:t>321</w:t>
            </w:r>
          </w:p>
        </w:tc>
      </w:tr>
    </w:tbl>
    <w:p w14:paraId="78F3825F" w14:textId="7253C3EE" w:rsidR="002F0A87" w:rsidRPr="003D5FB5" w:rsidRDefault="008356F6" w:rsidP="002F0A87">
      <w:pPr>
        <w:tabs>
          <w:tab w:val="left" w:pos="426"/>
        </w:tabs>
        <w:spacing w:line="360" w:lineRule="auto"/>
        <w:ind w:left="426" w:right="-23"/>
        <w:rPr>
          <w:rFonts w:asciiTheme="minorHAnsi" w:hAnsiTheme="minorHAnsi" w:cstheme="minorHAnsi"/>
          <w:b/>
          <w:bCs/>
          <w:sz w:val="22"/>
          <w:szCs w:val="22"/>
        </w:rPr>
      </w:pPr>
      <w:r w:rsidRPr="003D5FB5">
        <w:rPr>
          <w:rFonts w:asciiTheme="minorHAnsi" w:hAnsiTheme="minorHAnsi" w:cstheme="minorHAnsi"/>
          <w:noProof/>
          <w:sz w:val="22"/>
          <w:szCs w:val="22"/>
          <w:lang w:val="en-IN" w:eastAsia="en-IN"/>
        </w:rPr>
        <w:drawing>
          <wp:anchor distT="13970" distB="11430" distL="128270" distR="130175" simplePos="0" relativeHeight="251970048" behindDoc="0" locked="0" layoutInCell="0" allowOverlap="1" wp14:anchorId="3283ADBE" wp14:editId="4B5B390F">
            <wp:simplePos x="0" y="0"/>
            <wp:positionH relativeFrom="column">
              <wp:posOffset>3308985</wp:posOffset>
            </wp:positionH>
            <wp:positionV relativeFrom="paragraph">
              <wp:posOffset>413385</wp:posOffset>
            </wp:positionV>
            <wp:extent cx="2707005" cy="2076450"/>
            <wp:effectExtent l="76200" t="76200" r="131445" b="133350"/>
            <wp:wrapSquare wrapText="bothSides"/>
            <wp:docPr id="212922804" name="Picture 45"/>
            <wp:cNvGraphicFramePr/>
            <a:graphic xmlns:a="http://schemas.openxmlformats.org/drawingml/2006/main">
              <a:graphicData uri="http://schemas.openxmlformats.org/drawingml/2006/picture">
                <pic:pic xmlns:pic="http://schemas.openxmlformats.org/drawingml/2006/picture">
                  <pic:nvPicPr>
                    <pic:cNvPr id="26" name="Picture 45"/>
                    <pic:cNvPicPr/>
                  </pic:nvPicPr>
                  <pic:blipFill>
                    <a:blip r:embed="rId32"/>
                    <a:stretch/>
                  </pic:blipFill>
                  <pic:spPr>
                    <a:xfrm>
                      <a:off x="0" y="0"/>
                      <a:ext cx="2707005" cy="2076450"/>
                    </a:xfrm>
                    <a:prstGeom prst="rect">
                      <a:avLst/>
                    </a:prstGeom>
                    <a:ln w="38100" cap="sq">
                      <a:solidFill>
                        <a:srgbClr val="000000"/>
                      </a:solidFill>
                      <a:miter/>
                    </a:ln>
                    <a:effectLst>
                      <a:outerShdw blurRad="50760" dist="37674" dir="2700000" algn="tl" rotWithShape="0">
                        <a:srgbClr val="000000">
                          <a:alpha val="43000"/>
                        </a:srgbClr>
                      </a:outerShdw>
                    </a:effectLst>
                  </pic:spPr>
                </pic:pic>
              </a:graphicData>
            </a:graphic>
            <wp14:sizeRelH relativeFrom="margin">
              <wp14:pctWidth>0</wp14:pctWidth>
            </wp14:sizeRelH>
            <wp14:sizeRelV relativeFrom="margin">
              <wp14:pctHeight>0</wp14:pctHeight>
            </wp14:sizeRelV>
          </wp:anchor>
        </w:drawing>
      </w:r>
      <w:r w:rsidR="002F0A87" w:rsidRPr="003D5FB5">
        <w:rPr>
          <w:rFonts w:asciiTheme="minorHAnsi" w:hAnsiTheme="minorHAnsi" w:cstheme="minorHAnsi"/>
          <w:b/>
          <w:bCs/>
          <w:sz w:val="22"/>
          <w:szCs w:val="22"/>
        </w:rPr>
        <w:t>Table-2</w:t>
      </w:r>
      <w:r w:rsidR="00EA573A">
        <w:rPr>
          <w:rFonts w:asciiTheme="minorHAnsi" w:hAnsiTheme="minorHAnsi" w:cstheme="minorHAnsi"/>
          <w:b/>
          <w:bCs/>
          <w:sz w:val="22"/>
          <w:szCs w:val="22"/>
        </w:rPr>
        <w:t>3</w:t>
      </w:r>
      <w:r w:rsidR="002F0A87" w:rsidRPr="003D5FB5">
        <w:rPr>
          <w:rFonts w:asciiTheme="minorHAnsi" w:hAnsiTheme="minorHAnsi" w:cstheme="minorHAnsi"/>
          <w:b/>
          <w:bCs/>
          <w:sz w:val="22"/>
          <w:szCs w:val="22"/>
        </w:rPr>
        <w:t>: Maintenance Status of 33 kV Line</w:t>
      </w:r>
    </w:p>
    <w:p w14:paraId="30DD70A5" w14:textId="4B06CA9D" w:rsidR="002F0A87" w:rsidRDefault="002F0A87" w:rsidP="002F0A87">
      <w:pPr>
        <w:tabs>
          <w:tab w:val="left" w:pos="426"/>
        </w:tabs>
        <w:spacing w:line="360" w:lineRule="auto"/>
        <w:ind w:right="-23"/>
        <w:jc w:val="both"/>
        <w:rPr>
          <w:rFonts w:asciiTheme="minorHAnsi" w:hAnsiTheme="minorHAnsi" w:cstheme="minorHAnsi"/>
          <w:b/>
          <w:sz w:val="22"/>
          <w:szCs w:val="22"/>
        </w:rPr>
      </w:pPr>
    </w:p>
    <w:p w14:paraId="44BA75C4" w14:textId="40DE677C" w:rsidR="00E70195" w:rsidRPr="003D5FB5" w:rsidRDefault="00E70195" w:rsidP="00E70195">
      <w:pPr>
        <w:tabs>
          <w:tab w:val="left" w:pos="426"/>
        </w:tabs>
        <w:spacing w:line="360" w:lineRule="auto"/>
        <w:ind w:left="567" w:right="-23"/>
        <w:jc w:val="both"/>
        <w:rPr>
          <w:rFonts w:asciiTheme="minorHAnsi" w:hAnsiTheme="minorHAnsi" w:cstheme="minorHAnsi"/>
          <w:b/>
          <w:sz w:val="22"/>
          <w:szCs w:val="22"/>
        </w:rPr>
      </w:pPr>
      <w:r>
        <w:rPr>
          <w:rFonts w:asciiTheme="minorHAnsi" w:hAnsiTheme="minorHAnsi" w:cstheme="minorHAnsi"/>
          <w:b/>
          <w:sz w:val="22"/>
          <w:szCs w:val="22"/>
        </w:rPr>
        <w:t>2.7.4.</w:t>
      </w:r>
      <w:r w:rsidRPr="003D5FB5">
        <w:rPr>
          <w:rFonts w:asciiTheme="minorHAnsi" w:hAnsiTheme="minorHAnsi" w:cstheme="minorHAnsi"/>
          <w:b/>
          <w:sz w:val="22"/>
          <w:szCs w:val="22"/>
        </w:rPr>
        <w:t xml:space="preserve"> </w:t>
      </w:r>
      <w:r>
        <w:rPr>
          <w:rFonts w:asciiTheme="minorHAnsi" w:hAnsiTheme="minorHAnsi" w:cstheme="minorHAnsi"/>
          <w:b/>
          <w:sz w:val="22"/>
          <w:szCs w:val="22"/>
        </w:rPr>
        <w:t>4</w:t>
      </w:r>
      <w:r w:rsidRPr="003D5FB5">
        <w:rPr>
          <w:rFonts w:asciiTheme="minorHAnsi" w:hAnsiTheme="minorHAnsi" w:cstheme="minorHAnsi"/>
          <w:b/>
          <w:sz w:val="22"/>
          <w:szCs w:val="22"/>
        </w:rPr>
        <w:t>.  11KV Network Upkeep</w:t>
      </w:r>
    </w:p>
    <w:p w14:paraId="4044B9BE" w14:textId="77777777" w:rsidR="00E70195" w:rsidRPr="003D5FB5" w:rsidRDefault="00E70195" w:rsidP="00E70195">
      <w:pPr>
        <w:tabs>
          <w:tab w:val="left" w:pos="426"/>
        </w:tabs>
        <w:spacing w:line="360" w:lineRule="auto"/>
        <w:ind w:left="567" w:right="-23"/>
        <w:jc w:val="both"/>
        <w:rPr>
          <w:rFonts w:asciiTheme="minorHAnsi" w:hAnsiTheme="minorHAnsi" w:cstheme="minorHAnsi"/>
          <w:sz w:val="22"/>
          <w:szCs w:val="22"/>
        </w:rPr>
      </w:pPr>
      <w:r w:rsidRPr="003D5FB5">
        <w:rPr>
          <w:rFonts w:asciiTheme="minorHAnsi" w:hAnsiTheme="minorHAnsi" w:cstheme="minorHAnsi"/>
          <w:sz w:val="22"/>
          <w:szCs w:val="22"/>
        </w:rPr>
        <w:t>Steps taken for DSS maintenance, 11KV line maintenance and to maintain the network hygiene are briefed in the following table:</w:t>
      </w:r>
    </w:p>
    <w:p w14:paraId="27968A30" w14:textId="3788E3DC" w:rsidR="00E70195" w:rsidRPr="003D5FB5" w:rsidRDefault="00E70195" w:rsidP="00E70195">
      <w:pPr>
        <w:tabs>
          <w:tab w:val="left" w:pos="426"/>
        </w:tabs>
        <w:spacing w:line="360" w:lineRule="auto"/>
        <w:ind w:right="-23"/>
        <w:jc w:val="center"/>
        <w:rPr>
          <w:rFonts w:asciiTheme="minorHAnsi" w:hAnsiTheme="minorHAnsi" w:cstheme="minorHAnsi"/>
          <w:b/>
          <w:sz w:val="22"/>
          <w:szCs w:val="22"/>
        </w:rPr>
      </w:pPr>
      <w:r w:rsidRPr="003D5FB5">
        <w:rPr>
          <w:rFonts w:asciiTheme="minorHAnsi" w:hAnsiTheme="minorHAnsi" w:cstheme="minorHAnsi"/>
          <w:b/>
          <w:sz w:val="22"/>
          <w:szCs w:val="22"/>
        </w:rPr>
        <w:t>Table-2</w:t>
      </w:r>
      <w:r w:rsidR="00EA573A">
        <w:rPr>
          <w:rFonts w:asciiTheme="minorHAnsi" w:hAnsiTheme="minorHAnsi" w:cstheme="minorHAnsi"/>
          <w:b/>
          <w:sz w:val="22"/>
          <w:szCs w:val="22"/>
        </w:rPr>
        <w:t>4</w:t>
      </w:r>
      <w:r w:rsidRPr="003D5FB5">
        <w:rPr>
          <w:rFonts w:asciiTheme="minorHAnsi" w:hAnsiTheme="minorHAnsi" w:cstheme="minorHAnsi"/>
          <w:b/>
          <w:sz w:val="22"/>
          <w:szCs w:val="22"/>
        </w:rPr>
        <w:t>: 11KV Network Upkeep</w:t>
      </w:r>
    </w:p>
    <w:tbl>
      <w:tblPr>
        <w:tblW w:w="8785" w:type="dxa"/>
        <w:tblInd w:w="555" w:type="dxa"/>
        <w:tblLayout w:type="fixed"/>
        <w:tblCellMar>
          <w:left w:w="7" w:type="dxa"/>
          <w:right w:w="7" w:type="dxa"/>
        </w:tblCellMar>
        <w:tblLook w:val="04A0" w:firstRow="1" w:lastRow="0" w:firstColumn="1" w:lastColumn="0" w:noHBand="0" w:noVBand="1"/>
      </w:tblPr>
      <w:tblGrid>
        <w:gridCol w:w="1862"/>
        <w:gridCol w:w="720"/>
        <w:gridCol w:w="12"/>
        <w:gridCol w:w="1841"/>
        <w:gridCol w:w="1002"/>
        <w:gridCol w:w="2332"/>
        <w:gridCol w:w="979"/>
        <w:gridCol w:w="37"/>
      </w:tblGrid>
      <w:tr w:rsidR="00E70195" w:rsidRPr="003D5FB5" w14:paraId="727D398F" w14:textId="77777777" w:rsidTr="00E06740">
        <w:trPr>
          <w:trHeight w:val="297"/>
        </w:trPr>
        <w:tc>
          <w:tcPr>
            <w:tcW w:w="2582" w:type="dxa"/>
            <w:gridSpan w:val="2"/>
            <w:tcBorders>
              <w:top w:val="single" w:sz="6" w:space="0" w:color="000000"/>
              <w:left w:val="single" w:sz="6" w:space="0" w:color="000000"/>
              <w:bottom w:val="single" w:sz="6" w:space="0" w:color="000000"/>
              <w:right w:val="single" w:sz="6" w:space="0" w:color="000000"/>
            </w:tcBorders>
            <w:shd w:val="clear" w:color="auto" w:fill="95B3D7" w:themeFill="accent1" w:themeFillTint="99"/>
          </w:tcPr>
          <w:p w14:paraId="554016F2" w14:textId="77777777" w:rsidR="00E70195" w:rsidRPr="003D5FB5" w:rsidRDefault="00E70195" w:rsidP="00E06740">
            <w:pPr>
              <w:spacing w:line="360" w:lineRule="auto"/>
              <w:ind w:right="-30"/>
              <w:jc w:val="center"/>
              <w:textAlignment w:val="baseline"/>
              <w:rPr>
                <w:rFonts w:asciiTheme="minorHAnsi" w:hAnsiTheme="minorHAnsi" w:cstheme="minorHAnsi"/>
                <w:sz w:val="22"/>
                <w:szCs w:val="22"/>
                <w:lang w:eastAsia="en-IN"/>
              </w:rPr>
            </w:pPr>
            <w:r w:rsidRPr="003D5FB5">
              <w:rPr>
                <w:rFonts w:asciiTheme="minorHAnsi" w:hAnsiTheme="minorHAnsi" w:cstheme="minorHAnsi"/>
                <w:b/>
                <w:bCs/>
                <w:sz w:val="22"/>
                <w:szCs w:val="22"/>
                <w:lang w:eastAsia="en-IN"/>
              </w:rPr>
              <w:t>DSS Maintenance</w:t>
            </w:r>
          </w:p>
        </w:tc>
        <w:tc>
          <w:tcPr>
            <w:tcW w:w="2855" w:type="dxa"/>
            <w:gridSpan w:val="3"/>
            <w:tcBorders>
              <w:top w:val="single" w:sz="6" w:space="0" w:color="000000"/>
              <w:left w:val="single" w:sz="6" w:space="0" w:color="000000"/>
              <w:bottom w:val="single" w:sz="6" w:space="0" w:color="000000"/>
              <w:right w:val="single" w:sz="6" w:space="0" w:color="000000"/>
            </w:tcBorders>
            <w:shd w:val="clear" w:color="auto" w:fill="95B3D7" w:themeFill="accent1" w:themeFillTint="99"/>
          </w:tcPr>
          <w:p w14:paraId="16BD3502" w14:textId="77777777" w:rsidR="00E70195" w:rsidRPr="003D5FB5" w:rsidRDefault="00E70195" w:rsidP="00E06740">
            <w:pPr>
              <w:spacing w:line="360" w:lineRule="auto"/>
              <w:ind w:right="-30"/>
              <w:jc w:val="center"/>
              <w:textAlignment w:val="baseline"/>
              <w:rPr>
                <w:rFonts w:asciiTheme="minorHAnsi" w:hAnsiTheme="minorHAnsi" w:cstheme="minorHAnsi"/>
                <w:sz w:val="22"/>
                <w:szCs w:val="22"/>
                <w:lang w:eastAsia="en-IN"/>
              </w:rPr>
            </w:pPr>
            <w:r w:rsidRPr="003D5FB5">
              <w:rPr>
                <w:rFonts w:asciiTheme="minorHAnsi" w:hAnsiTheme="minorHAnsi" w:cstheme="minorHAnsi"/>
                <w:b/>
                <w:bCs/>
                <w:sz w:val="22"/>
                <w:szCs w:val="22"/>
                <w:lang w:eastAsia="en-IN"/>
              </w:rPr>
              <w:t>Network Hygiene</w:t>
            </w:r>
          </w:p>
        </w:tc>
        <w:tc>
          <w:tcPr>
            <w:tcW w:w="3348" w:type="dxa"/>
            <w:gridSpan w:val="3"/>
            <w:tcBorders>
              <w:top w:val="single" w:sz="6" w:space="0" w:color="000000"/>
              <w:left w:val="single" w:sz="6" w:space="0" w:color="000000"/>
              <w:bottom w:val="single" w:sz="6" w:space="0" w:color="000000"/>
              <w:right w:val="single" w:sz="6" w:space="0" w:color="000000"/>
            </w:tcBorders>
            <w:shd w:val="clear" w:color="auto" w:fill="95B3D7" w:themeFill="accent1" w:themeFillTint="99"/>
          </w:tcPr>
          <w:p w14:paraId="73A74133" w14:textId="77777777" w:rsidR="00E70195" w:rsidRPr="003D5FB5" w:rsidRDefault="00E70195" w:rsidP="00E06740">
            <w:pPr>
              <w:spacing w:line="360" w:lineRule="auto"/>
              <w:ind w:right="-30"/>
              <w:jc w:val="center"/>
              <w:textAlignment w:val="baseline"/>
              <w:rPr>
                <w:rFonts w:asciiTheme="minorHAnsi" w:hAnsiTheme="minorHAnsi" w:cstheme="minorHAnsi"/>
                <w:sz w:val="22"/>
                <w:szCs w:val="22"/>
                <w:lang w:eastAsia="en-IN"/>
              </w:rPr>
            </w:pPr>
            <w:r w:rsidRPr="003D5FB5">
              <w:rPr>
                <w:rFonts w:asciiTheme="minorHAnsi" w:hAnsiTheme="minorHAnsi" w:cstheme="minorHAnsi"/>
                <w:b/>
                <w:bCs/>
                <w:sz w:val="22"/>
                <w:szCs w:val="22"/>
                <w:lang w:eastAsia="en-IN"/>
              </w:rPr>
              <w:t>11KV Line Maintenance</w:t>
            </w:r>
          </w:p>
        </w:tc>
      </w:tr>
      <w:tr w:rsidR="00E70195" w:rsidRPr="003D5FB5" w14:paraId="5C31D3CE" w14:textId="77777777" w:rsidTr="00E06740">
        <w:trPr>
          <w:trHeight w:val="364"/>
        </w:trPr>
        <w:tc>
          <w:tcPr>
            <w:tcW w:w="1862" w:type="dxa"/>
            <w:tcBorders>
              <w:top w:val="single" w:sz="6" w:space="0" w:color="000000"/>
              <w:left w:val="single" w:sz="6" w:space="0" w:color="000000"/>
              <w:bottom w:val="single" w:sz="6" w:space="0" w:color="000000"/>
              <w:right w:val="single" w:sz="6" w:space="0" w:color="000000"/>
            </w:tcBorders>
            <w:shd w:val="clear" w:color="auto" w:fill="FFFFFF"/>
          </w:tcPr>
          <w:p w14:paraId="491622DA" w14:textId="77777777" w:rsidR="00E70195" w:rsidRPr="003D5FB5" w:rsidRDefault="00E70195" w:rsidP="00E06740">
            <w:pPr>
              <w:spacing w:line="360" w:lineRule="auto"/>
              <w:ind w:right="-30"/>
              <w:jc w:val="center"/>
              <w:textAlignment w:val="baseline"/>
              <w:rPr>
                <w:rFonts w:asciiTheme="minorHAnsi" w:hAnsiTheme="minorHAnsi" w:cstheme="minorHAnsi"/>
                <w:bCs/>
                <w:sz w:val="22"/>
                <w:szCs w:val="22"/>
                <w:lang w:eastAsia="en-IN"/>
              </w:rPr>
            </w:pPr>
            <w:r w:rsidRPr="003D5FB5">
              <w:rPr>
                <w:rFonts w:asciiTheme="minorHAnsi" w:hAnsiTheme="minorHAnsi" w:cstheme="minorHAnsi"/>
                <w:bCs/>
                <w:iCs/>
                <w:color w:val="000000"/>
                <w:sz w:val="22"/>
                <w:szCs w:val="22"/>
                <w:lang w:eastAsia="en-IN"/>
              </w:rPr>
              <w:t>Tree Trimming / Vegetation Removal (Span)</w:t>
            </w:r>
          </w:p>
        </w:tc>
        <w:tc>
          <w:tcPr>
            <w:tcW w:w="732" w:type="dxa"/>
            <w:gridSpan w:val="2"/>
            <w:tcBorders>
              <w:top w:val="single" w:sz="6" w:space="0" w:color="000000"/>
              <w:left w:val="single" w:sz="6" w:space="0" w:color="000000"/>
              <w:bottom w:val="single" w:sz="6" w:space="0" w:color="000000"/>
              <w:right w:val="single" w:sz="6" w:space="0" w:color="000000"/>
            </w:tcBorders>
            <w:shd w:val="clear" w:color="auto" w:fill="FFFFFF"/>
          </w:tcPr>
          <w:p w14:paraId="7143E16E" w14:textId="77777777" w:rsidR="00E70195" w:rsidRPr="003D5FB5" w:rsidRDefault="00E70195" w:rsidP="00E06740">
            <w:pPr>
              <w:spacing w:line="360" w:lineRule="auto"/>
              <w:ind w:right="-30"/>
              <w:jc w:val="center"/>
              <w:textAlignment w:val="baseline"/>
              <w:rPr>
                <w:rFonts w:asciiTheme="minorHAnsi" w:hAnsiTheme="minorHAnsi" w:cstheme="minorHAnsi"/>
                <w:bCs/>
                <w:sz w:val="22"/>
                <w:szCs w:val="22"/>
                <w:lang w:eastAsia="en-IN"/>
              </w:rPr>
            </w:pPr>
            <w:r w:rsidRPr="003D5FB5">
              <w:rPr>
                <w:rFonts w:asciiTheme="minorHAnsi" w:hAnsiTheme="minorHAnsi" w:cstheme="minorHAnsi"/>
                <w:bCs/>
                <w:color w:val="000000"/>
                <w:sz w:val="22"/>
                <w:szCs w:val="22"/>
                <w:lang w:eastAsia="en-IN"/>
              </w:rPr>
              <w:t>41092</w:t>
            </w:r>
          </w:p>
        </w:tc>
        <w:tc>
          <w:tcPr>
            <w:tcW w:w="1841" w:type="dxa"/>
            <w:tcBorders>
              <w:top w:val="single" w:sz="6" w:space="0" w:color="000000"/>
              <w:left w:val="single" w:sz="6" w:space="0" w:color="000000"/>
              <w:bottom w:val="single" w:sz="6" w:space="0" w:color="000000"/>
              <w:right w:val="single" w:sz="6" w:space="0" w:color="000000"/>
            </w:tcBorders>
            <w:shd w:val="clear" w:color="auto" w:fill="FFFFFF"/>
          </w:tcPr>
          <w:p w14:paraId="542C29CD" w14:textId="77777777" w:rsidR="00E70195" w:rsidRPr="003D5FB5" w:rsidRDefault="00E70195" w:rsidP="00E06740">
            <w:pPr>
              <w:spacing w:line="360" w:lineRule="auto"/>
              <w:ind w:right="-30"/>
              <w:jc w:val="center"/>
              <w:textAlignment w:val="baseline"/>
              <w:rPr>
                <w:rFonts w:asciiTheme="minorHAnsi" w:hAnsiTheme="minorHAnsi" w:cstheme="minorHAnsi"/>
                <w:bCs/>
                <w:sz w:val="22"/>
                <w:szCs w:val="22"/>
                <w:lang w:eastAsia="en-IN"/>
              </w:rPr>
            </w:pPr>
            <w:r w:rsidRPr="003D5FB5">
              <w:rPr>
                <w:rFonts w:asciiTheme="minorHAnsi" w:hAnsiTheme="minorHAnsi" w:cstheme="minorHAnsi"/>
                <w:bCs/>
                <w:iCs/>
                <w:color w:val="000000"/>
                <w:sz w:val="22"/>
                <w:szCs w:val="22"/>
                <w:lang w:eastAsia="en-IN"/>
              </w:rPr>
              <w:t>Pin Insulator Replaced</w:t>
            </w:r>
          </w:p>
        </w:tc>
        <w:tc>
          <w:tcPr>
            <w:tcW w:w="1000" w:type="dxa"/>
            <w:tcBorders>
              <w:top w:val="single" w:sz="6" w:space="0" w:color="000000"/>
              <w:left w:val="single" w:sz="6" w:space="0" w:color="000000"/>
              <w:bottom w:val="single" w:sz="6" w:space="0" w:color="000000"/>
              <w:right w:val="single" w:sz="6" w:space="0" w:color="000000"/>
            </w:tcBorders>
            <w:shd w:val="clear" w:color="auto" w:fill="FFFFFF"/>
          </w:tcPr>
          <w:p w14:paraId="3D4C8C98" w14:textId="77777777" w:rsidR="00E70195" w:rsidRPr="003D5FB5" w:rsidRDefault="00E70195" w:rsidP="00E06740">
            <w:pPr>
              <w:spacing w:line="360" w:lineRule="auto"/>
              <w:ind w:right="-30"/>
              <w:jc w:val="center"/>
              <w:textAlignment w:val="baseline"/>
              <w:rPr>
                <w:rFonts w:asciiTheme="minorHAnsi" w:hAnsiTheme="minorHAnsi" w:cstheme="minorHAnsi"/>
                <w:bCs/>
                <w:sz w:val="22"/>
                <w:szCs w:val="22"/>
                <w:lang w:eastAsia="en-IN"/>
              </w:rPr>
            </w:pPr>
            <w:r w:rsidRPr="003D5FB5">
              <w:rPr>
                <w:rFonts w:asciiTheme="minorHAnsi" w:hAnsiTheme="minorHAnsi" w:cstheme="minorHAnsi"/>
                <w:bCs/>
                <w:color w:val="000000"/>
                <w:sz w:val="22"/>
                <w:szCs w:val="22"/>
                <w:lang w:eastAsia="en-IN"/>
              </w:rPr>
              <w:t>39507</w:t>
            </w:r>
          </w:p>
        </w:tc>
        <w:tc>
          <w:tcPr>
            <w:tcW w:w="2332" w:type="dxa"/>
            <w:tcBorders>
              <w:top w:val="single" w:sz="6" w:space="0" w:color="000000"/>
              <w:left w:val="single" w:sz="6" w:space="0" w:color="000000"/>
              <w:bottom w:val="single" w:sz="6" w:space="0" w:color="000000"/>
              <w:right w:val="single" w:sz="6" w:space="0" w:color="000000"/>
            </w:tcBorders>
            <w:shd w:val="clear" w:color="auto" w:fill="FFFFFF"/>
          </w:tcPr>
          <w:p w14:paraId="3CBA6502" w14:textId="77777777" w:rsidR="00E70195" w:rsidRPr="003D5FB5" w:rsidRDefault="00E70195" w:rsidP="00E06740">
            <w:pPr>
              <w:spacing w:line="360" w:lineRule="auto"/>
              <w:ind w:right="-30"/>
              <w:jc w:val="center"/>
              <w:textAlignment w:val="baseline"/>
              <w:rPr>
                <w:rFonts w:asciiTheme="minorHAnsi" w:hAnsiTheme="minorHAnsi" w:cstheme="minorHAnsi"/>
                <w:bCs/>
                <w:sz w:val="22"/>
                <w:szCs w:val="22"/>
                <w:lang w:eastAsia="en-IN"/>
              </w:rPr>
            </w:pPr>
            <w:r w:rsidRPr="003D5FB5">
              <w:rPr>
                <w:rFonts w:asciiTheme="minorHAnsi" w:hAnsiTheme="minorHAnsi" w:cstheme="minorHAnsi"/>
                <w:bCs/>
                <w:iCs/>
                <w:color w:val="000000"/>
                <w:sz w:val="22"/>
                <w:szCs w:val="22"/>
                <w:lang w:eastAsia="en-IN"/>
              </w:rPr>
              <w:t>Tree Trimming / Vegetation Removal (Span)</w:t>
            </w:r>
          </w:p>
        </w:tc>
        <w:tc>
          <w:tcPr>
            <w:tcW w:w="979" w:type="dxa"/>
            <w:tcBorders>
              <w:top w:val="single" w:sz="6" w:space="0" w:color="000000"/>
              <w:left w:val="single" w:sz="6" w:space="0" w:color="000000"/>
              <w:bottom w:val="single" w:sz="6" w:space="0" w:color="000000"/>
              <w:right w:val="single" w:sz="6" w:space="0" w:color="000000"/>
            </w:tcBorders>
            <w:shd w:val="clear" w:color="auto" w:fill="FFFFFF"/>
          </w:tcPr>
          <w:p w14:paraId="55C1C3A2" w14:textId="77777777" w:rsidR="00E70195" w:rsidRPr="003D5FB5" w:rsidRDefault="00E70195" w:rsidP="00E06740">
            <w:pPr>
              <w:spacing w:line="360" w:lineRule="auto"/>
              <w:ind w:right="-30"/>
              <w:jc w:val="center"/>
              <w:textAlignment w:val="baseline"/>
              <w:rPr>
                <w:rFonts w:asciiTheme="minorHAnsi" w:hAnsiTheme="minorHAnsi" w:cstheme="minorHAnsi"/>
                <w:bCs/>
                <w:sz w:val="22"/>
                <w:szCs w:val="22"/>
                <w:lang w:eastAsia="en-IN"/>
              </w:rPr>
            </w:pPr>
            <w:r w:rsidRPr="003D5FB5">
              <w:rPr>
                <w:rFonts w:asciiTheme="minorHAnsi" w:hAnsiTheme="minorHAnsi" w:cstheme="minorHAnsi"/>
                <w:color w:val="000000"/>
                <w:sz w:val="22"/>
                <w:szCs w:val="22"/>
                <w:lang w:eastAsia="en-IN"/>
              </w:rPr>
              <w:t>203724</w:t>
            </w:r>
          </w:p>
        </w:tc>
        <w:tc>
          <w:tcPr>
            <w:tcW w:w="36" w:type="dxa"/>
          </w:tcPr>
          <w:p w14:paraId="057B09C1" w14:textId="77777777" w:rsidR="00E70195" w:rsidRPr="003D5FB5" w:rsidRDefault="00E70195" w:rsidP="00E06740">
            <w:pPr>
              <w:rPr>
                <w:rFonts w:asciiTheme="minorHAnsi" w:hAnsiTheme="minorHAnsi" w:cstheme="minorHAnsi"/>
                <w:sz w:val="22"/>
                <w:szCs w:val="22"/>
              </w:rPr>
            </w:pPr>
          </w:p>
        </w:tc>
      </w:tr>
      <w:tr w:rsidR="00E70195" w:rsidRPr="003D5FB5" w14:paraId="4FB37011" w14:textId="77777777" w:rsidTr="00E06740">
        <w:trPr>
          <w:trHeight w:val="230"/>
        </w:trPr>
        <w:tc>
          <w:tcPr>
            <w:tcW w:w="1862" w:type="dxa"/>
            <w:tcBorders>
              <w:top w:val="single" w:sz="6" w:space="0" w:color="000000"/>
              <w:left w:val="single" w:sz="6" w:space="0" w:color="000000"/>
              <w:bottom w:val="single" w:sz="6" w:space="0" w:color="000000"/>
              <w:right w:val="single" w:sz="6" w:space="0" w:color="000000"/>
            </w:tcBorders>
            <w:shd w:val="clear" w:color="auto" w:fill="95B3D7" w:themeFill="accent1" w:themeFillTint="99"/>
          </w:tcPr>
          <w:p w14:paraId="7E97637E" w14:textId="77777777" w:rsidR="00E70195" w:rsidRPr="003D5FB5" w:rsidRDefault="00E70195" w:rsidP="00E06740">
            <w:pPr>
              <w:spacing w:line="360" w:lineRule="auto"/>
              <w:ind w:right="-30"/>
              <w:jc w:val="center"/>
              <w:textAlignment w:val="baseline"/>
              <w:rPr>
                <w:rFonts w:asciiTheme="minorHAnsi" w:hAnsiTheme="minorHAnsi" w:cstheme="minorHAnsi"/>
                <w:sz w:val="22"/>
                <w:szCs w:val="22"/>
                <w:lang w:eastAsia="en-IN"/>
              </w:rPr>
            </w:pPr>
            <w:r w:rsidRPr="003D5FB5">
              <w:rPr>
                <w:rFonts w:asciiTheme="minorHAnsi" w:hAnsiTheme="minorHAnsi" w:cstheme="minorHAnsi"/>
                <w:bCs/>
                <w:iCs/>
                <w:color w:val="000000"/>
                <w:sz w:val="22"/>
                <w:szCs w:val="22"/>
                <w:lang w:eastAsia="en-IN"/>
              </w:rPr>
              <w:t>Earthing Resistances Checked</w:t>
            </w:r>
          </w:p>
        </w:tc>
        <w:tc>
          <w:tcPr>
            <w:tcW w:w="732" w:type="dxa"/>
            <w:gridSpan w:val="2"/>
            <w:tcBorders>
              <w:top w:val="single" w:sz="6" w:space="0" w:color="000000"/>
              <w:left w:val="single" w:sz="6" w:space="0" w:color="000000"/>
              <w:bottom w:val="single" w:sz="6" w:space="0" w:color="000000"/>
              <w:right w:val="single" w:sz="6" w:space="0" w:color="000000"/>
            </w:tcBorders>
            <w:shd w:val="clear" w:color="auto" w:fill="95B3D7" w:themeFill="accent1" w:themeFillTint="99"/>
          </w:tcPr>
          <w:p w14:paraId="10D0DAED" w14:textId="77777777" w:rsidR="00E70195" w:rsidRPr="003D5FB5" w:rsidRDefault="00E70195" w:rsidP="00E06740">
            <w:pPr>
              <w:spacing w:line="360" w:lineRule="auto"/>
              <w:ind w:right="-30"/>
              <w:jc w:val="center"/>
              <w:textAlignment w:val="baseline"/>
              <w:rPr>
                <w:rFonts w:asciiTheme="minorHAnsi" w:hAnsiTheme="minorHAnsi" w:cstheme="minorHAnsi"/>
                <w:sz w:val="22"/>
                <w:szCs w:val="22"/>
                <w:lang w:eastAsia="en-IN"/>
              </w:rPr>
            </w:pPr>
            <w:r w:rsidRPr="003D5FB5">
              <w:rPr>
                <w:rFonts w:asciiTheme="minorHAnsi" w:hAnsiTheme="minorHAnsi" w:cstheme="minorHAnsi"/>
                <w:bCs/>
                <w:color w:val="000000"/>
                <w:sz w:val="22"/>
                <w:szCs w:val="22"/>
                <w:lang w:eastAsia="en-IN"/>
              </w:rPr>
              <w:t>712</w:t>
            </w:r>
          </w:p>
        </w:tc>
        <w:tc>
          <w:tcPr>
            <w:tcW w:w="1841" w:type="dxa"/>
            <w:tcBorders>
              <w:top w:val="single" w:sz="6" w:space="0" w:color="000000"/>
              <w:left w:val="single" w:sz="6" w:space="0" w:color="000000"/>
              <w:bottom w:val="single" w:sz="6" w:space="0" w:color="000000"/>
              <w:right w:val="single" w:sz="6" w:space="0" w:color="000000"/>
            </w:tcBorders>
            <w:shd w:val="clear" w:color="auto" w:fill="95B3D7" w:themeFill="accent1" w:themeFillTint="99"/>
          </w:tcPr>
          <w:p w14:paraId="376B7D35" w14:textId="77777777" w:rsidR="00E70195" w:rsidRPr="003D5FB5" w:rsidRDefault="00E70195" w:rsidP="00E06740">
            <w:pPr>
              <w:spacing w:line="360" w:lineRule="auto"/>
              <w:ind w:right="-30"/>
              <w:jc w:val="center"/>
              <w:textAlignment w:val="baseline"/>
              <w:rPr>
                <w:rFonts w:asciiTheme="minorHAnsi" w:hAnsiTheme="minorHAnsi" w:cstheme="minorHAnsi"/>
                <w:sz w:val="22"/>
                <w:szCs w:val="22"/>
                <w:lang w:eastAsia="en-IN"/>
              </w:rPr>
            </w:pPr>
            <w:r w:rsidRPr="003D5FB5">
              <w:rPr>
                <w:rFonts w:asciiTheme="minorHAnsi" w:hAnsiTheme="minorHAnsi" w:cstheme="minorHAnsi"/>
                <w:bCs/>
                <w:iCs/>
                <w:color w:val="000000"/>
                <w:sz w:val="22"/>
                <w:szCs w:val="22"/>
                <w:lang w:eastAsia="en-IN"/>
              </w:rPr>
              <w:t>HG/DD Fuse Unit</w:t>
            </w:r>
          </w:p>
        </w:tc>
        <w:tc>
          <w:tcPr>
            <w:tcW w:w="1000" w:type="dxa"/>
            <w:tcBorders>
              <w:top w:val="single" w:sz="6" w:space="0" w:color="000000"/>
              <w:left w:val="single" w:sz="6" w:space="0" w:color="000000"/>
              <w:bottom w:val="single" w:sz="6" w:space="0" w:color="000000"/>
              <w:right w:val="single" w:sz="6" w:space="0" w:color="000000"/>
            </w:tcBorders>
            <w:shd w:val="clear" w:color="auto" w:fill="95B3D7" w:themeFill="accent1" w:themeFillTint="99"/>
          </w:tcPr>
          <w:p w14:paraId="31AF1C31" w14:textId="77777777" w:rsidR="00E70195" w:rsidRPr="003D5FB5" w:rsidRDefault="00E70195" w:rsidP="00E06740">
            <w:pPr>
              <w:spacing w:line="360" w:lineRule="auto"/>
              <w:ind w:right="-30"/>
              <w:jc w:val="center"/>
              <w:textAlignment w:val="baseline"/>
              <w:rPr>
                <w:rFonts w:asciiTheme="minorHAnsi" w:hAnsiTheme="minorHAnsi" w:cstheme="minorHAnsi"/>
                <w:sz w:val="22"/>
                <w:szCs w:val="22"/>
                <w:lang w:eastAsia="en-IN"/>
              </w:rPr>
            </w:pPr>
            <w:r w:rsidRPr="003D5FB5">
              <w:rPr>
                <w:rFonts w:asciiTheme="minorHAnsi" w:hAnsiTheme="minorHAnsi" w:cstheme="minorHAnsi"/>
                <w:bCs/>
                <w:color w:val="000000"/>
                <w:sz w:val="22"/>
                <w:szCs w:val="22"/>
                <w:lang w:eastAsia="en-IN"/>
              </w:rPr>
              <w:t>15180</w:t>
            </w:r>
          </w:p>
        </w:tc>
        <w:tc>
          <w:tcPr>
            <w:tcW w:w="2332" w:type="dxa"/>
            <w:tcBorders>
              <w:top w:val="single" w:sz="6" w:space="0" w:color="000000"/>
              <w:left w:val="single" w:sz="6" w:space="0" w:color="000000"/>
              <w:bottom w:val="single" w:sz="6" w:space="0" w:color="000000"/>
              <w:right w:val="single" w:sz="6" w:space="0" w:color="000000"/>
            </w:tcBorders>
            <w:shd w:val="clear" w:color="auto" w:fill="95B3D7" w:themeFill="accent1" w:themeFillTint="99"/>
          </w:tcPr>
          <w:p w14:paraId="25D957A6" w14:textId="77777777" w:rsidR="00E70195" w:rsidRPr="003D5FB5" w:rsidRDefault="00E70195" w:rsidP="00E06740">
            <w:pPr>
              <w:spacing w:line="360" w:lineRule="auto"/>
              <w:ind w:right="-30"/>
              <w:jc w:val="center"/>
              <w:textAlignment w:val="baseline"/>
              <w:rPr>
                <w:rFonts w:asciiTheme="minorHAnsi" w:hAnsiTheme="minorHAnsi" w:cstheme="minorHAnsi"/>
                <w:sz w:val="22"/>
                <w:szCs w:val="22"/>
                <w:lang w:eastAsia="en-IN"/>
              </w:rPr>
            </w:pPr>
            <w:r w:rsidRPr="003D5FB5">
              <w:rPr>
                <w:rFonts w:asciiTheme="minorHAnsi" w:hAnsiTheme="minorHAnsi" w:cstheme="minorHAnsi"/>
                <w:bCs/>
                <w:iCs/>
                <w:color w:val="000000"/>
                <w:sz w:val="22"/>
                <w:szCs w:val="22"/>
                <w:lang w:eastAsia="en-IN"/>
              </w:rPr>
              <w:t>Conductor Restringing</w:t>
            </w:r>
          </w:p>
          <w:p w14:paraId="1E043899" w14:textId="77777777" w:rsidR="00E70195" w:rsidRPr="003D5FB5" w:rsidRDefault="00E70195" w:rsidP="00E06740">
            <w:pPr>
              <w:spacing w:line="360" w:lineRule="auto"/>
              <w:ind w:right="-30"/>
              <w:jc w:val="center"/>
              <w:textAlignment w:val="baseline"/>
              <w:rPr>
                <w:rFonts w:asciiTheme="minorHAnsi" w:hAnsiTheme="minorHAnsi" w:cstheme="minorHAnsi"/>
                <w:sz w:val="22"/>
                <w:szCs w:val="22"/>
                <w:lang w:eastAsia="en-IN"/>
              </w:rPr>
            </w:pPr>
            <w:r w:rsidRPr="003D5FB5">
              <w:rPr>
                <w:rFonts w:asciiTheme="minorHAnsi" w:hAnsiTheme="minorHAnsi" w:cstheme="minorHAnsi"/>
                <w:bCs/>
                <w:iCs/>
                <w:color w:val="000000"/>
                <w:sz w:val="22"/>
                <w:szCs w:val="22"/>
                <w:lang w:eastAsia="en-IN"/>
              </w:rPr>
              <w:t>(</w:t>
            </w:r>
            <w:proofErr w:type="spellStart"/>
            <w:r w:rsidRPr="003D5FB5">
              <w:rPr>
                <w:rFonts w:asciiTheme="minorHAnsi" w:hAnsiTheme="minorHAnsi" w:cstheme="minorHAnsi"/>
                <w:bCs/>
                <w:iCs/>
                <w:color w:val="000000"/>
                <w:sz w:val="22"/>
                <w:szCs w:val="22"/>
                <w:lang w:eastAsia="en-IN"/>
              </w:rPr>
              <w:t>Kmtrs</w:t>
            </w:r>
            <w:proofErr w:type="spellEnd"/>
            <w:r w:rsidRPr="003D5FB5">
              <w:rPr>
                <w:rFonts w:asciiTheme="minorHAnsi" w:hAnsiTheme="minorHAnsi" w:cstheme="minorHAnsi"/>
                <w:bCs/>
                <w:iCs/>
                <w:color w:val="000000"/>
                <w:sz w:val="22"/>
                <w:szCs w:val="22"/>
                <w:lang w:eastAsia="en-IN"/>
              </w:rPr>
              <w:t>.)</w:t>
            </w:r>
          </w:p>
        </w:tc>
        <w:tc>
          <w:tcPr>
            <w:tcW w:w="979" w:type="dxa"/>
            <w:tcBorders>
              <w:top w:val="single" w:sz="6" w:space="0" w:color="000000"/>
              <w:left w:val="single" w:sz="6" w:space="0" w:color="000000"/>
              <w:bottom w:val="single" w:sz="6" w:space="0" w:color="000000"/>
              <w:right w:val="single" w:sz="6" w:space="0" w:color="000000"/>
            </w:tcBorders>
            <w:shd w:val="clear" w:color="auto" w:fill="95B3D7" w:themeFill="accent1" w:themeFillTint="99"/>
          </w:tcPr>
          <w:p w14:paraId="22FC0F63" w14:textId="77777777" w:rsidR="00E70195" w:rsidRPr="003D5FB5" w:rsidRDefault="00E70195" w:rsidP="00E06740">
            <w:pPr>
              <w:spacing w:line="360" w:lineRule="auto"/>
              <w:ind w:right="-30"/>
              <w:jc w:val="center"/>
              <w:textAlignment w:val="baseline"/>
              <w:rPr>
                <w:rFonts w:asciiTheme="minorHAnsi" w:hAnsiTheme="minorHAnsi" w:cstheme="minorHAnsi"/>
                <w:sz w:val="22"/>
                <w:szCs w:val="22"/>
                <w:lang w:eastAsia="en-IN"/>
              </w:rPr>
            </w:pPr>
            <w:r w:rsidRPr="003D5FB5">
              <w:rPr>
                <w:rFonts w:asciiTheme="minorHAnsi" w:hAnsiTheme="minorHAnsi" w:cstheme="minorHAnsi"/>
                <w:color w:val="000000"/>
                <w:sz w:val="22"/>
                <w:szCs w:val="22"/>
                <w:lang w:eastAsia="en-IN"/>
              </w:rPr>
              <w:t>8339.2</w:t>
            </w:r>
          </w:p>
        </w:tc>
        <w:tc>
          <w:tcPr>
            <w:tcW w:w="36" w:type="dxa"/>
          </w:tcPr>
          <w:p w14:paraId="3AE71F95" w14:textId="77777777" w:rsidR="00E70195" w:rsidRPr="003D5FB5" w:rsidRDefault="00E70195" w:rsidP="00E06740">
            <w:pPr>
              <w:rPr>
                <w:rFonts w:asciiTheme="minorHAnsi" w:hAnsiTheme="minorHAnsi" w:cstheme="minorHAnsi"/>
                <w:sz w:val="22"/>
                <w:szCs w:val="22"/>
              </w:rPr>
            </w:pPr>
          </w:p>
        </w:tc>
      </w:tr>
      <w:tr w:rsidR="00E70195" w:rsidRPr="003D5FB5" w14:paraId="7BA01E99" w14:textId="77777777" w:rsidTr="00E06740">
        <w:trPr>
          <w:trHeight w:val="210"/>
        </w:trPr>
        <w:tc>
          <w:tcPr>
            <w:tcW w:w="1862" w:type="dxa"/>
            <w:tcBorders>
              <w:top w:val="single" w:sz="6" w:space="0" w:color="000000"/>
              <w:left w:val="single" w:sz="6" w:space="0" w:color="000000"/>
              <w:bottom w:val="single" w:sz="6" w:space="0" w:color="000000"/>
              <w:right w:val="single" w:sz="6" w:space="0" w:color="000000"/>
            </w:tcBorders>
            <w:shd w:val="clear" w:color="auto" w:fill="auto"/>
          </w:tcPr>
          <w:p w14:paraId="31DF2D52" w14:textId="77777777" w:rsidR="00E70195" w:rsidRPr="003D5FB5" w:rsidRDefault="00E70195" w:rsidP="00E06740">
            <w:pPr>
              <w:spacing w:line="360" w:lineRule="auto"/>
              <w:ind w:right="-30"/>
              <w:jc w:val="center"/>
              <w:textAlignment w:val="baseline"/>
              <w:rPr>
                <w:rFonts w:asciiTheme="minorHAnsi" w:hAnsiTheme="minorHAnsi" w:cstheme="minorHAnsi"/>
                <w:sz w:val="22"/>
                <w:szCs w:val="22"/>
                <w:lang w:eastAsia="en-IN"/>
              </w:rPr>
            </w:pPr>
            <w:r w:rsidRPr="003D5FB5">
              <w:rPr>
                <w:rFonts w:asciiTheme="minorHAnsi" w:hAnsiTheme="minorHAnsi" w:cstheme="minorHAnsi"/>
                <w:bCs/>
                <w:iCs/>
                <w:color w:val="000000"/>
                <w:sz w:val="22"/>
                <w:szCs w:val="22"/>
                <w:lang w:eastAsia="en-IN"/>
              </w:rPr>
              <w:t>DTR Oil BDV Test Done</w:t>
            </w:r>
          </w:p>
        </w:tc>
        <w:tc>
          <w:tcPr>
            <w:tcW w:w="732" w:type="dxa"/>
            <w:gridSpan w:val="2"/>
            <w:tcBorders>
              <w:top w:val="single" w:sz="6" w:space="0" w:color="000000"/>
              <w:left w:val="single" w:sz="6" w:space="0" w:color="000000"/>
              <w:bottom w:val="single" w:sz="6" w:space="0" w:color="000000"/>
              <w:right w:val="single" w:sz="6" w:space="0" w:color="000000"/>
            </w:tcBorders>
            <w:shd w:val="clear" w:color="auto" w:fill="auto"/>
          </w:tcPr>
          <w:p w14:paraId="59DA60E7" w14:textId="77777777" w:rsidR="00E70195" w:rsidRPr="003D5FB5" w:rsidRDefault="00E70195" w:rsidP="00E06740">
            <w:pPr>
              <w:spacing w:line="360" w:lineRule="auto"/>
              <w:ind w:right="-30"/>
              <w:jc w:val="center"/>
              <w:textAlignment w:val="baseline"/>
              <w:rPr>
                <w:rFonts w:asciiTheme="minorHAnsi" w:hAnsiTheme="minorHAnsi" w:cstheme="minorHAnsi"/>
                <w:sz w:val="22"/>
                <w:szCs w:val="22"/>
                <w:lang w:eastAsia="en-IN"/>
              </w:rPr>
            </w:pPr>
            <w:r w:rsidRPr="003D5FB5">
              <w:rPr>
                <w:rFonts w:asciiTheme="minorHAnsi" w:hAnsiTheme="minorHAnsi" w:cstheme="minorHAnsi"/>
                <w:bCs/>
                <w:color w:val="000000"/>
                <w:sz w:val="22"/>
                <w:szCs w:val="22"/>
                <w:lang w:eastAsia="en-IN"/>
              </w:rPr>
              <w:t>1223</w:t>
            </w:r>
          </w:p>
        </w:tc>
        <w:tc>
          <w:tcPr>
            <w:tcW w:w="1841" w:type="dxa"/>
            <w:tcBorders>
              <w:top w:val="single" w:sz="6" w:space="0" w:color="000000"/>
              <w:left w:val="single" w:sz="6" w:space="0" w:color="000000"/>
              <w:bottom w:val="single" w:sz="6" w:space="0" w:color="000000"/>
              <w:right w:val="single" w:sz="6" w:space="0" w:color="000000"/>
            </w:tcBorders>
            <w:shd w:val="clear" w:color="auto" w:fill="auto"/>
          </w:tcPr>
          <w:p w14:paraId="29C46E03" w14:textId="77777777" w:rsidR="00E70195" w:rsidRPr="003D5FB5" w:rsidRDefault="00E70195" w:rsidP="00E06740">
            <w:pPr>
              <w:spacing w:line="360" w:lineRule="auto"/>
              <w:ind w:right="-30"/>
              <w:jc w:val="center"/>
              <w:textAlignment w:val="baseline"/>
              <w:rPr>
                <w:rFonts w:asciiTheme="minorHAnsi" w:hAnsiTheme="minorHAnsi" w:cstheme="minorHAnsi"/>
                <w:sz w:val="22"/>
                <w:szCs w:val="22"/>
                <w:lang w:eastAsia="en-IN"/>
              </w:rPr>
            </w:pPr>
            <w:r w:rsidRPr="003D5FB5">
              <w:rPr>
                <w:rFonts w:asciiTheme="minorHAnsi" w:hAnsiTheme="minorHAnsi" w:cstheme="minorHAnsi"/>
                <w:bCs/>
                <w:iCs/>
                <w:color w:val="000000"/>
                <w:sz w:val="22"/>
                <w:szCs w:val="22"/>
                <w:lang w:eastAsia="en-IN"/>
              </w:rPr>
              <w:t>Load Balancing Done</w:t>
            </w:r>
          </w:p>
        </w:tc>
        <w:tc>
          <w:tcPr>
            <w:tcW w:w="1000" w:type="dxa"/>
            <w:tcBorders>
              <w:top w:val="single" w:sz="6" w:space="0" w:color="000000"/>
              <w:left w:val="single" w:sz="6" w:space="0" w:color="000000"/>
              <w:bottom w:val="single" w:sz="6" w:space="0" w:color="000000"/>
              <w:right w:val="single" w:sz="6" w:space="0" w:color="000000"/>
            </w:tcBorders>
            <w:shd w:val="clear" w:color="auto" w:fill="auto"/>
          </w:tcPr>
          <w:p w14:paraId="6FBD38BC" w14:textId="77777777" w:rsidR="00E70195" w:rsidRPr="003D5FB5" w:rsidRDefault="00E70195" w:rsidP="00E06740">
            <w:pPr>
              <w:spacing w:line="360" w:lineRule="auto"/>
              <w:ind w:right="-30"/>
              <w:jc w:val="center"/>
              <w:textAlignment w:val="baseline"/>
              <w:rPr>
                <w:rFonts w:asciiTheme="minorHAnsi" w:hAnsiTheme="minorHAnsi" w:cstheme="minorHAnsi"/>
                <w:sz w:val="22"/>
                <w:szCs w:val="22"/>
                <w:lang w:eastAsia="en-IN"/>
              </w:rPr>
            </w:pPr>
            <w:r w:rsidRPr="003D5FB5">
              <w:rPr>
                <w:rFonts w:asciiTheme="minorHAnsi" w:hAnsiTheme="minorHAnsi" w:cstheme="minorHAnsi"/>
                <w:bCs/>
                <w:color w:val="000000"/>
                <w:sz w:val="22"/>
                <w:szCs w:val="22"/>
                <w:lang w:eastAsia="en-IN"/>
              </w:rPr>
              <w:t>4817</w:t>
            </w:r>
          </w:p>
        </w:tc>
        <w:tc>
          <w:tcPr>
            <w:tcW w:w="2332" w:type="dxa"/>
            <w:tcBorders>
              <w:top w:val="single" w:sz="6" w:space="0" w:color="000000"/>
              <w:left w:val="single" w:sz="6" w:space="0" w:color="000000"/>
              <w:bottom w:val="single" w:sz="6" w:space="0" w:color="000000"/>
              <w:right w:val="single" w:sz="6" w:space="0" w:color="000000"/>
            </w:tcBorders>
            <w:shd w:val="clear" w:color="auto" w:fill="auto"/>
          </w:tcPr>
          <w:p w14:paraId="493687B9" w14:textId="77777777" w:rsidR="00E70195" w:rsidRPr="003D5FB5" w:rsidRDefault="00E70195" w:rsidP="00E06740">
            <w:pPr>
              <w:spacing w:line="360" w:lineRule="auto"/>
              <w:ind w:right="-30"/>
              <w:jc w:val="center"/>
              <w:textAlignment w:val="baseline"/>
              <w:rPr>
                <w:rFonts w:asciiTheme="minorHAnsi" w:hAnsiTheme="minorHAnsi" w:cstheme="minorHAnsi"/>
                <w:sz w:val="22"/>
                <w:szCs w:val="22"/>
                <w:lang w:eastAsia="en-IN"/>
              </w:rPr>
            </w:pPr>
            <w:r w:rsidRPr="003D5FB5">
              <w:rPr>
                <w:rFonts w:asciiTheme="minorHAnsi" w:hAnsiTheme="minorHAnsi" w:cstheme="minorHAnsi"/>
                <w:bCs/>
                <w:iCs/>
                <w:color w:val="000000"/>
                <w:sz w:val="22"/>
                <w:szCs w:val="22"/>
                <w:lang w:eastAsia="en-IN"/>
              </w:rPr>
              <w:t xml:space="preserve">Insulated Jumpers </w:t>
            </w:r>
            <w:proofErr w:type="spellStart"/>
            <w:r w:rsidRPr="003D5FB5">
              <w:rPr>
                <w:rFonts w:asciiTheme="minorHAnsi" w:hAnsiTheme="minorHAnsi" w:cstheme="minorHAnsi"/>
                <w:bCs/>
                <w:iCs/>
                <w:color w:val="000000"/>
                <w:sz w:val="22"/>
                <w:szCs w:val="22"/>
                <w:lang w:eastAsia="en-IN"/>
              </w:rPr>
              <w:t>Instl</w:t>
            </w:r>
            <w:proofErr w:type="spellEnd"/>
            <w:r w:rsidRPr="003D5FB5">
              <w:rPr>
                <w:rFonts w:asciiTheme="minorHAnsi" w:hAnsiTheme="minorHAnsi" w:cstheme="minorHAnsi"/>
                <w:bCs/>
                <w:iCs/>
                <w:color w:val="000000"/>
                <w:sz w:val="22"/>
                <w:szCs w:val="22"/>
                <w:lang w:eastAsia="en-IN"/>
              </w:rPr>
              <w:t>. /Replaced</w:t>
            </w:r>
          </w:p>
        </w:tc>
        <w:tc>
          <w:tcPr>
            <w:tcW w:w="979" w:type="dxa"/>
            <w:tcBorders>
              <w:top w:val="single" w:sz="6" w:space="0" w:color="000000"/>
              <w:left w:val="single" w:sz="6" w:space="0" w:color="000000"/>
              <w:bottom w:val="single" w:sz="6" w:space="0" w:color="000000"/>
              <w:right w:val="single" w:sz="6" w:space="0" w:color="000000"/>
            </w:tcBorders>
            <w:shd w:val="clear" w:color="auto" w:fill="auto"/>
          </w:tcPr>
          <w:p w14:paraId="4C018EC3" w14:textId="77777777" w:rsidR="00E70195" w:rsidRPr="003D5FB5" w:rsidRDefault="00E70195" w:rsidP="00E06740">
            <w:pPr>
              <w:spacing w:line="360" w:lineRule="auto"/>
              <w:ind w:right="-30"/>
              <w:jc w:val="center"/>
              <w:textAlignment w:val="baseline"/>
              <w:rPr>
                <w:rFonts w:asciiTheme="minorHAnsi" w:hAnsiTheme="minorHAnsi" w:cstheme="minorHAnsi"/>
                <w:sz w:val="22"/>
                <w:szCs w:val="22"/>
                <w:lang w:eastAsia="en-IN"/>
              </w:rPr>
            </w:pPr>
            <w:r w:rsidRPr="003D5FB5">
              <w:rPr>
                <w:rFonts w:asciiTheme="minorHAnsi" w:hAnsiTheme="minorHAnsi" w:cstheme="minorHAnsi"/>
                <w:color w:val="000000"/>
                <w:sz w:val="22"/>
                <w:szCs w:val="22"/>
                <w:lang w:eastAsia="en-IN"/>
              </w:rPr>
              <w:t>36122</w:t>
            </w:r>
          </w:p>
        </w:tc>
        <w:tc>
          <w:tcPr>
            <w:tcW w:w="36" w:type="dxa"/>
          </w:tcPr>
          <w:p w14:paraId="72CE9E69" w14:textId="77777777" w:rsidR="00E70195" w:rsidRPr="003D5FB5" w:rsidRDefault="00E70195" w:rsidP="00E06740">
            <w:pPr>
              <w:rPr>
                <w:rFonts w:asciiTheme="minorHAnsi" w:hAnsiTheme="minorHAnsi" w:cstheme="minorHAnsi"/>
                <w:sz w:val="22"/>
                <w:szCs w:val="22"/>
              </w:rPr>
            </w:pPr>
          </w:p>
        </w:tc>
      </w:tr>
      <w:tr w:rsidR="00E70195" w:rsidRPr="003D5FB5" w14:paraId="6338D55D" w14:textId="77777777" w:rsidTr="00E06740">
        <w:trPr>
          <w:trHeight w:val="172"/>
        </w:trPr>
        <w:tc>
          <w:tcPr>
            <w:tcW w:w="1862" w:type="dxa"/>
            <w:tcBorders>
              <w:top w:val="single" w:sz="6" w:space="0" w:color="000000"/>
              <w:left w:val="single" w:sz="6" w:space="0" w:color="000000"/>
              <w:bottom w:val="single" w:sz="6" w:space="0" w:color="000000"/>
              <w:right w:val="single" w:sz="6" w:space="0" w:color="000000"/>
            </w:tcBorders>
            <w:shd w:val="clear" w:color="auto" w:fill="95B3D7" w:themeFill="accent1" w:themeFillTint="99"/>
          </w:tcPr>
          <w:p w14:paraId="48C2C88B" w14:textId="77777777" w:rsidR="00E70195" w:rsidRPr="003D5FB5" w:rsidRDefault="00E70195" w:rsidP="00E06740">
            <w:pPr>
              <w:spacing w:line="360" w:lineRule="auto"/>
              <w:ind w:right="-30"/>
              <w:jc w:val="center"/>
              <w:textAlignment w:val="baseline"/>
              <w:rPr>
                <w:rFonts w:asciiTheme="minorHAnsi" w:hAnsiTheme="minorHAnsi" w:cstheme="minorHAnsi"/>
                <w:sz w:val="22"/>
                <w:szCs w:val="22"/>
                <w:lang w:eastAsia="en-IN"/>
              </w:rPr>
            </w:pPr>
            <w:r w:rsidRPr="003D5FB5">
              <w:rPr>
                <w:rFonts w:asciiTheme="minorHAnsi" w:hAnsiTheme="minorHAnsi" w:cstheme="minorHAnsi"/>
                <w:bCs/>
                <w:iCs/>
                <w:color w:val="000000"/>
                <w:sz w:val="22"/>
                <w:szCs w:val="22"/>
                <w:lang w:eastAsia="en-IN"/>
              </w:rPr>
              <w:lastRenderedPageBreak/>
              <w:t>Repair / Installation of New AB Switches</w:t>
            </w:r>
          </w:p>
        </w:tc>
        <w:tc>
          <w:tcPr>
            <w:tcW w:w="732" w:type="dxa"/>
            <w:gridSpan w:val="2"/>
            <w:tcBorders>
              <w:top w:val="single" w:sz="6" w:space="0" w:color="000000"/>
              <w:left w:val="single" w:sz="6" w:space="0" w:color="000000"/>
              <w:bottom w:val="single" w:sz="6" w:space="0" w:color="000000"/>
              <w:right w:val="single" w:sz="6" w:space="0" w:color="000000"/>
            </w:tcBorders>
            <w:shd w:val="clear" w:color="auto" w:fill="95B3D7" w:themeFill="accent1" w:themeFillTint="99"/>
          </w:tcPr>
          <w:p w14:paraId="73946B2A" w14:textId="77777777" w:rsidR="00E70195" w:rsidRPr="003D5FB5" w:rsidRDefault="00E70195" w:rsidP="00E06740">
            <w:pPr>
              <w:spacing w:line="360" w:lineRule="auto"/>
              <w:ind w:right="-30"/>
              <w:jc w:val="center"/>
              <w:textAlignment w:val="baseline"/>
              <w:rPr>
                <w:rFonts w:asciiTheme="minorHAnsi" w:hAnsiTheme="minorHAnsi" w:cstheme="minorHAnsi"/>
                <w:sz w:val="22"/>
                <w:szCs w:val="22"/>
                <w:lang w:eastAsia="en-IN"/>
              </w:rPr>
            </w:pPr>
            <w:r w:rsidRPr="003D5FB5">
              <w:rPr>
                <w:rFonts w:asciiTheme="minorHAnsi" w:hAnsiTheme="minorHAnsi" w:cstheme="minorHAnsi"/>
                <w:bCs/>
                <w:color w:val="000000"/>
                <w:sz w:val="22"/>
                <w:szCs w:val="22"/>
                <w:lang w:eastAsia="en-IN"/>
              </w:rPr>
              <w:t>8239</w:t>
            </w:r>
          </w:p>
        </w:tc>
        <w:tc>
          <w:tcPr>
            <w:tcW w:w="1841" w:type="dxa"/>
            <w:tcBorders>
              <w:top w:val="single" w:sz="6" w:space="0" w:color="000000"/>
              <w:left w:val="single" w:sz="6" w:space="0" w:color="000000"/>
              <w:bottom w:val="single" w:sz="6" w:space="0" w:color="000000"/>
              <w:right w:val="single" w:sz="6" w:space="0" w:color="000000"/>
            </w:tcBorders>
            <w:shd w:val="clear" w:color="auto" w:fill="95B3D7" w:themeFill="accent1" w:themeFillTint="99"/>
          </w:tcPr>
          <w:p w14:paraId="1FE00EF7" w14:textId="77777777" w:rsidR="00E70195" w:rsidRPr="003D5FB5" w:rsidRDefault="00E70195" w:rsidP="00E06740">
            <w:pPr>
              <w:spacing w:line="360" w:lineRule="auto"/>
              <w:ind w:right="-30"/>
              <w:jc w:val="center"/>
              <w:textAlignment w:val="baseline"/>
              <w:rPr>
                <w:rFonts w:asciiTheme="minorHAnsi" w:hAnsiTheme="minorHAnsi" w:cstheme="minorHAnsi"/>
                <w:sz w:val="22"/>
                <w:szCs w:val="22"/>
                <w:lang w:eastAsia="en-IN"/>
              </w:rPr>
            </w:pPr>
            <w:r w:rsidRPr="003D5FB5">
              <w:rPr>
                <w:rFonts w:asciiTheme="minorHAnsi" w:hAnsiTheme="minorHAnsi" w:cstheme="minorHAnsi"/>
                <w:bCs/>
                <w:iCs/>
                <w:color w:val="000000"/>
                <w:sz w:val="22"/>
                <w:szCs w:val="22"/>
                <w:lang w:eastAsia="en-IN"/>
              </w:rPr>
              <w:t>LTDB &amp; MCCB Installed</w:t>
            </w:r>
          </w:p>
        </w:tc>
        <w:tc>
          <w:tcPr>
            <w:tcW w:w="1000" w:type="dxa"/>
            <w:tcBorders>
              <w:top w:val="single" w:sz="6" w:space="0" w:color="000000"/>
              <w:left w:val="single" w:sz="6" w:space="0" w:color="000000"/>
              <w:bottom w:val="single" w:sz="6" w:space="0" w:color="000000"/>
              <w:right w:val="single" w:sz="6" w:space="0" w:color="000000"/>
            </w:tcBorders>
            <w:shd w:val="clear" w:color="auto" w:fill="95B3D7" w:themeFill="accent1" w:themeFillTint="99"/>
          </w:tcPr>
          <w:p w14:paraId="71AAD200" w14:textId="77777777" w:rsidR="00E70195" w:rsidRPr="003D5FB5" w:rsidRDefault="00E70195" w:rsidP="00E06740">
            <w:pPr>
              <w:spacing w:line="360" w:lineRule="auto"/>
              <w:ind w:right="-30"/>
              <w:jc w:val="center"/>
              <w:textAlignment w:val="baseline"/>
              <w:rPr>
                <w:rFonts w:asciiTheme="minorHAnsi" w:hAnsiTheme="minorHAnsi" w:cstheme="minorHAnsi"/>
                <w:sz w:val="22"/>
                <w:szCs w:val="22"/>
                <w:lang w:eastAsia="en-IN"/>
              </w:rPr>
            </w:pPr>
            <w:r w:rsidRPr="003D5FB5">
              <w:rPr>
                <w:rFonts w:asciiTheme="minorHAnsi" w:hAnsiTheme="minorHAnsi" w:cstheme="minorHAnsi"/>
                <w:bCs/>
                <w:color w:val="000000"/>
                <w:sz w:val="22"/>
                <w:szCs w:val="22"/>
                <w:lang w:eastAsia="en-IN"/>
              </w:rPr>
              <w:t>1227</w:t>
            </w:r>
          </w:p>
        </w:tc>
        <w:tc>
          <w:tcPr>
            <w:tcW w:w="2332" w:type="dxa"/>
            <w:tcBorders>
              <w:top w:val="single" w:sz="6" w:space="0" w:color="000000"/>
              <w:left w:val="single" w:sz="6" w:space="0" w:color="000000"/>
              <w:bottom w:val="single" w:sz="6" w:space="0" w:color="000000"/>
              <w:right w:val="single" w:sz="6" w:space="0" w:color="000000"/>
            </w:tcBorders>
            <w:shd w:val="clear" w:color="auto" w:fill="95B3D7" w:themeFill="accent1" w:themeFillTint="99"/>
          </w:tcPr>
          <w:p w14:paraId="414733A6" w14:textId="77777777" w:rsidR="00E70195" w:rsidRPr="003D5FB5" w:rsidRDefault="00E70195" w:rsidP="00E06740">
            <w:pPr>
              <w:spacing w:line="360" w:lineRule="auto"/>
              <w:ind w:right="-30"/>
              <w:jc w:val="center"/>
              <w:textAlignment w:val="baseline"/>
              <w:rPr>
                <w:rFonts w:asciiTheme="minorHAnsi" w:hAnsiTheme="minorHAnsi" w:cstheme="minorHAnsi"/>
                <w:sz w:val="22"/>
                <w:szCs w:val="22"/>
                <w:lang w:eastAsia="en-IN"/>
              </w:rPr>
            </w:pPr>
            <w:r w:rsidRPr="003D5FB5">
              <w:rPr>
                <w:rFonts w:asciiTheme="minorHAnsi" w:hAnsiTheme="minorHAnsi" w:cstheme="minorHAnsi"/>
                <w:bCs/>
                <w:iCs/>
                <w:color w:val="000000"/>
                <w:sz w:val="22"/>
                <w:szCs w:val="22"/>
                <w:lang w:eastAsia="en-IN"/>
              </w:rPr>
              <w:t xml:space="preserve">Straightening/replacement of Cross Arms / </w:t>
            </w:r>
            <w:proofErr w:type="spellStart"/>
            <w:r w:rsidRPr="003D5FB5">
              <w:rPr>
                <w:rFonts w:asciiTheme="minorHAnsi" w:hAnsiTheme="minorHAnsi" w:cstheme="minorHAnsi"/>
                <w:bCs/>
                <w:iCs/>
                <w:color w:val="000000"/>
                <w:sz w:val="22"/>
                <w:szCs w:val="22"/>
                <w:lang w:eastAsia="en-IN"/>
              </w:rPr>
              <w:t>Tilte</w:t>
            </w:r>
            <w:proofErr w:type="spellEnd"/>
            <w:r w:rsidRPr="003D5FB5">
              <w:rPr>
                <w:rFonts w:asciiTheme="minorHAnsi" w:hAnsiTheme="minorHAnsi" w:cstheme="minorHAnsi"/>
                <w:bCs/>
                <w:iCs/>
                <w:color w:val="000000"/>
                <w:sz w:val="22"/>
                <w:szCs w:val="22"/>
                <w:lang w:eastAsia="en-IN"/>
              </w:rPr>
              <w:t xml:space="preserve"> Poles</w:t>
            </w:r>
          </w:p>
        </w:tc>
        <w:tc>
          <w:tcPr>
            <w:tcW w:w="979" w:type="dxa"/>
            <w:tcBorders>
              <w:top w:val="single" w:sz="6" w:space="0" w:color="000000"/>
              <w:left w:val="single" w:sz="6" w:space="0" w:color="000000"/>
              <w:bottom w:val="single" w:sz="6" w:space="0" w:color="000000"/>
              <w:right w:val="single" w:sz="6" w:space="0" w:color="000000"/>
            </w:tcBorders>
            <w:shd w:val="clear" w:color="auto" w:fill="95B3D7" w:themeFill="accent1" w:themeFillTint="99"/>
          </w:tcPr>
          <w:p w14:paraId="639545A3" w14:textId="77777777" w:rsidR="00E70195" w:rsidRPr="003D5FB5" w:rsidRDefault="00E70195" w:rsidP="00E06740">
            <w:pPr>
              <w:spacing w:line="360" w:lineRule="auto"/>
              <w:ind w:right="-30"/>
              <w:jc w:val="center"/>
              <w:textAlignment w:val="baseline"/>
              <w:rPr>
                <w:rFonts w:asciiTheme="minorHAnsi" w:hAnsiTheme="minorHAnsi" w:cstheme="minorHAnsi"/>
                <w:sz w:val="22"/>
                <w:szCs w:val="22"/>
                <w:lang w:eastAsia="en-IN"/>
              </w:rPr>
            </w:pPr>
            <w:r w:rsidRPr="003D5FB5">
              <w:rPr>
                <w:rFonts w:asciiTheme="minorHAnsi" w:hAnsiTheme="minorHAnsi" w:cstheme="minorHAnsi"/>
                <w:color w:val="000000"/>
                <w:sz w:val="22"/>
                <w:szCs w:val="22"/>
                <w:lang w:eastAsia="en-IN"/>
              </w:rPr>
              <w:t>11300</w:t>
            </w:r>
          </w:p>
        </w:tc>
        <w:tc>
          <w:tcPr>
            <w:tcW w:w="36" w:type="dxa"/>
          </w:tcPr>
          <w:p w14:paraId="709D725A" w14:textId="77777777" w:rsidR="00E70195" w:rsidRPr="003D5FB5" w:rsidRDefault="00E70195" w:rsidP="00E06740">
            <w:pPr>
              <w:rPr>
                <w:rFonts w:asciiTheme="minorHAnsi" w:hAnsiTheme="minorHAnsi" w:cstheme="minorHAnsi"/>
                <w:sz w:val="22"/>
                <w:szCs w:val="22"/>
              </w:rPr>
            </w:pPr>
          </w:p>
        </w:tc>
      </w:tr>
      <w:tr w:rsidR="00E70195" w:rsidRPr="003D5FB5" w14:paraId="7DC1AB4D" w14:textId="77777777" w:rsidTr="00E06740">
        <w:trPr>
          <w:trHeight w:val="297"/>
        </w:trPr>
        <w:tc>
          <w:tcPr>
            <w:tcW w:w="1862" w:type="dxa"/>
            <w:tcBorders>
              <w:top w:val="single" w:sz="6" w:space="0" w:color="000000"/>
              <w:left w:val="single" w:sz="6" w:space="0" w:color="000000"/>
              <w:bottom w:val="single" w:sz="6" w:space="0" w:color="000000"/>
              <w:right w:val="single" w:sz="6" w:space="0" w:color="000000"/>
            </w:tcBorders>
            <w:shd w:val="clear" w:color="auto" w:fill="auto"/>
          </w:tcPr>
          <w:p w14:paraId="165E3591" w14:textId="77777777" w:rsidR="00E70195" w:rsidRPr="003D5FB5" w:rsidRDefault="00E70195" w:rsidP="00E06740">
            <w:pPr>
              <w:spacing w:line="360" w:lineRule="auto"/>
              <w:ind w:right="-30"/>
              <w:jc w:val="center"/>
              <w:textAlignment w:val="baseline"/>
              <w:rPr>
                <w:rFonts w:asciiTheme="minorHAnsi" w:hAnsiTheme="minorHAnsi" w:cstheme="minorHAnsi"/>
                <w:sz w:val="22"/>
                <w:szCs w:val="22"/>
                <w:lang w:eastAsia="en-IN"/>
              </w:rPr>
            </w:pPr>
            <w:r w:rsidRPr="003D5FB5">
              <w:rPr>
                <w:rFonts w:asciiTheme="minorHAnsi" w:hAnsiTheme="minorHAnsi" w:cstheme="minorHAnsi"/>
                <w:bCs/>
                <w:iCs/>
                <w:color w:val="000000"/>
                <w:sz w:val="22"/>
                <w:szCs w:val="22"/>
                <w:lang w:eastAsia="en-IN"/>
              </w:rPr>
              <w:t>LA Installation</w:t>
            </w:r>
          </w:p>
        </w:tc>
        <w:tc>
          <w:tcPr>
            <w:tcW w:w="732" w:type="dxa"/>
            <w:gridSpan w:val="2"/>
            <w:tcBorders>
              <w:top w:val="single" w:sz="6" w:space="0" w:color="000000"/>
              <w:left w:val="single" w:sz="6" w:space="0" w:color="000000"/>
              <w:bottom w:val="single" w:sz="6" w:space="0" w:color="000000"/>
              <w:right w:val="single" w:sz="6" w:space="0" w:color="000000"/>
            </w:tcBorders>
            <w:shd w:val="clear" w:color="auto" w:fill="auto"/>
          </w:tcPr>
          <w:p w14:paraId="3739BAEB" w14:textId="77777777" w:rsidR="00E70195" w:rsidRPr="003D5FB5" w:rsidRDefault="00E70195" w:rsidP="00E06740">
            <w:pPr>
              <w:spacing w:line="360" w:lineRule="auto"/>
              <w:ind w:right="-30"/>
              <w:jc w:val="center"/>
              <w:textAlignment w:val="baseline"/>
              <w:rPr>
                <w:rFonts w:asciiTheme="minorHAnsi" w:hAnsiTheme="minorHAnsi" w:cstheme="minorHAnsi"/>
                <w:sz w:val="22"/>
                <w:szCs w:val="22"/>
                <w:lang w:eastAsia="en-IN"/>
              </w:rPr>
            </w:pPr>
            <w:r w:rsidRPr="003D5FB5">
              <w:rPr>
                <w:rFonts w:asciiTheme="minorHAnsi" w:hAnsiTheme="minorHAnsi" w:cstheme="minorHAnsi"/>
                <w:bCs/>
                <w:color w:val="000000"/>
                <w:sz w:val="22"/>
                <w:szCs w:val="22"/>
                <w:lang w:eastAsia="en-IN"/>
              </w:rPr>
              <w:t>8440</w:t>
            </w:r>
          </w:p>
        </w:tc>
        <w:tc>
          <w:tcPr>
            <w:tcW w:w="1841" w:type="dxa"/>
            <w:tcBorders>
              <w:top w:val="single" w:sz="6" w:space="0" w:color="000000"/>
              <w:left w:val="single" w:sz="6" w:space="0" w:color="000000"/>
              <w:bottom w:val="single" w:sz="6" w:space="0" w:color="000000"/>
              <w:right w:val="single" w:sz="6" w:space="0" w:color="000000"/>
            </w:tcBorders>
            <w:shd w:val="clear" w:color="auto" w:fill="auto"/>
          </w:tcPr>
          <w:p w14:paraId="3CC48889" w14:textId="77777777" w:rsidR="00E70195" w:rsidRPr="003D5FB5" w:rsidRDefault="00E70195" w:rsidP="00E06740">
            <w:pPr>
              <w:spacing w:line="360" w:lineRule="auto"/>
              <w:ind w:right="-30"/>
              <w:jc w:val="center"/>
              <w:textAlignment w:val="baseline"/>
              <w:rPr>
                <w:rFonts w:asciiTheme="minorHAnsi" w:hAnsiTheme="minorHAnsi" w:cstheme="minorHAnsi"/>
                <w:sz w:val="22"/>
                <w:szCs w:val="22"/>
                <w:lang w:eastAsia="en-IN"/>
              </w:rPr>
            </w:pPr>
            <w:r w:rsidRPr="003D5FB5">
              <w:rPr>
                <w:rFonts w:asciiTheme="minorHAnsi" w:hAnsiTheme="minorHAnsi" w:cstheme="minorHAnsi"/>
                <w:bCs/>
                <w:iCs/>
                <w:color w:val="000000"/>
                <w:sz w:val="22"/>
                <w:szCs w:val="22"/>
                <w:lang w:eastAsia="en-IN"/>
              </w:rPr>
              <w:t>LA Earthing Repaired</w:t>
            </w:r>
          </w:p>
        </w:tc>
        <w:tc>
          <w:tcPr>
            <w:tcW w:w="1000" w:type="dxa"/>
            <w:tcBorders>
              <w:top w:val="single" w:sz="6" w:space="0" w:color="000000"/>
              <w:left w:val="single" w:sz="6" w:space="0" w:color="000000"/>
              <w:bottom w:val="single" w:sz="6" w:space="0" w:color="000000"/>
              <w:right w:val="single" w:sz="6" w:space="0" w:color="000000"/>
            </w:tcBorders>
            <w:shd w:val="clear" w:color="auto" w:fill="auto"/>
          </w:tcPr>
          <w:p w14:paraId="5AB6CE54" w14:textId="77777777" w:rsidR="00E70195" w:rsidRPr="003D5FB5" w:rsidRDefault="00E70195" w:rsidP="00E06740">
            <w:pPr>
              <w:spacing w:line="360" w:lineRule="auto"/>
              <w:ind w:right="-30"/>
              <w:jc w:val="center"/>
              <w:textAlignment w:val="baseline"/>
              <w:rPr>
                <w:rFonts w:asciiTheme="minorHAnsi" w:hAnsiTheme="minorHAnsi" w:cstheme="minorHAnsi"/>
                <w:sz w:val="22"/>
                <w:szCs w:val="22"/>
                <w:lang w:eastAsia="en-IN"/>
              </w:rPr>
            </w:pPr>
            <w:r w:rsidRPr="003D5FB5">
              <w:rPr>
                <w:rFonts w:asciiTheme="minorHAnsi" w:hAnsiTheme="minorHAnsi" w:cstheme="minorHAnsi"/>
                <w:bCs/>
                <w:color w:val="000000"/>
                <w:sz w:val="22"/>
                <w:szCs w:val="22"/>
                <w:lang w:eastAsia="en-IN"/>
              </w:rPr>
              <w:t>993</w:t>
            </w:r>
          </w:p>
        </w:tc>
        <w:tc>
          <w:tcPr>
            <w:tcW w:w="2332" w:type="dxa"/>
            <w:tcBorders>
              <w:top w:val="single" w:sz="6" w:space="0" w:color="000000"/>
              <w:left w:val="single" w:sz="6" w:space="0" w:color="000000"/>
              <w:bottom w:val="single" w:sz="6" w:space="0" w:color="000000"/>
              <w:right w:val="single" w:sz="6" w:space="0" w:color="000000"/>
            </w:tcBorders>
            <w:shd w:val="clear" w:color="auto" w:fill="auto"/>
          </w:tcPr>
          <w:p w14:paraId="32164F33" w14:textId="77777777" w:rsidR="00E70195" w:rsidRPr="003D5FB5" w:rsidRDefault="00E70195" w:rsidP="00E06740">
            <w:pPr>
              <w:spacing w:line="360" w:lineRule="auto"/>
              <w:ind w:right="-30"/>
              <w:jc w:val="center"/>
              <w:textAlignment w:val="baseline"/>
              <w:rPr>
                <w:rFonts w:asciiTheme="minorHAnsi" w:hAnsiTheme="minorHAnsi" w:cstheme="minorHAnsi"/>
                <w:sz w:val="22"/>
                <w:szCs w:val="22"/>
                <w:lang w:eastAsia="en-IN"/>
              </w:rPr>
            </w:pPr>
            <w:r w:rsidRPr="003D5FB5">
              <w:rPr>
                <w:rFonts w:asciiTheme="minorHAnsi" w:hAnsiTheme="minorHAnsi" w:cstheme="minorHAnsi"/>
                <w:bCs/>
                <w:iCs/>
                <w:color w:val="000000"/>
                <w:sz w:val="22"/>
                <w:szCs w:val="22"/>
                <w:lang w:eastAsia="en-IN"/>
              </w:rPr>
              <w:t>Installation of Interposing Poles</w:t>
            </w:r>
          </w:p>
        </w:tc>
        <w:tc>
          <w:tcPr>
            <w:tcW w:w="979" w:type="dxa"/>
            <w:tcBorders>
              <w:top w:val="single" w:sz="6" w:space="0" w:color="000000"/>
              <w:left w:val="single" w:sz="6" w:space="0" w:color="000000"/>
              <w:bottom w:val="single" w:sz="6" w:space="0" w:color="000000"/>
              <w:right w:val="single" w:sz="6" w:space="0" w:color="000000"/>
            </w:tcBorders>
            <w:shd w:val="clear" w:color="auto" w:fill="auto"/>
          </w:tcPr>
          <w:p w14:paraId="1CE91379" w14:textId="77777777" w:rsidR="00E70195" w:rsidRPr="003D5FB5" w:rsidRDefault="00E70195" w:rsidP="00E06740">
            <w:pPr>
              <w:spacing w:line="360" w:lineRule="auto"/>
              <w:ind w:right="-30"/>
              <w:jc w:val="center"/>
              <w:textAlignment w:val="baseline"/>
              <w:rPr>
                <w:rFonts w:asciiTheme="minorHAnsi" w:hAnsiTheme="minorHAnsi" w:cstheme="minorHAnsi"/>
                <w:sz w:val="22"/>
                <w:szCs w:val="22"/>
                <w:lang w:eastAsia="en-IN"/>
              </w:rPr>
            </w:pPr>
            <w:r w:rsidRPr="003D5FB5">
              <w:rPr>
                <w:rFonts w:asciiTheme="minorHAnsi" w:hAnsiTheme="minorHAnsi" w:cstheme="minorHAnsi"/>
                <w:color w:val="000000"/>
                <w:sz w:val="22"/>
                <w:szCs w:val="22"/>
                <w:lang w:eastAsia="en-IN"/>
              </w:rPr>
              <w:t>4632</w:t>
            </w:r>
          </w:p>
        </w:tc>
        <w:tc>
          <w:tcPr>
            <w:tcW w:w="36" w:type="dxa"/>
          </w:tcPr>
          <w:p w14:paraId="349CC86C" w14:textId="77777777" w:rsidR="00E70195" w:rsidRPr="003D5FB5" w:rsidRDefault="00E70195" w:rsidP="00E06740">
            <w:pPr>
              <w:rPr>
                <w:rFonts w:asciiTheme="minorHAnsi" w:hAnsiTheme="minorHAnsi" w:cstheme="minorHAnsi"/>
                <w:sz w:val="22"/>
                <w:szCs w:val="22"/>
              </w:rPr>
            </w:pPr>
          </w:p>
        </w:tc>
      </w:tr>
      <w:tr w:rsidR="00E70195" w:rsidRPr="003D5FB5" w14:paraId="2109CA4B" w14:textId="77777777" w:rsidTr="00E06740">
        <w:trPr>
          <w:trHeight w:val="297"/>
        </w:trPr>
        <w:tc>
          <w:tcPr>
            <w:tcW w:w="1862" w:type="dxa"/>
            <w:tcBorders>
              <w:top w:val="single" w:sz="6" w:space="0" w:color="000000"/>
              <w:left w:val="single" w:sz="6" w:space="0" w:color="000000"/>
              <w:bottom w:val="single" w:sz="6" w:space="0" w:color="000000"/>
              <w:right w:val="single" w:sz="6" w:space="0" w:color="000000"/>
            </w:tcBorders>
            <w:shd w:val="clear" w:color="auto" w:fill="95B3D7" w:themeFill="accent1" w:themeFillTint="99"/>
          </w:tcPr>
          <w:p w14:paraId="09D5A189" w14:textId="77777777" w:rsidR="00E70195" w:rsidRPr="003D5FB5" w:rsidRDefault="00E70195" w:rsidP="00E06740">
            <w:pPr>
              <w:spacing w:line="360" w:lineRule="auto"/>
              <w:ind w:right="-30"/>
              <w:jc w:val="center"/>
              <w:textAlignment w:val="baseline"/>
              <w:rPr>
                <w:rFonts w:asciiTheme="minorHAnsi" w:hAnsiTheme="minorHAnsi" w:cstheme="minorHAnsi"/>
                <w:sz w:val="22"/>
                <w:szCs w:val="22"/>
                <w:lang w:eastAsia="en-IN"/>
              </w:rPr>
            </w:pPr>
            <w:r w:rsidRPr="003D5FB5">
              <w:rPr>
                <w:rFonts w:asciiTheme="minorHAnsi" w:hAnsiTheme="minorHAnsi" w:cstheme="minorHAnsi"/>
                <w:bCs/>
                <w:iCs/>
                <w:color w:val="000000"/>
                <w:sz w:val="22"/>
                <w:szCs w:val="22"/>
                <w:lang w:eastAsia="en-IN"/>
              </w:rPr>
              <w:t xml:space="preserve">Installation of LT Protection on </w:t>
            </w:r>
            <w:proofErr w:type="spellStart"/>
            <w:r w:rsidRPr="003D5FB5">
              <w:rPr>
                <w:rFonts w:asciiTheme="minorHAnsi" w:hAnsiTheme="minorHAnsi" w:cstheme="minorHAnsi"/>
                <w:bCs/>
                <w:iCs/>
                <w:color w:val="000000"/>
                <w:sz w:val="22"/>
                <w:szCs w:val="22"/>
                <w:lang w:eastAsia="en-IN"/>
              </w:rPr>
              <w:t>Dist</w:t>
            </w:r>
            <w:proofErr w:type="spellEnd"/>
            <w:r w:rsidRPr="003D5FB5">
              <w:rPr>
                <w:rFonts w:asciiTheme="minorHAnsi" w:hAnsiTheme="minorHAnsi" w:cstheme="minorHAnsi"/>
                <w:bCs/>
                <w:iCs/>
                <w:color w:val="000000"/>
                <w:sz w:val="22"/>
                <w:szCs w:val="22"/>
                <w:lang w:eastAsia="en-IN"/>
              </w:rPr>
              <w:t xml:space="preserve"> </w:t>
            </w:r>
            <w:proofErr w:type="spellStart"/>
            <w:r w:rsidRPr="003D5FB5">
              <w:rPr>
                <w:rFonts w:asciiTheme="minorHAnsi" w:hAnsiTheme="minorHAnsi" w:cstheme="minorHAnsi"/>
                <w:bCs/>
                <w:iCs/>
                <w:color w:val="000000"/>
                <w:sz w:val="22"/>
                <w:szCs w:val="22"/>
                <w:lang w:eastAsia="en-IN"/>
              </w:rPr>
              <w:t>Trf</w:t>
            </w:r>
            <w:proofErr w:type="spellEnd"/>
            <w:r w:rsidRPr="003D5FB5">
              <w:rPr>
                <w:rFonts w:asciiTheme="minorHAnsi" w:hAnsiTheme="minorHAnsi" w:cstheme="minorHAnsi"/>
                <w:bCs/>
                <w:iCs/>
                <w:color w:val="000000"/>
                <w:sz w:val="22"/>
                <w:szCs w:val="22"/>
                <w:lang w:eastAsia="en-IN"/>
              </w:rPr>
              <w:t>:</w:t>
            </w:r>
          </w:p>
        </w:tc>
        <w:tc>
          <w:tcPr>
            <w:tcW w:w="732" w:type="dxa"/>
            <w:gridSpan w:val="2"/>
            <w:tcBorders>
              <w:top w:val="single" w:sz="6" w:space="0" w:color="000000"/>
              <w:left w:val="single" w:sz="6" w:space="0" w:color="000000"/>
              <w:bottom w:val="single" w:sz="6" w:space="0" w:color="000000"/>
              <w:right w:val="single" w:sz="6" w:space="0" w:color="000000"/>
            </w:tcBorders>
            <w:shd w:val="clear" w:color="auto" w:fill="95B3D7" w:themeFill="accent1" w:themeFillTint="99"/>
          </w:tcPr>
          <w:p w14:paraId="63A2C249" w14:textId="77777777" w:rsidR="00E70195" w:rsidRPr="003D5FB5" w:rsidRDefault="00E70195" w:rsidP="00E06740">
            <w:pPr>
              <w:spacing w:line="360" w:lineRule="auto"/>
              <w:ind w:right="-30"/>
              <w:jc w:val="center"/>
              <w:textAlignment w:val="baseline"/>
              <w:rPr>
                <w:rFonts w:asciiTheme="minorHAnsi" w:hAnsiTheme="minorHAnsi" w:cstheme="minorHAnsi"/>
                <w:sz w:val="22"/>
                <w:szCs w:val="22"/>
                <w:lang w:eastAsia="en-IN"/>
              </w:rPr>
            </w:pPr>
            <w:r w:rsidRPr="003D5FB5">
              <w:rPr>
                <w:rFonts w:asciiTheme="minorHAnsi" w:hAnsiTheme="minorHAnsi" w:cstheme="minorHAnsi"/>
                <w:bCs/>
                <w:color w:val="000000"/>
                <w:sz w:val="22"/>
                <w:szCs w:val="22"/>
                <w:lang w:eastAsia="en-IN"/>
              </w:rPr>
              <w:t>3296</w:t>
            </w:r>
          </w:p>
          <w:p w14:paraId="7604493A" w14:textId="77777777" w:rsidR="00E70195" w:rsidRPr="003D5FB5" w:rsidRDefault="00E70195" w:rsidP="00E06740">
            <w:pPr>
              <w:spacing w:line="360" w:lineRule="auto"/>
              <w:ind w:right="-30"/>
              <w:jc w:val="center"/>
              <w:textAlignment w:val="baseline"/>
              <w:rPr>
                <w:rFonts w:asciiTheme="minorHAnsi" w:hAnsiTheme="minorHAnsi" w:cstheme="minorHAnsi"/>
                <w:sz w:val="22"/>
                <w:szCs w:val="22"/>
                <w:lang w:eastAsia="en-IN"/>
              </w:rPr>
            </w:pPr>
          </w:p>
        </w:tc>
        <w:tc>
          <w:tcPr>
            <w:tcW w:w="1841" w:type="dxa"/>
            <w:tcBorders>
              <w:top w:val="single" w:sz="6" w:space="0" w:color="000000"/>
              <w:left w:val="single" w:sz="6" w:space="0" w:color="000000"/>
              <w:bottom w:val="single" w:sz="6" w:space="0" w:color="000000"/>
              <w:right w:val="single" w:sz="6" w:space="0" w:color="000000"/>
            </w:tcBorders>
            <w:shd w:val="clear" w:color="auto" w:fill="95B3D7" w:themeFill="accent1" w:themeFillTint="99"/>
          </w:tcPr>
          <w:p w14:paraId="1D7A26B1" w14:textId="77777777" w:rsidR="00E70195" w:rsidRPr="003D5FB5" w:rsidRDefault="00E70195" w:rsidP="00E06740">
            <w:pPr>
              <w:spacing w:line="360" w:lineRule="auto"/>
              <w:ind w:right="-30"/>
              <w:jc w:val="center"/>
              <w:textAlignment w:val="baseline"/>
              <w:rPr>
                <w:rFonts w:asciiTheme="minorHAnsi" w:hAnsiTheme="minorHAnsi" w:cstheme="minorHAnsi"/>
                <w:sz w:val="22"/>
                <w:szCs w:val="22"/>
                <w:lang w:eastAsia="en-IN"/>
              </w:rPr>
            </w:pPr>
            <w:r w:rsidRPr="003D5FB5">
              <w:rPr>
                <w:rFonts w:asciiTheme="minorHAnsi" w:hAnsiTheme="minorHAnsi" w:cstheme="minorHAnsi"/>
                <w:bCs/>
                <w:iCs/>
                <w:color w:val="000000"/>
                <w:sz w:val="22"/>
                <w:szCs w:val="22"/>
                <w:lang w:eastAsia="en-IN"/>
              </w:rPr>
              <w:t>New DTR AB Switches Installed</w:t>
            </w:r>
          </w:p>
        </w:tc>
        <w:tc>
          <w:tcPr>
            <w:tcW w:w="1000" w:type="dxa"/>
            <w:tcBorders>
              <w:top w:val="single" w:sz="6" w:space="0" w:color="000000"/>
              <w:left w:val="single" w:sz="6" w:space="0" w:color="000000"/>
              <w:bottom w:val="single" w:sz="6" w:space="0" w:color="000000"/>
              <w:right w:val="single" w:sz="6" w:space="0" w:color="000000"/>
            </w:tcBorders>
            <w:shd w:val="clear" w:color="auto" w:fill="95B3D7" w:themeFill="accent1" w:themeFillTint="99"/>
          </w:tcPr>
          <w:p w14:paraId="722B0813" w14:textId="77777777" w:rsidR="00E70195" w:rsidRPr="003D5FB5" w:rsidRDefault="00E70195" w:rsidP="00E06740">
            <w:pPr>
              <w:spacing w:line="360" w:lineRule="auto"/>
              <w:ind w:right="-30"/>
              <w:jc w:val="center"/>
              <w:textAlignment w:val="baseline"/>
              <w:rPr>
                <w:rFonts w:asciiTheme="minorHAnsi" w:hAnsiTheme="minorHAnsi" w:cstheme="minorHAnsi"/>
                <w:sz w:val="22"/>
                <w:szCs w:val="22"/>
                <w:lang w:eastAsia="en-IN"/>
              </w:rPr>
            </w:pPr>
            <w:r w:rsidRPr="003D5FB5">
              <w:rPr>
                <w:rFonts w:asciiTheme="minorHAnsi" w:hAnsiTheme="minorHAnsi" w:cstheme="minorHAnsi"/>
                <w:bCs/>
                <w:color w:val="000000"/>
                <w:sz w:val="22"/>
                <w:szCs w:val="22"/>
                <w:lang w:eastAsia="en-IN"/>
              </w:rPr>
              <w:t>970</w:t>
            </w:r>
          </w:p>
        </w:tc>
        <w:tc>
          <w:tcPr>
            <w:tcW w:w="2332" w:type="dxa"/>
            <w:tcBorders>
              <w:top w:val="single" w:sz="6" w:space="0" w:color="000000"/>
              <w:left w:val="single" w:sz="6" w:space="0" w:color="000000"/>
              <w:bottom w:val="single" w:sz="6" w:space="0" w:color="000000"/>
              <w:right w:val="single" w:sz="6" w:space="0" w:color="000000"/>
            </w:tcBorders>
            <w:shd w:val="clear" w:color="auto" w:fill="95B3D7" w:themeFill="accent1" w:themeFillTint="99"/>
          </w:tcPr>
          <w:p w14:paraId="77E1AE72" w14:textId="77777777" w:rsidR="00E70195" w:rsidRPr="003D5FB5" w:rsidRDefault="00E70195" w:rsidP="00E06740">
            <w:pPr>
              <w:spacing w:line="360" w:lineRule="auto"/>
              <w:ind w:right="-30"/>
              <w:jc w:val="center"/>
              <w:textAlignment w:val="baseline"/>
              <w:rPr>
                <w:rFonts w:asciiTheme="minorHAnsi" w:hAnsiTheme="minorHAnsi" w:cstheme="minorHAnsi"/>
                <w:sz w:val="22"/>
                <w:szCs w:val="22"/>
                <w:lang w:eastAsia="en-IN"/>
              </w:rPr>
            </w:pPr>
            <w:r w:rsidRPr="003D5FB5">
              <w:rPr>
                <w:rFonts w:asciiTheme="minorHAnsi" w:hAnsiTheme="minorHAnsi" w:cstheme="minorHAnsi"/>
                <w:bCs/>
                <w:iCs/>
                <w:sz w:val="22"/>
                <w:szCs w:val="22"/>
                <w:lang w:eastAsia="en-IN"/>
              </w:rPr>
              <w:t>Stay Set Installed</w:t>
            </w:r>
          </w:p>
        </w:tc>
        <w:tc>
          <w:tcPr>
            <w:tcW w:w="979" w:type="dxa"/>
            <w:tcBorders>
              <w:top w:val="single" w:sz="6" w:space="0" w:color="000000"/>
              <w:left w:val="single" w:sz="6" w:space="0" w:color="000000"/>
              <w:bottom w:val="single" w:sz="6" w:space="0" w:color="000000"/>
              <w:right w:val="single" w:sz="6" w:space="0" w:color="000000"/>
            </w:tcBorders>
            <w:shd w:val="clear" w:color="auto" w:fill="95B3D7" w:themeFill="accent1" w:themeFillTint="99"/>
          </w:tcPr>
          <w:p w14:paraId="27EE3AD6" w14:textId="77777777" w:rsidR="00E70195" w:rsidRPr="003D5FB5" w:rsidRDefault="00E70195" w:rsidP="00E06740">
            <w:pPr>
              <w:spacing w:line="360" w:lineRule="auto"/>
              <w:ind w:right="-30"/>
              <w:jc w:val="center"/>
              <w:textAlignment w:val="baseline"/>
              <w:rPr>
                <w:rFonts w:asciiTheme="minorHAnsi" w:hAnsiTheme="minorHAnsi" w:cstheme="minorHAnsi"/>
                <w:sz w:val="22"/>
                <w:szCs w:val="22"/>
                <w:lang w:eastAsia="en-IN"/>
              </w:rPr>
            </w:pPr>
            <w:r w:rsidRPr="003D5FB5">
              <w:rPr>
                <w:rFonts w:asciiTheme="minorHAnsi" w:hAnsiTheme="minorHAnsi" w:cstheme="minorHAnsi"/>
                <w:sz w:val="22"/>
                <w:szCs w:val="22"/>
                <w:lang w:eastAsia="en-IN"/>
              </w:rPr>
              <w:t>4704</w:t>
            </w:r>
          </w:p>
        </w:tc>
        <w:tc>
          <w:tcPr>
            <w:tcW w:w="36" w:type="dxa"/>
          </w:tcPr>
          <w:p w14:paraId="7953DB1C" w14:textId="77777777" w:rsidR="00E70195" w:rsidRPr="003D5FB5" w:rsidRDefault="00E70195" w:rsidP="00E06740">
            <w:pPr>
              <w:rPr>
                <w:rFonts w:asciiTheme="minorHAnsi" w:hAnsiTheme="minorHAnsi" w:cstheme="minorHAnsi"/>
                <w:sz w:val="22"/>
                <w:szCs w:val="22"/>
              </w:rPr>
            </w:pPr>
          </w:p>
        </w:tc>
      </w:tr>
      <w:tr w:rsidR="00E70195" w:rsidRPr="003D5FB5" w14:paraId="224AF77B" w14:textId="77777777" w:rsidTr="00E06740">
        <w:trPr>
          <w:trHeight w:val="297"/>
        </w:trPr>
        <w:tc>
          <w:tcPr>
            <w:tcW w:w="1862" w:type="dxa"/>
            <w:tcBorders>
              <w:top w:val="single" w:sz="6" w:space="0" w:color="000000"/>
              <w:left w:val="single" w:sz="6" w:space="0" w:color="000000"/>
              <w:bottom w:val="single" w:sz="6" w:space="0" w:color="000000"/>
              <w:right w:val="single" w:sz="6" w:space="0" w:color="000000"/>
            </w:tcBorders>
            <w:shd w:val="clear" w:color="auto" w:fill="auto"/>
          </w:tcPr>
          <w:p w14:paraId="0FA2624F" w14:textId="77777777" w:rsidR="00E70195" w:rsidRPr="003D5FB5" w:rsidRDefault="00E70195" w:rsidP="00E06740">
            <w:pPr>
              <w:spacing w:line="360" w:lineRule="auto"/>
              <w:ind w:right="-30"/>
              <w:jc w:val="center"/>
              <w:textAlignment w:val="baseline"/>
              <w:rPr>
                <w:rFonts w:asciiTheme="minorHAnsi" w:hAnsiTheme="minorHAnsi" w:cstheme="minorHAnsi"/>
                <w:sz w:val="22"/>
                <w:szCs w:val="22"/>
                <w:lang w:eastAsia="en-IN"/>
              </w:rPr>
            </w:pPr>
          </w:p>
        </w:tc>
        <w:tc>
          <w:tcPr>
            <w:tcW w:w="732" w:type="dxa"/>
            <w:gridSpan w:val="2"/>
            <w:tcBorders>
              <w:top w:val="single" w:sz="6" w:space="0" w:color="000000"/>
              <w:left w:val="single" w:sz="6" w:space="0" w:color="000000"/>
              <w:bottom w:val="single" w:sz="6" w:space="0" w:color="000000"/>
              <w:right w:val="single" w:sz="6" w:space="0" w:color="000000"/>
            </w:tcBorders>
            <w:shd w:val="clear" w:color="auto" w:fill="auto"/>
          </w:tcPr>
          <w:p w14:paraId="63A239FA" w14:textId="77777777" w:rsidR="00E70195" w:rsidRPr="003D5FB5" w:rsidRDefault="00E70195" w:rsidP="00E06740">
            <w:pPr>
              <w:spacing w:line="360" w:lineRule="auto"/>
              <w:ind w:right="-30"/>
              <w:jc w:val="center"/>
              <w:textAlignment w:val="baseline"/>
              <w:rPr>
                <w:rFonts w:asciiTheme="minorHAnsi" w:hAnsiTheme="minorHAnsi" w:cstheme="minorHAnsi"/>
                <w:sz w:val="22"/>
                <w:szCs w:val="22"/>
                <w:lang w:eastAsia="en-IN"/>
              </w:rPr>
            </w:pPr>
          </w:p>
        </w:tc>
        <w:tc>
          <w:tcPr>
            <w:tcW w:w="1841" w:type="dxa"/>
            <w:tcBorders>
              <w:top w:val="single" w:sz="6" w:space="0" w:color="000000"/>
              <w:left w:val="single" w:sz="6" w:space="0" w:color="000000"/>
              <w:bottom w:val="single" w:sz="6" w:space="0" w:color="000000"/>
              <w:right w:val="single" w:sz="6" w:space="0" w:color="000000"/>
            </w:tcBorders>
            <w:shd w:val="clear" w:color="auto" w:fill="auto"/>
          </w:tcPr>
          <w:p w14:paraId="61971E62" w14:textId="77777777" w:rsidR="00E70195" w:rsidRPr="003D5FB5" w:rsidRDefault="00E70195" w:rsidP="00E06740">
            <w:pPr>
              <w:spacing w:line="360" w:lineRule="auto"/>
              <w:ind w:right="-30"/>
              <w:jc w:val="center"/>
              <w:textAlignment w:val="baseline"/>
              <w:rPr>
                <w:rFonts w:asciiTheme="minorHAnsi" w:hAnsiTheme="minorHAnsi" w:cstheme="minorHAnsi"/>
                <w:sz w:val="22"/>
                <w:szCs w:val="22"/>
                <w:lang w:eastAsia="en-IN"/>
              </w:rPr>
            </w:pPr>
          </w:p>
        </w:tc>
        <w:tc>
          <w:tcPr>
            <w:tcW w:w="1000" w:type="dxa"/>
            <w:tcBorders>
              <w:top w:val="single" w:sz="6" w:space="0" w:color="000000"/>
              <w:left w:val="single" w:sz="6" w:space="0" w:color="000000"/>
              <w:bottom w:val="single" w:sz="6" w:space="0" w:color="000000"/>
              <w:right w:val="single" w:sz="6" w:space="0" w:color="000000"/>
            </w:tcBorders>
            <w:shd w:val="clear" w:color="auto" w:fill="auto"/>
          </w:tcPr>
          <w:p w14:paraId="7D758B63" w14:textId="77777777" w:rsidR="00E70195" w:rsidRPr="003D5FB5" w:rsidRDefault="00E70195" w:rsidP="00E06740">
            <w:pPr>
              <w:spacing w:line="360" w:lineRule="auto"/>
              <w:ind w:right="-30"/>
              <w:jc w:val="center"/>
              <w:textAlignment w:val="baseline"/>
              <w:rPr>
                <w:rFonts w:asciiTheme="minorHAnsi" w:hAnsiTheme="minorHAnsi" w:cstheme="minorHAnsi"/>
                <w:sz w:val="22"/>
                <w:szCs w:val="22"/>
                <w:lang w:eastAsia="en-IN"/>
              </w:rPr>
            </w:pPr>
          </w:p>
        </w:tc>
        <w:tc>
          <w:tcPr>
            <w:tcW w:w="2332" w:type="dxa"/>
            <w:tcBorders>
              <w:top w:val="single" w:sz="6" w:space="0" w:color="000000"/>
              <w:left w:val="single" w:sz="6" w:space="0" w:color="000000"/>
              <w:bottom w:val="single" w:sz="6" w:space="0" w:color="000000"/>
              <w:right w:val="single" w:sz="6" w:space="0" w:color="000000"/>
            </w:tcBorders>
            <w:shd w:val="clear" w:color="auto" w:fill="auto"/>
          </w:tcPr>
          <w:p w14:paraId="2171437C" w14:textId="77777777" w:rsidR="00E70195" w:rsidRPr="003D5FB5" w:rsidRDefault="00E70195" w:rsidP="00E06740">
            <w:pPr>
              <w:spacing w:line="360" w:lineRule="auto"/>
              <w:ind w:right="-30"/>
              <w:jc w:val="center"/>
              <w:textAlignment w:val="baseline"/>
              <w:rPr>
                <w:rFonts w:asciiTheme="minorHAnsi" w:hAnsiTheme="minorHAnsi" w:cstheme="minorHAnsi"/>
                <w:sz w:val="22"/>
                <w:szCs w:val="22"/>
                <w:lang w:eastAsia="en-IN"/>
              </w:rPr>
            </w:pPr>
            <w:r w:rsidRPr="003D5FB5">
              <w:rPr>
                <w:rFonts w:asciiTheme="minorHAnsi" w:hAnsiTheme="minorHAnsi" w:cstheme="minorHAnsi"/>
                <w:bCs/>
                <w:iCs/>
                <w:sz w:val="22"/>
                <w:szCs w:val="22"/>
                <w:lang w:eastAsia="en-IN"/>
              </w:rPr>
              <w:t>Line A/B Switch repaired / Replaced</w:t>
            </w:r>
          </w:p>
        </w:tc>
        <w:tc>
          <w:tcPr>
            <w:tcW w:w="979" w:type="dxa"/>
            <w:tcBorders>
              <w:top w:val="single" w:sz="6" w:space="0" w:color="000000"/>
              <w:left w:val="single" w:sz="6" w:space="0" w:color="000000"/>
              <w:bottom w:val="single" w:sz="6" w:space="0" w:color="000000"/>
              <w:right w:val="single" w:sz="6" w:space="0" w:color="000000"/>
            </w:tcBorders>
            <w:shd w:val="clear" w:color="auto" w:fill="FFFFFF" w:themeFill="background1"/>
          </w:tcPr>
          <w:p w14:paraId="1136C2E4" w14:textId="77777777" w:rsidR="00E70195" w:rsidRPr="003D5FB5" w:rsidRDefault="00E70195" w:rsidP="00E06740">
            <w:pPr>
              <w:spacing w:line="360" w:lineRule="auto"/>
              <w:ind w:right="-30"/>
              <w:jc w:val="center"/>
              <w:textAlignment w:val="baseline"/>
              <w:rPr>
                <w:rFonts w:asciiTheme="minorHAnsi" w:hAnsiTheme="minorHAnsi" w:cstheme="minorHAnsi"/>
                <w:sz w:val="22"/>
                <w:szCs w:val="22"/>
                <w:lang w:eastAsia="en-IN"/>
              </w:rPr>
            </w:pPr>
            <w:r w:rsidRPr="003D5FB5">
              <w:rPr>
                <w:rFonts w:asciiTheme="minorHAnsi" w:hAnsiTheme="minorHAnsi" w:cstheme="minorHAnsi"/>
                <w:sz w:val="22"/>
                <w:szCs w:val="22"/>
                <w:shd w:val="clear" w:color="auto" w:fill="FFFFFF"/>
                <w:lang w:eastAsia="en-IN"/>
              </w:rPr>
              <w:t>6050</w:t>
            </w:r>
          </w:p>
        </w:tc>
        <w:tc>
          <w:tcPr>
            <w:tcW w:w="36" w:type="dxa"/>
          </w:tcPr>
          <w:p w14:paraId="7CDF6C4E" w14:textId="77777777" w:rsidR="00E70195" w:rsidRPr="003D5FB5" w:rsidRDefault="00E70195" w:rsidP="00E06740">
            <w:pPr>
              <w:rPr>
                <w:rFonts w:asciiTheme="minorHAnsi" w:hAnsiTheme="minorHAnsi" w:cstheme="minorHAnsi"/>
                <w:sz w:val="22"/>
                <w:szCs w:val="22"/>
              </w:rPr>
            </w:pPr>
          </w:p>
        </w:tc>
      </w:tr>
    </w:tbl>
    <w:p w14:paraId="3104E900" w14:textId="77777777" w:rsidR="00E70195" w:rsidRPr="003D5FB5" w:rsidRDefault="00E70195" w:rsidP="00E70195">
      <w:pPr>
        <w:tabs>
          <w:tab w:val="left" w:pos="426"/>
        </w:tabs>
        <w:spacing w:line="360" w:lineRule="auto"/>
        <w:ind w:left="567" w:right="-23"/>
        <w:jc w:val="both"/>
        <w:rPr>
          <w:rFonts w:asciiTheme="minorHAnsi" w:hAnsiTheme="minorHAnsi" w:cstheme="minorHAnsi"/>
          <w:b/>
          <w:sz w:val="22"/>
          <w:szCs w:val="22"/>
        </w:rPr>
      </w:pPr>
    </w:p>
    <w:p w14:paraId="5E97CFE9" w14:textId="77777777" w:rsidR="00E70195" w:rsidRPr="003D5FB5" w:rsidRDefault="00E70195" w:rsidP="002F0A87">
      <w:pPr>
        <w:tabs>
          <w:tab w:val="left" w:pos="426"/>
        </w:tabs>
        <w:spacing w:line="360" w:lineRule="auto"/>
        <w:ind w:right="-23"/>
        <w:jc w:val="both"/>
        <w:rPr>
          <w:rFonts w:asciiTheme="minorHAnsi" w:hAnsiTheme="minorHAnsi" w:cstheme="minorHAnsi"/>
          <w:b/>
          <w:sz w:val="22"/>
          <w:szCs w:val="22"/>
        </w:rPr>
      </w:pPr>
    </w:p>
    <w:p w14:paraId="3A3746C7" w14:textId="310183A8" w:rsidR="002F0A87" w:rsidRPr="003D5FB5" w:rsidRDefault="00EA573A" w:rsidP="00BA576C">
      <w:pPr>
        <w:tabs>
          <w:tab w:val="left" w:pos="426"/>
        </w:tabs>
        <w:spacing w:line="360" w:lineRule="auto"/>
        <w:ind w:right="-23"/>
        <w:jc w:val="both"/>
        <w:rPr>
          <w:rFonts w:asciiTheme="minorHAnsi" w:hAnsiTheme="minorHAnsi" w:cstheme="minorHAnsi"/>
          <w:b/>
          <w:sz w:val="22"/>
          <w:szCs w:val="22"/>
        </w:rPr>
      </w:pPr>
      <w:r>
        <w:rPr>
          <w:rFonts w:asciiTheme="minorHAnsi" w:hAnsiTheme="minorHAnsi" w:cstheme="minorHAnsi"/>
          <w:b/>
          <w:sz w:val="22"/>
          <w:szCs w:val="22"/>
        </w:rPr>
        <w:t xml:space="preserve">           </w:t>
      </w:r>
      <w:r w:rsidR="00D2021D">
        <w:rPr>
          <w:rFonts w:asciiTheme="minorHAnsi" w:hAnsiTheme="minorHAnsi" w:cstheme="minorHAnsi"/>
          <w:b/>
          <w:sz w:val="22"/>
          <w:szCs w:val="22"/>
        </w:rPr>
        <w:t>2.7.</w:t>
      </w:r>
      <w:r w:rsidR="000860B0">
        <w:rPr>
          <w:rFonts w:asciiTheme="minorHAnsi" w:hAnsiTheme="minorHAnsi" w:cstheme="minorHAnsi"/>
          <w:b/>
          <w:sz w:val="22"/>
          <w:szCs w:val="22"/>
        </w:rPr>
        <w:t>3</w:t>
      </w:r>
      <w:r w:rsidR="00D2021D">
        <w:rPr>
          <w:rFonts w:asciiTheme="minorHAnsi" w:hAnsiTheme="minorHAnsi" w:cstheme="minorHAnsi"/>
          <w:b/>
          <w:sz w:val="22"/>
          <w:szCs w:val="22"/>
        </w:rPr>
        <w:t>.</w:t>
      </w:r>
      <w:r w:rsidR="00E70195">
        <w:rPr>
          <w:rFonts w:asciiTheme="minorHAnsi" w:hAnsiTheme="minorHAnsi" w:cstheme="minorHAnsi"/>
          <w:b/>
          <w:sz w:val="22"/>
          <w:szCs w:val="22"/>
        </w:rPr>
        <w:t>5</w:t>
      </w:r>
      <w:r w:rsidR="002F0A87" w:rsidRPr="003D5FB5">
        <w:rPr>
          <w:rFonts w:asciiTheme="minorHAnsi" w:hAnsiTheme="minorHAnsi" w:cstheme="minorHAnsi"/>
          <w:b/>
          <w:sz w:val="22"/>
          <w:szCs w:val="22"/>
        </w:rPr>
        <w:t xml:space="preserve">. Project </w:t>
      </w:r>
      <w:r w:rsidR="00E70195">
        <w:rPr>
          <w:rFonts w:asciiTheme="minorHAnsi" w:hAnsiTheme="minorHAnsi" w:cstheme="minorHAnsi"/>
          <w:b/>
          <w:sz w:val="22"/>
          <w:szCs w:val="22"/>
        </w:rPr>
        <w:t>Mission 100</w:t>
      </w:r>
    </w:p>
    <w:p w14:paraId="3234B531" w14:textId="58780A31" w:rsidR="00BA576C" w:rsidRPr="00A702DE" w:rsidRDefault="00EA573A" w:rsidP="00A702DE">
      <w:pPr>
        <w:tabs>
          <w:tab w:val="left" w:pos="426"/>
        </w:tabs>
        <w:spacing w:line="360" w:lineRule="auto"/>
        <w:ind w:left="426" w:right="-23"/>
        <w:jc w:val="both"/>
        <w:rPr>
          <w:rStyle w:val="normaltextrun"/>
          <w:rFonts w:asciiTheme="minorHAnsi" w:hAnsiTheme="minorHAnsi" w:cstheme="minorHAnsi"/>
          <w:b/>
          <w:sz w:val="22"/>
          <w:szCs w:val="22"/>
        </w:rPr>
      </w:pPr>
      <w:r>
        <w:rPr>
          <w:rFonts w:asciiTheme="minorHAnsi" w:hAnsiTheme="minorHAnsi" w:cstheme="minorHAnsi"/>
          <w:b/>
          <w:sz w:val="22"/>
          <w:szCs w:val="22"/>
        </w:rPr>
        <w:t xml:space="preserve">         </w:t>
      </w:r>
    </w:p>
    <w:p w14:paraId="13947226" w14:textId="408D9AC9" w:rsidR="002F0A87" w:rsidRDefault="00A702DE" w:rsidP="00A702DE">
      <w:pPr>
        <w:tabs>
          <w:tab w:val="left" w:pos="709"/>
        </w:tabs>
        <w:spacing w:line="360" w:lineRule="auto"/>
        <w:ind w:left="567" w:right="-23" w:hanging="141"/>
        <w:jc w:val="both"/>
        <w:rPr>
          <w:rFonts w:asciiTheme="minorHAnsi" w:hAnsiTheme="minorHAnsi" w:cstheme="minorHAnsi"/>
          <w:sz w:val="22"/>
          <w:szCs w:val="22"/>
        </w:rPr>
      </w:pPr>
      <w:r>
        <w:rPr>
          <w:rStyle w:val="normaltextrun"/>
          <w:rFonts w:asciiTheme="minorHAnsi" w:hAnsiTheme="minorHAnsi" w:cstheme="minorHAnsi"/>
          <w:color w:val="000000"/>
          <w:sz w:val="22"/>
          <w:szCs w:val="22"/>
          <w:shd w:val="clear" w:color="auto" w:fill="FFFFFF"/>
        </w:rPr>
        <w:t xml:space="preserve">    </w:t>
      </w:r>
      <w:r w:rsidR="002F0A87" w:rsidRPr="003D5FB5">
        <w:rPr>
          <w:rStyle w:val="normaltextrun"/>
          <w:rFonts w:asciiTheme="minorHAnsi" w:hAnsiTheme="minorHAnsi" w:cstheme="minorHAnsi"/>
          <w:color w:val="000000"/>
          <w:sz w:val="22"/>
          <w:szCs w:val="22"/>
          <w:shd w:val="clear" w:color="auto" w:fill="FFFFFF"/>
        </w:rPr>
        <w:t>Further, our 11K</w:t>
      </w:r>
      <w:r w:rsidR="00466DB4">
        <w:rPr>
          <w:rStyle w:val="normaltextrun"/>
          <w:rFonts w:asciiTheme="minorHAnsi" w:hAnsiTheme="minorHAnsi" w:cstheme="minorHAnsi"/>
          <w:color w:val="000000"/>
          <w:sz w:val="22"/>
          <w:szCs w:val="22"/>
          <w:shd w:val="clear" w:color="auto" w:fill="FFFFFF"/>
        </w:rPr>
        <w:t xml:space="preserve">V system network comprises </w:t>
      </w:r>
      <w:r w:rsidR="00466DB4" w:rsidRPr="00E02343">
        <w:rPr>
          <w:rStyle w:val="normaltextrun"/>
          <w:rFonts w:asciiTheme="minorHAnsi" w:hAnsiTheme="minorHAnsi" w:cstheme="minorHAnsi"/>
          <w:color w:val="000000"/>
          <w:sz w:val="22"/>
          <w:szCs w:val="22"/>
          <w:shd w:val="clear" w:color="auto" w:fill="FFFFFF"/>
        </w:rPr>
        <w:t>of 79</w:t>
      </w:r>
      <w:r w:rsidR="002F0A87" w:rsidRPr="00E02343">
        <w:rPr>
          <w:rStyle w:val="normaltextrun"/>
          <w:rFonts w:asciiTheme="minorHAnsi" w:hAnsiTheme="minorHAnsi" w:cstheme="minorHAnsi"/>
          <w:color w:val="000000"/>
          <w:sz w:val="22"/>
          <w:szCs w:val="22"/>
          <w:shd w:val="clear" w:color="auto" w:fill="FFFFFF"/>
        </w:rPr>
        <w:t>,</w:t>
      </w:r>
      <w:r w:rsidR="00466DB4" w:rsidRPr="00E02343">
        <w:rPr>
          <w:rStyle w:val="normaltextrun"/>
          <w:rFonts w:asciiTheme="minorHAnsi" w:hAnsiTheme="minorHAnsi" w:cstheme="minorHAnsi"/>
          <w:color w:val="000000"/>
          <w:sz w:val="22"/>
          <w:szCs w:val="22"/>
          <w:shd w:val="clear" w:color="auto" w:fill="FFFFFF"/>
        </w:rPr>
        <w:t>411</w:t>
      </w:r>
      <w:r w:rsidR="002F0A87" w:rsidRPr="00E02343">
        <w:rPr>
          <w:rStyle w:val="normaltextrun"/>
          <w:rFonts w:asciiTheme="minorHAnsi" w:hAnsiTheme="minorHAnsi" w:cstheme="minorHAnsi"/>
          <w:color w:val="000000"/>
          <w:sz w:val="22"/>
          <w:szCs w:val="22"/>
          <w:shd w:val="clear" w:color="auto" w:fill="FFFFFF"/>
        </w:rPr>
        <w:t xml:space="preserve"> DTRs and 41,108 </w:t>
      </w:r>
      <w:proofErr w:type="spellStart"/>
      <w:r w:rsidR="002F0A87" w:rsidRPr="00E02343">
        <w:rPr>
          <w:rStyle w:val="normaltextrun"/>
          <w:rFonts w:asciiTheme="minorHAnsi" w:hAnsiTheme="minorHAnsi" w:cstheme="minorHAnsi"/>
          <w:color w:val="000000"/>
          <w:sz w:val="22"/>
          <w:szCs w:val="22"/>
          <w:shd w:val="clear" w:color="auto" w:fill="FFFFFF"/>
        </w:rPr>
        <w:t>Ckt</w:t>
      </w:r>
      <w:proofErr w:type="spellEnd"/>
      <w:r w:rsidR="002F0A87" w:rsidRPr="003D5FB5">
        <w:rPr>
          <w:rStyle w:val="normaltextrun"/>
          <w:rFonts w:asciiTheme="minorHAnsi" w:hAnsiTheme="minorHAnsi" w:cstheme="minorHAnsi"/>
          <w:color w:val="000000"/>
          <w:sz w:val="22"/>
          <w:szCs w:val="22"/>
          <w:shd w:val="clear" w:color="auto" w:fill="FFFFFF"/>
        </w:rPr>
        <w:t xml:space="preserve"> Km of 11KV line. Steps taken for the upkeep of 11KV system network outlined hereunder. Under project Raksha, oil filtration/top up, HT/LT Bushing replacement, Oil leakage checking, Breather/Silica Gel replacement, repairing /new DTR Body earthing, replacement of burnt socket, augmentation of DTs has been carried out. Brief of the activities are furnished in the following table. </w:t>
      </w:r>
      <w:r w:rsidR="002F0A87" w:rsidRPr="003D5FB5">
        <w:rPr>
          <w:rStyle w:val="eop"/>
          <w:rFonts w:asciiTheme="minorHAnsi" w:hAnsiTheme="minorHAnsi" w:cstheme="minorHAnsi"/>
          <w:color w:val="000000"/>
          <w:sz w:val="22"/>
          <w:szCs w:val="22"/>
          <w:shd w:val="clear" w:color="auto" w:fill="FFFFFF"/>
        </w:rPr>
        <w:t> </w:t>
      </w:r>
      <w:r w:rsidR="002F0A87" w:rsidRPr="003D5FB5">
        <w:rPr>
          <w:rFonts w:asciiTheme="minorHAnsi" w:hAnsiTheme="minorHAnsi" w:cstheme="minorHAnsi"/>
          <w:sz w:val="22"/>
          <w:szCs w:val="22"/>
        </w:rPr>
        <w:t xml:space="preserve"> </w:t>
      </w:r>
    </w:p>
    <w:p w14:paraId="056A03FD" w14:textId="37A21159" w:rsidR="00A702DE" w:rsidRDefault="00A702DE" w:rsidP="00E02343">
      <w:pPr>
        <w:tabs>
          <w:tab w:val="left" w:pos="426"/>
        </w:tabs>
        <w:spacing w:line="360" w:lineRule="auto"/>
        <w:ind w:left="426" w:right="-23"/>
        <w:jc w:val="both"/>
        <w:rPr>
          <w:rFonts w:asciiTheme="minorHAnsi" w:hAnsiTheme="minorHAnsi" w:cstheme="minorHAnsi"/>
          <w:sz w:val="22"/>
          <w:szCs w:val="22"/>
        </w:rPr>
      </w:pPr>
      <w:r w:rsidRPr="003D5FB5">
        <w:rPr>
          <w:rFonts w:asciiTheme="minorHAnsi" w:hAnsiTheme="minorHAnsi" w:cstheme="minorHAnsi"/>
          <w:noProof/>
          <w:sz w:val="22"/>
          <w:szCs w:val="22"/>
          <w:lang w:val="en-IN" w:eastAsia="en-IN"/>
        </w:rPr>
        <w:drawing>
          <wp:anchor distT="0" distB="635" distL="113665" distR="114300" simplePos="0" relativeHeight="251966976" behindDoc="0" locked="0" layoutInCell="0" allowOverlap="1" wp14:anchorId="0EBAABFC" wp14:editId="652B5DE9">
            <wp:simplePos x="0" y="0"/>
            <wp:positionH relativeFrom="margin">
              <wp:posOffset>3880485</wp:posOffset>
            </wp:positionH>
            <wp:positionV relativeFrom="paragraph">
              <wp:posOffset>329565</wp:posOffset>
            </wp:positionV>
            <wp:extent cx="2457450" cy="2828925"/>
            <wp:effectExtent l="76200" t="76200" r="133350" b="142875"/>
            <wp:wrapTight wrapText="bothSides">
              <wp:wrapPolygon edited="0">
                <wp:start x="-335" y="-582"/>
                <wp:lineTo x="-670" y="-436"/>
                <wp:lineTo x="-670" y="21964"/>
                <wp:lineTo x="-335" y="22545"/>
                <wp:lineTo x="22270" y="22545"/>
                <wp:lineTo x="22605" y="20655"/>
                <wp:lineTo x="22605" y="1891"/>
                <wp:lineTo x="22270" y="-291"/>
                <wp:lineTo x="22270" y="-582"/>
                <wp:lineTo x="-335" y="-582"/>
              </wp:wrapPolygon>
            </wp:wrapTight>
            <wp:docPr id="212922805" name="Picture 22"/>
            <wp:cNvGraphicFramePr/>
            <a:graphic xmlns:a="http://schemas.openxmlformats.org/drawingml/2006/main">
              <a:graphicData uri="http://schemas.openxmlformats.org/drawingml/2006/picture">
                <pic:pic xmlns:pic="http://schemas.openxmlformats.org/drawingml/2006/picture">
                  <pic:nvPicPr>
                    <pic:cNvPr id="28" name="Picture 22"/>
                    <pic:cNvPicPr/>
                  </pic:nvPicPr>
                  <pic:blipFill>
                    <a:blip r:embed="rId33"/>
                    <a:stretch/>
                  </pic:blipFill>
                  <pic:spPr>
                    <a:xfrm>
                      <a:off x="0" y="0"/>
                      <a:ext cx="2457450" cy="2828925"/>
                    </a:xfrm>
                    <a:prstGeom prst="rect">
                      <a:avLst/>
                    </a:prstGeom>
                    <a:ln w="38100" cap="sq">
                      <a:solidFill>
                        <a:srgbClr val="000000"/>
                      </a:solidFill>
                      <a:miter/>
                    </a:ln>
                    <a:effectLst>
                      <a:outerShdw blurRad="50760" dist="37674" dir="2700000" algn="tl" rotWithShape="0">
                        <a:srgbClr val="000000">
                          <a:alpha val="43000"/>
                        </a:srgbClr>
                      </a:outerShdw>
                    </a:effectLst>
                  </pic:spPr>
                </pic:pic>
              </a:graphicData>
            </a:graphic>
            <wp14:sizeRelH relativeFrom="margin">
              <wp14:pctWidth>0</wp14:pctWidth>
            </wp14:sizeRelH>
            <wp14:sizeRelV relativeFrom="margin">
              <wp14:pctHeight>0</wp14:pctHeight>
            </wp14:sizeRelV>
          </wp:anchor>
        </w:drawing>
      </w:r>
      <w:r>
        <w:rPr>
          <w:rFonts w:asciiTheme="minorHAnsi" w:hAnsiTheme="minorHAnsi" w:cstheme="minorHAnsi"/>
          <w:b/>
          <w:sz w:val="22"/>
          <w:szCs w:val="22"/>
        </w:rPr>
        <w:t xml:space="preserve">     </w:t>
      </w:r>
      <w:r w:rsidRPr="003D5FB5">
        <w:rPr>
          <w:rFonts w:asciiTheme="minorHAnsi" w:hAnsiTheme="minorHAnsi" w:cstheme="minorHAnsi"/>
          <w:b/>
          <w:sz w:val="22"/>
          <w:szCs w:val="22"/>
        </w:rPr>
        <w:t>Table-2</w:t>
      </w:r>
      <w:r>
        <w:rPr>
          <w:rFonts w:asciiTheme="minorHAnsi" w:hAnsiTheme="minorHAnsi" w:cstheme="minorHAnsi"/>
          <w:b/>
          <w:sz w:val="22"/>
          <w:szCs w:val="22"/>
        </w:rPr>
        <w:t>5</w:t>
      </w:r>
      <w:r w:rsidRPr="003D5FB5">
        <w:rPr>
          <w:rFonts w:asciiTheme="minorHAnsi" w:hAnsiTheme="minorHAnsi" w:cstheme="minorHAnsi"/>
          <w:b/>
          <w:sz w:val="22"/>
          <w:szCs w:val="22"/>
        </w:rPr>
        <w:t>: Maintenance Status of DTR</w:t>
      </w:r>
    </w:p>
    <w:tbl>
      <w:tblPr>
        <w:tblpPr w:leftFromText="180" w:rightFromText="180" w:vertAnchor="text" w:horzAnchor="page" w:tblpX="1666" w:tblpY="61"/>
        <w:tblW w:w="5026" w:type="dxa"/>
        <w:tblLayout w:type="fixed"/>
        <w:tblCellMar>
          <w:left w:w="7" w:type="dxa"/>
          <w:right w:w="7" w:type="dxa"/>
        </w:tblCellMar>
        <w:tblLook w:val="04A0" w:firstRow="1" w:lastRow="0" w:firstColumn="1" w:lastColumn="0" w:noHBand="0" w:noVBand="1"/>
      </w:tblPr>
      <w:tblGrid>
        <w:gridCol w:w="2969"/>
        <w:gridCol w:w="1000"/>
        <w:gridCol w:w="1057"/>
      </w:tblGrid>
      <w:tr w:rsidR="00A702DE" w:rsidRPr="003D5FB5" w14:paraId="4A5AC5BB" w14:textId="77777777" w:rsidTr="00A702DE">
        <w:trPr>
          <w:trHeight w:val="132"/>
        </w:trPr>
        <w:tc>
          <w:tcPr>
            <w:tcW w:w="2969" w:type="dxa"/>
            <w:tcBorders>
              <w:top w:val="single" w:sz="6" w:space="0" w:color="000000"/>
              <w:left w:val="single" w:sz="6" w:space="0" w:color="000000"/>
              <w:bottom w:val="single" w:sz="6" w:space="0" w:color="000000"/>
              <w:right w:val="single" w:sz="6" w:space="0" w:color="000000"/>
            </w:tcBorders>
            <w:shd w:val="clear" w:color="auto" w:fill="95B3D7" w:themeFill="accent1" w:themeFillTint="99"/>
            <w:vAlign w:val="bottom"/>
          </w:tcPr>
          <w:p w14:paraId="58D746C2" w14:textId="77777777" w:rsidR="00A702DE" w:rsidRPr="003D5FB5" w:rsidRDefault="00A702DE" w:rsidP="00A702DE">
            <w:pPr>
              <w:spacing w:line="360" w:lineRule="auto"/>
              <w:jc w:val="center"/>
              <w:textAlignment w:val="baseline"/>
              <w:rPr>
                <w:rFonts w:asciiTheme="minorHAnsi" w:hAnsiTheme="minorHAnsi" w:cstheme="minorHAnsi"/>
                <w:sz w:val="22"/>
                <w:szCs w:val="22"/>
                <w:lang w:eastAsia="en-IN"/>
              </w:rPr>
            </w:pPr>
            <w:r w:rsidRPr="003D5FB5">
              <w:rPr>
                <w:rFonts w:asciiTheme="minorHAnsi" w:hAnsiTheme="minorHAnsi" w:cstheme="minorHAnsi"/>
                <w:b/>
                <w:bCs/>
                <w:iCs/>
                <w:color w:val="000000"/>
                <w:sz w:val="22"/>
                <w:szCs w:val="22"/>
                <w:lang w:eastAsia="en-IN"/>
              </w:rPr>
              <w:t>Particulars</w:t>
            </w:r>
            <w:proofErr w:type="gramStart"/>
            <w:r w:rsidRPr="003D5FB5">
              <w:rPr>
                <w:rFonts w:asciiTheme="minorHAnsi" w:hAnsiTheme="minorHAnsi" w:cstheme="minorHAnsi"/>
                <w:b/>
                <w:bCs/>
                <w:iCs/>
                <w:color w:val="000000"/>
                <w:sz w:val="22"/>
                <w:szCs w:val="22"/>
                <w:lang w:eastAsia="en-IN"/>
              </w:rPr>
              <w:t>/  Description</w:t>
            </w:r>
            <w:proofErr w:type="gramEnd"/>
          </w:p>
        </w:tc>
        <w:tc>
          <w:tcPr>
            <w:tcW w:w="1000" w:type="dxa"/>
            <w:tcBorders>
              <w:top w:val="single" w:sz="6" w:space="0" w:color="000000"/>
              <w:left w:val="single" w:sz="6" w:space="0" w:color="000000"/>
              <w:bottom w:val="single" w:sz="6" w:space="0" w:color="000000"/>
              <w:right w:val="single" w:sz="6" w:space="0" w:color="000000"/>
            </w:tcBorders>
            <w:shd w:val="clear" w:color="auto" w:fill="95B3D7" w:themeFill="accent1" w:themeFillTint="99"/>
            <w:vAlign w:val="bottom"/>
          </w:tcPr>
          <w:p w14:paraId="55C26EB2" w14:textId="77777777" w:rsidR="00A702DE" w:rsidRPr="003D5FB5" w:rsidRDefault="00A702DE" w:rsidP="00A702DE">
            <w:pPr>
              <w:spacing w:line="360" w:lineRule="auto"/>
              <w:jc w:val="center"/>
              <w:textAlignment w:val="baseline"/>
              <w:rPr>
                <w:rFonts w:asciiTheme="minorHAnsi" w:hAnsiTheme="minorHAnsi" w:cstheme="minorHAnsi"/>
                <w:sz w:val="22"/>
                <w:szCs w:val="22"/>
                <w:lang w:eastAsia="en-IN"/>
              </w:rPr>
            </w:pPr>
            <w:r w:rsidRPr="003D5FB5">
              <w:rPr>
                <w:rFonts w:asciiTheme="minorHAnsi" w:hAnsiTheme="minorHAnsi" w:cstheme="minorHAnsi"/>
                <w:b/>
                <w:bCs/>
                <w:iCs/>
                <w:color w:val="000000"/>
                <w:sz w:val="22"/>
                <w:szCs w:val="22"/>
                <w:lang w:eastAsia="en-IN"/>
              </w:rPr>
              <w:t>UoM</w:t>
            </w:r>
          </w:p>
        </w:tc>
        <w:tc>
          <w:tcPr>
            <w:tcW w:w="1057" w:type="dxa"/>
            <w:tcBorders>
              <w:top w:val="single" w:sz="6" w:space="0" w:color="000000"/>
              <w:left w:val="single" w:sz="6" w:space="0" w:color="000000"/>
              <w:bottom w:val="single" w:sz="6" w:space="0" w:color="000000"/>
              <w:right w:val="single" w:sz="6" w:space="0" w:color="000000"/>
            </w:tcBorders>
            <w:shd w:val="clear" w:color="auto" w:fill="95B3D7" w:themeFill="accent1" w:themeFillTint="99"/>
            <w:vAlign w:val="bottom"/>
          </w:tcPr>
          <w:p w14:paraId="1F1D83EC" w14:textId="77777777" w:rsidR="00A702DE" w:rsidRPr="003D5FB5" w:rsidRDefault="00A702DE" w:rsidP="00A702DE">
            <w:pPr>
              <w:spacing w:line="360" w:lineRule="auto"/>
              <w:jc w:val="center"/>
              <w:textAlignment w:val="baseline"/>
              <w:rPr>
                <w:rFonts w:asciiTheme="minorHAnsi" w:hAnsiTheme="minorHAnsi" w:cstheme="minorHAnsi"/>
                <w:sz w:val="22"/>
                <w:szCs w:val="22"/>
                <w:lang w:eastAsia="en-IN"/>
              </w:rPr>
            </w:pPr>
            <w:r w:rsidRPr="003D5FB5">
              <w:rPr>
                <w:rFonts w:asciiTheme="minorHAnsi" w:hAnsiTheme="minorHAnsi" w:cstheme="minorHAnsi"/>
                <w:b/>
                <w:bCs/>
                <w:iCs/>
                <w:color w:val="000000"/>
                <w:sz w:val="22"/>
                <w:szCs w:val="22"/>
                <w:lang w:eastAsia="en-IN"/>
              </w:rPr>
              <w:t>Count</w:t>
            </w:r>
          </w:p>
        </w:tc>
      </w:tr>
      <w:tr w:rsidR="00A702DE" w:rsidRPr="003D5FB5" w14:paraId="3350D452" w14:textId="77777777" w:rsidTr="00A702DE">
        <w:trPr>
          <w:trHeight w:val="132"/>
        </w:trPr>
        <w:tc>
          <w:tcPr>
            <w:tcW w:w="2969" w:type="dxa"/>
            <w:tcBorders>
              <w:top w:val="single" w:sz="6" w:space="0" w:color="000000"/>
              <w:left w:val="single" w:sz="6" w:space="0" w:color="000000"/>
              <w:bottom w:val="single" w:sz="6" w:space="0" w:color="000000"/>
              <w:right w:val="single" w:sz="6" w:space="0" w:color="000000"/>
            </w:tcBorders>
            <w:shd w:val="clear" w:color="auto" w:fill="auto"/>
            <w:vAlign w:val="bottom"/>
          </w:tcPr>
          <w:p w14:paraId="17607E56" w14:textId="77777777" w:rsidR="00A702DE" w:rsidRPr="003D5FB5" w:rsidRDefault="00A702DE" w:rsidP="00A702DE">
            <w:pPr>
              <w:spacing w:line="360" w:lineRule="auto"/>
              <w:jc w:val="both"/>
              <w:textAlignment w:val="baseline"/>
              <w:rPr>
                <w:rFonts w:asciiTheme="minorHAnsi" w:hAnsiTheme="minorHAnsi" w:cstheme="minorHAnsi"/>
                <w:sz w:val="22"/>
                <w:szCs w:val="22"/>
                <w:lang w:eastAsia="en-IN"/>
              </w:rPr>
            </w:pPr>
            <w:r w:rsidRPr="003D5FB5">
              <w:rPr>
                <w:rFonts w:asciiTheme="minorHAnsi" w:hAnsiTheme="minorHAnsi" w:cstheme="minorHAnsi"/>
                <w:iCs/>
                <w:color w:val="000000"/>
                <w:sz w:val="22"/>
                <w:szCs w:val="22"/>
                <w:lang w:eastAsia="en-IN"/>
              </w:rPr>
              <w:t>DTR AB Switch Repaired</w:t>
            </w:r>
            <w:r w:rsidRPr="003D5FB5">
              <w:rPr>
                <w:rFonts w:asciiTheme="minorHAnsi" w:hAnsiTheme="minorHAnsi" w:cstheme="minorHAnsi"/>
                <w:color w:val="000000"/>
                <w:sz w:val="22"/>
                <w:szCs w:val="22"/>
                <w:lang w:eastAsia="en-IN"/>
              </w:rPr>
              <w:t> </w:t>
            </w:r>
          </w:p>
        </w:tc>
        <w:tc>
          <w:tcPr>
            <w:tcW w:w="1000" w:type="dxa"/>
            <w:tcBorders>
              <w:top w:val="single" w:sz="6" w:space="0" w:color="000000"/>
              <w:left w:val="single" w:sz="6" w:space="0" w:color="000000"/>
              <w:bottom w:val="single" w:sz="6" w:space="0" w:color="000000"/>
              <w:right w:val="single" w:sz="6" w:space="0" w:color="000000"/>
            </w:tcBorders>
            <w:shd w:val="clear" w:color="auto" w:fill="auto"/>
            <w:vAlign w:val="bottom"/>
          </w:tcPr>
          <w:p w14:paraId="6BDB7631" w14:textId="77777777" w:rsidR="00A702DE" w:rsidRPr="003D5FB5" w:rsidRDefault="00A702DE" w:rsidP="00A702DE">
            <w:pPr>
              <w:spacing w:line="360" w:lineRule="auto"/>
              <w:jc w:val="center"/>
              <w:textAlignment w:val="baseline"/>
              <w:rPr>
                <w:rFonts w:asciiTheme="minorHAnsi" w:hAnsiTheme="minorHAnsi" w:cstheme="minorHAnsi"/>
                <w:sz w:val="22"/>
                <w:szCs w:val="22"/>
                <w:lang w:eastAsia="en-IN"/>
              </w:rPr>
            </w:pPr>
            <w:r w:rsidRPr="003D5FB5">
              <w:rPr>
                <w:rFonts w:asciiTheme="minorHAnsi" w:hAnsiTheme="minorHAnsi" w:cstheme="minorHAnsi"/>
                <w:iCs/>
                <w:color w:val="000000"/>
                <w:sz w:val="22"/>
                <w:szCs w:val="22"/>
                <w:lang w:eastAsia="en-IN"/>
              </w:rPr>
              <w:t>Nos.</w:t>
            </w:r>
          </w:p>
        </w:tc>
        <w:tc>
          <w:tcPr>
            <w:tcW w:w="1057" w:type="dxa"/>
            <w:tcBorders>
              <w:top w:val="single" w:sz="6" w:space="0" w:color="000000"/>
              <w:left w:val="single" w:sz="6" w:space="0" w:color="000000"/>
              <w:bottom w:val="single" w:sz="6" w:space="0" w:color="000000"/>
              <w:right w:val="single" w:sz="6" w:space="0" w:color="000000"/>
            </w:tcBorders>
            <w:shd w:val="clear" w:color="auto" w:fill="auto"/>
            <w:vAlign w:val="bottom"/>
          </w:tcPr>
          <w:p w14:paraId="5D52248B" w14:textId="77777777" w:rsidR="00A702DE" w:rsidRPr="003D5FB5" w:rsidRDefault="00A702DE" w:rsidP="00A702DE">
            <w:pPr>
              <w:spacing w:line="360" w:lineRule="auto"/>
              <w:jc w:val="center"/>
              <w:textAlignment w:val="baseline"/>
              <w:rPr>
                <w:rFonts w:asciiTheme="minorHAnsi" w:hAnsiTheme="minorHAnsi" w:cstheme="minorHAnsi"/>
                <w:sz w:val="22"/>
                <w:szCs w:val="22"/>
                <w:lang w:eastAsia="en-IN"/>
              </w:rPr>
            </w:pPr>
            <w:r w:rsidRPr="003D5FB5">
              <w:rPr>
                <w:rFonts w:asciiTheme="minorHAnsi" w:hAnsiTheme="minorHAnsi" w:cstheme="minorHAnsi"/>
                <w:iCs/>
                <w:color w:val="000000"/>
                <w:sz w:val="22"/>
                <w:szCs w:val="22"/>
                <w:lang w:eastAsia="en-IN"/>
              </w:rPr>
              <w:t>8239</w:t>
            </w:r>
          </w:p>
        </w:tc>
      </w:tr>
      <w:tr w:rsidR="00A702DE" w:rsidRPr="003D5FB5" w14:paraId="3FFD7978" w14:textId="77777777" w:rsidTr="00A702DE">
        <w:trPr>
          <w:trHeight w:val="132"/>
        </w:trPr>
        <w:tc>
          <w:tcPr>
            <w:tcW w:w="2969" w:type="dxa"/>
            <w:tcBorders>
              <w:top w:val="single" w:sz="6" w:space="0" w:color="000000"/>
              <w:left w:val="single" w:sz="6" w:space="0" w:color="000000"/>
              <w:bottom w:val="single" w:sz="6" w:space="0" w:color="000000"/>
              <w:right w:val="single" w:sz="6" w:space="0" w:color="000000"/>
            </w:tcBorders>
            <w:shd w:val="clear" w:color="auto" w:fill="auto"/>
            <w:vAlign w:val="bottom"/>
          </w:tcPr>
          <w:p w14:paraId="3EEE0FE0" w14:textId="77777777" w:rsidR="00A702DE" w:rsidRPr="003D5FB5" w:rsidRDefault="00A702DE" w:rsidP="00A702DE">
            <w:pPr>
              <w:spacing w:line="360" w:lineRule="auto"/>
              <w:jc w:val="both"/>
              <w:textAlignment w:val="baseline"/>
              <w:rPr>
                <w:rFonts w:asciiTheme="minorHAnsi" w:hAnsiTheme="minorHAnsi" w:cstheme="minorHAnsi"/>
                <w:sz w:val="22"/>
                <w:szCs w:val="22"/>
                <w:lang w:eastAsia="en-IN"/>
              </w:rPr>
            </w:pPr>
            <w:r w:rsidRPr="003D5FB5">
              <w:rPr>
                <w:rFonts w:asciiTheme="minorHAnsi" w:hAnsiTheme="minorHAnsi" w:cstheme="minorHAnsi"/>
                <w:iCs/>
                <w:color w:val="000000"/>
                <w:sz w:val="22"/>
                <w:szCs w:val="22"/>
                <w:lang w:eastAsia="en-IN"/>
              </w:rPr>
              <w:t>New DTR AB Switches Installed</w:t>
            </w:r>
            <w:r w:rsidRPr="003D5FB5">
              <w:rPr>
                <w:rFonts w:asciiTheme="minorHAnsi" w:hAnsiTheme="minorHAnsi" w:cstheme="minorHAnsi"/>
                <w:color w:val="000000"/>
                <w:sz w:val="22"/>
                <w:szCs w:val="22"/>
                <w:lang w:eastAsia="en-IN"/>
              </w:rPr>
              <w:t> </w:t>
            </w:r>
          </w:p>
        </w:tc>
        <w:tc>
          <w:tcPr>
            <w:tcW w:w="1000" w:type="dxa"/>
            <w:tcBorders>
              <w:top w:val="single" w:sz="6" w:space="0" w:color="000000"/>
              <w:left w:val="single" w:sz="6" w:space="0" w:color="000000"/>
              <w:bottom w:val="single" w:sz="6" w:space="0" w:color="000000"/>
              <w:right w:val="single" w:sz="6" w:space="0" w:color="000000"/>
            </w:tcBorders>
            <w:shd w:val="clear" w:color="auto" w:fill="auto"/>
            <w:vAlign w:val="bottom"/>
          </w:tcPr>
          <w:p w14:paraId="4DE3E628" w14:textId="77777777" w:rsidR="00A702DE" w:rsidRPr="003D5FB5" w:rsidRDefault="00A702DE" w:rsidP="00A702DE">
            <w:pPr>
              <w:spacing w:line="360" w:lineRule="auto"/>
              <w:jc w:val="center"/>
              <w:textAlignment w:val="baseline"/>
              <w:rPr>
                <w:rFonts w:asciiTheme="minorHAnsi" w:hAnsiTheme="minorHAnsi" w:cstheme="minorHAnsi"/>
                <w:sz w:val="22"/>
                <w:szCs w:val="22"/>
                <w:lang w:eastAsia="en-IN"/>
              </w:rPr>
            </w:pPr>
            <w:r w:rsidRPr="003D5FB5">
              <w:rPr>
                <w:rFonts w:asciiTheme="minorHAnsi" w:hAnsiTheme="minorHAnsi" w:cstheme="minorHAnsi"/>
                <w:iCs/>
                <w:color w:val="000000"/>
                <w:sz w:val="22"/>
                <w:szCs w:val="22"/>
                <w:lang w:eastAsia="en-IN"/>
              </w:rPr>
              <w:t>Nos.</w:t>
            </w:r>
          </w:p>
        </w:tc>
        <w:tc>
          <w:tcPr>
            <w:tcW w:w="1057" w:type="dxa"/>
            <w:tcBorders>
              <w:top w:val="single" w:sz="6" w:space="0" w:color="000000"/>
              <w:left w:val="single" w:sz="6" w:space="0" w:color="000000"/>
              <w:bottom w:val="single" w:sz="6" w:space="0" w:color="000000"/>
              <w:right w:val="single" w:sz="6" w:space="0" w:color="000000"/>
            </w:tcBorders>
            <w:shd w:val="clear" w:color="auto" w:fill="auto"/>
            <w:vAlign w:val="bottom"/>
          </w:tcPr>
          <w:p w14:paraId="3B0167F2" w14:textId="77777777" w:rsidR="00A702DE" w:rsidRPr="003D5FB5" w:rsidRDefault="00A702DE" w:rsidP="00A702DE">
            <w:pPr>
              <w:spacing w:line="360" w:lineRule="auto"/>
              <w:jc w:val="center"/>
              <w:textAlignment w:val="baseline"/>
              <w:rPr>
                <w:rFonts w:asciiTheme="minorHAnsi" w:hAnsiTheme="minorHAnsi" w:cstheme="minorHAnsi"/>
                <w:sz w:val="22"/>
                <w:szCs w:val="22"/>
                <w:lang w:eastAsia="en-IN"/>
              </w:rPr>
            </w:pPr>
            <w:r w:rsidRPr="003D5FB5">
              <w:rPr>
                <w:rFonts w:asciiTheme="minorHAnsi" w:hAnsiTheme="minorHAnsi" w:cstheme="minorHAnsi"/>
                <w:iCs/>
                <w:color w:val="000000"/>
                <w:sz w:val="22"/>
                <w:szCs w:val="22"/>
                <w:lang w:eastAsia="en-IN"/>
              </w:rPr>
              <w:t>970</w:t>
            </w:r>
          </w:p>
        </w:tc>
      </w:tr>
      <w:tr w:rsidR="00A702DE" w:rsidRPr="003D5FB5" w14:paraId="28CDDBDD" w14:textId="77777777" w:rsidTr="00A702DE">
        <w:trPr>
          <w:trHeight w:val="132"/>
        </w:trPr>
        <w:tc>
          <w:tcPr>
            <w:tcW w:w="2969" w:type="dxa"/>
            <w:tcBorders>
              <w:top w:val="single" w:sz="6" w:space="0" w:color="000000"/>
              <w:left w:val="single" w:sz="6" w:space="0" w:color="000000"/>
              <w:bottom w:val="single" w:sz="6" w:space="0" w:color="000000"/>
              <w:right w:val="single" w:sz="6" w:space="0" w:color="000000"/>
            </w:tcBorders>
            <w:shd w:val="clear" w:color="auto" w:fill="auto"/>
            <w:vAlign w:val="bottom"/>
          </w:tcPr>
          <w:p w14:paraId="7A29C02A" w14:textId="77777777" w:rsidR="00A702DE" w:rsidRPr="003D5FB5" w:rsidRDefault="00A702DE" w:rsidP="00A702DE">
            <w:pPr>
              <w:spacing w:line="360" w:lineRule="auto"/>
              <w:jc w:val="both"/>
              <w:textAlignment w:val="baseline"/>
              <w:rPr>
                <w:rFonts w:asciiTheme="minorHAnsi" w:hAnsiTheme="minorHAnsi" w:cstheme="minorHAnsi"/>
                <w:sz w:val="22"/>
                <w:szCs w:val="22"/>
                <w:lang w:eastAsia="en-IN"/>
              </w:rPr>
            </w:pPr>
            <w:r w:rsidRPr="003D5FB5">
              <w:rPr>
                <w:rFonts w:asciiTheme="minorHAnsi" w:hAnsiTheme="minorHAnsi" w:cstheme="minorHAnsi"/>
                <w:iCs/>
                <w:color w:val="000000"/>
                <w:sz w:val="22"/>
                <w:szCs w:val="22"/>
                <w:lang w:eastAsia="en-IN"/>
              </w:rPr>
              <w:t>LA Installed</w:t>
            </w:r>
            <w:r w:rsidRPr="003D5FB5">
              <w:rPr>
                <w:rFonts w:asciiTheme="minorHAnsi" w:hAnsiTheme="minorHAnsi" w:cstheme="minorHAnsi"/>
                <w:color w:val="000000"/>
                <w:sz w:val="22"/>
                <w:szCs w:val="22"/>
                <w:lang w:eastAsia="en-IN"/>
              </w:rPr>
              <w:t> </w:t>
            </w:r>
          </w:p>
        </w:tc>
        <w:tc>
          <w:tcPr>
            <w:tcW w:w="1000" w:type="dxa"/>
            <w:tcBorders>
              <w:top w:val="single" w:sz="6" w:space="0" w:color="000000"/>
              <w:left w:val="single" w:sz="6" w:space="0" w:color="000000"/>
              <w:bottom w:val="single" w:sz="6" w:space="0" w:color="000000"/>
              <w:right w:val="single" w:sz="6" w:space="0" w:color="000000"/>
            </w:tcBorders>
            <w:shd w:val="clear" w:color="auto" w:fill="auto"/>
            <w:vAlign w:val="bottom"/>
          </w:tcPr>
          <w:p w14:paraId="2EBE07B7" w14:textId="77777777" w:rsidR="00A702DE" w:rsidRPr="003D5FB5" w:rsidRDefault="00A702DE" w:rsidP="00A702DE">
            <w:pPr>
              <w:spacing w:line="360" w:lineRule="auto"/>
              <w:jc w:val="center"/>
              <w:textAlignment w:val="baseline"/>
              <w:rPr>
                <w:rFonts w:asciiTheme="minorHAnsi" w:hAnsiTheme="minorHAnsi" w:cstheme="minorHAnsi"/>
                <w:sz w:val="22"/>
                <w:szCs w:val="22"/>
                <w:lang w:eastAsia="en-IN"/>
              </w:rPr>
            </w:pPr>
            <w:r w:rsidRPr="003D5FB5">
              <w:rPr>
                <w:rFonts w:asciiTheme="minorHAnsi" w:hAnsiTheme="minorHAnsi" w:cstheme="minorHAnsi"/>
                <w:iCs/>
                <w:color w:val="000000"/>
                <w:sz w:val="22"/>
                <w:szCs w:val="22"/>
                <w:lang w:eastAsia="en-IN"/>
              </w:rPr>
              <w:t>Nos.</w:t>
            </w:r>
          </w:p>
        </w:tc>
        <w:tc>
          <w:tcPr>
            <w:tcW w:w="1057" w:type="dxa"/>
            <w:tcBorders>
              <w:top w:val="single" w:sz="6" w:space="0" w:color="000000"/>
              <w:left w:val="single" w:sz="6" w:space="0" w:color="000000"/>
              <w:bottom w:val="single" w:sz="6" w:space="0" w:color="000000"/>
              <w:right w:val="single" w:sz="6" w:space="0" w:color="000000"/>
            </w:tcBorders>
            <w:shd w:val="clear" w:color="auto" w:fill="auto"/>
            <w:vAlign w:val="bottom"/>
          </w:tcPr>
          <w:p w14:paraId="4B3AC614" w14:textId="77777777" w:rsidR="00A702DE" w:rsidRPr="003D5FB5" w:rsidRDefault="00A702DE" w:rsidP="00A702DE">
            <w:pPr>
              <w:spacing w:line="360" w:lineRule="auto"/>
              <w:jc w:val="center"/>
              <w:textAlignment w:val="baseline"/>
              <w:rPr>
                <w:rFonts w:asciiTheme="minorHAnsi" w:hAnsiTheme="minorHAnsi" w:cstheme="minorHAnsi"/>
                <w:sz w:val="22"/>
                <w:szCs w:val="22"/>
                <w:lang w:eastAsia="en-IN"/>
              </w:rPr>
            </w:pPr>
            <w:r w:rsidRPr="003D5FB5">
              <w:rPr>
                <w:rFonts w:asciiTheme="minorHAnsi" w:hAnsiTheme="minorHAnsi" w:cstheme="minorHAnsi"/>
                <w:iCs/>
                <w:color w:val="000000"/>
                <w:sz w:val="22"/>
                <w:szCs w:val="22"/>
                <w:lang w:eastAsia="en-IN"/>
              </w:rPr>
              <w:t>8440</w:t>
            </w:r>
          </w:p>
        </w:tc>
      </w:tr>
      <w:tr w:rsidR="00A702DE" w:rsidRPr="003D5FB5" w14:paraId="605E81B1" w14:textId="77777777" w:rsidTr="00A702DE">
        <w:trPr>
          <w:trHeight w:val="132"/>
        </w:trPr>
        <w:tc>
          <w:tcPr>
            <w:tcW w:w="2969" w:type="dxa"/>
            <w:tcBorders>
              <w:top w:val="single" w:sz="6" w:space="0" w:color="000000"/>
              <w:left w:val="single" w:sz="6" w:space="0" w:color="000000"/>
              <w:bottom w:val="single" w:sz="6" w:space="0" w:color="000000"/>
              <w:right w:val="single" w:sz="6" w:space="0" w:color="000000"/>
            </w:tcBorders>
            <w:shd w:val="clear" w:color="auto" w:fill="auto"/>
            <w:vAlign w:val="bottom"/>
          </w:tcPr>
          <w:p w14:paraId="7C7864A7" w14:textId="77777777" w:rsidR="00A702DE" w:rsidRPr="003D5FB5" w:rsidRDefault="00A702DE" w:rsidP="00A702DE">
            <w:pPr>
              <w:spacing w:line="360" w:lineRule="auto"/>
              <w:jc w:val="both"/>
              <w:textAlignment w:val="baseline"/>
              <w:rPr>
                <w:rFonts w:asciiTheme="minorHAnsi" w:hAnsiTheme="minorHAnsi" w:cstheme="minorHAnsi"/>
                <w:sz w:val="22"/>
                <w:szCs w:val="22"/>
                <w:lang w:eastAsia="en-IN"/>
              </w:rPr>
            </w:pPr>
            <w:r w:rsidRPr="003D5FB5">
              <w:rPr>
                <w:rFonts w:asciiTheme="minorHAnsi" w:hAnsiTheme="minorHAnsi" w:cstheme="minorHAnsi"/>
                <w:iCs/>
                <w:color w:val="000000"/>
                <w:sz w:val="22"/>
                <w:szCs w:val="22"/>
                <w:lang w:eastAsia="en-IN"/>
              </w:rPr>
              <w:t>Neutral Earthing Repaired / Installed</w:t>
            </w:r>
            <w:r w:rsidRPr="003D5FB5">
              <w:rPr>
                <w:rFonts w:asciiTheme="minorHAnsi" w:hAnsiTheme="minorHAnsi" w:cstheme="minorHAnsi"/>
                <w:color w:val="000000"/>
                <w:sz w:val="22"/>
                <w:szCs w:val="22"/>
                <w:lang w:eastAsia="en-IN"/>
              </w:rPr>
              <w:t> </w:t>
            </w:r>
          </w:p>
        </w:tc>
        <w:tc>
          <w:tcPr>
            <w:tcW w:w="1000" w:type="dxa"/>
            <w:tcBorders>
              <w:top w:val="single" w:sz="6" w:space="0" w:color="000000"/>
              <w:left w:val="single" w:sz="6" w:space="0" w:color="000000"/>
              <w:bottom w:val="single" w:sz="6" w:space="0" w:color="000000"/>
              <w:right w:val="single" w:sz="6" w:space="0" w:color="000000"/>
            </w:tcBorders>
            <w:shd w:val="clear" w:color="auto" w:fill="auto"/>
            <w:vAlign w:val="bottom"/>
          </w:tcPr>
          <w:p w14:paraId="31BA63CA" w14:textId="77777777" w:rsidR="00A702DE" w:rsidRPr="003D5FB5" w:rsidRDefault="00A702DE" w:rsidP="00A702DE">
            <w:pPr>
              <w:spacing w:line="360" w:lineRule="auto"/>
              <w:jc w:val="center"/>
              <w:textAlignment w:val="baseline"/>
              <w:rPr>
                <w:rFonts w:asciiTheme="minorHAnsi" w:hAnsiTheme="minorHAnsi" w:cstheme="minorHAnsi"/>
                <w:sz w:val="22"/>
                <w:szCs w:val="22"/>
                <w:lang w:eastAsia="en-IN"/>
              </w:rPr>
            </w:pPr>
            <w:r w:rsidRPr="003D5FB5">
              <w:rPr>
                <w:rFonts w:asciiTheme="minorHAnsi" w:hAnsiTheme="minorHAnsi" w:cstheme="minorHAnsi"/>
                <w:iCs/>
                <w:color w:val="000000"/>
                <w:sz w:val="22"/>
                <w:szCs w:val="22"/>
                <w:lang w:eastAsia="en-IN"/>
              </w:rPr>
              <w:t>Nos.</w:t>
            </w:r>
          </w:p>
        </w:tc>
        <w:tc>
          <w:tcPr>
            <w:tcW w:w="1057" w:type="dxa"/>
            <w:tcBorders>
              <w:top w:val="single" w:sz="6" w:space="0" w:color="000000"/>
              <w:left w:val="single" w:sz="6" w:space="0" w:color="000000"/>
              <w:bottom w:val="single" w:sz="6" w:space="0" w:color="000000"/>
              <w:right w:val="single" w:sz="6" w:space="0" w:color="000000"/>
            </w:tcBorders>
            <w:shd w:val="clear" w:color="auto" w:fill="auto"/>
            <w:vAlign w:val="bottom"/>
          </w:tcPr>
          <w:p w14:paraId="5692FF71" w14:textId="77777777" w:rsidR="00A702DE" w:rsidRPr="003D5FB5" w:rsidRDefault="00A702DE" w:rsidP="00A702DE">
            <w:pPr>
              <w:spacing w:line="360" w:lineRule="auto"/>
              <w:jc w:val="center"/>
              <w:textAlignment w:val="baseline"/>
              <w:rPr>
                <w:rFonts w:asciiTheme="minorHAnsi" w:hAnsiTheme="minorHAnsi" w:cstheme="minorHAnsi"/>
                <w:sz w:val="22"/>
                <w:szCs w:val="22"/>
                <w:lang w:eastAsia="en-IN"/>
              </w:rPr>
            </w:pPr>
            <w:r w:rsidRPr="003D5FB5">
              <w:rPr>
                <w:rFonts w:asciiTheme="minorHAnsi" w:hAnsiTheme="minorHAnsi" w:cstheme="minorHAnsi"/>
                <w:iCs/>
                <w:color w:val="000000"/>
                <w:sz w:val="22"/>
                <w:szCs w:val="22"/>
                <w:lang w:eastAsia="en-IN"/>
              </w:rPr>
              <w:t>10985</w:t>
            </w:r>
          </w:p>
        </w:tc>
      </w:tr>
      <w:tr w:rsidR="00A702DE" w:rsidRPr="003D5FB5" w14:paraId="2227F038" w14:textId="77777777" w:rsidTr="00A702DE">
        <w:trPr>
          <w:trHeight w:val="132"/>
        </w:trPr>
        <w:tc>
          <w:tcPr>
            <w:tcW w:w="2969" w:type="dxa"/>
            <w:tcBorders>
              <w:top w:val="single" w:sz="6" w:space="0" w:color="000000"/>
              <w:left w:val="single" w:sz="6" w:space="0" w:color="000000"/>
              <w:bottom w:val="single" w:sz="6" w:space="0" w:color="000000"/>
              <w:right w:val="single" w:sz="6" w:space="0" w:color="000000"/>
            </w:tcBorders>
            <w:shd w:val="clear" w:color="auto" w:fill="auto"/>
            <w:vAlign w:val="bottom"/>
          </w:tcPr>
          <w:p w14:paraId="24A255DE" w14:textId="77777777" w:rsidR="00A702DE" w:rsidRPr="003D5FB5" w:rsidRDefault="00A702DE" w:rsidP="00A702DE">
            <w:pPr>
              <w:spacing w:line="360" w:lineRule="auto"/>
              <w:jc w:val="both"/>
              <w:textAlignment w:val="baseline"/>
              <w:rPr>
                <w:rFonts w:asciiTheme="minorHAnsi" w:hAnsiTheme="minorHAnsi" w:cstheme="minorHAnsi"/>
                <w:sz w:val="22"/>
                <w:szCs w:val="22"/>
                <w:lang w:eastAsia="en-IN"/>
              </w:rPr>
            </w:pPr>
            <w:r w:rsidRPr="003D5FB5">
              <w:rPr>
                <w:rFonts w:asciiTheme="minorHAnsi" w:hAnsiTheme="minorHAnsi" w:cstheme="minorHAnsi"/>
                <w:iCs/>
                <w:color w:val="000000"/>
                <w:sz w:val="22"/>
                <w:szCs w:val="22"/>
                <w:lang w:eastAsia="en-IN"/>
              </w:rPr>
              <w:t>DTR Vegetation removal</w:t>
            </w:r>
            <w:r w:rsidRPr="003D5FB5">
              <w:rPr>
                <w:rFonts w:asciiTheme="minorHAnsi" w:hAnsiTheme="minorHAnsi" w:cstheme="minorHAnsi"/>
                <w:color w:val="000000"/>
                <w:sz w:val="22"/>
                <w:szCs w:val="22"/>
                <w:lang w:eastAsia="en-IN"/>
              </w:rPr>
              <w:t> </w:t>
            </w:r>
          </w:p>
        </w:tc>
        <w:tc>
          <w:tcPr>
            <w:tcW w:w="1000" w:type="dxa"/>
            <w:tcBorders>
              <w:top w:val="single" w:sz="6" w:space="0" w:color="000000"/>
              <w:left w:val="single" w:sz="6" w:space="0" w:color="000000"/>
              <w:bottom w:val="single" w:sz="6" w:space="0" w:color="000000"/>
              <w:right w:val="single" w:sz="6" w:space="0" w:color="000000"/>
            </w:tcBorders>
            <w:shd w:val="clear" w:color="auto" w:fill="auto"/>
            <w:vAlign w:val="bottom"/>
          </w:tcPr>
          <w:p w14:paraId="02C4F514" w14:textId="77777777" w:rsidR="00A702DE" w:rsidRPr="003D5FB5" w:rsidRDefault="00A702DE" w:rsidP="00A702DE">
            <w:pPr>
              <w:spacing w:line="360" w:lineRule="auto"/>
              <w:jc w:val="center"/>
              <w:textAlignment w:val="baseline"/>
              <w:rPr>
                <w:rFonts w:asciiTheme="minorHAnsi" w:hAnsiTheme="minorHAnsi" w:cstheme="minorHAnsi"/>
                <w:sz w:val="22"/>
                <w:szCs w:val="22"/>
                <w:lang w:eastAsia="en-IN"/>
              </w:rPr>
            </w:pPr>
            <w:r w:rsidRPr="003D5FB5">
              <w:rPr>
                <w:rFonts w:asciiTheme="minorHAnsi" w:hAnsiTheme="minorHAnsi" w:cstheme="minorHAnsi"/>
                <w:iCs/>
                <w:color w:val="000000"/>
                <w:sz w:val="22"/>
                <w:szCs w:val="22"/>
                <w:lang w:eastAsia="en-IN"/>
              </w:rPr>
              <w:t>Nos.</w:t>
            </w:r>
          </w:p>
        </w:tc>
        <w:tc>
          <w:tcPr>
            <w:tcW w:w="1057" w:type="dxa"/>
            <w:tcBorders>
              <w:top w:val="single" w:sz="6" w:space="0" w:color="000000"/>
              <w:left w:val="single" w:sz="6" w:space="0" w:color="000000"/>
              <w:bottom w:val="single" w:sz="6" w:space="0" w:color="000000"/>
              <w:right w:val="single" w:sz="6" w:space="0" w:color="000000"/>
            </w:tcBorders>
            <w:shd w:val="clear" w:color="auto" w:fill="auto"/>
            <w:vAlign w:val="bottom"/>
          </w:tcPr>
          <w:p w14:paraId="58FAA20F" w14:textId="77777777" w:rsidR="00A702DE" w:rsidRPr="003D5FB5" w:rsidRDefault="00A702DE" w:rsidP="00A702DE">
            <w:pPr>
              <w:spacing w:line="360" w:lineRule="auto"/>
              <w:jc w:val="center"/>
              <w:textAlignment w:val="baseline"/>
              <w:rPr>
                <w:rFonts w:asciiTheme="minorHAnsi" w:hAnsiTheme="minorHAnsi" w:cstheme="minorHAnsi"/>
                <w:sz w:val="22"/>
                <w:szCs w:val="22"/>
                <w:lang w:eastAsia="en-IN"/>
              </w:rPr>
            </w:pPr>
            <w:r w:rsidRPr="003D5FB5">
              <w:rPr>
                <w:rFonts w:asciiTheme="minorHAnsi" w:hAnsiTheme="minorHAnsi" w:cstheme="minorHAnsi"/>
                <w:iCs/>
                <w:color w:val="000000"/>
                <w:sz w:val="22"/>
                <w:szCs w:val="22"/>
                <w:lang w:eastAsia="en-IN"/>
              </w:rPr>
              <w:t>41092</w:t>
            </w:r>
          </w:p>
        </w:tc>
      </w:tr>
      <w:tr w:rsidR="00A702DE" w:rsidRPr="003D5FB5" w14:paraId="78D9442D" w14:textId="77777777" w:rsidTr="00A702DE">
        <w:trPr>
          <w:trHeight w:val="132"/>
        </w:trPr>
        <w:tc>
          <w:tcPr>
            <w:tcW w:w="2969" w:type="dxa"/>
            <w:tcBorders>
              <w:top w:val="single" w:sz="6" w:space="0" w:color="000000"/>
              <w:left w:val="single" w:sz="6" w:space="0" w:color="000000"/>
              <w:bottom w:val="single" w:sz="6" w:space="0" w:color="000000"/>
              <w:right w:val="single" w:sz="6" w:space="0" w:color="000000"/>
            </w:tcBorders>
            <w:shd w:val="clear" w:color="auto" w:fill="auto"/>
            <w:vAlign w:val="bottom"/>
          </w:tcPr>
          <w:p w14:paraId="71376BDB" w14:textId="77777777" w:rsidR="00A702DE" w:rsidRPr="003D5FB5" w:rsidRDefault="00A702DE" w:rsidP="00A702DE">
            <w:pPr>
              <w:spacing w:line="360" w:lineRule="auto"/>
              <w:jc w:val="both"/>
              <w:textAlignment w:val="baseline"/>
              <w:rPr>
                <w:rFonts w:asciiTheme="minorHAnsi" w:hAnsiTheme="minorHAnsi" w:cstheme="minorHAnsi"/>
                <w:sz w:val="22"/>
                <w:szCs w:val="22"/>
                <w:lang w:eastAsia="en-IN"/>
              </w:rPr>
            </w:pPr>
            <w:r w:rsidRPr="003D5FB5">
              <w:rPr>
                <w:rFonts w:asciiTheme="minorHAnsi" w:hAnsiTheme="minorHAnsi" w:cstheme="minorHAnsi"/>
                <w:iCs/>
                <w:color w:val="000000"/>
                <w:sz w:val="22"/>
                <w:szCs w:val="22"/>
                <w:lang w:eastAsia="en-IN"/>
              </w:rPr>
              <w:t>HG / DD Fuse Replaced</w:t>
            </w:r>
            <w:r w:rsidRPr="003D5FB5">
              <w:rPr>
                <w:rFonts w:asciiTheme="minorHAnsi" w:hAnsiTheme="minorHAnsi" w:cstheme="minorHAnsi"/>
                <w:color w:val="000000"/>
                <w:sz w:val="22"/>
                <w:szCs w:val="22"/>
                <w:lang w:eastAsia="en-IN"/>
              </w:rPr>
              <w:t> </w:t>
            </w:r>
          </w:p>
        </w:tc>
        <w:tc>
          <w:tcPr>
            <w:tcW w:w="1000" w:type="dxa"/>
            <w:tcBorders>
              <w:top w:val="single" w:sz="6" w:space="0" w:color="000000"/>
              <w:left w:val="single" w:sz="6" w:space="0" w:color="000000"/>
              <w:bottom w:val="single" w:sz="6" w:space="0" w:color="000000"/>
              <w:right w:val="single" w:sz="6" w:space="0" w:color="000000"/>
            </w:tcBorders>
            <w:shd w:val="clear" w:color="auto" w:fill="auto"/>
            <w:vAlign w:val="bottom"/>
          </w:tcPr>
          <w:p w14:paraId="7631B6C1" w14:textId="77777777" w:rsidR="00A702DE" w:rsidRPr="003D5FB5" w:rsidRDefault="00A702DE" w:rsidP="00A702DE">
            <w:pPr>
              <w:spacing w:line="360" w:lineRule="auto"/>
              <w:jc w:val="center"/>
              <w:textAlignment w:val="baseline"/>
              <w:rPr>
                <w:rFonts w:asciiTheme="minorHAnsi" w:hAnsiTheme="minorHAnsi" w:cstheme="minorHAnsi"/>
                <w:sz w:val="22"/>
                <w:szCs w:val="22"/>
                <w:lang w:eastAsia="en-IN"/>
              </w:rPr>
            </w:pPr>
            <w:r w:rsidRPr="003D5FB5">
              <w:rPr>
                <w:rFonts w:asciiTheme="minorHAnsi" w:hAnsiTheme="minorHAnsi" w:cstheme="minorHAnsi"/>
                <w:iCs/>
                <w:color w:val="000000"/>
                <w:sz w:val="22"/>
                <w:szCs w:val="22"/>
                <w:lang w:eastAsia="en-IN"/>
              </w:rPr>
              <w:t>Nos.</w:t>
            </w:r>
          </w:p>
        </w:tc>
        <w:tc>
          <w:tcPr>
            <w:tcW w:w="1057" w:type="dxa"/>
            <w:tcBorders>
              <w:top w:val="single" w:sz="6" w:space="0" w:color="000000"/>
              <w:left w:val="single" w:sz="6" w:space="0" w:color="000000"/>
              <w:bottom w:val="single" w:sz="6" w:space="0" w:color="000000"/>
              <w:right w:val="single" w:sz="6" w:space="0" w:color="000000"/>
            </w:tcBorders>
            <w:shd w:val="clear" w:color="auto" w:fill="auto"/>
            <w:vAlign w:val="bottom"/>
          </w:tcPr>
          <w:p w14:paraId="6C3CF03D" w14:textId="77777777" w:rsidR="00A702DE" w:rsidRPr="003D5FB5" w:rsidRDefault="00A702DE" w:rsidP="00A702DE">
            <w:pPr>
              <w:spacing w:line="360" w:lineRule="auto"/>
              <w:jc w:val="center"/>
              <w:textAlignment w:val="baseline"/>
              <w:rPr>
                <w:rFonts w:asciiTheme="minorHAnsi" w:hAnsiTheme="minorHAnsi" w:cstheme="minorHAnsi"/>
                <w:sz w:val="22"/>
                <w:szCs w:val="22"/>
                <w:lang w:eastAsia="en-IN"/>
              </w:rPr>
            </w:pPr>
            <w:r w:rsidRPr="003D5FB5">
              <w:rPr>
                <w:rFonts w:asciiTheme="minorHAnsi" w:hAnsiTheme="minorHAnsi" w:cstheme="minorHAnsi"/>
                <w:iCs/>
                <w:color w:val="000000"/>
                <w:sz w:val="22"/>
                <w:szCs w:val="22"/>
                <w:lang w:eastAsia="en-IN"/>
              </w:rPr>
              <w:t>15180</w:t>
            </w:r>
          </w:p>
        </w:tc>
      </w:tr>
      <w:tr w:rsidR="00A702DE" w:rsidRPr="003D5FB5" w14:paraId="06B09C05" w14:textId="77777777" w:rsidTr="00A702DE">
        <w:trPr>
          <w:trHeight w:val="132"/>
        </w:trPr>
        <w:tc>
          <w:tcPr>
            <w:tcW w:w="2969" w:type="dxa"/>
            <w:tcBorders>
              <w:top w:val="single" w:sz="6" w:space="0" w:color="000000"/>
              <w:left w:val="single" w:sz="6" w:space="0" w:color="000000"/>
              <w:bottom w:val="single" w:sz="6" w:space="0" w:color="000000"/>
              <w:right w:val="single" w:sz="6" w:space="0" w:color="000000"/>
            </w:tcBorders>
            <w:shd w:val="clear" w:color="auto" w:fill="auto"/>
            <w:vAlign w:val="bottom"/>
          </w:tcPr>
          <w:p w14:paraId="42196177" w14:textId="77777777" w:rsidR="00A702DE" w:rsidRPr="003D5FB5" w:rsidRDefault="00A702DE" w:rsidP="00A702DE">
            <w:pPr>
              <w:spacing w:line="360" w:lineRule="auto"/>
              <w:jc w:val="both"/>
              <w:textAlignment w:val="baseline"/>
              <w:rPr>
                <w:rFonts w:asciiTheme="minorHAnsi" w:hAnsiTheme="minorHAnsi" w:cstheme="minorHAnsi"/>
                <w:sz w:val="22"/>
                <w:szCs w:val="22"/>
                <w:lang w:eastAsia="en-IN"/>
              </w:rPr>
            </w:pPr>
            <w:r w:rsidRPr="003D5FB5">
              <w:rPr>
                <w:rFonts w:asciiTheme="minorHAnsi" w:hAnsiTheme="minorHAnsi" w:cstheme="minorHAnsi"/>
                <w:iCs/>
                <w:color w:val="000000"/>
                <w:sz w:val="22"/>
                <w:szCs w:val="22"/>
                <w:lang w:eastAsia="en-IN"/>
              </w:rPr>
              <w:t>Socket Replaced </w:t>
            </w:r>
            <w:r w:rsidRPr="003D5FB5">
              <w:rPr>
                <w:rFonts w:asciiTheme="minorHAnsi" w:hAnsiTheme="minorHAnsi" w:cstheme="minorHAnsi"/>
                <w:color w:val="000000"/>
                <w:sz w:val="22"/>
                <w:szCs w:val="22"/>
                <w:lang w:eastAsia="en-IN"/>
              </w:rPr>
              <w:t> </w:t>
            </w:r>
          </w:p>
        </w:tc>
        <w:tc>
          <w:tcPr>
            <w:tcW w:w="1000" w:type="dxa"/>
            <w:tcBorders>
              <w:top w:val="single" w:sz="6" w:space="0" w:color="000000"/>
              <w:left w:val="single" w:sz="6" w:space="0" w:color="000000"/>
              <w:bottom w:val="single" w:sz="6" w:space="0" w:color="000000"/>
              <w:right w:val="single" w:sz="6" w:space="0" w:color="000000"/>
            </w:tcBorders>
            <w:shd w:val="clear" w:color="auto" w:fill="auto"/>
            <w:vAlign w:val="bottom"/>
          </w:tcPr>
          <w:p w14:paraId="62BCFA74" w14:textId="77777777" w:rsidR="00A702DE" w:rsidRPr="003D5FB5" w:rsidRDefault="00A702DE" w:rsidP="00A702DE">
            <w:pPr>
              <w:spacing w:line="360" w:lineRule="auto"/>
              <w:jc w:val="center"/>
              <w:textAlignment w:val="baseline"/>
              <w:rPr>
                <w:rFonts w:asciiTheme="minorHAnsi" w:hAnsiTheme="minorHAnsi" w:cstheme="minorHAnsi"/>
                <w:sz w:val="22"/>
                <w:szCs w:val="22"/>
                <w:lang w:eastAsia="en-IN"/>
              </w:rPr>
            </w:pPr>
            <w:r w:rsidRPr="003D5FB5">
              <w:rPr>
                <w:rFonts w:asciiTheme="minorHAnsi" w:hAnsiTheme="minorHAnsi" w:cstheme="minorHAnsi"/>
                <w:iCs/>
                <w:color w:val="000000"/>
                <w:sz w:val="22"/>
                <w:szCs w:val="22"/>
                <w:lang w:eastAsia="en-IN"/>
              </w:rPr>
              <w:t>Nos.</w:t>
            </w:r>
          </w:p>
        </w:tc>
        <w:tc>
          <w:tcPr>
            <w:tcW w:w="1057" w:type="dxa"/>
            <w:tcBorders>
              <w:top w:val="single" w:sz="6" w:space="0" w:color="000000"/>
              <w:left w:val="single" w:sz="6" w:space="0" w:color="000000"/>
              <w:bottom w:val="single" w:sz="6" w:space="0" w:color="000000"/>
              <w:right w:val="single" w:sz="6" w:space="0" w:color="000000"/>
            </w:tcBorders>
            <w:shd w:val="clear" w:color="auto" w:fill="auto"/>
            <w:vAlign w:val="bottom"/>
          </w:tcPr>
          <w:p w14:paraId="06E12762" w14:textId="77777777" w:rsidR="00A702DE" w:rsidRPr="003D5FB5" w:rsidRDefault="00A702DE" w:rsidP="00A702DE">
            <w:pPr>
              <w:spacing w:line="360" w:lineRule="auto"/>
              <w:jc w:val="center"/>
              <w:textAlignment w:val="baseline"/>
              <w:rPr>
                <w:rFonts w:asciiTheme="minorHAnsi" w:hAnsiTheme="minorHAnsi" w:cstheme="minorHAnsi"/>
                <w:sz w:val="22"/>
                <w:szCs w:val="22"/>
                <w:lang w:eastAsia="en-IN"/>
              </w:rPr>
            </w:pPr>
            <w:r w:rsidRPr="003D5FB5">
              <w:rPr>
                <w:rFonts w:asciiTheme="minorHAnsi" w:hAnsiTheme="minorHAnsi" w:cstheme="minorHAnsi"/>
                <w:iCs/>
                <w:color w:val="000000"/>
                <w:sz w:val="22"/>
                <w:szCs w:val="22"/>
                <w:lang w:eastAsia="en-IN"/>
              </w:rPr>
              <w:t>46652</w:t>
            </w:r>
          </w:p>
        </w:tc>
      </w:tr>
      <w:tr w:rsidR="00A702DE" w:rsidRPr="003D5FB5" w14:paraId="1CFED3D0" w14:textId="77777777" w:rsidTr="00A702DE">
        <w:trPr>
          <w:trHeight w:val="132"/>
        </w:trPr>
        <w:tc>
          <w:tcPr>
            <w:tcW w:w="2969" w:type="dxa"/>
            <w:tcBorders>
              <w:top w:val="single" w:sz="6" w:space="0" w:color="000000"/>
              <w:left w:val="single" w:sz="6" w:space="0" w:color="000000"/>
              <w:bottom w:val="single" w:sz="6" w:space="0" w:color="000000"/>
              <w:right w:val="single" w:sz="6" w:space="0" w:color="000000"/>
            </w:tcBorders>
            <w:shd w:val="clear" w:color="auto" w:fill="auto"/>
            <w:vAlign w:val="bottom"/>
          </w:tcPr>
          <w:p w14:paraId="405E0EE2" w14:textId="77777777" w:rsidR="00A702DE" w:rsidRPr="003D5FB5" w:rsidRDefault="00A702DE" w:rsidP="00A702DE">
            <w:pPr>
              <w:spacing w:line="360" w:lineRule="auto"/>
              <w:jc w:val="both"/>
              <w:textAlignment w:val="baseline"/>
              <w:rPr>
                <w:rFonts w:asciiTheme="minorHAnsi" w:hAnsiTheme="minorHAnsi" w:cstheme="minorHAnsi"/>
                <w:sz w:val="22"/>
                <w:szCs w:val="22"/>
                <w:lang w:eastAsia="en-IN"/>
              </w:rPr>
            </w:pPr>
            <w:r w:rsidRPr="003D5FB5">
              <w:rPr>
                <w:rFonts w:asciiTheme="minorHAnsi" w:hAnsiTheme="minorHAnsi" w:cstheme="minorHAnsi"/>
                <w:iCs/>
                <w:color w:val="000000"/>
                <w:sz w:val="22"/>
                <w:szCs w:val="22"/>
                <w:lang w:eastAsia="en-IN"/>
              </w:rPr>
              <w:t>Kit Kat Fuse Installed </w:t>
            </w:r>
            <w:r w:rsidRPr="003D5FB5">
              <w:rPr>
                <w:rFonts w:asciiTheme="minorHAnsi" w:hAnsiTheme="minorHAnsi" w:cstheme="minorHAnsi"/>
                <w:color w:val="000000"/>
                <w:sz w:val="22"/>
                <w:szCs w:val="22"/>
                <w:lang w:eastAsia="en-IN"/>
              </w:rPr>
              <w:t> </w:t>
            </w:r>
          </w:p>
        </w:tc>
        <w:tc>
          <w:tcPr>
            <w:tcW w:w="1000" w:type="dxa"/>
            <w:tcBorders>
              <w:top w:val="single" w:sz="6" w:space="0" w:color="000000"/>
              <w:left w:val="single" w:sz="6" w:space="0" w:color="000000"/>
              <w:bottom w:val="single" w:sz="6" w:space="0" w:color="000000"/>
              <w:right w:val="single" w:sz="6" w:space="0" w:color="000000"/>
            </w:tcBorders>
            <w:shd w:val="clear" w:color="auto" w:fill="auto"/>
            <w:vAlign w:val="bottom"/>
          </w:tcPr>
          <w:p w14:paraId="736DCE3D" w14:textId="77777777" w:rsidR="00A702DE" w:rsidRPr="003D5FB5" w:rsidRDefault="00A702DE" w:rsidP="00A702DE">
            <w:pPr>
              <w:spacing w:line="360" w:lineRule="auto"/>
              <w:jc w:val="center"/>
              <w:textAlignment w:val="baseline"/>
              <w:rPr>
                <w:rFonts w:asciiTheme="minorHAnsi" w:hAnsiTheme="minorHAnsi" w:cstheme="minorHAnsi"/>
                <w:sz w:val="22"/>
                <w:szCs w:val="22"/>
                <w:lang w:eastAsia="en-IN"/>
              </w:rPr>
            </w:pPr>
            <w:r w:rsidRPr="003D5FB5">
              <w:rPr>
                <w:rFonts w:asciiTheme="minorHAnsi" w:hAnsiTheme="minorHAnsi" w:cstheme="minorHAnsi"/>
                <w:iCs/>
                <w:color w:val="000000"/>
                <w:sz w:val="22"/>
                <w:szCs w:val="22"/>
                <w:lang w:eastAsia="en-IN"/>
              </w:rPr>
              <w:t>Nos.</w:t>
            </w:r>
          </w:p>
        </w:tc>
        <w:tc>
          <w:tcPr>
            <w:tcW w:w="1057" w:type="dxa"/>
            <w:tcBorders>
              <w:top w:val="single" w:sz="6" w:space="0" w:color="000000"/>
              <w:left w:val="single" w:sz="6" w:space="0" w:color="000000"/>
              <w:bottom w:val="single" w:sz="6" w:space="0" w:color="000000"/>
              <w:right w:val="single" w:sz="6" w:space="0" w:color="000000"/>
            </w:tcBorders>
            <w:shd w:val="clear" w:color="auto" w:fill="auto"/>
            <w:vAlign w:val="bottom"/>
          </w:tcPr>
          <w:p w14:paraId="568DE7B4" w14:textId="77777777" w:rsidR="00A702DE" w:rsidRPr="003D5FB5" w:rsidRDefault="00A702DE" w:rsidP="00A702DE">
            <w:pPr>
              <w:spacing w:line="360" w:lineRule="auto"/>
              <w:jc w:val="center"/>
              <w:textAlignment w:val="baseline"/>
              <w:rPr>
                <w:rFonts w:asciiTheme="minorHAnsi" w:hAnsiTheme="minorHAnsi" w:cstheme="minorHAnsi"/>
                <w:sz w:val="22"/>
                <w:szCs w:val="22"/>
                <w:lang w:eastAsia="en-IN"/>
              </w:rPr>
            </w:pPr>
            <w:r w:rsidRPr="003D5FB5">
              <w:rPr>
                <w:rFonts w:asciiTheme="minorHAnsi" w:hAnsiTheme="minorHAnsi" w:cstheme="minorHAnsi"/>
                <w:iCs/>
                <w:color w:val="000000"/>
                <w:sz w:val="22"/>
                <w:szCs w:val="22"/>
                <w:lang w:eastAsia="en-IN"/>
              </w:rPr>
              <w:t>8955</w:t>
            </w:r>
          </w:p>
        </w:tc>
      </w:tr>
      <w:tr w:rsidR="00A702DE" w:rsidRPr="003D5FB5" w14:paraId="2CAC8402" w14:textId="77777777" w:rsidTr="00A702DE">
        <w:trPr>
          <w:trHeight w:val="55"/>
        </w:trPr>
        <w:tc>
          <w:tcPr>
            <w:tcW w:w="2969" w:type="dxa"/>
            <w:tcBorders>
              <w:top w:val="single" w:sz="6" w:space="0" w:color="000000"/>
              <w:left w:val="single" w:sz="6" w:space="0" w:color="000000"/>
              <w:bottom w:val="single" w:sz="6" w:space="0" w:color="000000"/>
              <w:right w:val="single" w:sz="6" w:space="0" w:color="000000"/>
            </w:tcBorders>
            <w:shd w:val="clear" w:color="auto" w:fill="auto"/>
            <w:vAlign w:val="bottom"/>
          </w:tcPr>
          <w:p w14:paraId="771089DB" w14:textId="77777777" w:rsidR="00A702DE" w:rsidRPr="003D5FB5" w:rsidRDefault="00A702DE" w:rsidP="00A702DE">
            <w:pPr>
              <w:spacing w:line="360" w:lineRule="auto"/>
              <w:jc w:val="both"/>
              <w:textAlignment w:val="baseline"/>
              <w:rPr>
                <w:rFonts w:asciiTheme="minorHAnsi" w:hAnsiTheme="minorHAnsi" w:cstheme="minorHAnsi"/>
                <w:sz w:val="22"/>
                <w:szCs w:val="22"/>
                <w:lang w:eastAsia="en-IN"/>
              </w:rPr>
            </w:pPr>
            <w:r w:rsidRPr="003D5FB5">
              <w:rPr>
                <w:rFonts w:asciiTheme="minorHAnsi" w:hAnsiTheme="minorHAnsi" w:cstheme="minorHAnsi"/>
                <w:iCs/>
                <w:color w:val="000000"/>
                <w:sz w:val="22"/>
                <w:szCs w:val="22"/>
                <w:lang w:eastAsia="en-IN"/>
              </w:rPr>
              <w:t>Load Balancing</w:t>
            </w:r>
            <w:r w:rsidRPr="003D5FB5">
              <w:rPr>
                <w:rFonts w:asciiTheme="minorHAnsi" w:hAnsiTheme="minorHAnsi" w:cstheme="minorHAnsi"/>
                <w:color w:val="000000"/>
                <w:sz w:val="22"/>
                <w:szCs w:val="22"/>
                <w:lang w:eastAsia="en-IN"/>
              </w:rPr>
              <w:t> </w:t>
            </w:r>
          </w:p>
        </w:tc>
        <w:tc>
          <w:tcPr>
            <w:tcW w:w="1000" w:type="dxa"/>
            <w:tcBorders>
              <w:top w:val="single" w:sz="6" w:space="0" w:color="000000"/>
              <w:left w:val="single" w:sz="6" w:space="0" w:color="000000"/>
              <w:bottom w:val="single" w:sz="6" w:space="0" w:color="000000"/>
              <w:right w:val="single" w:sz="6" w:space="0" w:color="000000"/>
            </w:tcBorders>
            <w:shd w:val="clear" w:color="auto" w:fill="auto"/>
            <w:vAlign w:val="bottom"/>
          </w:tcPr>
          <w:p w14:paraId="508598B5" w14:textId="77777777" w:rsidR="00A702DE" w:rsidRPr="003D5FB5" w:rsidRDefault="00A702DE" w:rsidP="00A702DE">
            <w:pPr>
              <w:spacing w:line="360" w:lineRule="auto"/>
              <w:jc w:val="center"/>
              <w:textAlignment w:val="baseline"/>
              <w:rPr>
                <w:rFonts w:asciiTheme="minorHAnsi" w:hAnsiTheme="minorHAnsi" w:cstheme="minorHAnsi"/>
                <w:sz w:val="22"/>
                <w:szCs w:val="22"/>
                <w:lang w:eastAsia="en-IN"/>
              </w:rPr>
            </w:pPr>
            <w:r w:rsidRPr="003D5FB5">
              <w:rPr>
                <w:rFonts w:asciiTheme="minorHAnsi" w:hAnsiTheme="minorHAnsi" w:cstheme="minorHAnsi"/>
                <w:iCs/>
                <w:color w:val="000000"/>
                <w:sz w:val="22"/>
                <w:szCs w:val="22"/>
                <w:lang w:eastAsia="en-IN"/>
              </w:rPr>
              <w:t>Nos.</w:t>
            </w:r>
          </w:p>
        </w:tc>
        <w:tc>
          <w:tcPr>
            <w:tcW w:w="1057" w:type="dxa"/>
            <w:tcBorders>
              <w:top w:val="single" w:sz="6" w:space="0" w:color="000000"/>
              <w:left w:val="single" w:sz="6" w:space="0" w:color="000000"/>
              <w:bottom w:val="single" w:sz="6" w:space="0" w:color="000000"/>
              <w:right w:val="single" w:sz="6" w:space="0" w:color="000000"/>
            </w:tcBorders>
            <w:shd w:val="clear" w:color="auto" w:fill="auto"/>
            <w:vAlign w:val="bottom"/>
          </w:tcPr>
          <w:p w14:paraId="3040453A" w14:textId="77777777" w:rsidR="00A702DE" w:rsidRPr="003D5FB5" w:rsidRDefault="00A702DE" w:rsidP="00A702DE">
            <w:pPr>
              <w:spacing w:line="360" w:lineRule="auto"/>
              <w:jc w:val="center"/>
              <w:textAlignment w:val="baseline"/>
              <w:rPr>
                <w:rFonts w:asciiTheme="minorHAnsi" w:hAnsiTheme="minorHAnsi" w:cstheme="minorHAnsi"/>
                <w:sz w:val="22"/>
                <w:szCs w:val="22"/>
                <w:lang w:eastAsia="en-IN"/>
              </w:rPr>
            </w:pPr>
            <w:r w:rsidRPr="003D5FB5">
              <w:rPr>
                <w:rFonts w:asciiTheme="minorHAnsi" w:hAnsiTheme="minorHAnsi" w:cstheme="minorHAnsi"/>
                <w:iCs/>
                <w:color w:val="000000"/>
                <w:sz w:val="22"/>
                <w:szCs w:val="22"/>
                <w:lang w:eastAsia="en-IN"/>
              </w:rPr>
              <w:t>4817</w:t>
            </w:r>
          </w:p>
        </w:tc>
      </w:tr>
    </w:tbl>
    <w:p w14:paraId="6CED5BB7" w14:textId="1F87FAD0" w:rsidR="00A702DE" w:rsidRDefault="00A702DE" w:rsidP="00E02343">
      <w:pPr>
        <w:tabs>
          <w:tab w:val="left" w:pos="426"/>
        </w:tabs>
        <w:spacing w:line="360" w:lineRule="auto"/>
        <w:ind w:left="426" w:right="-23"/>
        <w:jc w:val="both"/>
        <w:rPr>
          <w:rFonts w:asciiTheme="minorHAnsi" w:hAnsiTheme="minorHAnsi" w:cstheme="minorHAnsi"/>
          <w:sz w:val="22"/>
          <w:szCs w:val="22"/>
        </w:rPr>
      </w:pPr>
    </w:p>
    <w:p w14:paraId="1DEB9709" w14:textId="720DE86B" w:rsidR="00A702DE" w:rsidRDefault="00A702DE" w:rsidP="00E02343">
      <w:pPr>
        <w:tabs>
          <w:tab w:val="left" w:pos="426"/>
        </w:tabs>
        <w:spacing w:line="360" w:lineRule="auto"/>
        <w:ind w:left="426" w:right="-23"/>
        <w:jc w:val="both"/>
        <w:rPr>
          <w:rFonts w:asciiTheme="minorHAnsi" w:hAnsiTheme="minorHAnsi" w:cstheme="minorHAnsi"/>
          <w:sz w:val="22"/>
          <w:szCs w:val="22"/>
        </w:rPr>
      </w:pPr>
    </w:p>
    <w:p w14:paraId="7DB28071" w14:textId="77777777" w:rsidR="00A702DE" w:rsidRPr="00E02343" w:rsidRDefault="00A702DE" w:rsidP="00C74312">
      <w:pPr>
        <w:tabs>
          <w:tab w:val="left" w:pos="426"/>
        </w:tabs>
        <w:spacing w:line="360" w:lineRule="auto"/>
        <w:ind w:right="-23"/>
        <w:jc w:val="both"/>
        <w:rPr>
          <w:rFonts w:asciiTheme="minorHAnsi" w:hAnsiTheme="minorHAnsi" w:cstheme="minorHAnsi"/>
          <w:sz w:val="22"/>
          <w:szCs w:val="22"/>
        </w:rPr>
      </w:pPr>
    </w:p>
    <w:p w14:paraId="375DDA60" w14:textId="65EE1F8D" w:rsidR="002F0A87" w:rsidRPr="003D5FB5" w:rsidRDefault="00C74312" w:rsidP="002F0A87">
      <w:pPr>
        <w:tabs>
          <w:tab w:val="left" w:pos="426"/>
        </w:tabs>
        <w:spacing w:line="360" w:lineRule="auto"/>
        <w:ind w:right="-23"/>
        <w:jc w:val="both"/>
        <w:rPr>
          <w:rStyle w:val="normaltextrun"/>
          <w:rFonts w:asciiTheme="minorHAnsi" w:hAnsiTheme="minorHAnsi" w:cstheme="minorHAnsi"/>
          <w:b/>
          <w:sz w:val="22"/>
          <w:szCs w:val="22"/>
        </w:rPr>
      </w:pPr>
      <w:r w:rsidRPr="003D5FB5">
        <w:rPr>
          <w:rFonts w:asciiTheme="minorHAnsi" w:hAnsiTheme="minorHAnsi" w:cstheme="minorHAnsi"/>
          <w:noProof/>
          <w:sz w:val="22"/>
          <w:szCs w:val="22"/>
          <w:lang w:val="en-IN" w:eastAsia="en-IN"/>
        </w:rPr>
        <w:lastRenderedPageBreak/>
        <w:drawing>
          <wp:anchor distT="0" distB="0" distL="114300" distR="114300" simplePos="0" relativeHeight="251972096" behindDoc="0" locked="0" layoutInCell="0" allowOverlap="1" wp14:anchorId="72D5FF14" wp14:editId="1E18764D">
            <wp:simplePos x="0" y="0"/>
            <wp:positionH relativeFrom="page">
              <wp:posOffset>4067175</wp:posOffset>
            </wp:positionH>
            <wp:positionV relativeFrom="paragraph">
              <wp:posOffset>37465</wp:posOffset>
            </wp:positionV>
            <wp:extent cx="2962275" cy="2009775"/>
            <wp:effectExtent l="0" t="0" r="9525" b="9525"/>
            <wp:wrapTight wrapText="bothSides">
              <wp:wrapPolygon edited="0">
                <wp:start x="0" y="0"/>
                <wp:lineTo x="0" y="21498"/>
                <wp:lineTo x="21531" y="21498"/>
                <wp:lineTo x="21531" y="0"/>
                <wp:lineTo x="0" y="0"/>
              </wp:wrapPolygon>
            </wp:wrapTight>
            <wp:docPr id="212922806"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47"/>
                    <pic:cNvPicPr>
                      <a:picLocks noChangeAspect="1" noChangeArrowheads="1"/>
                    </pic:cNvPicPr>
                  </pic:nvPicPr>
                  <pic:blipFill>
                    <a:blip r:embed="rId34"/>
                    <a:stretch>
                      <a:fillRect/>
                    </a:stretch>
                  </pic:blipFill>
                  <pic:spPr bwMode="auto">
                    <a:xfrm>
                      <a:off x="0" y="0"/>
                      <a:ext cx="2962275" cy="2009775"/>
                    </a:xfrm>
                    <a:prstGeom prst="rect">
                      <a:avLst/>
                    </a:prstGeom>
                  </pic:spPr>
                </pic:pic>
              </a:graphicData>
            </a:graphic>
            <wp14:sizeRelV relativeFrom="margin">
              <wp14:pctHeight>0</wp14:pctHeight>
            </wp14:sizeRelV>
          </wp:anchor>
        </w:drawing>
      </w:r>
      <w:r w:rsidRPr="003D5FB5">
        <w:rPr>
          <w:rFonts w:asciiTheme="minorHAnsi" w:hAnsiTheme="minorHAnsi" w:cstheme="minorHAnsi"/>
          <w:noProof/>
          <w:sz w:val="22"/>
          <w:szCs w:val="22"/>
          <w:lang w:val="en-IN" w:eastAsia="en-IN"/>
        </w:rPr>
        <w:drawing>
          <wp:anchor distT="0" distB="0" distL="114300" distR="114300" simplePos="0" relativeHeight="251971072" behindDoc="0" locked="0" layoutInCell="0" allowOverlap="1" wp14:anchorId="37825DB5" wp14:editId="20819C09">
            <wp:simplePos x="0" y="0"/>
            <wp:positionH relativeFrom="margin">
              <wp:posOffset>180975</wp:posOffset>
            </wp:positionH>
            <wp:positionV relativeFrom="paragraph">
              <wp:posOffset>114935</wp:posOffset>
            </wp:positionV>
            <wp:extent cx="3067050" cy="1914525"/>
            <wp:effectExtent l="0" t="0" r="0" b="9525"/>
            <wp:wrapTight wrapText="bothSides">
              <wp:wrapPolygon edited="0">
                <wp:start x="0" y="0"/>
                <wp:lineTo x="0" y="21493"/>
                <wp:lineTo x="21466" y="21493"/>
                <wp:lineTo x="21466" y="0"/>
                <wp:lineTo x="0" y="0"/>
              </wp:wrapPolygon>
            </wp:wrapTight>
            <wp:docPr id="212922807"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48"/>
                    <pic:cNvPicPr>
                      <a:picLocks noChangeAspect="1" noChangeArrowheads="1"/>
                    </pic:cNvPicPr>
                  </pic:nvPicPr>
                  <pic:blipFill>
                    <a:blip r:embed="rId35"/>
                    <a:stretch>
                      <a:fillRect/>
                    </a:stretch>
                  </pic:blipFill>
                  <pic:spPr bwMode="auto">
                    <a:xfrm>
                      <a:off x="0" y="0"/>
                      <a:ext cx="3067050" cy="1914525"/>
                    </a:xfrm>
                    <a:prstGeom prst="rect">
                      <a:avLst/>
                    </a:prstGeom>
                  </pic:spPr>
                </pic:pic>
              </a:graphicData>
            </a:graphic>
            <wp14:sizeRelV relativeFrom="margin">
              <wp14:pctHeight>0</wp14:pctHeight>
            </wp14:sizeRelV>
          </wp:anchor>
        </w:drawing>
      </w:r>
    </w:p>
    <w:p w14:paraId="111932A4" w14:textId="493D950B" w:rsidR="002F0A87" w:rsidRPr="003D5FB5" w:rsidRDefault="00C74312" w:rsidP="002F0A87">
      <w:pPr>
        <w:tabs>
          <w:tab w:val="left" w:pos="426"/>
        </w:tabs>
        <w:spacing w:line="360" w:lineRule="auto"/>
        <w:ind w:right="-23"/>
        <w:jc w:val="both"/>
        <w:rPr>
          <w:rStyle w:val="normaltextrun"/>
          <w:rFonts w:asciiTheme="minorHAnsi" w:hAnsiTheme="minorHAnsi" w:cstheme="minorHAnsi"/>
          <w:b/>
          <w:sz w:val="22"/>
          <w:szCs w:val="22"/>
        </w:rPr>
      </w:pPr>
      <w:r>
        <w:rPr>
          <w:rFonts w:asciiTheme="minorHAnsi" w:hAnsiTheme="minorHAnsi" w:cstheme="minorHAnsi"/>
          <w:b/>
          <w:sz w:val="22"/>
          <w:szCs w:val="22"/>
        </w:rPr>
        <w:t xml:space="preserve">        </w:t>
      </w:r>
      <w:r w:rsidR="000860B0">
        <w:rPr>
          <w:rFonts w:asciiTheme="minorHAnsi" w:hAnsiTheme="minorHAnsi" w:cstheme="minorHAnsi"/>
          <w:b/>
          <w:sz w:val="22"/>
          <w:szCs w:val="22"/>
        </w:rPr>
        <w:t xml:space="preserve"> </w:t>
      </w:r>
      <w:r w:rsidR="00D2021D" w:rsidRPr="000860B0">
        <w:rPr>
          <w:rFonts w:asciiTheme="minorHAnsi" w:hAnsiTheme="minorHAnsi" w:cstheme="minorHAnsi"/>
          <w:b/>
          <w:szCs w:val="22"/>
        </w:rPr>
        <w:t>2.7.</w:t>
      </w:r>
      <w:r w:rsidR="000860B0" w:rsidRPr="000860B0">
        <w:rPr>
          <w:rFonts w:asciiTheme="minorHAnsi" w:hAnsiTheme="minorHAnsi" w:cstheme="minorHAnsi"/>
          <w:b/>
          <w:szCs w:val="22"/>
        </w:rPr>
        <w:t>3</w:t>
      </w:r>
      <w:r w:rsidR="00D2021D" w:rsidRPr="000860B0">
        <w:rPr>
          <w:rFonts w:asciiTheme="minorHAnsi" w:hAnsiTheme="minorHAnsi" w:cstheme="minorHAnsi"/>
          <w:b/>
          <w:szCs w:val="22"/>
        </w:rPr>
        <w:t xml:space="preserve">. </w:t>
      </w:r>
      <w:r w:rsidR="000860B0" w:rsidRPr="000860B0">
        <w:rPr>
          <w:rStyle w:val="normaltextrun"/>
          <w:rFonts w:asciiTheme="minorHAnsi" w:hAnsiTheme="minorHAnsi" w:cstheme="minorHAnsi"/>
          <w:b/>
          <w:szCs w:val="22"/>
        </w:rPr>
        <w:t>6</w:t>
      </w:r>
      <w:r w:rsidR="002F0A87" w:rsidRPr="000860B0">
        <w:rPr>
          <w:rStyle w:val="normaltextrun"/>
          <w:rFonts w:asciiTheme="minorHAnsi" w:hAnsiTheme="minorHAnsi" w:cstheme="minorHAnsi"/>
          <w:b/>
          <w:szCs w:val="22"/>
        </w:rPr>
        <w:t xml:space="preserve"> Technical Loss Reduction </w:t>
      </w:r>
    </w:p>
    <w:p w14:paraId="291958A1" w14:textId="656C425F" w:rsidR="009E2484" w:rsidRPr="004B69C1" w:rsidRDefault="009E2484" w:rsidP="009E2484">
      <w:pPr>
        <w:pStyle w:val="paragraph"/>
        <w:numPr>
          <w:ilvl w:val="0"/>
          <w:numId w:val="70"/>
        </w:numPr>
        <w:spacing w:before="0" w:beforeAutospacing="0" w:after="0" w:afterAutospacing="0"/>
        <w:ind w:left="360" w:firstLine="0"/>
        <w:textAlignment w:val="baseline"/>
        <w:rPr>
          <w:rStyle w:val="eop"/>
          <w:rFonts w:ascii="Calibri" w:hAnsi="Calibri" w:cs="Calibri"/>
          <w:b/>
          <w:sz w:val="22"/>
          <w:szCs w:val="22"/>
        </w:rPr>
      </w:pPr>
      <w:r w:rsidRPr="004B69C1">
        <w:rPr>
          <w:rStyle w:val="eop"/>
          <w:rFonts w:ascii="Calibri" w:hAnsi="Calibri" w:cs="Calibri"/>
          <w:b/>
          <w:sz w:val="22"/>
          <w:szCs w:val="22"/>
        </w:rPr>
        <w:t xml:space="preserve">Feeder length </w:t>
      </w:r>
      <w:r w:rsidR="00C74312" w:rsidRPr="004B69C1">
        <w:rPr>
          <w:rStyle w:val="eop"/>
          <w:rFonts w:ascii="Calibri" w:hAnsi="Calibri" w:cs="Calibri"/>
          <w:b/>
          <w:sz w:val="22"/>
          <w:szCs w:val="22"/>
        </w:rPr>
        <w:t>R</w:t>
      </w:r>
      <w:r w:rsidRPr="004B69C1">
        <w:rPr>
          <w:rStyle w:val="eop"/>
          <w:rFonts w:ascii="Calibri" w:hAnsi="Calibri" w:cs="Calibri"/>
          <w:b/>
          <w:sz w:val="22"/>
          <w:szCs w:val="22"/>
        </w:rPr>
        <w:t xml:space="preserve">eduction (11KV &amp; 33KV): </w:t>
      </w:r>
    </w:p>
    <w:p w14:paraId="4C69DF85" w14:textId="1121235F" w:rsidR="009E2484" w:rsidRPr="009E2484" w:rsidRDefault="009E2484" w:rsidP="00C74312">
      <w:pPr>
        <w:pStyle w:val="paragraph"/>
        <w:spacing w:line="360" w:lineRule="auto"/>
        <w:ind w:left="720"/>
        <w:jc w:val="both"/>
        <w:textAlignment w:val="baseline"/>
        <w:rPr>
          <w:rStyle w:val="eop"/>
          <w:rFonts w:ascii="Calibri" w:hAnsi="Calibri" w:cs="Calibri"/>
          <w:sz w:val="22"/>
          <w:szCs w:val="22"/>
        </w:rPr>
      </w:pPr>
      <w:r w:rsidRPr="009E2484">
        <w:rPr>
          <w:rStyle w:val="eop"/>
          <w:rFonts w:ascii="Calibri" w:hAnsi="Calibri" w:cs="Calibri"/>
          <w:sz w:val="22"/>
          <w:szCs w:val="22"/>
        </w:rPr>
        <w:t>In view of presence of very long length feeder network involved at the time of takeover in 2021 (Ranging from 100-350 km</w:t>
      </w:r>
      <w:proofErr w:type="gramStart"/>
      <w:r w:rsidRPr="009E2484">
        <w:rPr>
          <w:rStyle w:val="eop"/>
          <w:rFonts w:ascii="Calibri" w:hAnsi="Calibri" w:cs="Calibri"/>
          <w:sz w:val="22"/>
          <w:szCs w:val="22"/>
        </w:rPr>
        <w:t>) ,TPNODL</w:t>
      </w:r>
      <w:proofErr w:type="gramEnd"/>
      <w:r w:rsidRPr="009E2484">
        <w:rPr>
          <w:rStyle w:val="eop"/>
          <w:rFonts w:ascii="Calibri" w:hAnsi="Calibri" w:cs="Calibri"/>
          <w:sz w:val="22"/>
          <w:szCs w:val="22"/>
        </w:rPr>
        <w:t xml:space="preserve"> has been consistently working towards the length reduction with an objective to limit the 11 </w:t>
      </w:r>
      <w:proofErr w:type="spellStart"/>
      <w:r w:rsidRPr="009E2484">
        <w:rPr>
          <w:rStyle w:val="eop"/>
          <w:rFonts w:ascii="Calibri" w:hAnsi="Calibri" w:cs="Calibri"/>
          <w:sz w:val="22"/>
          <w:szCs w:val="22"/>
        </w:rPr>
        <w:t>kv</w:t>
      </w:r>
      <w:proofErr w:type="spellEnd"/>
      <w:r w:rsidRPr="009E2484">
        <w:rPr>
          <w:rStyle w:val="eop"/>
          <w:rFonts w:ascii="Calibri" w:hAnsi="Calibri" w:cs="Calibri"/>
          <w:sz w:val="22"/>
          <w:szCs w:val="22"/>
        </w:rPr>
        <w:t xml:space="preserve"> feeders to 100 km &amp; 33KV feeders to 50 km. This was achieved by means of bifurcation of feeders, installation of link lines for a.) injection of new source b.) Balancing length across short &amp; long length feeders based on geographical proximity. Table given below indicates the progress made in the last 3 years. </w:t>
      </w:r>
    </w:p>
    <w:p w14:paraId="4AFC64F7" w14:textId="3F56AB09" w:rsidR="00E70195" w:rsidRDefault="004B69C1" w:rsidP="009E2484">
      <w:pPr>
        <w:pStyle w:val="paragraph"/>
        <w:spacing w:before="0" w:beforeAutospacing="0" w:after="0" w:afterAutospacing="0"/>
        <w:textAlignment w:val="baseline"/>
        <w:rPr>
          <w:rFonts w:ascii="Segoe UI" w:hAnsi="Segoe UI" w:cs="Segoe UI"/>
          <w:sz w:val="18"/>
          <w:szCs w:val="18"/>
        </w:rPr>
      </w:pPr>
      <w:r>
        <w:rPr>
          <w:rFonts w:ascii="Segoe UI" w:hAnsi="Segoe UI" w:cs="Segoe UI"/>
          <w:noProof/>
          <w:sz w:val="18"/>
          <w:szCs w:val="18"/>
          <w:lang w:val="en-IN" w:eastAsia="en-IN" w:bidi="ar-SA"/>
        </w:rPr>
        <w:drawing>
          <wp:anchor distT="0" distB="0" distL="114300" distR="114300" simplePos="0" relativeHeight="252124672" behindDoc="1" locked="0" layoutInCell="1" allowOverlap="1" wp14:anchorId="1F5D6F63" wp14:editId="3416BB3E">
            <wp:simplePos x="0" y="0"/>
            <wp:positionH relativeFrom="margin">
              <wp:posOffset>565785</wp:posOffset>
            </wp:positionH>
            <wp:positionV relativeFrom="paragraph">
              <wp:posOffset>9525</wp:posOffset>
            </wp:positionV>
            <wp:extent cx="5477510" cy="2019300"/>
            <wp:effectExtent l="76200" t="76200" r="142240" b="133350"/>
            <wp:wrapTight wrapText="bothSides">
              <wp:wrapPolygon edited="0">
                <wp:start x="-150" y="-815"/>
                <wp:lineTo x="-300" y="-611"/>
                <wp:lineTo x="-300" y="22008"/>
                <wp:lineTo x="-150" y="22823"/>
                <wp:lineTo x="21936" y="22823"/>
                <wp:lineTo x="22086" y="22211"/>
                <wp:lineTo x="22086" y="2649"/>
                <wp:lineTo x="21936" y="-408"/>
                <wp:lineTo x="21936" y="-815"/>
                <wp:lineTo x="-150" y="-815"/>
              </wp:wrapPolygon>
            </wp:wrapTight>
            <wp:docPr id="41" name="Picture 41" descr="C:\Users\malancha.ghose\AppData\Local\Microsoft\Windows\INetCache\Content.MSO\E0ECBD5.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C:\Users\malancha.ghose\AppData\Local\Microsoft\Windows\INetCache\Content.MSO\E0ECBD5.tmp"/>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477510" cy="201930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14:sizeRelV relativeFrom="margin">
              <wp14:pctHeight>0</wp14:pctHeight>
            </wp14:sizeRelV>
          </wp:anchor>
        </w:drawing>
      </w:r>
      <w:r w:rsidR="00E70195">
        <w:rPr>
          <w:rStyle w:val="eop"/>
        </w:rPr>
        <w:t> </w:t>
      </w:r>
    </w:p>
    <w:p w14:paraId="0DAB2EDA" w14:textId="77777777" w:rsidR="00E02343" w:rsidRDefault="00E02343" w:rsidP="00E70195">
      <w:pPr>
        <w:pStyle w:val="paragraph"/>
        <w:spacing w:before="0" w:beforeAutospacing="0" w:after="0" w:afterAutospacing="0"/>
        <w:ind w:left="270" w:right="-30"/>
        <w:jc w:val="both"/>
        <w:textAlignment w:val="baseline"/>
        <w:rPr>
          <w:rStyle w:val="normaltextrun"/>
          <w:rFonts w:ascii="Calibri" w:hAnsi="Calibri" w:cs="Calibri"/>
          <w:sz w:val="22"/>
          <w:szCs w:val="22"/>
        </w:rPr>
      </w:pPr>
    </w:p>
    <w:p w14:paraId="286DF411" w14:textId="77777777" w:rsidR="00E02343" w:rsidRDefault="00E02343" w:rsidP="00E70195">
      <w:pPr>
        <w:pStyle w:val="paragraph"/>
        <w:spacing w:before="0" w:beforeAutospacing="0" w:after="0" w:afterAutospacing="0"/>
        <w:ind w:left="270" w:right="-30"/>
        <w:jc w:val="both"/>
        <w:textAlignment w:val="baseline"/>
        <w:rPr>
          <w:rStyle w:val="normaltextrun"/>
          <w:rFonts w:ascii="Calibri" w:hAnsi="Calibri" w:cs="Calibri"/>
          <w:sz w:val="22"/>
          <w:szCs w:val="22"/>
        </w:rPr>
      </w:pPr>
    </w:p>
    <w:p w14:paraId="2E7621D2" w14:textId="77777777" w:rsidR="00E02343" w:rsidRDefault="00E02343" w:rsidP="00E70195">
      <w:pPr>
        <w:pStyle w:val="paragraph"/>
        <w:spacing w:before="0" w:beforeAutospacing="0" w:after="0" w:afterAutospacing="0"/>
        <w:ind w:left="270" w:right="-30"/>
        <w:jc w:val="both"/>
        <w:textAlignment w:val="baseline"/>
        <w:rPr>
          <w:rStyle w:val="normaltextrun"/>
          <w:rFonts w:ascii="Calibri" w:hAnsi="Calibri" w:cs="Calibri"/>
          <w:sz w:val="22"/>
          <w:szCs w:val="22"/>
        </w:rPr>
      </w:pPr>
    </w:p>
    <w:p w14:paraId="59B76D3C" w14:textId="77777777" w:rsidR="00E02343" w:rsidRDefault="00E02343" w:rsidP="00E70195">
      <w:pPr>
        <w:pStyle w:val="paragraph"/>
        <w:spacing w:before="0" w:beforeAutospacing="0" w:after="0" w:afterAutospacing="0"/>
        <w:ind w:left="270" w:right="-30"/>
        <w:jc w:val="both"/>
        <w:textAlignment w:val="baseline"/>
        <w:rPr>
          <w:rStyle w:val="normaltextrun"/>
          <w:rFonts w:ascii="Calibri" w:hAnsi="Calibri" w:cs="Calibri"/>
          <w:sz w:val="22"/>
          <w:szCs w:val="22"/>
        </w:rPr>
      </w:pPr>
    </w:p>
    <w:p w14:paraId="615359AD" w14:textId="77777777" w:rsidR="00E02343" w:rsidRDefault="00E02343" w:rsidP="00E70195">
      <w:pPr>
        <w:pStyle w:val="paragraph"/>
        <w:spacing w:before="0" w:beforeAutospacing="0" w:after="0" w:afterAutospacing="0"/>
        <w:ind w:left="270" w:right="-30"/>
        <w:jc w:val="both"/>
        <w:textAlignment w:val="baseline"/>
        <w:rPr>
          <w:rStyle w:val="normaltextrun"/>
          <w:rFonts w:ascii="Calibri" w:hAnsi="Calibri" w:cs="Calibri"/>
          <w:sz w:val="22"/>
          <w:szCs w:val="22"/>
        </w:rPr>
      </w:pPr>
    </w:p>
    <w:p w14:paraId="15EEE7C8" w14:textId="77777777" w:rsidR="00E02343" w:rsidRDefault="00E02343" w:rsidP="00E70195">
      <w:pPr>
        <w:pStyle w:val="paragraph"/>
        <w:spacing w:before="0" w:beforeAutospacing="0" w:after="0" w:afterAutospacing="0"/>
        <w:ind w:left="270" w:right="-30"/>
        <w:jc w:val="both"/>
        <w:textAlignment w:val="baseline"/>
        <w:rPr>
          <w:rStyle w:val="normaltextrun"/>
          <w:rFonts w:ascii="Calibri" w:hAnsi="Calibri" w:cs="Calibri"/>
          <w:sz w:val="22"/>
          <w:szCs w:val="22"/>
        </w:rPr>
      </w:pPr>
    </w:p>
    <w:p w14:paraId="434F6CF8" w14:textId="77777777" w:rsidR="00E02343" w:rsidRDefault="00E02343" w:rsidP="00E70195">
      <w:pPr>
        <w:pStyle w:val="paragraph"/>
        <w:spacing w:before="0" w:beforeAutospacing="0" w:after="0" w:afterAutospacing="0"/>
        <w:ind w:left="270" w:right="-30"/>
        <w:jc w:val="both"/>
        <w:textAlignment w:val="baseline"/>
        <w:rPr>
          <w:rStyle w:val="normaltextrun"/>
          <w:rFonts w:ascii="Calibri" w:hAnsi="Calibri" w:cs="Calibri"/>
          <w:sz w:val="22"/>
          <w:szCs w:val="22"/>
        </w:rPr>
      </w:pPr>
    </w:p>
    <w:p w14:paraId="78F104FA" w14:textId="77777777" w:rsidR="00E02343" w:rsidRDefault="00E02343" w:rsidP="00E70195">
      <w:pPr>
        <w:pStyle w:val="paragraph"/>
        <w:spacing w:before="0" w:beforeAutospacing="0" w:after="0" w:afterAutospacing="0"/>
        <w:ind w:left="270" w:right="-30"/>
        <w:jc w:val="both"/>
        <w:textAlignment w:val="baseline"/>
        <w:rPr>
          <w:rStyle w:val="normaltextrun"/>
          <w:rFonts w:ascii="Calibri" w:hAnsi="Calibri" w:cs="Calibri"/>
          <w:sz w:val="22"/>
          <w:szCs w:val="22"/>
        </w:rPr>
      </w:pPr>
    </w:p>
    <w:p w14:paraId="58B37427" w14:textId="77777777" w:rsidR="00E02343" w:rsidRDefault="00E02343" w:rsidP="00E70195">
      <w:pPr>
        <w:pStyle w:val="paragraph"/>
        <w:spacing w:before="0" w:beforeAutospacing="0" w:after="0" w:afterAutospacing="0"/>
        <w:ind w:left="270" w:right="-30"/>
        <w:jc w:val="both"/>
        <w:textAlignment w:val="baseline"/>
        <w:rPr>
          <w:rStyle w:val="normaltextrun"/>
          <w:rFonts w:ascii="Calibri" w:hAnsi="Calibri" w:cs="Calibri"/>
          <w:sz w:val="22"/>
          <w:szCs w:val="22"/>
        </w:rPr>
      </w:pPr>
    </w:p>
    <w:p w14:paraId="67601EC8" w14:textId="77777777" w:rsidR="00E02343" w:rsidRDefault="00E02343" w:rsidP="00E70195">
      <w:pPr>
        <w:pStyle w:val="paragraph"/>
        <w:spacing w:before="0" w:beforeAutospacing="0" w:after="0" w:afterAutospacing="0"/>
        <w:ind w:left="270" w:right="-30"/>
        <w:jc w:val="both"/>
        <w:textAlignment w:val="baseline"/>
        <w:rPr>
          <w:rStyle w:val="normaltextrun"/>
          <w:rFonts w:ascii="Calibri" w:hAnsi="Calibri" w:cs="Calibri"/>
          <w:sz w:val="22"/>
          <w:szCs w:val="22"/>
        </w:rPr>
      </w:pPr>
    </w:p>
    <w:p w14:paraId="59B697F1" w14:textId="77777777" w:rsidR="00E02343" w:rsidRDefault="00E02343" w:rsidP="00E70195">
      <w:pPr>
        <w:pStyle w:val="paragraph"/>
        <w:spacing w:before="0" w:beforeAutospacing="0" w:after="0" w:afterAutospacing="0"/>
        <w:ind w:left="270" w:right="-30"/>
        <w:jc w:val="both"/>
        <w:textAlignment w:val="baseline"/>
        <w:rPr>
          <w:rStyle w:val="normaltextrun"/>
          <w:rFonts w:ascii="Calibri" w:hAnsi="Calibri" w:cs="Calibri"/>
          <w:sz w:val="22"/>
          <w:szCs w:val="22"/>
        </w:rPr>
      </w:pPr>
    </w:p>
    <w:p w14:paraId="2A527660" w14:textId="77777777" w:rsidR="00E02343" w:rsidRDefault="00E02343" w:rsidP="00E70195">
      <w:pPr>
        <w:pStyle w:val="paragraph"/>
        <w:spacing w:before="0" w:beforeAutospacing="0" w:after="0" w:afterAutospacing="0"/>
        <w:ind w:left="270" w:right="-30"/>
        <w:jc w:val="both"/>
        <w:textAlignment w:val="baseline"/>
        <w:rPr>
          <w:rStyle w:val="normaltextrun"/>
          <w:rFonts w:ascii="Calibri" w:hAnsi="Calibri" w:cs="Calibri"/>
          <w:sz w:val="22"/>
          <w:szCs w:val="22"/>
        </w:rPr>
      </w:pPr>
    </w:p>
    <w:p w14:paraId="2F52BC0C" w14:textId="77777777" w:rsidR="004B69C1" w:rsidRDefault="004B69C1" w:rsidP="004B69C1">
      <w:pPr>
        <w:pStyle w:val="paragraph"/>
        <w:spacing w:before="0" w:beforeAutospacing="0" w:after="0" w:afterAutospacing="0"/>
        <w:ind w:right="-30"/>
        <w:jc w:val="both"/>
        <w:textAlignment w:val="baseline"/>
        <w:rPr>
          <w:rStyle w:val="normaltextrun"/>
          <w:rFonts w:ascii="Calibri" w:hAnsi="Calibri" w:cs="Calibri"/>
          <w:sz w:val="22"/>
          <w:szCs w:val="22"/>
        </w:rPr>
      </w:pPr>
    </w:p>
    <w:p w14:paraId="4FBA38E9" w14:textId="0685E0EE" w:rsidR="00E70195" w:rsidRDefault="00E70195" w:rsidP="004B69C1">
      <w:pPr>
        <w:pStyle w:val="paragraph"/>
        <w:spacing w:before="0" w:beforeAutospacing="0" w:after="0" w:afterAutospacing="0"/>
        <w:ind w:left="851" w:right="-30"/>
        <w:jc w:val="both"/>
        <w:textAlignment w:val="baseline"/>
        <w:rPr>
          <w:rStyle w:val="eop"/>
          <w:rFonts w:ascii="Calibri" w:hAnsi="Calibri" w:cs="Calibri"/>
          <w:sz w:val="22"/>
          <w:szCs w:val="22"/>
        </w:rPr>
      </w:pPr>
      <w:r>
        <w:rPr>
          <w:rStyle w:val="normaltextrun"/>
          <w:rFonts w:ascii="Calibri" w:hAnsi="Calibri" w:cs="Calibri"/>
          <w:sz w:val="22"/>
          <w:szCs w:val="22"/>
        </w:rPr>
        <w:t>The technical loss reduction achieved during FY 22, FY 23 &amp; FY 24 are furnished in the   following tables.</w:t>
      </w:r>
      <w:r>
        <w:rPr>
          <w:rStyle w:val="eop"/>
          <w:rFonts w:ascii="Calibri" w:hAnsi="Calibri" w:cs="Calibri"/>
          <w:sz w:val="22"/>
          <w:szCs w:val="22"/>
        </w:rPr>
        <w:t> </w:t>
      </w:r>
    </w:p>
    <w:p w14:paraId="21B71F42" w14:textId="45AA3E45" w:rsidR="00E02343" w:rsidRDefault="00E02343" w:rsidP="00E70195">
      <w:pPr>
        <w:pStyle w:val="paragraph"/>
        <w:spacing w:before="0" w:beforeAutospacing="0" w:after="0" w:afterAutospacing="0"/>
        <w:ind w:left="270" w:right="-30"/>
        <w:jc w:val="both"/>
        <w:textAlignment w:val="baseline"/>
        <w:rPr>
          <w:rFonts w:ascii="Segoe UI" w:hAnsi="Segoe UI" w:cs="Segoe UI"/>
          <w:sz w:val="18"/>
          <w:szCs w:val="18"/>
          <w:lang w:val="en-IN"/>
        </w:rPr>
      </w:pPr>
    </w:p>
    <w:p w14:paraId="2F23A453" w14:textId="0563D408" w:rsidR="004B69C1" w:rsidRDefault="004B69C1" w:rsidP="00E70195">
      <w:pPr>
        <w:pStyle w:val="paragraph"/>
        <w:spacing w:before="0" w:beforeAutospacing="0" w:after="0" w:afterAutospacing="0"/>
        <w:ind w:left="270" w:right="-30"/>
        <w:jc w:val="both"/>
        <w:textAlignment w:val="baseline"/>
        <w:rPr>
          <w:rFonts w:ascii="Segoe UI" w:hAnsi="Segoe UI" w:cs="Segoe UI"/>
          <w:sz w:val="18"/>
          <w:szCs w:val="18"/>
          <w:lang w:val="en-IN"/>
        </w:rPr>
      </w:pPr>
    </w:p>
    <w:p w14:paraId="61C9DC25" w14:textId="180F5BD9" w:rsidR="004B69C1" w:rsidRDefault="004B69C1" w:rsidP="00E70195">
      <w:pPr>
        <w:pStyle w:val="paragraph"/>
        <w:spacing w:before="0" w:beforeAutospacing="0" w:after="0" w:afterAutospacing="0"/>
        <w:ind w:left="270" w:right="-30"/>
        <w:jc w:val="both"/>
        <w:textAlignment w:val="baseline"/>
        <w:rPr>
          <w:rFonts w:ascii="Segoe UI" w:hAnsi="Segoe UI" w:cs="Segoe UI"/>
          <w:sz w:val="18"/>
          <w:szCs w:val="18"/>
          <w:lang w:val="en-IN"/>
        </w:rPr>
      </w:pPr>
    </w:p>
    <w:p w14:paraId="20435698" w14:textId="525DD8FD" w:rsidR="004B69C1" w:rsidRDefault="004B69C1" w:rsidP="00E70195">
      <w:pPr>
        <w:pStyle w:val="paragraph"/>
        <w:spacing w:before="0" w:beforeAutospacing="0" w:after="0" w:afterAutospacing="0"/>
        <w:ind w:left="270" w:right="-30"/>
        <w:jc w:val="both"/>
        <w:textAlignment w:val="baseline"/>
        <w:rPr>
          <w:rFonts w:ascii="Segoe UI" w:hAnsi="Segoe UI" w:cs="Segoe UI"/>
          <w:sz w:val="18"/>
          <w:szCs w:val="18"/>
          <w:lang w:val="en-IN"/>
        </w:rPr>
      </w:pPr>
    </w:p>
    <w:p w14:paraId="755A3E98" w14:textId="22204182" w:rsidR="004B69C1" w:rsidRDefault="004B69C1" w:rsidP="00E70195">
      <w:pPr>
        <w:pStyle w:val="paragraph"/>
        <w:spacing w:before="0" w:beforeAutospacing="0" w:after="0" w:afterAutospacing="0"/>
        <w:ind w:left="270" w:right="-30"/>
        <w:jc w:val="both"/>
        <w:textAlignment w:val="baseline"/>
        <w:rPr>
          <w:rFonts w:ascii="Segoe UI" w:hAnsi="Segoe UI" w:cs="Segoe UI"/>
          <w:sz w:val="18"/>
          <w:szCs w:val="18"/>
          <w:lang w:val="en-IN"/>
        </w:rPr>
      </w:pPr>
    </w:p>
    <w:p w14:paraId="4A7DEE78" w14:textId="5C324E0E" w:rsidR="004B69C1" w:rsidRDefault="004B69C1" w:rsidP="00E70195">
      <w:pPr>
        <w:pStyle w:val="paragraph"/>
        <w:spacing w:before="0" w:beforeAutospacing="0" w:after="0" w:afterAutospacing="0"/>
        <w:ind w:left="270" w:right="-30"/>
        <w:jc w:val="both"/>
        <w:textAlignment w:val="baseline"/>
        <w:rPr>
          <w:rFonts w:ascii="Segoe UI" w:hAnsi="Segoe UI" w:cs="Segoe UI"/>
          <w:sz w:val="18"/>
          <w:szCs w:val="18"/>
          <w:lang w:val="en-IN"/>
        </w:rPr>
      </w:pPr>
    </w:p>
    <w:p w14:paraId="10E94E79" w14:textId="61743433" w:rsidR="004B69C1" w:rsidRDefault="004B69C1" w:rsidP="00E70195">
      <w:pPr>
        <w:pStyle w:val="paragraph"/>
        <w:spacing w:before="0" w:beforeAutospacing="0" w:after="0" w:afterAutospacing="0"/>
        <w:ind w:left="270" w:right="-30"/>
        <w:jc w:val="both"/>
        <w:textAlignment w:val="baseline"/>
        <w:rPr>
          <w:rFonts w:ascii="Segoe UI" w:hAnsi="Segoe UI" w:cs="Segoe UI"/>
          <w:sz w:val="18"/>
          <w:szCs w:val="18"/>
          <w:lang w:val="en-IN"/>
        </w:rPr>
      </w:pPr>
    </w:p>
    <w:p w14:paraId="420363DD" w14:textId="171AFF3D" w:rsidR="004B69C1" w:rsidRDefault="004B69C1" w:rsidP="00E70195">
      <w:pPr>
        <w:pStyle w:val="paragraph"/>
        <w:spacing w:before="0" w:beforeAutospacing="0" w:after="0" w:afterAutospacing="0"/>
        <w:ind w:left="270" w:right="-30"/>
        <w:jc w:val="both"/>
        <w:textAlignment w:val="baseline"/>
        <w:rPr>
          <w:rFonts w:ascii="Segoe UI" w:hAnsi="Segoe UI" w:cs="Segoe UI"/>
          <w:sz w:val="18"/>
          <w:szCs w:val="18"/>
          <w:lang w:val="en-IN"/>
        </w:rPr>
      </w:pPr>
    </w:p>
    <w:p w14:paraId="01BE747F" w14:textId="0287DB7F" w:rsidR="004B69C1" w:rsidRDefault="004B69C1" w:rsidP="00E70195">
      <w:pPr>
        <w:pStyle w:val="paragraph"/>
        <w:spacing w:before="0" w:beforeAutospacing="0" w:after="0" w:afterAutospacing="0"/>
        <w:ind w:left="270" w:right="-30"/>
        <w:jc w:val="both"/>
        <w:textAlignment w:val="baseline"/>
        <w:rPr>
          <w:rFonts w:ascii="Segoe UI" w:hAnsi="Segoe UI" w:cs="Segoe UI"/>
          <w:sz w:val="18"/>
          <w:szCs w:val="18"/>
          <w:lang w:val="en-IN"/>
        </w:rPr>
      </w:pPr>
    </w:p>
    <w:p w14:paraId="30FC42D3" w14:textId="77777777" w:rsidR="004B69C1" w:rsidRDefault="004B69C1" w:rsidP="00E70195">
      <w:pPr>
        <w:pStyle w:val="paragraph"/>
        <w:spacing w:before="0" w:beforeAutospacing="0" w:after="0" w:afterAutospacing="0"/>
        <w:ind w:left="270" w:right="-30"/>
        <w:jc w:val="both"/>
        <w:textAlignment w:val="baseline"/>
        <w:rPr>
          <w:rFonts w:ascii="Segoe UI" w:hAnsi="Segoe UI" w:cs="Segoe UI"/>
          <w:sz w:val="18"/>
          <w:szCs w:val="18"/>
          <w:lang w:val="en-IN"/>
        </w:rPr>
      </w:pPr>
    </w:p>
    <w:p w14:paraId="56CF9B36" w14:textId="2906C23B" w:rsidR="002F0A87" w:rsidRPr="003D5FB5" w:rsidRDefault="002F0A87" w:rsidP="002F0A87">
      <w:pPr>
        <w:pStyle w:val="ListParagraph"/>
        <w:tabs>
          <w:tab w:val="left" w:pos="284"/>
        </w:tabs>
        <w:spacing w:line="360" w:lineRule="auto"/>
        <w:ind w:left="284" w:right="-23"/>
        <w:jc w:val="center"/>
        <w:rPr>
          <w:rStyle w:val="normaltextrun"/>
          <w:rFonts w:asciiTheme="minorHAnsi" w:hAnsiTheme="minorHAnsi" w:cstheme="minorHAnsi"/>
        </w:rPr>
      </w:pPr>
      <w:r w:rsidRPr="003D5FB5">
        <w:rPr>
          <w:rFonts w:asciiTheme="minorHAnsi" w:hAnsiTheme="minorHAnsi" w:cstheme="minorHAnsi"/>
          <w:b/>
          <w:bCs/>
          <w:color w:val="000000"/>
          <w:kern w:val="2"/>
          <w:lang w:eastAsia="en-IN"/>
        </w:rPr>
        <w:lastRenderedPageBreak/>
        <w:t>Table-2</w:t>
      </w:r>
      <w:r w:rsidR="004B69C1">
        <w:rPr>
          <w:rFonts w:asciiTheme="minorHAnsi" w:hAnsiTheme="minorHAnsi" w:cstheme="minorHAnsi"/>
          <w:b/>
          <w:bCs/>
          <w:color w:val="000000"/>
          <w:kern w:val="2"/>
          <w:lang w:eastAsia="en-IN"/>
        </w:rPr>
        <w:t>6</w:t>
      </w:r>
      <w:r w:rsidRPr="003D5FB5">
        <w:rPr>
          <w:rFonts w:asciiTheme="minorHAnsi" w:hAnsiTheme="minorHAnsi" w:cstheme="minorHAnsi"/>
          <w:b/>
          <w:bCs/>
          <w:color w:val="000000"/>
          <w:kern w:val="2"/>
          <w:lang w:eastAsia="en-IN"/>
        </w:rPr>
        <w:t>(a): TPNODL 33 KV Technical Loss Assessment FY22</w:t>
      </w:r>
    </w:p>
    <w:tbl>
      <w:tblPr>
        <w:tblW w:w="9684" w:type="dxa"/>
        <w:tblInd w:w="132" w:type="dxa"/>
        <w:tblLayout w:type="fixed"/>
        <w:tblCellMar>
          <w:top w:w="15" w:type="dxa"/>
          <w:left w:w="15" w:type="dxa"/>
          <w:right w:w="15" w:type="dxa"/>
        </w:tblCellMar>
        <w:tblLook w:val="0600" w:firstRow="0" w:lastRow="0" w:firstColumn="0" w:lastColumn="0" w:noHBand="1" w:noVBand="1"/>
      </w:tblPr>
      <w:tblGrid>
        <w:gridCol w:w="1064"/>
        <w:gridCol w:w="13"/>
        <w:gridCol w:w="1052"/>
        <w:gridCol w:w="1273"/>
        <w:gridCol w:w="1295"/>
        <w:gridCol w:w="1444"/>
        <w:gridCol w:w="1654"/>
        <w:gridCol w:w="815"/>
        <w:gridCol w:w="1074"/>
      </w:tblGrid>
      <w:tr w:rsidR="002F0A87" w:rsidRPr="003D5FB5" w14:paraId="58DFB0AF" w14:textId="77777777" w:rsidTr="004B69C1">
        <w:trPr>
          <w:trHeight w:val="476"/>
        </w:trPr>
        <w:tc>
          <w:tcPr>
            <w:tcW w:w="1064" w:type="dxa"/>
            <w:tcBorders>
              <w:top w:val="single" w:sz="8" w:space="0" w:color="000000"/>
              <w:left w:val="single" w:sz="8" w:space="0" w:color="000000"/>
              <w:bottom w:val="single" w:sz="8" w:space="0" w:color="000000"/>
              <w:right w:val="single" w:sz="4" w:space="0" w:color="000000"/>
            </w:tcBorders>
            <w:shd w:val="clear" w:color="auto" w:fill="95B3D7" w:themeFill="accent1" w:themeFillTint="99"/>
            <w:vAlign w:val="center"/>
          </w:tcPr>
          <w:p w14:paraId="75824F10" w14:textId="77777777" w:rsidR="002F0A87" w:rsidRPr="003D5FB5" w:rsidRDefault="002F0A87" w:rsidP="002F0A87">
            <w:pPr>
              <w:tabs>
                <w:tab w:val="left" w:pos="426"/>
              </w:tabs>
              <w:spacing w:line="360" w:lineRule="auto"/>
              <w:ind w:right="-23"/>
              <w:jc w:val="center"/>
              <w:textAlignment w:val="center"/>
              <w:rPr>
                <w:rFonts w:asciiTheme="minorHAnsi" w:hAnsiTheme="minorHAnsi" w:cstheme="minorHAnsi"/>
                <w:sz w:val="22"/>
                <w:szCs w:val="22"/>
                <w:lang w:eastAsia="en-IN"/>
              </w:rPr>
            </w:pPr>
            <w:r w:rsidRPr="003D5FB5">
              <w:rPr>
                <w:rFonts w:asciiTheme="minorHAnsi" w:hAnsiTheme="minorHAnsi" w:cstheme="minorHAnsi"/>
                <w:b/>
                <w:bCs/>
                <w:color w:val="000000"/>
                <w:kern w:val="2"/>
                <w:sz w:val="22"/>
                <w:szCs w:val="22"/>
                <w:lang w:eastAsia="en-IN"/>
              </w:rPr>
              <w:t>Circle</w:t>
            </w:r>
          </w:p>
        </w:tc>
        <w:tc>
          <w:tcPr>
            <w:tcW w:w="1065" w:type="dxa"/>
            <w:gridSpan w:val="2"/>
            <w:tcBorders>
              <w:top w:val="single" w:sz="8" w:space="0" w:color="000000"/>
              <w:left w:val="single" w:sz="4" w:space="0" w:color="000000"/>
              <w:bottom w:val="single" w:sz="8" w:space="0" w:color="000000"/>
              <w:right w:val="single" w:sz="4" w:space="0" w:color="000000"/>
            </w:tcBorders>
            <w:shd w:val="clear" w:color="auto" w:fill="95B3D7" w:themeFill="accent1" w:themeFillTint="99"/>
            <w:vAlign w:val="center"/>
          </w:tcPr>
          <w:p w14:paraId="232020F6" w14:textId="77777777" w:rsidR="002F0A87" w:rsidRPr="003D5FB5" w:rsidRDefault="002F0A87" w:rsidP="002F0A87">
            <w:pPr>
              <w:tabs>
                <w:tab w:val="left" w:pos="426"/>
              </w:tabs>
              <w:spacing w:line="360" w:lineRule="auto"/>
              <w:ind w:right="-23"/>
              <w:jc w:val="center"/>
              <w:textAlignment w:val="center"/>
              <w:rPr>
                <w:rFonts w:asciiTheme="minorHAnsi" w:hAnsiTheme="minorHAnsi" w:cstheme="minorHAnsi"/>
                <w:sz w:val="22"/>
                <w:szCs w:val="22"/>
                <w:lang w:eastAsia="en-IN"/>
              </w:rPr>
            </w:pPr>
            <w:r w:rsidRPr="003D5FB5">
              <w:rPr>
                <w:rFonts w:asciiTheme="minorHAnsi" w:hAnsiTheme="minorHAnsi" w:cstheme="minorHAnsi"/>
                <w:b/>
                <w:bCs/>
                <w:color w:val="000000"/>
                <w:kern w:val="2"/>
                <w:sz w:val="22"/>
                <w:szCs w:val="22"/>
                <w:lang w:eastAsia="en-IN"/>
              </w:rPr>
              <w:t>Peak load</w:t>
            </w:r>
            <w:r w:rsidRPr="003D5FB5">
              <w:rPr>
                <w:rFonts w:asciiTheme="minorHAnsi" w:hAnsiTheme="minorHAnsi" w:cstheme="minorHAnsi"/>
                <w:b/>
                <w:bCs/>
                <w:color w:val="000000"/>
                <w:kern w:val="2"/>
                <w:sz w:val="22"/>
                <w:szCs w:val="22"/>
                <w:lang w:eastAsia="en-IN"/>
              </w:rPr>
              <w:br/>
              <w:t>(MW)</w:t>
            </w:r>
          </w:p>
        </w:tc>
        <w:tc>
          <w:tcPr>
            <w:tcW w:w="1273" w:type="dxa"/>
            <w:tcBorders>
              <w:top w:val="single" w:sz="8" w:space="0" w:color="000000"/>
              <w:left w:val="single" w:sz="4" w:space="0" w:color="000000"/>
              <w:bottom w:val="single" w:sz="8" w:space="0" w:color="000000"/>
              <w:right w:val="single" w:sz="4" w:space="0" w:color="000000"/>
            </w:tcBorders>
            <w:shd w:val="clear" w:color="auto" w:fill="95B3D7" w:themeFill="accent1" w:themeFillTint="99"/>
            <w:vAlign w:val="center"/>
          </w:tcPr>
          <w:p w14:paraId="229D327E" w14:textId="77777777" w:rsidR="002F0A87" w:rsidRPr="003D5FB5" w:rsidRDefault="002F0A87" w:rsidP="002F0A87">
            <w:pPr>
              <w:tabs>
                <w:tab w:val="left" w:pos="426"/>
              </w:tabs>
              <w:spacing w:line="360" w:lineRule="auto"/>
              <w:ind w:right="-23"/>
              <w:jc w:val="center"/>
              <w:textAlignment w:val="center"/>
              <w:rPr>
                <w:rFonts w:asciiTheme="minorHAnsi" w:hAnsiTheme="minorHAnsi" w:cstheme="minorHAnsi"/>
                <w:sz w:val="22"/>
                <w:szCs w:val="22"/>
                <w:lang w:eastAsia="en-IN"/>
              </w:rPr>
            </w:pPr>
            <w:r w:rsidRPr="003D5FB5">
              <w:rPr>
                <w:rFonts w:asciiTheme="minorHAnsi" w:hAnsiTheme="minorHAnsi" w:cstheme="minorHAnsi"/>
                <w:b/>
                <w:bCs/>
                <w:color w:val="000000"/>
                <w:kern w:val="2"/>
                <w:sz w:val="22"/>
                <w:szCs w:val="22"/>
                <w:lang w:eastAsia="en-IN"/>
              </w:rPr>
              <w:t>Line Loss (MW)</w:t>
            </w:r>
          </w:p>
        </w:tc>
        <w:tc>
          <w:tcPr>
            <w:tcW w:w="1295" w:type="dxa"/>
            <w:tcBorders>
              <w:top w:val="single" w:sz="8" w:space="0" w:color="000000"/>
              <w:left w:val="single" w:sz="4" w:space="0" w:color="000000"/>
              <w:bottom w:val="single" w:sz="8" w:space="0" w:color="000000"/>
              <w:right w:val="single" w:sz="4" w:space="0" w:color="000000"/>
            </w:tcBorders>
            <w:shd w:val="clear" w:color="auto" w:fill="95B3D7" w:themeFill="accent1" w:themeFillTint="99"/>
            <w:vAlign w:val="center"/>
          </w:tcPr>
          <w:p w14:paraId="03A6DD4D" w14:textId="77777777" w:rsidR="002F0A87" w:rsidRPr="003D5FB5" w:rsidRDefault="002F0A87" w:rsidP="002F0A87">
            <w:pPr>
              <w:tabs>
                <w:tab w:val="left" w:pos="426"/>
              </w:tabs>
              <w:spacing w:line="360" w:lineRule="auto"/>
              <w:ind w:right="-23"/>
              <w:jc w:val="center"/>
              <w:textAlignment w:val="center"/>
              <w:rPr>
                <w:rFonts w:asciiTheme="minorHAnsi" w:hAnsiTheme="minorHAnsi" w:cstheme="minorHAnsi"/>
                <w:sz w:val="22"/>
                <w:szCs w:val="22"/>
                <w:lang w:eastAsia="en-IN"/>
              </w:rPr>
            </w:pPr>
            <w:proofErr w:type="spellStart"/>
            <w:r w:rsidRPr="003D5FB5">
              <w:rPr>
                <w:rFonts w:asciiTheme="minorHAnsi" w:hAnsiTheme="minorHAnsi" w:cstheme="minorHAnsi"/>
                <w:b/>
                <w:bCs/>
                <w:color w:val="000000"/>
                <w:kern w:val="2"/>
                <w:sz w:val="22"/>
                <w:szCs w:val="22"/>
                <w:lang w:eastAsia="en-IN"/>
              </w:rPr>
              <w:t>Trf</w:t>
            </w:r>
            <w:proofErr w:type="spellEnd"/>
            <w:r w:rsidRPr="003D5FB5">
              <w:rPr>
                <w:rFonts w:asciiTheme="minorHAnsi" w:hAnsiTheme="minorHAnsi" w:cstheme="minorHAnsi"/>
                <w:b/>
                <w:bCs/>
                <w:color w:val="000000"/>
                <w:kern w:val="2"/>
                <w:sz w:val="22"/>
                <w:szCs w:val="22"/>
                <w:lang w:eastAsia="en-IN"/>
              </w:rPr>
              <w:t>.</w:t>
            </w:r>
            <w:r w:rsidRPr="003D5FB5">
              <w:rPr>
                <w:rFonts w:asciiTheme="minorHAnsi" w:hAnsiTheme="minorHAnsi" w:cstheme="minorHAnsi"/>
                <w:b/>
                <w:bCs/>
                <w:color w:val="000000"/>
                <w:kern w:val="2"/>
                <w:sz w:val="22"/>
                <w:szCs w:val="22"/>
                <w:lang w:eastAsia="en-IN"/>
              </w:rPr>
              <w:br/>
              <w:t>(No Load Loss)</w:t>
            </w:r>
            <w:r w:rsidRPr="003D5FB5">
              <w:rPr>
                <w:rFonts w:asciiTheme="minorHAnsi" w:hAnsiTheme="minorHAnsi" w:cstheme="minorHAnsi"/>
                <w:b/>
                <w:bCs/>
                <w:color w:val="000000"/>
                <w:kern w:val="2"/>
                <w:sz w:val="22"/>
                <w:szCs w:val="22"/>
                <w:lang w:eastAsia="en-IN"/>
              </w:rPr>
              <w:br/>
              <w:t>(MW)</w:t>
            </w:r>
          </w:p>
        </w:tc>
        <w:tc>
          <w:tcPr>
            <w:tcW w:w="1444" w:type="dxa"/>
            <w:tcBorders>
              <w:top w:val="single" w:sz="8" w:space="0" w:color="000000"/>
              <w:left w:val="single" w:sz="4" w:space="0" w:color="000000"/>
              <w:bottom w:val="single" w:sz="8" w:space="0" w:color="000000"/>
              <w:right w:val="single" w:sz="4" w:space="0" w:color="000000"/>
            </w:tcBorders>
            <w:shd w:val="clear" w:color="auto" w:fill="95B3D7" w:themeFill="accent1" w:themeFillTint="99"/>
            <w:vAlign w:val="center"/>
          </w:tcPr>
          <w:p w14:paraId="33847810" w14:textId="77777777" w:rsidR="002F0A87" w:rsidRPr="003D5FB5" w:rsidRDefault="002F0A87" w:rsidP="002F0A87">
            <w:pPr>
              <w:tabs>
                <w:tab w:val="left" w:pos="426"/>
              </w:tabs>
              <w:spacing w:line="360" w:lineRule="auto"/>
              <w:ind w:right="-23"/>
              <w:jc w:val="center"/>
              <w:textAlignment w:val="center"/>
              <w:rPr>
                <w:rFonts w:asciiTheme="minorHAnsi" w:hAnsiTheme="minorHAnsi" w:cstheme="minorHAnsi"/>
                <w:sz w:val="22"/>
                <w:szCs w:val="22"/>
                <w:lang w:eastAsia="en-IN"/>
              </w:rPr>
            </w:pPr>
            <w:proofErr w:type="spellStart"/>
            <w:r w:rsidRPr="003D5FB5">
              <w:rPr>
                <w:rFonts w:asciiTheme="minorHAnsi" w:hAnsiTheme="minorHAnsi" w:cstheme="minorHAnsi"/>
                <w:b/>
                <w:bCs/>
                <w:color w:val="000000"/>
                <w:kern w:val="2"/>
                <w:sz w:val="22"/>
                <w:szCs w:val="22"/>
                <w:lang w:eastAsia="en-IN"/>
              </w:rPr>
              <w:t>Trf</w:t>
            </w:r>
            <w:proofErr w:type="spellEnd"/>
            <w:r w:rsidRPr="003D5FB5">
              <w:rPr>
                <w:rFonts w:asciiTheme="minorHAnsi" w:hAnsiTheme="minorHAnsi" w:cstheme="minorHAnsi"/>
                <w:b/>
                <w:bCs/>
                <w:color w:val="000000"/>
                <w:kern w:val="2"/>
                <w:sz w:val="22"/>
                <w:szCs w:val="22"/>
                <w:lang w:eastAsia="en-IN"/>
              </w:rPr>
              <w:t>.</w:t>
            </w:r>
            <w:r w:rsidRPr="003D5FB5">
              <w:rPr>
                <w:rFonts w:asciiTheme="minorHAnsi" w:hAnsiTheme="minorHAnsi" w:cstheme="minorHAnsi"/>
                <w:b/>
                <w:bCs/>
                <w:color w:val="000000"/>
                <w:kern w:val="2"/>
                <w:sz w:val="22"/>
                <w:szCs w:val="22"/>
                <w:lang w:eastAsia="en-IN"/>
              </w:rPr>
              <w:br/>
              <w:t>(Load Loss)</w:t>
            </w:r>
            <w:r w:rsidRPr="003D5FB5">
              <w:rPr>
                <w:rFonts w:asciiTheme="minorHAnsi" w:hAnsiTheme="minorHAnsi" w:cstheme="minorHAnsi"/>
                <w:b/>
                <w:bCs/>
                <w:color w:val="000000"/>
                <w:kern w:val="2"/>
                <w:sz w:val="22"/>
                <w:szCs w:val="22"/>
                <w:lang w:eastAsia="en-IN"/>
              </w:rPr>
              <w:br/>
              <w:t>(MW)</w:t>
            </w:r>
          </w:p>
        </w:tc>
        <w:tc>
          <w:tcPr>
            <w:tcW w:w="1654" w:type="dxa"/>
            <w:tcBorders>
              <w:top w:val="single" w:sz="8" w:space="0" w:color="000000"/>
              <w:left w:val="single" w:sz="4" w:space="0" w:color="000000"/>
              <w:bottom w:val="single" w:sz="8" w:space="0" w:color="000000"/>
              <w:right w:val="single" w:sz="4" w:space="0" w:color="000000"/>
            </w:tcBorders>
            <w:shd w:val="clear" w:color="auto" w:fill="95B3D7" w:themeFill="accent1" w:themeFillTint="99"/>
            <w:vAlign w:val="center"/>
          </w:tcPr>
          <w:p w14:paraId="7BFED447" w14:textId="77777777" w:rsidR="002F0A87" w:rsidRPr="003D5FB5" w:rsidRDefault="002F0A87" w:rsidP="002F0A87">
            <w:pPr>
              <w:tabs>
                <w:tab w:val="left" w:pos="426"/>
              </w:tabs>
              <w:spacing w:line="360" w:lineRule="auto"/>
              <w:ind w:right="-23"/>
              <w:jc w:val="center"/>
              <w:textAlignment w:val="center"/>
              <w:rPr>
                <w:rFonts w:asciiTheme="minorHAnsi" w:hAnsiTheme="minorHAnsi" w:cstheme="minorHAnsi"/>
                <w:sz w:val="22"/>
                <w:szCs w:val="22"/>
                <w:lang w:eastAsia="en-IN"/>
              </w:rPr>
            </w:pPr>
            <w:r w:rsidRPr="003D5FB5">
              <w:rPr>
                <w:rFonts w:asciiTheme="minorHAnsi" w:hAnsiTheme="minorHAnsi" w:cstheme="minorHAnsi"/>
                <w:b/>
                <w:bCs/>
                <w:color w:val="000000"/>
                <w:kern w:val="2"/>
                <w:sz w:val="22"/>
                <w:szCs w:val="22"/>
                <w:lang w:eastAsia="en-IN"/>
              </w:rPr>
              <w:t>Distributed loss @ 7.68%</w:t>
            </w:r>
            <w:r w:rsidRPr="003D5FB5">
              <w:rPr>
                <w:rFonts w:asciiTheme="minorHAnsi" w:hAnsiTheme="minorHAnsi" w:cstheme="minorHAnsi"/>
                <w:b/>
                <w:bCs/>
                <w:color w:val="000000"/>
                <w:kern w:val="2"/>
                <w:sz w:val="22"/>
                <w:szCs w:val="22"/>
                <w:lang w:eastAsia="en-IN"/>
              </w:rPr>
              <w:br/>
              <w:t>(MW)</w:t>
            </w:r>
          </w:p>
        </w:tc>
        <w:tc>
          <w:tcPr>
            <w:tcW w:w="815" w:type="dxa"/>
            <w:tcBorders>
              <w:top w:val="single" w:sz="8" w:space="0" w:color="000000"/>
              <w:left w:val="single" w:sz="4" w:space="0" w:color="000000"/>
              <w:bottom w:val="single" w:sz="8" w:space="0" w:color="000000"/>
              <w:right w:val="single" w:sz="4" w:space="0" w:color="000000"/>
            </w:tcBorders>
            <w:shd w:val="clear" w:color="auto" w:fill="95B3D7" w:themeFill="accent1" w:themeFillTint="99"/>
            <w:vAlign w:val="center"/>
          </w:tcPr>
          <w:p w14:paraId="7A229928" w14:textId="77777777" w:rsidR="002F0A87" w:rsidRPr="003D5FB5" w:rsidRDefault="002F0A87" w:rsidP="002F0A87">
            <w:pPr>
              <w:tabs>
                <w:tab w:val="left" w:pos="426"/>
              </w:tabs>
              <w:spacing w:line="360" w:lineRule="auto"/>
              <w:ind w:right="-23"/>
              <w:jc w:val="center"/>
              <w:textAlignment w:val="center"/>
              <w:rPr>
                <w:rFonts w:asciiTheme="minorHAnsi" w:hAnsiTheme="minorHAnsi" w:cstheme="minorHAnsi"/>
                <w:sz w:val="22"/>
                <w:szCs w:val="22"/>
                <w:lang w:eastAsia="en-IN"/>
              </w:rPr>
            </w:pPr>
            <w:r w:rsidRPr="003D5FB5">
              <w:rPr>
                <w:rFonts w:asciiTheme="minorHAnsi" w:hAnsiTheme="minorHAnsi" w:cstheme="minorHAnsi"/>
                <w:b/>
                <w:bCs/>
                <w:color w:val="000000"/>
                <w:kern w:val="2"/>
                <w:sz w:val="22"/>
                <w:szCs w:val="22"/>
                <w:lang w:eastAsia="en-IN"/>
              </w:rPr>
              <w:t>Total Loss</w:t>
            </w:r>
            <w:r w:rsidRPr="003D5FB5">
              <w:rPr>
                <w:rFonts w:asciiTheme="minorHAnsi" w:hAnsiTheme="minorHAnsi" w:cstheme="minorHAnsi"/>
                <w:b/>
                <w:bCs/>
                <w:color w:val="000000"/>
                <w:kern w:val="2"/>
                <w:sz w:val="22"/>
                <w:szCs w:val="22"/>
                <w:lang w:eastAsia="en-IN"/>
              </w:rPr>
              <w:br/>
              <w:t>(MW)</w:t>
            </w:r>
          </w:p>
        </w:tc>
        <w:tc>
          <w:tcPr>
            <w:tcW w:w="1074" w:type="dxa"/>
            <w:tcBorders>
              <w:top w:val="single" w:sz="8" w:space="0" w:color="000000"/>
              <w:left w:val="single" w:sz="4" w:space="0" w:color="000000"/>
              <w:bottom w:val="single" w:sz="8" w:space="0" w:color="000000"/>
              <w:right w:val="single" w:sz="8" w:space="0" w:color="000000"/>
            </w:tcBorders>
            <w:shd w:val="clear" w:color="auto" w:fill="95B3D7" w:themeFill="accent1" w:themeFillTint="99"/>
            <w:vAlign w:val="center"/>
          </w:tcPr>
          <w:p w14:paraId="1C5A8CFE" w14:textId="77777777" w:rsidR="002F0A87" w:rsidRPr="003D5FB5" w:rsidRDefault="002F0A87" w:rsidP="002F0A87">
            <w:pPr>
              <w:tabs>
                <w:tab w:val="left" w:pos="426"/>
              </w:tabs>
              <w:spacing w:line="360" w:lineRule="auto"/>
              <w:ind w:right="-23"/>
              <w:jc w:val="center"/>
              <w:textAlignment w:val="center"/>
              <w:rPr>
                <w:rFonts w:asciiTheme="minorHAnsi" w:hAnsiTheme="minorHAnsi" w:cstheme="minorHAnsi"/>
                <w:sz w:val="22"/>
                <w:szCs w:val="22"/>
                <w:lang w:eastAsia="en-IN"/>
              </w:rPr>
            </w:pPr>
            <w:r w:rsidRPr="003D5FB5">
              <w:rPr>
                <w:rFonts w:asciiTheme="minorHAnsi" w:hAnsiTheme="minorHAnsi" w:cstheme="minorHAnsi"/>
                <w:b/>
                <w:bCs/>
                <w:color w:val="000000"/>
                <w:kern w:val="2"/>
                <w:sz w:val="22"/>
                <w:szCs w:val="22"/>
                <w:lang w:eastAsia="en-IN"/>
              </w:rPr>
              <w:t>Annual Tech loss in %</w:t>
            </w:r>
          </w:p>
        </w:tc>
      </w:tr>
      <w:tr w:rsidR="002F0A87" w:rsidRPr="003D5FB5" w14:paraId="65949079" w14:textId="77777777" w:rsidTr="004B69C1">
        <w:trPr>
          <w:trHeight w:val="77"/>
        </w:trPr>
        <w:tc>
          <w:tcPr>
            <w:tcW w:w="1077" w:type="dxa"/>
            <w:gridSpan w:val="2"/>
            <w:tcBorders>
              <w:top w:val="single" w:sz="8" w:space="0" w:color="000000"/>
              <w:left w:val="single" w:sz="8" w:space="0" w:color="000000"/>
              <w:bottom w:val="single" w:sz="4" w:space="0" w:color="000000"/>
              <w:right w:val="single" w:sz="4" w:space="0" w:color="000000"/>
            </w:tcBorders>
            <w:shd w:val="clear" w:color="auto" w:fill="auto"/>
            <w:vAlign w:val="bottom"/>
          </w:tcPr>
          <w:p w14:paraId="1889FD32" w14:textId="77777777" w:rsidR="002F0A87" w:rsidRPr="003D5FB5" w:rsidRDefault="002F0A87" w:rsidP="002F0A87">
            <w:pPr>
              <w:tabs>
                <w:tab w:val="left" w:pos="426"/>
              </w:tabs>
              <w:spacing w:line="360" w:lineRule="auto"/>
              <w:ind w:right="-23"/>
              <w:jc w:val="both"/>
              <w:textAlignment w:val="bottom"/>
              <w:rPr>
                <w:rFonts w:asciiTheme="minorHAnsi" w:hAnsiTheme="minorHAnsi" w:cstheme="minorHAnsi"/>
                <w:sz w:val="22"/>
                <w:szCs w:val="22"/>
                <w:lang w:eastAsia="en-IN"/>
              </w:rPr>
            </w:pPr>
            <w:proofErr w:type="spellStart"/>
            <w:r w:rsidRPr="003D5FB5">
              <w:rPr>
                <w:rFonts w:asciiTheme="minorHAnsi" w:hAnsiTheme="minorHAnsi" w:cstheme="minorHAnsi"/>
                <w:color w:val="000000"/>
                <w:kern w:val="2"/>
                <w:sz w:val="22"/>
                <w:szCs w:val="22"/>
                <w:lang w:eastAsia="en-IN"/>
              </w:rPr>
              <w:t>Balasore</w:t>
            </w:r>
            <w:proofErr w:type="spellEnd"/>
          </w:p>
        </w:tc>
        <w:tc>
          <w:tcPr>
            <w:tcW w:w="1052" w:type="dxa"/>
            <w:tcBorders>
              <w:top w:val="single" w:sz="8" w:space="0" w:color="000000"/>
              <w:left w:val="single" w:sz="4" w:space="0" w:color="000000"/>
              <w:bottom w:val="single" w:sz="4" w:space="0" w:color="000000"/>
              <w:right w:val="single" w:sz="4" w:space="0" w:color="000000"/>
            </w:tcBorders>
            <w:shd w:val="clear" w:color="auto" w:fill="auto"/>
            <w:vAlign w:val="center"/>
          </w:tcPr>
          <w:p w14:paraId="00C335EB" w14:textId="77777777" w:rsidR="002F0A87" w:rsidRPr="003D5FB5" w:rsidRDefault="002F0A87" w:rsidP="002F0A87">
            <w:pPr>
              <w:tabs>
                <w:tab w:val="left" w:pos="426"/>
              </w:tabs>
              <w:spacing w:line="360" w:lineRule="auto"/>
              <w:ind w:right="-23"/>
              <w:jc w:val="center"/>
              <w:textAlignment w:val="center"/>
              <w:rPr>
                <w:rFonts w:asciiTheme="minorHAnsi" w:hAnsiTheme="minorHAnsi" w:cstheme="minorHAnsi"/>
                <w:sz w:val="22"/>
                <w:szCs w:val="22"/>
                <w:lang w:eastAsia="en-IN"/>
              </w:rPr>
            </w:pPr>
            <w:r w:rsidRPr="003D5FB5">
              <w:rPr>
                <w:rFonts w:asciiTheme="minorHAnsi" w:hAnsiTheme="minorHAnsi" w:cstheme="minorHAnsi"/>
                <w:color w:val="000000"/>
                <w:kern w:val="2"/>
                <w:sz w:val="22"/>
                <w:szCs w:val="22"/>
                <w:lang w:eastAsia="en-IN"/>
              </w:rPr>
              <w:t>234.76</w:t>
            </w:r>
          </w:p>
        </w:tc>
        <w:tc>
          <w:tcPr>
            <w:tcW w:w="1273" w:type="dxa"/>
            <w:tcBorders>
              <w:top w:val="single" w:sz="8" w:space="0" w:color="000000"/>
              <w:left w:val="single" w:sz="4" w:space="0" w:color="000000"/>
              <w:bottom w:val="single" w:sz="4" w:space="0" w:color="000000"/>
              <w:right w:val="single" w:sz="4" w:space="0" w:color="000000"/>
            </w:tcBorders>
            <w:shd w:val="clear" w:color="auto" w:fill="auto"/>
            <w:vAlign w:val="center"/>
          </w:tcPr>
          <w:p w14:paraId="5BF8282D" w14:textId="77777777" w:rsidR="002F0A87" w:rsidRPr="003D5FB5" w:rsidRDefault="002F0A87" w:rsidP="002F0A87">
            <w:pPr>
              <w:tabs>
                <w:tab w:val="left" w:pos="426"/>
              </w:tabs>
              <w:spacing w:line="360" w:lineRule="auto"/>
              <w:ind w:right="-23"/>
              <w:jc w:val="center"/>
              <w:textAlignment w:val="center"/>
              <w:rPr>
                <w:rFonts w:asciiTheme="minorHAnsi" w:hAnsiTheme="minorHAnsi" w:cstheme="minorHAnsi"/>
                <w:sz w:val="22"/>
                <w:szCs w:val="22"/>
                <w:lang w:eastAsia="en-IN"/>
              </w:rPr>
            </w:pPr>
            <w:r w:rsidRPr="003D5FB5">
              <w:rPr>
                <w:rFonts w:asciiTheme="minorHAnsi" w:hAnsiTheme="minorHAnsi" w:cstheme="minorHAnsi"/>
                <w:color w:val="000000"/>
                <w:kern w:val="2"/>
                <w:sz w:val="22"/>
                <w:szCs w:val="22"/>
                <w:lang w:eastAsia="en-IN"/>
              </w:rPr>
              <w:t>12.53</w:t>
            </w:r>
          </w:p>
        </w:tc>
        <w:tc>
          <w:tcPr>
            <w:tcW w:w="1295" w:type="dxa"/>
            <w:tcBorders>
              <w:top w:val="single" w:sz="8" w:space="0" w:color="000000"/>
              <w:left w:val="single" w:sz="4" w:space="0" w:color="000000"/>
              <w:bottom w:val="single" w:sz="4" w:space="0" w:color="000000"/>
              <w:right w:val="single" w:sz="4" w:space="0" w:color="000000"/>
            </w:tcBorders>
            <w:shd w:val="clear" w:color="auto" w:fill="auto"/>
            <w:vAlign w:val="center"/>
          </w:tcPr>
          <w:p w14:paraId="5A2A1BD7" w14:textId="77777777" w:rsidR="002F0A87" w:rsidRPr="003D5FB5" w:rsidRDefault="002F0A87" w:rsidP="002F0A87">
            <w:pPr>
              <w:tabs>
                <w:tab w:val="left" w:pos="426"/>
              </w:tabs>
              <w:spacing w:line="360" w:lineRule="auto"/>
              <w:ind w:right="-23"/>
              <w:jc w:val="center"/>
              <w:textAlignment w:val="center"/>
              <w:rPr>
                <w:rFonts w:asciiTheme="minorHAnsi" w:hAnsiTheme="minorHAnsi" w:cstheme="minorHAnsi"/>
                <w:sz w:val="22"/>
                <w:szCs w:val="22"/>
                <w:lang w:eastAsia="en-IN"/>
              </w:rPr>
            </w:pPr>
            <w:r w:rsidRPr="003D5FB5">
              <w:rPr>
                <w:rFonts w:asciiTheme="minorHAnsi" w:hAnsiTheme="minorHAnsi" w:cstheme="minorHAnsi"/>
                <w:color w:val="000000"/>
                <w:kern w:val="2"/>
                <w:sz w:val="22"/>
                <w:szCs w:val="22"/>
                <w:lang w:eastAsia="en-IN"/>
              </w:rPr>
              <w:t>0.39</w:t>
            </w:r>
          </w:p>
        </w:tc>
        <w:tc>
          <w:tcPr>
            <w:tcW w:w="1444" w:type="dxa"/>
            <w:tcBorders>
              <w:top w:val="single" w:sz="8" w:space="0" w:color="000000"/>
              <w:left w:val="single" w:sz="4" w:space="0" w:color="000000"/>
              <w:bottom w:val="single" w:sz="4" w:space="0" w:color="000000"/>
              <w:right w:val="single" w:sz="4" w:space="0" w:color="000000"/>
            </w:tcBorders>
            <w:shd w:val="clear" w:color="auto" w:fill="auto"/>
            <w:vAlign w:val="center"/>
          </w:tcPr>
          <w:p w14:paraId="1C7AF614" w14:textId="77777777" w:rsidR="002F0A87" w:rsidRPr="003D5FB5" w:rsidRDefault="002F0A87" w:rsidP="002F0A87">
            <w:pPr>
              <w:tabs>
                <w:tab w:val="left" w:pos="426"/>
              </w:tabs>
              <w:spacing w:line="360" w:lineRule="auto"/>
              <w:ind w:right="-23"/>
              <w:jc w:val="center"/>
              <w:textAlignment w:val="center"/>
              <w:rPr>
                <w:rFonts w:asciiTheme="minorHAnsi" w:hAnsiTheme="minorHAnsi" w:cstheme="minorHAnsi"/>
                <w:sz w:val="22"/>
                <w:szCs w:val="22"/>
                <w:lang w:eastAsia="en-IN"/>
              </w:rPr>
            </w:pPr>
            <w:r w:rsidRPr="003D5FB5">
              <w:rPr>
                <w:rFonts w:asciiTheme="minorHAnsi" w:hAnsiTheme="minorHAnsi" w:cstheme="minorHAnsi"/>
                <w:color w:val="000000"/>
                <w:kern w:val="2"/>
                <w:sz w:val="22"/>
                <w:szCs w:val="22"/>
                <w:lang w:eastAsia="en-IN"/>
              </w:rPr>
              <w:t>0.72</w:t>
            </w:r>
          </w:p>
        </w:tc>
        <w:tc>
          <w:tcPr>
            <w:tcW w:w="1654" w:type="dxa"/>
            <w:tcBorders>
              <w:top w:val="single" w:sz="8" w:space="0" w:color="000000"/>
              <w:left w:val="single" w:sz="4" w:space="0" w:color="000000"/>
              <w:bottom w:val="single" w:sz="4" w:space="0" w:color="000000"/>
              <w:right w:val="single" w:sz="4" w:space="0" w:color="000000"/>
            </w:tcBorders>
            <w:shd w:val="clear" w:color="auto" w:fill="auto"/>
            <w:vAlign w:val="center"/>
          </w:tcPr>
          <w:p w14:paraId="343F111E" w14:textId="77777777" w:rsidR="002F0A87" w:rsidRPr="003D5FB5" w:rsidRDefault="002F0A87" w:rsidP="002F0A87">
            <w:pPr>
              <w:tabs>
                <w:tab w:val="left" w:pos="426"/>
              </w:tabs>
              <w:spacing w:line="360" w:lineRule="auto"/>
              <w:ind w:right="-23"/>
              <w:jc w:val="center"/>
              <w:textAlignment w:val="center"/>
              <w:rPr>
                <w:rFonts w:asciiTheme="minorHAnsi" w:hAnsiTheme="minorHAnsi" w:cstheme="minorHAnsi"/>
                <w:sz w:val="22"/>
                <w:szCs w:val="22"/>
                <w:lang w:eastAsia="en-IN"/>
              </w:rPr>
            </w:pPr>
            <w:r w:rsidRPr="003D5FB5">
              <w:rPr>
                <w:rFonts w:asciiTheme="minorHAnsi" w:hAnsiTheme="minorHAnsi" w:cstheme="minorHAnsi"/>
                <w:color w:val="000000"/>
                <w:kern w:val="2"/>
                <w:sz w:val="22"/>
                <w:szCs w:val="22"/>
                <w:lang w:eastAsia="en-IN"/>
              </w:rPr>
              <w:t>1.05</w:t>
            </w:r>
          </w:p>
        </w:tc>
        <w:tc>
          <w:tcPr>
            <w:tcW w:w="815" w:type="dxa"/>
            <w:tcBorders>
              <w:top w:val="single" w:sz="8" w:space="0" w:color="000000"/>
              <w:left w:val="single" w:sz="4" w:space="0" w:color="000000"/>
              <w:bottom w:val="single" w:sz="4" w:space="0" w:color="000000"/>
              <w:right w:val="single" w:sz="4" w:space="0" w:color="000000"/>
            </w:tcBorders>
            <w:shd w:val="clear" w:color="auto" w:fill="auto"/>
            <w:vAlign w:val="center"/>
          </w:tcPr>
          <w:p w14:paraId="72807A0C" w14:textId="77777777" w:rsidR="002F0A87" w:rsidRPr="003D5FB5" w:rsidRDefault="002F0A87" w:rsidP="002F0A87">
            <w:pPr>
              <w:tabs>
                <w:tab w:val="left" w:pos="426"/>
              </w:tabs>
              <w:spacing w:line="360" w:lineRule="auto"/>
              <w:ind w:right="-23"/>
              <w:jc w:val="center"/>
              <w:textAlignment w:val="center"/>
              <w:rPr>
                <w:rFonts w:asciiTheme="minorHAnsi" w:hAnsiTheme="minorHAnsi" w:cstheme="minorHAnsi"/>
                <w:sz w:val="22"/>
                <w:szCs w:val="22"/>
                <w:lang w:eastAsia="en-IN"/>
              </w:rPr>
            </w:pPr>
            <w:r w:rsidRPr="003D5FB5">
              <w:rPr>
                <w:rFonts w:asciiTheme="minorHAnsi" w:hAnsiTheme="minorHAnsi" w:cstheme="minorHAnsi"/>
                <w:color w:val="000000"/>
                <w:kern w:val="2"/>
                <w:sz w:val="22"/>
                <w:szCs w:val="22"/>
                <w:lang w:eastAsia="en-IN"/>
              </w:rPr>
              <w:t>14.69</w:t>
            </w:r>
          </w:p>
        </w:tc>
        <w:tc>
          <w:tcPr>
            <w:tcW w:w="1074" w:type="dxa"/>
            <w:tcBorders>
              <w:top w:val="single" w:sz="8" w:space="0" w:color="000000"/>
              <w:left w:val="single" w:sz="4" w:space="0" w:color="000000"/>
              <w:bottom w:val="single" w:sz="4" w:space="0" w:color="000000"/>
              <w:right w:val="single" w:sz="8" w:space="0" w:color="000000"/>
            </w:tcBorders>
            <w:shd w:val="clear" w:color="auto" w:fill="auto"/>
            <w:vAlign w:val="center"/>
          </w:tcPr>
          <w:p w14:paraId="45D70982" w14:textId="77777777" w:rsidR="002F0A87" w:rsidRPr="003D5FB5" w:rsidRDefault="002F0A87" w:rsidP="002F0A87">
            <w:pPr>
              <w:tabs>
                <w:tab w:val="left" w:pos="426"/>
              </w:tabs>
              <w:spacing w:line="360" w:lineRule="auto"/>
              <w:ind w:right="-23"/>
              <w:jc w:val="center"/>
              <w:textAlignment w:val="center"/>
              <w:rPr>
                <w:rFonts w:asciiTheme="minorHAnsi" w:hAnsiTheme="minorHAnsi" w:cstheme="minorHAnsi"/>
                <w:sz w:val="22"/>
                <w:szCs w:val="22"/>
                <w:lang w:eastAsia="en-IN"/>
              </w:rPr>
            </w:pPr>
            <w:r w:rsidRPr="003D5FB5">
              <w:rPr>
                <w:rFonts w:asciiTheme="minorHAnsi" w:hAnsiTheme="minorHAnsi" w:cstheme="minorHAnsi"/>
                <w:color w:val="000000"/>
                <w:kern w:val="2"/>
                <w:sz w:val="22"/>
                <w:szCs w:val="22"/>
                <w:lang w:eastAsia="en-IN"/>
              </w:rPr>
              <w:t>3.59</w:t>
            </w:r>
          </w:p>
        </w:tc>
      </w:tr>
      <w:tr w:rsidR="002F0A87" w:rsidRPr="003D5FB5" w14:paraId="10550A88" w14:textId="77777777" w:rsidTr="004B69C1">
        <w:trPr>
          <w:trHeight w:val="77"/>
        </w:trPr>
        <w:tc>
          <w:tcPr>
            <w:tcW w:w="1077" w:type="dxa"/>
            <w:gridSpan w:val="2"/>
            <w:tcBorders>
              <w:top w:val="single" w:sz="4" w:space="0" w:color="000000"/>
              <w:left w:val="single" w:sz="8" w:space="0" w:color="000000"/>
              <w:bottom w:val="single" w:sz="4" w:space="0" w:color="000000"/>
              <w:right w:val="single" w:sz="4" w:space="0" w:color="000000"/>
            </w:tcBorders>
            <w:shd w:val="clear" w:color="auto" w:fill="auto"/>
            <w:vAlign w:val="bottom"/>
          </w:tcPr>
          <w:p w14:paraId="0F776068" w14:textId="77777777" w:rsidR="002F0A87" w:rsidRPr="003D5FB5" w:rsidRDefault="002F0A87" w:rsidP="002F0A87">
            <w:pPr>
              <w:tabs>
                <w:tab w:val="left" w:pos="426"/>
              </w:tabs>
              <w:spacing w:line="360" w:lineRule="auto"/>
              <w:ind w:right="-23"/>
              <w:jc w:val="both"/>
              <w:textAlignment w:val="bottom"/>
              <w:rPr>
                <w:rFonts w:asciiTheme="minorHAnsi" w:hAnsiTheme="minorHAnsi" w:cstheme="minorHAnsi"/>
                <w:sz w:val="22"/>
                <w:szCs w:val="22"/>
                <w:lang w:eastAsia="en-IN"/>
              </w:rPr>
            </w:pPr>
            <w:proofErr w:type="spellStart"/>
            <w:r w:rsidRPr="003D5FB5">
              <w:rPr>
                <w:rFonts w:asciiTheme="minorHAnsi" w:hAnsiTheme="minorHAnsi" w:cstheme="minorHAnsi"/>
                <w:color w:val="000000"/>
                <w:kern w:val="2"/>
                <w:sz w:val="22"/>
                <w:szCs w:val="22"/>
                <w:lang w:eastAsia="en-IN"/>
              </w:rPr>
              <w:t>Baripada</w:t>
            </w:r>
            <w:proofErr w:type="spellEnd"/>
          </w:p>
        </w:tc>
        <w:tc>
          <w:tcPr>
            <w:tcW w:w="105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BA1F37" w14:textId="77777777" w:rsidR="002F0A87" w:rsidRPr="003D5FB5" w:rsidRDefault="002F0A87" w:rsidP="002F0A87">
            <w:pPr>
              <w:tabs>
                <w:tab w:val="left" w:pos="426"/>
              </w:tabs>
              <w:spacing w:line="360" w:lineRule="auto"/>
              <w:ind w:right="-23"/>
              <w:jc w:val="center"/>
              <w:textAlignment w:val="center"/>
              <w:rPr>
                <w:rFonts w:asciiTheme="minorHAnsi" w:hAnsiTheme="minorHAnsi" w:cstheme="minorHAnsi"/>
                <w:sz w:val="22"/>
                <w:szCs w:val="22"/>
                <w:lang w:eastAsia="en-IN"/>
              </w:rPr>
            </w:pPr>
            <w:r w:rsidRPr="003D5FB5">
              <w:rPr>
                <w:rFonts w:asciiTheme="minorHAnsi" w:hAnsiTheme="minorHAnsi" w:cstheme="minorHAnsi"/>
                <w:color w:val="000000"/>
                <w:kern w:val="2"/>
                <w:sz w:val="22"/>
                <w:szCs w:val="22"/>
                <w:lang w:eastAsia="en-IN"/>
              </w:rPr>
              <w:t>136.52</w:t>
            </w:r>
          </w:p>
        </w:tc>
        <w:tc>
          <w:tcPr>
            <w:tcW w:w="127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C4C6BFB" w14:textId="77777777" w:rsidR="002F0A87" w:rsidRPr="003D5FB5" w:rsidRDefault="002F0A87" w:rsidP="002F0A87">
            <w:pPr>
              <w:tabs>
                <w:tab w:val="left" w:pos="426"/>
              </w:tabs>
              <w:spacing w:line="360" w:lineRule="auto"/>
              <w:ind w:right="-23"/>
              <w:jc w:val="center"/>
              <w:textAlignment w:val="center"/>
              <w:rPr>
                <w:rFonts w:asciiTheme="minorHAnsi" w:hAnsiTheme="minorHAnsi" w:cstheme="minorHAnsi"/>
                <w:sz w:val="22"/>
                <w:szCs w:val="22"/>
                <w:lang w:eastAsia="en-IN"/>
              </w:rPr>
            </w:pPr>
            <w:r w:rsidRPr="003D5FB5">
              <w:rPr>
                <w:rFonts w:asciiTheme="minorHAnsi" w:hAnsiTheme="minorHAnsi" w:cstheme="minorHAnsi"/>
                <w:color w:val="000000"/>
                <w:kern w:val="2"/>
                <w:sz w:val="22"/>
                <w:szCs w:val="22"/>
                <w:lang w:eastAsia="en-IN"/>
              </w:rPr>
              <w:t>5.56</w:t>
            </w:r>
          </w:p>
        </w:tc>
        <w:tc>
          <w:tcPr>
            <w:tcW w:w="129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AD73E58" w14:textId="77777777" w:rsidR="002F0A87" w:rsidRPr="003D5FB5" w:rsidRDefault="002F0A87" w:rsidP="002F0A87">
            <w:pPr>
              <w:tabs>
                <w:tab w:val="left" w:pos="426"/>
              </w:tabs>
              <w:spacing w:line="360" w:lineRule="auto"/>
              <w:ind w:right="-23"/>
              <w:jc w:val="center"/>
              <w:textAlignment w:val="center"/>
              <w:rPr>
                <w:rFonts w:asciiTheme="minorHAnsi" w:hAnsiTheme="minorHAnsi" w:cstheme="minorHAnsi"/>
                <w:sz w:val="22"/>
                <w:szCs w:val="22"/>
                <w:lang w:eastAsia="en-IN"/>
              </w:rPr>
            </w:pPr>
            <w:r w:rsidRPr="003D5FB5">
              <w:rPr>
                <w:rFonts w:asciiTheme="minorHAnsi" w:hAnsiTheme="minorHAnsi" w:cstheme="minorHAnsi"/>
                <w:color w:val="000000"/>
                <w:kern w:val="2"/>
                <w:sz w:val="22"/>
                <w:szCs w:val="22"/>
                <w:lang w:eastAsia="en-IN"/>
              </w:rPr>
              <w:t>0.75</w:t>
            </w:r>
          </w:p>
        </w:tc>
        <w:tc>
          <w:tcPr>
            <w:tcW w:w="144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E7F9EB8" w14:textId="77777777" w:rsidR="002F0A87" w:rsidRPr="003D5FB5" w:rsidRDefault="002F0A87" w:rsidP="002F0A87">
            <w:pPr>
              <w:tabs>
                <w:tab w:val="left" w:pos="426"/>
              </w:tabs>
              <w:spacing w:line="360" w:lineRule="auto"/>
              <w:ind w:right="-23"/>
              <w:jc w:val="center"/>
              <w:textAlignment w:val="center"/>
              <w:rPr>
                <w:rFonts w:asciiTheme="minorHAnsi" w:hAnsiTheme="minorHAnsi" w:cstheme="minorHAnsi"/>
                <w:sz w:val="22"/>
                <w:szCs w:val="22"/>
                <w:lang w:eastAsia="en-IN"/>
              </w:rPr>
            </w:pPr>
            <w:r w:rsidRPr="003D5FB5">
              <w:rPr>
                <w:rFonts w:asciiTheme="minorHAnsi" w:hAnsiTheme="minorHAnsi" w:cstheme="minorHAnsi"/>
                <w:color w:val="000000"/>
                <w:kern w:val="2"/>
                <w:sz w:val="22"/>
                <w:szCs w:val="22"/>
                <w:lang w:eastAsia="en-IN"/>
              </w:rPr>
              <w:t>0.98</w:t>
            </w:r>
          </w:p>
        </w:tc>
        <w:tc>
          <w:tcPr>
            <w:tcW w:w="165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0F8D049" w14:textId="77777777" w:rsidR="002F0A87" w:rsidRPr="003D5FB5" w:rsidRDefault="002F0A87" w:rsidP="002F0A87">
            <w:pPr>
              <w:tabs>
                <w:tab w:val="left" w:pos="426"/>
              </w:tabs>
              <w:spacing w:line="360" w:lineRule="auto"/>
              <w:ind w:right="-23"/>
              <w:jc w:val="center"/>
              <w:textAlignment w:val="center"/>
              <w:rPr>
                <w:rFonts w:asciiTheme="minorHAnsi" w:hAnsiTheme="minorHAnsi" w:cstheme="minorHAnsi"/>
                <w:sz w:val="22"/>
                <w:szCs w:val="22"/>
                <w:lang w:eastAsia="en-IN"/>
              </w:rPr>
            </w:pPr>
            <w:r w:rsidRPr="003D5FB5">
              <w:rPr>
                <w:rFonts w:asciiTheme="minorHAnsi" w:hAnsiTheme="minorHAnsi" w:cstheme="minorHAnsi"/>
                <w:color w:val="000000"/>
                <w:kern w:val="2"/>
                <w:sz w:val="22"/>
                <w:szCs w:val="22"/>
                <w:lang w:eastAsia="en-IN"/>
              </w:rPr>
              <w:t>0.56</w:t>
            </w:r>
          </w:p>
        </w:tc>
        <w:tc>
          <w:tcPr>
            <w:tcW w:w="8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45B5962" w14:textId="77777777" w:rsidR="002F0A87" w:rsidRPr="003D5FB5" w:rsidRDefault="002F0A87" w:rsidP="002F0A87">
            <w:pPr>
              <w:tabs>
                <w:tab w:val="left" w:pos="426"/>
              </w:tabs>
              <w:spacing w:line="360" w:lineRule="auto"/>
              <w:ind w:right="-23"/>
              <w:jc w:val="center"/>
              <w:textAlignment w:val="center"/>
              <w:rPr>
                <w:rFonts w:asciiTheme="minorHAnsi" w:hAnsiTheme="minorHAnsi" w:cstheme="minorHAnsi"/>
                <w:sz w:val="22"/>
                <w:szCs w:val="22"/>
                <w:lang w:eastAsia="en-IN"/>
              </w:rPr>
            </w:pPr>
            <w:r w:rsidRPr="003D5FB5">
              <w:rPr>
                <w:rFonts w:asciiTheme="minorHAnsi" w:hAnsiTheme="minorHAnsi" w:cstheme="minorHAnsi"/>
                <w:color w:val="000000"/>
                <w:kern w:val="2"/>
                <w:sz w:val="22"/>
                <w:szCs w:val="22"/>
                <w:lang w:eastAsia="en-IN"/>
              </w:rPr>
              <w:t>7.85</w:t>
            </w:r>
          </w:p>
        </w:tc>
        <w:tc>
          <w:tcPr>
            <w:tcW w:w="1074" w:type="dxa"/>
            <w:tcBorders>
              <w:top w:val="single" w:sz="4" w:space="0" w:color="000000"/>
              <w:left w:val="single" w:sz="4" w:space="0" w:color="000000"/>
              <w:bottom w:val="single" w:sz="4" w:space="0" w:color="000000"/>
              <w:right w:val="single" w:sz="8" w:space="0" w:color="000000"/>
            </w:tcBorders>
            <w:shd w:val="clear" w:color="auto" w:fill="auto"/>
            <w:vAlign w:val="center"/>
          </w:tcPr>
          <w:p w14:paraId="7F80EEC5" w14:textId="77777777" w:rsidR="002F0A87" w:rsidRPr="003D5FB5" w:rsidRDefault="002F0A87" w:rsidP="002F0A87">
            <w:pPr>
              <w:tabs>
                <w:tab w:val="left" w:pos="426"/>
              </w:tabs>
              <w:spacing w:line="360" w:lineRule="auto"/>
              <w:ind w:right="-23"/>
              <w:jc w:val="center"/>
              <w:textAlignment w:val="center"/>
              <w:rPr>
                <w:rFonts w:asciiTheme="minorHAnsi" w:hAnsiTheme="minorHAnsi" w:cstheme="minorHAnsi"/>
                <w:sz w:val="22"/>
                <w:szCs w:val="22"/>
                <w:lang w:eastAsia="en-IN"/>
              </w:rPr>
            </w:pPr>
            <w:r w:rsidRPr="003D5FB5">
              <w:rPr>
                <w:rFonts w:asciiTheme="minorHAnsi" w:hAnsiTheme="minorHAnsi" w:cstheme="minorHAnsi"/>
                <w:color w:val="000000"/>
                <w:kern w:val="2"/>
                <w:sz w:val="22"/>
                <w:szCs w:val="22"/>
                <w:lang w:eastAsia="en-IN"/>
              </w:rPr>
              <w:t>4.31</w:t>
            </w:r>
          </w:p>
        </w:tc>
      </w:tr>
      <w:tr w:rsidR="002F0A87" w:rsidRPr="003D5FB5" w14:paraId="7FDBD86D" w14:textId="77777777" w:rsidTr="004B69C1">
        <w:trPr>
          <w:trHeight w:val="77"/>
        </w:trPr>
        <w:tc>
          <w:tcPr>
            <w:tcW w:w="1077" w:type="dxa"/>
            <w:gridSpan w:val="2"/>
            <w:tcBorders>
              <w:top w:val="single" w:sz="4" w:space="0" w:color="000000"/>
              <w:left w:val="single" w:sz="8" w:space="0" w:color="000000"/>
              <w:bottom w:val="single" w:sz="4" w:space="0" w:color="000000"/>
              <w:right w:val="single" w:sz="4" w:space="0" w:color="000000"/>
            </w:tcBorders>
            <w:shd w:val="clear" w:color="auto" w:fill="auto"/>
            <w:vAlign w:val="bottom"/>
          </w:tcPr>
          <w:p w14:paraId="2981CCC3" w14:textId="77777777" w:rsidR="002F0A87" w:rsidRPr="003D5FB5" w:rsidRDefault="002F0A87" w:rsidP="002F0A87">
            <w:pPr>
              <w:tabs>
                <w:tab w:val="left" w:pos="426"/>
              </w:tabs>
              <w:spacing w:line="360" w:lineRule="auto"/>
              <w:ind w:right="-23"/>
              <w:jc w:val="both"/>
              <w:textAlignment w:val="bottom"/>
              <w:rPr>
                <w:rFonts w:asciiTheme="minorHAnsi" w:hAnsiTheme="minorHAnsi" w:cstheme="minorHAnsi"/>
                <w:sz w:val="22"/>
                <w:szCs w:val="22"/>
                <w:lang w:eastAsia="en-IN"/>
              </w:rPr>
            </w:pPr>
            <w:proofErr w:type="spellStart"/>
            <w:r w:rsidRPr="003D5FB5">
              <w:rPr>
                <w:rFonts w:asciiTheme="minorHAnsi" w:hAnsiTheme="minorHAnsi" w:cstheme="minorHAnsi"/>
                <w:color w:val="000000"/>
                <w:kern w:val="2"/>
                <w:sz w:val="22"/>
                <w:szCs w:val="22"/>
                <w:lang w:eastAsia="en-IN"/>
              </w:rPr>
              <w:t>Bhadrak</w:t>
            </w:r>
            <w:proofErr w:type="spellEnd"/>
          </w:p>
        </w:tc>
        <w:tc>
          <w:tcPr>
            <w:tcW w:w="105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3992802" w14:textId="77777777" w:rsidR="002F0A87" w:rsidRPr="003D5FB5" w:rsidRDefault="002F0A87" w:rsidP="002F0A87">
            <w:pPr>
              <w:tabs>
                <w:tab w:val="left" w:pos="426"/>
              </w:tabs>
              <w:spacing w:line="360" w:lineRule="auto"/>
              <w:ind w:right="-23"/>
              <w:jc w:val="center"/>
              <w:textAlignment w:val="center"/>
              <w:rPr>
                <w:rFonts w:asciiTheme="minorHAnsi" w:hAnsiTheme="minorHAnsi" w:cstheme="minorHAnsi"/>
                <w:sz w:val="22"/>
                <w:szCs w:val="22"/>
                <w:lang w:eastAsia="en-IN"/>
              </w:rPr>
            </w:pPr>
            <w:r w:rsidRPr="003D5FB5">
              <w:rPr>
                <w:rFonts w:asciiTheme="minorHAnsi" w:hAnsiTheme="minorHAnsi" w:cstheme="minorHAnsi"/>
                <w:color w:val="000000"/>
                <w:kern w:val="2"/>
                <w:sz w:val="22"/>
                <w:szCs w:val="22"/>
                <w:lang w:eastAsia="en-IN"/>
              </w:rPr>
              <w:t>113.69</w:t>
            </w:r>
          </w:p>
        </w:tc>
        <w:tc>
          <w:tcPr>
            <w:tcW w:w="127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5A0C664" w14:textId="77777777" w:rsidR="002F0A87" w:rsidRPr="003D5FB5" w:rsidRDefault="002F0A87" w:rsidP="002F0A87">
            <w:pPr>
              <w:tabs>
                <w:tab w:val="left" w:pos="426"/>
              </w:tabs>
              <w:spacing w:line="360" w:lineRule="auto"/>
              <w:ind w:right="-23"/>
              <w:jc w:val="center"/>
              <w:textAlignment w:val="center"/>
              <w:rPr>
                <w:rFonts w:asciiTheme="minorHAnsi" w:hAnsiTheme="minorHAnsi" w:cstheme="minorHAnsi"/>
                <w:sz w:val="22"/>
                <w:szCs w:val="22"/>
                <w:lang w:eastAsia="en-IN"/>
              </w:rPr>
            </w:pPr>
            <w:r w:rsidRPr="003D5FB5">
              <w:rPr>
                <w:rFonts w:asciiTheme="minorHAnsi" w:hAnsiTheme="minorHAnsi" w:cstheme="minorHAnsi"/>
                <w:color w:val="000000"/>
                <w:kern w:val="2"/>
                <w:sz w:val="22"/>
                <w:szCs w:val="22"/>
                <w:lang w:eastAsia="en-IN"/>
              </w:rPr>
              <w:t>6.96</w:t>
            </w:r>
          </w:p>
        </w:tc>
        <w:tc>
          <w:tcPr>
            <w:tcW w:w="129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3E7D94D" w14:textId="77777777" w:rsidR="002F0A87" w:rsidRPr="003D5FB5" w:rsidRDefault="002F0A87" w:rsidP="002F0A87">
            <w:pPr>
              <w:tabs>
                <w:tab w:val="left" w:pos="426"/>
              </w:tabs>
              <w:spacing w:line="360" w:lineRule="auto"/>
              <w:ind w:right="-23"/>
              <w:jc w:val="center"/>
              <w:textAlignment w:val="center"/>
              <w:rPr>
                <w:rFonts w:asciiTheme="minorHAnsi" w:hAnsiTheme="minorHAnsi" w:cstheme="minorHAnsi"/>
                <w:sz w:val="22"/>
                <w:szCs w:val="22"/>
                <w:lang w:eastAsia="en-IN"/>
              </w:rPr>
            </w:pPr>
            <w:r w:rsidRPr="003D5FB5">
              <w:rPr>
                <w:rFonts w:asciiTheme="minorHAnsi" w:hAnsiTheme="minorHAnsi" w:cstheme="minorHAnsi"/>
                <w:color w:val="000000"/>
                <w:kern w:val="2"/>
                <w:sz w:val="22"/>
                <w:szCs w:val="22"/>
                <w:lang w:eastAsia="en-IN"/>
              </w:rPr>
              <w:t>0.29</w:t>
            </w:r>
          </w:p>
        </w:tc>
        <w:tc>
          <w:tcPr>
            <w:tcW w:w="144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08812D3" w14:textId="77777777" w:rsidR="002F0A87" w:rsidRPr="003D5FB5" w:rsidRDefault="002F0A87" w:rsidP="002F0A87">
            <w:pPr>
              <w:tabs>
                <w:tab w:val="left" w:pos="426"/>
              </w:tabs>
              <w:spacing w:line="360" w:lineRule="auto"/>
              <w:ind w:right="-23"/>
              <w:jc w:val="center"/>
              <w:textAlignment w:val="center"/>
              <w:rPr>
                <w:rFonts w:asciiTheme="minorHAnsi" w:hAnsiTheme="minorHAnsi" w:cstheme="minorHAnsi"/>
                <w:sz w:val="22"/>
                <w:szCs w:val="22"/>
                <w:lang w:eastAsia="en-IN"/>
              </w:rPr>
            </w:pPr>
            <w:r w:rsidRPr="003D5FB5">
              <w:rPr>
                <w:rFonts w:asciiTheme="minorHAnsi" w:hAnsiTheme="minorHAnsi" w:cstheme="minorHAnsi"/>
                <w:color w:val="000000"/>
                <w:kern w:val="2"/>
                <w:sz w:val="22"/>
                <w:szCs w:val="22"/>
                <w:lang w:eastAsia="en-IN"/>
              </w:rPr>
              <w:t>0.48</w:t>
            </w:r>
          </w:p>
        </w:tc>
        <w:tc>
          <w:tcPr>
            <w:tcW w:w="165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F46F6CE" w14:textId="77777777" w:rsidR="002F0A87" w:rsidRPr="003D5FB5" w:rsidRDefault="002F0A87" w:rsidP="002F0A87">
            <w:pPr>
              <w:tabs>
                <w:tab w:val="left" w:pos="426"/>
              </w:tabs>
              <w:spacing w:line="360" w:lineRule="auto"/>
              <w:ind w:right="-23"/>
              <w:jc w:val="center"/>
              <w:textAlignment w:val="center"/>
              <w:rPr>
                <w:rFonts w:asciiTheme="minorHAnsi" w:hAnsiTheme="minorHAnsi" w:cstheme="minorHAnsi"/>
                <w:sz w:val="22"/>
                <w:szCs w:val="22"/>
                <w:lang w:eastAsia="en-IN"/>
              </w:rPr>
            </w:pPr>
            <w:r w:rsidRPr="003D5FB5">
              <w:rPr>
                <w:rFonts w:asciiTheme="minorHAnsi" w:hAnsiTheme="minorHAnsi" w:cstheme="minorHAnsi"/>
                <w:color w:val="000000"/>
                <w:kern w:val="2"/>
                <w:sz w:val="22"/>
                <w:szCs w:val="22"/>
                <w:lang w:eastAsia="en-IN"/>
              </w:rPr>
              <w:t>0.59</w:t>
            </w:r>
          </w:p>
        </w:tc>
        <w:tc>
          <w:tcPr>
            <w:tcW w:w="8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77019F" w14:textId="77777777" w:rsidR="002F0A87" w:rsidRPr="003D5FB5" w:rsidRDefault="002F0A87" w:rsidP="002F0A87">
            <w:pPr>
              <w:tabs>
                <w:tab w:val="left" w:pos="426"/>
              </w:tabs>
              <w:spacing w:line="360" w:lineRule="auto"/>
              <w:ind w:right="-23"/>
              <w:jc w:val="center"/>
              <w:textAlignment w:val="center"/>
              <w:rPr>
                <w:rFonts w:asciiTheme="minorHAnsi" w:hAnsiTheme="minorHAnsi" w:cstheme="minorHAnsi"/>
                <w:sz w:val="22"/>
                <w:szCs w:val="22"/>
                <w:lang w:eastAsia="en-IN"/>
              </w:rPr>
            </w:pPr>
            <w:r w:rsidRPr="003D5FB5">
              <w:rPr>
                <w:rFonts w:asciiTheme="minorHAnsi" w:hAnsiTheme="minorHAnsi" w:cstheme="minorHAnsi"/>
                <w:color w:val="000000"/>
                <w:kern w:val="2"/>
                <w:sz w:val="22"/>
                <w:szCs w:val="22"/>
                <w:lang w:eastAsia="en-IN"/>
              </w:rPr>
              <w:t>8.32</w:t>
            </w:r>
          </w:p>
        </w:tc>
        <w:tc>
          <w:tcPr>
            <w:tcW w:w="1074" w:type="dxa"/>
            <w:tcBorders>
              <w:top w:val="single" w:sz="4" w:space="0" w:color="000000"/>
              <w:left w:val="single" w:sz="4" w:space="0" w:color="000000"/>
              <w:bottom w:val="single" w:sz="4" w:space="0" w:color="000000"/>
              <w:right w:val="single" w:sz="8" w:space="0" w:color="000000"/>
            </w:tcBorders>
            <w:shd w:val="clear" w:color="auto" w:fill="auto"/>
            <w:vAlign w:val="center"/>
          </w:tcPr>
          <w:p w14:paraId="108600DD" w14:textId="77777777" w:rsidR="002F0A87" w:rsidRPr="003D5FB5" w:rsidRDefault="002F0A87" w:rsidP="002F0A87">
            <w:pPr>
              <w:tabs>
                <w:tab w:val="left" w:pos="426"/>
              </w:tabs>
              <w:spacing w:line="360" w:lineRule="auto"/>
              <w:ind w:right="-23"/>
              <w:jc w:val="center"/>
              <w:textAlignment w:val="center"/>
              <w:rPr>
                <w:rFonts w:asciiTheme="minorHAnsi" w:hAnsiTheme="minorHAnsi" w:cstheme="minorHAnsi"/>
                <w:sz w:val="22"/>
                <w:szCs w:val="22"/>
                <w:lang w:eastAsia="en-IN"/>
              </w:rPr>
            </w:pPr>
            <w:r w:rsidRPr="003D5FB5">
              <w:rPr>
                <w:rFonts w:asciiTheme="minorHAnsi" w:hAnsiTheme="minorHAnsi" w:cstheme="minorHAnsi"/>
                <w:color w:val="000000"/>
                <w:kern w:val="2"/>
                <w:sz w:val="22"/>
                <w:szCs w:val="22"/>
                <w:lang w:eastAsia="en-IN"/>
              </w:rPr>
              <w:t>4.24</w:t>
            </w:r>
          </w:p>
        </w:tc>
      </w:tr>
      <w:tr w:rsidR="002F0A87" w:rsidRPr="003D5FB5" w14:paraId="126395E4" w14:textId="77777777" w:rsidTr="004B69C1">
        <w:trPr>
          <w:trHeight w:val="77"/>
        </w:trPr>
        <w:tc>
          <w:tcPr>
            <w:tcW w:w="1077" w:type="dxa"/>
            <w:gridSpan w:val="2"/>
            <w:tcBorders>
              <w:top w:val="single" w:sz="4" w:space="0" w:color="000000"/>
              <w:left w:val="single" w:sz="8" w:space="0" w:color="000000"/>
              <w:bottom w:val="single" w:sz="4" w:space="0" w:color="000000"/>
              <w:right w:val="single" w:sz="4" w:space="0" w:color="000000"/>
            </w:tcBorders>
            <w:shd w:val="clear" w:color="auto" w:fill="auto"/>
            <w:vAlign w:val="bottom"/>
          </w:tcPr>
          <w:p w14:paraId="300ACC01" w14:textId="77777777" w:rsidR="002F0A87" w:rsidRPr="003D5FB5" w:rsidRDefault="002F0A87" w:rsidP="002F0A87">
            <w:pPr>
              <w:tabs>
                <w:tab w:val="left" w:pos="426"/>
              </w:tabs>
              <w:spacing w:line="360" w:lineRule="auto"/>
              <w:ind w:right="-23"/>
              <w:jc w:val="both"/>
              <w:textAlignment w:val="bottom"/>
              <w:rPr>
                <w:rFonts w:asciiTheme="minorHAnsi" w:hAnsiTheme="minorHAnsi" w:cstheme="minorHAnsi"/>
                <w:sz w:val="22"/>
                <w:szCs w:val="22"/>
                <w:lang w:eastAsia="en-IN"/>
              </w:rPr>
            </w:pPr>
            <w:proofErr w:type="spellStart"/>
            <w:r w:rsidRPr="003D5FB5">
              <w:rPr>
                <w:rFonts w:asciiTheme="minorHAnsi" w:hAnsiTheme="minorHAnsi" w:cstheme="minorHAnsi"/>
                <w:color w:val="000000"/>
                <w:kern w:val="2"/>
                <w:sz w:val="22"/>
                <w:szCs w:val="22"/>
                <w:lang w:eastAsia="en-IN"/>
              </w:rPr>
              <w:t>Jajpur</w:t>
            </w:r>
            <w:proofErr w:type="spellEnd"/>
          </w:p>
        </w:tc>
        <w:tc>
          <w:tcPr>
            <w:tcW w:w="105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9410653" w14:textId="77777777" w:rsidR="002F0A87" w:rsidRPr="003D5FB5" w:rsidRDefault="002F0A87" w:rsidP="002F0A87">
            <w:pPr>
              <w:tabs>
                <w:tab w:val="left" w:pos="426"/>
              </w:tabs>
              <w:spacing w:line="360" w:lineRule="auto"/>
              <w:ind w:right="-23"/>
              <w:jc w:val="center"/>
              <w:textAlignment w:val="center"/>
              <w:rPr>
                <w:rFonts w:asciiTheme="minorHAnsi" w:hAnsiTheme="minorHAnsi" w:cstheme="minorHAnsi"/>
                <w:sz w:val="22"/>
                <w:szCs w:val="22"/>
                <w:lang w:eastAsia="en-IN"/>
              </w:rPr>
            </w:pPr>
            <w:r w:rsidRPr="003D5FB5">
              <w:rPr>
                <w:rFonts w:asciiTheme="minorHAnsi" w:hAnsiTheme="minorHAnsi" w:cstheme="minorHAnsi"/>
                <w:color w:val="000000"/>
                <w:kern w:val="2"/>
                <w:sz w:val="22"/>
                <w:szCs w:val="22"/>
                <w:lang w:eastAsia="en-IN"/>
              </w:rPr>
              <w:t>148.76</w:t>
            </w:r>
          </w:p>
        </w:tc>
        <w:tc>
          <w:tcPr>
            <w:tcW w:w="127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9C6E53" w14:textId="77777777" w:rsidR="002F0A87" w:rsidRPr="003D5FB5" w:rsidRDefault="002F0A87" w:rsidP="002F0A87">
            <w:pPr>
              <w:tabs>
                <w:tab w:val="left" w:pos="426"/>
              </w:tabs>
              <w:spacing w:line="360" w:lineRule="auto"/>
              <w:ind w:right="-23"/>
              <w:jc w:val="center"/>
              <w:textAlignment w:val="center"/>
              <w:rPr>
                <w:rFonts w:asciiTheme="minorHAnsi" w:hAnsiTheme="minorHAnsi" w:cstheme="minorHAnsi"/>
                <w:sz w:val="22"/>
                <w:szCs w:val="22"/>
                <w:lang w:eastAsia="en-IN"/>
              </w:rPr>
            </w:pPr>
            <w:r w:rsidRPr="003D5FB5">
              <w:rPr>
                <w:rFonts w:asciiTheme="minorHAnsi" w:hAnsiTheme="minorHAnsi" w:cstheme="minorHAnsi"/>
                <w:color w:val="000000"/>
                <w:kern w:val="2"/>
                <w:sz w:val="22"/>
                <w:szCs w:val="22"/>
                <w:lang w:eastAsia="en-IN"/>
              </w:rPr>
              <w:t>8.11</w:t>
            </w:r>
          </w:p>
        </w:tc>
        <w:tc>
          <w:tcPr>
            <w:tcW w:w="129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2414DA2" w14:textId="77777777" w:rsidR="002F0A87" w:rsidRPr="003D5FB5" w:rsidRDefault="002F0A87" w:rsidP="002F0A87">
            <w:pPr>
              <w:tabs>
                <w:tab w:val="left" w:pos="426"/>
              </w:tabs>
              <w:spacing w:line="360" w:lineRule="auto"/>
              <w:ind w:right="-23"/>
              <w:jc w:val="center"/>
              <w:textAlignment w:val="center"/>
              <w:rPr>
                <w:rFonts w:asciiTheme="minorHAnsi" w:hAnsiTheme="minorHAnsi" w:cstheme="minorHAnsi"/>
                <w:sz w:val="22"/>
                <w:szCs w:val="22"/>
                <w:lang w:eastAsia="en-IN"/>
              </w:rPr>
            </w:pPr>
            <w:r w:rsidRPr="003D5FB5">
              <w:rPr>
                <w:rFonts w:asciiTheme="minorHAnsi" w:hAnsiTheme="minorHAnsi" w:cstheme="minorHAnsi"/>
                <w:color w:val="000000"/>
                <w:kern w:val="2"/>
                <w:sz w:val="22"/>
                <w:szCs w:val="22"/>
                <w:lang w:eastAsia="en-IN"/>
              </w:rPr>
              <w:t>0.45</w:t>
            </w:r>
          </w:p>
        </w:tc>
        <w:tc>
          <w:tcPr>
            <w:tcW w:w="144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4BED68" w14:textId="77777777" w:rsidR="002F0A87" w:rsidRPr="003D5FB5" w:rsidRDefault="002F0A87" w:rsidP="002F0A87">
            <w:pPr>
              <w:tabs>
                <w:tab w:val="left" w:pos="426"/>
              </w:tabs>
              <w:spacing w:line="360" w:lineRule="auto"/>
              <w:ind w:right="-23"/>
              <w:jc w:val="center"/>
              <w:textAlignment w:val="center"/>
              <w:rPr>
                <w:rFonts w:asciiTheme="minorHAnsi" w:hAnsiTheme="minorHAnsi" w:cstheme="minorHAnsi"/>
                <w:sz w:val="22"/>
                <w:szCs w:val="22"/>
                <w:lang w:eastAsia="en-IN"/>
              </w:rPr>
            </w:pPr>
            <w:r w:rsidRPr="003D5FB5">
              <w:rPr>
                <w:rFonts w:asciiTheme="minorHAnsi" w:hAnsiTheme="minorHAnsi" w:cstheme="minorHAnsi"/>
                <w:color w:val="000000"/>
                <w:kern w:val="2"/>
                <w:sz w:val="22"/>
                <w:szCs w:val="22"/>
                <w:lang w:eastAsia="en-IN"/>
              </w:rPr>
              <w:t>0.58</w:t>
            </w:r>
          </w:p>
        </w:tc>
        <w:tc>
          <w:tcPr>
            <w:tcW w:w="165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DF9967" w14:textId="77777777" w:rsidR="002F0A87" w:rsidRPr="003D5FB5" w:rsidRDefault="002F0A87" w:rsidP="002F0A87">
            <w:pPr>
              <w:tabs>
                <w:tab w:val="left" w:pos="426"/>
              </w:tabs>
              <w:spacing w:line="360" w:lineRule="auto"/>
              <w:ind w:right="-23"/>
              <w:jc w:val="center"/>
              <w:textAlignment w:val="center"/>
              <w:rPr>
                <w:rFonts w:asciiTheme="minorHAnsi" w:hAnsiTheme="minorHAnsi" w:cstheme="minorHAnsi"/>
                <w:sz w:val="22"/>
                <w:szCs w:val="22"/>
                <w:lang w:eastAsia="en-IN"/>
              </w:rPr>
            </w:pPr>
            <w:r w:rsidRPr="003D5FB5">
              <w:rPr>
                <w:rFonts w:asciiTheme="minorHAnsi" w:hAnsiTheme="minorHAnsi" w:cstheme="minorHAnsi"/>
                <w:color w:val="000000"/>
                <w:kern w:val="2"/>
                <w:sz w:val="22"/>
                <w:szCs w:val="22"/>
                <w:lang w:eastAsia="en-IN"/>
              </w:rPr>
              <w:t>0.70</w:t>
            </w:r>
          </w:p>
        </w:tc>
        <w:tc>
          <w:tcPr>
            <w:tcW w:w="8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A0CF08B" w14:textId="77777777" w:rsidR="002F0A87" w:rsidRPr="003D5FB5" w:rsidRDefault="002F0A87" w:rsidP="002F0A87">
            <w:pPr>
              <w:tabs>
                <w:tab w:val="left" w:pos="426"/>
              </w:tabs>
              <w:spacing w:line="360" w:lineRule="auto"/>
              <w:ind w:right="-23"/>
              <w:jc w:val="center"/>
              <w:textAlignment w:val="center"/>
              <w:rPr>
                <w:rFonts w:asciiTheme="minorHAnsi" w:hAnsiTheme="minorHAnsi" w:cstheme="minorHAnsi"/>
                <w:sz w:val="22"/>
                <w:szCs w:val="22"/>
                <w:lang w:eastAsia="en-IN"/>
              </w:rPr>
            </w:pPr>
            <w:r w:rsidRPr="003D5FB5">
              <w:rPr>
                <w:rFonts w:asciiTheme="minorHAnsi" w:hAnsiTheme="minorHAnsi" w:cstheme="minorHAnsi"/>
                <w:color w:val="000000"/>
                <w:kern w:val="2"/>
                <w:sz w:val="22"/>
                <w:szCs w:val="22"/>
                <w:lang w:eastAsia="en-IN"/>
              </w:rPr>
              <w:t>9.84</w:t>
            </w:r>
          </w:p>
        </w:tc>
        <w:tc>
          <w:tcPr>
            <w:tcW w:w="1074" w:type="dxa"/>
            <w:tcBorders>
              <w:top w:val="single" w:sz="4" w:space="0" w:color="000000"/>
              <w:left w:val="single" w:sz="4" w:space="0" w:color="000000"/>
              <w:bottom w:val="single" w:sz="4" w:space="0" w:color="000000"/>
              <w:right w:val="single" w:sz="8" w:space="0" w:color="000000"/>
            </w:tcBorders>
            <w:shd w:val="clear" w:color="auto" w:fill="auto"/>
            <w:vAlign w:val="center"/>
          </w:tcPr>
          <w:p w14:paraId="4D74BC2B" w14:textId="77777777" w:rsidR="002F0A87" w:rsidRPr="003D5FB5" w:rsidRDefault="002F0A87" w:rsidP="002F0A87">
            <w:pPr>
              <w:tabs>
                <w:tab w:val="left" w:pos="426"/>
              </w:tabs>
              <w:spacing w:line="360" w:lineRule="auto"/>
              <w:ind w:right="-23"/>
              <w:jc w:val="center"/>
              <w:textAlignment w:val="center"/>
              <w:rPr>
                <w:rFonts w:asciiTheme="minorHAnsi" w:hAnsiTheme="minorHAnsi" w:cstheme="minorHAnsi"/>
                <w:sz w:val="22"/>
                <w:szCs w:val="22"/>
                <w:lang w:eastAsia="en-IN"/>
              </w:rPr>
            </w:pPr>
            <w:r w:rsidRPr="003D5FB5">
              <w:rPr>
                <w:rFonts w:asciiTheme="minorHAnsi" w:hAnsiTheme="minorHAnsi" w:cstheme="minorHAnsi"/>
                <w:color w:val="000000"/>
                <w:kern w:val="2"/>
                <w:sz w:val="22"/>
                <w:szCs w:val="22"/>
                <w:lang w:eastAsia="en-IN"/>
              </w:rPr>
              <w:t>4.0</w:t>
            </w:r>
          </w:p>
        </w:tc>
      </w:tr>
      <w:tr w:rsidR="002F0A87" w:rsidRPr="003D5FB5" w14:paraId="3A37AA50" w14:textId="77777777" w:rsidTr="004B69C1">
        <w:trPr>
          <w:trHeight w:val="77"/>
        </w:trPr>
        <w:tc>
          <w:tcPr>
            <w:tcW w:w="1077" w:type="dxa"/>
            <w:gridSpan w:val="2"/>
            <w:tcBorders>
              <w:top w:val="single" w:sz="4" w:space="0" w:color="000000"/>
              <w:left w:val="single" w:sz="8" w:space="0" w:color="000000"/>
              <w:bottom w:val="single" w:sz="4" w:space="0" w:color="000000"/>
              <w:right w:val="single" w:sz="4" w:space="0" w:color="000000"/>
            </w:tcBorders>
            <w:shd w:val="clear" w:color="auto" w:fill="auto"/>
            <w:vAlign w:val="bottom"/>
          </w:tcPr>
          <w:p w14:paraId="1179FE42" w14:textId="77777777" w:rsidR="002F0A87" w:rsidRPr="003D5FB5" w:rsidRDefault="002F0A87" w:rsidP="002F0A87">
            <w:pPr>
              <w:tabs>
                <w:tab w:val="left" w:pos="426"/>
              </w:tabs>
              <w:spacing w:line="360" w:lineRule="auto"/>
              <w:ind w:right="-23"/>
              <w:jc w:val="both"/>
              <w:textAlignment w:val="bottom"/>
              <w:rPr>
                <w:rFonts w:asciiTheme="minorHAnsi" w:hAnsiTheme="minorHAnsi" w:cstheme="minorHAnsi"/>
                <w:sz w:val="22"/>
                <w:szCs w:val="22"/>
                <w:lang w:eastAsia="en-IN"/>
              </w:rPr>
            </w:pPr>
            <w:proofErr w:type="spellStart"/>
            <w:r w:rsidRPr="003D5FB5">
              <w:rPr>
                <w:rFonts w:asciiTheme="minorHAnsi" w:hAnsiTheme="minorHAnsi" w:cstheme="minorHAnsi"/>
                <w:color w:val="000000"/>
                <w:kern w:val="2"/>
                <w:sz w:val="22"/>
                <w:szCs w:val="22"/>
                <w:lang w:eastAsia="en-IN"/>
              </w:rPr>
              <w:t>Keonjhar</w:t>
            </w:r>
            <w:proofErr w:type="spellEnd"/>
          </w:p>
        </w:tc>
        <w:tc>
          <w:tcPr>
            <w:tcW w:w="105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01BE6D2" w14:textId="77777777" w:rsidR="002F0A87" w:rsidRPr="003D5FB5" w:rsidRDefault="002F0A87" w:rsidP="002F0A87">
            <w:pPr>
              <w:tabs>
                <w:tab w:val="left" w:pos="426"/>
              </w:tabs>
              <w:spacing w:line="360" w:lineRule="auto"/>
              <w:ind w:right="-23"/>
              <w:jc w:val="center"/>
              <w:textAlignment w:val="center"/>
              <w:rPr>
                <w:rFonts w:asciiTheme="minorHAnsi" w:hAnsiTheme="minorHAnsi" w:cstheme="minorHAnsi"/>
                <w:sz w:val="22"/>
                <w:szCs w:val="22"/>
                <w:lang w:eastAsia="en-IN"/>
              </w:rPr>
            </w:pPr>
            <w:r w:rsidRPr="003D5FB5">
              <w:rPr>
                <w:rFonts w:asciiTheme="minorHAnsi" w:hAnsiTheme="minorHAnsi" w:cstheme="minorHAnsi"/>
                <w:color w:val="000000"/>
                <w:kern w:val="2"/>
                <w:sz w:val="22"/>
                <w:szCs w:val="22"/>
                <w:lang w:eastAsia="en-IN"/>
              </w:rPr>
              <w:t>109.5</w:t>
            </w:r>
          </w:p>
        </w:tc>
        <w:tc>
          <w:tcPr>
            <w:tcW w:w="127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972CCA6" w14:textId="77777777" w:rsidR="002F0A87" w:rsidRPr="003D5FB5" w:rsidRDefault="002F0A87" w:rsidP="002F0A87">
            <w:pPr>
              <w:tabs>
                <w:tab w:val="left" w:pos="426"/>
              </w:tabs>
              <w:spacing w:line="360" w:lineRule="auto"/>
              <w:ind w:right="-23"/>
              <w:jc w:val="center"/>
              <w:textAlignment w:val="center"/>
              <w:rPr>
                <w:rFonts w:asciiTheme="minorHAnsi" w:hAnsiTheme="minorHAnsi" w:cstheme="minorHAnsi"/>
                <w:sz w:val="22"/>
                <w:szCs w:val="22"/>
                <w:lang w:eastAsia="en-IN"/>
              </w:rPr>
            </w:pPr>
            <w:r w:rsidRPr="003D5FB5">
              <w:rPr>
                <w:rFonts w:asciiTheme="minorHAnsi" w:hAnsiTheme="minorHAnsi" w:cstheme="minorHAnsi"/>
                <w:color w:val="000000"/>
                <w:kern w:val="2"/>
                <w:sz w:val="22"/>
                <w:szCs w:val="22"/>
                <w:lang w:eastAsia="en-IN"/>
              </w:rPr>
              <w:t>4.37</w:t>
            </w:r>
          </w:p>
        </w:tc>
        <w:tc>
          <w:tcPr>
            <w:tcW w:w="129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421C548" w14:textId="77777777" w:rsidR="002F0A87" w:rsidRPr="003D5FB5" w:rsidRDefault="002F0A87" w:rsidP="002F0A87">
            <w:pPr>
              <w:tabs>
                <w:tab w:val="left" w:pos="426"/>
              </w:tabs>
              <w:spacing w:line="360" w:lineRule="auto"/>
              <w:ind w:right="-23"/>
              <w:jc w:val="center"/>
              <w:textAlignment w:val="center"/>
              <w:rPr>
                <w:rFonts w:asciiTheme="minorHAnsi" w:hAnsiTheme="minorHAnsi" w:cstheme="minorHAnsi"/>
                <w:sz w:val="22"/>
                <w:szCs w:val="22"/>
                <w:lang w:eastAsia="en-IN"/>
              </w:rPr>
            </w:pPr>
            <w:r w:rsidRPr="003D5FB5">
              <w:rPr>
                <w:rFonts w:asciiTheme="minorHAnsi" w:hAnsiTheme="minorHAnsi" w:cstheme="minorHAnsi"/>
                <w:color w:val="000000"/>
                <w:kern w:val="2"/>
                <w:sz w:val="22"/>
                <w:szCs w:val="22"/>
                <w:lang w:eastAsia="en-IN"/>
              </w:rPr>
              <w:t>0.30</w:t>
            </w:r>
          </w:p>
        </w:tc>
        <w:tc>
          <w:tcPr>
            <w:tcW w:w="144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E9A5835" w14:textId="77777777" w:rsidR="002F0A87" w:rsidRPr="003D5FB5" w:rsidRDefault="002F0A87" w:rsidP="002F0A87">
            <w:pPr>
              <w:tabs>
                <w:tab w:val="left" w:pos="426"/>
              </w:tabs>
              <w:spacing w:line="360" w:lineRule="auto"/>
              <w:ind w:right="-23"/>
              <w:jc w:val="center"/>
              <w:textAlignment w:val="center"/>
              <w:rPr>
                <w:rFonts w:asciiTheme="minorHAnsi" w:hAnsiTheme="minorHAnsi" w:cstheme="minorHAnsi"/>
                <w:sz w:val="22"/>
                <w:szCs w:val="22"/>
                <w:lang w:eastAsia="en-IN"/>
              </w:rPr>
            </w:pPr>
            <w:r w:rsidRPr="003D5FB5">
              <w:rPr>
                <w:rFonts w:asciiTheme="minorHAnsi" w:hAnsiTheme="minorHAnsi" w:cstheme="minorHAnsi"/>
                <w:color w:val="000000"/>
                <w:kern w:val="2"/>
                <w:sz w:val="22"/>
                <w:szCs w:val="22"/>
                <w:lang w:eastAsia="en-IN"/>
              </w:rPr>
              <w:t>0.21</w:t>
            </w:r>
          </w:p>
        </w:tc>
        <w:tc>
          <w:tcPr>
            <w:tcW w:w="165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236EF88" w14:textId="77777777" w:rsidR="002F0A87" w:rsidRPr="003D5FB5" w:rsidRDefault="002F0A87" w:rsidP="002F0A87">
            <w:pPr>
              <w:tabs>
                <w:tab w:val="left" w:pos="426"/>
              </w:tabs>
              <w:spacing w:line="360" w:lineRule="auto"/>
              <w:ind w:right="-23"/>
              <w:jc w:val="center"/>
              <w:textAlignment w:val="center"/>
              <w:rPr>
                <w:rFonts w:asciiTheme="minorHAnsi" w:hAnsiTheme="minorHAnsi" w:cstheme="minorHAnsi"/>
                <w:sz w:val="22"/>
                <w:szCs w:val="22"/>
                <w:lang w:eastAsia="en-IN"/>
              </w:rPr>
            </w:pPr>
            <w:r w:rsidRPr="003D5FB5">
              <w:rPr>
                <w:rFonts w:asciiTheme="minorHAnsi" w:hAnsiTheme="minorHAnsi" w:cstheme="minorHAnsi"/>
                <w:color w:val="000000"/>
                <w:kern w:val="2"/>
                <w:sz w:val="22"/>
                <w:szCs w:val="22"/>
                <w:lang w:eastAsia="en-IN"/>
              </w:rPr>
              <w:t>0.37</w:t>
            </w:r>
          </w:p>
        </w:tc>
        <w:tc>
          <w:tcPr>
            <w:tcW w:w="8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08FD4B4" w14:textId="77777777" w:rsidR="002F0A87" w:rsidRPr="003D5FB5" w:rsidRDefault="002F0A87" w:rsidP="002F0A87">
            <w:pPr>
              <w:tabs>
                <w:tab w:val="left" w:pos="426"/>
              </w:tabs>
              <w:spacing w:line="360" w:lineRule="auto"/>
              <w:ind w:right="-23"/>
              <w:jc w:val="center"/>
              <w:textAlignment w:val="center"/>
              <w:rPr>
                <w:rFonts w:asciiTheme="minorHAnsi" w:hAnsiTheme="minorHAnsi" w:cstheme="minorHAnsi"/>
                <w:sz w:val="22"/>
                <w:szCs w:val="22"/>
                <w:lang w:eastAsia="en-IN"/>
              </w:rPr>
            </w:pPr>
            <w:r w:rsidRPr="003D5FB5">
              <w:rPr>
                <w:rFonts w:asciiTheme="minorHAnsi" w:hAnsiTheme="minorHAnsi" w:cstheme="minorHAnsi"/>
                <w:color w:val="000000"/>
                <w:kern w:val="2"/>
                <w:sz w:val="22"/>
                <w:szCs w:val="22"/>
                <w:lang w:eastAsia="en-IN"/>
              </w:rPr>
              <w:t>5.25</w:t>
            </w:r>
          </w:p>
        </w:tc>
        <w:tc>
          <w:tcPr>
            <w:tcW w:w="1074" w:type="dxa"/>
            <w:tcBorders>
              <w:top w:val="single" w:sz="4" w:space="0" w:color="000000"/>
              <w:left w:val="single" w:sz="4" w:space="0" w:color="000000"/>
              <w:bottom w:val="single" w:sz="4" w:space="0" w:color="000000"/>
              <w:right w:val="single" w:sz="8" w:space="0" w:color="000000"/>
            </w:tcBorders>
            <w:shd w:val="clear" w:color="auto" w:fill="auto"/>
            <w:vAlign w:val="center"/>
          </w:tcPr>
          <w:p w14:paraId="78DFBBE1" w14:textId="77777777" w:rsidR="002F0A87" w:rsidRPr="003D5FB5" w:rsidRDefault="002F0A87" w:rsidP="002F0A87">
            <w:pPr>
              <w:tabs>
                <w:tab w:val="left" w:pos="426"/>
              </w:tabs>
              <w:spacing w:line="360" w:lineRule="auto"/>
              <w:ind w:right="-23"/>
              <w:jc w:val="center"/>
              <w:textAlignment w:val="center"/>
              <w:rPr>
                <w:rFonts w:asciiTheme="minorHAnsi" w:hAnsiTheme="minorHAnsi" w:cstheme="minorHAnsi"/>
                <w:sz w:val="22"/>
                <w:szCs w:val="22"/>
                <w:lang w:eastAsia="en-IN"/>
              </w:rPr>
            </w:pPr>
            <w:r w:rsidRPr="003D5FB5">
              <w:rPr>
                <w:rFonts w:asciiTheme="minorHAnsi" w:hAnsiTheme="minorHAnsi" w:cstheme="minorHAnsi"/>
                <w:color w:val="000000"/>
                <w:kern w:val="2"/>
                <w:sz w:val="22"/>
                <w:szCs w:val="22"/>
                <w:lang w:eastAsia="en-IN"/>
              </w:rPr>
              <w:t>3.18</w:t>
            </w:r>
          </w:p>
        </w:tc>
      </w:tr>
      <w:tr w:rsidR="002F0A87" w:rsidRPr="003D5FB5" w14:paraId="7E2AC19D" w14:textId="77777777" w:rsidTr="004B69C1">
        <w:trPr>
          <w:trHeight w:val="81"/>
        </w:trPr>
        <w:tc>
          <w:tcPr>
            <w:tcW w:w="1077" w:type="dxa"/>
            <w:gridSpan w:val="2"/>
            <w:tcBorders>
              <w:top w:val="single" w:sz="4" w:space="0" w:color="000000"/>
              <w:left w:val="single" w:sz="8" w:space="0" w:color="000000"/>
              <w:bottom w:val="single" w:sz="8" w:space="0" w:color="000000"/>
              <w:right w:val="single" w:sz="4" w:space="0" w:color="000000"/>
            </w:tcBorders>
            <w:shd w:val="clear" w:color="auto" w:fill="auto"/>
            <w:vAlign w:val="bottom"/>
          </w:tcPr>
          <w:p w14:paraId="048D9768" w14:textId="77777777" w:rsidR="002F0A87" w:rsidRPr="003D5FB5" w:rsidRDefault="002F0A87" w:rsidP="002F0A87">
            <w:pPr>
              <w:tabs>
                <w:tab w:val="left" w:pos="426"/>
              </w:tabs>
              <w:spacing w:line="360" w:lineRule="auto"/>
              <w:ind w:right="-23"/>
              <w:jc w:val="both"/>
              <w:textAlignment w:val="bottom"/>
              <w:rPr>
                <w:rFonts w:asciiTheme="minorHAnsi" w:hAnsiTheme="minorHAnsi" w:cstheme="minorHAnsi"/>
                <w:sz w:val="22"/>
                <w:szCs w:val="22"/>
                <w:lang w:eastAsia="en-IN"/>
              </w:rPr>
            </w:pPr>
            <w:r w:rsidRPr="003D5FB5">
              <w:rPr>
                <w:rFonts w:asciiTheme="minorHAnsi" w:hAnsiTheme="minorHAnsi" w:cstheme="minorHAnsi"/>
                <w:b/>
                <w:bCs/>
                <w:color w:val="000000"/>
                <w:kern w:val="2"/>
                <w:sz w:val="22"/>
                <w:szCs w:val="22"/>
                <w:lang w:eastAsia="en-IN"/>
              </w:rPr>
              <w:t>TPNODL</w:t>
            </w:r>
          </w:p>
        </w:tc>
        <w:tc>
          <w:tcPr>
            <w:tcW w:w="1052" w:type="dxa"/>
            <w:tcBorders>
              <w:top w:val="single" w:sz="4" w:space="0" w:color="000000"/>
              <w:left w:val="single" w:sz="4" w:space="0" w:color="000000"/>
              <w:bottom w:val="single" w:sz="8" w:space="0" w:color="000000"/>
              <w:right w:val="single" w:sz="4" w:space="0" w:color="000000"/>
            </w:tcBorders>
            <w:shd w:val="clear" w:color="auto" w:fill="auto"/>
            <w:vAlign w:val="center"/>
          </w:tcPr>
          <w:p w14:paraId="46F62A2D" w14:textId="77777777" w:rsidR="002F0A87" w:rsidRPr="003D5FB5" w:rsidRDefault="002F0A87" w:rsidP="002F0A87">
            <w:pPr>
              <w:tabs>
                <w:tab w:val="left" w:pos="426"/>
              </w:tabs>
              <w:spacing w:line="360" w:lineRule="auto"/>
              <w:ind w:right="-23"/>
              <w:jc w:val="center"/>
              <w:textAlignment w:val="center"/>
              <w:rPr>
                <w:rFonts w:asciiTheme="minorHAnsi" w:hAnsiTheme="minorHAnsi" w:cstheme="minorHAnsi"/>
                <w:sz w:val="22"/>
                <w:szCs w:val="22"/>
                <w:lang w:eastAsia="en-IN"/>
              </w:rPr>
            </w:pPr>
            <w:r w:rsidRPr="003D5FB5">
              <w:rPr>
                <w:rFonts w:asciiTheme="minorHAnsi" w:hAnsiTheme="minorHAnsi" w:cstheme="minorHAnsi"/>
                <w:b/>
                <w:bCs/>
                <w:color w:val="000000"/>
                <w:kern w:val="2"/>
                <w:sz w:val="22"/>
                <w:szCs w:val="22"/>
                <w:lang w:eastAsia="en-IN"/>
              </w:rPr>
              <w:t>743.23</w:t>
            </w:r>
          </w:p>
        </w:tc>
        <w:tc>
          <w:tcPr>
            <w:tcW w:w="1273" w:type="dxa"/>
            <w:tcBorders>
              <w:top w:val="single" w:sz="4" w:space="0" w:color="000000"/>
              <w:left w:val="single" w:sz="4" w:space="0" w:color="000000"/>
              <w:bottom w:val="single" w:sz="8" w:space="0" w:color="000000"/>
              <w:right w:val="single" w:sz="4" w:space="0" w:color="000000"/>
            </w:tcBorders>
            <w:shd w:val="clear" w:color="auto" w:fill="auto"/>
            <w:vAlign w:val="center"/>
          </w:tcPr>
          <w:p w14:paraId="6CBCDF6E" w14:textId="77777777" w:rsidR="002F0A87" w:rsidRPr="003D5FB5" w:rsidRDefault="002F0A87" w:rsidP="002F0A87">
            <w:pPr>
              <w:tabs>
                <w:tab w:val="left" w:pos="426"/>
              </w:tabs>
              <w:spacing w:line="360" w:lineRule="auto"/>
              <w:ind w:right="-23"/>
              <w:jc w:val="center"/>
              <w:textAlignment w:val="center"/>
              <w:rPr>
                <w:rFonts w:asciiTheme="minorHAnsi" w:hAnsiTheme="minorHAnsi" w:cstheme="minorHAnsi"/>
                <w:sz w:val="22"/>
                <w:szCs w:val="22"/>
                <w:lang w:eastAsia="en-IN"/>
              </w:rPr>
            </w:pPr>
            <w:r w:rsidRPr="003D5FB5">
              <w:rPr>
                <w:rFonts w:asciiTheme="minorHAnsi" w:hAnsiTheme="minorHAnsi" w:cstheme="minorHAnsi"/>
                <w:b/>
                <w:bCs/>
                <w:color w:val="000000"/>
                <w:kern w:val="2"/>
                <w:sz w:val="22"/>
                <w:szCs w:val="22"/>
                <w:lang w:eastAsia="en-IN"/>
              </w:rPr>
              <w:t>37.53</w:t>
            </w:r>
          </w:p>
        </w:tc>
        <w:tc>
          <w:tcPr>
            <w:tcW w:w="1295" w:type="dxa"/>
            <w:tcBorders>
              <w:top w:val="single" w:sz="4" w:space="0" w:color="000000"/>
              <w:left w:val="single" w:sz="4" w:space="0" w:color="000000"/>
              <w:bottom w:val="single" w:sz="8" w:space="0" w:color="000000"/>
              <w:right w:val="single" w:sz="4" w:space="0" w:color="000000"/>
            </w:tcBorders>
            <w:shd w:val="clear" w:color="auto" w:fill="auto"/>
            <w:vAlign w:val="center"/>
          </w:tcPr>
          <w:p w14:paraId="24D46C0F" w14:textId="77777777" w:rsidR="002F0A87" w:rsidRPr="003D5FB5" w:rsidRDefault="002F0A87" w:rsidP="002F0A87">
            <w:pPr>
              <w:tabs>
                <w:tab w:val="left" w:pos="426"/>
              </w:tabs>
              <w:spacing w:line="360" w:lineRule="auto"/>
              <w:ind w:right="-23"/>
              <w:jc w:val="center"/>
              <w:textAlignment w:val="center"/>
              <w:rPr>
                <w:rFonts w:asciiTheme="minorHAnsi" w:hAnsiTheme="minorHAnsi" w:cstheme="minorHAnsi"/>
                <w:sz w:val="22"/>
                <w:szCs w:val="22"/>
                <w:lang w:eastAsia="en-IN"/>
              </w:rPr>
            </w:pPr>
            <w:r w:rsidRPr="003D5FB5">
              <w:rPr>
                <w:rFonts w:asciiTheme="minorHAnsi" w:hAnsiTheme="minorHAnsi" w:cstheme="minorHAnsi"/>
                <w:b/>
                <w:bCs/>
                <w:color w:val="000000"/>
                <w:kern w:val="2"/>
                <w:sz w:val="22"/>
                <w:szCs w:val="22"/>
                <w:lang w:eastAsia="en-IN"/>
              </w:rPr>
              <w:t>2.18</w:t>
            </w:r>
          </w:p>
        </w:tc>
        <w:tc>
          <w:tcPr>
            <w:tcW w:w="1444" w:type="dxa"/>
            <w:tcBorders>
              <w:top w:val="single" w:sz="4" w:space="0" w:color="000000"/>
              <w:left w:val="single" w:sz="4" w:space="0" w:color="000000"/>
              <w:bottom w:val="single" w:sz="8" w:space="0" w:color="000000"/>
              <w:right w:val="single" w:sz="4" w:space="0" w:color="000000"/>
            </w:tcBorders>
            <w:shd w:val="clear" w:color="auto" w:fill="auto"/>
            <w:vAlign w:val="center"/>
          </w:tcPr>
          <w:p w14:paraId="044240E9" w14:textId="77777777" w:rsidR="002F0A87" w:rsidRPr="003D5FB5" w:rsidRDefault="002F0A87" w:rsidP="002F0A87">
            <w:pPr>
              <w:tabs>
                <w:tab w:val="left" w:pos="426"/>
              </w:tabs>
              <w:spacing w:line="360" w:lineRule="auto"/>
              <w:ind w:right="-23"/>
              <w:jc w:val="center"/>
              <w:textAlignment w:val="center"/>
              <w:rPr>
                <w:rFonts w:asciiTheme="minorHAnsi" w:hAnsiTheme="minorHAnsi" w:cstheme="minorHAnsi"/>
                <w:sz w:val="22"/>
                <w:szCs w:val="22"/>
                <w:lang w:eastAsia="en-IN"/>
              </w:rPr>
            </w:pPr>
            <w:r w:rsidRPr="003D5FB5">
              <w:rPr>
                <w:rFonts w:asciiTheme="minorHAnsi" w:hAnsiTheme="minorHAnsi" w:cstheme="minorHAnsi"/>
                <w:b/>
                <w:bCs/>
                <w:color w:val="000000"/>
                <w:kern w:val="2"/>
                <w:sz w:val="22"/>
                <w:szCs w:val="22"/>
                <w:lang w:eastAsia="en-IN"/>
              </w:rPr>
              <w:t>2.97</w:t>
            </w:r>
          </w:p>
        </w:tc>
        <w:tc>
          <w:tcPr>
            <w:tcW w:w="1654" w:type="dxa"/>
            <w:tcBorders>
              <w:top w:val="single" w:sz="4" w:space="0" w:color="000000"/>
              <w:left w:val="single" w:sz="4" w:space="0" w:color="000000"/>
              <w:bottom w:val="single" w:sz="8" w:space="0" w:color="000000"/>
              <w:right w:val="single" w:sz="4" w:space="0" w:color="000000"/>
            </w:tcBorders>
            <w:shd w:val="clear" w:color="auto" w:fill="auto"/>
            <w:vAlign w:val="center"/>
          </w:tcPr>
          <w:p w14:paraId="7CC0ECBA" w14:textId="77777777" w:rsidR="002F0A87" w:rsidRPr="003D5FB5" w:rsidRDefault="002F0A87" w:rsidP="002F0A87">
            <w:pPr>
              <w:tabs>
                <w:tab w:val="left" w:pos="426"/>
              </w:tabs>
              <w:spacing w:line="360" w:lineRule="auto"/>
              <w:ind w:right="-23"/>
              <w:jc w:val="center"/>
              <w:textAlignment w:val="center"/>
              <w:rPr>
                <w:rFonts w:asciiTheme="minorHAnsi" w:hAnsiTheme="minorHAnsi" w:cstheme="minorHAnsi"/>
                <w:sz w:val="22"/>
                <w:szCs w:val="22"/>
                <w:lang w:eastAsia="en-IN"/>
              </w:rPr>
            </w:pPr>
            <w:r w:rsidRPr="003D5FB5">
              <w:rPr>
                <w:rFonts w:asciiTheme="minorHAnsi" w:hAnsiTheme="minorHAnsi" w:cstheme="minorHAnsi"/>
                <w:b/>
                <w:bCs/>
                <w:color w:val="000000"/>
                <w:kern w:val="2"/>
                <w:sz w:val="22"/>
                <w:szCs w:val="22"/>
                <w:lang w:eastAsia="en-IN"/>
              </w:rPr>
              <w:t>3.28</w:t>
            </w:r>
          </w:p>
        </w:tc>
        <w:tc>
          <w:tcPr>
            <w:tcW w:w="815" w:type="dxa"/>
            <w:tcBorders>
              <w:top w:val="single" w:sz="4" w:space="0" w:color="000000"/>
              <w:left w:val="single" w:sz="4" w:space="0" w:color="000000"/>
              <w:bottom w:val="single" w:sz="8" w:space="0" w:color="000000"/>
              <w:right w:val="single" w:sz="4" w:space="0" w:color="000000"/>
            </w:tcBorders>
            <w:shd w:val="clear" w:color="auto" w:fill="auto"/>
            <w:vAlign w:val="center"/>
          </w:tcPr>
          <w:p w14:paraId="1046A3B8" w14:textId="77777777" w:rsidR="002F0A87" w:rsidRPr="003D5FB5" w:rsidRDefault="002F0A87" w:rsidP="002F0A87">
            <w:pPr>
              <w:tabs>
                <w:tab w:val="left" w:pos="426"/>
              </w:tabs>
              <w:spacing w:line="360" w:lineRule="auto"/>
              <w:ind w:right="-23"/>
              <w:jc w:val="center"/>
              <w:textAlignment w:val="center"/>
              <w:rPr>
                <w:rFonts w:asciiTheme="minorHAnsi" w:hAnsiTheme="minorHAnsi" w:cstheme="minorHAnsi"/>
                <w:sz w:val="22"/>
                <w:szCs w:val="22"/>
                <w:lang w:eastAsia="en-IN"/>
              </w:rPr>
            </w:pPr>
            <w:r w:rsidRPr="003D5FB5">
              <w:rPr>
                <w:rFonts w:asciiTheme="minorHAnsi" w:hAnsiTheme="minorHAnsi" w:cstheme="minorHAnsi"/>
                <w:b/>
                <w:bCs/>
                <w:color w:val="000000"/>
                <w:kern w:val="2"/>
                <w:sz w:val="22"/>
                <w:szCs w:val="22"/>
                <w:lang w:eastAsia="en-IN"/>
              </w:rPr>
              <w:t>45.96</w:t>
            </w:r>
          </w:p>
        </w:tc>
        <w:tc>
          <w:tcPr>
            <w:tcW w:w="1074" w:type="dxa"/>
            <w:tcBorders>
              <w:top w:val="single" w:sz="4" w:space="0" w:color="000000"/>
              <w:left w:val="single" w:sz="4" w:space="0" w:color="000000"/>
              <w:bottom w:val="single" w:sz="8" w:space="0" w:color="000000"/>
              <w:right w:val="single" w:sz="8" w:space="0" w:color="000000"/>
            </w:tcBorders>
            <w:shd w:val="clear" w:color="auto" w:fill="auto"/>
            <w:vAlign w:val="center"/>
          </w:tcPr>
          <w:p w14:paraId="01037EF9" w14:textId="77777777" w:rsidR="002F0A87" w:rsidRPr="003D5FB5" w:rsidRDefault="002F0A87" w:rsidP="002F0A87">
            <w:pPr>
              <w:tabs>
                <w:tab w:val="left" w:pos="426"/>
              </w:tabs>
              <w:spacing w:line="360" w:lineRule="auto"/>
              <w:ind w:right="-23"/>
              <w:jc w:val="center"/>
              <w:textAlignment w:val="center"/>
              <w:rPr>
                <w:rFonts w:asciiTheme="minorHAnsi" w:hAnsiTheme="minorHAnsi" w:cstheme="minorHAnsi"/>
                <w:sz w:val="22"/>
                <w:szCs w:val="22"/>
                <w:lang w:eastAsia="en-IN"/>
              </w:rPr>
            </w:pPr>
            <w:r w:rsidRPr="003D5FB5">
              <w:rPr>
                <w:rFonts w:asciiTheme="minorHAnsi" w:hAnsiTheme="minorHAnsi" w:cstheme="minorHAnsi"/>
                <w:b/>
                <w:bCs/>
                <w:color w:val="000000"/>
                <w:kern w:val="2"/>
                <w:sz w:val="22"/>
                <w:szCs w:val="22"/>
                <w:lang w:eastAsia="en-IN"/>
              </w:rPr>
              <w:t>3.86</w:t>
            </w:r>
          </w:p>
        </w:tc>
      </w:tr>
    </w:tbl>
    <w:p w14:paraId="495295DA" w14:textId="77777777" w:rsidR="002F0A87" w:rsidRPr="003D5FB5" w:rsidRDefault="002F0A87" w:rsidP="002F0A87">
      <w:pPr>
        <w:tabs>
          <w:tab w:val="left" w:pos="426"/>
        </w:tabs>
        <w:spacing w:line="360" w:lineRule="auto"/>
        <w:ind w:right="-23"/>
        <w:jc w:val="both"/>
        <w:textAlignment w:val="bottom"/>
        <w:rPr>
          <w:rFonts w:asciiTheme="minorHAnsi" w:hAnsiTheme="minorHAnsi" w:cstheme="minorHAnsi"/>
          <w:b/>
          <w:bCs/>
          <w:color w:val="000000"/>
          <w:kern w:val="2"/>
          <w:sz w:val="22"/>
          <w:szCs w:val="22"/>
          <w:lang w:eastAsia="en-IN"/>
        </w:rPr>
      </w:pPr>
    </w:p>
    <w:p w14:paraId="7269AAB6" w14:textId="1AC159DF" w:rsidR="002F0A87" w:rsidRPr="003D5FB5" w:rsidRDefault="002F0A87" w:rsidP="002F0A87">
      <w:pPr>
        <w:tabs>
          <w:tab w:val="left" w:pos="426"/>
        </w:tabs>
        <w:spacing w:line="360" w:lineRule="auto"/>
        <w:ind w:right="-23"/>
        <w:jc w:val="center"/>
        <w:textAlignment w:val="bottom"/>
        <w:rPr>
          <w:rStyle w:val="normaltextrun"/>
          <w:rFonts w:asciiTheme="minorHAnsi" w:hAnsiTheme="minorHAnsi" w:cstheme="minorHAnsi"/>
          <w:sz w:val="22"/>
          <w:szCs w:val="22"/>
          <w:lang w:eastAsia="en-IN"/>
        </w:rPr>
      </w:pPr>
      <w:r w:rsidRPr="003D5FB5">
        <w:rPr>
          <w:rFonts w:asciiTheme="minorHAnsi" w:hAnsiTheme="minorHAnsi" w:cstheme="minorHAnsi"/>
          <w:b/>
          <w:bCs/>
          <w:color w:val="000000"/>
          <w:kern w:val="2"/>
          <w:sz w:val="22"/>
          <w:szCs w:val="22"/>
          <w:lang w:eastAsia="en-IN"/>
        </w:rPr>
        <w:t>Table-2</w:t>
      </w:r>
      <w:r w:rsidR="004B69C1">
        <w:rPr>
          <w:rFonts w:asciiTheme="minorHAnsi" w:hAnsiTheme="minorHAnsi" w:cstheme="minorHAnsi"/>
          <w:b/>
          <w:bCs/>
          <w:color w:val="000000"/>
          <w:kern w:val="2"/>
          <w:sz w:val="22"/>
          <w:szCs w:val="22"/>
          <w:lang w:eastAsia="en-IN"/>
        </w:rPr>
        <w:t>6</w:t>
      </w:r>
      <w:r w:rsidRPr="003D5FB5">
        <w:rPr>
          <w:rFonts w:asciiTheme="minorHAnsi" w:hAnsiTheme="minorHAnsi" w:cstheme="minorHAnsi"/>
          <w:b/>
          <w:bCs/>
          <w:color w:val="000000"/>
          <w:kern w:val="2"/>
          <w:sz w:val="22"/>
          <w:szCs w:val="22"/>
          <w:lang w:eastAsia="en-IN"/>
        </w:rPr>
        <w:t>(b): TPNODL 33 KV Technical Loss Assessment FY23</w:t>
      </w:r>
    </w:p>
    <w:tbl>
      <w:tblPr>
        <w:tblW w:w="9790" w:type="dxa"/>
        <w:tblInd w:w="132" w:type="dxa"/>
        <w:tblCellMar>
          <w:top w:w="15" w:type="dxa"/>
          <w:left w:w="15" w:type="dxa"/>
          <w:right w:w="15" w:type="dxa"/>
        </w:tblCellMar>
        <w:tblLook w:val="0600" w:firstRow="0" w:lastRow="0" w:firstColumn="0" w:lastColumn="0" w:noHBand="1" w:noVBand="1"/>
      </w:tblPr>
      <w:tblGrid>
        <w:gridCol w:w="870"/>
        <w:gridCol w:w="867"/>
        <w:gridCol w:w="1258"/>
        <w:gridCol w:w="1204"/>
        <w:gridCol w:w="951"/>
        <w:gridCol w:w="2068"/>
        <w:gridCol w:w="845"/>
        <w:gridCol w:w="1727"/>
      </w:tblGrid>
      <w:tr w:rsidR="002F0A87" w:rsidRPr="003D5FB5" w14:paraId="2BC7D620" w14:textId="77777777" w:rsidTr="004B69C1">
        <w:trPr>
          <w:trHeight w:val="712"/>
        </w:trPr>
        <w:tc>
          <w:tcPr>
            <w:tcW w:w="871" w:type="dxa"/>
            <w:tcBorders>
              <w:top w:val="single" w:sz="8" w:space="0" w:color="000000"/>
              <w:left w:val="single" w:sz="8" w:space="0" w:color="000000"/>
              <w:bottom w:val="single" w:sz="8" w:space="0" w:color="000000"/>
              <w:right w:val="single" w:sz="4" w:space="0" w:color="000000"/>
            </w:tcBorders>
            <w:shd w:val="clear" w:color="auto" w:fill="95B3D7" w:themeFill="accent1" w:themeFillTint="99"/>
            <w:vAlign w:val="center"/>
          </w:tcPr>
          <w:p w14:paraId="5AC70EEA" w14:textId="77777777" w:rsidR="002F0A87" w:rsidRPr="003D5FB5" w:rsidRDefault="002F0A87" w:rsidP="002F0A87">
            <w:pPr>
              <w:tabs>
                <w:tab w:val="left" w:pos="426"/>
              </w:tabs>
              <w:spacing w:line="360" w:lineRule="auto"/>
              <w:ind w:right="-23"/>
              <w:jc w:val="center"/>
              <w:textAlignment w:val="center"/>
              <w:rPr>
                <w:rFonts w:asciiTheme="minorHAnsi" w:hAnsiTheme="minorHAnsi" w:cstheme="minorHAnsi"/>
                <w:sz w:val="22"/>
                <w:szCs w:val="22"/>
                <w:lang w:eastAsia="en-IN"/>
              </w:rPr>
            </w:pPr>
            <w:r w:rsidRPr="003D5FB5">
              <w:rPr>
                <w:rFonts w:asciiTheme="minorHAnsi" w:hAnsiTheme="minorHAnsi" w:cstheme="minorHAnsi"/>
                <w:b/>
                <w:bCs/>
                <w:color w:val="000000"/>
                <w:kern w:val="2"/>
                <w:sz w:val="22"/>
                <w:szCs w:val="22"/>
                <w:lang w:eastAsia="en-IN"/>
              </w:rPr>
              <w:t>Circle</w:t>
            </w:r>
          </w:p>
        </w:tc>
        <w:tc>
          <w:tcPr>
            <w:tcW w:w="0" w:type="auto"/>
            <w:tcBorders>
              <w:top w:val="single" w:sz="8" w:space="0" w:color="000000"/>
              <w:left w:val="single" w:sz="4" w:space="0" w:color="000000"/>
              <w:bottom w:val="single" w:sz="8" w:space="0" w:color="000000"/>
              <w:right w:val="single" w:sz="4" w:space="0" w:color="000000"/>
            </w:tcBorders>
            <w:shd w:val="clear" w:color="auto" w:fill="95B3D7" w:themeFill="accent1" w:themeFillTint="99"/>
            <w:vAlign w:val="center"/>
          </w:tcPr>
          <w:p w14:paraId="2194068B" w14:textId="77777777" w:rsidR="002F0A87" w:rsidRPr="003D5FB5" w:rsidRDefault="002F0A87" w:rsidP="002F0A87">
            <w:pPr>
              <w:tabs>
                <w:tab w:val="left" w:pos="426"/>
              </w:tabs>
              <w:spacing w:line="360" w:lineRule="auto"/>
              <w:ind w:right="-23"/>
              <w:jc w:val="center"/>
              <w:textAlignment w:val="center"/>
              <w:rPr>
                <w:rFonts w:asciiTheme="minorHAnsi" w:hAnsiTheme="minorHAnsi" w:cstheme="minorHAnsi"/>
                <w:sz w:val="22"/>
                <w:szCs w:val="22"/>
                <w:lang w:eastAsia="en-IN"/>
              </w:rPr>
            </w:pPr>
            <w:r w:rsidRPr="003D5FB5">
              <w:rPr>
                <w:rFonts w:asciiTheme="minorHAnsi" w:hAnsiTheme="minorHAnsi" w:cstheme="minorHAnsi"/>
                <w:b/>
                <w:bCs/>
                <w:color w:val="000000"/>
                <w:kern w:val="2"/>
                <w:sz w:val="22"/>
                <w:szCs w:val="22"/>
                <w:lang w:eastAsia="en-IN"/>
              </w:rPr>
              <w:t>Peak load</w:t>
            </w:r>
            <w:r w:rsidRPr="003D5FB5">
              <w:rPr>
                <w:rFonts w:asciiTheme="minorHAnsi" w:hAnsiTheme="minorHAnsi" w:cstheme="minorHAnsi"/>
                <w:b/>
                <w:bCs/>
                <w:color w:val="000000"/>
                <w:kern w:val="2"/>
                <w:sz w:val="22"/>
                <w:szCs w:val="22"/>
                <w:lang w:eastAsia="en-IN"/>
              </w:rPr>
              <w:br/>
              <w:t>(MW)</w:t>
            </w:r>
          </w:p>
        </w:tc>
        <w:tc>
          <w:tcPr>
            <w:tcW w:w="0" w:type="auto"/>
            <w:tcBorders>
              <w:top w:val="single" w:sz="8" w:space="0" w:color="000000"/>
              <w:left w:val="single" w:sz="4" w:space="0" w:color="000000"/>
              <w:bottom w:val="single" w:sz="8" w:space="0" w:color="000000"/>
              <w:right w:val="single" w:sz="4" w:space="0" w:color="000000"/>
            </w:tcBorders>
            <w:shd w:val="clear" w:color="auto" w:fill="95B3D7" w:themeFill="accent1" w:themeFillTint="99"/>
            <w:vAlign w:val="center"/>
          </w:tcPr>
          <w:p w14:paraId="46CBCCAD" w14:textId="77777777" w:rsidR="002F0A87" w:rsidRPr="003D5FB5" w:rsidRDefault="002F0A87" w:rsidP="002F0A87">
            <w:pPr>
              <w:tabs>
                <w:tab w:val="left" w:pos="426"/>
              </w:tabs>
              <w:spacing w:line="360" w:lineRule="auto"/>
              <w:ind w:right="-23"/>
              <w:jc w:val="center"/>
              <w:textAlignment w:val="center"/>
              <w:rPr>
                <w:rFonts w:asciiTheme="minorHAnsi" w:hAnsiTheme="minorHAnsi" w:cstheme="minorHAnsi"/>
                <w:sz w:val="22"/>
                <w:szCs w:val="22"/>
                <w:lang w:eastAsia="en-IN"/>
              </w:rPr>
            </w:pPr>
            <w:r w:rsidRPr="003D5FB5">
              <w:rPr>
                <w:rFonts w:asciiTheme="minorHAnsi" w:hAnsiTheme="minorHAnsi" w:cstheme="minorHAnsi"/>
                <w:b/>
                <w:bCs/>
                <w:color w:val="000000"/>
                <w:kern w:val="2"/>
                <w:sz w:val="22"/>
                <w:szCs w:val="22"/>
                <w:lang w:eastAsia="en-IN"/>
              </w:rPr>
              <w:t>Line Loss (MW)</w:t>
            </w:r>
          </w:p>
        </w:tc>
        <w:tc>
          <w:tcPr>
            <w:tcW w:w="0" w:type="auto"/>
            <w:tcBorders>
              <w:top w:val="single" w:sz="8" w:space="0" w:color="000000"/>
              <w:left w:val="single" w:sz="4" w:space="0" w:color="000000"/>
              <w:bottom w:val="single" w:sz="8" w:space="0" w:color="000000"/>
              <w:right w:val="single" w:sz="4" w:space="0" w:color="000000"/>
            </w:tcBorders>
            <w:shd w:val="clear" w:color="auto" w:fill="95B3D7" w:themeFill="accent1" w:themeFillTint="99"/>
            <w:vAlign w:val="center"/>
          </w:tcPr>
          <w:p w14:paraId="1377DBF2" w14:textId="77777777" w:rsidR="002F0A87" w:rsidRPr="003D5FB5" w:rsidRDefault="002F0A87" w:rsidP="002F0A87">
            <w:pPr>
              <w:tabs>
                <w:tab w:val="left" w:pos="426"/>
              </w:tabs>
              <w:spacing w:line="360" w:lineRule="auto"/>
              <w:ind w:right="-23"/>
              <w:jc w:val="center"/>
              <w:textAlignment w:val="center"/>
              <w:rPr>
                <w:rFonts w:asciiTheme="minorHAnsi" w:hAnsiTheme="minorHAnsi" w:cstheme="minorHAnsi"/>
                <w:sz w:val="22"/>
                <w:szCs w:val="22"/>
                <w:lang w:eastAsia="en-IN"/>
              </w:rPr>
            </w:pPr>
            <w:proofErr w:type="spellStart"/>
            <w:r w:rsidRPr="003D5FB5">
              <w:rPr>
                <w:rFonts w:asciiTheme="minorHAnsi" w:hAnsiTheme="minorHAnsi" w:cstheme="minorHAnsi"/>
                <w:b/>
                <w:bCs/>
                <w:color w:val="000000"/>
                <w:kern w:val="2"/>
                <w:sz w:val="22"/>
                <w:szCs w:val="22"/>
                <w:lang w:eastAsia="en-IN"/>
              </w:rPr>
              <w:t>Trf</w:t>
            </w:r>
            <w:proofErr w:type="spellEnd"/>
            <w:r w:rsidRPr="003D5FB5">
              <w:rPr>
                <w:rFonts w:asciiTheme="minorHAnsi" w:hAnsiTheme="minorHAnsi" w:cstheme="minorHAnsi"/>
                <w:b/>
                <w:bCs/>
                <w:color w:val="000000"/>
                <w:kern w:val="2"/>
                <w:sz w:val="22"/>
                <w:szCs w:val="22"/>
                <w:lang w:eastAsia="en-IN"/>
              </w:rPr>
              <w:t>.</w:t>
            </w:r>
            <w:r w:rsidRPr="003D5FB5">
              <w:rPr>
                <w:rFonts w:asciiTheme="minorHAnsi" w:hAnsiTheme="minorHAnsi" w:cstheme="minorHAnsi"/>
                <w:b/>
                <w:bCs/>
                <w:color w:val="000000"/>
                <w:kern w:val="2"/>
                <w:sz w:val="22"/>
                <w:szCs w:val="22"/>
                <w:lang w:eastAsia="en-IN"/>
              </w:rPr>
              <w:br/>
              <w:t>(No Load Loss)</w:t>
            </w:r>
            <w:r w:rsidRPr="003D5FB5">
              <w:rPr>
                <w:rFonts w:asciiTheme="minorHAnsi" w:hAnsiTheme="minorHAnsi" w:cstheme="minorHAnsi"/>
                <w:b/>
                <w:bCs/>
                <w:color w:val="000000"/>
                <w:kern w:val="2"/>
                <w:sz w:val="22"/>
                <w:szCs w:val="22"/>
                <w:lang w:eastAsia="en-IN"/>
              </w:rPr>
              <w:br/>
              <w:t>(MW)</w:t>
            </w:r>
          </w:p>
        </w:tc>
        <w:tc>
          <w:tcPr>
            <w:tcW w:w="0" w:type="auto"/>
            <w:tcBorders>
              <w:top w:val="single" w:sz="8" w:space="0" w:color="000000"/>
              <w:left w:val="single" w:sz="4" w:space="0" w:color="000000"/>
              <w:bottom w:val="single" w:sz="8" w:space="0" w:color="000000"/>
              <w:right w:val="single" w:sz="4" w:space="0" w:color="000000"/>
            </w:tcBorders>
            <w:shd w:val="clear" w:color="auto" w:fill="95B3D7" w:themeFill="accent1" w:themeFillTint="99"/>
            <w:vAlign w:val="center"/>
          </w:tcPr>
          <w:p w14:paraId="783D973F" w14:textId="77777777" w:rsidR="002F0A87" w:rsidRPr="003D5FB5" w:rsidRDefault="002F0A87" w:rsidP="002F0A87">
            <w:pPr>
              <w:tabs>
                <w:tab w:val="left" w:pos="426"/>
              </w:tabs>
              <w:spacing w:line="360" w:lineRule="auto"/>
              <w:ind w:right="-23"/>
              <w:jc w:val="center"/>
              <w:textAlignment w:val="center"/>
              <w:rPr>
                <w:rFonts w:asciiTheme="minorHAnsi" w:hAnsiTheme="minorHAnsi" w:cstheme="minorHAnsi"/>
                <w:sz w:val="22"/>
                <w:szCs w:val="22"/>
                <w:lang w:eastAsia="en-IN"/>
              </w:rPr>
            </w:pPr>
            <w:proofErr w:type="spellStart"/>
            <w:r w:rsidRPr="003D5FB5">
              <w:rPr>
                <w:rFonts w:asciiTheme="minorHAnsi" w:hAnsiTheme="minorHAnsi" w:cstheme="minorHAnsi"/>
                <w:b/>
                <w:bCs/>
                <w:color w:val="000000"/>
                <w:kern w:val="2"/>
                <w:sz w:val="22"/>
                <w:szCs w:val="22"/>
                <w:lang w:eastAsia="en-IN"/>
              </w:rPr>
              <w:t>Trf</w:t>
            </w:r>
            <w:proofErr w:type="spellEnd"/>
            <w:r w:rsidRPr="003D5FB5">
              <w:rPr>
                <w:rFonts w:asciiTheme="minorHAnsi" w:hAnsiTheme="minorHAnsi" w:cstheme="minorHAnsi"/>
                <w:b/>
                <w:bCs/>
                <w:color w:val="000000"/>
                <w:kern w:val="2"/>
                <w:sz w:val="22"/>
                <w:szCs w:val="22"/>
                <w:lang w:eastAsia="en-IN"/>
              </w:rPr>
              <w:t>.</w:t>
            </w:r>
            <w:r w:rsidRPr="003D5FB5">
              <w:rPr>
                <w:rFonts w:asciiTheme="minorHAnsi" w:hAnsiTheme="minorHAnsi" w:cstheme="minorHAnsi"/>
                <w:b/>
                <w:bCs/>
                <w:color w:val="000000"/>
                <w:kern w:val="2"/>
                <w:sz w:val="22"/>
                <w:szCs w:val="22"/>
                <w:lang w:eastAsia="en-IN"/>
              </w:rPr>
              <w:br/>
              <w:t>(Load Loss)</w:t>
            </w:r>
            <w:r w:rsidRPr="003D5FB5">
              <w:rPr>
                <w:rFonts w:asciiTheme="minorHAnsi" w:hAnsiTheme="minorHAnsi" w:cstheme="minorHAnsi"/>
                <w:b/>
                <w:bCs/>
                <w:color w:val="000000"/>
                <w:kern w:val="2"/>
                <w:sz w:val="22"/>
                <w:szCs w:val="22"/>
                <w:lang w:eastAsia="en-IN"/>
              </w:rPr>
              <w:br/>
              <w:t>(MW)</w:t>
            </w:r>
          </w:p>
        </w:tc>
        <w:tc>
          <w:tcPr>
            <w:tcW w:w="0" w:type="auto"/>
            <w:tcBorders>
              <w:top w:val="single" w:sz="8" w:space="0" w:color="000000"/>
              <w:left w:val="single" w:sz="4" w:space="0" w:color="000000"/>
              <w:bottom w:val="single" w:sz="8" w:space="0" w:color="000000"/>
              <w:right w:val="single" w:sz="4" w:space="0" w:color="000000"/>
            </w:tcBorders>
            <w:shd w:val="clear" w:color="auto" w:fill="95B3D7" w:themeFill="accent1" w:themeFillTint="99"/>
            <w:vAlign w:val="center"/>
          </w:tcPr>
          <w:p w14:paraId="6DE03EE6" w14:textId="77777777" w:rsidR="002F0A87" w:rsidRPr="003D5FB5" w:rsidRDefault="002F0A87" w:rsidP="002F0A87">
            <w:pPr>
              <w:tabs>
                <w:tab w:val="left" w:pos="426"/>
              </w:tabs>
              <w:spacing w:line="360" w:lineRule="auto"/>
              <w:ind w:right="-23"/>
              <w:jc w:val="center"/>
              <w:textAlignment w:val="center"/>
              <w:rPr>
                <w:rFonts w:asciiTheme="minorHAnsi" w:hAnsiTheme="minorHAnsi" w:cstheme="minorHAnsi"/>
                <w:sz w:val="22"/>
                <w:szCs w:val="22"/>
                <w:lang w:eastAsia="en-IN"/>
              </w:rPr>
            </w:pPr>
            <w:r w:rsidRPr="003D5FB5">
              <w:rPr>
                <w:rFonts w:asciiTheme="minorHAnsi" w:hAnsiTheme="minorHAnsi" w:cstheme="minorHAnsi"/>
                <w:b/>
                <w:bCs/>
                <w:color w:val="000000"/>
                <w:kern w:val="2"/>
                <w:sz w:val="22"/>
                <w:szCs w:val="22"/>
                <w:lang w:eastAsia="en-IN"/>
              </w:rPr>
              <w:t>Distributed loss @ 7.68%</w:t>
            </w:r>
            <w:r w:rsidRPr="003D5FB5">
              <w:rPr>
                <w:rFonts w:asciiTheme="minorHAnsi" w:hAnsiTheme="minorHAnsi" w:cstheme="minorHAnsi"/>
                <w:b/>
                <w:bCs/>
                <w:color w:val="000000"/>
                <w:kern w:val="2"/>
                <w:sz w:val="22"/>
                <w:szCs w:val="22"/>
                <w:lang w:eastAsia="en-IN"/>
              </w:rPr>
              <w:br/>
              <w:t>(MW)</w:t>
            </w:r>
          </w:p>
        </w:tc>
        <w:tc>
          <w:tcPr>
            <w:tcW w:w="0" w:type="auto"/>
            <w:tcBorders>
              <w:top w:val="single" w:sz="8" w:space="0" w:color="000000"/>
              <w:left w:val="single" w:sz="4" w:space="0" w:color="000000"/>
              <w:bottom w:val="single" w:sz="8" w:space="0" w:color="000000"/>
              <w:right w:val="single" w:sz="4" w:space="0" w:color="000000"/>
            </w:tcBorders>
            <w:shd w:val="clear" w:color="auto" w:fill="95B3D7" w:themeFill="accent1" w:themeFillTint="99"/>
            <w:vAlign w:val="center"/>
          </w:tcPr>
          <w:p w14:paraId="4ED9F6DD" w14:textId="77777777" w:rsidR="002F0A87" w:rsidRPr="003D5FB5" w:rsidRDefault="002F0A87" w:rsidP="002F0A87">
            <w:pPr>
              <w:tabs>
                <w:tab w:val="left" w:pos="426"/>
              </w:tabs>
              <w:spacing w:line="360" w:lineRule="auto"/>
              <w:ind w:right="-23"/>
              <w:jc w:val="center"/>
              <w:textAlignment w:val="center"/>
              <w:rPr>
                <w:rFonts w:asciiTheme="minorHAnsi" w:hAnsiTheme="minorHAnsi" w:cstheme="minorHAnsi"/>
                <w:sz w:val="22"/>
                <w:szCs w:val="22"/>
                <w:lang w:eastAsia="en-IN"/>
              </w:rPr>
            </w:pPr>
            <w:r w:rsidRPr="003D5FB5">
              <w:rPr>
                <w:rFonts w:asciiTheme="minorHAnsi" w:hAnsiTheme="minorHAnsi" w:cstheme="minorHAnsi"/>
                <w:b/>
                <w:bCs/>
                <w:color w:val="000000"/>
                <w:kern w:val="2"/>
                <w:sz w:val="22"/>
                <w:szCs w:val="22"/>
                <w:lang w:eastAsia="en-IN"/>
              </w:rPr>
              <w:t>Total Loss</w:t>
            </w:r>
            <w:r w:rsidRPr="003D5FB5">
              <w:rPr>
                <w:rFonts w:asciiTheme="minorHAnsi" w:hAnsiTheme="minorHAnsi" w:cstheme="minorHAnsi"/>
                <w:b/>
                <w:bCs/>
                <w:color w:val="000000"/>
                <w:kern w:val="2"/>
                <w:sz w:val="22"/>
                <w:szCs w:val="22"/>
                <w:lang w:eastAsia="en-IN"/>
              </w:rPr>
              <w:br/>
              <w:t>(MW)</w:t>
            </w:r>
          </w:p>
        </w:tc>
        <w:tc>
          <w:tcPr>
            <w:tcW w:w="0" w:type="auto"/>
            <w:tcBorders>
              <w:top w:val="single" w:sz="8" w:space="0" w:color="000000"/>
              <w:left w:val="single" w:sz="4" w:space="0" w:color="000000"/>
              <w:bottom w:val="single" w:sz="8" w:space="0" w:color="000000"/>
              <w:right w:val="single" w:sz="8" w:space="0" w:color="000000"/>
            </w:tcBorders>
            <w:shd w:val="clear" w:color="auto" w:fill="95B3D7" w:themeFill="accent1" w:themeFillTint="99"/>
            <w:vAlign w:val="center"/>
          </w:tcPr>
          <w:p w14:paraId="1AE05920" w14:textId="77777777" w:rsidR="002F0A87" w:rsidRPr="003D5FB5" w:rsidRDefault="002F0A87" w:rsidP="002F0A87">
            <w:pPr>
              <w:tabs>
                <w:tab w:val="left" w:pos="426"/>
              </w:tabs>
              <w:spacing w:line="360" w:lineRule="auto"/>
              <w:ind w:right="-23"/>
              <w:jc w:val="center"/>
              <w:textAlignment w:val="center"/>
              <w:rPr>
                <w:rFonts w:asciiTheme="minorHAnsi" w:hAnsiTheme="minorHAnsi" w:cstheme="minorHAnsi"/>
                <w:sz w:val="22"/>
                <w:szCs w:val="22"/>
                <w:lang w:eastAsia="en-IN"/>
              </w:rPr>
            </w:pPr>
            <w:r w:rsidRPr="003D5FB5">
              <w:rPr>
                <w:rFonts w:asciiTheme="minorHAnsi" w:hAnsiTheme="minorHAnsi" w:cstheme="minorHAnsi"/>
                <w:b/>
                <w:bCs/>
                <w:color w:val="000000"/>
                <w:kern w:val="2"/>
                <w:sz w:val="22"/>
                <w:szCs w:val="22"/>
                <w:lang w:eastAsia="en-IN"/>
              </w:rPr>
              <w:t>Annual Tech loss in %</w:t>
            </w:r>
          </w:p>
        </w:tc>
      </w:tr>
      <w:tr w:rsidR="002F0A87" w:rsidRPr="003D5FB5" w14:paraId="7AB93668" w14:textId="77777777" w:rsidTr="004B69C1">
        <w:trPr>
          <w:trHeight w:val="323"/>
        </w:trPr>
        <w:tc>
          <w:tcPr>
            <w:tcW w:w="871" w:type="dxa"/>
            <w:tcBorders>
              <w:top w:val="single" w:sz="8" w:space="0" w:color="000000"/>
              <w:left w:val="single" w:sz="8" w:space="0" w:color="000000"/>
              <w:bottom w:val="single" w:sz="4" w:space="0" w:color="000000"/>
              <w:right w:val="single" w:sz="4" w:space="0" w:color="000000"/>
            </w:tcBorders>
            <w:shd w:val="clear" w:color="auto" w:fill="auto"/>
            <w:vAlign w:val="bottom"/>
          </w:tcPr>
          <w:p w14:paraId="2C6E57A0" w14:textId="77777777" w:rsidR="002F0A87" w:rsidRPr="003D5FB5" w:rsidRDefault="002F0A87" w:rsidP="002F0A87">
            <w:pPr>
              <w:tabs>
                <w:tab w:val="left" w:pos="426"/>
              </w:tabs>
              <w:spacing w:line="360" w:lineRule="auto"/>
              <w:ind w:right="-23"/>
              <w:jc w:val="both"/>
              <w:textAlignment w:val="bottom"/>
              <w:rPr>
                <w:rFonts w:asciiTheme="minorHAnsi" w:hAnsiTheme="minorHAnsi" w:cstheme="minorHAnsi"/>
                <w:sz w:val="22"/>
                <w:szCs w:val="22"/>
                <w:lang w:eastAsia="en-IN"/>
              </w:rPr>
            </w:pPr>
            <w:proofErr w:type="spellStart"/>
            <w:r w:rsidRPr="003D5FB5">
              <w:rPr>
                <w:rFonts w:asciiTheme="minorHAnsi" w:hAnsiTheme="minorHAnsi" w:cstheme="minorHAnsi"/>
                <w:color w:val="000000"/>
                <w:kern w:val="2"/>
                <w:sz w:val="22"/>
                <w:szCs w:val="22"/>
                <w:lang w:eastAsia="en-IN"/>
              </w:rPr>
              <w:t>Balasore</w:t>
            </w:r>
            <w:proofErr w:type="spellEnd"/>
          </w:p>
        </w:tc>
        <w:tc>
          <w:tcPr>
            <w:tcW w:w="0" w:type="auto"/>
            <w:tcBorders>
              <w:top w:val="single" w:sz="8" w:space="0" w:color="000000"/>
              <w:left w:val="single" w:sz="4" w:space="0" w:color="000000"/>
              <w:bottom w:val="single" w:sz="4" w:space="0" w:color="000000"/>
              <w:right w:val="single" w:sz="4" w:space="0" w:color="000000"/>
            </w:tcBorders>
            <w:shd w:val="clear" w:color="auto" w:fill="auto"/>
            <w:vAlign w:val="center"/>
          </w:tcPr>
          <w:p w14:paraId="20247257" w14:textId="77777777" w:rsidR="002F0A87" w:rsidRPr="003D5FB5" w:rsidRDefault="002F0A87" w:rsidP="002F0A87">
            <w:pPr>
              <w:tabs>
                <w:tab w:val="left" w:pos="426"/>
              </w:tabs>
              <w:spacing w:line="360" w:lineRule="auto"/>
              <w:ind w:right="-23"/>
              <w:jc w:val="center"/>
              <w:textAlignment w:val="center"/>
              <w:rPr>
                <w:rFonts w:asciiTheme="minorHAnsi" w:hAnsiTheme="minorHAnsi" w:cstheme="minorHAnsi"/>
                <w:sz w:val="22"/>
                <w:szCs w:val="22"/>
                <w:lang w:eastAsia="en-IN"/>
              </w:rPr>
            </w:pPr>
            <w:r w:rsidRPr="003D5FB5">
              <w:rPr>
                <w:rFonts w:asciiTheme="minorHAnsi" w:hAnsiTheme="minorHAnsi" w:cstheme="minorHAnsi"/>
                <w:color w:val="000000"/>
                <w:kern w:val="2"/>
                <w:sz w:val="22"/>
                <w:szCs w:val="22"/>
                <w:lang w:eastAsia="en-IN"/>
              </w:rPr>
              <w:t>287.16</w:t>
            </w:r>
          </w:p>
        </w:tc>
        <w:tc>
          <w:tcPr>
            <w:tcW w:w="0" w:type="auto"/>
            <w:tcBorders>
              <w:top w:val="single" w:sz="8" w:space="0" w:color="000000"/>
              <w:left w:val="single" w:sz="4" w:space="0" w:color="000000"/>
              <w:bottom w:val="single" w:sz="4" w:space="0" w:color="000000"/>
              <w:right w:val="single" w:sz="4" w:space="0" w:color="000000"/>
            </w:tcBorders>
            <w:shd w:val="clear" w:color="auto" w:fill="auto"/>
            <w:vAlign w:val="center"/>
          </w:tcPr>
          <w:p w14:paraId="31432595" w14:textId="77777777" w:rsidR="002F0A87" w:rsidRPr="003D5FB5" w:rsidRDefault="002F0A87" w:rsidP="002F0A87">
            <w:pPr>
              <w:tabs>
                <w:tab w:val="left" w:pos="426"/>
              </w:tabs>
              <w:spacing w:line="360" w:lineRule="auto"/>
              <w:ind w:right="-23"/>
              <w:jc w:val="center"/>
              <w:textAlignment w:val="center"/>
              <w:rPr>
                <w:rFonts w:asciiTheme="minorHAnsi" w:hAnsiTheme="minorHAnsi" w:cstheme="minorHAnsi"/>
                <w:sz w:val="22"/>
                <w:szCs w:val="22"/>
                <w:lang w:eastAsia="en-IN"/>
              </w:rPr>
            </w:pPr>
            <w:r w:rsidRPr="003D5FB5">
              <w:rPr>
                <w:rFonts w:asciiTheme="minorHAnsi" w:hAnsiTheme="minorHAnsi" w:cstheme="minorHAnsi"/>
                <w:color w:val="000000"/>
                <w:kern w:val="2"/>
                <w:sz w:val="22"/>
                <w:szCs w:val="22"/>
                <w:lang w:eastAsia="en-IN"/>
              </w:rPr>
              <w:t>12.01</w:t>
            </w:r>
          </w:p>
        </w:tc>
        <w:tc>
          <w:tcPr>
            <w:tcW w:w="0" w:type="auto"/>
            <w:tcBorders>
              <w:top w:val="single" w:sz="8" w:space="0" w:color="000000"/>
              <w:left w:val="single" w:sz="4" w:space="0" w:color="000000"/>
              <w:bottom w:val="single" w:sz="4" w:space="0" w:color="000000"/>
              <w:right w:val="single" w:sz="4" w:space="0" w:color="000000"/>
            </w:tcBorders>
            <w:shd w:val="clear" w:color="auto" w:fill="auto"/>
            <w:vAlign w:val="center"/>
          </w:tcPr>
          <w:p w14:paraId="7805A4E2" w14:textId="77777777" w:rsidR="002F0A87" w:rsidRPr="003D5FB5" w:rsidRDefault="002F0A87" w:rsidP="002F0A87">
            <w:pPr>
              <w:tabs>
                <w:tab w:val="left" w:pos="426"/>
              </w:tabs>
              <w:spacing w:line="360" w:lineRule="auto"/>
              <w:ind w:right="-23"/>
              <w:jc w:val="center"/>
              <w:textAlignment w:val="center"/>
              <w:rPr>
                <w:rFonts w:asciiTheme="minorHAnsi" w:hAnsiTheme="minorHAnsi" w:cstheme="minorHAnsi"/>
                <w:sz w:val="22"/>
                <w:szCs w:val="22"/>
                <w:lang w:eastAsia="en-IN"/>
              </w:rPr>
            </w:pPr>
            <w:r w:rsidRPr="003D5FB5">
              <w:rPr>
                <w:rFonts w:asciiTheme="minorHAnsi" w:hAnsiTheme="minorHAnsi" w:cstheme="minorHAnsi"/>
                <w:color w:val="000000"/>
                <w:kern w:val="2"/>
                <w:sz w:val="22"/>
                <w:szCs w:val="22"/>
                <w:lang w:eastAsia="en-IN"/>
              </w:rPr>
              <w:t>0.52</w:t>
            </w:r>
          </w:p>
        </w:tc>
        <w:tc>
          <w:tcPr>
            <w:tcW w:w="0" w:type="auto"/>
            <w:tcBorders>
              <w:top w:val="single" w:sz="8" w:space="0" w:color="000000"/>
              <w:left w:val="single" w:sz="4" w:space="0" w:color="000000"/>
              <w:bottom w:val="single" w:sz="4" w:space="0" w:color="000000"/>
              <w:right w:val="single" w:sz="4" w:space="0" w:color="000000"/>
            </w:tcBorders>
            <w:shd w:val="clear" w:color="auto" w:fill="auto"/>
            <w:vAlign w:val="center"/>
          </w:tcPr>
          <w:p w14:paraId="0B93778D" w14:textId="77777777" w:rsidR="002F0A87" w:rsidRPr="003D5FB5" w:rsidRDefault="002F0A87" w:rsidP="002F0A87">
            <w:pPr>
              <w:tabs>
                <w:tab w:val="left" w:pos="426"/>
              </w:tabs>
              <w:spacing w:line="360" w:lineRule="auto"/>
              <w:ind w:right="-23"/>
              <w:jc w:val="center"/>
              <w:textAlignment w:val="center"/>
              <w:rPr>
                <w:rFonts w:asciiTheme="minorHAnsi" w:hAnsiTheme="minorHAnsi" w:cstheme="minorHAnsi"/>
                <w:sz w:val="22"/>
                <w:szCs w:val="22"/>
                <w:lang w:eastAsia="en-IN"/>
              </w:rPr>
            </w:pPr>
            <w:r w:rsidRPr="003D5FB5">
              <w:rPr>
                <w:rFonts w:asciiTheme="minorHAnsi" w:hAnsiTheme="minorHAnsi" w:cstheme="minorHAnsi"/>
                <w:color w:val="000000"/>
                <w:kern w:val="2"/>
                <w:sz w:val="22"/>
                <w:szCs w:val="22"/>
                <w:lang w:eastAsia="en-IN"/>
              </w:rPr>
              <w:t>0.94</w:t>
            </w:r>
          </w:p>
        </w:tc>
        <w:tc>
          <w:tcPr>
            <w:tcW w:w="0" w:type="auto"/>
            <w:tcBorders>
              <w:top w:val="single" w:sz="8" w:space="0" w:color="000000"/>
              <w:left w:val="single" w:sz="4" w:space="0" w:color="000000"/>
              <w:bottom w:val="single" w:sz="4" w:space="0" w:color="000000"/>
              <w:right w:val="single" w:sz="4" w:space="0" w:color="000000"/>
            </w:tcBorders>
            <w:shd w:val="clear" w:color="auto" w:fill="auto"/>
            <w:vAlign w:val="center"/>
          </w:tcPr>
          <w:p w14:paraId="335E2308" w14:textId="77777777" w:rsidR="002F0A87" w:rsidRPr="003D5FB5" w:rsidRDefault="002F0A87" w:rsidP="002F0A87">
            <w:pPr>
              <w:tabs>
                <w:tab w:val="left" w:pos="426"/>
              </w:tabs>
              <w:spacing w:line="360" w:lineRule="auto"/>
              <w:ind w:right="-23"/>
              <w:jc w:val="center"/>
              <w:textAlignment w:val="center"/>
              <w:rPr>
                <w:rFonts w:asciiTheme="minorHAnsi" w:hAnsiTheme="minorHAnsi" w:cstheme="minorHAnsi"/>
                <w:sz w:val="22"/>
                <w:szCs w:val="22"/>
                <w:lang w:eastAsia="en-IN"/>
              </w:rPr>
            </w:pPr>
            <w:r w:rsidRPr="003D5FB5">
              <w:rPr>
                <w:rFonts w:asciiTheme="minorHAnsi" w:hAnsiTheme="minorHAnsi" w:cstheme="minorHAnsi"/>
                <w:color w:val="000000"/>
                <w:kern w:val="2"/>
                <w:sz w:val="22"/>
                <w:szCs w:val="22"/>
                <w:lang w:eastAsia="en-IN"/>
              </w:rPr>
              <w:t>1.03</w:t>
            </w:r>
          </w:p>
        </w:tc>
        <w:tc>
          <w:tcPr>
            <w:tcW w:w="0" w:type="auto"/>
            <w:tcBorders>
              <w:top w:val="single" w:sz="8" w:space="0" w:color="000000"/>
              <w:left w:val="single" w:sz="4" w:space="0" w:color="000000"/>
              <w:bottom w:val="single" w:sz="4" w:space="0" w:color="000000"/>
              <w:right w:val="single" w:sz="4" w:space="0" w:color="000000"/>
            </w:tcBorders>
            <w:shd w:val="clear" w:color="auto" w:fill="auto"/>
            <w:vAlign w:val="center"/>
          </w:tcPr>
          <w:p w14:paraId="3D72B655" w14:textId="77777777" w:rsidR="002F0A87" w:rsidRPr="003D5FB5" w:rsidRDefault="002F0A87" w:rsidP="002F0A87">
            <w:pPr>
              <w:tabs>
                <w:tab w:val="left" w:pos="426"/>
              </w:tabs>
              <w:spacing w:line="360" w:lineRule="auto"/>
              <w:ind w:right="-23"/>
              <w:jc w:val="center"/>
              <w:textAlignment w:val="center"/>
              <w:rPr>
                <w:rFonts w:asciiTheme="minorHAnsi" w:hAnsiTheme="minorHAnsi" w:cstheme="minorHAnsi"/>
                <w:sz w:val="22"/>
                <w:szCs w:val="22"/>
                <w:lang w:eastAsia="en-IN"/>
              </w:rPr>
            </w:pPr>
            <w:r w:rsidRPr="003D5FB5">
              <w:rPr>
                <w:rFonts w:asciiTheme="minorHAnsi" w:hAnsiTheme="minorHAnsi" w:cstheme="minorHAnsi"/>
                <w:color w:val="000000"/>
                <w:kern w:val="2"/>
                <w:sz w:val="22"/>
                <w:szCs w:val="22"/>
                <w:lang w:eastAsia="en-IN"/>
              </w:rPr>
              <w:t>14.5</w:t>
            </w:r>
          </w:p>
        </w:tc>
        <w:tc>
          <w:tcPr>
            <w:tcW w:w="0" w:type="auto"/>
            <w:tcBorders>
              <w:top w:val="single" w:sz="8" w:space="0" w:color="000000"/>
              <w:left w:val="single" w:sz="4" w:space="0" w:color="000000"/>
              <w:bottom w:val="single" w:sz="4" w:space="0" w:color="000000"/>
              <w:right w:val="single" w:sz="8" w:space="0" w:color="000000"/>
            </w:tcBorders>
            <w:shd w:val="clear" w:color="auto" w:fill="auto"/>
            <w:vAlign w:val="center"/>
          </w:tcPr>
          <w:p w14:paraId="74C9BF34" w14:textId="77777777" w:rsidR="002F0A87" w:rsidRPr="003D5FB5" w:rsidRDefault="002F0A87" w:rsidP="002F0A87">
            <w:pPr>
              <w:tabs>
                <w:tab w:val="left" w:pos="426"/>
              </w:tabs>
              <w:spacing w:line="360" w:lineRule="auto"/>
              <w:ind w:right="-23"/>
              <w:jc w:val="center"/>
              <w:textAlignment w:val="center"/>
              <w:rPr>
                <w:rFonts w:asciiTheme="minorHAnsi" w:hAnsiTheme="minorHAnsi" w:cstheme="minorHAnsi"/>
                <w:sz w:val="22"/>
                <w:szCs w:val="22"/>
                <w:lang w:eastAsia="en-IN"/>
              </w:rPr>
            </w:pPr>
            <w:r w:rsidRPr="003D5FB5">
              <w:rPr>
                <w:rFonts w:asciiTheme="minorHAnsi" w:hAnsiTheme="minorHAnsi" w:cstheme="minorHAnsi"/>
                <w:color w:val="000000"/>
                <w:kern w:val="2"/>
                <w:sz w:val="22"/>
                <w:szCs w:val="22"/>
                <w:lang w:eastAsia="en-IN"/>
              </w:rPr>
              <w:t>3.26</w:t>
            </w:r>
          </w:p>
        </w:tc>
      </w:tr>
      <w:tr w:rsidR="002F0A87" w:rsidRPr="003D5FB5" w14:paraId="7B0737AE" w14:textId="77777777" w:rsidTr="004B69C1">
        <w:trPr>
          <w:trHeight w:val="323"/>
        </w:trPr>
        <w:tc>
          <w:tcPr>
            <w:tcW w:w="871" w:type="dxa"/>
            <w:tcBorders>
              <w:top w:val="single" w:sz="4" w:space="0" w:color="000000"/>
              <w:left w:val="single" w:sz="8" w:space="0" w:color="000000"/>
              <w:bottom w:val="single" w:sz="4" w:space="0" w:color="000000"/>
              <w:right w:val="single" w:sz="4" w:space="0" w:color="000000"/>
            </w:tcBorders>
            <w:shd w:val="clear" w:color="auto" w:fill="auto"/>
            <w:vAlign w:val="bottom"/>
          </w:tcPr>
          <w:p w14:paraId="2E693230" w14:textId="77777777" w:rsidR="002F0A87" w:rsidRPr="003D5FB5" w:rsidRDefault="002F0A87" w:rsidP="002F0A87">
            <w:pPr>
              <w:tabs>
                <w:tab w:val="left" w:pos="426"/>
              </w:tabs>
              <w:spacing w:line="360" w:lineRule="auto"/>
              <w:ind w:right="-23"/>
              <w:jc w:val="both"/>
              <w:textAlignment w:val="bottom"/>
              <w:rPr>
                <w:rFonts w:asciiTheme="minorHAnsi" w:hAnsiTheme="minorHAnsi" w:cstheme="minorHAnsi"/>
                <w:sz w:val="22"/>
                <w:szCs w:val="22"/>
                <w:lang w:eastAsia="en-IN"/>
              </w:rPr>
            </w:pPr>
            <w:proofErr w:type="spellStart"/>
            <w:r w:rsidRPr="003D5FB5">
              <w:rPr>
                <w:rFonts w:asciiTheme="minorHAnsi" w:hAnsiTheme="minorHAnsi" w:cstheme="minorHAnsi"/>
                <w:color w:val="000000"/>
                <w:kern w:val="2"/>
                <w:sz w:val="22"/>
                <w:szCs w:val="22"/>
                <w:lang w:eastAsia="en-IN"/>
              </w:rPr>
              <w:t>Baripada</w:t>
            </w:r>
            <w:proofErr w:type="spellEnd"/>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tcPr>
          <w:p w14:paraId="14B71F67" w14:textId="77777777" w:rsidR="002F0A87" w:rsidRPr="003D5FB5" w:rsidRDefault="002F0A87" w:rsidP="002F0A87">
            <w:pPr>
              <w:tabs>
                <w:tab w:val="left" w:pos="426"/>
              </w:tabs>
              <w:spacing w:line="360" w:lineRule="auto"/>
              <w:ind w:right="-23"/>
              <w:jc w:val="center"/>
              <w:textAlignment w:val="center"/>
              <w:rPr>
                <w:rFonts w:asciiTheme="minorHAnsi" w:hAnsiTheme="minorHAnsi" w:cstheme="minorHAnsi"/>
                <w:sz w:val="22"/>
                <w:szCs w:val="22"/>
                <w:lang w:eastAsia="en-IN"/>
              </w:rPr>
            </w:pPr>
            <w:r w:rsidRPr="003D5FB5">
              <w:rPr>
                <w:rFonts w:asciiTheme="minorHAnsi" w:hAnsiTheme="minorHAnsi" w:cstheme="minorHAnsi"/>
                <w:color w:val="000000"/>
                <w:kern w:val="2"/>
                <w:sz w:val="22"/>
                <w:szCs w:val="22"/>
                <w:lang w:eastAsia="en-IN"/>
              </w:rPr>
              <w:t>133.76</w:t>
            </w:r>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tcPr>
          <w:p w14:paraId="503C5C3A" w14:textId="77777777" w:rsidR="002F0A87" w:rsidRPr="003D5FB5" w:rsidRDefault="002F0A87" w:rsidP="002F0A87">
            <w:pPr>
              <w:tabs>
                <w:tab w:val="left" w:pos="426"/>
              </w:tabs>
              <w:spacing w:line="360" w:lineRule="auto"/>
              <w:ind w:right="-23"/>
              <w:jc w:val="center"/>
              <w:textAlignment w:val="center"/>
              <w:rPr>
                <w:rFonts w:asciiTheme="minorHAnsi" w:hAnsiTheme="minorHAnsi" w:cstheme="minorHAnsi"/>
                <w:sz w:val="22"/>
                <w:szCs w:val="22"/>
                <w:lang w:eastAsia="en-IN"/>
              </w:rPr>
            </w:pPr>
            <w:r w:rsidRPr="003D5FB5">
              <w:rPr>
                <w:rFonts w:asciiTheme="minorHAnsi" w:hAnsiTheme="minorHAnsi" w:cstheme="minorHAnsi"/>
                <w:color w:val="000000"/>
                <w:kern w:val="2"/>
                <w:sz w:val="22"/>
                <w:szCs w:val="22"/>
                <w:lang w:eastAsia="en-IN"/>
              </w:rPr>
              <w:t>4.87</w:t>
            </w:r>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tcPr>
          <w:p w14:paraId="36AB048C" w14:textId="77777777" w:rsidR="002F0A87" w:rsidRPr="003D5FB5" w:rsidRDefault="002F0A87" w:rsidP="002F0A87">
            <w:pPr>
              <w:tabs>
                <w:tab w:val="left" w:pos="426"/>
              </w:tabs>
              <w:spacing w:line="360" w:lineRule="auto"/>
              <w:ind w:right="-23"/>
              <w:jc w:val="center"/>
              <w:textAlignment w:val="center"/>
              <w:rPr>
                <w:rFonts w:asciiTheme="minorHAnsi" w:hAnsiTheme="minorHAnsi" w:cstheme="minorHAnsi"/>
                <w:sz w:val="22"/>
                <w:szCs w:val="22"/>
                <w:lang w:eastAsia="en-IN"/>
              </w:rPr>
            </w:pPr>
            <w:r w:rsidRPr="003D5FB5">
              <w:rPr>
                <w:rFonts w:asciiTheme="minorHAnsi" w:hAnsiTheme="minorHAnsi" w:cstheme="minorHAnsi"/>
                <w:color w:val="000000"/>
                <w:kern w:val="2"/>
                <w:sz w:val="22"/>
                <w:szCs w:val="22"/>
                <w:lang w:eastAsia="en-IN"/>
              </w:rPr>
              <w:t>0.65</w:t>
            </w:r>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tcPr>
          <w:p w14:paraId="59DA42C7" w14:textId="77777777" w:rsidR="002F0A87" w:rsidRPr="003D5FB5" w:rsidRDefault="002F0A87" w:rsidP="002F0A87">
            <w:pPr>
              <w:tabs>
                <w:tab w:val="left" w:pos="426"/>
              </w:tabs>
              <w:spacing w:line="360" w:lineRule="auto"/>
              <w:ind w:right="-23"/>
              <w:jc w:val="center"/>
              <w:textAlignment w:val="center"/>
              <w:rPr>
                <w:rFonts w:asciiTheme="minorHAnsi" w:hAnsiTheme="minorHAnsi" w:cstheme="minorHAnsi"/>
                <w:sz w:val="22"/>
                <w:szCs w:val="22"/>
                <w:lang w:eastAsia="en-IN"/>
              </w:rPr>
            </w:pPr>
            <w:r w:rsidRPr="003D5FB5">
              <w:rPr>
                <w:rFonts w:asciiTheme="minorHAnsi" w:hAnsiTheme="minorHAnsi" w:cstheme="minorHAnsi"/>
                <w:color w:val="000000"/>
                <w:kern w:val="2"/>
                <w:sz w:val="22"/>
                <w:szCs w:val="22"/>
                <w:lang w:eastAsia="en-IN"/>
              </w:rPr>
              <w:t>0.86</w:t>
            </w:r>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tcPr>
          <w:p w14:paraId="2540B6EB" w14:textId="77777777" w:rsidR="002F0A87" w:rsidRPr="003D5FB5" w:rsidRDefault="002F0A87" w:rsidP="002F0A87">
            <w:pPr>
              <w:tabs>
                <w:tab w:val="left" w:pos="426"/>
              </w:tabs>
              <w:spacing w:line="360" w:lineRule="auto"/>
              <w:ind w:right="-23"/>
              <w:jc w:val="center"/>
              <w:textAlignment w:val="center"/>
              <w:rPr>
                <w:rFonts w:asciiTheme="minorHAnsi" w:hAnsiTheme="minorHAnsi" w:cstheme="minorHAnsi"/>
                <w:sz w:val="22"/>
                <w:szCs w:val="22"/>
                <w:lang w:eastAsia="en-IN"/>
              </w:rPr>
            </w:pPr>
            <w:r w:rsidRPr="003D5FB5">
              <w:rPr>
                <w:rFonts w:asciiTheme="minorHAnsi" w:hAnsiTheme="minorHAnsi" w:cstheme="minorHAnsi"/>
                <w:color w:val="000000"/>
                <w:kern w:val="2"/>
                <w:sz w:val="22"/>
                <w:szCs w:val="22"/>
                <w:lang w:eastAsia="en-IN"/>
              </w:rPr>
              <w:t>0.49</w:t>
            </w:r>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tcPr>
          <w:p w14:paraId="3EB61B0E" w14:textId="77777777" w:rsidR="002F0A87" w:rsidRPr="003D5FB5" w:rsidRDefault="002F0A87" w:rsidP="002F0A87">
            <w:pPr>
              <w:tabs>
                <w:tab w:val="left" w:pos="426"/>
              </w:tabs>
              <w:spacing w:line="360" w:lineRule="auto"/>
              <w:ind w:right="-23"/>
              <w:jc w:val="center"/>
              <w:textAlignment w:val="center"/>
              <w:rPr>
                <w:rFonts w:asciiTheme="minorHAnsi" w:hAnsiTheme="minorHAnsi" w:cstheme="minorHAnsi"/>
                <w:sz w:val="22"/>
                <w:szCs w:val="22"/>
                <w:lang w:eastAsia="en-IN"/>
              </w:rPr>
            </w:pPr>
            <w:r w:rsidRPr="003D5FB5">
              <w:rPr>
                <w:rFonts w:asciiTheme="minorHAnsi" w:hAnsiTheme="minorHAnsi" w:cstheme="minorHAnsi"/>
                <w:color w:val="000000"/>
                <w:kern w:val="2"/>
                <w:sz w:val="22"/>
                <w:szCs w:val="22"/>
                <w:lang w:eastAsia="en-IN"/>
              </w:rPr>
              <w:t>6.87</w:t>
            </w:r>
          </w:p>
        </w:tc>
        <w:tc>
          <w:tcPr>
            <w:tcW w:w="0" w:type="auto"/>
            <w:tcBorders>
              <w:top w:val="single" w:sz="4" w:space="0" w:color="000000"/>
              <w:left w:val="single" w:sz="4" w:space="0" w:color="000000"/>
              <w:bottom w:val="single" w:sz="4" w:space="0" w:color="000000"/>
              <w:right w:val="single" w:sz="8" w:space="0" w:color="000000"/>
            </w:tcBorders>
            <w:shd w:val="clear" w:color="auto" w:fill="auto"/>
            <w:vAlign w:val="center"/>
          </w:tcPr>
          <w:p w14:paraId="6B38BF13" w14:textId="77777777" w:rsidR="002F0A87" w:rsidRPr="003D5FB5" w:rsidRDefault="002F0A87" w:rsidP="002F0A87">
            <w:pPr>
              <w:tabs>
                <w:tab w:val="left" w:pos="426"/>
              </w:tabs>
              <w:spacing w:line="360" w:lineRule="auto"/>
              <w:ind w:right="-23"/>
              <w:jc w:val="center"/>
              <w:textAlignment w:val="center"/>
              <w:rPr>
                <w:rFonts w:asciiTheme="minorHAnsi" w:hAnsiTheme="minorHAnsi" w:cstheme="minorHAnsi"/>
                <w:sz w:val="22"/>
                <w:szCs w:val="22"/>
                <w:lang w:eastAsia="en-IN"/>
              </w:rPr>
            </w:pPr>
            <w:r w:rsidRPr="003D5FB5">
              <w:rPr>
                <w:rFonts w:asciiTheme="minorHAnsi" w:hAnsiTheme="minorHAnsi" w:cstheme="minorHAnsi"/>
                <w:color w:val="000000"/>
                <w:kern w:val="2"/>
                <w:sz w:val="22"/>
                <w:szCs w:val="22"/>
                <w:lang w:eastAsia="en-IN"/>
              </w:rPr>
              <w:t>3.95</w:t>
            </w:r>
          </w:p>
        </w:tc>
      </w:tr>
      <w:tr w:rsidR="002F0A87" w:rsidRPr="003D5FB5" w14:paraId="4A146A61" w14:textId="77777777" w:rsidTr="004B69C1">
        <w:trPr>
          <w:trHeight w:val="323"/>
        </w:trPr>
        <w:tc>
          <w:tcPr>
            <w:tcW w:w="871" w:type="dxa"/>
            <w:tcBorders>
              <w:top w:val="single" w:sz="4" w:space="0" w:color="000000"/>
              <w:left w:val="single" w:sz="8" w:space="0" w:color="000000"/>
              <w:bottom w:val="single" w:sz="4" w:space="0" w:color="000000"/>
              <w:right w:val="single" w:sz="4" w:space="0" w:color="000000"/>
            </w:tcBorders>
            <w:shd w:val="clear" w:color="auto" w:fill="auto"/>
            <w:vAlign w:val="bottom"/>
          </w:tcPr>
          <w:p w14:paraId="5EF0111C" w14:textId="77777777" w:rsidR="002F0A87" w:rsidRPr="003D5FB5" w:rsidRDefault="002F0A87" w:rsidP="002F0A87">
            <w:pPr>
              <w:tabs>
                <w:tab w:val="left" w:pos="426"/>
              </w:tabs>
              <w:spacing w:line="360" w:lineRule="auto"/>
              <w:ind w:right="-23"/>
              <w:jc w:val="both"/>
              <w:textAlignment w:val="bottom"/>
              <w:rPr>
                <w:rFonts w:asciiTheme="minorHAnsi" w:hAnsiTheme="minorHAnsi" w:cstheme="minorHAnsi"/>
                <w:sz w:val="22"/>
                <w:szCs w:val="22"/>
                <w:lang w:eastAsia="en-IN"/>
              </w:rPr>
            </w:pPr>
            <w:proofErr w:type="spellStart"/>
            <w:r w:rsidRPr="003D5FB5">
              <w:rPr>
                <w:rFonts w:asciiTheme="minorHAnsi" w:hAnsiTheme="minorHAnsi" w:cstheme="minorHAnsi"/>
                <w:color w:val="000000"/>
                <w:kern w:val="2"/>
                <w:sz w:val="22"/>
                <w:szCs w:val="22"/>
                <w:lang w:eastAsia="en-IN"/>
              </w:rPr>
              <w:t>Bhadrak</w:t>
            </w:r>
            <w:proofErr w:type="spellEnd"/>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tcPr>
          <w:p w14:paraId="3ACD4599" w14:textId="77777777" w:rsidR="002F0A87" w:rsidRPr="003D5FB5" w:rsidRDefault="002F0A87" w:rsidP="002F0A87">
            <w:pPr>
              <w:tabs>
                <w:tab w:val="left" w:pos="426"/>
              </w:tabs>
              <w:spacing w:line="360" w:lineRule="auto"/>
              <w:ind w:right="-23"/>
              <w:jc w:val="center"/>
              <w:textAlignment w:val="center"/>
              <w:rPr>
                <w:rFonts w:asciiTheme="minorHAnsi" w:hAnsiTheme="minorHAnsi" w:cstheme="minorHAnsi"/>
                <w:sz w:val="22"/>
                <w:szCs w:val="22"/>
                <w:lang w:eastAsia="en-IN"/>
              </w:rPr>
            </w:pPr>
            <w:r w:rsidRPr="003D5FB5">
              <w:rPr>
                <w:rFonts w:asciiTheme="minorHAnsi" w:hAnsiTheme="minorHAnsi" w:cstheme="minorHAnsi"/>
                <w:color w:val="000000"/>
                <w:kern w:val="2"/>
                <w:sz w:val="22"/>
                <w:szCs w:val="22"/>
                <w:lang w:eastAsia="en-IN"/>
              </w:rPr>
              <w:t>111.05</w:t>
            </w:r>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tcPr>
          <w:p w14:paraId="6FF3E408" w14:textId="77777777" w:rsidR="002F0A87" w:rsidRPr="003D5FB5" w:rsidRDefault="002F0A87" w:rsidP="002F0A87">
            <w:pPr>
              <w:tabs>
                <w:tab w:val="left" w:pos="426"/>
              </w:tabs>
              <w:spacing w:line="360" w:lineRule="auto"/>
              <w:ind w:right="-23"/>
              <w:jc w:val="center"/>
              <w:textAlignment w:val="center"/>
              <w:rPr>
                <w:rFonts w:asciiTheme="minorHAnsi" w:hAnsiTheme="minorHAnsi" w:cstheme="minorHAnsi"/>
                <w:sz w:val="22"/>
                <w:szCs w:val="22"/>
                <w:lang w:eastAsia="en-IN"/>
              </w:rPr>
            </w:pPr>
            <w:r w:rsidRPr="003D5FB5">
              <w:rPr>
                <w:rFonts w:asciiTheme="minorHAnsi" w:hAnsiTheme="minorHAnsi" w:cstheme="minorHAnsi"/>
                <w:color w:val="000000"/>
                <w:kern w:val="2"/>
                <w:sz w:val="22"/>
                <w:szCs w:val="22"/>
                <w:lang w:eastAsia="en-IN"/>
              </w:rPr>
              <w:t>5.83</w:t>
            </w:r>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tcPr>
          <w:p w14:paraId="7A8004DC" w14:textId="77777777" w:rsidR="002F0A87" w:rsidRPr="003D5FB5" w:rsidRDefault="002F0A87" w:rsidP="002F0A87">
            <w:pPr>
              <w:tabs>
                <w:tab w:val="left" w:pos="426"/>
              </w:tabs>
              <w:spacing w:line="360" w:lineRule="auto"/>
              <w:ind w:right="-23"/>
              <w:jc w:val="center"/>
              <w:textAlignment w:val="center"/>
              <w:rPr>
                <w:rFonts w:asciiTheme="minorHAnsi" w:hAnsiTheme="minorHAnsi" w:cstheme="minorHAnsi"/>
                <w:sz w:val="22"/>
                <w:szCs w:val="22"/>
                <w:lang w:eastAsia="en-IN"/>
              </w:rPr>
            </w:pPr>
            <w:r w:rsidRPr="003D5FB5">
              <w:rPr>
                <w:rFonts w:asciiTheme="minorHAnsi" w:hAnsiTheme="minorHAnsi" w:cstheme="minorHAnsi"/>
                <w:color w:val="000000"/>
                <w:kern w:val="2"/>
                <w:sz w:val="22"/>
                <w:szCs w:val="22"/>
                <w:lang w:eastAsia="en-IN"/>
              </w:rPr>
              <w:t>0.32</w:t>
            </w:r>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tcPr>
          <w:p w14:paraId="1C4752CD" w14:textId="77777777" w:rsidR="002F0A87" w:rsidRPr="003D5FB5" w:rsidRDefault="002F0A87" w:rsidP="002F0A87">
            <w:pPr>
              <w:tabs>
                <w:tab w:val="left" w:pos="426"/>
              </w:tabs>
              <w:spacing w:line="360" w:lineRule="auto"/>
              <w:ind w:right="-23"/>
              <w:jc w:val="center"/>
              <w:textAlignment w:val="center"/>
              <w:rPr>
                <w:rFonts w:asciiTheme="minorHAnsi" w:hAnsiTheme="minorHAnsi" w:cstheme="minorHAnsi"/>
                <w:sz w:val="22"/>
                <w:szCs w:val="22"/>
                <w:lang w:eastAsia="en-IN"/>
              </w:rPr>
            </w:pPr>
            <w:r w:rsidRPr="003D5FB5">
              <w:rPr>
                <w:rFonts w:asciiTheme="minorHAnsi" w:hAnsiTheme="minorHAnsi" w:cstheme="minorHAnsi"/>
                <w:color w:val="000000"/>
                <w:kern w:val="2"/>
                <w:sz w:val="22"/>
                <w:szCs w:val="22"/>
                <w:lang w:eastAsia="en-IN"/>
              </w:rPr>
              <w:t>0.31</w:t>
            </w:r>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tcPr>
          <w:p w14:paraId="77404515" w14:textId="77777777" w:rsidR="002F0A87" w:rsidRPr="003D5FB5" w:rsidRDefault="002F0A87" w:rsidP="002F0A87">
            <w:pPr>
              <w:tabs>
                <w:tab w:val="left" w:pos="426"/>
              </w:tabs>
              <w:spacing w:line="360" w:lineRule="auto"/>
              <w:ind w:right="-23"/>
              <w:jc w:val="center"/>
              <w:textAlignment w:val="center"/>
              <w:rPr>
                <w:rFonts w:asciiTheme="minorHAnsi" w:hAnsiTheme="minorHAnsi" w:cstheme="minorHAnsi"/>
                <w:sz w:val="22"/>
                <w:szCs w:val="22"/>
                <w:lang w:eastAsia="en-IN"/>
              </w:rPr>
            </w:pPr>
            <w:r w:rsidRPr="003D5FB5">
              <w:rPr>
                <w:rFonts w:asciiTheme="minorHAnsi" w:hAnsiTheme="minorHAnsi" w:cstheme="minorHAnsi"/>
                <w:color w:val="000000"/>
                <w:kern w:val="2"/>
                <w:sz w:val="22"/>
                <w:szCs w:val="22"/>
                <w:lang w:eastAsia="en-IN"/>
              </w:rPr>
              <w:t>0.50</w:t>
            </w:r>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tcPr>
          <w:p w14:paraId="77A722D3" w14:textId="77777777" w:rsidR="002F0A87" w:rsidRPr="003D5FB5" w:rsidRDefault="002F0A87" w:rsidP="002F0A87">
            <w:pPr>
              <w:tabs>
                <w:tab w:val="left" w:pos="426"/>
              </w:tabs>
              <w:spacing w:line="360" w:lineRule="auto"/>
              <w:ind w:right="-23"/>
              <w:jc w:val="center"/>
              <w:textAlignment w:val="center"/>
              <w:rPr>
                <w:rFonts w:asciiTheme="minorHAnsi" w:hAnsiTheme="minorHAnsi" w:cstheme="minorHAnsi"/>
                <w:sz w:val="22"/>
                <w:szCs w:val="22"/>
                <w:lang w:eastAsia="en-IN"/>
              </w:rPr>
            </w:pPr>
            <w:r w:rsidRPr="003D5FB5">
              <w:rPr>
                <w:rFonts w:asciiTheme="minorHAnsi" w:hAnsiTheme="minorHAnsi" w:cstheme="minorHAnsi"/>
                <w:color w:val="000000"/>
                <w:kern w:val="2"/>
                <w:sz w:val="22"/>
                <w:szCs w:val="22"/>
                <w:lang w:eastAsia="en-IN"/>
              </w:rPr>
              <w:t>6.96</w:t>
            </w:r>
          </w:p>
        </w:tc>
        <w:tc>
          <w:tcPr>
            <w:tcW w:w="0" w:type="auto"/>
            <w:tcBorders>
              <w:top w:val="single" w:sz="4" w:space="0" w:color="000000"/>
              <w:left w:val="single" w:sz="4" w:space="0" w:color="000000"/>
              <w:bottom w:val="single" w:sz="4" w:space="0" w:color="000000"/>
              <w:right w:val="single" w:sz="8" w:space="0" w:color="000000"/>
            </w:tcBorders>
            <w:shd w:val="clear" w:color="auto" w:fill="auto"/>
            <w:vAlign w:val="center"/>
          </w:tcPr>
          <w:p w14:paraId="61EFDD94" w14:textId="77777777" w:rsidR="002F0A87" w:rsidRPr="003D5FB5" w:rsidRDefault="002F0A87" w:rsidP="002F0A87">
            <w:pPr>
              <w:tabs>
                <w:tab w:val="left" w:pos="426"/>
              </w:tabs>
              <w:spacing w:line="360" w:lineRule="auto"/>
              <w:ind w:right="-23"/>
              <w:jc w:val="center"/>
              <w:textAlignment w:val="center"/>
              <w:rPr>
                <w:rFonts w:asciiTheme="minorHAnsi" w:hAnsiTheme="minorHAnsi" w:cstheme="minorHAnsi"/>
                <w:sz w:val="22"/>
                <w:szCs w:val="22"/>
                <w:lang w:eastAsia="en-IN"/>
              </w:rPr>
            </w:pPr>
            <w:r w:rsidRPr="003D5FB5">
              <w:rPr>
                <w:rFonts w:asciiTheme="minorHAnsi" w:hAnsiTheme="minorHAnsi" w:cstheme="minorHAnsi"/>
                <w:color w:val="000000"/>
                <w:kern w:val="2"/>
                <w:sz w:val="22"/>
                <w:szCs w:val="22"/>
                <w:lang w:eastAsia="en-IN"/>
              </w:rPr>
              <w:t>3.7</w:t>
            </w:r>
          </w:p>
        </w:tc>
      </w:tr>
      <w:tr w:rsidR="002F0A87" w:rsidRPr="003D5FB5" w14:paraId="07297BE8" w14:textId="77777777" w:rsidTr="004B69C1">
        <w:trPr>
          <w:trHeight w:val="323"/>
        </w:trPr>
        <w:tc>
          <w:tcPr>
            <w:tcW w:w="871" w:type="dxa"/>
            <w:tcBorders>
              <w:top w:val="single" w:sz="4" w:space="0" w:color="000000"/>
              <w:left w:val="single" w:sz="8" w:space="0" w:color="000000"/>
              <w:bottom w:val="single" w:sz="4" w:space="0" w:color="000000"/>
              <w:right w:val="single" w:sz="4" w:space="0" w:color="000000"/>
            </w:tcBorders>
            <w:shd w:val="clear" w:color="auto" w:fill="auto"/>
            <w:vAlign w:val="bottom"/>
          </w:tcPr>
          <w:p w14:paraId="0C41EF7F" w14:textId="77777777" w:rsidR="002F0A87" w:rsidRPr="003D5FB5" w:rsidRDefault="002F0A87" w:rsidP="002F0A87">
            <w:pPr>
              <w:tabs>
                <w:tab w:val="left" w:pos="426"/>
              </w:tabs>
              <w:spacing w:line="360" w:lineRule="auto"/>
              <w:ind w:right="-23"/>
              <w:jc w:val="both"/>
              <w:textAlignment w:val="bottom"/>
              <w:rPr>
                <w:rFonts w:asciiTheme="minorHAnsi" w:hAnsiTheme="minorHAnsi" w:cstheme="minorHAnsi"/>
                <w:sz w:val="22"/>
                <w:szCs w:val="22"/>
                <w:lang w:eastAsia="en-IN"/>
              </w:rPr>
            </w:pPr>
            <w:proofErr w:type="spellStart"/>
            <w:r w:rsidRPr="003D5FB5">
              <w:rPr>
                <w:rFonts w:asciiTheme="minorHAnsi" w:hAnsiTheme="minorHAnsi" w:cstheme="minorHAnsi"/>
                <w:color w:val="000000"/>
                <w:kern w:val="2"/>
                <w:sz w:val="22"/>
                <w:szCs w:val="22"/>
                <w:lang w:eastAsia="en-IN"/>
              </w:rPr>
              <w:t>Jajpur</w:t>
            </w:r>
            <w:proofErr w:type="spellEnd"/>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tcPr>
          <w:p w14:paraId="588D8FF6" w14:textId="77777777" w:rsidR="002F0A87" w:rsidRPr="003D5FB5" w:rsidRDefault="002F0A87" w:rsidP="002F0A87">
            <w:pPr>
              <w:tabs>
                <w:tab w:val="left" w:pos="426"/>
              </w:tabs>
              <w:spacing w:line="360" w:lineRule="auto"/>
              <w:ind w:right="-23"/>
              <w:jc w:val="center"/>
              <w:textAlignment w:val="center"/>
              <w:rPr>
                <w:rFonts w:asciiTheme="minorHAnsi" w:hAnsiTheme="minorHAnsi" w:cstheme="minorHAnsi"/>
                <w:sz w:val="22"/>
                <w:szCs w:val="22"/>
                <w:lang w:eastAsia="en-IN"/>
              </w:rPr>
            </w:pPr>
            <w:r w:rsidRPr="003D5FB5">
              <w:rPr>
                <w:rFonts w:asciiTheme="minorHAnsi" w:hAnsiTheme="minorHAnsi" w:cstheme="minorHAnsi"/>
                <w:color w:val="000000"/>
                <w:kern w:val="2"/>
                <w:sz w:val="22"/>
                <w:szCs w:val="22"/>
                <w:lang w:eastAsia="en-IN"/>
              </w:rPr>
              <w:t>164.79</w:t>
            </w:r>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tcPr>
          <w:p w14:paraId="49D8AC61" w14:textId="77777777" w:rsidR="002F0A87" w:rsidRPr="003D5FB5" w:rsidRDefault="002F0A87" w:rsidP="002F0A87">
            <w:pPr>
              <w:tabs>
                <w:tab w:val="left" w:pos="426"/>
              </w:tabs>
              <w:spacing w:line="360" w:lineRule="auto"/>
              <w:ind w:right="-23"/>
              <w:jc w:val="center"/>
              <w:textAlignment w:val="center"/>
              <w:rPr>
                <w:rFonts w:asciiTheme="minorHAnsi" w:hAnsiTheme="minorHAnsi" w:cstheme="minorHAnsi"/>
                <w:sz w:val="22"/>
                <w:szCs w:val="22"/>
                <w:lang w:eastAsia="en-IN"/>
              </w:rPr>
            </w:pPr>
            <w:r w:rsidRPr="003D5FB5">
              <w:rPr>
                <w:rFonts w:asciiTheme="minorHAnsi" w:hAnsiTheme="minorHAnsi" w:cstheme="minorHAnsi"/>
                <w:color w:val="000000"/>
                <w:kern w:val="2"/>
                <w:sz w:val="22"/>
                <w:szCs w:val="22"/>
                <w:lang w:eastAsia="en-IN"/>
              </w:rPr>
              <w:t>7.67</w:t>
            </w:r>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tcPr>
          <w:p w14:paraId="1859E12E" w14:textId="77777777" w:rsidR="002F0A87" w:rsidRPr="003D5FB5" w:rsidRDefault="002F0A87" w:rsidP="002F0A87">
            <w:pPr>
              <w:tabs>
                <w:tab w:val="left" w:pos="426"/>
              </w:tabs>
              <w:spacing w:line="360" w:lineRule="auto"/>
              <w:ind w:right="-23"/>
              <w:jc w:val="center"/>
              <w:textAlignment w:val="center"/>
              <w:rPr>
                <w:rFonts w:asciiTheme="minorHAnsi" w:hAnsiTheme="minorHAnsi" w:cstheme="minorHAnsi"/>
                <w:sz w:val="22"/>
                <w:szCs w:val="22"/>
                <w:lang w:eastAsia="en-IN"/>
              </w:rPr>
            </w:pPr>
            <w:r w:rsidRPr="003D5FB5">
              <w:rPr>
                <w:rFonts w:asciiTheme="minorHAnsi" w:hAnsiTheme="minorHAnsi" w:cstheme="minorHAnsi"/>
                <w:color w:val="000000"/>
                <w:kern w:val="2"/>
                <w:sz w:val="22"/>
                <w:szCs w:val="22"/>
                <w:lang w:eastAsia="en-IN"/>
              </w:rPr>
              <w:t>0.31</w:t>
            </w:r>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tcPr>
          <w:p w14:paraId="4B205051" w14:textId="77777777" w:rsidR="002F0A87" w:rsidRPr="003D5FB5" w:rsidRDefault="002F0A87" w:rsidP="002F0A87">
            <w:pPr>
              <w:tabs>
                <w:tab w:val="left" w:pos="426"/>
              </w:tabs>
              <w:spacing w:line="360" w:lineRule="auto"/>
              <w:ind w:right="-23"/>
              <w:jc w:val="center"/>
              <w:textAlignment w:val="center"/>
              <w:rPr>
                <w:rFonts w:asciiTheme="minorHAnsi" w:hAnsiTheme="minorHAnsi" w:cstheme="minorHAnsi"/>
                <w:sz w:val="22"/>
                <w:szCs w:val="22"/>
                <w:lang w:eastAsia="en-IN"/>
              </w:rPr>
            </w:pPr>
            <w:r w:rsidRPr="003D5FB5">
              <w:rPr>
                <w:rFonts w:asciiTheme="minorHAnsi" w:hAnsiTheme="minorHAnsi" w:cstheme="minorHAnsi"/>
                <w:color w:val="000000"/>
                <w:kern w:val="2"/>
                <w:sz w:val="22"/>
                <w:szCs w:val="22"/>
                <w:lang w:eastAsia="en-IN"/>
              </w:rPr>
              <w:t>0.39</w:t>
            </w:r>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tcPr>
          <w:p w14:paraId="31B60C84" w14:textId="77777777" w:rsidR="002F0A87" w:rsidRPr="003D5FB5" w:rsidRDefault="002F0A87" w:rsidP="002F0A87">
            <w:pPr>
              <w:tabs>
                <w:tab w:val="left" w:pos="426"/>
              </w:tabs>
              <w:spacing w:line="360" w:lineRule="auto"/>
              <w:ind w:right="-23"/>
              <w:jc w:val="center"/>
              <w:textAlignment w:val="center"/>
              <w:rPr>
                <w:rFonts w:asciiTheme="minorHAnsi" w:hAnsiTheme="minorHAnsi" w:cstheme="minorHAnsi"/>
                <w:sz w:val="22"/>
                <w:szCs w:val="22"/>
                <w:lang w:eastAsia="en-IN"/>
              </w:rPr>
            </w:pPr>
            <w:r w:rsidRPr="003D5FB5">
              <w:rPr>
                <w:rFonts w:asciiTheme="minorHAnsi" w:hAnsiTheme="minorHAnsi" w:cstheme="minorHAnsi"/>
                <w:color w:val="000000"/>
                <w:kern w:val="2"/>
                <w:sz w:val="22"/>
                <w:szCs w:val="22"/>
                <w:lang w:eastAsia="en-IN"/>
              </w:rPr>
              <w:t>0.64</w:t>
            </w:r>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tcPr>
          <w:p w14:paraId="300AFCAB" w14:textId="77777777" w:rsidR="002F0A87" w:rsidRPr="003D5FB5" w:rsidRDefault="002F0A87" w:rsidP="002F0A87">
            <w:pPr>
              <w:tabs>
                <w:tab w:val="left" w:pos="426"/>
              </w:tabs>
              <w:spacing w:line="360" w:lineRule="auto"/>
              <w:ind w:right="-23"/>
              <w:jc w:val="center"/>
              <w:textAlignment w:val="center"/>
              <w:rPr>
                <w:rFonts w:asciiTheme="minorHAnsi" w:hAnsiTheme="minorHAnsi" w:cstheme="minorHAnsi"/>
                <w:sz w:val="22"/>
                <w:szCs w:val="22"/>
                <w:lang w:eastAsia="en-IN"/>
              </w:rPr>
            </w:pPr>
            <w:r w:rsidRPr="003D5FB5">
              <w:rPr>
                <w:rFonts w:asciiTheme="minorHAnsi" w:hAnsiTheme="minorHAnsi" w:cstheme="minorHAnsi"/>
                <w:color w:val="000000"/>
                <w:kern w:val="2"/>
                <w:sz w:val="22"/>
                <w:szCs w:val="22"/>
                <w:lang w:eastAsia="en-IN"/>
              </w:rPr>
              <w:t>9.01</w:t>
            </w:r>
          </w:p>
        </w:tc>
        <w:tc>
          <w:tcPr>
            <w:tcW w:w="0" w:type="auto"/>
            <w:tcBorders>
              <w:top w:val="single" w:sz="4" w:space="0" w:color="000000"/>
              <w:left w:val="single" w:sz="4" w:space="0" w:color="000000"/>
              <w:bottom w:val="single" w:sz="4" w:space="0" w:color="000000"/>
              <w:right w:val="single" w:sz="8" w:space="0" w:color="000000"/>
            </w:tcBorders>
            <w:shd w:val="clear" w:color="auto" w:fill="auto"/>
            <w:vAlign w:val="center"/>
          </w:tcPr>
          <w:p w14:paraId="308C085C" w14:textId="77777777" w:rsidR="002F0A87" w:rsidRPr="003D5FB5" w:rsidRDefault="002F0A87" w:rsidP="002F0A87">
            <w:pPr>
              <w:tabs>
                <w:tab w:val="left" w:pos="426"/>
              </w:tabs>
              <w:spacing w:line="360" w:lineRule="auto"/>
              <w:ind w:right="-23"/>
              <w:jc w:val="center"/>
              <w:textAlignment w:val="center"/>
              <w:rPr>
                <w:rFonts w:asciiTheme="minorHAnsi" w:hAnsiTheme="minorHAnsi" w:cstheme="minorHAnsi"/>
                <w:sz w:val="22"/>
                <w:szCs w:val="22"/>
                <w:lang w:eastAsia="en-IN"/>
              </w:rPr>
            </w:pPr>
            <w:r w:rsidRPr="003D5FB5">
              <w:rPr>
                <w:rFonts w:asciiTheme="minorHAnsi" w:hAnsiTheme="minorHAnsi" w:cstheme="minorHAnsi"/>
                <w:color w:val="000000"/>
                <w:kern w:val="2"/>
                <w:sz w:val="22"/>
                <w:szCs w:val="22"/>
                <w:lang w:eastAsia="en-IN"/>
              </w:rPr>
              <w:t>3.8</w:t>
            </w:r>
          </w:p>
        </w:tc>
      </w:tr>
      <w:tr w:rsidR="002F0A87" w:rsidRPr="003D5FB5" w14:paraId="7A355EEE" w14:textId="77777777" w:rsidTr="004B69C1">
        <w:trPr>
          <w:trHeight w:val="323"/>
        </w:trPr>
        <w:tc>
          <w:tcPr>
            <w:tcW w:w="871" w:type="dxa"/>
            <w:tcBorders>
              <w:top w:val="single" w:sz="4" w:space="0" w:color="000000"/>
              <w:left w:val="single" w:sz="8" w:space="0" w:color="000000"/>
              <w:bottom w:val="single" w:sz="4" w:space="0" w:color="000000"/>
              <w:right w:val="single" w:sz="4" w:space="0" w:color="000000"/>
            </w:tcBorders>
            <w:shd w:val="clear" w:color="auto" w:fill="auto"/>
            <w:vAlign w:val="bottom"/>
          </w:tcPr>
          <w:p w14:paraId="5D831586" w14:textId="77777777" w:rsidR="002F0A87" w:rsidRPr="003D5FB5" w:rsidRDefault="002F0A87" w:rsidP="002F0A87">
            <w:pPr>
              <w:tabs>
                <w:tab w:val="left" w:pos="426"/>
              </w:tabs>
              <w:spacing w:line="360" w:lineRule="auto"/>
              <w:ind w:right="-23"/>
              <w:jc w:val="both"/>
              <w:textAlignment w:val="bottom"/>
              <w:rPr>
                <w:rFonts w:asciiTheme="minorHAnsi" w:hAnsiTheme="minorHAnsi" w:cstheme="minorHAnsi"/>
                <w:sz w:val="22"/>
                <w:szCs w:val="22"/>
                <w:lang w:eastAsia="en-IN"/>
              </w:rPr>
            </w:pPr>
            <w:proofErr w:type="spellStart"/>
            <w:r w:rsidRPr="003D5FB5">
              <w:rPr>
                <w:rFonts w:asciiTheme="minorHAnsi" w:hAnsiTheme="minorHAnsi" w:cstheme="minorHAnsi"/>
                <w:color w:val="000000"/>
                <w:kern w:val="2"/>
                <w:sz w:val="22"/>
                <w:szCs w:val="22"/>
                <w:lang w:eastAsia="en-IN"/>
              </w:rPr>
              <w:t>Keonjhar</w:t>
            </w:r>
            <w:proofErr w:type="spellEnd"/>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tcPr>
          <w:p w14:paraId="08DD8FE6" w14:textId="77777777" w:rsidR="002F0A87" w:rsidRPr="003D5FB5" w:rsidRDefault="002F0A87" w:rsidP="002F0A87">
            <w:pPr>
              <w:tabs>
                <w:tab w:val="left" w:pos="426"/>
              </w:tabs>
              <w:spacing w:line="360" w:lineRule="auto"/>
              <w:ind w:right="-23"/>
              <w:jc w:val="center"/>
              <w:textAlignment w:val="center"/>
              <w:rPr>
                <w:rFonts w:asciiTheme="minorHAnsi" w:hAnsiTheme="minorHAnsi" w:cstheme="minorHAnsi"/>
                <w:sz w:val="22"/>
                <w:szCs w:val="22"/>
                <w:lang w:eastAsia="en-IN"/>
              </w:rPr>
            </w:pPr>
            <w:r w:rsidRPr="003D5FB5">
              <w:rPr>
                <w:rFonts w:asciiTheme="minorHAnsi" w:hAnsiTheme="minorHAnsi" w:cstheme="minorHAnsi"/>
                <w:color w:val="000000"/>
                <w:kern w:val="2"/>
                <w:sz w:val="22"/>
                <w:szCs w:val="22"/>
                <w:lang w:eastAsia="en-IN"/>
              </w:rPr>
              <w:t>110.3</w:t>
            </w:r>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tcPr>
          <w:p w14:paraId="36E61258" w14:textId="77777777" w:rsidR="002F0A87" w:rsidRPr="003D5FB5" w:rsidRDefault="002F0A87" w:rsidP="002F0A87">
            <w:pPr>
              <w:tabs>
                <w:tab w:val="left" w:pos="426"/>
              </w:tabs>
              <w:spacing w:line="360" w:lineRule="auto"/>
              <w:ind w:right="-23"/>
              <w:jc w:val="center"/>
              <w:textAlignment w:val="center"/>
              <w:rPr>
                <w:rFonts w:asciiTheme="minorHAnsi" w:hAnsiTheme="minorHAnsi" w:cstheme="minorHAnsi"/>
                <w:sz w:val="22"/>
                <w:szCs w:val="22"/>
                <w:lang w:eastAsia="en-IN"/>
              </w:rPr>
            </w:pPr>
            <w:r w:rsidRPr="003D5FB5">
              <w:rPr>
                <w:rFonts w:asciiTheme="minorHAnsi" w:hAnsiTheme="minorHAnsi" w:cstheme="minorHAnsi"/>
                <w:color w:val="000000"/>
                <w:kern w:val="2"/>
                <w:sz w:val="22"/>
                <w:szCs w:val="22"/>
                <w:lang w:eastAsia="en-IN"/>
              </w:rPr>
              <w:t>3.09</w:t>
            </w:r>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tcPr>
          <w:p w14:paraId="335A7EC1" w14:textId="77777777" w:rsidR="002F0A87" w:rsidRPr="003D5FB5" w:rsidRDefault="002F0A87" w:rsidP="002F0A87">
            <w:pPr>
              <w:tabs>
                <w:tab w:val="left" w:pos="426"/>
              </w:tabs>
              <w:spacing w:line="360" w:lineRule="auto"/>
              <w:ind w:right="-23"/>
              <w:jc w:val="center"/>
              <w:textAlignment w:val="center"/>
              <w:rPr>
                <w:rFonts w:asciiTheme="minorHAnsi" w:hAnsiTheme="minorHAnsi" w:cstheme="minorHAnsi"/>
                <w:sz w:val="22"/>
                <w:szCs w:val="22"/>
                <w:lang w:eastAsia="en-IN"/>
              </w:rPr>
            </w:pPr>
            <w:r w:rsidRPr="003D5FB5">
              <w:rPr>
                <w:rFonts w:asciiTheme="minorHAnsi" w:hAnsiTheme="minorHAnsi" w:cstheme="minorHAnsi"/>
                <w:color w:val="000000"/>
                <w:kern w:val="2"/>
                <w:sz w:val="22"/>
                <w:szCs w:val="22"/>
                <w:lang w:eastAsia="en-IN"/>
              </w:rPr>
              <w:t>0.34</w:t>
            </w:r>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tcPr>
          <w:p w14:paraId="31BD8236" w14:textId="77777777" w:rsidR="002F0A87" w:rsidRPr="003D5FB5" w:rsidRDefault="002F0A87" w:rsidP="002F0A87">
            <w:pPr>
              <w:tabs>
                <w:tab w:val="left" w:pos="426"/>
              </w:tabs>
              <w:spacing w:line="360" w:lineRule="auto"/>
              <w:ind w:right="-23"/>
              <w:jc w:val="center"/>
              <w:textAlignment w:val="center"/>
              <w:rPr>
                <w:rFonts w:asciiTheme="minorHAnsi" w:hAnsiTheme="minorHAnsi" w:cstheme="minorHAnsi"/>
                <w:sz w:val="22"/>
                <w:szCs w:val="22"/>
                <w:lang w:eastAsia="en-IN"/>
              </w:rPr>
            </w:pPr>
            <w:r w:rsidRPr="003D5FB5">
              <w:rPr>
                <w:rFonts w:asciiTheme="minorHAnsi" w:hAnsiTheme="minorHAnsi" w:cstheme="minorHAnsi"/>
                <w:color w:val="000000"/>
                <w:kern w:val="2"/>
                <w:sz w:val="22"/>
                <w:szCs w:val="22"/>
                <w:lang w:eastAsia="en-IN"/>
              </w:rPr>
              <w:t>0.19</w:t>
            </w:r>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tcPr>
          <w:p w14:paraId="4E393220" w14:textId="77777777" w:rsidR="002F0A87" w:rsidRPr="003D5FB5" w:rsidRDefault="002F0A87" w:rsidP="002F0A87">
            <w:pPr>
              <w:tabs>
                <w:tab w:val="left" w:pos="426"/>
              </w:tabs>
              <w:spacing w:line="360" w:lineRule="auto"/>
              <w:ind w:right="-23"/>
              <w:jc w:val="center"/>
              <w:textAlignment w:val="center"/>
              <w:rPr>
                <w:rFonts w:asciiTheme="minorHAnsi" w:hAnsiTheme="minorHAnsi" w:cstheme="minorHAnsi"/>
                <w:sz w:val="22"/>
                <w:szCs w:val="22"/>
                <w:lang w:eastAsia="en-IN"/>
              </w:rPr>
            </w:pPr>
            <w:r w:rsidRPr="003D5FB5">
              <w:rPr>
                <w:rFonts w:asciiTheme="minorHAnsi" w:hAnsiTheme="minorHAnsi" w:cstheme="minorHAnsi"/>
                <w:color w:val="000000"/>
                <w:kern w:val="2"/>
                <w:sz w:val="22"/>
                <w:szCs w:val="22"/>
                <w:lang w:eastAsia="en-IN"/>
              </w:rPr>
              <w:t>0.28</w:t>
            </w:r>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tcPr>
          <w:p w14:paraId="0344CDAB" w14:textId="77777777" w:rsidR="002F0A87" w:rsidRPr="003D5FB5" w:rsidRDefault="002F0A87" w:rsidP="002F0A87">
            <w:pPr>
              <w:tabs>
                <w:tab w:val="left" w:pos="426"/>
              </w:tabs>
              <w:spacing w:line="360" w:lineRule="auto"/>
              <w:ind w:right="-23"/>
              <w:jc w:val="center"/>
              <w:textAlignment w:val="center"/>
              <w:rPr>
                <w:rFonts w:asciiTheme="minorHAnsi" w:hAnsiTheme="minorHAnsi" w:cstheme="minorHAnsi"/>
                <w:sz w:val="22"/>
                <w:szCs w:val="22"/>
                <w:lang w:eastAsia="en-IN"/>
              </w:rPr>
            </w:pPr>
            <w:r w:rsidRPr="003D5FB5">
              <w:rPr>
                <w:rFonts w:asciiTheme="minorHAnsi" w:hAnsiTheme="minorHAnsi" w:cstheme="minorHAnsi"/>
                <w:color w:val="000000"/>
                <w:kern w:val="2"/>
                <w:sz w:val="22"/>
                <w:szCs w:val="22"/>
                <w:lang w:eastAsia="en-IN"/>
              </w:rPr>
              <w:t>3.90</w:t>
            </w:r>
          </w:p>
        </w:tc>
        <w:tc>
          <w:tcPr>
            <w:tcW w:w="0" w:type="auto"/>
            <w:tcBorders>
              <w:top w:val="single" w:sz="4" w:space="0" w:color="000000"/>
              <w:left w:val="single" w:sz="4" w:space="0" w:color="000000"/>
              <w:bottom w:val="single" w:sz="4" w:space="0" w:color="000000"/>
              <w:right w:val="single" w:sz="8" w:space="0" w:color="000000"/>
            </w:tcBorders>
            <w:shd w:val="clear" w:color="auto" w:fill="auto"/>
            <w:vAlign w:val="center"/>
          </w:tcPr>
          <w:p w14:paraId="0192DD03" w14:textId="77777777" w:rsidR="002F0A87" w:rsidRPr="003D5FB5" w:rsidRDefault="002F0A87" w:rsidP="002F0A87">
            <w:pPr>
              <w:tabs>
                <w:tab w:val="left" w:pos="426"/>
              </w:tabs>
              <w:spacing w:line="360" w:lineRule="auto"/>
              <w:ind w:right="-23"/>
              <w:jc w:val="center"/>
              <w:textAlignment w:val="center"/>
              <w:rPr>
                <w:rFonts w:asciiTheme="minorHAnsi" w:hAnsiTheme="minorHAnsi" w:cstheme="minorHAnsi"/>
                <w:sz w:val="22"/>
                <w:szCs w:val="22"/>
                <w:lang w:eastAsia="en-IN"/>
              </w:rPr>
            </w:pPr>
            <w:r w:rsidRPr="003D5FB5">
              <w:rPr>
                <w:rFonts w:asciiTheme="minorHAnsi" w:hAnsiTheme="minorHAnsi" w:cstheme="minorHAnsi"/>
                <w:color w:val="000000"/>
                <w:kern w:val="2"/>
                <w:sz w:val="22"/>
                <w:szCs w:val="22"/>
                <w:lang w:eastAsia="en-IN"/>
              </w:rPr>
              <w:t>2.62</w:t>
            </w:r>
          </w:p>
        </w:tc>
      </w:tr>
      <w:tr w:rsidR="002F0A87" w:rsidRPr="003D5FB5" w14:paraId="0B58D128" w14:textId="77777777" w:rsidTr="004B69C1">
        <w:trPr>
          <w:trHeight w:val="339"/>
        </w:trPr>
        <w:tc>
          <w:tcPr>
            <w:tcW w:w="871" w:type="dxa"/>
            <w:tcBorders>
              <w:top w:val="single" w:sz="4" w:space="0" w:color="000000"/>
              <w:left w:val="single" w:sz="8" w:space="0" w:color="000000"/>
              <w:bottom w:val="single" w:sz="8" w:space="0" w:color="000000"/>
              <w:right w:val="single" w:sz="4" w:space="0" w:color="000000"/>
            </w:tcBorders>
            <w:shd w:val="clear" w:color="auto" w:fill="auto"/>
            <w:vAlign w:val="bottom"/>
          </w:tcPr>
          <w:p w14:paraId="6C87D30D" w14:textId="77777777" w:rsidR="002F0A87" w:rsidRPr="003D5FB5" w:rsidRDefault="002F0A87" w:rsidP="002F0A87">
            <w:pPr>
              <w:tabs>
                <w:tab w:val="left" w:pos="426"/>
              </w:tabs>
              <w:spacing w:line="360" w:lineRule="auto"/>
              <w:ind w:right="-23"/>
              <w:jc w:val="both"/>
              <w:textAlignment w:val="bottom"/>
              <w:rPr>
                <w:rFonts w:asciiTheme="minorHAnsi" w:hAnsiTheme="minorHAnsi" w:cstheme="minorHAnsi"/>
                <w:sz w:val="22"/>
                <w:szCs w:val="22"/>
                <w:lang w:eastAsia="en-IN"/>
              </w:rPr>
            </w:pPr>
            <w:r w:rsidRPr="003D5FB5">
              <w:rPr>
                <w:rFonts w:asciiTheme="minorHAnsi" w:hAnsiTheme="minorHAnsi" w:cstheme="minorHAnsi"/>
                <w:b/>
                <w:bCs/>
                <w:color w:val="000000"/>
                <w:kern w:val="2"/>
                <w:sz w:val="22"/>
                <w:szCs w:val="22"/>
                <w:lang w:eastAsia="en-IN"/>
              </w:rPr>
              <w:t>TPNODL</w:t>
            </w:r>
          </w:p>
        </w:tc>
        <w:tc>
          <w:tcPr>
            <w:tcW w:w="0" w:type="auto"/>
            <w:tcBorders>
              <w:top w:val="single" w:sz="4" w:space="0" w:color="000000"/>
              <w:left w:val="single" w:sz="4" w:space="0" w:color="000000"/>
              <w:bottom w:val="single" w:sz="8" w:space="0" w:color="000000"/>
              <w:right w:val="single" w:sz="4" w:space="0" w:color="000000"/>
            </w:tcBorders>
            <w:shd w:val="clear" w:color="auto" w:fill="auto"/>
            <w:vAlign w:val="center"/>
          </w:tcPr>
          <w:p w14:paraId="31B89DD3" w14:textId="77777777" w:rsidR="002F0A87" w:rsidRPr="003D5FB5" w:rsidRDefault="002F0A87" w:rsidP="002F0A87">
            <w:pPr>
              <w:tabs>
                <w:tab w:val="left" w:pos="426"/>
              </w:tabs>
              <w:spacing w:line="360" w:lineRule="auto"/>
              <w:ind w:right="-23"/>
              <w:jc w:val="center"/>
              <w:textAlignment w:val="center"/>
              <w:rPr>
                <w:rFonts w:asciiTheme="minorHAnsi" w:hAnsiTheme="minorHAnsi" w:cstheme="minorHAnsi"/>
                <w:sz w:val="22"/>
                <w:szCs w:val="22"/>
                <w:lang w:eastAsia="en-IN"/>
              </w:rPr>
            </w:pPr>
            <w:r w:rsidRPr="003D5FB5">
              <w:rPr>
                <w:rFonts w:asciiTheme="minorHAnsi" w:hAnsiTheme="minorHAnsi" w:cstheme="minorHAnsi"/>
                <w:b/>
                <w:bCs/>
                <w:color w:val="000000"/>
                <w:kern w:val="2"/>
                <w:sz w:val="22"/>
                <w:szCs w:val="22"/>
                <w:lang w:eastAsia="en-IN"/>
              </w:rPr>
              <w:t>807.06</w:t>
            </w:r>
          </w:p>
        </w:tc>
        <w:tc>
          <w:tcPr>
            <w:tcW w:w="0" w:type="auto"/>
            <w:tcBorders>
              <w:top w:val="single" w:sz="4" w:space="0" w:color="000000"/>
              <w:left w:val="single" w:sz="4" w:space="0" w:color="000000"/>
              <w:bottom w:val="single" w:sz="8" w:space="0" w:color="000000"/>
              <w:right w:val="single" w:sz="4" w:space="0" w:color="000000"/>
            </w:tcBorders>
            <w:shd w:val="clear" w:color="auto" w:fill="auto"/>
            <w:vAlign w:val="center"/>
          </w:tcPr>
          <w:p w14:paraId="128B641F" w14:textId="77777777" w:rsidR="002F0A87" w:rsidRPr="003D5FB5" w:rsidRDefault="002F0A87" w:rsidP="002F0A87">
            <w:pPr>
              <w:tabs>
                <w:tab w:val="left" w:pos="426"/>
              </w:tabs>
              <w:spacing w:line="360" w:lineRule="auto"/>
              <w:ind w:right="-23"/>
              <w:jc w:val="center"/>
              <w:textAlignment w:val="center"/>
              <w:rPr>
                <w:rFonts w:asciiTheme="minorHAnsi" w:hAnsiTheme="minorHAnsi" w:cstheme="minorHAnsi"/>
                <w:sz w:val="22"/>
                <w:szCs w:val="22"/>
                <w:lang w:eastAsia="en-IN"/>
              </w:rPr>
            </w:pPr>
            <w:r w:rsidRPr="003D5FB5">
              <w:rPr>
                <w:rFonts w:asciiTheme="minorHAnsi" w:hAnsiTheme="minorHAnsi" w:cstheme="minorHAnsi"/>
                <w:b/>
                <w:bCs/>
                <w:color w:val="000000"/>
                <w:kern w:val="2"/>
                <w:sz w:val="22"/>
                <w:szCs w:val="22"/>
                <w:lang w:eastAsia="en-IN"/>
              </w:rPr>
              <w:t>33.47</w:t>
            </w:r>
          </w:p>
        </w:tc>
        <w:tc>
          <w:tcPr>
            <w:tcW w:w="0" w:type="auto"/>
            <w:tcBorders>
              <w:top w:val="single" w:sz="4" w:space="0" w:color="000000"/>
              <w:left w:val="single" w:sz="4" w:space="0" w:color="000000"/>
              <w:bottom w:val="single" w:sz="8" w:space="0" w:color="000000"/>
              <w:right w:val="single" w:sz="4" w:space="0" w:color="000000"/>
            </w:tcBorders>
            <w:shd w:val="clear" w:color="auto" w:fill="auto"/>
            <w:vAlign w:val="center"/>
          </w:tcPr>
          <w:p w14:paraId="088CC325" w14:textId="77777777" w:rsidR="002F0A87" w:rsidRPr="003D5FB5" w:rsidRDefault="002F0A87" w:rsidP="002F0A87">
            <w:pPr>
              <w:tabs>
                <w:tab w:val="left" w:pos="426"/>
              </w:tabs>
              <w:spacing w:line="360" w:lineRule="auto"/>
              <w:ind w:right="-23"/>
              <w:jc w:val="center"/>
              <w:textAlignment w:val="center"/>
              <w:rPr>
                <w:rFonts w:asciiTheme="minorHAnsi" w:hAnsiTheme="minorHAnsi" w:cstheme="minorHAnsi"/>
                <w:sz w:val="22"/>
                <w:szCs w:val="22"/>
                <w:lang w:eastAsia="en-IN"/>
              </w:rPr>
            </w:pPr>
            <w:r w:rsidRPr="003D5FB5">
              <w:rPr>
                <w:rFonts w:asciiTheme="minorHAnsi" w:hAnsiTheme="minorHAnsi" w:cstheme="minorHAnsi"/>
                <w:b/>
                <w:bCs/>
                <w:color w:val="000000"/>
                <w:kern w:val="2"/>
                <w:sz w:val="22"/>
                <w:szCs w:val="22"/>
                <w:lang w:eastAsia="en-IN"/>
              </w:rPr>
              <w:t>2.14</w:t>
            </w:r>
          </w:p>
        </w:tc>
        <w:tc>
          <w:tcPr>
            <w:tcW w:w="0" w:type="auto"/>
            <w:tcBorders>
              <w:top w:val="single" w:sz="4" w:space="0" w:color="000000"/>
              <w:left w:val="single" w:sz="4" w:space="0" w:color="000000"/>
              <w:bottom w:val="single" w:sz="8" w:space="0" w:color="000000"/>
              <w:right w:val="single" w:sz="4" w:space="0" w:color="000000"/>
            </w:tcBorders>
            <w:shd w:val="clear" w:color="auto" w:fill="auto"/>
            <w:vAlign w:val="center"/>
          </w:tcPr>
          <w:p w14:paraId="1B2719AB" w14:textId="77777777" w:rsidR="002F0A87" w:rsidRPr="003D5FB5" w:rsidRDefault="002F0A87" w:rsidP="002F0A87">
            <w:pPr>
              <w:tabs>
                <w:tab w:val="left" w:pos="426"/>
              </w:tabs>
              <w:spacing w:line="360" w:lineRule="auto"/>
              <w:ind w:right="-23"/>
              <w:jc w:val="center"/>
              <w:textAlignment w:val="center"/>
              <w:rPr>
                <w:rFonts w:asciiTheme="minorHAnsi" w:hAnsiTheme="minorHAnsi" w:cstheme="minorHAnsi"/>
                <w:sz w:val="22"/>
                <w:szCs w:val="22"/>
                <w:lang w:eastAsia="en-IN"/>
              </w:rPr>
            </w:pPr>
            <w:r w:rsidRPr="003D5FB5">
              <w:rPr>
                <w:rFonts w:asciiTheme="minorHAnsi" w:hAnsiTheme="minorHAnsi" w:cstheme="minorHAnsi"/>
                <w:b/>
                <w:bCs/>
                <w:color w:val="000000"/>
                <w:kern w:val="2"/>
                <w:sz w:val="22"/>
                <w:szCs w:val="22"/>
                <w:lang w:eastAsia="en-IN"/>
              </w:rPr>
              <w:t>2.69</w:t>
            </w:r>
          </w:p>
        </w:tc>
        <w:tc>
          <w:tcPr>
            <w:tcW w:w="0" w:type="auto"/>
            <w:tcBorders>
              <w:top w:val="single" w:sz="4" w:space="0" w:color="000000"/>
              <w:left w:val="single" w:sz="4" w:space="0" w:color="000000"/>
              <w:bottom w:val="single" w:sz="8" w:space="0" w:color="000000"/>
              <w:right w:val="single" w:sz="4" w:space="0" w:color="000000"/>
            </w:tcBorders>
            <w:shd w:val="clear" w:color="auto" w:fill="auto"/>
            <w:vAlign w:val="center"/>
          </w:tcPr>
          <w:p w14:paraId="46106394" w14:textId="77777777" w:rsidR="002F0A87" w:rsidRPr="003D5FB5" w:rsidRDefault="002F0A87" w:rsidP="002F0A87">
            <w:pPr>
              <w:tabs>
                <w:tab w:val="left" w:pos="426"/>
              </w:tabs>
              <w:spacing w:line="360" w:lineRule="auto"/>
              <w:ind w:right="-23"/>
              <w:jc w:val="center"/>
              <w:textAlignment w:val="center"/>
              <w:rPr>
                <w:rFonts w:asciiTheme="minorHAnsi" w:hAnsiTheme="minorHAnsi" w:cstheme="minorHAnsi"/>
                <w:sz w:val="22"/>
                <w:szCs w:val="22"/>
                <w:lang w:eastAsia="en-IN"/>
              </w:rPr>
            </w:pPr>
            <w:r w:rsidRPr="003D5FB5">
              <w:rPr>
                <w:rFonts w:asciiTheme="minorHAnsi" w:hAnsiTheme="minorHAnsi" w:cstheme="minorHAnsi"/>
                <w:b/>
                <w:bCs/>
                <w:color w:val="000000"/>
                <w:kern w:val="2"/>
                <w:sz w:val="22"/>
                <w:szCs w:val="22"/>
                <w:lang w:eastAsia="en-IN"/>
              </w:rPr>
              <w:t>2.94</w:t>
            </w:r>
          </w:p>
        </w:tc>
        <w:tc>
          <w:tcPr>
            <w:tcW w:w="0" w:type="auto"/>
            <w:tcBorders>
              <w:top w:val="single" w:sz="4" w:space="0" w:color="000000"/>
              <w:left w:val="single" w:sz="4" w:space="0" w:color="000000"/>
              <w:bottom w:val="single" w:sz="8" w:space="0" w:color="000000"/>
              <w:right w:val="single" w:sz="4" w:space="0" w:color="000000"/>
            </w:tcBorders>
            <w:shd w:val="clear" w:color="auto" w:fill="auto"/>
            <w:vAlign w:val="center"/>
          </w:tcPr>
          <w:p w14:paraId="7DC8EFEA" w14:textId="77777777" w:rsidR="002F0A87" w:rsidRPr="003D5FB5" w:rsidRDefault="002F0A87" w:rsidP="002F0A87">
            <w:pPr>
              <w:tabs>
                <w:tab w:val="left" w:pos="426"/>
              </w:tabs>
              <w:spacing w:line="360" w:lineRule="auto"/>
              <w:ind w:right="-23"/>
              <w:jc w:val="center"/>
              <w:textAlignment w:val="center"/>
              <w:rPr>
                <w:rFonts w:asciiTheme="minorHAnsi" w:hAnsiTheme="minorHAnsi" w:cstheme="minorHAnsi"/>
                <w:sz w:val="22"/>
                <w:szCs w:val="22"/>
                <w:lang w:eastAsia="en-IN"/>
              </w:rPr>
            </w:pPr>
            <w:r w:rsidRPr="003D5FB5">
              <w:rPr>
                <w:rFonts w:asciiTheme="minorHAnsi" w:hAnsiTheme="minorHAnsi" w:cstheme="minorHAnsi"/>
                <w:b/>
                <w:bCs/>
                <w:color w:val="000000"/>
                <w:kern w:val="2"/>
                <w:sz w:val="22"/>
                <w:szCs w:val="22"/>
                <w:lang w:eastAsia="en-IN"/>
              </w:rPr>
              <w:t>41.24</w:t>
            </w:r>
          </w:p>
        </w:tc>
        <w:tc>
          <w:tcPr>
            <w:tcW w:w="0" w:type="auto"/>
            <w:tcBorders>
              <w:top w:val="single" w:sz="4" w:space="0" w:color="000000"/>
              <w:left w:val="single" w:sz="4" w:space="0" w:color="000000"/>
              <w:bottom w:val="single" w:sz="8" w:space="0" w:color="000000"/>
              <w:right w:val="single" w:sz="8" w:space="0" w:color="000000"/>
            </w:tcBorders>
            <w:shd w:val="clear" w:color="auto" w:fill="auto"/>
            <w:vAlign w:val="center"/>
          </w:tcPr>
          <w:p w14:paraId="20A8EB55" w14:textId="77777777" w:rsidR="002F0A87" w:rsidRPr="003D5FB5" w:rsidRDefault="002F0A87" w:rsidP="002F0A87">
            <w:pPr>
              <w:tabs>
                <w:tab w:val="left" w:pos="426"/>
              </w:tabs>
              <w:spacing w:line="360" w:lineRule="auto"/>
              <w:ind w:right="-23"/>
              <w:jc w:val="center"/>
              <w:textAlignment w:val="center"/>
              <w:rPr>
                <w:rFonts w:asciiTheme="minorHAnsi" w:hAnsiTheme="minorHAnsi" w:cstheme="minorHAnsi"/>
                <w:sz w:val="22"/>
                <w:szCs w:val="22"/>
                <w:lang w:eastAsia="en-IN"/>
              </w:rPr>
            </w:pPr>
            <w:r w:rsidRPr="003D5FB5">
              <w:rPr>
                <w:rFonts w:asciiTheme="minorHAnsi" w:hAnsiTheme="minorHAnsi" w:cstheme="minorHAnsi"/>
                <w:b/>
                <w:bCs/>
                <w:color w:val="000000"/>
                <w:kern w:val="2"/>
                <w:sz w:val="22"/>
                <w:szCs w:val="22"/>
                <w:lang w:eastAsia="en-IN"/>
              </w:rPr>
              <w:t>3.47</w:t>
            </w:r>
          </w:p>
        </w:tc>
      </w:tr>
    </w:tbl>
    <w:p w14:paraId="695CA4A0" w14:textId="77777777" w:rsidR="002F0A87" w:rsidRPr="003D5FB5" w:rsidRDefault="002F0A87" w:rsidP="002F0A87">
      <w:pPr>
        <w:tabs>
          <w:tab w:val="left" w:pos="426"/>
        </w:tabs>
        <w:spacing w:line="360" w:lineRule="auto"/>
        <w:ind w:right="-23"/>
        <w:jc w:val="both"/>
        <w:rPr>
          <w:rStyle w:val="normaltextrun"/>
          <w:rFonts w:asciiTheme="minorHAnsi" w:hAnsiTheme="minorHAnsi" w:cstheme="minorHAnsi"/>
          <w:sz w:val="22"/>
          <w:szCs w:val="22"/>
        </w:rPr>
      </w:pPr>
    </w:p>
    <w:p w14:paraId="222477B3" w14:textId="7F3C4183" w:rsidR="002F0A87" w:rsidRPr="003D5FB5" w:rsidRDefault="002F0A87" w:rsidP="002F0A87">
      <w:pPr>
        <w:tabs>
          <w:tab w:val="left" w:pos="426"/>
        </w:tabs>
        <w:spacing w:line="360" w:lineRule="auto"/>
        <w:ind w:right="-23"/>
        <w:jc w:val="center"/>
        <w:rPr>
          <w:rStyle w:val="normaltextrun"/>
          <w:rFonts w:asciiTheme="minorHAnsi" w:hAnsiTheme="minorHAnsi" w:cstheme="minorHAnsi"/>
          <w:sz w:val="22"/>
          <w:szCs w:val="22"/>
        </w:rPr>
      </w:pPr>
      <w:r w:rsidRPr="003D5FB5">
        <w:rPr>
          <w:rFonts w:asciiTheme="minorHAnsi" w:hAnsiTheme="minorHAnsi" w:cstheme="minorHAnsi"/>
          <w:b/>
          <w:bCs/>
          <w:color w:val="000000"/>
          <w:kern w:val="2"/>
          <w:sz w:val="22"/>
          <w:szCs w:val="22"/>
          <w:lang w:eastAsia="en-IN"/>
        </w:rPr>
        <w:t>Table-2</w:t>
      </w:r>
      <w:r w:rsidR="004B69C1">
        <w:rPr>
          <w:rFonts w:asciiTheme="minorHAnsi" w:hAnsiTheme="minorHAnsi" w:cstheme="minorHAnsi"/>
          <w:b/>
          <w:bCs/>
          <w:color w:val="000000"/>
          <w:kern w:val="2"/>
          <w:sz w:val="22"/>
          <w:szCs w:val="22"/>
          <w:lang w:eastAsia="en-IN"/>
        </w:rPr>
        <w:t>6</w:t>
      </w:r>
      <w:r w:rsidRPr="003D5FB5">
        <w:rPr>
          <w:rFonts w:asciiTheme="minorHAnsi" w:hAnsiTheme="minorHAnsi" w:cstheme="minorHAnsi"/>
          <w:b/>
          <w:bCs/>
          <w:color w:val="000000"/>
          <w:kern w:val="2"/>
          <w:sz w:val="22"/>
          <w:szCs w:val="22"/>
          <w:lang w:eastAsia="en-IN"/>
        </w:rPr>
        <w:t>(c): TPNODL 33 KV Technical Loss Assessment FY24</w:t>
      </w:r>
    </w:p>
    <w:tbl>
      <w:tblPr>
        <w:tblW w:w="9706" w:type="dxa"/>
        <w:tblInd w:w="132" w:type="dxa"/>
        <w:tblCellMar>
          <w:top w:w="15" w:type="dxa"/>
          <w:left w:w="15" w:type="dxa"/>
          <w:right w:w="15" w:type="dxa"/>
        </w:tblCellMar>
        <w:tblLook w:val="0600" w:firstRow="0" w:lastRow="0" w:firstColumn="0" w:lastColumn="0" w:noHBand="1" w:noVBand="1"/>
      </w:tblPr>
      <w:tblGrid>
        <w:gridCol w:w="833"/>
        <w:gridCol w:w="864"/>
        <w:gridCol w:w="1250"/>
        <w:gridCol w:w="1198"/>
        <w:gridCol w:w="946"/>
        <w:gridCol w:w="2057"/>
        <w:gridCol w:w="842"/>
        <w:gridCol w:w="1716"/>
      </w:tblGrid>
      <w:tr w:rsidR="002F0A87" w:rsidRPr="003D5FB5" w14:paraId="5A20EB02" w14:textId="77777777" w:rsidTr="004B69C1">
        <w:trPr>
          <w:trHeight w:val="1001"/>
        </w:trPr>
        <w:tc>
          <w:tcPr>
            <w:tcW w:w="0" w:type="auto"/>
            <w:tcBorders>
              <w:top w:val="single" w:sz="8" w:space="0" w:color="000000"/>
              <w:left w:val="single" w:sz="8" w:space="0" w:color="000000"/>
              <w:bottom w:val="single" w:sz="8" w:space="0" w:color="000000"/>
              <w:right w:val="single" w:sz="4" w:space="0" w:color="000000"/>
            </w:tcBorders>
            <w:shd w:val="clear" w:color="auto" w:fill="95B3D7" w:themeFill="accent1" w:themeFillTint="99"/>
            <w:vAlign w:val="center"/>
          </w:tcPr>
          <w:p w14:paraId="6C10E53E" w14:textId="77777777" w:rsidR="002F0A87" w:rsidRPr="003D5FB5" w:rsidRDefault="002F0A87" w:rsidP="002F0A87">
            <w:pPr>
              <w:tabs>
                <w:tab w:val="left" w:pos="426"/>
              </w:tabs>
              <w:spacing w:line="360" w:lineRule="auto"/>
              <w:ind w:right="-23"/>
              <w:jc w:val="center"/>
              <w:textAlignment w:val="center"/>
              <w:rPr>
                <w:rFonts w:asciiTheme="minorHAnsi" w:hAnsiTheme="minorHAnsi" w:cstheme="minorHAnsi"/>
                <w:sz w:val="22"/>
                <w:szCs w:val="22"/>
                <w:lang w:eastAsia="en-IN"/>
              </w:rPr>
            </w:pPr>
            <w:r w:rsidRPr="003D5FB5">
              <w:rPr>
                <w:rFonts w:asciiTheme="minorHAnsi" w:hAnsiTheme="minorHAnsi" w:cstheme="minorHAnsi"/>
                <w:b/>
                <w:bCs/>
                <w:color w:val="000000"/>
                <w:kern w:val="2"/>
                <w:sz w:val="22"/>
                <w:szCs w:val="22"/>
                <w:lang w:eastAsia="en-IN"/>
              </w:rPr>
              <w:t>Circle</w:t>
            </w:r>
          </w:p>
        </w:tc>
        <w:tc>
          <w:tcPr>
            <w:tcW w:w="0" w:type="auto"/>
            <w:tcBorders>
              <w:top w:val="single" w:sz="8" w:space="0" w:color="000000"/>
              <w:left w:val="single" w:sz="4" w:space="0" w:color="000000"/>
              <w:bottom w:val="single" w:sz="8" w:space="0" w:color="000000"/>
              <w:right w:val="single" w:sz="4" w:space="0" w:color="000000"/>
            </w:tcBorders>
            <w:shd w:val="clear" w:color="auto" w:fill="95B3D7" w:themeFill="accent1" w:themeFillTint="99"/>
            <w:vAlign w:val="center"/>
          </w:tcPr>
          <w:p w14:paraId="5F3765D8" w14:textId="77777777" w:rsidR="002F0A87" w:rsidRPr="003D5FB5" w:rsidRDefault="002F0A87" w:rsidP="002F0A87">
            <w:pPr>
              <w:tabs>
                <w:tab w:val="left" w:pos="426"/>
              </w:tabs>
              <w:spacing w:line="360" w:lineRule="auto"/>
              <w:ind w:right="-23"/>
              <w:jc w:val="center"/>
              <w:textAlignment w:val="center"/>
              <w:rPr>
                <w:rFonts w:asciiTheme="minorHAnsi" w:hAnsiTheme="minorHAnsi" w:cstheme="minorHAnsi"/>
                <w:sz w:val="22"/>
                <w:szCs w:val="22"/>
                <w:lang w:eastAsia="en-IN"/>
              </w:rPr>
            </w:pPr>
            <w:r w:rsidRPr="003D5FB5">
              <w:rPr>
                <w:rFonts w:asciiTheme="minorHAnsi" w:hAnsiTheme="minorHAnsi" w:cstheme="minorHAnsi"/>
                <w:b/>
                <w:bCs/>
                <w:color w:val="000000"/>
                <w:kern w:val="2"/>
                <w:sz w:val="22"/>
                <w:szCs w:val="22"/>
                <w:lang w:eastAsia="en-IN"/>
              </w:rPr>
              <w:t>Peak load</w:t>
            </w:r>
            <w:r w:rsidRPr="003D5FB5">
              <w:rPr>
                <w:rFonts w:asciiTheme="minorHAnsi" w:hAnsiTheme="minorHAnsi" w:cstheme="minorHAnsi"/>
                <w:b/>
                <w:bCs/>
                <w:color w:val="000000"/>
                <w:kern w:val="2"/>
                <w:sz w:val="22"/>
                <w:szCs w:val="22"/>
                <w:lang w:eastAsia="en-IN"/>
              </w:rPr>
              <w:br/>
              <w:t>(MW)</w:t>
            </w:r>
          </w:p>
        </w:tc>
        <w:tc>
          <w:tcPr>
            <w:tcW w:w="0" w:type="auto"/>
            <w:tcBorders>
              <w:top w:val="single" w:sz="8" w:space="0" w:color="000000"/>
              <w:left w:val="single" w:sz="4" w:space="0" w:color="000000"/>
              <w:bottom w:val="single" w:sz="8" w:space="0" w:color="000000"/>
              <w:right w:val="single" w:sz="4" w:space="0" w:color="000000"/>
            </w:tcBorders>
            <w:shd w:val="clear" w:color="auto" w:fill="95B3D7" w:themeFill="accent1" w:themeFillTint="99"/>
            <w:vAlign w:val="center"/>
          </w:tcPr>
          <w:p w14:paraId="6B4B0614" w14:textId="77777777" w:rsidR="002F0A87" w:rsidRPr="003D5FB5" w:rsidRDefault="002F0A87" w:rsidP="002F0A87">
            <w:pPr>
              <w:tabs>
                <w:tab w:val="left" w:pos="426"/>
              </w:tabs>
              <w:spacing w:line="360" w:lineRule="auto"/>
              <w:ind w:right="-23"/>
              <w:jc w:val="center"/>
              <w:textAlignment w:val="center"/>
              <w:rPr>
                <w:rFonts w:asciiTheme="minorHAnsi" w:hAnsiTheme="minorHAnsi" w:cstheme="minorHAnsi"/>
                <w:sz w:val="22"/>
                <w:szCs w:val="22"/>
                <w:lang w:eastAsia="en-IN"/>
              </w:rPr>
            </w:pPr>
            <w:r w:rsidRPr="003D5FB5">
              <w:rPr>
                <w:rFonts w:asciiTheme="minorHAnsi" w:hAnsiTheme="minorHAnsi" w:cstheme="minorHAnsi"/>
                <w:b/>
                <w:bCs/>
                <w:color w:val="000000"/>
                <w:kern w:val="2"/>
                <w:sz w:val="22"/>
                <w:szCs w:val="22"/>
                <w:lang w:eastAsia="en-IN"/>
              </w:rPr>
              <w:t>Line Loss (MW)</w:t>
            </w:r>
          </w:p>
        </w:tc>
        <w:tc>
          <w:tcPr>
            <w:tcW w:w="0" w:type="auto"/>
            <w:tcBorders>
              <w:top w:val="single" w:sz="8" w:space="0" w:color="000000"/>
              <w:left w:val="single" w:sz="4" w:space="0" w:color="000000"/>
              <w:bottom w:val="single" w:sz="8" w:space="0" w:color="000000"/>
              <w:right w:val="single" w:sz="4" w:space="0" w:color="000000"/>
            </w:tcBorders>
            <w:shd w:val="clear" w:color="auto" w:fill="95B3D7" w:themeFill="accent1" w:themeFillTint="99"/>
            <w:vAlign w:val="center"/>
          </w:tcPr>
          <w:p w14:paraId="38351BB6" w14:textId="77777777" w:rsidR="002F0A87" w:rsidRPr="003D5FB5" w:rsidRDefault="002F0A87" w:rsidP="002F0A87">
            <w:pPr>
              <w:tabs>
                <w:tab w:val="left" w:pos="426"/>
              </w:tabs>
              <w:spacing w:line="360" w:lineRule="auto"/>
              <w:ind w:right="-23"/>
              <w:jc w:val="center"/>
              <w:textAlignment w:val="center"/>
              <w:rPr>
                <w:rFonts w:asciiTheme="minorHAnsi" w:hAnsiTheme="minorHAnsi" w:cstheme="minorHAnsi"/>
                <w:sz w:val="22"/>
                <w:szCs w:val="22"/>
                <w:lang w:eastAsia="en-IN"/>
              </w:rPr>
            </w:pPr>
            <w:proofErr w:type="spellStart"/>
            <w:r w:rsidRPr="003D5FB5">
              <w:rPr>
                <w:rFonts w:asciiTheme="minorHAnsi" w:hAnsiTheme="minorHAnsi" w:cstheme="minorHAnsi"/>
                <w:b/>
                <w:bCs/>
                <w:color w:val="000000"/>
                <w:kern w:val="2"/>
                <w:sz w:val="22"/>
                <w:szCs w:val="22"/>
                <w:lang w:eastAsia="en-IN"/>
              </w:rPr>
              <w:t>Trf</w:t>
            </w:r>
            <w:proofErr w:type="spellEnd"/>
            <w:r w:rsidRPr="003D5FB5">
              <w:rPr>
                <w:rFonts w:asciiTheme="minorHAnsi" w:hAnsiTheme="minorHAnsi" w:cstheme="minorHAnsi"/>
                <w:b/>
                <w:bCs/>
                <w:color w:val="000000"/>
                <w:kern w:val="2"/>
                <w:sz w:val="22"/>
                <w:szCs w:val="22"/>
                <w:lang w:eastAsia="en-IN"/>
              </w:rPr>
              <w:t>.</w:t>
            </w:r>
            <w:r w:rsidRPr="003D5FB5">
              <w:rPr>
                <w:rFonts w:asciiTheme="minorHAnsi" w:hAnsiTheme="minorHAnsi" w:cstheme="minorHAnsi"/>
                <w:b/>
                <w:bCs/>
                <w:color w:val="000000"/>
                <w:kern w:val="2"/>
                <w:sz w:val="22"/>
                <w:szCs w:val="22"/>
                <w:lang w:eastAsia="en-IN"/>
              </w:rPr>
              <w:br/>
              <w:t>(No Load Loss)</w:t>
            </w:r>
            <w:r w:rsidRPr="003D5FB5">
              <w:rPr>
                <w:rFonts w:asciiTheme="minorHAnsi" w:hAnsiTheme="minorHAnsi" w:cstheme="minorHAnsi"/>
                <w:b/>
                <w:bCs/>
                <w:color w:val="000000"/>
                <w:kern w:val="2"/>
                <w:sz w:val="22"/>
                <w:szCs w:val="22"/>
                <w:lang w:eastAsia="en-IN"/>
              </w:rPr>
              <w:br/>
              <w:t>(MW)</w:t>
            </w:r>
          </w:p>
        </w:tc>
        <w:tc>
          <w:tcPr>
            <w:tcW w:w="0" w:type="auto"/>
            <w:tcBorders>
              <w:top w:val="single" w:sz="8" w:space="0" w:color="000000"/>
              <w:left w:val="single" w:sz="4" w:space="0" w:color="000000"/>
              <w:bottom w:val="single" w:sz="8" w:space="0" w:color="000000"/>
              <w:right w:val="single" w:sz="4" w:space="0" w:color="000000"/>
            </w:tcBorders>
            <w:shd w:val="clear" w:color="auto" w:fill="95B3D7" w:themeFill="accent1" w:themeFillTint="99"/>
            <w:vAlign w:val="center"/>
          </w:tcPr>
          <w:p w14:paraId="6874E510" w14:textId="77777777" w:rsidR="002F0A87" w:rsidRPr="003D5FB5" w:rsidRDefault="002F0A87" w:rsidP="002F0A87">
            <w:pPr>
              <w:tabs>
                <w:tab w:val="left" w:pos="426"/>
              </w:tabs>
              <w:spacing w:line="360" w:lineRule="auto"/>
              <w:ind w:right="-23"/>
              <w:jc w:val="center"/>
              <w:textAlignment w:val="center"/>
              <w:rPr>
                <w:rFonts w:asciiTheme="minorHAnsi" w:hAnsiTheme="minorHAnsi" w:cstheme="minorHAnsi"/>
                <w:sz w:val="22"/>
                <w:szCs w:val="22"/>
                <w:lang w:eastAsia="en-IN"/>
              </w:rPr>
            </w:pPr>
            <w:proofErr w:type="spellStart"/>
            <w:r w:rsidRPr="003D5FB5">
              <w:rPr>
                <w:rFonts w:asciiTheme="minorHAnsi" w:hAnsiTheme="minorHAnsi" w:cstheme="minorHAnsi"/>
                <w:b/>
                <w:bCs/>
                <w:color w:val="000000"/>
                <w:kern w:val="2"/>
                <w:sz w:val="22"/>
                <w:szCs w:val="22"/>
                <w:lang w:eastAsia="en-IN"/>
              </w:rPr>
              <w:t>Trf</w:t>
            </w:r>
            <w:proofErr w:type="spellEnd"/>
            <w:r w:rsidRPr="003D5FB5">
              <w:rPr>
                <w:rFonts w:asciiTheme="minorHAnsi" w:hAnsiTheme="minorHAnsi" w:cstheme="minorHAnsi"/>
                <w:b/>
                <w:bCs/>
                <w:color w:val="000000"/>
                <w:kern w:val="2"/>
                <w:sz w:val="22"/>
                <w:szCs w:val="22"/>
                <w:lang w:eastAsia="en-IN"/>
              </w:rPr>
              <w:t>.</w:t>
            </w:r>
            <w:r w:rsidRPr="003D5FB5">
              <w:rPr>
                <w:rFonts w:asciiTheme="minorHAnsi" w:hAnsiTheme="minorHAnsi" w:cstheme="minorHAnsi"/>
                <w:b/>
                <w:bCs/>
                <w:color w:val="000000"/>
                <w:kern w:val="2"/>
                <w:sz w:val="22"/>
                <w:szCs w:val="22"/>
                <w:lang w:eastAsia="en-IN"/>
              </w:rPr>
              <w:br/>
              <w:t>(Load Loss)</w:t>
            </w:r>
            <w:r w:rsidRPr="003D5FB5">
              <w:rPr>
                <w:rFonts w:asciiTheme="minorHAnsi" w:hAnsiTheme="minorHAnsi" w:cstheme="minorHAnsi"/>
                <w:b/>
                <w:bCs/>
                <w:color w:val="000000"/>
                <w:kern w:val="2"/>
                <w:sz w:val="22"/>
                <w:szCs w:val="22"/>
                <w:lang w:eastAsia="en-IN"/>
              </w:rPr>
              <w:br/>
              <w:t>(MW)</w:t>
            </w:r>
          </w:p>
        </w:tc>
        <w:tc>
          <w:tcPr>
            <w:tcW w:w="0" w:type="auto"/>
            <w:tcBorders>
              <w:top w:val="single" w:sz="8" w:space="0" w:color="000000"/>
              <w:left w:val="single" w:sz="4" w:space="0" w:color="000000"/>
              <w:bottom w:val="single" w:sz="8" w:space="0" w:color="000000"/>
              <w:right w:val="single" w:sz="4" w:space="0" w:color="000000"/>
            </w:tcBorders>
            <w:shd w:val="clear" w:color="auto" w:fill="95B3D7" w:themeFill="accent1" w:themeFillTint="99"/>
            <w:vAlign w:val="center"/>
          </w:tcPr>
          <w:p w14:paraId="67848FBF" w14:textId="77777777" w:rsidR="002F0A87" w:rsidRPr="003D5FB5" w:rsidRDefault="002F0A87" w:rsidP="002F0A87">
            <w:pPr>
              <w:tabs>
                <w:tab w:val="left" w:pos="426"/>
              </w:tabs>
              <w:spacing w:line="360" w:lineRule="auto"/>
              <w:ind w:right="-23"/>
              <w:jc w:val="center"/>
              <w:textAlignment w:val="center"/>
              <w:rPr>
                <w:rFonts w:asciiTheme="minorHAnsi" w:hAnsiTheme="minorHAnsi" w:cstheme="minorHAnsi"/>
                <w:sz w:val="22"/>
                <w:szCs w:val="22"/>
                <w:lang w:eastAsia="en-IN"/>
              </w:rPr>
            </w:pPr>
            <w:r w:rsidRPr="003D5FB5">
              <w:rPr>
                <w:rFonts w:asciiTheme="minorHAnsi" w:hAnsiTheme="minorHAnsi" w:cstheme="minorHAnsi"/>
                <w:b/>
                <w:bCs/>
                <w:color w:val="000000"/>
                <w:kern w:val="2"/>
                <w:sz w:val="22"/>
                <w:szCs w:val="22"/>
                <w:lang w:eastAsia="en-IN"/>
              </w:rPr>
              <w:t>Distributed loss @ 7.68%</w:t>
            </w:r>
            <w:r w:rsidRPr="003D5FB5">
              <w:rPr>
                <w:rFonts w:asciiTheme="minorHAnsi" w:hAnsiTheme="minorHAnsi" w:cstheme="minorHAnsi"/>
                <w:b/>
                <w:bCs/>
                <w:color w:val="000000"/>
                <w:kern w:val="2"/>
                <w:sz w:val="22"/>
                <w:szCs w:val="22"/>
                <w:lang w:eastAsia="en-IN"/>
              </w:rPr>
              <w:br/>
              <w:t>(MW)</w:t>
            </w:r>
          </w:p>
        </w:tc>
        <w:tc>
          <w:tcPr>
            <w:tcW w:w="0" w:type="auto"/>
            <w:tcBorders>
              <w:top w:val="single" w:sz="8" w:space="0" w:color="000000"/>
              <w:left w:val="single" w:sz="4" w:space="0" w:color="000000"/>
              <w:bottom w:val="single" w:sz="8" w:space="0" w:color="000000"/>
              <w:right w:val="single" w:sz="4" w:space="0" w:color="000000"/>
            </w:tcBorders>
            <w:shd w:val="clear" w:color="auto" w:fill="95B3D7" w:themeFill="accent1" w:themeFillTint="99"/>
            <w:vAlign w:val="center"/>
          </w:tcPr>
          <w:p w14:paraId="638B72AB" w14:textId="77777777" w:rsidR="002F0A87" w:rsidRPr="003D5FB5" w:rsidRDefault="002F0A87" w:rsidP="002F0A87">
            <w:pPr>
              <w:tabs>
                <w:tab w:val="left" w:pos="426"/>
              </w:tabs>
              <w:spacing w:line="360" w:lineRule="auto"/>
              <w:ind w:right="-23"/>
              <w:jc w:val="center"/>
              <w:textAlignment w:val="center"/>
              <w:rPr>
                <w:rFonts w:asciiTheme="minorHAnsi" w:hAnsiTheme="minorHAnsi" w:cstheme="minorHAnsi"/>
                <w:sz w:val="22"/>
                <w:szCs w:val="22"/>
                <w:lang w:eastAsia="en-IN"/>
              </w:rPr>
            </w:pPr>
            <w:r w:rsidRPr="003D5FB5">
              <w:rPr>
                <w:rFonts w:asciiTheme="minorHAnsi" w:hAnsiTheme="minorHAnsi" w:cstheme="minorHAnsi"/>
                <w:b/>
                <w:bCs/>
                <w:color w:val="000000"/>
                <w:kern w:val="2"/>
                <w:sz w:val="22"/>
                <w:szCs w:val="22"/>
                <w:lang w:eastAsia="en-IN"/>
              </w:rPr>
              <w:t>Total Loss</w:t>
            </w:r>
            <w:r w:rsidRPr="003D5FB5">
              <w:rPr>
                <w:rFonts w:asciiTheme="minorHAnsi" w:hAnsiTheme="minorHAnsi" w:cstheme="minorHAnsi"/>
                <w:b/>
                <w:bCs/>
                <w:color w:val="000000"/>
                <w:kern w:val="2"/>
                <w:sz w:val="22"/>
                <w:szCs w:val="22"/>
                <w:lang w:eastAsia="en-IN"/>
              </w:rPr>
              <w:br/>
              <w:t>(MW)</w:t>
            </w:r>
          </w:p>
        </w:tc>
        <w:tc>
          <w:tcPr>
            <w:tcW w:w="0" w:type="auto"/>
            <w:tcBorders>
              <w:top w:val="single" w:sz="8" w:space="0" w:color="000000"/>
              <w:left w:val="single" w:sz="4" w:space="0" w:color="000000"/>
              <w:bottom w:val="single" w:sz="8" w:space="0" w:color="000000"/>
              <w:right w:val="single" w:sz="8" w:space="0" w:color="000000"/>
            </w:tcBorders>
            <w:shd w:val="clear" w:color="auto" w:fill="95B3D7" w:themeFill="accent1" w:themeFillTint="99"/>
            <w:vAlign w:val="center"/>
          </w:tcPr>
          <w:p w14:paraId="77BAF39E" w14:textId="77777777" w:rsidR="002F0A87" w:rsidRPr="003D5FB5" w:rsidRDefault="002F0A87" w:rsidP="002F0A87">
            <w:pPr>
              <w:tabs>
                <w:tab w:val="left" w:pos="426"/>
              </w:tabs>
              <w:spacing w:line="360" w:lineRule="auto"/>
              <w:ind w:right="-23"/>
              <w:jc w:val="center"/>
              <w:textAlignment w:val="center"/>
              <w:rPr>
                <w:rFonts w:asciiTheme="minorHAnsi" w:hAnsiTheme="minorHAnsi" w:cstheme="minorHAnsi"/>
                <w:sz w:val="22"/>
                <w:szCs w:val="22"/>
                <w:lang w:eastAsia="en-IN"/>
              </w:rPr>
            </w:pPr>
            <w:r w:rsidRPr="003D5FB5">
              <w:rPr>
                <w:rFonts w:asciiTheme="minorHAnsi" w:hAnsiTheme="minorHAnsi" w:cstheme="minorHAnsi"/>
                <w:b/>
                <w:bCs/>
                <w:color w:val="000000"/>
                <w:kern w:val="2"/>
                <w:sz w:val="22"/>
                <w:szCs w:val="22"/>
                <w:lang w:eastAsia="en-IN"/>
              </w:rPr>
              <w:t>Annual Tech loss in %</w:t>
            </w:r>
          </w:p>
        </w:tc>
      </w:tr>
      <w:tr w:rsidR="002F0A87" w:rsidRPr="003D5FB5" w14:paraId="2F522D05" w14:textId="77777777" w:rsidTr="004B69C1">
        <w:trPr>
          <w:trHeight w:val="386"/>
        </w:trPr>
        <w:tc>
          <w:tcPr>
            <w:tcW w:w="0" w:type="auto"/>
            <w:tcBorders>
              <w:top w:val="single" w:sz="8" w:space="0" w:color="000000"/>
              <w:left w:val="single" w:sz="8" w:space="0" w:color="000000"/>
              <w:bottom w:val="single" w:sz="4" w:space="0" w:color="000000"/>
              <w:right w:val="single" w:sz="4" w:space="0" w:color="000000"/>
            </w:tcBorders>
            <w:shd w:val="clear" w:color="auto" w:fill="auto"/>
            <w:vAlign w:val="bottom"/>
          </w:tcPr>
          <w:p w14:paraId="3BE49A3F" w14:textId="77777777" w:rsidR="002F0A87" w:rsidRPr="003D5FB5" w:rsidRDefault="002F0A87" w:rsidP="002F0A87">
            <w:pPr>
              <w:tabs>
                <w:tab w:val="left" w:pos="426"/>
              </w:tabs>
              <w:spacing w:line="276" w:lineRule="auto"/>
              <w:ind w:right="-23"/>
              <w:jc w:val="both"/>
              <w:textAlignment w:val="bottom"/>
              <w:rPr>
                <w:rFonts w:asciiTheme="minorHAnsi" w:hAnsiTheme="minorHAnsi" w:cstheme="minorHAnsi"/>
                <w:sz w:val="22"/>
                <w:szCs w:val="22"/>
                <w:lang w:eastAsia="en-IN"/>
              </w:rPr>
            </w:pPr>
            <w:proofErr w:type="spellStart"/>
            <w:r w:rsidRPr="003D5FB5">
              <w:rPr>
                <w:rFonts w:asciiTheme="minorHAnsi" w:hAnsiTheme="minorHAnsi" w:cstheme="minorHAnsi"/>
                <w:color w:val="000000"/>
                <w:kern w:val="2"/>
                <w:sz w:val="22"/>
                <w:szCs w:val="22"/>
                <w:lang w:eastAsia="en-IN"/>
              </w:rPr>
              <w:t>Balasore</w:t>
            </w:r>
            <w:proofErr w:type="spellEnd"/>
          </w:p>
        </w:tc>
        <w:tc>
          <w:tcPr>
            <w:tcW w:w="0" w:type="auto"/>
            <w:tcBorders>
              <w:top w:val="single" w:sz="8" w:space="0" w:color="000000"/>
              <w:left w:val="single" w:sz="4" w:space="0" w:color="000000"/>
              <w:bottom w:val="single" w:sz="4" w:space="0" w:color="000000"/>
              <w:right w:val="single" w:sz="4" w:space="0" w:color="000000"/>
            </w:tcBorders>
            <w:shd w:val="clear" w:color="auto" w:fill="auto"/>
            <w:vAlign w:val="center"/>
          </w:tcPr>
          <w:p w14:paraId="4BFE39A7" w14:textId="77777777" w:rsidR="002F0A87" w:rsidRPr="003D5FB5" w:rsidRDefault="002F0A87" w:rsidP="002F0A87">
            <w:pPr>
              <w:tabs>
                <w:tab w:val="left" w:pos="426"/>
              </w:tabs>
              <w:spacing w:line="276" w:lineRule="auto"/>
              <w:ind w:right="-23"/>
              <w:jc w:val="center"/>
              <w:textAlignment w:val="center"/>
              <w:rPr>
                <w:rFonts w:asciiTheme="minorHAnsi" w:hAnsiTheme="minorHAnsi" w:cstheme="minorHAnsi"/>
                <w:sz w:val="22"/>
                <w:szCs w:val="22"/>
                <w:lang w:eastAsia="en-IN"/>
              </w:rPr>
            </w:pPr>
            <w:r w:rsidRPr="003D5FB5">
              <w:rPr>
                <w:rFonts w:asciiTheme="minorHAnsi" w:hAnsiTheme="minorHAnsi" w:cstheme="minorHAnsi"/>
                <w:sz w:val="22"/>
                <w:szCs w:val="22"/>
                <w:lang w:eastAsia="en-IN"/>
              </w:rPr>
              <w:t>291.59</w:t>
            </w:r>
          </w:p>
        </w:tc>
        <w:tc>
          <w:tcPr>
            <w:tcW w:w="0" w:type="auto"/>
            <w:tcBorders>
              <w:top w:val="single" w:sz="8" w:space="0" w:color="000000"/>
              <w:left w:val="single" w:sz="4" w:space="0" w:color="000000"/>
              <w:bottom w:val="single" w:sz="4" w:space="0" w:color="000000"/>
              <w:right w:val="single" w:sz="4" w:space="0" w:color="000000"/>
            </w:tcBorders>
            <w:shd w:val="clear" w:color="auto" w:fill="auto"/>
          </w:tcPr>
          <w:p w14:paraId="72F6A28B" w14:textId="77777777" w:rsidR="002F0A87" w:rsidRPr="003D5FB5" w:rsidRDefault="002F0A87" w:rsidP="002F0A87">
            <w:pPr>
              <w:tabs>
                <w:tab w:val="left" w:pos="426"/>
              </w:tabs>
              <w:spacing w:line="276" w:lineRule="auto"/>
              <w:ind w:right="-23"/>
              <w:jc w:val="center"/>
              <w:textAlignment w:val="center"/>
              <w:rPr>
                <w:rFonts w:asciiTheme="minorHAnsi" w:hAnsiTheme="minorHAnsi" w:cstheme="minorHAnsi"/>
                <w:sz w:val="22"/>
                <w:szCs w:val="22"/>
                <w:lang w:eastAsia="en-IN"/>
              </w:rPr>
            </w:pPr>
            <w:r w:rsidRPr="003D5FB5">
              <w:rPr>
                <w:rFonts w:asciiTheme="minorHAnsi" w:hAnsiTheme="minorHAnsi" w:cstheme="minorHAnsi"/>
                <w:sz w:val="22"/>
                <w:szCs w:val="22"/>
                <w:lang w:eastAsia="en-IN"/>
              </w:rPr>
              <w:t>9.73</w:t>
            </w:r>
          </w:p>
        </w:tc>
        <w:tc>
          <w:tcPr>
            <w:tcW w:w="0" w:type="auto"/>
            <w:tcBorders>
              <w:top w:val="single" w:sz="8" w:space="0" w:color="000000"/>
              <w:left w:val="single" w:sz="4" w:space="0" w:color="000000"/>
              <w:bottom w:val="single" w:sz="4" w:space="0" w:color="000000"/>
              <w:right w:val="single" w:sz="4" w:space="0" w:color="000000"/>
            </w:tcBorders>
            <w:shd w:val="clear" w:color="auto" w:fill="auto"/>
            <w:vAlign w:val="center"/>
          </w:tcPr>
          <w:p w14:paraId="7AC69764" w14:textId="77777777" w:rsidR="002F0A87" w:rsidRPr="003D5FB5" w:rsidRDefault="002F0A87" w:rsidP="002F0A87">
            <w:pPr>
              <w:tabs>
                <w:tab w:val="left" w:pos="426"/>
              </w:tabs>
              <w:spacing w:line="276" w:lineRule="auto"/>
              <w:ind w:right="-23"/>
              <w:jc w:val="center"/>
              <w:textAlignment w:val="center"/>
              <w:rPr>
                <w:rFonts w:asciiTheme="minorHAnsi" w:hAnsiTheme="minorHAnsi" w:cstheme="minorHAnsi"/>
                <w:sz w:val="22"/>
                <w:szCs w:val="22"/>
                <w:lang w:eastAsia="en-IN"/>
              </w:rPr>
            </w:pPr>
            <w:r w:rsidRPr="003D5FB5">
              <w:rPr>
                <w:rFonts w:asciiTheme="minorHAnsi" w:hAnsiTheme="minorHAnsi" w:cstheme="minorHAnsi"/>
                <w:sz w:val="22"/>
                <w:szCs w:val="22"/>
                <w:lang w:eastAsia="en-IN"/>
              </w:rPr>
              <w:t>0.51</w:t>
            </w:r>
          </w:p>
        </w:tc>
        <w:tc>
          <w:tcPr>
            <w:tcW w:w="0" w:type="auto"/>
            <w:tcBorders>
              <w:top w:val="single" w:sz="8" w:space="0" w:color="000000"/>
              <w:left w:val="single" w:sz="4" w:space="0" w:color="000000"/>
              <w:bottom w:val="single" w:sz="4" w:space="0" w:color="000000"/>
              <w:right w:val="single" w:sz="4" w:space="0" w:color="000000"/>
            </w:tcBorders>
            <w:shd w:val="clear" w:color="auto" w:fill="auto"/>
            <w:vAlign w:val="center"/>
          </w:tcPr>
          <w:p w14:paraId="2FAAE2EC" w14:textId="77777777" w:rsidR="002F0A87" w:rsidRPr="003D5FB5" w:rsidRDefault="002F0A87" w:rsidP="002F0A87">
            <w:pPr>
              <w:tabs>
                <w:tab w:val="left" w:pos="426"/>
              </w:tabs>
              <w:spacing w:line="276" w:lineRule="auto"/>
              <w:ind w:right="-23"/>
              <w:jc w:val="center"/>
              <w:textAlignment w:val="center"/>
              <w:rPr>
                <w:rFonts w:asciiTheme="minorHAnsi" w:hAnsiTheme="minorHAnsi" w:cstheme="minorHAnsi"/>
                <w:sz w:val="22"/>
                <w:szCs w:val="22"/>
                <w:lang w:eastAsia="en-IN"/>
              </w:rPr>
            </w:pPr>
            <w:r w:rsidRPr="003D5FB5">
              <w:rPr>
                <w:rFonts w:asciiTheme="minorHAnsi" w:hAnsiTheme="minorHAnsi" w:cstheme="minorHAnsi"/>
                <w:sz w:val="22"/>
                <w:szCs w:val="22"/>
                <w:lang w:eastAsia="en-IN"/>
              </w:rPr>
              <w:t>0.83</w:t>
            </w:r>
          </w:p>
        </w:tc>
        <w:tc>
          <w:tcPr>
            <w:tcW w:w="0" w:type="auto"/>
            <w:tcBorders>
              <w:top w:val="single" w:sz="8" w:space="0" w:color="000000"/>
              <w:left w:val="single" w:sz="4" w:space="0" w:color="000000"/>
              <w:bottom w:val="single" w:sz="4" w:space="0" w:color="000000"/>
              <w:right w:val="single" w:sz="4" w:space="0" w:color="000000"/>
            </w:tcBorders>
            <w:shd w:val="clear" w:color="auto" w:fill="auto"/>
            <w:vAlign w:val="center"/>
          </w:tcPr>
          <w:p w14:paraId="49D03A7F" w14:textId="77777777" w:rsidR="002F0A87" w:rsidRPr="003D5FB5" w:rsidRDefault="002F0A87" w:rsidP="002F0A87">
            <w:pPr>
              <w:tabs>
                <w:tab w:val="left" w:pos="426"/>
              </w:tabs>
              <w:spacing w:line="276" w:lineRule="auto"/>
              <w:ind w:right="-23"/>
              <w:jc w:val="center"/>
              <w:textAlignment w:val="center"/>
              <w:rPr>
                <w:rFonts w:asciiTheme="minorHAnsi" w:hAnsiTheme="minorHAnsi" w:cstheme="minorHAnsi"/>
                <w:sz w:val="22"/>
                <w:szCs w:val="22"/>
                <w:lang w:eastAsia="en-IN"/>
              </w:rPr>
            </w:pPr>
            <w:r w:rsidRPr="003D5FB5">
              <w:rPr>
                <w:rFonts w:asciiTheme="minorHAnsi" w:hAnsiTheme="minorHAnsi" w:cstheme="minorHAnsi"/>
                <w:color w:val="000000"/>
                <w:sz w:val="22"/>
                <w:szCs w:val="22"/>
              </w:rPr>
              <w:t>0.92</w:t>
            </w:r>
          </w:p>
        </w:tc>
        <w:tc>
          <w:tcPr>
            <w:tcW w:w="0" w:type="auto"/>
            <w:tcBorders>
              <w:top w:val="single" w:sz="8" w:space="0" w:color="000000"/>
              <w:left w:val="single" w:sz="4" w:space="0" w:color="000000"/>
              <w:bottom w:val="single" w:sz="4" w:space="0" w:color="000000"/>
              <w:right w:val="single" w:sz="4" w:space="0" w:color="000000"/>
            </w:tcBorders>
            <w:shd w:val="clear" w:color="auto" w:fill="auto"/>
            <w:vAlign w:val="center"/>
          </w:tcPr>
          <w:p w14:paraId="5460EDE8" w14:textId="77777777" w:rsidR="002F0A87" w:rsidRPr="003D5FB5" w:rsidRDefault="002F0A87" w:rsidP="002F0A87">
            <w:pPr>
              <w:tabs>
                <w:tab w:val="left" w:pos="426"/>
              </w:tabs>
              <w:spacing w:line="276" w:lineRule="auto"/>
              <w:ind w:right="-23"/>
              <w:jc w:val="center"/>
              <w:textAlignment w:val="center"/>
              <w:rPr>
                <w:rFonts w:asciiTheme="minorHAnsi" w:hAnsiTheme="minorHAnsi" w:cstheme="minorHAnsi"/>
                <w:sz w:val="22"/>
                <w:szCs w:val="22"/>
                <w:lang w:eastAsia="en-IN"/>
              </w:rPr>
            </w:pPr>
            <w:r w:rsidRPr="003D5FB5">
              <w:rPr>
                <w:rFonts w:asciiTheme="minorHAnsi" w:hAnsiTheme="minorHAnsi" w:cstheme="minorHAnsi"/>
                <w:sz w:val="22"/>
                <w:szCs w:val="22"/>
                <w:lang w:eastAsia="en-IN"/>
              </w:rPr>
              <w:t>11.98</w:t>
            </w:r>
          </w:p>
        </w:tc>
        <w:tc>
          <w:tcPr>
            <w:tcW w:w="0" w:type="auto"/>
            <w:tcBorders>
              <w:top w:val="single" w:sz="8" w:space="0" w:color="000000"/>
              <w:left w:val="single" w:sz="4" w:space="0" w:color="000000"/>
              <w:bottom w:val="single" w:sz="4" w:space="0" w:color="000000"/>
              <w:right w:val="single" w:sz="8" w:space="0" w:color="000000"/>
            </w:tcBorders>
            <w:shd w:val="clear" w:color="auto" w:fill="auto"/>
            <w:vAlign w:val="center"/>
          </w:tcPr>
          <w:p w14:paraId="2593B9F8" w14:textId="77777777" w:rsidR="002F0A87" w:rsidRPr="003D5FB5" w:rsidRDefault="002F0A87" w:rsidP="002F0A87">
            <w:pPr>
              <w:tabs>
                <w:tab w:val="left" w:pos="426"/>
              </w:tabs>
              <w:spacing w:line="276" w:lineRule="auto"/>
              <w:ind w:right="-23"/>
              <w:jc w:val="center"/>
              <w:textAlignment w:val="center"/>
              <w:rPr>
                <w:rFonts w:asciiTheme="minorHAnsi" w:hAnsiTheme="minorHAnsi" w:cstheme="minorHAnsi"/>
                <w:sz w:val="22"/>
                <w:szCs w:val="22"/>
                <w:lang w:eastAsia="en-IN"/>
              </w:rPr>
            </w:pPr>
            <w:r w:rsidRPr="003D5FB5">
              <w:rPr>
                <w:rFonts w:asciiTheme="minorHAnsi" w:hAnsiTheme="minorHAnsi" w:cstheme="minorHAnsi"/>
                <w:sz w:val="22"/>
                <w:szCs w:val="22"/>
                <w:lang w:eastAsia="en-IN"/>
              </w:rPr>
              <w:t>2.63</w:t>
            </w:r>
          </w:p>
        </w:tc>
      </w:tr>
      <w:tr w:rsidR="002F0A87" w:rsidRPr="003D5FB5" w14:paraId="283C8A18" w14:textId="77777777" w:rsidTr="004B69C1">
        <w:trPr>
          <w:trHeight w:val="386"/>
        </w:trPr>
        <w:tc>
          <w:tcPr>
            <w:tcW w:w="0" w:type="auto"/>
            <w:tcBorders>
              <w:top w:val="single" w:sz="4" w:space="0" w:color="000000"/>
              <w:left w:val="single" w:sz="8" w:space="0" w:color="000000"/>
              <w:bottom w:val="single" w:sz="4" w:space="0" w:color="000000"/>
              <w:right w:val="single" w:sz="4" w:space="0" w:color="000000"/>
            </w:tcBorders>
            <w:shd w:val="clear" w:color="auto" w:fill="auto"/>
            <w:vAlign w:val="bottom"/>
          </w:tcPr>
          <w:p w14:paraId="7E95EF0E" w14:textId="77777777" w:rsidR="002F0A87" w:rsidRPr="003D5FB5" w:rsidRDefault="002F0A87" w:rsidP="002F0A87">
            <w:pPr>
              <w:tabs>
                <w:tab w:val="left" w:pos="426"/>
              </w:tabs>
              <w:spacing w:line="276" w:lineRule="auto"/>
              <w:ind w:right="-23"/>
              <w:jc w:val="both"/>
              <w:textAlignment w:val="bottom"/>
              <w:rPr>
                <w:rFonts w:asciiTheme="minorHAnsi" w:hAnsiTheme="minorHAnsi" w:cstheme="minorHAnsi"/>
                <w:sz w:val="22"/>
                <w:szCs w:val="22"/>
                <w:lang w:eastAsia="en-IN"/>
              </w:rPr>
            </w:pPr>
            <w:proofErr w:type="spellStart"/>
            <w:r w:rsidRPr="003D5FB5">
              <w:rPr>
                <w:rFonts w:asciiTheme="minorHAnsi" w:hAnsiTheme="minorHAnsi" w:cstheme="minorHAnsi"/>
                <w:color w:val="000000"/>
                <w:kern w:val="2"/>
                <w:sz w:val="22"/>
                <w:szCs w:val="22"/>
                <w:lang w:eastAsia="en-IN"/>
              </w:rPr>
              <w:t>Baripada</w:t>
            </w:r>
            <w:proofErr w:type="spellEnd"/>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tcPr>
          <w:p w14:paraId="5900EEE9" w14:textId="77777777" w:rsidR="002F0A87" w:rsidRPr="003D5FB5" w:rsidRDefault="002F0A87" w:rsidP="002F0A87">
            <w:pPr>
              <w:tabs>
                <w:tab w:val="left" w:pos="426"/>
              </w:tabs>
              <w:spacing w:line="276" w:lineRule="auto"/>
              <w:ind w:right="-23"/>
              <w:jc w:val="center"/>
              <w:textAlignment w:val="center"/>
              <w:rPr>
                <w:rFonts w:asciiTheme="minorHAnsi" w:hAnsiTheme="minorHAnsi" w:cstheme="minorHAnsi"/>
                <w:sz w:val="22"/>
                <w:szCs w:val="22"/>
                <w:lang w:eastAsia="en-IN"/>
              </w:rPr>
            </w:pPr>
            <w:r w:rsidRPr="003D5FB5">
              <w:rPr>
                <w:rFonts w:asciiTheme="minorHAnsi" w:hAnsiTheme="minorHAnsi" w:cstheme="minorHAnsi"/>
                <w:color w:val="000000"/>
                <w:kern w:val="2"/>
                <w:sz w:val="22"/>
                <w:szCs w:val="22"/>
                <w:lang w:eastAsia="en-IN"/>
              </w:rPr>
              <w:t>150.81</w:t>
            </w:r>
          </w:p>
        </w:tc>
        <w:tc>
          <w:tcPr>
            <w:tcW w:w="0" w:type="auto"/>
            <w:tcBorders>
              <w:top w:val="single" w:sz="4" w:space="0" w:color="000000"/>
              <w:left w:val="single" w:sz="4" w:space="0" w:color="000000"/>
              <w:bottom w:val="single" w:sz="4" w:space="0" w:color="000000"/>
              <w:right w:val="single" w:sz="4" w:space="0" w:color="000000"/>
            </w:tcBorders>
            <w:shd w:val="clear" w:color="auto" w:fill="auto"/>
          </w:tcPr>
          <w:p w14:paraId="13DA402E" w14:textId="77777777" w:rsidR="002F0A87" w:rsidRPr="003D5FB5" w:rsidRDefault="002F0A87" w:rsidP="002F0A87">
            <w:pPr>
              <w:tabs>
                <w:tab w:val="left" w:pos="426"/>
              </w:tabs>
              <w:spacing w:line="276" w:lineRule="auto"/>
              <w:ind w:right="-23"/>
              <w:jc w:val="center"/>
              <w:textAlignment w:val="center"/>
              <w:rPr>
                <w:rFonts w:asciiTheme="minorHAnsi" w:hAnsiTheme="minorHAnsi" w:cstheme="minorHAnsi"/>
                <w:sz w:val="22"/>
                <w:szCs w:val="22"/>
                <w:lang w:eastAsia="en-IN"/>
              </w:rPr>
            </w:pPr>
            <w:r w:rsidRPr="003D5FB5">
              <w:rPr>
                <w:rFonts w:asciiTheme="minorHAnsi" w:hAnsiTheme="minorHAnsi" w:cstheme="minorHAnsi"/>
                <w:sz w:val="22"/>
                <w:szCs w:val="22"/>
                <w:lang w:eastAsia="en-IN"/>
              </w:rPr>
              <w:t>6.14</w:t>
            </w:r>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tcPr>
          <w:p w14:paraId="36DCEEE4" w14:textId="77777777" w:rsidR="002F0A87" w:rsidRPr="003D5FB5" w:rsidRDefault="002F0A87" w:rsidP="002F0A87">
            <w:pPr>
              <w:tabs>
                <w:tab w:val="left" w:pos="426"/>
              </w:tabs>
              <w:spacing w:line="276" w:lineRule="auto"/>
              <w:ind w:right="-23"/>
              <w:jc w:val="center"/>
              <w:textAlignment w:val="center"/>
              <w:rPr>
                <w:rFonts w:asciiTheme="minorHAnsi" w:hAnsiTheme="minorHAnsi" w:cstheme="minorHAnsi"/>
                <w:sz w:val="22"/>
                <w:szCs w:val="22"/>
                <w:lang w:eastAsia="en-IN"/>
              </w:rPr>
            </w:pPr>
            <w:r w:rsidRPr="003D5FB5">
              <w:rPr>
                <w:rFonts w:asciiTheme="minorHAnsi" w:hAnsiTheme="minorHAnsi" w:cstheme="minorHAnsi"/>
                <w:color w:val="000000"/>
                <w:kern w:val="2"/>
                <w:sz w:val="22"/>
                <w:szCs w:val="22"/>
                <w:lang w:eastAsia="en-IN"/>
              </w:rPr>
              <w:t>0.42</w:t>
            </w:r>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tcPr>
          <w:p w14:paraId="54C573EC" w14:textId="77777777" w:rsidR="002F0A87" w:rsidRPr="003D5FB5" w:rsidRDefault="002F0A87" w:rsidP="002F0A87">
            <w:pPr>
              <w:tabs>
                <w:tab w:val="left" w:pos="426"/>
              </w:tabs>
              <w:spacing w:line="276" w:lineRule="auto"/>
              <w:ind w:right="-23"/>
              <w:jc w:val="center"/>
              <w:textAlignment w:val="center"/>
              <w:rPr>
                <w:rFonts w:asciiTheme="minorHAnsi" w:hAnsiTheme="minorHAnsi" w:cstheme="minorHAnsi"/>
                <w:sz w:val="22"/>
                <w:szCs w:val="22"/>
                <w:lang w:eastAsia="en-IN"/>
              </w:rPr>
            </w:pPr>
            <w:r w:rsidRPr="003D5FB5">
              <w:rPr>
                <w:rFonts w:asciiTheme="minorHAnsi" w:hAnsiTheme="minorHAnsi" w:cstheme="minorHAnsi"/>
                <w:color w:val="000000"/>
                <w:kern w:val="2"/>
                <w:sz w:val="22"/>
                <w:szCs w:val="22"/>
                <w:lang w:eastAsia="en-IN"/>
              </w:rPr>
              <w:t>0.32</w:t>
            </w:r>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tcPr>
          <w:p w14:paraId="35FD0F6F" w14:textId="77777777" w:rsidR="002F0A87" w:rsidRPr="003D5FB5" w:rsidRDefault="002F0A87" w:rsidP="002F0A87">
            <w:pPr>
              <w:tabs>
                <w:tab w:val="left" w:pos="426"/>
              </w:tabs>
              <w:spacing w:line="276" w:lineRule="auto"/>
              <w:ind w:right="-23"/>
              <w:jc w:val="center"/>
              <w:textAlignment w:val="center"/>
              <w:rPr>
                <w:rFonts w:asciiTheme="minorHAnsi" w:hAnsiTheme="minorHAnsi" w:cstheme="minorHAnsi"/>
                <w:sz w:val="22"/>
                <w:szCs w:val="22"/>
                <w:lang w:eastAsia="en-IN"/>
              </w:rPr>
            </w:pPr>
            <w:r w:rsidRPr="003D5FB5">
              <w:rPr>
                <w:rFonts w:asciiTheme="minorHAnsi" w:hAnsiTheme="minorHAnsi" w:cstheme="minorHAnsi"/>
                <w:color w:val="000000"/>
                <w:sz w:val="22"/>
                <w:szCs w:val="22"/>
              </w:rPr>
              <w:t>0.57</w:t>
            </w:r>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tcPr>
          <w:p w14:paraId="4845E1FA" w14:textId="77777777" w:rsidR="002F0A87" w:rsidRPr="003D5FB5" w:rsidRDefault="002F0A87" w:rsidP="002F0A87">
            <w:pPr>
              <w:tabs>
                <w:tab w:val="left" w:pos="426"/>
              </w:tabs>
              <w:spacing w:line="276" w:lineRule="auto"/>
              <w:ind w:right="-23"/>
              <w:jc w:val="center"/>
              <w:textAlignment w:val="center"/>
              <w:rPr>
                <w:rFonts w:asciiTheme="minorHAnsi" w:hAnsiTheme="minorHAnsi" w:cstheme="minorHAnsi"/>
                <w:sz w:val="22"/>
                <w:szCs w:val="22"/>
                <w:lang w:eastAsia="en-IN"/>
              </w:rPr>
            </w:pPr>
            <w:r w:rsidRPr="003D5FB5">
              <w:rPr>
                <w:rFonts w:asciiTheme="minorHAnsi" w:hAnsiTheme="minorHAnsi" w:cstheme="minorHAnsi"/>
                <w:color w:val="000000"/>
                <w:kern w:val="2"/>
                <w:sz w:val="22"/>
                <w:szCs w:val="22"/>
                <w:lang w:eastAsia="en-IN"/>
              </w:rPr>
              <w:t>7.45</w:t>
            </w:r>
          </w:p>
        </w:tc>
        <w:tc>
          <w:tcPr>
            <w:tcW w:w="0" w:type="auto"/>
            <w:tcBorders>
              <w:top w:val="single" w:sz="4" w:space="0" w:color="000000"/>
              <w:left w:val="single" w:sz="4" w:space="0" w:color="000000"/>
              <w:bottom w:val="single" w:sz="4" w:space="0" w:color="000000"/>
              <w:right w:val="single" w:sz="8" w:space="0" w:color="000000"/>
            </w:tcBorders>
            <w:shd w:val="clear" w:color="auto" w:fill="auto"/>
            <w:vAlign w:val="center"/>
          </w:tcPr>
          <w:p w14:paraId="3BFB06B1" w14:textId="77777777" w:rsidR="002F0A87" w:rsidRPr="003D5FB5" w:rsidRDefault="002F0A87" w:rsidP="002F0A87">
            <w:pPr>
              <w:tabs>
                <w:tab w:val="left" w:pos="426"/>
              </w:tabs>
              <w:spacing w:line="276" w:lineRule="auto"/>
              <w:ind w:right="-23"/>
              <w:jc w:val="center"/>
              <w:textAlignment w:val="center"/>
              <w:rPr>
                <w:rFonts w:asciiTheme="minorHAnsi" w:hAnsiTheme="minorHAnsi" w:cstheme="minorHAnsi"/>
                <w:sz w:val="22"/>
                <w:szCs w:val="22"/>
                <w:lang w:eastAsia="en-IN"/>
              </w:rPr>
            </w:pPr>
            <w:r w:rsidRPr="003D5FB5">
              <w:rPr>
                <w:rFonts w:asciiTheme="minorHAnsi" w:hAnsiTheme="minorHAnsi" w:cstheme="minorHAnsi"/>
                <w:color w:val="000000"/>
                <w:kern w:val="2"/>
                <w:sz w:val="22"/>
                <w:szCs w:val="22"/>
                <w:lang w:eastAsia="en-IN"/>
              </w:rPr>
              <w:t>3.71</w:t>
            </w:r>
          </w:p>
        </w:tc>
      </w:tr>
      <w:tr w:rsidR="002F0A87" w:rsidRPr="003D5FB5" w14:paraId="7243FA94" w14:textId="77777777" w:rsidTr="004B69C1">
        <w:trPr>
          <w:trHeight w:val="386"/>
        </w:trPr>
        <w:tc>
          <w:tcPr>
            <w:tcW w:w="0" w:type="auto"/>
            <w:tcBorders>
              <w:top w:val="single" w:sz="4" w:space="0" w:color="000000"/>
              <w:left w:val="single" w:sz="8" w:space="0" w:color="000000"/>
              <w:bottom w:val="single" w:sz="4" w:space="0" w:color="000000"/>
              <w:right w:val="single" w:sz="4" w:space="0" w:color="000000"/>
            </w:tcBorders>
            <w:shd w:val="clear" w:color="auto" w:fill="auto"/>
            <w:vAlign w:val="bottom"/>
          </w:tcPr>
          <w:p w14:paraId="358A93BC" w14:textId="77777777" w:rsidR="002F0A87" w:rsidRPr="003D5FB5" w:rsidRDefault="002F0A87" w:rsidP="002F0A87">
            <w:pPr>
              <w:tabs>
                <w:tab w:val="left" w:pos="426"/>
              </w:tabs>
              <w:spacing w:line="276" w:lineRule="auto"/>
              <w:ind w:right="-23"/>
              <w:jc w:val="both"/>
              <w:textAlignment w:val="bottom"/>
              <w:rPr>
                <w:rFonts w:asciiTheme="minorHAnsi" w:hAnsiTheme="minorHAnsi" w:cstheme="minorHAnsi"/>
                <w:sz w:val="22"/>
                <w:szCs w:val="22"/>
                <w:lang w:eastAsia="en-IN"/>
              </w:rPr>
            </w:pPr>
            <w:proofErr w:type="spellStart"/>
            <w:r w:rsidRPr="003D5FB5">
              <w:rPr>
                <w:rFonts w:asciiTheme="minorHAnsi" w:hAnsiTheme="minorHAnsi" w:cstheme="minorHAnsi"/>
                <w:color w:val="000000"/>
                <w:kern w:val="2"/>
                <w:sz w:val="22"/>
                <w:szCs w:val="22"/>
                <w:lang w:eastAsia="en-IN"/>
              </w:rPr>
              <w:t>Bhadrak</w:t>
            </w:r>
            <w:proofErr w:type="spellEnd"/>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tcPr>
          <w:p w14:paraId="2052650C" w14:textId="77777777" w:rsidR="002F0A87" w:rsidRPr="003D5FB5" w:rsidRDefault="002F0A87" w:rsidP="002F0A87">
            <w:pPr>
              <w:tabs>
                <w:tab w:val="left" w:pos="426"/>
              </w:tabs>
              <w:spacing w:line="276" w:lineRule="auto"/>
              <w:ind w:right="-23"/>
              <w:jc w:val="center"/>
              <w:textAlignment w:val="center"/>
              <w:rPr>
                <w:rFonts w:asciiTheme="minorHAnsi" w:hAnsiTheme="minorHAnsi" w:cstheme="minorHAnsi"/>
                <w:sz w:val="22"/>
                <w:szCs w:val="22"/>
                <w:lang w:eastAsia="en-IN"/>
              </w:rPr>
            </w:pPr>
            <w:r w:rsidRPr="003D5FB5">
              <w:rPr>
                <w:rFonts w:asciiTheme="minorHAnsi" w:hAnsiTheme="minorHAnsi" w:cstheme="minorHAnsi"/>
                <w:sz w:val="22"/>
                <w:szCs w:val="22"/>
                <w:lang w:eastAsia="en-IN"/>
              </w:rPr>
              <w:t>127.29</w:t>
            </w:r>
          </w:p>
        </w:tc>
        <w:tc>
          <w:tcPr>
            <w:tcW w:w="0" w:type="auto"/>
            <w:tcBorders>
              <w:top w:val="single" w:sz="4" w:space="0" w:color="000000"/>
              <w:left w:val="single" w:sz="4" w:space="0" w:color="000000"/>
              <w:bottom w:val="single" w:sz="4" w:space="0" w:color="000000"/>
              <w:right w:val="single" w:sz="4" w:space="0" w:color="000000"/>
            </w:tcBorders>
            <w:shd w:val="clear" w:color="auto" w:fill="auto"/>
          </w:tcPr>
          <w:p w14:paraId="13FB375B" w14:textId="77777777" w:rsidR="002F0A87" w:rsidRPr="003D5FB5" w:rsidRDefault="002F0A87" w:rsidP="002F0A87">
            <w:pPr>
              <w:tabs>
                <w:tab w:val="left" w:pos="426"/>
              </w:tabs>
              <w:spacing w:line="276" w:lineRule="auto"/>
              <w:ind w:right="-23"/>
              <w:jc w:val="center"/>
              <w:textAlignment w:val="center"/>
              <w:rPr>
                <w:rFonts w:asciiTheme="minorHAnsi" w:hAnsiTheme="minorHAnsi" w:cstheme="minorHAnsi"/>
                <w:sz w:val="22"/>
                <w:szCs w:val="22"/>
                <w:lang w:eastAsia="en-IN"/>
              </w:rPr>
            </w:pPr>
            <w:r w:rsidRPr="003D5FB5">
              <w:rPr>
                <w:rFonts w:asciiTheme="minorHAnsi" w:hAnsiTheme="minorHAnsi" w:cstheme="minorHAnsi"/>
                <w:sz w:val="22"/>
                <w:szCs w:val="22"/>
                <w:lang w:eastAsia="en-IN"/>
              </w:rPr>
              <w:t>3.98</w:t>
            </w:r>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tcPr>
          <w:p w14:paraId="2787682A" w14:textId="77777777" w:rsidR="002F0A87" w:rsidRPr="003D5FB5" w:rsidRDefault="002F0A87" w:rsidP="002F0A87">
            <w:pPr>
              <w:tabs>
                <w:tab w:val="left" w:pos="426"/>
              </w:tabs>
              <w:spacing w:line="276" w:lineRule="auto"/>
              <w:ind w:right="-23"/>
              <w:jc w:val="center"/>
              <w:textAlignment w:val="center"/>
              <w:rPr>
                <w:rFonts w:asciiTheme="minorHAnsi" w:hAnsiTheme="minorHAnsi" w:cstheme="minorHAnsi"/>
                <w:sz w:val="22"/>
                <w:szCs w:val="22"/>
                <w:lang w:eastAsia="en-IN"/>
              </w:rPr>
            </w:pPr>
            <w:r w:rsidRPr="003D5FB5">
              <w:rPr>
                <w:rFonts w:asciiTheme="minorHAnsi" w:hAnsiTheme="minorHAnsi" w:cstheme="minorHAnsi"/>
                <w:sz w:val="22"/>
                <w:szCs w:val="22"/>
                <w:lang w:eastAsia="en-IN"/>
              </w:rPr>
              <w:t>0.31</w:t>
            </w:r>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tcPr>
          <w:p w14:paraId="10B3DF63" w14:textId="77777777" w:rsidR="002F0A87" w:rsidRPr="003D5FB5" w:rsidRDefault="002F0A87" w:rsidP="002F0A87">
            <w:pPr>
              <w:tabs>
                <w:tab w:val="left" w:pos="426"/>
              </w:tabs>
              <w:spacing w:line="276" w:lineRule="auto"/>
              <w:ind w:right="-23"/>
              <w:jc w:val="center"/>
              <w:textAlignment w:val="center"/>
              <w:rPr>
                <w:rFonts w:asciiTheme="minorHAnsi" w:hAnsiTheme="minorHAnsi" w:cstheme="minorHAnsi"/>
                <w:sz w:val="22"/>
                <w:szCs w:val="22"/>
                <w:lang w:eastAsia="en-IN"/>
              </w:rPr>
            </w:pPr>
            <w:r w:rsidRPr="003D5FB5">
              <w:rPr>
                <w:rFonts w:asciiTheme="minorHAnsi" w:hAnsiTheme="minorHAnsi" w:cstheme="minorHAnsi"/>
                <w:sz w:val="22"/>
                <w:szCs w:val="22"/>
                <w:lang w:eastAsia="en-IN"/>
              </w:rPr>
              <w:t>0.38</w:t>
            </w:r>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tcPr>
          <w:p w14:paraId="5F8DA16B" w14:textId="77777777" w:rsidR="002F0A87" w:rsidRPr="003D5FB5" w:rsidRDefault="002F0A87" w:rsidP="002F0A87">
            <w:pPr>
              <w:tabs>
                <w:tab w:val="left" w:pos="426"/>
              </w:tabs>
              <w:spacing w:line="276" w:lineRule="auto"/>
              <w:ind w:right="-23"/>
              <w:jc w:val="center"/>
              <w:textAlignment w:val="center"/>
              <w:rPr>
                <w:rFonts w:asciiTheme="minorHAnsi" w:hAnsiTheme="minorHAnsi" w:cstheme="minorHAnsi"/>
                <w:sz w:val="22"/>
                <w:szCs w:val="22"/>
                <w:lang w:eastAsia="en-IN"/>
              </w:rPr>
            </w:pPr>
            <w:r w:rsidRPr="003D5FB5">
              <w:rPr>
                <w:rFonts w:asciiTheme="minorHAnsi" w:hAnsiTheme="minorHAnsi" w:cstheme="minorHAnsi"/>
                <w:color w:val="000000"/>
                <w:sz w:val="22"/>
                <w:szCs w:val="22"/>
              </w:rPr>
              <w:t>0.39</w:t>
            </w:r>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tcPr>
          <w:p w14:paraId="57767883" w14:textId="77777777" w:rsidR="002F0A87" w:rsidRPr="003D5FB5" w:rsidRDefault="002F0A87" w:rsidP="002F0A87">
            <w:pPr>
              <w:tabs>
                <w:tab w:val="left" w:pos="426"/>
              </w:tabs>
              <w:spacing w:line="276" w:lineRule="auto"/>
              <w:ind w:right="-23"/>
              <w:jc w:val="center"/>
              <w:textAlignment w:val="center"/>
              <w:rPr>
                <w:rFonts w:asciiTheme="minorHAnsi" w:hAnsiTheme="minorHAnsi" w:cstheme="minorHAnsi"/>
                <w:sz w:val="22"/>
                <w:szCs w:val="22"/>
                <w:lang w:eastAsia="en-IN"/>
              </w:rPr>
            </w:pPr>
            <w:r w:rsidRPr="003D5FB5">
              <w:rPr>
                <w:rFonts w:asciiTheme="minorHAnsi" w:hAnsiTheme="minorHAnsi" w:cstheme="minorHAnsi"/>
                <w:sz w:val="22"/>
                <w:szCs w:val="22"/>
                <w:lang w:eastAsia="en-IN"/>
              </w:rPr>
              <w:t>5.06</w:t>
            </w:r>
          </w:p>
        </w:tc>
        <w:tc>
          <w:tcPr>
            <w:tcW w:w="0" w:type="auto"/>
            <w:tcBorders>
              <w:top w:val="single" w:sz="4" w:space="0" w:color="000000"/>
              <w:left w:val="single" w:sz="4" w:space="0" w:color="000000"/>
              <w:bottom w:val="single" w:sz="4" w:space="0" w:color="000000"/>
              <w:right w:val="single" w:sz="8" w:space="0" w:color="000000"/>
            </w:tcBorders>
            <w:shd w:val="clear" w:color="auto" w:fill="auto"/>
            <w:vAlign w:val="center"/>
          </w:tcPr>
          <w:p w14:paraId="76FA0FFB" w14:textId="77777777" w:rsidR="002F0A87" w:rsidRPr="003D5FB5" w:rsidRDefault="002F0A87" w:rsidP="002F0A87">
            <w:pPr>
              <w:tabs>
                <w:tab w:val="left" w:pos="426"/>
              </w:tabs>
              <w:spacing w:line="276" w:lineRule="auto"/>
              <w:ind w:right="-23"/>
              <w:jc w:val="center"/>
              <w:textAlignment w:val="center"/>
              <w:rPr>
                <w:rFonts w:asciiTheme="minorHAnsi" w:hAnsiTheme="minorHAnsi" w:cstheme="minorHAnsi"/>
                <w:sz w:val="22"/>
                <w:szCs w:val="22"/>
                <w:lang w:eastAsia="en-IN"/>
              </w:rPr>
            </w:pPr>
            <w:r w:rsidRPr="003D5FB5">
              <w:rPr>
                <w:rFonts w:asciiTheme="minorHAnsi" w:hAnsiTheme="minorHAnsi" w:cstheme="minorHAnsi"/>
                <w:sz w:val="22"/>
                <w:szCs w:val="22"/>
                <w:lang w:eastAsia="en-IN"/>
              </w:rPr>
              <w:t>3.18</w:t>
            </w:r>
          </w:p>
        </w:tc>
      </w:tr>
      <w:tr w:rsidR="002F0A87" w:rsidRPr="003D5FB5" w14:paraId="74CC5B97" w14:textId="77777777" w:rsidTr="004B69C1">
        <w:trPr>
          <w:trHeight w:val="386"/>
        </w:trPr>
        <w:tc>
          <w:tcPr>
            <w:tcW w:w="0" w:type="auto"/>
            <w:tcBorders>
              <w:top w:val="single" w:sz="4" w:space="0" w:color="000000"/>
              <w:left w:val="single" w:sz="8" w:space="0" w:color="000000"/>
              <w:bottom w:val="single" w:sz="4" w:space="0" w:color="000000"/>
              <w:right w:val="single" w:sz="4" w:space="0" w:color="000000"/>
            </w:tcBorders>
            <w:shd w:val="clear" w:color="auto" w:fill="auto"/>
            <w:vAlign w:val="bottom"/>
          </w:tcPr>
          <w:p w14:paraId="34F0FD46" w14:textId="77777777" w:rsidR="002F0A87" w:rsidRPr="003D5FB5" w:rsidRDefault="002F0A87" w:rsidP="002F0A87">
            <w:pPr>
              <w:tabs>
                <w:tab w:val="left" w:pos="426"/>
              </w:tabs>
              <w:spacing w:line="276" w:lineRule="auto"/>
              <w:ind w:right="-23"/>
              <w:jc w:val="both"/>
              <w:textAlignment w:val="bottom"/>
              <w:rPr>
                <w:rFonts w:asciiTheme="minorHAnsi" w:hAnsiTheme="minorHAnsi" w:cstheme="minorHAnsi"/>
                <w:sz w:val="22"/>
                <w:szCs w:val="22"/>
                <w:lang w:eastAsia="en-IN"/>
              </w:rPr>
            </w:pPr>
            <w:proofErr w:type="spellStart"/>
            <w:r w:rsidRPr="003D5FB5">
              <w:rPr>
                <w:rFonts w:asciiTheme="minorHAnsi" w:hAnsiTheme="minorHAnsi" w:cstheme="minorHAnsi"/>
                <w:color w:val="000000"/>
                <w:kern w:val="2"/>
                <w:sz w:val="22"/>
                <w:szCs w:val="22"/>
                <w:lang w:eastAsia="en-IN"/>
              </w:rPr>
              <w:t>Jajpur</w:t>
            </w:r>
            <w:proofErr w:type="spellEnd"/>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tcPr>
          <w:p w14:paraId="1C312380" w14:textId="77777777" w:rsidR="002F0A87" w:rsidRPr="003D5FB5" w:rsidRDefault="002F0A87" w:rsidP="002F0A87">
            <w:pPr>
              <w:tabs>
                <w:tab w:val="left" w:pos="426"/>
              </w:tabs>
              <w:spacing w:line="276" w:lineRule="auto"/>
              <w:ind w:right="-23"/>
              <w:jc w:val="center"/>
              <w:textAlignment w:val="center"/>
              <w:rPr>
                <w:rFonts w:asciiTheme="minorHAnsi" w:hAnsiTheme="minorHAnsi" w:cstheme="minorHAnsi"/>
                <w:sz w:val="22"/>
                <w:szCs w:val="22"/>
                <w:lang w:eastAsia="en-IN"/>
              </w:rPr>
            </w:pPr>
            <w:r w:rsidRPr="003D5FB5">
              <w:rPr>
                <w:rFonts w:asciiTheme="minorHAnsi" w:hAnsiTheme="minorHAnsi" w:cstheme="minorHAnsi"/>
                <w:sz w:val="22"/>
                <w:szCs w:val="22"/>
                <w:lang w:eastAsia="en-IN"/>
              </w:rPr>
              <w:t>195.47</w:t>
            </w:r>
          </w:p>
        </w:tc>
        <w:tc>
          <w:tcPr>
            <w:tcW w:w="0" w:type="auto"/>
            <w:tcBorders>
              <w:top w:val="single" w:sz="4" w:space="0" w:color="000000"/>
              <w:left w:val="single" w:sz="4" w:space="0" w:color="000000"/>
              <w:bottom w:val="single" w:sz="4" w:space="0" w:color="000000"/>
              <w:right w:val="single" w:sz="4" w:space="0" w:color="000000"/>
            </w:tcBorders>
            <w:shd w:val="clear" w:color="auto" w:fill="auto"/>
          </w:tcPr>
          <w:p w14:paraId="242B9A67" w14:textId="77777777" w:rsidR="002F0A87" w:rsidRPr="003D5FB5" w:rsidRDefault="002F0A87" w:rsidP="002F0A87">
            <w:pPr>
              <w:tabs>
                <w:tab w:val="left" w:pos="426"/>
              </w:tabs>
              <w:spacing w:line="276" w:lineRule="auto"/>
              <w:ind w:right="-23"/>
              <w:jc w:val="center"/>
              <w:textAlignment w:val="center"/>
              <w:rPr>
                <w:rFonts w:asciiTheme="minorHAnsi" w:hAnsiTheme="minorHAnsi" w:cstheme="minorHAnsi"/>
                <w:sz w:val="22"/>
                <w:szCs w:val="22"/>
                <w:lang w:eastAsia="en-IN"/>
              </w:rPr>
            </w:pPr>
            <w:r w:rsidRPr="003D5FB5">
              <w:rPr>
                <w:rFonts w:asciiTheme="minorHAnsi" w:hAnsiTheme="minorHAnsi" w:cstheme="minorHAnsi"/>
                <w:sz w:val="22"/>
                <w:szCs w:val="22"/>
                <w:lang w:eastAsia="en-IN"/>
              </w:rPr>
              <w:t>7.91</w:t>
            </w:r>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tcPr>
          <w:p w14:paraId="37CF1E09" w14:textId="77777777" w:rsidR="002F0A87" w:rsidRPr="003D5FB5" w:rsidRDefault="002F0A87" w:rsidP="002F0A87">
            <w:pPr>
              <w:tabs>
                <w:tab w:val="left" w:pos="426"/>
              </w:tabs>
              <w:spacing w:line="276" w:lineRule="auto"/>
              <w:ind w:right="-23"/>
              <w:jc w:val="center"/>
              <w:textAlignment w:val="center"/>
              <w:rPr>
                <w:rFonts w:asciiTheme="minorHAnsi" w:hAnsiTheme="minorHAnsi" w:cstheme="minorHAnsi"/>
                <w:sz w:val="22"/>
                <w:szCs w:val="22"/>
                <w:lang w:eastAsia="en-IN"/>
              </w:rPr>
            </w:pPr>
            <w:r w:rsidRPr="003D5FB5">
              <w:rPr>
                <w:rFonts w:asciiTheme="minorHAnsi" w:hAnsiTheme="minorHAnsi" w:cstheme="minorHAnsi"/>
                <w:sz w:val="22"/>
                <w:szCs w:val="22"/>
                <w:lang w:eastAsia="en-IN"/>
              </w:rPr>
              <w:t>0.31</w:t>
            </w:r>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tcPr>
          <w:p w14:paraId="1FC01716" w14:textId="77777777" w:rsidR="002F0A87" w:rsidRPr="003D5FB5" w:rsidRDefault="002F0A87" w:rsidP="002F0A87">
            <w:pPr>
              <w:tabs>
                <w:tab w:val="left" w:pos="426"/>
              </w:tabs>
              <w:spacing w:line="276" w:lineRule="auto"/>
              <w:ind w:right="-23"/>
              <w:jc w:val="center"/>
              <w:textAlignment w:val="center"/>
              <w:rPr>
                <w:rFonts w:asciiTheme="minorHAnsi" w:hAnsiTheme="minorHAnsi" w:cstheme="minorHAnsi"/>
                <w:sz w:val="22"/>
                <w:szCs w:val="22"/>
                <w:lang w:eastAsia="en-IN"/>
              </w:rPr>
            </w:pPr>
            <w:r w:rsidRPr="003D5FB5">
              <w:rPr>
                <w:rFonts w:asciiTheme="minorHAnsi" w:hAnsiTheme="minorHAnsi" w:cstheme="minorHAnsi"/>
                <w:sz w:val="22"/>
                <w:szCs w:val="22"/>
                <w:lang w:eastAsia="en-IN"/>
              </w:rPr>
              <w:t>0.37</w:t>
            </w:r>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tcPr>
          <w:p w14:paraId="27427C56" w14:textId="77777777" w:rsidR="002F0A87" w:rsidRPr="003D5FB5" w:rsidRDefault="002F0A87" w:rsidP="002F0A87">
            <w:pPr>
              <w:tabs>
                <w:tab w:val="left" w:pos="426"/>
              </w:tabs>
              <w:spacing w:line="276" w:lineRule="auto"/>
              <w:ind w:right="-23"/>
              <w:jc w:val="center"/>
              <w:textAlignment w:val="center"/>
              <w:rPr>
                <w:rFonts w:asciiTheme="minorHAnsi" w:hAnsiTheme="minorHAnsi" w:cstheme="minorHAnsi"/>
                <w:sz w:val="22"/>
                <w:szCs w:val="22"/>
                <w:lang w:eastAsia="en-IN"/>
              </w:rPr>
            </w:pPr>
            <w:r w:rsidRPr="003D5FB5">
              <w:rPr>
                <w:rFonts w:asciiTheme="minorHAnsi" w:hAnsiTheme="minorHAnsi" w:cstheme="minorHAnsi"/>
                <w:color w:val="000000"/>
                <w:sz w:val="22"/>
                <w:szCs w:val="22"/>
              </w:rPr>
              <w:t>0.72</w:t>
            </w:r>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tcPr>
          <w:p w14:paraId="3CA8C4D0" w14:textId="77777777" w:rsidR="002F0A87" w:rsidRPr="003D5FB5" w:rsidRDefault="002F0A87" w:rsidP="002F0A87">
            <w:pPr>
              <w:tabs>
                <w:tab w:val="left" w:pos="426"/>
              </w:tabs>
              <w:spacing w:line="276" w:lineRule="auto"/>
              <w:ind w:right="-23"/>
              <w:jc w:val="center"/>
              <w:textAlignment w:val="center"/>
              <w:rPr>
                <w:rFonts w:asciiTheme="minorHAnsi" w:hAnsiTheme="minorHAnsi" w:cstheme="minorHAnsi"/>
                <w:sz w:val="22"/>
                <w:szCs w:val="22"/>
                <w:lang w:eastAsia="en-IN"/>
              </w:rPr>
            </w:pPr>
            <w:r w:rsidRPr="003D5FB5">
              <w:rPr>
                <w:rFonts w:asciiTheme="minorHAnsi" w:hAnsiTheme="minorHAnsi" w:cstheme="minorHAnsi"/>
                <w:sz w:val="22"/>
                <w:szCs w:val="22"/>
                <w:lang w:eastAsia="en-IN"/>
              </w:rPr>
              <w:t>9.31</w:t>
            </w:r>
          </w:p>
        </w:tc>
        <w:tc>
          <w:tcPr>
            <w:tcW w:w="0" w:type="auto"/>
            <w:tcBorders>
              <w:top w:val="single" w:sz="4" w:space="0" w:color="000000"/>
              <w:left w:val="single" w:sz="4" w:space="0" w:color="000000"/>
              <w:bottom w:val="single" w:sz="4" w:space="0" w:color="000000"/>
              <w:right w:val="single" w:sz="8" w:space="0" w:color="000000"/>
            </w:tcBorders>
            <w:shd w:val="clear" w:color="auto" w:fill="auto"/>
            <w:vAlign w:val="center"/>
          </w:tcPr>
          <w:p w14:paraId="319323AC" w14:textId="77777777" w:rsidR="002F0A87" w:rsidRPr="003D5FB5" w:rsidRDefault="002F0A87" w:rsidP="002F0A87">
            <w:pPr>
              <w:tabs>
                <w:tab w:val="left" w:pos="426"/>
              </w:tabs>
              <w:spacing w:line="276" w:lineRule="auto"/>
              <w:ind w:right="-23"/>
              <w:jc w:val="center"/>
              <w:textAlignment w:val="center"/>
              <w:rPr>
                <w:rFonts w:asciiTheme="minorHAnsi" w:hAnsiTheme="minorHAnsi" w:cstheme="minorHAnsi"/>
                <w:sz w:val="22"/>
                <w:szCs w:val="22"/>
                <w:lang w:eastAsia="en-IN"/>
              </w:rPr>
            </w:pPr>
            <w:r w:rsidRPr="003D5FB5">
              <w:rPr>
                <w:rFonts w:asciiTheme="minorHAnsi" w:hAnsiTheme="minorHAnsi" w:cstheme="minorHAnsi"/>
                <w:sz w:val="22"/>
                <w:szCs w:val="22"/>
                <w:lang w:eastAsia="en-IN"/>
              </w:rPr>
              <w:t>4.43</w:t>
            </w:r>
          </w:p>
        </w:tc>
      </w:tr>
      <w:tr w:rsidR="002F0A87" w:rsidRPr="003D5FB5" w14:paraId="0A8F744E" w14:textId="77777777" w:rsidTr="004B69C1">
        <w:trPr>
          <w:trHeight w:val="386"/>
        </w:trPr>
        <w:tc>
          <w:tcPr>
            <w:tcW w:w="0" w:type="auto"/>
            <w:tcBorders>
              <w:top w:val="single" w:sz="4" w:space="0" w:color="000000"/>
              <w:left w:val="single" w:sz="8" w:space="0" w:color="000000"/>
              <w:bottom w:val="single" w:sz="4" w:space="0" w:color="000000"/>
              <w:right w:val="single" w:sz="4" w:space="0" w:color="000000"/>
            </w:tcBorders>
            <w:shd w:val="clear" w:color="auto" w:fill="auto"/>
            <w:vAlign w:val="bottom"/>
          </w:tcPr>
          <w:p w14:paraId="5EE2B573" w14:textId="77777777" w:rsidR="002F0A87" w:rsidRPr="003D5FB5" w:rsidRDefault="002F0A87" w:rsidP="002F0A87">
            <w:pPr>
              <w:tabs>
                <w:tab w:val="left" w:pos="426"/>
              </w:tabs>
              <w:spacing w:line="276" w:lineRule="auto"/>
              <w:ind w:right="-23"/>
              <w:jc w:val="both"/>
              <w:textAlignment w:val="bottom"/>
              <w:rPr>
                <w:rFonts w:asciiTheme="minorHAnsi" w:hAnsiTheme="minorHAnsi" w:cstheme="minorHAnsi"/>
                <w:sz w:val="22"/>
                <w:szCs w:val="22"/>
                <w:lang w:eastAsia="en-IN"/>
              </w:rPr>
            </w:pPr>
            <w:proofErr w:type="spellStart"/>
            <w:r w:rsidRPr="003D5FB5">
              <w:rPr>
                <w:rFonts w:asciiTheme="minorHAnsi" w:hAnsiTheme="minorHAnsi" w:cstheme="minorHAnsi"/>
                <w:color w:val="000000"/>
                <w:kern w:val="2"/>
                <w:sz w:val="22"/>
                <w:szCs w:val="22"/>
                <w:lang w:eastAsia="en-IN"/>
              </w:rPr>
              <w:lastRenderedPageBreak/>
              <w:t>Keonjhar</w:t>
            </w:r>
            <w:proofErr w:type="spellEnd"/>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tcPr>
          <w:p w14:paraId="3A57F7E3" w14:textId="77777777" w:rsidR="002F0A87" w:rsidRPr="003D5FB5" w:rsidRDefault="002F0A87" w:rsidP="002F0A87">
            <w:pPr>
              <w:tabs>
                <w:tab w:val="left" w:pos="426"/>
              </w:tabs>
              <w:spacing w:line="276" w:lineRule="auto"/>
              <w:ind w:right="-23"/>
              <w:jc w:val="center"/>
              <w:textAlignment w:val="center"/>
              <w:rPr>
                <w:rFonts w:asciiTheme="minorHAnsi" w:hAnsiTheme="minorHAnsi" w:cstheme="minorHAnsi"/>
                <w:sz w:val="22"/>
                <w:szCs w:val="22"/>
                <w:lang w:eastAsia="en-IN"/>
              </w:rPr>
            </w:pPr>
            <w:r w:rsidRPr="003D5FB5">
              <w:rPr>
                <w:rFonts w:asciiTheme="minorHAnsi" w:hAnsiTheme="minorHAnsi" w:cstheme="minorHAnsi"/>
                <w:sz w:val="22"/>
                <w:szCs w:val="22"/>
                <w:lang w:eastAsia="en-IN"/>
              </w:rPr>
              <w:t>137.02</w:t>
            </w:r>
          </w:p>
        </w:tc>
        <w:tc>
          <w:tcPr>
            <w:tcW w:w="0" w:type="auto"/>
            <w:tcBorders>
              <w:top w:val="single" w:sz="4" w:space="0" w:color="000000"/>
              <w:left w:val="single" w:sz="4" w:space="0" w:color="000000"/>
              <w:bottom w:val="single" w:sz="4" w:space="0" w:color="000000"/>
              <w:right w:val="single" w:sz="4" w:space="0" w:color="000000"/>
            </w:tcBorders>
            <w:shd w:val="clear" w:color="auto" w:fill="auto"/>
          </w:tcPr>
          <w:p w14:paraId="5BCD83A6" w14:textId="77777777" w:rsidR="002F0A87" w:rsidRPr="003D5FB5" w:rsidRDefault="002F0A87" w:rsidP="002F0A87">
            <w:pPr>
              <w:tabs>
                <w:tab w:val="left" w:pos="426"/>
              </w:tabs>
              <w:spacing w:line="276" w:lineRule="auto"/>
              <w:ind w:right="-23"/>
              <w:jc w:val="center"/>
              <w:textAlignment w:val="center"/>
              <w:rPr>
                <w:rFonts w:asciiTheme="minorHAnsi" w:hAnsiTheme="minorHAnsi" w:cstheme="minorHAnsi"/>
                <w:sz w:val="22"/>
                <w:szCs w:val="22"/>
                <w:lang w:eastAsia="en-IN"/>
              </w:rPr>
            </w:pPr>
            <w:r w:rsidRPr="003D5FB5">
              <w:rPr>
                <w:rFonts w:asciiTheme="minorHAnsi" w:hAnsiTheme="minorHAnsi" w:cstheme="minorHAnsi"/>
                <w:sz w:val="22"/>
                <w:szCs w:val="22"/>
                <w:lang w:eastAsia="en-IN"/>
              </w:rPr>
              <w:t>3.84</w:t>
            </w:r>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tcPr>
          <w:p w14:paraId="76405C61" w14:textId="77777777" w:rsidR="002F0A87" w:rsidRPr="003D5FB5" w:rsidRDefault="002F0A87" w:rsidP="002F0A87">
            <w:pPr>
              <w:tabs>
                <w:tab w:val="left" w:pos="426"/>
              </w:tabs>
              <w:spacing w:line="276" w:lineRule="auto"/>
              <w:ind w:right="-23"/>
              <w:jc w:val="center"/>
              <w:textAlignment w:val="center"/>
              <w:rPr>
                <w:rFonts w:asciiTheme="minorHAnsi" w:hAnsiTheme="minorHAnsi" w:cstheme="minorHAnsi"/>
                <w:sz w:val="22"/>
                <w:szCs w:val="22"/>
                <w:lang w:eastAsia="en-IN"/>
              </w:rPr>
            </w:pPr>
            <w:r w:rsidRPr="003D5FB5">
              <w:rPr>
                <w:rFonts w:asciiTheme="minorHAnsi" w:hAnsiTheme="minorHAnsi" w:cstheme="minorHAnsi"/>
                <w:sz w:val="22"/>
                <w:szCs w:val="22"/>
                <w:lang w:eastAsia="en-IN"/>
              </w:rPr>
              <w:t>0.35</w:t>
            </w:r>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tcPr>
          <w:p w14:paraId="1E24F6B7" w14:textId="77777777" w:rsidR="002F0A87" w:rsidRPr="003D5FB5" w:rsidRDefault="002F0A87" w:rsidP="002F0A87">
            <w:pPr>
              <w:tabs>
                <w:tab w:val="left" w:pos="426"/>
              </w:tabs>
              <w:spacing w:line="276" w:lineRule="auto"/>
              <w:ind w:right="-23"/>
              <w:jc w:val="center"/>
              <w:textAlignment w:val="center"/>
              <w:rPr>
                <w:rFonts w:asciiTheme="minorHAnsi" w:hAnsiTheme="minorHAnsi" w:cstheme="minorHAnsi"/>
                <w:sz w:val="22"/>
                <w:szCs w:val="22"/>
                <w:lang w:eastAsia="en-IN"/>
              </w:rPr>
            </w:pPr>
            <w:r w:rsidRPr="003D5FB5">
              <w:rPr>
                <w:rFonts w:asciiTheme="minorHAnsi" w:hAnsiTheme="minorHAnsi" w:cstheme="minorHAnsi"/>
                <w:sz w:val="22"/>
                <w:szCs w:val="22"/>
                <w:lang w:eastAsia="en-IN"/>
              </w:rPr>
              <w:t>0.25</w:t>
            </w:r>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tcPr>
          <w:p w14:paraId="0B199F87" w14:textId="77777777" w:rsidR="002F0A87" w:rsidRPr="003D5FB5" w:rsidRDefault="002F0A87" w:rsidP="002F0A87">
            <w:pPr>
              <w:tabs>
                <w:tab w:val="left" w:pos="426"/>
              </w:tabs>
              <w:spacing w:line="276" w:lineRule="auto"/>
              <w:ind w:right="-23"/>
              <w:jc w:val="center"/>
              <w:textAlignment w:val="center"/>
              <w:rPr>
                <w:rFonts w:asciiTheme="minorHAnsi" w:hAnsiTheme="minorHAnsi" w:cstheme="minorHAnsi"/>
                <w:sz w:val="22"/>
                <w:szCs w:val="22"/>
                <w:lang w:eastAsia="en-IN"/>
              </w:rPr>
            </w:pPr>
            <w:r w:rsidRPr="003D5FB5">
              <w:rPr>
                <w:rFonts w:asciiTheme="minorHAnsi" w:hAnsiTheme="minorHAnsi" w:cstheme="minorHAnsi"/>
                <w:color w:val="000000"/>
                <w:sz w:val="22"/>
                <w:szCs w:val="22"/>
              </w:rPr>
              <w:t>0.37</w:t>
            </w:r>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tcPr>
          <w:p w14:paraId="7109B7BC" w14:textId="77777777" w:rsidR="002F0A87" w:rsidRPr="003D5FB5" w:rsidRDefault="002F0A87" w:rsidP="002F0A87">
            <w:pPr>
              <w:tabs>
                <w:tab w:val="left" w:pos="426"/>
              </w:tabs>
              <w:spacing w:line="276" w:lineRule="auto"/>
              <w:ind w:right="-23"/>
              <w:jc w:val="center"/>
              <w:textAlignment w:val="center"/>
              <w:rPr>
                <w:rFonts w:asciiTheme="minorHAnsi" w:hAnsiTheme="minorHAnsi" w:cstheme="minorHAnsi"/>
                <w:sz w:val="22"/>
                <w:szCs w:val="22"/>
                <w:lang w:eastAsia="en-IN"/>
              </w:rPr>
            </w:pPr>
            <w:r w:rsidRPr="003D5FB5">
              <w:rPr>
                <w:rFonts w:asciiTheme="minorHAnsi" w:hAnsiTheme="minorHAnsi" w:cstheme="minorHAnsi"/>
                <w:sz w:val="22"/>
                <w:szCs w:val="22"/>
                <w:lang w:eastAsia="en-IN"/>
              </w:rPr>
              <w:t>4.82</w:t>
            </w:r>
          </w:p>
        </w:tc>
        <w:tc>
          <w:tcPr>
            <w:tcW w:w="0" w:type="auto"/>
            <w:tcBorders>
              <w:top w:val="single" w:sz="4" w:space="0" w:color="000000"/>
              <w:left w:val="single" w:sz="4" w:space="0" w:color="000000"/>
              <w:bottom w:val="single" w:sz="4" w:space="0" w:color="000000"/>
              <w:right w:val="single" w:sz="8" w:space="0" w:color="000000"/>
            </w:tcBorders>
            <w:shd w:val="clear" w:color="auto" w:fill="auto"/>
            <w:vAlign w:val="center"/>
          </w:tcPr>
          <w:p w14:paraId="1CDAA242" w14:textId="77777777" w:rsidR="002F0A87" w:rsidRPr="003D5FB5" w:rsidRDefault="002F0A87" w:rsidP="002F0A87">
            <w:pPr>
              <w:tabs>
                <w:tab w:val="left" w:pos="426"/>
              </w:tabs>
              <w:spacing w:line="276" w:lineRule="auto"/>
              <w:ind w:right="-23"/>
              <w:jc w:val="center"/>
              <w:textAlignment w:val="center"/>
              <w:rPr>
                <w:rFonts w:asciiTheme="minorHAnsi" w:hAnsiTheme="minorHAnsi" w:cstheme="minorHAnsi"/>
                <w:sz w:val="22"/>
                <w:szCs w:val="22"/>
                <w:lang w:eastAsia="en-IN"/>
              </w:rPr>
            </w:pPr>
            <w:r w:rsidRPr="003D5FB5">
              <w:rPr>
                <w:rFonts w:asciiTheme="minorHAnsi" w:hAnsiTheme="minorHAnsi" w:cstheme="minorHAnsi"/>
                <w:sz w:val="22"/>
                <w:szCs w:val="22"/>
                <w:lang w:eastAsia="en-IN"/>
              </w:rPr>
              <w:t>2.34</w:t>
            </w:r>
          </w:p>
        </w:tc>
      </w:tr>
      <w:tr w:rsidR="002F0A87" w:rsidRPr="003D5FB5" w14:paraId="1F21F476" w14:textId="77777777" w:rsidTr="004B69C1">
        <w:trPr>
          <w:trHeight w:val="406"/>
        </w:trPr>
        <w:tc>
          <w:tcPr>
            <w:tcW w:w="0" w:type="auto"/>
            <w:tcBorders>
              <w:top w:val="single" w:sz="4" w:space="0" w:color="000000"/>
              <w:left w:val="single" w:sz="8" w:space="0" w:color="000000"/>
              <w:bottom w:val="single" w:sz="8" w:space="0" w:color="000000"/>
              <w:right w:val="single" w:sz="4" w:space="0" w:color="000000"/>
            </w:tcBorders>
            <w:shd w:val="clear" w:color="auto" w:fill="auto"/>
            <w:vAlign w:val="bottom"/>
          </w:tcPr>
          <w:p w14:paraId="3C6D7BE6" w14:textId="77777777" w:rsidR="002F0A87" w:rsidRPr="003D5FB5" w:rsidRDefault="002F0A87" w:rsidP="002F0A87">
            <w:pPr>
              <w:tabs>
                <w:tab w:val="left" w:pos="426"/>
              </w:tabs>
              <w:spacing w:line="276" w:lineRule="auto"/>
              <w:ind w:right="-23"/>
              <w:jc w:val="both"/>
              <w:textAlignment w:val="bottom"/>
              <w:rPr>
                <w:rFonts w:asciiTheme="minorHAnsi" w:hAnsiTheme="minorHAnsi" w:cstheme="minorHAnsi"/>
                <w:sz w:val="22"/>
                <w:szCs w:val="22"/>
                <w:lang w:eastAsia="en-IN"/>
              </w:rPr>
            </w:pPr>
            <w:r w:rsidRPr="003D5FB5">
              <w:rPr>
                <w:rFonts w:asciiTheme="minorHAnsi" w:hAnsiTheme="minorHAnsi" w:cstheme="minorHAnsi"/>
                <w:b/>
                <w:bCs/>
                <w:color w:val="000000"/>
                <w:kern w:val="2"/>
                <w:sz w:val="22"/>
                <w:szCs w:val="22"/>
                <w:lang w:eastAsia="en-IN"/>
              </w:rPr>
              <w:t>TPNODL</w:t>
            </w:r>
          </w:p>
        </w:tc>
        <w:tc>
          <w:tcPr>
            <w:tcW w:w="0" w:type="auto"/>
            <w:tcBorders>
              <w:top w:val="single" w:sz="4" w:space="0" w:color="000000"/>
              <w:left w:val="single" w:sz="4" w:space="0" w:color="000000"/>
              <w:bottom w:val="single" w:sz="8" w:space="0" w:color="000000"/>
              <w:right w:val="single" w:sz="4" w:space="0" w:color="000000"/>
            </w:tcBorders>
            <w:shd w:val="clear" w:color="auto" w:fill="auto"/>
            <w:vAlign w:val="center"/>
          </w:tcPr>
          <w:p w14:paraId="4F36FCCC" w14:textId="77777777" w:rsidR="002F0A87" w:rsidRPr="003D5FB5" w:rsidRDefault="002F0A87" w:rsidP="002F0A87">
            <w:pPr>
              <w:tabs>
                <w:tab w:val="left" w:pos="426"/>
              </w:tabs>
              <w:spacing w:line="276" w:lineRule="auto"/>
              <w:ind w:right="-23"/>
              <w:jc w:val="center"/>
              <w:textAlignment w:val="center"/>
              <w:rPr>
                <w:rFonts w:asciiTheme="minorHAnsi" w:hAnsiTheme="minorHAnsi" w:cstheme="minorHAnsi"/>
                <w:b/>
                <w:bCs/>
                <w:sz w:val="22"/>
                <w:szCs w:val="22"/>
                <w:lang w:eastAsia="en-IN"/>
              </w:rPr>
            </w:pPr>
            <w:r w:rsidRPr="003D5FB5">
              <w:rPr>
                <w:rFonts w:asciiTheme="minorHAnsi" w:hAnsiTheme="minorHAnsi" w:cstheme="minorHAnsi"/>
                <w:b/>
                <w:bCs/>
                <w:sz w:val="22"/>
                <w:szCs w:val="22"/>
                <w:lang w:eastAsia="en-IN"/>
              </w:rPr>
              <w:t>902.18</w:t>
            </w:r>
          </w:p>
        </w:tc>
        <w:tc>
          <w:tcPr>
            <w:tcW w:w="0" w:type="auto"/>
            <w:tcBorders>
              <w:top w:val="single" w:sz="4" w:space="0" w:color="000000"/>
              <w:left w:val="single" w:sz="4" w:space="0" w:color="000000"/>
              <w:bottom w:val="single" w:sz="8" w:space="0" w:color="000000"/>
              <w:right w:val="single" w:sz="4" w:space="0" w:color="000000"/>
            </w:tcBorders>
            <w:shd w:val="clear" w:color="auto" w:fill="auto"/>
            <w:vAlign w:val="center"/>
          </w:tcPr>
          <w:p w14:paraId="0B8CFA93" w14:textId="77777777" w:rsidR="002F0A87" w:rsidRPr="003D5FB5" w:rsidRDefault="002F0A87" w:rsidP="002F0A87">
            <w:pPr>
              <w:tabs>
                <w:tab w:val="left" w:pos="426"/>
              </w:tabs>
              <w:spacing w:line="276" w:lineRule="auto"/>
              <w:ind w:right="-23"/>
              <w:jc w:val="center"/>
              <w:textAlignment w:val="center"/>
              <w:rPr>
                <w:rFonts w:asciiTheme="minorHAnsi" w:hAnsiTheme="minorHAnsi" w:cstheme="minorHAnsi"/>
                <w:b/>
                <w:bCs/>
                <w:sz w:val="22"/>
                <w:szCs w:val="22"/>
                <w:lang w:eastAsia="en-IN"/>
              </w:rPr>
            </w:pPr>
            <w:r w:rsidRPr="003D5FB5">
              <w:rPr>
                <w:rFonts w:asciiTheme="minorHAnsi" w:hAnsiTheme="minorHAnsi" w:cstheme="minorHAnsi"/>
                <w:b/>
                <w:bCs/>
                <w:sz w:val="22"/>
                <w:szCs w:val="22"/>
                <w:lang w:eastAsia="en-IN"/>
              </w:rPr>
              <w:t>31.60</w:t>
            </w:r>
          </w:p>
        </w:tc>
        <w:tc>
          <w:tcPr>
            <w:tcW w:w="0" w:type="auto"/>
            <w:tcBorders>
              <w:top w:val="single" w:sz="4" w:space="0" w:color="000000"/>
              <w:left w:val="single" w:sz="4" w:space="0" w:color="000000"/>
              <w:bottom w:val="single" w:sz="8" w:space="0" w:color="000000"/>
              <w:right w:val="single" w:sz="4" w:space="0" w:color="000000"/>
            </w:tcBorders>
            <w:shd w:val="clear" w:color="auto" w:fill="auto"/>
            <w:vAlign w:val="center"/>
          </w:tcPr>
          <w:p w14:paraId="3A75926C" w14:textId="77777777" w:rsidR="002F0A87" w:rsidRPr="003D5FB5" w:rsidRDefault="002F0A87" w:rsidP="002F0A87">
            <w:pPr>
              <w:tabs>
                <w:tab w:val="left" w:pos="426"/>
              </w:tabs>
              <w:spacing w:line="276" w:lineRule="auto"/>
              <w:ind w:right="-23"/>
              <w:jc w:val="center"/>
              <w:textAlignment w:val="center"/>
              <w:rPr>
                <w:rFonts w:asciiTheme="minorHAnsi" w:hAnsiTheme="minorHAnsi" w:cstheme="minorHAnsi"/>
                <w:b/>
                <w:bCs/>
                <w:sz w:val="22"/>
                <w:szCs w:val="22"/>
                <w:lang w:eastAsia="en-IN"/>
              </w:rPr>
            </w:pPr>
            <w:r w:rsidRPr="003D5FB5">
              <w:rPr>
                <w:rFonts w:asciiTheme="minorHAnsi" w:hAnsiTheme="minorHAnsi" w:cstheme="minorHAnsi"/>
                <w:b/>
                <w:bCs/>
                <w:sz w:val="22"/>
                <w:szCs w:val="22"/>
                <w:lang w:eastAsia="en-IN"/>
              </w:rPr>
              <w:t>1.9</w:t>
            </w:r>
          </w:p>
        </w:tc>
        <w:tc>
          <w:tcPr>
            <w:tcW w:w="0" w:type="auto"/>
            <w:tcBorders>
              <w:top w:val="single" w:sz="4" w:space="0" w:color="000000"/>
              <w:left w:val="single" w:sz="4" w:space="0" w:color="000000"/>
              <w:bottom w:val="single" w:sz="8" w:space="0" w:color="000000"/>
              <w:right w:val="single" w:sz="4" w:space="0" w:color="000000"/>
            </w:tcBorders>
            <w:shd w:val="clear" w:color="auto" w:fill="auto"/>
            <w:vAlign w:val="center"/>
          </w:tcPr>
          <w:p w14:paraId="4B7F1BD7" w14:textId="77777777" w:rsidR="002F0A87" w:rsidRPr="003D5FB5" w:rsidRDefault="002F0A87" w:rsidP="002F0A87">
            <w:pPr>
              <w:tabs>
                <w:tab w:val="left" w:pos="426"/>
              </w:tabs>
              <w:spacing w:line="276" w:lineRule="auto"/>
              <w:ind w:right="-23"/>
              <w:jc w:val="center"/>
              <w:textAlignment w:val="center"/>
              <w:rPr>
                <w:rFonts w:asciiTheme="minorHAnsi" w:hAnsiTheme="minorHAnsi" w:cstheme="minorHAnsi"/>
                <w:b/>
                <w:bCs/>
                <w:sz w:val="22"/>
                <w:szCs w:val="22"/>
                <w:lang w:eastAsia="en-IN"/>
              </w:rPr>
            </w:pPr>
            <w:r w:rsidRPr="003D5FB5">
              <w:rPr>
                <w:rFonts w:asciiTheme="minorHAnsi" w:hAnsiTheme="minorHAnsi" w:cstheme="minorHAnsi"/>
                <w:b/>
                <w:bCs/>
                <w:sz w:val="22"/>
                <w:szCs w:val="22"/>
                <w:lang w:eastAsia="en-IN"/>
              </w:rPr>
              <w:t>2.15</w:t>
            </w:r>
          </w:p>
        </w:tc>
        <w:tc>
          <w:tcPr>
            <w:tcW w:w="0" w:type="auto"/>
            <w:tcBorders>
              <w:top w:val="single" w:sz="4" w:space="0" w:color="000000"/>
              <w:left w:val="single" w:sz="4" w:space="0" w:color="000000"/>
              <w:bottom w:val="single" w:sz="8" w:space="0" w:color="000000"/>
              <w:right w:val="single" w:sz="4" w:space="0" w:color="000000"/>
            </w:tcBorders>
            <w:shd w:val="clear" w:color="auto" w:fill="auto"/>
            <w:vAlign w:val="center"/>
          </w:tcPr>
          <w:p w14:paraId="665BE271" w14:textId="77777777" w:rsidR="002F0A87" w:rsidRPr="003D5FB5" w:rsidRDefault="002F0A87" w:rsidP="002F0A87">
            <w:pPr>
              <w:tabs>
                <w:tab w:val="left" w:pos="426"/>
              </w:tabs>
              <w:spacing w:line="276" w:lineRule="auto"/>
              <w:ind w:right="-23"/>
              <w:jc w:val="center"/>
              <w:textAlignment w:val="center"/>
              <w:rPr>
                <w:rFonts w:asciiTheme="minorHAnsi" w:hAnsiTheme="minorHAnsi" w:cstheme="minorHAnsi"/>
                <w:b/>
                <w:bCs/>
                <w:sz w:val="22"/>
                <w:szCs w:val="22"/>
                <w:lang w:eastAsia="en-IN"/>
              </w:rPr>
            </w:pPr>
            <w:r w:rsidRPr="003D5FB5">
              <w:rPr>
                <w:rFonts w:asciiTheme="minorHAnsi" w:hAnsiTheme="minorHAnsi" w:cstheme="minorHAnsi"/>
                <w:b/>
                <w:bCs/>
                <w:sz w:val="22"/>
                <w:szCs w:val="22"/>
                <w:lang w:eastAsia="en-IN"/>
              </w:rPr>
              <w:t>2.97</w:t>
            </w:r>
          </w:p>
        </w:tc>
        <w:tc>
          <w:tcPr>
            <w:tcW w:w="0" w:type="auto"/>
            <w:tcBorders>
              <w:top w:val="single" w:sz="4" w:space="0" w:color="000000"/>
              <w:left w:val="single" w:sz="4" w:space="0" w:color="000000"/>
              <w:bottom w:val="single" w:sz="8" w:space="0" w:color="000000"/>
              <w:right w:val="single" w:sz="4" w:space="0" w:color="000000"/>
            </w:tcBorders>
            <w:shd w:val="clear" w:color="auto" w:fill="auto"/>
            <w:vAlign w:val="center"/>
          </w:tcPr>
          <w:p w14:paraId="6E0AF2FF" w14:textId="77777777" w:rsidR="002F0A87" w:rsidRPr="003D5FB5" w:rsidRDefault="002F0A87" w:rsidP="002F0A87">
            <w:pPr>
              <w:tabs>
                <w:tab w:val="left" w:pos="426"/>
              </w:tabs>
              <w:spacing w:line="276" w:lineRule="auto"/>
              <w:ind w:right="-23"/>
              <w:jc w:val="center"/>
              <w:textAlignment w:val="center"/>
              <w:rPr>
                <w:rFonts w:asciiTheme="minorHAnsi" w:hAnsiTheme="minorHAnsi" w:cstheme="minorHAnsi"/>
                <w:b/>
                <w:bCs/>
                <w:sz w:val="22"/>
                <w:szCs w:val="22"/>
                <w:lang w:eastAsia="en-IN"/>
              </w:rPr>
            </w:pPr>
            <w:r w:rsidRPr="003D5FB5">
              <w:rPr>
                <w:rFonts w:asciiTheme="minorHAnsi" w:hAnsiTheme="minorHAnsi" w:cstheme="minorHAnsi"/>
                <w:b/>
                <w:bCs/>
                <w:sz w:val="22"/>
                <w:szCs w:val="22"/>
                <w:lang w:eastAsia="en-IN"/>
              </w:rPr>
              <w:t>38.62</w:t>
            </w:r>
          </w:p>
        </w:tc>
        <w:tc>
          <w:tcPr>
            <w:tcW w:w="0" w:type="auto"/>
            <w:tcBorders>
              <w:top w:val="single" w:sz="4" w:space="0" w:color="000000"/>
              <w:left w:val="single" w:sz="4" w:space="0" w:color="000000"/>
              <w:bottom w:val="single" w:sz="8" w:space="0" w:color="000000"/>
              <w:right w:val="single" w:sz="8" w:space="0" w:color="000000"/>
            </w:tcBorders>
            <w:shd w:val="clear" w:color="auto" w:fill="auto"/>
            <w:vAlign w:val="center"/>
          </w:tcPr>
          <w:p w14:paraId="35191AB2" w14:textId="77777777" w:rsidR="002F0A87" w:rsidRPr="003D5FB5" w:rsidRDefault="002F0A87" w:rsidP="002F0A87">
            <w:pPr>
              <w:tabs>
                <w:tab w:val="left" w:pos="426"/>
              </w:tabs>
              <w:spacing w:line="276" w:lineRule="auto"/>
              <w:ind w:right="-23"/>
              <w:jc w:val="center"/>
              <w:textAlignment w:val="center"/>
              <w:rPr>
                <w:rFonts w:asciiTheme="minorHAnsi" w:hAnsiTheme="minorHAnsi" w:cstheme="minorHAnsi"/>
                <w:b/>
                <w:bCs/>
                <w:sz w:val="22"/>
                <w:szCs w:val="22"/>
                <w:lang w:eastAsia="en-IN"/>
              </w:rPr>
            </w:pPr>
            <w:r w:rsidRPr="003D5FB5">
              <w:rPr>
                <w:rFonts w:asciiTheme="minorHAnsi" w:hAnsiTheme="minorHAnsi" w:cstheme="minorHAnsi"/>
                <w:b/>
                <w:bCs/>
                <w:sz w:val="22"/>
                <w:szCs w:val="22"/>
                <w:lang w:eastAsia="en-IN"/>
              </w:rPr>
              <w:t>3.25</w:t>
            </w:r>
          </w:p>
        </w:tc>
      </w:tr>
    </w:tbl>
    <w:p w14:paraId="73B00D5F" w14:textId="77777777" w:rsidR="002F0A87" w:rsidRPr="003D5FB5" w:rsidRDefault="002F0A87" w:rsidP="002F0A87">
      <w:pPr>
        <w:spacing w:line="360" w:lineRule="auto"/>
        <w:jc w:val="center"/>
        <w:rPr>
          <w:rFonts w:asciiTheme="minorHAnsi" w:hAnsiTheme="minorHAnsi" w:cstheme="minorHAnsi"/>
          <w:b/>
          <w:bCs/>
          <w:color w:val="000000"/>
          <w:kern w:val="2"/>
          <w:sz w:val="22"/>
          <w:szCs w:val="22"/>
          <w:lang w:eastAsia="en-IN"/>
        </w:rPr>
      </w:pPr>
    </w:p>
    <w:p w14:paraId="43FDE4B5" w14:textId="6EB60E1A" w:rsidR="002F0A87" w:rsidRPr="003D5FB5" w:rsidRDefault="002F0A87" w:rsidP="002F0A87">
      <w:pPr>
        <w:spacing w:line="360" w:lineRule="auto"/>
        <w:jc w:val="center"/>
        <w:rPr>
          <w:rStyle w:val="normaltextrun"/>
          <w:rFonts w:asciiTheme="minorHAnsi" w:hAnsiTheme="minorHAnsi" w:cstheme="minorHAnsi"/>
          <w:sz w:val="22"/>
          <w:szCs w:val="22"/>
        </w:rPr>
      </w:pPr>
      <w:r w:rsidRPr="003D5FB5">
        <w:rPr>
          <w:rFonts w:asciiTheme="minorHAnsi" w:hAnsiTheme="minorHAnsi" w:cstheme="minorHAnsi"/>
          <w:b/>
          <w:bCs/>
          <w:color w:val="000000"/>
          <w:kern w:val="2"/>
          <w:sz w:val="22"/>
          <w:szCs w:val="22"/>
          <w:lang w:eastAsia="en-IN"/>
        </w:rPr>
        <w:t>Table-2</w:t>
      </w:r>
      <w:r w:rsidR="004B69C1">
        <w:rPr>
          <w:rFonts w:asciiTheme="minorHAnsi" w:hAnsiTheme="minorHAnsi" w:cstheme="minorHAnsi"/>
          <w:b/>
          <w:bCs/>
          <w:color w:val="000000"/>
          <w:kern w:val="2"/>
          <w:sz w:val="22"/>
          <w:szCs w:val="22"/>
          <w:lang w:eastAsia="en-IN"/>
        </w:rPr>
        <w:t>7</w:t>
      </w:r>
      <w:r w:rsidRPr="003D5FB5">
        <w:rPr>
          <w:rFonts w:asciiTheme="minorHAnsi" w:hAnsiTheme="minorHAnsi" w:cstheme="minorHAnsi"/>
          <w:b/>
          <w:bCs/>
          <w:color w:val="000000"/>
          <w:kern w:val="2"/>
          <w:sz w:val="22"/>
          <w:szCs w:val="22"/>
          <w:lang w:eastAsia="en-IN"/>
        </w:rPr>
        <w:t>(a): TPNODL 11 KV Technical Loss Assessment FY22</w:t>
      </w:r>
    </w:p>
    <w:tbl>
      <w:tblPr>
        <w:tblW w:w="9721" w:type="dxa"/>
        <w:tblInd w:w="137" w:type="dxa"/>
        <w:tblCellMar>
          <w:top w:w="15" w:type="dxa"/>
          <w:left w:w="15" w:type="dxa"/>
          <w:right w:w="15" w:type="dxa"/>
        </w:tblCellMar>
        <w:tblLook w:val="0600" w:firstRow="0" w:lastRow="0" w:firstColumn="0" w:lastColumn="0" w:noHBand="1" w:noVBand="1"/>
      </w:tblPr>
      <w:tblGrid>
        <w:gridCol w:w="832"/>
        <w:gridCol w:w="865"/>
        <w:gridCol w:w="1253"/>
        <w:gridCol w:w="1200"/>
        <w:gridCol w:w="948"/>
        <w:gridCol w:w="2061"/>
        <w:gridCol w:w="843"/>
        <w:gridCol w:w="1719"/>
      </w:tblGrid>
      <w:tr w:rsidR="002F0A87" w:rsidRPr="003D5FB5" w14:paraId="6C642792" w14:textId="77777777" w:rsidTr="004B69C1">
        <w:trPr>
          <w:trHeight w:val="762"/>
        </w:trPr>
        <w:tc>
          <w:tcPr>
            <w:tcW w:w="0" w:type="auto"/>
            <w:tcBorders>
              <w:top w:val="single" w:sz="4" w:space="0" w:color="000000"/>
              <w:left w:val="single" w:sz="4" w:space="0" w:color="000000"/>
              <w:bottom w:val="single" w:sz="4" w:space="0" w:color="000000"/>
              <w:right w:val="single" w:sz="4" w:space="0" w:color="000000"/>
            </w:tcBorders>
            <w:shd w:val="clear" w:color="auto" w:fill="95B3D7" w:themeFill="accent1" w:themeFillTint="99"/>
            <w:vAlign w:val="center"/>
          </w:tcPr>
          <w:p w14:paraId="7E3BBC81" w14:textId="77777777" w:rsidR="002F0A87" w:rsidRPr="003D5FB5" w:rsidRDefault="002F0A87" w:rsidP="002F0A87">
            <w:pPr>
              <w:tabs>
                <w:tab w:val="left" w:pos="426"/>
              </w:tabs>
              <w:spacing w:line="360" w:lineRule="auto"/>
              <w:ind w:right="-23"/>
              <w:jc w:val="center"/>
              <w:textAlignment w:val="center"/>
              <w:rPr>
                <w:rFonts w:asciiTheme="minorHAnsi" w:hAnsiTheme="minorHAnsi" w:cstheme="minorHAnsi"/>
                <w:sz w:val="22"/>
                <w:szCs w:val="22"/>
                <w:lang w:eastAsia="en-IN"/>
              </w:rPr>
            </w:pPr>
            <w:r w:rsidRPr="003D5FB5">
              <w:rPr>
                <w:rFonts w:asciiTheme="minorHAnsi" w:hAnsiTheme="minorHAnsi" w:cstheme="minorHAnsi"/>
                <w:b/>
                <w:bCs/>
                <w:color w:val="000000"/>
                <w:kern w:val="2"/>
                <w:sz w:val="22"/>
                <w:szCs w:val="22"/>
                <w:lang w:eastAsia="en-IN"/>
              </w:rPr>
              <w:t>Circle</w:t>
            </w:r>
          </w:p>
        </w:tc>
        <w:tc>
          <w:tcPr>
            <w:tcW w:w="0" w:type="auto"/>
            <w:tcBorders>
              <w:top w:val="single" w:sz="4" w:space="0" w:color="000000"/>
              <w:left w:val="single" w:sz="4" w:space="0" w:color="000000"/>
              <w:bottom w:val="single" w:sz="4" w:space="0" w:color="000000"/>
              <w:right w:val="single" w:sz="4" w:space="0" w:color="000000"/>
            </w:tcBorders>
            <w:shd w:val="clear" w:color="auto" w:fill="95B3D7" w:themeFill="accent1" w:themeFillTint="99"/>
            <w:vAlign w:val="center"/>
          </w:tcPr>
          <w:p w14:paraId="54BBAF60" w14:textId="77777777" w:rsidR="002F0A87" w:rsidRPr="003D5FB5" w:rsidRDefault="002F0A87" w:rsidP="002F0A87">
            <w:pPr>
              <w:tabs>
                <w:tab w:val="left" w:pos="426"/>
              </w:tabs>
              <w:spacing w:line="360" w:lineRule="auto"/>
              <w:ind w:right="-23"/>
              <w:jc w:val="center"/>
              <w:textAlignment w:val="center"/>
              <w:rPr>
                <w:rFonts w:asciiTheme="minorHAnsi" w:hAnsiTheme="minorHAnsi" w:cstheme="minorHAnsi"/>
                <w:sz w:val="22"/>
                <w:szCs w:val="22"/>
                <w:lang w:eastAsia="en-IN"/>
              </w:rPr>
            </w:pPr>
            <w:r w:rsidRPr="003D5FB5">
              <w:rPr>
                <w:rFonts w:asciiTheme="minorHAnsi" w:hAnsiTheme="minorHAnsi" w:cstheme="minorHAnsi"/>
                <w:b/>
                <w:bCs/>
                <w:color w:val="000000"/>
                <w:kern w:val="2"/>
                <w:sz w:val="22"/>
                <w:szCs w:val="22"/>
                <w:lang w:eastAsia="en-IN"/>
              </w:rPr>
              <w:t>Peak load</w:t>
            </w:r>
            <w:r w:rsidRPr="003D5FB5">
              <w:rPr>
                <w:rFonts w:asciiTheme="minorHAnsi" w:hAnsiTheme="minorHAnsi" w:cstheme="minorHAnsi"/>
                <w:b/>
                <w:bCs/>
                <w:color w:val="000000"/>
                <w:kern w:val="2"/>
                <w:sz w:val="22"/>
                <w:szCs w:val="22"/>
                <w:lang w:eastAsia="en-IN"/>
              </w:rPr>
              <w:br/>
              <w:t>(MW)</w:t>
            </w:r>
          </w:p>
        </w:tc>
        <w:tc>
          <w:tcPr>
            <w:tcW w:w="0" w:type="auto"/>
            <w:tcBorders>
              <w:top w:val="single" w:sz="4" w:space="0" w:color="000000"/>
              <w:left w:val="single" w:sz="4" w:space="0" w:color="000000"/>
              <w:bottom w:val="single" w:sz="4" w:space="0" w:color="000000"/>
              <w:right w:val="single" w:sz="4" w:space="0" w:color="000000"/>
            </w:tcBorders>
            <w:shd w:val="clear" w:color="auto" w:fill="95B3D7" w:themeFill="accent1" w:themeFillTint="99"/>
            <w:vAlign w:val="center"/>
          </w:tcPr>
          <w:p w14:paraId="3F43E24C" w14:textId="77777777" w:rsidR="002F0A87" w:rsidRPr="003D5FB5" w:rsidRDefault="002F0A87" w:rsidP="002F0A87">
            <w:pPr>
              <w:tabs>
                <w:tab w:val="left" w:pos="426"/>
              </w:tabs>
              <w:spacing w:line="360" w:lineRule="auto"/>
              <w:ind w:right="-23"/>
              <w:jc w:val="center"/>
              <w:textAlignment w:val="center"/>
              <w:rPr>
                <w:rFonts w:asciiTheme="minorHAnsi" w:hAnsiTheme="minorHAnsi" w:cstheme="minorHAnsi"/>
                <w:sz w:val="22"/>
                <w:szCs w:val="22"/>
                <w:lang w:eastAsia="en-IN"/>
              </w:rPr>
            </w:pPr>
            <w:r w:rsidRPr="003D5FB5">
              <w:rPr>
                <w:rFonts w:asciiTheme="minorHAnsi" w:hAnsiTheme="minorHAnsi" w:cstheme="minorHAnsi"/>
                <w:b/>
                <w:bCs/>
                <w:color w:val="000000"/>
                <w:kern w:val="2"/>
                <w:sz w:val="22"/>
                <w:szCs w:val="22"/>
                <w:lang w:eastAsia="en-IN"/>
              </w:rPr>
              <w:t>Line Loss (MW)</w:t>
            </w:r>
          </w:p>
        </w:tc>
        <w:tc>
          <w:tcPr>
            <w:tcW w:w="0" w:type="auto"/>
            <w:tcBorders>
              <w:top w:val="single" w:sz="4" w:space="0" w:color="000000"/>
              <w:left w:val="single" w:sz="4" w:space="0" w:color="000000"/>
              <w:bottom w:val="single" w:sz="4" w:space="0" w:color="000000"/>
              <w:right w:val="single" w:sz="4" w:space="0" w:color="000000"/>
            </w:tcBorders>
            <w:shd w:val="clear" w:color="auto" w:fill="95B3D7" w:themeFill="accent1" w:themeFillTint="99"/>
            <w:vAlign w:val="center"/>
          </w:tcPr>
          <w:p w14:paraId="2A4D5115" w14:textId="77777777" w:rsidR="002F0A87" w:rsidRPr="003D5FB5" w:rsidRDefault="002F0A87" w:rsidP="002F0A87">
            <w:pPr>
              <w:tabs>
                <w:tab w:val="left" w:pos="426"/>
              </w:tabs>
              <w:spacing w:line="360" w:lineRule="auto"/>
              <w:ind w:right="-23"/>
              <w:jc w:val="center"/>
              <w:textAlignment w:val="center"/>
              <w:rPr>
                <w:rFonts w:asciiTheme="minorHAnsi" w:hAnsiTheme="minorHAnsi" w:cstheme="minorHAnsi"/>
                <w:sz w:val="22"/>
                <w:szCs w:val="22"/>
                <w:lang w:eastAsia="en-IN"/>
              </w:rPr>
            </w:pPr>
            <w:proofErr w:type="spellStart"/>
            <w:r w:rsidRPr="003D5FB5">
              <w:rPr>
                <w:rFonts w:asciiTheme="minorHAnsi" w:hAnsiTheme="minorHAnsi" w:cstheme="minorHAnsi"/>
                <w:b/>
                <w:bCs/>
                <w:color w:val="000000"/>
                <w:kern w:val="2"/>
                <w:sz w:val="22"/>
                <w:szCs w:val="22"/>
                <w:lang w:eastAsia="en-IN"/>
              </w:rPr>
              <w:t>Trf</w:t>
            </w:r>
            <w:proofErr w:type="spellEnd"/>
            <w:r w:rsidRPr="003D5FB5">
              <w:rPr>
                <w:rFonts w:asciiTheme="minorHAnsi" w:hAnsiTheme="minorHAnsi" w:cstheme="minorHAnsi"/>
                <w:b/>
                <w:bCs/>
                <w:color w:val="000000"/>
                <w:kern w:val="2"/>
                <w:sz w:val="22"/>
                <w:szCs w:val="22"/>
                <w:lang w:eastAsia="en-IN"/>
              </w:rPr>
              <w:t>.</w:t>
            </w:r>
            <w:r w:rsidRPr="003D5FB5">
              <w:rPr>
                <w:rFonts w:asciiTheme="minorHAnsi" w:hAnsiTheme="minorHAnsi" w:cstheme="minorHAnsi"/>
                <w:b/>
                <w:bCs/>
                <w:color w:val="000000"/>
                <w:kern w:val="2"/>
                <w:sz w:val="22"/>
                <w:szCs w:val="22"/>
                <w:lang w:eastAsia="en-IN"/>
              </w:rPr>
              <w:br/>
              <w:t>(No Load Loss)</w:t>
            </w:r>
            <w:r w:rsidRPr="003D5FB5">
              <w:rPr>
                <w:rFonts w:asciiTheme="minorHAnsi" w:hAnsiTheme="minorHAnsi" w:cstheme="minorHAnsi"/>
                <w:b/>
                <w:bCs/>
                <w:color w:val="000000"/>
                <w:kern w:val="2"/>
                <w:sz w:val="22"/>
                <w:szCs w:val="22"/>
                <w:lang w:eastAsia="en-IN"/>
              </w:rPr>
              <w:br/>
              <w:t>(MW)</w:t>
            </w:r>
          </w:p>
        </w:tc>
        <w:tc>
          <w:tcPr>
            <w:tcW w:w="0" w:type="auto"/>
            <w:tcBorders>
              <w:top w:val="single" w:sz="4" w:space="0" w:color="000000"/>
              <w:left w:val="single" w:sz="4" w:space="0" w:color="000000"/>
              <w:bottom w:val="single" w:sz="4" w:space="0" w:color="000000"/>
              <w:right w:val="single" w:sz="4" w:space="0" w:color="000000"/>
            </w:tcBorders>
            <w:shd w:val="clear" w:color="auto" w:fill="95B3D7" w:themeFill="accent1" w:themeFillTint="99"/>
            <w:vAlign w:val="center"/>
          </w:tcPr>
          <w:p w14:paraId="732C5370" w14:textId="77777777" w:rsidR="002F0A87" w:rsidRPr="003D5FB5" w:rsidRDefault="002F0A87" w:rsidP="002F0A87">
            <w:pPr>
              <w:tabs>
                <w:tab w:val="left" w:pos="426"/>
              </w:tabs>
              <w:spacing w:line="360" w:lineRule="auto"/>
              <w:ind w:right="-23"/>
              <w:jc w:val="center"/>
              <w:textAlignment w:val="center"/>
              <w:rPr>
                <w:rFonts w:asciiTheme="minorHAnsi" w:hAnsiTheme="minorHAnsi" w:cstheme="minorHAnsi"/>
                <w:sz w:val="22"/>
                <w:szCs w:val="22"/>
                <w:lang w:eastAsia="en-IN"/>
              </w:rPr>
            </w:pPr>
            <w:proofErr w:type="spellStart"/>
            <w:r w:rsidRPr="003D5FB5">
              <w:rPr>
                <w:rFonts w:asciiTheme="minorHAnsi" w:hAnsiTheme="minorHAnsi" w:cstheme="minorHAnsi"/>
                <w:b/>
                <w:bCs/>
                <w:color w:val="000000"/>
                <w:kern w:val="2"/>
                <w:sz w:val="22"/>
                <w:szCs w:val="22"/>
                <w:lang w:eastAsia="en-IN"/>
              </w:rPr>
              <w:t>Trf</w:t>
            </w:r>
            <w:proofErr w:type="spellEnd"/>
            <w:r w:rsidRPr="003D5FB5">
              <w:rPr>
                <w:rFonts w:asciiTheme="minorHAnsi" w:hAnsiTheme="minorHAnsi" w:cstheme="minorHAnsi"/>
                <w:b/>
                <w:bCs/>
                <w:color w:val="000000"/>
                <w:kern w:val="2"/>
                <w:sz w:val="22"/>
                <w:szCs w:val="22"/>
                <w:lang w:eastAsia="en-IN"/>
              </w:rPr>
              <w:t>.</w:t>
            </w:r>
            <w:r w:rsidRPr="003D5FB5">
              <w:rPr>
                <w:rFonts w:asciiTheme="minorHAnsi" w:hAnsiTheme="minorHAnsi" w:cstheme="minorHAnsi"/>
                <w:b/>
                <w:bCs/>
                <w:color w:val="000000"/>
                <w:kern w:val="2"/>
                <w:sz w:val="22"/>
                <w:szCs w:val="22"/>
                <w:lang w:eastAsia="en-IN"/>
              </w:rPr>
              <w:br/>
              <w:t>(Load Loss)</w:t>
            </w:r>
            <w:r w:rsidRPr="003D5FB5">
              <w:rPr>
                <w:rFonts w:asciiTheme="minorHAnsi" w:hAnsiTheme="minorHAnsi" w:cstheme="minorHAnsi"/>
                <w:b/>
                <w:bCs/>
                <w:color w:val="000000"/>
                <w:kern w:val="2"/>
                <w:sz w:val="22"/>
                <w:szCs w:val="22"/>
                <w:lang w:eastAsia="en-IN"/>
              </w:rPr>
              <w:br/>
              <w:t>(MW)</w:t>
            </w:r>
          </w:p>
        </w:tc>
        <w:tc>
          <w:tcPr>
            <w:tcW w:w="0" w:type="auto"/>
            <w:tcBorders>
              <w:top w:val="single" w:sz="4" w:space="0" w:color="000000"/>
              <w:left w:val="single" w:sz="4" w:space="0" w:color="000000"/>
              <w:bottom w:val="single" w:sz="4" w:space="0" w:color="000000"/>
              <w:right w:val="single" w:sz="4" w:space="0" w:color="000000"/>
            </w:tcBorders>
            <w:shd w:val="clear" w:color="auto" w:fill="95B3D7" w:themeFill="accent1" w:themeFillTint="99"/>
            <w:vAlign w:val="center"/>
          </w:tcPr>
          <w:p w14:paraId="0689F477" w14:textId="77777777" w:rsidR="002F0A87" w:rsidRPr="003D5FB5" w:rsidRDefault="002F0A87" w:rsidP="002F0A87">
            <w:pPr>
              <w:tabs>
                <w:tab w:val="left" w:pos="426"/>
              </w:tabs>
              <w:spacing w:line="360" w:lineRule="auto"/>
              <w:ind w:right="-23"/>
              <w:jc w:val="center"/>
              <w:textAlignment w:val="center"/>
              <w:rPr>
                <w:rFonts w:asciiTheme="minorHAnsi" w:hAnsiTheme="minorHAnsi" w:cstheme="minorHAnsi"/>
                <w:sz w:val="22"/>
                <w:szCs w:val="22"/>
                <w:lang w:eastAsia="en-IN"/>
              </w:rPr>
            </w:pPr>
            <w:r w:rsidRPr="003D5FB5">
              <w:rPr>
                <w:rFonts w:asciiTheme="minorHAnsi" w:hAnsiTheme="minorHAnsi" w:cstheme="minorHAnsi"/>
                <w:b/>
                <w:bCs/>
                <w:color w:val="000000"/>
                <w:kern w:val="2"/>
                <w:sz w:val="22"/>
                <w:szCs w:val="22"/>
                <w:lang w:eastAsia="en-IN"/>
              </w:rPr>
              <w:t>Distributed loss @ 7.68%</w:t>
            </w:r>
            <w:r w:rsidRPr="003D5FB5">
              <w:rPr>
                <w:rFonts w:asciiTheme="minorHAnsi" w:hAnsiTheme="minorHAnsi" w:cstheme="minorHAnsi"/>
                <w:b/>
                <w:bCs/>
                <w:color w:val="000000"/>
                <w:kern w:val="2"/>
                <w:sz w:val="22"/>
                <w:szCs w:val="22"/>
                <w:lang w:eastAsia="en-IN"/>
              </w:rPr>
              <w:br/>
              <w:t>(MW)</w:t>
            </w:r>
          </w:p>
        </w:tc>
        <w:tc>
          <w:tcPr>
            <w:tcW w:w="0" w:type="auto"/>
            <w:tcBorders>
              <w:top w:val="single" w:sz="4" w:space="0" w:color="000000"/>
              <w:left w:val="single" w:sz="4" w:space="0" w:color="000000"/>
              <w:bottom w:val="single" w:sz="4" w:space="0" w:color="000000"/>
              <w:right w:val="single" w:sz="4" w:space="0" w:color="000000"/>
            </w:tcBorders>
            <w:shd w:val="clear" w:color="auto" w:fill="95B3D7" w:themeFill="accent1" w:themeFillTint="99"/>
            <w:vAlign w:val="center"/>
          </w:tcPr>
          <w:p w14:paraId="7574279C" w14:textId="77777777" w:rsidR="002F0A87" w:rsidRPr="003D5FB5" w:rsidRDefault="002F0A87" w:rsidP="002F0A87">
            <w:pPr>
              <w:tabs>
                <w:tab w:val="left" w:pos="426"/>
              </w:tabs>
              <w:spacing w:line="360" w:lineRule="auto"/>
              <w:ind w:right="-23"/>
              <w:jc w:val="center"/>
              <w:textAlignment w:val="center"/>
              <w:rPr>
                <w:rFonts w:asciiTheme="minorHAnsi" w:hAnsiTheme="minorHAnsi" w:cstheme="minorHAnsi"/>
                <w:sz w:val="22"/>
                <w:szCs w:val="22"/>
                <w:lang w:eastAsia="en-IN"/>
              </w:rPr>
            </w:pPr>
            <w:r w:rsidRPr="003D5FB5">
              <w:rPr>
                <w:rFonts w:asciiTheme="minorHAnsi" w:hAnsiTheme="minorHAnsi" w:cstheme="minorHAnsi"/>
                <w:b/>
                <w:bCs/>
                <w:color w:val="000000"/>
                <w:kern w:val="2"/>
                <w:sz w:val="22"/>
                <w:szCs w:val="22"/>
                <w:lang w:eastAsia="en-IN"/>
              </w:rPr>
              <w:t>Total Loss</w:t>
            </w:r>
            <w:r w:rsidRPr="003D5FB5">
              <w:rPr>
                <w:rFonts w:asciiTheme="minorHAnsi" w:hAnsiTheme="minorHAnsi" w:cstheme="minorHAnsi"/>
                <w:b/>
                <w:bCs/>
                <w:color w:val="000000"/>
                <w:kern w:val="2"/>
                <w:sz w:val="22"/>
                <w:szCs w:val="22"/>
                <w:lang w:eastAsia="en-IN"/>
              </w:rPr>
              <w:br/>
              <w:t>(MW)</w:t>
            </w:r>
          </w:p>
        </w:tc>
        <w:tc>
          <w:tcPr>
            <w:tcW w:w="0" w:type="auto"/>
            <w:tcBorders>
              <w:top w:val="single" w:sz="4" w:space="0" w:color="000000"/>
              <w:left w:val="single" w:sz="4" w:space="0" w:color="000000"/>
              <w:bottom w:val="single" w:sz="4" w:space="0" w:color="000000"/>
              <w:right w:val="single" w:sz="4" w:space="0" w:color="000000"/>
            </w:tcBorders>
            <w:shd w:val="clear" w:color="auto" w:fill="95B3D7" w:themeFill="accent1" w:themeFillTint="99"/>
            <w:vAlign w:val="center"/>
          </w:tcPr>
          <w:p w14:paraId="04207639" w14:textId="77777777" w:rsidR="002F0A87" w:rsidRPr="003D5FB5" w:rsidRDefault="002F0A87" w:rsidP="002F0A87">
            <w:pPr>
              <w:tabs>
                <w:tab w:val="left" w:pos="426"/>
              </w:tabs>
              <w:spacing w:line="360" w:lineRule="auto"/>
              <w:ind w:right="-23"/>
              <w:jc w:val="center"/>
              <w:textAlignment w:val="center"/>
              <w:rPr>
                <w:rFonts w:asciiTheme="minorHAnsi" w:hAnsiTheme="minorHAnsi" w:cstheme="minorHAnsi"/>
                <w:sz w:val="22"/>
                <w:szCs w:val="22"/>
                <w:lang w:eastAsia="en-IN"/>
              </w:rPr>
            </w:pPr>
            <w:r w:rsidRPr="003D5FB5">
              <w:rPr>
                <w:rFonts w:asciiTheme="minorHAnsi" w:hAnsiTheme="minorHAnsi" w:cstheme="minorHAnsi"/>
                <w:b/>
                <w:bCs/>
                <w:color w:val="000000"/>
                <w:kern w:val="2"/>
                <w:sz w:val="22"/>
                <w:szCs w:val="22"/>
                <w:lang w:eastAsia="en-IN"/>
              </w:rPr>
              <w:t>Annual Tech loss in %</w:t>
            </w:r>
          </w:p>
        </w:tc>
      </w:tr>
      <w:tr w:rsidR="002F0A87" w:rsidRPr="003D5FB5" w14:paraId="3CA1C1BC" w14:textId="77777777" w:rsidTr="004B69C1">
        <w:trPr>
          <w:trHeight w:val="187"/>
        </w:trPr>
        <w:tc>
          <w:tcPr>
            <w:tcW w:w="0" w:type="auto"/>
            <w:tcBorders>
              <w:top w:val="single" w:sz="4" w:space="0" w:color="000000"/>
              <w:left w:val="single" w:sz="4" w:space="0" w:color="000000"/>
              <w:bottom w:val="single" w:sz="4" w:space="0" w:color="000000"/>
              <w:right w:val="single" w:sz="4" w:space="0" w:color="000000"/>
            </w:tcBorders>
            <w:shd w:val="clear" w:color="auto" w:fill="auto"/>
            <w:vAlign w:val="bottom"/>
          </w:tcPr>
          <w:p w14:paraId="594EF516" w14:textId="77777777" w:rsidR="002F0A87" w:rsidRPr="003D5FB5" w:rsidRDefault="002F0A87" w:rsidP="002F0A87">
            <w:pPr>
              <w:tabs>
                <w:tab w:val="left" w:pos="426"/>
              </w:tabs>
              <w:spacing w:line="276" w:lineRule="auto"/>
              <w:ind w:right="-23"/>
              <w:jc w:val="both"/>
              <w:textAlignment w:val="bottom"/>
              <w:rPr>
                <w:rFonts w:asciiTheme="minorHAnsi" w:hAnsiTheme="minorHAnsi" w:cstheme="minorHAnsi"/>
                <w:sz w:val="22"/>
                <w:szCs w:val="22"/>
                <w:lang w:eastAsia="en-IN"/>
              </w:rPr>
            </w:pPr>
            <w:proofErr w:type="spellStart"/>
            <w:r w:rsidRPr="003D5FB5">
              <w:rPr>
                <w:rFonts w:asciiTheme="minorHAnsi" w:hAnsiTheme="minorHAnsi" w:cstheme="minorHAnsi"/>
                <w:color w:val="000000"/>
                <w:kern w:val="2"/>
                <w:sz w:val="22"/>
                <w:szCs w:val="22"/>
                <w:lang w:eastAsia="en-IN"/>
              </w:rPr>
              <w:t>Balasore</w:t>
            </w:r>
            <w:proofErr w:type="spellEnd"/>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tcPr>
          <w:p w14:paraId="451D404F" w14:textId="77777777" w:rsidR="002F0A87" w:rsidRPr="003D5FB5" w:rsidRDefault="002F0A87" w:rsidP="002F0A87">
            <w:pPr>
              <w:tabs>
                <w:tab w:val="left" w:pos="426"/>
              </w:tabs>
              <w:spacing w:line="276" w:lineRule="auto"/>
              <w:ind w:right="-23"/>
              <w:jc w:val="center"/>
              <w:textAlignment w:val="center"/>
              <w:rPr>
                <w:rFonts w:asciiTheme="minorHAnsi" w:hAnsiTheme="minorHAnsi" w:cstheme="minorHAnsi"/>
                <w:sz w:val="22"/>
                <w:szCs w:val="22"/>
                <w:lang w:eastAsia="en-IN"/>
              </w:rPr>
            </w:pPr>
            <w:r w:rsidRPr="003D5FB5">
              <w:rPr>
                <w:rFonts w:asciiTheme="minorHAnsi" w:hAnsiTheme="minorHAnsi" w:cstheme="minorHAnsi"/>
                <w:color w:val="000000"/>
                <w:kern w:val="2"/>
                <w:sz w:val="22"/>
                <w:szCs w:val="22"/>
                <w:lang w:eastAsia="en-IN"/>
              </w:rPr>
              <w:t>180.07</w:t>
            </w:r>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tcPr>
          <w:p w14:paraId="0E38DF15" w14:textId="77777777" w:rsidR="002F0A87" w:rsidRPr="003D5FB5" w:rsidRDefault="002F0A87" w:rsidP="002F0A87">
            <w:pPr>
              <w:tabs>
                <w:tab w:val="left" w:pos="426"/>
              </w:tabs>
              <w:spacing w:line="276" w:lineRule="auto"/>
              <w:ind w:right="-23"/>
              <w:jc w:val="center"/>
              <w:textAlignment w:val="center"/>
              <w:rPr>
                <w:rFonts w:asciiTheme="minorHAnsi" w:hAnsiTheme="minorHAnsi" w:cstheme="minorHAnsi"/>
                <w:sz w:val="22"/>
                <w:szCs w:val="22"/>
                <w:lang w:eastAsia="en-IN"/>
              </w:rPr>
            </w:pPr>
            <w:r w:rsidRPr="003D5FB5">
              <w:rPr>
                <w:rFonts w:asciiTheme="minorHAnsi" w:hAnsiTheme="minorHAnsi" w:cstheme="minorHAnsi"/>
                <w:color w:val="000000"/>
                <w:kern w:val="2"/>
                <w:sz w:val="22"/>
                <w:szCs w:val="22"/>
                <w:lang w:eastAsia="en-IN"/>
              </w:rPr>
              <w:t>13.73</w:t>
            </w:r>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tcPr>
          <w:p w14:paraId="36D2EDF0" w14:textId="77777777" w:rsidR="002F0A87" w:rsidRPr="003D5FB5" w:rsidRDefault="002F0A87" w:rsidP="002F0A87">
            <w:pPr>
              <w:tabs>
                <w:tab w:val="left" w:pos="426"/>
              </w:tabs>
              <w:spacing w:line="276" w:lineRule="auto"/>
              <w:ind w:right="-23"/>
              <w:jc w:val="center"/>
              <w:textAlignment w:val="center"/>
              <w:rPr>
                <w:rFonts w:asciiTheme="minorHAnsi" w:hAnsiTheme="minorHAnsi" w:cstheme="minorHAnsi"/>
                <w:sz w:val="22"/>
                <w:szCs w:val="22"/>
                <w:lang w:eastAsia="en-IN"/>
              </w:rPr>
            </w:pPr>
            <w:r w:rsidRPr="003D5FB5">
              <w:rPr>
                <w:rFonts w:asciiTheme="minorHAnsi" w:hAnsiTheme="minorHAnsi" w:cstheme="minorHAnsi"/>
                <w:color w:val="000000"/>
                <w:kern w:val="2"/>
                <w:sz w:val="22"/>
                <w:szCs w:val="22"/>
                <w:lang w:eastAsia="en-IN"/>
              </w:rPr>
              <w:t>1.29</w:t>
            </w:r>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tcPr>
          <w:p w14:paraId="54FEEAB3" w14:textId="77777777" w:rsidR="002F0A87" w:rsidRPr="003D5FB5" w:rsidRDefault="002F0A87" w:rsidP="002F0A87">
            <w:pPr>
              <w:tabs>
                <w:tab w:val="left" w:pos="426"/>
              </w:tabs>
              <w:spacing w:line="276" w:lineRule="auto"/>
              <w:ind w:right="-23"/>
              <w:jc w:val="center"/>
              <w:textAlignment w:val="center"/>
              <w:rPr>
                <w:rFonts w:asciiTheme="minorHAnsi" w:hAnsiTheme="minorHAnsi" w:cstheme="minorHAnsi"/>
                <w:sz w:val="22"/>
                <w:szCs w:val="22"/>
                <w:lang w:eastAsia="en-IN"/>
              </w:rPr>
            </w:pPr>
            <w:r w:rsidRPr="003D5FB5">
              <w:rPr>
                <w:rFonts w:asciiTheme="minorHAnsi" w:hAnsiTheme="minorHAnsi" w:cstheme="minorHAnsi"/>
                <w:color w:val="000000"/>
                <w:kern w:val="2"/>
                <w:sz w:val="22"/>
                <w:szCs w:val="22"/>
                <w:lang w:eastAsia="en-IN"/>
              </w:rPr>
              <w:t>2.05</w:t>
            </w:r>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tcPr>
          <w:p w14:paraId="527EBF0D" w14:textId="77777777" w:rsidR="002F0A87" w:rsidRPr="003D5FB5" w:rsidRDefault="002F0A87" w:rsidP="002F0A87">
            <w:pPr>
              <w:tabs>
                <w:tab w:val="left" w:pos="426"/>
              </w:tabs>
              <w:spacing w:line="276" w:lineRule="auto"/>
              <w:ind w:right="-23"/>
              <w:jc w:val="center"/>
              <w:textAlignment w:val="center"/>
              <w:rPr>
                <w:rFonts w:asciiTheme="minorHAnsi" w:hAnsiTheme="minorHAnsi" w:cstheme="minorHAnsi"/>
                <w:sz w:val="22"/>
                <w:szCs w:val="22"/>
                <w:lang w:eastAsia="en-IN"/>
              </w:rPr>
            </w:pPr>
            <w:r w:rsidRPr="003D5FB5">
              <w:rPr>
                <w:rFonts w:asciiTheme="minorHAnsi" w:hAnsiTheme="minorHAnsi" w:cstheme="minorHAnsi"/>
                <w:color w:val="000000"/>
                <w:kern w:val="2"/>
                <w:sz w:val="22"/>
                <w:szCs w:val="22"/>
                <w:lang w:eastAsia="en-IN"/>
              </w:rPr>
              <w:t>1.31</w:t>
            </w:r>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tcPr>
          <w:p w14:paraId="63743062" w14:textId="77777777" w:rsidR="002F0A87" w:rsidRPr="003D5FB5" w:rsidRDefault="002F0A87" w:rsidP="002F0A87">
            <w:pPr>
              <w:tabs>
                <w:tab w:val="left" w:pos="426"/>
              </w:tabs>
              <w:spacing w:line="276" w:lineRule="auto"/>
              <w:ind w:right="-23"/>
              <w:jc w:val="center"/>
              <w:textAlignment w:val="center"/>
              <w:rPr>
                <w:rFonts w:asciiTheme="minorHAnsi" w:hAnsiTheme="minorHAnsi" w:cstheme="minorHAnsi"/>
                <w:sz w:val="22"/>
                <w:szCs w:val="22"/>
                <w:lang w:eastAsia="en-IN"/>
              </w:rPr>
            </w:pPr>
            <w:r w:rsidRPr="003D5FB5">
              <w:rPr>
                <w:rFonts w:asciiTheme="minorHAnsi" w:hAnsiTheme="minorHAnsi" w:cstheme="minorHAnsi"/>
                <w:color w:val="000000"/>
                <w:kern w:val="2"/>
                <w:sz w:val="22"/>
                <w:szCs w:val="22"/>
                <w:lang w:eastAsia="en-IN"/>
              </w:rPr>
              <w:t>18.37</w:t>
            </w:r>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tcPr>
          <w:p w14:paraId="7B71178F" w14:textId="77777777" w:rsidR="002F0A87" w:rsidRPr="003D5FB5" w:rsidRDefault="002F0A87" w:rsidP="002F0A87">
            <w:pPr>
              <w:tabs>
                <w:tab w:val="left" w:pos="426"/>
              </w:tabs>
              <w:spacing w:line="276" w:lineRule="auto"/>
              <w:ind w:right="-23"/>
              <w:jc w:val="center"/>
              <w:textAlignment w:val="center"/>
              <w:rPr>
                <w:rFonts w:asciiTheme="minorHAnsi" w:hAnsiTheme="minorHAnsi" w:cstheme="minorHAnsi"/>
                <w:sz w:val="22"/>
                <w:szCs w:val="22"/>
                <w:lang w:eastAsia="en-IN"/>
              </w:rPr>
            </w:pPr>
            <w:r w:rsidRPr="003D5FB5">
              <w:rPr>
                <w:rFonts w:asciiTheme="minorHAnsi" w:hAnsiTheme="minorHAnsi" w:cstheme="minorHAnsi"/>
                <w:color w:val="000000"/>
                <w:kern w:val="2"/>
                <w:sz w:val="22"/>
                <w:szCs w:val="22"/>
                <w:lang w:eastAsia="en-IN"/>
              </w:rPr>
              <w:t>6.26</w:t>
            </w:r>
          </w:p>
        </w:tc>
      </w:tr>
      <w:tr w:rsidR="002F0A87" w:rsidRPr="003D5FB5" w14:paraId="08067570" w14:textId="77777777" w:rsidTr="004B69C1">
        <w:trPr>
          <w:trHeight w:val="187"/>
        </w:trPr>
        <w:tc>
          <w:tcPr>
            <w:tcW w:w="0" w:type="auto"/>
            <w:tcBorders>
              <w:top w:val="single" w:sz="4" w:space="0" w:color="000000"/>
              <w:left w:val="single" w:sz="4" w:space="0" w:color="000000"/>
              <w:bottom w:val="single" w:sz="4" w:space="0" w:color="000000"/>
              <w:right w:val="single" w:sz="4" w:space="0" w:color="000000"/>
            </w:tcBorders>
            <w:shd w:val="clear" w:color="auto" w:fill="auto"/>
            <w:vAlign w:val="bottom"/>
          </w:tcPr>
          <w:p w14:paraId="24921BA5" w14:textId="77777777" w:rsidR="002F0A87" w:rsidRPr="003D5FB5" w:rsidRDefault="002F0A87" w:rsidP="002F0A87">
            <w:pPr>
              <w:tabs>
                <w:tab w:val="left" w:pos="426"/>
              </w:tabs>
              <w:spacing w:line="276" w:lineRule="auto"/>
              <w:ind w:right="-23"/>
              <w:jc w:val="both"/>
              <w:textAlignment w:val="bottom"/>
              <w:rPr>
                <w:rFonts w:asciiTheme="minorHAnsi" w:hAnsiTheme="minorHAnsi" w:cstheme="minorHAnsi"/>
                <w:sz w:val="22"/>
                <w:szCs w:val="22"/>
                <w:lang w:eastAsia="en-IN"/>
              </w:rPr>
            </w:pPr>
            <w:proofErr w:type="spellStart"/>
            <w:r w:rsidRPr="003D5FB5">
              <w:rPr>
                <w:rFonts w:asciiTheme="minorHAnsi" w:hAnsiTheme="minorHAnsi" w:cstheme="minorHAnsi"/>
                <w:color w:val="000000"/>
                <w:kern w:val="2"/>
                <w:sz w:val="22"/>
                <w:szCs w:val="22"/>
                <w:lang w:eastAsia="en-IN"/>
              </w:rPr>
              <w:t>Baripada</w:t>
            </w:r>
            <w:proofErr w:type="spellEnd"/>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tcPr>
          <w:p w14:paraId="143B5453" w14:textId="77777777" w:rsidR="002F0A87" w:rsidRPr="003D5FB5" w:rsidRDefault="002F0A87" w:rsidP="002F0A87">
            <w:pPr>
              <w:tabs>
                <w:tab w:val="left" w:pos="426"/>
              </w:tabs>
              <w:spacing w:line="276" w:lineRule="auto"/>
              <w:ind w:right="-23"/>
              <w:jc w:val="center"/>
              <w:textAlignment w:val="center"/>
              <w:rPr>
                <w:rFonts w:asciiTheme="minorHAnsi" w:hAnsiTheme="minorHAnsi" w:cstheme="minorHAnsi"/>
                <w:sz w:val="22"/>
                <w:szCs w:val="22"/>
                <w:lang w:eastAsia="en-IN"/>
              </w:rPr>
            </w:pPr>
            <w:r w:rsidRPr="003D5FB5">
              <w:rPr>
                <w:rFonts w:asciiTheme="minorHAnsi" w:hAnsiTheme="minorHAnsi" w:cstheme="minorHAnsi"/>
                <w:color w:val="000000"/>
                <w:kern w:val="2"/>
                <w:sz w:val="22"/>
                <w:szCs w:val="22"/>
                <w:lang w:eastAsia="en-IN"/>
              </w:rPr>
              <w:t>156.77</w:t>
            </w:r>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tcPr>
          <w:p w14:paraId="431E9D4A" w14:textId="77777777" w:rsidR="002F0A87" w:rsidRPr="003D5FB5" w:rsidRDefault="002F0A87" w:rsidP="002F0A87">
            <w:pPr>
              <w:tabs>
                <w:tab w:val="left" w:pos="426"/>
              </w:tabs>
              <w:spacing w:line="276" w:lineRule="auto"/>
              <w:ind w:right="-23"/>
              <w:jc w:val="center"/>
              <w:textAlignment w:val="center"/>
              <w:rPr>
                <w:rFonts w:asciiTheme="minorHAnsi" w:hAnsiTheme="minorHAnsi" w:cstheme="minorHAnsi"/>
                <w:sz w:val="22"/>
                <w:szCs w:val="22"/>
                <w:lang w:eastAsia="en-IN"/>
              </w:rPr>
            </w:pPr>
            <w:r w:rsidRPr="003D5FB5">
              <w:rPr>
                <w:rFonts w:asciiTheme="minorHAnsi" w:hAnsiTheme="minorHAnsi" w:cstheme="minorHAnsi"/>
                <w:color w:val="000000"/>
                <w:kern w:val="2"/>
                <w:sz w:val="22"/>
                <w:szCs w:val="22"/>
                <w:lang w:eastAsia="en-IN"/>
              </w:rPr>
              <w:t>6.99</w:t>
            </w:r>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tcPr>
          <w:p w14:paraId="0884EF03" w14:textId="77777777" w:rsidR="002F0A87" w:rsidRPr="003D5FB5" w:rsidRDefault="002F0A87" w:rsidP="002F0A87">
            <w:pPr>
              <w:tabs>
                <w:tab w:val="left" w:pos="426"/>
              </w:tabs>
              <w:spacing w:line="276" w:lineRule="auto"/>
              <w:ind w:right="-23"/>
              <w:jc w:val="center"/>
              <w:textAlignment w:val="center"/>
              <w:rPr>
                <w:rFonts w:asciiTheme="minorHAnsi" w:hAnsiTheme="minorHAnsi" w:cstheme="minorHAnsi"/>
                <w:sz w:val="22"/>
                <w:szCs w:val="22"/>
                <w:lang w:eastAsia="en-IN"/>
              </w:rPr>
            </w:pPr>
            <w:r w:rsidRPr="003D5FB5">
              <w:rPr>
                <w:rFonts w:asciiTheme="minorHAnsi" w:hAnsiTheme="minorHAnsi" w:cstheme="minorHAnsi"/>
                <w:color w:val="000000"/>
                <w:kern w:val="2"/>
                <w:sz w:val="22"/>
                <w:szCs w:val="22"/>
                <w:lang w:eastAsia="en-IN"/>
              </w:rPr>
              <w:t>0.94</w:t>
            </w:r>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tcPr>
          <w:p w14:paraId="6ED1F25F" w14:textId="77777777" w:rsidR="002F0A87" w:rsidRPr="003D5FB5" w:rsidRDefault="002F0A87" w:rsidP="002F0A87">
            <w:pPr>
              <w:tabs>
                <w:tab w:val="left" w:pos="426"/>
              </w:tabs>
              <w:spacing w:line="276" w:lineRule="auto"/>
              <w:ind w:right="-23"/>
              <w:jc w:val="center"/>
              <w:textAlignment w:val="center"/>
              <w:rPr>
                <w:rFonts w:asciiTheme="minorHAnsi" w:hAnsiTheme="minorHAnsi" w:cstheme="minorHAnsi"/>
                <w:sz w:val="22"/>
                <w:szCs w:val="22"/>
                <w:lang w:eastAsia="en-IN"/>
              </w:rPr>
            </w:pPr>
            <w:r w:rsidRPr="003D5FB5">
              <w:rPr>
                <w:rFonts w:asciiTheme="minorHAnsi" w:hAnsiTheme="minorHAnsi" w:cstheme="minorHAnsi"/>
                <w:color w:val="000000"/>
                <w:kern w:val="2"/>
                <w:sz w:val="22"/>
                <w:szCs w:val="22"/>
                <w:lang w:eastAsia="en-IN"/>
              </w:rPr>
              <w:t>1.23</w:t>
            </w:r>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tcPr>
          <w:p w14:paraId="074C0DC4" w14:textId="77777777" w:rsidR="002F0A87" w:rsidRPr="003D5FB5" w:rsidRDefault="002F0A87" w:rsidP="002F0A87">
            <w:pPr>
              <w:tabs>
                <w:tab w:val="left" w:pos="426"/>
              </w:tabs>
              <w:spacing w:line="276" w:lineRule="auto"/>
              <w:ind w:right="-23"/>
              <w:jc w:val="center"/>
              <w:textAlignment w:val="center"/>
              <w:rPr>
                <w:rFonts w:asciiTheme="minorHAnsi" w:hAnsiTheme="minorHAnsi" w:cstheme="minorHAnsi"/>
                <w:sz w:val="22"/>
                <w:szCs w:val="22"/>
                <w:lang w:eastAsia="en-IN"/>
              </w:rPr>
            </w:pPr>
            <w:r w:rsidRPr="003D5FB5">
              <w:rPr>
                <w:rFonts w:asciiTheme="minorHAnsi" w:hAnsiTheme="minorHAnsi" w:cstheme="minorHAnsi"/>
                <w:color w:val="000000"/>
                <w:kern w:val="2"/>
                <w:sz w:val="22"/>
                <w:szCs w:val="22"/>
                <w:lang w:eastAsia="en-IN"/>
              </w:rPr>
              <w:t>0.70</w:t>
            </w:r>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tcPr>
          <w:p w14:paraId="0BB8D75F" w14:textId="77777777" w:rsidR="002F0A87" w:rsidRPr="003D5FB5" w:rsidRDefault="002F0A87" w:rsidP="002F0A87">
            <w:pPr>
              <w:tabs>
                <w:tab w:val="left" w:pos="426"/>
              </w:tabs>
              <w:spacing w:line="276" w:lineRule="auto"/>
              <w:ind w:right="-23"/>
              <w:jc w:val="center"/>
              <w:textAlignment w:val="center"/>
              <w:rPr>
                <w:rFonts w:asciiTheme="minorHAnsi" w:hAnsiTheme="minorHAnsi" w:cstheme="minorHAnsi"/>
                <w:sz w:val="22"/>
                <w:szCs w:val="22"/>
                <w:lang w:eastAsia="en-IN"/>
              </w:rPr>
            </w:pPr>
            <w:r w:rsidRPr="003D5FB5">
              <w:rPr>
                <w:rFonts w:asciiTheme="minorHAnsi" w:hAnsiTheme="minorHAnsi" w:cstheme="minorHAnsi"/>
                <w:color w:val="000000"/>
                <w:kern w:val="2"/>
                <w:sz w:val="22"/>
                <w:szCs w:val="22"/>
                <w:lang w:eastAsia="en-IN"/>
              </w:rPr>
              <w:t>9.86</w:t>
            </w:r>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tcPr>
          <w:p w14:paraId="4D2B0FB5" w14:textId="77777777" w:rsidR="002F0A87" w:rsidRPr="003D5FB5" w:rsidRDefault="002F0A87" w:rsidP="002F0A87">
            <w:pPr>
              <w:tabs>
                <w:tab w:val="left" w:pos="426"/>
              </w:tabs>
              <w:spacing w:line="276" w:lineRule="auto"/>
              <w:ind w:right="-23"/>
              <w:jc w:val="center"/>
              <w:textAlignment w:val="center"/>
              <w:rPr>
                <w:rFonts w:asciiTheme="minorHAnsi" w:hAnsiTheme="minorHAnsi" w:cstheme="minorHAnsi"/>
                <w:sz w:val="22"/>
                <w:szCs w:val="22"/>
                <w:lang w:eastAsia="en-IN"/>
              </w:rPr>
            </w:pPr>
            <w:r w:rsidRPr="003D5FB5">
              <w:rPr>
                <w:rFonts w:asciiTheme="minorHAnsi" w:hAnsiTheme="minorHAnsi" w:cstheme="minorHAnsi"/>
                <w:color w:val="000000"/>
                <w:kern w:val="2"/>
                <w:sz w:val="22"/>
                <w:szCs w:val="22"/>
                <w:lang w:eastAsia="en-IN"/>
              </w:rPr>
              <w:t>5.16</w:t>
            </w:r>
          </w:p>
        </w:tc>
      </w:tr>
      <w:tr w:rsidR="002F0A87" w:rsidRPr="003D5FB5" w14:paraId="63F4EB59" w14:textId="77777777" w:rsidTr="004B69C1">
        <w:trPr>
          <w:trHeight w:val="187"/>
        </w:trPr>
        <w:tc>
          <w:tcPr>
            <w:tcW w:w="0" w:type="auto"/>
            <w:tcBorders>
              <w:top w:val="single" w:sz="4" w:space="0" w:color="000000"/>
              <w:left w:val="single" w:sz="4" w:space="0" w:color="000000"/>
              <w:bottom w:val="single" w:sz="4" w:space="0" w:color="000000"/>
              <w:right w:val="single" w:sz="4" w:space="0" w:color="000000"/>
            </w:tcBorders>
            <w:shd w:val="clear" w:color="auto" w:fill="auto"/>
            <w:vAlign w:val="bottom"/>
          </w:tcPr>
          <w:p w14:paraId="7AD405A0" w14:textId="77777777" w:rsidR="002F0A87" w:rsidRPr="003D5FB5" w:rsidRDefault="002F0A87" w:rsidP="002F0A87">
            <w:pPr>
              <w:tabs>
                <w:tab w:val="left" w:pos="426"/>
              </w:tabs>
              <w:spacing w:line="276" w:lineRule="auto"/>
              <w:ind w:right="-23"/>
              <w:jc w:val="both"/>
              <w:textAlignment w:val="bottom"/>
              <w:rPr>
                <w:rFonts w:asciiTheme="minorHAnsi" w:hAnsiTheme="minorHAnsi" w:cstheme="minorHAnsi"/>
                <w:sz w:val="22"/>
                <w:szCs w:val="22"/>
                <w:lang w:eastAsia="en-IN"/>
              </w:rPr>
            </w:pPr>
            <w:proofErr w:type="spellStart"/>
            <w:r w:rsidRPr="003D5FB5">
              <w:rPr>
                <w:rFonts w:asciiTheme="minorHAnsi" w:hAnsiTheme="minorHAnsi" w:cstheme="minorHAnsi"/>
                <w:color w:val="000000"/>
                <w:kern w:val="2"/>
                <w:sz w:val="22"/>
                <w:szCs w:val="22"/>
                <w:lang w:eastAsia="en-IN"/>
              </w:rPr>
              <w:t>Bhadrak</w:t>
            </w:r>
            <w:proofErr w:type="spellEnd"/>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tcPr>
          <w:p w14:paraId="32E8D751" w14:textId="77777777" w:rsidR="002F0A87" w:rsidRPr="003D5FB5" w:rsidRDefault="002F0A87" w:rsidP="002F0A87">
            <w:pPr>
              <w:tabs>
                <w:tab w:val="left" w:pos="426"/>
              </w:tabs>
              <w:spacing w:line="276" w:lineRule="auto"/>
              <w:ind w:right="-23"/>
              <w:jc w:val="center"/>
              <w:textAlignment w:val="center"/>
              <w:rPr>
                <w:rFonts w:asciiTheme="minorHAnsi" w:hAnsiTheme="minorHAnsi" w:cstheme="minorHAnsi"/>
                <w:sz w:val="22"/>
                <w:szCs w:val="22"/>
                <w:lang w:eastAsia="en-IN"/>
              </w:rPr>
            </w:pPr>
            <w:r w:rsidRPr="003D5FB5">
              <w:rPr>
                <w:rFonts w:asciiTheme="minorHAnsi" w:hAnsiTheme="minorHAnsi" w:cstheme="minorHAnsi"/>
                <w:color w:val="000000"/>
                <w:kern w:val="2"/>
                <w:sz w:val="22"/>
                <w:szCs w:val="22"/>
                <w:lang w:eastAsia="en-IN"/>
              </w:rPr>
              <w:t>132.57</w:t>
            </w:r>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tcPr>
          <w:p w14:paraId="29991292" w14:textId="77777777" w:rsidR="002F0A87" w:rsidRPr="003D5FB5" w:rsidRDefault="002F0A87" w:rsidP="002F0A87">
            <w:pPr>
              <w:tabs>
                <w:tab w:val="left" w:pos="426"/>
              </w:tabs>
              <w:spacing w:line="276" w:lineRule="auto"/>
              <w:ind w:right="-23"/>
              <w:jc w:val="center"/>
              <w:textAlignment w:val="center"/>
              <w:rPr>
                <w:rFonts w:asciiTheme="minorHAnsi" w:hAnsiTheme="minorHAnsi" w:cstheme="minorHAnsi"/>
                <w:sz w:val="22"/>
                <w:szCs w:val="22"/>
                <w:lang w:eastAsia="en-IN"/>
              </w:rPr>
            </w:pPr>
            <w:r w:rsidRPr="003D5FB5">
              <w:rPr>
                <w:rFonts w:asciiTheme="minorHAnsi" w:hAnsiTheme="minorHAnsi" w:cstheme="minorHAnsi"/>
                <w:color w:val="000000"/>
                <w:kern w:val="2"/>
                <w:sz w:val="22"/>
                <w:szCs w:val="22"/>
                <w:lang w:eastAsia="en-IN"/>
              </w:rPr>
              <w:t>6.19</w:t>
            </w:r>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tcPr>
          <w:p w14:paraId="706A4433" w14:textId="77777777" w:rsidR="002F0A87" w:rsidRPr="003D5FB5" w:rsidRDefault="002F0A87" w:rsidP="002F0A87">
            <w:pPr>
              <w:tabs>
                <w:tab w:val="left" w:pos="426"/>
              </w:tabs>
              <w:spacing w:line="276" w:lineRule="auto"/>
              <w:ind w:right="-23"/>
              <w:jc w:val="center"/>
              <w:textAlignment w:val="center"/>
              <w:rPr>
                <w:rFonts w:asciiTheme="minorHAnsi" w:hAnsiTheme="minorHAnsi" w:cstheme="minorHAnsi"/>
                <w:sz w:val="22"/>
                <w:szCs w:val="22"/>
                <w:lang w:eastAsia="en-IN"/>
              </w:rPr>
            </w:pPr>
            <w:r w:rsidRPr="003D5FB5">
              <w:rPr>
                <w:rFonts w:asciiTheme="minorHAnsi" w:hAnsiTheme="minorHAnsi" w:cstheme="minorHAnsi"/>
                <w:color w:val="000000"/>
                <w:kern w:val="2"/>
                <w:sz w:val="22"/>
                <w:szCs w:val="22"/>
                <w:lang w:eastAsia="en-IN"/>
              </w:rPr>
              <w:t>0.79</w:t>
            </w:r>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tcPr>
          <w:p w14:paraId="37C75E93" w14:textId="77777777" w:rsidR="002F0A87" w:rsidRPr="003D5FB5" w:rsidRDefault="002F0A87" w:rsidP="002F0A87">
            <w:pPr>
              <w:tabs>
                <w:tab w:val="left" w:pos="426"/>
              </w:tabs>
              <w:spacing w:line="276" w:lineRule="auto"/>
              <w:ind w:right="-23"/>
              <w:jc w:val="center"/>
              <w:textAlignment w:val="center"/>
              <w:rPr>
                <w:rFonts w:asciiTheme="minorHAnsi" w:hAnsiTheme="minorHAnsi" w:cstheme="minorHAnsi"/>
                <w:sz w:val="22"/>
                <w:szCs w:val="22"/>
                <w:lang w:eastAsia="en-IN"/>
              </w:rPr>
            </w:pPr>
            <w:r w:rsidRPr="003D5FB5">
              <w:rPr>
                <w:rFonts w:asciiTheme="minorHAnsi" w:hAnsiTheme="minorHAnsi" w:cstheme="minorHAnsi"/>
                <w:color w:val="000000"/>
                <w:kern w:val="2"/>
                <w:sz w:val="22"/>
                <w:szCs w:val="22"/>
                <w:lang w:eastAsia="en-IN"/>
              </w:rPr>
              <w:t>0.74</w:t>
            </w:r>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tcPr>
          <w:p w14:paraId="76840597" w14:textId="77777777" w:rsidR="002F0A87" w:rsidRPr="003D5FB5" w:rsidRDefault="002F0A87" w:rsidP="002F0A87">
            <w:pPr>
              <w:tabs>
                <w:tab w:val="left" w:pos="426"/>
              </w:tabs>
              <w:spacing w:line="276" w:lineRule="auto"/>
              <w:ind w:right="-23"/>
              <w:jc w:val="center"/>
              <w:textAlignment w:val="center"/>
              <w:rPr>
                <w:rFonts w:asciiTheme="minorHAnsi" w:hAnsiTheme="minorHAnsi" w:cstheme="minorHAnsi"/>
                <w:sz w:val="22"/>
                <w:szCs w:val="22"/>
                <w:lang w:eastAsia="en-IN"/>
              </w:rPr>
            </w:pPr>
            <w:r w:rsidRPr="003D5FB5">
              <w:rPr>
                <w:rFonts w:asciiTheme="minorHAnsi" w:hAnsiTheme="minorHAnsi" w:cstheme="minorHAnsi"/>
                <w:color w:val="000000"/>
                <w:kern w:val="2"/>
                <w:sz w:val="22"/>
                <w:szCs w:val="22"/>
                <w:lang w:eastAsia="en-IN"/>
              </w:rPr>
              <w:t>0.59</w:t>
            </w:r>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tcPr>
          <w:p w14:paraId="41D76A0A" w14:textId="77777777" w:rsidR="002F0A87" w:rsidRPr="003D5FB5" w:rsidRDefault="002F0A87" w:rsidP="002F0A87">
            <w:pPr>
              <w:tabs>
                <w:tab w:val="left" w:pos="426"/>
              </w:tabs>
              <w:spacing w:line="276" w:lineRule="auto"/>
              <w:ind w:right="-23"/>
              <w:jc w:val="center"/>
              <w:textAlignment w:val="center"/>
              <w:rPr>
                <w:rFonts w:asciiTheme="minorHAnsi" w:hAnsiTheme="minorHAnsi" w:cstheme="minorHAnsi"/>
                <w:sz w:val="22"/>
                <w:szCs w:val="22"/>
                <w:lang w:eastAsia="en-IN"/>
              </w:rPr>
            </w:pPr>
            <w:r w:rsidRPr="003D5FB5">
              <w:rPr>
                <w:rFonts w:asciiTheme="minorHAnsi" w:hAnsiTheme="minorHAnsi" w:cstheme="minorHAnsi"/>
                <w:color w:val="000000"/>
                <w:kern w:val="2"/>
                <w:sz w:val="22"/>
                <w:szCs w:val="22"/>
                <w:lang w:eastAsia="en-IN"/>
              </w:rPr>
              <w:t>8.31</w:t>
            </w:r>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tcPr>
          <w:p w14:paraId="000BE8F7" w14:textId="77777777" w:rsidR="002F0A87" w:rsidRPr="003D5FB5" w:rsidRDefault="002F0A87" w:rsidP="002F0A87">
            <w:pPr>
              <w:tabs>
                <w:tab w:val="left" w:pos="426"/>
              </w:tabs>
              <w:spacing w:line="276" w:lineRule="auto"/>
              <w:ind w:right="-23"/>
              <w:jc w:val="center"/>
              <w:textAlignment w:val="center"/>
              <w:rPr>
                <w:rFonts w:asciiTheme="minorHAnsi" w:hAnsiTheme="minorHAnsi" w:cstheme="minorHAnsi"/>
                <w:sz w:val="22"/>
                <w:szCs w:val="22"/>
                <w:lang w:eastAsia="en-IN"/>
              </w:rPr>
            </w:pPr>
            <w:r w:rsidRPr="003D5FB5">
              <w:rPr>
                <w:rFonts w:asciiTheme="minorHAnsi" w:hAnsiTheme="minorHAnsi" w:cstheme="minorHAnsi"/>
                <w:color w:val="000000"/>
                <w:kern w:val="2"/>
                <w:sz w:val="22"/>
                <w:szCs w:val="22"/>
                <w:lang w:eastAsia="en-IN"/>
              </w:rPr>
              <w:t>4.66</w:t>
            </w:r>
          </w:p>
        </w:tc>
      </w:tr>
      <w:tr w:rsidR="002F0A87" w:rsidRPr="003D5FB5" w14:paraId="2751F27C" w14:textId="77777777" w:rsidTr="004B69C1">
        <w:trPr>
          <w:trHeight w:val="187"/>
        </w:trPr>
        <w:tc>
          <w:tcPr>
            <w:tcW w:w="0" w:type="auto"/>
            <w:tcBorders>
              <w:top w:val="single" w:sz="4" w:space="0" w:color="000000"/>
              <w:left w:val="single" w:sz="4" w:space="0" w:color="000000"/>
              <w:bottom w:val="single" w:sz="4" w:space="0" w:color="000000"/>
              <w:right w:val="single" w:sz="4" w:space="0" w:color="000000"/>
            </w:tcBorders>
            <w:shd w:val="clear" w:color="auto" w:fill="auto"/>
            <w:vAlign w:val="bottom"/>
          </w:tcPr>
          <w:p w14:paraId="45F5A833" w14:textId="77777777" w:rsidR="002F0A87" w:rsidRPr="003D5FB5" w:rsidRDefault="002F0A87" w:rsidP="002F0A87">
            <w:pPr>
              <w:tabs>
                <w:tab w:val="left" w:pos="426"/>
              </w:tabs>
              <w:spacing w:line="276" w:lineRule="auto"/>
              <w:ind w:right="-23"/>
              <w:jc w:val="both"/>
              <w:textAlignment w:val="bottom"/>
              <w:rPr>
                <w:rFonts w:asciiTheme="minorHAnsi" w:hAnsiTheme="minorHAnsi" w:cstheme="minorHAnsi"/>
                <w:sz w:val="22"/>
                <w:szCs w:val="22"/>
                <w:lang w:eastAsia="en-IN"/>
              </w:rPr>
            </w:pPr>
            <w:proofErr w:type="spellStart"/>
            <w:r w:rsidRPr="003D5FB5">
              <w:rPr>
                <w:rFonts w:asciiTheme="minorHAnsi" w:hAnsiTheme="minorHAnsi" w:cstheme="minorHAnsi"/>
                <w:color w:val="000000"/>
                <w:kern w:val="2"/>
                <w:sz w:val="22"/>
                <w:szCs w:val="22"/>
                <w:lang w:eastAsia="en-IN"/>
              </w:rPr>
              <w:t>Jajpur</w:t>
            </w:r>
            <w:proofErr w:type="spellEnd"/>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tcPr>
          <w:p w14:paraId="7C427F18" w14:textId="77777777" w:rsidR="002F0A87" w:rsidRPr="003D5FB5" w:rsidRDefault="002F0A87" w:rsidP="002F0A87">
            <w:pPr>
              <w:tabs>
                <w:tab w:val="left" w:pos="426"/>
              </w:tabs>
              <w:spacing w:line="276" w:lineRule="auto"/>
              <w:ind w:right="-23"/>
              <w:jc w:val="center"/>
              <w:textAlignment w:val="center"/>
              <w:rPr>
                <w:rFonts w:asciiTheme="minorHAnsi" w:hAnsiTheme="minorHAnsi" w:cstheme="minorHAnsi"/>
                <w:sz w:val="22"/>
                <w:szCs w:val="22"/>
                <w:lang w:eastAsia="en-IN"/>
              </w:rPr>
            </w:pPr>
            <w:r w:rsidRPr="003D5FB5">
              <w:rPr>
                <w:rFonts w:asciiTheme="minorHAnsi" w:hAnsiTheme="minorHAnsi" w:cstheme="minorHAnsi"/>
                <w:color w:val="000000"/>
                <w:kern w:val="2"/>
                <w:sz w:val="22"/>
                <w:szCs w:val="22"/>
                <w:lang w:eastAsia="en-IN"/>
              </w:rPr>
              <w:t>160.01</w:t>
            </w:r>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tcPr>
          <w:p w14:paraId="1E12C25E" w14:textId="77777777" w:rsidR="002F0A87" w:rsidRPr="003D5FB5" w:rsidRDefault="002F0A87" w:rsidP="002F0A87">
            <w:pPr>
              <w:tabs>
                <w:tab w:val="left" w:pos="426"/>
              </w:tabs>
              <w:spacing w:line="276" w:lineRule="auto"/>
              <w:ind w:right="-23"/>
              <w:jc w:val="center"/>
              <w:textAlignment w:val="center"/>
              <w:rPr>
                <w:rFonts w:asciiTheme="minorHAnsi" w:hAnsiTheme="minorHAnsi" w:cstheme="minorHAnsi"/>
                <w:sz w:val="22"/>
                <w:szCs w:val="22"/>
                <w:lang w:eastAsia="en-IN"/>
              </w:rPr>
            </w:pPr>
            <w:r w:rsidRPr="003D5FB5">
              <w:rPr>
                <w:rFonts w:asciiTheme="minorHAnsi" w:hAnsiTheme="minorHAnsi" w:cstheme="minorHAnsi"/>
                <w:color w:val="000000"/>
                <w:kern w:val="2"/>
                <w:sz w:val="22"/>
                <w:szCs w:val="22"/>
                <w:lang w:eastAsia="en-IN"/>
              </w:rPr>
              <w:t>6.22</w:t>
            </w:r>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tcPr>
          <w:p w14:paraId="50B7535C" w14:textId="77777777" w:rsidR="002F0A87" w:rsidRPr="003D5FB5" w:rsidRDefault="002F0A87" w:rsidP="002F0A87">
            <w:pPr>
              <w:tabs>
                <w:tab w:val="left" w:pos="426"/>
              </w:tabs>
              <w:spacing w:line="276" w:lineRule="auto"/>
              <w:ind w:right="-23"/>
              <w:jc w:val="center"/>
              <w:textAlignment w:val="center"/>
              <w:rPr>
                <w:rFonts w:asciiTheme="minorHAnsi" w:hAnsiTheme="minorHAnsi" w:cstheme="minorHAnsi"/>
                <w:sz w:val="22"/>
                <w:szCs w:val="22"/>
                <w:lang w:eastAsia="en-IN"/>
              </w:rPr>
            </w:pPr>
            <w:r w:rsidRPr="003D5FB5">
              <w:rPr>
                <w:rFonts w:asciiTheme="minorHAnsi" w:hAnsiTheme="minorHAnsi" w:cstheme="minorHAnsi"/>
                <w:color w:val="000000"/>
                <w:kern w:val="2"/>
                <w:sz w:val="22"/>
                <w:szCs w:val="22"/>
                <w:lang w:eastAsia="en-IN"/>
              </w:rPr>
              <w:t>1.05</w:t>
            </w:r>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tcPr>
          <w:p w14:paraId="2405C7A4" w14:textId="77777777" w:rsidR="002F0A87" w:rsidRPr="003D5FB5" w:rsidRDefault="002F0A87" w:rsidP="002F0A87">
            <w:pPr>
              <w:tabs>
                <w:tab w:val="left" w:pos="426"/>
              </w:tabs>
              <w:spacing w:line="276" w:lineRule="auto"/>
              <w:ind w:right="-23"/>
              <w:jc w:val="center"/>
              <w:textAlignment w:val="center"/>
              <w:rPr>
                <w:rFonts w:asciiTheme="minorHAnsi" w:hAnsiTheme="minorHAnsi" w:cstheme="minorHAnsi"/>
                <w:sz w:val="22"/>
                <w:szCs w:val="22"/>
                <w:lang w:eastAsia="en-IN"/>
              </w:rPr>
            </w:pPr>
            <w:r w:rsidRPr="003D5FB5">
              <w:rPr>
                <w:rFonts w:asciiTheme="minorHAnsi" w:hAnsiTheme="minorHAnsi" w:cstheme="minorHAnsi"/>
                <w:color w:val="000000"/>
                <w:kern w:val="2"/>
                <w:sz w:val="22"/>
                <w:szCs w:val="22"/>
                <w:lang w:eastAsia="en-IN"/>
              </w:rPr>
              <w:t>1.35</w:t>
            </w:r>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tcPr>
          <w:p w14:paraId="0CC8A28B" w14:textId="77777777" w:rsidR="002F0A87" w:rsidRPr="003D5FB5" w:rsidRDefault="002F0A87" w:rsidP="002F0A87">
            <w:pPr>
              <w:tabs>
                <w:tab w:val="left" w:pos="426"/>
              </w:tabs>
              <w:spacing w:line="276" w:lineRule="auto"/>
              <w:ind w:right="-23"/>
              <w:jc w:val="center"/>
              <w:textAlignment w:val="center"/>
              <w:rPr>
                <w:rFonts w:asciiTheme="minorHAnsi" w:hAnsiTheme="minorHAnsi" w:cstheme="minorHAnsi"/>
                <w:sz w:val="22"/>
                <w:szCs w:val="22"/>
                <w:lang w:eastAsia="en-IN"/>
              </w:rPr>
            </w:pPr>
            <w:r w:rsidRPr="003D5FB5">
              <w:rPr>
                <w:rFonts w:asciiTheme="minorHAnsi" w:hAnsiTheme="minorHAnsi" w:cstheme="minorHAnsi"/>
                <w:color w:val="000000"/>
                <w:kern w:val="2"/>
                <w:sz w:val="22"/>
                <w:szCs w:val="22"/>
                <w:lang w:eastAsia="en-IN"/>
              </w:rPr>
              <w:t>0.66</w:t>
            </w:r>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tcPr>
          <w:p w14:paraId="0810584F" w14:textId="77777777" w:rsidR="002F0A87" w:rsidRPr="003D5FB5" w:rsidRDefault="002F0A87" w:rsidP="002F0A87">
            <w:pPr>
              <w:tabs>
                <w:tab w:val="left" w:pos="426"/>
              </w:tabs>
              <w:spacing w:line="276" w:lineRule="auto"/>
              <w:ind w:right="-23"/>
              <w:jc w:val="center"/>
              <w:textAlignment w:val="center"/>
              <w:rPr>
                <w:rFonts w:asciiTheme="minorHAnsi" w:hAnsiTheme="minorHAnsi" w:cstheme="minorHAnsi"/>
                <w:sz w:val="22"/>
                <w:szCs w:val="22"/>
                <w:lang w:eastAsia="en-IN"/>
              </w:rPr>
            </w:pPr>
            <w:r w:rsidRPr="003D5FB5">
              <w:rPr>
                <w:rFonts w:asciiTheme="minorHAnsi" w:hAnsiTheme="minorHAnsi" w:cstheme="minorHAnsi"/>
                <w:color w:val="000000"/>
                <w:kern w:val="2"/>
                <w:sz w:val="22"/>
                <w:szCs w:val="22"/>
                <w:lang w:eastAsia="en-IN"/>
              </w:rPr>
              <w:t>9.28</w:t>
            </w:r>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tcPr>
          <w:p w14:paraId="76188FCF" w14:textId="77777777" w:rsidR="002F0A87" w:rsidRPr="003D5FB5" w:rsidRDefault="002F0A87" w:rsidP="002F0A87">
            <w:pPr>
              <w:tabs>
                <w:tab w:val="left" w:pos="426"/>
              </w:tabs>
              <w:spacing w:line="276" w:lineRule="auto"/>
              <w:ind w:right="-23"/>
              <w:jc w:val="center"/>
              <w:textAlignment w:val="center"/>
              <w:rPr>
                <w:rFonts w:asciiTheme="minorHAnsi" w:hAnsiTheme="minorHAnsi" w:cstheme="minorHAnsi"/>
                <w:sz w:val="22"/>
                <w:szCs w:val="22"/>
                <w:lang w:eastAsia="en-IN"/>
              </w:rPr>
            </w:pPr>
            <w:r w:rsidRPr="003D5FB5">
              <w:rPr>
                <w:rFonts w:asciiTheme="minorHAnsi" w:hAnsiTheme="minorHAnsi" w:cstheme="minorHAnsi"/>
                <w:color w:val="000000"/>
                <w:kern w:val="2"/>
                <w:sz w:val="22"/>
                <w:szCs w:val="22"/>
                <w:lang w:eastAsia="en-IN"/>
              </w:rPr>
              <w:t>3.95</w:t>
            </w:r>
          </w:p>
        </w:tc>
      </w:tr>
      <w:tr w:rsidR="002F0A87" w:rsidRPr="003D5FB5" w14:paraId="647AAD69" w14:textId="77777777" w:rsidTr="004B69C1">
        <w:trPr>
          <w:trHeight w:val="187"/>
        </w:trPr>
        <w:tc>
          <w:tcPr>
            <w:tcW w:w="0" w:type="auto"/>
            <w:tcBorders>
              <w:top w:val="single" w:sz="4" w:space="0" w:color="000000"/>
              <w:left w:val="single" w:sz="4" w:space="0" w:color="000000"/>
              <w:bottom w:val="single" w:sz="4" w:space="0" w:color="000000"/>
              <w:right w:val="single" w:sz="4" w:space="0" w:color="000000"/>
            </w:tcBorders>
            <w:shd w:val="clear" w:color="auto" w:fill="auto"/>
            <w:vAlign w:val="bottom"/>
          </w:tcPr>
          <w:p w14:paraId="0DD0434F" w14:textId="77777777" w:rsidR="002F0A87" w:rsidRPr="003D5FB5" w:rsidRDefault="002F0A87" w:rsidP="002F0A87">
            <w:pPr>
              <w:tabs>
                <w:tab w:val="left" w:pos="426"/>
              </w:tabs>
              <w:spacing w:line="276" w:lineRule="auto"/>
              <w:ind w:right="-23"/>
              <w:jc w:val="both"/>
              <w:textAlignment w:val="bottom"/>
              <w:rPr>
                <w:rFonts w:asciiTheme="minorHAnsi" w:hAnsiTheme="minorHAnsi" w:cstheme="minorHAnsi"/>
                <w:sz w:val="22"/>
                <w:szCs w:val="22"/>
                <w:lang w:eastAsia="en-IN"/>
              </w:rPr>
            </w:pPr>
            <w:proofErr w:type="spellStart"/>
            <w:r w:rsidRPr="003D5FB5">
              <w:rPr>
                <w:rFonts w:asciiTheme="minorHAnsi" w:hAnsiTheme="minorHAnsi" w:cstheme="minorHAnsi"/>
                <w:color w:val="000000"/>
                <w:kern w:val="2"/>
                <w:sz w:val="22"/>
                <w:szCs w:val="22"/>
                <w:lang w:eastAsia="en-IN"/>
              </w:rPr>
              <w:t>Keonjhar</w:t>
            </w:r>
            <w:proofErr w:type="spellEnd"/>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tcPr>
          <w:p w14:paraId="09B2F363" w14:textId="77777777" w:rsidR="002F0A87" w:rsidRPr="003D5FB5" w:rsidRDefault="002F0A87" w:rsidP="002F0A87">
            <w:pPr>
              <w:tabs>
                <w:tab w:val="left" w:pos="426"/>
              </w:tabs>
              <w:spacing w:line="276" w:lineRule="auto"/>
              <w:ind w:right="-23"/>
              <w:jc w:val="center"/>
              <w:textAlignment w:val="center"/>
              <w:rPr>
                <w:rFonts w:asciiTheme="minorHAnsi" w:hAnsiTheme="minorHAnsi" w:cstheme="minorHAnsi"/>
                <w:sz w:val="22"/>
                <w:szCs w:val="22"/>
                <w:lang w:eastAsia="en-IN"/>
              </w:rPr>
            </w:pPr>
            <w:r w:rsidRPr="003D5FB5">
              <w:rPr>
                <w:rFonts w:asciiTheme="minorHAnsi" w:hAnsiTheme="minorHAnsi" w:cstheme="minorHAnsi"/>
                <w:color w:val="000000"/>
                <w:kern w:val="2"/>
                <w:sz w:val="22"/>
                <w:szCs w:val="22"/>
                <w:lang w:eastAsia="en-IN"/>
              </w:rPr>
              <w:t>109.65</w:t>
            </w:r>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tcPr>
          <w:p w14:paraId="312FCD98" w14:textId="77777777" w:rsidR="002F0A87" w:rsidRPr="003D5FB5" w:rsidRDefault="002F0A87" w:rsidP="002F0A87">
            <w:pPr>
              <w:tabs>
                <w:tab w:val="left" w:pos="426"/>
              </w:tabs>
              <w:spacing w:line="276" w:lineRule="auto"/>
              <w:ind w:right="-23"/>
              <w:jc w:val="center"/>
              <w:textAlignment w:val="center"/>
              <w:rPr>
                <w:rFonts w:asciiTheme="minorHAnsi" w:hAnsiTheme="minorHAnsi" w:cstheme="minorHAnsi"/>
                <w:sz w:val="22"/>
                <w:szCs w:val="22"/>
                <w:lang w:eastAsia="en-IN"/>
              </w:rPr>
            </w:pPr>
            <w:r w:rsidRPr="003D5FB5">
              <w:rPr>
                <w:rFonts w:asciiTheme="minorHAnsi" w:hAnsiTheme="minorHAnsi" w:cstheme="minorHAnsi"/>
                <w:color w:val="000000"/>
                <w:kern w:val="2"/>
                <w:sz w:val="22"/>
                <w:szCs w:val="22"/>
                <w:lang w:eastAsia="en-IN"/>
              </w:rPr>
              <w:t>4.13</w:t>
            </w:r>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tcPr>
          <w:p w14:paraId="11EF15A4" w14:textId="77777777" w:rsidR="002F0A87" w:rsidRPr="003D5FB5" w:rsidRDefault="002F0A87" w:rsidP="002F0A87">
            <w:pPr>
              <w:tabs>
                <w:tab w:val="left" w:pos="426"/>
              </w:tabs>
              <w:spacing w:line="276" w:lineRule="auto"/>
              <w:ind w:right="-23"/>
              <w:jc w:val="center"/>
              <w:textAlignment w:val="center"/>
              <w:rPr>
                <w:rFonts w:asciiTheme="minorHAnsi" w:hAnsiTheme="minorHAnsi" w:cstheme="minorHAnsi"/>
                <w:sz w:val="22"/>
                <w:szCs w:val="22"/>
                <w:lang w:eastAsia="en-IN"/>
              </w:rPr>
            </w:pPr>
            <w:r w:rsidRPr="003D5FB5">
              <w:rPr>
                <w:rFonts w:asciiTheme="minorHAnsi" w:hAnsiTheme="minorHAnsi" w:cstheme="minorHAnsi"/>
                <w:color w:val="000000"/>
                <w:kern w:val="2"/>
                <w:sz w:val="22"/>
                <w:szCs w:val="22"/>
                <w:lang w:eastAsia="en-IN"/>
              </w:rPr>
              <w:t>0.61</w:t>
            </w:r>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tcPr>
          <w:p w14:paraId="1C1DEAC1" w14:textId="77777777" w:rsidR="002F0A87" w:rsidRPr="003D5FB5" w:rsidRDefault="002F0A87" w:rsidP="002F0A87">
            <w:pPr>
              <w:tabs>
                <w:tab w:val="left" w:pos="426"/>
              </w:tabs>
              <w:spacing w:line="276" w:lineRule="auto"/>
              <w:ind w:right="-23"/>
              <w:jc w:val="center"/>
              <w:textAlignment w:val="center"/>
              <w:rPr>
                <w:rFonts w:asciiTheme="minorHAnsi" w:hAnsiTheme="minorHAnsi" w:cstheme="minorHAnsi"/>
                <w:sz w:val="22"/>
                <w:szCs w:val="22"/>
                <w:lang w:eastAsia="en-IN"/>
              </w:rPr>
            </w:pPr>
            <w:r w:rsidRPr="003D5FB5">
              <w:rPr>
                <w:rFonts w:asciiTheme="minorHAnsi" w:hAnsiTheme="minorHAnsi" w:cstheme="minorHAnsi"/>
                <w:color w:val="000000"/>
                <w:kern w:val="2"/>
                <w:sz w:val="22"/>
                <w:szCs w:val="22"/>
                <w:lang w:eastAsia="en-IN"/>
              </w:rPr>
              <w:t>0.63</w:t>
            </w:r>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tcPr>
          <w:p w14:paraId="42C3AE1A" w14:textId="77777777" w:rsidR="002F0A87" w:rsidRPr="003D5FB5" w:rsidRDefault="002F0A87" w:rsidP="002F0A87">
            <w:pPr>
              <w:tabs>
                <w:tab w:val="left" w:pos="426"/>
              </w:tabs>
              <w:spacing w:line="276" w:lineRule="auto"/>
              <w:ind w:right="-23"/>
              <w:jc w:val="center"/>
              <w:textAlignment w:val="center"/>
              <w:rPr>
                <w:rFonts w:asciiTheme="minorHAnsi" w:hAnsiTheme="minorHAnsi" w:cstheme="minorHAnsi"/>
                <w:sz w:val="22"/>
                <w:szCs w:val="22"/>
                <w:lang w:eastAsia="en-IN"/>
              </w:rPr>
            </w:pPr>
            <w:r w:rsidRPr="003D5FB5">
              <w:rPr>
                <w:rFonts w:asciiTheme="minorHAnsi" w:hAnsiTheme="minorHAnsi" w:cstheme="minorHAnsi"/>
                <w:color w:val="000000"/>
                <w:kern w:val="2"/>
                <w:sz w:val="22"/>
                <w:szCs w:val="22"/>
                <w:lang w:eastAsia="en-IN"/>
              </w:rPr>
              <w:t>0.41</w:t>
            </w:r>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tcPr>
          <w:p w14:paraId="67FAF9EE" w14:textId="77777777" w:rsidR="002F0A87" w:rsidRPr="003D5FB5" w:rsidRDefault="002F0A87" w:rsidP="002F0A87">
            <w:pPr>
              <w:tabs>
                <w:tab w:val="left" w:pos="426"/>
              </w:tabs>
              <w:spacing w:line="276" w:lineRule="auto"/>
              <w:ind w:right="-23"/>
              <w:jc w:val="center"/>
              <w:textAlignment w:val="center"/>
              <w:rPr>
                <w:rFonts w:asciiTheme="minorHAnsi" w:hAnsiTheme="minorHAnsi" w:cstheme="minorHAnsi"/>
                <w:sz w:val="22"/>
                <w:szCs w:val="22"/>
                <w:lang w:eastAsia="en-IN"/>
              </w:rPr>
            </w:pPr>
            <w:r w:rsidRPr="003D5FB5">
              <w:rPr>
                <w:rFonts w:asciiTheme="minorHAnsi" w:hAnsiTheme="minorHAnsi" w:cstheme="minorHAnsi"/>
                <w:color w:val="000000"/>
                <w:kern w:val="2"/>
                <w:sz w:val="22"/>
                <w:szCs w:val="22"/>
                <w:lang w:eastAsia="en-IN"/>
              </w:rPr>
              <w:t>5.79</w:t>
            </w:r>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tcPr>
          <w:p w14:paraId="2252FB2D" w14:textId="77777777" w:rsidR="002F0A87" w:rsidRPr="003D5FB5" w:rsidRDefault="002F0A87" w:rsidP="002F0A87">
            <w:pPr>
              <w:tabs>
                <w:tab w:val="left" w:pos="426"/>
              </w:tabs>
              <w:spacing w:line="276" w:lineRule="auto"/>
              <w:ind w:right="-23"/>
              <w:jc w:val="center"/>
              <w:textAlignment w:val="center"/>
              <w:rPr>
                <w:rFonts w:asciiTheme="minorHAnsi" w:hAnsiTheme="minorHAnsi" w:cstheme="minorHAnsi"/>
                <w:sz w:val="22"/>
                <w:szCs w:val="22"/>
                <w:lang w:eastAsia="en-IN"/>
              </w:rPr>
            </w:pPr>
            <w:r w:rsidRPr="003D5FB5">
              <w:rPr>
                <w:rFonts w:asciiTheme="minorHAnsi" w:hAnsiTheme="minorHAnsi" w:cstheme="minorHAnsi"/>
                <w:color w:val="000000"/>
                <w:kern w:val="2"/>
                <w:sz w:val="22"/>
                <w:szCs w:val="22"/>
                <w:lang w:eastAsia="en-IN"/>
              </w:rPr>
              <w:t>4.11</w:t>
            </w:r>
          </w:p>
        </w:tc>
      </w:tr>
      <w:tr w:rsidR="002F0A87" w:rsidRPr="003D5FB5" w14:paraId="180B5393" w14:textId="77777777" w:rsidTr="004B69C1">
        <w:trPr>
          <w:trHeight w:val="33"/>
        </w:trPr>
        <w:tc>
          <w:tcPr>
            <w:tcW w:w="0" w:type="auto"/>
            <w:tcBorders>
              <w:top w:val="single" w:sz="4" w:space="0" w:color="000000"/>
              <w:left w:val="single" w:sz="4" w:space="0" w:color="000000"/>
              <w:bottom w:val="single" w:sz="4" w:space="0" w:color="000000"/>
              <w:right w:val="single" w:sz="4" w:space="0" w:color="000000"/>
            </w:tcBorders>
            <w:shd w:val="clear" w:color="auto" w:fill="auto"/>
            <w:vAlign w:val="bottom"/>
          </w:tcPr>
          <w:p w14:paraId="515B7A99" w14:textId="77777777" w:rsidR="002F0A87" w:rsidRPr="003D5FB5" w:rsidRDefault="002F0A87" w:rsidP="002F0A87">
            <w:pPr>
              <w:tabs>
                <w:tab w:val="left" w:pos="426"/>
              </w:tabs>
              <w:spacing w:line="276" w:lineRule="auto"/>
              <w:ind w:right="-23"/>
              <w:jc w:val="both"/>
              <w:textAlignment w:val="bottom"/>
              <w:rPr>
                <w:rFonts w:asciiTheme="minorHAnsi" w:hAnsiTheme="minorHAnsi" w:cstheme="minorHAnsi"/>
                <w:sz w:val="22"/>
                <w:szCs w:val="22"/>
                <w:lang w:eastAsia="en-IN"/>
              </w:rPr>
            </w:pPr>
            <w:r w:rsidRPr="003D5FB5">
              <w:rPr>
                <w:rFonts w:asciiTheme="minorHAnsi" w:hAnsiTheme="minorHAnsi" w:cstheme="minorHAnsi"/>
                <w:b/>
                <w:bCs/>
                <w:color w:val="000000"/>
                <w:kern w:val="2"/>
                <w:sz w:val="22"/>
                <w:szCs w:val="22"/>
                <w:lang w:eastAsia="en-IN"/>
              </w:rPr>
              <w:t>TPNODL</w:t>
            </w:r>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tcPr>
          <w:p w14:paraId="3D7B172C" w14:textId="77777777" w:rsidR="002F0A87" w:rsidRPr="003D5FB5" w:rsidRDefault="002F0A87" w:rsidP="002F0A87">
            <w:pPr>
              <w:tabs>
                <w:tab w:val="left" w:pos="426"/>
              </w:tabs>
              <w:spacing w:line="276" w:lineRule="auto"/>
              <w:ind w:right="-23"/>
              <w:jc w:val="center"/>
              <w:textAlignment w:val="center"/>
              <w:rPr>
                <w:rFonts w:asciiTheme="minorHAnsi" w:hAnsiTheme="minorHAnsi" w:cstheme="minorHAnsi"/>
                <w:sz w:val="22"/>
                <w:szCs w:val="22"/>
                <w:lang w:eastAsia="en-IN"/>
              </w:rPr>
            </w:pPr>
            <w:r w:rsidRPr="003D5FB5">
              <w:rPr>
                <w:rFonts w:asciiTheme="minorHAnsi" w:hAnsiTheme="minorHAnsi" w:cstheme="minorHAnsi"/>
                <w:b/>
                <w:bCs/>
                <w:color w:val="000000"/>
                <w:kern w:val="2"/>
                <w:sz w:val="22"/>
                <w:szCs w:val="22"/>
                <w:lang w:eastAsia="en-IN"/>
              </w:rPr>
              <w:t>739.07</w:t>
            </w:r>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tcPr>
          <w:p w14:paraId="3634D9C9" w14:textId="77777777" w:rsidR="002F0A87" w:rsidRPr="003D5FB5" w:rsidRDefault="002F0A87" w:rsidP="002F0A87">
            <w:pPr>
              <w:tabs>
                <w:tab w:val="left" w:pos="426"/>
              </w:tabs>
              <w:spacing w:line="276" w:lineRule="auto"/>
              <w:ind w:right="-23"/>
              <w:jc w:val="center"/>
              <w:textAlignment w:val="center"/>
              <w:rPr>
                <w:rFonts w:asciiTheme="minorHAnsi" w:hAnsiTheme="minorHAnsi" w:cstheme="minorHAnsi"/>
                <w:sz w:val="22"/>
                <w:szCs w:val="22"/>
                <w:lang w:eastAsia="en-IN"/>
              </w:rPr>
            </w:pPr>
            <w:r w:rsidRPr="003D5FB5">
              <w:rPr>
                <w:rFonts w:asciiTheme="minorHAnsi" w:hAnsiTheme="minorHAnsi" w:cstheme="minorHAnsi"/>
                <w:b/>
                <w:bCs/>
                <w:color w:val="000000"/>
                <w:kern w:val="2"/>
                <w:sz w:val="22"/>
                <w:szCs w:val="22"/>
                <w:lang w:eastAsia="en-IN"/>
              </w:rPr>
              <w:t>37.26</w:t>
            </w:r>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tcPr>
          <w:p w14:paraId="2493D5F4" w14:textId="77777777" w:rsidR="002F0A87" w:rsidRPr="003D5FB5" w:rsidRDefault="002F0A87" w:rsidP="002F0A87">
            <w:pPr>
              <w:tabs>
                <w:tab w:val="left" w:pos="426"/>
              </w:tabs>
              <w:spacing w:line="276" w:lineRule="auto"/>
              <w:ind w:right="-23"/>
              <w:jc w:val="center"/>
              <w:textAlignment w:val="center"/>
              <w:rPr>
                <w:rFonts w:asciiTheme="minorHAnsi" w:hAnsiTheme="minorHAnsi" w:cstheme="minorHAnsi"/>
                <w:sz w:val="22"/>
                <w:szCs w:val="22"/>
                <w:lang w:eastAsia="en-IN"/>
              </w:rPr>
            </w:pPr>
            <w:r w:rsidRPr="003D5FB5">
              <w:rPr>
                <w:rFonts w:asciiTheme="minorHAnsi" w:hAnsiTheme="minorHAnsi" w:cstheme="minorHAnsi"/>
                <w:b/>
                <w:bCs/>
                <w:color w:val="000000"/>
                <w:kern w:val="2"/>
                <w:sz w:val="22"/>
                <w:szCs w:val="22"/>
                <w:lang w:eastAsia="en-IN"/>
              </w:rPr>
              <w:t>4.68</w:t>
            </w:r>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tcPr>
          <w:p w14:paraId="5683B4A0" w14:textId="77777777" w:rsidR="002F0A87" w:rsidRPr="003D5FB5" w:rsidRDefault="002F0A87" w:rsidP="002F0A87">
            <w:pPr>
              <w:tabs>
                <w:tab w:val="left" w:pos="426"/>
              </w:tabs>
              <w:spacing w:line="276" w:lineRule="auto"/>
              <w:ind w:right="-23"/>
              <w:jc w:val="center"/>
              <w:textAlignment w:val="center"/>
              <w:rPr>
                <w:rFonts w:asciiTheme="minorHAnsi" w:hAnsiTheme="minorHAnsi" w:cstheme="minorHAnsi"/>
                <w:sz w:val="22"/>
                <w:szCs w:val="22"/>
                <w:lang w:eastAsia="en-IN"/>
              </w:rPr>
            </w:pPr>
            <w:r w:rsidRPr="003D5FB5">
              <w:rPr>
                <w:rFonts w:asciiTheme="minorHAnsi" w:hAnsiTheme="minorHAnsi" w:cstheme="minorHAnsi"/>
                <w:b/>
                <w:bCs/>
                <w:color w:val="000000"/>
                <w:kern w:val="2"/>
                <w:sz w:val="22"/>
                <w:szCs w:val="22"/>
                <w:lang w:eastAsia="en-IN"/>
              </w:rPr>
              <w:t>6.00</w:t>
            </w:r>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tcPr>
          <w:p w14:paraId="15B546CD" w14:textId="77777777" w:rsidR="002F0A87" w:rsidRPr="003D5FB5" w:rsidRDefault="002F0A87" w:rsidP="002F0A87">
            <w:pPr>
              <w:tabs>
                <w:tab w:val="left" w:pos="426"/>
              </w:tabs>
              <w:spacing w:line="276" w:lineRule="auto"/>
              <w:ind w:right="-23"/>
              <w:jc w:val="center"/>
              <w:textAlignment w:val="center"/>
              <w:rPr>
                <w:rFonts w:asciiTheme="minorHAnsi" w:hAnsiTheme="minorHAnsi" w:cstheme="minorHAnsi"/>
                <w:sz w:val="22"/>
                <w:szCs w:val="22"/>
                <w:lang w:eastAsia="en-IN"/>
              </w:rPr>
            </w:pPr>
            <w:r w:rsidRPr="003D5FB5">
              <w:rPr>
                <w:rFonts w:asciiTheme="minorHAnsi" w:hAnsiTheme="minorHAnsi" w:cstheme="minorHAnsi"/>
                <w:b/>
                <w:bCs/>
                <w:color w:val="000000"/>
                <w:kern w:val="2"/>
                <w:sz w:val="22"/>
                <w:szCs w:val="22"/>
                <w:lang w:eastAsia="en-IN"/>
              </w:rPr>
              <w:t>3.68</w:t>
            </w:r>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tcPr>
          <w:p w14:paraId="6669F6CB" w14:textId="77777777" w:rsidR="002F0A87" w:rsidRPr="003D5FB5" w:rsidRDefault="002F0A87" w:rsidP="002F0A87">
            <w:pPr>
              <w:tabs>
                <w:tab w:val="left" w:pos="426"/>
              </w:tabs>
              <w:spacing w:line="276" w:lineRule="auto"/>
              <w:ind w:right="-23"/>
              <w:jc w:val="center"/>
              <w:textAlignment w:val="center"/>
              <w:rPr>
                <w:rFonts w:asciiTheme="minorHAnsi" w:hAnsiTheme="minorHAnsi" w:cstheme="minorHAnsi"/>
                <w:sz w:val="22"/>
                <w:szCs w:val="22"/>
                <w:lang w:eastAsia="en-IN"/>
              </w:rPr>
            </w:pPr>
            <w:r w:rsidRPr="003D5FB5">
              <w:rPr>
                <w:rFonts w:asciiTheme="minorHAnsi" w:hAnsiTheme="minorHAnsi" w:cstheme="minorHAnsi"/>
                <w:b/>
                <w:bCs/>
                <w:color w:val="000000"/>
                <w:kern w:val="2"/>
                <w:sz w:val="22"/>
                <w:szCs w:val="22"/>
                <w:lang w:eastAsia="en-IN"/>
              </w:rPr>
              <w:t>51.62</w:t>
            </w:r>
          </w:p>
        </w:tc>
        <w:tc>
          <w:tcPr>
            <w:tcW w:w="0" w:type="auto"/>
            <w:tcBorders>
              <w:top w:val="single" w:sz="4" w:space="0" w:color="000000"/>
              <w:left w:val="single" w:sz="4" w:space="0" w:color="000000"/>
              <w:bottom w:val="single" w:sz="4" w:space="0" w:color="000000"/>
              <w:right w:val="single" w:sz="4" w:space="0" w:color="000000"/>
            </w:tcBorders>
            <w:shd w:val="clear" w:color="auto" w:fill="auto"/>
            <w:vAlign w:val="center"/>
          </w:tcPr>
          <w:p w14:paraId="0A2DBF2A" w14:textId="77777777" w:rsidR="002F0A87" w:rsidRPr="003D5FB5" w:rsidRDefault="002F0A87" w:rsidP="002F0A87">
            <w:pPr>
              <w:tabs>
                <w:tab w:val="left" w:pos="426"/>
              </w:tabs>
              <w:spacing w:line="276" w:lineRule="auto"/>
              <w:ind w:right="-23"/>
              <w:jc w:val="center"/>
              <w:textAlignment w:val="center"/>
              <w:rPr>
                <w:rFonts w:asciiTheme="minorHAnsi" w:hAnsiTheme="minorHAnsi" w:cstheme="minorHAnsi"/>
                <w:sz w:val="22"/>
                <w:szCs w:val="22"/>
                <w:lang w:eastAsia="en-IN"/>
              </w:rPr>
            </w:pPr>
            <w:r w:rsidRPr="003D5FB5">
              <w:rPr>
                <w:rFonts w:asciiTheme="minorHAnsi" w:hAnsiTheme="minorHAnsi" w:cstheme="minorHAnsi"/>
                <w:b/>
                <w:bCs/>
                <w:color w:val="000000"/>
                <w:kern w:val="2"/>
                <w:sz w:val="22"/>
                <w:szCs w:val="22"/>
                <w:lang w:eastAsia="en-IN"/>
              </w:rPr>
              <w:t>4.83</w:t>
            </w:r>
          </w:p>
        </w:tc>
      </w:tr>
    </w:tbl>
    <w:p w14:paraId="0591F36A" w14:textId="77777777" w:rsidR="002F0A87" w:rsidRPr="003D5FB5" w:rsidRDefault="002F0A87" w:rsidP="002F0A87">
      <w:pPr>
        <w:tabs>
          <w:tab w:val="left" w:pos="426"/>
        </w:tabs>
        <w:spacing w:line="360" w:lineRule="auto"/>
        <w:ind w:right="-23"/>
        <w:jc w:val="center"/>
        <w:rPr>
          <w:rFonts w:asciiTheme="minorHAnsi" w:hAnsiTheme="minorHAnsi" w:cstheme="minorHAnsi"/>
          <w:b/>
          <w:bCs/>
          <w:color w:val="000000"/>
          <w:kern w:val="2"/>
          <w:sz w:val="22"/>
          <w:szCs w:val="22"/>
          <w:lang w:eastAsia="en-IN"/>
        </w:rPr>
      </w:pPr>
    </w:p>
    <w:p w14:paraId="4B33E826" w14:textId="4CBB0F92" w:rsidR="002F0A87" w:rsidRPr="003D5FB5" w:rsidRDefault="002F0A87" w:rsidP="002F0A87">
      <w:pPr>
        <w:tabs>
          <w:tab w:val="left" w:pos="426"/>
        </w:tabs>
        <w:spacing w:line="360" w:lineRule="auto"/>
        <w:ind w:right="-23"/>
        <w:jc w:val="center"/>
        <w:rPr>
          <w:rStyle w:val="normaltextrun"/>
          <w:rFonts w:asciiTheme="minorHAnsi" w:hAnsiTheme="minorHAnsi" w:cstheme="minorHAnsi"/>
          <w:sz w:val="22"/>
          <w:szCs w:val="22"/>
        </w:rPr>
      </w:pPr>
      <w:r w:rsidRPr="003D5FB5">
        <w:rPr>
          <w:rFonts w:asciiTheme="minorHAnsi" w:hAnsiTheme="minorHAnsi" w:cstheme="minorHAnsi"/>
          <w:b/>
          <w:bCs/>
          <w:color w:val="000000"/>
          <w:kern w:val="2"/>
          <w:sz w:val="22"/>
          <w:szCs w:val="22"/>
          <w:lang w:eastAsia="en-IN"/>
        </w:rPr>
        <w:t>Table-2</w:t>
      </w:r>
      <w:r w:rsidR="004B69C1">
        <w:rPr>
          <w:rFonts w:asciiTheme="minorHAnsi" w:hAnsiTheme="minorHAnsi" w:cstheme="minorHAnsi"/>
          <w:b/>
          <w:bCs/>
          <w:color w:val="000000"/>
          <w:kern w:val="2"/>
          <w:sz w:val="22"/>
          <w:szCs w:val="22"/>
          <w:lang w:eastAsia="en-IN"/>
        </w:rPr>
        <w:t>7</w:t>
      </w:r>
      <w:r w:rsidRPr="003D5FB5">
        <w:rPr>
          <w:rFonts w:asciiTheme="minorHAnsi" w:hAnsiTheme="minorHAnsi" w:cstheme="minorHAnsi"/>
          <w:b/>
          <w:bCs/>
          <w:color w:val="000000"/>
          <w:kern w:val="2"/>
          <w:sz w:val="22"/>
          <w:szCs w:val="22"/>
          <w:lang w:eastAsia="en-IN"/>
        </w:rPr>
        <w:t>(b): TPNODL 11 KV Technical Loss Assessment FY23</w:t>
      </w:r>
    </w:p>
    <w:tbl>
      <w:tblPr>
        <w:tblW w:w="9998" w:type="dxa"/>
        <w:tblLayout w:type="fixed"/>
        <w:tblCellMar>
          <w:top w:w="15" w:type="dxa"/>
          <w:left w:w="15" w:type="dxa"/>
          <w:right w:w="15" w:type="dxa"/>
        </w:tblCellMar>
        <w:tblLook w:val="0600" w:firstRow="0" w:lastRow="0" w:firstColumn="0" w:lastColumn="0" w:noHBand="1" w:noVBand="1"/>
      </w:tblPr>
      <w:tblGrid>
        <w:gridCol w:w="1339"/>
        <w:gridCol w:w="1213"/>
        <w:gridCol w:w="1205"/>
        <w:gridCol w:w="1357"/>
        <w:gridCol w:w="1355"/>
        <w:gridCol w:w="1575"/>
        <w:gridCol w:w="854"/>
        <w:gridCol w:w="1100"/>
      </w:tblGrid>
      <w:tr w:rsidR="002F0A87" w:rsidRPr="003D5FB5" w14:paraId="6BB52EC2" w14:textId="77777777" w:rsidTr="004B69C1">
        <w:trPr>
          <w:trHeight w:val="1025"/>
        </w:trPr>
        <w:tc>
          <w:tcPr>
            <w:tcW w:w="1339" w:type="dxa"/>
            <w:tcBorders>
              <w:top w:val="single" w:sz="8" w:space="0" w:color="000000"/>
              <w:left w:val="single" w:sz="8" w:space="0" w:color="000000"/>
              <w:bottom w:val="single" w:sz="8" w:space="0" w:color="000000"/>
              <w:right w:val="single" w:sz="4" w:space="0" w:color="000000"/>
            </w:tcBorders>
            <w:shd w:val="clear" w:color="auto" w:fill="95B3D7" w:themeFill="accent1" w:themeFillTint="99"/>
            <w:vAlign w:val="center"/>
          </w:tcPr>
          <w:p w14:paraId="215DCDF4" w14:textId="77777777" w:rsidR="002F0A87" w:rsidRPr="003D5FB5" w:rsidRDefault="002F0A87" w:rsidP="002F0A87">
            <w:pPr>
              <w:tabs>
                <w:tab w:val="left" w:pos="426"/>
              </w:tabs>
              <w:spacing w:line="360" w:lineRule="auto"/>
              <w:ind w:right="-23"/>
              <w:jc w:val="center"/>
              <w:textAlignment w:val="center"/>
              <w:rPr>
                <w:rFonts w:asciiTheme="minorHAnsi" w:hAnsiTheme="minorHAnsi" w:cstheme="minorHAnsi"/>
                <w:sz w:val="22"/>
                <w:szCs w:val="22"/>
                <w:lang w:eastAsia="en-IN"/>
              </w:rPr>
            </w:pPr>
            <w:r w:rsidRPr="003D5FB5">
              <w:rPr>
                <w:rFonts w:asciiTheme="minorHAnsi" w:hAnsiTheme="minorHAnsi" w:cstheme="minorHAnsi"/>
                <w:b/>
                <w:bCs/>
                <w:color w:val="000000"/>
                <w:kern w:val="2"/>
                <w:sz w:val="22"/>
                <w:szCs w:val="22"/>
                <w:lang w:eastAsia="en-IN"/>
              </w:rPr>
              <w:t>Circle</w:t>
            </w:r>
          </w:p>
        </w:tc>
        <w:tc>
          <w:tcPr>
            <w:tcW w:w="1213" w:type="dxa"/>
            <w:tcBorders>
              <w:top w:val="single" w:sz="8" w:space="0" w:color="000000"/>
              <w:left w:val="single" w:sz="4" w:space="0" w:color="000000"/>
              <w:bottom w:val="single" w:sz="8" w:space="0" w:color="000000"/>
              <w:right w:val="single" w:sz="4" w:space="0" w:color="000000"/>
            </w:tcBorders>
            <w:shd w:val="clear" w:color="auto" w:fill="95B3D7" w:themeFill="accent1" w:themeFillTint="99"/>
            <w:vAlign w:val="center"/>
          </w:tcPr>
          <w:p w14:paraId="26B2BC72" w14:textId="77777777" w:rsidR="002F0A87" w:rsidRPr="003D5FB5" w:rsidRDefault="002F0A87" w:rsidP="002F0A87">
            <w:pPr>
              <w:tabs>
                <w:tab w:val="left" w:pos="426"/>
              </w:tabs>
              <w:spacing w:line="360" w:lineRule="auto"/>
              <w:ind w:right="-23"/>
              <w:jc w:val="center"/>
              <w:textAlignment w:val="center"/>
              <w:rPr>
                <w:rFonts w:asciiTheme="minorHAnsi" w:hAnsiTheme="minorHAnsi" w:cstheme="minorHAnsi"/>
                <w:sz w:val="22"/>
                <w:szCs w:val="22"/>
                <w:lang w:eastAsia="en-IN"/>
              </w:rPr>
            </w:pPr>
            <w:r w:rsidRPr="003D5FB5">
              <w:rPr>
                <w:rFonts w:asciiTheme="minorHAnsi" w:hAnsiTheme="minorHAnsi" w:cstheme="minorHAnsi"/>
                <w:b/>
                <w:bCs/>
                <w:color w:val="000000"/>
                <w:kern w:val="2"/>
                <w:sz w:val="22"/>
                <w:szCs w:val="22"/>
                <w:lang w:eastAsia="en-IN"/>
              </w:rPr>
              <w:t>Peak load</w:t>
            </w:r>
            <w:r w:rsidRPr="003D5FB5">
              <w:rPr>
                <w:rFonts w:asciiTheme="minorHAnsi" w:hAnsiTheme="minorHAnsi" w:cstheme="minorHAnsi"/>
                <w:b/>
                <w:bCs/>
                <w:color w:val="000000"/>
                <w:kern w:val="2"/>
                <w:sz w:val="22"/>
                <w:szCs w:val="22"/>
                <w:lang w:eastAsia="en-IN"/>
              </w:rPr>
              <w:br/>
              <w:t>(MW)</w:t>
            </w:r>
          </w:p>
        </w:tc>
        <w:tc>
          <w:tcPr>
            <w:tcW w:w="1205" w:type="dxa"/>
            <w:tcBorders>
              <w:top w:val="single" w:sz="8" w:space="0" w:color="000000"/>
              <w:left w:val="single" w:sz="4" w:space="0" w:color="000000"/>
              <w:bottom w:val="single" w:sz="8" w:space="0" w:color="000000"/>
              <w:right w:val="single" w:sz="4" w:space="0" w:color="000000"/>
            </w:tcBorders>
            <w:shd w:val="clear" w:color="auto" w:fill="95B3D7" w:themeFill="accent1" w:themeFillTint="99"/>
            <w:vAlign w:val="center"/>
          </w:tcPr>
          <w:p w14:paraId="31F41ABC" w14:textId="77777777" w:rsidR="002F0A87" w:rsidRPr="003D5FB5" w:rsidRDefault="002F0A87" w:rsidP="002F0A87">
            <w:pPr>
              <w:tabs>
                <w:tab w:val="left" w:pos="426"/>
              </w:tabs>
              <w:spacing w:line="360" w:lineRule="auto"/>
              <w:ind w:right="-23"/>
              <w:jc w:val="center"/>
              <w:textAlignment w:val="center"/>
              <w:rPr>
                <w:rFonts w:asciiTheme="minorHAnsi" w:hAnsiTheme="minorHAnsi" w:cstheme="minorHAnsi"/>
                <w:sz w:val="22"/>
                <w:szCs w:val="22"/>
                <w:lang w:eastAsia="en-IN"/>
              </w:rPr>
            </w:pPr>
            <w:r w:rsidRPr="003D5FB5">
              <w:rPr>
                <w:rFonts w:asciiTheme="minorHAnsi" w:hAnsiTheme="minorHAnsi" w:cstheme="minorHAnsi"/>
                <w:b/>
                <w:bCs/>
                <w:color w:val="000000"/>
                <w:kern w:val="2"/>
                <w:sz w:val="22"/>
                <w:szCs w:val="22"/>
                <w:lang w:eastAsia="en-IN"/>
              </w:rPr>
              <w:t>Line Loss (MW)</w:t>
            </w:r>
          </w:p>
        </w:tc>
        <w:tc>
          <w:tcPr>
            <w:tcW w:w="1357" w:type="dxa"/>
            <w:tcBorders>
              <w:top w:val="single" w:sz="8" w:space="0" w:color="000000"/>
              <w:left w:val="single" w:sz="4" w:space="0" w:color="000000"/>
              <w:bottom w:val="single" w:sz="8" w:space="0" w:color="000000"/>
              <w:right w:val="single" w:sz="4" w:space="0" w:color="000000"/>
            </w:tcBorders>
            <w:shd w:val="clear" w:color="auto" w:fill="95B3D7" w:themeFill="accent1" w:themeFillTint="99"/>
            <w:vAlign w:val="center"/>
          </w:tcPr>
          <w:p w14:paraId="7CB27669" w14:textId="77777777" w:rsidR="002F0A87" w:rsidRPr="003D5FB5" w:rsidRDefault="002F0A87" w:rsidP="002F0A87">
            <w:pPr>
              <w:tabs>
                <w:tab w:val="left" w:pos="426"/>
              </w:tabs>
              <w:spacing w:line="360" w:lineRule="auto"/>
              <w:ind w:right="-23"/>
              <w:jc w:val="center"/>
              <w:textAlignment w:val="center"/>
              <w:rPr>
                <w:rFonts w:asciiTheme="minorHAnsi" w:hAnsiTheme="minorHAnsi" w:cstheme="minorHAnsi"/>
                <w:sz w:val="22"/>
                <w:szCs w:val="22"/>
                <w:lang w:eastAsia="en-IN"/>
              </w:rPr>
            </w:pPr>
            <w:proofErr w:type="spellStart"/>
            <w:r w:rsidRPr="003D5FB5">
              <w:rPr>
                <w:rFonts w:asciiTheme="minorHAnsi" w:hAnsiTheme="minorHAnsi" w:cstheme="minorHAnsi"/>
                <w:b/>
                <w:bCs/>
                <w:color w:val="000000"/>
                <w:kern w:val="2"/>
                <w:sz w:val="22"/>
                <w:szCs w:val="22"/>
                <w:lang w:eastAsia="en-IN"/>
              </w:rPr>
              <w:t>Trf</w:t>
            </w:r>
            <w:proofErr w:type="spellEnd"/>
            <w:r w:rsidRPr="003D5FB5">
              <w:rPr>
                <w:rFonts w:asciiTheme="minorHAnsi" w:hAnsiTheme="minorHAnsi" w:cstheme="minorHAnsi"/>
                <w:b/>
                <w:bCs/>
                <w:color w:val="000000"/>
                <w:kern w:val="2"/>
                <w:sz w:val="22"/>
                <w:szCs w:val="22"/>
                <w:lang w:eastAsia="en-IN"/>
              </w:rPr>
              <w:t>.</w:t>
            </w:r>
            <w:r w:rsidRPr="003D5FB5">
              <w:rPr>
                <w:rFonts w:asciiTheme="minorHAnsi" w:hAnsiTheme="minorHAnsi" w:cstheme="minorHAnsi"/>
                <w:b/>
                <w:bCs/>
                <w:color w:val="000000"/>
                <w:kern w:val="2"/>
                <w:sz w:val="22"/>
                <w:szCs w:val="22"/>
                <w:lang w:eastAsia="en-IN"/>
              </w:rPr>
              <w:br/>
              <w:t>(No Load Loss)</w:t>
            </w:r>
            <w:r w:rsidRPr="003D5FB5">
              <w:rPr>
                <w:rFonts w:asciiTheme="minorHAnsi" w:hAnsiTheme="minorHAnsi" w:cstheme="minorHAnsi"/>
                <w:b/>
                <w:bCs/>
                <w:color w:val="000000"/>
                <w:kern w:val="2"/>
                <w:sz w:val="22"/>
                <w:szCs w:val="22"/>
                <w:lang w:eastAsia="en-IN"/>
              </w:rPr>
              <w:br/>
              <w:t>(MW)</w:t>
            </w:r>
          </w:p>
        </w:tc>
        <w:tc>
          <w:tcPr>
            <w:tcW w:w="1355" w:type="dxa"/>
            <w:tcBorders>
              <w:top w:val="single" w:sz="8" w:space="0" w:color="000000"/>
              <w:left w:val="single" w:sz="4" w:space="0" w:color="000000"/>
              <w:bottom w:val="single" w:sz="8" w:space="0" w:color="000000"/>
              <w:right w:val="single" w:sz="4" w:space="0" w:color="000000"/>
            </w:tcBorders>
            <w:shd w:val="clear" w:color="auto" w:fill="95B3D7" w:themeFill="accent1" w:themeFillTint="99"/>
            <w:vAlign w:val="center"/>
          </w:tcPr>
          <w:p w14:paraId="65758B5C" w14:textId="77777777" w:rsidR="002F0A87" w:rsidRPr="003D5FB5" w:rsidRDefault="002F0A87" w:rsidP="002F0A87">
            <w:pPr>
              <w:tabs>
                <w:tab w:val="left" w:pos="426"/>
              </w:tabs>
              <w:spacing w:line="360" w:lineRule="auto"/>
              <w:ind w:right="-23"/>
              <w:jc w:val="center"/>
              <w:textAlignment w:val="center"/>
              <w:rPr>
                <w:rFonts w:asciiTheme="minorHAnsi" w:hAnsiTheme="minorHAnsi" w:cstheme="minorHAnsi"/>
                <w:sz w:val="22"/>
                <w:szCs w:val="22"/>
                <w:lang w:eastAsia="en-IN"/>
              </w:rPr>
            </w:pPr>
            <w:proofErr w:type="spellStart"/>
            <w:r w:rsidRPr="003D5FB5">
              <w:rPr>
                <w:rFonts w:asciiTheme="minorHAnsi" w:hAnsiTheme="minorHAnsi" w:cstheme="minorHAnsi"/>
                <w:b/>
                <w:bCs/>
                <w:color w:val="000000"/>
                <w:kern w:val="2"/>
                <w:sz w:val="22"/>
                <w:szCs w:val="22"/>
                <w:lang w:eastAsia="en-IN"/>
              </w:rPr>
              <w:t>Trf</w:t>
            </w:r>
            <w:proofErr w:type="spellEnd"/>
            <w:r w:rsidRPr="003D5FB5">
              <w:rPr>
                <w:rFonts w:asciiTheme="minorHAnsi" w:hAnsiTheme="minorHAnsi" w:cstheme="minorHAnsi"/>
                <w:b/>
                <w:bCs/>
                <w:color w:val="000000"/>
                <w:kern w:val="2"/>
                <w:sz w:val="22"/>
                <w:szCs w:val="22"/>
                <w:lang w:eastAsia="en-IN"/>
              </w:rPr>
              <w:t>.</w:t>
            </w:r>
            <w:r w:rsidRPr="003D5FB5">
              <w:rPr>
                <w:rFonts w:asciiTheme="minorHAnsi" w:hAnsiTheme="minorHAnsi" w:cstheme="minorHAnsi"/>
                <w:b/>
                <w:bCs/>
                <w:color w:val="000000"/>
                <w:kern w:val="2"/>
                <w:sz w:val="22"/>
                <w:szCs w:val="22"/>
                <w:lang w:eastAsia="en-IN"/>
              </w:rPr>
              <w:br/>
              <w:t>(Load Loss)</w:t>
            </w:r>
            <w:r w:rsidRPr="003D5FB5">
              <w:rPr>
                <w:rFonts w:asciiTheme="minorHAnsi" w:hAnsiTheme="minorHAnsi" w:cstheme="minorHAnsi"/>
                <w:b/>
                <w:bCs/>
                <w:color w:val="000000"/>
                <w:kern w:val="2"/>
                <w:sz w:val="22"/>
                <w:szCs w:val="22"/>
                <w:lang w:eastAsia="en-IN"/>
              </w:rPr>
              <w:br/>
              <w:t>(MW)</w:t>
            </w:r>
          </w:p>
        </w:tc>
        <w:tc>
          <w:tcPr>
            <w:tcW w:w="1575" w:type="dxa"/>
            <w:tcBorders>
              <w:top w:val="single" w:sz="8" w:space="0" w:color="000000"/>
              <w:left w:val="single" w:sz="4" w:space="0" w:color="000000"/>
              <w:bottom w:val="single" w:sz="8" w:space="0" w:color="000000"/>
              <w:right w:val="single" w:sz="4" w:space="0" w:color="000000"/>
            </w:tcBorders>
            <w:shd w:val="clear" w:color="auto" w:fill="95B3D7" w:themeFill="accent1" w:themeFillTint="99"/>
            <w:vAlign w:val="center"/>
          </w:tcPr>
          <w:p w14:paraId="697033F1" w14:textId="77777777" w:rsidR="002F0A87" w:rsidRPr="003D5FB5" w:rsidRDefault="002F0A87" w:rsidP="002F0A87">
            <w:pPr>
              <w:tabs>
                <w:tab w:val="left" w:pos="426"/>
              </w:tabs>
              <w:spacing w:line="360" w:lineRule="auto"/>
              <w:ind w:right="-23"/>
              <w:jc w:val="center"/>
              <w:textAlignment w:val="center"/>
              <w:rPr>
                <w:rFonts w:asciiTheme="minorHAnsi" w:hAnsiTheme="minorHAnsi" w:cstheme="minorHAnsi"/>
                <w:sz w:val="22"/>
                <w:szCs w:val="22"/>
                <w:lang w:eastAsia="en-IN"/>
              </w:rPr>
            </w:pPr>
            <w:r w:rsidRPr="003D5FB5">
              <w:rPr>
                <w:rFonts w:asciiTheme="minorHAnsi" w:hAnsiTheme="minorHAnsi" w:cstheme="minorHAnsi"/>
                <w:b/>
                <w:bCs/>
                <w:color w:val="000000"/>
                <w:kern w:val="2"/>
                <w:sz w:val="22"/>
                <w:szCs w:val="22"/>
                <w:lang w:eastAsia="en-IN"/>
              </w:rPr>
              <w:t>Distributed loss @ 7.68%</w:t>
            </w:r>
            <w:r w:rsidRPr="003D5FB5">
              <w:rPr>
                <w:rFonts w:asciiTheme="minorHAnsi" w:hAnsiTheme="minorHAnsi" w:cstheme="minorHAnsi"/>
                <w:b/>
                <w:bCs/>
                <w:color w:val="000000"/>
                <w:kern w:val="2"/>
                <w:sz w:val="22"/>
                <w:szCs w:val="22"/>
                <w:lang w:eastAsia="en-IN"/>
              </w:rPr>
              <w:br/>
              <w:t>(MW)</w:t>
            </w:r>
          </w:p>
        </w:tc>
        <w:tc>
          <w:tcPr>
            <w:tcW w:w="854" w:type="dxa"/>
            <w:tcBorders>
              <w:top w:val="single" w:sz="8" w:space="0" w:color="000000"/>
              <w:left w:val="single" w:sz="4" w:space="0" w:color="000000"/>
              <w:bottom w:val="single" w:sz="8" w:space="0" w:color="000000"/>
              <w:right w:val="single" w:sz="4" w:space="0" w:color="000000"/>
            </w:tcBorders>
            <w:shd w:val="clear" w:color="auto" w:fill="95B3D7" w:themeFill="accent1" w:themeFillTint="99"/>
            <w:vAlign w:val="center"/>
          </w:tcPr>
          <w:p w14:paraId="1085977E" w14:textId="77777777" w:rsidR="002F0A87" w:rsidRPr="003D5FB5" w:rsidRDefault="002F0A87" w:rsidP="002F0A87">
            <w:pPr>
              <w:tabs>
                <w:tab w:val="left" w:pos="426"/>
              </w:tabs>
              <w:spacing w:line="360" w:lineRule="auto"/>
              <w:ind w:right="-23"/>
              <w:jc w:val="center"/>
              <w:textAlignment w:val="center"/>
              <w:rPr>
                <w:rFonts w:asciiTheme="minorHAnsi" w:hAnsiTheme="minorHAnsi" w:cstheme="minorHAnsi"/>
                <w:sz w:val="22"/>
                <w:szCs w:val="22"/>
                <w:lang w:eastAsia="en-IN"/>
              </w:rPr>
            </w:pPr>
            <w:r w:rsidRPr="003D5FB5">
              <w:rPr>
                <w:rFonts w:asciiTheme="minorHAnsi" w:hAnsiTheme="minorHAnsi" w:cstheme="minorHAnsi"/>
                <w:b/>
                <w:bCs/>
                <w:color w:val="000000"/>
                <w:kern w:val="2"/>
                <w:sz w:val="22"/>
                <w:szCs w:val="22"/>
                <w:lang w:eastAsia="en-IN"/>
              </w:rPr>
              <w:t>Total Loss</w:t>
            </w:r>
            <w:r w:rsidRPr="003D5FB5">
              <w:rPr>
                <w:rFonts w:asciiTheme="minorHAnsi" w:hAnsiTheme="minorHAnsi" w:cstheme="minorHAnsi"/>
                <w:b/>
                <w:bCs/>
                <w:color w:val="000000"/>
                <w:kern w:val="2"/>
                <w:sz w:val="22"/>
                <w:szCs w:val="22"/>
                <w:lang w:eastAsia="en-IN"/>
              </w:rPr>
              <w:br/>
              <w:t>(MW)</w:t>
            </w:r>
          </w:p>
        </w:tc>
        <w:tc>
          <w:tcPr>
            <w:tcW w:w="1100" w:type="dxa"/>
            <w:tcBorders>
              <w:top w:val="single" w:sz="8" w:space="0" w:color="000000"/>
              <w:left w:val="single" w:sz="4" w:space="0" w:color="000000"/>
              <w:bottom w:val="single" w:sz="8" w:space="0" w:color="000000"/>
              <w:right w:val="single" w:sz="8" w:space="0" w:color="000000"/>
            </w:tcBorders>
            <w:shd w:val="clear" w:color="auto" w:fill="95B3D7" w:themeFill="accent1" w:themeFillTint="99"/>
            <w:vAlign w:val="center"/>
          </w:tcPr>
          <w:p w14:paraId="701188AC" w14:textId="77777777" w:rsidR="002F0A87" w:rsidRPr="003D5FB5" w:rsidRDefault="002F0A87" w:rsidP="002F0A87">
            <w:pPr>
              <w:tabs>
                <w:tab w:val="left" w:pos="426"/>
              </w:tabs>
              <w:spacing w:line="360" w:lineRule="auto"/>
              <w:ind w:right="-23"/>
              <w:jc w:val="center"/>
              <w:textAlignment w:val="center"/>
              <w:rPr>
                <w:rFonts w:asciiTheme="minorHAnsi" w:hAnsiTheme="minorHAnsi" w:cstheme="minorHAnsi"/>
                <w:sz w:val="22"/>
                <w:szCs w:val="22"/>
                <w:lang w:eastAsia="en-IN"/>
              </w:rPr>
            </w:pPr>
            <w:r w:rsidRPr="003D5FB5">
              <w:rPr>
                <w:rFonts w:asciiTheme="minorHAnsi" w:hAnsiTheme="minorHAnsi" w:cstheme="minorHAnsi"/>
                <w:b/>
                <w:bCs/>
                <w:color w:val="000000"/>
                <w:kern w:val="2"/>
                <w:sz w:val="22"/>
                <w:szCs w:val="22"/>
                <w:lang w:eastAsia="en-IN"/>
              </w:rPr>
              <w:t>Annual Tech loss in %</w:t>
            </w:r>
          </w:p>
        </w:tc>
      </w:tr>
      <w:tr w:rsidR="002F0A87" w:rsidRPr="003D5FB5" w14:paraId="7DCA1A02" w14:textId="77777777" w:rsidTr="004B69C1">
        <w:trPr>
          <w:trHeight w:val="302"/>
        </w:trPr>
        <w:tc>
          <w:tcPr>
            <w:tcW w:w="1339" w:type="dxa"/>
            <w:tcBorders>
              <w:top w:val="single" w:sz="8" w:space="0" w:color="000000"/>
              <w:left w:val="single" w:sz="8" w:space="0" w:color="000000"/>
              <w:bottom w:val="single" w:sz="4" w:space="0" w:color="000000"/>
              <w:right w:val="single" w:sz="4" w:space="0" w:color="000000"/>
            </w:tcBorders>
            <w:shd w:val="clear" w:color="auto" w:fill="auto"/>
            <w:vAlign w:val="bottom"/>
          </w:tcPr>
          <w:p w14:paraId="20CFC77B" w14:textId="77777777" w:rsidR="002F0A87" w:rsidRPr="003D5FB5" w:rsidRDefault="002F0A87" w:rsidP="002F0A87">
            <w:pPr>
              <w:tabs>
                <w:tab w:val="left" w:pos="426"/>
              </w:tabs>
              <w:spacing w:line="276" w:lineRule="auto"/>
              <w:ind w:right="-23"/>
              <w:jc w:val="both"/>
              <w:textAlignment w:val="bottom"/>
              <w:rPr>
                <w:rFonts w:asciiTheme="minorHAnsi" w:hAnsiTheme="minorHAnsi" w:cstheme="minorHAnsi"/>
                <w:sz w:val="22"/>
                <w:szCs w:val="22"/>
                <w:lang w:eastAsia="en-IN"/>
              </w:rPr>
            </w:pPr>
            <w:proofErr w:type="spellStart"/>
            <w:r w:rsidRPr="003D5FB5">
              <w:rPr>
                <w:rFonts w:asciiTheme="minorHAnsi" w:hAnsiTheme="minorHAnsi" w:cstheme="minorHAnsi"/>
                <w:color w:val="000000"/>
                <w:kern w:val="2"/>
                <w:sz w:val="22"/>
                <w:szCs w:val="22"/>
                <w:lang w:eastAsia="en-IN"/>
              </w:rPr>
              <w:t>Balasore</w:t>
            </w:r>
            <w:proofErr w:type="spellEnd"/>
          </w:p>
        </w:tc>
        <w:tc>
          <w:tcPr>
            <w:tcW w:w="1213" w:type="dxa"/>
            <w:tcBorders>
              <w:top w:val="single" w:sz="8" w:space="0" w:color="000000"/>
              <w:left w:val="single" w:sz="4" w:space="0" w:color="000000"/>
              <w:bottom w:val="single" w:sz="4" w:space="0" w:color="000000"/>
              <w:right w:val="single" w:sz="4" w:space="0" w:color="000000"/>
            </w:tcBorders>
            <w:shd w:val="clear" w:color="auto" w:fill="auto"/>
            <w:vAlign w:val="center"/>
          </w:tcPr>
          <w:p w14:paraId="5E248F07" w14:textId="77777777" w:rsidR="002F0A87" w:rsidRPr="003D5FB5" w:rsidRDefault="002F0A87" w:rsidP="002F0A87">
            <w:pPr>
              <w:tabs>
                <w:tab w:val="left" w:pos="426"/>
              </w:tabs>
              <w:spacing w:line="276" w:lineRule="auto"/>
              <w:ind w:right="-23"/>
              <w:jc w:val="center"/>
              <w:textAlignment w:val="center"/>
              <w:rPr>
                <w:rFonts w:asciiTheme="minorHAnsi" w:hAnsiTheme="minorHAnsi" w:cstheme="minorHAnsi"/>
                <w:sz w:val="22"/>
                <w:szCs w:val="22"/>
                <w:lang w:eastAsia="en-IN"/>
              </w:rPr>
            </w:pPr>
            <w:r w:rsidRPr="003D5FB5">
              <w:rPr>
                <w:rFonts w:asciiTheme="minorHAnsi" w:hAnsiTheme="minorHAnsi" w:cstheme="minorHAnsi"/>
                <w:color w:val="000000"/>
                <w:kern w:val="2"/>
                <w:sz w:val="22"/>
                <w:szCs w:val="22"/>
                <w:lang w:eastAsia="en-IN"/>
              </w:rPr>
              <w:t>234.07</w:t>
            </w:r>
          </w:p>
        </w:tc>
        <w:tc>
          <w:tcPr>
            <w:tcW w:w="1205" w:type="dxa"/>
            <w:tcBorders>
              <w:top w:val="single" w:sz="8" w:space="0" w:color="000000"/>
              <w:left w:val="single" w:sz="4" w:space="0" w:color="000000"/>
              <w:bottom w:val="single" w:sz="4" w:space="0" w:color="000000"/>
              <w:right w:val="single" w:sz="4" w:space="0" w:color="000000"/>
            </w:tcBorders>
            <w:shd w:val="clear" w:color="auto" w:fill="auto"/>
            <w:vAlign w:val="center"/>
          </w:tcPr>
          <w:p w14:paraId="3B8FD51D" w14:textId="77777777" w:rsidR="002F0A87" w:rsidRPr="003D5FB5" w:rsidRDefault="002F0A87" w:rsidP="002F0A87">
            <w:pPr>
              <w:tabs>
                <w:tab w:val="left" w:pos="426"/>
              </w:tabs>
              <w:spacing w:line="276" w:lineRule="auto"/>
              <w:ind w:right="-23"/>
              <w:jc w:val="center"/>
              <w:textAlignment w:val="center"/>
              <w:rPr>
                <w:rFonts w:asciiTheme="minorHAnsi" w:hAnsiTheme="minorHAnsi" w:cstheme="minorHAnsi"/>
                <w:sz w:val="22"/>
                <w:szCs w:val="22"/>
                <w:lang w:eastAsia="en-IN"/>
              </w:rPr>
            </w:pPr>
            <w:r w:rsidRPr="003D5FB5">
              <w:rPr>
                <w:rFonts w:asciiTheme="minorHAnsi" w:hAnsiTheme="minorHAnsi" w:cstheme="minorHAnsi"/>
                <w:color w:val="000000"/>
                <w:kern w:val="2"/>
                <w:sz w:val="22"/>
                <w:szCs w:val="22"/>
                <w:lang w:eastAsia="en-IN"/>
              </w:rPr>
              <w:t>10.56</w:t>
            </w:r>
          </w:p>
        </w:tc>
        <w:tc>
          <w:tcPr>
            <w:tcW w:w="1357" w:type="dxa"/>
            <w:tcBorders>
              <w:top w:val="single" w:sz="8" w:space="0" w:color="000000"/>
              <w:left w:val="single" w:sz="4" w:space="0" w:color="000000"/>
              <w:bottom w:val="single" w:sz="4" w:space="0" w:color="000000"/>
              <w:right w:val="single" w:sz="4" w:space="0" w:color="000000"/>
            </w:tcBorders>
            <w:shd w:val="clear" w:color="auto" w:fill="auto"/>
            <w:vAlign w:val="center"/>
          </w:tcPr>
          <w:p w14:paraId="17EF7DA6" w14:textId="77777777" w:rsidR="002F0A87" w:rsidRPr="003D5FB5" w:rsidRDefault="002F0A87" w:rsidP="002F0A87">
            <w:pPr>
              <w:tabs>
                <w:tab w:val="left" w:pos="426"/>
              </w:tabs>
              <w:spacing w:line="276" w:lineRule="auto"/>
              <w:ind w:right="-23"/>
              <w:jc w:val="center"/>
              <w:textAlignment w:val="center"/>
              <w:rPr>
                <w:rFonts w:asciiTheme="minorHAnsi" w:hAnsiTheme="minorHAnsi" w:cstheme="minorHAnsi"/>
                <w:sz w:val="22"/>
                <w:szCs w:val="22"/>
                <w:lang w:eastAsia="en-IN"/>
              </w:rPr>
            </w:pPr>
            <w:r w:rsidRPr="003D5FB5">
              <w:rPr>
                <w:rFonts w:asciiTheme="minorHAnsi" w:hAnsiTheme="minorHAnsi" w:cstheme="minorHAnsi"/>
                <w:color w:val="000000"/>
                <w:kern w:val="2"/>
                <w:sz w:val="22"/>
                <w:szCs w:val="22"/>
                <w:lang w:eastAsia="en-IN"/>
              </w:rPr>
              <w:t>0.99</w:t>
            </w:r>
          </w:p>
        </w:tc>
        <w:tc>
          <w:tcPr>
            <w:tcW w:w="1355" w:type="dxa"/>
            <w:tcBorders>
              <w:top w:val="single" w:sz="8" w:space="0" w:color="000000"/>
              <w:left w:val="single" w:sz="4" w:space="0" w:color="000000"/>
              <w:bottom w:val="single" w:sz="4" w:space="0" w:color="000000"/>
              <w:right w:val="single" w:sz="4" w:space="0" w:color="000000"/>
            </w:tcBorders>
            <w:shd w:val="clear" w:color="auto" w:fill="auto"/>
            <w:vAlign w:val="center"/>
          </w:tcPr>
          <w:p w14:paraId="59B4010D" w14:textId="77777777" w:rsidR="002F0A87" w:rsidRPr="003D5FB5" w:rsidRDefault="002F0A87" w:rsidP="002F0A87">
            <w:pPr>
              <w:tabs>
                <w:tab w:val="left" w:pos="426"/>
              </w:tabs>
              <w:spacing w:line="276" w:lineRule="auto"/>
              <w:ind w:right="-23"/>
              <w:jc w:val="center"/>
              <w:textAlignment w:val="center"/>
              <w:rPr>
                <w:rFonts w:asciiTheme="minorHAnsi" w:hAnsiTheme="minorHAnsi" w:cstheme="minorHAnsi"/>
                <w:sz w:val="22"/>
                <w:szCs w:val="22"/>
                <w:lang w:eastAsia="en-IN"/>
              </w:rPr>
            </w:pPr>
            <w:r w:rsidRPr="003D5FB5">
              <w:rPr>
                <w:rFonts w:asciiTheme="minorHAnsi" w:hAnsiTheme="minorHAnsi" w:cstheme="minorHAnsi"/>
                <w:color w:val="000000"/>
                <w:kern w:val="2"/>
                <w:sz w:val="22"/>
                <w:szCs w:val="22"/>
                <w:lang w:eastAsia="en-IN"/>
              </w:rPr>
              <w:t>1.57</w:t>
            </w:r>
          </w:p>
        </w:tc>
        <w:tc>
          <w:tcPr>
            <w:tcW w:w="1575" w:type="dxa"/>
            <w:tcBorders>
              <w:top w:val="single" w:sz="8" w:space="0" w:color="000000"/>
              <w:left w:val="single" w:sz="4" w:space="0" w:color="000000"/>
              <w:bottom w:val="single" w:sz="4" w:space="0" w:color="000000"/>
              <w:right w:val="single" w:sz="4" w:space="0" w:color="000000"/>
            </w:tcBorders>
            <w:shd w:val="clear" w:color="auto" w:fill="auto"/>
            <w:vAlign w:val="center"/>
          </w:tcPr>
          <w:p w14:paraId="69992EF4" w14:textId="77777777" w:rsidR="002F0A87" w:rsidRPr="003D5FB5" w:rsidRDefault="002F0A87" w:rsidP="002F0A87">
            <w:pPr>
              <w:tabs>
                <w:tab w:val="left" w:pos="426"/>
              </w:tabs>
              <w:spacing w:line="276" w:lineRule="auto"/>
              <w:ind w:right="-23"/>
              <w:jc w:val="center"/>
              <w:textAlignment w:val="center"/>
              <w:rPr>
                <w:rFonts w:asciiTheme="minorHAnsi" w:hAnsiTheme="minorHAnsi" w:cstheme="minorHAnsi"/>
                <w:sz w:val="22"/>
                <w:szCs w:val="22"/>
                <w:lang w:eastAsia="en-IN"/>
              </w:rPr>
            </w:pPr>
            <w:r w:rsidRPr="003D5FB5">
              <w:rPr>
                <w:rFonts w:asciiTheme="minorHAnsi" w:hAnsiTheme="minorHAnsi" w:cstheme="minorHAnsi"/>
                <w:color w:val="000000"/>
                <w:kern w:val="2"/>
                <w:sz w:val="22"/>
                <w:szCs w:val="22"/>
                <w:lang w:eastAsia="en-IN"/>
              </w:rPr>
              <w:t>1.01</w:t>
            </w:r>
          </w:p>
        </w:tc>
        <w:tc>
          <w:tcPr>
            <w:tcW w:w="854" w:type="dxa"/>
            <w:tcBorders>
              <w:top w:val="single" w:sz="8" w:space="0" w:color="000000"/>
              <w:left w:val="single" w:sz="4" w:space="0" w:color="000000"/>
              <w:bottom w:val="single" w:sz="4" w:space="0" w:color="000000"/>
              <w:right w:val="single" w:sz="4" w:space="0" w:color="000000"/>
            </w:tcBorders>
            <w:shd w:val="clear" w:color="auto" w:fill="auto"/>
            <w:vAlign w:val="center"/>
          </w:tcPr>
          <w:p w14:paraId="34AB41AD" w14:textId="77777777" w:rsidR="002F0A87" w:rsidRPr="003D5FB5" w:rsidRDefault="002F0A87" w:rsidP="002F0A87">
            <w:pPr>
              <w:tabs>
                <w:tab w:val="left" w:pos="426"/>
              </w:tabs>
              <w:spacing w:line="276" w:lineRule="auto"/>
              <w:ind w:right="-23"/>
              <w:jc w:val="center"/>
              <w:textAlignment w:val="center"/>
              <w:rPr>
                <w:rFonts w:asciiTheme="minorHAnsi" w:hAnsiTheme="minorHAnsi" w:cstheme="minorHAnsi"/>
                <w:sz w:val="22"/>
                <w:szCs w:val="22"/>
                <w:lang w:eastAsia="en-IN"/>
              </w:rPr>
            </w:pPr>
            <w:r w:rsidRPr="003D5FB5">
              <w:rPr>
                <w:rFonts w:asciiTheme="minorHAnsi" w:hAnsiTheme="minorHAnsi" w:cstheme="minorHAnsi"/>
                <w:color w:val="000000"/>
                <w:kern w:val="2"/>
                <w:sz w:val="22"/>
                <w:szCs w:val="22"/>
                <w:lang w:eastAsia="en-IN"/>
              </w:rPr>
              <w:t>14.14</w:t>
            </w:r>
          </w:p>
        </w:tc>
        <w:tc>
          <w:tcPr>
            <w:tcW w:w="1100" w:type="dxa"/>
            <w:tcBorders>
              <w:top w:val="single" w:sz="8" w:space="0" w:color="000000"/>
              <w:left w:val="single" w:sz="4" w:space="0" w:color="000000"/>
              <w:bottom w:val="single" w:sz="4" w:space="0" w:color="000000"/>
              <w:right w:val="single" w:sz="8" w:space="0" w:color="000000"/>
            </w:tcBorders>
            <w:shd w:val="clear" w:color="auto" w:fill="auto"/>
            <w:vAlign w:val="center"/>
          </w:tcPr>
          <w:p w14:paraId="29034711" w14:textId="77777777" w:rsidR="002F0A87" w:rsidRPr="003D5FB5" w:rsidRDefault="002F0A87" w:rsidP="002F0A87">
            <w:pPr>
              <w:tabs>
                <w:tab w:val="left" w:pos="426"/>
              </w:tabs>
              <w:spacing w:line="276" w:lineRule="auto"/>
              <w:ind w:right="-23"/>
              <w:jc w:val="center"/>
              <w:textAlignment w:val="center"/>
              <w:rPr>
                <w:rFonts w:asciiTheme="minorHAnsi" w:hAnsiTheme="minorHAnsi" w:cstheme="minorHAnsi"/>
                <w:sz w:val="22"/>
                <w:szCs w:val="22"/>
                <w:lang w:eastAsia="en-IN"/>
              </w:rPr>
            </w:pPr>
            <w:r w:rsidRPr="003D5FB5">
              <w:rPr>
                <w:rFonts w:asciiTheme="minorHAnsi" w:hAnsiTheme="minorHAnsi" w:cstheme="minorHAnsi"/>
                <w:color w:val="000000"/>
                <w:kern w:val="2"/>
                <w:sz w:val="22"/>
                <w:szCs w:val="22"/>
                <w:lang w:eastAsia="en-IN"/>
              </w:rPr>
              <w:t>4.41</w:t>
            </w:r>
          </w:p>
        </w:tc>
      </w:tr>
      <w:tr w:rsidR="002F0A87" w:rsidRPr="003D5FB5" w14:paraId="33981AAD" w14:textId="77777777" w:rsidTr="004B69C1">
        <w:trPr>
          <w:trHeight w:val="210"/>
        </w:trPr>
        <w:tc>
          <w:tcPr>
            <w:tcW w:w="1339" w:type="dxa"/>
            <w:tcBorders>
              <w:top w:val="single" w:sz="4" w:space="0" w:color="000000"/>
              <w:left w:val="single" w:sz="8" w:space="0" w:color="000000"/>
              <w:bottom w:val="single" w:sz="4" w:space="0" w:color="000000"/>
              <w:right w:val="single" w:sz="4" w:space="0" w:color="000000"/>
            </w:tcBorders>
            <w:shd w:val="clear" w:color="auto" w:fill="auto"/>
            <w:vAlign w:val="bottom"/>
          </w:tcPr>
          <w:p w14:paraId="4D54BFD4" w14:textId="77777777" w:rsidR="002F0A87" w:rsidRPr="003D5FB5" w:rsidRDefault="002F0A87" w:rsidP="002F0A87">
            <w:pPr>
              <w:tabs>
                <w:tab w:val="left" w:pos="426"/>
              </w:tabs>
              <w:spacing w:line="276" w:lineRule="auto"/>
              <w:ind w:right="-23"/>
              <w:jc w:val="both"/>
              <w:textAlignment w:val="bottom"/>
              <w:rPr>
                <w:rFonts w:asciiTheme="minorHAnsi" w:hAnsiTheme="minorHAnsi" w:cstheme="minorHAnsi"/>
                <w:sz w:val="22"/>
                <w:szCs w:val="22"/>
                <w:lang w:eastAsia="en-IN"/>
              </w:rPr>
            </w:pPr>
            <w:proofErr w:type="spellStart"/>
            <w:r w:rsidRPr="003D5FB5">
              <w:rPr>
                <w:rFonts w:asciiTheme="minorHAnsi" w:hAnsiTheme="minorHAnsi" w:cstheme="minorHAnsi"/>
                <w:color w:val="000000"/>
                <w:kern w:val="2"/>
                <w:sz w:val="22"/>
                <w:szCs w:val="22"/>
                <w:lang w:eastAsia="en-IN"/>
              </w:rPr>
              <w:t>Baripada</w:t>
            </w:r>
            <w:proofErr w:type="spellEnd"/>
          </w:p>
        </w:tc>
        <w:tc>
          <w:tcPr>
            <w:tcW w:w="121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75000A8" w14:textId="77777777" w:rsidR="002F0A87" w:rsidRPr="003D5FB5" w:rsidRDefault="002F0A87" w:rsidP="002F0A87">
            <w:pPr>
              <w:tabs>
                <w:tab w:val="left" w:pos="426"/>
              </w:tabs>
              <w:spacing w:line="276" w:lineRule="auto"/>
              <w:ind w:right="-23"/>
              <w:jc w:val="center"/>
              <w:textAlignment w:val="center"/>
              <w:rPr>
                <w:rFonts w:asciiTheme="minorHAnsi" w:hAnsiTheme="minorHAnsi" w:cstheme="minorHAnsi"/>
                <w:sz w:val="22"/>
                <w:szCs w:val="22"/>
                <w:lang w:eastAsia="en-IN"/>
              </w:rPr>
            </w:pPr>
            <w:r w:rsidRPr="003D5FB5">
              <w:rPr>
                <w:rFonts w:asciiTheme="minorHAnsi" w:hAnsiTheme="minorHAnsi" w:cstheme="minorHAnsi"/>
                <w:color w:val="000000"/>
                <w:kern w:val="2"/>
                <w:sz w:val="22"/>
                <w:szCs w:val="22"/>
                <w:lang w:eastAsia="en-IN"/>
              </w:rPr>
              <w:t>136.52</w:t>
            </w:r>
          </w:p>
        </w:tc>
        <w:tc>
          <w:tcPr>
            <w:tcW w:w="120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336024C" w14:textId="77777777" w:rsidR="002F0A87" w:rsidRPr="003D5FB5" w:rsidRDefault="002F0A87" w:rsidP="002F0A87">
            <w:pPr>
              <w:tabs>
                <w:tab w:val="left" w:pos="426"/>
              </w:tabs>
              <w:spacing w:line="276" w:lineRule="auto"/>
              <w:ind w:right="-23"/>
              <w:jc w:val="center"/>
              <w:textAlignment w:val="center"/>
              <w:rPr>
                <w:rFonts w:asciiTheme="minorHAnsi" w:hAnsiTheme="minorHAnsi" w:cstheme="minorHAnsi"/>
                <w:sz w:val="22"/>
                <w:szCs w:val="22"/>
                <w:lang w:eastAsia="en-IN"/>
              </w:rPr>
            </w:pPr>
            <w:r w:rsidRPr="003D5FB5">
              <w:rPr>
                <w:rFonts w:asciiTheme="minorHAnsi" w:hAnsiTheme="minorHAnsi" w:cstheme="minorHAnsi"/>
                <w:color w:val="000000"/>
                <w:kern w:val="2"/>
                <w:sz w:val="22"/>
                <w:szCs w:val="22"/>
                <w:lang w:eastAsia="en-IN"/>
              </w:rPr>
              <w:t>6.54</w:t>
            </w:r>
          </w:p>
        </w:tc>
        <w:tc>
          <w:tcPr>
            <w:tcW w:w="135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A031293" w14:textId="77777777" w:rsidR="002F0A87" w:rsidRPr="003D5FB5" w:rsidRDefault="002F0A87" w:rsidP="002F0A87">
            <w:pPr>
              <w:tabs>
                <w:tab w:val="left" w:pos="426"/>
              </w:tabs>
              <w:spacing w:line="276" w:lineRule="auto"/>
              <w:ind w:right="-23"/>
              <w:jc w:val="center"/>
              <w:textAlignment w:val="center"/>
              <w:rPr>
                <w:rFonts w:asciiTheme="minorHAnsi" w:hAnsiTheme="minorHAnsi" w:cstheme="minorHAnsi"/>
                <w:sz w:val="22"/>
                <w:szCs w:val="22"/>
                <w:lang w:eastAsia="en-IN"/>
              </w:rPr>
            </w:pPr>
            <w:r w:rsidRPr="003D5FB5">
              <w:rPr>
                <w:rFonts w:asciiTheme="minorHAnsi" w:hAnsiTheme="minorHAnsi" w:cstheme="minorHAnsi"/>
                <w:color w:val="000000"/>
                <w:kern w:val="2"/>
                <w:sz w:val="22"/>
                <w:szCs w:val="22"/>
                <w:lang w:eastAsia="en-IN"/>
              </w:rPr>
              <w:t>0.88</w:t>
            </w:r>
          </w:p>
        </w:tc>
        <w:tc>
          <w:tcPr>
            <w:tcW w:w="135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2EC59A2" w14:textId="77777777" w:rsidR="002F0A87" w:rsidRPr="003D5FB5" w:rsidRDefault="002F0A87" w:rsidP="002F0A87">
            <w:pPr>
              <w:tabs>
                <w:tab w:val="left" w:pos="426"/>
              </w:tabs>
              <w:spacing w:line="276" w:lineRule="auto"/>
              <w:ind w:right="-23"/>
              <w:jc w:val="center"/>
              <w:textAlignment w:val="center"/>
              <w:rPr>
                <w:rFonts w:asciiTheme="minorHAnsi" w:hAnsiTheme="minorHAnsi" w:cstheme="minorHAnsi"/>
                <w:sz w:val="22"/>
                <w:szCs w:val="22"/>
                <w:lang w:eastAsia="en-IN"/>
              </w:rPr>
            </w:pPr>
            <w:r w:rsidRPr="003D5FB5">
              <w:rPr>
                <w:rFonts w:asciiTheme="minorHAnsi" w:hAnsiTheme="minorHAnsi" w:cstheme="minorHAnsi"/>
                <w:color w:val="000000"/>
                <w:kern w:val="2"/>
                <w:sz w:val="22"/>
                <w:szCs w:val="22"/>
                <w:lang w:eastAsia="en-IN"/>
              </w:rPr>
              <w:t>1.15</w:t>
            </w:r>
          </w:p>
        </w:tc>
        <w:tc>
          <w:tcPr>
            <w:tcW w:w="15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0377996" w14:textId="77777777" w:rsidR="002F0A87" w:rsidRPr="003D5FB5" w:rsidRDefault="002F0A87" w:rsidP="002F0A87">
            <w:pPr>
              <w:tabs>
                <w:tab w:val="left" w:pos="426"/>
              </w:tabs>
              <w:spacing w:line="276" w:lineRule="auto"/>
              <w:ind w:right="-23"/>
              <w:jc w:val="center"/>
              <w:textAlignment w:val="center"/>
              <w:rPr>
                <w:rFonts w:asciiTheme="minorHAnsi" w:hAnsiTheme="minorHAnsi" w:cstheme="minorHAnsi"/>
                <w:sz w:val="22"/>
                <w:szCs w:val="22"/>
                <w:lang w:eastAsia="en-IN"/>
              </w:rPr>
            </w:pPr>
            <w:r w:rsidRPr="003D5FB5">
              <w:rPr>
                <w:rFonts w:asciiTheme="minorHAnsi" w:hAnsiTheme="minorHAnsi" w:cstheme="minorHAnsi"/>
                <w:color w:val="000000"/>
                <w:kern w:val="2"/>
                <w:sz w:val="22"/>
                <w:szCs w:val="22"/>
                <w:lang w:eastAsia="en-IN"/>
              </w:rPr>
              <w:t>0.66</w:t>
            </w:r>
          </w:p>
        </w:tc>
        <w:tc>
          <w:tcPr>
            <w:tcW w:w="85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40523F" w14:textId="77777777" w:rsidR="002F0A87" w:rsidRPr="003D5FB5" w:rsidRDefault="002F0A87" w:rsidP="002F0A87">
            <w:pPr>
              <w:tabs>
                <w:tab w:val="left" w:pos="426"/>
              </w:tabs>
              <w:spacing w:line="276" w:lineRule="auto"/>
              <w:ind w:right="-23"/>
              <w:jc w:val="center"/>
              <w:textAlignment w:val="center"/>
              <w:rPr>
                <w:rFonts w:asciiTheme="minorHAnsi" w:hAnsiTheme="minorHAnsi" w:cstheme="minorHAnsi"/>
                <w:sz w:val="22"/>
                <w:szCs w:val="22"/>
                <w:lang w:eastAsia="en-IN"/>
              </w:rPr>
            </w:pPr>
            <w:r w:rsidRPr="003D5FB5">
              <w:rPr>
                <w:rFonts w:asciiTheme="minorHAnsi" w:hAnsiTheme="minorHAnsi" w:cstheme="minorHAnsi"/>
                <w:color w:val="000000"/>
                <w:kern w:val="2"/>
                <w:sz w:val="22"/>
                <w:szCs w:val="22"/>
                <w:lang w:eastAsia="en-IN"/>
              </w:rPr>
              <w:t>9.23</w:t>
            </w:r>
          </w:p>
        </w:tc>
        <w:tc>
          <w:tcPr>
            <w:tcW w:w="1100" w:type="dxa"/>
            <w:tcBorders>
              <w:top w:val="single" w:sz="4" w:space="0" w:color="000000"/>
              <w:left w:val="single" w:sz="4" w:space="0" w:color="000000"/>
              <w:bottom w:val="single" w:sz="4" w:space="0" w:color="000000"/>
              <w:right w:val="single" w:sz="8" w:space="0" w:color="000000"/>
            </w:tcBorders>
            <w:shd w:val="clear" w:color="auto" w:fill="auto"/>
            <w:vAlign w:val="center"/>
          </w:tcPr>
          <w:p w14:paraId="6DA02429" w14:textId="77777777" w:rsidR="002F0A87" w:rsidRPr="003D5FB5" w:rsidRDefault="002F0A87" w:rsidP="002F0A87">
            <w:pPr>
              <w:tabs>
                <w:tab w:val="left" w:pos="426"/>
              </w:tabs>
              <w:spacing w:line="276" w:lineRule="auto"/>
              <w:ind w:right="-23"/>
              <w:jc w:val="center"/>
              <w:textAlignment w:val="center"/>
              <w:rPr>
                <w:rFonts w:asciiTheme="minorHAnsi" w:hAnsiTheme="minorHAnsi" w:cstheme="minorHAnsi"/>
                <w:sz w:val="22"/>
                <w:szCs w:val="22"/>
                <w:lang w:eastAsia="en-IN"/>
              </w:rPr>
            </w:pPr>
            <w:r w:rsidRPr="003D5FB5">
              <w:rPr>
                <w:rFonts w:asciiTheme="minorHAnsi" w:hAnsiTheme="minorHAnsi" w:cstheme="minorHAnsi"/>
                <w:color w:val="000000"/>
                <w:kern w:val="2"/>
                <w:sz w:val="22"/>
                <w:szCs w:val="22"/>
                <w:lang w:eastAsia="en-IN"/>
              </w:rPr>
              <w:t>4.29</w:t>
            </w:r>
          </w:p>
        </w:tc>
      </w:tr>
      <w:tr w:rsidR="002F0A87" w:rsidRPr="003D5FB5" w14:paraId="1B58ED93" w14:textId="77777777" w:rsidTr="004B69C1">
        <w:trPr>
          <w:trHeight w:val="302"/>
        </w:trPr>
        <w:tc>
          <w:tcPr>
            <w:tcW w:w="1339" w:type="dxa"/>
            <w:tcBorders>
              <w:top w:val="single" w:sz="4" w:space="0" w:color="000000"/>
              <w:left w:val="single" w:sz="8" w:space="0" w:color="000000"/>
              <w:bottom w:val="single" w:sz="4" w:space="0" w:color="000000"/>
              <w:right w:val="single" w:sz="4" w:space="0" w:color="000000"/>
            </w:tcBorders>
            <w:shd w:val="clear" w:color="auto" w:fill="auto"/>
            <w:vAlign w:val="bottom"/>
          </w:tcPr>
          <w:p w14:paraId="6D443A55" w14:textId="77777777" w:rsidR="002F0A87" w:rsidRPr="003D5FB5" w:rsidRDefault="002F0A87" w:rsidP="002F0A87">
            <w:pPr>
              <w:tabs>
                <w:tab w:val="left" w:pos="426"/>
              </w:tabs>
              <w:spacing w:line="276" w:lineRule="auto"/>
              <w:ind w:right="-23"/>
              <w:jc w:val="both"/>
              <w:textAlignment w:val="bottom"/>
              <w:rPr>
                <w:rFonts w:asciiTheme="minorHAnsi" w:hAnsiTheme="minorHAnsi" w:cstheme="minorHAnsi"/>
                <w:sz w:val="22"/>
                <w:szCs w:val="22"/>
                <w:lang w:eastAsia="en-IN"/>
              </w:rPr>
            </w:pPr>
            <w:proofErr w:type="spellStart"/>
            <w:r w:rsidRPr="003D5FB5">
              <w:rPr>
                <w:rFonts w:asciiTheme="minorHAnsi" w:hAnsiTheme="minorHAnsi" w:cstheme="minorHAnsi"/>
                <w:color w:val="000000"/>
                <w:kern w:val="2"/>
                <w:sz w:val="22"/>
                <w:szCs w:val="22"/>
                <w:lang w:eastAsia="en-IN"/>
              </w:rPr>
              <w:t>Bhadrak</w:t>
            </w:r>
            <w:proofErr w:type="spellEnd"/>
          </w:p>
        </w:tc>
        <w:tc>
          <w:tcPr>
            <w:tcW w:w="121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D7EC6C3" w14:textId="77777777" w:rsidR="002F0A87" w:rsidRPr="003D5FB5" w:rsidRDefault="002F0A87" w:rsidP="002F0A87">
            <w:pPr>
              <w:tabs>
                <w:tab w:val="left" w:pos="426"/>
              </w:tabs>
              <w:spacing w:line="276" w:lineRule="auto"/>
              <w:ind w:right="-23"/>
              <w:jc w:val="center"/>
              <w:textAlignment w:val="center"/>
              <w:rPr>
                <w:rFonts w:asciiTheme="minorHAnsi" w:hAnsiTheme="minorHAnsi" w:cstheme="minorHAnsi"/>
                <w:sz w:val="22"/>
                <w:szCs w:val="22"/>
                <w:lang w:eastAsia="en-IN"/>
              </w:rPr>
            </w:pPr>
            <w:r w:rsidRPr="003D5FB5">
              <w:rPr>
                <w:rFonts w:asciiTheme="minorHAnsi" w:hAnsiTheme="minorHAnsi" w:cstheme="minorHAnsi"/>
                <w:color w:val="000000"/>
                <w:kern w:val="2"/>
                <w:sz w:val="22"/>
                <w:szCs w:val="22"/>
                <w:lang w:eastAsia="en-IN"/>
              </w:rPr>
              <w:t>132.54</w:t>
            </w:r>
          </w:p>
        </w:tc>
        <w:tc>
          <w:tcPr>
            <w:tcW w:w="120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9C18A8" w14:textId="77777777" w:rsidR="002F0A87" w:rsidRPr="003D5FB5" w:rsidRDefault="002F0A87" w:rsidP="002F0A87">
            <w:pPr>
              <w:tabs>
                <w:tab w:val="left" w:pos="426"/>
              </w:tabs>
              <w:spacing w:line="276" w:lineRule="auto"/>
              <w:ind w:right="-23"/>
              <w:jc w:val="center"/>
              <w:textAlignment w:val="center"/>
              <w:rPr>
                <w:rFonts w:asciiTheme="minorHAnsi" w:hAnsiTheme="minorHAnsi" w:cstheme="minorHAnsi"/>
                <w:sz w:val="22"/>
                <w:szCs w:val="22"/>
                <w:lang w:eastAsia="en-IN"/>
              </w:rPr>
            </w:pPr>
            <w:r w:rsidRPr="003D5FB5">
              <w:rPr>
                <w:rFonts w:asciiTheme="minorHAnsi" w:hAnsiTheme="minorHAnsi" w:cstheme="minorHAnsi"/>
                <w:color w:val="000000"/>
                <w:kern w:val="2"/>
                <w:sz w:val="22"/>
                <w:szCs w:val="22"/>
                <w:lang w:eastAsia="en-IN"/>
              </w:rPr>
              <w:t>6.16</w:t>
            </w:r>
          </w:p>
        </w:tc>
        <w:tc>
          <w:tcPr>
            <w:tcW w:w="135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66ABB94" w14:textId="77777777" w:rsidR="002F0A87" w:rsidRPr="003D5FB5" w:rsidRDefault="002F0A87" w:rsidP="002F0A87">
            <w:pPr>
              <w:tabs>
                <w:tab w:val="left" w:pos="426"/>
              </w:tabs>
              <w:spacing w:line="276" w:lineRule="auto"/>
              <w:ind w:right="-23"/>
              <w:jc w:val="center"/>
              <w:textAlignment w:val="center"/>
              <w:rPr>
                <w:rFonts w:asciiTheme="minorHAnsi" w:hAnsiTheme="minorHAnsi" w:cstheme="minorHAnsi"/>
                <w:sz w:val="22"/>
                <w:szCs w:val="22"/>
                <w:lang w:eastAsia="en-IN"/>
              </w:rPr>
            </w:pPr>
            <w:r w:rsidRPr="003D5FB5">
              <w:rPr>
                <w:rFonts w:asciiTheme="minorHAnsi" w:hAnsiTheme="minorHAnsi" w:cstheme="minorHAnsi"/>
                <w:color w:val="000000"/>
                <w:kern w:val="2"/>
                <w:sz w:val="22"/>
                <w:szCs w:val="22"/>
                <w:lang w:eastAsia="en-IN"/>
              </w:rPr>
              <w:t>0.54</w:t>
            </w:r>
          </w:p>
        </w:tc>
        <w:tc>
          <w:tcPr>
            <w:tcW w:w="135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7AAC860" w14:textId="77777777" w:rsidR="002F0A87" w:rsidRPr="003D5FB5" w:rsidRDefault="002F0A87" w:rsidP="002F0A87">
            <w:pPr>
              <w:tabs>
                <w:tab w:val="left" w:pos="426"/>
              </w:tabs>
              <w:spacing w:line="276" w:lineRule="auto"/>
              <w:ind w:right="-23"/>
              <w:jc w:val="center"/>
              <w:textAlignment w:val="center"/>
              <w:rPr>
                <w:rFonts w:asciiTheme="minorHAnsi" w:hAnsiTheme="minorHAnsi" w:cstheme="minorHAnsi"/>
                <w:sz w:val="22"/>
                <w:szCs w:val="22"/>
                <w:lang w:eastAsia="en-IN"/>
              </w:rPr>
            </w:pPr>
            <w:r w:rsidRPr="003D5FB5">
              <w:rPr>
                <w:rFonts w:asciiTheme="minorHAnsi" w:hAnsiTheme="minorHAnsi" w:cstheme="minorHAnsi"/>
                <w:color w:val="000000"/>
                <w:kern w:val="2"/>
                <w:sz w:val="22"/>
                <w:szCs w:val="22"/>
                <w:lang w:eastAsia="en-IN"/>
              </w:rPr>
              <w:t>0.92</w:t>
            </w:r>
          </w:p>
        </w:tc>
        <w:tc>
          <w:tcPr>
            <w:tcW w:w="15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DD5D9C5" w14:textId="77777777" w:rsidR="002F0A87" w:rsidRPr="003D5FB5" w:rsidRDefault="002F0A87" w:rsidP="002F0A87">
            <w:pPr>
              <w:tabs>
                <w:tab w:val="left" w:pos="426"/>
              </w:tabs>
              <w:spacing w:line="276" w:lineRule="auto"/>
              <w:ind w:right="-23"/>
              <w:jc w:val="center"/>
              <w:textAlignment w:val="center"/>
              <w:rPr>
                <w:rFonts w:asciiTheme="minorHAnsi" w:hAnsiTheme="minorHAnsi" w:cstheme="minorHAnsi"/>
                <w:sz w:val="22"/>
                <w:szCs w:val="22"/>
                <w:lang w:eastAsia="en-IN"/>
              </w:rPr>
            </w:pPr>
            <w:r w:rsidRPr="003D5FB5">
              <w:rPr>
                <w:rFonts w:asciiTheme="minorHAnsi" w:hAnsiTheme="minorHAnsi" w:cstheme="minorHAnsi"/>
                <w:color w:val="000000"/>
                <w:kern w:val="2"/>
                <w:sz w:val="22"/>
                <w:szCs w:val="22"/>
                <w:lang w:eastAsia="en-IN"/>
              </w:rPr>
              <w:t>0.59</w:t>
            </w:r>
          </w:p>
        </w:tc>
        <w:tc>
          <w:tcPr>
            <w:tcW w:w="85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010650A" w14:textId="77777777" w:rsidR="002F0A87" w:rsidRPr="003D5FB5" w:rsidRDefault="002F0A87" w:rsidP="002F0A87">
            <w:pPr>
              <w:tabs>
                <w:tab w:val="left" w:pos="426"/>
              </w:tabs>
              <w:spacing w:line="276" w:lineRule="auto"/>
              <w:ind w:right="-23"/>
              <w:jc w:val="center"/>
              <w:textAlignment w:val="center"/>
              <w:rPr>
                <w:rFonts w:asciiTheme="minorHAnsi" w:hAnsiTheme="minorHAnsi" w:cstheme="minorHAnsi"/>
                <w:sz w:val="22"/>
                <w:szCs w:val="22"/>
                <w:lang w:eastAsia="en-IN"/>
              </w:rPr>
            </w:pPr>
            <w:r w:rsidRPr="003D5FB5">
              <w:rPr>
                <w:rFonts w:asciiTheme="minorHAnsi" w:hAnsiTheme="minorHAnsi" w:cstheme="minorHAnsi"/>
                <w:color w:val="000000"/>
                <w:kern w:val="2"/>
                <w:sz w:val="22"/>
                <w:szCs w:val="22"/>
                <w:lang w:eastAsia="en-IN"/>
              </w:rPr>
              <w:t>8.21</w:t>
            </w:r>
          </w:p>
        </w:tc>
        <w:tc>
          <w:tcPr>
            <w:tcW w:w="1100" w:type="dxa"/>
            <w:tcBorders>
              <w:top w:val="single" w:sz="4" w:space="0" w:color="000000"/>
              <w:left w:val="single" w:sz="4" w:space="0" w:color="000000"/>
              <w:bottom w:val="single" w:sz="4" w:space="0" w:color="000000"/>
              <w:right w:val="single" w:sz="8" w:space="0" w:color="000000"/>
            </w:tcBorders>
            <w:shd w:val="clear" w:color="auto" w:fill="auto"/>
            <w:vAlign w:val="center"/>
          </w:tcPr>
          <w:p w14:paraId="6000D785" w14:textId="77777777" w:rsidR="002F0A87" w:rsidRPr="003D5FB5" w:rsidRDefault="002F0A87" w:rsidP="002F0A87">
            <w:pPr>
              <w:tabs>
                <w:tab w:val="left" w:pos="426"/>
              </w:tabs>
              <w:spacing w:line="276" w:lineRule="auto"/>
              <w:ind w:right="-23"/>
              <w:jc w:val="center"/>
              <w:textAlignment w:val="center"/>
              <w:rPr>
                <w:rFonts w:asciiTheme="minorHAnsi" w:hAnsiTheme="minorHAnsi" w:cstheme="minorHAnsi"/>
                <w:sz w:val="22"/>
                <w:szCs w:val="22"/>
                <w:lang w:eastAsia="en-IN"/>
              </w:rPr>
            </w:pPr>
            <w:r w:rsidRPr="003D5FB5">
              <w:rPr>
                <w:rFonts w:asciiTheme="minorHAnsi" w:hAnsiTheme="minorHAnsi" w:cstheme="minorHAnsi"/>
                <w:color w:val="000000"/>
                <w:kern w:val="2"/>
                <w:sz w:val="22"/>
                <w:szCs w:val="22"/>
                <w:lang w:eastAsia="en-IN"/>
              </w:rPr>
              <w:t>4.32</w:t>
            </w:r>
          </w:p>
        </w:tc>
      </w:tr>
      <w:tr w:rsidR="002F0A87" w:rsidRPr="003D5FB5" w14:paraId="5075054A" w14:textId="77777777" w:rsidTr="004B69C1">
        <w:trPr>
          <w:trHeight w:val="302"/>
        </w:trPr>
        <w:tc>
          <w:tcPr>
            <w:tcW w:w="1339" w:type="dxa"/>
            <w:tcBorders>
              <w:top w:val="single" w:sz="4" w:space="0" w:color="000000"/>
              <w:left w:val="single" w:sz="8" w:space="0" w:color="000000"/>
              <w:bottom w:val="single" w:sz="4" w:space="0" w:color="000000"/>
              <w:right w:val="single" w:sz="4" w:space="0" w:color="000000"/>
            </w:tcBorders>
            <w:shd w:val="clear" w:color="auto" w:fill="auto"/>
            <w:vAlign w:val="bottom"/>
          </w:tcPr>
          <w:p w14:paraId="3D9ED53A" w14:textId="77777777" w:rsidR="002F0A87" w:rsidRPr="003D5FB5" w:rsidRDefault="002F0A87" w:rsidP="002F0A87">
            <w:pPr>
              <w:tabs>
                <w:tab w:val="left" w:pos="426"/>
              </w:tabs>
              <w:spacing w:line="276" w:lineRule="auto"/>
              <w:ind w:right="-23"/>
              <w:jc w:val="both"/>
              <w:textAlignment w:val="bottom"/>
              <w:rPr>
                <w:rFonts w:asciiTheme="minorHAnsi" w:hAnsiTheme="minorHAnsi" w:cstheme="minorHAnsi"/>
                <w:sz w:val="22"/>
                <w:szCs w:val="22"/>
                <w:lang w:eastAsia="en-IN"/>
              </w:rPr>
            </w:pPr>
            <w:proofErr w:type="spellStart"/>
            <w:r w:rsidRPr="003D5FB5">
              <w:rPr>
                <w:rFonts w:asciiTheme="minorHAnsi" w:hAnsiTheme="minorHAnsi" w:cstheme="minorHAnsi"/>
                <w:color w:val="000000"/>
                <w:kern w:val="2"/>
                <w:sz w:val="22"/>
                <w:szCs w:val="22"/>
                <w:lang w:eastAsia="en-IN"/>
              </w:rPr>
              <w:t>Jajpur</w:t>
            </w:r>
            <w:proofErr w:type="spellEnd"/>
          </w:p>
        </w:tc>
        <w:tc>
          <w:tcPr>
            <w:tcW w:w="121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166EE16" w14:textId="77777777" w:rsidR="002F0A87" w:rsidRPr="003D5FB5" w:rsidRDefault="002F0A87" w:rsidP="002F0A87">
            <w:pPr>
              <w:tabs>
                <w:tab w:val="left" w:pos="426"/>
              </w:tabs>
              <w:spacing w:line="276" w:lineRule="auto"/>
              <w:ind w:right="-23"/>
              <w:jc w:val="center"/>
              <w:textAlignment w:val="center"/>
              <w:rPr>
                <w:rFonts w:asciiTheme="minorHAnsi" w:hAnsiTheme="minorHAnsi" w:cstheme="minorHAnsi"/>
                <w:sz w:val="22"/>
                <w:szCs w:val="22"/>
                <w:lang w:eastAsia="en-IN"/>
              </w:rPr>
            </w:pPr>
            <w:r w:rsidRPr="003D5FB5">
              <w:rPr>
                <w:rFonts w:asciiTheme="minorHAnsi" w:hAnsiTheme="minorHAnsi" w:cstheme="minorHAnsi"/>
                <w:color w:val="000000"/>
                <w:kern w:val="2"/>
                <w:sz w:val="22"/>
                <w:szCs w:val="22"/>
                <w:lang w:eastAsia="en-IN"/>
              </w:rPr>
              <w:t>159.12</w:t>
            </w:r>
          </w:p>
        </w:tc>
        <w:tc>
          <w:tcPr>
            <w:tcW w:w="120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4C87791" w14:textId="77777777" w:rsidR="002F0A87" w:rsidRPr="003D5FB5" w:rsidRDefault="002F0A87" w:rsidP="002F0A87">
            <w:pPr>
              <w:tabs>
                <w:tab w:val="left" w:pos="426"/>
              </w:tabs>
              <w:spacing w:line="276" w:lineRule="auto"/>
              <w:ind w:right="-23"/>
              <w:jc w:val="center"/>
              <w:textAlignment w:val="center"/>
              <w:rPr>
                <w:rFonts w:asciiTheme="minorHAnsi" w:hAnsiTheme="minorHAnsi" w:cstheme="minorHAnsi"/>
                <w:sz w:val="22"/>
                <w:szCs w:val="22"/>
                <w:lang w:eastAsia="en-IN"/>
              </w:rPr>
            </w:pPr>
            <w:r w:rsidRPr="003D5FB5">
              <w:rPr>
                <w:rFonts w:asciiTheme="minorHAnsi" w:hAnsiTheme="minorHAnsi" w:cstheme="minorHAnsi"/>
                <w:color w:val="000000"/>
                <w:kern w:val="2"/>
                <w:sz w:val="22"/>
                <w:szCs w:val="22"/>
                <w:lang w:eastAsia="en-IN"/>
              </w:rPr>
              <w:t>4.87</w:t>
            </w:r>
          </w:p>
        </w:tc>
        <w:tc>
          <w:tcPr>
            <w:tcW w:w="135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9FCAA6" w14:textId="77777777" w:rsidR="002F0A87" w:rsidRPr="003D5FB5" w:rsidRDefault="002F0A87" w:rsidP="002F0A87">
            <w:pPr>
              <w:tabs>
                <w:tab w:val="left" w:pos="426"/>
              </w:tabs>
              <w:spacing w:line="276" w:lineRule="auto"/>
              <w:ind w:right="-23"/>
              <w:jc w:val="center"/>
              <w:textAlignment w:val="center"/>
              <w:rPr>
                <w:rFonts w:asciiTheme="minorHAnsi" w:hAnsiTheme="minorHAnsi" w:cstheme="minorHAnsi"/>
                <w:sz w:val="22"/>
                <w:szCs w:val="22"/>
                <w:lang w:eastAsia="en-IN"/>
              </w:rPr>
            </w:pPr>
            <w:r w:rsidRPr="003D5FB5">
              <w:rPr>
                <w:rFonts w:asciiTheme="minorHAnsi" w:hAnsiTheme="minorHAnsi" w:cstheme="minorHAnsi"/>
                <w:color w:val="000000"/>
                <w:kern w:val="2"/>
                <w:sz w:val="22"/>
                <w:szCs w:val="22"/>
                <w:lang w:eastAsia="en-IN"/>
              </w:rPr>
              <w:t>1.34</w:t>
            </w:r>
          </w:p>
        </w:tc>
        <w:tc>
          <w:tcPr>
            <w:tcW w:w="135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22DF508" w14:textId="77777777" w:rsidR="002F0A87" w:rsidRPr="003D5FB5" w:rsidRDefault="002F0A87" w:rsidP="002F0A87">
            <w:pPr>
              <w:tabs>
                <w:tab w:val="left" w:pos="426"/>
              </w:tabs>
              <w:spacing w:line="276" w:lineRule="auto"/>
              <w:ind w:right="-23"/>
              <w:jc w:val="center"/>
              <w:textAlignment w:val="center"/>
              <w:rPr>
                <w:rFonts w:asciiTheme="minorHAnsi" w:hAnsiTheme="minorHAnsi" w:cstheme="minorHAnsi"/>
                <w:sz w:val="22"/>
                <w:szCs w:val="22"/>
                <w:lang w:eastAsia="en-IN"/>
              </w:rPr>
            </w:pPr>
            <w:r w:rsidRPr="003D5FB5">
              <w:rPr>
                <w:rFonts w:asciiTheme="minorHAnsi" w:hAnsiTheme="minorHAnsi" w:cstheme="minorHAnsi"/>
                <w:color w:val="000000"/>
                <w:kern w:val="2"/>
                <w:sz w:val="22"/>
                <w:szCs w:val="22"/>
                <w:lang w:eastAsia="en-IN"/>
              </w:rPr>
              <w:t>1.06</w:t>
            </w:r>
          </w:p>
        </w:tc>
        <w:tc>
          <w:tcPr>
            <w:tcW w:w="15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81E0C9F" w14:textId="77777777" w:rsidR="002F0A87" w:rsidRPr="003D5FB5" w:rsidRDefault="002F0A87" w:rsidP="002F0A87">
            <w:pPr>
              <w:tabs>
                <w:tab w:val="left" w:pos="426"/>
              </w:tabs>
              <w:spacing w:line="276" w:lineRule="auto"/>
              <w:ind w:right="-23"/>
              <w:jc w:val="center"/>
              <w:textAlignment w:val="center"/>
              <w:rPr>
                <w:rFonts w:asciiTheme="minorHAnsi" w:hAnsiTheme="minorHAnsi" w:cstheme="minorHAnsi"/>
                <w:sz w:val="22"/>
                <w:szCs w:val="22"/>
                <w:lang w:eastAsia="en-IN"/>
              </w:rPr>
            </w:pPr>
            <w:r w:rsidRPr="003D5FB5">
              <w:rPr>
                <w:rFonts w:asciiTheme="minorHAnsi" w:hAnsiTheme="minorHAnsi" w:cstheme="minorHAnsi"/>
                <w:color w:val="000000"/>
                <w:kern w:val="2"/>
                <w:sz w:val="22"/>
                <w:szCs w:val="22"/>
                <w:lang w:eastAsia="en-IN"/>
              </w:rPr>
              <w:t>0.56</w:t>
            </w:r>
          </w:p>
        </w:tc>
        <w:tc>
          <w:tcPr>
            <w:tcW w:w="85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3D70C00" w14:textId="77777777" w:rsidR="002F0A87" w:rsidRPr="003D5FB5" w:rsidRDefault="002F0A87" w:rsidP="002F0A87">
            <w:pPr>
              <w:tabs>
                <w:tab w:val="left" w:pos="426"/>
              </w:tabs>
              <w:spacing w:line="276" w:lineRule="auto"/>
              <w:ind w:right="-23"/>
              <w:jc w:val="center"/>
              <w:textAlignment w:val="center"/>
              <w:rPr>
                <w:rFonts w:asciiTheme="minorHAnsi" w:hAnsiTheme="minorHAnsi" w:cstheme="minorHAnsi"/>
                <w:sz w:val="22"/>
                <w:szCs w:val="22"/>
                <w:lang w:eastAsia="en-IN"/>
              </w:rPr>
            </w:pPr>
            <w:r w:rsidRPr="003D5FB5">
              <w:rPr>
                <w:rFonts w:asciiTheme="minorHAnsi" w:hAnsiTheme="minorHAnsi" w:cstheme="minorHAnsi"/>
                <w:color w:val="000000"/>
                <w:kern w:val="2"/>
                <w:sz w:val="22"/>
                <w:szCs w:val="22"/>
                <w:lang w:eastAsia="en-IN"/>
              </w:rPr>
              <w:t>7.83</w:t>
            </w:r>
          </w:p>
        </w:tc>
        <w:tc>
          <w:tcPr>
            <w:tcW w:w="1100" w:type="dxa"/>
            <w:tcBorders>
              <w:top w:val="single" w:sz="4" w:space="0" w:color="000000"/>
              <w:left w:val="single" w:sz="4" w:space="0" w:color="000000"/>
              <w:bottom w:val="single" w:sz="4" w:space="0" w:color="000000"/>
              <w:right w:val="single" w:sz="8" w:space="0" w:color="000000"/>
            </w:tcBorders>
            <w:shd w:val="clear" w:color="auto" w:fill="auto"/>
            <w:vAlign w:val="center"/>
          </w:tcPr>
          <w:p w14:paraId="2BF4267B" w14:textId="77777777" w:rsidR="002F0A87" w:rsidRPr="003D5FB5" w:rsidRDefault="002F0A87" w:rsidP="002F0A87">
            <w:pPr>
              <w:tabs>
                <w:tab w:val="left" w:pos="426"/>
              </w:tabs>
              <w:spacing w:line="276" w:lineRule="auto"/>
              <w:ind w:right="-23"/>
              <w:jc w:val="center"/>
              <w:textAlignment w:val="center"/>
              <w:rPr>
                <w:rFonts w:asciiTheme="minorHAnsi" w:hAnsiTheme="minorHAnsi" w:cstheme="minorHAnsi"/>
                <w:sz w:val="22"/>
                <w:szCs w:val="22"/>
                <w:lang w:eastAsia="en-IN"/>
              </w:rPr>
            </w:pPr>
            <w:r w:rsidRPr="003D5FB5">
              <w:rPr>
                <w:rFonts w:asciiTheme="minorHAnsi" w:hAnsiTheme="minorHAnsi" w:cstheme="minorHAnsi"/>
                <w:color w:val="000000"/>
                <w:kern w:val="2"/>
                <w:sz w:val="22"/>
                <w:szCs w:val="22"/>
                <w:lang w:eastAsia="en-IN"/>
              </w:rPr>
              <w:t>3.35</w:t>
            </w:r>
          </w:p>
        </w:tc>
      </w:tr>
      <w:tr w:rsidR="002F0A87" w:rsidRPr="003D5FB5" w14:paraId="77722EC2" w14:textId="77777777" w:rsidTr="004B69C1">
        <w:trPr>
          <w:trHeight w:val="302"/>
        </w:trPr>
        <w:tc>
          <w:tcPr>
            <w:tcW w:w="1339" w:type="dxa"/>
            <w:tcBorders>
              <w:top w:val="single" w:sz="4" w:space="0" w:color="000000"/>
              <w:left w:val="single" w:sz="8" w:space="0" w:color="000000"/>
              <w:bottom w:val="single" w:sz="4" w:space="0" w:color="000000"/>
              <w:right w:val="single" w:sz="4" w:space="0" w:color="000000"/>
            </w:tcBorders>
            <w:shd w:val="clear" w:color="auto" w:fill="auto"/>
            <w:vAlign w:val="bottom"/>
          </w:tcPr>
          <w:p w14:paraId="3458C219" w14:textId="77777777" w:rsidR="002F0A87" w:rsidRPr="003D5FB5" w:rsidRDefault="002F0A87" w:rsidP="002F0A87">
            <w:pPr>
              <w:tabs>
                <w:tab w:val="left" w:pos="426"/>
              </w:tabs>
              <w:spacing w:line="276" w:lineRule="auto"/>
              <w:ind w:right="-23"/>
              <w:jc w:val="both"/>
              <w:textAlignment w:val="bottom"/>
              <w:rPr>
                <w:rFonts w:asciiTheme="minorHAnsi" w:hAnsiTheme="minorHAnsi" w:cstheme="minorHAnsi"/>
                <w:sz w:val="22"/>
                <w:szCs w:val="22"/>
                <w:lang w:eastAsia="en-IN"/>
              </w:rPr>
            </w:pPr>
            <w:proofErr w:type="spellStart"/>
            <w:r w:rsidRPr="003D5FB5">
              <w:rPr>
                <w:rFonts w:asciiTheme="minorHAnsi" w:hAnsiTheme="minorHAnsi" w:cstheme="minorHAnsi"/>
                <w:color w:val="000000"/>
                <w:kern w:val="2"/>
                <w:sz w:val="22"/>
                <w:szCs w:val="22"/>
                <w:lang w:eastAsia="en-IN"/>
              </w:rPr>
              <w:t>Keonjhar</w:t>
            </w:r>
            <w:proofErr w:type="spellEnd"/>
          </w:p>
        </w:tc>
        <w:tc>
          <w:tcPr>
            <w:tcW w:w="121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C1B073B" w14:textId="77777777" w:rsidR="002F0A87" w:rsidRPr="003D5FB5" w:rsidRDefault="002F0A87" w:rsidP="002F0A87">
            <w:pPr>
              <w:tabs>
                <w:tab w:val="left" w:pos="426"/>
              </w:tabs>
              <w:spacing w:line="276" w:lineRule="auto"/>
              <w:ind w:right="-23"/>
              <w:jc w:val="center"/>
              <w:textAlignment w:val="center"/>
              <w:rPr>
                <w:rFonts w:asciiTheme="minorHAnsi" w:hAnsiTheme="minorHAnsi" w:cstheme="minorHAnsi"/>
                <w:sz w:val="22"/>
                <w:szCs w:val="22"/>
                <w:lang w:eastAsia="en-IN"/>
              </w:rPr>
            </w:pPr>
            <w:r w:rsidRPr="003D5FB5">
              <w:rPr>
                <w:rFonts w:asciiTheme="minorHAnsi" w:hAnsiTheme="minorHAnsi" w:cstheme="minorHAnsi"/>
                <w:color w:val="000000"/>
                <w:kern w:val="2"/>
                <w:sz w:val="22"/>
                <w:szCs w:val="22"/>
                <w:lang w:eastAsia="en-IN"/>
              </w:rPr>
              <w:t>109.68</w:t>
            </w:r>
          </w:p>
        </w:tc>
        <w:tc>
          <w:tcPr>
            <w:tcW w:w="120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3F14D95" w14:textId="77777777" w:rsidR="002F0A87" w:rsidRPr="003D5FB5" w:rsidRDefault="002F0A87" w:rsidP="002F0A87">
            <w:pPr>
              <w:tabs>
                <w:tab w:val="left" w:pos="426"/>
              </w:tabs>
              <w:spacing w:line="276" w:lineRule="auto"/>
              <w:ind w:right="-23"/>
              <w:jc w:val="center"/>
              <w:textAlignment w:val="center"/>
              <w:rPr>
                <w:rFonts w:asciiTheme="minorHAnsi" w:hAnsiTheme="minorHAnsi" w:cstheme="minorHAnsi"/>
                <w:sz w:val="22"/>
                <w:szCs w:val="22"/>
                <w:lang w:eastAsia="en-IN"/>
              </w:rPr>
            </w:pPr>
            <w:r w:rsidRPr="003D5FB5">
              <w:rPr>
                <w:rFonts w:asciiTheme="minorHAnsi" w:hAnsiTheme="minorHAnsi" w:cstheme="minorHAnsi"/>
                <w:color w:val="000000"/>
                <w:kern w:val="2"/>
                <w:sz w:val="22"/>
                <w:szCs w:val="22"/>
                <w:lang w:eastAsia="en-IN"/>
              </w:rPr>
              <w:t>4.08</w:t>
            </w:r>
          </w:p>
        </w:tc>
        <w:tc>
          <w:tcPr>
            <w:tcW w:w="135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B3A1D3B" w14:textId="77777777" w:rsidR="002F0A87" w:rsidRPr="003D5FB5" w:rsidRDefault="002F0A87" w:rsidP="002F0A87">
            <w:pPr>
              <w:tabs>
                <w:tab w:val="left" w:pos="426"/>
              </w:tabs>
              <w:spacing w:line="276" w:lineRule="auto"/>
              <w:ind w:right="-23"/>
              <w:jc w:val="center"/>
              <w:textAlignment w:val="center"/>
              <w:rPr>
                <w:rFonts w:asciiTheme="minorHAnsi" w:hAnsiTheme="minorHAnsi" w:cstheme="minorHAnsi"/>
                <w:sz w:val="22"/>
                <w:szCs w:val="22"/>
                <w:lang w:eastAsia="en-IN"/>
              </w:rPr>
            </w:pPr>
            <w:r w:rsidRPr="003D5FB5">
              <w:rPr>
                <w:rFonts w:asciiTheme="minorHAnsi" w:hAnsiTheme="minorHAnsi" w:cstheme="minorHAnsi"/>
                <w:color w:val="000000"/>
                <w:kern w:val="2"/>
                <w:sz w:val="22"/>
                <w:szCs w:val="22"/>
                <w:lang w:eastAsia="en-IN"/>
              </w:rPr>
              <w:t>0.61</w:t>
            </w:r>
          </w:p>
        </w:tc>
        <w:tc>
          <w:tcPr>
            <w:tcW w:w="135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F801A95" w14:textId="77777777" w:rsidR="002F0A87" w:rsidRPr="003D5FB5" w:rsidRDefault="002F0A87" w:rsidP="002F0A87">
            <w:pPr>
              <w:tabs>
                <w:tab w:val="left" w:pos="426"/>
              </w:tabs>
              <w:spacing w:line="276" w:lineRule="auto"/>
              <w:ind w:right="-23"/>
              <w:jc w:val="center"/>
              <w:textAlignment w:val="center"/>
              <w:rPr>
                <w:rFonts w:asciiTheme="minorHAnsi" w:hAnsiTheme="minorHAnsi" w:cstheme="minorHAnsi"/>
                <w:sz w:val="22"/>
                <w:szCs w:val="22"/>
                <w:lang w:eastAsia="en-IN"/>
              </w:rPr>
            </w:pPr>
            <w:r w:rsidRPr="003D5FB5">
              <w:rPr>
                <w:rFonts w:asciiTheme="minorHAnsi" w:hAnsiTheme="minorHAnsi" w:cstheme="minorHAnsi"/>
                <w:color w:val="000000"/>
                <w:kern w:val="2"/>
                <w:sz w:val="22"/>
                <w:szCs w:val="22"/>
                <w:lang w:eastAsia="en-IN"/>
              </w:rPr>
              <w:t>0.63</w:t>
            </w:r>
          </w:p>
        </w:tc>
        <w:tc>
          <w:tcPr>
            <w:tcW w:w="15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08877CF" w14:textId="77777777" w:rsidR="002F0A87" w:rsidRPr="003D5FB5" w:rsidRDefault="002F0A87" w:rsidP="002F0A87">
            <w:pPr>
              <w:tabs>
                <w:tab w:val="left" w:pos="426"/>
              </w:tabs>
              <w:spacing w:line="276" w:lineRule="auto"/>
              <w:ind w:right="-23"/>
              <w:jc w:val="center"/>
              <w:textAlignment w:val="center"/>
              <w:rPr>
                <w:rFonts w:asciiTheme="minorHAnsi" w:hAnsiTheme="minorHAnsi" w:cstheme="minorHAnsi"/>
                <w:sz w:val="22"/>
                <w:szCs w:val="22"/>
                <w:lang w:eastAsia="en-IN"/>
              </w:rPr>
            </w:pPr>
            <w:r w:rsidRPr="003D5FB5">
              <w:rPr>
                <w:rFonts w:asciiTheme="minorHAnsi" w:hAnsiTheme="minorHAnsi" w:cstheme="minorHAnsi"/>
                <w:color w:val="000000"/>
                <w:kern w:val="2"/>
                <w:sz w:val="22"/>
                <w:szCs w:val="22"/>
                <w:lang w:eastAsia="en-IN"/>
              </w:rPr>
              <w:t>0.41</w:t>
            </w:r>
          </w:p>
        </w:tc>
        <w:tc>
          <w:tcPr>
            <w:tcW w:w="85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E690415" w14:textId="77777777" w:rsidR="002F0A87" w:rsidRPr="003D5FB5" w:rsidRDefault="002F0A87" w:rsidP="002F0A87">
            <w:pPr>
              <w:tabs>
                <w:tab w:val="left" w:pos="426"/>
              </w:tabs>
              <w:spacing w:line="276" w:lineRule="auto"/>
              <w:ind w:right="-23"/>
              <w:jc w:val="center"/>
              <w:textAlignment w:val="center"/>
              <w:rPr>
                <w:rFonts w:asciiTheme="minorHAnsi" w:hAnsiTheme="minorHAnsi" w:cstheme="minorHAnsi"/>
                <w:sz w:val="22"/>
                <w:szCs w:val="22"/>
                <w:lang w:eastAsia="en-IN"/>
              </w:rPr>
            </w:pPr>
            <w:r w:rsidRPr="003D5FB5">
              <w:rPr>
                <w:rFonts w:asciiTheme="minorHAnsi" w:hAnsiTheme="minorHAnsi" w:cstheme="minorHAnsi"/>
                <w:color w:val="000000"/>
                <w:kern w:val="2"/>
                <w:sz w:val="22"/>
                <w:szCs w:val="22"/>
                <w:lang w:eastAsia="en-IN"/>
              </w:rPr>
              <w:t>5.73</w:t>
            </w:r>
          </w:p>
        </w:tc>
        <w:tc>
          <w:tcPr>
            <w:tcW w:w="1100" w:type="dxa"/>
            <w:tcBorders>
              <w:top w:val="single" w:sz="4" w:space="0" w:color="000000"/>
              <w:left w:val="single" w:sz="4" w:space="0" w:color="000000"/>
              <w:bottom w:val="single" w:sz="4" w:space="0" w:color="000000"/>
              <w:right w:val="single" w:sz="8" w:space="0" w:color="000000"/>
            </w:tcBorders>
            <w:shd w:val="clear" w:color="auto" w:fill="auto"/>
            <w:vAlign w:val="center"/>
          </w:tcPr>
          <w:p w14:paraId="7DCE8932" w14:textId="77777777" w:rsidR="002F0A87" w:rsidRPr="003D5FB5" w:rsidRDefault="002F0A87" w:rsidP="002F0A87">
            <w:pPr>
              <w:tabs>
                <w:tab w:val="left" w:pos="426"/>
              </w:tabs>
              <w:spacing w:line="276" w:lineRule="auto"/>
              <w:ind w:right="-23"/>
              <w:jc w:val="center"/>
              <w:textAlignment w:val="center"/>
              <w:rPr>
                <w:rFonts w:asciiTheme="minorHAnsi" w:hAnsiTheme="minorHAnsi" w:cstheme="minorHAnsi"/>
                <w:sz w:val="22"/>
                <w:szCs w:val="22"/>
                <w:lang w:eastAsia="en-IN"/>
              </w:rPr>
            </w:pPr>
            <w:r w:rsidRPr="003D5FB5">
              <w:rPr>
                <w:rFonts w:asciiTheme="minorHAnsi" w:hAnsiTheme="minorHAnsi" w:cstheme="minorHAnsi"/>
                <w:color w:val="000000"/>
                <w:kern w:val="2"/>
                <w:sz w:val="22"/>
                <w:szCs w:val="22"/>
                <w:lang w:eastAsia="en-IN"/>
              </w:rPr>
              <w:t>4.07</w:t>
            </w:r>
          </w:p>
        </w:tc>
      </w:tr>
      <w:tr w:rsidR="002F0A87" w:rsidRPr="003D5FB5" w14:paraId="737ACFE9" w14:textId="77777777" w:rsidTr="004B69C1">
        <w:trPr>
          <w:trHeight w:val="316"/>
        </w:trPr>
        <w:tc>
          <w:tcPr>
            <w:tcW w:w="1339" w:type="dxa"/>
            <w:tcBorders>
              <w:top w:val="single" w:sz="4" w:space="0" w:color="000000"/>
              <w:left w:val="single" w:sz="8" w:space="0" w:color="000000"/>
              <w:bottom w:val="single" w:sz="8" w:space="0" w:color="000000"/>
              <w:right w:val="single" w:sz="4" w:space="0" w:color="000000"/>
            </w:tcBorders>
            <w:shd w:val="clear" w:color="auto" w:fill="auto"/>
            <w:vAlign w:val="bottom"/>
          </w:tcPr>
          <w:p w14:paraId="7278C262" w14:textId="77777777" w:rsidR="002F0A87" w:rsidRPr="003D5FB5" w:rsidRDefault="002F0A87" w:rsidP="002F0A87">
            <w:pPr>
              <w:tabs>
                <w:tab w:val="left" w:pos="426"/>
              </w:tabs>
              <w:spacing w:line="276" w:lineRule="auto"/>
              <w:ind w:right="-23"/>
              <w:jc w:val="both"/>
              <w:textAlignment w:val="bottom"/>
              <w:rPr>
                <w:rFonts w:asciiTheme="minorHAnsi" w:hAnsiTheme="minorHAnsi" w:cstheme="minorHAnsi"/>
                <w:sz w:val="22"/>
                <w:szCs w:val="22"/>
                <w:lang w:eastAsia="en-IN"/>
              </w:rPr>
            </w:pPr>
            <w:r w:rsidRPr="003D5FB5">
              <w:rPr>
                <w:rFonts w:asciiTheme="minorHAnsi" w:hAnsiTheme="minorHAnsi" w:cstheme="minorHAnsi"/>
                <w:b/>
                <w:bCs/>
                <w:color w:val="000000"/>
                <w:kern w:val="2"/>
                <w:sz w:val="22"/>
                <w:szCs w:val="22"/>
                <w:lang w:eastAsia="en-IN"/>
              </w:rPr>
              <w:t>TPNODL</w:t>
            </w:r>
          </w:p>
        </w:tc>
        <w:tc>
          <w:tcPr>
            <w:tcW w:w="1213" w:type="dxa"/>
            <w:tcBorders>
              <w:top w:val="single" w:sz="4" w:space="0" w:color="000000"/>
              <w:left w:val="single" w:sz="4" w:space="0" w:color="000000"/>
              <w:bottom w:val="single" w:sz="8" w:space="0" w:color="000000"/>
              <w:right w:val="single" w:sz="4" w:space="0" w:color="000000"/>
            </w:tcBorders>
            <w:shd w:val="clear" w:color="auto" w:fill="auto"/>
            <w:vAlign w:val="center"/>
          </w:tcPr>
          <w:p w14:paraId="1DC617D3" w14:textId="77777777" w:rsidR="002F0A87" w:rsidRPr="003D5FB5" w:rsidRDefault="002F0A87" w:rsidP="002F0A87">
            <w:pPr>
              <w:tabs>
                <w:tab w:val="left" w:pos="426"/>
              </w:tabs>
              <w:spacing w:line="276" w:lineRule="auto"/>
              <w:ind w:right="-23"/>
              <w:jc w:val="center"/>
              <w:textAlignment w:val="center"/>
              <w:rPr>
                <w:rFonts w:asciiTheme="minorHAnsi" w:hAnsiTheme="minorHAnsi" w:cstheme="minorHAnsi"/>
                <w:sz w:val="22"/>
                <w:szCs w:val="22"/>
                <w:lang w:eastAsia="en-IN"/>
              </w:rPr>
            </w:pPr>
            <w:r w:rsidRPr="003D5FB5">
              <w:rPr>
                <w:rFonts w:asciiTheme="minorHAnsi" w:hAnsiTheme="minorHAnsi" w:cstheme="minorHAnsi"/>
                <w:b/>
                <w:bCs/>
                <w:color w:val="000000"/>
                <w:kern w:val="2"/>
                <w:sz w:val="22"/>
                <w:szCs w:val="22"/>
                <w:lang w:eastAsia="en-IN"/>
              </w:rPr>
              <w:t>771.93</w:t>
            </w:r>
          </w:p>
        </w:tc>
        <w:tc>
          <w:tcPr>
            <w:tcW w:w="1205" w:type="dxa"/>
            <w:tcBorders>
              <w:top w:val="single" w:sz="4" w:space="0" w:color="000000"/>
              <w:left w:val="single" w:sz="4" w:space="0" w:color="000000"/>
              <w:bottom w:val="single" w:sz="8" w:space="0" w:color="000000"/>
              <w:right w:val="single" w:sz="4" w:space="0" w:color="000000"/>
            </w:tcBorders>
            <w:shd w:val="clear" w:color="auto" w:fill="auto"/>
            <w:vAlign w:val="center"/>
          </w:tcPr>
          <w:p w14:paraId="538CB49F" w14:textId="77777777" w:rsidR="002F0A87" w:rsidRPr="003D5FB5" w:rsidRDefault="002F0A87" w:rsidP="002F0A87">
            <w:pPr>
              <w:tabs>
                <w:tab w:val="left" w:pos="426"/>
              </w:tabs>
              <w:spacing w:line="276" w:lineRule="auto"/>
              <w:ind w:right="-23"/>
              <w:jc w:val="center"/>
              <w:textAlignment w:val="center"/>
              <w:rPr>
                <w:rFonts w:asciiTheme="minorHAnsi" w:hAnsiTheme="minorHAnsi" w:cstheme="minorHAnsi"/>
                <w:sz w:val="22"/>
                <w:szCs w:val="22"/>
                <w:lang w:eastAsia="en-IN"/>
              </w:rPr>
            </w:pPr>
            <w:r w:rsidRPr="003D5FB5">
              <w:rPr>
                <w:rFonts w:asciiTheme="minorHAnsi" w:hAnsiTheme="minorHAnsi" w:cstheme="minorHAnsi"/>
                <w:b/>
                <w:bCs/>
                <w:color w:val="000000"/>
                <w:kern w:val="2"/>
                <w:sz w:val="22"/>
                <w:szCs w:val="22"/>
                <w:lang w:eastAsia="en-IN"/>
              </w:rPr>
              <w:t>32.21</w:t>
            </w:r>
          </w:p>
        </w:tc>
        <w:tc>
          <w:tcPr>
            <w:tcW w:w="1357" w:type="dxa"/>
            <w:tcBorders>
              <w:top w:val="single" w:sz="4" w:space="0" w:color="000000"/>
              <w:left w:val="single" w:sz="4" w:space="0" w:color="000000"/>
              <w:bottom w:val="single" w:sz="8" w:space="0" w:color="000000"/>
              <w:right w:val="single" w:sz="4" w:space="0" w:color="000000"/>
            </w:tcBorders>
            <w:shd w:val="clear" w:color="auto" w:fill="auto"/>
            <w:vAlign w:val="center"/>
          </w:tcPr>
          <w:p w14:paraId="57FA0FBA" w14:textId="77777777" w:rsidR="002F0A87" w:rsidRPr="003D5FB5" w:rsidRDefault="002F0A87" w:rsidP="002F0A87">
            <w:pPr>
              <w:tabs>
                <w:tab w:val="left" w:pos="426"/>
              </w:tabs>
              <w:spacing w:line="276" w:lineRule="auto"/>
              <w:ind w:right="-23"/>
              <w:jc w:val="center"/>
              <w:textAlignment w:val="center"/>
              <w:rPr>
                <w:rFonts w:asciiTheme="minorHAnsi" w:hAnsiTheme="minorHAnsi" w:cstheme="minorHAnsi"/>
                <w:sz w:val="22"/>
                <w:szCs w:val="22"/>
                <w:lang w:eastAsia="en-IN"/>
              </w:rPr>
            </w:pPr>
            <w:r w:rsidRPr="003D5FB5">
              <w:rPr>
                <w:rFonts w:asciiTheme="minorHAnsi" w:hAnsiTheme="minorHAnsi" w:cstheme="minorHAnsi"/>
                <w:b/>
                <w:bCs/>
                <w:color w:val="000000"/>
                <w:kern w:val="2"/>
                <w:sz w:val="22"/>
                <w:szCs w:val="22"/>
                <w:lang w:eastAsia="en-IN"/>
              </w:rPr>
              <w:t>4.36</w:t>
            </w:r>
          </w:p>
        </w:tc>
        <w:tc>
          <w:tcPr>
            <w:tcW w:w="1355" w:type="dxa"/>
            <w:tcBorders>
              <w:top w:val="single" w:sz="4" w:space="0" w:color="000000"/>
              <w:left w:val="single" w:sz="4" w:space="0" w:color="000000"/>
              <w:bottom w:val="single" w:sz="8" w:space="0" w:color="000000"/>
              <w:right w:val="single" w:sz="4" w:space="0" w:color="000000"/>
            </w:tcBorders>
            <w:shd w:val="clear" w:color="auto" w:fill="auto"/>
            <w:vAlign w:val="center"/>
          </w:tcPr>
          <w:p w14:paraId="2F3A35DA" w14:textId="77777777" w:rsidR="002F0A87" w:rsidRPr="003D5FB5" w:rsidRDefault="002F0A87" w:rsidP="002F0A87">
            <w:pPr>
              <w:tabs>
                <w:tab w:val="left" w:pos="426"/>
              </w:tabs>
              <w:spacing w:line="276" w:lineRule="auto"/>
              <w:ind w:right="-23"/>
              <w:jc w:val="center"/>
              <w:textAlignment w:val="center"/>
              <w:rPr>
                <w:rFonts w:asciiTheme="minorHAnsi" w:hAnsiTheme="minorHAnsi" w:cstheme="minorHAnsi"/>
                <w:sz w:val="22"/>
                <w:szCs w:val="22"/>
                <w:lang w:eastAsia="en-IN"/>
              </w:rPr>
            </w:pPr>
            <w:r w:rsidRPr="003D5FB5">
              <w:rPr>
                <w:rFonts w:asciiTheme="minorHAnsi" w:hAnsiTheme="minorHAnsi" w:cstheme="minorHAnsi"/>
                <w:b/>
                <w:bCs/>
                <w:color w:val="000000"/>
                <w:kern w:val="2"/>
                <w:sz w:val="22"/>
                <w:szCs w:val="22"/>
                <w:lang w:eastAsia="en-IN"/>
              </w:rPr>
              <w:t>5.34</w:t>
            </w:r>
          </w:p>
        </w:tc>
        <w:tc>
          <w:tcPr>
            <w:tcW w:w="1575" w:type="dxa"/>
            <w:tcBorders>
              <w:top w:val="single" w:sz="4" w:space="0" w:color="000000"/>
              <w:left w:val="single" w:sz="4" w:space="0" w:color="000000"/>
              <w:bottom w:val="single" w:sz="8" w:space="0" w:color="000000"/>
              <w:right w:val="single" w:sz="4" w:space="0" w:color="000000"/>
            </w:tcBorders>
            <w:shd w:val="clear" w:color="auto" w:fill="auto"/>
            <w:vAlign w:val="center"/>
          </w:tcPr>
          <w:p w14:paraId="6730B985" w14:textId="77777777" w:rsidR="002F0A87" w:rsidRPr="003D5FB5" w:rsidRDefault="002F0A87" w:rsidP="002F0A87">
            <w:pPr>
              <w:tabs>
                <w:tab w:val="left" w:pos="426"/>
              </w:tabs>
              <w:spacing w:line="276" w:lineRule="auto"/>
              <w:ind w:right="-23"/>
              <w:jc w:val="center"/>
              <w:textAlignment w:val="center"/>
              <w:rPr>
                <w:rFonts w:asciiTheme="minorHAnsi" w:hAnsiTheme="minorHAnsi" w:cstheme="minorHAnsi"/>
                <w:sz w:val="22"/>
                <w:szCs w:val="22"/>
                <w:lang w:eastAsia="en-IN"/>
              </w:rPr>
            </w:pPr>
            <w:r w:rsidRPr="003D5FB5">
              <w:rPr>
                <w:rFonts w:asciiTheme="minorHAnsi" w:hAnsiTheme="minorHAnsi" w:cstheme="minorHAnsi"/>
                <w:b/>
                <w:bCs/>
                <w:color w:val="000000"/>
                <w:kern w:val="2"/>
                <w:sz w:val="22"/>
                <w:szCs w:val="22"/>
                <w:lang w:eastAsia="en-IN"/>
              </w:rPr>
              <w:t>3.22</w:t>
            </w:r>
          </w:p>
        </w:tc>
        <w:tc>
          <w:tcPr>
            <w:tcW w:w="854" w:type="dxa"/>
            <w:tcBorders>
              <w:top w:val="single" w:sz="4" w:space="0" w:color="000000"/>
              <w:left w:val="single" w:sz="4" w:space="0" w:color="000000"/>
              <w:bottom w:val="single" w:sz="8" w:space="0" w:color="000000"/>
              <w:right w:val="single" w:sz="4" w:space="0" w:color="000000"/>
            </w:tcBorders>
            <w:shd w:val="clear" w:color="auto" w:fill="auto"/>
            <w:vAlign w:val="center"/>
          </w:tcPr>
          <w:p w14:paraId="534A0E8A" w14:textId="77777777" w:rsidR="002F0A87" w:rsidRPr="003D5FB5" w:rsidRDefault="002F0A87" w:rsidP="002F0A87">
            <w:pPr>
              <w:tabs>
                <w:tab w:val="left" w:pos="426"/>
              </w:tabs>
              <w:spacing w:line="276" w:lineRule="auto"/>
              <w:ind w:right="-23"/>
              <w:jc w:val="center"/>
              <w:textAlignment w:val="center"/>
              <w:rPr>
                <w:rFonts w:asciiTheme="minorHAnsi" w:hAnsiTheme="minorHAnsi" w:cstheme="minorHAnsi"/>
                <w:sz w:val="22"/>
                <w:szCs w:val="22"/>
                <w:lang w:eastAsia="en-IN"/>
              </w:rPr>
            </w:pPr>
            <w:r w:rsidRPr="003D5FB5">
              <w:rPr>
                <w:rFonts w:asciiTheme="minorHAnsi" w:hAnsiTheme="minorHAnsi" w:cstheme="minorHAnsi"/>
                <w:b/>
                <w:bCs/>
                <w:color w:val="000000"/>
                <w:kern w:val="2"/>
                <w:sz w:val="22"/>
                <w:szCs w:val="22"/>
                <w:lang w:eastAsia="en-IN"/>
              </w:rPr>
              <w:t>45.13</w:t>
            </w:r>
          </w:p>
        </w:tc>
        <w:tc>
          <w:tcPr>
            <w:tcW w:w="1100" w:type="dxa"/>
            <w:tcBorders>
              <w:top w:val="single" w:sz="4" w:space="0" w:color="000000"/>
              <w:left w:val="single" w:sz="4" w:space="0" w:color="000000"/>
              <w:bottom w:val="single" w:sz="8" w:space="0" w:color="000000"/>
              <w:right w:val="single" w:sz="8" w:space="0" w:color="000000"/>
            </w:tcBorders>
            <w:shd w:val="clear" w:color="auto" w:fill="auto"/>
            <w:vAlign w:val="center"/>
          </w:tcPr>
          <w:p w14:paraId="5B1C9B33" w14:textId="77777777" w:rsidR="002F0A87" w:rsidRPr="003D5FB5" w:rsidRDefault="002F0A87" w:rsidP="002F0A87">
            <w:pPr>
              <w:tabs>
                <w:tab w:val="left" w:pos="426"/>
              </w:tabs>
              <w:spacing w:line="276" w:lineRule="auto"/>
              <w:ind w:right="-23"/>
              <w:jc w:val="center"/>
              <w:textAlignment w:val="center"/>
              <w:rPr>
                <w:rFonts w:asciiTheme="minorHAnsi" w:hAnsiTheme="minorHAnsi" w:cstheme="minorHAnsi"/>
                <w:sz w:val="22"/>
                <w:szCs w:val="22"/>
                <w:lang w:eastAsia="en-IN"/>
              </w:rPr>
            </w:pPr>
            <w:r w:rsidRPr="003D5FB5">
              <w:rPr>
                <w:rFonts w:asciiTheme="minorHAnsi" w:hAnsiTheme="minorHAnsi" w:cstheme="minorHAnsi"/>
                <w:b/>
                <w:bCs/>
                <w:color w:val="000000"/>
                <w:kern w:val="2"/>
                <w:sz w:val="22"/>
                <w:szCs w:val="22"/>
                <w:lang w:eastAsia="en-IN"/>
              </w:rPr>
              <w:t>4.09</w:t>
            </w:r>
          </w:p>
        </w:tc>
      </w:tr>
    </w:tbl>
    <w:p w14:paraId="49871C6C" w14:textId="77777777" w:rsidR="002F0A87" w:rsidRPr="003D5FB5" w:rsidRDefault="002F0A87" w:rsidP="002F0A87">
      <w:pPr>
        <w:spacing w:line="360" w:lineRule="auto"/>
        <w:jc w:val="center"/>
        <w:rPr>
          <w:rFonts w:asciiTheme="minorHAnsi" w:hAnsiTheme="minorHAnsi" w:cstheme="minorHAnsi"/>
          <w:b/>
          <w:bCs/>
          <w:color w:val="000000"/>
          <w:kern w:val="2"/>
          <w:sz w:val="22"/>
          <w:szCs w:val="22"/>
          <w:lang w:eastAsia="en-IN"/>
        </w:rPr>
      </w:pPr>
    </w:p>
    <w:p w14:paraId="5F5A41F6" w14:textId="184383AC" w:rsidR="002F0A87" w:rsidRPr="003D5FB5" w:rsidRDefault="002F0A87" w:rsidP="002F0A87">
      <w:pPr>
        <w:spacing w:line="360" w:lineRule="auto"/>
        <w:jc w:val="center"/>
        <w:rPr>
          <w:rFonts w:asciiTheme="minorHAnsi" w:hAnsiTheme="minorHAnsi" w:cstheme="minorHAnsi"/>
          <w:sz w:val="22"/>
          <w:szCs w:val="22"/>
        </w:rPr>
      </w:pPr>
      <w:r w:rsidRPr="003D5FB5">
        <w:rPr>
          <w:rFonts w:asciiTheme="minorHAnsi" w:hAnsiTheme="minorHAnsi" w:cstheme="minorHAnsi"/>
          <w:b/>
          <w:bCs/>
          <w:color w:val="000000"/>
          <w:kern w:val="2"/>
          <w:sz w:val="22"/>
          <w:szCs w:val="22"/>
          <w:lang w:eastAsia="en-IN"/>
        </w:rPr>
        <w:t>Table-2</w:t>
      </w:r>
      <w:r w:rsidR="004B69C1">
        <w:rPr>
          <w:rFonts w:asciiTheme="minorHAnsi" w:hAnsiTheme="minorHAnsi" w:cstheme="minorHAnsi"/>
          <w:b/>
          <w:bCs/>
          <w:color w:val="000000"/>
          <w:kern w:val="2"/>
          <w:sz w:val="22"/>
          <w:szCs w:val="22"/>
          <w:lang w:eastAsia="en-IN"/>
        </w:rPr>
        <w:t>7</w:t>
      </w:r>
      <w:r w:rsidRPr="003D5FB5">
        <w:rPr>
          <w:rFonts w:asciiTheme="minorHAnsi" w:hAnsiTheme="minorHAnsi" w:cstheme="minorHAnsi"/>
          <w:b/>
          <w:bCs/>
          <w:color w:val="000000"/>
          <w:kern w:val="2"/>
          <w:sz w:val="22"/>
          <w:szCs w:val="22"/>
          <w:lang w:eastAsia="en-IN"/>
        </w:rPr>
        <w:t>(c): TPNODL 11 KV Technical Loss Assessment FY24</w:t>
      </w:r>
    </w:p>
    <w:tbl>
      <w:tblPr>
        <w:tblW w:w="9999" w:type="dxa"/>
        <w:tblInd w:w="5" w:type="dxa"/>
        <w:tblLayout w:type="fixed"/>
        <w:tblCellMar>
          <w:top w:w="15" w:type="dxa"/>
          <w:left w:w="15" w:type="dxa"/>
          <w:right w:w="15" w:type="dxa"/>
        </w:tblCellMar>
        <w:tblLook w:val="0600" w:firstRow="0" w:lastRow="0" w:firstColumn="0" w:lastColumn="0" w:noHBand="1" w:noVBand="1"/>
      </w:tblPr>
      <w:tblGrid>
        <w:gridCol w:w="1062"/>
        <w:gridCol w:w="1063"/>
        <w:gridCol w:w="911"/>
        <w:gridCol w:w="1779"/>
        <w:gridCol w:w="1431"/>
        <w:gridCol w:w="1518"/>
        <w:gridCol w:w="1041"/>
        <w:gridCol w:w="1194"/>
      </w:tblGrid>
      <w:tr w:rsidR="002F0A87" w:rsidRPr="003D5FB5" w14:paraId="23B2529E" w14:textId="77777777" w:rsidTr="004B69C1">
        <w:trPr>
          <w:trHeight w:val="649"/>
        </w:trPr>
        <w:tc>
          <w:tcPr>
            <w:tcW w:w="1062" w:type="dxa"/>
            <w:tcBorders>
              <w:top w:val="single" w:sz="4" w:space="0" w:color="000000"/>
              <w:left w:val="single" w:sz="4" w:space="0" w:color="000000"/>
              <w:bottom w:val="single" w:sz="4" w:space="0" w:color="000000"/>
              <w:right w:val="single" w:sz="4" w:space="0" w:color="000000"/>
            </w:tcBorders>
            <w:shd w:val="clear" w:color="auto" w:fill="95B3D7" w:themeFill="accent1" w:themeFillTint="99"/>
            <w:vAlign w:val="center"/>
          </w:tcPr>
          <w:p w14:paraId="24A15555" w14:textId="77777777" w:rsidR="002F0A87" w:rsidRPr="003D5FB5" w:rsidRDefault="002F0A87" w:rsidP="002F0A87">
            <w:pPr>
              <w:tabs>
                <w:tab w:val="left" w:pos="426"/>
              </w:tabs>
              <w:spacing w:line="360" w:lineRule="auto"/>
              <w:ind w:right="-23"/>
              <w:jc w:val="center"/>
              <w:textAlignment w:val="center"/>
              <w:rPr>
                <w:rFonts w:asciiTheme="minorHAnsi" w:hAnsiTheme="minorHAnsi" w:cstheme="minorHAnsi"/>
                <w:sz w:val="22"/>
                <w:szCs w:val="22"/>
                <w:lang w:eastAsia="en-IN"/>
              </w:rPr>
            </w:pPr>
            <w:r w:rsidRPr="003D5FB5">
              <w:rPr>
                <w:rFonts w:asciiTheme="minorHAnsi" w:hAnsiTheme="minorHAnsi" w:cstheme="minorHAnsi"/>
                <w:b/>
                <w:bCs/>
                <w:color w:val="000000"/>
                <w:kern w:val="2"/>
                <w:sz w:val="22"/>
                <w:szCs w:val="22"/>
                <w:lang w:eastAsia="en-IN"/>
              </w:rPr>
              <w:t>Circle</w:t>
            </w:r>
          </w:p>
        </w:tc>
        <w:tc>
          <w:tcPr>
            <w:tcW w:w="1063" w:type="dxa"/>
            <w:tcBorders>
              <w:top w:val="single" w:sz="4" w:space="0" w:color="000000"/>
              <w:left w:val="single" w:sz="4" w:space="0" w:color="000000"/>
              <w:bottom w:val="single" w:sz="4" w:space="0" w:color="000000"/>
              <w:right w:val="single" w:sz="4" w:space="0" w:color="000000"/>
            </w:tcBorders>
            <w:shd w:val="clear" w:color="auto" w:fill="95B3D7" w:themeFill="accent1" w:themeFillTint="99"/>
            <w:vAlign w:val="center"/>
          </w:tcPr>
          <w:p w14:paraId="5C5364FC" w14:textId="77777777" w:rsidR="002F0A87" w:rsidRPr="003D5FB5" w:rsidRDefault="002F0A87" w:rsidP="002F0A87">
            <w:pPr>
              <w:tabs>
                <w:tab w:val="left" w:pos="426"/>
              </w:tabs>
              <w:spacing w:line="360" w:lineRule="auto"/>
              <w:ind w:right="-23"/>
              <w:jc w:val="center"/>
              <w:textAlignment w:val="center"/>
              <w:rPr>
                <w:rFonts w:asciiTheme="minorHAnsi" w:hAnsiTheme="minorHAnsi" w:cstheme="minorHAnsi"/>
                <w:sz w:val="22"/>
                <w:szCs w:val="22"/>
                <w:lang w:eastAsia="en-IN"/>
              </w:rPr>
            </w:pPr>
            <w:r w:rsidRPr="003D5FB5">
              <w:rPr>
                <w:rFonts w:asciiTheme="minorHAnsi" w:hAnsiTheme="minorHAnsi" w:cstheme="minorHAnsi"/>
                <w:b/>
                <w:bCs/>
                <w:color w:val="000000"/>
                <w:kern w:val="2"/>
                <w:sz w:val="22"/>
                <w:szCs w:val="22"/>
                <w:lang w:eastAsia="en-IN"/>
              </w:rPr>
              <w:t>Peak load</w:t>
            </w:r>
            <w:r w:rsidRPr="003D5FB5">
              <w:rPr>
                <w:rFonts w:asciiTheme="minorHAnsi" w:hAnsiTheme="minorHAnsi" w:cstheme="minorHAnsi"/>
                <w:b/>
                <w:bCs/>
                <w:color w:val="000000"/>
                <w:kern w:val="2"/>
                <w:sz w:val="22"/>
                <w:szCs w:val="22"/>
                <w:lang w:eastAsia="en-IN"/>
              </w:rPr>
              <w:br/>
              <w:t>(MW)</w:t>
            </w:r>
          </w:p>
        </w:tc>
        <w:tc>
          <w:tcPr>
            <w:tcW w:w="911" w:type="dxa"/>
            <w:tcBorders>
              <w:top w:val="single" w:sz="4" w:space="0" w:color="000000"/>
              <w:left w:val="single" w:sz="4" w:space="0" w:color="000000"/>
              <w:bottom w:val="single" w:sz="4" w:space="0" w:color="000000"/>
              <w:right w:val="single" w:sz="4" w:space="0" w:color="000000"/>
            </w:tcBorders>
            <w:shd w:val="clear" w:color="auto" w:fill="95B3D7" w:themeFill="accent1" w:themeFillTint="99"/>
            <w:vAlign w:val="center"/>
          </w:tcPr>
          <w:p w14:paraId="0655FFDA" w14:textId="77777777" w:rsidR="002F0A87" w:rsidRPr="003D5FB5" w:rsidRDefault="002F0A87" w:rsidP="002F0A87">
            <w:pPr>
              <w:tabs>
                <w:tab w:val="left" w:pos="426"/>
              </w:tabs>
              <w:spacing w:line="360" w:lineRule="auto"/>
              <w:ind w:right="-23"/>
              <w:jc w:val="center"/>
              <w:textAlignment w:val="center"/>
              <w:rPr>
                <w:rFonts w:asciiTheme="minorHAnsi" w:hAnsiTheme="minorHAnsi" w:cstheme="minorHAnsi"/>
                <w:sz w:val="22"/>
                <w:szCs w:val="22"/>
                <w:lang w:eastAsia="en-IN"/>
              </w:rPr>
            </w:pPr>
            <w:r w:rsidRPr="003D5FB5">
              <w:rPr>
                <w:rFonts w:asciiTheme="minorHAnsi" w:hAnsiTheme="minorHAnsi" w:cstheme="minorHAnsi"/>
                <w:b/>
                <w:bCs/>
                <w:color w:val="000000"/>
                <w:kern w:val="2"/>
                <w:sz w:val="22"/>
                <w:szCs w:val="22"/>
                <w:lang w:eastAsia="en-IN"/>
              </w:rPr>
              <w:t>Line Loss (MW)</w:t>
            </w:r>
          </w:p>
        </w:tc>
        <w:tc>
          <w:tcPr>
            <w:tcW w:w="1779" w:type="dxa"/>
            <w:tcBorders>
              <w:top w:val="single" w:sz="4" w:space="0" w:color="000000"/>
              <w:left w:val="single" w:sz="4" w:space="0" w:color="000000"/>
              <w:bottom w:val="single" w:sz="4" w:space="0" w:color="000000"/>
              <w:right w:val="single" w:sz="4" w:space="0" w:color="000000"/>
            </w:tcBorders>
            <w:shd w:val="clear" w:color="auto" w:fill="95B3D7" w:themeFill="accent1" w:themeFillTint="99"/>
            <w:vAlign w:val="center"/>
          </w:tcPr>
          <w:p w14:paraId="2C44FBAE" w14:textId="77777777" w:rsidR="002F0A87" w:rsidRPr="003D5FB5" w:rsidRDefault="002F0A87" w:rsidP="002F0A87">
            <w:pPr>
              <w:tabs>
                <w:tab w:val="left" w:pos="426"/>
              </w:tabs>
              <w:spacing w:line="360" w:lineRule="auto"/>
              <w:ind w:right="-23"/>
              <w:jc w:val="center"/>
              <w:textAlignment w:val="center"/>
              <w:rPr>
                <w:rFonts w:asciiTheme="minorHAnsi" w:hAnsiTheme="minorHAnsi" w:cstheme="minorHAnsi"/>
                <w:sz w:val="22"/>
                <w:szCs w:val="22"/>
                <w:lang w:eastAsia="en-IN"/>
              </w:rPr>
            </w:pPr>
            <w:proofErr w:type="spellStart"/>
            <w:r w:rsidRPr="003D5FB5">
              <w:rPr>
                <w:rFonts w:asciiTheme="minorHAnsi" w:hAnsiTheme="minorHAnsi" w:cstheme="minorHAnsi"/>
                <w:b/>
                <w:bCs/>
                <w:color w:val="000000"/>
                <w:kern w:val="2"/>
                <w:sz w:val="22"/>
                <w:szCs w:val="22"/>
                <w:lang w:eastAsia="en-IN"/>
              </w:rPr>
              <w:t>Trf</w:t>
            </w:r>
            <w:proofErr w:type="spellEnd"/>
            <w:r w:rsidRPr="003D5FB5">
              <w:rPr>
                <w:rFonts w:asciiTheme="minorHAnsi" w:hAnsiTheme="minorHAnsi" w:cstheme="minorHAnsi"/>
                <w:b/>
                <w:bCs/>
                <w:color w:val="000000"/>
                <w:kern w:val="2"/>
                <w:sz w:val="22"/>
                <w:szCs w:val="22"/>
                <w:lang w:eastAsia="en-IN"/>
              </w:rPr>
              <w:t>.</w:t>
            </w:r>
            <w:r w:rsidRPr="003D5FB5">
              <w:rPr>
                <w:rFonts w:asciiTheme="minorHAnsi" w:hAnsiTheme="minorHAnsi" w:cstheme="minorHAnsi"/>
                <w:b/>
                <w:bCs/>
                <w:color w:val="000000"/>
                <w:kern w:val="2"/>
                <w:sz w:val="22"/>
                <w:szCs w:val="22"/>
                <w:lang w:eastAsia="en-IN"/>
              </w:rPr>
              <w:br/>
              <w:t>(No Load Loss)</w:t>
            </w:r>
            <w:r w:rsidRPr="003D5FB5">
              <w:rPr>
                <w:rFonts w:asciiTheme="minorHAnsi" w:hAnsiTheme="minorHAnsi" w:cstheme="minorHAnsi"/>
                <w:b/>
                <w:bCs/>
                <w:color w:val="000000"/>
                <w:kern w:val="2"/>
                <w:sz w:val="22"/>
                <w:szCs w:val="22"/>
                <w:lang w:eastAsia="en-IN"/>
              </w:rPr>
              <w:br/>
              <w:t>(MW)</w:t>
            </w:r>
          </w:p>
        </w:tc>
        <w:tc>
          <w:tcPr>
            <w:tcW w:w="1431" w:type="dxa"/>
            <w:tcBorders>
              <w:top w:val="single" w:sz="4" w:space="0" w:color="000000"/>
              <w:left w:val="single" w:sz="4" w:space="0" w:color="000000"/>
              <w:bottom w:val="single" w:sz="4" w:space="0" w:color="000000"/>
              <w:right w:val="single" w:sz="4" w:space="0" w:color="000000"/>
            </w:tcBorders>
            <w:shd w:val="clear" w:color="auto" w:fill="95B3D7" w:themeFill="accent1" w:themeFillTint="99"/>
            <w:vAlign w:val="center"/>
          </w:tcPr>
          <w:p w14:paraId="6D77FF80" w14:textId="77777777" w:rsidR="002F0A87" w:rsidRPr="003D5FB5" w:rsidRDefault="002F0A87" w:rsidP="002F0A87">
            <w:pPr>
              <w:tabs>
                <w:tab w:val="left" w:pos="426"/>
              </w:tabs>
              <w:spacing w:line="360" w:lineRule="auto"/>
              <w:ind w:right="-23"/>
              <w:jc w:val="center"/>
              <w:textAlignment w:val="center"/>
              <w:rPr>
                <w:rFonts w:asciiTheme="minorHAnsi" w:hAnsiTheme="minorHAnsi" w:cstheme="minorHAnsi"/>
                <w:sz w:val="22"/>
                <w:szCs w:val="22"/>
                <w:lang w:eastAsia="en-IN"/>
              </w:rPr>
            </w:pPr>
            <w:proofErr w:type="spellStart"/>
            <w:r w:rsidRPr="003D5FB5">
              <w:rPr>
                <w:rFonts w:asciiTheme="minorHAnsi" w:hAnsiTheme="minorHAnsi" w:cstheme="minorHAnsi"/>
                <w:b/>
                <w:bCs/>
                <w:color w:val="000000"/>
                <w:kern w:val="2"/>
                <w:sz w:val="22"/>
                <w:szCs w:val="22"/>
                <w:lang w:eastAsia="en-IN"/>
              </w:rPr>
              <w:t>Trf</w:t>
            </w:r>
            <w:proofErr w:type="spellEnd"/>
            <w:r w:rsidRPr="003D5FB5">
              <w:rPr>
                <w:rFonts w:asciiTheme="minorHAnsi" w:hAnsiTheme="minorHAnsi" w:cstheme="minorHAnsi"/>
                <w:b/>
                <w:bCs/>
                <w:color w:val="000000"/>
                <w:kern w:val="2"/>
                <w:sz w:val="22"/>
                <w:szCs w:val="22"/>
                <w:lang w:eastAsia="en-IN"/>
              </w:rPr>
              <w:t>.</w:t>
            </w:r>
            <w:r w:rsidRPr="003D5FB5">
              <w:rPr>
                <w:rFonts w:asciiTheme="minorHAnsi" w:hAnsiTheme="minorHAnsi" w:cstheme="minorHAnsi"/>
                <w:b/>
                <w:bCs/>
                <w:color w:val="000000"/>
                <w:kern w:val="2"/>
                <w:sz w:val="22"/>
                <w:szCs w:val="22"/>
                <w:lang w:eastAsia="en-IN"/>
              </w:rPr>
              <w:br/>
              <w:t>(Load Loss)</w:t>
            </w:r>
            <w:r w:rsidRPr="003D5FB5">
              <w:rPr>
                <w:rFonts w:asciiTheme="minorHAnsi" w:hAnsiTheme="minorHAnsi" w:cstheme="minorHAnsi"/>
                <w:b/>
                <w:bCs/>
                <w:color w:val="000000"/>
                <w:kern w:val="2"/>
                <w:sz w:val="22"/>
                <w:szCs w:val="22"/>
                <w:lang w:eastAsia="en-IN"/>
              </w:rPr>
              <w:br/>
              <w:t>(MW)</w:t>
            </w:r>
          </w:p>
        </w:tc>
        <w:tc>
          <w:tcPr>
            <w:tcW w:w="1518" w:type="dxa"/>
            <w:tcBorders>
              <w:top w:val="single" w:sz="4" w:space="0" w:color="000000"/>
              <w:left w:val="single" w:sz="4" w:space="0" w:color="000000"/>
              <w:bottom w:val="single" w:sz="4" w:space="0" w:color="000000"/>
              <w:right w:val="single" w:sz="4" w:space="0" w:color="000000"/>
            </w:tcBorders>
            <w:shd w:val="clear" w:color="auto" w:fill="95B3D7" w:themeFill="accent1" w:themeFillTint="99"/>
            <w:vAlign w:val="center"/>
          </w:tcPr>
          <w:p w14:paraId="2F91C1AB" w14:textId="77777777" w:rsidR="002F0A87" w:rsidRPr="003D5FB5" w:rsidRDefault="002F0A87" w:rsidP="002F0A87">
            <w:pPr>
              <w:tabs>
                <w:tab w:val="left" w:pos="426"/>
              </w:tabs>
              <w:spacing w:line="360" w:lineRule="auto"/>
              <w:ind w:right="-23"/>
              <w:jc w:val="center"/>
              <w:textAlignment w:val="center"/>
              <w:rPr>
                <w:rFonts w:asciiTheme="minorHAnsi" w:hAnsiTheme="minorHAnsi" w:cstheme="minorHAnsi"/>
                <w:sz w:val="22"/>
                <w:szCs w:val="22"/>
                <w:lang w:eastAsia="en-IN"/>
              </w:rPr>
            </w:pPr>
            <w:r w:rsidRPr="003D5FB5">
              <w:rPr>
                <w:rFonts w:asciiTheme="minorHAnsi" w:hAnsiTheme="minorHAnsi" w:cstheme="minorHAnsi"/>
                <w:b/>
                <w:bCs/>
                <w:color w:val="000000"/>
                <w:kern w:val="2"/>
                <w:sz w:val="22"/>
                <w:szCs w:val="22"/>
                <w:lang w:eastAsia="en-IN"/>
              </w:rPr>
              <w:t>Distributed loss @ 7.68%</w:t>
            </w:r>
            <w:r w:rsidRPr="003D5FB5">
              <w:rPr>
                <w:rFonts w:asciiTheme="minorHAnsi" w:hAnsiTheme="minorHAnsi" w:cstheme="minorHAnsi"/>
                <w:b/>
                <w:bCs/>
                <w:color w:val="000000"/>
                <w:kern w:val="2"/>
                <w:sz w:val="22"/>
                <w:szCs w:val="22"/>
                <w:lang w:eastAsia="en-IN"/>
              </w:rPr>
              <w:br/>
              <w:t>(MW)</w:t>
            </w:r>
          </w:p>
        </w:tc>
        <w:tc>
          <w:tcPr>
            <w:tcW w:w="1041" w:type="dxa"/>
            <w:tcBorders>
              <w:top w:val="single" w:sz="4" w:space="0" w:color="000000"/>
              <w:left w:val="single" w:sz="4" w:space="0" w:color="000000"/>
              <w:bottom w:val="single" w:sz="4" w:space="0" w:color="000000"/>
              <w:right w:val="single" w:sz="4" w:space="0" w:color="000000"/>
            </w:tcBorders>
            <w:shd w:val="clear" w:color="auto" w:fill="95B3D7" w:themeFill="accent1" w:themeFillTint="99"/>
            <w:vAlign w:val="center"/>
          </w:tcPr>
          <w:p w14:paraId="05BF93D1" w14:textId="77777777" w:rsidR="002F0A87" w:rsidRPr="003D5FB5" w:rsidRDefault="002F0A87" w:rsidP="002F0A87">
            <w:pPr>
              <w:tabs>
                <w:tab w:val="left" w:pos="426"/>
              </w:tabs>
              <w:spacing w:line="360" w:lineRule="auto"/>
              <w:ind w:right="-23"/>
              <w:jc w:val="center"/>
              <w:textAlignment w:val="center"/>
              <w:rPr>
                <w:rFonts w:asciiTheme="minorHAnsi" w:hAnsiTheme="minorHAnsi" w:cstheme="minorHAnsi"/>
                <w:sz w:val="22"/>
                <w:szCs w:val="22"/>
                <w:lang w:eastAsia="en-IN"/>
              </w:rPr>
            </w:pPr>
            <w:r w:rsidRPr="003D5FB5">
              <w:rPr>
                <w:rFonts w:asciiTheme="minorHAnsi" w:hAnsiTheme="minorHAnsi" w:cstheme="minorHAnsi"/>
                <w:b/>
                <w:bCs/>
                <w:color w:val="000000"/>
                <w:kern w:val="2"/>
                <w:sz w:val="22"/>
                <w:szCs w:val="22"/>
                <w:lang w:eastAsia="en-IN"/>
              </w:rPr>
              <w:t>Total Loss</w:t>
            </w:r>
            <w:r w:rsidRPr="003D5FB5">
              <w:rPr>
                <w:rFonts w:asciiTheme="minorHAnsi" w:hAnsiTheme="minorHAnsi" w:cstheme="minorHAnsi"/>
                <w:b/>
                <w:bCs/>
                <w:color w:val="000000"/>
                <w:kern w:val="2"/>
                <w:sz w:val="22"/>
                <w:szCs w:val="22"/>
                <w:lang w:eastAsia="en-IN"/>
              </w:rPr>
              <w:br/>
              <w:t>(MW)</w:t>
            </w:r>
          </w:p>
        </w:tc>
        <w:tc>
          <w:tcPr>
            <w:tcW w:w="1194" w:type="dxa"/>
            <w:tcBorders>
              <w:top w:val="single" w:sz="4" w:space="0" w:color="000000"/>
              <w:left w:val="single" w:sz="4" w:space="0" w:color="000000"/>
              <w:bottom w:val="single" w:sz="4" w:space="0" w:color="000000"/>
              <w:right w:val="single" w:sz="4" w:space="0" w:color="000000"/>
            </w:tcBorders>
            <w:shd w:val="clear" w:color="auto" w:fill="95B3D7" w:themeFill="accent1" w:themeFillTint="99"/>
            <w:vAlign w:val="center"/>
          </w:tcPr>
          <w:p w14:paraId="21967279" w14:textId="77777777" w:rsidR="002F0A87" w:rsidRPr="003D5FB5" w:rsidRDefault="002F0A87" w:rsidP="002F0A87">
            <w:pPr>
              <w:tabs>
                <w:tab w:val="left" w:pos="426"/>
              </w:tabs>
              <w:spacing w:line="360" w:lineRule="auto"/>
              <w:ind w:right="-23"/>
              <w:jc w:val="center"/>
              <w:textAlignment w:val="center"/>
              <w:rPr>
                <w:rFonts w:asciiTheme="minorHAnsi" w:hAnsiTheme="minorHAnsi" w:cstheme="minorHAnsi"/>
                <w:sz w:val="22"/>
                <w:szCs w:val="22"/>
                <w:lang w:eastAsia="en-IN"/>
              </w:rPr>
            </w:pPr>
            <w:r w:rsidRPr="003D5FB5">
              <w:rPr>
                <w:rFonts w:asciiTheme="minorHAnsi" w:hAnsiTheme="minorHAnsi" w:cstheme="minorHAnsi"/>
                <w:b/>
                <w:bCs/>
                <w:color w:val="000000"/>
                <w:kern w:val="2"/>
                <w:sz w:val="22"/>
                <w:szCs w:val="22"/>
                <w:lang w:eastAsia="en-IN"/>
              </w:rPr>
              <w:t>Annual Tech loss in %</w:t>
            </w:r>
          </w:p>
        </w:tc>
      </w:tr>
      <w:tr w:rsidR="002F0A87" w:rsidRPr="003D5FB5" w14:paraId="551807BF" w14:textId="77777777" w:rsidTr="004B69C1">
        <w:trPr>
          <w:trHeight w:val="330"/>
        </w:trPr>
        <w:tc>
          <w:tcPr>
            <w:tcW w:w="1062" w:type="dxa"/>
            <w:tcBorders>
              <w:top w:val="single" w:sz="4" w:space="0" w:color="000000"/>
              <w:left w:val="single" w:sz="4" w:space="0" w:color="000000"/>
              <w:bottom w:val="single" w:sz="4" w:space="0" w:color="000000"/>
              <w:right w:val="single" w:sz="4" w:space="0" w:color="000000"/>
            </w:tcBorders>
            <w:shd w:val="clear" w:color="auto" w:fill="auto"/>
            <w:vAlign w:val="bottom"/>
          </w:tcPr>
          <w:p w14:paraId="0B1835E4" w14:textId="77777777" w:rsidR="002F0A87" w:rsidRPr="003D5FB5" w:rsidRDefault="002F0A87" w:rsidP="002F0A87">
            <w:pPr>
              <w:tabs>
                <w:tab w:val="left" w:pos="426"/>
              </w:tabs>
              <w:spacing w:line="276" w:lineRule="auto"/>
              <w:ind w:right="-23"/>
              <w:jc w:val="both"/>
              <w:textAlignment w:val="bottom"/>
              <w:rPr>
                <w:rFonts w:asciiTheme="minorHAnsi" w:hAnsiTheme="minorHAnsi" w:cstheme="minorHAnsi"/>
                <w:sz w:val="22"/>
                <w:szCs w:val="22"/>
                <w:lang w:eastAsia="en-IN"/>
              </w:rPr>
            </w:pPr>
            <w:proofErr w:type="spellStart"/>
            <w:r w:rsidRPr="003D5FB5">
              <w:rPr>
                <w:rFonts w:asciiTheme="minorHAnsi" w:hAnsiTheme="minorHAnsi" w:cstheme="minorHAnsi"/>
                <w:color w:val="000000"/>
                <w:kern w:val="2"/>
                <w:sz w:val="22"/>
                <w:szCs w:val="22"/>
                <w:lang w:eastAsia="en-IN"/>
              </w:rPr>
              <w:t>Balasore</w:t>
            </w:r>
            <w:proofErr w:type="spellEnd"/>
          </w:p>
        </w:tc>
        <w:tc>
          <w:tcPr>
            <w:tcW w:w="106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AD83209" w14:textId="77777777" w:rsidR="002F0A87" w:rsidRPr="003D5FB5" w:rsidRDefault="002F0A87" w:rsidP="002F0A87">
            <w:pPr>
              <w:tabs>
                <w:tab w:val="left" w:pos="426"/>
              </w:tabs>
              <w:spacing w:line="276" w:lineRule="auto"/>
              <w:ind w:right="-23"/>
              <w:jc w:val="center"/>
              <w:textAlignment w:val="center"/>
              <w:rPr>
                <w:rFonts w:asciiTheme="minorHAnsi" w:hAnsiTheme="minorHAnsi" w:cstheme="minorHAnsi"/>
                <w:sz w:val="22"/>
                <w:szCs w:val="22"/>
                <w:lang w:eastAsia="en-IN"/>
              </w:rPr>
            </w:pPr>
            <w:r w:rsidRPr="003D5FB5">
              <w:rPr>
                <w:rFonts w:asciiTheme="minorHAnsi" w:hAnsiTheme="minorHAnsi" w:cstheme="minorHAnsi"/>
                <w:sz w:val="22"/>
                <w:szCs w:val="22"/>
                <w:lang w:eastAsia="en-IN"/>
              </w:rPr>
              <w:t>276.87</w:t>
            </w:r>
          </w:p>
        </w:tc>
        <w:tc>
          <w:tcPr>
            <w:tcW w:w="91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30464AE" w14:textId="77777777" w:rsidR="002F0A87" w:rsidRPr="003D5FB5" w:rsidRDefault="002F0A87" w:rsidP="002F0A87">
            <w:pPr>
              <w:tabs>
                <w:tab w:val="left" w:pos="426"/>
              </w:tabs>
              <w:spacing w:line="276" w:lineRule="auto"/>
              <w:ind w:right="-23"/>
              <w:jc w:val="center"/>
              <w:textAlignment w:val="center"/>
              <w:rPr>
                <w:rFonts w:asciiTheme="minorHAnsi" w:hAnsiTheme="minorHAnsi" w:cstheme="minorHAnsi"/>
                <w:sz w:val="22"/>
                <w:szCs w:val="22"/>
                <w:lang w:eastAsia="en-IN"/>
              </w:rPr>
            </w:pPr>
            <w:r w:rsidRPr="003D5FB5">
              <w:rPr>
                <w:rFonts w:asciiTheme="minorHAnsi" w:hAnsiTheme="minorHAnsi" w:cstheme="minorHAnsi"/>
                <w:color w:val="000000"/>
                <w:sz w:val="22"/>
                <w:szCs w:val="22"/>
              </w:rPr>
              <w:t>9.47</w:t>
            </w:r>
          </w:p>
        </w:tc>
        <w:tc>
          <w:tcPr>
            <w:tcW w:w="177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A971FC9" w14:textId="77777777" w:rsidR="002F0A87" w:rsidRPr="003D5FB5" w:rsidRDefault="002F0A87" w:rsidP="002F0A87">
            <w:pPr>
              <w:tabs>
                <w:tab w:val="left" w:pos="426"/>
              </w:tabs>
              <w:spacing w:line="276" w:lineRule="auto"/>
              <w:ind w:right="-23"/>
              <w:jc w:val="center"/>
              <w:textAlignment w:val="center"/>
              <w:rPr>
                <w:rFonts w:asciiTheme="minorHAnsi" w:hAnsiTheme="minorHAnsi" w:cstheme="minorHAnsi"/>
                <w:sz w:val="22"/>
                <w:szCs w:val="22"/>
                <w:lang w:eastAsia="en-IN"/>
              </w:rPr>
            </w:pPr>
            <w:r w:rsidRPr="003D5FB5">
              <w:rPr>
                <w:rFonts w:asciiTheme="minorHAnsi" w:hAnsiTheme="minorHAnsi" w:cstheme="minorHAnsi"/>
                <w:sz w:val="22"/>
                <w:szCs w:val="22"/>
                <w:lang w:eastAsia="en-IN"/>
              </w:rPr>
              <w:t>0.99</w:t>
            </w:r>
          </w:p>
        </w:tc>
        <w:tc>
          <w:tcPr>
            <w:tcW w:w="143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2AB1AD2" w14:textId="77777777" w:rsidR="002F0A87" w:rsidRPr="003D5FB5" w:rsidRDefault="002F0A87" w:rsidP="002F0A87">
            <w:pPr>
              <w:tabs>
                <w:tab w:val="left" w:pos="426"/>
              </w:tabs>
              <w:spacing w:line="276" w:lineRule="auto"/>
              <w:ind w:right="-23"/>
              <w:jc w:val="center"/>
              <w:textAlignment w:val="center"/>
              <w:rPr>
                <w:rFonts w:asciiTheme="minorHAnsi" w:hAnsiTheme="minorHAnsi" w:cstheme="minorHAnsi"/>
                <w:sz w:val="22"/>
                <w:szCs w:val="22"/>
                <w:lang w:eastAsia="en-IN"/>
              </w:rPr>
            </w:pPr>
            <w:r w:rsidRPr="003D5FB5">
              <w:rPr>
                <w:rFonts w:asciiTheme="minorHAnsi" w:hAnsiTheme="minorHAnsi" w:cstheme="minorHAnsi"/>
                <w:sz w:val="22"/>
                <w:szCs w:val="22"/>
                <w:lang w:eastAsia="en-IN"/>
              </w:rPr>
              <w:t>1.50</w:t>
            </w:r>
          </w:p>
        </w:tc>
        <w:tc>
          <w:tcPr>
            <w:tcW w:w="151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3091A0" w14:textId="77777777" w:rsidR="002F0A87" w:rsidRPr="003D5FB5" w:rsidRDefault="002F0A87" w:rsidP="002F0A87">
            <w:pPr>
              <w:tabs>
                <w:tab w:val="left" w:pos="426"/>
              </w:tabs>
              <w:spacing w:line="276" w:lineRule="auto"/>
              <w:ind w:right="-23"/>
              <w:jc w:val="center"/>
              <w:textAlignment w:val="center"/>
              <w:rPr>
                <w:rFonts w:asciiTheme="minorHAnsi" w:hAnsiTheme="minorHAnsi" w:cstheme="minorHAnsi"/>
                <w:sz w:val="22"/>
                <w:szCs w:val="22"/>
                <w:lang w:eastAsia="en-IN"/>
              </w:rPr>
            </w:pPr>
            <w:r w:rsidRPr="003D5FB5">
              <w:rPr>
                <w:rFonts w:asciiTheme="minorHAnsi" w:hAnsiTheme="minorHAnsi" w:cstheme="minorHAnsi"/>
                <w:color w:val="000000"/>
                <w:sz w:val="22"/>
                <w:szCs w:val="22"/>
              </w:rPr>
              <w:t>1.00</w:t>
            </w:r>
          </w:p>
        </w:tc>
        <w:tc>
          <w:tcPr>
            <w:tcW w:w="104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74F8ED4" w14:textId="77777777" w:rsidR="002F0A87" w:rsidRPr="003D5FB5" w:rsidRDefault="002F0A87" w:rsidP="002F0A87">
            <w:pPr>
              <w:tabs>
                <w:tab w:val="left" w:pos="426"/>
              </w:tabs>
              <w:spacing w:line="276" w:lineRule="auto"/>
              <w:ind w:right="-23"/>
              <w:jc w:val="center"/>
              <w:textAlignment w:val="center"/>
              <w:rPr>
                <w:rFonts w:asciiTheme="minorHAnsi" w:hAnsiTheme="minorHAnsi" w:cstheme="minorHAnsi"/>
                <w:sz w:val="22"/>
                <w:szCs w:val="22"/>
                <w:lang w:eastAsia="en-IN"/>
              </w:rPr>
            </w:pPr>
            <w:r w:rsidRPr="003D5FB5">
              <w:rPr>
                <w:rFonts w:asciiTheme="minorHAnsi" w:hAnsiTheme="minorHAnsi" w:cstheme="minorHAnsi"/>
                <w:color w:val="000000"/>
                <w:sz w:val="22"/>
                <w:szCs w:val="22"/>
              </w:rPr>
              <w:t>12.96</w:t>
            </w:r>
          </w:p>
        </w:tc>
        <w:tc>
          <w:tcPr>
            <w:tcW w:w="11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227348F" w14:textId="77777777" w:rsidR="002F0A87" w:rsidRPr="003D5FB5" w:rsidRDefault="002F0A87" w:rsidP="002F0A87">
            <w:pPr>
              <w:tabs>
                <w:tab w:val="left" w:pos="426"/>
              </w:tabs>
              <w:spacing w:line="276" w:lineRule="auto"/>
              <w:ind w:right="-23"/>
              <w:jc w:val="center"/>
              <w:textAlignment w:val="center"/>
              <w:rPr>
                <w:rFonts w:asciiTheme="minorHAnsi" w:hAnsiTheme="minorHAnsi" w:cstheme="minorHAnsi"/>
                <w:sz w:val="22"/>
                <w:szCs w:val="22"/>
                <w:lang w:eastAsia="en-IN"/>
              </w:rPr>
            </w:pPr>
            <w:r w:rsidRPr="003D5FB5">
              <w:rPr>
                <w:rFonts w:asciiTheme="minorHAnsi" w:hAnsiTheme="minorHAnsi" w:cstheme="minorHAnsi"/>
                <w:sz w:val="22"/>
                <w:szCs w:val="22"/>
                <w:lang w:eastAsia="en-IN"/>
              </w:rPr>
              <w:t>4.34</w:t>
            </w:r>
          </w:p>
        </w:tc>
      </w:tr>
      <w:tr w:rsidR="002F0A87" w:rsidRPr="003D5FB5" w14:paraId="681E75A3" w14:textId="77777777" w:rsidTr="004B69C1">
        <w:trPr>
          <w:trHeight w:val="330"/>
        </w:trPr>
        <w:tc>
          <w:tcPr>
            <w:tcW w:w="1062" w:type="dxa"/>
            <w:tcBorders>
              <w:top w:val="single" w:sz="4" w:space="0" w:color="000000"/>
              <w:left w:val="single" w:sz="4" w:space="0" w:color="000000"/>
              <w:bottom w:val="single" w:sz="4" w:space="0" w:color="000000"/>
              <w:right w:val="single" w:sz="4" w:space="0" w:color="000000"/>
            </w:tcBorders>
            <w:shd w:val="clear" w:color="auto" w:fill="auto"/>
            <w:vAlign w:val="bottom"/>
          </w:tcPr>
          <w:p w14:paraId="15EE1443" w14:textId="77777777" w:rsidR="002F0A87" w:rsidRPr="003D5FB5" w:rsidRDefault="002F0A87" w:rsidP="002F0A87">
            <w:pPr>
              <w:tabs>
                <w:tab w:val="left" w:pos="426"/>
              </w:tabs>
              <w:spacing w:line="276" w:lineRule="auto"/>
              <w:ind w:right="-23"/>
              <w:jc w:val="both"/>
              <w:textAlignment w:val="bottom"/>
              <w:rPr>
                <w:rFonts w:asciiTheme="minorHAnsi" w:hAnsiTheme="minorHAnsi" w:cstheme="minorHAnsi"/>
                <w:sz w:val="22"/>
                <w:szCs w:val="22"/>
                <w:lang w:eastAsia="en-IN"/>
              </w:rPr>
            </w:pPr>
            <w:proofErr w:type="spellStart"/>
            <w:r w:rsidRPr="003D5FB5">
              <w:rPr>
                <w:rFonts w:asciiTheme="minorHAnsi" w:hAnsiTheme="minorHAnsi" w:cstheme="minorHAnsi"/>
                <w:color w:val="000000"/>
                <w:kern w:val="2"/>
                <w:sz w:val="22"/>
                <w:szCs w:val="22"/>
                <w:lang w:eastAsia="en-IN"/>
              </w:rPr>
              <w:t>Baripada</w:t>
            </w:r>
            <w:proofErr w:type="spellEnd"/>
          </w:p>
        </w:tc>
        <w:tc>
          <w:tcPr>
            <w:tcW w:w="106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98C1B10" w14:textId="77777777" w:rsidR="002F0A87" w:rsidRPr="003D5FB5" w:rsidRDefault="002F0A87" w:rsidP="002F0A87">
            <w:pPr>
              <w:tabs>
                <w:tab w:val="left" w:pos="426"/>
              </w:tabs>
              <w:spacing w:line="276" w:lineRule="auto"/>
              <w:ind w:right="-23"/>
              <w:jc w:val="center"/>
              <w:textAlignment w:val="center"/>
              <w:rPr>
                <w:rFonts w:asciiTheme="minorHAnsi" w:hAnsiTheme="minorHAnsi" w:cstheme="minorHAnsi"/>
                <w:sz w:val="22"/>
                <w:szCs w:val="22"/>
                <w:lang w:eastAsia="en-IN"/>
              </w:rPr>
            </w:pPr>
            <w:r w:rsidRPr="003D5FB5">
              <w:rPr>
                <w:rFonts w:asciiTheme="minorHAnsi" w:hAnsiTheme="minorHAnsi" w:cstheme="minorHAnsi"/>
                <w:color w:val="000000"/>
                <w:kern w:val="2"/>
                <w:sz w:val="22"/>
                <w:szCs w:val="22"/>
                <w:lang w:eastAsia="en-IN"/>
              </w:rPr>
              <w:t>168.21</w:t>
            </w:r>
          </w:p>
        </w:tc>
        <w:tc>
          <w:tcPr>
            <w:tcW w:w="91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F73504" w14:textId="77777777" w:rsidR="002F0A87" w:rsidRPr="003D5FB5" w:rsidRDefault="002F0A87" w:rsidP="002F0A87">
            <w:pPr>
              <w:tabs>
                <w:tab w:val="left" w:pos="426"/>
              </w:tabs>
              <w:spacing w:line="276" w:lineRule="auto"/>
              <w:ind w:right="-23"/>
              <w:jc w:val="center"/>
              <w:textAlignment w:val="center"/>
              <w:rPr>
                <w:rFonts w:asciiTheme="minorHAnsi" w:hAnsiTheme="minorHAnsi" w:cstheme="minorHAnsi"/>
                <w:sz w:val="22"/>
                <w:szCs w:val="22"/>
                <w:lang w:eastAsia="en-IN"/>
              </w:rPr>
            </w:pPr>
            <w:r w:rsidRPr="003D5FB5">
              <w:rPr>
                <w:rFonts w:asciiTheme="minorHAnsi" w:hAnsiTheme="minorHAnsi" w:cstheme="minorHAnsi"/>
                <w:color w:val="000000"/>
                <w:sz w:val="22"/>
                <w:szCs w:val="22"/>
              </w:rPr>
              <w:t>6.15</w:t>
            </w:r>
          </w:p>
        </w:tc>
        <w:tc>
          <w:tcPr>
            <w:tcW w:w="177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CB9AC20" w14:textId="77777777" w:rsidR="002F0A87" w:rsidRPr="003D5FB5" w:rsidRDefault="002F0A87" w:rsidP="002F0A87">
            <w:pPr>
              <w:tabs>
                <w:tab w:val="left" w:pos="426"/>
              </w:tabs>
              <w:spacing w:line="276" w:lineRule="auto"/>
              <w:ind w:right="-23"/>
              <w:jc w:val="center"/>
              <w:textAlignment w:val="center"/>
              <w:rPr>
                <w:rFonts w:asciiTheme="minorHAnsi" w:hAnsiTheme="minorHAnsi" w:cstheme="minorHAnsi"/>
                <w:sz w:val="22"/>
                <w:szCs w:val="22"/>
                <w:lang w:eastAsia="en-IN"/>
              </w:rPr>
            </w:pPr>
            <w:r w:rsidRPr="003D5FB5">
              <w:rPr>
                <w:rFonts w:asciiTheme="minorHAnsi" w:hAnsiTheme="minorHAnsi" w:cstheme="minorHAnsi"/>
                <w:color w:val="000000"/>
                <w:kern w:val="2"/>
                <w:sz w:val="22"/>
                <w:szCs w:val="22"/>
                <w:lang w:eastAsia="en-IN"/>
              </w:rPr>
              <w:t>0.81</w:t>
            </w:r>
          </w:p>
        </w:tc>
        <w:tc>
          <w:tcPr>
            <w:tcW w:w="143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A0D2103" w14:textId="77777777" w:rsidR="002F0A87" w:rsidRPr="003D5FB5" w:rsidRDefault="002F0A87" w:rsidP="002F0A87">
            <w:pPr>
              <w:tabs>
                <w:tab w:val="left" w:pos="426"/>
              </w:tabs>
              <w:spacing w:line="276" w:lineRule="auto"/>
              <w:ind w:right="-23"/>
              <w:jc w:val="center"/>
              <w:textAlignment w:val="center"/>
              <w:rPr>
                <w:rFonts w:asciiTheme="minorHAnsi" w:hAnsiTheme="minorHAnsi" w:cstheme="minorHAnsi"/>
                <w:sz w:val="22"/>
                <w:szCs w:val="22"/>
                <w:lang w:eastAsia="en-IN"/>
              </w:rPr>
            </w:pPr>
            <w:r w:rsidRPr="003D5FB5">
              <w:rPr>
                <w:rFonts w:asciiTheme="minorHAnsi" w:hAnsiTheme="minorHAnsi" w:cstheme="minorHAnsi"/>
                <w:color w:val="000000"/>
                <w:kern w:val="2"/>
                <w:sz w:val="22"/>
                <w:szCs w:val="22"/>
                <w:lang w:eastAsia="en-IN"/>
              </w:rPr>
              <w:t>1.16</w:t>
            </w:r>
          </w:p>
        </w:tc>
        <w:tc>
          <w:tcPr>
            <w:tcW w:w="151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4B864AE" w14:textId="77777777" w:rsidR="002F0A87" w:rsidRPr="003D5FB5" w:rsidRDefault="002F0A87" w:rsidP="002F0A87">
            <w:pPr>
              <w:tabs>
                <w:tab w:val="left" w:pos="426"/>
              </w:tabs>
              <w:spacing w:line="276" w:lineRule="auto"/>
              <w:ind w:right="-23"/>
              <w:jc w:val="center"/>
              <w:textAlignment w:val="center"/>
              <w:rPr>
                <w:rFonts w:asciiTheme="minorHAnsi" w:hAnsiTheme="minorHAnsi" w:cstheme="minorHAnsi"/>
                <w:sz w:val="22"/>
                <w:szCs w:val="22"/>
                <w:lang w:eastAsia="en-IN"/>
              </w:rPr>
            </w:pPr>
            <w:r w:rsidRPr="003D5FB5">
              <w:rPr>
                <w:rFonts w:asciiTheme="minorHAnsi" w:hAnsiTheme="minorHAnsi" w:cstheme="minorHAnsi"/>
                <w:color w:val="000000"/>
                <w:sz w:val="22"/>
                <w:szCs w:val="22"/>
              </w:rPr>
              <w:t>0.68</w:t>
            </w:r>
          </w:p>
        </w:tc>
        <w:tc>
          <w:tcPr>
            <w:tcW w:w="104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FB32F8" w14:textId="77777777" w:rsidR="002F0A87" w:rsidRPr="003D5FB5" w:rsidRDefault="002F0A87" w:rsidP="002F0A87">
            <w:pPr>
              <w:tabs>
                <w:tab w:val="left" w:pos="426"/>
              </w:tabs>
              <w:spacing w:line="276" w:lineRule="auto"/>
              <w:ind w:right="-23"/>
              <w:jc w:val="center"/>
              <w:textAlignment w:val="center"/>
              <w:rPr>
                <w:rFonts w:asciiTheme="minorHAnsi" w:hAnsiTheme="minorHAnsi" w:cstheme="minorHAnsi"/>
                <w:sz w:val="22"/>
                <w:szCs w:val="22"/>
                <w:lang w:eastAsia="en-IN"/>
              </w:rPr>
            </w:pPr>
            <w:r w:rsidRPr="003D5FB5">
              <w:rPr>
                <w:rFonts w:asciiTheme="minorHAnsi" w:hAnsiTheme="minorHAnsi" w:cstheme="minorHAnsi"/>
                <w:color w:val="000000"/>
                <w:sz w:val="22"/>
                <w:szCs w:val="22"/>
              </w:rPr>
              <w:t>8.80</w:t>
            </w:r>
          </w:p>
        </w:tc>
        <w:tc>
          <w:tcPr>
            <w:tcW w:w="11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FDEF9B5" w14:textId="77777777" w:rsidR="002F0A87" w:rsidRPr="003D5FB5" w:rsidRDefault="002F0A87" w:rsidP="002F0A87">
            <w:pPr>
              <w:tabs>
                <w:tab w:val="left" w:pos="426"/>
              </w:tabs>
              <w:spacing w:line="276" w:lineRule="auto"/>
              <w:ind w:right="-23"/>
              <w:jc w:val="center"/>
              <w:textAlignment w:val="center"/>
              <w:rPr>
                <w:rFonts w:asciiTheme="minorHAnsi" w:hAnsiTheme="minorHAnsi" w:cstheme="minorHAnsi"/>
                <w:sz w:val="22"/>
                <w:szCs w:val="22"/>
                <w:lang w:eastAsia="en-IN"/>
              </w:rPr>
            </w:pPr>
            <w:r w:rsidRPr="003D5FB5">
              <w:rPr>
                <w:rFonts w:asciiTheme="minorHAnsi" w:hAnsiTheme="minorHAnsi" w:cstheme="minorHAnsi"/>
                <w:color w:val="000000"/>
                <w:kern w:val="2"/>
                <w:sz w:val="22"/>
                <w:szCs w:val="22"/>
                <w:lang w:eastAsia="en-IN"/>
              </w:rPr>
              <w:t>4.11</w:t>
            </w:r>
          </w:p>
        </w:tc>
      </w:tr>
      <w:tr w:rsidR="002F0A87" w:rsidRPr="003D5FB5" w14:paraId="5B6700A6" w14:textId="77777777" w:rsidTr="004B69C1">
        <w:trPr>
          <w:trHeight w:val="330"/>
        </w:trPr>
        <w:tc>
          <w:tcPr>
            <w:tcW w:w="1062" w:type="dxa"/>
            <w:tcBorders>
              <w:top w:val="single" w:sz="4" w:space="0" w:color="000000"/>
              <w:left w:val="single" w:sz="4" w:space="0" w:color="000000"/>
              <w:bottom w:val="single" w:sz="4" w:space="0" w:color="000000"/>
              <w:right w:val="single" w:sz="4" w:space="0" w:color="000000"/>
            </w:tcBorders>
            <w:shd w:val="clear" w:color="auto" w:fill="auto"/>
            <w:vAlign w:val="bottom"/>
          </w:tcPr>
          <w:p w14:paraId="7393CE32" w14:textId="77777777" w:rsidR="002F0A87" w:rsidRPr="003D5FB5" w:rsidRDefault="002F0A87" w:rsidP="002F0A87">
            <w:pPr>
              <w:tabs>
                <w:tab w:val="left" w:pos="426"/>
              </w:tabs>
              <w:spacing w:line="276" w:lineRule="auto"/>
              <w:ind w:right="-23"/>
              <w:jc w:val="both"/>
              <w:textAlignment w:val="bottom"/>
              <w:rPr>
                <w:rFonts w:asciiTheme="minorHAnsi" w:hAnsiTheme="minorHAnsi" w:cstheme="minorHAnsi"/>
                <w:sz w:val="22"/>
                <w:szCs w:val="22"/>
                <w:lang w:eastAsia="en-IN"/>
              </w:rPr>
            </w:pPr>
            <w:proofErr w:type="spellStart"/>
            <w:r w:rsidRPr="003D5FB5">
              <w:rPr>
                <w:rFonts w:asciiTheme="minorHAnsi" w:hAnsiTheme="minorHAnsi" w:cstheme="minorHAnsi"/>
                <w:color w:val="000000"/>
                <w:kern w:val="2"/>
                <w:sz w:val="22"/>
                <w:szCs w:val="22"/>
                <w:lang w:eastAsia="en-IN"/>
              </w:rPr>
              <w:t>Bhadrak</w:t>
            </w:r>
            <w:proofErr w:type="spellEnd"/>
          </w:p>
        </w:tc>
        <w:tc>
          <w:tcPr>
            <w:tcW w:w="106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5A4828" w14:textId="77777777" w:rsidR="002F0A87" w:rsidRPr="003D5FB5" w:rsidRDefault="002F0A87" w:rsidP="002F0A87">
            <w:pPr>
              <w:tabs>
                <w:tab w:val="left" w:pos="426"/>
              </w:tabs>
              <w:spacing w:line="276" w:lineRule="auto"/>
              <w:ind w:right="-23"/>
              <w:jc w:val="center"/>
              <w:textAlignment w:val="center"/>
              <w:rPr>
                <w:rFonts w:asciiTheme="minorHAnsi" w:hAnsiTheme="minorHAnsi" w:cstheme="minorHAnsi"/>
                <w:sz w:val="22"/>
                <w:szCs w:val="22"/>
                <w:lang w:eastAsia="en-IN"/>
              </w:rPr>
            </w:pPr>
            <w:r w:rsidRPr="003D5FB5">
              <w:rPr>
                <w:rFonts w:asciiTheme="minorHAnsi" w:hAnsiTheme="minorHAnsi" w:cstheme="minorHAnsi"/>
                <w:sz w:val="22"/>
                <w:szCs w:val="22"/>
                <w:lang w:eastAsia="en-IN"/>
              </w:rPr>
              <w:t>163.45</w:t>
            </w:r>
          </w:p>
        </w:tc>
        <w:tc>
          <w:tcPr>
            <w:tcW w:w="91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8EE0E7" w14:textId="77777777" w:rsidR="002F0A87" w:rsidRPr="003D5FB5" w:rsidRDefault="002F0A87" w:rsidP="002F0A87">
            <w:pPr>
              <w:tabs>
                <w:tab w:val="left" w:pos="426"/>
              </w:tabs>
              <w:spacing w:line="276" w:lineRule="auto"/>
              <w:ind w:right="-23"/>
              <w:jc w:val="center"/>
              <w:textAlignment w:val="center"/>
              <w:rPr>
                <w:rFonts w:asciiTheme="minorHAnsi" w:hAnsiTheme="minorHAnsi" w:cstheme="minorHAnsi"/>
                <w:sz w:val="22"/>
                <w:szCs w:val="22"/>
                <w:lang w:eastAsia="en-IN"/>
              </w:rPr>
            </w:pPr>
            <w:r w:rsidRPr="003D5FB5">
              <w:rPr>
                <w:rFonts w:asciiTheme="minorHAnsi" w:hAnsiTheme="minorHAnsi" w:cstheme="minorHAnsi"/>
                <w:color w:val="000000"/>
                <w:sz w:val="22"/>
                <w:szCs w:val="22"/>
              </w:rPr>
              <w:t>7.04</w:t>
            </w:r>
          </w:p>
        </w:tc>
        <w:tc>
          <w:tcPr>
            <w:tcW w:w="177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656C481" w14:textId="77777777" w:rsidR="002F0A87" w:rsidRPr="003D5FB5" w:rsidRDefault="002F0A87" w:rsidP="002F0A87">
            <w:pPr>
              <w:tabs>
                <w:tab w:val="left" w:pos="426"/>
              </w:tabs>
              <w:spacing w:line="276" w:lineRule="auto"/>
              <w:ind w:right="-23"/>
              <w:jc w:val="center"/>
              <w:textAlignment w:val="center"/>
              <w:rPr>
                <w:rFonts w:asciiTheme="minorHAnsi" w:hAnsiTheme="minorHAnsi" w:cstheme="minorHAnsi"/>
                <w:sz w:val="22"/>
                <w:szCs w:val="22"/>
                <w:lang w:eastAsia="en-IN"/>
              </w:rPr>
            </w:pPr>
            <w:r w:rsidRPr="003D5FB5">
              <w:rPr>
                <w:rFonts w:asciiTheme="minorHAnsi" w:hAnsiTheme="minorHAnsi" w:cstheme="minorHAnsi"/>
                <w:sz w:val="22"/>
                <w:szCs w:val="22"/>
                <w:lang w:eastAsia="en-IN"/>
              </w:rPr>
              <w:t>0.82</w:t>
            </w:r>
          </w:p>
        </w:tc>
        <w:tc>
          <w:tcPr>
            <w:tcW w:w="143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9BD4062" w14:textId="77777777" w:rsidR="002F0A87" w:rsidRPr="003D5FB5" w:rsidRDefault="002F0A87" w:rsidP="002F0A87">
            <w:pPr>
              <w:tabs>
                <w:tab w:val="left" w:pos="426"/>
              </w:tabs>
              <w:spacing w:line="276" w:lineRule="auto"/>
              <w:ind w:right="-23"/>
              <w:jc w:val="center"/>
              <w:textAlignment w:val="center"/>
              <w:rPr>
                <w:rFonts w:asciiTheme="minorHAnsi" w:hAnsiTheme="minorHAnsi" w:cstheme="minorHAnsi"/>
                <w:sz w:val="22"/>
                <w:szCs w:val="22"/>
                <w:lang w:eastAsia="en-IN"/>
              </w:rPr>
            </w:pPr>
            <w:r w:rsidRPr="003D5FB5">
              <w:rPr>
                <w:rFonts w:asciiTheme="minorHAnsi" w:hAnsiTheme="minorHAnsi" w:cstheme="minorHAnsi"/>
                <w:sz w:val="22"/>
                <w:szCs w:val="22"/>
                <w:lang w:eastAsia="en-IN"/>
              </w:rPr>
              <w:t>1.13</w:t>
            </w:r>
          </w:p>
        </w:tc>
        <w:tc>
          <w:tcPr>
            <w:tcW w:w="151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C5BE04C" w14:textId="77777777" w:rsidR="002F0A87" w:rsidRPr="003D5FB5" w:rsidRDefault="002F0A87" w:rsidP="002F0A87">
            <w:pPr>
              <w:tabs>
                <w:tab w:val="left" w:pos="426"/>
              </w:tabs>
              <w:spacing w:line="276" w:lineRule="auto"/>
              <w:ind w:right="-23"/>
              <w:jc w:val="center"/>
              <w:textAlignment w:val="center"/>
              <w:rPr>
                <w:rFonts w:asciiTheme="minorHAnsi" w:hAnsiTheme="minorHAnsi" w:cstheme="minorHAnsi"/>
                <w:sz w:val="22"/>
                <w:szCs w:val="22"/>
                <w:lang w:eastAsia="en-IN"/>
              </w:rPr>
            </w:pPr>
            <w:r w:rsidRPr="003D5FB5">
              <w:rPr>
                <w:rFonts w:asciiTheme="minorHAnsi" w:hAnsiTheme="minorHAnsi" w:cstheme="minorHAnsi"/>
                <w:color w:val="000000"/>
                <w:sz w:val="22"/>
                <w:szCs w:val="22"/>
              </w:rPr>
              <w:t>0.75</w:t>
            </w:r>
          </w:p>
        </w:tc>
        <w:tc>
          <w:tcPr>
            <w:tcW w:w="104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BB87E48" w14:textId="77777777" w:rsidR="002F0A87" w:rsidRPr="003D5FB5" w:rsidRDefault="002F0A87" w:rsidP="002F0A87">
            <w:pPr>
              <w:tabs>
                <w:tab w:val="left" w:pos="426"/>
              </w:tabs>
              <w:spacing w:line="276" w:lineRule="auto"/>
              <w:ind w:right="-23"/>
              <w:jc w:val="center"/>
              <w:textAlignment w:val="center"/>
              <w:rPr>
                <w:rFonts w:asciiTheme="minorHAnsi" w:hAnsiTheme="minorHAnsi" w:cstheme="minorHAnsi"/>
                <w:sz w:val="22"/>
                <w:szCs w:val="22"/>
                <w:lang w:eastAsia="en-IN"/>
              </w:rPr>
            </w:pPr>
            <w:r w:rsidRPr="003D5FB5">
              <w:rPr>
                <w:rFonts w:asciiTheme="minorHAnsi" w:hAnsiTheme="minorHAnsi" w:cstheme="minorHAnsi"/>
                <w:color w:val="000000"/>
                <w:sz w:val="22"/>
                <w:szCs w:val="22"/>
              </w:rPr>
              <w:t>9.74</w:t>
            </w:r>
          </w:p>
        </w:tc>
        <w:tc>
          <w:tcPr>
            <w:tcW w:w="11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FD14C40" w14:textId="77777777" w:rsidR="002F0A87" w:rsidRPr="003D5FB5" w:rsidRDefault="002F0A87" w:rsidP="002F0A87">
            <w:pPr>
              <w:tabs>
                <w:tab w:val="left" w:pos="426"/>
              </w:tabs>
              <w:spacing w:line="276" w:lineRule="auto"/>
              <w:ind w:right="-23"/>
              <w:jc w:val="center"/>
              <w:textAlignment w:val="center"/>
              <w:rPr>
                <w:rFonts w:asciiTheme="minorHAnsi" w:hAnsiTheme="minorHAnsi" w:cstheme="minorHAnsi"/>
                <w:sz w:val="22"/>
                <w:szCs w:val="22"/>
                <w:lang w:eastAsia="en-IN"/>
              </w:rPr>
            </w:pPr>
            <w:r w:rsidRPr="003D5FB5">
              <w:rPr>
                <w:rFonts w:asciiTheme="minorHAnsi" w:hAnsiTheme="minorHAnsi" w:cstheme="minorHAnsi"/>
                <w:sz w:val="22"/>
                <w:szCs w:val="22"/>
                <w:lang w:eastAsia="en-IN"/>
              </w:rPr>
              <w:t>4.6</w:t>
            </w:r>
          </w:p>
        </w:tc>
      </w:tr>
      <w:tr w:rsidR="002F0A87" w:rsidRPr="003D5FB5" w14:paraId="2D3233E1" w14:textId="77777777" w:rsidTr="004B69C1">
        <w:trPr>
          <w:trHeight w:val="330"/>
        </w:trPr>
        <w:tc>
          <w:tcPr>
            <w:tcW w:w="1062" w:type="dxa"/>
            <w:tcBorders>
              <w:top w:val="single" w:sz="4" w:space="0" w:color="000000"/>
              <w:left w:val="single" w:sz="4" w:space="0" w:color="000000"/>
              <w:bottom w:val="single" w:sz="4" w:space="0" w:color="000000"/>
              <w:right w:val="single" w:sz="4" w:space="0" w:color="000000"/>
            </w:tcBorders>
            <w:shd w:val="clear" w:color="auto" w:fill="auto"/>
            <w:vAlign w:val="bottom"/>
          </w:tcPr>
          <w:p w14:paraId="1990D280" w14:textId="77777777" w:rsidR="002F0A87" w:rsidRPr="003D5FB5" w:rsidRDefault="002F0A87" w:rsidP="002F0A87">
            <w:pPr>
              <w:tabs>
                <w:tab w:val="left" w:pos="426"/>
              </w:tabs>
              <w:spacing w:line="276" w:lineRule="auto"/>
              <w:ind w:right="-23"/>
              <w:jc w:val="both"/>
              <w:textAlignment w:val="bottom"/>
              <w:rPr>
                <w:rFonts w:asciiTheme="minorHAnsi" w:hAnsiTheme="minorHAnsi" w:cstheme="minorHAnsi"/>
                <w:sz w:val="22"/>
                <w:szCs w:val="22"/>
                <w:lang w:eastAsia="en-IN"/>
              </w:rPr>
            </w:pPr>
            <w:proofErr w:type="spellStart"/>
            <w:r w:rsidRPr="003D5FB5">
              <w:rPr>
                <w:rFonts w:asciiTheme="minorHAnsi" w:hAnsiTheme="minorHAnsi" w:cstheme="minorHAnsi"/>
                <w:color w:val="000000"/>
                <w:kern w:val="2"/>
                <w:sz w:val="22"/>
                <w:szCs w:val="22"/>
                <w:lang w:eastAsia="en-IN"/>
              </w:rPr>
              <w:t>Jajpur</w:t>
            </w:r>
            <w:proofErr w:type="spellEnd"/>
          </w:p>
        </w:tc>
        <w:tc>
          <w:tcPr>
            <w:tcW w:w="106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3E82515" w14:textId="77777777" w:rsidR="002F0A87" w:rsidRPr="003D5FB5" w:rsidRDefault="002F0A87" w:rsidP="002F0A87">
            <w:pPr>
              <w:tabs>
                <w:tab w:val="left" w:pos="426"/>
              </w:tabs>
              <w:spacing w:line="276" w:lineRule="auto"/>
              <w:ind w:right="-23"/>
              <w:jc w:val="center"/>
              <w:textAlignment w:val="center"/>
              <w:rPr>
                <w:rFonts w:asciiTheme="minorHAnsi" w:hAnsiTheme="minorHAnsi" w:cstheme="minorHAnsi"/>
                <w:sz w:val="22"/>
                <w:szCs w:val="22"/>
                <w:lang w:eastAsia="en-IN"/>
              </w:rPr>
            </w:pPr>
            <w:r w:rsidRPr="003D5FB5">
              <w:rPr>
                <w:rFonts w:asciiTheme="minorHAnsi" w:hAnsiTheme="minorHAnsi" w:cstheme="minorHAnsi"/>
                <w:sz w:val="22"/>
                <w:szCs w:val="22"/>
                <w:lang w:eastAsia="en-IN"/>
              </w:rPr>
              <w:t>167.68</w:t>
            </w:r>
          </w:p>
        </w:tc>
        <w:tc>
          <w:tcPr>
            <w:tcW w:w="91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BE37364" w14:textId="77777777" w:rsidR="002F0A87" w:rsidRPr="003D5FB5" w:rsidRDefault="002F0A87" w:rsidP="002F0A87">
            <w:pPr>
              <w:tabs>
                <w:tab w:val="left" w:pos="426"/>
              </w:tabs>
              <w:spacing w:line="276" w:lineRule="auto"/>
              <w:ind w:right="-23"/>
              <w:jc w:val="center"/>
              <w:textAlignment w:val="center"/>
              <w:rPr>
                <w:rFonts w:asciiTheme="minorHAnsi" w:hAnsiTheme="minorHAnsi" w:cstheme="minorHAnsi"/>
                <w:sz w:val="22"/>
                <w:szCs w:val="22"/>
                <w:lang w:eastAsia="en-IN"/>
              </w:rPr>
            </w:pPr>
            <w:r w:rsidRPr="003D5FB5">
              <w:rPr>
                <w:rFonts w:asciiTheme="minorHAnsi" w:hAnsiTheme="minorHAnsi" w:cstheme="minorHAnsi"/>
                <w:color w:val="000000"/>
                <w:sz w:val="22"/>
                <w:szCs w:val="22"/>
              </w:rPr>
              <w:t>4.09</w:t>
            </w:r>
          </w:p>
        </w:tc>
        <w:tc>
          <w:tcPr>
            <w:tcW w:w="177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FCE9839" w14:textId="77777777" w:rsidR="002F0A87" w:rsidRPr="003D5FB5" w:rsidRDefault="002F0A87" w:rsidP="002F0A87">
            <w:pPr>
              <w:tabs>
                <w:tab w:val="left" w:pos="426"/>
              </w:tabs>
              <w:spacing w:line="276" w:lineRule="auto"/>
              <w:ind w:right="-23"/>
              <w:jc w:val="center"/>
              <w:textAlignment w:val="center"/>
              <w:rPr>
                <w:rFonts w:asciiTheme="minorHAnsi" w:hAnsiTheme="minorHAnsi" w:cstheme="minorHAnsi"/>
                <w:sz w:val="22"/>
                <w:szCs w:val="22"/>
                <w:lang w:eastAsia="en-IN"/>
              </w:rPr>
            </w:pPr>
            <w:r w:rsidRPr="003D5FB5">
              <w:rPr>
                <w:rFonts w:asciiTheme="minorHAnsi" w:hAnsiTheme="minorHAnsi" w:cstheme="minorHAnsi"/>
                <w:sz w:val="22"/>
                <w:szCs w:val="22"/>
                <w:lang w:eastAsia="en-IN"/>
              </w:rPr>
              <w:t>1.34</w:t>
            </w:r>
          </w:p>
        </w:tc>
        <w:tc>
          <w:tcPr>
            <w:tcW w:w="143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3B294D3" w14:textId="77777777" w:rsidR="002F0A87" w:rsidRPr="003D5FB5" w:rsidRDefault="002F0A87" w:rsidP="002F0A87">
            <w:pPr>
              <w:tabs>
                <w:tab w:val="left" w:pos="426"/>
              </w:tabs>
              <w:spacing w:line="276" w:lineRule="auto"/>
              <w:ind w:right="-23"/>
              <w:jc w:val="center"/>
              <w:textAlignment w:val="center"/>
              <w:rPr>
                <w:rFonts w:asciiTheme="minorHAnsi" w:hAnsiTheme="minorHAnsi" w:cstheme="minorHAnsi"/>
                <w:sz w:val="22"/>
                <w:szCs w:val="22"/>
                <w:lang w:eastAsia="en-IN"/>
              </w:rPr>
            </w:pPr>
            <w:r w:rsidRPr="003D5FB5">
              <w:rPr>
                <w:rFonts w:asciiTheme="minorHAnsi" w:hAnsiTheme="minorHAnsi" w:cstheme="minorHAnsi"/>
                <w:sz w:val="22"/>
                <w:szCs w:val="22"/>
                <w:lang w:eastAsia="en-IN"/>
              </w:rPr>
              <w:t>0.98</w:t>
            </w:r>
          </w:p>
        </w:tc>
        <w:tc>
          <w:tcPr>
            <w:tcW w:w="151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50465DB" w14:textId="77777777" w:rsidR="002F0A87" w:rsidRPr="003D5FB5" w:rsidRDefault="002F0A87" w:rsidP="002F0A87">
            <w:pPr>
              <w:tabs>
                <w:tab w:val="left" w:pos="426"/>
              </w:tabs>
              <w:spacing w:line="276" w:lineRule="auto"/>
              <w:ind w:right="-23"/>
              <w:jc w:val="center"/>
              <w:textAlignment w:val="center"/>
              <w:rPr>
                <w:rFonts w:asciiTheme="minorHAnsi" w:hAnsiTheme="minorHAnsi" w:cstheme="minorHAnsi"/>
                <w:sz w:val="22"/>
                <w:szCs w:val="22"/>
                <w:lang w:eastAsia="en-IN"/>
              </w:rPr>
            </w:pPr>
            <w:r w:rsidRPr="003D5FB5">
              <w:rPr>
                <w:rFonts w:asciiTheme="minorHAnsi" w:hAnsiTheme="minorHAnsi" w:cstheme="minorHAnsi"/>
                <w:color w:val="000000"/>
                <w:sz w:val="22"/>
                <w:szCs w:val="22"/>
              </w:rPr>
              <w:t>0.53</w:t>
            </w:r>
          </w:p>
        </w:tc>
        <w:tc>
          <w:tcPr>
            <w:tcW w:w="104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4C43822" w14:textId="77777777" w:rsidR="002F0A87" w:rsidRPr="003D5FB5" w:rsidRDefault="002F0A87" w:rsidP="002F0A87">
            <w:pPr>
              <w:tabs>
                <w:tab w:val="left" w:pos="426"/>
              </w:tabs>
              <w:spacing w:line="276" w:lineRule="auto"/>
              <w:ind w:right="-23"/>
              <w:jc w:val="center"/>
              <w:textAlignment w:val="center"/>
              <w:rPr>
                <w:rFonts w:asciiTheme="minorHAnsi" w:hAnsiTheme="minorHAnsi" w:cstheme="minorHAnsi"/>
                <w:sz w:val="22"/>
                <w:szCs w:val="22"/>
                <w:lang w:eastAsia="en-IN"/>
              </w:rPr>
            </w:pPr>
            <w:r w:rsidRPr="003D5FB5">
              <w:rPr>
                <w:rFonts w:asciiTheme="minorHAnsi" w:hAnsiTheme="minorHAnsi" w:cstheme="minorHAnsi"/>
                <w:color w:val="000000"/>
                <w:sz w:val="22"/>
                <w:szCs w:val="22"/>
              </w:rPr>
              <w:t>6.94</w:t>
            </w:r>
          </w:p>
        </w:tc>
        <w:tc>
          <w:tcPr>
            <w:tcW w:w="11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6AA4551" w14:textId="77777777" w:rsidR="002F0A87" w:rsidRPr="003D5FB5" w:rsidRDefault="002F0A87" w:rsidP="002F0A87">
            <w:pPr>
              <w:tabs>
                <w:tab w:val="left" w:pos="426"/>
              </w:tabs>
              <w:spacing w:line="276" w:lineRule="auto"/>
              <w:ind w:right="-23"/>
              <w:jc w:val="center"/>
              <w:textAlignment w:val="center"/>
              <w:rPr>
                <w:rFonts w:asciiTheme="minorHAnsi" w:hAnsiTheme="minorHAnsi" w:cstheme="minorHAnsi"/>
                <w:sz w:val="22"/>
                <w:szCs w:val="22"/>
                <w:lang w:eastAsia="en-IN"/>
              </w:rPr>
            </w:pPr>
            <w:r w:rsidRPr="003D5FB5">
              <w:rPr>
                <w:rFonts w:asciiTheme="minorHAnsi" w:hAnsiTheme="minorHAnsi" w:cstheme="minorHAnsi"/>
                <w:sz w:val="22"/>
                <w:szCs w:val="22"/>
                <w:lang w:eastAsia="en-IN"/>
              </w:rPr>
              <w:t>4.02</w:t>
            </w:r>
          </w:p>
        </w:tc>
      </w:tr>
      <w:tr w:rsidR="002F0A87" w:rsidRPr="003D5FB5" w14:paraId="070A4601" w14:textId="77777777" w:rsidTr="004B69C1">
        <w:trPr>
          <w:trHeight w:val="330"/>
        </w:trPr>
        <w:tc>
          <w:tcPr>
            <w:tcW w:w="1062" w:type="dxa"/>
            <w:tcBorders>
              <w:top w:val="single" w:sz="4" w:space="0" w:color="000000"/>
              <w:left w:val="single" w:sz="4" w:space="0" w:color="000000"/>
              <w:bottom w:val="single" w:sz="4" w:space="0" w:color="000000"/>
              <w:right w:val="single" w:sz="4" w:space="0" w:color="000000"/>
            </w:tcBorders>
            <w:shd w:val="clear" w:color="auto" w:fill="auto"/>
            <w:vAlign w:val="bottom"/>
          </w:tcPr>
          <w:p w14:paraId="79FD1773" w14:textId="77777777" w:rsidR="002F0A87" w:rsidRPr="003D5FB5" w:rsidRDefault="002F0A87" w:rsidP="002F0A87">
            <w:pPr>
              <w:tabs>
                <w:tab w:val="left" w:pos="426"/>
              </w:tabs>
              <w:spacing w:line="276" w:lineRule="auto"/>
              <w:ind w:right="-23"/>
              <w:jc w:val="both"/>
              <w:textAlignment w:val="bottom"/>
              <w:rPr>
                <w:rFonts w:asciiTheme="minorHAnsi" w:hAnsiTheme="minorHAnsi" w:cstheme="minorHAnsi"/>
                <w:sz w:val="22"/>
                <w:szCs w:val="22"/>
                <w:lang w:eastAsia="en-IN"/>
              </w:rPr>
            </w:pPr>
            <w:proofErr w:type="spellStart"/>
            <w:r w:rsidRPr="003D5FB5">
              <w:rPr>
                <w:rFonts w:asciiTheme="minorHAnsi" w:hAnsiTheme="minorHAnsi" w:cstheme="minorHAnsi"/>
                <w:color w:val="000000"/>
                <w:kern w:val="2"/>
                <w:sz w:val="22"/>
                <w:szCs w:val="22"/>
                <w:lang w:eastAsia="en-IN"/>
              </w:rPr>
              <w:t>Keonjhar</w:t>
            </w:r>
            <w:proofErr w:type="spellEnd"/>
          </w:p>
        </w:tc>
        <w:tc>
          <w:tcPr>
            <w:tcW w:w="106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D799960" w14:textId="77777777" w:rsidR="002F0A87" w:rsidRPr="003D5FB5" w:rsidRDefault="002F0A87" w:rsidP="002F0A87">
            <w:pPr>
              <w:tabs>
                <w:tab w:val="left" w:pos="426"/>
              </w:tabs>
              <w:spacing w:line="276" w:lineRule="auto"/>
              <w:ind w:right="-23"/>
              <w:jc w:val="center"/>
              <w:textAlignment w:val="center"/>
              <w:rPr>
                <w:rFonts w:asciiTheme="minorHAnsi" w:hAnsiTheme="minorHAnsi" w:cstheme="minorHAnsi"/>
                <w:sz w:val="22"/>
                <w:szCs w:val="22"/>
                <w:lang w:eastAsia="en-IN"/>
              </w:rPr>
            </w:pPr>
            <w:r w:rsidRPr="003D5FB5">
              <w:rPr>
                <w:rFonts w:asciiTheme="minorHAnsi" w:hAnsiTheme="minorHAnsi" w:cstheme="minorHAnsi"/>
                <w:sz w:val="22"/>
                <w:szCs w:val="22"/>
                <w:lang w:eastAsia="en-IN"/>
              </w:rPr>
              <w:t>114.86</w:t>
            </w:r>
          </w:p>
        </w:tc>
        <w:tc>
          <w:tcPr>
            <w:tcW w:w="91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CFDE8CB" w14:textId="77777777" w:rsidR="002F0A87" w:rsidRPr="003D5FB5" w:rsidRDefault="002F0A87" w:rsidP="002F0A87">
            <w:pPr>
              <w:tabs>
                <w:tab w:val="left" w:pos="426"/>
              </w:tabs>
              <w:spacing w:line="276" w:lineRule="auto"/>
              <w:ind w:right="-23"/>
              <w:jc w:val="center"/>
              <w:textAlignment w:val="center"/>
              <w:rPr>
                <w:rFonts w:asciiTheme="minorHAnsi" w:hAnsiTheme="minorHAnsi" w:cstheme="minorHAnsi"/>
                <w:sz w:val="22"/>
                <w:szCs w:val="22"/>
                <w:lang w:eastAsia="en-IN"/>
              </w:rPr>
            </w:pPr>
            <w:r w:rsidRPr="003D5FB5">
              <w:rPr>
                <w:rFonts w:asciiTheme="minorHAnsi" w:hAnsiTheme="minorHAnsi" w:cstheme="minorHAnsi"/>
                <w:color w:val="000000"/>
                <w:sz w:val="22"/>
                <w:szCs w:val="22"/>
              </w:rPr>
              <w:t>3.51</w:t>
            </w:r>
          </w:p>
        </w:tc>
        <w:tc>
          <w:tcPr>
            <w:tcW w:w="177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3D88364" w14:textId="77777777" w:rsidR="002F0A87" w:rsidRPr="003D5FB5" w:rsidRDefault="002F0A87" w:rsidP="002F0A87">
            <w:pPr>
              <w:tabs>
                <w:tab w:val="left" w:pos="426"/>
              </w:tabs>
              <w:spacing w:line="276" w:lineRule="auto"/>
              <w:ind w:right="-23"/>
              <w:jc w:val="center"/>
              <w:textAlignment w:val="center"/>
              <w:rPr>
                <w:rFonts w:asciiTheme="minorHAnsi" w:hAnsiTheme="minorHAnsi" w:cstheme="minorHAnsi"/>
                <w:sz w:val="22"/>
                <w:szCs w:val="22"/>
                <w:lang w:eastAsia="en-IN"/>
              </w:rPr>
            </w:pPr>
            <w:r w:rsidRPr="003D5FB5">
              <w:rPr>
                <w:rFonts w:asciiTheme="minorHAnsi" w:hAnsiTheme="minorHAnsi" w:cstheme="minorHAnsi"/>
                <w:sz w:val="22"/>
                <w:szCs w:val="22"/>
                <w:lang w:eastAsia="en-IN"/>
              </w:rPr>
              <w:t>0.62</w:t>
            </w:r>
          </w:p>
        </w:tc>
        <w:tc>
          <w:tcPr>
            <w:tcW w:w="143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3596C0" w14:textId="77777777" w:rsidR="002F0A87" w:rsidRPr="003D5FB5" w:rsidRDefault="002F0A87" w:rsidP="002F0A87">
            <w:pPr>
              <w:tabs>
                <w:tab w:val="left" w:pos="426"/>
              </w:tabs>
              <w:spacing w:line="276" w:lineRule="auto"/>
              <w:ind w:right="-23"/>
              <w:jc w:val="center"/>
              <w:textAlignment w:val="center"/>
              <w:rPr>
                <w:rFonts w:asciiTheme="minorHAnsi" w:hAnsiTheme="minorHAnsi" w:cstheme="minorHAnsi"/>
                <w:sz w:val="22"/>
                <w:szCs w:val="22"/>
                <w:lang w:eastAsia="en-IN"/>
              </w:rPr>
            </w:pPr>
            <w:r w:rsidRPr="003D5FB5">
              <w:rPr>
                <w:rFonts w:asciiTheme="minorHAnsi" w:hAnsiTheme="minorHAnsi" w:cstheme="minorHAnsi"/>
                <w:sz w:val="22"/>
                <w:szCs w:val="22"/>
                <w:lang w:eastAsia="en-IN"/>
              </w:rPr>
              <w:t>1.36</w:t>
            </w:r>
          </w:p>
        </w:tc>
        <w:tc>
          <w:tcPr>
            <w:tcW w:w="151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6E534AB" w14:textId="77777777" w:rsidR="002F0A87" w:rsidRPr="003D5FB5" w:rsidRDefault="002F0A87" w:rsidP="002F0A87">
            <w:pPr>
              <w:tabs>
                <w:tab w:val="left" w:pos="426"/>
              </w:tabs>
              <w:spacing w:line="276" w:lineRule="auto"/>
              <w:ind w:right="-23"/>
              <w:jc w:val="center"/>
              <w:textAlignment w:val="center"/>
              <w:rPr>
                <w:rFonts w:asciiTheme="minorHAnsi" w:hAnsiTheme="minorHAnsi" w:cstheme="minorHAnsi"/>
                <w:sz w:val="22"/>
                <w:szCs w:val="22"/>
                <w:lang w:eastAsia="en-IN"/>
              </w:rPr>
            </w:pPr>
            <w:r w:rsidRPr="003D5FB5">
              <w:rPr>
                <w:rFonts w:asciiTheme="minorHAnsi" w:hAnsiTheme="minorHAnsi" w:cstheme="minorHAnsi"/>
                <w:color w:val="000000"/>
                <w:sz w:val="22"/>
                <w:szCs w:val="22"/>
              </w:rPr>
              <w:t>0.46</w:t>
            </w:r>
          </w:p>
        </w:tc>
        <w:tc>
          <w:tcPr>
            <w:tcW w:w="104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2253B2" w14:textId="77777777" w:rsidR="002F0A87" w:rsidRPr="003D5FB5" w:rsidRDefault="002F0A87" w:rsidP="002F0A87">
            <w:pPr>
              <w:tabs>
                <w:tab w:val="left" w:pos="426"/>
              </w:tabs>
              <w:spacing w:line="276" w:lineRule="auto"/>
              <w:ind w:right="-23"/>
              <w:jc w:val="center"/>
              <w:textAlignment w:val="center"/>
              <w:rPr>
                <w:rFonts w:asciiTheme="minorHAnsi" w:hAnsiTheme="minorHAnsi" w:cstheme="minorHAnsi"/>
                <w:sz w:val="22"/>
                <w:szCs w:val="22"/>
                <w:lang w:eastAsia="en-IN"/>
              </w:rPr>
            </w:pPr>
            <w:r w:rsidRPr="003D5FB5">
              <w:rPr>
                <w:rFonts w:asciiTheme="minorHAnsi" w:hAnsiTheme="minorHAnsi" w:cstheme="minorHAnsi"/>
                <w:color w:val="000000"/>
                <w:sz w:val="22"/>
                <w:szCs w:val="22"/>
              </w:rPr>
              <w:t>5.95</w:t>
            </w:r>
          </w:p>
        </w:tc>
        <w:tc>
          <w:tcPr>
            <w:tcW w:w="11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9F1A9C2" w14:textId="77777777" w:rsidR="002F0A87" w:rsidRPr="003D5FB5" w:rsidRDefault="002F0A87" w:rsidP="002F0A87">
            <w:pPr>
              <w:tabs>
                <w:tab w:val="left" w:pos="426"/>
              </w:tabs>
              <w:spacing w:line="276" w:lineRule="auto"/>
              <w:ind w:right="-23"/>
              <w:jc w:val="center"/>
              <w:textAlignment w:val="center"/>
              <w:rPr>
                <w:rFonts w:asciiTheme="minorHAnsi" w:hAnsiTheme="minorHAnsi" w:cstheme="minorHAnsi"/>
                <w:sz w:val="22"/>
                <w:szCs w:val="22"/>
                <w:lang w:eastAsia="en-IN"/>
              </w:rPr>
            </w:pPr>
            <w:r w:rsidRPr="003D5FB5">
              <w:rPr>
                <w:rFonts w:asciiTheme="minorHAnsi" w:hAnsiTheme="minorHAnsi" w:cstheme="minorHAnsi"/>
                <w:sz w:val="22"/>
                <w:szCs w:val="22"/>
                <w:lang w:eastAsia="en-IN"/>
              </w:rPr>
              <w:t>3.88</w:t>
            </w:r>
          </w:p>
        </w:tc>
      </w:tr>
      <w:tr w:rsidR="002F0A87" w:rsidRPr="003D5FB5" w14:paraId="1C086563" w14:textId="77777777" w:rsidTr="004B69C1">
        <w:trPr>
          <w:trHeight w:val="348"/>
        </w:trPr>
        <w:tc>
          <w:tcPr>
            <w:tcW w:w="1062" w:type="dxa"/>
            <w:tcBorders>
              <w:top w:val="single" w:sz="4" w:space="0" w:color="000000"/>
              <w:left w:val="single" w:sz="4" w:space="0" w:color="000000"/>
              <w:bottom w:val="single" w:sz="4" w:space="0" w:color="000000"/>
              <w:right w:val="single" w:sz="4" w:space="0" w:color="000000"/>
            </w:tcBorders>
            <w:shd w:val="clear" w:color="auto" w:fill="auto"/>
            <w:vAlign w:val="bottom"/>
          </w:tcPr>
          <w:p w14:paraId="302C55A1" w14:textId="77777777" w:rsidR="002F0A87" w:rsidRPr="003D5FB5" w:rsidRDefault="002F0A87" w:rsidP="002F0A87">
            <w:pPr>
              <w:tabs>
                <w:tab w:val="left" w:pos="426"/>
              </w:tabs>
              <w:spacing w:line="276" w:lineRule="auto"/>
              <w:ind w:right="-23"/>
              <w:jc w:val="both"/>
              <w:textAlignment w:val="bottom"/>
              <w:rPr>
                <w:rFonts w:asciiTheme="minorHAnsi" w:hAnsiTheme="minorHAnsi" w:cstheme="minorHAnsi"/>
                <w:sz w:val="22"/>
                <w:szCs w:val="22"/>
                <w:lang w:eastAsia="en-IN"/>
              </w:rPr>
            </w:pPr>
            <w:r w:rsidRPr="003D5FB5">
              <w:rPr>
                <w:rFonts w:asciiTheme="minorHAnsi" w:hAnsiTheme="minorHAnsi" w:cstheme="minorHAnsi"/>
                <w:b/>
                <w:bCs/>
                <w:color w:val="000000"/>
                <w:kern w:val="2"/>
                <w:sz w:val="22"/>
                <w:szCs w:val="22"/>
                <w:lang w:eastAsia="en-IN"/>
              </w:rPr>
              <w:t>TPNODL</w:t>
            </w:r>
          </w:p>
        </w:tc>
        <w:tc>
          <w:tcPr>
            <w:tcW w:w="106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FDDBCFC" w14:textId="77777777" w:rsidR="002F0A87" w:rsidRPr="003D5FB5" w:rsidRDefault="002F0A87" w:rsidP="002F0A87">
            <w:pPr>
              <w:tabs>
                <w:tab w:val="left" w:pos="426"/>
              </w:tabs>
              <w:spacing w:line="276" w:lineRule="auto"/>
              <w:ind w:right="-23"/>
              <w:jc w:val="center"/>
              <w:textAlignment w:val="center"/>
              <w:rPr>
                <w:rFonts w:asciiTheme="minorHAnsi" w:hAnsiTheme="minorHAnsi" w:cstheme="minorHAnsi"/>
                <w:b/>
                <w:bCs/>
                <w:sz w:val="22"/>
                <w:szCs w:val="22"/>
                <w:lang w:eastAsia="en-IN"/>
              </w:rPr>
            </w:pPr>
            <w:r w:rsidRPr="003D5FB5">
              <w:rPr>
                <w:rFonts w:asciiTheme="minorHAnsi" w:hAnsiTheme="minorHAnsi" w:cstheme="minorHAnsi"/>
                <w:b/>
                <w:bCs/>
                <w:sz w:val="22"/>
                <w:szCs w:val="22"/>
                <w:lang w:eastAsia="en-IN"/>
              </w:rPr>
              <w:t>891.07</w:t>
            </w:r>
          </w:p>
        </w:tc>
        <w:tc>
          <w:tcPr>
            <w:tcW w:w="91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8A7CB90" w14:textId="77777777" w:rsidR="002F0A87" w:rsidRPr="003D5FB5" w:rsidRDefault="002F0A87" w:rsidP="002F0A87">
            <w:pPr>
              <w:tabs>
                <w:tab w:val="left" w:pos="426"/>
              </w:tabs>
              <w:spacing w:line="276" w:lineRule="auto"/>
              <w:ind w:right="-23"/>
              <w:jc w:val="center"/>
              <w:textAlignment w:val="center"/>
              <w:rPr>
                <w:rFonts w:asciiTheme="minorHAnsi" w:hAnsiTheme="minorHAnsi" w:cstheme="minorHAnsi"/>
                <w:b/>
                <w:bCs/>
                <w:sz w:val="22"/>
                <w:szCs w:val="22"/>
                <w:lang w:eastAsia="en-IN"/>
              </w:rPr>
            </w:pPr>
            <w:r w:rsidRPr="003D5FB5">
              <w:rPr>
                <w:rFonts w:asciiTheme="minorHAnsi" w:hAnsiTheme="minorHAnsi" w:cstheme="minorHAnsi"/>
                <w:b/>
                <w:bCs/>
                <w:sz w:val="22"/>
                <w:szCs w:val="22"/>
                <w:lang w:eastAsia="en-IN"/>
              </w:rPr>
              <w:t>30.27</w:t>
            </w:r>
          </w:p>
        </w:tc>
        <w:tc>
          <w:tcPr>
            <w:tcW w:w="177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39401D" w14:textId="77777777" w:rsidR="002F0A87" w:rsidRPr="003D5FB5" w:rsidRDefault="002F0A87" w:rsidP="002F0A87">
            <w:pPr>
              <w:tabs>
                <w:tab w:val="left" w:pos="426"/>
              </w:tabs>
              <w:spacing w:line="276" w:lineRule="auto"/>
              <w:ind w:right="-23"/>
              <w:jc w:val="center"/>
              <w:textAlignment w:val="center"/>
              <w:rPr>
                <w:rFonts w:asciiTheme="minorHAnsi" w:hAnsiTheme="minorHAnsi" w:cstheme="minorHAnsi"/>
                <w:b/>
                <w:bCs/>
                <w:sz w:val="22"/>
                <w:szCs w:val="22"/>
                <w:lang w:eastAsia="en-IN"/>
              </w:rPr>
            </w:pPr>
            <w:r w:rsidRPr="003D5FB5">
              <w:rPr>
                <w:rFonts w:asciiTheme="minorHAnsi" w:hAnsiTheme="minorHAnsi" w:cstheme="minorHAnsi"/>
                <w:b/>
                <w:bCs/>
                <w:sz w:val="22"/>
                <w:szCs w:val="22"/>
                <w:lang w:eastAsia="en-IN"/>
              </w:rPr>
              <w:t>4.58</w:t>
            </w:r>
          </w:p>
        </w:tc>
        <w:tc>
          <w:tcPr>
            <w:tcW w:w="143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75D4220" w14:textId="77777777" w:rsidR="002F0A87" w:rsidRPr="003D5FB5" w:rsidRDefault="002F0A87" w:rsidP="002F0A87">
            <w:pPr>
              <w:tabs>
                <w:tab w:val="left" w:pos="426"/>
              </w:tabs>
              <w:spacing w:line="276" w:lineRule="auto"/>
              <w:ind w:right="-23"/>
              <w:jc w:val="center"/>
              <w:textAlignment w:val="center"/>
              <w:rPr>
                <w:rFonts w:asciiTheme="minorHAnsi" w:hAnsiTheme="minorHAnsi" w:cstheme="minorHAnsi"/>
                <w:b/>
                <w:bCs/>
                <w:sz w:val="22"/>
                <w:szCs w:val="22"/>
                <w:lang w:eastAsia="en-IN"/>
              </w:rPr>
            </w:pPr>
            <w:r w:rsidRPr="003D5FB5">
              <w:rPr>
                <w:rFonts w:asciiTheme="minorHAnsi" w:hAnsiTheme="minorHAnsi" w:cstheme="minorHAnsi"/>
                <w:b/>
                <w:bCs/>
                <w:sz w:val="22"/>
                <w:szCs w:val="22"/>
                <w:lang w:eastAsia="en-IN"/>
              </w:rPr>
              <w:t>6.13</w:t>
            </w:r>
          </w:p>
        </w:tc>
        <w:tc>
          <w:tcPr>
            <w:tcW w:w="151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FBE71D5" w14:textId="77777777" w:rsidR="002F0A87" w:rsidRPr="003D5FB5" w:rsidRDefault="002F0A87" w:rsidP="002F0A87">
            <w:pPr>
              <w:tabs>
                <w:tab w:val="left" w:pos="426"/>
              </w:tabs>
              <w:spacing w:line="276" w:lineRule="auto"/>
              <w:ind w:right="-23"/>
              <w:jc w:val="center"/>
              <w:textAlignment w:val="center"/>
              <w:rPr>
                <w:rFonts w:asciiTheme="minorHAnsi" w:hAnsiTheme="minorHAnsi" w:cstheme="minorHAnsi"/>
                <w:b/>
                <w:bCs/>
                <w:sz w:val="22"/>
                <w:szCs w:val="22"/>
                <w:lang w:eastAsia="en-IN"/>
              </w:rPr>
            </w:pPr>
            <w:r w:rsidRPr="003D5FB5">
              <w:rPr>
                <w:rFonts w:asciiTheme="minorHAnsi" w:hAnsiTheme="minorHAnsi" w:cstheme="minorHAnsi"/>
                <w:b/>
                <w:bCs/>
                <w:sz w:val="22"/>
                <w:szCs w:val="22"/>
                <w:lang w:eastAsia="en-IN"/>
              </w:rPr>
              <w:t>3.40</w:t>
            </w:r>
          </w:p>
        </w:tc>
        <w:tc>
          <w:tcPr>
            <w:tcW w:w="104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821D8A9" w14:textId="77777777" w:rsidR="002F0A87" w:rsidRPr="003D5FB5" w:rsidRDefault="002F0A87" w:rsidP="002F0A87">
            <w:pPr>
              <w:tabs>
                <w:tab w:val="left" w:pos="426"/>
              </w:tabs>
              <w:spacing w:line="276" w:lineRule="auto"/>
              <w:ind w:right="-23"/>
              <w:jc w:val="center"/>
              <w:textAlignment w:val="center"/>
              <w:rPr>
                <w:rFonts w:asciiTheme="minorHAnsi" w:hAnsiTheme="minorHAnsi" w:cstheme="minorHAnsi"/>
                <w:b/>
                <w:bCs/>
                <w:sz w:val="22"/>
                <w:szCs w:val="22"/>
                <w:lang w:eastAsia="en-IN"/>
              </w:rPr>
            </w:pPr>
            <w:r w:rsidRPr="003D5FB5">
              <w:rPr>
                <w:rFonts w:asciiTheme="minorHAnsi" w:hAnsiTheme="minorHAnsi" w:cstheme="minorHAnsi"/>
                <w:b/>
                <w:bCs/>
                <w:sz w:val="22"/>
                <w:szCs w:val="22"/>
                <w:lang w:eastAsia="en-IN"/>
              </w:rPr>
              <w:t>44.39</w:t>
            </w:r>
          </w:p>
        </w:tc>
        <w:tc>
          <w:tcPr>
            <w:tcW w:w="11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581B4F8" w14:textId="77777777" w:rsidR="002F0A87" w:rsidRPr="003D5FB5" w:rsidRDefault="002F0A87" w:rsidP="002F0A87">
            <w:pPr>
              <w:tabs>
                <w:tab w:val="left" w:pos="426"/>
              </w:tabs>
              <w:spacing w:line="276" w:lineRule="auto"/>
              <w:ind w:right="-23"/>
              <w:jc w:val="center"/>
              <w:textAlignment w:val="center"/>
              <w:rPr>
                <w:rFonts w:asciiTheme="minorHAnsi" w:hAnsiTheme="minorHAnsi" w:cstheme="minorHAnsi"/>
                <w:b/>
                <w:bCs/>
                <w:sz w:val="22"/>
                <w:szCs w:val="22"/>
                <w:lang w:eastAsia="en-IN"/>
              </w:rPr>
            </w:pPr>
            <w:r w:rsidRPr="003D5FB5">
              <w:rPr>
                <w:rFonts w:asciiTheme="minorHAnsi" w:hAnsiTheme="minorHAnsi" w:cstheme="minorHAnsi"/>
                <w:b/>
                <w:bCs/>
                <w:sz w:val="22"/>
                <w:szCs w:val="22"/>
                <w:lang w:eastAsia="en-IN"/>
              </w:rPr>
              <w:t>4.0</w:t>
            </w:r>
          </w:p>
        </w:tc>
      </w:tr>
    </w:tbl>
    <w:p w14:paraId="03F584FB" w14:textId="77777777" w:rsidR="005608AB" w:rsidRPr="00153204" w:rsidRDefault="005608AB" w:rsidP="005421E7">
      <w:pPr>
        <w:tabs>
          <w:tab w:val="left" w:pos="1215"/>
        </w:tabs>
        <w:spacing w:line="360" w:lineRule="auto"/>
        <w:rPr>
          <w:rFonts w:asciiTheme="minorHAnsi" w:eastAsiaTheme="minorEastAsia" w:hAnsiTheme="minorHAnsi" w:cstheme="minorHAnsi"/>
          <w:bCs/>
          <w:kern w:val="24"/>
          <w:sz w:val="22"/>
          <w:szCs w:val="22"/>
        </w:rPr>
      </w:pPr>
    </w:p>
    <w:p w14:paraId="728F8983" w14:textId="1B84E1D0" w:rsidR="00775CA2" w:rsidRPr="00153204" w:rsidRDefault="00A778B6" w:rsidP="007D3E57">
      <w:pPr>
        <w:spacing w:line="360" w:lineRule="auto"/>
        <w:ind w:left="426"/>
        <w:rPr>
          <w:rFonts w:asciiTheme="minorHAnsi" w:hAnsiTheme="minorHAnsi" w:cstheme="minorHAnsi"/>
          <w:b/>
          <w:color w:val="000000"/>
          <w:sz w:val="22"/>
          <w:szCs w:val="22"/>
        </w:rPr>
      </w:pPr>
      <w:r>
        <w:rPr>
          <w:rFonts w:asciiTheme="minorHAnsi" w:hAnsiTheme="minorHAnsi" w:cstheme="minorHAnsi"/>
          <w:b/>
          <w:color w:val="000000"/>
          <w:sz w:val="22"/>
          <w:szCs w:val="22"/>
        </w:rPr>
        <w:lastRenderedPageBreak/>
        <w:t xml:space="preserve">   </w:t>
      </w:r>
      <w:r w:rsidR="00775CA2" w:rsidRPr="000860B0">
        <w:rPr>
          <w:rFonts w:asciiTheme="minorHAnsi" w:hAnsiTheme="minorHAnsi" w:cstheme="minorHAnsi"/>
          <w:b/>
          <w:color w:val="000000"/>
          <w:sz w:val="28"/>
          <w:szCs w:val="22"/>
        </w:rPr>
        <w:t>2.</w:t>
      </w:r>
      <w:r w:rsidR="000860B0" w:rsidRPr="000860B0">
        <w:rPr>
          <w:rFonts w:asciiTheme="minorHAnsi" w:hAnsiTheme="minorHAnsi" w:cstheme="minorHAnsi"/>
          <w:b/>
          <w:color w:val="000000"/>
          <w:sz w:val="28"/>
          <w:szCs w:val="22"/>
        </w:rPr>
        <w:t>7.4</w:t>
      </w:r>
      <w:r w:rsidR="00775CA2" w:rsidRPr="000860B0">
        <w:rPr>
          <w:rFonts w:asciiTheme="minorHAnsi" w:hAnsiTheme="minorHAnsi" w:cstheme="minorHAnsi"/>
          <w:b/>
          <w:color w:val="000000"/>
          <w:sz w:val="28"/>
          <w:szCs w:val="22"/>
        </w:rPr>
        <w:t xml:space="preserve"> Normative R&amp;M </w:t>
      </w:r>
    </w:p>
    <w:p w14:paraId="37E6B032" w14:textId="4489D95E" w:rsidR="00C76335" w:rsidRPr="00153204" w:rsidRDefault="005421E7" w:rsidP="007D3E57">
      <w:pPr>
        <w:spacing w:line="360" w:lineRule="auto"/>
        <w:ind w:left="567" w:hanging="141"/>
        <w:rPr>
          <w:rFonts w:asciiTheme="minorHAnsi" w:hAnsiTheme="minorHAnsi" w:cstheme="minorHAnsi"/>
          <w:b/>
          <w:sz w:val="22"/>
          <w:szCs w:val="22"/>
        </w:rPr>
      </w:pPr>
      <w:r w:rsidRPr="00153204">
        <w:rPr>
          <w:rFonts w:asciiTheme="minorHAnsi" w:hAnsiTheme="minorHAnsi" w:cstheme="minorHAnsi"/>
          <w:b/>
          <w:color w:val="000000"/>
          <w:sz w:val="22"/>
          <w:szCs w:val="22"/>
        </w:rPr>
        <w:t xml:space="preserve"> </w:t>
      </w:r>
      <w:r w:rsidR="00A778B6">
        <w:rPr>
          <w:rFonts w:asciiTheme="minorHAnsi" w:hAnsiTheme="minorHAnsi" w:cstheme="minorHAnsi"/>
          <w:b/>
          <w:color w:val="000000"/>
          <w:sz w:val="22"/>
          <w:szCs w:val="22"/>
        </w:rPr>
        <w:t xml:space="preserve">   </w:t>
      </w:r>
      <w:r w:rsidRPr="00153204">
        <w:rPr>
          <w:rFonts w:asciiTheme="minorHAnsi" w:hAnsiTheme="minorHAnsi" w:cstheme="minorHAnsi"/>
          <w:sz w:val="22"/>
          <w:szCs w:val="22"/>
        </w:rPr>
        <w:t>Details of Government assets not in the books of TPNODL are furnished in the following table</w:t>
      </w:r>
    </w:p>
    <w:p w14:paraId="61ABEDA9" w14:textId="4096683C" w:rsidR="0034000B" w:rsidRPr="00153204" w:rsidRDefault="0034000B" w:rsidP="007D3E57">
      <w:pPr>
        <w:tabs>
          <w:tab w:val="left" w:pos="1092"/>
        </w:tabs>
        <w:ind w:hanging="141"/>
        <w:rPr>
          <w:rFonts w:asciiTheme="minorHAnsi" w:hAnsiTheme="minorHAnsi" w:cstheme="minorHAnsi"/>
          <w:sz w:val="22"/>
          <w:szCs w:val="22"/>
        </w:rPr>
      </w:pPr>
    </w:p>
    <w:p w14:paraId="784DEC42" w14:textId="32427AD2" w:rsidR="00822C5F" w:rsidRPr="00153204" w:rsidRDefault="00E02343" w:rsidP="00E02343">
      <w:pPr>
        <w:pStyle w:val="BodyText2"/>
        <w:tabs>
          <w:tab w:val="left" w:pos="3544"/>
        </w:tabs>
        <w:spacing w:line="360" w:lineRule="auto"/>
        <w:ind w:left="426"/>
        <w:rPr>
          <w:rFonts w:asciiTheme="minorHAnsi" w:hAnsiTheme="minorHAnsi" w:cstheme="minorHAnsi"/>
          <w:b/>
          <w:sz w:val="22"/>
          <w:szCs w:val="22"/>
        </w:rPr>
      </w:pPr>
      <w:r>
        <w:rPr>
          <w:rFonts w:asciiTheme="minorHAnsi" w:hAnsiTheme="minorHAnsi" w:cstheme="minorHAnsi"/>
          <w:b/>
          <w:sz w:val="22"/>
          <w:szCs w:val="22"/>
        </w:rPr>
        <w:t xml:space="preserve">        </w:t>
      </w:r>
      <w:r w:rsidR="00A778B6">
        <w:rPr>
          <w:rFonts w:asciiTheme="minorHAnsi" w:hAnsiTheme="minorHAnsi" w:cstheme="minorHAnsi"/>
          <w:b/>
          <w:sz w:val="22"/>
          <w:szCs w:val="22"/>
        </w:rPr>
        <w:t xml:space="preserve"> </w:t>
      </w:r>
      <w:r>
        <w:rPr>
          <w:rFonts w:asciiTheme="minorHAnsi" w:hAnsiTheme="minorHAnsi" w:cstheme="minorHAnsi"/>
          <w:b/>
          <w:sz w:val="22"/>
          <w:szCs w:val="22"/>
        </w:rPr>
        <w:t xml:space="preserve"> </w:t>
      </w:r>
      <w:r w:rsidR="005F6ACB" w:rsidRPr="00153204">
        <w:rPr>
          <w:rFonts w:asciiTheme="minorHAnsi" w:hAnsiTheme="minorHAnsi" w:cstheme="minorHAnsi"/>
          <w:b/>
          <w:sz w:val="22"/>
          <w:szCs w:val="22"/>
        </w:rPr>
        <w:t>Table-2</w:t>
      </w:r>
      <w:r w:rsidR="00A778B6">
        <w:rPr>
          <w:rFonts w:asciiTheme="minorHAnsi" w:hAnsiTheme="minorHAnsi" w:cstheme="minorHAnsi"/>
          <w:b/>
          <w:sz w:val="22"/>
          <w:szCs w:val="22"/>
        </w:rPr>
        <w:t>8</w:t>
      </w:r>
      <w:r w:rsidR="002F1C11" w:rsidRPr="00153204">
        <w:rPr>
          <w:rFonts w:asciiTheme="minorHAnsi" w:hAnsiTheme="minorHAnsi" w:cstheme="minorHAnsi"/>
          <w:b/>
          <w:sz w:val="22"/>
          <w:szCs w:val="22"/>
        </w:rPr>
        <w:t xml:space="preserve"> (a</w:t>
      </w:r>
      <w:proofErr w:type="gramStart"/>
      <w:r w:rsidR="002F1C11" w:rsidRPr="00153204">
        <w:rPr>
          <w:rFonts w:asciiTheme="minorHAnsi" w:hAnsiTheme="minorHAnsi" w:cstheme="minorHAnsi"/>
          <w:b/>
          <w:sz w:val="22"/>
          <w:szCs w:val="22"/>
        </w:rPr>
        <w:t>)</w:t>
      </w:r>
      <w:r w:rsidR="001B0F9B" w:rsidRPr="00153204">
        <w:rPr>
          <w:rFonts w:asciiTheme="minorHAnsi" w:hAnsiTheme="minorHAnsi" w:cstheme="minorHAnsi"/>
          <w:b/>
          <w:sz w:val="22"/>
          <w:szCs w:val="22"/>
        </w:rPr>
        <w:t xml:space="preserve"> :</w:t>
      </w:r>
      <w:proofErr w:type="gramEnd"/>
      <w:r w:rsidR="001B0F9B" w:rsidRPr="00153204">
        <w:rPr>
          <w:rFonts w:asciiTheme="minorHAnsi" w:hAnsiTheme="minorHAnsi" w:cstheme="minorHAnsi"/>
          <w:b/>
          <w:sz w:val="22"/>
          <w:szCs w:val="22"/>
        </w:rPr>
        <w:t xml:space="preserve">  </w:t>
      </w:r>
      <w:r w:rsidR="00DF52E1" w:rsidRPr="00153204">
        <w:rPr>
          <w:rFonts w:asciiTheme="minorHAnsi" w:hAnsiTheme="minorHAnsi" w:cstheme="minorHAnsi"/>
          <w:b/>
          <w:sz w:val="22"/>
          <w:szCs w:val="22"/>
        </w:rPr>
        <w:t>A</w:t>
      </w:r>
      <w:r w:rsidR="00DB540E" w:rsidRPr="00153204">
        <w:rPr>
          <w:rFonts w:asciiTheme="minorHAnsi" w:hAnsiTheme="minorHAnsi" w:cstheme="minorHAnsi"/>
          <w:b/>
          <w:sz w:val="22"/>
          <w:szCs w:val="22"/>
        </w:rPr>
        <w:t xml:space="preserve">sset </w:t>
      </w:r>
      <w:r w:rsidR="00DF52E1" w:rsidRPr="00153204">
        <w:rPr>
          <w:rFonts w:asciiTheme="minorHAnsi" w:hAnsiTheme="minorHAnsi" w:cstheme="minorHAnsi"/>
          <w:b/>
          <w:sz w:val="22"/>
          <w:szCs w:val="22"/>
        </w:rPr>
        <w:t xml:space="preserve"> D</w:t>
      </w:r>
      <w:r w:rsidR="00DB540E" w:rsidRPr="00153204">
        <w:rPr>
          <w:rFonts w:asciiTheme="minorHAnsi" w:hAnsiTheme="minorHAnsi" w:cstheme="minorHAnsi"/>
          <w:b/>
          <w:sz w:val="22"/>
          <w:szCs w:val="22"/>
        </w:rPr>
        <w:t xml:space="preserve">etails </w:t>
      </w:r>
      <w:r w:rsidR="00DF52E1" w:rsidRPr="00153204">
        <w:rPr>
          <w:rFonts w:asciiTheme="minorHAnsi" w:hAnsiTheme="minorHAnsi" w:cstheme="minorHAnsi"/>
          <w:b/>
          <w:sz w:val="22"/>
          <w:szCs w:val="22"/>
        </w:rPr>
        <w:t xml:space="preserve"> </w:t>
      </w:r>
      <w:r w:rsidR="009F21A0" w:rsidRPr="00153204">
        <w:rPr>
          <w:rFonts w:asciiTheme="minorHAnsi" w:hAnsiTheme="minorHAnsi" w:cstheme="minorHAnsi"/>
          <w:b/>
          <w:sz w:val="22"/>
          <w:szCs w:val="22"/>
        </w:rPr>
        <w:t>-</w:t>
      </w:r>
      <w:r w:rsidR="00822C5F" w:rsidRPr="00153204">
        <w:rPr>
          <w:rFonts w:asciiTheme="minorHAnsi" w:hAnsiTheme="minorHAnsi" w:cstheme="minorHAnsi"/>
          <w:b/>
          <w:bCs/>
          <w:color w:val="000000"/>
          <w:sz w:val="22"/>
          <w:szCs w:val="22"/>
        </w:rPr>
        <w:t>Govt</w:t>
      </w:r>
      <w:r w:rsidR="008B4CCB" w:rsidRPr="00153204">
        <w:rPr>
          <w:rFonts w:asciiTheme="minorHAnsi" w:hAnsiTheme="minorHAnsi" w:cstheme="minorHAnsi"/>
          <w:b/>
          <w:bCs/>
          <w:color w:val="000000"/>
          <w:sz w:val="22"/>
          <w:szCs w:val="22"/>
        </w:rPr>
        <w:t>.</w:t>
      </w:r>
      <w:r w:rsidR="00822C5F" w:rsidRPr="00153204">
        <w:rPr>
          <w:rFonts w:asciiTheme="minorHAnsi" w:hAnsiTheme="minorHAnsi" w:cstheme="minorHAnsi"/>
          <w:b/>
          <w:bCs/>
          <w:color w:val="000000"/>
          <w:sz w:val="22"/>
          <w:szCs w:val="22"/>
        </w:rPr>
        <w:t xml:space="preserve"> Assets not in the Books of TPNODL </w:t>
      </w:r>
      <w:r w:rsidR="008B4CCB" w:rsidRPr="00153204">
        <w:rPr>
          <w:rFonts w:asciiTheme="minorHAnsi" w:hAnsiTheme="minorHAnsi" w:cstheme="minorHAnsi"/>
          <w:b/>
          <w:bCs/>
          <w:color w:val="000000"/>
          <w:sz w:val="22"/>
          <w:szCs w:val="22"/>
        </w:rPr>
        <w:t xml:space="preserve">                      ( In </w:t>
      </w:r>
      <w:r w:rsidR="001A2772" w:rsidRPr="00153204">
        <w:rPr>
          <w:rFonts w:asciiTheme="minorHAnsi" w:hAnsiTheme="minorHAnsi" w:cstheme="minorHAnsi"/>
          <w:b/>
          <w:bCs/>
          <w:color w:val="000000"/>
          <w:sz w:val="22"/>
          <w:szCs w:val="22"/>
        </w:rPr>
        <w:t>Rs.</w:t>
      </w:r>
      <w:r w:rsidR="008B4CCB" w:rsidRPr="00153204">
        <w:rPr>
          <w:rFonts w:asciiTheme="minorHAnsi" w:hAnsiTheme="minorHAnsi" w:cstheme="minorHAnsi"/>
          <w:b/>
          <w:bCs/>
          <w:color w:val="000000"/>
          <w:sz w:val="22"/>
          <w:szCs w:val="22"/>
        </w:rPr>
        <w:t xml:space="preserve"> </w:t>
      </w:r>
      <w:proofErr w:type="spellStart"/>
      <w:r w:rsidR="008B4CCB" w:rsidRPr="00153204">
        <w:rPr>
          <w:rFonts w:asciiTheme="minorHAnsi" w:hAnsiTheme="minorHAnsi" w:cstheme="minorHAnsi"/>
          <w:b/>
          <w:bCs/>
          <w:color w:val="000000"/>
          <w:sz w:val="22"/>
          <w:szCs w:val="22"/>
        </w:rPr>
        <w:t>Crs</w:t>
      </w:r>
      <w:proofErr w:type="spellEnd"/>
      <w:r w:rsidR="008B4CCB" w:rsidRPr="00153204">
        <w:rPr>
          <w:rFonts w:asciiTheme="minorHAnsi" w:hAnsiTheme="minorHAnsi" w:cstheme="minorHAnsi"/>
          <w:b/>
          <w:bCs/>
          <w:color w:val="000000"/>
          <w:sz w:val="22"/>
          <w:szCs w:val="22"/>
        </w:rPr>
        <w:t>)</w:t>
      </w:r>
    </w:p>
    <w:tbl>
      <w:tblPr>
        <w:tblW w:w="10105"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3"/>
        <w:gridCol w:w="2668"/>
        <w:gridCol w:w="1609"/>
        <w:gridCol w:w="967"/>
        <w:gridCol w:w="1050"/>
        <w:gridCol w:w="1239"/>
        <w:gridCol w:w="847"/>
        <w:gridCol w:w="1018"/>
      </w:tblGrid>
      <w:tr w:rsidR="00984B2C" w:rsidRPr="00E755E2" w14:paraId="30AFF977" w14:textId="77777777" w:rsidTr="00A778B6">
        <w:trPr>
          <w:trHeight w:val="286"/>
        </w:trPr>
        <w:tc>
          <w:tcPr>
            <w:tcW w:w="10105" w:type="dxa"/>
            <w:gridSpan w:val="8"/>
            <w:shd w:val="clear" w:color="auto" w:fill="auto"/>
            <w:noWrap/>
            <w:vAlign w:val="center"/>
            <w:hideMark/>
          </w:tcPr>
          <w:p w14:paraId="112417C1" w14:textId="77777777" w:rsidR="00984B2C" w:rsidRPr="00E755E2" w:rsidRDefault="00984B2C">
            <w:pPr>
              <w:jc w:val="center"/>
              <w:rPr>
                <w:rFonts w:asciiTheme="minorHAnsi" w:hAnsiTheme="minorHAnsi" w:cs="Calibri"/>
                <w:b/>
                <w:bCs/>
                <w:color w:val="000000"/>
                <w:sz w:val="22"/>
                <w:szCs w:val="22"/>
                <w:lang w:val="en-IN" w:eastAsia="en-IN"/>
              </w:rPr>
            </w:pPr>
            <w:r w:rsidRPr="00E755E2">
              <w:rPr>
                <w:rFonts w:asciiTheme="minorHAnsi" w:hAnsiTheme="minorHAnsi" w:cs="Calibri"/>
                <w:b/>
                <w:bCs/>
                <w:color w:val="000000"/>
                <w:sz w:val="22"/>
                <w:szCs w:val="22"/>
              </w:rPr>
              <w:t>Details Assets Created by OPTCL</w:t>
            </w:r>
          </w:p>
        </w:tc>
      </w:tr>
      <w:tr w:rsidR="00984B2C" w:rsidRPr="00E755E2" w14:paraId="17F4CB13" w14:textId="77777777" w:rsidTr="00A778B6">
        <w:trPr>
          <w:trHeight w:val="286"/>
        </w:trPr>
        <w:tc>
          <w:tcPr>
            <w:tcW w:w="740" w:type="dxa"/>
            <w:shd w:val="clear" w:color="auto" w:fill="95B3D7" w:themeFill="accent1" w:themeFillTint="99"/>
            <w:noWrap/>
            <w:vAlign w:val="center"/>
            <w:hideMark/>
          </w:tcPr>
          <w:p w14:paraId="6A022677" w14:textId="77777777" w:rsidR="00984B2C" w:rsidRPr="00E755E2" w:rsidRDefault="00984B2C">
            <w:pPr>
              <w:jc w:val="center"/>
              <w:rPr>
                <w:rFonts w:asciiTheme="minorHAnsi" w:hAnsiTheme="minorHAnsi" w:cs="Calibri"/>
                <w:b/>
                <w:bCs/>
                <w:color w:val="000000"/>
                <w:sz w:val="22"/>
                <w:szCs w:val="22"/>
              </w:rPr>
            </w:pPr>
            <w:r w:rsidRPr="00E755E2">
              <w:rPr>
                <w:rFonts w:asciiTheme="minorHAnsi" w:hAnsiTheme="minorHAnsi" w:cs="Calibri"/>
                <w:b/>
                <w:bCs/>
                <w:color w:val="000000"/>
                <w:sz w:val="22"/>
                <w:szCs w:val="22"/>
              </w:rPr>
              <w:t> </w:t>
            </w:r>
          </w:p>
        </w:tc>
        <w:tc>
          <w:tcPr>
            <w:tcW w:w="2623" w:type="dxa"/>
            <w:shd w:val="clear" w:color="auto" w:fill="95B3D7" w:themeFill="accent1" w:themeFillTint="99"/>
            <w:noWrap/>
            <w:vAlign w:val="center"/>
            <w:hideMark/>
          </w:tcPr>
          <w:p w14:paraId="6F8A9412" w14:textId="77777777" w:rsidR="00984B2C" w:rsidRPr="00E755E2" w:rsidRDefault="00984B2C">
            <w:pPr>
              <w:rPr>
                <w:rFonts w:asciiTheme="minorHAnsi" w:hAnsiTheme="minorHAnsi" w:cs="Calibri"/>
                <w:b/>
                <w:bCs/>
                <w:color w:val="000000"/>
                <w:sz w:val="22"/>
                <w:szCs w:val="22"/>
              </w:rPr>
            </w:pPr>
            <w:r w:rsidRPr="00E755E2">
              <w:rPr>
                <w:rFonts w:asciiTheme="minorHAnsi" w:hAnsiTheme="minorHAnsi" w:cs="Calibri"/>
                <w:b/>
                <w:bCs/>
                <w:color w:val="000000"/>
                <w:sz w:val="22"/>
                <w:szCs w:val="22"/>
              </w:rPr>
              <w:t> </w:t>
            </w:r>
          </w:p>
        </w:tc>
        <w:tc>
          <w:tcPr>
            <w:tcW w:w="3625" w:type="dxa"/>
            <w:gridSpan w:val="3"/>
            <w:shd w:val="clear" w:color="auto" w:fill="95B3D7" w:themeFill="accent1" w:themeFillTint="99"/>
            <w:noWrap/>
            <w:vAlign w:val="center"/>
            <w:hideMark/>
          </w:tcPr>
          <w:p w14:paraId="325F6582" w14:textId="77777777" w:rsidR="00984B2C" w:rsidRPr="00E755E2" w:rsidRDefault="00984B2C">
            <w:pPr>
              <w:jc w:val="center"/>
              <w:rPr>
                <w:rFonts w:asciiTheme="minorHAnsi" w:hAnsiTheme="minorHAnsi" w:cs="Calibri"/>
                <w:b/>
                <w:bCs/>
                <w:color w:val="000000"/>
                <w:sz w:val="22"/>
                <w:szCs w:val="22"/>
              </w:rPr>
            </w:pPr>
            <w:r w:rsidRPr="00E755E2">
              <w:rPr>
                <w:rFonts w:asciiTheme="minorHAnsi" w:hAnsiTheme="minorHAnsi" w:cs="Calibri"/>
                <w:b/>
                <w:bCs/>
                <w:color w:val="000000"/>
                <w:sz w:val="22"/>
                <w:szCs w:val="22"/>
              </w:rPr>
              <w:t>As on 31.3.2024</w:t>
            </w:r>
          </w:p>
        </w:tc>
        <w:tc>
          <w:tcPr>
            <w:tcW w:w="0" w:type="auto"/>
            <w:gridSpan w:val="3"/>
            <w:shd w:val="clear" w:color="auto" w:fill="95B3D7" w:themeFill="accent1" w:themeFillTint="99"/>
            <w:noWrap/>
            <w:vAlign w:val="center"/>
            <w:hideMark/>
          </w:tcPr>
          <w:p w14:paraId="10C60685" w14:textId="77777777" w:rsidR="00984B2C" w:rsidRPr="00E755E2" w:rsidRDefault="00984B2C">
            <w:pPr>
              <w:jc w:val="center"/>
              <w:rPr>
                <w:rFonts w:asciiTheme="minorHAnsi" w:hAnsiTheme="minorHAnsi" w:cs="Calibri"/>
                <w:b/>
                <w:bCs/>
                <w:color w:val="000000"/>
                <w:sz w:val="22"/>
                <w:szCs w:val="22"/>
              </w:rPr>
            </w:pPr>
            <w:r w:rsidRPr="00E755E2">
              <w:rPr>
                <w:rFonts w:asciiTheme="minorHAnsi" w:hAnsiTheme="minorHAnsi" w:cs="Calibri"/>
                <w:b/>
                <w:bCs/>
                <w:color w:val="000000"/>
                <w:sz w:val="22"/>
                <w:szCs w:val="22"/>
              </w:rPr>
              <w:t>As on 31.3.2025</w:t>
            </w:r>
          </w:p>
        </w:tc>
      </w:tr>
      <w:tr w:rsidR="00984B2C" w:rsidRPr="00E755E2" w14:paraId="4CCC2FC6" w14:textId="77777777" w:rsidTr="00A778B6">
        <w:trPr>
          <w:trHeight w:val="272"/>
        </w:trPr>
        <w:tc>
          <w:tcPr>
            <w:tcW w:w="740" w:type="dxa"/>
            <w:shd w:val="clear" w:color="auto" w:fill="95B3D7" w:themeFill="accent1" w:themeFillTint="99"/>
            <w:noWrap/>
            <w:vAlign w:val="center"/>
            <w:hideMark/>
          </w:tcPr>
          <w:p w14:paraId="251F5891" w14:textId="4A5F738D" w:rsidR="00984B2C" w:rsidRPr="00E755E2" w:rsidRDefault="00984B2C">
            <w:pPr>
              <w:jc w:val="center"/>
              <w:rPr>
                <w:rFonts w:asciiTheme="minorHAnsi" w:hAnsiTheme="minorHAnsi" w:cs="Calibri"/>
                <w:b/>
                <w:bCs/>
                <w:color w:val="000000"/>
                <w:sz w:val="22"/>
                <w:szCs w:val="22"/>
              </w:rPr>
            </w:pPr>
            <w:r w:rsidRPr="00E755E2">
              <w:rPr>
                <w:rFonts w:asciiTheme="minorHAnsi" w:hAnsiTheme="minorHAnsi" w:cs="Calibri"/>
                <w:b/>
                <w:bCs/>
                <w:color w:val="000000"/>
                <w:sz w:val="22"/>
                <w:szCs w:val="22"/>
              </w:rPr>
              <w:t>Sl. No.</w:t>
            </w:r>
          </w:p>
        </w:tc>
        <w:tc>
          <w:tcPr>
            <w:tcW w:w="2623" w:type="dxa"/>
            <w:shd w:val="clear" w:color="auto" w:fill="95B3D7" w:themeFill="accent1" w:themeFillTint="99"/>
            <w:noWrap/>
            <w:vAlign w:val="center"/>
            <w:hideMark/>
          </w:tcPr>
          <w:p w14:paraId="3E958326" w14:textId="77777777" w:rsidR="00984B2C" w:rsidRPr="00E755E2" w:rsidRDefault="00984B2C">
            <w:pPr>
              <w:rPr>
                <w:rFonts w:asciiTheme="minorHAnsi" w:hAnsiTheme="minorHAnsi" w:cs="Calibri"/>
                <w:b/>
                <w:bCs/>
                <w:color w:val="000000"/>
                <w:sz w:val="22"/>
                <w:szCs w:val="22"/>
              </w:rPr>
            </w:pPr>
            <w:r w:rsidRPr="00E755E2">
              <w:rPr>
                <w:rFonts w:asciiTheme="minorHAnsi" w:hAnsiTheme="minorHAnsi" w:cs="Calibri"/>
                <w:b/>
                <w:bCs/>
                <w:color w:val="000000"/>
                <w:sz w:val="22"/>
                <w:szCs w:val="22"/>
              </w:rPr>
              <w:t>Name of the Scheme</w:t>
            </w:r>
          </w:p>
        </w:tc>
        <w:tc>
          <w:tcPr>
            <w:tcW w:w="2572" w:type="dxa"/>
            <w:gridSpan w:val="2"/>
            <w:shd w:val="clear" w:color="auto" w:fill="95B3D7" w:themeFill="accent1" w:themeFillTint="99"/>
            <w:noWrap/>
            <w:vAlign w:val="center"/>
            <w:hideMark/>
          </w:tcPr>
          <w:p w14:paraId="08D525CB" w14:textId="77777777" w:rsidR="00984B2C" w:rsidRPr="00E755E2" w:rsidRDefault="00984B2C">
            <w:pPr>
              <w:jc w:val="center"/>
              <w:rPr>
                <w:rFonts w:asciiTheme="minorHAnsi" w:hAnsiTheme="minorHAnsi" w:cs="Calibri"/>
                <w:b/>
                <w:bCs/>
                <w:color w:val="000000"/>
                <w:sz w:val="22"/>
                <w:szCs w:val="22"/>
              </w:rPr>
            </w:pPr>
            <w:r w:rsidRPr="00E755E2">
              <w:rPr>
                <w:rFonts w:asciiTheme="minorHAnsi" w:hAnsiTheme="minorHAnsi" w:cs="Calibri"/>
                <w:b/>
                <w:bCs/>
                <w:color w:val="000000"/>
                <w:sz w:val="22"/>
                <w:szCs w:val="22"/>
              </w:rPr>
              <w:t>Assets Value</w:t>
            </w:r>
          </w:p>
        </w:tc>
        <w:tc>
          <w:tcPr>
            <w:tcW w:w="0" w:type="auto"/>
            <w:shd w:val="clear" w:color="auto" w:fill="95B3D7" w:themeFill="accent1" w:themeFillTint="99"/>
            <w:noWrap/>
            <w:vAlign w:val="center"/>
            <w:hideMark/>
          </w:tcPr>
          <w:p w14:paraId="7417A02E" w14:textId="77777777" w:rsidR="00984B2C" w:rsidRPr="00E755E2" w:rsidRDefault="00984B2C">
            <w:pPr>
              <w:jc w:val="center"/>
              <w:rPr>
                <w:rFonts w:asciiTheme="minorHAnsi" w:hAnsiTheme="minorHAnsi" w:cs="Calibri"/>
                <w:b/>
                <w:bCs/>
                <w:color w:val="000000"/>
                <w:sz w:val="22"/>
                <w:szCs w:val="22"/>
              </w:rPr>
            </w:pPr>
            <w:r w:rsidRPr="00E755E2">
              <w:rPr>
                <w:rFonts w:asciiTheme="minorHAnsi" w:hAnsiTheme="minorHAnsi" w:cs="Calibri"/>
                <w:b/>
                <w:bCs/>
                <w:color w:val="000000"/>
                <w:sz w:val="22"/>
                <w:szCs w:val="22"/>
              </w:rPr>
              <w:t>Total</w:t>
            </w:r>
          </w:p>
        </w:tc>
        <w:tc>
          <w:tcPr>
            <w:tcW w:w="0" w:type="auto"/>
            <w:gridSpan w:val="2"/>
            <w:shd w:val="clear" w:color="auto" w:fill="95B3D7" w:themeFill="accent1" w:themeFillTint="99"/>
            <w:noWrap/>
            <w:vAlign w:val="center"/>
            <w:hideMark/>
          </w:tcPr>
          <w:p w14:paraId="4968F0D5" w14:textId="77777777" w:rsidR="00984B2C" w:rsidRPr="00E755E2" w:rsidRDefault="00984B2C">
            <w:pPr>
              <w:jc w:val="center"/>
              <w:rPr>
                <w:rFonts w:asciiTheme="minorHAnsi" w:hAnsiTheme="minorHAnsi" w:cs="Calibri"/>
                <w:b/>
                <w:bCs/>
                <w:color w:val="000000"/>
                <w:sz w:val="22"/>
                <w:szCs w:val="22"/>
              </w:rPr>
            </w:pPr>
            <w:r w:rsidRPr="00E755E2">
              <w:rPr>
                <w:rFonts w:asciiTheme="minorHAnsi" w:hAnsiTheme="minorHAnsi" w:cs="Calibri"/>
                <w:b/>
                <w:bCs/>
                <w:color w:val="000000"/>
                <w:sz w:val="22"/>
                <w:szCs w:val="22"/>
              </w:rPr>
              <w:t>Assets Value</w:t>
            </w:r>
          </w:p>
        </w:tc>
        <w:tc>
          <w:tcPr>
            <w:tcW w:w="0" w:type="auto"/>
            <w:shd w:val="clear" w:color="auto" w:fill="95B3D7" w:themeFill="accent1" w:themeFillTint="99"/>
            <w:noWrap/>
            <w:vAlign w:val="center"/>
            <w:hideMark/>
          </w:tcPr>
          <w:p w14:paraId="59EBF96A" w14:textId="77777777" w:rsidR="00984B2C" w:rsidRPr="00E755E2" w:rsidRDefault="00984B2C">
            <w:pPr>
              <w:rPr>
                <w:rFonts w:asciiTheme="minorHAnsi" w:hAnsiTheme="minorHAnsi" w:cs="Calibri"/>
                <w:b/>
                <w:bCs/>
                <w:color w:val="000000"/>
                <w:sz w:val="22"/>
                <w:szCs w:val="22"/>
              </w:rPr>
            </w:pPr>
            <w:r w:rsidRPr="00E755E2">
              <w:rPr>
                <w:rFonts w:asciiTheme="minorHAnsi" w:hAnsiTheme="minorHAnsi" w:cs="Calibri"/>
                <w:b/>
                <w:bCs/>
                <w:color w:val="000000"/>
                <w:sz w:val="22"/>
                <w:szCs w:val="22"/>
              </w:rPr>
              <w:t>Total</w:t>
            </w:r>
          </w:p>
        </w:tc>
      </w:tr>
      <w:tr w:rsidR="00984B2C" w:rsidRPr="00E755E2" w14:paraId="79EC2DE2" w14:textId="77777777" w:rsidTr="00A778B6">
        <w:trPr>
          <w:trHeight w:val="272"/>
        </w:trPr>
        <w:tc>
          <w:tcPr>
            <w:tcW w:w="740" w:type="dxa"/>
            <w:shd w:val="clear" w:color="auto" w:fill="auto"/>
            <w:noWrap/>
            <w:vAlign w:val="center"/>
            <w:hideMark/>
          </w:tcPr>
          <w:p w14:paraId="505197B8" w14:textId="77777777" w:rsidR="00984B2C" w:rsidRPr="00E755E2" w:rsidRDefault="00984B2C">
            <w:pPr>
              <w:jc w:val="center"/>
              <w:rPr>
                <w:rFonts w:asciiTheme="minorHAnsi" w:hAnsiTheme="minorHAnsi" w:cs="Calibri"/>
                <w:color w:val="000000"/>
                <w:sz w:val="22"/>
                <w:szCs w:val="22"/>
              </w:rPr>
            </w:pPr>
            <w:r w:rsidRPr="00E755E2">
              <w:rPr>
                <w:rFonts w:asciiTheme="minorHAnsi" w:hAnsiTheme="minorHAnsi" w:cs="Calibri"/>
                <w:color w:val="000000"/>
                <w:sz w:val="22"/>
                <w:szCs w:val="22"/>
              </w:rPr>
              <w:t> </w:t>
            </w:r>
          </w:p>
        </w:tc>
        <w:tc>
          <w:tcPr>
            <w:tcW w:w="2623" w:type="dxa"/>
            <w:shd w:val="clear" w:color="auto" w:fill="auto"/>
            <w:noWrap/>
            <w:vAlign w:val="center"/>
            <w:hideMark/>
          </w:tcPr>
          <w:p w14:paraId="6536510C" w14:textId="77777777" w:rsidR="00984B2C" w:rsidRPr="00E755E2" w:rsidRDefault="00984B2C">
            <w:pPr>
              <w:jc w:val="center"/>
              <w:rPr>
                <w:rFonts w:asciiTheme="minorHAnsi" w:hAnsiTheme="minorHAnsi" w:cs="Calibri"/>
                <w:color w:val="000000"/>
                <w:sz w:val="22"/>
                <w:szCs w:val="22"/>
              </w:rPr>
            </w:pPr>
          </w:p>
        </w:tc>
        <w:tc>
          <w:tcPr>
            <w:tcW w:w="1582" w:type="dxa"/>
            <w:shd w:val="clear" w:color="auto" w:fill="auto"/>
            <w:noWrap/>
            <w:vAlign w:val="center"/>
            <w:hideMark/>
          </w:tcPr>
          <w:p w14:paraId="6FD02614" w14:textId="77777777" w:rsidR="00984B2C" w:rsidRPr="00E755E2" w:rsidRDefault="00984B2C">
            <w:pPr>
              <w:jc w:val="center"/>
              <w:rPr>
                <w:rFonts w:asciiTheme="minorHAnsi" w:hAnsiTheme="minorHAnsi" w:cs="Calibri"/>
                <w:b/>
                <w:bCs/>
                <w:color w:val="000000"/>
                <w:sz w:val="22"/>
                <w:szCs w:val="22"/>
              </w:rPr>
            </w:pPr>
            <w:r w:rsidRPr="00E755E2">
              <w:rPr>
                <w:rFonts w:asciiTheme="minorHAnsi" w:hAnsiTheme="minorHAnsi" w:cs="Calibri"/>
                <w:b/>
                <w:bCs/>
                <w:color w:val="000000"/>
                <w:sz w:val="22"/>
                <w:szCs w:val="22"/>
              </w:rPr>
              <w:t>Completed</w:t>
            </w:r>
          </w:p>
        </w:tc>
        <w:tc>
          <w:tcPr>
            <w:tcW w:w="0" w:type="auto"/>
            <w:shd w:val="clear" w:color="auto" w:fill="auto"/>
            <w:noWrap/>
            <w:vAlign w:val="center"/>
            <w:hideMark/>
          </w:tcPr>
          <w:p w14:paraId="1F51BC9D" w14:textId="77777777" w:rsidR="00984B2C" w:rsidRPr="00E755E2" w:rsidRDefault="00984B2C">
            <w:pPr>
              <w:jc w:val="center"/>
              <w:rPr>
                <w:rFonts w:asciiTheme="minorHAnsi" w:hAnsiTheme="minorHAnsi" w:cs="Calibri"/>
                <w:b/>
                <w:bCs/>
                <w:color w:val="000000"/>
                <w:sz w:val="22"/>
                <w:szCs w:val="22"/>
              </w:rPr>
            </w:pPr>
            <w:r w:rsidRPr="00E755E2">
              <w:rPr>
                <w:rFonts w:asciiTheme="minorHAnsi" w:hAnsiTheme="minorHAnsi" w:cs="Calibri"/>
                <w:b/>
                <w:bCs/>
                <w:color w:val="000000"/>
                <w:sz w:val="22"/>
                <w:szCs w:val="22"/>
              </w:rPr>
              <w:t>WIP</w:t>
            </w:r>
          </w:p>
        </w:tc>
        <w:tc>
          <w:tcPr>
            <w:tcW w:w="0" w:type="auto"/>
            <w:shd w:val="clear" w:color="auto" w:fill="auto"/>
            <w:noWrap/>
            <w:vAlign w:val="bottom"/>
            <w:hideMark/>
          </w:tcPr>
          <w:p w14:paraId="1DBD8384" w14:textId="77777777" w:rsidR="00984B2C" w:rsidRPr="00E755E2" w:rsidRDefault="00984B2C">
            <w:pPr>
              <w:jc w:val="center"/>
              <w:rPr>
                <w:rFonts w:asciiTheme="minorHAnsi" w:hAnsiTheme="minorHAnsi" w:cs="Calibri"/>
                <w:b/>
                <w:bCs/>
                <w:color w:val="000000"/>
                <w:sz w:val="22"/>
                <w:szCs w:val="22"/>
              </w:rPr>
            </w:pPr>
          </w:p>
        </w:tc>
        <w:tc>
          <w:tcPr>
            <w:tcW w:w="0" w:type="auto"/>
            <w:shd w:val="clear" w:color="auto" w:fill="auto"/>
            <w:noWrap/>
            <w:vAlign w:val="center"/>
            <w:hideMark/>
          </w:tcPr>
          <w:p w14:paraId="0A6B2670" w14:textId="77777777" w:rsidR="00984B2C" w:rsidRPr="00E755E2" w:rsidRDefault="00984B2C">
            <w:pPr>
              <w:jc w:val="center"/>
              <w:rPr>
                <w:rFonts w:asciiTheme="minorHAnsi" w:hAnsiTheme="minorHAnsi" w:cs="Calibri"/>
                <w:b/>
                <w:bCs/>
                <w:color w:val="000000"/>
                <w:sz w:val="22"/>
                <w:szCs w:val="22"/>
              </w:rPr>
            </w:pPr>
            <w:r w:rsidRPr="00E755E2">
              <w:rPr>
                <w:rFonts w:asciiTheme="minorHAnsi" w:hAnsiTheme="minorHAnsi" w:cs="Calibri"/>
                <w:b/>
                <w:bCs/>
                <w:color w:val="000000"/>
                <w:sz w:val="22"/>
                <w:szCs w:val="22"/>
              </w:rPr>
              <w:t>Completed</w:t>
            </w:r>
          </w:p>
        </w:tc>
        <w:tc>
          <w:tcPr>
            <w:tcW w:w="0" w:type="auto"/>
            <w:shd w:val="clear" w:color="auto" w:fill="auto"/>
            <w:noWrap/>
            <w:vAlign w:val="center"/>
            <w:hideMark/>
          </w:tcPr>
          <w:p w14:paraId="4BAE551A" w14:textId="77777777" w:rsidR="00984B2C" w:rsidRPr="00E755E2" w:rsidRDefault="00984B2C">
            <w:pPr>
              <w:jc w:val="center"/>
              <w:rPr>
                <w:rFonts w:asciiTheme="minorHAnsi" w:hAnsiTheme="minorHAnsi" w:cs="Calibri"/>
                <w:b/>
                <w:bCs/>
                <w:color w:val="000000"/>
                <w:sz w:val="22"/>
                <w:szCs w:val="22"/>
              </w:rPr>
            </w:pPr>
            <w:r w:rsidRPr="00E755E2">
              <w:rPr>
                <w:rFonts w:asciiTheme="minorHAnsi" w:hAnsiTheme="minorHAnsi" w:cs="Calibri"/>
                <w:b/>
                <w:bCs/>
                <w:color w:val="000000"/>
                <w:sz w:val="22"/>
                <w:szCs w:val="22"/>
              </w:rPr>
              <w:t>WIP</w:t>
            </w:r>
          </w:p>
        </w:tc>
        <w:tc>
          <w:tcPr>
            <w:tcW w:w="0" w:type="auto"/>
            <w:shd w:val="clear" w:color="auto" w:fill="auto"/>
            <w:noWrap/>
            <w:vAlign w:val="bottom"/>
            <w:hideMark/>
          </w:tcPr>
          <w:p w14:paraId="7A03AC0B" w14:textId="77777777" w:rsidR="00984B2C" w:rsidRPr="00E755E2" w:rsidRDefault="00984B2C">
            <w:pPr>
              <w:jc w:val="center"/>
              <w:rPr>
                <w:rFonts w:asciiTheme="minorHAnsi" w:hAnsiTheme="minorHAnsi"/>
                <w:b/>
                <w:bCs/>
                <w:color w:val="000000"/>
                <w:sz w:val="22"/>
                <w:szCs w:val="22"/>
              </w:rPr>
            </w:pPr>
            <w:r w:rsidRPr="00E755E2">
              <w:rPr>
                <w:rFonts w:asciiTheme="minorHAnsi" w:hAnsiTheme="minorHAnsi"/>
                <w:b/>
                <w:bCs/>
                <w:color w:val="000000"/>
                <w:sz w:val="22"/>
                <w:szCs w:val="22"/>
              </w:rPr>
              <w:t> </w:t>
            </w:r>
          </w:p>
        </w:tc>
      </w:tr>
      <w:tr w:rsidR="00984B2C" w:rsidRPr="00E755E2" w14:paraId="32188196" w14:textId="77777777" w:rsidTr="00A778B6">
        <w:trPr>
          <w:trHeight w:val="272"/>
        </w:trPr>
        <w:tc>
          <w:tcPr>
            <w:tcW w:w="740" w:type="dxa"/>
            <w:shd w:val="clear" w:color="auto" w:fill="auto"/>
            <w:noWrap/>
            <w:vAlign w:val="center"/>
            <w:hideMark/>
          </w:tcPr>
          <w:p w14:paraId="30CE56E9" w14:textId="77777777" w:rsidR="00984B2C" w:rsidRPr="00E755E2" w:rsidRDefault="00984B2C">
            <w:pPr>
              <w:jc w:val="center"/>
              <w:rPr>
                <w:rFonts w:asciiTheme="minorHAnsi" w:hAnsiTheme="minorHAnsi" w:cs="Calibri"/>
                <w:color w:val="000000"/>
                <w:sz w:val="22"/>
                <w:szCs w:val="22"/>
              </w:rPr>
            </w:pPr>
            <w:r w:rsidRPr="00E755E2">
              <w:rPr>
                <w:rFonts w:asciiTheme="minorHAnsi" w:hAnsiTheme="minorHAnsi" w:cs="Calibri"/>
                <w:color w:val="000000"/>
                <w:sz w:val="22"/>
                <w:szCs w:val="22"/>
              </w:rPr>
              <w:t>1</w:t>
            </w:r>
          </w:p>
        </w:tc>
        <w:tc>
          <w:tcPr>
            <w:tcW w:w="2623" w:type="dxa"/>
            <w:shd w:val="clear" w:color="auto" w:fill="auto"/>
            <w:noWrap/>
            <w:vAlign w:val="center"/>
            <w:hideMark/>
          </w:tcPr>
          <w:p w14:paraId="76E8F67E" w14:textId="77777777" w:rsidR="00984B2C" w:rsidRPr="00E755E2" w:rsidRDefault="00984B2C">
            <w:pPr>
              <w:rPr>
                <w:rFonts w:asciiTheme="minorHAnsi" w:hAnsiTheme="minorHAnsi" w:cs="Calibri"/>
                <w:color w:val="000000"/>
                <w:sz w:val="22"/>
                <w:szCs w:val="22"/>
              </w:rPr>
            </w:pPr>
            <w:r w:rsidRPr="00E755E2">
              <w:rPr>
                <w:rFonts w:asciiTheme="minorHAnsi" w:hAnsiTheme="minorHAnsi" w:cs="Calibri"/>
                <w:color w:val="000000"/>
                <w:sz w:val="22"/>
                <w:szCs w:val="22"/>
              </w:rPr>
              <w:t>DDUGJY</w:t>
            </w:r>
          </w:p>
        </w:tc>
        <w:tc>
          <w:tcPr>
            <w:tcW w:w="1582" w:type="dxa"/>
            <w:shd w:val="clear" w:color="auto" w:fill="auto"/>
            <w:noWrap/>
            <w:vAlign w:val="bottom"/>
            <w:hideMark/>
          </w:tcPr>
          <w:p w14:paraId="62453569" w14:textId="7465B64B" w:rsidR="00984B2C" w:rsidRPr="00E755E2" w:rsidRDefault="00984B2C" w:rsidP="00984B2C">
            <w:pPr>
              <w:jc w:val="center"/>
              <w:rPr>
                <w:rFonts w:asciiTheme="minorHAnsi" w:hAnsiTheme="minorHAnsi" w:cs="Calibri"/>
                <w:sz w:val="22"/>
                <w:szCs w:val="22"/>
              </w:rPr>
            </w:pPr>
            <w:r w:rsidRPr="00E755E2">
              <w:rPr>
                <w:rFonts w:asciiTheme="minorHAnsi" w:hAnsiTheme="minorHAnsi" w:cs="Calibri"/>
                <w:sz w:val="22"/>
                <w:szCs w:val="22"/>
              </w:rPr>
              <w:t>446.49</w:t>
            </w:r>
          </w:p>
        </w:tc>
        <w:tc>
          <w:tcPr>
            <w:tcW w:w="0" w:type="auto"/>
            <w:shd w:val="clear" w:color="auto" w:fill="auto"/>
            <w:noWrap/>
            <w:vAlign w:val="bottom"/>
            <w:hideMark/>
          </w:tcPr>
          <w:p w14:paraId="141EDDE1" w14:textId="51901863" w:rsidR="00984B2C" w:rsidRPr="00E755E2" w:rsidRDefault="00984B2C" w:rsidP="00984B2C">
            <w:pPr>
              <w:jc w:val="center"/>
              <w:rPr>
                <w:rFonts w:asciiTheme="minorHAnsi" w:hAnsiTheme="minorHAnsi" w:cs="Calibri"/>
                <w:sz w:val="22"/>
                <w:szCs w:val="22"/>
              </w:rPr>
            </w:pPr>
            <w:r w:rsidRPr="00E755E2">
              <w:rPr>
                <w:rFonts w:asciiTheme="minorHAnsi" w:hAnsiTheme="minorHAnsi" w:cs="Calibri"/>
                <w:sz w:val="22"/>
                <w:szCs w:val="22"/>
              </w:rPr>
              <w:t>-</w:t>
            </w:r>
          </w:p>
        </w:tc>
        <w:tc>
          <w:tcPr>
            <w:tcW w:w="0" w:type="auto"/>
            <w:shd w:val="clear" w:color="auto" w:fill="auto"/>
            <w:noWrap/>
            <w:vAlign w:val="bottom"/>
            <w:hideMark/>
          </w:tcPr>
          <w:p w14:paraId="7F32C751" w14:textId="62882D18" w:rsidR="00984B2C" w:rsidRPr="00E755E2" w:rsidRDefault="00984B2C" w:rsidP="00984B2C">
            <w:pPr>
              <w:jc w:val="center"/>
              <w:rPr>
                <w:rFonts w:asciiTheme="minorHAnsi" w:hAnsiTheme="minorHAnsi" w:cs="Calibri"/>
                <w:sz w:val="22"/>
                <w:szCs w:val="22"/>
              </w:rPr>
            </w:pPr>
            <w:r w:rsidRPr="00E755E2">
              <w:rPr>
                <w:rFonts w:asciiTheme="minorHAnsi" w:hAnsiTheme="minorHAnsi" w:cs="Calibri"/>
                <w:sz w:val="22"/>
                <w:szCs w:val="22"/>
              </w:rPr>
              <w:t>446.49</w:t>
            </w:r>
          </w:p>
        </w:tc>
        <w:tc>
          <w:tcPr>
            <w:tcW w:w="0" w:type="auto"/>
            <w:shd w:val="clear" w:color="auto" w:fill="auto"/>
            <w:noWrap/>
            <w:vAlign w:val="bottom"/>
            <w:hideMark/>
          </w:tcPr>
          <w:p w14:paraId="5A1572AC" w14:textId="5D9B970C" w:rsidR="00984B2C" w:rsidRPr="00E755E2" w:rsidRDefault="00984B2C" w:rsidP="00984B2C">
            <w:pPr>
              <w:jc w:val="center"/>
              <w:rPr>
                <w:rFonts w:asciiTheme="minorHAnsi" w:hAnsiTheme="minorHAnsi" w:cs="Calibri"/>
                <w:sz w:val="22"/>
                <w:szCs w:val="22"/>
              </w:rPr>
            </w:pPr>
            <w:r w:rsidRPr="00E755E2">
              <w:rPr>
                <w:rFonts w:asciiTheme="minorHAnsi" w:hAnsiTheme="minorHAnsi" w:cs="Calibri"/>
                <w:sz w:val="22"/>
                <w:szCs w:val="22"/>
              </w:rPr>
              <w:t>446.49</w:t>
            </w:r>
          </w:p>
        </w:tc>
        <w:tc>
          <w:tcPr>
            <w:tcW w:w="0" w:type="auto"/>
            <w:shd w:val="clear" w:color="auto" w:fill="auto"/>
            <w:noWrap/>
            <w:vAlign w:val="bottom"/>
            <w:hideMark/>
          </w:tcPr>
          <w:p w14:paraId="03DD2141" w14:textId="77777777" w:rsidR="00984B2C" w:rsidRPr="00E755E2" w:rsidRDefault="00984B2C" w:rsidP="00984B2C">
            <w:pPr>
              <w:jc w:val="center"/>
              <w:rPr>
                <w:rFonts w:asciiTheme="minorHAnsi" w:hAnsiTheme="minorHAnsi" w:cs="Calibri"/>
                <w:sz w:val="22"/>
                <w:szCs w:val="22"/>
              </w:rPr>
            </w:pPr>
          </w:p>
        </w:tc>
        <w:tc>
          <w:tcPr>
            <w:tcW w:w="0" w:type="auto"/>
            <w:shd w:val="clear" w:color="auto" w:fill="auto"/>
            <w:noWrap/>
            <w:vAlign w:val="bottom"/>
            <w:hideMark/>
          </w:tcPr>
          <w:p w14:paraId="55517C40" w14:textId="235BCB71" w:rsidR="00984B2C" w:rsidRPr="00E755E2" w:rsidRDefault="00984B2C" w:rsidP="00984B2C">
            <w:pPr>
              <w:jc w:val="center"/>
              <w:rPr>
                <w:rFonts w:asciiTheme="minorHAnsi" w:hAnsiTheme="minorHAnsi" w:cs="Calibri"/>
                <w:sz w:val="22"/>
                <w:szCs w:val="22"/>
              </w:rPr>
            </w:pPr>
            <w:r w:rsidRPr="00E755E2">
              <w:rPr>
                <w:rFonts w:asciiTheme="minorHAnsi" w:hAnsiTheme="minorHAnsi" w:cs="Calibri"/>
                <w:sz w:val="22"/>
                <w:szCs w:val="22"/>
              </w:rPr>
              <w:t>446.49</w:t>
            </w:r>
          </w:p>
        </w:tc>
      </w:tr>
      <w:tr w:rsidR="00984B2C" w:rsidRPr="00E755E2" w14:paraId="3DBB915E" w14:textId="77777777" w:rsidTr="00A778B6">
        <w:trPr>
          <w:trHeight w:val="272"/>
        </w:trPr>
        <w:tc>
          <w:tcPr>
            <w:tcW w:w="740" w:type="dxa"/>
            <w:shd w:val="clear" w:color="auto" w:fill="auto"/>
            <w:noWrap/>
            <w:vAlign w:val="center"/>
            <w:hideMark/>
          </w:tcPr>
          <w:p w14:paraId="71302544" w14:textId="77777777" w:rsidR="00984B2C" w:rsidRPr="00E755E2" w:rsidRDefault="00984B2C">
            <w:pPr>
              <w:jc w:val="center"/>
              <w:rPr>
                <w:rFonts w:asciiTheme="minorHAnsi" w:hAnsiTheme="minorHAnsi" w:cs="Calibri"/>
                <w:color w:val="000000"/>
                <w:sz w:val="22"/>
                <w:szCs w:val="22"/>
              </w:rPr>
            </w:pPr>
            <w:r w:rsidRPr="00E755E2">
              <w:rPr>
                <w:rFonts w:asciiTheme="minorHAnsi" w:hAnsiTheme="minorHAnsi" w:cs="Calibri"/>
                <w:color w:val="000000"/>
                <w:sz w:val="22"/>
                <w:szCs w:val="22"/>
              </w:rPr>
              <w:t>2</w:t>
            </w:r>
          </w:p>
        </w:tc>
        <w:tc>
          <w:tcPr>
            <w:tcW w:w="2623" w:type="dxa"/>
            <w:shd w:val="clear" w:color="auto" w:fill="auto"/>
            <w:noWrap/>
            <w:vAlign w:val="center"/>
            <w:hideMark/>
          </w:tcPr>
          <w:p w14:paraId="5F12905F" w14:textId="77777777" w:rsidR="00984B2C" w:rsidRPr="00E755E2" w:rsidRDefault="00984B2C">
            <w:pPr>
              <w:rPr>
                <w:rFonts w:asciiTheme="minorHAnsi" w:hAnsiTheme="minorHAnsi" w:cs="Calibri"/>
                <w:color w:val="000000"/>
                <w:sz w:val="22"/>
                <w:szCs w:val="22"/>
              </w:rPr>
            </w:pPr>
            <w:r w:rsidRPr="00E755E2">
              <w:rPr>
                <w:rFonts w:asciiTheme="minorHAnsi" w:hAnsiTheme="minorHAnsi" w:cs="Calibri"/>
                <w:color w:val="000000"/>
                <w:sz w:val="22"/>
                <w:szCs w:val="22"/>
              </w:rPr>
              <w:t>IPDS</w:t>
            </w:r>
          </w:p>
        </w:tc>
        <w:tc>
          <w:tcPr>
            <w:tcW w:w="1582" w:type="dxa"/>
            <w:shd w:val="clear" w:color="auto" w:fill="auto"/>
            <w:noWrap/>
            <w:vAlign w:val="center"/>
            <w:hideMark/>
          </w:tcPr>
          <w:p w14:paraId="6639714A" w14:textId="5B0165C3" w:rsidR="00984B2C" w:rsidRPr="00E755E2" w:rsidRDefault="00984B2C" w:rsidP="00984B2C">
            <w:pPr>
              <w:jc w:val="center"/>
              <w:rPr>
                <w:rFonts w:asciiTheme="minorHAnsi" w:hAnsiTheme="minorHAnsi" w:cs="Calibri"/>
                <w:color w:val="000000"/>
                <w:sz w:val="22"/>
                <w:szCs w:val="22"/>
              </w:rPr>
            </w:pPr>
            <w:r w:rsidRPr="00E755E2">
              <w:rPr>
                <w:rFonts w:asciiTheme="minorHAnsi" w:hAnsiTheme="minorHAnsi" w:cs="Calibri"/>
                <w:color w:val="000000"/>
                <w:sz w:val="22"/>
                <w:szCs w:val="22"/>
              </w:rPr>
              <w:t>347.86</w:t>
            </w:r>
          </w:p>
        </w:tc>
        <w:tc>
          <w:tcPr>
            <w:tcW w:w="0" w:type="auto"/>
            <w:shd w:val="clear" w:color="auto" w:fill="auto"/>
            <w:noWrap/>
            <w:vAlign w:val="bottom"/>
            <w:hideMark/>
          </w:tcPr>
          <w:p w14:paraId="44BC097C" w14:textId="0F7CB39C" w:rsidR="00984B2C" w:rsidRPr="00E755E2" w:rsidRDefault="00984B2C" w:rsidP="00984B2C">
            <w:pPr>
              <w:jc w:val="center"/>
              <w:rPr>
                <w:rFonts w:asciiTheme="minorHAnsi" w:hAnsiTheme="minorHAnsi" w:cs="Calibri"/>
                <w:sz w:val="22"/>
                <w:szCs w:val="22"/>
              </w:rPr>
            </w:pPr>
            <w:r w:rsidRPr="00E755E2">
              <w:rPr>
                <w:rFonts w:asciiTheme="minorHAnsi" w:hAnsiTheme="minorHAnsi" w:cs="Calibri"/>
                <w:sz w:val="22"/>
                <w:szCs w:val="22"/>
              </w:rPr>
              <w:t>-</w:t>
            </w:r>
          </w:p>
        </w:tc>
        <w:tc>
          <w:tcPr>
            <w:tcW w:w="0" w:type="auto"/>
            <w:shd w:val="clear" w:color="auto" w:fill="auto"/>
            <w:noWrap/>
            <w:vAlign w:val="bottom"/>
            <w:hideMark/>
          </w:tcPr>
          <w:p w14:paraId="7CC4BF92" w14:textId="18DC0AFA" w:rsidR="00984B2C" w:rsidRPr="00E755E2" w:rsidRDefault="00984B2C" w:rsidP="00984B2C">
            <w:pPr>
              <w:jc w:val="center"/>
              <w:rPr>
                <w:rFonts w:asciiTheme="minorHAnsi" w:hAnsiTheme="minorHAnsi" w:cs="Calibri"/>
                <w:sz w:val="22"/>
                <w:szCs w:val="22"/>
              </w:rPr>
            </w:pPr>
            <w:r w:rsidRPr="00E755E2">
              <w:rPr>
                <w:rFonts w:asciiTheme="minorHAnsi" w:hAnsiTheme="minorHAnsi" w:cs="Calibri"/>
                <w:sz w:val="22"/>
                <w:szCs w:val="22"/>
              </w:rPr>
              <w:t>347.86</w:t>
            </w:r>
          </w:p>
        </w:tc>
        <w:tc>
          <w:tcPr>
            <w:tcW w:w="0" w:type="auto"/>
            <w:shd w:val="clear" w:color="auto" w:fill="auto"/>
            <w:noWrap/>
            <w:vAlign w:val="bottom"/>
            <w:hideMark/>
          </w:tcPr>
          <w:p w14:paraId="22F648F7" w14:textId="610E9F1A" w:rsidR="00984B2C" w:rsidRPr="00E755E2" w:rsidRDefault="00984B2C" w:rsidP="00984B2C">
            <w:pPr>
              <w:jc w:val="center"/>
              <w:rPr>
                <w:rFonts w:asciiTheme="minorHAnsi" w:hAnsiTheme="minorHAnsi" w:cs="Calibri"/>
                <w:sz w:val="22"/>
                <w:szCs w:val="22"/>
              </w:rPr>
            </w:pPr>
            <w:r w:rsidRPr="00E755E2">
              <w:rPr>
                <w:rFonts w:asciiTheme="minorHAnsi" w:hAnsiTheme="minorHAnsi" w:cs="Calibri"/>
                <w:sz w:val="22"/>
                <w:szCs w:val="22"/>
              </w:rPr>
              <w:t>347.86</w:t>
            </w:r>
          </w:p>
        </w:tc>
        <w:tc>
          <w:tcPr>
            <w:tcW w:w="0" w:type="auto"/>
            <w:shd w:val="clear" w:color="auto" w:fill="auto"/>
            <w:noWrap/>
            <w:vAlign w:val="bottom"/>
            <w:hideMark/>
          </w:tcPr>
          <w:p w14:paraId="5D59E832" w14:textId="77777777" w:rsidR="00984B2C" w:rsidRPr="00E755E2" w:rsidRDefault="00984B2C" w:rsidP="00984B2C">
            <w:pPr>
              <w:jc w:val="center"/>
              <w:rPr>
                <w:rFonts w:asciiTheme="minorHAnsi" w:hAnsiTheme="minorHAnsi" w:cs="Calibri"/>
                <w:sz w:val="22"/>
                <w:szCs w:val="22"/>
              </w:rPr>
            </w:pPr>
          </w:p>
        </w:tc>
        <w:tc>
          <w:tcPr>
            <w:tcW w:w="0" w:type="auto"/>
            <w:shd w:val="clear" w:color="auto" w:fill="auto"/>
            <w:noWrap/>
            <w:vAlign w:val="bottom"/>
            <w:hideMark/>
          </w:tcPr>
          <w:p w14:paraId="5D2DB668" w14:textId="0F2B27C3" w:rsidR="00984B2C" w:rsidRPr="00E755E2" w:rsidRDefault="00984B2C" w:rsidP="00984B2C">
            <w:pPr>
              <w:jc w:val="center"/>
              <w:rPr>
                <w:rFonts w:asciiTheme="minorHAnsi" w:hAnsiTheme="minorHAnsi" w:cs="Calibri"/>
                <w:sz w:val="22"/>
                <w:szCs w:val="22"/>
              </w:rPr>
            </w:pPr>
            <w:r w:rsidRPr="00E755E2">
              <w:rPr>
                <w:rFonts w:asciiTheme="minorHAnsi" w:hAnsiTheme="minorHAnsi" w:cs="Calibri"/>
                <w:sz w:val="22"/>
                <w:szCs w:val="22"/>
              </w:rPr>
              <w:t>347.86</w:t>
            </w:r>
          </w:p>
        </w:tc>
      </w:tr>
      <w:tr w:rsidR="00984B2C" w:rsidRPr="00E755E2" w14:paraId="63CBD315" w14:textId="77777777" w:rsidTr="00A778B6">
        <w:trPr>
          <w:trHeight w:val="272"/>
        </w:trPr>
        <w:tc>
          <w:tcPr>
            <w:tcW w:w="740" w:type="dxa"/>
            <w:shd w:val="clear" w:color="auto" w:fill="auto"/>
            <w:noWrap/>
            <w:vAlign w:val="center"/>
            <w:hideMark/>
          </w:tcPr>
          <w:p w14:paraId="5FC497F7" w14:textId="77777777" w:rsidR="00984B2C" w:rsidRPr="00E755E2" w:rsidRDefault="00984B2C">
            <w:pPr>
              <w:jc w:val="center"/>
              <w:rPr>
                <w:rFonts w:asciiTheme="minorHAnsi" w:hAnsiTheme="minorHAnsi" w:cs="Calibri"/>
                <w:color w:val="000000"/>
                <w:sz w:val="22"/>
                <w:szCs w:val="22"/>
              </w:rPr>
            </w:pPr>
            <w:r w:rsidRPr="00E755E2">
              <w:rPr>
                <w:rFonts w:asciiTheme="minorHAnsi" w:hAnsiTheme="minorHAnsi" w:cs="Calibri"/>
                <w:color w:val="000000"/>
                <w:sz w:val="22"/>
                <w:szCs w:val="22"/>
              </w:rPr>
              <w:t>3</w:t>
            </w:r>
          </w:p>
        </w:tc>
        <w:tc>
          <w:tcPr>
            <w:tcW w:w="2623" w:type="dxa"/>
            <w:shd w:val="clear" w:color="auto" w:fill="auto"/>
            <w:noWrap/>
            <w:vAlign w:val="center"/>
            <w:hideMark/>
          </w:tcPr>
          <w:p w14:paraId="1406D040" w14:textId="77777777" w:rsidR="00984B2C" w:rsidRPr="00E755E2" w:rsidRDefault="00984B2C">
            <w:pPr>
              <w:rPr>
                <w:rFonts w:asciiTheme="minorHAnsi" w:hAnsiTheme="minorHAnsi" w:cs="Calibri"/>
                <w:color w:val="000000"/>
                <w:sz w:val="22"/>
                <w:szCs w:val="22"/>
              </w:rPr>
            </w:pPr>
            <w:r w:rsidRPr="00E755E2">
              <w:rPr>
                <w:rFonts w:asciiTheme="minorHAnsi" w:hAnsiTheme="minorHAnsi" w:cs="Calibri"/>
                <w:color w:val="000000"/>
                <w:sz w:val="22"/>
                <w:szCs w:val="22"/>
              </w:rPr>
              <w:t>ODSSP</w:t>
            </w:r>
          </w:p>
        </w:tc>
        <w:tc>
          <w:tcPr>
            <w:tcW w:w="1582" w:type="dxa"/>
            <w:shd w:val="clear" w:color="auto" w:fill="auto"/>
            <w:noWrap/>
            <w:vAlign w:val="center"/>
            <w:hideMark/>
          </w:tcPr>
          <w:p w14:paraId="646FE1D8" w14:textId="101F4F11" w:rsidR="00984B2C" w:rsidRPr="00E755E2" w:rsidRDefault="00984B2C" w:rsidP="00984B2C">
            <w:pPr>
              <w:jc w:val="center"/>
              <w:rPr>
                <w:rFonts w:asciiTheme="minorHAnsi" w:hAnsiTheme="minorHAnsi" w:cs="Calibri"/>
                <w:color w:val="000000"/>
                <w:sz w:val="22"/>
                <w:szCs w:val="22"/>
              </w:rPr>
            </w:pPr>
            <w:r w:rsidRPr="00E755E2">
              <w:rPr>
                <w:rFonts w:asciiTheme="minorHAnsi" w:hAnsiTheme="minorHAnsi" w:cs="Calibri"/>
                <w:color w:val="000000"/>
                <w:sz w:val="22"/>
                <w:szCs w:val="22"/>
              </w:rPr>
              <w:t>584.71</w:t>
            </w:r>
          </w:p>
        </w:tc>
        <w:tc>
          <w:tcPr>
            <w:tcW w:w="0" w:type="auto"/>
            <w:shd w:val="clear" w:color="auto" w:fill="auto"/>
            <w:noWrap/>
            <w:vAlign w:val="bottom"/>
            <w:hideMark/>
          </w:tcPr>
          <w:p w14:paraId="3337F6F5" w14:textId="6AAF79CD" w:rsidR="00984B2C" w:rsidRPr="00E755E2" w:rsidRDefault="00984B2C" w:rsidP="00984B2C">
            <w:pPr>
              <w:jc w:val="center"/>
              <w:rPr>
                <w:rFonts w:asciiTheme="minorHAnsi" w:hAnsiTheme="minorHAnsi" w:cs="Calibri"/>
                <w:sz w:val="22"/>
                <w:szCs w:val="22"/>
              </w:rPr>
            </w:pPr>
            <w:r w:rsidRPr="00E755E2">
              <w:rPr>
                <w:rFonts w:asciiTheme="minorHAnsi" w:hAnsiTheme="minorHAnsi" w:cs="Calibri"/>
                <w:sz w:val="22"/>
                <w:szCs w:val="22"/>
              </w:rPr>
              <w:t>330.53</w:t>
            </w:r>
          </w:p>
        </w:tc>
        <w:tc>
          <w:tcPr>
            <w:tcW w:w="0" w:type="auto"/>
            <w:shd w:val="clear" w:color="auto" w:fill="auto"/>
            <w:noWrap/>
            <w:vAlign w:val="bottom"/>
            <w:hideMark/>
          </w:tcPr>
          <w:p w14:paraId="0509E688" w14:textId="0DDE1E3F" w:rsidR="00984B2C" w:rsidRPr="00E755E2" w:rsidRDefault="00984B2C" w:rsidP="00984B2C">
            <w:pPr>
              <w:jc w:val="center"/>
              <w:rPr>
                <w:rFonts w:asciiTheme="minorHAnsi" w:hAnsiTheme="minorHAnsi" w:cs="Calibri"/>
                <w:sz w:val="22"/>
                <w:szCs w:val="22"/>
              </w:rPr>
            </w:pPr>
            <w:r w:rsidRPr="00E755E2">
              <w:rPr>
                <w:rFonts w:asciiTheme="minorHAnsi" w:hAnsiTheme="minorHAnsi" w:cs="Calibri"/>
                <w:sz w:val="22"/>
                <w:szCs w:val="22"/>
              </w:rPr>
              <w:t>915.24</w:t>
            </w:r>
          </w:p>
        </w:tc>
        <w:tc>
          <w:tcPr>
            <w:tcW w:w="0" w:type="auto"/>
            <w:shd w:val="clear" w:color="auto" w:fill="auto"/>
            <w:noWrap/>
            <w:vAlign w:val="bottom"/>
            <w:hideMark/>
          </w:tcPr>
          <w:p w14:paraId="67DD947E" w14:textId="00567D70" w:rsidR="00984B2C" w:rsidRPr="00E755E2" w:rsidRDefault="00984B2C" w:rsidP="00984B2C">
            <w:pPr>
              <w:jc w:val="center"/>
              <w:rPr>
                <w:rFonts w:asciiTheme="minorHAnsi" w:hAnsiTheme="minorHAnsi" w:cs="Calibri"/>
                <w:sz w:val="22"/>
                <w:szCs w:val="22"/>
              </w:rPr>
            </w:pPr>
            <w:r w:rsidRPr="00E755E2">
              <w:rPr>
                <w:rFonts w:asciiTheme="minorHAnsi" w:hAnsiTheme="minorHAnsi" w:cs="Calibri"/>
                <w:sz w:val="22"/>
                <w:szCs w:val="22"/>
              </w:rPr>
              <w:t>749.98</w:t>
            </w:r>
          </w:p>
        </w:tc>
        <w:tc>
          <w:tcPr>
            <w:tcW w:w="0" w:type="auto"/>
            <w:shd w:val="clear" w:color="auto" w:fill="auto"/>
            <w:noWrap/>
            <w:vAlign w:val="bottom"/>
            <w:hideMark/>
          </w:tcPr>
          <w:p w14:paraId="3A96A29B" w14:textId="38B83308" w:rsidR="00984B2C" w:rsidRPr="00E755E2" w:rsidRDefault="00984B2C" w:rsidP="00984B2C">
            <w:pPr>
              <w:jc w:val="center"/>
              <w:rPr>
                <w:rFonts w:asciiTheme="minorHAnsi" w:hAnsiTheme="minorHAnsi" w:cs="Calibri"/>
                <w:sz w:val="22"/>
                <w:szCs w:val="22"/>
              </w:rPr>
            </w:pPr>
            <w:r w:rsidRPr="00E755E2">
              <w:rPr>
                <w:rFonts w:asciiTheme="minorHAnsi" w:hAnsiTheme="minorHAnsi" w:cs="Calibri"/>
                <w:sz w:val="22"/>
                <w:szCs w:val="22"/>
              </w:rPr>
              <w:t>165.27</w:t>
            </w:r>
          </w:p>
        </w:tc>
        <w:tc>
          <w:tcPr>
            <w:tcW w:w="0" w:type="auto"/>
            <w:shd w:val="clear" w:color="auto" w:fill="auto"/>
            <w:noWrap/>
            <w:vAlign w:val="bottom"/>
            <w:hideMark/>
          </w:tcPr>
          <w:p w14:paraId="3FE8DF50" w14:textId="186EDED2" w:rsidR="00984B2C" w:rsidRPr="00E755E2" w:rsidRDefault="00984B2C" w:rsidP="00984B2C">
            <w:pPr>
              <w:jc w:val="center"/>
              <w:rPr>
                <w:rFonts w:asciiTheme="minorHAnsi" w:hAnsiTheme="minorHAnsi" w:cs="Calibri"/>
                <w:sz w:val="22"/>
                <w:szCs w:val="22"/>
              </w:rPr>
            </w:pPr>
            <w:r w:rsidRPr="00E755E2">
              <w:rPr>
                <w:rFonts w:asciiTheme="minorHAnsi" w:hAnsiTheme="minorHAnsi" w:cs="Calibri"/>
                <w:sz w:val="22"/>
                <w:szCs w:val="22"/>
              </w:rPr>
              <w:t>915.24</w:t>
            </w:r>
          </w:p>
        </w:tc>
      </w:tr>
      <w:tr w:rsidR="00984B2C" w:rsidRPr="00E755E2" w14:paraId="48A106FD" w14:textId="77777777" w:rsidTr="00A778B6">
        <w:trPr>
          <w:trHeight w:val="272"/>
        </w:trPr>
        <w:tc>
          <w:tcPr>
            <w:tcW w:w="740" w:type="dxa"/>
            <w:shd w:val="clear" w:color="auto" w:fill="auto"/>
            <w:noWrap/>
            <w:vAlign w:val="center"/>
            <w:hideMark/>
          </w:tcPr>
          <w:p w14:paraId="1D6DB05C" w14:textId="77777777" w:rsidR="00984B2C" w:rsidRPr="00E755E2" w:rsidRDefault="00984B2C">
            <w:pPr>
              <w:jc w:val="center"/>
              <w:rPr>
                <w:rFonts w:asciiTheme="minorHAnsi" w:hAnsiTheme="minorHAnsi" w:cs="Calibri"/>
                <w:color w:val="000000"/>
                <w:sz w:val="22"/>
                <w:szCs w:val="22"/>
              </w:rPr>
            </w:pPr>
            <w:r w:rsidRPr="00E755E2">
              <w:rPr>
                <w:rFonts w:asciiTheme="minorHAnsi" w:hAnsiTheme="minorHAnsi" w:cs="Calibri"/>
                <w:color w:val="000000"/>
                <w:sz w:val="22"/>
                <w:szCs w:val="22"/>
              </w:rPr>
              <w:t>4</w:t>
            </w:r>
          </w:p>
        </w:tc>
        <w:tc>
          <w:tcPr>
            <w:tcW w:w="2623" w:type="dxa"/>
            <w:shd w:val="clear" w:color="auto" w:fill="auto"/>
            <w:noWrap/>
            <w:vAlign w:val="center"/>
            <w:hideMark/>
          </w:tcPr>
          <w:p w14:paraId="14138A33" w14:textId="77777777" w:rsidR="00984B2C" w:rsidRPr="00E755E2" w:rsidRDefault="00984B2C">
            <w:pPr>
              <w:rPr>
                <w:rFonts w:asciiTheme="minorHAnsi" w:hAnsiTheme="minorHAnsi" w:cs="Calibri"/>
                <w:color w:val="000000"/>
                <w:sz w:val="22"/>
                <w:szCs w:val="22"/>
              </w:rPr>
            </w:pPr>
            <w:r w:rsidRPr="00E755E2">
              <w:rPr>
                <w:rFonts w:asciiTheme="minorHAnsi" w:hAnsiTheme="minorHAnsi" w:cs="Calibri"/>
                <w:color w:val="000000"/>
                <w:sz w:val="22"/>
                <w:szCs w:val="22"/>
              </w:rPr>
              <w:t>BGJY OPTCL DTR</w:t>
            </w:r>
          </w:p>
        </w:tc>
        <w:tc>
          <w:tcPr>
            <w:tcW w:w="1582" w:type="dxa"/>
            <w:shd w:val="clear" w:color="auto" w:fill="auto"/>
            <w:noWrap/>
            <w:vAlign w:val="bottom"/>
            <w:hideMark/>
          </w:tcPr>
          <w:p w14:paraId="4CA972A9" w14:textId="3375FEC8" w:rsidR="00984B2C" w:rsidRPr="00E755E2" w:rsidRDefault="00984B2C" w:rsidP="00984B2C">
            <w:pPr>
              <w:jc w:val="center"/>
              <w:rPr>
                <w:rFonts w:asciiTheme="minorHAnsi" w:hAnsiTheme="minorHAnsi" w:cs="Calibri"/>
                <w:sz w:val="22"/>
                <w:szCs w:val="22"/>
              </w:rPr>
            </w:pPr>
            <w:r w:rsidRPr="00E755E2">
              <w:rPr>
                <w:rFonts w:asciiTheme="minorHAnsi" w:hAnsiTheme="minorHAnsi" w:cs="Calibri"/>
                <w:sz w:val="22"/>
                <w:szCs w:val="22"/>
              </w:rPr>
              <w:t>34.89</w:t>
            </w:r>
          </w:p>
        </w:tc>
        <w:tc>
          <w:tcPr>
            <w:tcW w:w="0" w:type="auto"/>
            <w:shd w:val="clear" w:color="auto" w:fill="auto"/>
            <w:noWrap/>
            <w:vAlign w:val="bottom"/>
            <w:hideMark/>
          </w:tcPr>
          <w:p w14:paraId="1BA096B6" w14:textId="598922E1" w:rsidR="00984B2C" w:rsidRPr="00E755E2" w:rsidRDefault="00984B2C" w:rsidP="00984B2C">
            <w:pPr>
              <w:jc w:val="center"/>
              <w:rPr>
                <w:rFonts w:asciiTheme="minorHAnsi" w:hAnsiTheme="minorHAnsi" w:cs="Calibri"/>
                <w:sz w:val="22"/>
                <w:szCs w:val="22"/>
              </w:rPr>
            </w:pPr>
            <w:r w:rsidRPr="00E755E2">
              <w:rPr>
                <w:rFonts w:asciiTheme="minorHAnsi" w:hAnsiTheme="minorHAnsi" w:cs="Calibri"/>
                <w:sz w:val="22"/>
                <w:szCs w:val="22"/>
              </w:rPr>
              <w:t>-</w:t>
            </w:r>
          </w:p>
        </w:tc>
        <w:tc>
          <w:tcPr>
            <w:tcW w:w="0" w:type="auto"/>
            <w:shd w:val="clear" w:color="auto" w:fill="auto"/>
            <w:noWrap/>
            <w:vAlign w:val="bottom"/>
            <w:hideMark/>
          </w:tcPr>
          <w:p w14:paraId="7AC28B5F" w14:textId="4E509351" w:rsidR="00984B2C" w:rsidRPr="00E755E2" w:rsidRDefault="00984B2C" w:rsidP="00984B2C">
            <w:pPr>
              <w:jc w:val="center"/>
              <w:rPr>
                <w:rFonts w:asciiTheme="minorHAnsi" w:hAnsiTheme="minorHAnsi" w:cs="Calibri"/>
                <w:sz w:val="22"/>
                <w:szCs w:val="22"/>
              </w:rPr>
            </w:pPr>
            <w:r w:rsidRPr="00E755E2">
              <w:rPr>
                <w:rFonts w:asciiTheme="minorHAnsi" w:hAnsiTheme="minorHAnsi" w:cs="Calibri"/>
                <w:sz w:val="22"/>
                <w:szCs w:val="22"/>
              </w:rPr>
              <w:t>34.89</w:t>
            </w:r>
          </w:p>
        </w:tc>
        <w:tc>
          <w:tcPr>
            <w:tcW w:w="0" w:type="auto"/>
            <w:shd w:val="clear" w:color="auto" w:fill="auto"/>
            <w:noWrap/>
            <w:vAlign w:val="bottom"/>
            <w:hideMark/>
          </w:tcPr>
          <w:p w14:paraId="1469B1C0" w14:textId="4E1366EE" w:rsidR="00984B2C" w:rsidRPr="00E755E2" w:rsidRDefault="00984B2C" w:rsidP="00984B2C">
            <w:pPr>
              <w:jc w:val="center"/>
              <w:rPr>
                <w:rFonts w:asciiTheme="minorHAnsi" w:hAnsiTheme="minorHAnsi" w:cs="Calibri"/>
                <w:sz w:val="22"/>
                <w:szCs w:val="22"/>
              </w:rPr>
            </w:pPr>
            <w:r w:rsidRPr="00E755E2">
              <w:rPr>
                <w:rFonts w:asciiTheme="minorHAnsi" w:hAnsiTheme="minorHAnsi" w:cs="Calibri"/>
                <w:sz w:val="22"/>
                <w:szCs w:val="22"/>
              </w:rPr>
              <w:t>34.89</w:t>
            </w:r>
          </w:p>
        </w:tc>
        <w:tc>
          <w:tcPr>
            <w:tcW w:w="0" w:type="auto"/>
            <w:shd w:val="clear" w:color="auto" w:fill="auto"/>
            <w:noWrap/>
            <w:vAlign w:val="bottom"/>
            <w:hideMark/>
          </w:tcPr>
          <w:p w14:paraId="35D4DE81" w14:textId="77777777" w:rsidR="00984B2C" w:rsidRPr="00E755E2" w:rsidRDefault="00984B2C" w:rsidP="00984B2C">
            <w:pPr>
              <w:jc w:val="center"/>
              <w:rPr>
                <w:rFonts w:asciiTheme="minorHAnsi" w:hAnsiTheme="minorHAnsi" w:cs="Calibri"/>
                <w:sz w:val="22"/>
                <w:szCs w:val="22"/>
              </w:rPr>
            </w:pPr>
          </w:p>
        </w:tc>
        <w:tc>
          <w:tcPr>
            <w:tcW w:w="0" w:type="auto"/>
            <w:shd w:val="clear" w:color="auto" w:fill="auto"/>
            <w:noWrap/>
            <w:vAlign w:val="bottom"/>
            <w:hideMark/>
          </w:tcPr>
          <w:p w14:paraId="4268C6D7" w14:textId="675836F9" w:rsidR="00984B2C" w:rsidRPr="00E755E2" w:rsidRDefault="00984B2C" w:rsidP="00984B2C">
            <w:pPr>
              <w:jc w:val="center"/>
              <w:rPr>
                <w:rFonts w:asciiTheme="minorHAnsi" w:hAnsiTheme="minorHAnsi" w:cs="Calibri"/>
                <w:sz w:val="22"/>
                <w:szCs w:val="22"/>
              </w:rPr>
            </w:pPr>
            <w:r w:rsidRPr="00E755E2">
              <w:rPr>
                <w:rFonts w:asciiTheme="minorHAnsi" w:hAnsiTheme="minorHAnsi" w:cs="Calibri"/>
                <w:sz w:val="22"/>
                <w:szCs w:val="22"/>
              </w:rPr>
              <w:t>34.89</w:t>
            </w:r>
          </w:p>
        </w:tc>
      </w:tr>
      <w:tr w:rsidR="00984B2C" w:rsidRPr="00E755E2" w14:paraId="3E4E1287" w14:textId="77777777" w:rsidTr="00A778B6">
        <w:trPr>
          <w:trHeight w:val="272"/>
        </w:trPr>
        <w:tc>
          <w:tcPr>
            <w:tcW w:w="740" w:type="dxa"/>
            <w:shd w:val="clear" w:color="auto" w:fill="auto"/>
            <w:noWrap/>
            <w:vAlign w:val="center"/>
            <w:hideMark/>
          </w:tcPr>
          <w:p w14:paraId="6495EC6D" w14:textId="77777777" w:rsidR="00984B2C" w:rsidRPr="00E755E2" w:rsidRDefault="00984B2C">
            <w:pPr>
              <w:jc w:val="center"/>
              <w:rPr>
                <w:rFonts w:asciiTheme="minorHAnsi" w:hAnsiTheme="minorHAnsi" w:cs="Calibri"/>
                <w:color w:val="000000"/>
                <w:sz w:val="22"/>
                <w:szCs w:val="22"/>
              </w:rPr>
            </w:pPr>
            <w:r w:rsidRPr="00E755E2">
              <w:rPr>
                <w:rFonts w:asciiTheme="minorHAnsi" w:hAnsiTheme="minorHAnsi" w:cs="Calibri"/>
                <w:color w:val="000000"/>
                <w:sz w:val="22"/>
                <w:szCs w:val="22"/>
              </w:rPr>
              <w:t>5</w:t>
            </w:r>
          </w:p>
        </w:tc>
        <w:tc>
          <w:tcPr>
            <w:tcW w:w="2623" w:type="dxa"/>
            <w:shd w:val="clear" w:color="auto" w:fill="auto"/>
            <w:noWrap/>
            <w:vAlign w:val="center"/>
            <w:hideMark/>
          </w:tcPr>
          <w:p w14:paraId="669C0D9A" w14:textId="77777777" w:rsidR="00984B2C" w:rsidRPr="00E755E2" w:rsidRDefault="00984B2C">
            <w:pPr>
              <w:rPr>
                <w:rFonts w:asciiTheme="minorHAnsi" w:hAnsiTheme="minorHAnsi" w:cs="Calibri"/>
                <w:color w:val="000000"/>
                <w:sz w:val="22"/>
                <w:szCs w:val="22"/>
              </w:rPr>
            </w:pPr>
            <w:r w:rsidRPr="00E755E2">
              <w:rPr>
                <w:rFonts w:asciiTheme="minorHAnsi" w:hAnsiTheme="minorHAnsi" w:cs="Calibri"/>
                <w:color w:val="000000"/>
                <w:sz w:val="22"/>
                <w:szCs w:val="22"/>
              </w:rPr>
              <w:t>ODAFFP</w:t>
            </w:r>
          </w:p>
        </w:tc>
        <w:tc>
          <w:tcPr>
            <w:tcW w:w="1582" w:type="dxa"/>
            <w:shd w:val="clear" w:color="auto" w:fill="auto"/>
            <w:noWrap/>
            <w:vAlign w:val="center"/>
            <w:hideMark/>
          </w:tcPr>
          <w:p w14:paraId="0BC2BE64" w14:textId="7EE143EE" w:rsidR="00984B2C" w:rsidRPr="00E755E2" w:rsidRDefault="00984B2C" w:rsidP="00984B2C">
            <w:pPr>
              <w:jc w:val="center"/>
              <w:rPr>
                <w:rFonts w:asciiTheme="minorHAnsi" w:hAnsiTheme="minorHAnsi" w:cs="Calibri"/>
                <w:color w:val="000000"/>
                <w:sz w:val="22"/>
                <w:szCs w:val="22"/>
              </w:rPr>
            </w:pPr>
            <w:r w:rsidRPr="00E755E2">
              <w:rPr>
                <w:rFonts w:asciiTheme="minorHAnsi" w:hAnsiTheme="minorHAnsi" w:cs="Calibri"/>
                <w:color w:val="000000"/>
                <w:sz w:val="22"/>
                <w:szCs w:val="22"/>
              </w:rPr>
              <w:t>13.10</w:t>
            </w:r>
          </w:p>
        </w:tc>
        <w:tc>
          <w:tcPr>
            <w:tcW w:w="0" w:type="auto"/>
            <w:shd w:val="clear" w:color="auto" w:fill="auto"/>
            <w:noWrap/>
            <w:vAlign w:val="bottom"/>
            <w:hideMark/>
          </w:tcPr>
          <w:p w14:paraId="490EB5F4" w14:textId="1F02ECE7" w:rsidR="00984B2C" w:rsidRPr="00E755E2" w:rsidRDefault="00984B2C" w:rsidP="00984B2C">
            <w:pPr>
              <w:jc w:val="center"/>
              <w:rPr>
                <w:rFonts w:asciiTheme="minorHAnsi" w:hAnsiTheme="minorHAnsi" w:cs="Calibri"/>
                <w:sz w:val="22"/>
                <w:szCs w:val="22"/>
              </w:rPr>
            </w:pPr>
            <w:r w:rsidRPr="00E755E2">
              <w:rPr>
                <w:rFonts w:asciiTheme="minorHAnsi" w:hAnsiTheme="minorHAnsi" w:cs="Calibri"/>
                <w:sz w:val="22"/>
                <w:szCs w:val="22"/>
              </w:rPr>
              <w:t>40.87</w:t>
            </w:r>
          </w:p>
        </w:tc>
        <w:tc>
          <w:tcPr>
            <w:tcW w:w="0" w:type="auto"/>
            <w:shd w:val="clear" w:color="auto" w:fill="auto"/>
            <w:noWrap/>
            <w:vAlign w:val="bottom"/>
            <w:hideMark/>
          </w:tcPr>
          <w:p w14:paraId="54673140" w14:textId="1B93D6EB" w:rsidR="00984B2C" w:rsidRPr="00E755E2" w:rsidRDefault="00984B2C" w:rsidP="00984B2C">
            <w:pPr>
              <w:jc w:val="center"/>
              <w:rPr>
                <w:rFonts w:asciiTheme="minorHAnsi" w:hAnsiTheme="minorHAnsi" w:cs="Calibri"/>
                <w:sz w:val="22"/>
                <w:szCs w:val="22"/>
              </w:rPr>
            </w:pPr>
            <w:r w:rsidRPr="00E755E2">
              <w:rPr>
                <w:rFonts w:asciiTheme="minorHAnsi" w:hAnsiTheme="minorHAnsi" w:cs="Calibri"/>
                <w:sz w:val="22"/>
                <w:szCs w:val="22"/>
              </w:rPr>
              <w:t>53.97</w:t>
            </w:r>
          </w:p>
        </w:tc>
        <w:tc>
          <w:tcPr>
            <w:tcW w:w="0" w:type="auto"/>
            <w:shd w:val="clear" w:color="auto" w:fill="auto"/>
            <w:noWrap/>
            <w:vAlign w:val="bottom"/>
            <w:hideMark/>
          </w:tcPr>
          <w:p w14:paraId="15D93566" w14:textId="12C64BF1" w:rsidR="00984B2C" w:rsidRPr="00E755E2" w:rsidRDefault="00984B2C" w:rsidP="00984B2C">
            <w:pPr>
              <w:jc w:val="center"/>
              <w:rPr>
                <w:rFonts w:asciiTheme="minorHAnsi" w:hAnsiTheme="minorHAnsi" w:cs="Calibri"/>
                <w:sz w:val="22"/>
                <w:szCs w:val="22"/>
              </w:rPr>
            </w:pPr>
            <w:r w:rsidRPr="00E755E2">
              <w:rPr>
                <w:rFonts w:asciiTheme="minorHAnsi" w:hAnsiTheme="minorHAnsi" w:cs="Calibri"/>
                <w:sz w:val="22"/>
                <w:szCs w:val="22"/>
              </w:rPr>
              <w:t>33.54</w:t>
            </w:r>
          </w:p>
        </w:tc>
        <w:tc>
          <w:tcPr>
            <w:tcW w:w="0" w:type="auto"/>
            <w:shd w:val="clear" w:color="auto" w:fill="auto"/>
            <w:noWrap/>
            <w:vAlign w:val="bottom"/>
            <w:hideMark/>
          </w:tcPr>
          <w:p w14:paraId="48E25907" w14:textId="52CB8F1F" w:rsidR="00984B2C" w:rsidRPr="00E755E2" w:rsidRDefault="00984B2C" w:rsidP="00984B2C">
            <w:pPr>
              <w:jc w:val="center"/>
              <w:rPr>
                <w:rFonts w:asciiTheme="minorHAnsi" w:hAnsiTheme="minorHAnsi" w:cs="Calibri"/>
                <w:sz w:val="22"/>
                <w:szCs w:val="22"/>
              </w:rPr>
            </w:pPr>
            <w:r w:rsidRPr="00E755E2">
              <w:rPr>
                <w:rFonts w:asciiTheme="minorHAnsi" w:hAnsiTheme="minorHAnsi" w:cs="Calibri"/>
                <w:sz w:val="22"/>
                <w:szCs w:val="22"/>
              </w:rPr>
              <w:t>20.44</w:t>
            </w:r>
          </w:p>
        </w:tc>
        <w:tc>
          <w:tcPr>
            <w:tcW w:w="0" w:type="auto"/>
            <w:shd w:val="clear" w:color="auto" w:fill="auto"/>
            <w:noWrap/>
            <w:vAlign w:val="bottom"/>
            <w:hideMark/>
          </w:tcPr>
          <w:p w14:paraId="2E7E4C9E" w14:textId="032DD252" w:rsidR="00984B2C" w:rsidRPr="00E755E2" w:rsidRDefault="00984B2C" w:rsidP="00984B2C">
            <w:pPr>
              <w:jc w:val="center"/>
              <w:rPr>
                <w:rFonts w:asciiTheme="minorHAnsi" w:hAnsiTheme="minorHAnsi" w:cs="Calibri"/>
                <w:sz w:val="22"/>
                <w:szCs w:val="22"/>
              </w:rPr>
            </w:pPr>
            <w:r w:rsidRPr="00E755E2">
              <w:rPr>
                <w:rFonts w:asciiTheme="minorHAnsi" w:hAnsiTheme="minorHAnsi" w:cs="Calibri"/>
                <w:sz w:val="22"/>
                <w:szCs w:val="22"/>
              </w:rPr>
              <w:t>53.97</w:t>
            </w:r>
          </w:p>
        </w:tc>
      </w:tr>
      <w:tr w:rsidR="00984B2C" w:rsidRPr="00E755E2" w14:paraId="491C8351" w14:textId="77777777" w:rsidTr="00A778B6">
        <w:trPr>
          <w:trHeight w:val="272"/>
        </w:trPr>
        <w:tc>
          <w:tcPr>
            <w:tcW w:w="740" w:type="dxa"/>
            <w:shd w:val="clear" w:color="auto" w:fill="auto"/>
            <w:noWrap/>
            <w:vAlign w:val="center"/>
            <w:hideMark/>
          </w:tcPr>
          <w:p w14:paraId="5429A9AC" w14:textId="77777777" w:rsidR="00984B2C" w:rsidRPr="00E755E2" w:rsidRDefault="00984B2C">
            <w:pPr>
              <w:jc w:val="center"/>
              <w:rPr>
                <w:rFonts w:asciiTheme="minorHAnsi" w:hAnsiTheme="minorHAnsi" w:cs="Calibri"/>
                <w:color w:val="000000"/>
                <w:sz w:val="22"/>
                <w:szCs w:val="22"/>
              </w:rPr>
            </w:pPr>
            <w:r w:rsidRPr="00E755E2">
              <w:rPr>
                <w:rFonts w:asciiTheme="minorHAnsi" w:hAnsiTheme="minorHAnsi" w:cs="Calibri"/>
                <w:color w:val="000000"/>
                <w:sz w:val="22"/>
                <w:szCs w:val="22"/>
              </w:rPr>
              <w:t>6</w:t>
            </w:r>
          </w:p>
        </w:tc>
        <w:tc>
          <w:tcPr>
            <w:tcW w:w="2623" w:type="dxa"/>
            <w:shd w:val="clear" w:color="auto" w:fill="auto"/>
            <w:noWrap/>
            <w:vAlign w:val="center"/>
            <w:hideMark/>
          </w:tcPr>
          <w:p w14:paraId="5D5F0326" w14:textId="77777777" w:rsidR="00984B2C" w:rsidRPr="00E755E2" w:rsidRDefault="00984B2C">
            <w:pPr>
              <w:rPr>
                <w:rFonts w:asciiTheme="minorHAnsi" w:hAnsiTheme="minorHAnsi" w:cs="Calibri"/>
                <w:color w:val="000000"/>
                <w:sz w:val="22"/>
                <w:szCs w:val="22"/>
              </w:rPr>
            </w:pPr>
            <w:r w:rsidRPr="00E755E2">
              <w:rPr>
                <w:rFonts w:asciiTheme="minorHAnsi" w:hAnsiTheme="minorHAnsi" w:cs="Calibri"/>
                <w:color w:val="000000"/>
                <w:sz w:val="22"/>
                <w:szCs w:val="22"/>
              </w:rPr>
              <w:t>RGGVY</w:t>
            </w:r>
          </w:p>
        </w:tc>
        <w:tc>
          <w:tcPr>
            <w:tcW w:w="1582" w:type="dxa"/>
            <w:shd w:val="clear" w:color="auto" w:fill="auto"/>
            <w:noWrap/>
            <w:vAlign w:val="center"/>
            <w:hideMark/>
          </w:tcPr>
          <w:p w14:paraId="2108B694" w14:textId="2B521B25" w:rsidR="00984B2C" w:rsidRPr="00E755E2" w:rsidRDefault="00984B2C" w:rsidP="00984B2C">
            <w:pPr>
              <w:jc w:val="center"/>
              <w:rPr>
                <w:rFonts w:asciiTheme="minorHAnsi" w:hAnsiTheme="minorHAnsi" w:cs="Calibri"/>
                <w:color w:val="000000"/>
                <w:sz w:val="22"/>
                <w:szCs w:val="22"/>
              </w:rPr>
            </w:pPr>
            <w:r w:rsidRPr="00E755E2">
              <w:rPr>
                <w:rFonts w:asciiTheme="minorHAnsi" w:hAnsiTheme="minorHAnsi" w:cs="Calibri"/>
                <w:color w:val="000000"/>
                <w:sz w:val="22"/>
                <w:szCs w:val="22"/>
              </w:rPr>
              <w:t>3.51</w:t>
            </w:r>
          </w:p>
        </w:tc>
        <w:tc>
          <w:tcPr>
            <w:tcW w:w="0" w:type="auto"/>
            <w:shd w:val="clear" w:color="auto" w:fill="auto"/>
            <w:noWrap/>
            <w:vAlign w:val="bottom"/>
            <w:hideMark/>
          </w:tcPr>
          <w:p w14:paraId="66510336" w14:textId="6EF464D0" w:rsidR="00984B2C" w:rsidRPr="00E755E2" w:rsidRDefault="00984B2C" w:rsidP="00984B2C">
            <w:pPr>
              <w:jc w:val="center"/>
              <w:rPr>
                <w:rFonts w:asciiTheme="minorHAnsi" w:hAnsiTheme="minorHAnsi" w:cs="Calibri"/>
                <w:sz w:val="22"/>
                <w:szCs w:val="22"/>
              </w:rPr>
            </w:pPr>
            <w:r w:rsidRPr="00E755E2">
              <w:rPr>
                <w:rFonts w:asciiTheme="minorHAnsi" w:hAnsiTheme="minorHAnsi" w:cs="Calibri"/>
                <w:sz w:val="22"/>
                <w:szCs w:val="22"/>
              </w:rPr>
              <w:t>-</w:t>
            </w:r>
          </w:p>
        </w:tc>
        <w:tc>
          <w:tcPr>
            <w:tcW w:w="0" w:type="auto"/>
            <w:shd w:val="clear" w:color="auto" w:fill="auto"/>
            <w:noWrap/>
            <w:vAlign w:val="bottom"/>
            <w:hideMark/>
          </w:tcPr>
          <w:p w14:paraId="4CF51857" w14:textId="2EA4E717" w:rsidR="00984B2C" w:rsidRPr="00E755E2" w:rsidRDefault="00984B2C" w:rsidP="00984B2C">
            <w:pPr>
              <w:jc w:val="center"/>
              <w:rPr>
                <w:rFonts w:asciiTheme="minorHAnsi" w:hAnsiTheme="minorHAnsi" w:cs="Calibri"/>
                <w:sz w:val="22"/>
                <w:szCs w:val="22"/>
              </w:rPr>
            </w:pPr>
            <w:r w:rsidRPr="00E755E2">
              <w:rPr>
                <w:rFonts w:asciiTheme="minorHAnsi" w:hAnsiTheme="minorHAnsi" w:cs="Calibri"/>
                <w:sz w:val="22"/>
                <w:szCs w:val="22"/>
              </w:rPr>
              <w:t>3.51</w:t>
            </w:r>
          </w:p>
        </w:tc>
        <w:tc>
          <w:tcPr>
            <w:tcW w:w="0" w:type="auto"/>
            <w:shd w:val="clear" w:color="auto" w:fill="auto"/>
            <w:noWrap/>
            <w:vAlign w:val="bottom"/>
            <w:hideMark/>
          </w:tcPr>
          <w:p w14:paraId="71B3A6C2" w14:textId="12B0E650" w:rsidR="00984B2C" w:rsidRPr="00E755E2" w:rsidRDefault="00984B2C" w:rsidP="00984B2C">
            <w:pPr>
              <w:jc w:val="center"/>
              <w:rPr>
                <w:rFonts w:asciiTheme="minorHAnsi" w:hAnsiTheme="minorHAnsi" w:cs="Calibri"/>
                <w:sz w:val="22"/>
                <w:szCs w:val="22"/>
              </w:rPr>
            </w:pPr>
            <w:r w:rsidRPr="00E755E2">
              <w:rPr>
                <w:rFonts w:asciiTheme="minorHAnsi" w:hAnsiTheme="minorHAnsi" w:cs="Calibri"/>
                <w:sz w:val="22"/>
                <w:szCs w:val="22"/>
              </w:rPr>
              <w:t>3.51</w:t>
            </w:r>
          </w:p>
        </w:tc>
        <w:tc>
          <w:tcPr>
            <w:tcW w:w="0" w:type="auto"/>
            <w:shd w:val="clear" w:color="auto" w:fill="auto"/>
            <w:noWrap/>
            <w:vAlign w:val="bottom"/>
            <w:hideMark/>
          </w:tcPr>
          <w:p w14:paraId="14114290" w14:textId="77777777" w:rsidR="00984B2C" w:rsidRPr="00E755E2" w:rsidRDefault="00984B2C" w:rsidP="00984B2C">
            <w:pPr>
              <w:jc w:val="center"/>
              <w:rPr>
                <w:rFonts w:asciiTheme="minorHAnsi" w:hAnsiTheme="minorHAnsi" w:cs="Calibri"/>
                <w:sz w:val="22"/>
                <w:szCs w:val="22"/>
              </w:rPr>
            </w:pPr>
          </w:p>
        </w:tc>
        <w:tc>
          <w:tcPr>
            <w:tcW w:w="0" w:type="auto"/>
            <w:shd w:val="clear" w:color="auto" w:fill="auto"/>
            <w:noWrap/>
            <w:vAlign w:val="bottom"/>
            <w:hideMark/>
          </w:tcPr>
          <w:p w14:paraId="753338F2" w14:textId="7F3C56AC" w:rsidR="00984B2C" w:rsidRPr="00E755E2" w:rsidRDefault="00984B2C" w:rsidP="00984B2C">
            <w:pPr>
              <w:jc w:val="center"/>
              <w:rPr>
                <w:rFonts w:asciiTheme="minorHAnsi" w:hAnsiTheme="minorHAnsi" w:cs="Calibri"/>
                <w:sz w:val="22"/>
                <w:szCs w:val="22"/>
              </w:rPr>
            </w:pPr>
            <w:r w:rsidRPr="00E755E2">
              <w:rPr>
                <w:rFonts w:asciiTheme="minorHAnsi" w:hAnsiTheme="minorHAnsi" w:cs="Calibri"/>
                <w:sz w:val="22"/>
                <w:szCs w:val="22"/>
              </w:rPr>
              <w:t>3.51</w:t>
            </w:r>
          </w:p>
        </w:tc>
      </w:tr>
      <w:tr w:rsidR="00984B2C" w:rsidRPr="00E755E2" w14:paraId="7A63DDE8" w14:textId="77777777" w:rsidTr="00A778B6">
        <w:trPr>
          <w:trHeight w:val="272"/>
        </w:trPr>
        <w:tc>
          <w:tcPr>
            <w:tcW w:w="740" w:type="dxa"/>
            <w:shd w:val="clear" w:color="auto" w:fill="auto"/>
            <w:noWrap/>
            <w:vAlign w:val="center"/>
            <w:hideMark/>
          </w:tcPr>
          <w:p w14:paraId="65E68760" w14:textId="77777777" w:rsidR="00984B2C" w:rsidRPr="00E755E2" w:rsidRDefault="00984B2C">
            <w:pPr>
              <w:jc w:val="center"/>
              <w:rPr>
                <w:rFonts w:asciiTheme="minorHAnsi" w:hAnsiTheme="minorHAnsi" w:cs="Calibri"/>
                <w:color w:val="000000"/>
                <w:sz w:val="22"/>
                <w:szCs w:val="22"/>
              </w:rPr>
            </w:pPr>
            <w:r w:rsidRPr="00E755E2">
              <w:rPr>
                <w:rFonts w:asciiTheme="minorHAnsi" w:hAnsiTheme="minorHAnsi" w:cs="Calibri"/>
                <w:color w:val="000000"/>
                <w:sz w:val="22"/>
                <w:szCs w:val="22"/>
              </w:rPr>
              <w:t> </w:t>
            </w:r>
          </w:p>
        </w:tc>
        <w:tc>
          <w:tcPr>
            <w:tcW w:w="2623" w:type="dxa"/>
            <w:shd w:val="clear" w:color="auto" w:fill="auto"/>
            <w:noWrap/>
            <w:vAlign w:val="center"/>
            <w:hideMark/>
          </w:tcPr>
          <w:p w14:paraId="57E45C9E" w14:textId="77777777" w:rsidR="00984B2C" w:rsidRPr="00E755E2" w:rsidRDefault="00984B2C">
            <w:pPr>
              <w:jc w:val="center"/>
              <w:rPr>
                <w:rFonts w:asciiTheme="minorHAnsi" w:hAnsiTheme="minorHAnsi" w:cs="Calibri"/>
                <w:color w:val="000000"/>
                <w:sz w:val="22"/>
                <w:szCs w:val="22"/>
              </w:rPr>
            </w:pPr>
          </w:p>
        </w:tc>
        <w:tc>
          <w:tcPr>
            <w:tcW w:w="1582" w:type="dxa"/>
            <w:shd w:val="clear" w:color="auto" w:fill="auto"/>
            <w:noWrap/>
            <w:vAlign w:val="bottom"/>
            <w:hideMark/>
          </w:tcPr>
          <w:p w14:paraId="6EC20511" w14:textId="77777777" w:rsidR="00984B2C" w:rsidRPr="00E755E2" w:rsidRDefault="00984B2C" w:rsidP="00984B2C">
            <w:pPr>
              <w:jc w:val="center"/>
              <w:rPr>
                <w:rFonts w:asciiTheme="minorHAnsi" w:hAnsiTheme="minorHAnsi"/>
                <w:sz w:val="22"/>
                <w:szCs w:val="22"/>
              </w:rPr>
            </w:pPr>
          </w:p>
        </w:tc>
        <w:tc>
          <w:tcPr>
            <w:tcW w:w="0" w:type="auto"/>
            <w:shd w:val="clear" w:color="auto" w:fill="auto"/>
            <w:noWrap/>
            <w:vAlign w:val="bottom"/>
            <w:hideMark/>
          </w:tcPr>
          <w:p w14:paraId="24495E0E" w14:textId="77777777" w:rsidR="00984B2C" w:rsidRPr="00E755E2" w:rsidRDefault="00984B2C" w:rsidP="00984B2C">
            <w:pPr>
              <w:jc w:val="center"/>
              <w:rPr>
                <w:rFonts w:asciiTheme="minorHAnsi" w:hAnsiTheme="minorHAnsi"/>
                <w:sz w:val="22"/>
                <w:szCs w:val="22"/>
              </w:rPr>
            </w:pPr>
          </w:p>
        </w:tc>
        <w:tc>
          <w:tcPr>
            <w:tcW w:w="0" w:type="auto"/>
            <w:shd w:val="clear" w:color="auto" w:fill="auto"/>
            <w:noWrap/>
            <w:vAlign w:val="bottom"/>
            <w:hideMark/>
          </w:tcPr>
          <w:p w14:paraId="2DAA02BF" w14:textId="77777777" w:rsidR="00984B2C" w:rsidRPr="00E755E2" w:rsidRDefault="00984B2C" w:rsidP="00984B2C">
            <w:pPr>
              <w:jc w:val="center"/>
              <w:rPr>
                <w:rFonts w:asciiTheme="minorHAnsi" w:hAnsiTheme="minorHAnsi"/>
                <w:sz w:val="22"/>
                <w:szCs w:val="22"/>
              </w:rPr>
            </w:pPr>
          </w:p>
        </w:tc>
        <w:tc>
          <w:tcPr>
            <w:tcW w:w="0" w:type="auto"/>
            <w:shd w:val="clear" w:color="auto" w:fill="auto"/>
            <w:noWrap/>
            <w:vAlign w:val="bottom"/>
            <w:hideMark/>
          </w:tcPr>
          <w:p w14:paraId="6E38340C" w14:textId="77777777" w:rsidR="00984B2C" w:rsidRPr="00E755E2" w:rsidRDefault="00984B2C" w:rsidP="00984B2C">
            <w:pPr>
              <w:jc w:val="center"/>
              <w:rPr>
                <w:rFonts w:asciiTheme="minorHAnsi" w:hAnsiTheme="minorHAnsi"/>
                <w:sz w:val="22"/>
                <w:szCs w:val="22"/>
              </w:rPr>
            </w:pPr>
          </w:p>
        </w:tc>
        <w:tc>
          <w:tcPr>
            <w:tcW w:w="0" w:type="auto"/>
            <w:shd w:val="clear" w:color="auto" w:fill="auto"/>
            <w:noWrap/>
            <w:vAlign w:val="bottom"/>
            <w:hideMark/>
          </w:tcPr>
          <w:p w14:paraId="7D31A851" w14:textId="77777777" w:rsidR="00984B2C" w:rsidRPr="00E755E2" w:rsidRDefault="00984B2C" w:rsidP="00984B2C">
            <w:pPr>
              <w:jc w:val="center"/>
              <w:rPr>
                <w:rFonts w:asciiTheme="minorHAnsi" w:hAnsiTheme="minorHAnsi"/>
                <w:sz w:val="22"/>
                <w:szCs w:val="22"/>
              </w:rPr>
            </w:pPr>
          </w:p>
        </w:tc>
        <w:tc>
          <w:tcPr>
            <w:tcW w:w="0" w:type="auto"/>
            <w:shd w:val="clear" w:color="auto" w:fill="auto"/>
            <w:noWrap/>
            <w:vAlign w:val="bottom"/>
            <w:hideMark/>
          </w:tcPr>
          <w:p w14:paraId="75132448" w14:textId="48D5EE6F" w:rsidR="00984B2C" w:rsidRPr="00E755E2" w:rsidRDefault="00984B2C" w:rsidP="00984B2C">
            <w:pPr>
              <w:jc w:val="center"/>
              <w:rPr>
                <w:rFonts w:asciiTheme="minorHAnsi" w:hAnsiTheme="minorHAnsi"/>
                <w:color w:val="000000"/>
                <w:sz w:val="22"/>
                <w:szCs w:val="22"/>
              </w:rPr>
            </w:pPr>
          </w:p>
        </w:tc>
      </w:tr>
      <w:tr w:rsidR="00984B2C" w:rsidRPr="00E755E2" w14:paraId="18224F78" w14:textId="77777777" w:rsidTr="00A778B6">
        <w:trPr>
          <w:trHeight w:val="272"/>
        </w:trPr>
        <w:tc>
          <w:tcPr>
            <w:tcW w:w="740" w:type="dxa"/>
            <w:shd w:val="clear" w:color="auto" w:fill="auto"/>
            <w:noWrap/>
            <w:vAlign w:val="center"/>
            <w:hideMark/>
          </w:tcPr>
          <w:p w14:paraId="644501F1" w14:textId="77777777" w:rsidR="00984B2C" w:rsidRPr="00E755E2" w:rsidRDefault="00984B2C">
            <w:pPr>
              <w:jc w:val="center"/>
              <w:rPr>
                <w:rFonts w:asciiTheme="minorHAnsi" w:hAnsiTheme="minorHAnsi" w:cs="Calibri"/>
                <w:color w:val="000000"/>
                <w:sz w:val="22"/>
                <w:szCs w:val="22"/>
              </w:rPr>
            </w:pPr>
            <w:r w:rsidRPr="00E755E2">
              <w:rPr>
                <w:rFonts w:asciiTheme="minorHAnsi" w:hAnsiTheme="minorHAnsi" w:cs="Calibri"/>
                <w:color w:val="000000"/>
                <w:sz w:val="22"/>
                <w:szCs w:val="22"/>
              </w:rPr>
              <w:t> </w:t>
            </w:r>
          </w:p>
        </w:tc>
        <w:tc>
          <w:tcPr>
            <w:tcW w:w="2623" w:type="dxa"/>
            <w:shd w:val="clear" w:color="auto" w:fill="auto"/>
            <w:noWrap/>
            <w:vAlign w:val="center"/>
            <w:hideMark/>
          </w:tcPr>
          <w:p w14:paraId="466873B6" w14:textId="77777777" w:rsidR="00984B2C" w:rsidRPr="00E755E2" w:rsidRDefault="00984B2C">
            <w:pPr>
              <w:rPr>
                <w:rFonts w:asciiTheme="minorHAnsi" w:hAnsiTheme="minorHAnsi" w:cs="Calibri"/>
                <w:b/>
                <w:bCs/>
                <w:color w:val="000000"/>
                <w:sz w:val="22"/>
                <w:szCs w:val="22"/>
              </w:rPr>
            </w:pPr>
            <w:r w:rsidRPr="00E755E2">
              <w:rPr>
                <w:rFonts w:asciiTheme="minorHAnsi" w:hAnsiTheme="minorHAnsi" w:cs="Calibri"/>
                <w:b/>
                <w:bCs/>
                <w:color w:val="000000"/>
                <w:sz w:val="22"/>
                <w:szCs w:val="22"/>
              </w:rPr>
              <w:t>Total</w:t>
            </w:r>
          </w:p>
        </w:tc>
        <w:tc>
          <w:tcPr>
            <w:tcW w:w="1582" w:type="dxa"/>
            <w:shd w:val="clear" w:color="auto" w:fill="auto"/>
            <w:noWrap/>
            <w:vAlign w:val="center"/>
            <w:hideMark/>
          </w:tcPr>
          <w:p w14:paraId="302BDBF1" w14:textId="06F91148" w:rsidR="00984B2C" w:rsidRPr="00E755E2" w:rsidRDefault="00984B2C" w:rsidP="00984B2C">
            <w:pPr>
              <w:jc w:val="center"/>
              <w:rPr>
                <w:rFonts w:asciiTheme="minorHAnsi" w:hAnsiTheme="minorHAnsi" w:cs="Calibri"/>
                <w:b/>
                <w:bCs/>
                <w:color w:val="000000"/>
                <w:sz w:val="22"/>
                <w:szCs w:val="22"/>
              </w:rPr>
            </w:pPr>
            <w:r w:rsidRPr="00E755E2">
              <w:rPr>
                <w:rFonts w:asciiTheme="minorHAnsi" w:hAnsiTheme="minorHAnsi" w:cs="Calibri"/>
                <w:b/>
                <w:bCs/>
                <w:color w:val="000000"/>
                <w:sz w:val="22"/>
                <w:szCs w:val="22"/>
              </w:rPr>
              <w:t>1,430.56</w:t>
            </w:r>
          </w:p>
        </w:tc>
        <w:tc>
          <w:tcPr>
            <w:tcW w:w="0" w:type="auto"/>
            <w:shd w:val="clear" w:color="auto" w:fill="auto"/>
            <w:noWrap/>
            <w:vAlign w:val="center"/>
            <w:hideMark/>
          </w:tcPr>
          <w:p w14:paraId="1DA189B0" w14:textId="76EFB632" w:rsidR="00984B2C" w:rsidRPr="00E755E2" w:rsidRDefault="00984B2C" w:rsidP="00984B2C">
            <w:pPr>
              <w:jc w:val="center"/>
              <w:rPr>
                <w:rFonts w:asciiTheme="minorHAnsi" w:hAnsiTheme="minorHAnsi" w:cs="Calibri"/>
                <w:b/>
                <w:bCs/>
                <w:color w:val="000000"/>
                <w:sz w:val="22"/>
                <w:szCs w:val="22"/>
              </w:rPr>
            </w:pPr>
            <w:r w:rsidRPr="00E755E2">
              <w:rPr>
                <w:rFonts w:asciiTheme="minorHAnsi" w:hAnsiTheme="minorHAnsi" w:cs="Calibri"/>
                <w:b/>
                <w:bCs/>
                <w:color w:val="000000"/>
                <w:sz w:val="22"/>
                <w:szCs w:val="22"/>
              </w:rPr>
              <w:t>371.40</w:t>
            </w:r>
          </w:p>
        </w:tc>
        <w:tc>
          <w:tcPr>
            <w:tcW w:w="0" w:type="auto"/>
            <w:shd w:val="clear" w:color="auto" w:fill="auto"/>
            <w:noWrap/>
            <w:vAlign w:val="center"/>
            <w:hideMark/>
          </w:tcPr>
          <w:p w14:paraId="592BF64F" w14:textId="21B21573" w:rsidR="00984B2C" w:rsidRPr="00E755E2" w:rsidRDefault="00984B2C" w:rsidP="00984B2C">
            <w:pPr>
              <w:jc w:val="center"/>
              <w:rPr>
                <w:rFonts w:asciiTheme="minorHAnsi" w:hAnsiTheme="minorHAnsi" w:cs="Calibri"/>
                <w:b/>
                <w:bCs/>
                <w:color w:val="000000"/>
                <w:sz w:val="22"/>
                <w:szCs w:val="22"/>
              </w:rPr>
            </w:pPr>
            <w:r w:rsidRPr="00E755E2">
              <w:rPr>
                <w:rFonts w:asciiTheme="minorHAnsi" w:hAnsiTheme="minorHAnsi" w:cs="Calibri"/>
                <w:b/>
                <w:bCs/>
                <w:color w:val="000000"/>
                <w:sz w:val="22"/>
                <w:szCs w:val="22"/>
              </w:rPr>
              <w:t>1,801.96</w:t>
            </w:r>
          </w:p>
        </w:tc>
        <w:tc>
          <w:tcPr>
            <w:tcW w:w="0" w:type="auto"/>
            <w:shd w:val="clear" w:color="auto" w:fill="auto"/>
            <w:noWrap/>
            <w:vAlign w:val="center"/>
            <w:hideMark/>
          </w:tcPr>
          <w:p w14:paraId="06951895" w14:textId="026760E6" w:rsidR="00984B2C" w:rsidRPr="00E755E2" w:rsidRDefault="00984B2C" w:rsidP="00984B2C">
            <w:pPr>
              <w:jc w:val="center"/>
              <w:rPr>
                <w:rFonts w:asciiTheme="minorHAnsi" w:hAnsiTheme="minorHAnsi" w:cs="Calibri"/>
                <w:b/>
                <w:bCs/>
                <w:color w:val="000000"/>
                <w:sz w:val="22"/>
                <w:szCs w:val="22"/>
              </w:rPr>
            </w:pPr>
            <w:r w:rsidRPr="00E755E2">
              <w:rPr>
                <w:rFonts w:asciiTheme="minorHAnsi" w:hAnsiTheme="minorHAnsi" w:cs="Calibri"/>
                <w:b/>
                <w:bCs/>
                <w:color w:val="000000"/>
                <w:sz w:val="22"/>
                <w:szCs w:val="22"/>
              </w:rPr>
              <w:t>1,616.26</w:t>
            </w:r>
          </w:p>
        </w:tc>
        <w:tc>
          <w:tcPr>
            <w:tcW w:w="0" w:type="auto"/>
            <w:shd w:val="clear" w:color="auto" w:fill="auto"/>
            <w:noWrap/>
            <w:vAlign w:val="center"/>
            <w:hideMark/>
          </w:tcPr>
          <w:p w14:paraId="20DCC47A" w14:textId="4F247486" w:rsidR="00984B2C" w:rsidRPr="00E755E2" w:rsidRDefault="00984B2C" w:rsidP="00984B2C">
            <w:pPr>
              <w:jc w:val="center"/>
              <w:rPr>
                <w:rFonts w:asciiTheme="minorHAnsi" w:hAnsiTheme="minorHAnsi" w:cs="Calibri"/>
                <w:b/>
                <w:bCs/>
                <w:color w:val="000000"/>
                <w:sz w:val="22"/>
                <w:szCs w:val="22"/>
              </w:rPr>
            </w:pPr>
            <w:r w:rsidRPr="00E755E2">
              <w:rPr>
                <w:rFonts w:asciiTheme="minorHAnsi" w:hAnsiTheme="minorHAnsi" w:cs="Calibri"/>
                <w:b/>
                <w:bCs/>
                <w:color w:val="000000"/>
                <w:sz w:val="22"/>
                <w:szCs w:val="22"/>
              </w:rPr>
              <w:t>185.70</w:t>
            </w:r>
          </w:p>
        </w:tc>
        <w:tc>
          <w:tcPr>
            <w:tcW w:w="0" w:type="auto"/>
            <w:shd w:val="clear" w:color="auto" w:fill="auto"/>
            <w:noWrap/>
            <w:vAlign w:val="center"/>
            <w:hideMark/>
          </w:tcPr>
          <w:p w14:paraId="506A4693" w14:textId="70BA207D" w:rsidR="00984B2C" w:rsidRPr="00E755E2" w:rsidRDefault="00984B2C" w:rsidP="00984B2C">
            <w:pPr>
              <w:jc w:val="center"/>
              <w:rPr>
                <w:rFonts w:asciiTheme="minorHAnsi" w:hAnsiTheme="minorHAnsi" w:cs="Calibri"/>
                <w:b/>
                <w:bCs/>
                <w:color w:val="000000"/>
                <w:sz w:val="22"/>
                <w:szCs w:val="22"/>
              </w:rPr>
            </w:pPr>
            <w:r w:rsidRPr="00E755E2">
              <w:rPr>
                <w:rFonts w:asciiTheme="minorHAnsi" w:hAnsiTheme="minorHAnsi" w:cs="Calibri"/>
                <w:b/>
                <w:bCs/>
                <w:color w:val="000000"/>
                <w:sz w:val="22"/>
                <w:szCs w:val="22"/>
              </w:rPr>
              <w:t>1,801.96</w:t>
            </w:r>
          </w:p>
        </w:tc>
      </w:tr>
      <w:tr w:rsidR="00984B2C" w:rsidRPr="00E755E2" w14:paraId="4A5F0577" w14:textId="77777777" w:rsidTr="00A778B6">
        <w:trPr>
          <w:trHeight w:val="272"/>
        </w:trPr>
        <w:tc>
          <w:tcPr>
            <w:tcW w:w="10105" w:type="dxa"/>
            <w:gridSpan w:val="8"/>
            <w:shd w:val="clear" w:color="auto" w:fill="auto"/>
            <w:noWrap/>
            <w:vAlign w:val="center"/>
            <w:hideMark/>
          </w:tcPr>
          <w:p w14:paraId="169E1A2E" w14:textId="77777777" w:rsidR="00984B2C" w:rsidRPr="00E755E2" w:rsidRDefault="00984B2C" w:rsidP="00984B2C">
            <w:pPr>
              <w:jc w:val="center"/>
              <w:rPr>
                <w:rFonts w:asciiTheme="minorHAnsi" w:hAnsiTheme="minorHAnsi" w:cs="Calibri"/>
                <w:b/>
                <w:bCs/>
                <w:color w:val="000000"/>
                <w:sz w:val="22"/>
                <w:szCs w:val="22"/>
              </w:rPr>
            </w:pPr>
            <w:r w:rsidRPr="00E755E2">
              <w:rPr>
                <w:rFonts w:asciiTheme="minorHAnsi" w:hAnsiTheme="minorHAnsi" w:cs="Calibri"/>
                <w:b/>
                <w:bCs/>
                <w:color w:val="000000"/>
                <w:sz w:val="22"/>
                <w:szCs w:val="22"/>
              </w:rPr>
              <w:t>Details of Assets Created by Agency (NTPC &amp; PGCIL)</w:t>
            </w:r>
          </w:p>
        </w:tc>
      </w:tr>
      <w:tr w:rsidR="00984B2C" w:rsidRPr="00E755E2" w14:paraId="5D8B7C29" w14:textId="77777777" w:rsidTr="00A778B6">
        <w:trPr>
          <w:trHeight w:val="272"/>
        </w:trPr>
        <w:tc>
          <w:tcPr>
            <w:tcW w:w="740" w:type="dxa"/>
            <w:shd w:val="clear" w:color="000000" w:fill="9BC2E6"/>
            <w:noWrap/>
            <w:vAlign w:val="center"/>
            <w:hideMark/>
          </w:tcPr>
          <w:p w14:paraId="3A618D42" w14:textId="77777777" w:rsidR="00984B2C" w:rsidRPr="00E755E2" w:rsidRDefault="00984B2C">
            <w:pPr>
              <w:jc w:val="center"/>
              <w:rPr>
                <w:rFonts w:asciiTheme="minorHAnsi" w:hAnsiTheme="minorHAnsi" w:cs="Calibri"/>
                <w:b/>
                <w:bCs/>
                <w:color w:val="000000"/>
                <w:sz w:val="22"/>
                <w:szCs w:val="22"/>
              </w:rPr>
            </w:pPr>
            <w:r w:rsidRPr="00E755E2">
              <w:rPr>
                <w:rFonts w:asciiTheme="minorHAnsi" w:hAnsiTheme="minorHAnsi" w:cs="Calibri"/>
                <w:b/>
                <w:bCs/>
                <w:color w:val="000000"/>
                <w:sz w:val="22"/>
                <w:szCs w:val="22"/>
              </w:rPr>
              <w:t> </w:t>
            </w:r>
          </w:p>
        </w:tc>
        <w:tc>
          <w:tcPr>
            <w:tcW w:w="2623" w:type="dxa"/>
            <w:shd w:val="clear" w:color="000000" w:fill="9BC2E6"/>
            <w:noWrap/>
            <w:vAlign w:val="center"/>
            <w:hideMark/>
          </w:tcPr>
          <w:p w14:paraId="4B74ED73" w14:textId="77777777" w:rsidR="00984B2C" w:rsidRPr="00E755E2" w:rsidRDefault="00984B2C">
            <w:pPr>
              <w:rPr>
                <w:rFonts w:asciiTheme="minorHAnsi" w:hAnsiTheme="minorHAnsi" w:cs="Calibri"/>
                <w:b/>
                <w:bCs/>
                <w:color w:val="000000"/>
                <w:sz w:val="22"/>
                <w:szCs w:val="22"/>
              </w:rPr>
            </w:pPr>
            <w:r w:rsidRPr="00E755E2">
              <w:rPr>
                <w:rFonts w:asciiTheme="minorHAnsi" w:hAnsiTheme="minorHAnsi" w:cs="Calibri"/>
                <w:b/>
                <w:bCs/>
                <w:color w:val="000000"/>
                <w:sz w:val="22"/>
                <w:szCs w:val="22"/>
              </w:rPr>
              <w:t>By NTPC</w:t>
            </w:r>
          </w:p>
        </w:tc>
        <w:tc>
          <w:tcPr>
            <w:tcW w:w="1582" w:type="dxa"/>
            <w:shd w:val="clear" w:color="000000" w:fill="9BC2E6"/>
            <w:noWrap/>
            <w:vAlign w:val="center"/>
            <w:hideMark/>
          </w:tcPr>
          <w:p w14:paraId="5FC631C3" w14:textId="77777777" w:rsidR="00984B2C" w:rsidRPr="00E755E2" w:rsidRDefault="00984B2C" w:rsidP="00984B2C">
            <w:pPr>
              <w:jc w:val="center"/>
              <w:rPr>
                <w:rFonts w:asciiTheme="minorHAnsi" w:hAnsiTheme="minorHAnsi" w:cs="Calibri"/>
                <w:b/>
                <w:bCs/>
                <w:color w:val="000000"/>
                <w:sz w:val="22"/>
                <w:szCs w:val="22"/>
              </w:rPr>
            </w:pPr>
            <w:r w:rsidRPr="00E755E2">
              <w:rPr>
                <w:rFonts w:asciiTheme="minorHAnsi" w:hAnsiTheme="minorHAnsi" w:cs="Calibri"/>
                <w:b/>
                <w:bCs/>
                <w:color w:val="000000"/>
                <w:sz w:val="22"/>
                <w:szCs w:val="22"/>
              </w:rPr>
              <w:t>Completed</w:t>
            </w:r>
          </w:p>
        </w:tc>
        <w:tc>
          <w:tcPr>
            <w:tcW w:w="0" w:type="auto"/>
            <w:shd w:val="clear" w:color="000000" w:fill="9BC2E6"/>
            <w:noWrap/>
            <w:vAlign w:val="center"/>
            <w:hideMark/>
          </w:tcPr>
          <w:p w14:paraId="516FEFA3" w14:textId="77777777" w:rsidR="00984B2C" w:rsidRPr="00E755E2" w:rsidRDefault="00984B2C" w:rsidP="00984B2C">
            <w:pPr>
              <w:jc w:val="center"/>
              <w:rPr>
                <w:rFonts w:asciiTheme="minorHAnsi" w:hAnsiTheme="minorHAnsi" w:cs="Calibri"/>
                <w:b/>
                <w:bCs/>
                <w:color w:val="000000"/>
                <w:sz w:val="22"/>
                <w:szCs w:val="22"/>
              </w:rPr>
            </w:pPr>
            <w:r w:rsidRPr="00E755E2">
              <w:rPr>
                <w:rFonts w:asciiTheme="minorHAnsi" w:hAnsiTheme="minorHAnsi" w:cs="Calibri"/>
                <w:b/>
                <w:bCs/>
                <w:color w:val="000000"/>
                <w:sz w:val="22"/>
                <w:szCs w:val="22"/>
              </w:rPr>
              <w:t>WIP</w:t>
            </w:r>
          </w:p>
        </w:tc>
        <w:tc>
          <w:tcPr>
            <w:tcW w:w="0" w:type="auto"/>
            <w:shd w:val="clear" w:color="000000" w:fill="9BC2E6"/>
            <w:noWrap/>
            <w:vAlign w:val="center"/>
            <w:hideMark/>
          </w:tcPr>
          <w:p w14:paraId="4E492C56" w14:textId="77777777" w:rsidR="00984B2C" w:rsidRPr="00E755E2" w:rsidRDefault="00984B2C" w:rsidP="00984B2C">
            <w:pPr>
              <w:jc w:val="center"/>
              <w:rPr>
                <w:rFonts w:asciiTheme="minorHAnsi" w:hAnsiTheme="minorHAnsi" w:cs="Calibri"/>
                <w:b/>
                <w:bCs/>
                <w:color w:val="000000"/>
                <w:sz w:val="22"/>
                <w:szCs w:val="22"/>
              </w:rPr>
            </w:pPr>
            <w:r w:rsidRPr="00E755E2">
              <w:rPr>
                <w:rFonts w:asciiTheme="minorHAnsi" w:hAnsiTheme="minorHAnsi" w:cs="Calibri"/>
                <w:b/>
                <w:bCs/>
                <w:color w:val="000000"/>
                <w:sz w:val="22"/>
                <w:szCs w:val="22"/>
              </w:rPr>
              <w:t>Total</w:t>
            </w:r>
          </w:p>
        </w:tc>
        <w:tc>
          <w:tcPr>
            <w:tcW w:w="0" w:type="auto"/>
            <w:shd w:val="clear" w:color="000000" w:fill="9BC2E6"/>
            <w:noWrap/>
            <w:vAlign w:val="center"/>
            <w:hideMark/>
          </w:tcPr>
          <w:p w14:paraId="6836BD33" w14:textId="77777777" w:rsidR="00984B2C" w:rsidRPr="00E755E2" w:rsidRDefault="00984B2C" w:rsidP="00984B2C">
            <w:pPr>
              <w:jc w:val="center"/>
              <w:rPr>
                <w:rFonts w:asciiTheme="minorHAnsi" w:hAnsiTheme="minorHAnsi" w:cs="Calibri"/>
                <w:b/>
                <w:bCs/>
                <w:color w:val="000000"/>
                <w:sz w:val="22"/>
                <w:szCs w:val="22"/>
              </w:rPr>
            </w:pPr>
            <w:r w:rsidRPr="00E755E2">
              <w:rPr>
                <w:rFonts w:asciiTheme="minorHAnsi" w:hAnsiTheme="minorHAnsi" w:cs="Calibri"/>
                <w:b/>
                <w:bCs/>
                <w:color w:val="000000"/>
                <w:sz w:val="22"/>
                <w:szCs w:val="22"/>
              </w:rPr>
              <w:t>Completed</w:t>
            </w:r>
          </w:p>
        </w:tc>
        <w:tc>
          <w:tcPr>
            <w:tcW w:w="0" w:type="auto"/>
            <w:shd w:val="clear" w:color="000000" w:fill="9BC2E6"/>
            <w:noWrap/>
            <w:vAlign w:val="center"/>
            <w:hideMark/>
          </w:tcPr>
          <w:p w14:paraId="17054531" w14:textId="77777777" w:rsidR="00984B2C" w:rsidRPr="00E755E2" w:rsidRDefault="00984B2C" w:rsidP="00984B2C">
            <w:pPr>
              <w:jc w:val="center"/>
              <w:rPr>
                <w:rFonts w:asciiTheme="minorHAnsi" w:hAnsiTheme="minorHAnsi" w:cs="Calibri"/>
                <w:b/>
                <w:bCs/>
                <w:color w:val="000000"/>
                <w:sz w:val="22"/>
                <w:szCs w:val="22"/>
              </w:rPr>
            </w:pPr>
            <w:r w:rsidRPr="00E755E2">
              <w:rPr>
                <w:rFonts w:asciiTheme="minorHAnsi" w:hAnsiTheme="minorHAnsi" w:cs="Calibri"/>
                <w:b/>
                <w:bCs/>
                <w:color w:val="000000"/>
                <w:sz w:val="22"/>
                <w:szCs w:val="22"/>
              </w:rPr>
              <w:t>WIP</w:t>
            </w:r>
          </w:p>
        </w:tc>
        <w:tc>
          <w:tcPr>
            <w:tcW w:w="0" w:type="auto"/>
            <w:shd w:val="clear" w:color="000000" w:fill="9BC2E6"/>
            <w:noWrap/>
            <w:vAlign w:val="center"/>
            <w:hideMark/>
          </w:tcPr>
          <w:p w14:paraId="403C1F59" w14:textId="77777777" w:rsidR="00984B2C" w:rsidRPr="00E755E2" w:rsidRDefault="00984B2C" w:rsidP="00984B2C">
            <w:pPr>
              <w:jc w:val="center"/>
              <w:rPr>
                <w:rFonts w:asciiTheme="minorHAnsi" w:hAnsiTheme="minorHAnsi" w:cs="Calibri"/>
                <w:b/>
                <w:bCs/>
                <w:color w:val="000000"/>
                <w:sz w:val="22"/>
                <w:szCs w:val="22"/>
              </w:rPr>
            </w:pPr>
            <w:r w:rsidRPr="00E755E2">
              <w:rPr>
                <w:rFonts w:asciiTheme="minorHAnsi" w:hAnsiTheme="minorHAnsi" w:cs="Calibri"/>
                <w:b/>
                <w:bCs/>
                <w:color w:val="000000"/>
                <w:sz w:val="22"/>
                <w:szCs w:val="22"/>
              </w:rPr>
              <w:t>Total</w:t>
            </w:r>
          </w:p>
        </w:tc>
      </w:tr>
      <w:tr w:rsidR="00984B2C" w:rsidRPr="00E755E2" w14:paraId="16838A36" w14:textId="77777777" w:rsidTr="00A778B6">
        <w:trPr>
          <w:trHeight w:val="272"/>
        </w:trPr>
        <w:tc>
          <w:tcPr>
            <w:tcW w:w="740" w:type="dxa"/>
            <w:shd w:val="clear" w:color="auto" w:fill="auto"/>
            <w:noWrap/>
            <w:vAlign w:val="center"/>
            <w:hideMark/>
          </w:tcPr>
          <w:p w14:paraId="4B272123" w14:textId="77777777" w:rsidR="00984B2C" w:rsidRPr="00E755E2" w:rsidRDefault="00984B2C">
            <w:pPr>
              <w:jc w:val="center"/>
              <w:rPr>
                <w:rFonts w:asciiTheme="minorHAnsi" w:hAnsiTheme="minorHAnsi" w:cs="Calibri"/>
                <w:color w:val="000000"/>
                <w:sz w:val="22"/>
                <w:szCs w:val="22"/>
              </w:rPr>
            </w:pPr>
            <w:r w:rsidRPr="00E755E2">
              <w:rPr>
                <w:rFonts w:asciiTheme="minorHAnsi" w:hAnsiTheme="minorHAnsi" w:cs="Calibri"/>
                <w:color w:val="000000"/>
                <w:sz w:val="22"/>
                <w:szCs w:val="22"/>
              </w:rPr>
              <w:t>1</w:t>
            </w:r>
          </w:p>
        </w:tc>
        <w:tc>
          <w:tcPr>
            <w:tcW w:w="2623" w:type="dxa"/>
            <w:shd w:val="clear" w:color="auto" w:fill="auto"/>
            <w:noWrap/>
            <w:vAlign w:val="center"/>
            <w:hideMark/>
          </w:tcPr>
          <w:p w14:paraId="372F194D" w14:textId="77777777" w:rsidR="00984B2C" w:rsidRPr="00E755E2" w:rsidRDefault="00984B2C">
            <w:pPr>
              <w:rPr>
                <w:rFonts w:asciiTheme="minorHAnsi" w:hAnsiTheme="minorHAnsi" w:cs="Calibri"/>
                <w:color w:val="000000"/>
                <w:sz w:val="22"/>
                <w:szCs w:val="22"/>
              </w:rPr>
            </w:pPr>
            <w:r w:rsidRPr="00E755E2">
              <w:rPr>
                <w:rFonts w:asciiTheme="minorHAnsi" w:hAnsiTheme="minorHAnsi" w:cs="Calibri"/>
                <w:color w:val="000000"/>
                <w:sz w:val="22"/>
                <w:szCs w:val="22"/>
              </w:rPr>
              <w:t>DDUGJY 11TH PLAN</w:t>
            </w:r>
          </w:p>
        </w:tc>
        <w:tc>
          <w:tcPr>
            <w:tcW w:w="1582" w:type="dxa"/>
            <w:shd w:val="clear" w:color="auto" w:fill="auto"/>
            <w:noWrap/>
            <w:vAlign w:val="center"/>
            <w:hideMark/>
          </w:tcPr>
          <w:p w14:paraId="24EA73CB" w14:textId="71EE6DF1" w:rsidR="00984B2C" w:rsidRPr="00E755E2" w:rsidRDefault="00984B2C" w:rsidP="00984B2C">
            <w:pPr>
              <w:jc w:val="center"/>
              <w:rPr>
                <w:rFonts w:asciiTheme="minorHAnsi" w:hAnsiTheme="minorHAnsi" w:cs="Calibri"/>
                <w:color w:val="000000"/>
                <w:sz w:val="22"/>
                <w:szCs w:val="22"/>
              </w:rPr>
            </w:pPr>
            <w:r w:rsidRPr="00E755E2">
              <w:rPr>
                <w:rFonts w:asciiTheme="minorHAnsi" w:hAnsiTheme="minorHAnsi" w:cs="Calibri"/>
                <w:color w:val="000000"/>
                <w:sz w:val="22"/>
                <w:szCs w:val="22"/>
              </w:rPr>
              <w:t>123.39</w:t>
            </w:r>
          </w:p>
        </w:tc>
        <w:tc>
          <w:tcPr>
            <w:tcW w:w="0" w:type="auto"/>
            <w:shd w:val="clear" w:color="auto" w:fill="auto"/>
            <w:noWrap/>
            <w:vAlign w:val="center"/>
            <w:hideMark/>
          </w:tcPr>
          <w:p w14:paraId="5168FDE6" w14:textId="13F05C61" w:rsidR="00984B2C" w:rsidRPr="00E755E2" w:rsidRDefault="00984B2C" w:rsidP="00984B2C">
            <w:pPr>
              <w:jc w:val="center"/>
              <w:rPr>
                <w:rFonts w:asciiTheme="minorHAnsi" w:hAnsiTheme="minorHAnsi" w:cs="Calibri"/>
                <w:color w:val="000000"/>
                <w:sz w:val="22"/>
                <w:szCs w:val="22"/>
              </w:rPr>
            </w:pPr>
            <w:r w:rsidRPr="00E755E2">
              <w:rPr>
                <w:rFonts w:asciiTheme="minorHAnsi" w:hAnsiTheme="minorHAnsi" w:cs="Calibri"/>
                <w:color w:val="000000"/>
                <w:sz w:val="22"/>
                <w:szCs w:val="22"/>
              </w:rPr>
              <w:t>-</w:t>
            </w:r>
          </w:p>
        </w:tc>
        <w:tc>
          <w:tcPr>
            <w:tcW w:w="0" w:type="auto"/>
            <w:shd w:val="clear" w:color="auto" w:fill="auto"/>
            <w:noWrap/>
            <w:vAlign w:val="center"/>
            <w:hideMark/>
          </w:tcPr>
          <w:p w14:paraId="43E14183" w14:textId="420BBE73" w:rsidR="00984B2C" w:rsidRPr="00E755E2" w:rsidRDefault="00984B2C" w:rsidP="00984B2C">
            <w:pPr>
              <w:jc w:val="center"/>
              <w:rPr>
                <w:rFonts w:asciiTheme="minorHAnsi" w:hAnsiTheme="minorHAnsi" w:cs="Calibri"/>
                <w:color w:val="000000"/>
                <w:sz w:val="22"/>
                <w:szCs w:val="22"/>
              </w:rPr>
            </w:pPr>
            <w:r w:rsidRPr="00E755E2">
              <w:rPr>
                <w:rFonts w:asciiTheme="minorHAnsi" w:hAnsiTheme="minorHAnsi" w:cs="Calibri"/>
                <w:color w:val="000000"/>
                <w:sz w:val="22"/>
                <w:szCs w:val="22"/>
              </w:rPr>
              <w:t>123.39</w:t>
            </w:r>
          </w:p>
        </w:tc>
        <w:tc>
          <w:tcPr>
            <w:tcW w:w="0" w:type="auto"/>
            <w:shd w:val="clear" w:color="auto" w:fill="auto"/>
            <w:noWrap/>
            <w:vAlign w:val="center"/>
            <w:hideMark/>
          </w:tcPr>
          <w:p w14:paraId="339B1A14" w14:textId="34BCAD6D" w:rsidR="00984B2C" w:rsidRPr="00E755E2" w:rsidRDefault="00984B2C" w:rsidP="00984B2C">
            <w:pPr>
              <w:jc w:val="center"/>
              <w:rPr>
                <w:rFonts w:asciiTheme="minorHAnsi" w:hAnsiTheme="minorHAnsi" w:cs="Calibri"/>
                <w:color w:val="000000"/>
                <w:sz w:val="22"/>
                <w:szCs w:val="22"/>
              </w:rPr>
            </w:pPr>
            <w:r w:rsidRPr="00E755E2">
              <w:rPr>
                <w:rFonts w:asciiTheme="minorHAnsi" w:hAnsiTheme="minorHAnsi" w:cs="Calibri"/>
                <w:color w:val="000000"/>
                <w:sz w:val="22"/>
                <w:szCs w:val="22"/>
              </w:rPr>
              <w:t>123.39</w:t>
            </w:r>
          </w:p>
        </w:tc>
        <w:tc>
          <w:tcPr>
            <w:tcW w:w="0" w:type="auto"/>
            <w:shd w:val="clear" w:color="auto" w:fill="auto"/>
            <w:noWrap/>
            <w:vAlign w:val="center"/>
            <w:hideMark/>
          </w:tcPr>
          <w:p w14:paraId="604442C9" w14:textId="0D66C6B4" w:rsidR="00984B2C" w:rsidRPr="00E755E2" w:rsidRDefault="00984B2C" w:rsidP="00984B2C">
            <w:pPr>
              <w:jc w:val="center"/>
              <w:rPr>
                <w:rFonts w:asciiTheme="minorHAnsi" w:hAnsiTheme="minorHAnsi" w:cs="Calibri"/>
                <w:color w:val="000000"/>
                <w:sz w:val="22"/>
                <w:szCs w:val="22"/>
              </w:rPr>
            </w:pPr>
            <w:r w:rsidRPr="00E755E2">
              <w:rPr>
                <w:rFonts w:asciiTheme="minorHAnsi" w:hAnsiTheme="minorHAnsi" w:cs="Calibri"/>
                <w:color w:val="000000"/>
                <w:sz w:val="22"/>
                <w:szCs w:val="22"/>
              </w:rPr>
              <w:t>-</w:t>
            </w:r>
          </w:p>
        </w:tc>
        <w:tc>
          <w:tcPr>
            <w:tcW w:w="0" w:type="auto"/>
            <w:shd w:val="clear" w:color="auto" w:fill="auto"/>
            <w:noWrap/>
            <w:vAlign w:val="center"/>
            <w:hideMark/>
          </w:tcPr>
          <w:p w14:paraId="35C30AD6" w14:textId="77777777" w:rsidR="00984B2C" w:rsidRPr="00E755E2" w:rsidRDefault="00984B2C" w:rsidP="00984B2C">
            <w:pPr>
              <w:jc w:val="center"/>
              <w:rPr>
                <w:rFonts w:asciiTheme="minorHAnsi" w:hAnsiTheme="minorHAnsi" w:cs="Calibri"/>
                <w:color w:val="000000"/>
                <w:sz w:val="22"/>
                <w:szCs w:val="22"/>
              </w:rPr>
            </w:pPr>
            <w:r w:rsidRPr="00E755E2">
              <w:rPr>
                <w:rFonts w:asciiTheme="minorHAnsi" w:hAnsiTheme="minorHAnsi" w:cs="Calibri"/>
                <w:color w:val="000000"/>
                <w:sz w:val="22"/>
                <w:szCs w:val="22"/>
              </w:rPr>
              <w:t>123.39</w:t>
            </w:r>
          </w:p>
        </w:tc>
      </w:tr>
      <w:tr w:rsidR="00984B2C" w:rsidRPr="00E755E2" w14:paraId="6CEEFD09" w14:textId="77777777" w:rsidTr="00A778B6">
        <w:trPr>
          <w:trHeight w:val="272"/>
        </w:trPr>
        <w:tc>
          <w:tcPr>
            <w:tcW w:w="740" w:type="dxa"/>
            <w:shd w:val="clear" w:color="auto" w:fill="auto"/>
            <w:noWrap/>
            <w:vAlign w:val="center"/>
            <w:hideMark/>
          </w:tcPr>
          <w:p w14:paraId="4F5A049F" w14:textId="77777777" w:rsidR="00984B2C" w:rsidRPr="00E755E2" w:rsidRDefault="00984B2C">
            <w:pPr>
              <w:jc w:val="center"/>
              <w:rPr>
                <w:rFonts w:asciiTheme="minorHAnsi" w:hAnsiTheme="minorHAnsi" w:cs="Calibri"/>
                <w:color w:val="000000"/>
                <w:sz w:val="22"/>
                <w:szCs w:val="22"/>
              </w:rPr>
            </w:pPr>
            <w:r w:rsidRPr="00E755E2">
              <w:rPr>
                <w:rFonts w:asciiTheme="minorHAnsi" w:hAnsiTheme="minorHAnsi" w:cs="Calibri"/>
                <w:color w:val="000000"/>
                <w:sz w:val="22"/>
                <w:szCs w:val="22"/>
              </w:rPr>
              <w:t>2</w:t>
            </w:r>
          </w:p>
        </w:tc>
        <w:tc>
          <w:tcPr>
            <w:tcW w:w="2623" w:type="dxa"/>
            <w:shd w:val="clear" w:color="auto" w:fill="auto"/>
            <w:noWrap/>
            <w:vAlign w:val="center"/>
            <w:hideMark/>
          </w:tcPr>
          <w:p w14:paraId="4B701AC8" w14:textId="77777777" w:rsidR="00984B2C" w:rsidRPr="00E755E2" w:rsidRDefault="00984B2C">
            <w:pPr>
              <w:rPr>
                <w:rFonts w:asciiTheme="minorHAnsi" w:hAnsiTheme="minorHAnsi" w:cs="Calibri"/>
                <w:color w:val="000000"/>
                <w:sz w:val="22"/>
                <w:szCs w:val="22"/>
              </w:rPr>
            </w:pPr>
            <w:r w:rsidRPr="00E755E2">
              <w:rPr>
                <w:rFonts w:asciiTheme="minorHAnsi" w:hAnsiTheme="minorHAnsi" w:cs="Calibri"/>
                <w:color w:val="000000"/>
                <w:sz w:val="22"/>
                <w:szCs w:val="22"/>
              </w:rPr>
              <w:t>DDUGJY 12TH PLAN</w:t>
            </w:r>
          </w:p>
        </w:tc>
        <w:tc>
          <w:tcPr>
            <w:tcW w:w="1582" w:type="dxa"/>
            <w:shd w:val="clear" w:color="auto" w:fill="auto"/>
            <w:noWrap/>
            <w:vAlign w:val="center"/>
            <w:hideMark/>
          </w:tcPr>
          <w:p w14:paraId="26C04E63" w14:textId="7CFEDCCF" w:rsidR="00984B2C" w:rsidRPr="00E755E2" w:rsidRDefault="00984B2C" w:rsidP="00984B2C">
            <w:pPr>
              <w:jc w:val="center"/>
              <w:rPr>
                <w:rFonts w:asciiTheme="minorHAnsi" w:hAnsiTheme="minorHAnsi" w:cs="Calibri"/>
                <w:color w:val="000000"/>
                <w:sz w:val="22"/>
                <w:szCs w:val="22"/>
              </w:rPr>
            </w:pPr>
            <w:r w:rsidRPr="00E755E2">
              <w:rPr>
                <w:rFonts w:asciiTheme="minorHAnsi" w:hAnsiTheme="minorHAnsi" w:cs="Calibri"/>
                <w:color w:val="000000"/>
                <w:sz w:val="22"/>
                <w:szCs w:val="22"/>
              </w:rPr>
              <w:t>326.83</w:t>
            </w:r>
          </w:p>
        </w:tc>
        <w:tc>
          <w:tcPr>
            <w:tcW w:w="0" w:type="auto"/>
            <w:shd w:val="clear" w:color="auto" w:fill="auto"/>
            <w:noWrap/>
            <w:vAlign w:val="center"/>
            <w:hideMark/>
          </w:tcPr>
          <w:p w14:paraId="3A8BFCBD" w14:textId="70149421" w:rsidR="00984B2C" w:rsidRPr="00E755E2" w:rsidRDefault="00984B2C" w:rsidP="00984B2C">
            <w:pPr>
              <w:jc w:val="center"/>
              <w:rPr>
                <w:rFonts w:asciiTheme="minorHAnsi" w:hAnsiTheme="minorHAnsi" w:cs="Calibri"/>
                <w:color w:val="000000"/>
                <w:sz w:val="22"/>
                <w:szCs w:val="22"/>
              </w:rPr>
            </w:pPr>
            <w:r w:rsidRPr="00E755E2">
              <w:rPr>
                <w:rFonts w:asciiTheme="minorHAnsi" w:hAnsiTheme="minorHAnsi" w:cs="Calibri"/>
                <w:color w:val="000000"/>
                <w:sz w:val="22"/>
                <w:szCs w:val="22"/>
              </w:rPr>
              <w:t>-</w:t>
            </w:r>
          </w:p>
        </w:tc>
        <w:tc>
          <w:tcPr>
            <w:tcW w:w="0" w:type="auto"/>
            <w:shd w:val="clear" w:color="auto" w:fill="auto"/>
            <w:noWrap/>
            <w:vAlign w:val="center"/>
            <w:hideMark/>
          </w:tcPr>
          <w:p w14:paraId="276BB128" w14:textId="36F17322" w:rsidR="00984B2C" w:rsidRPr="00E755E2" w:rsidRDefault="00984B2C" w:rsidP="00984B2C">
            <w:pPr>
              <w:jc w:val="center"/>
              <w:rPr>
                <w:rFonts w:asciiTheme="minorHAnsi" w:hAnsiTheme="minorHAnsi" w:cs="Calibri"/>
                <w:color w:val="000000"/>
                <w:sz w:val="22"/>
                <w:szCs w:val="22"/>
              </w:rPr>
            </w:pPr>
            <w:r w:rsidRPr="00E755E2">
              <w:rPr>
                <w:rFonts w:asciiTheme="minorHAnsi" w:hAnsiTheme="minorHAnsi" w:cs="Calibri"/>
                <w:color w:val="000000"/>
                <w:sz w:val="22"/>
                <w:szCs w:val="22"/>
              </w:rPr>
              <w:t>326.83</w:t>
            </w:r>
          </w:p>
        </w:tc>
        <w:tc>
          <w:tcPr>
            <w:tcW w:w="0" w:type="auto"/>
            <w:shd w:val="clear" w:color="auto" w:fill="auto"/>
            <w:noWrap/>
            <w:vAlign w:val="center"/>
            <w:hideMark/>
          </w:tcPr>
          <w:p w14:paraId="697824D8" w14:textId="4C7E044B" w:rsidR="00984B2C" w:rsidRPr="00E755E2" w:rsidRDefault="00984B2C" w:rsidP="00984B2C">
            <w:pPr>
              <w:jc w:val="center"/>
              <w:rPr>
                <w:rFonts w:asciiTheme="minorHAnsi" w:hAnsiTheme="minorHAnsi" w:cs="Calibri"/>
                <w:color w:val="000000"/>
                <w:sz w:val="22"/>
                <w:szCs w:val="22"/>
              </w:rPr>
            </w:pPr>
            <w:r w:rsidRPr="00E755E2">
              <w:rPr>
                <w:rFonts w:asciiTheme="minorHAnsi" w:hAnsiTheme="minorHAnsi" w:cs="Calibri"/>
                <w:color w:val="000000"/>
                <w:sz w:val="22"/>
                <w:szCs w:val="22"/>
              </w:rPr>
              <w:t>326.83</w:t>
            </w:r>
          </w:p>
        </w:tc>
        <w:tc>
          <w:tcPr>
            <w:tcW w:w="0" w:type="auto"/>
            <w:shd w:val="clear" w:color="auto" w:fill="auto"/>
            <w:noWrap/>
            <w:vAlign w:val="center"/>
            <w:hideMark/>
          </w:tcPr>
          <w:p w14:paraId="412A6017" w14:textId="191A086F" w:rsidR="00984B2C" w:rsidRPr="00E755E2" w:rsidRDefault="00984B2C" w:rsidP="00984B2C">
            <w:pPr>
              <w:jc w:val="center"/>
              <w:rPr>
                <w:rFonts w:asciiTheme="minorHAnsi" w:hAnsiTheme="minorHAnsi" w:cs="Calibri"/>
                <w:color w:val="000000"/>
                <w:sz w:val="22"/>
                <w:szCs w:val="22"/>
              </w:rPr>
            </w:pPr>
            <w:r w:rsidRPr="00E755E2">
              <w:rPr>
                <w:rFonts w:asciiTheme="minorHAnsi" w:hAnsiTheme="minorHAnsi" w:cs="Calibri"/>
                <w:color w:val="000000"/>
                <w:sz w:val="22"/>
                <w:szCs w:val="22"/>
              </w:rPr>
              <w:t>-</w:t>
            </w:r>
          </w:p>
        </w:tc>
        <w:tc>
          <w:tcPr>
            <w:tcW w:w="0" w:type="auto"/>
            <w:shd w:val="clear" w:color="auto" w:fill="auto"/>
            <w:noWrap/>
            <w:vAlign w:val="center"/>
            <w:hideMark/>
          </w:tcPr>
          <w:p w14:paraId="11B5223B" w14:textId="77777777" w:rsidR="00984B2C" w:rsidRPr="00E755E2" w:rsidRDefault="00984B2C" w:rsidP="00984B2C">
            <w:pPr>
              <w:jc w:val="center"/>
              <w:rPr>
                <w:rFonts w:asciiTheme="minorHAnsi" w:hAnsiTheme="minorHAnsi" w:cs="Calibri"/>
                <w:color w:val="000000"/>
                <w:sz w:val="22"/>
                <w:szCs w:val="22"/>
              </w:rPr>
            </w:pPr>
            <w:r w:rsidRPr="00E755E2">
              <w:rPr>
                <w:rFonts w:asciiTheme="minorHAnsi" w:hAnsiTheme="minorHAnsi" w:cs="Calibri"/>
                <w:color w:val="000000"/>
                <w:sz w:val="22"/>
                <w:szCs w:val="22"/>
              </w:rPr>
              <w:t>326.83</w:t>
            </w:r>
          </w:p>
        </w:tc>
      </w:tr>
      <w:tr w:rsidR="00984B2C" w:rsidRPr="00E755E2" w14:paraId="252F0D6C" w14:textId="77777777" w:rsidTr="00A778B6">
        <w:trPr>
          <w:trHeight w:val="272"/>
        </w:trPr>
        <w:tc>
          <w:tcPr>
            <w:tcW w:w="740" w:type="dxa"/>
            <w:shd w:val="clear" w:color="auto" w:fill="auto"/>
            <w:noWrap/>
            <w:vAlign w:val="center"/>
            <w:hideMark/>
          </w:tcPr>
          <w:p w14:paraId="276E26AD" w14:textId="77777777" w:rsidR="00984B2C" w:rsidRPr="00E755E2" w:rsidRDefault="00984B2C">
            <w:pPr>
              <w:jc w:val="center"/>
              <w:rPr>
                <w:rFonts w:asciiTheme="minorHAnsi" w:hAnsiTheme="minorHAnsi" w:cs="Calibri"/>
                <w:b/>
                <w:bCs/>
                <w:color w:val="000000"/>
                <w:sz w:val="22"/>
                <w:szCs w:val="22"/>
              </w:rPr>
            </w:pPr>
            <w:r w:rsidRPr="00E755E2">
              <w:rPr>
                <w:rFonts w:asciiTheme="minorHAnsi" w:hAnsiTheme="minorHAnsi" w:cs="Calibri"/>
                <w:b/>
                <w:bCs/>
                <w:color w:val="000000"/>
                <w:sz w:val="22"/>
                <w:szCs w:val="22"/>
              </w:rPr>
              <w:t> </w:t>
            </w:r>
          </w:p>
        </w:tc>
        <w:tc>
          <w:tcPr>
            <w:tcW w:w="2623" w:type="dxa"/>
            <w:shd w:val="clear" w:color="auto" w:fill="auto"/>
            <w:noWrap/>
            <w:vAlign w:val="center"/>
            <w:hideMark/>
          </w:tcPr>
          <w:p w14:paraId="47CE7D9C" w14:textId="77777777" w:rsidR="00984B2C" w:rsidRPr="00E755E2" w:rsidRDefault="00984B2C">
            <w:pPr>
              <w:rPr>
                <w:rFonts w:asciiTheme="minorHAnsi" w:hAnsiTheme="minorHAnsi" w:cs="Calibri"/>
                <w:b/>
                <w:bCs/>
                <w:color w:val="000000"/>
                <w:sz w:val="22"/>
                <w:szCs w:val="22"/>
              </w:rPr>
            </w:pPr>
            <w:r w:rsidRPr="00E755E2">
              <w:rPr>
                <w:rFonts w:asciiTheme="minorHAnsi" w:hAnsiTheme="minorHAnsi" w:cs="Calibri"/>
                <w:b/>
                <w:bCs/>
                <w:color w:val="000000"/>
                <w:sz w:val="22"/>
                <w:szCs w:val="22"/>
              </w:rPr>
              <w:t>Total</w:t>
            </w:r>
          </w:p>
        </w:tc>
        <w:tc>
          <w:tcPr>
            <w:tcW w:w="1582" w:type="dxa"/>
            <w:shd w:val="clear" w:color="auto" w:fill="auto"/>
            <w:noWrap/>
            <w:vAlign w:val="center"/>
            <w:hideMark/>
          </w:tcPr>
          <w:p w14:paraId="57B59D71" w14:textId="392DA094" w:rsidR="00984B2C" w:rsidRPr="00E755E2" w:rsidRDefault="00984B2C" w:rsidP="00984B2C">
            <w:pPr>
              <w:jc w:val="center"/>
              <w:rPr>
                <w:rFonts w:asciiTheme="minorHAnsi" w:hAnsiTheme="minorHAnsi" w:cs="Calibri"/>
                <w:b/>
                <w:bCs/>
                <w:color w:val="000000"/>
                <w:sz w:val="22"/>
                <w:szCs w:val="22"/>
              </w:rPr>
            </w:pPr>
            <w:r w:rsidRPr="00E755E2">
              <w:rPr>
                <w:rFonts w:asciiTheme="minorHAnsi" w:hAnsiTheme="minorHAnsi" w:cs="Calibri"/>
                <w:b/>
                <w:bCs/>
                <w:color w:val="000000"/>
                <w:sz w:val="22"/>
                <w:szCs w:val="22"/>
              </w:rPr>
              <w:t>450.22</w:t>
            </w:r>
          </w:p>
        </w:tc>
        <w:tc>
          <w:tcPr>
            <w:tcW w:w="0" w:type="auto"/>
            <w:shd w:val="clear" w:color="auto" w:fill="auto"/>
            <w:noWrap/>
            <w:vAlign w:val="center"/>
            <w:hideMark/>
          </w:tcPr>
          <w:p w14:paraId="6D65D4BC" w14:textId="1DC617E3" w:rsidR="00984B2C" w:rsidRPr="00E755E2" w:rsidRDefault="00984B2C" w:rsidP="00984B2C">
            <w:pPr>
              <w:jc w:val="center"/>
              <w:rPr>
                <w:rFonts w:asciiTheme="minorHAnsi" w:hAnsiTheme="minorHAnsi" w:cs="Calibri"/>
                <w:b/>
                <w:bCs/>
                <w:color w:val="000000"/>
                <w:sz w:val="22"/>
                <w:szCs w:val="22"/>
              </w:rPr>
            </w:pPr>
            <w:r w:rsidRPr="00E755E2">
              <w:rPr>
                <w:rFonts w:asciiTheme="minorHAnsi" w:hAnsiTheme="minorHAnsi" w:cs="Calibri"/>
                <w:b/>
                <w:bCs/>
                <w:color w:val="000000"/>
                <w:sz w:val="22"/>
                <w:szCs w:val="22"/>
              </w:rPr>
              <w:t>-</w:t>
            </w:r>
          </w:p>
        </w:tc>
        <w:tc>
          <w:tcPr>
            <w:tcW w:w="0" w:type="auto"/>
            <w:shd w:val="clear" w:color="auto" w:fill="auto"/>
            <w:noWrap/>
            <w:vAlign w:val="center"/>
            <w:hideMark/>
          </w:tcPr>
          <w:p w14:paraId="769F2495" w14:textId="3717E836" w:rsidR="00984B2C" w:rsidRPr="00E755E2" w:rsidRDefault="00984B2C" w:rsidP="00984B2C">
            <w:pPr>
              <w:jc w:val="center"/>
              <w:rPr>
                <w:rFonts w:asciiTheme="minorHAnsi" w:hAnsiTheme="minorHAnsi" w:cs="Calibri"/>
                <w:b/>
                <w:bCs/>
                <w:color w:val="000000"/>
                <w:sz w:val="22"/>
                <w:szCs w:val="22"/>
              </w:rPr>
            </w:pPr>
            <w:r w:rsidRPr="00E755E2">
              <w:rPr>
                <w:rFonts w:asciiTheme="minorHAnsi" w:hAnsiTheme="minorHAnsi" w:cs="Calibri"/>
                <w:b/>
                <w:bCs/>
                <w:color w:val="000000"/>
                <w:sz w:val="22"/>
                <w:szCs w:val="22"/>
              </w:rPr>
              <w:t>450.22</w:t>
            </w:r>
          </w:p>
        </w:tc>
        <w:tc>
          <w:tcPr>
            <w:tcW w:w="0" w:type="auto"/>
            <w:shd w:val="clear" w:color="auto" w:fill="auto"/>
            <w:noWrap/>
            <w:vAlign w:val="center"/>
            <w:hideMark/>
          </w:tcPr>
          <w:p w14:paraId="524B64BC" w14:textId="09629F29" w:rsidR="00984B2C" w:rsidRPr="00E755E2" w:rsidRDefault="00984B2C" w:rsidP="00984B2C">
            <w:pPr>
              <w:jc w:val="center"/>
              <w:rPr>
                <w:rFonts w:asciiTheme="minorHAnsi" w:hAnsiTheme="minorHAnsi" w:cs="Calibri"/>
                <w:b/>
                <w:bCs/>
                <w:color w:val="000000"/>
                <w:sz w:val="22"/>
                <w:szCs w:val="22"/>
              </w:rPr>
            </w:pPr>
            <w:r w:rsidRPr="00E755E2">
              <w:rPr>
                <w:rFonts w:asciiTheme="minorHAnsi" w:hAnsiTheme="minorHAnsi" w:cs="Calibri"/>
                <w:b/>
                <w:bCs/>
                <w:color w:val="000000"/>
                <w:sz w:val="22"/>
                <w:szCs w:val="22"/>
              </w:rPr>
              <w:t>450.22</w:t>
            </w:r>
          </w:p>
        </w:tc>
        <w:tc>
          <w:tcPr>
            <w:tcW w:w="0" w:type="auto"/>
            <w:shd w:val="clear" w:color="auto" w:fill="auto"/>
            <w:noWrap/>
            <w:vAlign w:val="center"/>
            <w:hideMark/>
          </w:tcPr>
          <w:p w14:paraId="31645CD6" w14:textId="0AEC87AA" w:rsidR="00984B2C" w:rsidRPr="00E755E2" w:rsidRDefault="00984B2C" w:rsidP="00984B2C">
            <w:pPr>
              <w:jc w:val="center"/>
              <w:rPr>
                <w:rFonts w:asciiTheme="minorHAnsi" w:hAnsiTheme="minorHAnsi" w:cs="Calibri"/>
                <w:b/>
                <w:bCs/>
                <w:color w:val="000000"/>
                <w:sz w:val="22"/>
                <w:szCs w:val="22"/>
              </w:rPr>
            </w:pPr>
            <w:r w:rsidRPr="00E755E2">
              <w:rPr>
                <w:rFonts w:asciiTheme="minorHAnsi" w:hAnsiTheme="minorHAnsi" w:cs="Calibri"/>
                <w:b/>
                <w:bCs/>
                <w:color w:val="000000"/>
                <w:sz w:val="22"/>
                <w:szCs w:val="22"/>
              </w:rPr>
              <w:t>-</w:t>
            </w:r>
          </w:p>
        </w:tc>
        <w:tc>
          <w:tcPr>
            <w:tcW w:w="0" w:type="auto"/>
            <w:shd w:val="clear" w:color="auto" w:fill="auto"/>
            <w:noWrap/>
            <w:vAlign w:val="center"/>
            <w:hideMark/>
          </w:tcPr>
          <w:p w14:paraId="724A3DBA" w14:textId="77777777" w:rsidR="00984B2C" w:rsidRPr="00E755E2" w:rsidRDefault="00984B2C" w:rsidP="00984B2C">
            <w:pPr>
              <w:jc w:val="center"/>
              <w:rPr>
                <w:rFonts w:asciiTheme="minorHAnsi" w:hAnsiTheme="minorHAnsi" w:cs="Calibri"/>
                <w:b/>
                <w:bCs/>
                <w:color w:val="000000"/>
                <w:sz w:val="22"/>
                <w:szCs w:val="22"/>
              </w:rPr>
            </w:pPr>
            <w:r w:rsidRPr="00E755E2">
              <w:rPr>
                <w:rFonts w:asciiTheme="minorHAnsi" w:hAnsiTheme="minorHAnsi" w:cs="Calibri"/>
                <w:b/>
                <w:bCs/>
                <w:color w:val="000000"/>
                <w:sz w:val="22"/>
                <w:szCs w:val="22"/>
              </w:rPr>
              <w:t>450.22</w:t>
            </w:r>
          </w:p>
        </w:tc>
      </w:tr>
      <w:tr w:rsidR="00984B2C" w:rsidRPr="00E755E2" w14:paraId="15E87881" w14:textId="77777777" w:rsidTr="00A778B6">
        <w:trPr>
          <w:trHeight w:val="272"/>
        </w:trPr>
        <w:tc>
          <w:tcPr>
            <w:tcW w:w="740" w:type="dxa"/>
            <w:shd w:val="clear" w:color="auto" w:fill="auto"/>
            <w:noWrap/>
            <w:vAlign w:val="center"/>
            <w:hideMark/>
          </w:tcPr>
          <w:p w14:paraId="19229DA9" w14:textId="77777777" w:rsidR="00984B2C" w:rsidRPr="00E755E2" w:rsidRDefault="00984B2C">
            <w:pPr>
              <w:jc w:val="center"/>
              <w:rPr>
                <w:rFonts w:asciiTheme="minorHAnsi" w:hAnsiTheme="minorHAnsi" w:cs="Calibri"/>
                <w:color w:val="000000"/>
                <w:sz w:val="22"/>
                <w:szCs w:val="22"/>
              </w:rPr>
            </w:pPr>
            <w:r w:rsidRPr="00E755E2">
              <w:rPr>
                <w:rFonts w:asciiTheme="minorHAnsi" w:hAnsiTheme="minorHAnsi" w:cs="Calibri"/>
                <w:color w:val="000000"/>
                <w:sz w:val="22"/>
                <w:szCs w:val="22"/>
              </w:rPr>
              <w:t> </w:t>
            </w:r>
          </w:p>
        </w:tc>
        <w:tc>
          <w:tcPr>
            <w:tcW w:w="2623" w:type="dxa"/>
            <w:shd w:val="clear" w:color="auto" w:fill="auto"/>
            <w:noWrap/>
            <w:vAlign w:val="center"/>
            <w:hideMark/>
          </w:tcPr>
          <w:p w14:paraId="6007236D" w14:textId="77777777" w:rsidR="00984B2C" w:rsidRPr="00E755E2" w:rsidRDefault="00984B2C">
            <w:pPr>
              <w:rPr>
                <w:rFonts w:asciiTheme="minorHAnsi" w:hAnsiTheme="minorHAnsi" w:cs="Calibri"/>
                <w:b/>
                <w:bCs/>
                <w:color w:val="000000"/>
                <w:sz w:val="22"/>
                <w:szCs w:val="22"/>
              </w:rPr>
            </w:pPr>
            <w:r w:rsidRPr="00E755E2">
              <w:rPr>
                <w:rFonts w:asciiTheme="minorHAnsi" w:hAnsiTheme="minorHAnsi" w:cs="Calibri"/>
                <w:b/>
                <w:bCs/>
                <w:color w:val="000000"/>
                <w:sz w:val="22"/>
                <w:szCs w:val="22"/>
              </w:rPr>
              <w:t>By PGCIL</w:t>
            </w:r>
          </w:p>
        </w:tc>
        <w:tc>
          <w:tcPr>
            <w:tcW w:w="1582" w:type="dxa"/>
            <w:shd w:val="clear" w:color="auto" w:fill="auto"/>
            <w:noWrap/>
            <w:vAlign w:val="bottom"/>
            <w:hideMark/>
          </w:tcPr>
          <w:p w14:paraId="0CE6EDEF" w14:textId="77777777" w:rsidR="00984B2C" w:rsidRPr="00E755E2" w:rsidRDefault="00984B2C" w:rsidP="00984B2C">
            <w:pPr>
              <w:jc w:val="center"/>
              <w:rPr>
                <w:rFonts w:asciiTheme="minorHAnsi" w:hAnsiTheme="minorHAnsi" w:cs="Calibri"/>
                <w:b/>
                <w:bCs/>
                <w:color w:val="000000"/>
                <w:sz w:val="22"/>
                <w:szCs w:val="22"/>
              </w:rPr>
            </w:pPr>
          </w:p>
        </w:tc>
        <w:tc>
          <w:tcPr>
            <w:tcW w:w="0" w:type="auto"/>
            <w:shd w:val="clear" w:color="auto" w:fill="auto"/>
            <w:noWrap/>
            <w:vAlign w:val="bottom"/>
            <w:hideMark/>
          </w:tcPr>
          <w:p w14:paraId="12429B6E" w14:textId="77777777" w:rsidR="00984B2C" w:rsidRPr="00E755E2" w:rsidRDefault="00984B2C" w:rsidP="00984B2C">
            <w:pPr>
              <w:jc w:val="center"/>
              <w:rPr>
                <w:rFonts w:asciiTheme="minorHAnsi" w:hAnsiTheme="minorHAnsi"/>
                <w:sz w:val="22"/>
                <w:szCs w:val="22"/>
              </w:rPr>
            </w:pPr>
          </w:p>
        </w:tc>
        <w:tc>
          <w:tcPr>
            <w:tcW w:w="0" w:type="auto"/>
            <w:shd w:val="clear" w:color="auto" w:fill="auto"/>
            <w:noWrap/>
            <w:vAlign w:val="bottom"/>
            <w:hideMark/>
          </w:tcPr>
          <w:p w14:paraId="205187E1" w14:textId="77777777" w:rsidR="00984B2C" w:rsidRPr="00E755E2" w:rsidRDefault="00984B2C" w:rsidP="00984B2C">
            <w:pPr>
              <w:jc w:val="center"/>
              <w:rPr>
                <w:rFonts w:asciiTheme="minorHAnsi" w:hAnsiTheme="minorHAnsi"/>
                <w:sz w:val="22"/>
                <w:szCs w:val="22"/>
              </w:rPr>
            </w:pPr>
          </w:p>
        </w:tc>
        <w:tc>
          <w:tcPr>
            <w:tcW w:w="0" w:type="auto"/>
            <w:shd w:val="clear" w:color="auto" w:fill="auto"/>
            <w:noWrap/>
            <w:vAlign w:val="bottom"/>
            <w:hideMark/>
          </w:tcPr>
          <w:p w14:paraId="72D69010" w14:textId="77777777" w:rsidR="00984B2C" w:rsidRPr="00E755E2" w:rsidRDefault="00984B2C" w:rsidP="00984B2C">
            <w:pPr>
              <w:jc w:val="center"/>
              <w:rPr>
                <w:rFonts w:asciiTheme="minorHAnsi" w:hAnsiTheme="minorHAnsi"/>
                <w:sz w:val="22"/>
                <w:szCs w:val="22"/>
              </w:rPr>
            </w:pPr>
          </w:p>
        </w:tc>
        <w:tc>
          <w:tcPr>
            <w:tcW w:w="0" w:type="auto"/>
            <w:shd w:val="clear" w:color="auto" w:fill="auto"/>
            <w:noWrap/>
            <w:vAlign w:val="bottom"/>
            <w:hideMark/>
          </w:tcPr>
          <w:p w14:paraId="2C61A109" w14:textId="77777777" w:rsidR="00984B2C" w:rsidRPr="00E755E2" w:rsidRDefault="00984B2C" w:rsidP="00984B2C">
            <w:pPr>
              <w:jc w:val="center"/>
              <w:rPr>
                <w:rFonts w:asciiTheme="minorHAnsi" w:hAnsiTheme="minorHAnsi"/>
                <w:sz w:val="22"/>
                <w:szCs w:val="22"/>
              </w:rPr>
            </w:pPr>
          </w:p>
        </w:tc>
        <w:tc>
          <w:tcPr>
            <w:tcW w:w="0" w:type="auto"/>
            <w:shd w:val="clear" w:color="auto" w:fill="auto"/>
            <w:noWrap/>
            <w:vAlign w:val="bottom"/>
            <w:hideMark/>
          </w:tcPr>
          <w:p w14:paraId="386BAD69" w14:textId="2F1D2C52" w:rsidR="00984B2C" w:rsidRPr="00E755E2" w:rsidRDefault="00984B2C" w:rsidP="00984B2C">
            <w:pPr>
              <w:jc w:val="center"/>
              <w:rPr>
                <w:rFonts w:asciiTheme="minorHAnsi" w:hAnsiTheme="minorHAnsi"/>
                <w:color w:val="000000"/>
                <w:sz w:val="22"/>
                <w:szCs w:val="22"/>
              </w:rPr>
            </w:pPr>
          </w:p>
        </w:tc>
      </w:tr>
      <w:tr w:rsidR="00984B2C" w:rsidRPr="00E755E2" w14:paraId="4A609640" w14:textId="77777777" w:rsidTr="00A778B6">
        <w:trPr>
          <w:trHeight w:val="272"/>
        </w:trPr>
        <w:tc>
          <w:tcPr>
            <w:tcW w:w="740" w:type="dxa"/>
            <w:shd w:val="clear" w:color="auto" w:fill="auto"/>
            <w:noWrap/>
            <w:vAlign w:val="center"/>
            <w:hideMark/>
          </w:tcPr>
          <w:p w14:paraId="12639ACC" w14:textId="77777777" w:rsidR="00984B2C" w:rsidRPr="00E755E2" w:rsidRDefault="00984B2C">
            <w:pPr>
              <w:jc w:val="center"/>
              <w:rPr>
                <w:rFonts w:asciiTheme="minorHAnsi" w:hAnsiTheme="minorHAnsi" w:cs="Calibri"/>
                <w:color w:val="000000"/>
                <w:sz w:val="22"/>
                <w:szCs w:val="22"/>
              </w:rPr>
            </w:pPr>
            <w:r w:rsidRPr="00E755E2">
              <w:rPr>
                <w:rFonts w:asciiTheme="minorHAnsi" w:hAnsiTheme="minorHAnsi" w:cs="Calibri"/>
                <w:color w:val="000000"/>
                <w:sz w:val="22"/>
                <w:szCs w:val="22"/>
              </w:rPr>
              <w:t>1</w:t>
            </w:r>
          </w:p>
        </w:tc>
        <w:tc>
          <w:tcPr>
            <w:tcW w:w="2623" w:type="dxa"/>
            <w:shd w:val="clear" w:color="auto" w:fill="auto"/>
            <w:noWrap/>
            <w:vAlign w:val="center"/>
            <w:hideMark/>
          </w:tcPr>
          <w:p w14:paraId="123644DA" w14:textId="77777777" w:rsidR="00984B2C" w:rsidRPr="00E755E2" w:rsidRDefault="00984B2C">
            <w:pPr>
              <w:rPr>
                <w:rFonts w:asciiTheme="minorHAnsi" w:hAnsiTheme="minorHAnsi" w:cs="Calibri"/>
                <w:color w:val="000000"/>
                <w:sz w:val="22"/>
                <w:szCs w:val="22"/>
              </w:rPr>
            </w:pPr>
            <w:r w:rsidRPr="00E755E2">
              <w:rPr>
                <w:rFonts w:asciiTheme="minorHAnsi" w:hAnsiTheme="minorHAnsi" w:cs="Calibri"/>
                <w:color w:val="000000"/>
                <w:sz w:val="22"/>
                <w:szCs w:val="22"/>
              </w:rPr>
              <w:t>DDUGJY 11TH PLAN</w:t>
            </w:r>
          </w:p>
        </w:tc>
        <w:tc>
          <w:tcPr>
            <w:tcW w:w="1582" w:type="dxa"/>
            <w:shd w:val="clear" w:color="auto" w:fill="auto"/>
            <w:noWrap/>
            <w:vAlign w:val="center"/>
            <w:hideMark/>
          </w:tcPr>
          <w:p w14:paraId="46FC1046" w14:textId="09523B5F" w:rsidR="00984B2C" w:rsidRPr="00E755E2" w:rsidRDefault="00984B2C" w:rsidP="00984B2C">
            <w:pPr>
              <w:jc w:val="center"/>
              <w:rPr>
                <w:rFonts w:asciiTheme="minorHAnsi" w:hAnsiTheme="minorHAnsi" w:cs="Calibri"/>
                <w:color w:val="000000"/>
                <w:sz w:val="22"/>
                <w:szCs w:val="22"/>
              </w:rPr>
            </w:pPr>
            <w:r w:rsidRPr="00E755E2">
              <w:rPr>
                <w:rFonts w:asciiTheme="minorHAnsi" w:hAnsiTheme="minorHAnsi" w:cs="Calibri"/>
                <w:color w:val="000000"/>
                <w:sz w:val="22"/>
                <w:szCs w:val="22"/>
              </w:rPr>
              <w:t>650.50</w:t>
            </w:r>
          </w:p>
        </w:tc>
        <w:tc>
          <w:tcPr>
            <w:tcW w:w="0" w:type="auto"/>
            <w:shd w:val="clear" w:color="auto" w:fill="auto"/>
            <w:noWrap/>
            <w:vAlign w:val="center"/>
            <w:hideMark/>
          </w:tcPr>
          <w:p w14:paraId="4F09264B" w14:textId="00699804" w:rsidR="00984B2C" w:rsidRPr="00E755E2" w:rsidRDefault="00984B2C" w:rsidP="00984B2C">
            <w:pPr>
              <w:jc w:val="center"/>
              <w:rPr>
                <w:rFonts w:asciiTheme="minorHAnsi" w:hAnsiTheme="minorHAnsi" w:cs="Calibri"/>
                <w:color w:val="000000"/>
                <w:sz w:val="22"/>
                <w:szCs w:val="22"/>
              </w:rPr>
            </w:pPr>
            <w:r w:rsidRPr="00E755E2">
              <w:rPr>
                <w:rFonts w:asciiTheme="minorHAnsi" w:hAnsiTheme="minorHAnsi" w:cs="Calibri"/>
                <w:color w:val="000000"/>
                <w:sz w:val="22"/>
                <w:szCs w:val="22"/>
              </w:rPr>
              <w:t>-</w:t>
            </w:r>
          </w:p>
        </w:tc>
        <w:tc>
          <w:tcPr>
            <w:tcW w:w="0" w:type="auto"/>
            <w:shd w:val="clear" w:color="auto" w:fill="auto"/>
            <w:noWrap/>
            <w:vAlign w:val="center"/>
            <w:hideMark/>
          </w:tcPr>
          <w:p w14:paraId="2D0EF56C" w14:textId="18A6ED8D" w:rsidR="00984B2C" w:rsidRPr="00E755E2" w:rsidRDefault="00984B2C" w:rsidP="00984B2C">
            <w:pPr>
              <w:jc w:val="center"/>
              <w:rPr>
                <w:rFonts w:asciiTheme="minorHAnsi" w:hAnsiTheme="minorHAnsi" w:cs="Calibri"/>
                <w:color w:val="000000"/>
                <w:sz w:val="22"/>
                <w:szCs w:val="22"/>
              </w:rPr>
            </w:pPr>
            <w:r w:rsidRPr="00E755E2">
              <w:rPr>
                <w:rFonts w:asciiTheme="minorHAnsi" w:hAnsiTheme="minorHAnsi" w:cs="Calibri"/>
                <w:color w:val="000000"/>
                <w:sz w:val="22"/>
                <w:szCs w:val="22"/>
              </w:rPr>
              <w:t>650.50</w:t>
            </w:r>
          </w:p>
        </w:tc>
        <w:tc>
          <w:tcPr>
            <w:tcW w:w="0" w:type="auto"/>
            <w:shd w:val="clear" w:color="auto" w:fill="auto"/>
            <w:noWrap/>
            <w:vAlign w:val="center"/>
            <w:hideMark/>
          </w:tcPr>
          <w:p w14:paraId="31E9F279" w14:textId="682EEF79" w:rsidR="00984B2C" w:rsidRPr="00E755E2" w:rsidRDefault="00984B2C" w:rsidP="00984B2C">
            <w:pPr>
              <w:jc w:val="center"/>
              <w:rPr>
                <w:rFonts w:asciiTheme="minorHAnsi" w:hAnsiTheme="minorHAnsi" w:cs="Calibri"/>
                <w:color w:val="000000"/>
                <w:sz w:val="22"/>
                <w:szCs w:val="22"/>
              </w:rPr>
            </w:pPr>
            <w:r w:rsidRPr="00E755E2">
              <w:rPr>
                <w:rFonts w:asciiTheme="minorHAnsi" w:hAnsiTheme="minorHAnsi" w:cs="Calibri"/>
                <w:color w:val="000000"/>
                <w:sz w:val="22"/>
                <w:szCs w:val="22"/>
              </w:rPr>
              <w:t>650.50</w:t>
            </w:r>
          </w:p>
        </w:tc>
        <w:tc>
          <w:tcPr>
            <w:tcW w:w="0" w:type="auto"/>
            <w:shd w:val="clear" w:color="auto" w:fill="auto"/>
            <w:noWrap/>
            <w:vAlign w:val="center"/>
            <w:hideMark/>
          </w:tcPr>
          <w:p w14:paraId="7707D54F" w14:textId="53F82E66" w:rsidR="00984B2C" w:rsidRPr="00E755E2" w:rsidRDefault="00984B2C" w:rsidP="00984B2C">
            <w:pPr>
              <w:jc w:val="center"/>
              <w:rPr>
                <w:rFonts w:asciiTheme="minorHAnsi" w:hAnsiTheme="minorHAnsi" w:cs="Calibri"/>
                <w:color w:val="000000"/>
                <w:sz w:val="22"/>
                <w:szCs w:val="22"/>
              </w:rPr>
            </w:pPr>
            <w:r w:rsidRPr="00E755E2">
              <w:rPr>
                <w:rFonts w:asciiTheme="minorHAnsi" w:hAnsiTheme="minorHAnsi" w:cs="Calibri"/>
                <w:color w:val="000000"/>
                <w:sz w:val="22"/>
                <w:szCs w:val="22"/>
              </w:rPr>
              <w:t>-</w:t>
            </w:r>
          </w:p>
        </w:tc>
        <w:tc>
          <w:tcPr>
            <w:tcW w:w="0" w:type="auto"/>
            <w:shd w:val="clear" w:color="auto" w:fill="auto"/>
            <w:noWrap/>
            <w:vAlign w:val="center"/>
            <w:hideMark/>
          </w:tcPr>
          <w:p w14:paraId="028F313D" w14:textId="77777777" w:rsidR="00984B2C" w:rsidRPr="00E755E2" w:rsidRDefault="00984B2C" w:rsidP="00984B2C">
            <w:pPr>
              <w:jc w:val="center"/>
              <w:rPr>
                <w:rFonts w:asciiTheme="minorHAnsi" w:hAnsiTheme="minorHAnsi" w:cs="Calibri"/>
                <w:color w:val="000000"/>
                <w:sz w:val="22"/>
                <w:szCs w:val="22"/>
              </w:rPr>
            </w:pPr>
            <w:r w:rsidRPr="00E755E2">
              <w:rPr>
                <w:rFonts w:asciiTheme="minorHAnsi" w:hAnsiTheme="minorHAnsi" w:cs="Calibri"/>
                <w:color w:val="000000"/>
                <w:sz w:val="22"/>
                <w:szCs w:val="22"/>
              </w:rPr>
              <w:t>650.5</w:t>
            </w:r>
          </w:p>
        </w:tc>
      </w:tr>
      <w:tr w:rsidR="00984B2C" w:rsidRPr="00E755E2" w14:paraId="58438461" w14:textId="77777777" w:rsidTr="00A778B6">
        <w:trPr>
          <w:trHeight w:val="272"/>
        </w:trPr>
        <w:tc>
          <w:tcPr>
            <w:tcW w:w="740" w:type="dxa"/>
            <w:shd w:val="clear" w:color="auto" w:fill="auto"/>
            <w:noWrap/>
            <w:vAlign w:val="center"/>
            <w:hideMark/>
          </w:tcPr>
          <w:p w14:paraId="7670EBB7" w14:textId="77777777" w:rsidR="00984B2C" w:rsidRPr="00E755E2" w:rsidRDefault="00984B2C">
            <w:pPr>
              <w:jc w:val="center"/>
              <w:rPr>
                <w:rFonts w:asciiTheme="minorHAnsi" w:hAnsiTheme="minorHAnsi" w:cs="Calibri"/>
                <w:color w:val="000000"/>
                <w:sz w:val="22"/>
                <w:szCs w:val="22"/>
              </w:rPr>
            </w:pPr>
            <w:r w:rsidRPr="00E755E2">
              <w:rPr>
                <w:rFonts w:asciiTheme="minorHAnsi" w:hAnsiTheme="minorHAnsi" w:cs="Calibri"/>
                <w:color w:val="000000"/>
                <w:sz w:val="22"/>
                <w:szCs w:val="22"/>
              </w:rPr>
              <w:t>2</w:t>
            </w:r>
          </w:p>
        </w:tc>
        <w:tc>
          <w:tcPr>
            <w:tcW w:w="2623" w:type="dxa"/>
            <w:shd w:val="clear" w:color="auto" w:fill="auto"/>
            <w:noWrap/>
            <w:vAlign w:val="center"/>
            <w:hideMark/>
          </w:tcPr>
          <w:p w14:paraId="650FD3D9" w14:textId="77777777" w:rsidR="00984B2C" w:rsidRPr="00E755E2" w:rsidRDefault="00984B2C">
            <w:pPr>
              <w:rPr>
                <w:rFonts w:asciiTheme="minorHAnsi" w:hAnsiTheme="minorHAnsi" w:cs="Calibri"/>
                <w:color w:val="000000"/>
                <w:sz w:val="22"/>
                <w:szCs w:val="22"/>
              </w:rPr>
            </w:pPr>
            <w:r w:rsidRPr="00E755E2">
              <w:rPr>
                <w:rFonts w:asciiTheme="minorHAnsi" w:hAnsiTheme="minorHAnsi" w:cs="Calibri"/>
                <w:color w:val="000000"/>
                <w:sz w:val="22"/>
                <w:szCs w:val="22"/>
              </w:rPr>
              <w:t>DDUGJY 12TH PLAN</w:t>
            </w:r>
          </w:p>
        </w:tc>
        <w:tc>
          <w:tcPr>
            <w:tcW w:w="1582" w:type="dxa"/>
            <w:shd w:val="clear" w:color="auto" w:fill="auto"/>
            <w:noWrap/>
            <w:vAlign w:val="center"/>
            <w:hideMark/>
          </w:tcPr>
          <w:p w14:paraId="2B3F1C27" w14:textId="1E5EF72C" w:rsidR="00984B2C" w:rsidRPr="00E755E2" w:rsidRDefault="00984B2C" w:rsidP="00984B2C">
            <w:pPr>
              <w:jc w:val="center"/>
              <w:rPr>
                <w:rFonts w:asciiTheme="minorHAnsi" w:hAnsiTheme="minorHAnsi" w:cs="Calibri"/>
                <w:color w:val="000000"/>
                <w:sz w:val="22"/>
                <w:szCs w:val="22"/>
              </w:rPr>
            </w:pPr>
            <w:r w:rsidRPr="00E755E2">
              <w:rPr>
                <w:rFonts w:asciiTheme="minorHAnsi" w:hAnsiTheme="minorHAnsi" w:cs="Calibri"/>
                <w:color w:val="000000"/>
                <w:sz w:val="22"/>
                <w:szCs w:val="22"/>
              </w:rPr>
              <w:t>620.05</w:t>
            </w:r>
          </w:p>
        </w:tc>
        <w:tc>
          <w:tcPr>
            <w:tcW w:w="0" w:type="auto"/>
            <w:shd w:val="clear" w:color="auto" w:fill="auto"/>
            <w:noWrap/>
            <w:vAlign w:val="center"/>
            <w:hideMark/>
          </w:tcPr>
          <w:p w14:paraId="2F27C25C" w14:textId="0E2797C8" w:rsidR="00984B2C" w:rsidRPr="00E755E2" w:rsidRDefault="00984B2C" w:rsidP="00984B2C">
            <w:pPr>
              <w:jc w:val="center"/>
              <w:rPr>
                <w:rFonts w:asciiTheme="minorHAnsi" w:hAnsiTheme="minorHAnsi" w:cs="Calibri"/>
                <w:color w:val="000000"/>
                <w:sz w:val="22"/>
                <w:szCs w:val="22"/>
              </w:rPr>
            </w:pPr>
            <w:r w:rsidRPr="00E755E2">
              <w:rPr>
                <w:rFonts w:asciiTheme="minorHAnsi" w:hAnsiTheme="minorHAnsi" w:cs="Calibri"/>
                <w:color w:val="000000"/>
                <w:sz w:val="22"/>
                <w:szCs w:val="22"/>
              </w:rPr>
              <w:t>-</w:t>
            </w:r>
          </w:p>
        </w:tc>
        <w:tc>
          <w:tcPr>
            <w:tcW w:w="0" w:type="auto"/>
            <w:shd w:val="clear" w:color="auto" w:fill="auto"/>
            <w:noWrap/>
            <w:vAlign w:val="center"/>
            <w:hideMark/>
          </w:tcPr>
          <w:p w14:paraId="2358141F" w14:textId="5023AF97" w:rsidR="00984B2C" w:rsidRPr="00E755E2" w:rsidRDefault="00984B2C" w:rsidP="00984B2C">
            <w:pPr>
              <w:jc w:val="center"/>
              <w:rPr>
                <w:rFonts w:asciiTheme="minorHAnsi" w:hAnsiTheme="minorHAnsi" w:cs="Calibri"/>
                <w:color w:val="000000"/>
                <w:sz w:val="22"/>
                <w:szCs w:val="22"/>
              </w:rPr>
            </w:pPr>
            <w:r w:rsidRPr="00E755E2">
              <w:rPr>
                <w:rFonts w:asciiTheme="minorHAnsi" w:hAnsiTheme="minorHAnsi" w:cs="Calibri"/>
                <w:color w:val="000000"/>
                <w:sz w:val="22"/>
                <w:szCs w:val="22"/>
              </w:rPr>
              <w:t>620.05</w:t>
            </w:r>
          </w:p>
        </w:tc>
        <w:tc>
          <w:tcPr>
            <w:tcW w:w="0" w:type="auto"/>
            <w:shd w:val="clear" w:color="auto" w:fill="auto"/>
            <w:noWrap/>
            <w:vAlign w:val="center"/>
            <w:hideMark/>
          </w:tcPr>
          <w:p w14:paraId="0508B4CB" w14:textId="131B97C9" w:rsidR="00984B2C" w:rsidRPr="00E755E2" w:rsidRDefault="00984B2C" w:rsidP="00984B2C">
            <w:pPr>
              <w:jc w:val="center"/>
              <w:rPr>
                <w:rFonts w:asciiTheme="minorHAnsi" w:hAnsiTheme="minorHAnsi" w:cs="Calibri"/>
                <w:color w:val="000000"/>
                <w:sz w:val="22"/>
                <w:szCs w:val="22"/>
              </w:rPr>
            </w:pPr>
            <w:r w:rsidRPr="00E755E2">
              <w:rPr>
                <w:rFonts w:asciiTheme="minorHAnsi" w:hAnsiTheme="minorHAnsi" w:cs="Calibri"/>
                <w:color w:val="000000"/>
                <w:sz w:val="22"/>
                <w:szCs w:val="22"/>
              </w:rPr>
              <w:t>620.05</w:t>
            </w:r>
          </w:p>
        </w:tc>
        <w:tc>
          <w:tcPr>
            <w:tcW w:w="0" w:type="auto"/>
            <w:shd w:val="clear" w:color="auto" w:fill="auto"/>
            <w:noWrap/>
            <w:vAlign w:val="center"/>
            <w:hideMark/>
          </w:tcPr>
          <w:p w14:paraId="3A0C86D2" w14:textId="5BB7018D" w:rsidR="00984B2C" w:rsidRPr="00E755E2" w:rsidRDefault="00984B2C" w:rsidP="00984B2C">
            <w:pPr>
              <w:jc w:val="center"/>
              <w:rPr>
                <w:rFonts w:asciiTheme="minorHAnsi" w:hAnsiTheme="minorHAnsi" w:cs="Calibri"/>
                <w:color w:val="000000"/>
                <w:sz w:val="22"/>
                <w:szCs w:val="22"/>
              </w:rPr>
            </w:pPr>
            <w:r w:rsidRPr="00E755E2">
              <w:rPr>
                <w:rFonts w:asciiTheme="minorHAnsi" w:hAnsiTheme="minorHAnsi" w:cs="Calibri"/>
                <w:color w:val="000000"/>
                <w:sz w:val="22"/>
                <w:szCs w:val="22"/>
              </w:rPr>
              <w:t>-</w:t>
            </w:r>
          </w:p>
        </w:tc>
        <w:tc>
          <w:tcPr>
            <w:tcW w:w="0" w:type="auto"/>
            <w:shd w:val="clear" w:color="auto" w:fill="auto"/>
            <w:noWrap/>
            <w:vAlign w:val="center"/>
            <w:hideMark/>
          </w:tcPr>
          <w:p w14:paraId="0D9CED2D" w14:textId="77777777" w:rsidR="00984B2C" w:rsidRPr="00E755E2" w:rsidRDefault="00984B2C" w:rsidP="00984B2C">
            <w:pPr>
              <w:jc w:val="center"/>
              <w:rPr>
                <w:rFonts w:asciiTheme="minorHAnsi" w:hAnsiTheme="minorHAnsi" w:cs="Calibri"/>
                <w:color w:val="000000"/>
                <w:sz w:val="22"/>
                <w:szCs w:val="22"/>
              </w:rPr>
            </w:pPr>
            <w:r w:rsidRPr="00E755E2">
              <w:rPr>
                <w:rFonts w:asciiTheme="minorHAnsi" w:hAnsiTheme="minorHAnsi" w:cs="Calibri"/>
                <w:color w:val="000000"/>
                <w:sz w:val="22"/>
                <w:szCs w:val="22"/>
              </w:rPr>
              <w:t>620.05</w:t>
            </w:r>
          </w:p>
        </w:tc>
      </w:tr>
      <w:tr w:rsidR="00984B2C" w:rsidRPr="00E755E2" w14:paraId="6600B4E4" w14:textId="77777777" w:rsidTr="00A778B6">
        <w:trPr>
          <w:trHeight w:val="272"/>
        </w:trPr>
        <w:tc>
          <w:tcPr>
            <w:tcW w:w="740" w:type="dxa"/>
            <w:shd w:val="clear" w:color="auto" w:fill="auto"/>
            <w:noWrap/>
            <w:vAlign w:val="center"/>
            <w:hideMark/>
          </w:tcPr>
          <w:p w14:paraId="313A5D73" w14:textId="77777777" w:rsidR="00984B2C" w:rsidRPr="00E755E2" w:rsidRDefault="00984B2C">
            <w:pPr>
              <w:jc w:val="center"/>
              <w:rPr>
                <w:rFonts w:asciiTheme="minorHAnsi" w:hAnsiTheme="minorHAnsi" w:cs="Calibri"/>
                <w:b/>
                <w:bCs/>
                <w:color w:val="000000"/>
                <w:sz w:val="22"/>
                <w:szCs w:val="22"/>
              </w:rPr>
            </w:pPr>
            <w:r w:rsidRPr="00E755E2">
              <w:rPr>
                <w:rFonts w:asciiTheme="minorHAnsi" w:hAnsiTheme="minorHAnsi" w:cs="Calibri"/>
                <w:b/>
                <w:bCs/>
                <w:color w:val="000000"/>
                <w:sz w:val="22"/>
                <w:szCs w:val="22"/>
              </w:rPr>
              <w:t> </w:t>
            </w:r>
          </w:p>
        </w:tc>
        <w:tc>
          <w:tcPr>
            <w:tcW w:w="2623" w:type="dxa"/>
            <w:shd w:val="clear" w:color="auto" w:fill="auto"/>
            <w:noWrap/>
            <w:vAlign w:val="center"/>
            <w:hideMark/>
          </w:tcPr>
          <w:p w14:paraId="271FC0F2" w14:textId="77777777" w:rsidR="00984B2C" w:rsidRPr="00E755E2" w:rsidRDefault="00984B2C">
            <w:pPr>
              <w:rPr>
                <w:rFonts w:asciiTheme="minorHAnsi" w:hAnsiTheme="minorHAnsi" w:cs="Calibri"/>
                <w:b/>
                <w:bCs/>
                <w:color w:val="000000"/>
                <w:sz w:val="22"/>
                <w:szCs w:val="22"/>
              </w:rPr>
            </w:pPr>
            <w:r w:rsidRPr="00E755E2">
              <w:rPr>
                <w:rFonts w:asciiTheme="minorHAnsi" w:hAnsiTheme="minorHAnsi" w:cs="Calibri"/>
                <w:b/>
                <w:bCs/>
                <w:color w:val="000000"/>
                <w:sz w:val="22"/>
                <w:szCs w:val="22"/>
              </w:rPr>
              <w:t>Total</w:t>
            </w:r>
          </w:p>
        </w:tc>
        <w:tc>
          <w:tcPr>
            <w:tcW w:w="1582" w:type="dxa"/>
            <w:shd w:val="clear" w:color="auto" w:fill="auto"/>
            <w:noWrap/>
            <w:vAlign w:val="center"/>
            <w:hideMark/>
          </w:tcPr>
          <w:p w14:paraId="0839D849" w14:textId="606F1FF7" w:rsidR="00984B2C" w:rsidRPr="00E755E2" w:rsidRDefault="00984B2C" w:rsidP="00984B2C">
            <w:pPr>
              <w:jc w:val="center"/>
              <w:rPr>
                <w:rFonts w:asciiTheme="minorHAnsi" w:hAnsiTheme="minorHAnsi" w:cs="Calibri"/>
                <w:b/>
                <w:bCs/>
                <w:color w:val="000000"/>
                <w:sz w:val="22"/>
                <w:szCs w:val="22"/>
              </w:rPr>
            </w:pPr>
            <w:r w:rsidRPr="00E755E2">
              <w:rPr>
                <w:rFonts w:asciiTheme="minorHAnsi" w:hAnsiTheme="minorHAnsi" w:cs="Calibri"/>
                <w:b/>
                <w:bCs/>
                <w:color w:val="000000"/>
                <w:sz w:val="22"/>
                <w:szCs w:val="22"/>
              </w:rPr>
              <w:t>1,270.55</w:t>
            </w:r>
          </w:p>
        </w:tc>
        <w:tc>
          <w:tcPr>
            <w:tcW w:w="0" w:type="auto"/>
            <w:shd w:val="clear" w:color="auto" w:fill="auto"/>
            <w:noWrap/>
            <w:vAlign w:val="center"/>
            <w:hideMark/>
          </w:tcPr>
          <w:p w14:paraId="2E2B303A" w14:textId="45C00C3F" w:rsidR="00984B2C" w:rsidRPr="00E755E2" w:rsidRDefault="00984B2C" w:rsidP="00984B2C">
            <w:pPr>
              <w:jc w:val="center"/>
              <w:rPr>
                <w:rFonts w:asciiTheme="minorHAnsi" w:hAnsiTheme="minorHAnsi" w:cs="Calibri"/>
                <w:b/>
                <w:bCs/>
                <w:color w:val="000000"/>
                <w:sz w:val="22"/>
                <w:szCs w:val="22"/>
              </w:rPr>
            </w:pPr>
            <w:r w:rsidRPr="00E755E2">
              <w:rPr>
                <w:rFonts w:asciiTheme="minorHAnsi" w:hAnsiTheme="minorHAnsi" w:cs="Calibri"/>
                <w:b/>
                <w:bCs/>
                <w:color w:val="000000"/>
                <w:sz w:val="22"/>
                <w:szCs w:val="22"/>
              </w:rPr>
              <w:t>-</w:t>
            </w:r>
          </w:p>
        </w:tc>
        <w:tc>
          <w:tcPr>
            <w:tcW w:w="0" w:type="auto"/>
            <w:shd w:val="clear" w:color="auto" w:fill="auto"/>
            <w:noWrap/>
            <w:vAlign w:val="center"/>
            <w:hideMark/>
          </w:tcPr>
          <w:p w14:paraId="49E5F464" w14:textId="3FAF9897" w:rsidR="00984B2C" w:rsidRPr="00E755E2" w:rsidRDefault="00984B2C" w:rsidP="00984B2C">
            <w:pPr>
              <w:jc w:val="center"/>
              <w:rPr>
                <w:rFonts w:asciiTheme="minorHAnsi" w:hAnsiTheme="minorHAnsi" w:cs="Calibri"/>
                <w:b/>
                <w:bCs/>
                <w:color w:val="000000"/>
                <w:sz w:val="22"/>
                <w:szCs w:val="22"/>
              </w:rPr>
            </w:pPr>
            <w:r w:rsidRPr="00E755E2">
              <w:rPr>
                <w:rFonts w:asciiTheme="minorHAnsi" w:hAnsiTheme="minorHAnsi" w:cs="Calibri"/>
                <w:b/>
                <w:bCs/>
                <w:color w:val="000000"/>
                <w:sz w:val="22"/>
                <w:szCs w:val="22"/>
              </w:rPr>
              <w:t>1,270.55</w:t>
            </w:r>
          </w:p>
        </w:tc>
        <w:tc>
          <w:tcPr>
            <w:tcW w:w="0" w:type="auto"/>
            <w:shd w:val="clear" w:color="auto" w:fill="auto"/>
            <w:noWrap/>
            <w:vAlign w:val="center"/>
            <w:hideMark/>
          </w:tcPr>
          <w:p w14:paraId="15DD7992" w14:textId="4782253B" w:rsidR="00984B2C" w:rsidRPr="00E755E2" w:rsidRDefault="00984B2C" w:rsidP="00984B2C">
            <w:pPr>
              <w:jc w:val="center"/>
              <w:rPr>
                <w:rFonts w:asciiTheme="minorHAnsi" w:hAnsiTheme="minorHAnsi" w:cs="Calibri"/>
                <w:b/>
                <w:bCs/>
                <w:color w:val="000000"/>
                <w:sz w:val="22"/>
                <w:szCs w:val="22"/>
              </w:rPr>
            </w:pPr>
            <w:r w:rsidRPr="00E755E2">
              <w:rPr>
                <w:rFonts w:asciiTheme="minorHAnsi" w:hAnsiTheme="minorHAnsi" w:cs="Calibri"/>
                <w:b/>
                <w:bCs/>
                <w:color w:val="000000"/>
                <w:sz w:val="22"/>
                <w:szCs w:val="22"/>
              </w:rPr>
              <w:t>1,270.55</w:t>
            </w:r>
          </w:p>
        </w:tc>
        <w:tc>
          <w:tcPr>
            <w:tcW w:w="0" w:type="auto"/>
            <w:shd w:val="clear" w:color="auto" w:fill="auto"/>
            <w:noWrap/>
            <w:vAlign w:val="center"/>
            <w:hideMark/>
          </w:tcPr>
          <w:p w14:paraId="6C8D9653" w14:textId="021A4DF2" w:rsidR="00984B2C" w:rsidRPr="00E755E2" w:rsidRDefault="00984B2C" w:rsidP="00984B2C">
            <w:pPr>
              <w:jc w:val="center"/>
              <w:rPr>
                <w:rFonts w:asciiTheme="minorHAnsi" w:hAnsiTheme="minorHAnsi" w:cs="Calibri"/>
                <w:b/>
                <w:bCs/>
                <w:color w:val="000000"/>
                <w:sz w:val="22"/>
                <w:szCs w:val="22"/>
              </w:rPr>
            </w:pPr>
            <w:r w:rsidRPr="00E755E2">
              <w:rPr>
                <w:rFonts w:asciiTheme="minorHAnsi" w:hAnsiTheme="minorHAnsi" w:cs="Calibri"/>
                <w:b/>
                <w:bCs/>
                <w:color w:val="000000"/>
                <w:sz w:val="22"/>
                <w:szCs w:val="22"/>
              </w:rPr>
              <w:t>-</w:t>
            </w:r>
          </w:p>
        </w:tc>
        <w:tc>
          <w:tcPr>
            <w:tcW w:w="0" w:type="auto"/>
            <w:shd w:val="clear" w:color="auto" w:fill="auto"/>
            <w:noWrap/>
            <w:vAlign w:val="center"/>
            <w:hideMark/>
          </w:tcPr>
          <w:p w14:paraId="0ECCE883" w14:textId="77777777" w:rsidR="00984B2C" w:rsidRPr="00E755E2" w:rsidRDefault="00984B2C" w:rsidP="00984B2C">
            <w:pPr>
              <w:jc w:val="center"/>
              <w:rPr>
                <w:rFonts w:asciiTheme="minorHAnsi" w:hAnsiTheme="minorHAnsi" w:cs="Calibri"/>
                <w:b/>
                <w:bCs/>
                <w:color w:val="000000"/>
                <w:sz w:val="22"/>
                <w:szCs w:val="22"/>
              </w:rPr>
            </w:pPr>
            <w:r w:rsidRPr="00E755E2">
              <w:rPr>
                <w:rFonts w:asciiTheme="minorHAnsi" w:hAnsiTheme="minorHAnsi" w:cs="Calibri"/>
                <w:b/>
                <w:bCs/>
                <w:color w:val="000000"/>
                <w:sz w:val="22"/>
                <w:szCs w:val="22"/>
              </w:rPr>
              <w:t>1270.55</w:t>
            </w:r>
          </w:p>
        </w:tc>
      </w:tr>
      <w:tr w:rsidR="00984B2C" w:rsidRPr="00E755E2" w14:paraId="16753CB4" w14:textId="77777777" w:rsidTr="00A778B6">
        <w:trPr>
          <w:trHeight w:val="272"/>
        </w:trPr>
        <w:tc>
          <w:tcPr>
            <w:tcW w:w="10105" w:type="dxa"/>
            <w:gridSpan w:val="8"/>
            <w:shd w:val="clear" w:color="auto" w:fill="auto"/>
            <w:noWrap/>
            <w:vAlign w:val="center"/>
            <w:hideMark/>
          </w:tcPr>
          <w:p w14:paraId="62DB69C3" w14:textId="77777777" w:rsidR="00984B2C" w:rsidRPr="00E755E2" w:rsidRDefault="00984B2C" w:rsidP="00984B2C">
            <w:pPr>
              <w:jc w:val="center"/>
              <w:rPr>
                <w:rFonts w:asciiTheme="minorHAnsi" w:hAnsiTheme="minorHAnsi" w:cs="Calibri"/>
                <w:b/>
                <w:bCs/>
                <w:color w:val="000000"/>
                <w:sz w:val="22"/>
                <w:szCs w:val="22"/>
              </w:rPr>
            </w:pPr>
            <w:r w:rsidRPr="00E755E2">
              <w:rPr>
                <w:rFonts w:asciiTheme="minorHAnsi" w:hAnsiTheme="minorHAnsi" w:cs="Calibri"/>
                <w:b/>
                <w:bCs/>
                <w:color w:val="000000"/>
                <w:sz w:val="22"/>
                <w:szCs w:val="22"/>
              </w:rPr>
              <w:t>Details of Assets Created by Agency (TPNODL)</w:t>
            </w:r>
          </w:p>
        </w:tc>
      </w:tr>
      <w:tr w:rsidR="00984B2C" w:rsidRPr="00E755E2" w14:paraId="0936A8B2" w14:textId="77777777" w:rsidTr="00A778B6">
        <w:trPr>
          <w:trHeight w:val="272"/>
        </w:trPr>
        <w:tc>
          <w:tcPr>
            <w:tcW w:w="740" w:type="dxa"/>
            <w:shd w:val="clear" w:color="000000" w:fill="9BC2E6"/>
            <w:noWrap/>
            <w:vAlign w:val="center"/>
            <w:hideMark/>
          </w:tcPr>
          <w:p w14:paraId="2AA67738" w14:textId="77777777" w:rsidR="00984B2C" w:rsidRPr="00E755E2" w:rsidRDefault="00984B2C">
            <w:pPr>
              <w:jc w:val="center"/>
              <w:rPr>
                <w:rFonts w:asciiTheme="minorHAnsi" w:hAnsiTheme="minorHAnsi" w:cs="Calibri"/>
                <w:b/>
                <w:bCs/>
                <w:color w:val="000000"/>
                <w:sz w:val="22"/>
                <w:szCs w:val="22"/>
              </w:rPr>
            </w:pPr>
            <w:r w:rsidRPr="00E755E2">
              <w:rPr>
                <w:rFonts w:asciiTheme="minorHAnsi" w:hAnsiTheme="minorHAnsi" w:cs="Calibri"/>
                <w:b/>
                <w:bCs/>
                <w:color w:val="000000"/>
                <w:sz w:val="22"/>
                <w:szCs w:val="22"/>
              </w:rPr>
              <w:t> </w:t>
            </w:r>
          </w:p>
        </w:tc>
        <w:tc>
          <w:tcPr>
            <w:tcW w:w="2623" w:type="dxa"/>
            <w:shd w:val="clear" w:color="000000" w:fill="9BC2E6"/>
            <w:noWrap/>
            <w:vAlign w:val="center"/>
            <w:hideMark/>
          </w:tcPr>
          <w:p w14:paraId="4F38712A" w14:textId="77777777" w:rsidR="00984B2C" w:rsidRPr="00E755E2" w:rsidRDefault="00984B2C">
            <w:pPr>
              <w:rPr>
                <w:rFonts w:asciiTheme="minorHAnsi" w:hAnsiTheme="minorHAnsi" w:cs="Calibri"/>
                <w:b/>
                <w:bCs/>
                <w:color w:val="000000"/>
                <w:sz w:val="22"/>
                <w:szCs w:val="22"/>
              </w:rPr>
            </w:pPr>
            <w:r w:rsidRPr="00E755E2">
              <w:rPr>
                <w:rFonts w:asciiTheme="minorHAnsi" w:hAnsiTheme="minorHAnsi" w:cs="Calibri"/>
                <w:b/>
                <w:bCs/>
                <w:color w:val="000000"/>
                <w:sz w:val="22"/>
                <w:szCs w:val="22"/>
              </w:rPr>
              <w:t>By TPNODL</w:t>
            </w:r>
          </w:p>
        </w:tc>
        <w:tc>
          <w:tcPr>
            <w:tcW w:w="1582" w:type="dxa"/>
            <w:shd w:val="clear" w:color="000000" w:fill="9BC2E6"/>
            <w:noWrap/>
            <w:vAlign w:val="center"/>
            <w:hideMark/>
          </w:tcPr>
          <w:p w14:paraId="435A3F96" w14:textId="77777777" w:rsidR="00984B2C" w:rsidRPr="00E755E2" w:rsidRDefault="00984B2C" w:rsidP="00984B2C">
            <w:pPr>
              <w:jc w:val="center"/>
              <w:rPr>
                <w:rFonts w:asciiTheme="minorHAnsi" w:hAnsiTheme="minorHAnsi" w:cs="Calibri"/>
                <w:b/>
                <w:bCs/>
                <w:color w:val="000000"/>
                <w:sz w:val="22"/>
                <w:szCs w:val="22"/>
              </w:rPr>
            </w:pPr>
            <w:r w:rsidRPr="00E755E2">
              <w:rPr>
                <w:rFonts w:asciiTheme="minorHAnsi" w:hAnsiTheme="minorHAnsi" w:cs="Calibri"/>
                <w:b/>
                <w:bCs/>
                <w:color w:val="000000"/>
                <w:sz w:val="22"/>
                <w:szCs w:val="22"/>
              </w:rPr>
              <w:t>Completed</w:t>
            </w:r>
          </w:p>
        </w:tc>
        <w:tc>
          <w:tcPr>
            <w:tcW w:w="0" w:type="auto"/>
            <w:shd w:val="clear" w:color="000000" w:fill="9BC2E6"/>
            <w:noWrap/>
            <w:vAlign w:val="center"/>
            <w:hideMark/>
          </w:tcPr>
          <w:p w14:paraId="78462379" w14:textId="77777777" w:rsidR="00984B2C" w:rsidRPr="00E755E2" w:rsidRDefault="00984B2C" w:rsidP="00984B2C">
            <w:pPr>
              <w:jc w:val="center"/>
              <w:rPr>
                <w:rFonts w:asciiTheme="minorHAnsi" w:hAnsiTheme="minorHAnsi" w:cs="Calibri"/>
                <w:b/>
                <w:bCs/>
                <w:color w:val="000000"/>
                <w:sz w:val="22"/>
                <w:szCs w:val="22"/>
              </w:rPr>
            </w:pPr>
            <w:r w:rsidRPr="00E755E2">
              <w:rPr>
                <w:rFonts w:asciiTheme="minorHAnsi" w:hAnsiTheme="minorHAnsi" w:cs="Calibri"/>
                <w:b/>
                <w:bCs/>
                <w:color w:val="000000"/>
                <w:sz w:val="22"/>
                <w:szCs w:val="22"/>
              </w:rPr>
              <w:t>WIP</w:t>
            </w:r>
          </w:p>
        </w:tc>
        <w:tc>
          <w:tcPr>
            <w:tcW w:w="0" w:type="auto"/>
            <w:shd w:val="clear" w:color="000000" w:fill="9BC2E6"/>
            <w:noWrap/>
            <w:vAlign w:val="center"/>
            <w:hideMark/>
          </w:tcPr>
          <w:p w14:paraId="35CBCBD3" w14:textId="77777777" w:rsidR="00984B2C" w:rsidRPr="00E755E2" w:rsidRDefault="00984B2C" w:rsidP="00984B2C">
            <w:pPr>
              <w:jc w:val="center"/>
              <w:rPr>
                <w:rFonts w:asciiTheme="minorHAnsi" w:hAnsiTheme="minorHAnsi" w:cs="Calibri"/>
                <w:b/>
                <w:bCs/>
                <w:color w:val="000000"/>
                <w:sz w:val="22"/>
                <w:szCs w:val="22"/>
              </w:rPr>
            </w:pPr>
            <w:r w:rsidRPr="00E755E2">
              <w:rPr>
                <w:rFonts w:asciiTheme="minorHAnsi" w:hAnsiTheme="minorHAnsi" w:cs="Calibri"/>
                <w:b/>
                <w:bCs/>
                <w:color w:val="000000"/>
                <w:sz w:val="22"/>
                <w:szCs w:val="22"/>
              </w:rPr>
              <w:t>Total</w:t>
            </w:r>
          </w:p>
        </w:tc>
        <w:tc>
          <w:tcPr>
            <w:tcW w:w="0" w:type="auto"/>
            <w:shd w:val="clear" w:color="000000" w:fill="9BC2E6"/>
            <w:noWrap/>
            <w:vAlign w:val="center"/>
            <w:hideMark/>
          </w:tcPr>
          <w:p w14:paraId="665722A9" w14:textId="77777777" w:rsidR="00984B2C" w:rsidRPr="00E755E2" w:rsidRDefault="00984B2C" w:rsidP="00984B2C">
            <w:pPr>
              <w:jc w:val="center"/>
              <w:rPr>
                <w:rFonts w:asciiTheme="minorHAnsi" w:hAnsiTheme="minorHAnsi" w:cs="Calibri"/>
                <w:b/>
                <w:bCs/>
                <w:color w:val="000000"/>
                <w:sz w:val="22"/>
                <w:szCs w:val="22"/>
              </w:rPr>
            </w:pPr>
            <w:r w:rsidRPr="00E755E2">
              <w:rPr>
                <w:rFonts w:asciiTheme="minorHAnsi" w:hAnsiTheme="minorHAnsi" w:cs="Calibri"/>
                <w:b/>
                <w:bCs/>
                <w:color w:val="000000"/>
                <w:sz w:val="22"/>
                <w:szCs w:val="22"/>
              </w:rPr>
              <w:t>Completed</w:t>
            </w:r>
          </w:p>
        </w:tc>
        <w:tc>
          <w:tcPr>
            <w:tcW w:w="0" w:type="auto"/>
            <w:shd w:val="clear" w:color="000000" w:fill="9BC2E6"/>
            <w:noWrap/>
            <w:vAlign w:val="center"/>
            <w:hideMark/>
          </w:tcPr>
          <w:p w14:paraId="37D99266" w14:textId="77777777" w:rsidR="00984B2C" w:rsidRPr="00E755E2" w:rsidRDefault="00984B2C" w:rsidP="00984B2C">
            <w:pPr>
              <w:jc w:val="center"/>
              <w:rPr>
                <w:rFonts w:asciiTheme="minorHAnsi" w:hAnsiTheme="minorHAnsi" w:cs="Calibri"/>
                <w:b/>
                <w:bCs/>
                <w:color w:val="000000"/>
                <w:sz w:val="22"/>
                <w:szCs w:val="22"/>
              </w:rPr>
            </w:pPr>
            <w:r w:rsidRPr="00E755E2">
              <w:rPr>
                <w:rFonts w:asciiTheme="minorHAnsi" w:hAnsiTheme="minorHAnsi" w:cs="Calibri"/>
                <w:b/>
                <w:bCs/>
                <w:color w:val="000000"/>
                <w:sz w:val="22"/>
                <w:szCs w:val="22"/>
              </w:rPr>
              <w:t>WIP</w:t>
            </w:r>
          </w:p>
        </w:tc>
        <w:tc>
          <w:tcPr>
            <w:tcW w:w="0" w:type="auto"/>
            <w:shd w:val="clear" w:color="000000" w:fill="9BC2E6"/>
            <w:noWrap/>
            <w:vAlign w:val="center"/>
            <w:hideMark/>
          </w:tcPr>
          <w:p w14:paraId="30D22733" w14:textId="77777777" w:rsidR="00984B2C" w:rsidRPr="00E755E2" w:rsidRDefault="00984B2C" w:rsidP="00984B2C">
            <w:pPr>
              <w:jc w:val="center"/>
              <w:rPr>
                <w:rFonts w:asciiTheme="minorHAnsi" w:hAnsiTheme="minorHAnsi" w:cs="Calibri"/>
                <w:b/>
                <w:bCs/>
                <w:color w:val="000000"/>
                <w:sz w:val="22"/>
                <w:szCs w:val="22"/>
              </w:rPr>
            </w:pPr>
            <w:r w:rsidRPr="00E755E2">
              <w:rPr>
                <w:rFonts w:asciiTheme="minorHAnsi" w:hAnsiTheme="minorHAnsi" w:cs="Calibri"/>
                <w:b/>
                <w:bCs/>
                <w:color w:val="000000"/>
                <w:sz w:val="22"/>
                <w:szCs w:val="22"/>
              </w:rPr>
              <w:t>Total</w:t>
            </w:r>
          </w:p>
        </w:tc>
      </w:tr>
      <w:tr w:rsidR="00984B2C" w:rsidRPr="00E755E2" w14:paraId="1B2EA74C" w14:textId="77777777" w:rsidTr="00A778B6">
        <w:trPr>
          <w:trHeight w:val="272"/>
        </w:trPr>
        <w:tc>
          <w:tcPr>
            <w:tcW w:w="740" w:type="dxa"/>
            <w:shd w:val="clear" w:color="auto" w:fill="auto"/>
            <w:noWrap/>
            <w:vAlign w:val="center"/>
            <w:hideMark/>
          </w:tcPr>
          <w:p w14:paraId="10F26DFD" w14:textId="77777777" w:rsidR="00984B2C" w:rsidRPr="00E755E2" w:rsidRDefault="00984B2C">
            <w:pPr>
              <w:jc w:val="center"/>
              <w:rPr>
                <w:rFonts w:asciiTheme="minorHAnsi" w:hAnsiTheme="minorHAnsi" w:cs="Calibri"/>
                <w:b/>
                <w:bCs/>
                <w:color w:val="000000"/>
                <w:sz w:val="22"/>
                <w:szCs w:val="22"/>
              </w:rPr>
            </w:pPr>
            <w:r w:rsidRPr="00E755E2">
              <w:rPr>
                <w:rFonts w:asciiTheme="minorHAnsi" w:hAnsiTheme="minorHAnsi" w:cs="Calibri"/>
                <w:b/>
                <w:bCs/>
                <w:color w:val="000000"/>
                <w:sz w:val="22"/>
                <w:szCs w:val="22"/>
              </w:rPr>
              <w:t>1</w:t>
            </w:r>
          </w:p>
        </w:tc>
        <w:tc>
          <w:tcPr>
            <w:tcW w:w="2623" w:type="dxa"/>
            <w:shd w:val="clear" w:color="auto" w:fill="auto"/>
            <w:noWrap/>
            <w:vAlign w:val="center"/>
            <w:hideMark/>
          </w:tcPr>
          <w:p w14:paraId="3F7234AA" w14:textId="77777777" w:rsidR="00984B2C" w:rsidRPr="00E755E2" w:rsidRDefault="00984B2C">
            <w:pPr>
              <w:rPr>
                <w:rFonts w:asciiTheme="minorHAnsi" w:hAnsiTheme="minorHAnsi" w:cs="Calibri"/>
                <w:color w:val="000000"/>
                <w:sz w:val="22"/>
                <w:szCs w:val="22"/>
              </w:rPr>
            </w:pPr>
            <w:r w:rsidRPr="00E755E2">
              <w:rPr>
                <w:rFonts w:asciiTheme="minorHAnsi" w:hAnsiTheme="minorHAnsi" w:cs="Calibri"/>
                <w:color w:val="000000"/>
                <w:sz w:val="22"/>
                <w:szCs w:val="22"/>
              </w:rPr>
              <w:t>SDMF-CYCLONE STRUCTURE-Grant</w:t>
            </w:r>
          </w:p>
        </w:tc>
        <w:tc>
          <w:tcPr>
            <w:tcW w:w="1582" w:type="dxa"/>
            <w:shd w:val="clear" w:color="auto" w:fill="auto"/>
            <w:noWrap/>
            <w:vAlign w:val="center"/>
            <w:hideMark/>
          </w:tcPr>
          <w:p w14:paraId="1B5B289D" w14:textId="77777777" w:rsidR="00984B2C" w:rsidRPr="00E755E2" w:rsidRDefault="00984B2C" w:rsidP="00984B2C">
            <w:pPr>
              <w:jc w:val="center"/>
              <w:rPr>
                <w:rFonts w:asciiTheme="minorHAnsi" w:hAnsiTheme="minorHAnsi" w:cs="Calibri"/>
                <w:color w:val="000000"/>
                <w:sz w:val="22"/>
                <w:szCs w:val="22"/>
              </w:rPr>
            </w:pPr>
          </w:p>
        </w:tc>
        <w:tc>
          <w:tcPr>
            <w:tcW w:w="0" w:type="auto"/>
            <w:shd w:val="clear" w:color="auto" w:fill="auto"/>
            <w:noWrap/>
            <w:vAlign w:val="center"/>
            <w:hideMark/>
          </w:tcPr>
          <w:p w14:paraId="1331D41F" w14:textId="77777777" w:rsidR="00984B2C" w:rsidRPr="00E755E2" w:rsidRDefault="00984B2C" w:rsidP="00984B2C">
            <w:pPr>
              <w:jc w:val="center"/>
              <w:rPr>
                <w:rFonts w:asciiTheme="minorHAnsi" w:hAnsiTheme="minorHAnsi"/>
                <w:sz w:val="22"/>
                <w:szCs w:val="22"/>
              </w:rPr>
            </w:pPr>
          </w:p>
        </w:tc>
        <w:tc>
          <w:tcPr>
            <w:tcW w:w="0" w:type="auto"/>
            <w:shd w:val="clear" w:color="auto" w:fill="auto"/>
            <w:noWrap/>
            <w:vAlign w:val="center"/>
            <w:hideMark/>
          </w:tcPr>
          <w:p w14:paraId="79A36EDE" w14:textId="2FB63657" w:rsidR="00984B2C" w:rsidRPr="00E755E2" w:rsidRDefault="00984B2C" w:rsidP="00984B2C">
            <w:pPr>
              <w:jc w:val="center"/>
              <w:rPr>
                <w:rFonts w:asciiTheme="minorHAnsi" w:hAnsiTheme="minorHAnsi" w:cs="Calibri"/>
                <w:b/>
                <w:bCs/>
                <w:color w:val="000000"/>
                <w:sz w:val="22"/>
                <w:szCs w:val="22"/>
              </w:rPr>
            </w:pPr>
            <w:r w:rsidRPr="00E755E2">
              <w:rPr>
                <w:rFonts w:asciiTheme="minorHAnsi" w:hAnsiTheme="minorHAnsi" w:cs="Calibri"/>
                <w:b/>
                <w:bCs/>
                <w:color w:val="000000"/>
                <w:sz w:val="22"/>
                <w:szCs w:val="22"/>
              </w:rPr>
              <w:t>-</w:t>
            </w:r>
          </w:p>
        </w:tc>
        <w:tc>
          <w:tcPr>
            <w:tcW w:w="0" w:type="auto"/>
            <w:shd w:val="clear" w:color="auto" w:fill="auto"/>
            <w:noWrap/>
            <w:vAlign w:val="center"/>
            <w:hideMark/>
          </w:tcPr>
          <w:p w14:paraId="0DE1310A" w14:textId="0EE6DDF4" w:rsidR="00984B2C" w:rsidRPr="00E755E2" w:rsidRDefault="00984B2C" w:rsidP="00984B2C">
            <w:pPr>
              <w:jc w:val="center"/>
              <w:rPr>
                <w:rFonts w:asciiTheme="minorHAnsi" w:hAnsiTheme="minorHAnsi" w:cs="Calibri"/>
                <w:color w:val="000000"/>
                <w:sz w:val="22"/>
                <w:szCs w:val="22"/>
              </w:rPr>
            </w:pPr>
            <w:r w:rsidRPr="00E755E2">
              <w:rPr>
                <w:rFonts w:asciiTheme="minorHAnsi" w:hAnsiTheme="minorHAnsi" w:cs="Calibri"/>
                <w:color w:val="000000"/>
                <w:sz w:val="22"/>
                <w:szCs w:val="22"/>
              </w:rPr>
              <w:t>48.12</w:t>
            </w:r>
          </w:p>
        </w:tc>
        <w:tc>
          <w:tcPr>
            <w:tcW w:w="0" w:type="auto"/>
            <w:shd w:val="clear" w:color="auto" w:fill="auto"/>
            <w:noWrap/>
            <w:vAlign w:val="center"/>
            <w:hideMark/>
          </w:tcPr>
          <w:p w14:paraId="1322FFD0" w14:textId="5638EA04" w:rsidR="00984B2C" w:rsidRPr="00E755E2" w:rsidRDefault="00984B2C" w:rsidP="00984B2C">
            <w:pPr>
              <w:jc w:val="center"/>
              <w:rPr>
                <w:rFonts w:asciiTheme="minorHAnsi" w:hAnsiTheme="minorHAnsi" w:cs="Calibri"/>
                <w:color w:val="000000"/>
                <w:sz w:val="22"/>
                <w:szCs w:val="22"/>
              </w:rPr>
            </w:pPr>
            <w:r w:rsidRPr="00E755E2">
              <w:rPr>
                <w:rFonts w:asciiTheme="minorHAnsi" w:hAnsiTheme="minorHAnsi" w:cs="Calibri"/>
                <w:color w:val="000000"/>
                <w:sz w:val="22"/>
                <w:szCs w:val="22"/>
              </w:rPr>
              <w:t>5.06</w:t>
            </w:r>
          </w:p>
        </w:tc>
        <w:tc>
          <w:tcPr>
            <w:tcW w:w="0" w:type="auto"/>
            <w:shd w:val="clear" w:color="auto" w:fill="auto"/>
            <w:noWrap/>
            <w:vAlign w:val="center"/>
            <w:hideMark/>
          </w:tcPr>
          <w:p w14:paraId="40BC845C" w14:textId="3A36DEA9" w:rsidR="00984B2C" w:rsidRPr="00E755E2" w:rsidRDefault="00984B2C" w:rsidP="00984B2C">
            <w:pPr>
              <w:jc w:val="center"/>
              <w:rPr>
                <w:rFonts w:asciiTheme="minorHAnsi" w:hAnsiTheme="minorHAnsi" w:cs="Calibri"/>
                <w:color w:val="000000"/>
                <w:sz w:val="22"/>
                <w:szCs w:val="22"/>
              </w:rPr>
            </w:pPr>
            <w:r w:rsidRPr="00E755E2">
              <w:rPr>
                <w:rFonts w:asciiTheme="minorHAnsi" w:hAnsiTheme="minorHAnsi" w:cs="Calibri"/>
                <w:color w:val="000000"/>
                <w:sz w:val="22"/>
                <w:szCs w:val="22"/>
              </w:rPr>
              <w:t>53.18</w:t>
            </w:r>
          </w:p>
        </w:tc>
      </w:tr>
      <w:tr w:rsidR="00984B2C" w:rsidRPr="00E755E2" w14:paraId="0BF10C5A" w14:textId="77777777" w:rsidTr="00A778B6">
        <w:trPr>
          <w:trHeight w:val="272"/>
        </w:trPr>
        <w:tc>
          <w:tcPr>
            <w:tcW w:w="740" w:type="dxa"/>
            <w:shd w:val="clear" w:color="auto" w:fill="auto"/>
            <w:noWrap/>
            <w:vAlign w:val="center"/>
            <w:hideMark/>
          </w:tcPr>
          <w:p w14:paraId="67D4DB55" w14:textId="77777777" w:rsidR="00984B2C" w:rsidRPr="00E755E2" w:rsidRDefault="00984B2C">
            <w:pPr>
              <w:jc w:val="center"/>
              <w:rPr>
                <w:rFonts w:asciiTheme="minorHAnsi" w:hAnsiTheme="minorHAnsi" w:cs="Calibri"/>
                <w:b/>
                <w:bCs/>
                <w:color w:val="000000"/>
                <w:sz w:val="22"/>
                <w:szCs w:val="22"/>
              </w:rPr>
            </w:pPr>
            <w:r w:rsidRPr="00E755E2">
              <w:rPr>
                <w:rFonts w:asciiTheme="minorHAnsi" w:hAnsiTheme="minorHAnsi" w:cs="Calibri"/>
                <w:b/>
                <w:bCs/>
                <w:color w:val="000000"/>
                <w:sz w:val="22"/>
                <w:szCs w:val="22"/>
              </w:rPr>
              <w:t>2</w:t>
            </w:r>
          </w:p>
        </w:tc>
        <w:tc>
          <w:tcPr>
            <w:tcW w:w="2623" w:type="dxa"/>
            <w:shd w:val="clear" w:color="auto" w:fill="auto"/>
            <w:noWrap/>
            <w:vAlign w:val="center"/>
            <w:hideMark/>
          </w:tcPr>
          <w:p w14:paraId="6BEF4C14" w14:textId="77777777" w:rsidR="00984B2C" w:rsidRPr="00E755E2" w:rsidRDefault="00984B2C">
            <w:pPr>
              <w:rPr>
                <w:rFonts w:asciiTheme="minorHAnsi" w:hAnsiTheme="minorHAnsi" w:cs="Calibri"/>
                <w:color w:val="000000"/>
                <w:sz w:val="22"/>
                <w:szCs w:val="22"/>
              </w:rPr>
            </w:pPr>
            <w:r w:rsidRPr="00E755E2">
              <w:rPr>
                <w:rFonts w:asciiTheme="minorHAnsi" w:hAnsiTheme="minorHAnsi" w:cs="Calibri"/>
                <w:color w:val="000000"/>
                <w:sz w:val="22"/>
                <w:szCs w:val="22"/>
              </w:rPr>
              <w:t>SDMF-FLOOD MITIGATION-Grant</w:t>
            </w:r>
          </w:p>
        </w:tc>
        <w:tc>
          <w:tcPr>
            <w:tcW w:w="1582" w:type="dxa"/>
            <w:shd w:val="clear" w:color="auto" w:fill="auto"/>
            <w:noWrap/>
            <w:vAlign w:val="center"/>
            <w:hideMark/>
          </w:tcPr>
          <w:p w14:paraId="5646934D" w14:textId="77777777" w:rsidR="00984B2C" w:rsidRPr="00E755E2" w:rsidRDefault="00984B2C" w:rsidP="00984B2C">
            <w:pPr>
              <w:jc w:val="center"/>
              <w:rPr>
                <w:rFonts w:asciiTheme="minorHAnsi" w:hAnsiTheme="minorHAnsi" w:cs="Calibri"/>
                <w:color w:val="000000"/>
                <w:sz w:val="22"/>
                <w:szCs w:val="22"/>
              </w:rPr>
            </w:pPr>
          </w:p>
        </w:tc>
        <w:tc>
          <w:tcPr>
            <w:tcW w:w="0" w:type="auto"/>
            <w:shd w:val="clear" w:color="auto" w:fill="auto"/>
            <w:noWrap/>
            <w:vAlign w:val="center"/>
            <w:hideMark/>
          </w:tcPr>
          <w:p w14:paraId="6C8DCA82" w14:textId="77777777" w:rsidR="00984B2C" w:rsidRPr="00E755E2" w:rsidRDefault="00984B2C" w:rsidP="00984B2C">
            <w:pPr>
              <w:jc w:val="center"/>
              <w:rPr>
                <w:rFonts w:asciiTheme="minorHAnsi" w:hAnsiTheme="minorHAnsi"/>
                <w:sz w:val="22"/>
                <w:szCs w:val="22"/>
              </w:rPr>
            </w:pPr>
          </w:p>
        </w:tc>
        <w:tc>
          <w:tcPr>
            <w:tcW w:w="0" w:type="auto"/>
            <w:shd w:val="clear" w:color="auto" w:fill="auto"/>
            <w:noWrap/>
            <w:vAlign w:val="center"/>
            <w:hideMark/>
          </w:tcPr>
          <w:p w14:paraId="169EDFC1" w14:textId="7CF566F2" w:rsidR="00984B2C" w:rsidRPr="00E755E2" w:rsidRDefault="00984B2C" w:rsidP="00984B2C">
            <w:pPr>
              <w:jc w:val="center"/>
              <w:rPr>
                <w:rFonts w:asciiTheme="minorHAnsi" w:hAnsiTheme="minorHAnsi" w:cs="Calibri"/>
                <w:b/>
                <w:bCs/>
                <w:color w:val="000000"/>
                <w:sz w:val="22"/>
                <w:szCs w:val="22"/>
              </w:rPr>
            </w:pPr>
            <w:r w:rsidRPr="00E755E2">
              <w:rPr>
                <w:rFonts w:asciiTheme="minorHAnsi" w:hAnsiTheme="minorHAnsi" w:cs="Calibri"/>
                <w:b/>
                <w:bCs/>
                <w:color w:val="000000"/>
                <w:sz w:val="22"/>
                <w:szCs w:val="22"/>
              </w:rPr>
              <w:t>-</w:t>
            </w:r>
          </w:p>
        </w:tc>
        <w:tc>
          <w:tcPr>
            <w:tcW w:w="0" w:type="auto"/>
            <w:shd w:val="clear" w:color="auto" w:fill="auto"/>
            <w:noWrap/>
            <w:vAlign w:val="center"/>
            <w:hideMark/>
          </w:tcPr>
          <w:p w14:paraId="67FAB2C5" w14:textId="2F99D42E" w:rsidR="00984B2C" w:rsidRPr="00E755E2" w:rsidRDefault="00984B2C" w:rsidP="00984B2C">
            <w:pPr>
              <w:jc w:val="center"/>
              <w:rPr>
                <w:rFonts w:asciiTheme="minorHAnsi" w:hAnsiTheme="minorHAnsi" w:cs="Calibri"/>
                <w:color w:val="000000"/>
                <w:sz w:val="22"/>
                <w:szCs w:val="22"/>
              </w:rPr>
            </w:pPr>
            <w:r w:rsidRPr="00E755E2">
              <w:rPr>
                <w:rFonts w:asciiTheme="minorHAnsi" w:hAnsiTheme="minorHAnsi" w:cs="Calibri"/>
                <w:color w:val="000000"/>
                <w:sz w:val="22"/>
                <w:szCs w:val="22"/>
              </w:rPr>
              <w:t>11.24</w:t>
            </w:r>
          </w:p>
        </w:tc>
        <w:tc>
          <w:tcPr>
            <w:tcW w:w="0" w:type="auto"/>
            <w:shd w:val="clear" w:color="auto" w:fill="auto"/>
            <w:noWrap/>
            <w:vAlign w:val="center"/>
            <w:hideMark/>
          </w:tcPr>
          <w:p w14:paraId="17A93099" w14:textId="7BA83A15" w:rsidR="00984B2C" w:rsidRPr="00E755E2" w:rsidRDefault="00984B2C" w:rsidP="00984B2C">
            <w:pPr>
              <w:jc w:val="center"/>
              <w:rPr>
                <w:rFonts w:asciiTheme="minorHAnsi" w:hAnsiTheme="minorHAnsi" w:cs="Calibri"/>
                <w:color w:val="000000"/>
                <w:sz w:val="22"/>
                <w:szCs w:val="22"/>
              </w:rPr>
            </w:pPr>
            <w:r w:rsidRPr="00E755E2">
              <w:rPr>
                <w:rFonts w:asciiTheme="minorHAnsi" w:hAnsiTheme="minorHAnsi" w:cs="Calibri"/>
                <w:color w:val="000000"/>
                <w:sz w:val="22"/>
                <w:szCs w:val="22"/>
              </w:rPr>
              <w:t>1.06</w:t>
            </w:r>
          </w:p>
        </w:tc>
        <w:tc>
          <w:tcPr>
            <w:tcW w:w="0" w:type="auto"/>
            <w:shd w:val="clear" w:color="auto" w:fill="auto"/>
            <w:noWrap/>
            <w:vAlign w:val="center"/>
            <w:hideMark/>
          </w:tcPr>
          <w:p w14:paraId="50BA08D1" w14:textId="651F3BBF" w:rsidR="00984B2C" w:rsidRPr="00E755E2" w:rsidRDefault="00984B2C" w:rsidP="00984B2C">
            <w:pPr>
              <w:jc w:val="center"/>
              <w:rPr>
                <w:rFonts w:asciiTheme="minorHAnsi" w:hAnsiTheme="minorHAnsi" w:cs="Calibri"/>
                <w:color w:val="000000"/>
                <w:sz w:val="22"/>
                <w:szCs w:val="22"/>
              </w:rPr>
            </w:pPr>
            <w:r w:rsidRPr="00E755E2">
              <w:rPr>
                <w:rFonts w:asciiTheme="minorHAnsi" w:hAnsiTheme="minorHAnsi" w:cs="Calibri"/>
                <w:color w:val="000000"/>
                <w:sz w:val="22"/>
                <w:szCs w:val="22"/>
              </w:rPr>
              <w:t>12.30</w:t>
            </w:r>
          </w:p>
        </w:tc>
      </w:tr>
      <w:tr w:rsidR="00984B2C" w:rsidRPr="00E755E2" w14:paraId="18FD4851" w14:textId="77777777" w:rsidTr="00A778B6">
        <w:trPr>
          <w:trHeight w:val="272"/>
        </w:trPr>
        <w:tc>
          <w:tcPr>
            <w:tcW w:w="740" w:type="dxa"/>
            <w:shd w:val="clear" w:color="auto" w:fill="auto"/>
            <w:noWrap/>
            <w:vAlign w:val="center"/>
            <w:hideMark/>
          </w:tcPr>
          <w:p w14:paraId="397384AE" w14:textId="77777777" w:rsidR="00984B2C" w:rsidRPr="00E755E2" w:rsidRDefault="00984B2C">
            <w:pPr>
              <w:jc w:val="center"/>
              <w:rPr>
                <w:rFonts w:asciiTheme="minorHAnsi" w:hAnsiTheme="minorHAnsi" w:cs="Calibri"/>
                <w:b/>
                <w:bCs/>
                <w:color w:val="000000"/>
                <w:sz w:val="22"/>
                <w:szCs w:val="22"/>
              </w:rPr>
            </w:pPr>
            <w:r w:rsidRPr="00E755E2">
              <w:rPr>
                <w:rFonts w:asciiTheme="minorHAnsi" w:hAnsiTheme="minorHAnsi" w:cs="Calibri"/>
                <w:b/>
                <w:bCs/>
                <w:color w:val="000000"/>
                <w:sz w:val="22"/>
                <w:szCs w:val="22"/>
              </w:rPr>
              <w:t>3</w:t>
            </w:r>
          </w:p>
        </w:tc>
        <w:tc>
          <w:tcPr>
            <w:tcW w:w="2623" w:type="dxa"/>
            <w:shd w:val="clear" w:color="auto" w:fill="auto"/>
            <w:noWrap/>
            <w:vAlign w:val="center"/>
            <w:hideMark/>
          </w:tcPr>
          <w:p w14:paraId="1FB5D297" w14:textId="77777777" w:rsidR="00984B2C" w:rsidRPr="00E755E2" w:rsidRDefault="00984B2C">
            <w:pPr>
              <w:rPr>
                <w:rFonts w:asciiTheme="minorHAnsi" w:hAnsiTheme="minorHAnsi" w:cs="Calibri"/>
                <w:color w:val="000000"/>
                <w:sz w:val="22"/>
                <w:szCs w:val="22"/>
              </w:rPr>
            </w:pPr>
            <w:r w:rsidRPr="00E755E2">
              <w:rPr>
                <w:rFonts w:asciiTheme="minorHAnsi" w:hAnsiTheme="minorHAnsi" w:cs="Calibri"/>
                <w:color w:val="000000"/>
                <w:sz w:val="22"/>
                <w:szCs w:val="22"/>
              </w:rPr>
              <w:t>ODSSP PHASE-V-Grant</w:t>
            </w:r>
          </w:p>
        </w:tc>
        <w:tc>
          <w:tcPr>
            <w:tcW w:w="1582" w:type="dxa"/>
            <w:shd w:val="clear" w:color="auto" w:fill="auto"/>
            <w:noWrap/>
            <w:vAlign w:val="center"/>
            <w:hideMark/>
          </w:tcPr>
          <w:p w14:paraId="1D5CBA5B" w14:textId="77777777" w:rsidR="00984B2C" w:rsidRPr="00E755E2" w:rsidRDefault="00984B2C" w:rsidP="00984B2C">
            <w:pPr>
              <w:jc w:val="center"/>
              <w:rPr>
                <w:rFonts w:asciiTheme="minorHAnsi" w:hAnsiTheme="minorHAnsi" w:cs="Calibri"/>
                <w:color w:val="000000"/>
                <w:sz w:val="22"/>
                <w:szCs w:val="22"/>
              </w:rPr>
            </w:pPr>
          </w:p>
        </w:tc>
        <w:tc>
          <w:tcPr>
            <w:tcW w:w="0" w:type="auto"/>
            <w:shd w:val="clear" w:color="auto" w:fill="auto"/>
            <w:noWrap/>
            <w:vAlign w:val="center"/>
            <w:hideMark/>
          </w:tcPr>
          <w:p w14:paraId="09660430" w14:textId="77777777" w:rsidR="00984B2C" w:rsidRPr="00E755E2" w:rsidRDefault="00984B2C" w:rsidP="00984B2C">
            <w:pPr>
              <w:jc w:val="center"/>
              <w:rPr>
                <w:rFonts w:asciiTheme="minorHAnsi" w:hAnsiTheme="minorHAnsi"/>
                <w:sz w:val="22"/>
                <w:szCs w:val="22"/>
              </w:rPr>
            </w:pPr>
          </w:p>
        </w:tc>
        <w:tc>
          <w:tcPr>
            <w:tcW w:w="0" w:type="auto"/>
            <w:shd w:val="clear" w:color="auto" w:fill="auto"/>
            <w:noWrap/>
            <w:vAlign w:val="center"/>
            <w:hideMark/>
          </w:tcPr>
          <w:p w14:paraId="29BB51B9" w14:textId="1B393ED9" w:rsidR="00984B2C" w:rsidRPr="00E755E2" w:rsidRDefault="00984B2C" w:rsidP="00984B2C">
            <w:pPr>
              <w:jc w:val="center"/>
              <w:rPr>
                <w:rFonts w:asciiTheme="minorHAnsi" w:hAnsiTheme="minorHAnsi" w:cs="Calibri"/>
                <w:b/>
                <w:bCs/>
                <w:color w:val="000000"/>
                <w:sz w:val="22"/>
                <w:szCs w:val="22"/>
              </w:rPr>
            </w:pPr>
            <w:r w:rsidRPr="00E755E2">
              <w:rPr>
                <w:rFonts w:asciiTheme="minorHAnsi" w:hAnsiTheme="minorHAnsi" w:cs="Calibri"/>
                <w:b/>
                <w:bCs/>
                <w:color w:val="000000"/>
                <w:sz w:val="22"/>
                <w:szCs w:val="22"/>
              </w:rPr>
              <w:t>-</w:t>
            </w:r>
          </w:p>
        </w:tc>
        <w:tc>
          <w:tcPr>
            <w:tcW w:w="0" w:type="auto"/>
            <w:shd w:val="clear" w:color="auto" w:fill="auto"/>
            <w:noWrap/>
            <w:vAlign w:val="center"/>
            <w:hideMark/>
          </w:tcPr>
          <w:p w14:paraId="123AE719" w14:textId="162EA722" w:rsidR="00984B2C" w:rsidRPr="00E755E2" w:rsidRDefault="00984B2C" w:rsidP="00984B2C">
            <w:pPr>
              <w:jc w:val="center"/>
              <w:rPr>
                <w:rFonts w:asciiTheme="minorHAnsi" w:hAnsiTheme="minorHAnsi" w:cs="Calibri"/>
                <w:color w:val="000000"/>
                <w:sz w:val="22"/>
                <w:szCs w:val="22"/>
              </w:rPr>
            </w:pPr>
            <w:r w:rsidRPr="00E755E2">
              <w:rPr>
                <w:rFonts w:asciiTheme="minorHAnsi" w:hAnsiTheme="minorHAnsi" w:cs="Calibri"/>
                <w:color w:val="000000"/>
                <w:sz w:val="22"/>
                <w:szCs w:val="22"/>
              </w:rPr>
              <w:t>154.72</w:t>
            </w:r>
          </w:p>
        </w:tc>
        <w:tc>
          <w:tcPr>
            <w:tcW w:w="0" w:type="auto"/>
            <w:shd w:val="clear" w:color="auto" w:fill="auto"/>
            <w:noWrap/>
            <w:vAlign w:val="center"/>
            <w:hideMark/>
          </w:tcPr>
          <w:p w14:paraId="78C06918" w14:textId="098EF63E" w:rsidR="00984B2C" w:rsidRPr="00E755E2" w:rsidRDefault="00984B2C" w:rsidP="00984B2C">
            <w:pPr>
              <w:jc w:val="center"/>
              <w:rPr>
                <w:rFonts w:asciiTheme="minorHAnsi" w:hAnsiTheme="minorHAnsi" w:cs="Calibri"/>
                <w:color w:val="000000"/>
                <w:sz w:val="22"/>
                <w:szCs w:val="22"/>
              </w:rPr>
            </w:pPr>
            <w:r w:rsidRPr="00E755E2">
              <w:rPr>
                <w:rFonts w:asciiTheme="minorHAnsi" w:hAnsiTheme="minorHAnsi" w:cs="Calibri"/>
                <w:color w:val="000000"/>
                <w:sz w:val="22"/>
                <w:szCs w:val="22"/>
              </w:rPr>
              <w:t>76.28</w:t>
            </w:r>
          </w:p>
        </w:tc>
        <w:tc>
          <w:tcPr>
            <w:tcW w:w="0" w:type="auto"/>
            <w:shd w:val="clear" w:color="auto" w:fill="auto"/>
            <w:noWrap/>
            <w:vAlign w:val="center"/>
            <w:hideMark/>
          </w:tcPr>
          <w:p w14:paraId="088CB4B5" w14:textId="4E336B4F" w:rsidR="00984B2C" w:rsidRPr="00E755E2" w:rsidRDefault="00984B2C" w:rsidP="00984B2C">
            <w:pPr>
              <w:jc w:val="center"/>
              <w:rPr>
                <w:rFonts w:asciiTheme="minorHAnsi" w:hAnsiTheme="minorHAnsi" w:cs="Calibri"/>
                <w:color w:val="000000"/>
                <w:sz w:val="22"/>
                <w:szCs w:val="22"/>
              </w:rPr>
            </w:pPr>
            <w:r w:rsidRPr="00E755E2">
              <w:rPr>
                <w:rFonts w:asciiTheme="minorHAnsi" w:hAnsiTheme="minorHAnsi" w:cs="Calibri"/>
                <w:color w:val="000000"/>
                <w:sz w:val="22"/>
                <w:szCs w:val="22"/>
              </w:rPr>
              <w:t>231.00</w:t>
            </w:r>
          </w:p>
        </w:tc>
      </w:tr>
      <w:tr w:rsidR="00984B2C" w:rsidRPr="00E755E2" w14:paraId="075EDAC6" w14:textId="77777777" w:rsidTr="00A778B6">
        <w:trPr>
          <w:trHeight w:val="272"/>
        </w:trPr>
        <w:tc>
          <w:tcPr>
            <w:tcW w:w="740" w:type="dxa"/>
            <w:shd w:val="clear" w:color="auto" w:fill="auto"/>
            <w:noWrap/>
            <w:vAlign w:val="center"/>
            <w:hideMark/>
          </w:tcPr>
          <w:p w14:paraId="47CC069E" w14:textId="77777777" w:rsidR="00984B2C" w:rsidRPr="00E755E2" w:rsidRDefault="00984B2C">
            <w:pPr>
              <w:jc w:val="center"/>
              <w:rPr>
                <w:rFonts w:asciiTheme="minorHAnsi" w:hAnsiTheme="minorHAnsi" w:cs="Calibri"/>
                <w:b/>
                <w:bCs/>
                <w:color w:val="000000"/>
                <w:sz w:val="22"/>
                <w:szCs w:val="22"/>
              </w:rPr>
            </w:pPr>
            <w:r w:rsidRPr="00E755E2">
              <w:rPr>
                <w:rFonts w:asciiTheme="minorHAnsi" w:hAnsiTheme="minorHAnsi" w:cs="Calibri"/>
                <w:b/>
                <w:bCs/>
                <w:color w:val="000000"/>
                <w:sz w:val="22"/>
                <w:szCs w:val="22"/>
              </w:rPr>
              <w:t>4</w:t>
            </w:r>
          </w:p>
        </w:tc>
        <w:tc>
          <w:tcPr>
            <w:tcW w:w="2623" w:type="dxa"/>
            <w:shd w:val="clear" w:color="auto" w:fill="auto"/>
            <w:noWrap/>
            <w:vAlign w:val="center"/>
            <w:hideMark/>
          </w:tcPr>
          <w:p w14:paraId="7926C844" w14:textId="77777777" w:rsidR="00984B2C" w:rsidRPr="00E755E2" w:rsidRDefault="00984B2C">
            <w:pPr>
              <w:rPr>
                <w:rFonts w:asciiTheme="minorHAnsi" w:hAnsiTheme="minorHAnsi" w:cs="Calibri"/>
                <w:color w:val="000000"/>
                <w:sz w:val="22"/>
                <w:szCs w:val="22"/>
              </w:rPr>
            </w:pPr>
            <w:r w:rsidRPr="00E755E2">
              <w:rPr>
                <w:rFonts w:asciiTheme="minorHAnsi" w:hAnsiTheme="minorHAnsi" w:cs="Calibri"/>
                <w:color w:val="000000"/>
                <w:sz w:val="22"/>
                <w:szCs w:val="22"/>
              </w:rPr>
              <w:t>BGJY on GRID</w:t>
            </w:r>
          </w:p>
        </w:tc>
        <w:tc>
          <w:tcPr>
            <w:tcW w:w="1582" w:type="dxa"/>
            <w:shd w:val="clear" w:color="auto" w:fill="auto"/>
            <w:noWrap/>
            <w:vAlign w:val="center"/>
            <w:hideMark/>
          </w:tcPr>
          <w:p w14:paraId="5FDDD5FB" w14:textId="77777777" w:rsidR="00984B2C" w:rsidRPr="00E755E2" w:rsidRDefault="00984B2C" w:rsidP="00984B2C">
            <w:pPr>
              <w:jc w:val="center"/>
              <w:rPr>
                <w:rFonts w:asciiTheme="minorHAnsi" w:hAnsiTheme="minorHAnsi" w:cs="Calibri"/>
                <w:color w:val="000000"/>
                <w:sz w:val="22"/>
                <w:szCs w:val="22"/>
              </w:rPr>
            </w:pPr>
          </w:p>
        </w:tc>
        <w:tc>
          <w:tcPr>
            <w:tcW w:w="0" w:type="auto"/>
            <w:shd w:val="clear" w:color="auto" w:fill="auto"/>
            <w:noWrap/>
            <w:vAlign w:val="center"/>
            <w:hideMark/>
          </w:tcPr>
          <w:p w14:paraId="5C66F2FF" w14:textId="77777777" w:rsidR="00984B2C" w:rsidRPr="00E755E2" w:rsidRDefault="00984B2C" w:rsidP="00984B2C">
            <w:pPr>
              <w:jc w:val="center"/>
              <w:rPr>
                <w:rFonts w:asciiTheme="minorHAnsi" w:hAnsiTheme="minorHAnsi"/>
                <w:sz w:val="22"/>
                <w:szCs w:val="22"/>
              </w:rPr>
            </w:pPr>
          </w:p>
        </w:tc>
        <w:tc>
          <w:tcPr>
            <w:tcW w:w="0" w:type="auto"/>
            <w:shd w:val="clear" w:color="auto" w:fill="auto"/>
            <w:noWrap/>
            <w:vAlign w:val="center"/>
            <w:hideMark/>
          </w:tcPr>
          <w:p w14:paraId="7485014B" w14:textId="4D108464" w:rsidR="00984B2C" w:rsidRPr="00E755E2" w:rsidRDefault="00984B2C" w:rsidP="00984B2C">
            <w:pPr>
              <w:jc w:val="center"/>
              <w:rPr>
                <w:rFonts w:asciiTheme="minorHAnsi" w:hAnsiTheme="minorHAnsi" w:cs="Calibri"/>
                <w:b/>
                <w:bCs/>
                <w:color w:val="000000"/>
                <w:sz w:val="22"/>
                <w:szCs w:val="22"/>
              </w:rPr>
            </w:pPr>
            <w:r w:rsidRPr="00E755E2">
              <w:rPr>
                <w:rFonts w:asciiTheme="minorHAnsi" w:hAnsiTheme="minorHAnsi" w:cs="Calibri"/>
                <w:b/>
                <w:bCs/>
                <w:color w:val="000000"/>
                <w:sz w:val="22"/>
                <w:szCs w:val="22"/>
              </w:rPr>
              <w:t>-</w:t>
            </w:r>
          </w:p>
        </w:tc>
        <w:tc>
          <w:tcPr>
            <w:tcW w:w="0" w:type="auto"/>
            <w:shd w:val="clear" w:color="auto" w:fill="auto"/>
            <w:noWrap/>
            <w:vAlign w:val="center"/>
            <w:hideMark/>
          </w:tcPr>
          <w:p w14:paraId="2D8F803A" w14:textId="48CF3DB8" w:rsidR="00984B2C" w:rsidRPr="00E755E2" w:rsidRDefault="00984B2C" w:rsidP="00984B2C">
            <w:pPr>
              <w:jc w:val="center"/>
              <w:rPr>
                <w:rFonts w:asciiTheme="minorHAnsi" w:hAnsiTheme="minorHAnsi" w:cs="Calibri"/>
                <w:color w:val="000000"/>
                <w:sz w:val="22"/>
                <w:szCs w:val="22"/>
              </w:rPr>
            </w:pPr>
            <w:r w:rsidRPr="00E755E2">
              <w:rPr>
                <w:rFonts w:asciiTheme="minorHAnsi" w:hAnsiTheme="minorHAnsi" w:cs="Calibri"/>
                <w:color w:val="000000"/>
                <w:sz w:val="22"/>
                <w:szCs w:val="22"/>
              </w:rPr>
              <w:t>48.58</w:t>
            </w:r>
          </w:p>
        </w:tc>
        <w:tc>
          <w:tcPr>
            <w:tcW w:w="0" w:type="auto"/>
            <w:shd w:val="clear" w:color="auto" w:fill="auto"/>
            <w:noWrap/>
            <w:vAlign w:val="center"/>
            <w:hideMark/>
          </w:tcPr>
          <w:p w14:paraId="7536ECC9" w14:textId="274AA47D" w:rsidR="00984B2C" w:rsidRPr="00E755E2" w:rsidRDefault="00984B2C" w:rsidP="00984B2C">
            <w:pPr>
              <w:jc w:val="center"/>
              <w:rPr>
                <w:rFonts w:asciiTheme="minorHAnsi" w:hAnsiTheme="minorHAnsi" w:cs="Calibri"/>
                <w:color w:val="000000"/>
                <w:sz w:val="22"/>
                <w:szCs w:val="22"/>
              </w:rPr>
            </w:pPr>
            <w:r w:rsidRPr="00E755E2">
              <w:rPr>
                <w:rFonts w:asciiTheme="minorHAnsi" w:hAnsiTheme="minorHAnsi" w:cs="Calibri"/>
                <w:color w:val="000000"/>
                <w:sz w:val="22"/>
                <w:szCs w:val="22"/>
              </w:rPr>
              <w:t>12.14</w:t>
            </w:r>
          </w:p>
        </w:tc>
        <w:tc>
          <w:tcPr>
            <w:tcW w:w="0" w:type="auto"/>
            <w:shd w:val="clear" w:color="auto" w:fill="auto"/>
            <w:noWrap/>
            <w:vAlign w:val="center"/>
            <w:hideMark/>
          </w:tcPr>
          <w:p w14:paraId="5726D24E" w14:textId="73BBAC2E" w:rsidR="00984B2C" w:rsidRPr="00E755E2" w:rsidRDefault="00984B2C" w:rsidP="00984B2C">
            <w:pPr>
              <w:jc w:val="center"/>
              <w:rPr>
                <w:rFonts w:asciiTheme="minorHAnsi" w:hAnsiTheme="minorHAnsi" w:cs="Calibri"/>
                <w:color w:val="000000"/>
                <w:sz w:val="22"/>
                <w:szCs w:val="22"/>
              </w:rPr>
            </w:pPr>
            <w:r w:rsidRPr="00E755E2">
              <w:rPr>
                <w:rFonts w:asciiTheme="minorHAnsi" w:hAnsiTheme="minorHAnsi" w:cs="Calibri"/>
                <w:color w:val="000000"/>
                <w:sz w:val="22"/>
                <w:szCs w:val="22"/>
              </w:rPr>
              <w:t>60.72</w:t>
            </w:r>
          </w:p>
        </w:tc>
      </w:tr>
      <w:tr w:rsidR="00984B2C" w:rsidRPr="00E755E2" w14:paraId="2DA3F07C" w14:textId="77777777" w:rsidTr="00A778B6">
        <w:trPr>
          <w:trHeight w:val="272"/>
        </w:trPr>
        <w:tc>
          <w:tcPr>
            <w:tcW w:w="740" w:type="dxa"/>
            <w:shd w:val="clear" w:color="auto" w:fill="auto"/>
            <w:noWrap/>
            <w:vAlign w:val="center"/>
            <w:hideMark/>
          </w:tcPr>
          <w:p w14:paraId="5CFB88A3" w14:textId="77777777" w:rsidR="00984B2C" w:rsidRPr="00E755E2" w:rsidRDefault="00984B2C">
            <w:pPr>
              <w:jc w:val="center"/>
              <w:rPr>
                <w:rFonts w:asciiTheme="minorHAnsi" w:hAnsiTheme="minorHAnsi" w:cs="Calibri"/>
                <w:b/>
                <w:bCs/>
                <w:color w:val="000000"/>
                <w:sz w:val="22"/>
                <w:szCs w:val="22"/>
              </w:rPr>
            </w:pPr>
            <w:r w:rsidRPr="00E755E2">
              <w:rPr>
                <w:rFonts w:asciiTheme="minorHAnsi" w:hAnsiTheme="minorHAnsi" w:cs="Calibri"/>
                <w:b/>
                <w:bCs/>
                <w:color w:val="000000"/>
                <w:sz w:val="22"/>
                <w:szCs w:val="22"/>
              </w:rPr>
              <w:t>5</w:t>
            </w:r>
          </w:p>
        </w:tc>
        <w:tc>
          <w:tcPr>
            <w:tcW w:w="2623" w:type="dxa"/>
            <w:shd w:val="clear" w:color="auto" w:fill="auto"/>
            <w:noWrap/>
            <w:vAlign w:val="center"/>
            <w:hideMark/>
          </w:tcPr>
          <w:p w14:paraId="38B5C396" w14:textId="77777777" w:rsidR="00984B2C" w:rsidRPr="00E755E2" w:rsidRDefault="00984B2C">
            <w:pPr>
              <w:rPr>
                <w:rFonts w:asciiTheme="minorHAnsi" w:hAnsiTheme="minorHAnsi" w:cs="Calibri"/>
                <w:color w:val="000000"/>
                <w:sz w:val="22"/>
                <w:szCs w:val="22"/>
              </w:rPr>
            </w:pPr>
            <w:r w:rsidRPr="00E755E2">
              <w:rPr>
                <w:rFonts w:asciiTheme="minorHAnsi" w:hAnsiTheme="minorHAnsi" w:cs="Calibri"/>
                <w:color w:val="000000"/>
                <w:sz w:val="22"/>
                <w:szCs w:val="22"/>
              </w:rPr>
              <w:t>BGJY Off GRID</w:t>
            </w:r>
          </w:p>
        </w:tc>
        <w:tc>
          <w:tcPr>
            <w:tcW w:w="1582" w:type="dxa"/>
            <w:shd w:val="clear" w:color="auto" w:fill="auto"/>
            <w:noWrap/>
            <w:vAlign w:val="center"/>
            <w:hideMark/>
          </w:tcPr>
          <w:p w14:paraId="301D1A53" w14:textId="77777777" w:rsidR="00984B2C" w:rsidRPr="00E755E2" w:rsidRDefault="00984B2C" w:rsidP="00984B2C">
            <w:pPr>
              <w:jc w:val="center"/>
              <w:rPr>
                <w:rFonts w:asciiTheme="minorHAnsi" w:hAnsiTheme="minorHAnsi" w:cs="Calibri"/>
                <w:color w:val="000000"/>
                <w:sz w:val="22"/>
                <w:szCs w:val="22"/>
              </w:rPr>
            </w:pPr>
          </w:p>
        </w:tc>
        <w:tc>
          <w:tcPr>
            <w:tcW w:w="0" w:type="auto"/>
            <w:shd w:val="clear" w:color="auto" w:fill="auto"/>
            <w:noWrap/>
            <w:vAlign w:val="center"/>
            <w:hideMark/>
          </w:tcPr>
          <w:p w14:paraId="6787AAE8" w14:textId="77777777" w:rsidR="00984B2C" w:rsidRPr="00E755E2" w:rsidRDefault="00984B2C" w:rsidP="00984B2C">
            <w:pPr>
              <w:jc w:val="center"/>
              <w:rPr>
                <w:rFonts w:asciiTheme="minorHAnsi" w:hAnsiTheme="minorHAnsi"/>
                <w:sz w:val="22"/>
                <w:szCs w:val="22"/>
              </w:rPr>
            </w:pPr>
          </w:p>
        </w:tc>
        <w:tc>
          <w:tcPr>
            <w:tcW w:w="0" w:type="auto"/>
            <w:shd w:val="clear" w:color="auto" w:fill="auto"/>
            <w:noWrap/>
            <w:vAlign w:val="center"/>
            <w:hideMark/>
          </w:tcPr>
          <w:p w14:paraId="5AB46E6E" w14:textId="264FBA7B" w:rsidR="00984B2C" w:rsidRPr="00E755E2" w:rsidRDefault="00984B2C" w:rsidP="00984B2C">
            <w:pPr>
              <w:jc w:val="center"/>
              <w:rPr>
                <w:rFonts w:asciiTheme="minorHAnsi" w:hAnsiTheme="minorHAnsi" w:cs="Calibri"/>
                <w:b/>
                <w:bCs/>
                <w:color w:val="000000"/>
                <w:sz w:val="22"/>
                <w:szCs w:val="22"/>
              </w:rPr>
            </w:pPr>
            <w:r w:rsidRPr="00E755E2">
              <w:rPr>
                <w:rFonts w:asciiTheme="minorHAnsi" w:hAnsiTheme="minorHAnsi" w:cs="Calibri"/>
                <w:b/>
                <w:bCs/>
                <w:color w:val="000000"/>
                <w:sz w:val="22"/>
                <w:szCs w:val="22"/>
              </w:rPr>
              <w:t>-</w:t>
            </w:r>
          </w:p>
        </w:tc>
        <w:tc>
          <w:tcPr>
            <w:tcW w:w="0" w:type="auto"/>
            <w:shd w:val="clear" w:color="auto" w:fill="auto"/>
            <w:noWrap/>
            <w:vAlign w:val="center"/>
            <w:hideMark/>
          </w:tcPr>
          <w:p w14:paraId="56FD5E3B" w14:textId="4D0B7E0A" w:rsidR="00984B2C" w:rsidRPr="00E755E2" w:rsidRDefault="00984B2C" w:rsidP="00984B2C">
            <w:pPr>
              <w:jc w:val="center"/>
              <w:rPr>
                <w:rFonts w:asciiTheme="minorHAnsi" w:hAnsiTheme="minorHAnsi" w:cs="Calibri"/>
                <w:color w:val="000000"/>
                <w:sz w:val="22"/>
                <w:szCs w:val="22"/>
              </w:rPr>
            </w:pPr>
            <w:r w:rsidRPr="00E755E2">
              <w:rPr>
                <w:rFonts w:asciiTheme="minorHAnsi" w:hAnsiTheme="minorHAnsi" w:cs="Calibri"/>
                <w:color w:val="000000"/>
                <w:sz w:val="22"/>
                <w:szCs w:val="22"/>
              </w:rPr>
              <w:t>8.20</w:t>
            </w:r>
          </w:p>
        </w:tc>
        <w:tc>
          <w:tcPr>
            <w:tcW w:w="0" w:type="auto"/>
            <w:shd w:val="clear" w:color="auto" w:fill="auto"/>
            <w:noWrap/>
            <w:vAlign w:val="center"/>
            <w:hideMark/>
          </w:tcPr>
          <w:p w14:paraId="5114E954" w14:textId="0FA51375" w:rsidR="00984B2C" w:rsidRPr="00E755E2" w:rsidRDefault="00984B2C" w:rsidP="00984B2C">
            <w:pPr>
              <w:jc w:val="center"/>
              <w:rPr>
                <w:rFonts w:asciiTheme="minorHAnsi" w:hAnsiTheme="minorHAnsi" w:cs="Calibri"/>
                <w:color w:val="000000"/>
                <w:sz w:val="22"/>
                <w:szCs w:val="22"/>
              </w:rPr>
            </w:pPr>
            <w:r w:rsidRPr="00E755E2">
              <w:rPr>
                <w:rFonts w:asciiTheme="minorHAnsi" w:hAnsiTheme="minorHAnsi" w:cs="Calibri"/>
                <w:color w:val="000000"/>
                <w:sz w:val="22"/>
                <w:szCs w:val="22"/>
              </w:rPr>
              <w:t>23.77</w:t>
            </w:r>
          </w:p>
        </w:tc>
        <w:tc>
          <w:tcPr>
            <w:tcW w:w="0" w:type="auto"/>
            <w:shd w:val="clear" w:color="auto" w:fill="auto"/>
            <w:noWrap/>
            <w:vAlign w:val="center"/>
            <w:hideMark/>
          </w:tcPr>
          <w:p w14:paraId="2A482AF0" w14:textId="453F981E" w:rsidR="00984B2C" w:rsidRPr="00E755E2" w:rsidRDefault="00984B2C" w:rsidP="00984B2C">
            <w:pPr>
              <w:jc w:val="center"/>
              <w:rPr>
                <w:rFonts w:asciiTheme="minorHAnsi" w:hAnsiTheme="minorHAnsi" w:cs="Calibri"/>
                <w:color w:val="000000"/>
                <w:sz w:val="22"/>
                <w:szCs w:val="22"/>
              </w:rPr>
            </w:pPr>
            <w:r w:rsidRPr="00E755E2">
              <w:rPr>
                <w:rFonts w:asciiTheme="minorHAnsi" w:hAnsiTheme="minorHAnsi" w:cs="Calibri"/>
                <w:color w:val="000000"/>
                <w:sz w:val="22"/>
                <w:szCs w:val="22"/>
              </w:rPr>
              <w:t>31.97</w:t>
            </w:r>
          </w:p>
        </w:tc>
      </w:tr>
      <w:tr w:rsidR="00984B2C" w:rsidRPr="00E755E2" w14:paraId="5F141273" w14:textId="77777777" w:rsidTr="00A778B6">
        <w:trPr>
          <w:trHeight w:val="272"/>
        </w:trPr>
        <w:tc>
          <w:tcPr>
            <w:tcW w:w="740" w:type="dxa"/>
            <w:shd w:val="clear" w:color="auto" w:fill="auto"/>
            <w:noWrap/>
            <w:vAlign w:val="center"/>
            <w:hideMark/>
          </w:tcPr>
          <w:p w14:paraId="054DA0D7" w14:textId="77777777" w:rsidR="00984B2C" w:rsidRPr="00E755E2" w:rsidRDefault="00984B2C">
            <w:pPr>
              <w:jc w:val="center"/>
              <w:rPr>
                <w:rFonts w:asciiTheme="minorHAnsi" w:hAnsiTheme="minorHAnsi" w:cs="Calibri"/>
                <w:b/>
                <w:bCs/>
                <w:color w:val="000000"/>
                <w:sz w:val="22"/>
                <w:szCs w:val="22"/>
              </w:rPr>
            </w:pPr>
            <w:r w:rsidRPr="00E755E2">
              <w:rPr>
                <w:rFonts w:asciiTheme="minorHAnsi" w:hAnsiTheme="minorHAnsi" w:cs="Calibri"/>
                <w:b/>
                <w:bCs/>
                <w:color w:val="000000"/>
                <w:sz w:val="22"/>
                <w:szCs w:val="22"/>
              </w:rPr>
              <w:t> </w:t>
            </w:r>
          </w:p>
        </w:tc>
        <w:tc>
          <w:tcPr>
            <w:tcW w:w="2623" w:type="dxa"/>
            <w:shd w:val="clear" w:color="auto" w:fill="auto"/>
            <w:noWrap/>
            <w:vAlign w:val="center"/>
            <w:hideMark/>
          </w:tcPr>
          <w:p w14:paraId="0E1FF8C7" w14:textId="77777777" w:rsidR="00984B2C" w:rsidRPr="00E755E2" w:rsidRDefault="00984B2C">
            <w:pPr>
              <w:rPr>
                <w:rFonts w:asciiTheme="minorHAnsi" w:hAnsiTheme="minorHAnsi" w:cs="Calibri"/>
                <w:b/>
                <w:bCs/>
                <w:color w:val="000000"/>
                <w:sz w:val="22"/>
                <w:szCs w:val="22"/>
              </w:rPr>
            </w:pPr>
            <w:r w:rsidRPr="00E755E2">
              <w:rPr>
                <w:rFonts w:asciiTheme="minorHAnsi" w:hAnsiTheme="minorHAnsi" w:cs="Calibri"/>
                <w:b/>
                <w:bCs/>
                <w:color w:val="000000"/>
                <w:sz w:val="22"/>
                <w:szCs w:val="22"/>
              </w:rPr>
              <w:t>Total</w:t>
            </w:r>
          </w:p>
        </w:tc>
        <w:tc>
          <w:tcPr>
            <w:tcW w:w="1582" w:type="dxa"/>
            <w:shd w:val="clear" w:color="auto" w:fill="auto"/>
            <w:noWrap/>
            <w:vAlign w:val="center"/>
            <w:hideMark/>
          </w:tcPr>
          <w:p w14:paraId="7B97A542" w14:textId="3BBE0A94" w:rsidR="00984B2C" w:rsidRPr="00E755E2" w:rsidRDefault="00984B2C" w:rsidP="00984B2C">
            <w:pPr>
              <w:jc w:val="center"/>
              <w:rPr>
                <w:rFonts w:asciiTheme="minorHAnsi" w:hAnsiTheme="minorHAnsi" w:cs="Calibri"/>
                <w:b/>
                <w:bCs/>
                <w:color w:val="000000"/>
                <w:sz w:val="22"/>
                <w:szCs w:val="22"/>
              </w:rPr>
            </w:pPr>
            <w:r w:rsidRPr="00E755E2">
              <w:rPr>
                <w:rFonts w:asciiTheme="minorHAnsi" w:hAnsiTheme="minorHAnsi" w:cs="Calibri"/>
                <w:b/>
                <w:bCs/>
                <w:color w:val="000000"/>
                <w:sz w:val="22"/>
                <w:szCs w:val="22"/>
              </w:rPr>
              <w:t>-</w:t>
            </w:r>
          </w:p>
        </w:tc>
        <w:tc>
          <w:tcPr>
            <w:tcW w:w="0" w:type="auto"/>
            <w:shd w:val="clear" w:color="auto" w:fill="auto"/>
            <w:noWrap/>
            <w:vAlign w:val="center"/>
            <w:hideMark/>
          </w:tcPr>
          <w:p w14:paraId="03ABD34F" w14:textId="526BD46A" w:rsidR="00984B2C" w:rsidRPr="00E755E2" w:rsidRDefault="00984B2C" w:rsidP="00984B2C">
            <w:pPr>
              <w:jc w:val="center"/>
              <w:rPr>
                <w:rFonts w:asciiTheme="minorHAnsi" w:hAnsiTheme="minorHAnsi" w:cs="Calibri"/>
                <w:b/>
                <w:bCs/>
                <w:color w:val="000000"/>
                <w:sz w:val="22"/>
                <w:szCs w:val="22"/>
              </w:rPr>
            </w:pPr>
            <w:r w:rsidRPr="00E755E2">
              <w:rPr>
                <w:rFonts w:asciiTheme="minorHAnsi" w:hAnsiTheme="minorHAnsi" w:cs="Calibri"/>
                <w:b/>
                <w:bCs/>
                <w:color w:val="000000"/>
                <w:sz w:val="22"/>
                <w:szCs w:val="22"/>
              </w:rPr>
              <w:t>-</w:t>
            </w:r>
          </w:p>
        </w:tc>
        <w:tc>
          <w:tcPr>
            <w:tcW w:w="0" w:type="auto"/>
            <w:shd w:val="clear" w:color="auto" w:fill="auto"/>
            <w:noWrap/>
            <w:vAlign w:val="center"/>
            <w:hideMark/>
          </w:tcPr>
          <w:p w14:paraId="71D63AC3" w14:textId="390CCC12" w:rsidR="00984B2C" w:rsidRPr="00E755E2" w:rsidRDefault="00984B2C" w:rsidP="00984B2C">
            <w:pPr>
              <w:jc w:val="center"/>
              <w:rPr>
                <w:rFonts w:asciiTheme="minorHAnsi" w:hAnsiTheme="minorHAnsi" w:cs="Calibri"/>
                <w:b/>
                <w:bCs/>
                <w:color w:val="000000"/>
                <w:sz w:val="22"/>
                <w:szCs w:val="22"/>
              </w:rPr>
            </w:pPr>
            <w:r w:rsidRPr="00E755E2">
              <w:rPr>
                <w:rFonts w:asciiTheme="minorHAnsi" w:hAnsiTheme="minorHAnsi" w:cs="Calibri"/>
                <w:b/>
                <w:bCs/>
                <w:color w:val="000000"/>
                <w:sz w:val="22"/>
                <w:szCs w:val="22"/>
              </w:rPr>
              <w:t>-</w:t>
            </w:r>
          </w:p>
        </w:tc>
        <w:tc>
          <w:tcPr>
            <w:tcW w:w="0" w:type="auto"/>
            <w:shd w:val="clear" w:color="auto" w:fill="auto"/>
            <w:noWrap/>
            <w:vAlign w:val="center"/>
            <w:hideMark/>
          </w:tcPr>
          <w:p w14:paraId="42994C77" w14:textId="2EF53123" w:rsidR="00984B2C" w:rsidRPr="00E755E2" w:rsidRDefault="00984B2C" w:rsidP="00984B2C">
            <w:pPr>
              <w:jc w:val="center"/>
              <w:rPr>
                <w:rFonts w:asciiTheme="minorHAnsi" w:hAnsiTheme="minorHAnsi" w:cs="Calibri"/>
                <w:b/>
                <w:bCs/>
                <w:color w:val="000000"/>
                <w:sz w:val="22"/>
                <w:szCs w:val="22"/>
              </w:rPr>
            </w:pPr>
            <w:r w:rsidRPr="00E755E2">
              <w:rPr>
                <w:rFonts w:asciiTheme="minorHAnsi" w:hAnsiTheme="minorHAnsi" w:cs="Calibri"/>
                <w:b/>
                <w:bCs/>
                <w:color w:val="000000"/>
                <w:sz w:val="22"/>
                <w:szCs w:val="22"/>
              </w:rPr>
              <w:t>270.86</w:t>
            </w:r>
          </w:p>
        </w:tc>
        <w:tc>
          <w:tcPr>
            <w:tcW w:w="0" w:type="auto"/>
            <w:shd w:val="clear" w:color="auto" w:fill="auto"/>
            <w:noWrap/>
            <w:vAlign w:val="center"/>
            <w:hideMark/>
          </w:tcPr>
          <w:p w14:paraId="0E17545D" w14:textId="11D5D732" w:rsidR="00984B2C" w:rsidRPr="00E755E2" w:rsidRDefault="00984B2C" w:rsidP="00984B2C">
            <w:pPr>
              <w:jc w:val="center"/>
              <w:rPr>
                <w:rFonts w:asciiTheme="minorHAnsi" w:hAnsiTheme="minorHAnsi" w:cs="Calibri"/>
                <w:b/>
                <w:bCs/>
                <w:color w:val="000000"/>
                <w:sz w:val="22"/>
                <w:szCs w:val="22"/>
              </w:rPr>
            </w:pPr>
            <w:r w:rsidRPr="00E755E2">
              <w:rPr>
                <w:rFonts w:asciiTheme="minorHAnsi" w:hAnsiTheme="minorHAnsi" w:cs="Calibri"/>
                <w:b/>
                <w:bCs/>
                <w:color w:val="000000"/>
                <w:sz w:val="22"/>
                <w:szCs w:val="22"/>
              </w:rPr>
              <w:t>118.32</w:t>
            </w:r>
          </w:p>
        </w:tc>
        <w:tc>
          <w:tcPr>
            <w:tcW w:w="0" w:type="auto"/>
            <w:shd w:val="clear" w:color="auto" w:fill="auto"/>
            <w:noWrap/>
            <w:vAlign w:val="center"/>
            <w:hideMark/>
          </w:tcPr>
          <w:p w14:paraId="300C332D" w14:textId="38D55319" w:rsidR="00984B2C" w:rsidRPr="00E755E2" w:rsidRDefault="00984B2C" w:rsidP="00984B2C">
            <w:pPr>
              <w:jc w:val="center"/>
              <w:rPr>
                <w:rFonts w:asciiTheme="minorHAnsi" w:hAnsiTheme="minorHAnsi" w:cs="Calibri"/>
                <w:b/>
                <w:bCs/>
                <w:color w:val="000000"/>
                <w:sz w:val="22"/>
                <w:szCs w:val="22"/>
              </w:rPr>
            </w:pPr>
            <w:r w:rsidRPr="00E755E2">
              <w:rPr>
                <w:rFonts w:asciiTheme="minorHAnsi" w:hAnsiTheme="minorHAnsi" w:cs="Calibri"/>
                <w:b/>
                <w:bCs/>
                <w:color w:val="000000"/>
                <w:sz w:val="22"/>
                <w:szCs w:val="22"/>
              </w:rPr>
              <w:t>389.17</w:t>
            </w:r>
          </w:p>
        </w:tc>
      </w:tr>
      <w:tr w:rsidR="00984B2C" w:rsidRPr="00E755E2" w14:paraId="16D6B030" w14:textId="77777777" w:rsidTr="00A778B6">
        <w:trPr>
          <w:trHeight w:val="272"/>
        </w:trPr>
        <w:tc>
          <w:tcPr>
            <w:tcW w:w="740" w:type="dxa"/>
            <w:shd w:val="clear" w:color="auto" w:fill="auto"/>
            <w:noWrap/>
            <w:vAlign w:val="center"/>
            <w:hideMark/>
          </w:tcPr>
          <w:p w14:paraId="20149C19" w14:textId="77777777" w:rsidR="00984B2C" w:rsidRPr="00E755E2" w:rsidRDefault="00984B2C">
            <w:pPr>
              <w:jc w:val="center"/>
              <w:rPr>
                <w:rFonts w:asciiTheme="minorHAnsi" w:hAnsiTheme="minorHAnsi" w:cs="Calibri"/>
                <w:b/>
                <w:bCs/>
                <w:color w:val="000000"/>
                <w:sz w:val="22"/>
                <w:szCs w:val="22"/>
              </w:rPr>
            </w:pPr>
            <w:r w:rsidRPr="00E755E2">
              <w:rPr>
                <w:rFonts w:asciiTheme="minorHAnsi" w:hAnsiTheme="minorHAnsi" w:cs="Calibri"/>
                <w:b/>
                <w:bCs/>
                <w:color w:val="000000"/>
                <w:sz w:val="22"/>
                <w:szCs w:val="22"/>
              </w:rPr>
              <w:t> </w:t>
            </w:r>
          </w:p>
        </w:tc>
        <w:tc>
          <w:tcPr>
            <w:tcW w:w="2623" w:type="dxa"/>
            <w:shd w:val="clear" w:color="auto" w:fill="auto"/>
            <w:noWrap/>
            <w:vAlign w:val="center"/>
            <w:hideMark/>
          </w:tcPr>
          <w:p w14:paraId="51B52826" w14:textId="77777777" w:rsidR="00984B2C" w:rsidRPr="00E755E2" w:rsidRDefault="00984B2C">
            <w:pPr>
              <w:jc w:val="center"/>
              <w:rPr>
                <w:rFonts w:asciiTheme="minorHAnsi" w:hAnsiTheme="minorHAnsi" w:cs="Calibri"/>
                <w:b/>
                <w:bCs/>
                <w:color w:val="000000"/>
                <w:sz w:val="22"/>
                <w:szCs w:val="22"/>
              </w:rPr>
            </w:pPr>
          </w:p>
        </w:tc>
        <w:tc>
          <w:tcPr>
            <w:tcW w:w="1582" w:type="dxa"/>
            <w:shd w:val="clear" w:color="auto" w:fill="auto"/>
            <w:noWrap/>
            <w:vAlign w:val="center"/>
            <w:hideMark/>
          </w:tcPr>
          <w:p w14:paraId="2DD21512" w14:textId="77777777" w:rsidR="00984B2C" w:rsidRPr="00E755E2" w:rsidRDefault="00984B2C" w:rsidP="00984B2C">
            <w:pPr>
              <w:jc w:val="center"/>
              <w:rPr>
                <w:rFonts w:asciiTheme="minorHAnsi" w:hAnsiTheme="minorHAnsi"/>
                <w:sz w:val="22"/>
                <w:szCs w:val="22"/>
              </w:rPr>
            </w:pPr>
          </w:p>
        </w:tc>
        <w:tc>
          <w:tcPr>
            <w:tcW w:w="0" w:type="auto"/>
            <w:shd w:val="clear" w:color="auto" w:fill="auto"/>
            <w:noWrap/>
            <w:vAlign w:val="center"/>
            <w:hideMark/>
          </w:tcPr>
          <w:p w14:paraId="6F7F1027" w14:textId="77777777" w:rsidR="00984B2C" w:rsidRPr="00E755E2" w:rsidRDefault="00984B2C" w:rsidP="00984B2C">
            <w:pPr>
              <w:jc w:val="center"/>
              <w:rPr>
                <w:rFonts w:asciiTheme="minorHAnsi" w:hAnsiTheme="minorHAnsi"/>
                <w:sz w:val="22"/>
                <w:szCs w:val="22"/>
              </w:rPr>
            </w:pPr>
          </w:p>
        </w:tc>
        <w:tc>
          <w:tcPr>
            <w:tcW w:w="0" w:type="auto"/>
            <w:shd w:val="clear" w:color="auto" w:fill="auto"/>
            <w:noWrap/>
            <w:vAlign w:val="center"/>
            <w:hideMark/>
          </w:tcPr>
          <w:p w14:paraId="789BA658" w14:textId="77777777" w:rsidR="00984B2C" w:rsidRPr="00E755E2" w:rsidRDefault="00984B2C" w:rsidP="00984B2C">
            <w:pPr>
              <w:jc w:val="center"/>
              <w:rPr>
                <w:rFonts w:asciiTheme="minorHAnsi" w:hAnsiTheme="minorHAnsi"/>
                <w:sz w:val="22"/>
                <w:szCs w:val="22"/>
              </w:rPr>
            </w:pPr>
          </w:p>
        </w:tc>
        <w:tc>
          <w:tcPr>
            <w:tcW w:w="0" w:type="auto"/>
            <w:shd w:val="clear" w:color="auto" w:fill="auto"/>
            <w:noWrap/>
            <w:vAlign w:val="center"/>
            <w:hideMark/>
          </w:tcPr>
          <w:p w14:paraId="064979AE" w14:textId="77777777" w:rsidR="00984B2C" w:rsidRPr="00E755E2" w:rsidRDefault="00984B2C" w:rsidP="00984B2C">
            <w:pPr>
              <w:jc w:val="center"/>
              <w:rPr>
                <w:rFonts w:asciiTheme="minorHAnsi" w:hAnsiTheme="minorHAnsi"/>
                <w:sz w:val="22"/>
                <w:szCs w:val="22"/>
              </w:rPr>
            </w:pPr>
          </w:p>
        </w:tc>
        <w:tc>
          <w:tcPr>
            <w:tcW w:w="0" w:type="auto"/>
            <w:shd w:val="clear" w:color="auto" w:fill="auto"/>
            <w:noWrap/>
            <w:vAlign w:val="center"/>
            <w:hideMark/>
          </w:tcPr>
          <w:p w14:paraId="4BCDB77E" w14:textId="77777777" w:rsidR="00984B2C" w:rsidRPr="00E755E2" w:rsidRDefault="00984B2C" w:rsidP="00984B2C">
            <w:pPr>
              <w:jc w:val="center"/>
              <w:rPr>
                <w:rFonts w:asciiTheme="minorHAnsi" w:hAnsiTheme="minorHAnsi"/>
                <w:sz w:val="22"/>
                <w:szCs w:val="22"/>
              </w:rPr>
            </w:pPr>
          </w:p>
        </w:tc>
        <w:tc>
          <w:tcPr>
            <w:tcW w:w="0" w:type="auto"/>
            <w:shd w:val="clear" w:color="auto" w:fill="auto"/>
            <w:noWrap/>
            <w:vAlign w:val="center"/>
            <w:hideMark/>
          </w:tcPr>
          <w:p w14:paraId="2E0527DA" w14:textId="6AE1B8BA" w:rsidR="00984B2C" w:rsidRPr="00E755E2" w:rsidRDefault="00984B2C" w:rsidP="00984B2C">
            <w:pPr>
              <w:jc w:val="center"/>
              <w:rPr>
                <w:rFonts w:asciiTheme="minorHAnsi" w:hAnsiTheme="minorHAnsi" w:cs="Calibri"/>
                <w:b/>
                <w:bCs/>
                <w:color w:val="000000"/>
                <w:sz w:val="22"/>
                <w:szCs w:val="22"/>
              </w:rPr>
            </w:pPr>
          </w:p>
        </w:tc>
      </w:tr>
      <w:tr w:rsidR="00984B2C" w:rsidRPr="00E755E2" w14:paraId="2D57F9C4" w14:textId="77777777" w:rsidTr="00A778B6">
        <w:trPr>
          <w:trHeight w:val="272"/>
        </w:trPr>
        <w:tc>
          <w:tcPr>
            <w:tcW w:w="740" w:type="dxa"/>
            <w:shd w:val="clear" w:color="000000" w:fill="9BC2E6"/>
            <w:noWrap/>
            <w:vAlign w:val="center"/>
            <w:hideMark/>
          </w:tcPr>
          <w:p w14:paraId="4531DAAF" w14:textId="77777777" w:rsidR="00984B2C" w:rsidRPr="00E755E2" w:rsidRDefault="00984B2C">
            <w:pPr>
              <w:jc w:val="center"/>
              <w:rPr>
                <w:rFonts w:asciiTheme="minorHAnsi" w:hAnsiTheme="minorHAnsi" w:cs="Calibri"/>
                <w:b/>
                <w:bCs/>
                <w:color w:val="000000"/>
                <w:sz w:val="22"/>
                <w:szCs w:val="22"/>
              </w:rPr>
            </w:pPr>
            <w:r w:rsidRPr="00E755E2">
              <w:rPr>
                <w:rFonts w:asciiTheme="minorHAnsi" w:hAnsiTheme="minorHAnsi" w:cs="Calibri"/>
                <w:b/>
                <w:bCs/>
                <w:color w:val="000000"/>
                <w:sz w:val="22"/>
                <w:szCs w:val="22"/>
              </w:rPr>
              <w:t> </w:t>
            </w:r>
          </w:p>
        </w:tc>
        <w:tc>
          <w:tcPr>
            <w:tcW w:w="2623" w:type="dxa"/>
            <w:shd w:val="clear" w:color="000000" w:fill="9BC2E6"/>
            <w:noWrap/>
            <w:vAlign w:val="center"/>
            <w:hideMark/>
          </w:tcPr>
          <w:p w14:paraId="249F3CB9" w14:textId="77777777" w:rsidR="00984B2C" w:rsidRPr="00E755E2" w:rsidRDefault="00984B2C">
            <w:pPr>
              <w:rPr>
                <w:rFonts w:asciiTheme="minorHAnsi" w:hAnsiTheme="minorHAnsi" w:cs="Calibri"/>
                <w:b/>
                <w:bCs/>
                <w:color w:val="000000"/>
                <w:sz w:val="22"/>
                <w:szCs w:val="22"/>
              </w:rPr>
            </w:pPr>
            <w:r w:rsidRPr="00E755E2">
              <w:rPr>
                <w:rFonts w:asciiTheme="minorHAnsi" w:hAnsiTheme="minorHAnsi" w:cs="Calibri"/>
                <w:b/>
                <w:bCs/>
                <w:color w:val="000000"/>
                <w:sz w:val="22"/>
                <w:szCs w:val="22"/>
              </w:rPr>
              <w:t>Grand Total</w:t>
            </w:r>
          </w:p>
        </w:tc>
        <w:tc>
          <w:tcPr>
            <w:tcW w:w="1582" w:type="dxa"/>
            <w:shd w:val="clear" w:color="000000" w:fill="9BC2E6"/>
            <w:noWrap/>
            <w:vAlign w:val="center"/>
            <w:hideMark/>
          </w:tcPr>
          <w:p w14:paraId="0BE9542F" w14:textId="5E71C3D1" w:rsidR="00984B2C" w:rsidRPr="00E755E2" w:rsidRDefault="00984B2C" w:rsidP="00984B2C">
            <w:pPr>
              <w:jc w:val="center"/>
              <w:rPr>
                <w:rFonts w:asciiTheme="minorHAnsi" w:hAnsiTheme="minorHAnsi" w:cs="Calibri"/>
                <w:b/>
                <w:bCs/>
                <w:color w:val="000000"/>
                <w:sz w:val="22"/>
                <w:szCs w:val="22"/>
              </w:rPr>
            </w:pPr>
            <w:r w:rsidRPr="00E755E2">
              <w:rPr>
                <w:rFonts w:asciiTheme="minorHAnsi" w:hAnsiTheme="minorHAnsi" w:cs="Calibri"/>
                <w:b/>
                <w:bCs/>
                <w:color w:val="000000"/>
                <w:sz w:val="22"/>
                <w:szCs w:val="22"/>
              </w:rPr>
              <w:t>3,151.33</w:t>
            </w:r>
          </w:p>
        </w:tc>
        <w:tc>
          <w:tcPr>
            <w:tcW w:w="0" w:type="auto"/>
            <w:shd w:val="clear" w:color="000000" w:fill="9BC2E6"/>
            <w:noWrap/>
            <w:vAlign w:val="center"/>
            <w:hideMark/>
          </w:tcPr>
          <w:p w14:paraId="114F53C9" w14:textId="2A98E29A" w:rsidR="00984B2C" w:rsidRPr="00E755E2" w:rsidRDefault="00984B2C" w:rsidP="00984B2C">
            <w:pPr>
              <w:jc w:val="center"/>
              <w:rPr>
                <w:rFonts w:asciiTheme="minorHAnsi" w:hAnsiTheme="minorHAnsi" w:cs="Calibri"/>
                <w:b/>
                <w:bCs/>
                <w:color w:val="000000"/>
                <w:sz w:val="22"/>
                <w:szCs w:val="22"/>
              </w:rPr>
            </w:pPr>
            <w:r w:rsidRPr="00E755E2">
              <w:rPr>
                <w:rFonts w:asciiTheme="minorHAnsi" w:hAnsiTheme="minorHAnsi" w:cs="Calibri"/>
                <w:b/>
                <w:bCs/>
                <w:color w:val="000000"/>
                <w:sz w:val="22"/>
                <w:szCs w:val="22"/>
              </w:rPr>
              <w:t>371.40</w:t>
            </w:r>
          </w:p>
        </w:tc>
        <w:tc>
          <w:tcPr>
            <w:tcW w:w="0" w:type="auto"/>
            <w:shd w:val="clear" w:color="000000" w:fill="9BC2E6"/>
            <w:noWrap/>
            <w:vAlign w:val="center"/>
            <w:hideMark/>
          </w:tcPr>
          <w:p w14:paraId="2B4E0F27" w14:textId="36307668" w:rsidR="00984B2C" w:rsidRPr="00E755E2" w:rsidRDefault="00984B2C" w:rsidP="00984B2C">
            <w:pPr>
              <w:jc w:val="center"/>
              <w:rPr>
                <w:rFonts w:asciiTheme="minorHAnsi" w:hAnsiTheme="minorHAnsi" w:cs="Calibri"/>
                <w:b/>
                <w:bCs/>
                <w:color w:val="000000"/>
                <w:sz w:val="22"/>
                <w:szCs w:val="22"/>
              </w:rPr>
            </w:pPr>
            <w:r w:rsidRPr="00E755E2">
              <w:rPr>
                <w:rFonts w:asciiTheme="minorHAnsi" w:hAnsiTheme="minorHAnsi" w:cs="Calibri"/>
                <w:b/>
                <w:bCs/>
                <w:color w:val="000000"/>
                <w:sz w:val="22"/>
                <w:szCs w:val="22"/>
              </w:rPr>
              <w:t>3,522.73</w:t>
            </w:r>
          </w:p>
        </w:tc>
        <w:tc>
          <w:tcPr>
            <w:tcW w:w="0" w:type="auto"/>
            <w:shd w:val="clear" w:color="000000" w:fill="9BC2E6"/>
            <w:noWrap/>
            <w:vAlign w:val="center"/>
            <w:hideMark/>
          </w:tcPr>
          <w:p w14:paraId="6CA8096E" w14:textId="08B92E79" w:rsidR="00984B2C" w:rsidRPr="00E755E2" w:rsidRDefault="00984B2C" w:rsidP="00984B2C">
            <w:pPr>
              <w:jc w:val="center"/>
              <w:rPr>
                <w:rFonts w:asciiTheme="minorHAnsi" w:hAnsiTheme="minorHAnsi" w:cs="Calibri"/>
                <w:b/>
                <w:bCs/>
                <w:color w:val="000000"/>
                <w:sz w:val="22"/>
                <w:szCs w:val="22"/>
              </w:rPr>
            </w:pPr>
            <w:r w:rsidRPr="00E755E2">
              <w:rPr>
                <w:rFonts w:asciiTheme="minorHAnsi" w:hAnsiTheme="minorHAnsi" w:cs="Calibri"/>
                <w:b/>
                <w:bCs/>
                <w:color w:val="000000"/>
                <w:sz w:val="22"/>
                <w:szCs w:val="22"/>
              </w:rPr>
              <w:t>3,607.89</w:t>
            </w:r>
          </w:p>
        </w:tc>
        <w:tc>
          <w:tcPr>
            <w:tcW w:w="0" w:type="auto"/>
            <w:shd w:val="clear" w:color="000000" w:fill="9BC2E6"/>
            <w:noWrap/>
            <w:vAlign w:val="center"/>
            <w:hideMark/>
          </w:tcPr>
          <w:p w14:paraId="057EBEFF" w14:textId="6D15DE4D" w:rsidR="00984B2C" w:rsidRPr="00E755E2" w:rsidRDefault="00984B2C" w:rsidP="00984B2C">
            <w:pPr>
              <w:jc w:val="center"/>
              <w:rPr>
                <w:rFonts w:asciiTheme="minorHAnsi" w:hAnsiTheme="minorHAnsi" w:cs="Calibri"/>
                <w:b/>
                <w:bCs/>
                <w:color w:val="000000"/>
                <w:sz w:val="22"/>
                <w:szCs w:val="22"/>
              </w:rPr>
            </w:pPr>
            <w:r w:rsidRPr="00E755E2">
              <w:rPr>
                <w:rFonts w:asciiTheme="minorHAnsi" w:hAnsiTheme="minorHAnsi" w:cs="Calibri"/>
                <w:b/>
                <w:bCs/>
                <w:color w:val="000000"/>
                <w:sz w:val="22"/>
                <w:szCs w:val="22"/>
              </w:rPr>
              <w:t>304.02</w:t>
            </w:r>
          </w:p>
        </w:tc>
        <w:tc>
          <w:tcPr>
            <w:tcW w:w="0" w:type="auto"/>
            <w:shd w:val="clear" w:color="000000" w:fill="9BC2E6"/>
            <w:noWrap/>
            <w:vAlign w:val="center"/>
            <w:hideMark/>
          </w:tcPr>
          <w:p w14:paraId="6A71DDD4" w14:textId="0365CD4A" w:rsidR="00984B2C" w:rsidRPr="00E755E2" w:rsidRDefault="00984B2C" w:rsidP="00984B2C">
            <w:pPr>
              <w:jc w:val="center"/>
              <w:rPr>
                <w:rFonts w:asciiTheme="minorHAnsi" w:hAnsiTheme="minorHAnsi" w:cs="Calibri"/>
                <w:b/>
                <w:bCs/>
                <w:color w:val="000000"/>
                <w:sz w:val="22"/>
                <w:szCs w:val="22"/>
              </w:rPr>
            </w:pPr>
            <w:r w:rsidRPr="00E755E2">
              <w:rPr>
                <w:rFonts w:asciiTheme="minorHAnsi" w:hAnsiTheme="minorHAnsi" w:cs="Calibri"/>
                <w:b/>
                <w:bCs/>
                <w:color w:val="000000"/>
                <w:sz w:val="22"/>
                <w:szCs w:val="22"/>
              </w:rPr>
              <w:t>3,911.90</w:t>
            </w:r>
          </w:p>
        </w:tc>
      </w:tr>
      <w:tr w:rsidR="00984B2C" w:rsidRPr="00E755E2" w14:paraId="1B91783C" w14:textId="77777777" w:rsidTr="00A778B6">
        <w:trPr>
          <w:trHeight w:val="272"/>
        </w:trPr>
        <w:tc>
          <w:tcPr>
            <w:tcW w:w="740" w:type="dxa"/>
            <w:shd w:val="clear" w:color="auto" w:fill="auto"/>
            <w:noWrap/>
            <w:vAlign w:val="center"/>
            <w:hideMark/>
          </w:tcPr>
          <w:p w14:paraId="23158F53" w14:textId="77777777" w:rsidR="00984B2C" w:rsidRPr="00E755E2" w:rsidRDefault="00984B2C">
            <w:pPr>
              <w:jc w:val="center"/>
              <w:rPr>
                <w:rFonts w:asciiTheme="minorHAnsi" w:hAnsiTheme="minorHAnsi" w:cs="Calibri"/>
                <w:color w:val="000000"/>
                <w:sz w:val="22"/>
                <w:szCs w:val="22"/>
              </w:rPr>
            </w:pPr>
            <w:r w:rsidRPr="00E755E2">
              <w:rPr>
                <w:rFonts w:asciiTheme="minorHAnsi" w:hAnsiTheme="minorHAnsi" w:cs="Calibri"/>
                <w:color w:val="000000"/>
                <w:sz w:val="22"/>
                <w:szCs w:val="22"/>
              </w:rPr>
              <w:t> </w:t>
            </w:r>
          </w:p>
        </w:tc>
        <w:tc>
          <w:tcPr>
            <w:tcW w:w="2623" w:type="dxa"/>
            <w:shd w:val="clear" w:color="auto" w:fill="auto"/>
            <w:noWrap/>
            <w:vAlign w:val="center"/>
            <w:hideMark/>
          </w:tcPr>
          <w:p w14:paraId="0D2822B2" w14:textId="77777777" w:rsidR="00984B2C" w:rsidRPr="00E755E2" w:rsidRDefault="00984B2C">
            <w:pPr>
              <w:jc w:val="center"/>
              <w:rPr>
                <w:rFonts w:asciiTheme="minorHAnsi" w:hAnsiTheme="minorHAnsi" w:cs="Calibri"/>
                <w:color w:val="000000"/>
                <w:sz w:val="22"/>
                <w:szCs w:val="22"/>
              </w:rPr>
            </w:pPr>
          </w:p>
        </w:tc>
        <w:tc>
          <w:tcPr>
            <w:tcW w:w="1582" w:type="dxa"/>
            <w:shd w:val="clear" w:color="auto" w:fill="auto"/>
            <w:noWrap/>
            <w:vAlign w:val="bottom"/>
            <w:hideMark/>
          </w:tcPr>
          <w:p w14:paraId="57C7BB56" w14:textId="77777777" w:rsidR="00984B2C" w:rsidRPr="00E755E2" w:rsidRDefault="00984B2C" w:rsidP="00984B2C">
            <w:pPr>
              <w:jc w:val="center"/>
              <w:rPr>
                <w:rFonts w:asciiTheme="minorHAnsi" w:hAnsiTheme="minorHAnsi"/>
                <w:sz w:val="22"/>
                <w:szCs w:val="22"/>
              </w:rPr>
            </w:pPr>
          </w:p>
        </w:tc>
        <w:tc>
          <w:tcPr>
            <w:tcW w:w="0" w:type="auto"/>
            <w:shd w:val="clear" w:color="auto" w:fill="auto"/>
            <w:noWrap/>
            <w:vAlign w:val="bottom"/>
            <w:hideMark/>
          </w:tcPr>
          <w:p w14:paraId="246AC6AF" w14:textId="77777777" w:rsidR="00984B2C" w:rsidRPr="00E755E2" w:rsidRDefault="00984B2C" w:rsidP="00984B2C">
            <w:pPr>
              <w:jc w:val="center"/>
              <w:rPr>
                <w:rFonts w:asciiTheme="minorHAnsi" w:hAnsiTheme="minorHAnsi"/>
                <w:sz w:val="22"/>
                <w:szCs w:val="22"/>
              </w:rPr>
            </w:pPr>
          </w:p>
        </w:tc>
        <w:tc>
          <w:tcPr>
            <w:tcW w:w="0" w:type="auto"/>
            <w:shd w:val="clear" w:color="auto" w:fill="auto"/>
            <w:noWrap/>
            <w:vAlign w:val="bottom"/>
            <w:hideMark/>
          </w:tcPr>
          <w:p w14:paraId="2F54E564" w14:textId="77777777" w:rsidR="00984B2C" w:rsidRPr="00E755E2" w:rsidRDefault="00984B2C" w:rsidP="00984B2C">
            <w:pPr>
              <w:jc w:val="center"/>
              <w:rPr>
                <w:rFonts w:asciiTheme="minorHAnsi" w:hAnsiTheme="minorHAnsi"/>
                <w:sz w:val="22"/>
                <w:szCs w:val="22"/>
              </w:rPr>
            </w:pPr>
          </w:p>
        </w:tc>
        <w:tc>
          <w:tcPr>
            <w:tcW w:w="0" w:type="auto"/>
            <w:shd w:val="clear" w:color="auto" w:fill="auto"/>
            <w:noWrap/>
            <w:vAlign w:val="bottom"/>
            <w:hideMark/>
          </w:tcPr>
          <w:p w14:paraId="66F1018C" w14:textId="77777777" w:rsidR="00984B2C" w:rsidRPr="00E755E2" w:rsidRDefault="00984B2C" w:rsidP="00984B2C">
            <w:pPr>
              <w:jc w:val="center"/>
              <w:rPr>
                <w:rFonts w:asciiTheme="minorHAnsi" w:hAnsiTheme="minorHAnsi"/>
                <w:sz w:val="22"/>
                <w:szCs w:val="22"/>
              </w:rPr>
            </w:pPr>
          </w:p>
        </w:tc>
        <w:tc>
          <w:tcPr>
            <w:tcW w:w="0" w:type="auto"/>
            <w:shd w:val="clear" w:color="auto" w:fill="auto"/>
            <w:noWrap/>
            <w:vAlign w:val="bottom"/>
            <w:hideMark/>
          </w:tcPr>
          <w:p w14:paraId="46D537FE" w14:textId="77777777" w:rsidR="00984B2C" w:rsidRPr="00E755E2" w:rsidRDefault="00984B2C" w:rsidP="00984B2C">
            <w:pPr>
              <w:jc w:val="center"/>
              <w:rPr>
                <w:rFonts w:asciiTheme="minorHAnsi" w:hAnsiTheme="minorHAnsi"/>
                <w:sz w:val="22"/>
                <w:szCs w:val="22"/>
              </w:rPr>
            </w:pPr>
          </w:p>
        </w:tc>
        <w:tc>
          <w:tcPr>
            <w:tcW w:w="0" w:type="auto"/>
            <w:shd w:val="clear" w:color="auto" w:fill="auto"/>
            <w:noWrap/>
            <w:vAlign w:val="bottom"/>
            <w:hideMark/>
          </w:tcPr>
          <w:p w14:paraId="7CD1E6D5" w14:textId="7381484D" w:rsidR="00984B2C" w:rsidRPr="00E755E2" w:rsidRDefault="00984B2C" w:rsidP="00984B2C">
            <w:pPr>
              <w:jc w:val="center"/>
              <w:rPr>
                <w:rFonts w:asciiTheme="minorHAnsi" w:hAnsiTheme="minorHAnsi"/>
                <w:color w:val="000000"/>
                <w:sz w:val="22"/>
                <w:szCs w:val="22"/>
              </w:rPr>
            </w:pPr>
          </w:p>
        </w:tc>
      </w:tr>
      <w:tr w:rsidR="00984B2C" w:rsidRPr="00E755E2" w14:paraId="3AA85E69" w14:textId="77777777" w:rsidTr="00A778B6">
        <w:trPr>
          <w:trHeight w:val="548"/>
        </w:trPr>
        <w:tc>
          <w:tcPr>
            <w:tcW w:w="740" w:type="dxa"/>
            <w:shd w:val="clear" w:color="auto" w:fill="auto"/>
            <w:noWrap/>
            <w:vAlign w:val="center"/>
            <w:hideMark/>
          </w:tcPr>
          <w:p w14:paraId="36BE5D34" w14:textId="77777777" w:rsidR="00984B2C" w:rsidRPr="00E755E2" w:rsidRDefault="00984B2C">
            <w:pPr>
              <w:jc w:val="center"/>
              <w:rPr>
                <w:rFonts w:asciiTheme="minorHAnsi" w:hAnsiTheme="minorHAnsi" w:cs="Calibri"/>
                <w:color w:val="000000"/>
                <w:sz w:val="22"/>
                <w:szCs w:val="22"/>
              </w:rPr>
            </w:pPr>
            <w:r w:rsidRPr="00E755E2">
              <w:rPr>
                <w:rFonts w:asciiTheme="minorHAnsi" w:hAnsiTheme="minorHAnsi" w:cs="Calibri"/>
                <w:color w:val="000000"/>
                <w:sz w:val="22"/>
                <w:szCs w:val="22"/>
              </w:rPr>
              <w:t> </w:t>
            </w:r>
          </w:p>
        </w:tc>
        <w:tc>
          <w:tcPr>
            <w:tcW w:w="2623" w:type="dxa"/>
            <w:shd w:val="clear" w:color="auto" w:fill="auto"/>
            <w:vAlign w:val="center"/>
            <w:hideMark/>
          </w:tcPr>
          <w:p w14:paraId="400A71B3" w14:textId="77777777" w:rsidR="00984B2C" w:rsidRPr="00E755E2" w:rsidRDefault="00984B2C">
            <w:pPr>
              <w:rPr>
                <w:rFonts w:asciiTheme="minorHAnsi" w:hAnsiTheme="minorHAnsi" w:cs="Calibri"/>
                <w:color w:val="000000"/>
                <w:sz w:val="22"/>
                <w:szCs w:val="22"/>
              </w:rPr>
            </w:pPr>
            <w:proofErr w:type="gramStart"/>
            <w:r w:rsidRPr="00E755E2">
              <w:rPr>
                <w:rFonts w:asciiTheme="minorHAnsi" w:hAnsiTheme="minorHAnsi" w:cs="Calibri"/>
                <w:color w:val="000000"/>
                <w:sz w:val="22"/>
                <w:szCs w:val="22"/>
              </w:rPr>
              <w:t>Less  Assets</w:t>
            </w:r>
            <w:proofErr w:type="gramEnd"/>
            <w:r w:rsidRPr="00E755E2">
              <w:rPr>
                <w:rFonts w:asciiTheme="minorHAnsi" w:hAnsiTheme="minorHAnsi" w:cs="Calibri"/>
                <w:color w:val="000000"/>
                <w:sz w:val="22"/>
                <w:szCs w:val="22"/>
              </w:rPr>
              <w:t xml:space="preserve"> already transferred to TPNODL from ODSSP towards equity  by Govt</w:t>
            </w:r>
          </w:p>
        </w:tc>
        <w:tc>
          <w:tcPr>
            <w:tcW w:w="1582" w:type="dxa"/>
            <w:shd w:val="clear" w:color="auto" w:fill="auto"/>
            <w:noWrap/>
            <w:vAlign w:val="center"/>
            <w:hideMark/>
          </w:tcPr>
          <w:p w14:paraId="6BB8C9C0" w14:textId="70D8A8E4" w:rsidR="00984B2C" w:rsidRPr="00E755E2" w:rsidRDefault="00984B2C" w:rsidP="00984B2C">
            <w:pPr>
              <w:jc w:val="center"/>
              <w:rPr>
                <w:rFonts w:asciiTheme="minorHAnsi" w:hAnsiTheme="minorHAnsi" w:cs="Calibri"/>
                <w:color w:val="000000"/>
                <w:sz w:val="22"/>
                <w:szCs w:val="22"/>
              </w:rPr>
            </w:pPr>
            <w:r w:rsidRPr="00E755E2">
              <w:rPr>
                <w:rFonts w:asciiTheme="minorHAnsi" w:hAnsiTheme="minorHAnsi" w:cs="Calibri"/>
                <w:color w:val="000000"/>
                <w:sz w:val="22"/>
                <w:szCs w:val="22"/>
              </w:rPr>
              <w:t>153.88</w:t>
            </w:r>
          </w:p>
        </w:tc>
        <w:tc>
          <w:tcPr>
            <w:tcW w:w="0" w:type="auto"/>
            <w:shd w:val="clear" w:color="auto" w:fill="auto"/>
            <w:noWrap/>
            <w:vAlign w:val="bottom"/>
            <w:hideMark/>
          </w:tcPr>
          <w:p w14:paraId="2B20AFE8" w14:textId="77777777" w:rsidR="00984B2C" w:rsidRPr="00E755E2" w:rsidRDefault="00984B2C" w:rsidP="00984B2C">
            <w:pPr>
              <w:jc w:val="center"/>
              <w:rPr>
                <w:rFonts w:asciiTheme="minorHAnsi" w:hAnsiTheme="minorHAnsi" w:cs="Calibri"/>
                <w:color w:val="000000"/>
                <w:sz w:val="22"/>
                <w:szCs w:val="22"/>
              </w:rPr>
            </w:pPr>
          </w:p>
        </w:tc>
        <w:tc>
          <w:tcPr>
            <w:tcW w:w="0" w:type="auto"/>
            <w:shd w:val="clear" w:color="auto" w:fill="auto"/>
            <w:noWrap/>
            <w:vAlign w:val="bottom"/>
            <w:hideMark/>
          </w:tcPr>
          <w:p w14:paraId="20091327" w14:textId="77777777" w:rsidR="00984B2C" w:rsidRPr="00E755E2" w:rsidRDefault="00984B2C" w:rsidP="00984B2C">
            <w:pPr>
              <w:jc w:val="center"/>
              <w:rPr>
                <w:rFonts w:asciiTheme="minorHAnsi" w:hAnsiTheme="minorHAnsi"/>
                <w:sz w:val="22"/>
                <w:szCs w:val="22"/>
              </w:rPr>
            </w:pPr>
          </w:p>
        </w:tc>
        <w:tc>
          <w:tcPr>
            <w:tcW w:w="0" w:type="auto"/>
            <w:shd w:val="clear" w:color="auto" w:fill="auto"/>
            <w:noWrap/>
            <w:vAlign w:val="center"/>
            <w:hideMark/>
          </w:tcPr>
          <w:p w14:paraId="173077AB" w14:textId="5DEDD74F" w:rsidR="00984B2C" w:rsidRPr="00E755E2" w:rsidRDefault="00984B2C" w:rsidP="00984B2C">
            <w:pPr>
              <w:jc w:val="center"/>
              <w:rPr>
                <w:rFonts w:asciiTheme="minorHAnsi" w:hAnsiTheme="minorHAnsi" w:cs="Calibri"/>
                <w:color w:val="000000"/>
                <w:sz w:val="22"/>
                <w:szCs w:val="22"/>
              </w:rPr>
            </w:pPr>
            <w:r w:rsidRPr="00E755E2">
              <w:rPr>
                <w:rFonts w:asciiTheme="minorHAnsi" w:hAnsiTheme="minorHAnsi" w:cs="Calibri"/>
                <w:color w:val="000000"/>
                <w:sz w:val="22"/>
                <w:szCs w:val="22"/>
              </w:rPr>
              <w:t>211.21</w:t>
            </w:r>
          </w:p>
        </w:tc>
        <w:tc>
          <w:tcPr>
            <w:tcW w:w="0" w:type="auto"/>
            <w:shd w:val="clear" w:color="auto" w:fill="auto"/>
            <w:noWrap/>
            <w:vAlign w:val="bottom"/>
            <w:hideMark/>
          </w:tcPr>
          <w:p w14:paraId="396B8CF3" w14:textId="77777777" w:rsidR="00984B2C" w:rsidRPr="00E755E2" w:rsidRDefault="00984B2C" w:rsidP="00984B2C">
            <w:pPr>
              <w:jc w:val="center"/>
              <w:rPr>
                <w:rFonts w:asciiTheme="minorHAnsi" w:hAnsiTheme="minorHAnsi" w:cs="Calibri"/>
                <w:color w:val="000000"/>
                <w:sz w:val="22"/>
                <w:szCs w:val="22"/>
              </w:rPr>
            </w:pPr>
          </w:p>
        </w:tc>
        <w:tc>
          <w:tcPr>
            <w:tcW w:w="0" w:type="auto"/>
            <w:shd w:val="clear" w:color="auto" w:fill="auto"/>
            <w:noWrap/>
            <w:vAlign w:val="bottom"/>
            <w:hideMark/>
          </w:tcPr>
          <w:p w14:paraId="6E0B1819" w14:textId="0869E0BF" w:rsidR="00984B2C" w:rsidRPr="00E755E2" w:rsidRDefault="00984B2C" w:rsidP="00984B2C">
            <w:pPr>
              <w:jc w:val="center"/>
              <w:rPr>
                <w:rFonts w:asciiTheme="minorHAnsi" w:hAnsiTheme="minorHAnsi" w:cs="Calibri"/>
                <w:color w:val="000000"/>
                <w:sz w:val="22"/>
                <w:szCs w:val="22"/>
              </w:rPr>
            </w:pPr>
          </w:p>
        </w:tc>
      </w:tr>
      <w:tr w:rsidR="00984B2C" w:rsidRPr="00E755E2" w14:paraId="2D53A65D" w14:textId="77777777" w:rsidTr="00A778B6">
        <w:trPr>
          <w:trHeight w:val="272"/>
        </w:trPr>
        <w:tc>
          <w:tcPr>
            <w:tcW w:w="10105" w:type="dxa"/>
            <w:gridSpan w:val="8"/>
            <w:shd w:val="clear" w:color="auto" w:fill="auto"/>
            <w:noWrap/>
            <w:vAlign w:val="center"/>
            <w:hideMark/>
          </w:tcPr>
          <w:p w14:paraId="683AA833" w14:textId="60DFBA34" w:rsidR="00984B2C" w:rsidRPr="00E755E2" w:rsidRDefault="00984B2C" w:rsidP="00984B2C">
            <w:pPr>
              <w:jc w:val="center"/>
              <w:rPr>
                <w:rFonts w:asciiTheme="minorHAnsi" w:hAnsiTheme="minorHAnsi" w:cs="Calibri"/>
                <w:color w:val="000000"/>
                <w:sz w:val="22"/>
                <w:szCs w:val="22"/>
              </w:rPr>
            </w:pPr>
          </w:p>
        </w:tc>
      </w:tr>
      <w:tr w:rsidR="00984B2C" w:rsidRPr="00E755E2" w14:paraId="2492E14B" w14:textId="77777777" w:rsidTr="00A778B6">
        <w:trPr>
          <w:trHeight w:val="286"/>
        </w:trPr>
        <w:tc>
          <w:tcPr>
            <w:tcW w:w="3363" w:type="dxa"/>
            <w:gridSpan w:val="2"/>
            <w:shd w:val="clear" w:color="000000" w:fill="9BC2E6"/>
            <w:noWrap/>
            <w:vAlign w:val="center"/>
            <w:hideMark/>
          </w:tcPr>
          <w:p w14:paraId="7D21FE98" w14:textId="77777777" w:rsidR="00984B2C" w:rsidRPr="00E755E2" w:rsidRDefault="00984B2C">
            <w:pPr>
              <w:rPr>
                <w:rFonts w:asciiTheme="minorHAnsi" w:hAnsiTheme="minorHAnsi" w:cs="Calibri"/>
                <w:b/>
                <w:bCs/>
                <w:color w:val="000000"/>
                <w:sz w:val="22"/>
                <w:szCs w:val="22"/>
              </w:rPr>
            </w:pPr>
            <w:r w:rsidRPr="00E755E2">
              <w:rPr>
                <w:rFonts w:asciiTheme="minorHAnsi" w:hAnsiTheme="minorHAnsi" w:cs="Calibri"/>
                <w:b/>
                <w:bCs/>
                <w:color w:val="000000"/>
                <w:sz w:val="22"/>
                <w:szCs w:val="22"/>
              </w:rPr>
              <w:t>Net GOVT Assets to be considered for Repair and Maintenance Expenses</w:t>
            </w:r>
          </w:p>
        </w:tc>
        <w:tc>
          <w:tcPr>
            <w:tcW w:w="1582" w:type="dxa"/>
            <w:shd w:val="clear" w:color="000000" w:fill="9BC2E6"/>
            <w:noWrap/>
            <w:vAlign w:val="center"/>
            <w:hideMark/>
          </w:tcPr>
          <w:p w14:paraId="1C3111FF" w14:textId="075CAEAF" w:rsidR="00984B2C" w:rsidRPr="00E755E2" w:rsidRDefault="00984B2C" w:rsidP="00984B2C">
            <w:pPr>
              <w:jc w:val="center"/>
              <w:rPr>
                <w:rFonts w:asciiTheme="minorHAnsi" w:hAnsiTheme="minorHAnsi" w:cs="Calibri"/>
                <w:b/>
                <w:bCs/>
                <w:color w:val="000000"/>
                <w:sz w:val="22"/>
                <w:szCs w:val="22"/>
              </w:rPr>
            </w:pPr>
            <w:r w:rsidRPr="00E755E2">
              <w:rPr>
                <w:rFonts w:asciiTheme="minorHAnsi" w:hAnsiTheme="minorHAnsi" w:cs="Calibri"/>
                <w:b/>
                <w:bCs/>
                <w:color w:val="000000"/>
                <w:sz w:val="22"/>
                <w:szCs w:val="22"/>
              </w:rPr>
              <w:t>2,997.45</w:t>
            </w:r>
          </w:p>
        </w:tc>
        <w:tc>
          <w:tcPr>
            <w:tcW w:w="0" w:type="auto"/>
            <w:shd w:val="clear" w:color="000000" w:fill="9BC2E6"/>
            <w:noWrap/>
            <w:vAlign w:val="center"/>
            <w:hideMark/>
          </w:tcPr>
          <w:p w14:paraId="218C1205" w14:textId="09A615CB" w:rsidR="00984B2C" w:rsidRPr="00E755E2" w:rsidRDefault="00984B2C" w:rsidP="00984B2C">
            <w:pPr>
              <w:jc w:val="center"/>
              <w:rPr>
                <w:rFonts w:asciiTheme="minorHAnsi" w:hAnsiTheme="minorHAnsi" w:cs="Calibri"/>
                <w:b/>
                <w:bCs/>
                <w:color w:val="000000"/>
                <w:sz w:val="22"/>
                <w:szCs w:val="22"/>
              </w:rPr>
            </w:pPr>
          </w:p>
        </w:tc>
        <w:tc>
          <w:tcPr>
            <w:tcW w:w="0" w:type="auto"/>
            <w:shd w:val="clear" w:color="000000" w:fill="9BC2E6"/>
            <w:noWrap/>
            <w:vAlign w:val="center"/>
            <w:hideMark/>
          </w:tcPr>
          <w:p w14:paraId="159C0E01" w14:textId="439EC947" w:rsidR="00984B2C" w:rsidRPr="00E755E2" w:rsidRDefault="00984B2C" w:rsidP="00984B2C">
            <w:pPr>
              <w:jc w:val="center"/>
              <w:rPr>
                <w:rFonts w:asciiTheme="minorHAnsi" w:hAnsiTheme="minorHAnsi" w:cs="Calibri"/>
                <w:b/>
                <w:bCs/>
                <w:color w:val="000000"/>
                <w:sz w:val="22"/>
                <w:szCs w:val="22"/>
              </w:rPr>
            </w:pPr>
          </w:p>
        </w:tc>
        <w:tc>
          <w:tcPr>
            <w:tcW w:w="0" w:type="auto"/>
            <w:shd w:val="clear" w:color="000000" w:fill="9BC2E6"/>
            <w:noWrap/>
            <w:vAlign w:val="center"/>
            <w:hideMark/>
          </w:tcPr>
          <w:p w14:paraId="1ED1FB15" w14:textId="3A69CE2C" w:rsidR="00984B2C" w:rsidRPr="00E755E2" w:rsidRDefault="00984B2C" w:rsidP="00984B2C">
            <w:pPr>
              <w:jc w:val="center"/>
              <w:rPr>
                <w:rFonts w:asciiTheme="minorHAnsi" w:hAnsiTheme="minorHAnsi" w:cs="Calibri"/>
                <w:b/>
                <w:bCs/>
                <w:color w:val="000000"/>
                <w:sz w:val="22"/>
                <w:szCs w:val="22"/>
              </w:rPr>
            </w:pPr>
            <w:r w:rsidRPr="00E755E2">
              <w:rPr>
                <w:rFonts w:asciiTheme="minorHAnsi" w:hAnsiTheme="minorHAnsi" w:cs="Calibri"/>
                <w:b/>
                <w:bCs/>
                <w:color w:val="000000"/>
                <w:sz w:val="22"/>
                <w:szCs w:val="22"/>
              </w:rPr>
              <w:t>3,396.68</w:t>
            </w:r>
          </w:p>
        </w:tc>
        <w:tc>
          <w:tcPr>
            <w:tcW w:w="0" w:type="auto"/>
            <w:shd w:val="clear" w:color="000000" w:fill="9BC2E6"/>
            <w:noWrap/>
            <w:vAlign w:val="center"/>
            <w:hideMark/>
          </w:tcPr>
          <w:p w14:paraId="789A0960" w14:textId="08173F36" w:rsidR="00984B2C" w:rsidRPr="00E755E2" w:rsidRDefault="00984B2C" w:rsidP="00984B2C">
            <w:pPr>
              <w:jc w:val="center"/>
              <w:rPr>
                <w:rFonts w:asciiTheme="minorHAnsi" w:hAnsiTheme="minorHAnsi" w:cs="Calibri"/>
                <w:b/>
                <w:bCs/>
                <w:color w:val="000000"/>
                <w:sz w:val="22"/>
                <w:szCs w:val="22"/>
              </w:rPr>
            </w:pPr>
          </w:p>
        </w:tc>
        <w:tc>
          <w:tcPr>
            <w:tcW w:w="0" w:type="auto"/>
            <w:shd w:val="clear" w:color="000000" w:fill="9BC2E6"/>
            <w:noWrap/>
            <w:vAlign w:val="center"/>
            <w:hideMark/>
          </w:tcPr>
          <w:p w14:paraId="4866A348" w14:textId="7EE0AA31" w:rsidR="00984B2C" w:rsidRPr="00E755E2" w:rsidRDefault="00984B2C" w:rsidP="00984B2C">
            <w:pPr>
              <w:jc w:val="center"/>
              <w:rPr>
                <w:rFonts w:asciiTheme="minorHAnsi" w:hAnsiTheme="minorHAnsi" w:cs="Calibri"/>
                <w:b/>
                <w:bCs/>
                <w:color w:val="000000"/>
                <w:sz w:val="22"/>
                <w:szCs w:val="22"/>
              </w:rPr>
            </w:pPr>
          </w:p>
        </w:tc>
      </w:tr>
    </w:tbl>
    <w:p w14:paraId="4DD3BA0E" w14:textId="77777777" w:rsidR="00984B2C" w:rsidRPr="00153204" w:rsidRDefault="00984B2C" w:rsidP="002334A3">
      <w:pPr>
        <w:pStyle w:val="paragraph"/>
        <w:spacing w:before="0" w:beforeAutospacing="0" w:after="0" w:afterAutospacing="0" w:line="360" w:lineRule="auto"/>
        <w:jc w:val="center"/>
        <w:textAlignment w:val="baseline"/>
        <w:rPr>
          <w:rFonts w:asciiTheme="minorHAnsi" w:hAnsiTheme="minorHAnsi" w:cstheme="minorHAnsi"/>
          <w:b/>
          <w:sz w:val="22"/>
          <w:szCs w:val="22"/>
        </w:rPr>
      </w:pPr>
    </w:p>
    <w:p w14:paraId="60A63F86" w14:textId="26C1AF42" w:rsidR="005421E7" w:rsidRPr="00153204" w:rsidRDefault="005421E7" w:rsidP="00A778B6">
      <w:pPr>
        <w:pStyle w:val="paragraph"/>
        <w:spacing w:before="0" w:beforeAutospacing="0" w:after="0" w:afterAutospacing="0" w:line="360" w:lineRule="auto"/>
        <w:ind w:left="426"/>
        <w:textAlignment w:val="baseline"/>
        <w:rPr>
          <w:rFonts w:asciiTheme="minorHAnsi" w:hAnsiTheme="minorHAnsi" w:cstheme="minorHAnsi"/>
          <w:sz w:val="22"/>
          <w:szCs w:val="22"/>
        </w:rPr>
      </w:pPr>
      <w:r w:rsidRPr="00153204">
        <w:rPr>
          <w:rFonts w:asciiTheme="minorHAnsi" w:hAnsiTheme="minorHAnsi" w:cstheme="minorHAnsi"/>
          <w:sz w:val="22"/>
          <w:szCs w:val="22"/>
        </w:rPr>
        <w:t xml:space="preserve">GFA as per the books of TPNODL and GFA of Govt. </w:t>
      </w:r>
      <w:proofErr w:type="gramStart"/>
      <w:r w:rsidRPr="00153204">
        <w:rPr>
          <w:rFonts w:asciiTheme="minorHAnsi" w:hAnsiTheme="minorHAnsi" w:cstheme="minorHAnsi"/>
          <w:sz w:val="22"/>
          <w:szCs w:val="22"/>
        </w:rPr>
        <w:t xml:space="preserve">assets </w:t>
      </w:r>
      <w:r w:rsidR="00B160F5" w:rsidRPr="00153204">
        <w:rPr>
          <w:rFonts w:asciiTheme="minorHAnsi" w:hAnsiTheme="minorHAnsi" w:cstheme="minorHAnsi"/>
          <w:sz w:val="22"/>
          <w:szCs w:val="22"/>
        </w:rPr>
        <w:t>,</w:t>
      </w:r>
      <w:proofErr w:type="gramEnd"/>
      <w:r w:rsidR="00B160F5" w:rsidRPr="00153204">
        <w:rPr>
          <w:rFonts w:asciiTheme="minorHAnsi" w:hAnsiTheme="minorHAnsi" w:cstheme="minorHAnsi"/>
          <w:sz w:val="22"/>
          <w:szCs w:val="22"/>
        </w:rPr>
        <w:t xml:space="preserve"> which are not in the books of TPNODL are detailed in the following table</w:t>
      </w:r>
    </w:p>
    <w:p w14:paraId="1B706DAD" w14:textId="1BE8F29A" w:rsidR="00513B19" w:rsidRPr="00153204" w:rsidRDefault="00513B19" w:rsidP="002334A3">
      <w:pPr>
        <w:pStyle w:val="paragraph"/>
        <w:spacing w:before="0" w:beforeAutospacing="0" w:after="0" w:afterAutospacing="0" w:line="360" w:lineRule="auto"/>
        <w:jc w:val="center"/>
        <w:textAlignment w:val="baseline"/>
        <w:rPr>
          <w:rStyle w:val="normaltextrun"/>
          <w:rFonts w:asciiTheme="minorHAnsi" w:hAnsiTheme="minorHAnsi" w:cstheme="minorHAnsi"/>
          <w:sz w:val="22"/>
          <w:szCs w:val="22"/>
        </w:rPr>
      </w:pPr>
    </w:p>
    <w:p w14:paraId="253BC22B" w14:textId="1F0892C0" w:rsidR="00C56F4B" w:rsidRDefault="00686C4F" w:rsidP="00686C4F">
      <w:pPr>
        <w:spacing w:line="360" w:lineRule="auto"/>
        <w:rPr>
          <w:rFonts w:asciiTheme="minorHAnsi" w:hAnsiTheme="minorHAnsi" w:cstheme="minorHAnsi"/>
          <w:b/>
          <w:bCs/>
          <w:color w:val="000000"/>
          <w:sz w:val="22"/>
          <w:szCs w:val="22"/>
          <w:highlight w:val="yellow"/>
        </w:rPr>
      </w:pPr>
      <w:r w:rsidRPr="00153204">
        <w:rPr>
          <w:rFonts w:asciiTheme="minorHAnsi" w:hAnsiTheme="minorHAnsi" w:cstheme="minorHAnsi"/>
          <w:b/>
          <w:sz w:val="22"/>
          <w:szCs w:val="22"/>
        </w:rPr>
        <w:t xml:space="preserve">                        </w:t>
      </w:r>
      <w:r w:rsidR="00513B19" w:rsidRPr="00153204">
        <w:rPr>
          <w:rFonts w:asciiTheme="minorHAnsi" w:hAnsiTheme="minorHAnsi" w:cstheme="minorHAnsi"/>
          <w:b/>
          <w:sz w:val="22"/>
          <w:szCs w:val="22"/>
        </w:rPr>
        <w:t xml:space="preserve">                                     </w:t>
      </w:r>
      <w:r w:rsidR="00177378" w:rsidRPr="005608AB">
        <w:rPr>
          <w:rFonts w:asciiTheme="minorHAnsi" w:hAnsiTheme="minorHAnsi" w:cstheme="minorHAnsi"/>
          <w:b/>
          <w:sz w:val="22"/>
          <w:szCs w:val="22"/>
        </w:rPr>
        <w:t>Table-2</w:t>
      </w:r>
      <w:r w:rsidR="00A778B6">
        <w:rPr>
          <w:rFonts w:asciiTheme="minorHAnsi" w:hAnsiTheme="minorHAnsi" w:cstheme="minorHAnsi"/>
          <w:b/>
          <w:sz w:val="22"/>
          <w:szCs w:val="22"/>
        </w:rPr>
        <w:t>8</w:t>
      </w:r>
      <w:r w:rsidR="00C56F4B" w:rsidRPr="005608AB">
        <w:rPr>
          <w:rFonts w:asciiTheme="minorHAnsi" w:hAnsiTheme="minorHAnsi" w:cstheme="minorHAnsi"/>
          <w:b/>
          <w:sz w:val="22"/>
          <w:szCs w:val="22"/>
        </w:rPr>
        <w:t xml:space="preserve"> (b</w:t>
      </w:r>
      <w:proofErr w:type="gramStart"/>
      <w:r w:rsidR="00C56F4B" w:rsidRPr="005608AB">
        <w:rPr>
          <w:rFonts w:asciiTheme="minorHAnsi" w:hAnsiTheme="minorHAnsi" w:cstheme="minorHAnsi"/>
          <w:b/>
          <w:sz w:val="22"/>
          <w:szCs w:val="22"/>
        </w:rPr>
        <w:t>) :</w:t>
      </w:r>
      <w:proofErr w:type="gramEnd"/>
      <w:r w:rsidR="00C56F4B" w:rsidRPr="005608AB">
        <w:rPr>
          <w:rFonts w:asciiTheme="minorHAnsi" w:hAnsiTheme="minorHAnsi" w:cstheme="minorHAnsi"/>
          <w:b/>
          <w:sz w:val="22"/>
          <w:szCs w:val="22"/>
        </w:rPr>
        <w:t xml:space="preserve">  Asset  Details                                                </w:t>
      </w:r>
      <w:r w:rsidR="00C56F4B" w:rsidRPr="005608AB">
        <w:rPr>
          <w:rFonts w:asciiTheme="minorHAnsi" w:hAnsiTheme="minorHAnsi" w:cstheme="minorHAnsi"/>
          <w:b/>
          <w:bCs/>
          <w:color w:val="000000"/>
          <w:sz w:val="22"/>
          <w:szCs w:val="22"/>
        </w:rPr>
        <w:t xml:space="preserve">( In </w:t>
      </w:r>
      <w:r w:rsidR="001A2772" w:rsidRPr="005608AB">
        <w:rPr>
          <w:rFonts w:asciiTheme="minorHAnsi" w:hAnsiTheme="minorHAnsi" w:cstheme="minorHAnsi"/>
          <w:b/>
          <w:bCs/>
          <w:color w:val="000000"/>
          <w:sz w:val="22"/>
          <w:szCs w:val="22"/>
        </w:rPr>
        <w:t>Rs.</w:t>
      </w:r>
      <w:r w:rsidR="00C56F4B" w:rsidRPr="005608AB">
        <w:rPr>
          <w:rFonts w:asciiTheme="minorHAnsi" w:hAnsiTheme="minorHAnsi" w:cstheme="minorHAnsi"/>
          <w:b/>
          <w:bCs/>
          <w:color w:val="000000"/>
          <w:sz w:val="22"/>
          <w:szCs w:val="22"/>
        </w:rPr>
        <w:t xml:space="preserve"> </w:t>
      </w:r>
      <w:proofErr w:type="spellStart"/>
      <w:r w:rsidR="00C56F4B" w:rsidRPr="005608AB">
        <w:rPr>
          <w:rFonts w:asciiTheme="minorHAnsi" w:hAnsiTheme="minorHAnsi" w:cstheme="minorHAnsi"/>
          <w:b/>
          <w:bCs/>
          <w:color w:val="000000"/>
          <w:sz w:val="22"/>
          <w:szCs w:val="22"/>
        </w:rPr>
        <w:t>Crs</w:t>
      </w:r>
      <w:proofErr w:type="spellEnd"/>
      <w:r w:rsidR="00C56F4B" w:rsidRPr="005608AB">
        <w:rPr>
          <w:rFonts w:asciiTheme="minorHAnsi" w:hAnsiTheme="minorHAnsi" w:cstheme="minorHAnsi"/>
          <w:b/>
          <w:bCs/>
          <w:color w:val="000000"/>
          <w:sz w:val="22"/>
          <w:szCs w:val="22"/>
        </w:rPr>
        <w:t>)</w:t>
      </w:r>
    </w:p>
    <w:p w14:paraId="24653F68" w14:textId="29EF07EB" w:rsidR="00984B2C" w:rsidRDefault="00984B2C" w:rsidP="00686C4F">
      <w:pPr>
        <w:spacing w:line="360" w:lineRule="auto"/>
        <w:rPr>
          <w:rFonts w:asciiTheme="minorHAnsi" w:hAnsiTheme="minorHAnsi" w:cstheme="minorHAnsi"/>
          <w:b/>
          <w:bCs/>
          <w:color w:val="000000"/>
          <w:sz w:val="22"/>
          <w:szCs w:val="22"/>
          <w:highlight w:val="yellow"/>
        </w:rPr>
      </w:pPr>
    </w:p>
    <w:tbl>
      <w:tblPr>
        <w:tblW w:w="9411" w:type="dxa"/>
        <w:tblInd w:w="132" w:type="dxa"/>
        <w:tblLook w:val="04A0" w:firstRow="1" w:lastRow="0" w:firstColumn="1" w:lastColumn="0" w:noHBand="0" w:noVBand="1"/>
      </w:tblPr>
      <w:tblGrid>
        <w:gridCol w:w="663"/>
        <w:gridCol w:w="2995"/>
        <w:gridCol w:w="1783"/>
        <w:gridCol w:w="2187"/>
        <w:gridCol w:w="1783"/>
      </w:tblGrid>
      <w:tr w:rsidR="00447E36" w14:paraId="7EF27968" w14:textId="77777777" w:rsidTr="00A778B6">
        <w:trPr>
          <w:trHeight w:val="298"/>
        </w:trPr>
        <w:tc>
          <w:tcPr>
            <w:tcW w:w="663" w:type="dxa"/>
            <w:tcBorders>
              <w:top w:val="single" w:sz="8" w:space="0" w:color="auto"/>
              <w:left w:val="single" w:sz="8" w:space="0" w:color="auto"/>
              <w:bottom w:val="single" w:sz="8" w:space="0" w:color="auto"/>
              <w:right w:val="single" w:sz="8" w:space="0" w:color="auto"/>
            </w:tcBorders>
            <w:shd w:val="clear" w:color="auto" w:fill="95B3D7" w:themeFill="accent1" w:themeFillTint="99"/>
            <w:noWrap/>
            <w:vAlign w:val="center"/>
            <w:hideMark/>
          </w:tcPr>
          <w:p w14:paraId="750F7086" w14:textId="77777777" w:rsidR="00447E36" w:rsidRDefault="00447E36">
            <w:pPr>
              <w:jc w:val="center"/>
              <w:rPr>
                <w:rFonts w:ascii="Calibri" w:hAnsi="Calibri" w:cs="Calibri"/>
                <w:b/>
                <w:bCs/>
                <w:color w:val="000000"/>
                <w:sz w:val="22"/>
                <w:szCs w:val="22"/>
                <w:lang w:val="en-IN" w:eastAsia="en-IN"/>
              </w:rPr>
            </w:pPr>
            <w:r>
              <w:rPr>
                <w:rFonts w:ascii="Calibri" w:hAnsi="Calibri" w:cs="Calibri"/>
                <w:b/>
                <w:bCs/>
                <w:color w:val="000000"/>
                <w:sz w:val="22"/>
                <w:szCs w:val="22"/>
              </w:rPr>
              <w:t>Sl. No.</w:t>
            </w:r>
          </w:p>
        </w:tc>
        <w:tc>
          <w:tcPr>
            <w:tcW w:w="0" w:type="auto"/>
            <w:tcBorders>
              <w:top w:val="single" w:sz="8" w:space="0" w:color="auto"/>
              <w:left w:val="nil"/>
              <w:bottom w:val="single" w:sz="8" w:space="0" w:color="auto"/>
              <w:right w:val="single" w:sz="8" w:space="0" w:color="auto"/>
            </w:tcBorders>
            <w:shd w:val="clear" w:color="auto" w:fill="95B3D7" w:themeFill="accent1" w:themeFillTint="99"/>
            <w:noWrap/>
            <w:vAlign w:val="center"/>
            <w:hideMark/>
          </w:tcPr>
          <w:p w14:paraId="6C5CCD6C" w14:textId="77777777" w:rsidR="00447E36" w:rsidRDefault="00447E36">
            <w:pPr>
              <w:jc w:val="center"/>
              <w:rPr>
                <w:rFonts w:ascii="Calibri" w:hAnsi="Calibri" w:cs="Calibri"/>
                <w:b/>
                <w:bCs/>
                <w:color w:val="000000"/>
                <w:sz w:val="22"/>
                <w:szCs w:val="22"/>
              </w:rPr>
            </w:pPr>
            <w:r>
              <w:rPr>
                <w:rFonts w:ascii="Calibri" w:hAnsi="Calibri" w:cs="Calibri"/>
                <w:b/>
                <w:bCs/>
                <w:color w:val="000000"/>
                <w:sz w:val="22"/>
                <w:szCs w:val="22"/>
              </w:rPr>
              <w:t>Particulars</w:t>
            </w:r>
          </w:p>
        </w:tc>
        <w:tc>
          <w:tcPr>
            <w:tcW w:w="0" w:type="auto"/>
            <w:tcBorders>
              <w:top w:val="single" w:sz="8" w:space="0" w:color="auto"/>
              <w:left w:val="nil"/>
              <w:bottom w:val="single" w:sz="8" w:space="0" w:color="auto"/>
              <w:right w:val="single" w:sz="8" w:space="0" w:color="auto"/>
            </w:tcBorders>
            <w:shd w:val="clear" w:color="auto" w:fill="95B3D7" w:themeFill="accent1" w:themeFillTint="99"/>
            <w:noWrap/>
            <w:vAlign w:val="center"/>
            <w:hideMark/>
          </w:tcPr>
          <w:p w14:paraId="3F41AC09" w14:textId="77777777" w:rsidR="00447E36" w:rsidRDefault="00447E36">
            <w:pPr>
              <w:jc w:val="center"/>
              <w:rPr>
                <w:rFonts w:ascii="Calibri" w:hAnsi="Calibri" w:cs="Calibri"/>
                <w:b/>
                <w:bCs/>
                <w:color w:val="000000"/>
                <w:sz w:val="22"/>
                <w:szCs w:val="22"/>
              </w:rPr>
            </w:pPr>
            <w:r>
              <w:rPr>
                <w:rFonts w:ascii="Calibri" w:hAnsi="Calibri" w:cs="Calibri"/>
                <w:b/>
                <w:bCs/>
                <w:color w:val="000000"/>
                <w:sz w:val="22"/>
                <w:szCs w:val="22"/>
              </w:rPr>
              <w:t>As on 31.03.2024</w:t>
            </w:r>
          </w:p>
        </w:tc>
        <w:tc>
          <w:tcPr>
            <w:tcW w:w="0" w:type="auto"/>
            <w:tcBorders>
              <w:top w:val="single" w:sz="8" w:space="0" w:color="auto"/>
              <w:left w:val="nil"/>
              <w:bottom w:val="single" w:sz="8" w:space="0" w:color="auto"/>
              <w:right w:val="single" w:sz="8" w:space="0" w:color="auto"/>
            </w:tcBorders>
            <w:shd w:val="clear" w:color="auto" w:fill="95B3D7" w:themeFill="accent1" w:themeFillTint="99"/>
            <w:vAlign w:val="center"/>
            <w:hideMark/>
          </w:tcPr>
          <w:p w14:paraId="55719C3A" w14:textId="77777777" w:rsidR="00447E36" w:rsidRDefault="00447E36">
            <w:pPr>
              <w:jc w:val="center"/>
              <w:rPr>
                <w:rFonts w:ascii="Calibri" w:hAnsi="Calibri" w:cs="Calibri"/>
                <w:b/>
                <w:bCs/>
                <w:color w:val="000000"/>
                <w:sz w:val="22"/>
                <w:szCs w:val="22"/>
              </w:rPr>
            </w:pPr>
            <w:r>
              <w:rPr>
                <w:rFonts w:ascii="Calibri" w:hAnsi="Calibri" w:cs="Calibri"/>
                <w:b/>
                <w:bCs/>
                <w:color w:val="000000"/>
                <w:sz w:val="22"/>
                <w:szCs w:val="22"/>
              </w:rPr>
              <w:t>Addition/Deletion During FY 2024-25</w:t>
            </w:r>
          </w:p>
        </w:tc>
        <w:tc>
          <w:tcPr>
            <w:tcW w:w="0" w:type="auto"/>
            <w:tcBorders>
              <w:top w:val="single" w:sz="8" w:space="0" w:color="auto"/>
              <w:left w:val="nil"/>
              <w:bottom w:val="single" w:sz="8" w:space="0" w:color="auto"/>
              <w:right w:val="single" w:sz="8" w:space="0" w:color="auto"/>
            </w:tcBorders>
            <w:shd w:val="clear" w:color="auto" w:fill="95B3D7" w:themeFill="accent1" w:themeFillTint="99"/>
            <w:noWrap/>
            <w:vAlign w:val="center"/>
            <w:hideMark/>
          </w:tcPr>
          <w:p w14:paraId="02833770" w14:textId="77777777" w:rsidR="00447E36" w:rsidRDefault="00447E36">
            <w:pPr>
              <w:jc w:val="center"/>
              <w:rPr>
                <w:rFonts w:ascii="Calibri" w:hAnsi="Calibri" w:cs="Calibri"/>
                <w:b/>
                <w:bCs/>
                <w:color w:val="000000"/>
                <w:sz w:val="22"/>
                <w:szCs w:val="22"/>
              </w:rPr>
            </w:pPr>
            <w:r>
              <w:rPr>
                <w:rFonts w:ascii="Calibri" w:hAnsi="Calibri" w:cs="Calibri"/>
                <w:b/>
                <w:bCs/>
                <w:color w:val="000000"/>
                <w:sz w:val="22"/>
                <w:szCs w:val="22"/>
              </w:rPr>
              <w:t>As on 31.03.2025</w:t>
            </w:r>
          </w:p>
        </w:tc>
      </w:tr>
      <w:tr w:rsidR="00447E36" w14:paraId="59166DA1" w14:textId="77777777" w:rsidTr="00A778B6">
        <w:trPr>
          <w:trHeight w:val="298"/>
        </w:trPr>
        <w:tc>
          <w:tcPr>
            <w:tcW w:w="663" w:type="dxa"/>
            <w:tcBorders>
              <w:top w:val="nil"/>
              <w:left w:val="single" w:sz="8" w:space="0" w:color="auto"/>
              <w:bottom w:val="single" w:sz="8" w:space="0" w:color="auto"/>
              <w:right w:val="single" w:sz="8" w:space="0" w:color="auto"/>
            </w:tcBorders>
            <w:shd w:val="clear" w:color="000000" w:fill="FFFFFF"/>
            <w:noWrap/>
            <w:vAlign w:val="center"/>
            <w:hideMark/>
          </w:tcPr>
          <w:p w14:paraId="3728940E" w14:textId="77777777" w:rsidR="00447E36" w:rsidRDefault="00447E36">
            <w:pPr>
              <w:jc w:val="center"/>
              <w:rPr>
                <w:rFonts w:ascii="Calibri" w:hAnsi="Calibri" w:cs="Calibri"/>
                <w:color w:val="000000"/>
                <w:sz w:val="22"/>
                <w:szCs w:val="22"/>
              </w:rPr>
            </w:pPr>
            <w:r>
              <w:rPr>
                <w:rFonts w:ascii="Calibri" w:hAnsi="Calibri" w:cs="Calibri"/>
                <w:color w:val="000000"/>
                <w:sz w:val="22"/>
                <w:szCs w:val="22"/>
              </w:rPr>
              <w:t>1</w:t>
            </w:r>
          </w:p>
        </w:tc>
        <w:tc>
          <w:tcPr>
            <w:tcW w:w="0" w:type="auto"/>
            <w:tcBorders>
              <w:top w:val="nil"/>
              <w:left w:val="nil"/>
              <w:bottom w:val="single" w:sz="8" w:space="0" w:color="auto"/>
              <w:right w:val="single" w:sz="8" w:space="0" w:color="auto"/>
            </w:tcBorders>
            <w:shd w:val="clear" w:color="000000" w:fill="FFFFFF"/>
            <w:vAlign w:val="center"/>
            <w:hideMark/>
          </w:tcPr>
          <w:p w14:paraId="2AC49EA6" w14:textId="77777777" w:rsidR="00447E36" w:rsidRDefault="00447E36">
            <w:pPr>
              <w:rPr>
                <w:rFonts w:ascii="Calibri" w:hAnsi="Calibri" w:cs="Calibri"/>
                <w:color w:val="000000"/>
                <w:sz w:val="22"/>
                <w:szCs w:val="22"/>
              </w:rPr>
            </w:pPr>
            <w:r>
              <w:rPr>
                <w:rFonts w:ascii="Calibri" w:hAnsi="Calibri" w:cs="Calibri"/>
                <w:color w:val="000000"/>
                <w:sz w:val="22"/>
                <w:szCs w:val="22"/>
              </w:rPr>
              <w:t>GFA as per books of TPNODL excluding meter</w:t>
            </w:r>
          </w:p>
        </w:tc>
        <w:tc>
          <w:tcPr>
            <w:tcW w:w="0" w:type="auto"/>
            <w:tcBorders>
              <w:top w:val="nil"/>
              <w:left w:val="nil"/>
              <w:bottom w:val="single" w:sz="8" w:space="0" w:color="auto"/>
              <w:right w:val="single" w:sz="8" w:space="0" w:color="auto"/>
            </w:tcBorders>
            <w:shd w:val="clear" w:color="000000" w:fill="FFFFFF"/>
            <w:noWrap/>
            <w:vAlign w:val="center"/>
            <w:hideMark/>
          </w:tcPr>
          <w:p w14:paraId="54071DAC" w14:textId="77777777" w:rsidR="00447E36" w:rsidRDefault="00447E36">
            <w:pPr>
              <w:jc w:val="center"/>
              <w:rPr>
                <w:rFonts w:ascii="Calibri" w:hAnsi="Calibri" w:cs="Calibri"/>
                <w:color w:val="000000"/>
                <w:sz w:val="22"/>
                <w:szCs w:val="22"/>
              </w:rPr>
            </w:pPr>
            <w:r>
              <w:rPr>
                <w:rFonts w:ascii="Calibri" w:hAnsi="Calibri" w:cs="Calibri"/>
                <w:color w:val="000000"/>
                <w:sz w:val="22"/>
                <w:szCs w:val="22"/>
              </w:rPr>
              <w:t>3,901.79</w:t>
            </w:r>
          </w:p>
        </w:tc>
        <w:tc>
          <w:tcPr>
            <w:tcW w:w="0" w:type="auto"/>
            <w:tcBorders>
              <w:top w:val="nil"/>
              <w:left w:val="nil"/>
              <w:bottom w:val="single" w:sz="8" w:space="0" w:color="auto"/>
              <w:right w:val="single" w:sz="8" w:space="0" w:color="auto"/>
            </w:tcBorders>
            <w:shd w:val="clear" w:color="000000" w:fill="FFFFFF"/>
            <w:noWrap/>
            <w:vAlign w:val="center"/>
            <w:hideMark/>
          </w:tcPr>
          <w:p w14:paraId="300A2162" w14:textId="77777777" w:rsidR="00447E36" w:rsidRDefault="00447E36">
            <w:pPr>
              <w:jc w:val="center"/>
              <w:rPr>
                <w:rFonts w:ascii="Calibri" w:hAnsi="Calibri" w:cs="Calibri"/>
                <w:color w:val="000000"/>
                <w:sz w:val="22"/>
                <w:szCs w:val="22"/>
              </w:rPr>
            </w:pPr>
            <w:r>
              <w:rPr>
                <w:rFonts w:ascii="Calibri" w:hAnsi="Calibri" w:cs="Calibri"/>
                <w:color w:val="000000"/>
                <w:sz w:val="22"/>
                <w:szCs w:val="22"/>
              </w:rPr>
              <w:t>9,96.50</w:t>
            </w:r>
          </w:p>
        </w:tc>
        <w:tc>
          <w:tcPr>
            <w:tcW w:w="0" w:type="auto"/>
            <w:tcBorders>
              <w:top w:val="nil"/>
              <w:left w:val="nil"/>
              <w:bottom w:val="single" w:sz="8" w:space="0" w:color="auto"/>
              <w:right w:val="single" w:sz="8" w:space="0" w:color="auto"/>
            </w:tcBorders>
            <w:shd w:val="clear" w:color="000000" w:fill="FFFFFF"/>
            <w:noWrap/>
            <w:vAlign w:val="center"/>
            <w:hideMark/>
          </w:tcPr>
          <w:p w14:paraId="0FAF7489" w14:textId="77777777" w:rsidR="00447E36" w:rsidRDefault="00447E36">
            <w:pPr>
              <w:jc w:val="center"/>
              <w:rPr>
                <w:rFonts w:ascii="Calibri" w:hAnsi="Calibri" w:cs="Calibri"/>
                <w:color w:val="000000"/>
                <w:sz w:val="22"/>
                <w:szCs w:val="22"/>
              </w:rPr>
            </w:pPr>
            <w:r>
              <w:rPr>
                <w:rFonts w:ascii="Calibri" w:hAnsi="Calibri" w:cs="Calibri"/>
                <w:color w:val="000000"/>
                <w:sz w:val="22"/>
                <w:szCs w:val="22"/>
              </w:rPr>
              <w:t>4,898.28</w:t>
            </w:r>
          </w:p>
        </w:tc>
      </w:tr>
      <w:tr w:rsidR="00447E36" w14:paraId="0BB382EE" w14:textId="77777777" w:rsidTr="00A778B6">
        <w:trPr>
          <w:trHeight w:val="712"/>
        </w:trPr>
        <w:tc>
          <w:tcPr>
            <w:tcW w:w="663" w:type="dxa"/>
            <w:tcBorders>
              <w:top w:val="nil"/>
              <w:left w:val="single" w:sz="8" w:space="0" w:color="auto"/>
              <w:bottom w:val="single" w:sz="8" w:space="0" w:color="auto"/>
              <w:right w:val="single" w:sz="8" w:space="0" w:color="auto"/>
            </w:tcBorders>
            <w:shd w:val="clear" w:color="000000" w:fill="FFFFFF"/>
            <w:noWrap/>
            <w:vAlign w:val="center"/>
            <w:hideMark/>
          </w:tcPr>
          <w:p w14:paraId="4C78ACBA" w14:textId="77777777" w:rsidR="00447E36" w:rsidRDefault="00447E36">
            <w:pPr>
              <w:jc w:val="center"/>
              <w:rPr>
                <w:rFonts w:ascii="Calibri" w:hAnsi="Calibri" w:cs="Calibri"/>
                <w:color w:val="000000"/>
                <w:sz w:val="22"/>
                <w:szCs w:val="22"/>
              </w:rPr>
            </w:pPr>
            <w:r>
              <w:rPr>
                <w:rFonts w:ascii="Calibri" w:hAnsi="Calibri" w:cs="Calibri"/>
                <w:color w:val="000000"/>
                <w:sz w:val="22"/>
                <w:szCs w:val="22"/>
              </w:rPr>
              <w:t>2(a)</w:t>
            </w:r>
          </w:p>
        </w:tc>
        <w:tc>
          <w:tcPr>
            <w:tcW w:w="0" w:type="auto"/>
            <w:tcBorders>
              <w:top w:val="nil"/>
              <w:left w:val="nil"/>
              <w:bottom w:val="single" w:sz="8" w:space="0" w:color="auto"/>
              <w:right w:val="single" w:sz="8" w:space="0" w:color="auto"/>
            </w:tcBorders>
            <w:shd w:val="clear" w:color="000000" w:fill="FFFFFF"/>
            <w:vAlign w:val="center"/>
            <w:hideMark/>
          </w:tcPr>
          <w:p w14:paraId="4C874358" w14:textId="77777777" w:rsidR="00447E36" w:rsidRDefault="00447E36">
            <w:pPr>
              <w:rPr>
                <w:rFonts w:ascii="Calibri" w:hAnsi="Calibri" w:cs="Calibri"/>
                <w:color w:val="000000"/>
                <w:sz w:val="22"/>
                <w:szCs w:val="22"/>
              </w:rPr>
            </w:pPr>
            <w:r>
              <w:rPr>
                <w:rFonts w:ascii="Calibri" w:hAnsi="Calibri" w:cs="Calibri"/>
                <w:color w:val="000000"/>
                <w:sz w:val="22"/>
                <w:szCs w:val="22"/>
              </w:rPr>
              <w:t>GFA of Govt. Asset created by OPTCL not in the books of TPNODL (As above)</w:t>
            </w:r>
          </w:p>
        </w:tc>
        <w:tc>
          <w:tcPr>
            <w:tcW w:w="0" w:type="auto"/>
            <w:tcBorders>
              <w:top w:val="nil"/>
              <w:left w:val="nil"/>
              <w:bottom w:val="single" w:sz="8" w:space="0" w:color="auto"/>
              <w:right w:val="single" w:sz="8" w:space="0" w:color="auto"/>
            </w:tcBorders>
            <w:shd w:val="clear" w:color="000000" w:fill="FFFFFF"/>
            <w:noWrap/>
            <w:vAlign w:val="center"/>
            <w:hideMark/>
          </w:tcPr>
          <w:p w14:paraId="7C2F76C2" w14:textId="77777777" w:rsidR="00447E36" w:rsidRDefault="00447E36">
            <w:pPr>
              <w:jc w:val="center"/>
              <w:rPr>
                <w:rFonts w:ascii="Calibri" w:hAnsi="Calibri" w:cs="Calibri"/>
                <w:color w:val="000000"/>
                <w:sz w:val="22"/>
                <w:szCs w:val="22"/>
              </w:rPr>
            </w:pPr>
            <w:r>
              <w:rPr>
                <w:rFonts w:ascii="Calibri" w:hAnsi="Calibri" w:cs="Calibri"/>
                <w:color w:val="000000"/>
                <w:sz w:val="22"/>
                <w:szCs w:val="22"/>
              </w:rPr>
              <w:t>3,151.33</w:t>
            </w:r>
          </w:p>
        </w:tc>
        <w:tc>
          <w:tcPr>
            <w:tcW w:w="0" w:type="auto"/>
            <w:tcBorders>
              <w:top w:val="nil"/>
              <w:left w:val="nil"/>
              <w:bottom w:val="single" w:sz="8" w:space="0" w:color="auto"/>
              <w:right w:val="single" w:sz="8" w:space="0" w:color="auto"/>
            </w:tcBorders>
            <w:shd w:val="clear" w:color="000000" w:fill="FFFFFF"/>
            <w:noWrap/>
            <w:vAlign w:val="center"/>
            <w:hideMark/>
          </w:tcPr>
          <w:p w14:paraId="43EBF0FB" w14:textId="77777777" w:rsidR="00447E36" w:rsidRDefault="00447E36">
            <w:pPr>
              <w:jc w:val="center"/>
              <w:rPr>
                <w:rFonts w:ascii="Calibri" w:hAnsi="Calibri" w:cs="Calibri"/>
                <w:color w:val="000000"/>
                <w:sz w:val="22"/>
                <w:szCs w:val="22"/>
              </w:rPr>
            </w:pPr>
            <w:r>
              <w:rPr>
                <w:rFonts w:ascii="Calibri" w:hAnsi="Calibri" w:cs="Calibri"/>
                <w:color w:val="000000"/>
                <w:sz w:val="22"/>
                <w:szCs w:val="22"/>
              </w:rPr>
              <w:t>456.56</w:t>
            </w:r>
          </w:p>
        </w:tc>
        <w:tc>
          <w:tcPr>
            <w:tcW w:w="0" w:type="auto"/>
            <w:tcBorders>
              <w:top w:val="nil"/>
              <w:left w:val="nil"/>
              <w:bottom w:val="single" w:sz="8" w:space="0" w:color="auto"/>
              <w:right w:val="single" w:sz="8" w:space="0" w:color="auto"/>
            </w:tcBorders>
            <w:shd w:val="clear" w:color="000000" w:fill="FFFFFF"/>
            <w:noWrap/>
            <w:vAlign w:val="center"/>
            <w:hideMark/>
          </w:tcPr>
          <w:p w14:paraId="4D889471" w14:textId="77777777" w:rsidR="00447E36" w:rsidRDefault="00447E36">
            <w:pPr>
              <w:jc w:val="center"/>
              <w:rPr>
                <w:rFonts w:ascii="Calibri" w:hAnsi="Calibri" w:cs="Calibri"/>
                <w:color w:val="000000"/>
                <w:sz w:val="22"/>
                <w:szCs w:val="22"/>
              </w:rPr>
            </w:pPr>
            <w:r>
              <w:rPr>
                <w:rFonts w:ascii="Calibri" w:hAnsi="Calibri" w:cs="Calibri"/>
                <w:color w:val="000000"/>
                <w:sz w:val="22"/>
                <w:szCs w:val="22"/>
              </w:rPr>
              <w:t>3,607.89</w:t>
            </w:r>
          </w:p>
        </w:tc>
      </w:tr>
      <w:tr w:rsidR="00447E36" w14:paraId="0B995F1D" w14:textId="77777777" w:rsidTr="00A778B6">
        <w:trPr>
          <w:trHeight w:val="727"/>
        </w:trPr>
        <w:tc>
          <w:tcPr>
            <w:tcW w:w="663" w:type="dxa"/>
            <w:tcBorders>
              <w:top w:val="nil"/>
              <w:left w:val="single" w:sz="8" w:space="0" w:color="auto"/>
              <w:bottom w:val="single" w:sz="8" w:space="0" w:color="auto"/>
              <w:right w:val="single" w:sz="8" w:space="0" w:color="auto"/>
            </w:tcBorders>
            <w:shd w:val="clear" w:color="000000" w:fill="FFFFFF"/>
            <w:noWrap/>
            <w:vAlign w:val="center"/>
            <w:hideMark/>
          </w:tcPr>
          <w:p w14:paraId="00B289B4" w14:textId="77777777" w:rsidR="00447E36" w:rsidRDefault="00447E36">
            <w:pPr>
              <w:jc w:val="center"/>
              <w:rPr>
                <w:rFonts w:ascii="Calibri" w:hAnsi="Calibri" w:cs="Calibri"/>
                <w:color w:val="000000"/>
                <w:sz w:val="22"/>
                <w:szCs w:val="22"/>
              </w:rPr>
            </w:pPr>
            <w:r>
              <w:rPr>
                <w:rFonts w:ascii="Calibri" w:hAnsi="Calibri" w:cs="Calibri"/>
                <w:color w:val="000000"/>
                <w:sz w:val="22"/>
                <w:szCs w:val="22"/>
              </w:rPr>
              <w:t>2(b)</w:t>
            </w:r>
          </w:p>
        </w:tc>
        <w:tc>
          <w:tcPr>
            <w:tcW w:w="0" w:type="auto"/>
            <w:tcBorders>
              <w:top w:val="nil"/>
              <w:left w:val="nil"/>
              <w:bottom w:val="single" w:sz="8" w:space="0" w:color="auto"/>
              <w:right w:val="single" w:sz="8" w:space="0" w:color="auto"/>
            </w:tcBorders>
            <w:shd w:val="clear" w:color="000000" w:fill="FFFFFF"/>
            <w:vAlign w:val="center"/>
            <w:hideMark/>
          </w:tcPr>
          <w:p w14:paraId="5C597C6E" w14:textId="77777777" w:rsidR="00447E36" w:rsidRDefault="00447E36">
            <w:pPr>
              <w:rPr>
                <w:rFonts w:ascii="Calibri" w:hAnsi="Calibri" w:cs="Calibri"/>
                <w:color w:val="000000"/>
                <w:sz w:val="22"/>
                <w:szCs w:val="22"/>
              </w:rPr>
            </w:pPr>
            <w:proofErr w:type="gramStart"/>
            <w:r>
              <w:rPr>
                <w:rFonts w:ascii="Calibri" w:hAnsi="Calibri" w:cs="Calibri"/>
                <w:color w:val="000000"/>
                <w:sz w:val="22"/>
                <w:szCs w:val="22"/>
              </w:rPr>
              <w:t>Less  Assets</w:t>
            </w:r>
            <w:proofErr w:type="gramEnd"/>
            <w:r>
              <w:rPr>
                <w:rFonts w:ascii="Calibri" w:hAnsi="Calibri" w:cs="Calibri"/>
                <w:color w:val="000000"/>
                <w:sz w:val="22"/>
                <w:szCs w:val="22"/>
              </w:rPr>
              <w:t xml:space="preserve"> already transferred to TPNODL from ODSSP towards equity  by Govt</w:t>
            </w:r>
          </w:p>
        </w:tc>
        <w:tc>
          <w:tcPr>
            <w:tcW w:w="0" w:type="auto"/>
            <w:tcBorders>
              <w:top w:val="nil"/>
              <w:left w:val="nil"/>
              <w:bottom w:val="single" w:sz="8" w:space="0" w:color="auto"/>
              <w:right w:val="single" w:sz="8" w:space="0" w:color="auto"/>
            </w:tcBorders>
            <w:shd w:val="clear" w:color="000000" w:fill="FFFFFF"/>
            <w:noWrap/>
            <w:vAlign w:val="center"/>
            <w:hideMark/>
          </w:tcPr>
          <w:p w14:paraId="70077115" w14:textId="77777777" w:rsidR="00447E36" w:rsidRDefault="00447E36">
            <w:pPr>
              <w:jc w:val="center"/>
              <w:rPr>
                <w:rFonts w:ascii="Calibri" w:hAnsi="Calibri" w:cs="Calibri"/>
                <w:color w:val="000000"/>
                <w:sz w:val="22"/>
                <w:szCs w:val="22"/>
              </w:rPr>
            </w:pPr>
            <w:r>
              <w:rPr>
                <w:rFonts w:ascii="Calibri" w:hAnsi="Calibri" w:cs="Calibri"/>
                <w:color w:val="000000"/>
                <w:sz w:val="22"/>
                <w:szCs w:val="22"/>
              </w:rPr>
              <w:t>153.88</w:t>
            </w:r>
          </w:p>
        </w:tc>
        <w:tc>
          <w:tcPr>
            <w:tcW w:w="0" w:type="auto"/>
            <w:tcBorders>
              <w:top w:val="nil"/>
              <w:left w:val="nil"/>
              <w:bottom w:val="single" w:sz="8" w:space="0" w:color="auto"/>
              <w:right w:val="single" w:sz="8" w:space="0" w:color="auto"/>
            </w:tcBorders>
            <w:shd w:val="clear" w:color="000000" w:fill="FFFFFF"/>
            <w:noWrap/>
            <w:vAlign w:val="center"/>
            <w:hideMark/>
          </w:tcPr>
          <w:p w14:paraId="688A3839" w14:textId="77777777" w:rsidR="00447E36" w:rsidRDefault="00447E36">
            <w:pPr>
              <w:jc w:val="center"/>
              <w:rPr>
                <w:rFonts w:ascii="Calibri" w:hAnsi="Calibri" w:cs="Calibri"/>
                <w:color w:val="000000"/>
                <w:sz w:val="22"/>
                <w:szCs w:val="22"/>
              </w:rPr>
            </w:pPr>
            <w:r>
              <w:rPr>
                <w:rFonts w:ascii="Calibri" w:hAnsi="Calibri" w:cs="Calibri"/>
                <w:color w:val="000000"/>
                <w:sz w:val="22"/>
                <w:szCs w:val="22"/>
              </w:rPr>
              <w:t>57.33</w:t>
            </w:r>
          </w:p>
        </w:tc>
        <w:tc>
          <w:tcPr>
            <w:tcW w:w="0" w:type="auto"/>
            <w:tcBorders>
              <w:top w:val="nil"/>
              <w:left w:val="nil"/>
              <w:bottom w:val="single" w:sz="8" w:space="0" w:color="auto"/>
              <w:right w:val="single" w:sz="8" w:space="0" w:color="auto"/>
            </w:tcBorders>
            <w:shd w:val="clear" w:color="000000" w:fill="FFFFFF"/>
            <w:noWrap/>
            <w:vAlign w:val="center"/>
            <w:hideMark/>
          </w:tcPr>
          <w:p w14:paraId="199BDDD1" w14:textId="77777777" w:rsidR="00447E36" w:rsidRDefault="00447E36">
            <w:pPr>
              <w:jc w:val="center"/>
              <w:rPr>
                <w:rFonts w:ascii="Calibri" w:hAnsi="Calibri" w:cs="Calibri"/>
                <w:color w:val="000000"/>
                <w:sz w:val="22"/>
                <w:szCs w:val="22"/>
              </w:rPr>
            </w:pPr>
            <w:r>
              <w:rPr>
                <w:rFonts w:ascii="Calibri" w:hAnsi="Calibri" w:cs="Calibri"/>
                <w:color w:val="000000"/>
                <w:sz w:val="22"/>
                <w:szCs w:val="22"/>
              </w:rPr>
              <w:t>211.21</w:t>
            </w:r>
          </w:p>
        </w:tc>
      </w:tr>
      <w:tr w:rsidR="00447E36" w14:paraId="6415C2BF" w14:textId="77777777" w:rsidTr="00A778B6">
        <w:trPr>
          <w:trHeight w:val="501"/>
        </w:trPr>
        <w:tc>
          <w:tcPr>
            <w:tcW w:w="663" w:type="dxa"/>
            <w:tcBorders>
              <w:top w:val="nil"/>
              <w:left w:val="single" w:sz="8" w:space="0" w:color="auto"/>
              <w:bottom w:val="single" w:sz="8" w:space="0" w:color="auto"/>
              <w:right w:val="single" w:sz="8" w:space="0" w:color="auto"/>
            </w:tcBorders>
            <w:shd w:val="clear" w:color="000000" w:fill="FFFFFF"/>
            <w:noWrap/>
            <w:vAlign w:val="center"/>
            <w:hideMark/>
          </w:tcPr>
          <w:p w14:paraId="15E29A41" w14:textId="77777777" w:rsidR="00447E36" w:rsidRDefault="00447E36">
            <w:pPr>
              <w:jc w:val="center"/>
              <w:rPr>
                <w:rFonts w:ascii="Calibri" w:hAnsi="Calibri" w:cs="Calibri"/>
                <w:b/>
                <w:bCs/>
                <w:color w:val="000000"/>
                <w:sz w:val="22"/>
                <w:szCs w:val="22"/>
              </w:rPr>
            </w:pPr>
            <w:r>
              <w:rPr>
                <w:rFonts w:ascii="Calibri" w:hAnsi="Calibri" w:cs="Calibri"/>
                <w:b/>
                <w:bCs/>
                <w:color w:val="000000"/>
                <w:sz w:val="22"/>
                <w:szCs w:val="22"/>
              </w:rPr>
              <w:t>2(c)</w:t>
            </w:r>
          </w:p>
        </w:tc>
        <w:tc>
          <w:tcPr>
            <w:tcW w:w="0" w:type="auto"/>
            <w:tcBorders>
              <w:top w:val="nil"/>
              <w:left w:val="nil"/>
              <w:bottom w:val="single" w:sz="8" w:space="0" w:color="auto"/>
              <w:right w:val="single" w:sz="8" w:space="0" w:color="auto"/>
            </w:tcBorders>
            <w:shd w:val="clear" w:color="000000" w:fill="FFFFFF"/>
            <w:noWrap/>
            <w:vAlign w:val="center"/>
            <w:hideMark/>
          </w:tcPr>
          <w:p w14:paraId="3144645D" w14:textId="77777777" w:rsidR="00447E36" w:rsidRDefault="00447E36">
            <w:pPr>
              <w:rPr>
                <w:rFonts w:ascii="Calibri" w:hAnsi="Calibri" w:cs="Calibri"/>
                <w:b/>
                <w:bCs/>
                <w:color w:val="000000"/>
                <w:sz w:val="22"/>
                <w:szCs w:val="22"/>
              </w:rPr>
            </w:pPr>
            <w:r>
              <w:rPr>
                <w:rFonts w:ascii="Calibri" w:hAnsi="Calibri" w:cs="Calibri"/>
                <w:b/>
                <w:bCs/>
                <w:color w:val="000000"/>
                <w:sz w:val="22"/>
                <w:szCs w:val="22"/>
              </w:rPr>
              <w:t xml:space="preserve">Net Govt. Assets </w:t>
            </w:r>
          </w:p>
        </w:tc>
        <w:tc>
          <w:tcPr>
            <w:tcW w:w="0" w:type="auto"/>
            <w:tcBorders>
              <w:top w:val="nil"/>
              <w:left w:val="nil"/>
              <w:bottom w:val="single" w:sz="8" w:space="0" w:color="auto"/>
              <w:right w:val="single" w:sz="8" w:space="0" w:color="auto"/>
            </w:tcBorders>
            <w:shd w:val="clear" w:color="000000" w:fill="FFFFFF"/>
            <w:noWrap/>
            <w:vAlign w:val="center"/>
            <w:hideMark/>
          </w:tcPr>
          <w:p w14:paraId="27CB18D5" w14:textId="77777777" w:rsidR="00447E36" w:rsidRDefault="00447E36">
            <w:pPr>
              <w:jc w:val="center"/>
              <w:rPr>
                <w:rFonts w:ascii="Calibri" w:hAnsi="Calibri" w:cs="Calibri"/>
                <w:b/>
                <w:bCs/>
                <w:color w:val="000000"/>
                <w:sz w:val="22"/>
                <w:szCs w:val="22"/>
              </w:rPr>
            </w:pPr>
            <w:r>
              <w:rPr>
                <w:rFonts w:ascii="Calibri" w:hAnsi="Calibri" w:cs="Calibri"/>
                <w:b/>
                <w:bCs/>
                <w:color w:val="000000"/>
                <w:sz w:val="22"/>
                <w:szCs w:val="22"/>
              </w:rPr>
              <w:t>2,997.45</w:t>
            </w:r>
          </w:p>
        </w:tc>
        <w:tc>
          <w:tcPr>
            <w:tcW w:w="0" w:type="auto"/>
            <w:tcBorders>
              <w:top w:val="nil"/>
              <w:left w:val="nil"/>
              <w:bottom w:val="single" w:sz="8" w:space="0" w:color="auto"/>
              <w:right w:val="single" w:sz="8" w:space="0" w:color="auto"/>
            </w:tcBorders>
            <w:shd w:val="clear" w:color="000000" w:fill="FFFFFF"/>
            <w:noWrap/>
            <w:vAlign w:val="center"/>
            <w:hideMark/>
          </w:tcPr>
          <w:p w14:paraId="35845D13" w14:textId="77777777" w:rsidR="00447E36" w:rsidRDefault="00447E36">
            <w:pPr>
              <w:jc w:val="center"/>
              <w:rPr>
                <w:rFonts w:ascii="Calibri" w:hAnsi="Calibri" w:cs="Calibri"/>
                <w:b/>
                <w:bCs/>
                <w:color w:val="000000"/>
                <w:sz w:val="22"/>
                <w:szCs w:val="22"/>
              </w:rPr>
            </w:pPr>
            <w:r>
              <w:rPr>
                <w:rFonts w:ascii="Calibri" w:hAnsi="Calibri" w:cs="Calibri"/>
                <w:b/>
                <w:bCs/>
                <w:color w:val="000000"/>
                <w:sz w:val="22"/>
                <w:szCs w:val="22"/>
              </w:rPr>
              <w:t>399.23</w:t>
            </w:r>
          </w:p>
        </w:tc>
        <w:tc>
          <w:tcPr>
            <w:tcW w:w="0" w:type="auto"/>
            <w:tcBorders>
              <w:top w:val="nil"/>
              <w:left w:val="nil"/>
              <w:bottom w:val="single" w:sz="8" w:space="0" w:color="auto"/>
              <w:right w:val="single" w:sz="8" w:space="0" w:color="auto"/>
            </w:tcBorders>
            <w:shd w:val="clear" w:color="000000" w:fill="FFFFFF"/>
            <w:noWrap/>
            <w:vAlign w:val="center"/>
            <w:hideMark/>
          </w:tcPr>
          <w:p w14:paraId="31F3767F" w14:textId="77777777" w:rsidR="00447E36" w:rsidRDefault="00447E36">
            <w:pPr>
              <w:jc w:val="center"/>
              <w:rPr>
                <w:rFonts w:ascii="Calibri" w:hAnsi="Calibri" w:cs="Calibri"/>
                <w:b/>
                <w:bCs/>
                <w:color w:val="000000"/>
                <w:sz w:val="22"/>
                <w:szCs w:val="22"/>
              </w:rPr>
            </w:pPr>
            <w:r>
              <w:rPr>
                <w:rFonts w:ascii="Calibri" w:hAnsi="Calibri" w:cs="Calibri"/>
                <w:b/>
                <w:bCs/>
                <w:color w:val="000000"/>
                <w:sz w:val="22"/>
                <w:szCs w:val="22"/>
              </w:rPr>
              <w:t>3,396.68</w:t>
            </w:r>
          </w:p>
        </w:tc>
      </w:tr>
      <w:tr w:rsidR="00447E36" w14:paraId="5CCFAD73" w14:textId="77777777" w:rsidTr="00A778B6">
        <w:trPr>
          <w:trHeight w:val="538"/>
        </w:trPr>
        <w:tc>
          <w:tcPr>
            <w:tcW w:w="663" w:type="dxa"/>
            <w:tcBorders>
              <w:top w:val="nil"/>
              <w:left w:val="single" w:sz="8" w:space="0" w:color="auto"/>
              <w:bottom w:val="single" w:sz="8" w:space="0" w:color="auto"/>
              <w:right w:val="single" w:sz="8" w:space="0" w:color="auto"/>
            </w:tcBorders>
            <w:shd w:val="clear" w:color="auto" w:fill="8DB3E2" w:themeFill="text2" w:themeFillTint="66"/>
            <w:noWrap/>
            <w:vAlign w:val="center"/>
            <w:hideMark/>
          </w:tcPr>
          <w:p w14:paraId="31DD06B5" w14:textId="77777777" w:rsidR="00447E36" w:rsidRDefault="00447E36">
            <w:pPr>
              <w:jc w:val="center"/>
              <w:rPr>
                <w:rFonts w:ascii="Calibri" w:hAnsi="Calibri" w:cs="Calibri"/>
                <w:b/>
                <w:bCs/>
                <w:color w:val="000000"/>
                <w:sz w:val="22"/>
                <w:szCs w:val="22"/>
              </w:rPr>
            </w:pPr>
            <w:r>
              <w:rPr>
                <w:rFonts w:ascii="Calibri" w:hAnsi="Calibri" w:cs="Calibri"/>
                <w:b/>
                <w:bCs/>
                <w:color w:val="000000"/>
                <w:sz w:val="22"/>
                <w:szCs w:val="22"/>
              </w:rPr>
              <w:t>3</w:t>
            </w:r>
          </w:p>
        </w:tc>
        <w:tc>
          <w:tcPr>
            <w:tcW w:w="0" w:type="auto"/>
            <w:tcBorders>
              <w:top w:val="nil"/>
              <w:left w:val="nil"/>
              <w:bottom w:val="single" w:sz="8" w:space="0" w:color="auto"/>
              <w:right w:val="single" w:sz="8" w:space="0" w:color="auto"/>
            </w:tcBorders>
            <w:shd w:val="clear" w:color="auto" w:fill="8DB3E2" w:themeFill="text2" w:themeFillTint="66"/>
            <w:noWrap/>
            <w:vAlign w:val="center"/>
            <w:hideMark/>
          </w:tcPr>
          <w:p w14:paraId="0757281F" w14:textId="729B5A0A" w:rsidR="00447E36" w:rsidRDefault="00447E36">
            <w:pPr>
              <w:rPr>
                <w:rFonts w:ascii="Calibri" w:hAnsi="Calibri" w:cs="Calibri"/>
                <w:b/>
                <w:bCs/>
                <w:color w:val="000000"/>
                <w:sz w:val="22"/>
                <w:szCs w:val="22"/>
              </w:rPr>
            </w:pPr>
            <w:r>
              <w:rPr>
                <w:rFonts w:ascii="Calibri" w:hAnsi="Calibri" w:cs="Calibri"/>
                <w:b/>
                <w:bCs/>
                <w:color w:val="000000"/>
                <w:sz w:val="22"/>
                <w:szCs w:val="22"/>
              </w:rPr>
              <w:t xml:space="preserve">Grand </w:t>
            </w:r>
            <w:proofErr w:type="gramStart"/>
            <w:r>
              <w:rPr>
                <w:rFonts w:ascii="Calibri" w:hAnsi="Calibri" w:cs="Calibri"/>
                <w:b/>
                <w:bCs/>
                <w:color w:val="000000"/>
                <w:sz w:val="22"/>
                <w:szCs w:val="22"/>
              </w:rPr>
              <w:t>Total(</w:t>
            </w:r>
            <w:proofErr w:type="gramEnd"/>
            <w:r>
              <w:rPr>
                <w:rFonts w:ascii="Calibri" w:hAnsi="Calibri" w:cs="Calibri"/>
                <w:b/>
                <w:bCs/>
                <w:color w:val="000000"/>
                <w:sz w:val="22"/>
                <w:szCs w:val="22"/>
              </w:rPr>
              <w:t>1+2 (c))</w:t>
            </w:r>
          </w:p>
        </w:tc>
        <w:tc>
          <w:tcPr>
            <w:tcW w:w="0" w:type="auto"/>
            <w:tcBorders>
              <w:top w:val="nil"/>
              <w:left w:val="nil"/>
              <w:bottom w:val="single" w:sz="8" w:space="0" w:color="auto"/>
              <w:right w:val="single" w:sz="8" w:space="0" w:color="auto"/>
            </w:tcBorders>
            <w:shd w:val="clear" w:color="auto" w:fill="8DB3E2" w:themeFill="text2" w:themeFillTint="66"/>
            <w:noWrap/>
            <w:vAlign w:val="center"/>
            <w:hideMark/>
          </w:tcPr>
          <w:p w14:paraId="35AAE2FC" w14:textId="77777777" w:rsidR="00447E36" w:rsidRDefault="00447E36">
            <w:pPr>
              <w:jc w:val="center"/>
              <w:rPr>
                <w:rFonts w:ascii="Calibri" w:hAnsi="Calibri" w:cs="Calibri"/>
                <w:b/>
                <w:bCs/>
                <w:color w:val="000000"/>
                <w:sz w:val="22"/>
                <w:szCs w:val="22"/>
              </w:rPr>
            </w:pPr>
            <w:r>
              <w:rPr>
                <w:rFonts w:ascii="Calibri" w:hAnsi="Calibri" w:cs="Calibri"/>
                <w:b/>
                <w:bCs/>
                <w:color w:val="000000"/>
                <w:sz w:val="22"/>
                <w:szCs w:val="22"/>
              </w:rPr>
              <w:t>6,899.24</w:t>
            </w:r>
          </w:p>
        </w:tc>
        <w:tc>
          <w:tcPr>
            <w:tcW w:w="0" w:type="auto"/>
            <w:tcBorders>
              <w:top w:val="nil"/>
              <w:left w:val="nil"/>
              <w:bottom w:val="single" w:sz="8" w:space="0" w:color="auto"/>
              <w:right w:val="single" w:sz="8" w:space="0" w:color="auto"/>
            </w:tcBorders>
            <w:shd w:val="clear" w:color="auto" w:fill="8DB3E2" w:themeFill="text2" w:themeFillTint="66"/>
            <w:noWrap/>
            <w:vAlign w:val="center"/>
            <w:hideMark/>
          </w:tcPr>
          <w:p w14:paraId="77D2C073" w14:textId="77777777" w:rsidR="00447E36" w:rsidRDefault="00447E36">
            <w:pPr>
              <w:jc w:val="center"/>
              <w:rPr>
                <w:rFonts w:ascii="Calibri" w:hAnsi="Calibri" w:cs="Calibri"/>
                <w:b/>
                <w:bCs/>
                <w:color w:val="000000"/>
                <w:sz w:val="22"/>
                <w:szCs w:val="22"/>
              </w:rPr>
            </w:pPr>
            <w:r>
              <w:rPr>
                <w:rFonts w:ascii="Calibri" w:hAnsi="Calibri" w:cs="Calibri"/>
                <w:b/>
                <w:bCs/>
                <w:color w:val="000000"/>
                <w:sz w:val="22"/>
                <w:szCs w:val="22"/>
              </w:rPr>
              <w:t>1,395.72</w:t>
            </w:r>
          </w:p>
        </w:tc>
        <w:tc>
          <w:tcPr>
            <w:tcW w:w="0" w:type="auto"/>
            <w:tcBorders>
              <w:top w:val="nil"/>
              <w:left w:val="nil"/>
              <w:bottom w:val="single" w:sz="8" w:space="0" w:color="auto"/>
              <w:right w:val="single" w:sz="8" w:space="0" w:color="auto"/>
            </w:tcBorders>
            <w:shd w:val="clear" w:color="auto" w:fill="8DB3E2" w:themeFill="text2" w:themeFillTint="66"/>
            <w:noWrap/>
            <w:vAlign w:val="center"/>
            <w:hideMark/>
          </w:tcPr>
          <w:p w14:paraId="6B2DF2FC" w14:textId="77777777" w:rsidR="00447E36" w:rsidRDefault="00447E36">
            <w:pPr>
              <w:jc w:val="center"/>
              <w:rPr>
                <w:rFonts w:ascii="Calibri" w:hAnsi="Calibri" w:cs="Calibri"/>
                <w:b/>
                <w:bCs/>
                <w:color w:val="000000"/>
                <w:sz w:val="22"/>
                <w:szCs w:val="22"/>
              </w:rPr>
            </w:pPr>
            <w:r>
              <w:rPr>
                <w:rFonts w:ascii="Calibri" w:hAnsi="Calibri" w:cs="Calibri"/>
                <w:b/>
                <w:bCs/>
                <w:color w:val="000000"/>
                <w:sz w:val="22"/>
                <w:szCs w:val="22"/>
              </w:rPr>
              <w:t>8,294.96</w:t>
            </w:r>
          </w:p>
        </w:tc>
      </w:tr>
    </w:tbl>
    <w:p w14:paraId="5042E27A" w14:textId="4C33C95E" w:rsidR="00B22B11" w:rsidRPr="00153204" w:rsidRDefault="00B22B11" w:rsidP="002334A3">
      <w:pPr>
        <w:spacing w:line="360" w:lineRule="auto"/>
        <w:jc w:val="both"/>
        <w:rPr>
          <w:rFonts w:asciiTheme="minorHAnsi" w:hAnsiTheme="minorHAnsi" w:cstheme="minorHAnsi"/>
          <w:sz w:val="22"/>
          <w:szCs w:val="22"/>
        </w:rPr>
      </w:pPr>
    </w:p>
    <w:p w14:paraId="542F2303" w14:textId="0C6DCAD0" w:rsidR="007049E8" w:rsidRPr="00153204" w:rsidRDefault="0066257A" w:rsidP="001D016E">
      <w:pPr>
        <w:spacing w:line="360" w:lineRule="auto"/>
        <w:ind w:left="567"/>
        <w:jc w:val="both"/>
        <w:rPr>
          <w:rFonts w:asciiTheme="minorHAnsi" w:hAnsiTheme="minorHAnsi" w:cstheme="minorHAnsi"/>
          <w:sz w:val="22"/>
          <w:szCs w:val="22"/>
        </w:rPr>
      </w:pPr>
      <w:r w:rsidRPr="00153204">
        <w:rPr>
          <w:rFonts w:asciiTheme="minorHAnsi" w:hAnsiTheme="minorHAnsi" w:cstheme="minorHAnsi"/>
          <w:sz w:val="22"/>
          <w:szCs w:val="22"/>
        </w:rPr>
        <w:t>T</w:t>
      </w:r>
      <w:r w:rsidR="007049E8" w:rsidRPr="00153204">
        <w:rPr>
          <w:rFonts w:asciiTheme="minorHAnsi" w:hAnsiTheme="minorHAnsi" w:cstheme="minorHAnsi"/>
          <w:sz w:val="22"/>
          <w:szCs w:val="22"/>
        </w:rPr>
        <w:t xml:space="preserve">he </w:t>
      </w:r>
      <w:r w:rsidR="005608AB">
        <w:rPr>
          <w:rFonts w:asciiTheme="minorHAnsi" w:hAnsiTheme="minorHAnsi" w:cstheme="minorHAnsi"/>
          <w:sz w:val="22"/>
          <w:szCs w:val="22"/>
        </w:rPr>
        <w:t xml:space="preserve">projected </w:t>
      </w:r>
      <w:r w:rsidR="007049E8" w:rsidRPr="00153204">
        <w:rPr>
          <w:rFonts w:asciiTheme="minorHAnsi" w:hAnsiTheme="minorHAnsi" w:cstheme="minorHAnsi"/>
          <w:sz w:val="22"/>
          <w:szCs w:val="22"/>
        </w:rPr>
        <w:t>GFA of the licensee   as on March ‘202</w:t>
      </w:r>
      <w:r w:rsidR="005608AB">
        <w:rPr>
          <w:rFonts w:asciiTheme="minorHAnsi" w:hAnsiTheme="minorHAnsi" w:cstheme="minorHAnsi"/>
          <w:sz w:val="22"/>
          <w:szCs w:val="22"/>
        </w:rPr>
        <w:t>5</w:t>
      </w:r>
      <w:r w:rsidR="007049E8" w:rsidRPr="00153204">
        <w:rPr>
          <w:rFonts w:asciiTheme="minorHAnsi" w:hAnsiTheme="minorHAnsi" w:cstheme="minorHAnsi"/>
          <w:sz w:val="22"/>
          <w:szCs w:val="22"/>
        </w:rPr>
        <w:t xml:space="preserve"> is Rs.</w:t>
      </w:r>
      <w:r w:rsidR="005608AB">
        <w:rPr>
          <w:rFonts w:asciiTheme="minorHAnsi" w:hAnsiTheme="minorHAnsi" w:cstheme="minorHAnsi"/>
          <w:sz w:val="22"/>
          <w:szCs w:val="22"/>
        </w:rPr>
        <w:t>4998.28</w:t>
      </w:r>
      <w:r w:rsidR="007049E8" w:rsidRPr="00153204">
        <w:rPr>
          <w:rFonts w:asciiTheme="minorHAnsi" w:hAnsiTheme="minorHAnsi" w:cstheme="minorHAnsi"/>
          <w:sz w:val="22"/>
          <w:szCs w:val="22"/>
        </w:rPr>
        <w:t xml:space="preserve"> </w:t>
      </w:r>
      <w:proofErr w:type="spellStart"/>
      <w:r w:rsidR="007049E8" w:rsidRPr="00153204">
        <w:rPr>
          <w:rFonts w:asciiTheme="minorHAnsi" w:hAnsiTheme="minorHAnsi" w:cstheme="minorHAnsi"/>
          <w:sz w:val="22"/>
          <w:szCs w:val="22"/>
        </w:rPr>
        <w:t>Crs</w:t>
      </w:r>
      <w:proofErr w:type="spellEnd"/>
      <w:r w:rsidR="007049E8" w:rsidRPr="00153204">
        <w:rPr>
          <w:rFonts w:asciiTheme="minorHAnsi" w:hAnsiTheme="minorHAnsi" w:cstheme="minorHAnsi"/>
          <w:sz w:val="22"/>
          <w:szCs w:val="22"/>
        </w:rPr>
        <w:t xml:space="preserve"> and the </w:t>
      </w:r>
      <w:r w:rsidR="00976659" w:rsidRPr="00153204">
        <w:rPr>
          <w:rFonts w:asciiTheme="minorHAnsi" w:hAnsiTheme="minorHAnsi" w:cstheme="minorHAnsi"/>
          <w:sz w:val="22"/>
          <w:szCs w:val="22"/>
        </w:rPr>
        <w:t>assets added</w:t>
      </w:r>
      <w:r w:rsidR="007049E8" w:rsidRPr="00153204">
        <w:rPr>
          <w:rFonts w:asciiTheme="minorHAnsi" w:hAnsiTheme="minorHAnsi" w:cstheme="minorHAnsi"/>
          <w:sz w:val="22"/>
          <w:szCs w:val="22"/>
        </w:rPr>
        <w:t xml:space="preserve"> under Govt. </w:t>
      </w:r>
      <w:proofErr w:type="gramStart"/>
      <w:r w:rsidR="007049E8" w:rsidRPr="00153204">
        <w:rPr>
          <w:rFonts w:asciiTheme="minorHAnsi" w:hAnsiTheme="minorHAnsi" w:cstheme="minorHAnsi"/>
          <w:sz w:val="22"/>
          <w:szCs w:val="22"/>
        </w:rPr>
        <w:t>schemes  as</w:t>
      </w:r>
      <w:proofErr w:type="gramEnd"/>
      <w:r w:rsidR="007049E8" w:rsidRPr="00153204">
        <w:rPr>
          <w:rFonts w:asciiTheme="minorHAnsi" w:hAnsiTheme="minorHAnsi" w:cstheme="minorHAnsi"/>
          <w:sz w:val="22"/>
          <w:szCs w:val="22"/>
        </w:rPr>
        <w:t xml:space="preserve"> on March’202</w:t>
      </w:r>
      <w:r w:rsidR="005608AB">
        <w:rPr>
          <w:rFonts w:asciiTheme="minorHAnsi" w:hAnsiTheme="minorHAnsi" w:cstheme="minorHAnsi"/>
          <w:sz w:val="22"/>
          <w:szCs w:val="22"/>
        </w:rPr>
        <w:t>5</w:t>
      </w:r>
      <w:r w:rsidR="007049E8" w:rsidRPr="00153204">
        <w:rPr>
          <w:rFonts w:asciiTheme="minorHAnsi" w:hAnsiTheme="minorHAnsi" w:cstheme="minorHAnsi"/>
          <w:sz w:val="22"/>
          <w:szCs w:val="22"/>
        </w:rPr>
        <w:t xml:space="preserve"> is Rs. </w:t>
      </w:r>
      <w:r w:rsidR="005608AB">
        <w:rPr>
          <w:rFonts w:asciiTheme="minorHAnsi" w:hAnsiTheme="minorHAnsi" w:cstheme="minorHAnsi"/>
          <w:sz w:val="22"/>
          <w:szCs w:val="22"/>
        </w:rPr>
        <w:t>3607.89</w:t>
      </w:r>
      <w:r w:rsidR="007049E8" w:rsidRPr="00153204">
        <w:rPr>
          <w:rFonts w:asciiTheme="minorHAnsi" w:hAnsiTheme="minorHAnsi" w:cstheme="minorHAnsi"/>
          <w:sz w:val="22"/>
          <w:szCs w:val="22"/>
        </w:rPr>
        <w:t xml:space="preserve">Cr. </w:t>
      </w:r>
    </w:p>
    <w:p w14:paraId="125E78E9" w14:textId="152E2157" w:rsidR="001A2772" w:rsidRPr="00153204" w:rsidRDefault="001A2772" w:rsidP="001D016E">
      <w:pPr>
        <w:spacing w:line="360" w:lineRule="auto"/>
        <w:ind w:left="567"/>
        <w:jc w:val="both"/>
        <w:rPr>
          <w:rFonts w:asciiTheme="minorHAnsi" w:hAnsiTheme="minorHAnsi" w:cstheme="minorHAnsi"/>
          <w:sz w:val="22"/>
          <w:szCs w:val="22"/>
        </w:rPr>
      </w:pPr>
    </w:p>
    <w:p w14:paraId="23D5CDCF" w14:textId="2F1E60C9" w:rsidR="00E33039" w:rsidRPr="00A778B6" w:rsidRDefault="00C6564A" w:rsidP="00A778B6">
      <w:pPr>
        <w:spacing w:line="360" w:lineRule="auto"/>
        <w:ind w:left="567"/>
        <w:jc w:val="both"/>
        <w:rPr>
          <w:rFonts w:asciiTheme="minorHAnsi" w:hAnsiTheme="minorHAnsi" w:cstheme="minorHAnsi"/>
          <w:sz w:val="22"/>
          <w:szCs w:val="22"/>
        </w:rPr>
      </w:pPr>
      <w:r w:rsidRPr="00153204">
        <w:rPr>
          <w:rFonts w:asciiTheme="minorHAnsi" w:hAnsiTheme="minorHAnsi" w:cstheme="minorHAnsi"/>
          <w:sz w:val="22"/>
          <w:szCs w:val="22"/>
        </w:rPr>
        <w:t>Under regulation 3.9.19 and 3.9.22 of the OERC (Terms and Conditions for Determination of Wheeling and Retail Supply Tariff) Regulation,2022</w:t>
      </w:r>
      <w:r w:rsidR="005F3507" w:rsidRPr="00153204">
        <w:rPr>
          <w:rFonts w:asciiTheme="minorHAnsi" w:hAnsiTheme="minorHAnsi" w:cstheme="minorHAnsi"/>
          <w:sz w:val="22"/>
          <w:szCs w:val="22"/>
        </w:rPr>
        <w:t xml:space="preserve">-the R&amp;M cost on the opening GFA is coming to </w:t>
      </w:r>
      <w:r w:rsidR="001A2772" w:rsidRPr="00153204">
        <w:rPr>
          <w:rFonts w:asciiTheme="minorHAnsi" w:hAnsiTheme="minorHAnsi" w:cstheme="minorHAnsi"/>
          <w:b/>
          <w:sz w:val="22"/>
          <w:szCs w:val="22"/>
        </w:rPr>
        <w:t>Rs.</w:t>
      </w:r>
      <w:r w:rsidR="00F43858">
        <w:rPr>
          <w:rFonts w:asciiTheme="minorHAnsi" w:hAnsiTheme="minorHAnsi" w:cstheme="minorHAnsi"/>
          <w:b/>
          <w:sz w:val="22"/>
          <w:szCs w:val="22"/>
        </w:rPr>
        <w:t>297</w:t>
      </w:r>
      <w:r w:rsidR="002062BD" w:rsidRPr="00153204">
        <w:rPr>
          <w:rFonts w:asciiTheme="minorHAnsi" w:hAnsiTheme="minorHAnsi" w:cstheme="minorHAnsi"/>
          <w:b/>
          <w:sz w:val="22"/>
          <w:szCs w:val="22"/>
        </w:rPr>
        <w:t>.</w:t>
      </w:r>
      <w:r w:rsidR="00F43858">
        <w:rPr>
          <w:rFonts w:asciiTheme="minorHAnsi" w:hAnsiTheme="minorHAnsi" w:cstheme="minorHAnsi"/>
          <w:b/>
          <w:sz w:val="22"/>
          <w:szCs w:val="22"/>
        </w:rPr>
        <w:t>6</w:t>
      </w:r>
      <w:r w:rsidR="002062BD" w:rsidRPr="00153204">
        <w:rPr>
          <w:rFonts w:asciiTheme="minorHAnsi" w:hAnsiTheme="minorHAnsi" w:cstheme="minorHAnsi"/>
          <w:b/>
          <w:sz w:val="22"/>
          <w:szCs w:val="22"/>
        </w:rPr>
        <w:t>8</w:t>
      </w:r>
      <w:proofErr w:type="gramStart"/>
      <w:r w:rsidR="005F3507" w:rsidRPr="00153204">
        <w:rPr>
          <w:rFonts w:asciiTheme="minorHAnsi" w:hAnsiTheme="minorHAnsi" w:cstheme="minorHAnsi"/>
          <w:b/>
          <w:sz w:val="22"/>
          <w:szCs w:val="22"/>
        </w:rPr>
        <w:t>Crs</w:t>
      </w:r>
      <w:r w:rsidRPr="00153204">
        <w:rPr>
          <w:rFonts w:asciiTheme="minorHAnsi" w:hAnsiTheme="minorHAnsi" w:cstheme="minorHAnsi"/>
          <w:sz w:val="22"/>
          <w:szCs w:val="22"/>
        </w:rPr>
        <w:t xml:space="preserve"> </w:t>
      </w:r>
      <w:r w:rsidR="00B160F5" w:rsidRPr="00153204">
        <w:rPr>
          <w:rFonts w:asciiTheme="minorHAnsi" w:hAnsiTheme="minorHAnsi" w:cstheme="minorHAnsi"/>
          <w:sz w:val="22"/>
          <w:szCs w:val="22"/>
        </w:rPr>
        <w:t>,t</w:t>
      </w:r>
      <w:r w:rsidR="005F3507" w:rsidRPr="00153204">
        <w:rPr>
          <w:rFonts w:asciiTheme="minorHAnsi" w:hAnsiTheme="minorHAnsi" w:cstheme="minorHAnsi"/>
          <w:sz w:val="22"/>
          <w:szCs w:val="22"/>
        </w:rPr>
        <w:t>he</w:t>
      </w:r>
      <w:proofErr w:type="gramEnd"/>
      <w:r w:rsidR="005F3507" w:rsidRPr="00153204">
        <w:rPr>
          <w:rFonts w:asciiTheme="minorHAnsi" w:hAnsiTheme="minorHAnsi" w:cstheme="minorHAnsi"/>
          <w:sz w:val="22"/>
          <w:szCs w:val="22"/>
        </w:rPr>
        <w:t xml:space="preserve"> details of which are given in the following table.</w:t>
      </w:r>
    </w:p>
    <w:p w14:paraId="4C16A382" w14:textId="4C4C8886" w:rsidR="002062BD" w:rsidRDefault="00E33039" w:rsidP="00E33039">
      <w:pPr>
        <w:spacing w:line="360" w:lineRule="auto"/>
        <w:ind w:left="720" w:firstLine="720"/>
        <w:jc w:val="center"/>
        <w:rPr>
          <w:rFonts w:asciiTheme="minorHAnsi" w:hAnsiTheme="minorHAnsi" w:cstheme="minorHAnsi"/>
          <w:b/>
          <w:bCs/>
          <w:color w:val="000000"/>
          <w:sz w:val="22"/>
          <w:szCs w:val="22"/>
        </w:rPr>
      </w:pPr>
      <w:r>
        <w:rPr>
          <w:rFonts w:asciiTheme="minorHAnsi" w:hAnsiTheme="minorHAnsi" w:cstheme="minorHAnsi"/>
          <w:b/>
          <w:sz w:val="22"/>
          <w:szCs w:val="22"/>
        </w:rPr>
        <w:t xml:space="preserve">                             </w:t>
      </w:r>
      <w:r w:rsidR="00177378" w:rsidRPr="00153204">
        <w:rPr>
          <w:rFonts w:asciiTheme="minorHAnsi" w:hAnsiTheme="minorHAnsi" w:cstheme="minorHAnsi"/>
          <w:b/>
          <w:sz w:val="22"/>
          <w:szCs w:val="22"/>
        </w:rPr>
        <w:t>Table-</w:t>
      </w:r>
      <w:proofErr w:type="gramStart"/>
      <w:r w:rsidR="00177378" w:rsidRPr="00153204">
        <w:rPr>
          <w:rFonts w:asciiTheme="minorHAnsi" w:hAnsiTheme="minorHAnsi" w:cstheme="minorHAnsi"/>
          <w:b/>
          <w:sz w:val="22"/>
          <w:szCs w:val="22"/>
        </w:rPr>
        <w:t>2</w:t>
      </w:r>
      <w:r w:rsidR="00A778B6">
        <w:rPr>
          <w:rFonts w:asciiTheme="minorHAnsi" w:hAnsiTheme="minorHAnsi" w:cstheme="minorHAnsi"/>
          <w:b/>
          <w:sz w:val="22"/>
          <w:szCs w:val="22"/>
        </w:rPr>
        <w:t>9</w:t>
      </w:r>
      <w:r w:rsidR="002062BD" w:rsidRPr="00153204">
        <w:rPr>
          <w:rFonts w:asciiTheme="minorHAnsi" w:hAnsiTheme="minorHAnsi" w:cstheme="minorHAnsi"/>
          <w:b/>
          <w:sz w:val="22"/>
          <w:szCs w:val="22"/>
        </w:rPr>
        <w:t xml:space="preserve"> :</w:t>
      </w:r>
      <w:proofErr w:type="gramEnd"/>
      <w:r w:rsidR="002062BD" w:rsidRPr="00153204">
        <w:rPr>
          <w:rFonts w:asciiTheme="minorHAnsi" w:hAnsiTheme="minorHAnsi" w:cstheme="minorHAnsi"/>
          <w:b/>
          <w:sz w:val="22"/>
          <w:szCs w:val="22"/>
        </w:rPr>
        <w:t xml:space="preserve">  Normative R&amp;M                             </w:t>
      </w:r>
      <w:r w:rsidR="002062BD" w:rsidRPr="00153204">
        <w:rPr>
          <w:rFonts w:asciiTheme="minorHAnsi" w:hAnsiTheme="minorHAnsi" w:cstheme="minorHAnsi"/>
          <w:b/>
          <w:bCs/>
          <w:color w:val="000000"/>
          <w:sz w:val="22"/>
          <w:szCs w:val="22"/>
        </w:rPr>
        <w:t xml:space="preserve">( In </w:t>
      </w:r>
      <w:r w:rsidR="001A2772" w:rsidRPr="00153204">
        <w:rPr>
          <w:rFonts w:asciiTheme="minorHAnsi" w:hAnsiTheme="minorHAnsi" w:cstheme="minorHAnsi"/>
          <w:b/>
          <w:bCs/>
          <w:color w:val="000000"/>
          <w:sz w:val="22"/>
          <w:szCs w:val="22"/>
        </w:rPr>
        <w:t>Rs.</w:t>
      </w:r>
      <w:r w:rsidR="002062BD" w:rsidRPr="00153204">
        <w:rPr>
          <w:rFonts w:asciiTheme="minorHAnsi" w:hAnsiTheme="minorHAnsi" w:cstheme="minorHAnsi"/>
          <w:b/>
          <w:bCs/>
          <w:color w:val="000000"/>
          <w:sz w:val="22"/>
          <w:szCs w:val="22"/>
        </w:rPr>
        <w:t xml:space="preserve"> </w:t>
      </w:r>
      <w:proofErr w:type="spellStart"/>
      <w:r w:rsidR="002062BD" w:rsidRPr="00153204">
        <w:rPr>
          <w:rFonts w:asciiTheme="minorHAnsi" w:hAnsiTheme="minorHAnsi" w:cstheme="minorHAnsi"/>
          <w:b/>
          <w:bCs/>
          <w:color w:val="000000"/>
          <w:sz w:val="22"/>
          <w:szCs w:val="22"/>
        </w:rPr>
        <w:t>Crs</w:t>
      </w:r>
      <w:proofErr w:type="spellEnd"/>
      <w:r w:rsidR="002062BD" w:rsidRPr="00153204">
        <w:rPr>
          <w:rFonts w:asciiTheme="minorHAnsi" w:hAnsiTheme="minorHAnsi" w:cstheme="minorHAnsi"/>
          <w:b/>
          <w:bCs/>
          <w:color w:val="000000"/>
          <w:sz w:val="22"/>
          <w:szCs w:val="22"/>
        </w:rPr>
        <w:t>)</w:t>
      </w:r>
    </w:p>
    <w:tbl>
      <w:tblPr>
        <w:tblW w:w="9136" w:type="dxa"/>
        <w:tblInd w:w="421" w:type="dxa"/>
        <w:shd w:val="clear" w:color="auto" w:fill="FFFF00"/>
        <w:tblLook w:val="04A0" w:firstRow="1" w:lastRow="0" w:firstColumn="1" w:lastColumn="0" w:noHBand="0" w:noVBand="1"/>
      </w:tblPr>
      <w:tblGrid>
        <w:gridCol w:w="3402"/>
        <w:gridCol w:w="2126"/>
        <w:gridCol w:w="1956"/>
        <w:gridCol w:w="1652"/>
      </w:tblGrid>
      <w:tr w:rsidR="007F3AB8" w:rsidRPr="00E755E2" w14:paraId="763CC5FD" w14:textId="77777777" w:rsidTr="00E755E2">
        <w:trPr>
          <w:trHeight w:val="90"/>
        </w:trPr>
        <w:tc>
          <w:tcPr>
            <w:tcW w:w="3402" w:type="dxa"/>
            <w:vMerge w:val="restart"/>
            <w:tcBorders>
              <w:top w:val="single" w:sz="4" w:space="0" w:color="auto"/>
              <w:left w:val="single" w:sz="4" w:space="0" w:color="auto"/>
              <w:bottom w:val="single" w:sz="4" w:space="0" w:color="auto"/>
              <w:right w:val="single" w:sz="4" w:space="0" w:color="auto"/>
            </w:tcBorders>
            <w:shd w:val="clear" w:color="auto" w:fill="95B3D7" w:themeFill="accent1" w:themeFillTint="99"/>
            <w:vAlign w:val="center"/>
            <w:hideMark/>
          </w:tcPr>
          <w:p w14:paraId="1B575E66" w14:textId="77777777" w:rsidR="002E0F37" w:rsidRPr="00E755E2" w:rsidRDefault="002E0F37">
            <w:pPr>
              <w:jc w:val="center"/>
              <w:rPr>
                <w:rFonts w:asciiTheme="minorHAnsi" w:hAnsiTheme="minorHAnsi" w:cs="Arial"/>
                <w:b/>
                <w:bCs/>
                <w:color w:val="000000"/>
                <w:sz w:val="22"/>
                <w:szCs w:val="22"/>
                <w:lang w:val="en-IN" w:eastAsia="en-IN"/>
              </w:rPr>
            </w:pPr>
            <w:r w:rsidRPr="00E755E2">
              <w:rPr>
                <w:rFonts w:asciiTheme="minorHAnsi" w:hAnsiTheme="minorHAnsi" w:cs="Arial"/>
                <w:b/>
                <w:bCs/>
                <w:color w:val="000000"/>
                <w:sz w:val="22"/>
                <w:szCs w:val="22"/>
              </w:rPr>
              <w:t>R&amp;M for FY 2024-25</w:t>
            </w:r>
          </w:p>
        </w:tc>
        <w:tc>
          <w:tcPr>
            <w:tcW w:w="4082" w:type="dxa"/>
            <w:gridSpan w:val="2"/>
            <w:tcBorders>
              <w:top w:val="single" w:sz="4" w:space="0" w:color="auto"/>
              <w:left w:val="nil"/>
              <w:bottom w:val="single" w:sz="4" w:space="0" w:color="auto"/>
              <w:right w:val="single" w:sz="4" w:space="0" w:color="auto"/>
            </w:tcBorders>
            <w:shd w:val="clear" w:color="auto" w:fill="95B3D7" w:themeFill="accent1" w:themeFillTint="99"/>
            <w:vAlign w:val="center"/>
            <w:hideMark/>
          </w:tcPr>
          <w:p w14:paraId="01CD2BE7" w14:textId="77777777" w:rsidR="002E0F37" w:rsidRPr="00E755E2" w:rsidRDefault="002E0F37">
            <w:pPr>
              <w:jc w:val="center"/>
              <w:rPr>
                <w:rFonts w:asciiTheme="minorHAnsi" w:hAnsiTheme="minorHAnsi" w:cs="Arial"/>
                <w:b/>
                <w:bCs/>
                <w:color w:val="000000"/>
                <w:sz w:val="22"/>
                <w:szCs w:val="22"/>
              </w:rPr>
            </w:pPr>
            <w:r w:rsidRPr="00E755E2">
              <w:rPr>
                <w:rFonts w:asciiTheme="minorHAnsi" w:hAnsiTheme="minorHAnsi" w:cs="Arial"/>
                <w:b/>
                <w:bCs/>
                <w:color w:val="000000"/>
                <w:sz w:val="22"/>
                <w:szCs w:val="22"/>
              </w:rPr>
              <w:t>DISCOM's</w:t>
            </w:r>
          </w:p>
        </w:tc>
        <w:tc>
          <w:tcPr>
            <w:tcW w:w="1652" w:type="dxa"/>
            <w:tcBorders>
              <w:top w:val="single" w:sz="4" w:space="0" w:color="auto"/>
              <w:left w:val="nil"/>
              <w:bottom w:val="single" w:sz="4" w:space="0" w:color="auto"/>
              <w:right w:val="single" w:sz="4" w:space="0" w:color="auto"/>
            </w:tcBorders>
            <w:shd w:val="clear" w:color="auto" w:fill="95B3D7" w:themeFill="accent1" w:themeFillTint="99"/>
            <w:noWrap/>
            <w:vAlign w:val="center"/>
            <w:hideMark/>
          </w:tcPr>
          <w:p w14:paraId="3719DCEA" w14:textId="77777777" w:rsidR="002E0F37" w:rsidRPr="00E755E2" w:rsidRDefault="002E0F37">
            <w:pPr>
              <w:rPr>
                <w:rFonts w:asciiTheme="minorHAnsi" w:hAnsiTheme="minorHAnsi" w:cs="Arial"/>
                <w:color w:val="000000"/>
                <w:sz w:val="22"/>
                <w:szCs w:val="22"/>
              </w:rPr>
            </w:pPr>
            <w:r w:rsidRPr="00E755E2">
              <w:rPr>
                <w:rFonts w:asciiTheme="minorHAnsi" w:hAnsiTheme="minorHAnsi" w:cs="Arial"/>
                <w:color w:val="000000"/>
                <w:sz w:val="22"/>
                <w:szCs w:val="22"/>
              </w:rPr>
              <w:t> </w:t>
            </w:r>
          </w:p>
        </w:tc>
      </w:tr>
      <w:tr w:rsidR="00B51B4B" w:rsidRPr="00E755E2" w14:paraId="72F5B03B" w14:textId="77777777" w:rsidTr="00E755E2">
        <w:trPr>
          <w:trHeight w:val="173"/>
        </w:trPr>
        <w:tc>
          <w:tcPr>
            <w:tcW w:w="3402" w:type="dxa"/>
            <w:vMerge/>
            <w:tcBorders>
              <w:top w:val="single" w:sz="4" w:space="0" w:color="auto"/>
              <w:left w:val="single" w:sz="4" w:space="0" w:color="auto"/>
              <w:bottom w:val="single" w:sz="4" w:space="0" w:color="auto"/>
              <w:right w:val="single" w:sz="4" w:space="0" w:color="auto"/>
            </w:tcBorders>
            <w:shd w:val="clear" w:color="auto" w:fill="95B3D7" w:themeFill="accent1" w:themeFillTint="99"/>
            <w:vAlign w:val="center"/>
            <w:hideMark/>
          </w:tcPr>
          <w:p w14:paraId="1484689C" w14:textId="77777777" w:rsidR="002E0F37" w:rsidRPr="00E755E2" w:rsidRDefault="002E0F37">
            <w:pPr>
              <w:rPr>
                <w:rFonts w:asciiTheme="minorHAnsi" w:hAnsiTheme="minorHAnsi" w:cs="Arial"/>
                <w:b/>
                <w:bCs/>
                <w:color w:val="000000"/>
                <w:sz w:val="22"/>
                <w:szCs w:val="22"/>
              </w:rPr>
            </w:pPr>
          </w:p>
        </w:tc>
        <w:tc>
          <w:tcPr>
            <w:tcW w:w="2126" w:type="dxa"/>
            <w:tcBorders>
              <w:top w:val="nil"/>
              <w:left w:val="nil"/>
              <w:bottom w:val="single" w:sz="4" w:space="0" w:color="auto"/>
              <w:right w:val="single" w:sz="4" w:space="0" w:color="auto"/>
            </w:tcBorders>
            <w:shd w:val="clear" w:color="auto" w:fill="95B3D7" w:themeFill="accent1" w:themeFillTint="99"/>
            <w:vAlign w:val="center"/>
            <w:hideMark/>
          </w:tcPr>
          <w:p w14:paraId="36ADD927" w14:textId="77777777" w:rsidR="002E0F37" w:rsidRPr="00E755E2" w:rsidRDefault="002E0F37">
            <w:pPr>
              <w:jc w:val="center"/>
              <w:rPr>
                <w:rFonts w:asciiTheme="minorHAnsi" w:hAnsiTheme="minorHAnsi" w:cs="Arial"/>
                <w:b/>
                <w:bCs/>
                <w:color w:val="000000"/>
                <w:sz w:val="22"/>
                <w:szCs w:val="22"/>
              </w:rPr>
            </w:pPr>
            <w:r w:rsidRPr="00E755E2">
              <w:rPr>
                <w:rFonts w:asciiTheme="minorHAnsi" w:hAnsiTheme="minorHAnsi" w:cs="Arial"/>
                <w:b/>
                <w:bCs/>
                <w:color w:val="000000"/>
                <w:sz w:val="22"/>
                <w:szCs w:val="22"/>
              </w:rPr>
              <w:t>DISCOM</w:t>
            </w:r>
          </w:p>
        </w:tc>
        <w:tc>
          <w:tcPr>
            <w:tcW w:w="1956" w:type="dxa"/>
            <w:tcBorders>
              <w:top w:val="nil"/>
              <w:left w:val="nil"/>
              <w:bottom w:val="single" w:sz="4" w:space="0" w:color="auto"/>
              <w:right w:val="single" w:sz="4" w:space="0" w:color="auto"/>
            </w:tcBorders>
            <w:shd w:val="clear" w:color="auto" w:fill="95B3D7" w:themeFill="accent1" w:themeFillTint="99"/>
            <w:vAlign w:val="center"/>
            <w:hideMark/>
          </w:tcPr>
          <w:p w14:paraId="467074A6" w14:textId="77777777" w:rsidR="002E0F37" w:rsidRPr="00E755E2" w:rsidRDefault="002E0F37">
            <w:pPr>
              <w:jc w:val="center"/>
              <w:rPr>
                <w:rFonts w:asciiTheme="minorHAnsi" w:hAnsiTheme="minorHAnsi" w:cs="Arial"/>
                <w:b/>
                <w:bCs/>
                <w:color w:val="000000"/>
                <w:sz w:val="22"/>
                <w:szCs w:val="22"/>
              </w:rPr>
            </w:pPr>
            <w:r w:rsidRPr="00E755E2">
              <w:rPr>
                <w:rFonts w:asciiTheme="minorHAnsi" w:hAnsiTheme="minorHAnsi" w:cs="Arial"/>
                <w:b/>
                <w:bCs/>
                <w:color w:val="000000"/>
                <w:sz w:val="22"/>
                <w:szCs w:val="22"/>
              </w:rPr>
              <w:t>Govt. Assets (OPTCL)</w:t>
            </w:r>
          </w:p>
        </w:tc>
        <w:tc>
          <w:tcPr>
            <w:tcW w:w="1652" w:type="dxa"/>
            <w:tcBorders>
              <w:top w:val="nil"/>
              <w:left w:val="nil"/>
              <w:bottom w:val="single" w:sz="4" w:space="0" w:color="auto"/>
              <w:right w:val="single" w:sz="4" w:space="0" w:color="auto"/>
            </w:tcBorders>
            <w:shd w:val="clear" w:color="auto" w:fill="95B3D7" w:themeFill="accent1" w:themeFillTint="99"/>
            <w:noWrap/>
            <w:vAlign w:val="center"/>
            <w:hideMark/>
          </w:tcPr>
          <w:p w14:paraId="6337E915" w14:textId="77777777" w:rsidR="002E0F37" w:rsidRPr="00E755E2" w:rsidRDefault="002E0F37">
            <w:pPr>
              <w:jc w:val="center"/>
              <w:rPr>
                <w:rFonts w:asciiTheme="minorHAnsi" w:hAnsiTheme="minorHAnsi" w:cs="Arial"/>
                <w:b/>
                <w:bCs/>
                <w:color w:val="000000"/>
                <w:sz w:val="22"/>
                <w:szCs w:val="22"/>
              </w:rPr>
            </w:pPr>
            <w:r w:rsidRPr="00E755E2">
              <w:rPr>
                <w:rFonts w:asciiTheme="minorHAnsi" w:hAnsiTheme="minorHAnsi" w:cs="Arial"/>
                <w:b/>
                <w:bCs/>
                <w:color w:val="000000"/>
                <w:sz w:val="22"/>
                <w:szCs w:val="22"/>
              </w:rPr>
              <w:t xml:space="preserve">Total R&amp;M </w:t>
            </w:r>
          </w:p>
        </w:tc>
      </w:tr>
      <w:tr w:rsidR="00B51B4B" w:rsidRPr="00E755E2" w14:paraId="5B20B09C" w14:textId="77777777" w:rsidTr="00E755E2">
        <w:trPr>
          <w:trHeight w:val="165"/>
        </w:trPr>
        <w:tc>
          <w:tcPr>
            <w:tcW w:w="3402" w:type="dxa"/>
            <w:tcBorders>
              <w:top w:val="nil"/>
              <w:left w:val="single" w:sz="4" w:space="0" w:color="auto"/>
              <w:bottom w:val="single" w:sz="4" w:space="0" w:color="auto"/>
              <w:right w:val="single" w:sz="4" w:space="0" w:color="auto"/>
            </w:tcBorders>
            <w:shd w:val="clear" w:color="auto" w:fill="auto"/>
            <w:vAlign w:val="center"/>
            <w:hideMark/>
          </w:tcPr>
          <w:p w14:paraId="5676ACF6" w14:textId="5AF1A328" w:rsidR="002E0F37" w:rsidRPr="00E755E2" w:rsidRDefault="002E0F37">
            <w:pPr>
              <w:jc w:val="both"/>
              <w:rPr>
                <w:rFonts w:asciiTheme="minorHAnsi" w:hAnsiTheme="minorHAnsi" w:cs="Arial"/>
                <w:color w:val="000000"/>
                <w:sz w:val="22"/>
                <w:szCs w:val="22"/>
              </w:rPr>
            </w:pPr>
            <w:r w:rsidRPr="00E755E2">
              <w:rPr>
                <w:rFonts w:asciiTheme="minorHAnsi" w:hAnsiTheme="minorHAnsi" w:cs="Arial"/>
                <w:color w:val="000000"/>
                <w:sz w:val="22"/>
                <w:szCs w:val="22"/>
              </w:rPr>
              <w:t>DISCOM's Gross fixed assets</w:t>
            </w:r>
            <w:r w:rsidR="00E755E2">
              <w:rPr>
                <w:rFonts w:asciiTheme="minorHAnsi" w:hAnsiTheme="minorHAnsi" w:cs="Arial"/>
                <w:color w:val="000000"/>
                <w:sz w:val="22"/>
                <w:szCs w:val="22"/>
              </w:rPr>
              <w:t xml:space="preserve"> </w:t>
            </w:r>
            <w:r w:rsidRPr="00E755E2">
              <w:rPr>
                <w:rFonts w:asciiTheme="minorHAnsi" w:hAnsiTheme="minorHAnsi" w:cs="Arial"/>
                <w:color w:val="000000"/>
                <w:sz w:val="22"/>
                <w:szCs w:val="22"/>
              </w:rPr>
              <w:t>(GFA) as on 01.04.2025</w:t>
            </w:r>
          </w:p>
        </w:tc>
        <w:tc>
          <w:tcPr>
            <w:tcW w:w="2126" w:type="dxa"/>
            <w:tcBorders>
              <w:top w:val="nil"/>
              <w:left w:val="nil"/>
              <w:bottom w:val="single" w:sz="4" w:space="0" w:color="auto"/>
              <w:right w:val="single" w:sz="4" w:space="0" w:color="auto"/>
            </w:tcBorders>
            <w:shd w:val="clear" w:color="auto" w:fill="auto"/>
            <w:vAlign w:val="center"/>
            <w:hideMark/>
          </w:tcPr>
          <w:p w14:paraId="21D63801" w14:textId="77777777" w:rsidR="002E0F37" w:rsidRPr="00E755E2" w:rsidRDefault="002E0F37">
            <w:pPr>
              <w:jc w:val="center"/>
              <w:rPr>
                <w:rFonts w:asciiTheme="minorHAnsi" w:hAnsiTheme="minorHAnsi" w:cs="Arial"/>
                <w:color w:val="000000"/>
                <w:sz w:val="22"/>
                <w:szCs w:val="22"/>
              </w:rPr>
            </w:pPr>
            <w:r w:rsidRPr="00E755E2">
              <w:rPr>
                <w:rFonts w:asciiTheme="minorHAnsi" w:hAnsiTheme="minorHAnsi" w:cs="Arial"/>
                <w:color w:val="000000"/>
                <w:sz w:val="22"/>
                <w:szCs w:val="22"/>
              </w:rPr>
              <w:t>4249.50</w:t>
            </w:r>
          </w:p>
        </w:tc>
        <w:tc>
          <w:tcPr>
            <w:tcW w:w="1956" w:type="dxa"/>
            <w:tcBorders>
              <w:top w:val="nil"/>
              <w:left w:val="nil"/>
              <w:bottom w:val="single" w:sz="4" w:space="0" w:color="auto"/>
              <w:right w:val="single" w:sz="4" w:space="0" w:color="auto"/>
            </w:tcBorders>
            <w:shd w:val="clear" w:color="auto" w:fill="auto"/>
            <w:vAlign w:val="center"/>
            <w:hideMark/>
          </w:tcPr>
          <w:p w14:paraId="322F41A6" w14:textId="77777777" w:rsidR="002E0F37" w:rsidRPr="00E755E2" w:rsidRDefault="002E0F37">
            <w:pPr>
              <w:jc w:val="center"/>
              <w:rPr>
                <w:rFonts w:asciiTheme="minorHAnsi" w:hAnsiTheme="minorHAnsi" w:cs="Arial"/>
                <w:color w:val="000000"/>
                <w:sz w:val="22"/>
                <w:szCs w:val="22"/>
              </w:rPr>
            </w:pPr>
            <w:r w:rsidRPr="00E755E2">
              <w:rPr>
                <w:rFonts w:asciiTheme="minorHAnsi" w:hAnsiTheme="minorHAnsi" w:cs="Arial"/>
                <w:color w:val="000000"/>
                <w:sz w:val="22"/>
                <w:szCs w:val="22"/>
              </w:rPr>
              <w:t> </w:t>
            </w:r>
          </w:p>
        </w:tc>
        <w:tc>
          <w:tcPr>
            <w:tcW w:w="1652" w:type="dxa"/>
            <w:tcBorders>
              <w:top w:val="nil"/>
              <w:left w:val="nil"/>
              <w:bottom w:val="single" w:sz="4" w:space="0" w:color="auto"/>
              <w:right w:val="single" w:sz="4" w:space="0" w:color="auto"/>
            </w:tcBorders>
            <w:shd w:val="clear" w:color="auto" w:fill="auto"/>
            <w:noWrap/>
            <w:vAlign w:val="center"/>
            <w:hideMark/>
          </w:tcPr>
          <w:p w14:paraId="59F65B7D" w14:textId="77777777" w:rsidR="002E0F37" w:rsidRPr="00E755E2" w:rsidRDefault="002E0F37">
            <w:pPr>
              <w:rPr>
                <w:rFonts w:asciiTheme="minorHAnsi" w:hAnsiTheme="minorHAnsi" w:cs="Arial"/>
                <w:color w:val="000000"/>
                <w:sz w:val="22"/>
                <w:szCs w:val="22"/>
              </w:rPr>
            </w:pPr>
            <w:r w:rsidRPr="00E755E2">
              <w:rPr>
                <w:rFonts w:asciiTheme="minorHAnsi" w:hAnsiTheme="minorHAnsi" w:cs="Arial"/>
                <w:color w:val="000000"/>
                <w:sz w:val="22"/>
                <w:szCs w:val="22"/>
              </w:rPr>
              <w:t> </w:t>
            </w:r>
          </w:p>
        </w:tc>
      </w:tr>
      <w:tr w:rsidR="00B51B4B" w:rsidRPr="00E755E2" w14:paraId="409C23D1" w14:textId="77777777" w:rsidTr="00E755E2">
        <w:trPr>
          <w:trHeight w:val="90"/>
        </w:trPr>
        <w:tc>
          <w:tcPr>
            <w:tcW w:w="3402" w:type="dxa"/>
            <w:tcBorders>
              <w:top w:val="nil"/>
              <w:left w:val="single" w:sz="4" w:space="0" w:color="auto"/>
              <w:bottom w:val="single" w:sz="4" w:space="0" w:color="auto"/>
              <w:right w:val="single" w:sz="4" w:space="0" w:color="auto"/>
            </w:tcBorders>
            <w:shd w:val="clear" w:color="auto" w:fill="auto"/>
            <w:vAlign w:val="center"/>
            <w:hideMark/>
          </w:tcPr>
          <w:p w14:paraId="10244796" w14:textId="77777777" w:rsidR="002E0F37" w:rsidRPr="00E755E2" w:rsidRDefault="002E0F37">
            <w:pPr>
              <w:jc w:val="both"/>
              <w:rPr>
                <w:rFonts w:asciiTheme="minorHAnsi" w:hAnsiTheme="minorHAnsi" w:cs="Arial"/>
                <w:color w:val="000000"/>
                <w:sz w:val="22"/>
                <w:szCs w:val="22"/>
              </w:rPr>
            </w:pPr>
            <w:r w:rsidRPr="00E755E2">
              <w:rPr>
                <w:rFonts w:asciiTheme="minorHAnsi" w:hAnsiTheme="minorHAnsi" w:cs="Arial"/>
                <w:color w:val="000000"/>
                <w:sz w:val="22"/>
                <w:szCs w:val="22"/>
              </w:rPr>
              <w:t>Rate of R &amp; M on GFA</w:t>
            </w:r>
          </w:p>
        </w:tc>
        <w:tc>
          <w:tcPr>
            <w:tcW w:w="2126" w:type="dxa"/>
            <w:tcBorders>
              <w:top w:val="nil"/>
              <w:left w:val="nil"/>
              <w:bottom w:val="single" w:sz="4" w:space="0" w:color="auto"/>
              <w:right w:val="single" w:sz="4" w:space="0" w:color="auto"/>
            </w:tcBorders>
            <w:shd w:val="clear" w:color="auto" w:fill="auto"/>
            <w:vAlign w:val="center"/>
            <w:hideMark/>
          </w:tcPr>
          <w:p w14:paraId="5ADB0315" w14:textId="77777777" w:rsidR="002E0F37" w:rsidRPr="00E755E2" w:rsidRDefault="002E0F37">
            <w:pPr>
              <w:jc w:val="center"/>
              <w:rPr>
                <w:rFonts w:asciiTheme="minorHAnsi" w:hAnsiTheme="minorHAnsi" w:cs="Arial"/>
                <w:color w:val="000000"/>
                <w:sz w:val="22"/>
                <w:szCs w:val="22"/>
              </w:rPr>
            </w:pPr>
            <w:r w:rsidRPr="00E755E2">
              <w:rPr>
                <w:rFonts w:asciiTheme="minorHAnsi" w:hAnsiTheme="minorHAnsi" w:cs="Arial"/>
                <w:color w:val="000000"/>
                <w:sz w:val="22"/>
                <w:szCs w:val="22"/>
              </w:rPr>
              <w:t>4.00%</w:t>
            </w:r>
          </w:p>
        </w:tc>
        <w:tc>
          <w:tcPr>
            <w:tcW w:w="1956" w:type="dxa"/>
            <w:tcBorders>
              <w:top w:val="nil"/>
              <w:left w:val="nil"/>
              <w:bottom w:val="single" w:sz="4" w:space="0" w:color="auto"/>
              <w:right w:val="single" w:sz="4" w:space="0" w:color="auto"/>
            </w:tcBorders>
            <w:shd w:val="clear" w:color="auto" w:fill="auto"/>
            <w:vAlign w:val="center"/>
            <w:hideMark/>
          </w:tcPr>
          <w:p w14:paraId="1F12224F" w14:textId="77777777" w:rsidR="002E0F37" w:rsidRPr="00E755E2" w:rsidRDefault="002E0F37">
            <w:pPr>
              <w:jc w:val="center"/>
              <w:rPr>
                <w:rFonts w:asciiTheme="minorHAnsi" w:hAnsiTheme="minorHAnsi" w:cs="Arial"/>
                <w:color w:val="000000"/>
                <w:sz w:val="22"/>
                <w:szCs w:val="22"/>
              </w:rPr>
            </w:pPr>
            <w:r w:rsidRPr="00E755E2">
              <w:rPr>
                <w:rFonts w:asciiTheme="minorHAnsi" w:hAnsiTheme="minorHAnsi" w:cs="Arial"/>
                <w:color w:val="000000"/>
                <w:sz w:val="22"/>
                <w:szCs w:val="22"/>
              </w:rPr>
              <w:t>3.00%</w:t>
            </w:r>
          </w:p>
        </w:tc>
        <w:tc>
          <w:tcPr>
            <w:tcW w:w="1652" w:type="dxa"/>
            <w:tcBorders>
              <w:top w:val="nil"/>
              <w:left w:val="nil"/>
              <w:bottom w:val="single" w:sz="4" w:space="0" w:color="auto"/>
              <w:right w:val="single" w:sz="4" w:space="0" w:color="auto"/>
            </w:tcBorders>
            <w:shd w:val="clear" w:color="auto" w:fill="auto"/>
            <w:noWrap/>
            <w:vAlign w:val="center"/>
            <w:hideMark/>
          </w:tcPr>
          <w:p w14:paraId="15BAF6D6" w14:textId="77777777" w:rsidR="002E0F37" w:rsidRPr="00E755E2" w:rsidRDefault="002E0F37">
            <w:pPr>
              <w:rPr>
                <w:rFonts w:asciiTheme="minorHAnsi" w:hAnsiTheme="minorHAnsi" w:cs="Arial"/>
                <w:color w:val="000000"/>
                <w:sz w:val="22"/>
                <w:szCs w:val="22"/>
              </w:rPr>
            </w:pPr>
            <w:r w:rsidRPr="00E755E2">
              <w:rPr>
                <w:rFonts w:asciiTheme="minorHAnsi" w:hAnsiTheme="minorHAnsi" w:cs="Arial"/>
                <w:color w:val="000000"/>
                <w:sz w:val="22"/>
                <w:szCs w:val="22"/>
              </w:rPr>
              <w:t> </w:t>
            </w:r>
          </w:p>
        </w:tc>
      </w:tr>
      <w:tr w:rsidR="00B51B4B" w:rsidRPr="00E755E2" w14:paraId="4307C71A" w14:textId="77777777" w:rsidTr="00E755E2">
        <w:trPr>
          <w:trHeight w:val="90"/>
        </w:trPr>
        <w:tc>
          <w:tcPr>
            <w:tcW w:w="3402" w:type="dxa"/>
            <w:tcBorders>
              <w:top w:val="nil"/>
              <w:left w:val="single" w:sz="4" w:space="0" w:color="auto"/>
              <w:bottom w:val="single" w:sz="4" w:space="0" w:color="auto"/>
              <w:right w:val="single" w:sz="4" w:space="0" w:color="auto"/>
            </w:tcBorders>
            <w:shd w:val="clear" w:color="auto" w:fill="auto"/>
            <w:vAlign w:val="center"/>
            <w:hideMark/>
          </w:tcPr>
          <w:p w14:paraId="4116EBFB" w14:textId="77777777" w:rsidR="002E0F37" w:rsidRPr="00E755E2" w:rsidRDefault="002E0F37">
            <w:pPr>
              <w:jc w:val="both"/>
              <w:rPr>
                <w:rFonts w:asciiTheme="minorHAnsi" w:hAnsiTheme="minorHAnsi" w:cs="Arial"/>
                <w:color w:val="000000"/>
                <w:sz w:val="22"/>
                <w:szCs w:val="22"/>
              </w:rPr>
            </w:pPr>
            <w:r w:rsidRPr="00E755E2">
              <w:rPr>
                <w:rFonts w:asciiTheme="minorHAnsi" w:hAnsiTheme="minorHAnsi" w:cs="Arial"/>
                <w:color w:val="000000"/>
                <w:sz w:val="22"/>
                <w:szCs w:val="22"/>
              </w:rPr>
              <w:t xml:space="preserve">R&amp;M on GFA </w:t>
            </w:r>
          </w:p>
        </w:tc>
        <w:tc>
          <w:tcPr>
            <w:tcW w:w="2126" w:type="dxa"/>
            <w:tcBorders>
              <w:top w:val="nil"/>
              <w:left w:val="nil"/>
              <w:bottom w:val="single" w:sz="4" w:space="0" w:color="auto"/>
              <w:right w:val="single" w:sz="4" w:space="0" w:color="auto"/>
            </w:tcBorders>
            <w:shd w:val="clear" w:color="auto" w:fill="auto"/>
            <w:vAlign w:val="center"/>
            <w:hideMark/>
          </w:tcPr>
          <w:p w14:paraId="2767DAF8" w14:textId="77777777" w:rsidR="002E0F37" w:rsidRPr="00E755E2" w:rsidRDefault="002E0F37">
            <w:pPr>
              <w:jc w:val="center"/>
              <w:rPr>
                <w:rFonts w:asciiTheme="minorHAnsi" w:hAnsiTheme="minorHAnsi" w:cs="Arial"/>
                <w:color w:val="000000"/>
                <w:sz w:val="22"/>
                <w:szCs w:val="22"/>
              </w:rPr>
            </w:pPr>
            <w:r w:rsidRPr="00E755E2">
              <w:rPr>
                <w:rFonts w:asciiTheme="minorHAnsi" w:hAnsiTheme="minorHAnsi" w:cs="Arial"/>
                <w:color w:val="000000"/>
                <w:sz w:val="22"/>
                <w:szCs w:val="22"/>
              </w:rPr>
              <w:t>169.98</w:t>
            </w:r>
          </w:p>
        </w:tc>
        <w:tc>
          <w:tcPr>
            <w:tcW w:w="1956" w:type="dxa"/>
            <w:tcBorders>
              <w:top w:val="nil"/>
              <w:left w:val="nil"/>
              <w:bottom w:val="single" w:sz="4" w:space="0" w:color="auto"/>
              <w:right w:val="single" w:sz="4" w:space="0" w:color="auto"/>
            </w:tcBorders>
            <w:shd w:val="clear" w:color="auto" w:fill="auto"/>
            <w:vAlign w:val="center"/>
            <w:hideMark/>
          </w:tcPr>
          <w:p w14:paraId="56482D51" w14:textId="77777777" w:rsidR="002E0F37" w:rsidRPr="00E755E2" w:rsidRDefault="002E0F37">
            <w:pPr>
              <w:jc w:val="center"/>
              <w:rPr>
                <w:rFonts w:asciiTheme="minorHAnsi" w:hAnsiTheme="minorHAnsi" w:cs="Arial"/>
                <w:color w:val="000000"/>
                <w:sz w:val="22"/>
                <w:szCs w:val="22"/>
              </w:rPr>
            </w:pPr>
            <w:r w:rsidRPr="00E755E2">
              <w:rPr>
                <w:rFonts w:asciiTheme="minorHAnsi" w:hAnsiTheme="minorHAnsi" w:cs="Arial"/>
                <w:color w:val="000000"/>
                <w:sz w:val="22"/>
                <w:szCs w:val="22"/>
              </w:rPr>
              <w:t>0.00</w:t>
            </w:r>
          </w:p>
        </w:tc>
        <w:tc>
          <w:tcPr>
            <w:tcW w:w="1652" w:type="dxa"/>
            <w:tcBorders>
              <w:top w:val="nil"/>
              <w:left w:val="nil"/>
              <w:bottom w:val="single" w:sz="4" w:space="0" w:color="auto"/>
              <w:right w:val="single" w:sz="4" w:space="0" w:color="auto"/>
            </w:tcBorders>
            <w:shd w:val="clear" w:color="auto" w:fill="auto"/>
            <w:noWrap/>
            <w:vAlign w:val="center"/>
            <w:hideMark/>
          </w:tcPr>
          <w:p w14:paraId="29FF525F" w14:textId="77777777" w:rsidR="002E0F37" w:rsidRPr="00E755E2" w:rsidRDefault="002E0F37">
            <w:pPr>
              <w:rPr>
                <w:rFonts w:asciiTheme="minorHAnsi" w:hAnsiTheme="minorHAnsi" w:cs="Arial"/>
                <w:color w:val="000000"/>
                <w:sz w:val="22"/>
                <w:szCs w:val="22"/>
              </w:rPr>
            </w:pPr>
            <w:r w:rsidRPr="00E755E2">
              <w:rPr>
                <w:rFonts w:asciiTheme="minorHAnsi" w:hAnsiTheme="minorHAnsi" w:cs="Arial"/>
                <w:color w:val="000000"/>
                <w:sz w:val="22"/>
                <w:szCs w:val="22"/>
              </w:rPr>
              <w:t> </w:t>
            </w:r>
          </w:p>
        </w:tc>
      </w:tr>
      <w:tr w:rsidR="00B51B4B" w:rsidRPr="00E755E2" w14:paraId="3CF6ACDB" w14:textId="77777777" w:rsidTr="00E755E2">
        <w:trPr>
          <w:trHeight w:val="165"/>
        </w:trPr>
        <w:tc>
          <w:tcPr>
            <w:tcW w:w="3402" w:type="dxa"/>
            <w:tcBorders>
              <w:top w:val="nil"/>
              <w:left w:val="single" w:sz="4" w:space="0" w:color="auto"/>
              <w:bottom w:val="single" w:sz="4" w:space="0" w:color="auto"/>
              <w:right w:val="single" w:sz="4" w:space="0" w:color="auto"/>
            </w:tcBorders>
            <w:shd w:val="clear" w:color="auto" w:fill="auto"/>
            <w:vAlign w:val="center"/>
            <w:hideMark/>
          </w:tcPr>
          <w:p w14:paraId="1C6DF9F4" w14:textId="77777777" w:rsidR="002E0F37" w:rsidRPr="00E755E2" w:rsidRDefault="002E0F37">
            <w:pPr>
              <w:jc w:val="both"/>
              <w:rPr>
                <w:rFonts w:asciiTheme="minorHAnsi" w:hAnsiTheme="minorHAnsi" w:cs="Arial"/>
                <w:color w:val="000000"/>
                <w:sz w:val="22"/>
                <w:szCs w:val="22"/>
              </w:rPr>
            </w:pPr>
            <w:r w:rsidRPr="00E755E2">
              <w:rPr>
                <w:rFonts w:asciiTheme="minorHAnsi" w:hAnsiTheme="minorHAnsi" w:cs="Arial"/>
                <w:color w:val="000000"/>
                <w:sz w:val="22"/>
                <w:szCs w:val="22"/>
              </w:rPr>
              <w:t>Govt. (Funded/Grant) Assets as on 01.04.2025</w:t>
            </w:r>
          </w:p>
        </w:tc>
        <w:tc>
          <w:tcPr>
            <w:tcW w:w="2126" w:type="dxa"/>
            <w:tcBorders>
              <w:top w:val="nil"/>
              <w:left w:val="nil"/>
              <w:bottom w:val="single" w:sz="4" w:space="0" w:color="auto"/>
              <w:right w:val="single" w:sz="4" w:space="0" w:color="auto"/>
            </w:tcBorders>
            <w:shd w:val="clear" w:color="auto" w:fill="auto"/>
            <w:noWrap/>
            <w:vAlign w:val="center"/>
            <w:hideMark/>
          </w:tcPr>
          <w:p w14:paraId="421AC062" w14:textId="77777777" w:rsidR="002E0F37" w:rsidRPr="00E755E2" w:rsidRDefault="002E0F37">
            <w:pPr>
              <w:jc w:val="center"/>
              <w:rPr>
                <w:rFonts w:asciiTheme="minorHAnsi" w:hAnsiTheme="minorHAnsi" w:cs="Arial"/>
                <w:color w:val="000000"/>
                <w:sz w:val="22"/>
                <w:szCs w:val="22"/>
              </w:rPr>
            </w:pPr>
            <w:r w:rsidRPr="00E755E2">
              <w:rPr>
                <w:rFonts w:asciiTheme="minorHAnsi" w:hAnsiTheme="minorHAnsi" w:cs="Arial"/>
                <w:color w:val="000000"/>
                <w:sz w:val="22"/>
                <w:szCs w:val="22"/>
              </w:rPr>
              <w:t>648.78</w:t>
            </w:r>
          </w:p>
        </w:tc>
        <w:tc>
          <w:tcPr>
            <w:tcW w:w="1956" w:type="dxa"/>
            <w:tcBorders>
              <w:top w:val="nil"/>
              <w:left w:val="nil"/>
              <w:bottom w:val="single" w:sz="4" w:space="0" w:color="auto"/>
              <w:right w:val="single" w:sz="4" w:space="0" w:color="auto"/>
            </w:tcBorders>
            <w:shd w:val="clear" w:color="auto" w:fill="auto"/>
            <w:noWrap/>
            <w:vAlign w:val="center"/>
            <w:hideMark/>
          </w:tcPr>
          <w:p w14:paraId="17535907" w14:textId="77777777" w:rsidR="002E0F37" w:rsidRPr="00E755E2" w:rsidRDefault="002E0F37">
            <w:pPr>
              <w:jc w:val="center"/>
              <w:rPr>
                <w:rFonts w:asciiTheme="minorHAnsi" w:hAnsiTheme="minorHAnsi" w:cs="Arial"/>
                <w:sz w:val="22"/>
                <w:szCs w:val="22"/>
              </w:rPr>
            </w:pPr>
            <w:r w:rsidRPr="00E755E2">
              <w:rPr>
                <w:rFonts w:asciiTheme="minorHAnsi" w:hAnsiTheme="minorHAnsi" w:cs="Arial"/>
                <w:sz w:val="22"/>
                <w:szCs w:val="22"/>
              </w:rPr>
              <w:t>3607.89</w:t>
            </w:r>
          </w:p>
        </w:tc>
        <w:tc>
          <w:tcPr>
            <w:tcW w:w="1652" w:type="dxa"/>
            <w:tcBorders>
              <w:top w:val="nil"/>
              <w:left w:val="nil"/>
              <w:bottom w:val="single" w:sz="4" w:space="0" w:color="auto"/>
              <w:right w:val="single" w:sz="4" w:space="0" w:color="auto"/>
            </w:tcBorders>
            <w:shd w:val="clear" w:color="auto" w:fill="auto"/>
            <w:noWrap/>
            <w:vAlign w:val="center"/>
            <w:hideMark/>
          </w:tcPr>
          <w:p w14:paraId="738B2AD2" w14:textId="77777777" w:rsidR="002E0F37" w:rsidRPr="00E755E2" w:rsidRDefault="002E0F37">
            <w:pPr>
              <w:rPr>
                <w:rFonts w:asciiTheme="minorHAnsi" w:hAnsiTheme="minorHAnsi" w:cs="Arial"/>
                <w:color w:val="000000"/>
                <w:sz w:val="22"/>
                <w:szCs w:val="22"/>
              </w:rPr>
            </w:pPr>
            <w:r w:rsidRPr="00E755E2">
              <w:rPr>
                <w:rFonts w:asciiTheme="minorHAnsi" w:hAnsiTheme="minorHAnsi" w:cs="Arial"/>
                <w:color w:val="000000"/>
                <w:sz w:val="22"/>
                <w:szCs w:val="22"/>
              </w:rPr>
              <w:t> </w:t>
            </w:r>
          </w:p>
        </w:tc>
      </w:tr>
      <w:tr w:rsidR="00B51B4B" w:rsidRPr="00E755E2" w14:paraId="4C4C6A33" w14:textId="77777777" w:rsidTr="00E755E2">
        <w:trPr>
          <w:trHeight w:val="165"/>
        </w:trPr>
        <w:tc>
          <w:tcPr>
            <w:tcW w:w="3402" w:type="dxa"/>
            <w:tcBorders>
              <w:top w:val="nil"/>
              <w:left w:val="single" w:sz="4" w:space="0" w:color="auto"/>
              <w:bottom w:val="single" w:sz="4" w:space="0" w:color="auto"/>
              <w:right w:val="single" w:sz="4" w:space="0" w:color="auto"/>
            </w:tcBorders>
            <w:shd w:val="clear" w:color="auto" w:fill="auto"/>
            <w:vAlign w:val="center"/>
            <w:hideMark/>
          </w:tcPr>
          <w:p w14:paraId="5E521D0E" w14:textId="77777777" w:rsidR="002E0F37" w:rsidRPr="00E755E2" w:rsidRDefault="002E0F37">
            <w:pPr>
              <w:jc w:val="both"/>
              <w:rPr>
                <w:rFonts w:asciiTheme="minorHAnsi" w:hAnsiTheme="minorHAnsi" w:cs="Arial"/>
                <w:color w:val="000000"/>
                <w:sz w:val="22"/>
                <w:szCs w:val="22"/>
              </w:rPr>
            </w:pPr>
            <w:r w:rsidRPr="00E755E2">
              <w:rPr>
                <w:rFonts w:asciiTheme="minorHAnsi" w:hAnsiTheme="minorHAnsi" w:cs="Arial"/>
                <w:color w:val="000000"/>
                <w:sz w:val="22"/>
                <w:szCs w:val="22"/>
              </w:rPr>
              <w:t>Rate of R &amp; M on Govt. (Funded/Grant) Assets</w:t>
            </w:r>
          </w:p>
        </w:tc>
        <w:tc>
          <w:tcPr>
            <w:tcW w:w="2126" w:type="dxa"/>
            <w:tcBorders>
              <w:top w:val="nil"/>
              <w:left w:val="nil"/>
              <w:bottom w:val="single" w:sz="4" w:space="0" w:color="auto"/>
              <w:right w:val="single" w:sz="4" w:space="0" w:color="auto"/>
            </w:tcBorders>
            <w:shd w:val="clear" w:color="auto" w:fill="auto"/>
            <w:vAlign w:val="center"/>
            <w:hideMark/>
          </w:tcPr>
          <w:p w14:paraId="0F319794" w14:textId="77777777" w:rsidR="002E0F37" w:rsidRPr="00E755E2" w:rsidRDefault="002E0F37">
            <w:pPr>
              <w:jc w:val="center"/>
              <w:rPr>
                <w:rFonts w:asciiTheme="minorHAnsi" w:hAnsiTheme="minorHAnsi" w:cs="Arial"/>
                <w:color w:val="000000"/>
                <w:sz w:val="22"/>
                <w:szCs w:val="22"/>
              </w:rPr>
            </w:pPr>
            <w:r w:rsidRPr="00E755E2">
              <w:rPr>
                <w:rFonts w:asciiTheme="minorHAnsi" w:hAnsiTheme="minorHAnsi" w:cs="Arial"/>
                <w:color w:val="000000"/>
                <w:sz w:val="22"/>
                <w:szCs w:val="22"/>
              </w:rPr>
              <w:t>3.00%</w:t>
            </w:r>
          </w:p>
        </w:tc>
        <w:tc>
          <w:tcPr>
            <w:tcW w:w="1956" w:type="dxa"/>
            <w:tcBorders>
              <w:top w:val="nil"/>
              <w:left w:val="nil"/>
              <w:bottom w:val="single" w:sz="4" w:space="0" w:color="auto"/>
              <w:right w:val="single" w:sz="4" w:space="0" w:color="auto"/>
            </w:tcBorders>
            <w:shd w:val="clear" w:color="auto" w:fill="auto"/>
            <w:vAlign w:val="center"/>
            <w:hideMark/>
          </w:tcPr>
          <w:p w14:paraId="7C90B50B" w14:textId="77777777" w:rsidR="002E0F37" w:rsidRPr="00E755E2" w:rsidRDefault="002E0F37">
            <w:pPr>
              <w:jc w:val="center"/>
              <w:rPr>
                <w:rFonts w:asciiTheme="minorHAnsi" w:hAnsiTheme="minorHAnsi" w:cs="Arial"/>
                <w:color w:val="000000"/>
                <w:sz w:val="22"/>
                <w:szCs w:val="22"/>
              </w:rPr>
            </w:pPr>
            <w:r w:rsidRPr="00E755E2">
              <w:rPr>
                <w:rFonts w:asciiTheme="minorHAnsi" w:hAnsiTheme="minorHAnsi" w:cs="Arial"/>
                <w:color w:val="000000"/>
                <w:sz w:val="22"/>
                <w:szCs w:val="22"/>
              </w:rPr>
              <w:t>3.00%</w:t>
            </w:r>
          </w:p>
        </w:tc>
        <w:tc>
          <w:tcPr>
            <w:tcW w:w="1652" w:type="dxa"/>
            <w:tcBorders>
              <w:top w:val="nil"/>
              <w:left w:val="nil"/>
              <w:bottom w:val="single" w:sz="4" w:space="0" w:color="auto"/>
              <w:right w:val="single" w:sz="4" w:space="0" w:color="auto"/>
            </w:tcBorders>
            <w:shd w:val="clear" w:color="auto" w:fill="auto"/>
            <w:noWrap/>
            <w:vAlign w:val="center"/>
            <w:hideMark/>
          </w:tcPr>
          <w:p w14:paraId="567E749C" w14:textId="77777777" w:rsidR="002E0F37" w:rsidRPr="00E755E2" w:rsidRDefault="002E0F37">
            <w:pPr>
              <w:rPr>
                <w:rFonts w:asciiTheme="minorHAnsi" w:hAnsiTheme="minorHAnsi" w:cs="Arial"/>
                <w:color w:val="000000"/>
                <w:sz w:val="22"/>
                <w:szCs w:val="22"/>
              </w:rPr>
            </w:pPr>
            <w:r w:rsidRPr="00E755E2">
              <w:rPr>
                <w:rFonts w:asciiTheme="minorHAnsi" w:hAnsiTheme="minorHAnsi" w:cs="Arial"/>
                <w:color w:val="000000"/>
                <w:sz w:val="22"/>
                <w:szCs w:val="22"/>
              </w:rPr>
              <w:t> </w:t>
            </w:r>
          </w:p>
        </w:tc>
      </w:tr>
      <w:tr w:rsidR="00B51B4B" w:rsidRPr="00E755E2" w14:paraId="33D26DB0" w14:textId="77777777" w:rsidTr="00E755E2">
        <w:trPr>
          <w:trHeight w:val="90"/>
        </w:trPr>
        <w:tc>
          <w:tcPr>
            <w:tcW w:w="3402" w:type="dxa"/>
            <w:tcBorders>
              <w:top w:val="nil"/>
              <w:left w:val="single" w:sz="4" w:space="0" w:color="auto"/>
              <w:bottom w:val="single" w:sz="4" w:space="0" w:color="auto"/>
              <w:right w:val="single" w:sz="4" w:space="0" w:color="auto"/>
            </w:tcBorders>
            <w:shd w:val="clear" w:color="auto" w:fill="auto"/>
            <w:vAlign w:val="center"/>
            <w:hideMark/>
          </w:tcPr>
          <w:p w14:paraId="2A930517" w14:textId="77777777" w:rsidR="002E0F37" w:rsidRPr="00E755E2" w:rsidRDefault="002E0F37">
            <w:pPr>
              <w:jc w:val="both"/>
              <w:rPr>
                <w:rFonts w:asciiTheme="minorHAnsi" w:hAnsiTheme="minorHAnsi" w:cs="Arial"/>
                <w:color w:val="000000"/>
                <w:sz w:val="22"/>
                <w:szCs w:val="22"/>
              </w:rPr>
            </w:pPr>
            <w:r w:rsidRPr="00E755E2">
              <w:rPr>
                <w:rFonts w:asciiTheme="minorHAnsi" w:hAnsiTheme="minorHAnsi" w:cs="Arial"/>
                <w:color w:val="000000"/>
                <w:sz w:val="22"/>
                <w:szCs w:val="22"/>
              </w:rPr>
              <w:t xml:space="preserve">R&amp;M on Govt. funded Assets </w:t>
            </w:r>
          </w:p>
        </w:tc>
        <w:tc>
          <w:tcPr>
            <w:tcW w:w="2126" w:type="dxa"/>
            <w:tcBorders>
              <w:top w:val="nil"/>
              <w:left w:val="nil"/>
              <w:bottom w:val="single" w:sz="4" w:space="0" w:color="auto"/>
              <w:right w:val="single" w:sz="4" w:space="0" w:color="auto"/>
            </w:tcBorders>
            <w:shd w:val="clear" w:color="auto" w:fill="auto"/>
            <w:vAlign w:val="center"/>
            <w:hideMark/>
          </w:tcPr>
          <w:p w14:paraId="6536FFAC" w14:textId="77777777" w:rsidR="002E0F37" w:rsidRPr="00E755E2" w:rsidRDefault="002E0F37">
            <w:pPr>
              <w:jc w:val="center"/>
              <w:rPr>
                <w:rFonts w:asciiTheme="minorHAnsi" w:hAnsiTheme="minorHAnsi" w:cs="Arial"/>
                <w:color w:val="000000"/>
                <w:sz w:val="22"/>
                <w:szCs w:val="22"/>
              </w:rPr>
            </w:pPr>
            <w:r w:rsidRPr="00E755E2">
              <w:rPr>
                <w:rFonts w:asciiTheme="minorHAnsi" w:hAnsiTheme="minorHAnsi" w:cs="Arial"/>
                <w:color w:val="000000"/>
                <w:sz w:val="22"/>
                <w:szCs w:val="22"/>
              </w:rPr>
              <w:t>19.46</w:t>
            </w:r>
          </w:p>
        </w:tc>
        <w:tc>
          <w:tcPr>
            <w:tcW w:w="1956" w:type="dxa"/>
            <w:tcBorders>
              <w:top w:val="nil"/>
              <w:left w:val="nil"/>
              <w:bottom w:val="single" w:sz="4" w:space="0" w:color="auto"/>
              <w:right w:val="single" w:sz="4" w:space="0" w:color="auto"/>
            </w:tcBorders>
            <w:shd w:val="clear" w:color="auto" w:fill="auto"/>
            <w:vAlign w:val="center"/>
            <w:hideMark/>
          </w:tcPr>
          <w:p w14:paraId="09FB4BCB" w14:textId="77777777" w:rsidR="002E0F37" w:rsidRPr="00E755E2" w:rsidRDefault="002E0F37">
            <w:pPr>
              <w:jc w:val="center"/>
              <w:rPr>
                <w:rFonts w:asciiTheme="minorHAnsi" w:hAnsiTheme="minorHAnsi" w:cs="Arial"/>
                <w:color w:val="000000"/>
                <w:sz w:val="22"/>
                <w:szCs w:val="22"/>
              </w:rPr>
            </w:pPr>
            <w:r w:rsidRPr="00E755E2">
              <w:rPr>
                <w:rFonts w:asciiTheme="minorHAnsi" w:hAnsiTheme="minorHAnsi" w:cs="Arial"/>
                <w:color w:val="000000"/>
                <w:sz w:val="22"/>
                <w:szCs w:val="22"/>
              </w:rPr>
              <w:t>108.24</w:t>
            </w:r>
          </w:p>
        </w:tc>
        <w:tc>
          <w:tcPr>
            <w:tcW w:w="1652" w:type="dxa"/>
            <w:tcBorders>
              <w:top w:val="nil"/>
              <w:left w:val="nil"/>
              <w:bottom w:val="single" w:sz="4" w:space="0" w:color="auto"/>
              <w:right w:val="single" w:sz="4" w:space="0" w:color="auto"/>
            </w:tcBorders>
            <w:shd w:val="clear" w:color="auto" w:fill="auto"/>
            <w:noWrap/>
            <w:vAlign w:val="center"/>
            <w:hideMark/>
          </w:tcPr>
          <w:p w14:paraId="08976A37" w14:textId="77777777" w:rsidR="002E0F37" w:rsidRPr="00E755E2" w:rsidRDefault="002E0F37">
            <w:pPr>
              <w:rPr>
                <w:rFonts w:asciiTheme="minorHAnsi" w:hAnsiTheme="minorHAnsi" w:cs="Arial"/>
                <w:color w:val="000000"/>
                <w:sz w:val="22"/>
                <w:szCs w:val="22"/>
              </w:rPr>
            </w:pPr>
            <w:r w:rsidRPr="00E755E2">
              <w:rPr>
                <w:rFonts w:asciiTheme="minorHAnsi" w:hAnsiTheme="minorHAnsi" w:cs="Arial"/>
                <w:color w:val="000000"/>
                <w:sz w:val="22"/>
                <w:szCs w:val="22"/>
              </w:rPr>
              <w:t> </w:t>
            </w:r>
          </w:p>
        </w:tc>
      </w:tr>
      <w:tr w:rsidR="007F3AB8" w:rsidRPr="00E755E2" w14:paraId="4BBEA4AD" w14:textId="77777777" w:rsidTr="00E755E2">
        <w:trPr>
          <w:trHeight w:val="90"/>
        </w:trPr>
        <w:tc>
          <w:tcPr>
            <w:tcW w:w="3402" w:type="dxa"/>
            <w:tcBorders>
              <w:top w:val="nil"/>
              <w:left w:val="single" w:sz="4" w:space="0" w:color="auto"/>
              <w:bottom w:val="single" w:sz="4" w:space="0" w:color="auto"/>
              <w:right w:val="single" w:sz="4" w:space="0" w:color="auto"/>
            </w:tcBorders>
            <w:shd w:val="clear" w:color="auto" w:fill="auto"/>
            <w:noWrap/>
            <w:vAlign w:val="center"/>
            <w:hideMark/>
          </w:tcPr>
          <w:p w14:paraId="2AC6CB23" w14:textId="77777777" w:rsidR="002E0F37" w:rsidRPr="00E755E2" w:rsidRDefault="002E0F37">
            <w:pPr>
              <w:rPr>
                <w:rFonts w:asciiTheme="minorHAnsi" w:hAnsiTheme="minorHAnsi" w:cs="Arial"/>
                <w:color w:val="000000"/>
                <w:sz w:val="22"/>
                <w:szCs w:val="22"/>
              </w:rPr>
            </w:pPr>
            <w:r w:rsidRPr="00E755E2">
              <w:rPr>
                <w:rFonts w:asciiTheme="minorHAnsi" w:hAnsiTheme="minorHAnsi" w:cs="Arial"/>
                <w:color w:val="000000"/>
                <w:sz w:val="22"/>
                <w:szCs w:val="22"/>
              </w:rPr>
              <w:t xml:space="preserve">Total R &amp; M </w:t>
            </w:r>
          </w:p>
        </w:tc>
        <w:tc>
          <w:tcPr>
            <w:tcW w:w="2126" w:type="dxa"/>
            <w:tcBorders>
              <w:top w:val="nil"/>
              <w:left w:val="nil"/>
              <w:bottom w:val="single" w:sz="4" w:space="0" w:color="auto"/>
              <w:right w:val="single" w:sz="4" w:space="0" w:color="auto"/>
            </w:tcBorders>
            <w:shd w:val="clear" w:color="auto" w:fill="auto"/>
            <w:noWrap/>
            <w:vAlign w:val="center"/>
            <w:hideMark/>
          </w:tcPr>
          <w:p w14:paraId="276BBB28" w14:textId="77777777" w:rsidR="002E0F37" w:rsidRPr="00E755E2" w:rsidRDefault="002E0F37">
            <w:pPr>
              <w:jc w:val="center"/>
              <w:rPr>
                <w:rFonts w:asciiTheme="minorHAnsi" w:hAnsiTheme="minorHAnsi" w:cs="Arial"/>
                <w:b/>
                <w:bCs/>
                <w:color w:val="000000"/>
                <w:sz w:val="22"/>
                <w:szCs w:val="22"/>
              </w:rPr>
            </w:pPr>
            <w:r w:rsidRPr="00E755E2">
              <w:rPr>
                <w:rFonts w:asciiTheme="minorHAnsi" w:hAnsiTheme="minorHAnsi" w:cs="Arial"/>
                <w:b/>
                <w:bCs/>
                <w:color w:val="000000"/>
                <w:sz w:val="22"/>
                <w:szCs w:val="22"/>
              </w:rPr>
              <w:t>189.44</w:t>
            </w:r>
          </w:p>
        </w:tc>
        <w:tc>
          <w:tcPr>
            <w:tcW w:w="1956" w:type="dxa"/>
            <w:tcBorders>
              <w:top w:val="nil"/>
              <w:left w:val="nil"/>
              <w:bottom w:val="single" w:sz="4" w:space="0" w:color="auto"/>
              <w:right w:val="single" w:sz="4" w:space="0" w:color="auto"/>
            </w:tcBorders>
            <w:shd w:val="clear" w:color="auto" w:fill="auto"/>
            <w:noWrap/>
            <w:vAlign w:val="center"/>
            <w:hideMark/>
          </w:tcPr>
          <w:p w14:paraId="6AF7C545" w14:textId="77777777" w:rsidR="002E0F37" w:rsidRPr="00E755E2" w:rsidRDefault="002E0F37">
            <w:pPr>
              <w:jc w:val="center"/>
              <w:rPr>
                <w:rFonts w:asciiTheme="minorHAnsi" w:hAnsiTheme="minorHAnsi" w:cs="Arial"/>
                <w:b/>
                <w:bCs/>
                <w:color w:val="000000"/>
                <w:sz w:val="22"/>
                <w:szCs w:val="22"/>
              </w:rPr>
            </w:pPr>
            <w:r w:rsidRPr="00E755E2">
              <w:rPr>
                <w:rFonts w:asciiTheme="minorHAnsi" w:hAnsiTheme="minorHAnsi" w:cs="Arial"/>
                <w:b/>
                <w:bCs/>
                <w:color w:val="000000"/>
                <w:sz w:val="22"/>
                <w:szCs w:val="22"/>
              </w:rPr>
              <w:t>108.24</w:t>
            </w:r>
          </w:p>
        </w:tc>
        <w:tc>
          <w:tcPr>
            <w:tcW w:w="1652" w:type="dxa"/>
            <w:tcBorders>
              <w:top w:val="nil"/>
              <w:left w:val="nil"/>
              <w:bottom w:val="single" w:sz="4" w:space="0" w:color="auto"/>
              <w:right w:val="single" w:sz="4" w:space="0" w:color="auto"/>
            </w:tcBorders>
            <w:shd w:val="clear" w:color="auto" w:fill="auto"/>
            <w:noWrap/>
            <w:vAlign w:val="center"/>
            <w:hideMark/>
          </w:tcPr>
          <w:p w14:paraId="3E57DCCE" w14:textId="77777777" w:rsidR="002E0F37" w:rsidRPr="00E755E2" w:rsidRDefault="002E0F37" w:rsidP="00E755E2">
            <w:pPr>
              <w:jc w:val="center"/>
              <w:rPr>
                <w:rFonts w:asciiTheme="minorHAnsi" w:hAnsiTheme="minorHAnsi" w:cs="Arial"/>
                <w:b/>
                <w:bCs/>
                <w:color w:val="000000"/>
                <w:sz w:val="22"/>
                <w:szCs w:val="22"/>
              </w:rPr>
            </w:pPr>
            <w:r w:rsidRPr="00E755E2">
              <w:rPr>
                <w:rFonts w:asciiTheme="minorHAnsi" w:hAnsiTheme="minorHAnsi" w:cs="Arial"/>
                <w:b/>
                <w:bCs/>
                <w:color w:val="000000"/>
                <w:sz w:val="22"/>
                <w:szCs w:val="22"/>
              </w:rPr>
              <w:t>297.68</w:t>
            </w:r>
          </w:p>
        </w:tc>
      </w:tr>
      <w:tr w:rsidR="007F3AB8" w:rsidRPr="00E755E2" w14:paraId="46A5DF0E" w14:textId="77777777" w:rsidTr="00E755E2">
        <w:trPr>
          <w:trHeight w:val="90"/>
        </w:trPr>
        <w:tc>
          <w:tcPr>
            <w:tcW w:w="3402" w:type="dxa"/>
            <w:tcBorders>
              <w:top w:val="nil"/>
              <w:left w:val="single" w:sz="4" w:space="0" w:color="auto"/>
              <w:bottom w:val="single" w:sz="4" w:space="0" w:color="auto"/>
              <w:right w:val="single" w:sz="4" w:space="0" w:color="auto"/>
            </w:tcBorders>
            <w:shd w:val="clear" w:color="auto" w:fill="auto"/>
            <w:noWrap/>
            <w:vAlign w:val="center"/>
            <w:hideMark/>
          </w:tcPr>
          <w:p w14:paraId="6BC05284" w14:textId="77777777" w:rsidR="002E0F37" w:rsidRPr="00E755E2" w:rsidRDefault="002E0F37">
            <w:pPr>
              <w:rPr>
                <w:rFonts w:asciiTheme="minorHAnsi" w:hAnsiTheme="minorHAnsi" w:cs="Arial"/>
                <w:color w:val="000000"/>
                <w:sz w:val="22"/>
                <w:szCs w:val="22"/>
              </w:rPr>
            </w:pPr>
            <w:r w:rsidRPr="00E755E2">
              <w:rPr>
                <w:rFonts w:asciiTheme="minorHAnsi" w:hAnsiTheme="minorHAnsi" w:cs="Arial"/>
                <w:color w:val="000000"/>
                <w:sz w:val="22"/>
                <w:szCs w:val="22"/>
              </w:rPr>
              <w:t>R&amp;M for Maintenance of Micro Grids &amp; Solar standalones</w:t>
            </w:r>
          </w:p>
        </w:tc>
        <w:tc>
          <w:tcPr>
            <w:tcW w:w="2126" w:type="dxa"/>
            <w:tcBorders>
              <w:top w:val="nil"/>
              <w:left w:val="nil"/>
              <w:bottom w:val="single" w:sz="4" w:space="0" w:color="auto"/>
              <w:right w:val="single" w:sz="4" w:space="0" w:color="auto"/>
            </w:tcBorders>
            <w:shd w:val="clear" w:color="auto" w:fill="auto"/>
            <w:noWrap/>
            <w:vAlign w:val="center"/>
            <w:hideMark/>
          </w:tcPr>
          <w:p w14:paraId="4C2A91B5" w14:textId="77777777" w:rsidR="002E0F37" w:rsidRPr="00E755E2" w:rsidRDefault="002E0F37">
            <w:pPr>
              <w:jc w:val="center"/>
              <w:rPr>
                <w:rFonts w:asciiTheme="minorHAnsi" w:hAnsiTheme="minorHAnsi" w:cs="Arial"/>
                <w:b/>
                <w:bCs/>
                <w:color w:val="000000"/>
                <w:sz w:val="22"/>
                <w:szCs w:val="22"/>
              </w:rPr>
            </w:pPr>
            <w:r w:rsidRPr="00E755E2">
              <w:rPr>
                <w:rFonts w:asciiTheme="minorHAnsi" w:hAnsiTheme="minorHAnsi" w:cs="Arial"/>
                <w:b/>
                <w:bCs/>
                <w:color w:val="000000"/>
                <w:sz w:val="22"/>
                <w:szCs w:val="22"/>
              </w:rPr>
              <w:t> </w:t>
            </w:r>
          </w:p>
        </w:tc>
        <w:tc>
          <w:tcPr>
            <w:tcW w:w="1956" w:type="dxa"/>
            <w:tcBorders>
              <w:top w:val="nil"/>
              <w:left w:val="nil"/>
              <w:bottom w:val="single" w:sz="4" w:space="0" w:color="auto"/>
              <w:right w:val="single" w:sz="4" w:space="0" w:color="auto"/>
            </w:tcBorders>
            <w:shd w:val="clear" w:color="auto" w:fill="auto"/>
            <w:noWrap/>
            <w:vAlign w:val="center"/>
            <w:hideMark/>
          </w:tcPr>
          <w:p w14:paraId="18249B0F" w14:textId="77777777" w:rsidR="002E0F37" w:rsidRPr="00E755E2" w:rsidRDefault="002E0F37">
            <w:pPr>
              <w:jc w:val="center"/>
              <w:rPr>
                <w:rFonts w:asciiTheme="minorHAnsi" w:hAnsiTheme="minorHAnsi" w:cs="Arial"/>
                <w:b/>
                <w:bCs/>
                <w:color w:val="000000"/>
                <w:sz w:val="22"/>
                <w:szCs w:val="22"/>
              </w:rPr>
            </w:pPr>
            <w:r w:rsidRPr="00E755E2">
              <w:rPr>
                <w:rFonts w:asciiTheme="minorHAnsi" w:hAnsiTheme="minorHAnsi" w:cs="Arial"/>
                <w:b/>
                <w:bCs/>
                <w:color w:val="000000"/>
                <w:sz w:val="22"/>
                <w:szCs w:val="22"/>
              </w:rPr>
              <w:t> </w:t>
            </w:r>
          </w:p>
        </w:tc>
        <w:tc>
          <w:tcPr>
            <w:tcW w:w="1652" w:type="dxa"/>
            <w:tcBorders>
              <w:top w:val="nil"/>
              <w:left w:val="nil"/>
              <w:bottom w:val="single" w:sz="4" w:space="0" w:color="auto"/>
              <w:right w:val="single" w:sz="4" w:space="0" w:color="auto"/>
            </w:tcBorders>
            <w:shd w:val="clear" w:color="auto" w:fill="auto"/>
            <w:noWrap/>
            <w:vAlign w:val="center"/>
            <w:hideMark/>
          </w:tcPr>
          <w:p w14:paraId="4F5D3ACE" w14:textId="77777777" w:rsidR="002E0F37" w:rsidRPr="00E755E2" w:rsidRDefault="002E0F37" w:rsidP="00E755E2">
            <w:pPr>
              <w:jc w:val="center"/>
              <w:rPr>
                <w:rFonts w:asciiTheme="minorHAnsi" w:hAnsiTheme="minorHAnsi" w:cs="Arial"/>
                <w:b/>
                <w:color w:val="000000"/>
                <w:sz w:val="22"/>
                <w:szCs w:val="22"/>
              </w:rPr>
            </w:pPr>
            <w:r w:rsidRPr="00E755E2">
              <w:rPr>
                <w:rFonts w:asciiTheme="minorHAnsi" w:hAnsiTheme="minorHAnsi" w:cs="Arial"/>
                <w:b/>
                <w:color w:val="000000"/>
                <w:sz w:val="22"/>
                <w:szCs w:val="22"/>
              </w:rPr>
              <w:t>2.43</w:t>
            </w:r>
          </w:p>
        </w:tc>
      </w:tr>
      <w:tr w:rsidR="00B51B4B" w:rsidRPr="00E755E2" w14:paraId="20ECB9B8" w14:textId="77777777" w:rsidTr="00E755E2">
        <w:trPr>
          <w:trHeight w:val="401"/>
        </w:trPr>
        <w:tc>
          <w:tcPr>
            <w:tcW w:w="3402" w:type="dxa"/>
            <w:tcBorders>
              <w:top w:val="nil"/>
              <w:left w:val="single" w:sz="4" w:space="0" w:color="auto"/>
              <w:bottom w:val="single" w:sz="4" w:space="0" w:color="auto"/>
              <w:right w:val="single" w:sz="4" w:space="0" w:color="auto"/>
            </w:tcBorders>
            <w:shd w:val="clear" w:color="auto" w:fill="95B3D7" w:themeFill="accent1" w:themeFillTint="99"/>
            <w:noWrap/>
            <w:vAlign w:val="center"/>
            <w:hideMark/>
          </w:tcPr>
          <w:p w14:paraId="646AFD57" w14:textId="77777777" w:rsidR="002E0F37" w:rsidRPr="00E755E2" w:rsidRDefault="002E0F37">
            <w:pPr>
              <w:rPr>
                <w:rFonts w:asciiTheme="minorHAnsi" w:hAnsiTheme="minorHAnsi" w:cs="Arial"/>
                <w:b/>
                <w:bCs/>
                <w:color w:val="000000"/>
                <w:sz w:val="22"/>
                <w:szCs w:val="22"/>
              </w:rPr>
            </w:pPr>
            <w:r w:rsidRPr="00E755E2">
              <w:rPr>
                <w:rFonts w:asciiTheme="minorHAnsi" w:hAnsiTheme="minorHAnsi" w:cs="Arial"/>
                <w:b/>
                <w:bCs/>
                <w:color w:val="000000"/>
                <w:sz w:val="22"/>
                <w:szCs w:val="22"/>
              </w:rPr>
              <w:lastRenderedPageBreak/>
              <w:t xml:space="preserve">Total R&amp;M </w:t>
            </w:r>
          </w:p>
        </w:tc>
        <w:tc>
          <w:tcPr>
            <w:tcW w:w="2126" w:type="dxa"/>
            <w:tcBorders>
              <w:top w:val="nil"/>
              <w:left w:val="nil"/>
              <w:bottom w:val="single" w:sz="4" w:space="0" w:color="auto"/>
              <w:right w:val="single" w:sz="4" w:space="0" w:color="auto"/>
            </w:tcBorders>
            <w:shd w:val="clear" w:color="auto" w:fill="95B3D7" w:themeFill="accent1" w:themeFillTint="99"/>
            <w:noWrap/>
            <w:vAlign w:val="center"/>
            <w:hideMark/>
          </w:tcPr>
          <w:p w14:paraId="7785E9F7" w14:textId="77777777" w:rsidR="002E0F37" w:rsidRPr="00E755E2" w:rsidRDefault="002E0F37">
            <w:pPr>
              <w:jc w:val="center"/>
              <w:rPr>
                <w:rFonts w:asciiTheme="minorHAnsi" w:hAnsiTheme="minorHAnsi" w:cs="Arial"/>
                <w:b/>
                <w:bCs/>
                <w:color w:val="000000"/>
                <w:sz w:val="22"/>
                <w:szCs w:val="22"/>
              </w:rPr>
            </w:pPr>
            <w:r w:rsidRPr="00E755E2">
              <w:rPr>
                <w:rFonts w:asciiTheme="minorHAnsi" w:hAnsiTheme="minorHAnsi" w:cs="Arial"/>
                <w:b/>
                <w:bCs/>
                <w:color w:val="000000"/>
                <w:sz w:val="22"/>
                <w:szCs w:val="22"/>
              </w:rPr>
              <w:t> </w:t>
            </w:r>
          </w:p>
        </w:tc>
        <w:tc>
          <w:tcPr>
            <w:tcW w:w="1956" w:type="dxa"/>
            <w:tcBorders>
              <w:top w:val="nil"/>
              <w:left w:val="nil"/>
              <w:bottom w:val="single" w:sz="4" w:space="0" w:color="auto"/>
              <w:right w:val="single" w:sz="4" w:space="0" w:color="auto"/>
            </w:tcBorders>
            <w:shd w:val="clear" w:color="auto" w:fill="95B3D7" w:themeFill="accent1" w:themeFillTint="99"/>
            <w:noWrap/>
            <w:vAlign w:val="center"/>
            <w:hideMark/>
          </w:tcPr>
          <w:p w14:paraId="676D9021" w14:textId="77777777" w:rsidR="002E0F37" w:rsidRPr="00E755E2" w:rsidRDefault="002E0F37">
            <w:pPr>
              <w:jc w:val="center"/>
              <w:rPr>
                <w:rFonts w:asciiTheme="minorHAnsi" w:hAnsiTheme="minorHAnsi" w:cs="Arial"/>
                <w:b/>
                <w:bCs/>
                <w:color w:val="000000"/>
                <w:sz w:val="22"/>
                <w:szCs w:val="22"/>
              </w:rPr>
            </w:pPr>
            <w:r w:rsidRPr="00E755E2">
              <w:rPr>
                <w:rFonts w:asciiTheme="minorHAnsi" w:hAnsiTheme="minorHAnsi" w:cs="Arial"/>
                <w:b/>
                <w:bCs/>
                <w:color w:val="000000"/>
                <w:sz w:val="22"/>
                <w:szCs w:val="22"/>
              </w:rPr>
              <w:t> </w:t>
            </w:r>
          </w:p>
        </w:tc>
        <w:tc>
          <w:tcPr>
            <w:tcW w:w="1652" w:type="dxa"/>
            <w:tcBorders>
              <w:top w:val="nil"/>
              <w:left w:val="nil"/>
              <w:bottom w:val="single" w:sz="4" w:space="0" w:color="auto"/>
              <w:right w:val="single" w:sz="4" w:space="0" w:color="auto"/>
            </w:tcBorders>
            <w:shd w:val="clear" w:color="auto" w:fill="95B3D7" w:themeFill="accent1" w:themeFillTint="99"/>
            <w:noWrap/>
            <w:vAlign w:val="center"/>
            <w:hideMark/>
          </w:tcPr>
          <w:p w14:paraId="713F354D" w14:textId="77777777" w:rsidR="002E0F37" w:rsidRPr="00E755E2" w:rsidRDefault="002E0F37" w:rsidP="00AC1AAB">
            <w:pPr>
              <w:jc w:val="center"/>
              <w:rPr>
                <w:rFonts w:asciiTheme="minorHAnsi" w:hAnsiTheme="minorHAnsi" w:cs="Arial"/>
                <w:b/>
                <w:bCs/>
                <w:color w:val="000000"/>
                <w:sz w:val="22"/>
                <w:szCs w:val="22"/>
              </w:rPr>
            </w:pPr>
            <w:r w:rsidRPr="00E755E2">
              <w:rPr>
                <w:rFonts w:asciiTheme="minorHAnsi" w:hAnsiTheme="minorHAnsi" w:cs="Arial"/>
                <w:b/>
                <w:bCs/>
                <w:color w:val="000000"/>
                <w:sz w:val="22"/>
                <w:szCs w:val="22"/>
              </w:rPr>
              <w:t>300.11</w:t>
            </w:r>
          </w:p>
        </w:tc>
      </w:tr>
    </w:tbl>
    <w:p w14:paraId="52895214" w14:textId="4A0EE996" w:rsidR="002E0F37" w:rsidRPr="000860B0" w:rsidRDefault="002E0F37" w:rsidP="002062BD">
      <w:pPr>
        <w:spacing w:line="360" w:lineRule="auto"/>
        <w:ind w:left="720" w:firstLine="720"/>
        <w:rPr>
          <w:rFonts w:asciiTheme="minorHAnsi" w:hAnsiTheme="minorHAnsi" w:cstheme="minorHAnsi"/>
          <w:szCs w:val="22"/>
        </w:rPr>
      </w:pPr>
    </w:p>
    <w:p w14:paraId="7BD0DDAE" w14:textId="14897AC7" w:rsidR="000A66EF" w:rsidRPr="000860B0" w:rsidRDefault="00775CA2" w:rsidP="00A40DA4">
      <w:pPr>
        <w:spacing w:line="360" w:lineRule="auto"/>
        <w:ind w:left="567"/>
        <w:jc w:val="both"/>
        <w:rPr>
          <w:rFonts w:asciiTheme="minorHAnsi" w:hAnsiTheme="minorHAnsi" w:cstheme="minorHAnsi"/>
          <w:b/>
          <w:szCs w:val="22"/>
        </w:rPr>
      </w:pPr>
      <w:r w:rsidRPr="000860B0">
        <w:rPr>
          <w:rFonts w:asciiTheme="minorHAnsi" w:hAnsiTheme="minorHAnsi" w:cstheme="minorHAnsi"/>
          <w:b/>
          <w:szCs w:val="22"/>
        </w:rPr>
        <w:t>2.7.</w:t>
      </w:r>
      <w:r w:rsidR="000860B0" w:rsidRPr="000860B0">
        <w:rPr>
          <w:rFonts w:asciiTheme="minorHAnsi" w:hAnsiTheme="minorHAnsi" w:cstheme="minorHAnsi"/>
          <w:b/>
          <w:szCs w:val="22"/>
        </w:rPr>
        <w:t>5</w:t>
      </w:r>
      <w:r w:rsidRPr="000860B0">
        <w:rPr>
          <w:rFonts w:asciiTheme="minorHAnsi" w:hAnsiTheme="minorHAnsi" w:cstheme="minorHAnsi"/>
          <w:b/>
          <w:szCs w:val="22"/>
        </w:rPr>
        <w:t xml:space="preserve"> O&amp;M Cost of Standalone Micro Grids</w:t>
      </w:r>
    </w:p>
    <w:p w14:paraId="2C61203A" w14:textId="77777777" w:rsidR="00A40DA4" w:rsidRDefault="00A40DA4" w:rsidP="00A40DA4">
      <w:pPr>
        <w:spacing w:line="360" w:lineRule="auto"/>
        <w:ind w:left="567"/>
        <w:jc w:val="both"/>
        <w:rPr>
          <w:rFonts w:asciiTheme="minorHAnsi" w:hAnsiTheme="minorHAnsi" w:cstheme="minorHAnsi"/>
          <w:b/>
          <w:sz w:val="22"/>
          <w:szCs w:val="22"/>
        </w:rPr>
      </w:pPr>
    </w:p>
    <w:p w14:paraId="2C3688F6" w14:textId="12810476" w:rsidR="000A66EF" w:rsidRDefault="000A66EF" w:rsidP="1C7A3D4D">
      <w:pPr>
        <w:pStyle w:val="NoSpacing"/>
        <w:spacing w:line="360" w:lineRule="auto"/>
        <w:ind w:left="567"/>
        <w:jc w:val="both"/>
        <w:rPr>
          <w:rFonts w:asciiTheme="minorHAnsi" w:hAnsiTheme="minorHAnsi" w:cstheme="minorBidi"/>
          <w:lang w:val="en-US"/>
        </w:rPr>
      </w:pPr>
      <w:r w:rsidRPr="1C7A3D4D">
        <w:rPr>
          <w:rFonts w:asciiTheme="minorHAnsi" w:hAnsiTheme="minorHAnsi" w:cstheme="minorBidi"/>
          <w:lang w:val="en-US"/>
        </w:rPr>
        <w:t xml:space="preserve">Under BGJY off Grid House Hold electrification scheme, the un electrified tribal House Holds are being electrified through Micro Grid solar in </w:t>
      </w:r>
      <w:proofErr w:type="spellStart"/>
      <w:r w:rsidRPr="1C7A3D4D">
        <w:rPr>
          <w:rFonts w:asciiTheme="minorHAnsi" w:hAnsiTheme="minorHAnsi" w:cstheme="minorBidi"/>
          <w:lang w:val="en-US"/>
        </w:rPr>
        <w:t>Keonjhar</w:t>
      </w:r>
      <w:proofErr w:type="spellEnd"/>
      <w:r w:rsidRPr="1C7A3D4D">
        <w:rPr>
          <w:rFonts w:asciiTheme="minorHAnsi" w:hAnsiTheme="minorHAnsi" w:cstheme="minorBidi"/>
          <w:lang w:val="en-US"/>
        </w:rPr>
        <w:t xml:space="preserve"> &amp; Mayurbhanj districts. A total no of 2500 nos. of un-electrified </w:t>
      </w:r>
      <w:r w:rsidR="00E02343" w:rsidRPr="1C7A3D4D">
        <w:rPr>
          <w:rFonts w:asciiTheme="minorHAnsi" w:hAnsiTheme="minorHAnsi" w:cstheme="minorBidi"/>
          <w:lang w:val="en-US"/>
        </w:rPr>
        <w:t>households</w:t>
      </w:r>
      <w:r w:rsidRPr="1C7A3D4D">
        <w:rPr>
          <w:rFonts w:asciiTheme="minorHAnsi" w:hAnsiTheme="minorHAnsi" w:cstheme="minorBidi"/>
          <w:lang w:val="en-US"/>
        </w:rPr>
        <w:t xml:space="preserve"> are already been electrified through 18 nos. Micro Grids solar plant having total grid capacity of 200 KW along with 101 Km of LT network. Out of 18 nos. Solar Micro Grid 14 nos. Micro Grid having 10 KW each and rest 04 nos. having 15 KW each. </w:t>
      </w:r>
    </w:p>
    <w:p w14:paraId="7A72B1AC" w14:textId="77777777" w:rsidR="000A66EF" w:rsidRPr="00BD5055" w:rsidRDefault="000A66EF" w:rsidP="000A66EF">
      <w:pPr>
        <w:pStyle w:val="NoSpacing"/>
        <w:spacing w:line="360" w:lineRule="auto"/>
        <w:ind w:left="567"/>
        <w:jc w:val="both"/>
        <w:rPr>
          <w:rFonts w:asciiTheme="minorHAnsi" w:hAnsiTheme="minorHAnsi" w:cstheme="minorHAnsi"/>
        </w:rPr>
      </w:pPr>
    </w:p>
    <w:p w14:paraId="43311C22" w14:textId="7A94DEF5" w:rsidR="000A66EF" w:rsidRPr="00BD5055" w:rsidRDefault="000A66EF" w:rsidP="1C7A3D4D">
      <w:pPr>
        <w:pStyle w:val="NoSpacing"/>
        <w:spacing w:line="360" w:lineRule="auto"/>
        <w:ind w:left="567"/>
        <w:jc w:val="both"/>
        <w:rPr>
          <w:rFonts w:asciiTheme="minorHAnsi" w:hAnsiTheme="minorHAnsi" w:cstheme="minorBidi"/>
          <w:lang w:val="en-US"/>
        </w:rPr>
      </w:pPr>
      <w:r w:rsidRPr="1C7A3D4D">
        <w:rPr>
          <w:rFonts w:asciiTheme="minorHAnsi" w:hAnsiTheme="minorHAnsi" w:cstheme="minorBidi"/>
          <w:lang w:val="en-US"/>
        </w:rPr>
        <w:t xml:space="preserve">All the Villages are situated in highly remote area under </w:t>
      </w:r>
      <w:proofErr w:type="spellStart"/>
      <w:r w:rsidRPr="1C7A3D4D">
        <w:rPr>
          <w:rFonts w:asciiTheme="minorHAnsi" w:hAnsiTheme="minorHAnsi" w:cstheme="minorBidi"/>
          <w:lang w:val="en-US"/>
        </w:rPr>
        <w:t>Similipal</w:t>
      </w:r>
      <w:proofErr w:type="spellEnd"/>
      <w:r w:rsidRPr="1C7A3D4D">
        <w:rPr>
          <w:rFonts w:asciiTheme="minorHAnsi" w:hAnsiTheme="minorHAnsi" w:cstheme="minorBidi"/>
          <w:lang w:val="en-US"/>
        </w:rPr>
        <w:t xml:space="preserve"> reserve forest. The solar micro grid plants already completed and dedicated for public service on 26</w:t>
      </w:r>
      <w:r w:rsidRPr="1C7A3D4D">
        <w:rPr>
          <w:rFonts w:asciiTheme="minorHAnsi" w:hAnsiTheme="minorHAnsi" w:cstheme="minorBidi"/>
          <w:vertAlign w:val="superscript"/>
          <w:lang w:val="en-US"/>
        </w:rPr>
        <w:t>th</w:t>
      </w:r>
      <w:r w:rsidRPr="1C7A3D4D">
        <w:rPr>
          <w:rFonts w:asciiTheme="minorHAnsi" w:hAnsiTheme="minorHAnsi" w:cstheme="minorBidi"/>
          <w:lang w:val="en-US"/>
        </w:rPr>
        <w:t xml:space="preserve"> Jan-2024. Another micro grid at </w:t>
      </w:r>
      <w:proofErr w:type="spellStart"/>
      <w:r w:rsidRPr="1C7A3D4D">
        <w:rPr>
          <w:rFonts w:asciiTheme="minorHAnsi" w:hAnsiTheme="minorHAnsi" w:cstheme="minorBidi"/>
          <w:lang w:val="en-US"/>
        </w:rPr>
        <w:t>Ralibeda</w:t>
      </w:r>
      <w:proofErr w:type="spellEnd"/>
      <w:r w:rsidRPr="1C7A3D4D">
        <w:rPr>
          <w:rFonts w:asciiTheme="minorHAnsi" w:hAnsiTheme="minorHAnsi" w:cstheme="minorBidi"/>
          <w:lang w:val="en-US"/>
        </w:rPr>
        <w:t xml:space="preserve"> having capacity of 20KW will be coming up by December-2024 in the district of Mayurbhanj. Total no of HHs will be electrified under the micro grid is 213. In case of Standalone solar project, 2071 nos. of HHs are electrified out of 3037 and the balance will be completed by end of 2024. Further to intimate that additional 263 solar standalone are going to be installed by the end of Dec-2024 to electrify the PVTG HHs under </w:t>
      </w:r>
      <w:proofErr w:type="spellStart"/>
      <w:r w:rsidRPr="1C7A3D4D">
        <w:rPr>
          <w:rFonts w:asciiTheme="minorHAnsi" w:hAnsiTheme="minorHAnsi" w:cstheme="minorBidi"/>
          <w:lang w:val="en-US"/>
        </w:rPr>
        <w:t>Keonjhar</w:t>
      </w:r>
      <w:proofErr w:type="spellEnd"/>
      <w:r w:rsidRPr="1C7A3D4D">
        <w:rPr>
          <w:rFonts w:asciiTheme="minorHAnsi" w:hAnsiTheme="minorHAnsi" w:cstheme="minorBidi"/>
          <w:lang w:val="en-US"/>
        </w:rPr>
        <w:t xml:space="preserve"> &amp; Mayurbhanj district. After completion of the project, all solar Micro Grids and standalone would need regular de-dusting, panel cleaning, maintenance to ensure desired up-keep and performance. This would require deployment of trained manpower as well as maintenance spares. Hon’ble Commission has also stressed upon maintenance of those standalone and Micro Grids during meeting held on dated 30.10.23 on implementation of Solar Micro Grid. TPNODL has tied up with local colleges in Mayurbhanj district to provide structured training to identified local youth. Further, a local sto</w:t>
      </w:r>
      <w:r w:rsidR="007F3AB8" w:rsidRPr="1C7A3D4D">
        <w:rPr>
          <w:rFonts w:asciiTheme="minorHAnsi" w:hAnsiTheme="minorHAnsi" w:cstheme="minorBidi"/>
          <w:lang w:val="en-US"/>
        </w:rPr>
        <w:t xml:space="preserve">re of associated spare parts has been </w:t>
      </w:r>
      <w:r w:rsidRPr="1C7A3D4D">
        <w:rPr>
          <w:rFonts w:asciiTheme="minorHAnsi" w:hAnsiTheme="minorHAnsi" w:cstheme="minorBidi"/>
          <w:lang w:val="en-US"/>
        </w:rPr>
        <w:t>developed to facilitate availability of maintenance spares.</w:t>
      </w:r>
    </w:p>
    <w:p w14:paraId="4E112B3A" w14:textId="77777777" w:rsidR="000A66EF" w:rsidRPr="00BD5055" w:rsidRDefault="000A66EF" w:rsidP="000A66EF">
      <w:pPr>
        <w:pStyle w:val="NoSpacing"/>
        <w:spacing w:line="360" w:lineRule="auto"/>
        <w:ind w:left="567"/>
        <w:jc w:val="both"/>
        <w:rPr>
          <w:rFonts w:asciiTheme="minorHAnsi" w:hAnsiTheme="minorHAnsi" w:cstheme="minorHAnsi"/>
        </w:rPr>
      </w:pPr>
      <w:r w:rsidRPr="00BD5055">
        <w:rPr>
          <w:rFonts w:asciiTheme="minorHAnsi" w:hAnsiTheme="minorHAnsi" w:cstheme="minorHAnsi"/>
        </w:rPr>
        <w:t xml:space="preserve"> </w:t>
      </w:r>
    </w:p>
    <w:p w14:paraId="03B438F9" w14:textId="38B35851" w:rsidR="000A66EF" w:rsidRPr="00BD5055" w:rsidRDefault="000A66EF" w:rsidP="1C7A3D4D">
      <w:pPr>
        <w:pStyle w:val="NoSpacing"/>
        <w:spacing w:line="360" w:lineRule="auto"/>
        <w:ind w:left="567"/>
        <w:jc w:val="both"/>
        <w:rPr>
          <w:rFonts w:asciiTheme="minorHAnsi" w:hAnsiTheme="minorHAnsi" w:cstheme="minorBidi"/>
          <w:lang w:val="en-US"/>
        </w:rPr>
      </w:pPr>
      <w:r w:rsidRPr="1C7A3D4D">
        <w:rPr>
          <w:rFonts w:asciiTheme="minorHAnsi" w:hAnsiTheme="minorHAnsi" w:cstheme="minorBidi"/>
          <w:lang w:val="en-US"/>
        </w:rPr>
        <w:t xml:space="preserve">Energy Department Govt. of Odisha has also proposed that the Standalone PV cells which were earlier installed by OREDA and now in defunct conditions will also be made operational and handed over to DISCOMs for maintenance. Further, TPNODL has </w:t>
      </w:r>
      <w:r w:rsidR="007F3AB8" w:rsidRPr="1C7A3D4D">
        <w:rPr>
          <w:rFonts w:asciiTheme="minorHAnsi" w:hAnsiTheme="minorHAnsi" w:cstheme="minorBidi"/>
          <w:lang w:val="en-US"/>
        </w:rPr>
        <w:t>also</w:t>
      </w:r>
      <w:r w:rsidRPr="1C7A3D4D">
        <w:rPr>
          <w:rFonts w:asciiTheme="minorHAnsi" w:hAnsiTheme="minorHAnsi" w:cstheme="minorBidi"/>
          <w:lang w:val="en-US"/>
        </w:rPr>
        <w:t xml:space="preserve"> install</w:t>
      </w:r>
      <w:r w:rsidR="007F3AB8" w:rsidRPr="1C7A3D4D">
        <w:rPr>
          <w:rFonts w:asciiTheme="minorHAnsi" w:hAnsiTheme="minorHAnsi" w:cstheme="minorBidi"/>
          <w:lang w:val="en-US"/>
        </w:rPr>
        <w:t>ed</w:t>
      </w:r>
      <w:r w:rsidRPr="1C7A3D4D">
        <w:rPr>
          <w:rFonts w:asciiTheme="minorHAnsi" w:hAnsiTheme="minorHAnsi" w:cstheme="minorBidi"/>
          <w:lang w:val="en-US"/>
        </w:rPr>
        <w:t xml:space="preserve"> roof top solar units on its office buildings as per CAPEX approved by Hon’ble Commission for FY23-24 which also need deployment of trained manpower and spares, consumable for regular maintenance.</w:t>
      </w:r>
    </w:p>
    <w:p w14:paraId="6EED2A24" w14:textId="77777777" w:rsidR="00976659" w:rsidRDefault="00976659" w:rsidP="000A66EF"/>
    <w:p w14:paraId="456759B1" w14:textId="77777777" w:rsidR="000A66EF" w:rsidRDefault="000A66EF" w:rsidP="000A66EF"/>
    <w:p w14:paraId="05519CEA" w14:textId="77777777" w:rsidR="00A40DA4" w:rsidRDefault="00A40DA4" w:rsidP="00D4188C">
      <w:pPr>
        <w:jc w:val="center"/>
        <w:rPr>
          <w:rFonts w:asciiTheme="minorHAnsi" w:hAnsiTheme="minorHAnsi" w:cstheme="minorHAnsi"/>
          <w:b/>
          <w:sz w:val="22"/>
        </w:rPr>
      </w:pPr>
    </w:p>
    <w:p w14:paraId="610836CA" w14:textId="77777777" w:rsidR="00A40DA4" w:rsidRDefault="00A40DA4" w:rsidP="00D4188C">
      <w:pPr>
        <w:jc w:val="center"/>
        <w:rPr>
          <w:rFonts w:asciiTheme="minorHAnsi" w:hAnsiTheme="minorHAnsi" w:cstheme="minorHAnsi"/>
          <w:b/>
          <w:sz w:val="22"/>
        </w:rPr>
      </w:pPr>
    </w:p>
    <w:p w14:paraId="6D479BBC" w14:textId="77777777" w:rsidR="00A40DA4" w:rsidRDefault="00A40DA4" w:rsidP="00D4188C">
      <w:pPr>
        <w:jc w:val="center"/>
        <w:rPr>
          <w:rFonts w:asciiTheme="minorHAnsi" w:hAnsiTheme="minorHAnsi" w:cstheme="minorHAnsi"/>
          <w:b/>
          <w:sz w:val="22"/>
        </w:rPr>
      </w:pPr>
    </w:p>
    <w:p w14:paraId="61CF5714" w14:textId="77777777" w:rsidR="00A40DA4" w:rsidRDefault="00A40DA4" w:rsidP="00D4188C">
      <w:pPr>
        <w:jc w:val="center"/>
        <w:rPr>
          <w:rFonts w:asciiTheme="minorHAnsi" w:hAnsiTheme="minorHAnsi" w:cstheme="minorHAnsi"/>
          <w:b/>
          <w:sz w:val="22"/>
        </w:rPr>
      </w:pPr>
    </w:p>
    <w:p w14:paraId="138A706A" w14:textId="77777777" w:rsidR="00A40DA4" w:rsidRDefault="00A40DA4" w:rsidP="00D4188C">
      <w:pPr>
        <w:jc w:val="center"/>
        <w:rPr>
          <w:rFonts w:asciiTheme="minorHAnsi" w:hAnsiTheme="minorHAnsi" w:cstheme="minorHAnsi"/>
          <w:b/>
          <w:sz w:val="22"/>
        </w:rPr>
      </w:pPr>
    </w:p>
    <w:p w14:paraId="4DFAF2E4" w14:textId="77777777" w:rsidR="00A40DA4" w:rsidRDefault="00A40DA4" w:rsidP="00D4188C">
      <w:pPr>
        <w:jc w:val="center"/>
        <w:rPr>
          <w:rFonts w:asciiTheme="minorHAnsi" w:hAnsiTheme="minorHAnsi" w:cstheme="minorHAnsi"/>
          <w:b/>
          <w:sz w:val="22"/>
        </w:rPr>
      </w:pPr>
    </w:p>
    <w:p w14:paraId="057BC5A8" w14:textId="77777777" w:rsidR="00A40DA4" w:rsidRDefault="00A40DA4" w:rsidP="00D4188C">
      <w:pPr>
        <w:jc w:val="center"/>
        <w:rPr>
          <w:rFonts w:asciiTheme="minorHAnsi" w:hAnsiTheme="minorHAnsi" w:cstheme="minorHAnsi"/>
          <w:b/>
          <w:sz w:val="22"/>
        </w:rPr>
      </w:pPr>
    </w:p>
    <w:p w14:paraId="28E8A974" w14:textId="2F450273" w:rsidR="000A66EF" w:rsidRPr="00A40DA4" w:rsidRDefault="00E02343" w:rsidP="00D4188C">
      <w:pPr>
        <w:jc w:val="center"/>
        <w:rPr>
          <w:rFonts w:asciiTheme="minorHAnsi" w:hAnsiTheme="minorHAnsi" w:cstheme="minorHAnsi"/>
          <w:b/>
          <w:sz w:val="22"/>
          <w:lang w:val="en-IN"/>
        </w:rPr>
      </w:pPr>
      <w:proofErr w:type="gramStart"/>
      <w:r w:rsidRPr="00A40DA4">
        <w:rPr>
          <w:rFonts w:asciiTheme="minorHAnsi" w:hAnsiTheme="minorHAnsi" w:cstheme="minorHAnsi"/>
          <w:b/>
          <w:sz w:val="22"/>
        </w:rPr>
        <w:t>Table:-</w:t>
      </w:r>
      <w:proofErr w:type="gramEnd"/>
      <w:r w:rsidR="00A40DA4">
        <w:rPr>
          <w:rFonts w:asciiTheme="minorHAnsi" w:hAnsiTheme="minorHAnsi" w:cstheme="minorHAnsi"/>
          <w:b/>
          <w:sz w:val="22"/>
        </w:rPr>
        <w:t>30</w:t>
      </w:r>
      <w:r w:rsidRPr="00A40DA4">
        <w:rPr>
          <w:rFonts w:asciiTheme="minorHAnsi" w:hAnsiTheme="minorHAnsi" w:cstheme="minorHAnsi"/>
          <w:b/>
          <w:sz w:val="22"/>
        </w:rPr>
        <w:t xml:space="preserve"> </w:t>
      </w:r>
      <w:r w:rsidR="000A66EF" w:rsidRPr="00A40DA4">
        <w:rPr>
          <w:rFonts w:asciiTheme="minorHAnsi" w:hAnsiTheme="minorHAnsi" w:cstheme="minorHAnsi"/>
          <w:b/>
          <w:sz w:val="22"/>
        </w:rPr>
        <w:t>Additional R&amp;M Expenses for Solar Units</w:t>
      </w:r>
    </w:p>
    <w:p w14:paraId="00B98BEE" w14:textId="77777777" w:rsidR="000A66EF" w:rsidRPr="00A61B61" w:rsidRDefault="000A66EF" w:rsidP="000A66EF">
      <w:pPr>
        <w:rPr>
          <w:rFonts w:asciiTheme="minorHAnsi" w:hAnsiTheme="minorHAnsi" w:cstheme="minorHAnsi"/>
        </w:rPr>
      </w:pPr>
    </w:p>
    <w:tbl>
      <w:tblPr>
        <w:tblW w:w="9419" w:type="dxa"/>
        <w:tblCellMar>
          <w:left w:w="0" w:type="dxa"/>
          <w:right w:w="0" w:type="dxa"/>
        </w:tblCellMar>
        <w:tblLook w:val="0600" w:firstRow="0" w:lastRow="0" w:firstColumn="0" w:lastColumn="0" w:noHBand="1" w:noVBand="1"/>
      </w:tblPr>
      <w:tblGrid>
        <w:gridCol w:w="1987"/>
        <w:gridCol w:w="1882"/>
        <w:gridCol w:w="1003"/>
        <w:gridCol w:w="1325"/>
        <w:gridCol w:w="1013"/>
        <w:gridCol w:w="1325"/>
        <w:gridCol w:w="884"/>
      </w:tblGrid>
      <w:tr w:rsidR="000A66EF" w:rsidRPr="00984B2C" w14:paraId="15FBB462" w14:textId="77777777" w:rsidTr="009F1B7A">
        <w:trPr>
          <w:trHeight w:val="308"/>
        </w:trPr>
        <w:tc>
          <w:tcPr>
            <w:tcW w:w="1987" w:type="dxa"/>
            <w:vMerge w:val="restart"/>
            <w:tcBorders>
              <w:top w:val="single" w:sz="8" w:space="0" w:color="000000"/>
              <w:left w:val="single" w:sz="8" w:space="0" w:color="000000"/>
              <w:bottom w:val="single" w:sz="8" w:space="0" w:color="000000"/>
              <w:right w:val="single" w:sz="8" w:space="0" w:color="000000"/>
            </w:tcBorders>
            <w:shd w:val="clear" w:color="auto" w:fill="95B3D7" w:themeFill="accent1" w:themeFillTint="99"/>
            <w:tcMar>
              <w:top w:w="10" w:type="dxa"/>
              <w:left w:w="10" w:type="dxa"/>
              <w:bottom w:w="0" w:type="dxa"/>
              <w:right w:w="10" w:type="dxa"/>
            </w:tcMar>
            <w:vAlign w:val="center"/>
            <w:hideMark/>
          </w:tcPr>
          <w:p w14:paraId="6939D332" w14:textId="77777777" w:rsidR="000A66EF" w:rsidRPr="00984B2C" w:rsidRDefault="000A66EF" w:rsidP="00713A56">
            <w:pPr>
              <w:jc w:val="center"/>
              <w:rPr>
                <w:rFonts w:asciiTheme="minorHAnsi" w:hAnsiTheme="minorHAnsi" w:cstheme="minorHAnsi"/>
                <w:sz w:val="22"/>
                <w:szCs w:val="22"/>
                <w:lang w:val="en-IN"/>
              </w:rPr>
            </w:pPr>
            <w:r w:rsidRPr="00984B2C">
              <w:rPr>
                <w:rFonts w:asciiTheme="minorHAnsi" w:hAnsiTheme="minorHAnsi" w:cstheme="minorHAnsi"/>
                <w:b/>
                <w:bCs/>
                <w:sz w:val="22"/>
                <w:szCs w:val="22"/>
                <w:lang w:val="en-IN"/>
              </w:rPr>
              <w:t>Off Grid Solar Type</w:t>
            </w:r>
          </w:p>
        </w:tc>
        <w:tc>
          <w:tcPr>
            <w:tcW w:w="1882" w:type="dxa"/>
            <w:vMerge w:val="restart"/>
            <w:tcBorders>
              <w:top w:val="single" w:sz="8" w:space="0" w:color="000000"/>
              <w:left w:val="single" w:sz="8" w:space="0" w:color="000000"/>
              <w:bottom w:val="single" w:sz="8" w:space="0" w:color="000000"/>
              <w:right w:val="single" w:sz="8" w:space="0" w:color="000000"/>
            </w:tcBorders>
            <w:shd w:val="clear" w:color="auto" w:fill="95B3D7" w:themeFill="accent1" w:themeFillTint="99"/>
            <w:tcMar>
              <w:top w:w="10" w:type="dxa"/>
              <w:left w:w="10" w:type="dxa"/>
              <w:bottom w:w="0" w:type="dxa"/>
              <w:right w:w="10" w:type="dxa"/>
            </w:tcMar>
            <w:vAlign w:val="center"/>
            <w:hideMark/>
          </w:tcPr>
          <w:p w14:paraId="6A6805AC" w14:textId="77777777" w:rsidR="000A66EF" w:rsidRPr="00984B2C" w:rsidRDefault="000A66EF" w:rsidP="00713A56">
            <w:pPr>
              <w:jc w:val="center"/>
              <w:rPr>
                <w:rFonts w:asciiTheme="minorHAnsi" w:hAnsiTheme="minorHAnsi" w:cstheme="minorHAnsi"/>
                <w:sz w:val="22"/>
                <w:szCs w:val="22"/>
                <w:lang w:val="en-IN"/>
              </w:rPr>
            </w:pPr>
            <w:r w:rsidRPr="00984B2C">
              <w:rPr>
                <w:rFonts w:asciiTheme="minorHAnsi" w:hAnsiTheme="minorHAnsi" w:cstheme="minorHAnsi"/>
                <w:b/>
                <w:bCs/>
                <w:sz w:val="22"/>
                <w:szCs w:val="22"/>
                <w:lang w:val="en-IN"/>
              </w:rPr>
              <w:t>Implementing Agency</w:t>
            </w:r>
          </w:p>
        </w:tc>
        <w:tc>
          <w:tcPr>
            <w:tcW w:w="2328" w:type="dxa"/>
            <w:gridSpan w:val="2"/>
            <w:tcBorders>
              <w:top w:val="single" w:sz="8" w:space="0" w:color="000000"/>
              <w:left w:val="single" w:sz="8" w:space="0" w:color="000000"/>
              <w:bottom w:val="single" w:sz="8" w:space="0" w:color="000000"/>
              <w:right w:val="single" w:sz="8" w:space="0" w:color="000000"/>
            </w:tcBorders>
            <w:shd w:val="clear" w:color="auto" w:fill="95B3D7" w:themeFill="accent1" w:themeFillTint="99"/>
            <w:tcMar>
              <w:top w:w="10" w:type="dxa"/>
              <w:left w:w="10" w:type="dxa"/>
              <w:bottom w:w="0" w:type="dxa"/>
              <w:right w:w="10" w:type="dxa"/>
            </w:tcMar>
            <w:vAlign w:val="center"/>
            <w:hideMark/>
          </w:tcPr>
          <w:p w14:paraId="33AE7AFD" w14:textId="77777777" w:rsidR="000A66EF" w:rsidRPr="00984B2C" w:rsidRDefault="000A66EF" w:rsidP="00713A56">
            <w:pPr>
              <w:jc w:val="center"/>
              <w:rPr>
                <w:rFonts w:asciiTheme="minorHAnsi" w:hAnsiTheme="minorHAnsi" w:cstheme="minorHAnsi"/>
                <w:sz w:val="22"/>
                <w:szCs w:val="22"/>
                <w:lang w:val="en-IN"/>
              </w:rPr>
            </w:pPr>
            <w:r w:rsidRPr="00984B2C">
              <w:rPr>
                <w:rFonts w:asciiTheme="minorHAnsi" w:hAnsiTheme="minorHAnsi" w:cstheme="minorHAnsi"/>
                <w:b/>
                <w:bCs/>
                <w:sz w:val="22"/>
                <w:szCs w:val="22"/>
                <w:lang w:val="en-IN"/>
              </w:rPr>
              <w:t>No. of Villages</w:t>
            </w:r>
          </w:p>
        </w:tc>
        <w:tc>
          <w:tcPr>
            <w:tcW w:w="2338" w:type="dxa"/>
            <w:gridSpan w:val="2"/>
            <w:tcBorders>
              <w:top w:val="single" w:sz="8" w:space="0" w:color="000000"/>
              <w:left w:val="single" w:sz="8" w:space="0" w:color="000000"/>
              <w:bottom w:val="single" w:sz="8" w:space="0" w:color="000000"/>
              <w:right w:val="single" w:sz="8" w:space="0" w:color="000000"/>
            </w:tcBorders>
            <w:shd w:val="clear" w:color="auto" w:fill="95B3D7" w:themeFill="accent1" w:themeFillTint="99"/>
            <w:tcMar>
              <w:top w:w="10" w:type="dxa"/>
              <w:left w:w="10" w:type="dxa"/>
              <w:bottom w:w="0" w:type="dxa"/>
              <w:right w:w="10" w:type="dxa"/>
            </w:tcMar>
            <w:vAlign w:val="center"/>
            <w:hideMark/>
          </w:tcPr>
          <w:p w14:paraId="47B11E24" w14:textId="77777777" w:rsidR="000A66EF" w:rsidRPr="00984B2C" w:rsidRDefault="000A66EF" w:rsidP="00713A56">
            <w:pPr>
              <w:jc w:val="center"/>
              <w:rPr>
                <w:rFonts w:asciiTheme="minorHAnsi" w:hAnsiTheme="minorHAnsi" w:cstheme="minorHAnsi"/>
                <w:sz w:val="22"/>
                <w:szCs w:val="22"/>
                <w:lang w:val="en-IN"/>
              </w:rPr>
            </w:pPr>
            <w:r w:rsidRPr="00984B2C">
              <w:rPr>
                <w:rFonts w:asciiTheme="minorHAnsi" w:hAnsiTheme="minorHAnsi" w:cstheme="minorHAnsi"/>
                <w:b/>
                <w:bCs/>
                <w:sz w:val="22"/>
                <w:szCs w:val="22"/>
                <w:lang w:val="en-IN"/>
              </w:rPr>
              <w:t>No. of Units</w:t>
            </w:r>
          </w:p>
        </w:tc>
        <w:tc>
          <w:tcPr>
            <w:tcW w:w="884" w:type="dxa"/>
            <w:vMerge w:val="restart"/>
            <w:tcBorders>
              <w:top w:val="single" w:sz="8" w:space="0" w:color="000000"/>
              <w:left w:val="single" w:sz="8" w:space="0" w:color="000000"/>
              <w:bottom w:val="single" w:sz="8" w:space="0" w:color="000000"/>
              <w:right w:val="single" w:sz="8" w:space="0" w:color="000000"/>
            </w:tcBorders>
            <w:shd w:val="clear" w:color="auto" w:fill="95B3D7" w:themeFill="accent1" w:themeFillTint="99"/>
            <w:tcMar>
              <w:top w:w="10" w:type="dxa"/>
              <w:left w:w="10" w:type="dxa"/>
              <w:bottom w:w="0" w:type="dxa"/>
              <w:right w:w="10" w:type="dxa"/>
            </w:tcMar>
            <w:vAlign w:val="center"/>
            <w:hideMark/>
          </w:tcPr>
          <w:p w14:paraId="70DE29EF" w14:textId="77777777" w:rsidR="000A66EF" w:rsidRPr="00984B2C" w:rsidRDefault="000A66EF" w:rsidP="00713A56">
            <w:pPr>
              <w:jc w:val="center"/>
              <w:rPr>
                <w:rFonts w:asciiTheme="minorHAnsi" w:hAnsiTheme="minorHAnsi" w:cstheme="minorHAnsi"/>
                <w:sz w:val="22"/>
                <w:szCs w:val="22"/>
                <w:lang w:val="en-IN"/>
              </w:rPr>
            </w:pPr>
            <w:r w:rsidRPr="00984B2C">
              <w:rPr>
                <w:rFonts w:asciiTheme="minorHAnsi" w:hAnsiTheme="minorHAnsi" w:cstheme="minorHAnsi"/>
                <w:b/>
                <w:bCs/>
                <w:sz w:val="22"/>
                <w:szCs w:val="22"/>
                <w:lang w:val="en-IN"/>
              </w:rPr>
              <w:t>HH Covered</w:t>
            </w:r>
          </w:p>
        </w:tc>
      </w:tr>
      <w:tr w:rsidR="000A66EF" w:rsidRPr="00984B2C" w14:paraId="7E09B499" w14:textId="77777777" w:rsidTr="00A40DA4">
        <w:trPr>
          <w:trHeight w:val="610"/>
        </w:trPr>
        <w:tc>
          <w:tcPr>
            <w:tcW w:w="0" w:type="auto"/>
            <w:vMerge/>
            <w:tcBorders>
              <w:top w:val="single" w:sz="8" w:space="0" w:color="000000"/>
              <w:left w:val="single" w:sz="8" w:space="0" w:color="000000"/>
              <w:bottom w:val="single" w:sz="8" w:space="0" w:color="000000"/>
              <w:right w:val="single" w:sz="8" w:space="0" w:color="000000"/>
            </w:tcBorders>
            <w:shd w:val="clear" w:color="auto" w:fill="95B3D7" w:themeFill="accent1" w:themeFillTint="99"/>
            <w:vAlign w:val="center"/>
            <w:hideMark/>
          </w:tcPr>
          <w:p w14:paraId="7443BF22" w14:textId="77777777" w:rsidR="000A66EF" w:rsidRPr="00984B2C" w:rsidRDefault="000A66EF" w:rsidP="00713A56">
            <w:pPr>
              <w:rPr>
                <w:rFonts w:asciiTheme="minorHAnsi" w:hAnsiTheme="minorHAnsi" w:cstheme="minorHAnsi"/>
                <w:sz w:val="22"/>
                <w:szCs w:val="22"/>
                <w:lang w:val="en-IN"/>
              </w:rPr>
            </w:pPr>
          </w:p>
        </w:tc>
        <w:tc>
          <w:tcPr>
            <w:tcW w:w="0" w:type="auto"/>
            <w:vMerge/>
            <w:tcBorders>
              <w:top w:val="single" w:sz="8" w:space="0" w:color="000000"/>
              <w:left w:val="single" w:sz="8" w:space="0" w:color="000000"/>
              <w:bottom w:val="single" w:sz="8" w:space="0" w:color="000000"/>
              <w:right w:val="single" w:sz="8" w:space="0" w:color="000000"/>
            </w:tcBorders>
            <w:shd w:val="clear" w:color="auto" w:fill="95B3D7" w:themeFill="accent1" w:themeFillTint="99"/>
            <w:vAlign w:val="center"/>
            <w:hideMark/>
          </w:tcPr>
          <w:p w14:paraId="660869A5" w14:textId="77777777" w:rsidR="000A66EF" w:rsidRPr="00984B2C" w:rsidRDefault="000A66EF" w:rsidP="00713A56">
            <w:pPr>
              <w:rPr>
                <w:rFonts w:asciiTheme="minorHAnsi" w:hAnsiTheme="minorHAnsi" w:cstheme="minorHAnsi"/>
                <w:sz w:val="22"/>
                <w:szCs w:val="22"/>
                <w:lang w:val="en-IN"/>
              </w:rPr>
            </w:pPr>
          </w:p>
        </w:tc>
        <w:tc>
          <w:tcPr>
            <w:tcW w:w="1003" w:type="dxa"/>
            <w:tcBorders>
              <w:top w:val="single" w:sz="8" w:space="0" w:color="000000"/>
              <w:left w:val="single" w:sz="8" w:space="0" w:color="000000"/>
              <w:bottom w:val="single" w:sz="8" w:space="0" w:color="000000"/>
              <w:right w:val="single" w:sz="8" w:space="0" w:color="000000"/>
            </w:tcBorders>
            <w:shd w:val="clear" w:color="auto" w:fill="95B3D7" w:themeFill="accent1" w:themeFillTint="99"/>
            <w:tcMar>
              <w:top w:w="10" w:type="dxa"/>
              <w:left w:w="10" w:type="dxa"/>
              <w:bottom w:w="0" w:type="dxa"/>
              <w:right w:w="10" w:type="dxa"/>
            </w:tcMar>
            <w:vAlign w:val="center"/>
            <w:hideMark/>
          </w:tcPr>
          <w:p w14:paraId="6BC9C72A" w14:textId="77777777" w:rsidR="000A66EF" w:rsidRPr="00984B2C" w:rsidRDefault="000A66EF" w:rsidP="00713A56">
            <w:pPr>
              <w:rPr>
                <w:rFonts w:asciiTheme="minorHAnsi" w:hAnsiTheme="minorHAnsi" w:cstheme="minorHAnsi"/>
                <w:sz w:val="22"/>
                <w:szCs w:val="22"/>
                <w:lang w:val="en-IN"/>
              </w:rPr>
            </w:pPr>
            <w:proofErr w:type="spellStart"/>
            <w:r w:rsidRPr="00984B2C">
              <w:rPr>
                <w:rFonts w:asciiTheme="minorHAnsi" w:hAnsiTheme="minorHAnsi" w:cstheme="minorHAnsi"/>
                <w:b/>
                <w:bCs/>
                <w:sz w:val="22"/>
                <w:szCs w:val="22"/>
                <w:lang w:val="en-IN"/>
              </w:rPr>
              <w:t>Keonjhar</w:t>
            </w:r>
            <w:proofErr w:type="spellEnd"/>
          </w:p>
        </w:tc>
        <w:tc>
          <w:tcPr>
            <w:tcW w:w="1324" w:type="dxa"/>
            <w:tcBorders>
              <w:top w:val="single" w:sz="8" w:space="0" w:color="000000"/>
              <w:left w:val="single" w:sz="8" w:space="0" w:color="000000"/>
              <w:bottom w:val="single" w:sz="8" w:space="0" w:color="000000"/>
              <w:right w:val="single" w:sz="8" w:space="0" w:color="000000"/>
            </w:tcBorders>
            <w:shd w:val="clear" w:color="auto" w:fill="95B3D7" w:themeFill="accent1" w:themeFillTint="99"/>
            <w:tcMar>
              <w:top w:w="10" w:type="dxa"/>
              <w:left w:w="10" w:type="dxa"/>
              <w:bottom w:w="0" w:type="dxa"/>
              <w:right w:w="10" w:type="dxa"/>
            </w:tcMar>
            <w:vAlign w:val="center"/>
            <w:hideMark/>
          </w:tcPr>
          <w:p w14:paraId="36EA8980" w14:textId="77777777" w:rsidR="000A66EF" w:rsidRPr="00984B2C" w:rsidRDefault="000A66EF" w:rsidP="00713A56">
            <w:pPr>
              <w:rPr>
                <w:rFonts w:asciiTheme="minorHAnsi" w:hAnsiTheme="minorHAnsi" w:cstheme="minorHAnsi"/>
                <w:sz w:val="22"/>
                <w:szCs w:val="22"/>
                <w:lang w:val="en-IN"/>
              </w:rPr>
            </w:pPr>
            <w:r w:rsidRPr="00984B2C">
              <w:rPr>
                <w:rFonts w:asciiTheme="minorHAnsi" w:hAnsiTheme="minorHAnsi" w:cstheme="minorHAnsi"/>
                <w:b/>
                <w:bCs/>
                <w:sz w:val="22"/>
                <w:szCs w:val="22"/>
                <w:lang w:val="en-IN"/>
              </w:rPr>
              <w:t>Mayurbhanj</w:t>
            </w:r>
          </w:p>
        </w:tc>
        <w:tc>
          <w:tcPr>
            <w:tcW w:w="1013" w:type="dxa"/>
            <w:tcBorders>
              <w:top w:val="single" w:sz="8" w:space="0" w:color="000000"/>
              <w:left w:val="single" w:sz="8" w:space="0" w:color="000000"/>
              <w:bottom w:val="single" w:sz="8" w:space="0" w:color="000000"/>
              <w:right w:val="single" w:sz="8" w:space="0" w:color="000000"/>
            </w:tcBorders>
            <w:shd w:val="clear" w:color="auto" w:fill="95B3D7" w:themeFill="accent1" w:themeFillTint="99"/>
            <w:tcMar>
              <w:top w:w="10" w:type="dxa"/>
              <w:left w:w="10" w:type="dxa"/>
              <w:bottom w:w="0" w:type="dxa"/>
              <w:right w:w="10" w:type="dxa"/>
            </w:tcMar>
            <w:vAlign w:val="center"/>
            <w:hideMark/>
          </w:tcPr>
          <w:p w14:paraId="5EA9B510" w14:textId="77777777" w:rsidR="000A66EF" w:rsidRPr="00984B2C" w:rsidRDefault="000A66EF" w:rsidP="00713A56">
            <w:pPr>
              <w:rPr>
                <w:rFonts w:asciiTheme="minorHAnsi" w:hAnsiTheme="minorHAnsi" w:cstheme="minorHAnsi"/>
                <w:sz w:val="22"/>
                <w:szCs w:val="22"/>
                <w:lang w:val="en-IN"/>
              </w:rPr>
            </w:pPr>
            <w:proofErr w:type="spellStart"/>
            <w:r w:rsidRPr="00984B2C">
              <w:rPr>
                <w:rFonts w:asciiTheme="minorHAnsi" w:hAnsiTheme="minorHAnsi" w:cstheme="minorHAnsi"/>
                <w:b/>
                <w:bCs/>
                <w:sz w:val="22"/>
                <w:szCs w:val="22"/>
                <w:lang w:val="en-IN"/>
              </w:rPr>
              <w:t>Keonjhar</w:t>
            </w:r>
            <w:proofErr w:type="spellEnd"/>
          </w:p>
        </w:tc>
        <w:tc>
          <w:tcPr>
            <w:tcW w:w="1324" w:type="dxa"/>
            <w:tcBorders>
              <w:top w:val="single" w:sz="8" w:space="0" w:color="000000"/>
              <w:left w:val="single" w:sz="8" w:space="0" w:color="000000"/>
              <w:bottom w:val="single" w:sz="8" w:space="0" w:color="000000"/>
              <w:right w:val="single" w:sz="8" w:space="0" w:color="000000"/>
            </w:tcBorders>
            <w:shd w:val="clear" w:color="auto" w:fill="95B3D7" w:themeFill="accent1" w:themeFillTint="99"/>
            <w:tcMar>
              <w:top w:w="10" w:type="dxa"/>
              <w:left w:w="10" w:type="dxa"/>
              <w:bottom w:w="0" w:type="dxa"/>
              <w:right w:w="10" w:type="dxa"/>
            </w:tcMar>
            <w:vAlign w:val="center"/>
            <w:hideMark/>
          </w:tcPr>
          <w:p w14:paraId="2F93FE2E" w14:textId="77777777" w:rsidR="000A66EF" w:rsidRPr="00984B2C" w:rsidRDefault="000A66EF" w:rsidP="00713A56">
            <w:pPr>
              <w:rPr>
                <w:rFonts w:asciiTheme="minorHAnsi" w:hAnsiTheme="minorHAnsi" w:cstheme="minorHAnsi"/>
                <w:sz w:val="22"/>
                <w:szCs w:val="22"/>
                <w:lang w:val="en-IN"/>
              </w:rPr>
            </w:pPr>
            <w:r w:rsidRPr="00984B2C">
              <w:rPr>
                <w:rFonts w:asciiTheme="minorHAnsi" w:hAnsiTheme="minorHAnsi" w:cstheme="minorHAnsi"/>
                <w:b/>
                <w:bCs/>
                <w:sz w:val="22"/>
                <w:szCs w:val="22"/>
                <w:lang w:val="en-IN"/>
              </w:rPr>
              <w:t>Mayurbhanj</w:t>
            </w: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5B8AFC9B" w14:textId="77777777" w:rsidR="000A66EF" w:rsidRPr="00984B2C" w:rsidRDefault="000A66EF" w:rsidP="00713A56">
            <w:pPr>
              <w:rPr>
                <w:rFonts w:asciiTheme="minorHAnsi" w:hAnsiTheme="minorHAnsi" w:cstheme="minorHAnsi"/>
                <w:sz w:val="22"/>
                <w:szCs w:val="22"/>
                <w:lang w:val="en-IN"/>
              </w:rPr>
            </w:pPr>
          </w:p>
        </w:tc>
      </w:tr>
      <w:tr w:rsidR="000A66EF" w:rsidRPr="00984B2C" w14:paraId="0E945B4A" w14:textId="77777777" w:rsidTr="009F1B7A">
        <w:trPr>
          <w:trHeight w:val="308"/>
        </w:trPr>
        <w:tc>
          <w:tcPr>
            <w:tcW w:w="1987" w:type="dxa"/>
            <w:vMerge w:val="restart"/>
            <w:tcBorders>
              <w:top w:val="single" w:sz="8" w:space="0" w:color="000000"/>
              <w:left w:val="single" w:sz="8" w:space="0" w:color="000000"/>
              <w:bottom w:val="single" w:sz="8" w:space="0" w:color="000000"/>
              <w:right w:val="single" w:sz="8" w:space="0" w:color="000000"/>
            </w:tcBorders>
            <w:shd w:val="clear" w:color="auto" w:fill="auto"/>
            <w:tcMar>
              <w:top w:w="10" w:type="dxa"/>
              <w:left w:w="10" w:type="dxa"/>
              <w:bottom w:w="0" w:type="dxa"/>
              <w:right w:w="10" w:type="dxa"/>
            </w:tcMar>
            <w:vAlign w:val="center"/>
            <w:hideMark/>
          </w:tcPr>
          <w:p w14:paraId="5562602B" w14:textId="77777777" w:rsidR="000A66EF" w:rsidRPr="00984B2C" w:rsidRDefault="000A66EF" w:rsidP="00713A56">
            <w:pPr>
              <w:rPr>
                <w:rFonts w:asciiTheme="minorHAnsi" w:hAnsiTheme="minorHAnsi" w:cstheme="minorHAnsi"/>
                <w:sz w:val="22"/>
                <w:szCs w:val="22"/>
                <w:lang w:val="en-IN"/>
              </w:rPr>
            </w:pPr>
            <w:r w:rsidRPr="00984B2C">
              <w:rPr>
                <w:rFonts w:asciiTheme="minorHAnsi" w:hAnsiTheme="minorHAnsi" w:cstheme="minorHAnsi"/>
                <w:sz w:val="22"/>
                <w:szCs w:val="22"/>
                <w:lang w:val="en-IN"/>
              </w:rPr>
              <w:t>Stand Alone Solar</w:t>
            </w:r>
          </w:p>
        </w:tc>
        <w:tc>
          <w:tcPr>
            <w:tcW w:w="1882" w:type="dxa"/>
            <w:tcBorders>
              <w:top w:val="single" w:sz="8" w:space="0" w:color="000000"/>
              <w:left w:val="single" w:sz="8" w:space="0" w:color="000000"/>
              <w:bottom w:val="single" w:sz="8" w:space="0" w:color="000000"/>
              <w:right w:val="single" w:sz="8" w:space="0" w:color="000000"/>
            </w:tcBorders>
            <w:shd w:val="clear" w:color="auto" w:fill="auto"/>
            <w:tcMar>
              <w:top w:w="10" w:type="dxa"/>
              <w:left w:w="10" w:type="dxa"/>
              <w:bottom w:w="0" w:type="dxa"/>
              <w:right w:w="10" w:type="dxa"/>
            </w:tcMar>
            <w:vAlign w:val="center"/>
            <w:hideMark/>
          </w:tcPr>
          <w:p w14:paraId="3A1044F0" w14:textId="77777777" w:rsidR="000A66EF" w:rsidRPr="00984B2C" w:rsidRDefault="000A66EF" w:rsidP="00713A56">
            <w:pPr>
              <w:rPr>
                <w:rFonts w:asciiTheme="minorHAnsi" w:hAnsiTheme="minorHAnsi" w:cstheme="minorHAnsi"/>
                <w:sz w:val="22"/>
                <w:szCs w:val="22"/>
                <w:lang w:val="en-IN"/>
              </w:rPr>
            </w:pPr>
            <w:r w:rsidRPr="00984B2C">
              <w:rPr>
                <w:rFonts w:asciiTheme="minorHAnsi" w:hAnsiTheme="minorHAnsi" w:cstheme="minorHAnsi"/>
                <w:sz w:val="22"/>
                <w:szCs w:val="22"/>
                <w:lang w:val="en-IN"/>
              </w:rPr>
              <w:t>OREDA</w:t>
            </w:r>
          </w:p>
        </w:tc>
        <w:tc>
          <w:tcPr>
            <w:tcW w:w="1003" w:type="dxa"/>
            <w:tcBorders>
              <w:top w:val="single" w:sz="8" w:space="0" w:color="000000"/>
              <w:left w:val="single" w:sz="8" w:space="0" w:color="000000"/>
              <w:bottom w:val="single" w:sz="8" w:space="0" w:color="000000"/>
              <w:right w:val="single" w:sz="8" w:space="0" w:color="000000"/>
            </w:tcBorders>
            <w:shd w:val="clear" w:color="auto" w:fill="auto"/>
            <w:tcMar>
              <w:top w:w="10" w:type="dxa"/>
              <w:left w:w="10" w:type="dxa"/>
              <w:bottom w:w="0" w:type="dxa"/>
              <w:right w:w="10" w:type="dxa"/>
            </w:tcMar>
            <w:vAlign w:val="center"/>
            <w:hideMark/>
          </w:tcPr>
          <w:p w14:paraId="1D317392" w14:textId="77777777" w:rsidR="000A66EF" w:rsidRPr="00984B2C" w:rsidRDefault="000A66EF" w:rsidP="00713A56">
            <w:pPr>
              <w:jc w:val="center"/>
              <w:rPr>
                <w:rFonts w:asciiTheme="minorHAnsi" w:hAnsiTheme="minorHAnsi" w:cstheme="minorHAnsi"/>
                <w:sz w:val="22"/>
                <w:szCs w:val="22"/>
                <w:lang w:val="en-IN"/>
              </w:rPr>
            </w:pPr>
            <w:r w:rsidRPr="00984B2C">
              <w:rPr>
                <w:rFonts w:asciiTheme="minorHAnsi" w:hAnsiTheme="minorHAnsi" w:cstheme="minorHAnsi"/>
                <w:sz w:val="22"/>
                <w:szCs w:val="22"/>
                <w:lang w:val="en-IN"/>
              </w:rPr>
              <w:t>10</w:t>
            </w:r>
          </w:p>
        </w:tc>
        <w:tc>
          <w:tcPr>
            <w:tcW w:w="1324" w:type="dxa"/>
            <w:tcBorders>
              <w:top w:val="single" w:sz="8" w:space="0" w:color="000000"/>
              <w:left w:val="single" w:sz="8" w:space="0" w:color="000000"/>
              <w:bottom w:val="single" w:sz="8" w:space="0" w:color="000000"/>
              <w:right w:val="single" w:sz="8" w:space="0" w:color="000000"/>
            </w:tcBorders>
            <w:shd w:val="clear" w:color="auto" w:fill="auto"/>
            <w:tcMar>
              <w:top w:w="10" w:type="dxa"/>
              <w:left w:w="10" w:type="dxa"/>
              <w:bottom w:w="0" w:type="dxa"/>
              <w:right w:w="10" w:type="dxa"/>
            </w:tcMar>
            <w:vAlign w:val="center"/>
            <w:hideMark/>
          </w:tcPr>
          <w:p w14:paraId="0D2B6D5A" w14:textId="77777777" w:rsidR="000A66EF" w:rsidRPr="00984B2C" w:rsidRDefault="000A66EF" w:rsidP="00713A56">
            <w:pPr>
              <w:jc w:val="center"/>
              <w:rPr>
                <w:rFonts w:asciiTheme="minorHAnsi" w:hAnsiTheme="minorHAnsi" w:cstheme="minorHAnsi"/>
                <w:sz w:val="22"/>
                <w:szCs w:val="22"/>
                <w:lang w:val="en-IN"/>
              </w:rPr>
            </w:pPr>
            <w:r w:rsidRPr="00984B2C">
              <w:rPr>
                <w:rFonts w:asciiTheme="minorHAnsi" w:hAnsiTheme="minorHAnsi" w:cstheme="minorHAnsi"/>
                <w:sz w:val="22"/>
                <w:szCs w:val="22"/>
                <w:lang w:val="en-IN"/>
              </w:rPr>
              <w:t>69</w:t>
            </w:r>
          </w:p>
        </w:tc>
        <w:tc>
          <w:tcPr>
            <w:tcW w:w="1013" w:type="dxa"/>
            <w:tcBorders>
              <w:top w:val="single" w:sz="8" w:space="0" w:color="000000"/>
              <w:left w:val="single" w:sz="8" w:space="0" w:color="000000"/>
              <w:bottom w:val="single" w:sz="8" w:space="0" w:color="000000"/>
              <w:right w:val="single" w:sz="8" w:space="0" w:color="000000"/>
            </w:tcBorders>
            <w:shd w:val="clear" w:color="auto" w:fill="auto"/>
            <w:tcMar>
              <w:top w:w="10" w:type="dxa"/>
              <w:left w:w="10" w:type="dxa"/>
              <w:bottom w:w="0" w:type="dxa"/>
              <w:right w:w="10" w:type="dxa"/>
            </w:tcMar>
            <w:vAlign w:val="center"/>
            <w:hideMark/>
          </w:tcPr>
          <w:p w14:paraId="560EC9D8" w14:textId="77777777" w:rsidR="000A66EF" w:rsidRPr="00984B2C" w:rsidRDefault="000A66EF" w:rsidP="00713A56">
            <w:pPr>
              <w:jc w:val="center"/>
              <w:rPr>
                <w:rFonts w:asciiTheme="minorHAnsi" w:hAnsiTheme="minorHAnsi" w:cstheme="minorHAnsi"/>
                <w:sz w:val="22"/>
                <w:szCs w:val="22"/>
                <w:lang w:val="en-IN"/>
              </w:rPr>
            </w:pPr>
            <w:r w:rsidRPr="00984B2C">
              <w:rPr>
                <w:rFonts w:asciiTheme="minorHAnsi" w:hAnsiTheme="minorHAnsi" w:cstheme="minorHAnsi"/>
                <w:sz w:val="22"/>
                <w:szCs w:val="22"/>
                <w:lang w:val="en-IN"/>
              </w:rPr>
              <w:t>1078</w:t>
            </w:r>
          </w:p>
        </w:tc>
        <w:tc>
          <w:tcPr>
            <w:tcW w:w="1324" w:type="dxa"/>
            <w:tcBorders>
              <w:top w:val="single" w:sz="8" w:space="0" w:color="000000"/>
              <w:left w:val="single" w:sz="8" w:space="0" w:color="000000"/>
              <w:bottom w:val="single" w:sz="8" w:space="0" w:color="000000"/>
              <w:right w:val="single" w:sz="8" w:space="0" w:color="000000"/>
            </w:tcBorders>
            <w:shd w:val="clear" w:color="auto" w:fill="auto"/>
            <w:tcMar>
              <w:top w:w="10" w:type="dxa"/>
              <w:left w:w="10" w:type="dxa"/>
              <w:bottom w:w="0" w:type="dxa"/>
              <w:right w:w="10" w:type="dxa"/>
            </w:tcMar>
            <w:vAlign w:val="center"/>
            <w:hideMark/>
          </w:tcPr>
          <w:p w14:paraId="10624D7F" w14:textId="77777777" w:rsidR="000A66EF" w:rsidRPr="00984B2C" w:rsidRDefault="000A66EF" w:rsidP="00713A56">
            <w:pPr>
              <w:jc w:val="center"/>
              <w:rPr>
                <w:rFonts w:asciiTheme="minorHAnsi" w:hAnsiTheme="minorHAnsi" w:cstheme="minorHAnsi"/>
                <w:sz w:val="22"/>
                <w:szCs w:val="22"/>
                <w:lang w:val="en-IN"/>
              </w:rPr>
            </w:pPr>
            <w:r w:rsidRPr="00984B2C">
              <w:rPr>
                <w:rFonts w:asciiTheme="minorHAnsi" w:hAnsiTheme="minorHAnsi" w:cstheme="minorHAnsi"/>
                <w:sz w:val="22"/>
                <w:szCs w:val="22"/>
                <w:lang w:val="en-IN"/>
              </w:rPr>
              <w:t>2614</w:t>
            </w:r>
          </w:p>
        </w:tc>
        <w:tc>
          <w:tcPr>
            <w:tcW w:w="884" w:type="dxa"/>
            <w:tcBorders>
              <w:top w:val="single" w:sz="8" w:space="0" w:color="000000"/>
              <w:left w:val="single" w:sz="8" w:space="0" w:color="000000"/>
              <w:bottom w:val="single" w:sz="8" w:space="0" w:color="000000"/>
              <w:right w:val="single" w:sz="8" w:space="0" w:color="000000"/>
            </w:tcBorders>
            <w:shd w:val="clear" w:color="auto" w:fill="auto"/>
            <w:tcMar>
              <w:top w:w="10" w:type="dxa"/>
              <w:left w:w="10" w:type="dxa"/>
              <w:bottom w:w="0" w:type="dxa"/>
              <w:right w:w="10" w:type="dxa"/>
            </w:tcMar>
            <w:vAlign w:val="center"/>
            <w:hideMark/>
          </w:tcPr>
          <w:p w14:paraId="2643B570" w14:textId="77777777" w:rsidR="000A66EF" w:rsidRPr="00984B2C" w:rsidRDefault="000A66EF" w:rsidP="00713A56">
            <w:pPr>
              <w:jc w:val="center"/>
              <w:rPr>
                <w:rFonts w:asciiTheme="minorHAnsi" w:hAnsiTheme="minorHAnsi" w:cstheme="minorHAnsi"/>
                <w:sz w:val="22"/>
                <w:szCs w:val="22"/>
                <w:lang w:val="en-IN"/>
              </w:rPr>
            </w:pPr>
            <w:r w:rsidRPr="00984B2C">
              <w:rPr>
                <w:rFonts w:asciiTheme="minorHAnsi" w:hAnsiTheme="minorHAnsi" w:cstheme="minorHAnsi"/>
                <w:sz w:val="22"/>
                <w:szCs w:val="22"/>
                <w:lang w:val="en-IN"/>
              </w:rPr>
              <w:t>3692</w:t>
            </w:r>
          </w:p>
        </w:tc>
      </w:tr>
      <w:tr w:rsidR="000A66EF" w:rsidRPr="00984B2C" w14:paraId="175A69E1" w14:textId="77777777" w:rsidTr="009F1B7A">
        <w:trPr>
          <w:trHeight w:val="308"/>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6C7ED1F0" w14:textId="77777777" w:rsidR="000A66EF" w:rsidRPr="00984B2C" w:rsidRDefault="000A66EF" w:rsidP="00713A56">
            <w:pPr>
              <w:rPr>
                <w:rFonts w:asciiTheme="minorHAnsi" w:hAnsiTheme="minorHAnsi" w:cstheme="minorHAnsi"/>
                <w:sz w:val="22"/>
                <w:szCs w:val="22"/>
                <w:lang w:val="en-IN"/>
              </w:rPr>
            </w:pPr>
          </w:p>
        </w:tc>
        <w:tc>
          <w:tcPr>
            <w:tcW w:w="1882" w:type="dxa"/>
            <w:tcBorders>
              <w:top w:val="single" w:sz="8" w:space="0" w:color="000000"/>
              <w:left w:val="single" w:sz="8" w:space="0" w:color="000000"/>
              <w:bottom w:val="single" w:sz="8" w:space="0" w:color="000000"/>
              <w:right w:val="single" w:sz="8" w:space="0" w:color="000000"/>
            </w:tcBorders>
            <w:shd w:val="clear" w:color="auto" w:fill="auto"/>
            <w:tcMar>
              <w:top w:w="10" w:type="dxa"/>
              <w:left w:w="10" w:type="dxa"/>
              <w:bottom w:w="0" w:type="dxa"/>
              <w:right w:w="10" w:type="dxa"/>
            </w:tcMar>
            <w:vAlign w:val="center"/>
            <w:hideMark/>
          </w:tcPr>
          <w:p w14:paraId="5848DCE5" w14:textId="77777777" w:rsidR="000A66EF" w:rsidRPr="00984B2C" w:rsidRDefault="000A66EF" w:rsidP="00713A56">
            <w:pPr>
              <w:rPr>
                <w:rFonts w:asciiTheme="minorHAnsi" w:hAnsiTheme="minorHAnsi" w:cstheme="minorHAnsi"/>
                <w:sz w:val="22"/>
                <w:szCs w:val="22"/>
                <w:lang w:val="en-IN"/>
              </w:rPr>
            </w:pPr>
            <w:r w:rsidRPr="00984B2C">
              <w:rPr>
                <w:rFonts w:asciiTheme="minorHAnsi" w:hAnsiTheme="minorHAnsi" w:cstheme="minorHAnsi"/>
                <w:sz w:val="22"/>
                <w:szCs w:val="22"/>
                <w:lang w:val="en-IN"/>
              </w:rPr>
              <w:t>TPNODL</w:t>
            </w:r>
          </w:p>
        </w:tc>
        <w:tc>
          <w:tcPr>
            <w:tcW w:w="1003" w:type="dxa"/>
            <w:vMerge w:val="restart"/>
            <w:tcBorders>
              <w:top w:val="single" w:sz="8" w:space="0" w:color="000000"/>
              <w:left w:val="single" w:sz="8" w:space="0" w:color="000000"/>
              <w:bottom w:val="single" w:sz="8" w:space="0" w:color="000000"/>
              <w:right w:val="single" w:sz="8" w:space="0" w:color="000000"/>
            </w:tcBorders>
            <w:shd w:val="clear" w:color="auto" w:fill="auto"/>
            <w:tcMar>
              <w:top w:w="10" w:type="dxa"/>
              <w:left w:w="10" w:type="dxa"/>
              <w:bottom w:w="0" w:type="dxa"/>
              <w:right w:w="10" w:type="dxa"/>
            </w:tcMar>
            <w:vAlign w:val="center"/>
            <w:hideMark/>
          </w:tcPr>
          <w:p w14:paraId="7E4F2F01" w14:textId="77777777" w:rsidR="000A66EF" w:rsidRPr="00984B2C" w:rsidRDefault="000A66EF" w:rsidP="00713A56">
            <w:pPr>
              <w:jc w:val="center"/>
              <w:rPr>
                <w:rFonts w:asciiTheme="minorHAnsi" w:hAnsiTheme="minorHAnsi" w:cstheme="minorHAnsi"/>
                <w:sz w:val="22"/>
                <w:szCs w:val="22"/>
                <w:lang w:val="en-IN"/>
              </w:rPr>
            </w:pPr>
            <w:r w:rsidRPr="00984B2C">
              <w:rPr>
                <w:rFonts w:asciiTheme="minorHAnsi" w:hAnsiTheme="minorHAnsi" w:cstheme="minorHAnsi"/>
                <w:sz w:val="22"/>
                <w:szCs w:val="22"/>
                <w:lang w:val="en-IN"/>
              </w:rPr>
              <w:t>10</w:t>
            </w:r>
          </w:p>
        </w:tc>
        <w:tc>
          <w:tcPr>
            <w:tcW w:w="1324" w:type="dxa"/>
            <w:vMerge w:val="restart"/>
            <w:tcBorders>
              <w:top w:val="single" w:sz="8" w:space="0" w:color="000000"/>
              <w:left w:val="single" w:sz="8" w:space="0" w:color="000000"/>
              <w:bottom w:val="single" w:sz="8" w:space="0" w:color="000000"/>
              <w:right w:val="single" w:sz="8" w:space="0" w:color="000000"/>
            </w:tcBorders>
            <w:shd w:val="clear" w:color="auto" w:fill="auto"/>
            <w:tcMar>
              <w:top w:w="10" w:type="dxa"/>
              <w:left w:w="10" w:type="dxa"/>
              <w:bottom w:w="0" w:type="dxa"/>
              <w:right w:w="10" w:type="dxa"/>
            </w:tcMar>
            <w:vAlign w:val="center"/>
            <w:hideMark/>
          </w:tcPr>
          <w:p w14:paraId="3ECB3632" w14:textId="77777777" w:rsidR="000A66EF" w:rsidRPr="00984B2C" w:rsidRDefault="000A66EF" w:rsidP="00713A56">
            <w:pPr>
              <w:jc w:val="center"/>
              <w:rPr>
                <w:rFonts w:asciiTheme="minorHAnsi" w:hAnsiTheme="minorHAnsi" w:cstheme="minorHAnsi"/>
                <w:sz w:val="22"/>
                <w:szCs w:val="22"/>
                <w:lang w:val="en-IN"/>
              </w:rPr>
            </w:pPr>
            <w:r w:rsidRPr="00984B2C">
              <w:rPr>
                <w:rFonts w:asciiTheme="minorHAnsi" w:hAnsiTheme="minorHAnsi" w:cstheme="minorHAnsi"/>
                <w:sz w:val="22"/>
                <w:szCs w:val="22"/>
                <w:lang w:val="en-IN"/>
              </w:rPr>
              <w:t>38</w:t>
            </w:r>
          </w:p>
        </w:tc>
        <w:tc>
          <w:tcPr>
            <w:tcW w:w="1013" w:type="dxa"/>
            <w:tcBorders>
              <w:top w:val="single" w:sz="8" w:space="0" w:color="000000"/>
              <w:left w:val="single" w:sz="8" w:space="0" w:color="000000"/>
              <w:bottom w:val="single" w:sz="8" w:space="0" w:color="000000"/>
              <w:right w:val="single" w:sz="8" w:space="0" w:color="000000"/>
            </w:tcBorders>
            <w:shd w:val="clear" w:color="auto" w:fill="auto"/>
            <w:tcMar>
              <w:top w:w="10" w:type="dxa"/>
              <w:left w:w="10" w:type="dxa"/>
              <w:bottom w:w="0" w:type="dxa"/>
              <w:right w:w="10" w:type="dxa"/>
            </w:tcMar>
            <w:vAlign w:val="center"/>
            <w:hideMark/>
          </w:tcPr>
          <w:p w14:paraId="14EAE752" w14:textId="77777777" w:rsidR="000A66EF" w:rsidRPr="00984B2C" w:rsidRDefault="000A66EF" w:rsidP="00713A56">
            <w:pPr>
              <w:jc w:val="center"/>
              <w:rPr>
                <w:rFonts w:asciiTheme="minorHAnsi" w:hAnsiTheme="minorHAnsi" w:cstheme="minorHAnsi"/>
                <w:sz w:val="22"/>
                <w:szCs w:val="22"/>
                <w:lang w:val="en-IN"/>
              </w:rPr>
            </w:pPr>
            <w:r w:rsidRPr="00984B2C">
              <w:rPr>
                <w:rFonts w:asciiTheme="minorHAnsi" w:hAnsiTheme="minorHAnsi" w:cstheme="minorHAnsi"/>
                <w:sz w:val="22"/>
                <w:szCs w:val="22"/>
                <w:lang w:val="en-IN"/>
              </w:rPr>
              <w:t>681</w:t>
            </w:r>
          </w:p>
        </w:tc>
        <w:tc>
          <w:tcPr>
            <w:tcW w:w="1324" w:type="dxa"/>
            <w:tcBorders>
              <w:top w:val="single" w:sz="8" w:space="0" w:color="000000"/>
              <w:left w:val="single" w:sz="8" w:space="0" w:color="000000"/>
              <w:bottom w:val="single" w:sz="8" w:space="0" w:color="000000"/>
              <w:right w:val="single" w:sz="8" w:space="0" w:color="000000"/>
            </w:tcBorders>
            <w:shd w:val="clear" w:color="auto" w:fill="auto"/>
            <w:tcMar>
              <w:top w:w="10" w:type="dxa"/>
              <w:left w:w="10" w:type="dxa"/>
              <w:bottom w:w="0" w:type="dxa"/>
              <w:right w:w="10" w:type="dxa"/>
            </w:tcMar>
            <w:vAlign w:val="center"/>
            <w:hideMark/>
          </w:tcPr>
          <w:p w14:paraId="12B8EF63" w14:textId="77777777" w:rsidR="000A66EF" w:rsidRPr="00984B2C" w:rsidRDefault="000A66EF" w:rsidP="00713A56">
            <w:pPr>
              <w:jc w:val="center"/>
              <w:rPr>
                <w:rFonts w:asciiTheme="minorHAnsi" w:hAnsiTheme="minorHAnsi" w:cstheme="minorHAnsi"/>
                <w:sz w:val="22"/>
                <w:szCs w:val="22"/>
                <w:lang w:val="en-IN"/>
              </w:rPr>
            </w:pPr>
            <w:r w:rsidRPr="00984B2C">
              <w:rPr>
                <w:rFonts w:asciiTheme="minorHAnsi" w:hAnsiTheme="minorHAnsi" w:cstheme="minorHAnsi"/>
                <w:sz w:val="22"/>
                <w:szCs w:val="22"/>
                <w:lang w:val="en-IN"/>
              </w:rPr>
              <w:t>2619</w:t>
            </w:r>
          </w:p>
        </w:tc>
        <w:tc>
          <w:tcPr>
            <w:tcW w:w="884" w:type="dxa"/>
            <w:tcBorders>
              <w:top w:val="single" w:sz="8" w:space="0" w:color="000000"/>
              <w:left w:val="single" w:sz="8" w:space="0" w:color="000000"/>
              <w:bottom w:val="single" w:sz="8" w:space="0" w:color="000000"/>
              <w:right w:val="single" w:sz="8" w:space="0" w:color="000000"/>
            </w:tcBorders>
            <w:shd w:val="clear" w:color="auto" w:fill="auto"/>
            <w:tcMar>
              <w:top w:w="10" w:type="dxa"/>
              <w:left w:w="10" w:type="dxa"/>
              <w:bottom w:w="0" w:type="dxa"/>
              <w:right w:w="10" w:type="dxa"/>
            </w:tcMar>
            <w:vAlign w:val="center"/>
            <w:hideMark/>
          </w:tcPr>
          <w:p w14:paraId="5BC45E16" w14:textId="77777777" w:rsidR="000A66EF" w:rsidRPr="00984B2C" w:rsidRDefault="000A66EF" w:rsidP="00713A56">
            <w:pPr>
              <w:jc w:val="center"/>
              <w:rPr>
                <w:rFonts w:asciiTheme="minorHAnsi" w:hAnsiTheme="minorHAnsi" w:cstheme="minorHAnsi"/>
                <w:sz w:val="22"/>
                <w:szCs w:val="22"/>
                <w:lang w:val="en-IN"/>
              </w:rPr>
            </w:pPr>
            <w:r w:rsidRPr="00984B2C">
              <w:rPr>
                <w:rFonts w:asciiTheme="minorHAnsi" w:hAnsiTheme="minorHAnsi" w:cstheme="minorHAnsi"/>
                <w:sz w:val="22"/>
                <w:szCs w:val="22"/>
                <w:lang w:val="en-IN"/>
              </w:rPr>
              <w:t>3300</w:t>
            </w:r>
          </w:p>
        </w:tc>
      </w:tr>
      <w:tr w:rsidR="000A66EF" w:rsidRPr="00984B2C" w14:paraId="158FB8DF" w14:textId="77777777" w:rsidTr="009F1B7A">
        <w:trPr>
          <w:trHeight w:val="308"/>
        </w:trPr>
        <w:tc>
          <w:tcPr>
            <w:tcW w:w="1987" w:type="dxa"/>
            <w:tcBorders>
              <w:top w:val="single" w:sz="8" w:space="0" w:color="000000"/>
              <w:left w:val="single" w:sz="8" w:space="0" w:color="000000"/>
              <w:bottom w:val="single" w:sz="8" w:space="0" w:color="000000"/>
              <w:right w:val="single" w:sz="8" w:space="0" w:color="000000"/>
            </w:tcBorders>
            <w:shd w:val="clear" w:color="auto" w:fill="auto"/>
            <w:tcMar>
              <w:top w:w="10" w:type="dxa"/>
              <w:left w:w="10" w:type="dxa"/>
              <w:bottom w:w="0" w:type="dxa"/>
              <w:right w:w="10" w:type="dxa"/>
            </w:tcMar>
            <w:vAlign w:val="center"/>
            <w:hideMark/>
          </w:tcPr>
          <w:p w14:paraId="029CA832" w14:textId="77777777" w:rsidR="000A66EF" w:rsidRPr="00984B2C" w:rsidRDefault="000A66EF" w:rsidP="00713A56">
            <w:pPr>
              <w:rPr>
                <w:rFonts w:asciiTheme="minorHAnsi" w:hAnsiTheme="minorHAnsi" w:cstheme="minorHAnsi"/>
                <w:sz w:val="22"/>
                <w:szCs w:val="22"/>
                <w:lang w:val="en-IN"/>
              </w:rPr>
            </w:pPr>
            <w:r w:rsidRPr="00984B2C">
              <w:rPr>
                <w:rFonts w:asciiTheme="minorHAnsi" w:hAnsiTheme="minorHAnsi" w:cstheme="minorHAnsi"/>
                <w:sz w:val="22"/>
                <w:szCs w:val="22"/>
                <w:lang w:val="en-IN"/>
              </w:rPr>
              <w:t>Micro Grid</w:t>
            </w:r>
          </w:p>
        </w:tc>
        <w:tc>
          <w:tcPr>
            <w:tcW w:w="1882" w:type="dxa"/>
            <w:tcBorders>
              <w:top w:val="single" w:sz="8" w:space="0" w:color="000000"/>
              <w:left w:val="single" w:sz="8" w:space="0" w:color="000000"/>
              <w:bottom w:val="single" w:sz="8" w:space="0" w:color="000000"/>
              <w:right w:val="single" w:sz="8" w:space="0" w:color="000000"/>
            </w:tcBorders>
            <w:shd w:val="clear" w:color="auto" w:fill="auto"/>
            <w:tcMar>
              <w:top w:w="10" w:type="dxa"/>
              <w:left w:w="10" w:type="dxa"/>
              <w:bottom w:w="0" w:type="dxa"/>
              <w:right w:w="10" w:type="dxa"/>
            </w:tcMar>
            <w:vAlign w:val="center"/>
            <w:hideMark/>
          </w:tcPr>
          <w:p w14:paraId="4EED3644" w14:textId="77777777" w:rsidR="000A66EF" w:rsidRPr="00984B2C" w:rsidRDefault="000A66EF" w:rsidP="00713A56">
            <w:pPr>
              <w:rPr>
                <w:rFonts w:asciiTheme="minorHAnsi" w:hAnsiTheme="minorHAnsi" w:cstheme="minorHAnsi"/>
                <w:sz w:val="22"/>
                <w:szCs w:val="22"/>
                <w:lang w:val="en-IN"/>
              </w:rPr>
            </w:pPr>
            <w:r w:rsidRPr="00984B2C">
              <w:rPr>
                <w:rFonts w:asciiTheme="minorHAnsi" w:hAnsiTheme="minorHAnsi" w:cstheme="minorHAnsi"/>
                <w:sz w:val="22"/>
                <w:szCs w:val="22"/>
                <w:lang w:val="en-IN"/>
              </w:rPr>
              <w:t>TPNODL</w:t>
            </w: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7D47C012" w14:textId="77777777" w:rsidR="000A66EF" w:rsidRPr="00984B2C" w:rsidRDefault="000A66EF" w:rsidP="00713A56">
            <w:pPr>
              <w:jc w:val="center"/>
              <w:rPr>
                <w:rFonts w:asciiTheme="minorHAnsi" w:hAnsiTheme="minorHAnsi" w:cstheme="minorHAnsi"/>
                <w:sz w:val="22"/>
                <w:szCs w:val="22"/>
                <w:lang w:val="en-IN"/>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44A05C90" w14:textId="77777777" w:rsidR="000A66EF" w:rsidRPr="00984B2C" w:rsidRDefault="000A66EF" w:rsidP="00713A56">
            <w:pPr>
              <w:jc w:val="center"/>
              <w:rPr>
                <w:rFonts w:asciiTheme="minorHAnsi" w:hAnsiTheme="minorHAnsi" w:cstheme="minorHAnsi"/>
                <w:sz w:val="22"/>
                <w:szCs w:val="22"/>
                <w:lang w:val="en-IN"/>
              </w:rPr>
            </w:pPr>
          </w:p>
        </w:tc>
        <w:tc>
          <w:tcPr>
            <w:tcW w:w="1013" w:type="dxa"/>
            <w:tcBorders>
              <w:top w:val="single" w:sz="8" w:space="0" w:color="000000"/>
              <w:left w:val="single" w:sz="8" w:space="0" w:color="000000"/>
              <w:bottom w:val="single" w:sz="8" w:space="0" w:color="000000"/>
              <w:right w:val="single" w:sz="8" w:space="0" w:color="000000"/>
            </w:tcBorders>
            <w:shd w:val="clear" w:color="auto" w:fill="auto"/>
            <w:tcMar>
              <w:top w:w="10" w:type="dxa"/>
              <w:left w:w="10" w:type="dxa"/>
              <w:bottom w:w="0" w:type="dxa"/>
              <w:right w:w="10" w:type="dxa"/>
            </w:tcMar>
            <w:vAlign w:val="center"/>
            <w:hideMark/>
          </w:tcPr>
          <w:p w14:paraId="570BDB0D" w14:textId="77777777" w:rsidR="000A66EF" w:rsidRPr="00984B2C" w:rsidRDefault="000A66EF" w:rsidP="00713A56">
            <w:pPr>
              <w:jc w:val="center"/>
              <w:rPr>
                <w:rFonts w:asciiTheme="minorHAnsi" w:hAnsiTheme="minorHAnsi" w:cstheme="minorHAnsi"/>
                <w:sz w:val="22"/>
                <w:szCs w:val="22"/>
                <w:lang w:val="en-IN"/>
              </w:rPr>
            </w:pPr>
            <w:r w:rsidRPr="00984B2C">
              <w:rPr>
                <w:rFonts w:asciiTheme="minorHAnsi" w:hAnsiTheme="minorHAnsi" w:cstheme="minorHAnsi"/>
                <w:sz w:val="22"/>
                <w:szCs w:val="22"/>
                <w:lang w:val="en-IN"/>
              </w:rPr>
              <w:t>1</w:t>
            </w:r>
          </w:p>
        </w:tc>
        <w:tc>
          <w:tcPr>
            <w:tcW w:w="1324" w:type="dxa"/>
            <w:tcBorders>
              <w:top w:val="single" w:sz="8" w:space="0" w:color="000000"/>
              <w:left w:val="single" w:sz="8" w:space="0" w:color="000000"/>
              <w:bottom w:val="single" w:sz="8" w:space="0" w:color="000000"/>
              <w:right w:val="single" w:sz="8" w:space="0" w:color="000000"/>
            </w:tcBorders>
            <w:shd w:val="clear" w:color="auto" w:fill="auto"/>
            <w:tcMar>
              <w:top w:w="10" w:type="dxa"/>
              <w:left w:w="10" w:type="dxa"/>
              <w:bottom w:w="0" w:type="dxa"/>
              <w:right w:w="10" w:type="dxa"/>
            </w:tcMar>
            <w:vAlign w:val="center"/>
            <w:hideMark/>
          </w:tcPr>
          <w:p w14:paraId="7CDF5A49" w14:textId="77777777" w:rsidR="000A66EF" w:rsidRPr="00984B2C" w:rsidRDefault="000A66EF" w:rsidP="00713A56">
            <w:pPr>
              <w:jc w:val="center"/>
              <w:rPr>
                <w:rFonts w:asciiTheme="minorHAnsi" w:hAnsiTheme="minorHAnsi" w:cstheme="minorHAnsi"/>
                <w:sz w:val="22"/>
                <w:szCs w:val="22"/>
                <w:lang w:val="en-IN"/>
              </w:rPr>
            </w:pPr>
            <w:r w:rsidRPr="00984B2C">
              <w:rPr>
                <w:rFonts w:asciiTheme="minorHAnsi" w:hAnsiTheme="minorHAnsi" w:cstheme="minorHAnsi"/>
                <w:sz w:val="22"/>
                <w:szCs w:val="22"/>
                <w:lang w:val="en-IN"/>
              </w:rPr>
              <w:t>18</w:t>
            </w:r>
          </w:p>
        </w:tc>
        <w:tc>
          <w:tcPr>
            <w:tcW w:w="884" w:type="dxa"/>
            <w:tcBorders>
              <w:top w:val="single" w:sz="8" w:space="0" w:color="000000"/>
              <w:left w:val="single" w:sz="8" w:space="0" w:color="000000"/>
              <w:bottom w:val="single" w:sz="8" w:space="0" w:color="000000"/>
              <w:right w:val="single" w:sz="8" w:space="0" w:color="000000"/>
            </w:tcBorders>
            <w:shd w:val="clear" w:color="auto" w:fill="auto"/>
            <w:tcMar>
              <w:top w:w="10" w:type="dxa"/>
              <w:left w:w="10" w:type="dxa"/>
              <w:bottom w:w="0" w:type="dxa"/>
              <w:right w:w="10" w:type="dxa"/>
            </w:tcMar>
            <w:vAlign w:val="center"/>
            <w:hideMark/>
          </w:tcPr>
          <w:p w14:paraId="1F97972F" w14:textId="77777777" w:rsidR="000A66EF" w:rsidRPr="00984B2C" w:rsidRDefault="000A66EF" w:rsidP="00713A56">
            <w:pPr>
              <w:jc w:val="center"/>
              <w:rPr>
                <w:rFonts w:asciiTheme="minorHAnsi" w:hAnsiTheme="minorHAnsi" w:cstheme="minorHAnsi"/>
                <w:sz w:val="22"/>
                <w:szCs w:val="22"/>
                <w:lang w:val="en-IN"/>
              </w:rPr>
            </w:pPr>
            <w:r w:rsidRPr="00984B2C">
              <w:rPr>
                <w:rFonts w:asciiTheme="minorHAnsi" w:hAnsiTheme="minorHAnsi" w:cstheme="minorHAnsi"/>
                <w:sz w:val="22"/>
                <w:szCs w:val="22"/>
                <w:lang w:val="en-IN"/>
              </w:rPr>
              <w:t>2577</w:t>
            </w:r>
          </w:p>
        </w:tc>
      </w:tr>
    </w:tbl>
    <w:p w14:paraId="281D1BE1" w14:textId="6A14EA07" w:rsidR="000A66EF" w:rsidRDefault="000A66EF" w:rsidP="000A66EF">
      <w:pPr>
        <w:rPr>
          <w:rFonts w:asciiTheme="minorHAnsi" w:hAnsiTheme="minorHAnsi" w:cstheme="minorHAnsi"/>
        </w:rPr>
      </w:pPr>
    </w:p>
    <w:p w14:paraId="3F63095A" w14:textId="77777777" w:rsidR="00E02343" w:rsidRPr="00A61B61" w:rsidRDefault="00E02343" w:rsidP="000A66EF">
      <w:pPr>
        <w:rPr>
          <w:rFonts w:asciiTheme="minorHAnsi" w:hAnsiTheme="minorHAnsi" w:cstheme="minorHAnsi"/>
        </w:rPr>
      </w:pPr>
    </w:p>
    <w:tbl>
      <w:tblPr>
        <w:tblW w:w="9548" w:type="dxa"/>
        <w:tblCellMar>
          <w:left w:w="0" w:type="dxa"/>
          <w:right w:w="0" w:type="dxa"/>
        </w:tblCellMar>
        <w:tblLook w:val="0600" w:firstRow="0" w:lastRow="0" w:firstColumn="0" w:lastColumn="0" w:noHBand="1" w:noVBand="1"/>
      </w:tblPr>
      <w:tblGrid>
        <w:gridCol w:w="2753"/>
        <w:gridCol w:w="1689"/>
        <w:gridCol w:w="1112"/>
        <w:gridCol w:w="1112"/>
        <w:gridCol w:w="1581"/>
        <w:gridCol w:w="1301"/>
      </w:tblGrid>
      <w:tr w:rsidR="000A66EF" w:rsidRPr="00984B2C" w14:paraId="33BBBC9D" w14:textId="77777777" w:rsidTr="009F1B7A">
        <w:trPr>
          <w:trHeight w:val="498"/>
        </w:trPr>
        <w:tc>
          <w:tcPr>
            <w:tcW w:w="2753" w:type="dxa"/>
            <w:tcBorders>
              <w:top w:val="single" w:sz="8" w:space="0" w:color="000000"/>
              <w:left w:val="single" w:sz="8" w:space="0" w:color="000000"/>
              <w:bottom w:val="single" w:sz="8" w:space="0" w:color="000000"/>
              <w:right w:val="single" w:sz="8" w:space="0" w:color="000000"/>
            </w:tcBorders>
            <w:shd w:val="clear" w:color="auto" w:fill="95B3D7" w:themeFill="accent1" w:themeFillTint="99"/>
            <w:tcMar>
              <w:top w:w="10" w:type="dxa"/>
              <w:left w:w="10" w:type="dxa"/>
              <w:bottom w:w="0" w:type="dxa"/>
              <w:right w:w="10" w:type="dxa"/>
            </w:tcMar>
            <w:vAlign w:val="center"/>
            <w:hideMark/>
          </w:tcPr>
          <w:p w14:paraId="7FC3581B" w14:textId="77777777" w:rsidR="000A66EF" w:rsidRPr="00984B2C" w:rsidRDefault="000A66EF" w:rsidP="00713A56">
            <w:pPr>
              <w:jc w:val="center"/>
              <w:rPr>
                <w:rFonts w:asciiTheme="minorHAnsi" w:hAnsiTheme="minorHAnsi" w:cstheme="minorHAnsi"/>
                <w:sz w:val="22"/>
                <w:szCs w:val="22"/>
                <w:lang w:val="en-IN"/>
              </w:rPr>
            </w:pPr>
            <w:r w:rsidRPr="00984B2C">
              <w:rPr>
                <w:rFonts w:asciiTheme="minorHAnsi" w:hAnsiTheme="minorHAnsi" w:cstheme="minorHAnsi"/>
                <w:b/>
                <w:bCs/>
                <w:sz w:val="22"/>
                <w:szCs w:val="22"/>
                <w:lang w:val="en-IN"/>
              </w:rPr>
              <w:t>Unit Type</w:t>
            </w:r>
          </w:p>
        </w:tc>
        <w:tc>
          <w:tcPr>
            <w:tcW w:w="1688" w:type="dxa"/>
            <w:tcBorders>
              <w:top w:val="single" w:sz="8" w:space="0" w:color="000000"/>
              <w:left w:val="single" w:sz="8" w:space="0" w:color="000000"/>
              <w:bottom w:val="single" w:sz="8" w:space="0" w:color="000000"/>
              <w:right w:val="single" w:sz="8" w:space="0" w:color="000000"/>
            </w:tcBorders>
            <w:shd w:val="clear" w:color="auto" w:fill="95B3D7" w:themeFill="accent1" w:themeFillTint="99"/>
            <w:tcMar>
              <w:top w:w="10" w:type="dxa"/>
              <w:left w:w="10" w:type="dxa"/>
              <w:bottom w:w="0" w:type="dxa"/>
              <w:right w:w="10" w:type="dxa"/>
            </w:tcMar>
            <w:vAlign w:val="center"/>
            <w:hideMark/>
          </w:tcPr>
          <w:p w14:paraId="04180E0E" w14:textId="77777777" w:rsidR="000A66EF" w:rsidRPr="00984B2C" w:rsidRDefault="000A66EF" w:rsidP="00713A56">
            <w:pPr>
              <w:jc w:val="center"/>
              <w:rPr>
                <w:rFonts w:asciiTheme="minorHAnsi" w:hAnsiTheme="minorHAnsi" w:cstheme="minorHAnsi"/>
                <w:sz w:val="22"/>
                <w:szCs w:val="22"/>
                <w:lang w:val="en-IN"/>
              </w:rPr>
            </w:pPr>
            <w:r w:rsidRPr="00984B2C">
              <w:rPr>
                <w:rFonts w:asciiTheme="minorHAnsi" w:hAnsiTheme="minorHAnsi" w:cstheme="minorHAnsi"/>
                <w:b/>
                <w:bCs/>
                <w:sz w:val="22"/>
                <w:szCs w:val="22"/>
                <w:lang w:val="en-IN"/>
              </w:rPr>
              <w:t>Manpower Norms</w:t>
            </w:r>
          </w:p>
        </w:tc>
        <w:tc>
          <w:tcPr>
            <w:tcW w:w="1112" w:type="dxa"/>
            <w:tcBorders>
              <w:top w:val="single" w:sz="8" w:space="0" w:color="000000"/>
              <w:left w:val="single" w:sz="8" w:space="0" w:color="000000"/>
              <w:bottom w:val="single" w:sz="8" w:space="0" w:color="000000"/>
              <w:right w:val="single" w:sz="8" w:space="0" w:color="000000"/>
            </w:tcBorders>
            <w:shd w:val="clear" w:color="auto" w:fill="95B3D7" w:themeFill="accent1" w:themeFillTint="99"/>
            <w:tcMar>
              <w:top w:w="10" w:type="dxa"/>
              <w:left w:w="10" w:type="dxa"/>
              <w:bottom w:w="0" w:type="dxa"/>
              <w:right w:w="10" w:type="dxa"/>
            </w:tcMar>
            <w:vAlign w:val="center"/>
            <w:hideMark/>
          </w:tcPr>
          <w:p w14:paraId="29DFE782" w14:textId="77777777" w:rsidR="000A66EF" w:rsidRPr="00984B2C" w:rsidRDefault="000A66EF" w:rsidP="00713A56">
            <w:pPr>
              <w:jc w:val="center"/>
              <w:rPr>
                <w:rFonts w:asciiTheme="minorHAnsi" w:hAnsiTheme="minorHAnsi" w:cstheme="minorHAnsi"/>
                <w:sz w:val="22"/>
                <w:szCs w:val="22"/>
                <w:lang w:val="en-IN"/>
              </w:rPr>
            </w:pPr>
            <w:r w:rsidRPr="00984B2C">
              <w:rPr>
                <w:rFonts w:asciiTheme="minorHAnsi" w:hAnsiTheme="minorHAnsi" w:cstheme="minorHAnsi"/>
                <w:b/>
                <w:bCs/>
                <w:sz w:val="22"/>
                <w:szCs w:val="22"/>
                <w:lang w:val="en-IN"/>
              </w:rPr>
              <w:t>Total Manpower</w:t>
            </w:r>
          </w:p>
        </w:tc>
        <w:tc>
          <w:tcPr>
            <w:tcW w:w="1112" w:type="dxa"/>
            <w:tcBorders>
              <w:top w:val="single" w:sz="8" w:space="0" w:color="000000"/>
              <w:left w:val="single" w:sz="8" w:space="0" w:color="000000"/>
              <w:bottom w:val="single" w:sz="8" w:space="0" w:color="000000"/>
              <w:right w:val="single" w:sz="8" w:space="0" w:color="000000"/>
            </w:tcBorders>
            <w:shd w:val="clear" w:color="auto" w:fill="95B3D7" w:themeFill="accent1" w:themeFillTint="99"/>
            <w:tcMar>
              <w:top w:w="10" w:type="dxa"/>
              <w:left w:w="10" w:type="dxa"/>
              <w:bottom w:w="0" w:type="dxa"/>
              <w:right w:w="10" w:type="dxa"/>
            </w:tcMar>
            <w:vAlign w:val="center"/>
            <w:hideMark/>
          </w:tcPr>
          <w:p w14:paraId="0DC13774" w14:textId="77777777" w:rsidR="000A66EF" w:rsidRPr="00984B2C" w:rsidRDefault="000A66EF" w:rsidP="00713A56">
            <w:pPr>
              <w:jc w:val="center"/>
              <w:rPr>
                <w:rFonts w:asciiTheme="minorHAnsi" w:hAnsiTheme="minorHAnsi" w:cstheme="minorHAnsi"/>
                <w:sz w:val="22"/>
                <w:szCs w:val="22"/>
                <w:lang w:val="en-IN"/>
              </w:rPr>
            </w:pPr>
            <w:r w:rsidRPr="00984B2C">
              <w:rPr>
                <w:rFonts w:asciiTheme="minorHAnsi" w:hAnsiTheme="minorHAnsi" w:cstheme="minorHAnsi"/>
                <w:b/>
                <w:bCs/>
                <w:sz w:val="22"/>
                <w:szCs w:val="22"/>
                <w:lang w:val="en-IN"/>
              </w:rPr>
              <w:t>Manpower Type</w:t>
            </w:r>
          </w:p>
        </w:tc>
        <w:tc>
          <w:tcPr>
            <w:tcW w:w="1580" w:type="dxa"/>
            <w:tcBorders>
              <w:top w:val="single" w:sz="8" w:space="0" w:color="000000"/>
              <w:left w:val="single" w:sz="8" w:space="0" w:color="000000"/>
              <w:bottom w:val="single" w:sz="8" w:space="0" w:color="000000"/>
              <w:right w:val="single" w:sz="8" w:space="0" w:color="000000"/>
            </w:tcBorders>
            <w:shd w:val="clear" w:color="auto" w:fill="95B3D7" w:themeFill="accent1" w:themeFillTint="99"/>
            <w:tcMar>
              <w:top w:w="10" w:type="dxa"/>
              <w:left w:w="10" w:type="dxa"/>
              <w:bottom w:w="0" w:type="dxa"/>
              <w:right w:w="10" w:type="dxa"/>
            </w:tcMar>
            <w:vAlign w:val="center"/>
            <w:hideMark/>
          </w:tcPr>
          <w:p w14:paraId="48790CB8" w14:textId="77777777" w:rsidR="000A66EF" w:rsidRPr="00984B2C" w:rsidRDefault="000A66EF" w:rsidP="00713A56">
            <w:pPr>
              <w:jc w:val="center"/>
              <w:rPr>
                <w:rFonts w:asciiTheme="minorHAnsi" w:hAnsiTheme="minorHAnsi" w:cstheme="minorHAnsi"/>
                <w:sz w:val="22"/>
                <w:szCs w:val="22"/>
                <w:lang w:val="en-IN"/>
              </w:rPr>
            </w:pPr>
            <w:r w:rsidRPr="00984B2C">
              <w:rPr>
                <w:rFonts w:asciiTheme="minorHAnsi" w:hAnsiTheme="minorHAnsi" w:cstheme="minorHAnsi"/>
                <w:b/>
                <w:bCs/>
                <w:sz w:val="22"/>
                <w:szCs w:val="22"/>
                <w:lang w:val="en-IN"/>
              </w:rPr>
              <w:t>Cost per man-month (Rs.)</w:t>
            </w:r>
          </w:p>
        </w:tc>
        <w:tc>
          <w:tcPr>
            <w:tcW w:w="1301" w:type="dxa"/>
            <w:tcBorders>
              <w:top w:val="single" w:sz="8" w:space="0" w:color="000000"/>
              <w:left w:val="single" w:sz="8" w:space="0" w:color="000000"/>
              <w:bottom w:val="single" w:sz="8" w:space="0" w:color="000000"/>
              <w:right w:val="single" w:sz="8" w:space="0" w:color="000000"/>
            </w:tcBorders>
            <w:shd w:val="clear" w:color="auto" w:fill="95B3D7" w:themeFill="accent1" w:themeFillTint="99"/>
            <w:tcMar>
              <w:top w:w="10" w:type="dxa"/>
              <w:left w:w="10" w:type="dxa"/>
              <w:bottom w:w="0" w:type="dxa"/>
              <w:right w:w="10" w:type="dxa"/>
            </w:tcMar>
            <w:vAlign w:val="center"/>
            <w:hideMark/>
          </w:tcPr>
          <w:p w14:paraId="6D5E26AA" w14:textId="77777777" w:rsidR="000A66EF" w:rsidRPr="00A40DA4" w:rsidRDefault="000A66EF" w:rsidP="00713A56">
            <w:pPr>
              <w:jc w:val="center"/>
              <w:rPr>
                <w:rFonts w:asciiTheme="minorHAnsi" w:hAnsiTheme="minorHAnsi" w:cstheme="minorHAnsi"/>
                <w:b/>
                <w:bCs/>
                <w:sz w:val="22"/>
                <w:szCs w:val="22"/>
              </w:rPr>
            </w:pPr>
            <w:r w:rsidRPr="00A40DA4">
              <w:rPr>
                <w:rFonts w:asciiTheme="minorHAnsi" w:hAnsiTheme="minorHAnsi" w:cstheme="minorHAnsi"/>
                <w:b/>
                <w:bCs/>
                <w:sz w:val="22"/>
                <w:szCs w:val="22"/>
              </w:rPr>
              <w:t xml:space="preserve">Annual Cost </w:t>
            </w:r>
          </w:p>
          <w:p w14:paraId="66E9D5CB" w14:textId="38EAF409" w:rsidR="00A40DA4" w:rsidRPr="00A40DA4" w:rsidRDefault="00A40DA4" w:rsidP="00713A56">
            <w:pPr>
              <w:jc w:val="center"/>
              <w:rPr>
                <w:rFonts w:asciiTheme="minorHAnsi" w:hAnsiTheme="minorHAnsi" w:cstheme="minorHAnsi"/>
                <w:b/>
                <w:sz w:val="22"/>
                <w:szCs w:val="22"/>
                <w:lang w:val="en-IN"/>
              </w:rPr>
            </w:pPr>
            <w:r w:rsidRPr="00A40DA4">
              <w:rPr>
                <w:rFonts w:asciiTheme="minorHAnsi" w:hAnsiTheme="minorHAnsi" w:cstheme="minorHAnsi"/>
                <w:b/>
                <w:sz w:val="22"/>
                <w:szCs w:val="22"/>
                <w:lang w:val="en-IN"/>
              </w:rPr>
              <w:t xml:space="preserve">(In </w:t>
            </w:r>
            <w:proofErr w:type="gramStart"/>
            <w:r w:rsidRPr="00A40DA4">
              <w:rPr>
                <w:rFonts w:asciiTheme="minorHAnsi" w:hAnsiTheme="minorHAnsi" w:cstheme="minorHAnsi"/>
                <w:b/>
                <w:sz w:val="22"/>
                <w:szCs w:val="22"/>
                <w:lang w:val="en-IN"/>
              </w:rPr>
              <w:t>Rs .</w:t>
            </w:r>
            <w:proofErr w:type="spellStart"/>
            <w:r w:rsidRPr="00A40DA4">
              <w:rPr>
                <w:rFonts w:asciiTheme="minorHAnsi" w:hAnsiTheme="minorHAnsi" w:cstheme="minorHAnsi"/>
                <w:b/>
                <w:sz w:val="22"/>
                <w:szCs w:val="22"/>
                <w:lang w:val="en-IN"/>
              </w:rPr>
              <w:t>Crs</w:t>
            </w:r>
            <w:proofErr w:type="spellEnd"/>
            <w:proofErr w:type="gramEnd"/>
            <w:r w:rsidRPr="00A40DA4">
              <w:rPr>
                <w:rFonts w:asciiTheme="minorHAnsi" w:hAnsiTheme="minorHAnsi" w:cstheme="minorHAnsi"/>
                <w:b/>
                <w:sz w:val="22"/>
                <w:szCs w:val="22"/>
                <w:lang w:val="en-IN"/>
              </w:rPr>
              <w:t>)</w:t>
            </w:r>
          </w:p>
        </w:tc>
      </w:tr>
      <w:tr w:rsidR="000A66EF" w:rsidRPr="00984B2C" w14:paraId="05BDB91B" w14:textId="77777777" w:rsidTr="009F1B7A">
        <w:trPr>
          <w:trHeight w:val="204"/>
        </w:trPr>
        <w:tc>
          <w:tcPr>
            <w:tcW w:w="2753" w:type="dxa"/>
            <w:tcBorders>
              <w:top w:val="single" w:sz="8" w:space="0" w:color="000000"/>
              <w:left w:val="single" w:sz="8" w:space="0" w:color="000000"/>
              <w:bottom w:val="single" w:sz="8" w:space="0" w:color="000000"/>
              <w:right w:val="single" w:sz="8" w:space="0" w:color="000000"/>
            </w:tcBorders>
            <w:shd w:val="clear" w:color="auto" w:fill="auto"/>
            <w:tcMar>
              <w:top w:w="10" w:type="dxa"/>
              <w:left w:w="10" w:type="dxa"/>
              <w:bottom w:w="0" w:type="dxa"/>
              <w:right w:w="10" w:type="dxa"/>
            </w:tcMar>
            <w:vAlign w:val="center"/>
            <w:hideMark/>
          </w:tcPr>
          <w:p w14:paraId="443FB424" w14:textId="77777777" w:rsidR="000A66EF" w:rsidRPr="00984B2C" w:rsidRDefault="000A66EF" w:rsidP="00713A56">
            <w:pPr>
              <w:rPr>
                <w:rFonts w:asciiTheme="minorHAnsi" w:hAnsiTheme="minorHAnsi" w:cstheme="minorHAnsi"/>
                <w:sz w:val="22"/>
                <w:szCs w:val="22"/>
                <w:lang w:val="en-IN"/>
              </w:rPr>
            </w:pPr>
            <w:r w:rsidRPr="00984B2C">
              <w:rPr>
                <w:rFonts w:asciiTheme="minorHAnsi" w:hAnsiTheme="minorHAnsi" w:cstheme="minorHAnsi"/>
                <w:sz w:val="22"/>
                <w:szCs w:val="22"/>
                <w:lang w:val="en-IN"/>
              </w:rPr>
              <w:t>Stand Alone</w:t>
            </w:r>
          </w:p>
        </w:tc>
        <w:tc>
          <w:tcPr>
            <w:tcW w:w="1688" w:type="dxa"/>
            <w:tcBorders>
              <w:top w:val="single" w:sz="8" w:space="0" w:color="000000"/>
              <w:left w:val="single" w:sz="8" w:space="0" w:color="000000"/>
              <w:bottom w:val="single" w:sz="8" w:space="0" w:color="000000"/>
              <w:right w:val="single" w:sz="8" w:space="0" w:color="000000"/>
            </w:tcBorders>
            <w:shd w:val="clear" w:color="auto" w:fill="auto"/>
            <w:tcMar>
              <w:top w:w="10" w:type="dxa"/>
              <w:left w:w="10" w:type="dxa"/>
              <w:bottom w:w="0" w:type="dxa"/>
              <w:right w:w="10" w:type="dxa"/>
            </w:tcMar>
            <w:vAlign w:val="center"/>
            <w:hideMark/>
          </w:tcPr>
          <w:p w14:paraId="5AEEB280" w14:textId="77777777" w:rsidR="000A66EF" w:rsidRPr="00984B2C" w:rsidRDefault="000A66EF" w:rsidP="00713A56">
            <w:pPr>
              <w:jc w:val="center"/>
              <w:rPr>
                <w:rFonts w:asciiTheme="minorHAnsi" w:hAnsiTheme="minorHAnsi" w:cstheme="minorHAnsi"/>
                <w:sz w:val="22"/>
                <w:szCs w:val="22"/>
                <w:lang w:val="en-IN"/>
              </w:rPr>
            </w:pPr>
            <w:r w:rsidRPr="00984B2C">
              <w:rPr>
                <w:rFonts w:asciiTheme="minorHAnsi" w:hAnsiTheme="minorHAnsi" w:cstheme="minorHAnsi"/>
                <w:sz w:val="22"/>
                <w:szCs w:val="22"/>
                <w:lang w:val="en-IN"/>
              </w:rPr>
              <w:t>1 per 2 villages</w:t>
            </w:r>
          </w:p>
        </w:tc>
        <w:tc>
          <w:tcPr>
            <w:tcW w:w="1112" w:type="dxa"/>
            <w:tcBorders>
              <w:top w:val="single" w:sz="8" w:space="0" w:color="000000"/>
              <w:left w:val="single" w:sz="8" w:space="0" w:color="000000"/>
              <w:bottom w:val="single" w:sz="8" w:space="0" w:color="000000"/>
              <w:right w:val="single" w:sz="8" w:space="0" w:color="000000"/>
            </w:tcBorders>
            <w:shd w:val="clear" w:color="auto" w:fill="auto"/>
            <w:tcMar>
              <w:top w:w="10" w:type="dxa"/>
              <w:left w:w="10" w:type="dxa"/>
              <w:bottom w:w="0" w:type="dxa"/>
              <w:right w:w="10" w:type="dxa"/>
            </w:tcMar>
            <w:vAlign w:val="center"/>
            <w:hideMark/>
          </w:tcPr>
          <w:p w14:paraId="1242C825" w14:textId="77777777" w:rsidR="000A66EF" w:rsidRPr="00984B2C" w:rsidRDefault="000A66EF" w:rsidP="00713A56">
            <w:pPr>
              <w:jc w:val="center"/>
              <w:rPr>
                <w:rFonts w:asciiTheme="minorHAnsi" w:hAnsiTheme="minorHAnsi" w:cstheme="minorHAnsi"/>
                <w:sz w:val="22"/>
                <w:szCs w:val="22"/>
                <w:lang w:val="en-IN"/>
              </w:rPr>
            </w:pPr>
            <w:r w:rsidRPr="00984B2C">
              <w:rPr>
                <w:rFonts w:asciiTheme="minorHAnsi" w:hAnsiTheme="minorHAnsi" w:cstheme="minorHAnsi"/>
                <w:sz w:val="22"/>
                <w:szCs w:val="22"/>
                <w:lang w:val="en-IN"/>
              </w:rPr>
              <w:t>64</w:t>
            </w:r>
          </w:p>
        </w:tc>
        <w:tc>
          <w:tcPr>
            <w:tcW w:w="1112" w:type="dxa"/>
            <w:tcBorders>
              <w:top w:val="single" w:sz="8" w:space="0" w:color="000000"/>
              <w:left w:val="single" w:sz="8" w:space="0" w:color="000000"/>
              <w:bottom w:val="single" w:sz="8" w:space="0" w:color="000000"/>
              <w:right w:val="single" w:sz="8" w:space="0" w:color="000000"/>
            </w:tcBorders>
            <w:shd w:val="clear" w:color="auto" w:fill="auto"/>
            <w:tcMar>
              <w:top w:w="10" w:type="dxa"/>
              <w:left w:w="10" w:type="dxa"/>
              <w:bottom w:w="0" w:type="dxa"/>
              <w:right w:w="10" w:type="dxa"/>
            </w:tcMar>
            <w:vAlign w:val="center"/>
            <w:hideMark/>
          </w:tcPr>
          <w:p w14:paraId="2704FFA5" w14:textId="680239DD" w:rsidR="000A66EF" w:rsidRPr="00984B2C" w:rsidRDefault="00984B2C" w:rsidP="00713A56">
            <w:pPr>
              <w:jc w:val="center"/>
              <w:rPr>
                <w:rFonts w:asciiTheme="minorHAnsi" w:hAnsiTheme="minorHAnsi" w:cstheme="minorHAnsi"/>
                <w:sz w:val="22"/>
                <w:szCs w:val="22"/>
                <w:lang w:val="en-IN"/>
              </w:rPr>
            </w:pPr>
            <w:r w:rsidRPr="00984B2C">
              <w:rPr>
                <w:rFonts w:asciiTheme="minorHAnsi" w:hAnsiTheme="minorHAnsi" w:cstheme="minorHAnsi"/>
                <w:sz w:val="22"/>
                <w:szCs w:val="22"/>
                <w:lang w:val="en-IN"/>
              </w:rPr>
              <w:t>Semi-Skilled</w:t>
            </w:r>
          </w:p>
        </w:tc>
        <w:tc>
          <w:tcPr>
            <w:tcW w:w="1580" w:type="dxa"/>
            <w:tcBorders>
              <w:top w:val="single" w:sz="8" w:space="0" w:color="000000"/>
              <w:left w:val="single" w:sz="8" w:space="0" w:color="000000"/>
              <w:bottom w:val="single" w:sz="8" w:space="0" w:color="000000"/>
              <w:right w:val="single" w:sz="8" w:space="0" w:color="000000"/>
            </w:tcBorders>
            <w:shd w:val="clear" w:color="auto" w:fill="auto"/>
            <w:tcMar>
              <w:top w:w="10" w:type="dxa"/>
              <w:left w:w="10" w:type="dxa"/>
              <w:bottom w:w="0" w:type="dxa"/>
              <w:right w:w="10" w:type="dxa"/>
            </w:tcMar>
            <w:vAlign w:val="center"/>
            <w:hideMark/>
          </w:tcPr>
          <w:p w14:paraId="05D02C5F" w14:textId="77777777" w:rsidR="000A66EF" w:rsidRPr="00984B2C" w:rsidRDefault="000A66EF" w:rsidP="00713A56">
            <w:pPr>
              <w:jc w:val="center"/>
              <w:rPr>
                <w:rFonts w:asciiTheme="minorHAnsi" w:hAnsiTheme="minorHAnsi" w:cstheme="minorHAnsi"/>
                <w:sz w:val="22"/>
                <w:szCs w:val="22"/>
                <w:lang w:val="en-IN"/>
              </w:rPr>
            </w:pPr>
            <w:r w:rsidRPr="00984B2C">
              <w:rPr>
                <w:rFonts w:asciiTheme="minorHAnsi" w:hAnsiTheme="minorHAnsi" w:cstheme="minorHAnsi"/>
                <w:sz w:val="22"/>
                <w:szCs w:val="22"/>
                <w:lang w:val="en-IN"/>
              </w:rPr>
              <w:t>16,278</w:t>
            </w:r>
          </w:p>
        </w:tc>
        <w:tc>
          <w:tcPr>
            <w:tcW w:w="1301" w:type="dxa"/>
            <w:tcBorders>
              <w:top w:val="single" w:sz="8" w:space="0" w:color="000000"/>
              <w:left w:val="single" w:sz="8" w:space="0" w:color="000000"/>
              <w:bottom w:val="single" w:sz="8" w:space="0" w:color="000000"/>
              <w:right w:val="single" w:sz="8" w:space="0" w:color="000000"/>
            </w:tcBorders>
            <w:shd w:val="clear" w:color="auto" w:fill="auto"/>
            <w:tcMar>
              <w:top w:w="10" w:type="dxa"/>
              <w:left w:w="10" w:type="dxa"/>
              <w:bottom w:w="0" w:type="dxa"/>
              <w:right w:w="10" w:type="dxa"/>
            </w:tcMar>
            <w:vAlign w:val="center"/>
            <w:hideMark/>
          </w:tcPr>
          <w:p w14:paraId="1E42DA4F" w14:textId="77777777" w:rsidR="000A66EF" w:rsidRPr="00984B2C" w:rsidRDefault="000A66EF" w:rsidP="00713A56">
            <w:pPr>
              <w:jc w:val="center"/>
              <w:rPr>
                <w:rFonts w:asciiTheme="minorHAnsi" w:hAnsiTheme="minorHAnsi" w:cstheme="minorHAnsi"/>
                <w:sz w:val="22"/>
                <w:szCs w:val="22"/>
                <w:lang w:val="en-IN"/>
              </w:rPr>
            </w:pPr>
            <w:r w:rsidRPr="00984B2C">
              <w:rPr>
                <w:rFonts w:asciiTheme="minorHAnsi" w:hAnsiTheme="minorHAnsi" w:cstheme="minorHAnsi"/>
                <w:sz w:val="22"/>
                <w:szCs w:val="22"/>
                <w:lang w:val="en-IN"/>
              </w:rPr>
              <w:t>1.25</w:t>
            </w:r>
          </w:p>
        </w:tc>
      </w:tr>
      <w:tr w:rsidR="000A66EF" w:rsidRPr="00984B2C" w14:paraId="2592AE1F" w14:textId="77777777" w:rsidTr="009F1B7A">
        <w:trPr>
          <w:trHeight w:val="204"/>
        </w:trPr>
        <w:tc>
          <w:tcPr>
            <w:tcW w:w="2753" w:type="dxa"/>
            <w:tcBorders>
              <w:top w:val="single" w:sz="8" w:space="0" w:color="000000"/>
              <w:left w:val="single" w:sz="8" w:space="0" w:color="000000"/>
              <w:bottom w:val="single" w:sz="8" w:space="0" w:color="000000"/>
              <w:right w:val="single" w:sz="8" w:space="0" w:color="000000"/>
            </w:tcBorders>
            <w:shd w:val="clear" w:color="auto" w:fill="auto"/>
            <w:tcMar>
              <w:top w:w="10" w:type="dxa"/>
              <w:left w:w="10" w:type="dxa"/>
              <w:bottom w:w="0" w:type="dxa"/>
              <w:right w:w="10" w:type="dxa"/>
            </w:tcMar>
            <w:vAlign w:val="center"/>
            <w:hideMark/>
          </w:tcPr>
          <w:p w14:paraId="5A730152" w14:textId="77777777" w:rsidR="000A66EF" w:rsidRPr="00984B2C" w:rsidRDefault="000A66EF" w:rsidP="00713A56">
            <w:pPr>
              <w:rPr>
                <w:rFonts w:asciiTheme="minorHAnsi" w:hAnsiTheme="minorHAnsi" w:cstheme="minorHAnsi"/>
                <w:sz w:val="22"/>
                <w:szCs w:val="22"/>
                <w:lang w:val="en-IN"/>
              </w:rPr>
            </w:pPr>
            <w:r w:rsidRPr="00984B2C">
              <w:rPr>
                <w:rFonts w:asciiTheme="minorHAnsi" w:hAnsiTheme="minorHAnsi" w:cstheme="minorHAnsi"/>
                <w:sz w:val="22"/>
                <w:szCs w:val="22"/>
                <w:lang w:val="en-IN"/>
              </w:rPr>
              <w:t>Micro Grid</w:t>
            </w:r>
          </w:p>
        </w:tc>
        <w:tc>
          <w:tcPr>
            <w:tcW w:w="1688" w:type="dxa"/>
            <w:tcBorders>
              <w:top w:val="single" w:sz="8" w:space="0" w:color="000000"/>
              <w:left w:val="single" w:sz="8" w:space="0" w:color="000000"/>
              <w:bottom w:val="single" w:sz="8" w:space="0" w:color="000000"/>
              <w:right w:val="single" w:sz="8" w:space="0" w:color="000000"/>
            </w:tcBorders>
            <w:shd w:val="clear" w:color="auto" w:fill="auto"/>
            <w:tcMar>
              <w:top w:w="10" w:type="dxa"/>
              <w:left w:w="10" w:type="dxa"/>
              <w:bottom w:w="0" w:type="dxa"/>
              <w:right w:w="10" w:type="dxa"/>
            </w:tcMar>
            <w:vAlign w:val="center"/>
            <w:hideMark/>
          </w:tcPr>
          <w:p w14:paraId="09068FB1" w14:textId="77777777" w:rsidR="000A66EF" w:rsidRPr="00984B2C" w:rsidRDefault="000A66EF" w:rsidP="00713A56">
            <w:pPr>
              <w:jc w:val="center"/>
              <w:rPr>
                <w:rFonts w:asciiTheme="minorHAnsi" w:hAnsiTheme="minorHAnsi" w:cstheme="minorHAnsi"/>
                <w:sz w:val="22"/>
                <w:szCs w:val="22"/>
                <w:lang w:val="en-IN"/>
              </w:rPr>
            </w:pPr>
            <w:r w:rsidRPr="00984B2C">
              <w:rPr>
                <w:rFonts w:asciiTheme="minorHAnsi" w:hAnsiTheme="minorHAnsi" w:cstheme="minorHAnsi"/>
                <w:sz w:val="22"/>
                <w:szCs w:val="22"/>
                <w:lang w:val="en-IN"/>
              </w:rPr>
              <w:t>1 per unit</w:t>
            </w:r>
          </w:p>
        </w:tc>
        <w:tc>
          <w:tcPr>
            <w:tcW w:w="1112" w:type="dxa"/>
            <w:tcBorders>
              <w:top w:val="single" w:sz="8" w:space="0" w:color="000000"/>
              <w:left w:val="single" w:sz="8" w:space="0" w:color="000000"/>
              <w:bottom w:val="single" w:sz="8" w:space="0" w:color="000000"/>
              <w:right w:val="single" w:sz="8" w:space="0" w:color="000000"/>
            </w:tcBorders>
            <w:shd w:val="clear" w:color="auto" w:fill="auto"/>
            <w:tcMar>
              <w:top w:w="10" w:type="dxa"/>
              <w:left w:w="10" w:type="dxa"/>
              <w:bottom w:w="0" w:type="dxa"/>
              <w:right w:w="10" w:type="dxa"/>
            </w:tcMar>
            <w:vAlign w:val="center"/>
            <w:hideMark/>
          </w:tcPr>
          <w:p w14:paraId="5BC3382A" w14:textId="77777777" w:rsidR="000A66EF" w:rsidRPr="00984B2C" w:rsidRDefault="000A66EF" w:rsidP="00713A56">
            <w:pPr>
              <w:jc w:val="center"/>
              <w:rPr>
                <w:rFonts w:asciiTheme="minorHAnsi" w:hAnsiTheme="minorHAnsi" w:cstheme="minorHAnsi"/>
                <w:sz w:val="22"/>
                <w:szCs w:val="22"/>
                <w:lang w:val="en-IN"/>
              </w:rPr>
            </w:pPr>
            <w:r w:rsidRPr="00984B2C">
              <w:rPr>
                <w:rFonts w:asciiTheme="minorHAnsi" w:hAnsiTheme="minorHAnsi" w:cstheme="minorHAnsi"/>
                <w:sz w:val="22"/>
                <w:szCs w:val="22"/>
                <w:lang w:val="en-IN"/>
              </w:rPr>
              <w:t>19</w:t>
            </w:r>
          </w:p>
        </w:tc>
        <w:tc>
          <w:tcPr>
            <w:tcW w:w="1112" w:type="dxa"/>
            <w:tcBorders>
              <w:top w:val="single" w:sz="8" w:space="0" w:color="000000"/>
              <w:left w:val="single" w:sz="8" w:space="0" w:color="000000"/>
              <w:bottom w:val="single" w:sz="8" w:space="0" w:color="000000"/>
              <w:right w:val="single" w:sz="8" w:space="0" w:color="000000"/>
            </w:tcBorders>
            <w:shd w:val="clear" w:color="auto" w:fill="auto"/>
            <w:tcMar>
              <w:top w:w="10" w:type="dxa"/>
              <w:left w:w="10" w:type="dxa"/>
              <w:bottom w:w="0" w:type="dxa"/>
              <w:right w:w="10" w:type="dxa"/>
            </w:tcMar>
            <w:vAlign w:val="center"/>
            <w:hideMark/>
          </w:tcPr>
          <w:p w14:paraId="6B4E8C4E" w14:textId="77777777" w:rsidR="000A66EF" w:rsidRPr="00984B2C" w:rsidRDefault="000A66EF" w:rsidP="00713A56">
            <w:pPr>
              <w:jc w:val="center"/>
              <w:rPr>
                <w:rFonts w:asciiTheme="minorHAnsi" w:hAnsiTheme="minorHAnsi" w:cstheme="minorHAnsi"/>
                <w:sz w:val="22"/>
                <w:szCs w:val="22"/>
                <w:lang w:val="en-IN"/>
              </w:rPr>
            </w:pPr>
            <w:r w:rsidRPr="00984B2C">
              <w:rPr>
                <w:rFonts w:asciiTheme="minorHAnsi" w:hAnsiTheme="minorHAnsi" w:cstheme="minorHAnsi"/>
                <w:sz w:val="22"/>
                <w:szCs w:val="22"/>
                <w:lang w:val="en-IN"/>
              </w:rPr>
              <w:t>Skilled</w:t>
            </w:r>
          </w:p>
        </w:tc>
        <w:tc>
          <w:tcPr>
            <w:tcW w:w="1580" w:type="dxa"/>
            <w:tcBorders>
              <w:top w:val="single" w:sz="8" w:space="0" w:color="000000"/>
              <w:left w:val="single" w:sz="8" w:space="0" w:color="000000"/>
              <w:bottom w:val="single" w:sz="8" w:space="0" w:color="000000"/>
              <w:right w:val="single" w:sz="8" w:space="0" w:color="000000"/>
            </w:tcBorders>
            <w:shd w:val="clear" w:color="auto" w:fill="auto"/>
            <w:tcMar>
              <w:top w:w="10" w:type="dxa"/>
              <w:left w:w="10" w:type="dxa"/>
              <w:bottom w:w="0" w:type="dxa"/>
              <w:right w:w="10" w:type="dxa"/>
            </w:tcMar>
            <w:vAlign w:val="center"/>
            <w:hideMark/>
          </w:tcPr>
          <w:p w14:paraId="3F697F80" w14:textId="77777777" w:rsidR="000A66EF" w:rsidRPr="00984B2C" w:rsidRDefault="000A66EF" w:rsidP="00713A56">
            <w:pPr>
              <w:jc w:val="center"/>
              <w:rPr>
                <w:rFonts w:asciiTheme="minorHAnsi" w:hAnsiTheme="minorHAnsi" w:cstheme="minorHAnsi"/>
                <w:sz w:val="22"/>
                <w:szCs w:val="22"/>
                <w:lang w:val="en-IN"/>
              </w:rPr>
            </w:pPr>
            <w:r w:rsidRPr="00984B2C">
              <w:rPr>
                <w:rFonts w:asciiTheme="minorHAnsi" w:hAnsiTheme="minorHAnsi" w:cstheme="minorHAnsi"/>
                <w:sz w:val="22"/>
                <w:szCs w:val="22"/>
                <w:lang w:val="en-IN"/>
              </w:rPr>
              <w:t>18,354</w:t>
            </w:r>
          </w:p>
        </w:tc>
        <w:tc>
          <w:tcPr>
            <w:tcW w:w="1301" w:type="dxa"/>
            <w:tcBorders>
              <w:top w:val="single" w:sz="8" w:space="0" w:color="000000"/>
              <w:left w:val="single" w:sz="8" w:space="0" w:color="000000"/>
              <w:bottom w:val="single" w:sz="8" w:space="0" w:color="000000"/>
              <w:right w:val="single" w:sz="8" w:space="0" w:color="000000"/>
            </w:tcBorders>
            <w:shd w:val="clear" w:color="auto" w:fill="auto"/>
            <w:tcMar>
              <w:top w:w="10" w:type="dxa"/>
              <w:left w:w="10" w:type="dxa"/>
              <w:bottom w:w="0" w:type="dxa"/>
              <w:right w:w="10" w:type="dxa"/>
            </w:tcMar>
            <w:vAlign w:val="center"/>
            <w:hideMark/>
          </w:tcPr>
          <w:p w14:paraId="4D4D3262" w14:textId="77777777" w:rsidR="000A66EF" w:rsidRPr="00984B2C" w:rsidRDefault="000A66EF" w:rsidP="00713A56">
            <w:pPr>
              <w:jc w:val="center"/>
              <w:rPr>
                <w:rFonts w:asciiTheme="minorHAnsi" w:hAnsiTheme="minorHAnsi" w:cstheme="minorHAnsi"/>
                <w:sz w:val="22"/>
                <w:szCs w:val="22"/>
                <w:lang w:val="en-IN"/>
              </w:rPr>
            </w:pPr>
            <w:r w:rsidRPr="00984B2C">
              <w:rPr>
                <w:rFonts w:asciiTheme="minorHAnsi" w:hAnsiTheme="minorHAnsi" w:cstheme="minorHAnsi"/>
                <w:sz w:val="22"/>
                <w:szCs w:val="22"/>
                <w:lang w:val="en-IN"/>
              </w:rPr>
              <w:t>0.42</w:t>
            </w:r>
          </w:p>
        </w:tc>
      </w:tr>
      <w:tr w:rsidR="000A66EF" w:rsidRPr="00984B2C" w14:paraId="347FCF49" w14:textId="77777777" w:rsidTr="009F1B7A">
        <w:trPr>
          <w:trHeight w:val="204"/>
        </w:trPr>
        <w:tc>
          <w:tcPr>
            <w:tcW w:w="2753" w:type="dxa"/>
            <w:tcBorders>
              <w:top w:val="single" w:sz="8" w:space="0" w:color="000000"/>
              <w:left w:val="single" w:sz="8" w:space="0" w:color="000000"/>
              <w:bottom w:val="single" w:sz="8" w:space="0" w:color="000000"/>
              <w:right w:val="single" w:sz="8" w:space="0" w:color="000000"/>
            </w:tcBorders>
            <w:shd w:val="clear" w:color="auto" w:fill="auto"/>
            <w:tcMar>
              <w:top w:w="10" w:type="dxa"/>
              <w:left w:w="10" w:type="dxa"/>
              <w:bottom w:w="0" w:type="dxa"/>
              <w:right w:w="10" w:type="dxa"/>
            </w:tcMar>
            <w:vAlign w:val="center"/>
            <w:hideMark/>
          </w:tcPr>
          <w:p w14:paraId="072EB0E9" w14:textId="77777777" w:rsidR="000A66EF" w:rsidRPr="00984B2C" w:rsidRDefault="000A66EF" w:rsidP="00713A56">
            <w:pPr>
              <w:rPr>
                <w:rFonts w:asciiTheme="minorHAnsi" w:hAnsiTheme="minorHAnsi" w:cstheme="minorHAnsi"/>
                <w:sz w:val="22"/>
                <w:szCs w:val="22"/>
                <w:lang w:val="en-IN"/>
              </w:rPr>
            </w:pPr>
            <w:r w:rsidRPr="00984B2C">
              <w:rPr>
                <w:rFonts w:asciiTheme="minorHAnsi" w:hAnsiTheme="minorHAnsi" w:cstheme="minorHAnsi"/>
                <w:sz w:val="22"/>
                <w:szCs w:val="22"/>
                <w:lang w:val="en-IN"/>
              </w:rPr>
              <w:t>Overall</w:t>
            </w:r>
          </w:p>
        </w:tc>
        <w:tc>
          <w:tcPr>
            <w:tcW w:w="1688" w:type="dxa"/>
            <w:tcBorders>
              <w:top w:val="single" w:sz="8" w:space="0" w:color="000000"/>
              <w:left w:val="single" w:sz="8" w:space="0" w:color="000000"/>
              <w:bottom w:val="single" w:sz="8" w:space="0" w:color="000000"/>
              <w:right w:val="single" w:sz="8" w:space="0" w:color="000000"/>
            </w:tcBorders>
            <w:shd w:val="clear" w:color="auto" w:fill="auto"/>
            <w:tcMar>
              <w:top w:w="10" w:type="dxa"/>
              <w:left w:w="10" w:type="dxa"/>
              <w:bottom w:w="0" w:type="dxa"/>
              <w:right w:w="10" w:type="dxa"/>
            </w:tcMar>
            <w:vAlign w:val="center"/>
            <w:hideMark/>
          </w:tcPr>
          <w:p w14:paraId="25457F5D" w14:textId="77777777" w:rsidR="000A66EF" w:rsidRPr="00984B2C" w:rsidRDefault="000A66EF" w:rsidP="00713A56">
            <w:pPr>
              <w:jc w:val="center"/>
              <w:rPr>
                <w:rFonts w:asciiTheme="minorHAnsi" w:hAnsiTheme="minorHAnsi" w:cstheme="minorHAnsi"/>
                <w:sz w:val="22"/>
                <w:szCs w:val="22"/>
                <w:lang w:val="en-IN"/>
              </w:rPr>
            </w:pPr>
            <w:r w:rsidRPr="00984B2C">
              <w:rPr>
                <w:rFonts w:asciiTheme="minorHAnsi" w:hAnsiTheme="minorHAnsi" w:cstheme="minorHAnsi"/>
                <w:sz w:val="22"/>
                <w:szCs w:val="22"/>
                <w:lang w:val="en-IN"/>
              </w:rPr>
              <w:t>1 for 10 Manpower</w:t>
            </w:r>
          </w:p>
        </w:tc>
        <w:tc>
          <w:tcPr>
            <w:tcW w:w="1112" w:type="dxa"/>
            <w:tcBorders>
              <w:top w:val="single" w:sz="8" w:space="0" w:color="000000"/>
              <w:left w:val="single" w:sz="8" w:space="0" w:color="000000"/>
              <w:bottom w:val="single" w:sz="8" w:space="0" w:color="000000"/>
              <w:right w:val="single" w:sz="8" w:space="0" w:color="000000"/>
            </w:tcBorders>
            <w:shd w:val="clear" w:color="auto" w:fill="auto"/>
            <w:tcMar>
              <w:top w:w="10" w:type="dxa"/>
              <w:left w:w="10" w:type="dxa"/>
              <w:bottom w:w="0" w:type="dxa"/>
              <w:right w:w="10" w:type="dxa"/>
            </w:tcMar>
            <w:vAlign w:val="center"/>
            <w:hideMark/>
          </w:tcPr>
          <w:p w14:paraId="7633C668" w14:textId="77777777" w:rsidR="000A66EF" w:rsidRPr="00984B2C" w:rsidRDefault="000A66EF" w:rsidP="00713A56">
            <w:pPr>
              <w:jc w:val="center"/>
              <w:rPr>
                <w:rFonts w:asciiTheme="minorHAnsi" w:hAnsiTheme="minorHAnsi" w:cstheme="minorHAnsi"/>
                <w:sz w:val="22"/>
                <w:szCs w:val="22"/>
                <w:lang w:val="en-IN"/>
              </w:rPr>
            </w:pPr>
            <w:r w:rsidRPr="00984B2C">
              <w:rPr>
                <w:rFonts w:asciiTheme="minorHAnsi" w:hAnsiTheme="minorHAnsi" w:cstheme="minorHAnsi"/>
                <w:sz w:val="22"/>
                <w:szCs w:val="22"/>
                <w:lang w:val="en-IN"/>
              </w:rPr>
              <w:t>8</w:t>
            </w:r>
          </w:p>
        </w:tc>
        <w:tc>
          <w:tcPr>
            <w:tcW w:w="1112" w:type="dxa"/>
            <w:tcBorders>
              <w:top w:val="single" w:sz="8" w:space="0" w:color="000000"/>
              <w:left w:val="single" w:sz="8" w:space="0" w:color="000000"/>
              <w:bottom w:val="single" w:sz="8" w:space="0" w:color="000000"/>
              <w:right w:val="single" w:sz="8" w:space="0" w:color="000000"/>
            </w:tcBorders>
            <w:shd w:val="clear" w:color="auto" w:fill="auto"/>
            <w:tcMar>
              <w:top w:w="10" w:type="dxa"/>
              <w:left w:w="10" w:type="dxa"/>
              <w:bottom w:w="0" w:type="dxa"/>
              <w:right w:w="10" w:type="dxa"/>
            </w:tcMar>
            <w:vAlign w:val="center"/>
            <w:hideMark/>
          </w:tcPr>
          <w:p w14:paraId="3B4F89C1" w14:textId="77777777" w:rsidR="000A66EF" w:rsidRPr="00984B2C" w:rsidRDefault="000A66EF" w:rsidP="00713A56">
            <w:pPr>
              <w:jc w:val="center"/>
              <w:rPr>
                <w:rFonts w:asciiTheme="minorHAnsi" w:hAnsiTheme="minorHAnsi" w:cstheme="minorHAnsi"/>
                <w:sz w:val="22"/>
                <w:szCs w:val="22"/>
                <w:lang w:val="en-IN"/>
              </w:rPr>
            </w:pPr>
            <w:r w:rsidRPr="00984B2C">
              <w:rPr>
                <w:rFonts w:asciiTheme="minorHAnsi" w:hAnsiTheme="minorHAnsi" w:cstheme="minorHAnsi"/>
                <w:sz w:val="22"/>
                <w:szCs w:val="22"/>
                <w:lang w:val="en-IN"/>
              </w:rPr>
              <w:t>Supervisor</w:t>
            </w:r>
          </w:p>
        </w:tc>
        <w:tc>
          <w:tcPr>
            <w:tcW w:w="1580" w:type="dxa"/>
            <w:tcBorders>
              <w:top w:val="single" w:sz="8" w:space="0" w:color="000000"/>
              <w:left w:val="single" w:sz="8" w:space="0" w:color="000000"/>
              <w:bottom w:val="single" w:sz="8" w:space="0" w:color="000000"/>
              <w:right w:val="single" w:sz="8" w:space="0" w:color="000000"/>
            </w:tcBorders>
            <w:shd w:val="clear" w:color="auto" w:fill="auto"/>
            <w:tcMar>
              <w:top w:w="10" w:type="dxa"/>
              <w:left w:w="10" w:type="dxa"/>
              <w:bottom w:w="0" w:type="dxa"/>
              <w:right w:w="10" w:type="dxa"/>
            </w:tcMar>
            <w:vAlign w:val="center"/>
            <w:hideMark/>
          </w:tcPr>
          <w:p w14:paraId="75648242" w14:textId="77777777" w:rsidR="000A66EF" w:rsidRPr="00984B2C" w:rsidRDefault="000A66EF" w:rsidP="00713A56">
            <w:pPr>
              <w:jc w:val="center"/>
              <w:rPr>
                <w:rFonts w:asciiTheme="minorHAnsi" w:hAnsiTheme="minorHAnsi" w:cstheme="minorHAnsi"/>
                <w:sz w:val="22"/>
                <w:szCs w:val="22"/>
                <w:lang w:val="en-IN"/>
              </w:rPr>
            </w:pPr>
            <w:r w:rsidRPr="00984B2C">
              <w:rPr>
                <w:rFonts w:asciiTheme="minorHAnsi" w:hAnsiTheme="minorHAnsi" w:cstheme="minorHAnsi"/>
                <w:sz w:val="22"/>
                <w:szCs w:val="22"/>
                <w:lang w:val="en-IN"/>
              </w:rPr>
              <w:t>25,000</w:t>
            </w:r>
          </w:p>
        </w:tc>
        <w:tc>
          <w:tcPr>
            <w:tcW w:w="1301" w:type="dxa"/>
            <w:tcBorders>
              <w:top w:val="single" w:sz="8" w:space="0" w:color="000000"/>
              <w:left w:val="single" w:sz="8" w:space="0" w:color="000000"/>
              <w:bottom w:val="single" w:sz="8" w:space="0" w:color="000000"/>
              <w:right w:val="single" w:sz="8" w:space="0" w:color="000000"/>
            </w:tcBorders>
            <w:shd w:val="clear" w:color="auto" w:fill="auto"/>
            <w:tcMar>
              <w:top w:w="10" w:type="dxa"/>
              <w:left w:w="10" w:type="dxa"/>
              <w:bottom w:w="0" w:type="dxa"/>
              <w:right w:w="10" w:type="dxa"/>
            </w:tcMar>
            <w:vAlign w:val="center"/>
            <w:hideMark/>
          </w:tcPr>
          <w:p w14:paraId="2BE61351" w14:textId="77777777" w:rsidR="000A66EF" w:rsidRPr="00984B2C" w:rsidRDefault="000A66EF" w:rsidP="00713A56">
            <w:pPr>
              <w:jc w:val="center"/>
              <w:rPr>
                <w:rFonts w:asciiTheme="minorHAnsi" w:hAnsiTheme="minorHAnsi" w:cstheme="minorHAnsi"/>
                <w:sz w:val="22"/>
                <w:szCs w:val="22"/>
                <w:lang w:val="en-IN"/>
              </w:rPr>
            </w:pPr>
            <w:r w:rsidRPr="00984B2C">
              <w:rPr>
                <w:rFonts w:asciiTheme="minorHAnsi" w:hAnsiTheme="minorHAnsi" w:cstheme="minorHAnsi"/>
                <w:sz w:val="22"/>
                <w:szCs w:val="22"/>
                <w:lang w:val="en-IN"/>
              </w:rPr>
              <w:t>0.24</w:t>
            </w:r>
          </w:p>
        </w:tc>
      </w:tr>
      <w:tr w:rsidR="000A66EF" w:rsidRPr="00984B2C" w14:paraId="5E6C4782" w14:textId="77777777" w:rsidTr="009F1B7A">
        <w:trPr>
          <w:trHeight w:val="276"/>
        </w:trPr>
        <w:tc>
          <w:tcPr>
            <w:tcW w:w="4442" w:type="dxa"/>
            <w:gridSpan w:val="2"/>
            <w:tcBorders>
              <w:top w:val="single" w:sz="8" w:space="0" w:color="000000"/>
              <w:left w:val="single" w:sz="8" w:space="0" w:color="000000"/>
              <w:bottom w:val="single" w:sz="8" w:space="0" w:color="000000"/>
              <w:right w:val="single" w:sz="8" w:space="0" w:color="000000"/>
            </w:tcBorders>
            <w:shd w:val="clear" w:color="auto" w:fill="95B3D7" w:themeFill="accent1" w:themeFillTint="99"/>
            <w:tcMar>
              <w:top w:w="10" w:type="dxa"/>
              <w:left w:w="10" w:type="dxa"/>
              <w:bottom w:w="0" w:type="dxa"/>
              <w:right w:w="10" w:type="dxa"/>
            </w:tcMar>
            <w:vAlign w:val="center"/>
            <w:hideMark/>
          </w:tcPr>
          <w:p w14:paraId="263FFA97" w14:textId="77777777" w:rsidR="000A66EF" w:rsidRPr="00984B2C" w:rsidRDefault="000A66EF" w:rsidP="00713A56">
            <w:pPr>
              <w:jc w:val="center"/>
              <w:rPr>
                <w:rFonts w:asciiTheme="minorHAnsi" w:hAnsiTheme="minorHAnsi" w:cstheme="minorHAnsi"/>
                <w:sz w:val="22"/>
                <w:szCs w:val="22"/>
                <w:lang w:val="en-IN"/>
              </w:rPr>
            </w:pPr>
            <w:r w:rsidRPr="00984B2C">
              <w:rPr>
                <w:rFonts w:asciiTheme="minorHAnsi" w:hAnsiTheme="minorHAnsi" w:cstheme="minorHAnsi"/>
                <w:b/>
                <w:bCs/>
                <w:sz w:val="22"/>
                <w:szCs w:val="22"/>
                <w:lang w:val="en-IN"/>
              </w:rPr>
              <w:t>Total</w:t>
            </w:r>
          </w:p>
        </w:tc>
        <w:tc>
          <w:tcPr>
            <w:tcW w:w="1112" w:type="dxa"/>
            <w:tcBorders>
              <w:top w:val="single" w:sz="8" w:space="0" w:color="000000"/>
              <w:left w:val="single" w:sz="8" w:space="0" w:color="000000"/>
              <w:bottom w:val="single" w:sz="8" w:space="0" w:color="000000"/>
              <w:right w:val="single" w:sz="8" w:space="0" w:color="000000"/>
            </w:tcBorders>
            <w:shd w:val="clear" w:color="auto" w:fill="95B3D7" w:themeFill="accent1" w:themeFillTint="99"/>
            <w:tcMar>
              <w:top w:w="10" w:type="dxa"/>
              <w:left w:w="10" w:type="dxa"/>
              <w:bottom w:w="0" w:type="dxa"/>
              <w:right w:w="10" w:type="dxa"/>
            </w:tcMar>
            <w:vAlign w:val="center"/>
            <w:hideMark/>
          </w:tcPr>
          <w:p w14:paraId="7F7D28E0" w14:textId="77777777" w:rsidR="000A66EF" w:rsidRPr="00984B2C" w:rsidRDefault="000A66EF" w:rsidP="00713A56">
            <w:pPr>
              <w:jc w:val="center"/>
              <w:rPr>
                <w:rFonts w:asciiTheme="minorHAnsi" w:hAnsiTheme="minorHAnsi" w:cstheme="minorHAnsi"/>
                <w:sz w:val="22"/>
                <w:szCs w:val="22"/>
                <w:lang w:val="en-IN"/>
              </w:rPr>
            </w:pPr>
            <w:r w:rsidRPr="00984B2C">
              <w:rPr>
                <w:rFonts w:asciiTheme="minorHAnsi" w:hAnsiTheme="minorHAnsi" w:cstheme="minorHAnsi"/>
                <w:b/>
                <w:bCs/>
                <w:sz w:val="22"/>
                <w:szCs w:val="22"/>
                <w:lang w:val="en-IN"/>
              </w:rPr>
              <w:t>87</w:t>
            </w:r>
          </w:p>
        </w:tc>
        <w:tc>
          <w:tcPr>
            <w:tcW w:w="1112" w:type="dxa"/>
            <w:tcBorders>
              <w:top w:val="single" w:sz="8" w:space="0" w:color="000000"/>
              <w:left w:val="single" w:sz="8" w:space="0" w:color="000000"/>
              <w:bottom w:val="single" w:sz="8" w:space="0" w:color="000000"/>
              <w:right w:val="single" w:sz="8" w:space="0" w:color="000000"/>
            </w:tcBorders>
            <w:shd w:val="clear" w:color="auto" w:fill="95B3D7" w:themeFill="accent1" w:themeFillTint="99"/>
            <w:tcMar>
              <w:top w:w="10" w:type="dxa"/>
              <w:left w:w="10" w:type="dxa"/>
              <w:bottom w:w="0" w:type="dxa"/>
              <w:right w:w="10" w:type="dxa"/>
            </w:tcMar>
            <w:vAlign w:val="center"/>
            <w:hideMark/>
          </w:tcPr>
          <w:p w14:paraId="7F961826" w14:textId="77777777" w:rsidR="000A66EF" w:rsidRPr="00984B2C" w:rsidRDefault="000A66EF" w:rsidP="00713A56">
            <w:pPr>
              <w:jc w:val="center"/>
              <w:rPr>
                <w:rFonts w:asciiTheme="minorHAnsi" w:hAnsiTheme="minorHAnsi" w:cstheme="minorHAnsi"/>
                <w:sz w:val="22"/>
                <w:szCs w:val="22"/>
                <w:lang w:val="en-IN"/>
              </w:rPr>
            </w:pPr>
          </w:p>
        </w:tc>
        <w:tc>
          <w:tcPr>
            <w:tcW w:w="1580" w:type="dxa"/>
            <w:tcBorders>
              <w:top w:val="single" w:sz="8" w:space="0" w:color="000000"/>
              <w:left w:val="single" w:sz="8" w:space="0" w:color="000000"/>
              <w:bottom w:val="single" w:sz="8" w:space="0" w:color="000000"/>
              <w:right w:val="single" w:sz="8" w:space="0" w:color="000000"/>
            </w:tcBorders>
            <w:shd w:val="clear" w:color="auto" w:fill="95B3D7" w:themeFill="accent1" w:themeFillTint="99"/>
            <w:tcMar>
              <w:top w:w="10" w:type="dxa"/>
              <w:left w:w="10" w:type="dxa"/>
              <w:bottom w:w="0" w:type="dxa"/>
              <w:right w:w="10" w:type="dxa"/>
            </w:tcMar>
            <w:vAlign w:val="center"/>
            <w:hideMark/>
          </w:tcPr>
          <w:p w14:paraId="3C2976E5" w14:textId="77777777" w:rsidR="000A66EF" w:rsidRPr="00984B2C" w:rsidRDefault="000A66EF" w:rsidP="00713A56">
            <w:pPr>
              <w:jc w:val="center"/>
              <w:rPr>
                <w:rFonts w:asciiTheme="minorHAnsi" w:hAnsiTheme="minorHAnsi" w:cstheme="minorHAnsi"/>
                <w:sz w:val="22"/>
                <w:szCs w:val="22"/>
                <w:lang w:val="en-IN"/>
              </w:rPr>
            </w:pPr>
          </w:p>
        </w:tc>
        <w:tc>
          <w:tcPr>
            <w:tcW w:w="1301" w:type="dxa"/>
            <w:tcBorders>
              <w:top w:val="single" w:sz="8" w:space="0" w:color="000000"/>
              <w:left w:val="single" w:sz="8" w:space="0" w:color="000000"/>
              <w:bottom w:val="single" w:sz="8" w:space="0" w:color="000000"/>
              <w:right w:val="single" w:sz="8" w:space="0" w:color="000000"/>
            </w:tcBorders>
            <w:shd w:val="clear" w:color="auto" w:fill="95B3D7" w:themeFill="accent1" w:themeFillTint="99"/>
            <w:tcMar>
              <w:top w:w="10" w:type="dxa"/>
              <w:left w:w="10" w:type="dxa"/>
              <w:bottom w:w="0" w:type="dxa"/>
              <w:right w:w="10" w:type="dxa"/>
            </w:tcMar>
            <w:vAlign w:val="center"/>
            <w:hideMark/>
          </w:tcPr>
          <w:p w14:paraId="1DC30A3B" w14:textId="77777777" w:rsidR="000A66EF" w:rsidRPr="00984B2C" w:rsidRDefault="000A66EF" w:rsidP="00713A56">
            <w:pPr>
              <w:jc w:val="center"/>
              <w:rPr>
                <w:rFonts w:asciiTheme="minorHAnsi" w:hAnsiTheme="minorHAnsi" w:cstheme="minorHAnsi"/>
                <w:sz w:val="22"/>
                <w:szCs w:val="22"/>
                <w:lang w:val="en-IN"/>
              </w:rPr>
            </w:pPr>
            <w:r w:rsidRPr="00984B2C">
              <w:rPr>
                <w:rFonts w:asciiTheme="minorHAnsi" w:hAnsiTheme="minorHAnsi" w:cstheme="minorHAnsi"/>
                <w:b/>
                <w:bCs/>
                <w:sz w:val="22"/>
                <w:szCs w:val="22"/>
                <w:lang w:val="en-IN"/>
              </w:rPr>
              <w:t>1.91</w:t>
            </w:r>
          </w:p>
        </w:tc>
      </w:tr>
      <w:tr w:rsidR="000A66EF" w:rsidRPr="00984B2C" w14:paraId="57615FEA" w14:textId="77777777" w:rsidTr="009F1B7A">
        <w:trPr>
          <w:trHeight w:val="404"/>
        </w:trPr>
        <w:tc>
          <w:tcPr>
            <w:tcW w:w="2753" w:type="dxa"/>
            <w:tcBorders>
              <w:top w:val="single" w:sz="8" w:space="0" w:color="000000"/>
              <w:left w:val="single" w:sz="8" w:space="0" w:color="000000"/>
              <w:bottom w:val="single" w:sz="8" w:space="0" w:color="000000"/>
              <w:right w:val="single" w:sz="8" w:space="0" w:color="000000"/>
            </w:tcBorders>
            <w:shd w:val="clear" w:color="auto" w:fill="auto"/>
            <w:tcMar>
              <w:top w:w="10" w:type="dxa"/>
              <w:left w:w="10" w:type="dxa"/>
              <w:bottom w:w="0" w:type="dxa"/>
              <w:right w:w="10" w:type="dxa"/>
            </w:tcMar>
            <w:vAlign w:val="center"/>
            <w:hideMark/>
          </w:tcPr>
          <w:p w14:paraId="7B002A67" w14:textId="77777777" w:rsidR="000A66EF" w:rsidRPr="00984B2C" w:rsidRDefault="000A66EF" w:rsidP="00713A56">
            <w:pPr>
              <w:rPr>
                <w:rFonts w:asciiTheme="minorHAnsi" w:hAnsiTheme="minorHAnsi" w:cstheme="minorHAnsi"/>
                <w:sz w:val="22"/>
                <w:szCs w:val="22"/>
                <w:lang w:val="en-IN"/>
              </w:rPr>
            </w:pPr>
            <w:proofErr w:type="spellStart"/>
            <w:r w:rsidRPr="00984B2C">
              <w:rPr>
                <w:rFonts w:asciiTheme="minorHAnsi" w:hAnsiTheme="minorHAnsi" w:cstheme="minorHAnsi"/>
                <w:sz w:val="22"/>
                <w:szCs w:val="22"/>
              </w:rPr>
              <w:t>Specialised</w:t>
            </w:r>
            <w:proofErr w:type="spellEnd"/>
            <w:r w:rsidRPr="00984B2C">
              <w:rPr>
                <w:rFonts w:asciiTheme="minorHAnsi" w:hAnsiTheme="minorHAnsi" w:cstheme="minorHAnsi"/>
                <w:sz w:val="22"/>
                <w:szCs w:val="22"/>
              </w:rPr>
              <w:t xml:space="preserve"> Solar Training and Spare &amp; Consumables</w:t>
            </w:r>
          </w:p>
        </w:tc>
        <w:tc>
          <w:tcPr>
            <w:tcW w:w="5493" w:type="dxa"/>
            <w:gridSpan w:val="4"/>
            <w:tcBorders>
              <w:top w:val="single" w:sz="8" w:space="0" w:color="000000"/>
              <w:left w:val="single" w:sz="8" w:space="0" w:color="000000"/>
              <w:bottom w:val="single" w:sz="8" w:space="0" w:color="000000"/>
              <w:right w:val="single" w:sz="8" w:space="0" w:color="000000"/>
            </w:tcBorders>
            <w:shd w:val="clear" w:color="auto" w:fill="auto"/>
            <w:tcMar>
              <w:top w:w="10" w:type="dxa"/>
              <w:left w:w="10" w:type="dxa"/>
              <w:bottom w:w="0" w:type="dxa"/>
              <w:right w:w="10" w:type="dxa"/>
            </w:tcMar>
            <w:vAlign w:val="center"/>
            <w:hideMark/>
          </w:tcPr>
          <w:p w14:paraId="5067AC00" w14:textId="77777777" w:rsidR="000A66EF" w:rsidRPr="00984B2C" w:rsidRDefault="000A66EF" w:rsidP="00713A56">
            <w:pPr>
              <w:jc w:val="center"/>
              <w:rPr>
                <w:rFonts w:asciiTheme="minorHAnsi" w:hAnsiTheme="minorHAnsi" w:cstheme="minorHAnsi"/>
                <w:sz w:val="22"/>
                <w:szCs w:val="22"/>
                <w:lang w:val="en-IN"/>
              </w:rPr>
            </w:pPr>
          </w:p>
        </w:tc>
        <w:tc>
          <w:tcPr>
            <w:tcW w:w="1301" w:type="dxa"/>
            <w:tcBorders>
              <w:top w:val="single" w:sz="8" w:space="0" w:color="000000"/>
              <w:left w:val="single" w:sz="8" w:space="0" w:color="000000"/>
              <w:bottom w:val="single" w:sz="8" w:space="0" w:color="000000"/>
              <w:right w:val="single" w:sz="8" w:space="0" w:color="000000"/>
            </w:tcBorders>
            <w:shd w:val="clear" w:color="auto" w:fill="auto"/>
            <w:tcMar>
              <w:top w:w="10" w:type="dxa"/>
              <w:left w:w="10" w:type="dxa"/>
              <w:bottom w:w="0" w:type="dxa"/>
              <w:right w:w="10" w:type="dxa"/>
            </w:tcMar>
            <w:vAlign w:val="center"/>
            <w:hideMark/>
          </w:tcPr>
          <w:p w14:paraId="343E5C22" w14:textId="77777777" w:rsidR="000A66EF" w:rsidRPr="00984B2C" w:rsidRDefault="000A66EF" w:rsidP="00713A56">
            <w:pPr>
              <w:jc w:val="center"/>
              <w:rPr>
                <w:rFonts w:asciiTheme="minorHAnsi" w:hAnsiTheme="minorHAnsi" w:cstheme="minorHAnsi"/>
                <w:sz w:val="22"/>
                <w:szCs w:val="22"/>
                <w:lang w:val="en-IN"/>
              </w:rPr>
            </w:pPr>
            <w:r w:rsidRPr="00984B2C">
              <w:rPr>
                <w:rFonts w:asciiTheme="minorHAnsi" w:hAnsiTheme="minorHAnsi" w:cstheme="minorHAnsi"/>
                <w:sz w:val="22"/>
                <w:szCs w:val="22"/>
                <w:lang w:val="en-IN"/>
              </w:rPr>
              <w:t>0.52</w:t>
            </w:r>
          </w:p>
        </w:tc>
      </w:tr>
      <w:tr w:rsidR="000A66EF" w:rsidRPr="00984B2C" w14:paraId="32CB4544" w14:textId="77777777" w:rsidTr="009F1B7A">
        <w:trPr>
          <w:trHeight w:val="236"/>
        </w:trPr>
        <w:tc>
          <w:tcPr>
            <w:tcW w:w="4442" w:type="dxa"/>
            <w:gridSpan w:val="2"/>
            <w:tcBorders>
              <w:top w:val="single" w:sz="8" w:space="0" w:color="000000"/>
              <w:left w:val="single" w:sz="8" w:space="0" w:color="000000"/>
              <w:bottom w:val="single" w:sz="8" w:space="0" w:color="000000"/>
              <w:right w:val="single" w:sz="8" w:space="0" w:color="000000"/>
            </w:tcBorders>
            <w:shd w:val="clear" w:color="auto" w:fill="95B3D7" w:themeFill="accent1" w:themeFillTint="99"/>
            <w:tcMar>
              <w:top w:w="10" w:type="dxa"/>
              <w:left w:w="10" w:type="dxa"/>
              <w:bottom w:w="0" w:type="dxa"/>
              <w:right w:w="10" w:type="dxa"/>
            </w:tcMar>
            <w:vAlign w:val="center"/>
            <w:hideMark/>
          </w:tcPr>
          <w:p w14:paraId="4DA96C7F" w14:textId="77777777" w:rsidR="000A66EF" w:rsidRPr="00984B2C" w:rsidRDefault="000A66EF" w:rsidP="00713A56">
            <w:pPr>
              <w:jc w:val="center"/>
              <w:rPr>
                <w:rFonts w:asciiTheme="minorHAnsi" w:hAnsiTheme="minorHAnsi" w:cstheme="minorHAnsi"/>
                <w:sz w:val="22"/>
                <w:szCs w:val="22"/>
                <w:lang w:val="en-IN"/>
              </w:rPr>
            </w:pPr>
            <w:r w:rsidRPr="00984B2C">
              <w:rPr>
                <w:rFonts w:asciiTheme="minorHAnsi" w:hAnsiTheme="minorHAnsi" w:cstheme="minorHAnsi"/>
                <w:b/>
                <w:bCs/>
                <w:sz w:val="22"/>
                <w:szCs w:val="22"/>
                <w:lang w:val="en-IN"/>
              </w:rPr>
              <w:t>Grand Total</w:t>
            </w:r>
          </w:p>
        </w:tc>
        <w:tc>
          <w:tcPr>
            <w:tcW w:w="3805" w:type="dxa"/>
            <w:gridSpan w:val="3"/>
            <w:tcBorders>
              <w:top w:val="single" w:sz="8" w:space="0" w:color="000000"/>
              <w:left w:val="single" w:sz="8" w:space="0" w:color="000000"/>
              <w:bottom w:val="single" w:sz="8" w:space="0" w:color="000000"/>
              <w:right w:val="single" w:sz="8" w:space="0" w:color="000000"/>
            </w:tcBorders>
            <w:shd w:val="clear" w:color="auto" w:fill="95B3D7" w:themeFill="accent1" w:themeFillTint="99"/>
            <w:tcMar>
              <w:top w:w="10" w:type="dxa"/>
              <w:left w:w="10" w:type="dxa"/>
              <w:bottom w:w="0" w:type="dxa"/>
              <w:right w:w="10" w:type="dxa"/>
            </w:tcMar>
            <w:vAlign w:val="center"/>
            <w:hideMark/>
          </w:tcPr>
          <w:p w14:paraId="77B431D4" w14:textId="77777777" w:rsidR="000A66EF" w:rsidRPr="00984B2C" w:rsidRDefault="000A66EF" w:rsidP="00713A56">
            <w:pPr>
              <w:jc w:val="center"/>
              <w:rPr>
                <w:rFonts w:asciiTheme="minorHAnsi" w:hAnsiTheme="minorHAnsi" w:cstheme="minorHAnsi"/>
                <w:sz w:val="22"/>
                <w:szCs w:val="22"/>
                <w:lang w:val="en-IN"/>
              </w:rPr>
            </w:pPr>
          </w:p>
        </w:tc>
        <w:tc>
          <w:tcPr>
            <w:tcW w:w="1301" w:type="dxa"/>
            <w:tcBorders>
              <w:top w:val="single" w:sz="8" w:space="0" w:color="000000"/>
              <w:left w:val="single" w:sz="8" w:space="0" w:color="000000"/>
              <w:bottom w:val="single" w:sz="8" w:space="0" w:color="000000"/>
              <w:right w:val="single" w:sz="8" w:space="0" w:color="000000"/>
            </w:tcBorders>
            <w:shd w:val="clear" w:color="auto" w:fill="95B3D7" w:themeFill="accent1" w:themeFillTint="99"/>
            <w:tcMar>
              <w:top w:w="10" w:type="dxa"/>
              <w:left w:w="10" w:type="dxa"/>
              <w:bottom w:w="0" w:type="dxa"/>
              <w:right w:w="10" w:type="dxa"/>
            </w:tcMar>
            <w:vAlign w:val="center"/>
            <w:hideMark/>
          </w:tcPr>
          <w:p w14:paraId="56E88F38" w14:textId="77777777" w:rsidR="000A66EF" w:rsidRPr="00984B2C" w:rsidRDefault="000A66EF" w:rsidP="00713A56">
            <w:pPr>
              <w:jc w:val="center"/>
              <w:rPr>
                <w:rFonts w:asciiTheme="minorHAnsi" w:hAnsiTheme="minorHAnsi" w:cstheme="minorHAnsi"/>
                <w:sz w:val="22"/>
                <w:szCs w:val="22"/>
                <w:lang w:val="en-IN"/>
              </w:rPr>
            </w:pPr>
            <w:r w:rsidRPr="00984B2C">
              <w:rPr>
                <w:rFonts w:asciiTheme="minorHAnsi" w:hAnsiTheme="minorHAnsi" w:cstheme="minorHAnsi"/>
                <w:b/>
                <w:bCs/>
                <w:sz w:val="22"/>
                <w:szCs w:val="22"/>
                <w:lang w:val="en-IN"/>
              </w:rPr>
              <w:t>2.43</w:t>
            </w:r>
          </w:p>
        </w:tc>
      </w:tr>
    </w:tbl>
    <w:p w14:paraId="355E9AEA" w14:textId="77777777" w:rsidR="00B950EE" w:rsidRPr="00153204" w:rsidRDefault="00B950EE" w:rsidP="00E02343">
      <w:pPr>
        <w:pStyle w:val="NoSpacing"/>
        <w:spacing w:line="360" w:lineRule="auto"/>
        <w:jc w:val="both"/>
        <w:rPr>
          <w:rFonts w:asciiTheme="minorHAnsi" w:hAnsiTheme="minorHAnsi" w:cstheme="minorHAnsi"/>
        </w:rPr>
      </w:pPr>
    </w:p>
    <w:p w14:paraId="3D469878" w14:textId="0E9DF2BA" w:rsidR="00775CA2" w:rsidRPr="00153204" w:rsidRDefault="00641891" w:rsidP="002F48ED">
      <w:pPr>
        <w:spacing w:line="360" w:lineRule="auto"/>
        <w:ind w:left="567"/>
        <w:jc w:val="both"/>
        <w:rPr>
          <w:rFonts w:asciiTheme="minorHAnsi" w:hAnsiTheme="minorHAnsi" w:cstheme="minorHAnsi"/>
          <w:b/>
          <w:sz w:val="22"/>
          <w:szCs w:val="22"/>
        </w:rPr>
      </w:pPr>
      <w:r w:rsidRPr="00153204">
        <w:rPr>
          <w:rFonts w:asciiTheme="minorHAnsi" w:hAnsiTheme="minorHAnsi" w:cstheme="minorHAnsi"/>
          <w:b/>
          <w:sz w:val="22"/>
          <w:szCs w:val="22"/>
        </w:rPr>
        <w:t xml:space="preserve">The licensee most humbly prays that, </w:t>
      </w:r>
      <w:r w:rsidR="00D554B5" w:rsidRPr="00153204">
        <w:rPr>
          <w:rFonts w:asciiTheme="minorHAnsi" w:hAnsiTheme="minorHAnsi" w:cstheme="minorHAnsi"/>
          <w:b/>
          <w:sz w:val="22"/>
          <w:szCs w:val="22"/>
        </w:rPr>
        <w:t>the</w:t>
      </w:r>
      <w:r w:rsidR="00A27BAB" w:rsidRPr="00153204">
        <w:rPr>
          <w:rFonts w:asciiTheme="minorHAnsi" w:hAnsiTheme="minorHAnsi" w:cstheme="minorHAnsi"/>
          <w:b/>
          <w:sz w:val="22"/>
          <w:szCs w:val="22"/>
        </w:rPr>
        <w:t xml:space="preserve"> actual expenses incurred </w:t>
      </w:r>
      <w:r w:rsidR="00D554B5" w:rsidRPr="00153204">
        <w:rPr>
          <w:rFonts w:asciiTheme="minorHAnsi" w:hAnsiTheme="minorHAnsi" w:cstheme="minorHAnsi"/>
          <w:b/>
          <w:sz w:val="22"/>
          <w:szCs w:val="22"/>
        </w:rPr>
        <w:t xml:space="preserve">towards </w:t>
      </w:r>
      <w:r w:rsidR="00A27BAB" w:rsidRPr="00153204">
        <w:rPr>
          <w:rFonts w:asciiTheme="minorHAnsi" w:hAnsiTheme="minorHAnsi" w:cstheme="minorHAnsi"/>
          <w:b/>
          <w:sz w:val="22"/>
          <w:szCs w:val="22"/>
        </w:rPr>
        <w:t xml:space="preserve">the </w:t>
      </w:r>
      <w:r w:rsidR="00D554B5" w:rsidRPr="00153204">
        <w:rPr>
          <w:rFonts w:asciiTheme="minorHAnsi" w:hAnsiTheme="minorHAnsi" w:cstheme="minorHAnsi"/>
          <w:b/>
          <w:sz w:val="22"/>
          <w:szCs w:val="22"/>
        </w:rPr>
        <w:t>maintenance of Solar installations m</w:t>
      </w:r>
      <w:r w:rsidR="00A27BAB" w:rsidRPr="00153204">
        <w:rPr>
          <w:rFonts w:asciiTheme="minorHAnsi" w:hAnsiTheme="minorHAnsi" w:cstheme="minorHAnsi"/>
          <w:b/>
          <w:sz w:val="22"/>
          <w:szCs w:val="22"/>
        </w:rPr>
        <w:t xml:space="preserve">ay </w:t>
      </w:r>
      <w:r w:rsidR="00A40DA4" w:rsidRPr="00153204">
        <w:rPr>
          <w:rFonts w:asciiTheme="minorHAnsi" w:hAnsiTheme="minorHAnsi" w:cstheme="minorHAnsi"/>
          <w:b/>
          <w:sz w:val="22"/>
          <w:szCs w:val="22"/>
        </w:rPr>
        <w:t>kindly be</w:t>
      </w:r>
      <w:r w:rsidR="00A27BAB" w:rsidRPr="00153204">
        <w:rPr>
          <w:rFonts w:asciiTheme="minorHAnsi" w:hAnsiTheme="minorHAnsi" w:cstheme="minorHAnsi"/>
          <w:b/>
          <w:sz w:val="22"/>
          <w:szCs w:val="22"/>
        </w:rPr>
        <w:t xml:space="preserve"> allowed in the truing up </w:t>
      </w:r>
      <w:r w:rsidR="00A40DA4" w:rsidRPr="00153204">
        <w:rPr>
          <w:rFonts w:asciiTheme="minorHAnsi" w:hAnsiTheme="minorHAnsi" w:cstheme="minorHAnsi"/>
          <w:b/>
          <w:sz w:val="22"/>
          <w:szCs w:val="22"/>
        </w:rPr>
        <w:t>exercise on</w:t>
      </w:r>
      <w:r w:rsidR="00A27BAB" w:rsidRPr="00153204">
        <w:rPr>
          <w:rFonts w:asciiTheme="minorHAnsi" w:hAnsiTheme="minorHAnsi" w:cstheme="minorHAnsi"/>
          <w:b/>
          <w:sz w:val="22"/>
          <w:szCs w:val="22"/>
        </w:rPr>
        <w:t xml:space="preserve"> ac</w:t>
      </w:r>
      <w:r w:rsidR="00D554B5" w:rsidRPr="00153204">
        <w:rPr>
          <w:rFonts w:asciiTheme="minorHAnsi" w:hAnsiTheme="minorHAnsi" w:cstheme="minorHAnsi"/>
          <w:b/>
          <w:sz w:val="22"/>
          <w:szCs w:val="22"/>
        </w:rPr>
        <w:t>t</w:t>
      </w:r>
      <w:r w:rsidR="00A27BAB" w:rsidRPr="00153204">
        <w:rPr>
          <w:rFonts w:asciiTheme="minorHAnsi" w:hAnsiTheme="minorHAnsi" w:cstheme="minorHAnsi"/>
          <w:b/>
          <w:sz w:val="22"/>
          <w:szCs w:val="22"/>
        </w:rPr>
        <w:t>ual basis,</w:t>
      </w:r>
      <w:r w:rsidRPr="00153204">
        <w:rPr>
          <w:rFonts w:asciiTheme="minorHAnsi" w:hAnsiTheme="minorHAnsi" w:cstheme="minorHAnsi"/>
          <w:b/>
          <w:sz w:val="22"/>
          <w:szCs w:val="22"/>
        </w:rPr>
        <w:t xml:space="preserve"> </w:t>
      </w:r>
      <w:r w:rsidR="00D554B5" w:rsidRPr="00153204">
        <w:rPr>
          <w:rFonts w:asciiTheme="minorHAnsi" w:hAnsiTheme="minorHAnsi" w:cstheme="minorHAnsi"/>
          <w:b/>
          <w:sz w:val="22"/>
          <w:szCs w:val="22"/>
        </w:rPr>
        <w:t>and</w:t>
      </w:r>
      <w:r w:rsidRPr="00153204">
        <w:rPr>
          <w:rFonts w:asciiTheme="minorHAnsi" w:hAnsiTheme="minorHAnsi" w:cstheme="minorHAnsi"/>
          <w:b/>
          <w:sz w:val="22"/>
          <w:szCs w:val="22"/>
        </w:rPr>
        <w:t xml:space="preserve"> may be considered over and above the R&amp;M cost approved for the </w:t>
      </w:r>
      <w:r w:rsidR="00A27BAB" w:rsidRPr="00153204">
        <w:rPr>
          <w:rFonts w:asciiTheme="minorHAnsi" w:hAnsiTheme="minorHAnsi" w:cstheme="minorHAnsi"/>
          <w:b/>
          <w:sz w:val="22"/>
          <w:szCs w:val="22"/>
        </w:rPr>
        <w:t xml:space="preserve">corresponding </w:t>
      </w:r>
      <w:r w:rsidRPr="00153204">
        <w:rPr>
          <w:rFonts w:asciiTheme="minorHAnsi" w:hAnsiTheme="minorHAnsi" w:cstheme="minorHAnsi"/>
          <w:b/>
          <w:sz w:val="22"/>
          <w:szCs w:val="22"/>
        </w:rPr>
        <w:t xml:space="preserve">financial year.  </w:t>
      </w:r>
    </w:p>
    <w:p w14:paraId="65D4618F" w14:textId="19B724AF" w:rsidR="00547D36" w:rsidRDefault="00547D36" w:rsidP="00A40DA4">
      <w:pPr>
        <w:spacing w:line="360" w:lineRule="auto"/>
        <w:jc w:val="both"/>
        <w:rPr>
          <w:rFonts w:asciiTheme="minorHAnsi" w:hAnsiTheme="minorHAnsi" w:cstheme="minorHAnsi"/>
          <w:b/>
          <w:sz w:val="22"/>
          <w:szCs w:val="22"/>
        </w:rPr>
      </w:pPr>
    </w:p>
    <w:p w14:paraId="5168A24A" w14:textId="7020BDEE" w:rsidR="00641891" w:rsidRPr="00A40DA4" w:rsidRDefault="00641891" w:rsidP="00151F22">
      <w:pPr>
        <w:spacing w:line="360" w:lineRule="auto"/>
        <w:ind w:left="567"/>
        <w:jc w:val="both"/>
        <w:rPr>
          <w:rFonts w:asciiTheme="minorHAnsi" w:hAnsiTheme="minorHAnsi" w:cstheme="minorHAnsi"/>
          <w:b/>
          <w:szCs w:val="22"/>
        </w:rPr>
      </w:pPr>
      <w:r w:rsidRPr="00A40DA4">
        <w:rPr>
          <w:rFonts w:asciiTheme="minorHAnsi" w:hAnsiTheme="minorHAnsi" w:cstheme="minorHAnsi"/>
          <w:b/>
          <w:szCs w:val="22"/>
        </w:rPr>
        <w:t>2.7.</w:t>
      </w:r>
      <w:r w:rsidR="000860B0">
        <w:rPr>
          <w:rFonts w:asciiTheme="minorHAnsi" w:hAnsiTheme="minorHAnsi" w:cstheme="minorHAnsi"/>
          <w:b/>
          <w:szCs w:val="22"/>
        </w:rPr>
        <w:t>6</w:t>
      </w:r>
      <w:r w:rsidRPr="00A40DA4">
        <w:rPr>
          <w:rFonts w:asciiTheme="minorHAnsi" w:hAnsiTheme="minorHAnsi" w:cstheme="minorHAnsi"/>
          <w:b/>
          <w:szCs w:val="22"/>
        </w:rPr>
        <w:t xml:space="preserve">. </w:t>
      </w:r>
      <w:r w:rsidR="0050755D" w:rsidRPr="00A40DA4">
        <w:rPr>
          <w:rFonts w:asciiTheme="minorHAnsi" w:hAnsiTheme="minorHAnsi" w:cstheme="minorHAnsi"/>
          <w:b/>
          <w:szCs w:val="22"/>
        </w:rPr>
        <w:t>Proposed</w:t>
      </w:r>
      <w:r w:rsidRPr="00A40DA4">
        <w:rPr>
          <w:rFonts w:asciiTheme="minorHAnsi" w:hAnsiTheme="minorHAnsi" w:cstheme="minorHAnsi"/>
          <w:b/>
          <w:szCs w:val="22"/>
        </w:rPr>
        <w:t xml:space="preserve"> R&amp;M expenses for FY 2</w:t>
      </w:r>
      <w:r w:rsidR="00D52244" w:rsidRPr="00A40DA4">
        <w:rPr>
          <w:rFonts w:asciiTheme="minorHAnsi" w:hAnsiTheme="minorHAnsi" w:cstheme="minorHAnsi"/>
          <w:b/>
          <w:szCs w:val="22"/>
        </w:rPr>
        <w:t>02</w:t>
      </w:r>
      <w:r w:rsidR="00FA10AF" w:rsidRPr="00A40DA4">
        <w:rPr>
          <w:rFonts w:asciiTheme="minorHAnsi" w:hAnsiTheme="minorHAnsi" w:cstheme="minorHAnsi"/>
          <w:b/>
          <w:szCs w:val="22"/>
        </w:rPr>
        <w:t>5</w:t>
      </w:r>
      <w:r w:rsidRPr="00A40DA4">
        <w:rPr>
          <w:rFonts w:asciiTheme="minorHAnsi" w:hAnsiTheme="minorHAnsi" w:cstheme="minorHAnsi"/>
          <w:b/>
          <w:szCs w:val="22"/>
        </w:rPr>
        <w:t>-2</w:t>
      </w:r>
      <w:r w:rsidR="00FA10AF" w:rsidRPr="00A40DA4">
        <w:rPr>
          <w:rFonts w:asciiTheme="minorHAnsi" w:hAnsiTheme="minorHAnsi" w:cstheme="minorHAnsi"/>
          <w:b/>
          <w:szCs w:val="22"/>
        </w:rPr>
        <w:t>6</w:t>
      </w:r>
    </w:p>
    <w:p w14:paraId="6AA5E261" w14:textId="5C757C98" w:rsidR="002D5B0A" w:rsidRDefault="00513B19" w:rsidP="00E02343">
      <w:pPr>
        <w:spacing w:line="360" w:lineRule="auto"/>
        <w:ind w:left="567"/>
        <w:jc w:val="both"/>
        <w:rPr>
          <w:rFonts w:asciiTheme="minorHAnsi" w:hAnsiTheme="minorHAnsi" w:cstheme="minorHAnsi"/>
          <w:sz w:val="22"/>
          <w:szCs w:val="22"/>
        </w:rPr>
      </w:pPr>
      <w:r w:rsidRPr="00153204">
        <w:rPr>
          <w:rFonts w:asciiTheme="minorHAnsi" w:hAnsiTheme="minorHAnsi" w:cstheme="minorHAnsi"/>
          <w:sz w:val="22"/>
          <w:szCs w:val="22"/>
        </w:rPr>
        <w:t>T</w:t>
      </w:r>
      <w:r w:rsidR="005421E7" w:rsidRPr="00153204">
        <w:rPr>
          <w:rFonts w:asciiTheme="minorHAnsi" w:hAnsiTheme="minorHAnsi" w:cstheme="minorHAnsi"/>
          <w:sz w:val="22"/>
          <w:szCs w:val="22"/>
        </w:rPr>
        <w:t xml:space="preserve">he licensee has estimated </w:t>
      </w:r>
      <w:r w:rsidR="00775CA2" w:rsidRPr="00153204">
        <w:rPr>
          <w:rFonts w:asciiTheme="minorHAnsi" w:hAnsiTheme="minorHAnsi" w:cstheme="minorHAnsi"/>
          <w:sz w:val="22"/>
          <w:szCs w:val="22"/>
        </w:rPr>
        <w:t xml:space="preserve">R&amp;M Cost of </w:t>
      </w:r>
      <w:r w:rsidR="001A2772" w:rsidRPr="00153204">
        <w:rPr>
          <w:rFonts w:asciiTheme="minorHAnsi" w:hAnsiTheme="minorHAnsi" w:cstheme="minorHAnsi"/>
          <w:b/>
          <w:sz w:val="22"/>
          <w:szCs w:val="22"/>
        </w:rPr>
        <w:t>Rs.</w:t>
      </w:r>
      <w:r w:rsidR="005421E7" w:rsidRPr="00153204">
        <w:rPr>
          <w:rFonts w:asciiTheme="minorHAnsi" w:hAnsiTheme="minorHAnsi" w:cstheme="minorHAnsi"/>
          <w:b/>
          <w:sz w:val="22"/>
          <w:szCs w:val="22"/>
        </w:rPr>
        <w:t xml:space="preserve"> </w:t>
      </w:r>
      <w:r w:rsidR="006F4FB9">
        <w:rPr>
          <w:rFonts w:asciiTheme="minorHAnsi" w:hAnsiTheme="minorHAnsi" w:cstheme="minorHAnsi"/>
          <w:b/>
          <w:sz w:val="22"/>
          <w:szCs w:val="22"/>
        </w:rPr>
        <w:t>288.</w:t>
      </w:r>
      <w:r w:rsidR="006246AE">
        <w:rPr>
          <w:rFonts w:asciiTheme="minorHAnsi" w:hAnsiTheme="minorHAnsi" w:cstheme="minorHAnsi"/>
          <w:b/>
          <w:sz w:val="22"/>
          <w:szCs w:val="22"/>
        </w:rPr>
        <w:t xml:space="preserve">70 </w:t>
      </w:r>
      <w:proofErr w:type="spellStart"/>
      <w:r w:rsidR="005F3507" w:rsidRPr="00153204">
        <w:rPr>
          <w:rFonts w:asciiTheme="minorHAnsi" w:hAnsiTheme="minorHAnsi" w:cstheme="minorHAnsi"/>
          <w:b/>
          <w:sz w:val="22"/>
          <w:szCs w:val="22"/>
        </w:rPr>
        <w:t>Crs</w:t>
      </w:r>
      <w:proofErr w:type="spellEnd"/>
      <w:r w:rsidR="005F3507" w:rsidRPr="00153204">
        <w:rPr>
          <w:rFonts w:asciiTheme="minorHAnsi" w:hAnsiTheme="minorHAnsi" w:cstheme="minorHAnsi"/>
          <w:sz w:val="22"/>
          <w:szCs w:val="22"/>
        </w:rPr>
        <w:t xml:space="preserve"> in FY 202</w:t>
      </w:r>
      <w:r w:rsidR="006F4FB9">
        <w:rPr>
          <w:rFonts w:asciiTheme="minorHAnsi" w:hAnsiTheme="minorHAnsi" w:cstheme="minorHAnsi"/>
          <w:sz w:val="22"/>
          <w:szCs w:val="22"/>
        </w:rPr>
        <w:t>5</w:t>
      </w:r>
      <w:r w:rsidR="005F3507" w:rsidRPr="00153204">
        <w:rPr>
          <w:rFonts w:asciiTheme="minorHAnsi" w:hAnsiTheme="minorHAnsi" w:cstheme="minorHAnsi"/>
          <w:sz w:val="22"/>
          <w:szCs w:val="22"/>
        </w:rPr>
        <w:t>-2</w:t>
      </w:r>
      <w:r w:rsidR="006F4FB9">
        <w:rPr>
          <w:rFonts w:asciiTheme="minorHAnsi" w:hAnsiTheme="minorHAnsi" w:cstheme="minorHAnsi"/>
          <w:sz w:val="22"/>
          <w:szCs w:val="22"/>
        </w:rPr>
        <w:t>6</w:t>
      </w:r>
      <w:r w:rsidR="005F3507" w:rsidRPr="00153204">
        <w:rPr>
          <w:rFonts w:asciiTheme="minorHAnsi" w:hAnsiTheme="minorHAnsi" w:cstheme="minorHAnsi"/>
          <w:sz w:val="22"/>
          <w:szCs w:val="22"/>
        </w:rPr>
        <w:t xml:space="preserve"> based on the contracts already issued for maintenance of network and the critical activities planned to be carried out for improving the quality and reliability of power supply for the consumers.</w:t>
      </w:r>
    </w:p>
    <w:p w14:paraId="2239C7CF" w14:textId="77777777" w:rsidR="00A40DA4" w:rsidRPr="00153204" w:rsidRDefault="00A40DA4" w:rsidP="00E02343">
      <w:pPr>
        <w:spacing w:line="360" w:lineRule="auto"/>
        <w:ind w:left="567"/>
        <w:jc w:val="both"/>
        <w:rPr>
          <w:rFonts w:asciiTheme="minorHAnsi" w:hAnsiTheme="minorHAnsi" w:cstheme="minorHAnsi"/>
          <w:sz w:val="22"/>
          <w:szCs w:val="22"/>
        </w:rPr>
      </w:pPr>
    </w:p>
    <w:p w14:paraId="6D62C7C1" w14:textId="679A2BAD" w:rsidR="007B3C88" w:rsidRDefault="00044816" w:rsidP="001D6218">
      <w:pPr>
        <w:spacing w:line="360" w:lineRule="auto"/>
        <w:ind w:left="709"/>
        <w:jc w:val="both"/>
        <w:rPr>
          <w:rFonts w:asciiTheme="minorHAnsi" w:hAnsiTheme="minorHAnsi" w:cstheme="minorHAnsi"/>
          <w:b/>
          <w:sz w:val="22"/>
          <w:szCs w:val="22"/>
        </w:rPr>
      </w:pPr>
      <w:r w:rsidRPr="00153204">
        <w:rPr>
          <w:rFonts w:asciiTheme="minorHAnsi" w:hAnsiTheme="minorHAnsi" w:cstheme="minorHAnsi"/>
          <w:b/>
          <w:sz w:val="22"/>
          <w:szCs w:val="22"/>
        </w:rPr>
        <w:t xml:space="preserve">Hon’ble Commission is most humbly requested to approve the R&amp;M expenses </w:t>
      </w:r>
      <w:r w:rsidR="008D09A3" w:rsidRPr="00153204">
        <w:rPr>
          <w:rFonts w:asciiTheme="minorHAnsi" w:hAnsiTheme="minorHAnsi" w:cstheme="minorHAnsi"/>
          <w:b/>
          <w:sz w:val="22"/>
          <w:szCs w:val="22"/>
        </w:rPr>
        <w:t xml:space="preserve">                               </w:t>
      </w:r>
      <w:r w:rsidR="001A2772" w:rsidRPr="00153204">
        <w:rPr>
          <w:rFonts w:asciiTheme="minorHAnsi" w:hAnsiTheme="minorHAnsi" w:cstheme="minorHAnsi"/>
          <w:b/>
          <w:sz w:val="22"/>
          <w:szCs w:val="22"/>
        </w:rPr>
        <w:t>Rs.</w:t>
      </w:r>
      <w:r w:rsidR="007F3AB8">
        <w:rPr>
          <w:rFonts w:asciiTheme="minorHAnsi" w:hAnsiTheme="minorHAnsi" w:cstheme="minorHAnsi"/>
          <w:b/>
          <w:sz w:val="22"/>
          <w:szCs w:val="22"/>
        </w:rPr>
        <w:t>288.</w:t>
      </w:r>
      <w:r w:rsidR="006246AE">
        <w:rPr>
          <w:rFonts w:asciiTheme="minorHAnsi" w:hAnsiTheme="minorHAnsi" w:cstheme="minorHAnsi"/>
          <w:b/>
          <w:sz w:val="22"/>
          <w:szCs w:val="22"/>
        </w:rPr>
        <w:t>70</w:t>
      </w:r>
      <w:r w:rsidR="005421E7" w:rsidRPr="00153204">
        <w:rPr>
          <w:rFonts w:asciiTheme="minorHAnsi" w:hAnsiTheme="minorHAnsi" w:cstheme="minorHAnsi"/>
          <w:b/>
          <w:sz w:val="22"/>
          <w:szCs w:val="22"/>
        </w:rPr>
        <w:t xml:space="preserve"> </w:t>
      </w:r>
      <w:proofErr w:type="spellStart"/>
      <w:proofErr w:type="gramStart"/>
      <w:r w:rsidRPr="00153204">
        <w:rPr>
          <w:rFonts w:asciiTheme="minorHAnsi" w:hAnsiTheme="minorHAnsi" w:cstheme="minorHAnsi"/>
          <w:b/>
          <w:sz w:val="22"/>
          <w:szCs w:val="22"/>
        </w:rPr>
        <w:t>Crs</w:t>
      </w:r>
      <w:proofErr w:type="spellEnd"/>
      <w:r w:rsidR="007F3AB8">
        <w:rPr>
          <w:rFonts w:asciiTheme="minorHAnsi" w:hAnsiTheme="minorHAnsi" w:cstheme="minorHAnsi"/>
          <w:b/>
          <w:sz w:val="22"/>
          <w:szCs w:val="22"/>
        </w:rPr>
        <w:t xml:space="preserve">  along</w:t>
      </w:r>
      <w:proofErr w:type="gramEnd"/>
      <w:r w:rsidR="007F3AB8">
        <w:rPr>
          <w:rFonts w:asciiTheme="minorHAnsi" w:hAnsiTheme="minorHAnsi" w:cstheme="minorHAnsi"/>
          <w:b/>
          <w:sz w:val="22"/>
          <w:szCs w:val="22"/>
        </w:rPr>
        <w:t xml:space="preserve"> with Rs.</w:t>
      </w:r>
      <w:r w:rsidR="006246AE">
        <w:rPr>
          <w:rFonts w:asciiTheme="minorHAnsi" w:hAnsiTheme="minorHAnsi" w:cstheme="minorHAnsi"/>
          <w:b/>
          <w:sz w:val="22"/>
          <w:szCs w:val="22"/>
        </w:rPr>
        <w:t xml:space="preserve"> </w:t>
      </w:r>
      <w:r w:rsidR="007F3AB8">
        <w:rPr>
          <w:rFonts w:asciiTheme="minorHAnsi" w:hAnsiTheme="minorHAnsi" w:cstheme="minorHAnsi"/>
          <w:b/>
          <w:sz w:val="22"/>
          <w:szCs w:val="22"/>
        </w:rPr>
        <w:t>2.43Crs for maintenance of Solar Micro-grids</w:t>
      </w:r>
      <w:r w:rsidRPr="00153204">
        <w:rPr>
          <w:rFonts w:asciiTheme="minorHAnsi" w:hAnsiTheme="minorHAnsi" w:cstheme="minorHAnsi"/>
          <w:b/>
          <w:sz w:val="22"/>
          <w:szCs w:val="22"/>
        </w:rPr>
        <w:t xml:space="preserve"> for the FY 202</w:t>
      </w:r>
      <w:r w:rsidR="007F3AB8">
        <w:rPr>
          <w:rFonts w:asciiTheme="minorHAnsi" w:hAnsiTheme="minorHAnsi" w:cstheme="minorHAnsi"/>
          <w:b/>
          <w:sz w:val="22"/>
          <w:szCs w:val="22"/>
        </w:rPr>
        <w:t>5</w:t>
      </w:r>
      <w:r w:rsidRPr="00153204">
        <w:rPr>
          <w:rFonts w:asciiTheme="minorHAnsi" w:hAnsiTheme="minorHAnsi" w:cstheme="minorHAnsi"/>
          <w:b/>
          <w:sz w:val="22"/>
          <w:szCs w:val="22"/>
        </w:rPr>
        <w:t>-2</w:t>
      </w:r>
      <w:r w:rsidR="007F3AB8">
        <w:rPr>
          <w:rFonts w:asciiTheme="minorHAnsi" w:hAnsiTheme="minorHAnsi" w:cstheme="minorHAnsi"/>
          <w:b/>
          <w:sz w:val="22"/>
          <w:szCs w:val="22"/>
        </w:rPr>
        <w:t>6</w:t>
      </w:r>
      <w:r w:rsidRPr="00153204">
        <w:rPr>
          <w:rFonts w:asciiTheme="minorHAnsi" w:hAnsiTheme="minorHAnsi" w:cstheme="minorHAnsi"/>
          <w:b/>
          <w:sz w:val="22"/>
          <w:szCs w:val="22"/>
        </w:rPr>
        <w:t xml:space="preserve">. </w:t>
      </w:r>
    </w:p>
    <w:p w14:paraId="49384140" w14:textId="110AB950" w:rsidR="007F3AB8" w:rsidRDefault="007B3C88" w:rsidP="00E02343">
      <w:pPr>
        <w:spacing w:line="360" w:lineRule="auto"/>
        <w:jc w:val="both"/>
        <w:rPr>
          <w:rFonts w:asciiTheme="minorHAnsi" w:hAnsiTheme="minorHAnsi" w:cstheme="minorHAnsi"/>
          <w:b/>
          <w:sz w:val="22"/>
          <w:szCs w:val="22"/>
        </w:rPr>
      </w:pPr>
      <w:r w:rsidRPr="00153204">
        <w:rPr>
          <w:rFonts w:asciiTheme="minorHAnsi" w:hAnsiTheme="minorHAnsi" w:cstheme="minorHAnsi"/>
          <w:noProof/>
          <w:sz w:val="22"/>
          <w:szCs w:val="22"/>
          <w:lang w:val="en-IN" w:eastAsia="en-IN"/>
        </w:rPr>
        <mc:AlternateContent>
          <mc:Choice Requires="wps">
            <w:drawing>
              <wp:anchor distT="0" distB="0" distL="114300" distR="114300" simplePos="0" relativeHeight="251979264" behindDoc="1" locked="0" layoutInCell="1" allowOverlap="1" wp14:anchorId="5F0246C5" wp14:editId="62B12FED">
                <wp:simplePos x="0" y="0"/>
                <wp:positionH relativeFrom="margin">
                  <wp:posOffset>368300</wp:posOffset>
                </wp:positionH>
                <wp:positionV relativeFrom="paragraph">
                  <wp:posOffset>256540</wp:posOffset>
                </wp:positionV>
                <wp:extent cx="5480685" cy="314960"/>
                <wp:effectExtent l="0" t="0" r="24765" b="27940"/>
                <wp:wrapSquare wrapText="bothSides"/>
                <wp:docPr id="212922810" name="Rectangle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480685" cy="314960"/>
                        </a:xfrm>
                        <a:prstGeom prst="rect">
                          <a:avLst/>
                        </a:prstGeom>
                        <a:solidFill>
                          <a:srgbClr val="1F497D">
                            <a:lumMod val="20000"/>
                            <a:lumOff val="80000"/>
                          </a:srgbClr>
                        </a:solidFill>
                        <a:ln w="9525">
                          <a:solidFill>
                            <a:srgbClr val="000000"/>
                          </a:solidFill>
                          <a:miter lim="800000"/>
                          <a:headEnd/>
                          <a:tailEnd/>
                        </a:ln>
                      </wps:spPr>
                      <wps:txbx>
                        <w:txbxContent>
                          <w:p w14:paraId="5192B375" w14:textId="041AE74B" w:rsidR="00535B24" w:rsidRPr="00E560A3" w:rsidRDefault="00535B24" w:rsidP="007B3C88">
                            <w:pPr>
                              <w:rPr>
                                <w:rFonts w:asciiTheme="minorHAnsi" w:hAnsiTheme="minorHAnsi" w:cstheme="minorHAnsi"/>
                                <w:b/>
                                <w:sz w:val="28"/>
                                <w:szCs w:val="28"/>
                                <w:lang w:val="en-IN"/>
                              </w:rPr>
                            </w:pPr>
                            <w:r w:rsidRPr="00E560A3">
                              <w:rPr>
                                <w:rFonts w:asciiTheme="minorHAnsi" w:hAnsiTheme="minorHAnsi" w:cstheme="minorHAnsi"/>
                                <w:b/>
                                <w:sz w:val="28"/>
                                <w:szCs w:val="28"/>
                                <w:lang w:val="en-IN"/>
                              </w:rPr>
                              <w:t>2</w:t>
                            </w:r>
                            <w:r>
                              <w:rPr>
                                <w:rFonts w:asciiTheme="minorHAnsi" w:hAnsiTheme="minorHAnsi" w:cstheme="minorHAnsi"/>
                                <w:b/>
                                <w:sz w:val="28"/>
                                <w:szCs w:val="28"/>
                                <w:lang w:val="en-IN"/>
                              </w:rPr>
                              <w:t>.8 Provision for Bad and Doubtful Debts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F0246C5" id="_x0000_s1035" style="position:absolute;left:0;text-align:left;margin-left:29pt;margin-top:20.2pt;width:431.55pt;height:24.8pt;z-index:-25133721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" fillcolor="#c6d9f1">
                <v:textbox>
                  <w:txbxContent>
                    <w:p w14:paraId="5192B375" w14:textId="041AE74B" w:rsidR="00535B24" w:rsidRPr="00E560A3" w:rsidRDefault="00535B24" w:rsidP="007B3C88">
                      <w:pPr>
                        <w:rPr>
                          <w:rFonts w:asciiTheme="minorHAnsi" w:hAnsiTheme="minorHAnsi" w:cstheme="minorHAnsi"/>
                          <w:b/>
                          <w:sz w:val="28"/>
                          <w:szCs w:val="28"/>
                          <w:lang w:val="en-IN"/>
                        </w:rPr>
                      </w:pPr>
                      <w:r w:rsidRPr="00E560A3">
                        <w:rPr>
                          <w:rFonts w:asciiTheme="minorHAnsi" w:hAnsiTheme="minorHAnsi" w:cstheme="minorHAnsi"/>
                          <w:b/>
                          <w:sz w:val="28"/>
                          <w:szCs w:val="28"/>
                          <w:lang w:val="en-IN"/>
                        </w:rPr>
                        <w:t>2</w:t>
                      </w:r>
                      <w:r>
                        <w:rPr>
                          <w:rFonts w:asciiTheme="minorHAnsi" w:hAnsiTheme="minorHAnsi" w:cstheme="minorHAnsi"/>
                          <w:b/>
                          <w:sz w:val="28"/>
                          <w:szCs w:val="28"/>
                          <w:lang w:val="en-IN"/>
                        </w:rPr>
                        <w:t>.8 Provision for Bad and Doubtful Debts</w:t>
                      </w:r>
                    </w:p>
                  </w:txbxContent>
                </v:textbox>
                <w10:wrap type="square" anchorx="margin"/>
              </v:rect>
            </w:pict>
          </mc:Fallback>
        </mc:AlternateContent>
      </w:r>
    </w:p>
    <w:p w14:paraId="454C11E9" w14:textId="38399EE4" w:rsidR="007F3AB8" w:rsidRDefault="007F3AB8" w:rsidP="002334A3">
      <w:pPr>
        <w:spacing w:line="360" w:lineRule="auto"/>
        <w:ind w:left="709"/>
        <w:jc w:val="both"/>
        <w:rPr>
          <w:rFonts w:asciiTheme="minorHAnsi" w:hAnsiTheme="minorHAnsi" w:cstheme="minorHAnsi"/>
          <w:b/>
          <w:sz w:val="22"/>
          <w:szCs w:val="22"/>
        </w:rPr>
      </w:pPr>
    </w:p>
    <w:p w14:paraId="24B8B8C4" w14:textId="1698C66D" w:rsidR="007B4580" w:rsidRPr="00153204" w:rsidRDefault="00530F0D" w:rsidP="00E02343">
      <w:pPr>
        <w:spacing w:line="360" w:lineRule="auto"/>
        <w:ind w:left="567"/>
        <w:jc w:val="both"/>
        <w:rPr>
          <w:rFonts w:asciiTheme="minorHAnsi" w:hAnsiTheme="minorHAnsi" w:cstheme="minorHAnsi"/>
          <w:sz w:val="22"/>
          <w:szCs w:val="22"/>
        </w:rPr>
      </w:pPr>
      <w:r w:rsidRPr="00153204">
        <w:rPr>
          <w:rFonts w:asciiTheme="minorHAnsi" w:hAnsiTheme="minorHAnsi" w:cstheme="minorHAnsi"/>
          <w:sz w:val="22"/>
          <w:szCs w:val="22"/>
        </w:rPr>
        <w:t>The Petitioner</w:t>
      </w:r>
      <w:r w:rsidR="00181E31">
        <w:rPr>
          <w:rFonts w:asciiTheme="minorHAnsi" w:hAnsiTheme="minorHAnsi" w:cstheme="minorHAnsi"/>
          <w:sz w:val="22"/>
          <w:szCs w:val="22"/>
        </w:rPr>
        <w:t xml:space="preserve"> has considered the non-collecti</w:t>
      </w:r>
      <w:r w:rsidRPr="00153204">
        <w:rPr>
          <w:rFonts w:asciiTheme="minorHAnsi" w:hAnsiTheme="minorHAnsi" w:cstheme="minorHAnsi"/>
          <w:sz w:val="22"/>
          <w:szCs w:val="22"/>
        </w:rPr>
        <w:t>ble amount based on the collection efficiency</w:t>
      </w:r>
      <w:r w:rsidR="005877B6" w:rsidRPr="00153204">
        <w:rPr>
          <w:rFonts w:asciiTheme="minorHAnsi" w:hAnsiTheme="minorHAnsi" w:cstheme="minorHAnsi"/>
          <w:sz w:val="22"/>
          <w:szCs w:val="22"/>
        </w:rPr>
        <w:t xml:space="preserve"> </w:t>
      </w:r>
      <w:r w:rsidRPr="00153204">
        <w:rPr>
          <w:rFonts w:asciiTheme="minorHAnsi" w:hAnsiTheme="minorHAnsi" w:cstheme="minorHAnsi"/>
          <w:sz w:val="22"/>
          <w:szCs w:val="22"/>
        </w:rPr>
        <w:t>(99%) as bad and doubtful debts while estimating the ARR for FY 202</w:t>
      </w:r>
      <w:r w:rsidR="007B3C88">
        <w:rPr>
          <w:rFonts w:asciiTheme="minorHAnsi" w:hAnsiTheme="minorHAnsi" w:cstheme="minorHAnsi"/>
          <w:sz w:val="22"/>
          <w:szCs w:val="22"/>
        </w:rPr>
        <w:t>5</w:t>
      </w:r>
      <w:r w:rsidRPr="00153204">
        <w:rPr>
          <w:rFonts w:asciiTheme="minorHAnsi" w:hAnsiTheme="minorHAnsi" w:cstheme="minorHAnsi"/>
          <w:sz w:val="22"/>
          <w:szCs w:val="22"/>
        </w:rPr>
        <w:t>-2</w:t>
      </w:r>
      <w:r w:rsidR="007B3C88">
        <w:rPr>
          <w:rFonts w:asciiTheme="minorHAnsi" w:hAnsiTheme="minorHAnsi" w:cstheme="minorHAnsi"/>
          <w:sz w:val="22"/>
          <w:szCs w:val="22"/>
        </w:rPr>
        <w:t>6</w:t>
      </w:r>
      <w:r w:rsidRPr="00153204">
        <w:rPr>
          <w:rFonts w:asciiTheme="minorHAnsi" w:hAnsiTheme="minorHAnsi" w:cstheme="minorHAnsi"/>
          <w:sz w:val="22"/>
          <w:szCs w:val="22"/>
        </w:rPr>
        <w:t>. Considering the proposed collectio</w:t>
      </w:r>
      <w:r w:rsidR="00CC51C2" w:rsidRPr="00153204">
        <w:rPr>
          <w:rFonts w:asciiTheme="minorHAnsi" w:hAnsiTheme="minorHAnsi" w:cstheme="minorHAnsi"/>
          <w:sz w:val="22"/>
          <w:szCs w:val="22"/>
        </w:rPr>
        <w:t xml:space="preserve">n </w:t>
      </w:r>
      <w:r w:rsidR="00CC51C2" w:rsidRPr="00153204">
        <w:rPr>
          <w:rFonts w:asciiTheme="minorHAnsi" w:hAnsiTheme="minorHAnsi" w:cstheme="minorHAnsi"/>
          <w:sz w:val="22"/>
          <w:szCs w:val="22"/>
        </w:rPr>
        <w:lastRenderedPageBreak/>
        <w:t>inefficiency of 1% for FY 202</w:t>
      </w:r>
      <w:r w:rsidR="007B3C88">
        <w:rPr>
          <w:rFonts w:asciiTheme="minorHAnsi" w:hAnsiTheme="minorHAnsi" w:cstheme="minorHAnsi"/>
          <w:sz w:val="22"/>
          <w:szCs w:val="22"/>
        </w:rPr>
        <w:t>5</w:t>
      </w:r>
      <w:r w:rsidRPr="00153204">
        <w:rPr>
          <w:rFonts w:asciiTheme="minorHAnsi" w:hAnsiTheme="minorHAnsi" w:cstheme="minorHAnsi"/>
          <w:sz w:val="22"/>
          <w:szCs w:val="22"/>
        </w:rPr>
        <w:t>-2</w:t>
      </w:r>
      <w:r w:rsidR="007B3C88">
        <w:rPr>
          <w:rFonts w:asciiTheme="minorHAnsi" w:hAnsiTheme="minorHAnsi" w:cstheme="minorHAnsi"/>
          <w:sz w:val="22"/>
          <w:szCs w:val="22"/>
        </w:rPr>
        <w:t>6</w:t>
      </w:r>
      <w:r w:rsidRPr="00153204">
        <w:rPr>
          <w:rFonts w:asciiTheme="minorHAnsi" w:hAnsiTheme="minorHAnsi" w:cstheme="minorHAnsi"/>
          <w:sz w:val="22"/>
          <w:szCs w:val="22"/>
        </w:rPr>
        <w:t xml:space="preserve">, provisions for bad and doubtful debts at 1% on total </w:t>
      </w:r>
      <w:proofErr w:type="gramStart"/>
      <w:r w:rsidRPr="00153204">
        <w:rPr>
          <w:rFonts w:asciiTheme="minorHAnsi" w:hAnsiTheme="minorHAnsi" w:cstheme="minorHAnsi"/>
          <w:sz w:val="22"/>
          <w:szCs w:val="22"/>
        </w:rPr>
        <w:t xml:space="preserve">sales  </w:t>
      </w:r>
      <w:r w:rsidR="001A2772" w:rsidRPr="00153204">
        <w:rPr>
          <w:rFonts w:asciiTheme="minorHAnsi" w:hAnsiTheme="minorHAnsi" w:cstheme="minorHAnsi"/>
          <w:sz w:val="22"/>
          <w:szCs w:val="22"/>
        </w:rPr>
        <w:t>Rs</w:t>
      </w:r>
      <w:proofErr w:type="gramEnd"/>
      <w:r w:rsidR="001A2772" w:rsidRPr="00153204">
        <w:rPr>
          <w:rFonts w:asciiTheme="minorHAnsi" w:hAnsiTheme="minorHAnsi" w:cstheme="minorHAnsi"/>
          <w:sz w:val="22"/>
          <w:szCs w:val="22"/>
        </w:rPr>
        <w:t>.</w:t>
      </w:r>
      <w:r w:rsidR="005071C2" w:rsidRPr="00153204">
        <w:rPr>
          <w:rFonts w:asciiTheme="minorHAnsi" w:hAnsiTheme="minorHAnsi" w:cstheme="minorHAnsi"/>
          <w:sz w:val="22"/>
          <w:szCs w:val="22"/>
        </w:rPr>
        <w:t xml:space="preserve"> </w:t>
      </w:r>
      <w:r w:rsidRPr="00153204">
        <w:rPr>
          <w:rFonts w:asciiTheme="minorHAnsi" w:hAnsiTheme="minorHAnsi" w:cstheme="minorHAnsi"/>
          <w:sz w:val="22"/>
          <w:szCs w:val="22"/>
        </w:rPr>
        <w:t xml:space="preserve"> </w:t>
      </w:r>
      <w:r w:rsidR="007B3C88">
        <w:rPr>
          <w:rFonts w:asciiTheme="minorHAnsi" w:hAnsiTheme="minorHAnsi" w:cstheme="minorHAnsi"/>
          <w:sz w:val="22"/>
          <w:szCs w:val="22"/>
        </w:rPr>
        <w:t>4</w:t>
      </w:r>
      <w:r w:rsidR="00F43858">
        <w:rPr>
          <w:rFonts w:asciiTheme="minorHAnsi" w:hAnsiTheme="minorHAnsi" w:cstheme="minorHAnsi"/>
          <w:sz w:val="22"/>
          <w:szCs w:val="22"/>
        </w:rPr>
        <w:t>4</w:t>
      </w:r>
      <w:r w:rsidR="007B3C88">
        <w:rPr>
          <w:rFonts w:asciiTheme="minorHAnsi" w:hAnsiTheme="minorHAnsi" w:cstheme="minorHAnsi"/>
          <w:sz w:val="22"/>
          <w:szCs w:val="22"/>
        </w:rPr>
        <w:t>.</w:t>
      </w:r>
      <w:r w:rsidR="00F43858">
        <w:rPr>
          <w:rFonts w:asciiTheme="minorHAnsi" w:hAnsiTheme="minorHAnsi" w:cstheme="minorHAnsi"/>
          <w:sz w:val="22"/>
          <w:szCs w:val="22"/>
        </w:rPr>
        <w:t>99</w:t>
      </w:r>
      <w:r w:rsidR="00D52244">
        <w:rPr>
          <w:rFonts w:asciiTheme="minorHAnsi" w:hAnsiTheme="minorHAnsi" w:cstheme="minorHAnsi"/>
          <w:sz w:val="22"/>
          <w:szCs w:val="22"/>
        </w:rPr>
        <w:t xml:space="preserve"> </w:t>
      </w:r>
      <w:proofErr w:type="spellStart"/>
      <w:r w:rsidR="00E9417A" w:rsidRPr="00153204">
        <w:rPr>
          <w:rFonts w:asciiTheme="minorHAnsi" w:hAnsiTheme="minorHAnsi" w:cstheme="minorHAnsi"/>
          <w:sz w:val="22"/>
          <w:szCs w:val="22"/>
        </w:rPr>
        <w:t>C</w:t>
      </w:r>
      <w:r w:rsidRPr="00153204">
        <w:rPr>
          <w:rFonts w:asciiTheme="minorHAnsi" w:hAnsiTheme="minorHAnsi" w:cstheme="minorHAnsi"/>
          <w:sz w:val="22"/>
          <w:szCs w:val="22"/>
        </w:rPr>
        <w:t>rs</w:t>
      </w:r>
      <w:proofErr w:type="spellEnd"/>
      <w:r w:rsidRPr="00153204">
        <w:rPr>
          <w:rFonts w:asciiTheme="minorHAnsi" w:hAnsiTheme="minorHAnsi" w:cstheme="minorHAnsi"/>
          <w:sz w:val="22"/>
          <w:szCs w:val="22"/>
        </w:rPr>
        <w:t xml:space="preserve"> has been considered as part of ARR for FY 202</w:t>
      </w:r>
      <w:r w:rsidR="007B3C88">
        <w:rPr>
          <w:rFonts w:asciiTheme="minorHAnsi" w:hAnsiTheme="minorHAnsi" w:cstheme="minorHAnsi"/>
          <w:sz w:val="22"/>
          <w:szCs w:val="22"/>
        </w:rPr>
        <w:t>5</w:t>
      </w:r>
      <w:r w:rsidRPr="00153204">
        <w:rPr>
          <w:rFonts w:asciiTheme="minorHAnsi" w:hAnsiTheme="minorHAnsi" w:cstheme="minorHAnsi"/>
          <w:sz w:val="22"/>
          <w:szCs w:val="22"/>
        </w:rPr>
        <w:t>-2</w:t>
      </w:r>
      <w:r w:rsidR="007B3C88">
        <w:rPr>
          <w:rFonts w:asciiTheme="minorHAnsi" w:hAnsiTheme="minorHAnsi" w:cstheme="minorHAnsi"/>
          <w:sz w:val="22"/>
          <w:szCs w:val="22"/>
        </w:rPr>
        <w:t>6</w:t>
      </w:r>
      <w:r w:rsidRPr="00153204">
        <w:rPr>
          <w:rFonts w:asciiTheme="minorHAnsi" w:hAnsiTheme="minorHAnsi" w:cstheme="minorHAnsi"/>
          <w:sz w:val="22"/>
          <w:szCs w:val="22"/>
        </w:rPr>
        <w:t xml:space="preserve">. </w:t>
      </w:r>
    </w:p>
    <w:p w14:paraId="329D428C" w14:textId="77777777" w:rsidR="007B4580" w:rsidRPr="00153204" w:rsidRDefault="007B4580" w:rsidP="002334A3">
      <w:pPr>
        <w:spacing w:line="360" w:lineRule="auto"/>
        <w:ind w:left="709"/>
        <w:jc w:val="both"/>
        <w:rPr>
          <w:rFonts w:asciiTheme="minorHAnsi" w:hAnsiTheme="minorHAnsi" w:cstheme="minorHAnsi"/>
          <w:sz w:val="22"/>
          <w:szCs w:val="22"/>
        </w:rPr>
      </w:pPr>
    </w:p>
    <w:p w14:paraId="4618432E" w14:textId="3980FEE6" w:rsidR="00AE1A7A" w:rsidRDefault="00530F0D" w:rsidP="00E02343">
      <w:pPr>
        <w:spacing w:line="360" w:lineRule="auto"/>
        <w:ind w:left="567"/>
        <w:jc w:val="both"/>
        <w:rPr>
          <w:rFonts w:asciiTheme="minorHAnsi" w:hAnsiTheme="minorHAnsi" w:cstheme="minorHAnsi"/>
          <w:sz w:val="22"/>
          <w:szCs w:val="22"/>
        </w:rPr>
      </w:pPr>
      <w:r w:rsidRPr="00153204">
        <w:rPr>
          <w:rFonts w:asciiTheme="minorHAnsi" w:hAnsiTheme="minorHAnsi" w:cstheme="minorHAnsi"/>
          <w:sz w:val="22"/>
          <w:szCs w:val="22"/>
        </w:rPr>
        <w:t>The Petitioner humbly requests the Hon’ble Commission to consider the same to enable the Petitioner to recover its entire costs after duly considering the performance levels.</w:t>
      </w:r>
    </w:p>
    <w:p w14:paraId="2273FCBF" w14:textId="0592E1A9" w:rsidR="007B3C88" w:rsidRDefault="00FA10AF" w:rsidP="00FA10AF">
      <w:pPr>
        <w:spacing w:line="360" w:lineRule="auto"/>
        <w:jc w:val="both"/>
        <w:rPr>
          <w:rFonts w:asciiTheme="minorHAnsi" w:hAnsiTheme="minorHAnsi" w:cstheme="minorHAnsi"/>
          <w:sz w:val="22"/>
          <w:szCs w:val="22"/>
        </w:rPr>
      </w:pPr>
      <w:r w:rsidRPr="00153204">
        <w:rPr>
          <w:rFonts w:asciiTheme="minorHAnsi" w:hAnsiTheme="minorHAnsi" w:cstheme="minorHAnsi"/>
          <w:noProof/>
          <w:sz w:val="22"/>
          <w:szCs w:val="22"/>
          <w:lang w:val="en-IN" w:eastAsia="en-IN"/>
        </w:rPr>
        <mc:AlternateContent>
          <mc:Choice Requires="wps">
            <w:drawing>
              <wp:anchor distT="0" distB="0" distL="114300" distR="114300" simplePos="0" relativeHeight="251981312" behindDoc="1" locked="0" layoutInCell="1" allowOverlap="1" wp14:anchorId="388FB08D" wp14:editId="0647C8DA">
                <wp:simplePos x="0" y="0"/>
                <wp:positionH relativeFrom="margin">
                  <wp:posOffset>377825</wp:posOffset>
                </wp:positionH>
                <wp:positionV relativeFrom="paragraph">
                  <wp:posOffset>92075</wp:posOffset>
                </wp:positionV>
                <wp:extent cx="5534025" cy="314960"/>
                <wp:effectExtent l="0" t="0" r="28575" b="27940"/>
                <wp:wrapSquare wrapText="bothSides"/>
                <wp:docPr id="212922811" name="Rectangle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534025" cy="314960"/>
                        </a:xfrm>
                        <a:prstGeom prst="rect">
                          <a:avLst/>
                        </a:prstGeom>
                        <a:solidFill>
                          <a:srgbClr val="1F497D">
                            <a:lumMod val="20000"/>
                            <a:lumOff val="80000"/>
                          </a:srgbClr>
                        </a:solidFill>
                        <a:ln w="9525">
                          <a:solidFill>
                            <a:srgbClr val="000000"/>
                          </a:solidFill>
                          <a:miter lim="800000"/>
                          <a:headEnd/>
                          <a:tailEnd/>
                        </a:ln>
                      </wps:spPr>
                      <wps:txbx>
                        <w:txbxContent>
                          <w:p w14:paraId="75220719" w14:textId="5AA9C9D1" w:rsidR="00535B24" w:rsidRPr="00E560A3" w:rsidRDefault="00535B24" w:rsidP="007B3C88">
                            <w:pPr>
                              <w:rPr>
                                <w:rFonts w:asciiTheme="minorHAnsi" w:hAnsiTheme="minorHAnsi" w:cstheme="minorHAnsi"/>
                                <w:b/>
                                <w:sz w:val="28"/>
                                <w:szCs w:val="28"/>
                                <w:lang w:val="en-IN"/>
                              </w:rPr>
                            </w:pPr>
                            <w:r w:rsidRPr="00E560A3">
                              <w:rPr>
                                <w:rFonts w:asciiTheme="minorHAnsi" w:hAnsiTheme="minorHAnsi" w:cstheme="minorHAnsi"/>
                                <w:b/>
                                <w:sz w:val="28"/>
                                <w:szCs w:val="28"/>
                                <w:lang w:val="en-IN"/>
                              </w:rPr>
                              <w:t>2</w:t>
                            </w:r>
                            <w:r>
                              <w:rPr>
                                <w:rFonts w:asciiTheme="minorHAnsi" w:hAnsiTheme="minorHAnsi" w:cstheme="minorHAnsi"/>
                                <w:b/>
                                <w:sz w:val="28"/>
                                <w:szCs w:val="28"/>
                                <w:lang w:val="en-IN"/>
                              </w:rPr>
                              <w:t>.9 Depreciation</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88FB08D" id="_x0000_s1036" style="position:absolute;left:0;text-align:left;margin-left:29.75pt;margin-top:7.25pt;width:435.75pt;height:24.8pt;z-index:-25133516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" fillcolor="#c6d9f1">
                <v:textbox>
                  <w:txbxContent>
                    <w:p w14:paraId="75220719" w14:textId="5AA9C9D1" w:rsidR="00535B24" w:rsidRPr="00E560A3" w:rsidRDefault="00535B24" w:rsidP="007B3C88">
                      <w:pPr>
                        <w:rPr>
                          <w:rFonts w:asciiTheme="minorHAnsi" w:hAnsiTheme="minorHAnsi" w:cstheme="minorHAnsi"/>
                          <w:b/>
                          <w:sz w:val="28"/>
                          <w:szCs w:val="28"/>
                          <w:lang w:val="en-IN"/>
                        </w:rPr>
                      </w:pPr>
                      <w:r w:rsidRPr="00E560A3">
                        <w:rPr>
                          <w:rFonts w:asciiTheme="minorHAnsi" w:hAnsiTheme="minorHAnsi" w:cstheme="minorHAnsi"/>
                          <w:b/>
                          <w:sz w:val="28"/>
                          <w:szCs w:val="28"/>
                          <w:lang w:val="en-IN"/>
                        </w:rPr>
                        <w:t>2</w:t>
                      </w:r>
                      <w:r>
                        <w:rPr>
                          <w:rFonts w:asciiTheme="minorHAnsi" w:hAnsiTheme="minorHAnsi" w:cstheme="minorHAnsi"/>
                          <w:b/>
                          <w:sz w:val="28"/>
                          <w:szCs w:val="28"/>
                          <w:lang w:val="en-IN"/>
                        </w:rPr>
                        <w:t>.9 Depreciation</w:t>
                      </w:r>
                    </w:p>
                  </w:txbxContent>
                </v:textbox>
                <w10:wrap type="square" anchorx="margin"/>
              </v:rect>
            </w:pict>
          </mc:Fallback>
        </mc:AlternateContent>
      </w:r>
    </w:p>
    <w:p w14:paraId="556A25EE" w14:textId="0911A927" w:rsidR="00FA10AF" w:rsidRDefault="00FA10AF" w:rsidP="00FA10AF">
      <w:pPr>
        <w:spacing w:line="360" w:lineRule="auto"/>
        <w:jc w:val="both"/>
        <w:rPr>
          <w:rFonts w:asciiTheme="minorHAnsi" w:hAnsiTheme="minorHAnsi" w:cstheme="minorHAnsi"/>
          <w:sz w:val="22"/>
          <w:szCs w:val="22"/>
        </w:rPr>
      </w:pPr>
    </w:p>
    <w:p w14:paraId="6352C065" w14:textId="77777777" w:rsidR="00FA10AF" w:rsidRDefault="00FA10AF" w:rsidP="00FA10AF">
      <w:pPr>
        <w:spacing w:line="360" w:lineRule="auto"/>
        <w:jc w:val="both"/>
        <w:rPr>
          <w:rFonts w:asciiTheme="minorHAnsi" w:hAnsiTheme="minorHAnsi" w:cstheme="minorHAnsi"/>
          <w:sz w:val="22"/>
          <w:szCs w:val="22"/>
        </w:rPr>
      </w:pPr>
    </w:p>
    <w:p w14:paraId="1D5F4F64" w14:textId="71E869C2" w:rsidR="00034DB4" w:rsidRPr="00153204" w:rsidRDefault="00034DB4" w:rsidP="002F7D52">
      <w:pPr>
        <w:pStyle w:val="BodyText"/>
        <w:spacing w:before="7" w:line="360" w:lineRule="auto"/>
        <w:ind w:left="567"/>
        <w:rPr>
          <w:rFonts w:asciiTheme="minorHAnsi" w:hAnsiTheme="minorHAnsi" w:cstheme="minorHAnsi"/>
          <w:sz w:val="22"/>
          <w:szCs w:val="22"/>
        </w:rPr>
      </w:pPr>
      <w:r w:rsidRPr="00153204">
        <w:rPr>
          <w:rFonts w:asciiTheme="minorHAnsi" w:hAnsiTheme="minorHAnsi" w:cstheme="minorHAnsi"/>
          <w:sz w:val="22"/>
          <w:szCs w:val="22"/>
        </w:rPr>
        <w:t>The capital investments to be made by TPNODL has been allowed recovery of depreciation as per para 39(g) of the Vesting order, provisions of which reproduced hereunder</w:t>
      </w:r>
    </w:p>
    <w:p w14:paraId="6C756F17" w14:textId="77777777" w:rsidR="00034DB4" w:rsidRPr="00153204" w:rsidRDefault="00034DB4" w:rsidP="002F7D52">
      <w:pPr>
        <w:pStyle w:val="BodyText"/>
        <w:spacing w:before="7" w:line="360" w:lineRule="auto"/>
        <w:ind w:left="567"/>
        <w:jc w:val="both"/>
        <w:rPr>
          <w:rFonts w:asciiTheme="minorHAnsi" w:hAnsiTheme="minorHAnsi" w:cstheme="minorHAnsi"/>
          <w:i/>
          <w:sz w:val="22"/>
          <w:szCs w:val="22"/>
        </w:rPr>
      </w:pPr>
      <w:r w:rsidRPr="00153204">
        <w:rPr>
          <w:rFonts w:asciiTheme="minorHAnsi" w:hAnsiTheme="minorHAnsi" w:cstheme="minorHAnsi"/>
          <w:i/>
          <w:sz w:val="22"/>
          <w:szCs w:val="22"/>
        </w:rPr>
        <w:t>"39(g) The capital investments made by TPNODL shall be allowed recovery of depreciation in line with the rates prescribed in Annexure – 3 till the time applicable regulation is notified by the Commission. The depreciation rates specified in regulations shall prevail over the rates specified in Annexure – 3 as and when applicable regulation is notified by the Commission."</w:t>
      </w:r>
    </w:p>
    <w:p w14:paraId="08A7FAF9" w14:textId="4085BE63" w:rsidR="00034DB4" w:rsidRPr="00153204" w:rsidRDefault="00034DB4" w:rsidP="002F7D52">
      <w:pPr>
        <w:spacing w:line="360" w:lineRule="auto"/>
        <w:ind w:left="567"/>
        <w:jc w:val="both"/>
        <w:rPr>
          <w:rFonts w:asciiTheme="minorHAnsi" w:hAnsiTheme="minorHAnsi" w:cstheme="minorHAnsi"/>
          <w:sz w:val="22"/>
          <w:szCs w:val="22"/>
        </w:rPr>
      </w:pPr>
      <w:r w:rsidRPr="00153204">
        <w:rPr>
          <w:rFonts w:asciiTheme="minorHAnsi" w:hAnsiTheme="minorHAnsi" w:cstheme="minorHAnsi"/>
          <w:b/>
          <w:sz w:val="22"/>
          <w:szCs w:val="22"/>
        </w:rPr>
        <w:t>OERC (</w:t>
      </w:r>
      <w:r w:rsidRPr="00153204">
        <w:rPr>
          <w:rFonts w:asciiTheme="minorHAnsi" w:hAnsiTheme="minorHAnsi" w:cstheme="minorHAnsi"/>
          <w:sz w:val="22"/>
          <w:szCs w:val="22"/>
        </w:rPr>
        <w:t>Odisha</w:t>
      </w:r>
      <w:r w:rsidRPr="00153204">
        <w:rPr>
          <w:rFonts w:asciiTheme="minorHAnsi" w:hAnsiTheme="minorHAnsi" w:cstheme="minorHAnsi"/>
          <w:spacing w:val="1"/>
          <w:sz w:val="22"/>
          <w:szCs w:val="22"/>
        </w:rPr>
        <w:t xml:space="preserve"> </w:t>
      </w:r>
      <w:r w:rsidRPr="00153204">
        <w:rPr>
          <w:rFonts w:asciiTheme="minorHAnsi" w:hAnsiTheme="minorHAnsi" w:cstheme="minorHAnsi"/>
          <w:sz w:val="22"/>
          <w:szCs w:val="22"/>
        </w:rPr>
        <w:t>Electricity</w:t>
      </w:r>
      <w:r w:rsidRPr="00153204">
        <w:rPr>
          <w:rFonts w:asciiTheme="minorHAnsi" w:hAnsiTheme="minorHAnsi" w:cstheme="minorHAnsi"/>
          <w:spacing w:val="1"/>
          <w:sz w:val="22"/>
          <w:szCs w:val="22"/>
        </w:rPr>
        <w:t xml:space="preserve"> </w:t>
      </w:r>
      <w:r w:rsidRPr="00153204">
        <w:rPr>
          <w:rFonts w:asciiTheme="minorHAnsi" w:hAnsiTheme="minorHAnsi" w:cstheme="minorHAnsi"/>
          <w:sz w:val="22"/>
          <w:szCs w:val="22"/>
        </w:rPr>
        <w:t>Regulatory</w:t>
      </w:r>
      <w:r w:rsidRPr="00153204">
        <w:rPr>
          <w:rFonts w:asciiTheme="minorHAnsi" w:hAnsiTheme="minorHAnsi" w:cstheme="minorHAnsi"/>
          <w:spacing w:val="1"/>
          <w:sz w:val="22"/>
          <w:szCs w:val="22"/>
        </w:rPr>
        <w:t xml:space="preserve"> </w:t>
      </w:r>
      <w:r w:rsidRPr="00153204">
        <w:rPr>
          <w:rFonts w:asciiTheme="minorHAnsi" w:hAnsiTheme="minorHAnsi" w:cstheme="minorHAnsi"/>
          <w:sz w:val="22"/>
          <w:szCs w:val="22"/>
        </w:rPr>
        <w:t>Commission</w:t>
      </w:r>
      <w:r w:rsidRPr="00153204">
        <w:rPr>
          <w:rFonts w:asciiTheme="minorHAnsi" w:hAnsiTheme="minorHAnsi" w:cstheme="minorHAnsi"/>
          <w:spacing w:val="1"/>
          <w:sz w:val="22"/>
          <w:szCs w:val="22"/>
        </w:rPr>
        <w:t xml:space="preserve"> </w:t>
      </w:r>
      <w:r w:rsidRPr="00153204">
        <w:rPr>
          <w:rFonts w:asciiTheme="minorHAnsi" w:hAnsiTheme="minorHAnsi" w:cstheme="minorHAnsi"/>
          <w:sz w:val="22"/>
          <w:szCs w:val="22"/>
        </w:rPr>
        <w:t>(Terms and Conditions for Determination of Wheeling Tariff and Retail Supply</w:t>
      </w:r>
      <w:r w:rsidRPr="00153204">
        <w:rPr>
          <w:rFonts w:asciiTheme="minorHAnsi" w:hAnsiTheme="minorHAnsi" w:cstheme="minorHAnsi"/>
          <w:spacing w:val="1"/>
          <w:sz w:val="22"/>
          <w:szCs w:val="22"/>
        </w:rPr>
        <w:t xml:space="preserve"> </w:t>
      </w:r>
      <w:r w:rsidRPr="00153204">
        <w:rPr>
          <w:rFonts w:asciiTheme="minorHAnsi" w:hAnsiTheme="minorHAnsi" w:cstheme="minorHAnsi"/>
          <w:sz w:val="22"/>
          <w:szCs w:val="22"/>
        </w:rPr>
        <w:t>Tariff)</w:t>
      </w:r>
      <w:r w:rsidRPr="00153204">
        <w:rPr>
          <w:rFonts w:asciiTheme="minorHAnsi" w:hAnsiTheme="minorHAnsi" w:cstheme="minorHAnsi"/>
          <w:spacing w:val="3"/>
          <w:sz w:val="22"/>
          <w:szCs w:val="22"/>
        </w:rPr>
        <w:t xml:space="preserve"> </w:t>
      </w:r>
      <w:r w:rsidRPr="00153204">
        <w:rPr>
          <w:rFonts w:asciiTheme="minorHAnsi" w:hAnsiTheme="minorHAnsi" w:cstheme="minorHAnsi"/>
          <w:sz w:val="22"/>
          <w:szCs w:val="22"/>
        </w:rPr>
        <w:t>Regulations,</w:t>
      </w:r>
      <w:r w:rsidRPr="00153204">
        <w:rPr>
          <w:rFonts w:asciiTheme="minorHAnsi" w:hAnsiTheme="minorHAnsi" w:cstheme="minorHAnsi"/>
          <w:spacing w:val="4"/>
          <w:sz w:val="22"/>
          <w:szCs w:val="22"/>
        </w:rPr>
        <w:t xml:space="preserve"> </w:t>
      </w:r>
      <w:r w:rsidRPr="00153204">
        <w:rPr>
          <w:rFonts w:asciiTheme="minorHAnsi" w:hAnsiTheme="minorHAnsi" w:cstheme="minorHAnsi"/>
          <w:sz w:val="22"/>
          <w:szCs w:val="22"/>
        </w:rPr>
        <w:t>2022</w:t>
      </w:r>
      <w:r w:rsidR="00CF6131" w:rsidRPr="00153204">
        <w:rPr>
          <w:rFonts w:asciiTheme="minorHAnsi" w:hAnsiTheme="minorHAnsi" w:cstheme="minorHAnsi"/>
          <w:sz w:val="22"/>
          <w:szCs w:val="22"/>
        </w:rPr>
        <w:t xml:space="preserve"> </w:t>
      </w:r>
      <w:r w:rsidRPr="00153204">
        <w:rPr>
          <w:rFonts w:asciiTheme="minorHAnsi" w:hAnsiTheme="minorHAnsi" w:cstheme="minorHAnsi"/>
          <w:sz w:val="22"/>
          <w:szCs w:val="22"/>
        </w:rPr>
        <w:t>(herein after called “Tariff Regulation’2022”) has been notified on 20</w:t>
      </w:r>
      <w:r w:rsidRPr="00153204">
        <w:rPr>
          <w:rFonts w:asciiTheme="minorHAnsi" w:hAnsiTheme="minorHAnsi" w:cstheme="minorHAnsi"/>
          <w:sz w:val="22"/>
          <w:szCs w:val="22"/>
          <w:vertAlign w:val="superscript"/>
        </w:rPr>
        <w:t>th</w:t>
      </w:r>
      <w:r w:rsidRPr="00153204">
        <w:rPr>
          <w:rFonts w:asciiTheme="minorHAnsi" w:hAnsiTheme="minorHAnsi" w:cstheme="minorHAnsi"/>
          <w:sz w:val="22"/>
          <w:szCs w:val="22"/>
        </w:rPr>
        <w:t xml:space="preserve"> December,2022 and published </w:t>
      </w:r>
      <w:proofErr w:type="gramStart"/>
      <w:r w:rsidRPr="00153204">
        <w:rPr>
          <w:rFonts w:asciiTheme="minorHAnsi" w:hAnsiTheme="minorHAnsi" w:cstheme="minorHAnsi"/>
          <w:sz w:val="22"/>
          <w:szCs w:val="22"/>
        </w:rPr>
        <w:t xml:space="preserve">in  </w:t>
      </w:r>
      <w:r w:rsidR="00CF6131" w:rsidRPr="00153204">
        <w:rPr>
          <w:rFonts w:asciiTheme="minorHAnsi" w:hAnsiTheme="minorHAnsi" w:cstheme="minorHAnsi"/>
          <w:sz w:val="22"/>
          <w:szCs w:val="22"/>
        </w:rPr>
        <w:t>t</w:t>
      </w:r>
      <w:r w:rsidRPr="00153204">
        <w:rPr>
          <w:rFonts w:asciiTheme="minorHAnsi" w:hAnsiTheme="minorHAnsi" w:cstheme="minorHAnsi"/>
          <w:sz w:val="22"/>
          <w:szCs w:val="22"/>
        </w:rPr>
        <w:t>he</w:t>
      </w:r>
      <w:proofErr w:type="gramEnd"/>
      <w:r w:rsidRPr="00153204">
        <w:rPr>
          <w:rFonts w:asciiTheme="minorHAnsi" w:hAnsiTheme="minorHAnsi" w:cstheme="minorHAnsi"/>
          <w:sz w:val="22"/>
          <w:szCs w:val="22"/>
        </w:rPr>
        <w:t xml:space="preserve"> Gazette of Odisha No-3538 dated 23</w:t>
      </w:r>
      <w:r w:rsidRPr="00153204">
        <w:rPr>
          <w:rFonts w:asciiTheme="minorHAnsi" w:hAnsiTheme="minorHAnsi" w:cstheme="minorHAnsi"/>
          <w:sz w:val="22"/>
          <w:szCs w:val="22"/>
          <w:vertAlign w:val="superscript"/>
        </w:rPr>
        <w:t>rd</w:t>
      </w:r>
      <w:r w:rsidRPr="00153204">
        <w:rPr>
          <w:rFonts w:asciiTheme="minorHAnsi" w:hAnsiTheme="minorHAnsi" w:cstheme="minorHAnsi"/>
          <w:sz w:val="22"/>
          <w:szCs w:val="22"/>
        </w:rPr>
        <w:t xml:space="preserve"> December, 2022.</w:t>
      </w:r>
    </w:p>
    <w:p w14:paraId="05CB9D69" w14:textId="4BB1D57A" w:rsidR="00034DB4" w:rsidRPr="00153204" w:rsidRDefault="00034DB4" w:rsidP="002F7D52">
      <w:pPr>
        <w:spacing w:line="360" w:lineRule="auto"/>
        <w:ind w:left="567"/>
        <w:jc w:val="both"/>
        <w:rPr>
          <w:rFonts w:asciiTheme="minorHAnsi" w:hAnsiTheme="minorHAnsi" w:cstheme="minorHAnsi"/>
          <w:b/>
          <w:sz w:val="22"/>
          <w:szCs w:val="22"/>
        </w:rPr>
      </w:pPr>
      <w:r w:rsidRPr="00153204">
        <w:rPr>
          <w:rFonts w:asciiTheme="minorHAnsi" w:hAnsiTheme="minorHAnsi" w:cstheme="minorHAnsi"/>
          <w:b/>
          <w:sz w:val="22"/>
          <w:szCs w:val="22"/>
        </w:rPr>
        <w:t xml:space="preserve">The provision for calculation </w:t>
      </w:r>
      <w:r w:rsidR="001D6218" w:rsidRPr="00153204">
        <w:rPr>
          <w:rFonts w:asciiTheme="minorHAnsi" w:hAnsiTheme="minorHAnsi" w:cstheme="minorHAnsi"/>
          <w:b/>
          <w:sz w:val="22"/>
          <w:szCs w:val="22"/>
        </w:rPr>
        <w:t>of depreciation</w:t>
      </w:r>
      <w:r w:rsidRPr="00153204">
        <w:rPr>
          <w:rFonts w:asciiTheme="minorHAnsi" w:hAnsiTheme="minorHAnsi" w:cstheme="minorHAnsi"/>
          <w:b/>
          <w:sz w:val="22"/>
          <w:szCs w:val="22"/>
        </w:rPr>
        <w:t xml:space="preserve"> as envisaged in the Tariff Regulation’2022 is reproduced hereunder:</w:t>
      </w:r>
    </w:p>
    <w:p w14:paraId="495BEB66" w14:textId="666287D0" w:rsidR="00B81CEB" w:rsidRDefault="00B81CEB" w:rsidP="00B81CEB">
      <w:pPr>
        <w:pStyle w:val="ListParagraph"/>
        <w:widowControl w:val="0"/>
        <w:numPr>
          <w:ilvl w:val="2"/>
          <w:numId w:val="8"/>
        </w:numPr>
        <w:tabs>
          <w:tab w:val="left" w:pos="851"/>
          <w:tab w:val="left" w:pos="1276"/>
        </w:tabs>
        <w:autoSpaceDE w:val="0"/>
        <w:autoSpaceDN w:val="0"/>
        <w:spacing w:before="124" w:line="295" w:lineRule="auto"/>
        <w:ind w:left="1134" w:right="228" w:hanging="426"/>
        <w:jc w:val="both"/>
        <w:rPr>
          <w:rFonts w:asciiTheme="minorHAnsi" w:hAnsiTheme="minorHAnsi" w:cstheme="minorHAnsi"/>
          <w:i/>
        </w:rPr>
      </w:pPr>
      <w:r>
        <w:rPr>
          <w:rFonts w:asciiTheme="minorHAnsi" w:hAnsiTheme="minorHAnsi" w:cstheme="minorHAnsi"/>
          <w:i/>
        </w:rPr>
        <w:t xml:space="preserve"> </w:t>
      </w:r>
      <w:r w:rsidR="00034DB4" w:rsidRPr="00153204">
        <w:rPr>
          <w:rFonts w:asciiTheme="minorHAnsi" w:hAnsiTheme="minorHAnsi" w:cstheme="minorHAnsi"/>
          <w:i/>
        </w:rPr>
        <w:t>For the assets of erstwhile DISCOMs transferred to the new Distribution Licensees</w:t>
      </w:r>
      <w:r w:rsidR="00034DB4" w:rsidRPr="00153204">
        <w:rPr>
          <w:rFonts w:asciiTheme="minorHAnsi" w:hAnsiTheme="minorHAnsi" w:cstheme="minorHAnsi"/>
          <w:i/>
          <w:spacing w:val="1"/>
        </w:rPr>
        <w:t xml:space="preserve"> </w:t>
      </w:r>
      <w:r w:rsidR="00034DB4" w:rsidRPr="00153204">
        <w:rPr>
          <w:rFonts w:asciiTheme="minorHAnsi" w:hAnsiTheme="minorHAnsi" w:cstheme="minorHAnsi"/>
          <w:i/>
        </w:rPr>
        <w:t>through the Vesting Orders, the depreciation shall be calculated on the pre-up valued</w:t>
      </w:r>
      <w:r w:rsidR="00034DB4" w:rsidRPr="00153204">
        <w:rPr>
          <w:rFonts w:asciiTheme="minorHAnsi" w:hAnsiTheme="minorHAnsi" w:cstheme="minorHAnsi"/>
          <w:i/>
          <w:spacing w:val="1"/>
        </w:rPr>
        <w:t xml:space="preserve"> </w:t>
      </w:r>
      <w:r w:rsidR="00034DB4" w:rsidRPr="00153204">
        <w:rPr>
          <w:rFonts w:asciiTheme="minorHAnsi" w:hAnsiTheme="minorHAnsi" w:cstheme="minorHAnsi"/>
          <w:i/>
        </w:rPr>
        <w:t>cost</w:t>
      </w:r>
      <w:r w:rsidR="00034DB4" w:rsidRPr="00153204">
        <w:rPr>
          <w:rFonts w:asciiTheme="minorHAnsi" w:hAnsiTheme="minorHAnsi" w:cstheme="minorHAnsi"/>
          <w:i/>
          <w:spacing w:val="-3"/>
        </w:rPr>
        <w:t xml:space="preserve"> </w:t>
      </w:r>
      <w:r w:rsidR="00034DB4" w:rsidRPr="00153204">
        <w:rPr>
          <w:rFonts w:asciiTheme="minorHAnsi" w:hAnsiTheme="minorHAnsi" w:cstheme="minorHAnsi"/>
          <w:i/>
        </w:rPr>
        <w:t>of</w:t>
      </w:r>
      <w:r w:rsidR="00034DB4" w:rsidRPr="00153204">
        <w:rPr>
          <w:rFonts w:asciiTheme="minorHAnsi" w:hAnsiTheme="minorHAnsi" w:cstheme="minorHAnsi"/>
          <w:i/>
          <w:spacing w:val="-7"/>
        </w:rPr>
        <w:t xml:space="preserve"> </w:t>
      </w:r>
      <w:r w:rsidR="00034DB4" w:rsidRPr="00153204">
        <w:rPr>
          <w:rFonts w:asciiTheme="minorHAnsi" w:hAnsiTheme="minorHAnsi" w:cstheme="minorHAnsi"/>
          <w:i/>
        </w:rPr>
        <w:t>assets</w:t>
      </w:r>
      <w:r w:rsidR="00034DB4" w:rsidRPr="00153204">
        <w:rPr>
          <w:rFonts w:asciiTheme="minorHAnsi" w:hAnsiTheme="minorHAnsi" w:cstheme="minorHAnsi"/>
          <w:i/>
          <w:spacing w:val="-1"/>
        </w:rPr>
        <w:t xml:space="preserve"> </w:t>
      </w:r>
      <w:r w:rsidR="00034DB4" w:rsidRPr="00153204">
        <w:rPr>
          <w:rFonts w:asciiTheme="minorHAnsi" w:hAnsiTheme="minorHAnsi" w:cstheme="minorHAnsi"/>
          <w:i/>
        </w:rPr>
        <w:t>at</w:t>
      </w:r>
      <w:r w:rsidR="00034DB4" w:rsidRPr="00153204">
        <w:rPr>
          <w:rFonts w:asciiTheme="minorHAnsi" w:hAnsiTheme="minorHAnsi" w:cstheme="minorHAnsi"/>
          <w:i/>
          <w:spacing w:val="6"/>
        </w:rPr>
        <w:t xml:space="preserve"> </w:t>
      </w:r>
      <w:r w:rsidR="00034DB4" w:rsidRPr="00153204">
        <w:rPr>
          <w:rFonts w:asciiTheme="minorHAnsi" w:hAnsiTheme="minorHAnsi" w:cstheme="minorHAnsi"/>
          <w:i/>
        </w:rPr>
        <w:t>pre-1992</w:t>
      </w:r>
      <w:r w:rsidR="00034DB4" w:rsidRPr="00153204">
        <w:rPr>
          <w:rFonts w:asciiTheme="minorHAnsi" w:hAnsiTheme="minorHAnsi" w:cstheme="minorHAnsi"/>
          <w:i/>
          <w:spacing w:val="-3"/>
        </w:rPr>
        <w:t xml:space="preserve"> </w:t>
      </w:r>
      <w:r w:rsidR="00034DB4" w:rsidRPr="00153204">
        <w:rPr>
          <w:rFonts w:asciiTheme="minorHAnsi" w:hAnsiTheme="minorHAnsi" w:cstheme="minorHAnsi"/>
          <w:i/>
        </w:rPr>
        <w:t>rate</w:t>
      </w:r>
      <w:r w:rsidR="00034DB4" w:rsidRPr="00153204">
        <w:rPr>
          <w:rFonts w:asciiTheme="minorHAnsi" w:hAnsiTheme="minorHAnsi" w:cstheme="minorHAnsi"/>
          <w:i/>
          <w:spacing w:val="-9"/>
        </w:rPr>
        <w:t xml:space="preserve"> </w:t>
      </w:r>
      <w:r w:rsidR="00034DB4" w:rsidRPr="00153204">
        <w:rPr>
          <w:rFonts w:asciiTheme="minorHAnsi" w:hAnsiTheme="minorHAnsi" w:cstheme="minorHAnsi"/>
          <w:i/>
        </w:rPr>
        <w:t>on</w:t>
      </w:r>
      <w:r w:rsidR="00034DB4" w:rsidRPr="00153204">
        <w:rPr>
          <w:rFonts w:asciiTheme="minorHAnsi" w:hAnsiTheme="minorHAnsi" w:cstheme="minorHAnsi"/>
          <w:i/>
          <w:spacing w:val="-4"/>
        </w:rPr>
        <w:t xml:space="preserve"> </w:t>
      </w:r>
      <w:r w:rsidR="00034DB4" w:rsidRPr="00153204">
        <w:rPr>
          <w:rFonts w:asciiTheme="minorHAnsi" w:hAnsiTheme="minorHAnsi" w:cstheme="minorHAnsi"/>
          <w:i/>
        </w:rPr>
        <w:t>the</w:t>
      </w:r>
      <w:r w:rsidR="00034DB4" w:rsidRPr="00153204">
        <w:rPr>
          <w:rFonts w:asciiTheme="minorHAnsi" w:hAnsiTheme="minorHAnsi" w:cstheme="minorHAnsi"/>
          <w:i/>
          <w:spacing w:val="1"/>
        </w:rPr>
        <w:t xml:space="preserve"> </w:t>
      </w:r>
      <w:r w:rsidR="00034DB4" w:rsidRPr="00153204">
        <w:rPr>
          <w:rFonts w:asciiTheme="minorHAnsi" w:hAnsiTheme="minorHAnsi" w:cstheme="minorHAnsi"/>
          <w:i/>
        </w:rPr>
        <w:t>asset</w:t>
      </w:r>
      <w:r w:rsidR="00034DB4" w:rsidRPr="00153204">
        <w:rPr>
          <w:rFonts w:asciiTheme="minorHAnsi" w:hAnsiTheme="minorHAnsi" w:cstheme="minorHAnsi"/>
          <w:i/>
          <w:spacing w:val="6"/>
        </w:rPr>
        <w:t xml:space="preserve"> </w:t>
      </w:r>
      <w:r w:rsidR="00034DB4" w:rsidRPr="00153204">
        <w:rPr>
          <w:rFonts w:asciiTheme="minorHAnsi" w:hAnsiTheme="minorHAnsi" w:cstheme="minorHAnsi"/>
          <w:i/>
        </w:rPr>
        <w:t>base approved</w:t>
      </w:r>
      <w:r w:rsidR="00034DB4" w:rsidRPr="00153204">
        <w:rPr>
          <w:rFonts w:asciiTheme="minorHAnsi" w:hAnsiTheme="minorHAnsi" w:cstheme="minorHAnsi"/>
          <w:i/>
          <w:spacing w:val="1"/>
        </w:rPr>
        <w:t xml:space="preserve"> </w:t>
      </w:r>
      <w:r w:rsidR="00034DB4" w:rsidRPr="00153204">
        <w:rPr>
          <w:rFonts w:asciiTheme="minorHAnsi" w:hAnsiTheme="minorHAnsi" w:cstheme="minorHAnsi"/>
          <w:i/>
        </w:rPr>
        <w:t>by</w:t>
      </w:r>
      <w:r w:rsidR="00034DB4" w:rsidRPr="00153204">
        <w:rPr>
          <w:rFonts w:asciiTheme="minorHAnsi" w:hAnsiTheme="minorHAnsi" w:cstheme="minorHAnsi"/>
          <w:i/>
          <w:spacing w:val="-8"/>
        </w:rPr>
        <w:t xml:space="preserve"> </w:t>
      </w:r>
      <w:r w:rsidR="00034DB4" w:rsidRPr="00153204">
        <w:rPr>
          <w:rFonts w:asciiTheme="minorHAnsi" w:hAnsiTheme="minorHAnsi" w:cstheme="minorHAnsi"/>
          <w:i/>
        </w:rPr>
        <w:t>the</w:t>
      </w:r>
      <w:r w:rsidR="00034DB4" w:rsidRPr="00153204">
        <w:rPr>
          <w:rFonts w:asciiTheme="minorHAnsi" w:hAnsiTheme="minorHAnsi" w:cstheme="minorHAnsi"/>
          <w:i/>
          <w:spacing w:val="1"/>
        </w:rPr>
        <w:t xml:space="preserve"> </w:t>
      </w:r>
      <w:r w:rsidR="00034DB4" w:rsidRPr="00153204">
        <w:rPr>
          <w:rFonts w:asciiTheme="minorHAnsi" w:hAnsiTheme="minorHAnsi" w:cstheme="minorHAnsi"/>
          <w:i/>
        </w:rPr>
        <w:t>Commission.</w:t>
      </w:r>
    </w:p>
    <w:p w14:paraId="6D0115A5" w14:textId="77777777" w:rsidR="00B81CEB" w:rsidRDefault="00B81CEB" w:rsidP="00B81CEB">
      <w:pPr>
        <w:pStyle w:val="ListParagraph"/>
        <w:widowControl w:val="0"/>
        <w:tabs>
          <w:tab w:val="left" w:pos="851"/>
          <w:tab w:val="left" w:pos="1276"/>
        </w:tabs>
        <w:autoSpaceDE w:val="0"/>
        <w:autoSpaceDN w:val="0"/>
        <w:spacing w:before="124" w:line="295" w:lineRule="auto"/>
        <w:ind w:left="1134" w:right="228"/>
        <w:jc w:val="both"/>
        <w:rPr>
          <w:rFonts w:asciiTheme="minorHAnsi" w:hAnsiTheme="minorHAnsi" w:cstheme="minorHAnsi"/>
          <w:i/>
        </w:rPr>
      </w:pPr>
    </w:p>
    <w:p w14:paraId="035C5CA1" w14:textId="3250305B" w:rsidR="00034DB4" w:rsidRPr="00B81CEB" w:rsidRDefault="00034DB4" w:rsidP="00B81CEB">
      <w:pPr>
        <w:pStyle w:val="ListParagraph"/>
        <w:widowControl w:val="0"/>
        <w:numPr>
          <w:ilvl w:val="2"/>
          <w:numId w:val="8"/>
        </w:numPr>
        <w:tabs>
          <w:tab w:val="left" w:pos="851"/>
          <w:tab w:val="left" w:pos="1276"/>
        </w:tabs>
        <w:autoSpaceDE w:val="0"/>
        <w:autoSpaceDN w:val="0"/>
        <w:spacing w:before="124" w:line="295" w:lineRule="auto"/>
        <w:ind w:left="1134" w:right="228" w:hanging="426"/>
        <w:jc w:val="both"/>
        <w:rPr>
          <w:rFonts w:asciiTheme="minorHAnsi" w:hAnsiTheme="minorHAnsi" w:cstheme="minorHAnsi"/>
          <w:i/>
        </w:rPr>
      </w:pPr>
      <w:r w:rsidRPr="00B81CEB">
        <w:rPr>
          <w:rFonts w:asciiTheme="minorHAnsi" w:hAnsiTheme="minorHAnsi" w:cstheme="minorHAnsi"/>
          <w:i/>
        </w:rPr>
        <w:t>For</w:t>
      </w:r>
      <w:r w:rsidRPr="00B81CEB">
        <w:rPr>
          <w:rFonts w:asciiTheme="minorHAnsi" w:hAnsiTheme="minorHAnsi" w:cstheme="minorHAnsi"/>
          <w:i/>
          <w:spacing w:val="1"/>
        </w:rPr>
        <w:t xml:space="preserve"> </w:t>
      </w:r>
      <w:r w:rsidRPr="00B81CEB">
        <w:rPr>
          <w:rFonts w:asciiTheme="minorHAnsi" w:hAnsiTheme="minorHAnsi" w:cstheme="minorHAnsi"/>
          <w:i/>
        </w:rPr>
        <w:t>assets</w:t>
      </w:r>
      <w:r w:rsidRPr="00B81CEB">
        <w:rPr>
          <w:rFonts w:asciiTheme="minorHAnsi" w:hAnsiTheme="minorHAnsi" w:cstheme="minorHAnsi"/>
          <w:i/>
          <w:spacing w:val="1"/>
        </w:rPr>
        <w:t xml:space="preserve"> </w:t>
      </w:r>
      <w:r w:rsidRPr="00B81CEB">
        <w:rPr>
          <w:rFonts w:asciiTheme="minorHAnsi" w:hAnsiTheme="minorHAnsi" w:cstheme="minorHAnsi"/>
          <w:i/>
        </w:rPr>
        <w:t>achieving</w:t>
      </w:r>
      <w:r w:rsidRPr="00B81CEB">
        <w:rPr>
          <w:rFonts w:asciiTheme="minorHAnsi" w:hAnsiTheme="minorHAnsi" w:cstheme="minorHAnsi"/>
          <w:i/>
          <w:spacing w:val="1"/>
        </w:rPr>
        <w:t xml:space="preserve"> </w:t>
      </w:r>
      <w:r w:rsidRPr="00B81CEB">
        <w:rPr>
          <w:rFonts w:asciiTheme="minorHAnsi" w:hAnsiTheme="minorHAnsi" w:cstheme="minorHAnsi"/>
          <w:i/>
        </w:rPr>
        <w:t>date</w:t>
      </w:r>
      <w:r w:rsidRPr="00B81CEB">
        <w:rPr>
          <w:rFonts w:asciiTheme="minorHAnsi" w:hAnsiTheme="minorHAnsi" w:cstheme="minorHAnsi"/>
          <w:i/>
          <w:spacing w:val="1"/>
        </w:rPr>
        <w:t xml:space="preserve"> </w:t>
      </w:r>
      <w:r w:rsidRPr="00B81CEB">
        <w:rPr>
          <w:rFonts w:asciiTheme="minorHAnsi" w:hAnsiTheme="minorHAnsi" w:cstheme="minorHAnsi"/>
          <w:i/>
        </w:rPr>
        <w:t>of</w:t>
      </w:r>
      <w:r w:rsidRPr="00B81CEB">
        <w:rPr>
          <w:rFonts w:asciiTheme="minorHAnsi" w:hAnsiTheme="minorHAnsi" w:cstheme="minorHAnsi"/>
          <w:i/>
          <w:spacing w:val="1"/>
        </w:rPr>
        <w:t xml:space="preserve"> </w:t>
      </w:r>
      <w:r w:rsidRPr="00B81CEB">
        <w:rPr>
          <w:rFonts w:asciiTheme="minorHAnsi" w:hAnsiTheme="minorHAnsi" w:cstheme="minorHAnsi"/>
          <w:i/>
        </w:rPr>
        <w:t>commercial</w:t>
      </w:r>
      <w:r w:rsidRPr="00B81CEB">
        <w:rPr>
          <w:rFonts w:asciiTheme="minorHAnsi" w:hAnsiTheme="minorHAnsi" w:cstheme="minorHAnsi"/>
          <w:i/>
          <w:spacing w:val="1"/>
        </w:rPr>
        <w:t xml:space="preserve"> </w:t>
      </w:r>
      <w:r w:rsidRPr="00B81CEB">
        <w:rPr>
          <w:rFonts w:asciiTheme="minorHAnsi" w:hAnsiTheme="minorHAnsi" w:cstheme="minorHAnsi"/>
          <w:i/>
        </w:rPr>
        <w:t>operation</w:t>
      </w:r>
      <w:r w:rsidRPr="00B81CEB">
        <w:rPr>
          <w:rFonts w:asciiTheme="minorHAnsi" w:hAnsiTheme="minorHAnsi" w:cstheme="minorHAnsi"/>
          <w:i/>
          <w:spacing w:val="1"/>
        </w:rPr>
        <w:t xml:space="preserve"> </w:t>
      </w:r>
      <w:r w:rsidRPr="00B81CEB">
        <w:rPr>
          <w:rFonts w:asciiTheme="minorHAnsi" w:hAnsiTheme="minorHAnsi" w:cstheme="minorHAnsi"/>
          <w:i/>
        </w:rPr>
        <w:t>(COD)in</w:t>
      </w:r>
      <w:r w:rsidRPr="00B81CEB">
        <w:rPr>
          <w:rFonts w:asciiTheme="minorHAnsi" w:hAnsiTheme="minorHAnsi" w:cstheme="minorHAnsi"/>
          <w:i/>
          <w:spacing w:val="1"/>
        </w:rPr>
        <w:t xml:space="preserve"> </w:t>
      </w:r>
      <w:r w:rsidRPr="00B81CEB">
        <w:rPr>
          <w:rFonts w:asciiTheme="minorHAnsi" w:hAnsiTheme="minorHAnsi" w:cstheme="minorHAnsi"/>
          <w:i/>
        </w:rPr>
        <w:t>this</w:t>
      </w:r>
      <w:r w:rsidRPr="00B81CEB">
        <w:rPr>
          <w:rFonts w:asciiTheme="minorHAnsi" w:hAnsiTheme="minorHAnsi" w:cstheme="minorHAnsi"/>
          <w:i/>
          <w:spacing w:val="1"/>
        </w:rPr>
        <w:t xml:space="preserve"> </w:t>
      </w:r>
      <w:r w:rsidRPr="00B81CEB">
        <w:rPr>
          <w:rFonts w:asciiTheme="minorHAnsi" w:hAnsiTheme="minorHAnsi" w:cstheme="minorHAnsi"/>
          <w:i/>
        </w:rPr>
        <w:t>control</w:t>
      </w:r>
      <w:r w:rsidRPr="00B81CEB">
        <w:rPr>
          <w:rFonts w:asciiTheme="minorHAnsi" w:hAnsiTheme="minorHAnsi" w:cstheme="minorHAnsi"/>
          <w:i/>
          <w:spacing w:val="1"/>
        </w:rPr>
        <w:t xml:space="preserve"> </w:t>
      </w:r>
      <w:proofErr w:type="gramStart"/>
      <w:r w:rsidRPr="00B81CEB">
        <w:rPr>
          <w:rFonts w:asciiTheme="minorHAnsi" w:hAnsiTheme="minorHAnsi" w:cstheme="minorHAnsi"/>
          <w:i/>
        </w:rPr>
        <w:t>period,</w:t>
      </w:r>
      <w:r w:rsidRPr="00B81CEB">
        <w:rPr>
          <w:rFonts w:asciiTheme="minorHAnsi" w:hAnsiTheme="minorHAnsi" w:cstheme="minorHAnsi"/>
          <w:i/>
          <w:spacing w:val="1"/>
        </w:rPr>
        <w:t xml:space="preserve"> </w:t>
      </w:r>
      <w:r w:rsidR="00BC4649" w:rsidRPr="00B81CEB">
        <w:rPr>
          <w:rFonts w:asciiTheme="minorHAnsi" w:hAnsiTheme="minorHAnsi" w:cstheme="minorHAnsi"/>
          <w:i/>
          <w:spacing w:val="1"/>
        </w:rPr>
        <w:t xml:space="preserve">  </w:t>
      </w:r>
      <w:proofErr w:type="gramEnd"/>
      <w:r w:rsidR="00BC4649" w:rsidRPr="00B81CEB">
        <w:rPr>
          <w:rFonts w:asciiTheme="minorHAnsi" w:hAnsiTheme="minorHAnsi" w:cstheme="minorHAnsi"/>
          <w:i/>
          <w:spacing w:val="1"/>
        </w:rPr>
        <w:t xml:space="preserve">  </w:t>
      </w:r>
      <w:r w:rsidRPr="00B81CEB">
        <w:rPr>
          <w:rFonts w:asciiTheme="minorHAnsi" w:hAnsiTheme="minorHAnsi" w:cstheme="minorHAnsi"/>
          <w:i/>
        </w:rPr>
        <w:t>depreciation</w:t>
      </w:r>
      <w:r w:rsidRPr="00B81CEB">
        <w:rPr>
          <w:rFonts w:asciiTheme="minorHAnsi" w:hAnsiTheme="minorHAnsi" w:cstheme="minorHAnsi"/>
          <w:i/>
          <w:spacing w:val="-5"/>
        </w:rPr>
        <w:t xml:space="preserve"> </w:t>
      </w:r>
      <w:r w:rsidRPr="00B81CEB">
        <w:rPr>
          <w:rFonts w:asciiTheme="minorHAnsi" w:hAnsiTheme="minorHAnsi" w:cstheme="minorHAnsi"/>
          <w:i/>
        </w:rPr>
        <w:t>shall</w:t>
      </w:r>
      <w:r w:rsidRPr="00B81CEB">
        <w:rPr>
          <w:rFonts w:asciiTheme="minorHAnsi" w:hAnsiTheme="minorHAnsi" w:cstheme="minorHAnsi"/>
          <w:i/>
          <w:spacing w:val="-2"/>
        </w:rPr>
        <w:t xml:space="preserve"> </w:t>
      </w:r>
      <w:r w:rsidRPr="00B81CEB">
        <w:rPr>
          <w:rFonts w:asciiTheme="minorHAnsi" w:hAnsiTheme="minorHAnsi" w:cstheme="minorHAnsi"/>
          <w:i/>
        </w:rPr>
        <w:t>be computed</w:t>
      </w:r>
      <w:r w:rsidRPr="00B81CEB">
        <w:rPr>
          <w:rFonts w:asciiTheme="minorHAnsi" w:hAnsiTheme="minorHAnsi" w:cstheme="minorHAnsi"/>
          <w:i/>
          <w:spacing w:val="7"/>
        </w:rPr>
        <w:t xml:space="preserve"> </w:t>
      </w:r>
      <w:r w:rsidRPr="00B81CEB">
        <w:rPr>
          <w:rFonts w:asciiTheme="minorHAnsi" w:hAnsiTheme="minorHAnsi" w:cstheme="minorHAnsi"/>
          <w:i/>
        </w:rPr>
        <w:t>in</w:t>
      </w:r>
      <w:r w:rsidRPr="00B81CEB">
        <w:rPr>
          <w:rFonts w:asciiTheme="minorHAnsi" w:hAnsiTheme="minorHAnsi" w:cstheme="minorHAnsi"/>
          <w:i/>
          <w:spacing w:val="-4"/>
        </w:rPr>
        <w:t xml:space="preserve"> </w:t>
      </w:r>
      <w:r w:rsidRPr="00B81CEB">
        <w:rPr>
          <w:rFonts w:asciiTheme="minorHAnsi" w:hAnsiTheme="minorHAnsi" w:cstheme="minorHAnsi"/>
          <w:i/>
        </w:rPr>
        <w:t>the</w:t>
      </w:r>
      <w:r w:rsidRPr="00B81CEB">
        <w:rPr>
          <w:rFonts w:asciiTheme="minorHAnsi" w:hAnsiTheme="minorHAnsi" w:cstheme="minorHAnsi"/>
          <w:i/>
          <w:spacing w:val="1"/>
        </w:rPr>
        <w:t xml:space="preserve"> </w:t>
      </w:r>
      <w:r w:rsidRPr="00B81CEB">
        <w:rPr>
          <w:rFonts w:asciiTheme="minorHAnsi" w:hAnsiTheme="minorHAnsi" w:cstheme="minorHAnsi"/>
          <w:i/>
        </w:rPr>
        <w:t>following</w:t>
      </w:r>
      <w:r w:rsidRPr="00B81CEB">
        <w:rPr>
          <w:rFonts w:asciiTheme="minorHAnsi" w:hAnsiTheme="minorHAnsi" w:cstheme="minorHAnsi"/>
          <w:i/>
          <w:spacing w:val="6"/>
        </w:rPr>
        <w:t xml:space="preserve"> </w:t>
      </w:r>
      <w:r w:rsidRPr="00B81CEB">
        <w:rPr>
          <w:rFonts w:asciiTheme="minorHAnsi" w:hAnsiTheme="minorHAnsi" w:cstheme="minorHAnsi"/>
          <w:i/>
        </w:rPr>
        <w:t>manner:</w:t>
      </w:r>
    </w:p>
    <w:p w14:paraId="6574C61B" w14:textId="77777777" w:rsidR="00777EAE" w:rsidRPr="00153204" w:rsidRDefault="00034DB4" w:rsidP="00AB536C">
      <w:pPr>
        <w:pStyle w:val="ListParagraph"/>
        <w:widowControl w:val="0"/>
        <w:numPr>
          <w:ilvl w:val="0"/>
          <w:numId w:val="10"/>
        </w:numPr>
        <w:tabs>
          <w:tab w:val="left" w:pos="2208"/>
        </w:tabs>
        <w:autoSpaceDE w:val="0"/>
        <w:autoSpaceDN w:val="0"/>
        <w:spacing w:before="123" w:line="295" w:lineRule="auto"/>
        <w:ind w:right="230" w:hanging="250"/>
        <w:jc w:val="both"/>
        <w:rPr>
          <w:rFonts w:asciiTheme="minorHAnsi" w:hAnsiTheme="minorHAnsi" w:cstheme="minorHAnsi"/>
          <w:i/>
        </w:rPr>
      </w:pPr>
      <w:r w:rsidRPr="00153204">
        <w:rPr>
          <w:rFonts w:asciiTheme="minorHAnsi" w:hAnsiTheme="minorHAnsi" w:cstheme="minorHAnsi"/>
          <w:i/>
        </w:rPr>
        <w:t>The approved original cost of the project/fixed assets shall be the base value for</w:t>
      </w:r>
      <w:r w:rsidRPr="00153204">
        <w:rPr>
          <w:rFonts w:asciiTheme="minorHAnsi" w:hAnsiTheme="minorHAnsi" w:cstheme="minorHAnsi"/>
          <w:i/>
          <w:spacing w:val="1"/>
        </w:rPr>
        <w:t xml:space="preserve"> </w:t>
      </w:r>
      <w:r w:rsidRPr="00153204">
        <w:rPr>
          <w:rFonts w:asciiTheme="minorHAnsi" w:hAnsiTheme="minorHAnsi" w:cstheme="minorHAnsi"/>
          <w:i/>
        </w:rPr>
        <w:t>calculation</w:t>
      </w:r>
      <w:r w:rsidRPr="00153204">
        <w:rPr>
          <w:rFonts w:asciiTheme="minorHAnsi" w:hAnsiTheme="minorHAnsi" w:cstheme="minorHAnsi"/>
          <w:i/>
          <w:spacing w:val="-3"/>
        </w:rPr>
        <w:t xml:space="preserve"> </w:t>
      </w:r>
      <w:r w:rsidRPr="00153204">
        <w:rPr>
          <w:rFonts w:asciiTheme="minorHAnsi" w:hAnsiTheme="minorHAnsi" w:cstheme="minorHAnsi"/>
          <w:i/>
        </w:rPr>
        <w:t>of</w:t>
      </w:r>
      <w:r w:rsidRPr="00153204">
        <w:rPr>
          <w:rFonts w:asciiTheme="minorHAnsi" w:hAnsiTheme="minorHAnsi" w:cstheme="minorHAnsi"/>
          <w:i/>
          <w:spacing w:val="-7"/>
        </w:rPr>
        <w:t xml:space="preserve"> </w:t>
      </w:r>
      <w:r w:rsidRPr="00153204">
        <w:rPr>
          <w:rFonts w:asciiTheme="minorHAnsi" w:hAnsiTheme="minorHAnsi" w:cstheme="minorHAnsi"/>
          <w:i/>
        </w:rPr>
        <w:t>depreciation;</w:t>
      </w:r>
    </w:p>
    <w:p w14:paraId="67548CE4" w14:textId="5C633854" w:rsidR="00034DB4" w:rsidRPr="00153204" w:rsidRDefault="00034DB4" w:rsidP="00AB536C">
      <w:pPr>
        <w:pStyle w:val="ListParagraph"/>
        <w:widowControl w:val="0"/>
        <w:numPr>
          <w:ilvl w:val="0"/>
          <w:numId w:val="10"/>
        </w:numPr>
        <w:tabs>
          <w:tab w:val="left" w:pos="2208"/>
        </w:tabs>
        <w:autoSpaceDE w:val="0"/>
        <w:autoSpaceDN w:val="0"/>
        <w:spacing w:before="123" w:line="295" w:lineRule="auto"/>
        <w:ind w:right="230" w:hanging="250"/>
        <w:jc w:val="both"/>
        <w:rPr>
          <w:rFonts w:asciiTheme="minorHAnsi" w:hAnsiTheme="minorHAnsi" w:cstheme="minorHAnsi"/>
          <w:i/>
        </w:rPr>
      </w:pPr>
      <w:r w:rsidRPr="00153204">
        <w:rPr>
          <w:rFonts w:asciiTheme="minorHAnsi" w:hAnsiTheme="minorHAnsi" w:cstheme="minorHAnsi"/>
          <w:i/>
        </w:rPr>
        <w:t>Depreciation shall be computed annually based on the straight-line</w:t>
      </w:r>
      <w:r w:rsidRPr="00153204">
        <w:rPr>
          <w:rFonts w:asciiTheme="minorHAnsi" w:hAnsiTheme="minorHAnsi" w:cstheme="minorHAnsi"/>
          <w:i/>
          <w:spacing w:val="60"/>
        </w:rPr>
        <w:t xml:space="preserve"> </w:t>
      </w:r>
      <w:r w:rsidRPr="00153204">
        <w:rPr>
          <w:rFonts w:asciiTheme="minorHAnsi" w:hAnsiTheme="minorHAnsi" w:cstheme="minorHAnsi"/>
          <w:i/>
        </w:rPr>
        <w:t>method at</w:t>
      </w:r>
      <w:r w:rsidRPr="00153204">
        <w:rPr>
          <w:rFonts w:asciiTheme="minorHAnsi" w:hAnsiTheme="minorHAnsi" w:cstheme="minorHAnsi"/>
          <w:i/>
          <w:spacing w:val="1"/>
        </w:rPr>
        <w:t xml:space="preserve"> </w:t>
      </w:r>
      <w:r w:rsidRPr="00153204">
        <w:rPr>
          <w:rFonts w:asciiTheme="minorHAnsi" w:hAnsiTheme="minorHAnsi" w:cstheme="minorHAnsi"/>
          <w:i/>
        </w:rPr>
        <w:t>the rates</w:t>
      </w:r>
      <w:r w:rsidRPr="00153204">
        <w:rPr>
          <w:rFonts w:asciiTheme="minorHAnsi" w:hAnsiTheme="minorHAnsi" w:cstheme="minorHAnsi"/>
          <w:i/>
          <w:spacing w:val="-1"/>
        </w:rPr>
        <w:t xml:space="preserve"> </w:t>
      </w:r>
      <w:r w:rsidRPr="00153204">
        <w:rPr>
          <w:rFonts w:asciiTheme="minorHAnsi" w:hAnsiTheme="minorHAnsi" w:cstheme="minorHAnsi"/>
          <w:i/>
        </w:rPr>
        <w:t>specified</w:t>
      </w:r>
      <w:r w:rsidRPr="00153204">
        <w:rPr>
          <w:rFonts w:asciiTheme="minorHAnsi" w:hAnsiTheme="minorHAnsi" w:cstheme="minorHAnsi"/>
          <w:i/>
          <w:spacing w:val="6"/>
        </w:rPr>
        <w:t xml:space="preserve"> </w:t>
      </w:r>
      <w:r w:rsidRPr="00153204">
        <w:rPr>
          <w:rFonts w:asciiTheme="minorHAnsi" w:hAnsiTheme="minorHAnsi" w:cstheme="minorHAnsi"/>
          <w:i/>
        </w:rPr>
        <w:t>in</w:t>
      </w:r>
      <w:r w:rsidRPr="00153204">
        <w:rPr>
          <w:rFonts w:asciiTheme="minorHAnsi" w:hAnsiTheme="minorHAnsi" w:cstheme="minorHAnsi"/>
          <w:i/>
          <w:spacing w:val="-4"/>
        </w:rPr>
        <w:t xml:space="preserve"> </w:t>
      </w:r>
      <w:r w:rsidRPr="00153204">
        <w:rPr>
          <w:rFonts w:asciiTheme="minorHAnsi" w:hAnsiTheme="minorHAnsi" w:cstheme="minorHAnsi"/>
          <w:i/>
        </w:rPr>
        <w:t>the</w:t>
      </w:r>
      <w:r w:rsidRPr="00153204">
        <w:rPr>
          <w:rFonts w:asciiTheme="minorHAnsi" w:hAnsiTheme="minorHAnsi" w:cstheme="minorHAnsi"/>
          <w:i/>
          <w:spacing w:val="-2"/>
        </w:rPr>
        <w:t xml:space="preserve"> </w:t>
      </w:r>
      <w:r w:rsidRPr="00153204">
        <w:rPr>
          <w:rFonts w:asciiTheme="minorHAnsi" w:hAnsiTheme="minorHAnsi" w:cstheme="minorHAnsi"/>
          <w:b/>
          <w:i/>
        </w:rPr>
        <w:t>Annexure II</w:t>
      </w:r>
      <w:r w:rsidRPr="00153204">
        <w:rPr>
          <w:rFonts w:asciiTheme="minorHAnsi" w:hAnsiTheme="minorHAnsi" w:cstheme="minorHAnsi"/>
          <w:b/>
          <w:i/>
          <w:spacing w:val="-1"/>
        </w:rPr>
        <w:t xml:space="preserve"> </w:t>
      </w:r>
      <w:r w:rsidRPr="00153204">
        <w:rPr>
          <w:rFonts w:asciiTheme="minorHAnsi" w:hAnsiTheme="minorHAnsi" w:cstheme="minorHAnsi"/>
          <w:i/>
        </w:rPr>
        <w:t>to</w:t>
      </w:r>
      <w:r w:rsidRPr="00153204">
        <w:rPr>
          <w:rFonts w:asciiTheme="minorHAnsi" w:hAnsiTheme="minorHAnsi" w:cstheme="minorHAnsi"/>
          <w:i/>
          <w:spacing w:val="1"/>
        </w:rPr>
        <w:t xml:space="preserve"> </w:t>
      </w:r>
      <w:r w:rsidRPr="00153204">
        <w:rPr>
          <w:rFonts w:asciiTheme="minorHAnsi" w:hAnsiTheme="minorHAnsi" w:cstheme="minorHAnsi"/>
          <w:i/>
        </w:rPr>
        <w:t>these Regulations:</w:t>
      </w:r>
    </w:p>
    <w:p w14:paraId="0DBF8415" w14:textId="10FAD5AD" w:rsidR="00C701D9" w:rsidRPr="00153204" w:rsidRDefault="001B2A63" w:rsidP="002F7D52">
      <w:pPr>
        <w:pStyle w:val="BodyText"/>
        <w:spacing w:before="52" w:line="360" w:lineRule="auto"/>
        <w:ind w:left="567" w:right="-293"/>
        <w:rPr>
          <w:rFonts w:asciiTheme="minorHAnsi" w:hAnsiTheme="minorHAnsi" w:cstheme="minorHAnsi"/>
          <w:sz w:val="22"/>
          <w:szCs w:val="22"/>
        </w:rPr>
      </w:pPr>
      <w:r w:rsidRPr="00153204">
        <w:rPr>
          <w:rFonts w:asciiTheme="minorHAnsi" w:hAnsiTheme="minorHAnsi" w:cstheme="minorHAnsi"/>
          <w:sz w:val="22"/>
          <w:szCs w:val="22"/>
        </w:rPr>
        <w:t xml:space="preserve">The </w:t>
      </w:r>
      <w:r w:rsidR="001D6218" w:rsidRPr="00153204">
        <w:rPr>
          <w:rFonts w:asciiTheme="minorHAnsi" w:hAnsiTheme="minorHAnsi" w:cstheme="minorHAnsi"/>
          <w:sz w:val="22"/>
          <w:szCs w:val="22"/>
        </w:rPr>
        <w:t>depreciation calculated</w:t>
      </w:r>
      <w:r w:rsidRPr="00153204">
        <w:rPr>
          <w:rFonts w:asciiTheme="minorHAnsi" w:hAnsiTheme="minorHAnsi" w:cstheme="minorHAnsi"/>
          <w:sz w:val="22"/>
          <w:szCs w:val="22"/>
        </w:rPr>
        <w:t xml:space="preserve"> as per the above, for the FY 202</w:t>
      </w:r>
      <w:r w:rsidR="00E37E50" w:rsidRPr="00153204">
        <w:rPr>
          <w:rFonts w:asciiTheme="minorHAnsi" w:hAnsiTheme="minorHAnsi" w:cstheme="minorHAnsi"/>
          <w:sz w:val="22"/>
          <w:szCs w:val="22"/>
        </w:rPr>
        <w:t>3</w:t>
      </w:r>
      <w:r w:rsidRPr="00153204">
        <w:rPr>
          <w:rFonts w:asciiTheme="minorHAnsi" w:hAnsiTheme="minorHAnsi" w:cstheme="minorHAnsi"/>
          <w:sz w:val="22"/>
          <w:szCs w:val="22"/>
        </w:rPr>
        <w:t>-2</w:t>
      </w:r>
      <w:r w:rsidR="00E37E50" w:rsidRPr="00153204">
        <w:rPr>
          <w:rFonts w:asciiTheme="minorHAnsi" w:hAnsiTheme="minorHAnsi" w:cstheme="minorHAnsi"/>
          <w:sz w:val="22"/>
          <w:szCs w:val="22"/>
        </w:rPr>
        <w:t>4</w:t>
      </w:r>
      <w:r w:rsidRPr="00153204">
        <w:rPr>
          <w:rFonts w:asciiTheme="minorHAnsi" w:hAnsiTheme="minorHAnsi" w:cstheme="minorHAnsi"/>
          <w:sz w:val="22"/>
          <w:szCs w:val="22"/>
        </w:rPr>
        <w:t xml:space="preserve"> and FY 202</w:t>
      </w:r>
      <w:r w:rsidR="00E37E50" w:rsidRPr="00153204">
        <w:rPr>
          <w:rFonts w:asciiTheme="minorHAnsi" w:hAnsiTheme="minorHAnsi" w:cstheme="minorHAnsi"/>
          <w:sz w:val="22"/>
          <w:szCs w:val="22"/>
        </w:rPr>
        <w:t>4</w:t>
      </w:r>
      <w:r w:rsidRPr="00153204">
        <w:rPr>
          <w:rFonts w:asciiTheme="minorHAnsi" w:hAnsiTheme="minorHAnsi" w:cstheme="minorHAnsi"/>
          <w:sz w:val="22"/>
          <w:szCs w:val="22"/>
        </w:rPr>
        <w:t>-2</w:t>
      </w:r>
      <w:r w:rsidR="00E37E50" w:rsidRPr="00153204">
        <w:rPr>
          <w:rFonts w:asciiTheme="minorHAnsi" w:hAnsiTheme="minorHAnsi" w:cstheme="minorHAnsi"/>
          <w:sz w:val="22"/>
          <w:szCs w:val="22"/>
        </w:rPr>
        <w:t>5</w:t>
      </w:r>
      <w:r w:rsidRPr="00153204">
        <w:rPr>
          <w:rFonts w:asciiTheme="minorHAnsi" w:hAnsiTheme="minorHAnsi" w:cstheme="minorHAnsi"/>
          <w:sz w:val="22"/>
          <w:szCs w:val="22"/>
        </w:rPr>
        <w:t xml:space="preserve"> </w:t>
      </w:r>
      <w:r w:rsidR="00E50680" w:rsidRPr="00153204">
        <w:rPr>
          <w:rFonts w:asciiTheme="minorHAnsi" w:hAnsiTheme="minorHAnsi" w:cstheme="minorHAnsi"/>
          <w:sz w:val="22"/>
          <w:szCs w:val="22"/>
        </w:rPr>
        <w:t xml:space="preserve">are </w:t>
      </w:r>
      <w:r w:rsidR="003A6A58" w:rsidRPr="00153204">
        <w:rPr>
          <w:rFonts w:asciiTheme="minorHAnsi" w:hAnsiTheme="minorHAnsi" w:cstheme="minorHAnsi"/>
          <w:sz w:val="22"/>
          <w:szCs w:val="22"/>
        </w:rPr>
        <w:t>f</w:t>
      </w:r>
      <w:r w:rsidR="00E50680" w:rsidRPr="00153204">
        <w:rPr>
          <w:rFonts w:asciiTheme="minorHAnsi" w:hAnsiTheme="minorHAnsi" w:cstheme="minorHAnsi"/>
          <w:sz w:val="22"/>
          <w:szCs w:val="22"/>
        </w:rPr>
        <w:t xml:space="preserve">urnished in the following table. </w:t>
      </w:r>
      <w:r w:rsidR="00CF6131" w:rsidRPr="00153204">
        <w:rPr>
          <w:rFonts w:asciiTheme="minorHAnsi" w:hAnsiTheme="minorHAnsi" w:cstheme="minorHAnsi"/>
          <w:sz w:val="22"/>
          <w:szCs w:val="22"/>
        </w:rPr>
        <w:t xml:space="preserve">  </w:t>
      </w:r>
      <w:r w:rsidR="00E50680" w:rsidRPr="00153204">
        <w:rPr>
          <w:rFonts w:asciiTheme="minorHAnsi" w:hAnsiTheme="minorHAnsi" w:cstheme="minorHAnsi"/>
          <w:sz w:val="22"/>
          <w:szCs w:val="22"/>
        </w:rPr>
        <w:t>Details have been submitted under '</w:t>
      </w:r>
      <w:r w:rsidR="00295B5A" w:rsidRPr="00153204">
        <w:rPr>
          <w:rFonts w:asciiTheme="minorHAnsi" w:hAnsiTheme="minorHAnsi" w:cstheme="minorHAnsi"/>
          <w:sz w:val="22"/>
          <w:szCs w:val="22"/>
        </w:rPr>
        <w:t>Capitalization</w:t>
      </w:r>
      <w:r w:rsidR="00E50680" w:rsidRPr="00153204">
        <w:rPr>
          <w:rFonts w:asciiTheme="minorHAnsi" w:hAnsiTheme="minorHAnsi" w:cstheme="minorHAnsi"/>
          <w:sz w:val="22"/>
          <w:szCs w:val="22"/>
        </w:rPr>
        <w:t xml:space="preserve"> Summary' in the attached data sheets.</w:t>
      </w:r>
    </w:p>
    <w:p w14:paraId="5E025465" w14:textId="77777777" w:rsidR="00AD4803" w:rsidRDefault="00AD4803" w:rsidP="00E77DEC">
      <w:pPr>
        <w:pStyle w:val="BodyText"/>
        <w:spacing w:before="52" w:line="360" w:lineRule="auto"/>
        <w:ind w:left="3447" w:right="-293" w:firstLine="153"/>
        <w:rPr>
          <w:rFonts w:asciiTheme="minorHAnsi" w:hAnsiTheme="minorHAnsi" w:cstheme="minorHAnsi"/>
          <w:b/>
          <w:bCs/>
          <w:color w:val="000000"/>
          <w:sz w:val="22"/>
          <w:szCs w:val="22"/>
        </w:rPr>
      </w:pPr>
    </w:p>
    <w:p w14:paraId="531DC9F4" w14:textId="77777777" w:rsidR="00AD4803" w:rsidRDefault="00AD4803" w:rsidP="00E77DEC">
      <w:pPr>
        <w:pStyle w:val="BodyText"/>
        <w:spacing w:before="52" w:line="360" w:lineRule="auto"/>
        <w:ind w:left="3447" w:right="-293" w:firstLine="153"/>
        <w:rPr>
          <w:rFonts w:asciiTheme="minorHAnsi" w:hAnsiTheme="minorHAnsi" w:cstheme="minorHAnsi"/>
          <w:b/>
          <w:bCs/>
          <w:color w:val="000000"/>
          <w:sz w:val="22"/>
          <w:szCs w:val="22"/>
        </w:rPr>
      </w:pPr>
    </w:p>
    <w:p w14:paraId="07999EBD" w14:textId="77777777" w:rsidR="00AD4803" w:rsidRDefault="00AD4803" w:rsidP="00E77DEC">
      <w:pPr>
        <w:pStyle w:val="BodyText"/>
        <w:spacing w:before="52" w:line="360" w:lineRule="auto"/>
        <w:ind w:left="3447" w:right="-293" w:firstLine="153"/>
        <w:rPr>
          <w:rFonts w:asciiTheme="minorHAnsi" w:hAnsiTheme="minorHAnsi" w:cstheme="minorHAnsi"/>
          <w:b/>
          <w:bCs/>
          <w:color w:val="000000"/>
          <w:sz w:val="22"/>
          <w:szCs w:val="22"/>
        </w:rPr>
      </w:pPr>
    </w:p>
    <w:p w14:paraId="1AE07C8B" w14:textId="55A9EF28" w:rsidR="00E77DEC" w:rsidRDefault="00177378" w:rsidP="00E77DEC">
      <w:pPr>
        <w:pStyle w:val="BodyText"/>
        <w:spacing w:before="52" w:line="360" w:lineRule="auto"/>
        <w:ind w:left="3447" w:right="-293" w:firstLine="153"/>
        <w:rPr>
          <w:rFonts w:asciiTheme="minorHAnsi" w:hAnsiTheme="minorHAnsi" w:cstheme="minorHAnsi"/>
          <w:b/>
          <w:bCs/>
          <w:color w:val="000000"/>
          <w:sz w:val="22"/>
          <w:szCs w:val="22"/>
        </w:rPr>
      </w:pPr>
      <w:r w:rsidRPr="00153204">
        <w:rPr>
          <w:rFonts w:asciiTheme="minorHAnsi" w:hAnsiTheme="minorHAnsi" w:cstheme="minorHAnsi"/>
          <w:b/>
          <w:bCs/>
          <w:color w:val="000000"/>
          <w:sz w:val="22"/>
          <w:szCs w:val="22"/>
        </w:rPr>
        <w:t>Table No.-</w:t>
      </w:r>
      <w:r w:rsidR="00E02343">
        <w:rPr>
          <w:rFonts w:asciiTheme="minorHAnsi" w:hAnsiTheme="minorHAnsi" w:cstheme="minorHAnsi"/>
          <w:b/>
          <w:bCs/>
          <w:color w:val="000000"/>
          <w:sz w:val="22"/>
          <w:szCs w:val="22"/>
        </w:rPr>
        <w:t>3</w:t>
      </w:r>
      <w:r w:rsidR="00AD4803">
        <w:rPr>
          <w:rFonts w:asciiTheme="minorHAnsi" w:hAnsiTheme="minorHAnsi" w:cstheme="minorHAnsi"/>
          <w:b/>
          <w:bCs/>
          <w:color w:val="000000"/>
          <w:sz w:val="22"/>
          <w:szCs w:val="22"/>
        </w:rPr>
        <w:t>1</w:t>
      </w:r>
      <w:r w:rsidR="00E77DEC" w:rsidRPr="00153204">
        <w:rPr>
          <w:rFonts w:asciiTheme="minorHAnsi" w:hAnsiTheme="minorHAnsi" w:cstheme="minorHAnsi"/>
          <w:b/>
          <w:bCs/>
          <w:color w:val="000000"/>
          <w:sz w:val="22"/>
          <w:szCs w:val="22"/>
        </w:rPr>
        <w:t>: Depreciation</w:t>
      </w:r>
      <w:r w:rsidR="00E77DEC" w:rsidRPr="00153204">
        <w:rPr>
          <w:rFonts w:asciiTheme="minorHAnsi" w:hAnsiTheme="minorHAnsi" w:cstheme="minorHAnsi"/>
          <w:b/>
          <w:bCs/>
          <w:color w:val="000000"/>
          <w:sz w:val="22"/>
          <w:szCs w:val="22"/>
        </w:rPr>
        <w:tab/>
      </w:r>
      <w:r w:rsidR="00E77DEC" w:rsidRPr="00153204">
        <w:rPr>
          <w:rFonts w:asciiTheme="minorHAnsi" w:hAnsiTheme="minorHAnsi" w:cstheme="minorHAnsi"/>
          <w:b/>
          <w:bCs/>
          <w:color w:val="000000"/>
          <w:sz w:val="22"/>
          <w:szCs w:val="22"/>
        </w:rPr>
        <w:tab/>
        <w:t xml:space="preserve">(In </w:t>
      </w:r>
      <w:r w:rsidR="001D6218">
        <w:rPr>
          <w:rFonts w:asciiTheme="minorHAnsi" w:hAnsiTheme="minorHAnsi" w:cstheme="minorHAnsi"/>
          <w:b/>
          <w:bCs/>
          <w:color w:val="000000"/>
          <w:sz w:val="22"/>
          <w:szCs w:val="22"/>
        </w:rPr>
        <w:t xml:space="preserve">Rs. </w:t>
      </w:r>
      <w:proofErr w:type="spellStart"/>
      <w:r w:rsidR="00E77DEC" w:rsidRPr="00153204">
        <w:rPr>
          <w:rFonts w:asciiTheme="minorHAnsi" w:hAnsiTheme="minorHAnsi" w:cstheme="minorHAnsi"/>
          <w:b/>
          <w:bCs/>
          <w:color w:val="000000"/>
          <w:sz w:val="22"/>
          <w:szCs w:val="22"/>
        </w:rPr>
        <w:t>Crs</w:t>
      </w:r>
      <w:proofErr w:type="spellEnd"/>
      <w:r w:rsidR="00E77DEC" w:rsidRPr="00153204">
        <w:rPr>
          <w:rFonts w:asciiTheme="minorHAnsi" w:hAnsiTheme="minorHAnsi" w:cstheme="minorHAnsi"/>
          <w:b/>
          <w:bCs/>
          <w:color w:val="000000"/>
          <w:sz w:val="22"/>
          <w:szCs w:val="22"/>
        </w:rPr>
        <w:t>)</w:t>
      </w:r>
    </w:p>
    <w:tbl>
      <w:tblPr>
        <w:tblW w:w="9104" w:type="dxa"/>
        <w:tblInd w:w="416" w:type="dxa"/>
        <w:tblCellMar>
          <w:left w:w="0" w:type="dxa"/>
          <w:right w:w="0" w:type="dxa"/>
        </w:tblCellMar>
        <w:tblLook w:val="04A0" w:firstRow="1" w:lastRow="0" w:firstColumn="1" w:lastColumn="0" w:noHBand="0" w:noVBand="1"/>
      </w:tblPr>
      <w:tblGrid>
        <w:gridCol w:w="3644"/>
        <w:gridCol w:w="1540"/>
        <w:gridCol w:w="1630"/>
        <w:gridCol w:w="1272"/>
        <w:gridCol w:w="1231"/>
      </w:tblGrid>
      <w:tr w:rsidR="001B18E8" w:rsidRPr="00B81CEB" w14:paraId="014EE74B" w14:textId="77777777" w:rsidTr="00AD0066">
        <w:trPr>
          <w:trHeight w:val="1170"/>
        </w:trPr>
        <w:tc>
          <w:tcPr>
            <w:tcW w:w="3644" w:type="dxa"/>
            <w:tcBorders>
              <w:top w:val="single" w:sz="8" w:space="0" w:color="auto"/>
              <w:left w:val="single" w:sz="8" w:space="0" w:color="auto"/>
              <w:bottom w:val="single" w:sz="8" w:space="0" w:color="auto"/>
              <w:right w:val="single" w:sz="8" w:space="0" w:color="auto"/>
            </w:tcBorders>
            <w:shd w:val="clear" w:color="auto" w:fill="95B3D7" w:themeFill="accent1" w:themeFillTint="99"/>
            <w:tcMar>
              <w:top w:w="0" w:type="dxa"/>
              <w:left w:w="108" w:type="dxa"/>
              <w:bottom w:w="0" w:type="dxa"/>
              <w:right w:w="108" w:type="dxa"/>
            </w:tcMar>
            <w:vAlign w:val="center"/>
            <w:hideMark/>
          </w:tcPr>
          <w:p w14:paraId="65920D61" w14:textId="77777777" w:rsidR="001B18E8" w:rsidRPr="00B81CEB" w:rsidRDefault="001B18E8">
            <w:pPr>
              <w:jc w:val="center"/>
              <w:rPr>
                <w:rFonts w:asciiTheme="minorHAnsi" w:hAnsiTheme="minorHAnsi" w:cstheme="minorHAnsi"/>
                <w:b/>
                <w:bCs/>
                <w:color w:val="000000"/>
                <w:sz w:val="22"/>
                <w:szCs w:val="22"/>
                <w:lang w:val="en-IN" w:eastAsia="en-IN"/>
              </w:rPr>
            </w:pPr>
            <w:r w:rsidRPr="00B81CEB">
              <w:rPr>
                <w:rFonts w:asciiTheme="minorHAnsi" w:hAnsiTheme="minorHAnsi" w:cstheme="minorHAnsi"/>
                <w:b/>
                <w:bCs/>
                <w:color w:val="000000"/>
                <w:sz w:val="22"/>
                <w:szCs w:val="22"/>
                <w:lang w:eastAsia="en-IN"/>
              </w:rPr>
              <w:t>Particulars</w:t>
            </w:r>
          </w:p>
        </w:tc>
        <w:tc>
          <w:tcPr>
            <w:tcW w:w="1540" w:type="dxa"/>
            <w:tcBorders>
              <w:top w:val="single" w:sz="8" w:space="0" w:color="auto"/>
              <w:left w:val="nil"/>
              <w:bottom w:val="single" w:sz="8" w:space="0" w:color="auto"/>
              <w:right w:val="single" w:sz="8" w:space="0" w:color="auto"/>
            </w:tcBorders>
            <w:shd w:val="clear" w:color="auto" w:fill="95B3D7" w:themeFill="accent1" w:themeFillTint="99"/>
            <w:tcMar>
              <w:top w:w="0" w:type="dxa"/>
              <w:left w:w="108" w:type="dxa"/>
              <w:bottom w:w="0" w:type="dxa"/>
              <w:right w:w="108" w:type="dxa"/>
            </w:tcMar>
            <w:vAlign w:val="center"/>
            <w:hideMark/>
          </w:tcPr>
          <w:p w14:paraId="2F183E3F" w14:textId="77777777" w:rsidR="001B18E8" w:rsidRPr="00B81CEB" w:rsidRDefault="001B18E8">
            <w:pPr>
              <w:jc w:val="center"/>
              <w:rPr>
                <w:rFonts w:asciiTheme="minorHAnsi" w:hAnsiTheme="minorHAnsi" w:cstheme="minorHAnsi"/>
                <w:b/>
                <w:bCs/>
                <w:color w:val="000000"/>
                <w:sz w:val="22"/>
                <w:szCs w:val="22"/>
                <w:lang w:eastAsia="en-IN"/>
              </w:rPr>
            </w:pPr>
            <w:r w:rsidRPr="00B81CEB">
              <w:rPr>
                <w:rFonts w:asciiTheme="minorHAnsi" w:hAnsiTheme="minorHAnsi" w:cstheme="minorHAnsi"/>
                <w:b/>
                <w:bCs/>
                <w:color w:val="000000"/>
                <w:sz w:val="22"/>
                <w:szCs w:val="22"/>
                <w:lang w:eastAsia="en-IN"/>
              </w:rPr>
              <w:t>Depreciation Rate Pre-92</w:t>
            </w:r>
          </w:p>
        </w:tc>
        <w:tc>
          <w:tcPr>
            <w:tcW w:w="1630" w:type="dxa"/>
            <w:tcBorders>
              <w:top w:val="single" w:sz="8" w:space="0" w:color="auto"/>
              <w:left w:val="nil"/>
              <w:bottom w:val="single" w:sz="8" w:space="0" w:color="auto"/>
              <w:right w:val="single" w:sz="8" w:space="0" w:color="auto"/>
            </w:tcBorders>
            <w:shd w:val="clear" w:color="auto" w:fill="95B3D7" w:themeFill="accent1" w:themeFillTint="99"/>
            <w:tcMar>
              <w:top w:w="0" w:type="dxa"/>
              <w:left w:w="108" w:type="dxa"/>
              <w:bottom w:w="0" w:type="dxa"/>
              <w:right w:w="108" w:type="dxa"/>
            </w:tcMar>
            <w:vAlign w:val="center"/>
            <w:hideMark/>
          </w:tcPr>
          <w:p w14:paraId="5018C1F7" w14:textId="77777777" w:rsidR="001B18E8" w:rsidRPr="00B81CEB" w:rsidRDefault="001B18E8">
            <w:pPr>
              <w:jc w:val="center"/>
              <w:rPr>
                <w:rFonts w:asciiTheme="minorHAnsi" w:hAnsiTheme="minorHAnsi" w:cstheme="minorHAnsi"/>
                <w:b/>
                <w:bCs/>
                <w:color w:val="000000"/>
                <w:sz w:val="22"/>
                <w:szCs w:val="22"/>
                <w:lang w:eastAsia="en-IN"/>
              </w:rPr>
            </w:pPr>
            <w:r w:rsidRPr="00B81CEB">
              <w:rPr>
                <w:rFonts w:asciiTheme="minorHAnsi" w:hAnsiTheme="minorHAnsi" w:cstheme="minorHAnsi"/>
                <w:b/>
                <w:bCs/>
                <w:color w:val="000000"/>
                <w:sz w:val="22"/>
                <w:szCs w:val="22"/>
                <w:lang w:eastAsia="en-IN"/>
              </w:rPr>
              <w:t>Depreciation Rate- Under Tariff Regln’22</w:t>
            </w:r>
          </w:p>
        </w:tc>
        <w:tc>
          <w:tcPr>
            <w:tcW w:w="1230" w:type="dxa"/>
            <w:tcBorders>
              <w:top w:val="single" w:sz="8" w:space="0" w:color="auto"/>
              <w:left w:val="nil"/>
              <w:bottom w:val="single" w:sz="8" w:space="0" w:color="auto"/>
              <w:right w:val="single" w:sz="8" w:space="0" w:color="auto"/>
            </w:tcBorders>
            <w:shd w:val="clear" w:color="auto" w:fill="95B3D7" w:themeFill="accent1" w:themeFillTint="99"/>
            <w:tcMar>
              <w:top w:w="0" w:type="dxa"/>
              <w:left w:w="108" w:type="dxa"/>
              <w:bottom w:w="0" w:type="dxa"/>
              <w:right w:w="108" w:type="dxa"/>
            </w:tcMar>
            <w:vAlign w:val="center"/>
            <w:hideMark/>
          </w:tcPr>
          <w:p w14:paraId="49F97E1C" w14:textId="77777777" w:rsidR="001B18E8" w:rsidRDefault="001B18E8">
            <w:pPr>
              <w:jc w:val="center"/>
              <w:rPr>
                <w:rFonts w:asciiTheme="minorHAnsi" w:hAnsiTheme="minorHAnsi" w:cstheme="minorHAnsi"/>
                <w:b/>
                <w:bCs/>
                <w:color w:val="000000"/>
                <w:sz w:val="22"/>
                <w:szCs w:val="22"/>
                <w:lang w:eastAsia="en-IN"/>
              </w:rPr>
            </w:pPr>
            <w:r w:rsidRPr="00B81CEB">
              <w:rPr>
                <w:rFonts w:asciiTheme="minorHAnsi" w:hAnsiTheme="minorHAnsi" w:cstheme="minorHAnsi"/>
                <w:b/>
                <w:bCs/>
                <w:color w:val="000000"/>
                <w:sz w:val="22"/>
                <w:szCs w:val="22"/>
                <w:lang w:eastAsia="en-IN"/>
              </w:rPr>
              <w:t>2024-25</w:t>
            </w:r>
          </w:p>
          <w:p w14:paraId="60D5FAB8" w14:textId="25F732CB" w:rsidR="00AD4803" w:rsidRPr="00B81CEB" w:rsidRDefault="00AD4803">
            <w:pPr>
              <w:jc w:val="center"/>
              <w:rPr>
                <w:rFonts w:asciiTheme="minorHAnsi" w:hAnsiTheme="minorHAnsi" w:cstheme="minorHAnsi"/>
                <w:b/>
                <w:bCs/>
                <w:color w:val="000000"/>
                <w:sz w:val="22"/>
                <w:szCs w:val="22"/>
                <w:lang w:eastAsia="en-IN"/>
              </w:rPr>
            </w:pPr>
            <w:r>
              <w:rPr>
                <w:rFonts w:asciiTheme="minorHAnsi" w:hAnsiTheme="minorHAnsi" w:cstheme="minorHAnsi"/>
                <w:b/>
                <w:bCs/>
                <w:color w:val="000000"/>
                <w:sz w:val="22"/>
                <w:szCs w:val="22"/>
                <w:lang w:eastAsia="en-IN"/>
              </w:rPr>
              <w:t>(Estimated)</w:t>
            </w:r>
          </w:p>
        </w:tc>
        <w:tc>
          <w:tcPr>
            <w:tcW w:w="1060" w:type="dxa"/>
            <w:tcBorders>
              <w:top w:val="single" w:sz="8" w:space="0" w:color="auto"/>
              <w:left w:val="nil"/>
              <w:bottom w:val="single" w:sz="8" w:space="0" w:color="auto"/>
              <w:right w:val="single" w:sz="8" w:space="0" w:color="auto"/>
            </w:tcBorders>
            <w:shd w:val="clear" w:color="auto" w:fill="95B3D7" w:themeFill="accent1" w:themeFillTint="99"/>
            <w:noWrap/>
            <w:tcMar>
              <w:top w:w="0" w:type="dxa"/>
              <w:left w:w="108" w:type="dxa"/>
              <w:bottom w:w="0" w:type="dxa"/>
              <w:right w:w="108" w:type="dxa"/>
            </w:tcMar>
            <w:vAlign w:val="center"/>
            <w:hideMark/>
          </w:tcPr>
          <w:p w14:paraId="0018B1C3" w14:textId="77777777" w:rsidR="001B18E8" w:rsidRDefault="001B18E8">
            <w:pPr>
              <w:jc w:val="center"/>
              <w:rPr>
                <w:rFonts w:asciiTheme="minorHAnsi" w:hAnsiTheme="minorHAnsi" w:cstheme="minorHAnsi"/>
                <w:b/>
                <w:bCs/>
                <w:color w:val="000000"/>
                <w:sz w:val="22"/>
                <w:szCs w:val="22"/>
                <w:lang w:eastAsia="en-IN"/>
              </w:rPr>
            </w:pPr>
            <w:r w:rsidRPr="00B81CEB">
              <w:rPr>
                <w:rFonts w:asciiTheme="minorHAnsi" w:hAnsiTheme="minorHAnsi" w:cstheme="minorHAnsi"/>
                <w:b/>
                <w:bCs/>
                <w:color w:val="000000"/>
                <w:sz w:val="22"/>
                <w:szCs w:val="22"/>
                <w:lang w:eastAsia="en-IN"/>
              </w:rPr>
              <w:t>2025-26</w:t>
            </w:r>
          </w:p>
          <w:p w14:paraId="0C004475" w14:textId="1F825DDA" w:rsidR="00AD4803" w:rsidRPr="00B81CEB" w:rsidRDefault="00AD4803">
            <w:pPr>
              <w:jc w:val="center"/>
              <w:rPr>
                <w:rFonts w:asciiTheme="minorHAnsi" w:hAnsiTheme="minorHAnsi" w:cstheme="minorHAnsi"/>
                <w:b/>
                <w:bCs/>
                <w:color w:val="000000"/>
                <w:sz w:val="22"/>
                <w:szCs w:val="22"/>
                <w:lang w:eastAsia="en-IN"/>
              </w:rPr>
            </w:pPr>
            <w:r>
              <w:rPr>
                <w:rFonts w:asciiTheme="minorHAnsi" w:hAnsiTheme="minorHAnsi" w:cstheme="minorHAnsi"/>
                <w:b/>
                <w:bCs/>
                <w:color w:val="000000"/>
                <w:sz w:val="22"/>
                <w:szCs w:val="22"/>
                <w:lang w:eastAsia="en-IN"/>
              </w:rPr>
              <w:t>(Projected)</w:t>
            </w:r>
          </w:p>
        </w:tc>
      </w:tr>
      <w:tr w:rsidR="001B18E8" w:rsidRPr="00B81CEB" w14:paraId="1758494B" w14:textId="77777777" w:rsidTr="00B81CEB">
        <w:trPr>
          <w:trHeight w:val="300"/>
        </w:trPr>
        <w:tc>
          <w:tcPr>
            <w:tcW w:w="3644"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center"/>
            <w:hideMark/>
          </w:tcPr>
          <w:p w14:paraId="75018E51" w14:textId="77777777" w:rsidR="001B18E8" w:rsidRPr="00B81CEB" w:rsidRDefault="001B18E8">
            <w:pPr>
              <w:rPr>
                <w:rFonts w:asciiTheme="minorHAnsi" w:hAnsiTheme="minorHAnsi" w:cstheme="minorHAnsi"/>
                <w:color w:val="000000"/>
                <w:sz w:val="22"/>
                <w:szCs w:val="22"/>
                <w:lang w:eastAsia="en-IN"/>
              </w:rPr>
            </w:pPr>
            <w:r w:rsidRPr="00B81CEB">
              <w:rPr>
                <w:rFonts w:asciiTheme="minorHAnsi" w:hAnsiTheme="minorHAnsi" w:cstheme="minorHAnsi"/>
                <w:color w:val="000000"/>
                <w:sz w:val="22"/>
                <w:szCs w:val="22"/>
                <w:lang w:eastAsia="en-IN"/>
              </w:rPr>
              <w:t>Buildings</w:t>
            </w:r>
          </w:p>
        </w:tc>
        <w:tc>
          <w:tcPr>
            <w:tcW w:w="1540"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57BD9F2D" w14:textId="77777777" w:rsidR="001B18E8" w:rsidRPr="00B81CEB" w:rsidRDefault="001B18E8">
            <w:pPr>
              <w:jc w:val="center"/>
              <w:rPr>
                <w:rFonts w:asciiTheme="minorHAnsi" w:hAnsiTheme="minorHAnsi" w:cstheme="minorHAnsi"/>
                <w:color w:val="000000"/>
                <w:sz w:val="22"/>
                <w:szCs w:val="22"/>
                <w:lang w:eastAsia="en-IN"/>
              </w:rPr>
            </w:pPr>
            <w:r w:rsidRPr="00B81CEB">
              <w:rPr>
                <w:rFonts w:asciiTheme="minorHAnsi" w:hAnsiTheme="minorHAnsi" w:cstheme="minorHAnsi"/>
                <w:color w:val="000000"/>
                <w:sz w:val="22"/>
                <w:szCs w:val="22"/>
                <w:lang w:eastAsia="en-IN"/>
              </w:rPr>
              <w:t>1.80%</w:t>
            </w:r>
          </w:p>
        </w:tc>
        <w:tc>
          <w:tcPr>
            <w:tcW w:w="1630"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209074F7" w14:textId="77777777" w:rsidR="001B18E8" w:rsidRPr="00B81CEB" w:rsidRDefault="001B18E8">
            <w:pPr>
              <w:jc w:val="center"/>
              <w:rPr>
                <w:rFonts w:asciiTheme="minorHAnsi" w:hAnsiTheme="minorHAnsi" w:cstheme="minorHAnsi"/>
                <w:color w:val="000000"/>
                <w:sz w:val="22"/>
                <w:szCs w:val="22"/>
                <w:lang w:eastAsia="en-IN"/>
              </w:rPr>
            </w:pPr>
            <w:r w:rsidRPr="00B81CEB">
              <w:rPr>
                <w:rFonts w:asciiTheme="minorHAnsi" w:hAnsiTheme="minorHAnsi" w:cstheme="minorHAnsi"/>
                <w:color w:val="000000"/>
                <w:sz w:val="22"/>
                <w:szCs w:val="22"/>
                <w:lang w:eastAsia="en-IN"/>
              </w:rPr>
              <w:t>3.34%</w:t>
            </w:r>
          </w:p>
        </w:tc>
        <w:tc>
          <w:tcPr>
            <w:tcW w:w="1230"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60E3E59F" w14:textId="77777777" w:rsidR="001B18E8" w:rsidRPr="00B81CEB" w:rsidRDefault="001B18E8">
            <w:pPr>
              <w:jc w:val="center"/>
              <w:rPr>
                <w:rFonts w:asciiTheme="minorHAnsi" w:hAnsiTheme="minorHAnsi" w:cstheme="minorHAnsi"/>
                <w:color w:val="000000"/>
                <w:sz w:val="22"/>
                <w:szCs w:val="22"/>
                <w:lang w:eastAsia="en-IN"/>
              </w:rPr>
            </w:pPr>
            <w:r w:rsidRPr="00B81CEB">
              <w:rPr>
                <w:rFonts w:asciiTheme="minorHAnsi" w:hAnsiTheme="minorHAnsi" w:cstheme="minorHAnsi"/>
                <w:color w:val="000000"/>
                <w:sz w:val="22"/>
                <w:szCs w:val="22"/>
                <w:lang w:eastAsia="en-IN"/>
              </w:rPr>
              <w:t>5.11</w:t>
            </w:r>
          </w:p>
        </w:tc>
        <w:tc>
          <w:tcPr>
            <w:tcW w:w="1060"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21ECDFF4" w14:textId="77777777" w:rsidR="001B18E8" w:rsidRPr="00B81CEB" w:rsidRDefault="001B18E8">
            <w:pPr>
              <w:jc w:val="center"/>
              <w:rPr>
                <w:rFonts w:asciiTheme="minorHAnsi" w:hAnsiTheme="minorHAnsi" w:cstheme="minorHAnsi"/>
                <w:color w:val="000000"/>
                <w:sz w:val="22"/>
                <w:szCs w:val="22"/>
                <w:lang w:eastAsia="en-IN"/>
              </w:rPr>
            </w:pPr>
            <w:r w:rsidRPr="00B81CEB">
              <w:rPr>
                <w:rFonts w:asciiTheme="minorHAnsi" w:hAnsiTheme="minorHAnsi" w:cstheme="minorHAnsi"/>
                <w:color w:val="000000"/>
                <w:sz w:val="22"/>
                <w:szCs w:val="22"/>
                <w:lang w:eastAsia="en-IN"/>
              </w:rPr>
              <w:t>6.42</w:t>
            </w:r>
          </w:p>
        </w:tc>
      </w:tr>
      <w:tr w:rsidR="001B18E8" w:rsidRPr="00B81CEB" w14:paraId="6770888B" w14:textId="77777777" w:rsidTr="00B81CEB">
        <w:trPr>
          <w:trHeight w:val="300"/>
        </w:trPr>
        <w:tc>
          <w:tcPr>
            <w:tcW w:w="3644"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center"/>
            <w:hideMark/>
          </w:tcPr>
          <w:p w14:paraId="310077D2" w14:textId="77777777" w:rsidR="001B18E8" w:rsidRPr="00B81CEB" w:rsidRDefault="001B18E8">
            <w:pPr>
              <w:rPr>
                <w:rFonts w:asciiTheme="minorHAnsi" w:hAnsiTheme="minorHAnsi" w:cstheme="minorHAnsi"/>
                <w:color w:val="000000"/>
                <w:sz w:val="22"/>
                <w:szCs w:val="22"/>
                <w:lang w:eastAsia="en-IN"/>
              </w:rPr>
            </w:pPr>
            <w:r w:rsidRPr="00B81CEB">
              <w:rPr>
                <w:rFonts w:asciiTheme="minorHAnsi" w:hAnsiTheme="minorHAnsi" w:cstheme="minorHAnsi"/>
                <w:color w:val="000000"/>
                <w:sz w:val="22"/>
                <w:szCs w:val="22"/>
                <w:lang w:eastAsia="en-IN"/>
              </w:rPr>
              <w:t>Network Assets &amp; Overhead lines</w:t>
            </w:r>
          </w:p>
        </w:tc>
        <w:tc>
          <w:tcPr>
            <w:tcW w:w="1540"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7A018841" w14:textId="77777777" w:rsidR="001B18E8" w:rsidRPr="00B81CEB" w:rsidRDefault="001B18E8">
            <w:pPr>
              <w:jc w:val="center"/>
              <w:rPr>
                <w:rFonts w:asciiTheme="minorHAnsi" w:hAnsiTheme="minorHAnsi" w:cstheme="minorHAnsi"/>
                <w:color w:val="000000"/>
                <w:sz w:val="22"/>
                <w:szCs w:val="22"/>
                <w:lang w:eastAsia="en-IN"/>
              </w:rPr>
            </w:pPr>
            <w:r w:rsidRPr="00B81CEB">
              <w:rPr>
                <w:rFonts w:asciiTheme="minorHAnsi" w:hAnsiTheme="minorHAnsi" w:cstheme="minorHAnsi"/>
                <w:color w:val="000000"/>
                <w:sz w:val="22"/>
                <w:szCs w:val="22"/>
                <w:lang w:eastAsia="en-IN"/>
              </w:rPr>
              <w:t>3.80%</w:t>
            </w:r>
          </w:p>
        </w:tc>
        <w:tc>
          <w:tcPr>
            <w:tcW w:w="1630"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27D52511" w14:textId="77777777" w:rsidR="001B18E8" w:rsidRPr="00B81CEB" w:rsidRDefault="001B18E8">
            <w:pPr>
              <w:jc w:val="center"/>
              <w:rPr>
                <w:rFonts w:asciiTheme="minorHAnsi" w:hAnsiTheme="minorHAnsi" w:cstheme="minorHAnsi"/>
                <w:color w:val="000000"/>
                <w:sz w:val="22"/>
                <w:szCs w:val="22"/>
                <w:lang w:eastAsia="en-IN"/>
              </w:rPr>
            </w:pPr>
            <w:r w:rsidRPr="00B81CEB">
              <w:rPr>
                <w:rFonts w:asciiTheme="minorHAnsi" w:hAnsiTheme="minorHAnsi" w:cstheme="minorHAnsi"/>
                <w:color w:val="000000"/>
                <w:sz w:val="22"/>
                <w:szCs w:val="22"/>
                <w:lang w:eastAsia="en-IN"/>
              </w:rPr>
              <w:t>4.67%</w:t>
            </w:r>
          </w:p>
        </w:tc>
        <w:tc>
          <w:tcPr>
            <w:tcW w:w="1230"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36FBD5F7" w14:textId="77777777" w:rsidR="001B18E8" w:rsidRPr="00B81CEB" w:rsidRDefault="001B18E8">
            <w:pPr>
              <w:jc w:val="center"/>
              <w:rPr>
                <w:rFonts w:asciiTheme="minorHAnsi" w:hAnsiTheme="minorHAnsi" w:cstheme="minorHAnsi"/>
                <w:color w:val="000000"/>
                <w:sz w:val="22"/>
                <w:szCs w:val="22"/>
                <w:lang w:eastAsia="en-IN"/>
              </w:rPr>
            </w:pPr>
            <w:r w:rsidRPr="00B81CEB">
              <w:rPr>
                <w:rFonts w:asciiTheme="minorHAnsi" w:hAnsiTheme="minorHAnsi" w:cstheme="minorHAnsi"/>
                <w:color w:val="000000"/>
                <w:sz w:val="22"/>
                <w:szCs w:val="22"/>
                <w:lang w:eastAsia="en-IN"/>
              </w:rPr>
              <w:t>159.20</w:t>
            </w:r>
          </w:p>
        </w:tc>
        <w:tc>
          <w:tcPr>
            <w:tcW w:w="1060"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764C47EF" w14:textId="77777777" w:rsidR="001B18E8" w:rsidRPr="00B81CEB" w:rsidRDefault="001B18E8">
            <w:pPr>
              <w:jc w:val="center"/>
              <w:rPr>
                <w:rFonts w:asciiTheme="minorHAnsi" w:hAnsiTheme="minorHAnsi" w:cstheme="minorHAnsi"/>
                <w:color w:val="000000"/>
                <w:sz w:val="22"/>
                <w:szCs w:val="22"/>
                <w:lang w:eastAsia="en-IN"/>
              </w:rPr>
            </w:pPr>
            <w:r w:rsidRPr="00B81CEB">
              <w:rPr>
                <w:rFonts w:asciiTheme="minorHAnsi" w:hAnsiTheme="minorHAnsi" w:cstheme="minorHAnsi"/>
                <w:color w:val="000000"/>
                <w:sz w:val="22"/>
                <w:szCs w:val="22"/>
                <w:lang w:eastAsia="en-IN"/>
              </w:rPr>
              <w:t>200.59</w:t>
            </w:r>
          </w:p>
        </w:tc>
      </w:tr>
      <w:tr w:rsidR="001B18E8" w:rsidRPr="00B81CEB" w14:paraId="2F8E0FAE" w14:textId="77777777" w:rsidTr="00B81CEB">
        <w:trPr>
          <w:trHeight w:val="300"/>
        </w:trPr>
        <w:tc>
          <w:tcPr>
            <w:tcW w:w="3644"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center"/>
            <w:hideMark/>
          </w:tcPr>
          <w:p w14:paraId="63332BEA" w14:textId="77777777" w:rsidR="001B18E8" w:rsidRPr="00B81CEB" w:rsidRDefault="001B18E8">
            <w:pPr>
              <w:rPr>
                <w:rFonts w:asciiTheme="minorHAnsi" w:hAnsiTheme="minorHAnsi" w:cstheme="minorHAnsi"/>
                <w:color w:val="000000"/>
                <w:sz w:val="22"/>
                <w:szCs w:val="22"/>
                <w:lang w:eastAsia="en-IN"/>
              </w:rPr>
            </w:pPr>
            <w:r w:rsidRPr="00B81CEB">
              <w:rPr>
                <w:rFonts w:asciiTheme="minorHAnsi" w:hAnsiTheme="minorHAnsi" w:cstheme="minorHAnsi"/>
                <w:color w:val="000000"/>
                <w:sz w:val="22"/>
                <w:szCs w:val="22"/>
                <w:lang w:eastAsia="en-IN"/>
              </w:rPr>
              <w:t>Furniture &amp; Fixture</w:t>
            </w:r>
          </w:p>
        </w:tc>
        <w:tc>
          <w:tcPr>
            <w:tcW w:w="1540"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3D288DAB" w14:textId="77777777" w:rsidR="001B18E8" w:rsidRPr="00B81CEB" w:rsidRDefault="001B18E8">
            <w:pPr>
              <w:jc w:val="center"/>
              <w:rPr>
                <w:rFonts w:asciiTheme="minorHAnsi" w:hAnsiTheme="minorHAnsi" w:cstheme="minorHAnsi"/>
                <w:color w:val="000000"/>
                <w:sz w:val="22"/>
                <w:szCs w:val="22"/>
                <w:lang w:eastAsia="en-IN"/>
              </w:rPr>
            </w:pPr>
            <w:r w:rsidRPr="00B81CEB">
              <w:rPr>
                <w:rFonts w:asciiTheme="minorHAnsi" w:hAnsiTheme="minorHAnsi" w:cstheme="minorHAnsi"/>
                <w:color w:val="000000"/>
                <w:sz w:val="22"/>
                <w:szCs w:val="22"/>
                <w:lang w:eastAsia="en-IN"/>
              </w:rPr>
              <w:t>4.55%</w:t>
            </w:r>
          </w:p>
        </w:tc>
        <w:tc>
          <w:tcPr>
            <w:tcW w:w="1630"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57CFB4E8" w14:textId="77777777" w:rsidR="001B18E8" w:rsidRPr="00B81CEB" w:rsidRDefault="001B18E8">
            <w:pPr>
              <w:jc w:val="center"/>
              <w:rPr>
                <w:rFonts w:asciiTheme="minorHAnsi" w:hAnsiTheme="minorHAnsi" w:cstheme="minorHAnsi"/>
                <w:color w:val="000000"/>
                <w:sz w:val="22"/>
                <w:szCs w:val="22"/>
                <w:lang w:eastAsia="en-IN"/>
              </w:rPr>
            </w:pPr>
            <w:r w:rsidRPr="00B81CEB">
              <w:rPr>
                <w:rFonts w:asciiTheme="minorHAnsi" w:hAnsiTheme="minorHAnsi" w:cstheme="minorHAnsi"/>
                <w:color w:val="000000"/>
                <w:sz w:val="22"/>
                <w:szCs w:val="22"/>
                <w:lang w:eastAsia="en-IN"/>
              </w:rPr>
              <w:t>6.33%</w:t>
            </w:r>
          </w:p>
        </w:tc>
        <w:tc>
          <w:tcPr>
            <w:tcW w:w="1230"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565C15AD" w14:textId="77777777" w:rsidR="001B18E8" w:rsidRPr="00B81CEB" w:rsidRDefault="001B18E8">
            <w:pPr>
              <w:jc w:val="center"/>
              <w:rPr>
                <w:rFonts w:asciiTheme="minorHAnsi" w:hAnsiTheme="minorHAnsi" w:cstheme="minorHAnsi"/>
                <w:color w:val="000000"/>
                <w:sz w:val="22"/>
                <w:szCs w:val="22"/>
                <w:lang w:eastAsia="en-IN"/>
              </w:rPr>
            </w:pPr>
            <w:r w:rsidRPr="00B81CEB">
              <w:rPr>
                <w:rFonts w:asciiTheme="minorHAnsi" w:hAnsiTheme="minorHAnsi" w:cstheme="minorHAnsi"/>
                <w:color w:val="000000"/>
                <w:sz w:val="22"/>
                <w:szCs w:val="22"/>
                <w:lang w:eastAsia="en-IN"/>
              </w:rPr>
              <w:t>0.97</w:t>
            </w:r>
          </w:p>
        </w:tc>
        <w:tc>
          <w:tcPr>
            <w:tcW w:w="1060"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25B86F2E" w14:textId="77777777" w:rsidR="001B18E8" w:rsidRPr="00B81CEB" w:rsidRDefault="001B18E8">
            <w:pPr>
              <w:jc w:val="center"/>
              <w:rPr>
                <w:rFonts w:asciiTheme="minorHAnsi" w:hAnsiTheme="minorHAnsi" w:cstheme="minorHAnsi"/>
                <w:color w:val="000000"/>
                <w:sz w:val="22"/>
                <w:szCs w:val="22"/>
                <w:lang w:eastAsia="en-IN"/>
              </w:rPr>
            </w:pPr>
            <w:r w:rsidRPr="00B81CEB">
              <w:rPr>
                <w:rFonts w:asciiTheme="minorHAnsi" w:hAnsiTheme="minorHAnsi" w:cstheme="minorHAnsi"/>
                <w:color w:val="000000"/>
                <w:sz w:val="22"/>
                <w:szCs w:val="22"/>
                <w:lang w:eastAsia="en-IN"/>
              </w:rPr>
              <w:t>1.39</w:t>
            </w:r>
          </w:p>
        </w:tc>
      </w:tr>
      <w:tr w:rsidR="001B18E8" w:rsidRPr="00B81CEB" w14:paraId="342FA228" w14:textId="77777777" w:rsidTr="00B81CEB">
        <w:trPr>
          <w:trHeight w:val="300"/>
        </w:trPr>
        <w:tc>
          <w:tcPr>
            <w:tcW w:w="3644"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center"/>
            <w:hideMark/>
          </w:tcPr>
          <w:p w14:paraId="77FC4320" w14:textId="77777777" w:rsidR="001B18E8" w:rsidRPr="00B81CEB" w:rsidRDefault="001B18E8">
            <w:pPr>
              <w:rPr>
                <w:rFonts w:asciiTheme="minorHAnsi" w:hAnsiTheme="minorHAnsi" w:cstheme="minorHAnsi"/>
                <w:color w:val="000000"/>
                <w:sz w:val="22"/>
                <w:szCs w:val="22"/>
                <w:lang w:eastAsia="en-IN"/>
              </w:rPr>
            </w:pPr>
            <w:r w:rsidRPr="00B81CEB">
              <w:rPr>
                <w:rFonts w:asciiTheme="minorHAnsi" w:hAnsiTheme="minorHAnsi" w:cstheme="minorHAnsi"/>
                <w:color w:val="000000"/>
                <w:sz w:val="22"/>
                <w:szCs w:val="22"/>
                <w:lang w:eastAsia="en-IN"/>
              </w:rPr>
              <w:t>Vehicles</w:t>
            </w:r>
          </w:p>
        </w:tc>
        <w:tc>
          <w:tcPr>
            <w:tcW w:w="1540"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23A81651" w14:textId="77777777" w:rsidR="001B18E8" w:rsidRPr="00B81CEB" w:rsidRDefault="001B18E8">
            <w:pPr>
              <w:jc w:val="center"/>
              <w:rPr>
                <w:rFonts w:asciiTheme="minorHAnsi" w:hAnsiTheme="minorHAnsi" w:cstheme="minorHAnsi"/>
                <w:color w:val="000000"/>
                <w:sz w:val="22"/>
                <w:szCs w:val="22"/>
                <w:lang w:eastAsia="en-IN"/>
              </w:rPr>
            </w:pPr>
            <w:r w:rsidRPr="00B81CEB">
              <w:rPr>
                <w:rFonts w:asciiTheme="minorHAnsi" w:hAnsiTheme="minorHAnsi" w:cstheme="minorHAnsi"/>
                <w:color w:val="000000"/>
                <w:sz w:val="22"/>
                <w:szCs w:val="22"/>
                <w:lang w:eastAsia="en-IN"/>
              </w:rPr>
              <w:t>12.86%</w:t>
            </w:r>
          </w:p>
        </w:tc>
        <w:tc>
          <w:tcPr>
            <w:tcW w:w="1630"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026CE64A" w14:textId="77777777" w:rsidR="001B18E8" w:rsidRPr="00B81CEB" w:rsidRDefault="001B18E8">
            <w:pPr>
              <w:jc w:val="center"/>
              <w:rPr>
                <w:rFonts w:asciiTheme="minorHAnsi" w:hAnsiTheme="minorHAnsi" w:cstheme="minorHAnsi"/>
                <w:color w:val="000000"/>
                <w:sz w:val="22"/>
                <w:szCs w:val="22"/>
                <w:lang w:eastAsia="en-IN"/>
              </w:rPr>
            </w:pPr>
            <w:r w:rsidRPr="00B81CEB">
              <w:rPr>
                <w:rFonts w:asciiTheme="minorHAnsi" w:hAnsiTheme="minorHAnsi" w:cstheme="minorHAnsi"/>
                <w:color w:val="000000"/>
                <w:sz w:val="22"/>
                <w:szCs w:val="22"/>
                <w:lang w:eastAsia="en-IN"/>
              </w:rPr>
              <w:t>9.50%</w:t>
            </w:r>
          </w:p>
        </w:tc>
        <w:tc>
          <w:tcPr>
            <w:tcW w:w="1230"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26CB5597" w14:textId="77777777" w:rsidR="001B18E8" w:rsidRPr="00B81CEB" w:rsidRDefault="001B18E8">
            <w:pPr>
              <w:jc w:val="center"/>
              <w:rPr>
                <w:rFonts w:asciiTheme="minorHAnsi" w:hAnsiTheme="minorHAnsi" w:cstheme="minorHAnsi"/>
                <w:color w:val="000000"/>
                <w:sz w:val="22"/>
                <w:szCs w:val="22"/>
                <w:lang w:eastAsia="en-IN"/>
              </w:rPr>
            </w:pPr>
            <w:r w:rsidRPr="00B81CEB">
              <w:rPr>
                <w:rFonts w:asciiTheme="minorHAnsi" w:hAnsiTheme="minorHAnsi" w:cstheme="minorHAnsi"/>
                <w:color w:val="000000"/>
                <w:sz w:val="22"/>
                <w:szCs w:val="22"/>
                <w:lang w:eastAsia="en-IN"/>
              </w:rPr>
              <w:t>0.30</w:t>
            </w:r>
          </w:p>
        </w:tc>
        <w:tc>
          <w:tcPr>
            <w:tcW w:w="1060"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619F37E1" w14:textId="77777777" w:rsidR="001B18E8" w:rsidRPr="00B81CEB" w:rsidRDefault="001B18E8">
            <w:pPr>
              <w:jc w:val="center"/>
              <w:rPr>
                <w:rFonts w:asciiTheme="minorHAnsi" w:hAnsiTheme="minorHAnsi" w:cstheme="minorHAnsi"/>
                <w:color w:val="000000"/>
                <w:sz w:val="22"/>
                <w:szCs w:val="22"/>
                <w:lang w:eastAsia="en-IN"/>
              </w:rPr>
            </w:pPr>
            <w:r w:rsidRPr="00B81CEB">
              <w:rPr>
                <w:rFonts w:asciiTheme="minorHAnsi" w:hAnsiTheme="minorHAnsi" w:cstheme="minorHAnsi"/>
                <w:color w:val="000000"/>
                <w:sz w:val="22"/>
                <w:szCs w:val="22"/>
                <w:lang w:eastAsia="en-IN"/>
              </w:rPr>
              <w:t>0.32</w:t>
            </w:r>
          </w:p>
        </w:tc>
      </w:tr>
      <w:tr w:rsidR="001B18E8" w:rsidRPr="00B81CEB" w14:paraId="56EC2F2E" w14:textId="77777777" w:rsidTr="00B81CEB">
        <w:trPr>
          <w:trHeight w:val="300"/>
        </w:trPr>
        <w:tc>
          <w:tcPr>
            <w:tcW w:w="3644"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center"/>
            <w:hideMark/>
          </w:tcPr>
          <w:p w14:paraId="226CB632" w14:textId="77777777" w:rsidR="001B18E8" w:rsidRPr="00B81CEB" w:rsidRDefault="001B18E8">
            <w:pPr>
              <w:rPr>
                <w:rFonts w:asciiTheme="minorHAnsi" w:hAnsiTheme="minorHAnsi" w:cstheme="minorHAnsi"/>
                <w:color w:val="000000"/>
                <w:sz w:val="22"/>
                <w:szCs w:val="22"/>
                <w:lang w:eastAsia="en-IN"/>
              </w:rPr>
            </w:pPr>
            <w:r w:rsidRPr="00B81CEB">
              <w:rPr>
                <w:rFonts w:asciiTheme="minorHAnsi" w:hAnsiTheme="minorHAnsi" w:cstheme="minorHAnsi"/>
                <w:color w:val="000000"/>
                <w:sz w:val="22"/>
                <w:szCs w:val="22"/>
                <w:lang w:eastAsia="en-IN"/>
              </w:rPr>
              <w:t>IT Equipment</w:t>
            </w:r>
          </w:p>
        </w:tc>
        <w:tc>
          <w:tcPr>
            <w:tcW w:w="1540"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3F965197" w14:textId="77777777" w:rsidR="001B18E8" w:rsidRPr="00B81CEB" w:rsidRDefault="001B18E8">
            <w:pPr>
              <w:rPr>
                <w:rFonts w:asciiTheme="minorHAnsi" w:hAnsiTheme="minorHAnsi" w:cstheme="minorHAnsi"/>
                <w:color w:val="000000"/>
                <w:sz w:val="22"/>
                <w:szCs w:val="22"/>
                <w:lang w:eastAsia="en-IN"/>
              </w:rPr>
            </w:pPr>
            <w:r w:rsidRPr="00B81CEB">
              <w:rPr>
                <w:rFonts w:asciiTheme="minorHAnsi" w:hAnsiTheme="minorHAnsi" w:cstheme="minorHAnsi"/>
                <w:color w:val="000000"/>
                <w:sz w:val="22"/>
                <w:szCs w:val="22"/>
                <w:lang w:eastAsia="en-IN"/>
              </w:rPr>
              <w:t> </w:t>
            </w:r>
          </w:p>
        </w:tc>
        <w:tc>
          <w:tcPr>
            <w:tcW w:w="1630"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04C4D4E4" w14:textId="77777777" w:rsidR="001B18E8" w:rsidRPr="00B81CEB" w:rsidRDefault="001B18E8">
            <w:pPr>
              <w:jc w:val="center"/>
              <w:rPr>
                <w:rFonts w:asciiTheme="minorHAnsi" w:hAnsiTheme="minorHAnsi" w:cstheme="minorHAnsi"/>
                <w:color w:val="000000"/>
                <w:sz w:val="22"/>
                <w:szCs w:val="22"/>
                <w:lang w:eastAsia="en-IN"/>
              </w:rPr>
            </w:pPr>
            <w:r w:rsidRPr="00B81CEB">
              <w:rPr>
                <w:rFonts w:asciiTheme="minorHAnsi" w:hAnsiTheme="minorHAnsi" w:cstheme="minorHAnsi"/>
                <w:color w:val="000000"/>
                <w:sz w:val="22"/>
                <w:szCs w:val="22"/>
                <w:lang w:eastAsia="en-IN"/>
              </w:rPr>
              <w:t>15.00%</w:t>
            </w:r>
          </w:p>
        </w:tc>
        <w:tc>
          <w:tcPr>
            <w:tcW w:w="1230"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0E27E9CD" w14:textId="77777777" w:rsidR="001B18E8" w:rsidRPr="00B81CEB" w:rsidRDefault="001B18E8">
            <w:pPr>
              <w:jc w:val="center"/>
              <w:rPr>
                <w:rFonts w:asciiTheme="minorHAnsi" w:hAnsiTheme="minorHAnsi" w:cstheme="minorHAnsi"/>
                <w:color w:val="000000"/>
                <w:sz w:val="22"/>
                <w:szCs w:val="22"/>
                <w:lang w:eastAsia="en-IN"/>
              </w:rPr>
            </w:pPr>
            <w:r w:rsidRPr="00B81CEB">
              <w:rPr>
                <w:rFonts w:asciiTheme="minorHAnsi" w:hAnsiTheme="minorHAnsi" w:cstheme="minorHAnsi"/>
                <w:color w:val="000000"/>
                <w:sz w:val="22"/>
                <w:szCs w:val="22"/>
                <w:lang w:eastAsia="en-IN"/>
              </w:rPr>
              <w:t>13.14</w:t>
            </w:r>
          </w:p>
        </w:tc>
        <w:tc>
          <w:tcPr>
            <w:tcW w:w="1060"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2C410F14" w14:textId="77777777" w:rsidR="001B18E8" w:rsidRPr="00B81CEB" w:rsidRDefault="001B18E8">
            <w:pPr>
              <w:jc w:val="center"/>
              <w:rPr>
                <w:rFonts w:asciiTheme="minorHAnsi" w:hAnsiTheme="minorHAnsi" w:cstheme="minorHAnsi"/>
                <w:color w:val="000000"/>
                <w:sz w:val="22"/>
                <w:szCs w:val="22"/>
                <w:lang w:eastAsia="en-IN"/>
              </w:rPr>
            </w:pPr>
            <w:r w:rsidRPr="00B81CEB">
              <w:rPr>
                <w:rFonts w:asciiTheme="minorHAnsi" w:hAnsiTheme="minorHAnsi" w:cstheme="minorHAnsi"/>
                <w:color w:val="000000"/>
                <w:sz w:val="22"/>
                <w:szCs w:val="22"/>
                <w:lang w:eastAsia="en-IN"/>
              </w:rPr>
              <w:t>18.80</w:t>
            </w:r>
          </w:p>
        </w:tc>
      </w:tr>
      <w:tr w:rsidR="001B18E8" w:rsidRPr="00B81CEB" w14:paraId="1F79AB44" w14:textId="77777777" w:rsidTr="00B81CEB">
        <w:trPr>
          <w:trHeight w:val="300"/>
        </w:trPr>
        <w:tc>
          <w:tcPr>
            <w:tcW w:w="3644"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center"/>
            <w:hideMark/>
          </w:tcPr>
          <w:p w14:paraId="3DDAEB67" w14:textId="77777777" w:rsidR="001B18E8" w:rsidRPr="00B81CEB" w:rsidRDefault="001B18E8">
            <w:pPr>
              <w:rPr>
                <w:rFonts w:asciiTheme="minorHAnsi" w:hAnsiTheme="minorHAnsi" w:cstheme="minorHAnsi"/>
                <w:color w:val="000000"/>
                <w:sz w:val="22"/>
                <w:szCs w:val="22"/>
                <w:lang w:eastAsia="en-IN"/>
              </w:rPr>
            </w:pPr>
            <w:r w:rsidRPr="00B81CEB">
              <w:rPr>
                <w:rFonts w:asciiTheme="minorHAnsi" w:hAnsiTheme="minorHAnsi" w:cstheme="minorHAnsi"/>
                <w:color w:val="000000"/>
                <w:sz w:val="22"/>
                <w:szCs w:val="22"/>
                <w:lang w:eastAsia="en-IN"/>
              </w:rPr>
              <w:t>Software</w:t>
            </w:r>
          </w:p>
        </w:tc>
        <w:tc>
          <w:tcPr>
            <w:tcW w:w="1540"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12859348" w14:textId="77777777" w:rsidR="001B18E8" w:rsidRPr="00B81CEB" w:rsidRDefault="001B18E8">
            <w:pPr>
              <w:rPr>
                <w:rFonts w:asciiTheme="minorHAnsi" w:hAnsiTheme="minorHAnsi" w:cstheme="minorHAnsi"/>
                <w:color w:val="000000"/>
                <w:sz w:val="22"/>
                <w:szCs w:val="22"/>
                <w:lang w:eastAsia="en-IN"/>
              </w:rPr>
            </w:pPr>
            <w:r w:rsidRPr="00B81CEB">
              <w:rPr>
                <w:rFonts w:asciiTheme="minorHAnsi" w:hAnsiTheme="minorHAnsi" w:cstheme="minorHAnsi"/>
                <w:color w:val="000000"/>
                <w:sz w:val="22"/>
                <w:szCs w:val="22"/>
                <w:lang w:eastAsia="en-IN"/>
              </w:rPr>
              <w:t> </w:t>
            </w:r>
          </w:p>
        </w:tc>
        <w:tc>
          <w:tcPr>
            <w:tcW w:w="1630"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296FE1DD" w14:textId="77777777" w:rsidR="001B18E8" w:rsidRPr="00B81CEB" w:rsidRDefault="001B18E8">
            <w:pPr>
              <w:jc w:val="center"/>
              <w:rPr>
                <w:rFonts w:asciiTheme="minorHAnsi" w:hAnsiTheme="minorHAnsi" w:cstheme="minorHAnsi"/>
                <w:color w:val="000000"/>
                <w:sz w:val="22"/>
                <w:szCs w:val="22"/>
                <w:lang w:eastAsia="en-IN"/>
              </w:rPr>
            </w:pPr>
            <w:r w:rsidRPr="00B81CEB">
              <w:rPr>
                <w:rFonts w:asciiTheme="minorHAnsi" w:hAnsiTheme="minorHAnsi" w:cstheme="minorHAnsi"/>
                <w:color w:val="000000"/>
                <w:sz w:val="22"/>
                <w:szCs w:val="22"/>
                <w:lang w:eastAsia="en-IN"/>
              </w:rPr>
              <w:t>30.00%</w:t>
            </w:r>
          </w:p>
        </w:tc>
        <w:tc>
          <w:tcPr>
            <w:tcW w:w="1230"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4438914F" w14:textId="77777777" w:rsidR="001B18E8" w:rsidRPr="00B81CEB" w:rsidRDefault="001B18E8">
            <w:pPr>
              <w:jc w:val="center"/>
              <w:rPr>
                <w:rFonts w:asciiTheme="minorHAnsi" w:hAnsiTheme="minorHAnsi" w:cstheme="minorHAnsi"/>
                <w:color w:val="000000"/>
                <w:sz w:val="22"/>
                <w:szCs w:val="22"/>
                <w:lang w:eastAsia="en-IN"/>
              </w:rPr>
            </w:pPr>
            <w:r w:rsidRPr="00B81CEB">
              <w:rPr>
                <w:rFonts w:asciiTheme="minorHAnsi" w:hAnsiTheme="minorHAnsi" w:cstheme="minorHAnsi"/>
                <w:color w:val="000000"/>
                <w:sz w:val="22"/>
                <w:szCs w:val="22"/>
                <w:lang w:eastAsia="en-IN"/>
              </w:rPr>
              <w:t>29.67</w:t>
            </w:r>
          </w:p>
        </w:tc>
        <w:tc>
          <w:tcPr>
            <w:tcW w:w="1060"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492B5C1D" w14:textId="77777777" w:rsidR="001B18E8" w:rsidRPr="00B81CEB" w:rsidRDefault="001B18E8">
            <w:pPr>
              <w:jc w:val="center"/>
              <w:rPr>
                <w:rFonts w:asciiTheme="minorHAnsi" w:hAnsiTheme="minorHAnsi" w:cstheme="minorHAnsi"/>
                <w:color w:val="000000"/>
                <w:sz w:val="22"/>
                <w:szCs w:val="22"/>
                <w:lang w:eastAsia="en-IN"/>
              </w:rPr>
            </w:pPr>
            <w:r w:rsidRPr="00B81CEB">
              <w:rPr>
                <w:rFonts w:asciiTheme="minorHAnsi" w:hAnsiTheme="minorHAnsi" w:cstheme="minorHAnsi"/>
                <w:color w:val="000000"/>
                <w:sz w:val="22"/>
                <w:szCs w:val="22"/>
                <w:lang w:eastAsia="en-IN"/>
              </w:rPr>
              <w:t>29.67</w:t>
            </w:r>
          </w:p>
        </w:tc>
      </w:tr>
      <w:tr w:rsidR="001B18E8" w:rsidRPr="00B81CEB" w14:paraId="09329A31" w14:textId="77777777" w:rsidTr="00B81CEB">
        <w:trPr>
          <w:trHeight w:val="300"/>
        </w:trPr>
        <w:tc>
          <w:tcPr>
            <w:tcW w:w="3644"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center"/>
            <w:hideMark/>
          </w:tcPr>
          <w:p w14:paraId="19AC044E" w14:textId="77777777" w:rsidR="001B18E8" w:rsidRPr="00B81CEB" w:rsidRDefault="001B18E8">
            <w:pPr>
              <w:rPr>
                <w:rFonts w:asciiTheme="minorHAnsi" w:hAnsiTheme="minorHAnsi" w:cstheme="minorHAnsi"/>
                <w:color w:val="000000"/>
                <w:sz w:val="22"/>
                <w:szCs w:val="22"/>
                <w:lang w:eastAsia="en-IN"/>
              </w:rPr>
            </w:pPr>
            <w:r w:rsidRPr="00B81CEB">
              <w:rPr>
                <w:rFonts w:asciiTheme="minorHAnsi" w:hAnsiTheme="minorHAnsi" w:cstheme="minorHAnsi"/>
                <w:color w:val="000000"/>
                <w:sz w:val="22"/>
                <w:szCs w:val="22"/>
                <w:lang w:eastAsia="en-IN"/>
              </w:rPr>
              <w:t>Other Equipment- Office Equip etc.</w:t>
            </w:r>
          </w:p>
        </w:tc>
        <w:tc>
          <w:tcPr>
            <w:tcW w:w="1540"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772DEB71" w14:textId="77777777" w:rsidR="001B18E8" w:rsidRPr="00B81CEB" w:rsidRDefault="001B18E8">
            <w:pPr>
              <w:jc w:val="center"/>
              <w:rPr>
                <w:rFonts w:asciiTheme="minorHAnsi" w:hAnsiTheme="minorHAnsi" w:cstheme="minorHAnsi"/>
                <w:color w:val="000000"/>
                <w:sz w:val="22"/>
                <w:szCs w:val="22"/>
                <w:lang w:eastAsia="en-IN"/>
              </w:rPr>
            </w:pPr>
            <w:r w:rsidRPr="00B81CEB">
              <w:rPr>
                <w:rFonts w:asciiTheme="minorHAnsi" w:hAnsiTheme="minorHAnsi" w:cstheme="minorHAnsi"/>
                <w:color w:val="000000"/>
                <w:sz w:val="22"/>
                <w:szCs w:val="22"/>
                <w:lang w:eastAsia="en-IN"/>
              </w:rPr>
              <w:t>9.00%</w:t>
            </w:r>
          </w:p>
        </w:tc>
        <w:tc>
          <w:tcPr>
            <w:tcW w:w="1630"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37AE365A" w14:textId="77777777" w:rsidR="001B18E8" w:rsidRPr="00B81CEB" w:rsidRDefault="001B18E8">
            <w:pPr>
              <w:jc w:val="center"/>
              <w:rPr>
                <w:rFonts w:asciiTheme="minorHAnsi" w:hAnsiTheme="minorHAnsi" w:cstheme="minorHAnsi"/>
                <w:color w:val="000000"/>
                <w:sz w:val="22"/>
                <w:szCs w:val="22"/>
                <w:lang w:eastAsia="en-IN"/>
              </w:rPr>
            </w:pPr>
            <w:r w:rsidRPr="00B81CEB">
              <w:rPr>
                <w:rFonts w:asciiTheme="minorHAnsi" w:hAnsiTheme="minorHAnsi" w:cstheme="minorHAnsi"/>
                <w:color w:val="000000"/>
                <w:sz w:val="22"/>
                <w:szCs w:val="22"/>
                <w:lang w:eastAsia="en-IN"/>
              </w:rPr>
              <w:t>6.33%</w:t>
            </w:r>
          </w:p>
        </w:tc>
        <w:tc>
          <w:tcPr>
            <w:tcW w:w="1230"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3167EE8B" w14:textId="77777777" w:rsidR="001B18E8" w:rsidRPr="00B81CEB" w:rsidRDefault="001B18E8">
            <w:pPr>
              <w:jc w:val="center"/>
              <w:rPr>
                <w:rFonts w:asciiTheme="minorHAnsi" w:hAnsiTheme="minorHAnsi" w:cstheme="minorHAnsi"/>
                <w:color w:val="000000"/>
                <w:sz w:val="22"/>
                <w:szCs w:val="22"/>
                <w:lang w:eastAsia="en-IN"/>
              </w:rPr>
            </w:pPr>
            <w:r w:rsidRPr="00B81CEB">
              <w:rPr>
                <w:rFonts w:asciiTheme="minorHAnsi" w:hAnsiTheme="minorHAnsi" w:cstheme="minorHAnsi"/>
                <w:color w:val="000000"/>
                <w:sz w:val="22"/>
                <w:szCs w:val="22"/>
                <w:lang w:eastAsia="en-IN"/>
              </w:rPr>
              <w:t>1.10</w:t>
            </w:r>
          </w:p>
        </w:tc>
        <w:tc>
          <w:tcPr>
            <w:tcW w:w="1060"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7B3707C9" w14:textId="77777777" w:rsidR="001B18E8" w:rsidRPr="00B81CEB" w:rsidRDefault="001B18E8">
            <w:pPr>
              <w:jc w:val="center"/>
              <w:rPr>
                <w:rFonts w:asciiTheme="minorHAnsi" w:hAnsiTheme="minorHAnsi" w:cstheme="minorHAnsi"/>
                <w:color w:val="000000"/>
                <w:sz w:val="22"/>
                <w:szCs w:val="22"/>
                <w:lang w:eastAsia="en-IN"/>
              </w:rPr>
            </w:pPr>
            <w:r w:rsidRPr="00B81CEB">
              <w:rPr>
                <w:rFonts w:asciiTheme="minorHAnsi" w:hAnsiTheme="minorHAnsi" w:cstheme="minorHAnsi"/>
                <w:color w:val="000000"/>
                <w:sz w:val="22"/>
                <w:szCs w:val="22"/>
                <w:lang w:eastAsia="en-IN"/>
              </w:rPr>
              <w:t>1.60</w:t>
            </w:r>
          </w:p>
        </w:tc>
      </w:tr>
      <w:tr w:rsidR="001B18E8" w:rsidRPr="00B81CEB" w14:paraId="7CBE99A9" w14:textId="77777777" w:rsidTr="00B81CEB">
        <w:trPr>
          <w:trHeight w:val="300"/>
        </w:trPr>
        <w:tc>
          <w:tcPr>
            <w:tcW w:w="3644"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center"/>
            <w:hideMark/>
          </w:tcPr>
          <w:p w14:paraId="7551FA20" w14:textId="77777777" w:rsidR="001B18E8" w:rsidRPr="00B81CEB" w:rsidRDefault="001B18E8">
            <w:pPr>
              <w:rPr>
                <w:rFonts w:asciiTheme="minorHAnsi" w:hAnsiTheme="minorHAnsi" w:cstheme="minorHAnsi"/>
                <w:color w:val="000000"/>
                <w:sz w:val="22"/>
                <w:szCs w:val="22"/>
                <w:lang w:eastAsia="en-IN"/>
              </w:rPr>
            </w:pPr>
            <w:r w:rsidRPr="00B81CEB">
              <w:rPr>
                <w:rFonts w:asciiTheme="minorHAnsi" w:hAnsiTheme="minorHAnsi" w:cstheme="minorHAnsi"/>
                <w:color w:val="000000"/>
                <w:sz w:val="22"/>
                <w:szCs w:val="22"/>
                <w:lang w:eastAsia="en-IN"/>
              </w:rPr>
              <w:t>Meter-Own Capex</w:t>
            </w:r>
          </w:p>
        </w:tc>
        <w:tc>
          <w:tcPr>
            <w:tcW w:w="1540"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64F5A3E5" w14:textId="77777777" w:rsidR="001B18E8" w:rsidRPr="00B81CEB" w:rsidRDefault="001B18E8">
            <w:pPr>
              <w:jc w:val="center"/>
              <w:rPr>
                <w:rFonts w:asciiTheme="minorHAnsi" w:hAnsiTheme="minorHAnsi" w:cstheme="minorHAnsi"/>
                <w:color w:val="000000"/>
                <w:sz w:val="22"/>
                <w:szCs w:val="22"/>
                <w:lang w:eastAsia="en-IN"/>
              </w:rPr>
            </w:pPr>
            <w:r w:rsidRPr="00B81CEB">
              <w:rPr>
                <w:rFonts w:asciiTheme="minorHAnsi" w:hAnsiTheme="minorHAnsi" w:cstheme="minorHAnsi"/>
                <w:color w:val="000000"/>
                <w:sz w:val="22"/>
                <w:szCs w:val="22"/>
                <w:lang w:eastAsia="en-IN"/>
              </w:rPr>
              <w:t>3.80%</w:t>
            </w:r>
          </w:p>
        </w:tc>
        <w:tc>
          <w:tcPr>
            <w:tcW w:w="1630"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3E9D7536" w14:textId="77777777" w:rsidR="001B18E8" w:rsidRPr="00B81CEB" w:rsidRDefault="001B18E8">
            <w:pPr>
              <w:jc w:val="center"/>
              <w:rPr>
                <w:rFonts w:asciiTheme="minorHAnsi" w:hAnsiTheme="minorHAnsi" w:cstheme="minorHAnsi"/>
                <w:color w:val="000000"/>
                <w:sz w:val="22"/>
                <w:szCs w:val="22"/>
                <w:lang w:eastAsia="en-IN"/>
              </w:rPr>
            </w:pPr>
            <w:r w:rsidRPr="00B81CEB">
              <w:rPr>
                <w:rFonts w:asciiTheme="minorHAnsi" w:hAnsiTheme="minorHAnsi" w:cstheme="minorHAnsi"/>
                <w:color w:val="000000"/>
                <w:sz w:val="22"/>
                <w:szCs w:val="22"/>
                <w:lang w:eastAsia="en-IN"/>
              </w:rPr>
              <w:t>20.00%</w:t>
            </w:r>
          </w:p>
        </w:tc>
        <w:tc>
          <w:tcPr>
            <w:tcW w:w="1230"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39A67D79" w14:textId="77777777" w:rsidR="001B18E8" w:rsidRPr="00B81CEB" w:rsidRDefault="001B18E8">
            <w:pPr>
              <w:jc w:val="center"/>
              <w:rPr>
                <w:rFonts w:asciiTheme="minorHAnsi" w:hAnsiTheme="minorHAnsi" w:cstheme="minorHAnsi"/>
                <w:color w:val="000000"/>
                <w:sz w:val="22"/>
                <w:szCs w:val="22"/>
                <w:lang w:eastAsia="en-IN"/>
              </w:rPr>
            </w:pPr>
            <w:r w:rsidRPr="00B81CEB">
              <w:rPr>
                <w:rFonts w:asciiTheme="minorHAnsi" w:hAnsiTheme="minorHAnsi" w:cstheme="minorHAnsi"/>
                <w:color w:val="000000"/>
                <w:sz w:val="22"/>
                <w:szCs w:val="22"/>
                <w:lang w:eastAsia="en-IN"/>
              </w:rPr>
              <w:t>39.12</w:t>
            </w:r>
          </w:p>
        </w:tc>
        <w:tc>
          <w:tcPr>
            <w:tcW w:w="1060"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4328512A" w14:textId="77777777" w:rsidR="001B18E8" w:rsidRPr="00B81CEB" w:rsidRDefault="001B18E8">
            <w:pPr>
              <w:jc w:val="center"/>
              <w:rPr>
                <w:rFonts w:asciiTheme="minorHAnsi" w:hAnsiTheme="minorHAnsi" w:cstheme="minorHAnsi"/>
                <w:color w:val="000000"/>
                <w:sz w:val="22"/>
                <w:szCs w:val="22"/>
                <w:lang w:eastAsia="en-IN"/>
              </w:rPr>
            </w:pPr>
            <w:r w:rsidRPr="00B81CEB">
              <w:rPr>
                <w:rFonts w:asciiTheme="minorHAnsi" w:hAnsiTheme="minorHAnsi" w:cstheme="minorHAnsi"/>
                <w:color w:val="000000"/>
                <w:sz w:val="22"/>
                <w:szCs w:val="22"/>
                <w:lang w:eastAsia="en-IN"/>
              </w:rPr>
              <w:t>64.99</w:t>
            </w:r>
          </w:p>
        </w:tc>
      </w:tr>
      <w:tr w:rsidR="001B18E8" w:rsidRPr="00B81CEB" w14:paraId="767E176F" w14:textId="77777777" w:rsidTr="00B81CEB">
        <w:trPr>
          <w:trHeight w:val="300"/>
        </w:trPr>
        <w:tc>
          <w:tcPr>
            <w:tcW w:w="3644"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center"/>
            <w:hideMark/>
          </w:tcPr>
          <w:p w14:paraId="3719EDB1" w14:textId="77777777" w:rsidR="001B18E8" w:rsidRPr="00B81CEB" w:rsidRDefault="001B18E8">
            <w:pPr>
              <w:rPr>
                <w:rFonts w:asciiTheme="minorHAnsi" w:hAnsiTheme="minorHAnsi" w:cstheme="minorHAnsi"/>
                <w:b/>
                <w:bCs/>
                <w:color w:val="000000"/>
                <w:sz w:val="22"/>
                <w:szCs w:val="22"/>
                <w:lang w:eastAsia="en-IN"/>
              </w:rPr>
            </w:pPr>
            <w:r w:rsidRPr="00B81CEB">
              <w:rPr>
                <w:rFonts w:asciiTheme="minorHAnsi" w:hAnsiTheme="minorHAnsi" w:cstheme="minorHAnsi"/>
                <w:b/>
                <w:bCs/>
                <w:color w:val="000000"/>
                <w:sz w:val="22"/>
                <w:szCs w:val="22"/>
                <w:lang w:eastAsia="en-IN"/>
              </w:rPr>
              <w:t xml:space="preserve">Gross </w:t>
            </w:r>
            <w:proofErr w:type="spellStart"/>
            <w:r w:rsidRPr="00B81CEB">
              <w:rPr>
                <w:rFonts w:asciiTheme="minorHAnsi" w:hAnsiTheme="minorHAnsi" w:cstheme="minorHAnsi"/>
                <w:b/>
                <w:bCs/>
                <w:color w:val="000000"/>
                <w:sz w:val="22"/>
                <w:szCs w:val="22"/>
                <w:lang w:eastAsia="en-IN"/>
              </w:rPr>
              <w:t>Dep'n</w:t>
            </w:r>
            <w:proofErr w:type="spellEnd"/>
          </w:p>
        </w:tc>
        <w:tc>
          <w:tcPr>
            <w:tcW w:w="1540"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78C07E88" w14:textId="77777777" w:rsidR="001B18E8" w:rsidRPr="00B81CEB" w:rsidRDefault="001B18E8">
            <w:pPr>
              <w:rPr>
                <w:rFonts w:asciiTheme="minorHAnsi" w:hAnsiTheme="minorHAnsi" w:cstheme="minorHAnsi"/>
                <w:color w:val="000000"/>
                <w:sz w:val="22"/>
                <w:szCs w:val="22"/>
                <w:lang w:eastAsia="en-IN"/>
              </w:rPr>
            </w:pPr>
            <w:r w:rsidRPr="00B81CEB">
              <w:rPr>
                <w:rFonts w:asciiTheme="minorHAnsi" w:hAnsiTheme="minorHAnsi" w:cstheme="minorHAnsi"/>
                <w:color w:val="000000"/>
                <w:sz w:val="22"/>
                <w:szCs w:val="22"/>
                <w:lang w:eastAsia="en-IN"/>
              </w:rPr>
              <w:t> </w:t>
            </w:r>
          </w:p>
        </w:tc>
        <w:tc>
          <w:tcPr>
            <w:tcW w:w="1630"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0BC32271" w14:textId="77777777" w:rsidR="001B18E8" w:rsidRPr="00B81CEB" w:rsidRDefault="001B18E8">
            <w:pPr>
              <w:rPr>
                <w:rFonts w:asciiTheme="minorHAnsi" w:hAnsiTheme="minorHAnsi" w:cstheme="minorHAnsi"/>
                <w:color w:val="000000"/>
                <w:sz w:val="22"/>
                <w:szCs w:val="22"/>
                <w:lang w:eastAsia="en-IN"/>
              </w:rPr>
            </w:pPr>
            <w:r w:rsidRPr="00B81CEB">
              <w:rPr>
                <w:rFonts w:asciiTheme="minorHAnsi" w:hAnsiTheme="minorHAnsi" w:cstheme="minorHAnsi"/>
                <w:color w:val="000000"/>
                <w:sz w:val="22"/>
                <w:szCs w:val="22"/>
                <w:lang w:eastAsia="en-IN"/>
              </w:rPr>
              <w:t> </w:t>
            </w:r>
          </w:p>
        </w:tc>
        <w:tc>
          <w:tcPr>
            <w:tcW w:w="1230"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580D066A" w14:textId="77777777" w:rsidR="001B18E8" w:rsidRPr="00B81CEB" w:rsidRDefault="001B18E8">
            <w:pPr>
              <w:jc w:val="center"/>
              <w:rPr>
                <w:rFonts w:asciiTheme="minorHAnsi" w:hAnsiTheme="minorHAnsi" w:cstheme="minorHAnsi"/>
                <w:b/>
                <w:bCs/>
                <w:color w:val="000000"/>
                <w:sz w:val="22"/>
                <w:szCs w:val="22"/>
                <w:lang w:eastAsia="en-IN"/>
              </w:rPr>
            </w:pPr>
            <w:r w:rsidRPr="00B81CEB">
              <w:rPr>
                <w:rFonts w:asciiTheme="minorHAnsi" w:hAnsiTheme="minorHAnsi" w:cstheme="minorHAnsi"/>
                <w:b/>
                <w:bCs/>
                <w:color w:val="000000"/>
                <w:sz w:val="22"/>
                <w:szCs w:val="22"/>
                <w:lang w:eastAsia="en-IN"/>
              </w:rPr>
              <w:t>248.61</w:t>
            </w:r>
          </w:p>
        </w:tc>
        <w:tc>
          <w:tcPr>
            <w:tcW w:w="1060"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06BC07A6" w14:textId="77777777" w:rsidR="001B18E8" w:rsidRPr="00B81CEB" w:rsidRDefault="001B18E8">
            <w:pPr>
              <w:jc w:val="center"/>
              <w:rPr>
                <w:rFonts w:asciiTheme="minorHAnsi" w:hAnsiTheme="minorHAnsi" w:cstheme="minorHAnsi"/>
                <w:b/>
                <w:bCs/>
                <w:color w:val="000000"/>
                <w:sz w:val="22"/>
                <w:szCs w:val="22"/>
                <w:lang w:eastAsia="en-IN"/>
              </w:rPr>
            </w:pPr>
            <w:r w:rsidRPr="00B81CEB">
              <w:rPr>
                <w:rFonts w:asciiTheme="minorHAnsi" w:hAnsiTheme="minorHAnsi" w:cstheme="minorHAnsi"/>
                <w:b/>
                <w:bCs/>
                <w:color w:val="000000"/>
                <w:sz w:val="22"/>
                <w:szCs w:val="22"/>
                <w:lang w:eastAsia="en-IN"/>
              </w:rPr>
              <w:t>323.78</w:t>
            </w:r>
          </w:p>
        </w:tc>
      </w:tr>
      <w:tr w:rsidR="001B18E8" w:rsidRPr="00B81CEB" w14:paraId="771CFAA3" w14:textId="77777777" w:rsidTr="00B81CEB">
        <w:trPr>
          <w:trHeight w:val="1455"/>
        </w:trPr>
        <w:tc>
          <w:tcPr>
            <w:tcW w:w="364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E55FD00" w14:textId="77777777" w:rsidR="001B18E8" w:rsidRPr="00B81CEB" w:rsidRDefault="001B18E8">
            <w:pPr>
              <w:rPr>
                <w:rFonts w:asciiTheme="minorHAnsi" w:hAnsiTheme="minorHAnsi" w:cstheme="minorHAnsi"/>
                <w:color w:val="000000"/>
                <w:sz w:val="22"/>
                <w:szCs w:val="22"/>
                <w:lang w:eastAsia="en-IN"/>
              </w:rPr>
            </w:pPr>
            <w:proofErr w:type="gramStart"/>
            <w:r w:rsidRPr="00B81CEB">
              <w:rPr>
                <w:rFonts w:asciiTheme="minorHAnsi" w:hAnsiTheme="minorHAnsi" w:cstheme="minorHAnsi"/>
                <w:color w:val="000000"/>
                <w:sz w:val="22"/>
                <w:szCs w:val="22"/>
                <w:lang w:eastAsia="en-IN"/>
              </w:rPr>
              <w:t>Less :</w:t>
            </w:r>
            <w:proofErr w:type="gramEnd"/>
            <w:r w:rsidRPr="00B81CEB">
              <w:rPr>
                <w:rFonts w:asciiTheme="minorHAnsi" w:hAnsiTheme="minorHAnsi" w:cstheme="minorHAnsi"/>
                <w:color w:val="000000"/>
                <w:sz w:val="22"/>
                <w:szCs w:val="22"/>
                <w:lang w:eastAsia="en-IN"/>
              </w:rPr>
              <w:t xml:space="preserve"> Amortization on assets created out of consumer </w:t>
            </w:r>
            <w:proofErr w:type="spellStart"/>
            <w:r w:rsidRPr="00B81CEB">
              <w:rPr>
                <w:rFonts w:asciiTheme="minorHAnsi" w:hAnsiTheme="minorHAnsi" w:cstheme="minorHAnsi"/>
                <w:color w:val="000000"/>
                <w:sz w:val="22"/>
                <w:szCs w:val="22"/>
                <w:lang w:eastAsia="en-IN"/>
              </w:rPr>
              <w:t>cont'bn</w:t>
            </w:r>
            <w:proofErr w:type="spellEnd"/>
            <w:r w:rsidRPr="00B81CEB">
              <w:rPr>
                <w:rFonts w:asciiTheme="minorHAnsi" w:hAnsiTheme="minorHAnsi" w:cstheme="minorHAnsi"/>
                <w:color w:val="000000"/>
                <w:sz w:val="22"/>
                <w:szCs w:val="22"/>
                <w:lang w:eastAsia="en-IN"/>
              </w:rPr>
              <w:t xml:space="preserve"> and grant (*) Amortization on Grants on Opening Grant has not been reduced since been carved out</w:t>
            </w:r>
          </w:p>
        </w:tc>
        <w:tc>
          <w:tcPr>
            <w:tcW w:w="1540"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23D7D69F" w14:textId="77777777" w:rsidR="001B18E8" w:rsidRPr="00B81CEB" w:rsidRDefault="001B18E8">
            <w:pPr>
              <w:rPr>
                <w:rFonts w:asciiTheme="minorHAnsi" w:hAnsiTheme="minorHAnsi" w:cstheme="minorHAnsi"/>
                <w:color w:val="000000"/>
                <w:sz w:val="22"/>
                <w:szCs w:val="22"/>
                <w:lang w:eastAsia="en-IN"/>
              </w:rPr>
            </w:pPr>
            <w:r w:rsidRPr="00B81CEB">
              <w:rPr>
                <w:rFonts w:asciiTheme="minorHAnsi" w:hAnsiTheme="minorHAnsi" w:cstheme="minorHAnsi"/>
                <w:color w:val="000000"/>
                <w:sz w:val="22"/>
                <w:szCs w:val="22"/>
                <w:lang w:eastAsia="en-IN"/>
              </w:rPr>
              <w:t> </w:t>
            </w:r>
          </w:p>
        </w:tc>
        <w:tc>
          <w:tcPr>
            <w:tcW w:w="1630"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2A5161A3" w14:textId="77777777" w:rsidR="001B18E8" w:rsidRPr="00B81CEB" w:rsidRDefault="001B18E8">
            <w:pPr>
              <w:rPr>
                <w:rFonts w:asciiTheme="minorHAnsi" w:hAnsiTheme="minorHAnsi" w:cstheme="minorHAnsi"/>
                <w:color w:val="000000"/>
                <w:sz w:val="22"/>
                <w:szCs w:val="22"/>
                <w:lang w:eastAsia="en-IN"/>
              </w:rPr>
            </w:pPr>
            <w:r w:rsidRPr="00B81CEB">
              <w:rPr>
                <w:rFonts w:asciiTheme="minorHAnsi" w:hAnsiTheme="minorHAnsi" w:cstheme="minorHAnsi"/>
                <w:color w:val="000000"/>
                <w:sz w:val="22"/>
                <w:szCs w:val="22"/>
                <w:lang w:eastAsia="en-IN"/>
              </w:rPr>
              <w:t> </w:t>
            </w:r>
          </w:p>
        </w:tc>
        <w:tc>
          <w:tcPr>
            <w:tcW w:w="1230"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0F1B75D2" w14:textId="77777777" w:rsidR="001B18E8" w:rsidRPr="00B81CEB" w:rsidRDefault="001B18E8">
            <w:pPr>
              <w:jc w:val="center"/>
              <w:rPr>
                <w:rFonts w:asciiTheme="minorHAnsi" w:hAnsiTheme="minorHAnsi" w:cstheme="minorHAnsi"/>
                <w:color w:val="000000"/>
                <w:sz w:val="22"/>
                <w:szCs w:val="22"/>
                <w:lang w:eastAsia="en-IN"/>
              </w:rPr>
            </w:pPr>
            <w:r w:rsidRPr="00B81CEB">
              <w:rPr>
                <w:rFonts w:asciiTheme="minorHAnsi" w:hAnsiTheme="minorHAnsi" w:cstheme="minorHAnsi"/>
                <w:color w:val="000000"/>
                <w:sz w:val="22"/>
                <w:szCs w:val="22"/>
                <w:lang w:eastAsia="en-IN"/>
              </w:rPr>
              <w:t>108.30</w:t>
            </w:r>
          </w:p>
        </w:tc>
        <w:tc>
          <w:tcPr>
            <w:tcW w:w="1060"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2B83B755" w14:textId="77777777" w:rsidR="001B18E8" w:rsidRPr="00B81CEB" w:rsidRDefault="001B18E8">
            <w:pPr>
              <w:jc w:val="center"/>
              <w:rPr>
                <w:rFonts w:asciiTheme="minorHAnsi" w:hAnsiTheme="minorHAnsi" w:cstheme="minorHAnsi"/>
                <w:color w:val="000000"/>
                <w:sz w:val="22"/>
                <w:szCs w:val="22"/>
                <w:lang w:eastAsia="en-IN"/>
              </w:rPr>
            </w:pPr>
            <w:r w:rsidRPr="00B81CEB">
              <w:rPr>
                <w:rFonts w:asciiTheme="minorHAnsi" w:hAnsiTheme="minorHAnsi" w:cstheme="minorHAnsi"/>
                <w:color w:val="000000"/>
                <w:sz w:val="22"/>
                <w:szCs w:val="22"/>
                <w:lang w:eastAsia="en-IN"/>
              </w:rPr>
              <w:t>131.49</w:t>
            </w:r>
          </w:p>
        </w:tc>
      </w:tr>
      <w:tr w:rsidR="001B18E8" w:rsidRPr="00B81CEB" w14:paraId="157E962A" w14:textId="77777777" w:rsidTr="00B81CEB">
        <w:trPr>
          <w:trHeight w:val="300"/>
        </w:trPr>
        <w:tc>
          <w:tcPr>
            <w:tcW w:w="364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DC83959" w14:textId="77777777" w:rsidR="001B18E8" w:rsidRPr="00B81CEB" w:rsidRDefault="001B18E8">
            <w:pPr>
              <w:rPr>
                <w:rFonts w:asciiTheme="minorHAnsi" w:hAnsiTheme="minorHAnsi" w:cstheme="minorHAnsi"/>
                <w:color w:val="000000"/>
                <w:sz w:val="22"/>
                <w:szCs w:val="22"/>
                <w:lang w:eastAsia="en-IN"/>
              </w:rPr>
            </w:pPr>
            <w:r w:rsidRPr="00B81CEB">
              <w:rPr>
                <w:rFonts w:asciiTheme="minorHAnsi" w:hAnsiTheme="minorHAnsi" w:cstheme="minorHAnsi"/>
                <w:color w:val="000000"/>
                <w:sz w:val="22"/>
                <w:szCs w:val="22"/>
                <w:lang w:eastAsia="en-IN"/>
              </w:rPr>
              <w:t xml:space="preserve">Less: </w:t>
            </w:r>
            <w:proofErr w:type="spellStart"/>
            <w:r w:rsidRPr="00B81CEB">
              <w:rPr>
                <w:rFonts w:asciiTheme="minorHAnsi" w:hAnsiTheme="minorHAnsi" w:cstheme="minorHAnsi"/>
                <w:color w:val="000000"/>
                <w:sz w:val="22"/>
                <w:szCs w:val="22"/>
                <w:lang w:eastAsia="en-IN"/>
              </w:rPr>
              <w:t>Dep'n</w:t>
            </w:r>
            <w:proofErr w:type="spellEnd"/>
            <w:r w:rsidRPr="00B81CEB">
              <w:rPr>
                <w:rFonts w:asciiTheme="minorHAnsi" w:hAnsiTheme="minorHAnsi" w:cstheme="minorHAnsi"/>
                <w:color w:val="000000"/>
                <w:sz w:val="22"/>
                <w:szCs w:val="22"/>
                <w:lang w:eastAsia="en-IN"/>
              </w:rPr>
              <w:t xml:space="preserve"> Meter-Own Capex</w:t>
            </w:r>
          </w:p>
        </w:tc>
        <w:tc>
          <w:tcPr>
            <w:tcW w:w="1540"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754CE82A" w14:textId="77777777" w:rsidR="001B18E8" w:rsidRPr="00B81CEB" w:rsidRDefault="001B18E8">
            <w:pPr>
              <w:rPr>
                <w:rFonts w:asciiTheme="minorHAnsi" w:hAnsiTheme="minorHAnsi" w:cstheme="minorHAnsi"/>
                <w:color w:val="000000"/>
                <w:sz w:val="22"/>
                <w:szCs w:val="22"/>
                <w:lang w:eastAsia="en-IN"/>
              </w:rPr>
            </w:pPr>
            <w:r w:rsidRPr="00B81CEB">
              <w:rPr>
                <w:rFonts w:asciiTheme="minorHAnsi" w:hAnsiTheme="minorHAnsi" w:cstheme="minorHAnsi"/>
                <w:color w:val="000000"/>
                <w:sz w:val="22"/>
                <w:szCs w:val="22"/>
                <w:lang w:eastAsia="en-IN"/>
              </w:rPr>
              <w:t> </w:t>
            </w:r>
          </w:p>
        </w:tc>
        <w:tc>
          <w:tcPr>
            <w:tcW w:w="1630"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2273957C" w14:textId="77777777" w:rsidR="001B18E8" w:rsidRPr="00B81CEB" w:rsidRDefault="001B18E8">
            <w:pPr>
              <w:rPr>
                <w:rFonts w:asciiTheme="minorHAnsi" w:hAnsiTheme="minorHAnsi" w:cstheme="minorHAnsi"/>
                <w:color w:val="000000"/>
                <w:sz w:val="22"/>
                <w:szCs w:val="22"/>
                <w:lang w:eastAsia="en-IN"/>
              </w:rPr>
            </w:pPr>
            <w:r w:rsidRPr="00B81CEB">
              <w:rPr>
                <w:rFonts w:asciiTheme="minorHAnsi" w:hAnsiTheme="minorHAnsi" w:cstheme="minorHAnsi"/>
                <w:color w:val="000000"/>
                <w:sz w:val="22"/>
                <w:szCs w:val="22"/>
                <w:lang w:eastAsia="en-IN"/>
              </w:rPr>
              <w:t> </w:t>
            </w:r>
          </w:p>
        </w:tc>
        <w:tc>
          <w:tcPr>
            <w:tcW w:w="1230"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473A8432" w14:textId="77777777" w:rsidR="001B18E8" w:rsidRPr="00B81CEB" w:rsidRDefault="001B18E8">
            <w:pPr>
              <w:jc w:val="center"/>
              <w:rPr>
                <w:rFonts w:asciiTheme="minorHAnsi" w:hAnsiTheme="minorHAnsi" w:cstheme="minorHAnsi"/>
                <w:color w:val="000000"/>
                <w:sz w:val="22"/>
                <w:szCs w:val="22"/>
                <w:lang w:eastAsia="en-IN"/>
              </w:rPr>
            </w:pPr>
            <w:r w:rsidRPr="00B81CEB">
              <w:rPr>
                <w:rFonts w:asciiTheme="minorHAnsi" w:hAnsiTheme="minorHAnsi" w:cstheme="minorHAnsi"/>
                <w:color w:val="000000"/>
                <w:sz w:val="22"/>
                <w:szCs w:val="22"/>
                <w:lang w:eastAsia="en-IN"/>
              </w:rPr>
              <w:t>39.12</w:t>
            </w:r>
          </w:p>
        </w:tc>
        <w:tc>
          <w:tcPr>
            <w:tcW w:w="1060"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2AEE5D50" w14:textId="77777777" w:rsidR="001B18E8" w:rsidRPr="00B81CEB" w:rsidRDefault="001B18E8">
            <w:pPr>
              <w:jc w:val="center"/>
              <w:rPr>
                <w:rFonts w:asciiTheme="minorHAnsi" w:hAnsiTheme="minorHAnsi" w:cstheme="minorHAnsi"/>
                <w:color w:val="000000"/>
                <w:sz w:val="22"/>
                <w:szCs w:val="22"/>
                <w:lang w:eastAsia="en-IN"/>
              </w:rPr>
            </w:pPr>
            <w:r w:rsidRPr="00B81CEB">
              <w:rPr>
                <w:rFonts w:asciiTheme="minorHAnsi" w:hAnsiTheme="minorHAnsi" w:cstheme="minorHAnsi"/>
                <w:color w:val="000000"/>
                <w:sz w:val="22"/>
                <w:szCs w:val="22"/>
                <w:lang w:eastAsia="en-IN"/>
              </w:rPr>
              <w:t>64.99</w:t>
            </w:r>
          </w:p>
        </w:tc>
      </w:tr>
      <w:tr w:rsidR="001B18E8" w:rsidRPr="00B81CEB" w14:paraId="51083A05" w14:textId="77777777" w:rsidTr="00AD0066">
        <w:trPr>
          <w:trHeight w:val="300"/>
        </w:trPr>
        <w:tc>
          <w:tcPr>
            <w:tcW w:w="3644" w:type="dxa"/>
            <w:tcBorders>
              <w:top w:val="nil"/>
              <w:left w:val="single" w:sz="8" w:space="0" w:color="auto"/>
              <w:bottom w:val="single" w:sz="8" w:space="0" w:color="auto"/>
              <w:right w:val="single" w:sz="8" w:space="0" w:color="auto"/>
            </w:tcBorders>
            <w:shd w:val="clear" w:color="auto" w:fill="95B3D7" w:themeFill="accent1" w:themeFillTint="99"/>
            <w:noWrap/>
            <w:tcMar>
              <w:top w:w="0" w:type="dxa"/>
              <w:left w:w="108" w:type="dxa"/>
              <w:bottom w:w="0" w:type="dxa"/>
              <w:right w:w="108" w:type="dxa"/>
            </w:tcMar>
            <w:vAlign w:val="center"/>
            <w:hideMark/>
          </w:tcPr>
          <w:p w14:paraId="34538367" w14:textId="77777777" w:rsidR="001B18E8" w:rsidRPr="00B81CEB" w:rsidRDefault="001B18E8">
            <w:pPr>
              <w:rPr>
                <w:rFonts w:asciiTheme="minorHAnsi" w:hAnsiTheme="minorHAnsi" w:cstheme="minorHAnsi"/>
                <w:b/>
                <w:bCs/>
                <w:color w:val="000000"/>
                <w:sz w:val="22"/>
                <w:szCs w:val="22"/>
                <w:lang w:eastAsia="en-IN"/>
              </w:rPr>
            </w:pPr>
            <w:r w:rsidRPr="00B81CEB">
              <w:rPr>
                <w:rFonts w:asciiTheme="minorHAnsi" w:hAnsiTheme="minorHAnsi" w:cstheme="minorHAnsi"/>
                <w:b/>
                <w:bCs/>
                <w:color w:val="000000"/>
                <w:sz w:val="22"/>
                <w:szCs w:val="22"/>
                <w:lang w:eastAsia="en-IN"/>
              </w:rPr>
              <w:t>Net effect to ARR</w:t>
            </w:r>
          </w:p>
        </w:tc>
        <w:tc>
          <w:tcPr>
            <w:tcW w:w="1540" w:type="dxa"/>
            <w:tcBorders>
              <w:top w:val="nil"/>
              <w:left w:val="nil"/>
              <w:bottom w:val="single" w:sz="8" w:space="0" w:color="auto"/>
              <w:right w:val="single" w:sz="8" w:space="0" w:color="auto"/>
            </w:tcBorders>
            <w:shd w:val="clear" w:color="auto" w:fill="95B3D7" w:themeFill="accent1" w:themeFillTint="99"/>
            <w:noWrap/>
            <w:tcMar>
              <w:top w:w="0" w:type="dxa"/>
              <w:left w:w="108" w:type="dxa"/>
              <w:bottom w:w="0" w:type="dxa"/>
              <w:right w:w="108" w:type="dxa"/>
            </w:tcMar>
            <w:vAlign w:val="center"/>
            <w:hideMark/>
          </w:tcPr>
          <w:p w14:paraId="02E4DE76" w14:textId="77777777" w:rsidR="001B18E8" w:rsidRPr="00B81CEB" w:rsidRDefault="001B18E8">
            <w:pPr>
              <w:rPr>
                <w:rFonts w:asciiTheme="minorHAnsi" w:hAnsiTheme="minorHAnsi" w:cstheme="minorHAnsi"/>
                <w:color w:val="000000"/>
                <w:sz w:val="22"/>
                <w:szCs w:val="22"/>
                <w:lang w:eastAsia="en-IN"/>
              </w:rPr>
            </w:pPr>
            <w:r w:rsidRPr="00B81CEB">
              <w:rPr>
                <w:rFonts w:asciiTheme="minorHAnsi" w:hAnsiTheme="minorHAnsi" w:cstheme="minorHAnsi"/>
                <w:color w:val="000000"/>
                <w:sz w:val="22"/>
                <w:szCs w:val="22"/>
                <w:lang w:eastAsia="en-IN"/>
              </w:rPr>
              <w:t> </w:t>
            </w:r>
          </w:p>
        </w:tc>
        <w:tc>
          <w:tcPr>
            <w:tcW w:w="1630" w:type="dxa"/>
            <w:tcBorders>
              <w:top w:val="nil"/>
              <w:left w:val="nil"/>
              <w:bottom w:val="single" w:sz="8" w:space="0" w:color="auto"/>
              <w:right w:val="single" w:sz="8" w:space="0" w:color="auto"/>
            </w:tcBorders>
            <w:shd w:val="clear" w:color="auto" w:fill="95B3D7" w:themeFill="accent1" w:themeFillTint="99"/>
            <w:noWrap/>
            <w:tcMar>
              <w:top w:w="0" w:type="dxa"/>
              <w:left w:w="108" w:type="dxa"/>
              <w:bottom w:w="0" w:type="dxa"/>
              <w:right w:w="108" w:type="dxa"/>
            </w:tcMar>
            <w:vAlign w:val="center"/>
            <w:hideMark/>
          </w:tcPr>
          <w:p w14:paraId="213718C1" w14:textId="77777777" w:rsidR="001B18E8" w:rsidRPr="00B81CEB" w:rsidRDefault="001B18E8">
            <w:pPr>
              <w:rPr>
                <w:rFonts w:asciiTheme="minorHAnsi" w:hAnsiTheme="minorHAnsi" w:cstheme="minorHAnsi"/>
                <w:color w:val="000000"/>
                <w:sz w:val="22"/>
                <w:szCs w:val="22"/>
                <w:lang w:eastAsia="en-IN"/>
              </w:rPr>
            </w:pPr>
            <w:r w:rsidRPr="00B81CEB">
              <w:rPr>
                <w:rFonts w:asciiTheme="minorHAnsi" w:hAnsiTheme="minorHAnsi" w:cstheme="minorHAnsi"/>
                <w:color w:val="000000"/>
                <w:sz w:val="22"/>
                <w:szCs w:val="22"/>
                <w:lang w:eastAsia="en-IN"/>
              </w:rPr>
              <w:t> </w:t>
            </w:r>
          </w:p>
        </w:tc>
        <w:tc>
          <w:tcPr>
            <w:tcW w:w="1230" w:type="dxa"/>
            <w:tcBorders>
              <w:top w:val="nil"/>
              <w:left w:val="nil"/>
              <w:bottom w:val="single" w:sz="8" w:space="0" w:color="auto"/>
              <w:right w:val="single" w:sz="8" w:space="0" w:color="auto"/>
            </w:tcBorders>
            <w:shd w:val="clear" w:color="auto" w:fill="95B3D7" w:themeFill="accent1" w:themeFillTint="99"/>
            <w:noWrap/>
            <w:tcMar>
              <w:top w:w="0" w:type="dxa"/>
              <w:left w:w="108" w:type="dxa"/>
              <w:bottom w:w="0" w:type="dxa"/>
              <w:right w:w="108" w:type="dxa"/>
            </w:tcMar>
            <w:vAlign w:val="center"/>
            <w:hideMark/>
          </w:tcPr>
          <w:p w14:paraId="59BD6D52" w14:textId="77777777" w:rsidR="001B18E8" w:rsidRPr="00B81CEB" w:rsidRDefault="001B18E8">
            <w:pPr>
              <w:jc w:val="center"/>
              <w:rPr>
                <w:rFonts w:asciiTheme="minorHAnsi" w:hAnsiTheme="minorHAnsi" w:cstheme="minorHAnsi"/>
                <w:b/>
                <w:bCs/>
                <w:color w:val="000000"/>
                <w:sz w:val="22"/>
                <w:szCs w:val="22"/>
                <w:lang w:eastAsia="en-IN"/>
              </w:rPr>
            </w:pPr>
            <w:r w:rsidRPr="00B81CEB">
              <w:rPr>
                <w:rFonts w:asciiTheme="minorHAnsi" w:hAnsiTheme="minorHAnsi" w:cstheme="minorHAnsi"/>
                <w:b/>
                <w:bCs/>
                <w:color w:val="000000"/>
                <w:sz w:val="22"/>
                <w:szCs w:val="22"/>
                <w:lang w:eastAsia="en-IN"/>
              </w:rPr>
              <w:t>101.19</w:t>
            </w:r>
          </w:p>
        </w:tc>
        <w:tc>
          <w:tcPr>
            <w:tcW w:w="1060" w:type="dxa"/>
            <w:tcBorders>
              <w:top w:val="nil"/>
              <w:left w:val="nil"/>
              <w:bottom w:val="single" w:sz="8" w:space="0" w:color="auto"/>
              <w:right w:val="single" w:sz="8" w:space="0" w:color="auto"/>
            </w:tcBorders>
            <w:shd w:val="clear" w:color="auto" w:fill="95B3D7" w:themeFill="accent1" w:themeFillTint="99"/>
            <w:noWrap/>
            <w:tcMar>
              <w:top w:w="0" w:type="dxa"/>
              <w:left w:w="108" w:type="dxa"/>
              <w:bottom w:w="0" w:type="dxa"/>
              <w:right w:w="108" w:type="dxa"/>
            </w:tcMar>
            <w:vAlign w:val="center"/>
            <w:hideMark/>
          </w:tcPr>
          <w:p w14:paraId="5317BF06" w14:textId="77777777" w:rsidR="001B18E8" w:rsidRPr="00B81CEB" w:rsidRDefault="001B18E8">
            <w:pPr>
              <w:jc w:val="center"/>
              <w:rPr>
                <w:rFonts w:asciiTheme="minorHAnsi" w:hAnsiTheme="minorHAnsi" w:cstheme="minorHAnsi"/>
                <w:b/>
                <w:bCs/>
                <w:color w:val="000000"/>
                <w:sz w:val="22"/>
                <w:szCs w:val="22"/>
                <w:lang w:eastAsia="en-IN"/>
              </w:rPr>
            </w:pPr>
            <w:r w:rsidRPr="00B81CEB">
              <w:rPr>
                <w:rFonts w:asciiTheme="minorHAnsi" w:hAnsiTheme="minorHAnsi" w:cstheme="minorHAnsi"/>
                <w:b/>
                <w:bCs/>
                <w:color w:val="000000"/>
                <w:sz w:val="22"/>
                <w:szCs w:val="22"/>
                <w:lang w:eastAsia="en-IN"/>
              </w:rPr>
              <w:t>127.30</w:t>
            </w:r>
          </w:p>
        </w:tc>
      </w:tr>
    </w:tbl>
    <w:p w14:paraId="320AD8ED" w14:textId="26AE0AF3" w:rsidR="00D4188C" w:rsidRDefault="00A72DAD" w:rsidP="00B81CEB">
      <w:pPr>
        <w:pStyle w:val="BodyText"/>
        <w:spacing w:before="52" w:line="360" w:lineRule="auto"/>
        <w:ind w:right="-293"/>
        <w:rPr>
          <w:rFonts w:asciiTheme="minorHAnsi" w:hAnsiTheme="minorHAnsi" w:cstheme="minorHAnsi"/>
          <w:b/>
          <w:bCs/>
          <w:color w:val="000000"/>
          <w:sz w:val="22"/>
          <w:szCs w:val="22"/>
        </w:rPr>
      </w:pPr>
      <w:r w:rsidRPr="00153204">
        <w:rPr>
          <w:rFonts w:asciiTheme="minorHAnsi" w:hAnsiTheme="minorHAnsi" w:cstheme="minorHAnsi"/>
          <w:noProof/>
          <w:sz w:val="22"/>
          <w:szCs w:val="22"/>
          <w:lang w:val="en-IN" w:eastAsia="en-IN"/>
        </w:rPr>
        <mc:AlternateContent>
          <mc:Choice Requires="wps">
            <w:drawing>
              <wp:anchor distT="0" distB="0" distL="114300" distR="114300" simplePos="0" relativeHeight="252097024" behindDoc="1" locked="0" layoutInCell="1" allowOverlap="1" wp14:anchorId="5B3C6E27" wp14:editId="48FAC5E8">
                <wp:simplePos x="0" y="0"/>
                <wp:positionH relativeFrom="margin">
                  <wp:posOffset>260985</wp:posOffset>
                </wp:positionH>
                <wp:positionV relativeFrom="paragraph">
                  <wp:posOffset>356235</wp:posOffset>
                </wp:positionV>
                <wp:extent cx="5905500" cy="514350"/>
                <wp:effectExtent l="0" t="0" r="19050" b="19050"/>
                <wp:wrapSquare wrapText="bothSides"/>
                <wp:docPr id="33" name="Rectangle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905500" cy="514350"/>
                        </a:xfrm>
                        <a:prstGeom prst="rect">
                          <a:avLst/>
                        </a:prstGeom>
                        <a:solidFill>
                          <a:srgbClr val="1F497D">
                            <a:lumMod val="20000"/>
                            <a:lumOff val="80000"/>
                          </a:srgbClr>
                        </a:solidFill>
                        <a:ln w="9525">
                          <a:solidFill>
                            <a:srgbClr val="000000"/>
                          </a:solidFill>
                          <a:miter lim="800000"/>
                          <a:headEnd/>
                          <a:tailEnd/>
                        </a:ln>
                      </wps:spPr>
                      <wps:txbx>
                        <w:txbxContent>
                          <w:p w14:paraId="4D80854F" w14:textId="4467489F" w:rsidR="00535B24" w:rsidRPr="00B81CEB" w:rsidRDefault="00535B24" w:rsidP="00D4188C">
                            <w:pPr>
                              <w:pStyle w:val="Heading1"/>
                              <w:spacing w:line="360" w:lineRule="auto"/>
                              <w:jc w:val="both"/>
                              <w:rPr>
                                <w:rFonts w:asciiTheme="minorHAnsi" w:hAnsiTheme="minorHAnsi" w:cstheme="minorHAnsi"/>
                                <w:sz w:val="28"/>
                                <w:szCs w:val="22"/>
                              </w:rPr>
                            </w:pPr>
                            <w:r w:rsidRPr="00B81CEB">
                              <w:rPr>
                                <w:rFonts w:asciiTheme="minorHAnsi" w:hAnsiTheme="minorHAnsi" w:cstheme="minorHAnsi"/>
                                <w:sz w:val="28"/>
                                <w:szCs w:val="22"/>
                              </w:rPr>
                              <w:t>2.10 Interest Expenses</w:t>
                            </w:r>
                          </w:p>
                          <w:p w14:paraId="6530D7BC" w14:textId="76E1BF9B" w:rsidR="00535B24" w:rsidRPr="00E560A3" w:rsidRDefault="00535B24" w:rsidP="00D4188C">
                            <w:pPr>
                              <w:rPr>
                                <w:rFonts w:asciiTheme="minorHAnsi" w:hAnsiTheme="minorHAnsi" w:cstheme="minorHAnsi"/>
                                <w:b/>
                                <w:sz w:val="28"/>
                                <w:szCs w:val="28"/>
                                <w:lang w:val="en-IN"/>
                              </w:rPr>
                            </w:pPr>
                          </w:p>
                        </w:txbxContent>
                      </wps:txbx>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rect w14:anchorId="5B3C6E27" id="_x0000_s1037" style="position:absolute;margin-left:20.55pt;margin-top:28.05pt;width:465pt;height:40.5pt;z-index:-25121945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" fillcolor="#c6d9f1">
                <v:textbox>
                  <w:txbxContent>
                    <w:p w14:paraId="4D80854F" w14:textId="4467489F" w:rsidR="00535B24" w:rsidRPr="00B81CEB" w:rsidRDefault="00535B24" w:rsidP="00D4188C">
                      <w:pPr>
                        <w:pStyle w:val="Heading1"/>
                        <w:spacing w:line="360" w:lineRule="auto"/>
                        <w:jc w:val="both"/>
                        <w:rPr>
                          <w:rFonts w:asciiTheme="minorHAnsi" w:hAnsiTheme="minorHAnsi" w:cstheme="minorHAnsi"/>
                          <w:sz w:val="28"/>
                          <w:szCs w:val="22"/>
                        </w:rPr>
                      </w:pPr>
                      <w:r w:rsidRPr="00B81CEB">
                        <w:rPr>
                          <w:rFonts w:asciiTheme="minorHAnsi" w:hAnsiTheme="minorHAnsi" w:cstheme="minorHAnsi"/>
                          <w:sz w:val="28"/>
                          <w:szCs w:val="22"/>
                        </w:rPr>
                        <w:t>2.10 Interest Expenses</w:t>
                      </w:r>
                    </w:p>
                    <w:p w14:paraId="6530D7BC" w14:textId="76E1BF9B" w:rsidR="00535B24" w:rsidRPr="00E560A3" w:rsidRDefault="00535B24" w:rsidP="00D4188C">
                      <w:pPr>
                        <w:rPr>
                          <w:rFonts w:asciiTheme="minorHAnsi" w:hAnsiTheme="minorHAnsi" w:cstheme="minorHAnsi"/>
                          <w:b/>
                          <w:sz w:val="28"/>
                          <w:szCs w:val="28"/>
                          <w:lang w:val="en-IN"/>
                        </w:rPr>
                      </w:pPr>
                    </w:p>
                  </w:txbxContent>
                </v:textbox>
                <w10:wrap type="square" anchorx="margin"/>
              </v:rect>
            </w:pict>
          </mc:Fallback>
        </mc:AlternateContent>
      </w:r>
    </w:p>
    <w:p w14:paraId="2ED33938" w14:textId="77777777" w:rsidR="00F43858" w:rsidRDefault="00F43858" w:rsidP="00B81CEB">
      <w:pPr>
        <w:pStyle w:val="BodyText"/>
        <w:spacing w:before="52" w:line="360" w:lineRule="auto"/>
        <w:ind w:right="-293"/>
        <w:rPr>
          <w:rFonts w:asciiTheme="minorHAnsi" w:hAnsiTheme="minorHAnsi" w:cstheme="minorHAnsi"/>
          <w:b/>
          <w:bCs/>
          <w:color w:val="000000"/>
          <w:sz w:val="22"/>
          <w:szCs w:val="22"/>
        </w:rPr>
      </w:pPr>
    </w:p>
    <w:p w14:paraId="7B95F39D" w14:textId="3E9D3CCD" w:rsidR="002E09B9" w:rsidRPr="00153204" w:rsidRDefault="00530F0D" w:rsidP="002334A3">
      <w:pPr>
        <w:spacing w:line="360" w:lineRule="auto"/>
        <w:ind w:left="567"/>
        <w:jc w:val="both"/>
        <w:rPr>
          <w:rFonts w:asciiTheme="minorHAnsi" w:hAnsiTheme="minorHAnsi" w:cstheme="minorHAnsi"/>
          <w:sz w:val="22"/>
          <w:szCs w:val="22"/>
        </w:rPr>
      </w:pPr>
      <w:r w:rsidRPr="00153204">
        <w:rPr>
          <w:rFonts w:asciiTheme="minorHAnsi" w:hAnsiTheme="minorHAnsi" w:cstheme="minorHAnsi"/>
          <w:sz w:val="22"/>
          <w:szCs w:val="22"/>
        </w:rPr>
        <w:t>TPNODL would like to submit that the following interest expenses</w:t>
      </w:r>
      <w:r w:rsidR="00E62809" w:rsidRPr="00153204">
        <w:rPr>
          <w:rFonts w:asciiTheme="minorHAnsi" w:hAnsiTheme="minorHAnsi" w:cstheme="minorHAnsi"/>
          <w:sz w:val="22"/>
          <w:szCs w:val="22"/>
        </w:rPr>
        <w:t xml:space="preserve"> on </w:t>
      </w:r>
      <w:r w:rsidR="007577C5" w:rsidRPr="00153204">
        <w:rPr>
          <w:rFonts w:asciiTheme="minorHAnsi" w:hAnsiTheme="minorHAnsi" w:cstheme="minorHAnsi"/>
          <w:sz w:val="22"/>
          <w:szCs w:val="22"/>
        </w:rPr>
        <w:t>loans will</w:t>
      </w:r>
      <w:r w:rsidRPr="00153204">
        <w:rPr>
          <w:rFonts w:asciiTheme="minorHAnsi" w:hAnsiTheme="minorHAnsi" w:cstheme="minorHAnsi"/>
          <w:sz w:val="22"/>
          <w:szCs w:val="22"/>
        </w:rPr>
        <w:t xml:space="preserve"> be incurred for smooth</w:t>
      </w:r>
      <w:r w:rsidR="002E09B9" w:rsidRPr="00153204">
        <w:rPr>
          <w:rFonts w:asciiTheme="minorHAnsi" w:hAnsiTheme="minorHAnsi" w:cstheme="minorHAnsi"/>
          <w:sz w:val="22"/>
          <w:szCs w:val="22"/>
        </w:rPr>
        <w:t xml:space="preserve"> operation of the licensee.</w:t>
      </w:r>
    </w:p>
    <w:p w14:paraId="34A03E9A" w14:textId="3F000EB0" w:rsidR="00530F0D" w:rsidRPr="00B81CEB" w:rsidRDefault="00CD336C" w:rsidP="002334A3">
      <w:pPr>
        <w:pStyle w:val="Heading1"/>
        <w:spacing w:line="360" w:lineRule="auto"/>
        <w:ind w:left="567"/>
        <w:jc w:val="both"/>
        <w:rPr>
          <w:rFonts w:asciiTheme="minorHAnsi" w:hAnsiTheme="minorHAnsi" w:cstheme="minorHAnsi"/>
          <w:sz w:val="24"/>
          <w:szCs w:val="22"/>
        </w:rPr>
      </w:pPr>
      <w:r w:rsidRPr="00B81CEB">
        <w:rPr>
          <w:rFonts w:asciiTheme="minorHAnsi" w:hAnsiTheme="minorHAnsi" w:cstheme="minorHAnsi"/>
          <w:sz w:val="24"/>
          <w:szCs w:val="22"/>
        </w:rPr>
        <w:t>2.</w:t>
      </w:r>
      <w:r w:rsidR="0088472B" w:rsidRPr="00B81CEB">
        <w:rPr>
          <w:rFonts w:asciiTheme="minorHAnsi" w:hAnsiTheme="minorHAnsi" w:cstheme="minorHAnsi"/>
          <w:sz w:val="24"/>
          <w:szCs w:val="22"/>
        </w:rPr>
        <w:t>10</w:t>
      </w:r>
      <w:r w:rsidR="00263480" w:rsidRPr="00B81CEB">
        <w:rPr>
          <w:rFonts w:asciiTheme="minorHAnsi" w:hAnsiTheme="minorHAnsi" w:cstheme="minorHAnsi"/>
          <w:sz w:val="24"/>
          <w:szCs w:val="22"/>
        </w:rPr>
        <w:t xml:space="preserve">.1 </w:t>
      </w:r>
      <w:r w:rsidR="00530F0D" w:rsidRPr="00B81CEB">
        <w:rPr>
          <w:rFonts w:asciiTheme="minorHAnsi" w:hAnsiTheme="minorHAnsi" w:cstheme="minorHAnsi"/>
          <w:sz w:val="24"/>
          <w:szCs w:val="22"/>
        </w:rPr>
        <w:t>Interest on Security Deposit</w:t>
      </w:r>
    </w:p>
    <w:p w14:paraId="34A03E9B" w14:textId="77777777" w:rsidR="00530F0D" w:rsidRPr="00153204" w:rsidRDefault="00530F0D" w:rsidP="002334A3">
      <w:pPr>
        <w:pStyle w:val="PwcUttaranchalNormalTextFinalCharChar"/>
        <w:ind w:left="567"/>
        <w:rPr>
          <w:rFonts w:asciiTheme="minorHAnsi" w:hAnsiTheme="minorHAnsi" w:cstheme="minorHAnsi"/>
          <w:sz w:val="22"/>
          <w:szCs w:val="22"/>
        </w:rPr>
      </w:pPr>
      <w:r w:rsidRPr="00153204">
        <w:rPr>
          <w:rFonts w:asciiTheme="minorHAnsi" w:hAnsiTheme="minorHAnsi" w:cstheme="minorHAnsi"/>
          <w:sz w:val="22"/>
          <w:szCs w:val="22"/>
        </w:rPr>
        <w:t xml:space="preserve">Section 47(4) of the Electricity Act 2003 states that “The distribution Utility shall pay interest equivalent to the bank rate or more, as may be specified by the concerned State Commission, on the security referred to in sub-section (1) and refund such security on the request of the person who gave such security.” </w:t>
      </w:r>
    </w:p>
    <w:p w14:paraId="34A03E9C" w14:textId="7AF5CAB1" w:rsidR="00530F0D" w:rsidRPr="00153204" w:rsidRDefault="00530F0D" w:rsidP="002334A3">
      <w:pPr>
        <w:pStyle w:val="PwcUttaranchalNormalTextFinalCharChar"/>
        <w:ind w:left="567"/>
        <w:rPr>
          <w:rFonts w:asciiTheme="minorHAnsi" w:hAnsiTheme="minorHAnsi" w:cstheme="minorHAnsi"/>
          <w:sz w:val="22"/>
          <w:szCs w:val="22"/>
        </w:rPr>
      </w:pPr>
      <w:r w:rsidRPr="00153204">
        <w:rPr>
          <w:rFonts w:asciiTheme="minorHAnsi" w:hAnsiTheme="minorHAnsi" w:cstheme="minorHAnsi"/>
          <w:sz w:val="22"/>
          <w:szCs w:val="22"/>
        </w:rPr>
        <w:t xml:space="preserve">The OERC Distribution (Conditions of Supply) Code 2019, Regulation (57) also mandates the payment of interest on consumer security deposit, the manner in which it is to be administered and penal provisions for delay in making such payments. </w:t>
      </w:r>
    </w:p>
    <w:p w14:paraId="426DE282" w14:textId="31955BCC" w:rsidR="00424727" w:rsidRPr="00153204" w:rsidRDefault="00424727" w:rsidP="002334A3">
      <w:pPr>
        <w:pStyle w:val="PwcUttaranchalNormalTextFinalCharChar"/>
        <w:ind w:left="567"/>
        <w:rPr>
          <w:rFonts w:asciiTheme="minorHAnsi" w:hAnsiTheme="minorHAnsi" w:cstheme="minorHAnsi"/>
          <w:sz w:val="22"/>
          <w:szCs w:val="22"/>
        </w:rPr>
      </w:pPr>
      <w:r w:rsidRPr="00153204">
        <w:rPr>
          <w:rFonts w:asciiTheme="minorHAnsi" w:hAnsiTheme="minorHAnsi" w:cstheme="minorHAnsi"/>
          <w:sz w:val="22"/>
          <w:szCs w:val="22"/>
        </w:rPr>
        <w:lastRenderedPageBreak/>
        <w:t>Relevant extracts of Supply Code,2019 is reproduced hereunder:</w:t>
      </w:r>
    </w:p>
    <w:p w14:paraId="5C8FFDDE" w14:textId="41300C51" w:rsidR="00424727" w:rsidRPr="00153204" w:rsidRDefault="00424727" w:rsidP="00E963DE">
      <w:pPr>
        <w:widowControl w:val="0"/>
        <w:autoSpaceDE w:val="0"/>
        <w:autoSpaceDN w:val="0"/>
        <w:spacing w:before="124"/>
        <w:ind w:left="1560" w:hanging="709"/>
        <w:jc w:val="both"/>
        <w:outlineLvl w:val="1"/>
        <w:rPr>
          <w:rFonts w:asciiTheme="minorHAnsi" w:hAnsiTheme="minorHAnsi" w:cstheme="minorHAnsi"/>
          <w:b/>
          <w:bCs/>
          <w:i/>
          <w:sz w:val="22"/>
          <w:szCs w:val="22"/>
        </w:rPr>
      </w:pPr>
      <w:r w:rsidRPr="00153204">
        <w:rPr>
          <w:rFonts w:asciiTheme="minorHAnsi" w:hAnsiTheme="minorHAnsi" w:cstheme="minorHAnsi"/>
          <w:b/>
          <w:bCs/>
          <w:i/>
          <w:sz w:val="22"/>
          <w:szCs w:val="22"/>
        </w:rPr>
        <w:t>Interest</w:t>
      </w:r>
      <w:r w:rsidRPr="00153204">
        <w:rPr>
          <w:rFonts w:asciiTheme="minorHAnsi" w:hAnsiTheme="minorHAnsi" w:cstheme="minorHAnsi"/>
          <w:b/>
          <w:bCs/>
          <w:i/>
          <w:spacing w:val="-3"/>
          <w:sz w:val="22"/>
          <w:szCs w:val="22"/>
        </w:rPr>
        <w:t xml:space="preserve"> </w:t>
      </w:r>
      <w:r w:rsidRPr="00153204">
        <w:rPr>
          <w:rFonts w:asciiTheme="minorHAnsi" w:hAnsiTheme="minorHAnsi" w:cstheme="minorHAnsi"/>
          <w:b/>
          <w:bCs/>
          <w:i/>
          <w:sz w:val="22"/>
          <w:szCs w:val="22"/>
        </w:rPr>
        <w:t>on</w:t>
      </w:r>
      <w:r w:rsidRPr="00153204">
        <w:rPr>
          <w:rFonts w:asciiTheme="minorHAnsi" w:hAnsiTheme="minorHAnsi" w:cstheme="minorHAnsi"/>
          <w:b/>
          <w:bCs/>
          <w:i/>
          <w:spacing w:val="-1"/>
          <w:sz w:val="22"/>
          <w:szCs w:val="22"/>
        </w:rPr>
        <w:t xml:space="preserve"> </w:t>
      </w:r>
      <w:r w:rsidRPr="00153204">
        <w:rPr>
          <w:rFonts w:asciiTheme="minorHAnsi" w:hAnsiTheme="minorHAnsi" w:cstheme="minorHAnsi"/>
          <w:b/>
          <w:bCs/>
          <w:i/>
          <w:sz w:val="22"/>
          <w:szCs w:val="22"/>
        </w:rPr>
        <w:t>Security Deposit</w:t>
      </w:r>
      <w:r w:rsidRPr="00153204">
        <w:rPr>
          <w:rFonts w:asciiTheme="minorHAnsi" w:hAnsiTheme="minorHAnsi" w:cstheme="minorHAnsi"/>
          <w:b/>
          <w:bCs/>
          <w:i/>
          <w:spacing w:val="-3"/>
          <w:sz w:val="22"/>
          <w:szCs w:val="22"/>
        </w:rPr>
        <w:t xml:space="preserve"> </w:t>
      </w:r>
      <w:r w:rsidRPr="00153204">
        <w:rPr>
          <w:rFonts w:asciiTheme="minorHAnsi" w:hAnsiTheme="minorHAnsi" w:cstheme="minorHAnsi"/>
          <w:b/>
          <w:bCs/>
          <w:i/>
          <w:sz w:val="22"/>
          <w:szCs w:val="22"/>
        </w:rPr>
        <w:t>payable</w:t>
      </w:r>
      <w:r w:rsidRPr="00153204">
        <w:rPr>
          <w:rFonts w:asciiTheme="minorHAnsi" w:hAnsiTheme="minorHAnsi" w:cstheme="minorHAnsi"/>
          <w:b/>
          <w:bCs/>
          <w:i/>
          <w:spacing w:val="-3"/>
          <w:sz w:val="22"/>
          <w:szCs w:val="22"/>
        </w:rPr>
        <w:t xml:space="preserve"> </w:t>
      </w:r>
      <w:r w:rsidRPr="00153204">
        <w:rPr>
          <w:rFonts w:asciiTheme="minorHAnsi" w:hAnsiTheme="minorHAnsi" w:cstheme="minorHAnsi"/>
          <w:b/>
          <w:bCs/>
          <w:i/>
          <w:sz w:val="22"/>
          <w:szCs w:val="22"/>
        </w:rPr>
        <w:t>by</w:t>
      </w:r>
      <w:r w:rsidRPr="00153204">
        <w:rPr>
          <w:rFonts w:asciiTheme="minorHAnsi" w:hAnsiTheme="minorHAnsi" w:cstheme="minorHAnsi"/>
          <w:b/>
          <w:bCs/>
          <w:i/>
          <w:spacing w:val="-1"/>
          <w:sz w:val="22"/>
          <w:szCs w:val="22"/>
        </w:rPr>
        <w:t xml:space="preserve"> </w:t>
      </w:r>
      <w:r w:rsidRPr="00153204">
        <w:rPr>
          <w:rFonts w:asciiTheme="minorHAnsi" w:hAnsiTheme="minorHAnsi" w:cstheme="minorHAnsi"/>
          <w:b/>
          <w:bCs/>
          <w:i/>
          <w:sz w:val="22"/>
          <w:szCs w:val="22"/>
        </w:rPr>
        <w:t>the</w:t>
      </w:r>
      <w:r w:rsidRPr="00153204">
        <w:rPr>
          <w:rFonts w:asciiTheme="minorHAnsi" w:hAnsiTheme="minorHAnsi" w:cstheme="minorHAnsi"/>
          <w:b/>
          <w:bCs/>
          <w:i/>
          <w:spacing w:val="-3"/>
          <w:sz w:val="22"/>
          <w:szCs w:val="22"/>
        </w:rPr>
        <w:t xml:space="preserve"> </w:t>
      </w:r>
      <w:r w:rsidRPr="00153204">
        <w:rPr>
          <w:rFonts w:asciiTheme="minorHAnsi" w:hAnsiTheme="minorHAnsi" w:cstheme="minorHAnsi"/>
          <w:b/>
          <w:bCs/>
          <w:i/>
          <w:sz w:val="22"/>
          <w:szCs w:val="22"/>
        </w:rPr>
        <w:t>Licensee/supplier</w:t>
      </w:r>
    </w:p>
    <w:p w14:paraId="1B0B04CB" w14:textId="5F213A3D" w:rsidR="00424727" w:rsidRPr="00153204" w:rsidRDefault="00424727" w:rsidP="00E963DE">
      <w:pPr>
        <w:widowControl w:val="0"/>
        <w:tabs>
          <w:tab w:val="left" w:pos="1581"/>
        </w:tabs>
        <w:autoSpaceDE w:val="0"/>
        <w:autoSpaceDN w:val="0"/>
        <w:spacing w:before="116"/>
        <w:ind w:left="1560" w:hanging="709"/>
        <w:jc w:val="both"/>
        <w:rPr>
          <w:rFonts w:asciiTheme="minorHAnsi" w:hAnsiTheme="minorHAnsi" w:cstheme="minorHAnsi"/>
          <w:i/>
          <w:sz w:val="22"/>
          <w:szCs w:val="22"/>
        </w:rPr>
      </w:pPr>
      <w:r w:rsidRPr="00153204">
        <w:rPr>
          <w:rFonts w:asciiTheme="minorHAnsi" w:hAnsiTheme="minorHAnsi" w:cstheme="minorHAnsi"/>
          <w:i/>
          <w:sz w:val="22"/>
          <w:szCs w:val="22"/>
        </w:rPr>
        <w:t>57.(</w:t>
      </w:r>
      <w:proofErr w:type="spellStart"/>
      <w:r w:rsidRPr="00153204">
        <w:rPr>
          <w:rFonts w:asciiTheme="minorHAnsi" w:hAnsiTheme="minorHAnsi" w:cstheme="minorHAnsi"/>
          <w:i/>
          <w:sz w:val="22"/>
          <w:szCs w:val="22"/>
        </w:rPr>
        <w:t>i</w:t>
      </w:r>
      <w:proofErr w:type="spellEnd"/>
      <w:r w:rsidRPr="00153204">
        <w:rPr>
          <w:rFonts w:asciiTheme="minorHAnsi" w:hAnsiTheme="minorHAnsi" w:cstheme="minorHAnsi"/>
          <w:i/>
          <w:sz w:val="22"/>
          <w:szCs w:val="22"/>
        </w:rPr>
        <w:t xml:space="preserve">)   </w:t>
      </w:r>
      <w:r w:rsidRPr="00153204">
        <w:rPr>
          <w:rFonts w:asciiTheme="minorHAnsi" w:hAnsiTheme="minorHAnsi" w:cstheme="minorHAnsi"/>
          <w:i/>
          <w:spacing w:val="1"/>
          <w:sz w:val="22"/>
          <w:szCs w:val="22"/>
        </w:rPr>
        <w:t xml:space="preserve"> </w:t>
      </w:r>
      <w:r w:rsidRPr="00153204">
        <w:rPr>
          <w:rFonts w:asciiTheme="minorHAnsi" w:hAnsiTheme="minorHAnsi" w:cstheme="minorHAnsi"/>
          <w:i/>
          <w:sz w:val="22"/>
          <w:szCs w:val="22"/>
        </w:rPr>
        <w:t>The Licensee/supplier shall pay interest on security deposit to the consumer, at the</w:t>
      </w:r>
      <w:r w:rsidRPr="00153204">
        <w:rPr>
          <w:rFonts w:asciiTheme="minorHAnsi" w:hAnsiTheme="minorHAnsi" w:cstheme="minorHAnsi"/>
          <w:i/>
          <w:spacing w:val="1"/>
          <w:sz w:val="22"/>
          <w:szCs w:val="22"/>
        </w:rPr>
        <w:t xml:space="preserve"> </w:t>
      </w:r>
      <w:r w:rsidRPr="00153204">
        <w:rPr>
          <w:rFonts w:asciiTheme="minorHAnsi" w:hAnsiTheme="minorHAnsi" w:cstheme="minorHAnsi"/>
          <w:i/>
          <w:sz w:val="22"/>
          <w:szCs w:val="22"/>
        </w:rPr>
        <w:t>bank</w:t>
      </w:r>
      <w:r w:rsidRPr="00153204">
        <w:rPr>
          <w:rFonts w:asciiTheme="minorHAnsi" w:hAnsiTheme="minorHAnsi" w:cstheme="minorHAnsi"/>
          <w:i/>
          <w:spacing w:val="-1"/>
          <w:sz w:val="22"/>
          <w:szCs w:val="22"/>
        </w:rPr>
        <w:t xml:space="preserve"> </w:t>
      </w:r>
      <w:r w:rsidRPr="00153204">
        <w:rPr>
          <w:rFonts w:asciiTheme="minorHAnsi" w:hAnsiTheme="minorHAnsi" w:cstheme="minorHAnsi"/>
          <w:i/>
          <w:sz w:val="22"/>
          <w:szCs w:val="22"/>
        </w:rPr>
        <w:t>rate.</w:t>
      </w:r>
      <w:r w:rsidRPr="00153204">
        <w:rPr>
          <w:rFonts w:asciiTheme="minorHAnsi" w:hAnsiTheme="minorHAnsi" w:cstheme="minorHAnsi"/>
          <w:i/>
          <w:spacing w:val="1"/>
          <w:sz w:val="22"/>
          <w:szCs w:val="22"/>
        </w:rPr>
        <w:t xml:space="preserve"> </w:t>
      </w:r>
      <w:r w:rsidRPr="00153204">
        <w:rPr>
          <w:rFonts w:asciiTheme="minorHAnsi" w:hAnsiTheme="minorHAnsi" w:cstheme="minorHAnsi"/>
          <w:i/>
          <w:sz w:val="22"/>
          <w:szCs w:val="22"/>
        </w:rPr>
        <w:t>(SBI</w:t>
      </w:r>
      <w:r w:rsidRPr="00153204">
        <w:rPr>
          <w:rFonts w:asciiTheme="minorHAnsi" w:hAnsiTheme="minorHAnsi" w:cstheme="minorHAnsi"/>
          <w:i/>
          <w:spacing w:val="-2"/>
          <w:sz w:val="22"/>
          <w:szCs w:val="22"/>
        </w:rPr>
        <w:t xml:space="preserve"> </w:t>
      </w:r>
      <w:r w:rsidRPr="00153204">
        <w:rPr>
          <w:rFonts w:asciiTheme="minorHAnsi" w:hAnsiTheme="minorHAnsi" w:cstheme="minorHAnsi"/>
          <w:i/>
          <w:sz w:val="22"/>
          <w:szCs w:val="22"/>
        </w:rPr>
        <w:t>Base</w:t>
      </w:r>
      <w:r w:rsidRPr="00153204">
        <w:rPr>
          <w:rFonts w:asciiTheme="minorHAnsi" w:hAnsiTheme="minorHAnsi" w:cstheme="minorHAnsi"/>
          <w:i/>
          <w:spacing w:val="-2"/>
          <w:sz w:val="22"/>
          <w:szCs w:val="22"/>
        </w:rPr>
        <w:t xml:space="preserve"> </w:t>
      </w:r>
      <w:r w:rsidRPr="00153204">
        <w:rPr>
          <w:rFonts w:asciiTheme="minorHAnsi" w:hAnsiTheme="minorHAnsi" w:cstheme="minorHAnsi"/>
          <w:i/>
          <w:sz w:val="22"/>
          <w:szCs w:val="22"/>
        </w:rPr>
        <w:t>Rate</w:t>
      </w:r>
      <w:r w:rsidRPr="00153204">
        <w:rPr>
          <w:rFonts w:asciiTheme="minorHAnsi" w:hAnsiTheme="minorHAnsi" w:cstheme="minorHAnsi"/>
          <w:i/>
          <w:spacing w:val="-2"/>
          <w:sz w:val="22"/>
          <w:szCs w:val="22"/>
        </w:rPr>
        <w:t xml:space="preserve"> </w:t>
      </w:r>
      <w:r w:rsidRPr="00153204">
        <w:rPr>
          <w:rFonts w:asciiTheme="minorHAnsi" w:hAnsiTheme="minorHAnsi" w:cstheme="minorHAnsi"/>
          <w:i/>
          <w:sz w:val="22"/>
          <w:szCs w:val="22"/>
        </w:rPr>
        <w:t>as</w:t>
      </w:r>
      <w:r w:rsidRPr="00153204">
        <w:rPr>
          <w:rFonts w:asciiTheme="minorHAnsi" w:hAnsiTheme="minorHAnsi" w:cstheme="minorHAnsi"/>
          <w:i/>
          <w:spacing w:val="-1"/>
          <w:sz w:val="22"/>
          <w:szCs w:val="22"/>
        </w:rPr>
        <w:t xml:space="preserve"> </w:t>
      </w:r>
      <w:r w:rsidRPr="00153204">
        <w:rPr>
          <w:rFonts w:asciiTheme="minorHAnsi" w:hAnsiTheme="minorHAnsi" w:cstheme="minorHAnsi"/>
          <w:i/>
          <w:sz w:val="22"/>
          <w:szCs w:val="22"/>
        </w:rPr>
        <w:t>on 1st</w:t>
      </w:r>
      <w:r w:rsidRPr="00153204">
        <w:rPr>
          <w:rFonts w:asciiTheme="minorHAnsi" w:hAnsiTheme="minorHAnsi" w:cstheme="minorHAnsi"/>
          <w:i/>
          <w:spacing w:val="-1"/>
          <w:sz w:val="22"/>
          <w:szCs w:val="22"/>
        </w:rPr>
        <w:t xml:space="preserve"> </w:t>
      </w:r>
      <w:r w:rsidRPr="00153204">
        <w:rPr>
          <w:rFonts w:asciiTheme="minorHAnsi" w:hAnsiTheme="minorHAnsi" w:cstheme="minorHAnsi"/>
          <w:i/>
          <w:sz w:val="22"/>
          <w:szCs w:val="22"/>
        </w:rPr>
        <w:t>April</w:t>
      </w:r>
      <w:r w:rsidRPr="00153204">
        <w:rPr>
          <w:rFonts w:asciiTheme="minorHAnsi" w:hAnsiTheme="minorHAnsi" w:cstheme="minorHAnsi"/>
          <w:i/>
          <w:spacing w:val="-1"/>
          <w:sz w:val="22"/>
          <w:szCs w:val="22"/>
        </w:rPr>
        <w:t xml:space="preserve"> </w:t>
      </w:r>
      <w:r w:rsidRPr="00153204">
        <w:rPr>
          <w:rFonts w:asciiTheme="minorHAnsi" w:hAnsiTheme="minorHAnsi" w:cstheme="minorHAnsi"/>
          <w:i/>
          <w:sz w:val="22"/>
          <w:szCs w:val="22"/>
        </w:rPr>
        <w:t>of</w:t>
      </w:r>
      <w:r w:rsidRPr="00153204">
        <w:rPr>
          <w:rFonts w:asciiTheme="minorHAnsi" w:hAnsiTheme="minorHAnsi" w:cstheme="minorHAnsi"/>
          <w:i/>
          <w:spacing w:val="-2"/>
          <w:sz w:val="22"/>
          <w:szCs w:val="22"/>
        </w:rPr>
        <w:t xml:space="preserve"> </w:t>
      </w:r>
      <w:r w:rsidRPr="00153204">
        <w:rPr>
          <w:rFonts w:asciiTheme="minorHAnsi" w:hAnsiTheme="minorHAnsi" w:cstheme="minorHAnsi"/>
          <w:i/>
          <w:sz w:val="22"/>
          <w:szCs w:val="22"/>
        </w:rPr>
        <w:t>the</w:t>
      </w:r>
      <w:r w:rsidRPr="00153204">
        <w:rPr>
          <w:rFonts w:asciiTheme="minorHAnsi" w:hAnsiTheme="minorHAnsi" w:cstheme="minorHAnsi"/>
          <w:i/>
          <w:spacing w:val="-2"/>
          <w:sz w:val="22"/>
          <w:szCs w:val="22"/>
        </w:rPr>
        <w:t xml:space="preserve"> </w:t>
      </w:r>
      <w:r w:rsidRPr="00153204">
        <w:rPr>
          <w:rFonts w:asciiTheme="minorHAnsi" w:hAnsiTheme="minorHAnsi" w:cstheme="minorHAnsi"/>
          <w:i/>
          <w:sz w:val="22"/>
          <w:szCs w:val="22"/>
        </w:rPr>
        <w:t>relevant</w:t>
      </w:r>
      <w:r w:rsidRPr="00153204">
        <w:rPr>
          <w:rFonts w:asciiTheme="minorHAnsi" w:hAnsiTheme="minorHAnsi" w:cstheme="minorHAnsi"/>
          <w:i/>
          <w:spacing w:val="2"/>
          <w:sz w:val="22"/>
          <w:szCs w:val="22"/>
        </w:rPr>
        <w:t xml:space="preserve"> </w:t>
      </w:r>
      <w:r w:rsidRPr="00153204">
        <w:rPr>
          <w:rFonts w:asciiTheme="minorHAnsi" w:hAnsiTheme="minorHAnsi" w:cstheme="minorHAnsi"/>
          <w:i/>
          <w:sz w:val="22"/>
          <w:szCs w:val="22"/>
        </w:rPr>
        <w:t>year)</w:t>
      </w:r>
      <w:r w:rsidRPr="00153204">
        <w:rPr>
          <w:rFonts w:asciiTheme="minorHAnsi" w:hAnsiTheme="minorHAnsi" w:cstheme="minorHAnsi"/>
          <w:i/>
          <w:spacing w:val="-1"/>
          <w:sz w:val="22"/>
          <w:szCs w:val="22"/>
        </w:rPr>
        <w:t xml:space="preserve"> </w:t>
      </w:r>
      <w:r w:rsidRPr="00153204">
        <w:rPr>
          <w:rFonts w:asciiTheme="minorHAnsi" w:hAnsiTheme="minorHAnsi" w:cstheme="minorHAnsi"/>
          <w:i/>
          <w:sz w:val="22"/>
          <w:szCs w:val="22"/>
        </w:rPr>
        <w:t>provided</w:t>
      </w:r>
      <w:r w:rsidRPr="00153204">
        <w:rPr>
          <w:rFonts w:asciiTheme="minorHAnsi" w:hAnsiTheme="minorHAnsi" w:cstheme="minorHAnsi"/>
          <w:i/>
          <w:spacing w:val="-1"/>
          <w:sz w:val="22"/>
          <w:szCs w:val="22"/>
        </w:rPr>
        <w:t xml:space="preserve"> </w:t>
      </w:r>
      <w:r w:rsidRPr="00153204">
        <w:rPr>
          <w:rFonts w:asciiTheme="minorHAnsi" w:hAnsiTheme="minorHAnsi" w:cstheme="minorHAnsi"/>
          <w:i/>
          <w:sz w:val="22"/>
          <w:szCs w:val="22"/>
        </w:rPr>
        <w:t>that</w:t>
      </w:r>
    </w:p>
    <w:p w14:paraId="10C39CBE" w14:textId="77777777" w:rsidR="00424727" w:rsidRPr="00153204" w:rsidRDefault="00424727" w:rsidP="00AB536C">
      <w:pPr>
        <w:widowControl w:val="0"/>
        <w:numPr>
          <w:ilvl w:val="0"/>
          <w:numId w:val="11"/>
        </w:numPr>
        <w:tabs>
          <w:tab w:val="left" w:pos="2301"/>
        </w:tabs>
        <w:autoSpaceDE w:val="0"/>
        <w:autoSpaceDN w:val="0"/>
        <w:spacing w:before="120"/>
        <w:ind w:left="1560" w:hanging="709"/>
        <w:jc w:val="both"/>
        <w:rPr>
          <w:rFonts w:asciiTheme="minorHAnsi" w:hAnsiTheme="minorHAnsi" w:cstheme="minorHAnsi"/>
          <w:i/>
          <w:sz w:val="22"/>
          <w:szCs w:val="22"/>
        </w:rPr>
      </w:pPr>
      <w:r w:rsidRPr="00153204">
        <w:rPr>
          <w:rFonts w:asciiTheme="minorHAnsi" w:hAnsiTheme="minorHAnsi" w:cstheme="minorHAnsi"/>
          <w:i/>
          <w:sz w:val="22"/>
          <w:szCs w:val="22"/>
        </w:rPr>
        <w:t>The Commission in its tariff order for the respective financial year may direct the</w:t>
      </w:r>
      <w:r w:rsidRPr="00153204">
        <w:rPr>
          <w:rFonts w:asciiTheme="minorHAnsi" w:hAnsiTheme="minorHAnsi" w:cstheme="minorHAnsi"/>
          <w:i/>
          <w:spacing w:val="1"/>
          <w:sz w:val="22"/>
          <w:szCs w:val="22"/>
        </w:rPr>
        <w:t xml:space="preserve"> </w:t>
      </w:r>
      <w:r w:rsidRPr="00153204">
        <w:rPr>
          <w:rFonts w:asciiTheme="minorHAnsi" w:hAnsiTheme="minorHAnsi" w:cstheme="minorHAnsi"/>
          <w:i/>
          <w:sz w:val="22"/>
          <w:szCs w:val="22"/>
        </w:rPr>
        <w:t>licensee/supplier</w:t>
      </w:r>
      <w:r w:rsidRPr="00153204">
        <w:rPr>
          <w:rFonts w:asciiTheme="minorHAnsi" w:hAnsiTheme="minorHAnsi" w:cstheme="minorHAnsi"/>
          <w:i/>
          <w:spacing w:val="-2"/>
          <w:sz w:val="22"/>
          <w:szCs w:val="22"/>
        </w:rPr>
        <w:t xml:space="preserve"> </w:t>
      </w:r>
      <w:r w:rsidRPr="00153204">
        <w:rPr>
          <w:rFonts w:asciiTheme="minorHAnsi" w:hAnsiTheme="minorHAnsi" w:cstheme="minorHAnsi"/>
          <w:i/>
          <w:sz w:val="22"/>
          <w:szCs w:val="22"/>
        </w:rPr>
        <w:t>to pay</w:t>
      </w:r>
      <w:r w:rsidRPr="00153204">
        <w:rPr>
          <w:rFonts w:asciiTheme="minorHAnsi" w:hAnsiTheme="minorHAnsi" w:cstheme="minorHAnsi"/>
          <w:i/>
          <w:spacing w:val="-3"/>
          <w:sz w:val="22"/>
          <w:szCs w:val="22"/>
        </w:rPr>
        <w:t xml:space="preserve"> </w:t>
      </w:r>
      <w:r w:rsidRPr="00153204">
        <w:rPr>
          <w:rFonts w:asciiTheme="minorHAnsi" w:hAnsiTheme="minorHAnsi" w:cstheme="minorHAnsi"/>
          <w:i/>
          <w:sz w:val="22"/>
          <w:szCs w:val="22"/>
        </w:rPr>
        <w:t>a</w:t>
      </w:r>
      <w:r w:rsidRPr="00153204">
        <w:rPr>
          <w:rFonts w:asciiTheme="minorHAnsi" w:hAnsiTheme="minorHAnsi" w:cstheme="minorHAnsi"/>
          <w:i/>
          <w:spacing w:val="1"/>
          <w:sz w:val="22"/>
          <w:szCs w:val="22"/>
        </w:rPr>
        <w:t xml:space="preserve"> </w:t>
      </w:r>
      <w:r w:rsidRPr="00153204">
        <w:rPr>
          <w:rFonts w:asciiTheme="minorHAnsi" w:hAnsiTheme="minorHAnsi" w:cstheme="minorHAnsi"/>
          <w:i/>
          <w:sz w:val="22"/>
          <w:szCs w:val="22"/>
        </w:rPr>
        <w:t>higher rate</w:t>
      </w:r>
      <w:r w:rsidRPr="00153204">
        <w:rPr>
          <w:rFonts w:asciiTheme="minorHAnsi" w:hAnsiTheme="minorHAnsi" w:cstheme="minorHAnsi"/>
          <w:i/>
          <w:spacing w:val="-1"/>
          <w:sz w:val="22"/>
          <w:szCs w:val="22"/>
        </w:rPr>
        <w:t xml:space="preserve"> </w:t>
      </w:r>
      <w:r w:rsidRPr="00153204">
        <w:rPr>
          <w:rFonts w:asciiTheme="minorHAnsi" w:hAnsiTheme="minorHAnsi" w:cstheme="minorHAnsi"/>
          <w:i/>
          <w:sz w:val="22"/>
          <w:szCs w:val="22"/>
        </w:rPr>
        <w:t>of</w:t>
      </w:r>
      <w:r w:rsidRPr="00153204">
        <w:rPr>
          <w:rFonts w:asciiTheme="minorHAnsi" w:hAnsiTheme="minorHAnsi" w:cstheme="minorHAnsi"/>
          <w:i/>
          <w:spacing w:val="-1"/>
          <w:sz w:val="22"/>
          <w:szCs w:val="22"/>
        </w:rPr>
        <w:t xml:space="preserve"> </w:t>
      </w:r>
      <w:r w:rsidRPr="00153204">
        <w:rPr>
          <w:rFonts w:asciiTheme="minorHAnsi" w:hAnsiTheme="minorHAnsi" w:cstheme="minorHAnsi"/>
          <w:i/>
          <w:sz w:val="22"/>
          <w:szCs w:val="22"/>
        </w:rPr>
        <w:t>interest.</w:t>
      </w:r>
    </w:p>
    <w:p w14:paraId="3B60D2F5" w14:textId="77777777" w:rsidR="00424727" w:rsidRPr="00153204" w:rsidRDefault="00424727" w:rsidP="00AB536C">
      <w:pPr>
        <w:widowControl w:val="0"/>
        <w:numPr>
          <w:ilvl w:val="0"/>
          <w:numId w:val="11"/>
        </w:numPr>
        <w:tabs>
          <w:tab w:val="left" w:pos="2301"/>
        </w:tabs>
        <w:autoSpaceDE w:val="0"/>
        <w:autoSpaceDN w:val="0"/>
        <w:spacing w:before="120"/>
        <w:ind w:left="1560" w:hanging="709"/>
        <w:jc w:val="both"/>
        <w:rPr>
          <w:rFonts w:asciiTheme="minorHAnsi" w:hAnsiTheme="minorHAnsi" w:cstheme="minorHAnsi"/>
          <w:i/>
          <w:sz w:val="22"/>
          <w:szCs w:val="22"/>
        </w:rPr>
      </w:pPr>
      <w:r w:rsidRPr="00153204">
        <w:rPr>
          <w:rFonts w:asciiTheme="minorHAnsi" w:hAnsiTheme="minorHAnsi" w:cstheme="minorHAnsi"/>
          <w:i/>
          <w:sz w:val="22"/>
          <w:szCs w:val="22"/>
        </w:rPr>
        <w:t>The interest accruing to the credit of the consumer shall be adjusted annually in the</w:t>
      </w:r>
      <w:r w:rsidRPr="00153204">
        <w:rPr>
          <w:rFonts w:asciiTheme="minorHAnsi" w:hAnsiTheme="minorHAnsi" w:cstheme="minorHAnsi"/>
          <w:i/>
          <w:spacing w:val="1"/>
          <w:sz w:val="22"/>
          <w:szCs w:val="22"/>
        </w:rPr>
        <w:t xml:space="preserve"> </w:t>
      </w:r>
      <w:r w:rsidRPr="00153204">
        <w:rPr>
          <w:rFonts w:asciiTheme="minorHAnsi" w:hAnsiTheme="minorHAnsi" w:cstheme="minorHAnsi"/>
          <w:i/>
          <w:sz w:val="22"/>
          <w:szCs w:val="22"/>
        </w:rPr>
        <w:t>amounts outstanding from the consumer to the licensee/supplier as on 1</w:t>
      </w:r>
      <w:r w:rsidRPr="00153204">
        <w:rPr>
          <w:rFonts w:asciiTheme="minorHAnsi" w:hAnsiTheme="minorHAnsi" w:cstheme="minorHAnsi"/>
          <w:i/>
          <w:sz w:val="22"/>
          <w:szCs w:val="22"/>
          <w:vertAlign w:val="superscript"/>
        </w:rPr>
        <w:t>st</w:t>
      </w:r>
      <w:r w:rsidRPr="00153204">
        <w:rPr>
          <w:rFonts w:asciiTheme="minorHAnsi" w:hAnsiTheme="minorHAnsi" w:cstheme="minorHAnsi"/>
          <w:i/>
          <w:sz w:val="22"/>
          <w:szCs w:val="22"/>
        </w:rPr>
        <w:t xml:space="preserve"> May of</w:t>
      </w:r>
      <w:r w:rsidRPr="00153204">
        <w:rPr>
          <w:rFonts w:asciiTheme="minorHAnsi" w:hAnsiTheme="minorHAnsi" w:cstheme="minorHAnsi"/>
          <w:i/>
          <w:spacing w:val="1"/>
          <w:sz w:val="22"/>
          <w:szCs w:val="22"/>
        </w:rPr>
        <w:t xml:space="preserve"> </w:t>
      </w:r>
      <w:r w:rsidRPr="00153204">
        <w:rPr>
          <w:rFonts w:asciiTheme="minorHAnsi" w:hAnsiTheme="minorHAnsi" w:cstheme="minorHAnsi"/>
          <w:i/>
          <w:sz w:val="22"/>
          <w:szCs w:val="22"/>
        </w:rPr>
        <w:t>every</w:t>
      </w:r>
      <w:r w:rsidRPr="00153204">
        <w:rPr>
          <w:rFonts w:asciiTheme="minorHAnsi" w:hAnsiTheme="minorHAnsi" w:cstheme="minorHAnsi"/>
          <w:i/>
          <w:spacing w:val="1"/>
          <w:sz w:val="22"/>
          <w:szCs w:val="22"/>
        </w:rPr>
        <w:t xml:space="preserve"> </w:t>
      </w:r>
      <w:r w:rsidRPr="00153204">
        <w:rPr>
          <w:rFonts w:asciiTheme="minorHAnsi" w:hAnsiTheme="minorHAnsi" w:cstheme="minorHAnsi"/>
          <w:i/>
          <w:sz w:val="22"/>
          <w:szCs w:val="22"/>
        </w:rPr>
        <w:t>year</w:t>
      </w:r>
      <w:r w:rsidRPr="00153204">
        <w:rPr>
          <w:rFonts w:asciiTheme="minorHAnsi" w:hAnsiTheme="minorHAnsi" w:cstheme="minorHAnsi"/>
          <w:i/>
          <w:spacing w:val="1"/>
          <w:sz w:val="22"/>
          <w:szCs w:val="22"/>
        </w:rPr>
        <w:t xml:space="preserve"> </w:t>
      </w:r>
      <w:r w:rsidRPr="00153204">
        <w:rPr>
          <w:rFonts w:asciiTheme="minorHAnsi" w:hAnsiTheme="minorHAnsi" w:cstheme="minorHAnsi"/>
          <w:i/>
          <w:sz w:val="22"/>
          <w:szCs w:val="22"/>
        </w:rPr>
        <w:t>and</w:t>
      </w:r>
      <w:r w:rsidRPr="00153204">
        <w:rPr>
          <w:rFonts w:asciiTheme="minorHAnsi" w:hAnsiTheme="minorHAnsi" w:cstheme="minorHAnsi"/>
          <w:i/>
          <w:spacing w:val="1"/>
          <w:sz w:val="22"/>
          <w:szCs w:val="22"/>
        </w:rPr>
        <w:t xml:space="preserve"> </w:t>
      </w:r>
      <w:r w:rsidRPr="00153204">
        <w:rPr>
          <w:rFonts w:asciiTheme="minorHAnsi" w:hAnsiTheme="minorHAnsi" w:cstheme="minorHAnsi"/>
          <w:i/>
          <w:sz w:val="22"/>
          <w:szCs w:val="22"/>
        </w:rPr>
        <w:t>the</w:t>
      </w:r>
      <w:r w:rsidRPr="00153204">
        <w:rPr>
          <w:rFonts w:asciiTheme="minorHAnsi" w:hAnsiTheme="minorHAnsi" w:cstheme="minorHAnsi"/>
          <w:i/>
          <w:spacing w:val="1"/>
          <w:sz w:val="22"/>
          <w:szCs w:val="22"/>
        </w:rPr>
        <w:t xml:space="preserve"> </w:t>
      </w:r>
      <w:r w:rsidRPr="00153204">
        <w:rPr>
          <w:rFonts w:asciiTheme="minorHAnsi" w:hAnsiTheme="minorHAnsi" w:cstheme="minorHAnsi"/>
          <w:i/>
          <w:sz w:val="22"/>
          <w:szCs w:val="22"/>
        </w:rPr>
        <w:t>amounts</w:t>
      </w:r>
      <w:r w:rsidRPr="00153204">
        <w:rPr>
          <w:rFonts w:asciiTheme="minorHAnsi" w:hAnsiTheme="minorHAnsi" w:cstheme="minorHAnsi"/>
          <w:i/>
          <w:spacing w:val="1"/>
          <w:sz w:val="22"/>
          <w:szCs w:val="22"/>
        </w:rPr>
        <w:t xml:space="preserve"> </w:t>
      </w:r>
      <w:r w:rsidRPr="00153204">
        <w:rPr>
          <w:rFonts w:asciiTheme="minorHAnsi" w:hAnsiTheme="minorHAnsi" w:cstheme="minorHAnsi"/>
          <w:i/>
          <w:sz w:val="22"/>
          <w:szCs w:val="22"/>
        </w:rPr>
        <w:t>becoming</w:t>
      </w:r>
      <w:r w:rsidRPr="00153204">
        <w:rPr>
          <w:rFonts w:asciiTheme="minorHAnsi" w:hAnsiTheme="minorHAnsi" w:cstheme="minorHAnsi"/>
          <w:i/>
          <w:spacing w:val="1"/>
          <w:sz w:val="22"/>
          <w:szCs w:val="22"/>
        </w:rPr>
        <w:t xml:space="preserve"> </w:t>
      </w:r>
      <w:r w:rsidRPr="00153204">
        <w:rPr>
          <w:rFonts w:asciiTheme="minorHAnsi" w:hAnsiTheme="minorHAnsi" w:cstheme="minorHAnsi"/>
          <w:i/>
          <w:sz w:val="22"/>
          <w:szCs w:val="22"/>
        </w:rPr>
        <w:t>due</w:t>
      </w:r>
      <w:r w:rsidRPr="00153204">
        <w:rPr>
          <w:rFonts w:asciiTheme="minorHAnsi" w:hAnsiTheme="minorHAnsi" w:cstheme="minorHAnsi"/>
          <w:i/>
          <w:spacing w:val="1"/>
          <w:sz w:val="22"/>
          <w:szCs w:val="22"/>
        </w:rPr>
        <w:t xml:space="preserve"> </w:t>
      </w:r>
      <w:r w:rsidRPr="00153204">
        <w:rPr>
          <w:rFonts w:asciiTheme="minorHAnsi" w:hAnsiTheme="minorHAnsi" w:cstheme="minorHAnsi"/>
          <w:i/>
          <w:sz w:val="22"/>
          <w:szCs w:val="22"/>
        </w:rPr>
        <w:t>from</w:t>
      </w:r>
      <w:r w:rsidRPr="00153204">
        <w:rPr>
          <w:rFonts w:asciiTheme="minorHAnsi" w:hAnsiTheme="minorHAnsi" w:cstheme="minorHAnsi"/>
          <w:i/>
          <w:spacing w:val="1"/>
          <w:sz w:val="22"/>
          <w:szCs w:val="22"/>
        </w:rPr>
        <w:t xml:space="preserve"> </w:t>
      </w:r>
      <w:r w:rsidRPr="00153204">
        <w:rPr>
          <w:rFonts w:asciiTheme="minorHAnsi" w:hAnsiTheme="minorHAnsi" w:cstheme="minorHAnsi"/>
          <w:i/>
          <w:sz w:val="22"/>
          <w:szCs w:val="22"/>
        </w:rPr>
        <w:t>the</w:t>
      </w:r>
      <w:r w:rsidRPr="00153204">
        <w:rPr>
          <w:rFonts w:asciiTheme="minorHAnsi" w:hAnsiTheme="minorHAnsi" w:cstheme="minorHAnsi"/>
          <w:i/>
          <w:spacing w:val="1"/>
          <w:sz w:val="22"/>
          <w:szCs w:val="22"/>
        </w:rPr>
        <w:t xml:space="preserve"> </w:t>
      </w:r>
      <w:r w:rsidRPr="00153204">
        <w:rPr>
          <w:rFonts w:asciiTheme="minorHAnsi" w:hAnsiTheme="minorHAnsi" w:cstheme="minorHAnsi"/>
          <w:i/>
          <w:sz w:val="22"/>
          <w:szCs w:val="22"/>
        </w:rPr>
        <w:t>consumer</w:t>
      </w:r>
      <w:r w:rsidRPr="00153204">
        <w:rPr>
          <w:rFonts w:asciiTheme="minorHAnsi" w:hAnsiTheme="minorHAnsi" w:cstheme="minorHAnsi"/>
          <w:i/>
          <w:spacing w:val="1"/>
          <w:sz w:val="22"/>
          <w:szCs w:val="22"/>
        </w:rPr>
        <w:t xml:space="preserve"> </w:t>
      </w:r>
      <w:r w:rsidRPr="00153204">
        <w:rPr>
          <w:rFonts w:asciiTheme="minorHAnsi" w:hAnsiTheme="minorHAnsi" w:cstheme="minorHAnsi"/>
          <w:i/>
          <w:sz w:val="22"/>
          <w:szCs w:val="22"/>
        </w:rPr>
        <w:t>to</w:t>
      </w:r>
      <w:r w:rsidRPr="00153204">
        <w:rPr>
          <w:rFonts w:asciiTheme="minorHAnsi" w:hAnsiTheme="minorHAnsi" w:cstheme="minorHAnsi"/>
          <w:i/>
          <w:spacing w:val="1"/>
          <w:sz w:val="22"/>
          <w:szCs w:val="22"/>
        </w:rPr>
        <w:t xml:space="preserve"> </w:t>
      </w:r>
      <w:r w:rsidRPr="00153204">
        <w:rPr>
          <w:rFonts w:asciiTheme="minorHAnsi" w:hAnsiTheme="minorHAnsi" w:cstheme="minorHAnsi"/>
          <w:i/>
          <w:sz w:val="22"/>
          <w:szCs w:val="22"/>
        </w:rPr>
        <w:t>the</w:t>
      </w:r>
      <w:r w:rsidRPr="00153204">
        <w:rPr>
          <w:rFonts w:asciiTheme="minorHAnsi" w:hAnsiTheme="minorHAnsi" w:cstheme="minorHAnsi"/>
          <w:i/>
          <w:spacing w:val="1"/>
          <w:sz w:val="22"/>
          <w:szCs w:val="22"/>
        </w:rPr>
        <w:t xml:space="preserve"> </w:t>
      </w:r>
      <w:r w:rsidRPr="00153204">
        <w:rPr>
          <w:rFonts w:asciiTheme="minorHAnsi" w:hAnsiTheme="minorHAnsi" w:cstheme="minorHAnsi"/>
          <w:i/>
          <w:sz w:val="22"/>
          <w:szCs w:val="22"/>
        </w:rPr>
        <w:t>licensee/supplier</w:t>
      </w:r>
      <w:r w:rsidRPr="00153204">
        <w:rPr>
          <w:rFonts w:asciiTheme="minorHAnsi" w:hAnsiTheme="minorHAnsi" w:cstheme="minorHAnsi"/>
          <w:i/>
          <w:spacing w:val="-2"/>
          <w:sz w:val="22"/>
          <w:szCs w:val="22"/>
        </w:rPr>
        <w:t xml:space="preserve"> </w:t>
      </w:r>
      <w:r w:rsidRPr="00153204">
        <w:rPr>
          <w:rFonts w:asciiTheme="minorHAnsi" w:hAnsiTheme="minorHAnsi" w:cstheme="minorHAnsi"/>
          <w:i/>
          <w:sz w:val="22"/>
          <w:szCs w:val="22"/>
        </w:rPr>
        <w:t>immediately</w:t>
      </w:r>
      <w:r w:rsidRPr="00153204">
        <w:rPr>
          <w:rFonts w:asciiTheme="minorHAnsi" w:hAnsiTheme="minorHAnsi" w:cstheme="minorHAnsi"/>
          <w:i/>
          <w:spacing w:val="-5"/>
          <w:sz w:val="22"/>
          <w:szCs w:val="22"/>
        </w:rPr>
        <w:t xml:space="preserve"> </w:t>
      </w:r>
      <w:r w:rsidRPr="00153204">
        <w:rPr>
          <w:rFonts w:asciiTheme="minorHAnsi" w:hAnsiTheme="minorHAnsi" w:cstheme="minorHAnsi"/>
          <w:i/>
          <w:sz w:val="22"/>
          <w:szCs w:val="22"/>
        </w:rPr>
        <w:t>thereafter.</w:t>
      </w:r>
    </w:p>
    <w:p w14:paraId="0C89C1BF" w14:textId="77777777" w:rsidR="00424727" w:rsidRPr="00153204" w:rsidRDefault="00424727" w:rsidP="00AB536C">
      <w:pPr>
        <w:widowControl w:val="0"/>
        <w:numPr>
          <w:ilvl w:val="0"/>
          <w:numId w:val="11"/>
        </w:numPr>
        <w:tabs>
          <w:tab w:val="left" w:pos="2300"/>
        </w:tabs>
        <w:autoSpaceDE w:val="0"/>
        <w:autoSpaceDN w:val="0"/>
        <w:spacing w:before="117"/>
        <w:ind w:left="1560" w:hanging="709"/>
        <w:jc w:val="both"/>
        <w:rPr>
          <w:rFonts w:asciiTheme="minorHAnsi" w:hAnsiTheme="minorHAnsi" w:cstheme="minorHAnsi"/>
          <w:i/>
          <w:sz w:val="22"/>
          <w:szCs w:val="22"/>
        </w:rPr>
      </w:pPr>
      <w:r w:rsidRPr="00153204">
        <w:rPr>
          <w:rFonts w:asciiTheme="minorHAnsi" w:hAnsiTheme="minorHAnsi" w:cstheme="minorHAnsi"/>
          <w:i/>
          <w:sz w:val="22"/>
          <w:szCs w:val="22"/>
        </w:rPr>
        <w:t>The</w:t>
      </w:r>
      <w:r w:rsidRPr="00153204">
        <w:rPr>
          <w:rFonts w:asciiTheme="minorHAnsi" w:hAnsiTheme="minorHAnsi" w:cstheme="minorHAnsi"/>
          <w:i/>
          <w:spacing w:val="1"/>
          <w:sz w:val="22"/>
          <w:szCs w:val="22"/>
        </w:rPr>
        <w:t xml:space="preserve"> </w:t>
      </w:r>
      <w:r w:rsidRPr="00153204">
        <w:rPr>
          <w:rFonts w:asciiTheme="minorHAnsi" w:hAnsiTheme="minorHAnsi" w:cstheme="minorHAnsi"/>
          <w:i/>
          <w:sz w:val="22"/>
          <w:szCs w:val="22"/>
        </w:rPr>
        <w:t>licensee/supplier</w:t>
      </w:r>
      <w:r w:rsidRPr="00153204">
        <w:rPr>
          <w:rFonts w:asciiTheme="minorHAnsi" w:hAnsiTheme="minorHAnsi" w:cstheme="minorHAnsi"/>
          <w:i/>
          <w:spacing w:val="1"/>
          <w:sz w:val="22"/>
          <w:szCs w:val="22"/>
        </w:rPr>
        <w:t xml:space="preserve"> </w:t>
      </w:r>
      <w:r w:rsidRPr="00153204">
        <w:rPr>
          <w:rFonts w:asciiTheme="minorHAnsi" w:hAnsiTheme="minorHAnsi" w:cstheme="minorHAnsi"/>
          <w:i/>
          <w:sz w:val="22"/>
          <w:szCs w:val="22"/>
        </w:rPr>
        <w:t>shall</w:t>
      </w:r>
      <w:r w:rsidRPr="00153204">
        <w:rPr>
          <w:rFonts w:asciiTheme="minorHAnsi" w:hAnsiTheme="minorHAnsi" w:cstheme="minorHAnsi"/>
          <w:i/>
          <w:spacing w:val="1"/>
          <w:sz w:val="22"/>
          <w:szCs w:val="22"/>
        </w:rPr>
        <w:t xml:space="preserve"> </w:t>
      </w:r>
      <w:r w:rsidRPr="00153204">
        <w:rPr>
          <w:rFonts w:asciiTheme="minorHAnsi" w:hAnsiTheme="minorHAnsi" w:cstheme="minorHAnsi"/>
          <w:i/>
          <w:sz w:val="22"/>
          <w:szCs w:val="22"/>
        </w:rPr>
        <w:t>duly show</w:t>
      </w:r>
      <w:r w:rsidRPr="00153204">
        <w:rPr>
          <w:rFonts w:asciiTheme="minorHAnsi" w:hAnsiTheme="minorHAnsi" w:cstheme="minorHAnsi"/>
          <w:i/>
          <w:spacing w:val="1"/>
          <w:sz w:val="22"/>
          <w:szCs w:val="22"/>
        </w:rPr>
        <w:t xml:space="preserve"> </w:t>
      </w:r>
      <w:r w:rsidRPr="00153204">
        <w:rPr>
          <w:rFonts w:asciiTheme="minorHAnsi" w:hAnsiTheme="minorHAnsi" w:cstheme="minorHAnsi"/>
          <w:i/>
          <w:sz w:val="22"/>
          <w:szCs w:val="22"/>
        </w:rPr>
        <w:t>the</w:t>
      </w:r>
      <w:r w:rsidRPr="00153204">
        <w:rPr>
          <w:rFonts w:asciiTheme="minorHAnsi" w:hAnsiTheme="minorHAnsi" w:cstheme="minorHAnsi"/>
          <w:i/>
          <w:spacing w:val="1"/>
          <w:sz w:val="22"/>
          <w:szCs w:val="22"/>
        </w:rPr>
        <w:t xml:space="preserve"> </w:t>
      </w:r>
      <w:r w:rsidRPr="00153204">
        <w:rPr>
          <w:rFonts w:asciiTheme="minorHAnsi" w:hAnsiTheme="minorHAnsi" w:cstheme="minorHAnsi"/>
          <w:i/>
          <w:sz w:val="22"/>
          <w:szCs w:val="22"/>
        </w:rPr>
        <w:t>amounts</w:t>
      </w:r>
      <w:r w:rsidRPr="00153204">
        <w:rPr>
          <w:rFonts w:asciiTheme="minorHAnsi" w:hAnsiTheme="minorHAnsi" w:cstheme="minorHAnsi"/>
          <w:i/>
          <w:spacing w:val="1"/>
          <w:sz w:val="22"/>
          <w:szCs w:val="22"/>
        </w:rPr>
        <w:t xml:space="preserve"> </w:t>
      </w:r>
      <w:r w:rsidRPr="00153204">
        <w:rPr>
          <w:rFonts w:asciiTheme="minorHAnsi" w:hAnsiTheme="minorHAnsi" w:cstheme="minorHAnsi"/>
          <w:i/>
          <w:sz w:val="22"/>
          <w:szCs w:val="22"/>
        </w:rPr>
        <w:t>becoming</w:t>
      </w:r>
      <w:r w:rsidRPr="00153204">
        <w:rPr>
          <w:rFonts w:asciiTheme="minorHAnsi" w:hAnsiTheme="minorHAnsi" w:cstheme="minorHAnsi"/>
          <w:i/>
          <w:spacing w:val="1"/>
          <w:sz w:val="22"/>
          <w:szCs w:val="22"/>
        </w:rPr>
        <w:t xml:space="preserve"> </w:t>
      </w:r>
      <w:r w:rsidRPr="00153204">
        <w:rPr>
          <w:rFonts w:asciiTheme="minorHAnsi" w:hAnsiTheme="minorHAnsi" w:cstheme="minorHAnsi"/>
          <w:i/>
          <w:sz w:val="22"/>
          <w:szCs w:val="22"/>
        </w:rPr>
        <w:t>due</w:t>
      </w:r>
      <w:r w:rsidRPr="00153204">
        <w:rPr>
          <w:rFonts w:asciiTheme="minorHAnsi" w:hAnsiTheme="minorHAnsi" w:cstheme="minorHAnsi"/>
          <w:i/>
          <w:spacing w:val="1"/>
          <w:sz w:val="22"/>
          <w:szCs w:val="22"/>
        </w:rPr>
        <w:t xml:space="preserve"> </w:t>
      </w:r>
      <w:r w:rsidRPr="00153204">
        <w:rPr>
          <w:rFonts w:asciiTheme="minorHAnsi" w:hAnsiTheme="minorHAnsi" w:cstheme="minorHAnsi"/>
          <w:i/>
          <w:sz w:val="22"/>
          <w:szCs w:val="22"/>
        </w:rPr>
        <w:t>to</w:t>
      </w:r>
      <w:r w:rsidRPr="00153204">
        <w:rPr>
          <w:rFonts w:asciiTheme="minorHAnsi" w:hAnsiTheme="minorHAnsi" w:cstheme="minorHAnsi"/>
          <w:i/>
          <w:spacing w:val="1"/>
          <w:sz w:val="22"/>
          <w:szCs w:val="22"/>
        </w:rPr>
        <w:t xml:space="preserve"> </w:t>
      </w:r>
      <w:r w:rsidRPr="00153204">
        <w:rPr>
          <w:rFonts w:asciiTheme="minorHAnsi" w:hAnsiTheme="minorHAnsi" w:cstheme="minorHAnsi"/>
          <w:i/>
          <w:sz w:val="22"/>
          <w:szCs w:val="22"/>
        </w:rPr>
        <w:t>consumer</w:t>
      </w:r>
      <w:r w:rsidRPr="00153204">
        <w:rPr>
          <w:rFonts w:asciiTheme="minorHAnsi" w:hAnsiTheme="minorHAnsi" w:cstheme="minorHAnsi"/>
          <w:i/>
          <w:spacing w:val="1"/>
          <w:sz w:val="22"/>
          <w:szCs w:val="22"/>
        </w:rPr>
        <w:t xml:space="preserve"> </w:t>
      </w:r>
      <w:r w:rsidRPr="00153204">
        <w:rPr>
          <w:rFonts w:asciiTheme="minorHAnsi" w:hAnsiTheme="minorHAnsi" w:cstheme="minorHAnsi"/>
          <w:i/>
          <w:sz w:val="22"/>
          <w:szCs w:val="22"/>
        </w:rPr>
        <w:t>towards</w:t>
      </w:r>
      <w:r w:rsidRPr="00153204">
        <w:rPr>
          <w:rFonts w:asciiTheme="minorHAnsi" w:hAnsiTheme="minorHAnsi" w:cstheme="minorHAnsi"/>
          <w:i/>
          <w:spacing w:val="-1"/>
          <w:sz w:val="22"/>
          <w:szCs w:val="22"/>
        </w:rPr>
        <w:t xml:space="preserve"> </w:t>
      </w:r>
      <w:r w:rsidRPr="00153204">
        <w:rPr>
          <w:rFonts w:asciiTheme="minorHAnsi" w:hAnsiTheme="minorHAnsi" w:cstheme="minorHAnsi"/>
          <w:i/>
          <w:sz w:val="22"/>
          <w:szCs w:val="22"/>
        </w:rPr>
        <w:t>interest</w:t>
      </w:r>
      <w:r w:rsidRPr="00153204">
        <w:rPr>
          <w:rFonts w:asciiTheme="minorHAnsi" w:hAnsiTheme="minorHAnsi" w:cstheme="minorHAnsi"/>
          <w:i/>
          <w:spacing w:val="-1"/>
          <w:sz w:val="22"/>
          <w:szCs w:val="22"/>
        </w:rPr>
        <w:t xml:space="preserve"> </w:t>
      </w:r>
      <w:r w:rsidRPr="00153204">
        <w:rPr>
          <w:rFonts w:asciiTheme="minorHAnsi" w:hAnsiTheme="minorHAnsi" w:cstheme="minorHAnsi"/>
          <w:i/>
          <w:sz w:val="22"/>
          <w:szCs w:val="22"/>
        </w:rPr>
        <w:t>on the</w:t>
      </w:r>
      <w:r w:rsidRPr="00153204">
        <w:rPr>
          <w:rFonts w:asciiTheme="minorHAnsi" w:hAnsiTheme="minorHAnsi" w:cstheme="minorHAnsi"/>
          <w:i/>
          <w:spacing w:val="-2"/>
          <w:sz w:val="22"/>
          <w:szCs w:val="22"/>
        </w:rPr>
        <w:t xml:space="preserve"> </w:t>
      </w:r>
      <w:r w:rsidRPr="00153204">
        <w:rPr>
          <w:rFonts w:asciiTheme="minorHAnsi" w:hAnsiTheme="minorHAnsi" w:cstheme="minorHAnsi"/>
          <w:i/>
          <w:sz w:val="22"/>
          <w:szCs w:val="22"/>
        </w:rPr>
        <w:t>security</w:t>
      </w:r>
      <w:r w:rsidRPr="00153204">
        <w:rPr>
          <w:rFonts w:asciiTheme="minorHAnsi" w:hAnsiTheme="minorHAnsi" w:cstheme="minorHAnsi"/>
          <w:i/>
          <w:spacing w:val="-6"/>
          <w:sz w:val="22"/>
          <w:szCs w:val="22"/>
        </w:rPr>
        <w:t xml:space="preserve"> </w:t>
      </w:r>
      <w:r w:rsidRPr="00153204">
        <w:rPr>
          <w:rFonts w:asciiTheme="minorHAnsi" w:hAnsiTheme="minorHAnsi" w:cstheme="minorHAnsi"/>
          <w:i/>
          <w:sz w:val="22"/>
          <w:szCs w:val="22"/>
        </w:rPr>
        <w:t>deposit in</w:t>
      </w:r>
      <w:r w:rsidRPr="00153204">
        <w:rPr>
          <w:rFonts w:asciiTheme="minorHAnsi" w:hAnsiTheme="minorHAnsi" w:cstheme="minorHAnsi"/>
          <w:i/>
          <w:spacing w:val="-1"/>
          <w:sz w:val="22"/>
          <w:szCs w:val="22"/>
        </w:rPr>
        <w:t xml:space="preserve"> </w:t>
      </w:r>
      <w:r w:rsidRPr="00153204">
        <w:rPr>
          <w:rFonts w:asciiTheme="minorHAnsi" w:hAnsiTheme="minorHAnsi" w:cstheme="minorHAnsi"/>
          <w:i/>
          <w:sz w:val="22"/>
          <w:szCs w:val="22"/>
        </w:rPr>
        <w:t>the</w:t>
      </w:r>
      <w:r w:rsidRPr="00153204">
        <w:rPr>
          <w:rFonts w:asciiTheme="minorHAnsi" w:hAnsiTheme="minorHAnsi" w:cstheme="minorHAnsi"/>
          <w:i/>
          <w:spacing w:val="-2"/>
          <w:sz w:val="22"/>
          <w:szCs w:val="22"/>
        </w:rPr>
        <w:t xml:space="preserve"> </w:t>
      </w:r>
      <w:r w:rsidRPr="00153204">
        <w:rPr>
          <w:rFonts w:asciiTheme="minorHAnsi" w:hAnsiTheme="minorHAnsi" w:cstheme="minorHAnsi"/>
          <w:i/>
          <w:sz w:val="22"/>
          <w:szCs w:val="22"/>
        </w:rPr>
        <w:t>bills</w:t>
      </w:r>
      <w:r w:rsidRPr="00153204">
        <w:rPr>
          <w:rFonts w:asciiTheme="minorHAnsi" w:hAnsiTheme="minorHAnsi" w:cstheme="minorHAnsi"/>
          <w:i/>
          <w:spacing w:val="-2"/>
          <w:sz w:val="22"/>
          <w:szCs w:val="22"/>
        </w:rPr>
        <w:t xml:space="preserve"> </w:t>
      </w:r>
      <w:r w:rsidRPr="00153204">
        <w:rPr>
          <w:rFonts w:asciiTheme="minorHAnsi" w:hAnsiTheme="minorHAnsi" w:cstheme="minorHAnsi"/>
          <w:i/>
          <w:sz w:val="22"/>
          <w:szCs w:val="22"/>
        </w:rPr>
        <w:t>raised</w:t>
      </w:r>
      <w:r w:rsidRPr="00153204">
        <w:rPr>
          <w:rFonts w:asciiTheme="minorHAnsi" w:hAnsiTheme="minorHAnsi" w:cstheme="minorHAnsi"/>
          <w:i/>
          <w:spacing w:val="-1"/>
          <w:sz w:val="22"/>
          <w:szCs w:val="22"/>
        </w:rPr>
        <w:t xml:space="preserve"> </w:t>
      </w:r>
      <w:r w:rsidRPr="00153204">
        <w:rPr>
          <w:rFonts w:asciiTheme="minorHAnsi" w:hAnsiTheme="minorHAnsi" w:cstheme="minorHAnsi"/>
          <w:i/>
          <w:sz w:val="22"/>
          <w:szCs w:val="22"/>
        </w:rPr>
        <w:t>on</w:t>
      </w:r>
      <w:r w:rsidRPr="00153204">
        <w:rPr>
          <w:rFonts w:asciiTheme="minorHAnsi" w:hAnsiTheme="minorHAnsi" w:cstheme="minorHAnsi"/>
          <w:i/>
          <w:spacing w:val="-1"/>
          <w:sz w:val="22"/>
          <w:szCs w:val="22"/>
        </w:rPr>
        <w:t xml:space="preserve"> </w:t>
      </w:r>
      <w:r w:rsidRPr="00153204">
        <w:rPr>
          <w:rFonts w:asciiTheme="minorHAnsi" w:hAnsiTheme="minorHAnsi" w:cstheme="minorHAnsi"/>
          <w:i/>
          <w:sz w:val="22"/>
          <w:szCs w:val="22"/>
        </w:rPr>
        <w:t>the</w:t>
      </w:r>
      <w:r w:rsidRPr="00153204">
        <w:rPr>
          <w:rFonts w:asciiTheme="minorHAnsi" w:hAnsiTheme="minorHAnsi" w:cstheme="minorHAnsi"/>
          <w:i/>
          <w:spacing w:val="-1"/>
          <w:sz w:val="22"/>
          <w:szCs w:val="22"/>
        </w:rPr>
        <w:t xml:space="preserve"> </w:t>
      </w:r>
      <w:r w:rsidRPr="00153204">
        <w:rPr>
          <w:rFonts w:asciiTheme="minorHAnsi" w:hAnsiTheme="minorHAnsi" w:cstheme="minorHAnsi"/>
          <w:i/>
          <w:sz w:val="22"/>
          <w:szCs w:val="22"/>
        </w:rPr>
        <w:t>consumer.</w:t>
      </w:r>
    </w:p>
    <w:p w14:paraId="1BDA6D78" w14:textId="77777777" w:rsidR="00424727" w:rsidRPr="00153204" w:rsidRDefault="00424727" w:rsidP="00AB536C">
      <w:pPr>
        <w:widowControl w:val="0"/>
        <w:numPr>
          <w:ilvl w:val="0"/>
          <w:numId w:val="11"/>
        </w:numPr>
        <w:tabs>
          <w:tab w:val="left" w:pos="2300"/>
        </w:tabs>
        <w:autoSpaceDE w:val="0"/>
        <w:autoSpaceDN w:val="0"/>
        <w:spacing w:before="121"/>
        <w:ind w:left="1560" w:hanging="709"/>
        <w:jc w:val="both"/>
        <w:rPr>
          <w:rFonts w:asciiTheme="minorHAnsi" w:hAnsiTheme="minorHAnsi" w:cstheme="minorHAnsi"/>
          <w:i/>
          <w:sz w:val="22"/>
          <w:szCs w:val="22"/>
        </w:rPr>
      </w:pPr>
      <w:r w:rsidRPr="00153204">
        <w:rPr>
          <w:rFonts w:asciiTheme="minorHAnsi" w:hAnsiTheme="minorHAnsi" w:cstheme="minorHAnsi"/>
          <w:i/>
          <w:sz w:val="22"/>
          <w:szCs w:val="22"/>
        </w:rPr>
        <w:t>The</w:t>
      </w:r>
      <w:r w:rsidRPr="00153204">
        <w:rPr>
          <w:rFonts w:asciiTheme="minorHAnsi" w:hAnsiTheme="minorHAnsi" w:cstheme="minorHAnsi"/>
          <w:i/>
          <w:spacing w:val="1"/>
          <w:sz w:val="22"/>
          <w:szCs w:val="22"/>
        </w:rPr>
        <w:t xml:space="preserve"> </w:t>
      </w:r>
      <w:r w:rsidRPr="00153204">
        <w:rPr>
          <w:rFonts w:asciiTheme="minorHAnsi" w:hAnsiTheme="minorHAnsi" w:cstheme="minorHAnsi"/>
          <w:i/>
          <w:sz w:val="22"/>
          <w:szCs w:val="22"/>
        </w:rPr>
        <w:t>Licensee/supplier</w:t>
      </w:r>
      <w:r w:rsidRPr="00153204">
        <w:rPr>
          <w:rFonts w:asciiTheme="minorHAnsi" w:hAnsiTheme="minorHAnsi" w:cstheme="minorHAnsi"/>
          <w:i/>
          <w:spacing w:val="1"/>
          <w:sz w:val="22"/>
          <w:szCs w:val="22"/>
        </w:rPr>
        <w:t xml:space="preserve"> </w:t>
      </w:r>
      <w:r w:rsidRPr="00153204">
        <w:rPr>
          <w:rFonts w:asciiTheme="minorHAnsi" w:hAnsiTheme="minorHAnsi" w:cstheme="minorHAnsi"/>
          <w:i/>
          <w:sz w:val="22"/>
          <w:szCs w:val="22"/>
        </w:rPr>
        <w:t>shall</w:t>
      </w:r>
      <w:r w:rsidRPr="00153204">
        <w:rPr>
          <w:rFonts w:asciiTheme="minorHAnsi" w:hAnsiTheme="minorHAnsi" w:cstheme="minorHAnsi"/>
          <w:i/>
          <w:spacing w:val="1"/>
          <w:sz w:val="22"/>
          <w:szCs w:val="22"/>
        </w:rPr>
        <w:t xml:space="preserve"> </w:t>
      </w:r>
      <w:r w:rsidRPr="00153204">
        <w:rPr>
          <w:rFonts w:asciiTheme="minorHAnsi" w:hAnsiTheme="minorHAnsi" w:cstheme="minorHAnsi"/>
          <w:i/>
          <w:sz w:val="22"/>
          <w:szCs w:val="22"/>
        </w:rPr>
        <w:t>pay interest</w:t>
      </w:r>
      <w:r w:rsidRPr="00153204">
        <w:rPr>
          <w:rFonts w:asciiTheme="minorHAnsi" w:hAnsiTheme="minorHAnsi" w:cstheme="minorHAnsi"/>
          <w:i/>
          <w:spacing w:val="1"/>
          <w:sz w:val="22"/>
          <w:szCs w:val="22"/>
        </w:rPr>
        <w:t xml:space="preserve"> </w:t>
      </w:r>
      <w:r w:rsidRPr="00153204">
        <w:rPr>
          <w:rFonts w:asciiTheme="minorHAnsi" w:hAnsiTheme="minorHAnsi" w:cstheme="minorHAnsi"/>
          <w:i/>
          <w:sz w:val="22"/>
          <w:szCs w:val="22"/>
        </w:rPr>
        <w:t>at</w:t>
      </w:r>
      <w:r w:rsidRPr="00153204">
        <w:rPr>
          <w:rFonts w:asciiTheme="minorHAnsi" w:hAnsiTheme="minorHAnsi" w:cstheme="minorHAnsi"/>
          <w:i/>
          <w:spacing w:val="1"/>
          <w:sz w:val="22"/>
          <w:szCs w:val="22"/>
        </w:rPr>
        <w:t xml:space="preserve"> </w:t>
      </w:r>
      <w:r w:rsidRPr="00153204">
        <w:rPr>
          <w:rFonts w:asciiTheme="minorHAnsi" w:hAnsiTheme="minorHAnsi" w:cstheme="minorHAnsi"/>
          <w:i/>
          <w:sz w:val="22"/>
          <w:szCs w:val="22"/>
        </w:rPr>
        <w:t>twice</w:t>
      </w:r>
      <w:r w:rsidRPr="00153204">
        <w:rPr>
          <w:rFonts w:asciiTheme="minorHAnsi" w:hAnsiTheme="minorHAnsi" w:cstheme="minorHAnsi"/>
          <w:i/>
          <w:spacing w:val="1"/>
          <w:sz w:val="22"/>
          <w:szCs w:val="22"/>
        </w:rPr>
        <w:t xml:space="preserve"> </w:t>
      </w:r>
      <w:r w:rsidRPr="00153204">
        <w:rPr>
          <w:rFonts w:asciiTheme="minorHAnsi" w:hAnsiTheme="minorHAnsi" w:cstheme="minorHAnsi"/>
          <w:i/>
          <w:sz w:val="22"/>
          <w:szCs w:val="22"/>
        </w:rPr>
        <w:t>the</w:t>
      </w:r>
      <w:r w:rsidRPr="00153204">
        <w:rPr>
          <w:rFonts w:asciiTheme="minorHAnsi" w:hAnsiTheme="minorHAnsi" w:cstheme="minorHAnsi"/>
          <w:i/>
          <w:spacing w:val="1"/>
          <w:sz w:val="22"/>
          <w:szCs w:val="22"/>
        </w:rPr>
        <w:t xml:space="preserve"> </w:t>
      </w:r>
      <w:r w:rsidRPr="00153204">
        <w:rPr>
          <w:rFonts w:asciiTheme="minorHAnsi" w:hAnsiTheme="minorHAnsi" w:cstheme="minorHAnsi"/>
          <w:i/>
          <w:sz w:val="22"/>
          <w:szCs w:val="22"/>
        </w:rPr>
        <w:t>rate</w:t>
      </w:r>
      <w:r w:rsidRPr="00153204">
        <w:rPr>
          <w:rFonts w:asciiTheme="minorHAnsi" w:hAnsiTheme="minorHAnsi" w:cstheme="minorHAnsi"/>
          <w:i/>
          <w:spacing w:val="1"/>
          <w:sz w:val="22"/>
          <w:szCs w:val="22"/>
        </w:rPr>
        <w:t xml:space="preserve"> </w:t>
      </w:r>
      <w:r w:rsidRPr="00153204">
        <w:rPr>
          <w:rFonts w:asciiTheme="minorHAnsi" w:hAnsiTheme="minorHAnsi" w:cstheme="minorHAnsi"/>
          <w:i/>
          <w:sz w:val="22"/>
          <w:szCs w:val="22"/>
        </w:rPr>
        <w:t>specified</w:t>
      </w:r>
      <w:r w:rsidRPr="00153204">
        <w:rPr>
          <w:rFonts w:asciiTheme="minorHAnsi" w:hAnsiTheme="minorHAnsi" w:cstheme="minorHAnsi"/>
          <w:i/>
          <w:spacing w:val="1"/>
          <w:sz w:val="22"/>
          <w:szCs w:val="22"/>
        </w:rPr>
        <w:t xml:space="preserve"> </w:t>
      </w:r>
      <w:r w:rsidRPr="00153204">
        <w:rPr>
          <w:rFonts w:asciiTheme="minorHAnsi" w:hAnsiTheme="minorHAnsi" w:cstheme="minorHAnsi"/>
          <w:i/>
          <w:sz w:val="22"/>
          <w:szCs w:val="22"/>
        </w:rPr>
        <w:t>under</w:t>
      </w:r>
      <w:r w:rsidRPr="00153204">
        <w:rPr>
          <w:rFonts w:asciiTheme="minorHAnsi" w:hAnsiTheme="minorHAnsi" w:cstheme="minorHAnsi"/>
          <w:i/>
          <w:spacing w:val="1"/>
          <w:sz w:val="22"/>
          <w:szCs w:val="22"/>
        </w:rPr>
        <w:t xml:space="preserve"> </w:t>
      </w:r>
      <w:r w:rsidRPr="00153204">
        <w:rPr>
          <w:rFonts w:asciiTheme="minorHAnsi" w:hAnsiTheme="minorHAnsi" w:cstheme="minorHAnsi"/>
          <w:i/>
          <w:sz w:val="22"/>
          <w:szCs w:val="22"/>
        </w:rPr>
        <w:t>sub-</w:t>
      </w:r>
      <w:r w:rsidRPr="00153204">
        <w:rPr>
          <w:rFonts w:asciiTheme="minorHAnsi" w:hAnsiTheme="minorHAnsi" w:cstheme="minorHAnsi"/>
          <w:i/>
          <w:spacing w:val="1"/>
          <w:sz w:val="22"/>
          <w:szCs w:val="22"/>
        </w:rPr>
        <w:t xml:space="preserve"> </w:t>
      </w:r>
      <w:r w:rsidRPr="00153204">
        <w:rPr>
          <w:rFonts w:asciiTheme="minorHAnsi" w:hAnsiTheme="minorHAnsi" w:cstheme="minorHAnsi"/>
          <w:i/>
          <w:sz w:val="22"/>
          <w:szCs w:val="22"/>
        </w:rPr>
        <w:t>Regulation (</w:t>
      </w:r>
      <w:proofErr w:type="spellStart"/>
      <w:r w:rsidRPr="00153204">
        <w:rPr>
          <w:rFonts w:asciiTheme="minorHAnsi" w:hAnsiTheme="minorHAnsi" w:cstheme="minorHAnsi"/>
          <w:i/>
          <w:sz w:val="22"/>
          <w:szCs w:val="22"/>
        </w:rPr>
        <w:t>i</w:t>
      </w:r>
      <w:proofErr w:type="spellEnd"/>
      <w:r w:rsidRPr="00153204">
        <w:rPr>
          <w:rFonts w:asciiTheme="minorHAnsi" w:hAnsiTheme="minorHAnsi" w:cstheme="minorHAnsi"/>
          <w:i/>
          <w:sz w:val="22"/>
          <w:szCs w:val="22"/>
        </w:rPr>
        <w:t>) above for the delay in making the adjustments for</w:t>
      </w:r>
      <w:r w:rsidRPr="00153204">
        <w:rPr>
          <w:rFonts w:asciiTheme="minorHAnsi" w:hAnsiTheme="minorHAnsi" w:cstheme="minorHAnsi"/>
          <w:i/>
          <w:spacing w:val="61"/>
          <w:sz w:val="22"/>
          <w:szCs w:val="22"/>
        </w:rPr>
        <w:t xml:space="preserve"> </w:t>
      </w:r>
      <w:r w:rsidRPr="00153204">
        <w:rPr>
          <w:rFonts w:asciiTheme="minorHAnsi" w:hAnsiTheme="minorHAnsi" w:cstheme="minorHAnsi"/>
          <w:i/>
          <w:sz w:val="22"/>
          <w:szCs w:val="22"/>
        </w:rPr>
        <w:t>interest</w:t>
      </w:r>
      <w:r w:rsidRPr="00153204">
        <w:rPr>
          <w:rFonts w:asciiTheme="minorHAnsi" w:hAnsiTheme="minorHAnsi" w:cstheme="minorHAnsi"/>
          <w:i/>
          <w:spacing w:val="61"/>
          <w:sz w:val="22"/>
          <w:szCs w:val="22"/>
        </w:rPr>
        <w:t xml:space="preserve"> </w:t>
      </w:r>
      <w:r w:rsidRPr="00153204">
        <w:rPr>
          <w:rFonts w:asciiTheme="minorHAnsi" w:hAnsiTheme="minorHAnsi" w:cstheme="minorHAnsi"/>
          <w:i/>
          <w:sz w:val="22"/>
          <w:szCs w:val="22"/>
        </w:rPr>
        <w:t>on</w:t>
      </w:r>
      <w:r w:rsidRPr="00153204">
        <w:rPr>
          <w:rFonts w:asciiTheme="minorHAnsi" w:hAnsiTheme="minorHAnsi" w:cstheme="minorHAnsi"/>
          <w:i/>
          <w:spacing w:val="1"/>
          <w:sz w:val="22"/>
          <w:szCs w:val="22"/>
        </w:rPr>
        <w:t xml:space="preserve"> </w:t>
      </w:r>
      <w:r w:rsidRPr="00153204">
        <w:rPr>
          <w:rFonts w:asciiTheme="minorHAnsi" w:hAnsiTheme="minorHAnsi" w:cstheme="minorHAnsi"/>
          <w:i/>
          <w:sz w:val="22"/>
          <w:szCs w:val="22"/>
        </w:rPr>
        <w:t>security</w:t>
      </w:r>
      <w:r w:rsidRPr="00153204">
        <w:rPr>
          <w:rFonts w:asciiTheme="minorHAnsi" w:hAnsiTheme="minorHAnsi" w:cstheme="minorHAnsi"/>
          <w:i/>
          <w:spacing w:val="-6"/>
          <w:sz w:val="22"/>
          <w:szCs w:val="22"/>
        </w:rPr>
        <w:t xml:space="preserve"> </w:t>
      </w:r>
      <w:r w:rsidRPr="00153204">
        <w:rPr>
          <w:rFonts w:asciiTheme="minorHAnsi" w:hAnsiTheme="minorHAnsi" w:cstheme="minorHAnsi"/>
          <w:i/>
          <w:sz w:val="22"/>
          <w:szCs w:val="22"/>
        </w:rPr>
        <w:t>deposit.</w:t>
      </w:r>
    </w:p>
    <w:p w14:paraId="49EF65BE" w14:textId="7B7F2090" w:rsidR="00424727" w:rsidRPr="00153204" w:rsidRDefault="00424727" w:rsidP="00E02343">
      <w:pPr>
        <w:pStyle w:val="PwcUttaranchalNormalTextFinalCharChar"/>
        <w:rPr>
          <w:rFonts w:asciiTheme="minorHAnsi" w:hAnsiTheme="minorHAnsi" w:cstheme="minorHAnsi"/>
          <w:i/>
          <w:sz w:val="22"/>
          <w:szCs w:val="22"/>
        </w:rPr>
      </w:pPr>
    </w:p>
    <w:p w14:paraId="56F492BB" w14:textId="40BF3DF5" w:rsidR="000B359E" w:rsidRDefault="00530F0D" w:rsidP="002334A3">
      <w:pPr>
        <w:spacing w:line="360" w:lineRule="auto"/>
        <w:ind w:left="567"/>
        <w:jc w:val="both"/>
        <w:rPr>
          <w:rFonts w:asciiTheme="minorHAnsi" w:hAnsiTheme="minorHAnsi" w:cstheme="minorHAnsi"/>
          <w:sz w:val="22"/>
          <w:szCs w:val="22"/>
        </w:rPr>
      </w:pPr>
      <w:r w:rsidRPr="002B64C6">
        <w:rPr>
          <w:rFonts w:asciiTheme="minorHAnsi" w:hAnsiTheme="minorHAnsi" w:cstheme="minorHAnsi"/>
          <w:sz w:val="22"/>
          <w:szCs w:val="22"/>
        </w:rPr>
        <w:t xml:space="preserve">TPNODL has calculated the interest on security deposit @ </w:t>
      </w:r>
      <w:r w:rsidR="00551432" w:rsidRPr="002B64C6">
        <w:rPr>
          <w:rFonts w:asciiTheme="minorHAnsi" w:hAnsiTheme="minorHAnsi" w:cstheme="minorHAnsi"/>
          <w:sz w:val="22"/>
          <w:szCs w:val="22"/>
        </w:rPr>
        <w:t>6.75</w:t>
      </w:r>
      <w:r w:rsidRPr="002B64C6">
        <w:rPr>
          <w:rFonts w:asciiTheme="minorHAnsi" w:hAnsiTheme="minorHAnsi" w:cstheme="minorHAnsi"/>
          <w:sz w:val="22"/>
          <w:szCs w:val="22"/>
        </w:rPr>
        <w:t>% on the closing balance of security deposit amount for FY 202</w:t>
      </w:r>
      <w:r w:rsidR="00F43858" w:rsidRPr="002B64C6">
        <w:rPr>
          <w:rFonts w:asciiTheme="minorHAnsi" w:hAnsiTheme="minorHAnsi" w:cstheme="minorHAnsi"/>
          <w:sz w:val="22"/>
          <w:szCs w:val="22"/>
        </w:rPr>
        <w:t>4</w:t>
      </w:r>
      <w:r w:rsidRPr="002B64C6">
        <w:rPr>
          <w:rFonts w:asciiTheme="minorHAnsi" w:hAnsiTheme="minorHAnsi" w:cstheme="minorHAnsi"/>
          <w:sz w:val="22"/>
          <w:szCs w:val="22"/>
        </w:rPr>
        <w:t>-2</w:t>
      </w:r>
      <w:r w:rsidR="00F43858" w:rsidRPr="002B64C6">
        <w:rPr>
          <w:rFonts w:asciiTheme="minorHAnsi" w:hAnsiTheme="minorHAnsi" w:cstheme="minorHAnsi"/>
          <w:sz w:val="22"/>
          <w:szCs w:val="22"/>
        </w:rPr>
        <w:t>5</w:t>
      </w:r>
      <w:r w:rsidRPr="002B64C6">
        <w:rPr>
          <w:rFonts w:asciiTheme="minorHAnsi" w:hAnsiTheme="minorHAnsi" w:cstheme="minorHAnsi"/>
          <w:sz w:val="22"/>
          <w:szCs w:val="22"/>
        </w:rPr>
        <w:t xml:space="preserve"> based on the existing approval o</w:t>
      </w:r>
      <w:r w:rsidR="00E62809" w:rsidRPr="002B64C6">
        <w:rPr>
          <w:rFonts w:asciiTheme="minorHAnsi" w:hAnsiTheme="minorHAnsi" w:cstheme="minorHAnsi"/>
          <w:sz w:val="22"/>
          <w:szCs w:val="22"/>
        </w:rPr>
        <w:t>f Hon’ble Commission for</w:t>
      </w:r>
      <w:r w:rsidR="00F36290" w:rsidRPr="002B64C6">
        <w:rPr>
          <w:rFonts w:asciiTheme="minorHAnsi" w:hAnsiTheme="minorHAnsi" w:cstheme="minorHAnsi"/>
          <w:sz w:val="22"/>
          <w:szCs w:val="22"/>
        </w:rPr>
        <w:t xml:space="preserve"> </w:t>
      </w:r>
      <w:r w:rsidR="00AD1819" w:rsidRPr="002B64C6">
        <w:rPr>
          <w:rFonts w:asciiTheme="minorHAnsi" w:hAnsiTheme="minorHAnsi" w:cstheme="minorHAnsi"/>
          <w:sz w:val="22"/>
          <w:szCs w:val="22"/>
        </w:rPr>
        <w:t>the FY</w:t>
      </w:r>
      <w:r w:rsidR="00E62809" w:rsidRPr="002B64C6">
        <w:rPr>
          <w:rFonts w:asciiTheme="minorHAnsi" w:hAnsiTheme="minorHAnsi" w:cstheme="minorHAnsi"/>
          <w:sz w:val="22"/>
          <w:szCs w:val="22"/>
        </w:rPr>
        <w:t xml:space="preserve"> 202</w:t>
      </w:r>
      <w:r w:rsidR="00F43858" w:rsidRPr="002B64C6">
        <w:rPr>
          <w:rFonts w:asciiTheme="minorHAnsi" w:hAnsiTheme="minorHAnsi" w:cstheme="minorHAnsi"/>
          <w:sz w:val="22"/>
          <w:szCs w:val="22"/>
        </w:rPr>
        <w:t>4</w:t>
      </w:r>
      <w:r w:rsidRPr="002B64C6">
        <w:rPr>
          <w:rFonts w:asciiTheme="minorHAnsi" w:hAnsiTheme="minorHAnsi" w:cstheme="minorHAnsi"/>
          <w:sz w:val="22"/>
          <w:szCs w:val="22"/>
        </w:rPr>
        <w:t>-2</w:t>
      </w:r>
      <w:r w:rsidR="00F43858" w:rsidRPr="002B64C6">
        <w:rPr>
          <w:rFonts w:asciiTheme="minorHAnsi" w:hAnsiTheme="minorHAnsi" w:cstheme="minorHAnsi"/>
          <w:sz w:val="22"/>
          <w:szCs w:val="22"/>
        </w:rPr>
        <w:t>5</w:t>
      </w:r>
      <w:r w:rsidRPr="002B64C6">
        <w:rPr>
          <w:rFonts w:asciiTheme="minorHAnsi" w:hAnsiTheme="minorHAnsi" w:cstheme="minorHAnsi"/>
          <w:sz w:val="22"/>
          <w:szCs w:val="22"/>
        </w:rPr>
        <w:t xml:space="preserve">. </w:t>
      </w:r>
      <w:r w:rsidR="00AD1819">
        <w:rPr>
          <w:rFonts w:asciiTheme="minorHAnsi" w:hAnsiTheme="minorHAnsi" w:cstheme="minorHAnsi"/>
          <w:sz w:val="22"/>
          <w:szCs w:val="22"/>
        </w:rPr>
        <w:t xml:space="preserve">  </w:t>
      </w:r>
    </w:p>
    <w:p w14:paraId="50A7960E" w14:textId="2BB25347" w:rsidR="00AD1819" w:rsidRPr="00AD1819" w:rsidRDefault="00AD1819" w:rsidP="002334A3">
      <w:pPr>
        <w:spacing w:line="360" w:lineRule="auto"/>
        <w:ind w:left="567"/>
        <w:jc w:val="both"/>
        <w:rPr>
          <w:rFonts w:asciiTheme="minorHAnsi" w:hAnsiTheme="minorHAnsi" w:cstheme="minorHAnsi"/>
          <w:b/>
          <w:sz w:val="22"/>
          <w:szCs w:val="22"/>
        </w:rPr>
      </w:pPr>
      <w:r>
        <w:rPr>
          <w:rFonts w:asciiTheme="minorHAnsi" w:hAnsiTheme="minorHAnsi" w:cstheme="minorHAnsi"/>
          <w:sz w:val="22"/>
          <w:szCs w:val="22"/>
        </w:rPr>
        <w:t xml:space="preserve">                                                                                                                                               </w:t>
      </w:r>
      <w:r w:rsidRPr="00AD1819">
        <w:rPr>
          <w:rFonts w:asciiTheme="minorHAnsi" w:hAnsiTheme="minorHAnsi" w:cstheme="minorHAnsi"/>
          <w:b/>
          <w:sz w:val="22"/>
          <w:szCs w:val="22"/>
        </w:rPr>
        <w:t xml:space="preserve">(In Rs. </w:t>
      </w:r>
      <w:proofErr w:type="spellStart"/>
      <w:r w:rsidRPr="00AD1819">
        <w:rPr>
          <w:rFonts w:asciiTheme="minorHAnsi" w:hAnsiTheme="minorHAnsi" w:cstheme="minorHAnsi"/>
          <w:b/>
          <w:sz w:val="22"/>
          <w:szCs w:val="22"/>
        </w:rPr>
        <w:t>Crs</w:t>
      </w:r>
      <w:proofErr w:type="spellEnd"/>
      <w:r w:rsidRPr="00AD1819">
        <w:rPr>
          <w:rFonts w:asciiTheme="minorHAnsi" w:hAnsiTheme="minorHAnsi" w:cstheme="minorHAnsi"/>
          <w:b/>
          <w:sz w:val="22"/>
          <w:szCs w:val="22"/>
        </w:rPr>
        <w:t>)</w:t>
      </w:r>
    </w:p>
    <w:tbl>
      <w:tblPr>
        <w:tblStyle w:val="TableGrid"/>
        <w:tblW w:w="0" w:type="auto"/>
        <w:tblInd w:w="567" w:type="dxa"/>
        <w:tblLook w:val="04A0" w:firstRow="1" w:lastRow="0" w:firstColumn="1" w:lastColumn="0" w:noHBand="0" w:noVBand="1"/>
      </w:tblPr>
      <w:tblGrid>
        <w:gridCol w:w="2941"/>
        <w:gridCol w:w="2941"/>
        <w:gridCol w:w="2941"/>
      </w:tblGrid>
      <w:tr w:rsidR="000B359E" w:rsidRPr="002B64C6" w14:paraId="595AA5C9" w14:textId="77777777" w:rsidTr="00AD0066">
        <w:tc>
          <w:tcPr>
            <w:tcW w:w="2941" w:type="dxa"/>
            <w:shd w:val="clear" w:color="auto" w:fill="95B3D7" w:themeFill="accent1" w:themeFillTint="99"/>
          </w:tcPr>
          <w:p w14:paraId="01844D6B" w14:textId="554929EC" w:rsidR="000B359E" w:rsidRPr="00AD0066" w:rsidRDefault="000B359E" w:rsidP="0085153B">
            <w:pPr>
              <w:spacing w:line="360" w:lineRule="auto"/>
              <w:jc w:val="center"/>
              <w:rPr>
                <w:rFonts w:asciiTheme="minorHAnsi" w:hAnsiTheme="minorHAnsi" w:cstheme="minorHAnsi"/>
                <w:b/>
                <w:sz w:val="22"/>
                <w:szCs w:val="22"/>
              </w:rPr>
            </w:pPr>
            <w:r w:rsidRPr="00AD0066">
              <w:rPr>
                <w:rFonts w:asciiTheme="minorHAnsi" w:hAnsiTheme="minorHAnsi" w:cstheme="minorHAnsi"/>
                <w:b/>
                <w:sz w:val="22"/>
                <w:szCs w:val="22"/>
              </w:rPr>
              <w:t>SD as on 31.3.25</w:t>
            </w:r>
            <w:r w:rsidR="00AD1819">
              <w:rPr>
                <w:rFonts w:asciiTheme="minorHAnsi" w:hAnsiTheme="minorHAnsi" w:cstheme="minorHAnsi"/>
                <w:b/>
                <w:sz w:val="22"/>
                <w:szCs w:val="22"/>
              </w:rPr>
              <w:t xml:space="preserve"> </w:t>
            </w:r>
          </w:p>
        </w:tc>
        <w:tc>
          <w:tcPr>
            <w:tcW w:w="2941" w:type="dxa"/>
            <w:shd w:val="clear" w:color="auto" w:fill="95B3D7" w:themeFill="accent1" w:themeFillTint="99"/>
          </w:tcPr>
          <w:p w14:paraId="4B9AA7EF" w14:textId="4A21D5D8" w:rsidR="000B359E" w:rsidRPr="00AD0066" w:rsidRDefault="000B359E" w:rsidP="0085153B">
            <w:pPr>
              <w:spacing w:line="360" w:lineRule="auto"/>
              <w:jc w:val="center"/>
              <w:rPr>
                <w:rFonts w:asciiTheme="minorHAnsi" w:hAnsiTheme="minorHAnsi" w:cstheme="minorHAnsi"/>
                <w:b/>
                <w:sz w:val="22"/>
                <w:szCs w:val="22"/>
              </w:rPr>
            </w:pPr>
            <w:r w:rsidRPr="00AD0066">
              <w:rPr>
                <w:rFonts w:asciiTheme="minorHAnsi" w:hAnsiTheme="minorHAnsi" w:cstheme="minorHAnsi"/>
                <w:b/>
                <w:sz w:val="22"/>
                <w:szCs w:val="22"/>
              </w:rPr>
              <w:t>Rate of Interest</w:t>
            </w:r>
          </w:p>
        </w:tc>
        <w:tc>
          <w:tcPr>
            <w:tcW w:w="2941" w:type="dxa"/>
            <w:shd w:val="clear" w:color="auto" w:fill="95B3D7" w:themeFill="accent1" w:themeFillTint="99"/>
          </w:tcPr>
          <w:p w14:paraId="07296028" w14:textId="14EFE4C7" w:rsidR="000B359E" w:rsidRPr="00AD0066" w:rsidRDefault="000B359E" w:rsidP="0085153B">
            <w:pPr>
              <w:spacing w:line="360" w:lineRule="auto"/>
              <w:jc w:val="center"/>
              <w:rPr>
                <w:rFonts w:asciiTheme="minorHAnsi" w:hAnsiTheme="minorHAnsi" w:cstheme="minorHAnsi"/>
                <w:b/>
                <w:sz w:val="22"/>
                <w:szCs w:val="22"/>
              </w:rPr>
            </w:pPr>
            <w:r w:rsidRPr="00AD0066">
              <w:rPr>
                <w:rFonts w:asciiTheme="minorHAnsi" w:hAnsiTheme="minorHAnsi" w:cstheme="minorHAnsi"/>
                <w:b/>
                <w:sz w:val="22"/>
                <w:szCs w:val="22"/>
              </w:rPr>
              <w:t>Interest on SD</w:t>
            </w:r>
            <w:r w:rsidR="00C9171B" w:rsidRPr="00AD0066">
              <w:rPr>
                <w:rFonts w:asciiTheme="minorHAnsi" w:hAnsiTheme="minorHAnsi" w:cstheme="minorHAnsi"/>
                <w:b/>
                <w:sz w:val="22"/>
                <w:szCs w:val="22"/>
              </w:rPr>
              <w:t xml:space="preserve"> </w:t>
            </w:r>
          </w:p>
        </w:tc>
      </w:tr>
      <w:tr w:rsidR="000B359E" w:rsidRPr="002B64C6" w14:paraId="4B2269BF" w14:textId="77777777" w:rsidTr="000B359E">
        <w:tc>
          <w:tcPr>
            <w:tcW w:w="2941" w:type="dxa"/>
          </w:tcPr>
          <w:p w14:paraId="05970643" w14:textId="0F3F5816" w:rsidR="000B359E" w:rsidRPr="002B64C6" w:rsidRDefault="000B359E" w:rsidP="0085153B">
            <w:pPr>
              <w:spacing w:line="360" w:lineRule="auto"/>
              <w:jc w:val="center"/>
              <w:rPr>
                <w:rFonts w:asciiTheme="minorHAnsi" w:hAnsiTheme="minorHAnsi" w:cstheme="minorHAnsi"/>
                <w:sz w:val="22"/>
                <w:szCs w:val="22"/>
              </w:rPr>
            </w:pPr>
            <w:r w:rsidRPr="002B64C6">
              <w:rPr>
                <w:rFonts w:asciiTheme="minorHAnsi" w:hAnsiTheme="minorHAnsi" w:cstheme="minorHAnsi"/>
                <w:sz w:val="22"/>
                <w:szCs w:val="22"/>
              </w:rPr>
              <w:t>943.4</w:t>
            </w:r>
            <w:r w:rsidR="003E3E3D">
              <w:rPr>
                <w:rFonts w:asciiTheme="minorHAnsi" w:hAnsiTheme="minorHAnsi" w:cstheme="minorHAnsi"/>
                <w:sz w:val="22"/>
                <w:szCs w:val="22"/>
              </w:rPr>
              <w:t>7</w:t>
            </w:r>
          </w:p>
        </w:tc>
        <w:tc>
          <w:tcPr>
            <w:tcW w:w="2941" w:type="dxa"/>
          </w:tcPr>
          <w:p w14:paraId="0DD7DD95" w14:textId="0F6B4CA9" w:rsidR="000B359E" w:rsidRPr="002B64C6" w:rsidRDefault="000B359E" w:rsidP="0085153B">
            <w:pPr>
              <w:spacing w:line="360" w:lineRule="auto"/>
              <w:jc w:val="center"/>
              <w:rPr>
                <w:rFonts w:asciiTheme="minorHAnsi" w:hAnsiTheme="minorHAnsi" w:cstheme="minorHAnsi"/>
                <w:sz w:val="22"/>
                <w:szCs w:val="22"/>
              </w:rPr>
            </w:pPr>
            <w:r w:rsidRPr="002B64C6">
              <w:rPr>
                <w:rFonts w:asciiTheme="minorHAnsi" w:hAnsiTheme="minorHAnsi" w:cstheme="minorHAnsi"/>
                <w:sz w:val="22"/>
                <w:szCs w:val="22"/>
              </w:rPr>
              <w:t>6.75%</w:t>
            </w:r>
          </w:p>
        </w:tc>
        <w:tc>
          <w:tcPr>
            <w:tcW w:w="2941" w:type="dxa"/>
          </w:tcPr>
          <w:p w14:paraId="2D5C5B2C" w14:textId="6323D0F2" w:rsidR="000B359E" w:rsidRPr="002B64C6" w:rsidRDefault="000B359E" w:rsidP="0085153B">
            <w:pPr>
              <w:spacing w:line="360" w:lineRule="auto"/>
              <w:jc w:val="center"/>
              <w:rPr>
                <w:rFonts w:asciiTheme="minorHAnsi" w:hAnsiTheme="minorHAnsi" w:cstheme="minorHAnsi"/>
                <w:sz w:val="22"/>
                <w:szCs w:val="22"/>
              </w:rPr>
            </w:pPr>
            <w:r w:rsidRPr="002B64C6">
              <w:rPr>
                <w:rFonts w:asciiTheme="minorHAnsi" w:hAnsiTheme="minorHAnsi" w:cstheme="minorHAnsi"/>
                <w:sz w:val="22"/>
                <w:szCs w:val="22"/>
              </w:rPr>
              <w:t>63.68</w:t>
            </w:r>
          </w:p>
        </w:tc>
      </w:tr>
    </w:tbl>
    <w:p w14:paraId="1EE32B4A" w14:textId="77777777" w:rsidR="000B359E" w:rsidRPr="002B64C6" w:rsidRDefault="000B359E" w:rsidP="002334A3">
      <w:pPr>
        <w:spacing w:line="360" w:lineRule="auto"/>
        <w:ind w:left="567"/>
        <w:jc w:val="both"/>
        <w:rPr>
          <w:rFonts w:asciiTheme="minorHAnsi" w:hAnsiTheme="minorHAnsi" w:cstheme="minorHAnsi"/>
          <w:sz w:val="22"/>
          <w:szCs w:val="22"/>
        </w:rPr>
      </w:pPr>
    </w:p>
    <w:p w14:paraId="56EA51C8" w14:textId="60510E5C" w:rsidR="003A6A58" w:rsidRDefault="00530F0D" w:rsidP="00E02343">
      <w:pPr>
        <w:spacing w:line="360" w:lineRule="auto"/>
        <w:ind w:left="567"/>
        <w:jc w:val="both"/>
        <w:rPr>
          <w:rFonts w:asciiTheme="minorHAnsi" w:hAnsiTheme="minorHAnsi" w:cstheme="minorHAnsi"/>
          <w:sz w:val="22"/>
          <w:szCs w:val="22"/>
        </w:rPr>
      </w:pPr>
      <w:r w:rsidRPr="002B64C6">
        <w:rPr>
          <w:rFonts w:asciiTheme="minorHAnsi" w:hAnsiTheme="minorHAnsi" w:cstheme="minorHAnsi"/>
          <w:sz w:val="22"/>
          <w:szCs w:val="22"/>
        </w:rPr>
        <w:t>The interest on security deposit considered in ARR for FY 202</w:t>
      </w:r>
      <w:r w:rsidR="00F43858" w:rsidRPr="002B64C6">
        <w:rPr>
          <w:rFonts w:asciiTheme="minorHAnsi" w:hAnsiTheme="minorHAnsi" w:cstheme="minorHAnsi"/>
          <w:sz w:val="22"/>
          <w:szCs w:val="22"/>
        </w:rPr>
        <w:t>5</w:t>
      </w:r>
      <w:r w:rsidRPr="002B64C6">
        <w:rPr>
          <w:rFonts w:asciiTheme="minorHAnsi" w:hAnsiTheme="minorHAnsi" w:cstheme="minorHAnsi"/>
          <w:sz w:val="22"/>
          <w:szCs w:val="22"/>
        </w:rPr>
        <w:t>-2</w:t>
      </w:r>
      <w:r w:rsidR="00F43858" w:rsidRPr="002B64C6">
        <w:rPr>
          <w:rFonts w:asciiTheme="minorHAnsi" w:hAnsiTheme="minorHAnsi" w:cstheme="minorHAnsi"/>
          <w:sz w:val="22"/>
          <w:szCs w:val="22"/>
        </w:rPr>
        <w:t>6</w:t>
      </w:r>
      <w:r w:rsidRPr="002B64C6">
        <w:rPr>
          <w:rFonts w:asciiTheme="minorHAnsi" w:hAnsiTheme="minorHAnsi" w:cstheme="minorHAnsi"/>
          <w:sz w:val="22"/>
          <w:szCs w:val="22"/>
        </w:rPr>
        <w:t xml:space="preserve"> work</w:t>
      </w:r>
      <w:r w:rsidR="00F36290" w:rsidRPr="002B64C6">
        <w:rPr>
          <w:rFonts w:asciiTheme="minorHAnsi" w:hAnsiTheme="minorHAnsi" w:cstheme="minorHAnsi"/>
          <w:sz w:val="22"/>
          <w:szCs w:val="22"/>
        </w:rPr>
        <w:t>s</w:t>
      </w:r>
      <w:r w:rsidRPr="002B64C6">
        <w:rPr>
          <w:rFonts w:asciiTheme="minorHAnsi" w:hAnsiTheme="minorHAnsi" w:cstheme="minorHAnsi"/>
          <w:sz w:val="22"/>
          <w:szCs w:val="22"/>
        </w:rPr>
        <w:t xml:space="preserve"> out to </w:t>
      </w:r>
      <w:r w:rsidR="001A2772" w:rsidRPr="002B64C6">
        <w:rPr>
          <w:rFonts w:asciiTheme="minorHAnsi" w:hAnsiTheme="minorHAnsi" w:cstheme="minorHAnsi"/>
          <w:sz w:val="22"/>
          <w:szCs w:val="22"/>
        </w:rPr>
        <w:t>Rs.</w:t>
      </w:r>
      <w:r w:rsidR="006263C4" w:rsidRPr="002B64C6">
        <w:rPr>
          <w:rFonts w:asciiTheme="minorHAnsi" w:hAnsiTheme="minorHAnsi" w:cstheme="minorHAnsi"/>
          <w:sz w:val="22"/>
          <w:szCs w:val="22"/>
        </w:rPr>
        <w:t xml:space="preserve"> </w:t>
      </w:r>
      <w:r w:rsidR="00E963DE" w:rsidRPr="002B64C6">
        <w:rPr>
          <w:rFonts w:asciiTheme="minorHAnsi" w:hAnsiTheme="minorHAnsi" w:cstheme="minorHAnsi"/>
          <w:sz w:val="22"/>
          <w:szCs w:val="22"/>
        </w:rPr>
        <w:t>6</w:t>
      </w:r>
      <w:r w:rsidR="002B64C6">
        <w:rPr>
          <w:rFonts w:asciiTheme="minorHAnsi" w:hAnsiTheme="minorHAnsi" w:cstheme="minorHAnsi"/>
          <w:sz w:val="22"/>
          <w:szCs w:val="22"/>
        </w:rPr>
        <w:t>3</w:t>
      </w:r>
      <w:r w:rsidR="00F43858" w:rsidRPr="002B64C6">
        <w:rPr>
          <w:rFonts w:asciiTheme="minorHAnsi" w:hAnsiTheme="minorHAnsi" w:cstheme="minorHAnsi"/>
          <w:sz w:val="22"/>
          <w:szCs w:val="22"/>
        </w:rPr>
        <w:t>.</w:t>
      </w:r>
      <w:r w:rsidR="002B64C6">
        <w:rPr>
          <w:rFonts w:asciiTheme="minorHAnsi" w:hAnsiTheme="minorHAnsi" w:cstheme="minorHAnsi"/>
          <w:sz w:val="22"/>
          <w:szCs w:val="22"/>
        </w:rPr>
        <w:t>6</w:t>
      </w:r>
      <w:r w:rsidR="00F43858" w:rsidRPr="002B64C6">
        <w:rPr>
          <w:rFonts w:asciiTheme="minorHAnsi" w:hAnsiTheme="minorHAnsi" w:cstheme="minorHAnsi"/>
          <w:sz w:val="22"/>
          <w:szCs w:val="22"/>
        </w:rPr>
        <w:t>8</w:t>
      </w:r>
      <w:r w:rsidRPr="002B64C6">
        <w:rPr>
          <w:rFonts w:asciiTheme="minorHAnsi" w:hAnsiTheme="minorHAnsi" w:cstheme="minorHAnsi"/>
          <w:sz w:val="22"/>
          <w:szCs w:val="22"/>
        </w:rPr>
        <w:t xml:space="preserve"> </w:t>
      </w:r>
      <w:proofErr w:type="spellStart"/>
      <w:r w:rsidRPr="002B64C6">
        <w:rPr>
          <w:rFonts w:asciiTheme="minorHAnsi" w:hAnsiTheme="minorHAnsi" w:cstheme="minorHAnsi"/>
          <w:sz w:val="22"/>
          <w:szCs w:val="22"/>
        </w:rPr>
        <w:t>Cr</w:t>
      </w:r>
      <w:r w:rsidR="00E62809" w:rsidRPr="002B64C6">
        <w:rPr>
          <w:rFonts w:asciiTheme="minorHAnsi" w:hAnsiTheme="minorHAnsi" w:cstheme="minorHAnsi"/>
          <w:sz w:val="22"/>
          <w:szCs w:val="22"/>
        </w:rPr>
        <w:t>s</w:t>
      </w:r>
      <w:proofErr w:type="spellEnd"/>
      <w:r w:rsidRPr="002B64C6">
        <w:rPr>
          <w:rFonts w:asciiTheme="minorHAnsi" w:hAnsiTheme="minorHAnsi" w:cstheme="minorHAnsi"/>
          <w:sz w:val="22"/>
          <w:szCs w:val="22"/>
        </w:rPr>
        <w:t xml:space="preserve">. </w:t>
      </w:r>
    </w:p>
    <w:p w14:paraId="20A0D1D7" w14:textId="77777777" w:rsidR="00E02343" w:rsidRPr="00153204" w:rsidRDefault="00E02343" w:rsidP="00E02343">
      <w:pPr>
        <w:spacing w:line="360" w:lineRule="auto"/>
        <w:ind w:left="567"/>
        <w:jc w:val="both"/>
        <w:rPr>
          <w:rFonts w:asciiTheme="minorHAnsi" w:hAnsiTheme="minorHAnsi" w:cstheme="minorHAnsi"/>
          <w:sz w:val="22"/>
          <w:szCs w:val="22"/>
        </w:rPr>
      </w:pPr>
    </w:p>
    <w:p w14:paraId="6543FA45" w14:textId="5A0EC53F" w:rsidR="002F7D52" w:rsidRPr="00B81CEB" w:rsidRDefault="0088472B" w:rsidP="0002474E">
      <w:pPr>
        <w:spacing w:line="360" w:lineRule="auto"/>
        <w:ind w:left="567"/>
        <w:jc w:val="both"/>
        <w:rPr>
          <w:rFonts w:asciiTheme="minorHAnsi" w:hAnsiTheme="minorHAnsi" w:cstheme="minorHAnsi"/>
          <w:b/>
          <w:szCs w:val="22"/>
        </w:rPr>
      </w:pPr>
      <w:r w:rsidRPr="00B81CEB">
        <w:rPr>
          <w:rFonts w:asciiTheme="minorHAnsi" w:hAnsiTheme="minorHAnsi" w:cstheme="minorHAnsi"/>
          <w:b/>
          <w:szCs w:val="22"/>
        </w:rPr>
        <w:t>2.10</w:t>
      </w:r>
      <w:r w:rsidR="00263480" w:rsidRPr="00B81CEB">
        <w:rPr>
          <w:rFonts w:asciiTheme="minorHAnsi" w:hAnsiTheme="minorHAnsi" w:cstheme="minorHAnsi"/>
          <w:b/>
          <w:szCs w:val="22"/>
        </w:rPr>
        <w:t>.2</w:t>
      </w:r>
      <w:r w:rsidR="00CD336C" w:rsidRPr="00B81CEB">
        <w:rPr>
          <w:rFonts w:asciiTheme="minorHAnsi" w:hAnsiTheme="minorHAnsi" w:cstheme="minorHAnsi"/>
          <w:b/>
          <w:szCs w:val="22"/>
        </w:rPr>
        <w:t xml:space="preserve"> </w:t>
      </w:r>
      <w:r w:rsidR="00530F0D" w:rsidRPr="00B81CEB">
        <w:rPr>
          <w:rFonts w:asciiTheme="minorHAnsi" w:hAnsiTheme="minorHAnsi" w:cstheme="minorHAnsi"/>
          <w:b/>
          <w:szCs w:val="22"/>
        </w:rPr>
        <w:t>Interest on Cap</w:t>
      </w:r>
      <w:r w:rsidR="00263480" w:rsidRPr="00B81CEB">
        <w:rPr>
          <w:rFonts w:asciiTheme="minorHAnsi" w:hAnsiTheme="minorHAnsi" w:cstheme="minorHAnsi"/>
          <w:b/>
          <w:szCs w:val="22"/>
        </w:rPr>
        <w:t>ex loan</w:t>
      </w:r>
    </w:p>
    <w:p w14:paraId="761F9464" w14:textId="125F18B8" w:rsidR="00E62809" w:rsidRPr="00153204" w:rsidRDefault="00530F0D" w:rsidP="002334A3">
      <w:pPr>
        <w:spacing w:line="360" w:lineRule="auto"/>
        <w:ind w:left="567" w:right="20"/>
        <w:jc w:val="both"/>
        <w:rPr>
          <w:rFonts w:asciiTheme="minorHAnsi" w:hAnsiTheme="minorHAnsi" w:cstheme="minorHAnsi"/>
          <w:sz w:val="22"/>
          <w:szCs w:val="22"/>
        </w:rPr>
      </w:pPr>
      <w:r w:rsidRPr="00153204">
        <w:rPr>
          <w:rFonts w:asciiTheme="minorHAnsi" w:hAnsiTheme="minorHAnsi" w:cstheme="minorHAnsi"/>
          <w:sz w:val="22"/>
          <w:szCs w:val="22"/>
        </w:rPr>
        <w:t>As per the Tariff Regulations, the</w:t>
      </w:r>
      <w:r w:rsidR="00E62809" w:rsidRPr="00153204">
        <w:rPr>
          <w:rFonts w:asciiTheme="minorHAnsi" w:hAnsiTheme="minorHAnsi" w:cstheme="minorHAnsi"/>
          <w:sz w:val="22"/>
          <w:szCs w:val="22"/>
        </w:rPr>
        <w:t xml:space="preserve"> provision for interest on capital loan is reproduced hereunder:</w:t>
      </w:r>
    </w:p>
    <w:p w14:paraId="569C9576" w14:textId="77777777" w:rsidR="00632B4B" w:rsidRPr="00153204" w:rsidRDefault="00632B4B" w:rsidP="002334A3">
      <w:pPr>
        <w:spacing w:line="360" w:lineRule="auto"/>
        <w:ind w:left="567"/>
        <w:rPr>
          <w:rFonts w:asciiTheme="minorHAnsi" w:hAnsiTheme="minorHAnsi" w:cstheme="minorHAnsi"/>
          <w:b/>
          <w:i/>
          <w:sz w:val="22"/>
          <w:szCs w:val="22"/>
        </w:rPr>
      </w:pPr>
    </w:p>
    <w:p w14:paraId="22403990" w14:textId="2047D7F2" w:rsidR="00FA268F" w:rsidRPr="00153204" w:rsidRDefault="00FA268F" w:rsidP="00AB536C">
      <w:pPr>
        <w:pStyle w:val="ListParagraph"/>
        <w:widowControl w:val="0"/>
        <w:numPr>
          <w:ilvl w:val="1"/>
          <w:numId w:val="13"/>
        </w:numPr>
        <w:tabs>
          <w:tab w:val="left" w:pos="851"/>
        </w:tabs>
        <w:autoSpaceDE w:val="0"/>
        <w:autoSpaceDN w:val="0"/>
        <w:spacing w:before="129"/>
        <w:ind w:left="1560" w:hanging="801"/>
        <w:jc w:val="both"/>
        <w:outlineLvl w:val="1"/>
        <w:rPr>
          <w:rFonts w:asciiTheme="minorHAnsi" w:hAnsiTheme="minorHAnsi" w:cstheme="minorHAnsi"/>
          <w:b/>
          <w:bCs/>
          <w:i/>
        </w:rPr>
      </w:pPr>
      <w:r w:rsidRPr="00153204">
        <w:rPr>
          <w:rFonts w:asciiTheme="minorHAnsi" w:hAnsiTheme="minorHAnsi" w:cstheme="minorHAnsi"/>
          <w:b/>
          <w:bCs/>
          <w:i/>
        </w:rPr>
        <w:t xml:space="preserve"> Interest</w:t>
      </w:r>
      <w:r w:rsidRPr="00153204">
        <w:rPr>
          <w:rFonts w:asciiTheme="minorHAnsi" w:hAnsiTheme="minorHAnsi" w:cstheme="minorHAnsi"/>
          <w:b/>
          <w:bCs/>
          <w:i/>
          <w:spacing w:val="-3"/>
        </w:rPr>
        <w:t xml:space="preserve"> </w:t>
      </w:r>
      <w:r w:rsidRPr="00153204">
        <w:rPr>
          <w:rFonts w:asciiTheme="minorHAnsi" w:hAnsiTheme="minorHAnsi" w:cstheme="minorHAnsi"/>
          <w:b/>
          <w:bCs/>
          <w:i/>
        </w:rPr>
        <w:t>and</w:t>
      </w:r>
      <w:r w:rsidRPr="00153204">
        <w:rPr>
          <w:rFonts w:asciiTheme="minorHAnsi" w:hAnsiTheme="minorHAnsi" w:cstheme="minorHAnsi"/>
          <w:b/>
          <w:bCs/>
          <w:i/>
          <w:spacing w:val="-3"/>
        </w:rPr>
        <w:t xml:space="preserve"> </w:t>
      </w:r>
      <w:r w:rsidRPr="00153204">
        <w:rPr>
          <w:rFonts w:asciiTheme="minorHAnsi" w:hAnsiTheme="minorHAnsi" w:cstheme="minorHAnsi"/>
          <w:b/>
          <w:bCs/>
          <w:i/>
        </w:rPr>
        <w:t>finance charges</w:t>
      </w:r>
      <w:r w:rsidRPr="00153204">
        <w:rPr>
          <w:rFonts w:asciiTheme="minorHAnsi" w:hAnsiTheme="minorHAnsi" w:cstheme="minorHAnsi"/>
          <w:b/>
          <w:bCs/>
          <w:i/>
          <w:spacing w:val="1"/>
        </w:rPr>
        <w:t xml:space="preserve"> </w:t>
      </w:r>
      <w:r w:rsidRPr="00153204">
        <w:rPr>
          <w:rFonts w:asciiTheme="minorHAnsi" w:hAnsiTheme="minorHAnsi" w:cstheme="minorHAnsi"/>
          <w:b/>
          <w:bCs/>
          <w:i/>
        </w:rPr>
        <w:t>on</w:t>
      </w:r>
      <w:r w:rsidRPr="00153204">
        <w:rPr>
          <w:rFonts w:asciiTheme="minorHAnsi" w:hAnsiTheme="minorHAnsi" w:cstheme="minorHAnsi"/>
          <w:b/>
          <w:bCs/>
          <w:i/>
          <w:spacing w:val="-8"/>
        </w:rPr>
        <w:t xml:space="preserve"> </w:t>
      </w:r>
      <w:r w:rsidRPr="00153204">
        <w:rPr>
          <w:rFonts w:asciiTheme="minorHAnsi" w:hAnsiTheme="minorHAnsi" w:cstheme="minorHAnsi"/>
          <w:b/>
          <w:bCs/>
          <w:i/>
        </w:rPr>
        <w:t>Loan</w:t>
      </w:r>
      <w:r w:rsidRPr="00153204">
        <w:rPr>
          <w:rFonts w:asciiTheme="minorHAnsi" w:hAnsiTheme="minorHAnsi" w:cstheme="minorHAnsi"/>
          <w:b/>
          <w:bCs/>
          <w:i/>
          <w:spacing w:val="-7"/>
        </w:rPr>
        <w:t xml:space="preserve"> </w:t>
      </w:r>
      <w:r w:rsidRPr="00153204">
        <w:rPr>
          <w:rFonts w:asciiTheme="minorHAnsi" w:hAnsiTheme="minorHAnsi" w:cstheme="minorHAnsi"/>
          <w:b/>
          <w:bCs/>
          <w:i/>
        </w:rPr>
        <w:t>Capital</w:t>
      </w:r>
    </w:p>
    <w:p w14:paraId="5B11D1E9" w14:textId="77777777" w:rsidR="003A6A58" w:rsidRPr="00153204" w:rsidRDefault="003A6A58" w:rsidP="002334A3">
      <w:pPr>
        <w:pStyle w:val="ListParagraph"/>
        <w:widowControl w:val="0"/>
        <w:tabs>
          <w:tab w:val="left" w:pos="1560"/>
        </w:tabs>
        <w:autoSpaceDE w:val="0"/>
        <w:autoSpaceDN w:val="0"/>
        <w:spacing w:before="129"/>
        <w:ind w:left="1652"/>
        <w:jc w:val="both"/>
        <w:outlineLvl w:val="1"/>
        <w:rPr>
          <w:rFonts w:asciiTheme="minorHAnsi" w:hAnsiTheme="minorHAnsi" w:cstheme="minorHAnsi"/>
          <w:b/>
          <w:bCs/>
          <w:i/>
        </w:rPr>
      </w:pPr>
    </w:p>
    <w:p w14:paraId="14ED1059" w14:textId="22468332" w:rsidR="00FA268F" w:rsidRPr="00153204" w:rsidRDefault="00FA268F" w:rsidP="00AB536C">
      <w:pPr>
        <w:pStyle w:val="ListParagraph"/>
        <w:widowControl w:val="0"/>
        <w:numPr>
          <w:ilvl w:val="2"/>
          <w:numId w:val="13"/>
        </w:numPr>
        <w:tabs>
          <w:tab w:val="left" w:pos="851"/>
        </w:tabs>
        <w:autoSpaceDE w:val="0"/>
        <w:autoSpaceDN w:val="0"/>
        <w:spacing w:before="152" w:line="280" w:lineRule="auto"/>
        <w:ind w:left="851" w:right="227" w:firstLine="0"/>
        <w:jc w:val="both"/>
        <w:rPr>
          <w:rFonts w:asciiTheme="minorHAnsi" w:hAnsiTheme="minorHAnsi" w:cstheme="minorHAnsi"/>
          <w:i/>
        </w:rPr>
      </w:pPr>
      <w:r w:rsidRPr="00153204">
        <w:rPr>
          <w:rFonts w:asciiTheme="minorHAnsi" w:hAnsiTheme="minorHAnsi" w:cstheme="minorHAnsi"/>
          <w:i/>
        </w:rPr>
        <w:t>The loans arrived at in the manner indicated in these Regulations on the assets put to</w:t>
      </w:r>
      <w:r w:rsidRPr="00153204">
        <w:rPr>
          <w:rFonts w:asciiTheme="minorHAnsi" w:hAnsiTheme="minorHAnsi" w:cstheme="minorHAnsi"/>
          <w:i/>
          <w:spacing w:val="1"/>
        </w:rPr>
        <w:t xml:space="preserve"> </w:t>
      </w:r>
      <w:r w:rsidRPr="00153204">
        <w:rPr>
          <w:rFonts w:asciiTheme="minorHAnsi" w:hAnsiTheme="minorHAnsi" w:cstheme="minorHAnsi"/>
          <w:i/>
        </w:rPr>
        <w:t>use,</w:t>
      </w:r>
      <w:r w:rsidRPr="00153204">
        <w:rPr>
          <w:rFonts w:asciiTheme="minorHAnsi" w:hAnsiTheme="minorHAnsi" w:cstheme="minorHAnsi"/>
          <w:i/>
          <w:spacing w:val="1"/>
        </w:rPr>
        <w:t xml:space="preserve"> </w:t>
      </w:r>
      <w:r w:rsidRPr="00153204">
        <w:rPr>
          <w:rFonts w:asciiTheme="minorHAnsi" w:hAnsiTheme="minorHAnsi" w:cstheme="minorHAnsi"/>
          <w:i/>
        </w:rPr>
        <w:t>shall be</w:t>
      </w:r>
      <w:r w:rsidRPr="00153204">
        <w:rPr>
          <w:rFonts w:asciiTheme="minorHAnsi" w:hAnsiTheme="minorHAnsi" w:cstheme="minorHAnsi"/>
          <w:i/>
          <w:spacing w:val="-1"/>
        </w:rPr>
        <w:t xml:space="preserve"> </w:t>
      </w:r>
      <w:r w:rsidRPr="00153204">
        <w:rPr>
          <w:rFonts w:asciiTheme="minorHAnsi" w:hAnsiTheme="minorHAnsi" w:cstheme="minorHAnsi"/>
          <w:i/>
        </w:rPr>
        <w:t>considered</w:t>
      </w:r>
      <w:r w:rsidRPr="00153204">
        <w:rPr>
          <w:rFonts w:asciiTheme="minorHAnsi" w:hAnsiTheme="minorHAnsi" w:cstheme="minorHAnsi"/>
          <w:i/>
          <w:spacing w:val="-1"/>
        </w:rPr>
        <w:t xml:space="preserve"> </w:t>
      </w:r>
      <w:r w:rsidRPr="00153204">
        <w:rPr>
          <w:rFonts w:asciiTheme="minorHAnsi" w:hAnsiTheme="minorHAnsi" w:cstheme="minorHAnsi"/>
          <w:i/>
        </w:rPr>
        <w:t>as</w:t>
      </w:r>
      <w:r w:rsidRPr="00153204">
        <w:rPr>
          <w:rFonts w:asciiTheme="minorHAnsi" w:hAnsiTheme="minorHAnsi" w:cstheme="minorHAnsi"/>
          <w:i/>
          <w:spacing w:val="-2"/>
        </w:rPr>
        <w:t xml:space="preserve"> </w:t>
      </w:r>
      <w:r w:rsidRPr="00153204">
        <w:rPr>
          <w:rFonts w:asciiTheme="minorHAnsi" w:hAnsiTheme="minorHAnsi" w:cstheme="minorHAnsi"/>
          <w:i/>
        </w:rPr>
        <w:t>gross</w:t>
      </w:r>
      <w:r w:rsidRPr="00153204">
        <w:rPr>
          <w:rFonts w:asciiTheme="minorHAnsi" w:hAnsiTheme="minorHAnsi" w:cstheme="minorHAnsi"/>
          <w:i/>
          <w:spacing w:val="-2"/>
        </w:rPr>
        <w:t xml:space="preserve"> </w:t>
      </w:r>
      <w:r w:rsidRPr="00153204">
        <w:rPr>
          <w:rFonts w:asciiTheme="minorHAnsi" w:hAnsiTheme="minorHAnsi" w:cstheme="minorHAnsi"/>
          <w:i/>
        </w:rPr>
        <w:t>normative</w:t>
      </w:r>
      <w:r w:rsidRPr="00153204">
        <w:rPr>
          <w:rFonts w:asciiTheme="minorHAnsi" w:hAnsiTheme="minorHAnsi" w:cstheme="minorHAnsi"/>
          <w:i/>
          <w:spacing w:val="3"/>
        </w:rPr>
        <w:t xml:space="preserve"> </w:t>
      </w:r>
      <w:r w:rsidRPr="00153204">
        <w:rPr>
          <w:rFonts w:asciiTheme="minorHAnsi" w:hAnsiTheme="minorHAnsi" w:cstheme="minorHAnsi"/>
          <w:i/>
        </w:rPr>
        <w:t>loan</w:t>
      </w:r>
      <w:r w:rsidRPr="00153204">
        <w:rPr>
          <w:rFonts w:asciiTheme="minorHAnsi" w:hAnsiTheme="minorHAnsi" w:cstheme="minorHAnsi"/>
          <w:i/>
          <w:spacing w:val="-1"/>
        </w:rPr>
        <w:t xml:space="preserve"> </w:t>
      </w:r>
      <w:r w:rsidRPr="00153204">
        <w:rPr>
          <w:rFonts w:asciiTheme="minorHAnsi" w:hAnsiTheme="minorHAnsi" w:cstheme="minorHAnsi"/>
          <w:i/>
        </w:rPr>
        <w:t>for</w:t>
      </w:r>
      <w:r w:rsidRPr="00153204">
        <w:rPr>
          <w:rFonts w:asciiTheme="minorHAnsi" w:hAnsiTheme="minorHAnsi" w:cstheme="minorHAnsi"/>
          <w:i/>
          <w:spacing w:val="2"/>
        </w:rPr>
        <w:t xml:space="preserve"> </w:t>
      </w:r>
      <w:r w:rsidRPr="00153204">
        <w:rPr>
          <w:rFonts w:asciiTheme="minorHAnsi" w:hAnsiTheme="minorHAnsi" w:cstheme="minorHAnsi"/>
          <w:i/>
        </w:rPr>
        <w:t>calculation</w:t>
      </w:r>
      <w:r w:rsidRPr="00153204">
        <w:rPr>
          <w:rFonts w:asciiTheme="minorHAnsi" w:hAnsiTheme="minorHAnsi" w:cstheme="minorHAnsi"/>
          <w:i/>
          <w:spacing w:val="-5"/>
        </w:rPr>
        <w:t xml:space="preserve"> </w:t>
      </w:r>
      <w:r w:rsidRPr="00153204">
        <w:rPr>
          <w:rFonts w:asciiTheme="minorHAnsi" w:hAnsiTheme="minorHAnsi" w:cstheme="minorHAnsi"/>
          <w:i/>
        </w:rPr>
        <w:t>of</w:t>
      </w:r>
      <w:r w:rsidRPr="00153204">
        <w:rPr>
          <w:rFonts w:asciiTheme="minorHAnsi" w:hAnsiTheme="minorHAnsi" w:cstheme="minorHAnsi"/>
          <w:i/>
          <w:spacing w:val="-4"/>
        </w:rPr>
        <w:t xml:space="preserve"> </w:t>
      </w:r>
      <w:r w:rsidRPr="00153204">
        <w:rPr>
          <w:rFonts w:asciiTheme="minorHAnsi" w:hAnsiTheme="minorHAnsi" w:cstheme="minorHAnsi"/>
          <w:i/>
        </w:rPr>
        <w:t>interest</w:t>
      </w:r>
      <w:r w:rsidRPr="00153204">
        <w:rPr>
          <w:rFonts w:asciiTheme="minorHAnsi" w:hAnsiTheme="minorHAnsi" w:cstheme="minorHAnsi"/>
          <w:i/>
          <w:spacing w:val="1"/>
        </w:rPr>
        <w:t xml:space="preserve"> </w:t>
      </w:r>
      <w:r w:rsidRPr="00153204">
        <w:rPr>
          <w:rFonts w:asciiTheme="minorHAnsi" w:hAnsiTheme="minorHAnsi" w:cstheme="minorHAnsi"/>
          <w:i/>
        </w:rPr>
        <w:t>on</w:t>
      </w:r>
      <w:r w:rsidRPr="00153204">
        <w:rPr>
          <w:rFonts w:asciiTheme="minorHAnsi" w:hAnsiTheme="minorHAnsi" w:cstheme="minorHAnsi"/>
          <w:i/>
          <w:spacing w:val="-6"/>
        </w:rPr>
        <w:t xml:space="preserve"> </w:t>
      </w:r>
      <w:r w:rsidRPr="00153204">
        <w:rPr>
          <w:rFonts w:asciiTheme="minorHAnsi" w:hAnsiTheme="minorHAnsi" w:cstheme="minorHAnsi"/>
          <w:i/>
        </w:rPr>
        <w:t>loan:</w:t>
      </w:r>
    </w:p>
    <w:p w14:paraId="35081EF1" w14:textId="77777777" w:rsidR="00FA268F" w:rsidRPr="00153204" w:rsidRDefault="00FA268F" w:rsidP="00EC1C3C">
      <w:pPr>
        <w:widowControl w:val="0"/>
        <w:tabs>
          <w:tab w:val="left" w:pos="851"/>
        </w:tabs>
        <w:autoSpaceDE w:val="0"/>
        <w:autoSpaceDN w:val="0"/>
        <w:spacing w:before="73" w:line="360" w:lineRule="auto"/>
        <w:ind w:left="851" w:right="231"/>
        <w:jc w:val="both"/>
        <w:rPr>
          <w:rFonts w:asciiTheme="minorHAnsi" w:hAnsiTheme="minorHAnsi" w:cstheme="minorHAnsi"/>
          <w:i/>
          <w:sz w:val="22"/>
          <w:szCs w:val="22"/>
        </w:rPr>
      </w:pPr>
      <w:r w:rsidRPr="00153204">
        <w:rPr>
          <w:rFonts w:asciiTheme="minorHAnsi" w:hAnsiTheme="minorHAnsi" w:cstheme="minorHAnsi"/>
          <w:i/>
          <w:sz w:val="22"/>
          <w:szCs w:val="22"/>
        </w:rPr>
        <w:t>Provided</w:t>
      </w:r>
      <w:r w:rsidRPr="00153204">
        <w:rPr>
          <w:rFonts w:asciiTheme="minorHAnsi" w:hAnsiTheme="minorHAnsi" w:cstheme="minorHAnsi"/>
          <w:i/>
          <w:spacing w:val="1"/>
          <w:sz w:val="22"/>
          <w:szCs w:val="22"/>
        </w:rPr>
        <w:t xml:space="preserve"> </w:t>
      </w:r>
      <w:r w:rsidRPr="00153204">
        <w:rPr>
          <w:rFonts w:asciiTheme="minorHAnsi" w:hAnsiTheme="minorHAnsi" w:cstheme="minorHAnsi"/>
          <w:i/>
          <w:sz w:val="22"/>
          <w:szCs w:val="22"/>
        </w:rPr>
        <w:t>that</w:t>
      </w:r>
      <w:r w:rsidRPr="00153204">
        <w:rPr>
          <w:rFonts w:asciiTheme="minorHAnsi" w:hAnsiTheme="minorHAnsi" w:cstheme="minorHAnsi"/>
          <w:i/>
          <w:spacing w:val="1"/>
          <w:sz w:val="22"/>
          <w:szCs w:val="22"/>
        </w:rPr>
        <w:t xml:space="preserve"> </w:t>
      </w:r>
      <w:r w:rsidRPr="00153204">
        <w:rPr>
          <w:rFonts w:asciiTheme="minorHAnsi" w:hAnsiTheme="minorHAnsi" w:cstheme="minorHAnsi"/>
          <w:i/>
          <w:sz w:val="22"/>
          <w:szCs w:val="22"/>
        </w:rPr>
        <w:t>interest</w:t>
      </w:r>
      <w:r w:rsidRPr="00153204">
        <w:rPr>
          <w:rFonts w:asciiTheme="minorHAnsi" w:hAnsiTheme="minorHAnsi" w:cstheme="minorHAnsi"/>
          <w:i/>
          <w:spacing w:val="1"/>
          <w:sz w:val="22"/>
          <w:szCs w:val="22"/>
        </w:rPr>
        <w:t xml:space="preserve"> </w:t>
      </w:r>
      <w:r w:rsidRPr="00153204">
        <w:rPr>
          <w:rFonts w:asciiTheme="minorHAnsi" w:hAnsiTheme="minorHAnsi" w:cstheme="minorHAnsi"/>
          <w:i/>
          <w:sz w:val="22"/>
          <w:szCs w:val="22"/>
        </w:rPr>
        <w:t>and</w:t>
      </w:r>
      <w:r w:rsidRPr="00153204">
        <w:rPr>
          <w:rFonts w:asciiTheme="minorHAnsi" w:hAnsiTheme="minorHAnsi" w:cstheme="minorHAnsi"/>
          <w:i/>
          <w:spacing w:val="1"/>
          <w:sz w:val="22"/>
          <w:szCs w:val="22"/>
        </w:rPr>
        <w:t xml:space="preserve"> </w:t>
      </w:r>
      <w:r w:rsidRPr="00153204">
        <w:rPr>
          <w:rFonts w:asciiTheme="minorHAnsi" w:hAnsiTheme="minorHAnsi" w:cstheme="minorHAnsi"/>
          <w:i/>
          <w:sz w:val="22"/>
          <w:szCs w:val="22"/>
        </w:rPr>
        <w:t>finance</w:t>
      </w:r>
      <w:r w:rsidRPr="00153204">
        <w:rPr>
          <w:rFonts w:asciiTheme="minorHAnsi" w:hAnsiTheme="minorHAnsi" w:cstheme="minorHAnsi"/>
          <w:i/>
          <w:spacing w:val="1"/>
          <w:sz w:val="22"/>
          <w:szCs w:val="22"/>
        </w:rPr>
        <w:t xml:space="preserve"> </w:t>
      </w:r>
      <w:r w:rsidRPr="00153204">
        <w:rPr>
          <w:rFonts w:asciiTheme="minorHAnsi" w:hAnsiTheme="minorHAnsi" w:cstheme="minorHAnsi"/>
          <w:i/>
          <w:sz w:val="22"/>
          <w:szCs w:val="22"/>
        </w:rPr>
        <w:t>charges</w:t>
      </w:r>
      <w:r w:rsidRPr="00153204">
        <w:rPr>
          <w:rFonts w:asciiTheme="minorHAnsi" w:hAnsiTheme="minorHAnsi" w:cstheme="minorHAnsi"/>
          <w:i/>
          <w:spacing w:val="1"/>
          <w:sz w:val="22"/>
          <w:szCs w:val="22"/>
        </w:rPr>
        <w:t xml:space="preserve"> </w:t>
      </w:r>
      <w:r w:rsidRPr="00153204">
        <w:rPr>
          <w:rFonts w:asciiTheme="minorHAnsi" w:hAnsiTheme="minorHAnsi" w:cstheme="minorHAnsi"/>
          <w:i/>
          <w:sz w:val="22"/>
          <w:szCs w:val="22"/>
        </w:rPr>
        <w:t>on capital works</w:t>
      </w:r>
      <w:r w:rsidRPr="00153204">
        <w:rPr>
          <w:rFonts w:asciiTheme="minorHAnsi" w:hAnsiTheme="minorHAnsi" w:cstheme="minorHAnsi"/>
          <w:i/>
          <w:spacing w:val="1"/>
          <w:sz w:val="22"/>
          <w:szCs w:val="22"/>
        </w:rPr>
        <w:t xml:space="preserve"> </w:t>
      </w:r>
      <w:r w:rsidRPr="00153204">
        <w:rPr>
          <w:rFonts w:asciiTheme="minorHAnsi" w:hAnsiTheme="minorHAnsi" w:cstheme="minorHAnsi"/>
          <w:i/>
          <w:sz w:val="22"/>
          <w:szCs w:val="22"/>
        </w:rPr>
        <w:t>in progress</w:t>
      </w:r>
      <w:r w:rsidRPr="00153204">
        <w:rPr>
          <w:rFonts w:asciiTheme="minorHAnsi" w:hAnsiTheme="minorHAnsi" w:cstheme="minorHAnsi"/>
          <w:i/>
          <w:spacing w:val="1"/>
          <w:sz w:val="22"/>
          <w:szCs w:val="22"/>
        </w:rPr>
        <w:t xml:space="preserve"> </w:t>
      </w:r>
      <w:r w:rsidRPr="00153204">
        <w:rPr>
          <w:rFonts w:asciiTheme="minorHAnsi" w:hAnsiTheme="minorHAnsi" w:cstheme="minorHAnsi"/>
          <w:i/>
          <w:sz w:val="22"/>
          <w:szCs w:val="22"/>
        </w:rPr>
        <w:t>shall</w:t>
      </w:r>
      <w:r w:rsidRPr="00153204">
        <w:rPr>
          <w:rFonts w:asciiTheme="minorHAnsi" w:hAnsiTheme="minorHAnsi" w:cstheme="minorHAnsi"/>
          <w:i/>
          <w:spacing w:val="1"/>
          <w:sz w:val="22"/>
          <w:szCs w:val="22"/>
        </w:rPr>
        <w:t xml:space="preserve"> </w:t>
      </w:r>
      <w:r w:rsidRPr="00153204">
        <w:rPr>
          <w:rFonts w:asciiTheme="minorHAnsi" w:hAnsiTheme="minorHAnsi" w:cstheme="minorHAnsi"/>
          <w:i/>
          <w:sz w:val="22"/>
          <w:szCs w:val="22"/>
        </w:rPr>
        <w:t>be</w:t>
      </w:r>
      <w:r w:rsidRPr="00153204">
        <w:rPr>
          <w:rFonts w:asciiTheme="minorHAnsi" w:hAnsiTheme="minorHAnsi" w:cstheme="minorHAnsi"/>
          <w:i/>
          <w:spacing w:val="1"/>
          <w:sz w:val="22"/>
          <w:szCs w:val="22"/>
        </w:rPr>
        <w:t xml:space="preserve"> </w:t>
      </w:r>
      <w:r w:rsidRPr="00153204">
        <w:rPr>
          <w:rFonts w:asciiTheme="minorHAnsi" w:hAnsiTheme="minorHAnsi" w:cstheme="minorHAnsi"/>
          <w:i/>
          <w:sz w:val="22"/>
          <w:szCs w:val="22"/>
        </w:rPr>
        <w:t>excluded:</w:t>
      </w:r>
    </w:p>
    <w:p w14:paraId="1397C078" w14:textId="77777777" w:rsidR="00FA268F" w:rsidRPr="00153204" w:rsidRDefault="00FA268F" w:rsidP="00AB536C">
      <w:pPr>
        <w:widowControl w:val="0"/>
        <w:numPr>
          <w:ilvl w:val="2"/>
          <w:numId w:val="13"/>
        </w:numPr>
        <w:tabs>
          <w:tab w:val="left" w:pos="851"/>
        </w:tabs>
        <w:autoSpaceDE w:val="0"/>
        <w:autoSpaceDN w:val="0"/>
        <w:spacing w:before="156" w:line="280" w:lineRule="auto"/>
        <w:ind w:left="851" w:right="226" w:firstLine="0"/>
        <w:jc w:val="both"/>
        <w:rPr>
          <w:rFonts w:asciiTheme="minorHAnsi" w:hAnsiTheme="minorHAnsi" w:cstheme="minorHAnsi"/>
          <w:i/>
          <w:sz w:val="22"/>
          <w:szCs w:val="22"/>
        </w:rPr>
      </w:pPr>
      <w:r w:rsidRPr="00153204">
        <w:rPr>
          <w:rFonts w:asciiTheme="minorHAnsi" w:hAnsiTheme="minorHAnsi" w:cstheme="minorHAnsi"/>
          <w:i/>
          <w:sz w:val="22"/>
          <w:szCs w:val="22"/>
        </w:rPr>
        <w:t>The normative loan outstanding as on 1</w:t>
      </w:r>
      <w:r w:rsidRPr="00153204">
        <w:rPr>
          <w:rFonts w:asciiTheme="minorHAnsi" w:hAnsiTheme="minorHAnsi" w:cstheme="minorHAnsi"/>
          <w:i/>
          <w:sz w:val="22"/>
          <w:szCs w:val="22"/>
          <w:vertAlign w:val="superscript"/>
        </w:rPr>
        <w:t>st</w:t>
      </w:r>
      <w:r w:rsidRPr="00153204">
        <w:rPr>
          <w:rFonts w:asciiTheme="minorHAnsi" w:hAnsiTheme="minorHAnsi" w:cstheme="minorHAnsi"/>
          <w:i/>
          <w:sz w:val="22"/>
          <w:szCs w:val="22"/>
        </w:rPr>
        <w:t xml:space="preserve"> April shall be worked out by deducting the</w:t>
      </w:r>
      <w:r w:rsidRPr="00153204">
        <w:rPr>
          <w:rFonts w:asciiTheme="minorHAnsi" w:hAnsiTheme="minorHAnsi" w:cstheme="minorHAnsi"/>
          <w:i/>
          <w:spacing w:val="1"/>
          <w:sz w:val="22"/>
          <w:szCs w:val="22"/>
        </w:rPr>
        <w:t xml:space="preserve"> </w:t>
      </w:r>
      <w:r w:rsidRPr="00153204">
        <w:rPr>
          <w:rFonts w:asciiTheme="minorHAnsi" w:hAnsiTheme="minorHAnsi" w:cstheme="minorHAnsi"/>
          <w:i/>
          <w:sz w:val="22"/>
          <w:szCs w:val="22"/>
        </w:rPr>
        <w:t>cumulative normative repayment as admitted by the Commission up to 31</w:t>
      </w:r>
      <w:r w:rsidRPr="00153204">
        <w:rPr>
          <w:rFonts w:asciiTheme="minorHAnsi" w:hAnsiTheme="minorHAnsi" w:cstheme="minorHAnsi"/>
          <w:i/>
          <w:sz w:val="22"/>
          <w:szCs w:val="22"/>
          <w:vertAlign w:val="superscript"/>
        </w:rPr>
        <w:t>st</w:t>
      </w:r>
      <w:r w:rsidRPr="00153204">
        <w:rPr>
          <w:rFonts w:asciiTheme="minorHAnsi" w:hAnsiTheme="minorHAnsi" w:cstheme="minorHAnsi"/>
          <w:i/>
          <w:sz w:val="22"/>
          <w:szCs w:val="22"/>
        </w:rPr>
        <w:t xml:space="preserve"> March of</w:t>
      </w:r>
      <w:r w:rsidRPr="00153204">
        <w:rPr>
          <w:rFonts w:asciiTheme="minorHAnsi" w:hAnsiTheme="minorHAnsi" w:cstheme="minorHAnsi"/>
          <w:i/>
          <w:spacing w:val="1"/>
          <w:sz w:val="22"/>
          <w:szCs w:val="22"/>
        </w:rPr>
        <w:t xml:space="preserve"> </w:t>
      </w:r>
      <w:r w:rsidRPr="00153204">
        <w:rPr>
          <w:rFonts w:asciiTheme="minorHAnsi" w:hAnsiTheme="minorHAnsi" w:cstheme="minorHAnsi"/>
          <w:i/>
          <w:sz w:val="22"/>
          <w:szCs w:val="22"/>
        </w:rPr>
        <w:t>the previous</w:t>
      </w:r>
      <w:r w:rsidRPr="00153204">
        <w:rPr>
          <w:rFonts w:asciiTheme="minorHAnsi" w:hAnsiTheme="minorHAnsi" w:cstheme="minorHAnsi"/>
          <w:i/>
          <w:spacing w:val="5"/>
          <w:sz w:val="22"/>
          <w:szCs w:val="22"/>
        </w:rPr>
        <w:t xml:space="preserve"> </w:t>
      </w:r>
      <w:r w:rsidRPr="00153204">
        <w:rPr>
          <w:rFonts w:asciiTheme="minorHAnsi" w:hAnsiTheme="minorHAnsi" w:cstheme="minorHAnsi"/>
          <w:i/>
          <w:sz w:val="22"/>
          <w:szCs w:val="22"/>
        </w:rPr>
        <w:t>year.</w:t>
      </w:r>
    </w:p>
    <w:p w14:paraId="3FBF88EC" w14:textId="27C07D2B" w:rsidR="00FA268F" w:rsidRPr="00153204" w:rsidRDefault="00FA268F" w:rsidP="00EC1C3C">
      <w:pPr>
        <w:widowControl w:val="0"/>
        <w:tabs>
          <w:tab w:val="left" w:pos="2127"/>
        </w:tabs>
        <w:autoSpaceDE w:val="0"/>
        <w:autoSpaceDN w:val="0"/>
        <w:spacing w:before="112" w:line="280" w:lineRule="auto"/>
        <w:ind w:left="851" w:right="230"/>
        <w:jc w:val="both"/>
        <w:rPr>
          <w:rFonts w:asciiTheme="minorHAnsi" w:hAnsiTheme="minorHAnsi" w:cstheme="minorHAnsi"/>
          <w:i/>
          <w:sz w:val="22"/>
          <w:szCs w:val="22"/>
        </w:rPr>
      </w:pPr>
      <w:r w:rsidRPr="00153204">
        <w:rPr>
          <w:rFonts w:asciiTheme="minorHAnsi" w:hAnsiTheme="minorHAnsi" w:cstheme="minorHAnsi"/>
          <w:i/>
          <w:sz w:val="22"/>
          <w:szCs w:val="22"/>
        </w:rPr>
        <w:t xml:space="preserve">Provided that the assets of erstwhile DISCOMs as on effective date in terms of </w:t>
      </w:r>
      <w:proofErr w:type="gramStart"/>
      <w:r w:rsidRPr="00153204">
        <w:rPr>
          <w:rFonts w:asciiTheme="minorHAnsi" w:hAnsiTheme="minorHAnsi" w:cstheme="minorHAnsi"/>
          <w:i/>
          <w:sz w:val="22"/>
          <w:szCs w:val="22"/>
        </w:rPr>
        <w:t>the</w:t>
      </w:r>
      <w:r w:rsidRPr="00153204">
        <w:rPr>
          <w:rFonts w:asciiTheme="minorHAnsi" w:hAnsiTheme="minorHAnsi" w:cstheme="minorHAnsi"/>
          <w:i/>
          <w:spacing w:val="1"/>
          <w:sz w:val="22"/>
          <w:szCs w:val="22"/>
        </w:rPr>
        <w:t xml:space="preserve">  </w:t>
      </w:r>
      <w:r w:rsidRPr="00153204">
        <w:rPr>
          <w:rFonts w:asciiTheme="minorHAnsi" w:hAnsiTheme="minorHAnsi" w:cstheme="minorHAnsi"/>
          <w:i/>
          <w:sz w:val="22"/>
          <w:szCs w:val="22"/>
        </w:rPr>
        <w:t>provisions</w:t>
      </w:r>
      <w:proofErr w:type="gramEnd"/>
      <w:r w:rsidRPr="00153204">
        <w:rPr>
          <w:rFonts w:asciiTheme="minorHAnsi" w:hAnsiTheme="minorHAnsi" w:cstheme="minorHAnsi"/>
          <w:i/>
          <w:spacing w:val="-3"/>
          <w:sz w:val="22"/>
          <w:szCs w:val="22"/>
        </w:rPr>
        <w:t xml:space="preserve"> </w:t>
      </w:r>
      <w:r w:rsidRPr="00153204">
        <w:rPr>
          <w:rFonts w:asciiTheme="minorHAnsi" w:hAnsiTheme="minorHAnsi" w:cstheme="minorHAnsi"/>
          <w:i/>
          <w:sz w:val="22"/>
          <w:szCs w:val="22"/>
        </w:rPr>
        <w:t>of</w:t>
      </w:r>
      <w:r w:rsidRPr="00153204">
        <w:rPr>
          <w:rFonts w:asciiTheme="minorHAnsi" w:hAnsiTheme="minorHAnsi" w:cstheme="minorHAnsi"/>
          <w:i/>
          <w:spacing w:val="-8"/>
          <w:sz w:val="22"/>
          <w:szCs w:val="22"/>
        </w:rPr>
        <w:t xml:space="preserve"> </w:t>
      </w:r>
      <w:r w:rsidRPr="00153204">
        <w:rPr>
          <w:rFonts w:asciiTheme="minorHAnsi" w:hAnsiTheme="minorHAnsi" w:cstheme="minorHAnsi"/>
          <w:i/>
          <w:sz w:val="22"/>
          <w:szCs w:val="22"/>
        </w:rPr>
        <w:t>Vesting Orders</w:t>
      </w:r>
      <w:r w:rsidRPr="00153204">
        <w:rPr>
          <w:rFonts w:asciiTheme="minorHAnsi" w:hAnsiTheme="minorHAnsi" w:cstheme="minorHAnsi"/>
          <w:i/>
          <w:spacing w:val="-2"/>
          <w:sz w:val="22"/>
          <w:szCs w:val="22"/>
        </w:rPr>
        <w:t xml:space="preserve"> </w:t>
      </w:r>
      <w:r w:rsidRPr="00153204">
        <w:rPr>
          <w:rFonts w:asciiTheme="minorHAnsi" w:hAnsiTheme="minorHAnsi" w:cstheme="minorHAnsi"/>
          <w:i/>
          <w:sz w:val="22"/>
          <w:szCs w:val="22"/>
        </w:rPr>
        <w:t>shall</w:t>
      </w:r>
      <w:r w:rsidRPr="00153204">
        <w:rPr>
          <w:rFonts w:asciiTheme="minorHAnsi" w:hAnsiTheme="minorHAnsi" w:cstheme="minorHAnsi"/>
          <w:i/>
          <w:spacing w:val="-4"/>
          <w:sz w:val="22"/>
          <w:szCs w:val="22"/>
        </w:rPr>
        <w:t xml:space="preserve"> </w:t>
      </w:r>
      <w:r w:rsidRPr="00153204">
        <w:rPr>
          <w:rFonts w:asciiTheme="minorHAnsi" w:hAnsiTheme="minorHAnsi" w:cstheme="minorHAnsi"/>
          <w:i/>
          <w:sz w:val="22"/>
          <w:szCs w:val="22"/>
        </w:rPr>
        <w:t>not</w:t>
      </w:r>
      <w:r w:rsidRPr="00153204">
        <w:rPr>
          <w:rFonts w:asciiTheme="minorHAnsi" w:hAnsiTheme="minorHAnsi" w:cstheme="minorHAnsi"/>
          <w:i/>
          <w:spacing w:val="4"/>
          <w:sz w:val="22"/>
          <w:szCs w:val="22"/>
        </w:rPr>
        <w:t xml:space="preserve"> </w:t>
      </w:r>
      <w:r w:rsidRPr="00153204">
        <w:rPr>
          <w:rFonts w:asciiTheme="minorHAnsi" w:hAnsiTheme="minorHAnsi" w:cstheme="minorHAnsi"/>
          <w:i/>
          <w:sz w:val="22"/>
          <w:szCs w:val="22"/>
        </w:rPr>
        <w:t>be</w:t>
      </w:r>
      <w:r w:rsidRPr="00153204">
        <w:rPr>
          <w:rFonts w:asciiTheme="minorHAnsi" w:hAnsiTheme="minorHAnsi" w:cstheme="minorHAnsi"/>
          <w:i/>
          <w:spacing w:val="-1"/>
          <w:sz w:val="22"/>
          <w:szCs w:val="22"/>
        </w:rPr>
        <w:t xml:space="preserve"> </w:t>
      </w:r>
      <w:r w:rsidRPr="00153204">
        <w:rPr>
          <w:rFonts w:asciiTheme="minorHAnsi" w:hAnsiTheme="minorHAnsi" w:cstheme="minorHAnsi"/>
          <w:i/>
          <w:sz w:val="22"/>
          <w:szCs w:val="22"/>
        </w:rPr>
        <w:t>eligible</w:t>
      </w:r>
      <w:r w:rsidRPr="00153204">
        <w:rPr>
          <w:rFonts w:asciiTheme="minorHAnsi" w:hAnsiTheme="minorHAnsi" w:cstheme="minorHAnsi"/>
          <w:i/>
          <w:spacing w:val="4"/>
          <w:sz w:val="22"/>
          <w:szCs w:val="22"/>
        </w:rPr>
        <w:t xml:space="preserve"> </w:t>
      </w:r>
      <w:r w:rsidRPr="00153204">
        <w:rPr>
          <w:rFonts w:asciiTheme="minorHAnsi" w:hAnsiTheme="minorHAnsi" w:cstheme="minorHAnsi"/>
          <w:i/>
          <w:sz w:val="22"/>
          <w:szCs w:val="22"/>
        </w:rPr>
        <w:t>for</w:t>
      </w:r>
      <w:r w:rsidRPr="00153204">
        <w:rPr>
          <w:rFonts w:asciiTheme="minorHAnsi" w:hAnsiTheme="minorHAnsi" w:cstheme="minorHAnsi"/>
          <w:i/>
          <w:spacing w:val="-3"/>
          <w:sz w:val="22"/>
          <w:szCs w:val="22"/>
        </w:rPr>
        <w:t xml:space="preserve"> </w:t>
      </w:r>
      <w:r w:rsidRPr="00153204">
        <w:rPr>
          <w:rFonts w:asciiTheme="minorHAnsi" w:hAnsiTheme="minorHAnsi" w:cstheme="minorHAnsi"/>
          <w:i/>
          <w:sz w:val="22"/>
          <w:szCs w:val="22"/>
        </w:rPr>
        <w:t>calculation</w:t>
      </w:r>
      <w:r w:rsidRPr="00153204">
        <w:rPr>
          <w:rFonts w:asciiTheme="minorHAnsi" w:hAnsiTheme="minorHAnsi" w:cstheme="minorHAnsi"/>
          <w:i/>
          <w:spacing w:val="-5"/>
          <w:sz w:val="22"/>
          <w:szCs w:val="22"/>
        </w:rPr>
        <w:t xml:space="preserve"> </w:t>
      </w:r>
      <w:r w:rsidRPr="00153204">
        <w:rPr>
          <w:rFonts w:asciiTheme="minorHAnsi" w:hAnsiTheme="minorHAnsi" w:cstheme="minorHAnsi"/>
          <w:i/>
          <w:sz w:val="22"/>
          <w:szCs w:val="22"/>
        </w:rPr>
        <w:t>of</w:t>
      </w:r>
      <w:r w:rsidRPr="00153204">
        <w:rPr>
          <w:rFonts w:asciiTheme="minorHAnsi" w:hAnsiTheme="minorHAnsi" w:cstheme="minorHAnsi"/>
          <w:i/>
          <w:spacing w:val="-4"/>
          <w:sz w:val="22"/>
          <w:szCs w:val="22"/>
        </w:rPr>
        <w:t xml:space="preserve"> </w:t>
      </w:r>
      <w:r w:rsidRPr="00153204">
        <w:rPr>
          <w:rFonts w:asciiTheme="minorHAnsi" w:hAnsiTheme="minorHAnsi" w:cstheme="minorHAnsi"/>
          <w:i/>
          <w:sz w:val="22"/>
          <w:szCs w:val="22"/>
        </w:rPr>
        <w:t>interest</w:t>
      </w:r>
      <w:r w:rsidRPr="00153204">
        <w:rPr>
          <w:rFonts w:asciiTheme="minorHAnsi" w:hAnsiTheme="minorHAnsi" w:cstheme="minorHAnsi"/>
          <w:i/>
          <w:spacing w:val="1"/>
          <w:sz w:val="22"/>
          <w:szCs w:val="22"/>
        </w:rPr>
        <w:t xml:space="preserve"> </w:t>
      </w:r>
      <w:r w:rsidRPr="00153204">
        <w:rPr>
          <w:rFonts w:asciiTheme="minorHAnsi" w:hAnsiTheme="minorHAnsi" w:cstheme="minorHAnsi"/>
          <w:i/>
          <w:sz w:val="22"/>
          <w:szCs w:val="22"/>
        </w:rPr>
        <w:t>on</w:t>
      </w:r>
      <w:r w:rsidRPr="00153204">
        <w:rPr>
          <w:rFonts w:asciiTheme="minorHAnsi" w:hAnsiTheme="minorHAnsi" w:cstheme="minorHAnsi"/>
          <w:i/>
          <w:spacing w:val="-5"/>
          <w:sz w:val="22"/>
          <w:szCs w:val="22"/>
        </w:rPr>
        <w:t xml:space="preserve"> </w:t>
      </w:r>
      <w:r w:rsidRPr="00153204">
        <w:rPr>
          <w:rFonts w:asciiTheme="minorHAnsi" w:hAnsiTheme="minorHAnsi" w:cstheme="minorHAnsi"/>
          <w:i/>
          <w:sz w:val="22"/>
          <w:szCs w:val="22"/>
        </w:rPr>
        <w:t>loan.</w:t>
      </w:r>
    </w:p>
    <w:p w14:paraId="31F48A98" w14:textId="77777777" w:rsidR="00FA268F" w:rsidRPr="00153204" w:rsidRDefault="00FA268F" w:rsidP="00AB536C">
      <w:pPr>
        <w:widowControl w:val="0"/>
        <w:numPr>
          <w:ilvl w:val="2"/>
          <w:numId w:val="13"/>
        </w:numPr>
        <w:tabs>
          <w:tab w:val="left" w:pos="1560"/>
          <w:tab w:val="left" w:pos="1636"/>
        </w:tabs>
        <w:autoSpaceDE w:val="0"/>
        <w:autoSpaceDN w:val="0"/>
        <w:spacing w:before="117" w:line="276" w:lineRule="auto"/>
        <w:ind w:left="851" w:right="223" w:firstLine="0"/>
        <w:jc w:val="both"/>
        <w:rPr>
          <w:rFonts w:asciiTheme="minorHAnsi" w:hAnsiTheme="minorHAnsi" w:cstheme="minorHAnsi"/>
          <w:i/>
          <w:sz w:val="22"/>
          <w:szCs w:val="22"/>
        </w:rPr>
      </w:pPr>
      <w:r w:rsidRPr="00153204">
        <w:rPr>
          <w:rFonts w:asciiTheme="minorHAnsi" w:hAnsiTheme="minorHAnsi" w:cstheme="minorHAnsi"/>
          <w:i/>
          <w:sz w:val="22"/>
          <w:szCs w:val="22"/>
        </w:rPr>
        <w:lastRenderedPageBreak/>
        <w:t>The normative repayment for the year during the Control Period shall be deemed to be</w:t>
      </w:r>
      <w:r w:rsidRPr="00153204">
        <w:rPr>
          <w:rFonts w:asciiTheme="minorHAnsi" w:hAnsiTheme="minorHAnsi" w:cstheme="minorHAnsi"/>
          <w:i/>
          <w:spacing w:val="-57"/>
          <w:sz w:val="22"/>
          <w:szCs w:val="22"/>
        </w:rPr>
        <w:t xml:space="preserve"> </w:t>
      </w:r>
      <w:r w:rsidRPr="00153204">
        <w:rPr>
          <w:rFonts w:asciiTheme="minorHAnsi" w:hAnsiTheme="minorHAnsi" w:cstheme="minorHAnsi"/>
          <w:i/>
          <w:sz w:val="22"/>
          <w:szCs w:val="22"/>
        </w:rPr>
        <w:t>equal</w:t>
      </w:r>
      <w:r w:rsidRPr="00153204">
        <w:rPr>
          <w:rFonts w:asciiTheme="minorHAnsi" w:hAnsiTheme="minorHAnsi" w:cstheme="minorHAnsi"/>
          <w:i/>
          <w:spacing w:val="-8"/>
          <w:sz w:val="22"/>
          <w:szCs w:val="22"/>
        </w:rPr>
        <w:t xml:space="preserve"> </w:t>
      </w:r>
      <w:r w:rsidRPr="00153204">
        <w:rPr>
          <w:rFonts w:asciiTheme="minorHAnsi" w:hAnsiTheme="minorHAnsi" w:cstheme="minorHAnsi"/>
          <w:i/>
          <w:sz w:val="22"/>
          <w:szCs w:val="22"/>
        </w:rPr>
        <w:t>to</w:t>
      </w:r>
      <w:r w:rsidRPr="00153204">
        <w:rPr>
          <w:rFonts w:asciiTheme="minorHAnsi" w:hAnsiTheme="minorHAnsi" w:cstheme="minorHAnsi"/>
          <w:i/>
          <w:spacing w:val="-3"/>
          <w:sz w:val="22"/>
          <w:szCs w:val="22"/>
        </w:rPr>
        <w:t xml:space="preserve"> </w:t>
      </w:r>
      <w:r w:rsidRPr="00153204">
        <w:rPr>
          <w:rFonts w:asciiTheme="minorHAnsi" w:hAnsiTheme="minorHAnsi" w:cstheme="minorHAnsi"/>
          <w:i/>
          <w:sz w:val="22"/>
          <w:szCs w:val="22"/>
        </w:rPr>
        <w:t>the</w:t>
      </w:r>
      <w:r w:rsidRPr="00153204">
        <w:rPr>
          <w:rFonts w:asciiTheme="minorHAnsi" w:hAnsiTheme="minorHAnsi" w:cstheme="minorHAnsi"/>
          <w:i/>
          <w:spacing w:val="1"/>
          <w:sz w:val="22"/>
          <w:szCs w:val="22"/>
        </w:rPr>
        <w:t xml:space="preserve"> </w:t>
      </w:r>
      <w:r w:rsidRPr="00153204">
        <w:rPr>
          <w:rFonts w:asciiTheme="minorHAnsi" w:hAnsiTheme="minorHAnsi" w:cstheme="minorHAnsi"/>
          <w:i/>
          <w:sz w:val="22"/>
          <w:szCs w:val="22"/>
        </w:rPr>
        <w:t>depreciation</w:t>
      </w:r>
      <w:r w:rsidRPr="00153204">
        <w:rPr>
          <w:rFonts w:asciiTheme="minorHAnsi" w:hAnsiTheme="minorHAnsi" w:cstheme="minorHAnsi"/>
          <w:i/>
          <w:spacing w:val="-3"/>
          <w:sz w:val="22"/>
          <w:szCs w:val="22"/>
        </w:rPr>
        <w:t xml:space="preserve"> </w:t>
      </w:r>
      <w:r w:rsidRPr="00153204">
        <w:rPr>
          <w:rFonts w:asciiTheme="minorHAnsi" w:hAnsiTheme="minorHAnsi" w:cstheme="minorHAnsi"/>
          <w:i/>
          <w:sz w:val="22"/>
          <w:szCs w:val="22"/>
        </w:rPr>
        <w:t>allowed</w:t>
      </w:r>
      <w:r w:rsidRPr="00153204">
        <w:rPr>
          <w:rFonts w:asciiTheme="minorHAnsi" w:hAnsiTheme="minorHAnsi" w:cstheme="minorHAnsi"/>
          <w:i/>
          <w:spacing w:val="6"/>
          <w:sz w:val="22"/>
          <w:szCs w:val="22"/>
        </w:rPr>
        <w:t xml:space="preserve"> </w:t>
      </w:r>
      <w:r w:rsidRPr="00153204">
        <w:rPr>
          <w:rFonts w:asciiTheme="minorHAnsi" w:hAnsiTheme="minorHAnsi" w:cstheme="minorHAnsi"/>
          <w:i/>
          <w:sz w:val="22"/>
          <w:szCs w:val="22"/>
        </w:rPr>
        <w:t>for</w:t>
      </w:r>
      <w:r w:rsidRPr="00153204">
        <w:rPr>
          <w:rFonts w:asciiTheme="minorHAnsi" w:hAnsiTheme="minorHAnsi" w:cstheme="minorHAnsi"/>
          <w:i/>
          <w:spacing w:val="-1"/>
          <w:sz w:val="22"/>
          <w:szCs w:val="22"/>
        </w:rPr>
        <w:t xml:space="preserve"> </w:t>
      </w:r>
      <w:r w:rsidRPr="00153204">
        <w:rPr>
          <w:rFonts w:asciiTheme="minorHAnsi" w:hAnsiTheme="minorHAnsi" w:cstheme="minorHAnsi"/>
          <w:i/>
          <w:sz w:val="22"/>
          <w:szCs w:val="22"/>
        </w:rPr>
        <w:t>that</w:t>
      </w:r>
      <w:r w:rsidRPr="00153204">
        <w:rPr>
          <w:rFonts w:asciiTheme="minorHAnsi" w:hAnsiTheme="minorHAnsi" w:cstheme="minorHAnsi"/>
          <w:i/>
          <w:spacing w:val="2"/>
          <w:sz w:val="22"/>
          <w:szCs w:val="22"/>
        </w:rPr>
        <w:t xml:space="preserve"> </w:t>
      </w:r>
      <w:r w:rsidRPr="00153204">
        <w:rPr>
          <w:rFonts w:asciiTheme="minorHAnsi" w:hAnsiTheme="minorHAnsi" w:cstheme="minorHAnsi"/>
          <w:i/>
          <w:sz w:val="22"/>
          <w:szCs w:val="22"/>
        </w:rPr>
        <w:t>year.</w:t>
      </w:r>
    </w:p>
    <w:p w14:paraId="0D75C04A" w14:textId="77777777" w:rsidR="00FA268F" w:rsidRPr="00153204" w:rsidRDefault="00FA268F" w:rsidP="00AB536C">
      <w:pPr>
        <w:widowControl w:val="0"/>
        <w:numPr>
          <w:ilvl w:val="2"/>
          <w:numId w:val="13"/>
        </w:numPr>
        <w:tabs>
          <w:tab w:val="left" w:pos="1560"/>
          <w:tab w:val="left" w:pos="1636"/>
        </w:tabs>
        <w:autoSpaceDE w:val="0"/>
        <w:autoSpaceDN w:val="0"/>
        <w:spacing w:before="124" w:line="278" w:lineRule="auto"/>
        <w:ind w:left="851" w:right="219" w:firstLine="0"/>
        <w:jc w:val="both"/>
        <w:rPr>
          <w:rFonts w:asciiTheme="minorHAnsi" w:hAnsiTheme="minorHAnsi" w:cstheme="minorHAnsi"/>
          <w:i/>
          <w:sz w:val="22"/>
          <w:szCs w:val="22"/>
        </w:rPr>
      </w:pPr>
      <w:r w:rsidRPr="00153204">
        <w:rPr>
          <w:rFonts w:asciiTheme="minorHAnsi" w:hAnsiTheme="minorHAnsi" w:cstheme="minorHAnsi"/>
          <w:i/>
          <w:sz w:val="22"/>
          <w:szCs w:val="22"/>
        </w:rPr>
        <w:t>Notwithstanding</w:t>
      </w:r>
      <w:r w:rsidRPr="00153204">
        <w:rPr>
          <w:rFonts w:asciiTheme="minorHAnsi" w:hAnsiTheme="minorHAnsi" w:cstheme="minorHAnsi"/>
          <w:i/>
          <w:spacing w:val="1"/>
          <w:sz w:val="22"/>
          <w:szCs w:val="22"/>
        </w:rPr>
        <w:t xml:space="preserve"> </w:t>
      </w:r>
      <w:r w:rsidRPr="00153204">
        <w:rPr>
          <w:rFonts w:asciiTheme="minorHAnsi" w:hAnsiTheme="minorHAnsi" w:cstheme="minorHAnsi"/>
          <w:i/>
          <w:sz w:val="22"/>
          <w:szCs w:val="22"/>
        </w:rPr>
        <w:t>any</w:t>
      </w:r>
      <w:r w:rsidRPr="00153204">
        <w:rPr>
          <w:rFonts w:asciiTheme="minorHAnsi" w:hAnsiTheme="minorHAnsi" w:cstheme="minorHAnsi"/>
          <w:i/>
          <w:spacing w:val="1"/>
          <w:sz w:val="22"/>
          <w:szCs w:val="22"/>
        </w:rPr>
        <w:t xml:space="preserve"> </w:t>
      </w:r>
      <w:r w:rsidRPr="00153204">
        <w:rPr>
          <w:rFonts w:asciiTheme="minorHAnsi" w:hAnsiTheme="minorHAnsi" w:cstheme="minorHAnsi"/>
          <w:i/>
          <w:sz w:val="22"/>
          <w:szCs w:val="22"/>
        </w:rPr>
        <w:t>moratorium period</w:t>
      </w:r>
      <w:r w:rsidRPr="00153204">
        <w:rPr>
          <w:rFonts w:asciiTheme="minorHAnsi" w:hAnsiTheme="minorHAnsi" w:cstheme="minorHAnsi"/>
          <w:i/>
          <w:spacing w:val="1"/>
          <w:sz w:val="22"/>
          <w:szCs w:val="22"/>
        </w:rPr>
        <w:t xml:space="preserve"> </w:t>
      </w:r>
      <w:r w:rsidRPr="00153204">
        <w:rPr>
          <w:rFonts w:asciiTheme="minorHAnsi" w:hAnsiTheme="minorHAnsi" w:cstheme="minorHAnsi"/>
          <w:i/>
          <w:sz w:val="22"/>
          <w:szCs w:val="22"/>
        </w:rPr>
        <w:t>availed</w:t>
      </w:r>
      <w:r w:rsidRPr="00153204">
        <w:rPr>
          <w:rFonts w:asciiTheme="minorHAnsi" w:hAnsiTheme="minorHAnsi" w:cstheme="minorHAnsi"/>
          <w:i/>
          <w:spacing w:val="1"/>
          <w:sz w:val="22"/>
          <w:szCs w:val="22"/>
        </w:rPr>
        <w:t xml:space="preserve"> </w:t>
      </w:r>
      <w:r w:rsidRPr="00153204">
        <w:rPr>
          <w:rFonts w:asciiTheme="minorHAnsi" w:hAnsiTheme="minorHAnsi" w:cstheme="minorHAnsi"/>
          <w:i/>
          <w:sz w:val="22"/>
          <w:szCs w:val="22"/>
        </w:rPr>
        <w:t>by the</w:t>
      </w:r>
      <w:r w:rsidRPr="00153204">
        <w:rPr>
          <w:rFonts w:asciiTheme="minorHAnsi" w:hAnsiTheme="minorHAnsi" w:cstheme="minorHAnsi"/>
          <w:i/>
          <w:spacing w:val="1"/>
          <w:sz w:val="22"/>
          <w:szCs w:val="22"/>
        </w:rPr>
        <w:t xml:space="preserve"> </w:t>
      </w:r>
      <w:r w:rsidRPr="00153204">
        <w:rPr>
          <w:rFonts w:asciiTheme="minorHAnsi" w:hAnsiTheme="minorHAnsi" w:cstheme="minorHAnsi"/>
          <w:i/>
          <w:sz w:val="22"/>
          <w:szCs w:val="22"/>
        </w:rPr>
        <w:t>Distribution</w:t>
      </w:r>
      <w:r w:rsidRPr="00153204">
        <w:rPr>
          <w:rFonts w:asciiTheme="minorHAnsi" w:hAnsiTheme="minorHAnsi" w:cstheme="minorHAnsi"/>
          <w:i/>
          <w:spacing w:val="1"/>
          <w:sz w:val="22"/>
          <w:szCs w:val="22"/>
        </w:rPr>
        <w:t xml:space="preserve"> </w:t>
      </w:r>
      <w:r w:rsidRPr="00153204">
        <w:rPr>
          <w:rFonts w:asciiTheme="minorHAnsi" w:hAnsiTheme="minorHAnsi" w:cstheme="minorHAnsi"/>
          <w:i/>
          <w:sz w:val="22"/>
          <w:szCs w:val="22"/>
        </w:rPr>
        <w:t>Licensee</w:t>
      </w:r>
      <w:r w:rsidRPr="00153204">
        <w:rPr>
          <w:rFonts w:asciiTheme="minorHAnsi" w:hAnsiTheme="minorHAnsi" w:cstheme="minorHAnsi"/>
          <w:i/>
          <w:spacing w:val="1"/>
          <w:sz w:val="22"/>
          <w:szCs w:val="22"/>
        </w:rPr>
        <w:t xml:space="preserve"> </w:t>
      </w:r>
      <w:r w:rsidRPr="00153204">
        <w:rPr>
          <w:rFonts w:asciiTheme="minorHAnsi" w:hAnsiTheme="minorHAnsi" w:cstheme="minorHAnsi"/>
          <w:i/>
          <w:sz w:val="22"/>
          <w:szCs w:val="22"/>
        </w:rPr>
        <w:t>the</w:t>
      </w:r>
      <w:r w:rsidRPr="00153204">
        <w:rPr>
          <w:rFonts w:asciiTheme="minorHAnsi" w:hAnsiTheme="minorHAnsi" w:cstheme="minorHAnsi"/>
          <w:i/>
          <w:spacing w:val="1"/>
          <w:sz w:val="22"/>
          <w:szCs w:val="22"/>
        </w:rPr>
        <w:t xml:space="preserve"> </w:t>
      </w:r>
      <w:r w:rsidRPr="00153204">
        <w:rPr>
          <w:rFonts w:asciiTheme="minorHAnsi" w:hAnsiTheme="minorHAnsi" w:cstheme="minorHAnsi"/>
          <w:i/>
          <w:sz w:val="22"/>
          <w:szCs w:val="22"/>
        </w:rPr>
        <w:t>repayment of loan shall be considered from the first year of commercial operation of</w:t>
      </w:r>
      <w:r w:rsidRPr="00153204">
        <w:rPr>
          <w:rFonts w:asciiTheme="minorHAnsi" w:hAnsiTheme="minorHAnsi" w:cstheme="minorHAnsi"/>
          <w:i/>
          <w:spacing w:val="1"/>
          <w:sz w:val="22"/>
          <w:szCs w:val="22"/>
        </w:rPr>
        <w:t xml:space="preserve"> </w:t>
      </w:r>
      <w:r w:rsidRPr="00153204">
        <w:rPr>
          <w:rFonts w:asciiTheme="minorHAnsi" w:hAnsiTheme="minorHAnsi" w:cstheme="minorHAnsi"/>
          <w:i/>
          <w:sz w:val="22"/>
          <w:szCs w:val="22"/>
        </w:rPr>
        <w:t>the project</w:t>
      </w:r>
      <w:r w:rsidRPr="00153204">
        <w:rPr>
          <w:rFonts w:asciiTheme="minorHAnsi" w:hAnsiTheme="minorHAnsi" w:cstheme="minorHAnsi"/>
          <w:i/>
          <w:spacing w:val="7"/>
          <w:sz w:val="22"/>
          <w:szCs w:val="22"/>
        </w:rPr>
        <w:t xml:space="preserve"> </w:t>
      </w:r>
      <w:r w:rsidRPr="00153204">
        <w:rPr>
          <w:rFonts w:asciiTheme="minorHAnsi" w:hAnsiTheme="minorHAnsi" w:cstheme="minorHAnsi"/>
          <w:i/>
          <w:sz w:val="22"/>
          <w:szCs w:val="22"/>
        </w:rPr>
        <w:t>and</w:t>
      </w:r>
      <w:r w:rsidRPr="00153204">
        <w:rPr>
          <w:rFonts w:asciiTheme="minorHAnsi" w:hAnsiTheme="minorHAnsi" w:cstheme="minorHAnsi"/>
          <w:i/>
          <w:spacing w:val="1"/>
          <w:sz w:val="22"/>
          <w:szCs w:val="22"/>
        </w:rPr>
        <w:t xml:space="preserve"> </w:t>
      </w:r>
      <w:r w:rsidRPr="00153204">
        <w:rPr>
          <w:rFonts w:asciiTheme="minorHAnsi" w:hAnsiTheme="minorHAnsi" w:cstheme="minorHAnsi"/>
          <w:i/>
          <w:sz w:val="22"/>
          <w:szCs w:val="22"/>
        </w:rPr>
        <w:t>shall</w:t>
      </w:r>
      <w:r w:rsidRPr="00153204">
        <w:rPr>
          <w:rFonts w:asciiTheme="minorHAnsi" w:hAnsiTheme="minorHAnsi" w:cstheme="minorHAnsi"/>
          <w:i/>
          <w:spacing w:val="-2"/>
          <w:sz w:val="22"/>
          <w:szCs w:val="22"/>
        </w:rPr>
        <w:t xml:space="preserve"> </w:t>
      </w:r>
      <w:r w:rsidRPr="00153204">
        <w:rPr>
          <w:rFonts w:asciiTheme="minorHAnsi" w:hAnsiTheme="minorHAnsi" w:cstheme="minorHAnsi"/>
          <w:i/>
          <w:sz w:val="22"/>
          <w:szCs w:val="22"/>
        </w:rPr>
        <w:t>be</w:t>
      </w:r>
      <w:r w:rsidRPr="00153204">
        <w:rPr>
          <w:rFonts w:asciiTheme="minorHAnsi" w:hAnsiTheme="minorHAnsi" w:cstheme="minorHAnsi"/>
          <w:i/>
          <w:spacing w:val="1"/>
          <w:sz w:val="22"/>
          <w:szCs w:val="22"/>
        </w:rPr>
        <w:t xml:space="preserve"> </w:t>
      </w:r>
      <w:r w:rsidRPr="00153204">
        <w:rPr>
          <w:rFonts w:asciiTheme="minorHAnsi" w:hAnsiTheme="minorHAnsi" w:cstheme="minorHAnsi"/>
          <w:i/>
          <w:sz w:val="22"/>
          <w:szCs w:val="22"/>
        </w:rPr>
        <w:t>equal</w:t>
      </w:r>
      <w:r w:rsidRPr="00153204">
        <w:rPr>
          <w:rFonts w:asciiTheme="minorHAnsi" w:hAnsiTheme="minorHAnsi" w:cstheme="minorHAnsi"/>
          <w:i/>
          <w:spacing w:val="-8"/>
          <w:sz w:val="22"/>
          <w:szCs w:val="22"/>
        </w:rPr>
        <w:t xml:space="preserve"> </w:t>
      </w:r>
      <w:r w:rsidRPr="00153204">
        <w:rPr>
          <w:rFonts w:asciiTheme="minorHAnsi" w:hAnsiTheme="minorHAnsi" w:cstheme="minorHAnsi"/>
          <w:i/>
          <w:sz w:val="22"/>
          <w:szCs w:val="22"/>
        </w:rPr>
        <w:t>to</w:t>
      </w:r>
      <w:r w:rsidRPr="00153204">
        <w:rPr>
          <w:rFonts w:asciiTheme="minorHAnsi" w:hAnsiTheme="minorHAnsi" w:cstheme="minorHAnsi"/>
          <w:i/>
          <w:spacing w:val="-3"/>
          <w:sz w:val="22"/>
          <w:szCs w:val="22"/>
        </w:rPr>
        <w:t xml:space="preserve"> </w:t>
      </w:r>
      <w:r w:rsidRPr="00153204">
        <w:rPr>
          <w:rFonts w:asciiTheme="minorHAnsi" w:hAnsiTheme="minorHAnsi" w:cstheme="minorHAnsi"/>
          <w:i/>
          <w:sz w:val="22"/>
          <w:szCs w:val="22"/>
        </w:rPr>
        <w:t>the</w:t>
      </w:r>
      <w:r w:rsidRPr="00153204">
        <w:rPr>
          <w:rFonts w:asciiTheme="minorHAnsi" w:hAnsiTheme="minorHAnsi" w:cstheme="minorHAnsi"/>
          <w:i/>
          <w:spacing w:val="1"/>
          <w:sz w:val="22"/>
          <w:szCs w:val="22"/>
        </w:rPr>
        <w:t xml:space="preserve"> </w:t>
      </w:r>
      <w:r w:rsidRPr="00153204">
        <w:rPr>
          <w:rFonts w:asciiTheme="minorHAnsi" w:hAnsiTheme="minorHAnsi" w:cstheme="minorHAnsi"/>
          <w:i/>
          <w:sz w:val="22"/>
          <w:szCs w:val="22"/>
        </w:rPr>
        <w:t>annual</w:t>
      </w:r>
      <w:r w:rsidRPr="00153204">
        <w:rPr>
          <w:rFonts w:asciiTheme="minorHAnsi" w:hAnsiTheme="minorHAnsi" w:cstheme="minorHAnsi"/>
          <w:i/>
          <w:spacing w:val="-3"/>
          <w:sz w:val="22"/>
          <w:szCs w:val="22"/>
        </w:rPr>
        <w:t xml:space="preserve"> </w:t>
      </w:r>
      <w:r w:rsidRPr="00153204">
        <w:rPr>
          <w:rFonts w:asciiTheme="minorHAnsi" w:hAnsiTheme="minorHAnsi" w:cstheme="minorHAnsi"/>
          <w:i/>
          <w:sz w:val="22"/>
          <w:szCs w:val="22"/>
        </w:rPr>
        <w:t>depreciation</w:t>
      </w:r>
      <w:r w:rsidRPr="00153204">
        <w:rPr>
          <w:rFonts w:asciiTheme="minorHAnsi" w:hAnsiTheme="minorHAnsi" w:cstheme="minorHAnsi"/>
          <w:i/>
          <w:spacing w:val="-3"/>
          <w:sz w:val="22"/>
          <w:szCs w:val="22"/>
        </w:rPr>
        <w:t xml:space="preserve"> </w:t>
      </w:r>
      <w:r w:rsidRPr="00153204">
        <w:rPr>
          <w:rFonts w:asciiTheme="minorHAnsi" w:hAnsiTheme="minorHAnsi" w:cstheme="minorHAnsi"/>
          <w:i/>
          <w:sz w:val="22"/>
          <w:szCs w:val="22"/>
        </w:rPr>
        <w:t>allowed.</w:t>
      </w:r>
    </w:p>
    <w:p w14:paraId="795E8CE7" w14:textId="77777777" w:rsidR="00FA268F" w:rsidRPr="00153204" w:rsidRDefault="00FA268F" w:rsidP="00AB536C">
      <w:pPr>
        <w:widowControl w:val="0"/>
        <w:numPr>
          <w:ilvl w:val="2"/>
          <w:numId w:val="13"/>
        </w:numPr>
        <w:tabs>
          <w:tab w:val="left" w:pos="1560"/>
          <w:tab w:val="left" w:pos="1636"/>
        </w:tabs>
        <w:autoSpaceDE w:val="0"/>
        <w:autoSpaceDN w:val="0"/>
        <w:spacing w:before="119" w:line="278" w:lineRule="auto"/>
        <w:ind w:left="851" w:right="226" w:firstLine="0"/>
        <w:jc w:val="both"/>
        <w:rPr>
          <w:rFonts w:asciiTheme="minorHAnsi" w:hAnsiTheme="minorHAnsi" w:cstheme="minorHAnsi"/>
          <w:i/>
          <w:sz w:val="22"/>
          <w:szCs w:val="22"/>
        </w:rPr>
      </w:pPr>
      <w:r w:rsidRPr="00153204">
        <w:rPr>
          <w:rFonts w:asciiTheme="minorHAnsi" w:hAnsiTheme="minorHAnsi" w:cstheme="minorHAnsi"/>
          <w:i/>
          <w:sz w:val="22"/>
          <w:szCs w:val="22"/>
        </w:rPr>
        <w:t>The rate of interest</w:t>
      </w:r>
      <w:r w:rsidRPr="00153204">
        <w:rPr>
          <w:rFonts w:asciiTheme="minorHAnsi" w:hAnsiTheme="minorHAnsi" w:cstheme="minorHAnsi"/>
          <w:i/>
          <w:spacing w:val="1"/>
          <w:sz w:val="22"/>
          <w:szCs w:val="22"/>
        </w:rPr>
        <w:t xml:space="preserve"> </w:t>
      </w:r>
      <w:r w:rsidRPr="00153204">
        <w:rPr>
          <w:rFonts w:asciiTheme="minorHAnsi" w:hAnsiTheme="minorHAnsi" w:cstheme="minorHAnsi"/>
          <w:i/>
          <w:sz w:val="22"/>
          <w:szCs w:val="22"/>
        </w:rPr>
        <w:t>shall be the weighted average rate of interest</w:t>
      </w:r>
      <w:r w:rsidRPr="00153204">
        <w:rPr>
          <w:rFonts w:asciiTheme="minorHAnsi" w:hAnsiTheme="minorHAnsi" w:cstheme="minorHAnsi"/>
          <w:i/>
          <w:spacing w:val="60"/>
          <w:sz w:val="22"/>
          <w:szCs w:val="22"/>
        </w:rPr>
        <w:t xml:space="preserve"> </w:t>
      </w:r>
      <w:r w:rsidRPr="00153204">
        <w:rPr>
          <w:rFonts w:asciiTheme="minorHAnsi" w:hAnsiTheme="minorHAnsi" w:cstheme="minorHAnsi"/>
          <w:i/>
          <w:sz w:val="22"/>
          <w:szCs w:val="22"/>
        </w:rPr>
        <w:t>calculated on the</w:t>
      </w:r>
      <w:r w:rsidRPr="00153204">
        <w:rPr>
          <w:rFonts w:asciiTheme="minorHAnsi" w:hAnsiTheme="minorHAnsi" w:cstheme="minorHAnsi"/>
          <w:i/>
          <w:spacing w:val="1"/>
          <w:sz w:val="22"/>
          <w:szCs w:val="22"/>
        </w:rPr>
        <w:t xml:space="preserve"> </w:t>
      </w:r>
      <w:r w:rsidRPr="00153204">
        <w:rPr>
          <w:rFonts w:asciiTheme="minorHAnsi" w:hAnsiTheme="minorHAnsi" w:cstheme="minorHAnsi"/>
          <w:i/>
          <w:sz w:val="22"/>
          <w:szCs w:val="22"/>
        </w:rPr>
        <w:t>basis of the actual loan portfolio</w:t>
      </w:r>
      <w:r w:rsidRPr="00153204">
        <w:rPr>
          <w:rFonts w:asciiTheme="minorHAnsi" w:hAnsiTheme="minorHAnsi" w:cstheme="minorHAnsi"/>
          <w:i/>
          <w:spacing w:val="1"/>
          <w:sz w:val="22"/>
          <w:szCs w:val="22"/>
        </w:rPr>
        <w:t xml:space="preserve"> </w:t>
      </w:r>
      <w:r w:rsidRPr="00153204">
        <w:rPr>
          <w:rFonts w:asciiTheme="minorHAnsi" w:hAnsiTheme="minorHAnsi" w:cstheme="minorHAnsi"/>
          <w:i/>
          <w:sz w:val="22"/>
          <w:szCs w:val="22"/>
        </w:rPr>
        <w:t>at the beginning of each year applicable to the</w:t>
      </w:r>
      <w:r w:rsidRPr="00153204">
        <w:rPr>
          <w:rFonts w:asciiTheme="minorHAnsi" w:hAnsiTheme="minorHAnsi" w:cstheme="minorHAnsi"/>
          <w:i/>
          <w:spacing w:val="1"/>
          <w:sz w:val="22"/>
          <w:szCs w:val="22"/>
        </w:rPr>
        <w:t xml:space="preserve"> </w:t>
      </w:r>
      <w:r w:rsidRPr="00153204">
        <w:rPr>
          <w:rFonts w:asciiTheme="minorHAnsi" w:hAnsiTheme="minorHAnsi" w:cstheme="minorHAnsi"/>
          <w:i/>
          <w:sz w:val="22"/>
          <w:szCs w:val="22"/>
        </w:rPr>
        <w:t>Distribution</w:t>
      </w:r>
      <w:r w:rsidRPr="00153204">
        <w:rPr>
          <w:rFonts w:asciiTheme="minorHAnsi" w:hAnsiTheme="minorHAnsi" w:cstheme="minorHAnsi"/>
          <w:i/>
          <w:spacing w:val="-4"/>
          <w:sz w:val="22"/>
          <w:szCs w:val="22"/>
        </w:rPr>
        <w:t xml:space="preserve"> </w:t>
      </w:r>
      <w:r w:rsidRPr="00153204">
        <w:rPr>
          <w:rFonts w:asciiTheme="minorHAnsi" w:hAnsiTheme="minorHAnsi" w:cstheme="minorHAnsi"/>
          <w:i/>
          <w:sz w:val="22"/>
          <w:szCs w:val="22"/>
        </w:rPr>
        <w:t>Licensee:</w:t>
      </w:r>
    </w:p>
    <w:p w14:paraId="3B5078B2" w14:textId="77777777" w:rsidR="00FA268F" w:rsidRPr="00153204" w:rsidRDefault="00FA268F" w:rsidP="00EC1C3C">
      <w:pPr>
        <w:widowControl w:val="0"/>
        <w:autoSpaceDE w:val="0"/>
        <w:autoSpaceDN w:val="0"/>
        <w:spacing w:before="120" w:line="278" w:lineRule="auto"/>
        <w:ind w:left="851" w:right="223"/>
        <w:jc w:val="both"/>
        <w:rPr>
          <w:rFonts w:asciiTheme="minorHAnsi" w:hAnsiTheme="minorHAnsi" w:cstheme="minorHAnsi"/>
          <w:i/>
          <w:sz w:val="22"/>
          <w:szCs w:val="22"/>
        </w:rPr>
      </w:pPr>
      <w:r w:rsidRPr="00153204">
        <w:rPr>
          <w:rFonts w:asciiTheme="minorHAnsi" w:hAnsiTheme="minorHAnsi" w:cstheme="minorHAnsi"/>
          <w:i/>
          <w:sz w:val="22"/>
          <w:szCs w:val="22"/>
        </w:rPr>
        <w:t>Provided that at the time of truing up, the weighted average rate of interest calculated</w:t>
      </w:r>
      <w:r w:rsidRPr="00153204">
        <w:rPr>
          <w:rFonts w:asciiTheme="minorHAnsi" w:hAnsiTheme="minorHAnsi" w:cstheme="minorHAnsi"/>
          <w:i/>
          <w:spacing w:val="1"/>
          <w:sz w:val="22"/>
          <w:szCs w:val="22"/>
        </w:rPr>
        <w:t xml:space="preserve"> </w:t>
      </w:r>
      <w:r w:rsidRPr="00153204">
        <w:rPr>
          <w:rFonts w:asciiTheme="minorHAnsi" w:hAnsiTheme="minorHAnsi" w:cstheme="minorHAnsi"/>
          <w:i/>
          <w:sz w:val="22"/>
          <w:szCs w:val="22"/>
        </w:rPr>
        <w:t>on the basis of the actual loan portfolio during the year applicable to the Distribution</w:t>
      </w:r>
      <w:r w:rsidRPr="00153204">
        <w:rPr>
          <w:rFonts w:asciiTheme="minorHAnsi" w:hAnsiTheme="minorHAnsi" w:cstheme="minorHAnsi"/>
          <w:i/>
          <w:spacing w:val="1"/>
          <w:sz w:val="22"/>
          <w:szCs w:val="22"/>
        </w:rPr>
        <w:t xml:space="preserve"> </w:t>
      </w:r>
      <w:r w:rsidRPr="00153204">
        <w:rPr>
          <w:rFonts w:asciiTheme="minorHAnsi" w:hAnsiTheme="minorHAnsi" w:cstheme="minorHAnsi"/>
          <w:i/>
          <w:sz w:val="22"/>
          <w:szCs w:val="22"/>
        </w:rPr>
        <w:t>Licensee shall</w:t>
      </w:r>
      <w:r w:rsidRPr="00153204">
        <w:rPr>
          <w:rFonts w:asciiTheme="minorHAnsi" w:hAnsiTheme="minorHAnsi" w:cstheme="minorHAnsi"/>
          <w:i/>
          <w:spacing w:val="-2"/>
          <w:sz w:val="22"/>
          <w:szCs w:val="22"/>
        </w:rPr>
        <w:t xml:space="preserve"> </w:t>
      </w:r>
      <w:r w:rsidRPr="00153204">
        <w:rPr>
          <w:rFonts w:asciiTheme="minorHAnsi" w:hAnsiTheme="minorHAnsi" w:cstheme="minorHAnsi"/>
          <w:i/>
          <w:sz w:val="22"/>
          <w:szCs w:val="22"/>
        </w:rPr>
        <w:t>be</w:t>
      </w:r>
      <w:r w:rsidRPr="00153204">
        <w:rPr>
          <w:rFonts w:asciiTheme="minorHAnsi" w:hAnsiTheme="minorHAnsi" w:cstheme="minorHAnsi"/>
          <w:i/>
          <w:spacing w:val="1"/>
          <w:sz w:val="22"/>
          <w:szCs w:val="22"/>
        </w:rPr>
        <w:t xml:space="preserve"> </w:t>
      </w:r>
      <w:r w:rsidRPr="00153204">
        <w:rPr>
          <w:rFonts w:asciiTheme="minorHAnsi" w:hAnsiTheme="minorHAnsi" w:cstheme="minorHAnsi"/>
          <w:i/>
          <w:sz w:val="22"/>
          <w:szCs w:val="22"/>
        </w:rPr>
        <w:t>considered</w:t>
      </w:r>
      <w:r w:rsidRPr="00153204">
        <w:rPr>
          <w:rFonts w:asciiTheme="minorHAnsi" w:hAnsiTheme="minorHAnsi" w:cstheme="minorHAnsi"/>
          <w:i/>
          <w:spacing w:val="2"/>
          <w:sz w:val="22"/>
          <w:szCs w:val="22"/>
        </w:rPr>
        <w:t xml:space="preserve"> </w:t>
      </w:r>
      <w:r w:rsidRPr="00153204">
        <w:rPr>
          <w:rFonts w:asciiTheme="minorHAnsi" w:hAnsiTheme="minorHAnsi" w:cstheme="minorHAnsi"/>
          <w:i/>
          <w:sz w:val="22"/>
          <w:szCs w:val="22"/>
        </w:rPr>
        <w:t>as the rate</w:t>
      </w:r>
      <w:r w:rsidRPr="00153204">
        <w:rPr>
          <w:rFonts w:asciiTheme="minorHAnsi" w:hAnsiTheme="minorHAnsi" w:cstheme="minorHAnsi"/>
          <w:i/>
          <w:spacing w:val="-3"/>
          <w:sz w:val="22"/>
          <w:szCs w:val="22"/>
        </w:rPr>
        <w:t xml:space="preserve"> </w:t>
      </w:r>
      <w:r w:rsidRPr="00153204">
        <w:rPr>
          <w:rFonts w:asciiTheme="minorHAnsi" w:hAnsiTheme="minorHAnsi" w:cstheme="minorHAnsi"/>
          <w:i/>
          <w:sz w:val="22"/>
          <w:szCs w:val="22"/>
        </w:rPr>
        <w:t>of</w:t>
      </w:r>
      <w:r w:rsidRPr="00153204">
        <w:rPr>
          <w:rFonts w:asciiTheme="minorHAnsi" w:hAnsiTheme="minorHAnsi" w:cstheme="minorHAnsi"/>
          <w:i/>
          <w:spacing w:val="-1"/>
          <w:sz w:val="22"/>
          <w:szCs w:val="22"/>
        </w:rPr>
        <w:t xml:space="preserve"> </w:t>
      </w:r>
      <w:r w:rsidRPr="00153204">
        <w:rPr>
          <w:rFonts w:asciiTheme="minorHAnsi" w:hAnsiTheme="minorHAnsi" w:cstheme="minorHAnsi"/>
          <w:i/>
          <w:sz w:val="22"/>
          <w:szCs w:val="22"/>
        </w:rPr>
        <w:t>interest:</w:t>
      </w:r>
    </w:p>
    <w:p w14:paraId="19332B65" w14:textId="77777777" w:rsidR="00FA268F" w:rsidRPr="00153204" w:rsidRDefault="00FA268F" w:rsidP="00EC1C3C">
      <w:pPr>
        <w:widowControl w:val="0"/>
        <w:autoSpaceDE w:val="0"/>
        <w:autoSpaceDN w:val="0"/>
        <w:spacing w:before="120" w:line="278" w:lineRule="auto"/>
        <w:ind w:left="851" w:right="223"/>
        <w:jc w:val="both"/>
        <w:rPr>
          <w:rFonts w:asciiTheme="minorHAnsi" w:hAnsiTheme="minorHAnsi" w:cstheme="minorHAnsi"/>
          <w:i/>
          <w:sz w:val="22"/>
          <w:szCs w:val="22"/>
        </w:rPr>
      </w:pPr>
      <w:r w:rsidRPr="00153204">
        <w:rPr>
          <w:rFonts w:asciiTheme="minorHAnsi" w:hAnsiTheme="minorHAnsi" w:cstheme="minorHAnsi"/>
          <w:i/>
          <w:sz w:val="22"/>
          <w:szCs w:val="22"/>
        </w:rPr>
        <w:t>Provided that</w:t>
      </w:r>
      <w:r w:rsidRPr="00153204">
        <w:rPr>
          <w:rFonts w:asciiTheme="minorHAnsi" w:hAnsiTheme="minorHAnsi" w:cstheme="minorHAnsi"/>
          <w:i/>
          <w:spacing w:val="60"/>
          <w:sz w:val="22"/>
          <w:szCs w:val="22"/>
        </w:rPr>
        <w:t xml:space="preserve"> </w:t>
      </w:r>
      <w:r w:rsidRPr="00153204">
        <w:rPr>
          <w:rFonts w:asciiTheme="minorHAnsi" w:hAnsiTheme="minorHAnsi" w:cstheme="minorHAnsi"/>
          <w:i/>
          <w:sz w:val="22"/>
          <w:szCs w:val="22"/>
        </w:rPr>
        <w:t>in case where the Distribution Licensee avails new loans, i.e., on or</w:t>
      </w:r>
      <w:r w:rsidRPr="00153204">
        <w:rPr>
          <w:rFonts w:asciiTheme="minorHAnsi" w:hAnsiTheme="minorHAnsi" w:cstheme="minorHAnsi"/>
          <w:i/>
          <w:spacing w:val="1"/>
          <w:sz w:val="22"/>
          <w:szCs w:val="22"/>
        </w:rPr>
        <w:t xml:space="preserve"> </w:t>
      </w:r>
      <w:r w:rsidRPr="00153204">
        <w:rPr>
          <w:rFonts w:asciiTheme="minorHAnsi" w:hAnsiTheme="minorHAnsi" w:cstheme="minorHAnsi"/>
          <w:i/>
          <w:sz w:val="22"/>
          <w:szCs w:val="22"/>
        </w:rPr>
        <w:t>after April 1, 2023, the rate of interest on loan in any case shall not exceed approved</w:t>
      </w:r>
      <w:r w:rsidRPr="00153204">
        <w:rPr>
          <w:rFonts w:asciiTheme="minorHAnsi" w:hAnsiTheme="minorHAnsi" w:cstheme="minorHAnsi"/>
          <w:i/>
          <w:spacing w:val="1"/>
          <w:sz w:val="22"/>
          <w:szCs w:val="22"/>
        </w:rPr>
        <w:t xml:space="preserve"> </w:t>
      </w:r>
      <w:r w:rsidRPr="00153204">
        <w:rPr>
          <w:rFonts w:asciiTheme="minorHAnsi" w:hAnsiTheme="minorHAnsi" w:cstheme="minorHAnsi"/>
          <w:i/>
          <w:sz w:val="22"/>
          <w:szCs w:val="22"/>
        </w:rPr>
        <w:t>base rate of return on equity or any capping on rate of interest on such a new loan as</w:t>
      </w:r>
      <w:r w:rsidRPr="00153204">
        <w:rPr>
          <w:rFonts w:asciiTheme="minorHAnsi" w:hAnsiTheme="minorHAnsi" w:cstheme="minorHAnsi"/>
          <w:i/>
          <w:spacing w:val="1"/>
          <w:sz w:val="22"/>
          <w:szCs w:val="22"/>
        </w:rPr>
        <w:t xml:space="preserve"> </w:t>
      </w:r>
      <w:r w:rsidRPr="00153204">
        <w:rPr>
          <w:rFonts w:asciiTheme="minorHAnsi" w:hAnsiTheme="minorHAnsi" w:cstheme="minorHAnsi"/>
          <w:i/>
          <w:sz w:val="22"/>
          <w:szCs w:val="22"/>
        </w:rPr>
        <w:t>specified by the Commission considering the market conditions. The Distribution</w:t>
      </w:r>
      <w:r w:rsidRPr="00153204">
        <w:rPr>
          <w:rFonts w:asciiTheme="minorHAnsi" w:hAnsiTheme="minorHAnsi" w:cstheme="minorHAnsi"/>
          <w:i/>
          <w:spacing w:val="1"/>
          <w:sz w:val="22"/>
          <w:szCs w:val="22"/>
        </w:rPr>
        <w:t xml:space="preserve"> </w:t>
      </w:r>
      <w:r w:rsidRPr="00153204">
        <w:rPr>
          <w:rFonts w:asciiTheme="minorHAnsi" w:hAnsiTheme="minorHAnsi" w:cstheme="minorHAnsi"/>
          <w:i/>
          <w:sz w:val="22"/>
          <w:szCs w:val="22"/>
        </w:rPr>
        <w:t>Licensee(s) shall follow transparent mechanism to avail Loans and, to the extent</w:t>
      </w:r>
      <w:r w:rsidRPr="00153204">
        <w:rPr>
          <w:rFonts w:asciiTheme="minorHAnsi" w:hAnsiTheme="minorHAnsi" w:cstheme="minorHAnsi"/>
          <w:i/>
          <w:spacing w:val="1"/>
          <w:sz w:val="22"/>
          <w:szCs w:val="22"/>
        </w:rPr>
        <w:t xml:space="preserve"> </w:t>
      </w:r>
      <w:r w:rsidRPr="00153204">
        <w:rPr>
          <w:rFonts w:asciiTheme="minorHAnsi" w:hAnsiTheme="minorHAnsi" w:cstheme="minorHAnsi"/>
          <w:i/>
          <w:sz w:val="22"/>
          <w:szCs w:val="22"/>
        </w:rPr>
        <w:t>possible,</w:t>
      </w:r>
      <w:r w:rsidRPr="00153204">
        <w:rPr>
          <w:rFonts w:asciiTheme="minorHAnsi" w:hAnsiTheme="minorHAnsi" w:cstheme="minorHAnsi"/>
          <w:i/>
          <w:spacing w:val="1"/>
          <w:sz w:val="22"/>
          <w:szCs w:val="22"/>
        </w:rPr>
        <w:t xml:space="preserve"> </w:t>
      </w:r>
      <w:r w:rsidRPr="00153204">
        <w:rPr>
          <w:rFonts w:asciiTheme="minorHAnsi" w:hAnsiTheme="minorHAnsi" w:cstheme="minorHAnsi"/>
          <w:i/>
          <w:sz w:val="22"/>
          <w:szCs w:val="22"/>
        </w:rPr>
        <w:t xml:space="preserve">shall </w:t>
      </w:r>
      <w:proofErr w:type="spellStart"/>
      <w:r w:rsidRPr="00153204">
        <w:rPr>
          <w:rFonts w:asciiTheme="minorHAnsi" w:hAnsiTheme="minorHAnsi" w:cstheme="minorHAnsi"/>
          <w:i/>
          <w:sz w:val="22"/>
          <w:szCs w:val="22"/>
        </w:rPr>
        <w:t>endeavour</w:t>
      </w:r>
      <w:proofErr w:type="spellEnd"/>
      <w:r w:rsidRPr="00153204">
        <w:rPr>
          <w:rFonts w:asciiTheme="minorHAnsi" w:hAnsiTheme="minorHAnsi" w:cstheme="minorHAnsi"/>
          <w:i/>
          <w:sz w:val="22"/>
          <w:szCs w:val="22"/>
        </w:rPr>
        <w:t xml:space="preserve"> to</w:t>
      </w:r>
      <w:r w:rsidRPr="00153204">
        <w:rPr>
          <w:rFonts w:asciiTheme="minorHAnsi" w:hAnsiTheme="minorHAnsi" w:cstheme="minorHAnsi"/>
          <w:i/>
          <w:spacing w:val="1"/>
          <w:sz w:val="22"/>
          <w:szCs w:val="22"/>
        </w:rPr>
        <w:t xml:space="preserve"> </w:t>
      </w:r>
      <w:r w:rsidRPr="00153204">
        <w:rPr>
          <w:rFonts w:asciiTheme="minorHAnsi" w:hAnsiTheme="minorHAnsi" w:cstheme="minorHAnsi"/>
          <w:i/>
          <w:sz w:val="22"/>
          <w:szCs w:val="22"/>
        </w:rPr>
        <w:t>invite open tender</w:t>
      </w:r>
      <w:r w:rsidRPr="00153204">
        <w:rPr>
          <w:rFonts w:asciiTheme="minorHAnsi" w:hAnsiTheme="minorHAnsi" w:cstheme="minorHAnsi"/>
          <w:i/>
          <w:spacing w:val="1"/>
          <w:sz w:val="22"/>
          <w:szCs w:val="22"/>
        </w:rPr>
        <w:t xml:space="preserve"> </w:t>
      </w:r>
      <w:r w:rsidRPr="00153204">
        <w:rPr>
          <w:rFonts w:asciiTheme="minorHAnsi" w:hAnsiTheme="minorHAnsi" w:cstheme="minorHAnsi"/>
          <w:i/>
          <w:sz w:val="22"/>
          <w:szCs w:val="22"/>
        </w:rPr>
        <w:t>for</w:t>
      </w:r>
      <w:r w:rsidRPr="00153204">
        <w:rPr>
          <w:rFonts w:asciiTheme="minorHAnsi" w:hAnsiTheme="minorHAnsi" w:cstheme="minorHAnsi"/>
          <w:i/>
          <w:spacing w:val="1"/>
          <w:sz w:val="22"/>
          <w:szCs w:val="22"/>
        </w:rPr>
        <w:t xml:space="preserve"> </w:t>
      </w:r>
      <w:r w:rsidRPr="00153204">
        <w:rPr>
          <w:rFonts w:asciiTheme="minorHAnsi" w:hAnsiTheme="minorHAnsi" w:cstheme="minorHAnsi"/>
          <w:i/>
          <w:sz w:val="22"/>
          <w:szCs w:val="22"/>
        </w:rPr>
        <w:t>availing</w:t>
      </w:r>
      <w:r w:rsidRPr="00153204">
        <w:rPr>
          <w:rFonts w:asciiTheme="minorHAnsi" w:hAnsiTheme="minorHAnsi" w:cstheme="minorHAnsi"/>
          <w:i/>
          <w:spacing w:val="1"/>
          <w:sz w:val="22"/>
          <w:szCs w:val="22"/>
        </w:rPr>
        <w:t xml:space="preserve"> </w:t>
      </w:r>
      <w:r w:rsidRPr="00153204">
        <w:rPr>
          <w:rFonts w:asciiTheme="minorHAnsi" w:hAnsiTheme="minorHAnsi" w:cstheme="minorHAnsi"/>
          <w:i/>
          <w:sz w:val="22"/>
          <w:szCs w:val="22"/>
        </w:rPr>
        <w:t>Loans. However,</w:t>
      </w:r>
      <w:r w:rsidRPr="00153204">
        <w:rPr>
          <w:rFonts w:asciiTheme="minorHAnsi" w:hAnsiTheme="minorHAnsi" w:cstheme="minorHAnsi"/>
          <w:i/>
          <w:spacing w:val="60"/>
          <w:sz w:val="22"/>
          <w:szCs w:val="22"/>
        </w:rPr>
        <w:t xml:space="preserve"> </w:t>
      </w:r>
      <w:r w:rsidRPr="00153204">
        <w:rPr>
          <w:rFonts w:asciiTheme="minorHAnsi" w:hAnsiTheme="minorHAnsi" w:cstheme="minorHAnsi"/>
          <w:i/>
          <w:sz w:val="22"/>
          <w:szCs w:val="22"/>
        </w:rPr>
        <w:t>they</w:t>
      </w:r>
      <w:r w:rsidRPr="00153204">
        <w:rPr>
          <w:rFonts w:asciiTheme="minorHAnsi" w:hAnsiTheme="minorHAnsi" w:cstheme="minorHAnsi"/>
          <w:i/>
          <w:spacing w:val="1"/>
          <w:sz w:val="22"/>
          <w:szCs w:val="22"/>
        </w:rPr>
        <w:t xml:space="preserve"> </w:t>
      </w:r>
      <w:r w:rsidRPr="00153204">
        <w:rPr>
          <w:rFonts w:asciiTheme="minorHAnsi" w:hAnsiTheme="minorHAnsi" w:cstheme="minorHAnsi"/>
          <w:i/>
          <w:sz w:val="22"/>
          <w:szCs w:val="22"/>
        </w:rPr>
        <w:t>shall be required to submit due justification to the Commission for the terms and</w:t>
      </w:r>
      <w:r w:rsidRPr="00153204">
        <w:rPr>
          <w:rFonts w:asciiTheme="minorHAnsi" w:hAnsiTheme="minorHAnsi" w:cstheme="minorHAnsi"/>
          <w:i/>
          <w:spacing w:val="1"/>
          <w:sz w:val="22"/>
          <w:szCs w:val="22"/>
        </w:rPr>
        <w:t xml:space="preserve"> </w:t>
      </w:r>
      <w:r w:rsidRPr="00153204">
        <w:rPr>
          <w:rFonts w:asciiTheme="minorHAnsi" w:hAnsiTheme="minorHAnsi" w:cstheme="minorHAnsi"/>
          <w:i/>
          <w:sz w:val="22"/>
          <w:szCs w:val="22"/>
        </w:rPr>
        <w:t>conditions of the loans raised by them including the loan sanction letter from the</w:t>
      </w:r>
      <w:r w:rsidRPr="00153204">
        <w:rPr>
          <w:rFonts w:asciiTheme="minorHAnsi" w:hAnsiTheme="minorHAnsi" w:cstheme="minorHAnsi"/>
          <w:i/>
          <w:spacing w:val="1"/>
          <w:sz w:val="22"/>
          <w:szCs w:val="22"/>
        </w:rPr>
        <w:t xml:space="preserve"> </w:t>
      </w:r>
      <w:r w:rsidRPr="00153204">
        <w:rPr>
          <w:rFonts w:asciiTheme="minorHAnsi" w:hAnsiTheme="minorHAnsi" w:cstheme="minorHAnsi"/>
          <w:i/>
          <w:sz w:val="22"/>
          <w:szCs w:val="22"/>
        </w:rPr>
        <w:t>banks/ lending institutions, indicating the applicable rate of interest. They shall also</w:t>
      </w:r>
      <w:r w:rsidRPr="00153204">
        <w:rPr>
          <w:rFonts w:asciiTheme="minorHAnsi" w:hAnsiTheme="minorHAnsi" w:cstheme="minorHAnsi"/>
          <w:i/>
          <w:spacing w:val="1"/>
          <w:sz w:val="22"/>
          <w:szCs w:val="22"/>
        </w:rPr>
        <w:t xml:space="preserve"> </w:t>
      </w:r>
      <w:r w:rsidRPr="00153204">
        <w:rPr>
          <w:rFonts w:asciiTheme="minorHAnsi" w:hAnsiTheme="minorHAnsi" w:cstheme="minorHAnsi"/>
          <w:i/>
          <w:sz w:val="22"/>
          <w:szCs w:val="22"/>
        </w:rPr>
        <w:t>justify</w:t>
      </w:r>
      <w:r w:rsidRPr="00153204">
        <w:rPr>
          <w:rFonts w:asciiTheme="minorHAnsi" w:hAnsiTheme="minorHAnsi" w:cstheme="minorHAnsi"/>
          <w:i/>
          <w:spacing w:val="-9"/>
          <w:sz w:val="22"/>
          <w:szCs w:val="22"/>
        </w:rPr>
        <w:t xml:space="preserve"> </w:t>
      </w:r>
      <w:r w:rsidRPr="00153204">
        <w:rPr>
          <w:rFonts w:asciiTheme="minorHAnsi" w:hAnsiTheme="minorHAnsi" w:cstheme="minorHAnsi"/>
          <w:i/>
          <w:sz w:val="22"/>
          <w:szCs w:val="22"/>
        </w:rPr>
        <w:t>the reasons</w:t>
      </w:r>
      <w:r w:rsidRPr="00153204">
        <w:rPr>
          <w:rFonts w:asciiTheme="minorHAnsi" w:hAnsiTheme="minorHAnsi" w:cstheme="minorHAnsi"/>
          <w:i/>
          <w:spacing w:val="4"/>
          <w:sz w:val="22"/>
          <w:szCs w:val="22"/>
        </w:rPr>
        <w:t xml:space="preserve"> </w:t>
      </w:r>
      <w:r w:rsidRPr="00153204">
        <w:rPr>
          <w:rFonts w:asciiTheme="minorHAnsi" w:hAnsiTheme="minorHAnsi" w:cstheme="minorHAnsi"/>
          <w:i/>
          <w:sz w:val="22"/>
          <w:szCs w:val="22"/>
        </w:rPr>
        <w:t>for</w:t>
      </w:r>
      <w:r w:rsidRPr="00153204">
        <w:rPr>
          <w:rFonts w:asciiTheme="minorHAnsi" w:hAnsiTheme="minorHAnsi" w:cstheme="minorHAnsi"/>
          <w:i/>
          <w:spacing w:val="2"/>
          <w:sz w:val="22"/>
          <w:szCs w:val="22"/>
        </w:rPr>
        <w:t xml:space="preserve"> </w:t>
      </w:r>
      <w:r w:rsidRPr="00153204">
        <w:rPr>
          <w:rFonts w:asciiTheme="minorHAnsi" w:hAnsiTheme="minorHAnsi" w:cstheme="minorHAnsi"/>
          <w:i/>
          <w:sz w:val="22"/>
          <w:szCs w:val="22"/>
        </w:rPr>
        <w:t>higher</w:t>
      </w:r>
      <w:r w:rsidRPr="00153204">
        <w:rPr>
          <w:rFonts w:asciiTheme="minorHAnsi" w:hAnsiTheme="minorHAnsi" w:cstheme="minorHAnsi"/>
          <w:i/>
          <w:spacing w:val="7"/>
          <w:sz w:val="22"/>
          <w:szCs w:val="22"/>
        </w:rPr>
        <w:t xml:space="preserve"> </w:t>
      </w:r>
      <w:r w:rsidRPr="00153204">
        <w:rPr>
          <w:rFonts w:asciiTheme="minorHAnsi" w:hAnsiTheme="minorHAnsi" w:cstheme="minorHAnsi"/>
          <w:i/>
          <w:sz w:val="22"/>
          <w:szCs w:val="22"/>
        </w:rPr>
        <w:t>interest</w:t>
      </w:r>
      <w:r w:rsidRPr="00153204">
        <w:rPr>
          <w:rFonts w:asciiTheme="minorHAnsi" w:hAnsiTheme="minorHAnsi" w:cstheme="minorHAnsi"/>
          <w:i/>
          <w:spacing w:val="5"/>
          <w:sz w:val="22"/>
          <w:szCs w:val="22"/>
        </w:rPr>
        <w:t xml:space="preserve"> </w:t>
      </w:r>
      <w:r w:rsidRPr="00153204">
        <w:rPr>
          <w:rFonts w:asciiTheme="minorHAnsi" w:hAnsiTheme="minorHAnsi" w:cstheme="minorHAnsi"/>
          <w:i/>
          <w:sz w:val="22"/>
          <w:szCs w:val="22"/>
        </w:rPr>
        <w:t>rate,</w:t>
      </w:r>
      <w:r w:rsidRPr="00153204">
        <w:rPr>
          <w:rFonts w:asciiTheme="minorHAnsi" w:hAnsiTheme="minorHAnsi" w:cstheme="minorHAnsi"/>
          <w:i/>
          <w:spacing w:val="3"/>
          <w:sz w:val="22"/>
          <w:szCs w:val="22"/>
        </w:rPr>
        <w:t xml:space="preserve"> </w:t>
      </w:r>
      <w:r w:rsidRPr="00153204">
        <w:rPr>
          <w:rFonts w:asciiTheme="minorHAnsi" w:hAnsiTheme="minorHAnsi" w:cstheme="minorHAnsi"/>
          <w:i/>
          <w:sz w:val="22"/>
          <w:szCs w:val="22"/>
        </w:rPr>
        <w:t>if</w:t>
      </w:r>
      <w:r w:rsidRPr="00153204">
        <w:rPr>
          <w:rFonts w:asciiTheme="minorHAnsi" w:hAnsiTheme="minorHAnsi" w:cstheme="minorHAnsi"/>
          <w:i/>
          <w:spacing w:val="-7"/>
          <w:sz w:val="22"/>
          <w:szCs w:val="22"/>
        </w:rPr>
        <w:t xml:space="preserve"> </w:t>
      </w:r>
      <w:r w:rsidRPr="00153204">
        <w:rPr>
          <w:rFonts w:asciiTheme="minorHAnsi" w:hAnsiTheme="minorHAnsi" w:cstheme="minorHAnsi"/>
          <w:i/>
          <w:sz w:val="22"/>
          <w:szCs w:val="22"/>
        </w:rPr>
        <w:t>availed for</w:t>
      </w:r>
      <w:r w:rsidRPr="00153204">
        <w:rPr>
          <w:rFonts w:asciiTheme="minorHAnsi" w:hAnsiTheme="minorHAnsi" w:cstheme="minorHAnsi"/>
          <w:i/>
          <w:spacing w:val="-2"/>
          <w:sz w:val="22"/>
          <w:szCs w:val="22"/>
        </w:rPr>
        <w:t xml:space="preserve"> </w:t>
      </w:r>
      <w:r w:rsidRPr="00153204">
        <w:rPr>
          <w:rFonts w:asciiTheme="minorHAnsi" w:hAnsiTheme="minorHAnsi" w:cstheme="minorHAnsi"/>
          <w:i/>
          <w:sz w:val="22"/>
          <w:szCs w:val="22"/>
        </w:rPr>
        <w:t>the new</w:t>
      </w:r>
      <w:r w:rsidRPr="00153204">
        <w:rPr>
          <w:rFonts w:asciiTheme="minorHAnsi" w:hAnsiTheme="minorHAnsi" w:cstheme="minorHAnsi"/>
          <w:i/>
          <w:spacing w:val="4"/>
          <w:sz w:val="22"/>
          <w:szCs w:val="22"/>
        </w:rPr>
        <w:t xml:space="preserve"> </w:t>
      </w:r>
      <w:r w:rsidRPr="00153204">
        <w:rPr>
          <w:rFonts w:asciiTheme="minorHAnsi" w:hAnsiTheme="minorHAnsi" w:cstheme="minorHAnsi"/>
          <w:i/>
          <w:sz w:val="22"/>
          <w:szCs w:val="22"/>
        </w:rPr>
        <w:t>loan.</w:t>
      </w:r>
    </w:p>
    <w:p w14:paraId="5B14764A" w14:textId="5B588B3A" w:rsidR="00FA268F" w:rsidRPr="00153204" w:rsidRDefault="00FA268F" w:rsidP="00EC1C3C">
      <w:pPr>
        <w:widowControl w:val="0"/>
        <w:tabs>
          <w:tab w:val="left" w:pos="1560"/>
        </w:tabs>
        <w:autoSpaceDE w:val="0"/>
        <w:autoSpaceDN w:val="0"/>
        <w:spacing w:before="120" w:line="278" w:lineRule="auto"/>
        <w:ind w:left="851" w:right="218"/>
        <w:jc w:val="both"/>
        <w:rPr>
          <w:rFonts w:asciiTheme="minorHAnsi" w:hAnsiTheme="minorHAnsi" w:cstheme="minorHAnsi"/>
          <w:i/>
          <w:sz w:val="22"/>
          <w:szCs w:val="22"/>
        </w:rPr>
      </w:pPr>
      <w:r w:rsidRPr="00153204">
        <w:rPr>
          <w:rFonts w:asciiTheme="minorHAnsi" w:hAnsiTheme="minorHAnsi" w:cstheme="minorHAnsi"/>
          <w:i/>
          <w:sz w:val="22"/>
          <w:szCs w:val="22"/>
        </w:rPr>
        <w:tab/>
        <w:t>Provided further that if there is no actual loan for a particular year but normative loan</w:t>
      </w:r>
      <w:r w:rsidRPr="00153204">
        <w:rPr>
          <w:rFonts w:asciiTheme="minorHAnsi" w:hAnsiTheme="minorHAnsi" w:cstheme="minorHAnsi"/>
          <w:i/>
          <w:spacing w:val="1"/>
          <w:sz w:val="22"/>
          <w:szCs w:val="22"/>
        </w:rPr>
        <w:t xml:space="preserve"> </w:t>
      </w:r>
      <w:r w:rsidRPr="00153204">
        <w:rPr>
          <w:rFonts w:asciiTheme="minorHAnsi" w:hAnsiTheme="minorHAnsi" w:cstheme="minorHAnsi"/>
          <w:i/>
          <w:sz w:val="22"/>
          <w:szCs w:val="22"/>
        </w:rPr>
        <w:t>is still outstanding, the last available weighted average rate of interest for the actual</w:t>
      </w:r>
      <w:r w:rsidRPr="00153204">
        <w:rPr>
          <w:rFonts w:asciiTheme="minorHAnsi" w:hAnsiTheme="minorHAnsi" w:cstheme="minorHAnsi"/>
          <w:i/>
          <w:spacing w:val="1"/>
          <w:sz w:val="22"/>
          <w:szCs w:val="22"/>
        </w:rPr>
        <w:t xml:space="preserve"> </w:t>
      </w:r>
      <w:r w:rsidRPr="00153204">
        <w:rPr>
          <w:rFonts w:asciiTheme="minorHAnsi" w:hAnsiTheme="minorHAnsi" w:cstheme="minorHAnsi"/>
          <w:i/>
          <w:sz w:val="22"/>
          <w:szCs w:val="22"/>
        </w:rPr>
        <w:t>loan</w:t>
      </w:r>
      <w:r w:rsidRPr="00153204">
        <w:rPr>
          <w:rFonts w:asciiTheme="minorHAnsi" w:hAnsiTheme="minorHAnsi" w:cstheme="minorHAnsi"/>
          <w:i/>
          <w:spacing w:val="-4"/>
          <w:sz w:val="22"/>
          <w:szCs w:val="22"/>
        </w:rPr>
        <w:t xml:space="preserve"> </w:t>
      </w:r>
      <w:r w:rsidRPr="00153204">
        <w:rPr>
          <w:rFonts w:asciiTheme="minorHAnsi" w:hAnsiTheme="minorHAnsi" w:cstheme="minorHAnsi"/>
          <w:i/>
          <w:sz w:val="22"/>
          <w:szCs w:val="22"/>
        </w:rPr>
        <w:t>shall</w:t>
      </w:r>
      <w:r w:rsidRPr="00153204">
        <w:rPr>
          <w:rFonts w:asciiTheme="minorHAnsi" w:hAnsiTheme="minorHAnsi" w:cstheme="minorHAnsi"/>
          <w:i/>
          <w:spacing w:val="-2"/>
          <w:sz w:val="22"/>
          <w:szCs w:val="22"/>
        </w:rPr>
        <w:t xml:space="preserve"> </w:t>
      </w:r>
      <w:r w:rsidRPr="00153204">
        <w:rPr>
          <w:rFonts w:asciiTheme="minorHAnsi" w:hAnsiTheme="minorHAnsi" w:cstheme="minorHAnsi"/>
          <w:i/>
          <w:sz w:val="22"/>
          <w:szCs w:val="22"/>
        </w:rPr>
        <w:t>be</w:t>
      </w:r>
      <w:r w:rsidRPr="00153204">
        <w:rPr>
          <w:rFonts w:asciiTheme="minorHAnsi" w:hAnsiTheme="minorHAnsi" w:cstheme="minorHAnsi"/>
          <w:i/>
          <w:spacing w:val="1"/>
          <w:sz w:val="22"/>
          <w:szCs w:val="22"/>
        </w:rPr>
        <w:t xml:space="preserve"> </w:t>
      </w:r>
      <w:r w:rsidRPr="00153204">
        <w:rPr>
          <w:rFonts w:asciiTheme="minorHAnsi" w:hAnsiTheme="minorHAnsi" w:cstheme="minorHAnsi"/>
          <w:i/>
          <w:sz w:val="22"/>
          <w:szCs w:val="22"/>
        </w:rPr>
        <w:t>considered:</w:t>
      </w:r>
    </w:p>
    <w:p w14:paraId="3B0AE25B" w14:textId="62A8DA9F" w:rsidR="00FA268F" w:rsidRPr="00153204" w:rsidRDefault="00FA268F" w:rsidP="00EC1C3C">
      <w:pPr>
        <w:widowControl w:val="0"/>
        <w:tabs>
          <w:tab w:val="left" w:pos="1560"/>
        </w:tabs>
        <w:autoSpaceDE w:val="0"/>
        <w:autoSpaceDN w:val="0"/>
        <w:spacing w:before="119" w:line="278" w:lineRule="auto"/>
        <w:ind w:left="851" w:right="226"/>
        <w:jc w:val="both"/>
        <w:rPr>
          <w:rFonts w:asciiTheme="minorHAnsi" w:hAnsiTheme="minorHAnsi" w:cstheme="minorHAnsi"/>
          <w:i/>
          <w:sz w:val="22"/>
          <w:szCs w:val="22"/>
        </w:rPr>
      </w:pPr>
      <w:r w:rsidRPr="00153204">
        <w:rPr>
          <w:rFonts w:asciiTheme="minorHAnsi" w:hAnsiTheme="minorHAnsi" w:cstheme="minorHAnsi"/>
          <w:i/>
          <w:sz w:val="22"/>
          <w:szCs w:val="22"/>
        </w:rPr>
        <w:tab/>
        <w:t>Provided also that if the Distribution Licensee does not have actual loan, then the</w:t>
      </w:r>
      <w:r w:rsidRPr="00153204">
        <w:rPr>
          <w:rFonts w:asciiTheme="minorHAnsi" w:hAnsiTheme="minorHAnsi" w:cstheme="minorHAnsi"/>
          <w:i/>
          <w:spacing w:val="1"/>
          <w:sz w:val="22"/>
          <w:szCs w:val="22"/>
        </w:rPr>
        <w:t xml:space="preserve"> </w:t>
      </w:r>
      <w:r w:rsidRPr="00153204">
        <w:rPr>
          <w:rFonts w:asciiTheme="minorHAnsi" w:hAnsiTheme="minorHAnsi" w:cstheme="minorHAnsi"/>
          <w:i/>
          <w:sz w:val="22"/>
          <w:szCs w:val="22"/>
        </w:rPr>
        <w:t>weighted average rate of interest of the other business of the Distribution Licensee</w:t>
      </w:r>
      <w:r w:rsidRPr="00153204">
        <w:rPr>
          <w:rFonts w:asciiTheme="minorHAnsi" w:hAnsiTheme="minorHAnsi" w:cstheme="minorHAnsi"/>
          <w:i/>
          <w:spacing w:val="1"/>
          <w:sz w:val="22"/>
          <w:szCs w:val="22"/>
        </w:rPr>
        <w:t xml:space="preserve"> </w:t>
      </w:r>
      <w:r w:rsidRPr="00153204">
        <w:rPr>
          <w:rFonts w:asciiTheme="minorHAnsi" w:hAnsiTheme="minorHAnsi" w:cstheme="minorHAnsi"/>
          <w:i/>
          <w:sz w:val="22"/>
          <w:szCs w:val="22"/>
        </w:rPr>
        <w:t>regulated</w:t>
      </w:r>
      <w:r w:rsidRPr="00153204">
        <w:rPr>
          <w:rFonts w:asciiTheme="minorHAnsi" w:hAnsiTheme="minorHAnsi" w:cstheme="minorHAnsi"/>
          <w:i/>
          <w:spacing w:val="1"/>
          <w:sz w:val="22"/>
          <w:szCs w:val="22"/>
        </w:rPr>
        <w:t xml:space="preserve"> </w:t>
      </w:r>
      <w:r w:rsidRPr="00153204">
        <w:rPr>
          <w:rFonts w:asciiTheme="minorHAnsi" w:hAnsiTheme="minorHAnsi" w:cstheme="minorHAnsi"/>
          <w:i/>
          <w:sz w:val="22"/>
          <w:szCs w:val="22"/>
        </w:rPr>
        <w:t>by</w:t>
      </w:r>
      <w:r w:rsidRPr="00153204">
        <w:rPr>
          <w:rFonts w:asciiTheme="minorHAnsi" w:hAnsiTheme="minorHAnsi" w:cstheme="minorHAnsi"/>
          <w:i/>
          <w:spacing w:val="-7"/>
          <w:sz w:val="22"/>
          <w:szCs w:val="22"/>
        </w:rPr>
        <w:t xml:space="preserve"> </w:t>
      </w:r>
      <w:r w:rsidRPr="00153204">
        <w:rPr>
          <w:rFonts w:asciiTheme="minorHAnsi" w:hAnsiTheme="minorHAnsi" w:cstheme="minorHAnsi"/>
          <w:i/>
          <w:sz w:val="22"/>
          <w:szCs w:val="22"/>
        </w:rPr>
        <w:t>the</w:t>
      </w:r>
      <w:r w:rsidRPr="00153204">
        <w:rPr>
          <w:rFonts w:asciiTheme="minorHAnsi" w:hAnsiTheme="minorHAnsi" w:cstheme="minorHAnsi"/>
          <w:i/>
          <w:spacing w:val="1"/>
          <w:sz w:val="22"/>
          <w:szCs w:val="22"/>
        </w:rPr>
        <w:t xml:space="preserve"> </w:t>
      </w:r>
      <w:r w:rsidRPr="00153204">
        <w:rPr>
          <w:rFonts w:asciiTheme="minorHAnsi" w:hAnsiTheme="minorHAnsi" w:cstheme="minorHAnsi"/>
          <w:i/>
          <w:sz w:val="22"/>
          <w:szCs w:val="22"/>
        </w:rPr>
        <w:t>Commission</w:t>
      </w:r>
      <w:r w:rsidRPr="00153204">
        <w:rPr>
          <w:rFonts w:asciiTheme="minorHAnsi" w:hAnsiTheme="minorHAnsi" w:cstheme="minorHAnsi"/>
          <w:i/>
          <w:spacing w:val="-4"/>
          <w:sz w:val="22"/>
          <w:szCs w:val="22"/>
        </w:rPr>
        <w:t xml:space="preserve"> </w:t>
      </w:r>
      <w:r w:rsidRPr="00153204">
        <w:rPr>
          <w:rFonts w:asciiTheme="minorHAnsi" w:hAnsiTheme="minorHAnsi" w:cstheme="minorHAnsi"/>
          <w:i/>
          <w:sz w:val="22"/>
          <w:szCs w:val="22"/>
        </w:rPr>
        <w:t>shall</w:t>
      </w:r>
      <w:r w:rsidRPr="00153204">
        <w:rPr>
          <w:rFonts w:asciiTheme="minorHAnsi" w:hAnsiTheme="minorHAnsi" w:cstheme="minorHAnsi"/>
          <w:i/>
          <w:spacing w:val="3"/>
          <w:sz w:val="22"/>
          <w:szCs w:val="22"/>
        </w:rPr>
        <w:t xml:space="preserve"> </w:t>
      </w:r>
      <w:r w:rsidRPr="00153204">
        <w:rPr>
          <w:rFonts w:asciiTheme="minorHAnsi" w:hAnsiTheme="minorHAnsi" w:cstheme="minorHAnsi"/>
          <w:i/>
          <w:sz w:val="22"/>
          <w:szCs w:val="22"/>
        </w:rPr>
        <w:t>be</w:t>
      </w:r>
      <w:r w:rsidRPr="00153204">
        <w:rPr>
          <w:rFonts w:asciiTheme="minorHAnsi" w:hAnsiTheme="minorHAnsi" w:cstheme="minorHAnsi"/>
          <w:i/>
          <w:spacing w:val="1"/>
          <w:sz w:val="22"/>
          <w:szCs w:val="22"/>
        </w:rPr>
        <w:t xml:space="preserve"> </w:t>
      </w:r>
      <w:r w:rsidRPr="00153204">
        <w:rPr>
          <w:rFonts w:asciiTheme="minorHAnsi" w:hAnsiTheme="minorHAnsi" w:cstheme="minorHAnsi"/>
          <w:i/>
          <w:sz w:val="22"/>
          <w:szCs w:val="22"/>
        </w:rPr>
        <w:t>considered:</w:t>
      </w:r>
    </w:p>
    <w:p w14:paraId="2B9A7EFF" w14:textId="42088F8B" w:rsidR="00FA268F" w:rsidRPr="00153204" w:rsidRDefault="00FA268F" w:rsidP="00EC1C3C">
      <w:pPr>
        <w:widowControl w:val="0"/>
        <w:tabs>
          <w:tab w:val="left" w:pos="1560"/>
        </w:tabs>
        <w:autoSpaceDE w:val="0"/>
        <w:autoSpaceDN w:val="0"/>
        <w:spacing w:before="120" w:line="278" w:lineRule="auto"/>
        <w:ind w:left="851" w:right="223"/>
        <w:jc w:val="both"/>
        <w:rPr>
          <w:rFonts w:asciiTheme="minorHAnsi" w:hAnsiTheme="minorHAnsi" w:cstheme="minorHAnsi"/>
          <w:i/>
          <w:sz w:val="22"/>
          <w:szCs w:val="22"/>
        </w:rPr>
      </w:pPr>
      <w:r w:rsidRPr="00153204">
        <w:rPr>
          <w:rFonts w:asciiTheme="minorHAnsi" w:hAnsiTheme="minorHAnsi" w:cstheme="minorHAnsi"/>
          <w:i/>
          <w:sz w:val="22"/>
          <w:szCs w:val="22"/>
        </w:rPr>
        <w:tab/>
        <w:t>Provided also that if the Distribution Licensee does not have actual loan, and the other</w:t>
      </w:r>
      <w:r w:rsidRPr="00153204">
        <w:rPr>
          <w:rFonts w:asciiTheme="minorHAnsi" w:hAnsiTheme="minorHAnsi" w:cstheme="minorHAnsi"/>
          <w:i/>
          <w:spacing w:val="-57"/>
          <w:sz w:val="22"/>
          <w:szCs w:val="22"/>
        </w:rPr>
        <w:t xml:space="preserve"> </w:t>
      </w:r>
      <w:r w:rsidRPr="00153204">
        <w:rPr>
          <w:rFonts w:asciiTheme="minorHAnsi" w:hAnsiTheme="minorHAnsi" w:cstheme="minorHAnsi"/>
          <w:i/>
          <w:sz w:val="22"/>
          <w:szCs w:val="22"/>
        </w:rPr>
        <w:t>business of the Distribution Licensee regulated by the Commission also does not have</w:t>
      </w:r>
      <w:r w:rsidRPr="00153204">
        <w:rPr>
          <w:rFonts w:asciiTheme="minorHAnsi" w:hAnsiTheme="minorHAnsi" w:cstheme="minorHAnsi"/>
          <w:i/>
          <w:spacing w:val="-57"/>
          <w:sz w:val="22"/>
          <w:szCs w:val="22"/>
        </w:rPr>
        <w:t xml:space="preserve"> </w:t>
      </w:r>
      <w:r w:rsidRPr="00153204">
        <w:rPr>
          <w:rFonts w:asciiTheme="minorHAnsi" w:hAnsiTheme="minorHAnsi" w:cstheme="minorHAnsi"/>
          <w:i/>
          <w:sz w:val="22"/>
          <w:szCs w:val="22"/>
        </w:rPr>
        <w:t>actual loan, then the weighted average rate of interest of the Distribution Licensee as a</w:t>
      </w:r>
      <w:r w:rsidRPr="00153204">
        <w:rPr>
          <w:rFonts w:asciiTheme="minorHAnsi" w:hAnsiTheme="minorHAnsi" w:cstheme="minorHAnsi"/>
          <w:i/>
          <w:spacing w:val="-57"/>
          <w:sz w:val="22"/>
          <w:szCs w:val="22"/>
        </w:rPr>
        <w:t xml:space="preserve"> </w:t>
      </w:r>
      <w:r w:rsidRPr="00153204">
        <w:rPr>
          <w:rFonts w:asciiTheme="minorHAnsi" w:hAnsiTheme="minorHAnsi" w:cstheme="minorHAnsi"/>
          <w:i/>
          <w:sz w:val="22"/>
          <w:szCs w:val="22"/>
        </w:rPr>
        <w:t>whole shall</w:t>
      </w:r>
      <w:r w:rsidRPr="00153204">
        <w:rPr>
          <w:rFonts w:asciiTheme="minorHAnsi" w:hAnsiTheme="minorHAnsi" w:cstheme="minorHAnsi"/>
          <w:i/>
          <w:spacing w:val="3"/>
          <w:sz w:val="22"/>
          <w:szCs w:val="22"/>
        </w:rPr>
        <w:t xml:space="preserve"> </w:t>
      </w:r>
      <w:r w:rsidRPr="00153204">
        <w:rPr>
          <w:rFonts w:asciiTheme="minorHAnsi" w:hAnsiTheme="minorHAnsi" w:cstheme="minorHAnsi"/>
          <w:i/>
          <w:sz w:val="22"/>
          <w:szCs w:val="22"/>
        </w:rPr>
        <w:t>be</w:t>
      </w:r>
      <w:r w:rsidRPr="00153204">
        <w:rPr>
          <w:rFonts w:asciiTheme="minorHAnsi" w:hAnsiTheme="minorHAnsi" w:cstheme="minorHAnsi"/>
          <w:i/>
          <w:spacing w:val="1"/>
          <w:sz w:val="22"/>
          <w:szCs w:val="22"/>
        </w:rPr>
        <w:t xml:space="preserve"> </w:t>
      </w:r>
      <w:r w:rsidRPr="00153204">
        <w:rPr>
          <w:rFonts w:asciiTheme="minorHAnsi" w:hAnsiTheme="minorHAnsi" w:cstheme="minorHAnsi"/>
          <w:i/>
          <w:sz w:val="22"/>
          <w:szCs w:val="22"/>
        </w:rPr>
        <w:t>considered:</w:t>
      </w:r>
    </w:p>
    <w:p w14:paraId="5D78E256" w14:textId="48DA440C" w:rsidR="00FA268F" w:rsidRPr="00153204" w:rsidRDefault="0066257A" w:rsidP="00EC1C3C">
      <w:pPr>
        <w:widowControl w:val="0"/>
        <w:autoSpaceDE w:val="0"/>
        <w:autoSpaceDN w:val="0"/>
        <w:spacing w:before="66" w:line="295" w:lineRule="auto"/>
        <w:ind w:left="851" w:right="218"/>
        <w:jc w:val="both"/>
        <w:rPr>
          <w:rFonts w:asciiTheme="minorHAnsi" w:hAnsiTheme="minorHAnsi" w:cstheme="minorHAnsi"/>
          <w:i/>
          <w:sz w:val="22"/>
          <w:szCs w:val="22"/>
        </w:rPr>
      </w:pPr>
      <w:r w:rsidRPr="00153204">
        <w:rPr>
          <w:rFonts w:asciiTheme="minorHAnsi" w:hAnsiTheme="minorHAnsi" w:cstheme="minorHAnsi"/>
          <w:i/>
          <w:sz w:val="22"/>
          <w:szCs w:val="22"/>
        </w:rPr>
        <w:t xml:space="preserve"> </w:t>
      </w:r>
      <w:r w:rsidR="00051279" w:rsidRPr="00153204">
        <w:rPr>
          <w:rFonts w:asciiTheme="minorHAnsi" w:hAnsiTheme="minorHAnsi" w:cstheme="minorHAnsi"/>
          <w:i/>
          <w:sz w:val="22"/>
          <w:szCs w:val="22"/>
        </w:rPr>
        <w:t xml:space="preserve"> </w:t>
      </w:r>
      <w:r w:rsidR="00FA268F" w:rsidRPr="00153204">
        <w:rPr>
          <w:rFonts w:asciiTheme="minorHAnsi" w:hAnsiTheme="minorHAnsi" w:cstheme="minorHAnsi"/>
          <w:i/>
          <w:sz w:val="22"/>
          <w:szCs w:val="22"/>
        </w:rPr>
        <w:t>Provided also that if the Distribution Licensee as a whole does not have actual loan,</w:t>
      </w:r>
      <w:r w:rsidR="00FA268F" w:rsidRPr="00153204">
        <w:rPr>
          <w:rFonts w:asciiTheme="minorHAnsi" w:hAnsiTheme="minorHAnsi" w:cstheme="minorHAnsi"/>
          <w:i/>
          <w:spacing w:val="1"/>
          <w:sz w:val="22"/>
          <w:szCs w:val="22"/>
        </w:rPr>
        <w:t xml:space="preserve"> </w:t>
      </w:r>
      <w:r w:rsidR="00FA268F" w:rsidRPr="00153204">
        <w:rPr>
          <w:rFonts w:asciiTheme="minorHAnsi" w:hAnsiTheme="minorHAnsi" w:cstheme="minorHAnsi"/>
          <w:i/>
          <w:sz w:val="22"/>
          <w:szCs w:val="22"/>
        </w:rPr>
        <w:t>then the Base Rate plus 150 basis points at the beginning of the respective year shall</w:t>
      </w:r>
      <w:r w:rsidR="00FA268F" w:rsidRPr="00153204">
        <w:rPr>
          <w:rFonts w:asciiTheme="minorHAnsi" w:hAnsiTheme="minorHAnsi" w:cstheme="minorHAnsi"/>
          <w:i/>
          <w:spacing w:val="1"/>
          <w:sz w:val="22"/>
          <w:szCs w:val="22"/>
        </w:rPr>
        <w:t xml:space="preserve"> </w:t>
      </w:r>
      <w:r w:rsidR="00FA268F" w:rsidRPr="00153204">
        <w:rPr>
          <w:rFonts w:asciiTheme="minorHAnsi" w:hAnsiTheme="minorHAnsi" w:cstheme="minorHAnsi"/>
          <w:i/>
          <w:sz w:val="22"/>
          <w:szCs w:val="22"/>
        </w:rPr>
        <w:t>be considered as the rate of interest for the purpose of allowing the interest on the</w:t>
      </w:r>
      <w:r w:rsidR="00FA268F" w:rsidRPr="00153204">
        <w:rPr>
          <w:rFonts w:asciiTheme="minorHAnsi" w:hAnsiTheme="minorHAnsi" w:cstheme="minorHAnsi"/>
          <w:i/>
          <w:spacing w:val="1"/>
          <w:sz w:val="22"/>
          <w:szCs w:val="22"/>
        </w:rPr>
        <w:t xml:space="preserve"> </w:t>
      </w:r>
      <w:r w:rsidR="00FA268F" w:rsidRPr="00153204">
        <w:rPr>
          <w:rFonts w:asciiTheme="minorHAnsi" w:hAnsiTheme="minorHAnsi" w:cstheme="minorHAnsi"/>
          <w:i/>
          <w:sz w:val="22"/>
          <w:szCs w:val="22"/>
        </w:rPr>
        <w:t>normative</w:t>
      </w:r>
      <w:r w:rsidR="00FA268F" w:rsidRPr="00153204">
        <w:rPr>
          <w:rFonts w:asciiTheme="minorHAnsi" w:hAnsiTheme="minorHAnsi" w:cstheme="minorHAnsi"/>
          <w:i/>
          <w:spacing w:val="5"/>
          <w:sz w:val="22"/>
          <w:szCs w:val="22"/>
        </w:rPr>
        <w:t xml:space="preserve"> </w:t>
      </w:r>
      <w:r w:rsidR="00FA268F" w:rsidRPr="00153204">
        <w:rPr>
          <w:rFonts w:asciiTheme="minorHAnsi" w:hAnsiTheme="minorHAnsi" w:cstheme="minorHAnsi"/>
          <w:i/>
          <w:sz w:val="22"/>
          <w:szCs w:val="22"/>
        </w:rPr>
        <w:t>loan.</w:t>
      </w:r>
    </w:p>
    <w:p w14:paraId="34A03EA6" w14:textId="77777777" w:rsidR="00530F0D" w:rsidRPr="00153204" w:rsidRDefault="00530F0D" w:rsidP="002334A3">
      <w:pPr>
        <w:tabs>
          <w:tab w:val="left" w:pos="1560"/>
        </w:tabs>
        <w:spacing w:line="360" w:lineRule="auto"/>
        <w:ind w:left="567"/>
        <w:rPr>
          <w:rFonts w:asciiTheme="minorHAnsi" w:hAnsiTheme="minorHAnsi" w:cstheme="minorHAnsi"/>
          <w:i/>
          <w:sz w:val="22"/>
          <w:szCs w:val="22"/>
        </w:rPr>
      </w:pPr>
    </w:p>
    <w:p w14:paraId="34A03EAF" w14:textId="4870C29A" w:rsidR="00530F0D" w:rsidRDefault="00530F0D" w:rsidP="002334A3">
      <w:pPr>
        <w:spacing w:line="360" w:lineRule="auto"/>
        <w:ind w:left="567"/>
        <w:jc w:val="both"/>
        <w:rPr>
          <w:rFonts w:asciiTheme="minorHAnsi" w:hAnsiTheme="minorHAnsi" w:cstheme="minorHAnsi"/>
          <w:sz w:val="22"/>
          <w:szCs w:val="22"/>
        </w:rPr>
      </w:pPr>
      <w:r w:rsidRPr="00153204">
        <w:rPr>
          <w:rFonts w:asciiTheme="minorHAnsi" w:hAnsiTheme="minorHAnsi" w:cstheme="minorHAnsi"/>
          <w:sz w:val="22"/>
          <w:szCs w:val="22"/>
        </w:rPr>
        <w:t>The broad terms of loans for cost are extracted from the Term Sheet and provided below.</w:t>
      </w:r>
    </w:p>
    <w:p w14:paraId="28E65B6C" w14:textId="205DDDF6" w:rsidR="00E02343" w:rsidRDefault="00E02343" w:rsidP="002334A3">
      <w:pPr>
        <w:spacing w:line="360" w:lineRule="auto"/>
        <w:ind w:left="567"/>
        <w:jc w:val="both"/>
        <w:rPr>
          <w:rFonts w:asciiTheme="minorHAnsi" w:hAnsiTheme="minorHAnsi" w:cstheme="minorHAnsi"/>
          <w:sz w:val="22"/>
          <w:szCs w:val="22"/>
        </w:rPr>
      </w:pPr>
    </w:p>
    <w:p w14:paraId="4C18F86A" w14:textId="74FED05F" w:rsidR="00AD1819" w:rsidRDefault="00AD1819" w:rsidP="002334A3">
      <w:pPr>
        <w:spacing w:line="360" w:lineRule="auto"/>
        <w:ind w:left="567"/>
        <w:jc w:val="both"/>
        <w:rPr>
          <w:rFonts w:asciiTheme="minorHAnsi" w:hAnsiTheme="minorHAnsi" w:cstheme="minorHAnsi"/>
          <w:sz w:val="22"/>
          <w:szCs w:val="22"/>
        </w:rPr>
      </w:pPr>
    </w:p>
    <w:p w14:paraId="6E8CD2DB" w14:textId="2B820FA0" w:rsidR="00AD1819" w:rsidRDefault="00AD1819" w:rsidP="002334A3">
      <w:pPr>
        <w:spacing w:line="360" w:lineRule="auto"/>
        <w:ind w:left="567"/>
        <w:jc w:val="both"/>
        <w:rPr>
          <w:rFonts w:asciiTheme="minorHAnsi" w:hAnsiTheme="minorHAnsi" w:cstheme="minorHAnsi"/>
          <w:sz w:val="22"/>
          <w:szCs w:val="22"/>
        </w:rPr>
      </w:pPr>
    </w:p>
    <w:p w14:paraId="379E2E8A" w14:textId="4A6C2D90" w:rsidR="00AD1819" w:rsidRDefault="00AD1819" w:rsidP="002334A3">
      <w:pPr>
        <w:spacing w:line="360" w:lineRule="auto"/>
        <w:ind w:left="567"/>
        <w:jc w:val="both"/>
        <w:rPr>
          <w:rFonts w:asciiTheme="minorHAnsi" w:hAnsiTheme="minorHAnsi" w:cstheme="minorHAnsi"/>
          <w:sz w:val="22"/>
          <w:szCs w:val="22"/>
        </w:rPr>
      </w:pPr>
    </w:p>
    <w:p w14:paraId="331CC774" w14:textId="721C7452" w:rsidR="00AD1819" w:rsidRDefault="00AD1819" w:rsidP="002334A3">
      <w:pPr>
        <w:spacing w:line="360" w:lineRule="auto"/>
        <w:ind w:left="567"/>
        <w:jc w:val="both"/>
        <w:rPr>
          <w:rFonts w:asciiTheme="minorHAnsi" w:hAnsiTheme="minorHAnsi" w:cstheme="minorHAnsi"/>
          <w:sz w:val="22"/>
          <w:szCs w:val="22"/>
        </w:rPr>
      </w:pPr>
    </w:p>
    <w:p w14:paraId="48A75D0F" w14:textId="77777777" w:rsidR="00AD1819" w:rsidRPr="00153204" w:rsidRDefault="00AD1819" w:rsidP="002334A3">
      <w:pPr>
        <w:spacing w:line="360" w:lineRule="auto"/>
        <w:ind w:left="567"/>
        <w:jc w:val="both"/>
        <w:rPr>
          <w:rFonts w:asciiTheme="minorHAnsi" w:hAnsiTheme="minorHAnsi" w:cstheme="minorHAnsi"/>
          <w:sz w:val="22"/>
          <w:szCs w:val="22"/>
        </w:rPr>
      </w:pPr>
    </w:p>
    <w:p w14:paraId="01B74E33" w14:textId="2C800FDB" w:rsidR="00C9171B" w:rsidRPr="00E02343" w:rsidRDefault="00E02343" w:rsidP="00E02343">
      <w:pPr>
        <w:spacing w:line="360" w:lineRule="auto"/>
        <w:ind w:left="567"/>
        <w:jc w:val="both"/>
        <w:rPr>
          <w:rFonts w:asciiTheme="minorHAnsi" w:hAnsiTheme="minorHAnsi" w:cstheme="minorHAnsi"/>
          <w:b/>
          <w:bCs/>
          <w:sz w:val="22"/>
          <w:szCs w:val="22"/>
        </w:rPr>
      </w:pPr>
      <w:r>
        <w:rPr>
          <w:rFonts w:asciiTheme="minorHAnsi" w:hAnsiTheme="minorHAnsi" w:cstheme="minorHAnsi"/>
          <w:b/>
          <w:bCs/>
          <w:sz w:val="22"/>
          <w:szCs w:val="22"/>
        </w:rPr>
        <w:t xml:space="preserve">             </w:t>
      </w:r>
      <w:r w:rsidR="00175A8F">
        <w:rPr>
          <w:rFonts w:asciiTheme="minorHAnsi" w:hAnsiTheme="minorHAnsi" w:cstheme="minorHAnsi"/>
          <w:b/>
          <w:bCs/>
          <w:sz w:val="22"/>
          <w:szCs w:val="22"/>
        </w:rPr>
        <w:t xml:space="preserve">                                </w:t>
      </w:r>
      <w:r w:rsidR="00175A8F" w:rsidRPr="00153204">
        <w:rPr>
          <w:rFonts w:asciiTheme="minorHAnsi" w:hAnsiTheme="minorHAnsi" w:cstheme="minorHAnsi"/>
          <w:b/>
          <w:bCs/>
          <w:sz w:val="22"/>
          <w:szCs w:val="22"/>
        </w:rPr>
        <w:t>Table</w:t>
      </w:r>
      <w:r w:rsidR="00AD1819">
        <w:rPr>
          <w:rFonts w:asciiTheme="minorHAnsi" w:hAnsiTheme="minorHAnsi" w:cstheme="minorHAnsi"/>
          <w:b/>
          <w:bCs/>
          <w:sz w:val="22"/>
          <w:szCs w:val="22"/>
        </w:rPr>
        <w:t xml:space="preserve"> -</w:t>
      </w:r>
      <w:r>
        <w:rPr>
          <w:rFonts w:asciiTheme="minorHAnsi" w:hAnsiTheme="minorHAnsi" w:cstheme="minorHAnsi"/>
          <w:b/>
          <w:bCs/>
          <w:sz w:val="22"/>
          <w:szCs w:val="22"/>
        </w:rPr>
        <w:t>3</w:t>
      </w:r>
      <w:r w:rsidR="00AD1819">
        <w:rPr>
          <w:rFonts w:asciiTheme="minorHAnsi" w:hAnsiTheme="minorHAnsi" w:cstheme="minorHAnsi"/>
          <w:b/>
          <w:bCs/>
          <w:sz w:val="22"/>
          <w:szCs w:val="22"/>
        </w:rPr>
        <w:t>2</w:t>
      </w:r>
      <w:r w:rsidR="00175A8F" w:rsidRPr="00153204">
        <w:rPr>
          <w:rFonts w:asciiTheme="minorHAnsi" w:hAnsiTheme="minorHAnsi" w:cstheme="minorHAnsi"/>
          <w:b/>
          <w:bCs/>
          <w:sz w:val="22"/>
          <w:szCs w:val="22"/>
        </w:rPr>
        <w:t xml:space="preserve">:   Interest on </w:t>
      </w:r>
      <w:r w:rsidR="000B359E">
        <w:rPr>
          <w:rFonts w:asciiTheme="minorHAnsi" w:hAnsiTheme="minorHAnsi" w:cstheme="minorHAnsi"/>
          <w:b/>
          <w:bCs/>
          <w:sz w:val="22"/>
          <w:szCs w:val="22"/>
        </w:rPr>
        <w:t>C</w:t>
      </w:r>
      <w:r w:rsidR="00175A8F" w:rsidRPr="00153204">
        <w:rPr>
          <w:rFonts w:asciiTheme="minorHAnsi" w:hAnsiTheme="minorHAnsi" w:cstheme="minorHAnsi"/>
          <w:b/>
          <w:bCs/>
          <w:sz w:val="22"/>
          <w:szCs w:val="22"/>
        </w:rPr>
        <w:t xml:space="preserve">apex </w:t>
      </w:r>
      <w:r w:rsidR="000B359E">
        <w:rPr>
          <w:rFonts w:asciiTheme="minorHAnsi" w:hAnsiTheme="minorHAnsi" w:cstheme="minorHAnsi"/>
          <w:b/>
          <w:bCs/>
          <w:sz w:val="22"/>
          <w:szCs w:val="22"/>
        </w:rPr>
        <w:t>L</w:t>
      </w:r>
      <w:r w:rsidR="00175A8F" w:rsidRPr="00153204">
        <w:rPr>
          <w:rFonts w:asciiTheme="minorHAnsi" w:hAnsiTheme="minorHAnsi" w:cstheme="minorHAnsi"/>
          <w:b/>
          <w:bCs/>
          <w:sz w:val="22"/>
          <w:szCs w:val="22"/>
        </w:rPr>
        <w:t xml:space="preserve">oan                           </w:t>
      </w:r>
      <w:proofErr w:type="gramStart"/>
      <w:r w:rsidR="00175A8F" w:rsidRPr="00153204">
        <w:rPr>
          <w:rFonts w:asciiTheme="minorHAnsi" w:hAnsiTheme="minorHAnsi" w:cstheme="minorHAnsi"/>
          <w:b/>
          <w:bCs/>
          <w:sz w:val="22"/>
          <w:szCs w:val="22"/>
        </w:rPr>
        <w:t xml:space="preserve">   (</w:t>
      </w:r>
      <w:proofErr w:type="gramEnd"/>
      <w:r w:rsidR="00175A8F" w:rsidRPr="00153204">
        <w:rPr>
          <w:rFonts w:asciiTheme="minorHAnsi" w:hAnsiTheme="minorHAnsi" w:cstheme="minorHAnsi"/>
          <w:b/>
          <w:bCs/>
          <w:sz w:val="22"/>
          <w:szCs w:val="22"/>
        </w:rPr>
        <w:t xml:space="preserve">In Rs. </w:t>
      </w:r>
      <w:proofErr w:type="spellStart"/>
      <w:r w:rsidR="00175A8F" w:rsidRPr="00153204">
        <w:rPr>
          <w:rFonts w:asciiTheme="minorHAnsi" w:hAnsiTheme="minorHAnsi" w:cstheme="minorHAnsi"/>
          <w:b/>
          <w:bCs/>
          <w:sz w:val="22"/>
          <w:szCs w:val="22"/>
        </w:rPr>
        <w:t>Crs</w:t>
      </w:r>
      <w:proofErr w:type="spellEnd"/>
      <w:r w:rsidR="00175A8F" w:rsidRPr="00153204">
        <w:rPr>
          <w:rFonts w:asciiTheme="minorHAnsi" w:hAnsiTheme="minorHAnsi" w:cstheme="minorHAnsi"/>
          <w:b/>
          <w:bCs/>
          <w:sz w:val="22"/>
          <w:szCs w:val="22"/>
        </w:rPr>
        <w:t>)</w:t>
      </w:r>
    </w:p>
    <w:tbl>
      <w:tblPr>
        <w:tblW w:w="8458" w:type="dxa"/>
        <w:tblInd w:w="676" w:type="dxa"/>
        <w:tblLook w:val="04A0" w:firstRow="1" w:lastRow="0" w:firstColumn="1" w:lastColumn="0" w:noHBand="0" w:noVBand="1"/>
      </w:tblPr>
      <w:tblGrid>
        <w:gridCol w:w="5336"/>
        <w:gridCol w:w="1654"/>
        <w:gridCol w:w="1468"/>
      </w:tblGrid>
      <w:tr w:rsidR="00AD1819" w:rsidRPr="00AD1819" w14:paraId="2C152DB0" w14:textId="77777777" w:rsidTr="00844104">
        <w:trPr>
          <w:trHeight w:val="260"/>
        </w:trPr>
        <w:tc>
          <w:tcPr>
            <w:tcW w:w="5336" w:type="dxa"/>
            <w:tcBorders>
              <w:top w:val="single" w:sz="4" w:space="0" w:color="auto"/>
              <w:left w:val="single" w:sz="4" w:space="0" w:color="auto"/>
              <w:bottom w:val="single" w:sz="4" w:space="0" w:color="auto"/>
              <w:right w:val="single" w:sz="4" w:space="0" w:color="auto"/>
            </w:tcBorders>
            <w:shd w:val="clear" w:color="auto" w:fill="95B3D7" w:themeFill="accent1" w:themeFillTint="99"/>
            <w:noWrap/>
            <w:hideMark/>
          </w:tcPr>
          <w:p w14:paraId="0A2F13C8" w14:textId="54B547A7" w:rsidR="00AD1819" w:rsidRPr="00AD1819" w:rsidRDefault="00AD1819" w:rsidP="00AD1819">
            <w:pPr>
              <w:jc w:val="center"/>
              <w:rPr>
                <w:rFonts w:asciiTheme="minorHAnsi" w:hAnsiTheme="minorHAnsi" w:cs="Arial"/>
                <w:b/>
                <w:bCs/>
                <w:sz w:val="22"/>
                <w:szCs w:val="22"/>
                <w:lang w:val="en-IN" w:eastAsia="en-IN"/>
              </w:rPr>
            </w:pPr>
            <w:r>
              <w:rPr>
                <w:rFonts w:ascii="Arial" w:hAnsi="Arial" w:cs="Arial"/>
                <w:b/>
                <w:bCs/>
                <w:sz w:val="20"/>
                <w:szCs w:val="20"/>
              </w:rPr>
              <w:t>Particulars</w:t>
            </w:r>
          </w:p>
        </w:tc>
        <w:tc>
          <w:tcPr>
            <w:tcW w:w="1654" w:type="dxa"/>
            <w:tcBorders>
              <w:top w:val="single" w:sz="4" w:space="0" w:color="auto"/>
              <w:left w:val="nil"/>
              <w:bottom w:val="single" w:sz="4" w:space="0" w:color="auto"/>
              <w:right w:val="single" w:sz="4" w:space="0" w:color="auto"/>
            </w:tcBorders>
            <w:shd w:val="clear" w:color="auto" w:fill="95B3D7" w:themeFill="accent1" w:themeFillTint="99"/>
            <w:noWrap/>
            <w:vAlign w:val="bottom"/>
            <w:hideMark/>
          </w:tcPr>
          <w:p w14:paraId="69C5562B" w14:textId="77777777" w:rsidR="00AD1819" w:rsidRDefault="00AD1819" w:rsidP="00AD1819">
            <w:pPr>
              <w:jc w:val="center"/>
              <w:rPr>
                <w:rFonts w:ascii="Arial" w:hAnsi="Arial" w:cs="Arial"/>
                <w:b/>
                <w:bCs/>
                <w:sz w:val="20"/>
                <w:szCs w:val="20"/>
              </w:rPr>
            </w:pPr>
            <w:r>
              <w:rPr>
                <w:rFonts w:ascii="Arial" w:hAnsi="Arial" w:cs="Arial"/>
                <w:b/>
                <w:bCs/>
                <w:sz w:val="20"/>
                <w:szCs w:val="20"/>
              </w:rPr>
              <w:t>FY 2024-25</w:t>
            </w:r>
          </w:p>
          <w:p w14:paraId="4B16A171" w14:textId="5287AD93" w:rsidR="00AD1819" w:rsidRPr="00AD1819" w:rsidRDefault="00AD1819" w:rsidP="00AD1819">
            <w:pPr>
              <w:jc w:val="center"/>
              <w:rPr>
                <w:rFonts w:asciiTheme="minorHAnsi" w:hAnsiTheme="minorHAnsi" w:cs="Arial"/>
                <w:b/>
                <w:bCs/>
                <w:sz w:val="22"/>
                <w:szCs w:val="22"/>
              </w:rPr>
            </w:pPr>
            <w:r>
              <w:rPr>
                <w:rFonts w:ascii="Arial" w:hAnsi="Arial" w:cs="Arial"/>
                <w:b/>
                <w:bCs/>
                <w:sz w:val="20"/>
                <w:szCs w:val="20"/>
              </w:rPr>
              <w:t>(Estimated)</w:t>
            </w:r>
          </w:p>
        </w:tc>
        <w:tc>
          <w:tcPr>
            <w:tcW w:w="1468" w:type="dxa"/>
            <w:tcBorders>
              <w:top w:val="single" w:sz="4" w:space="0" w:color="auto"/>
              <w:left w:val="nil"/>
              <w:bottom w:val="single" w:sz="4" w:space="0" w:color="auto"/>
              <w:right w:val="single" w:sz="4" w:space="0" w:color="auto"/>
            </w:tcBorders>
            <w:shd w:val="clear" w:color="auto" w:fill="95B3D7" w:themeFill="accent1" w:themeFillTint="99"/>
            <w:noWrap/>
            <w:vAlign w:val="bottom"/>
            <w:hideMark/>
          </w:tcPr>
          <w:p w14:paraId="3058F7D3" w14:textId="77777777" w:rsidR="00AD1819" w:rsidRDefault="00AD1819" w:rsidP="00AD1819">
            <w:pPr>
              <w:jc w:val="center"/>
              <w:rPr>
                <w:rFonts w:ascii="Arial" w:hAnsi="Arial" w:cs="Arial"/>
                <w:b/>
                <w:bCs/>
                <w:sz w:val="20"/>
                <w:szCs w:val="20"/>
              </w:rPr>
            </w:pPr>
            <w:r>
              <w:rPr>
                <w:rFonts w:ascii="Arial" w:hAnsi="Arial" w:cs="Arial"/>
                <w:b/>
                <w:bCs/>
                <w:sz w:val="20"/>
                <w:szCs w:val="20"/>
              </w:rPr>
              <w:t>FY 2025-26</w:t>
            </w:r>
          </w:p>
          <w:p w14:paraId="3E3C5853" w14:textId="60281CA3" w:rsidR="00AD1819" w:rsidRPr="00AD1819" w:rsidRDefault="00AD1819" w:rsidP="00AD1819">
            <w:pPr>
              <w:jc w:val="center"/>
              <w:rPr>
                <w:rFonts w:asciiTheme="minorHAnsi" w:hAnsiTheme="minorHAnsi" w:cs="Arial"/>
                <w:b/>
                <w:bCs/>
                <w:sz w:val="22"/>
                <w:szCs w:val="22"/>
              </w:rPr>
            </w:pPr>
            <w:r>
              <w:rPr>
                <w:rFonts w:ascii="Arial" w:hAnsi="Arial" w:cs="Arial"/>
                <w:b/>
                <w:bCs/>
                <w:sz w:val="20"/>
                <w:szCs w:val="20"/>
              </w:rPr>
              <w:t>(Projected)</w:t>
            </w:r>
          </w:p>
        </w:tc>
      </w:tr>
      <w:tr w:rsidR="00C9171B" w:rsidRPr="00AD1819" w14:paraId="35B86411" w14:textId="77777777" w:rsidTr="00C9171B">
        <w:trPr>
          <w:trHeight w:val="260"/>
        </w:trPr>
        <w:tc>
          <w:tcPr>
            <w:tcW w:w="5336" w:type="dxa"/>
            <w:tcBorders>
              <w:top w:val="nil"/>
              <w:left w:val="single" w:sz="4" w:space="0" w:color="auto"/>
              <w:bottom w:val="single" w:sz="4" w:space="0" w:color="auto"/>
              <w:right w:val="single" w:sz="4" w:space="0" w:color="auto"/>
            </w:tcBorders>
            <w:shd w:val="clear" w:color="auto" w:fill="auto"/>
            <w:noWrap/>
            <w:vAlign w:val="bottom"/>
            <w:hideMark/>
          </w:tcPr>
          <w:p w14:paraId="438681FE" w14:textId="77777777" w:rsidR="00C9171B" w:rsidRPr="00AD1819" w:rsidRDefault="00C9171B">
            <w:pPr>
              <w:rPr>
                <w:rFonts w:asciiTheme="minorHAnsi" w:hAnsiTheme="minorHAnsi" w:cs="Arial"/>
                <w:color w:val="000000"/>
                <w:sz w:val="22"/>
                <w:szCs w:val="22"/>
              </w:rPr>
            </w:pPr>
            <w:proofErr w:type="spellStart"/>
            <w:r w:rsidRPr="00AD1819">
              <w:rPr>
                <w:rFonts w:asciiTheme="minorHAnsi" w:hAnsiTheme="minorHAnsi" w:cs="Arial"/>
                <w:color w:val="000000"/>
                <w:sz w:val="22"/>
                <w:szCs w:val="22"/>
              </w:rPr>
              <w:t>Capitalisation</w:t>
            </w:r>
            <w:proofErr w:type="spellEnd"/>
            <w:r w:rsidRPr="00AD1819">
              <w:rPr>
                <w:rFonts w:asciiTheme="minorHAnsi" w:hAnsiTheme="minorHAnsi" w:cs="Arial"/>
                <w:color w:val="000000"/>
                <w:sz w:val="22"/>
                <w:szCs w:val="22"/>
              </w:rPr>
              <w:t xml:space="preserve"> of FA (year-wise)</w:t>
            </w:r>
          </w:p>
        </w:tc>
        <w:tc>
          <w:tcPr>
            <w:tcW w:w="1654" w:type="dxa"/>
            <w:tcBorders>
              <w:top w:val="nil"/>
              <w:left w:val="nil"/>
              <w:bottom w:val="single" w:sz="4" w:space="0" w:color="auto"/>
              <w:right w:val="single" w:sz="4" w:space="0" w:color="auto"/>
            </w:tcBorders>
            <w:shd w:val="clear" w:color="auto" w:fill="auto"/>
            <w:noWrap/>
            <w:vAlign w:val="bottom"/>
            <w:hideMark/>
          </w:tcPr>
          <w:p w14:paraId="1A35CAF0" w14:textId="77777777" w:rsidR="00C9171B" w:rsidRPr="00AD1819" w:rsidRDefault="00C9171B" w:rsidP="00AD1819">
            <w:pPr>
              <w:jc w:val="center"/>
              <w:rPr>
                <w:rFonts w:asciiTheme="minorHAnsi" w:hAnsiTheme="minorHAnsi" w:cs="Arial"/>
                <w:sz w:val="22"/>
                <w:szCs w:val="22"/>
              </w:rPr>
            </w:pPr>
            <w:r w:rsidRPr="00AD1819">
              <w:rPr>
                <w:rFonts w:asciiTheme="minorHAnsi" w:hAnsiTheme="minorHAnsi" w:cs="Arial"/>
                <w:sz w:val="22"/>
                <w:szCs w:val="22"/>
              </w:rPr>
              <w:t>450.36</w:t>
            </w:r>
          </w:p>
        </w:tc>
        <w:tc>
          <w:tcPr>
            <w:tcW w:w="1468" w:type="dxa"/>
            <w:tcBorders>
              <w:top w:val="nil"/>
              <w:left w:val="nil"/>
              <w:bottom w:val="single" w:sz="4" w:space="0" w:color="auto"/>
              <w:right w:val="single" w:sz="4" w:space="0" w:color="auto"/>
            </w:tcBorders>
            <w:shd w:val="clear" w:color="auto" w:fill="auto"/>
            <w:noWrap/>
            <w:vAlign w:val="bottom"/>
            <w:hideMark/>
          </w:tcPr>
          <w:p w14:paraId="1CB70E9D" w14:textId="77777777" w:rsidR="00C9171B" w:rsidRPr="00AD1819" w:rsidRDefault="00C9171B" w:rsidP="00AD1819">
            <w:pPr>
              <w:jc w:val="center"/>
              <w:rPr>
                <w:rFonts w:asciiTheme="minorHAnsi" w:hAnsiTheme="minorHAnsi" w:cs="Arial"/>
                <w:sz w:val="22"/>
                <w:szCs w:val="22"/>
              </w:rPr>
            </w:pPr>
            <w:r w:rsidRPr="00AD1819">
              <w:rPr>
                <w:rFonts w:asciiTheme="minorHAnsi" w:hAnsiTheme="minorHAnsi" w:cs="Arial"/>
                <w:sz w:val="22"/>
                <w:szCs w:val="22"/>
              </w:rPr>
              <w:t>512.23</w:t>
            </w:r>
          </w:p>
        </w:tc>
      </w:tr>
      <w:tr w:rsidR="00C9171B" w:rsidRPr="00AD1819" w14:paraId="001411B3" w14:textId="77777777" w:rsidTr="00C9171B">
        <w:trPr>
          <w:trHeight w:val="260"/>
        </w:trPr>
        <w:tc>
          <w:tcPr>
            <w:tcW w:w="5336" w:type="dxa"/>
            <w:tcBorders>
              <w:top w:val="nil"/>
              <w:left w:val="single" w:sz="4" w:space="0" w:color="auto"/>
              <w:bottom w:val="single" w:sz="4" w:space="0" w:color="auto"/>
              <w:right w:val="single" w:sz="4" w:space="0" w:color="auto"/>
            </w:tcBorders>
            <w:shd w:val="clear" w:color="auto" w:fill="auto"/>
            <w:noWrap/>
            <w:vAlign w:val="bottom"/>
            <w:hideMark/>
          </w:tcPr>
          <w:p w14:paraId="7DE3C181" w14:textId="77777777" w:rsidR="00C9171B" w:rsidRPr="00AD1819" w:rsidRDefault="00C9171B">
            <w:pPr>
              <w:rPr>
                <w:rFonts w:asciiTheme="minorHAnsi" w:hAnsiTheme="minorHAnsi" w:cs="Arial"/>
                <w:color w:val="000000"/>
                <w:sz w:val="22"/>
                <w:szCs w:val="22"/>
              </w:rPr>
            </w:pPr>
            <w:r w:rsidRPr="00AD1819">
              <w:rPr>
                <w:rFonts w:asciiTheme="minorHAnsi" w:hAnsiTheme="minorHAnsi" w:cs="Arial"/>
                <w:color w:val="000000"/>
                <w:sz w:val="22"/>
                <w:szCs w:val="22"/>
              </w:rPr>
              <w:t>Term Loan @ 70%</w:t>
            </w:r>
          </w:p>
        </w:tc>
        <w:tc>
          <w:tcPr>
            <w:tcW w:w="1654" w:type="dxa"/>
            <w:tcBorders>
              <w:top w:val="nil"/>
              <w:left w:val="nil"/>
              <w:bottom w:val="single" w:sz="4" w:space="0" w:color="auto"/>
              <w:right w:val="single" w:sz="4" w:space="0" w:color="auto"/>
            </w:tcBorders>
            <w:shd w:val="clear" w:color="auto" w:fill="auto"/>
            <w:noWrap/>
            <w:vAlign w:val="bottom"/>
            <w:hideMark/>
          </w:tcPr>
          <w:p w14:paraId="25837032" w14:textId="77777777" w:rsidR="00C9171B" w:rsidRPr="00AD1819" w:rsidRDefault="00C9171B" w:rsidP="00AD1819">
            <w:pPr>
              <w:jc w:val="center"/>
              <w:rPr>
                <w:rFonts w:asciiTheme="minorHAnsi" w:hAnsiTheme="minorHAnsi" w:cs="Arial"/>
                <w:sz w:val="22"/>
                <w:szCs w:val="22"/>
              </w:rPr>
            </w:pPr>
            <w:r w:rsidRPr="00AD1819">
              <w:rPr>
                <w:rFonts w:asciiTheme="minorHAnsi" w:hAnsiTheme="minorHAnsi" w:cs="Arial"/>
                <w:sz w:val="22"/>
                <w:szCs w:val="22"/>
              </w:rPr>
              <w:t>315.25</w:t>
            </w:r>
          </w:p>
        </w:tc>
        <w:tc>
          <w:tcPr>
            <w:tcW w:w="1468" w:type="dxa"/>
            <w:tcBorders>
              <w:top w:val="nil"/>
              <w:left w:val="nil"/>
              <w:bottom w:val="single" w:sz="4" w:space="0" w:color="auto"/>
              <w:right w:val="single" w:sz="4" w:space="0" w:color="auto"/>
            </w:tcBorders>
            <w:shd w:val="clear" w:color="auto" w:fill="auto"/>
            <w:noWrap/>
            <w:vAlign w:val="bottom"/>
            <w:hideMark/>
          </w:tcPr>
          <w:p w14:paraId="3E73EB3B" w14:textId="77777777" w:rsidR="00C9171B" w:rsidRPr="00AD1819" w:rsidRDefault="00C9171B" w:rsidP="00AD1819">
            <w:pPr>
              <w:jc w:val="center"/>
              <w:rPr>
                <w:rFonts w:asciiTheme="minorHAnsi" w:hAnsiTheme="minorHAnsi" w:cs="Arial"/>
                <w:sz w:val="22"/>
                <w:szCs w:val="22"/>
              </w:rPr>
            </w:pPr>
            <w:r w:rsidRPr="00AD1819">
              <w:rPr>
                <w:rFonts w:asciiTheme="minorHAnsi" w:hAnsiTheme="minorHAnsi" w:cs="Arial"/>
                <w:sz w:val="22"/>
                <w:szCs w:val="22"/>
              </w:rPr>
              <w:t>358.56</w:t>
            </w:r>
          </w:p>
        </w:tc>
      </w:tr>
      <w:tr w:rsidR="00C9171B" w:rsidRPr="00AD1819" w14:paraId="7EFCE651" w14:textId="77777777" w:rsidTr="00C9171B">
        <w:trPr>
          <w:trHeight w:val="260"/>
        </w:trPr>
        <w:tc>
          <w:tcPr>
            <w:tcW w:w="5336" w:type="dxa"/>
            <w:tcBorders>
              <w:top w:val="nil"/>
              <w:left w:val="single" w:sz="4" w:space="0" w:color="auto"/>
              <w:bottom w:val="single" w:sz="4" w:space="0" w:color="auto"/>
              <w:right w:val="single" w:sz="4" w:space="0" w:color="auto"/>
            </w:tcBorders>
            <w:shd w:val="clear" w:color="auto" w:fill="auto"/>
            <w:noWrap/>
            <w:vAlign w:val="bottom"/>
            <w:hideMark/>
          </w:tcPr>
          <w:p w14:paraId="1CF7BCA6" w14:textId="77777777" w:rsidR="00C9171B" w:rsidRPr="00AD1819" w:rsidRDefault="00C9171B">
            <w:pPr>
              <w:rPr>
                <w:rFonts w:asciiTheme="minorHAnsi" w:hAnsiTheme="minorHAnsi" w:cs="Arial"/>
                <w:color w:val="000000"/>
                <w:sz w:val="22"/>
                <w:szCs w:val="22"/>
              </w:rPr>
            </w:pPr>
            <w:r w:rsidRPr="00AD1819">
              <w:rPr>
                <w:rFonts w:asciiTheme="minorHAnsi" w:hAnsiTheme="minorHAnsi" w:cs="Arial"/>
                <w:color w:val="000000"/>
                <w:sz w:val="22"/>
                <w:szCs w:val="22"/>
              </w:rPr>
              <w:t>Equity @ 30%</w:t>
            </w:r>
          </w:p>
        </w:tc>
        <w:tc>
          <w:tcPr>
            <w:tcW w:w="1654" w:type="dxa"/>
            <w:tcBorders>
              <w:top w:val="nil"/>
              <w:left w:val="nil"/>
              <w:bottom w:val="single" w:sz="4" w:space="0" w:color="auto"/>
              <w:right w:val="single" w:sz="4" w:space="0" w:color="auto"/>
            </w:tcBorders>
            <w:shd w:val="clear" w:color="auto" w:fill="auto"/>
            <w:noWrap/>
            <w:vAlign w:val="bottom"/>
            <w:hideMark/>
          </w:tcPr>
          <w:p w14:paraId="670CDDC2" w14:textId="77777777" w:rsidR="00C9171B" w:rsidRPr="00AD1819" w:rsidRDefault="00C9171B" w:rsidP="00AD1819">
            <w:pPr>
              <w:jc w:val="center"/>
              <w:rPr>
                <w:rFonts w:asciiTheme="minorHAnsi" w:hAnsiTheme="minorHAnsi" w:cs="Arial"/>
                <w:sz w:val="22"/>
                <w:szCs w:val="22"/>
              </w:rPr>
            </w:pPr>
            <w:r w:rsidRPr="00AD1819">
              <w:rPr>
                <w:rFonts w:asciiTheme="minorHAnsi" w:hAnsiTheme="minorHAnsi" w:cs="Arial"/>
                <w:sz w:val="22"/>
                <w:szCs w:val="22"/>
              </w:rPr>
              <w:t>135.11</w:t>
            </w:r>
          </w:p>
        </w:tc>
        <w:tc>
          <w:tcPr>
            <w:tcW w:w="1468" w:type="dxa"/>
            <w:tcBorders>
              <w:top w:val="nil"/>
              <w:left w:val="nil"/>
              <w:bottom w:val="single" w:sz="4" w:space="0" w:color="auto"/>
              <w:right w:val="single" w:sz="4" w:space="0" w:color="auto"/>
            </w:tcBorders>
            <w:shd w:val="clear" w:color="auto" w:fill="auto"/>
            <w:noWrap/>
            <w:vAlign w:val="bottom"/>
            <w:hideMark/>
          </w:tcPr>
          <w:p w14:paraId="73A43E74" w14:textId="77777777" w:rsidR="00C9171B" w:rsidRPr="00AD1819" w:rsidRDefault="00C9171B" w:rsidP="00AD1819">
            <w:pPr>
              <w:jc w:val="center"/>
              <w:rPr>
                <w:rFonts w:asciiTheme="minorHAnsi" w:hAnsiTheme="minorHAnsi" w:cs="Arial"/>
                <w:sz w:val="22"/>
                <w:szCs w:val="22"/>
              </w:rPr>
            </w:pPr>
            <w:r w:rsidRPr="00AD1819">
              <w:rPr>
                <w:rFonts w:asciiTheme="minorHAnsi" w:hAnsiTheme="minorHAnsi" w:cs="Arial"/>
                <w:sz w:val="22"/>
                <w:szCs w:val="22"/>
              </w:rPr>
              <w:t>153.67</w:t>
            </w:r>
          </w:p>
        </w:tc>
      </w:tr>
      <w:tr w:rsidR="00C9171B" w:rsidRPr="00AD1819" w14:paraId="40991978" w14:textId="77777777" w:rsidTr="00C9171B">
        <w:trPr>
          <w:trHeight w:val="260"/>
        </w:trPr>
        <w:tc>
          <w:tcPr>
            <w:tcW w:w="5336" w:type="dxa"/>
            <w:tcBorders>
              <w:top w:val="nil"/>
              <w:left w:val="single" w:sz="4" w:space="0" w:color="auto"/>
              <w:bottom w:val="single" w:sz="4" w:space="0" w:color="auto"/>
              <w:right w:val="single" w:sz="4" w:space="0" w:color="auto"/>
            </w:tcBorders>
            <w:shd w:val="clear" w:color="auto" w:fill="auto"/>
            <w:noWrap/>
            <w:vAlign w:val="bottom"/>
            <w:hideMark/>
          </w:tcPr>
          <w:p w14:paraId="471CAD22" w14:textId="77777777" w:rsidR="00C9171B" w:rsidRPr="00AD1819" w:rsidRDefault="00C9171B">
            <w:pPr>
              <w:rPr>
                <w:rFonts w:asciiTheme="minorHAnsi" w:hAnsiTheme="minorHAnsi" w:cs="Arial"/>
                <w:color w:val="000000"/>
                <w:sz w:val="22"/>
                <w:szCs w:val="22"/>
              </w:rPr>
            </w:pPr>
            <w:r w:rsidRPr="00AD1819">
              <w:rPr>
                <w:rFonts w:asciiTheme="minorHAnsi" w:hAnsiTheme="minorHAnsi" w:cs="Arial"/>
                <w:color w:val="000000"/>
                <w:sz w:val="22"/>
                <w:szCs w:val="22"/>
              </w:rPr>
              <w:t>Op. Loan</w:t>
            </w:r>
          </w:p>
        </w:tc>
        <w:tc>
          <w:tcPr>
            <w:tcW w:w="1654" w:type="dxa"/>
            <w:tcBorders>
              <w:top w:val="nil"/>
              <w:left w:val="nil"/>
              <w:bottom w:val="single" w:sz="4" w:space="0" w:color="auto"/>
              <w:right w:val="single" w:sz="4" w:space="0" w:color="auto"/>
            </w:tcBorders>
            <w:shd w:val="clear" w:color="auto" w:fill="auto"/>
            <w:noWrap/>
            <w:vAlign w:val="bottom"/>
            <w:hideMark/>
          </w:tcPr>
          <w:p w14:paraId="322AC6FF" w14:textId="77777777" w:rsidR="00C9171B" w:rsidRPr="00AD1819" w:rsidRDefault="00C9171B" w:rsidP="00AD1819">
            <w:pPr>
              <w:jc w:val="center"/>
              <w:rPr>
                <w:rFonts w:asciiTheme="minorHAnsi" w:hAnsiTheme="minorHAnsi" w:cs="Arial"/>
                <w:sz w:val="22"/>
                <w:szCs w:val="22"/>
              </w:rPr>
            </w:pPr>
            <w:r w:rsidRPr="00AD1819">
              <w:rPr>
                <w:rFonts w:asciiTheme="minorHAnsi" w:hAnsiTheme="minorHAnsi" w:cs="Arial"/>
                <w:sz w:val="22"/>
                <w:szCs w:val="22"/>
              </w:rPr>
              <w:t>656.68</w:t>
            </w:r>
          </w:p>
        </w:tc>
        <w:tc>
          <w:tcPr>
            <w:tcW w:w="1468" w:type="dxa"/>
            <w:tcBorders>
              <w:top w:val="nil"/>
              <w:left w:val="nil"/>
              <w:bottom w:val="single" w:sz="4" w:space="0" w:color="auto"/>
              <w:right w:val="single" w:sz="4" w:space="0" w:color="auto"/>
            </w:tcBorders>
            <w:shd w:val="clear" w:color="auto" w:fill="auto"/>
            <w:noWrap/>
            <w:vAlign w:val="bottom"/>
            <w:hideMark/>
          </w:tcPr>
          <w:p w14:paraId="2E20EFB7" w14:textId="77777777" w:rsidR="00C9171B" w:rsidRPr="00AD1819" w:rsidRDefault="00C9171B" w:rsidP="00AD1819">
            <w:pPr>
              <w:jc w:val="center"/>
              <w:rPr>
                <w:rFonts w:asciiTheme="minorHAnsi" w:hAnsiTheme="minorHAnsi" w:cs="Arial"/>
                <w:sz w:val="22"/>
                <w:szCs w:val="22"/>
              </w:rPr>
            </w:pPr>
            <w:r w:rsidRPr="00AD1819">
              <w:rPr>
                <w:rFonts w:asciiTheme="minorHAnsi" w:hAnsiTheme="minorHAnsi" w:cs="Arial"/>
                <w:sz w:val="22"/>
                <w:szCs w:val="22"/>
              </w:rPr>
              <w:t>880.40</w:t>
            </w:r>
          </w:p>
        </w:tc>
      </w:tr>
      <w:tr w:rsidR="00C9171B" w:rsidRPr="00AD1819" w14:paraId="0703A789" w14:textId="77777777" w:rsidTr="00C9171B">
        <w:trPr>
          <w:trHeight w:val="260"/>
        </w:trPr>
        <w:tc>
          <w:tcPr>
            <w:tcW w:w="5336" w:type="dxa"/>
            <w:tcBorders>
              <w:top w:val="nil"/>
              <w:left w:val="single" w:sz="4" w:space="0" w:color="auto"/>
              <w:bottom w:val="single" w:sz="4" w:space="0" w:color="auto"/>
              <w:right w:val="single" w:sz="4" w:space="0" w:color="auto"/>
            </w:tcBorders>
            <w:shd w:val="clear" w:color="auto" w:fill="auto"/>
            <w:noWrap/>
            <w:vAlign w:val="bottom"/>
            <w:hideMark/>
          </w:tcPr>
          <w:p w14:paraId="4C72F034" w14:textId="77777777" w:rsidR="00C9171B" w:rsidRPr="00AD1819" w:rsidRDefault="00C9171B">
            <w:pPr>
              <w:rPr>
                <w:rFonts w:asciiTheme="minorHAnsi" w:hAnsiTheme="minorHAnsi" w:cs="Arial"/>
                <w:color w:val="000000"/>
                <w:sz w:val="22"/>
                <w:szCs w:val="22"/>
              </w:rPr>
            </w:pPr>
            <w:r w:rsidRPr="00AD1819">
              <w:rPr>
                <w:rFonts w:asciiTheme="minorHAnsi" w:hAnsiTheme="minorHAnsi" w:cs="Arial"/>
                <w:color w:val="000000"/>
                <w:sz w:val="22"/>
                <w:szCs w:val="22"/>
              </w:rPr>
              <w:t>Additions</w:t>
            </w:r>
          </w:p>
        </w:tc>
        <w:tc>
          <w:tcPr>
            <w:tcW w:w="1654" w:type="dxa"/>
            <w:tcBorders>
              <w:top w:val="nil"/>
              <w:left w:val="nil"/>
              <w:bottom w:val="single" w:sz="4" w:space="0" w:color="auto"/>
              <w:right w:val="single" w:sz="4" w:space="0" w:color="auto"/>
            </w:tcBorders>
            <w:shd w:val="clear" w:color="auto" w:fill="auto"/>
            <w:noWrap/>
            <w:vAlign w:val="bottom"/>
            <w:hideMark/>
          </w:tcPr>
          <w:p w14:paraId="7075CC09" w14:textId="77777777" w:rsidR="00C9171B" w:rsidRPr="00AD1819" w:rsidRDefault="00C9171B" w:rsidP="00AD1819">
            <w:pPr>
              <w:jc w:val="center"/>
              <w:rPr>
                <w:rFonts w:asciiTheme="minorHAnsi" w:hAnsiTheme="minorHAnsi" w:cs="Arial"/>
                <w:sz w:val="22"/>
                <w:szCs w:val="22"/>
              </w:rPr>
            </w:pPr>
            <w:r w:rsidRPr="00AD1819">
              <w:rPr>
                <w:rFonts w:asciiTheme="minorHAnsi" w:hAnsiTheme="minorHAnsi" w:cs="Arial"/>
                <w:sz w:val="22"/>
                <w:szCs w:val="22"/>
              </w:rPr>
              <w:t>315.25</w:t>
            </w:r>
          </w:p>
        </w:tc>
        <w:tc>
          <w:tcPr>
            <w:tcW w:w="1468" w:type="dxa"/>
            <w:tcBorders>
              <w:top w:val="nil"/>
              <w:left w:val="nil"/>
              <w:bottom w:val="single" w:sz="4" w:space="0" w:color="auto"/>
              <w:right w:val="single" w:sz="4" w:space="0" w:color="auto"/>
            </w:tcBorders>
            <w:shd w:val="clear" w:color="auto" w:fill="auto"/>
            <w:noWrap/>
            <w:vAlign w:val="bottom"/>
            <w:hideMark/>
          </w:tcPr>
          <w:p w14:paraId="72216A9B" w14:textId="77777777" w:rsidR="00C9171B" w:rsidRPr="00AD1819" w:rsidRDefault="00C9171B" w:rsidP="00AD1819">
            <w:pPr>
              <w:jc w:val="center"/>
              <w:rPr>
                <w:rFonts w:asciiTheme="minorHAnsi" w:hAnsiTheme="minorHAnsi" w:cs="Arial"/>
                <w:sz w:val="22"/>
                <w:szCs w:val="22"/>
              </w:rPr>
            </w:pPr>
            <w:r w:rsidRPr="00AD1819">
              <w:rPr>
                <w:rFonts w:asciiTheme="minorHAnsi" w:hAnsiTheme="minorHAnsi" w:cs="Arial"/>
                <w:sz w:val="22"/>
                <w:szCs w:val="22"/>
              </w:rPr>
              <w:t>358.56</w:t>
            </w:r>
          </w:p>
        </w:tc>
      </w:tr>
      <w:tr w:rsidR="00C9171B" w:rsidRPr="00AD1819" w14:paraId="387AAB88" w14:textId="77777777" w:rsidTr="00C9171B">
        <w:trPr>
          <w:trHeight w:val="260"/>
        </w:trPr>
        <w:tc>
          <w:tcPr>
            <w:tcW w:w="5336" w:type="dxa"/>
            <w:tcBorders>
              <w:top w:val="nil"/>
              <w:left w:val="single" w:sz="4" w:space="0" w:color="auto"/>
              <w:bottom w:val="single" w:sz="4" w:space="0" w:color="auto"/>
              <w:right w:val="single" w:sz="4" w:space="0" w:color="auto"/>
            </w:tcBorders>
            <w:shd w:val="clear" w:color="auto" w:fill="auto"/>
            <w:noWrap/>
            <w:vAlign w:val="bottom"/>
            <w:hideMark/>
          </w:tcPr>
          <w:p w14:paraId="323EE38D" w14:textId="77777777" w:rsidR="00C9171B" w:rsidRPr="00AD1819" w:rsidRDefault="00C9171B">
            <w:pPr>
              <w:rPr>
                <w:rFonts w:asciiTheme="minorHAnsi" w:hAnsiTheme="minorHAnsi" w:cs="Arial"/>
                <w:color w:val="000000"/>
                <w:sz w:val="22"/>
                <w:szCs w:val="22"/>
              </w:rPr>
            </w:pPr>
            <w:r w:rsidRPr="00AD1819">
              <w:rPr>
                <w:rFonts w:asciiTheme="minorHAnsi" w:hAnsiTheme="minorHAnsi" w:cs="Arial"/>
                <w:color w:val="000000"/>
                <w:sz w:val="22"/>
                <w:szCs w:val="22"/>
              </w:rPr>
              <w:t>Repayment (=Dep)</w:t>
            </w:r>
          </w:p>
        </w:tc>
        <w:tc>
          <w:tcPr>
            <w:tcW w:w="1654" w:type="dxa"/>
            <w:tcBorders>
              <w:top w:val="nil"/>
              <w:left w:val="nil"/>
              <w:bottom w:val="single" w:sz="4" w:space="0" w:color="auto"/>
              <w:right w:val="single" w:sz="4" w:space="0" w:color="auto"/>
            </w:tcBorders>
            <w:shd w:val="clear" w:color="auto" w:fill="auto"/>
            <w:noWrap/>
            <w:vAlign w:val="bottom"/>
            <w:hideMark/>
          </w:tcPr>
          <w:p w14:paraId="31AC5537" w14:textId="77777777" w:rsidR="00C9171B" w:rsidRPr="00AD1819" w:rsidRDefault="00C9171B" w:rsidP="00AD1819">
            <w:pPr>
              <w:jc w:val="center"/>
              <w:rPr>
                <w:rFonts w:asciiTheme="minorHAnsi" w:hAnsiTheme="minorHAnsi" w:cs="Arial"/>
                <w:sz w:val="22"/>
                <w:szCs w:val="22"/>
              </w:rPr>
            </w:pPr>
            <w:r w:rsidRPr="00AD1819">
              <w:rPr>
                <w:rFonts w:asciiTheme="minorHAnsi" w:hAnsiTheme="minorHAnsi" w:cs="Arial"/>
                <w:sz w:val="22"/>
                <w:szCs w:val="22"/>
              </w:rPr>
              <w:t>91.54</w:t>
            </w:r>
          </w:p>
        </w:tc>
        <w:tc>
          <w:tcPr>
            <w:tcW w:w="1468" w:type="dxa"/>
            <w:tcBorders>
              <w:top w:val="nil"/>
              <w:left w:val="nil"/>
              <w:bottom w:val="single" w:sz="4" w:space="0" w:color="auto"/>
              <w:right w:val="single" w:sz="4" w:space="0" w:color="auto"/>
            </w:tcBorders>
            <w:shd w:val="clear" w:color="auto" w:fill="auto"/>
            <w:noWrap/>
            <w:vAlign w:val="bottom"/>
            <w:hideMark/>
          </w:tcPr>
          <w:p w14:paraId="3B4DF347" w14:textId="77777777" w:rsidR="00C9171B" w:rsidRPr="00AD1819" w:rsidRDefault="00C9171B" w:rsidP="00AD1819">
            <w:pPr>
              <w:jc w:val="center"/>
              <w:rPr>
                <w:rFonts w:asciiTheme="minorHAnsi" w:hAnsiTheme="minorHAnsi" w:cs="Arial"/>
                <w:sz w:val="22"/>
                <w:szCs w:val="22"/>
              </w:rPr>
            </w:pPr>
            <w:r w:rsidRPr="00AD1819">
              <w:rPr>
                <w:rFonts w:asciiTheme="minorHAnsi" w:hAnsiTheme="minorHAnsi" w:cs="Arial"/>
                <w:sz w:val="22"/>
                <w:szCs w:val="22"/>
              </w:rPr>
              <w:t>117.65</w:t>
            </w:r>
          </w:p>
        </w:tc>
      </w:tr>
      <w:tr w:rsidR="00C9171B" w:rsidRPr="00AD1819" w14:paraId="0A723058" w14:textId="77777777" w:rsidTr="00C9171B">
        <w:trPr>
          <w:trHeight w:val="260"/>
        </w:trPr>
        <w:tc>
          <w:tcPr>
            <w:tcW w:w="5336" w:type="dxa"/>
            <w:tcBorders>
              <w:top w:val="nil"/>
              <w:left w:val="single" w:sz="4" w:space="0" w:color="auto"/>
              <w:bottom w:val="single" w:sz="4" w:space="0" w:color="auto"/>
              <w:right w:val="single" w:sz="4" w:space="0" w:color="auto"/>
            </w:tcBorders>
            <w:shd w:val="clear" w:color="auto" w:fill="auto"/>
            <w:noWrap/>
            <w:vAlign w:val="bottom"/>
            <w:hideMark/>
          </w:tcPr>
          <w:p w14:paraId="551357D9" w14:textId="77777777" w:rsidR="00C9171B" w:rsidRPr="00AD1819" w:rsidRDefault="00C9171B">
            <w:pPr>
              <w:rPr>
                <w:rFonts w:asciiTheme="minorHAnsi" w:hAnsiTheme="minorHAnsi" w:cs="Arial"/>
                <w:color w:val="000000"/>
                <w:sz w:val="22"/>
                <w:szCs w:val="22"/>
              </w:rPr>
            </w:pPr>
            <w:r w:rsidRPr="00AD1819">
              <w:rPr>
                <w:rFonts w:asciiTheme="minorHAnsi" w:hAnsiTheme="minorHAnsi" w:cs="Arial"/>
                <w:color w:val="000000"/>
                <w:sz w:val="22"/>
                <w:szCs w:val="22"/>
              </w:rPr>
              <w:t>Closing Balance</w:t>
            </w:r>
          </w:p>
        </w:tc>
        <w:tc>
          <w:tcPr>
            <w:tcW w:w="1654" w:type="dxa"/>
            <w:tcBorders>
              <w:top w:val="nil"/>
              <w:left w:val="nil"/>
              <w:bottom w:val="single" w:sz="4" w:space="0" w:color="auto"/>
              <w:right w:val="single" w:sz="4" w:space="0" w:color="auto"/>
            </w:tcBorders>
            <w:shd w:val="clear" w:color="auto" w:fill="auto"/>
            <w:noWrap/>
            <w:vAlign w:val="bottom"/>
            <w:hideMark/>
          </w:tcPr>
          <w:p w14:paraId="621DF8B2" w14:textId="77777777" w:rsidR="00C9171B" w:rsidRPr="00AD1819" w:rsidRDefault="00C9171B" w:rsidP="00AD1819">
            <w:pPr>
              <w:jc w:val="center"/>
              <w:rPr>
                <w:rFonts w:asciiTheme="minorHAnsi" w:hAnsiTheme="minorHAnsi" w:cs="Arial"/>
                <w:sz w:val="22"/>
                <w:szCs w:val="22"/>
              </w:rPr>
            </w:pPr>
            <w:r w:rsidRPr="00AD1819">
              <w:rPr>
                <w:rFonts w:asciiTheme="minorHAnsi" w:hAnsiTheme="minorHAnsi" w:cs="Arial"/>
                <w:sz w:val="22"/>
                <w:szCs w:val="22"/>
              </w:rPr>
              <w:t>880.40</w:t>
            </w:r>
          </w:p>
        </w:tc>
        <w:tc>
          <w:tcPr>
            <w:tcW w:w="1468" w:type="dxa"/>
            <w:tcBorders>
              <w:top w:val="nil"/>
              <w:left w:val="nil"/>
              <w:bottom w:val="single" w:sz="4" w:space="0" w:color="auto"/>
              <w:right w:val="single" w:sz="4" w:space="0" w:color="auto"/>
            </w:tcBorders>
            <w:shd w:val="clear" w:color="auto" w:fill="auto"/>
            <w:noWrap/>
            <w:vAlign w:val="bottom"/>
            <w:hideMark/>
          </w:tcPr>
          <w:p w14:paraId="32DAAED7" w14:textId="77777777" w:rsidR="00C9171B" w:rsidRPr="00AD1819" w:rsidRDefault="00C9171B" w:rsidP="00AD1819">
            <w:pPr>
              <w:jc w:val="center"/>
              <w:rPr>
                <w:rFonts w:asciiTheme="minorHAnsi" w:hAnsiTheme="minorHAnsi" w:cs="Arial"/>
                <w:sz w:val="22"/>
                <w:szCs w:val="22"/>
              </w:rPr>
            </w:pPr>
            <w:r w:rsidRPr="00AD1819">
              <w:rPr>
                <w:rFonts w:asciiTheme="minorHAnsi" w:hAnsiTheme="minorHAnsi" w:cs="Arial"/>
                <w:sz w:val="22"/>
                <w:szCs w:val="22"/>
              </w:rPr>
              <w:t>1121.31</w:t>
            </w:r>
          </w:p>
        </w:tc>
      </w:tr>
      <w:tr w:rsidR="00C9171B" w:rsidRPr="00AD1819" w14:paraId="21EA6809" w14:textId="77777777" w:rsidTr="00C9171B">
        <w:trPr>
          <w:trHeight w:val="260"/>
        </w:trPr>
        <w:tc>
          <w:tcPr>
            <w:tcW w:w="5336" w:type="dxa"/>
            <w:tcBorders>
              <w:top w:val="nil"/>
              <w:left w:val="single" w:sz="4" w:space="0" w:color="auto"/>
              <w:bottom w:val="single" w:sz="4" w:space="0" w:color="auto"/>
              <w:right w:val="single" w:sz="4" w:space="0" w:color="auto"/>
            </w:tcBorders>
            <w:shd w:val="clear" w:color="auto" w:fill="auto"/>
            <w:noWrap/>
            <w:vAlign w:val="bottom"/>
            <w:hideMark/>
          </w:tcPr>
          <w:p w14:paraId="59B56953" w14:textId="77777777" w:rsidR="00C9171B" w:rsidRPr="00AD1819" w:rsidRDefault="00C9171B">
            <w:pPr>
              <w:rPr>
                <w:rFonts w:asciiTheme="minorHAnsi" w:hAnsiTheme="minorHAnsi" w:cs="Arial"/>
                <w:color w:val="000000"/>
                <w:sz w:val="22"/>
                <w:szCs w:val="22"/>
              </w:rPr>
            </w:pPr>
            <w:r w:rsidRPr="00AD1819">
              <w:rPr>
                <w:rFonts w:asciiTheme="minorHAnsi" w:hAnsiTheme="minorHAnsi" w:cs="Arial"/>
                <w:color w:val="000000"/>
                <w:sz w:val="22"/>
                <w:szCs w:val="22"/>
              </w:rPr>
              <w:t>Avg Balance</w:t>
            </w:r>
          </w:p>
        </w:tc>
        <w:tc>
          <w:tcPr>
            <w:tcW w:w="1654" w:type="dxa"/>
            <w:tcBorders>
              <w:top w:val="nil"/>
              <w:left w:val="nil"/>
              <w:bottom w:val="single" w:sz="4" w:space="0" w:color="auto"/>
              <w:right w:val="single" w:sz="4" w:space="0" w:color="auto"/>
            </w:tcBorders>
            <w:shd w:val="clear" w:color="auto" w:fill="auto"/>
            <w:noWrap/>
            <w:vAlign w:val="bottom"/>
            <w:hideMark/>
          </w:tcPr>
          <w:p w14:paraId="1F966853" w14:textId="77777777" w:rsidR="00C9171B" w:rsidRPr="00AD1819" w:rsidRDefault="00C9171B" w:rsidP="00AD1819">
            <w:pPr>
              <w:jc w:val="center"/>
              <w:rPr>
                <w:rFonts w:asciiTheme="minorHAnsi" w:hAnsiTheme="minorHAnsi" w:cs="Arial"/>
                <w:sz w:val="22"/>
                <w:szCs w:val="22"/>
              </w:rPr>
            </w:pPr>
            <w:r w:rsidRPr="00AD1819">
              <w:rPr>
                <w:rFonts w:asciiTheme="minorHAnsi" w:hAnsiTheme="minorHAnsi" w:cs="Arial"/>
                <w:sz w:val="22"/>
                <w:szCs w:val="22"/>
              </w:rPr>
              <w:t>768.54</w:t>
            </w:r>
          </w:p>
        </w:tc>
        <w:tc>
          <w:tcPr>
            <w:tcW w:w="1468" w:type="dxa"/>
            <w:tcBorders>
              <w:top w:val="nil"/>
              <w:left w:val="nil"/>
              <w:bottom w:val="single" w:sz="4" w:space="0" w:color="auto"/>
              <w:right w:val="single" w:sz="4" w:space="0" w:color="auto"/>
            </w:tcBorders>
            <w:shd w:val="clear" w:color="auto" w:fill="auto"/>
            <w:noWrap/>
            <w:vAlign w:val="bottom"/>
            <w:hideMark/>
          </w:tcPr>
          <w:p w14:paraId="682D0374" w14:textId="77777777" w:rsidR="00C9171B" w:rsidRPr="00AD1819" w:rsidRDefault="00C9171B" w:rsidP="00AD1819">
            <w:pPr>
              <w:jc w:val="center"/>
              <w:rPr>
                <w:rFonts w:asciiTheme="minorHAnsi" w:hAnsiTheme="minorHAnsi" w:cs="Arial"/>
                <w:sz w:val="22"/>
                <w:szCs w:val="22"/>
              </w:rPr>
            </w:pPr>
            <w:r w:rsidRPr="00AD1819">
              <w:rPr>
                <w:rFonts w:asciiTheme="minorHAnsi" w:hAnsiTheme="minorHAnsi" w:cs="Arial"/>
                <w:sz w:val="22"/>
                <w:szCs w:val="22"/>
              </w:rPr>
              <w:t>1000.85</w:t>
            </w:r>
          </w:p>
        </w:tc>
      </w:tr>
      <w:tr w:rsidR="00C9171B" w:rsidRPr="00AD1819" w14:paraId="4371714E" w14:textId="77777777" w:rsidTr="00C9171B">
        <w:trPr>
          <w:trHeight w:val="260"/>
        </w:trPr>
        <w:tc>
          <w:tcPr>
            <w:tcW w:w="5336" w:type="dxa"/>
            <w:tcBorders>
              <w:top w:val="nil"/>
              <w:left w:val="single" w:sz="4" w:space="0" w:color="auto"/>
              <w:bottom w:val="single" w:sz="4" w:space="0" w:color="auto"/>
              <w:right w:val="single" w:sz="4" w:space="0" w:color="auto"/>
            </w:tcBorders>
            <w:shd w:val="clear" w:color="auto" w:fill="auto"/>
            <w:noWrap/>
            <w:vAlign w:val="bottom"/>
            <w:hideMark/>
          </w:tcPr>
          <w:p w14:paraId="38A5F484" w14:textId="77777777" w:rsidR="00C9171B" w:rsidRPr="00AD1819" w:rsidRDefault="00C9171B">
            <w:pPr>
              <w:rPr>
                <w:rFonts w:asciiTheme="minorHAnsi" w:hAnsiTheme="minorHAnsi" w:cs="Arial"/>
                <w:color w:val="000000"/>
                <w:sz w:val="22"/>
                <w:szCs w:val="22"/>
              </w:rPr>
            </w:pPr>
            <w:r w:rsidRPr="00AD1819">
              <w:rPr>
                <w:rFonts w:asciiTheme="minorHAnsi" w:hAnsiTheme="minorHAnsi" w:cs="Arial"/>
                <w:color w:val="000000"/>
                <w:sz w:val="22"/>
                <w:szCs w:val="22"/>
              </w:rPr>
              <w:t>Interest Rate</w:t>
            </w:r>
          </w:p>
        </w:tc>
        <w:tc>
          <w:tcPr>
            <w:tcW w:w="1654" w:type="dxa"/>
            <w:tcBorders>
              <w:top w:val="nil"/>
              <w:left w:val="nil"/>
              <w:bottom w:val="single" w:sz="4" w:space="0" w:color="auto"/>
              <w:right w:val="single" w:sz="4" w:space="0" w:color="auto"/>
            </w:tcBorders>
            <w:shd w:val="clear" w:color="auto" w:fill="auto"/>
            <w:noWrap/>
            <w:vAlign w:val="bottom"/>
            <w:hideMark/>
          </w:tcPr>
          <w:p w14:paraId="51A23E39" w14:textId="77777777" w:rsidR="00C9171B" w:rsidRPr="00AD1819" w:rsidRDefault="00C9171B" w:rsidP="00AD1819">
            <w:pPr>
              <w:jc w:val="center"/>
              <w:rPr>
                <w:rFonts w:asciiTheme="minorHAnsi" w:hAnsiTheme="minorHAnsi" w:cs="Arial"/>
                <w:sz w:val="22"/>
                <w:szCs w:val="22"/>
              </w:rPr>
            </w:pPr>
            <w:r w:rsidRPr="00AD1819">
              <w:rPr>
                <w:rFonts w:asciiTheme="minorHAnsi" w:hAnsiTheme="minorHAnsi" w:cs="Arial"/>
                <w:sz w:val="22"/>
                <w:szCs w:val="22"/>
              </w:rPr>
              <w:t>8.50%</w:t>
            </w:r>
          </w:p>
        </w:tc>
        <w:tc>
          <w:tcPr>
            <w:tcW w:w="1468" w:type="dxa"/>
            <w:tcBorders>
              <w:top w:val="nil"/>
              <w:left w:val="nil"/>
              <w:bottom w:val="single" w:sz="4" w:space="0" w:color="auto"/>
              <w:right w:val="single" w:sz="4" w:space="0" w:color="auto"/>
            </w:tcBorders>
            <w:shd w:val="clear" w:color="auto" w:fill="auto"/>
            <w:noWrap/>
            <w:vAlign w:val="bottom"/>
            <w:hideMark/>
          </w:tcPr>
          <w:p w14:paraId="5839FB7B" w14:textId="77777777" w:rsidR="00C9171B" w:rsidRPr="00AD1819" w:rsidRDefault="00C9171B" w:rsidP="00AD1819">
            <w:pPr>
              <w:jc w:val="center"/>
              <w:rPr>
                <w:rFonts w:asciiTheme="minorHAnsi" w:hAnsiTheme="minorHAnsi" w:cs="Arial"/>
                <w:sz w:val="22"/>
                <w:szCs w:val="22"/>
              </w:rPr>
            </w:pPr>
            <w:r w:rsidRPr="00AD1819">
              <w:rPr>
                <w:rFonts w:asciiTheme="minorHAnsi" w:hAnsiTheme="minorHAnsi" w:cs="Arial"/>
                <w:sz w:val="22"/>
                <w:szCs w:val="22"/>
              </w:rPr>
              <w:t>8.50%</w:t>
            </w:r>
          </w:p>
        </w:tc>
      </w:tr>
      <w:tr w:rsidR="00C9171B" w:rsidRPr="00AD1819" w14:paraId="74ADB935" w14:textId="77777777" w:rsidTr="00C9171B">
        <w:trPr>
          <w:trHeight w:val="260"/>
        </w:trPr>
        <w:tc>
          <w:tcPr>
            <w:tcW w:w="5336" w:type="dxa"/>
            <w:tcBorders>
              <w:top w:val="nil"/>
              <w:left w:val="single" w:sz="4" w:space="0" w:color="auto"/>
              <w:bottom w:val="single" w:sz="4" w:space="0" w:color="auto"/>
              <w:right w:val="single" w:sz="4" w:space="0" w:color="auto"/>
            </w:tcBorders>
            <w:shd w:val="clear" w:color="auto" w:fill="auto"/>
            <w:noWrap/>
            <w:vAlign w:val="bottom"/>
            <w:hideMark/>
          </w:tcPr>
          <w:p w14:paraId="72148C15" w14:textId="77777777" w:rsidR="00C9171B" w:rsidRPr="00AD1819" w:rsidRDefault="00C9171B">
            <w:pPr>
              <w:rPr>
                <w:rFonts w:asciiTheme="minorHAnsi" w:hAnsiTheme="minorHAnsi" w:cs="Arial"/>
                <w:color w:val="000000"/>
                <w:sz w:val="22"/>
                <w:szCs w:val="22"/>
              </w:rPr>
            </w:pPr>
            <w:r w:rsidRPr="00AD1819">
              <w:rPr>
                <w:rFonts w:asciiTheme="minorHAnsi" w:hAnsiTheme="minorHAnsi" w:cs="Arial"/>
                <w:color w:val="000000"/>
                <w:sz w:val="22"/>
                <w:szCs w:val="22"/>
              </w:rPr>
              <w:t>Gross Interest</w:t>
            </w:r>
          </w:p>
        </w:tc>
        <w:tc>
          <w:tcPr>
            <w:tcW w:w="1654" w:type="dxa"/>
            <w:tcBorders>
              <w:top w:val="nil"/>
              <w:left w:val="nil"/>
              <w:bottom w:val="single" w:sz="4" w:space="0" w:color="auto"/>
              <w:right w:val="single" w:sz="4" w:space="0" w:color="auto"/>
            </w:tcBorders>
            <w:shd w:val="clear" w:color="auto" w:fill="auto"/>
            <w:noWrap/>
            <w:vAlign w:val="bottom"/>
            <w:hideMark/>
          </w:tcPr>
          <w:p w14:paraId="194EFE2A" w14:textId="77777777" w:rsidR="00C9171B" w:rsidRPr="00AD1819" w:rsidRDefault="00C9171B" w:rsidP="00AD1819">
            <w:pPr>
              <w:jc w:val="center"/>
              <w:rPr>
                <w:rFonts w:asciiTheme="minorHAnsi" w:hAnsiTheme="minorHAnsi" w:cs="Arial"/>
                <w:sz w:val="22"/>
                <w:szCs w:val="22"/>
              </w:rPr>
            </w:pPr>
            <w:r w:rsidRPr="00AD1819">
              <w:rPr>
                <w:rFonts w:asciiTheme="minorHAnsi" w:hAnsiTheme="minorHAnsi" w:cs="Arial"/>
                <w:sz w:val="22"/>
                <w:szCs w:val="22"/>
              </w:rPr>
              <w:t>65.33</w:t>
            </w:r>
          </w:p>
        </w:tc>
        <w:tc>
          <w:tcPr>
            <w:tcW w:w="1468" w:type="dxa"/>
            <w:tcBorders>
              <w:top w:val="nil"/>
              <w:left w:val="nil"/>
              <w:bottom w:val="single" w:sz="4" w:space="0" w:color="auto"/>
              <w:right w:val="single" w:sz="4" w:space="0" w:color="auto"/>
            </w:tcBorders>
            <w:shd w:val="clear" w:color="auto" w:fill="auto"/>
            <w:noWrap/>
            <w:vAlign w:val="bottom"/>
            <w:hideMark/>
          </w:tcPr>
          <w:p w14:paraId="0679408B" w14:textId="77777777" w:rsidR="00C9171B" w:rsidRPr="00AD1819" w:rsidRDefault="00C9171B" w:rsidP="00AD1819">
            <w:pPr>
              <w:jc w:val="center"/>
              <w:rPr>
                <w:rFonts w:asciiTheme="minorHAnsi" w:hAnsiTheme="minorHAnsi" w:cs="Arial"/>
                <w:sz w:val="22"/>
                <w:szCs w:val="22"/>
              </w:rPr>
            </w:pPr>
            <w:r w:rsidRPr="00AD1819">
              <w:rPr>
                <w:rFonts w:asciiTheme="minorHAnsi" w:hAnsiTheme="minorHAnsi" w:cs="Arial"/>
                <w:sz w:val="22"/>
                <w:szCs w:val="22"/>
              </w:rPr>
              <w:t>85.07</w:t>
            </w:r>
          </w:p>
        </w:tc>
      </w:tr>
      <w:tr w:rsidR="00C9171B" w:rsidRPr="00AD1819" w14:paraId="75CA6E2E" w14:textId="77777777" w:rsidTr="00C9171B">
        <w:trPr>
          <w:trHeight w:val="260"/>
        </w:trPr>
        <w:tc>
          <w:tcPr>
            <w:tcW w:w="5336" w:type="dxa"/>
            <w:tcBorders>
              <w:top w:val="nil"/>
              <w:left w:val="single" w:sz="4" w:space="0" w:color="auto"/>
              <w:bottom w:val="single" w:sz="4" w:space="0" w:color="auto"/>
              <w:right w:val="single" w:sz="4" w:space="0" w:color="auto"/>
            </w:tcBorders>
            <w:shd w:val="clear" w:color="auto" w:fill="auto"/>
            <w:noWrap/>
            <w:vAlign w:val="bottom"/>
            <w:hideMark/>
          </w:tcPr>
          <w:p w14:paraId="47A7269B" w14:textId="77777777" w:rsidR="00C9171B" w:rsidRPr="00AD1819" w:rsidRDefault="00C9171B">
            <w:pPr>
              <w:rPr>
                <w:rFonts w:asciiTheme="minorHAnsi" w:hAnsiTheme="minorHAnsi" w:cs="Arial"/>
                <w:color w:val="000000"/>
                <w:sz w:val="22"/>
                <w:szCs w:val="22"/>
              </w:rPr>
            </w:pPr>
            <w:proofErr w:type="gramStart"/>
            <w:r w:rsidRPr="00AD1819">
              <w:rPr>
                <w:rFonts w:asciiTheme="minorHAnsi" w:hAnsiTheme="minorHAnsi" w:cs="Arial"/>
                <w:color w:val="000000"/>
                <w:sz w:val="22"/>
                <w:szCs w:val="22"/>
              </w:rPr>
              <w:t>Less:-</w:t>
            </w:r>
            <w:proofErr w:type="gramEnd"/>
            <w:r w:rsidRPr="00AD1819">
              <w:rPr>
                <w:rFonts w:asciiTheme="minorHAnsi" w:hAnsiTheme="minorHAnsi" w:cs="Arial"/>
                <w:color w:val="000000"/>
                <w:sz w:val="22"/>
                <w:szCs w:val="22"/>
              </w:rPr>
              <w:t>Interest capitalized</w:t>
            </w:r>
          </w:p>
        </w:tc>
        <w:tc>
          <w:tcPr>
            <w:tcW w:w="1654" w:type="dxa"/>
            <w:tcBorders>
              <w:top w:val="nil"/>
              <w:left w:val="nil"/>
              <w:bottom w:val="single" w:sz="4" w:space="0" w:color="auto"/>
              <w:right w:val="single" w:sz="4" w:space="0" w:color="auto"/>
            </w:tcBorders>
            <w:shd w:val="clear" w:color="auto" w:fill="auto"/>
            <w:noWrap/>
            <w:vAlign w:val="bottom"/>
            <w:hideMark/>
          </w:tcPr>
          <w:p w14:paraId="7280E7FD" w14:textId="77777777" w:rsidR="00C9171B" w:rsidRPr="00AD1819" w:rsidRDefault="00C9171B" w:rsidP="00AD1819">
            <w:pPr>
              <w:jc w:val="center"/>
              <w:rPr>
                <w:rFonts w:asciiTheme="minorHAnsi" w:hAnsiTheme="minorHAnsi" w:cs="Arial"/>
                <w:sz w:val="22"/>
                <w:szCs w:val="22"/>
              </w:rPr>
            </w:pPr>
            <w:r w:rsidRPr="00AD1819">
              <w:rPr>
                <w:rFonts w:asciiTheme="minorHAnsi" w:hAnsiTheme="minorHAnsi" w:cs="Arial"/>
                <w:sz w:val="22"/>
                <w:szCs w:val="22"/>
              </w:rPr>
              <w:t>0.24</w:t>
            </w:r>
          </w:p>
        </w:tc>
        <w:tc>
          <w:tcPr>
            <w:tcW w:w="1468" w:type="dxa"/>
            <w:tcBorders>
              <w:top w:val="nil"/>
              <w:left w:val="nil"/>
              <w:bottom w:val="single" w:sz="4" w:space="0" w:color="auto"/>
              <w:right w:val="single" w:sz="4" w:space="0" w:color="auto"/>
            </w:tcBorders>
            <w:shd w:val="clear" w:color="auto" w:fill="auto"/>
            <w:noWrap/>
            <w:vAlign w:val="bottom"/>
            <w:hideMark/>
          </w:tcPr>
          <w:p w14:paraId="5650D363" w14:textId="77777777" w:rsidR="00C9171B" w:rsidRPr="00AD1819" w:rsidRDefault="00C9171B" w:rsidP="00AD1819">
            <w:pPr>
              <w:jc w:val="center"/>
              <w:rPr>
                <w:rFonts w:asciiTheme="minorHAnsi" w:hAnsiTheme="minorHAnsi" w:cs="Arial"/>
                <w:sz w:val="22"/>
                <w:szCs w:val="22"/>
              </w:rPr>
            </w:pPr>
            <w:r w:rsidRPr="00AD1819">
              <w:rPr>
                <w:rFonts w:asciiTheme="minorHAnsi" w:hAnsiTheme="minorHAnsi" w:cs="Arial"/>
                <w:sz w:val="22"/>
                <w:szCs w:val="22"/>
              </w:rPr>
              <w:t>0.30</w:t>
            </w:r>
          </w:p>
        </w:tc>
      </w:tr>
      <w:tr w:rsidR="00C9171B" w:rsidRPr="00AD1819" w14:paraId="34C83DA8" w14:textId="77777777" w:rsidTr="00AD1819">
        <w:trPr>
          <w:trHeight w:val="260"/>
        </w:trPr>
        <w:tc>
          <w:tcPr>
            <w:tcW w:w="5336" w:type="dxa"/>
            <w:tcBorders>
              <w:top w:val="nil"/>
              <w:left w:val="single" w:sz="4" w:space="0" w:color="auto"/>
              <w:bottom w:val="single" w:sz="4" w:space="0" w:color="auto"/>
              <w:right w:val="single" w:sz="4" w:space="0" w:color="auto"/>
            </w:tcBorders>
            <w:shd w:val="clear" w:color="auto" w:fill="95B3D7" w:themeFill="accent1" w:themeFillTint="99"/>
            <w:noWrap/>
            <w:vAlign w:val="bottom"/>
            <w:hideMark/>
          </w:tcPr>
          <w:p w14:paraId="71F1C628" w14:textId="77777777" w:rsidR="00C9171B" w:rsidRPr="00AD1819" w:rsidRDefault="00C9171B">
            <w:pPr>
              <w:rPr>
                <w:rFonts w:asciiTheme="minorHAnsi" w:hAnsiTheme="minorHAnsi" w:cs="Arial"/>
                <w:b/>
                <w:color w:val="000000"/>
                <w:sz w:val="22"/>
                <w:szCs w:val="22"/>
              </w:rPr>
            </w:pPr>
            <w:r w:rsidRPr="00AD1819">
              <w:rPr>
                <w:rFonts w:asciiTheme="minorHAnsi" w:hAnsiTheme="minorHAnsi" w:cs="Arial"/>
                <w:b/>
                <w:color w:val="000000"/>
                <w:sz w:val="22"/>
                <w:szCs w:val="22"/>
              </w:rPr>
              <w:t>Net Interest on TL</w:t>
            </w:r>
          </w:p>
        </w:tc>
        <w:tc>
          <w:tcPr>
            <w:tcW w:w="1654" w:type="dxa"/>
            <w:tcBorders>
              <w:top w:val="nil"/>
              <w:left w:val="nil"/>
              <w:bottom w:val="single" w:sz="4" w:space="0" w:color="auto"/>
              <w:right w:val="single" w:sz="4" w:space="0" w:color="auto"/>
            </w:tcBorders>
            <w:shd w:val="clear" w:color="auto" w:fill="95B3D7" w:themeFill="accent1" w:themeFillTint="99"/>
            <w:noWrap/>
            <w:vAlign w:val="bottom"/>
            <w:hideMark/>
          </w:tcPr>
          <w:p w14:paraId="634BD8A7" w14:textId="77777777" w:rsidR="00C9171B" w:rsidRPr="00AD1819" w:rsidRDefault="00C9171B" w:rsidP="00AD1819">
            <w:pPr>
              <w:jc w:val="center"/>
              <w:rPr>
                <w:rFonts w:asciiTheme="minorHAnsi" w:hAnsiTheme="minorHAnsi" w:cs="Arial"/>
                <w:b/>
                <w:sz w:val="22"/>
                <w:szCs w:val="22"/>
              </w:rPr>
            </w:pPr>
            <w:r w:rsidRPr="00AD1819">
              <w:rPr>
                <w:rFonts w:asciiTheme="minorHAnsi" w:hAnsiTheme="minorHAnsi" w:cs="Arial"/>
                <w:b/>
                <w:sz w:val="22"/>
                <w:szCs w:val="22"/>
              </w:rPr>
              <w:t>65.09</w:t>
            </w:r>
          </w:p>
        </w:tc>
        <w:tc>
          <w:tcPr>
            <w:tcW w:w="1468" w:type="dxa"/>
            <w:tcBorders>
              <w:top w:val="nil"/>
              <w:left w:val="nil"/>
              <w:bottom w:val="single" w:sz="4" w:space="0" w:color="auto"/>
              <w:right w:val="single" w:sz="4" w:space="0" w:color="auto"/>
            </w:tcBorders>
            <w:shd w:val="clear" w:color="auto" w:fill="95B3D7" w:themeFill="accent1" w:themeFillTint="99"/>
            <w:noWrap/>
            <w:vAlign w:val="bottom"/>
            <w:hideMark/>
          </w:tcPr>
          <w:p w14:paraId="6FC35CB3" w14:textId="77777777" w:rsidR="00C9171B" w:rsidRPr="00AD1819" w:rsidRDefault="00C9171B" w:rsidP="00AD1819">
            <w:pPr>
              <w:jc w:val="center"/>
              <w:rPr>
                <w:rFonts w:asciiTheme="minorHAnsi" w:hAnsiTheme="minorHAnsi" w:cs="Arial"/>
                <w:b/>
                <w:sz w:val="22"/>
                <w:szCs w:val="22"/>
              </w:rPr>
            </w:pPr>
            <w:r w:rsidRPr="00AD1819">
              <w:rPr>
                <w:rFonts w:asciiTheme="minorHAnsi" w:hAnsiTheme="minorHAnsi" w:cs="Arial"/>
                <w:b/>
                <w:sz w:val="22"/>
                <w:szCs w:val="22"/>
              </w:rPr>
              <w:t>84.78</w:t>
            </w:r>
          </w:p>
        </w:tc>
      </w:tr>
    </w:tbl>
    <w:p w14:paraId="630D6177" w14:textId="6D2D8515" w:rsidR="00C9171B" w:rsidRDefault="00C9171B" w:rsidP="00E02343">
      <w:pPr>
        <w:spacing w:line="360" w:lineRule="auto"/>
        <w:jc w:val="both"/>
        <w:rPr>
          <w:rFonts w:asciiTheme="minorHAnsi" w:hAnsiTheme="minorHAnsi" w:cstheme="minorHAnsi"/>
          <w:sz w:val="22"/>
          <w:szCs w:val="22"/>
        </w:rPr>
      </w:pPr>
    </w:p>
    <w:p w14:paraId="34A03EDA" w14:textId="52C23EB4" w:rsidR="00530F0D" w:rsidRPr="00996459" w:rsidRDefault="0088472B" w:rsidP="002334A3">
      <w:pPr>
        <w:spacing w:line="360" w:lineRule="auto"/>
        <w:ind w:left="567"/>
        <w:jc w:val="both"/>
        <w:rPr>
          <w:rFonts w:asciiTheme="minorHAnsi" w:hAnsiTheme="minorHAnsi" w:cstheme="minorHAnsi"/>
          <w:b/>
          <w:szCs w:val="22"/>
        </w:rPr>
      </w:pPr>
      <w:r w:rsidRPr="00996459">
        <w:rPr>
          <w:rFonts w:asciiTheme="minorHAnsi" w:hAnsiTheme="minorHAnsi" w:cstheme="minorHAnsi"/>
          <w:b/>
          <w:szCs w:val="22"/>
        </w:rPr>
        <w:t>2.10.</w:t>
      </w:r>
      <w:r w:rsidR="00263480" w:rsidRPr="00996459">
        <w:rPr>
          <w:rFonts w:asciiTheme="minorHAnsi" w:hAnsiTheme="minorHAnsi" w:cstheme="minorHAnsi"/>
          <w:b/>
          <w:szCs w:val="22"/>
        </w:rPr>
        <w:t xml:space="preserve">3 </w:t>
      </w:r>
      <w:r w:rsidR="00BD78A9" w:rsidRPr="00996459">
        <w:rPr>
          <w:rFonts w:asciiTheme="minorHAnsi" w:hAnsiTheme="minorHAnsi" w:cstheme="minorHAnsi"/>
          <w:b/>
          <w:szCs w:val="22"/>
        </w:rPr>
        <w:t>Interest on Working Capital L</w:t>
      </w:r>
      <w:r w:rsidR="00530F0D" w:rsidRPr="00996459">
        <w:rPr>
          <w:rFonts w:asciiTheme="minorHAnsi" w:hAnsiTheme="minorHAnsi" w:cstheme="minorHAnsi"/>
          <w:b/>
          <w:szCs w:val="22"/>
        </w:rPr>
        <w:t>oan</w:t>
      </w:r>
    </w:p>
    <w:p w14:paraId="34A03EDB" w14:textId="6A1D261D" w:rsidR="00530F0D" w:rsidRPr="00153204" w:rsidRDefault="00530F0D" w:rsidP="002334A3">
      <w:pPr>
        <w:spacing w:line="360" w:lineRule="auto"/>
        <w:ind w:left="567"/>
        <w:jc w:val="both"/>
        <w:rPr>
          <w:rFonts w:asciiTheme="minorHAnsi" w:hAnsiTheme="minorHAnsi" w:cstheme="minorHAnsi"/>
          <w:sz w:val="22"/>
          <w:szCs w:val="22"/>
        </w:rPr>
      </w:pPr>
      <w:r w:rsidRPr="00153204">
        <w:rPr>
          <w:rFonts w:asciiTheme="minorHAnsi" w:hAnsiTheme="minorHAnsi" w:cstheme="minorHAnsi"/>
          <w:sz w:val="22"/>
          <w:szCs w:val="22"/>
        </w:rPr>
        <w:t xml:space="preserve">As per the OERC (Terms and conditions for Determination of </w:t>
      </w:r>
      <w:r w:rsidR="003C40B4" w:rsidRPr="00153204">
        <w:rPr>
          <w:rFonts w:asciiTheme="minorHAnsi" w:hAnsiTheme="minorHAnsi" w:cstheme="minorHAnsi"/>
          <w:sz w:val="22"/>
          <w:szCs w:val="22"/>
        </w:rPr>
        <w:t>W</w:t>
      </w:r>
      <w:r w:rsidRPr="00153204">
        <w:rPr>
          <w:rFonts w:asciiTheme="minorHAnsi" w:hAnsiTheme="minorHAnsi" w:cstheme="minorHAnsi"/>
          <w:sz w:val="22"/>
          <w:szCs w:val="22"/>
        </w:rPr>
        <w:t xml:space="preserve">heeling Tariff and Retail Supply </w:t>
      </w:r>
      <w:r w:rsidR="003C40B4" w:rsidRPr="00153204">
        <w:rPr>
          <w:rFonts w:asciiTheme="minorHAnsi" w:hAnsiTheme="minorHAnsi" w:cstheme="minorHAnsi"/>
          <w:sz w:val="22"/>
          <w:szCs w:val="22"/>
        </w:rPr>
        <w:t>T</w:t>
      </w:r>
      <w:r w:rsidRPr="00153204">
        <w:rPr>
          <w:rFonts w:asciiTheme="minorHAnsi" w:hAnsiTheme="minorHAnsi" w:cstheme="minorHAnsi"/>
          <w:sz w:val="22"/>
          <w:szCs w:val="22"/>
        </w:rPr>
        <w:t>ariff</w:t>
      </w:r>
      <w:r w:rsidR="00E57C4F" w:rsidRPr="00153204">
        <w:rPr>
          <w:rFonts w:asciiTheme="minorHAnsi" w:hAnsiTheme="minorHAnsi" w:cstheme="minorHAnsi"/>
          <w:sz w:val="22"/>
          <w:szCs w:val="22"/>
        </w:rPr>
        <w:t>) Regulations</w:t>
      </w:r>
      <w:r w:rsidRPr="00153204">
        <w:rPr>
          <w:rFonts w:asciiTheme="minorHAnsi" w:hAnsiTheme="minorHAnsi" w:cstheme="minorHAnsi"/>
          <w:sz w:val="22"/>
          <w:szCs w:val="22"/>
        </w:rPr>
        <w:t>,</w:t>
      </w:r>
      <w:r w:rsidR="00354AA1" w:rsidRPr="00153204">
        <w:rPr>
          <w:rFonts w:asciiTheme="minorHAnsi" w:hAnsiTheme="minorHAnsi" w:cstheme="minorHAnsi"/>
          <w:sz w:val="22"/>
          <w:szCs w:val="22"/>
        </w:rPr>
        <w:t xml:space="preserve"> </w:t>
      </w:r>
      <w:r w:rsidRPr="00153204">
        <w:rPr>
          <w:rFonts w:asciiTheme="minorHAnsi" w:hAnsiTheme="minorHAnsi" w:cstheme="minorHAnsi"/>
          <w:sz w:val="22"/>
          <w:szCs w:val="22"/>
        </w:rPr>
        <w:t>20</w:t>
      </w:r>
      <w:r w:rsidR="003C40B4" w:rsidRPr="00153204">
        <w:rPr>
          <w:rFonts w:asciiTheme="minorHAnsi" w:hAnsiTheme="minorHAnsi" w:cstheme="minorHAnsi"/>
          <w:sz w:val="22"/>
          <w:szCs w:val="22"/>
        </w:rPr>
        <w:t>22</w:t>
      </w:r>
      <w:r w:rsidRPr="00153204">
        <w:rPr>
          <w:rFonts w:asciiTheme="minorHAnsi" w:hAnsiTheme="minorHAnsi" w:cstheme="minorHAnsi"/>
          <w:sz w:val="22"/>
          <w:szCs w:val="22"/>
        </w:rPr>
        <w:t>,</w:t>
      </w:r>
      <w:r w:rsidR="00354AA1" w:rsidRPr="00153204">
        <w:rPr>
          <w:rFonts w:asciiTheme="minorHAnsi" w:hAnsiTheme="minorHAnsi" w:cstheme="minorHAnsi"/>
          <w:sz w:val="22"/>
          <w:szCs w:val="22"/>
        </w:rPr>
        <w:t xml:space="preserve"> </w:t>
      </w:r>
      <w:r w:rsidRPr="00153204">
        <w:rPr>
          <w:rFonts w:asciiTheme="minorHAnsi" w:hAnsiTheme="minorHAnsi" w:cstheme="minorHAnsi"/>
          <w:sz w:val="22"/>
          <w:szCs w:val="22"/>
        </w:rPr>
        <w:t>Interest on working capital shall be allowed as follows.</w:t>
      </w:r>
    </w:p>
    <w:p w14:paraId="3D3EBFB2" w14:textId="53DDF8DB" w:rsidR="00051279" w:rsidRPr="00153204" w:rsidRDefault="00051279" w:rsidP="002334A3">
      <w:pPr>
        <w:widowControl w:val="0"/>
        <w:tabs>
          <w:tab w:val="left" w:pos="940"/>
        </w:tabs>
        <w:autoSpaceDE w:val="0"/>
        <w:autoSpaceDN w:val="0"/>
        <w:spacing w:before="124"/>
        <w:ind w:left="940"/>
        <w:jc w:val="both"/>
        <w:outlineLvl w:val="1"/>
        <w:rPr>
          <w:rFonts w:asciiTheme="minorHAnsi" w:hAnsiTheme="minorHAnsi" w:cstheme="minorHAnsi"/>
          <w:b/>
          <w:bCs/>
          <w:i/>
          <w:sz w:val="22"/>
          <w:szCs w:val="22"/>
        </w:rPr>
      </w:pPr>
      <w:r w:rsidRPr="00153204">
        <w:rPr>
          <w:rFonts w:asciiTheme="minorHAnsi" w:hAnsiTheme="minorHAnsi" w:cstheme="minorHAnsi"/>
          <w:b/>
          <w:bCs/>
          <w:i/>
          <w:sz w:val="22"/>
          <w:szCs w:val="22"/>
        </w:rPr>
        <w:t>“ 3.10. Interest</w:t>
      </w:r>
      <w:r w:rsidRPr="00153204">
        <w:rPr>
          <w:rFonts w:asciiTheme="minorHAnsi" w:hAnsiTheme="minorHAnsi" w:cstheme="minorHAnsi"/>
          <w:b/>
          <w:bCs/>
          <w:i/>
          <w:spacing w:val="-4"/>
          <w:sz w:val="22"/>
          <w:szCs w:val="22"/>
        </w:rPr>
        <w:t xml:space="preserve"> </w:t>
      </w:r>
      <w:r w:rsidRPr="00153204">
        <w:rPr>
          <w:rFonts w:asciiTheme="minorHAnsi" w:hAnsiTheme="minorHAnsi" w:cstheme="minorHAnsi"/>
          <w:b/>
          <w:bCs/>
          <w:i/>
          <w:sz w:val="22"/>
          <w:szCs w:val="22"/>
        </w:rPr>
        <w:t>on</w:t>
      </w:r>
      <w:r w:rsidRPr="00153204">
        <w:rPr>
          <w:rFonts w:asciiTheme="minorHAnsi" w:hAnsiTheme="minorHAnsi" w:cstheme="minorHAnsi"/>
          <w:b/>
          <w:bCs/>
          <w:i/>
          <w:spacing w:val="-7"/>
          <w:sz w:val="22"/>
          <w:szCs w:val="22"/>
        </w:rPr>
        <w:t xml:space="preserve"> </w:t>
      </w:r>
      <w:r w:rsidRPr="00153204">
        <w:rPr>
          <w:rFonts w:asciiTheme="minorHAnsi" w:hAnsiTheme="minorHAnsi" w:cstheme="minorHAnsi"/>
          <w:b/>
          <w:bCs/>
          <w:i/>
          <w:sz w:val="22"/>
          <w:szCs w:val="22"/>
        </w:rPr>
        <w:t>Working</w:t>
      </w:r>
      <w:r w:rsidRPr="00153204">
        <w:rPr>
          <w:rFonts w:asciiTheme="minorHAnsi" w:hAnsiTheme="minorHAnsi" w:cstheme="minorHAnsi"/>
          <w:b/>
          <w:bCs/>
          <w:i/>
          <w:spacing w:val="-3"/>
          <w:sz w:val="22"/>
          <w:szCs w:val="22"/>
        </w:rPr>
        <w:t xml:space="preserve"> </w:t>
      </w:r>
      <w:r w:rsidRPr="00153204">
        <w:rPr>
          <w:rFonts w:asciiTheme="minorHAnsi" w:hAnsiTheme="minorHAnsi" w:cstheme="minorHAnsi"/>
          <w:b/>
          <w:bCs/>
          <w:i/>
          <w:sz w:val="22"/>
          <w:szCs w:val="22"/>
        </w:rPr>
        <w:t>Capital</w:t>
      </w:r>
    </w:p>
    <w:p w14:paraId="2B4CEADA" w14:textId="77777777" w:rsidR="00051279" w:rsidRPr="00153204" w:rsidRDefault="00051279" w:rsidP="002334A3">
      <w:pPr>
        <w:widowControl w:val="0"/>
        <w:autoSpaceDE w:val="0"/>
        <w:autoSpaceDN w:val="0"/>
        <w:spacing w:before="5"/>
        <w:rPr>
          <w:rFonts w:asciiTheme="minorHAnsi" w:hAnsiTheme="minorHAnsi" w:cstheme="minorHAnsi"/>
          <w:b/>
          <w:i/>
          <w:sz w:val="22"/>
          <w:szCs w:val="22"/>
        </w:rPr>
      </w:pPr>
    </w:p>
    <w:p w14:paraId="40DA8935" w14:textId="4BB2DF99" w:rsidR="00051279" w:rsidRPr="00153204" w:rsidRDefault="00051279" w:rsidP="00AB536C">
      <w:pPr>
        <w:pStyle w:val="ListParagraph"/>
        <w:widowControl w:val="0"/>
        <w:numPr>
          <w:ilvl w:val="2"/>
          <w:numId w:val="14"/>
        </w:numPr>
        <w:tabs>
          <w:tab w:val="left" w:pos="1636"/>
        </w:tabs>
        <w:autoSpaceDE w:val="0"/>
        <w:autoSpaceDN w:val="0"/>
        <w:ind w:left="993" w:right="227" w:firstLine="0"/>
        <w:jc w:val="both"/>
        <w:rPr>
          <w:rFonts w:asciiTheme="minorHAnsi" w:hAnsiTheme="minorHAnsi" w:cstheme="minorHAnsi"/>
          <w:i/>
        </w:rPr>
      </w:pPr>
      <w:r w:rsidRPr="00153204">
        <w:rPr>
          <w:rFonts w:asciiTheme="minorHAnsi" w:hAnsiTheme="minorHAnsi" w:cstheme="minorHAnsi"/>
          <w:i/>
        </w:rPr>
        <w:t>The Distribution Licensee shall be allowed interest on the estimated level of working</w:t>
      </w:r>
      <w:r w:rsidRPr="00153204">
        <w:rPr>
          <w:rFonts w:asciiTheme="minorHAnsi" w:hAnsiTheme="minorHAnsi" w:cstheme="minorHAnsi"/>
          <w:i/>
          <w:spacing w:val="1"/>
        </w:rPr>
        <w:t xml:space="preserve"> </w:t>
      </w:r>
      <w:r w:rsidRPr="00153204">
        <w:rPr>
          <w:rFonts w:asciiTheme="minorHAnsi" w:hAnsiTheme="minorHAnsi" w:cstheme="minorHAnsi"/>
          <w:i/>
        </w:rPr>
        <w:t>capital for</w:t>
      </w:r>
      <w:r w:rsidRPr="00153204">
        <w:rPr>
          <w:rFonts w:asciiTheme="minorHAnsi" w:hAnsiTheme="minorHAnsi" w:cstheme="minorHAnsi"/>
          <w:i/>
          <w:spacing w:val="1"/>
        </w:rPr>
        <w:t xml:space="preserve"> </w:t>
      </w:r>
      <w:r w:rsidRPr="00153204">
        <w:rPr>
          <w:rFonts w:asciiTheme="minorHAnsi" w:hAnsiTheme="minorHAnsi" w:cstheme="minorHAnsi"/>
          <w:i/>
        </w:rPr>
        <w:t>the</w:t>
      </w:r>
      <w:r w:rsidRPr="00153204">
        <w:rPr>
          <w:rFonts w:asciiTheme="minorHAnsi" w:hAnsiTheme="minorHAnsi" w:cstheme="minorHAnsi"/>
          <w:i/>
          <w:spacing w:val="1"/>
        </w:rPr>
        <w:t xml:space="preserve"> </w:t>
      </w:r>
      <w:r w:rsidRPr="00153204">
        <w:rPr>
          <w:rFonts w:asciiTheme="minorHAnsi" w:hAnsiTheme="minorHAnsi" w:cstheme="minorHAnsi"/>
          <w:i/>
        </w:rPr>
        <w:t>Wheeling</w:t>
      </w:r>
      <w:r w:rsidRPr="00153204">
        <w:rPr>
          <w:rFonts w:asciiTheme="minorHAnsi" w:hAnsiTheme="minorHAnsi" w:cstheme="minorHAnsi"/>
          <w:i/>
          <w:spacing w:val="1"/>
        </w:rPr>
        <w:t xml:space="preserve"> </w:t>
      </w:r>
      <w:r w:rsidRPr="00153204">
        <w:rPr>
          <w:rFonts w:asciiTheme="minorHAnsi" w:hAnsiTheme="minorHAnsi" w:cstheme="minorHAnsi"/>
          <w:i/>
        </w:rPr>
        <w:t>and</w:t>
      </w:r>
      <w:r w:rsidRPr="00153204">
        <w:rPr>
          <w:rFonts w:asciiTheme="minorHAnsi" w:hAnsiTheme="minorHAnsi" w:cstheme="minorHAnsi"/>
          <w:i/>
          <w:spacing w:val="1"/>
        </w:rPr>
        <w:t xml:space="preserve"> </w:t>
      </w:r>
      <w:r w:rsidRPr="00153204">
        <w:rPr>
          <w:rFonts w:asciiTheme="minorHAnsi" w:hAnsiTheme="minorHAnsi" w:cstheme="minorHAnsi"/>
          <w:i/>
        </w:rPr>
        <w:t>Retail</w:t>
      </w:r>
      <w:r w:rsidRPr="00153204">
        <w:rPr>
          <w:rFonts w:asciiTheme="minorHAnsi" w:hAnsiTheme="minorHAnsi" w:cstheme="minorHAnsi"/>
          <w:i/>
          <w:spacing w:val="1"/>
        </w:rPr>
        <w:t xml:space="preserve"> </w:t>
      </w:r>
      <w:r w:rsidRPr="00153204">
        <w:rPr>
          <w:rFonts w:asciiTheme="minorHAnsi" w:hAnsiTheme="minorHAnsi" w:cstheme="minorHAnsi"/>
          <w:i/>
        </w:rPr>
        <w:t>supply business</w:t>
      </w:r>
      <w:r w:rsidRPr="00153204">
        <w:rPr>
          <w:rFonts w:asciiTheme="minorHAnsi" w:hAnsiTheme="minorHAnsi" w:cstheme="minorHAnsi"/>
          <w:i/>
          <w:spacing w:val="1"/>
        </w:rPr>
        <w:t xml:space="preserve"> </w:t>
      </w:r>
      <w:r w:rsidRPr="00153204">
        <w:rPr>
          <w:rFonts w:asciiTheme="minorHAnsi" w:hAnsiTheme="minorHAnsi" w:cstheme="minorHAnsi"/>
          <w:i/>
        </w:rPr>
        <w:t>for</w:t>
      </w:r>
      <w:r w:rsidRPr="00153204">
        <w:rPr>
          <w:rFonts w:asciiTheme="minorHAnsi" w:hAnsiTheme="minorHAnsi" w:cstheme="minorHAnsi"/>
          <w:i/>
          <w:spacing w:val="1"/>
        </w:rPr>
        <w:t xml:space="preserve"> </w:t>
      </w:r>
      <w:r w:rsidRPr="00153204">
        <w:rPr>
          <w:rFonts w:asciiTheme="minorHAnsi" w:hAnsiTheme="minorHAnsi" w:cstheme="minorHAnsi"/>
          <w:i/>
        </w:rPr>
        <w:t>the</w:t>
      </w:r>
      <w:r w:rsidRPr="00153204">
        <w:rPr>
          <w:rFonts w:asciiTheme="minorHAnsi" w:hAnsiTheme="minorHAnsi" w:cstheme="minorHAnsi"/>
          <w:i/>
          <w:spacing w:val="1"/>
        </w:rPr>
        <w:t xml:space="preserve"> </w:t>
      </w:r>
      <w:r w:rsidRPr="00153204">
        <w:rPr>
          <w:rFonts w:asciiTheme="minorHAnsi" w:hAnsiTheme="minorHAnsi" w:cstheme="minorHAnsi"/>
          <w:i/>
        </w:rPr>
        <w:t>Financial Year.</w:t>
      </w:r>
      <w:r w:rsidRPr="00153204">
        <w:rPr>
          <w:rFonts w:asciiTheme="minorHAnsi" w:hAnsiTheme="minorHAnsi" w:cstheme="minorHAnsi"/>
          <w:i/>
          <w:spacing w:val="1"/>
        </w:rPr>
        <w:t xml:space="preserve"> </w:t>
      </w:r>
      <w:r w:rsidRPr="00153204">
        <w:rPr>
          <w:rFonts w:asciiTheme="minorHAnsi" w:hAnsiTheme="minorHAnsi" w:cstheme="minorHAnsi"/>
          <w:i/>
        </w:rPr>
        <w:t>The</w:t>
      </w:r>
      <w:r w:rsidRPr="00153204">
        <w:rPr>
          <w:rFonts w:asciiTheme="minorHAnsi" w:hAnsiTheme="minorHAnsi" w:cstheme="minorHAnsi"/>
          <w:i/>
          <w:spacing w:val="1"/>
        </w:rPr>
        <w:t xml:space="preserve"> </w:t>
      </w:r>
      <w:r w:rsidRPr="00153204">
        <w:rPr>
          <w:rFonts w:asciiTheme="minorHAnsi" w:hAnsiTheme="minorHAnsi" w:cstheme="minorHAnsi"/>
          <w:i/>
        </w:rPr>
        <w:t>working capital</w:t>
      </w:r>
      <w:r w:rsidRPr="00153204">
        <w:rPr>
          <w:rFonts w:asciiTheme="minorHAnsi" w:hAnsiTheme="minorHAnsi" w:cstheme="minorHAnsi"/>
          <w:i/>
          <w:spacing w:val="-4"/>
        </w:rPr>
        <w:t xml:space="preserve"> </w:t>
      </w:r>
      <w:r w:rsidRPr="00153204">
        <w:rPr>
          <w:rFonts w:asciiTheme="minorHAnsi" w:hAnsiTheme="minorHAnsi" w:cstheme="minorHAnsi"/>
          <w:i/>
        </w:rPr>
        <w:t>for</w:t>
      </w:r>
      <w:r w:rsidRPr="00153204">
        <w:rPr>
          <w:rFonts w:asciiTheme="minorHAnsi" w:hAnsiTheme="minorHAnsi" w:cstheme="minorHAnsi"/>
          <w:i/>
          <w:spacing w:val="2"/>
        </w:rPr>
        <w:t xml:space="preserve"> </w:t>
      </w:r>
      <w:r w:rsidRPr="00153204">
        <w:rPr>
          <w:rFonts w:asciiTheme="minorHAnsi" w:hAnsiTheme="minorHAnsi" w:cstheme="minorHAnsi"/>
          <w:i/>
        </w:rPr>
        <w:t>the purpose</w:t>
      </w:r>
      <w:r w:rsidRPr="00153204">
        <w:rPr>
          <w:rFonts w:asciiTheme="minorHAnsi" w:hAnsiTheme="minorHAnsi" w:cstheme="minorHAnsi"/>
          <w:i/>
          <w:spacing w:val="-5"/>
        </w:rPr>
        <w:t xml:space="preserve"> </w:t>
      </w:r>
      <w:r w:rsidRPr="00153204">
        <w:rPr>
          <w:rFonts w:asciiTheme="minorHAnsi" w:hAnsiTheme="minorHAnsi" w:cstheme="minorHAnsi"/>
          <w:i/>
        </w:rPr>
        <w:t>of</w:t>
      </w:r>
      <w:r w:rsidRPr="00153204">
        <w:rPr>
          <w:rFonts w:asciiTheme="minorHAnsi" w:hAnsiTheme="minorHAnsi" w:cstheme="minorHAnsi"/>
          <w:i/>
          <w:spacing w:val="-7"/>
        </w:rPr>
        <w:t xml:space="preserve"> </w:t>
      </w:r>
      <w:r w:rsidRPr="00153204">
        <w:rPr>
          <w:rFonts w:asciiTheme="minorHAnsi" w:hAnsiTheme="minorHAnsi" w:cstheme="minorHAnsi"/>
          <w:i/>
        </w:rPr>
        <w:t>ARR</w:t>
      </w:r>
      <w:r w:rsidRPr="00153204">
        <w:rPr>
          <w:rFonts w:asciiTheme="minorHAnsi" w:hAnsiTheme="minorHAnsi" w:cstheme="minorHAnsi"/>
          <w:i/>
          <w:spacing w:val="-2"/>
        </w:rPr>
        <w:t xml:space="preserve"> </w:t>
      </w:r>
      <w:r w:rsidRPr="00153204">
        <w:rPr>
          <w:rFonts w:asciiTheme="minorHAnsi" w:hAnsiTheme="minorHAnsi" w:cstheme="minorHAnsi"/>
          <w:i/>
        </w:rPr>
        <w:t>calculation</w:t>
      </w:r>
      <w:r w:rsidRPr="00153204">
        <w:rPr>
          <w:rFonts w:asciiTheme="minorHAnsi" w:hAnsiTheme="minorHAnsi" w:cstheme="minorHAnsi"/>
          <w:i/>
          <w:spacing w:val="-5"/>
        </w:rPr>
        <w:t xml:space="preserve"> </w:t>
      </w:r>
      <w:r w:rsidRPr="00153204">
        <w:rPr>
          <w:rFonts w:asciiTheme="minorHAnsi" w:hAnsiTheme="minorHAnsi" w:cstheme="minorHAnsi"/>
          <w:i/>
        </w:rPr>
        <w:t>shall</w:t>
      </w:r>
      <w:r w:rsidRPr="00153204">
        <w:rPr>
          <w:rFonts w:asciiTheme="minorHAnsi" w:hAnsiTheme="minorHAnsi" w:cstheme="minorHAnsi"/>
          <w:i/>
          <w:spacing w:val="-3"/>
        </w:rPr>
        <w:t xml:space="preserve"> </w:t>
      </w:r>
      <w:r w:rsidRPr="00153204">
        <w:rPr>
          <w:rFonts w:asciiTheme="minorHAnsi" w:hAnsiTheme="minorHAnsi" w:cstheme="minorHAnsi"/>
          <w:i/>
        </w:rPr>
        <w:t>be</w:t>
      </w:r>
      <w:r w:rsidRPr="00153204">
        <w:rPr>
          <w:rFonts w:asciiTheme="minorHAnsi" w:hAnsiTheme="minorHAnsi" w:cstheme="minorHAnsi"/>
          <w:i/>
          <w:spacing w:val="-1"/>
        </w:rPr>
        <w:t xml:space="preserve"> </w:t>
      </w:r>
      <w:r w:rsidRPr="00153204">
        <w:rPr>
          <w:rFonts w:asciiTheme="minorHAnsi" w:hAnsiTheme="minorHAnsi" w:cstheme="minorHAnsi"/>
          <w:i/>
        </w:rPr>
        <w:t>computed as</w:t>
      </w:r>
      <w:r w:rsidRPr="00153204">
        <w:rPr>
          <w:rFonts w:asciiTheme="minorHAnsi" w:hAnsiTheme="minorHAnsi" w:cstheme="minorHAnsi"/>
          <w:i/>
          <w:spacing w:val="3"/>
        </w:rPr>
        <w:t xml:space="preserve"> </w:t>
      </w:r>
      <w:r w:rsidRPr="00153204">
        <w:rPr>
          <w:rFonts w:asciiTheme="minorHAnsi" w:hAnsiTheme="minorHAnsi" w:cstheme="minorHAnsi"/>
          <w:i/>
        </w:rPr>
        <w:t>follows:</w:t>
      </w:r>
    </w:p>
    <w:p w14:paraId="1ACE9232" w14:textId="77777777" w:rsidR="00051279" w:rsidRPr="00153204" w:rsidRDefault="00051279" w:rsidP="00AB536C">
      <w:pPr>
        <w:widowControl w:val="0"/>
        <w:numPr>
          <w:ilvl w:val="3"/>
          <w:numId w:val="12"/>
        </w:numPr>
        <w:tabs>
          <w:tab w:val="left" w:pos="2208"/>
        </w:tabs>
        <w:autoSpaceDE w:val="0"/>
        <w:autoSpaceDN w:val="0"/>
        <w:spacing w:before="124"/>
        <w:ind w:left="993" w:firstLine="708"/>
        <w:jc w:val="both"/>
        <w:rPr>
          <w:rFonts w:asciiTheme="minorHAnsi" w:hAnsiTheme="minorHAnsi" w:cstheme="minorHAnsi"/>
          <w:i/>
          <w:sz w:val="22"/>
          <w:szCs w:val="22"/>
        </w:rPr>
      </w:pPr>
      <w:r w:rsidRPr="00153204">
        <w:rPr>
          <w:rFonts w:asciiTheme="minorHAnsi" w:hAnsiTheme="minorHAnsi" w:cstheme="minorHAnsi"/>
          <w:i/>
          <w:sz w:val="22"/>
          <w:szCs w:val="22"/>
        </w:rPr>
        <w:t>Operation</w:t>
      </w:r>
      <w:r w:rsidRPr="00153204">
        <w:rPr>
          <w:rFonts w:asciiTheme="minorHAnsi" w:hAnsiTheme="minorHAnsi" w:cstheme="minorHAnsi"/>
          <w:i/>
          <w:spacing w:val="-7"/>
          <w:sz w:val="22"/>
          <w:szCs w:val="22"/>
        </w:rPr>
        <w:t xml:space="preserve"> </w:t>
      </w:r>
      <w:r w:rsidRPr="00153204">
        <w:rPr>
          <w:rFonts w:asciiTheme="minorHAnsi" w:hAnsiTheme="minorHAnsi" w:cstheme="minorHAnsi"/>
          <w:i/>
          <w:sz w:val="22"/>
          <w:szCs w:val="22"/>
        </w:rPr>
        <w:t>and</w:t>
      </w:r>
      <w:r w:rsidRPr="00153204">
        <w:rPr>
          <w:rFonts w:asciiTheme="minorHAnsi" w:hAnsiTheme="minorHAnsi" w:cstheme="minorHAnsi"/>
          <w:i/>
          <w:spacing w:val="3"/>
          <w:sz w:val="22"/>
          <w:szCs w:val="22"/>
        </w:rPr>
        <w:t xml:space="preserve"> </w:t>
      </w:r>
      <w:r w:rsidRPr="00153204">
        <w:rPr>
          <w:rFonts w:asciiTheme="minorHAnsi" w:hAnsiTheme="minorHAnsi" w:cstheme="minorHAnsi"/>
          <w:i/>
          <w:sz w:val="22"/>
          <w:szCs w:val="22"/>
        </w:rPr>
        <w:t>maintenance</w:t>
      </w:r>
      <w:r w:rsidRPr="00153204">
        <w:rPr>
          <w:rFonts w:asciiTheme="minorHAnsi" w:hAnsiTheme="minorHAnsi" w:cstheme="minorHAnsi"/>
          <w:i/>
          <w:spacing w:val="-3"/>
          <w:sz w:val="22"/>
          <w:szCs w:val="22"/>
        </w:rPr>
        <w:t xml:space="preserve"> </w:t>
      </w:r>
      <w:r w:rsidRPr="00153204">
        <w:rPr>
          <w:rFonts w:asciiTheme="minorHAnsi" w:hAnsiTheme="minorHAnsi" w:cstheme="minorHAnsi"/>
          <w:i/>
          <w:sz w:val="22"/>
          <w:szCs w:val="22"/>
        </w:rPr>
        <w:t>expenses</w:t>
      </w:r>
      <w:r w:rsidRPr="00153204">
        <w:rPr>
          <w:rFonts w:asciiTheme="minorHAnsi" w:hAnsiTheme="minorHAnsi" w:cstheme="minorHAnsi"/>
          <w:i/>
          <w:spacing w:val="1"/>
          <w:sz w:val="22"/>
          <w:szCs w:val="22"/>
        </w:rPr>
        <w:t xml:space="preserve"> </w:t>
      </w:r>
      <w:r w:rsidRPr="00153204">
        <w:rPr>
          <w:rFonts w:asciiTheme="minorHAnsi" w:hAnsiTheme="minorHAnsi" w:cstheme="minorHAnsi"/>
          <w:i/>
          <w:sz w:val="22"/>
          <w:szCs w:val="22"/>
        </w:rPr>
        <w:t>for</w:t>
      </w:r>
      <w:r w:rsidRPr="00153204">
        <w:rPr>
          <w:rFonts w:asciiTheme="minorHAnsi" w:hAnsiTheme="minorHAnsi" w:cstheme="minorHAnsi"/>
          <w:i/>
          <w:spacing w:val="-5"/>
          <w:sz w:val="22"/>
          <w:szCs w:val="22"/>
        </w:rPr>
        <w:t xml:space="preserve"> </w:t>
      </w:r>
      <w:r w:rsidRPr="00153204">
        <w:rPr>
          <w:rFonts w:asciiTheme="minorHAnsi" w:hAnsiTheme="minorHAnsi" w:cstheme="minorHAnsi"/>
          <w:i/>
          <w:sz w:val="22"/>
          <w:szCs w:val="22"/>
        </w:rPr>
        <w:t>one</w:t>
      </w:r>
      <w:r w:rsidRPr="00153204">
        <w:rPr>
          <w:rFonts w:asciiTheme="minorHAnsi" w:hAnsiTheme="minorHAnsi" w:cstheme="minorHAnsi"/>
          <w:i/>
          <w:spacing w:val="-3"/>
          <w:sz w:val="22"/>
          <w:szCs w:val="22"/>
        </w:rPr>
        <w:t xml:space="preserve"> </w:t>
      </w:r>
      <w:r w:rsidRPr="00153204">
        <w:rPr>
          <w:rFonts w:asciiTheme="minorHAnsi" w:hAnsiTheme="minorHAnsi" w:cstheme="minorHAnsi"/>
          <w:i/>
          <w:sz w:val="22"/>
          <w:szCs w:val="22"/>
        </w:rPr>
        <w:t>month;</w:t>
      </w:r>
      <w:r w:rsidRPr="00153204">
        <w:rPr>
          <w:rFonts w:asciiTheme="minorHAnsi" w:hAnsiTheme="minorHAnsi" w:cstheme="minorHAnsi"/>
          <w:i/>
          <w:spacing w:val="-6"/>
          <w:sz w:val="22"/>
          <w:szCs w:val="22"/>
        </w:rPr>
        <w:t xml:space="preserve"> </w:t>
      </w:r>
      <w:r w:rsidRPr="00153204">
        <w:rPr>
          <w:rFonts w:asciiTheme="minorHAnsi" w:hAnsiTheme="minorHAnsi" w:cstheme="minorHAnsi"/>
          <w:i/>
          <w:sz w:val="22"/>
          <w:szCs w:val="22"/>
        </w:rPr>
        <w:t>plus</w:t>
      </w:r>
    </w:p>
    <w:p w14:paraId="01CB36C6" w14:textId="77777777" w:rsidR="00051279" w:rsidRPr="00153204" w:rsidRDefault="00051279" w:rsidP="00AB536C">
      <w:pPr>
        <w:widowControl w:val="0"/>
        <w:numPr>
          <w:ilvl w:val="3"/>
          <w:numId w:val="12"/>
        </w:numPr>
        <w:tabs>
          <w:tab w:val="left" w:pos="2207"/>
          <w:tab w:val="left" w:pos="2208"/>
        </w:tabs>
        <w:autoSpaceDE w:val="0"/>
        <w:autoSpaceDN w:val="0"/>
        <w:spacing w:before="160" w:line="276" w:lineRule="auto"/>
        <w:ind w:left="2268" w:right="224" w:hanging="567"/>
        <w:rPr>
          <w:rFonts w:asciiTheme="minorHAnsi" w:hAnsiTheme="minorHAnsi" w:cstheme="minorHAnsi"/>
          <w:i/>
          <w:sz w:val="22"/>
          <w:szCs w:val="22"/>
        </w:rPr>
      </w:pPr>
      <w:r w:rsidRPr="00153204">
        <w:rPr>
          <w:rFonts w:asciiTheme="minorHAnsi" w:hAnsiTheme="minorHAnsi" w:cstheme="minorHAnsi"/>
          <w:i/>
          <w:sz w:val="22"/>
          <w:szCs w:val="22"/>
        </w:rPr>
        <w:t>Maintenance</w:t>
      </w:r>
      <w:r w:rsidRPr="00153204">
        <w:rPr>
          <w:rFonts w:asciiTheme="minorHAnsi" w:hAnsiTheme="minorHAnsi" w:cstheme="minorHAnsi"/>
          <w:i/>
          <w:spacing w:val="14"/>
          <w:sz w:val="22"/>
          <w:szCs w:val="22"/>
        </w:rPr>
        <w:t xml:space="preserve"> </w:t>
      </w:r>
      <w:r w:rsidRPr="00153204">
        <w:rPr>
          <w:rFonts w:asciiTheme="minorHAnsi" w:hAnsiTheme="minorHAnsi" w:cstheme="minorHAnsi"/>
          <w:i/>
          <w:sz w:val="22"/>
          <w:szCs w:val="22"/>
        </w:rPr>
        <w:t>spares</w:t>
      </w:r>
      <w:r w:rsidRPr="00153204">
        <w:rPr>
          <w:rFonts w:asciiTheme="minorHAnsi" w:hAnsiTheme="minorHAnsi" w:cstheme="minorHAnsi"/>
          <w:i/>
          <w:spacing w:val="13"/>
          <w:sz w:val="22"/>
          <w:szCs w:val="22"/>
        </w:rPr>
        <w:t xml:space="preserve"> </w:t>
      </w:r>
      <w:r w:rsidRPr="00153204">
        <w:rPr>
          <w:rFonts w:asciiTheme="minorHAnsi" w:hAnsiTheme="minorHAnsi" w:cstheme="minorHAnsi"/>
          <w:i/>
          <w:sz w:val="22"/>
          <w:szCs w:val="22"/>
        </w:rPr>
        <w:t>@</w:t>
      </w:r>
      <w:r w:rsidRPr="00153204">
        <w:rPr>
          <w:rFonts w:asciiTheme="minorHAnsi" w:hAnsiTheme="minorHAnsi" w:cstheme="minorHAnsi"/>
          <w:i/>
          <w:spacing w:val="5"/>
          <w:sz w:val="22"/>
          <w:szCs w:val="22"/>
        </w:rPr>
        <w:t xml:space="preserve"> </w:t>
      </w:r>
      <w:r w:rsidRPr="00153204">
        <w:rPr>
          <w:rFonts w:asciiTheme="minorHAnsi" w:hAnsiTheme="minorHAnsi" w:cstheme="minorHAnsi"/>
          <w:i/>
          <w:sz w:val="22"/>
          <w:szCs w:val="22"/>
        </w:rPr>
        <w:t>twenty</w:t>
      </w:r>
      <w:r w:rsidRPr="00153204">
        <w:rPr>
          <w:rFonts w:asciiTheme="minorHAnsi" w:hAnsiTheme="minorHAnsi" w:cstheme="minorHAnsi"/>
          <w:i/>
          <w:spacing w:val="1"/>
          <w:sz w:val="22"/>
          <w:szCs w:val="22"/>
        </w:rPr>
        <w:t xml:space="preserve"> </w:t>
      </w:r>
      <w:r w:rsidRPr="00153204">
        <w:rPr>
          <w:rFonts w:asciiTheme="minorHAnsi" w:hAnsiTheme="minorHAnsi" w:cstheme="minorHAnsi"/>
          <w:i/>
          <w:sz w:val="22"/>
          <w:szCs w:val="22"/>
        </w:rPr>
        <w:t>(20)</w:t>
      </w:r>
      <w:r w:rsidRPr="00153204">
        <w:rPr>
          <w:rFonts w:asciiTheme="minorHAnsi" w:hAnsiTheme="minorHAnsi" w:cstheme="minorHAnsi"/>
          <w:i/>
          <w:spacing w:val="12"/>
          <w:sz w:val="22"/>
          <w:szCs w:val="22"/>
        </w:rPr>
        <w:t xml:space="preserve"> </w:t>
      </w:r>
      <w:r w:rsidRPr="00153204">
        <w:rPr>
          <w:rFonts w:asciiTheme="minorHAnsi" w:hAnsiTheme="minorHAnsi" w:cstheme="minorHAnsi"/>
          <w:i/>
          <w:sz w:val="22"/>
          <w:szCs w:val="22"/>
        </w:rPr>
        <w:t>%</w:t>
      </w:r>
      <w:r w:rsidRPr="00153204">
        <w:rPr>
          <w:rFonts w:asciiTheme="minorHAnsi" w:hAnsiTheme="minorHAnsi" w:cstheme="minorHAnsi"/>
          <w:i/>
          <w:spacing w:val="12"/>
          <w:sz w:val="22"/>
          <w:szCs w:val="22"/>
        </w:rPr>
        <w:t xml:space="preserve"> </w:t>
      </w:r>
      <w:r w:rsidRPr="00153204">
        <w:rPr>
          <w:rFonts w:asciiTheme="minorHAnsi" w:hAnsiTheme="minorHAnsi" w:cstheme="minorHAnsi"/>
          <w:i/>
          <w:sz w:val="22"/>
          <w:szCs w:val="22"/>
        </w:rPr>
        <w:t>of</w:t>
      </w:r>
      <w:r w:rsidRPr="00153204">
        <w:rPr>
          <w:rFonts w:asciiTheme="minorHAnsi" w:hAnsiTheme="minorHAnsi" w:cstheme="minorHAnsi"/>
          <w:i/>
          <w:spacing w:val="2"/>
          <w:sz w:val="22"/>
          <w:szCs w:val="22"/>
        </w:rPr>
        <w:t xml:space="preserve"> </w:t>
      </w:r>
      <w:r w:rsidRPr="00153204">
        <w:rPr>
          <w:rFonts w:asciiTheme="minorHAnsi" w:hAnsiTheme="minorHAnsi" w:cstheme="minorHAnsi"/>
          <w:i/>
          <w:sz w:val="22"/>
          <w:szCs w:val="22"/>
        </w:rPr>
        <w:t>average</w:t>
      </w:r>
      <w:r w:rsidRPr="00153204">
        <w:rPr>
          <w:rFonts w:asciiTheme="minorHAnsi" w:hAnsiTheme="minorHAnsi" w:cstheme="minorHAnsi"/>
          <w:i/>
          <w:spacing w:val="15"/>
          <w:sz w:val="22"/>
          <w:szCs w:val="22"/>
        </w:rPr>
        <w:t xml:space="preserve"> </w:t>
      </w:r>
      <w:r w:rsidRPr="00153204">
        <w:rPr>
          <w:rFonts w:asciiTheme="minorHAnsi" w:hAnsiTheme="minorHAnsi" w:cstheme="minorHAnsi"/>
          <w:i/>
          <w:sz w:val="22"/>
          <w:szCs w:val="22"/>
        </w:rPr>
        <w:t>R&amp;M</w:t>
      </w:r>
      <w:r w:rsidRPr="00153204">
        <w:rPr>
          <w:rFonts w:asciiTheme="minorHAnsi" w:hAnsiTheme="minorHAnsi" w:cstheme="minorHAnsi"/>
          <w:i/>
          <w:spacing w:val="9"/>
          <w:sz w:val="22"/>
          <w:szCs w:val="22"/>
        </w:rPr>
        <w:t xml:space="preserve"> </w:t>
      </w:r>
      <w:r w:rsidRPr="00153204">
        <w:rPr>
          <w:rFonts w:asciiTheme="minorHAnsi" w:hAnsiTheme="minorHAnsi" w:cstheme="minorHAnsi"/>
          <w:i/>
          <w:sz w:val="22"/>
          <w:szCs w:val="22"/>
        </w:rPr>
        <w:t>expense</w:t>
      </w:r>
      <w:r w:rsidRPr="00153204">
        <w:rPr>
          <w:rFonts w:asciiTheme="minorHAnsi" w:hAnsiTheme="minorHAnsi" w:cstheme="minorHAnsi"/>
          <w:i/>
          <w:spacing w:val="14"/>
          <w:sz w:val="22"/>
          <w:szCs w:val="22"/>
        </w:rPr>
        <w:t xml:space="preserve"> </w:t>
      </w:r>
      <w:r w:rsidRPr="00153204">
        <w:rPr>
          <w:rFonts w:asciiTheme="minorHAnsi" w:hAnsiTheme="minorHAnsi" w:cstheme="minorHAnsi"/>
          <w:i/>
          <w:sz w:val="22"/>
          <w:szCs w:val="22"/>
        </w:rPr>
        <w:t>for</w:t>
      </w:r>
      <w:r w:rsidRPr="00153204">
        <w:rPr>
          <w:rFonts w:asciiTheme="minorHAnsi" w:hAnsiTheme="minorHAnsi" w:cstheme="minorHAnsi"/>
          <w:i/>
          <w:spacing w:val="12"/>
          <w:sz w:val="22"/>
          <w:szCs w:val="22"/>
        </w:rPr>
        <w:t xml:space="preserve"> </w:t>
      </w:r>
      <w:r w:rsidRPr="00153204">
        <w:rPr>
          <w:rFonts w:asciiTheme="minorHAnsi" w:hAnsiTheme="minorHAnsi" w:cstheme="minorHAnsi"/>
          <w:i/>
          <w:sz w:val="22"/>
          <w:szCs w:val="22"/>
        </w:rPr>
        <w:t>one</w:t>
      </w:r>
      <w:r w:rsidRPr="00153204">
        <w:rPr>
          <w:rFonts w:asciiTheme="minorHAnsi" w:hAnsiTheme="minorHAnsi" w:cstheme="minorHAnsi"/>
          <w:i/>
          <w:spacing w:val="14"/>
          <w:sz w:val="22"/>
          <w:szCs w:val="22"/>
        </w:rPr>
        <w:t xml:space="preserve"> </w:t>
      </w:r>
      <w:r w:rsidRPr="00153204">
        <w:rPr>
          <w:rFonts w:asciiTheme="minorHAnsi" w:hAnsiTheme="minorHAnsi" w:cstheme="minorHAnsi"/>
          <w:i/>
          <w:sz w:val="22"/>
          <w:szCs w:val="22"/>
        </w:rPr>
        <w:t>month;</w:t>
      </w:r>
      <w:r w:rsidRPr="00153204">
        <w:rPr>
          <w:rFonts w:asciiTheme="minorHAnsi" w:hAnsiTheme="minorHAnsi" w:cstheme="minorHAnsi"/>
          <w:i/>
          <w:spacing w:val="-57"/>
          <w:sz w:val="22"/>
          <w:szCs w:val="22"/>
        </w:rPr>
        <w:t xml:space="preserve"> </w:t>
      </w:r>
      <w:r w:rsidRPr="00153204">
        <w:rPr>
          <w:rFonts w:asciiTheme="minorHAnsi" w:hAnsiTheme="minorHAnsi" w:cstheme="minorHAnsi"/>
          <w:i/>
          <w:sz w:val="22"/>
          <w:szCs w:val="22"/>
        </w:rPr>
        <w:t>plus</w:t>
      </w:r>
    </w:p>
    <w:p w14:paraId="6C00FCA7" w14:textId="10BAE4FE" w:rsidR="00051279" w:rsidRPr="00153204" w:rsidRDefault="00051279" w:rsidP="00AB536C">
      <w:pPr>
        <w:widowControl w:val="0"/>
        <w:numPr>
          <w:ilvl w:val="3"/>
          <w:numId w:val="12"/>
        </w:numPr>
        <w:tabs>
          <w:tab w:val="left" w:pos="2208"/>
        </w:tabs>
        <w:autoSpaceDE w:val="0"/>
        <w:autoSpaceDN w:val="0"/>
        <w:spacing w:before="119"/>
        <w:ind w:left="993" w:firstLine="708"/>
        <w:jc w:val="both"/>
        <w:rPr>
          <w:rFonts w:asciiTheme="minorHAnsi" w:hAnsiTheme="minorHAnsi" w:cstheme="minorHAnsi"/>
          <w:i/>
          <w:sz w:val="22"/>
          <w:szCs w:val="22"/>
        </w:rPr>
      </w:pPr>
      <w:r w:rsidRPr="00153204">
        <w:rPr>
          <w:rFonts w:asciiTheme="minorHAnsi" w:hAnsiTheme="minorHAnsi" w:cstheme="minorHAnsi"/>
          <w:i/>
          <w:sz w:val="22"/>
          <w:szCs w:val="22"/>
        </w:rPr>
        <w:t>Power</w:t>
      </w:r>
      <w:r w:rsidRPr="00153204">
        <w:rPr>
          <w:rFonts w:asciiTheme="minorHAnsi" w:hAnsiTheme="minorHAnsi" w:cstheme="minorHAnsi"/>
          <w:i/>
          <w:spacing w:val="-4"/>
          <w:sz w:val="22"/>
          <w:szCs w:val="22"/>
        </w:rPr>
        <w:t xml:space="preserve"> </w:t>
      </w:r>
      <w:r w:rsidRPr="00153204">
        <w:rPr>
          <w:rFonts w:asciiTheme="minorHAnsi" w:hAnsiTheme="minorHAnsi" w:cstheme="minorHAnsi"/>
          <w:i/>
          <w:sz w:val="22"/>
          <w:szCs w:val="22"/>
        </w:rPr>
        <w:t>Purchase</w:t>
      </w:r>
      <w:r w:rsidRPr="00153204">
        <w:rPr>
          <w:rFonts w:asciiTheme="minorHAnsi" w:hAnsiTheme="minorHAnsi" w:cstheme="minorHAnsi"/>
          <w:i/>
          <w:spacing w:val="-1"/>
          <w:sz w:val="22"/>
          <w:szCs w:val="22"/>
        </w:rPr>
        <w:t xml:space="preserve"> </w:t>
      </w:r>
      <w:r w:rsidRPr="00153204">
        <w:rPr>
          <w:rFonts w:asciiTheme="minorHAnsi" w:hAnsiTheme="minorHAnsi" w:cstheme="minorHAnsi"/>
          <w:i/>
          <w:sz w:val="22"/>
          <w:szCs w:val="22"/>
        </w:rPr>
        <w:t>Cost for</w:t>
      </w:r>
      <w:r w:rsidRPr="00153204">
        <w:rPr>
          <w:rFonts w:asciiTheme="minorHAnsi" w:hAnsiTheme="minorHAnsi" w:cstheme="minorHAnsi"/>
          <w:i/>
          <w:spacing w:val="-5"/>
          <w:sz w:val="22"/>
          <w:szCs w:val="22"/>
        </w:rPr>
        <w:t xml:space="preserve"> </w:t>
      </w:r>
      <w:r w:rsidRPr="00153204">
        <w:rPr>
          <w:rFonts w:asciiTheme="minorHAnsi" w:hAnsiTheme="minorHAnsi" w:cstheme="minorHAnsi"/>
          <w:i/>
          <w:sz w:val="22"/>
          <w:szCs w:val="22"/>
        </w:rPr>
        <w:t>one</w:t>
      </w:r>
      <w:r w:rsidRPr="00153204">
        <w:rPr>
          <w:rFonts w:asciiTheme="minorHAnsi" w:hAnsiTheme="minorHAnsi" w:cstheme="minorHAnsi"/>
          <w:i/>
          <w:spacing w:val="-1"/>
          <w:sz w:val="22"/>
          <w:szCs w:val="22"/>
        </w:rPr>
        <w:t xml:space="preserve"> </w:t>
      </w:r>
      <w:r w:rsidRPr="00153204">
        <w:rPr>
          <w:rFonts w:asciiTheme="minorHAnsi" w:hAnsiTheme="minorHAnsi" w:cstheme="minorHAnsi"/>
          <w:i/>
          <w:sz w:val="22"/>
          <w:szCs w:val="22"/>
        </w:rPr>
        <w:t>(1)</w:t>
      </w:r>
      <w:r w:rsidRPr="00153204">
        <w:rPr>
          <w:rFonts w:asciiTheme="minorHAnsi" w:hAnsiTheme="minorHAnsi" w:cstheme="minorHAnsi"/>
          <w:i/>
          <w:spacing w:val="1"/>
          <w:sz w:val="22"/>
          <w:szCs w:val="22"/>
        </w:rPr>
        <w:t xml:space="preserve"> </w:t>
      </w:r>
      <w:r w:rsidRPr="00153204">
        <w:rPr>
          <w:rFonts w:asciiTheme="minorHAnsi" w:hAnsiTheme="minorHAnsi" w:cstheme="minorHAnsi"/>
          <w:i/>
          <w:sz w:val="22"/>
          <w:szCs w:val="22"/>
        </w:rPr>
        <w:t>month</w:t>
      </w:r>
    </w:p>
    <w:p w14:paraId="6CEFAB4E" w14:textId="77777777" w:rsidR="00EC1C3C" w:rsidRPr="00153204" w:rsidRDefault="00EC1C3C" w:rsidP="00EC1C3C">
      <w:pPr>
        <w:widowControl w:val="0"/>
        <w:tabs>
          <w:tab w:val="left" w:pos="2208"/>
        </w:tabs>
        <w:autoSpaceDE w:val="0"/>
        <w:autoSpaceDN w:val="0"/>
        <w:spacing w:before="119"/>
        <w:ind w:left="1701"/>
        <w:jc w:val="both"/>
        <w:rPr>
          <w:rFonts w:asciiTheme="minorHAnsi" w:hAnsiTheme="minorHAnsi" w:cstheme="minorHAnsi"/>
          <w:i/>
          <w:sz w:val="22"/>
          <w:szCs w:val="22"/>
        </w:rPr>
      </w:pPr>
    </w:p>
    <w:p w14:paraId="7CE991BF" w14:textId="311C7CD2" w:rsidR="00051279" w:rsidRPr="00153204" w:rsidRDefault="00051279" w:rsidP="002334A3">
      <w:pPr>
        <w:widowControl w:val="0"/>
        <w:autoSpaceDE w:val="0"/>
        <w:autoSpaceDN w:val="0"/>
        <w:spacing w:before="161" w:line="276" w:lineRule="auto"/>
        <w:ind w:left="1134" w:right="218"/>
        <w:jc w:val="both"/>
        <w:rPr>
          <w:rFonts w:asciiTheme="minorHAnsi" w:hAnsiTheme="minorHAnsi" w:cstheme="minorHAnsi"/>
          <w:i/>
          <w:sz w:val="22"/>
          <w:szCs w:val="22"/>
        </w:rPr>
      </w:pPr>
      <w:r w:rsidRPr="00153204">
        <w:rPr>
          <w:rFonts w:asciiTheme="minorHAnsi" w:hAnsiTheme="minorHAnsi" w:cstheme="minorHAnsi"/>
          <w:i/>
          <w:sz w:val="22"/>
          <w:szCs w:val="22"/>
        </w:rPr>
        <w:t>Working Capital requirement of the Distribution Licensees may be met through</w:t>
      </w:r>
      <w:r w:rsidRPr="00153204">
        <w:rPr>
          <w:rFonts w:asciiTheme="minorHAnsi" w:hAnsiTheme="minorHAnsi" w:cstheme="minorHAnsi"/>
          <w:i/>
          <w:spacing w:val="1"/>
          <w:sz w:val="22"/>
          <w:szCs w:val="22"/>
        </w:rPr>
        <w:t xml:space="preserve"> </w:t>
      </w:r>
      <w:r w:rsidRPr="00153204">
        <w:rPr>
          <w:rFonts w:asciiTheme="minorHAnsi" w:hAnsiTheme="minorHAnsi" w:cstheme="minorHAnsi"/>
          <w:i/>
          <w:sz w:val="22"/>
          <w:szCs w:val="22"/>
        </w:rPr>
        <w:t>depreciation</w:t>
      </w:r>
      <w:r w:rsidRPr="00153204">
        <w:rPr>
          <w:rFonts w:asciiTheme="minorHAnsi" w:hAnsiTheme="minorHAnsi" w:cstheme="minorHAnsi"/>
          <w:i/>
          <w:spacing w:val="6"/>
          <w:sz w:val="22"/>
          <w:szCs w:val="22"/>
        </w:rPr>
        <w:t xml:space="preserve"> </w:t>
      </w:r>
      <w:r w:rsidRPr="00153204">
        <w:rPr>
          <w:rFonts w:asciiTheme="minorHAnsi" w:hAnsiTheme="minorHAnsi" w:cstheme="minorHAnsi"/>
          <w:i/>
          <w:sz w:val="22"/>
          <w:szCs w:val="22"/>
        </w:rPr>
        <w:t>allowed</w:t>
      </w:r>
      <w:r w:rsidRPr="00153204">
        <w:rPr>
          <w:rFonts w:asciiTheme="minorHAnsi" w:hAnsiTheme="minorHAnsi" w:cstheme="minorHAnsi"/>
          <w:i/>
          <w:spacing w:val="14"/>
          <w:sz w:val="22"/>
          <w:szCs w:val="22"/>
        </w:rPr>
        <w:t xml:space="preserve"> </w:t>
      </w:r>
      <w:r w:rsidRPr="00153204">
        <w:rPr>
          <w:rFonts w:asciiTheme="minorHAnsi" w:hAnsiTheme="minorHAnsi" w:cstheme="minorHAnsi"/>
          <w:i/>
          <w:sz w:val="22"/>
          <w:szCs w:val="22"/>
        </w:rPr>
        <w:t>by</w:t>
      </w:r>
      <w:r w:rsidRPr="00153204">
        <w:rPr>
          <w:rFonts w:asciiTheme="minorHAnsi" w:hAnsiTheme="minorHAnsi" w:cstheme="minorHAnsi"/>
          <w:i/>
          <w:spacing w:val="6"/>
          <w:sz w:val="22"/>
          <w:szCs w:val="22"/>
        </w:rPr>
        <w:t xml:space="preserve"> </w:t>
      </w:r>
      <w:r w:rsidRPr="00153204">
        <w:rPr>
          <w:rFonts w:asciiTheme="minorHAnsi" w:hAnsiTheme="minorHAnsi" w:cstheme="minorHAnsi"/>
          <w:i/>
          <w:sz w:val="22"/>
          <w:szCs w:val="22"/>
        </w:rPr>
        <w:t>the</w:t>
      </w:r>
      <w:r w:rsidRPr="00153204">
        <w:rPr>
          <w:rFonts w:asciiTheme="minorHAnsi" w:hAnsiTheme="minorHAnsi" w:cstheme="minorHAnsi"/>
          <w:i/>
          <w:spacing w:val="10"/>
          <w:sz w:val="22"/>
          <w:szCs w:val="22"/>
        </w:rPr>
        <w:t xml:space="preserve"> </w:t>
      </w:r>
      <w:r w:rsidRPr="00153204">
        <w:rPr>
          <w:rFonts w:asciiTheme="minorHAnsi" w:hAnsiTheme="minorHAnsi" w:cstheme="minorHAnsi"/>
          <w:i/>
          <w:sz w:val="22"/>
          <w:szCs w:val="22"/>
        </w:rPr>
        <w:t>Commission</w:t>
      </w:r>
      <w:r w:rsidRPr="00153204">
        <w:rPr>
          <w:rFonts w:asciiTheme="minorHAnsi" w:hAnsiTheme="minorHAnsi" w:cstheme="minorHAnsi"/>
          <w:i/>
          <w:spacing w:val="6"/>
          <w:sz w:val="22"/>
          <w:szCs w:val="22"/>
        </w:rPr>
        <w:t xml:space="preserve"> </w:t>
      </w:r>
      <w:r w:rsidRPr="00153204">
        <w:rPr>
          <w:rFonts w:asciiTheme="minorHAnsi" w:hAnsiTheme="minorHAnsi" w:cstheme="minorHAnsi"/>
          <w:i/>
          <w:sz w:val="22"/>
          <w:szCs w:val="22"/>
        </w:rPr>
        <w:t>on</w:t>
      </w:r>
      <w:r w:rsidRPr="00153204">
        <w:rPr>
          <w:rFonts w:asciiTheme="minorHAnsi" w:hAnsiTheme="minorHAnsi" w:cstheme="minorHAnsi"/>
          <w:i/>
          <w:spacing w:val="6"/>
          <w:sz w:val="22"/>
          <w:szCs w:val="22"/>
        </w:rPr>
        <w:t xml:space="preserve"> </w:t>
      </w:r>
      <w:r w:rsidRPr="00153204">
        <w:rPr>
          <w:rFonts w:asciiTheme="minorHAnsi" w:hAnsiTheme="minorHAnsi" w:cstheme="minorHAnsi"/>
          <w:i/>
          <w:sz w:val="22"/>
          <w:szCs w:val="22"/>
        </w:rPr>
        <w:t>the</w:t>
      </w:r>
      <w:r w:rsidRPr="00153204">
        <w:rPr>
          <w:rFonts w:asciiTheme="minorHAnsi" w:hAnsiTheme="minorHAnsi" w:cstheme="minorHAnsi"/>
          <w:i/>
          <w:spacing w:val="10"/>
          <w:sz w:val="22"/>
          <w:szCs w:val="22"/>
        </w:rPr>
        <w:t xml:space="preserve"> </w:t>
      </w:r>
      <w:r w:rsidRPr="00153204">
        <w:rPr>
          <w:rFonts w:asciiTheme="minorHAnsi" w:hAnsiTheme="minorHAnsi" w:cstheme="minorHAnsi"/>
          <w:i/>
          <w:sz w:val="22"/>
          <w:szCs w:val="22"/>
        </w:rPr>
        <w:t>assets</w:t>
      </w:r>
      <w:r w:rsidRPr="00153204">
        <w:rPr>
          <w:rFonts w:asciiTheme="minorHAnsi" w:hAnsiTheme="minorHAnsi" w:cstheme="minorHAnsi"/>
          <w:i/>
          <w:spacing w:val="5"/>
          <w:sz w:val="22"/>
          <w:szCs w:val="22"/>
        </w:rPr>
        <w:t xml:space="preserve"> </w:t>
      </w:r>
      <w:r w:rsidRPr="00153204">
        <w:rPr>
          <w:rFonts w:asciiTheme="minorHAnsi" w:hAnsiTheme="minorHAnsi" w:cstheme="minorHAnsi"/>
          <w:i/>
          <w:sz w:val="22"/>
          <w:szCs w:val="22"/>
        </w:rPr>
        <w:t>of</w:t>
      </w:r>
      <w:r w:rsidRPr="00153204">
        <w:rPr>
          <w:rFonts w:asciiTheme="minorHAnsi" w:hAnsiTheme="minorHAnsi" w:cstheme="minorHAnsi"/>
          <w:i/>
          <w:spacing w:val="3"/>
          <w:sz w:val="22"/>
          <w:szCs w:val="22"/>
        </w:rPr>
        <w:t xml:space="preserve"> </w:t>
      </w:r>
      <w:r w:rsidRPr="00153204">
        <w:rPr>
          <w:rFonts w:asciiTheme="minorHAnsi" w:hAnsiTheme="minorHAnsi" w:cstheme="minorHAnsi"/>
          <w:i/>
          <w:sz w:val="22"/>
          <w:szCs w:val="22"/>
        </w:rPr>
        <w:t>erstwhile</w:t>
      </w:r>
      <w:r w:rsidRPr="00153204">
        <w:rPr>
          <w:rFonts w:asciiTheme="minorHAnsi" w:hAnsiTheme="minorHAnsi" w:cstheme="minorHAnsi"/>
          <w:i/>
          <w:spacing w:val="9"/>
          <w:sz w:val="22"/>
          <w:szCs w:val="22"/>
        </w:rPr>
        <w:t xml:space="preserve"> </w:t>
      </w:r>
      <w:r w:rsidRPr="00153204">
        <w:rPr>
          <w:rFonts w:asciiTheme="minorHAnsi" w:hAnsiTheme="minorHAnsi" w:cstheme="minorHAnsi"/>
          <w:i/>
          <w:sz w:val="22"/>
          <w:szCs w:val="22"/>
        </w:rPr>
        <w:t>DISCOMs</w:t>
      </w:r>
      <w:r w:rsidRPr="00153204">
        <w:rPr>
          <w:rFonts w:asciiTheme="minorHAnsi" w:hAnsiTheme="minorHAnsi" w:cstheme="minorHAnsi"/>
          <w:i/>
          <w:spacing w:val="13"/>
          <w:sz w:val="22"/>
          <w:szCs w:val="22"/>
        </w:rPr>
        <w:t xml:space="preserve"> </w:t>
      </w:r>
      <w:r w:rsidRPr="00153204">
        <w:rPr>
          <w:rFonts w:asciiTheme="minorHAnsi" w:hAnsiTheme="minorHAnsi" w:cstheme="minorHAnsi"/>
          <w:i/>
          <w:sz w:val="22"/>
          <w:szCs w:val="22"/>
        </w:rPr>
        <w:t>in</w:t>
      </w:r>
      <w:r w:rsidRPr="00153204">
        <w:rPr>
          <w:rFonts w:asciiTheme="minorHAnsi" w:hAnsiTheme="minorHAnsi" w:cstheme="minorHAnsi"/>
          <w:i/>
          <w:spacing w:val="-57"/>
          <w:sz w:val="22"/>
          <w:szCs w:val="22"/>
        </w:rPr>
        <w:t xml:space="preserve"> </w:t>
      </w:r>
      <w:r w:rsidRPr="00153204">
        <w:rPr>
          <w:rFonts w:asciiTheme="minorHAnsi" w:hAnsiTheme="minorHAnsi" w:cstheme="minorHAnsi"/>
          <w:i/>
          <w:sz w:val="22"/>
          <w:szCs w:val="22"/>
        </w:rPr>
        <w:t>a manner mentioned in the Vesting Orders and as approved by the Commission.</w:t>
      </w:r>
      <w:r w:rsidRPr="00153204">
        <w:rPr>
          <w:rFonts w:asciiTheme="minorHAnsi" w:hAnsiTheme="minorHAnsi" w:cstheme="minorHAnsi"/>
          <w:i/>
          <w:spacing w:val="1"/>
          <w:sz w:val="22"/>
          <w:szCs w:val="22"/>
        </w:rPr>
        <w:t xml:space="preserve"> </w:t>
      </w:r>
      <w:r w:rsidRPr="00153204">
        <w:rPr>
          <w:rFonts w:asciiTheme="minorHAnsi" w:hAnsiTheme="minorHAnsi" w:cstheme="minorHAnsi"/>
          <w:i/>
          <w:sz w:val="22"/>
          <w:szCs w:val="22"/>
        </w:rPr>
        <w:t>Shortfall in meeting the working capital requirement as mentioned above shall be</w:t>
      </w:r>
      <w:r w:rsidRPr="00153204">
        <w:rPr>
          <w:rFonts w:asciiTheme="minorHAnsi" w:hAnsiTheme="minorHAnsi" w:cstheme="minorHAnsi"/>
          <w:i/>
          <w:spacing w:val="-57"/>
          <w:sz w:val="22"/>
          <w:szCs w:val="22"/>
        </w:rPr>
        <w:t xml:space="preserve"> </w:t>
      </w:r>
      <w:r w:rsidRPr="00153204">
        <w:rPr>
          <w:rFonts w:asciiTheme="minorHAnsi" w:hAnsiTheme="minorHAnsi" w:cstheme="minorHAnsi"/>
          <w:i/>
          <w:sz w:val="22"/>
          <w:szCs w:val="22"/>
        </w:rPr>
        <w:t>allowed. The interest on the working capital shall be at a rate equal to the SBI</w:t>
      </w:r>
      <w:r w:rsidRPr="00153204">
        <w:rPr>
          <w:rFonts w:asciiTheme="minorHAnsi" w:hAnsiTheme="minorHAnsi" w:cstheme="minorHAnsi"/>
          <w:i/>
          <w:spacing w:val="1"/>
          <w:sz w:val="22"/>
          <w:szCs w:val="22"/>
        </w:rPr>
        <w:t xml:space="preserve"> </w:t>
      </w:r>
      <w:r w:rsidRPr="00153204">
        <w:rPr>
          <w:rFonts w:asciiTheme="minorHAnsi" w:hAnsiTheme="minorHAnsi" w:cstheme="minorHAnsi"/>
          <w:i/>
          <w:sz w:val="22"/>
          <w:szCs w:val="22"/>
        </w:rPr>
        <w:t>Base Rate or any replacement thereof by SBI from time to time (being in effect</w:t>
      </w:r>
      <w:r w:rsidRPr="00153204">
        <w:rPr>
          <w:rFonts w:asciiTheme="minorHAnsi" w:hAnsiTheme="minorHAnsi" w:cstheme="minorHAnsi"/>
          <w:i/>
          <w:spacing w:val="1"/>
          <w:sz w:val="22"/>
          <w:szCs w:val="22"/>
        </w:rPr>
        <w:t xml:space="preserve"> </w:t>
      </w:r>
      <w:r w:rsidRPr="00153204">
        <w:rPr>
          <w:rFonts w:asciiTheme="minorHAnsi" w:hAnsiTheme="minorHAnsi" w:cstheme="minorHAnsi"/>
          <w:i/>
          <w:sz w:val="22"/>
          <w:szCs w:val="22"/>
        </w:rPr>
        <w:t>applicable</w:t>
      </w:r>
      <w:r w:rsidRPr="00153204">
        <w:rPr>
          <w:rFonts w:asciiTheme="minorHAnsi" w:hAnsiTheme="minorHAnsi" w:cstheme="minorHAnsi"/>
          <w:i/>
          <w:spacing w:val="60"/>
          <w:sz w:val="22"/>
          <w:szCs w:val="22"/>
        </w:rPr>
        <w:t xml:space="preserve"> </w:t>
      </w:r>
      <w:r w:rsidRPr="00153204">
        <w:rPr>
          <w:rFonts w:asciiTheme="minorHAnsi" w:hAnsiTheme="minorHAnsi" w:cstheme="minorHAnsi"/>
          <w:i/>
          <w:sz w:val="22"/>
          <w:szCs w:val="22"/>
        </w:rPr>
        <w:t xml:space="preserve">for </w:t>
      </w:r>
      <w:proofErr w:type="gramStart"/>
      <w:r w:rsidRPr="00153204">
        <w:rPr>
          <w:rFonts w:asciiTheme="minorHAnsi" w:hAnsiTheme="minorHAnsi" w:cstheme="minorHAnsi"/>
          <w:i/>
          <w:sz w:val="22"/>
          <w:szCs w:val="22"/>
        </w:rPr>
        <w:t>1 year</w:t>
      </w:r>
      <w:proofErr w:type="gramEnd"/>
      <w:r w:rsidRPr="00153204">
        <w:rPr>
          <w:rFonts w:asciiTheme="minorHAnsi" w:hAnsiTheme="minorHAnsi" w:cstheme="minorHAnsi"/>
          <w:i/>
          <w:sz w:val="22"/>
          <w:szCs w:val="22"/>
        </w:rPr>
        <w:t xml:space="preserve"> period) as applicable as on 1</w:t>
      </w:r>
      <w:r w:rsidRPr="00153204">
        <w:rPr>
          <w:rFonts w:asciiTheme="minorHAnsi" w:hAnsiTheme="minorHAnsi" w:cstheme="minorHAnsi"/>
          <w:i/>
          <w:sz w:val="22"/>
          <w:szCs w:val="22"/>
          <w:vertAlign w:val="superscript"/>
        </w:rPr>
        <w:t>st</w:t>
      </w:r>
      <w:r w:rsidRPr="00153204">
        <w:rPr>
          <w:rFonts w:asciiTheme="minorHAnsi" w:hAnsiTheme="minorHAnsi" w:cstheme="minorHAnsi"/>
          <w:i/>
          <w:sz w:val="22"/>
          <w:szCs w:val="22"/>
        </w:rPr>
        <w:t>April of the Financial Year</w:t>
      </w:r>
      <w:r w:rsidRPr="00153204">
        <w:rPr>
          <w:rFonts w:asciiTheme="minorHAnsi" w:hAnsiTheme="minorHAnsi" w:cstheme="minorHAnsi"/>
          <w:i/>
          <w:spacing w:val="1"/>
          <w:sz w:val="22"/>
          <w:szCs w:val="22"/>
        </w:rPr>
        <w:t xml:space="preserve"> </w:t>
      </w:r>
      <w:r w:rsidRPr="00153204">
        <w:rPr>
          <w:rFonts w:asciiTheme="minorHAnsi" w:hAnsiTheme="minorHAnsi" w:cstheme="minorHAnsi"/>
          <w:i/>
          <w:sz w:val="22"/>
          <w:szCs w:val="22"/>
        </w:rPr>
        <w:t>(for which Truing Up shall be done) plus 300 basis points or actual weighted</w:t>
      </w:r>
      <w:r w:rsidRPr="00153204">
        <w:rPr>
          <w:rFonts w:asciiTheme="minorHAnsi" w:hAnsiTheme="minorHAnsi" w:cstheme="minorHAnsi"/>
          <w:i/>
          <w:spacing w:val="1"/>
          <w:sz w:val="22"/>
          <w:szCs w:val="22"/>
        </w:rPr>
        <w:t xml:space="preserve"> </w:t>
      </w:r>
      <w:r w:rsidRPr="00153204">
        <w:rPr>
          <w:rFonts w:asciiTheme="minorHAnsi" w:hAnsiTheme="minorHAnsi" w:cstheme="minorHAnsi"/>
          <w:i/>
          <w:sz w:val="22"/>
          <w:szCs w:val="22"/>
        </w:rPr>
        <w:t>average rate of interest towards loan for meeting working capital requirement</w:t>
      </w:r>
      <w:r w:rsidRPr="00153204">
        <w:rPr>
          <w:rFonts w:asciiTheme="minorHAnsi" w:hAnsiTheme="minorHAnsi" w:cstheme="minorHAnsi"/>
          <w:i/>
          <w:spacing w:val="1"/>
          <w:sz w:val="22"/>
          <w:szCs w:val="22"/>
        </w:rPr>
        <w:t xml:space="preserve"> </w:t>
      </w:r>
      <w:r w:rsidRPr="00153204">
        <w:rPr>
          <w:rFonts w:asciiTheme="minorHAnsi" w:hAnsiTheme="minorHAnsi" w:cstheme="minorHAnsi"/>
          <w:i/>
          <w:sz w:val="22"/>
          <w:szCs w:val="22"/>
        </w:rPr>
        <w:t>availed</w:t>
      </w:r>
      <w:r w:rsidRPr="00153204">
        <w:rPr>
          <w:rFonts w:asciiTheme="minorHAnsi" w:hAnsiTheme="minorHAnsi" w:cstheme="minorHAnsi"/>
          <w:i/>
          <w:spacing w:val="5"/>
          <w:sz w:val="22"/>
          <w:szCs w:val="22"/>
        </w:rPr>
        <w:t xml:space="preserve"> </w:t>
      </w:r>
      <w:r w:rsidRPr="00153204">
        <w:rPr>
          <w:rFonts w:asciiTheme="minorHAnsi" w:hAnsiTheme="minorHAnsi" w:cstheme="minorHAnsi"/>
          <w:i/>
          <w:sz w:val="22"/>
          <w:szCs w:val="22"/>
        </w:rPr>
        <w:t>by</w:t>
      </w:r>
      <w:r w:rsidRPr="00153204">
        <w:rPr>
          <w:rFonts w:asciiTheme="minorHAnsi" w:hAnsiTheme="minorHAnsi" w:cstheme="minorHAnsi"/>
          <w:i/>
          <w:spacing w:val="-7"/>
          <w:sz w:val="22"/>
          <w:szCs w:val="22"/>
        </w:rPr>
        <w:t xml:space="preserve"> </w:t>
      </w:r>
      <w:r w:rsidRPr="00153204">
        <w:rPr>
          <w:rFonts w:asciiTheme="minorHAnsi" w:hAnsiTheme="minorHAnsi" w:cstheme="minorHAnsi"/>
          <w:i/>
          <w:sz w:val="22"/>
          <w:szCs w:val="22"/>
        </w:rPr>
        <w:t>the Distribution</w:t>
      </w:r>
      <w:r w:rsidRPr="00153204">
        <w:rPr>
          <w:rFonts w:asciiTheme="minorHAnsi" w:hAnsiTheme="minorHAnsi" w:cstheme="minorHAnsi"/>
          <w:i/>
          <w:spacing w:val="-4"/>
          <w:sz w:val="22"/>
          <w:szCs w:val="22"/>
        </w:rPr>
        <w:t xml:space="preserve"> </w:t>
      </w:r>
      <w:r w:rsidRPr="00153204">
        <w:rPr>
          <w:rFonts w:asciiTheme="minorHAnsi" w:hAnsiTheme="minorHAnsi" w:cstheme="minorHAnsi"/>
          <w:i/>
          <w:sz w:val="22"/>
          <w:szCs w:val="22"/>
        </w:rPr>
        <w:t>Licensee(s),</w:t>
      </w:r>
      <w:r w:rsidRPr="00153204">
        <w:rPr>
          <w:rFonts w:asciiTheme="minorHAnsi" w:hAnsiTheme="minorHAnsi" w:cstheme="minorHAnsi"/>
          <w:i/>
          <w:spacing w:val="3"/>
          <w:sz w:val="22"/>
          <w:szCs w:val="22"/>
        </w:rPr>
        <w:t xml:space="preserve"> </w:t>
      </w:r>
      <w:r w:rsidRPr="00153204">
        <w:rPr>
          <w:rFonts w:asciiTheme="minorHAnsi" w:hAnsiTheme="minorHAnsi" w:cstheme="minorHAnsi"/>
          <w:i/>
          <w:sz w:val="22"/>
          <w:szCs w:val="22"/>
        </w:rPr>
        <w:t>whichever</w:t>
      </w:r>
      <w:r w:rsidRPr="00153204">
        <w:rPr>
          <w:rFonts w:asciiTheme="minorHAnsi" w:hAnsiTheme="minorHAnsi" w:cstheme="minorHAnsi"/>
          <w:i/>
          <w:spacing w:val="3"/>
          <w:sz w:val="22"/>
          <w:szCs w:val="22"/>
        </w:rPr>
        <w:t xml:space="preserve"> </w:t>
      </w:r>
      <w:r w:rsidRPr="00153204">
        <w:rPr>
          <w:rFonts w:asciiTheme="minorHAnsi" w:hAnsiTheme="minorHAnsi" w:cstheme="minorHAnsi"/>
          <w:i/>
          <w:sz w:val="22"/>
          <w:szCs w:val="22"/>
        </w:rPr>
        <w:t>is</w:t>
      </w:r>
      <w:r w:rsidRPr="00153204">
        <w:rPr>
          <w:rFonts w:asciiTheme="minorHAnsi" w:hAnsiTheme="minorHAnsi" w:cstheme="minorHAnsi"/>
          <w:i/>
          <w:spacing w:val="4"/>
          <w:sz w:val="22"/>
          <w:szCs w:val="22"/>
        </w:rPr>
        <w:t xml:space="preserve"> </w:t>
      </w:r>
      <w:r w:rsidRPr="00153204">
        <w:rPr>
          <w:rFonts w:asciiTheme="minorHAnsi" w:hAnsiTheme="minorHAnsi" w:cstheme="minorHAnsi"/>
          <w:i/>
          <w:sz w:val="22"/>
          <w:szCs w:val="22"/>
        </w:rPr>
        <w:t>lower:</w:t>
      </w:r>
    </w:p>
    <w:p w14:paraId="27893FB4" w14:textId="1FB8BB68" w:rsidR="00051279" w:rsidRPr="00153204" w:rsidRDefault="00051279" w:rsidP="002334A3">
      <w:pPr>
        <w:widowControl w:val="0"/>
        <w:autoSpaceDE w:val="0"/>
        <w:autoSpaceDN w:val="0"/>
        <w:spacing w:before="119" w:line="276" w:lineRule="auto"/>
        <w:ind w:left="1134" w:right="220"/>
        <w:jc w:val="both"/>
        <w:rPr>
          <w:rFonts w:asciiTheme="minorHAnsi" w:hAnsiTheme="minorHAnsi" w:cstheme="minorHAnsi"/>
          <w:i/>
          <w:sz w:val="22"/>
          <w:szCs w:val="22"/>
        </w:rPr>
      </w:pPr>
      <w:r w:rsidRPr="00153204">
        <w:rPr>
          <w:rFonts w:asciiTheme="minorHAnsi" w:hAnsiTheme="minorHAnsi" w:cstheme="minorHAnsi"/>
          <w:i/>
          <w:sz w:val="22"/>
          <w:szCs w:val="22"/>
        </w:rPr>
        <w:t>Provided</w:t>
      </w:r>
      <w:r w:rsidRPr="00153204">
        <w:rPr>
          <w:rFonts w:asciiTheme="minorHAnsi" w:hAnsiTheme="minorHAnsi" w:cstheme="minorHAnsi"/>
          <w:i/>
          <w:spacing w:val="1"/>
          <w:sz w:val="22"/>
          <w:szCs w:val="22"/>
        </w:rPr>
        <w:t xml:space="preserve"> </w:t>
      </w:r>
      <w:r w:rsidRPr="00153204">
        <w:rPr>
          <w:rFonts w:asciiTheme="minorHAnsi" w:hAnsiTheme="minorHAnsi" w:cstheme="minorHAnsi"/>
          <w:i/>
          <w:sz w:val="22"/>
          <w:szCs w:val="22"/>
        </w:rPr>
        <w:t>that</w:t>
      </w:r>
      <w:r w:rsidRPr="00153204">
        <w:rPr>
          <w:rFonts w:asciiTheme="minorHAnsi" w:hAnsiTheme="minorHAnsi" w:cstheme="minorHAnsi"/>
          <w:i/>
          <w:spacing w:val="1"/>
          <w:sz w:val="22"/>
          <w:szCs w:val="22"/>
        </w:rPr>
        <w:t xml:space="preserve"> </w:t>
      </w:r>
      <w:r w:rsidRPr="00153204">
        <w:rPr>
          <w:rFonts w:asciiTheme="minorHAnsi" w:hAnsiTheme="minorHAnsi" w:cstheme="minorHAnsi"/>
          <w:i/>
          <w:sz w:val="22"/>
          <w:szCs w:val="22"/>
        </w:rPr>
        <w:t>at</w:t>
      </w:r>
      <w:r w:rsidRPr="00153204">
        <w:rPr>
          <w:rFonts w:asciiTheme="minorHAnsi" w:hAnsiTheme="minorHAnsi" w:cstheme="minorHAnsi"/>
          <w:i/>
          <w:spacing w:val="1"/>
          <w:sz w:val="22"/>
          <w:szCs w:val="22"/>
        </w:rPr>
        <w:t xml:space="preserve"> </w:t>
      </w:r>
      <w:r w:rsidRPr="00153204">
        <w:rPr>
          <w:rFonts w:asciiTheme="minorHAnsi" w:hAnsiTheme="minorHAnsi" w:cstheme="minorHAnsi"/>
          <w:i/>
          <w:sz w:val="22"/>
          <w:szCs w:val="22"/>
        </w:rPr>
        <w:t>the</w:t>
      </w:r>
      <w:r w:rsidRPr="00153204">
        <w:rPr>
          <w:rFonts w:asciiTheme="minorHAnsi" w:hAnsiTheme="minorHAnsi" w:cstheme="minorHAnsi"/>
          <w:i/>
          <w:spacing w:val="1"/>
          <w:sz w:val="22"/>
          <w:szCs w:val="22"/>
        </w:rPr>
        <w:t xml:space="preserve"> </w:t>
      </w:r>
      <w:r w:rsidRPr="00153204">
        <w:rPr>
          <w:rFonts w:asciiTheme="minorHAnsi" w:hAnsiTheme="minorHAnsi" w:cstheme="minorHAnsi"/>
          <w:i/>
          <w:sz w:val="22"/>
          <w:szCs w:val="22"/>
        </w:rPr>
        <w:t>time</w:t>
      </w:r>
      <w:r w:rsidRPr="00153204">
        <w:rPr>
          <w:rFonts w:asciiTheme="minorHAnsi" w:hAnsiTheme="minorHAnsi" w:cstheme="minorHAnsi"/>
          <w:i/>
          <w:spacing w:val="1"/>
          <w:sz w:val="22"/>
          <w:szCs w:val="22"/>
        </w:rPr>
        <w:t xml:space="preserve"> </w:t>
      </w:r>
      <w:r w:rsidRPr="00153204">
        <w:rPr>
          <w:rFonts w:asciiTheme="minorHAnsi" w:hAnsiTheme="minorHAnsi" w:cstheme="minorHAnsi"/>
          <w:i/>
          <w:sz w:val="22"/>
          <w:szCs w:val="22"/>
        </w:rPr>
        <w:t>of</w:t>
      </w:r>
      <w:r w:rsidRPr="00153204">
        <w:rPr>
          <w:rFonts w:asciiTheme="minorHAnsi" w:hAnsiTheme="minorHAnsi" w:cstheme="minorHAnsi"/>
          <w:i/>
          <w:spacing w:val="1"/>
          <w:sz w:val="22"/>
          <w:szCs w:val="22"/>
        </w:rPr>
        <w:t xml:space="preserve"> </w:t>
      </w:r>
      <w:r w:rsidRPr="00153204">
        <w:rPr>
          <w:rFonts w:asciiTheme="minorHAnsi" w:hAnsiTheme="minorHAnsi" w:cstheme="minorHAnsi"/>
          <w:i/>
          <w:sz w:val="22"/>
          <w:szCs w:val="22"/>
        </w:rPr>
        <w:t>truing</w:t>
      </w:r>
      <w:r w:rsidRPr="00153204">
        <w:rPr>
          <w:rFonts w:asciiTheme="minorHAnsi" w:hAnsiTheme="minorHAnsi" w:cstheme="minorHAnsi"/>
          <w:i/>
          <w:spacing w:val="1"/>
          <w:sz w:val="22"/>
          <w:szCs w:val="22"/>
        </w:rPr>
        <w:t xml:space="preserve"> </w:t>
      </w:r>
      <w:r w:rsidRPr="00153204">
        <w:rPr>
          <w:rFonts w:asciiTheme="minorHAnsi" w:hAnsiTheme="minorHAnsi" w:cstheme="minorHAnsi"/>
          <w:i/>
          <w:sz w:val="22"/>
          <w:szCs w:val="22"/>
        </w:rPr>
        <w:t>up</w:t>
      </w:r>
      <w:r w:rsidRPr="00153204">
        <w:rPr>
          <w:rFonts w:asciiTheme="minorHAnsi" w:hAnsiTheme="minorHAnsi" w:cstheme="minorHAnsi"/>
          <w:i/>
          <w:spacing w:val="1"/>
          <w:sz w:val="22"/>
          <w:szCs w:val="22"/>
        </w:rPr>
        <w:t xml:space="preserve"> </w:t>
      </w:r>
      <w:r w:rsidRPr="00153204">
        <w:rPr>
          <w:rFonts w:asciiTheme="minorHAnsi" w:hAnsiTheme="minorHAnsi" w:cstheme="minorHAnsi"/>
          <w:i/>
          <w:sz w:val="22"/>
          <w:szCs w:val="22"/>
        </w:rPr>
        <w:t>for</w:t>
      </w:r>
      <w:r w:rsidRPr="00153204">
        <w:rPr>
          <w:rFonts w:asciiTheme="minorHAnsi" w:hAnsiTheme="minorHAnsi" w:cstheme="minorHAnsi"/>
          <w:i/>
          <w:spacing w:val="1"/>
          <w:sz w:val="22"/>
          <w:szCs w:val="22"/>
        </w:rPr>
        <w:t xml:space="preserve"> </w:t>
      </w:r>
      <w:r w:rsidRPr="00153204">
        <w:rPr>
          <w:rFonts w:asciiTheme="minorHAnsi" w:hAnsiTheme="minorHAnsi" w:cstheme="minorHAnsi"/>
          <w:i/>
          <w:sz w:val="22"/>
          <w:szCs w:val="22"/>
        </w:rPr>
        <w:t>any</w:t>
      </w:r>
      <w:r w:rsidRPr="00153204">
        <w:rPr>
          <w:rFonts w:asciiTheme="minorHAnsi" w:hAnsiTheme="minorHAnsi" w:cstheme="minorHAnsi"/>
          <w:i/>
          <w:spacing w:val="1"/>
          <w:sz w:val="22"/>
          <w:szCs w:val="22"/>
        </w:rPr>
        <w:t xml:space="preserve"> </w:t>
      </w:r>
      <w:r w:rsidRPr="00153204">
        <w:rPr>
          <w:rFonts w:asciiTheme="minorHAnsi" w:hAnsiTheme="minorHAnsi" w:cstheme="minorHAnsi"/>
          <w:i/>
          <w:sz w:val="22"/>
          <w:szCs w:val="22"/>
        </w:rPr>
        <w:t>year,</w:t>
      </w:r>
      <w:r w:rsidRPr="00153204">
        <w:rPr>
          <w:rFonts w:asciiTheme="minorHAnsi" w:hAnsiTheme="minorHAnsi" w:cstheme="minorHAnsi"/>
          <w:i/>
          <w:spacing w:val="1"/>
          <w:sz w:val="22"/>
          <w:szCs w:val="22"/>
        </w:rPr>
        <w:t xml:space="preserve"> </w:t>
      </w:r>
      <w:r w:rsidRPr="00153204">
        <w:rPr>
          <w:rFonts w:asciiTheme="minorHAnsi" w:hAnsiTheme="minorHAnsi" w:cstheme="minorHAnsi"/>
          <w:i/>
          <w:sz w:val="22"/>
          <w:szCs w:val="22"/>
        </w:rPr>
        <w:t>the</w:t>
      </w:r>
      <w:r w:rsidRPr="00153204">
        <w:rPr>
          <w:rFonts w:asciiTheme="minorHAnsi" w:hAnsiTheme="minorHAnsi" w:cstheme="minorHAnsi"/>
          <w:i/>
          <w:spacing w:val="1"/>
          <w:sz w:val="22"/>
          <w:szCs w:val="22"/>
        </w:rPr>
        <w:t xml:space="preserve"> </w:t>
      </w:r>
      <w:r w:rsidRPr="00153204">
        <w:rPr>
          <w:rFonts w:asciiTheme="minorHAnsi" w:hAnsiTheme="minorHAnsi" w:cstheme="minorHAnsi"/>
          <w:i/>
          <w:sz w:val="22"/>
          <w:szCs w:val="22"/>
        </w:rPr>
        <w:t>working</w:t>
      </w:r>
      <w:r w:rsidRPr="00153204">
        <w:rPr>
          <w:rFonts w:asciiTheme="minorHAnsi" w:hAnsiTheme="minorHAnsi" w:cstheme="minorHAnsi"/>
          <w:i/>
          <w:spacing w:val="60"/>
          <w:sz w:val="22"/>
          <w:szCs w:val="22"/>
        </w:rPr>
        <w:t xml:space="preserve"> </w:t>
      </w:r>
      <w:r w:rsidRPr="00153204">
        <w:rPr>
          <w:rFonts w:asciiTheme="minorHAnsi" w:hAnsiTheme="minorHAnsi" w:cstheme="minorHAnsi"/>
          <w:i/>
          <w:sz w:val="22"/>
          <w:szCs w:val="22"/>
        </w:rPr>
        <w:t>capital</w:t>
      </w:r>
      <w:r w:rsidRPr="00153204">
        <w:rPr>
          <w:rFonts w:asciiTheme="minorHAnsi" w:hAnsiTheme="minorHAnsi" w:cstheme="minorHAnsi"/>
          <w:i/>
          <w:spacing w:val="1"/>
          <w:sz w:val="22"/>
          <w:szCs w:val="22"/>
        </w:rPr>
        <w:t xml:space="preserve"> </w:t>
      </w:r>
      <w:r w:rsidRPr="00153204">
        <w:rPr>
          <w:rFonts w:asciiTheme="minorHAnsi" w:hAnsiTheme="minorHAnsi" w:cstheme="minorHAnsi"/>
          <w:i/>
          <w:sz w:val="22"/>
          <w:szCs w:val="22"/>
        </w:rPr>
        <w:t>requirement shall be re-calculated on the basis of the components of working</w:t>
      </w:r>
      <w:r w:rsidRPr="00153204">
        <w:rPr>
          <w:rFonts w:asciiTheme="minorHAnsi" w:hAnsiTheme="minorHAnsi" w:cstheme="minorHAnsi"/>
          <w:i/>
          <w:spacing w:val="1"/>
          <w:sz w:val="22"/>
          <w:szCs w:val="22"/>
        </w:rPr>
        <w:t xml:space="preserve"> </w:t>
      </w:r>
      <w:r w:rsidRPr="00153204">
        <w:rPr>
          <w:rFonts w:asciiTheme="minorHAnsi" w:hAnsiTheme="minorHAnsi" w:cstheme="minorHAnsi"/>
          <w:i/>
          <w:sz w:val="22"/>
          <w:szCs w:val="22"/>
        </w:rPr>
        <w:t>capital</w:t>
      </w:r>
      <w:r w:rsidRPr="00153204">
        <w:rPr>
          <w:rFonts w:asciiTheme="minorHAnsi" w:hAnsiTheme="minorHAnsi" w:cstheme="minorHAnsi"/>
          <w:i/>
          <w:spacing w:val="-8"/>
          <w:sz w:val="22"/>
          <w:szCs w:val="22"/>
        </w:rPr>
        <w:t xml:space="preserve"> </w:t>
      </w:r>
      <w:r w:rsidRPr="00153204">
        <w:rPr>
          <w:rFonts w:asciiTheme="minorHAnsi" w:hAnsiTheme="minorHAnsi" w:cstheme="minorHAnsi"/>
          <w:i/>
          <w:sz w:val="22"/>
          <w:szCs w:val="22"/>
        </w:rPr>
        <w:t>approved</w:t>
      </w:r>
      <w:r w:rsidRPr="00153204">
        <w:rPr>
          <w:rFonts w:asciiTheme="minorHAnsi" w:hAnsiTheme="minorHAnsi" w:cstheme="minorHAnsi"/>
          <w:i/>
          <w:spacing w:val="2"/>
          <w:sz w:val="22"/>
          <w:szCs w:val="22"/>
        </w:rPr>
        <w:t xml:space="preserve"> </w:t>
      </w:r>
      <w:r w:rsidRPr="00153204">
        <w:rPr>
          <w:rFonts w:asciiTheme="minorHAnsi" w:hAnsiTheme="minorHAnsi" w:cstheme="minorHAnsi"/>
          <w:i/>
          <w:sz w:val="22"/>
          <w:szCs w:val="22"/>
        </w:rPr>
        <w:t>by</w:t>
      </w:r>
      <w:r w:rsidRPr="00153204">
        <w:rPr>
          <w:rFonts w:asciiTheme="minorHAnsi" w:hAnsiTheme="minorHAnsi" w:cstheme="minorHAnsi"/>
          <w:i/>
          <w:spacing w:val="-3"/>
          <w:sz w:val="22"/>
          <w:szCs w:val="22"/>
        </w:rPr>
        <w:t xml:space="preserve"> </w:t>
      </w:r>
      <w:r w:rsidRPr="00153204">
        <w:rPr>
          <w:rFonts w:asciiTheme="minorHAnsi" w:hAnsiTheme="minorHAnsi" w:cstheme="minorHAnsi"/>
          <w:i/>
          <w:sz w:val="22"/>
          <w:szCs w:val="22"/>
        </w:rPr>
        <w:t>the</w:t>
      </w:r>
      <w:r w:rsidRPr="00153204">
        <w:rPr>
          <w:rFonts w:asciiTheme="minorHAnsi" w:hAnsiTheme="minorHAnsi" w:cstheme="minorHAnsi"/>
          <w:i/>
          <w:spacing w:val="1"/>
          <w:sz w:val="22"/>
          <w:szCs w:val="22"/>
        </w:rPr>
        <w:t xml:space="preserve"> </w:t>
      </w:r>
      <w:r w:rsidRPr="00153204">
        <w:rPr>
          <w:rFonts w:asciiTheme="minorHAnsi" w:hAnsiTheme="minorHAnsi" w:cstheme="minorHAnsi"/>
          <w:i/>
          <w:sz w:val="22"/>
          <w:szCs w:val="22"/>
        </w:rPr>
        <w:t>Commission.</w:t>
      </w:r>
    </w:p>
    <w:p w14:paraId="0CFA3902" w14:textId="77777777" w:rsidR="00EC1C3C" w:rsidRPr="00153204" w:rsidRDefault="00EC1C3C" w:rsidP="002334A3">
      <w:pPr>
        <w:widowControl w:val="0"/>
        <w:autoSpaceDE w:val="0"/>
        <w:autoSpaceDN w:val="0"/>
        <w:spacing w:before="119" w:line="276" w:lineRule="auto"/>
        <w:ind w:left="1134" w:right="220"/>
        <w:jc w:val="both"/>
        <w:rPr>
          <w:rFonts w:asciiTheme="minorHAnsi" w:hAnsiTheme="minorHAnsi" w:cstheme="minorHAnsi"/>
          <w:i/>
          <w:sz w:val="22"/>
          <w:szCs w:val="22"/>
        </w:rPr>
      </w:pPr>
    </w:p>
    <w:p w14:paraId="3E89E51C" w14:textId="1C4CB0EB" w:rsidR="00051279" w:rsidRPr="00153204" w:rsidRDefault="00051279" w:rsidP="002334A3">
      <w:pPr>
        <w:widowControl w:val="0"/>
        <w:autoSpaceDE w:val="0"/>
        <w:autoSpaceDN w:val="0"/>
        <w:spacing w:line="276" w:lineRule="auto"/>
        <w:ind w:left="1134" w:right="218"/>
        <w:jc w:val="both"/>
        <w:rPr>
          <w:rFonts w:asciiTheme="minorHAnsi" w:hAnsiTheme="minorHAnsi" w:cstheme="minorHAnsi"/>
          <w:i/>
          <w:sz w:val="22"/>
          <w:szCs w:val="22"/>
        </w:rPr>
      </w:pPr>
      <w:r w:rsidRPr="00153204">
        <w:rPr>
          <w:rFonts w:asciiTheme="minorHAnsi" w:hAnsiTheme="minorHAnsi" w:cstheme="minorHAnsi"/>
          <w:i/>
          <w:sz w:val="22"/>
          <w:szCs w:val="22"/>
        </w:rPr>
        <w:t>Provided that, the variation between the normative interest on working capital</w:t>
      </w:r>
      <w:r w:rsidRPr="00153204">
        <w:rPr>
          <w:rFonts w:asciiTheme="minorHAnsi" w:hAnsiTheme="minorHAnsi" w:cstheme="minorHAnsi"/>
          <w:i/>
          <w:spacing w:val="1"/>
          <w:sz w:val="22"/>
          <w:szCs w:val="22"/>
        </w:rPr>
        <w:t xml:space="preserve"> </w:t>
      </w:r>
      <w:r w:rsidRPr="00153204">
        <w:rPr>
          <w:rFonts w:asciiTheme="minorHAnsi" w:hAnsiTheme="minorHAnsi" w:cstheme="minorHAnsi"/>
          <w:i/>
          <w:sz w:val="22"/>
          <w:szCs w:val="22"/>
        </w:rPr>
        <w:t>recomputed at the time of Truing-up and the actual interest on working capital</w:t>
      </w:r>
      <w:r w:rsidRPr="00153204">
        <w:rPr>
          <w:rFonts w:asciiTheme="minorHAnsi" w:hAnsiTheme="minorHAnsi" w:cstheme="minorHAnsi"/>
          <w:i/>
          <w:spacing w:val="1"/>
          <w:sz w:val="22"/>
          <w:szCs w:val="22"/>
        </w:rPr>
        <w:t xml:space="preserve"> </w:t>
      </w:r>
      <w:r w:rsidRPr="00153204">
        <w:rPr>
          <w:rFonts w:asciiTheme="minorHAnsi" w:hAnsiTheme="minorHAnsi" w:cstheme="minorHAnsi"/>
          <w:i/>
          <w:sz w:val="22"/>
          <w:szCs w:val="22"/>
        </w:rPr>
        <w:t>incurred by the Distribution Licensee, substantiated by documentary evidence,</w:t>
      </w:r>
      <w:r w:rsidRPr="00153204">
        <w:rPr>
          <w:rFonts w:asciiTheme="minorHAnsi" w:hAnsiTheme="minorHAnsi" w:cstheme="minorHAnsi"/>
          <w:i/>
          <w:spacing w:val="1"/>
          <w:sz w:val="22"/>
          <w:szCs w:val="22"/>
        </w:rPr>
        <w:t xml:space="preserve"> </w:t>
      </w:r>
      <w:r w:rsidRPr="00153204">
        <w:rPr>
          <w:rFonts w:asciiTheme="minorHAnsi" w:hAnsiTheme="minorHAnsi" w:cstheme="minorHAnsi"/>
          <w:i/>
          <w:sz w:val="22"/>
          <w:szCs w:val="22"/>
        </w:rPr>
        <w:t>shall be considered as an efficiency gain or efficiency loss, as the case may be, on</w:t>
      </w:r>
      <w:r w:rsidRPr="00153204">
        <w:rPr>
          <w:rFonts w:asciiTheme="minorHAnsi" w:hAnsiTheme="minorHAnsi" w:cstheme="minorHAnsi"/>
          <w:i/>
          <w:spacing w:val="1"/>
          <w:sz w:val="22"/>
          <w:szCs w:val="22"/>
        </w:rPr>
        <w:t xml:space="preserve"> </w:t>
      </w:r>
      <w:r w:rsidRPr="00153204">
        <w:rPr>
          <w:rFonts w:asciiTheme="minorHAnsi" w:hAnsiTheme="minorHAnsi" w:cstheme="minorHAnsi"/>
          <w:i/>
          <w:sz w:val="22"/>
          <w:szCs w:val="22"/>
        </w:rPr>
        <w:t>account</w:t>
      </w:r>
      <w:r w:rsidRPr="00153204">
        <w:rPr>
          <w:rFonts w:asciiTheme="minorHAnsi" w:hAnsiTheme="minorHAnsi" w:cstheme="minorHAnsi"/>
          <w:i/>
          <w:spacing w:val="2"/>
          <w:sz w:val="22"/>
          <w:szCs w:val="22"/>
        </w:rPr>
        <w:t xml:space="preserve"> </w:t>
      </w:r>
      <w:r w:rsidRPr="00153204">
        <w:rPr>
          <w:rFonts w:asciiTheme="minorHAnsi" w:hAnsiTheme="minorHAnsi" w:cstheme="minorHAnsi"/>
          <w:i/>
          <w:sz w:val="22"/>
          <w:szCs w:val="22"/>
        </w:rPr>
        <w:t>of</w:t>
      </w:r>
      <w:r w:rsidRPr="00153204">
        <w:rPr>
          <w:rFonts w:asciiTheme="minorHAnsi" w:hAnsiTheme="minorHAnsi" w:cstheme="minorHAnsi"/>
          <w:i/>
          <w:spacing w:val="-6"/>
          <w:sz w:val="22"/>
          <w:szCs w:val="22"/>
        </w:rPr>
        <w:t xml:space="preserve"> </w:t>
      </w:r>
      <w:r w:rsidRPr="00153204">
        <w:rPr>
          <w:rFonts w:asciiTheme="minorHAnsi" w:hAnsiTheme="minorHAnsi" w:cstheme="minorHAnsi"/>
          <w:i/>
          <w:sz w:val="22"/>
          <w:szCs w:val="22"/>
        </w:rPr>
        <w:t>controllable</w:t>
      </w:r>
      <w:r w:rsidRPr="00153204">
        <w:rPr>
          <w:rFonts w:asciiTheme="minorHAnsi" w:hAnsiTheme="minorHAnsi" w:cstheme="minorHAnsi"/>
          <w:i/>
          <w:spacing w:val="6"/>
          <w:sz w:val="22"/>
          <w:szCs w:val="22"/>
        </w:rPr>
        <w:t xml:space="preserve"> </w:t>
      </w:r>
      <w:r w:rsidRPr="00153204">
        <w:rPr>
          <w:rFonts w:asciiTheme="minorHAnsi" w:hAnsiTheme="minorHAnsi" w:cstheme="minorHAnsi"/>
          <w:i/>
          <w:sz w:val="22"/>
          <w:szCs w:val="22"/>
        </w:rPr>
        <w:t>factors.”</w:t>
      </w:r>
    </w:p>
    <w:p w14:paraId="2C9C2E11" w14:textId="77777777" w:rsidR="00EC1C3C" w:rsidRPr="00153204" w:rsidRDefault="00EC1C3C" w:rsidP="00E02343">
      <w:pPr>
        <w:spacing w:line="360" w:lineRule="auto"/>
        <w:jc w:val="both"/>
        <w:rPr>
          <w:rFonts w:asciiTheme="minorHAnsi" w:hAnsiTheme="minorHAnsi" w:cstheme="minorHAnsi"/>
          <w:i/>
          <w:sz w:val="22"/>
          <w:szCs w:val="22"/>
        </w:rPr>
      </w:pPr>
    </w:p>
    <w:p w14:paraId="6366DEF4" w14:textId="693015EC" w:rsidR="00C9171B" w:rsidRPr="00E02343" w:rsidRDefault="00530F0D" w:rsidP="00AD1819">
      <w:pPr>
        <w:spacing w:line="360" w:lineRule="auto"/>
        <w:ind w:left="709"/>
        <w:jc w:val="both"/>
        <w:rPr>
          <w:rFonts w:asciiTheme="minorHAnsi" w:hAnsiTheme="minorHAnsi" w:cstheme="minorHAnsi"/>
          <w:i/>
          <w:sz w:val="22"/>
          <w:szCs w:val="22"/>
        </w:rPr>
      </w:pPr>
      <w:r w:rsidRPr="00AD1819">
        <w:rPr>
          <w:rFonts w:asciiTheme="minorHAnsi" w:hAnsiTheme="minorHAnsi" w:cstheme="minorHAnsi"/>
          <w:sz w:val="22"/>
          <w:szCs w:val="22"/>
        </w:rPr>
        <w:t>Accordingly</w:t>
      </w:r>
      <w:r w:rsidR="00E02343" w:rsidRPr="00AD1819">
        <w:rPr>
          <w:rFonts w:asciiTheme="minorHAnsi" w:hAnsiTheme="minorHAnsi" w:cstheme="minorHAnsi"/>
          <w:sz w:val="22"/>
          <w:szCs w:val="22"/>
        </w:rPr>
        <w:t xml:space="preserve">, </w:t>
      </w:r>
      <w:r w:rsidRPr="00AD1819">
        <w:rPr>
          <w:rFonts w:asciiTheme="minorHAnsi" w:hAnsiTheme="minorHAnsi" w:cstheme="minorHAnsi"/>
          <w:sz w:val="22"/>
          <w:szCs w:val="22"/>
        </w:rPr>
        <w:t>TPNODL has derived the working capital requirement and interest there on as given below</w:t>
      </w:r>
      <w:r w:rsidR="00E02343">
        <w:rPr>
          <w:rFonts w:asciiTheme="minorHAnsi" w:hAnsiTheme="minorHAnsi" w:cstheme="minorHAnsi"/>
          <w:i/>
          <w:sz w:val="22"/>
          <w:szCs w:val="22"/>
        </w:rPr>
        <w:t>.</w:t>
      </w:r>
    </w:p>
    <w:p w14:paraId="5D4748E3" w14:textId="77777777" w:rsidR="00C9171B" w:rsidRDefault="00C9171B" w:rsidP="001A2772">
      <w:pPr>
        <w:jc w:val="both"/>
        <w:rPr>
          <w:rFonts w:asciiTheme="minorHAnsi" w:hAnsiTheme="minorHAnsi" w:cstheme="minorHAnsi"/>
          <w:b/>
          <w:bCs/>
          <w:color w:val="000000"/>
          <w:sz w:val="22"/>
          <w:szCs w:val="22"/>
        </w:rPr>
      </w:pPr>
    </w:p>
    <w:p w14:paraId="2DEB8DFF" w14:textId="598C0AB8" w:rsidR="001A2772" w:rsidRPr="00AD1819" w:rsidRDefault="00177378" w:rsidP="00C9171B">
      <w:pPr>
        <w:jc w:val="center"/>
        <w:rPr>
          <w:rFonts w:asciiTheme="minorHAnsi" w:hAnsiTheme="minorHAnsi" w:cstheme="minorHAnsi"/>
          <w:b/>
          <w:bCs/>
          <w:color w:val="000000"/>
          <w:sz w:val="22"/>
          <w:szCs w:val="22"/>
          <w:lang w:val="en-IN" w:eastAsia="en-IN"/>
        </w:rPr>
      </w:pPr>
      <w:r w:rsidRPr="00AD1819">
        <w:rPr>
          <w:rFonts w:asciiTheme="minorHAnsi" w:hAnsiTheme="minorHAnsi" w:cstheme="minorHAnsi"/>
          <w:b/>
          <w:bCs/>
          <w:color w:val="000000"/>
          <w:sz w:val="22"/>
          <w:szCs w:val="22"/>
        </w:rPr>
        <w:t>Table-</w:t>
      </w:r>
      <w:r w:rsidR="00AD1819" w:rsidRPr="00AD1819">
        <w:rPr>
          <w:rFonts w:asciiTheme="minorHAnsi" w:hAnsiTheme="minorHAnsi" w:cstheme="minorHAnsi"/>
          <w:b/>
          <w:bCs/>
          <w:color w:val="000000"/>
          <w:sz w:val="22"/>
          <w:szCs w:val="22"/>
        </w:rPr>
        <w:t>33</w:t>
      </w:r>
      <w:r w:rsidR="00AD1819" w:rsidRPr="00AD1819">
        <w:rPr>
          <w:rFonts w:asciiTheme="minorHAnsi" w:hAnsiTheme="minorHAnsi" w:cstheme="minorHAnsi"/>
          <w:b/>
          <w:bCs/>
          <w:iCs/>
          <w:color w:val="000000"/>
          <w:sz w:val="22"/>
          <w:szCs w:val="22"/>
        </w:rPr>
        <w:t>: Interest</w:t>
      </w:r>
      <w:r w:rsidR="001A2772" w:rsidRPr="00AD1819">
        <w:rPr>
          <w:rFonts w:asciiTheme="minorHAnsi" w:hAnsiTheme="minorHAnsi" w:cstheme="minorHAnsi"/>
          <w:b/>
          <w:bCs/>
          <w:color w:val="000000"/>
          <w:sz w:val="22"/>
          <w:szCs w:val="22"/>
        </w:rPr>
        <w:t xml:space="preserve"> on Working Capital </w:t>
      </w:r>
      <w:r w:rsidR="001A2772" w:rsidRPr="00AD1819">
        <w:rPr>
          <w:rFonts w:asciiTheme="minorHAnsi" w:hAnsiTheme="minorHAnsi" w:cstheme="minorHAnsi"/>
          <w:b/>
          <w:bCs/>
          <w:iCs/>
          <w:color w:val="000000"/>
          <w:sz w:val="22"/>
          <w:szCs w:val="22"/>
        </w:rPr>
        <w:t xml:space="preserve">(In Rs. </w:t>
      </w:r>
      <w:proofErr w:type="spellStart"/>
      <w:r w:rsidR="001A2772" w:rsidRPr="00AD1819">
        <w:rPr>
          <w:rFonts w:asciiTheme="minorHAnsi" w:hAnsiTheme="minorHAnsi" w:cstheme="minorHAnsi"/>
          <w:b/>
          <w:bCs/>
          <w:iCs/>
          <w:color w:val="000000"/>
          <w:sz w:val="22"/>
          <w:szCs w:val="22"/>
        </w:rPr>
        <w:t>Crs</w:t>
      </w:r>
      <w:proofErr w:type="spellEnd"/>
      <w:r w:rsidR="001A2772" w:rsidRPr="00AD1819">
        <w:rPr>
          <w:rFonts w:asciiTheme="minorHAnsi" w:hAnsiTheme="minorHAnsi" w:cstheme="minorHAnsi"/>
          <w:b/>
          <w:bCs/>
          <w:iCs/>
          <w:color w:val="000000"/>
          <w:sz w:val="22"/>
          <w:szCs w:val="22"/>
        </w:rPr>
        <w:t>)</w:t>
      </w:r>
    </w:p>
    <w:p w14:paraId="212C5262" w14:textId="77777777" w:rsidR="001A2772" w:rsidRPr="00153204" w:rsidRDefault="001A2772" w:rsidP="00C9171B">
      <w:pPr>
        <w:spacing w:line="360" w:lineRule="auto"/>
        <w:ind w:left="567"/>
        <w:jc w:val="center"/>
        <w:rPr>
          <w:rFonts w:asciiTheme="minorHAnsi" w:hAnsiTheme="minorHAnsi" w:cstheme="minorHAnsi"/>
          <w:i/>
          <w:sz w:val="22"/>
          <w:szCs w:val="22"/>
        </w:rPr>
      </w:pPr>
    </w:p>
    <w:tbl>
      <w:tblPr>
        <w:tblW w:w="8931" w:type="dxa"/>
        <w:tblInd w:w="5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66"/>
        <w:gridCol w:w="1922"/>
        <w:gridCol w:w="1843"/>
      </w:tblGrid>
      <w:tr w:rsidR="00B154E8" w:rsidRPr="00AD1819" w14:paraId="640B614E" w14:textId="77777777" w:rsidTr="00AD1819">
        <w:trPr>
          <w:trHeight w:val="314"/>
        </w:trPr>
        <w:tc>
          <w:tcPr>
            <w:tcW w:w="5166" w:type="dxa"/>
            <w:shd w:val="clear" w:color="auto" w:fill="95B3D7" w:themeFill="accent1" w:themeFillTint="99"/>
            <w:noWrap/>
            <w:hideMark/>
          </w:tcPr>
          <w:p w14:paraId="11C2A75E" w14:textId="77777777" w:rsidR="00B154E8" w:rsidRPr="00AD1819" w:rsidRDefault="00B154E8" w:rsidP="00AD1819">
            <w:pPr>
              <w:jc w:val="center"/>
              <w:rPr>
                <w:rFonts w:asciiTheme="minorHAnsi" w:hAnsiTheme="minorHAnsi" w:cs="Arial"/>
                <w:b/>
                <w:bCs/>
                <w:sz w:val="22"/>
                <w:szCs w:val="22"/>
                <w:lang w:val="en-IN" w:eastAsia="en-IN"/>
              </w:rPr>
            </w:pPr>
            <w:r w:rsidRPr="00AD1819">
              <w:rPr>
                <w:rFonts w:asciiTheme="minorHAnsi" w:hAnsiTheme="minorHAnsi" w:cs="Arial"/>
                <w:b/>
                <w:bCs/>
                <w:sz w:val="22"/>
                <w:szCs w:val="22"/>
              </w:rPr>
              <w:t>Particulars</w:t>
            </w:r>
          </w:p>
        </w:tc>
        <w:tc>
          <w:tcPr>
            <w:tcW w:w="1922" w:type="dxa"/>
            <w:tcBorders>
              <w:top w:val="single" w:sz="4" w:space="0" w:color="auto"/>
              <w:left w:val="single" w:sz="4" w:space="0" w:color="auto"/>
              <w:bottom w:val="single" w:sz="4" w:space="0" w:color="auto"/>
              <w:right w:val="single" w:sz="4" w:space="0" w:color="auto"/>
            </w:tcBorders>
            <w:shd w:val="clear" w:color="auto" w:fill="95B3D7" w:themeFill="accent1" w:themeFillTint="99"/>
            <w:noWrap/>
            <w:vAlign w:val="bottom"/>
            <w:hideMark/>
          </w:tcPr>
          <w:p w14:paraId="6ED7F06A" w14:textId="77777777" w:rsidR="00B154E8" w:rsidRPr="00AD1819" w:rsidRDefault="00B154E8" w:rsidP="00AD1819">
            <w:pPr>
              <w:jc w:val="center"/>
              <w:rPr>
                <w:rFonts w:asciiTheme="minorHAnsi" w:hAnsiTheme="minorHAnsi" w:cs="Arial"/>
                <w:b/>
                <w:bCs/>
                <w:sz w:val="22"/>
                <w:szCs w:val="22"/>
              </w:rPr>
            </w:pPr>
            <w:r w:rsidRPr="00AD1819">
              <w:rPr>
                <w:rFonts w:asciiTheme="minorHAnsi" w:hAnsiTheme="minorHAnsi" w:cs="Arial"/>
                <w:b/>
                <w:bCs/>
                <w:sz w:val="22"/>
                <w:szCs w:val="22"/>
              </w:rPr>
              <w:t>FY 2024-25</w:t>
            </w:r>
          </w:p>
          <w:p w14:paraId="30DC9CF2" w14:textId="7C6716E9" w:rsidR="00AD1819" w:rsidRPr="00AD1819" w:rsidRDefault="00AD1819" w:rsidP="00AD1819">
            <w:pPr>
              <w:jc w:val="center"/>
              <w:rPr>
                <w:rFonts w:asciiTheme="minorHAnsi" w:hAnsiTheme="minorHAnsi" w:cs="Arial"/>
                <w:b/>
                <w:bCs/>
                <w:sz w:val="22"/>
                <w:szCs w:val="22"/>
              </w:rPr>
            </w:pPr>
            <w:r w:rsidRPr="00AD1819">
              <w:rPr>
                <w:rFonts w:asciiTheme="minorHAnsi" w:hAnsiTheme="minorHAnsi" w:cs="Arial"/>
                <w:b/>
                <w:bCs/>
                <w:sz w:val="22"/>
                <w:szCs w:val="22"/>
              </w:rPr>
              <w:t>(Estimated)</w:t>
            </w:r>
          </w:p>
        </w:tc>
        <w:tc>
          <w:tcPr>
            <w:tcW w:w="1843" w:type="dxa"/>
            <w:tcBorders>
              <w:top w:val="single" w:sz="4" w:space="0" w:color="auto"/>
              <w:left w:val="nil"/>
              <w:bottom w:val="single" w:sz="4" w:space="0" w:color="auto"/>
              <w:right w:val="single" w:sz="4" w:space="0" w:color="auto"/>
            </w:tcBorders>
            <w:shd w:val="clear" w:color="auto" w:fill="95B3D7" w:themeFill="accent1" w:themeFillTint="99"/>
            <w:noWrap/>
            <w:vAlign w:val="bottom"/>
            <w:hideMark/>
          </w:tcPr>
          <w:p w14:paraId="493ACD44" w14:textId="77777777" w:rsidR="00B154E8" w:rsidRPr="00AD1819" w:rsidRDefault="00B154E8" w:rsidP="00AD1819">
            <w:pPr>
              <w:jc w:val="center"/>
              <w:rPr>
                <w:rFonts w:asciiTheme="minorHAnsi" w:hAnsiTheme="minorHAnsi" w:cs="Arial"/>
                <w:b/>
                <w:bCs/>
                <w:sz w:val="22"/>
                <w:szCs w:val="22"/>
              </w:rPr>
            </w:pPr>
            <w:r w:rsidRPr="00AD1819">
              <w:rPr>
                <w:rFonts w:asciiTheme="minorHAnsi" w:hAnsiTheme="minorHAnsi" w:cs="Arial"/>
                <w:b/>
                <w:bCs/>
                <w:sz w:val="22"/>
                <w:szCs w:val="22"/>
              </w:rPr>
              <w:t>FY 2025-26</w:t>
            </w:r>
          </w:p>
          <w:p w14:paraId="1A7DB813" w14:textId="4F3C5A30" w:rsidR="00AD1819" w:rsidRPr="00AD1819" w:rsidRDefault="00AD1819" w:rsidP="00AD1819">
            <w:pPr>
              <w:jc w:val="center"/>
              <w:rPr>
                <w:rFonts w:asciiTheme="minorHAnsi" w:hAnsiTheme="minorHAnsi" w:cs="Arial"/>
                <w:b/>
                <w:bCs/>
                <w:sz w:val="22"/>
                <w:szCs w:val="22"/>
              </w:rPr>
            </w:pPr>
            <w:r w:rsidRPr="00AD1819">
              <w:rPr>
                <w:rFonts w:asciiTheme="minorHAnsi" w:hAnsiTheme="minorHAnsi" w:cs="Arial"/>
                <w:b/>
                <w:bCs/>
                <w:sz w:val="22"/>
                <w:szCs w:val="22"/>
              </w:rPr>
              <w:t>(Projected)</w:t>
            </w:r>
          </w:p>
        </w:tc>
      </w:tr>
      <w:tr w:rsidR="00B154E8" w:rsidRPr="00AD1819" w14:paraId="1C2F4797" w14:textId="77777777" w:rsidTr="00AD1819">
        <w:trPr>
          <w:trHeight w:val="314"/>
        </w:trPr>
        <w:tc>
          <w:tcPr>
            <w:tcW w:w="5166" w:type="dxa"/>
            <w:shd w:val="clear" w:color="000000" w:fill="FFFFFF"/>
            <w:noWrap/>
            <w:vAlign w:val="bottom"/>
            <w:hideMark/>
          </w:tcPr>
          <w:p w14:paraId="23A0D437" w14:textId="77777777" w:rsidR="00B154E8" w:rsidRPr="00AD1819" w:rsidRDefault="00B154E8" w:rsidP="00B154E8">
            <w:pPr>
              <w:rPr>
                <w:rFonts w:asciiTheme="minorHAnsi" w:hAnsiTheme="minorHAnsi" w:cs="Arial"/>
                <w:color w:val="000000"/>
                <w:sz w:val="22"/>
                <w:szCs w:val="22"/>
              </w:rPr>
            </w:pPr>
            <w:r w:rsidRPr="00AD1819">
              <w:rPr>
                <w:rFonts w:asciiTheme="minorHAnsi" w:hAnsiTheme="minorHAnsi" w:cs="Arial"/>
                <w:color w:val="000000"/>
                <w:sz w:val="22"/>
                <w:szCs w:val="22"/>
              </w:rPr>
              <w:t xml:space="preserve">O&amp;M for 1month </w:t>
            </w:r>
          </w:p>
        </w:tc>
        <w:tc>
          <w:tcPr>
            <w:tcW w:w="1922" w:type="dxa"/>
            <w:tcBorders>
              <w:top w:val="nil"/>
              <w:left w:val="single" w:sz="4" w:space="0" w:color="auto"/>
              <w:bottom w:val="single" w:sz="4" w:space="0" w:color="auto"/>
              <w:right w:val="single" w:sz="4" w:space="0" w:color="auto"/>
            </w:tcBorders>
            <w:shd w:val="clear" w:color="auto" w:fill="auto"/>
            <w:noWrap/>
            <w:vAlign w:val="bottom"/>
            <w:hideMark/>
          </w:tcPr>
          <w:p w14:paraId="718C212E" w14:textId="40E8FB63" w:rsidR="00B154E8" w:rsidRPr="00AD1819" w:rsidRDefault="00B154E8" w:rsidP="00B154E8">
            <w:pPr>
              <w:jc w:val="center"/>
              <w:rPr>
                <w:rFonts w:asciiTheme="minorHAnsi" w:hAnsiTheme="minorHAnsi" w:cs="Calibri"/>
                <w:color w:val="000000"/>
                <w:sz w:val="22"/>
                <w:szCs w:val="22"/>
              </w:rPr>
            </w:pPr>
            <w:r w:rsidRPr="00AD1819">
              <w:rPr>
                <w:rFonts w:asciiTheme="minorHAnsi" w:hAnsiTheme="minorHAnsi" w:cs="Arial"/>
                <w:sz w:val="22"/>
                <w:szCs w:val="22"/>
              </w:rPr>
              <w:t>79.06</w:t>
            </w:r>
          </w:p>
        </w:tc>
        <w:tc>
          <w:tcPr>
            <w:tcW w:w="1843" w:type="dxa"/>
            <w:tcBorders>
              <w:top w:val="nil"/>
              <w:left w:val="nil"/>
              <w:bottom w:val="single" w:sz="4" w:space="0" w:color="auto"/>
              <w:right w:val="single" w:sz="4" w:space="0" w:color="auto"/>
            </w:tcBorders>
            <w:shd w:val="clear" w:color="auto" w:fill="auto"/>
            <w:noWrap/>
            <w:vAlign w:val="bottom"/>
            <w:hideMark/>
          </w:tcPr>
          <w:p w14:paraId="27E1CAD6" w14:textId="4F4D810A" w:rsidR="00B154E8" w:rsidRPr="00AD1819" w:rsidRDefault="00B154E8" w:rsidP="00B154E8">
            <w:pPr>
              <w:jc w:val="center"/>
              <w:rPr>
                <w:rFonts w:asciiTheme="minorHAnsi" w:hAnsiTheme="minorHAnsi" w:cs="Calibri"/>
                <w:color w:val="000000"/>
                <w:sz w:val="22"/>
                <w:szCs w:val="22"/>
              </w:rPr>
            </w:pPr>
            <w:r w:rsidRPr="00AD1819">
              <w:rPr>
                <w:rFonts w:asciiTheme="minorHAnsi" w:hAnsiTheme="minorHAnsi" w:cs="Arial"/>
                <w:sz w:val="22"/>
                <w:szCs w:val="22"/>
              </w:rPr>
              <w:t>84.89</w:t>
            </w:r>
          </w:p>
        </w:tc>
      </w:tr>
      <w:tr w:rsidR="00B154E8" w:rsidRPr="00AD1819" w14:paraId="22714B6F" w14:textId="77777777" w:rsidTr="00AD1819">
        <w:trPr>
          <w:trHeight w:val="314"/>
        </w:trPr>
        <w:tc>
          <w:tcPr>
            <w:tcW w:w="5166" w:type="dxa"/>
            <w:shd w:val="clear" w:color="000000" w:fill="FFFFFF"/>
            <w:noWrap/>
            <w:vAlign w:val="bottom"/>
            <w:hideMark/>
          </w:tcPr>
          <w:p w14:paraId="5CDA2925" w14:textId="77777777" w:rsidR="00B154E8" w:rsidRPr="00AD1819" w:rsidRDefault="00B154E8" w:rsidP="00B154E8">
            <w:pPr>
              <w:rPr>
                <w:rFonts w:asciiTheme="minorHAnsi" w:hAnsiTheme="minorHAnsi" w:cs="Arial"/>
                <w:color w:val="000000"/>
                <w:sz w:val="22"/>
                <w:szCs w:val="22"/>
              </w:rPr>
            </w:pPr>
            <w:r w:rsidRPr="00AD1819">
              <w:rPr>
                <w:rFonts w:asciiTheme="minorHAnsi" w:hAnsiTheme="minorHAnsi" w:cs="Arial"/>
                <w:color w:val="000000"/>
                <w:sz w:val="22"/>
                <w:szCs w:val="22"/>
              </w:rPr>
              <w:t xml:space="preserve">Spares 20% of R&amp;M of 1 month </w:t>
            </w:r>
          </w:p>
        </w:tc>
        <w:tc>
          <w:tcPr>
            <w:tcW w:w="1922" w:type="dxa"/>
            <w:tcBorders>
              <w:top w:val="nil"/>
              <w:left w:val="single" w:sz="4" w:space="0" w:color="auto"/>
              <w:bottom w:val="single" w:sz="4" w:space="0" w:color="auto"/>
              <w:right w:val="single" w:sz="4" w:space="0" w:color="auto"/>
            </w:tcBorders>
            <w:shd w:val="clear" w:color="auto" w:fill="auto"/>
            <w:noWrap/>
            <w:vAlign w:val="bottom"/>
            <w:hideMark/>
          </w:tcPr>
          <w:p w14:paraId="3DAC174A" w14:textId="4C888748" w:rsidR="00B154E8" w:rsidRPr="00AD1819" w:rsidRDefault="00B154E8" w:rsidP="00B154E8">
            <w:pPr>
              <w:jc w:val="center"/>
              <w:rPr>
                <w:rFonts w:asciiTheme="minorHAnsi" w:hAnsiTheme="minorHAnsi" w:cs="Calibri"/>
                <w:color w:val="000000"/>
                <w:sz w:val="22"/>
                <w:szCs w:val="22"/>
              </w:rPr>
            </w:pPr>
            <w:r w:rsidRPr="00AD1819">
              <w:rPr>
                <w:rFonts w:asciiTheme="minorHAnsi" w:hAnsiTheme="minorHAnsi" w:cs="Arial"/>
                <w:sz w:val="22"/>
                <w:szCs w:val="22"/>
              </w:rPr>
              <w:t>4.54</w:t>
            </w:r>
          </w:p>
        </w:tc>
        <w:tc>
          <w:tcPr>
            <w:tcW w:w="1843" w:type="dxa"/>
            <w:tcBorders>
              <w:top w:val="nil"/>
              <w:left w:val="nil"/>
              <w:bottom w:val="single" w:sz="4" w:space="0" w:color="auto"/>
              <w:right w:val="single" w:sz="4" w:space="0" w:color="auto"/>
            </w:tcBorders>
            <w:shd w:val="clear" w:color="auto" w:fill="auto"/>
            <w:noWrap/>
            <w:vAlign w:val="bottom"/>
            <w:hideMark/>
          </w:tcPr>
          <w:p w14:paraId="0E064AD3" w14:textId="1322A3EE" w:rsidR="00B154E8" w:rsidRPr="00AD1819" w:rsidRDefault="00B154E8" w:rsidP="00B154E8">
            <w:pPr>
              <w:jc w:val="center"/>
              <w:rPr>
                <w:rFonts w:asciiTheme="minorHAnsi" w:hAnsiTheme="minorHAnsi" w:cs="Calibri"/>
                <w:color w:val="000000"/>
                <w:sz w:val="22"/>
                <w:szCs w:val="22"/>
              </w:rPr>
            </w:pPr>
            <w:r w:rsidRPr="00AD1819">
              <w:rPr>
                <w:rFonts w:asciiTheme="minorHAnsi" w:hAnsiTheme="minorHAnsi" w:cs="Arial"/>
                <w:sz w:val="22"/>
                <w:szCs w:val="22"/>
              </w:rPr>
              <w:t>4.81</w:t>
            </w:r>
          </w:p>
        </w:tc>
      </w:tr>
      <w:tr w:rsidR="00B154E8" w:rsidRPr="00AD1819" w14:paraId="261D9B68" w14:textId="77777777" w:rsidTr="00AD1819">
        <w:trPr>
          <w:trHeight w:val="314"/>
        </w:trPr>
        <w:tc>
          <w:tcPr>
            <w:tcW w:w="5166" w:type="dxa"/>
            <w:shd w:val="clear" w:color="000000" w:fill="FFFFFF"/>
            <w:noWrap/>
            <w:vAlign w:val="bottom"/>
            <w:hideMark/>
          </w:tcPr>
          <w:p w14:paraId="6F679F70" w14:textId="77777777" w:rsidR="00B154E8" w:rsidRPr="00AD1819" w:rsidRDefault="00B154E8" w:rsidP="00B154E8">
            <w:pPr>
              <w:rPr>
                <w:rFonts w:asciiTheme="minorHAnsi" w:hAnsiTheme="minorHAnsi" w:cs="Arial"/>
                <w:color w:val="000000"/>
                <w:sz w:val="22"/>
                <w:szCs w:val="22"/>
              </w:rPr>
            </w:pPr>
            <w:proofErr w:type="gramStart"/>
            <w:r w:rsidRPr="00AD1819">
              <w:rPr>
                <w:rFonts w:asciiTheme="minorHAnsi" w:hAnsiTheme="minorHAnsi" w:cs="Arial"/>
                <w:color w:val="000000"/>
                <w:sz w:val="22"/>
                <w:szCs w:val="22"/>
              </w:rPr>
              <w:t>1 month</w:t>
            </w:r>
            <w:proofErr w:type="gramEnd"/>
            <w:r w:rsidRPr="00AD1819">
              <w:rPr>
                <w:rFonts w:asciiTheme="minorHAnsi" w:hAnsiTheme="minorHAnsi" w:cs="Arial"/>
                <w:color w:val="000000"/>
                <w:sz w:val="22"/>
                <w:szCs w:val="22"/>
              </w:rPr>
              <w:t xml:space="preserve"> power purchase cost</w:t>
            </w:r>
          </w:p>
        </w:tc>
        <w:tc>
          <w:tcPr>
            <w:tcW w:w="1922" w:type="dxa"/>
            <w:tcBorders>
              <w:top w:val="nil"/>
              <w:left w:val="single" w:sz="4" w:space="0" w:color="auto"/>
              <w:bottom w:val="single" w:sz="4" w:space="0" w:color="auto"/>
              <w:right w:val="single" w:sz="4" w:space="0" w:color="auto"/>
            </w:tcBorders>
            <w:shd w:val="clear" w:color="auto" w:fill="auto"/>
            <w:noWrap/>
            <w:vAlign w:val="bottom"/>
            <w:hideMark/>
          </w:tcPr>
          <w:p w14:paraId="7805774D" w14:textId="5F86C7F1" w:rsidR="00B154E8" w:rsidRPr="00AD1819" w:rsidRDefault="00B154E8" w:rsidP="00B154E8">
            <w:pPr>
              <w:jc w:val="center"/>
              <w:rPr>
                <w:rFonts w:asciiTheme="minorHAnsi" w:hAnsiTheme="minorHAnsi" w:cs="Calibri"/>
                <w:color w:val="000000"/>
                <w:sz w:val="22"/>
                <w:szCs w:val="22"/>
              </w:rPr>
            </w:pPr>
            <w:r w:rsidRPr="00AD1819">
              <w:rPr>
                <w:rFonts w:asciiTheme="minorHAnsi" w:hAnsiTheme="minorHAnsi" w:cs="Arial"/>
                <w:sz w:val="22"/>
                <w:szCs w:val="22"/>
              </w:rPr>
              <w:t>250.62</w:t>
            </w:r>
          </w:p>
        </w:tc>
        <w:tc>
          <w:tcPr>
            <w:tcW w:w="1843" w:type="dxa"/>
            <w:tcBorders>
              <w:top w:val="nil"/>
              <w:left w:val="nil"/>
              <w:bottom w:val="single" w:sz="4" w:space="0" w:color="auto"/>
              <w:right w:val="single" w:sz="4" w:space="0" w:color="auto"/>
            </w:tcBorders>
            <w:shd w:val="clear" w:color="auto" w:fill="auto"/>
            <w:noWrap/>
            <w:vAlign w:val="bottom"/>
            <w:hideMark/>
          </w:tcPr>
          <w:p w14:paraId="04BEC87A" w14:textId="40828BFE" w:rsidR="00B154E8" w:rsidRPr="00AD1819" w:rsidRDefault="00B154E8" w:rsidP="00B154E8">
            <w:pPr>
              <w:jc w:val="center"/>
              <w:rPr>
                <w:rFonts w:asciiTheme="minorHAnsi" w:hAnsiTheme="minorHAnsi" w:cs="Calibri"/>
                <w:color w:val="000000"/>
                <w:sz w:val="22"/>
                <w:szCs w:val="22"/>
              </w:rPr>
            </w:pPr>
            <w:r w:rsidRPr="00AD1819">
              <w:rPr>
                <w:rFonts w:asciiTheme="minorHAnsi" w:hAnsiTheme="minorHAnsi" w:cs="Arial"/>
                <w:sz w:val="22"/>
                <w:szCs w:val="22"/>
              </w:rPr>
              <w:t>271.87</w:t>
            </w:r>
          </w:p>
        </w:tc>
      </w:tr>
      <w:tr w:rsidR="00B154E8" w:rsidRPr="00AD1819" w14:paraId="5F012357" w14:textId="77777777" w:rsidTr="00AD1819">
        <w:trPr>
          <w:trHeight w:val="314"/>
        </w:trPr>
        <w:tc>
          <w:tcPr>
            <w:tcW w:w="5166" w:type="dxa"/>
            <w:shd w:val="clear" w:color="000000" w:fill="FFFFFF"/>
            <w:noWrap/>
            <w:vAlign w:val="bottom"/>
            <w:hideMark/>
          </w:tcPr>
          <w:p w14:paraId="58DFA944" w14:textId="77777777" w:rsidR="00B154E8" w:rsidRPr="00AD1819" w:rsidRDefault="00B154E8" w:rsidP="00B154E8">
            <w:pPr>
              <w:rPr>
                <w:rFonts w:asciiTheme="minorHAnsi" w:hAnsiTheme="minorHAnsi" w:cs="Arial"/>
                <w:b/>
                <w:bCs/>
                <w:color w:val="000000"/>
                <w:sz w:val="22"/>
                <w:szCs w:val="22"/>
              </w:rPr>
            </w:pPr>
            <w:r w:rsidRPr="00AD1819">
              <w:rPr>
                <w:rFonts w:asciiTheme="minorHAnsi" w:hAnsiTheme="minorHAnsi" w:cs="Arial"/>
                <w:b/>
                <w:bCs/>
                <w:color w:val="000000"/>
                <w:sz w:val="22"/>
                <w:szCs w:val="22"/>
              </w:rPr>
              <w:t>Total</w:t>
            </w:r>
          </w:p>
        </w:tc>
        <w:tc>
          <w:tcPr>
            <w:tcW w:w="1922" w:type="dxa"/>
            <w:tcBorders>
              <w:top w:val="nil"/>
              <w:left w:val="single" w:sz="4" w:space="0" w:color="auto"/>
              <w:bottom w:val="single" w:sz="4" w:space="0" w:color="auto"/>
              <w:right w:val="single" w:sz="4" w:space="0" w:color="auto"/>
            </w:tcBorders>
            <w:shd w:val="clear" w:color="auto" w:fill="auto"/>
            <w:noWrap/>
            <w:vAlign w:val="bottom"/>
            <w:hideMark/>
          </w:tcPr>
          <w:p w14:paraId="5C79B7E0" w14:textId="483F05A3" w:rsidR="00B154E8" w:rsidRPr="00AD1819" w:rsidRDefault="00B154E8" w:rsidP="00B154E8">
            <w:pPr>
              <w:jc w:val="center"/>
              <w:rPr>
                <w:rFonts w:asciiTheme="minorHAnsi" w:hAnsiTheme="minorHAnsi" w:cs="Calibri"/>
                <w:color w:val="000000"/>
                <w:sz w:val="22"/>
                <w:szCs w:val="22"/>
              </w:rPr>
            </w:pPr>
            <w:r w:rsidRPr="00AD1819">
              <w:rPr>
                <w:rFonts w:asciiTheme="minorHAnsi" w:hAnsiTheme="minorHAnsi" w:cs="Arial"/>
                <w:sz w:val="22"/>
                <w:szCs w:val="22"/>
              </w:rPr>
              <w:t>334.22</w:t>
            </w:r>
          </w:p>
        </w:tc>
        <w:tc>
          <w:tcPr>
            <w:tcW w:w="1843" w:type="dxa"/>
            <w:tcBorders>
              <w:top w:val="nil"/>
              <w:left w:val="nil"/>
              <w:bottom w:val="single" w:sz="4" w:space="0" w:color="auto"/>
              <w:right w:val="single" w:sz="4" w:space="0" w:color="auto"/>
            </w:tcBorders>
            <w:shd w:val="clear" w:color="auto" w:fill="auto"/>
            <w:noWrap/>
            <w:vAlign w:val="bottom"/>
            <w:hideMark/>
          </w:tcPr>
          <w:p w14:paraId="448FE2EB" w14:textId="7B89202B" w:rsidR="00B154E8" w:rsidRPr="00AD1819" w:rsidRDefault="00B154E8" w:rsidP="00B154E8">
            <w:pPr>
              <w:jc w:val="center"/>
              <w:rPr>
                <w:rFonts w:asciiTheme="minorHAnsi" w:hAnsiTheme="minorHAnsi" w:cs="Calibri"/>
                <w:color w:val="000000"/>
                <w:sz w:val="22"/>
                <w:szCs w:val="22"/>
              </w:rPr>
            </w:pPr>
            <w:r w:rsidRPr="00AD1819">
              <w:rPr>
                <w:rFonts w:asciiTheme="minorHAnsi" w:hAnsiTheme="minorHAnsi" w:cs="Arial"/>
                <w:sz w:val="22"/>
                <w:szCs w:val="22"/>
              </w:rPr>
              <w:t>361.57</w:t>
            </w:r>
          </w:p>
        </w:tc>
      </w:tr>
      <w:tr w:rsidR="00B154E8" w:rsidRPr="00AD1819" w14:paraId="0FEF2CD3" w14:textId="77777777" w:rsidTr="00AD1819">
        <w:trPr>
          <w:trHeight w:val="314"/>
        </w:trPr>
        <w:tc>
          <w:tcPr>
            <w:tcW w:w="5166" w:type="dxa"/>
            <w:shd w:val="clear" w:color="000000" w:fill="FFFFFF"/>
            <w:noWrap/>
            <w:vAlign w:val="bottom"/>
            <w:hideMark/>
          </w:tcPr>
          <w:p w14:paraId="49B5B5DE" w14:textId="2432892F" w:rsidR="00B154E8" w:rsidRPr="00AD1819" w:rsidRDefault="00B154E8" w:rsidP="00B154E8">
            <w:pPr>
              <w:rPr>
                <w:rFonts w:asciiTheme="minorHAnsi" w:hAnsiTheme="minorHAnsi" w:cs="Arial"/>
                <w:color w:val="000000"/>
                <w:sz w:val="22"/>
                <w:szCs w:val="22"/>
              </w:rPr>
            </w:pPr>
            <w:r w:rsidRPr="00AD1819">
              <w:rPr>
                <w:rFonts w:asciiTheme="minorHAnsi" w:hAnsiTheme="minorHAnsi" w:cs="Arial"/>
                <w:color w:val="000000"/>
                <w:sz w:val="22"/>
                <w:szCs w:val="22"/>
              </w:rPr>
              <w:t>Less:</w:t>
            </w:r>
            <w:r w:rsidR="00AD1819">
              <w:rPr>
                <w:rFonts w:asciiTheme="minorHAnsi" w:hAnsiTheme="minorHAnsi" w:cs="Arial"/>
                <w:color w:val="000000"/>
                <w:sz w:val="22"/>
                <w:szCs w:val="22"/>
              </w:rPr>
              <w:t xml:space="preserve"> </w:t>
            </w:r>
            <w:r w:rsidRPr="00AD1819">
              <w:rPr>
                <w:rFonts w:asciiTheme="minorHAnsi" w:hAnsiTheme="minorHAnsi" w:cs="Arial"/>
                <w:color w:val="000000"/>
                <w:sz w:val="22"/>
                <w:szCs w:val="22"/>
              </w:rPr>
              <w:t>Dep on Legacy asset</w:t>
            </w:r>
          </w:p>
        </w:tc>
        <w:tc>
          <w:tcPr>
            <w:tcW w:w="1922" w:type="dxa"/>
            <w:tcBorders>
              <w:top w:val="nil"/>
              <w:left w:val="single" w:sz="4" w:space="0" w:color="auto"/>
              <w:bottom w:val="single" w:sz="4" w:space="0" w:color="auto"/>
              <w:right w:val="single" w:sz="4" w:space="0" w:color="auto"/>
            </w:tcBorders>
            <w:shd w:val="clear" w:color="auto" w:fill="auto"/>
            <w:noWrap/>
            <w:vAlign w:val="bottom"/>
            <w:hideMark/>
          </w:tcPr>
          <w:p w14:paraId="662A5E5D" w14:textId="6E60E800" w:rsidR="00B154E8" w:rsidRPr="00AD1819" w:rsidRDefault="00B154E8" w:rsidP="00B154E8">
            <w:pPr>
              <w:jc w:val="center"/>
              <w:rPr>
                <w:rFonts w:asciiTheme="minorHAnsi" w:hAnsiTheme="minorHAnsi" w:cs="Calibri"/>
                <w:color w:val="000000"/>
                <w:sz w:val="22"/>
                <w:szCs w:val="22"/>
              </w:rPr>
            </w:pPr>
            <w:r w:rsidRPr="00AD1819">
              <w:rPr>
                <w:rFonts w:asciiTheme="minorHAnsi" w:hAnsiTheme="minorHAnsi" w:cs="Arial"/>
                <w:sz w:val="22"/>
                <w:szCs w:val="22"/>
              </w:rPr>
              <w:t>9.65</w:t>
            </w:r>
          </w:p>
        </w:tc>
        <w:tc>
          <w:tcPr>
            <w:tcW w:w="1843" w:type="dxa"/>
            <w:tcBorders>
              <w:top w:val="nil"/>
              <w:left w:val="nil"/>
              <w:bottom w:val="single" w:sz="4" w:space="0" w:color="auto"/>
              <w:right w:val="single" w:sz="4" w:space="0" w:color="auto"/>
            </w:tcBorders>
            <w:shd w:val="clear" w:color="auto" w:fill="auto"/>
            <w:noWrap/>
            <w:vAlign w:val="bottom"/>
            <w:hideMark/>
          </w:tcPr>
          <w:p w14:paraId="0272FA0B" w14:textId="2A0C25FD" w:rsidR="00B154E8" w:rsidRPr="00AD1819" w:rsidRDefault="00B154E8" w:rsidP="00B154E8">
            <w:pPr>
              <w:jc w:val="center"/>
              <w:rPr>
                <w:rFonts w:asciiTheme="minorHAnsi" w:hAnsiTheme="minorHAnsi" w:cs="Calibri"/>
                <w:color w:val="000000"/>
                <w:sz w:val="22"/>
                <w:szCs w:val="22"/>
              </w:rPr>
            </w:pPr>
            <w:r w:rsidRPr="00AD1819">
              <w:rPr>
                <w:rFonts w:asciiTheme="minorHAnsi" w:hAnsiTheme="minorHAnsi" w:cs="Arial"/>
                <w:sz w:val="22"/>
                <w:szCs w:val="22"/>
              </w:rPr>
              <w:t>9.65</w:t>
            </w:r>
          </w:p>
        </w:tc>
      </w:tr>
      <w:tr w:rsidR="00B154E8" w:rsidRPr="00AD1819" w14:paraId="12A9D277" w14:textId="77777777" w:rsidTr="00AD1819">
        <w:trPr>
          <w:trHeight w:val="314"/>
        </w:trPr>
        <w:tc>
          <w:tcPr>
            <w:tcW w:w="5166" w:type="dxa"/>
            <w:shd w:val="clear" w:color="000000" w:fill="FFFFFF"/>
            <w:noWrap/>
            <w:vAlign w:val="bottom"/>
            <w:hideMark/>
          </w:tcPr>
          <w:p w14:paraId="6597504D" w14:textId="77777777" w:rsidR="00B154E8" w:rsidRPr="00AD1819" w:rsidRDefault="00B154E8" w:rsidP="00B154E8">
            <w:pPr>
              <w:rPr>
                <w:rFonts w:asciiTheme="minorHAnsi" w:hAnsiTheme="minorHAnsi" w:cs="Arial"/>
                <w:color w:val="000000"/>
                <w:sz w:val="22"/>
                <w:szCs w:val="22"/>
              </w:rPr>
            </w:pPr>
            <w:r w:rsidRPr="00AD1819">
              <w:rPr>
                <w:rFonts w:asciiTheme="minorHAnsi" w:hAnsiTheme="minorHAnsi" w:cs="Arial"/>
                <w:color w:val="000000"/>
                <w:sz w:val="22"/>
                <w:szCs w:val="22"/>
              </w:rPr>
              <w:t xml:space="preserve">Net </w:t>
            </w:r>
            <w:proofErr w:type="spellStart"/>
            <w:r w:rsidRPr="00AD1819">
              <w:rPr>
                <w:rFonts w:asciiTheme="minorHAnsi" w:hAnsiTheme="minorHAnsi" w:cs="Arial"/>
                <w:color w:val="000000"/>
                <w:sz w:val="22"/>
                <w:szCs w:val="22"/>
              </w:rPr>
              <w:t>W.cap</w:t>
            </w:r>
            <w:proofErr w:type="spellEnd"/>
            <w:r w:rsidRPr="00AD1819">
              <w:rPr>
                <w:rFonts w:asciiTheme="minorHAnsi" w:hAnsiTheme="minorHAnsi" w:cs="Arial"/>
                <w:color w:val="000000"/>
                <w:sz w:val="22"/>
                <w:szCs w:val="22"/>
              </w:rPr>
              <w:t xml:space="preserve"> requirement</w:t>
            </w:r>
          </w:p>
        </w:tc>
        <w:tc>
          <w:tcPr>
            <w:tcW w:w="1922" w:type="dxa"/>
            <w:tcBorders>
              <w:top w:val="nil"/>
              <w:left w:val="single" w:sz="4" w:space="0" w:color="auto"/>
              <w:bottom w:val="single" w:sz="4" w:space="0" w:color="auto"/>
              <w:right w:val="single" w:sz="4" w:space="0" w:color="auto"/>
            </w:tcBorders>
            <w:shd w:val="clear" w:color="auto" w:fill="auto"/>
            <w:noWrap/>
            <w:vAlign w:val="bottom"/>
            <w:hideMark/>
          </w:tcPr>
          <w:p w14:paraId="3F5AB8E9" w14:textId="16A0D263" w:rsidR="00B154E8" w:rsidRPr="00AD1819" w:rsidRDefault="00B154E8" w:rsidP="00B154E8">
            <w:pPr>
              <w:jc w:val="center"/>
              <w:rPr>
                <w:rFonts w:asciiTheme="minorHAnsi" w:hAnsiTheme="minorHAnsi" w:cs="Calibri"/>
                <w:color w:val="000000"/>
                <w:sz w:val="22"/>
                <w:szCs w:val="22"/>
              </w:rPr>
            </w:pPr>
            <w:r w:rsidRPr="00AD1819">
              <w:rPr>
                <w:rFonts w:asciiTheme="minorHAnsi" w:hAnsiTheme="minorHAnsi" w:cs="Arial"/>
                <w:sz w:val="22"/>
                <w:szCs w:val="22"/>
              </w:rPr>
              <w:t>324.57</w:t>
            </w:r>
          </w:p>
        </w:tc>
        <w:tc>
          <w:tcPr>
            <w:tcW w:w="1843" w:type="dxa"/>
            <w:tcBorders>
              <w:top w:val="nil"/>
              <w:left w:val="nil"/>
              <w:bottom w:val="single" w:sz="4" w:space="0" w:color="auto"/>
              <w:right w:val="single" w:sz="4" w:space="0" w:color="auto"/>
            </w:tcBorders>
            <w:shd w:val="clear" w:color="auto" w:fill="auto"/>
            <w:noWrap/>
            <w:vAlign w:val="bottom"/>
            <w:hideMark/>
          </w:tcPr>
          <w:p w14:paraId="16749CA3" w14:textId="3B751D2D" w:rsidR="00B154E8" w:rsidRPr="00AD1819" w:rsidRDefault="00B154E8" w:rsidP="00B154E8">
            <w:pPr>
              <w:jc w:val="center"/>
              <w:rPr>
                <w:rFonts w:asciiTheme="minorHAnsi" w:hAnsiTheme="minorHAnsi" w:cs="Calibri"/>
                <w:color w:val="000000"/>
                <w:sz w:val="22"/>
                <w:szCs w:val="22"/>
              </w:rPr>
            </w:pPr>
            <w:r w:rsidRPr="00AD1819">
              <w:rPr>
                <w:rFonts w:asciiTheme="minorHAnsi" w:hAnsiTheme="minorHAnsi" w:cs="Arial"/>
                <w:sz w:val="22"/>
                <w:szCs w:val="22"/>
              </w:rPr>
              <w:t>351.92</w:t>
            </w:r>
          </w:p>
        </w:tc>
      </w:tr>
      <w:tr w:rsidR="00B154E8" w:rsidRPr="00AD1819" w14:paraId="2EF090AA" w14:textId="77777777" w:rsidTr="00AD1819">
        <w:trPr>
          <w:trHeight w:val="314"/>
        </w:trPr>
        <w:tc>
          <w:tcPr>
            <w:tcW w:w="5166" w:type="dxa"/>
            <w:shd w:val="clear" w:color="000000" w:fill="FFFFFF"/>
            <w:vAlign w:val="bottom"/>
            <w:hideMark/>
          </w:tcPr>
          <w:p w14:paraId="17FBCA04" w14:textId="77777777" w:rsidR="00B154E8" w:rsidRPr="00AD1819" w:rsidRDefault="00B154E8" w:rsidP="00B154E8">
            <w:pPr>
              <w:rPr>
                <w:rFonts w:asciiTheme="minorHAnsi" w:hAnsiTheme="minorHAnsi" w:cs="Arial"/>
                <w:color w:val="000000"/>
                <w:sz w:val="22"/>
                <w:szCs w:val="22"/>
              </w:rPr>
            </w:pPr>
            <w:r w:rsidRPr="00AD1819">
              <w:rPr>
                <w:rFonts w:asciiTheme="minorHAnsi" w:hAnsiTheme="minorHAnsi" w:cs="Arial"/>
                <w:color w:val="000000"/>
                <w:sz w:val="22"/>
                <w:szCs w:val="22"/>
              </w:rPr>
              <w:t>Interest rate estimated</w:t>
            </w:r>
          </w:p>
        </w:tc>
        <w:tc>
          <w:tcPr>
            <w:tcW w:w="1922" w:type="dxa"/>
            <w:tcBorders>
              <w:top w:val="nil"/>
              <w:left w:val="single" w:sz="4" w:space="0" w:color="auto"/>
              <w:bottom w:val="single" w:sz="4" w:space="0" w:color="auto"/>
              <w:right w:val="single" w:sz="4" w:space="0" w:color="auto"/>
            </w:tcBorders>
            <w:shd w:val="clear" w:color="auto" w:fill="auto"/>
            <w:noWrap/>
            <w:vAlign w:val="bottom"/>
            <w:hideMark/>
          </w:tcPr>
          <w:p w14:paraId="5B3FA2AB" w14:textId="2016B785" w:rsidR="00B154E8" w:rsidRPr="00AD1819" w:rsidRDefault="00B154E8" w:rsidP="00B154E8">
            <w:pPr>
              <w:jc w:val="center"/>
              <w:rPr>
                <w:rFonts w:asciiTheme="minorHAnsi" w:hAnsiTheme="minorHAnsi" w:cs="Calibri"/>
                <w:color w:val="000000"/>
                <w:sz w:val="22"/>
                <w:szCs w:val="22"/>
              </w:rPr>
            </w:pPr>
            <w:r w:rsidRPr="00AD1819">
              <w:rPr>
                <w:rFonts w:asciiTheme="minorHAnsi" w:hAnsiTheme="minorHAnsi" w:cs="Arial"/>
                <w:sz w:val="22"/>
                <w:szCs w:val="22"/>
              </w:rPr>
              <w:t>8.50%</w:t>
            </w:r>
          </w:p>
        </w:tc>
        <w:tc>
          <w:tcPr>
            <w:tcW w:w="1843" w:type="dxa"/>
            <w:tcBorders>
              <w:top w:val="nil"/>
              <w:left w:val="nil"/>
              <w:bottom w:val="single" w:sz="4" w:space="0" w:color="auto"/>
              <w:right w:val="single" w:sz="4" w:space="0" w:color="auto"/>
            </w:tcBorders>
            <w:shd w:val="clear" w:color="auto" w:fill="auto"/>
            <w:noWrap/>
            <w:vAlign w:val="bottom"/>
            <w:hideMark/>
          </w:tcPr>
          <w:p w14:paraId="3350699E" w14:textId="5057ACD6" w:rsidR="00B154E8" w:rsidRPr="00AD1819" w:rsidRDefault="00B154E8" w:rsidP="00B154E8">
            <w:pPr>
              <w:jc w:val="center"/>
              <w:rPr>
                <w:rFonts w:asciiTheme="minorHAnsi" w:hAnsiTheme="minorHAnsi" w:cs="Calibri"/>
                <w:color w:val="000000"/>
                <w:sz w:val="22"/>
                <w:szCs w:val="22"/>
              </w:rPr>
            </w:pPr>
            <w:r w:rsidRPr="00AD1819">
              <w:rPr>
                <w:rFonts w:asciiTheme="minorHAnsi" w:hAnsiTheme="minorHAnsi" w:cs="Arial"/>
                <w:sz w:val="22"/>
                <w:szCs w:val="22"/>
              </w:rPr>
              <w:t>8.50%</w:t>
            </w:r>
          </w:p>
        </w:tc>
      </w:tr>
      <w:tr w:rsidR="00B154E8" w:rsidRPr="00AD1819" w14:paraId="0C1E07E9" w14:textId="77777777" w:rsidTr="00AD1819">
        <w:trPr>
          <w:trHeight w:val="314"/>
        </w:trPr>
        <w:tc>
          <w:tcPr>
            <w:tcW w:w="5166" w:type="dxa"/>
            <w:shd w:val="clear" w:color="000000" w:fill="FFFFFF"/>
            <w:noWrap/>
            <w:vAlign w:val="bottom"/>
            <w:hideMark/>
          </w:tcPr>
          <w:p w14:paraId="5DEAA16C" w14:textId="5CD94337" w:rsidR="00B154E8" w:rsidRPr="00AD1819" w:rsidRDefault="00B154E8" w:rsidP="00B154E8">
            <w:pPr>
              <w:rPr>
                <w:rFonts w:asciiTheme="minorHAnsi" w:hAnsiTheme="minorHAnsi" w:cs="Arial"/>
                <w:color w:val="000000"/>
                <w:sz w:val="22"/>
                <w:szCs w:val="22"/>
              </w:rPr>
            </w:pPr>
            <w:r w:rsidRPr="00AD1819">
              <w:rPr>
                <w:rFonts w:asciiTheme="minorHAnsi" w:hAnsiTheme="minorHAnsi" w:cs="Arial"/>
                <w:color w:val="000000"/>
                <w:sz w:val="22"/>
                <w:szCs w:val="22"/>
              </w:rPr>
              <w:t>Interest on working capital (%)</w:t>
            </w:r>
          </w:p>
        </w:tc>
        <w:tc>
          <w:tcPr>
            <w:tcW w:w="1922" w:type="dxa"/>
            <w:tcBorders>
              <w:top w:val="nil"/>
              <w:left w:val="single" w:sz="4" w:space="0" w:color="auto"/>
              <w:bottom w:val="single" w:sz="4" w:space="0" w:color="auto"/>
              <w:right w:val="single" w:sz="4" w:space="0" w:color="auto"/>
            </w:tcBorders>
            <w:shd w:val="clear" w:color="auto" w:fill="auto"/>
            <w:noWrap/>
            <w:vAlign w:val="bottom"/>
            <w:hideMark/>
          </w:tcPr>
          <w:p w14:paraId="5C03F62C" w14:textId="4995A060" w:rsidR="00B154E8" w:rsidRPr="00AD1819" w:rsidRDefault="00B154E8" w:rsidP="00B154E8">
            <w:pPr>
              <w:jc w:val="center"/>
              <w:rPr>
                <w:rFonts w:asciiTheme="minorHAnsi" w:hAnsiTheme="minorHAnsi" w:cs="Calibri"/>
                <w:color w:val="000000"/>
                <w:sz w:val="22"/>
                <w:szCs w:val="22"/>
              </w:rPr>
            </w:pPr>
            <w:r w:rsidRPr="00AD1819">
              <w:rPr>
                <w:rFonts w:asciiTheme="minorHAnsi" w:hAnsiTheme="minorHAnsi" w:cs="Arial"/>
                <w:sz w:val="22"/>
                <w:szCs w:val="22"/>
              </w:rPr>
              <w:t>27.59</w:t>
            </w:r>
          </w:p>
        </w:tc>
        <w:tc>
          <w:tcPr>
            <w:tcW w:w="1843" w:type="dxa"/>
            <w:tcBorders>
              <w:top w:val="nil"/>
              <w:left w:val="nil"/>
              <w:bottom w:val="single" w:sz="4" w:space="0" w:color="auto"/>
              <w:right w:val="single" w:sz="4" w:space="0" w:color="auto"/>
            </w:tcBorders>
            <w:shd w:val="clear" w:color="auto" w:fill="auto"/>
            <w:noWrap/>
            <w:vAlign w:val="bottom"/>
            <w:hideMark/>
          </w:tcPr>
          <w:p w14:paraId="1F07DFB6" w14:textId="1E8C7344" w:rsidR="00B154E8" w:rsidRPr="00AD1819" w:rsidRDefault="00B154E8" w:rsidP="00B154E8">
            <w:pPr>
              <w:jc w:val="center"/>
              <w:rPr>
                <w:rFonts w:asciiTheme="minorHAnsi" w:hAnsiTheme="minorHAnsi" w:cs="Calibri"/>
                <w:color w:val="000000"/>
                <w:sz w:val="22"/>
                <w:szCs w:val="22"/>
              </w:rPr>
            </w:pPr>
            <w:r w:rsidRPr="00AD1819">
              <w:rPr>
                <w:rFonts w:asciiTheme="minorHAnsi" w:hAnsiTheme="minorHAnsi" w:cs="Arial"/>
                <w:sz w:val="22"/>
                <w:szCs w:val="22"/>
              </w:rPr>
              <w:t>29.91</w:t>
            </w:r>
          </w:p>
        </w:tc>
      </w:tr>
      <w:tr w:rsidR="00B154E8" w:rsidRPr="00AD1819" w14:paraId="1642C478" w14:textId="77777777" w:rsidTr="00AD1819">
        <w:trPr>
          <w:trHeight w:val="314"/>
        </w:trPr>
        <w:tc>
          <w:tcPr>
            <w:tcW w:w="5166" w:type="dxa"/>
            <w:shd w:val="clear" w:color="auto" w:fill="auto"/>
            <w:noWrap/>
            <w:vAlign w:val="bottom"/>
            <w:hideMark/>
          </w:tcPr>
          <w:p w14:paraId="7722315C" w14:textId="77777777" w:rsidR="00B154E8" w:rsidRPr="00AD1819" w:rsidRDefault="00B154E8" w:rsidP="00B154E8">
            <w:pPr>
              <w:rPr>
                <w:rFonts w:asciiTheme="minorHAnsi" w:hAnsiTheme="minorHAnsi" w:cs="Calibri"/>
                <w:color w:val="000000"/>
                <w:sz w:val="22"/>
                <w:szCs w:val="22"/>
              </w:rPr>
            </w:pPr>
            <w:r w:rsidRPr="00AD1819">
              <w:rPr>
                <w:rFonts w:asciiTheme="minorHAnsi" w:hAnsiTheme="minorHAnsi" w:cs="Calibri"/>
                <w:color w:val="000000"/>
                <w:sz w:val="22"/>
                <w:szCs w:val="22"/>
              </w:rPr>
              <w:t>Add: Financing Cost/LC issue charges</w:t>
            </w:r>
          </w:p>
        </w:tc>
        <w:tc>
          <w:tcPr>
            <w:tcW w:w="1922" w:type="dxa"/>
            <w:tcBorders>
              <w:top w:val="nil"/>
              <w:left w:val="single" w:sz="4" w:space="0" w:color="auto"/>
              <w:bottom w:val="single" w:sz="4" w:space="0" w:color="auto"/>
              <w:right w:val="single" w:sz="4" w:space="0" w:color="auto"/>
            </w:tcBorders>
            <w:shd w:val="clear" w:color="auto" w:fill="auto"/>
            <w:noWrap/>
            <w:vAlign w:val="bottom"/>
            <w:hideMark/>
          </w:tcPr>
          <w:p w14:paraId="43653930" w14:textId="52447710" w:rsidR="00B154E8" w:rsidRPr="00AD1819" w:rsidRDefault="00B154E8" w:rsidP="00B154E8">
            <w:pPr>
              <w:jc w:val="center"/>
              <w:rPr>
                <w:rFonts w:asciiTheme="minorHAnsi" w:hAnsiTheme="minorHAnsi" w:cs="Calibri"/>
                <w:color w:val="000000"/>
                <w:sz w:val="22"/>
                <w:szCs w:val="22"/>
              </w:rPr>
            </w:pPr>
            <w:r w:rsidRPr="00AD1819">
              <w:rPr>
                <w:rFonts w:asciiTheme="minorHAnsi" w:hAnsiTheme="minorHAnsi" w:cs="Arial"/>
                <w:sz w:val="22"/>
                <w:szCs w:val="22"/>
              </w:rPr>
              <w:t>4.00</w:t>
            </w:r>
          </w:p>
        </w:tc>
        <w:tc>
          <w:tcPr>
            <w:tcW w:w="1843" w:type="dxa"/>
            <w:tcBorders>
              <w:top w:val="nil"/>
              <w:left w:val="nil"/>
              <w:bottom w:val="single" w:sz="4" w:space="0" w:color="auto"/>
              <w:right w:val="single" w:sz="4" w:space="0" w:color="auto"/>
            </w:tcBorders>
            <w:shd w:val="clear" w:color="auto" w:fill="auto"/>
            <w:noWrap/>
            <w:vAlign w:val="bottom"/>
            <w:hideMark/>
          </w:tcPr>
          <w:p w14:paraId="1D4FB796" w14:textId="21DC70DD" w:rsidR="00B154E8" w:rsidRPr="00AD1819" w:rsidRDefault="00B154E8" w:rsidP="00B154E8">
            <w:pPr>
              <w:jc w:val="center"/>
              <w:rPr>
                <w:rFonts w:asciiTheme="minorHAnsi" w:hAnsiTheme="minorHAnsi" w:cs="Calibri"/>
                <w:color w:val="000000"/>
                <w:sz w:val="22"/>
                <w:szCs w:val="22"/>
              </w:rPr>
            </w:pPr>
            <w:r w:rsidRPr="00AD1819">
              <w:rPr>
                <w:rFonts w:asciiTheme="minorHAnsi" w:hAnsiTheme="minorHAnsi" w:cs="Arial"/>
                <w:sz w:val="22"/>
                <w:szCs w:val="22"/>
              </w:rPr>
              <w:t>4.00</w:t>
            </w:r>
          </w:p>
        </w:tc>
      </w:tr>
      <w:tr w:rsidR="00B154E8" w:rsidRPr="00AD1819" w14:paraId="08526D6A" w14:textId="77777777" w:rsidTr="00AD1819">
        <w:trPr>
          <w:trHeight w:val="314"/>
        </w:trPr>
        <w:tc>
          <w:tcPr>
            <w:tcW w:w="5166" w:type="dxa"/>
            <w:shd w:val="clear" w:color="auto" w:fill="95B3D7" w:themeFill="accent1" w:themeFillTint="99"/>
            <w:noWrap/>
            <w:vAlign w:val="bottom"/>
            <w:hideMark/>
          </w:tcPr>
          <w:p w14:paraId="1A77F44E" w14:textId="77777777" w:rsidR="00B154E8" w:rsidRPr="00AD1819" w:rsidRDefault="00B154E8" w:rsidP="00B154E8">
            <w:pPr>
              <w:rPr>
                <w:rFonts w:asciiTheme="minorHAnsi" w:hAnsiTheme="minorHAnsi" w:cs="Calibri"/>
                <w:b/>
                <w:bCs/>
                <w:color w:val="000000"/>
                <w:sz w:val="22"/>
                <w:szCs w:val="22"/>
              </w:rPr>
            </w:pPr>
            <w:r w:rsidRPr="00AD1819">
              <w:rPr>
                <w:rFonts w:asciiTheme="minorHAnsi" w:hAnsiTheme="minorHAnsi" w:cs="Calibri"/>
                <w:b/>
                <w:bCs/>
                <w:color w:val="000000"/>
                <w:sz w:val="22"/>
                <w:szCs w:val="22"/>
              </w:rPr>
              <w:t xml:space="preserve">Gross Int. on </w:t>
            </w:r>
            <w:proofErr w:type="spellStart"/>
            <w:r w:rsidRPr="00AD1819">
              <w:rPr>
                <w:rFonts w:asciiTheme="minorHAnsi" w:hAnsiTheme="minorHAnsi" w:cs="Calibri"/>
                <w:b/>
                <w:bCs/>
                <w:color w:val="000000"/>
                <w:sz w:val="22"/>
                <w:szCs w:val="22"/>
              </w:rPr>
              <w:t>Wcap</w:t>
            </w:r>
            <w:proofErr w:type="spellEnd"/>
          </w:p>
        </w:tc>
        <w:tc>
          <w:tcPr>
            <w:tcW w:w="1922" w:type="dxa"/>
            <w:tcBorders>
              <w:top w:val="nil"/>
              <w:left w:val="single" w:sz="4" w:space="0" w:color="auto"/>
              <w:bottom w:val="single" w:sz="4" w:space="0" w:color="auto"/>
              <w:right w:val="single" w:sz="4" w:space="0" w:color="auto"/>
            </w:tcBorders>
            <w:shd w:val="clear" w:color="auto" w:fill="95B3D7" w:themeFill="accent1" w:themeFillTint="99"/>
            <w:noWrap/>
            <w:vAlign w:val="bottom"/>
            <w:hideMark/>
          </w:tcPr>
          <w:p w14:paraId="784B42DB" w14:textId="3158D0CF" w:rsidR="00B154E8" w:rsidRPr="00AD1819" w:rsidRDefault="00B154E8" w:rsidP="00B154E8">
            <w:pPr>
              <w:jc w:val="center"/>
              <w:rPr>
                <w:rFonts w:asciiTheme="minorHAnsi" w:hAnsiTheme="minorHAnsi" w:cs="Calibri"/>
                <w:b/>
                <w:bCs/>
                <w:color w:val="000000"/>
                <w:sz w:val="22"/>
                <w:szCs w:val="22"/>
              </w:rPr>
            </w:pPr>
            <w:r w:rsidRPr="00AD1819">
              <w:rPr>
                <w:rFonts w:asciiTheme="minorHAnsi" w:hAnsiTheme="minorHAnsi" w:cs="Calibri"/>
                <w:b/>
                <w:bCs/>
                <w:color w:val="000000"/>
                <w:sz w:val="22"/>
                <w:szCs w:val="22"/>
              </w:rPr>
              <w:t>31.59</w:t>
            </w:r>
          </w:p>
        </w:tc>
        <w:tc>
          <w:tcPr>
            <w:tcW w:w="1843" w:type="dxa"/>
            <w:tcBorders>
              <w:top w:val="nil"/>
              <w:left w:val="nil"/>
              <w:bottom w:val="single" w:sz="4" w:space="0" w:color="auto"/>
              <w:right w:val="single" w:sz="4" w:space="0" w:color="auto"/>
            </w:tcBorders>
            <w:shd w:val="clear" w:color="auto" w:fill="95B3D7" w:themeFill="accent1" w:themeFillTint="99"/>
            <w:noWrap/>
            <w:vAlign w:val="bottom"/>
            <w:hideMark/>
          </w:tcPr>
          <w:p w14:paraId="7A50C996" w14:textId="7ACBA22D" w:rsidR="00B154E8" w:rsidRPr="00AD1819" w:rsidRDefault="00B154E8" w:rsidP="00B154E8">
            <w:pPr>
              <w:jc w:val="center"/>
              <w:rPr>
                <w:rFonts w:asciiTheme="minorHAnsi" w:hAnsiTheme="minorHAnsi" w:cs="Calibri"/>
                <w:b/>
                <w:bCs/>
                <w:color w:val="000000"/>
                <w:sz w:val="22"/>
                <w:szCs w:val="22"/>
              </w:rPr>
            </w:pPr>
            <w:r w:rsidRPr="00AD1819">
              <w:rPr>
                <w:rFonts w:asciiTheme="minorHAnsi" w:hAnsiTheme="minorHAnsi" w:cs="Calibri"/>
                <w:b/>
                <w:bCs/>
                <w:color w:val="000000"/>
                <w:sz w:val="22"/>
                <w:szCs w:val="22"/>
              </w:rPr>
              <w:t>33.91</w:t>
            </w:r>
          </w:p>
        </w:tc>
      </w:tr>
    </w:tbl>
    <w:p w14:paraId="70AB665D" w14:textId="77777777" w:rsidR="00E02343" w:rsidRDefault="00E02343" w:rsidP="00E02343">
      <w:pPr>
        <w:pStyle w:val="Heading1"/>
        <w:spacing w:line="360" w:lineRule="auto"/>
        <w:jc w:val="both"/>
        <w:rPr>
          <w:rFonts w:asciiTheme="minorHAnsi" w:hAnsiTheme="minorHAnsi" w:cstheme="minorHAnsi"/>
          <w:sz w:val="22"/>
          <w:szCs w:val="22"/>
        </w:rPr>
      </w:pPr>
    </w:p>
    <w:p w14:paraId="34A03F0C" w14:textId="1D175019" w:rsidR="00530F0D" w:rsidRPr="00153204" w:rsidRDefault="0088472B" w:rsidP="002334A3">
      <w:pPr>
        <w:pStyle w:val="Heading1"/>
        <w:spacing w:line="360" w:lineRule="auto"/>
        <w:ind w:left="567"/>
        <w:jc w:val="both"/>
        <w:rPr>
          <w:rFonts w:asciiTheme="minorHAnsi" w:hAnsiTheme="minorHAnsi" w:cstheme="minorHAnsi"/>
          <w:sz w:val="22"/>
          <w:szCs w:val="22"/>
        </w:rPr>
      </w:pPr>
      <w:r w:rsidRPr="00153204">
        <w:rPr>
          <w:rFonts w:asciiTheme="minorHAnsi" w:hAnsiTheme="minorHAnsi" w:cstheme="minorHAnsi"/>
          <w:sz w:val="22"/>
          <w:szCs w:val="22"/>
        </w:rPr>
        <w:t xml:space="preserve">2.10.4 </w:t>
      </w:r>
      <w:r w:rsidR="00530F0D" w:rsidRPr="00153204">
        <w:rPr>
          <w:rFonts w:asciiTheme="minorHAnsi" w:hAnsiTheme="minorHAnsi" w:cstheme="minorHAnsi"/>
          <w:sz w:val="22"/>
          <w:szCs w:val="22"/>
        </w:rPr>
        <w:t>Total Interest for Financial Year FY 202</w:t>
      </w:r>
      <w:r w:rsidR="00AC267C">
        <w:rPr>
          <w:rFonts w:asciiTheme="minorHAnsi" w:hAnsiTheme="minorHAnsi" w:cstheme="minorHAnsi"/>
          <w:sz w:val="22"/>
          <w:szCs w:val="22"/>
        </w:rPr>
        <w:t>4-25</w:t>
      </w:r>
      <w:r w:rsidR="009C194C" w:rsidRPr="00153204">
        <w:rPr>
          <w:rFonts w:asciiTheme="minorHAnsi" w:hAnsiTheme="minorHAnsi" w:cstheme="minorHAnsi"/>
          <w:sz w:val="22"/>
          <w:szCs w:val="22"/>
        </w:rPr>
        <w:t xml:space="preserve"> &amp; FY </w:t>
      </w:r>
      <w:r w:rsidR="00AC267C">
        <w:rPr>
          <w:rFonts w:asciiTheme="minorHAnsi" w:hAnsiTheme="minorHAnsi" w:cstheme="minorHAnsi"/>
          <w:sz w:val="22"/>
          <w:szCs w:val="22"/>
        </w:rPr>
        <w:t>2025</w:t>
      </w:r>
      <w:r w:rsidR="009C194C" w:rsidRPr="00153204">
        <w:rPr>
          <w:rFonts w:asciiTheme="minorHAnsi" w:hAnsiTheme="minorHAnsi" w:cstheme="minorHAnsi"/>
          <w:sz w:val="22"/>
          <w:szCs w:val="22"/>
        </w:rPr>
        <w:t>-2</w:t>
      </w:r>
      <w:r w:rsidR="00AC267C">
        <w:rPr>
          <w:rFonts w:asciiTheme="minorHAnsi" w:hAnsiTheme="minorHAnsi" w:cstheme="minorHAnsi"/>
          <w:sz w:val="22"/>
          <w:szCs w:val="22"/>
        </w:rPr>
        <w:t>6</w:t>
      </w:r>
    </w:p>
    <w:p w14:paraId="34A03F0D" w14:textId="4261C065" w:rsidR="00530F0D" w:rsidRPr="00153204" w:rsidRDefault="00530F0D" w:rsidP="00336144">
      <w:pPr>
        <w:pStyle w:val="BodyText2"/>
        <w:ind w:left="567"/>
        <w:jc w:val="both"/>
        <w:rPr>
          <w:rFonts w:asciiTheme="minorHAnsi" w:hAnsiTheme="minorHAnsi" w:cstheme="minorHAnsi"/>
          <w:sz w:val="22"/>
          <w:szCs w:val="22"/>
        </w:rPr>
      </w:pPr>
      <w:r w:rsidRPr="00153204">
        <w:rPr>
          <w:rFonts w:asciiTheme="minorHAnsi" w:hAnsiTheme="minorHAnsi" w:cstheme="minorHAnsi"/>
          <w:sz w:val="22"/>
          <w:szCs w:val="22"/>
        </w:rPr>
        <w:t>The total interest expenses estimated for FY 20</w:t>
      </w:r>
      <w:r w:rsidR="00454A30">
        <w:rPr>
          <w:rFonts w:asciiTheme="minorHAnsi" w:hAnsiTheme="minorHAnsi" w:cstheme="minorHAnsi"/>
          <w:sz w:val="22"/>
          <w:szCs w:val="22"/>
        </w:rPr>
        <w:t>24</w:t>
      </w:r>
      <w:r w:rsidRPr="00153204">
        <w:rPr>
          <w:rFonts w:asciiTheme="minorHAnsi" w:hAnsiTheme="minorHAnsi" w:cstheme="minorHAnsi"/>
          <w:sz w:val="22"/>
          <w:szCs w:val="22"/>
        </w:rPr>
        <w:t>-</w:t>
      </w:r>
      <w:r w:rsidR="004C7B0A" w:rsidRPr="00153204">
        <w:rPr>
          <w:rFonts w:asciiTheme="minorHAnsi" w:hAnsiTheme="minorHAnsi" w:cstheme="minorHAnsi"/>
          <w:sz w:val="22"/>
          <w:szCs w:val="22"/>
        </w:rPr>
        <w:t>2</w:t>
      </w:r>
      <w:r w:rsidR="00454A30">
        <w:rPr>
          <w:rFonts w:asciiTheme="minorHAnsi" w:hAnsiTheme="minorHAnsi" w:cstheme="minorHAnsi"/>
          <w:sz w:val="22"/>
          <w:szCs w:val="22"/>
        </w:rPr>
        <w:t>5</w:t>
      </w:r>
      <w:r w:rsidR="004C7B0A" w:rsidRPr="00153204">
        <w:rPr>
          <w:rFonts w:asciiTheme="minorHAnsi" w:hAnsiTheme="minorHAnsi" w:cstheme="minorHAnsi"/>
          <w:sz w:val="22"/>
          <w:szCs w:val="22"/>
        </w:rPr>
        <w:t xml:space="preserve"> and</w:t>
      </w:r>
      <w:r w:rsidR="009C194C" w:rsidRPr="00153204">
        <w:rPr>
          <w:rFonts w:asciiTheme="minorHAnsi" w:hAnsiTheme="minorHAnsi" w:cstheme="minorHAnsi"/>
          <w:sz w:val="22"/>
          <w:szCs w:val="22"/>
        </w:rPr>
        <w:t xml:space="preserve"> FY 202</w:t>
      </w:r>
      <w:r w:rsidR="00454A30">
        <w:rPr>
          <w:rFonts w:asciiTheme="minorHAnsi" w:hAnsiTheme="minorHAnsi" w:cstheme="minorHAnsi"/>
          <w:sz w:val="22"/>
          <w:szCs w:val="22"/>
        </w:rPr>
        <w:t>5</w:t>
      </w:r>
      <w:r w:rsidR="009C194C" w:rsidRPr="00153204">
        <w:rPr>
          <w:rFonts w:asciiTheme="minorHAnsi" w:hAnsiTheme="minorHAnsi" w:cstheme="minorHAnsi"/>
          <w:sz w:val="22"/>
          <w:szCs w:val="22"/>
        </w:rPr>
        <w:t>-2</w:t>
      </w:r>
      <w:r w:rsidR="00454A30">
        <w:rPr>
          <w:rFonts w:asciiTheme="minorHAnsi" w:hAnsiTheme="minorHAnsi" w:cstheme="minorHAnsi"/>
          <w:sz w:val="22"/>
          <w:szCs w:val="22"/>
        </w:rPr>
        <w:t>6</w:t>
      </w:r>
      <w:r w:rsidR="009C194C" w:rsidRPr="00153204">
        <w:rPr>
          <w:rFonts w:asciiTheme="minorHAnsi" w:hAnsiTheme="minorHAnsi" w:cstheme="minorHAnsi"/>
          <w:sz w:val="22"/>
          <w:szCs w:val="22"/>
        </w:rPr>
        <w:t xml:space="preserve"> </w:t>
      </w:r>
      <w:r w:rsidRPr="00153204">
        <w:rPr>
          <w:rFonts w:asciiTheme="minorHAnsi" w:hAnsiTheme="minorHAnsi" w:cstheme="minorHAnsi"/>
          <w:sz w:val="22"/>
          <w:szCs w:val="22"/>
        </w:rPr>
        <w:t>is given in following Table:</w:t>
      </w:r>
    </w:p>
    <w:p w14:paraId="4FBB813A" w14:textId="77777777" w:rsidR="00D821DD" w:rsidRDefault="003348CC" w:rsidP="00336144">
      <w:pPr>
        <w:pStyle w:val="BodyText2"/>
        <w:ind w:left="567"/>
        <w:jc w:val="both"/>
        <w:rPr>
          <w:rFonts w:asciiTheme="minorHAnsi" w:hAnsiTheme="minorHAnsi" w:cstheme="minorHAnsi"/>
          <w:b/>
          <w:bCs/>
          <w:sz w:val="22"/>
          <w:szCs w:val="22"/>
        </w:rPr>
      </w:pPr>
      <w:r w:rsidRPr="00153204">
        <w:rPr>
          <w:rFonts w:asciiTheme="minorHAnsi" w:hAnsiTheme="minorHAnsi" w:cstheme="minorHAnsi"/>
          <w:b/>
          <w:bCs/>
          <w:sz w:val="22"/>
          <w:szCs w:val="22"/>
        </w:rPr>
        <w:tab/>
      </w:r>
      <w:r w:rsidR="00E64C59" w:rsidRPr="00153204">
        <w:rPr>
          <w:rFonts w:asciiTheme="minorHAnsi" w:hAnsiTheme="minorHAnsi" w:cstheme="minorHAnsi"/>
          <w:b/>
          <w:bCs/>
          <w:sz w:val="22"/>
          <w:szCs w:val="22"/>
        </w:rPr>
        <w:t xml:space="preserve">                </w:t>
      </w:r>
      <w:r w:rsidR="004C7B0A" w:rsidRPr="00153204">
        <w:rPr>
          <w:rFonts w:asciiTheme="minorHAnsi" w:hAnsiTheme="minorHAnsi" w:cstheme="minorHAnsi"/>
          <w:b/>
          <w:bCs/>
          <w:sz w:val="22"/>
          <w:szCs w:val="22"/>
        </w:rPr>
        <w:t xml:space="preserve">                       </w:t>
      </w:r>
    </w:p>
    <w:p w14:paraId="11E96C83" w14:textId="0AE01B1C" w:rsidR="00B87A94" w:rsidRDefault="00177378" w:rsidP="00D821DD">
      <w:pPr>
        <w:pStyle w:val="BodyText2"/>
        <w:ind w:left="2007" w:firstLine="153"/>
        <w:jc w:val="both"/>
        <w:rPr>
          <w:rFonts w:asciiTheme="minorHAnsi" w:hAnsiTheme="minorHAnsi" w:cstheme="minorHAnsi"/>
          <w:b/>
          <w:bCs/>
          <w:color w:val="000000"/>
          <w:sz w:val="22"/>
          <w:szCs w:val="22"/>
        </w:rPr>
      </w:pPr>
      <w:r w:rsidRPr="00153204">
        <w:rPr>
          <w:rFonts w:asciiTheme="minorHAnsi" w:hAnsiTheme="minorHAnsi" w:cstheme="minorHAnsi"/>
          <w:b/>
          <w:bCs/>
          <w:color w:val="000000"/>
          <w:sz w:val="22"/>
          <w:szCs w:val="22"/>
        </w:rPr>
        <w:t>Table-3</w:t>
      </w:r>
      <w:r w:rsidR="00AD1819">
        <w:rPr>
          <w:rFonts w:asciiTheme="minorHAnsi" w:hAnsiTheme="minorHAnsi" w:cstheme="minorHAnsi"/>
          <w:b/>
          <w:bCs/>
          <w:color w:val="000000"/>
          <w:sz w:val="22"/>
          <w:szCs w:val="22"/>
        </w:rPr>
        <w:t>4</w:t>
      </w:r>
      <w:r w:rsidR="001A2772" w:rsidRPr="00153204">
        <w:rPr>
          <w:rFonts w:asciiTheme="minorHAnsi" w:hAnsiTheme="minorHAnsi" w:cstheme="minorHAnsi"/>
          <w:b/>
          <w:bCs/>
          <w:color w:val="000000"/>
          <w:sz w:val="22"/>
          <w:szCs w:val="22"/>
        </w:rPr>
        <w:t xml:space="preserve">: Summary of Interest Expenses </w:t>
      </w:r>
      <w:proofErr w:type="gramStart"/>
      <w:r w:rsidR="001A2772" w:rsidRPr="00153204">
        <w:rPr>
          <w:rFonts w:asciiTheme="minorHAnsi" w:hAnsiTheme="minorHAnsi" w:cstheme="minorHAnsi"/>
          <w:b/>
          <w:bCs/>
          <w:color w:val="000000"/>
          <w:sz w:val="22"/>
          <w:szCs w:val="22"/>
        </w:rPr>
        <w:t xml:space="preserve">   (</w:t>
      </w:r>
      <w:proofErr w:type="gramEnd"/>
      <w:r w:rsidR="001A2772" w:rsidRPr="00153204">
        <w:rPr>
          <w:rFonts w:asciiTheme="minorHAnsi" w:hAnsiTheme="minorHAnsi" w:cstheme="minorHAnsi"/>
          <w:b/>
          <w:bCs/>
          <w:color w:val="000000"/>
          <w:sz w:val="22"/>
          <w:szCs w:val="22"/>
        </w:rPr>
        <w:t xml:space="preserve">In Rs. </w:t>
      </w:r>
      <w:proofErr w:type="spellStart"/>
      <w:r w:rsidR="001A2772" w:rsidRPr="00153204">
        <w:rPr>
          <w:rFonts w:asciiTheme="minorHAnsi" w:hAnsiTheme="minorHAnsi" w:cstheme="minorHAnsi"/>
          <w:b/>
          <w:bCs/>
          <w:color w:val="000000"/>
          <w:sz w:val="22"/>
          <w:szCs w:val="22"/>
        </w:rPr>
        <w:t>Crs</w:t>
      </w:r>
      <w:proofErr w:type="spellEnd"/>
      <w:r w:rsidR="001A2772" w:rsidRPr="00153204">
        <w:rPr>
          <w:rFonts w:asciiTheme="minorHAnsi" w:hAnsiTheme="minorHAnsi" w:cstheme="minorHAnsi"/>
          <w:b/>
          <w:bCs/>
          <w:color w:val="000000"/>
          <w:sz w:val="22"/>
          <w:szCs w:val="22"/>
        </w:rPr>
        <w:t>)</w:t>
      </w:r>
    </w:p>
    <w:tbl>
      <w:tblPr>
        <w:tblpPr w:leftFromText="180" w:rightFromText="180" w:vertAnchor="text" w:horzAnchor="page" w:tblpX="1591" w:tblpY="364"/>
        <w:tblW w:w="9062" w:type="dxa"/>
        <w:tblLook w:val="04A0" w:firstRow="1" w:lastRow="0" w:firstColumn="1" w:lastColumn="0" w:noHBand="0" w:noVBand="1"/>
      </w:tblPr>
      <w:tblGrid>
        <w:gridCol w:w="5894"/>
        <w:gridCol w:w="1609"/>
        <w:gridCol w:w="1559"/>
      </w:tblGrid>
      <w:tr w:rsidR="00C9171B" w14:paraId="6B5F71B6" w14:textId="77777777" w:rsidTr="00AD1819">
        <w:trPr>
          <w:trHeight w:val="262"/>
        </w:trPr>
        <w:tc>
          <w:tcPr>
            <w:tcW w:w="5894" w:type="dxa"/>
            <w:tcBorders>
              <w:top w:val="single" w:sz="8" w:space="0" w:color="auto"/>
              <w:left w:val="single" w:sz="8" w:space="0" w:color="auto"/>
              <w:bottom w:val="single" w:sz="8" w:space="0" w:color="auto"/>
              <w:right w:val="single" w:sz="8" w:space="0" w:color="auto"/>
            </w:tcBorders>
            <w:shd w:val="clear" w:color="auto" w:fill="95B3D7" w:themeFill="accent1" w:themeFillTint="99"/>
            <w:noWrap/>
            <w:vAlign w:val="center"/>
            <w:hideMark/>
          </w:tcPr>
          <w:p w14:paraId="07E957B3" w14:textId="77777777" w:rsidR="00C9171B" w:rsidRDefault="00C9171B" w:rsidP="00AD1819">
            <w:pPr>
              <w:rPr>
                <w:rFonts w:ascii="Calibri" w:hAnsi="Calibri" w:cs="Calibri"/>
                <w:b/>
                <w:bCs/>
                <w:color w:val="000000"/>
                <w:sz w:val="22"/>
                <w:szCs w:val="22"/>
                <w:lang w:val="en-IN" w:eastAsia="en-IN"/>
              </w:rPr>
            </w:pPr>
            <w:r>
              <w:rPr>
                <w:rFonts w:ascii="Calibri" w:hAnsi="Calibri" w:cs="Calibri"/>
                <w:b/>
                <w:bCs/>
                <w:color w:val="000000"/>
                <w:sz w:val="22"/>
                <w:szCs w:val="22"/>
              </w:rPr>
              <w:t>Interest Computation</w:t>
            </w:r>
          </w:p>
        </w:tc>
        <w:tc>
          <w:tcPr>
            <w:tcW w:w="1609" w:type="dxa"/>
            <w:tcBorders>
              <w:top w:val="single" w:sz="8" w:space="0" w:color="auto"/>
              <w:left w:val="nil"/>
              <w:bottom w:val="nil"/>
              <w:right w:val="single" w:sz="8" w:space="0" w:color="auto"/>
            </w:tcBorders>
            <w:shd w:val="clear" w:color="auto" w:fill="95B3D7" w:themeFill="accent1" w:themeFillTint="99"/>
            <w:noWrap/>
            <w:vAlign w:val="center"/>
            <w:hideMark/>
          </w:tcPr>
          <w:p w14:paraId="11731198" w14:textId="77777777" w:rsidR="00C9171B" w:rsidRDefault="00C9171B" w:rsidP="00AD1819">
            <w:pPr>
              <w:jc w:val="center"/>
              <w:rPr>
                <w:rFonts w:ascii="Calibri" w:hAnsi="Calibri" w:cs="Calibri"/>
                <w:b/>
                <w:bCs/>
                <w:sz w:val="22"/>
                <w:szCs w:val="22"/>
              </w:rPr>
            </w:pPr>
            <w:r>
              <w:rPr>
                <w:rFonts w:ascii="Calibri" w:hAnsi="Calibri" w:cs="Calibri"/>
                <w:b/>
                <w:bCs/>
                <w:sz w:val="22"/>
                <w:szCs w:val="22"/>
              </w:rPr>
              <w:t>2024-25</w:t>
            </w:r>
          </w:p>
          <w:p w14:paraId="1DD62F84" w14:textId="3F89789A" w:rsidR="00AD1819" w:rsidRDefault="00AD1819" w:rsidP="00AD1819">
            <w:pPr>
              <w:jc w:val="center"/>
              <w:rPr>
                <w:rFonts w:ascii="Calibri" w:hAnsi="Calibri" w:cs="Calibri"/>
                <w:b/>
                <w:bCs/>
                <w:sz w:val="22"/>
                <w:szCs w:val="22"/>
              </w:rPr>
            </w:pPr>
            <w:r>
              <w:rPr>
                <w:rFonts w:ascii="Calibri" w:hAnsi="Calibri" w:cs="Calibri"/>
                <w:b/>
                <w:bCs/>
                <w:sz w:val="22"/>
                <w:szCs w:val="22"/>
              </w:rPr>
              <w:t>(Estimated)</w:t>
            </w:r>
          </w:p>
        </w:tc>
        <w:tc>
          <w:tcPr>
            <w:tcW w:w="1559" w:type="dxa"/>
            <w:tcBorders>
              <w:top w:val="single" w:sz="8" w:space="0" w:color="auto"/>
              <w:left w:val="nil"/>
              <w:bottom w:val="nil"/>
              <w:right w:val="single" w:sz="8" w:space="0" w:color="auto"/>
            </w:tcBorders>
            <w:shd w:val="clear" w:color="auto" w:fill="95B3D7" w:themeFill="accent1" w:themeFillTint="99"/>
            <w:noWrap/>
            <w:vAlign w:val="center"/>
            <w:hideMark/>
          </w:tcPr>
          <w:p w14:paraId="33E4CD97" w14:textId="77777777" w:rsidR="00C9171B" w:rsidRDefault="00C9171B" w:rsidP="00AD1819">
            <w:pPr>
              <w:jc w:val="center"/>
              <w:rPr>
                <w:rFonts w:ascii="Calibri" w:hAnsi="Calibri" w:cs="Calibri"/>
                <w:b/>
                <w:bCs/>
                <w:sz w:val="22"/>
                <w:szCs w:val="22"/>
              </w:rPr>
            </w:pPr>
            <w:r>
              <w:rPr>
                <w:rFonts w:ascii="Calibri" w:hAnsi="Calibri" w:cs="Calibri"/>
                <w:b/>
                <w:bCs/>
                <w:sz w:val="22"/>
                <w:szCs w:val="22"/>
              </w:rPr>
              <w:t>2025-26</w:t>
            </w:r>
          </w:p>
          <w:p w14:paraId="3CE9AB5A" w14:textId="757922CE" w:rsidR="00AD1819" w:rsidRDefault="00AD1819" w:rsidP="00AD1819">
            <w:pPr>
              <w:jc w:val="center"/>
              <w:rPr>
                <w:rFonts w:ascii="Calibri" w:hAnsi="Calibri" w:cs="Calibri"/>
                <w:b/>
                <w:bCs/>
                <w:sz w:val="22"/>
                <w:szCs w:val="22"/>
              </w:rPr>
            </w:pPr>
            <w:r>
              <w:rPr>
                <w:rFonts w:ascii="Calibri" w:hAnsi="Calibri" w:cs="Calibri"/>
                <w:b/>
                <w:bCs/>
                <w:sz w:val="22"/>
                <w:szCs w:val="22"/>
              </w:rPr>
              <w:t>(Projected)</w:t>
            </w:r>
          </w:p>
        </w:tc>
      </w:tr>
      <w:tr w:rsidR="00C9171B" w14:paraId="1B68E49F" w14:textId="77777777" w:rsidTr="00AD1819">
        <w:trPr>
          <w:trHeight w:val="262"/>
        </w:trPr>
        <w:tc>
          <w:tcPr>
            <w:tcW w:w="5894" w:type="dxa"/>
            <w:tcBorders>
              <w:top w:val="nil"/>
              <w:left w:val="single" w:sz="8" w:space="0" w:color="auto"/>
              <w:bottom w:val="single" w:sz="8" w:space="0" w:color="auto"/>
              <w:right w:val="nil"/>
            </w:tcBorders>
            <w:shd w:val="clear" w:color="auto" w:fill="auto"/>
            <w:noWrap/>
            <w:vAlign w:val="center"/>
            <w:hideMark/>
          </w:tcPr>
          <w:p w14:paraId="479A4109" w14:textId="77777777" w:rsidR="00C9171B" w:rsidRDefault="00C9171B" w:rsidP="00AD1819">
            <w:pPr>
              <w:rPr>
                <w:rFonts w:ascii="Calibri" w:hAnsi="Calibri" w:cs="Calibri"/>
                <w:color w:val="000000"/>
                <w:sz w:val="22"/>
                <w:szCs w:val="22"/>
              </w:rPr>
            </w:pPr>
            <w:r>
              <w:rPr>
                <w:rFonts w:ascii="Calibri" w:hAnsi="Calibri" w:cs="Calibri"/>
                <w:color w:val="000000"/>
                <w:sz w:val="22"/>
                <w:szCs w:val="22"/>
              </w:rPr>
              <w:t>Int on SD</w:t>
            </w:r>
          </w:p>
        </w:tc>
        <w:tc>
          <w:tcPr>
            <w:tcW w:w="160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3BDE218" w14:textId="77777777" w:rsidR="00C9171B" w:rsidRDefault="00C9171B" w:rsidP="00AD1819">
            <w:pPr>
              <w:jc w:val="center"/>
              <w:rPr>
                <w:rFonts w:ascii="Arial" w:hAnsi="Arial" w:cs="Arial"/>
                <w:sz w:val="20"/>
                <w:szCs w:val="20"/>
              </w:rPr>
            </w:pPr>
            <w:r>
              <w:rPr>
                <w:rFonts w:ascii="Arial" w:hAnsi="Arial" w:cs="Arial"/>
                <w:sz w:val="20"/>
                <w:szCs w:val="20"/>
              </w:rPr>
              <w:t>59.63</w:t>
            </w:r>
          </w:p>
        </w:tc>
        <w:tc>
          <w:tcPr>
            <w:tcW w:w="1559" w:type="dxa"/>
            <w:tcBorders>
              <w:top w:val="single" w:sz="4" w:space="0" w:color="auto"/>
              <w:left w:val="nil"/>
              <w:bottom w:val="single" w:sz="4" w:space="0" w:color="auto"/>
              <w:right w:val="single" w:sz="4" w:space="0" w:color="auto"/>
            </w:tcBorders>
            <w:shd w:val="clear" w:color="auto" w:fill="auto"/>
            <w:noWrap/>
            <w:vAlign w:val="bottom"/>
            <w:hideMark/>
          </w:tcPr>
          <w:p w14:paraId="269774CF" w14:textId="77777777" w:rsidR="00C9171B" w:rsidRDefault="00C9171B" w:rsidP="00AD1819">
            <w:pPr>
              <w:jc w:val="center"/>
              <w:rPr>
                <w:rFonts w:ascii="Arial" w:hAnsi="Arial" w:cs="Arial"/>
                <w:sz w:val="20"/>
                <w:szCs w:val="20"/>
              </w:rPr>
            </w:pPr>
            <w:r>
              <w:rPr>
                <w:rFonts w:ascii="Arial" w:hAnsi="Arial" w:cs="Arial"/>
                <w:sz w:val="20"/>
                <w:szCs w:val="20"/>
              </w:rPr>
              <w:t>63.68</w:t>
            </w:r>
          </w:p>
        </w:tc>
      </w:tr>
      <w:tr w:rsidR="00C9171B" w14:paraId="14734034" w14:textId="77777777" w:rsidTr="00AD1819">
        <w:trPr>
          <w:trHeight w:val="262"/>
        </w:trPr>
        <w:tc>
          <w:tcPr>
            <w:tcW w:w="5894" w:type="dxa"/>
            <w:tcBorders>
              <w:top w:val="nil"/>
              <w:left w:val="single" w:sz="8" w:space="0" w:color="auto"/>
              <w:bottom w:val="single" w:sz="8" w:space="0" w:color="auto"/>
              <w:right w:val="nil"/>
            </w:tcBorders>
            <w:shd w:val="clear" w:color="auto" w:fill="auto"/>
            <w:noWrap/>
            <w:vAlign w:val="center"/>
            <w:hideMark/>
          </w:tcPr>
          <w:p w14:paraId="22175CD0" w14:textId="77777777" w:rsidR="00C9171B" w:rsidRDefault="00C9171B" w:rsidP="00AD1819">
            <w:pPr>
              <w:rPr>
                <w:rFonts w:ascii="Calibri" w:hAnsi="Calibri" w:cs="Calibri"/>
                <w:sz w:val="22"/>
                <w:szCs w:val="22"/>
              </w:rPr>
            </w:pPr>
            <w:r>
              <w:rPr>
                <w:rFonts w:ascii="Calibri" w:hAnsi="Calibri" w:cs="Calibri"/>
                <w:sz w:val="22"/>
                <w:szCs w:val="22"/>
              </w:rPr>
              <w:t>Int on WC</w:t>
            </w:r>
          </w:p>
        </w:tc>
        <w:tc>
          <w:tcPr>
            <w:tcW w:w="1609" w:type="dxa"/>
            <w:tcBorders>
              <w:top w:val="nil"/>
              <w:left w:val="single" w:sz="4" w:space="0" w:color="auto"/>
              <w:bottom w:val="single" w:sz="4" w:space="0" w:color="auto"/>
              <w:right w:val="single" w:sz="4" w:space="0" w:color="auto"/>
            </w:tcBorders>
            <w:shd w:val="clear" w:color="auto" w:fill="auto"/>
            <w:noWrap/>
            <w:vAlign w:val="bottom"/>
            <w:hideMark/>
          </w:tcPr>
          <w:p w14:paraId="7550621D" w14:textId="77777777" w:rsidR="00C9171B" w:rsidRDefault="00C9171B" w:rsidP="00AD1819">
            <w:pPr>
              <w:jc w:val="center"/>
              <w:rPr>
                <w:rFonts w:ascii="Arial" w:hAnsi="Arial" w:cs="Arial"/>
                <w:sz w:val="20"/>
                <w:szCs w:val="20"/>
              </w:rPr>
            </w:pPr>
            <w:r>
              <w:rPr>
                <w:rFonts w:ascii="Arial" w:hAnsi="Arial" w:cs="Arial"/>
                <w:sz w:val="20"/>
                <w:szCs w:val="20"/>
              </w:rPr>
              <w:t>31.59</w:t>
            </w:r>
          </w:p>
        </w:tc>
        <w:tc>
          <w:tcPr>
            <w:tcW w:w="1559" w:type="dxa"/>
            <w:tcBorders>
              <w:top w:val="nil"/>
              <w:left w:val="nil"/>
              <w:bottom w:val="single" w:sz="4" w:space="0" w:color="auto"/>
              <w:right w:val="single" w:sz="4" w:space="0" w:color="auto"/>
            </w:tcBorders>
            <w:shd w:val="clear" w:color="auto" w:fill="auto"/>
            <w:noWrap/>
            <w:vAlign w:val="bottom"/>
            <w:hideMark/>
          </w:tcPr>
          <w:p w14:paraId="27D0E879" w14:textId="77777777" w:rsidR="00C9171B" w:rsidRDefault="00C9171B" w:rsidP="00AD1819">
            <w:pPr>
              <w:jc w:val="center"/>
              <w:rPr>
                <w:rFonts w:ascii="Arial" w:hAnsi="Arial" w:cs="Arial"/>
                <w:sz w:val="20"/>
                <w:szCs w:val="20"/>
              </w:rPr>
            </w:pPr>
            <w:r>
              <w:rPr>
                <w:rFonts w:ascii="Arial" w:hAnsi="Arial" w:cs="Arial"/>
                <w:sz w:val="20"/>
                <w:szCs w:val="20"/>
              </w:rPr>
              <w:t>33.91</w:t>
            </w:r>
          </w:p>
        </w:tc>
      </w:tr>
      <w:tr w:rsidR="00C9171B" w14:paraId="740D5A88" w14:textId="77777777" w:rsidTr="00AD1819">
        <w:trPr>
          <w:trHeight w:val="262"/>
        </w:trPr>
        <w:tc>
          <w:tcPr>
            <w:tcW w:w="5894" w:type="dxa"/>
            <w:tcBorders>
              <w:top w:val="nil"/>
              <w:left w:val="single" w:sz="8" w:space="0" w:color="auto"/>
              <w:bottom w:val="single" w:sz="8" w:space="0" w:color="auto"/>
              <w:right w:val="nil"/>
            </w:tcBorders>
            <w:shd w:val="clear" w:color="auto" w:fill="auto"/>
            <w:noWrap/>
            <w:vAlign w:val="center"/>
            <w:hideMark/>
          </w:tcPr>
          <w:p w14:paraId="2472C0FE" w14:textId="77777777" w:rsidR="00C9171B" w:rsidRDefault="00C9171B" w:rsidP="00AD1819">
            <w:pPr>
              <w:rPr>
                <w:rFonts w:ascii="Calibri" w:hAnsi="Calibri" w:cs="Calibri"/>
                <w:sz w:val="22"/>
                <w:szCs w:val="22"/>
              </w:rPr>
            </w:pPr>
            <w:r>
              <w:rPr>
                <w:rFonts w:ascii="Calibri" w:hAnsi="Calibri" w:cs="Calibri"/>
                <w:sz w:val="22"/>
                <w:szCs w:val="22"/>
              </w:rPr>
              <w:t>Int. on Capex Loan</w:t>
            </w:r>
          </w:p>
        </w:tc>
        <w:tc>
          <w:tcPr>
            <w:tcW w:w="1609" w:type="dxa"/>
            <w:tcBorders>
              <w:top w:val="nil"/>
              <w:left w:val="single" w:sz="4" w:space="0" w:color="auto"/>
              <w:bottom w:val="single" w:sz="4" w:space="0" w:color="auto"/>
              <w:right w:val="single" w:sz="4" w:space="0" w:color="auto"/>
            </w:tcBorders>
            <w:shd w:val="clear" w:color="auto" w:fill="auto"/>
            <w:noWrap/>
            <w:vAlign w:val="bottom"/>
            <w:hideMark/>
          </w:tcPr>
          <w:p w14:paraId="6162894B" w14:textId="77777777" w:rsidR="00C9171B" w:rsidRDefault="00C9171B" w:rsidP="00AD1819">
            <w:pPr>
              <w:jc w:val="center"/>
              <w:rPr>
                <w:rFonts w:ascii="Arial" w:hAnsi="Arial" w:cs="Arial"/>
                <w:sz w:val="20"/>
                <w:szCs w:val="20"/>
              </w:rPr>
            </w:pPr>
            <w:r>
              <w:rPr>
                <w:rFonts w:ascii="Arial" w:hAnsi="Arial" w:cs="Arial"/>
                <w:sz w:val="20"/>
                <w:szCs w:val="20"/>
              </w:rPr>
              <w:t>65.33</w:t>
            </w:r>
          </w:p>
        </w:tc>
        <w:tc>
          <w:tcPr>
            <w:tcW w:w="1559" w:type="dxa"/>
            <w:tcBorders>
              <w:top w:val="nil"/>
              <w:left w:val="nil"/>
              <w:bottom w:val="single" w:sz="4" w:space="0" w:color="auto"/>
              <w:right w:val="single" w:sz="4" w:space="0" w:color="auto"/>
            </w:tcBorders>
            <w:shd w:val="clear" w:color="auto" w:fill="auto"/>
            <w:noWrap/>
            <w:vAlign w:val="bottom"/>
            <w:hideMark/>
          </w:tcPr>
          <w:p w14:paraId="1C39E4DB" w14:textId="77777777" w:rsidR="00C9171B" w:rsidRDefault="00C9171B" w:rsidP="00AD1819">
            <w:pPr>
              <w:jc w:val="center"/>
              <w:rPr>
                <w:rFonts w:ascii="Arial" w:hAnsi="Arial" w:cs="Arial"/>
                <w:sz w:val="20"/>
                <w:szCs w:val="20"/>
              </w:rPr>
            </w:pPr>
            <w:r>
              <w:rPr>
                <w:rFonts w:ascii="Arial" w:hAnsi="Arial" w:cs="Arial"/>
                <w:sz w:val="20"/>
                <w:szCs w:val="20"/>
              </w:rPr>
              <w:t>85.07</w:t>
            </w:r>
          </w:p>
        </w:tc>
      </w:tr>
      <w:tr w:rsidR="00C9171B" w14:paraId="1CCA4536" w14:textId="77777777" w:rsidTr="00AD1819">
        <w:trPr>
          <w:trHeight w:val="262"/>
        </w:trPr>
        <w:tc>
          <w:tcPr>
            <w:tcW w:w="5894" w:type="dxa"/>
            <w:tcBorders>
              <w:top w:val="nil"/>
              <w:left w:val="single" w:sz="8" w:space="0" w:color="auto"/>
              <w:bottom w:val="single" w:sz="8" w:space="0" w:color="auto"/>
              <w:right w:val="nil"/>
            </w:tcBorders>
            <w:shd w:val="clear" w:color="auto" w:fill="auto"/>
            <w:noWrap/>
            <w:vAlign w:val="center"/>
            <w:hideMark/>
          </w:tcPr>
          <w:p w14:paraId="3F56FD5B" w14:textId="77777777" w:rsidR="00C9171B" w:rsidRDefault="00C9171B" w:rsidP="00AD1819">
            <w:pPr>
              <w:rPr>
                <w:rFonts w:ascii="Calibri" w:hAnsi="Calibri" w:cs="Calibri"/>
                <w:sz w:val="22"/>
                <w:szCs w:val="22"/>
              </w:rPr>
            </w:pPr>
            <w:proofErr w:type="gramStart"/>
            <w:r>
              <w:rPr>
                <w:rFonts w:ascii="Calibri" w:hAnsi="Calibri" w:cs="Calibri"/>
                <w:sz w:val="22"/>
                <w:szCs w:val="22"/>
              </w:rPr>
              <w:t>Less :</w:t>
            </w:r>
            <w:proofErr w:type="gramEnd"/>
            <w:r>
              <w:rPr>
                <w:rFonts w:ascii="Calibri" w:hAnsi="Calibri" w:cs="Calibri"/>
                <w:sz w:val="22"/>
                <w:szCs w:val="22"/>
              </w:rPr>
              <w:t xml:space="preserve"> Interest </w:t>
            </w:r>
            <w:proofErr w:type="spellStart"/>
            <w:r>
              <w:rPr>
                <w:rFonts w:ascii="Calibri" w:hAnsi="Calibri" w:cs="Calibri"/>
                <w:sz w:val="22"/>
                <w:szCs w:val="22"/>
              </w:rPr>
              <w:t>Capitalised</w:t>
            </w:r>
            <w:proofErr w:type="spellEnd"/>
          </w:p>
        </w:tc>
        <w:tc>
          <w:tcPr>
            <w:tcW w:w="1609" w:type="dxa"/>
            <w:tcBorders>
              <w:top w:val="nil"/>
              <w:left w:val="single" w:sz="4" w:space="0" w:color="auto"/>
              <w:bottom w:val="single" w:sz="4" w:space="0" w:color="auto"/>
              <w:right w:val="single" w:sz="4" w:space="0" w:color="auto"/>
            </w:tcBorders>
            <w:shd w:val="clear" w:color="auto" w:fill="auto"/>
            <w:noWrap/>
            <w:vAlign w:val="bottom"/>
            <w:hideMark/>
          </w:tcPr>
          <w:p w14:paraId="07425FE8" w14:textId="77777777" w:rsidR="00C9171B" w:rsidRDefault="00C9171B" w:rsidP="00AD1819">
            <w:pPr>
              <w:jc w:val="center"/>
              <w:rPr>
                <w:rFonts w:ascii="Arial" w:hAnsi="Arial" w:cs="Arial"/>
                <w:sz w:val="20"/>
                <w:szCs w:val="20"/>
              </w:rPr>
            </w:pPr>
            <w:r>
              <w:rPr>
                <w:rFonts w:ascii="Arial" w:hAnsi="Arial" w:cs="Arial"/>
                <w:sz w:val="20"/>
                <w:szCs w:val="20"/>
              </w:rPr>
              <w:t>0.24</w:t>
            </w:r>
          </w:p>
        </w:tc>
        <w:tc>
          <w:tcPr>
            <w:tcW w:w="1559" w:type="dxa"/>
            <w:tcBorders>
              <w:top w:val="nil"/>
              <w:left w:val="nil"/>
              <w:bottom w:val="single" w:sz="4" w:space="0" w:color="auto"/>
              <w:right w:val="single" w:sz="4" w:space="0" w:color="auto"/>
            </w:tcBorders>
            <w:shd w:val="clear" w:color="auto" w:fill="auto"/>
            <w:noWrap/>
            <w:vAlign w:val="bottom"/>
            <w:hideMark/>
          </w:tcPr>
          <w:p w14:paraId="18660493" w14:textId="77777777" w:rsidR="00C9171B" w:rsidRDefault="00C9171B" w:rsidP="00AD1819">
            <w:pPr>
              <w:jc w:val="center"/>
              <w:rPr>
                <w:rFonts w:ascii="Arial" w:hAnsi="Arial" w:cs="Arial"/>
                <w:sz w:val="20"/>
                <w:szCs w:val="20"/>
              </w:rPr>
            </w:pPr>
            <w:r>
              <w:rPr>
                <w:rFonts w:ascii="Arial" w:hAnsi="Arial" w:cs="Arial"/>
                <w:sz w:val="20"/>
                <w:szCs w:val="20"/>
              </w:rPr>
              <w:t>0.30</w:t>
            </w:r>
          </w:p>
        </w:tc>
      </w:tr>
      <w:tr w:rsidR="00C9171B" w14:paraId="161BCF81" w14:textId="77777777" w:rsidTr="00AD1819">
        <w:trPr>
          <w:trHeight w:val="262"/>
        </w:trPr>
        <w:tc>
          <w:tcPr>
            <w:tcW w:w="5894" w:type="dxa"/>
            <w:tcBorders>
              <w:top w:val="nil"/>
              <w:left w:val="single" w:sz="8" w:space="0" w:color="auto"/>
              <w:bottom w:val="single" w:sz="8" w:space="0" w:color="auto"/>
              <w:right w:val="nil"/>
            </w:tcBorders>
            <w:shd w:val="clear" w:color="auto" w:fill="auto"/>
            <w:noWrap/>
            <w:vAlign w:val="center"/>
            <w:hideMark/>
          </w:tcPr>
          <w:p w14:paraId="16CDD8E0" w14:textId="77777777" w:rsidR="00C9171B" w:rsidRDefault="00C9171B" w:rsidP="00AD1819">
            <w:pPr>
              <w:rPr>
                <w:rFonts w:ascii="Calibri" w:hAnsi="Calibri" w:cs="Calibri"/>
                <w:b/>
                <w:bCs/>
                <w:sz w:val="22"/>
                <w:szCs w:val="22"/>
              </w:rPr>
            </w:pPr>
            <w:r>
              <w:rPr>
                <w:rFonts w:ascii="Calibri" w:hAnsi="Calibri" w:cs="Calibri"/>
                <w:b/>
                <w:bCs/>
                <w:sz w:val="22"/>
                <w:szCs w:val="22"/>
              </w:rPr>
              <w:t>Int. on Capex Loan (Net)</w:t>
            </w:r>
          </w:p>
        </w:tc>
        <w:tc>
          <w:tcPr>
            <w:tcW w:w="1609" w:type="dxa"/>
            <w:tcBorders>
              <w:top w:val="nil"/>
              <w:left w:val="single" w:sz="4" w:space="0" w:color="auto"/>
              <w:bottom w:val="single" w:sz="4" w:space="0" w:color="auto"/>
              <w:right w:val="single" w:sz="4" w:space="0" w:color="auto"/>
            </w:tcBorders>
            <w:shd w:val="clear" w:color="auto" w:fill="auto"/>
            <w:noWrap/>
            <w:vAlign w:val="bottom"/>
            <w:hideMark/>
          </w:tcPr>
          <w:p w14:paraId="7205BBF3" w14:textId="77777777" w:rsidR="00C9171B" w:rsidRDefault="00C9171B" w:rsidP="00AD1819">
            <w:pPr>
              <w:jc w:val="center"/>
              <w:rPr>
                <w:rFonts w:ascii="Arial" w:hAnsi="Arial" w:cs="Arial"/>
                <w:sz w:val="20"/>
                <w:szCs w:val="20"/>
              </w:rPr>
            </w:pPr>
            <w:r>
              <w:rPr>
                <w:rFonts w:ascii="Arial" w:hAnsi="Arial" w:cs="Arial"/>
                <w:sz w:val="20"/>
                <w:szCs w:val="20"/>
              </w:rPr>
              <w:t>65.09</w:t>
            </w:r>
          </w:p>
        </w:tc>
        <w:tc>
          <w:tcPr>
            <w:tcW w:w="1559" w:type="dxa"/>
            <w:tcBorders>
              <w:top w:val="nil"/>
              <w:left w:val="nil"/>
              <w:bottom w:val="single" w:sz="4" w:space="0" w:color="auto"/>
              <w:right w:val="single" w:sz="4" w:space="0" w:color="auto"/>
            </w:tcBorders>
            <w:shd w:val="clear" w:color="auto" w:fill="auto"/>
            <w:noWrap/>
            <w:vAlign w:val="bottom"/>
            <w:hideMark/>
          </w:tcPr>
          <w:p w14:paraId="61084A6B" w14:textId="77777777" w:rsidR="00C9171B" w:rsidRDefault="00C9171B" w:rsidP="00AD1819">
            <w:pPr>
              <w:jc w:val="center"/>
              <w:rPr>
                <w:rFonts w:ascii="Arial" w:hAnsi="Arial" w:cs="Arial"/>
                <w:sz w:val="20"/>
                <w:szCs w:val="20"/>
              </w:rPr>
            </w:pPr>
            <w:r>
              <w:rPr>
                <w:rFonts w:ascii="Arial" w:hAnsi="Arial" w:cs="Arial"/>
                <w:sz w:val="20"/>
                <w:szCs w:val="20"/>
              </w:rPr>
              <w:t>84.78</w:t>
            </w:r>
          </w:p>
        </w:tc>
      </w:tr>
      <w:tr w:rsidR="00C9171B" w14:paraId="155E466C" w14:textId="77777777" w:rsidTr="00AD1819">
        <w:trPr>
          <w:trHeight w:val="262"/>
        </w:trPr>
        <w:tc>
          <w:tcPr>
            <w:tcW w:w="5894" w:type="dxa"/>
            <w:tcBorders>
              <w:top w:val="nil"/>
              <w:left w:val="single" w:sz="8" w:space="0" w:color="auto"/>
              <w:bottom w:val="single" w:sz="8" w:space="0" w:color="auto"/>
              <w:right w:val="nil"/>
            </w:tcBorders>
            <w:shd w:val="clear" w:color="auto" w:fill="95B3D7" w:themeFill="accent1" w:themeFillTint="99"/>
            <w:noWrap/>
            <w:vAlign w:val="center"/>
            <w:hideMark/>
          </w:tcPr>
          <w:p w14:paraId="43F4392B" w14:textId="77777777" w:rsidR="00C9171B" w:rsidRPr="00AD1819" w:rsidRDefault="00C9171B" w:rsidP="00AD1819">
            <w:pPr>
              <w:rPr>
                <w:rFonts w:ascii="Calibri" w:hAnsi="Calibri" w:cs="Calibri"/>
                <w:b/>
                <w:bCs/>
                <w:sz w:val="22"/>
                <w:szCs w:val="22"/>
              </w:rPr>
            </w:pPr>
            <w:r w:rsidRPr="00AD1819">
              <w:rPr>
                <w:rFonts w:ascii="Calibri" w:hAnsi="Calibri" w:cs="Calibri"/>
                <w:b/>
                <w:bCs/>
                <w:sz w:val="22"/>
                <w:szCs w:val="22"/>
              </w:rPr>
              <w:t xml:space="preserve">Total </w:t>
            </w:r>
          </w:p>
        </w:tc>
        <w:tc>
          <w:tcPr>
            <w:tcW w:w="1609" w:type="dxa"/>
            <w:tcBorders>
              <w:top w:val="nil"/>
              <w:left w:val="single" w:sz="4" w:space="0" w:color="auto"/>
              <w:bottom w:val="single" w:sz="4" w:space="0" w:color="auto"/>
              <w:right w:val="single" w:sz="4" w:space="0" w:color="auto"/>
            </w:tcBorders>
            <w:shd w:val="clear" w:color="auto" w:fill="95B3D7" w:themeFill="accent1" w:themeFillTint="99"/>
            <w:noWrap/>
            <w:vAlign w:val="bottom"/>
            <w:hideMark/>
          </w:tcPr>
          <w:p w14:paraId="0B41EE08" w14:textId="77777777" w:rsidR="00C9171B" w:rsidRPr="00AD1819" w:rsidRDefault="00C9171B" w:rsidP="00AD1819">
            <w:pPr>
              <w:jc w:val="center"/>
              <w:rPr>
                <w:rFonts w:ascii="Arial" w:hAnsi="Arial" w:cs="Arial"/>
                <w:b/>
                <w:sz w:val="20"/>
                <w:szCs w:val="20"/>
              </w:rPr>
            </w:pPr>
            <w:r w:rsidRPr="00AD1819">
              <w:rPr>
                <w:rFonts w:ascii="Arial" w:hAnsi="Arial" w:cs="Arial"/>
                <w:b/>
                <w:sz w:val="20"/>
                <w:szCs w:val="20"/>
              </w:rPr>
              <w:t>156.31</w:t>
            </w:r>
          </w:p>
        </w:tc>
        <w:tc>
          <w:tcPr>
            <w:tcW w:w="1559" w:type="dxa"/>
            <w:tcBorders>
              <w:top w:val="nil"/>
              <w:left w:val="nil"/>
              <w:bottom w:val="single" w:sz="4" w:space="0" w:color="auto"/>
              <w:right w:val="single" w:sz="4" w:space="0" w:color="auto"/>
            </w:tcBorders>
            <w:shd w:val="clear" w:color="auto" w:fill="95B3D7" w:themeFill="accent1" w:themeFillTint="99"/>
            <w:noWrap/>
            <w:vAlign w:val="bottom"/>
            <w:hideMark/>
          </w:tcPr>
          <w:p w14:paraId="7B55605A" w14:textId="77777777" w:rsidR="00C9171B" w:rsidRPr="00AD1819" w:rsidRDefault="00C9171B" w:rsidP="00AD1819">
            <w:pPr>
              <w:jc w:val="center"/>
              <w:rPr>
                <w:rFonts w:ascii="Arial" w:hAnsi="Arial" w:cs="Arial"/>
                <w:b/>
                <w:sz w:val="20"/>
                <w:szCs w:val="20"/>
              </w:rPr>
            </w:pPr>
            <w:r w:rsidRPr="00AD1819">
              <w:rPr>
                <w:rFonts w:ascii="Arial" w:hAnsi="Arial" w:cs="Arial"/>
                <w:b/>
                <w:sz w:val="20"/>
                <w:szCs w:val="20"/>
              </w:rPr>
              <w:t>182.37</w:t>
            </w:r>
          </w:p>
        </w:tc>
      </w:tr>
    </w:tbl>
    <w:p w14:paraId="7131E8CC" w14:textId="77777777" w:rsidR="00AD1819" w:rsidRDefault="00AD1819" w:rsidP="00AD1819">
      <w:pPr>
        <w:pStyle w:val="BodyText2"/>
        <w:spacing w:line="360" w:lineRule="auto"/>
        <w:jc w:val="both"/>
        <w:rPr>
          <w:rFonts w:asciiTheme="minorHAnsi" w:hAnsiTheme="minorHAnsi" w:cstheme="minorHAnsi"/>
          <w:sz w:val="22"/>
          <w:szCs w:val="22"/>
        </w:rPr>
      </w:pPr>
      <w:r>
        <w:rPr>
          <w:rFonts w:asciiTheme="minorHAnsi" w:hAnsiTheme="minorHAnsi" w:cstheme="minorHAnsi"/>
          <w:sz w:val="22"/>
          <w:szCs w:val="22"/>
        </w:rPr>
        <w:t xml:space="preserve">         </w:t>
      </w:r>
    </w:p>
    <w:p w14:paraId="4D2C537F" w14:textId="79AB180E" w:rsidR="00AD1819" w:rsidRPr="00E02343" w:rsidRDefault="00AD1819" w:rsidP="00AD1819">
      <w:pPr>
        <w:pStyle w:val="BodyText2"/>
        <w:spacing w:line="360" w:lineRule="auto"/>
        <w:jc w:val="both"/>
        <w:rPr>
          <w:rFonts w:asciiTheme="minorHAnsi" w:hAnsiTheme="minorHAnsi" w:cstheme="minorHAnsi"/>
          <w:sz w:val="22"/>
          <w:szCs w:val="22"/>
        </w:rPr>
      </w:pPr>
      <w:r>
        <w:rPr>
          <w:rFonts w:asciiTheme="minorHAnsi" w:hAnsiTheme="minorHAnsi" w:cstheme="minorHAnsi"/>
          <w:sz w:val="22"/>
          <w:szCs w:val="22"/>
        </w:rPr>
        <w:t xml:space="preserve">       </w:t>
      </w:r>
      <w:r w:rsidR="00530F0D" w:rsidRPr="00153204">
        <w:rPr>
          <w:rFonts w:asciiTheme="minorHAnsi" w:hAnsiTheme="minorHAnsi" w:cstheme="minorHAnsi"/>
          <w:sz w:val="22"/>
          <w:szCs w:val="22"/>
        </w:rPr>
        <w:t>The total interest chargeable to revenue proposed by TPNODL for the year FY 202</w:t>
      </w:r>
      <w:r w:rsidR="00D821DD">
        <w:rPr>
          <w:rFonts w:asciiTheme="minorHAnsi" w:hAnsiTheme="minorHAnsi" w:cstheme="minorHAnsi"/>
          <w:sz w:val="22"/>
          <w:szCs w:val="22"/>
        </w:rPr>
        <w:t>5</w:t>
      </w:r>
      <w:r w:rsidR="00530F0D" w:rsidRPr="00153204">
        <w:rPr>
          <w:rFonts w:asciiTheme="minorHAnsi" w:hAnsiTheme="minorHAnsi" w:cstheme="minorHAnsi"/>
          <w:sz w:val="22"/>
          <w:szCs w:val="22"/>
        </w:rPr>
        <w:t>-2</w:t>
      </w:r>
      <w:r w:rsidR="00D821DD">
        <w:rPr>
          <w:rFonts w:asciiTheme="minorHAnsi" w:hAnsiTheme="minorHAnsi" w:cstheme="minorHAnsi"/>
          <w:sz w:val="22"/>
          <w:szCs w:val="22"/>
        </w:rPr>
        <w:t>6</w:t>
      </w:r>
      <w:r w:rsidR="00530F0D" w:rsidRPr="00153204">
        <w:rPr>
          <w:rFonts w:asciiTheme="minorHAnsi" w:hAnsiTheme="minorHAnsi" w:cstheme="minorHAnsi"/>
          <w:sz w:val="22"/>
          <w:szCs w:val="22"/>
        </w:rPr>
        <w:t xml:space="preserve"> is </w:t>
      </w:r>
      <w:r w:rsidR="001A2772" w:rsidRPr="00153204">
        <w:rPr>
          <w:rFonts w:asciiTheme="minorHAnsi" w:hAnsiTheme="minorHAnsi" w:cstheme="minorHAnsi"/>
          <w:sz w:val="22"/>
          <w:szCs w:val="22"/>
        </w:rPr>
        <w:t>Rs.</w:t>
      </w:r>
      <w:r w:rsidR="00C9171B">
        <w:rPr>
          <w:rFonts w:asciiTheme="minorHAnsi" w:hAnsiTheme="minorHAnsi" w:cstheme="minorHAnsi"/>
          <w:sz w:val="22"/>
          <w:szCs w:val="22"/>
        </w:rPr>
        <w:t>182.37</w:t>
      </w:r>
      <w:r w:rsidR="00530F0D" w:rsidRPr="00153204">
        <w:rPr>
          <w:rFonts w:asciiTheme="minorHAnsi" w:hAnsiTheme="minorHAnsi" w:cstheme="minorHAnsi"/>
          <w:sz w:val="22"/>
          <w:szCs w:val="22"/>
        </w:rPr>
        <w:t xml:space="preserve"> </w:t>
      </w:r>
      <w:proofErr w:type="spellStart"/>
      <w:r w:rsidR="0007696A" w:rsidRPr="00153204">
        <w:rPr>
          <w:rFonts w:asciiTheme="minorHAnsi" w:hAnsiTheme="minorHAnsi" w:cstheme="minorHAnsi"/>
          <w:sz w:val="22"/>
          <w:szCs w:val="22"/>
        </w:rPr>
        <w:t>Crs</w:t>
      </w:r>
      <w:proofErr w:type="spellEnd"/>
      <w:r w:rsidR="00974443">
        <w:rPr>
          <w:rFonts w:asciiTheme="minorHAnsi" w:hAnsiTheme="minorHAnsi" w:cstheme="minorHAnsi"/>
          <w:sz w:val="22"/>
          <w:szCs w:val="22"/>
        </w:rPr>
        <w:t>.</w:t>
      </w:r>
    </w:p>
    <w:p w14:paraId="3573FF8E" w14:textId="77777777" w:rsidR="00974443" w:rsidRPr="00D6050D" w:rsidRDefault="00974443" w:rsidP="00AD1819">
      <w:pPr>
        <w:spacing w:line="360" w:lineRule="auto"/>
        <w:jc w:val="both"/>
        <w:textAlignment w:val="baseline"/>
        <w:rPr>
          <w:rFonts w:cs="Calibri"/>
          <w:b/>
          <w:bCs/>
          <w:lang w:bidi="or-IN"/>
        </w:rPr>
      </w:pPr>
    </w:p>
    <w:p w14:paraId="3E1FB9DC" w14:textId="21F4175C" w:rsidR="00974443" w:rsidRPr="00D6050D" w:rsidRDefault="00AD1819" w:rsidP="00974443">
      <w:pPr>
        <w:spacing w:line="360" w:lineRule="auto"/>
        <w:ind w:left="567"/>
        <w:jc w:val="both"/>
        <w:textAlignment w:val="baseline"/>
        <w:rPr>
          <w:rFonts w:ascii="Calibri" w:hAnsi="Calibri" w:cs="Calibri"/>
          <w:b/>
          <w:bCs/>
          <w:sz w:val="28"/>
          <w:szCs w:val="22"/>
          <w:lang w:bidi="or-IN"/>
        </w:rPr>
      </w:pPr>
      <w:r>
        <w:rPr>
          <w:rFonts w:ascii="Calibri" w:hAnsi="Calibri" w:cs="Calibri"/>
          <w:b/>
          <w:bCs/>
          <w:sz w:val="28"/>
          <w:szCs w:val="22"/>
          <w:lang w:bidi="or-IN"/>
        </w:rPr>
        <w:t>2</w:t>
      </w:r>
      <w:r w:rsidR="00974443" w:rsidRPr="00D6050D">
        <w:rPr>
          <w:rFonts w:ascii="Calibri" w:hAnsi="Calibri" w:cs="Calibri"/>
          <w:b/>
          <w:bCs/>
          <w:sz w:val="28"/>
          <w:szCs w:val="22"/>
          <w:lang w:bidi="or-IN"/>
        </w:rPr>
        <w:t>.1</w:t>
      </w:r>
      <w:r>
        <w:rPr>
          <w:rFonts w:ascii="Calibri" w:hAnsi="Calibri" w:cs="Calibri"/>
          <w:b/>
          <w:bCs/>
          <w:sz w:val="28"/>
          <w:szCs w:val="22"/>
          <w:lang w:bidi="or-IN"/>
        </w:rPr>
        <w:t>1</w:t>
      </w:r>
      <w:r w:rsidR="00974443" w:rsidRPr="00D6050D">
        <w:rPr>
          <w:rFonts w:ascii="Calibri" w:hAnsi="Calibri" w:cs="Calibri"/>
          <w:b/>
          <w:bCs/>
          <w:sz w:val="28"/>
          <w:szCs w:val="22"/>
          <w:lang w:bidi="or-IN"/>
        </w:rPr>
        <w:t xml:space="preserve"> Capital Expenditure </w:t>
      </w:r>
      <w:r>
        <w:rPr>
          <w:rFonts w:ascii="Calibri" w:hAnsi="Calibri" w:cs="Calibri"/>
          <w:b/>
          <w:bCs/>
          <w:sz w:val="28"/>
          <w:szCs w:val="22"/>
          <w:lang w:bidi="or-IN"/>
        </w:rPr>
        <w:t>Plan</w:t>
      </w:r>
    </w:p>
    <w:p w14:paraId="622A0D81" w14:textId="77777777" w:rsidR="00974443" w:rsidRPr="00D6050D" w:rsidRDefault="00974443" w:rsidP="00974443">
      <w:pPr>
        <w:spacing w:line="360" w:lineRule="auto"/>
        <w:ind w:left="567"/>
        <w:jc w:val="both"/>
        <w:textAlignment w:val="baseline"/>
        <w:rPr>
          <w:rFonts w:ascii="Calibri" w:hAnsi="Calibri" w:cs="Calibri"/>
          <w:bCs/>
          <w:sz w:val="22"/>
          <w:szCs w:val="22"/>
          <w:lang w:bidi="or-IN"/>
        </w:rPr>
      </w:pPr>
      <w:r w:rsidRPr="00D6050D">
        <w:rPr>
          <w:rFonts w:ascii="Calibri" w:hAnsi="Calibri" w:cs="Calibri"/>
          <w:bCs/>
          <w:sz w:val="22"/>
          <w:szCs w:val="22"/>
          <w:lang w:bidi="or-IN"/>
        </w:rPr>
        <w:t>Section 39 of the Vesting order of the licensee envisages for a comprehensive Capital expenditure plan for first five years of licensed operation. The extract of the provision is reproduced hereunder</w:t>
      </w:r>
    </w:p>
    <w:p w14:paraId="0254ECE0" w14:textId="77777777" w:rsidR="00974443" w:rsidRPr="00D6050D" w:rsidRDefault="00974443" w:rsidP="00974443">
      <w:pPr>
        <w:widowControl w:val="0"/>
        <w:tabs>
          <w:tab w:val="left" w:pos="837"/>
        </w:tabs>
        <w:autoSpaceDE w:val="0"/>
        <w:autoSpaceDN w:val="0"/>
        <w:spacing w:before="107" w:line="360" w:lineRule="auto"/>
        <w:ind w:left="836"/>
        <w:jc w:val="both"/>
        <w:rPr>
          <w:rFonts w:ascii="Calibri" w:hAnsi="Calibri" w:cs="Calibri"/>
          <w:b/>
          <w:i/>
          <w:sz w:val="22"/>
          <w:szCs w:val="22"/>
        </w:rPr>
      </w:pPr>
      <w:r w:rsidRPr="00D6050D">
        <w:rPr>
          <w:rFonts w:ascii="Calibri" w:hAnsi="Calibri" w:cs="Calibri"/>
          <w:b/>
          <w:i/>
          <w:sz w:val="22"/>
          <w:szCs w:val="22"/>
        </w:rPr>
        <w:t>39. Capital</w:t>
      </w:r>
      <w:r w:rsidRPr="00D6050D">
        <w:rPr>
          <w:rFonts w:ascii="Calibri" w:hAnsi="Calibri" w:cs="Calibri"/>
          <w:b/>
          <w:i/>
          <w:spacing w:val="13"/>
          <w:sz w:val="22"/>
          <w:szCs w:val="22"/>
        </w:rPr>
        <w:t xml:space="preserve"> </w:t>
      </w:r>
      <w:r w:rsidRPr="00D6050D">
        <w:rPr>
          <w:rFonts w:ascii="Calibri" w:hAnsi="Calibri" w:cs="Calibri"/>
          <w:b/>
          <w:i/>
          <w:sz w:val="22"/>
          <w:szCs w:val="22"/>
        </w:rPr>
        <w:t>investment</w:t>
      </w:r>
      <w:r w:rsidRPr="00D6050D">
        <w:rPr>
          <w:rFonts w:ascii="Calibri" w:hAnsi="Calibri" w:cs="Calibri"/>
          <w:b/>
          <w:i/>
          <w:spacing w:val="16"/>
          <w:sz w:val="22"/>
          <w:szCs w:val="22"/>
        </w:rPr>
        <w:t xml:space="preserve"> </w:t>
      </w:r>
      <w:r w:rsidRPr="00D6050D">
        <w:rPr>
          <w:rFonts w:ascii="Calibri" w:hAnsi="Calibri" w:cs="Calibri"/>
          <w:b/>
          <w:i/>
          <w:sz w:val="22"/>
          <w:szCs w:val="22"/>
        </w:rPr>
        <w:t>plan</w:t>
      </w:r>
    </w:p>
    <w:p w14:paraId="0F100D24" w14:textId="77777777" w:rsidR="00974443" w:rsidRPr="00D6050D" w:rsidRDefault="00974443" w:rsidP="00974443">
      <w:pPr>
        <w:widowControl w:val="0"/>
        <w:numPr>
          <w:ilvl w:val="1"/>
          <w:numId w:val="6"/>
        </w:numPr>
        <w:tabs>
          <w:tab w:val="left" w:pos="1560"/>
        </w:tabs>
        <w:autoSpaceDE w:val="0"/>
        <w:autoSpaceDN w:val="0"/>
        <w:spacing w:after="160" w:line="360" w:lineRule="auto"/>
        <w:ind w:left="1276" w:right="319"/>
        <w:jc w:val="both"/>
        <w:rPr>
          <w:rFonts w:ascii="Calibri" w:hAnsi="Calibri" w:cs="Calibri"/>
          <w:b/>
          <w:i/>
          <w:sz w:val="22"/>
          <w:szCs w:val="22"/>
        </w:rPr>
      </w:pPr>
      <w:r w:rsidRPr="00D6050D">
        <w:rPr>
          <w:rFonts w:ascii="Calibri" w:hAnsi="Calibri" w:cs="Calibri"/>
          <w:b/>
          <w:i/>
          <w:sz w:val="22"/>
          <w:szCs w:val="22"/>
        </w:rPr>
        <w:t>The RFP required the bidders to provide a capital expenditure plan for first 5</w:t>
      </w:r>
      <w:r w:rsidRPr="00D6050D">
        <w:rPr>
          <w:rFonts w:ascii="Calibri" w:hAnsi="Calibri" w:cs="Calibri"/>
          <w:b/>
          <w:i/>
          <w:spacing w:val="1"/>
          <w:sz w:val="22"/>
          <w:szCs w:val="22"/>
        </w:rPr>
        <w:t xml:space="preserve"> </w:t>
      </w:r>
      <w:r w:rsidRPr="00D6050D">
        <w:rPr>
          <w:rFonts w:ascii="Calibri" w:hAnsi="Calibri" w:cs="Calibri"/>
          <w:b/>
          <w:i/>
          <w:sz w:val="22"/>
          <w:szCs w:val="22"/>
        </w:rPr>
        <w:t>(five)</w:t>
      </w:r>
      <w:r w:rsidRPr="00D6050D">
        <w:rPr>
          <w:rFonts w:ascii="Calibri" w:hAnsi="Calibri" w:cs="Calibri"/>
          <w:b/>
          <w:i/>
          <w:spacing w:val="5"/>
          <w:sz w:val="22"/>
          <w:szCs w:val="22"/>
        </w:rPr>
        <w:t xml:space="preserve"> </w:t>
      </w:r>
      <w:r w:rsidRPr="00D6050D">
        <w:rPr>
          <w:rFonts w:ascii="Calibri" w:hAnsi="Calibri" w:cs="Calibri"/>
          <w:b/>
          <w:i/>
          <w:sz w:val="22"/>
          <w:szCs w:val="22"/>
        </w:rPr>
        <w:t>years</w:t>
      </w:r>
      <w:r w:rsidRPr="00D6050D">
        <w:rPr>
          <w:rFonts w:ascii="Calibri" w:hAnsi="Calibri" w:cs="Calibri"/>
          <w:b/>
          <w:i/>
          <w:spacing w:val="2"/>
          <w:sz w:val="22"/>
          <w:szCs w:val="22"/>
        </w:rPr>
        <w:t xml:space="preserve"> </w:t>
      </w:r>
      <w:r w:rsidRPr="00D6050D">
        <w:rPr>
          <w:rFonts w:ascii="Calibri" w:hAnsi="Calibri" w:cs="Calibri"/>
          <w:b/>
          <w:i/>
          <w:sz w:val="22"/>
          <w:szCs w:val="22"/>
        </w:rPr>
        <w:t>of</w:t>
      </w:r>
      <w:r w:rsidRPr="00D6050D">
        <w:rPr>
          <w:rFonts w:ascii="Calibri" w:hAnsi="Calibri" w:cs="Calibri"/>
          <w:b/>
          <w:i/>
          <w:spacing w:val="5"/>
          <w:sz w:val="22"/>
          <w:szCs w:val="22"/>
        </w:rPr>
        <w:t xml:space="preserve"> </w:t>
      </w:r>
      <w:r w:rsidRPr="00D6050D">
        <w:rPr>
          <w:rFonts w:ascii="Calibri" w:hAnsi="Calibri" w:cs="Calibri"/>
          <w:b/>
          <w:i/>
          <w:sz w:val="22"/>
          <w:szCs w:val="22"/>
        </w:rPr>
        <w:t>licensed</w:t>
      </w:r>
      <w:r w:rsidRPr="00D6050D">
        <w:rPr>
          <w:rFonts w:ascii="Calibri" w:hAnsi="Calibri" w:cs="Calibri"/>
          <w:b/>
          <w:i/>
          <w:spacing w:val="3"/>
          <w:sz w:val="22"/>
          <w:szCs w:val="22"/>
        </w:rPr>
        <w:t xml:space="preserve"> </w:t>
      </w:r>
      <w:r w:rsidRPr="00D6050D">
        <w:rPr>
          <w:rFonts w:ascii="Calibri" w:hAnsi="Calibri" w:cs="Calibri"/>
          <w:b/>
          <w:i/>
          <w:sz w:val="22"/>
          <w:szCs w:val="22"/>
        </w:rPr>
        <w:t>operations</w:t>
      </w:r>
      <w:r w:rsidRPr="00D6050D">
        <w:rPr>
          <w:rFonts w:ascii="Calibri" w:hAnsi="Calibri" w:cs="Calibri"/>
          <w:b/>
          <w:i/>
          <w:spacing w:val="1"/>
          <w:sz w:val="22"/>
          <w:szCs w:val="22"/>
        </w:rPr>
        <w:t xml:space="preserve"> </w:t>
      </w:r>
      <w:r w:rsidRPr="00D6050D">
        <w:rPr>
          <w:rFonts w:ascii="Calibri" w:hAnsi="Calibri" w:cs="Calibri"/>
          <w:b/>
          <w:i/>
          <w:sz w:val="22"/>
          <w:szCs w:val="22"/>
        </w:rPr>
        <w:t>as</w:t>
      </w:r>
      <w:r w:rsidRPr="00D6050D">
        <w:rPr>
          <w:rFonts w:ascii="Calibri" w:hAnsi="Calibri" w:cs="Calibri"/>
          <w:b/>
          <w:i/>
          <w:spacing w:val="3"/>
          <w:sz w:val="22"/>
          <w:szCs w:val="22"/>
        </w:rPr>
        <w:t xml:space="preserve"> </w:t>
      </w:r>
      <w:r w:rsidRPr="00D6050D">
        <w:rPr>
          <w:rFonts w:ascii="Calibri" w:hAnsi="Calibri" w:cs="Calibri"/>
          <w:b/>
          <w:i/>
          <w:sz w:val="22"/>
          <w:szCs w:val="22"/>
        </w:rPr>
        <w:t>part</w:t>
      </w:r>
      <w:r w:rsidRPr="00D6050D">
        <w:rPr>
          <w:rFonts w:ascii="Calibri" w:hAnsi="Calibri" w:cs="Calibri"/>
          <w:b/>
          <w:i/>
          <w:spacing w:val="3"/>
          <w:sz w:val="22"/>
          <w:szCs w:val="22"/>
        </w:rPr>
        <w:t xml:space="preserve"> </w:t>
      </w:r>
      <w:r w:rsidRPr="00D6050D">
        <w:rPr>
          <w:rFonts w:ascii="Calibri" w:hAnsi="Calibri" w:cs="Calibri"/>
          <w:b/>
          <w:i/>
          <w:sz w:val="22"/>
          <w:szCs w:val="22"/>
        </w:rPr>
        <w:t>of</w:t>
      </w:r>
      <w:r w:rsidRPr="00D6050D">
        <w:rPr>
          <w:rFonts w:ascii="Calibri" w:hAnsi="Calibri" w:cs="Calibri"/>
          <w:b/>
          <w:i/>
          <w:spacing w:val="1"/>
          <w:sz w:val="22"/>
          <w:szCs w:val="22"/>
        </w:rPr>
        <w:t xml:space="preserve"> </w:t>
      </w:r>
      <w:r w:rsidRPr="00D6050D">
        <w:rPr>
          <w:rFonts w:ascii="Calibri" w:hAnsi="Calibri" w:cs="Calibri"/>
          <w:b/>
          <w:i/>
          <w:sz w:val="22"/>
          <w:szCs w:val="22"/>
        </w:rPr>
        <w:t>their</w:t>
      </w:r>
      <w:r w:rsidRPr="00D6050D">
        <w:rPr>
          <w:rFonts w:ascii="Calibri" w:hAnsi="Calibri" w:cs="Calibri"/>
          <w:b/>
          <w:i/>
          <w:spacing w:val="2"/>
          <w:sz w:val="22"/>
          <w:szCs w:val="22"/>
        </w:rPr>
        <w:t xml:space="preserve"> </w:t>
      </w:r>
      <w:r w:rsidRPr="00D6050D">
        <w:rPr>
          <w:rFonts w:ascii="Calibri" w:hAnsi="Calibri" w:cs="Calibri"/>
          <w:b/>
          <w:i/>
          <w:sz w:val="22"/>
          <w:szCs w:val="22"/>
        </w:rPr>
        <w:t>bid.</w:t>
      </w:r>
    </w:p>
    <w:p w14:paraId="75D4E7A8" w14:textId="77777777" w:rsidR="00974443" w:rsidRPr="00D6050D" w:rsidRDefault="00974443" w:rsidP="00974443">
      <w:pPr>
        <w:widowControl w:val="0"/>
        <w:numPr>
          <w:ilvl w:val="1"/>
          <w:numId w:val="6"/>
        </w:numPr>
        <w:autoSpaceDE w:val="0"/>
        <w:autoSpaceDN w:val="0"/>
        <w:spacing w:before="111" w:after="160" w:line="360" w:lineRule="auto"/>
        <w:ind w:left="1134" w:right="318"/>
        <w:jc w:val="both"/>
        <w:rPr>
          <w:rFonts w:ascii="Calibri" w:hAnsi="Calibri" w:cs="Calibri"/>
          <w:b/>
          <w:i/>
          <w:sz w:val="22"/>
          <w:szCs w:val="22"/>
        </w:rPr>
      </w:pPr>
      <w:r w:rsidRPr="00D6050D">
        <w:rPr>
          <w:rFonts w:ascii="Calibri" w:hAnsi="Calibri" w:cs="Calibri"/>
          <w:b/>
          <w:i/>
          <w:sz w:val="22"/>
          <w:szCs w:val="22"/>
        </w:rPr>
        <w:t>In</w:t>
      </w:r>
      <w:r w:rsidRPr="00D6050D">
        <w:rPr>
          <w:rFonts w:ascii="Calibri" w:hAnsi="Calibri" w:cs="Calibri"/>
          <w:b/>
          <w:i/>
          <w:spacing w:val="1"/>
          <w:sz w:val="22"/>
          <w:szCs w:val="22"/>
        </w:rPr>
        <w:t xml:space="preserve"> </w:t>
      </w:r>
      <w:r w:rsidRPr="00D6050D">
        <w:rPr>
          <w:rFonts w:ascii="Calibri" w:hAnsi="Calibri" w:cs="Calibri"/>
          <w:b/>
          <w:i/>
          <w:sz w:val="22"/>
          <w:szCs w:val="22"/>
        </w:rPr>
        <w:t>its</w:t>
      </w:r>
      <w:r w:rsidRPr="00D6050D">
        <w:rPr>
          <w:rFonts w:ascii="Calibri" w:hAnsi="Calibri" w:cs="Calibri"/>
          <w:b/>
          <w:i/>
          <w:spacing w:val="1"/>
          <w:sz w:val="22"/>
          <w:szCs w:val="22"/>
        </w:rPr>
        <w:t xml:space="preserve"> </w:t>
      </w:r>
      <w:r w:rsidRPr="00D6050D">
        <w:rPr>
          <w:rFonts w:ascii="Calibri" w:hAnsi="Calibri" w:cs="Calibri"/>
          <w:b/>
          <w:i/>
          <w:sz w:val="22"/>
          <w:szCs w:val="22"/>
        </w:rPr>
        <w:t>Bid</w:t>
      </w:r>
      <w:r w:rsidRPr="00D6050D">
        <w:rPr>
          <w:rFonts w:ascii="Calibri" w:hAnsi="Calibri" w:cs="Calibri"/>
          <w:b/>
          <w:i/>
          <w:spacing w:val="1"/>
          <w:sz w:val="22"/>
          <w:szCs w:val="22"/>
        </w:rPr>
        <w:t xml:space="preserve"> </w:t>
      </w:r>
      <w:r w:rsidRPr="00D6050D">
        <w:rPr>
          <w:rFonts w:ascii="Calibri" w:hAnsi="Calibri" w:cs="Calibri"/>
          <w:b/>
          <w:i/>
          <w:sz w:val="22"/>
          <w:szCs w:val="22"/>
        </w:rPr>
        <w:t>submitted</w:t>
      </w:r>
      <w:r w:rsidRPr="00D6050D">
        <w:rPr>
          <w:rFonts w:ascii="Calibri" w:hAnsi="Calibri" w:cs="Calibri"/>
          <w:b/>
          <w:i/>
          <w:spacing w:val="1"/>
          <w:sz w:val="22"/>
          <w:szCs w:val="22"/>
        </w:rPr>
        <w:t xml:space="preserve"> </w:t>
      </w:r>
      <w:r w:rsidRPr="00D6050D">
        <w:rPr>
          <w:rFonts w:ascii="Calibri" w:hAnsi="Calibri" w:cs="Calibri"/>
          <w:b/>
          <w:i/>
          <w:sz w:val="22"/>
          <w:szCs w:val="22"/>
        </w:rPr>
        <w:t>in</w:t>
      </w:r>
      <w:r w:rsidRPr="00D6050D">
        <w:rPr>
          <w:rFonts w:ascii="Calibri" w:hAnsi="Calibri" w:cs="Calibri"/>
          <w:b/>
          <w:i/>
          <w:spacing w:val="1"/>
          <w:sz w:val="22"/>
          <w:szCs w:val="22"/>
        </w:rPr>
        <w:t xml:space="preserve"> </w:t>
      </w:r>
      <w:r w:rsidRPr="00D6050D">
        <w:rPr>
          <w:rFonts w:ascii="Calibri" w:hAnsi="Calibri" w:cs="Calibri"/>
          <w:b/>
          <w:i/>
          <w:sz w:val="22"/>
          <w:szCs w:val="22"/>
        </w:rPr>
        <w:t>response</w:t>
      </w:r>
      <w:r w:rsidRPr="00D6050D">
        <w:rPr>
          <w:rFonts w:ascii="Calibri" w:hAnsi="Calibri" w:cs="Calibri"/>
          <w:b/>
          <w:i/>
          <w:spacing w:val="1"/>
          <w:sz w:val="22"/>
          <w:szCs w:val="22"/>
        </w:rPr>
        <w:t xml:space="preserve"> </w:t>
      </w:r>
      <w:r w:rsidRPr="00D6050D">
        <w:rPr>
          <w:rFonts w:ascii="Calibri" w:hAnsi="Calibri" w:cs="Calibri"/>
          <w:b/>
          <w:i/>
          <w:sz w:val="22"/>
          <w:szCs w:val="22"/>
        </w:rPr>
        <w:t>to</w:t>
      </w:r>
      <w:r w:rsidRPr="00D6050D">
        <w:rPr>
          <w:rFonts w:ascii="Calibri" w:hAnsi="Calibri" w:cs="Calibri"/>
          <w:b/>
          <w:i/>
          <w:spacing w:val="1"/>
          <w:sz w:val="22"/>
          <w:szCs w:val="22"/>
        </w:rPr>
        <w:t xml:space="preserve"> </w:t>
      </w:r>
      <w:r w:rsidRPr="00D6050D">
        <w:rPr>
          <w:rFonts w:ascii="Calibri" w:hAnsi="Calibri" w:cs="Calibri"/>
          <w:b/>
          <w:i/>
          <w:sz w:val="22"/>
          <w:szCs w:val="22"/>
        </w:rPr>
        <w:t>the</w:t>
      </w:r>
      <w:r w:rsidRPr="00D6050D">
        <w:rPr>
          <w:rFonts w:ascii="Calibri" w:hAnsi="Calibri" w:cs="Calibri"/>
          <w:b/>
          <w:i/>
          <w:spacing w:val="1"/>
          <w:sz w:val="22"/>
          <w:szCs w:val="22"/>
        </w:rPr>
        <w:t xml:space="preserve"> </w:t>
      </w:r>
      <w:r w:rsidRPr="00D6050D">
        <w:rPr>
          <w:rFonts w:ascii="Calibri" w:hAnsi="Calibri" w:cs="Calibri"/>
          <w:b/>
          <w:i/>
          <w:sz w:val="22"/>
          <w:szCs w:val="22"/>
        </w:rPr>
        <w:t>RFP,</w:t>
      </w:r>
      <w:r w:rsidRPr="00D6050D">
        <w:rPr>
          <w:rFonts w:ascii="Calibri" w:hAnsi="Calibri" w:cs="Calibri"/>
          <w:b/>
          <w:i/>
          <w:spacing w:val="1"/>
          <w:sz w:val="22"/>
          <w:szCs w:val="22"/>
        </w:rPr>
        <w:t xml:space="preserve"> </w:t>
      </w:r>
      <w:r w:rsidRPr="00D6050D">
        <w:rPr>
          <w:rFonts w:ascii="Calibri" w:hAnsi="Calibri" w:cs="Calibri"/>
          <w:b/>
          <w:i/>
          <w:sz w:val="22"/>
          <w:szCs w:val="22"/>
        </w:rPr>
        <w:t>TPCL</w:t>
      </w:r>
      <w:r w:rsidRPr="00D6050D">
        <w:rPr>
          <w:rFonts w:ascii="Calibri" w:hAnsi="Calibri" w:cs="Calibri"/>
          <w:b/>
          <w:i/>
          <w:spacing w:val="1"/>
          <w:sz w:val="22"/>
          <w:szCs w:val="22"/>
        </w:rPr>
        <w:t xml:space="preserve"> </w:t>
      </w:r>
      <w:r w:rsidRPr="00D6050D">
        <w:rPr>
          <w:rFonts w:ascii="Calibri" w:hAnsi="Calibri" w:cs="Calibri"/>
          <w:b/>
          <w:i/>
          <w:sz w:val="22"/>
          <w:szCs w:val="22"/>
        </w:rPr>
        <w:t>committed</w:t>
      </w:r>
      <w:r w:rsidRPr="00D6050D">
        <w:rPr>
          <w:rFonts w:ascii="Calibri" w:hAnsi="Calibri" w:cs="Calibri"/>
          <w:b/>
          <w:i/>
          <w:spacing w:val="55"/>
          <w:sz w:val="22"/>
          <w:szCs w:val="22"/>
        </w:rPr>
        <w:t xml:space="preserve"> </w:t>
      </w:r>
      <w:r w:rsidRPr="00D6050D">
        <w:rPr>
          <w:rFonts w:ascii="Calibri" w:hAnsi="Calibri" w:cs="Calibri"/>
          <w:b/>
          <w:i/>
          <w:sz w:val="22"/>
          <w:szCs w:val="22"/>
        </w:rPr>
        <w:t>capital</w:t>
      </w:r>
      <w:r w:rsidRPr="00D6050D">
        <w:rPr>
          <w:rFonts w:ascii="Calibri" w:hAnsi="Calibri" w:cs="Calibri"/>
          <w:b/>
          <w:i/>
          <w:spacing w:val="1"/>
          <w:sz w:val="22"/>
          <w:szCs w:val="22"/>
        </w:rPr>
        <w:t xml:space="preserve"> </w:t>
      </w:r>
      <w:r w:rsidRPr="00D6050D">
        <w:rPr>
          <w:rFonts w:ascii="Calibri" w:hAnsi="Calibri" w:cs="Calibri"/>
          <w:b/>
          <w:i/>
          <w:sz w:val="22"/>
          <w:szCs w:val="22"/>
        </w:rPr>
        <w:t xml:space="preserve">expenditure of </w:t>
      </w:r>
      <w:r>
        <w:rPr>
          <w:rFonts w:ascii="Calibri" w:hAnsi="Calibri" w:cs="Calibri"/>
          <w:b/>
          <w:i/>
          <w:sz w:val="22"/>
          <w:szCs w:val="22"/>
        </w:rPr>
        <w:t>Rs.</w:t>
      </w:r>
      <w:r w:rsidRPr="00D6050D">
        <w:rPr>
          <w:rFonts w:ascii="Calibri" w:hAnsi="Calibri" w:cs="Calibri"/>
          <w:b/>
          <w:i/>
          <w:sz w:val="22"/>
          <w:szCs w:val="22"/>
        </w:rPr>
        <w:t xml:space="preserve"> 1,270 crores (Indian Rupee One thousand two hundred and</w:t>
      </w:r>
      <w:r w:rsidRPr="00D6050D">
        <w:rPr>
          <w:rFonts w:ascii="Calibri" w:hAnsi="Calibri" w:cs="Calibri"/>
          <w:b/>
          <w:i/>
          <w:spacing w:val="1"/>
          <w:sz w:val="22"/>
          <w:szCs w:val="22"/>
        </w:rPr>
        <w:t xml:space="preserve"> </w:t>
      </w:r>
      <w:r w:rsidRPr="00D6050D">
        <w:rPr>
          <w:rFonts w:ascii="Calibri" w:hAnsi="Calibri" w:cs="Calibri"/>
          <w:b/>
          <w:i/>
          <w:sz w:val="22"/>
          <w:szCs w:val="22"/>
        </w:rPr>
        <w:t>seventy</w:t>
      </w:r>
      <w:r w:rsidRPr="00D6050D">
        <w:rPr>
          <w:rFonts w:ascii="Calibri" w:hAnsi="Calibri" w:cs="Calibri"/>
          <w:b/>
          <w:i/>
          <w:spacing w:val="3"/>
          <w:sz w:val="22"/>
          <w:szCs w:val="22"/>
        </w:rPr>
        <w:t xml:space="preserve"> </w:t>
      </w:r>
      <w:r w:rsidRPr="00D6050D">
        <w:rPr>
          <w:rFonts w:ascii="Calibri" w:hAnsi="Calibri" w:cs="Calibri"/>
          <w:b/>
          <w:i/>
          <w:sz w:val="22"/>
          <w:szCs w:val="22"/>
        </w:rPr>
        <w:t>crores)</w:t>
      </w:r>
      <w:r w:rsidRPr="00D6050D">
        <w:rPr>
          <w:rFonts w:ascii="Calibri" w:hAnsi="Calibri" w:cs="Calibri"/>
          <w:b/>
          <w:i/>
          <w:spacing w:val="5"/>
          <w:sz w:val="22"/>
          <w:szCs w:val="22"/>
        </w:rPr>
        <w:t xml:space="preserve"> </w:t>
      </w:r>
      <w:r w:rsidRPr="00D6050D">
        <w:rPr>
          <w:rFonts w:ascii="Calibri" w:hAnsi="Calibri" w:cs="Calibri"/>
          <w:b/>
          <w:i/>
          <w:sz w:val="22"/>
          <w:szCs w:val="22"/>
        </w:rPr>
        <w:t>only</w:t>
      </w:r>
      <w:r w:rsidRPr="00D6050D">
        <w:rPr>
          <w:rFonts w:ascii="Calibri" w:hAnsi="Calibri" w:cs="Calibri"/>
          <w:b/>
          <w:i/>
          <w:spacing w:val="3"/>
          <w:sz w:val="22"/>
          <w:szCs w:val="22"/>
        </w:rPr>
        <w:t xml:space="preserve"> </w:t>
      </w:r>
      <w:r w:rsidRPr="00D6050D">
        <w:rPr>
          <w:rFonts w:ascii="Calibri" w:hAnsi="Calibri" w:cs="Calibri"/>
          <w:b/>
          <w:i/>
          <w:sz w:val="22"/>
          <w:szCs w:val="22"/>
        </w:rPr>
        <w:t>for</w:t>
      </w:r>
      <w:r w:rsidRPr="00D6050D">
        <w:rPr>
          <w:rFonts w:ascii="Calibri" w:hAnsi="Calibri" w:cs="Calibri"/>
          <w:b/>
          <w:i/>
          <w:spacing w:val="6"/>
          <w:sz w:val="22"/>
          <w:szCs w:val="22"/>
        </w:rPr>
        <w:t xml:space="preserve"> </w:t>
      </w:r>
      <w:r w:rsidRPr="00D6050D">
        <w:rPr>
          <w:rFonts w:ascii="Calibri" w:hAnsi="Calibri" w:cs="Calibri"/>
          <w:b/>
          <w:i/>
          <w:sz w:val="22"/>
          <w:szCs w:val="22"/>
        </w:rPr>
        <w:t>period</w:t>
      </w:r>
      <w:r w:rsidRPr="00D6050D">
        <w:rPr>
          <w:rFonts w:ascii="Calibri" w:hAnsi="Calibri" w:cs="Calibri"/>
          <w:b/>
          <w:i/>
          <w:spacing w:val="8"/>
          <w:sz w:val="22"/>
          <w:szCs w:val="22"/>
        </w:rPr>
        <w:t xml:space="preserve"> </w:t>
      </w:r>
      <w:r w:rsidRPr="00D6050D">
        <w:rPr>
          <w:rFonts w:ascii="Calibri" w:hAnsi="Calibri" w:cs="Calibri"/>
          <w:b/>
          <w:i/>
          <w:sz w:val="22"/>
          <w:szCs w:val="22"/>
        </w:rPr>
        <w:t>FY</w:t>
      </w:r>
      <w:r w:rsidRPr="00D6050D">
        <w:rPr>
          <w:rFonts w:ascii="Calibri" w:hAnsi="Calibri" w:cs="Calibri"/>
          <w:b/>
          <w:i/>
          <w:spacing w:val="8"/>
          <w:sz w:val="22"/>
          <w:szCs w:val="22"/>
        </w:rPr>
        <w:t xml:space="preserve"> </w:t>
      </w:r>
      <w:r w:rsidRPr="00D6050D">
        <w:rPr>
          <w:rFonts w:ascii="Calibri" w:hAnsi="Calibri" w:cs="Calibri"/>
          <w:b/>
          <w:i/>
          <w:sz w:val="22"/>
          <w:szCs w:val="22"/>
        </w:rPr>
        <w:t>2021-22</w:t>
      </w:r>
      <w:r w:rsidRPr="00D6050D">
        <w:rPr>
          <w:rFonts w:ascii="Calibri" w:hAnsi="Calibri" w:cs="Calibri"/>
          <w:b/>
          <w:i/>
          <w:spacing w:val="8"/>
          <w:sz w:val="22"/>
          <w:szCs w:val="22"/>
        </w:rPr>
        <w:t xml:space="preserve"> </w:t>
      </w:r>
      <w:r w:rsidRPr="00D6050D">
        <w:rPr>
          <w:rFonts w:ascii="Calibri" w:hAnsi="Calibri" w:cs="Calibri"/>
          <w:b/>
          <w:i/>
          <w:sz w:val="22"/>
          <w:szCs w:val="22"/>
        </w:rPr>
        <w:t>to</w:t>
      </w:r>
      <w:r w:rsidRPr="00D6050D">
        <w:rPr>
          <w:rFonts w:ascii="Calibri" w:hAnsi="Calibri" w:cs="Calibri"/>
          <w:b/>
          <w:i/>
          <w:spacing w:val="8"/>
          <w:sz w:val="22"/>
          <w:szCs w:val="22"/>
        </w:rPr>
        <w:t xml:space="preserve"> </w:t>
      </w:r>
      <w:r w:rsidRPr="00D6050D">
        <w:rPr>
          <w:rFonts w:ascii="Calibri" w:hAnsi="Calibri" w:cs="Calibri"/>
          <w:b/>
          <w:i/>
          <w:sz w:val="22"/>
          <w:szCs w:val="22"/>
        </w:rPr>
        <w:t>FY</w:t>
      </w:r>
      <w:r w:rsidRPr="00D6050D">
        <w:rPr>
          <w:rFonts w:ascii="Calibri" w:hAnsi="Calibri" w:cs="Calibri"/>
          <w:b/>
          <w:i/>
          <w:spacing w:val="10"/>
          <w:sz w:val="22"/>
          <w:szCs w:val="22"/>
        </w:rPr>
        <w:t xml:space="preserve"> </w:t>
      </w:r>
      <w:r w:rsidRPr="00D6050D">
        <w:rPr>
          <w:rFonts w:ascii="Calibri" w:hAnsi="Calibri" w:cs="Calibri"/>
          <w:b/>
          <w:i/>
          <w:sz w:val="22"/>
          <w:szCs w:val="22"/>
        </w:rPr>
        <w:t>2025-26</w:t>
      </w:r>
      <w:r w:rsidRPr="00D6050D">
        <w:rPr>
          <w:rFonts w:ascii="Calibri" w:hAnsi="Calibri" w:cs="Calibri"/>
          <w:b/>
          <w:i/>
          <w:spacing w:val="6"/>
          <w:sz w:val="22"/>
          <w:szCs w:val="22"/>
        </w:rPr>
        <w:t xml:space="preserve"> </w:t>
      </w:r>
      <w:r w:rsidRPr="00D6050D">
        <w:rPr>
          <w:rFonts w:ascii="Calibri" w:hAnsi="Calibri" w:cs="Calibri"/>
          <w:b/>
          <w:i/>
          <w:sz w:val="22"/>
          <w:szCs w:val="22"/>
        </w:rPr>
        <w:t>as</w:t>
      </w:r>
      <w:r w:rsidRPr="00D6050D">
        <w:rPr>
          <w:rFonts w:ascii="Calibri" w:hAnsi="Calibri" w:cs="Calibri"/>
          <w:b/>
          <w:i/>
          <w:spacing w:val="5"/>
          <w:sz w:val="22"/>
          <w:szCs w:val="22"/>
        </w:rPr>
        <w:t xml:space="preserve"> </w:t>
      </w:r>
      <w:r w:rsidRPr="00D6050D">
        <w:rPr>
          <w:rFonts w:ascii="Calibri" w:hAnsi="Calibri" w:cs="Calibri"/>
          <w:b/>
          <w:i/>
          <w:sz w:val="22"/>
          <w:szCs w:val="22"/>
        </w:rPr>
        <w:t>follows:</w:t>
      </w:r>
    </w:p>
    <w:p w14:paraId="03C8171D" w14:textId="77777777" w:rsidR="00974443" w:rsidRPr="00D6050D" w:rsidRDefault="00974443" w:rsidP="00974443">
      <w:pPr>
        <w:widowControl w:val="0"/>
        <w:autoSpaceDE w:val="0"/>
        <w:autoSpaceDN w:val="0"/>
        <w:spacing w:before="108" w:line="360" w:lineRule="auto"/>
        <w:ind w:left="1972"/>
        <w:jc w:val="both"/>
        <w:rPr>
          <w:rFonts w:ascii="Calibri" w:hAnsi="Calibri" w:cs="Calibri"/>
          <w:b/>
          <w:i/>
          <w:sz w:val="22"/>
          <w:szCs w:val="22"/>
        </w:rPr>
      </w:pPr>
      <w:r w:rsidRPr="00D6050D">
        <w:rPr>
          <w:rFonts w:ascii="Calibri" w:hAnsi="Calibri" w:cs="Calibri"/>
          <w:b/>
          <w:i/>
          <w:sz w:val="22"/>
          <w:szCs w:val="22"/>
        </w:rPr>
        <w:t xml:space="preserve">                Table</w:t>
      </w:r>
      <w:r w:rsidRPr="00D6050D">
        <w:rPr>
          <w:rFonts w:ascii="Calibri" w:hAnsi="Calibri" w:cs="Calibri"/>
          <w:b/>
          <w:i/>
          <w:spacing w:val="15"/>
          <w:sz w:val="22"/>
          <w:szCs w:val="22"/>
        </w:rPr>
        <w:t xml:space="preserve"> </w:t>
      </w:r>
      <w:r w:rsidRPr="00D6050D">
        <w:rPr>
          <w:rFonts w:ascii="Calibri" w:hAnsi="Calibri" w:cs="Calibri"/>
          <w:b/>
          <w:i/>
          <w:sz w:val="22"/>
          <w:szCs w:val="22"/>
        </w:rPr>
        <w:t>1:</w:t>
      </w:r>
      <w:r w:rsidRPr="00D6050D">
        <w:rPr>
          <w:rFonts w:ascii="Calibri" w:hAnsi="Calibri" w:cs="Calibri"/>
          <w:b/>
          <w:i/>
          <w:spacing w:val="13"/>
          <w:sz w:val="22"/>
          <w:szCs w:val="22"/>
        </w:rPr>
        <w:t xml:space="preserve"> </w:t>
      </w:r>
      <w:r w:rsidRPr="00D6050D">
        <w:rPr>
          <w:rFonts w:ascii="Calibri" w:hAnsi="Calibri" w:cs="Calibri"/>
          <w:b/>
          <w:i/>
          <w:sz w:val="22"/>
          <w:szCs w:val="22"/>
        </w:rPr>
        <w:t>Capital</w:t>
      </w:r>
      <w:r w:rsidRPr="00D6050D">
        <w:rPr>
          <w:rFonts w:ascii="Calibri" w:hAnsi="Calibri" w:cs="Calibri"/>
          <w:b/>
          <w:i/>
          <w:spacing w:val="15"/>
          <w:sz w:val="22"/>
          <w:szCs w:val="22"/>
        </w:rPr>
        <w:t xml:space="preserve"> </w:t>
      </w:r>
      <w:r w:rsidRPr="00D6050D">
        <w:rPr>
          <w:rFonts w:ascii="Calibri" w:hAnsi="Calibri" w:cs="Calibri"/>
          <w:b/>
          <w:i/>
          <w:sz w:val="22"/>
          <w:szCs w:val="22"/>
        </w:rPr>
        <w:t>Expenditure</w:t>
      </w:r>
      <w:r w:rsidRPr="00D6050D">
        <w:rPr>
          <w:rFonts w:ascii="Calibri" w:hAnsi="Calibri" w:cs="Calibri"/>
          <w:b/>
          <w:i/>
          <w:spacing w:val="15"/>
          <w:sz w:val="22"/>
          <w:szCs w:val="22"/>
        </w:rPr>
        <w:t xml:space="preserve"> </w:t>
      </w:r>
      <w:r w:rsidRPr="00D6050D">
        <w:rPr>
          <w:rFonts w:ascii="Calibri" w:hAnsi="Calibri" w:cs="Calibri"/>
          <w:b/>
          <w:i/>
          <w:sz w:val="22"/>
          <w:szCs w:val="22"/>
        </w:rPr>
        <w:t>Commitment</w:t>
      </w:r>
      <w:r w:rsidRPr="00D6050D">
        <w:rPr>
          <w:rFonts w:ascii="Calibri" w:hAnsi="Calibri" w:cs="Calibri"/>
          <w:b/>
          <w:i/>
          <w:spacing w:val="13"/>
          <w:sz w:val="22"/>
          <w:szCs w:val="22"/>
        </w:rPr>
        <w:t xml:space="preserve"> </w:t>
      </w:r>
      <w:r w:rsidRPr="00D6050D">
        <w:rPr>
          <w:rFonts w:ascii="Calibri" w:hAnsi="Calibri" w:cs="Calibri"/>
          <w:b/>
          <w:i/>
          <w:sz w:val="22"/>
          <w:szCs w:val="22"/>
        </w:rPr>
        <w:t>by</w:t>
      </w:r>
      <w:r w:rsidRPr="00D6050D">
        <w:rPr>
          <w:rFonts w:ascii="Calibri" w:hAnsi="Calibri" w:cs="Calibri"/>
          <w:b/>
          <w:i/>
          <w:spacing w:val="13"/>
          <w:sz w:val="22"/>
          <w:szCs w:val="22"/>
        </w:rPr>
        <w:t xml:space="preserve"> </w:t>
      </w:r>
      <w:r w:rsidRPr="00D6050D">
        <w:rPr>
          <w:rFonts w:ascii="Calibri" w:hAnsi="Calibri" w:cs="Calibri"/>
          <w:b/>
          <w:i/>
          <w:sz w:val="22"/>
          <w:szCs w:val="22"/>
        </w:rPr>
        <w:t>TPCL</w:t>
      </w:r>
    </w:p>
    <w:tbl>
      <w:tblPr>
        <w:tblW w:w="8080" w:type="dxa"/>
        <w:tblInd w:w="70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406"/>
        <w:gridCol w:w="1310"/>
        <w:gridCol w:w="1310"/>
        <w:gridCol w:w="1308"/>
        <w:gridCol w:w="1308"/>
        <w:gridCol w:w="1438"/>
      </w:tblGrid>
      <w:tr w:rsidR="00974443" w:rsidRPr="00D6050D" w14:paraId="5277AB9F" w14:textId="77777777" w:rsidTr="00A35221">
        <w:trPr>
          <w:trHeight w:val="428"/>
        </w:trPr>
        <w:tc>
          <w:tcPr>
            <w:tcW w:w="8080" w:type="dxa"/>
            <w:gridSpan w:val="6"/>
          </w:tcPr>
          <w:p w14:paraId="2E2B6969" w14:textId="77777777" w:rsidR="00974443" w:rsidRPr="00D6050D" w:rsidRDefault="00974443" w:rsidP="00A35221">
            <w:pPr>
              <w:widowControl w:val="0"/>
              <w:autoSpaceDE w:val="0"/>
              <w:autoSpaceDN w:val="0"/>
              <w:spacing w:before="55"/>
              <w:ind w:left="2410" w:right="2533"/>
              <w:jc w:val="center"/>
              <w:rPr>
                <w:rFonts w:ascii="Calibri" w:hAnsi="Calibri" w:cs="Calibri"/>
                <w:b/>
                <w:i/>
                <w:sz w:val="22"/>
                <w:szCs w:val="22"/>
              </w:rPr>
            </w:pPr>
            <w:r w:rsidRPr="00D6050D">
              <w:rPr>
                <w:rFonts w:ascii="Calibri" w:hAnsi="Calibri" w:cs="Calibri"/>
                <w:b/>
                <w:i/>
                <w:sz w:val="22"/>
                <w:szCs w:val="22"/>
              </w:rPr>
              <w:t>Capex</w:t>
            </w:r>
            <w:r w:rsidRPr="00D6050D">
              <w:rPr>
                <w:rFonts w:ascii="Calibri" w:hAnsi="Calibri" w:cs="Calibri"/>
                <w:b/>
                <w:i/>
                <w:spacing w:val="14"/>
                <w:sz w:val="22"/>
                <w:szCs w:val="22"/>
              </w:rPr>
              <w:t xml:space="preserve"> </w:t>
            </w:r>
            <w:r w:rsidRPr="00D6050D">
              <w:rPr>
                <w:rFonts w:ascii="Calibri" w:hAnsi="Calibri" w:cs="Calibri"/>
                <w:b/>
                <w:i/>
                <w:sz w:val="22"/>
                <w:szCs w:val="22"/>
              </w:rPr>
              <w:t>Commitment</w:t>
            </w:r>
            <w:r w:rsidRPr="00D6050D">
              <w:rPr>
                <w:rFonts w:ascii="Calibri" w:hAnsi="Calibri" w:cs="Calibri"/>
                <w:b/>
                <w:i/>
                <w:spacing w:val="17"/>
                <w:sz w:val="22"/>
                <w:szCs w:val="22"/>
              </w:rPr>
              <w:t xml:space="preserve"> </w:t>
            </w:r>
            <w:r w:rsidRPr="00D6050D">
              <w:rPr>
                <w:rFonts w:ascii="Calibri" w:hAnsi="Calibri" w:cs="Calibri"/>
                <w:b/>
                <w:i/>
                <w:sz w:val="22"/>
                <w:szCs w:val="22"/>
              </w:rPr>
              <w:t>(INR</w:t>
            </w:r>
            <w:r w:rsidRPr="00D6050D">
              <w:rPr>
                <w:rFonts w:ascii="Calibri" w:hAnsi="Calibri" w:cs="Calibri"/>
                <w:b/>
                <w:i/>
                <w:spacing w:val="15"/>
                <w:sz w:val="22"/>
                <w:szCs w:val="22"/>
              </w:rPr>
              <w:t xml:space="preserve"> </w:t>
            </w:r>
            <w:r w:rsidRPr="00D6050D">
              <w:rPr>
                <w:rFonts w:ascii="Calibri" w:hAnsi="Calibri" w:cs="Calibri"/>
                <w:b/>
                <w:i/>
                <w:sz w:val="22"/>
                <w:szCs w:val="22"/>
              </w:rPr>
              <w:t>Cr)</w:t>
            </w:r>
          </w:p>
        </w:tc>
      </w:tr>
      <w:tr w:rsidR="00974443" w:rsidRPr="00D6050D" w14:paraId="4EE8CED7" w14:textId="77777777" w:rsidTr="00A35221">
        <w:trPr>
          <w:trHeight w:val="366"/>
        </w:trPr>
        <w:tc>
          <w:tcPr>
            <w:tcW w:w="1406" w:type="dxa"/>
          </w:tcPr>
          <w:p w14:paraId="53FFE1BB" w14:textId="77777777" w:rsidR="00974443" w:rsidRPr="00D6050D" w:rsidRDefault="00974443" w:rsidP="00A35221">
            <w:pPr>
              <w:widowControl w:val="0"/>
              <w:autoSpaceDE w:val="0"/>
              <w:autoSpaceDN w:val="0"/>
              <w:spacing w:before="55" w:line="360" w:lineRule="auto"/>
              <w:ind w:left="323"/>
              <w:rPr>
                <w:rFonts w:ascii="Calibri" w:hAnsi="Calibri" w:cs="Calibri"/>
                <w:b/>
                <w:i/>
                <w:sz w:val="22"/>
                <w:szCs w:val="22"/>
              </w:rPr>
            </w:pPr>
            <w:r w:rsidRPr="00D6050D">
              <w:rPr>
                <w:rFonts w:ascii="Calibri" w:hAnsi="Calibri" w:cs="Calibri"/>
                <w:b/>
                <w:i/>
                <w:sz w:val="22"/>
                <w:szCs w:val="22"/>
              </w:rPr>
              <w:t>FY22</w:t>
            </w:r>
          </w:p>
        </w:tc>
        <w:tc>
          <w:tcPr>
            <w:tcW w:w="1310" w:type="dxa"/>
          </w:tcPr>
          <w:p w14:paraId="1A839D26" w14:textId="77777777" w:rsidR="00974443" w:rsidRPr="00D6050D" w:rsidRDefault="00974443" w:rsidP="00A35221">
            <w:pPr>
              <w:widowControl w:val="0"/>
              <w:autoSpaceDE w:val="0"/>
              <w:autoSpaceDN w:val="0"/>
              <w:spacing w:before="55" w:line="360" w:lineRule="auto"/>
              <w:ind w:left="321"/>
              <w:rPr>
                <w:rFonts w:ascii="Calibri" w:hAnsi="Calibri" w:cs="Calibri"/>
                <w:b/>
                <w:i/>
                <w:sz w:val="22"/>
                <w:szCs w:val="22"/>
              </w:rPr>
            </w:pPr>
            <w:r w:rsidRPr="00D6050D">
              <w:rPr>
                <w:rFonts w:ascii="Calibri" w:hAnsi="Calibri" w:cs="Calibri"/>
                <w:b/>
                <w:i/>
                <w:sz w:val="22"/>
                <w:szCs w:val="22"/>
              </w:rPr>
              <w:t>FY23</w:t>
            </w:r>
          </w:p>
        </w:tc>
        <w:tc>
          <w:tcPr>
            <w:tcW w:w="1310" w:type="dxa"/>
          </w:tcPr>
          <w:p w14:paraId="463088F4" w14:textId="77777777" w:rsidR="00974443" w:rsidRPr="00D6050D" w:rsidRDefault="00974443" w:rsidP="00A35221">
            <w:pPr>
              <w:widowControl w:val="0"/>
              <w:autoSpaceDE w:val="0"/>
              <w:autoSpaceDN w:val="0"/>
              <w:spacing w:before="55" w:line="360" w:lineRule="auto"/>
              <w:ind w:left="318"/>
              <w:rPr>
                <w:rFonts w:ascii="Calibri" w:hAnsi="Calibri" w:cs="Calibri"/>
                <w:b/>
                <w:i/>
                <w:sz w:val="22"/>
                <w:szCs w:val="22"/>
              </w:rPr>
            </w:pPr>
            <w:r w:rsidRPr="00D6050D">
              <w:rPr>
                <w:rFonts w:ascii="Calibri" w:hAnsi="Calibri" w:cs="Calibri"/>
                <w:b/>
                <w:i/>
                <w:sz w:val="22"/>
                <w:szCs w:val="22"/>
              </w:rPr>
              <w:t>FY24</w:t>
            </w:r>
          </w:p>
        </w:tc>
        <w:tc>
          <w:tcPr>
            <w:tcW w:w="1308" w:type="dxa"/>
          </w:tcPr>
          <w:p w14:paraId="4F02E3CA" w14:textId="77777777" w:rsidR="00974443" w:rsidRPr="00D6050D" w:rsidRDefault="00974443" w:rsidP="00A35221">
            <w:pPr>
              <w:widowControl w:val="0"/>
              <w:autoSpaceDE w:val="0"/>
              <w:autoSpaceDN w:val="0"/>
              <w:spacing w:before="55" w:line="360" w:lineRule="auto"/>
              <w:ind w:left="319"/>
              <w:rPr>
                <w:rFonts w:ascii="Calibri" w:hAnsi="Calibri" w:cs="Calibri"/>
                <w:b/>
                <w:i/>
                <w:sz w:val="22"/>
                <w:szCs w:val="22"/>
              </w:rPr>
            </w:pPr>
            <w:r w:rsidRPr="00D6050D">
              <w:rPr>
                <w:rFonts w:ascii="Calibri" w:hAnsi="Calibri" w:cs="Calibri"/>
                <w:b/>
                <w:i/>
                <w:sz w:val="22"/>
                <w:szCs w:val="22"/>
              </w:rPr>
              <w:t>FY25</w:t>
            </w:r>
          </w:p>
        </w:tc>
        <w:tc>
          <w:tcPr>
            <w:tcW w:w="1308" w:type="dxa"/>
          </w:tcPr>
          <w:p w14:paraId="3CE98C7B" w14:textId="77777777" w:rsidR="00974443" w:rsidRPr="00D6050D" w:rsidRDefault="00974443" w:rsidP="00A35221">
            <w:pPr>
              <w:widowControl w:val="0"/>
              <w:autoSpaceDE w:val="0"/>
              <w:autoSpaceDN w:val="0"/>
              <w:spacing w:before="55"/>
              <w:ind w:left="323"/>
              <w:rPr>
                <w:rFonts w:ascii="Calibri" w:hAnsi="Calibri" w:cs="Calibri"/>
                <w:b/>
                <w:i/>
                <w:sz w:val="22"/>
                <w:szCs w:val="22"/>
              </w:rPr>
            </w:pPr>
            <w:r w:rsidRPr="00D6050D">
              <w:rPr>
                <w:rFonts w:ascii="Calibri" w:hAnsi="Calibri" w:cs="Calibri"/>
                <w:b/>
                <w:i/>
                <w:sz w:val="22"/>
                <w:szCs w:val="22"/>
              </w:rPr>
              <w:t>FY26</w:t>
            </w:r>
          </w:p>
        </w:tc>
        <w:tc>
          <w:tcPr>
            <w:tcW w:w="1438" w:type="dxa"/>
          </w:tcPr>
          <w:p w14:paraId="66BF2B30" w14:textId="77777777" w:rsidR="00974443" w:rsidRPr="00D6050D" w:rsidRDefault="00974443" w:rsidP="00A35221">
            <w:pPr>
              <w:widowControl w:val="0"/>
              <w:autoSpaceDE w:val="0"/>
              <w:autoSpaceDN w:val="0"/>
              <w:spacing w:before="55"/>
              <w:ind w:left="330"/>
              <w:rPr>
                <w:rFonts w:ascii="Calibri" w:hAnsi="Calibri" w:cs="Calibri"/>
                <w:b/>
                <w:i/>
                <w:sz w:val="22"/>
                <w:szCs w:val="22"/>
              </w:rPr>
            </w:pPr>
            <w:r w:rsidRPr="00D6050D">
              <w:rPr>
                <w:rFonts w:ascii="Calibri" w:hAnsi="Calibri" w:cs="Calibri"/>
                <w:b/>
                <w:i/>
                <w:sz w:val="22"/>
                <w:szCs w:val="22"/>
              </w:rPr>
              <w:t>Total</w:t>
            </w:r>
          </w:p>
        </w:tc>
      </w:tr>
      <w:tr w:rsidR="00974443" w:rsidRPr="00D6050D" w14:paraId="37F3B0B5" w14:textId="77777777" w:rsidTr="00A35221">
        <w:trPr>
          <w:trHeight w:val="347"/>
        </w:trPr>
        <w:tc>
          <w:tcPr>
            <w:tcW w:w="1406" w:type="dxa"/>
          </w:tcPr>
          <w:p w14:paraId="5453F85A" w14:textId="77777777" w:rsidR="00974443" w:rsidRPr="00D6050D" w:rsidRDefault="00974443" w:rsidP="00A35221">
            <w:pPr>
              <w:widowControl w:val="0"/>
              <w:autoSpaceDE w:val="0"/>
              <w:autoSpaceDN w:val="0"/>
              <w:spacing w:before="50" w:line="360" w:lineRule="auto"/>
              <w:ind w:left="785"/>
              <w:rPr>
                <w:rFonts w:ascii="Calibri" w:hAnsi="Calibri" w:cs="Calibri"/>
                <w:i/>
                <w:sz w:val="22"/>
                <w:szCs w:val="22"/>
              </w:rPr>
            </w:pPr>
            <w:r w:rsidRPr="00D6050D">
              <w:rPr>
                <w:rFonts w:ascii="Calibri" w:hAnsi="Calibri" w:cs="Calibri"/>
                <w:i/>
                <w:sz w:val="22"/>
                <w:szCs w:val="22"/>
              </w:rPr>
              <w:t>246</w:t>
            </w:r>
          </w:p>
        </w:tc>
        <w:tc>
          <w:tcPr>
            <w:tcW w:w="1310" w:type="dxa"/>
          </w:tcPr>
          <w:p w14:paraId="346B8444" w14:textId="77777777" w:rsidR="00974443" w:rsidRPr="00D6050D" w:rsidRDefault="00974443" w:rsidP="00A35221">
            <w:pPr>
              <w:widowControl w:val="0"/>
              <w:autoSpaceDE w:val="0"/>
              <w:autoSpaceDN w:val="0"/>
              <w:spacing w:before="50" w:line="360" w:lineRule="auto"/>
              <w:ind w:left="782"/>
              <w:rPr>
                <w:rFonts w:ascii="Calibri" w:hAnsi="Calibri" w:cs="Calibri"/>
                <w:i/>
                <w:sz w:val="22"/>
                <w:szCs w:val="22"/>
              </w:rPr>
            </w:pPr>
            <w:r w:rsidRPr="00D6050D">
              <w:rPr>
                <w:rFonts w:ascii="Calibri" w:hAnsi="Calibri" w:cs="Calibri"/>
                <w:i/>
                <w:sz w:val="22"/>
                <w:szCs w:val="22"/>
              </w:rPr>
              <w:t>376</w:t>
            </w:r>
          </w:p>
        </w:tc>
        <w:tc>
          <w:tcPr>
            <w:tcW w:w="1310" w:type="dxa"/>
          </w:tcPr>
          <w:p w14:paraId="1BBDE9F0" w14:textId="77777777" w:rsidR="00974443" w:rsidRPr="00D6050D" w:rsidRDefault="00974443" w:rsidP="00A35221">
            <w:pPr>
              <w:widowControl w:val="0"/>
              <w:autoSpaceDE w:val="0"/>
              <w:autoSpaceDN w:val="0"/>
              <w:spacing w:before="50" w:line="360" w:lineRule="auto"/>
              <w:ind w:left="782"/>
              <w:rPr>
                <w:rFonts w:ascii="Calibri" w:hAnsi="Calibri" w:cs="Calibri"/>
                <w:i/>
                <w:sz w:val="22"/>
                <w:szCs w:val="22"/>
              </w:rPr>
            </w:pPr>
            <w:r w:rsidRPr="00D6050D">
              <w:rPr>
                <w:rFonts w:ascii="Calibri" w:hAnsi="Calibri" w:cs="Calibri"/>
                <w:i/>
                <w:sz w:val="22"/>
                <w:szCs w:val="22"/>
              </w:rPr>
              <w:t>259</w:t>
            </w:r>
          </w:p>
        </w:tc>
        <w:tc>
          <w:tcPr>
            <w:tcW w:w="1308" w:type="dxa"/>
          </w:tcPr>
          <w:p w14:paraId="5FC46FBB" w14:textId="77777777" w:rsidR="00974443" w:rsidRPr="00D6050D" w:rsidRDefault="00974443" w:rsidP="00A35221">
            <w:pPr>
              <w:widowControl w:val="0"/>
              <w:autoSpaceDE w:val="0"/>
              <w:autoSpaceDN w:val="0"/>
              <w:spacing w:before="50" w:line="360" w:lineRule="auto"/>
              <w:ind w:left="783"/>
              <w:rPr>
                <w:rFonts w:ascii="Calibri" w:hAnsi="Calibri" w:cs="Calibri"/>
                <w:i/>
                <w:sz w:val="22"/>
                <w:szCs w:val="22"/>
              </w:rPr>
            </w:pPr>
            <w:r w:rsidRPr="00D6050D">
              <w:rPr>
                <w:rFonts w:ascii="Calibri" w:hAnsi="Calibri" w:cs="Calibri"/>
                <w:i/>
                <w:sz w:val="22"/>
                <w:szCs w:val="22"/>
              </w:rPr>
              <w:t>247</w:t>
            </w:r>
          </w:p>
        </w:tc>
        <w:tc>
          <w:tcPr>
            <w:tcW w:w="1308" w:type="dxa"/>
          </w:tcPr>
          <w:p w14:paraId="0DFF4715" w14:textId="77777777" w:rsidR="00974443" w:rsidRPr="00D6050D" w:rsidRDefault="00974443" w:rsidP="00A35221">
            <w:pPr>
              <w:widowControl w:val="0"/>
              <w:autoSpaceDE w:val="0"/>
              <w:autoSpaceDN w:val="0"/>
              <w:spacing w:before="50"/>
              <w:ind w:left="785"/>
              <w:rPr>
                <w:rFonts w:ascii="Calibri" w:hAnsi="Calibri" w:cs="Calibri"/>
                <w:i/>
                <w:sz w:val="22"/>
                <w:szCs w:val="22"/>
              </w:rPr>
            </w:pPr>
            <w:r w:rsidRPr="00D6050D">
              <w:rPr>
                <w:rFonts w:ascii="Calibri" w:hAnsi="Calibri" w:cs="Calibri"/>
                <w:i/>
                <w:sz w:val="22"/>
                <w:szCs w:val="22"/>
              </w:rPr>
              <w:t>141</w:t>
            </w:r>
          </w:p>
        </w:tc>
        <w:tc>
          <w:tcPr>
            <w:tcW w:w="1438" w:type="dxa"/>
          </w:tcPr>
          <w:p w14:paraId="1556A48F" w14:textId="77777777" w:rsidR="00974443" w:rsidRPr="00D6050D" w:rsidRDefault="00974443" w:rsidP="00A35221">
            <w:pPr>
              <w:widowControl w:val="0"/>
              <w:autoSpaceDE w:val="0"/>
              <w:autoSpaceDN w:val="0"/>
              <w:spacing w:before="50"/>
              <w:ind w:left="614"/>
              <w:rPr>
                <w:rFonts w:ascii="Calibri" w:hAnsi="Calibri" w:cs="Calibri"/>
                <w:i/>
                <w:sz w:val="22"/>
                <w:szCs w:val="22"/>
              </w:rPr>
            </w:pPr>
            <w:r w:rsidRPr="00D6050D">
              <w:rPr>
                <w:rFonts w:ascii="Calibri" w:hAnsi="Calibri" w:cs="Calibri"/>
                <w:i/>
                <w:sz w:val="22"/>
                <w:szCs w:val="22"/>
              </w:rPr>
              <w:t>1,270</w:t>
            </w:r>
          </w:p>
        </w:tc>
      </w:tr>
    </w:tbl>
    <w:p w14:paraId="1ACED06B" w14:textId="77777777" w:rsidR="00974443" w:rsidRPr="00D6050D" w:rsidRDefault="00974443" w:rsidP="00974443">
      <w:pPr>
        <w:widowControl w:val="0"/>
        <w:tabs>
          <w:tab w:val="left" w:pos="1377"/>
        </w:tabs>
        <w:autoSpaceDE w:val="0"/>
        <w:autoSpaceDN w:val="0"/>
        <w:spacing w:line="360" w:lineRule="auto"/>
        <w:ind w:right="319"/>
        <w:jc w:val="both"/>
        <w:rPr>
          <w:rFonts w:ascii="Calibri" w:hAnsi="Calibri" w:cs="Calibri"/>
          <w:i/>
          <w:sz w:val="22"/>
          <w:szCs w:val="22"/>
        </w:rPr>
      </w:pPr>
    </w:p>
    <w:p w14:paraId="0B1E6959" w14:textId="77777777" w:rsidR="00974443" w:rsidRPr="00373EF8" w:rsidRDefault="00974443" w:rsidP="00974443">
      <w:pPr>
        <w:widowControl w:val="0"/>
        <w:autoSpaceDE w:val="0"/>
        <w:autoSpaceDN w:val="0"/>
        <w:spacing w:line="360" w:lineRule="auto"/>
        <w:ind w:left="993" w:right="319" w:hanging="709"/>
        <w:jc w:val="both"/>
        <w:rPr>
          <w:rFonts w:ascii="Calibri" w:hAnsi="Calibri" w:cs="Calibri"/>
          <w:b/>
          <w:i/>
          <w:sz w:val="22"/>
          <w:szCs w:val="22"/>
        </w:rPr>
      </w:pPr>
      <w:r>
        <w:rPr>
          <w:rFonts w:ascii="Calibri" w:hAnsi="Calibri" w:cs="Calibri"/>
          <w:b/>
          <w:i/>
          <w:sz w:val="22"/>
          <w:szCs w:val="22"/>
        </w:rPr>
        <w:t xml:space="preserve">           </w:t>
      </w:r>
      <w:r w:rsidRPr="00D6050D">
        <w:rPr>
          <w:rFonts w:ascii="Calibri" w:hAnsi="Calibri" w:cs="Calibri"/>
          <w:b/>
          <w:i/>
          <w:sz w:val="22"/>
          <w:szCs w:val="22"/>
        </w:rPr>
        <w:t xml:space="preserve"> (c) To</w:t>
      </w:r>
      <w:r w:rsidRPr="00D6050D">
        <w:rPr>
          <w:rFonts w:ascii="Calibri" w:hAnsi="Calibri" w:cs="Calibri"/>
          <w:b/>
          <w:i/>
          <w:spacing w:val="1"/>
          <w:sz w:val="22"/>
          <w:szCs w:val="22"/>
        </w:rPr>
        <w:t xml:space="preserve"> </w:t>
      </w:r>
      <w:r w:rsidRPr="00D6050D">
        <w:rPr>
          <w:rFonts w:ascii="Calibri" w:hAnsi="Calibri" w:cs="Calibri"/>
          <w:b/>
          <w:i/>
          <w:sz w:val="22"/>
          <w:szCs w:val="22"/>
        </w:rPr>
        <w:t>allow</w:t>
      </w:r>
      <w:r w:rsidRPr="00D6050D">
        <w:rPr>
          <w:rFonts w:ascii="Calibri" w:hAnsi="Calibri" w:cs="Calibri"/>
          <w:b/>
          <w:i/>
          <w:spacing w:val="1"/>
          <w:sz w:val="22"/>
          <w:szCs w:val="22"/>
        </w:rPr>
        <w:t xml:space="preserve"> </w:t>
      </w:r>
      <w:r w:rsidRPr="00D6050D">
        <w:rPr>
          <w:rFonts w:ascii="Calibri" w:hAnsi="Calibri" w:cs="Calibri"/>
          <w:b/>
          <w:i/>
          <w:sz w:val="22"/>
          <w:szCs w:val="22"/>
        </w:rPr>
        <w:t>flexibility</w:t>
      </w:r>
      <w:r w:rsidRPr="00D6050D">
        <w:rPr>
          <w:rFonts w:ascii="Calibri" w:hAnsi="Calibri" w:cs="Calibri"/>
          <w:b/>
          <w:i/>
          <w:spacing w:val="1"/>
          <w:sz w:val="22"/>
          <w:szCs w:val="22"/>
        </w:rPr>
        <w:t xml:space="preserve"> </w:t>
      </w:r>
      <w:r w:rsidRPr="00D6050D">
        <w:rPr>
          <w:rFonts w:ascii="Calibri" w:hAnsi="Calibri" w:cs="Calibri"/>
          <w:b/>
          <w:i/>
          <w:sz w:val="22"/>
          <w:szCs w:val="22"/>
        </w:rPr>
        <w:t>in</w:t>
      </w:r>
      <w:r w:rsidRPr="00D6050D">
        <w:rPr>
          <w:rFonts w:ascii="Calibri" w:hAnsi="Calibri" w:cs="Calibri"/>
          <w:b/>
          <w:i/>
          <w:spacing w:val="1"/>
          <w:sz w:val="22"/>
          <w:szCs w:val="22"/>
        </w:rPr>
        <w:t xml:space="preserve"> </w:t>
      </w:r>
      <w:r w:rsidRPr="00D6050D">
        <w:rPr>
          <w:rFonts w:ascii="Calibri" w:hAnsi="Calibri" w:cs="Calibri"/>
          <w:b/>
          <w:i/>
          <w:sz w:val="22"/>
          <w:szCs w:val="22"/>
        </w:rPr>
        <w:t>the</w:t>
      </w:r>
      <w:r w:rsidRPr="00D6050D">
        <w:rPr>
          <w:rFonts w:ascii="Calibri" w:hAnsi="Calibri" w:cs="Calibri"/>
          <w:b/>
          <w:i/>
          <w:spacing w:val="1"/>
          <w:sz w:val="22"/>
          <w:szCs w:val="22"/>
        </w:rPr>
        <w:t xml:space="preserve"> </w:t>
      </w:r>
      <w:r w:rsidRPr="00D6050D">
        <w:rPr>
          <w:rFonts w:ascii="Calibri" w:hAnsi="Calibri" w:cs="Calibri"/>
          <w:b/>
          <w:i/>
          <w:sz w:val="22"/>
          <w:szCs w:val="22"/>
        </w:rPr>
        <w:t>capital</w:t>
      </w:r>
      <w:r w:rsidRPr="00D6050D">
        <w:rPr>
          <w:rFonts w:ascii="Calibri" w:hAnsi="Calibri" w:cs="Calibri"/>
          <w:b/>
          <w:i/>
          <w:spacing w:val="1"/>
          <w:sz w:val="22"/>
          <w:szCs w:val="22"/>
        </w:rPr>
        <w:t xml:space="preserve"> </w:t>
      </w:r>
      <w:r w:rsidRPr="00D6050D">
        <w:rPr>
          <w:rFonts w:ascii="Calibri" w:hAnsi="Calibri" w:cs="Calibri"/>
          <w:b/>
          <w:i/>
          <w:sz w:val="22"/>
          <w:szCs w:val="22"/>
        </w:rPr>
        <w:t>expenditure</w:t>
      </w:r>
      <w:r w:rsidRPr="00D6050D">
        <w:rPr>
          <w:rFonts w:ascii="Calibri" w:hAnsi="Calibri" w:cs="Calibri"/>
          <w:b/>
          <w:i/>
          <w:spacing w:val="1"/>
          <w:sz w:val="22"/>
          <w:szCs w:val="22"/>
        </w:rPr>
        <w:t xml:space="preserve"> </w:t>
      </w:r>
      <w:r w:rsidRPr="00D6050D">
        <w:rPr>
          <w:rFonts w:ascii="Calibri" w:hAnsi="Calibri" w:cs="Calibri"/>
          <w:b/>
          <w:i/>
          <w:sz w:val="22"/>
          <w:szCs w:val="22"/>
        </w:rPr>
        <w:t>planning,</w:t>
      </w:r>
      <w:r w:rsidRPr="00D6050D">
        <w:rPr>
          <w:rFonts w:ascii="Calibri" w:hAnsi="Calibri" w:cs="Calibri"/>
          <w:b/>
          <w:i/>
          <w:spacing w:val="1"/>
          <w:sz w:val="22"/>
          <w:szCs w:val="22"/>
        </w:rPr>
        <w:t xml:space="preserve"> </w:t>
      </w:r>
      <w:r w:rsidRPr="00D6050D">
        <w:rPr>
          <w:rFonts w:ascii="Calibri" w:hAnsi="Calibri" w:cs="Calibri"/>
          <w:b/>
          <w:i/>
          <w:sz w:val="22"/>
          <w:szCs w:val="22"/>
        </w:rPr>
        <w:t>the</w:t>
      </w:r>
      <w:r w:rsidRPr="00D6050D">
        <w:rPr>
          <w:rFonts w:ascii="Calibri" w:hAnsi="Calibri" w:cs="Calibri"/>
          <w:b/>
          <w:i/>
          <w:spacing w:val="1"/>
          <w:sz w:val="22"/>
          <w:szCs w:val="22"/>
        </w:rPr>
        <w:t xml:space="preserve"> </w:t>
      </w:r>
      <w:r w:rsidRPr="00D6050D">
        <w:rPr>
          <w:rFonts w:ascii="Calibri" w:hAnsi="Calibri" w:cs="Calibri"/>
          <w:b/>
          <w:i/>
          <w:sz w:val="22"/>
          <w:szCs w:val="22"/>
        </w:rPr>
        <w:t>Commission</w:t>
      </w:r>
      <w:r w:rsidRPr="00D6050D">
        <w:rPr>
          <w:rFonts w:ascii="Calibri" w:hAnsi="Calibri" w:cs="Calibri"/>
          <w:b/>
          <w:i/>
          <w:spacing w:val="1"/>
          <w:sz w:val="22"/>
          <w:szCs w:val="22"/>
        </w:rPr>
        <w:t xml:space="preserve"> </w:t>
      </w:r>
      <w:r w:rsidRPr="00D6050D">
        <w:rPr>
          <w:rFonts w:ascii="Calibri" w:hAnsi="Calibri" w:cs="Calibri"/>
          <w:b/>
          <w:i/>
          <w:sz w:val="22"/>
          <w:szCs w:val="22"/>
        </w:rPr>
        <w:t>stipulates</w:t>
      </w:r>
      <w:r w:rsidRPr="00D6050D">
        <w:rPr>
          <w:rFonts w:ascii="Calibri" w:hAnsi="Calibri" w:cs="Calibri"/>
          <w:b/>
          <w:i/>
          <w:spacing w:val="20"/>
          <w:sz w:val="22"/>
          <w:szCs w:val="22"/>
        </w:rPr>
        <w:t xml:space="preserve"> </w:t>
      </w:r>
      <w:r w:rsidRPr="00D6050D">
        <w:rPr>
          <w:rFonts w:ascii="Calibri" w:hAnsi="Calibri" w:cs="Calibri"/>
          <w:b/>
          <w:i/>
          <w:sz w:val="22"/>
          <w:szCs w:val="22"/>
        </w:rPr>
        <w:t>that,</w:t>
      </w:r>
      <w:r w:rsidRPr="00D6050D">
        <w:rPr>
          <w:rFonts w:ascii="Calibri" w:hAnsi="Calibri" w:cs="Calibri"/>
          <w:b/>
          <w:i/>
          <w:spacing w:val="23"/>
          <w:sz w:val="22"/>
          <w:szCs w:val="22"/>
        </w:rPr>
        <w:t xml:space="preserve"> </w:t>
      </w:r>
      <w:r w:rsidRPr="00D6050D">
        <w:rPr>
          <w:rFonts w:ascii="Calibri" w:hAnsi="Calibri" w:cs="Calibri"/>
          <w:b/>
          <w:i/>
          <w:sz w:val="22"/>
          <w:szCs w:val="22"/>
        </w:rPr>
        <w:t>in</w:t>
      </w:r>
      <w:r w:rsidRPr="00D6050D">
        <w:rPr>
          <w:rFonts w:ascii="Calibri" w:hAnsi="Calibri" w:cs="Calibri"/>
          <w:b/>
          <w:i/>
          <w:spacing w:val="26"/>
          <w:sz w:val="22"/>
          <w:szCs w:val="22"/>
        </w:rPr>
        <w:t xml:space="preserve"> </w:t>
      </w:r>
      <w:r w:rsidRPr="00D6050D">
        <w:rPr>
          <w:rFonts w:ascii="Calibri" w:hAnsi="Calibri" w:cs="Calibri"/>
          <w:b/>
          <w:i/>
          <w:sz w:val="22"/>
          <w:szCs w:val="22"/>
        </w:rPr>
        <w:t>the</w:t>
      </w:r>
      <w:r w:rsidRPr="00D6050D">
        <w:rPr>
          <w:rFonts w:ascii="Calibri" w:hAnsi="Calibri" w:cs="Calibri"/>
          <w:b/>
          <w:i/>
          <w:spacing w:val="28"/>
          <w:sz w:val="22"/>
          <w:szCs w:val="22"/>
        </w:rPr>
        <w:t xml:space="preserve"> </w:t>
      </w:r>
      <w:r w:rsidRPr="00D6050D">
        <w:rPr>
          <w:rFonts w:ascii="Calibri" w:hAnsi="Calibri" w:cs="Calibri"/>
          <w:b/>
          <w:i/>
          <w:sz w:val="22"/>
          <w:szCs w:val="22"/>
        </w:rPr>
        <w:t>capital</w:t>
      </w:r>
      <w:r w:rsidRPr="00D6050D">
        <w:rPr>
          <w:rFonts w:ascii="Calibri" w:hAnsi="Calibri" w:cs="Calibri"/>
          <w:b/>
          <w:i/>
          <w:spacing w:val="24"/>
          <w:sz w:val="22"/>
          <w:szCs w:val="22"/>
        </w:rPr>
        <w:t xml:space="preserve"> </w:t>
      </w:r>
      <w:r w:rsidRPr="00D6050D">
        <w:rPr>
          <w:rFonts w:ascii="Calibri" w:hAnsi="Calibri" w:cs="Calibri"/>
          <w:b/>
          <w:i/>
          <w:sz w:val="22"/>
          <w:szCs w:val="22"/>
        </w:rPr>
        <w:t>expenditure</w:t>
      </w:r>
      <w:r w:rsidRPr="00D6050D">
        <w:rPr>
          <w:rFonts w:ascii="Calibri" w:hAnsi="Calibri" w:cs="Calibri"/>
          <w:b/>
          <w:i/>
          <w:spacing w:val="23"/>
          <w:sz w:val="22"/>
          <w:szCs w:val="22"/>
        </w:rPr>
        <w:t xml:space="preserve"> </w:t>
      </w:r>
      <w:r w:rsidRPr="00D6050D">
        <w:rPr>
          <w:rFonts w:ascii="Calibri" w:hAnsi="Calibri" w:cs="Calibri"/>
          <w:b/>
          <w:i/>
          <w:sz w:val="22"/>
          <w:szCs w:val="22"/>
        </w:rPr>
        <w:t>plan</w:t>
      </w:r>
      <w:r w:rsidRPr="00D6050D">
        <w:rPr>
          <w:rFonts w:ascii="Calibri" w:hAnsi="Calibri" w:cs="Calibri"/>
          <w:b/>
          <w:i/>
          <w:spacing w:val="26"/>
          <w:sz w:val="22"/>
          <w:szCs w:val="22"/>
        </w:rPr>
        <w:t xml:space="preserve"> </w:t>
      </w:r>
      <w:r w:rsidRPr="00D6050D">
        <w:rPr>
          <w:rFonts w:ascii="Calibri" w:hAnsi="Calibri" w:cs="Calibri"/>
          <w:b/>
          <w:i/>
          <w:sz w:val="22"/>
          <w:szCs w:val="22"/>
        </w:rPr>
        <w:t>to</w:t>
      </w:r>
      <w:r w:rsidRPr="00D6050D">
        <w:rPr>
          <w:rFonts w:ascii="Calibri" w:hAnsi="Calibri" w:cs="Calibri"/>
          <w:b/>
          <w:i/>
          <w:spacing w:val="21"/>
          <w:sz w:val="22"/>
          <w:szCs w:val="22"/>
        </w:rPr>
        <w:t xml:space="preserve"> </w:t>
      </w:r>
      <w:r w:rsidRPr="00D6050D">
        <w:rPr>
          <w:rFonts w:ascii="Calibri" w:hAnsi="Calibri" w:cs="Calibri"/>
          <w:b/>
          <w:i/>
          <w:sz w:val="22"/>
          <w:szCs w:val="22"/>
        </w:rPr>
        <w:t>be</w:t>
      </w:r>
      <w:r w:rsidRPr="00D6050D">
        <w:rPr>
          <w:rFonts w:ascii="Calibri" w:hAnsi="Calibri" w:cs="Calibri"/>
          <w:b/>
          <w:i/>
          <w:spacing w:val="24"/>
          <w:sz w:val="22"/>
          <w:szCs w:val="22"/>
        </w:rPr>
        <w:t xml:space="preserve"> </w:t>
      </w:r>
      <w:r w:rsidRPr="00D6050D">
        <w:rPr>
          <w:rFonts w:ascii="Calibri" w:hAnsi="Calibri" w:cs="Calibri"/>
          <w:b/>
          <w:i/>
          <w:sz w:val="22"/>
          <w:szCs w:val="22"/>
        </w:rPr>
        <w:t>submitted</w:t>
      </w:r>
      <w:r w:rsidRPr="00D6050D">
        <w:rPr>
          <w:rFonts w:ascii="Calibri" w:hAnsi="Calibri" w:cs="Calibri"/>
          <w:b/>
          <w:i/>
          <w:spacing w:val="21"/>
          <w:sz w:val="22"/>
          <w:szCs w:val="22"/>
        </w:rPr>
        <w:t xml:space="preserve"> </w:t>
      </w:r>
      <w:r w:rsidRPr="00D6050D">
        <w:rPr>
          <w:rFonts w:ascii="Calibri" w:hAnsi="Calibri" w:cs="Calibri"/>
          <w:b/>
          <w:i/>
          <w:sz w:val="22"/>
          <w:szCs w:val="22"/>
        </w:rPr>
        <w:t>by</w:t>
      </w:r>
      <w:r w:rsidRPr="00D6050D">
        <w:rPr>
          <w:rFonts w:ascii="Calibri" w:hAnsi="Calibri" w:cs="Calibri"/>
          <w:b/>
          <w:i/>
          <w:spacing w:val="18"/>
          <w:sz w:val="22"/>
          <w:szCs w:val="22"/>
        </w:rPr>
        <w:t xml:space="preserve"> </w:t>
      </w:r>
      <w:r w:rsidRPr="00D6050D">
        <w:rPr>
          <w:rFonts w:ascii="Calibri" w:hAnsi="Calibri" w:cs="Calibri"/>
          <w:b/>
          <w:i/>
          <w:sz w:val="22"/>
          <w:szCs w:val="22"/>
        </w:rPr>
        <w:t>TPNODL</w:t>
      </w:r>
      <w:r w:rsidRPr="00D6050D">
        <w:rPr>
          <w:rFonts w:ascii="Calibri" w:hAnsi="Calibri" w:cs="Calibri"/>
          <w:b/>
          <w:i/>
          <w:spacing w:val="26"/>
          <w:sz w:val="22"/>
          <w:szCs w:val="22"/>
        </w:rPr>
        <w:t xml:space="preserve"> </w:t>
      </w:r>
      <w:r w:rsidRPr="00D6050D">
        <w:rPr>
          <w:rFonts w:ascii="Calibri" w:hAnsi="Calibri" w:cs="Calibri"/>
          <w:b/>
          <w:i/>
          <w:sz w:val="22"/>
          <w:szCs w:val="22"/>
        </w:rPr>
        <w:t>as</w:t>
      </w:r>
      <w:r w:rsidRPr="00D6050D">
        <w:rPr>
          <w:rFonts w:ascii="Calibri" w:hAnsi="Calibri" w:cs="Calibri"/>
          <w:b/>
          <w:i/>
          <w:spacing w:val="-53"/>
          <w:sz w:val="22"/>
          <w:szCs w:val="22"/>
        </w:rPr>
        <w:t xml:space="preserve"> </w:t>
      </w:r>
      <w:r w:rsidRPr="00D6050D">
        <w:rPr>
          <w:rFonts w:ascii="Calibri" w:hAnsi="Calibri" w:cs="Calibri"/>
          <w:b/>
          <w:i/>
          <w:sz w:val="22"/>
          <w:szCs w:val="22"/>
        </w:rPr>
        <w:t>per the license conditions, the capital expenditure commitment for each year of</w:t>
      </w:r>
      <w:r w:rsidRPr="00D6050D">
        <w:rPr>
          <w:rFonts w:ascii="Calibri" w:hAnsi="Calibri" w:cs="Calibri"/>
          <w:b/>
          <w:i/>
          <w:spacing w:val="1"/>
          <w:sz w:val="22"/>
          <w:szCs w:val="22"/>
        </w:rPr>
        <w:t xml:space="preserve"> </w:t>
      </w:r>
      <w:r w:rsidRPr="00D6050D">
        <w:rPr>
          <w:rFonts w:ascii="Calibri" w:hAnsi="Calibri" w:cs="Calibri"/>
          <w:b/>
          <w:i/>
          <w:sz w:val="22"/>
          <w:szCs w:val="22"/>
        </w:rPr>
        <w:t>the period FY 2021-22 to FY 2025-26 must be such that capital expenditure</w:t>
      </w:r>
      <w:r w:rsidRPr="00D6050D">
        <w:rPr>
          <w:rFonts w:ascii="Calibri" w:hAnsi="Calibri" w:cs="Calibri"/>
          <w:b/>
          <w:i/>
          <w:spacing w:val="1"/>
          <w:sz w:val="22"/>
          <w:szCs w:val="22"/>
        </w:rPr>
        <w:t xml:space="preserve"> </w:t>
      </w:r>
      <w:r w:rsidRPr="00D6050D">
        <w:rPr>
          <w:rFonts w:ascii="Calibri" w:hAnsi="Calibri" w:cs="Calibri"/>
          <w:b/>
          <w:i/>
          <w:sz w:val="22"/>
          <w:szCs w:val="22"/>
        </w:rPr>
        <w:t>proposed</w:t>
      </w:r>
      <w:r w:rsidRPr="00D6050D">
        <w:rPr>
          <w:rFonts w:ascii="Calibri" w:hAnsi="Calibri" w:cs="Calibri"/>
          <w:b/>
          <w:i/>
          <w:spacing w:val="1"/>
          <w:sz w:val="22"/>
          <w:szCs w:val="22"/>
        </w:rPr>
        <w:t xml:space="preserve"> </w:t>
      </w:r>
      <w:r w:rsidRPr="00D6050D">
        <w:rPr>
          <w:rFonts w:ascii="Calibri" w:hAnsi="Calibri" w:cs="Calibri"/>
          <w:b/>
          <w:i/>
          <w:sz w:val="22"/>
          <w:szCs w:val="22"/>
        </w:rPr>
        <w:t>up</w:t>
      </w:r>
      <w:r w:rsidRPr="00D6050D">
        <w:rPr>
          <w:rFonts w:ascii="Calibri" w:hAnsi="Calibri" w:cs="Calibri"/>
          <w:b/>
          <w:i/>
          <w:spacing w:val="1"/>
          <w:sz w:val="22"/>
          <w:szCs w:val="22"/>
        </w:rPr>
        <w:t xml:space="preserve"> </w:t>
      </w:r>
      <w:r w:rsidRPr="00D6050D">
        <w:rPr>
          <w:rFonts w:ascii="Calibri" w:hAnsi="Calibri" w:cs="Calibri"/>
          <w:b/>
          <w:i/>
          <w:sz w:val="22"/>
          <w:szCs w:val="22"/>
        </w:rPr>
        <w:t>to</w:t>
      </w:r>
      <w:r w:rsidRPr="00D6050D">
        <w:rPr>
          <w:rFonts w:ascii="Calibri" w:hAnsi="Calibri" w:cs="Calibri"/>
          <w:b/>
          <w:i/>
          <w:spacing w:val="1"/>
          <w:sz w:val="22"/>
          <w:szCs w:val="22"/>
        </w:rPr>
        <w:t xml:space="preserve"> </w:t>
      </w:r>
      <w:r w:rsidRPr="00D6050D">
        <w:rPr>
          <w:rFonts w:ascii="Calibri" w:hAnsi="Calibri" w:cs="Calibri"/>
          <w:b/>
          <w:i/>
          <w:sz w:val="22"/>
          <w:szCs w:val="22"/>
        </w:rPr>
        <w:t>a</w:t>
      </w:r>
      <w:r w:rsidRPr="00D6050D">
        <w:rPr>
          <w:rFonts w:ascii="Calibri" w:hAnsi="Calibri" w:cs="Calibri"/>
          <w:b/>
          <w:i/>
          <w:spacing w:val="1"/>
          <w:sz w:val="22"/>
          <w:szCs w:val="22"/>
        </w:rPr>
        <w:t xml:space="preserve"> </w:t>
      </w:r>
      <w:r w:rsidRPr="00D6050D">
        <w:rPr>
          <w:rFonts w:ascii="Calibri" w:hAnsi="Calibri" w:cs="Calibri"/>
          <w:b/>
          <w:i/>
          <w:sz w:val="22"/>
          <w:szCs w:val="22"/>
        </w:rPr>
        <w:t>year</w:t>
      </w:r>
      <w:r w:rsidRPr="00D6050D">
        <w:rPr>
          <w:rFonts w:ascii="Calibri" w:hAnsi="Calibri" w:cs="Calibri"/>
          <w:b/>
          <w:i/>
          <w:spacing w:val="1"/>
          <w:sz w:val="22"/>
          <w:szCs w:val="22"/>
        </w:rPr>
        <w:t xml:space="preserve"> </w:t>
      </w:r>
      <w:r w:rsidRPr="00D6050D">
        <w:rPr>
          <w:rFonts w:ascii="Calibri" w:hAnsi="Calibri" w:cs="Calibri"/>
          <w:b/>
          <w:i/>
          <w:sz w:val="22"/>
          <w:szCs w:val="22"/>
        </w:rPr>
        <w:t>shall</w:t>
      </w:r>
      <w:r w:rsidRPr="00D6050D">
        <w:rPr>
          <w:rFonts w:ascii="Calibri" w:hAnsi="Calibri" w:cs="Calibri"/>
          <w:b/>
          <w:i/>
          <w:spacing w:val="1"/>
          <w:sz w:val="22"/>
          <w:szCs w:val="22"/>
        </w:rPr>
        <w:t xml:space="preserve"> </w:t>
      </w:r>
      <w:r w:rsidRPr="00D6050D">
        <w:rPr>
          <w:rFonts w:ascii="Calibri" w:hAnsi="Calibri" w:cs="Calibri"/>
          <w:b/>
          <w:i/>
          <w:sz w:val="22"/>
          <w:szCs w:val="22"/>
        </w:rPr>
        <w:t>be</w:t>
      </w:r>
      <w:r w:rsidRPr="00D6050D">
        <w:rPr>
          <w:rFonts w:ascii="Calibri" w:hAnsi="Calibri" w:cs="Calibri"/>
          <w:b/>
          <w:i/>
          <w:spacing w:val="1"/>
          <w:sz w:val="22"/>
          <w:szCs w:val="22"/>
        </w:rPr>
        <w:t xml:space="preserve"> </w:t>
      </w:r>
      <w:r w:rsidRPr="00D6050D">
        <w:rPr>
          <w:rFonts w:ascii="Calibri" w:hAnsi="Calibri" w:cs="Calibri"/>
          <w:b/>
          <w:i/>
          <w:sz w:val="22"/>
          <w:szCs w:val="22"/>
        </w:rPr>
        <w:t>at</w:t>
      </w:r>
      <w:r w:rsidRPr="00D6050D">
        <w:rPr>
          <w:rFonts w:ascii="Calibri" w:hAnsi="Calibri" w:cs="Calibri"/>
          <w:b/>
          <w:i/>
          <w:spacing w:val="1"/>
          <w:sz w:val="22"/>
          <w:szCs w:val="22"/>
        </w:rPr>
        <w:t xml:space="preserve"> </w:t>
      </w:r>
      <w:r w:rsidRPr="00D6050D">
        <w:rPr>
          <w:rFonts w:ascii="Calibri" w:hAnsi="Calibri" w:cs="Calibri"/>
          <w:b/>
          <w:i/>
          <w:sz w:val="22"/>
          <w:szCs w:val="22"/>
        </w:rPr>
        <w:t>least</w:t>
      </w:r>
      <w:r w:rsidRPr="00D6050D">
        <w:rPr>
          <w:rFonts w:ascii="Calibri" w:hAnsi="Calibri" w:cs="Calibri"/>
          <w:b/>
          <w:i/>
          <w:spacing w:val="1"/>
          <w:sz w:val="22"/>
          <w:szCs w:val="22"/>
        </w:rPr>
        <w:t xml:space="preserve"> </w:t>
      </w:r>
      <w:r w:rsidRPr="00D6050D">
        <w:rPr>
          <w:rFonts w:ascii="Calibri" w:hAnsi="Calibri" w:cs="Calibri"/>
          <w:b/>
          <w:i/>
          <w:sz w:val="22"/>
          <w:szCs w:val="22"/>
        </w:rPr>
        <w:t>equal</w:t>
      </w:r>
      <w:r w:rsidRPr="00D6050D">
        <w:rPr>
          <w:rFonts w:ascii="Calibri" w:hAnsi="Calibri" w:cs="Calibri"/>
          <w:b/>
          <w:i/>
          <w:spacing w:val="1"/>
          <w:sz w:val="22"/>
          <w:szCs w:val="22"/>
        </w:rPr>
        <w:t xml:space="preserve"> </w:t>
      </w:r>
      <w:r w:rsidRPr="00D6050D">
        <w:rPr>
          <w:rFonts w:ascii="Calibri" w:hAnsi="Calibri" w:cs="Calibri"/>
          <w:b/>
          <w:i/>
          <w:sz w:val="22"/>
          <w:szCs w:val="22"/>
        </w:rPr>
        <w:t>to</w:t>
      </w:r>
      <w:r w:rsidRPr="00D6050D">
        <w:rPr>
          <w:rFonts w:ascii="Calibri" w:hAnsi="Calibri" w:cs="Calibri"/>
          <w:b/>
          <w:i/>
          <w:spacing w:val="1"/>
          <w:sz w:val="22"/>
          <w:szCs w:val="22"/>
        </w:rPr>
        <w:t xml:space="preserve"> </w:t>
      </w:r>
      <w:r w:rsidRPr="00D6050D">
        <w:rPr>
          <w:rFonts w:ascii="Calibri" w:hAnsi="Calibri" w:cs="Calibri"/>
          <w:b/>
          <w:i/>
          <w:sz w:val="22"/>
          <w:szCs w:val="22"/>
        </w:rPr>
        <w:t>the</w:t>
      </w:r>
      <w:r w:rsidRPr="00D6050D">
        <w:rPr>
          <w:rFonts w:ascii="Calibri" w:hAnsi="Calibri" w:cs="Calibri"/>
          <w:b/>
          <w:i/>
          <w:spacing w:val="1"/>
          <w:sz w:val="22"/>
          <w:szCs w:val="22"/>
        </w:rPr>
        <w:t xml:space="preserve"> </w:t>
      </w:r>
      <w:r w:rsidRPr="00D6050D">
        <w:rPr>
          <w:rFonts w:ascii="Calibri" w:hAnsi="Calibri" w:cs="Calibri"/>
          <w:b/>
          <w:i/>
          <w:sz w:val="22"/>
          <w:szCs w:val="22"/>
        </w:rPr>
        <w:t>cumulative</w:t>
      </w:r>
      <w:r w:rsidRPr="00D6050D">
        <w:rPr>
          <w:rFonts w:ascii="Calibri" w:hAnsi="Calibri" w:cs="Calibri"/>
          <w:b/>
          <w:i/>
          <w:spacing w:val="55"/>
          <w:sz w:val="22"/>
          <w:szCs w:val="22"/>
        </w:rPr>
        <w:t xml:space="preserve"> </w:t>
      </w:r>
      <w:r w:rsidRPr="00D6050D">
        <w:rPr>
          <w:rFonts w:ascii="Calibri" w:hAnsi="Calibri" w:cs="Calibri"/>
          <w:b/>
          <w:i/>
          <w:sz w:val="22"/>
          <w:szCs w:val="22"/>
        </w:rPr>
        <w:t>capital</w:t>
      </w:r>
      <w:r w:rsidRPr="00D6050D">
        <w:rPr>
          <w:rFonts w:ascii="Calibri" w:hAnsi="Calibri" w:cs="Calibri"/>
          <w:b/>
          <w:i/>
          <w:spacing w:val="1"/>
          <w:sz w:val="22"/>
          <w:szCs w:val="22"/>
        </w:rPr>
        <w:t xml:space="preserve"> </w:t>
      </w:r>
      <w:r w:rsidRPr="00D6050D">
        <w:rPr>
          <w:rFonts w:ascii="Calibri" w:hAnsi="Calibri" w:cs="Calibri"/>
          <w:b/>
          <w:i/>
          <w:sz w:val="22"/>
          <w:szCs w:val="22"/>
        </w:rPr>
        <w:t>expenditure</w:t>
      </w:r>
      <w:r w:rsidRPr="00D6050D">
        <w:rPr>
          <w:rFonts w:ascii="Calibri" w:hAnsi="Calibri" w:cs="Calibri"/>
          <w:b/>
          <w:i/>
          <w:spacing w:val="1"/>
          <w:sz w:val="22"/>
          <w:szCs w:val="22"/>
        </w:rPr>
        <w:t xml:space="preserve"> </w:t>
      </w:r>
      <w:r w:rsidRPr="00D6050D">
        <w:rPr>
          <w:rFonts w:ascii="Calibri" w:hAnsi="Calibri" w:cs="Calibri"/>
          <w:b/>
          <w:i/>
          <w:sz w:val="22"/>
          <w:szCs w:val="22"/>
        </w:rPr>
        <w:t>committed up</w:t>
      </w:r>
      <w:r w:rsidRPr="00D6050D">
        <w:rPr>
          <w:rFonts w:ascii="Calibri" w:hAnsi="Calibri" w:cs="Calibri"/>
          <w:b/>
          <w:i/>
          <w:spacing w:val="1"/>
          <w:sz w:val="22"/>
          <w:szCs w:val="22"/>
        </w:rPr>
        <w:t xml:space="preserve"> </w:t>
      </w:r>
      <w:r w:rsidRPr="00D6050D">
        <w:rPr>
          <w:rFonts w:ascii="Calibri" w:hAnsi="Calibri" w:cs="Calibri"/>
          <w:b/>
          <w:i/>
          <w:sz w:val="22"/>
          <w:szCs w:val="22"/>
        </w:rPr>
        <w:t>to that</w:t>
      </w:r>
      <w:r w:rsidRPr="00D6050D">
        <w:rPr>
          <w:rFonts w:ascii="Calibri" w:hAnsi="Calibri" w:cs="Calibri"/>
          <w:b/>
          <w:i/>
          <w:spacing w:val="1"/>
          <w:sz w:val="22"/>
          <w:szCs w:val="22"/>
        </w:rPr>
        <w:t xml:space="preserve"> </w:t>
      </w:r>
      <w:r w:rsidRPr="00D6050D">
        <w:rPr>
          <w:rFonts w:ascii="Calibri" w:hAnsi="Calibri" w:cs="Calibri"/>
          <w:b/>
          <w:i/>
          <w:sz w:val="22"/>
          <w:szCs w:val="22"/>
        </w:rPr>
        <w:t>year</w:t>
      </w:r>
      <w:r w:rsidRPr="00D6050D">
        <w:rPr>
          <w:rFonts w:ascii="Calibri" w:hAnsi="Calibri" w:cs="Calibri"/>
          <w:b/>
          <w:i/>
          <w:spacing w:val="1"/>
          <w:sz w:val="22"/>
          <w:szCs w:val="22"/>
        </w:rPr>
        <w:t xml:space="preserve"> </w:t>
      </w:r>
      <w:r w:rsidRPr="00D6050D">
        <w:rPr>
          <w:rFonts w:ascii="Calibri" w:hAnsi="Calibri" w:cs="Calibri"/>
          <w:b/>
          <w:i/>
          <w:sz w:val="22"/>
          <w:szCs w:val="22"/>
        </w:rPr>
        <w:t>in</w:t>
      </w:r>
      <w:r w:rsidRPr="00D6050D">
        <w:rPr>
          <w:rFonts w:ascii="Calibri" w:hAnsi="Calibri" w:cs="Calibri"/>
          <w:b/>
          <w:i/>
          <w:spacing w:val="1"/>
          <w:sz w:val="22"/>
          <w:szCs w:val="22"/>
        </w:rPr>
        <w:t xml:space="preserve"> </w:t>
      </w:r>
      <w:r w:rsidRPr="00D6050D">
        <w:rPr>
          <w:rFonts w:ascii="Calibri" w:hAnsi="Calibri" w:cs="Calibri"/>
          <w:b/>
          <w:i/>
          <w:sz w:val="22"/>
          <w:szCs w:val="22"/>
        </w:rPr>
        <w:t>the</w:t>
      </w:r>
      <w:r w:rsidRPr="00D6050D">
        <w:rPr>
          <w:rFonts w:ascii="Calibri" w:hAnsi="Calibri" w:cs="Calibri"/>
          <w:b/>
          <w:i/>
          <w:spacing w:val="1"/>
          <w:sz w:val="22"/>
          <w:szCs w:val="22"/>
        </w:rPr>
        <w:t xml:space="preserve"> </w:t>
      </w:r>
      <w:r w:rsidRPr="00D6050D">
        <w:rPr>
          <w:rFonts w:ascii="Calibri" w:hAnsi="Calibri" w:cs="Calibri"/>
          <w:b/>
          <w:i/>
          <w:sz w:val="22"/>
          <w:szCs w:val="22"/>
        </w:rPr>
        <w:t>Bid submitted</w:t>
      </w:r>
      <w:r w:rsidRPr="00D6050D">
        <w:rPr>
          <w:rFonts w:ascii="Calibri" w:hAnsi="Calibri" w:cs="Calibri"/>
          <w:b/>
          <w:i/>
          <w:spacing w:val="1"/>
          <w:sz w:val="22"/>
          <w:szCs w:val="22"/>
        </w:rPr>
        <w:t xml:space="preserve"> </w:t>
      </w:r>
      <w:r w:rsidRPr="00D6050D">
        <w:rPr>
          <w:rFonts w:ascii="Calibri" w:hAnsi="Calibri" w:cs="Calibri"/>
          <w:b/>
          <w:i/>
          <w:sz w:val="22"/>
          <w:szCs w:val="22"/>
        </w:rPr>
        <w:t>by TPCL.</w:t>
      </w:r>
      <w:r w:rsidRPr="00D6050D">
        <w:rPr>
          <w:rFonts w:ascii="Calibri" w:hAnsi="Calibri" w:cs="Calibri"/>
          <w:b/>
          <w:i/>
          <w:spacing w:val="1"/>
          <w:sz w:val="22"/>
          <w:szCs w:val="22"/>
        </w:rPr>
        <w:t xml:space="preserve"> </w:t>
      </w:r>
      <w:r w:rsidRPr="00D6050D">
        <w:rPr>
          <w:rFonts w:ascii="Calibri" w:hAnsi="Calibri" w:cs="Calibri"/>
          <w:b/>
          <w:i/>
          <w:sz w:val="22"/>
          <w:szCs w:val="22"/>
        </w:rPr>
        <w:t>For</w:t>
      </w:r>
      <w:r w:rsidRPr="00D6050D">
        <w:rPr>
          <w:rFonts w:ascii="Calibri" w:hAnsi="Calibri" w:cs="Calibri"/>
          <w:b/>
          <w:i/>
          <w:spacing w:val="1"/>
          <w:sz w:val="22"/>
          <w:szCs w:val="22"/>
        </w:rPr>
        <w:t xml:space="preserve"> </w:t>
      </w:r>
      <w:r w:rsidRPr="00D6050D">
        <w:rPr>
          <w:rFonts w:ascii="Calibri" w:hAnsi="Calibri" w:cs="Calibri"/>
          <w:b/>
          <w:i/>
          <w:sz w:val="22"/>
          <w:szCs w:val="22"/>
        </w:rPr>
        <w:t>avoidance</w:t>
      </w:r>
      <w:r w:rsidRPr="00D6050D">
        <w:rPr>
          <w:rFonts w:ascii="Calibri" w:hAnsi="Calibri" w:cs="Calibri"/>
          <w:b/>
          <w:i/>
          <w:spacing w:val="1"/>
          <w:sz w:val="22"/>
          <w:szCs w:val="22"/>
        </w:rPr>
        <w:t xml:space="preserve"> </w:t>
      </w:r>
      <w:r w:rsidRPr="00D6050D">
        <w:rPr>
          <w:rFonts w:ascii="Calibri" w:hAnsi="Calibri" w:cs="Calibri"/>
          <w:b/>
          <w:i/>
          <w:sz w:val="22"/>
          <w:szCs w:val="22"/>
        </w:rPr>
        <w:t>of</w:t>
      </w:r>
      <w:r w:rsidRPr="00D6050D">
        <w:rPr>
          <w:rFonts w:ascii="Calibri" w:hAnsi="Calibri" w:cs="Calibri"/>
          <w:b/>
          <w:i/>
          <w:spacing w:val="1"/>
          <w:sz w:val="22"/>
          <w:szCs w:val="22"/>
        </w:rPr>
        <w:t xml:space="preserve"> </w:t>
      </w:r>
      <w:r w:rsidRPr="00D6050D">
        <w:rPr>
          <w:rFonts w:ascii="Calibri" w:hAnsi="Calibri" w:cs="Calibri"/>
          <w:b/>
          <w:i/>
          <w:sz w:val="22"/>
          <w:szCs w:val="22"/>
        </w:rPr>
        <w:t>doubt,</w:t>
      </w:r>
      <w:r w:rsidRPr="00D6050D">
        <w:rPr>
          <w:rFonts w:ascii="Calibri" w:hAnsi="Calibri" w:cs="Calibri"/>
          <w:b/>
          <w:i/>
          <w:spacing w:val="1"/>
          <w:sz w:val="22"/>
          <w:szCs w:val="22"/>
        </w:rPr>
        <w:t xml:space="preserve"> </w:t>
      </w:r>
      <w:r w:rsidRPr="00D6050D">
        <w:rPr>
          <w:rFonts w:ascii="Calibri" w:hAnsi="Calibri" w:cs="Calibri"/>
          <w:b/>
          <w:i/>
          <w:sz w:val="22"/>
          <w:szCs w:val="22"/>
        </w:rPr>
        <w:t>the</w:t>
      </w:r>
      <w:r w:rsidRPr="00D6050D">
        <w:rPr>
          <w:rFonts w:ascii="Calibri" w:hAnsi="Calibri" w:cs="Calibri"/>
          <w:b/>
          <w:i/>
          <w:spacing w:val="1"/>
          <w:sz w:val="22"/>
          <w:szCs w:val="22"/>
        </w:rPr>
        <w:t xml:space="preserve"> </w:t>
      </w:r>
      <w:r w:rsidRPr="00D6050D">
        <w:rPr>
          <w:rFonts w:ascii="Calibri" w:hAnsi="Calibri" w:cs="Calibri"/>
          <w:b/>
          <w:i/>
          <w:sz w:val="22"/>
          <w:szCs w:val="22"/>
        </w:rPr>
        <w:t>minimum</w:t>
      </w:r>
      <w:r w:rsidRPr="00D6050D">
        <w:rPr>
          <w:rFonts w:ascii="Calibri" w:hAnsi="Calibri" w:cs="Calibri"/>
          <w:b/>
          <w:i/>
          <w:spacing w:val="1"/>
          <w:sz w:val="22"/>
          <w:szCs w:val="22"/>
        </w:rPr>
        <w:t xml:space="preserve"> </w:t>
      </w:r>
      <w:r w:rsidRPr="00D6050D">
        <w:rPr>
          <w:rFonts w:ascii="Calibri" w:hAnsi="Calibri" w:cs="Calibri"/>
          <w:b/>
          <w:i/>
          <w:sz w:val="22"/>
          <w:szCs w:val="22"/>
        </w:rPr>
        <w:t>cumulative</w:t>
      </w:r>
      <w:r w:rsidRPr="00D6050D">
        <w:rPr>
          <w:rFonts w:ascii="Calibri" w:hAnsi="Calibri" w:cs="Calibri"/>
          <w:b/>
          <w:i/>
          <w:spacing w:val="1"/>
          <w:sz w:val="22"/>
          <w:szCs w:val="22"/>
        </w:rPr>
        <w:t xml:space="preserve"> </w:t>
      </w:r>
      <w:r w:rsidRPr="00D6050D">
        <w:rPr>
          <w:rFonts w:ascii="Calibri" w:hAnsi="Calibri" w:cs="Calibri"/>
          <w:b/>
          <w:i/>
          <w:sz w:val="22"/>
          <w:szCs w:val="22"/>
        </w:rPr>
        <w:t>capital</w:t>
      </w:r>
      <w:r w:rsidRPr="00D6050D">
        <w:rPr>
          <w:rFonts w:ascii="Calibri" w:hAnsi="Calibri" w:cs="Calibri"/>
          <w:b/>
          <w:i/>
          <w:spacing w:val="1"/>
          <w:sz w:val="22"/>
          <w:szCs w:val="22"/>
        </w:rPr>
        <w:t xml:space="preserve"> </w:t>
      </w:r>
      <w:r w:rsidRPr="00D6050D">
        <w:rPr>
          <w:rFonts w:ascii="Calibri" w:hAnsi="Calibri" w:cs="Calibri"/>
          <w:b/>
          <w:i/>
          <w:sz w:val="22"/>
          <w:szCs w:val="22"/>
        </w:rPr>
        <w:t>expenditure</w:t>
      </w:r>
      <w:r w:rsidRPr="00D6050D">
        <w:rPr>
          <w:rFonts w:ascii="Calibri" w:hAnsi="Calibri" w:cs="Calibri"/>
          <w:b/>
          <w:i/>
          <w:spacing w:val="55"/>
          <w:sz w:val="22"/>
          <w:szCs w:val="22"/>
        </w:rPr>
        <w:t xml:space="preserve"> </w:t>
      </w:r>
      <w:r w:rsidRPr="00D6050D">
        <w:rPr>
          <w:rFonts w:ascii="Calibri" w:hAnsi="Calibri" w:cs="Calibri"/>
          <w:b/>
          <w:i/>
          <w:sz w:val="22"/>
          <w:szCs w:val="22"/>
        </w:rPr>
        <w:t>to</w:t>
      </w:r>
      <w:r w:rsidRPr="00D6050D">
        <w:rPr>
          <w:rFonts w:ascii="Calibri" w:hAnsi="Calibri" w:cs="Calibri"/>
          <w:b/>
          <w:i/>
          <w:spacing w:val="55"/>
          <w:sz w:val="22"/>
          <w:szCs w:val="22"/>
        </w:rPr>
        <w:t xml:space="preserve"> </w:t>
      </w:r>
      <w:r w:rsidRPr="00D6050D">
        <w:rPr>
          <w:rFonts w:ascii="Calibri" w:hAnsi="Calibri" w:cs="Calibri"/>
          <w:b/>
          <w:i/>
          <w:sz w:val="22"/>
          <w:szCs w:val="22"/>
        </w:rPr>
        <w:t>be</w:t>
      </w:r>
      <w:r w:rsidRPr="00D6050D">
        <w:rPr>
          <w:rFonts w:ascii="Calibri" w:hAnsi="Calibri" w:cs="Calibri"/>
          <w:b/>
          <w:i/>
          <w:spacing w:val="1"/>
          <w:sz w:val="22"/>
          <w:szCs w:val="22"/>
        </w:rPr>
        <w:t xml:space="preserve"> </w:t>
      </w:r>
      <w:r w:rsidRPr="00D6050D">
        <w:rPr>
          <w:rFonts w:ascii="Calibri" w:hAnsi="Calibri" w:cs="Calibri"/>
          <w:b/>
          <w:i/>
          <w:sz w:val="22"/>
          <w:szCs w:val="22"/>
        </w:rPr>
        <w:t>proposed by TPNODL for the period FY 2021-22 to FY 2025-26 must be as</w:t>
      </w:r>
      <w:r w:rsidRPr="00D6050D">
        <w:rPr>
          <w:rFonts w:ascii="Calibri" w:hAnsi="Calibri" w:cs="Calibri"/>
          <w:b/>
          <w:i/>
          <w:spacing w:val="1"/>
          <w:sz w:val="22"/>
          <w:szCs w:val="22"/>
        </w:rPr>
        <w:t xml:space="preserve"> </w:t>
      </w:r>
      <w:r w:rsidRPr="00D6050D">
        <w:rPr>
          <w:rFonts w:ascii="Calibri" w:hAnsi="Calibri" w:cs="Calibri"/>
          <w:b/>
          <w:i/>
          <w:sz w:val="22"/>
          <w:szCs w:val="22"/>
        </w:rPr>
        <w:t>provided</w:t>
      </w:r>
      <w:r w:rsidRPr="00D6050D">
        <w:rPr>
          <w:rFonts w:ascii="Calibri" w:hAnsi="Calibri" w:cs="Calibri"/>
          <w:b/>
          <w:i/>
          <w:spacing w:val="3"/>
          <w:sz w:val="22"/>
          <w:szCs w:val="22"/>
        </w:rPr>
        <w:t xml:space="preserve"> </w:t>
      </w:r>
      <w:r w:rsidRPr="00D6050D">
        <w:rPr>
          <w:rFonts w:ascii="Calibri" w:hAnsi="Calibri" w:cs="Calibri"/>
          <w:b/>
          <w:i/>
          <w:sz w:val="22"/>
          <w:szCs w:val="22"/>
        </w:rPr>
        <w:t>in</w:t>
      </w:r>
      <w:r w:rsidRPr="00D6050D">
        <w:rPr>
          <w:rFonts w:ascii="Calibri" w:hAnsi="Calibri" w:cs="Calibri"/>
          <w:b/>
          <w:i/>
          <w:spacing w:val="1"/>
          <w:sz w:val="22"/>
          <w:szCs w:val="22"/>
        </w:rPr>
        <w:t xml:space="preserve"> </w:t>
      </w:r>
      <w:r w:rsidRPr="00D6050D">
        <w:rPr>
          <w:rFonts w:ascii="Calibri" w:hAnsi="Calibri" w:cs="Calibri"/>
          <w:b/>
          <w:i/>
          <w:sz w:val="22"/>
          <w:szCs w:val="22"/>
        </w:rPr>
        <w:t>the</w:t>
      </w:r>
      <w:r w:rsidRPr="00D6050D">
        <w:rPr>
          <w:rFonts w:ascii="Calibri" w:hAnsi="Calibri" w:cs="Calibri"/>
          <w:b/>
          <w:i/>
          <w:spacing w:val="5"/>
          <w:sz w:val="22"/>
          <w:szCs w:val="22"/>
        </w:rPr>
        <w:t xml:space="preserve"> </w:t>
      </w:r>
      <w:r w:rsidRPr="00D6050D">
        <w:rPr>
          <w:rFonts w:ascii="Calibri" w:hAnsi="Calibri" w:cs="Calibri"/>
          <w:b/>
          <w:i/>
          <w:sz w:val="22"/>
          <w:szCs w:val="22"/>
        </w:rPr>
        <w:t>table</w:t>
      </w:r>
      <w:r w:rsidRPr="00D6050D">
        <w:rPr>
          <w:rFonts w:ascii="Calibri" w:hAnsi="Calibri" w:cs="Calibri"/>
          <w:b/>
          <w:i/>
          <w:spacing w:val="2"/>
          <w:sz w:val="22"/>
          <w:szCs w:val="22"/>
        </w:rPr>
        <w:t xml:space="preserve"> </w:t>
      </w:r>
      <w:r w:rsidRPr="00D6050D">
        <w:rPr>
          <w:rFonts w:ascii="Calibri" w:hAnsi="Calibri" w:cs="Calibri"/>
          <w:b/>
          <w:i/>
          <w:sz w:val="22"/>
          <w:szCs w:val="22"/>
        </w:rPr>
        <w:t>below:</w:t>
      </w:r>
    </w:p>
    <w:p w14:paraId="28BC31F5" w14:textId="77777777" w:rsidR="00974443" w:rsidRPr="00D6050D" w:rsidRDefault="00974443" w:rsidP="00974443">
      <w:pPr>
        <w:widowControl w:val="0"/>
        <w:autoSpaceDE w:val="0"/>
        <w:autoSpaceDN w:val="0"/>
        <w:spacing w:before="108" w:line="360" w:lineRule="auto"/>
        <w:ind w:left="2010"/>
        <w:jc w:val="both"/>
        <w:rPr>
          <w:rFonts w:ascii="Calibri" w:hAnsi="Calibri" w:cs="Calibri"/>
          <w:b/>
          <w:i/>
          <w:sz w:val="22"/>
          <w:szCs w:val="22"/>
        </w:rPr>
      </w:pPr>
      <w:r w:rsidRPr="00D6050D">
        <w:rPr>
          <w:rFonts w:ascii="Calibri" w:hAnsi="Calibri" w:cs="Calibri"/>
          <w:b/>
          <w:i/>
          <w:sz w:val="22"/>
          <w:szCs w:val="22"/>
        </w:rPr>
        <w:t>Table</w:t>
      </w:r>
      <w:r w:rsidRPr="00D6050D">
        <w:rPr>
          <w:rFonts w:ascii="Calibri" w:hAnsi="Calibri" w:cs="Calibri"/>
          <w:b/>
          <w:i/>
          <w:spacing w:val="13"/>
          <w:sz w:val="22"/>
          <w:szCs w:val="22"/>
        </w:rPr>
        <w:t xml:space="preserve"> </w:t>
      </w:r>
      <w:r w:rsidRPr="00D6050D">
        <w:rPr>
          <w:rFonts w:ascii="Calibri" w:hAnsi="Calibri" w:cs="Calibri"/>
          <w:b/>
          <w:i/>
          <w:sz w:val="22"/>
          <w:szCs w:val="22"/>
        </w:rPr>
        <w:t>2:</w:t>
      </w:r>
      <w:r w:rsidRPr="00D6050D">
        <w:rPr>
          <w:rFonts w:ascii="Calibri" w:hAnsi="Calibri" w:cs="Calibri"/>
          <w:b/>
          <w:i/>
          <w:spacing w:val="12"/>
          <w:sz w:val="22"/>
          <w:szCs w:val="22"/>
        </w:rPr>
        <w:t xml:space="preserve"> </w:t>
      </w:r>
      <w:r w:rsidRPr="00D6050D">
        <w:rPr>
          <w:rFonts w:ascii="Calibri" w:hAnsi="Calibri" w:cs="Calibri"/>
          <w:b/>
          <w:i/>
          <w:sz w:val="22"/>
          <w:szCs w:val="22"/>
        </w:rPr>
        <w:t>TPCL</w:t>
      </w:r>
      <w:r w:rsidRPr="00D6050D">
        <w:rPr>
          <w:rFonts w:ascii="Calibri" w:hAnsi="Calibri" w:cs="Calibri"/>
          <w:b/>
          <w:i/>
          <w:spacing w:val="12"/>
          <w:sz w:val="22"/>
          <w:szCs w:val="22"/>
        </w:rPr>
        <w:t xml:space="preserve"> </w:t>
      </w:r>
      <w:r w:rsidRPr="00D6050D">
        <w:rPr>
          <w:rFonts w:ascii="Calibri" w:hAnsi="Calibri" w:cs="Calibri"/>
          <w:b/>
          <w:i/>
          <w:sz w:val="22"/>
          <w:szCs w:val="22"/>
        </w:rPr>
        <w:t>Cumulative</w:t>
      </w:r>
      <w:r w:rsidRPr="00D6050D">
        <w:rPr>
          <w:rFonts w:ascii="Calibri" w:hAnsi="Calibri" w:cs="Calibri"/>
          <w:b/>
          <w:i/>
          <w:spacing w:val="18"/>
          <w:sz w:val="22"/>
          <w:szCs w:val="22"/>
        </w:rPr>
        <w:t xml:space="preserve"> </w:t>
      </w:r>
      <w:r w:rsidRPr="00D6050D">
        <w:rPr>
          <w:rFonts w:ascii="Calibri" w:hAnsi="Calibri" w:cs="Calibri"/>
          <w:b/>
          <w:i/>
          <w:sz w:val="22"/>
          <w:szCs w:val="22"/>
        </w:rPr>
        <w:t>Capital</w:t>
      </w:r>
      <w:r w:rsidRPr="00D6050D">
        <w:rPr>
          <w:rFonts w:ascii="Calibri" w:hAnsi="Calibri" w:cs="Calibri"/>
          <w:b/>
          <w:i/>
          <w:spacing w:val="14"/>
          <w:sz w:val="22"/>
          <w:szCs w:val="22"/>
        </w:rPr>
        <w:t xml:space="preserve"> </w:t>
      </w:r>
      <w:r w:rsidRPr="00D6050D">
        <w:rPr>
          <w:rFonts w:ascii="Calibri" w:hAnsi="Calibri" w:cs="Calibri"/>
          <w:b/>
          <w:i/>
          <w:sz w:val="22"/>
          <w:szCs w:val="22"/>
        </w:rPr>
        <w:t>Expenditure</w:t>
      </w:r>
      <w:r w:rsidRPr="00D6050D">
        <w:rPr>
          <w:rFonts w:ascii="Calibri" w:hAnsi="Calibri" w:cs="Calibri"/>
          <w:b/>
          <w:i/>
          <w:spacing w:val="11"/>
          <w:sz w:val="22"/>
          <w:szCs w:val="22"/>
        </w:rPr>
        <w:t xml:space="preserve"> </w:t>
      </w:r>
      <w:r w:rsidRPr="00D6050D">
        <w:rPr>
          <w:rFonts w:ascii="Calibri" w:hAnsi="Calibri" w:cs="Calibri"/>
          <w:b/>
          <w:i/>
          <w:sz w:val="22"/>
          <w:szCs w:val="22"/>
        </w:rPr>
        <w:t>for</w:t>
      </w:r>
      <w:r w:rsidRPr="00D6050D">
        <w:rPr>
          <w:rFonts w:ascii="Calibri" w:hAnsi="Calibri" w:cs="Calibri"/>
          <w:b/>
          <w:i/>
          <w:spacing w:val="14"/>
          <w:sz w:val="22"/>
          <w:szCs w:val="22"/>
        </w:rPr>
        <w:t xml:space="preserve"> </w:t>
      </w:r>
      <w:r w:rsidRPr="00D6050D">
        <w:rPr>
          <w:rFonts w:ascii="Calibri" w:hAnsi="Calibri" w:cs="Calibri"/>
          <w:b/>
          <w:i/>
          <w:sz w:val="22"/>
          <w:szCs w:val="22"/>
        </w:rPr>
        <w:t>5</w:t>
      </w:r>
      <w:r w:rsidRPr="00D6050D">
        <w:rPr>
          <w:rFonts w:ascii="Calibri" w:hAnsi="Calibri" w:cs="Calibri"/>
          <w:b/>
          <w:i/>
          <w:spacing w:val="9"/>
          <w:sz w:val="22"/>
          <w:szCs w:val="22"/>
        </w:rPr>
        <w:t xml:space="preserve"> </w:t>
      </w:r>
      <w:r w:rsidRPr="00D6050D">
        <w:rPr>
          <w:rFonts w:ascii="Calibri" w:hAnsi="Calibri" w:cs="Calibri"/>
          <w:b/>
          <w:i/>
          <w:sz w:val="22"/>
          <w:szCs w:val="22"/>
        </w:rPr>
        <w:t>years</w:t>
      </w:r>
    </w:p>
    <w:tbl>
      <w:tblPr>
        <w:tblW w:w="8508" w:type="dxa"/>
        <w:tblInd w:w="56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356"/>
        <w:gridCol w:w="1536"/>
        <w:gridCol w:w="1538"/>
        <w:gridCol w:w="1538"/>
        <w:gridCol w:w="1540"/>
      </w:tblGrid>
      <w:tr w:rsidR="00974443" w:rsidRPr="00D6050D" w14:paraId="4F227FCF" w14:textId="77777777" w:rsidTr="00A35221">
        <w:trPr>
          <w:trHeight w:val="258"/>
        </w:trPr>
        <w:tc>
          <w:tcPr>
            <w:tcW w:w="8508" w:type="dxa"/>
            <w:gridSpan w:val="5"/>
          </w:tcPr>
          <w:p w14:paraId="56D54770" w14:textId="77777777" w:rsidR="00974443" w:rsidRPr="00D6050D" w:rsidRDefault="00974443" w:rsidP="00A35221">
            <w:pPr>
              <w:widowControl w:val="0"/>
              <w:autoSpaceDE w:val="0"/>
              <w:autoSpaceDN w:val="0"/>
              <w:spacing w:line="239" w:lineRule="exact"/>
              <w:ind w:left="1783"/>
              <w:jc w:val="center"/>
              <w:rPr>
                <w:rFonts w:ascii="Calibri" w:hAnsi="Calibri" w:cs="Calibri"/>
                <w:b/>
                <w:sz w:val="22"/>
                <w:szCs w:val="22"/>
              </w:rPr>
            </w:pPr>
            <w:r w:rsidRPr="00D6050D">
              <w:rPr>
                <w:rFonts w:ascii="Calibri" w:hAnsi="Calibri" w:cs="Calibri"/>
                <w:b/>
                <w:sz w:val="22"/>
                <w:szCs w:val="22"/>
              </w:rPr>
              <w:t>Cumulative</w:t>
            </w:r>
            <w:r w:rsidRPr="00D6050D">
              <w:rPr>
                <w:rFonts w:ascii="Calibri" w:hAnsi="Calibri" w:cs="Calibri"/>
                <w:b/>
                <w:spacing w:val="21"/>
                <w:sz w:val="22"/>
                <w:szCs w:val="22"/>
              </w:rPr>
              <w:t xml:space="preserve"> </w:t>
            </w:r>
            <w:r w:rsidRPr="00D6050D">
              <w:rPr>
                <w:rFonts w:ascii="Calibri" w:hAnsi="Calibri" w:cs="Calibri"/>
                <w:b/>
                <w:sz w:val="22"/>
                <w:szCs w:val="22"/>
              </w:rPr>
              <w:t>Capex</w:t>
            </w:r>
            <w:r w:rsidRPr="00D6050D">
              <w:rPr>
                <w:rFonts w:ascii="Calibri" w:hAnsi="Calibri" w:cs="Calibri"/>
                <w:b/>
                <w:spacing w:val="15"/>
                <w:sz w:val="22"/>
                <w:szCs w:val="22"/>
              </w:rPr>
              <w:t xml:space="preserve"> </w:t>
            </w:r>
            <w:r w:rsidRPr="00D6050D">
              <w:rPr>
                <w:rFonts w:ascii="Calibri" w:hAnsi="Calibri" w:cs="Calibri"/>
                <w:b/>
                <w:sz w:val="22"/>
                <w:szCs w:val="22"/>
              </w:rPr>
              <w:t>Expenditure</w:t>
            </w:r>
            <w:r w:rsidRPr="00D6050D">
              <w:rPr>
                <w:rFonts w:ascii="Calibri" w:hAnsi="Calibri" w:cs="Calibri"/>
                <w:b/>
                <w:spacing w:val="18"/>
                <w:sz w:val="22"/>
                <w:szCs w:val="22"/>
              </w:rPr>
              <w:t xml:space="preserve"> </w:t>
            </w:r>
            <w:r w:rsidRPr="00D6050D">
              <w:rPr>
                <w:rFonts w:ascii="Calibri" w:hAnsi="Calibri" w:cs="Calibri"/>
                <w:b/>
                <w:sz w:val="22"/>
                <w:szCs w:val="22"/>
              </w:rPr>
              <w:t>(INR</w:t>
            </w:r>
            <w:r w:rsidRPr="00D6050D">
              <w:rPr>
                <w:rFonts w:ascii="Calibri" w:hAnsi="Calibri" w:cs="Calibri"/>
                <w:b/>
                <w:spacing w:val="17"/>
                <w:sz w:val="22"/>
                <w:szCs w:val="22"/>
              </w:rPr>
              <w:t xml:space="preserve"> </w:t>
            </w:r>
            <w:r w:rsidRPr="00D6050D">
              <w:rPr>
                <w:rFonts w:ascii="Calibri" w:hAnsi="Calibri" w:cs="Calibri"/>
                <w:b/>
                <w:sz w:val="22"/>
                <w:szCs w:val="22"/>
              </w:rPr>
              <w:t>Cr)</w:t>
            </w:r>
          </w:p>
        </w:tc>
      </w:tr>
      <w:tr w:rsidR="00974443" w:rsidRPr="00D6050D" w14:paraId="454F543F" w14:textId="77777777" w:rsidTr="00A35221">
        <w:trPr>
          <w:trHeight w:val="517"/>
        </w:trPr>
        <w:tc>
          <w:tcPr>
            <w:tcW w:w="2356" w:type="dxa"/>
          </w:tcPr>
          <w:p w14:paraId="798E0628" w14:textId="77777777" w:rsidR="00974443" w:rsidRPr="00D6050D" w:rsidRDefault="00974443" w:rsidP="00A35221">
            <w:pPr>
              <w:widowControl w:val="0"/>
              <w:autoSpaceDE w:val="0"/>
              <w:autoSpaceDN w:val="0"/>
              <w:spacing w:line="247" w:lineRule="exact"/>
              <w:ind w:left="287"/>
              <w:jc w:val="center"/>
              <w:rPr>
                <w:rFonts w:ascii="Calibri" w:hAnsi="Calibri" w:cs="Calibri"/>
                <w:b/>
                <w:sz w:val="22"/>
                <w:szCs w:val="22"/>
              </w:rPr>
            </w:pPr>
            <w:proofErr w:type="spellStart"/>
            <w:r w:rsidRPr="00D6050D">
              <w:rPr>
                <w:rFonts w:ascii="Calibri" w:hAnsi="Calibri" w:cs="Calibri"/>
                <w:b/>
                <w:sz w:val="22"/>
                <w:szCs w:val="22"/>
              </w:rPr>
              <w:t>Upto</w:t>
            </w:r>
            <w:proofErr w:type="spellEnd"/>
            <w:r w:rsidRPr="00D6050D">
              <w:rPr>
                <w:rFonts w:ascii="Calibri" w:hAnsi="Calibri" w:cs="Calibri"/>
                <w:b/>
                <w:spacing w:val="8"/>
                <w:sz w:val="22"/>
                <w:szCs w:val="22"/>
              </w:rPr>
              <w:t xml:space="preserve"> </w:t>
            </w:r>
            <w:r w:rsidRPr="00D6050D">
              <w:rPr>
                <w:rFonts w:ascii="Calibri" w:hAnsi="Calibri" w:cs="Calibri"/>
                <w:b/>
                <w:sz w:val="22"/>
                <w:szCs w:val="22"/>
              </w:rPr>
              <w:t>31-</w:t>
            </w:r>
          </w:p>
          <w:p w14:paraId="588F2431" w14:textId="77777777" w:rsidR="00974443" w:rsidRPr="00D6050D" w:rsidRDefault="00974443" w:rsidP="00A35221">
            <w:pPr>
              <w:widowControl w:val="0"/>
              <w:autoSpaceDE w:val="0"/>
              <w:autoSpaceDN w:val="0"/>
              <w:spacing w:before="6" w:line="244" w:lineRule="exact"/>
              <w:ind w:left="232"/>
              <w:jc w:val="center"/>
              <w:rPr>
                <w:rFonts w:ascii="Calibri" w:hAnsi="Calibri" w:cs="Calibri"/>
                <w:b/>
                <w:sz w:val="22"/>
                <w:szCs w:val="22"/>
              </w:rPr>
            </w:pPr>
            <w:r w:rsidRPr="00D6050D">
              <w:rPr>
                <w:rFonts w:ascii="Calibri" w:hAnsi="Calibri" w:cs="Calibri"/>
                <w:b/>
                <w:sz w:val="22"/>
                <w:szCs w:val="22"/>
              </w:rPr>
              <w:t>Mar-2022</w:t>
            </w:r>
          </w:p>
        </w:tc>
        <w:tc>
          <w:tcPr>
            <w:tcW w:w="1536" w:type="dxa"/>
          </w:tcPr>
          <w:p w14:paraId="066C48CA" w14:textId="77777777" w:rsidR="00974443" w:rsidRPr="00D6050D" w:rsidRDefault="00974443" w:rsidP="00A35221">
            <w:pPr>
              <w:widowControl w:val="0"/>
              <w:autoSpaceDE w:val="0"/>
              <w:autoSpaceDN w:val="0"/>
              <w:spacing w:line="247" w:lineRule="exact"/>
              <w:ind w:left="283"/>
              <w:jc w:val="center"/>
              <w:rPr>
                <w:rFonts w:ascii="Calibri" w:hAnsi="Calibri" w:cs="Calibri"/>
                <w:b/>
                <w:sz w:val="22"/>
                <w:szCs w:val="22"/>
              </w:rPr>
            </w:pPr>
            <w:proofErr w:type="spellStart"/>
            <w:r w:rsidRPr="00D6050D">
              <w:rPr>
                <w:rFonts w:ascii="Calibri" w:hAnsi="Calibri" w:cs="Calibri"/>
                <w:b/>
                <w:sz w:val="22"/>
                <w:szCs w:val="22"/>
              </w:rPr>
              <w:t>Upto</w:t>
            </w:r>
            <w:proofErr w:type="spellEnd"/>
            <w:r w:rsidRPr="00D6050D">
              <w:rPr>
                <w:rFonts w:ascii="Calibri" w:hAnsi="Calibri" w:cs="Calibri"/>
                <w:b/>
                <w:spacing w:val="8"/>
                <w:sz w:val="22"/>
                <w:szCs w:val="22"/>
              </w:rPr>
              <w:t xml:space="preserve"> </w:t>
            </w:r>
            <w:r w:rsidRPr="00D6050D">
              <w:rPr>
                <w:rFonts w:ascii="Calibri" w:hAnsi="Calibri" w:cs="Calibri"/>
                <w:b/>
                <w:sz w:val="22"/>
                <w:szCs w:val="22"/>
              </w:rPr>
              <w:t>31-</w:t>
            </w:r>
          </w:p>
          <w:p w14:paraId="033130D3" w14:textId="77777777" w:rsidR="00974443" w:rsidRPr="00D6050D" w:rsidRDefault="00974443" w:rsidP="00A35221">
            <w:pPr>
              <w:widowControl w:val="0"/>
              <w:autoSpaceDE w:val="0"/>
              <w:autoSpaceDN w:val="0"/>
              <w:spacing w:before="6" w:line="244" w:lineRule="exact"/>
              <w:ind w:left="225"/>
              <w:jc w:val="center"/>
              <w:rPr>
                <w:rFonts w:ascii="Calibri" w:hAnsi="Calibri" w:cs="Calibri"/>
                <w:b/>
                <w:sz w:val="22"/>
                <w:szCs w:val="22"/>
              </w:rPr>
            </w:pPr>
            <w:r w:rsidRPr="00D6050D">
              <w:rPr>
                <w:rFonts w:ascii="Calibri" w:hAnsi="Calibri" w:cs="Calibri"/>
                <w:b/>
                <w:sz w:val="22"/>
                <w:szCs w:val="22"/>
              </w:rPr>
              <w:t>Mar-2023</w:t>
            </w:r>
          </w:p>
        </w:tc>
        <w:tc>
          <w:tcPr>
            <w:tcW w:w="1538" w:type="dxa"/>
          </w:tcPr>
          <w:p w14:paraId="112AAE0D" w14:textId="77777777" w:rsidR="00974443" w:rsidRPr="00D6050D" w:rsidRDefault="00974443" w:rsidP="00A35221">
            <w:pPr>
              <w:widowControl w:val="0"/>
              <w:autoSpaceDE w:val="0"/>
              <w:autoSpaceDN w:val="0"/>
              <w:spacing w:line="247" w:lineRule="exact"/>
              <w:ind w:left="285"/>
              <w:jc w:val="center"/>
              <w:rPr>
                <w:rFonts w:ascii="Calibri" w:hAnsi="Calibri" w:cs="Calibri"/>
                <w:b/>
                <w:sz w:val="22"/>
                <w:szCs w:val="22"/>
              </w:rPr>
            </w:pPr>
            <w:proofErr w:type="spellStart"/>
            <w:r w:rsidRPr="00D6050D">
              <w:rPr>
                <w:rFonts w:ascii="Calibri" w:hAnsi="Calibri" w:cs="Calibri"/>
                <w:b/>
                <w:sz w:val="22"/>
                <w:szCs w:val="22"/>
              </w:rPr>
              <w:t>Upto</w:t>
            </w:r>
            <w:proofErr w:type="spellEnd"/>
            <w:r w:rsidRPr="00D6050D">
              <w:rPr>
                <w:rFonts w:ascii="Calibri" w:hAnsi="Calibri" w:cs="Calibri"/>
                <w:b/>
                <w:spacing w:val="7"/>
                <w:sz w:val="22"/>
                <w:szCs w:val="22"/>
              </w:rPr>
              <w:t xml:space="preserve"> </w:t>
            </w:r>
            <w:r w:rsidRPr="00D6050D">
              <w:rPr>
                <w:rFonts w:ascii="Calibri" w:hAnsi="Calibri" w:cs="Calibri"/>
                <w:b/>
                <w:sz w:val="22"/>
                <w:szCs w:val="22"/>
              </w:rPr>
              <w:t>31-</w:t>
            </w:r>
          </w:p>
          <w:p w14:paraId="2D63E053" w14:textId="77777777" w:rsidR="00974443" w:rsidRPr="00D6050D" w:rsidRDefault="00974443" w:rsidP="00A35221">
            <w:pPr>
              <w:widowControl w:val="0"/>
              <w:autoSpaceDE w:val="0"/>
              <w:autoSpaceDN w:val="0"/>
              <w:spacing w:before="6" w:line="244" w:lineRule="exact"/>
              <w:ind w:left="225"/>
              <w:jc w:val="center"/>
              <w:rPr>
                <w:rFonts w:ascii="Calibri" w:hAnsi="Calibri" w:cs="Calibri"/>
                <w:b/>
                <w:sz w:val="22"/>
                <w:szCs w:val="22"/>
              </w:rPr>
            </w:pPr>
            <w:r w:rsidRPr="00D6050D">
              <w:rPr>
                <w:rFonts w:ascii="Calibri" w:hAnsi="Calibri" w:cs="Calibri"/>
                <w:b/>
                <w:sz w:val="22"/>
                <w:szCs w:val="22"/>
              </w:rPr>
              <w:t>Mar-2024</w:t>
            </w:r>
          </w:p>
        </w:tc>
        <w:tc>
          <w:tcPr>
            <w:tcW w:w="1538" w:type="dxa"/>
          </w:tcPr>
          <w:p w14:paraId="6BA19216" w14:textId="77777777" w:rsidR="00974443" w:rsidRPr="00D6050D" w:rsidRDefault="00974443" w:rsidP="00A35221">
            <w:pPr>
              <w:widowControl w:val="0"/>
              <w:autoSpaceDE w:val="0"/>
              <w:autoSpaceDN w:val="0"/>
              <w:spacing w:line="247" w:lineRule="exact"/>
              <w:ind w:left="286"/>
              <w:jc w:val="center"/>
              <w:rPr>
                <w:rFonts w:ascii="Calibri" w:hAnsi="Calibri" w:cs="Calibri"/>
                <w:b/>
                <w:sz w:val="22"/>
                <w:szCs w:val="22"/>
              </w:rPr>
            </w:pPr>
            <w:proofErr w:type="spellStart"/>
            <w:r w:rsidRPr="00D6050D">
              <w:rPr>
                <w:rFonts w:ascii="Calibri" w:hAnsi="Calibri" w:cs="Calibri"/>
                <w:b/>
                <w:sz w:val="22"/>
                <w:szCs w:val="22"/>
              </w:rPr>
              <w:t>Upto</w:t>
            </w:r>
            <w:proofErr w:type="spellEnd"/>
            <w:r w:rsidRPr="00D6050D">
              <w:rPr>
                <w:rFonts w:ascii="Calibri" w:hAnsi="Calibri" w:cs="Calibri"/>
                <w:b/>
                <w:spacing w:val="8"/>
                <w:sz w:val="22"/>
                <w:szCs w:val="22"/>
              </w:rPr>
              <w:t xml:space="preserve"> </w:t>
            </w:r>
            <w:r w:rsidRPr="00D6050D">
              <w:rPr>
                <w:rFonts w:ascii="Calibri" w:hAnsi="Calibri" w:cs="Calibri"/>
                <w:b/>
                <w:sz w:val="22"/>
                <w:szCs w:val="22"/>
              </w:rPr>
              <w:t>31-</w:t>
            </w:r>
          </w:p>
          <w:p w14:paraId="306E5034" w14:textId="77777777" w:rsidR="00974443" w:rsidRPr="00D6050D" w:rsidRDefault="00974443" w:rsidP="00A35221">
            <w:pPr>
              <w:widowControl w:val="0"/>
              <w:autoSpaceDE w:val="0"/>
              <w:autoSpaceDN w:val="0"/>
              <w:spacing w:before="6" w:line="244" w:lineRule="exact"/>
              <w:ind w:left="230"/>
              <w:jc w:val="center"/>
              <w:rPr>
                <w:rFonts w:ascii="Calibri" w:hAnsi="Calibri" w:cs="Calibri"/>
                <w:b/>
                <w:sz w:val="22"/>
                <w:szCs w:val="22"/>
              </w:rPr>
            </w:pPr>
            <w:r w:rsidRPr="00D6050D">
              <w:rPr>
                <w:rFonts w:ascii="Calibri" w:hAnsi="Calibri" w:cs="Calibri"/>
                <w:b/>
                <w:sz w:val="22"/>
                <w:szCs w:val="22"/>
              </w:rPr>
              <w:t>Mar-2025</w:t>
            </w:r>
          </w:p>
        </w:tc>
        <w:tc>
          <w:tcPr>
            <w:tcW w:w="1540" w:type="dxa"/>
          </w:tcPr>
          <w:p w14:paraId="13079843" w14:textId="77777777" w:rsidR="00974443" w:rsidRPr="00D6050D" w:rsidRDefault="00974443" w:rsidP="00A35221">
            <w:pPr>
              <w:widowControl w:val="0"/>
              <w:autoSpaceDE w:val="0"/>
              <w:autoSpaceDN w:val="0"/>
              <w:spacing w:line="247" w:lineRule="exact"/>
              <w:ind w:left="291"/>
              <w:jc w:val="center"/>
              <w:rPr>
                <w:rFonts w:ascii="Calibri" w:hAnsi="Calibri" w:cs="Calibri"/>
                <w:b/>
                <w:sz w:val="22"/>
                <w:szCs w:val="22"/>
              </w:rPr>
            </w:pPr>
            <w:proofErr w:type="spellStart"/>
            <w:r w:rsidRPr="00D6050D">
              <w:rPr>
                <w:rFonts w:ascii="Calibri" w:hAnsi="Calibri" w:cs="Calibri"/>
                <w:b/>
                <w:sz w:val="22"/>
                <w:szCs w:val="22"/>
              </w:rPr>
              <w:t>Upto</w:t>
            </w:r>
            <w:proofErr w:type="spellEnd"/>
            <w:r w:rsidRPr="00D6050D">
              <w:rPr>
                <w:rFonts w:ascii="Calibri" w:hAnsi="Calibri" w:cs="Calibri"/>
                <w:b/>
                <w:spacing w:val="7"/>
                <w:sz w:val="22"/>
                <w:szCs w:val="22"/>
              </w:rPr>
              <w:t xml:space="preserve"> </w:t>
            </w:r>
            <w:r w:rsidRPr="00D6050D">
              <w:rPr>
                <w:rFonts w:ascii="Calibri" w:hAnsi="Calibri" w:cs="Calibri"/>
                <w:b/>
                <w:sz w:val="22"/>
                <w:szCs w:val="22"/>
              </w:rPr>
              <w:t>31-</w:t>
            </w:r>
          </w:p>
          <w:p w14:paraId="2568ECC0" w14:textId="77777777" w:rsidR="00974443" w:rsidRPr="00D6050D" w:rsidRDefault="00974443" w:rsidP="00A35221">
            <w:pPr>
              <w:widowControl w:val="0"/>
              <w:autoSpaceDE w:val="0"/>
              <w:autoSpaceDN w:val="0"/>
              <w:spacing w:before="6" w:line="244" w:lineRule="exact"/>
              <w:ind w:left="233"/>
              <w:jc w:val="center"/>
              <w:rPr>
                <w:rFonts w:ascii="Calibri" w:hAnsi="Calibri" w:cs="Calibri"/>
                <w:b/>
                <w:sz w:val="22"/>
                <w:szCs w:val="22"/>
              </w:rPr>
            </w:pPr>
            <w:r w:rsidRPr="00D6050D">
              <w:rPr>
                <w:rFonts w:ascii="Calibri" w:hAnsi="Calibri" w:cs="Calibri"/>
                <w:b/>
                <w:sz w:val="22"/>
                <w:szCs w:val="22"/>
              </w:rPr>
              <w:t>Mar-2026</w:t>
            </w:r>
          </w:p>
        </w:tc>
      </w:tr>
      <w:tr w:rsidR="00974443" w:rsidRPr="00D6050D" w14:paraId="3681FABA" w14:textId="77777777" w:rsidTr="00A35221">
        <w:trPr>
          <w:trHeight w:val="474"/>
        </w:trPr>
        <w:tc>
          <w:tcPr>
            <w:tcW w:w="2356" w:type="dxa"/>
          </w:tcPr>
          <w:p w14:paraId="0F5FCE34" w14:textId="77777777" w:rsidR="00974443" w:rsidRPr="00D6050D" w:rsidRDefault="00974443" w:rsidP="00A35221">
            <w:pPr>
              <w:widowControl w:val="0"/>
              <w:autoSpaceDE w:val="0"/>
              <w:autoSpaceDN w:val="0"/>
              <w:spacing w:before="81"/>
              <w:ind w:left="520" w:right="643"/>
              <w:jc w:val="center"/>
              <w:rPr>
                <w:rFonts w:ascii="Calibri" w:hAnsi="Calibri" w:cs="Calibri"/>
                <w:sz w:val="22"/>
                <w:szCs w:val="22"/>
              </w:rPr>
            </w:pPr>
            <w:r w:rsidRPr="00D6050D">
              <w:rPr>
                <w:rFonts w:ascii="Calibri" w:hAnsi="Calibri" w:cs="Calibri"/>
                <w:sz w:val="22"/>
                <w:szCs w:val="22"/>
              </w:rPr>
              <w:t>246</w:t>
            </w:r>
          </w:p>
        </w:tc>
        <w:tc>
          <w:tcPr>
            <w:tcW w:w="1536" w:type="dxa"/>
          </w:tcPr>
          <w:p w14:paraId="69766825" w14:textId="77777777" w:rsidR="00974443" w:rsidRPr="00D6050D" w:rsidRDefault="00974443" w:rsidP="00A35221">
            <w:pPr>
              <w:widowControl w:val="0"/>
              <w:autoSpaceDE w:val="0"/>
              <w:autoSpaceDN w:val="0"/>
              <w:spacing w:before="81"/>
              <w:ind w:left="517" w:right="638"/>
              <w:jc w:val="center"/>
              <w:rPr>
                <w:rFonts w:ascii="Calibri" w:hAnsi="Calibri" w:cs="Calibri"/>
                <w:sz w:val="22"/>
                <w:szCs w:val="22"/>
              </w:rPr>
            </w:pPr>
            <w:r w:rsidRPr="00D6050D">
              <w:rPr>
                <w:rFonts w:ascii="Calibri" w:hAnsi="Calibri" w:cs="Calibri"/>
                <w:sz w:val="22"/>
                <w:szCs w:val="22"/>
              </w:rPr>
              <w:t>622</w:t>
            </w:r>
          </w:p>
        </w:tc>
        <w:tc>
          <w:tcPr>
            <w:tcW w:w="1538" w:type="dxa"/>
          </w:tcPr>
          <w:p w14:paraId="7E8649AD" w14:textId="77777777" w:rsidR="00974443" w:rsidRPr="00D6050D" w:rsidRDefault="00974443" w:rsidP="00A35221">
            <w:pPr>
              <w:widowControl w:val="0"/>
              <w:autoSpaceDE w:val="0"/>
              <w:autoSpaceDN w:val="0"/>
              <w:spacing w:before="81"/>
              <w:ind w:left="517" w:right="641"/>
              <w:jc w:val="center"/>
              <w:rPr>
                <w:rFonts w:ascii="Calibri" w:hAnsi="Calibri" w:cs="Calibri"/>
                <w:sz w:val="22"/>
                <w:szCs w:val="22"/>
              </w:rPr>
            </w:pPr>
            <w:r w:rsidRPr="00D6050D">
              <w:rPr>
                <w:rFonts w:ascii="Calibri" w:hAnsi="Calibri" w:cs="Calibri"/>
                <w:sz w:val="22"/>
                <w:szCs w:val="22"/>
              </w:rPr>
              <w:t>882</w:t>
            </w:r>
          </w:p>
        </w:tc>
        <w:tc>
          <w:tcPr>
            <w:tcW w:w="1538" w:type="dxa"/>
          </w:tcPr>
          <w:p w14:paraId="00C563D1" w14:textId="77777777" w:rsidR="00974443" w:rsidRPr="00D6050D" w:rsidRDefault="00974443" w:rsidP="00A35221">
            <w:pPr>
              <w:widowControl w:val="0"/>
              <w:autoSpaceDE w:val="0"/>
              <w:autoSpaceDN w:val="0"/>
              <w:spacing w:before="81"/>
              <w:ind w:left="443"/>
              <w:rPr>
                <w:rFonts w:ascii="Calibri" w:hAnsi="Calibri" w:cs="Calibri"/>
                <w:sz w:val="22"/>
                <w:szCs w:val="22"/>
              </w:rPr>
            </w:pPr>
            <w:r w:rsidRPr="00D6050D">
              <w:rPr>
                <w:rFonts w:ascii="Calibri" w:hAnsi="Calibri" w:cs="Calibri"/>
                <w:sz w:val="22"/>
                <w:szCs w:val="22"/>
              </w:rPr>
              <w:t>1,129</w:t>
            </w:r>
          </w:p>
        </w:tc>
        <w:tc>
          <w:tcPr>
            <w:tcW w:w="1540" w:type="dxa"/>
          </w:tcPr>
          <w:p w14:paraId="2F93070B" w14:textId="77777777" w:rsidR="00974443" w:rsidRPr="00D6050D" w:rsidRDefault="00974443" w:rsidP="00A35221">
            <w:pPr>
              <w:widowControl w:val="0"/>
              <w:autoSpaceDE w:val="0"/>
              <w:autoSpaceDN w:val="0"/>
              <w:spacing w:before="81"/>
              <w:ind w:left="448"/>
              <w:rPr>
                <w:rFonts w:ascii="Calibri" w:hAnsi="Calibri" w:cs="Calibri"/>
                <w:sz w:val="22"/>
                <w:szCs w:val="22"/>
              </w:rPr>
            </w:pPr>
            <w:r w:rsidRPr="00D6050D">
              <w:rPr>
                <w:rFonts w:ascii="Calibri" w:hAnsi="Calibri" w:cs="Calibri"/>
                <w:sz w:val="22"/>
                <w:szCs w:val="22"/>
              </w:rPr>
              <w:t>1,270</w:t>
            </w:r>
          </w:p>
        </w:tc>
      </w:tr>
    </w:tbl>
    <w:p w14:paraId="337C8CB9" w14:textId="77777777" w:rsidR="00974443" w:rsidRPr="00D6050D" w:rsidRDefault="00974443" w:rsidP="00974443">
      <w:pPr>
        <w:spacing w:line="360" w:lineRule="auto"/>
        <w:ind w:left="567"/>
        <w:jc w:val="both"/>
        <w:textAlignment w:val="baseline"/>
        <w:rPr>
          <w:rFonts w:ascii="Calibri" w:hAnsi="Calibri" w:cs="Calibri"/>
          <w:sz w:val="22"/>
          <w:szCs w:val="22"/>
          <w:lang w:bidi="or-IN"/>
        </w:rPr>
      </w:pPr>
    </w:p>
    <w:p w14:paraId="4C2F5A97" w14:textId="77777777" w:rsidR="00974443" w:rsidRPr="00D6050D" w:rsidRDefault="00974443" w:rsidP="00974443">
      <w:pPr>
        <w:spacing w:line="360" w:lineRule="auto"/>
        <w:ind w:left="567"/>
        <w:jc w:val="both"/>
        <w:textAlignment w:val="baseline"/>
        <w:rPr>
          <w:rFonts w:ascii="Calibri" w:hAnsi="Calibri" w:cs="Calibri"/>
          <w:sz w:val="22"/>
          <w:szCs w:val="22"/>
          <w:lang w:bidi="or-IN"/>
        </w:rPr>
      </w:pPr>
      <w:r w:rsidRPr="00D6050D">
        <w:rPr>
          <w:rFonts w:ascii="Calibri" w:hAnsi="Calibri" w:cs="Calibri"/>
          <w:sz w:val="22"/>
          <w:szCs w:val="22"/>
          <w:lang w:bidi="or-IN"/>
        </w:rPr>
        <w:t xml:space="preserve">In compliance to section 39 of the Vesting order, TPNODL has proposed Capital Expenditure plan for the FY 22, FY 23, FY </w:t>
      </w:r>
      <w:r>
        <w:rPr>
          <w:rFonts w:ascii="Calibri" w:hAnsi="Calibri" w:cs="Calibri"/>
          <w:sz w:val="22"/>
          <w:szCs w:val="22"/>
          <w:lang w:bidi="or-IN"/>
        </w:rPr>
        <w:t>2</w:t>
      </w:r>
      <w:r w:rsidRPr="00D6050D">
        <w:rPr>
          <w:rFonts w:ascii="Calibri" w:hAnsi="Calibri" w:cs="Calibri"/>
          <w:sz w:val="22"/>
          <w:szCs w:val="22"/>
          <w:lang w:bidi="or-IN"/>
        </w:rPr>
        <w:t>5 &amp; FY 26 and submitted before the Hon’ble Commission. The proposal submitted by TPNODL and the Capital expenditure approved by Hon’ble Commission for the first three years of operation are furnished in the following tables:</w:t>
      </w:r>
    </w:p>
    <w:p w14:paraId="4FB33456" w14:textId="2C30E644" w:rsidR="00974443" w:rsidRDefault="00974443" w:rsidP="00974443">
      <w:pPr>
        <w:spacing w:line="360" w:lineRule="auto"/>
        <w:ind w:left="567"/>
        <w:jc w:val="both"/>
        <w:textAlignment w:val="baseline"/>
        <w:rPr>
          <w:rFonts w:ascii="Calibri" w:hAnsi="Calibri" w:cs="Calibri"/>
          <w:sz w:val="22"/>
          <w:szCs w:val="22"/>
          <w:lang w:bidi="or-IN"/>
        </w:rPr>
      </w:pPr>
    </w:p>
    <w:p w14:paraId="6AFE9372" w14:textId="436B66F6" w:rsidR="00AD1819" w:rsidRDefault="00AD1819" w:rsidP="00974443">
      <w:pPr>
        <w:spacing w:line="360" w:lineRule="auto"/>
        <w:ind w:left="567"/>
        <w:jc w:val="both"/>
        <w:textAlignment w:val="baseline"/>
        <w:rPr>
          <w:rFonts w:ascii="Calibri" w:hAnsi="Calibri" w:cs="Calibri"/>
          <w:sz w:val="22"/>
          <w:szCs w:val="22"/>
          <w:lang w:bidi="or-IN"/>
        </w:rPr>
      </w:pPr>
    </w:p>
    <w:p w14:paraId="0A59D099" w14:textId="77777777" w:rsidR="00AD1819" w:rsidRPr="00D6050D" w:rsidRDefault="00AD1819" w:rsidP="00974443">
      <w:pPr>
        <w:spacing w:line="360" w:lineRule="auto"/>
        <w:ind w:left="567"/>
        <w:jc w:val="both"/>
        <w:textAlignment w:val="baseline"/>
        <w:rPr>
          <w:rFonts w:ascii="Calibri" w:hAnsi="Calibri" w:cs="Calibri"/>
          <w:sz w:val="22"/>
          <w:szCs w:val="22"/>
          <w:lang w:bidi="or-IN"/>
        </w:rPr>
      </w:pPr>
    </w:p>
    <w:p w14:paraId="28EBAD25" w14:textId="27FE1C75" w:rsidR="00974443" w:rsidRDefault="00974443" w:rsidP="00974443">
      <w:pPr>
        <w:spacing w:line="360" w:lineRule="auto"/>
        <w:textAlignment w:val="baseline"/>
        <w:rPr>
          <w:rFonts w:ascii="Calibri" w:hAnsi="Calibri" w:cs="Calibri"/>
          <w:b/>
          <w:sz w:val="22"/>
          <w:szCs w:val="22"/>
          <w:lang w:bidi="or-IN"/>
        </w:rPr>
      </w:pPr>
      <w:r w:rsidRPr="00D6050D">
        <w:rPr>
          <w:rFonts w:ascii="Calibri" w:hAnsi="Calibri" w:cs="Calibri"/>
          <w:b/>
          <w:sz w:val="22"/>
          <w:szCs w:val="22"/>
          <w:lang w:bidi="or-IN"/>
        </w:rPr>
        <w:t xml:space="preserve">          </w:t>
      </w:r>
      <w:r w:rsidR="00AD1819">
        <w:rPr>
          <w:rFonts w:ascii="Calibri" w:hAnsi="Calibri" w:cs="Calibri"/>
          <w:b/>
          <w:sz w:val="22"/>
          <w:szCs w:val="22"/>
          <w:lang w:bidi="or-IN"/>
        </w:rPr>
        <w:t xml:space="preserve"> </w:t>
      </w:r>
      <w:r>
        <w:rPr>
          <w:rFonts w:ascii="Calibri" w:hAnsi="Calibri" w:cs="Calibri"/>
          <w:b/>
          <w:sz w:val="22"/>
          <w:szCs w:val="22"/>
          <w:lang w:bidi="or-IN"/>
        </w:rPr>
        <w:t>Table-3</w:t>
      </w:r>
      <w:r w:rsidR="00AD1819">
        <w:rPr>
          <w:rFonts w:ascii="Calibri" w:hAnsi="Calibri" w:cs="Calibri"/>
          <w:b/>
          <w:sz w:val="22"/>
          <w:szCs w:val="22"/>
          <w:lang w:bidi="or-IN"/>
        </w:rPr>
        <w:t>5</w:t>
      </w:r>
      <w:r w:rsidRPr="00D6050D">
        <w:rPr>
          <w:rFonts w:ascii="Calibri" w:hAnsi="Calibri" w:cs="Calibri"/>
          <w:b/>
          <w:sz w:val="22"/>
          <w:szCs w:val="22"/>
          <w:lang w:bidi="or-IN"/>
        </w:rPr>
        <w:t>: -Capital Expenditure Approved for FY 2021-22, FY 2022-23, FY 2023-24</w:t>
      </w:r>
      <w:r>
        <w:rPr>
          <w:rFonts w:ascii="Calibri" w:hAnsi="Calibri" w:cs="Calibri"/>
          <w:b/>
          <w:sz w:val="22"/>
          <w:szCs w:val="22"/>
          <w:lang w:bidi="or-IN"/>
        </w:rPr>
        <w:t xml:space="preserve"> &amp; FY 2024-25</w:t>
      </w:r>
    </w:p>
    <w:p w14:paraId="745E3F7A" w14:textId="77777777" w:rsidR="00974443" w:rsidRPr="00D6050D" w:rsidRDefault="00974443" w:rsidP="00974443">
      <w:pPr>
        <w:spacing w:line="360" w:lineRule="auto"/>
        <w:textAlignment w:val="baseline"/>
        <w:rPr>
          <w:rFonts w:ascii="Calibri" w:hAnsi="Calibri" w:cs="Calibri"/>
          <w:b/>
          <w:sz w:val="22"/>
          <w:szCs w:val="22"/>
          <w:lang w:bidi="or-IN"/>
        </w:rPr>
      </w:pPr>
      <w:r>
        <w:rPr>
          <w:rFonts w:ascii="Calibri" w:hAnsi="Calibri" w:cs="Calibri"/>
          <w:b/>
          <w:sz w:val="22"/>
          <w:szCs w:val="22"/>
          <w:lang w:bidi="or-IN"/>
        </w:rPr>
        <w:t xml:space="preserve">                                                                                                                                                                 (In Rs. </w:t>
      </w:r>
      <w:proofErr w:type="spellStart"/>
      <w:r>
        <w:rPr>
          <w:rFonts w:ascii="Calibri" w:hAnsi="Calibri" w:cs="Calibri"/>
          <w:b/>
          <w:sz w:val="22"/>
          <w:szCs w:val="22"/>
          <w:lang w:bidi="or-IN"/>
        </w:rPr>
        <w:t>Crs</w:t>
      </w:r>
      <w:proofErr w:type="spellEnd"/>
      <w:r>
        <w:rPr>
          <w:rFonts w:ascii="Calibri" w:hAnsi="Calibri" w:cs="Calibri"/>
          <w:b/>
          <w:sz w:val="22"/>
          <w:szCs w:val="22"/>
          <w:lang w:bidi="or-IN"/>
        </w:rPr>
        <w:t xml:space="preserve">)  </w:t>
      </w:r>
    </w:p>
    <w:tbl>
      <w:tblPr>
        <w:tblStyle w:val="TableGrid2"/>
        <w:tblW w:w="8945" w:type="dxa"/>
        <w:tblInd w:w="567" w:type="dxa"/>
        <w:tblLook w:val="04A0" w:firstRow="1" w:lastRow="0" w:firstColumn="1" w:lastColumn="0" w:noHBand="0" w:noVBand="1"/>
      </w:tblPr>
      <w:tblGrid>
        <w:gridCol w:w="2546"/>
        <w:gridCol w:w="3417"/>
        <w:gridCol w:w="2982"/>
      </w:tblGrid>
      <w:tr w:rsidR="00974443" w:rsidRPr="00D6050D" w14:paraId="7FEE6929" w14:textId="77777777" w:rsidTr="00AD1819">
        <w:trPr>
          <w:trHeight w:val="645"/>
        </w:trPr>
        <w:tc>
          <w:tcPr>
            <w:tcW w:w="2546" w:type="dxa"/>
            <w:shd w:val="clear" w:color="auto" w:fill="95B3D7" w:themeFill="accent1" w:themeFillTint="99"/>
          </w:tcPr>
          <w:p w14:paraId="5EB61FC2" w14:textId="77777777" w:rsidR="00974443" w:rsidRPr="00D6050D" w:rsidRDefault="00974443" w:rsidP="00A35221">
            <w:pPr>
              <w:spacing w:line="360" w:lineRule="auto"/>
              <w:jc w:val="center"/>
              <w:textAlignment w:val="baseline"/>
              <w:rPr>
                <w:rFonts w:ascii="Calibri" w:hAnsi="Calibri" w:cs="Calibri"/>
                <w:sz w:val="22"/>
                <w:szCs w:val="22"/>
                <w:lang w:bidi="or-IN"/>
              </w:rPr>
            </w:pPr>
            <w:r w:rsidRPr="00D6050D">
              <w:rPr>
                <w:rFonts w:ascii="Calibri" w:hAnsi="Calibri" w:cs="Calibri"/>
                <w:b/>
                <w:bCs/>
                <w:color w:val="000000"/>
                <w:sz w:val="22"/>
                <w:szCs w:val="22"/>
              </w:rPr>
              <w:t>FY</w:t>
            </w:r>
          </w:p>
        </w:tc>
        <w:tc>
          <w:tcPr>
            <w:tcW w:w="3417" w:type="dxa"/>
            <w:shd w:val="clear" w:color="auto" w:fill="95B3D7" w:themeFill="accent1" w:themeFillTint="99"/>
            <w:vAlign w:val="center"/>
          </w:tcPr>
          <w:p w14:paraId="0BED39CF" w14:textId="77777777" w:rsidR="00974443" w:rsidRPr="00AB29E1" w:rsidRDefault="00974443" w:rsidP="00A35221">
            <w:pPr>
              <w:spacing w:line="360" w:lineRule="auto"/>
              <w:jc w:val="center"/>
              <w:textAlignment w:val="baseline"/>
              <w:rPr>
                <w:rFonts w:ascii="Calibri" w:hAnsi="Calibri" w:cs="Calibri"/>
                <w:b/>
                <w:bCs/>
                <w:color w:val="000000"/>
                <w:sz w:val="22"/>
                <w:szCs w:val="22"/>
              </w:rPr>
            </w:pPr>
            <w:r w:rsidRPr="00D6050D">
              <w:rPr>
                <w:rFonts w:ascii="Calibri" w:hAnsi="Calibri" w:cs="Calibri"/>
                <w:b/>
                <w:bCs/>
                <w:color w:val="000000"/>
                <w:sz w:val="22"/>
                <w:szCs w:val="22"/>
              </w:rPr>
              <w:t>Proposed DPR   Cost</w:t>
            </w:r>
          </w:p>
        </w:tc>
        <w:tc>
          <w:tcPr>
            <w:tcW w:w="2982" w:type="dxa"/>
            <w:shd w:val="clear" w:color="auto" w:fill="95B3D7" w:themeFill="accent1" w:themeFillTint="99"/>
          </w:tcPr>
          <w:p w14:paraId="26CF75FE" w14:textId="77777777" w:rsidR="00974443" w:rsidRPr="00AB29E1" w:rsidRDefault="00974443" w:rsidP="00A35221">
            <w:pPr>
              <w:spacing w:line="360" w:lineRule="auto"/>
              <w:jc w:val="center"/>
              <w:textAlignment w:val="baseline"/>
              <w:rPr>
                <w:rFonts w:ascii="Calibri" w:hAnsi="Calibri" w:cs="Calibri"/>
                <w:b/>
                <w:bCs/>
                <w:color w:val="000000"/>
                <w:sz w:val="22"/>
                <w:szCs w:val="22"/>
              </w:rPr>
            </w:pPr>
            <w:r w:rsidRPr="00D6050D">
              <w:rPr>
                <w:rFonts w:ascii="Calibri" w:hAnsi="Calibri" w:cs="Calibri"/>
                <w:b/>
                <w:bCs/>
                <w:color w:val="000000"/>
                <w:sz w:val="22"/>
                <w:szCs w:val="22"/>
              </w:rPr>
              <w:t>OERC Approved Cost</w:t>
            </w:r>
          </w:p>
        </w:tc>
      </w:tr>
      <w:tr w:rsidR="00974443" w:rsidRPr="00D6050D" w14:paraId="7CDF6CA6" w14:textId="77777777" w:rsidTr="00AD1819">
        <w:trPr>
          <w:trHeight w:val="322"/>
        </w:trPr>
        <w:tc>
          <w:tcPr>
            <w:tcW w:w="2546" w:type="dxa"/>
          </w:tcPr>
          <w:p w14:paraId="78454C91" w14:textId="77777777" w:rsidR="00974443" w:rsidRPr="00D6050D" w:rsidRDefault="00974443" w:rsidP="00A35221">
            <w:pPr>
              <w:spacing w:line="360" w:lineRule="auto"/>
              <w:jc w:val="center"/>
              <w:textAlignment w:val="baseline"/>
              <w:rPr>
                <w:rFonts w:ascii="Calibri" w:hAnsi="Calibri" w:cs="Calibri"/>
                <w:b/>
                <w:sz w:val="22"/>
                <w:szCs w:val="22"/>
                <w:lang w:bidi="or-IN"/>
              </w:rPr>
            </w:pPr>
            <w:r w:rsidRPr="00D6050D">
              <w:rPr>
                <w:rFonts w:ascii="Calibri" w:hAnsi="Calibri" w:cs="Calibri"/>
                <w:b/>
                <w:sz w:val="22"/>
                <w:szCs w:val="22"/>
                <w:lang w:bidi="or-IN"/>
              </w:rPr>
              <w:t xml:space="preserve"> 2021-22</w:t>
            </w:r>
          </w:p>
        </w:tc>
        <w:tc>
          <w:tcPr>
            <w:tcW w:w="3417" w:type="dxa"/>
            <w:vAlign w:val="bottom"/>
          </w:tcPr>
          <w:p w14:paraId="15974E7D" w14:textId="77777777" w:rsidR="00974443" w:rsidRPr="00D6050D" w:rsidRDefault="00974443" w:rsidP="00A35221">
            <w:pPr>
              <w:spacing w:line="360" w:lineRule="auto"/>
              <w:jc w:val="center"/>
              <w:textAlignment w:val="baseline"/>
              <w:rPr>
                <w:rFonts w:ascii="Calibri" w:hAnsi="Calibri" w:cs="Calibri"/>
                <w:sz w:val="22"/>
                <w:szCs w:val="22"/>
                <w:lang w:bidi="or-IN"/>
              </w:rPr>
            </w:pPr>
            <w:r w:rsidRPr="00D6050D">
              <w:rPr>
                <w:rFonts w:ascii="Calibri" w:hAnsi="Calibri" w:cs="Calibri"/>
                <w:bCs/>
                <w:color w:val="000000"/>
                <w:sz w:val="22"/>
                <w:szCs w:val="22"/>
              </w:rPr>
              <w:t>275.4</w:t>
            </w:r>
          </w:p>
        </w:tc>
        <w:tc>
          <w:tcPr>
            <w:tcW w:w="2982" w:type="dxa"/>
            <w:vAlign w:val="bottom"/>
          </w:tcPr>
          <w:p w14:paraId="68AAD5F8" w14:textId="77777777" w:rsidR="00974443" w:rsidRPr="00D6050D" w:rsidRDefault="00974443" w:rsidP="00A35221">
            <w:pPr>
              <w:spacing w:line="360" w:lineRule="auto"/>
              <w:jc w:val="center"/>
              <w:textAlignment w:val="baseline"/>
              <w:rPr>
                <w:rFonts w:ascii="Calibri" w:hAnsi="Calibri" w:cs="Calibri"/>
                <w:sz w:val="22"/>
                <w:szCs w:val="22"/>
                <w:lang w:bidi="or-IN"/>
              </w:rPr>
            </w:pPr>
            <w:r w:rsidRPr="00D6050D">
              <w:rPr>
                <w:rFonts w:ascii="Calibri" w:hAnsi="Calibri" w:cs="Calibri"/>
                <w:bCs/>
                <w:color w:val="000000"/>
                <w:sz w:val="22"/>
                <w:szCs w:val="22"/>
              </w:rPr>
              <w:t>258.78</w:t>
            </w:r>
          </w:p>
        </w:tc>
      </w:tr>
      <w:tr w:rsidR="00974443" w:rsidRPr="00D6050D" w14:paraId="0AAEEFB8" w14:textId="77777777" w:rsidTr="00AD1819">
        <w:trPr>
          <w:trHeight w:val="322"/>
        </w:trPr>
        <w:tc>
          <w:tcPr>
            <w:tcW w:w="2546" w:type="dxa"/>
          </w:tcPr>
          <w:p w14:paraId="2258092D" w14:textId="77777777" w:rsidR="00974443" w:rsidRPr="00D6050D" w:rsidRDefault="00974443" w:rsidP="00A35221">
            <w:pPr>
              <w:spacing w:line="360" w:lineRule="auto"/>
              <w:jc w:val="center"/>
              <w:textAlignment w:val="baseline"/>
              <w:rPr>
                <w:rFonts w:ascii="Calibri" w:hAnsi="Calibri" w:cs="Calibri"/>
                <w:b/>
                <w:sz w:val="22"/>
                <w:szCs w:val="22"/>
                <w:lang w:bidi="or-IN"/>
              </w:rPr>
            </w:pPr>
            <w:r w:rsidRPr="00D6050D">
              <w:rPr>
                <w:rFonts w:ascii="Calibri" w:hAnsi="Calibri" w:cs="Calibri"/>
                <w:b/>
                <w:sz w:val="22"/>
                <w:szCs w:val="22"/>
                <w:lang w:bidi="or-IN"/>
              </w:rPr>
              <w:t>2022-23</w:t>
            </w:r>
          </w:p>
        </w:tc>
        <w:tc>
          <w:tcPr>
            <w:tcW w:w="3417" w:type="dxa"/>
            <w:vAlign w:val="bottom"/>
          </w:tcPr>
          <w:p w14:paraId="2664DA57" w14:textId="77777777" w:rsidR="00974443" w:rsidRPr="00D6050D" w:rsidRDefault="00974443" w:rsidP="00A35221">
            <w:pPr>
              <w:spacing w:line="360" w:lineRule="auto"/>
              <w:jc w:val="center"/>
              <w:textAlignment w:val="baseline"/>
              <w:rPr>
                <w:rFonts w:ascii="Calibri" w:hAnsi="Calibri" w:cs="Calibri"/>
                <w:sz w:val="22"/>
                <w:szCs w:val="22"/>
                <w:lang w:bidi="or-IN"/>
              </w:rPr>
            </w:pPr>
            <w:r w:rsidRPr="00D6050D">
              <w:rPr>
                <w:rFonts w:ascii="Calibri" w:hAnsi="Calibri" w:cs="Calibri"/>
                <w:color w:val="000000"/>
                <w:sz w:val="22"/>
                <w:szCs w:val="22"/>
              </w:rPr>
              <w:t>442.97</w:t>
            </w:r>
          </w:p>
        </w:tc>
        <w:tc>
          <w:tcPr>
            <w:tcW w:w="2982" w:type="dxa"/>
            <w:vAlign w:val="bottom"/>
          </w:tcPr>
          <w:p w14:paraId="06191107" w14:textId="77777777" w:rsidR="00974443" w:rsidRPr="00D6050D" w:rsidRDefault="00974443" w:rsidP="00A35221">
            <w:pPr>
              <w:spacing w:line="360" w:lineRule="auto"/>
              <w:jc w:val="center"/>
              <w:textAlignment w:val="baseline"/>
              <w:rPr>
                <w:rFonts w:ascii="Calibri" w:hAnsi="Calibri" w:cs="Calibri"/>
                <w:sz w:val="22"/>
                <w:szCs w:val="22"/>
                <w:lang w:bidi="or-IN"/>
              </w:rPr>
            </w:pPr>
            <w:r w:rsidRPr="00D6050D">
              <w:rPr>
                <w:rFonts w:ascii="Calibri" w:hAnsi="Calibri" w:cs="Calibri"/>
                <w:color w:val="000000"/>
                <w:sz w:val="22"/>
                <w:szCs w:val="22"/>
              </w:rPr>
              <w:t>326.54</w:t>
            </w:r>
          </w:p>
        </w:tc>
      </w:tr>
      <w:tr w:rsidR="00974443" w:rsidRPr="00D6050D" w14:paraId="4441FBEF" w14:textId="77777777" w:rsidTr="00AD1819">
        <w:trPr>
          <w:trHeight w:val="322"/>
        </w:trPr>
        <w:tc>
          <w:tcPr>
            <w:tcW w:w="2546" w:type="dxa"/>
          </w:tcPr>
          <w:p w14:paraId="742F25D4" w14:textId="77777777" w:rsidR="00974443" w:rsidRPr="00D6050D" w:rsidRDefault="00974443" w:rsidP="00A35221">
            <w:pPr>
              <w:spacing w:line="360" w:lineRule="auto"/>
              <w:jc w:val="center"/>
              <w:textAlignment w:val="baseline"/>
              <w:rPr>
                <w:rFonts w:ascii="Calibri" w:hAnsi="Calibri" w:cs="Calibri"/>
                <w:b/>
                <w:sz w:val="22"/>
                <w:szCs w:val="22"/>
                <w:lang w:bidi="or-IN"/>
              </w:rPr>
            </w:pPr>
            <w:r w:rsidRPr="00D6050D">
              <w:rPr>
                <w:rFonts w:ascii="Calibri" w:hAnsi="Calibri" w:cs="Calibri"/>
                <w:b/>
                <w:sz w:val="22"/>
                <w:szCs w:val="22"/>
                <w:lang w:bidi="or-IN"/>
              </w:rPr>
              <w:t>2023-24</w:t>
            </w:r>
          </w:p>
        </w:tc>
        <w:tc>
          <w:tcPr>
            <w:tcW w:w="3417" w:type="dxa"/>
            <w:vAlign w:val="bottom"/>
          </w:tcPr>
          <w:p w14:paraId="4FCB3ADD" w14:textId="77777777" w:rsidR="00974443" w:rsidRPr="00D6050D" w:rsidRDefault="00974443" w:rsidP="00A35221">
            <w:pPr>
              <w:spacing w:line="360" w:lineRule="auto"/>
              <w:jc w:val="center"/>
              <w:textAlignment w:val="baseline"/>
              <w:rPr>
                <w:rFonts w:ascii="Calibri" w:hAnsi="Calibri" w:cs="Calibri"/>
                <w:color w:val="000000"/>
                <w:sz w:val="22"/>
                <w:szCs w:val="22"/>
              </w:rPr>
            </w:pPr>
            <w:r w:rsidRPr="00D6050D">
              <w:rPr>
                <w:rFonts w:ascii="Calibri" w:hAnsi="Calibri" w:cs="Calibri"/>
                <w:color w:val="000000"/>
                <w:sz w:val="22"/>
                <w:szCs w:val="22"/>
              </w:rPr>
              <w:t>452.80</w:t>
            </w:r>
          </w:p>
        </w:tc>
        <w:tc>
          <w:tcPr>
            <w:tcW w:w="2982" w:type="dxa"/>
            <w:vAlign w:val="bottom"/>
          </w:tcPr>
          <w:p w14:paraId="429E0C13" w14:textId="77777777" w:rsidR="00974443" w:rsidRPr="00D6050D" w:rsidRDefault="00974443" w:rsidP="00A35221">
            <w:pPr>
              <w:spacing w:line="360" w:lineRule="auto"/>
              <w:jc w:val="center"/>
              <w:textAlignment w:val="baseline"/>
              <w:rPr>
                <w:rFonts w:ascii="Calibri" w:hAnsi="Calibri" w:cs="Calibri"/>
                <w:color w:val="000000"/>
                <w:sz w:val="22"/>
                <w:szCs w:val="22"/>
              </w:rPr>
            </w:pPr>
            <w:r w:rsidRPr="00D6050D">
              <w:rPr>
                <w:rFonts w:ascii="Calibri" w:hAnsi="Calibri" w:cs="Calibri"/>
                <w:color w:val="000000"/>
                <w:sz w:val="22"/>
                <w:szCs w:val="22"/>
              </w:rPr>
              <w:t>433.10</w:t>
            </w:r>
          </w:p>
        </w:tc>
      </w:tr>
      <w:tr w:rsidR="00974443" w:rsidRPr="00D6050D" w14:paraId="753DA032" w14:textId="77777777" w:rsidTr="00AD1819">
        <w:trPr>
          <w:trHeight w:val="322"/>
        </w:trPr>
        <w:tc>
          <w:tcPr>
            <w:tcW w:w="2546" w:type="dxa"/>
          </w:tcPr>
          <w:p w14:paraId="326AE128" w14:textId="77777777" w:rsidR="00974443" w:rsidRPr="00D6050D" w:rsidRDefault="00974443" w:rsidP="00A35221">
            <w:pPr>
              <w:spacing w:line="360" w:lineRule="auto"/>
              <w:jc w:val="center"/>
              <w:textAlignment w:val="baseline"/>
              <w:rPr>
                <w:rFonts w:ascii="Calibri" w:hAnsi="Calibri" w:cs="Calibri"/>
                <w:b/>
                <w:sz w:val="22"/>
                <w:szCs w:val="22"/>
                <w:lang w:bidi="or-IN"/>
              </w:rPr>
            </w:pPr>
            <w:r>
              <w:rPr>
                <w:rFonts w:ascii="Calibri" w:hAnsi="Calibri" w:cs="Calibri"/>
                <w:b/>
                <w:sz w:val="22"/>
                <w:szCs w:val="22"/>
                <w:lang w:bidi="or-IN"/>
              </w:rPr>
              <w:t>2024-25</w:t>
            </w:r>
          </w:p>
        </w:tc>
        <w:tc>
          <w:tcPr>
            <w:tcW w:w="3417" w:type="dxa"/>
            <w:vAlign w:val="bottom"/>
          </w:tcPr>
          <w:p w14:paraId="494C937F" w14:textId="77777777" w:rsidR="00974443" w:rsidRPr="00D6050D" w:rsidRDefault="00974443" w:rsidP="00A35221">
            <w:pPr>
              <w:spacing w:line="360" w:lineRule="auto"/>
              <w:jc w:val="center"/>
              <w:textAlignment w:val="baseline"/>
              <w:rPr>
                <w:rFonts w:ascii="Calibri" w:hAnsi="Calibri" w:cs="Calibri"/>
                <w:color w:val="000000"/>
                <w:sz w:val="22"/>
                <w:szCs w:val="22"/>
              </w:rPr>
            </w:pPr>
            <w:r>
              <w:rPr>
                <w:rFonts w:ascii="Calibri" w:hAnsi="Calibri" w:cs="Calibri"/>
                <w:color w:val="000000"/>
                <w:sz w:val="22"/>
                <w:szCs w:val="22"/>
              </w:rPr>
              <w:t>447.29</w:t>
            </w:r>
          </w:p>
        </w:tc>
        <w:tc>
          <w:tcPr>
            <w:tcW w:w="2982" w:type="dxa"/>
            <w:vAlign w:val="bottom"/>
          </w:tcPr>
          <w:p w14:paraId="19C3526B" w14:textId="77777777" w:rsidR="00974443" w:rsidRPr="00D6050D" w:rsidRDefault="00974443" w:rsidP="00A35221">
            <w:pPr>
              <w:spacing w:line="360" w:lineRule="auto"/>
              <w:jc w:val="center"/>
              <w:textAlignment w:val="baseline"/>
              <w:rPr>
                <w:rFonts w:ascii="Calibri" w:hAnsi="Calibri" w:cs="Calibri"/>
                <w:color w:val="000000"/>
                <w:sz w:val="22"/>
                <w:szCs w:val="22"/>
              </w:rPr>
            </w:pPr>
            <w:r>
              <w:rPr>
                <w:rFonts w:ascii="Calibri" w:hAnsi="Calibri" w:cs="Calibri"/>
                <w:color w:val="000000"/>
                <w:sz w:val="22"/>
                <w:szCs w:val="22"/>
              </w:rPr>
              <w:t>377.52</w:t>
            </w:r>
          </w:p>
        </w:tc>
      </w:tr>
      <w:tr w:rsidR="00974443" w:rsidRPr="00D6050D" w14:paraId="4545748D" w14:textId="77777777" w:rsidTr="00AD1819">
        <w:trPr>
          <w:trHeight w:val="322"/>
        </w:trPr>
        <w:tc>
          <w:tcPr>
            <w:tcW w:w="2546" w:type="dxa"/>
          </w:tcPr>
          <w:p w14:paraId="58378963" w14:textId="77777777" w:rsidR="00974443" w:rsidRDefault="00974443" w:rsidP="00A35221">
            <w:pPr>
              <w:spacing w:line="360" w:lineRule="auto"/>
              <w:jc w:val="center"/>
              <w:textAlignment w:val="baseline"/>
              <w:rPr>
                <w:rFonts w:ascii="Calibri" w:hAnsi="Calibri" w:cs="Calibri"/>
                <w:b/>
                <w:sz w:val="22"/>
                <w:szCs w:val="22"/>
                <w:lang w:bidi="or-IN"/>
              </w:rPr>
            </w:pPr>
            <w:r>
              <w:rPr>
                <w:rFonts w:ascii="Calibri" w:hAnsi="Calibri" w:cs="Calibri"/>
                <w:b/>
                <w:sz w:val="22"/>
                <w:szCs w:val="22"/>
                <w:lang w:bidi="or-IN"/>
              </w:rPr>
              <w:t>2025-26</w:t>
            </w:r>
          </w:p>
        </w:tc>
        <w:tc>
          <w:tcPr>
            <w:tcW w:w="3417" w:type="dxa"/>
            <w:vAlign w:val="bottom"/>
          </w:tcPr>
          <w:p w14:paraId="659E721B" w14:textId="77777777" w:rsidR="00974443" w:rsidRDefault="00974443" w:rsidP="00A35221">
            <w:pPr>
              <w:spacing w:line="360" w:lineRule="auto"/>
              <w:jc w:val="center"/>
              <w:textAlignment w:val="baseline"/>
              <w:rPr>
                <w:rFonts w:ascii="Calibri" w:hAnsi="Calibri" w:cs="Calibri"/>
                <w:color w:val="000000"/>
                <w:sz w:val="22"/>
                <w:szCs w:val="22"/>
              </w:rPr>
            </w:pPr>
            <w:r>
              <w:rPr>
                <w:rFonts w:ascii="Calibri" w:hAnsi="Calibri" w:cs="Calibri"/>
                <w:color w:val="000000"/>
                <w:sz w:val="22"/>
                <w:szCs w:val="22"/>
              </w:rPr>
              <w:t>415.65</w:t>
            </w:r>
          </w:p>
        </w:tc>
        <w:tc>
          <w:tcPr>
            <w:tcW w:w="2982" w:type="dxa"/>
            <w:vAlign w:val="bottom"/>
          </w:tcPr>
          <w:p w14:paraId="0A8C592B" w14:textId="77777777" w:rsidR="00974443" w:rsidRDefault="00974443" w:rsidP="00A35221">
            <w:pPr>
              <w:spacing w:line="360" w:lineRule="auto"/>
              <w:jc w:val="center"/>
              <w:textAlignment w:val="baseline"/>
              <w:rPr>
                <w:rFonts w:ascii="Calibri" w:hAnsi="Calibri" w:cs="Calibri"/>
                <w:color w:val="000000"/>
                <w:sz w:val="22"/>
                <w:szCs w:val="22"/>
              </w:rPr>
            </w:pPr>
            <w:r>
              <w:rPr>
                <w:rFonts w:ascii="Calibri" w:hAnsi="Calibri" w:cs="Calibri"/>
                <w:color w:val="000000"/>
                <w:sz w:val="22"/>
                <w:szCs w:val="22"/>
              </w:rPr>
              <w:t>323.85</w:t>
            </w:r>
          </w:p>
        </w:tc>
      </w:tr>
    </w:tbl>
    <w:p w14:paraId="14952C54" w14:textId="77777777" w:rsidR="00974443" w:rsidRPr="00D6050D" w:rsidRDefault="00974443" w:rsidP="00974443">
      <w:pPr>
        <w:spacing w:line="360" w:lineRule="auto"/>
        <w:ind w:left="567"/>
        <w:jc w:val="both"/>
        <w:textAlignment w:val="baseline"/>
        <w:rPr>
          <w:rFonts w:ascii="Calibri" w:hAnsi="Calibri" w:cs="Calibri"/>
          <w:sz w:val="22"/>
          <w:szCs w:val="22"/>
          <w:lang w:bidi="or-IN"/>
        </w:rPr>
      </w:pPr>
    </w:p>
    <w:p w14:paraId="39D24398" w14:textId="77777777" w:rsidR="00974443" w:rsidRPr="00D6050D" w:rsidRDefault="00974443" w:rsidP="00974443">
      <w:pPr>
        <w:spacing w:line="360" w:lineRule="auto"/>
        <w:ind w:left="567"/>
        <w:jc w:val="both"/>
        <w:rPr>
          <w:rFonts w:ascii="Calibri" w:eastAsia="Yu Gothic" w:hAnsi="Calibri" w:cs="Calibri"/>
          <w:sz w:val="22"/>
          <w:szCs w:val="22"/>
        </w:rPr>
      </w:pPr>
      <w:r w:rsidRPr="00D6050D">
        <w:rPr>
          <w:rFonts w:ascii="Calibri" w:eastAsia="Yu Gothic" w:hAnsi="Calibri" w:cs="Calibri"/>
          <w:sz w:val="22"/>
          <w:szCs w:val="22"/>
        </w:rPr>
        <w:t>In order to improve the reliability and reduce the losses, major interventions like Network reinforcement, Technology adoption is proposed in the plan so that equipment failure / tripping can be reduced and reliability, billing &amp; collection efficiency can be improved. The network demands urgent refurbishment like re-</w:t>
      </w:r>
      <w:proofErr w:type="spellStart"/>
      <w:r w:rsidRPr="00D6050D">
        <w:rPr>
          <w:rFonts w:ascii="Calibri" w:eastAsia="Yu Gothic" w:hAnsi="Calibri" w:cs="Calibri"/>
          <w:sz w:val="22"/>
          <w:szCs w:val="22"/>
        </w:rPr>
        <w:t>conductoring</w:t>
      </w:r>
      <w:proofErr w:type="spellEnd"/>
      <w:r w:rsidRPr="00D6050D">
        <w:rPr>
          <w:rFonts w:ascii="Calibri" w:eastAsia="Yu Gothic" w:hAnsi="Calibri" w:cs="Calibri"/>
          <w:sz w:val="22"/>
          <w:szCs w:val="22"/>
        </w:rPr>
        <w:t xml:space="preserve"> of feeders, optimization of feeder length, dedicated feeders for industrial/ commercial customers, replacement of damaged / tilted poles, provision of intermediate poles, replacement of joints, enhancing system protection, replacement of sick equipment and network augmentation to improve the reliability of power supply. </w:t>
      </w:r>
    </w:p>
    <w:p w14:paraId="5277F715" w14:textId="77777777" w:rsidR="00974443" w:rsidRPr="00D6050D" w:rsidRDefault="00974443" w:rsidP="00974443">
      <w:pPr>
        <w:spacing w:line="360" w:lineRule="auto"/>
        <w:ind w:left="567"/>
        <w:jc w:val="both"/>
        <w:rPr>
          <w:rFonts w:ascii="Calibri" w:eastAsia="Yu Gothic" w:hAnsi="Calibri" w:cs="Calibri"/>
          <w:sz w:val="22"/>
          <w:szCs w:val="22"/>
        </w:rPr>
      </w:pPr>
    </w:p>
    <w:p w14:paraId="5F4ECACD" w14:textId="77777777" w:rsidR="00974443" w:rsidRPr="00D6050D" w:rsidRDefault="00974443" w:rsidP="00974443">
      <w:pPr>
        <w:spacing w:line="360" w:lineRule="auto"/>
        <w:ind w:left="567"/>
        <w:jc w:val="both"/>
        <w:rPr>
          <w:rFonts w:ascii="Calibri" w:eastAsia="Yu Gothic" w:hAnsi="Calibri" w:cs="Calibri"/>
          <w:sz w:val="22"/>
          <w:szCs w:val="22"/>
        </w:rPr>
      </w:pPr>
      <w:r w:rsidRPr="00D6050D">
        <w:rPr>
          <w:rFonts w:ascii="Calibri" w:eastAsia="Yu Gothic" w:hAnsi="Calibri" w:cs="Calibri"/>
          <w:sz w:val="22"/>
          <w:szCs w:val="22"/>
        </w:rPr>
        <w:t>Introduction of advanced technologies and analytics have been prime focus area for improving the accuracy of the meter reading, curtail tampering of the meters and providing better and effective customer services. Further Business process re-engineering required to improve the customer services. Technology adoption also planned to provide quality customer services, manage revenue cycle processes for reduction of AT&amp;C losses and efficiently manage to deliver reliable and quality supply in safe manner to its consumer by meeting various standards of operation.</w:t>
      </w:r>
    </w:p>
    <w:p w14:paraId="6CC70312" w14:textId="77777777" w:rsidR="00974443" w:rsidRPr="00D6050D" w:rsidRDefault="00974443" w:rsidP="00974443">
      <w:pPr>
        <w:spacing w:line="360" w:lineRule="auto"/>
        <w:ind w:left="567"/>
        <w:jc w:val="both"/>
        <w:rPr>
          <w:rFonts w:ascii="Calibri" w:eastAsia="Yu Gothic" w:hAnsi="Calibri" w:cs="Calibri"/>
          <w:sz w:val="22"/>
          <w:szCs w:val="22"/>
        </w:rPr>
      </w:pPr>
    </w:p>
    <w:p w14:paraId="29CDB942" w14:textId="77777777" w:rsidR="00974443" w:rsidRPr="00D6050D" w:rsidRDefault="00974443" w:rsidP="00974443">
      <w:pPr>
        <w:spacing w:line="360" w:lineRule="auto"/>
        <w:ind w:left="567"/>
        <w:jc w:val="both"/>
        <w:rPr>
          <w:rFonts w:ascii="Calibri" w:eastAsia="Yu Gothic" w:hAnsi="Calibri" w:cs="Calibri"/>
          <w:sz w:val="22"/>
          <w:szCs w:val="22"/>
        </w:rPr>
      </w:pPr>
      <w:r w:rsidRPr="00D6050D">
        <w:rPr>
          <w:rFonts w:ascii="Calibri" w:eastAsia="Yu Gothic" w:hAnsi="Calibri" w:cs="Calibri"/>
          <w:sz w:val="22"/>
          <w:szCs w:val="22"/>
        </w:rPr>
        <w:t xml:space="preserve">The capital investments have been proposed under the following broad cost centers that shall be aligned with multiple initiatives and schemes so as to reduce AT&amp;C losses, improve system reliability and augment the network to support continuous load growth. Further, a need is also felt to improve the existing facilities and infrastructure to provide a better consumer experience. </w:t>
      </w:r>
    </w:p>
    <w:p w14:paraId="5448EC39" w14:textId="77777777" w:rsidR="00974443" w:rsidRPr="00D6050D" w:rsidRDefault="00974443" w:rsidP="00974443">
      <w:pPr>
        <w:spacing w:line="360" w:lineRule="auto"/>
        <w:ind w:left="567"/>
        <w:rPr>
          <w:rFonts w:ascii="Calibri" w:eastAsia="Yu Gothic" w:hAnsi="Calibri" w:cs="Calibri"/>
          <w:sz w:val="22"/>
          <w:szCs w:val="22"/>
        </w:rPr>
      </w:pPr>
    </w:p>
    <w:p w14:paraId="0C9B18FB" w14:textId="59EADD28" w:rsidR="00974443" w:rsidRDefault="00974443" w:rsidP="00974443">
      <w:pPr>
        <w:spacing w:line="360" w:lineRule="auto"/>
        <w:ind w:left="560"/>
        <w:jc w:val="both"/>
        <w:rPr>
          <w:rFonts w:ascii="Calibri" w:eastAsia="Yu Gothic" w:hAnsi="Calibri" w:cs="Calibri"/>
          <w:sz w:val="22"/>
          <w:szCs w:val="22"/>
        </w:rPr>
      </w:pPr>
      <w:r w:rsidRPr="00D6050D">
        <w:rPr>
          <w:rFonts w:ascii="Calibri" w:eastAsia="Yu Gothic" w:hAnsi="Calibri" w:cs="Calibri"/>
          <w:sz w:val="22"/>
          <w:szCs w:val="22"/>
        </w:rPr>
        <w:t>With this objective of ensuring reliable power supply and ensuring best customer services to the end consumers, TPNODL formulated the capital investment plan for the FY 202</w:t>
      </w:r>
      <w:r>
        <w:rPr>
          <w:rFonts w:ascii="Calibri" w:eastAsia="Yu Gothic" w:hAnsi="Calibri" w:cs="Calibri"/>
          <w:sz w:val="22"/>
          <w:szCs w:val="22"/>
        </w:rPr>
        <w:t>5</w:t>
      </w:r>
      <w:r w:rsidRPr="00D6050D">
        <w:rPr>
          <w:rFonts w:ascii="Calibri" w:eastAsia="Yu Gothic" w:hAnsi="Calibri" w:cs="Calibri"/>
          <w:sz w:val="22"/>
          <w:szCs w:val="22"/>
        </w:rPr>
        <w:t>-2</w:t>
      </w:r>
      <w:r>
        <w:rPr>
          <w:rFonts w:ascii="Calibri" w:eastAsia="Yu Gothic" w:hAnsi="Calibri" w:cs="Calibri"/>
          <w:sz w:val="22"/>
          <w:szCs w:val="22"/>
        </w:rPr>
        <w:t>6</w:t>
      </w:r>
      <w:r w:rsidRPr="00D6050D">
        <w:rPr>
          <w:rFonts w:ascii="Calibri" w:eastAsia="Yu Gothic" w:hAnsi="Calibri" w:cs="Calibri"/>
          <w:sz w:val="22"/>
          <w:szCs w:val="22"/>
        </w:rPr>
        <w:t xml:space="preserve"> under the major heads:</w:t>
      </w:r>
    </w:p>
    <w:p w14:paraId="223322DF" w14:textId="77777777" w:rsidR="00AD1819" w:rsidRPr="00D6050D" w:rsidRDefault="00AD1819" w:rsidP="00974443">
      <w:pPr>
        <w:spacing w:line="360" w:lineRule="auto"/>
        <w:ind w:left="560"/>
        <w:jc w:val="both"/>
        <w:rPr>
          <w:rFonts w:ascii="Calibri" w:eastAsia="Yu Gothic" w:hAnsi="Calibri" w:cs="Calibri"/>
          <w:sz w:val="22"/>
          <w:szCs w:val="22"/>
        </w:rPr>
      </w:pPr>
    </w:p>
    <w:p w14:paraId="351A1998" w14:textId="77777777" w:rsidR="00974443" w:rsidRPr="00D6050D" w:rsidRDefault="00974443" w:rsidP="00974443">
      <w:pPr>
        <w:numPr>
          <w:ilvl w:val="0"/>
          <w:numId w:val="2"/>
        </w:numPr>
        <w:tabs>
          <w:tab w:val="left" w:pos="1280"/>
        </w:tabs>
        <w:spacing w:after="160" w:line="360" w:lineRule="auto"/>
        <w:ind w:left="1280"/>
        <w:jc w:val="both"/>
        <w:rPr>
          <w:rFonts w:ascii="Calibri" w:eastAsia="Yu Gothic" w:hAnsi="Calibri" w:cs="Calibri"/>
          <w:sz w:val="22"/>
          <w:szCs w:val="22"/>
        </w:rPr>
      </w:pPr>
      <w:r w:rsidRPr="00D6050D">
        <w:rPr>
          <w:rFonts w:ascii="Calibri" w:eastAsia="Yu Gothic" w:hAnsi="Calibri" w:cs="Calibri"/>
          <w:sz w:val="22"/>
          <w:szCs w:val="22"/>
        </w:rPr>
        <w:lastRenderedPageBreak/>
        <w:t>Statutory Compliance/Safety</w:t>
      </w:r>
    </w:p>
    <w:p w14:paraId="4554AFD7" w14:textId="77777777" w:rsidR="00974443" w:rsidRPr="00D6050D" w:rsidRDefault="00974443" w:rsidP="00974443">
      <w:pPr>
        <w:numPr>
          <w:ilvl w:val="0"/>
          <w:numId w:val="2"/>
        </w:numPr>
        <w:tabs>
          <w:tab w:val="left" w:pos="1280"/>
        </w:tabs>
        <w:spacing w:after="160" w:line="360" w:lineRule="auto"/>
        <w:ind w:left="1280"/>
        <w:jc w:val="both"/>
        <w:rPr>
          <w:rFonts w:ascii="Calibri" w:eastAsia="Yu Gothic" w:hAnsi="Calibri" w:cs="Calibri"/>
          <w:sz w:val="22"/>
          <w:szCs w:val="22"/>
        </w:rPr>
      </w:pPr>
      <w:r w:rsidRPr="00D6050D">
        <w:rPr>
          <w:rFonts w:ascii="Calibri" w:eastAsia="Yu Gothic" w:hAnsi="Calibri" w:cs="Calibri"/>
          <w:sz w:val="22"/>
          <w:szCs w:val="22"/>
        </w:rPr>
        <w:t>Loss Reduction</w:t>
      </w:r>
    </w:p>
    <w:p w14:paraId="5CEA99DB" w14:textId="77777777" w:rsidR="00974443" w:rsidRPr="00D6050D" w:rsidRDefault="00974443" w:rsidP="00974443">
      <w:pPr>
        <w:numPr>
          <w:ilvl w:val="0"/>
          <w:numId w:val="3"/>
        </w:numPr>
        <w:tabs>
          <w:tab w:val="left" w:pos="1280"/>
        </w:tabs>
        <w:spacing w:after="160" w:line="360" w:lineRule="auto"/>
        <w:ind w:left="1281"/>
        <w:jc w:val="both"/>
        <w:rPr>
          <w:rFonts w:ascii="Calibri" w:eastAsia="Yu Gothic" w:hAnsi="Calibri" w:cs="Calibri"/>
          <w:sz w:val="22"/>
          <w:szCs w:val="22"/>
        </w:rPr>
      </w:pPr>
      <w:r w:rsidRPr="00D6050D">
        <w:rPr>
          <w:rFonts w:ascii="Calibri" w:eastAsia="Yu Gothic" w:hAnsi="Calibri" w:cs="Calibri"/>
          <w:sz w:val="22"/>
          <w:szCs w:val="22"/>
        </w:rPr>
        <w:t xml:space="preserve">Reliability </w:t>
      </w:r>
    </w:p>
    <w:p w14:paraId="2F1D3CBA" w14:textId="77777777" w:rsidR="00974443" w:rsidRPr="00D6050D" w:rsidRDefault="00974443" w:rsidP="00974443">
      <w:pPr>
        <w:numPr>
          <w:ilvl w:val="0"/>
          <w:numId w:val="3"/>
        </w:numPr>
        <w:tabs>
          <w:tab w:val="left" w:pos="1280"/>
        </w:tabs>
        <w:spacing w:after="160" w:line="360" w:lineRule="auto"/>
        <w:ind w:left="1281"/>
        <w:jc w:val="both"/>
        <w:rPr>
          <w:rFonts w:ascii="Calibri" w:eastAsia="Yu Gothic" w:hAnsi="Calibri" w:cs="Calibri"/>
          <w:sz w:val="22"/>
          <w:szCs w:val="22"/>
        </w:rPr>
      </w:pPr>
      <w:r w:rsidRPr="00D6050D">
        <w:rPr>
          <w:rFonts w:ascii="Calibri" w:eastAsia="Yu Gothic" w:hAnsi="Calibri" w:cs="Calibri"/>
          <w:sz w:val="22"/>
          <w:szCs w:val="22"/>
        </w:rPr>
        <w:t>Network Optimization &amp; Load Growth</w:t>
      </w:r>
    </w:p>
    <w:p w14:paraId="0FAF8111" w14:textId="77777777" w:rsidR="00974443" w:rsidRPr="00D6050D" w:rsidRDefault="00974443" w:rsidP="00974443">
      <w:pPr>
        <w:numPr>
          <w:ilvl w:val="0"/>
          <w:numId w:val="3"/>
        </w:numPr>
        <w:tabs>
          <w:tab w:val="left" w:pos="1280"/>
        </w:tabs>
        <w:spacing w:after="160" w:line="360" w:lineRule="auto"/>
        <w:ind w:left="1281"/>
        <w:jc w:val="both"/>
        <w:rPr>
          <w:rFonts w:ascii="Calibri" w:eastAsia="Yu Gothic" w:hAnsi="Calibri" w:cs="Calibri"/>
          <w:sz w:val="22"/>
          <w:szCs w:val="22"/>
        </w:rPr>
      </w:pPr>
      <w:r w:rsidRPr="00D6050D">
        <w:rPr>
          <w:rFonts w:ascii="Calibri" w:eastAsia="Yu Gothic" w:hAnsi="Calibri" w:cs="Calibri"/>
          <w:sz w:val="22"/>
          <w:szCs w:val="22"/>
        </w:rPr>
        <w:t>Technology &amp; IT</w:t>
      </w:r>
    </w:p>
    <w:p w14:paraId="5AF72651" w14:textId="77777777" w:rsidR="00974443" w:rsidRPr="00D6050D" w:rsidRDefault="00974443" w:rsidP="00974443">
      <w:pPr>
        <w:numPr>
          <w:ilvl w:val="0"/>
          <w:numId w:val="3"/>
        </w:numPr>
        <w:tabs>
          <w:tab w:val="left" w:pos="1280"/>
        </w:tabs>
        <w:spacing w:after="160" w:line="360" w:lineRule="auto"/>
        <w:ind w:left="1281"/>
        <w:jc w:val="both"/>
        <w:rPr>
          <w:rFonts w:ascii="Calibri" w:eastAsia="Yu Gothic" w:hAnsi="Calibri" w:cs="Calibri"/>
          <w:sz w:val="22"/>
          <w:szCs w:val="22"/>
        </w:rPr>
      </w:pPr>
      <w:r w:rsidRPr="00D6050D">
        <w:rPr>
          <w:rFonts w:ascii="Calibri" w:eastAsia="Yu Gothic" w:hAnsi="Calibri" w:cs="Calibri"/>
          <w:sz w:val="22"/>
          <w:szCs w:val="22"/>
        </w:rPr>
        <w:t>Civil &amp; Administration</w:t>
      </w:r>
    </w:p>
    <w:p w14:paraId="6715B2E3" w14:textId="4DFE2947" w:rsidR="00974443" w:rsidRDefault="00974443" w:rsidP="00B602FC">
      <w:pPr>
        <w:jc w:val="center"/>
        <w:rPr>
          <w:rFonts w:ascii="Calibri" w:hAnsi="Calibri" w:cs="Calibri"/>
          <w:b/>
          <w:sz w:val="22"/>
          <w:szCs w:val="22"/>
        </w:rPr>
      </w:pPr>
      <w:r>
        <w:rPr>
          <w:rFonts w:ascii="Calibri" w:hAnsi="Calibri" w:cs="Calibri"/>
          <w:b/>
          <w:sz w:val="22"/>
          <w:szCs w:val="22"/>
        </w:rPr>
        <w:t>Table-3</w:t>
      </w:r>
      <w:r w:rsidR="00AD1819">
        <w:rPr>
          <w:rFonts w:ascii="Calibri" w:hAnsi="Calibri" w:cs="Calibri"/>
          <w:b/>
          <w:sz w:val="22"/>
          <w:szCs w:val="22"/>
        </w:rPr>
        <w:t>6</w:t>
      </w:r>
      <w:r w:rsidRPr="00D6050D">
        <w:rPr>
          <w:rFonts w:ascii="Calibri" w:hAnsi="Calibri" w:cs="Calibri"/>
          <w:b/>
          <w:sz w:val="22"/>
          <w:szCs w:val="22"/>
        </w:rPr>
        <w:t xml:space="preserve">: </w:t>
      </w:r>
      <w:r>
        <w:rPr>
          <w:rFonts w:ascii="Calibri" w:hAnsi="Calibri" w:cs="Calibri"/>
          <w:b/>
          <w:sz w:val="22"/>
          <w:szCs w:val="22"/>
        </w:rPr>
        <w:t xml:space="preserve">Summary of </w:t>
      </w:r>
      <w:r w:rsidRPr="00D6050D">
        <w:rPr>
          <w:rFonts w:ascii="Calibri" w:hAnsi="Calibri" w:cs="Calibri"/>
          <w:b/>
          <w:sz w:val="22"/>
          <w:szCs w:val="22"/>
        </w:rPr>
        <w:t xml:space="preserve">Capex </w:t>
      </w:r>
      <w:r>
        <w:rPr>
          <w:rFonts w:ascii="Calibri" w:hAnsi="Calibri" w:cs="Calibri"/>
          <w:b/>
          <w:sz w:val="22"/>
          <w:szCs w:val="22"/>
        </w:rPr>
        <w:t xml:space="preserve">Proposed and Approved </w:t>
      </w:r>
      <w:r w:rsidRPr="00D6050D">
        <w:rPr>
          <w:rFonts w:ascii="Calibri" w:hAnsi="Calibri" w:cs="Calibri"/>
          <w:b/>
          <w:sz w:val="22"/>
          <w:szCs w:val="22"/>
        </w:rPr>
        <w:t>for FY 202</w:t>
      </w:r>
      <w:r>
        <w:rPr>
          <w:rFonts w:ascii="Calibri" w:hAnsi="Calibri" w:cs="Calibri"/>
          <w:b/>
          <w:sz w:val="22"/>
          <w:szCs w:val="22"/>
        </w:rPr>
        <w:t>5</w:t>
      </w:r>
      <w:r w:rsidRPr="00D6050D">
        <w:rPr>
          <w:rFonts w:ascii="Calibri" w:hAnsi="Calibri" w:cs="Calibri"/>
          <w:b/>
          <w:sz w:val="22"/>
          <w:szCs w:val="22"/>
        </w:rPr>
        <w:t>-2</w:t>
      </w:r>
      <w:r>
        <w:rPr>
          <w:rFonts w:ascii="Calibri" w:hAnsi="Calibri" w:cs="Calibri"/>
          <w:b/>
          <w:sz w:val="22"/>
          <w:szCs w:val="22"/>
        </w:rPr>
        <w:t>6</w:t>
      </w:r>
      <w:r w:rsidRPr="00D6050D">
        <w:rPr>
          <w:rFonts w:ascii="Calibri" w:hAnsi="Calibri" w:cs="Calibri"/>
          <w:b/>
          <w:sz w:val="22"/>
          <w:szCs w:val="22"/>
        </w:rPr>
        <w:t xml:space="preserve"> </w:t>
      </w:r>
      <w:r>
        <w:rPr>
          <w:rFonts w:ascii="Calibri" w:hAnsi="Calibri" w:cs="Calibri"/>
          <w:b/>
          <w:sz w:val="22"/>
          <w:szCs w:val="22"/>
        </w:rPr>
        <w:t xml:space="preserve">           </w:t>
      </w:r>
    </w:p>
    <w:p w14:paraId="467CAD05" w14:textId="77777777" w:rsidR="00974443" w:rsidRDefault="00974443" w:rsidP="00974443">
      <w:pPr>
        <w:jc w:val="center"/>
        <w:rPr>
          <w:rFonts w:ascii="Calibri" w:hAnsi="Calibri" w:cs="Calibri"/>
          <w:b/>
          <w:sz w:val="22"/>
          <w:szCs w:val="22"/>
        </w:rPr>
      </w:pPr>
    </w:p>
    <w:tbl>
      <w:tblPr>
        <w:tblW w:w="9197" w:type="dxa"/>
        <w:tblInd w:w="29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1E0" w:firstRow="1" w:lastRow="1" w:firstColumn="1" w:lastColumn="1" w:noHBand="0" w:noVBand="0"/>
      </w:tblPr>
      <w:tblGrid>
        <w:gridCol w:w="694"/>
        <w:gridCol w:w="1559"/>
        <w:gridCol w:w="4111"/>
        <w:gridCol w:w="1275"/>
        <w:gridCol w:w="1558"/>
      </w:tblGrid>
      <w:tr w:rsidR="00974443" w14:paraId="0122397D" w14:textId="77777777" w:rsidTr="00A35221">
        <w:trPr>
          <w:trHeight w:val="512"/>
        </w:trPr>
        <w:tc>
          <w:tcPr>
            <w:tcW w:w="694" w:type="dxa"/>
            <w:shd w:val="clear" w:color="auto" w:fill="95B3D7" w:themeFill="accent1" w:themeFillTint="99"/>
          </w:tcPr>
          <w:p w14:paraId="38066AA4" w14:textId="77777777" w:rsidR="00974443" w:rsidRDefault="00974443" w:rsidP="00A35221">
            <w:pPr>
              <w:pStyle w:val="TableParagraph"/>
              <w:jc w:val="center"/>
              <w:rPr>
                <w:b/>
              </w:rPr>
            </w:pPr>
          </w:p>
          <w:p w14:paraId="6935D68A" w14:textId="77777777" w:rsidR="00974443" w:rsidRDefault="00974443" w:rsidP="00A35221">
            <w:pPr>
              <w:pStyle w:val="TableParagraph"/>
              <w:jc w:val="center"/>
              <w:rPr>
                <w:b/>
              </w:rPr>
            </w:pPr>
          </w:p>
          <w:p w14:paraId="5174587A" w14:textId="77777777" w:rsidR="00974443" w:rsidRPr="00B01203" w:rsidRDefault="00974443" w:rsidP="00A35221">
            <w:pPr>
              <w:pStyle w:val="TableParagraph"/>
              <w:jc w:val="center"/>
              <w:rPr>
                <w:b/>
              </w:rPr>
            </w:pPr>
            <w:r w:rsidRPr="00B01203">
              <w:rPr>
                <w:b/>
              </w:rPr>
              <w:t>S</w:t>
            </w:r>
            <w:r>
              <w:rPr>
                <w:b/>
              </w:rPr>
              <w:t>r</w:t>
            </w:r>
            <w:r w:rsidRPr="00B01203">
              <w:rPr>
                <w:b/>
              </w:rPr>
              <w:t>. No.</w:t>
            </w:r>
          </w:p>
        </w:tc>
        <w:tc>
          <w:tcPr>
            <w:tcW w:w="1559" w:type="dxa"/>
            <w:shd w:val="clear" w:color="auto" w:fill="95B3D7" w:themeFill="accent1" w:themeFillTint="99"/>
          </w:tcPr>
          <w:p w14:paraId="7773332F" w14:textId="77777777" w:rsidR="00974443" w:rsidRDefault="00974443" w:rsidP="00A35221">
            <w:pPr>
              <w:pStyle w:val="TableParagraph"/>
              <w:jc w:val="center"/>
              <w:rPr>
                <w:b/>
              </w:rPr>
            </w:pPr>
          </w:p>
          <w:p w14:paraId="197F7D60" w14:textId="77777777" w:rsidR="00974443" w:rsidRDefault="00974443" w:rsidP="00A35221">
            <w:pPr>
              <w:pStyle w:val="TableParagraph"/>
              <w:jc w:val="center"/>
              <w:rPr>
                <w:b/>
              </w:rPr>
            </w:pPr>
          </w:p>
          <w:p w14:paraId="4AF9838C" w14:textId="77777777" w:rsidR="00974443" w:rsidRPr="00B01203" w:rsidRDefault="00974443" w:rsidP="00A35221">
            <w:pPr>
              <w:pStyle w:val="TableParagraph"/>
              <w:jc w:val="center"/>
              <w:rPr>
                <w:b/>
              </w:rPr>
            </w:pPr>
            <w:r w:rsidRPr="00B01203">
              <w:rPr>
                <w:b/>
              </w:rPr>
              <w:t>Major Category</w:t>
            </w:r>
          </w:p>
        </w:tc>
        <w:tc>
          <w:tcPr>
            <w:tcW w:w="4111" w:type="dxa"/>
            <w:shd w:val="clear" w:color="auto" w:fill="95B3D7" w:themeFill="accent1" w:themeFillTint="99"/>
          </w:tcPr>
          <w:p w14:paraId="61386A20" w14:textId="77777777" w:rsidR="00974443" w:rsidRDefault="00974443" w:rsidP="00A35221">
            <w:pPr>
              <w:pStyle w:val="TableParagraph"/>
              <w:spacing w:line="247" w:lineRule="exact"/>
              <w:ind w:left="101"/>
              <w:jc w:val="center"/>
              <w:rPr>
                <w:b/>
              </w:rPr>
            </w:pPr>
          </w:p>
          <w:p w14:paraId="4C4C266A" w14:textId="77777777" w:rsidR="00974443" w:rsidRDefault="00974443" w:rsidP="00A35221">
            <w:pPr>
              <w:pStyle w:val="TableParagraph"/>
              <w:spacing w:line="247" w:lineRule="exact"/>
              <w:ind w:left="101"/>
              <w:jc w:val="center"/>
              <w:rPr>
                <w:b/>
              </w:rPr>
            </w:pPr>
          </w:p>
          <w:p w14:paraId="206A93B7" w14:textId="77777777" w:rsidR="00974443" w:rsidRPr="00B01203" w:rsidRDefault="00974443" w:rsidP="00A35221">
            <w:pPr>
              <w:pStyle w:val="TableParagraph"/>
              <w:spacing w:line="247" w:lineRule="exact"/>
              <w:ind w:left="101"/>
              <w:jc w:val="center"/>
              <w:rPr>
                <w:b/>
              </w:rPr>
            </w:pPr>
            <w:r w:rsidRPr="00B01203">
              <w:rPr>
                <w:b/>
              </w:rPr>
              <w:t>Activity</w:t>
            </w:r>
          </w:p>
        </w:tc>
        <w:tc>
          <w:tcPr>
            <w:tcW w:w="1275" w:type="dxa"/>
            <w:shd w:val="clear" w:color="auto" w:fill="95B3D7" w:themeFill="accent1" w:themeFillTint="99"/>
          </w:tcPr>
          <w:p w14:paraId="33B199D7" w14:textId="77777777" w:rsidR="00974443" w:rsidRPr="00B01203" w:rsidRDefault="00974443" w:rsidP="00A35221">
            <w:pPr>
              <w:pStyle w:val="TableParagraph"/>
              <w:spacing w:before="123"/>
              <w:ind w:left="30" w:right="17"/>
              <w:jc w:val="center"/>
              <w:rPr>
                <w:b/>
              </w:rPr>
            </w:pPr>
            <w:r w:rsidRPr="00B01203">
              <w:rPr>
                <w:b/>
              </w:rPr>
              <w:t xml:space="preserve">Capex Proposal of TPNODL as per </w:t>
            </w:r>
            <w:proofErr w:type="spellStart"/>
            <w:r w:rsidRPr="00B01203">
              <w:rPr>
                <w:b/>
              </w:rPr>
              <w:t>BoD</w:t>
            </w:r>
            <w:proofErr w:type="spellEnd"/>
          </w:p>
        </w:tc>
        <w:tc>
          <w:tcPr>
            <w:tcW w:w="1558" w:type="dxa"/>
            <w:shd w:val="clear" w:color="auto" w:fill="95B3D7" w:themeFill="accent1" w:themeFillTint="99"/>
          </w:tcPr>
          <w:p w14:paraId="3F679616" w14:textId="77777777" w:rsidR="00974443" w:rsidRDefault="00974443" w:rsidP="00A35221">
            <w:pPr>
              <w:pStyle w:val="TableParagraph"/>
              <w:spacing w:before="123"/>
              <w:ind w:left="241"/>
              <w:jc w:val="center"/>
              <w:rPr>
                <w:b/>
              </w:rPr>
            </w:pPr>
            <w:r w:rsidRPr="00B01203">
              <w:rPr>
                <w:b/>
              </w:rPr>
              <w:t>Commission’s Approval</w:t>
            </w:r>
          </w:p>
          <w:p w14:paraId="03F5A0B0" w14:textId="77777777" w:rsidR="00974443" w:rsidRPr="00B01203" w:rsidRDefault="00974443" w:rsidP="00A35221">
            <w:pPr>
              <w:pStyle w:val="TableParagraph"/>
              <w:spacing w:before="123"/>
              <w:ind w:left="241"/>
              <w:jc w:val="center"/>
              <w:rPr>
                <w:b/>
              </w:rPr>
            </w:pPr>
            <w:r>
              <w:rPr>
                <w:b/>
              </w:rPr>
              <w:t>FY 2025-26</w:t>
            </w:r>
          </w:p>
        </w:tc>
      </w:tr>
      <w:tr w:rsidR="00974443" w14:paraId="212C6913" w14:textId="77777777" w:rsidTr="00A35221">
        <w:trPr>
          <w:trHeight w:val="280"/>
        </w:trPr>
        <w:tc>
          <w:tcPr>
            <w:tcW w:w="694" w:type="dxa"/>
            <w:vMerge w:val="restart"/>
          </w:tcPr>
          <w:p w14:paraId="190410B5" w14:textId="77777777" w:rsidR="00974443" w:rsidRPr="004417A7" w:rsidRDefault="00974443" w:rsidP="00A35221">
            <w:pPr>
              <w:pStyle w:val="TableParagraph"/>
              <w:rPr>
                <w:b/>
              </w:rPr>
            </w:pPr>
          </w:p>
          <w:p w14:paraId="4C01AE3F" w14:textId="77777777" w:rsidR="00974443" w:rsidRPr="004417A7" w:rsidRDefault="00974443" w:rsidP="00A35221">
            <w:pPr>
              <w:pStyle w:val="TableParagraph"/>
              <w:rPr>
                <w:b/>
              </w:rPr>
            </w:pPr>
          </w:p>
          <w:p w14:paraId="77867898" w14:textId="77777777" w:rsidR="00974443" w:rsidRPr="004417A7" w:rsidRDefault="00974443" w:rsidP="00A35221">
            <w:pPr>
              <w:pStyle w:val="TableParagraph"/>
              <w:rPr>
                <w:b/>
              </w:rPr>
            </w:pPr>
          </w:p>
          <w:p w14:paraId="7CCD4F4F" w14:textId="77777777" w:rsidR="00974443" w:rsidRPr="004417A7" w:rsidRDefault="00974443" w:rsidP="00A35221">
            <w:pPr>
              <w:pStyle w:val="TableParagraph"/>
              <w:rPr>
                <w:b/>
              </w:rPr>
            </w:pPr>
          </w:p>
          <w:p w14:paraId="6B687FB5" w14:textId="77777777" w:rsidR="00974443" w:rsidRPr="004417A7" w:rsidRDefault="00974443" w:rsidP="00A35221">
            <w:pPr>
              <w:pStyle w:val="TableParagraph"/>
              <w:rPr>
                <w:b/>
              </w:rPr>
            </w:pPr>
          </w:p>
          <w:p w14:paraId="22F84641" w14:textId="77777777" w:rsidR="00974443" w:rsidRPr="004417A7" w:rsidRDefault="00974443" w:rsidP="00A35221">
            <w:pPr>
              <w:pStyle w:val="TableParagraph"/>
              <w:jc w:val="center"/>
              <w:rPr>
                <w:b/>
              </w:rPr>
            </w:pPr>
            <w:r w:rsidRPr="004417A7">
              <w:rPr>
                <w:b/>
              </w:rPr>
              <w:t>1</w:t>
            </w:r>
          </w:p>
        </w:tc>
        <w:tc>
          <w:tcPr>
            <w:tcW w:w="1559" w:type="dxa"/>
            <w:vMerge w:val="restart"/>
          </w:tcPr>
          <w:p w14:paraId="29ABFD10" w14:textId="77777777" w:rsidR="00974443" w:rsidRDefault="00974443" w:rsidP="00A35221">
            <w:pPr>
              <w:pStyle w:val="TableParagraph"/>
            </w:pPr>
          </w:p>
          <w:p w14:paraId="4618134C" w14:textId="77777777" w:rsidR="00974443" w:rsidRDefault="00974443" w:rsidP="00A35221">
            <w:pPr>
              <w:pStyle w:val="TableParagraph"/>
            </w:pPr>
          </w:p>
          <w:p w14:paraId="24A92533" w14:textId="77777777" w:rsidR="00974443" w:rsidRDefault="00974443" w:rsidP="00A35221">
            <w:pPr>
              <w:pStyle w:val="TableParagraph"/>
            </w:pPr>
          </w:p>
          <w:p w14:paraId="0804E029" w14:textId="77777777" w:rsidR="00974443" w:rsidRDefault="00974443" w:rsidP="00A35221">
            <w:pPr>
              <w:pStyle w:val="TableParagraph"/>
            </w:pPr>
          </w:p>
          <w:p w14:paraId="3E183513" w14:textId="77777777" w:rsidR="00974443" w:rsidRDefault="00974443" w:rsidP="00A35221">
            <w:pPr>
              <w:pStyle w:val="TableParagraph"/>
              <w:jc w:val="center"/>
            </w:pPr>
          </w:p>
          <w:p w14:paraId="41B8EBE0" w14:textId="77777777" w:rsidR="00974443" w:rsidRDefault="00974443" w:rsidP="00A35221">
            <w:pPr>
              <w:pStyle w:val="TableParagraph"/>
              <w:jc w:val="center"/>
            </w:pPr>
            <w:r>
              <w:t>Statutory &amp; Safety</w:t>
            </w:r>
          </w:p>
        </w:tc>
        <w:tc>
          <w:tcPr>
            <w:tcW w:w="4111" w:type="dxa"/>
          </w:tcPr>
          <w:p w14:paraId="6E3DBF46" w14:textId="77777777" w:rsidR="00974443" w:rsidRDefault="00974443" w:rsidP="00A35221">
            <w:pPr>
              <w:pStyle w:val="TableParagraph"/>
              <w:spacing w:line="247" w:lineRule="exact"/>
              <w:ind w:left="101"/>
            </w:pPr>
            <w:r>
              <w:t>Safety HOTT &amp; LOTO deployment</w:t>
            </w:r>
          </w:p>
        </w:tc>
        <w:tc>
          <w:tcPr>
            <w:tcW w:w="1275" w:type="dxa"/>
          </w:tcPr>
          <w:p w14:paraId="51DFC488" w14:textId="77777777" w:rsidR="00974443" w:rsidRDefault="00974443" w:rsidP="00A35221">
            <w:pPr>
              <w:pStyle w:val="TableParagraph"/>
              <w:spacing w:before="123"/>
              <w:ind w:left="30" w:right="17"/>
              <w:jc w:val="center"/>
            </w:pPr>
            <w:r>
              <w:t>8.00</w:t>
            </w:r>
          </w:p>
        </w:tc>
        <w:tc>
          <w:tcPr>
            <w:tcW w:w="1558" w:type="dxa"/>
          </w:tcPr>
          <w:p w14:paraId="10838906" w14:textId="77777777" w:rsidR="00974443" w:rsidRDefault="00974443" w:rsidP="00A35221">
            <w:pPr>
              <w:pStyle w:val="TableParagraph"/>
              <w:spacing w:before="123"/>
              <w:ind w:left="241"/>
              <w:jc w:val="center"/>
            </w:pPr>
            <w:r>
              <w:t>6.20</w:t>
            </w:r>
          </w:p>
        </w:tc>
      </w:tr>
      <w:tr w:rsidR="00974443" w14:paraId="45E38603" w14:textId="77777777" w:rsidTr="00A35221">
        <w:trPr>
          <w:trHeight w:val="300"/>
        </w:trPr>
        <w:tc>
          <w:tcPr>
            <w:tcW w:w="694" w:type="dxa"/>
            <w:vMerge/>
          </w:tcPr>
          <w:p w14:paraId="3FC7B2BA" w14:textId="77777777" w:rsidR="00974443" w:rsidRPr="004417A7" w:rsidRDefault="00974443" w:rsidP="00A35221">
            <w:pPr>
              <w:pStyle w:val="TableParagraph"/>
              <w:rPr>
                <w:b/>
              </w:rPr>
            </w:pPr>
          </w:p>
        </w:tc>
        <w:tc>
          <w:tcPr>
            <w:tcW w:w="1559" w:type="dxa"/>
            <w:vMerge/>
          </w:tcPr>
          <w:p w14:paraId="6B206594" w14:textId="77777777" w:rsidR="00974443" w:rsidRDefault="00974443" w:rsidP="00A35221">
            <w:pPr>
              <w:pStyle w:val="TableParagraph"/>
            </w:pPr>
          </w:p>
        </w:tc>
        <w:tc>
          <w:tcPr>
            <w:tcW w:w="4111" w:type="dxa"/>
          </w:tcPr>
          <w:p w14:paraId="54E5E111" w14:textId="77777777" w:rsidR="00974443" w:rsidRDefault="00974443" w:rsidP="00A35221">
            <w:pPr>
              <w:pStyle w:val="TableParagraph"/>
              <w:spacing w:line="247" w:lineRule="exact"/>
              <w:ind w:left="101"/>
            </w:pPr>
            <w:r>
              <w:t>Fencing</w:t>
            </w:r>
            <w:r>
              <w:rPr>
                <w:spacing w:val="15"/>
              </w:rPr>
              <w:t xml:space="preserve"> </w:t>
            </w:r>
            <w:r>
              <w:t>of</w:t>
            </w:r>
            <w:r>
              <w:rPr>
                <w:spacing w:val="13"/>
              </w:rPr>
              <w:t xml:space="preserve"> </w:t>
            </w:r>
            <w:r>
              <w:t>Distribution Substations</w:t>
            </w:r>
          </w:p>
        </w:tc>
        <w:tc>
          <w:tcPr>
            <w:tcW w:w="1275" w:type="dxa"/>
          </w:tcPr>
          <w:p w14:paraId="11F81E39" w14:textId="77777777" w:rsidR="00974443" w:rsidRDefault="00974443" w:rsidP="00A35221">
            <w:pPr>
              <w:pStyle w:val="TableParagraph"/>
              <w:spacing w:before="123"/>
              <w:ind w:left="30" w:right="17"/>
              <w:jc w:val="center"/>
            </w:pPr>
            <w:r>
              <w:t>13.10</w:t>
            </w:r>
          </w:p>
        </w:tc>
        <w:tc>
          <w:tcPr>
            <w:tcW w:w="1558" w:type="dxa"/>
          </w:tcPr>
          <w:p w14:paraId="76AC2A66" w14:textId="77777777" w:rsidR="00974443" w:rsidRDefault="00974443" w:rsidP="00A35221">
            <w:pPr>
              <w:pStyle w:val="TableParagraph"/>
              <w:spacing w:before="123"/>
              <w:ind w:left="241"/>
              <w:jc w:val="center"/>
            </w:pPr>
            <w:r>
              <w:t>8.80</w:t>
            </w:r>
          </w:p>
        </w:tc>
      </w:tr>
      <w:tr w:rsidR="00974443" w14:paraId="7234F9C8" w14:textId="77777777" w:rsidTr="00A35221">
        <w:trPr>
          <w:trHeight w:val="320"/>
        </w:trPr>
        <w:tc>
          <w:tcPr>
            <w:tcW w:w="694" w:type="dxa"/>
            <w:vMerge/>
          </w:tcPr>
          <w:p w14:paraId="4498FDC7" w14:textId="77777777" w:rsidR="00974443" w:rsidRPr="004417A7" w:rsidRDefault="00974443" w:rsidP="00A35221">
            <w:pPr>
              <w:rPr>
                <w:b/>
                <w:sz w:val="2"/>
                <w:szCs w:val="2"/>
              </w:rPr>
            </w:pPr>
          </w:p>
        </w:tc>
        <w:tc>
          <w:tcPr>
            <w:tcW w:w="1559" w:type="dxa"/>
            <w:vMerge/>
          </w:tcPr>
          <w:p w14:paraId="3C4C8938" w14:textId="77777777" w:rsidR="00974443" w:rsidRDefault="00974443" w:rsidP="00A35221">
            <w:pPr>
              <w:rPr>
                <w:sz w:val="2"/>
                <w:szCs w:val="2"/>
              </w:rPr>
            </w:pPr>
          </w:p>
        </w:tc>
        <w:tc>
          <w:tcPr>
            <w:tcW w:w="4111" w:type="dxa"/>
          </w:tcPr>
          <w:p w14:paraId="5F38FF96" w14:textId="77777777" w:rsidR="00974443" w:rsidRDefault="00974443" w:rsidP="00A35221">
            <w:pPr>
              <w:pStyle w:val="TableParagraph"/>
              <w:spacing w:before="29" w:line="247" w:lineRule="auto"/>
              <w:ind w:left="101"/>
            </w:pPr>
            <w:r>
              <w:t>Boundary</w:t>
            </w:r>
            <w:r>
              <w:rPr>
                <w:spacing w:val="9"/>
              </w:rPr>
              <w:t xml:space="preserve"> </w:t>
            </w:r>
            <w:r>
              <w:t>wall</w:t>
            </w:r>
            <w:r>
              <w:rPr>
                <w:spacing w:val="12"/>
              </w:rPr>
              <w:t xml:space="preserve"> </w:t>
            </w:r>
            <w:r>
              <w:t>work</w:t>
            </w:r>
            <w:r>
              <w:rPr>
                <w:spacing w:val="14"/>
              </w:rPr>
              <w:t xml:space="preserve"> </w:t>
            </w:r>
            <w:r>
              <w:t>at</w:t>
            </w:r>
            <w:r>
              <w:rPr>
                <w:spacing w:val="12"/>
              </w:rPr>
              <w:t xml:space="preserve"> </w:t>
            </w:r>
            <w:r>
              <w:t>Primary</w:t>
            </w:r>
            <w:r>
              <w:rPr>
                <w:spacing w:val="-52"/>
              </w:rPr>
              <w:t xml:space="preserve"> </w:t>
            </w:r>
            <w:r>
              <w:t>Substations</w:t>
            </w:r>
          </w:p>
        </w:tc>
        <w:tc>
          <w:tcPr>
            <w:tcW w:w="1275" w:type="dxa"/>
          </w:tcPr>
          <w:p w14:paraId="28B1F9F5" w14:textId="77777777" w:rsidR="00974443" w:rsidRDefault="00974443" w:rsidP="00A35221">
            <w:pPr>
              <w:pStyle w:val="TableParagraph"/>
              <w:spacing w:before="161"/>
              <w:ind w:right="17"/>
            </w:pPr>
            <w:r>
              <w:t xml:space="preserve">         6.78</w:t>
            </w:r>
          </w:p>
        </w:tc>
        <w:tc>
          <w:tcPr>
            <w:tcW w:w="1558" w:type="dxa"/>
          </w:tcPr>
          <w:p w14:paraId="4ECEE506" w14:textId="77777777" w:rsidR="00974443" w:rsidRDefault="00974443" w:rsidP="00A35221">
            <w:pPr>
              <w:pStyle w:val="TableParagraph"/>
              <w:spacing w:before="161"/>
              <w:ind w:left="241"/>
              <w:jc w:val="center"/>
            </w:pPr>
            <w:r>
              <w:t>6.78</w:t>
            </w:r>
          </w:p>
        </w:tc>
      </w:tr>
      <w:tr w:rsidR="00974443" w14:paraId="54D49B60" w14:textId="77777777" w:rsidTr="00A35221">
        <w:trPr>
          <w:trHeight w:val="584"/>
        </w:trPr>
        <w:tc>
          <w:tcPr>
            <w:tcW w:w="694" w:type="dxa"/>
            <w:vMerge/>
          </w:tcPr>
          <w:p w14:paraId="755F6F5B" w14:textId="77777777" w:rsidR="00974443" w:rsidRPr="004417A7" w:rsidRDefault="00974443" w:rsidP="00A35221">
            <w:pPr>
              <w:rPr>
                <w:b/>
                <w:sz w:val="2"/>
                <w:szCs w:val="2"/>
              </w:rPr>
            </w:pPr>
          </w:p>
        </w:tc>
        <w:tc>
          <w:tcPr>
            <w:tcW w:w="1559" w:type="dxa"/>
            <w:vMerge/>
          </w:tcPr>
          <w:p w14:paraId="693FE014" w14:textId="77777777" w:rsidR="00974443" w:rsidRDefault="00974443" w:rsidP="00A35221">
            <w:pPr>
              <w:rPr>
                <w:sz w:val="2"/>
                <w:szCs w:val="2"/>
              </w:rPr>
            </w:pPr>
          </w:p>
        </w:tc>
        <w:tc>
          <w:tcPr>
            <w:tcW w:w="4111" w:type="dxa"/>
          </w:tcPr>
          <w:p w14:paraId="5284605E" w14:textId="77777777" w:rsidR="00974443" w:rsidRDefault="00974443" w:rsidP="00A35221">
            <w:pPr>
              <w:pStyle w:val="TableParagraph"/>
              <w:spacing w:before="29" w:line="247" w:lineRule="auto"/>
              <w:ind w:left="101"/>
              <w:rPr>
                <w:b/>
              </w:rPr>
            </w:pPr>
            <w:r>
              <w:t>Fire</w:t>
            </w:r>
            <w:r>
              <w:rPr>
                <w:spacing w:val="8"/>
              </w:rPr>
              <w:t xml:space="preserve"> </w:t>
            </w:r>
            <w:r>
              <w:t>wall</w:t>
            </w:r>
            <w:r>
              <w:rPr>
                <w:spacing w:val="7"/>
              </w:rPr>
              <w:t xml:space="preserve"> </w:t>
            </w:r>
            <w:r>
              <w:t>for</w:t>
            </w:r>
            <w:r>
              <w:rPr>
                <w:spacing w:val="10"/>
              </w:rPr>
              <w:t xml:space="preserve"> </w:t>
            </w:r>
            <w:r>
              <w:t>PTR</w:t>
            </w:r>
            <w:r>
              <w:rPr>
                <w:spacing w:val="10"/>
              </w:rPr>
              <w:t xml:space="preserve"> </w:t>
            </w:r>
            <w:r>
              <w:t>between</w:t>
            </w:r>
            <w:r>
              <w:rPr>
                <w:spacing w:val="10"/>
              </w:rPr>
              <w:t xml:space="preserve"> </w:t>
            </w:r>
            <w:r>
              <w:t>the</w:t>
            </w:r>
            <w:r>
              <w:rPr>
                <w:spacing w:val="-52"/>
              </w:rPr>
              <w:t xml:space="preserve"> </w:t>
            </w:r>
            <w:r>
              <w:t>PTRs</w:t>
            </w:r>
            <w:r>
              <w:rPr>
                <w:spacing w:val="5"/>
              </w:rPr>
              <w:t xml:space="preserve"> </w:t>
            </w:r>
            <w:r>
              <w:rPr>
                <w:b/>
              </w:rPr>
              <w:t>"6Mtr*8Mtr"</w:t>
            </w:r>
          </w:p>
        </w:tc>
        <w:tc>
          <w:tcPr>
            <w:tcW w:w="1275" w:type="dxa"/>
          </w:tcPr>
          <w:p w14:paraId="3B71CEB7" w14:textId="77777777" w:rsidR="00974443" w:rsidRDefault="00974443" w:rsidP="00A35221">
            <w:pPr>
              <w:pStyle w:val="TableParagraph"/>
              <w:spacing w:before="161"/>
              <w:ind w:left="30" w:right="17"/>
              <w:jc w:val="center"/>
            </w:pPr>
            <w:r>
              <w:t>1.21</w:t>
            </w:r>
          </w:p>
        </w:tc>
        <w:tc>
          <w:tcPr>
            <w:tcW w:w="1558" w:type="dxa"/>
          </w:tcPr>
          <w:p w14:paraId="181410C9" w14:textId="77777777" w:rsidR="00974443" w:rsidRDefault="00974443" w:rsidP="00A35221">
            <w:pPr>
              <w:pStyle w:val="TableParagraph"/>
              <w:spacing w:before="161"/>
              <w:ind w:left="241"/>
              <w:jc w:val="center"/>
            </w:pPr>
            <w:r>
              <w:t>1.21</w:t>
            </w:r>
          </w:p>
        </w:tc>
      </w:tr>
      <w:tr w:rsidR="00974443" w14:paraId="327E6875" w14:textId="77777777" w:rsidTr="00A35221">
        <w:trPr>
          <w:trHeight w:val="277"/>
        </w:trPr>
        <w:tc>
          <w:tcPr>
            <w:tcW w:w="694" w:type="dxa"/>
            <w:vMerge/>
          </w:tcPr>
          <w:p w14:paraId="7B59A017" w14:textId="77777777" w:rsidR="00974443" w:rsidRPr="004417A7" w:rsidRDefault="00974443" w:rsidP="00A35221">
            <w:pPr>
              <w:rPr>
                <w:b/>
                <w:sz w:val="2"/>
                <w:szCs w:val="2"/>
              </w:rPr>
            </w:pPr>
          </w:p>
        </w:tc>
        <w:tc>
          <w:tcPr>
            <w:tcW w:w="1559" w:type="dxa"/>
            <w:vMerge/>
          </w:tcPr>
          <w:p w14:paraId="385F99FA" w14:textId="77777777" w:rsidR="00974443" w:rsidRDefault="00974443" w:rsidP="00A35221">
            <w:pPr>
              <w:rPr>
                <w:sz w:val="2"/>
                <w:szCs w:val="2"/>
              </w:rPr>
            </w:pPr>
          </w:p>
        </w:tc>
        <w:tc>
          <w:tcPr>
            <w:tcW w:w="4111" w:type="dxa"/>
          </w:tcPr>
          <w:p w14:paraId="46A2DCF8" w14:textId="77777777" w:rsidR="00974443" w:rsidRDefault="00974443" w:rsidP="00A35221">
            <w:pPr>
              <w:pStyle w:val="TableParagraph"/>
              <w:spacing w:line="247" w:lineRule="exact"/>
              <w:ind w:left="101"/>
            </w:pPr>
            <w:r>
              <w:t>Defective</w:t>
            </w:r>
            <w:r>
              <w:rPr>
                <w:spacing w:val="14"/>
              </w:rPr>
              <w:t xml:space="preserve"> </w:t>
            </w:r>
            <w:r>
              <w:t>service</w:t>
            </w:r>
            <w:r>
              <w:rPr>
                <w:spacing w:val="13"/>
              </w:rPr>
              <w:t xml:space="preserve"> </w:t>
            </w:r>
            <w:r>
              <w:t>cable replacement</w:t>
            </w:r>
          </w:p>
        </w:tc>
        <w:tc>
          <w:tcPr>
            <w:tcW w:w="1275" w:type="dxa"/>
          </w:tcPr>
          <w:p w14:paraId="7103E511" w14:textId="77777777" w:rsidR="00974443" w:rsidRDefault="00974443" w:rsidP="00A35221">
            <w:pPr>
              <w:pStyle w:val="TableParagraph"/>
              <w:spacing w:before="125"/>
              <w:ind w:left="30" w:right="17"/>
              <w:jc w:val="center"/>
            </w:pPr>
            <w:r>
              <w:t>7.50</w:t>
            </w:r>
          </w:p>
        </w:tc>
        <w:tc>
          <w:tcPr>
            <w:tcW w:w="1558" w:type="dxa"/>
          </w:tcPr>
          <w:p w14:paraId="3D77A840" w14:textId="77777777" w:rsidR="00974443" w:rsidRDefault="00974443" w:rsidP="00A35221">
            <w:pPr>
              <w:pStyle w:val="TableParagraph"/>
              <w:spacing w:before="125"/>
              <w:ind w:left="241"/>
              <w:jc w:val="center"/>
            </w:pPr>
            <w:r>
              <w:t>5.00</w:t>
            </w:r>
          </w:p>
        </w:tc>
      </w:tr>
      <w:tr w:rsidR="00974443" w14:paraId="5D83E933" w14:textId="77777777" w:rsidTr="00A35221">
        <w:trPr>
          <w:trHeight w:val="500"/>
        </w:trPr>
        <w:tc>
          <w:tcPr>
            <w:tcW w:w="694" w:type="dxa"/>
            <w:vMerge/>
          </w:tcPr>
          <w:p w14:paraId="367A15BD" w14:textId="77777777" w:rsidR="00974443" w:rsidRPr="004417A7" w:rsidRDefault="00974443" w:rsidP="00A35221">
            <w:pPr>
              <w:rPr>
                <w:b/>
                <w:sz w:val="2"/>
                <w:szCs w:val="2"/>
              </w:rPr>
            </w:pPr>
          </w:p>
        </w:tc>
        <w:tc>
          <w:tcPr>
            <w:tcW w:w="1559" w:type="dxa"/>
            <w:vMerge/>
          </w:tcPr>
          <w:p w14:paraId="04A0C736" w14:textId="77777777" w:rsidR="00974443" w:rsidRDefault="00974443" w:rsidP="00A35221">
            <w:pPr>
              <w:rPr>
                <w:sz w:val="2"/>
                <w:szCs w:val="2"/>
              </w:rPr>
            </w:pPr>
          </w:p>
        </w:tc>
        <w:tc>
          <w:tcPr>
            <w:tcW w:w="4111" w:type="dxa"/>
          </w:tcPr>
          <w:p w14:paraId="27070409" w14:textId="77777777" w:rsidR="00974443" w:rsidRDefault="00974443" w:rsidP="00A35221">
            <w:pPr>
              <w:pStyle w:val="TableParagraph"/>
              <w:spacing w:before="32" w:line="244" w:lineRule="auto"/>
              <w:ind w:left="101"/>
            </w:pPr>
            <w:proofErr w:type="spellStart"/>
            <w:r>
              <w:t>Graval</w:t>
            </w:r>
            <w:proofErr w:type="spellEnd"/>
            <w:r>
              <w:rPr>
                <w:spacing w:val="14"/>
              </w:rPr>
              <w:t xml:space="preserve"> </w:t>
            </w:r>
            <w:r>
              <w:t>Filling</w:t>
            </w:r>
            <w:r>
              <w:rPr>
                <w:spacing w:val="10"/>
              </w:rPr>
              <w:t xml:space="preserve"> </w:t>
            </w:r>
            <w:r>
              <w:t>and</w:t>
            </w:r>
            <w:r>
              <w:rPr>
                <w:spacing w:val="13"/>
              </w:rPr>
              <w:t xml:space="preserve"> </w:t>
            </w:r>
            <w:r>
              <w:t>S-Yard</w:t>
            </w:r>
            <w:r>
              <w:rPr>
                <w:spacing w:val="-52"/>
              </w:rPr>
              <w:t xml:space="preserve"> </w:t>
            </w:r>
            <w:r>
              <w:t>Development</w:t>
            </w:r>
            <w:r>
              <w:rPr>
                <w:spacing w:val="4"/>
              </w:rPr>
              <w:t xml:space="preserve"> </w:t>
            </w:r>
            <w:r>
              <w:t>in</w:t>
            </w:r>
            <w:r>
              <w:rPr>
                <w:spacing w:val="3"/>
              </w:rPr>
              <w:t xml:space="preserve"> </w:t>
            </w:r>
            <w:r>
              <w:t>PSS</w:t>
            </w:r>
          </w:p>
        </w:tc>
        <w:tc>
          <w:tcPr>
            <w:tcW w:w="1275" w:type="dxa"/>
          </w:tcPr>
          <w:p w14:paraId="5332A78F" w14:textId="77777777" w:rsidR="00974443" w:rsidRDefault="00974443" w:rsidP="00A35221">
            <w:pPr>
              <w:pStyle w:val="TableParagraph"/>
              <w:spacing w:before="161"/>
              <w:ind w:left="30" w:right="17"/>
              <w:jc w:val="center"/>
            </w:pPr>
            <w:r>
              <w:t>2.32</w:t>
            </w:r>
          </w:p>
        </w:tc>
        <w:tc>
          <w:tcPr>
            <w:tcW w:w="1558" w:type="dxa"/>
          </w:tcPr>
          <w:p w14:paraId="5952EE11" w14:textId="77777777" w:rsidR="00974443" w:rsidRDefault="00974443" w:rsidP="00A35221">
            <w:pPr>
              <w:pStyle w:val="TableParagraph"/>
              <w:spacing w:before="161"/>
              <w:ind w:left="241"/>
              <w:jc w:val="center"/>
            </w:pPr>
            <w:r>
              <w:t>2.32</w:t>
            </w:r>
          </w:p>
        </w:tc>
      </w:tr>
      <w:tr w:rsidR="00974443" w14:paraId="0CD1BFC5" w14:textId="77777777" w:rsidTr="00A35221">
        <w:trPr>
          <w:trHeight w:val="294"/>
        </w:trPr>
        <w:tc>
          <w:tcPr>
            <w:tcW w:w="694" w:type="dxa"/>
            <w:vMerge/>
          </w:tcPr>
          <w:p w14:paraId="2896405E" w14:textId="77777777" w:rsidR="00974443" w:rsidRPr="004417A7" w:rsidRDefault="00974443" w:rsidP="00A35221">
            <w:pPr>
              <w:rPr>
                <w:b/>
                <w:sz w:val="2"/>
                <w:szCs w:val="2"/>
              </w:rPr>
            </w:pPr>
          </w:p>
        </w:tc>
        <w:tc>
          <w:tcPr>
            <w:tcW w:w="1559" w:type="dxa"/>
            <w:vMerge/>
          </w:tcPr>
          <w:p w14:paraId="27300CC6" w14:textId="77777777" w:rsidR="00974443" w:rsidRDefault="00974443" w:rsidP="00A35221">
            <w:pPr>
              <w:rPr>
                <w:sz w:val="2"/>
                <w:szCs w:val="2"/>
              </w:rPr>
            </w:pPr>
          </w:p>
        </w:tc>
        <w:tc>
          <w:tcPr>
            <w:tcW w:w="4111" w:type="dxa"/>
          </w:tcPr>
          <w:p w14:paraId="7966CB5D" w14:textId="77777777" w:rsidR="00974443" w:rsidRDefault="00974443" w:rsidP="00A35221">
            <w:pPr>
              <w:pStyle w:val="TableParagraph"/>
              <w:spacing w:before="13"/>
              <w:ind w:left="101"/>
              <w:rPr>
                <w:b/>
              </w:rPr>
            </w:pPr>
            <w:r>
              <w:rPr>
                <w:b/>
              </w:rPr>
              <w:t>Sub</w:t>
            </w:r>
            <w:r>
              <w:rPr>
                <w:b/>
                <w:spacing w:val="13"/>
              </w:rPr>
              <w:t xml:space="preserve"> </w:t>
            </w:r>
            <w:r>
              <w:rPr>
                <w:b/>
              </w:rPr>
              <w:t>Total:</w:t>
            </w:r>
            <w:r>
              <w:rPr>
                <w:b/>
                <w:spacing w:val="14"/>
              </w:rPr>
              <w:t xml:space="preserve"> </w:t>
            </w:r>
            <w:r>
              <w:rPr>
                <w:b/>
              </w:rPr>
              <w:t>Statutory</w:t>
            </w:r>
            <w:r>
              <w:rPr>
                <w:b/>
                <w:spacing w:val="13"/>
              </w:rPr>
              <w:t xml:space="preserve"> </w:t>
            </w:r>
            <w:r>
              <w:rPr>
                <w:b/>
              </w:rPr>
              <w:t>&amp;</w:t>
            </w:r>
            <w:r>
              <w:rPr>
                <w:b/>
                <w:spacing w:val="9"/>
              </w:rPr>
              <w:t xml:space="preserve"> </w:t>
            </w:r>
            <w:r>
              <w:rPr>
                <w:b/>
              </w:rPr>
              <w:t>Safety</w:t>
            </w:r>
          </w:p>
        </w:tc>
        <w:tc>
          <w:tcPr>
            <w:tcW w:w="1275" w:type="dxa"/>
          </w:tcPr>
          <w:p w14:paraId="77949AE7" w14:textId="77777777" w:rsidR="00974443" w:rsidRDefault="00974443" w:rsidP="00A35221">
            <w:pPr>
              <w:pStyle w:val="TableParagraph"/>
              <w:spacing w:before="13"/>
              <w:ind w:left="30" w:right="17"/>
              <w:jc w:val="center"/>
              <w:rPr>
                <w:b/>
              </w:rPr>
            </w:pPr>
            <w:r>
              <w:rPr>
                <w:b/>
              </w:rPr>
              <w:t>38.91</w:t>
            </w:r>
          </w:p>
        </w:tc>
        <w:tc>
          <w:tcPr>
            <w:tcW w:w="1558" w:type="dxa"/>
          </w:tcPr>
          <w:p w14:paraId="1B079452" w14:textId="77777777" w:rsidR="00974443" w:rsidRDefault="00974443" w:rsidP="00A35221">
            <w:pPr>
              <w:pStyle w:val="TableParagraph"/>
              <w:spacing w:before="13"/>
              <w:ind w:left="184"/>
              <w:jc w:val="center"/>
              <w:rPr>
                <w:b/>
              </w:rPr>
            </w:pPr>
            <w:r>
              <w:rPr>
                <w:b/>
              </w:rPr>
              <w:t>30.31</w:t>
            </w:r>
          </w:p>
        </w:tc>
      </w:tr>
      <w:tr w:rsidR="00974443" w14:paraId="3D462DC9" w14:textId="77777777" w:rsidTr="00A35221">
        <w:trPr>
          <w:trHeight w:val="584"/>
        </w:trPr>
        <w:tc>
          <w:tcPr>
            <w:tcW w:w="694" w:type="dxa"/>
            <w:vMerge w:val="restart"/>
          </w:tcPr>
          <w:p w14:paraId="65B6A1F6" w14:textId="77777777" w:rsidR="00974443" w:rsidRPr="004417A7" w:rsidRDefault="00974443" w:rsidP="00A35221">
            <w:pPr>
              <w:pStyle w:val="TableParagraph"/>
              <w:rPr>
                <w:b/>
                <w:sz w:val="24"/>
              </w:rPr>
            </w:pPr>
          </w:p>
          <w:p w14:paraId="2A703974" w14:textId="77777777" w:rsidR="00974443" w:rsidRPr="004417A7" w:rsidRDefault="00974443" w:rsidP="00A35221">
            <w:pPr>
              <w:pStyle w:val="TableParagraph"/>
              <w:rPr>
                <w:b/>
                <w:sz w:val="24"/>
              </w:rPr>
            </w:pPr>
          </w:p>
          <w:p w14:paraId="2E58DDE0" w14:textId="77777777" w:rsidR="00974443" w:rsidRPr="004417A7" w:rsidRDefault="00974443" w:rsidP="00A35221">
            <w:pPr>
              <w:pStyle w:val="TableParagraph"/>
              <w:rPr>
                <w:b/>
                <w:sz w:val="24"/>
              </w:rPr>
            </w:pPr>
          </w:p>
          <w:p w14:paraId="22449FD6" w14:textId="77777777" w:rsidR="00974443" w:rsidRPr="004417A7" w:rsidRDefault="00974443" w:rsidP="00A35221">
            <w:pPr>
              <w:pStyle w:val="TableParagraph"/>
              <w:spacing w:before="178"/>
              <w:ind w:left="9"/>
              <w:jc w:val="center"/>
              <w:rPr>
                <w:b/>
              </w:rPr>
            </w:pPr>
            <w:r w:rsidRPr="004417A7">
              <w:rPr>
                <w:b/>
                <w:w w:val="102"/>
              </w:rPr>
              <w:t>2</w:t>
            </w:r>
          </w:p>
        </w:tc>
        <w:tc>
          <w:tcPr>
            <w:tcW w:w="1559" w:type="dxa"/>
            <w:vMerge w:val="restart"/>
          </w:tcPr>
          <w:p w14:paraId="3DB496D4" w14:textId="77777777" w:rsidR="00974443" w:rsidRDefault="00974443" w:rsidP="00A35221">
            <w:pPr>
              <w:pStyle w:val="TableParagraph"/>
              <w:rPr>
                <w:b/>
                <w:sz w:val="24"/>
              </w:rPr>
            </w:pPr>
          </w:p>
          <w:p w14:paraId="540B24CC" w14:textId="77777777" w:rsidR="00974443" w:rsidRDefault="00974443" w:rsidP="00A35221">
            <w:pPr>
              <w:pStyle w:val="TableParagraph"/>
              <w:rPr>
                <w:b/>
                <w:sz w:val="24"/>
              </w:rPr>
            </w:pPr>
          </w:p>
          <w:p w14:paraId="4A8F8186" w14:textId="77777777" w:rsidR="00974443" w:rsidRDefault="00974443" w:rsidP="00A35221">
            <w:pPr>
              <w:pStyle w:val="TableParagraph"/>
              <w:spacing w:before="5"/>
              <w:rPr>
                <w:b/>
                <w:sz w:val="28"/>
              </w:rPr>
            </w:pPr>
          </w:p>
          <w:p w14:paraId="7E68BC3B" w14:textId="77777777" w:rsidR="00974443" w:rsidRDefault="00974443" w:rsidP="00A35221">
            <w:pPr>
              <w:pStyle w:val="TableParagraph"/>
              <w:spacing w:line="244" w:lineRule="auto"/>
              <w:ind w:left="319" w:firstLine="252"/>
            </w:pPr>
            <w:r>
              <w:t>Loss</w:t>
            </w:r>
            <w:r>
              <w:rPr>
                <w:spacing w:val="1"/>
              </w:rPr>
              <w:t xml:space="preserve"> </w:t>
            </w:r>
            <w:r>
              <w:t>Reduction</w:t>
            </w:r>
          </w:p>
        </w:tc>
        <w:tc>
          <w:tcPr>
            <w:tcW w:w="4111" w:type="dxa"/>
          </w:tcPr>
          <w:p w14:paraId="130A1960" w14:textId="77777777" w:rsidR="00974443" w:rsidRDefault="00974443" w:rsidP="00A35221">
            <w:pPr>
              <w:pStyle w:val="TableParagraph"/>
              <w:spacing w:before="29" w:line="244" w:lineRule="auto"/>
              <w:ind w:left="101" w:right="968"/>
            </w:pPr>
            <w:r>
              <w:t>Conversion</w:t>
            </w:r>
            <w:r>
              <w:rPr>
                <w:spacing w:val="6"/>
              </w:rPr>
              <w:t xml:space="preserve"> </w:t>
            </w:r>
            <w:r>
              <w:t>of</w:t>
            </w:r>
            <w:r>
              <w:rPr>
                <w:spacing w:val="9"/>
              </w:rPr>
              <w:t xml:space="preserve"> </w:t>
            </w:r>
            <w:r>
              <w:t>LT</w:t>
            </w:r>
            <w:r>
              <w:rPr>
                <w:spacing w:val="12"/>
              </w:rPr>
              <w:t xml:space="preserve"> </w:t>
            </w:r>
            <w:r>
              <w:t>Bare</w:t>
            </w:r>
            <w:r>
              <w:rPr>
                <w:spacing w:val="-52"/>
              </w:rPr>
              <w:t xml:space="preserve"> </w:t>
            </w:r>
            <w:r>
              <w:t>conductor</w:t>
            </w:r>
            <w:r>
              <w:rPr>
                <w:spacing w:val="14"/>
              </w:rPr>
              <w:t xml:space="preserve"> </w:t>
            </w:r>
            <w:r>
              <w:t>to</w:t>
            </w:r>
            <w:r>
              <w:rPr>
                <w:spacing w:val="15"/>
              </w:rPr>
              <w:t xml:space="preserve"> </w:t>
            </w:r>
            <w:r>
              <w:t>AB</w:t>
            </w:r>
            <w:r>
              <w:rPr>
                <w:spacing w:val="14"/>
              </w:rPr>
              <w:t xml:space="preserve"> </w:t>
            </w:r>
            <w:r>
              <w:t>Cable</w:t>
            </w:r>
          </w:p>
        </w:tc>
        <w:tc>
          <w:tcPr>
            <w:tcW w:w="1275" w:type="dxa"/>
          </w:tcPr>
          <w:p w14:paraId="057C27C2" w14:textId="77777777" w:rsidR="00974443" w:rsidRDefault="00974443" w:rsidP="00A35221">
            <w:pPr>
              <w:pStyle w:val="TableParagraph"/>
              <w:spacing w:before="159"/>
              <w:ind w:left="30" w:right="17"/>
              <w:jc w:val="center"/>
            </w:pPr>
            <w:r>
              <w:t>34.70</w:t>
            </w:r>
          </w:p>
        </w:tc>
        <w:tc>
          <w:tcPr>
            <w:tcW w:w="1558" w:type="dxa"/>
          </w:tcPr>
          <w:p w14:paraId="070DF394" w14:textId="77777777" w:rsidR="00974443" w:rsidRDefault="00974443" w:rsidP="00A35221">
            <w:pPr>
              <w:pStyle w:val="TableParagraph"/>
              <w:spacing w:before="170"/>
              <w:ind w:left="205"/>
              <w:jc w:val="center"/>
              <w:rPr>
                <w:sz w:val="20"/>
              </w:rPr>
            </w:pPr>
            <w:r>
              <w:rPr>
                <w:w w:val="105"/>
                <w:sz w:val="20"/>
              </w:rPr>
              <w:t>34.70</w:t>
            </w:r>
          </w:p>
        </w:tc>
      </w:tr>
      <w:tr w:rsidR="00974443" w14:paraId="0C94E1BC" w14:textId="77777777" w:rsidTr="00A35221">
        <w:trPr>
          <w:trHeight w:val="586"/>
        </w:trPr>
        <w:tc>
          <w:tcPr>
            <w:tcW w:w="694" w:type="dxa"/>
            <w:vMerge/>
          </w:tcPr>
          <w:p w14:paraId="48575AA0" w14:textId="77777777" w:rsidR="00974443" w:rsidRPr="004417A7" w:rsidRDefault="00974443" w:rsidP="00A35221">
            <w:pPr>
              <w:rPr>
                <w:b/>
                <w:sz w:val="2"/>
                <w:szCs w:val="2"/>
              </w:rPr>
            </w:pPr>
          </w:p>
        </w:tc>
        <w:tc>
          <w:tcPr>
            <w:tcW w:w="1559" w:type="dxa"/>
            <w:vMerge/>
          </w:tcPr>
          <w:p w14:paraId="5A3C8776" w14:textId="77777777" w:rsidR="00974443" w:rsidRDefault="00974443" w:rsidP="00A35221">
            <w:pPr>
              <w:rPr>
                <w:sz w:val="2"/>
                <w:szCs w:val="2"/>
              </w:rPr>
            </w:pPr>
          </w:p>
        </w:tc>
        <w:tc>
          <w:tcPr>
            <w:tcW w:w="4111" w:type="dxa"/>
          </w:tcPr>
          <w:p w14:paraId="5F25A3D0" w14:textId="77777777" w:rsidR="00974443" w:rsidRDefault="00974443" w:rsidP="00A35221">
            <w:pPr>
              <w:pStyle w:val="TableParagraph"/>
              <w:spacing w:before="32" w:line="244" w:lineRule="auto"/>
              <w:ind w:left="101"/>
            </w:pPr>
            <w:r>
              <w:t>Meters</w:t>
            </w:r>
            <w:r>
              <w:rPr>
                <w:spacing w:val="16"/>
              </w:rPr>
              <w:t xml:space="preserve"> </w:t>
            </w:r>
            <w:r>
              <w:t>and</w:t>
            </w:r>
            <w:r>
              <w:rPr>
                <w:spacing w:val="16"/>
              </w:rPr>
              <w:t xml:space="preserve"> </w:t>
            </w:r>
            <w:r>
              <w:t>metering</w:t>
            </w:r>
            <w:r>
              <w:rPr>
                <w:spacing w:val="16"/>
              </w:rPr>
              <w:t xml:space="preserve"> </w:t>
            </w:r>
            <w:r>
              <w:t>equipment</w:t>
            </w:r>
            <w:r>
              <w:rPr>
                <w:spacing w:val="-52"/>
              </w:rPr>
              <w:t xml:space="preserve"> </w:t>
            </w:r>
            <w:r>
              <w:t>for</w:t>
            </w:r>
            <w:r>
              <w:rPr>
                <w:spacing w:val="2"/>
              </w:rPr>
              <w:t xml:space="preserve"> </w:t>
            </w:r>
            <w:r>
              <w:t>energy audit</w:t>
            </w:r>
          </w:p>
        </w:tc>
        <w:tc>
          <w:tcPr>
            <w:tcW w:w="1275" w:type="dxa"/>
          </w:tcPr>
          <w:p w14:paraId="420A5C9F" w14:textId="77777777" w:rsidR="00974443" w:rsidRDefault="00974443" w:rsidP="00A35221">
            <w:pPr>
              <w:pStyle w:val="TableParagraph"/>
              <w:spacing w:before="161"/>
              <w:ind w:left="30" w:right="17"/>
              <w:jc w:val="center"/>
            </w:pPr>
            <w:r>
              <w:t>9.18</w:t>
            </w:r>
          </w:p>
        </w:tc>
        <w:tc>
          <w:tcPr>
            <w:tcW w:w="1558" w:type="dxa"/>
          </w:tcPr>
          <w:p w14:paraId="2290157B" w14:textId="77777777" w:rsidR="00974443" w:rsidRDefault="00974443" w:rsidP="00A35221">
            <w:pPr>
              <w:pStyle w:val="TableParagraph"/>
              <w:spacing w:before="173"/>
              <w:ind w:left="256"/>
              <w:jc w:val="center"/>
              <w:rPr>
                <w:sz w:val="20"/>
              </w:rPr>
            </w:pPr>
            <w:r>
              <w:rPr>
                <w:w w:val="105"/>
                <w:sz w:val="20"/>
              </w:rPr>
              <w:t>9.18</w:t>
            </w:r>
          </w:p>
        </w:tc>
      </w:tr>
      <w:tr w:rsidR="00974443" w14:paraId="2F72D9AA" w14:textId="77777777" w:rsidTr="00A35221">
        <w:trPr>
          <w:trHeight w:val="529"/>
        </w:trPr>
        <w:tc>
          <w:tcPr>
            <w:tcW w:w="694" w:type="dxa"/>
            <w:vMerge/>
          </w:tcPr>
          <w:p w14:paraId="46A498CD" w14:textId="77777777" w:rsidR="00974443" w:rsidRPr="004417A7" w:rsidRDefault="00974443" w:rsidP="00A35221">
            <w:pPr>
              <w:rPr>
                <w:b/>
                <w:sz w:val="2"/>
                <w:szCs w:val="2"/>
              </w:rPr>
            </w:pPr>
          </w:p>
        </w:tc>
        <w:tc>
          <w:tcPr>
            <w:tcW w:w="1559" w:type="dxa"/>
            <w:vMerge/>
          </w:tcPr>
          <w:p w14:paraId="3386D075" w14:textId="77777777" w:rsidR="00974443" w:rsidRDefault="00974443" w:rsidP="00A35221">
            <w:pPr>
              <w:rPr>
                <w:sz w:val="2"/>
                <w:szCs w:val="2"/>
              </w:rPr>
            </w:pPr>
          </w:p>
        </w:tc>
        <w:tc>
          <w:tcPr>
            <w:tcW w:w="4111" w:type="dxa"/>
          </w:tcPr>
          <w:p w14:paraId="55F7E621" w14:textId="77777777" w:rsidR="00974443" w:rsidRDefault="00974443" w:rsidP="00A35221">
            <w:pPr>
              <w:pStyle w:val="TableParagraph"/>
              <w:spacing w:line="247" w:lineRule="exact"/>
              <w:ind w:left="101"/>
            </w:pPr>
            <w:r>
              <w:t>Equipment</w:t>
            </w:r>
            <w:r>
              <w:rPr>
                <w:spacing w:val="15"/>
              </w:rPr>
              <w:t xml:space="preserve"> </w:t>
            </w:r>
            <w:r>
              <w:t>for</w:t>
            </w:r>
            <w:r>
              <w:rPr>
                <w:spacing w:val="13"/>
              </w:rPr>
              <w:t xml:space="preserve"> </w:t>
            </w:r>
            <w:r>
              <w:t>Meter</w:t>
            </w:r>
            <w:r>
              <w:rPr>
                <w:spacing w:val="13"/>
              </w:rPr>
              <w:t xml:space="preserve"> </w:t>
            </w:r>
            <w:r>
              <w:t>testing,</w:t>
            </w:r>
          </w:p>
          <w:p w14:paraId="224460B9" w14:textId="77777777" w:rsidR="00974443" w:rsidRDefault="00974443" w:rsidP="00A35221">
            <w:pPr>
              <w:pStyle w:val="TableParagraph"/>
              <w:spacing w:line="260" w:lineRule="atLeast"/>
              <w:ind w:left="101" w:right="177"/>
            </w:pPr>
            <w:r>
              <w:t>Meter</w:t>
            </w:r>
            <w:r>
              <w:rPr>
                <w:spacing w:val="12"/>
              </w:rPr>
              <w:t xml:space="preserve"> </w:t>
            </w:r>
            <w:r>
              <w:t>Reading,</w:t>
            </w:r>
            <w:r>
              <w:rPr>
                <w:spacing w:val="14"/>
              </w:rPr>
              <w:t xml:space="preserve"> </w:t>
            </w:r>
            <w:r>
              <w:t xml:space="preserve">HT/LT  </w:t>
            </w:r>
            <w:r>
              <w:rPr>
                <w:spacing w:val="-52"/>
              </w:rPr>
              <w:t xml:space="preserve"> </w:t>
            </w:r>
            <w:proofErr w:type="spellStart"/>
            <w:r>
              <w:t>Accucheck</w:t>
            </w:r>
            <w:proofErr w:type="spellEnd"/>
            <w:r>
              <w:rPr>
                <w:spacing w:val="4"/>
              </w:rPr>
              <w:t xml:space="preserve"> </w:t>
            </w:r>
            <w:r>
              <w:t>etc.</w:t>
            </w:r>
          </w:p>
        </w:tc>
        <w:tc>
          <w:tcPr>
            <w:tcW w:w="1275" w:type="dxa"/>
          </w:tcPr>
          <w:p w14:paraId="343F5FCA" w14:textId="77777777" w:rsidR="00974443" w:rsidRDefault="00974443" w:rsidP="00A35221">
            <w:pPr>
              <w:pStyle w:val="TableParagraph"/>
              <w:spacing w:before="11"/>
              <w:rPr>
                <w:b/>
                <w:sz w:val="21"/>
              </w:rPr>
            </w:pPr>
          </w:p>
          <w:p w14:paraId="7E4AA644" w14:textId="77777777" w:rsidR="00974443" w:rsidRDefault="00974443" w:rsidP="00A35221">
            <w:pPr>
              <w:pStyle w:val="TableParagraph"/>
              <w:ind w:left="30" w:right="17"/>
              <w:jc w:val="center"/>
            </w:pPr>
            <w:r>
              <w:t>0.51</w:t>
            </w:r>
          </w:p>
        </w:tc>
        <w:tc>
          <w:tcPr>
            <w:tcW w:w="1558" w:type="dxa"/>
          </w:tcPr>
          <w:p w14:paraId="10D96F66" w14:textId="77777777" w:rsidR="00974443" w:rsidRDefault="00974443" w:rsidP="00A35221">
            <w:pPr>
              <w:pStyle w:val="TableParagraph"/>
              <w:spacing w:before="2"/>
              <w:jc w:val="center"/>
              <w:rPr>
                <w:b/>
                <w:sz w:val="23"/>
              </w:rPr>
            </w:pPr>
          </w:p>
          <w:p w14:paraId="009356BA" w14:textId="77777777" w:rsidR="00974443" w:rsidRDefault="00974443" w:rsidP="00A35221">
            <w:pPr>
              <w:pStyle w:val="TableParagraph"/>
              <w:ind w:left="256"/>
              <w:jc w:val="center"/>
              <w:rPr>
                <w:sz w:val="20"/>
              </w:rPr>
            </w:pPr>
            <w:r>
              <w:rPr>
                <w:w w:val="105"/>
                <w:sz w:val="20"/>
              </w:rPr>
              <w:t>0.51</w:t>
            </w:r>
          </w:p>
        </w:tc>
      </w:tr>
      <w:tr w:rsidR="00974443" w14:paraId="453C7F38" w14:textId="77777777" w:rsidTr="00A35221">
        <w:trPr>
          <w:trHeight w:val="291"/>
        </w:trPr>
        <w:tc>
          <w:tcPr>
            <w:tcW w:w="694" w:type="dxa"/>
            <w:vMerge/>
          </w:tcPr>
          <w:p w14:paraId="64151C28" w14:textId="77777777" w:rsidR="00974443" w:rsidRPr="004417A7" w:rsidRDefault="00974443" w:rsidP="00A35221">
            <w:pPr>
              <w:rPr>
                <w:b/>
                <w:sz w:val="2"/>
                <w:szCs w:val="2"/>
              </w:rPr>
            </w:pPr>
          </w:p>
        </w:tc>
        <w:tc>
          <w:tcPr>
            <w:tcW w:w="1559" w:type="dxa"/>
            <w:vMerge/>
          </w:tcPr>
          <w:p w14:paraId="18E6283A" w14:textId="77777777" w:rsidR="00974443" w:rsidRDefault="00974443" w:rsidP="00A35221">
            <w:pPr>
              <w:rPr>
                <w:sz w:val="2"/>
                <w:szCs w:val="2"/>
              </w:rPr>
            </w:pPr>
          </w:p>
        </w:tc>
        <w:tc>
          <w:tcPr>
            <w:tcW w:w="4111" w:type="dxa"/>
          </w:tcPr>
          <w:p w14:paraId="50A1F443" w14:textId="77777777" w:rsidR="00974443" w:rsidRDefault="00974443" w:rsidP="00A35221">
            <w:pPr>
              <w:pStyle w:val="TableParagraph"/>
              <w:spacing w:before="13"/>
              <w:ind w:left="101"/>
              <w:rPr>
                <w:b/>
              </w:rPr>
            </w:pPr>
            <w:r>
              <w:rPr>
                <w:b/>
              </w:rPr>
              <w:t>Sub</w:t>
            </w:r>
            <w:r>
              <w:rPr>
                <w:b/>
                <w:spacing w:val="15"/>
              </w:rPr>
              <w:t xml:space="preserve"> </w:t>
            </w:r>
            <w:r>
              <w:rPr>
                <w:b/>
              </w:rPr>
              <w:t>Total:</w:t>
            </w:r>
            <w:r>
              <w:rPr>
                <w:b/>
                <w:spacing w:val="15"/>
              </w:rPr>
              <w:t xml:space="preserve"> </w:t>
            </w:r>
            <w:r>
              <w:rPr>
                <w:b/>
              </w:rPr>
              <w:t>Loss</w:t>
            </w:r>
            <w:r>
              <w:rPr>
                <w:b/>
                <w:spacing w:val="13"/>
              </w:rPr>
              <w:t xml:space="preserve"> </w:t>
            </w:r>
            <w:r>
              <w:rPr>
                <w:b/>
              </w:rPr>
              <w:t>Reduction</w:t>
            </w:r>
          </w:p>
        </w:tc>
        <w:tc>
          <w:tcPr>
            <w:tcW w:w="1275" w:type="dxa"/>
          </w:tcPr>
          <w:p w14:paraId="70249B35" w14:textId="77777777" w:rsidR="00974443" w:rsidRDefault="00974443" w:rsidP="00A35221">
            <w:pPr>
              <w:pStyle w:val="TableParagraph"/>
              <w:spacing w:before="13"/>
              <w:ind w:left="30" w:right="17"/>
              <w:jc w:val="center"/>
              <w:rPr>
                <w:b/>
              </w:rPr>
            </w:pPr>
            <w:r>
              <w:rPr>
                <w:b/>
              </w:rPr>
              <w:t>44.39</w:t>
            </w:r>
          </w:p>
        </w:tc>
        <w:tc>
          <w:tcPr>
            <w:tcW w:w="1558" w:type="dxa"/>
          </w:tcPr>
          <w:p w14:paraId="47633D89" w14:textId="77777777" w:rsidR="00974443" w:rsidRDefault="00974443" w:rsidP="00A35221">
            <w:pPr>
              <w:pStyle w:val="TableParagraph"/>
              <w:spacing w:before="13"/>
              <w:ind w:left="184"/>
              <w:jc w:val="center"/>
              <w:rPr>
                <w:b/>
              </w:rPr>
            </w:pPr>
            <w:r>
              <w:rPr>
                <w:b/>
              </w:rPr>
              <w:t>44.39</w:t>
            </w:r>
          </w:p>
        </w:tc>
      </w:tr>
      <w:tr w:rsidR="00974443" w14:paraId="37E43A71" w14:textId="77777777" w:rsidTr="00A35221">
        <w:trPr>
          <w:trHeight w:val="611"/>
        </w:trPr>
        <w:tc>
          <w:tcPr>
            <w:tcW w:w="694" w:type="dxa"/>
            <w:vMerge w:val="restart"/>
          </w:tcPr>
          <w:p w14:paraId="3CE96800" w14:textId="77777777" w:rsidR="00974443" w:rsidRPr="004417A7" w:rsidRDefault="00974443" w:rsidP="00A35221">
            <w:pPr>
              <w:pStyle w:val="TableParagraph"/>
              <w:rPr>
                <w:b/>
                <w:sz w:val="24"/>
              </w:rPr>
            </w:pPr>
          </w:p>
          <w:p w14:paraId="6147ADFA" w14:textId="77777777" w:rsidR="00974443" w:rsidRPr="004417A7" w:rsidRDefault="00974443" w:rsidP="00A35221">
            <w:pPr>
              <w:pStyle w:val="TableParagraph"/>
              <w:rPr>
                <w:b/>
                <w:sz w:val="24"/>
              </w:rPr>
            </w:pPr>
          </w:p>
          <w:p w14:paraId="15EA31D4" w14:textId="77777777" w:rsidR="00974443" w:rsidRPr="004417A7" w:rsidRDefault="00974443" w:rsidP="00A35221">
            <w:pPr>
              <w:pStyle w:val="TableParagraph"/>
              <w:rPr>
                <w:b/>
                <w:sz w:val="24"/>
              </w:rPr>
            </w:pPr>
          </w:p>
          <w:p w14:paraId="54865BF8" w14:textId="77777777" w:rsidR="00974443" w:rsidRPr="004417A7" w:rsidRDefault="00974443" w:rsidP="00A35221">
            <w:pPr>
              <w:pStyle w:val="TableParagraph"/>
              <w:rPr>
                <w:b/>
                <w:sz w:val="24"/>
              </w:rPr>
            </w:pPr>
          </w:p>
          <w:p w14:paraId="41831DA6" w14:textId="77777777" w:rsidR="00974443" w:rsidRPr="004417A7" w:rsidRDefault="00974443" w:rsidP="00A35221">
            <w:pPr>
              <w:pStyle w:val="TableParagraph"/>
              <w:rPr>
                <w:b/>
                <w:sz w:val="24"/>
              </w:rPr>
            </w:pPr>
          </w:p>
          <w:p w14:paraId="5E153A00" w14:textId="77777777" w:rsidR="00974443" w:rsidRPr="004417A7" w:rsidRDefault="00974443" w:rsidP="00A35221">
            <w:pPr>
              <w:pStyle w:val="TableParagraph"/>
              <w:rPr>
                <w:b/>
                <w:sz w:val="24"/>
              </w:rPr>
            </w:pPr>
          </w:p>
          <w:p w14:paraId="6F5F03E3" w14:textId="77777777" w:rsidR="00974443" w:rsidRPr="004417A7" w:rsidRDefault="00974443" w:rsidP="00A35221">
            <w:pPr>
              <w:pStyle w:val="TableParagraph"/>
              <w:rPr>
                <w:b/>
                <w:sz w:val="24"/>
              </w:rPr>
            </w:pPr>
          </w:p>
          <w:p w14:paraId="2B251F44" w14:textId="77777777" w:rsidR="00974443" w:rsidRPr="004417A7" w:rsidRDefault="00974443" w:rsidP="00A35221">
            <w:pPr>
              <w:pStyle w:val="TableParagraph"/>
              <w:spacing w:before="2"/>
              <w:rPr>
                <w:b/>
                <w:sz w:val="31"/>
              </w:rPr>
            </w:pPr>
          </w:p>
          <w:p w14:paraId="4A2D3AA9" w14:textId="77777777" w:rsidR="00974443" w:rsidRPr="004417A7" w:rsidRDefault="00974443" w:rsidP="00A35221">
            <w:pPr>
              <w:pStyle w:val="TableParagraph"/>
              <w:ind w:left="9"/>
              <w:jc w:val="center"/>
              <w:rPr>
                <w:b/>
              </w:rPr>
            </w:pPr>
            <w:r w:rsidRPr="004417A7">
              <w:rPr>
                <w:b/>
                <w:w w:val="102"/>
              </w:rPr>
              <w:t>3</w:t>
            </w:r>
          </w:p>
        </w:tc>
        <w:tc>
          <w:tcPr>
            <w:tcW w:w="1559" w:type="dxa"/>
            <w:vMerge w:val="restart"/>
          </w:tcPr>
          <w:p w14:paraId="44303FC2" w14:textId="77777777" w:rsidR="00974443" w:rsidRDefault="00974443" w:rsidP="00A35221">
            <w:pPr>
              <w:pStyle w:val="TableParagraph"/>
              <w:rPr>
                <w:b/>
                <w:sz w:val="24"/>
              </w:rPr>
            </w:pPr>
          </w:p>
          <w:p w14:paraId="0A0AD191" w14:textId="77777777" w:rsidR="00974443" w:rsidRDefault="00974443" w:rsidP="00A35221">
            <w:pPr>
              <w:pStyle w:val="TableParagraph"/>
              <w:rPr>
                <w:b/>
                <w:sz w:val="24"/>
              </w:rPr>
            </w:pPr>
          </w:p>
          <w:p w14:paraId="5C166437" w14:textId="77777777" w:rsidR="00974443" w:rsidRDefault="00974443" w:rsidP="00A35221">
            <w:pPr>
              <w:pStyle w:val="TableParagraph"/>
              <w:rPr>
                <w:b/>
                <w:sz w:val="24"/>
              </w:rPr>
            </w:pPr>
          </w:p>
          <w:p w14:paraId="620F8931" w14:textId="77777777" w:rsidR="00974443" w:rsidRDefault="00974443" w:rsidP="00A35221">
            <w:pPr>
              <w:pStyle w:val="TableParagraph"/>
              <w:rPr>
                <w:b/>
                <w:sz w:val="24"/>
              </w:rPr>
            </w:pPr>
          </w:p>
          <w:p w14:paraId="090EF645" w14:textId="77777777" w:rsidR="00974443" w:rsidRDefault="00974443" w:rsidP="00A35221">
            <w:pPr>
              <w:pStyle w:val="TableParagraph"/>
              <w:rPr>
                <w:b/>
                <w:sz w:val="24"/>
              </w:rPr>
            </w:pPr>
          </w:p>
          <w:p w14:paraId="1E0A63E6" w14:textId="77777777" w:rsidR="00974443" w:rsidRDefault="00974443" w:rsidP="00A35221">
            <w:pPr>
              <w:pStyle w:val="TableParagraph"/>
              <w:rPr>
                <w:b/>
                <w:sz w:val="24"/>
              </w:rPr>
            </w:pPr>
          </w:p>
          <w:p w14:paraId="0FA73630" w14:textId="77777777" w:rsidR="00974443" w:rsidRDefault="00974443" w:rsidP="00A35221">
            <w:pPr>
              <w:pStyle w:val="TableParagraph"/>
              <w:rPr>
                <w:b/>
                <w:sz w:val="24"/>
              </w:rPr>
            </w:pPr>
          </w:p>
          <w:p w14:paraId="1CD69BCB" w14:textId="77777777" w:rsidR="00974443" w:rsidRDefault="00974443" w:rsidP="00A35221">
            <w:pPr>
              <w:pStyle w:val="TableParagraph"/>
              <w:spacing w:before="2"/>
              <w:rPr>
                <w:b/>
                <w:sz w:val="31"/>
              </w:rPr>
            </w:pPr>
          </w:p>
          <w:p w14:paraId="702371BE" w14:textId="77777777" w:rsidR="00974443" w:rsidRDefault="00974443" w:rsidP="00A35221">
            <w:pPr>
              <w:pStyle w:val="TableParagraph"/>
              <w:ind w:left="309"/>
            </w:pPr>
            <w:r>
              <w:t>Reliability</w:t>
            </w:r>
          </w:p>
        </w:tc>
        <w:tc>
          <w:tcPr>
            <w:tcW w:w="4111" w:type="dxa"/>
          </w:tcPr>
          <w:p w14:paraId="1ACF6C4E" w14:textId="77777777" w:rsidR="00974443" w:rsidRDefault="00974443" w:rsidP="00A35221">
            <w:pPr>
              <w:pStyle w:val="TableParagraph"/>
              <w:spacing w:before="51" w:line="244" w:lineRule="auto"/>
              <w:ind w:left="101" w:right="177"/>
            </w:pPr>
            <w:r>
              <w:t>Addition/</w:t>
            </w:r>
            <w:r>
              <w:rPr>
                <w:spacing w:val="5"/>
              </w:rPr>
              <w:t xml:space="preserve"> </w:t>
            </w:r>
            <w:r>
              <w:t>Upgradation</w:t>
            </w:r>
            <w:r>
              <w:rPr>
                <w:spacing w:val="2"/>
              </w:rPr>
              <w:t xml:space="preserve"> </w:t>
            </w:r>
            <w:r>
              <w:t>of</w:t>
            </w:r>
            <w:r>
              <w:rPr>
                <w:spacing w:val="1"/>
              </w:rPr>
              <w:t xml:space="preserve"> </w:t>
            </w:r>
            <w:r>
              <w:t>network</w:t>
            </w:r>
            <w:r>
              <w:rPr>
                <w:spacing w:val="13"/>
              </w:rPr>
              <w:t xml:space="preserve"> </w:t>
            </w:r>
            <w:r>
              <w:t>component</w:t>
            </w:r>
            <w:r>
              <w:rPr>
                <w:spacing w:val="16"/>
              </w:rPr>
              <w:t xml:space="preserve"> </w:t>
            </w:r>
            <w:r>
              <w:t>in</w:t>
            </w:r>
            <w:r>
              <w:rPr>
                <w:spacing w:val="17"/>
              </w:rPr>
              <w:t xml:space="preserve"> </w:t>
            </w:r>
            <w:r>
              <w:t>33/11kV</w:t>
            </w:r>
            <w:r>
              <w:rPr>
                <w:spacing w:val="-52"/>
              </w:rPr>
              <w:t xml:space="preserve"> </w:t>
            </w:r>
            <w:r>
              <w:t>Primary</w:t>
            </w:r>
            <w:r>
              <w:rPr>
                <w:spacing w:val="4"/>
              </w:rPr>
              <w:t xml:space="preserve"> </w:t>
            </w:r>
            <w:r>
              <w:t>Substation</w:t>
            </w:r>
          </w:p>
        </w:tc>
        <w:tc>
          <w:tcPr>
            <w:tcW w:w="1275" w:type="dxa"/>
          </w:tcPr>
          <w:p w14:paraId="227A9D91" w14:textId="77777777" w:rsidR="00974443" w:rsidRDefault="00974443" w:rsidP="00A35221">
            <w:pPr>
              <w:pStyle w:val="TableParagraph"/>
              <w:spacing w:before="11"/>
              <w:rPr>
                <w:b/>
                <w:sz w:val="26"/>
              </w:rPr>
            </w:pPr>
          </w:p>
          <w:p w14:paraId="54FB841D" w14:textId="77777777" w:rsidR="00974443" w:rsidRDefault="00974443" w:rsidP="00A35221">
            <w:pPr>
              <w:pStyle w:val="TableParagraph"/>
              <w:ind w:left="30" w:right="17"/>
              <w:jc w:val="center"/>
            </w:pPr>
            <w:r>
              <w:t>21.95</w:t>
            </w:r>
          </w:p>
        </w:tc>
        <w:tc>
          <w:tcPr>
            <w:tcW w:w="1558" w:type="dxa"/>
          </w:tcPr>
          <w:p w14:paraId="50082E77" w14:textId="77777777" w:rsidR="00974443" w:rsidRDefault="00974443" w:rsidP="00A35221">
            <w:pPr>
              <w:pStyle w:val="TableParagraph"/>
              <w:spacing w:before="11"/>
              <w:jc w:val="center"/>
              <w:rPr>
                <w:b/>
                <w:sz w:val="26"/>
              </w:rPr>
            </w:pPr>
          </w:p>
          <w:p w14:paraId="64EB7494" w14:textId="77777777" w:rsidR="00974443" w:rsidRDefault="00974443" w:rsidP="00A35221">
            <w:pPr>
              <w:pStyle w:val="TableParagraph"/>
              <w:ind w:left="184"/>
              <w:jc w:val="center"/>
            </w:pPr>
            <w:r>
              <w:t>15.00</w:t>
            </w:r>
          </w:p>
        </w:tc>
      </w:tr>
      <w:tr w:rsidR="00974443" w14:paraId="621FB8E9" w14:textId="77777777" w:rsidTr="00A35221">
        <w:trPr>
          <w:trHeight w:val="294"/>
        </w:trPr>
        <w:tc>
          <w:tcPr>
            <w:tcW w:w="694" w:type="dxa"/>
            <w:vMerge/>
          </w:tcPr>
          <w:p w14:paraId="49A2D160" w14:textId="77777777" w:rsidR="00974443" w:rsidRPr="004417A7" w:rsidRDefault="00974443" w:rsidP="00A35221">
            <w:pPr>
              <w:rPr>
                <w:b/>
                <w:sz w:val="2"/>
                <w:szCs w:val="2"/>
              </w:rPr>
            </w:pPr>
          </w:p>
        </w:tc>
        <w:tc>
          <w:tcPr>
            <w:tcW w:w="1559" w:type="dxa"/>
            <w:vMerge/>
          </w:tcPr>
          <w:p w14:paraId="06471EEE" w14:textId="77777777" w:rsidR="00974443" w:rsidRDefault="00974443" w:rsidP="00A35221">
            <w:pPr>
              <w:rPr>
                <w:sz w:val="2"/>
                <w:szCs w:val="2"/>
              </w:rPr>
            </w:pPr>
          </w:p>
        </w:tc>
        <w:tc>
          <w:tcPr>
            <w:tcW w:w="4111" w:type="dxa"/>
          </w:tcPr>
          <w:p w14:paraId="717A35C6" w14:textId="77777777" w:rsidR="00974443" w:rsidRDefault="00974443" w:rsidP="00A35221">
            <w:pPr>
              <w:pStyle w:val="TableParagraph"/>
              <w:spacing w:before="15"/>
              <w:ind w:left="101"/>
            </w:pPr>
            <w:r>
              <w:t>33</w:t>
            </w:r>
            <w:r>
              <w:rPr>
                <w:spacing w:val="16"/>
              </w:rPr>
              <w:t xml:space="preserve"> </w:t>
            </w:r>
            <w:r>
              <w:t>KV</w:t>
            </w:r>
            <w:r>
              <w:rPr>
                <w:spacing w:val="14"/>
              </w:rPr>
              <w:t xml:space="preserve"> </w:t>
            </w:r>
            <w:r>
              <w:t>Conductor</w:t>
            </w:r>
            <w:r>
              <w:rPr>
                <w:spacing w:val="14"/>
              </w:rPr>
              <w:t xml:space="preserve"> </w:t>
            </w:r>
            <w:r>
              <w:t>upgradation</w:t>
            </w:r>
          </w:p>
        </w:tc>
        <w:tc>
          <w:tcPr>
            <w:tcW w:w="1275" w:type="dxa"/>
          </w:tcPr>
          <w:p w14:paraId="786DD84C" w14:textId="77777777" w:rsidR="00974443" w:rsidRDefault="00974443" w:rsidP="00A35221">
            <w:pPr>
              <w:pStyle w:val="TableParagraph"/>
              <w:spacing w:before="15"/>
              <w:ind w:left="30" w:right="17"/>
              <w:jc w:val="center"/>
            </w:pPr>
            <w:r>
              <w:t>25.25</w:t>
            </w:r>
          </w:p>
        </w:tc>
        <w:tc>
          <w:tcPr>
            <w:tcW w:w="1558" w:type="dxa"/>
          </w:tcPr>
          <w:p w14:paraId="290FE70D" w14:textId="77777777" w:rsidR="00974443" w:rsidRDefault="00974443" w:rsidP="00A35221">
            <w:pPr>
              <w:pStyle w:val="TableParagraph"/>
              <w:spacing w:before="15"/>
              <w:ind w:left="184"/>
              <w:jc w:val="center"/>
            </w:pPr>
            <w:r>
              <w:t>20.00</w:t>
            </w:r>
          </w:p>
        </w:tc>
      </w:tr>
      <w:tr w:rsidR="00974443" w14:paraId="4EA2C84A" w14:textId="77777777" w:rsidTr="00A35221">
        <w:trPr>
          <w:trHeight w:val="291"/>
        </w:trPr>
        <w:tc>
          <w:tcPr>
            <w:tcW w:w="694" w:type="dxa"/>
            <w:vMerge/>
          </w:tcPr>
          <w:p w14:paraId="76059EA7" w14:textId="77777777" w:rsidR="00974443" w:rsidRPr="004417A7" w:rsidRDefault="00974443" w:rsidP="00A35221">
            <w:pPr>
              <w:rPr>
                <w:b/>
                <w:sz w:val="2"/>
                <w:szCs w:val="2"/>
              </w:rPr>
            </w:pPr>
          </w:p>
        </w:tc>
        <w:tc>
          <w:tcPr>
            <w:tcW w:w="1559" w:type="dxa"/>
            <w:vMerge/>
          </w:tcPr>
          <w:p w14:paraId="50A46EF8" w14:textId="77777777" w:rsidR="00974443" w:rsidRDefault="00974443" w:rsidP="00A35221">
            <w:pPr>
              <w:rPr>
                <w:sz w:val="2"/>
                <w:szCs w:val="2"/>
              </w:rPr>
            </w:pPr>
          </w:p>
        </w:tc>
        <w:tc>
          <w:tcPr>
            <w:tcW w:w="4111" w:type="dxa"/>
          </w:tcPr>
          <w:p w14:paraId="4F41F523" w14:textId="77777777" w:rsidR="00974443" w:rsidRDefault="00974443" w:rsidP="00A35221">
            <w:pPr>
              <w:pStyle w:val="TableParagraph"/>
              <w:spacing w:before="13"/>
              <w:ind w:left="101"/>
            </w:pPr>
            <w:r>
              <w:t>11</w:t>
            </w:r>
            <w:r>
              <w:rPr>
                <w:spacing w:val="16"/>
              </w:rPr>
              <w:t xml:space="preserve"> </w:t>
            </w:r>
            <w:r>
              <w:t>KV</w:t>
            </w:r>
            <w:r>
              <w:rPr>
                <w:spacing w:val="14"/>
              </w:rPr>
              <w:t xml:space="preserve"> </w:t>
            </w:r>
            <w:r>
              <w:t>Conductor</w:t>
            </w:r>
            <w:r>
              <w:rPr>
                <w:spacing w:val="14"/>
              </w:rPr>
              <w:t xml:space="preserve"> </w:t>
            </w:r>
            <w:r>
              <w:t>upgradation</w:t>
            </w:r>
          </w:p>
        </w:tc>
        <w:tc>
          <w:tcPr>
            <w:tcW w:w="1275" w:type="dxa"/>
          </w:tcPr>
          <w:p w14:paraId="30661FC6" w14:textId="77777777" w:rsidR="00974443" w:rsidRDefault="00974443" w:rsidP="00A35221">
            <w:pPr>
              <w:pStyle w:val="TableParagraph"/>
              <w:spacing w:before="13"/>
              <w:ind w:left="30" w:right="17"/>
              <w:jc w:val="center"/>
            </w:pPr>
            <w:r>
              <w:t>27.04</w:t>
            </w:r>
          </w:p>
        </w:tc>
        <w:tc>
          <w:tcPr>
            <w:tcW w:w="1558" w:type="dxa"/>
          </w:tcPr>
          <w:p w14:paraId="58DDC386" w14:textId="77777777" w:rsidR="00974443" w:rsidRDefault="00974443" w:rsidP="00A35221">
            <w:pPr>
              <w:pStyle w:val="TableParagraph"/>
              <w:spacing w:before="13"/>
              <w:ind w:left="184"/>
              <w:jc w:val="center"/>
            </w:pPr>
            <w:r>
              <w:t>20.00</w:t>
            </w:r>
          </w:p>
        </w:tc>
      </w:tr>
      <w:tr w:rsidR="00974443" w14:paraId="251E2C28" w14:textId="77777777" w:rsidTr="00A35221">
        <w:trPr>
          <w:trHeight w:val="769"/>
        </w:trPr>
        <w:tc>
          <w:tcPr>
            <w:tcW w:w="694" w:type="dxa"/>
            <w:vMerge/>
          </w:tcPr>
          <w:p w14:paraId="55EAAC34" w14:textId="77777777" w:rsidR="00974443" w:rsidRPr="004417A7" w:rsidRDefault="00974443" w:rsidP="00A35221">
            <w:pPr>
              <w:rPr>
                <w:b/>
                <w:sz w:val="2"/>
                <w:szCs w:val="2"/>
              </w:rPr>
            </w:pPr>
          </w:p>
        </w:tc>
        <w:tc>
          <w:tcPr>
            <w:tcW w:w="1559" w:type="dxa"/>
            <w:vMerge/>
          </w:tcPr>
          <w:p w14:paraId="26DD2142" w14:textId="77777777" w:rsidR="00974443" w:rsidRDefault="00974443" w:rsidP="00A35221">
            <w:pPr>
              <w:rPr>
                <w:sz w:val="2"/>
                <w:szCs w:val="2"/>
              </w:rPr>
            </w:pPr>
          </w:p>
        </w:tc>
        <w:tc>
          <w:tcPr>
            <w:tcW w:w="4111" w:type="dxa"/>
          </w:tcPr>
          <w:p w14:paraId="0C5196B4" w14:textId="77777777" w:rsidR="00974443" w:rsidRDefault="00974443" w:rsidP="00A35221">
            <w:pPr>
              <w:pStyle w:val="TableParagraph"/>
              <w:spacing w:line="247" w:lineRule="exact"/>
              <w:ind w:left="101"/>
            </w:pPr>
            <w:r>
              <w:t>Refurbishment</w:t>
            </w:r>
          </w:p>
          <w:p w14:paraId="310F33EF" w14:textId="77777777" w:rsidR="00974443" w:rsidRDefault="00974443" w:rsidP="00A35221">
            <w:pPr>
              <w:pStyle w:val="TableParagraph"/>
              <w:spacing w:line="260" w:lineRule="atLeast"/>
              <w:ind w:left="101"/>
            </w:pPr>
            <w:r>
              <w:t>of 11KV/0.415</w:t>
            </w:r>
            <w:r>
              <w:rPr>
                <w:spacing w:val="1"/>
              </w:rPr>
              <w:t xml:space="preserve"> </w:t>
            </w:r>
            <w:r>
              <w:t>KV Distribution</w:t>
            </w:r>
            <w:r>
              <w:rPr>
                <w:spacing w:val="-52"/>
              </w:rPr>
              <w:t xml:space="preserve"> </w:t>
            </w:r>
            <w:r>
              <w:t>Substation</w:t>
            </w:r>
            <w:r>
              <w:rPr>
                <w:spacing w:val="4"/>
              </w:rPr>
              <w:t xml:space="preserve"> </w:t>
            </w:r>
            <w:r>
              <w:t>(DSS)</w:t>
            </w:r>
          </w:p>
        </w:tc>
        <w:tc>
          <w:tcPr>
            <w:tcW w:w="1275" w:type="dxa"/>
          </w:tcPr>
          <w:p w14:paraId="2F4828AC" w14:textId="77777777" w:rsidR="00974443" w:rsidRDefault="00974443" w:rsidP="00A35221">
            <w:pPr>
              <w:pStyle w:val="TableParagraph"/>
              <w:spacing w:before="11"/>
              <w:rPr>
                <w:b/>
                <w:sz w:val="21"/>
              </w:rPr>
            </w:pPr>
          </w:p>
          <w:p w14:paraId="7E4D27F2" w14:textId="77777777" w:rsidR="00974443" w:rsidRDefault="00974443" w:rsidP="00A35221">
            <w:pPr>
              <w:pStyle w:val="TableParagraph"/>
              <w:ind w:left="30" w:right="17"/>
              <w:jc w:val="center"/>
            </w:pPr>
            <w:r>
              <w:t>11.97</w:t>
            </w:r>
          </w:p>
        </w:tc>
        <w:tc>
          <w:tcPr>
            <w:tcW w:w="1558" w:type="dxa"/>
          </w:tcPr>
          <w:p w14:paraId="71026A78" w14:textId="77777777" w:rsidR="00974443" w:rsidRDefault="00974443" w:rsidP="00A35221">
            <w:pPr>
              <w:pStyle w:val="TableParagraph"/>
              <w:spacing w:before="11"/>
              <w:jc w:val="center"/>
              <w:rPr>
                <w:b/>
                <w:sz w:val="21"/>
              </w:rPr>
            </w:pPr>
          </w:p>
          <w:p w14:paraId="04BB6BAB" w14:textId="77777777" w:rsidR="00974443" w:rsidRDefault="00974443" w:rsidP="00A35221">
            <w:pPr>
              <w:pStyle w:val="TableParagraph"/>
              <w:ind w:left="184"/>
              <w:jc w:val="center"/>
            </w:pPr>
            <w:r>
              <w:t>11.97</w:t>
            </w:r>
          </w:p>
        </w:tc>
      </w:tr>
      <w:tr w:rsidR="00974443" w14:paraId="42227DDE" w14:textId="77777777" w:rsidTr="00A35221">
        <w:trPr>
          <w:trHeight w:val="586"/>
        </w:trPr>
        <w:tc>
          <w:tcPr>
            <w:tcW w:w="694" w:type="dxa"/>
            <w:vMerge/>
          </w:tcPr>
          <w:p w14:paraId="1190B461" w14:textId="77777777" w:rsidR="00974443" w:rsidRPr="004417A7" w:rsidRDefault="00974443" w:rsidP="00A35221">
            <w:pPr>
              <w:rPr>
                <w:b/>
                <w:sz w:val="2"/>
                <w:szCs w:val="2"/>
              </w:rPr>
            </w:pPr>
          </w:p>
        </w:tc>
        <w:tc>
          <w:tcPr>
            <w:tcW w:w="1559" w:type="dxa"/>
            <w:vMerge/>
          </w:tcPr>
          <w:p w14:paraId="7764A967" w14:textId="77777777" w:rsidR="00974443" w:rsidRDefault="00974443" w:rsidP="00A35221">
            <w:pPr>
              <w:rPr>
                <w:sz w:val="2"/>
                <w:szCs w:val="2"/>
              </w:rPr>
            </w:pPr>
          </w:p>
        </w:tc>
        <w:tc>
          <w:tcPr>
            <w:tcW w:w="4111" w:type="dxa"/>
          </w:tcPr>
          <w:p w14:paraId="6BC3CF26" w14:textId="77777777" w:rsidR="00974443" w:rsidRDefault="00974443" w:rsidP="00A35221">
            <w:pPr>
              <w:pStyle w:val="TableParagraph"/>
              <w:spacing w:before="32"/>
              <w:ind w:left="101"/>
            </w:pPr>
            <w:r>
              <w:t>Installation</w:t>
            </w:r>
            <w:r>
              <w:rPr>
                <w:spacing w:val="15"/>
              </w:rPr>
              <w:t xml:space="preserve"> </w:t>
            </w:r>
            <w:r>
              <w:t>of</w:t>
            </w:r>
            <w:r>
              <w:rPr>
                <w:spacing w:val="11"/>
              </w:rPr>
              <w:t xml:space="preserve"> </w:t>
            </w:r>
            <w:r>
              <w:t>Auto</w:t>
            </w:r>
            <w:r>
              <w:rPr>
                <w:spacing w:val="18"/>
              </w:rPr>
              <w:t xml:space="preserve"> </w:t>
            </w:r>
            <w:proofErr w:type="spellStart"/>
            <w:r>
              <w:t>reclosure</w:t>
            </w:r>
            <w:proofErr w:type="spellEnd"/>
          </w:p>
          <w:p w14:paraId="51EED306" w14:textId="77777777" w:rsidR="00974443" w:rsidRDefault="00974443" w:rsidP="00A35221">
            <w:pPr>
              <w:pStyle w:val="TableParagraph"/>
              <w:spacing w:before="6"/>
              <w:ind w:left="101"/>
            </w:pPr>
            <w:r>
              <w:t>/</w:t>
            </w:r>
            <w:proofErr w:type="spellStart"/>
            <w:r>
              <w:t>Sectionalizers</w:t>
            </w:r>
            <w:proofErr w:type="spellEnd"/>
            <w:r>
              <w:t>,</w:t>
            </w:r>
            <w:r>
              <w:rPr>
                <w:spacing w:val="18"/>
              </w:rPr>
              <w:t xml:space="preserve"> </w:t>
            </w:r>
            <w:r>
              <w:t>RMUs</w:t>
            </w:r>
          </w:p>
        </w:tc>
        <w:tc>
          <w:tcPr>
            <w:tcW w:w="1275" w:type="dxa"/>
          </w:tcPr>
          <w:p w14:paraId="52226E83" w14:textId="77777777" w:rsidR="00974443" w:rsidRDefault="00974443" w:rsidP="00A35221">
            <w:pPr>
              <w:pStyle w:val="TableParagraph"/>
              <w:spacing w:before="161"/>
              <w:ind w:left="30" w:right="17"/>
              <w:jc w:val="center"/>
            </w:pPr>
            <w:r>
              <w:t>9.52</w:t>
            </w:r>
          </w:p>
        </w:tc>
        <w:tc>
          <w:tcPr>
            <w:tcW w:w="1558" w:type="dxa"/>
          </w:tcPr>
          <w:p w14:paraId="0DF66F8F" w14:textId="77777777" w:rsidR="00974443" w:rsidRDefault="00974443" w:rsidP="00A35221">
            <w:pPr>
              <w:pStyle w:val="TableParagraph"/>
              <w:spacing w:before="161"/>
              <w:ind w:left="241"/>
              <w:jc w:val="center"/>
            </w:pPr>
            <w:r>
              <w:t>9.52</w:t>
            </w:r>
          </w:p>
        </w:tc>
      </w:tr>
      <w:tr w:rsidR="00974443" w14:paraId="692D5E21" w14:textId="77777777" w:rsidTr="00A35221">
        <w:trPr>
          <w:trHeight w:val="275"/>
        </w:trPr>
        <w:tc>
          <w:tcPr>
            <w:tcW w:w="694" w:type="dxa"/>
            <w:vMerge/>
          </w:tcPr>
          <w:p w14:paraId="40437AFA" w14:textId="77777777" w:rsidR="00974443" w:rsidRPr="004417A7" w:rsidRDefault="00974443" w:rsidP="00A35221">
            <w:pPr>
              <w:rPr>
                <w:b/>
                <w:sz w:val="2"/>
                <w:szCs w:val="2"/>
              </w:rPr>
            </w:pPr>
          </w:p>
        </w:tc>
        <w:tc>
          <w:tcPr>
            <w:tcW w:w="1559" w:type="dxa"/>
            <w:vMerge/>
          </w:tcPr>
          <w:p w14:paraId="77D18DAD" w14:textId="77777777" w:rsidR="00974443" w:rsidRDefault="00974443" w:rsidP="00A35221">
            <w:pPr>
              <w:rPr>
                <w:sz w:val="2"/>
                <w:szCs w:val="2"/>
              </w:rPr>
            </w:pPr>
          </w:p>
        </w:tc>
        <w:tc>
          <w:tcPr>
            <w:tcW w:w="4111" w:type="dxa"/>
          </w:tcPr>
          <w:p w14:paraId="3D352347" w14:textId="77777777" w:rsidR="00974443" w:rsidRDefault="00974443" w:rsidP="00A35221">
            <w:pPr>
              <w:pStyle w:val="TableParagraph"/>
              <w:spacing w:line="247" w:lineRule="exact"/>
              <w:ind w:left="101"/>
            </w:pPr>
            <w:r>
              <w:t>Installation</w:t>
            </w:r>
            <w:r>
              <w:rPr>
                <w:spacing w:val="12"/>
              </w:rPr>
              <w:t xml:space="preserve"> </w:t>
            </w:r>
            <w:r>
              <w:t>of</w:t>
            </w:r>
            <w:r>
              <w:rPr>
                <w:spacing w:val="11"/>
              </w:rPr>
              <w:t xml:space="preserve"> </w:t>
            </w:r>
            <w:r>
              <w:t>FPIs</w:t>
            </w:r>
            <w:r>
              <w:rPr>
                <w:spacing w:val="10"/>
              </w:rPr>
              <w:t xml:space="preserve"> </w:t>
            </w:r>
            <w:r>
              <w:t>for</w:t>
            </w:r>
            <w:r>
              <w:rPr>
                <w:spacing w:val="10"/>
              </w:rPr>
              <w:t xml:space="preserve"> </w:t>
            </w:r>
            <w:r>
              <w:t>O/H Lines</w:t>
            </w:r>
          </w:p>
        </w:tc>
        <w:tc>
          <w:tcPr>
            <w:tcW w:w="1275" w:type="dxa"/>
          </w:tcPr>
          <w:p w14:paraId="3A973754" w14:textId="77777777" w:rsidR="00974443" w:rsidRDefault="00974443" w:rsidP="00A35221">
            <w:pPr>
              <w:pStyle w:val="TableParagraph"/>
              <w:spacing w:before="125"/>
              <w:ind w:left="30" w:right="17"/>
              <w:jc w:val="center"/>
            </w:pPr>
            <w:r>
              <w:t>2.95</w:t>
            </w:r>
          </w:p>
        </w:tc>
        <w:tc>
          <w:tcPr>
            <w:tcW w:w="1558" w:type="dxa"/>
          </w:tcPr>
          <w:p w14:paraId="563277DE" w14:textId="77777777" w:rsidR="00974443" w:rsidRDefault="00974443" w:rsidP="00A35221">
            <w:pPr>
              <w:pStyle w:val="TableParagraph"/>
              <w:spacing w:before="125"/>
              <w:ind w:left="241"/>
              <w:jc w:val="center"/>
            </w:pPr>
            <w:r>
              <w:t>2.95</w:t>
            </w:r>
          </w:p>
        </w:tc>
      </w:tr>
      <w:tr w:rsidR="00974443" w14:paraId="32EDDF08" w14:textId="77777777" w:rsidTr="00A35221">
        <w:trPr>
          <w:trHeight w:val="325"/>
        </w:trPr>
        <w:tc>
          <w:tcPr>
            <w:tcW w:w="694" w:type="dxa"/>
            <w:vMerge/>
          </w:tcPr>
          <w:p w14:paraId="0C811A11" w14:textId="77777777" w:rsidR="00974443" w:rsidRPr="004417A7" w:rsidRDefault="00974443" w:rsidP="00A35221">
            <w:pPr>
              <w:rPr>
                <w:b/>
                <w:sz w:val="2"/>
                <w:szCs w:val="2"/>
              </w:rPr>
            </w:pPr>
          </w:p>
        </w:tc>
        <w:tc>
          <w:tcPr>
            <w:tcW w:w="1559" w:type="dxa"/>
            <w:vMerge/>
          </w:tcPr>
          <w:p w14:paraId="4FD1BE3D" w14:textId="77777777" w:rsidR="00974443" w:rsidRDefault="00974443" w:rsidP="00A35221">
            <w:pPr>
              <w:rPr>
                <w:sz w:val="2"/>
                <w:szCs w:val="2"/>
              </w:rPr>
            </w:pPr>
          </w:p>
        </w:tc>
        <w:tc>
          <w:tcPr>
            <w:tcW w:w="4111" w:type="dxa"/>
          </w:tcPr>
          <w:p w14:paraId="3C7C0F9D" w14:textId="77777777" w:rsidR="00974443" w:rsidRDefault="00974443" w:rsidP="00A35221">
            <w:pPr>
              <w:pStyle w:val="TableParagraph"/>
              <w:spacing w:line="247" w:lineRule="exact"/>
              <w:ind w:left="101"/>
            </w:pPr>
            <w:r>
              <w:t>Installation</w:t>
            </w:r>
            <w:r>
              <w:rPr>
                <w:spacing w:val="13"/>
              </w:rPr>
              <w:t xml:space="preserve"> </w:t>
            </w:r>
            <w:r>
              <w:t>of</w:t>
            </w:r>
            <w:r>
              <w:rPr>
                <w:spacing w:val="10"/>
              </w:rPr>
              <w:t xml:space="preserve"> </w:t>
            </w:r>
            <w:r>
              <w:t>Line</w:t>
            </w:r>
            <w:r>
              <w:rPr>
                <w:spacing w:val="10"/>
              </w:rPr>
              <w:t xml:space="preserve"> </w:t>
            </w:r>
            <w:r>
              <w:t>AB Switch/Isolator</w:t>
            </w:r>
          </w:p>
        </w:tc>
        <w:tc>
          <w:tcPr>
            <w:tcW w:w="1275" w:type="dxa"/>
          </w:tcPr>
          <w:p w14:paraId="7E6FD19F" w14:textId="77777777" w:rsidR="00974443" w:rsidRDefault="00974443" w:rsidP="00A35221">
            <w:pPr>
              <w:pStyle w:val="TableParagraph"/>
              <w:spacing w:before="125"/>
              <w:ind w:left="30" w:right="17"/>
              <w:jc w:val="center"/>
            </w:pPr>
            <w:r>
              <w:t>5.03</w:t>
            </w:r>
          </w:p>
        </w:tc>
        <w:tc>
          <w:tcPr>
            <w:tcW w:w="1558" w:type="dxa"/>
          </w:tcPr>
          <w:p w14:paraId="22C9CDEE" w14:textId="77777777" w:rsidR="00974443" w:rsidRDefault="00974443" w:rsidP="00A35221">
            <w:pPr>
              <w:pStyle w:val="TableParagraph"/>
              <w:spacing w:before="125"/>
              <w:ind w:left="241"/>
              <w:jc w:val="center"/>
            </w:pPr>
            <w:r>
              <w:t>5.03</w:t>
            </w:r>
          </w:p>
        </w:tc>
      </w:tr>
      <w:tr w:rsidR="00974443" w14:paraId="6DAA3CAD" w14:textId="77777777" w:rsidTr="00A35221">
        <w:trPr>
          <w:trHeight w:val="586"/>
        </w:trPr>
        <w:tc>
          <w:tcPr>
            <w:tcW w:w="694" w:type="dxa"/>
            <w:vMerge/>
          </w:tcPr>
          <w:p w14:paraId="6A91F8E4" w14:textId="77777777" w:rsidR="00974443" w:rsidRPr="004417A7" w:rsidRDefault="00974443" w:rsidP="00A35221">
            <w:pPr>
              <w:rPr>
                <w:b/>
                <w:sz w:val="2"/>
                <w:szCs w:val="2"/>
              </w:rPr>
            </w:pPr>
          </w:p>
        </w:tc>
        <w:tc>
          <w:tcPr>
            <w:tcW w:w="1559" w:type="dxa"/>
            <w:vMerge/>
          </w:tcPr>
          <w:p w14:paraId="7D062B80" w14:textId="77777777" w:rsidR="00974443" w:rsidRDefault="00974443" w:rsidP="00A35221">
            <w:pPr>
              <w:rPr>
                <w:sz w:val="2"/>
                <w:szCs w:val="2"/>
              </w:rPr>
            </w:pPr>
          </w:p>
        </w:tc>
        <w:tc>
          <w:tcPr>
            <w:tcW w:w="4111" w:type="dxa"/>
          </w:tcPr>
          <w:p w14:paraId="70BFC42F" w14:textId="77777777" w:rsidR="00974443" w:rsidRDefault="00974443" w:rsidP="00A35221">
            <w:pPr>
              <w:pStyle w:val="TableParagraph"/>
              <w:spacing w:before="32"/>
              <w:ind w:left="101"/>
            </w:pPr>
            <w:r>
              <w:t>Installation</w:t>
            </w:r>
          </w:p>
          <w:p w14:paraId="07D6347E" w14:textId="77777777" w:rsidR="00974443" w:rsidRDefault="00974443" w:rsidP="00A35221">
            <w:pPr>
              <w:pStyle w:val="TableParagraph"/>
              <w:spacing w:before="6"/>
              <w:ind w:left="101"/>
            </w:pPr>
            <w:r>
              <w:t>of</w:t>
            </w:r>
            <w:r>
              <w:rPr>
                <w:spacing w:val="12"/>
              </w:rPr>
              <w:t xml:space="preserve"> </w:t>
            </w:r>
            <w:r>
              <w:t>Station</w:t>
            </w:r>
            <w:r>
              <w:rPr>
                <w:spacing w:val="11"/>
              </w:rPr>
              <w:t xml:space="preserve"> </w:t>
            </w:r>
            <w:r>
              <w:t>Transformers</w:t>
            </w:r>
            <w:r>
              <w:rPr>
                <w:spacing w:val="13"/>
              </w:rPr>
              <w:t xml:space="preserve"> </w:t>
            </w:r>
            <w:r>
              <w:t>in</w:t>
            </w:r>
            <w:r>
              <w:rPr>
                <w:spacing w:val="12"/>
              </w:rPr>
              <w:t xml:space="preserve"> </w:t>
            </w:r>
            <w:r>
              <w:t>PSS</w:t>
            </w:r>
          </w:p>
        </w:tc>
        <w:tc>
          <w:tcPr>
            <w:tcW w:w="1275" w:type="dxa"/>
          </w:tcPr>
          <w:p w14:paraId="3FA86B2A" w14:textId="77777777" w:rsidR="00974443" w:rsidRDefault="00974443" w:rsidP="00A35221">
            <w:pPr>
              <w:pStyle w:val="TableParagraph"/>
              <w:spacing w:before="161"/>
              <w:ind w:left="30" w:right="17"/>
              <w:jc w:val="center"/>
            </w:pPr>
            <w:r>
              <w:t>0.00</w:t>
            </w:r>
          </w:p>
        </w:tc>
        <w:tc>
          <w:tcPr>
            <w:tcW w:w="1558" w:type="dxa"/>
          </w:tcPr>
          <w:p w14:paraId="3B23F63C" w14:textId="77777777" w:rsidR="00974443" w:rsidRDefault="00974443" w:rsidP="00A35221">
            <w:pPr>
              <w:pStyle w:val="TableParagraph"/>
              <w:spacing w:before="161"/>
              <w:ind w:left="241"/>
              <w:jc w:val="center"/>
            </w:pPr>
            <w:r>
              <w:t>0.00</w:t>
            </w:r>
          </w:p>
        </w:tc>
      </w:tr>
      <w:tr w:rsidR="00974443" w14:paraId="205443AF" w14:textId="77777777" w:rsidTr="00A35221">
        <w:trPr>
          <w:trHeight w:val="290"/>
        </w:trPr>
        <w:tc>
          <w:tcPr>
            <w:tcW w:w="694" w:type="dxa"/>
            <w:vMerge/>
          </w:tcPr>
          <w:p w14:paraId="36E6B3BB" w14:textId="77777777" w:rsidR="00974443" w:rsidRPr="004417A7" w:rsidRDefault="00974443" w:rsidP="00A35221">
            <w:pPr>
              <w:rPr>
                <w:b/>
                <w:sz w:val="2"/>
                <w:szCs w:val="2"/>
              </w:rPr>
            </w:pPr>
          </w:p>
        </w:tc>
        <w:tc>
          <w:tcPr>
            <w:tcW w:w="1559" w:type="dxa"/>
            <w:vMerge/>
          </w:tcPr>
          <w:p w14:paraId="4B89E294" w14:textId="77777777" w:rsidR="00974443" w:rsidRDefault="00974443" w:rsidP="00A35221">
            <w:pPr>
              <w:rPr>
                <w:sz w:val="2"/>
                <w:szCs w:val="2"/>
              </w:rPr>
            </w:pPr>
          </w:p>
        </w:tc>
        <w:tc>
          <w:tcPr>
            <w:tcW w:w="4111" w:type="dxa"/>
          </w:tcPr>
          <w:p w14:paraId="03C612D9" w14:textId="77777777" w:rsidR="00974443" w:rsidRDefault="00974443" w:rsidP="00A35221">
            <w:pPr>
              <w:pStyle w:val="TableParagraph"/>
              <w:spacing w:before="13"/>
              <w:ind w:left="101"/>
              <w:rPr>
                <w:b/>
              </w:rPr>
            </w:pPr>
            <w:r>
              <w:rPr>
                <w:b/>
              </w:rPr>
              <w:t>Sub</w:t>
            </w:r>
            <w:r>
              <w:rPr>
                <w:b/>
                <w:spacing w:val="15"/>
              </w:rPr>
              <w:t xml:space="preserve"> </w:t>
            </w:r>
            <w:r>
              <w:rPr>
                <w:b/>
              </w:rPr>
              <w:t>Total:</w:t>
            </w:r>
            <w:r>
              <w:rPr>
                <w:b/>
                <w:spacing w:val="16"/>
              </w:rPr>
              <w:t xml:space="preserve"> </w:t>
            </w:r>
            <w:r>
              <w:rPr>
                <w:b/>
              </w:rPr>
              <w:t>Reliability</w:t>
            </w:r>
          </w:p>
        </w:tc>
        <w:tc>
          <w:tcPr>
            <w:tcW w:w="1275" w:type="dxa"/>
          </w:tcPr>
          <w:p w14:paraId="60CDC275" w14:textId="77777777" w:rsidR="00974443" w:rsidRDefault="00974443" w:rsidP="00A35221">
            <w:pPr>
              <w:pStyle w:val="TableParagraph"/>
              <w:spacing w:before="13"/>
              <w:ind w:left="30" w:right="17"/>
              <w:jc w:val="center"/>
              <w:rPr>
                <w:b/>
              </w:rPr>
            </w:pPr>
            <w:r>
              <w:rPr>
                <w:b/>
              </w:rPr>
              <w:t>103.71</w:t>
            </w:r>
          </w:p>
        </w:tc>
        <w:tc>
          <w:tcPr>
            <w:tcW w:w="1558" w:type="dxa"/>
          </w:tcPr>
          <w:p w14:paraId="50A9E21D" w14:textId="77777777" w:rsidR="00974443" w:rsidRDefault="00974443" w:rsidP="00A35221">
            <w:pPr>
              <w:pStyle w:val="TableParagraph"/>
              <w:spacing w:before="13"/>
              <w:ind w:left="184"/>
              <w:jc w:val="center"/>
              <w:rPr>
                <w:b/>
              </w:rPr>
            </w:pPr>
            <w:r>
              <w:rPr>
                <w:b/>
              </w:rPr>
              <w:t>84.47</w:t>
            </w:r>
          </w:p>
        </w:tc>
      </w:tr>
      <w:tr w:rsidR="00974443" w14:paraId="55D2AC2B" w14:textId="77777777" w:rsidTr="00A35221">
        <w:trPr>
          <w:trHeight w:val="284"/>
        </w:trPr>
        <w:tc>
          <w:tcPr>
            <w:tcW w:w="694" w:type="dxa"/>
            <w:vMerge w:val="restart"/>
          </w:tcPr>
          <w:p w14:paraId="5BB55F8C" w14:textId="77777777" w:rsidR="00974443" w:rsidRPr="004417A7" w:rsidRDefault="00974443" w:rsidP="00A35221">
            <w:pPr>
              <w:pStyle w:val="TableParagraph"/>
              <w:rPr>
                <w:b/>
                <w:sz w:val="24"/>
              </w:rPr>
            </w:pPr>
          </w:p>
          <w:p w14:paraId="581F68EE" w14:textId="77777777" w:rsidR="00974443" w:rsidRPr="004417A7" w:rsidRDefault="00974443" w:rsidP="00A35221">
            <w:pPr>
              <w:pStyle w:val="TableParagraph"/>
              <w:rPr>
                <w:b/>
                <w:sz w:val="24"/>
              </w:rPr>
            </w:pPr>
          </w:p>
          <w:p w14:paraId="480961F4" w14:textId="77777777" w:rsidR="00974443" w:rsidRPr="004417A7" w:rsidRDefault="00974443" w:rsidP="00A35221">
            <w:pPr>
              <w:pStyle w:val="TableParagraph"/>
              <w:rPr>
                <w:b/>
                <w:sz w:val="24"/>
              </w:rPr>
            </w:pPr>
          </w:p>
          <w:p w14:paraId="2AFFB245" w14:textId="77777777" w:rsidR="00974443" w:rsidRPr="004417A7" w:rsidRDefault="00974443" w:rsidP="00A35221">
            <w:pPr>
              <w:pStyle w:val="TableParagraph"/>
              <w:rPr>
                <w:b/>
                <w:sz w:val="24"/>
              </w:rPr>
            </w:pPr>
          </w:p>
          <w:p w14:paraId="2E66D8BC" w14:textId="77777777" w:rsidR="00974443" w:rsidRPr="004417A7" w:rsidRDefault="00974443" w:rsidP="00A35221">
            <w:pPr>
              <w:pStyle w:val="TableParagraph"/>
              <w:spacing w:before="7"/>
              <w:rPr>
                <w:b/>
                <w:sz w:val="35"/>
              </w:rPr>
            </w:pPr>
          </w:p>
          <w:p w14:paraId="3A956BB4" w14:textId="77777777" w:rsidR="00974443" w:rsidRPr="004417A7" w:rsidRDefault="00974443" w:rsidP="00A35221">
            <w:pPr>
              <w:pStyle w:val="TableParagraph"/>
              <w:ind w:left="9"/>
              <w:jc w:val="center"/>
              <w:rPr>
                <w:b/>
              </w:rPr>
            </w:pPr>
            <w:r w:rsidRPr="004417A7">
              <w:rPr>
                <w:b/>
                <w:w w:val="102"/>
              </w:rPr>
              <w:t>4</w:t>
            </w:r>
          </w:p>
        </w:tc>
        <w:tc>
          <w:tcPr>
            <w:tcW w:w="1559" w:type="dxa"/>
            <w:vMerge w:val="restart"/>
          </w:tcPr>
          <w:p w14:paraId="1151B634" w14:textId="77777777" w:rsidR="00974443" w:rsidRDefault="00974443" w:rsidP="00A35221">
            <w:pPr>
              <w:pStyle w:val="TableParagraph"/>
              <w:rPr>
                <w:b/>
                <w:sz w:val="24"/>
              </w:rPr>
            </w:pPr>
          </w:p>
          <w:p w14:paraId="06C7AC41" w14:textId="77777777" w:rsidR="00974443" w:rsidRDefault="00974443" w:rsidP="00A35221">
            <w:pPr>
              <w:pStyle w:val="TableParagraph"/>
              <w:rPr>
                <w:b/>
                <w:sz w:val="24"/>
              </w:rPr>
            </w:pPr>
          </w:p>
          <w:p w14:paraId="3527F867" w14:textId="77777777" w:rsidR="00974443" w:rsidRDefault="00974443" w:rsidP="00A35221">
            <w:pPr>
              <w:pStyle w:val="TableParagraph"/>
              <w:rPr>
                <w:b/>
                <w:sz w:val="24"/>
              </w:rPr>
            </w:pPr>
          </w:p>
          <w:p w14:paraId="5971697F" w14:textId="77777777" w:rsidR="00974443" w:rsidRDefault="00974443" w:rsidP="00A35221">
            <w:pPr>
              <w:pStyle w:val="TableParagraph"/>
              <w:spacing w:before="9"/>
              <w:rPr>
                <w:b/>
                <w:sz w:val="25"/>
              </w:rPr>
            </w:pPr>
          </w:p>
          <w:p w14:paraId="6EE9246C" w14:textId="77777777" w:rsidR="00974443" w:rsidRDefault="00974443" w:rsidP="00A35221">
            <w:pPr>
              <w:pStyle w:val="TableParagraph"/>
              <w:spacing w:before="1" w:line="244" w:lineRule="auto"/>
              <w:ind w:left="189" w:right="178" w:hanging="2"/>
              <w:jc w:val="center"/>
            </w:pPr>
            <w:r>
              <w:t>Network</w:t>
            </w:r>
            <w:r>
              <w:rPr>
                <w:spacing w:val="1"/>
              </w:rPr>
              <w:t xml:space="preserve"> </w:t>
            </w:r>
            <w:r>
              <w:t>Optimization</w:t>
            </w:r>
            <w:r>
              <w:rPr>
                <w:spacing w:val="-52"/>
              </w:rPr>
              <w:t xml:space="preserve"> </w:t>
            </w:r>
            <w:r>
              <w:t>&amp;</w:t>
            </w:r>
            <w:r>
              <w:rPr>
                <w:spacing w:val="2"/>
              </w:rPr>
              <w:t xml:space="preserve"> </w:t>
            </w:r>
            <w:r>
              <w:t>Load</w:t>
            </w:r>
            <w:r>
              <w:rPr>
                <w:spacing w:val="1"/>
              </w:rPr>
              <w:t xml:space="preserve"> </w:t>
            </w:r>
            <w:r>
              <w:t>Growth</w:t>
            </w:r>
          </w:p>
        </w:tc>
        <w:tc>
          <w:tcPr>
            <w:tcW w:w="4111" w:type="dxa"/>
          </w:tcPr>
          <w:p w14:paraId="012723AC" w14:textId="77777777" w:rsidR="00974443" w:rsidRDefault="00974443" w:rsidP="00A35221">
            <w:pPr>
              <w:pStyle w:val="TableParagraph"/>
              <w:spacing w:line="250" w:lineRule="exact"/>
              <w:ind w:left="101"/>
            </w:pPr>
            <w:r>
              <w:t>Augmentation</w:t>
            </w:r>
            <w:r>
              <w:rPr>
                <w:spacing w:val="16"/>
              </w:rPr>
              <w:t xml:space="preserve"> </w:t>
            </w:r>
            <w:r>
              <w:t>of</w:t>
            </w:r>
            <w:r>
              <w:rPr>
                <w:spacing w:val="13"/>
              </w:rPr>
              <w:t xml:space="preserve"> </w:t>
            </w:r>
            <w:r>
              <w:t>Power Transformer</w:t>
            </w:r>
          </w:p>
        </w:tc>
        <w:tc>
          <w:tcPr>
            <w:tcW w:w="1275" w:type="dxa"/>
          </w:tcPr>
          <w:p w14:paraId="55902844" w14:textId="77777777" w:rsidR="00974443" w:rsidRDefault="00974443" w:rsidP="00A35221">
            <w:pPr>
              <w:pStyle w:val="TableParagraph"/>
              <w:spacing w:before="124"/>
              <w:ind w:left="30" w:right="17"/>
              <w:jc w:val="center"/>
            </w:pPr>
            <w:r>
              <w:t>5.60</w:t>
            </w:r>
          </w:p>
        </w:tc>
        <w:tc>
          <w:tcPr>
            <w:tcW w:w="1558" w:type="dxa"/>
          </w:tcPr>
          <w:p w14:paraId="1665AE0B" w14:textId="77777777" w:rsidR="00974443" w:rsidRDefault="00974443" w:rsidP="00A35221">
            <w:pPr>
              <w:pStyle w:val="TableParagraph"/>
              <w:spacing w:before="124"/>
              <w:ind w:left="241"/>
              <w:jc w:val="center"/>
            </w:pPr>
            <w:r>
              <w:t>5.60</w:t>
            </w:r>
          </w:p>
        </w:tc>
      </w:tr>
      <w:tr w:rsidR="00974443" w14:paraId="3BDDD638" w14:textId="77777777" w:rsidTr="00A35221">
        <w:trPr>
          <w:trHeight w:val="161"/>
        </w:trPr>
        <w:tc>
          <w:tcPr>
            <w:tcW w:w="694" w:type="dxa"/>
            <w:vMerge/>
          </w:tcPr>
          <w:p w14:paraId="0E23D51A" w14:textId="77777777" w:rsidR="00974443" w:rsidRPr="004417A7" w:rsidRDefault="00974443" w:rsidP="00A35221">
            <w:pPr>
              <w:rPr>
                <w:b/>
                <w:sz w:val="2"/>
                <w:szCs w:val="2"/>
              </w:rPr>
            </w:pPr>
          </w:p>
        </w:tc>
        <w:tc>
          <w:tcPr>
            <w:tcW w:w="1559" w:type="dxa"/>
            <w:vMerge/>
          </w:tcPr>
          <w:p w14:paraId="0FB2F401" w14:textId="77777777" w:rsidR="00974443" w:rsidRDefault="00974443" w:rsidP="00A35221">
            <w:pPr>
              <w:rPr>
                <w:sz w:val="2"/>
                <w:szCs w:val="2"/>
              </w:rPr>
            </w:pPr>
          </w:p>
        </w:tc>
        <w:tc>
          <w:tcPr>
            <w:tcW w:w="4111" w:type="dxa"/>
          </w:tcPr>
          <w:p w14:paraId="5F478E9F" w14:textId="77777777" w:rsidR="00974443" w:rsidRDefault="00974443" w:rsidP="00A35221">
            <w:pPr>
              <w:pStyle w:val="TableParagraph"/>
              <w:spacing w:before="31" w:line="244" w:lineRule="auto"/>
              <w:ind w:left="101"/>
            </w:pPr>
            <w:r>
              <w:t>Augmentation</w:t>
            </w:r>
            <w:r>
              <w:rPr>
                <w:spacing w:val="1"/>
              </w:rPr>
              <w:t xml:space="preserve"> </w:t>
            </w:r>
            <w:r>
              <w:t>of Distribution</w:t>
            </w:r>
            <w:r>
              <w:rPr>
                <w:spacing w:val="-52"/>
              </w:rPr>
              <w:t xml:space="preserve"> </w:t>
            </w:r>
            <w:r>
              <w:t>Transformer</w:t>
            </w:r>
          </w:p>
        </w:tc>
        <w:tc>
          <w:tcPr>
            <w:tcW w:w="1275" w:type="dxa"/>
          </w:tcPr>
          <w:p w14:paraId="573755CF" w14:textId="77777777" w:rsidR="00974443" w:rsidRDefault="00974443" w:rsidP="00A35221">
            <w:pPr>
              <w:pStyle w:val="TableParagraph"/>
              <w:spacing w:before="158"/>
              <w:ind w:left="30" w:right="17"/>
              <w:jc w:val="center"/>
            </w:pPr>
            <w:r>
              <w:t>25.02</w:t>
            </w:r>
          </w:p>
        </w:tc>
        <w:tc>
          <w:tcPr>
            <w:tcW w:w="1558" w:type="dxa"/>
          </w:tcPr>
          <w:p w14:paraId="00E3BD32" w14:textId="77777777" w:rsidR="00974443" w:rsidRDefault="00974443" w:rsidP="00A35221">
            <w:pPr>
              <w:pStyle w:val="TableParagraph"/>
              <w:spacing w:before="158"/>
              <w:ind w:left="184"/>
              <w:jc w:val="center"/>
            </w:pPr>
            <w:r>
              <w:t>15.00</w:t>
            </w:r>
          </w:p>
        </w:tc>
      </w:tr>
      <w:tr w:rsidR="00974443" w14:paraId="25B1F07A" w14:textId="77777777" w:rsidTr="00A35221">
        <w:trPr>
          <w:trHeight w:val="586"/>
        </w:trPr>
        <w:tc>
          <w:tcPr>
            <w:tcW w:w="694" w:type="dxa"/>
            <w:vMerge/>
          </w:tcPr>
          <w:p w14:paraId="486FFEE2" w14:textId="77777777" w:rsidR="00974443" w:rsidRPr="004417A7" w:rsidRDefault="00974443" w:rsidP="00A35221">
            <w:pPr>
              <w:rPr>
                <w:b/>
                <w:sz w:val="2"/>
                <w:szCs w:val="2"/>
              </w:rPr>
            </w:pPr>
          </w:p>
        </w:tc>
        <w:tc>
          <w:tcPr>
            <w:tcW w:w="1559" w:type="dxa"/>
            <w:vMerge/>
          </w:tcPr>
          <w:p w14:paraId="0B91EF8F" w14:textId="77777777" w:rsidR="00974443" w:rsidRDefault="00974443" w:rsidP="00A35221">
            <w:pPr>
              <w:rPr>
                <w:sz w:val="2"/>
                <w:szCs w:val="2"/>
              </w:rPr>
            </w:pPr>
          </w:p>
        </w:tc>
        <w:tc>
          <w:tcPr>
            <w:tcW w:w="4111" w:type="dxa"/>
          </w:tcPr>
          <w:p w14:paraId="789FF10D" w14:textId="77777777" w:rsidR="00974443" w:rsidRDefault="00974443" w:rsidP="00A35221">
            <w:pPr>
              <w:pStyle w:val="TableParagraph"/>
              <w:spacing w:before="33" w:line="244" w:lineRule="auto"/>
              <w:ind w:left="101"/>
            </w:pPr>
            <w:r>
              <w:t>Conversion</w:t>
            </w:r>
            <w:r>
              <w:rPr>
                <w:spacing w:val="7"/>
              </w:rPr>
              <w:t xml:space="preserve"> </w:t>
            </w:r>
            <w:r>
              <w:t>of</w:t>
            </w:r>
            <w:r>
              <w:rPr>
                <w:spacing w:val="10"/>
              </w:rPr>
              <w:t xml:space="preserve"> </w:t>
            </w:r>
            <w:r>
              <w:t>1Ph</w:t>
            </w:r>
            <w:r>
              <w:rPr>
                <w:spacing w:val="13"/>
              </w:rPr>
              <w:t xml:space="preserve"> </w:t>
            </w:r>
            <w:r>
              <w:t>DTR</w:t>
            </w:r>
            <w:r>
              <w:rPr>
                <w:spacing w:val="8"/>
              </w:rPr>
              <w:t xml:space="preserve"> </w:t>
            </w:r>
            <w:r>
              <w:t>to</w:t>
            </w:r>
            <w:r>
              <w:rPr>
                <w:spacing w:val="10"/>
              </w:rPr>
              <w:t xml:space="preserve"> </w:t>
            </w:r>
            <w:r>
              <w:t>3Ph</w:t>
            </w:r>
            <w:r>
              <w:rPr>
                <w:spacing w:val="-52"/>
              </w:rPr>
              <w:t xml:space="preserve"> </w:t>
            </w:r>
            <w:r>
              <w:t>DTR</w:t>
            </w:r>
            <w:r>
              <w:rPr>
                <w:spacing w:val="4"/>
              </w:rPr>
              <w:t xml:space="preserve"> </w:t>
            </w:r>
            <w:r>
              <w:t>along</w:t>
            </w:r>
            <w:r>
              <w:rPr>
                <w:spacing w:val="3"/>
              </w:rPr>
              <w:t xml:space="preserve"> </w:t>
            </w:r>
            <w:r>
              <w:t>with</w:t>
            </w:r>
            <w:r>
              <w:rPr>
                <w:spacing w:val="5"/>
              </w:rPr>
              <w:t xml:space="preserve"> </w:t>
            </w:r>
            <w:r>
              <w:t>lines</w:t>
            </w:r>
          </w:p>
        </w:tc>
        <w:tc>
          <w:tcPr>
            <w:tcW w:w="1275" w:type="dxa"/>
          </w:tcPr>
          <w:p w14:paraId="2AEF7117" w14:textId="77777777" w:rsidR="00974443" w:rsidRDefault="00974443" w:rsidP="00A35221">
            <w:pPr>
              <w:pStyle w:val="TableParagraph"/>
              <w:spacing w:before="160"/>
              <w:ind w:left="30" w:right="17"/>
              <w:jc w:val="center"/>
            </w:pPr>
            <w:r>
              <w:t>43.13</w:t>
            </w:r>
          </w:p>
        </w:tc>
        <w:tc>
          <w:tcPr>
            <w:tcW w:w="1558" w:type="dxa"/>
          </w:tcPr>
          <w:p w14:paraId="3ED25274" w14:textId="77777777" w:rsidR="00974443" w:rsidRDefault="00974443" w:rsidP="00A35221">
            <w:pPr>
              <w:pStyle w:val="TableParagraph"/>
              <w:spacing w:before="160"/>
              <w:ind w:left="184"/>
              <w:jc w:val="center"/>
            </w:pPr>
            <w:r>
              <w:t>20.00</w:t>
            </w:r>
          </w:p>
        </w:tc>
      </w:tr>
      <w:tr w:rsidR="00974443" w14:paraId="37370BCB" w14:textId="77777777" w:rsidTr="00A35221">
        <w:trPr>
          <w:trHeight w:val="769"/>
        </w:trPr>
        <w:tc>
          <w:tcPr>
            <w:tcW w:w="694" w:type="dxa"/>
            <w:vMerge/>
          </w:tcPr>
          <w:p w14:paraId="366344F9" w14:textId="77777777" w:rsidR="00974443" w:rsidRPr="004417A7" w:rsidRDefault="00974443" w:rsidP="00A35221">
            <w:pPr>
              <w:rPr>
                <w:b/>
                <w:sz w:val="2"/>
                <w:szCs w:val="2"/>
              </w:rPr>
            </w:pPr>
          </w:p>
        </w:tc>
        <w:tc>
          <w:tcPr>
            <w:tcW w:w="1559" w:type="dxa"/>
            <w:vMerge/>
          </w:tcPr>
          <w:p w14:paraId="1959D755" w14:textId="77777777" w:rsidR="00974443" w:rsidRDefault="00974443" w:rsidP="00A35221">
            <w:pPr>
              <w:rPr>
                <w:sz w:val="2"/>
                <w:szCs w:val="2"/>
              </w:rPr>
            </w:pPr>
          </w:p>
        </w:tc>
        <w:tc>
          <w:tcPr>
            <w:tcW w:w="4111" w:type="dxa"/>
          </w:tcPr>
          <w:p w14:paraId="26A6874F" w14:textId="77777777" w:rsidR="00974443" w:rsidRDefault="00974443" w:rsidP="00A35221">
            <w:pPr>
              <w:pStyle w:val="TableParagraph"/>
              <w:spacing w:line="244" w:lineRule="auto"/>
              <w:ind w:left="101"/>
            </w:pPr>
            <w:r>
              <w:t>Addition</w:t>
            </w:r>
            <w:r>
              <w:rPr>
                <w:spacing w:val="3"/>
              </w:rPr>
              <w:t xml:space="preserve"> </w:t>
            </w:r>
            <w:r>
              <w:t>of</w:t>
            </w:r>
            <w:r>
              <w:rPr>
                <w:spacing w:val="2"/>
              </w:rPr>
              <w:t xml:space="preserve"> </w:t>
            </w:r>
            <w:r>
              <w:t>LT</w:t>
            </w:r>
            <w:r>
              <w:rPr>
                <w:spacing w:val="4"/>
              </w:rPr>
              <w:t xml:space="preserve"> </w:t>
            </w:r>
            <w:r>
              <w:t>for</w:t>
            </w:r>
            <w:r>
              <w:rPr>
                <w:spacing w:val="3"/>
              </w:rPr>
              <w:t xml:space="preserve"> </w:t>
            </w:r>
            <w:r>
              <w:t>New</w:t>
            </w:r>
            <w:r>
              <w:rPr>
                <w:spacing w:val="1"/>
              </w:rPr>
              <w:t xml:space="preserve"> </w:t>
            </w:r>
            <w:r>
              <w:t>connection</w:t>
            </w:r>
            <w:r>
              <w:rPr>
                <w:spacing w:val="14"/>
              </w:rPr>
              <w:t xml:space="preserve"> </w:t>
            </w:r>
            <w:r>
              <w:t>&amp;</w:t>
            </w:r>
            <w:r>
              <w:rPr>
                <w:spacing w:val="9"/>
              </w:rPr>
              <w:t xml:space="preserve"> </w:t>
            </w:r>
            <w:r>
              <w:t>mitigation</w:t>
            </w:r>
            <w:r>
              <w:rPr>
                <w:spacing w:val="10"/>
              </w:rPr>
              <w:t xml:space="preserve"> </w:t>
            </w:r>
            <w:r>
              <w:t>of</w:t>
            </w:r>
            <w:r>
              <w:rPr>
                <w:spacing w:val="14"/>
              </w:rPr>
              <w:t xml:space="preserve"> </w:t>
            </w:r>
            <w:r>
              <w:t>over</w:t>
            </w:r>
          </w:p>
          <w:p w14:paraId="5DA1BAB6" w14:textId="77777777" w:rsidR="00974443" w:rsidRDefault="00974443" w:rsidP="00A35221">
            <w:pPr>
              <w:pStyle w:val="TableParagraph"/>
              <w:spacing w:line="244" w:lineRule="exact"/>
              <w:ind w:left="101"/>
            </w:pPr>
            <w:r>
              <w:t>load</w:t>
            </w:r>
            <w:r>
              <w:rPr>
                <w:spacing w:val="10"/>
              </w:rPr>
              <w:t xml:space="preserve"> </w:t>
            </w:r>
            <w:r>
              <w:t>LT</w:t>
            </w:r>
            <w:r>
              <w:rPr>
                <w:spacing w:val="8"/>
              </w:rPr>
              <w:t xml:space="preserve"> </w:t>
            </w:r>
            <w:r>
              <w:t>feeders.</w:t>
            </w:r>
          </w:p>
        </w:tc>
        <w:tc>
          <w:tcPr>
            <w:tcW w:w="1275" w:type="dxa"/>
          </w:tcPr>
          <w:p w14:paraId="2084D03B" w14:textId="77777777" w:rsidR="00974443" w:rsidRDefault="00974443" w:rsidP="00A35221">
            <w:pPr>
              <w:pStyle w:val="TableParagraph"/>
              <w:spacing w:before="1"/>
              <w:rPr>
                <w:b/>
              </w:rPr>
            </w:pPr>
          </w:p>
          <w:p w14:paraId="2235216E" w14:textId="77777777" w:rsidR="00974443" w:rsidRDefault="00974443" w:rsidP="00A35221">
            <w:pPr>
              <w:pStyle w:val="TableParagraph"/>
              <w:ind w:left="30" w:right="17"/>
              <w:jc w:val="center"/>
            </w:pPr>
            <w:r>
              <w:t>8.97</w:t>
            </w:r>
          </w:p>
        </w:tc>
        <w:tc>
          <w:tcPr>
            <w:tcW w:w="1558" w:type="dxa"/>
          </w:tcPr>
          <w:p w14:paraId="6B504310" w14:textId="77777777" w:rsidR="00974443" w:rsidRDefault="00974443" w:rsidP="00A35221">
            <w:pPr>
              <w:pStyle w:val="TableParagraph"/>
              <w:spacing w:before="1"/>
              <w:jc w:val="center"/>
              <w:rPr>
                <w:b/>
              </w:rPr>
            </w:pPr>
          </w:p>
          <w:p w14:paraId="0129AF4F" w14:textId="77777777" w:rsidR="00974443" w:rsidRDefault="00974443" w:rsidP="00A35221">
            <w:pPr>
              <w:pStyle w:val="TableParagraph"/>
              <w:ind w:left="241"/>
              <w:jc w:val="center"/>
            </w:pPr>
            <w:r>
              <w:t>5.00</w:t>
            </w:r>
          </w:p>
        </w:tc>
      </w:tr>
      <w:tr w:rsidR="00974443" w14:paraId="62365696" w14:textId="77777777" w:rsidTr="00A35221">
        <w:trPr>
          <w:trHeight w:val="519"/>
        </w:trPr>
        <w:tc>
          <w:tcPr>
            <w:tcW w:w="694" w:type="dxa"/>
            <w:vMerge/>
          </w:tcPr>
          <w:p w14:paraId="55CC3706" w14:textId="77777777" w:rsidR="00974443" w:rsidRPr="004417A7" w:rsidRDefault="00974443" w:rsidP="00A35221">
            <w:pPr>
              <w:rPr>
                <w:b/>
                <w:sz w:val="2"/>
                <w:szCs w:val="2"/>
              </w:rPr>
            </w:pPr>
          </w:p>
        </w:tc>
        <w:tc>
          <w:tcPr>
            <w:tcW w:w="1559" w:type="dxa"/>
            <w:vMerge/>
          </w:tcPr>
          <w:p w14:paraId="1667C30A" w14:textId="77777777" w:rsidR="00974443" w:rsidRDefault="00974443" w:rsidP="00A35221">
            <w:pPr>
              <w:rPr>
                <w:sz w:val="2"/>
                <w:szCs w:val="2"/>
              </w:rPr>
            </w:pPr>
          </w:p>
        </w:tc>
        <w:tc>
          <w:tcPr>
            <w:tcW w:w="4111" w:type="dxa"/>
          </w:tcPr>
          <w:p w14:paraId="25B212A7" w14:textId="77777777" w:rsidR="00974443" w:rsidRDefault="00974443" w:rsidP="00A35221">
            <w:pPr>
              <w:pStyle w:val="TableParagraph"/>
              <w:spacing w:line="248" w:lineRule="exact"/>
              <w:ind w:left="101"/>
            </w:pPr>
            <w:r>
              <w:t>Addition</w:t>
            </w:r>
            <w:r>
              <w:rPr>
                <w:spacing w:val="9"/>
              </w:rPr>
              <w:t xml:space="preserve"> </w:t>
            </w:r>
            <w:r>
              <w:t>of</w:t>
            </w:r>
            <w:r>
              <w:rPr>
                <w:spacing w:val="8"/>
              </w:rPr>
              <w:t xml:space="preserve"> </w:t>
            </w:r>
            <w:r>
              <w:t>11</w:t>
            </w:r>
            <w:r>
              <w:rPr>
                <w:spacing w:val="12"/>
              </w:rPr>
              <w:t xml:space="preserve"> </w:t>
            </w:r>
            <w:r>
              <w:t>kV</w:t>
            </w:r>
            <w:r>
              <w:rPr>
                <w:spacing w:val="9"/>
              </w:rPr>
              <w:t xml:space="preserve"> </w:t>
            </w:r>
            <w:r>
              <w:t>Lines</w:t>
            </w:r>
            <w:r>
              <w:rPr>
                <w:spacing w:val="9"/>
              </w:rPr>
              <w:t xml:space="preserve"> </w:t>
            </w:r>
            <w:r>
              <w:t>(O/H</w:t>
            </w:r>
          </w:p>
          <w:p w14:paraId="3B82571A" w14:textId="77777777" w:rsidR="00974443" w:rsidRDefault="00974443" w:rsidP="00A35221">
            <w:pPr>
              <w:pStyle w:val="TableParagraph"/>
              <w:spacing w:line="260" w:lineRule="atLeast"/>
              <w:ind w:left="101"/>
            </w:pPr>
            <w:r>
              <w:t>and</w:t>
            </w:r>
            <w:r>
              <w:rPr>
                <w:spacing w:val="7"/>
              </w:rPr>
              <w:t xml:space="preserve"> </w:t>
            </w:r>
            <w:r>
              <w:t>U/G)</w:t>
            </w:r>
            <w:r>
              <w:rPr>
                <w:spacing w:val="7"/>
              </w:rPr>
              <w:t xml:space="preserve"> </w:t>
            </w:r>
            <w:r>
              <w:t>along</w:t>
            </w:r>
            <w:r>
              <w:rPr>
                <w:spacing w:val="10"/>
              </w:rPr>
              <w:t xml:space="preserve"> </w:t>
            </w:r>
            <w:r>
              <w:t>with</w:t>
            </w:r>
            <w:r>
              <w:rPr>
                <w:spacing w:val="9"/>
              </w:rPr>
              <w:t xml:space="preserve"> </w:t>
            </w:r>
            <w:r>
              <w:t>Bay</w:t>
            </w:r>
            <w:r>
              <w:rPr>
                <w:spacing w:val="-52"/>
              </w:rPr>
              <w:t xml:space="preserve"> </w:t>
            </w:r>
            <w:r>
              <w:t>arrangement</w:t>
            </w:r>
            <w:r>
              <w:rPr>
                <w:spacing w:val="7"/>
              </w:rPr>
              <w:t xml:space="preserve"> </w:t>
            </w:r>
            <w:r>
              <w:t>in</w:t>
            </w:r>
            <w:r>
              <w:rPr>
                <w:spacing w:val="5"/>
              </w:rPr>
              <w:t xml:space="preserve"> </w:t>
            </w:r>
            <w:r>
              <w:t>PSS</w:t>
            </w:r>
          </w:p>
        </w:tc>
        <w:tc>
          <w:tcPr>
            <w:tcW w:w="1275" w:type="dxa"/>
          </w:tcPr>
          <w:p w14:paraId="12545066" w14:textId="77777777" w:rsidR="00974443" w:rsidRDefault="00974443" w:rsidP="00A35221">
            <w:pPr>
              <w:pStyle w:val="TableParagraph"/>
              <w:spacing w:before="1"/>
              <w:rPr>
                <w:b/>
              </w:rPr>
            </w:pPr>
          </w:p>
          <w:p w14:paraId="479D0543" w14:textId="77777777" w:rsidR="00974443" w:rsidRDefault="00974443" w:rsidP="00A35221">
            <w:pPr>
              <w:pStyle w:val="TableParagraph"/>
              <w:ind w:left="30" w:right="17"/>
              <w:jc w:val="center"/>
            </w:pPr>
            <w:r>
              <w:t>29.99</w:t>
            </w:r>
          </w:p>
        </w:tc>
        <w:tc>
          <w:tcPr>
            <w:tcW w:w="1558" w:type="dxa"/>
          </w:tcPr>
          <w:p w14:paraId="6DDFBB9F" w14:textId="77777777" w:rsidR="00974443" w:rsidRDefault="00974443" w:rsidP="00A35221">
            <w:pPr>
              <w:pStyle w:val="TableParagraph"/>
              <w:spacing w:before="1"/>
              <w:jc w:val="center"/>
              <w:rPr>
                <w:b/>
              </w:rPr>
            </w:pPr>
          </w:p>
          <w:p w14:paraId="3B2DAC43" w14:textId="77777777" w:rsidR="00974443" w:rsidRDefault="00974443" w:rsidP="00A35221">
            <w:pPr>
              <w:pStyle w:val="TableParagraph"/>
              <w:ind w:left="184"/>
              <w:jc w:val="center"/>
            </w:pPr>
            <w:r>
              <w:t>19.84</w:t>
            </w:r>
          </w:p>
        </w:tc>
      </w:tr>
      <w:tr w:rsidR="00974443" w14:paraId="005A5E4A" w14:textId="77777777" w:rsidTr="00A35221">
        <w:trPr>
          <w:trHeight w:val="553"/>
        </w:trPr>
        <w:tc>
          <w:tcPr>
            <w:tcW w:w="694" w:type="dxa"/>
            <w:vMerge/>
          </w:tcPr>
          <w:p w14:paraId="59A4A6EF" w14:textId="77777777" w:rsidR="00974443" w:rsidRPr="004417A7" w:rsidRDefault="00974443" w:rsidP="00A35221">
            <w:pPr>
              <w:rPr>
                <w:b/>
                <w:sz w:val="2"/>
                <w:szCs w:val="2"/>
              </w:rPr>
            </w:pPr>
          </w:p>
        </w:tc>
        <w:tc>
          <w:tcPr>
            <w:tcW w:w="1559" w:type="dxa"/>
            <w:vMerge/>
          </w:tcPr>
          <w:p w14:paraId="1CA514FD" w14:textId="77777777" w:rsidR="00974443" w:rsidRDefault="00974443" w:rsidP="00A35221">
            <w:pPr>
              <w:rPr>
                <w:sz w:val="2"/>
                <w:szCs w:val="2"/>
              </w:rPr>
            </w:pPr>
          </w:p>
        </w:tc>
        <w:tc>
          <w:tcPr>
            <w:tcW w:w="4111" w:type="dxa"/>
          </w:tcPr>
          <w:p w14:paraId="0422F28C" w14:textId="77777777" w:rsidR="00974443" w:rsidRDefault="00974443" w:rsidP="00A35221">
            <w:pPr>
              <w:pStyle w:val="TableParagraph"/>
              <w:spacing w:line="247" w:lineRule="exact"/>
              <w:ind w:left="101"/>
            </w:pPr>
            <w:r>
              <w:t>Addition</w:t>
            </w:r>
            <w:r>
              <w:rPr>
                <w:spacing w:val="9"/>
              </w:rPr>
              <w:t xml:space="preserve"> </w:t>
            </w:r>
            <w:r>
              <w:t>of</w:t>
            </w:r>
            <w:r>
              <w:rPr>
                <w:spacing w:val="8"/>
              </w:rPr>
              <w:t xml:space="preserve"> </w:t>
            </w:r>
            <w:r>
              <w:t>33</w:t>
            </w:r>
            <w:r>
              <w:rPr>
                <w:spacing w:val="12"/>
              </w:rPr>
              <w:t xml:space="preserve"> </w:t>
            </w:r>
            <w:r>
              <w:t>kV</w:t>
            </w:r>
            <w:r>
              <w:rPr>
                <w:spacing w:val="9"/>
              </w:rPr>
              <w:t xml:space="preserve"> </w:t>
            </w:r>
            <w:r>
              <w:t>Lines</w:t>
            </w:r>
            <w:r>
              <w:rPr>
                <w:spacing w:val="9"/>
              </w:rPr>
              <w:t xml:space="preserve"> </w:t>
            </w:r>
            <w:r>
              <w:t>(O/H</w:t>
            </w:r>
          </w:p>
          <w:p w14:paraId="4BBFA705" w14:textId="77777777" w:rsidR="00974443" w:rsidRDefault="00974443" w:rsidP="00A35221">
            <w:pPr>
              <w:pStyle w:val="TableParagraph"/>
              <w:spacing w:line="248" w:lineRule="exact"/>
              <w:ind w:left="101"/>
            </w:pPr>
            <w:r>
              <w:t>and</w:t>
            </w:r>
            <w:r>
              <w:rPr>
                <w:spacing w:val="7"/>
              </w:rPr>
              <w:t xml:space="preserve"> </w:t>
            </w:r>
            <w:r>
              <w:t>U/G)</w:t>
            </w:r>
            <w:r>
              <w:rPr>
                <w:spacing w:val="7"/>
              </w:rPr>
              <w:t xml:space="preserve"> </w:t>
            </w:r>
            <w:r>
              <w:t>along</w:t>
            </w:r>
            <w:r>
              <w:rPr>
                <w:spacing w:val="10"/>
              </w:rPr>
              <w:t xml:space="preserve"> </w:t>
            </w:r>
            <w:r>
              <w:t>with</w:t>
            </w:r>
            <w:r>
              <w:rPr>
                <w:spacing w:val="9"/>
              </w:rPr>
              <w:t xml:space="preserve"> </w:t>
            </w:r>
            <w:r>
              <w:t>Bay</w:t>
            </w:r>
            <w:r>
              <w:rPr>
                <w:spacing w:val="-52"/>
              </w:rPr>
              <w:t xml:space="preserve"> </w:t>
            </w:r>
            <w:r>
              <w:t>arrangement</w:t>
            </w:r>
            <w:r>
              <w:rPr>
                <w:spacing w:val="7"/>
              </w:rPr>
              <w:t xml:space="preserve"> </w:t>
            </w:r>
            <w:r>
              <w:t>in</w:t>
            </w:r>
            <w:r>
              <w:rPr>
                <w:spacing w:val="5"/>
              </w:rPr>
              <w:t xml:space="preserve"> </w:t>
            </w:r>
            <w:r>
              <w:t>PSS</w:t>
            </w:r>
          </w:p>
        </w:tc>
        <w:tc>
          <w:tcPr>
            <w:tcW w:w="1275" w:type="dxa"/>
          </w:tcPr>
          <w:p w14:paraId="12775392" w14:textId="77777777" w:rsidR="00974443" w:rsidRDefault="00974443" w:rsidP="00A35221">
            <w:pPr>
              <w:pStyle w:val="TableParagraph"/>
              <w:spacing w:before="2"/>
              <w:jc w:val="center"/>
              <w:rPr>
                <w:b/>
              </w:rPr>
            </w:pPr>
          </w:p>
          <w:p w14:paraId="06CDB8F9" w14:textId="77777777" w:rsidR="00974443" w:rsidRDefault="00974443" w:rsidP="00A35221">
            <w:pPr>
              <w:pStyle w:val="TableParagraph"/>
              <w:spacing w:before="1"/>
              <w:jc w:val="center"/>
              <w:rPr>
                <w:b/>
              </w:rPr>
            </w:pPr>
            <w:r>
              <w:t>25.30</w:t>
            </w:r>
          </w:p>
        </w:tc>
        <w:tc>
          <w:tcPr>
            <w:tcW w:w="1558" w:type="dxa"/>
          </w:tcPr>
          <w:p w14:paraId="1D3DCD06" w14:textId="77777777" w:rsidR="00974443" w:rsidRDefault="00974443" w:rsidP="00A35221">
            <w:pPr>
              <w:pStyle w:val="TableParagraph"/>
              <w:spacing w:before="2"/>
              <w:jc w:val="center"/>
              <w:rPr>
                <w:b/>
              </w:rPr>
            </w:pPr>
          </w:p>
          <w:p w14:paraId="66EF2B3B" w14:textId="77777777" w:rsidR="00974443" w:rsidRDefault="00974443" w:rsidP="00A35221">
            <w:pPr>
              <w:pStyle w:val="TableParagraph"/>
              <w:spacing w:before="1"/>
              <w:jc w:val="center"/>
              <w:rPr>
                <w:b/>
              </w:rPr>
            </w:pPr>
            <w:r>
              <w:t>16.85</w:t>
            </w:r>
          </w:p>
        </w:tc>
      </w:tr>
      <w:tr w:rsidR="00974443" w14:paraId="73A042E5" w14:textId="77777777" w:rsidTr="00A35221">
        <w:trPr>
          <w:trHeight w:val="507"/>
        </w:trPr>
        <w:tc>
          <w:tcPr>
            <w:tcW w:w="694" w:type="dxa"/>
            <w:vMerge/>
          </w:tcPr>
          <w:p w14:paraId="25DFE6EB" w14:textId="77777777" w:rsidR="00974443" w:rsidRPr="004417A7" w:rsidRDefault="00974443" w:rsidP="00A35221">
            <w:pPr>
              <w:rPr>
                <w:b/>
                <w:sz w:val="2"/>
                <w:szCs w:val="2"/>
              </w:rPr>
            </w:pPr>
          </w:p>
        </w:tc>
        <w:tc>
          <w:tcPr>
            <w:tcW w:w="1559" w:type="dxa"/>
            <w:vMerge/>
          </w:tcPr>
          <w:p w14:paraId="19AA9B65" w14:textId="77777777" w:rsidR="00974443" w:rsidRDefault="00974443" w:rsidP="00A35221">
            <w:pPr>
              <w:rPr>
                <w:sz w:val="2"/>
                <w:szCs w:val="2"/>
              </w:rPr>
            </w:pPr>
          </w:p>
        </w:tc>
        <w:tc>
          <w:tcPr>
            <w:tcW w:w="4111" w:type="dxa"/>
          </w:tcPr>
          <w:p w14:paraId="41182145" w14:textId="77777777" w:rsidR="00974443" w:rsidRDefault="00974443" w:rsidP="00A35221">
            <w:pPr>
              <w:pStyle w:val="TableParagraph"/>
              <w:spacing w:line="248" w:lineRule="exact"/>
              <w:ind w:left="101"/>
            </w:pPr>
            <w:r>
              <w:t>Addition</w:t>
            </w:r>
            <w:r>
              <w:rPr>
                <w:spacing w:val="13"/>
              </w:rPr>
              <w:t xml:space="preserve"> </w:t>
            </w:r>
            <w:r>
              <w:t>New</w:t>
            </w:r>
            <w:r>
              <w:rPr>
                <w:spacing w:val="10"/>
              </w:rPr>
              <w:t xml:space="preserve"> </w:t>
            </w:r>
            <w:r>
              <w:t>DTRs</w:t>
            </w:r>
            <w:r>
              <w:rPr>
                <w:spacing w:val="13"/>
              </w:rPr>
              <w:t xml:space="preserve"> </w:t>
            </w:r>
            <w:r>
              <w:t>along</w:t>
            </w:r>
            <w:r>
              <w:rPr>
                <w:spacing w:val="11"/>
              </w:rPr>
              <w:t xml:space="preserve"> </w:t>
            </w:r>
            <w:r>
              <w:t>with</w:t>
            </w:r>
            <w:r>
              <w:rPr>
                <w:spacing w:val="-52"/>
              </w:rPr>
              <w:t xml:space="preserve"> </w:t>
            </w:r>
            <w:r>
              <w:t>Associated</w:t>
            </w:r>
            <w:r>
              <w:rPr>
                <w:spacing w:val="3"/>
              </w:rPr>
              <w:t xml:space="preserve"> </w:t>
            </w:r>
            <w:r>
              <w:t>HT/LT</w:t>
            </w:r>
            <w:r>
              <w:rPr>
                <w:spacing w:val="4"/>
              </w:rPr>
              <w:t xml:space="preserve"> </w:t>
            </w:r>
            <w:r>
              <w:t>lines</w:t>
            </w:r>
          </w:p>
        </w:tc>
        <w:tc>
          <w:tcPr>
            <w:tcW w:w="1275" w:type="dxa"/>
          </w:tcPr>
          <w:p w14:paraId="55C13B04" w14:textId="77777777" w:rsidR="00974443" w:rsidRDefault="00974443" w:rsidP="00A35221">
            <w:pPr>
              <w:pStyle w:val="TableParagraph"/>
              <w:spacing w:before="1"/>
              <w:jc w:val="center"/>
              <w:rPr>
                <w:b/>
              </w:rPr>
            </w:pPr>
            <w:r>
              <w:t>18.31</w:t>
            </w:r>
          </w:p>
        </w:tc>
        <w:tc>
          <w:tcPr>
            <w:tcW w:w="1558" w:type="dxa"/>
          </w:tcPr>
          <w:p w14:paraId="7101F852" w14:textId="77777777" w:rsidR="00974443" w:rsidRDefault="00974443" w:rsidP="00A35221">
            <w:pPr>
              <w:pStyle w:val="TableParagraph"/>
              <w:spacing w:before="1"/>
              <w:jc w:val="center"/>
              <w:rPr>
                <w:b/>
              </w:rPr>
            </w:pPr>
            <w:r>
              <w:t>18.31</w:t>
            </w:r>
          </w:p>
        </w:tc>
      </w:tr>
      <w:tr w:rsidR="00974443" w14:paraId="170E5153" w14:textId="77777777" w:rsidTr="00A35221">
        <w:trPr>
          <w:trHeight w:val="433"/>
        </w:trPr>
        <w:tc>
          <w:tcPr>
            <w:tcW w:w="694" w:type="dxa"/>
            <w:vMerge/>
          </w:tcPr>
          <w:p w14:paraId="6633349D" w14:textId="77777777" w:rsidR="00974443" w:rsidRPr="004417A7" w:rsidRDefault="00974443" w:rsidP="00A35221">
            <w:pPr>
              <w:rPr>
                <w:b/>
                <w:sz w:val="2"/>
                <w:szCs w:val="2"/>
              </w:rPr>
            </w:pPr>
          </w:p>
        </w:tc>
        <w:tc>
          <w:tcPr>
            <w:tcW w:w="1559" w:type="dxa"/>
            <w:vMerge/>
          </w:tcPr>
          <w:p w14:paraId="55765AC1" w14:textId="77777777" w:rsidR="00974443" w:rsidRDefault="00974443" w:rsidP="00A35221">
            <w:pPr>
              <w:rPr>
                <w:sz w:val="2"/>
                <w:szCs w:val="2"/>
              </w:rPr>
            </w:pPr>
          </w:p>
        </w:tc>
        <w:tc>
          <w:tcPr>
            <w:tcW w:w="4111" w:type="dxa"/>
          </w:tcPr>
          <w:p w14:paraId="38847149" w14:textId="77777777" w:rsidR="00974443" w:rsidRDefault="00974443" w:rsidP="00A35221">
            <w:pPr>
              <w:pStyle w:val="TableParagraph"/>
              <w:spacing w:line="248" w:lineRule="exact"/>
              <w:ind w:left="101"/>
            </w:pPr>
            <w:r>
              <w:rPr>
                <w:b/>
              </w:rPr>
              <w:t>Sub</w:t>
            </w:r>
            <w:r>
              <w:rPr>
                <w:b/>
                <w:spacing w:val="5"/>
              </w:rPr>
              <w:t xml:space="preserve"> </w:t>
            </w:r>
            <w:r>
              <w:rPr>
                <w:b/>
              </w:rPr>
              <w:t>Total:</w:t>
            </w:r>
            <w:r>
              <w:rPr>
                <w:b/>
                <w:spacing w:val="5"/>
              </w:rPr>
              <w:t xml:space="preserve"> </w:t>
            </w:r>
            <w:r>
              <w:rPr>
                <w:b/>
              </w:rPr>
              <w:t>Network</w:t>
            </w:r>
            <w:r>
              <w:rPr>
                <w:b/>
                <w:spacing w:val="1"/>
              </w:rPr>
              <w:t xml:space="preserve"> </w:t>
            </w:r>
            <w:r>
              <w:rPr>
                <w:b/>
              </w:rPr>
              <w:t>Optimization</w:t>
            </w:r>
            <w:r>
              <w:rPr>
                <w:b/>
                <w:spacing w:val="16"/>
              </w:rPr>
              <w:t xml:space="preserve"> </w:t>
            </w:r>
            <w:r>
              <w:rPr>
                <w:b/>
              </w:rPr>
              <w:t>&amp;</w:t>
            </w:r>
            <w:r>
              <w:rPr>
                <w:b/>
                <w:spacing w:val="13"/>
              </w:rPr>
              <w:t xml:space="preserve"> </w:t>
            </w:r>
            <w:r>
              <w:rPr>
                <w:b/>
              </w:rPr>
              <w:t>Load</w:t>
            </w:r>
            <w:r>
              <w:rPr>
                <w:b/>
                <w:spacing w:val="17"/>
              </w:rPr>
              <w:t xml:space="preserve"> </w:t>
            </w:r>
            <w:r>
              <w:rPr>
                <w:b/>
              </w:rPr>
              <w:t>Growth</w:t>
            </w:r>
          </w:p>
        </w:tc>
        <w:tc>
          <w:tcPr>
            <w:tcW w:w="1275" w:type="dxa"/>
          </w:tcPr>
          <w:p w14:paraId="4BFAC8D2" w14:textId="77777777" w:rsidR="00974443" w:rsidRDefault="00974443" w:rsidP="00A35221">
            <w:pPr>
              <w:pStyle w:val="TableParagraph"/>
              <w:spacing w:before="1"/>
              <w:jc w:val="center"/>
              <w:rPr>
                <w:b/>
              </w:rPr>
            </w:pPr>
            <w:r>
              <w:rPr>
                <w:b/>
              </w:rPr>
              <w:t>156.32</w:t>
            </w:r>
          </w:p>
        </w:tc>
        <w:tc>
          <w:tcPr>
            <w:tcW w:w="1558" w:type="dxa"/>
          </w:tcPr>
          <w:p w14:paraId="6EF70F2E" w14:textId="77777777" w:rsidR="00974443" w:rsidRDefault="00974443" w:rsidP="00A35221">
            <w:pPr>
              <w:pStyle w:val="TableParagraph"/>
              <w:spacing w:before="1"/>
              <w:jc w:val="center"/>
              <w:rPr>
                <w:b/>
              </w:rPr>
            </w:pPr>
            <w:r>
              <w:rPr>
                <w:b/>
              </w:rPr>
              <w:t>100.61</w:t>
            </w:r>
          </w:p>
        </w:tc>
      </w:tr>
      <w:tr w:rsidR="00974443" w14:paraId="67C371B2" w14:textId="77777777" w:rsidTr="00A35221">
        <w:trPr>
          <w:trHeight w:val="272"/>
        </w:trPr>
        <w:tc>
          <w:tcPr>
            <w:tcW w:w="694" w:type="dxa"/>
            <w:vMerge w:val="restart"/>
          </w:tcPr>
          <w:p w14:paraId="1B528923" w14:textId="77777777" w:rsidR="00974443" w:rsidRPr="004417A7" w:rsidRDefault="00974443" w:rsidP="00A35221">
            <w:pPr>
              <w:jc w:val="center"/>
              <w:rPr>
                <w:rFonts w:asciiTheme="minorHAnsi" w:hAnsiTheme="minorHAnsi" w:cstheme="minorHAnsi"/>
                <w:b/>
                <w:sz w:val="22"/>
              </w:rPr>
            </w:pPr>
          </w:p>
          <w:p w14:paraId="4863CF18" w14:textId="77777777" w:rsidR="00974443" w:rsidRPr="004417A7" w:rsidRDefault="00974443" w:rsidP="00A35221">
            <w:pPr>
              <w:jc w:val="center"/>
              <w:rPr>
                <w:rFonts w:asciiTheme="minorHAnsi" w:hAnsiTheme="minorHAnsi" w:cstheme="minorHAnsi"/>
                <w:b/>
                <w:sz w:val="22"/>
              </w:rPr>
            </w:pPr>
          </w:p>
          <w:p w14:paraId="380C9B38" w14:textId="77777777" w:rsidR="00974443" w:rsidRPr="004417A7" w:rsidRDefault="00974443" w:rsidP="00A35221">
            <w:pPr>
              <w:jc w:val="center"/>
              <w:rPr>
                <w:rFonts w:asciiTheme="minorHAnsi" w:hAnsiTheme="minorHAnsi" w:cstheme="minorHAnsi"/>
                <w:b/>
                <w:sz w:val="22"/>
              </w:rPr>
            </w:pPr>
          </w:p>
          <w:p w14:paraId="56AB8278" w14:textId="77777777" w:rsidR="00974443" w:rsidRPr="004417A7" w:rsidRDefault="00974443" w:rsidP="00A35221">
            <w:pPr>
              <w:jc w:val="center"/>
              <w:rPr>
                <w:rFonts w:asciiTheme="minorHAnsi" w:hAnsiTheme="minorHAnsi" w:cstheme="minorHAnsi"/>
                <w:b/>
                <w:sz w:val="22"/>
              </w:rPr>
            </w:pPr>
          </w:p>
          <w:p w14:paraId="0CB9083E" w14:textId="77777777" w:rsidR="00974443" w:rsidRPr="004417A7" w:rsidRDefault="00974443" w:rsidP="00A35221">
            <w:pPr>
              <w:jc w:val="center"/>
              <w:rPr>
                <w:rFonts w:asciiTheme="minorHAnsi" w:hAnsiTheme="minorHAnsi" w:cstheme="minorHAnsi"/>
                <w:b/>
                <w:sz w:val="22"/>
              </w:rPr>
            </w:pPr>
          </w:p>
          <w:p w14:paraId="317DF36A" w14:textId="77777777" w:rsidR="00974443" w:rsidRPr="004417A7" w:rsidRDefault="00974443" w:rsidP="00A35221">
            <w:pPr>
              <w:jc w:val="center"/>
              <w:rPr>
                <w:rFonts w:asciiTheme="minorHAnsi" w:hAnsiTheme="minorHAnsi" w:cstheme="minorHAnsi"/>
                <w:b/>
                <w:sz w:val="22"/>
              </w:rPr>
            </w:pPr>
          </w:p>
          <w:p w14:paraId="47EFE886" w14:textId="77777777" w:rsidR="00974443" w:rsidRPr="004417A7" w:rsidRDefault="00974443" w:rsidP="00A35221">
            <w:pPr>
              <w:jc w:val="center"/>
              <w:rPr>
                <w:rFonts w:asciiTheme="minorHAnsi" w:hAnsiTheme="minorHAnsi" w:cstheme="minorHAnsi"/>
                <w:b/>
                <w:sz w:val="22"/>
              </w:rPr>
            </w:pPr>
          </w:p>
          <w:p w14:paraId="59B82D4D" w14:textId="77777777" w:rsidR="00974443" w:rsidRPr="004417A7" w:rsidRDefault="00974443" w:rsidP="00A35221">
            <w:pPr>
              <w:jc w:val="center"/>
              <w:rPr>
                <w:rFonts w:asciiTheme="minorHAnsi" w:hAnsiTheme="minorHAnsi" w:cstheme="minorHAnsi"/>
                <w:b/>
                <w:sz w:val="22"/>
              </w:rPr>
            </w:pPr>
            <w:r w:rsidRPr="004417A7">
              <w:rPr>
                <w:rFonts w:asciiTheme="minorHAnsi" w:hAnsiTheme="minorHAnsi" w:cstheme="minorHAnsi"/>
                <w:b/>
                <w:sz w:val="22"/>
              </w:rPr>
              <w:t>5</w:t>
            </w:r>
          </w:p>
        </w:tc>
        <w:tc>
          <w:tcPr>
            <w:tcW w:w="1559" w:type="dxa"/>
            <w:vMerge w:val="restart"/>
          </w:tcPr>
          <w:p w14:paraId="09AECDE6" w14:textId="77777777" w:rsidR="00974443" w:rsidRPr="006A42E4" w:rsidRDefault="00974443" w:rsidP="00A35221">
            <w:pPr>
              <w:rPr>
                <w:rFonts w:asciiTheme="minorHAnsi" w:hAnsiTheme="minorHAnsi" w:cstheme="minorHAnsi"/>
                <w:sz w:val="22"/>
              </w:rPr>
            </w:pPr>
          </w:p>
          <w:p w14:paraId="121DABC0" w14:textId="77777777" w:rsidR="00974443" w:rsidRPr="006A42E4" w:rsidRDefault="00974443" w:rsidP="00A35221">
            <w:pPr>
              <w:rPr>
                <w:rFonts w:asciiTheme="minorHAnsi" w:hAnsiTheme="minorHAnsi" w:cstheme="minorHAnsi"/>
                <w:sz w:val="22"/>
              </w:rPr>
            </w:pPr>
          </w:p>
          <w:p w14:paraId="1752AB43" w14:textId="77777777" w:rsidR="00974443" w:rsidRPr="006A42E4" w:rsidRDefault="00974443" w:rsidP="00A35221">
            <w:pPr>
              <w:rPr>
                <w:rFonts w:asciiTheme="minorHAnsi" w:hAnsiTheme="minorHAnsi" w:cstheme="minorHAnsi"/>
                <w:sz w:val="22"/>
              </w:rPr>
            </w:pPr>
          </w:p>
          <w:p w14:paraId="5980D9E4" w14:textId="77777777" w:rsidR="00974443" w:rsidRPr="006A42E4" w:rsidRDefault="00974443" w:rsidP="00A35221">
            <w:pPr>
              <w:rPr>
                <w:rFonts w:asciiTheme="minorHAnsi" w:hAnsiTheme="minorHAnsi" w:cstheme="minorHAnsi"/>
                <w:sz w:val="22"/>
              </w:rPr>
            </w:pPr>
          </w:p>
          <w:p w14:paraId="3F33F4A4" w14:textId="77777777" w:rsidR="00974443" w:rsidRPr="006A42E4" w:rsidRDefault="00974443" w:rsidP="00A35221">
            <w:pPr>
              <w:rPr>
                <w:rFonts w:asciiTheme="minorHAnsi" w:hAnsiTheme="minorHAnsi" w:cstheme="minorHAnsi"/>
                <w:sz w:val="22"/>
              </w:rPr>
            </w:pPr>
          </w:p>
          <w:p w14:paraId="473D183C" w14:textId="77777777" w:rsidR="00974443" w:rsidRPr="006A42E4" w:rsidRDefault="00974443" w:rsidP="00A35221">
            <w:pPr>
              <w:rPr>
                <w:rFonts w:asciiTheme="minorHAnsi" w:hAnsiTheme="minorHAnsi" w:cstheme="minorHAnsi"/>
                <w:sz w:val="22"/>
              </w:rPr>
            </w:pPr>
          </w:p>
          <w:p w14:paraId="0DD79BC7" w14:textId="77777777" w:rsidR="00974443" w:rsidRPr="006A42E4" w:rsidRDefault="00974443" w:rsidP="00A35221">
            <w:pPr>
              <w:jc w:val="center"/>
              <w:rPr>
                <w:rFonts w:asciiTheme="minorHAnsi" w:hAnsiTheme="minorHAnsi" w:cstheme="minorHAnsi"/>
                <w:sz w:val="22"/>
                <w:szCs w:val="22"/>
              </w:rPr>
            </w:pPr>
            <w:r w:rsidRPr="006A42E4">
              <w:rPr>
                <w:rFonts w:asciiTheme="minorHAnsi" w:hAnsiTheme="minorHAnsi" w:cstheme="minorHAnsi"/>
                <w:sz w:val="22"/>
              </w:rPr>
              <w:t>Technology</w:t>
            </w:r>
            <w:r>
              <w:rPr>
                <w:rFonts w:asciiTheme="minorHAnsi" w:hAnsiTheme="minorHAnsi" w:cstheme="minorHAnsi"/>
                <w:sz w:val="22"/>
              </w:rPr>
              <w:t xml:space="preserve"> &amp; IT</w:t>
            </w:r>
          </w:p>
        </w:tc>
        <w:tc>
          <w:tcPr>
            <w:tcW w:w="4111" w:type="dxa"/>
          </w:tcPr>
          <w:p w14:paraId="237FDCF0" w14:textId="77777777" w:rsidR="00974443" w:rsidRDefault="00974443" w:rsidP="00A35221">
            <w:pPr>
              <w:pStyle w:val="TableParagraph"/>
              <w:spacing w:line="249" w:lineRule="exact"/>
              <w:ind w:left="101"/>
            </w:pPr>
            <w:r>
              <w:t>Automation</w:t>
            </w:r>
            <w:r>
              <w:rPr>
                <w:spacing w:val="15"/>
              </w:rPr>
              <w:t xml:space="preserve"> </w:t>
            </w:r>
            <w:r>
              <w:t>of</w:t>
            </w:r>
            <w:r>
              <w:rPr>
                <w:spacing w:val="18"/>
              </w:rPr>
              <w:t xml:space="preserve"> </w:t>
            </w:r>
            <w:r>
              <w:t>conventional PSS</w:t>
            </w:r>
          </w:p>
        </w:tc>
        <w:tc>
          <w:tcPr>
            <w:tcW w:w="1275" w:type="dxa"/>
          </w:tcPr>
          <w:p w14:paraId="7B4BAD23" w14:textId="77777777" w:rsidR="00974443" w:rsidRDefault="00974443" w:rsidP="00A35221">
            <w:pPr>
              <w:pStyle w:val="TableParagraph"/>
              <w:spacing w:before="1"/>
              <w:jc w:val="center"/>
              <w:rPr>
                <w:b/>
              </w:rPr>
            </w:pPr>
            <w:r>
              <w:t>12.23</w:t>
            </w:r>
          </w:p>
        </w:tc>
        <w:tc>
          <w:tcPr>
            <w:tcW w:w="1558" w:type="dxa"/>
          </w:tcPr>
          <w:p w14:paraId="213E22A2" w14:textId="77777777" w:rsidR="00974443" w:rsidRDefault="00974443" w:rsidP="00A35221">
            <w:pPr>
              <w:pStyle w:val="TableParagraph"/>
              <w:spacing w:before="1"/>
              <w:jc w:val="center"/>
              <w:rPr>
                <w:b/>
              </w:rPr>
            </w:pPr>
            <w:r>
              <w:t>12.23</w:t>
            </w:r>
          </w:p>
        </w:tc>
      </w:tr>
      <w:tr w:rsidR="00974443" w14:paraId="39D7A0DE" w14:textId="77777777" w:rsidTr="00A35221">
        <w:trPr>
          <w:trHeight w:val="406"/>
        </w:trPr>
        <w:tc>
          <w:tcPr>
            <w:tcW w:w="694" w:type="dxa"/>
            <w:vMerge/>
          </w:tcPr>
          <w:p w14:paraId="4FEDB97E" w14:textId="77777777" w:rsidR="00974443" w:rsidRPr="004417A7" w:rsidRDefault="00974443" w:rsidP="00A35221">
            <w:pPr>
              <w:rPr>
                <w:b/>
                <w:sz w:val="2"/>
                <w:szCs w:val="2"/>
              </w:rPr>
            </w:pPr>
          </w:p>
        </w:tc>
        <w:tc>
          <w:tcPr>
            <w:tcW w:w="1559" w:type="dxa"/>
            <w:vMerge/>
          </w:tcPr>
          <w:p w14:paraId="6DF1EBF7" w14:textId="77777777" w:rsidR="00974443" w:rsidRDefault="00974443" w:rsidP="00A35221">
            <w:pPr>
              <w:rPr>
                <w:sz w:val="2"/>
                <w:szCs w:val="2"/>
              </w:rPr>
            </w:pPr>
          </w:p>
        </w:tc>
        <w:tc>
          <w:tcPr>
            <w:tcW w:w="4111" w:type="dxa"/>
          </w:tcPr>
          <w:p w14:paraId="74F650B9" w14:textId="77777777" w:rsidR="00974443" w:rsidRDefault="00974443" w:rsidP="00A35221">
            <w:pPr>
              <w:pStyle w:val="TableParagraph"/>
              <w:spacing w:line="248" w:lineRule="exact"/>
              <w:ind w:left="101"/>
            </w:pPr>
            <w:r>
              <w:t>Disaster Recovery</w:t>
            </w:r>
            <w:r>
              <w:rPr>
                <w:spacing w:val="1"/>
              </w:rPr>
              <w:t xml:space="preserve"> </w:t>
            </w:r>
            <w:r>
              <w:t>Centre-</w:t>
            </w:r>
            <w:r>
              <w:rPr>
                <w:spacing w:val="-52"/>
              </w:rPr>
              <w:t xml:space="preserve"> </w:t>
            </w:r>
            <w:r>
              <w:t>Hardware</w:t>
            </w:r>
            <w:r>
              <w:rPr>
                <w:spacing w:val="11"/>
              </w:rPr>
              <w:t xml:space="preserve"> </w:t>
            </w:r>
            <w:r>
              <w:t>and</w:t>
            </w:r>
            <w:r>
              <w:rPr>
                <w:spacing w:val="5"/>
              </w:rPr>
              <w:t xml:space="preserve"> </w:t>
            </w:r>
            <w:r>
              <w:t>Software</w:t>
            </w:r>
          </w:p>
        </w:tc>
        <w:tc>
          <w:tcPr>
            <w:tcW w:w="1275" w:type="dxa"/>
          </w:tcPr>
          <w:p w14:paraId="2883BBED" w14:textId="77777777" w:rsidR="00974443" w:rsidRDefault="00974443" w:rsidP="00A35221">
            <w:pPr>
              <w:pStyle w:val="TableParagraph"/>
              <w:spacing w:before="1"/>
              <w:jc w:val="center"/>
              <w:rPr>
                <w:b/>
              </w:rPr>
            </w:pPr>
            <w:r>
              <w:t>1.75</w:t>
            </w:r>
          </w:p>
        </w:tc>
        <w:tc>
          <w:tcPr>
            <w:tcW w:w="1558" w:type="dxa"/>
          </w:tcPr>
          <w:p w14:paraId="60CD2A2B" w14:textId="77777777" w:rsidR="00974443" w:rsidRDefault="00974443" w:rsidP="00A35221">
            <w:pPr>
              <w:pStyle w:val="TableParagraph"/>
              <w:spacing w:before="1"/>
              <w:jc w:val="center"/>
              <w:rPr>
                <w:b/>
              </w:rPr>
            </w:pPr>
            <w:r>
              <w:t>1.75</w:t>
            </w:r>
          </w:p>
        </w:tc>
      </w:tr>
      <w:tr w:rsidR="00974443" w14:paraId="011C20C7" w14:textId="77777777" w:rsidTr="00A35221">
        <w:trPr>
          <w:trHeight w:val="412"/>
        </w:trPr>
        <w:tc>
          <w:tcPr>
            <w:tcW w:w="694" w:type="dxa"/>
            <w:vMerge/>
          </w:tcPr>
          <w:p w14:paraId="2043380C" w14:textId="77777777" w:rsidR="00974443" w:rsidRPr="004417A7" w:rsidRDefault="00974443" w:rsidP="00A35221">
            <w:pPr>
              <w:rPr>
                <w:b/>
                <w:sz w:val="2"/>
                <w:szCs w:val="2"/>
              </w:rPr>
            </w:pPr>
          </w:p>
        </w:tc>
        <w:tc>
          <w:tcPr>
            <w:tcW w:w="1559" w:type="dxa"/>
            <w:vMerge/>
          </w:tcPr>
          <w:p w14:paraId="4DC9DE34" w14:textId="77777777" w:rsidR="00974443" w:rsidRDefault="00974443" w:rsidP="00A35221">
            <w:pPr>
              <w:rPr>
                <w:sz w:val="2"/>
                <w:szCs w:val="2"/>
              </w:rPr>
            </w:pPr>
          </w:p>
        </w:tc>
        <w:tc>
          <w:tcPr>
            <w:tcW w:w="4111" w:type="dxa"/>
          </w:tcPr>
          <w:p w14:paraId="545E536C" w14:textId="77777777" w:rsidR="00974443" w:rsidRDefault="00974443" w:rsidP="00A35221">
            <w:pPr>
              <w:pStyle w:val="TableParagraph"/>
              <w:spacing w:line="247" w:lineRule="exact"/>
              <w:ind w:left="101"/>
            </w:pPr>
            <w:r>
              <w:t>Data</w:t>
            </w:r>
            <w:r>
              <w:rPr>
                <w:spacing w:val="10"/>
              </w:rPr>
              <w:t xml:space="preserve"> </w:t>
            </w:r>
            <w:r>
              <w:t>Center</w:t>
            </w:r>
            <w:r>
              <w:rPr>
                <w:spacing w:val="11"/>
              </w:rPr>
              <w:t xml:space="preserve"> </w:t>
            </w:r>
            <w:r>
              <w:t>-</w:t>
            </w:r>
            <w:r>
              <w:rPr>
                <w:spacing w:val="13"/>
              </w:rPr>
              <w:t xml:space="preserve"> </w:t>
            </w:r>
            <w:r>
              <w:t>Hardware</w:t>
            </w:r>
            <w:r>
              <w:rPr>
                <w:spacing w:val="10"/>
              </w:rPr>
              <w:t xml:space="preserve"> </w:t>
            </w:r>
            <w:r>
              <w:t>and Software</w:t>
            </w:r>
          </w:p>
        </w:tc>
        <w:tc>
          <w:tcPr>
            <w:tcW w:w="1275" w:type="dxa"/>
          </w:tcPr>
          <w:p w14:paraId="41B32A9B" w14:textId="77777777" w:rsidR="00974443" w:rsidRDefault="00974443" w:rsidP="00A35221">
            <w:pPr>
              <w:pStyle w:val="TableParagraph"/>
              <w:spacing w:before="1"/>
              <w:jc w:val="center"/>
              <w:rPr>
                <w:b/>
              </w:rPr>
            </w:pPr>
            <w:r>
              <w:t>7.78</w:t>
            </w:r>
          </w:p>
        </w:tc>
        <w:tc>
          <w:tcPr>
            <w:tcW w:w="1558" w:type="dxa"/>
          </w:tcPr>
          <w:p w14:paraId="11764405" w14:textId="77777777" w:rsidR="00974443" w:rsidRDefault="00974443" w:rsidP="00A35221">
            <w:pPr>
              <w:pStyle w:val="TableParagraph"/>
              <w:spacing w:before="1"/>
              <w:jc w:val="center"/>
              <w:rPr>
                <w:b/>
              </w:rPr>
            </w:pPr>
            <w:r>
              <w:t>0.00</w:t>
            </w:r>
          </w:p>
        </w:tc>
      </w:tr>
      <w:tr w:rsidR="00974443" w14:paraId="72CECD33" w14:textId="77777777" w:rsidTr="00A35221">
        <w:trPr>
          <w:trHeight w:val="218"/>
        </w:trPr>
        <w:tc>
          <w:tcPr>
            <w:tcW w:w="694" w:type="dxa"/>
            <w:vMerge/>
          </w:tcPr>
          <w:p w14:paraId="2F22252C" w14:textId="77777777" w:rsidR="00974443" w:rsidRPr="004417A7" w:rsidRDefault="00974443" w:rsidP="00A35221">
            <w:pPr>
              <w:rPr>
                <w:b/>
                <w:sz w:val="2"/>
                <w:szCs w:val="2"/>
              </w:rPr>
            </w:pPr>
          </w:p>
        </w:tc>
        <w:tc>
          <w:tcPr>
            <w:tcW w:w="1559" w:type="dxa"/>
            <w:vMerge/>
          </w:tcPr>
          <w:p w14:paraId="4BF8C946" w14:textId="77777777" w:rsidR="00974443" w:rsidRDefault="00974443" w:rsidP="00A35221">
            <w:pPr>
              <w:rPr>
                <w:sz w:val="2"/>
                <w:szCs w:val="2"/>
              </w:rPr>
            </w:pPr>
          </w:p>
        </w:tc>
        <w:tc>
          <w:tcPr>
            <w:tcW w:w="4111" w:type="dxa"/>
          </w:tcPr>
          <w:p w14:paraId="224E61EE" w14:textId="77777777" w:rsidR="00974443" w:rsidRDefault="00974443" w:rsidP="00A35221">
            <w:pPr>
              <w:pStyle w:val="TableParagraph"/>
              <w:spacing w:line="248" w:lineRule="exact"/>
              <w:ind w:left="101"/>
            </w:pPr>
            <w:r>
              <w:t>End</w:t>
            </w:r>
            <w:r>
              <w:rPr>
                <w:spacing w:val="9"/>
              </w:rPr>
              <w:t xml:space="preserve"> </w:t>
            </w:r>
            <w:r>
              <w:t>user</w:t>
            </w:r>
            <w:r>
              <w:rPr>
                <w:spacing w:val="16"/>
              </w:rPr>
              <w:t xml:space="preserve"> </w:t>
            </w:r>
            <w:r>
              <w:t>IT</w:t>
            </w:r>
            <w:r>
              <w:rPr>
                <w:spacing w:val="14"/>
              </w:rPr>
              <w:t xml:space="preserve"> </w:t>
            </w:r>
            <w:r>
              <w:t>Infrastructure</w:t>
            </w:r>
          </w:p>
        </w:tc>
        <w:tc>
          <w:tcPr>
            <w:tcW w:w="1275" w:type="dxa"/>
          </w:tcPr>
          <w:p w14:paraId="340F9B03" w14:textId="77777777" w:rsidR="00974443" w:rsidRDefault="00974443" w:rsidP="00A35221">
            <w:pPr>
              <w:pStyle w:val="TableParagraph"/>
              <w:spacing w:before="1"/>
              <w:jc w:val="center"/>
              <w:rPr>
                <w:b/>
              </w:rPr>
            </w:pPr>
            <w:r>
              <w:t>7.24</w:t>
            </w:r>
          </w:p>
        </w:tc>
        <w:tc>
          <w:tcPr>
            <w:tcW w:w="1558" w:type="dxa"/>
          </w:tcPr>
          <w:p w14:paraId="55BA9ABB" w14:textId="77777777" w:rsidR="00974443" w:rsidRDefault="00974443" w:rsidP="00A35221">
            <w:pPr>
              <w:pStyle w:val="TableParagraph"/>
              <w:spacing w:before="1"/>
              <w:jc w:val="center"/>
              <w:rPr>
                <w:b/>
              </w:rPr>
            </w:pPr>
            <w:r>
              <w:t>7.24</w:t>
            </w:r>
          </w:p>
        </w:tc>
      </w:tr>
      <w:tr w:rsidR="00974443" w14:paraId="21746EF7" w14:textId="77777777" w:rsidTr="00A35221">
        <w:trPr>
          <w:trHeight w:val="417"/>
        </w:trPr>
        <w:tc>
          <w:tcPr>
            <w:tcW w:w="694" w:type="dxa"/>
            <w:vMerge/>
          </w:tcPr>
          <w:p w14:paraId="02A3127F" w14:textId="77777777" w:rsidR="00974443" w:rsidRPr="004417A7" w:rsidRDefault="00974443" w:rsidP="00A35221">
            <w:pPr>
              <w:rPr>
                <w:b/>
                <w:sz w:val="2"/>
                <w:szCs w:val="2"/>
              </w:rPr>
            </w:pPr>
          </w:p>
        </w:tc>
        <w:tc>
          <w:tcPr>
            <w:tcW w:w="1559" w:type="dxa"/>
            <w:vMerge/>
          </w:tcPr>
          <w:p w14:paraId="45093414" w14:textId="77777777" w:rsidR="00974443" w:rsidRDefault="00974443" w:rsidP="00A35221">
            <w:pPr>
              <w:rPr>
                <w:sz w:val="2"/>
                <w:szCs w:val="2"/>
              </w:rPr>
            </w:pPr>
          </w:p>
        </w:tc>
        <w:tc>
          <w:tcPr>
            <w:tcW w:w="4111" w:type="dxa"/>
          </w:tcPr>
          <w:p w14:paraId="0D1FC7FA" w14:textId="77777777" w:rsidR="00974443" w:rsidRDefault="00974443" w:rsidP="00A35221">
            <w:pPr>
              <w:pStyle w:val="TableParagraph"/>
              <w:spacing w:line="247" w:lineRule="exact"/>
              <w:ind w:left="101"/>
            </w:pPr>
            <w:r>
              <w:t>Strengthen</w:t>
            </w:r>
            <w:r>
              <w:rPr>
                <w:spacing w:val="18"/>
              </w:rPr>
              <w:t xml:space="preserve"> </w:t>
            </w:r>
            <w:r>
              <w:t>Network Connectivity</w:t>
            </w:r>
          </w:p>
        </w:tc>
        <w:tc>
          <w:tcPr>
            <w:tcW w:w="1275" w:type="dxa"/>
          </w:tcPr>
          <w:p w14:paraId="17476ABC" w14:textId="77777777" w:rsidR="00974443" w:rsidRDefault="00974443" w:rsidP="00A35221">
            <w:pPr>
              <w:pStyle w:val="TableParagraph"/>
              <w:spacing w:before="1"/>
              <w:jc w:val="center"/>
              <w:rPr>
                <w:b/>
              </w:rPr>
            </w:pPr>
            <w:r>
              <w:t>3.51</w:t>
            </w:r>
          </w:p>
        </w:tc>
        <w:tc>
          <w:tcPr>
            <w:tcW w:w="1558" w:type="dxa"/>
          </w:tcPr>
          <w:p w14:paraId="29D66885" w14:textId="77777777" w:rsidR="00974443" w:rsidRDefault="00974443" w:rsidP="00A35221">
            <w:pPr>
              <w:pStyle w:val="TableParagraph"/>
              <w:spacing w:before="1"/>
              <w:jc w:val="center"/>
              <w:rPr>
                <w:b/>
              </w:rPr>
            </w:pPr>
            <w:r>
              <w:t>3.51</w:t>
            </w:r>
          </w:p>
        </w:tc>
      </w:tr>
      <w:tr w:rsidR="00974443" w14:paraId="6D3517BA" w14:textId="77777777" w:rsidTr="00A35221">
        <w:trPr>
          <w:trHeight w:val="481"/>
        </w:trPr>
        <w:tc>
          <w:tcPr>
            <w:tcW w:w="694" w:type="dxa"/>
            <w:vMerge/>
          </w:tcPr>
          <w:p w14:paraId="0AD1B97F" w14:textId="77777777" w:rsidR="00974443" w:rsidRPr="004417A7" w:rsidRDefault="00974443" w:rsidP="00A35221">
            <w:pPr>
              <w:rPr>
                <w:b/>
                <w:sz w:val="2"/>
                <w:szCs w:val="2"/>
              </w:rPr>
            </w:pPr>
          </w:p>
        </w:tc>
        <w:tc>
          <w:tcPr>
            <w:tcW w:w="1559" w:type="dxa"/>
            <w:vMerge/>
          </w:tcPr>
          <w:p w14:paraId="2AC606B8" w14:textId="77777777" w:rsidR="00974443" w:rsidRDefault="00974443" w:rsidP="00A35221">
            <w:pPr>
              <w:rPr>
                <w:sz w:val="2"/>
                <w:szCs w:val="2"/>
              </w:rPr>
            </w:pPr>
          </w:p>
        </w:tc>
        <w:tc>
          <w:tcPr>
            <w:tcW w:w="4111" w:type="dxa"/>
          </w:tcPr>
          <w:p w14:paraId="09FC828F" w14:textId="77777777" w:rsidR="00974443" w:rsidRDefault="00974443" w:rsidP="00A35221">
            <w:pPr>
              <w:pStyle w:val="TableParagraph"/>
              <w:spacing w:line="248" w:lineRule="exact"/>
              <w:ind w:left="101"/>
            </w:pPr>
            <w:r>
              <w:t>Balance</w:t>
            </w:r>
            <w:r>
              <w:rPr>
                <w:spacing w:val="5"/>
              </w:rPr>
              <w:t xml:space="preserve"> </w:t>
            </w:r>
            <w:r>
              <w:t>GIS</w:t>
            </w:r>
            <w:r>
              <w:rPr>
                <w:spacing w:val="6"/>
              </w:rPr>
              <w:t xml:space="preserve"> </w:t>
            </w:r>
            <w:r>
              <w:t>mapping</w:t>
            </w:r>
            <w:r>
              <w:rPr>
                <w:spacing w:val="8"/>
              </w:rPr>
              <w:t xml:space="preserve"> </w:t>
            </w:r>
            <w:r>
              <w:t>of</w:t>
            </w:r>
            <w:r>
              <w:rPr>
                <w:spacing w:val="6"/>
              </w:rPr>
              <w:t xml:space="preserve"> </w:t>
            </w:r>
            <w:r>
              <w:t>2</w:t>
            </w:r>
            <w:r>
              <w:rPr>
                <w:spacing w:val="1"/>
              </w:rPr>
              <w:t xml:space="preserve"> </w:t>
            </w:r>
            <w:r>
              <w:t>Circle</w:t>
            </w:r>
            <w:r>
              <w:rPr>
                <w:spacing w:val="15"/>
              </w:rPr>
              <w:t xml:space="preserve"> </w:t>
            </w:r>
            <w:r>
              <w:t>(</w:t>
            </w:r>
            <w:proofErr w:type="spellStart"/>
            <w:r>
              <w:t>Baripada</w:t>
            </w:r>
            <w:proofErr w:type="spellEnd"/>
            <w:r>
              <w:rPr>
                <w:spacing w:val="11"/>
              </w:rPr>
              <w:t xml:space="preserve"> </w:t>
            </w:r>
            <w:r>
              <w:t>&amp;</w:t>
            </w:r>
            <w:r>
              <w:rPr>
                <w:spacing w:val="17"/>
              </w:rPr>
              <w:t xml:space="preserve"> </w:t>
            </w:r>
            <w:proofErr w:type="spellStart"/>
            <w:r>
              <w:t>Keonjhar</w:t>
            </w:r>
            <w:proofErr w:type="spellEnd"/>
            <w:r>
              <w:t>)</w:t>
            </w:r>
          </w:p>
        </w:tc>
        <w:tc>
          <w:tcPr>
            <w:tcW w:w="1275" w:type="dxa"/>
          </w:tcPr>
          <w:p w14:paraId="372966E4" w14:textId="77777777" w:rsidR="00974443" w:rsidRDefault="00974443" w:rsidP="00A35221">
            <w:pPr>
              <w:pStyle w:val="TableParagraph"/>
              <w:spacing w:before="1"/>
              <w:jc w:val="center"/>
              <w:rPr>
                <w:b/>
              </w:rPr>
            </w:pPr>
            <w:r>
              <w:t>1.58</w:t>
            </w:r>
          </w:p>
        </w:tc>
        <w:tc>
          <w:tcPr>
            <w:tcW w:w="1558" w:type="dxa"/>
          </w:tcPr>
          <w:p w14:paraId="4A5D027B" w14:textId="77777777" w:rsidR="00974443" w:rsidRDefault="00974443" w:rsidP="00A35221">
            <w:pPr>
              <w:pStyle w:val="TableParagraph"/>
              <w:spacing w:before="1"/>
              <w:jc w:val="center"/>
              <w:rPr>
                <w:b/>
              </w:rPr>
            </w:pPr>
            <w:r>
              <w:t>1.58</w:t>
            </w:r>
          </w:p>
        </w:tc>
      </w:tr>
      <w:tr w:rsidR="00974443" w14:paraId="163C6A6B" w14:textId="77777777" w:rsidTr="00A35221">
        <w:trPr>
          <w:trHeight w:val="256"/>
        </w:trPr>
        <w:tc>
          <w:tcPr>
            <w:tcW w:w="694" w:type="dxa"/>
            <w:vMerge/>
          </w:tcPr>
          <w:p w14:paraId="28DC1BC1" w14:textId="77777777" w:rsidR="00974443" w:rsidRPr="004417A7" w:rsidRDefault="00974443" w:rsidP="00A35221">
            <w:pPr>
              <w:rPr>
                <w:b/>
                <w:sz w:val="2"/>
                <w:szCs w:val="2"/>
              </w:rPr>
            </w:pPr>
          </w:p>
        </w:tc>
        <w:tc>
          <w:tcPr>
            <w:tcW w:w="1559" w:type="dxa"/>
            <w:vMerge/>
          </w:tcPr>
          <w:p w14:paraId="1F218538" w14:textId="77777777" w:rsidR="00974443" w:rsidRDefault="00974443" w:rsidP="00A35221">
            <w:pPr>
              <w:rPr>
                <w:sz w:val="2"/>
                <w:szCs w:val="2"/>
              </w:rPr>
            </w:pPr>
          </w:p>
        </w:tc>
        <w:tc>
          <w:tcPr>
            <w:tcW w:w="4111" w:type="dxa"/>
          </w:tcPr>
          <w:p w14:paraId="64008178" w14:textId="77777777" w:rsidR="00974443" w:rsidRDefault="00974443" w:rsidP="00A35221">
            <w:pPr>
              <w:pStyle w:val="TableParagraph"/>
              <w:spacing w:line="248" w:lineRule="exact"/>
              <w:ind w:left="101"/>
            </w:pPr>
            <w:r>
              <w:rPr>
                <w:b/>
              </w:rPr>
              <w:t>Sub</w:t>
            </w:r>
            <w:r>
              <w:rPr>
                <w:b/>
                <w:spacing w:val="16"/>
              </w:rPr>
              <w:t xml:space="preserve"> </w:t>
            </w:r>
            <w:r>
              <w:rPr>
                <w:b/>
              </w:rPr>
              <w:t>Total:</w:t>
            </w:r>
            <w:r>
              <w:rPr>
                <w:b/>
                <w:spacing w:val="17"/>
              </w:rPr>
              <w:t xml:space="preserve"> </w:t>
            </w:r>
            <w:r>
              <w:rPr>
                <w:b/>
              </w:rPr>
              <w:t>Technology</w:t>
            </w:r>
          </w:p>
        </w:tc>
        <w:tc>
          <w:tcPr>
            <w:tcW w:w="1275" w:type="dxa"/>
          </w:tcPr>
          <w:p w14:paraId="0273C76B" w14:textId="77777777" w:rsidR="00974443" w:rsidRDefault="00974443" w:rsidP="00A35221">
            <w:pPr>
              <w:pStyle w:val="TableParagraph"/>
              <w:spacing w:before="1"/>
              <w:jc w:val="center"/>
              <w:rPr>
                <w:b/>
              </w:rPr>
            </w:pPr>
            <w:r>
              <w:rPr>
                <w:b/>
              </w:rPr>
              <w:t>34.09</w:t>
            </w:r>
          </w:p>
        </w:tc>
        <w:tc>
          <w:tcPr>
            <w:tcW w:w="1558" w:type="dxa"/>
          </w:tcPr>
          <w:p w14:paraId="2EB5F9C9" w14:textId="77777777" w:rsidR="00974443" w:rsidRDefault="00974443" w:rsidP="00A35221">
            <w:pPr>
              <w:pStyle w:val="TableParagraph"/>
              <w:spacing w:before="1"/>
              <w:jc w:val="center"/>
              <w:rPr>
                <w:b/>
              </w:rPr>
            </w:pPr>
            <w:r>
              <w:rPr>
                <w:b/>
              </w:rPr>
              <w:t>26.31</w:t>
            </w:r>
          </w:p>
        </w:tc>
      </w:tr>
      <w:tr w:rsidR="00974443" w14:paraId="526AE192" w14:textId="77777777" w:rsidTr="00A35221">
        <w:trPr>
          <w:trHeight w:val="770"/>
        </w:trPr>
        <w:tc>
          <w:tcPr>
            <w:tcW w:w="694" w:type="dxa"/>
            <w:vMerge w:val="restart"/>
          </w:tcPr>
          <w:p w14:paraId="26CB3F8C" w14:textId="77777777" w:rsidR="00974443" w:rsidRPr="004417A7" w:rsidRDefault="00974443" w:rsidP="00A35221">
            <w:pPr>
              <w:jc w:val="center"/>
              <w:rPr>
                <w:rFonts w:asciiTheme="minorHAnsi" w:hAnsiTheme="minorHAnsi"/>
                <w:b/>
                <w:sz w:val="22"/>
                <w:szCs w:val="2"/>
              </w:rPr>
            </w:pPr>
          </w:p>
          <w:p w14:paraId="5E51ABEF" w14:textId="77777777" w:rsidR="00974443" w:rsidRPr="004417A7" w:rsidRDefault="00974443" w:rsidP="00A35221">
            <w:pPr>
              <w:jc w:val="center"/>
              <w:rPr>
                <w:rFonts w:asciiTheme="minorHAnsi" w:hAnsiTheme="minorHAnsi"/>
                <w:b/>
                <w:sz w:val="22"/>
                <w:szCs w:val="2"/>
              </w:rPr>
            </w:pPr>
          </w:p>
          <w:p w14:paraId="7E3DD400" w14:textId="77777777" w:rsidR="00974443" w:rsidRPr="004417A7" w:rsidRDefault="00974443" w:rsidP="00A35221">
            <w:pPr>
              <w:jc w:val="center"/>
              <w:rPr>
                <w:rFonts w:asciiTheme="minorHAnsi" w:hAnsiTheme="minorHAnsi"/>
                <w:b/>
                <w:sz w:val="22"/>
                <w:szCs w:val="2"/>
              </w:rPr>
            </w:pPr>
          </w:p>
          <w:p w14:paraId="24FAFE96" w14:textId="77777777" w:rsidR="00974443" w:rsidRPr="004417A7" w:rsidRDefault="00974443" w:rsidP="00A35221">
            <w:pPr>
              <w:jc w:val="center"/>
              <w:rPr>
                <w:rFonts w:asciiTheme="minorHAnsi" w:hAnsiTheme="minorHAnsi"/>
                <w:b/>
                <w:sz w:val="22"/>
                <w:szCs w:val="2"/>
              </w:rPr>
            </w:pPr>
          </w:p>
          <w:p w14:paraId="4C057A43" w14:textId="77777777" w:rsidR="00974443" w:rsidRPr="004417A7" w:rsidRDefault="00974443" w:rsidP="00A35221">
            <w:pPr>
              <w:jc w:val="center"/>
              <w:rPr>
                <w:rFonts w:asciiTheme="minorHAnsi" w:hAnsiTheme="minorHAnsi"/>
                <w:b/>
                <w:sz w:val="22"/>
                <w:szCs w:val="2"/>
              </w:rPr>
            </w:pPr>
          </w:p>
          <w:p w14:paraId="093037E8" w14:textId="77777777" w:rsidR="00974443" w:rsidRPr="004417A7" w:rsidRDefault="00974443" w:rsidP="00A35221">
            <w:pPr>
              <w:jc w:val="center"/>
              <w:rPr>
                <w:rFonts w:asciiTheme="minorHAnsi" w:hAnsiTheme="minorHAnsi"/>
                <w:b/>
                <w:sz w:val="22"/>
                <w:szCs w:val="2"/>
              </w:rPr>
            </w:pPr>
            <w:r w:rsidRPr="004417A7">
              <w:rPr>
                <w:rFonts w:asciiTheme="minorHAnsi" w:hAnsiTheme="minorHAnsi"/>
                <w:b/>
                <w:sz w:val="22"/>
                <w:szCs w:val="2"/>
              </w:rPr>
              <w:t>6</w:t>
            </w:r>
          </w:p>
        </w:tc>
        <w:tc>
          <w:tcPr>
            <w:tcW w:w="1559" w:type="dxa"/>
            <w:vMerge w:val="restart"/>
          </w:tcPr>
          <w:p w14:paraId="19DD7169" w14:textId="77777777" w:rsidR="00974443" w:rsidRDefault="00974443" w:rsidP="00A35221">
            <w:pPr>
              <w:jc w:val="center"/>
              <w:rPr>
                <w:rFonts w:asciiTheme="minorHAnsi" w:hAnsiTheme="minorHAnsi" w:cstheme="minorHAnsi"/>
              </w:rPr>
            </w:pPr>
          </w:p>
          <w:p w14:paraId="5F54907A" w14:textId="77777777" w:rsidR="00974443" w:rsidRDefault="00974443" w:rsidP="00A35221">
            <w:pPr>
              <w:jc w:val="center"/>
              <w:rPr>
                <w:rFonts w:asciiTheme="minorHAnsi" w:hAnsiTheme="minorHAnsi" w:cstheme="minorHAnsi"/>
              </w:rPr>
            </w:pPr>
          </w:p>
          <w:p w14:paraId="4A376F29" w14:textId="77777777" w:rsidR="00974443" w:rsidRDefault="00974443" w:rsidP="00A35221">
            <w:pPr>
              <w:jc w:val="center"/>
              <w:rPr>
                <w:rFonts w:asciiTheme="minorHAnsi" w:hAnsiTheme="minorHAnsi" w:cstheme="minorHAnsi"/>
              </w:rPr>
            </w:pPr>
          </w:p>
          <w:p w14:paraId="4BB065BD" w14:textId="77777777" w:rsidR="00974443" w:rsidRPr="006A42E4" w:rsidRDefault="00974443" w:rsidP="00A35221">
            <w:pPr>
              <w:jc w:val="center"/>
              <w:rPr>
                <w:rFonts w:asciiTheme="minorHAnsi" w:hAnsiTheme="minorHAnsi" w:cstheme="minorHAnsi"/>
                <w:sz w:val="22"/>
                <w:szCs w:val="22"/>
              </w:rPr>
            </w:pPr>
            <w:r w:rsidRPr="006A42E4">
              <w:rPr>
                <w:rFonts w:asciiTheme="minorHAnsi" w:hAnsiTheme="minorHAnsi" w:cstheme="minorHAnsi"/>
                <w:sz w:val="22"/>
              </w:rPr>
              <w:t>Civil</w:t>
            </w:r>
            <w:r w:rsidRPr="006A42E4">
              <w:rPr>
                <w:rFonts w:asciiTheme="minorHAnsi" w:hAnsiTheme="minorHAnsi" w:cstheme="minorHAnsi"/>
                <w:spacing w:val="1"/>
                <w:sz w:val="22"/>
              </w:rPr>
              <w:t xml:space="preserve"> </w:t>
            </w:r>
            <w:r w:rsidRPr="006A42E4">
              <w:rPr>
                <w:rFonts w:asciiTheme="minorHAnsi" w:hAnsiTheme="minorHAnsi" w:cstheme="minorHAnsi"/>
                <w:sz w:val="22"/>
              </w:rPr>
              <w:t>Infrastructure</w:t>
            </w:r>
            <w:r w:rsidRPr="006A42E4">
              <w:rPr>
                <w:rFonts w:asciiTheme="minorHAnsi" w:hAnsiTheme="minorHAnsi" w:cstheme="minorHAnsi"/>
                <w:spacing w:val="1"/>
                <w:sz w:val="22"/>
              </w:rPr>
              <w:t xml:space="preserve"> </w:t>
            </w:r>
            <w:r w:rsidRPr="006A42E4">
              <w:rPr>
                <w:rFonts w:asciiTheme="minorHAnsi" w:hAnsiTheme="minorHAnsi" w:cstheme="minorHAnsi"/>
                <w:sz w:val="22"/>
              </w:rPr>
              <w:t>and</w:t>
            </w:r>
            <w:r w:rsidRPr="006A42E4">
              <w:rPr>
                <w:rFonts w:asciiTheme="minorHAnsi" w:hAnsiTheme="minorHAnsi" w:cstheme="minorHAnsi"/>
                <w:spacing w:val="1"/>
                <w:sz w:val="22"/>
              </w:rPr>
              <w:t xml:space="preserve"> </w:t>
            </w:r>
            <w:r w:rsidRPr="006A42E4">
              <w:rPr>
                <w:rFonts w:asciiTheme="minorHAnsi" w:hAnsiTheme="minorHAnsi" w:cstheme="minorHAnsi"/>
                <w:sz w:val="22"/>
              </w:rPr>
              <w:t>Administration</w:t>
            </w:r>
          </w:p>
        </w:tc>
        <w:tc>
          <w:tcPr>
            <w:tcW w:w="4111" w:type="dxa"/>
          </w:tcPr>
          <w:p w14:paraId="493BE870" w14:textId="77777777" w:rsidR="00974443" w:rsidRDefault="00974443" w:rsidP="00A35221">
            <w:pPr>
              <w:pStyle w:val="TableParagraph"/>
              <w:spacing w:line="244" w:lineRule="auto"/>
              <w:ind w:left="101"/>
            </w:pPr>
            <w:r>
              <w:t>Civil</w:t>
            </w:r>
            <w:r>
              <w:rPr>
                <w:spacing w:val="6"/>
              </w:rPr>
              <w:t xml:space="preserve"> </w:t>
            </w:r>
            <w:r>
              <w:t>Infrastructure</w:t>
            </w:r>
            <w:r>
              <w:rPr>
                <w:spacing w:val="8"/>
              </w:rPr>
              <w:t xml:space="preserve"> </w:t>
            </w:r>
            <w:r>
              <w:t>(Office</w:t>
            </w:r>
            <w:r>
              <w:rPr>
                <w:spacing w:val="1"/>
              </w:rPr>
              <w:t xml:space="preserve"> </w:t>
            </w:r>
            <w:r>
              <w:t>Buildings,</w:t>
            </w:r>
            <w:r>
              <w:rPr>
                <w:spacing w:val="5"/>
              </w:rPr>
              <w:t xml:space="preserve"> </w:t>
            </w:r>
            <w:r>
              <w:t>New</w:t>
            </w:r>
            <w:r>
              <w:rPr>
                <w:spacing w:val="3"/>
              </w:rPr>
              <w:t xml:space="preserve"> </w:t>
            </w:r>
            <w:r>
              <w:t>GRF</w:t>
            </w:r>
            <w:r>
              <w:rPr>
                <w:spacing w:val="3"/>
              </w:rPr>
              <w:t xml:space="preserve"> </w:t>
            </w:r>
            <w:r>
              <w:t>and</w:t>
            </w:r>
            <w:r>
              <w:rPr>
                <w:spacing w:val="1"/>
              </w:rPr>
              <w:t xml:space="preserve"> </w:t>
            </w:r>
            <w:r>
              <w:t>Customer care BED,</w:t>
            </w:r>
            <w:r>
              <w:rPr>
                <w:spacing w:val="1"/>
              </w:rPr>
              <w:t xml:space="preserve"> </w:t>
            </w:r>
            <w:r>
              <w:t>Approach</w:t>
            </w:r>
            <w:r>
              <w:rPr>
                <w:spacing w:val="-52"/>
              </w:rPr>
              <w:t xml:space="preserve"> </w:t>
            </w:r>
            <w:r>
              <w:t>Roads,</w:t>
            </w:r>
            <w:r>
              <w:rPr>
                <w:spacing w:val="19"/>
              </w:rPr>
              <w:t xml:space="preserve"> </w:t>
            </w:r>
            <w:r>
              <w:t>Cafeteria</w:t>
            </w:r>
            <w:r>
              <w:rPr>
                <w:spacing w:val="16"/>
              </w:rPr>
              <w:t xml:space="preserve"> </w:t>
            </w:r>
            <w:r>
              <w:t>Canteen,</w:t>
            </w:r>
            <w:r>
              <w:rPr>
                <w:spacing w:val="16"/>
              </w:rPr>
              <w:t xml:space="preserve"> </w:t>
            </w:r>
            <w:r>
              <w:t>STS office,</w:t>
            </w:r>
            <w:r>
              <w:rPr>
                <w:spacing w:val="15"/>
              </w:rPr>
              <w:t xml:space="preserve"> </w:t>
            </w:r>
            <w:r>
              <w:t>and</w:t>
            </w:r>
            <w:r>
              <w:rPr>
                <w:spacing w:val="9"/>
              </w:rPr>
              <w:t xml:space="preserve"> </w:t>
            </w:r>
            <w:r>
              <w:t>others)</w:t>
            </w:r>
          </w:p>
        </w:tc>
        <w:tc>
          <w:tcPr>
            <w:tcW w:w="1275" w:type="dxa"/>
          </w:tcPr>
          <w:p w14:paraId="1A50F64B" w14:textId="77777777" w:rsidR="00974443" w:rsidRDefault="00974443" w:rsidP="00A35221">
            <w:pPr>
              <w:pStyle w:val="TableParagraph"/>
              <w:jc w:val="center"/>
              <w:rPr>
                <w:b/>
                <w:sz w:val="24"/>
              </w:rPr>
            </w:pPr>
          </w:p>
          <w:p w14:paraId="2F055A69" w14:textId="77777777" w:rsidR="00974443" w:rsidRDefault="00974443" w:rsidP="00A35221">
            <w:pPr>
              <w:pStyle w:val="TableParagraph"/>
              <w:spacing w:before="6"/>
              <w:jc w:val="center"/>
              <w:rPr>
                <w:b/>
                <w:sz w:val="20"/>
              </w:rPr>
            </w:pPr>
          </w:p>
          <w:p w14:paraId="7B6A4CB3" w14:textId="77777777" w:rsidR="00974443" w:rsidRDefault="00974443" w:rsidP="00A35221">
            <w:pPr>
              <w:pStyle w:val="TableParagraph"/>
              <w:spacing w:before="1"/>
              <w:jc w:val="center"/>
              <w:rPr>
                <w:b/>
              </w:rPr>
            </w:pPr>
            <w:r>
              <w:t>27.22</w:t>
            </w:r>
          </w:p>
        </w:tc>
        <w:tc>
          <w:tcPr>
            <w:tcW w:w="1558" w:type="dxa"/>
          </w:tcPr>
          <w:p w14:paraId="380D7812" w14:textId="77777777" w:rsidR="00974443" w:rsidRDefault="00974443" w:rsidP="00A35221">
            <w:pPr>
              <w:pStyle w:val="TableParagraph"/>
              <w:jc w:val="center"/>
              <w:rPr>
                <w:b/>
                <w:sz w:val="24"/>
              </w:rPr>
            </w:pPr>
          </w:p>
          <w:p w14:paraId="77C42CEB" w14:textId="77777777" w:rsidR="00974443" w:rsidRDefault="00974443" w:rsidP="00A35221">
            <w:pPr>
              <w:pStyle w:val="TableParagraph"/>
              <w:spacing w:before="6"/>
              <w:jc w:val="center"/>
              <w:rPr>
                <w:b/>
                <w:sz w:val="20"/>
              </w:rPr>
            </w:pPr>
          </w:p>
          <w:p w14:paraId="3BFC202B" w14:textId="77777777" w:rsidR="00974443" w:rsidRDefault="00974443" w:rsidP="00A35221">
            <w:pPr>
              <w:pStyle w:val="TableParagraph"/>
              <w:spacing w:before="1"/>
              <w:jc w:val="center"/>
              <w:rPr>
                <w:b/>
              </w:rPr>
            </w:pPr>
            <w:r>
              <w:t>27.22</w:t>
            </w:r>
          </w:p>
        </w:tc>
      </w:tr>
      <w:tr w:rsidR="00974443" w14:paraId="7D2ED261" w14:textId="77777777" w:rsidTr="00A35221">
        <w:trPr>
          <w:trHeight w:val="321"/>
        </w:trPr>
        <w:tc>
          <w:tcPr>
            <w:tcW w:w="694" w:type="dxa"/>
            <w:vMerge/>
          </w:tcPr>
          <w:p w14:paraId="695C709C" w14:textId="77777777" w:rsidR="00974443" w:rsidRDefault="00974443" w:rsidP="00A35221">
            <w:pPr>
              <w:rPr>
                <w:sz w:val="2"/>
                <w:szCs w:val="2"/>
              </w:rPr>
            </w:pPr>
          </w:p>
        </w:tc>
        <w:tc>
          <w:tcPr>
            <w:tcW w:w="1559" w:type="dxa"/>
            <w:vMerge/>
          </w:tcPr>
          <w:p w14:paraId="1A58F0F5" w14:textId="77777777" w:rsidR="00974443" w:rsidRDefault="00974443" w:rsidP="00A35221">
            <w:pPr>
              <w:rPr>
                <w:sz w:val="2"/>
                <w:szCs w:val="2"/>
              </w:rPr>
            </w:pPr>
          </w:p>
        </w:tc>
        <w:tc>
          <w:tcPr>
            <w:tcW w:w="4111" w:type="dxa"/>
          </w:tcPr>
          <w:p w14:paraId="6120AA23" w14:textId="77777777" w:rsidR="00974443" w:rsidRDefault="00974443" w:rsidP="00A35221">
            <w:pPr>
              <w:pStyle w:val="TableParagraph"/>
              <w:spacing w:line="248" w:lineRule="exact"/>
              <w:ind w:left="101"/>
            </w:pPr>
            <w:r>
              <w:t>Office</w:t>
            </w:r>
            <w:r>
              <w:rPr>
                <w:spacing w:val="21"/>
              </w:rPr>
              <w:t xml:space="preserve"> </w:t>
            </w:r>
            <w:r>
              <w:t>Administration</w:t>
            </w:r>
          </w:p>
        </w:tc>
        <w:tc>
          <w:tcPr>
            <w:tcW w:w="1275" w:type="dxa"/>
          </w:tcPr>
          <w:p w14:paraId="3D2BF754" w14:textId="77777777" w:rsidR="00974443" w:rsidRDefault="00974443" w:rsidP="00A35221">
            <w:pPr>
              <w:pStyle w:val="TableParagraph"/>
              <w:spacing w:before="1"/>
              <w:jc w:val="center"/>
              <w:rPr>
                <w:b/>
              </w:rPr>
            </w:pPr>
            <w:r>
              <w:t>2.60</w:t>
            </w:r>
          </w:p>
        </w:tc>
        <w:tc>
          <w:tcPr>
            <w:tcW w:w="1558" w:type="dxa"/>
          </w:tcPr>
          <w:p w14:paraId="5ABC1998" w14:textId="77777777" w:rsidR="00974443" w:rsidRDefault="00974443" w:rsidP="00A35221">
            <w:pPr>
              <w:pStyle w:val="TableParagraph"/>
              <w:spacing w:before="1"/>
              <w:jc w:val="center"/>
              <w:rPr>
                <w:b/>
              </w:rPr>
            </w:pPr>
            <w:r>
              <w:t>2.12</w:t>
            </w:r>
          </w:p>
        </w:tc>
      </w:tr>
      <w:tr w:rsidR="00974443" w14:paraId="276A3B70" w14:textId="77777777" w:rsidTr="00A35221">
        <w:trPr>
          <w:trHeight w:val="770"/>
        </w:trPr>
        <w:tc>
          <w:tcPr>
            <w:tcW w:w="694" w:type="dxa"/>
            <w:vMerge/>
          </w:tcPr>
          <w:p w14:paraId="0849BE3D" w14:textId="77777777" w:rsidR="00974443" w:rsidRDefault="00974443" w:rsidP="00A35221">
            <w:pPr>
              <w:rPr>
                <w:sz w:val="2"/>
                <w:szCs w:val="2"/>
              </w:rPr>
            </w:pPr>
          </w:p>
        </w:tc>
        <w:tc>
          <w:tcPr>
            <w:tcW w:w="1559" w:type="dxa"/>
            <w:vMerge/>
          </w:tcPr>
          <w:p w14:paraId="1013EC53" w14:textId="77777777" w:rsidR="00974443" w:rsidRDefault="00974443" w:rsidP="00A35221">
            <w:pPr>
              <w:rPr>
                <w:sz w:val="2"/>
                <w:szCs w:val="2"/>
              </w:rPr>
            </w:pPr>
          </w:p>
        </w:tc>
        <w:tc>
          <w:tcPr>
            <w:tcW w:w="4111" w:type="dxa"/>
          </w:tcPr>
          <w:p w14:paraId="675DEE89" w14:textId="77777777" w:rsidR="00974443" w:rsidRDefault="00974443" w:rsidP="00A35221">
            <w:pPr>
              <w:pStyle w:val="TableParagraph"/>
              <w:spacing w:line="244" w:lineRule="auto"/>
              <w:ind w:left="101" w:right="177"/>
            </w:pPr>
            <w:r>
              <w:t>Security</w:t>
            </w:r>
            <w:r>
              <w:rPr>
                <w:spacing w:val="12"/>
              </w:rPr>
              <w:t xml:space="preserve"> </w:t>
            </w:r>
            <w:r>
              <w:t>cameras,</w:t>
            </w:r>
            <w:r>
              <w:rPr>
                <w:spacing w:val="10"/>
              </w:rPr>
              <w:t xml:space="preserve"> </w:t>
            </w:r>
            <w:r>
              <w:t>heavy-duty</w:t>
            </w:r>
            <w:r>
              <w:rPr>
                <w:spacing w:val="1"/>
              </w:rPr>
              <w:t xml:space="preserve"> </w:t>
            </w:r>
            <w:r>
              <w:t>Racking</w:t>
            </w:r>
            <w:r>
              <w:rPr>
                <w:spacing w:val="6"/>
              </w:rPr>
              <w:t xml:space="preserve"> </w:t>
            </w:r>
            <w:r>
              <w:t>system</w:t>
            </w:r>
            <w:r>
              <w:rPr>
                <w:spacing w:val="4"/>
              </w:rPr>
              <w:t xml:space="preserve"> </w:t>
            </w:r>
            <w:r>
              <w:t>/</w:t>
            </w:r>
            <w:r>
              <w:rPr>
                <w:spacing w:val="6"/>
              </w:rPr>
              <w:t xml:space="preserve"> </w:t>
            </w:r>
            <w:r>
              <w:t>Storage</w:t>
            </w:r>
            <w:r>
              <w:rPr>
                <w:spacing w:val="1"/>
              </w:rPr>
              <w:t xml:space="preserve"> </w:t>
            </w:r>
            <w:r>
              <w:t>solutions</w:t>
            </w:r>
            <w:r>
              <w:rPr>
                <w:spacing w:val="12"/>
              </w:rPr>
              <w:t xml:space="preserve"> </w:t>
            </w:r>
            <w:r>
              <w:t>for</w:t>
            </w:r>
            <w:r>
              <w:rPr>
                <w:spacing w:val="12"/>
              </w:rPr>
              <w:t xml:space="preserve"> </w:t>
            </w:r>
            <w:proofErr w:type="spellStart"/>
            <w:r>
              <w:t>Balasore</w:t>
            </w:r>
            <w:proofErr w:type="spellEnd"/>
            <w:r>
              <w:t>,</w:t>
            </w:r>
            <w:r>
              <w:rPr>
                <w:spacing w:val="12"/>
              </w:rPr>
              <w:t xml:space="preserve"> </w:t>
            </w:r>
            <w:proofErr w:type="spellStart"/>
            <w:r>
              <w:t>Jajpur</w:t>
            </w:r>
            <w:proofErr w:type="spellEnd"/>
            <w:r>
              <w:rPr>
                <w:spacing w:val="12"/>
              </w:rPr>
              <w:t xml:space="preserve"> </w:t>
            </w:r>
            <w:r>
              <w:t xml:space="preserve">&amp; </w:t>
            </w:r>
            <w:proofErr w:type="spellStart"/>
            <w:r>
              <w:t>Betnoti</w:t>
            </w:r>
            <w:proofErr w:type="spellEnd"/>
            <w:r>
              <w:rPr>
                <w:spacing w:val="13"/>
              </w:rPr>
              <w:t xml:space="preserve"> </w:t>
            </w:r>
            <w:r>
              <w:t>Store</w:t>
            </w:r>
          </w:p>
        </w:tc>
        <w:tc>
          <w:tcPr>
            <w:tcW w:w="1275" w:type="dxa"/>
          </w:tcPr>
          <w:p w14:paraId="1994FB6D" w14:textId="77777777" w:rsidR="00974443" w:rsidRDefault="00974443" w:rsidP="00A35221">
            <w:pPr>
              <w:pStyle w:val="TableParagraph"/>
              <w:spacing w:before="5"/>
              <w:jc w:val="center"/>
              <w:rPr>
                <w:b/>
                <w:sz w:val="33"/>
              </w:rPr>
            </w:pPr>
          </w:p>
          <w:p w14:paraId="037E4F88" w14:textId="77777777" w:rsidR="00974443" w:rsidRDefault="00974443" w:rsidP="00A35221">
            <w:pPr>
              <w:pStyle w:val="TableParagraph"/>
              <w:spacing w:before="1"/>
              <w:jc w:val="center"/>
              <w:rPr>
                <w:b/>
              </w:rPr>
            </w:pPr>
            <w:r>
              <w:t>8.42</w:t>
            </w:r>
          </w:p>
        </w:tc>
        <w:tc>
          <w:tcPr>
            <w:tcW w:w="1558" w:type="dxa"/>
          </w:tcPr>
          <w:p w14:paraId="1FBDBA19" w14:textId="77777777" w:rsidR="00974443" w:rsidRDefault="00974443" w:rsidP="00A35221">
            <w:pPr>
              <w:pStyle w:val="TableParagraph"/>
              <w:spacing w:before="5"/>
              <w:jc w:val="center"/>
              <w:rPr>
                <w:b/>
                <w:sz w:val="33"/>
              </w:rPr>
            </w:pPr>
          </w:p>
          <w:p w14:paraId="4C991292" w14:textId="77777777" w:rsidR="00974443" w:rsidRDefault="00974443" w:rsidP="00A35221">
            <w:pPr>
              <w:pStyle w:val="TableParagraph"/>
              <w:spacing w:before="1"/>
              <w:jc w:val="center"/>
              <w:rPr>
                <w:b/>
              </w:rPr>
            </w:pPr>
            <w:r>
              <w:t>8.42</w:t>
            </w:r>
          </w:p>
        </w:tc>
      </w:tr>
      <w:tr w:rsidR="00974443" w14:paraId="157DD368" w14:textId="77777777" w:rsidTr="00A35221">
        <w:trPr>
          <w:trHeight w:val="533"/>
        </w:trPr>
        <w:tc>
          <w:tcPr>
            <w:tcW w:w="694" w:type="dxa"/>
            <w:vMerge/>
          </w:tcPr>
          <w:p w14:paraId="31770DB5" w14:textId="77777777" w:rsidR="00974443" w:rsidRDefault="00974443" w:rsidP="00A35221">
            <w:pPr>
              <w:rPr>
                <w:sz w:val="2"/>
                <w:szCs w:val="2"/>
              </w:rPr>
            </w:pPr>
          </w:p>
        </w:tc>
        <w:tc>
          <w:tcPr>
            <w:tcW w:w="1559" w:type="dxa"/>
            <w:vMerge/>
          </w:tcPr>
          <w:p w14:paraId="3F55A050" w14:textId="77777777" w:rsidR="00974443" w:rsidRDefault="00974443" w:rsidP="00A35221">
            <w:pPr>
              <w:rPr>
                <w:sz w:val="2"/>
                <w:szCs w:val="2"/>
              </w:rPr>
            </w:pPr>
          </w:p>
        </w:tc>
        <w:tc>
          <w:tcPr>
            <w:tcW w:w="4111" w:type="dxa"/>
          </w:tcPr>
          <w:p w14:paraId="52F3E272" w14:textId="77777777" w:rsidR="00974443" w:rsidRPr="006603C9" w:rsidRDefault="00974443" w:rsidP="00A35221">
            <w:pPr>
              <w:pStyle w:val="TableParagraph"/>
              <w:spacing w:line="244" w:lineRule="auto"/>
              <w:ind w:left="101" w:right="968"/>
              <w:rPr>
                <w:b/>
              </w:rPr>
            </w:pPr>
            <w:r>
              <w:rPr>
                <w:b/>
              </w:rPr>
              <w:t>Sub</w:t>
            </w:r>
            <w:r>
              <w:rPr>
                <w:b/>
                <w:spacing w:val="7"/>
              </w:rPr>
              <w:t xml:space="preserve"> </w:t>
            </w:r>
            <w:r>
              <w:rPr>
                <w:b/>
              </w:rPr>
              <w:t>Total:</w:t>
            </w:r>
            <w:r>
              <w:rPr>
                <w:b/>
                <w:spacing w:val="8"/>
              </w:rPr>
              <w:t xml:space="preserve"> </w:t>
            </w:r>
            <w:r>
              <w:rPr>
                <w:b/>
              </w:rPr>
              <w:t>Civil</w:t>
            </w:r>
            <w:r>
              <w:rPr>
                <w:b/>
                <w:spacing w:val="1"/>
              </w:rPr>
              <w:t xml:space="preserve"> </w:t>
            </w:r>
            <w:r>
              <w:rPr>
                <w:b/>
              </w:rPr>
              <w:t>Infrastructure</w:t>
            </w:r>
            <w:r>
              <w:rPr>
                <w:b/>
                <w:spacing w:val="19"/>
              </w:rPr>
              <w:t xml:space="preserve"> </w:t>
            </w:r>
            <w:r>
              <w:rPr>
                <w:b/>
              </w:rPr>
              <w:t>and Administration</w:t>
            </w:r>
          </w:p>
        </w:tc>
        <w:tc>
          <w:tcPr>
            <w:tcW w:w="1275" w:type="dxa"/>
          </w:tcPr>
          <w:p w14:paraId="714310E5" w14:textId="77777777" w:rsidR="00974443" w:rsidRDefault="00974443" w:rsidP="00A35221">
            <w:pPr>
              <w:pStyle w:val="TableParagraph"/>
              <w:spacing w:before="11"/>
              <w:jc w:val="center"/>
              <w:rPr>
                <w:b/>
                <w:sz w:val="21"/>
              </w:rPr>
            </w:pPr>
          </w:p>
          <w:p w14:paraId="34EC0718" w14:textId="77777777" w:rsidR="00974443" w:rsidRDefault="00974443" w:rsidP="00A35221">
            <w:pPr>
              <w:pStyle w:val="TableParagraph"/>
              <w:spacing w:before="1"/>
              <w:jc w:val="center"/>
              <w:rPr>
                <w:b/>
              </w:rPr>
            </w:pPr>
            <w:r>
              <w:rPr>
                <w:b/>
              </w:rPr>
              <w:t>38.24</w:t>
            </w:r>
          </w:p>
        </w:tc>
        <w:tc>
          <w:tcPr>
            <w:tcW w:w="1558" w:type="dxa"/>
          </w:tcPr>
          <w:p w14:paraId="5DD8FEC1" w14:textId="77777777" w:rsidR="00974443" w:rsidRDefault="00974443" w:rsidP="00A35221">
            <w:pPr>
              <w:pStyle w:val="TableParagraph"/>
              <w:spacing w:before="11"/>
              <w:jc w:val="center"/>
              <w:rPr>
                <w:b/>
                <w:sz w:val="21"/>
              </w:rPr>
            </w:pPr>
          </w:p>
          <w:p w14:paraId="68B2268D" w14:textId="77777777" w:rsidR="00974443" w:rsidRDefault="00974443" w:rsidP="00A35221">
            <w:pPr>
              <w:pStyle w:val="TableParagraph"/>
              <w:spacing w:before="1"/>
              <w:jc w:val="center"/>
              <w:rPr>
                <w:b/>
              </w:rPr>
            </w:pPr>
            <w:r>
              <w:rPr>
                <w:b/>
              </w:rPr>
              <w:t>37.76</w:t>
            </w:r>
          </w:p>
        </w:tc>
      </w:tr>
      <w:tr w:rsidR="00974443" w14:paraId="049EFDB0" w14:textId="77777777" w:rsidTr="00A35221">
        <w:trPr>
          <w:trHeight w:val="381"/>
        </w:trPr>
        <w:tc>
          <w:tcPr>
            <w:tcW w:w="6364" w:type="dxa"/>
            <w:gridSpan w:val="3"/>
            <w:shd w:val="clear" w:color="auto" w:fill="95B3D7" w:themeFill="accent1" w:themeFillTint="99"/>
          </w:tcPr>
          <w:p w14:paraId="1723EAA4" w14:textId="77777777" w:rsidR="00974443" w:rsidRPr="006A42E4" w:rsidRDefault="00974443" w:rsidP="00A35221">
            <w:pPr>
              <w:pStyle w:val="TableParagraph"/>
              <w:spacing w:line="248" w:lineRule="exact"/>
              <w:ind w:left="101"/>
              <w:jc w:val="center"/>
              <w:rPr>
                <w:b/>
              </w:rPr>
            </w:pPr>
            <w:r w:rsidRPr="006A42E4">
              <w:rPr>
                <w:b/>
              </w:rPr>
              <w:t>Total</w:t>
            </w:r>
          </w:p>
        </w:tc>
        <w:tc>
          <w:tcPr>
            <w:tcW w:w="1275" w:type="dxa"/>
            <w:shd w:val="clear" w:color="auto" w:fill="95B3D7" w:themeFill="accent1" w:themeFillTint="99"/>
          </w:tcPr>
          <w:p w14:paraId="57ED4F59" w14:textId="77777777" w:rsidR="00974443" w:rsidRDefault="00974443" w:rsidP="00A35221">
            <w:pPr>
              <w:pStyle w:val="TableParagraph"/>
              <w:spacing w:before="1"/>
              <w:jc w:val="center"/>
              <w:rPr>
                <w:b/>
              </w:rPr>
            </w:pPr>
            <w:r>
              <w:rPr>
                <w:b/>
              </w:rPr>
              <w:t>415.65</w:t>
            </w:r>
          </w:p>
        </w:tc>
        <w:tc>
          <w:tcPr>
            <w:tcW w:w="1558" w:type="dxa"/>
            <w:shd w:val="clear" w:color="auto" w:fill="95B3D7" w:themeFill="accent1" w:themeFillTint="99"/>
          </w:tcPr>
          <w:p w14:paraId="4609E4E5" w14:textId="77777777" w:rsidR="00974443" w:rsidRDefault="00974443" w:rsidP="00A35221">
            <w:pPr>
              <w:pStyle w:val="TableParagraph"/>
              <w:spacing w:before="1"/>
              <w:jc w:val="center"/>
              <w:rPr>
                <w:b/>
              </w:rPr>
            </w:pPr>
            <w:r>
              <w:rPr>
                <w:b/>
              </w:rPr>
              <w:t>323.85</w:t>
            </w:r>
          </w:p>
        </w:tc>
      </w:tr>
    </w:tbl>
    <w:p w14:paraId="6276E9E7" w14:textId="77777777" w:rsidR="00974443" w:rsidRDefault="00974443" w:rsidP="00974443">
      <w:pPr>
        <w:rPr>
          <w:rFonts w:ascii="Calibri" w:hAnsi="Calibri" w:cs="Calibri"/>
          <w:b/>
          <w:sz w:val="22"/>
          <w:szCs w:val="22"/>
        </w:rPr>
      </w:pPr>
    </w:p>
    <w:p w14:paraId="7CC0D31A" w14:textId="434082AC" w:rsidR="00974443" w:rsidRPr="00B602FC" w:rsidRDefault="00974443" w:rsidP="00B602FC">
      <w:pPr>
        <w:spacing w:before="159" w:after="120" w:line="360" w:lineRule="auto"/>
        <w:ind w:left="567" w:rightChars="43" w:right="103"/>
        <w:jc w:val="both"/>
        <w:rPr>
          <w:rFonts w:ascii="Calibri" w:hAnsi="Calibri" w:cs="Calibri"/>
          <w:sz w:val="22"/>
          <w:szCs w:val="22"/>
        </w:rPr>
      </w:pPr>
      <w:r w:rsidRPr="00D6050D">
        <w:rPr>
          <w:rFonts w:ascii="Calibri" w:hAnsi="Calibri" w:cs="Calibri"/>
          <w:sz w:val="22"/>
          <w:szCs w:val="22"/>
        </w:rPr>
        <w:t>The Capital Expenditure, IDC, transfer to fixed asset and the closing WIP for the current financial year and projected for the ensuing FY 202</w:t>
      </w:r>
      <w:r>
        <w:rPr>
          <w:rFonts w:ascii="Calibri" w:hAnsi="Calibri" w:cs="Calibri"/>
          <w:sz w:val="22"/>
          <w:szCs w:val="22"/>
        </w:rPr>
        <w:t>5</w:t>
      </w:r>
      <w:r w:rsidRPr="00D6050D">
        <w:rPr>
          <w:rFonts w:ascii="Calibri" w:hAnsi="Calibri" w:cs="Calibri"/>
          <w:sz w:val="22"/>
          <w:szCs w:val="22"/>
        </w:rPr>
        <w:t>-2</w:t>
      </w:r>
      <w:r>
        <w:rPr>
          <w:rFonts w:ascii="Calibri" w:hAnsi="Calibri" w:cs="Calibri"/>
          <w:sz w:val="22"/>
          <w:szCs w:val="22"/>
        </w:rPr>
        <w:t>6</w:t>
      </w:r>
      <w:r w:rsidRPr="00D6050D">
        <w:rPr>
          <w:rFonts w:ascii="Calibri" w:hAnsi="Calibri" w:cs="Calibri"/>
          <w:sz w:val="22"/>
          <w:szCs w:val="22"/>
        </w:rPr>
        <w:t xml:space="preserve"> are furnished in the following tables.</w:t>
      </w:r>
    </w:p>
    <w:p w14:paraId="667099A2" w14:textId="77777777" w:rsidR="00AD1819" w:rsidRDefault="00974443" w:rsidP="00974443">
      <w:pPr>
        <w:spacing w:before="159" w:after="120" w:line="360" w:lineRule="auto"/>
        <w:ind w:left="567" w:rightChars="43" w:right="103"/>
        <w:jc w:val="center"/>
        <w:rPr>
          <w:rFonts w:ascii="Calibri" w:eastAsia="Yu Gothic" w:hAnsi="Calibri" w:cs="Calibri"/>
          <w:b/>
          <w:sz w:val="22"/>
          <w:szCs w:val="22"/>
        </w:rPr>
      </w:pPr>
      <w:r>
        <w:rPr>
          <w:rFonts w:ascii="Calibri" w:eastAsia="Yu Gothic" w:hAnsi="Calibri" w:cs="Calibri"/>
          <w:b/>
          <w:sz w:val="22"/>
          <w:szCs w:val="22"/>
        </w:rPr>
        <w:t xml:space="preserve">                                     </w:t>
      </w:r>
    </w:p>
    <w:p w14:paraId="35E87D9D" w14:textId="77777777" w:rsidR="00AD1819" w:rsidRDefault="00AD1819" w:rsidP="00974443">
      <w:pPr>
        <w:spacing w:before="159" w:after="120" w:line="360" w:lineRule="auto"/>
        <w:ind w:left="567" w:rightChars="43" w:right="103"/>
        <w:jc w:val="center"/>
        <w:rPr>
          <w:rFonts w:ascii="Calibri" w:eastAsia="Yu Gothic" w:hAnsi="Calibri" w:cs="Calibri"/>
          <w:b/>
          <w:sz w:val="22"/>
          <w:szCs w:val="22"/>
        </w:rPr>
      </w:pPr>
    </w:p>
    <w:p w14:paraId="16A3DD21" w14:textId="77777777" w:rsidR="00AD1819" w:rsidRDefault="00AD1819" w:rsidP="00974443">
      <w:pPr>
        <w:spacing w:before="159" w:after="120" w:line="360" w:lineRule="auto"/>
        <w:ind w:left="567" w:rightChars="43" w:right="103"/>
        <w:jc w:val="center"/>
        <w:rPr>
          <w:rFonts w:ascii="Calibri" w:eastAsia="Yu Gothic" w:hAnsi="Calibri" w:cs="Calibri"/>
          <w:b/>
          <w:sz w:val="22"/>
          <w:szCs w:val="22"/>
        </w:rPr>
      </w:pPr>
    </w:p>
    <w:p w14:paraId="0C6F9797" w14:textId="20510636" w:rsidR="00974443" w:rsidRPr="00D6050D" w:rsidRDefault="00974443" w:rsidP="00974443">
      <w:pPr>
        <w:spacing w:before="159" w:after="120" w:line="360" w:lineRule="auto"/>
        <w:ind w:left="567" w:rightChars="43" w:right="103"/>
        <w:jc w:val="center"/>
        <w:rPr>
          <w:rFonts w:ascii="Calibri" w:eastAsia="Yu Gothic" w:hAnsi="Calibri" w:cs="Calibri"/>
          <w:b/>
          <w:sz w:val="22"/>
          <w:szCs w:val="22"/>
        </w:rPr>
      </w:pPr>
      <w:r>
        <w:rPr>
          <w:rFonts w:ascii="Calibri" w:eastAsia="Yu Gothic" w:hAnsi="Calibri" w:cs="Calibri"/>
          <w:b/>
          <w:sz w:val="22"/>
          <w:szCs w:val="22"/>
        </w:rPr>
        <w:lastRenderedPageBreak/>
        <w:t xml:space="preserve"> </w:t>
      </w:r>
      <w:r w:rsidR="00AD1819">
        <w:rPr>
          <w:rFonts w:ascii="Calibri" w:eastAsia="Yu Gothic" w:hAnsi="Calibri" w:cs="Calibri"/>
          <w:b/>
          <w:sz w:val="22"/>
          <w:szCs w:val="22"/>
        </w:rPr>
        <w:t xml:space="preserve">                </w:t>
      </w:r>
      <w:r w:rsidRPr="00B07C4F">
        <w:rPr>
          <w:rFonts w:ascii="Calibri" w:eastAsia="Yu Gothic" w:hAnsi="Calibri" w:cs="Calibri"/>
          <w:b/>
          <w:sz w:val="22"/>
          <w:szCs w:val="22"/>
        </w:rPr>
        <w:t xml:space="preserve">Table </w:t>
      </w:r>
      <w:r w:rsidR="00B602FC">
        <w:rPr>
          <w:rFonts w:ascii="Calibri" w:eastAsia="Yu Gothic" w:hAnsi="Calibri" w:cs="Calibri"/>
          <w:b/>
          <w:sz w:val="22"/>
          <w:szCs w:val="22"/>
        </w:rPr>
        <w:t>3</w:t>
      </w:r>
      <w:r w:rsidR="00AD1819">
        <w:rPr>
          <w:rFonts w:ascii="Calibri" w:eastAsia="Yu Gothic" w:hAnsi="Calibri" w:cs="Calibri"/>
          <w:b/>
          <w:sz w:val="22"/>
          <w:szCs w:val="22"/>
        </w:rPr>
        <w:t>7</w:t>
      </w:r>
      <w:r w:rsidRPr="00B07C4F">
        <w:rPr>
          <w:rFonts w:ascii="Calibri" w:eastAsia="Yu Gothic" w:hAnsi="Calibri" w:cs="Calibri"/>
          <w:b/>
          <w:sz w:val="22"/>
          <w:szCs w:val="22"/>
        </w:rPr>
        <w:t>: Capitalization Plan for FY 2024-25</w:t>
      </w:r>
      <w:r w:rsidRPr="00D6050D">
        <w:rPr>
          <w:rFonts w:ascii="Calibri" w:eastAsia="Yu Gothic" w:hAnsi="Calibri" w:cs="Calibri"/>
          <w:b/>
          <w:sz w:val="22"/>
          <w:szCs w:val="22"/>
        </w:rPr>
        <w:t xml:space="preserve">                          </w:t>
      </w:r>
      <w:proofErr w:type="gramStart"/>
      <w:r w:rsidRPr="00D6050D">
        <w:rPr>
          <w:rFonts w:ascii="Calibri" w:eastAsia="Yu Gothic" w:hAnsi="Calibri" w:cs="Calibri"/>
          <w:b/>
          <w:sz w:val="22"/>
          <w:szCs w:val="22"/>
        </w:rPr>
        <w:t xml:space="preserve">   (</w:t>
      </w:r>
      <w:proofErr w:type="gramEnd"/>
      <w:r w:rsidRPr="00D6050D">
        <w:rPr>
          <w:rFonts w:ascii="Calibri" w:eastAsia="Yu Gothic" w:hAnsi="Calibri" w:cs="Calibri"/>
          <w:b/>
          <w:sz w:val="22"/>
          <w:szCs w:val="22"/>
        </w:rPr>
        <w:t xml:space="preserve">In </w:t>
      </w:r>
      <w:r>
        <w:rPr>
          <w:rFonts w:ascii="Calibri" w:eastAsia="Yu Gothic" w:hAnsi="Calibri" w:cs="Calibri"/>
          <w:b/>
          <w:sz w:val="22"/>
          <w:szCs w:val="22"/>
        </w:rPr>
        <w:t>Rs.</w:t>
      </w:r>
      <w:r w:rsidRPr="00D6050D">
        <w:rPr>
          <w:rFonts w:ascii="Calibri" w:eastAsia="Yu Gothic" w:hAnsi="Calibri" w:cs="Calibri"/>
          <w:b/>
          <w:sz w:val="22"/>
          <w:szCs w:val="22"/>
        </w:rPr>
        <w:t xml:space="preserve"> </w:t>
      </w:r>
      <w:proofErr w:type="spellStart"/>
      <w:r w:rsidRPr="00D6050D">
        <w:rPr>
          <w:rFonts w:ascii="Calibri" w:eastAsia="Yu Gothic" w:hAnsi="Calibri" w:cs="Calibri"/>
          <w:b/>
          <w:sz w:val="22"/>
          <w:szCs w:val="22"/>
        </w:rPr>
        <w:t>Crs</w:t>
      </w:r>
      <w:proofErr w:type="spellEnd"/>
      <w:r w:rsidRPr="00D6050D">
        <w:rPr>
          <w:rFonts w:ascii="Calibri" w:eastAsia="Yu Gothic" w:hAnsi="Calibri" w:cs="Calibri"/>
          <w:b/>
          <w:sz w:val="22"/>
          <w:szCs w:val="22"/>
        </w:rPr>
        <w:t>)</w:t>
      </w:r>
    </w:p>
    <w:tbl>
      <w:tblPr>
        <w:tblW w:w="10144" w:type="dxa"/>
        <w:tblLook w:val="04A0" w:firstRow="1" w:lastRow="0" w:firstColumn="1" w:lastColumn="0" w:noHBand="0" w:noVBand="1"/>
      </w:tblPr>
      <w:tblGrid>
        <w:gridCol w:w="1889"/>
        <w:gridCol w:w="1461"/>
        <w:gridCol w:w="1073"/>
        <w:gridCol w:w="1535"/>
        <w:gridCol w:w="1603"/>
        <w:gridCol w:w="1122"/>
        <w:gridCol w:w="1461"/>
      </w:tblGrid>
      <w:tr w:rsidR="00BC3227" w:rsidRPr="00AD1819" w14:paraId="728C24B7" w14:textId="77777777" w:rsidTr="00AD1819">
        <w:trPr>
          <w:trHeight w:val="730"/>
        </w:trPr>
        <w:tc>
          <w:tcPr>
            <w:tcW w:w="0" w:type="auto"/>
            <w:tcBorders>
              <w:top w:val="single" w:sz="4" w:space="0" w:color="auto"/>
              <w:left w:val="single" w:sz="4" w:space="0" w:color="auto"/>
              <w:bottom w:val="single" w:sz="4" w:space="0" w:color="auto"/>
              <w:right w:val="single" w:sz="4" w:space="0" w:color="auto"/>
            </w:tcBorders>
            <w:shd w:val="clear" w:color="auto" w:fill="95B3D7" w:themeFill="accent1" w:themeFillTint="99"/>
            <w:vAlign w:val="center"/>
            <w:hideMark/>
          </w:tcPr>
          <w:p w14:paraId="58972461" w14:textId="77777777" w:rsidR="00BC3227" w:rsidRPr="00AD1819" w:rsidRDefault="00BC3227">
            <w:pPr>
              <w:jc w:val="center"/>
              <w:rPr>
                <w:rFonts w:asciiTheme="minorHAnsi" w:hAnsiTheme="minorHAnsi" w:cs="Arial"/>
                <w:b/>
                <w:bCs/>
                <w:sz w:val="22"/>
                <w:szCs w:val="22"/>
                <w:lang w:val="en-IN" w:eastAsia="en-IN"/>
              </w:rPr>
            </w:pPr>
            <w:r w:rsidRPr="00AD1819">
              <w:rPr>
                <w:rFonts w:asciiTheme="minorHAnsi" w:hAnsiTheme="minorHAnsi" w:cs="Arial"/>
                <w:b/>
                <w:bCs/>
                <w:sz w:val="22"/>
                <w:szCs w:val="22"/>
              </w:rPr>
              <w:t>Description of the Project/Scheme</w:t>
            </w:r>
          </w:p>
        </w:tc>
        <w:tc>
          <w:tcPr>
            <w:tcW w:w="0" w:type="auto"/>
            <w:tcBorders>
              <w:top w:val="single" w:sz="4" w:space="0" w:color="auto"/>
              <w:left w:val="nil"/>
              <w:bottom w:val="single" w:sz="4" w:space="0" w:color="auto"/>
              <w:right w:val="single" w:sz="4" w:space="0" w:color="auto"/>
            </w:tcBorders>
            <w:shd w:val="clear" w:color="auto" w:fill="95B3D7" w:themeFill="accent1" w:themeFillTint="99"/>
            <w:vAlign w:val="center"/>
            <w:hideMark/>
          </w:tcPr>
          <w:p w14:paraId="395B74E8" w14:textId="77777777" w:rsidR="00BC3227" w:rsidRPr="00AD1819" w:rsidRDefault="00BC3227">
            <w:pPr>
              <w:jc w:val="center"/>
              <w:rPr>
                <w:rFonts w:asciiTheme="minorHAnsi" w:hAnsiTheme="minorHAnsi" w:cs="Arial"/>
                <w:b/>
                <w:bCs/>
                <w:sz w:val="22"/>
                <w:szCs w:val="22"/>
              </w:rPr>
            </w:pPr>
            <w:r w:rsidRPr="00AD1819">
              <w:rPr>
                <w:rFonts w:asciiTheme="minorHAnsi" w:hAnsiTheme="minorHAnsi" w:cs="Arial"/>
                <w:b/>
                <w:bCs/>
                <w:sz w:val="22"/>
                <w:szCs w:val="22"/>
              </w:rPr>
              <w:t>Closing bal. of WIP as on 31.03.2024</w:t>
            </w:r>
          </w:p>
        </w:tc>
        <w:tc>
          <w:tcPr>
            <w:tcW w:w="0" w:type="auto"/>
            <w:tcBorders>
              <w:top w:val="single" w:sz="4" w:space="0" w:color="auto"/>
              <w:left w:val="nil"/>
              <w:bottom w:val="single" w:sz="4" w:space="0" w:color="auto"/>
              <w:right w:val="single" w:sz="4" w:space="0" w:color="auto"/>
            </w:tcBorders>
            <w:shd w:val="clear" w:color="auto" w:fill="95B3D7" w:themeFill="accent1" w:themeFillTint="99"/>
            <w:vAlign w:val="center"/>
            <w:hideMark/>
          </w:tcPr>
          <w:p w14:paraId="04A0AFB1" w14:textId="77777777" w:rsidR="00BC3227" w:rsidRPr="00AD1819" w:rsidRDefault="00BC3227">
            <w:pPr>
              <w:jc w:val="center"/>
              <w:rPr>
                <w:rFonts w:asciiTheme="minorHAnsi" w:hAnsiTheme="minorHAnsi" w:cs="Arial"/>
                <w:b/>
                <w:bCs/>
                <w:sz w:val="22"/>
                <w:szCs w:val="22"/>
              </w:rPr>
            </w:pPr>
            <w:proofErr w:type="spellStart"/>
            <w:r w:rsidRPr="00AD1819">
              <w:rPr>
                <w:rFonts w:asciiTheme="minorHAnsi" w:hAnsiTheme="minorHAnsi" w:cs="Arial"/>
                <w:b/>
                <w:bCs/>
                <w:sz w:val="22"/>
                <w:szCs w:val="22"/>
              </w:rPr>
              <w:t>Expn</w:t>
            </w:r>
            <w:proofErr w:type="spellEnd"/>
            <w:r w:rsidRPr="00AD1819">
              <w:rPr>
                <w:rFonts w:asciiTheme="minorHAnsi" w:hAnsiTheme="minorHAnsi" w:cs="Arial"/>
                <w:b/>
                <w:bCs/>
                <w:sz w:val="22"/>
                <w:szCs w:val="22"/>
              </w:rPr>
              <w:t>. During the Year</w:t>
            </w:r>
          </w:p>
        </w:tc>
        <w:tc>
          <w:tcPr>
            <w:tcW w:w="0" w:type="auto"/>
            <w:tcBorders>
              <w:top w:val="single" w:sz="4" w:space="0" w:color="auto"/>
              <w:left w:val="nil"/>
              <w:bottom w:val="single" w:sz="4" w:space="0" w:color="auto"/>
              <w:right w:val="single" w:sz="4" w:space="0" w:color="auto"/>
            </w:tcBorders>
            <w:shd w:val="clear" w:color="auto" w:fill="95B3D7" w:themeFill="accent1" w:themeFillTint="99"/>
            <w:vAlign w:val="center"/>
            <w:hideMark/>
          </w:tcPr>
          <w:p w14:paraId="2380D0C0" w14:textId="77777777" w:rsidR="00BC3227" w:rsidRPr="00AD1819" w:rsidRDefault="00BC3227">
            <w:pPr>
              <w:jc w:val="center"/>
              <w:rPr>
                <w:rFonts w:asciiTheme="minorHAnsi" w:hAnsiTheme="minorHAnsi" w:cs="Arial"/>
                <w:b/>
                <w:bCs/>
                <w:sz w:val="22"/>
                <w:szCs w:val="22"/>
              </w:rPr>
            </w:pPr>
            <w:r w:rsidRPr="00AD1819">
              <w:rPr>
                <w:rFonts w:asciiTheme="minorHAnsi" w:hAnsiTheme="minorHAnsi" w:cs="Arial"/>
                <w:b/>
                <w:bCs/>
                <w:sz w:val="22"/>
                <w:szCs w:val="22"/>
              </w:rPr>
              <w:t>Interest During Construction</w:t>
            </w:r>
          </w:p>
        </w:tc>
        <w:tc>
          <w:tcPr>
            <w:tcW w:w="0" w:type="auto"/>
            <w:tcBorders>
              <w:top w:val="single" w:sz="4" w:space="0" w:color="auto"/>
              <w:left w:val="nil"/>
              <w:bottom w:val="single" w:sz="4" w:space="0" w:color="auto"/>
              <w:right w:val="single" w:sz="4" w:space="0" w:color="auto"/>
            </w:tcBorders>
            <w:shd w:val="clear" w:color="auto" w:fill="95B3D7" w:themeFill="accent1" w:themeFillTint="99"/>
            <w:vAlign w:val="center"/>
            <w:hideMark/>
          </w:tcPr>
          <w:p w14:paraId="1FD5191D" w14:textId="77777777" w:rsidR="00BC3227" w:rsidRPr="00AD1819" w:rsidRDefault="00BC3227">
            <w:pPr>
              <w:jc w:val="center"/>
              <w:rPr>
                <w:rFonts w:asciiTheme="minorHAnsi" w:hAnsiTheme="minorHAnsi" w:cs="Arial"/>
                <w:b/>
                <w:bCs/>
                <w:sz w:val="22"/>
                <w:szCs w:val="22"/>
              </w:rPr>
            </w:pPr>
            <w:r w:rsidRPr="00AD1819">
              <w:rPr>
                <w:rFonts w:asciiTheme="minorHAnsi" w:hAnsiTheme="minorHAnsi" w:cs="Arial"/>
                <w:b/>
                <w:bCs/>
                <w:sz w:val="22"/>
                <w:szCs w:val="22"/>
              </w:rPr>
              <w:t xml:space="preserve">Overheads </w:t>
            </w:r>
            <w:proofErr w:type="spellStart"/>
            <w:r w:rsidRPr="00AD1819">
              <w:rPr>
                <w:rFonts w:asciiTheme="minorHAnsi" w:hAnsiTheme="minorHAnsi" w:cs="Arial"/>
                <w:b/>
                <w:bCs/>
                <w:sz w:val="22"/>
                <w:szCs w:val="22"/>
              </w:rPr>
              <w:t>Capitalised</w:t>
            </w:r>
            <w:proofErr w:type="spellEnd"/>
            <w:r w:rsidRPr="00AD1819">
              <w:rPr>
                <w:rFonts w:asciiTheme="minorHAnsi" w:hAnsiTheme="minorHAnsi" w:cs="Arial"/>
                <w:b/>
                <w:bCs/>
                <w:sz w:val="22"/>
                <w:szCs w:val="22"/>
              </w:rPr>
              <w:t>/ Adjustments</w:t>
            </w:r>
          </w:p>
        </w:tc>
        <w:tc>
          <w:tcPr>
            <w:tcW w:w="0" w:type="auto"/>
            <w:tcBorders>
              <w:top w:val="single" w:sz="4" w:space="0" w:color="auto"/>
              <w:left w:val="nil"/>
              <w:bottom w:val="single" w:sz="4" w:space="0" w:color="auto"/>
              <w:right w:val="single" w:sz="4" w:space="0" w:color="auto"/>
            </w:tcBorders>
            <w:shd w:val="clear" w:color="auto" w:fill="95B3D7" w:themeFill="accent1" w:themeFillTint="99"/>
            <w:vAlign w:val="center"/>
            <w:hideMark/>
          </w:tcPr>
          <w:p w14:paraId="4D312C53" w14:textId="77777777" w:rsidR="00BC3227" w:rsidRPr="00AD1819" w:rsidRDefault="00BC3227">
            <w:pPr>
              <w:jc w:val="center"/>
              <w:rPr>
                <w:rFonts w:asciiTheme="minorHAnsi" w:hAnsiTheme="minorHAnsi" w:cs="Arial"/>
                <w:b/>
                <w:bCs/>
                <w:sz w:val="22"/>
                <w:szCs w:val="22"/>
              </w:rPr>
            </w:pPr>
            <w:r w:rsidRPr="00AD1819">
              <w:rPr>
                <w:rFonts w:asciiTheme="minorHAnsi" w:hAnsiTheme="minorHAnsi" w:cs="Arial"/>
                <w:b/>
                <w:bCs/>
                <w:sz w:val="22"/>
                <w:szCs w:val="22"/>
              </w:rPr>
              <w:t>Transfer to Fixed Assets</w:t>
            </w:r>
          </w:p>
        </w:tc>
        <w:tc>
          <w:tcPr>
            <w:tcW w:w="0" w:type="auto"/>
            <w:tcBorders>
              <w:top w:val="single" w:sz="4" w:space="0" w:color="auto"/>
              <w:left w:val="nil"/>
              <w:bottom w:val="single" w:sz="4" w:space="0" w:color="auto"/>
              <w:right w:val="single" w:sz="4" w:space="0" w:color="auto"/>
            </w:tcBorders>
            <w:shd w:val="clear" w:color="auto" w:fill="95B3D7" w:themeFill="accent1" w:themeFillTint="99"/>
            <w:vAlign w:val="center"/>
            <w:hideMark/>
          </w:tcPr>
          <w:p w14:paraId="727E4E3B" w14:textId="77777777" w:rsidR="00BC3227" w:rsidRPr="00AD1819" w:rsidRDefault="00BC3227">
            <w:pPr>
              <w:jc w:val="center"/>
              <w:rPr>
                <w:rFonts w:asciiTheme="minorHAnsi" w:hAnsiTheme="minorHAnsi" w:cs="Arial"/>
                <w:b/>
                <w:bCs/>
                <w:sz w:val="22"/>
                <w:szCs w:val="22"/>
              </w:rPr>
            </w:pPr>
            <w:r w:rsidRPr="00AD1819">
              <w:rPr>
                <w:rFonts w:asciiTheme="minorHAnsi" w:hAnsiTheme="minorHAnsi" w:cs="Arial"/>
                <w:b/>
                <w:bCs/>
                <w:sz w:val="22"/>
                <w:szCs w:val="22"/>
              </w:rPr>
              <w:t>Closing bal. of WIP as on 31.03.2025</w:t>
            </w:r>
          </w:p>
        </w:tc>
      </w:tr>
      <w:tr w:rsidR="00BC3227" w:rsidRPr="00AD1819" w14:paraId="0145EE27" w14:textId="77777777" w:rsidTr="00AD1819">
        <w:trPr>
          <w:trHeight w:val="286"/>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05698748" w14:textId="77777777" w:rsidR="00BC3227" w:rsidRPr="00AD1819" w:rsidRDefault="00BC3227">
            <w:pPr>
              <w:jc w:val="center"/>
              <w:rPr>
                <w:rFonts w:asciiTheme="minorHAnsi" w:hAnsiTheme="minorHAnsi" w:cs="Arial"/>
                <w:b/>
                <w:bCs/>
                <w:sz w:val="22"/>
                <w:szCs w:val="22"/>
              </w:rPr>
            </w:pPr>
            <w:r w:rsidRPr="00AD1819">
              <w:rPr>
                <w:rFonts w:asciiTheme="minorHAnsi" w:hAnsiTheme="minorHAnsi" w:cs="Arial"/>
                <w:b/>
                <w:bCs/>
                <w:sz w:val="22"/>
                <w:szCs w:val="22"/>
              </w:rPr>
              <w:t>2</w:t>
            </w:r>
          </w:p>
        </w:tc>
        <w:tc>
          <w:tcPr>
            <w:tcW w:w="0" w:type="auto"/>
            <w:tcBorders>
              <w:top w:val="nil"/>
              <w:left w:val="nil"/>
              <w:bottom w:val="single" w:sz="4" w:space="0" w:color="auto"/>
              <w:right w:val="single" w:sz="4" w:space="0" w:color="auto"/>
            </w:tcBorders>
            <w:shd w:val="clear" w:color="auto" w:fill="auto"/>
            <w:noWrap/>
            <w:vAlign w:val="center"/>
            <w:hideMark/>
          </w:tcPr>
          <w:p w14:paraId="3C777FF1" w14:textId="77777777" w:rsidR="00BC3227" w:rsidRPr="00AD1819" w:rsidRDefault="00BC3227">
            <w:pPr>
              <w:jc w:val="center"/>
              <w:rPr>
                <w:rFonts w:asciiTheme="minorHAnsi" w:hAnsiTheme="minorHAnsi" w:cs="Arial"/>
                <w:b/>
                <w:bCs/>
                <w:sz w:val="22"/>
                <w:szCs w:val="22"/>
              </w:rPr>
            </w:pPr>
            <w:r w:rsidRPr="00AD1819">
              <w:rPr>
                <w:rFonts w:asciiTheme="minorHAnsi" w:hAnsiTheme="minorHAnsi" w:cs="Arial"/>
                <w:b/>
                <w:bCs/>
                <w:sz w:val="22"/>
                <w:szCs w:val="22"/>
              </w:rPr>
              <w:t>8</w:t>
            </w:r>
          </w:p>
        </w:tc>
        <w:tc>
          <w:tcPr>
            <w:tcW w:w="0" w:type="auto"/>
            <w:tcBorders>
              <w:top w:val="nil"/>
              <w:left w:val="nil"/>
              <w:bottom w:val="single" w:sz="4" w:space="0" w:color="auto"/>
              <w:right w:val="single" w:sz="4" w:space="0" w:color="auto"/>
            </w:tcBorders>
            <w:shd w:val="clear" w:color="auto" w:fill="auto"/>
            <w:noWrap/>
            <w:vAlign w:val="center"/>
            <w:hideMark/>
          </w:tcPr>
          <w:p w14:paraId="4F740F86" w14:textId="77777777" w:rsidR="00BC3227" w:rsidRPr="00AD1819" w:rsidRDefault="00BC3227">
            <w:pPr>
              <w:jc w:val="center"/>
              <w:rPr>
                <w:rFonts w:asciiTheme="minorHAnsi" w:hAnsiTheme="minorHAnsi" w:cs="Arial"/>
                <w:b/>
                <w:bCs/>
                <w:sz w:val="22"/>
                <w:szCs w:val="22"/>
              </w:rPr>
            </w:pPr>
            <w:r w:rsidRPr="00AD1819">
              <w:rPr>
                <w:rFonts w:asciiTheme="minorHAnsi" w:hAnsiTheme="minorHAnsi" w:cs="Arial"/>
                <w:b/>
                <w:bCs/>
                <w:sz w:val="22"/>
                <w:szCs w:val="22"/>
              </w:rPr>
              <w:t>9</w:t>
            </w:r>
          </w:p>
        </w:tc>
        <w:tc>
          <w:tcPr>
            <w:tcW w:w="0" w:type="auto"/>
            <w:tcBorders>
              <w:top w:val="nil"/>
              <w:left w:val="nil"/>
              <w:bottom w:val="single" w:sz="4" w:space="0" w:color="auto"/>
              <w:right w:val="single" w:sz="4" w:space="0" w:color="auto"/>
            </w:tcBorders>
            <w:shd w:val="clear" w:color="auto" w:fill="auto"/>
            <w:noWrap/>
            <w:vAlign w:val="center"/>
            <w:hideMark/>
          </w:tcPr>
          <w:p w14:paraId="328472C1" w14:textId="77777777" w:rsidR="00BC3227" w:rsidRPr="00AD1819" w:rsidRDefault="00BC3227">
            <w:pPr>
              <w:jc w:val="center"/>
              <w:rPr>
                <w:rFonts w:asciiTheme="minorHAnsi" w:hAnsiTheme="minorHAnsi" w:cs="Arial"/>
                <w:b/>
                <w:bCs/>
                <w:sz w:val="22"/>
                <w:szCs w:val="22"/>
              </w:rPr>
            </w:pPr>
            <w:r w:rsidRPr="00AD1819">
              <w:rPr>
                <w:rFonts w:asciiTheme="minorHAnsi" w:hAnsiTheme="minorHAnsi" w:cs="Arial"/>
                <w:b/>
                <w:bCs/>
                <w:sz w:val="22"/>
                <w:szCs w:val="22"/>
              </w:rPr>
              <w:t>10</w:t>
            </w:r>
          </w:p>
        </w:tc>
        <w:tc>
          <w:tcPr>
            <w:tcW w:w="0" w:type="auto"/>
            <w:tcBorders>
              <w:top w:val="nil"/>
              <w:left w:val="nil"/>
              <w:bottom w:val="single" w:sz="4" w:space="0" w:color="auto"/>
              <w:right w:val="single" w:sz="4" w:space="0" w:color="auto"/>
            </w:tcBorders>
            <w:shd w:val="clear" w:color="auto" w:fill="auto"/>
            <w:noWrap/>
            <w:vAlign w:val="center"/>
            <w:hideMark/>
          </w:tcPr>
          <w:p w14:paraId="1E331F3F" w14:textId="77777777" w:rsidR="00BC3227" w:rsidRPr="00AD1819" w:rsidRDefault="00BC3227">
            <w:pPr>
              <w:jc w:val="center"/>
              <w:rPr>
                <w:rFonts w:asciiTheme="minorHAnsi" w:hAnsiTheme="minorHAnsi" w:cs="Arial"/>
                <w:b/>
                <w:bCs/>
                <w:sz w:val="22"/>
                <w:szCs w:val="22"/>
              </w:rPr>
            </w:pPr>
            <w:r w:rsidRPr="00AD1819">
              <w:rPr>
                <w:rFonts w:asciiTheme="minorHAnsi" w:hAnsiTheme="minorHAnsi" w:cs="Arial"/>
                <w:b/>
                <w:bCs/>
                <w:sz w:val="22"/>
                <w:szCs w:val="22"/>
              </w:rPr>
              <w:t>11</w:t>
            </w:r>
          </w:p>
        </w:tc>
        <w:tc>
          <w:tcPr>
            <w:tcW w:w="0" w:type="auto"/>
            <w:tcBorders>
              <w:top w:val="nil"/>
              <w:left w:val="nil"/>
              <w:bottom w:val="single" w:sz="4" w:space="0" w:color="auto"/>
              <w:right w:val="single" w:sz="4" w:space="0" w:color="auto"/>
            </w:tcBorders>
            <w:shd w:val="clear" w:color="auto" w:fill="auto"/>
            <w:noWrap/>
            <w:vAlign w:val="center"/>
            <w:hideMark/>
          </w:tcPr>
          <w:p w14:paraId="2A427227" w14:textId="77777777" w:rsidR="00BC3227" w:rsidRPr="00AD1819" w:rsidRDefault="00BC3227">
            <w:pPr>
              <w:jc w:val="center"/>
              <w:rPr>
                <w:rFonts w:asciiTheme="minorHAnsi" w:hAnsiTheme="minorHAnsi" w:cs="Arial"/>
                <w:b/>
                <w:bCs/>
                <w:sz w:val="22"/>
                <w:szCs w:val="22"/>
              </w:rPr>
            </w:pPr>
            <w:r w:rsidRPr="00AD1819">
              <w:rPr>
                <w:rFonts w:asciiTheme="minorHAnsi" w:hAnsiTheme="minorHAnsi" w:cs="Arial"/>
                <w:b/>
                <w:bCs/>
                <w:sz w:val="22"/>
                <w:szCs w:val="22"/>
              </w:rPr>
              <w:t>12</w:t>
            </w:r>
          </w:p>
        </w:tc>
        <w:tc>
          <w:tcPr>
            <w:tcW w:w="0" w:type="auto"/>
            <w:tcBorders>
              <w:top w:val="nil"/>
              <w:left w:val="nil"/>
              <w:bottom w:val="single" w:sz="4" w:space="0" w:color="auto"/>
              <w:right w:val="single" w:sz="4" w:space="0" w:color="auto"/>
            </w:tcBorders>
            <w:shd w:val="clear" w:color="auto" w:fill="auto"/>
            <w:noWrap/>
            <w:vAlign w:val="center"/>
            <w:hideMark/>
          </w:tcPr>
          <w:p w14:paraId="522219D5" w14:textId="77777777" w:rsidR="00BC3227" w:rsidRPr="00AD1819" w:rsidRDefault="00BC3227">
            <w:pPr>
              <w:jc w:val="center"/>
              <w:rPr>
                <w:rFonts w:asciiTheme="minorHAnsi" w:hAnsiTheme="minorHAnsi" w:cs="Arial"/>
                <w:b/>
                <w:bCs/>
                <w:sz w:val="22"/>
                <w:szCs w:val="22"/>
              </w:rPr>
            </w:pPr>
            <w:r w:rsidRPr="00AD1819">
              <w:rPr>
                <w:rFonts w:asciiTheme="minorHAnsi" w:hAnsiTheme="minorHAnsi" w:cs="Arial"/>
                <w:b/>
                <w:bCs/>
                <w:sz w:val="22"/>
                <w:szCs w:val="22"/>
              </w:rPr>
              <w:t>13</w:t>
            </w:r>
          </w:p>
        </w:tc>
      </w:tr>
      <w:tr w:rsidR="00BC3227" w:rsidRPr="00AD1819" w14:paraId="77018A70" w14:textId="77777777" w:rsidTr="00AD1819">
        <w:trPr>
          <w:trHeight w:val="286"/>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2CE059D" w14:textId="77777777" w:rsidR="00BC3227" w:rsidRPr="00AD1819" w:rsidRDefault="00BC3227">
            <w:pPr>
              <w:rPr>
                <w:rFonts w:asciiTheme="minorHAnsi" w:hAnsiTheme="minorHAnsi" w:cs="Arial"/>
                <w:sz w:val="22"/>
                <w:szCs w:val="22"/>
              </w:rPr>
            </w:pPr>
            <w:r w:rsidRPr="00AD1819">
              <w:rPr>
                <w:rFonts w:asciiTheme="minorHAnsi" w:hAnsiTheme="minorHAnsi" w:cs="Arial"/>
                <w:sz w:val="22"/>
                <w:szCs w:val="22"/>
              </w:rPr>
              <w:t xml:space="preserve">Land </w:t>
            </w:r>
          </w:p>
        </w:tc>
        <w:tc>
          <w:tcPr>
            <w:tcW w:w="0" w:type="auto"/>
            <w:tcBorders>
              <w:top w:val="nil"/>
              <w:left w:val="nil"/>
              <w:bottom w:val="single" w:sz="4" w:space="0" w:color="auto"/>
              <w:right w:val="single" w:sz="4" w:space="0" w:color="auto"/>
            </w:tcBorders>
            <w:shd w:val="clear" w:color="000000" w:fill="FFFFFF"/>
            <w:noWrap/>
            <w:vAlign w:val="center"/>
            <w:hideMark/>
          </w:tcPr>
          <w:p w14:paraId="64BA41C2" w14:textId="77777777" w:rsidR="00BC3227" w:rsidRPr="00AD1819" w:rsidRDefault="00BC3227">
            <w:pPr>
              <w:jc w:val="center"/>
              <w:rPr>
                <w:rFonts w:asciiTheme="minorHAnsi" w:hAnsiTheme="minorHAnsi" w:cs="Arial"/>
                <w:sz w:val="22"/>
                <w:szCs w:val="22"/>
              </w:rPr>
            </w:pPr>
            <w:r w:rsidRPr="00AD1819">
              <w:rPr>
                <w:rFonts w:asciiTheme="minorHAnsi" w:hAnsiTheme="minorHAnsi" w:cs="Arial"/>
                <w:sz w:val="22"/>
                <w:szCs w:val="22"/>
              </w:rPr>
              <w:t>0.00</w:t>
            </w:r>
          </w:p>
        </w:tc>
        <w:tc>
          <w:tcPr>
            <w:tcW w:w="0" w:type="auto"/>
            <w:tcBorders>
              <w:top w:val="nil"/>
              <w:left w:val="nil"/>
              <w:bottom w:val="single" w:sz="4" w:space="0" w:color="auto"/>
              <w:right w:val="single" w:sz="4" w:space="0" w:color="auto"/>
            </w:tcBorders>
            <w:shd w:val="clear" w:color="000000" w:fill="FFFFFF"/>
            <w:noWrap/>
            <w:vAlign w:val="center"/>
            <w:hideMark/>
          </w:tcPr>
          <w:p w14:paraId="5879A03E" w14:textId="77777777" w:rsidR="00BC3227" w:rsidRPr="00AD1819" w:rsidRDefault="00BC3227">
            <w:pPr>
              <w:jc w:val="center"/>
              <w:rPr>
                <w:rFonts w:asciiTheme="minorHAnsi" w:hAnsiTheme="minorHAnsi" w:cs="Arial"/>
                <w:sz w:val="22"/>
                <w:szCs w:val="22"/>
              </w:rPr>
            </w:pPr>
            <w:r w:rsidRPr="00AD1819">
              <w:rPr>
                <w:rFonts w:asciiTheme="minorHAnsi" w:hAnsiTheme="minorHAnsi" w:cs="Arial"/>
                <w:sz w:val="22"/>
                <w:szCs w:val="22"/>
              </w:rPr>
              <w:t>0.00</w:t>
            </w:r>
          </w:p>
        </w:tc>
        <w:tc>
          <w:tcPr>
            <w:tcW w:w="0" w:type="auto"/>
            <w:tcBorders>
              <w:top w:val="nil"/>
              <w:left w:val="nil"/>
              <w:bottom w:val="single" w:sz="4" w:space="0" w:color="auto"/>
              <w:right w:val="single" w:sz="4" w:space="0" w:color="auto"/>
            </w:tcBorders>
            <w:shd w:val="clear" w:color="000000" w:fill="FFFFFF"/>
            <w:noWrap/>
            <w:vAlign w:val="center"/>
            <w:hideMark/>
          </w:tcPr>
          <w:p w14:paraId="4D055286" w14:textId="77777777" w:rsidR="00BC3227" w:rsidRPr="00AD1819" w:rsidRDefault="00BC3227">
            <w:pPr>
              <w:jc w:val="center"/>
              <w:rPr>
                <w:rFonts w:asciiTheme="minorHAnsi" w:hAnsiTheme="minorHAnsi" w:cs="Arial"/>
                <w:sz w:val="22"/>
                <w:szCs w:val="22"/>
              </w:rPr>
            </w:pPr>
            <w:r w:rsidRPr="00AD1819">
              <w:rPr>
                <w:rFonts w:asciiTheme="minorHAnsi" w:hAnsiTheme="minorHAnsi" w:cs="Arial"/>
                <w:sz w:val="22"/>
                <w:szCs w:val="22"/>
              </w:rPr>
              <w:t>0.00</w:t>
            </w:r>
          </w:p>
        </w:tc>
        <w:tc>
          <w:tcPr>
            <w:tcW w:w="0" w:type="auto"/>
            <w:tcBorders>
              <w:top w:val="nil"/>
              <w:left w:val="nil"/>
              <w:bottom w:val="single" w:sz="4" w:space="0" w:color="auto"/>
              <w:right w:val="single" w:sz="4" w:space="0" w:color="auto"/>
            </w:tcBorders>
            <w:shd w:val="clear" w:color="000000" w:fill="FFFFFF"/>
            <w:noWrap/>
            <w:vAlign w:val="center"/>
            <w:hideMark/>
          </w:tcPr>
          <w:p w14:paraId="603BBD03" w14:textId="77777777" w:rsidR="00BC3227" w:rsidRPr="00AD1819" w:rsidRDefault="00BC3227">
            <w:pPr>
              <w:jc w:val="center"/>
              <w:rPr>
                <w:rFonts w:asciiTheme="minorHAnsi" w:hAnsiTheme="minorHAnsi" w:cs="Arial"/>
                <w:sz w:val="22"/>
                <w:szCs w:val="22"/>
              </w:rPr>
            </w:pPr>
            <w:r w:rsidRPr="00AD1819">
              <w:rPr>
                <w:rFonts w:asciiTheme="minorHAnsi" w:hAnsiTheme="minorHAnsi" w:cs="Arial"/>
                <w:sz w:val="22"/>
                <w:szCs w:val="22"/>
              </w:rPr>
              <w:t>0.00</w:t>
            </w:r>
          </w:p>
        </w:tc>
        <w:tc>
          <w:tcPr>
            <w:tcW w:w="0" w:type="auto"/>
            <w:tcBorders>
              <w:top w:val="nil"/>
              <w:left w:val="nil"/>
              <w:bottom w:val="single" w:sz="4" w:space="0" w:color="auto"/>
              <w:right w:val="single" w:sz="4" w:space="0" w:color="auto"/>
            </w:tcBorders>
            <w:shd w:val="clear" w:color="000000" w:fill="FFFFFF"/>
            <w:noWrap/>
            <w:vAlign w:val="center"/>
            <w:hideMark/>
          </w:tcPr>
          <w:p w14:paraId="6ECF103A" w14:textId="77777777" w:rsidR="00BC3227" w:rsidRPr="00AD1819" w:rsidRDefault="00BC3227">
            <w:pPr>
              <w:jc w:val="center"/>
              <w:rPr>
                <w:rFonts w:asciiTheme="minorHAnsi" w:hAnsiTheme="minorHAnsi" w:cs="Arial"/>
                <w:sz w:val="22"/>
                <w:szCs w:val="22"/>
              </w:rPr>
            </w:pPr>
            <w:r w:rsidRPr="00AD1819">
              <w:rPr>
                <w:rFonts w:asciiTheme="minorHAnsi" w:hAnsiTheme="minorHAnsi" w:cs="Arial"/>
                <w:sz w:val="22"/>
                <w:szCs w:val="22"/>
              </w:rPr>
              <w:t>0.00</w:t>
            </w:r>
          </w:p>
        </w:tc>
        <w:tc>
          <w:tcPr>
            <w:tcW w:w="0" w:type="auto"/>
            <w:tcBorders>
              <w:top w:val="nil"/>
              <w:left w:val="nil"/>
              <w:bottom w:val="single" w:sz="4" w:space="0" w:color="auto"/>
              <w:right w:val="single" w:sz="4" w:space="0" w:color="auto"/>
            </w:tcBorders>
            <w:shd w:val="clear" w:color="000000" w:fill="FFFFFF"/>
            <w:noWrap/>
            <w:vAlign w:val="center"/>
            <w:hideMark/>
          </w:tcPr>
          <w:p w14:paraId="18AE6FBE" w14:textId="77777777" w:rsidR="00BC3227" w:rsidRPr="00AD1819" w:rsidRDefault="00BC3227">
            <w:pPr>
              <w:jc w:val="center"/>
              <w:rPr>
                <w:rFonts w:asciiTheme="minorHAnsi" w:hAnsiTheme="minorHAnsi" w:cs="Arial"/>
                <w:b/>
                <w:bCs/>
                <w:sz w:val="22"/>
                <w:szCs w:val="22"/>
              </w:rPr>
            </w:pPr>
            <w:r w:rsidRPr="00AD1819">
              <w:rPr>
                <w:rFonts w:asciiTheme="minorHAnsi" w:hAnsiTheme="minorHAnsi" w:cs="Arial"/>
                <w:b/>
                <w:bCs/>
                <w:sz w:val="22"/>
                <w:szCs w:val="22"/>
              </w:rPr>
              <w:t>0.00</w:t>
            </w:r>
          </w:p>
        </w:tc>
      </w:tr>
      <w:tr w:rsidR="00BC3227" w:rsidRPr="00AD1819" w14:paraId="420B028F" w14:textId="77777777" w:rsidTr="00AD1819">
        <w:trPr>
          <w:trHeight w:val="286"/>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128D04B" w14:textId="77777777" w:rsidR="00BC3227" w:rsidRPr="00AD1819" w:rsidRDefault="00BC3227">
            <w:pPr>
              <w:rPr>
                <w:rFonts w:asciiTheme="minorHAnsi" w:hAnsiTheme="minorHAnsi" w:cs="Arial"/>
                <w:sz w:val="22"/>
                <w:szCs w:val="22"/>
              </w:rPr>
            </w:pPr>
            <w:r w:rsidRPr="00AD1819">
              <w:rPr>
                <w:rFonts w:asciiTheme="minorHAnsi" w:hAnsiTheme="minorHAnsi" w:cs="Arial"/>
                <w:sz w:val="22"/>
                <w:szCs w:val="22"/>
              </w:rPr>
              <w:t>Civil &amp; Buildings</w:t>
            </w:r>
          </w:p>
        </w:tc>
        <w:tc>
          <w:tcPr>
            <w:tcW w:w="0" w:type="auto"/>
            <w:tcBorders>
              <w:top w:val="nil"/>
              <w:left w:val="nil"/>
              <w:bottom w:val="single" w:sz="4" w:space="0" w:color="auto"/>
              <w:right w:val="single" w:sz="4" w:space="0" w:color="auto"/>
            </w:tcBorders>
            <w:shd w:val="clear" w:color="auto" w:fill="auto"/>
            <w:noWrap/>
            <w:vAlign w:val="center"/>
            <w:hideMark/>
          </w:tcPr>
          <w:p w14:paraId="65CB8C69" w14:textId="77777777" w:rsidR="00BC3227" w:rsidRPr="00AD1819" w:rsidRDefault="00BC3227">
            <w:pPr>
              <w:jc w:val="center"/>
              <w:rPr>
                <w:rFonts w:asciiTheme="minorHAnsi" w:hAnsiTheme="minorHAnsi"/>
                <w:color w:val="000000"/>
                <w:sz w:val="22"/>
                <w:szCs w:val="22"/>
              </w:rPr>
            </w:pPr>
            <w:r w:rsidRPr="00AD1819">
              <w:rPr>
                <w:rFonts w:asciiTheme="minorHAnsi" w:hAnsiTheme="minorHAnsi"/>
                <w:color w:val="000000"/>
                <w:sz w:val="22"/>
                <w:szCs w:val="22"/>
              </w:rPr>
              <w:t>2.21</w:t>
            </w:r>
          </w:p>
        </w:tc>
        <w:tc>
          <w:tcPr>
            <w:tcW w:w="0" w:type="auto"/>
            <w:tcBorders>
              <w:top w:val="nil"/>
              <w:left w:val="nil"/>
              <w:bottom w:val="single" w:sz="4" w:space="0" w:color="auto"/>
              <w:right w:val="single" w:sz="4" w:space="0" w:color="auto"/>
            </w:tcBorders>
            <w:shd w:val="clear" w:color="000000" w:fill="FFFFFF"/>
            <w:noWrap/>
            <w:vAlign w:val="center"/>
            <w:hideMark/>
          </w:tcPr>
          <w:p w14:paraId="4CD676B4" w14:textId="77777777" w:rsidR="00BC3227" w:rsidRPr="00AD1819" w:rsidRDefault="00BC3227">
            <w:pPr>
              <w:jc w:val="center"/>
              <w:rPr>
                <w:rFonts w:asciiTheme="minorHAnsi" w:hAnsiTheme="minorHAnsi" w:cs="Arial"/>
                <w:sz w:val="22"/>
                <w:szCs w:val="22"/>
              </w:rPr>
            </w:pPr>
            <w:r w:rsidRPr="00AD1819">
              <w:rPr>
                <w:rFonts w:asciiTheme="minorHAnsi" w:hAnsiTheme="minorHAnsi" w:cs="Arial"/>
                <w:sz w:val="22"/>
                <w:szCs w:val="22"/>
              </w:rPr>
              <w:t>44.95</w:t>
            </w:r>
          </w:p>
        </w:tc>
        <w:tc>
          <w:tcPr>
            <w:tcW w:w="0" w:type="auto"/>
            <w:tcBorders>
              <w:top w:val="nil"/>
              <w:left w:val="nil"/>
              <w:bottom w:val="single" w:sz="4" w:space="0" w:color="auto"/>
              <w:right w:val="single" w:sz="4" w:space="0" w:color="auto"/>
            </w:tcBorders>
            <w:shd w:val="clear" w:color="000000" w:fill="FFFFFF"/>
            <w:noWrap/>
            <w:vAlign w:val="center"/>
            <w:hideMark/>
          </w:tcPr>
          <w:p w14:paraId="5A94BA12" w14:textId="77777777" w:rsidR="00BC3227" w:rsidRPr="00AD1819" w:rsidRDefault="00BC3227">
            <w:pPr>
              <w:jc w:val="center"/>
              <w:rPr>
                <w:rFonts w:asciiTheme="minorHAnsi" w:hAnsiTheme="minorHAnsi" w:cs="Arial"/>
                <w:sz w:val="22"/>
                <w:szCs w:val="22"/>
              </w:rPr>
            </w:pPr>
            <w:r w:rsidRPr="00AD1819">
              <w:rPr>
                <w:rFonts w:asciiTheme="minorHAnsi" w:hAnsiTheme="minorHAnsi" w:cs="Arial"/>
                <w:sz w:val="22"/>
                <w:szCs w:val="22"/>
              </w:rPr>
              <w:t>0.00</w:t>
            </w:r>
          </w:p>
        </w:tc>
        <w:tc>
          <w:tcPr>
            <w:tcW w:w="0" w:type="auto"/>
            <w:tcBorders>
              <w:top w:val="nil"/>
              <w:left w:val="nil"/>
              <w:bottom w:val="single" w:sz="4" w:space="0" w:color="auto"/>
              <w:right w:val="single" w:sz="4" w:space="0" w:color="auto"/>
            </w:tcBorders>
            <w:shd w:val="clear" w:color="000000" w:fill="FFFFFF"/>
            <w:noWrap/>
            <w:vAlign w:val="center"/>
            <w:hideMark/>
          </w:tcPr>
          <w:p w14:paraId="16B326D9" w14:textId="77777777" w:rsidR="00BC3227" w:rsidRPr="00AD1819" w:rsidRDefault="00BC3227">
            <w:pPr>
              <w:jc w:val="center"/>
              <w:rPr>
                <w:rFonts w:asciiTheme="minorHAnsi" w:hAnsiTheme="minorHAnsi" w:cs="Arial"/>
                <w:sz w:val="22"/>
                <w:szCs w:val="22"/>
              </w:rPr>
            </w:pPr>
            <w:r w:rsidRPr="00AD1819">
              <w:rPr>
                <w:rFonts w:asciiTheme="minorHAnsi" w:hAnsiTheme="minorHAnsi" w:cs="Arial"/>
                <w:sz w:val="22"/>
                <w:szCs w:val="22"/>
              </w:rPr>
              <w:t>1.83</w:t>
            </w:r>
          </w:p>
        </w:tc>
        <w:tc>
          <w:tcPr>
            <w:tcW w:w="0" w:type="auto"/>
            <w:tcBorders>
              <w:top w:val="nil"/>
              <w:left w:val="nil"/>
              <w:bottom w:val="single" w:sz="4" w:space="0" w:color="auto"/>
              <w:right w:val="single" w:sz="4" w:space="0" w:color="auto"/>
            </w:tcBorders>
            <w:shd w:val="clear" w:color="000000" w:fill="FFFFFF"/>
            <w:noWrap/>
            <w:vAlign w:val="center"/>
            <w:hideMark/>
          </w:tcPr>
          <w:p w14:paraId="71E6124B" w14:textId="77777777" w:rsidR="00BC3227" w:rsidRPr="00AD1819" w:rsidRDefault="00BC3227">
            <w:pPr>
              <w:jc w:val="center"/>
              <w:rPr>
                <w:rFonts w:asciiTheme="minorHAnsi" w:hAnsiTheme="minorHAnsi" w:cs="Arial"/>
                <w:sz w:val="22"/>
                <w:szCs w:val="22"/>
              </w:rPr>
            </w:pPr>
            <w:r w:rsidRPr="00AD1819">
              <w:rPr>
                <w:rFonts w:asciiTheme="minorHAnsi" w:hAnsiTheme="minorHAnsi" w:cs="Arial"/>
                <w:sz w:val="22"/>
                <w:szCs w:val="22"/>
              </w:rPr>
              <w:t>36.69</w:t>
            </w:r>
          </w:p>
        </w:tc>
        <w:tc>
          <w:tcPr>
            <w:tcW w:w="0" w:type="auto"/>
            <w:tcBorders>
              <w:top w:val="nil"/>
              <w:left w:val="nil"/>
              <w:bottom w:val="single" w:sz="4" w:space="0" w:color="auto"/>
              <w:right w:val="single" w:sz="4" w:space="0" w:color="auto"/>
            </w:tcBorders>
            <w:shd w:val="clear" w:color="000000" w:fill="FFFFFF"/>
            <w:noWrap/>
            <w:vAlign w:val="center"/>
            <w:hideMark/>
          </w:tcPr>
          <w:p w14:paraId="2258C1AE" w14:textId="77777777" w:rsidR="00BC3227" w:rsidRPr="00AD1819" w:rsidRDefault="00BC3227">
            <w:pPr>
              <w:jc w:val="center"/>
              <w:rPr>
                <w:rFonts w:asciiTheme="minorHAnsi" w:hAnsiTheme="minorHAnsi" w:cs="Arial"/>
                <w:sz w:val="22"/>
                <w:szCs w:val="22"/>
              </w:rPr>
            </w:pPr>
            <w:r w:rsidRPr="00AD1819">
              <w:rPr>
                <w:rFonts w:asciiTheme="minorHAnsi" w:hAnsiTheme="minorHAnsi" w:cs="Arial"/>
                <w:sz w:val="22"/>
                <w:szCs w:val="22"/>
              </w:rPr>
              <w:t>12.31</w:t>
            </w:r>
          </w:p>
        </w:tc>
      </w:tr>
      <w:tr w:rsidR="00BC3227" w:rsidRPr="00AD1819" w14:paraId="54B52AB0" w14:textId="77777777" w:rsidTr="00AD1819">
        <w:trPr>
          <w:trHeight w:val="286"/>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B6DF354" w14:textId="77777777" w:rsidR="00BC3227" w:rsidRPr="00AD1819" w:rsidRDefault="00BC3227">
            <w:pPr>
              <w:rPr>
                <w:rFonts w:asciiTheme="minorHAnsi" w:hAnsiTheme="minorHAnsi" w:cs="Arial"/>
                <w:sz w:val="22"/>
                <w:szCs w:val="22"/>
              </w:rPr>
            </w:pPr>
            <w:r w:rsidRPr="00AD1819">
              <w:rPr>
                <w:rFonts w:asciiTheme="minorHAnsi" w:hAnsiTheme="minorHAnsi" w:cs="Arial"/>
                <w:sz w:val="22"/>
                <w:szCs w:val="22"/>
              </w:rPr>
              <w:t>F&amp;F</w:t>
            </w:r>
          </w:p>
        </w:tc>
        <w:tc>
          <w:tcPr>
            <w:tcW w:w="0" w:type="auto"/>
            <w:tcBorders>
              <w:top w:val="nil"/>
              <w:left w:val="nil"/>
              <w:bottom w:val="single" w:sz="4" w:space="0" w:color="auto"/>
              <w:right w:val="single" w:sz="4" w:space="0" w:color="auto"/>
            </w:tcBorders>
            <w:shd w:val="clear" w:color="auto" w:fill="auto"/>
            <w:noWrap/>
            <w:vAlign w:val="center"/>
            <w:hideMark/>
          </w:tcPr>
          <w:p w14:paraId="041CAD05" w14:textId="77777777" w:rsidR="00BC3227" w:rsidRPr="00AD1819" w:rsidRDefault="00BC3227">
            <w:pPr>
              <w:jc w:val="center"/>
              <w:rPr>
                <w:rFonts w:asciiTheme="minorHAnsi" w:hAnsiTheme="minorHAnsi"/>
                <w:color w:val="000000"/>
                <w:sz w:val="22"/>
                <w:szCs w:val="22"/>
              </w:rPr>
            </w:pPr>
            <w:r w:rsidRPr="00AD1819">
              <w:rPr>
                <w:rFonts w:asciiTheme="minorHAnsi" w:hAnsiTheme="minorHAnsi"/>
                <w:color w:val="000000"/>
                <w:sz w:val="22"/>
                <w:szCs w:val="22"/>
              </w:rPr>
              <w:t>0.16</w:t>
            </w:r>
          </w:p>
        </w:tc>
        <w:tc>
          <w:tcPr>
            <w:tcW w:w="0" w:type="auto"/>
            <w:tcBorders>
              <w:top w:val="nil"/>
              <w:left w:val="nil"/>
              <w:bottom w:val="single" w:sz="4" w:space="0" w:color="auto"/>
              <w:right w:val="single" w:sz="4" w:space="0" w:color="auto"/>
            </w:tcBorders>
            <w:shd w:val="clear" w:color="000000" w:fill="FFFFFF"/>
            <w:noWrap/>
            <w:vAlign w:val="center"/>
            <w:hideMark/>
          </w:tcPr>
          <w:p w14:paraId="5B264193" w14:textId="77777777" w:rsidR="00BC3227" w:rsidRPr="00AD1819" w:rsidRDefault="00BC3227">
            <w:pPr>
              <w:jc w:val="center"/>
              <w:rPr>
                <w:rFonts w:asciiTheme="minorHAnsi" w:hAnsiTheme="minorHAnsi" w:cs="Arial"/>
                <w:sz w:val="22"/>
                <w:szCs w:val="22"/>
              </w:rPr>
            </w:pPr>
            <w:r w:rsidRPr="00AD1819">
              <w:rPr>
                <w:rFonts w:asciiTheme="minorHAnsi" w:hAnsiTheme="minorHAnsi" w:cs="Arial"/>
                <w:sz w:val="22"/>
                <w:szCs w:val="22"/>
              </w:rPr>
              <w:t>11.22</w:t>
            </w:r>
          </w:p>
        </w:tc>
        <w:tc>
          <w:tcPr>
            <w:tcW w:w="0" w:type="auto"/>
            <w:tcBorders>
              <w:top w:val="nil"/>
              <w:left w:val="nil"/>
              <w:bottom w:val="single" w:sz="4" w:space="0" w:color="auto"/>
              <w:right w:val="single" w:sz="4" w:space="0" w:color="auto"/>
            </w:tcBorders>
            <w:shd w:val="clear" w:color="000000" w:fill="FFFFFF"/>
            <w:noWrap/>
            <w:vAlign w:val="center"/>
            <w:hideMark/>
          </w:tcPr>
          <w:p w14:paraId="65AE9D69" w14:textId="77777777" w:rsidR="00BC3227" w:rsidRPr="00AD1819" w:rsidRDefault="00BC3227">
            <w:pPr>
              <w:jc w:val="center"/>
              <w:rPr>
                <w:rFonts w:asciiTheme="minorHAnsi" w:hAnsiTheme="minorHAnsi" w:cs="Arial"/>
                <w:sz w:val="22"/>
                <w:szCs w:val="22"/>
              </w:rPr>
            </w:pPr>
            <w:r w:rsidRPr="00AD1819">
              <w:rPr>
                <w:rFonts w:asciiTheme="minorHAnsi" w:hAnsiTheme="minorHAnsi" w:cs="Arial"/>
                <w:sz w:val="22"/>
                <w:szCs w:val="22"/>
              </w:rPr>
              <w:t>0.00</w:t>
            </w:r>
          </w:p>
        </w:tc>
        <w:tc>
          <w:tcPr>
            <w:tcW w:w="0" w:type="auto"/>
            <w:tcBorders>
              <w:top w:val="nil"/>
              <w:left w:val="nil"/>
              <w:bottom w:val="single" w:sz="4" w:space="0" w:color="auto"/>
              <w:right w:val="single" w:sz="4" w:space="0" w:color="auto"/>
            </w:tcBorders>
            <w:shd w:val="clear" w:color="000000" w:fill="FFFFFF"/>
            <w:noWrap/>
            <w:vAlign w:val="center"/>
            <w:hideMark/>
          </w:tcPr>
          <w:p w14:paraId="76D9AC65" w14:textId="77777777" w:rsidR="00BC3227" w:rsidRPr="00AD1819" w:rsidRDefault="00BC3227">
            <w:pPr>
              <w:jc w:val="center"/>
              <w:rPr>
                <w:rFonts w:asciiTheme="minorHAnsi" w:hAnsiTheme="minorHAnsi" w:cs="Arial"/>
                <w:sz w:val="22"/>
                <w:szCs w:val="22"/>
              </w:rPr>
            </w:pPr>
            <w:r w:rsidRPr="00AD1819">
              <w:rPr>
                <w:rFonts w:asciiTheme="minorHAnsi" w:hAnsiTheme="minorHAnsi" w:cs="Arial"/>
                <w:sz w:val="22"/>
                <w:szCs w:val="22"/>
              </w:rPr>
              <w:t>0.00</w:t>
            </w:r>
          </w:p>
        </w:tc>
        <w:tc>
          <w:tcPr>
            <w:tcW w:w="0" w:type="auto"/>
            <w:tcBorders>
              <w:top w:val="nil"/>
              <w:left w:val="nil"/>
              <w:bottom w:val="single" w:sz="4" w:space="0" w:color="auto"/>
              <w:right w:val="single" w:sz="4" w:space="0" w:color="auto"/>
            </w:tcBorders>
            <w:shd w:val="clear" w:color="000000" w:fill="FFFFFF"/>
            <w:noWrap/>
            <w:vAlign w:val="center"/>
            <w:hideMark/>
          </w:tcPr>
          <w:p w14:paraId="17B78412" w14:textId="77777777" w:rsidR="00BC3227" w:rsidRPr="00AD1819" w:rsidRDefault="00BC3227">
            <w:pPr>
              <w:jc w:val="center"/>
              <w:rPr>
                <w:rFonts w:asciiTheme="minorHAnsi" w:hAnsiTheme="minorHAnsi" w:cs="Arial"/>
                <w:sz w:val="22"/>
                <w:szCs w:val="22"/>
              </w:rPr>
            </w:pPr>
            <w:r w:rsidRPr="00AD1819">
              <w:rPr>
                <w:rFonts w:asciiTheme="minorHAnsi" w:hAnsiTheme="minorHAnsi" w:cs="Arial"/>
                <w:sz w:val="22"/>
                <w:szCs w:val="22"/>
              </w:rPr>
              <w:t>7.54</w:t>
            </w:r>
          </w:p>
        </w:tc>
        <w:tc>
          <w:tcPr>
            <w:tcW w:w="0" w:type="auto"/>
            <w:tcBorders>
              <w:top w:val="nil"/>
              <w:left w:val="nil"/>
              <w:bottom w:val="single" w:sz="4" w:space="0" w:color="auto"/>
              <w:right w:val="single" w:sz="4" w:space="0" w:color="auto"/>
            </w:tcBorders>
            <w:shd w:val="clear" w:color="000000" w:fill="FFFFFF"/>
            <w:noWrap/>
            <w:vAlign w:val="center"/>
            <w:hideMark/>
          </w:tcPr>
          <w:p w14:paraId="7652773C" w14:textId="77777777" w:rsidR="00BC3227" w:rsidRPr="00AD1819" w:rsidRDefault="00BC3227">
            <w:pPr>
              <w:jc w:val="center"/>
              <w:rPr>
                <w:rFonts w:asciiTheme="minorHAnsi" w:hAnsiTheme="minorHAnsi" w:cs="Arial"/>
                <w:sz w:val="22"/>
                <w:szCs w:val="22"/>
              </w:rPr>
            </w:pPr>
            <w:r w:rsidRPr="00AD1819">
              <w:rPr>
                <w:rFonts w:asciiTheme="minorHAnsi" w:hAnsiTheme="minorHAnsi" w:cs="Arial"/>
                <w:sz w:val="22"/>
                <w:szCs w:val="22"/>
              </w:rPr>
              <w:t>3.84</w:t>
            </w:r>
          </w:p>
        </w:tc>
      </w:tr>
      <w:tr w:rsidR="00BC3227" w:rsidRPr="00AD1819" w14:paraId="3FCC2A1D" w14:textId="77777777" w:rsidTr="00AD1819">
        <w:trPr>
          <w:trHeight w:val="286"/>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5337F60" w14:textId="77777777" w:rsidR="00BC3227" w:rsidRPr="00AD1819" w:rsidRDefault="00BC3227">
            <w:pPr>
              <w:rPr>
                <w:rFonts w:asciiTheme="minorHAnsi" w:hAnsiTheme="minorHAnsi" w:cs="Arial"/>
                <w:sz w:val="22"/>
                <w:szCs w:val="22"/>
              </w:rPr>
            </w:pPr>
            <w:r w:rsidRPr="00AD1819">
              <w:rPr>
                <w:rFonts w:asciiTheme="minorHAnsi" w:hAnsiTheme="minorHAnsi" w:cs="Arial"/>
                <w:sz w:val="22"/>
                <w:szCs w:val="22"/>
              </w:rPr>
              <w:t>Vehicle</w:t>
            </w:r>
          </w:p>
        </w:tc>
        <w:tc>
          <w:tcPr>
            <w:tcW w:w="0" w:type="auto"/>
            <w:tcBorders>
              <w:top w:val="nil"/>
              <w:left w:val="nil"/>
              <w:bottom w:val="single" w:sz="4" w:space="0" w:color="auto"/>
              <w:right w:val="single" w:sz="4" w:space="0" w:color="auto"/>
            </w:tcBorders>
            <w:shd w:val="clear" w:color="auto" w:fill="auto"/>
            <w:noWrap/>
            <w:vAlign w:val="center"/>
            <w:hideMark/>
          </w:tcPr>
          <w:p w14:paraId="63AA4CC1" w14:textId="77777777" w:rsidR="00BC3227" w:rsidRPr="00AD1819" w:rsidRDefault="00BC3227">
            <w:pPr>
              <w:jc w:val="center"/>
              <w:rPr>
                <w:rFonts w:asciiTheme="minorHAnsi" w:hAnsiTheme="minorHAnsi"/>
                <w:color w:val="000000"/>
                <w:sz w:val="22"/>
                <w:szCs w:val="22"/>
              </w:rPr>
            </w:pPr>
            <w:r w:rsidRPr="00AD1819">
              <w:rPr>
                <w:rFonts w:asciiTheme="minorHAnsi" w:hAnsiTheme="minorHAnsi"/>
                <w:color w:val="000000"/>
                <w:sz w:val="22"/>
                <w:szCs w:val="22"/>
              </w:rPr>
              <w:t>0.35</w:t>
            </w:r>
          </w:p>
        </w:tc>
        <w:tc>
          <w:tcPr>
            <w:tcW w:w="0" w:type="auto"/>
            <w:tcBorders>
              <w:top w:val="nil"/>
              <w:left w:val="nil"/>
              <w:bottom w:val="single" w:sz="4" w:space="0" w:color="auto"/>
              <w:right w:val="single" w:sz="4" w:space="0" w:color="auto"/>
            </w:tcBorders>
            <w:shd w:val="clear" w:color="000000" w:fill="FFFFFF"/>
            <w:noWrap/>
            <w:vAlign w:val="center"/>
            <w:hideMark/>
          </w:tcPr>
          <w:p w14:paraId="174F81E0" w14:textId="77777777" w:rsidR="00BC3227" w:rsidRPr="00AD1819" w:rsidRDefault="00BC3227">
            <w:pPr>
              <w:jc w:val="center"/>
              <w:rPr>
                <w:rFonts w:asciiTheme="minorHAnsi" w:hAnsiTheme="minorHAnsi" w:cs="Arial"/>
                <w:sz w:val="22"/>
                <w:szCs w:val="22"/>
              </w:rPr>
            </w:pPr>
            <w:r w:rsidRPr="00AD1819">
              <w:rPr>
                <w:rFonts w:asciiTheme="minorHAnsi" w:hAnsiTheme="minorHAnsi" w:cs="Arial"/>
                <w:sz w:val="22"/>
                <w:szCs w:val="22"/>
              </w:rPr>
              <w:t>0.03</w:t>
            </w:r>
          </w:p>
        </w:tc>
        <w:tc>
          <w:tcPr>
            <w:tcW w:w="0" w:type="auto"/>
            <w:tcBorders>
              <w:top w:val="nil"/>
              <w:left w:val="nil"/>
              <w:bottom w:val="single" w:sz="4" w:space="0" w:color="auto"/>
              <w:right w:val="single" w:sz="4" w:space="0" w:color="auto"/>
            </w:tcBorders>
            <w:shd w:val="clear" w:color="000000" w:fill="FFFFFF"/>
            <w:noWrap/>
            <w:vAlign w:val="center"/>
            <w:hideMark/>
          </w:tcPr>
          <w:p w14:paraId="60362838" w14:textId="77777777" w:rsidR="00BC3227" w:rsidRPr="00AD1819" w:rsidRDefault="00BC3227">
            <w:pPr>
              <w:jc w:val="center"/>
              <w:rPr>
                <w:rFonts w:asciiTheme="minorHAnsi" w:hAnsiTheme="minorHAnsi" w:cs="Arial"/>
                <w:sz w:val="22"/>
                <w:szCs w:val="22"/>
              </w:rPr>
            </w:pPr>
            <w:r w:rsidRPr="00AD1819">
              <w:rPr>
                <w:rFonts w:asciiTheme="minorHAnsi" w:hAnsiTheme="minorHAnsi" w:cs="Arial"/>
                <w:sz w:val="22"/>
                <w:szCs w:val="22"/>
              </w:rPr>
              <w:t>0.00</w:t>
            </w:r>
          </w:p>
        </w:tc>
        <w:tc>
          <w:tcPr>
            <w:tcW w:w="0" w:type="auto"/>
            <w:tcBorders>
              <w:top w:val="nil"/>
              <w:left w:val="nil"/>
              <w:bottom w:val="single" w:sz="4" w:space="0" w:color="auto"/>
              <w:right w:val="single" w:sz="4" w:space="0" w:color="auto"/>
            </w:tcBorders>
            <w:shd w:val="clear" w:color="000000" w:fill="FFFFFF"/>
            <w:noWrap/>
            <w:vAlign w:val="center"/>
            <w:hideMark/>
          </w:tcPr>
          <w:p w14:paraId="18B1CEE1" w14:textId="77777777" w:rsidR="00BC3227" w:rsidRPr="00AD1819" w:rsidRDefault="00BC3227">
            <w:pPr>
              <w:jc w:val="center"/>
              <w:rPr>
                <w:rFonts w:asciiTheme="minorHAnsi" w:hAnsiTheme="minorHAnsi" w:cs="Arial"/>
                <w:sz w:val="22"/>
                <w:szCs w:val="22"/>
              </w:rPr>
            </w:pPr>
            <w:r w:rsidRPr="00AD1819">
              <w:rPr>
                <w:rFonts w:asciiTheme="minorHAnsi" w:hAnsiTheme="minorHAnsi" w:cs="Arial"/>
                <w:sz w:val="22"/>
                <w:szCs w:val="22"/>
              </w:rPr>
              <w:t>0.00</w:t>
            </w:r>
          </w:p>
        </w:tc>
        <w:tc>
          <w:tcPr>
            <w:tcW w:w="0" w:type="auto"/>
            <w:tcBorders>
              <w:top w:val="nil"/>
              <w:left w:val="nil"/>
              <w:bottom w:val="single" w:sz="4" w:space="0" w:color="auto"/>
              <w:right w:val="single" w:sz="4" w:space="0" w:color="auto"/>
            </w:tcBorders>
            <w:shd w:val="clear" w:color="000000" w:fill="FFFFFF"/>
            <w:noWrap/>
            <w:vAlign w:val="center"/>
            <w:hideMark/>
          </w:tcPr>
          <w:p w14:paraId="785A3BBE" w14:textId="77777777" w:rsidR="00BC3227" w:rsidRPr="00AD1819" w:rsidRDefault="00BC3227">
            <w:pPr>
              <w:jc w:val="center"/>
              <w:rPr>
                <w:rFonts w:asciiTheme="minorHAnsi" w:hAnsiTheme="minorHAnsi" w:cs="Arial"/>
                <w:sz w:val="22"/>
                <w:szCs w:val="22"/>
              </w:rPr>
            </w:pPr>
            <w:r w:rsidRPr="00AD1819">
              <w:rPr>
                <w:rFonts w:asciiTheme="minorHAnsi" w:hAnsiTheme="minorHAnsi" w:cs="Arial"/>
                <w:sz w:val="22"/>
                <w:szCs w:val="22"/>
              </w:rPr>
              <w:t>0.38</w:t>
            </w:r>
          </w:p>
        </w:tc>
        <w:tc>
          <w:tcPr>
            <w:tcW w:w="0" w:type="auto"/>
            <w:tcBorders>
              <w:top w:val="nil"/>
              <w:left w:val="nil"/>
              <w:bottom w:val="single" w:sz="4" w:space="0" w:color="auto"/>
              <w:right w:val="single" w:sz="4" w:space="0" w:color="auto"/>
            </w:tcBorders>
            <w:shd w:val="clear" w:color="000000" w:fill="FFFFFF"/>
            <w:noWrap/>
            <w:vAlign w:val="center"/>
            <w:hideMark/>
          </w:tcPr>
          <w:p w14:paraId="38B2D618" w14:textId="77777777" w:rsidR="00BC3227" w:rsidRPr="00AD1819" w:rsidRDefault="00BC3227">
            <w:pPr>
              <w:jc w:val="center"/>
              <w:rPr>
                <w:rFonts w:asciiTheme="minorHAnsi" w:hAnsiTheme="minorHAnsi" w:cs="Arial"/>
                <w:sz w:val="22"/>
                <w:szCs w:val="22"/>
              </w:rPr>
            </w:pPr>
            <w:r w:rsidRPr="00AD1819">
              <w:rPr>
                <w:rFonts w:asciiTheme="minorHAnsi" w:hAnsiTheme="minorHAnsi" w:cs="Arial"/>
                <w:sz w:val="22"/>
                <w:szCs w:val="22"/>
              </w:rPr>
              <w:t>0.00</w:t>
            </w:r>
          </w:p>
        </w:tc>
      </w:tr>
      <w:tr w:rsidR="00BC3227" w:rsidRPr="00AD1819" w14:paraId="59EFC3BE" w14:textId="77777777" w:rsidTr="00AD1819">
        <w:trPr>
          <w:trHeight w:val="286"/>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6787ABF" w14:textId="77777777" w:rsidR="00BC3227" w:rsidRPr="00AD1819" w:rsidRDefault="00BC3227">
            <w:pPr>
              <w:rPr>
                <w:rFonts w:asciiTheme="minorHAnsi" w:hAnsiTheme="minorHAnsi" w:cs="Arial"/>
                <w:sz w:val="22"/>
                <w:szCs w:val="22"/>
              </w:rPr>
            </w:pPr>
            <w:r w:rsidRPr="00AD1819">
              <w:rPr>
                <w:rFonts w:asciiTheme="minorHAnsi" w:hAnsiTheme="minorHAnsi" w:cs="Arial"/>
                <w:sz w:val="22"/>
                <w:szCs w:val="22"/>
              </w:rPr>
              <w:t xml:space="preserve">IT </w:t>
            </w:r>
            <w:proofErr w:type="spellStart"/>
            <w:r w:rsidRPr="00AD1819">
              <w:rPr>
                <w:rFonts w:asciiTheme="minorHAnsi" w:hAnsiTheme="minorHAnsi" w:cs="Arial"/>
                <w:sz w:val="22"/>
                <w:szCs w:val="22"/>
              </w:rPr>
              <w:t>Equipments</w:t>
            </w:r>
            <w:proofErr w:type="spellEnd"/>
            <w:r w:rsidRPr="00AD1819">
              <w:rPr>
                <w:rFonts w:asciiTheme="minorHAnsi" w:hAnsiTheme="minorHAnsi" w:cs="Arial"/>
                <w:sz w:val="22"/>
                <w:szCs w:val="22"/>
              </w:rPr>
              <w:t xml:space="preserve"> &amp; Software</w:t>
            </w:r>
          </w:p>
        </w:tc>
        <w:tc>
          <w:tcPr>
            <w:tcW w:w="0" w:type="auto"/>
            <w:tcBorders>
              <w:top w:val="nil"/>
              <w:left w:val="nil"/>
              <w:bottom w:val="single" w:sz="4" w:space="0" w:color="auto"/>
              <w:right w:val="single" w:sz="4" w:space="0" w:color="auto"/>
            </w:tcBorders>
            <w:shd w:val="clear" w:color="auto" w:fill="auto"/>
            <w:noWrap/>
            <w:vAlign w:val="center"/>
            <w:hideMark/>
          </w:tcPr>
          <w:p w14:paraId="2709AD8E" w14:textId="77777777" w:rsidR="00BC3227" w:rsidRPr="00AD1819" w:rsidRDefault="00BC3227">
            <w:pPr>
              <w:jc w:val="center"/>
              <w:rPr>
                <w:rFonts w:asciiTheme="minorHAnsi" w:hAnsiTheme="minorHAnsi"/>
                <w:color w:val="000000"/>
                <w:sz w:val="22"/>
                <w:szCs w:val="22"/>
              </w:rPr>
            </w:pPr>
            <w:r w:rsidRPr="00AD1819">
              <w:rPr>
                <w:rFonts w:asciiTheme="minorHAnsi" w:hAnsiTheme="minorHAnsi"/>
                <w:color w:val="000000"/>
                <w:sz w:val="22"/>
                <w:szCs w:val="22"/>
              </w:rPr>
              <w:t>4.23</w:t>
            </w:r>
          </w:p>
        </w:tc>
        <w:tc>
          <w:tcPr>
            <w:tcW w:w="0" w:type="auto"/>
            <w:tcBorders>
              <w:top w:val="nil"/>
              <w:left w:val="nil"/>
              <w:bottom w:val="single" w:sz="4" w:space="0" w:color="auto"/>
              <w:right w:val="single" w:sz="4" w:space="0" w:color="auto"/>
            </w:tcBorders>
            <w:shd w:val="clear" w:color="000000" w:fill="FFFFFF"/>
            <w:noWrap/>
            <w:vAlign w:val="center"/>
            <w:hideMark/>
          </w:tcPr>
          <w:p w14:paraId="3953F4F5" w14:textId="77777777" w:rsidR="00BC3227" w:rsidRPr="00AD1819" w:rsidRDefault="00BC3227">
            <w:pPr>
              <w:jc w:val="center"/>
              <w:rPr>
                <w:rFonts w:asciiTheme="minorHAnsi" w:hAnsiTheme="minorHAnsi" w:cs="Arial"/>
                <w:sz w:val="22"/>
                <w:szCs w:val="22"/>
              </w:rPr>
            </w:pPr>
            <w:r w:rsidRPr="00AD1819">
              <w:rPr>
                <w:rFonts w:asciiTheme="minorHAnsi" w:hAnsiTheme="minorHAnsi" w:cs="Arial"/>
                <w:sz w:val="22"/>
                <w:szCs w:val="22"/>
              </w:rPr>
              <w:t>63.61</w:t>
            </w:r>
          </w:p>
        </w:tc>
        <w:tc>
          <w:tcPr>
            <w:tcW w:w="0" w:type="auto"/>
            <w:tcBorders>
              <w:top w:val="nil"/>
              <w:left w:val="nil"/>
              <w:bottom w:val="single" w:sz="4" w:space="0" w:color="auto"/>
              <w:right w:val="single" w:sz="4" w:space="0" w:color="auto"/>
            </w:tcBorders>
            <w:shd w:val="clear" w:color="000000" w:fill="FFFFFF"/>
            <w:noWrap/>
            <w:vAlign w:val="center"/>
            <w:hideMark/>
          </w:tcPr>
          <w:p w14:paraId="64E922B5" w14:textId="77777777" w:rsidR="00BC3227" w:rsidRPr="00AD1819" w:rsidRDefault="00BC3227">
            <w:pPr>
              <w:jc w:val="center"/>
              <w:rPr>
                <w:rFonts w:asciiTheme="minorHAnsi" w:hAnsiTheme="minorHAnsi" w:cs="Arial"/>
                <w:sz w:val="22"/>
                <w:szCs w:val="22"/>
              </w:rPr>
            </w:pPr>
            <w:r w:rsidRPr="00AD1819">
              <w:rPr>
                <w:rFonts w:asciiTheme="minorHAnsi" w:hAnsiTheme="minorHAnsi" w:cs="Arial"/>
                <w:sz w:val="22"/>
                <w:szCs w:val="22"/>
              </w:rPr>
              <w:t>0.00</w:t>
            </w:r>
          </w:p>
        </w:tc>
        <w:tc>
          <w:tcPr>
            <w:tcW w:w="0" w:type="auto"/>
            <w:tcBorders>
              <w:top w:val="nil"/>
              <w:left w:val="nil"/>
              <w:bottom w:val="single" w:sz="4" w:space="0" w:color="auto"/>
              <w:right w:val="single" w:sz="4" w:space="0" w:color="auto"/>
            </w:tcBorders>
            <w:shd w:val="clear" w:color="000000" w:fill="FFFFFF"/>
            <w:noWrap/>
            <w:vAlign w:val="center"/>
            <w:hideMark/>
          </w:tcPr>
          <w:p w14:paraId="5EE57370" w14:textId="77777777" w:rsidR="00BC3227" w:rsidRPr="00AD1819" w:rsidRDefault="00BC3227">
            <w:pPr>
              <w:jc w:val="center"/>
              <w:rPr>
                <w:rFonts w:asciiTheme="minorHAnsi" w:hAnsiTheme="minorHAnsi" w:cs="Arial"/>
                <w:sz w:val="22"/>
                <w:szCs w:val="22"/>
              </w:rPr>
            </w:pPr>
            <w:r w:rsidRPr="00AD1819">
              <w:rPr>
                <w:rFonts w:asciiTheme="minorHAnsi" w:hAnsiTheme="minorHAnsi" w:cs="Arial"/>
                <w:sz w:val="22"/>
                <w:szCs w:val="22"/>
              </w:rPr>
              <w:t>0.00</w:t>
            </w:r>
          </w:p>
        </w:tc>
        <w:tc>
          <w:tcPr>
            <w:tcW w:w="0" w:type="auto"/>
            <w:tcBorders>
              <w:top w:val="nil"/>
              <w:left w:val="nil"/>
              <w:bottom w:val="single" w:sz="4" w:space="0" w:color="auto"/>
              <w:right w:val="single" w:sz="4" w:space="0" w:color="auto"/>
            </w:tcBorders>
            <w:shd w:val="clear" w:color="000000" w:fill="FFFFFF"/>
            <w:noWrap/>
            <w:vAlign w:val="center"/>
            <w:hideMark/>
          </w:tcPr>
          <w:p w14:paraId="238A68EE" w14:textId="77777777" w:rsidR="00BC3227" w:rsidRPr="00AD1819" w:rsidRDefault="00BC3227">
            <w:pPr>
              <w:jc w:val="center"/>
              <w:rPr>
                <w:rFonts w:asciiTheme="minorHAnsi" w:hAnsiTheme="minorHAnsi" w:cs="Arial"/>
                <w:sz w:val="22"/>
                <w:szCs w:val="22"/>
              </w:rPr>
            </w:pPr>
            <w:r w:rsidRPr="00AD1819">
              <w:rPr>
                <w:rFonts w:asciiTheme="minorHAnsi" w:hAnsiTheme="minorHAnsi" w:cs="Arial"/>
                <w:sz w:val="22"/>
                <w:szCs w:val="22"/>
              </w:rPr>
              <w:t>56.84</w:t>
            </w:r>
          </w:p>
        </w:tc>
        <w:tc>
          <w:tcPr>
            <w:tcW w:w="0" w:type="auto"/>
            <w:tcBorders>
              <w:top w:val="nil"/>
              <w:left w:val="nil"/>
              <w:bottom w:val="single" w:sz="4" w:space="0" w:color="auto"/>
              <w:right w:val="single" w:sz="4" w:space="0" w:color="auto"/>
            </w:tcBorders>
            <w:shd w:val="clear" w:color="000000" w:fill="FFFFFF"/>
            <w:noWrap/>
            <w:vAlign w:val="center"/>
            <w:hideMark/>
          </w:tcPr>
          <w:p w14:paraId="0FE832C1" w14:textId="77777777" w:rsidR="00BC3227" w:rsidRPr="00AD1819" w:rsidRDefault="00BC3227">
            <w:pPr>
              <w:jc w:val="center"/>
              <w:rPr>
                <w:rFonts w:asciiTheme="minorHAnsi" w:hAnsiTheme="minorHAnsi" w:cs="Arial"/>
                <w:sz w:val="22"/>
                <w:szCs w:val="22"/>
              </w:rPr>
            </w:pPr>
            <w:r w:rsidRPr="00AD1819">
              <w:rPr>
                <w:rFonts w:asciiTheme="minorHAnsi" w:hAnsiTheme="minorHAnsi" w:cs="Arial"/>
                <w:sz w:val="22"/>
                <w:szCs w:val="22"/>
              </w:rPr>
              <w:t>11.00</w:t>
            </w:r>
          </w:p>
        </w:tc>
      </w:tr>
      <w:tr w:rsidR="00BC3227" w:rsidRPr="00AD1819" w14:paraId="4220F029" w14:textId="77777777" w:rsidTr="00AD1819">
        <w:trPr>
          <w:trHeight w:val="486"/>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E35419D" w14:textId="77777777" w:rsidR="00BC3227" w:rsidRPr="00AD1819" w:rsidRDefault="00BC3227">
            <w:pPr>
              <w:rPr>
                <w:rFonts w:asciiTheme="minorHAnsi" w:hAnsiTheme="minorHAnsi" w:cs="Arial"/>
                <w:sz w:val="22"/>
                <w:szCs w:val="22"/>
              </w:rPr>
            </w:pPr>
            <w:r w:rsidRPr="00AD1819">
              <w:rPr>
                <w:rFonts w:asciiTheme="minorHAnsi" w:hAnsiTheme="minorHAnsi" w:cs="Arial"/>
                <w:sz w:val="22"/>
                <w:szCs w:val="22"/>
              </w:rPr>
              <w:t>Other Equipment- other than computer</w:t>
            </w:r>
          </w:p>
        </w:tc>
        <w:tc>
          <w:tcPr>
            <w:tcW w:w="0" w:type="auto"/>
            <w:tcBorders>
              <w:top w:val="nil"/>
              <w:left w:val="nil"/>
              <w:bottom w:val="single" w:sz="4" w:space="0" w:color="auto"/>
              <w:right w:val="single" w:sz="4" w:space="0" w:color="auto"/>
            </w:tcBorders>
            <w:shd w:val="clear" w:color="auto" w:fill="auto"/>
            <w:noWrap/>
            <w:vAlign w:val="center"/>
            <w:hideMark/>
          </w:tcPr>
          <w:p w14:paraId="3C230BF6" w14:textId="77777777" w:rsidR="00BC3227" w:rsidRPr="00AD1819" w:rsidRDefault="00BC3227">
            <w:pPr>
              <w:jc w:val="center"/>
              <w:rPr>
                <w:rFonts w:asciiTheme="minorHAnsi" w:hAnsiTheme="minorHAnsi"/>
                <w:color w:val="000000"/>
                <w:sz w:val="22"/>
                <w:szCs w:val="22"/>
              </w:rPr>
            </w:pPr>
            <w:r w:rsidRPr="00AD1819">
              <w:rPr>
                <w:rFonts w:asciiTheme="minorHAnsi" w:hAnsiTheme="minorHAnsi"/>
                <w:color w:val="000000"/>
                <w:sz w:val="22"/>
                <w:szCs w:val="22"/>
              </w:rPr>
              <w:t>1.43</w:t>
            </w:r>
          </w:p>
        </w:tc>
        <w:tc>
          <w:tcPr>
            <w:tcW w:w="0" w:type="auto"/>
            <w:tcBorders>
              <w:top w:val="nil"/>
              <w:left w:val="nil"/>
              <w:bottom w:val="single" w:sz="4" w:space="0" w:color="auto"/>
              <w:right w:val="single" w:sz="4" w:space="0" w:color="auto"/>
            </w:tcBorders>
            <w:shd w:val="clear" w:color="000000" w:fill="FFFFFF"/>
            <w:noWrap/>
            <w:vAlign w:val="center"/>
            <w:hideMark/>
          </w:tcPr>
          <w:p w14:paraId="278EB3BC" w14:textId="77777777" w:rsidR="00BC3227" w:rsidRPr="00AD1819" w:rsidRDefault="00BC3227">
            <w:pPr>
              <w:jc w:val="center"/>
              <w:rPr>
                <w:rFonts w:asciiTheme="minorHAnsi" w:hAnsiTheme="minorHAnsi" w:cs="Arial"/>
                <w:sz w:val="22"/>
                <w:szCs w:val="22"/>
              </w:rPr>
            </w:pPr>
            <w:r w:rsidRPr="00AD1819">
              <w:rPr>
                <w:rFonts w:asciiTheme="minorHAnsi" w:hAnsiTheme="minorHAnsi" w:cs="Arial"/>
                <w:sz w:val="22"/>
                <w:szCs w:val="22"/>
              </w:rPr>
              <w:t>7.30</w:t>
            </w:r>
          </w:p>
        </w:tc>
        <w:tc>
          <w:tcPr>
            <w:tcW w:w="0" w:type="auto"/>
            <w:tcBorders>
              <w:top w:val="nil"/>
              <w:left w:val="nil"/>
              <w:bottom w:val="single" w:sz="4" w:space="0" w:color="auto"/>
              <w:right w:val="single" w:sz="4" w:space="0" w:color="auto"/>
            </w:tcBorders>
            <w:shd w:val="clear" w:color="000000" w:fill="FFFFFF"/>
            <w:noWrap/>
            <w:vAlign w:val="center"/>
            <w:hideMark/>
          </w:tcPr>
          <w:p w14:paraId="28920532" w14:textId="77777777" w:rsidR="00BC3227" w:rsidRPr="00AD1819" w:rsidRDefault="00BC3227">
            <w:pPr>
              <w:jc w:val="center"/>
              <w:rPr>
                <w:rFonts w:asciiTheme="minorHAnsi" w:hAnsiTheme="minorHAnsi" w:cs="Arial"/>
                <w:sz w:val="22"/>
                <w:szCs w:val="22"/>
              </w:rPr>
            </w:pPr>
            <w:r w:rsidRPr="00AD1819">
              <w:rPr>
                <w:rFonts w:asciiTheme="minorHAnsi" w:hAnsiTheme="minorHAnsi" w:cs="Arial"/>
                <w:sz w:val="22"/>
                <w:szCs w:val="22"/>
              </w:rPr>
              <w:t>0.00</w:t>
            </w:r>
          </w:p>
        </w:tc>
        <w:tc>
          <w:tcPr>
            <w:tcW w:w="0" w:type="auto"/>
            <w:tcBorders>
              <w:top w:val="nil"/>
              <w:left w:val="nil"/>
              <w:bottom w:val="single" w:sz="4" w:space="0" w:color="auto"/>
              <w:right w:val="single" w:sz="4" w:space="0" w:color="auto"/>
            </w:tcBorders>
            <w:shd w:val="clear" w:color="000000" w:fill="FFFFFF"/>
            <w:noWrap/>
            <w:vAlign w:val="center"/>
            <w:hideMark/>
          </w:tcPr>
          <w:p w14:paraId="04DE1719" w14:textId="77777777" w:rsidR="00BC3227" w:rsidRPr="00AD1819" w:rsidRDefault="00BC3227">
            <w:pPr>
              <w:jc w:val="center"/>
              <w:rPr>
                <w:rFonts w:asciiTheme="minorHAnsi" w:hAnsiTheme="minorHAnsi" w:cs="Arial"/>
                <w:sz w:val="22"/>
                <w:szCs w:val="22"/>
              </w:rPr>
            </w:pPr>
            <w:r w:rsidRPr="00AD1819">
              <w:rPr>
                <w:rFonts w:asciiTheme="minorHAnsi" w:hAnsiTheme="minorHAnsi" w:cs="Arial"/>
                <w:sz w:val="22"/>
                <w:szCs w:val="22"/>
              </w:rPr>
              <w:t>0.00</w:t>
            </w:r>
          </w:p>
        </w:tc>
        <w:tc>
          <w:tcPr>
            <w:tcW w:w="0" w:type="auto"/>
            <w:tcBorders>
              <w:top w:val="nil"/>
              <w:left w:val="nil"/>
              <w:bottom w:val="single" w:sz="4" w:space="0" w:color="auto"/>
              <w:right w:val="single" w:sz="4" w:space="0" w:color="auto"/>
            </w:tcBorders>
            <w:shd w:val="clear" w:color="000000" w:fill="FFFFFF"/>
            <w:noWrap/>
            <w:vAlign w:val="center"/>
            <w:hideMark/>
          </w:tcPr>
          <w:p w14:paraId="5728DBF1" w14:textId="77777777" w:rsidR="00BC3227" w:rsidRPr="00AD1819" w:rsidRDefault="00BC3227">
            <w:pPr>
              <w:jc w:val="center"/>
              <w:rPr>
                <w:rFonts w:asciiTheme="minorHAnsi" w:hAnsiTheme="minorHAnsi" w:cs="Arial"/>
                <w:sz w:val="22"/>
                <w:szCs w:val="22"/>
              </w:rPr>
            </w:pPr>
            <w:r w:rsidRPr="00AD1819">
              <w:rPr>
                <w:rFonts w:asciiTheme="minorHAnsi" w:hAnsiTheme="minorHAnsi" w:cs="Arial"/>
                <w:sz w:val="22"/>
                <w:szCs w:val="22"/>
              </w:rPr>
              <w:t>7.85</w:t>
            </w:r>
          </w:p>
        </w:tc>
        <w:tc>
          <w:tcPr>
            <w:tcW w:w="0" w:type="auto"/>
            <w:tcBorders>
              <w:top w:val="nil"/>
              <w:left w:val="nil"/>
              <w:bottom w:val="single" w:sz="4" w:space="0" w:color="auto"/>
              <w:right w:val="single" w:sz="4" w:space="0" w:color="auto"/>
            </w:tcBorders>
            <w:shd w:val="clear" w:color="000000" w:fill="FFFFFF"/>
            <w:noWrap/>
            <w:vAlign w:val="center"/>
            <w:hideMark/>
          </w:tcPr>
          <w:p w14:paraId="558A9FCA" w14:textId="77777777" w:rsidR="00BC3227" w:rsidRPr="00AD1819" w:rsidRDefault="00BC3227">
            <w:pPr>
              <w:jc w:val="center"/>
              <w:rPr>
                <w:rFonts w:asciiTheme="minorHAnsi" w:hAnsiTheme="minorHAnsi" w:cs="Arial"/>
                <w:sz w:val="22"/>
                <w:szCs w:val="22"/>
              </w:rPr>
            </w:pPr>
            <w:r w:rsidRPr="00AD1819">
              <w:rPr>
                <w:rFonts w:asciiTheme="minorHAnsi" w:hAnsiTheme="minorHAnsi" w:cs="Arial"/>
                <w:sz w:val="22"/>
                <w:szCs w:val="22"/>
              </w:rPr>
              <w:t>0.88</w:t>
            </w:r>
          </w:p>
        </w:tc>
      </w:tr>
      <w:tr w:rsidR="00BC3227" w:rsidRPr="00AD1819" w14:paraId="03E918AC" w14:textId="77777777" w:rsidTr="00AD1819">
        <w:trPr>
          <w:trHeight w:val="486"/>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4AA1E54" w14:textId="77777777" w:rsidR="00BC3227" w:rsidRPr="00AD1819" w:rsidRDefault="00BC3227">
            <w:pPr>
              <w:rPr>
                <w:rFonts w:asciiTheme="minorHAnsi" w:hAnsiTheme="minorHAnsi" w:cs="Arial"/>
                <w:sz w:val="22"/>
                <w:szCs w:val="22"/>
              </w:rPr>
            </w:pPr>
            <w:r w:rsidRPr="00AD1819">
              <w:rPr>
                <w:rFonts w:asciiTheme="minorHAnsi" w:hAnsiTheme="minorHAnsi" w:cs="Arial"/>
                <w:sz w:val="22"/>
                <w:szCs w:val="22"/>
              </w:rPr>
              <w:t>Network Assets- other than Own Capex</w:t>
            </w:r>
          </w:p>
        </w:tc>
        <w:tc>
          <w:tcPr>
            <w:tcW w:w="0" w:type="auto"/>
            <w:tcBorders>
              <w:top w:val="nil"/>
              <w:left w:val="nil"/>
              <w:bottom w:val="single" w:sz="4" w:space="0" w:color="auto"/>
              <w:right w:val="single" w:sz="4" w:space="0" w:color="auto"/>
            </w:tcBorders>
            <w:shd w:val="clear" w:color="auto" w:fill="auto"/>
            <w:noWrap/>
            <w:vAlign w:val="center"/>
            <w:hideMark/>
          </w:tcPr>
          <w:p w14:paraId="0D5A304B" w14:textId="77777777" w:rsidR="00BC3227" w:rsidRPr="00AD1819" w:rsidRDefault="00BC3227">
            <w:pPr>
              <w:jc w:val="center"/>
              <w:rPr>
                <w:rFonts w:asciiTheme="minorHAnsi" w:hAnsiTheme="minorHAnsi"/>
                <w:color w:val="000000"/>
                <w:sz w:val="22"/>
                <w:szCs w:val="22"/>
              </w:rPr>
            </w:pPr>
            <w:r w:rsidRPr="00AD1819">
              <w:rPr>
                <w:rFonts w:asciiTheme="minorHAnsi" w:hAnsiTheme="minorHAnsi"/>
                <w:color w:val="000000"/>
                <w:sz w:val="22"/>
                <w:szCs w:val="22"/>
              </w:rPr>
              <w:t>308.70</w:t>
            </w:r>
          </w:p>
        </w:tc>
        <w:tc>
          <w:tcPr>
            <w:tcW w:w="0" w:type="auto"/>
            <w:tcBorders>
              <w:top w:val="nil"/>
              <w:left w:val="nil"/>
              <w:bottom w:val="single" w:sz="4" w:space="0" w:color="auto"/>
              <w:right w:val="single" w:sz="4" w:space="0" w:color="auto"/>
            </w:tcBorders>
            <w:shd w:val="clear" w:color="000000" w:fill="FFFFFF"/>
            <w:noWrap/>
            <w:vAlign w:val="center"/>
            <w:hideMark/>
          </w:tcPr>
          <w:p w14:paraId="57FB746D" w14:textId="77777777" w:rsidR="00BC3227" w:rsidRPr="00AD1819" w:rsidRDefault="00BC3227">
            <w:pPr>
              <w:jc w:val="center"/>
              <w:rPr>
                <w:rFonts w:asciiTheme="minorHAnsi" w:hAnsiTheme="minorHAnsi" w:cs="Arial"/>
                <w:sz w:val="22"/>
                <w:szCs w:val="22"/>
              </w:rPr>
            </w:pPr>
            <w:r w:rsidRPr="00AD1819">
              <w:rPr>
                <w:rFonts w:asciiTheme="minorHAnsi" w:hAnsiTheme="minorHAnsi" w:cs="Arial"/>
                <w:sz w:val="22"/>
                <w:szCs w:val="22"/>
              </w:rPr>
              <w:t>542.64</w:t>
            </w:r>
          </w:p>
        </w:tc>
        <w:tc>
          <w:tcPr>
            <w:tcW w:w="0" w:type="auto"/>
            <w:tcBorders>
              <w:top w:val="nil"/>
              <w:left w:val="nil"/>
              <w:bottom w:val="single" w:sz="4" w:space="0" w:color="auto"/>
              <w:right w:val="single" w:sz="4" w:space="0" w:color="auto"/>
            </w:tcBorders>
            <w:shd w:val="clear" w:color="000000" w:fill="FFFFFF"/>
            <w:noWrap/>
            <w:vAlign w:val="center"/>
            <w:hideMark/>
          </w:tcPr>
          <w:p w14:paraId="64AE68DD" w14:textId="77777777" w:rsidR="00BC3227" w:rsidRPr="00AD1819" w:rsidRDefault="00BC3227">
            <w:pPr>
              <w:jc w:val="center"/>
              <w:rPr>
                <w:rFonts w:asciiTheme="minorHAnsi" w:hAnsiTheme="minorHAnsi" w:cs="Arial"/>
                <w:sz w:val="22"/>
                <w:szCs w:val="22"/>
              </w:rPr>
            </w:pPr>
            <w:r w:rsidRPr="00AD1819">
              <w:rPr>
                <w:rFonts w:asciiTheme="minorHAnsi" w:hAnsiTheme="minorHAnsi" w:cs="Arial"/>
                <w:sz w:val="22"/>
                <w:szCs w:val="22"/>
              </w:rPr>
              <w:t>0.00</w:t>
            </w:r>
          </w:p>
        </w:tc>
        <w:tc>
          <w:tcPr>
            <w:tcW w:w="0" w:type="auto"/>
            <w:tcBorders>
              <w:top w:val="nil"/>
              <w:left w:val="nil"/>
              <w:bottom w:val="single" w:sz="4" w:space="0" w:color="auto"/>
              <w:right w:val="single" w:sz="4" w:space="0" w:color="auto"/>
            </w:tcBorders>
            <w:shd w:val="clear" w:color="000000" w:fill="FFFFFF"/>
            <w:noWrap/>
            <w:vAlign w:val="center"/>
            <w:hideMark/>
          </w:tcPr>
          <w:p w14:paraId="11F9DC60" w14:textId="77777777" w:rsidR="00BC3227" w:rsidRPr="00AD1819" w:rsidRDefault="00BC3227">
            <w:pPr>
              <w:jc w:val="center"/>
              <w:rPr>
                <w:rFonts w:asciiTheme="minorHAnsi" w:hAnsiTheme="minorHAnsi" w:cs="Arial"/>
                <w:sz w:val="22"/>
                <w:szCs w:val="22"/>
              </w:rPr>
            </w:pPr>
            <w:r w:rsidRPr="00AD1819">
              <w:rPr>
                <w:rFonts w:asciiTheme="minorHAnsi" w:hAnsiTheme="minorHAnsi" w:cs="Arial"/>
                <w:sz w:val="22"/>
                <w:szCs w:val="22"/>
              </w:rPr>
              <w:t>0.00</w:t>
            </w:r>
          </w:p>
        </w:tc>
        <w:tc>
          <w:tcPr>
            <w:tcW w:w="0" w:type="auto"/>
            <w:tcBorders>
              <w:top w:val="nil"/>
              <w:left w:val="nil"/>
              <w:bottom w:val="single" w:sz="4" w:space="0" w:color="auto"/>
              <w:right w:val="single" w:sz="4" w:space="0" w:color="auto"/>
            </w:tcBorders>
            <w:shd w:val="clear" w:color="000000" w:fill="FFFFFF"/>
            <w:noWrap/>
            <w:vAlign w:val="center"/>
            <w:hideMark/>
          </w:tcPr>
          <w:p w14:paraId="39880C8B" w14:textId="77777777" w:rsidR="00BC3227" w:rsidRPr="00AD1819" w:rsidRDefault="00BC3227">
            <w:pPr>
              <w:jc w:val="center"/>
              <w:rPr>
                <w:rFonts w:asciiTheme="minorHAnsi" w:hAnsiTheme="minorHAnsi" w:cs="Arial"/>
                <w:sz w:val="22"/>
                <w:szCs w:val="22"/>
              </w:rPr>
            </w:pPr>
            <w:r w:rsidRPr="00AD1819">
              <w:rPr>
                <w:rFonts w:asciiTheme="minorHAnsi" w:hAnsiTheme="minorHAnsi" w:cs="Arial"/>
                <w:sz w:val="22"/>
                <w:szCs w:val="22"/>
              </w:rPr>
              <w:t>546.13</w:t>
            </w:r>
          </w:p>
        </w:tc>
        <w:tc>
          <w:tcPr>
            <w:tcW w:w="0" w:type="auto"/>
            <w:tcBorders>
              <w:top w:val="nil"/>
              <w:left w:val="nil"/>
              <w:bottom w:val="single" w:sz="4" w:space="0" w:color="auto"/>
              <w:right w:val="single" w:sz="4" w:space="0" w:color="auto"/>
            </w:tcBorders>
            <w:shd w:val="clear" w:color="000000" w:fill="FFFFFF"/>
            <w:noWrap/>
            <w:vAlign w:val="center"/>
            <w:hideMark/>
          </w:tcPr>
          <w:p w14:paraId="3355F6C8" w14:textId="77777777" w:rsidR="00BC3227" w:rsidRPr="00AD1819" w:rsidRDefault="00BC3227">
            <w:pPr>
              <w:jc w:val="center"/>
              <w:rPr>
                <w:rFonts w:asciiTheme="minorHAnsi" w:hAnsiTheme="minorHAnsi" w:cs="Arial"/>
                <w:sz w:val="22"/>
                <w:szCs w:val="22"/>
              </w:rPr>
            </w:pPr>
            <w:r w:rsidRPr="00AD1819">
              <w:rPr>
                <w:rFonts w:asciiTheme="minorHAnsi" w:hAnsiTheme="minorHAnsi" w:cs="Arial"/>
                <w:sz w:val="22"/>
                <w:szCs w:val="22"/>
              </w:rPr>
              <w:t>305.21</w:t>
            </w:r>
          </w:p>
        </w:tc>
      </w:tr>
      <w:tr w:rsidR="00BC3227" w:rsidRPr="00AD1819" w14:paraId="21AB5FC9" w14:textId="77777777" w:rsidTr="00AD1819">
        <w:trPr>
          <w:trHeight w:val="286"/>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06432F0" w14:textId="77777777" w:rsidR="00BC3227" w:rsidRPr="00AD1819" w:rsidRDefault="00BC3227">
            <w:pPr>
              <w:rPr>
                <w:rFonts w:asciiTheme="minorHAnsi" w:hAnsiTheme="minorHAnsi" w:cs="Arial"/>
                <w:sz w:val="22"/>
                <w:szCs w:val="22"/>
              </w:rPr>
            </w:pPr>
            <w:r w:rsidRPr="00AD1819">
              <w:rPr>
                <w:rFonts w:asciiTheme="minorHAnsi" w:hAnsiTheme="minorHAnsi" w:cs="Arial"/>
                <w:sz w:val="22"/>
                <w:szCs w:val="22"/>
              </w:rPr>
              <w:t>Network Assets - Own Capex</w:t>
            </w:r>
          </w:p>
        </w:tc>
        <w:tc>
          <w:tcPr>
            <w:tcW w:w="0" w:type="auto"/>
            <w:tcBorders>
              <w:top w:val="nil"/>
              <w:left w:val="nil"/>
              <w:bottom w:val="single" w:sz="4" w:space="0" w:color="auto"/>
              <w:right w:val="single" w:sz="4" w:space="0" w:color="auto"/>
            </w:tcBorders>
            <w:shd w:val="clear" w:color="auto" w:fill="auto"/>
            <w:noWrap/>
            <w:vAlign w:val="center"/>
            <w:hideMark/>
          </w:tcPr>
          <w:p w14:paraId="3F02DA5C" w14:textId="77777777" w:rsidR="00BC3227" w:rsidRPr="00AD1819" w:rsidRDefault="00BC3227">
            <w:pPr>
              <w:jc w:val="center"/>
              <w:rPr>
                <w:rFonts w:asciiTheme="minorHAnsi" w:hAnsiTheme="minorHAnsi"/>
                <w:color w:val="000000"/>
                <w:sz w:val="22"/>
                <w:szCs w:val="22"/>
              </w:rPr>
            </w:pPr>
            <w:r w:rsidRPr="00AD1819">
              <w:rPr>
                <w:rFonts w:asciiTheme="minorHAnsi" w:hAnsiTheme="minorHAnsi"/>
                <w:color w:val="000000"/>
                <w:sz w:val="22"/>
                <w:szCs w:val="22"/>
              </w:rPr>
              <w:t>139.66</w:t>
            </w:r>
          </w:p>
        </w:tc>
        <w:tc>
          <w:tcPr>
            <w:tcW w:w="0" w:type="auto"/>
            <w:tcBorders>
              <w:top w:val="nil"/>
              <w:left w:val="nil"/>
              <w:bottom w:val="single" w:sz="4" w:space="0" w:color="auto"/>
              <w:right w:val="single" w:sz="4" w:space="0" w:color="auto"/>
            </w:tcBorders>
            <w:shd w:val="clear" w:color="000000" w:fill="FFFFFF"/>
            <w:noWrap/>
            <w:vAlign w:val="center"/>
            <w:hideMark/>
          </w:tcPr>
          <w:p w14:paraId="6B7FC599" w14:textId="77777777" w:rsidR="00BC3227" w:rsidRPr="00AD1819" w:rsidRDefault="00BC3227">
            <w:pPr>
              <w:jc w:val="center"/>
              <w:rPr>
                <w:rFonts w:asciiTheme="minorHAnsi" w:hAnsiTheme="minorHAnsi" w:cs="Arial"/>
                <w:sz w:val="22"/>
                <w:szCs w:val="22"/>
              </w:rPr>
            </w:pPr>
            <w:r w:rsidRPr="00AD1819">
              <w:rPr>
                <w:rFonts w:asciiTheme="minorHAnsi" w:hAnsiTheme="minorHAnsi" w:cs="Arial"/>
                <w:sz w:val="22"/>
                <w:szCs w:val="22"/>
              </w:rPr>
              <w:t>487.92</w:t>
            </w:r>
          </w:p>
        </w:tc>
        <w:tc>
          <w:tcPr>
            <w:tcW w:w="0" w:type="auto"/>
            <w:tcBorders>
              <w:top w:val="nil"/>
              <w:left w:val="nil"/>
              <w:bottom w:val="single" w:sz="4" w:space="0" w:color="auto"/>
              <w:right w:val="single" w:sz="4" w:space="0" w:color="auto"/>
            </w:tcBorders>
            <w:shd w:val="clear" w:color="000000" w:fill="FFFFFF"/>
            <w:noWrap/>
            <w:vAlign w:val="center"/>
            <w:hideMark/>
          </w:tcPr>
          <w:p w14:paraId="1FCC780B" w14:textId="77777777" w:rsidR="00BC3227" w:rsidRPr="00AD1819" w:rsidRDefault="00BC3227">
            <w:pPr>
              <w:jc w:val="center"/>
              <w:rPr>
                <w:rFonts w:asciiTheme="minorHAnsi" w:hAnsiTheme="minorHAnsi" w:cs="Arial"/>
                <w:sz w:val="22"/>
                <w:szCs w:val="22"/>
              </w:rPr>
            </w:pPr>
            <w:r w:rsidRPr="00AD1819">
              <w:rPr>
                <w:rFonts w:asciiTheme="minorHAnsi" w:hAnsiTheme="minorHAnsi" w:cs="Arial"/>
                <w:sz w:val="22"/>
                <w:szCs w:val="22"/>
              </w:rPr>
              <w:t>0.24</w:t>
            </w:r>
          </w:p>
        </w:tc>
        <w:tc>
          <w:tcPr>
            <w:tcW w:w="0" w:type="auto"/>
            <w:tcBorders>
              <w:top w:val="nil"/>
              <w:left w:val="nil"/>
              <w:bottom w:val="single" w:sz="4" w:space="0" w:color="auto"/>
              <w:right w:val="single" w:sz="4" w:space="0" w:color="auto"/>
            </w:tcBorders>
            <w:shd w:val="clear" w:color="000000" w:fill="FFFFFF"/>
            <w:noWrap/>
            <w:vAlign w:val="center"/>
            <w:hideMark/>
          </w:tcPr>
          <w:p w14:paraId="02260269" w14:textId="77777777" w:rsidR="00BC3227" w:rsidRPr="00AD1819" w:rsidRDefault="00BC3227">
            <w:pPr>
              <w:jc w:val="center"/>
              <w:rPr>
                <w:rFonts w:asciiTheme="minorHAnsi" w:hAnsiTheme="minorHAnsi" w:cs="Arial"/>
                <w:sz w:val="22"/>
                <w:szCs w:val="22"/>
              </w:rPr>
            </w:pPr>
            <w:r w:rsidRPr="00AD1819">
              <w:rPr>
                <w:rFonts w:asciiTheme="minorHAnsi" w:hAnsiTheme="minorHAnsi" w:cs="Arial"/>
                <w:sz w:val="22"/>
                <w:szCs w:val="22"/>
              </w:rPr>
              <w:t>15.16</w:t>
            </w:r>
          </w:p>
        </w:tc>
        <w:tc>
          <w:tcPr>
            <w:tcW w:w="0" w:type="auto"/>
            <w:tcBorders>
              <w:top w:val="nil"/>
              <w:left w:val="nil"/>
              <w:bottom w:val="single" w:sz="4" w:space="0" w:color="auto"/>
              <w:right w:val="single" w:sz="4" w:space="0" w:color="auto"/>
            </w:tcBorders>
            <w:shd w:val="clear" w:color="000000" w:fill="FFFFFF"/>
            <w:noWrap/>
            <w:vAlign w:val="center"/>
            <w:hideMark/>
          </w:tcPr>
          <w:p w14:paraId="07372368" w14:textId="77777777" w:rsidR="00BC3227" w:rsidRPr="00AD1819" w:rsidRDefault="00BC3227">
            <w:pPr>
              <w:jc w:val="center"/>
              <w:rPr>
                <w:rFonts w:asciiTheme="minorHAnsi" w:hAnsiTheme="minorHAnsi" w:cs="Arial"/>
                <w:sz w:val="22"/>
                <w:szCs w:val="22"/>
              </w:rPr>
            </w:pPr>
            <w:r w:rsidRPr="00AD1819">
              <w:rPr>
                <w:rFonts w:asciiTheme="minorHAnsi" w:hAnsiTheme="minorHAnsi" w:cs="Arial"/>
                <w:sz w:val="22"/>
                <w:szCs w:val="22"/>
              </w:rPr>
              <w:t>459.60</w:t>
            </w:r>
          </w:p>
        </w:tc>
        <w:tc>
          <w:tcPr>
            <w:tcW w:w="0" w:type="auto"/>
            <w:tcBorders>
              <w:top w:val="nil"/>
              <w:left w:val="nil"/>
              <w:bottom w:val="single" w:sz="4" w:space="0" w:color="auto"/>
              <w:right w:val="single" w:sz="4" w:space="0" w:color="auto"/>
            </w:tcBorders>
            <w:shd w:val="clear" w:color="000000" w:fill="FFFFFF"/>
            <w:noWrap/>
            <w:vAlign w:val="center"/>
            <w:hideMark/>
          </w:tcPr>
          <w:p w14:paraId="6955F52B" w14:textId="77777777" w:rsidR="00BC3227" w:rsidRPr="00AD1819" w:rsidRDefault="00BC3227">
            <w:pPr>
              <w:jc w:val="center"/>
              <w:rPr>
                <w:rFonts w:asciiTheme="minorHAnsi" w:hAnsiTheme="minorHAnsi" w:cs="Arial"/>
                <w:sz w:val="22"/>
                <w:szCs w:val="22"/>
              </w:rPr>
            </w:pPr>
            <w:r w:rsidRPr="00AD1819">
              <w:rPr>
                <w:rFonts w:asciiTheme="minorHAnsi" w:hAnsiTheme="minorHAnsi" w:cs="Arial"/>
                <w:sz w:val="22"/>
                <w:szCs w:val="22"/>
              </w:rPr>
              <w:t>183.37</w:t>
            </w:r>
          </w:p>
        </w:tc>
      </w:tr>
      <w:tr w:rsidR="00BC3227" w:rsidRPr="00AD1819" w14:paraId="00C064C7" w14:textId="77777777" w:rsidTr="00AD1819">
        <w:trPr>
          <w:trHeight w:val="286"/>
        </w:trPr>
        <w:tc>
          <w:tcPr>
            <w:tcW w:w="0" w:type="auto"/>
            <w:tcBorders>
              <w:top w:val="nil"/>
              <w:left w:val="single" w:sz="4" w:space="0" w:color="auto"/>
              <w:bottom w:val="single" w:sz="4" w:space="0" w:color="auto"/>
              <w:right w:val="single" w:sz="4" w:space="0" w:color="auto"/>
            </w:tcBorders>
            <w:shd w:val="clear" w:color="auto" w:fill="95B3D7" w:themeFill="accent1" w:themeFillTint="99"/>
            <w:noWrap/>
            <w:vAlign w:val="center"/>
            <w:hideMark/>
          </w:tcPr>
          <w:p w14:paraId="46865F29" w14:textId="77777777" w:rsidR="00BC3227" w:rsidRPr="00AD1819" w:rsidRDefault="00BC3227">
            <w:pPr>
              <w:jc w:val="center"/>
              <w:rPr>
                <w:rFonts w:asciiTheme="minorHAnsi" w:hAnsiTheme="minorHAnsi" w:cs="Arial"/>
                <w:b/>
                <w:bCs/>
                <w:sz w:val="22"/>
                <w:szCs w:val="22"/>
              </w:rPr>
            </w:pPr>
            <w:r w:rsidRPr="00AD1819">
              <w:rPr>
                <w:rFonts w:asciiTheme="minorHAnsi" w:hAnsiTheme="minorHAnsi" w:cs="Arial"/>
                <w:b/>
                <w:bCs/>
                <w:sz w:val="22"/>
                <w:szCs w:val="22"/>
              </w:rPr>
              <w:t>Total</w:t>
            </w:r>
          </w:p>
        </w:tc>
        <w:tc>
          <w:tcPr>
            <w:tcW w:w="0" w:type="auto"/>
            <w:tcBorders>
              <w:top w:val="nil"/>
              <w:left w:val="nil"/>
              <w:bottom w:val="single" w:sz="4" w:space="0" w:color="auto"/>
              <w:right w:val="single" w:sz="4" w:space="0" w:color="auto"/>
            </w:tcBorders>
            <w:shd w:val="clear" w:color="auto" w:fill="95B3D7" w:themeFill="accent1" w:themeFillTint="99"/>
            <w:noWrap/>
            <w:vAlign w:val="center"/>
            <w:hideMark/>
          </w:tcPr>
          <w:p w14:paraId="2BFD8A21" w14:textId="77777777" w:rsidR="00BC3227" w:rsidRPr="00AD1819" w:rsidRDefault="00BC3227">
            <w:pPr>
              <w:jc w:val="center"/>
              <w:rPr>
                <w:rFonts w:asciiTheme="minorHAnsi" w:hAnsiTheme="minorHAnsi"/>
                <w:b/>
                <w:bCs/>
                <w:color w:val="000000"/>
                <w:sz w:val="22"/>
                <w:szCs w:val="22"/>
              </w:rPr>
            </w:pPr>
            <w:r w:rsidRPr="00AD1819">
              <w:rPr>
                <w:rFonts w:asciiTheme="minorHAnsi" w:hAnsiTheme="minorHAnsi"/>
                <w:b/>
                <w:bCs/>
                <w:color w:val="000000"/>
                <w:sz w:val="22"/>
                <w:szCs w:val="22"/>
              </w:rPr>
              <w:t>456.74</w:t>
            </w:r>
          </w:p>
        </w:tc>
        <w:tc>
          <w:tcPr>
            <w:tcW w:w="0" w:type="auto"/>
            <w:tcBorders>
              <w:top w:val="nil"/>
              <w:left w:val="nil"/>
              <w:bottom w:val="single" w:sz="4" w:space="0" w:color="auto"/>
              <w:right w:val="single" w:sz="4" w:space="0" w:color="auto"/>
            </w:tcBorders>
            <w:shd w:val="clear" w:color="auto" w:fill="95B3D7" w:themeFill="accent1" w:themeFillTint="99"/>
            <w:noWrap/>
            <w:vAlign w:val="center"/>
            <w:hideMark/>
          </w:tcPr>
          <w:p w14:paraId="38A8CC7C" w14:textId="77777777" w:rsidR="00BC3227" w:rsidRPr="00AD1819" w:rsidRDefault="00BC3227">
            <w:pPr>
              <w:jc w:val="center"/>
              <w:rPr>
                <w:rFonts w:asciiTheme="minorHAnsi" w:hAnsiTheme="minorHAnsi"/>
                <w:b/>
                <w:bCs/>
                <w:color w:val="000000"/>
                <w:sz w:val="22"/>
                <w:szCs w:val="22"/>
              </w:rPr>
            </w:pPr>
            <w:r w:rsidRPr="00AD1819">
              <w:rPr>
                <w:rFonts w:asciiTheme="minorHAnsi" w:hAnsiTheme="minorHAnsi"/>
                <w:b/>
                <w:bCs/>
                <w:color w:val="000000"/>
                <w:sz w:val="22"/>
                <w:szCs w:val="22"/>
              </w:rPr>
              <w:t>1157.68</w:t>
            </w:r>
          </w:p>
        </w:tc>
        <w:tc>
          <w:tcPr>
            <w:tcW w:w="0" w:type="auto"/>
            <w:tcBorders>
              <w:top w:val="nil"/>
              <w:left w:val="nil"/>
              <w:bottom w:val="single" w:sz="4" w:space="0" w:color="auto"/>
              <w:right w:val="single" w:sz="4" w:space="0" w:color="auto"/>
            </w:tcBorders>
            <w:shd w:val="clear" w:color="auto" w:fill="95B3D7" w:themeFill="accent1" w:themeFillTint="99"/>
            <w:noWrap/>
            <w:vAlign w:val="center"/>
            <w:hideMark/>
          </w:tcPr>
          <w:p w14:paraId="3EB9893D" w14:textId="77777777" w:rsidR="00BC3227" w:rsidRPr="00AD1819" w:rsidRDefault="00BC3227">
            <w:pPr>
              <w:jc w:val="center"/>
              <w:rPr>
                <w:rFonts w:asciiTheme="minorHAnsi" w:hAnsiTheme="minorHAnsi"/>
                <w:b/>
                <w:bCs/>
                <w:color w:val="000000"/>
                <w:sz w:val="22"/>
                <w:szCs w:val="22"/>
              </w:rPr>
            </w:pPr>
            <w:r w:rsidRPr="00AD1819">
              <w:rPr>
                <w:rFonts w:asciiTheme="minorHAnsi" w:hAnsiTheme="minorHAnsi"/>
                <w:b/>
                <w:bCs/>
                <w:color w:val="000000"/>
                <w:sz w:val="22"/>
                <w:szCs w:val="22"/>
              </w:rPr>
              <w:t>0.2380</w:t>
            </w:r>
          </w:p>
        </w:tc>
        <w:tc>
          <w:tcPr>
            <w:tcW w:w="0" w:type="auto"/>
            <w:tcBorders>
              <w:top w:val="nil"/>
              <w:left w:val="nil"/>
              <w:bottom w:val="single" w:sz="4" w:space="0" w:color="auto"/>
              <w:right w:val="single" w:sz="4" w:space="0" w:color="auto"/>
            </w:tcBorders>
            <w:shd w:val="clear" w:color="auto" w:fill="95B3D7" w:themeFill="accent1" w:themeFillTint="99"/>
            <w:noWrap/>
            <w:vAlign w:val="center"/>
            <w:hideMark/>
          </w:tcPr>
          <w:p w14:paraId="6ED2BAFB" w14:textId="77777777" w:rsidR="00BC3227" w:rsidRPr="00AD1819" w:rsidRDefault="00BC3227">
            <w:pPr>
              <w:jc w:val="center"/>
              <w:rPr>
                <w:rFonts w:asciiTheme="minorHAnsi" w:hAnsiTheme="minorHAnsi"/>
                <w:b/>
                <w:bCs/>
                <w:color w:val="000000"/>
                <w:sz w:val="22"/>
                <w:szCs w:val="22"/>
              </w:rPr>
            </w:pPr>
            <w:r w:rsidRPr="00AD1819">
              <w:rPr>
                <w:rFonts w:asciiTheme="minorHAnsi" w:hAnsiTheme="minorHAnsi"/>
                <w:b/>
                <w:bCs/>
                <w:color w:val="000000"/>
                <w:sz w:val="22"/>
                <w:szCs w:val="22"/>
              </w:rPr>
              <w:t>16.99</w:t>
            </w:r>
          </w:p>
        </w:tc>
        <w:tc>
          <w:tcPr>
            <w:tcW w:w="0" w:type="auto"/>
            <w:tcBorders>
              <w:top w:val="nil"/>
              <w:left w:val="nil"/>
              <w:bottom w:val="single" w:sz="4" w:space="0" w:color="auto"/>
              <w:right w:val="single" w:sz="4" w:space="0" w:color="auto"/>
            </w:tcBorders>
            <w:shd w:val="clear" w:color="auto" w:fill="95B3D7" w:themeFill="accent1" w:themeFillTint="99"/>
            <w:noWrap/>
            <w:vAlign w:val="center"/>
            <w:hideMark/>
          </w:tcPr>
          <w:p w14:paraId="255C1683" w14:textId="77777777" w:rsidR="00BC3227" w:rsidRPr="00AD1819" w:rsidRDefault="00BC3227">
            <w:pPr>
              <w:jc w:val="center"/>
              <w:rPr>
                <w:rFonts w:asciiTheme="minorHAnsi" w:hAnsiTheme="minorHAnsi"/>
                <w:b/>
                <w:bCs/>
                <w:color w:val="000000"/>
                <w:sz w:val="22"/>
                <w:szCs w:val="22"/>
              </w:rPr>
            </w:pPr>
            <w:r w:rsidRPr="00AD1819">
              <w:rPr>
                <w:rFonts w:asciiTheme="minorHAnsi" w:hAnsiTheme="minorHAnsi"/>
                <w:b/>
                <w:bCs/>
                <w:color w:val="000000"/>
                <w:sz w:val="22"/>
                <w:szCs w:val="22"/>
              </w:rPr>
              <w:t>1115.03</w:t>
            </w:r>
          </w:p>
        </w:tc>
        <w:tc>
          <w:tcPr>
            <w:tcW w:w="0" w:type="auto"/>
            <w:tcBorders>
              <w:top w:val="nil"/>
              <w:left w:val="nil"/>
              <w:bottom w:val="single" w:sz="4" w:space="0" w:color="auto"/>
              <w:right w:val="single" w:sz="4" w:space="0" w:color="auto"/>
            </w:tcBorders>
            <w:shd w:val="clear" w:color="auto" w:fill="95B3D7" w:themeFill="accent1" w:themeFillTint="99"/>
            <w:noWrap/>
            <w:vAlign w:val="center"/>
            <w:hideMark/>
          </w:tcPr>
          <w:p w14:paraId="58D865A6" w14:textId="77777777" w:rsidR="00BC3227" w:rsidRPr="00AD1819" w:rsidRDefault="00BC3227">
            <w:pPr>
              <w:jc w:val="center"/>
              <w:rPr>
                <w:rFonts w:asciiTheme="minorHAnsi" w:hAnsiTheme="minorHAnsi"/>
                <w:b/>
                <w:bCs/>
                <w:color w:val="000000"/>
                <w:sz w:val="22"/>
                <w:szCs w:val="22"/>
              </w:rPr>
            </w:pPr>
            <w:r w:rsidRPr="00AD1819">
              <w:rPr>
                <w:rFonts w:asciiTheme="minorHAnsi" w:hAnsiTheme="minorHAnsi"/>
                <w:b/>
                <w:bCs/>
                <w:color w:val="000000"/>
                <w:sz w:val="22"/>
                <w:szCs w:val="22"/>
              </w:rPr>
              <w:t>516.61</w:t>
            </w:r>
          </w:p>
        </w:tc>
      </w:tr>
    </w:tbl>
    <w:p w14:paraId="12DD0EF6" w14:textId="77777777" w:rsidR="00974443" w:rsidRPr="00D718E5" w:rsidRDefault="00974443" w:rsidP="00974443">
      <w:pPr>
        <w:spacing w:before="159" w:after="120" w:line="360" w:lineRule="auto"/>
        <w:ind w:rightChars="43" w:right="103"/>
        <w:jc w:val="both"/>
        <w:rPr>
          <w:rFonts w:asciiTheme="minorHAnsi" w:eastAsia="Yu Gothic" w:hAnsiTheme="minorHAnsi" w:cs="Calibri"/>
          <w:sz w:val="22"/>
          <w:szCs w:val="22"/>
        </w:rPr>
      </w:pPr>
    </w:p>
    <w:p w14:paraId="4593A1F9" w14:textId="32EE5DD7" w:rsidR="00974443" w:rsidRPr="00D6050D" w:rsidRDefault="00974443" w:rsidP="00974443">
      <w:pPr>
        <w:spacing w:before="159" w:after="120" w:line="360" w:lineRule="auto"/>
        <w:ind w:left="567" w:rightChars="43" w:right="103"/>
        <w:jc w:val="center"/>
        <w:rPr>
          <w:rFonts w:ascii="Calibri" w:eastAsia="Yu Gothic" w:hAnsi="Calibri" w:cs="Calibri"/>
          <w:b/>
          <w:sz w:val="22"/>
          <w:szCs w:val="22"/>
        </w:rPr>
      </w:pPr>
      <w:r w:rsidRPr="00D6050D">
        <w:rPr>
          <w:rFonts w:ascii="Calibri" w:eastAsia="Yu Gothic" w:hAnsi="Calibri" w:cs="Calibri"/>
          <w:b/>
          <w:sz w:val="22"/>
          <w:szCs w:val="22"/>
        </w:rPr>
        <w:t xml:space="preserve">                    </w:t>
      </w:r>
      <w:r>
        <w:rPr>
          <w:rFonts w:ascii="Calibri" w:eastAsia="Yu Gothic" w:hAnsi="Calibri" w:cs="Calibri"/>
          <w:b/>
          <w:sz w:val="22"/>
          <w:szCs w:val="22"/>
        </w:rPr>
        <w:t xml:space="preserve">            </w:t>
      </w:r>
      <w:r w:rsidRPr="00A96BF3">
        <w:rPr>
          <w:rFonts w:ascii="Calibri" w:eastAsia="Yu Gothic" w:hAnsi="Calibri" w:cs="Calibri"/>
          <w:b/>
          <w:sz w:val="22"/>
          <w:szCs w:val="22"/>
          <w:shd w:val="clear" w:color="auto" w:fill="FFFFFF" w:themeFill="background1"/>
        </w:rPr>
        <w:t>Table-</w:t>
      </w:r>
      <w:r w:rsidR="00B602FC">
        <w:rPr>
          <w:rFonts w:ascii="Calibri" w:eastAsia="Yu Gothic" w:hAnsi="Calibri" w:cs="Calibri"/>
          <w:b/>
          <w:sz w:val="22"/>
          <w:szCs w:val="22"/>
          <w:shd w:val="clear" w:color="auto" w:fill="FFFFFF" w:themeFill="background1"/>
        </w:rPr>
        <w:t>3</w:t>
      </w:r>
      <w:r w:rsidR="00AD1819">
        <w:rPr>
          <w:rFonts w:ascii="Calibri" w:eastAsia="Yu Gothic" w:hAnsi="Calibri" w:cs="Calibri"/>
          <w:b/>
          <w:sz w:val="22"/>
          <w:szCs w:val="22"/>
          <w:shd w:val="clear" w:color="auto" w:fill="FFFFFF" w:themeFill="background1"/>
        </w:rPr>
        <w:t>8</w:t>
      </w:r>
      <w:r w:rsidRPr="00A96BF3">
        <w:rPr>
          <w:rFonts w:ascii="Calibri" w:eastAsia="Yu Gothic" w:hAnsi="Calibri" w:cs="Calibri"/>
          <w:b/>
          <w:sz w:val="22"/>
          <w:szCs w:val="22"/>
          <w:shd w:val="clear" w:color="auto" w:fill="FFFFFF" w:themeFill="background1"/>
        </w:rPr>
        <w:t>: Capitalization Plan for FY 2025-26</w:t>
      </w:r>
      <w:r w:rsidRPr="00D6050D">
        <w:rPr>
          <w:rFonts w:ascii="Calibri" w:eastAsia="Yu Gothic" w:hAnsi="Calibri" w:cs="Calibri"/>
          <w:b/>
          <w:sz w:val="22"/>
          <w:szCs w:val="22"/>
        </w:rPr>
        <w:t xml:space="preserve">                          </w:t>
      </w:r>
      <w:proofErr w:type="gramStart"/>
      <w:r w:rsidRPr="00D6050D">
        <w:rPr>
          <w:rFonts w:ascii="Calibri" w:eastAsia="Yu Gothic" w:hAnsi="Calibri" w:cs="Calibri"/>
          <w:b/>
          <w:sz w:val="22"/>
          <w:szCs w:val="22"/>
        </w:rPr>
        <w:t xml:space="preserve">   (</w:t>
      </w:r>
      <w:proofErr w:type="gramEnd"/>
      <w:r w:rsidRPr="00D6050D">
        <w:rPr>
          <w:rFonts w:ascii="Calibri" w:eastAsia="Yu Gothic" w:hAnsi="Calibri" w:cs="Calibri"/>
          <w:b/>
          <w:sz w:val="22"/>
          <w:szCs w:val="22"/>
        </w:rPr>
        <w:t xml:space="preserve">In </w:t>
      </w:r>
      <w:r>
        <w:rPr>
          <w:rFonts w:ascii="Calibri" w:eastAsia="Yu Gothic" w:hAnsi="Calibri" w:cs="Calibri"/>
          <w:b/>
          <w:sz w:val="22"/>
          <w:szCs w:val="22"/>
        </w:rPr>
        <w:t>Rs.</w:t>
      </w:r>
      <w:r w:rsidRPr="00D6050D">
        <w:rPr>
          <w:rFonts w:ascii="Calibri" w:eastAsia="Yu Gothic" w:hAnsi="Calibri" w:cs="Calibri"/>
          <w:b/>
          <w:sz w:val="22"/>
          <w:szCs w:val="22"/>
        </w:rPr>
        <w:t xml:space="preserve"> </w:t>
      </w:r>
      <w:proofErr w:type="spellStart"/>
      <w:r w:rsidRPr="00D6050D">
        <w:rPr>
          <w:rFonts w:ascii="Calibri" w:eastAsia="Yu Gothic" w:hAnsi="Calibri" w:cs="Calibri"/>
          <w:b/>
          <w:sz w:val="22"/>
          <w:szCs w:val="22"/>
        </w:rPr>
        <w:t>Crs</w:t>
      </w:r>
      <w:proofErr w:type="spellEnd"/>
      <w:r w:rsidRPr="00D6050D">
        <w:rPr>
          <w:rFonts w:ascii="Calibri" w:eastAsia="Yu Gothic" w:hAnsi="Calibri" w:cs="Calibri"/>
          <w:b/>
          <w:sz w:val="22"/>
          <w:szCs w:val="22"/>
        </w:rPr>
        <w:t>)</w:t>
      </w:r>
    </w:p>
    <w:tbl>
      <w:tblPr>
        <w:tblW w:w="10284" w:type="dxa"/>
        <w:tblLook w:val="04A0" w:firstRow="1" w:lastRow="0" w:firstColumn="1" w:lastColumn="0" w:noHBand="0" w:noVBand="1"/>
      </w:tblPr>
      <w:tblGrid>
        <w:gridCol w:w="2781"/>
        <w:gridCol w:w="1533"/>
        <w:gridCol w:w="974"/>
        <w:gridCol w:w="1428"/>
        <w:gridCol w:w="1522"/>
        <w:gridCol w:w="1017"/>
        <w:gridCol w:w="1072"/>
      </w:tblGrid>
      <w:tr w:rsidR="00C369B5" w14:paraId="239C9B7C" w14:textId="77777777" w:rsidTr="00C369B5">
        <w:trPr>
          <w:trHeight w:val="864"/>
        </w:trPr>
        <w:tc>
          <w:tcPr>
            <w:tcW w:w="2781" w:type="dxa"/>
            <w:tcBorders>
              <w:top w:val="single" w:sz="4" w:space="0" w:color="auto"/>
              <w:left w:val="single" w:sz="4" w:space="0" w:color="auto"/>
              <w:bottom w:val="single" w:sz="4" w:space="0" w:color="auto"/>
              <w:right w:val="single" w:sz="4" w:space="0" w:color="auto"/>
            </w:tcBorders>
            <w:shd w:val="clear" w:color="auto" w:fill="95B3D7" w:themeFill="accent1" w:themeFillTint="99"/>
            <w:vAlign w:val="center"/>
            <w:hideMark/>
          </w:tcPr>
          <w:p w14:paraId="6037A81F" w14:textId="77777777" w:rsidR="00BC3227" w:rsidRDefault="00BC3227">
            <w:pPr>
              <w:jc w:val="center"/>
              <w:rPr>
                <w:rFonts w:ascii="Arial" w:hAnsi="Arial" w:cs="Arial"/>
                <w:b/>
                <w:bCs/>
                <w:sz w:val="20"/>
                <w:szCs w:val="20"/>
                <w:lang w:val="en-IN" w:eastAsia="en-IN"/>
              </w:rPr>
            </w:pPr>
            <w:r>
              <w:rPr>
                <w:rFonts w:ascii="Arial" w:hAnsi="Arial" w:cs="Arial"/>
                <w:b/>
                <w:bCs/>
                <w:sz w:val="20"/>
                <w:szCs w:val="20"/>
              </w:rPr>
              <w:t>Description of the Project/Scheme</w:t>
            </w:r>
          </w:p>
        </w:tc>
        <w:tc>
          <w:tcPr>
            <w:tcW w:w="1533" w:type="dxa"/>
            <w:tcBorders>
              <w:top w:val="single" w:sz="4" w:space="0" w:color="auto"/>
              <w:left w:val="nil"/>
              <w:bottom w:val="single" w:sz="4" w:space="0" w:color="auto"/>
              <w:right w:val="single" w:sz="4" w:space="0" w:color="auto"/>
            </w:tcBorders>
            <w:shd w:val="clear" w:color="auto" w:fill="95B3D7" w:themeFill="accent1" w:themeFillTint="99"/>
            <w:vAlign w:val="center"/>
            <w:hideMark/>
          </w:tcPr>
          <w:p w14:paraId="523987ED" w14:textId="77777777" w:rsidR="00BC3227" w:rsidRDefault="00BC3227">
            <w:pPr>
              <w:jc w:val="center"/>
              <w:rPr>
                <w:rFonts w:ascii="Arial" w:hAnsi="Arial" w:cs="Arial"/>
                <w:b/>
                <w:bCs/>
                <w:sz w:val="20"/>
                <w:szCs w:val="20"/>
              </w:rPr>
            </w:pPr>
            <w:r>
              <w:rPr>
                <w:rFonts w:ascii="Arial" w:hAnsi="Arial" w:cs="Arial"/>
                <w:b/>
                <w:bCs/>
                <w:sz w:val="20"/>
                <w:szCs w:val="20"/>
              </w:rPr>
              <w:t>Closing bal. of WIP as on 31.03.25</w:t>
            </w:r>
          </w:p>
        </w:tc>
        <w:tc>
          <w:tcPr>
            <w:tcW w:w="974" w:type="dxa"/>
            <w:tcBorders>
              <w:top w:val="single" w:sz="4" w:space="0" w:color="auto"/>
              <w:left w:val="nil"/>
              <w:bottom w:val="single" w:sz="4" w:space="0" w:color="auto"/>
              <w:right w:val="single" w:sz="4" w:space="0" w:color="auto"/>
            </w:tcBorders>
            <w:shd w:val="clear" w:color="auto" w:fill="95B3D7" w:themeFill="accent1" w:themeFillTint="99"/>
            <w:vAlign w:val="center"/>
            <w:hideMark/>
          </w:tcPr>
          <w:p w14:paraId="042060B3" w14:textId="77777777" w:rsidR="00BC3227" w:rsidRDefault="00BC3227">
            <w:pPr>
              <w:jc w:val="center"/>
              <w:rPr>
                <w:rFonts w:ascii="Arial" w:hAnsi="Arial" w:cs="Arial"/>
                <w:b/>
                <w:bCs/>
                <w:sz w:val="20"/>
                <w:szCs w:val="20"/>
              </w:rPr>
            </w:pPr>
            <w:proofErr w:type="spellStart"/>
            <w:r>
              <w:rPr>
                <w:rFonts w:ascii="Arial" w:hAnsi="Arial" w:cs="Arial"/>
                <w:b/>
                <w:bCs/>
                <w:sz w:val="20"/>
                <w:szCs w:val="20"/>
              </w:rPr>
              <w:t>Expn</w:t>
            </w:r>
            <w:proofErr w:type="spellEnd"/>
            <w:r>
              <w:rPr>
                <w:rFonts w:ascii="Arial" w:hAnsi="Arial" w:cs="Arial"/>
                <w:b/>
                <w:bCs/>
                <w:sz w:val="20"/>
                <w:szCs w:val="20"/>
              </w:rPr>
              <w:t>. during the year</w:t>
            </w:r>
          </w:p>
        </w:tc>
        <w:tc>
          <w:tcPr>
            <w:tcW w:w="1403" w:type="dxa"/>
            <w:tcBorders>
              <w:top w:val="single" w:sz="4" w:space="0" w:color="auto"/>
              <w:left w:val="nil"/>
              <w:bottom w:val="single" w:sz="4" w:space="0" w:color="auto"/>
              <w:right w:val="single" w:sz="4" w:space="0" w:color="auto"/>
            </w:tcBorders>
            <w:shd w:val="clear" w:color="auto" w:fill="95B3D7" w:themeFill="accent1" w:themeFillTint="99"/>
            <w:vAlign w:val="center"/>
            <w:hideMark/>
          </w:tcPr>
          <w:p w14:paraId="692A5F15" w14:textId="77777777" w:rsidR="00BC3227" w:rsidRDefault="00BC3227">
            <w:pPr>
              <w:jc w:val="center"/>
              <w:rPr>
                <w:rFonts w:ascii="Arial" w:hAnsi="Arial" w:cs="Arial"/>
                <w:b/>
                <w:bCs/>
                <w:sz w:val="20"/>
                <w:szCs w:val="20"/>
              </w:rPr>
            </w:pPr>
            <w:r>
              <w:rPr>
                <w:rFonts w:ascii="Arial" w:hAnsi="Arial" w:cs="Arial"/>
                <w:b/>
                <w:bCs/>
                <w:sz w:val="20"/>
                <w:szCs w:val="20"/>
              </w:rPr>
              <w:t>Interest during construction</w:t>
            </w:r>
          </w:p>
        </w:tc>
        <w:tc>
          <w:tcPr>
            <w:tcW w:w="1522" w:type="dxa"/>
            <w:tcBorders>
              <w:top w:val="single" w:sz="4" w:space="0" w:color="auto"/>
              <w:left w:val="nil"/>
              <w:bottom w:val="single" w:sz="4" w:space="0" w:color="auto"/>
              <w:right w:val="single" w:sz="4" w:space="0" w:color="auto"/>
            </w:tcBorders>
            <w:shd w:val="clear" w:color="auto" w:fill="95B3D7" w:themeFill="accent1" w:themeFillTint="99"/>
            <w:vAlign w:val="center"/>
            <w:hideMark/>
          </w:tcPr>
          <w:p w14:paraId="198EA157" w14:textId="3BFC41CE" w:rsidR="00BC3227" w:rsidRDefault="00BC3227">
            <w:pPr>
              <w:jc w:val="center"/>
              <w:rPr>
                <w:rFonts w:ascii="Arial" w:hAnsi="Arial" w:cs="Arial"/>
                <w:b/>
                <w:bCs/>
                <w:sz w:val="20"/>
                <w:szCs w:val="20"/>
              </w:rPr>
            </w:pPr>
            <w:r>
              <w:rPr>
                <w:rFonts w:ascii="Arial" w:hAnsi="Arial" w:cs="Arial"/>
                <w:b/>
                <w:bCs/>
                <w:sz w:val="20"/>
                <w:szCs w:val="20"/>
              </w:rPr>
              <w:t xml:space="preserve">Overheads </w:t>
            </w:r>
            <w:proofErr w:type="spellStart"/>
            <w:r>
              <w:rPr>
                <w:rFonts w:ascii="Arial" w:hAnsi="Arial" w:cs="Arial"/>
                <w:b/>
                <w:bCs/>
                <w:sz w:val="20"/>
                <w:szCs w:val="20"/>
              </w:rPr>
              <w:t>capitalised</w:t>
            </w:r>
            <w:proofErr w:type="spellEnd"/>
            <w:r>
              <w:rPr>
                <w:rFonts w:ascii="Arial" w:hAnsi="Arial" w:cs="Arial"/>
                <w:b/>
                <w:bCs/>
                <w:sz w:val="20"/>
                <w:szCs w:val="20"/>
              </w:rPr>
              <w:t>/</w:t>
            </w:r>
            <w:r w:rsidR="00C369B5">
              <w:rPr>
                <w:rFonts w:ascii="Arial" w:hAnsi="Arial" w:cs="Arial"/>
                <w:b/>
                <w:bCs/>
                <w:sz w:val="20"/>
                <w:szCs w:val="20"/>
              </w:rPr>
              <w:t xml:space="preserve"> </w:t>
            </w:r>
            <w:r>
              <w:rPr>
                <w:rFonts w:ascii="Arial" w:hAnsi="Arial" w:cs="Arial"/>
                <w:b/>
                <w:bCs/>
                <w:sz w:val="20"/>
                <w:szCs w:val="20"/>
              </w:rPr>
              <w:t>Adjustments</w:t>
            </w:r>
          </w:p>
        </w:tc>
        <w:tc>
          <w:tcPr>
            <w:tcW w:w="999" w:type="dxa"/>
            <w:tcBorders>
              <w:top w:val="single" w:sz="4" w:space="0" w:color="auto"/>
              <w:left w:val="nil"/>
              <w:bottom w:val="single" w:sz="4" w:space="0" w:color="auto"/>
              <w:right w:val="single" w:sz="4" w:space="0" w:color="auto"/>
            </w:tcBorders>
            <w:shd w:val="clear" w:color="auto" w:fill="95B3D7" w:themeFill="accent1" w:themeFillTint="99"/>
            <w:vAlign w:val="center"/>
            <w:hideMark/>
          </w:tcPr>
          <w:p w14:paraId="0FD051FD" w14:textId="77777777" w:rsidR="00BC3227" w:rsidRDefault="00BC3227">
            <w:pPr>
              <w:jc w:val="center"/>
              <w:rPr>
                <w:rFonts w:ascii="Arial" w:hAnsi="Arial" w:cs="Arial"/>
                <w:b/>
                <w:bCs/>
                <w:sz w:val="20"/>
                <w:szCs w:val="20"/>
              </w:rPr>
            </w:pPr>
            <w:r>
              <w:rPr>
                <w:rFonts w:ascii="Arial" w:hAnsi="Arial" w:cs="Arial"/>
                <w:b/>
                <w:bCs/>
                <w:sz w:val="20"/>
                <w:szCs w:val="20"/>
              </w:rPr>
              <w:t>Transfer to fixed assets</w:t>
            </w:r>
          </w:p>
        </w:tc>
        <w:tc>
          <w:tcPr>
            <w:tcW w:w="1072" w:type="dxa"/>
            <w:tcBorders>
              <w:top w:val="single" w:sz="4" w:space="0" w:color="auto"/>
              <w:left w:val="nil"/>
              <w:bottom w:val="single" w:sz="4" w:space="0" w:color="auto"/>
              <w:right w:val="single" w:sz="4" w:space="0" w:color="auto"/>
            </w:tcBorders>
            <w:shd w:val="clear" w:color="auto" w:fill="95B3D7" w:themeFill="accent1" w:themeFillTint="99"/>
            <w:vAlign w:val="center"/>
            <w:hideMark/>
          </w:tcPr>
          <w:p w14:paraId="45E6000C" w14:textId="77777777" w:rsidR="00BC3227" w:rsidRDefault="00BC3227">
            <w:pPr>
              <w:jc w:val="center"/>
              <w:rPr>
                <w:rFonts w:ascii="Arial" w:hAnsi="Arial" w:cs="Arial"/>
                <w:b/>
                <w:bCs/>
                <w:sz w:val="20"/>
                <w:szCs w:val="20"/>
              </w:rPr>
            </w:pPr>
            <w:r>
              <w:rPr>
                <w:rFonts w:ascii="Arial" w:hAnsi="Arial" w:cs="Arial"/>
                <w:b/>
                <w:bCs/>
                <w:sz w:val="20"/>
                <w:szCs w:val="20"/>
              </w:rPr>
              <w:t>Closing bal. of WIP as on 31.03.26</w:t>
            </w:r>
          </w:p>
        </w:tc>
      </w:tr>
      <w:tr w:rsidR="00C369B5" w14:paraId="58A0F568" w14:textId="77777777" w:rsidTr="00C369B5">
        <w:trPr>
          <w:trHeight w:val="253"/>
        </w:trPr>
        <w:tc>
          <w:tcPr>
            <w:tcW w:w="2781" w:type="dxa"/>
            <w:tcBorders>
              <w:top w:val="nil"/>
              <w:left w:val="single" w:sz="4" w:space="0" w:color="auto"/>
              <w:bottom w:val="single" w:sz="4" w:space="0" w:color="auto"/>
              <w:right w:val="single" w:sz="4" w:space="0" w:color="auto"/>
            </w:tcBorders>
            <w:shd w:val="clear" w:color="auto" w:fill="auto"/>
            <w:noWrap/>
            <w:vAlign w:val="center"/>
            <w:hideMark/>
          </w:tcPr>
          <w:p w14:paraId="4A05B6B1" w14:textId="77777777" w:rsidR="00BC3227" w:rsidRDefault="00BC3227">
            <w:pPr>
              <w:rPr>
                <w:rFonts w:ascii="Arial" w:hAnsi="Arial" w:cs="Arial"/>
                <w:sz w:val="20"/>
                <w:szCs w:val="20"/>
              </w:rPr>
            </w:pPr>
            <w:r>
              <w:rPr>
                <w:rFonts w:ascii="Arial" w:hAnsi="Arial" w:cs="Arial"/>
                <w:sz w:val="20"/>
                <w:szCs w:val="20"/>
              </w:rPr>
              <w:t xml:space="preserve">Land </w:t>
            </w:r>
          </w:p>
        </w:tc>
        <w:tc>
          <w:tcPr>
            <w:tcW w:w="1533" w:type="dxa"/>
            <w:tcBorders>
              <w:top w:val="nil"/>
              <w:left w:val="nil"/>
              <w:bottom w:val="single" w:sz="4" w:space="0" w:color="auto"/>
              <w:right w:val="single" w:sz="4" w:space="0" w:color="auto"/>
            </w:tcBorders>
            <w:shd w:val="clear" w:color="auto" w:fill="auto"/>
            <w:noWrap/>
            <w:vAlign w:val="center"/>
            <w:hideMark/>
          </w:tcPr>
          <w:p w14:paraId="583E8B8D" w14:textId="77777777" w:rsidR="00BC3227" w:rsidRDefault="00BC3227">
            <w:pPr>
              <w:jc w:val="center"/>
              <w:rPr>
                <w:rFonts w:ascii="Calibri" w:hAnsi="Calibri"/>
                <w:color w:val="000000"/>
                <w:sz w:val="22"/>
                <w:szCs w:val="22"/>
              </w:rPr>
            </w:pPr>
            <w:r>
              <w:rPr>
                <w:rFonts w:ascii="Calibri" w:hAnsi="Calibri"/>
                <w:color w:val="000000"/>
                <w:sz w:val="22"/>
                <w:szCs w:val="22"/>
              </w:rPr>
              <w:t>0.00</w:t>
            </w:r>
          </w:p>
        </w:tc>
        <w:tc>
          <w:tcPr>
            <w:tcW w:w="974" w:type="dxa"/>
            <w:tcBorders>
              <w:top w:val="nil"/>
              <w:left w:val="nil"/>
              <w:bottom w:val="single" w:sz="4" w:space="0" w:color="auto"/>
              <w:right w:val="single" w:sz="4" w:space="0" w:color="auto"/>
            </w:tcBorders>
            <w:shd w:val="clear" w:color="auto" w:fill="auto"/>
            <w:noWrap/>
            <w:vAlign w:val="center"/>
            <w:hideMark/>
          </w:tcPr>
          <w:p w14:paraId="727C8599" w14:textId="77777777" w:rsidR="00BC3227" w:rsidRDefault="00BC3227">
            <w:pPr>
              <w:jc w:val="center"/>
              <w:rPr>
                <w:rFonts w:ascii="Calibri" w:hAnsi="Calibri"/>
                <w:color w:val="000000"/>
                <w:sz w:val="22"/>
                <w:szCs w:val="22"/>
              </w:rPr>
            </w:pPr>
            <w:r>
              <w:rPr>
                <w:rFonts w:ascii="Calibri" w:hAnsi="Calibri"/>
                <w:color w:val="000000"/>
                <w:sz w:val="22"/>
                <w:szCs w:val="22"/>
              </w:rPr>
              <w:t>0.00</w:t>
            </w:r>
          </w:p>
        </w:tc>
        <w:tc>
          <w:tcPr>
            <w:tcW w:w="1403" w:type="dxa"/>
            <w:tcBorders>
              <w:top w:val="nil"/>
              <w:left w:val="nil"/>
              <w:bottom w:val="single" w:sz="4" w:space="0" w:color="auto"/>
              <w:right w:val="single" w:sz="4" w:space="0" w:color="auto"/>
            </w:tcBorders>
            <w:shd w:val="clear" w:color="auto" w:fill="auto"/>
            <w:noWrap/>
            <w:vAlign w:val="center"/>
            <w:hideMark/>
          </w:tcPr>
          <w:p w14:paraId="2E1E3592" w14:textId="77777777" w:rsidR="00BC3227" w:rsidRDefault="00BC3227">
            <w:pPr>
              <w:jc w:val="center"/>
              <w:rPr>
                <w:rFonts w:ascii="Calibri" w:hAnsi="Calibri"/>
                <w:color w:val="000000"/>
                <w:sz w:val="22"/>
                <w:szCs w:val="22"/>
              </w:rPr>
            </w:pPr>
            <w:r>
              <w:rPr>
                <w:rFonts w:ascii="Calibri" w:hAnsi="Calibri"/>
                <w:color w:val="000000"/>
                <w:sz w:val="22"/>
                <w:szCs w:val="22"/>
              </w:rPr>
              <w:t> </w:t>
            </w:r>
          </w:p>
        </w:tc>
        <w:tc>
          <w:tcPr>
            <w:tcW w:w="1522" w:type="dxa"/>
            <w:tcBorders>
              <w:top w:val="nil"/>
              <w:left w:val="nil"/>
              <w:bottom w:val="single" w:sz="4" w:space="0" w:color="auto"/>
              <w:right w:val="single" w:sz="4" w:space="0" w:color="auto"/>
            </w:tcBorders>
            <w:shd w:val="clear" w:color="auto" w:fill="auto"/>
            <w:noWrap/>
            <w:vAlign w:val="center"/>
            <w:hideMark/>
          </w:tcPr>
          <w:p w14:paraId="57F9E699" w14:textId="77777777" w:rsidR="00BC3227" w:rsidRDefault="00BC3227">
            <w:pPr>
              <w:jc w:val="center"/>
              <w:rPr>
                <w:rFonts w:ascii="Calibri" w:hAnsi="Calibri"/>
                <w:color w:val="000000"/>
                <w:sz w:val="22"/>
                <w:szCs w:val="22"/>
              </w:rPr>
            </w:pPr>
            <w:r>
              <w:rPr>
                <w:rFonts w:ascii="Calibri" w:hAnsi="Calibri"/>
                <w:color w:val="000000"/>
                <w:sz w:val="22"/>
                <w:szCs w:val="22"/>
              </w:rPr>
              <w:t> </w:t>
            </w:r>
          </w:p>
        </w:tc>
        <w:tc>
          <w:tcPr>
            <w:tcW w:w="999" w:type="dxa"/>
            <w:tcBorders>
              <w:top w:val="nil"/>
              <w:left w:val="nil"/>
              <w:bottom w:val="single" w:sz="4" w:space="0" w:color="auto"/>
              <w:right w:val="single" w:sz="4" w:space="0" w:color="auto"/>
            </w:tcBorders>
            <w:shd w:val="clear" w:color="auto" w:fill="auto"/>
            <w:noWrap/>
            <w:vAlign w:val="center"/>
            <w:hideMark/>
          </w:tcPr>
          <w:p w14:paraId="29105D24" w14:textId="77777777" w:rsidR="00BC3227" w:rsidRDefault="00BC3227">
            <w:pPr>
              <w:jc w:val="center"/>
              <w:rPr>
                <w:rFonts w:ascii="Calibri" w:hAnsi="Calibri"/>
                <w:color w:val="000000"/>
                <w:sz w:val="22"/>
                <w:szCs w:val="22"/>
              </w:rPr>
            </w:pPr>
            <w:r>
              <w:rPr>
                <w:rFonts w:ascii="Calibri" w:hAnsi="Calibri"/>
                <w:color w:val="000000"/>
                <w:sz w:val="22"/>
                <w:szCs w:val="22"/>
              </w:rPr>
              <w:t>0.00</w:t>
            </w:r>
          </w:p>
        </w:tc>
        <w:tc>
          <w:tcPr>
            <w:tcW w:w="1072" w:type="dxa"/>
            <w:tcBorders>
              <w:top w:val="nil"/>
              <w:left w:val="nil"/>
              <w:bottom w:val="single" w:sz="4" w:space="0" w:color="auto"/>
              <w:right w:val="single" w:sz="4" w:space="0" w:color="auto"/>
            </w:tcBorders>
            <w:shd w:val="clear" w:color="auto" w:fill="auto"/>
            <w:noWrap/>
            <w:vAlign w:val="center"/>
            <w:hideMark/>
          </w:tcPr>
          <w:p w14:paraId="73D1F495" w14:textId="77777777" w:rsidR="00BC3227" w:rsidRDefault="00BC3227">
            <w:pPr>
              <w:jc w:val="center"/>
              <w:rPr>
                <w:rFonts w:ascii="Calibri" w:hAnsi="Calibri"/>
                <w:color w:val="000000"/>
                <w:sz w:val="22"/>
                <w:szCs w:val="22"/>
              </w:rPr>
            </w:pPr>
            <w:r>
              <w:rPr>
                <w:rFonts w:ascii="Calibri" w:hAnsi="Calibri"/>
                <w:color w:val="000000"/>
                <w:sz w:val="22"/>
                <w:szCs w:val="22"/>
              </w:rPr>
              <w:t>0.00</w:t>
            </w:r>
          </w:p>
        </w:tc>
      </w:tr>
      <w:tr w:rsidR="00C369B5" w14:paraId="673A6781" w14:textId="77777777" w:rsidTr="00C369B5">
        <w:trPr>
          <w:trHeight w:val="253"/>
        </w:trPr>
        <w:tc>
          <w:tcPr>
            <w:tcW w:w="2781" w:type="dxa"/>
            <w:tcBorders>
              <w:top w:val="nil"/>
              <w:left w:val="single" w:sz="4" w:space="0" w:color="auto"/>
              <w:bottom w:val="single" w:sz="4" w:space="0" w:color="auto"/>
              <w:right w:val="single" w:sz="4" w:space="0" w:color="auto"/>
            </w:tcBorders>
            <w:shd w:val="clear" w:color="auto" w:fill="auto"/>
            <w:noWrap/>
            <w:vAlign w:val="center"/>
            <w:hideMark/>
          </w:tcPr>
          <w:p w14:paraId="31F38B98" w14:textId="77777777" w:rsidR="00BC3227" w:rsidRDefault="00BC3227">
            <w:pPr>
              <w:rPr>
                <w:rFonts w:ascii="Arial" w:hAnsi="Arial" w:cs="Arial"/>
                <w:sz w:val="20"/>
                <w:szCs w:val="20"/>
              </w:rPr>
            </w:pPr>
            <w:r>
              <w:rPr>
                <w:rFonts w:ascii="Arial" w:hAnsi="Arial" w:cs="Arial"/>
                <w:sz w:val="20"/>
                <w:szCs w:val="20"/>
              </w:rPr>
              <w:t>Civil &amp; Buildings</w:t>
            </w:r>
          </w:p>
        </w:tc>
        <w:tc>
          <w:tcPr>
            <w:tcW w:w="1533" w:type="dxa"/>
            <w:tcBorders>
              <w:top w:val="nil"/>
              <w:left w:val="nil"/>
              <w:bottom w:val="single" w:sz="4" w:space="0" w:color="auto"/>
              <w:right w:val="single" w:sz="4" w:space="0" w:color="auto"/>
            </w:tcBorders>
            <w:shd w:val="clear" w:color="auto" w:fill="auto"/>
            <w:noWrap/>
            <w:vAlign w:val="center"/>
            <w:hideMark/>
          </w:tcPr>
          <w:p w14:paraId="673F26E0" w14:textId="77777777" w:rsidR="00BC3227" w:rsidRDefault="00BC3227">
            <w:pPr>
              <w:jc w:val="center"/>
              <w:rPr>
                <w:rFonts w:ascii="Calibri" w:hAnsi="Calibri"/>
                <w:color w:val="000000"/>
                <w:sz w:val="22"/>
                <w:szCs w:val="22"/>
              </w:rPr>
            </w:pPr>
            <w:r>
              <w:rPr>
                <w:rFonts w:ascii="Calibri" w:hAnsi="Calibri"/>
                <w:color w:val="000000"/>
                <w:sz w:val="22"/>
                <w:szCs w:val="22"/>
              </w:rPr>
              <w:t>12.31</w:t>
            </w:r>
          </w:p>
        </w:tc>
        <w:tc>
          <w:tcPr>
            <w:tcW w:w="974" w:type="dxa"/>
            <w:tcBorders>
              <w:top w:val="nil"/>
              <w:left w:val="nil"/>
              <w:bottom w:val="single" w:sz="4" w:space="0" w:color="auto"/>
              <w:right w:val="single" w:sz="4" w:space="0" w:color="auto"/>
            </w:tcBorders>
            <w:shd w:val="clear" w:color="auto" w:fill="auto"/>
            <w:noWrap/>
            <w:vAlign w:val="center"/>
            <w:hideMark/>
          </w:tcPr>
          <w:p w14:paraId="7CC34559" w14:textId="77777777" w:rsidR="00BC3227" w:rsidRDefault="00BC3227">
            <w:pPr>
              <w:jc w:val="center"/>
              <w:rPr>
                <w:rFonts w:ascii="Calibri" w:hAnsi="Calibri"/>
                <w:color w:val="000000"/>
                <w:sz w:val="22"/>
                <w:szCs w:val="22"/>
              </w:rPr>
            </w:pPr>
            <w:r>
              <w:rPr>
                <w:rFonts w:ascii="Calibri" w:hAnsi="Calibri"/>
                <w:color w:val="000000"/>
                <w:sz w:val="22"/>
                <w:szCs w:val="22"/>
              </w:rPr>
              <w:t>33.06</w:t>
            </w:r>
          </w:p>
        </w:tc>
        <w:tc>
          <w:tcPr>
            <w:tcW w:w="1403" w:type="dxa"/>
            <w:tcBorders>
              <w:top w:val="nil"/>
              <w:left w:val="nil"/>
              <w:bottom w:val="single" w:sz="4" w:space="0" w:color="auto"/>
              <w:right w:val="single" w:sz="4" w:space="0" w:color="auto"/>
            </w:tcBorders>
            <w:shd w:val="clear" w:color="auto" w:fill="auto"/>
            <w:noWrap/>
            <w:vAlign w:val="center"/>
            <w:hideMark/>
          </w:tcPr>
          <w:p w14:paraId="6A486FB3" w14:textId="77777777" w:rsidR="00BC3227" w:rsidRDefault="00BC3227">
            <w:pPr>
              <w:jc w:val="center"/>
              <w:rPr>
                <w:rFonts w:ascii="Calibri" w:hAnsi="Calibri"/>
                <w:color w:val="000000"/>
                <w:sz w:val="22"/>
                <w:szCs w:val="22"/>
              </w:rPr>
            </w:pPr>
            <w:r>
              <w:rPr>
                <w:rFonts w:ascii="Calibri" w:hAnsi="Calibri"/>
                <w:color w:val="000000"/>
                <w:sz w:val="22"/>
                <w:szCs w:val="22"/>
              </w:rPr>
              <w:t>0.00</w:t>
            </w:r>
          </w:p>
        </w:tc>
        <w:tc>
          <w:tcPr>
            <w:tcW w:w="1522" w:type="dxa"/>
            <w:tcBorders>
              <w:top w:val="nil"/>
              <w:left w:val="nil"/>
              <w:bottom w:val="single" w:sz="4" w:space="0" w:color="auto"/>
              <w:right w:val="single" w:sz="4" w:space="0" w:color="auto"/>
            </w:tcBorders>
            <w:shd w:val="clear" w:color="auto" w:fill="auto"/>
            <w:noWrap/>
            <w:vAlign w:val="center"/>
            <w:hideMark/>
          </w:tcPr>
          <w:p w14:paraId="77F21657" w14:textId="77777777" w:rsidR="00BC3227" w:rsidRDefault="00BC3227">
            <w:pPr>
              <w:jc w:val="center"/>
              <w:rPr>
                <w:rFonts w:ascii="Calibri" w:hAnsi="Calibri"/>
                <w:color w:val="000000"/>
                <w:sz w:val="22"/>
                <w:szCs w:val="22"/>
              </w:rPr>
            </w:pPr>
            <w:r>
              <w:rPr>
                <w:rFonts w:ascii="Calibri" w:hAnsi="Calibri"/>
                <w:color w:val="000000"/>
                <w:sz w:val="22"/>
                <w:szCs w:val="22"/>
              </w:rPr>
              <w:t>0.94</w:t>
            </w:r>
          </w:p>
        </w:tc>
        <w:tc>
          <w:tcPr>
            <w:tcW w:w="999" w:type="dxa"/>
            <w:tcBorders>
              <w:top w:val="nil"/>
              <w:left w:val="nil"/>
              <w:bottom w:val="single" w:sz="4" w:space="0" w:color="auto"/>
              <w:right w:val="single" w:sz="4" w:space="0" w:color="auto"/>
            </w:tcBorders>
            <w:shd w:val="clear" w:color="auto" w:fill="auto"/>
            <w:noWrap/>
            <w:vAlign w:val="center"/>
            <w:hideMark/>
          </w:tcPr>
          <w:p w14:paraId="1D501286" w14:textId="77777777" w:rsidR="00BC3227" w:rsidRDefault="00BC3227">
            <w:pPr>
              <w:jc w:val="center"/>
              <w:rPr>
                <w:rFonts w:ascii="Calibri" w:hAnsi="Calibri"/>
                <w:color w:val="000000"/>
                <w:sz w:val="22"/>
                <w:szCs w:val="22"/>
              </w:rPr>
            </w:pPr>
            <w:r>
              <w:rPr>
                <w:rFonts w:ascii="Calibri" w:hAnsi="Calibri"/>
                <w:color w:val="000000"/>
                <w:sz w:val="22"/>
                <w:szCs w:val="22"/>
              </w:rPr>
              <w:t>41.55</w:t>
            </w:r>
          </w:p>
        </w:tc>
        <w:tc>
          <w:tcPr>
            <w:tcW w:w="1072" w:type="dxa"/>
            <w:tcBorders>
              <w:top w:val="nil"/>
              <w:left w:val="nil"/>
              <w:bottom w:val="single" w:sz="4" w:space="0" w:color="auto"/>
              <w:right w:val="single" w:sz="4" w:space="0" w:color="auto"/>
            </w:tcBorders>
            <w:shd w:val="clear" w:color="auto" w:fill="auto"/>
            <w:noWrap/>
            <w:vAlign w:val="center"/>
            <w:hideMark/>
          </w:tcPr>
          <w:p w14:paraId="23E36F88" w14:textId="77777777" w:rsidR="00BC3227" w:rsidRDefault="00BC3227">
            <w:pPr>
              <w:jc w:val="center"/>
              <w:rPr>
                <w:rFonts w:ascii="Calibri" w:hAnsi="Calibri"/>
                <w:color w:val="000000"/>
                <w:sz w:val="22"/>
                <w:szCs w:val="22"/>
              </w:rPr>
            </w:pPr>
            <w:r>
              <w:rPr>
                <w:rFonts w:ascii="Calibri" w:hAnsi="Calibri"/>
                <w:color w:val="000000"/>
                <w:sz w:val="22"/>
                <w:szCs w:val="22"/>
              </w:rPr>
              <w:t>4.76</w:t>
            </w:r>
          </w:p>
        </w:tc>
      </w:tr>
      <w:tr w:rsidR="00C369B5" w14:paraId="232E4C92" w14:textId="77777777" w:rsidTr="00C369B5">
        <w:trPr>
          <w:trHeight w:val="253"/>
        </w:trPr>
        <w:tc>
          <w:tcPr>
            <w:tcW w:w="2781" w:type="dxa"/>
            <w:tcBorders>
              <w:top w:val="nil"/>
              <w:left w:val="single" w:sz="4" w:space="0" w:color="auto"/>
              <w:bottom w:val="single" w:sz="4" w:space="0" w:color="auto"/>
              <w:right w:val="single" w:sz="4" w:space="0" w:color="auto"/>
            </w:tcBorders>
            <w:shd w:val="clear" w:color="auto" w:fill="auto"/>
            <w:noWrap/>
            <w:vAlign w:val="center"/>
            <w:hideMark/>
          </w:tcPr>
          <w:p w14:paraId="46A1BB6C" w14:textId="77777777" w:rsidR="00BC3227" w:rsidRDefault="00BC3227">
            <w:pPr>
              <w:rPr>
                <w:rFonts w:ascii="Arial" w:hAnsi="Arial" w:cs="Arial"/>
                <w:sz w:val="20"/>
                <w:szCs w:val="20"/>
              </w:rPr>
            </w:pPr>
            <w:r>
              <w:rPr>
                <w:rFonts w:ascii="Arial" w:hAnsi="Arial" w:cs="Arial"/>
                <w:sz w:val="20"/>
                <w:szCs w:val="20"/>
              </w:rPr>
              <w:t>F&amp;F</w:t>
            </w:r>
          </w:p>
        </w:tc>
        <w:tc>
          <w:tcPr>
            <w:tcW w:w="1533" w:type="dxa"/>
            <w:tcBorders>
              <w:top w:val="nil"/>
              <w:left w:val="nil"/>
              <w:bottom w:val="single" w:sz="4" w:space="0" w:color="auto"/>
              <w:right w:val="single" w:sz="4" w:space="0" w:color="auto"/>
            </w:tcBorders>
            <w:shd w:val="clear" w:color="auto" w:fill="auto"/>
            <w:noWrap/>
            <w:vAlign w:val="center"/>
            <w:hideMark/>
          </w:tcPr>
          <w:p w14:paraId="459FE5DE" w14:textId="77777777" w:rsidR="00BC3227" w:rsidRDefault="00BC3227">
            <w:pPr>
              <w:jc w:val="center"/>
              <w:rPr>
                <w:rFonts w:ascii="Calibri" w:hAnsi="Calibri"/>
                <w:color w:val="000000"/>
                <w:sz w:val="22"/>
                <w:szCs w:val="22"/>
              </w:rPr>
            </w:pPr>
            <w:r>
              <w:rPr>
                <w:rFonts w:ascii="Calibri" w:hAnsi="Calibri"/>
                <w:color w:val="000000"/>
                <w:sz w:val="22"/>
                <w:szCs w:val="22"/>
              </w:rPr>
              <w:t>3.84</w:t>
            </w:r>
          </w:p>
        </w:tc>
        <w:tc>
          <w:tcPr>
            <w:tcW w:w="974" w:type="dxa"/>
            <w:tcBorders>
              <w:top w:val="nil"/>
              <w:left w:val="nil"/>
              <w:bottom w:val="single" w:sz="4" w:space="0" w:color="auto"/>
              <w:right w:val="single" w:sz="4" w:space="0" w:color="auto"/>
            </w:tcBorders>
            <w:shd w:val="clear" w:color="auto" w:fill="auto"/>
            <w:noWrap/>
            <w:vAlign w:val="center"/>
            <w:hideMark/>
          </w:tcPr>
          <w:p w14:paraId="22424201" w14:textId="77777777" w:rsidR="00BC3227" w:rsidRDefault="00BC3227">
            <w:pPr>
              <w:jc w:val="center"/>
              <w:rPr>
                <w:rFonts w:ascii="Calibri" w:hAnsi="Calibri"/>
                <w:color w:val="000000"/>
                <w:sz w:val="22"/>
                <w:szCs w:val="22"/>
              </w:rPr>
            </w:pPr>
            <w:r>
              <w:rPr>
                <w:rFonts w:ascii="Calibri" w:hAnsi="Calibri"/>
                <w:color w:val="000000"/>
                <w:sz w:val="22"/>
                <w:szCs w:val="22"/>
              </w:rPr>
              <w:t>2.12</w:t>
            </w:r>
          </w:p>
        </w:tc>
        <w:tc>
          <w:tcPr>
            <w:tcW w:w="1403" w:type="dxa"/>
            <w:tcBorders>
              <w:top w:val="nil"/>
              <w:left w:val="nil"/>
              <w:bottom w:val="single" w:sz="4" w:space="0" w:color="auto"/>
              <w:right w:val="single" w:sz="4" w:space="0" w:color="auto"/>
            </w:tcBorders>
            <w:shd w:val="clear" w:color="auto" w:fill="auto"/>
            <w:noWrap/>
            <w:vAlign w:val="center"/>
            <w:hideMark/>
          </w:tcPr>
          <w:p w14:paraId="62EAD75C" w14:textId="77777777" w:rsidR="00BC3227" w:rsidRDefault="00BC3227">
            <w:pPr>
              <w:jc w:val="center"/>
              <w:rPr>
                <w:rFonts w:ascii="Calibri" w:hAnsi="Calibri"/>
                <w:color w:val="000000"/>
                <w:sz w:val="22"/>
                <w:szCs w:val="22"/>
              </w:rPr>
            </w:pPr>
            <w:r>
              <w:rPr>
                <w:rFonts w:ascii="Calibri" w:hAnsi="Calibri"/>
                <w:color w:val="000000"/>
                <w:sz w:val="22"/>
                <w:szCs w:val="22"/>
              </w:rPr>
              <w:t>0.00</w:t>
            </w:r>
          </w:p>
        </w:tc>
        <w:tc>
          <w:tcPr>
            <w:tcW w:w="1522" w:type="dxa"/>
            <w:tcBorders>
              <w:top w:val="nil"/>
              <w:left w:val="nil"/>
              <w:bottom w:val="single" w:sz="4" w:space="0" w:color="auto"/>
              <w:right w:val="single" w:sz="4" w:space="0" w:color="auto"/>
            </w:tcBorders>
            <w:shd w:val="clear" w:color="auto" w:fill="auto"/>
            <w:noWrap/>
            <w:vAlign w:val="center"/>
            <w:hideMark/>
          </w:tcPr>
          <w:p w14:paraId="6654CAB2" w14:textId="77777777" w:rsidR="00BC3227" w:rsidRDefault="00BC3227">
            <w:pPr>
              <w:jc w:val="center"/>
              <w:rPr>
                <w:rFonts w:ascii="Calibri" w:hAnsi="Calibri"/>
                <w:color w:val="000000"/>
                <w:sz w:val="22"/>
                <w:szCs w:val="22"/>
              </w:rPr>
            </w:pPr>
            <w:r>
              <w:rPr>
                <w:rFonts w:ascii="Calibri" w:hAnsi="Calibri"/>
                <w:color w:val="000000"/>
                <w:sz w:val="22"/>
                <w:szCs w:val="22"/>
              </w:rPr>
              <w:t>0.00</w:t>
            </w:r>
          </w:p>
        </w:tc>
        <w:tc>
          <w:tcPr>
            <w:tcW w:w="999" w:type="dxa"/>
            <w:tcBorders>
              <w:top w:val="nil"/>
              <w:left w:val="nil"/>
              <w:bottom w:val="single" w:sz="4" w:space="0" w:color="auto"/>
              <w:right w:val="single" w:sz="4" w:space="0" w:color="auto"/>
            </w:tcBorders>
            <w:shd w:val="clear" w:color="auto" w:fill="auto"/>
            <w:noWrap/>
            <w:vAlign w:val="center"/>
            <w:hideMark/>
          </w:tcPr>
          <w:p w14:paraId="5DF10C8B" w14:textId="77777777" w:rsidR="00BC3227" w:rsidRDefault="00BC3227">
            <w:pPr>
              <w:jc w:val="center"/>
              <w:rPr>
                <w:rFonts w:ascii="Calibri" w:hAnsi="Calibri"/>
                <w:color w:val="000000"/>
                <w:sz w:val="22"/>
                <w:szCs w:val="22"/>
              </w:rPr>
            </w:pPr>
            <w:r>
              <w:rPr>
                <w:rFonts w:ascii="Calibri" w:hAnsi="Calibri"/>
                <w:color w:val="000000"/>
                <w:sz w:val="22"/>
                <w:szCs w:val="22"/>
              </w:rPr>
              <w:t>5.66</w:t>
            </w:r>
          </w:p>
        </w:tc>
        <w:tc>
          <w:tcPr>
            <w:tcW w:w="1072" w:type="dxa"/>
            <w:tcBorders>
              <w:top w:val="nil"/>
              <w:left w:val="nil"/>
              <w:bottom w:val="single" w:sz="4" w:space="0" w:color="auto"/>
              <w:right w:val="single" w:sz="4" w:space="0" w:color="auto"/>
            </w:tcBorders>
            <w:shd w:val="clear" w:color="auto" w:fill="auto"/>
            <w:noWrap/>
            <w:vAlign w:val="center"/>
            <w:hideMark/>
          </w:tcPr>
          <w:p w14:paraId="037B1055" w14:textId="77777777" w:rsidR="00BC3227" w:rsidRDefault="00BC3227">
            <w:pPr>
              <w:jc w:val="center"/>
              <w:rPr>
                <w:rFonts w:ascii="Calibri" w:hAnsi="Calibri"/>
                <w:color w:val="000000"/>
                <w:sz w:val="22"/>
                <w:szCs w:val="22"/>
              </w:rPr>
            </w:pPr>
            <w:r>
              <w:rPr>
                <w:rFonts w:ascii="Calibri" w:hAnsi="Calibri"/>
                <w:color w:val="000000"/>
                <w:sz w:val="22"/>
                <w:szCs w:val="22"/>
              </w:rPr>
              <w:t>0.30</w:t>
            </w:r>
          </w:p>
        </w:tc>
      </w:tr>
      <w:tr w:rsidR="00C369B5" w14:paraId="6A7DC097" w14:textId="77777777" w:rsidTr="00C369B5">
        <w:trPr>
          <w:trHeight w:val="253"/>
        </w:trPr>
        <w:tc>
          <w:tcPr>
            <w:tcW w:w="2781" w:type="dxa"/>
            <w:tcBorders>
              <w:top w:val="nil"/>
              <w:left w:val="single" w:sz="4" w:space="0" w:color="auto"/>
              <w:bottom w:val="single" w:sz="4" w:space="0" w:color="auto"/>
              <w:right w:val="single" w:sz="4" w:space="0" w:color="auto"/>
            </w:tcBorders>
            <w:shd w:val="clear" w:color="auto" w:fill="auto"/>
            <w:noWrap/>
            <w:vAlign w:val="center"/>
            <w:hideMark/>
          </w:tcPr>
          <w:p w14:paraId="423C3FA7" w14:textId="77777777" w:rsidR="00BC3227" w:rsidRDefault="00BC3227">
            <w:pPr>
              <w:rPr>
                <w:rFonts w:ascii="Arial" w:hAnsi="Arial" w:cs="Arial"/>
                <w:sz w:val="20"/>
                <w:szCs w:val="20"/>
              </w:rPr>
            </w:pPr>
            <w:r>
              <w:rPr>
                <w:rFonts w:ascii="Arial" w:hAnsi="Arial" w:cs="Arial"/>
                <w:sz w:val="20"/>
                <w:szCs w:val="20"/>
              </w:rPr>
              <w:t>Vehicle</w:t>
            </w:r>
          </w:p>
        </w:tc>
        <w:tc>
          <w:tcPr>
            <w:tcW w:w="1533" w:type="dxa"/>
            <w:tcBorders>
              <w:top w:val="nil"/>
              <w:left w:val="nil"/>
              <w:bottom w:val="single" w:sz="4" w:space="0" w:color="auto"/>
              <w:right w:val="single" w:sz="4" w:space="0" w:color="auto"/>
            </w:tcBorders>
            <w:shd w:val="clear" w:color="auto" w:fill="auto"/>
            <w:noWrap/>
            <w:vAlign w:val="center"/>
            <w:hideMark/>
          </w:tcPr>
          <w:p w14:paraId="1C62AF81" w14:textId="77777777" w:rsidR="00BC3227" w:rsidRDefault="00BC3227">
            <w:pPr>
              <w:jc w:val="center"/>
              <w:rPr>
                <w:rFonts w:ascii="Calibri" w:hAnsi="Calibri"/>
                <w:color w:val="000000"/>
                <w:sz w:val="22"/>
                <w:szCs w:val="22"/>
              </w:rPr>
            </w:pPr>
            <w:r>
              <w:rPr>
                <w:rFonts w:ascii="Calibri" w:hAnsi="Calibri"/>
                <w:color w:val="000000"/>
                <w:sz w:val="22"/>
                <w:szCs w:val="22"/>
              </w:rPr>
              <w:t>0.00</w:t>
            </w:r>
          </w:p>
        </w:tc>
        <w:tc>
          <w:tcPr>
            <w:tcW w:w="974" w:type="dxa"/>
            <w:tcBorders>
              <w:top w:val="nil"/>
              <w:left w:val="nil"/>
              <w:bottom w:val="single" w:sz="4" w:space="0" w:color="auto"/>
              <w:right w:val="single" w:sz="4" w:space="0" w:color="auto"/>
            </w:tcBorders>
            <w:shd w:val="clear" w:color="auto" w:fill="auto"/>
            <w:noWrap/>
            <w:vAlign w:val="center"/>
            <w:hideMark/>
          </w:tcPr>
          <w:p w14:paraId="10F3A66E" w14:textId="77777777" w:rsidR="00BC3227" w:rsidRDefault="00BC3227">
            <w:pPr>
              <w:jc w:val="center"/>
              <w:rPr>
                <w:rFonts w:ascii="Calibri" w:hAnsi="Calibri"/>
                <w:color w:val="000000"/>
                <w:sz w:val="22"/>
                <w:szCs w:val="22"/>
              </w:rPr>
            </w:pPr>
            <w:r>
              <w:rPr>
                <w:rFonts w:ascii="Calibri" w:hAnsi="Calibri"/>
                <w:color w:val="000000"/>
                <w:sz w:val="22"/>
                <w:szCs w:val="22"/>
              </w:rPr>
              <w:t>0.00</w:t>
            </w:r>
          </w:p>
        </w:tc>
        <w:tc>
          <w:tcPr>
            <w:tcW w:w="1403" w:type="dxa"/>
            <w:tcBorders>
              <w:top w:val="nil"/>
              <w:left w:val="nil"/>
              <w:bottom w:val="single" w:sz="4" w:space="0" w:color="auto"/>
              <w:right w:val="single" w:sz="4" w:space="0" w:color="auto"/>
            </w:tcBorders>
            <w:shd w:val="clear" w:color="auto" w:fill="auto"/>
            <w:noWrap/>
            <w:vAlign w:val="center"/>
            <w:hideMark/>
          </w:tcPr>
          <w:p w14:paraId="6E449722" w14:textId="77777777" w:rsidR="00BC3227" w:rsidRDefault="00BC3227">
            <w:pPr>
              <w:jc w:val="center"/>
              <w:rPr>
                <w:rFonts w:ascii="Calibri" w:hAnsi="Calibri"/>
                <w:color w:val="000000"/>
                <w:sz w:val="22"/>
                <w:szCs w:val="22"/>
              </w:rPr>
            </w:pPr>
            <w:r>
              <w:rPr>
                <w:rFonts w:ascii="Calibri" w:hAnsi="Calibri"/>
                <w:color w:val="000000"/>
                <w:sz w:val="22"/>
                <w:szCs w:val="22"/>
              </w:rPr>
              <w:t>0.00</w:t>
            </w:r>
          </w:p>
        </w:tc>
        <w:tc>
          <w:tcPr>
            <w:tcW w:w="1522" w:type="dxa"/>
            <w:tcBorders>
              <w:top w:val="nil"/>
              <w:left w:val="nil"/>
              <w:bottom w:val="single" w:sz="4" w:space="0" w:color="auto"/>
              <w:right w:val="single" w:sz="4" w:space="0" w:color="auto"/>
            </w:tcBorders>
            <w:shd w:val="clear" w:color="auto" w:fill="auto"/>
            <w:noWrap/>
            <w:vAlign w:val="center"/>
            <w:hideMark/>
          </w:tcPr>
          <w:p w14:paraId="5866F700" w14:textId="77777777" w:rsidR="00BC3227" w:rsidRDefault="00BC3227">
            <w:pPr>
              <w:jc w:val="center"/>
              <w:rPr>
                <w:rFonts w:ascii="Calibri" w:hAnsi="Calibri"/>
                <w:color w:val="000000"/>
                <w:sz w:val="22"/>
                <w:szCs w:val="22"/>
              </w:rPr>
            </w:pPr>
            <w:r>
              <w:rPr>
                <w:rFonts w:ascii="Calibri" w:hAnsi="Calibri"/>
                <w:color w:val="000000"/>
                <w:sz w:val="22"/>
                <w:szCs w:val="22"/>
              </w:rPr>
              <w:t>0.00</w:t>
            </w:r>
          </w:p>
        </w:tc>
        <w:tc>
          <w:tcPr>
            <w:tcW w:w="999" w:type="dxa"/>
            <w:tcBorders>
              <w:top w:val="nil"/>
              <w:left w:val="nil"/>
              <w:bottom w:val="single" w:sz="4" w:space="0" w:color="auto"/>
              <w:right w:val="single" w:sz="4" w:space="0" w:color="auto"/>
            </w:tcBorders>
            <w:shd w:val="clear" w:color="auto" w:fill="auto"/>
            <w:noWrap/>
            <w:vAlign w:val="center"/>
            <w:hideMark/>
          </w:tcPr>
          <w:p w14:paraId="011E9A63" w14:textId="77777777" w:rsidR="00BC3227" w:rsidRDefault="00BC3227">
            <w:pPr>
              <w:jc w:val="center"/>
              <w:rPr>
                <w:rFonts w:ascii="Calibri" w:hAnsi="Calibri"/>
                <w:color w:val="000000"/>
                <w:sz w:val="22"/>
                <w:szCs w:val="22"/>
              </w:rPr>
            </w:pPr>
            <w:r>
              <w:rPr>
                <w:rFonts w:ascii="Calibri" w:hAnsi="Calibri"/>
                <w:color w:val="000000"/>
                <w:sz w:val="22"/>
                <w:szCs w:val="22"/>
              </w:rPr>
              <w:t>0.00</w:t>
            </w:r>
          </w:p>
        </w:tc>
        <w:tc>
          <w:tcPr>
            <w:tcW w:w="1072" w:type="dxa"/>
            <w:tcBorders>
              <w:top w:val="nil"/>
              <w:left w:val="nil"/>
              <w:bottom w:val="single" w:sz="4" w:space="0" w:color="auto"/>
              <w:right w:val="single" w:sz="4" w:space="0" w:color="auto"/>
            </w:tcBorders>
            <w:shd w:val="clear" w:color="auto" w:fill="auto"/>
            <w:noWrap/>
            <w:vAlign w:val="center"/>
            <w:hideMark/>
          </w:tcPr>
          <w:p w14:paraId="0E158436" w14:textId="77777777" w:rsidR="00BC3227" w:rsidRDefault="00BC3227">
            <w:pPr>
              <w:jc w:val="center"/>
              <w:rPr>
                <w:rFonts w:ascii="Calibri" w:hAnsi="Calibri"/>
                <w:color w:val="000000"/>
                <w:sz w:val="22"/>
                <w:szCs w:val="22"/>
              </w:rPr>
            </w:pPr>
            <w:r>
              <w:rPr>
                <w:rFonts w:ascii="Calibri" w:hAnsi="Calibri"/>
                <w:color w:val="000000"/>
                <w:sz w:val="22"/>
                <w:szCs w:val="22"/>
              </w:rPr>
              <w:t>0.00</w:t>
            </w:r>
          </w:p>
        </w:tc>
      </w:tr>
      <w:tr w:rsidR="00C369B5" w14:paraId="49F2CD76" w14:textId="77777777" w:rsidTr="00C369B5">
        <w:trPr>
          <w:trHeight w:val="253"/>
        </w:trPr>
        <w:tc>
          <w:tcPr>
            <w:tcW w:w="2781" w:type="dxa"/>
            <w:tcBorders>
              <w:top w:val="nil"/>
              <w:left w:val="single" w:sz="4" w:space="0" w:color="auto"/>
              <w:bottom w:val="single" w:sz="4" w:space="0" w:color="auto"/>
              <w:right w:val="single" w:sz="4" w:space="0" w:color="auto"/>
            </w:tcBorders>
            <w:shd w:val="clear" w:color="auto" w:fill="auto"/>
            <w:noWrap/>
            <w:vAlign w:val="center"/>
            <w:hideMark/>
          </w:tcPr>
          <w:p w14:paraId="7552564D" w14:textId="77777777" w:rsidR="00BC3227" w:rsidRDefault="00BC3227">
            <w:pPr>
              <w:rPr>
                <w:rFonts w:ascii="Arial" w:hAnsi="Arial" w:cs="Arial"/>
                <w:sz w:val="20"/>
                <w:szCs w:val="20"/>
              </w:rPr>
            </w:pPr>
            <w:r>
              <w:rPr>
                <w:rFonts w:ascii="Arial" w:hAnsi="Arial" w:cs="Arial"/>
                <w:sz w:val="20"/>
                <w:szCs w:val="20"/>
              </w:rPr>
              <w:t xml:space="preserve">IT </w:t>
            </w:r>
            <w:proofErr w:type="spellStart"/>
            <w:r>
              <w:rPr>
                <w:rFonts w:ascii="Arial" w:hAnsi="Arial" w:cs="Arial"/>
                <w:sz w:val="20"/>
                <w:szCs w:val="20"/>
              </w:rPr>
              <w:t>Equipments</w:t>
            </w:r>
            <w:proofErr w:type="spellEnd"/>
            <w:r>
              <w:rPr>
                <w:rFonts w:ascii="Arial" w:hAnsi="Arial" w:cs="Arial"/>
                <w:sz w:val="20"/>
                <w:szCs w:val="20"/>
              </w:rPr>
              <w:t xml:space="preserve"> &amp; Software</w:t>
            </w:r>
          </w:p>
        </w:tc>
        <w:tc>
          <w:tcPr>
            <w:tcW w:w="1533" w:type="dxa"/>
            <w:tcBorders>
              <w:top w:val="nil"/>
              <w:left w:val="nil"/>
              <w:bottom w:val="single" w:sz="4" w:space="0" w:color="auto"/>
              <w:right w:val="single" w:sz="4" w:space="0" w:color="auto"/>
            </w:tcBorders>
            <w:shd w:val="clear" w:color="auto" w:fill="auto"/>
            <w:noWrap/>
            <w:vAlign w:val="center"/>
            <w:hideMark/>
          </w:tcPr>
          <w:p w14:paraId="72C5D0A4" w14:textId="77777777" w:rsidR="00BC3227" w:rsidRDefault="00BC3227">
            <w:pPr>
              <w:jc w:val="center"/>
              <w:rPr>
                <w:rFonts w:ascii="Calibri" w:hAnsi="Calibri"/>
                <w:color w:val="000000"/>
                <w:sz w:val="22"/>
                <w:szCs w:val="22"/>
              </w:rPr>
            </w:pPr>
            <w:r>
              <w:rPr>
                <w:rFonts w:ascii="Calibri" w:hAnsi="Calibri"/>
                <w:color w:val="000000"/>
                <w:sz w:val="22"/>
                <w:szCs w:val="22"/>
              </w:rPr>
              <w:t>11.00</w:t>
            </w:r>
          </w:p>
        </w:tc>
        <w:tc>
          <w:tcPr>
            <w:tcW w:w="974" w:type="dxa"/>
            <w:tcBorders>
              <w:top w:val="nil"/>
              <w:left w:val="nil"/>
              <w:bottom w:val="single" w:sz="4" w:space="0" w:color="auto"/>
              <w:right w:val="single" w:sz="4" w:space="0" w:color="auto"/>
            </w:tcBorders>
            <w:shd w:val="clear" w:color="auto" w:fill="auto"/>
            <w:noWrap/>
            <w:vAlign w:val="center"/>
            <w:hideMark/>
          </w:tcPr>
          <w:p w14:paraId="29E20968" w14:textId="77777777" w:rsidR="00BC3227" w:rsidRDefault="00BC3227">
            <w:pPr>
              <w:jc w:val="center"/>
              <w:rPr>
                <w:rFonts w:ascii="Calibri" w:hAnsi="Calibri"/>
                <w:color w:val="000000"/>
                <w:sz w:val="22"/>
                <w:szCs w:val="22"/>
              </w:rPr>
            </w:pPr>
            <w:r>
              <w:rPr>
                <w:rFonts w:ascii="Calibri" w:hAnsi="Calibri"/>
                <w:color w:val="000000"/>
                <w:sz w:val="22"/>
                <w:szCs w:val="22"/>
              </w:rPr>
              <w:t>8.99</w:t>
            </w:r>
          </w:p>
        </w:tc>
        <w:tc>
          <w:tcPr>
            <w:tcW w:w="1403" w:type="dxa"/>
            <w:tcBorders>
              <w:top w:val="nil"/>
              <w:left w:val="nil"/>
              <w:bottom w:val="single" w:sz="4" w:space="0" w:color="auto"/>
              <w:right w:val="single" w:sz="4" w:space="0" w:color="auto"/>
            </w:tcBorders>
            <w:shd w:val="clear" w:color="auto" w:fill="auto"/>
            <w:noWrap/>
            <w:vAlign w:val="center"/>
            <w:hideMark/>
          </w:tcPr>
          <w:p w14:paraId="5F8FAEED" w14:textId="77777777" w:rsidR="00BC3227" w:rsidRDefault="00BC3227">
            <w:pPr>
              <w:jc w:val="center"/>
              <w:rPr>
                <w:rFonts w:ascii="Calibri" w:hAnsi="Calibri"/>
                <w:color w:val="000000"/>
                <w:sz w:val="22"/>
                <w:szCs w:val="22"/>
              </w:rPr>
            </w:pPr>
            <w:r>
              <w:rPr>
                <w:rFonts w:ascii="Calibri" w:hAnsi="Calibri"/>
                <w:color w:val="000000"/>
                <w:sz w:val="22"/>
                <w:szCs w:val="22"/>
              </w:rPr>
              <w:t>0.00</w:t>
            </w:r>
          </w:p>
        </w:tc>
        <w:tc>
          <w:tcPr>
            <w:tcW w:w="1522" w:type="dxa"/>
            <w:tcBorders>
              <w:top w:val="nil"/>
              <w:left w:val="nil"/>
              <w:bottom w:val="single" w:sz="4" w:space="0" w:color="auto"/>
              <w:right w:val="single" w:sz="4" w:space="0" w:color="auto"/>
            </w:tcBorders>
            <w:shd w:val="clear" w:color="auto" w:fill="auto"/>
            <w:noWrap/>
            <w:vAlign w:val="center"/>
            <w:hideMark/>
          </w:tcPr>
          <w:p w14:paraId="26369344" w14:textId="77777777" w:rsidR="00BC3227" w:rsidRDefault="00BC3227">
            <w:pPr>
              <w:jc w:val="center"/>
              <w:rPr>
                <w:rFonts w:ascii="Calibri" w:hAnsi="Calibri"/>
                <w:color w:val="000000"/>
                <w:sz w:val="22"/>
                <w:szCs w:val="22"/>
              </w:rPr>
            </w:pPr>
            <w:r>
              <w:rPr>
                <w:rFonts w:ascii="Calibri" w:hAnsi="Calibri"/>
                <w:color w:val="000000"/>
                <w:sz w:val="22"/>
                <w:szCs w:val="22"/>
              </w:rPr>
              <w:t>0.00</w:t>
            </w:r>
          </w:p>
        </w:tc>
        <w:tc>
          <w:tcPr>
            <w:tcW w:w="999" w:type="dxa"/>
            <w:tcBorders>
              <w:top w:val="nil"/>
              <w:left w:val="nil"/>
              <w:bottom w:val="single" w:sz="4" w:space="0" w:color="auto"/>
              <w:right w:val="single" w:sz="4" w:space="0" w:color="auto"/>
            </w:tcBorders>
            <w:shd w:val="clear" w:color="auto" w:fill="auto"/>
            <w:noWrap/>
            <w:vAlign w:val="center"/>
            <w:hideMark/>
          </w:tcPr>
          <w:p w14:paraId="16BC5107" w14:textId="77777777" w:rsidR="00BC3227" w:rsidRDefault="00BC3227">
            <w:pPr>
              <w:jc w:val="center"/>
              <w:rPr>
                <w:rFonts w:ascii="Calibri" w:hAnsi="Calibri"/>
                <w:color w:val="000000"/>
                <w:sz w:val="22"/>
                <w:szCs w:val="22"/>
              </w:rPr>
            </w:pPr>
            <w:r>
              <w:rPr>
                <w:rFonts w:ascii="Calibri" w:hAnsi="Calibri"/>
                <w:color w:val="000000"/>
                <w:sz w:val="22"/>
                <w:szCs w:val="22"/>
              </w:rPr>
              <w:t>18.73</w:t>
            </w:r>
          </w:p>
        </w:tc>
        <w:tc>
          <w:tcPr>
            <w:tcW w:w="1072" w:type="dxa"/>
            <w:tcBorders>
              <w:top w:val="nil"/>
              <w:left w:val="nil"/>
              <w:bottom w:val="single" w:sz="4" w:space="0" w:color="auto"/>
              <w:right w:val="single" w:sz="4" w:space="0" w:color="auto"/>
            </w:tcBorders>
            <w:shd w:val="clear" w:color="auto" w:fill="auto"/>
            <w:noWrap/>
            <w:vAlign w:val="center"/>
            <w:hideMark/>
          </w:tcPr>
          <w:p w14:paraId="517D2B4B" w14:textId="77777777" w:rsidR="00BC3227" w:rsidRDefault="00BC3227">
            <w:pPr>
              <w:jc w:val="center"/>
              <w:rPr>
                <w:rFonts w:ascii="Calibri" w:hAnsi="Calibri"/>
                <w:color w:val="000000"/>
                <w:sz w:val="22"/>
                <w:szCs w:val="22"/>
              </w:rPr>
            </w:pPr>
            <w:r>
              <w:rPr>
                <w:rFonts w:ascii="Calibri" w:hAnsi="Calibri"/>
                <w:color w:val="000000"/>
                <w:sz w:val="22"/>
                <w:szCs w:val="22"/>
              </w:rPr>
              <w:t>1.26</w:t>
            </w:r>
          </w:p>
        </w:tc>
      </w:tr>
      <w:tr w:rsidR="00C369B5" w14:paraId="55122F8A" w14:textId="77777777" w:rsidTr="00C369B5">
        <w:trPr>
          <w:trHeight w:val="253"/>
        </w:trPr>
        <w:tc>
          <w:tcPr>
            <w:tcW w:w="2781" w:type="dxa"/>
            <w:tcBorders>
              <w:top w:val="nil"/>
              <w:left w:val="single" w:sz="4" w:space="0" w:color="auto"/>
              <w:bottom w:val="single" w:sz="4" w:space="0" w:color="auto"/>
              <w:right w:val="single" w:sz="4" w:space="0" w:color="auto"/>
            </w:tcBorders>
            <w:shd w:val="clear" w:color="auto" w:fill="auto"/>
            <w:noWrap/>
            <w:vAlign w:val="center"/>
            <w:hideMark/>
          </w:tcPr>
          <w:p w14:paraId="02C11352" w14:textId="77777777" w:rsidR="00BC3227" w:rsidRDefault="00BC3227">
            <w:pPr>
              <w:rPr>
                <w:rFonts w:ascii="Arial" w:hAnsi="Arial" w:cs="Arial"/>
                <w:sz w:val="20"/>
                <w:szCs w:val="20"/>
              </w:rPr>
            </w:pPr>
            <w:r>
              <w:rPr>
                <w:rFonts w:ascii="Arial" w:hAnsi="Arial" w:cs="Arial"/>
                <w:sz w:val="20"/>
                <w:szCs w:val="20"/>
              </w:rPr>
              <w:t>Other Equipment- other than computer</w:t>
            </w:r>
          </w:p>
        </w:tc>
        <w:tc>
          <w:tcPr>
            <w:tcW w:w="1533" w:type="dxa"/>
            <w:tcBorders>
              <w:top w:val="nil"/>
              <w:left w:val="nil"/>
              <w:bottom w:val="single" w:sz="4" w:space="0" w:color="auto"/>
              <w:right w:val="single" w:sz="4" w:space="0" w:color="auto"/>
            </w:tcBorders>
            <w:shd w:val="clear" w:color="auto" w:fill="auto"/>
            <w:noWrap/>
            <w:vAlign w:val="center"/>
            <w:hideMark/>
          </w:tcPr>
          <w:p w14:paraId="440ED009" w14:textId="77777777" w:rsidR="00BC3227" w:rsidRDefault="00BC3227">
            <w:pPr>
              <w:jc w:val="center"/>
              <w:rPr>
                <w:rFonts w:ascii="Calibri" w:hAnsi="Calibri"/>
                <w:color w:val="000000"/>
                <w:sz w:val="22"/>
                <w:szCs w:val="22"/>
              </w:rPr>
            </w:pPr>
            <w:r>
              <w:rPr>
                <w:rFonts w:ascii="Calibri" w:hAnsi="Calibri"/>
                <w:color w:val="000000"/>
                <w:sz w:val="22"/>
                <w:szCs w:val="22"/>
              </w:rPr>
              <w:t>0.88</w:t>
            </w:r>
          </w:p>
        </w:tc>
        <w:tc>
          <w:tcPr>
            <w:tcW w:w="974" w:type="dxa"/>
            <w:tcBorders>
              <w:top w:val="nil"/>
              <w:left w:val="nil"/>
              <w:bottom w:val="single" w:sz="4" w:space="0" w:color="auto"/>
              <w:right w:val="single" w:sz="4" w:space="0" w:color="auto"/>
            </w:tcBorders>
            <w:shd w:val="clear" w:color="auto" w:fill="auto"/>
            <w:noWrap/>
            <w:vAlign w:val="center"/>
            <w:hideMark/>
          </w:tcPr>
          <w:p w14:paraId="074FB94D" w14:textId="77777777" w:rsidR="00BC3227" w:rsidRDefault="00BC3227">
            <w:pPr>
              <w:jc w:val="center"/>
              <w:rPr>
                <w:rFonts w:ascii="Calibri" w:hAnsi="Calibri"/>
                <w:color w:val="000000"/>
                <w:sz w:val="22"/>
                <w:szCs w:val="22"/>
              </w:rPr>
            </w:pPr>
            <w:r>
              <w:rPr>
                <w:rFonts w:ascii="Calibri" w:hAnsi="Calibri"/>
                <w:color w:val="000000"/>
                <w:sz w:val="22"/>
                <w:szCs w:val="22"/>
              </w:rPr>
              <w:t>8.42</w:t>
            </w:r>
          </w:p>
        </w:tc>
        <w:tc>
          <w:tcPr>
            <w:tcW w:w="1403" w:type="dxa"/>
            <w:tcBorders>
              <w:top w:val="nil"/>
              <w:left w:val="nil"/>
              <w:bottom w:val="single" w:sz="4" w:space="0" w:color="auto"/>
              <w:right w:val="single" w:sz="4" w:space="0" w:color="auto"/>
            </w:tcBorders>
            <w:shd w:val="clear" w:color="auto" w:fill="auto"/>
            <w:noWrap/>
            <w:vAlign w:val="center"/>
            <w:hideMark/>
          </w:tcPr>
          <w:p w14:paraId="188462CB" w14:textId="77777777" w:rsidR="00BC3227" w:rsidRDefault="00BC3227">
            <w:pPr>
              <w:jc w:val="center"/>
              <w:rPr>
                <w:rFonts w:ascii="Calibri" w:hAnsi="Calibri"/>
                <w:color w:val="000000"/>
                <w:sz w:val="22"/>
                <w:szCs w:val="22"/>
              </w:rPr>
            </w:pPr>
            <w:r>
              <w:rPr>
                <w:rFonts w:ascii="Calibri" w:hAnsi="Calibri"/>
                <w:color w:val="000000"/>
                <w:sz w:val="22"/>
                <w:szCs w:val="22"/>
              </w:rPr>
              <w:t>0.00</w:t>
            </w:r>
          </w:p>
        </w:tc>
        <w:tc>
          <w:tcPr>
            <w:tcW w:w="1522" w:type="dxa"/>
            <w:tcBorders>
              <w:top w:val="nil"/>
              <w:left w:val="nil"/>
              <w:bottom w:val="single" w:sz="4" w:space="0" w:color="auto"/>
              <w:right w:val="single" w:sz="4" w:space="0" w:color="auto"/>
            </w:tcBorders>
            <w:shd w:val="clear" w:color="auto" w:fill="auto"/>
            <w:noWrap/>
            <w:vAlign w:val="center"/>
            <w:hideMark/>
          </w:tcPr>
          <w:p w14:paraId="29CEB27B" w14:textId="77777777" w:rsidR="00BC3227" w:rsidRDefault="00BC3227">
            <w:pPr>
              <w:jc w:val="center"/>
              <w:rPr>
                <w:rFonts w:ascii="Calibri" w:hAnsi="Calibri"/>
                <w:color w:val="000000"/>
                <w:sz w:val="22"/>
                <w:szCs w:val="22"/>
              </w:rPr>
            </w:pPr>
            <w:r>
              <w:rPr>
                <w:rFonts w:ascii="Calibri" w:hAnsi="Calibri"/>
                <w:color w:val="000000"/>
                <w:sz w:val="22"/>
                <w:szCs w:val="22"/>
              </w:rPr>
              <w:t>0.00</w:t>
            </w:r>
          </w:p>
        </w:tc>
        <w:tc>
          <w:tcPr>
            <w:tcW w:w="999" w:type="dxa"/>
            <w:tcBorders>
              <w:top w:val="nil"/>
              <w:left w:val="nil"/>
              <w:bottom w:val="single" w:sz="4" w:space="0" w:color="auto"/>
              <w:right w:val="single" w:sz="4" w:space="0" w:color="auto"/>
            </w:tcBorders>
            <w:shd w:val="clear" w:color="auto" w:fill="auto"/>
            <w:noWrap/>
            <w:vAlign w:val="center"/>
            <w:hideMark/>
          </w:tcPr>
          <w:p w14:paraId="79A1DD04" w14:textId="77777777" w:rsidR="00BC3227" w:rsidRDefault="00BC3227">
            <w:pPr>
              <w:jc w:val="center"/>
              <w:rPr>
                <w:rFonts w:ascii="Calibri" w:hAnsi="Calibri"/>
                <w:color w:val="000000"/>
                <w:sz w:val="22"/>
                <w:szCs w:val="22"/>
              </w:rPr>
            </w:pPr>
            <w:r>
              <w:rPr>
                <w:rFonts w:ascii="Calibri" w:hAnsi="Calibri"/>
                <w:color w:val="000000"/>
                <w:sz w:val="22"/>
                <w:szCs w:val="22"/>
              </w:rPr>
              <w:t>8.12</w:t>
            </w:r>
          </w:p>
        </w:tc>
        <w:tc>
          <w:tcPr>
            <w:tcW w:w="1072" w:type="dxa"/>
            <w:tcBorders>
              <w:top w:val="nil"/>
              <w:left w:val="nil"/>
              <w:bottom w:val="single" w:sz="4" w:space="0" w:color="auto"/>
              <w:right w:val="single" w:sz="4" w:space="0" w:color="auto"/>
            </w:tcBorders>
            <w:shd w:val="clear" w:color="auto" w:fill="auto"/>
            <w:noWrap/>
            <w:vAlign w:val="center"/>
            <w:hideMark/>
          </w:tcPr>
          <w:p w14:paraId="51A8D578" w14:textId="77777777" w:rsidR="00BC3227" w:rsidRDefault="00BC3227">
            <w:pPr>
              <w:jc w:val="center"/>
              <w:rPr>
                <w:rFonts w:ascii="Calibri" w:hAnsi="Calibri"/>
                <w:color w:val="000000"/>
                <w:sz w:val="22"/>
                <w:szCs w:val="22"/>
              </w:rPr>
            </w:pPr>
            <w:r>
              <w:rPr>
                <w:rFonts w:ascii="Calibri" w:hAnsi="Calibri"/>
                <w:color w:val="000000"/>
                <w:sz w:val="22"/>
                <w:szCs w:val="22"/>
              </w:rPr>
              <w:t>1.18</w:t>
            </w:r>
          </w:p>
        </w:tc>
      </w:tr>
      <w:tr w:rsidR="00C369B5" w14:paraId="452DE69D" w14:textId="77777777" w:rsidTr="00C369B5">
        <w:trPr>
          <w:trHeight w:val="253"/>
        </w:trPr>
        <w:tc>
          <w:tcPr>
            <w:tcW w:w="2781" w:type="dxa"/>
            <w:tcBorders>
              <w:top w:val="nil"/>
              <w:left w:val="single" w:sz="4" w:space="0" w:color="auto"/>
              <w:bottom w:val="single" w:sz="4" w:space="0" w:color="auto"/>
              <w:right w:val="single" w:sz="4" w:space="0" w:color="auto"/>
            </w:tcBorders>
            <w:shd w:val="clear" w:color="auto" w:fill="auto"/>
            <w:noWrap/>
            <w:vAlign w:val="center"/>
            <w:hideMark/>
          </w:tcPr>
          <w:p w14:paraId="35B69DE5" w14:textId="77777777" w:rsidR="00BC3227" w:rsidRDefault="00BC3227">
            <w:pPr>
              <w:rPr>
                <w:rFonts w:ascii="Arial" w:hAnsi="Arial" w:cs="Arial"/>
                <w:sz w:val="20"/>
                <w:szCs w:val="20"/>
              </w:rPr>
            </w:pPr>
            <w:r>
              <w:rPr>
                <w:rFonts w:ascii="Arial" w:hAnsi="Arial" w:cs="Arial"/>
                <w:sz w:val="20"/>
                <w:szCs w:val="20"/>
              </w:rPr>
              <w:t>Network Assets- other than Own Capex</w:t>
            </w:r>
          </w:p>
        </w:tc>
        <w:tc>
          <w:tcPr>
            <w:tcW w:w="1533" w:type="dxa"/>
            <w:tcBorders>
              <w:top w:val="nil"/>
              <w:left w:val="nil"/>
              <w:bottom w:val="single" w:sz="4" w:space="0" w:color="auto"/>
              <w:right w:val="single" w:sz="4" w:space="0" w:color="auto"/>
            </w:tcBorders>
            <w:shd w:val="clear" w:color="auto" w:fill="auto"/>
            <w:noWrap/>
            <w:vAlign w:val="center"/>
            <w:hideMark/>
          </w:tcPr>
          <w:p w14:paraId="39D42F16" w14:textId="77777777" w:rsidR="00BC3227" w:rsidRDefault="00BC3227">
            <w:pPr>
              <w:jc w:val="center"/>
              <w:rPr>
                <w:rFonts w:ascii="Calibri" w:hAnsi="Calibri"/>
                <w:color w:val="000000"/>
                <w:sz w:val="22"/>
                <w:szCs w:val="22"/>
              </w:rPr>
            </w:pPr>
            <w:r>
              <w:rPr>
                <w:rFonts w:ascii="Calibri" w:hAnsi="Calibri"/>
                <w:color w:val="000000"/>
                <w:sz w:val="22"/>
                <w:szCs w:val="22"/>
              </w:rPr>
              <w:t>305.21</w:t>
            </w:r>
          </w:p>
        </w:tc>
        <w:tc>
          <w:tcPr>
            <w:tcW w:w="974" w:type="dxa"/>
            <w:tcBorders>
              <w:top w:val="nil"/>
              <w:left w:val="nil"/>
              <w:bottom w:val="single" w:sz="4" w:space="0" w:color="auto"/>
              <w:right w:val="single" w:sz="4" w:space="0" w:color="auto"/>
            </w:tcBorders>
            <w:shd w:val="clear" w:color="auto" w:fill="auto"/>
            <w:noWrap/>
            <w:vAlign w:val="center"/>
            <w:hideMark/>
          </w:tcPr>
          <w:p w14:paraId="1C1F311E" w14:textId="77777777" w:rsidR="00BC3227" w:rsidRDefault="00BC3227">
            <w:pPr>
              <w:jc w:val="center"/>
              <w:rPr>
                <w:rFonts w:ascii="Calibri" w:hAnsi="Calibri"/>
                <w:color w:val="000000"/>
                <w:sz w:val="22"/>
                <w:szCs w:val="22"/>
              </w:rPr>
            </w:pPr>
            <w:r>
              <w:rPr>
                <w:rFonts w:ascii="Calibri" w:hAnsi="Calibri"/>
                <w:color w:val="000000"/>
                <w:sz w:val="22"/>
                <w:szCs w:val="22"/>
              </w:rPr>
              <w:t>476.02</w:t>
            </w:r>
          </w:p>
        </w:tc>
        <w:tc>
          <w:tcPr>
            <w:tcW w:w="1403" w:type="dxa"/>
            <w:tcBorders>
              <w:top w:val="nil"/>
              <w:left w:val="nil"/>
              <w:bottom w:val="single" w:sz="4" w:space="0" w:color="auto"/>
              <w:right w:val="single" w:sz="4" w:space="0" w:color="auto"/>
            </w:tcBorders>
            <w:shd w:val="clear" w:color="auto" w:fill="auto"/>
            <w:noWrap/>
            <w:vAlign w:val="center"/>
            <w:hideMark/>
          </w:tcPr>
          <w:p w14:paraId="73AC025E" w14:textId="77777777" w:rsidR="00BC3227" w:rsidRDefault="00BC3227">
            <w:pPr>
              <w:jc w:val="center"/>
              <w:rPr>
                <w:rFonts w:ascii="Calibri" w:hAnsi="Calibri"/>
                <w:color w:val="000000"/>
                <w:sz w:val="22"/>
                <w:szCs w:val="22"/>
              </w:rPr>
            </w:pPr>
            <w:r>
              <w:rPr>
                <w:rFonts w:ascii="Calibri" w:hAnsi="Calibri"/>
                <w:color w:val="000000"/>
                <w:sz w:val="22"/>
                <w:szCs w:val="22"/>
              </w:rPr>
              <w:t>0.00</w:t>
            </w:r>
          </w:p>
        </w:tc>
        <w:tc>
          <w:tcPr>
            <w:tcW w:w="1522" w:type="dxa"/>
            <w:tcBorders>
              <w:top w:val="nil"/>
              <w:left w:val="nil"/>
              <w:bottom w:val="single" w:sz="4" w:space="0" w:color="auto"/>
              <w:right w:val="single" w:sz="4" w:space="0" w:color="auto"/>
            </w:tcBorders>
            <w:shd w:val="clear" w:color="auto" w:fill="auto"/>
            <w:noWrap/>
            <w:vAlign w:val="center"/>
            <w:hideMark/>
          </w:tcPr>
          <w:p w14:paraId="28E3D260" w14:textId="77777777" w:rsidR="00BC3227" w:rsidRDefault="00BC3227">
            <w:pPr>
              <w:jc w:val="center"/>
              <w:rPr>
                <w:rFonts w:ascii="Calibri" w:hAnsi="Calibri"/>
                <w:color w:val="000000"/>
                <w:sz w:val="22"/>
                <w:szCs w:val="22"/>
              </w:rPr>
            </w:pPr>
            <w:r>
              <w:rPr>
                <w:rFonts w:ascii="Calibri" w:hAnsi="Calibri"/>
                <w:color w:val="000000"/>
                <w:sz w:val="22"/>
                <w:szCs w:val="22"/>
              </w:rPr>
              <w:t>0.00</w:t>
            </w:r>
          </w:p>
        </w:tc>
        <w:tc>
          <w:tcPr>
            <w:tcW w:w="999" w:type="dxa"/>
            <w:tcBorders>
              <w:top w:val="nil"/>
              <w:left w:val="nil"/>
              <w:bottom w:val="single" w:sz="4" w:space="0" w:color="auto"/>
              <w:right w:val="single" w:sz="4" w:space="0" w:color="auto"/>
            </w:tcBorders>
            <w:shd w:val="clear" w:color="auto" w:fill="auto"/>
            <w:noWrap/>
            <w:vAlign w:val="center"/>
            <w:hideMark/>
          </w:tcPr>
          <w:p w14:paraId="470A7B06" w14:textId="77777777" w:rsidR="00BC3227" w:rsidRDefault="00BC3227">
            <w:pPr>
              <w:jc w:val="center"/>
              <w:rPr>
                <w:rFonts w:ascii="Calibri" w:hAnsi="Calibri"/>
                <w:color w:val="000000"/>
                <w:sz w:val="22"/>
                <w:szCs w:val="22"/>
              </w:rPr>
            </w:pPr>
            <w:r>
              <w:rPr>
                <w:rFonts w:ascii="Calibri" w:hAnsi="Calibri"/>
                <w:color w:val="000000"/>
                <w:sz w:val="22"/>
                <w:szCs w:val="22"/>
              </w:rPr>
              <w:t>447.49</w:t>
            </w:r>
          </w:p>
        </w:tc>
        <w:tc>
          <w:tcPr>
            <w:tcW w:w="1072" w:type="dxa"/>
            <w:tcBorders>
              <w:top w:val="nil"/>
              <w:left w:val="nil"/>
              <w:bottom w:val="single" w:sz="4" w:space="0" w:color="auto"/>
              <w:right w:val="single" w:sz="4" w:space="0" w:color="auto"/>
            </w:tcBorders>
            <w:shd w:val="clear" w:color="auto" w:fill="auto"/>
            <w:noWrap/>
            <w:vAlign w:val="center"/>
            <w:hideMark/>
          </w:tcPr>
          <w:p w14:paraId="781E8053" w14:textId="77777777" w:rsidR="00BC3227" w:rsidRDefault="00BC3227">
            <w:pPr>
              <w:jc w:val="center"/>
              <w:rPr>
                <w:rFonts w:ascii="Calibri" w:hAnsi="Calibri"/>
                <w:color w:val="000000"/>
                <w:sz w:val="22"/>
                <w:szCs w:val="22"/>
              </w:rPr>
            </w:pPr>
            <w:r>
              <w:rPr>
                <w:rFonts w:ascii="Calibri" w:hAnsi="Calibri"/>
                <w:color w:val="000000"/>
                <w:sz w:val="22"/>
                <w:szCs w:val="22"/>
              </w:rPr>
              <w:t>333.74</w:t>
            </w:r>
          </w:p>
        </w:tc>
      </w:tr>
      <w:tr w:rsidR="00C369B5" w14:paraId="21881AC1" w14:textId="77777777" w:rsidTr="00C369B5">
        <w:trPr>
          <w:trHeight w:val="253"/>
        </w:trPr>
        <w:tc>
          <w:tcPr>
            <w:tcW w:w="2781" w:type="dxa"/>
            <w:tcBorders>
              <w:top w:val="nil"/>
              <w:left w:val="single" w:sz="4" w:space="0" w:color="auto"/>
              <w:bottom w:val="single" w:sz="4" w:space="0" w:color="auto"/>
              <w:right w:val="single" w:sz="4" w:space="0" w:color="auto"/>
            </w:tcBorders>
            <w:shd w:val="clear" w:color="auto" w:fill="auto"/>
            <w:noWrap/>
            <w:vAlign w:val="center"/>
            <w:hideMark/>
          </w:tcPr>
          <w:p w14:paraId="0CF4F59F" w14:textId="77777777" w:rsidR="00BC3227" w:rsidRDefault="00BC3227">
            <w:pPr>
              <w:rPr>
                <w:rFonts w:ascii="Arial" w:hAnsi="Arial" w:cs="Arial"/>
                <w:sz w:val="20"/>
                <w:szCs w:val="20"/>
              </w:rPr>
            </w:pPr>
            <w:r>
              <w:rPr>
                <w:rFonts w:ascii="Arial" w:hAnsi="Arial" w:cs="Arial"/>
                <w:sz w:val="20"/>
                <w:szCs w:val="20"/>
              </w:rPr>
              <w:t>Network Assets - Own Capex</w:t>
            </w:r>
          </w:p>
        </w:tc>
        <w:tc>
          <w:tcPr>
            <w:tcW w:w="1533" w:type="dxa"/>
            <w:tcBorders>
              <w:top w:val="nil"/>
              <w:left w:val="nil"/>
              <w:bottom w:val="single" w:sz="4" w:space="0" w:color="auto"/>
              <w:right w:val="single" w:sz="4" w:space="0" w:color="auto"/>
            </w:tcBorders>
            <w:shd w:val="clear" w:color="auto" w:fill="auto"/>
            <w:noWrap/>
            <w:vAlign w:val="center"/>
            <w:hideMark/>
          </w:tcPr>
          <w:p w14:paraId="2C7F8D69" w14:textId="77777777" w:rsidR="00BC3227" w:rsidRDefault="00BC3227">
            <w:pPr>
              <w:jc w:val="center"/>
              <w:rPr>
                <w:rFonts w:ascii="Calibri" w:hAnsi="Calibri"/>
                <w:color w:val="000000"/>
                <w:sz w:val="22"/>
                <w:szCs w:val="22"/>
              </w:rPr>
            </w:pPr>
            <w:r>
              <w:rPr>
                <w:rFonts w:ascii="Calibri" w:hAnsi="Calibri"/>
                <w:color w:val="000000"/>
                <w:sz w:val="22"/>
                <w:szCs w:val="22"/>
              </w:rPr>
              <w:t>183.37</w:t>
            </w:r>
          </w:p>
        </w:tc>
        <w:tc>
          <w:tcPr>
            <w:tcW w:w="974" w:type="dxa"/>
            <w:tcBorders>
              <w:top w:val="nil"/>
              <w:left w:val="nil"/>
              <w:bottom w:val="single" w:sz="4" w:space="0" w:color="auto"/>
              <w:right w:val="single" w:sz="4" w:space="0" w:color="auto"/>
            </w:tcBorders>
            <w:shd w:val="clear" w:color="auto" w:fill="auto"/>
            <w:noWrap/>
            <w:vAlign w:val="center"/>
            <w:hideMark/>
          </w:tcPr>
          <w:p w14:paraId="3460B4E9" w14:textId="77777777" w:rsidR="00BC3227" w:rsidRDefault="00BC3227">
            <w:pPr>
              <w:jc w:val="center"/>
              <w:rPr>
                <w:rFonts w:ascii="Calibri" w:hAnsi="Calibri"/>
                <w:color w:val="000000"/>
                <w:sz w:val="22"/>
                <w:szCs w:val="22"/>
              </w:rPr>
            </w:pPr>
            <w:r>
              <w:rPr>
                <w:rFonts w:ascii="Calibri" w:hAnsi="Calibri"/>
                <w:color w:val="000000"/>
                <w:sz w:val="22"/>
                <w:szCs w:val="22"/>
              </w:rPr>
              <w:t>453.60</w:t>
            </w:r>
          </w:p>
        </w:tc>
        <w:tc>
          <w:tcPr>
            <w:tcW w:w="1403" w:type="dxa"/>
            <w:tcBorders>
              <w:top w:val="nil"/>
              <w:left w:val="nil"/>
              <w:bottom w:val="single" w:sz="4" w:space="0" w:color="auto"/>
              <w:right w:val="single" w:sz="4" w:space="0" w:color="auto"/>
            </w:tcBorders>
            <w:shd w:val="clear" w:color="auto" w:fill="auto"/>
            <w:noWrap/>
            <w:vAlign w:val="center"/>
            <w:hideMark/>
          </w:tcPr>
          <w:p w14:paraId="7D091839" w14:textId="77777777" w:rsidR="00BC3227" w:rsidRDefault="00BC3227">
            <w:pPr>
              <w:jc w:val="center"/>
              <w:rPr>
                <w:rFonts w:ascii="Calibri" w:hAnsi="Calibri"/>
                <w:color w:val="000000"/>
                <w:sz w:val="22"/>
                <w:szCs w:val="22"/>
              </w:rPr>
            </w:pPr>
            <w:r>
              <w:rPr>
                <w:rFonts w:ascii="Calibri" w:hAnsi="Calibri"/>
                <w:color w:val="000000"/>
                <w:sz w:val="22"/>
                <w:szCs w:val="22"/>
              </w:rPr>
              <w:t>0.30</w:t>
            </w:r>
          </w:p>
        </w:tc>
        <w:tc>
          <w:tcPr>
            <w:tcW w:w="1522" w:type="dxa"/>
            <w:tcBorders>
              <w:top w:val="nil"/>
              <w:left w:val="nil"/>
              <w:bottom w:val="single" w:sz="4" w:space="0" w:color="auto"/>
              <w:right w:val="single" w:sz="4" w:space="0" w:color="auto"/>
            </w:tcBorders>
            <w:shd w:val="clear" w:color="auto" w:fill="auto"/>
            <w:noWrap/>
            <w:vAlign w:val="center"/>
            <w:hideMark/>
          </w:tcPr>
          <w:p w14:paraId="60F32AC8" w14:textId="77777777" w:rsidR="00BC3227" w:rsidRDefault="00BC3227">
            <w:pPr>
              <w:jc w:val="center"/>
              <w:rPr>
                <w:rFonts w:ascii="Calibri" w:hAnsi="Calibri"/>
                <w:color w:val="000000"/>
                <w:sz w:val="22"/>
                <w:szCs w:val="22"/>
              </w:rPr>
            </w:pPr>
            <w:r>
              <w:rPr>
                <w:rFonts w:ascii="Calibri" w:hAnsi="Calibri"/>
                <w:color w:val="000000"/>
                <w:sz w:val="22"/>
                <w:szCs w:val="22"/>
              </w:rPr>
              <w:t>15.61</w:t>
            </w:r>
          </w:p>
        </w:tc>
        <w:tc>
          <w:tcPr>
            <w:tcW w:w="999" w:type="dxa"/>
            <w:tcBorders>
              <w:top w:val="nil"/>
              <w:left w:val="nil"/>
              <w:bottom w:val="single" w:sz="4" w:space="0" w:color="auto"/>
              <w:right w:val="single" w:sz="4" w:space="0" w:color="auto"/>
            </w:tcBorders>
            <w:shd w:val="clear" w:color="auto" w:fill="auto"/>
            <w:noWrap/>
            <w:vAlign w:val="center"/>
            <w:hideMark/>
          </w:tcPr>
          <w:p w14:paraId="6BBD2008" w14:textId="77777777" w:rsidR="00BC3227" w:rsidRDefault="00BC3227">
            <w:pPr>
              <w:jc w:val="center"/>
              <w:rPr>
                <w:rFonts w:ascii="Calibri" w:hAnsi="Calibri"/>
                <w:color w:val="000000"/>
                <w:sz w:val="22"/>
                <w:szCs w:val="22"/>
              </w:rPr>
            </w:pPr>
            <w:r>
              <w:rPr>
                <w:rFonts w:ascii="Calibri" w:hAnsi="Calibri"/>
                <w:color w:val="000000"/>
                <w:sz w:val="22"/>
                <w:szCs w:val="22"/>
              </w:rPr>
              <w:t>578.30</w:t>
            </w:r>
          </w:p>
        </w:tc>
        <w:tc>
          <w:tcPr>
            <w:tcW w:w="1072" w:type="dxa"/>
            <w:tcBorders>
              <w:top w:val="nil"/>
              <w:left w:val="nil"/>
              <w:bottom w:val="single" w:sz="4" w:space="0" w:color="auto"/>
              <w:right w:val="single" w:sz="4" w:space="0" w:color="auto"/>
            </w:tcBorders>
            <w:shd w:val="clear" w:color="auto" w:fill="auto"/>
            <w:noWrap/>
            <w:vAlign w:val="center"/>
            <w:hideMark/>
          </w:tcPr>
          <w:p w14:paraId="5182C9E4" w14:textId="77777777" w:rsidR="00BC3227" w:rsidRDefault="00BC3227">
            <w:pPr>
              <w:jc w:val="center"/>
              <w:rPr>
                <w:rFonts w:ascii="Calibri" w:hAnsi="Calibri"/>
                <w:color w:val="000000"/>
                <w:sz w:val="22"/>
                <w:szCs w:val="22"/>
              </w:rPr>
            </w:pPr>
            <w:r>
              <w:rPr>
                <w:rFonts w:ascii="Calibri" w:hAnsi="Calibri"/>
                <w:color w:val="000000"/>
                <w:sz w:val="22"/>
                <w:szCs w:val="22"/>
              </w:rPr>
              <w:t>74.58</w:t>
            </w:r>
          </w:p>
        </w:tc>
      </w:tr>
      <w:tr w:rsidR="00C369B5" w14:paraId="59570DC7" w14:textId="77777777" w:rsidTr="00C369B5">
        <w:trPr>
          <w:trHeight w:val="253"/>
        </w:trPr>
        <w:tc>
          <w:tcPr>
            <w:tcW w:w="2781" w:type="dxa"/>
            <w:tcBorders>
              <w:top w:val="nil"/>
              <w:left w:val="single" w:sz="4" w:space="0" w:color="auto"/>
              <w:bottom w:val="single" w:sz="4" w:space="0" w:color="auto"/>
              <w:right w:val="single" w:sz="4" w:space="0" w:color="auto"/>
            </w:tcBorders>
            <w:shd w:val="clear" w:color="auto" w:fill="95B3D7" w:themeFill="accent1" w:themeFillTint="99"/>
            <w:noWrap/>
            <w:vAlign w:val="center"/>
            <w:hideMark/>
          </w:tcPr>
          <w:p w14:paraId="7D77194E" w14:textId="77777777" w:rsidR="00BC3227" w:rsidRDefault="00BC3227">
            <w:pPr>
              <w:jc w:val="center"/>
              <w:rPr>
                <w:rFonts w:ascii="Arial" w:hAnsi="Arial" w:cs="Arial"/>
                <w:b/>
                <w:bCs/>
                <w:sz w:val="20"/>
                <w:szCs w:val="20"/>
              </w:rPr>
            </w:pPr>
            <w:r>
              <w:rPr>
                <w:rFonts w:ascii="Arial" w:hAnsi="Arial" w:cs="Arial"/>
                <w:b/>
                <w:bCs/>
                <w:sz w:val="20"/>
                <w:szCs w:val="20"/>
              </w:rPr>
              <w:t>Total</w:t>
            </w:r>
          </w:p>
        </w:tc>
        <w:tc>
          <w:tcPr>
            <w:tcW w:w="1533" w:type="dxa"/>
            <w:tcBorders>
              <w:top w:val="nil"/>
              <w:left w:val="nil"/>
              <w:bottom w:val="single" w:sz="4" w:space="0" w:color="auto"/>
              <w:right w:val="single" w:sz="4" w:space="0" w:color="auto"/>
            </w:tcBorders>
            <w:shd w:val="clear" w:color="auto" w:fill="95B3D7" w:themeFill="accent1" w:themeFillTint="99"/>
            <w:noWrap/>
            <w:vAlign w:val="center"/>
            <w:hideMark/>
          </w:tcPr>
          <w:p w14:paraId="5D12B235" w14:textId="77777777" w:rsidR="00BC3227" w:rsidRDefault="00BC3227">
            <w:pPr>
              <w:jc w:val="center"/>
              <w:rPr>
                <w:rFonts w:ascii="Calibri" w:hAnsi="Calibri"/>
                <w:b/>
                <w:bCs/>
                <w:color w:val="000000"/>
                <w:sz w:val="22"/>
                <w:szCs w:val="22"/>
              </w:rPr>
            </w:pPr>
            <w:r>
              <w:rPr>
                <w:rFonts w:ascii="Calibri" w:hAnsi="Calibri"/>
                <w:b/>
                <w:bCs/>
                <w:color w:val="000000"/>
                <w:sz w:val="22"/>
                <w:szCs w:val="22"/>
              </w:rPr>
              <w:t>516.61</w:t>
            </w:r>
          </w:p>
        </w:tc>
        <w:tc>
          <w:tcPr>
            <w:tcW w:w="974" w:type="dxa"/>
            <w:tcBorders>
              <w:top w:val="nil"/>
              <w:left w:val="nil"/>
              <w:bottom w:val="single" w:sz="4" w:space="0" w:color="auto"/>
              <w:right w:val="single" w:sz="4" w:space="0" w:color="auto"/>
            </w:tcBorders>
            <w:shd w:val="clear" w:color="auto" w:fill="95B3D7" w:themeFill="accent1" w:themeFillTint="99"/>
            <w:noWrap/>
            <w:vAlign w:val="center"/>
            <w:hideMark/>
          </w:tcPr>
          <w:p w14:paraId="314B723F" w14:textId="77777777" w:rsidR="00BC3227" w:rsidRDefault="00BC3227">
            <w:pPr>
              <w:jc w:val="center"/>
              <w:rPr>
                <w:rFonts w:ascii="Calibri" w:hAnsi="Calibri"/>
                <w:b/>
                <w:bCs/>
                <w:color w:val="000000"/>
                <w:sz w:val="22"/>
                <w:szCs w:val="22"/>
              </w:rPr>
            </w:pPr>
            <w:r>
              <w:rPr>
                <w:rFonts w:ascii="Calibri" w:hAnsi="Calibri"/>
                <w:b/>
                <w:bCs/>
                <w:color w:val="000000"/>
                <w:sz w:val="22"/>
                <w:szCs w:val="22"/>
              </w:rPr>
              <w:t>982.21</w:t>
            </w:r>
          </w:p>
        </w:tc>
        <w:tc>
          <w:tcPr>
            <w:tcW w:w="1403" w:type="dxa"/>
            <w:tcBorders>
              <w:top w:val="nil"/>
              <w:left w:val="nil"/>
              <w:bottom w:val="single" w:sz="4" w:space="0" w:color="auto"/>
              <w:right w:val="single" w:sz="4" w:space="0" w:color="auto"/>
            </w:tcBorders>
            <w:shd w:val="clear" w:color="auto" w:fill="95B3D7" w:themeFill="accent1" w:themeFillTint="99"/>
            <w:noWrap/>
            <w:vAlign w:val="center"/>
            <w:hideMark/>
          </w:tcPr>
          <w:p w14:paraId="366AB04E" w14:textId="77777777" w:rsidR="00BC3227" w:rsidRDefault="00BC3227">
            <w:pPr>
              <w:jc w:val="center"/>
              <w:rPr>
                <w:rFonts w:ascii="Calibri" w:hAnsi="Calibri"/>
                <w:b/>
                <w:bCs/>
                <w:color w:val="000000"/>
                <w:sz w:val="22"/>
                <w:szCs w:val="22"/>
              </w:rPr>
            </w:pPr>
            <w:r>
              <w:rPr>
                <w:rFonts w:ascii="Calibri" w:hAnsi="Calibri"/>
                <w:b/>
                <w:bCs/>
                <w:color w:val="000000"/>
                <w:sz w:val="22"/>
                <w:szCs w:val="22"/>
              </w:rPr>
              <w:t>0.30</w:t>
            </w:r>
          </w:p>
        </w:tc>
        <w:tc>
          <w:tcPr>
            <w:tcW w:w="1522" w:type="dxa"/>
            <w:tcBorders>
              <w:top w:val="nil"/>
              <w:left w:val="nil"/>
              <w:bottom w:val="single" w:sz="4" w:space="0" w:color="auto"/>
              <w:right w:val="single" w:sz="4" w:space="0" w:color="auto"/>
            </w:tcBorders>
            <w:shd w:val="clear" w:color="auto" w:fill="95B3D7" w:themeFill="accent1" w:themeFillTint="99"/>
            <w:noWrap/>
            <w:vAlign w:val="center"/>
            <w:hideMark/>
          </w:tcPr>
          <w:p w14:paraId="35FA7CE0" w14:textId="77777777" w:rsidR="00BC3227" w:rsidRDefault="00BC3227">
            <w:pPr>
              <w:jc w:val="center"/>
              <w:rPr>
                <w:rFonts w:ascii="Calibri" w:hAnsi="Calibri"/>
                <w:b/>
                <w:bCs/>
                <w:color w:val="000000"/>
                <w:sz w:val="22"/>
                <w:szCs w:val="22"/>
              </w:rPr>
            </w:pPr>
            <w:r>
              <w:rPr>
                <w:rFonts w:ascii="Calibri" w:hAnsi="Calibri"/>
                <w:b/>
                <w:bCs/>
                <w:color w:val="000000"/>
                <w:sz w:val="22"/>
                <w:szCs w:val="22"/>
              </w:rPr>
              <w:t>16.56</w:t>
            </w:r>
          </w:p>
        </w:tc>
        <w:tc>
          <w:tcPr>
            <w:tcW w:w="999" w:type="dxa"/>
            <w:tcBorders>
              <w:top w:val="nil"/>
              <w:left w:val="nil"/>
              <w:bottom w:val="single" w:sz="4" w:space="0" w:color="auto"/>
              <w:right w:val="single" w:sz="4" w:space="0" w:color="auto"/>
            </w:tcBorders>
            <w:shd w:val="clear" w:color="auto" w:fill="95B3D7" w:themeFill="accent1" w:themeFillTint="99"/>
            <w:noWrap/>
            <w:vAlign w:val="center"/>
            <w:hideMark/>
          </w:tcPr>
          <w:p w14:paraId="65955D5D" w14:textId="77777777" w:rsidR="00BC3227" w:rsidRDefault="00BC3227">
            <w:pPr>
              <w:jc w:val="center"/>
              <w:rPr>
                <w:rFonts w:ascii="Calibri" w:hAnsi="Calibri"/>
                <w:b/>
                <w:bCs/>
                <w:color w:val="000000"/>
                <w:sz w:val="22"/>
                <w:szCs w:val="22"/>
              </w:rPr>
            </w:pPr>
            <w:r>
              <w:rPr>
                <w:rFonts w:ascii="Calibri" w:hAnsi="Calibri"/>
                <w:b/>
                <w:bCs/>
                <w:color w:val="000000"/>
                <w:sz w:val="22"/>
                <w:szCs w:val="22"/>
              </w:rPr>
              <w:t>1099.86</w:t>
            </w:r>
          </w:p>
        </w:tc>
        <w:tc>
          <w:tcPr>
            <w:tcW w:w="1072" w:type="dxa"/>
            <w:tcBorders>
              <w:top w:val="nil"/>
              <w:left w:val="nil"/>
              <w:bottom w:val="single" w:sz="4" w:space="0" w:color="auto"/>
              <w:right w:val="single" w:sz="4" w:space="0" w:color="auto"/>
            </w:tcBorders>
            <w:shd w:val="clear" w:color="auto" w:fill="95B3D7" w:themeFill="accent1" w:themeFillTint="99"/>
            <w:noWrap/>
            <w:vAlign w:val="center"/>
            <w:hideMark/>
          </w:tcPr>
          <w:p w14:paraId="2E2B9745" w14:textId="77777777" w:rsidR="00BC3227" w:rsidRDefault="00BC3227">
            <w:pPr>
              <w:jc w:val="center"/>
              <w:rPr>
                <w:rFonts w:ascii="Calibri" w:hAnsi="Calibri"/>
                <w:b/>
                <w:bCs/>
                <w:color w:val="000000"/>
                <w:sz w:val="22"/>
                <w:szCs w:val="22"/>
              </w:rPr>
            </w:pPr>
            <w:r>
              <w:rPr>
                <w:rFonts w:ascii="Calibri" w:hAnsi="Calibri"/>
                <w:b/>
                <w:bCs/>
                <w:color w:val="000000"/>
                <w:sz w:val="22"/>
                <w:szCs w:val="22"/>
              </w:rPr>
              <w:t>415.81</w:t>
            </w:r>
          </w:p>
        </w:tc>
      </w:tr>
    </w:tbl>
    <w:p w14:paraId="295C6B2D" w14:textId="77777777" w:rsidR="00974443" w:rsidRPr="00D6050D" w:rsidRDefault="00974443" w:rsidP="00974443">
      <w:pPr>
        <w:rPr>
          <w:rFonts w:ascii="Calibri" w:hAnsi="Calibri" w:cs="Calibri"/>
          <w:sz w:val="22"/>
          <w:szCs w:val="22"/>
        </w:rPr>
      </w:pPr>
    </w:p>
    <w:p w14:paraId="59885A90" w14:textId="4E578326" w:rsidR="00974443" w:rsidRDefault="00974443" w:rsidP="00974443">
      <w:pPr>
        <w:spacing w:line="360" w:lineRule="auto"/>
        <w:ind w:left="567"/>
        <w:jc w:val="both"/>
        <w:rPr>
          <w:rFonts w:ascii="Calibri" w:hAnsi="Calibri" w:cs="Calibri"/>
          <w:b/>
          <w:sz w:val="22"/>
          <w:szCs w:val="22"/>
        </w:rPr>
      </w:pPr>
      <w:r w:rsidRPr="00D6050D">
        <w:rPr>
          <w:rFonts w:ascii="Calibri" w:hAnsi="Calibri" w:cs="Calibri"/>
          <w:sz w:val="22"/>
          <w:szCs w:val="22"/>
        </w:rPr>
        <w:t xml:space="preserve">The details of capital expenditures made, IDC, transfer to asset and the work in progress for the previous year, current year actuals as well as estimation for the entire year and projection for the ensuing year have been detailed in Format </w:t>
      </w:r>
      <w:r w:rsidRPr="00F40D27">
        <w:rPr>
          <w:rFonts w:ascii="Calibri" w:hAnsi="Calibri" w:cs="Calibri"/>
          <w:b/>
          <w:sz w:val="22"/>
          <w:szCs w:val="22"/>
        </w:rPr>
        <w:t>Format-2.</w:t>
      </w:r>
    </w:p>
    <w:p w14:paraId="0E4F2A11" w14:textId="0E0D78D0" w:rsidR="00C369B5" w:rsidRDefault="00C369B5" w:rsidP="00974443">
      <w:pPr>
        <w:spacing w:line="360" w:lineRule="auto"/>
        <w:ind w:left="567"/>
        <w:jc w:val="both"/>
        <w:rPr>
          <w:rFonts w:ascii="Calibri" w:hAnsi="Calibri" w:cs="Calibri"/>
          <w:sz w:val="22"/>
          <w:szCs w:val="22"/>
        </w:rPr>
      </w:pPr>
    </w:p>
    <w:p w14:paraId="35E0849A" w14:textId="77777777" w:rsidR="00C369B5" w:rsidRPr="00D6050D" w:rsidRDefault="00C369B5" w:rsidP="00974443">
      <w:pPr>
        <w:spacing w:line="360" w:lineRule="auto"/>
        <w:ind w:left="567"/>
        <w:jc w:val="both"/>
        <w:rPr>
          <w:rFonts w:ascii="Calibri" w:hAnsi="Calibri" w:cs="Calibri"/>
          <w:sz w:val="22"/>
          <w:szCs w:val="22"/>
        </w:rPr>
      </w:pPr>
    </w:p>
    <w:p w14:paraId="5F073B03" w14:textId="77777777" w:rsidR="00974443" w:rsidRPr="00D6050D" w:rsidRDefault="00974443" w:rsidP="00974443">
      <w:pPr>
        <w:spacing w:line="360" w:lineRule="auto"/>
        <w:ind w:left="567"/>
        <w:jc w:val="both"/>
        <w:rPr>
          <w:rFonts w:ascii="Calibri" w:hAnsi="Calibri" w:cs="Calibri"/>
          <w:sz w:val="22"/>
          <w:szCs w:val="22"/>
        </w:rPr>
      </w:pPr>
    </w:p>
    <w:p w14:paraId="336FCB71" w14:textId="457BA5C9" w:rsidR="00974443" w:rsidRPr="00C369B5" w:rsidRDefault="00C369B5" w:rsidP="00974443">
      <w:pPr>
        <w:widowControl w:val="0"/>
        <w:tabs>
          <w:tab w:val="left" w:pos="1396"/>
          <w:tab w:val="left" w:pos="1397"/>
        </w:tabs>
        <w:autoSpaceDE w:val="0"/>
        <w:autoSpaceDN w:val="0"/>
        <w:spacing w:line="360" w:lineRule="auto"/>
        <w:ind w:left="567"/>
        <w:outlineLvl w:val="0"/>
        <w:rPr>
          <w:rFonts w:ascii="Calibri" w:hAnsi="Calibri" w:cs="Calibri"/>
          <w:b/>
          <w:bCs/>
          <w:kern w:val="32"/>
          <w:szCs w:val="22"/>
        </w:rPr>
      </w:pPr>
      <w:r w:rsidRPr="00C369B5">
        <w:rPr>
          <w:rFonts w:ascii="Calibri" w:hAnsi="Calibri" w:cs="Calibri"/>
          <w:b/>
          <w:szCs w:val="22"/>
        </w:rPr>
        <w:lastRenderedPageBreak/>
        <w:t>2.1</w:t>
      </w:r>
      <w:r w:rsidR="00996459">
        <w:rPr>
          <w:rFonts w:ascii="Calibri" w:hAnsi="Calibri" w:cs="Calibri"/>
          <w:b/>
          <w:szCs w:val="22"/>
        </w:rPr>
        <w:t>1.1</w:t>
      </w:r>
      <w:r w:rsidR="00974443" w:rsidRPr="00C369B5">
        <w:rPr>
          <w:rFonts w:ascii="Calibri" w:hAnsi="Calibri" w:cs="Calibri"/>
          <w:b/>
          <w:szCs w:val="22"/>
        </w:rPr>
        <w:t xml:space="preserve"> Government</w:t>
      </w:r>
      <w:r w:rsidR="00974443" w:rsidRPr="00C369B5">
        <w:rPr>
          <w:rFonts w:ascii="Calibri" w:hAnsi="Calibri" w:cs="Calibri"/>
          <w:b/>
          <w:bCs/>
          <w:spacing w:val="-5"/>
          <w:kern w:val="32"/>
          <w:szCs w:val="22"/>
        </w:rPr>
        <w:t xml:space="preserve"> </w:t>
      </w:r>
      <w:r w:rsidR="00974443" w:rsidRPr="00C369B5">
        <w:rPr>
          <w:rFonts w:ascii="Calibri" w:hAnsi="Calibri" w:cs="Calibri"/>
          <w:b/>
          <w:bCs/>
          <w:kern w:val="32"/>
          <w:szCs w:val="22"/>
        </w:rPr>
        <w:t>Schemes &amp; Consumer Contribution</w:t>
      </w:r>
    </w:p>
    <w:p w14:paraId="62DC705C" w14:textId="77777777" w:rsidR="00974443" w:rsidRPr="00D6050D" w:rsidRDefault="00974443" w:rsidP="00974443">
      <w:pPr>
        <w:spacing w:line="360" w:lineRule="auto"/>
        <w:ind w:left="567"/>
        <w:jc w:val="both"/>
        <w:rPr>
          <w:rFonts w:ascii="Calibri" w:hAnsi="Calibri" w:cs="Calibri"/>
          <w:sz w:val="22"/>
          <w:szCs w:val="22"/>
        </w:rPr>
      </w:pPr>
      <w:r w:rsidRPr="00D6050D">
        <w:rPr>
          <w:rFonts w:ascii="Calibri" w:hAnsi="Calibri" w:cs="Calibri"/>
          <w:sz w:val="22"/>
          <w:szCs w:val="22"/>
        </w:rPr>
        <w:t xml:space="preserve">There are several Government Schemes that are under way, many of which have been completed and shall continue further. In addition to the above, the consumer-funded assets </w:t>
      </w:r>
      <w:proofErr w:type="gramStart"/>
      <w:r w:rsidRPr="00D6050D">
        <w:rPr>
          <w:rFonts w:ascii="Calibri" w:hAnsi="Calibri" w:cs="Calibri"/>
          <w:sz w:val="22"/>
          <w:szCs w:val="22"/>
        </w:rPr>
        <w:t>has</w:t>
      </w:r>
      <w:proofErr w:type="gramEnd"/>
      <w:r w:rsidRPr="00D6050D">
        <w:rPr>
          <w:rFonts w:ascii="Calibri" w:hAnsi="Calibri" w:cs="Calibri"/>
          <w:sz w:val="22"/>
          <w:szCs w:val="22"/>
        </w:rPr>
        <w:t xml:space="preserve"> also been considered. The summary of the government schemes and the consumer funded that are being tracked by TPNODL are as follows</w:t>
      </w:r>
    </w:p>
    <w:p w14:paraId="3DCF701C" w14:textId="553343EF" w:rsidR="00974443" w:rsidRPr="00177378" w:rsidRDefault="00974443" w:rsidP="00974443">
      <w:pPr>
        <w:keepNext/>
        <w:spacing w:before="240" w:after="60" w:line="360" w:lineRule="auto"/>
        <w:ind w:left="567"/>
        <w:jc w:val="center"/>
        <w:outlineLvl w:val="0"/>
        <w:rPr>
          <w:rFonts w:ascii="Calibri" w:hAnsi="Calibri" w:cs="Calibri"/>
          <w:b/>
          <w:bCs/>
          <w:kern w:val="32"/>
          <w:sz w:val="22"/>
          <w:szCs w:val="22"/>
        </w:rPr>
      </w:pPr>
      <w:r w:rsidRPr="00177378">
        <w:rPr>
          <w:rFonts w:ascii="Calibri" w:hAnsi="Calibri" w:cs="Calibri"/>
          <w:b/>
          <w:bCs/>
          <w:kern w:val="32"/>
          <w:sz w:val="22"/>
          <w:szCs w:val="22"/>
        </w:rPr>
        <w:t>Table-</w:t>
      </w:r>
      <w:r w:rsidR="00B602FC">
        <w:rPr>
          <w:rFonts w:ascii="Calibri" w:hAnsi="Calibri" w:cs="Calibri"/>
          <w:b/>
          <w:bCs/>
          <w:kern w:val="32"/>
          <w:sz w:val="22"/>
          <w:szCs w:val="22"/>
        </w:rPr>
        <w:t>3</w:t>
      </w:r>
      <w:r w:rsidR="00C369B5">
        <w:rPr>
          <w:rFonts w:ascii="Calibri" w:hAnsi="Calibri" w:cs="Calibri"/>
          <w:b/>
          <w:bCs/>
          <w:kern w:val="32"/>
          <w:sz w:val="22"/>
          <w:szCs w:val="22"/>
        </w:rPr>
        <w:t>9</w:t>
      </w:r>
      <w:r w:rsidRPr="00177378">
        <w:rPr>
          <w:rFonts w:ascii="Calibri" w:hAnsi="Calibri" w:cs="Calibri"/>
          <w:b/>
          <w:bCs/>
          <w:kern w:val="32"/>
          <w:sz w:val="22"/>
          <w:szCs w:val="22"/>
        </w:rPr>
        <w:t>: Status</w:t>
      </w:r>
      <w:r w:rsidRPr="00177378">
        <w:rPr>
          <w:rFonts w:ascii="Calibri" w:hAnsi="Calibri" w:cs="Calibri"/>
          <w:b/>
          <w:bCs/>
          <w:spacing w:val="-1"/>
          <w:kern w:val="32"/>
          <w:sz w:val="22"/>
          <w:szCs w:val="22"/>
        </w:rPr>
        <w:t xml:space="preserve"> </w:t>
      </w:r>
      <w:r w:rsidRPr="00177378">
        <w:rPr>
          <w:rFonts w:ascii="Calibri" w:hAnsi="Calibri" w:cs="Calibri"/>
          <w:b/>
          <w:bCs/>
          <w:kern w:val="32"/>
          <w:sz w:val="22"/>
          <w:szCs w:val="22"/>
        </w:rPr>
        <w:t>of Government</w:t>
      </w:r>
      <w:r w:rsidRPr="00177378">
        <w:rPr>
          <w:rFonts w:ascii="Calibri" w:hAnsi="Calibri" w:cs="Calibri"/>
          <w:b/>
          <w:bCs/>
          <w:spacing w:val="-1"/>
          <w:kern w:val="32"/>
          <w:sz w:val="22"/>
          <w:szCs w:val="22"/>
        </w:rPr>
        <w:t xml:space="preserve"> </w:t>
      </w:r>
      <w:r w:rsidRPr="00177378">
        <w:rPr>
          <w:rFonts w:ascii="Calibri" w:hAnsi="Calibri" w:cs="Calibri"/>
          <w:b/>
          <w:bCs/>
          <w:kern w:val="32"/>
          <w:sz w:val="22"/>
          <w:szCs w:val="22"/>
        </w:rPr>
        <w:t>Schemes/Consumer Funded</w:t>
      </w:r>
      <w:r w:rsidRPr="00177378">
        <w:rPr>
          <w:rFonts w:ascii="Calibri" w:hAnsi="Calibri" w:cs="Calibri"/>
          <w:b/>
          <w:bCs/>
          <w:spacing w:val="-1"/>
          <w:kern w:val="32"/>
          <w:sz w:val="22"/>
          <w:szCs w:val="22"/>
        </w:rPr>
        <w:t xml:space="preserve"> for the FY 202</w:t>
      </w:r>
      <w:r>
        <w:rPr>
          <w:rFonts w:ascii="Calibri" w:hAnsi="Calibri" w:cs="Calibri"/>
          <w:b/>
          <w:bCs/>
          <w:spacing w:val="-1"/>
          <w:kern w:val="32"/>
          <w:sz w:val="22"/>
          <w:szCs w:val="22"/>
        </w:rPr>
        <w:t>4</w:t>
      </w:r>
      <w:r w:rsidRPr="00177378">
        <w:rPr>
          <w:rFonts w:ascii="Calibri" w:hAnsi="Calibri" w:cs="Calibri"/>
          <w:b/>
          <w:bCs/>
          <w:spacing w:val="-1"/>
          <w:kern w:val="32"/>
          <w:sz w:val="22"/>
          <w:szCs w:val="22"/>
        </w:rPr>
        <w:t>-2</w:t>
      </w:r>
      <w:r>
        <w:rPr>
          <w:rFonts w:ascii="Calibri" w:hAnsi="Calibri" w:cs="Calibri"/>
          <w:b/>
          <w:bCs/>
          <w:spacing w:val="-1"/>
          <w:kern w:val="32"/>
          <w:sz w:val="22"/>
          <w:szCs w:val="22"/>
        </w:rPr>
        <w:t>5</w:t>
      </w:r>
      <w:r w:rsidRPr="00177378">
        <w:rPr>
          <w:rFonts w:ascii="Calibri" w:hAnsi="Calibri" w:cs="Calibri"/>
          <w:b/>
          <w:bCs/>
          <w:spacing w:val="-1"/>
          <w:kern w:val="32"/>
          <w:sz w:val="22"/>
          <w:szCs w:val="22"/>
        </w:rPr>
        <w:t xml:space="preserve"> and FY 202</w:t>
      </w:r>
      <w:r>
        <w:rPr>
          <w:rFonts w:ascii="Calibri" w:hAnsi="Calibri" w:cs="Calibri"/>
          <w:b/>
          <w:bCs/>
          <w:spacing w:val="-1"/>
          <w:kern w:val="32"/>
          <w:sz w:val="22"/>
          <w:szCs w:val="22"/>
        </w:rPr>
        <w:t>5</w:t>
      </w:r>
      <w:r w:rsidRPr="00177378">
        <w:rPr>
          <w:rFonts w:ascii="Calibri" w:hAnsi="Calibri" w:cs="Calibri"/>
          <w:b/>
          <w:bCs/>
          <w:spacing w:val="-1"/>
          <w:kern w:val="32"/>
          <w:sz w:val="22"/>
          <w:szCs w:val="22"/>
        </w:rPr>
        <w:t>-2</w:t>
      </w:r>
      <w:r>
        <w:rPr>
          <w:rFonts w:ascii="Calibri" w:hAnsi="Calibri" w:cs="Calibri"/>
          <w:b/>
          <w:bCs/>
          <w:spacing w:val="-1"/>
          <w:kern w:val="32"/>
          <w:sz w:val="22"/>
          <w:szCs w:val="22"/>
        </w:rPr>
        <w:t>6</w:t>
      </w:r>
      <w:r w:rsidRPr="00177378">
        <w:rPr>
          <w:rFonts w:ascii="Calibri" w:hAnsi="Calibri" w:cs="Calibri"/>
          <w:b/>
          <w:bCs/>
          <w:spacing w:val="-1"/>
          <w:kern w:val="32"/>
          <w:sz w:val="22"/>
          <w:szCs w:val="22"/>
        </w:rPr>
        <w:t xml:space="preserve"> (In Rs. Crores</w:t>
      </w:r>
      <w:r w:rsidRPr="00177378">
        <w:rPr>
          <w:rFonts w:ascii="Calibri" w:hAnsi="Calibri" w:cs="Calibri"/>
          <w:b/>
          <w:bCs/>
          <w:kern w:val="32"/>
          <w:sz w:val="22"/>
          <w:szCs w:val="22"/>
        </w:rPr>
        <w:t>)</w:t>
      </w:r>
    </w:p>
    <w:tbl>
      <w:tblPr>
        <w:tblW w:w="10080" w:type="dxa"/>
        <w:tblLook w:val="04A0" w:firstRow="1" w:lastRow="0" w:firstColumn="1" w:lastColumn="0" w:noHBand="0" w:noVBand="1"/>
      </w:tblPr>
      <w:tblGrid>
        <w:gridCol w:w="520"/>
        <w:gridCol w:w="2119"/>
        <w:gridCol w:w="780"/>
        <w:gridCol w:w="825"/>
        <w:gridCol w:w="480"/>
        <w:gridCol w:w="480"/>
        <w:gridCol w:w="780"/>
        <w:gridCol w:w="825"/>
        <w:gridCol w:w="743"/>
        <w:gridCol w:w="480"/>
        <w:gridCol w:w="480"/>
        <w:gridCol w:w="743"/>
        <w:gridCol w:w="825"/>
      </w:tblGrid>
      <w:tr w:rsidR="00974443" w:rsidRPr="00FB241A" w14:paraId="68BC9541" w14:textId="77777777" w:rsidTr="00A35221">
        <w:trPr>
          <w:trHeight w:val="405"/>
        </w:trPr>
        <w:tc>
          <w:tcPr>
            <w:tcW w:w="520" w:type="dxa"/>
            <w:vMerge w:val="restart"/>
            <w:tcBorders>
              <w:top w:val="single" w:sz="4" w:space="0" w:color="auto"/>
              <w:left w:val="single" w:sz="4" w:space="0" w:color="auto"/>
              <w:bottom w:val="single" w:sz="4" w:space="0" w:color="000000"/>
              <w:right w:val="single" w:sz="4" w:space="0" w:color="auto"/>
            </w:tcBorders>
            <w:shd w:val="clear" w:color="auto" w:fill="95B3D7" w:themeFill="accent1" w:themeFillTint="99"/>
            <w:textDirection w:val="btLr"/>
            <w:vAlign w:val="center"/>
            <w:hideMark/>
          </w:tcPr>
          <w:p w14:paraId="5A0CB138" w14:textId="77777777" w:rsidR="00974443" w:rsidRPr="00FB241A" w:rsidRDefault="00974443" w:rsidP="00A35221">
            <w:pPr>
              <w:jc w:val="center"/>
              <w:rPr>
                <w:rFonts w:ascii="Arial" w:hAnsi="Arial" w:cs="Arial"/>
                <w:b/>
                <w:bCs/>
                <w:sz w:val="16"/>
                <w:szCs w:val="16"/>
                <w:lang w:val="en-IN" w:eastAsia="en-IN"/>
              </w:rPr>
            </w:pPr>
            <w:r w:rsidRPr="00FB241A">
              <w:rPr>
                <w:rFonts w:ascii="Arial" w:hAnsi="Arial" w:cs="Arial"/>
                <w:b/>
                <w:bCs/>
                <w:sz w:val="16"/>
                <w:szCs w:val="16"/>
                <w:lang w:val="en-IN" w:eastAsia="en-IN"/>
              </w:rPr>
              <w:t>Sl</w:t>
            </w:r>
            <w:r>
              <w:rPr>
                <w:rFonts w:ascii="Arial" w:hAnsi="Arial" w:cs="Arial"/>
                <w:b/>
                <w:bCs/>
                <w:sz w:val="16"/>
                <w:szCs w:val="16"/>
                <w:lang w:val="en-IN" w:eastAsia="en-IN"/>
              </w:rPr>
              <w:t>.</w:t>
            </w:r>
            <w:r w:rsidRPr="00FB241A">
              <w:rPr>
                <w:rFonts w:ascii="Arial" w:hAnsi="Arial" w:cs="Arial"/>
                <w:b/>
                <w:bCs/>
                <w:sz w:val="16"/>
                <w:szCs w:val="16"/>
                <w:lang w:val="en-IN" w:eastAsia="en-IN"/>
              </w:rPr>
              <w:t xml:space="preserve"> No.</w:t>
            </w:r>
          </w:p>
        </w:tc>
        <w:tc>
          <w:tcPr>
            <w:tcW w:w="2340" w:type="dxa"/>
            <w:vMerge w:val="restart"/>
            <w:tcBorders>
              <w:top w:val="single" w:sz="4" w:space="0" w:color="auto"/>
              <w:left w:val="single" w:sz="4" w:space="0" w:color="auto"/>
              <w:bottom w:val="single" w:sz="4" w:space="0" w:color="000000"/>
              <w:right w:val="single" w:sz="4" w:space="0" w:color="auto"/>
            </w:tcBorders>
            <w:shd w:val="clear" w:color="auto" w:fill="95B3D7" w:themeFill="accent1" w:themeFillTint="99"/>
            <w:textDirection w:val="btLr"/>
            <w:vAlign w:val="center"/>
            <w:hideMark/>
          </w:tcPr>
          <w:p w14:paraId="33F7A363" w14:textId="77777777" w:rsidR="00974443" w:rsidRPr="00FB241A" w:rsidRDefault="00974443" w:rsidP="00A35221">
            <w:pPr>
              <w:jc w:val="center"/>
              <w:rPr>
                <w:rFonts w:ascii="Arial" w:hAnsi="Arial" w:cs="Arial"/>
                <w:b/>
                <w:bCs/>
                <w:sz w:val="16"/>
                <w:szCs w:val="16"/>
                <w:lang w:val="en-IN" w:eastAsia="en-IN"/>
              </w:rPr>
            </w:pPr>
            <w:r w:rsidRPr="00FB241A">
              <w:rPr>
                <w:rFonts w:ascii="Arial" w:hAnsi="Arial" w:cs="Arial"/>
                <w:b/>
                <w:bCs/>
                <w:sz w:val="16"/>
                <w:szCs w:val="16"/>
                <w:lang w:val="en-IN" w:eastAsia="en-IN"/>
              </w:rPr>
              <w:t>Description of the Project/Scheme</w:t>
            </w:r>
          </w:p>
        </w:tc>
        <w:tc>
          <w:tcPr>
            <w:tcW w:w="780" w:type="dxa"/>
            <w:vMerge w:val="restart"/>
            <w:tcBorders>
              <w:top w:val="single" w:sz="4" w:space="0" w:color="auto"/>
              <w:left w:val="single" w:sz="4" w:space="0" w:color="auto"/>
              <w:bottom w:val="single" w:sz="4" w:space="0" w:color="000000"/>
              <w:right w:val="single" w:sz="4" w:space="0" w:color="auto"/>
            </w:tcBorders>
            <w:shd w:val="clear" w:color="auto" w:fill="95B3D7" w:themeFill="accent1" w:themeFillTint="99"/>
            <w:textDirection w:val="btLr"/>
            <w:vAlign w:val="center"/>
            <w:hideMark/>
          </w:tcPr>
          <w:p w14:paraId="3E43D1F9" w14:textId="77777777" w:rsidR="00974443" w:rsidRPr="00FB241A" w:rsidRDefault="00974443" w:rsidP="00A35221">
            <w:pPr>
              <w:jc w:val="center"/>
              <w:rPr>
                <w:rFonts w:ascii="Arial" w:hAnsi="Arial" w:cs="Arial"/>
                <w:b/>
                <w:bCs/>
                <w:sz w:val="16"/>
                <w:szCs w:val="16"/>
                <w:lang w:val="en-IN" w:eastAsia="en-IN"/>
              </w:rPr>
            </w:pPr>
            <w:r w:rsidRPr="00FB241A">
              <w:rPr>
                <w:rFonts w:ascii="Arial" w:hAnsi="Arial" w:cs="Arial"/>
                <w:b/>
                <w:bCs/>
                <w:sz w:val="16"/>
                <w:szCs w:val="16"/>
                <w:lang w:val="en-IN" w:eastAsia="en-IN"/>
              </w:rPr>
              <w:t>Closing bal. of WIP as on 31.03.2024</w:t>
            </w:r>
          </w:p>
        </w:tc>
        <w:tc>
          <w:tcPr>
            <w:tcW w:w="3300" w:type="dxa"/>
            <w:gridSpan w:val="5"/>
            <w:tcBorders>
              <w:top w:val="single" w:sz="4" w:space="0" w:color="auto"/>
              <w:left w:val="nil"/>
              <w:bottom w:val="single" w:sz="4" w:space="0" w:color="auto"/>
              <w:right w:val="single" w:sz="4" w:space="0" w:color="auto"/>
            </w:tcBorders>
            <w:shd w:val="clear" w:color="auto" w:fill="95B3D7" w:themeFill="accent1" w:themeFillTint="99"/>
            <w:noWrap/>
            <w:vAlign w:val="center"/>
            <w:hideMark/>
          </w:tcPr>
          <w:p w14:paraId="4ADB2276" w14:textId="77777777" w:rsidR="00974443" w:rsidRPr="00FB241A" w:rsidRDefault="00974443" w:rsidP="00A35221">
            <w:pPr>
              <w:jc w:val="center"/>
              <w:rPr>
                <w:rFonts w:ascii="Arial" w:hAnsi="Arial" w:cs="Arial"/>
                <w:b/>
                <w:bCs/>
                <w:sz w:val="16"/>
                <w:szCs w:val="16"/>
                <w:lang w:val="en-IN" w:eastAsia="en-IN"/>
              </w:rPr>
            </w:pPr>
            <w:r w:rsidRPr="00FB241A">
              <w:rPr>
                <w:rFonts w:ascii="Arial" w:hAnsi="Arial" w:cs="Arial"/>
                <w:b/>
                <w:bCs/>
                <w:sz w:val="16"/>
                <w:szCs w:val="16"/>
                <w:lang w:val="en-IN" w:eastAsia="en-IN"/>
              </w:rPr>
              <w:t>CURRENT YEAR (2024-25)</w:t>
            </w:r>
          </w:p>
        </w:tc>
        <w:tc>
          <w:tcPr>
            <w:tcW w:w="3140" w:type="dxa"/>
            <w:gridSpan w:val="5"/>
            <w:tcBorders>
              <w:top w:val="single" w:sz="4" w:space="0" w:color="auto"/>
              <w:left w:val="nil"/>
              <w:bottom w:val="single" w:sz="4" w:space="0" w:color="auto"/>
              <w:right w:val="single" w:sz="4" w:space="0" w:color="auto"/>
            </w:tcBorders>
            <w:shd w:val="clear" w:color="auto" w:fill="95B3D7" w:themeFill="accent1" w:themeFillTint="99"/>
            <w:noWrap/>
            <w:vAlign w:val="center"/>
            <w:hideMark/>
          </w:tcPr>
          <w:p w14:paraId="53C5DD03" w14:textId="77777777" w:rsidR="00974443" w:rsidRPr="00FB241A" w:rsidRDefault="00974443" w:rsidP="00A35221">
            <w:pPr>
              <w:jc w:val="center"/>
              <w:rPr>
                <w:rFonts w:ascii="Arial" w:hAnsi="Arial" w:cs="Arial"/>
                <w:b/>
                <w:bCs/>
                <w:sz w:val="16"/>
                <w:szCs w:val="16"/>
                <w:lang w:val="en-IN" w:eastAsia="en-IN"/>
              </w:rPr>
            </w:pPr>
            <w:r w:rsidRPr="00FB241A">
              <w:rPr>
                <w:rFonts w:ascii="Arial" w:hAnsi="Arial" w:cs="Arial"/>
                <w:b/>
                <w:bCs/>
                <w:sz w:val="16"/>
                <w:szCs w:val="16"/>
                <w:lang w:val="en-IN" w:eastAsia="en-IN"/>
              </w:rPr>
              <w:t xml:space="preserve"> ENSUING YEAR (2025-26)</w:t>
            </w:r>
          </w:p>
        </w:tc>
      </w:tr>
      <w:tr w:rsidR="00974443" w:rsidRPr="00FB241A" w14:paraId="26263D07" w14:textId="77777777" w:rsidTr="00A35221">
        <w:trPr>
          <w:trHeight w:val="2154"/>
        </w:trPr>
        <w:tc>
          <w:tcPr>
            <w:tcW w:w="520" w:type="dxa"/>
            <w:vMerge/>
            <w:tcBorders>
              <w:top w:val="single" w:sz="4" w:space="0" w:color="auto"/>
              <w:left w:val="single" w:sz="4" w:space="0" w:color="auto"/>
              <w:bottom w:val="single" w:sz="4" w:space="0" w:color="000000"/>
              <w:right w:val="single" w:sz="4" w:space="0" w:color="auto"/>
            </w:tcBorders>
            <w:shd w:val="clear" w:color="auto" w:fill="95B3D7" w:themeFill="accent1" w:themeFillTint="99"/>
            <w:vAlign w:val="center"/>
            <w:hideMark/>
          </w:tcPr>
          <w:p w14:paraId="25B6BE4C" w14:textId="77777777" w:rsidR="00974443" w:rsidRPr="00FB241A" w:rsidRDefault="00974443" w:rsidP="00A35221">
            <w:pPr>
              <w:rPr>
                <w:rFonts w:ascii="Arial" w:hAnsi="Arial" w:cs="Arial"/>
                <w:b/>
                <w:bCs/>
                <w:sz w:val="16"/>
                <w:szCs w:val="16"/>
                <w:lang w:val="en-IN" w:eastAsia="en-IN"/>
              </w:rPr>
            </w:pPr>
          </w:p>
        </w:tc>
        <w:tc>
          <w:tcPr>
            <w:tcW w:w="2340" w:type="dxa"/>
            <w:vMerge/>
            <w:tcBorders>
              <w:top w:val="single" w:sz="4" w:space="0" w:color="auto"/>
              <w:left w:val="single" w:sz="4" w:space="0" w:color="auto"/>
              <w:bottom w:val="single" w:sz="4" w:space="0" w:color="000000"/>
              <w:right w:val="single" w:sz="4" w:space="0" w:color="auto"/>
            </w:tcBorders>
            <w:shd w:val="clear" w:color="auto" w:fill="95B3D7" w:themeFill="accent1" w:themeFillTint="99"/>
            <w:vAlign w:val="center"/>
            <w:hideMark/>
          </w:tcPr>
          <w:p w14:paraId="6EAF41B9" w14:textId="77777777" w:rsidR="00974443" w:rsidRPr="00FB241A" w:rsidRDefault="00974443" w:rsidP="00A35221">
            <w:pPr>
              <w:rPr>
                <w:rFonts w:ascii="Arial" w:hAnsi="Arial" w:cs="Arial"/>
                <w:b/>
                <w:bCs/>
                <w:sz w:val="16"/>
                <w:szCs w:val="16"/>
                <w:lang w:val="en-IN" w:eastAsia="en-IN"/>
              </w:rPr>
            </w:pPr>
          </w:p>
        </w:tc>
        <w:tc>
          <w:tcPr>
            <w:tcW w:w="780" w:type="dxa"/>
            <w:vMerge/>
            <w:tcBorders>
              <w:top w:val="single" w:sz="4" w:space="0" w:color="auto"/>
              <w:left w:val="single" w:sz="4" w:space="0" w:color="auto"/>
              <w:bottom w:val="single" w:sz="4" w:space="0" w:color="000000"/>
              <w:right w:val="single" w:sz="4" w:space="0" w:color="auto"/>
            </w:tcBorders>
            <w:shd w:val="clear" w:color="auto" w:fill="95B3D7" w:themeFill="accent1" w:themeFillTint="99"/>
            <w:vAlign w:val="center"/>
            <w:hideMark/>
          </w:tcPr>
          <w:p w14:paraId="5479476C" w14:textId="77777777" w:rsidR="00974443" w:rsidRPr="00FB241A" w:rsidRDefault="00974443" w:rsidP="00A35221">
            <w:pPr>
              <w:rPr>
                <w:rFonts w:ascii="Arial" w:hAnsi="Arial" w:cs="Arial"/>
                <w:b/>
                <w:bCs/>
                <w:sz w:val="16"/>
                <w:szCs w:val="16"/>
                <w:lang w:val="en-IN" w:eastAsia="en-IN"/>
              </w:rPr>
            </w:pPr>
          </w:p>
        </w:tc>
        <w:tc>
          <w:tcPr>
            <w:tcW w:w="780" w:type="dxa"/>
            <w:tcBorders>
              <w:top w:val="nil"/>
              <w:left w:val="nil"/>
              <w:bottom w:val="single" w:sz="4" w:space="0" w:color="auto"/>
              <w:right w:val="single" w:sz="4" w:space="0" w:color="auto"/>
            </w:tcBorders>
            <w:shd w:val="clear" w:color="auto" w:fill="95B3D7" w:themeFill="accent1" w:themeFillTint="99"/>
            <w:textDirection w:val="btLr"/>
            <w:vAlign w:val="center"/>
            <w:hideMark/>
          </w:tcPr>
          <w:p w14:paraId="4BB5E5C2" w14:textId="77777777" w:rsidR="00974443" w:rsidRPr="00FB241A" w:rsidRDefault="00974443" w:rsidP="00A35221">
            <w:pPr>
              <w:jc w:val="center"/>
              <w:rPr>
                <w:rFonts w:ascii="Arial" w:hAnsi="Arial" w:cs="Arial"/>
                <w:b/>
                <w:bCs/>
                <w:sz w:val="16"/>
                <w:szCs w:val="16"/>
                <w:lang w:val="en-IN" w:eastAsia="en-IN"/>
              </w:rPr>
            </w:pPr>
            <w:proofErr w:type="spellStart"/>
            <w:r w:rsidRPr="00FB241A">
              <w:rPr>
                <w:rFonts w:ascii="Arial" w:hAnsi="Arial" w:cs="Arial"/>
                <w:b/>
                <w:bCs/>
                <w:sz w:val="16"/>
                <w:szCs w:val="16"/>
                <w:lang w:val="en-IN" w:eastAsia="en-IN"/>
              </w:rPr>
              <w:t>Expn</w:t>
            </w:r>
            <w:proofErr w:type="spellEnd"/>
            <w:r w:rsidRPr="00FB241A">
              <w:rPr>
                <w:rFonts w:ascii="Arial" w:hAnsi="Arial" w:cs="Arial"/>
                <w:b/>
                <w:bCs/>
                <w:sz w:val="16"/>
                <w:szCs w:val="16"/>
                <w:lang w:val="en-IN" w:eastAsia="en-IN"/>
              </w:rPr>
              <w:t>. during the year</w:t>
            </w:r>
          </w:p>
        </w:tc>
        <w:tc>
          <w:tcPr>
            <w:tcW w:w="480" w:type="dxa"/>
            <w:tcBorders>
              <w:top w:val="nil"/>
              <w:left w:val="nil"/>
              <w:bottom w:val="single" w:sz="4" w:space="0" w:color="auto"/>
              <w:right w:val="single" w:sz="4" w:space="0" w:color="auto"/>
            </w:tcBorders>
            <w:shd w:val="clear" w:color="auto" w:fill="95B3D7" w:themeFill="accent1" w:themeFillTint="99"/>
            <w:textDirection w:val="btLr"/>
            <w:vAlign w:val="center"/>
            <w:hideMark/>
          </w:tcPr>
          <w:p w14:paraId="1C3C100E" w14:textId="77777777" w:rsidR="00974443" w:rsidRPr="00FB241A" w:rsidRDefault="00974443" w:rsidP="00A35221">
            <w:pPr>
              <w:jc w:val="center"/>
              <w:rPr>
                <w:rFonts w:ascii="Arial" w:hAnsi="Arial" w:cs="Arial"/>
                <w:b/>
                <w:bCs/>
                <w:sz w:val="16"/>
                <w:szCs w:val="16"/>
                <w:lang w:val="en-IN" w:eastAsia="en-IN"/>
              </w:rPr>
            </w:pPr>
            <w:r w:rsidRPr="00FB241A">
              <w:rPr>
                <w:rFonts w:ascii="Arial" w:hAnsi="Arial" w:cs="Arial"/>
                <w:b/>
                <w:bCs/>
                <w:sz w:val="16"/>
                <w:szCs w:val="16"/>
                <w:lang w:val="en-IN" w:eastAsia="en-IN"/>
              </w:rPr>
              <w:t>Interest during construction</w:t>
            </w:r>
          </w:p>
        </w:tc>
        <w:tc>
          <w:tcPr>
            <w:tcW w:w="480" w:type="dxa"/>
            <w:tcBorders>
              <w:top w:val="nil"/>
              <w:left w:val="nil"/>
              <w:bottom w:val="single" w:sz="4" w:space="0" w:color="auto"/>
              <w:right w:val="single" w:sz="4" w:space="0" w:color="auto"/>
            </w:tcBorders>
            <w:shd w:val="clear" w:color="auto" w:fill="95B3D7" w:themeFill="accent1" w:themeFillTint="99"/>
            <w:textDirection w:val="btLr"/>
            <w:vAlign w:val="center"/>
            <w:hideMark/>
          </w:tcPr>
          <w:p w14:paraId="4740B4FD" w14:textId="77777777" w:rsidR="00974443" w:rsidRPr="00FB241A" w:rsidRDefault="00974443" w:rsidP="00A35221">
            <w:pPr>
              <w:jc w:val="center"/>
              <w:rPr>
                <w:rFonts w:ascii="Arial" w:hAnsi="Arial" w:cs="Arial"/>
                <w:b/>
                <w:bCs/>
                <w:sz w:val="16"/>
                <w:szCs w:val="16"/>
                <w:lang w:val="en-IN" w:eastAsia="en-IN"/>
              </w:rPr>
            </w:pPr>
            <w:r w:rsidRPr="00FB241A">
              <w:rPr>
                <w:rFonts w:ascii="Arial" w:hAnsi="Arial" w:cs="Arial"/>
                <w:b/>
                <w:bCs/>
                <w:sz w:val="16"/>
                <w:szCs w:val="16"/>
                <w:lang w:val="en-IN" w:eastAsia="en-IN"/>
              </w:rPr>
              <w:t>Overheads capitalised/Adjustments</w:t>
            </w:r>
          </w:p>
        </w:tc>
        <w:tc>
          <w:tcPr>
            <w:tcW w:w="780" w:type="dxa"/>
            <w:tcBorders>
              <w:top w:val="nil"/>
              <w:left w:val="nil"/>
              <w:bottom w:val="single" w:sz="4" w:space="0" w:color="auto"/>
              <w:right w:val="single" w:sz="4" w:space="0" w:color="auto"/>
            </w:tcBorders>
            <w:shd w:val="clear" w:color="auto" w:fill="95B3D7" w:themeFill="accent1" w:themeFillTint="99"/>
            <w:textDirection w:val="btLr"/>
            <w:vAlign w:val="center"/>
            <w:hideMark/>
          </w:tcPr>
          <w:p w14:paraId="186C27D4" w14:textId="77777777" w:rsidR="00974443" w:rsidRPr="00FB241A" w:rsidRDefault="00974443" w:rsidP="00A35221">
            <w:pPr>
              <w:jc w:val="center"/>
              <w:rPr>
                <w:rFonts w:ascii="Arial" w:hAnsi="Arial" w:cs="Arial"/>
                <w:b/>
                <w:bCs/>
                <w:sz w:val="16"/>
                <w:szCs w:val="16"/>
                <w:lang w:val="en-IN" w:eastAsia="en-IN"/>
              </w:rPr>
            </w:pPr>
            <w:r w:rsidRPr="00FB241A">
              <w:rPr>
                <w:rFonts w:ascii="Arial" w:hAnsi="Arial" w:cs="Arial"/>
                <w:b/>
                <w:bCs/>
                <w:sz w:val="16"/>
                <w:szCs w:val="16"/>
                <w:lang w:val="en-IN" w:eastAsia="en-IN"/>
              </w:rPr>
              <w:t>Transfer to fixed assets</w:t>
            </w:r>
          </w:p>
        </w:tc>
        <w:tc>
          <w:tcPr>
            <w:tcW w:w="780" w:type="dxa"/>
            <w:tcBorders>
              <w:top w:val="nil"/>
              <w:left w:val="nil"/>
              <w:bottom w:val="single" w:sz="4" w:space="0" w:color="auto"/>
              <w:right w:val="single" w:sz="4" w:space="0" w:color="auto"/>
            </w:tcBorders>
            <w:shd w:val="clear" w:color="auto" w:fill="95B3D7" w:themeFill="accent1" w:themeFillTint="99"/>
            <w:textDirection w:val="btLr"/>
            <w:vAlign w:val="center"/>
            <w:hideMark/>
          </w:tcPr>
          <w:p w14:paraId="0840A24C" w14:textId="77777777" w:rsidR="00974443" w:rsidRPr="00FB241A" w:rsidRDefault="00974443" w:rsidP="00A35221">
            <w:pPr>
              <w:jc w:val="center"/>
              <w:rPr>
                <w:rFonts w:ascii="Arial" w:hAnsi="Arial" w:cs="Arial"/>
                <w:b/>
                <w:bCs/>
                <w:sz w:val="16"/>
                <w:szCs w:val="16"/>
                <w:lang w:val="en-IN" w:eastAsia="en-IN"/>
              </w:rPr>
            </w:pPr>
            <w:r w:rsidRPr="00FB241A">
              <w:rPr>
                <w:rFonts w:ascii="Arial" w:hAnsi="Arial" w:cs="Arial"/>
                <w:b/>
                <w:bCs/>
                <w:sz w:val="16"/>
                <w:szCs w:val="16"/>
                <w:lang w:val="en-IN" w:eastAsia="en-IN"/>
              </w:rPr>
              <w:t>Closing bal. of WIP as on 31.03.2024</w:t>
            </w:r>
          </w:p>
        </w:tc>
        <w:tc>
          <w:tcPr>
            <w:tcW w:w="700" w:type="dxa"/>
            <w:tcBorders>
              <w:top w:val="nil"/>
              <w:left w:val="nil"/>
              <w:bottom w:val="single" w:sz="4" w:space="0" w:color="auto"/>
              <w:right w:val="single" w:sz="4" w:space="0" w:color="auto"/>
            </w:tcBorders>
            <w:shd w:val="clear" w:color="auto" w:fill="95B3D7" w:themeFill="accent1" w:themeFillTint="99"/>
            <w:textDirection w:val="btLr"/>
            <w:vAlign w:val="center"/>
            <w:hideMark/>
          </w:tcPr>
          <w:p w14:paraId="329EEC84" w14:textId="77777777" w:rsidR="00974443" w:rsidRPr="00FB241A" w:rsidRDefault="00974443" w:rsidP="00A35221">
            <w:pPr>
              <w:jc w:val="center"/>
              <w:rPr>
                <w:rFonts w:ascii="Arial" w:hAnsi="Arial" w:cs="Arial"/>
                <w:b/>
                <w:bCs/>
                <w:sz w:val="16"/>
                <w:szCs w:val="16"/>
                <w:lang w:val="en-IN" w:eastAsia="en-IN"/>
              </w:rPr>
            </w:pPr>
            <w:proofErr w:type="spellStart"/>
            <w:r w:rsidRPr="00FB241A">
              <w:rPr>
                <w:rFonts w:ascii="Arial" w:hAnsi="Arial" w:cs="Arial"/>
                <w:b/>
                <w:bCs/>
                <w:sz w:val="16"/>
                <w:szCs w:val="16"/>
                <w:lang w:val="en-IN" w:eastAsia="en-IN"/>
              </w:rPr>
              <w:t>Expn</w:t>
            </w:r>
            <w:proofErr w:type="spellEnd"/>
            <w:r w:rsidRPr="00FB241A">
              <w:rPr>
                <w:rFonts w:ascii="Arial" w:hAnsi="Arial" w:cs="Arial"/>
                <w:b/>
                <w:bCs/>
                <w:sz w:val="16"/>
                <w:szCs w:val="16"/>
                <w:lang w:val="en-IN" w:eastAsia="en-IN"/>
              </w:rPr>
              <w:t>. during the year</w:t>
            </w:r>
          </w:p>
        </w:tc>
        <w:tc>
          <w:tcPr>
            <w:tcW w:w="480" w:type="dxa"/>
            <w:tcBorders>
              <w:top w:val="nil"/>
              <w:left w:val="nil"/>
              <w:bottom w:val="single" w:sz="4" w:space="0" w:color="auto"/>
              <w:right w:val="single" w:sz="4" w:space="0" w:color="auto"/>
            </w:tcBorders>
            <w:shd w:val="clear" w:color="auto" w:fill="95B3D7" w:themeFill="accent1" w:themeFillTint="99"/>
            <w:textDirection w:val="btLr"/>
            <w:vAlign w:val="center"/>
            <w:hideMark/>
          </w:tcPr>
          <w:p w14:paraId="15E4528E" w14:textId="77777777" w:rsidR="00974443" w:rsidRPr="00FB241A" w:rsidRDefault="00974443" w:rsidP="00A35221">
            <w:pPr>
              <w:jc w:val="center"/>
              <w:rPr>
                <w:rFonts w:ascii="Arial" w:hAnsi="Arial" w:cs="Arial"/>
                <w:b/>
                <w:bCs/>
                <w:sz w:val="16"/>
                <w:szCs w:val="16"/>
                <w:lang w:val="en-IN" w:eastAsia="en-IN"/>
              </w:rPr>
            </w:pPr>
            <w:r w:rsidRPr="00FB241A">
              <w:rPr>
                <w:rFonts w:ascii="Arial" w:hAnsi="Arial" w:cs="Arial"/>
                <w:b/>
                <w:bCs/>
                <w:sz w:val="16"/>
                <w:szCs w:val="16"/>
                <w:lang w:val="en-IN" w:eastAsia="en-IN"/>
              </w:rPr>
              <w:t>Interest during construction</w:t>
            </w:r>
          </w:p>
        </w:tc>
        <w:tc>
          <w:tcPr>
            <w:tcW w:w="480" w:type="dxa"/>
            <w:tcBorders>
              <w:top w:val="nil"/>
              <w:left w:val="nil"/>
              <w:bottom w:val="single" w:sz="4" w:space="0" w:color="auto"/>
              <w:right w:val="single" w:sz="4" w:space="0" w:color="auto"/>
            </w:tcBorders>
            <w:shd w:val="clear" w:color="auto" w:fill="95B3D7" w:themeFill="accent1" w:themeFillTint="99"/>
            <w:textDirection w:val="btLr"/>
            <w:vAlign w:val="center"/>
            <w:hideMark/>
          </w:tcPr>
          <w:p w14:paraId="733FD9D0" w14:textId="77777777" w:rsidR="00974443" w:rsidRPr="00FB241A" w:rsidRDefault="00974443" w:rsidP="00A35221">
            <w:pPr>
              <w:jc w:val="center"/>
              <w:rPr>
                <w:rFonts w:ascii="Arial" w:hAnsi="Arial" w:cs="Arial"/>
                <w:b/>
                <w:bCs/>
                <w:sz w:val="16"/>
                <w:szCs w:val="16"/>
                <w:lang w:val="en-IN" w:eastAsia="en-IN"/>
              </w:rPr>
            </w:pPr>
            <w:r w:rsidRPr="00FB241A">
              <w:rPr>
                <w:rFonts w:ascii="Arial" w:hAnsi="Arial" w:cs="Arial"/>
                <w:b/>
                <w:bCs/>
                <w:sz w:val="16"/>
                <w:szCs w:val="16"/>
                <w:lang w:val="en-IN" w:eastAsia="en-IN"/>
              </w:rPr>
              <w:t>Overheads capitalised/Adjustments</w:t>
            </w:r>
          </w:p>
        </w:tc>
        <w:tc>
          <w:tcPr>
            <w:tcW w:w="700" w:type="dxa"/>
            <w:tcBorders>
              <w:top w:val="nil"/>
              <w:left w:val="nil"/>
              <w:bottom w:val="single" w:sz="4" w:space="0" w:color="auto"/>
              <w:right w:val="single" w:sz="4" w:space="0" w:color="auto"/>
            </w:tcBorders>
            <w:shd w:val="clear" w:color="auto" w:fill="95B3D7" w:themeFill="accent1" w:themeFillTint="99"/>
            <w:textDirection w:val="btLr"/>
            <w:vAlign w:val="center"/>
            <w:hideMark/>
          </w:tcPr>
          <w:p w14:paraId="739404A9" w14:textId="77777777" w:rsidR="00974443" w:rsidRPr="00FB241A" w:rsidRDefault="00974443" w:rsidP="00A35221">
            <w:pPr>
              <w:jc w:val="center"/>
              <w:rPr>
                <w:rFonts w:ascii="Arial" w:hAnsi="Arial" w:cs="Arial"/>
                <w:b/>
                <w:bCs/>
                <w:sz w:val="16"/>
                <w:szCs w:val="16"/>
                <w:lang w:val="en-IN" w:eastAsia="en-IN"/>
              </w:rPr>
            </w:pPr>
            <w:r w:rsidRPr="00FB241A">
              <w:rPr>
                <w:rFonts w:ascii="Arial" w:hAnsi="Arial" w:cs="Arial"/>
                <w:b/>
                <w:bCs/>
                <w:sz w:val="16"/>
                <w:szCs w:val="16"/>
                <w:lang w:val="en-IN" w:eastAsia="en-IN"/>
              </w:rPr>
              <w:t>Transfer to fixed assets</w:t>
            </w:r>
          </w:p>
        </w:tc>
        <w:tc>
          <w:tcPr>
            <w:tcW w:w="780" w:type="dxa"/>
            <w:tcBorders>
              <w:top w:val="nil"/>
              <w:left w:val="nil"/>
              <w:bottom w:val="single" w:sz="4" w:space="0" w:color="auto"/>
              <w:right w:val="single" w:sz="4" w:space="0" w:color="auto"/>
            </w:tcBorders>
            <w:shd w:val="clear" w:color="auto" w:fill="95B3D7" w:themeFill="accent1" w:themeFillTint="99"/>
            <w:textDirection w:val="btLr"/>
            <w:vAlign w:val="center"/>
            <w:hideMark/>
          </w:tcPr>
          <w:p w14:paraId="1083AA3A" w14:textId="77777777" w:rsidR="00974443" w:rsidRPr="00FB241A" w:rsidRDefault="00974443" w:rsidP="00A35221">
            <w:pPr>
              <w:jc w:val="center"/>
              <w:rPr>
                <w:rFonts w:ascii="Arial" w:hAnsi="Arial" w:cs="Arial"/>
                <w:b/>
                <w:bCs/>
                <w:sz w:val="16"/>
                <w:szCs w:val="16"/>
                <w:lang w:val="en-IN" w:eastAsia="en-IN"/>
              </w:rPr>
            </w:pPr>
            <w:r w:rsidRPr="00FB241A">
              <w:rPr>
                <w:rFonts w:ascii="Arial" w:hAnsi="Arial" w:cs="Arial"/>
                <w:b/>
                <w:bCs/>
                <w:sz w:val="16"/>
                <w:szCs w:val="16"/>
                <w:lang w:val="en-IN" w:eastAsia="en-IN"/>
              </w:rPr>
              <w:t>Closing bal. of WIP as on 31.03.2025</w:t>
            </w:r>
          </w:p>
        </w:tc>
      </w:tr>
      <w:tr w:rsidR="00974443" w:rsidRPr="00FB241A" w14:paraId="7FEBCA62" w14:textId="77777777" w:rsidTr="00A35221">
        <w:trPr>
          <w:trHeight w:val="300"/>
        </w:trPr>
        <w:tc>
          <w:tcPr>
            <w:tcW w:w="520" w:type="dxa"/>
            <w:tcBorders>
              <w:top w:val="nil"/>
              <w:left w:val="single" w:sz="4" w:space="0" w:color="auto"/>
              <w:bottom w:val="single" w:sz="4" w:space="0" w:color="auto"/>
              <w:right w:val="single" w:sz="4" w:space="0" w:color="auto"/>
            </w:tcBorders>
            <w:shd w:val="clear" w:color="auto" w:fill="auto"/>
            <w:noWrap/>
            <w:vAlign w:val="center"/>
            <w:hideMark/>
          </w:tcPr>
          <w:p w14:paraId="23FFF3BC" w14:textId="77777777" w:rsidR="00974443" w:rsidRPr="00FB241A" w:rsidRDefault="00974443" w:rsidP="00A35221">
            <w:pPr>
              <w:jc w:val="center"/>
              <w:rPr>
                <w:rFonts w:ascii="Calibri" w:hAnsi="Calibri" w:cs="Calibri"/>
                <w:b/>
                <w:sz w:val="16"/>
                <w:szCs w:val="16"/>
                <w:lang w:val="en-IN" w:eastAsia="en-IN"/>
              </w:rPr>
            </w:pPr>
            <w:r w:rsidRPr="00FB241A">
              <w:rPr>
                <w:rFonts w:ascii="Calibri" w:hAnsi="Calibri" w:cs="Calibri"/>
                <w:b/>
                <w:sz w:val="16"/>
                <w:szCs w:val="16"/>
                <w:lang w:val="en-IN" w:eastAsia="en-IN"/>
              </w:rPr>
              <w:t>1</w:t>
            </w:r>
          </w:p>
        </w:tc>
        <w:tc>
          <w:tcPr>
            <w:tcW w:w="2340" w:type="dxa"/>
            <w:tcBorders>
              <w:top w:val="nil"/>
              <w:left w:val="nil"/>
              <w:bottom w:val="single" w:sz="4" w:space="0" w:color="auto"/>
              <w:right w:val="single" w:sz="4" w:space="0" w:color="auto"/>
            </w:tcBorders>
            <w:shd w:val="clear" w:color="auto" w:fill="auto"/>
            <w:vAlign w:val="center"/>
            <w:hideMark/>
          </w:tcPr>
          <w:p w14:paraId="2D3643FF" w14:textId="77777777" w:rsidR="00974443" w:rsidRPr="00FB241A" w:rsidRDefault="00974443" w:rsidP="00A35221">
            <w:pPr>
              <w:rPr>
                <w:rFonts w:ascii="Calibri" w:hAnsi="Calibri" w:cs="Calibri"/>
                <w:sz w:val="16"/>
                <w:szCs w:val="16"/>
                <w:lang w:val="en-IN" w:eastAsia="en-IN"/>
              </w:rPr>
            </w:pPr>
            <w:r w:rsidRPr="00FB241A">
              <w:rPr>
                <w:rFonts w:ascii="Calibri" w:hAnsi="Calibri" w:cs="Calibri"/>
                <w:sz w:val="16"/>
                <w:szCs w:val="16"/>
                <w:lang w:val="en-IN" w:eastAsia="en-IN"/>
              </w:rPr>
              <w:t>School Anganwadi-Grant</w:t>
            </w:r>
          </w:p>
        </w:tc>
        <w:tc>
          <w:tcPr>
            <w:tcW w:w="780" w:type="dxa"/>
            <w:tcBorders>
              <w:top w:val="nil"/>
              <w:left w:val="nil"/>
              <w:bottom w:val="single" w:sz="4" w:space="0" w:color="auto"/>
              <w:right w:val="single" w:sz="4" w:space="0" w:color="auto"/>
            </w:tcBorders>
            <w:shd w:val="clear" w:color="auto" w:fill="auto"/>
            <w:noWrap/>
            <w:vAlign w:val="center"/>
            <w:hideMark/>
          </w:tcPr>
          <w:p w14:paraId="15DB592B" w14:textId="77777777" w:rsidR="00974443" w:rsidRPr="00FB241A" w:rsidRDefault="00974443" w:rsidP="00A35221">
            <w:pPr>
              <w:jc w:val="center"/>
              <w:rPr>
                <w:rFonts w:ascii="Calibri" w:hAnsi="Calibri" w:cs="Calibri"/>
                <w:sz w:val="16"/>
                <w:szCs w:val="16"/>
                <w:lang w:val="en-IN" w:eastAsia="en-IN"/>
              </w:rPr>
            </w:pPr>
            <w:r w:rsidRPr="00FB241A">
              <w:rPr>
                <w:rFonts w:ascii="Calibri" w:hAnsi="Calibri" w:cs="Calibri"/>
                <w:sz w:val="16"/>
                <w:szCs w:val="16"/>
                <w:lang w:val="en-IN" w:eastAsia="en-IN"/>
              </w:rPr>
              <w:t>74.05</w:t>
            </w:r>
          </w:p>
        </w:tc>
        <w:tc>
          <w:tcPr>
            <w:tcW w:w="780" w:type="dxa"/>
            <w:tcBorders>
              <w:top w:val="nil"/>
              <w:left w:val="nil"/>
              <w:bottom w:val="single" w:sz="4" w:space="0" w:color="auto"/>
              <w:right w:val="single" w:sz="4" w:space="0" w:color="auto"/>
            </w:tcBorders>
            <w:shd w:val="clear" w:color="auto" w:fill="auto"/>
            <w:noWrap/>
            <w:vAlign w:val="center"/>
            <w:hideMark/>
          </w:tcPr>
          <w:p w14:paraId="1AF87DB2" w14:textId="77777777" w:rsidR="00974443" w:rsidRPr="00FB241A" w:rsidRDefault="00974443" w:rsidP="00A35221">
            <w:pPr>
              <w:jc w:val="center"/>
              <w:rPr>
                <w:rFonts w:ascii="Calibri" w:hAnsi="Calibri" w:cs="Calibri"/>
                <w:sz w:val="16"/>
                <w:szCs w:val="16"/>
                <w:lang w:val="en-IN" w:eastAsia="en-IN"/>
              </w:rPr>
            </w:pPr>
            <w:r w:rsidRPr="00FB241A">
              <w:rPr>
                <w:rFonts w:ascii="Calibri" w:hAnsi="Calibri" w:cs="Calibri"/>
                <w:sz w:val="16"/>
                <w:szCs w:val="16"/>
                <w:lang w:val="en-IN" w:eastAsia="en-IN"/>
              </w:rPr>
              <w:t>1889.33</w:t>
            </w:r>
          </w:p>
        </w:tc>
        <w:tc>
          <w:tcPr>
            <w:tcW w:w="480" w:type="dxa"/>
            <w:tcBorders>
              <w:top w:val="nil"/>
              <w:left w:val="nil"/>
              <w:bottom w:val="single" w:sz="4" w:space="0" w:color="auto"/>
              <w:right w:val="single" w:sz="4" w:space="0" w:color="auto"/>
            </w:tcBorders>
            <w:shd w:val="clear" w:color="auto" w:fill="auto"/>
            <w:noWrap/>
            <w:vAlign w:val="center"/>
            <w:hideMark/>
          </w:tcPr>
          <w:p w14:paraId="49FADC8C" w14:textId="77777777" w:rsidR="00974443" w:rsidRPr="00FB241A" w:rsidRDefault="00974443" w:rsidP="00A35221">
            <w:pPr>
              <w:jc w:val="center"/>
              <w:rPr>
                <w:rFonts w:ascii="Calibri" w:hAnsi="Calibri" w:cs="Calibri"/>
                <w:sz w:val="16"/>
                <w:szCs w:val="16"/>
                <w:lang w:val="en-IN" w:eastAsia="en-IN"/>
              </w:rPr>
            </w:pPr>
            <w:r w:rsidRPr="00FB241A">
              <w:rPr>
                <w:rFonts w:ascii="Calibri" w:hAnsi="Calibri" w:cs="Calibri"/>
                <w:sz w:val="16"/>
                <w:szCs w:val="16"/>
                <w:lang w:val="en-IN" w:eastAsia="en-IN"/>
              </w:rPr>
              <w:t>-</w:t>
            </w:r>
          </w:p>
        </w:tc>
        <w:tc>
          <w:tcPr>
            <w:tcW w:w="480" w:type="dxa"/>
            <w:tcBorders>
              <w:top w:val="nil"/>
              <w:left w:val="nil"/>
              <w:bottom w:val="single" w:sz="4" w:space="0" w:color="auto"/>
              <w:right w:val="single" w:sz="4" w:space="0" w:color="auto"/>
            </w:tcBorders>
            <w:shd w:val="clear" w:color="auto" w:fill="auto"/>
            <w:noWrap/>
            <w:vAlign w:val="center"/>
            <w:hideMark/>
          </w:tcPr>
          <w:p w14:paraId="37EBBA41" w14:textId="77777777" w:rsidR="00974443" w:rsidRPr="00FB241A" w:rsidRDefault="00974443" w:rsidP="00A35221">
            <w:pPr>
              <w:jc w:val="center"/>
              <w:rPr>
                <w:rFonts w:ascii="Calibri" w:hAnsi="Calibri" w:cs="Calibri"/>
                <w:sz w:val="16"/>
                <w:szCs w:val="16"/>
                <w:lang w:val="en-IN" w:eastAsia="en-IN"/>
              </w:rPr>
            </w:pPr>
            <w:r w:rsidRPr="00FB241A">
              <w:rPr>
                <w:rFonts w:ascii="Calibri" w:hAnsi="Calibri" w:cs="Calibri"/>
                <w:sz w:val="16"/>
                <w:szCs w:val="16"/>
                <w:lang w:val="en-IN" w:eastAsia="en-IN"/>
              </w:rPr>
              <w:t>-</w:t>
            </w:r>
          </w:p>
        </w:tc>
        <w:tc>
          <w:tcPr>
            <w:tcW w:w="780" w:type="dxa"/>
            <w:tcBorders>
              <w:top w:val="nil"/>
              <w:left w:val="nil"/>
              <w:bottom w:val="single" w:sz="4" w:space="0" w:color="auto"/>
              <w:right w:val="single" w:sz="4" w:space="0" w:color="auto"/>
            </w:tcBorders>
            <w:shd w:val="clear" w:color="auto" w:fill="auto"/>
            <w:noWrap/>
            <w:vAlign w:val="center"/>
            <w:hideMark/>
          </w:tcPr>
          <w:p w14:paraId="69552FD2" w14:textId="77777777" w:rsidR="00974443" w:rsidRPr="00FB241A" w:rsidRDefault="00974443" w:rsidP="00A35221">
            <w:pPr>
              <w:jc w:val="center"/>
              <w:rPr>
                <w:rFonts w:ascii="Calibri" w:hAnsi="Calibri" w:cs="Calibri"/>
                <w:sz w:val="16"/>
                <w:szCs w:val="16"/>
                <w:lang w:val="en-IN" w:eastAsia="en-IN"/>
              </w:rPr>
            </w:pPr>
            <w:r w:rsidRPr="00FB241A">
              <w:rPr>
                <w:rFonts w:ascii="Calibri" w:hAnsi="Calibri" w:cs="Calibri"/>
                <w:sz w:val="16"/>
                <w:szCs w:val="16"/>
                <w:lang w:val="en-IN" w:eastAsia="en-IN"/>
              </w:rPr>
              <w:t>1764.19</w:t>
            </w:r>
          </w:p>
        </w:tc>
        <w:tc>
          <w:tcPr>
            <w:tcW w:w="780" w:type="dxa"/>
            <w:tcBorders>
              <w:top w:val="nil"/>
              <w:left w:val="nil"/>
              <w:bottom w:val="single" w:sz="4" w:space="0" w:color="auto"/>
              <w:right w:val="single" w:sz="4" w:space="0" w:color="auto"/>
            </w:tcBorders>
            <w:shd w:val="clear" w:color="auto" w:fill="auto"/>
            <w:noWrap/>
            <w:vAlign w:val="center"/>
            <w:hideMark/>
          </w:tcPr>
          <w:p w14:paraId="04186DD3" w14:textId="77777777" w:rsidR="00974443" w:rsidRPr="00FB241A" w:rsidRDefault="00974443" w:rsidP="00A35221">
            <w:pPr>
              <w:jc w:val="center"/>
              <w:rPr>
                <w:rFonts w:ascii="Calibri" w:hAnsi="Calibri" w:cs="Calibri"/>
                <w:sz w:val="16"/>
                <w:szCs w:val="16"/>
                <w:lang w:val="en-IN" w:eastAsia="en-IN"/>
              </w:rPr>
            </w:pPr>
            <w:r w:rsidRPr="00FB241A">
              <w:rPr>
                <w:rFonts w:ascii="Calibri" w:hAnsi="Calibri" w:cs="Calibri"/>
                <w:sz w:val="16"/>
                <w:szCs w:val="16"/>
                <w:lang w:val="en-IN" w:eastAsia="en-IN"/>
              </w:rPr>
              <w:t>199.19</w:t>
            </w:r>
          </w:p>
        </w:tc>
        <w:tc>
          <w:tcPr>
            <w:tcW w:w="700" w:type="dxa"/>
            <w:tcBorders>
              <w:top w:val="nil"/>
              <w:left w:val="nil"/>
              <w:bottom w:val="single" w:sz="4" w:space="0" w:color="auto"/>
              <w:right w:val="single" w:sz="4" w:space="0" w:color="auto"/>
            </w:tcBorders>
            <w:shd w:val="clear" w:color="auto" w:fill="auto"/>
            <w:noWrap/>
            <w:vAlign w:val="center"/>
            <w:hideMark/>
          </w:tcPr>
          <w:p w14:paraId="3839E5A9" w14:textId="77777777" w:rsidR="00974443" w:rsidRPr="00FB241A" w:rsidRDefault="00974443" w:rsidP="00A35221">
            <w:pPr>
              <w:jc w:val="center"/>
              <w:rPr>
                <w:rFonts w:ascii="Calibri" w:hAnsi="Calibri" w:cs="Calibri"/>
                <w:sz w:val="16"/>
                <w:szCs w:val="16"/>
                <w:lang w:val="en-IN" w:eastAsia="en-IN"/>
              </w:rPr>
            </w:pPr>
            <w:r w:rsidRPr="00FB241A">
              <w:rPr>
                <w:rFonts w:ascii="Calibri" w:hAnsi="Calibri" w:cs="Calibri"/>
                <w:sz w:val="16"/>
                <w:szCs w:val="16"/>
                <w:lang w:val="en-IN" w:eastAsia="en-IN"/>
              </w:rPr>
              <w:t>49.80</w:t>
            </w:r>
          </w:p>
        </w:tc>
        <w:tc>
          <w:tcPr>
            <w:tcW w:w="480" w:type="dxa"/>
            <w:tcBorders>
              <w:top w:val="nil"/>
              <w:left w:val="nil"/>
              <w:bottom w:val="single" w:sz="4" w:space="0" w:color="auto"/>
              <w:right w:val="single" w:sz="4" w:space="0" w:color="auto"/>
            </w:tcBorders>
            <w:shd w:val="clear" w:color="auto" w:fill="auto"/>
            <w:noWrap/>
            <w:vAlign w:val="center"/>
            <w:hideMark/>
          </w:tcPr>
          <w:p w14:paraId="202C4C1A" w14:textId="77777777" w:rsidR="00974443" w:rsidRPr="00FB241A" w:rsidRDefault="00974443" w:rsidP="00A35221">
            <w:pPr>
              <w:jc w:val="center"/>
              <w:rPr>
                <w:rFonts w:ascii="Calibri" w:hAnsi="Calibri" w:cs="Calibri"/>
                <w:sz w:val="16"/>
                <w:szCs w:val="16"/>
                <w:lang w:val="en-IN" w:eastAsia="en-IN"/>
              </w:rPr>
            </w:pPr>
            <w:r w:rsidRPr="00FB241A">
              <w:rPr>
                <w:rFonts w:ascii="Calibri" w:hAnsi="Calibri" w:cs="Calibri"/>
                <w:sz w:val="16"/>
                <w:szCs w:val="16"/>
                <w:lang w:val="en-IN" w:eastAsia="en-IN"/>
              </w:rPr>
              <w:t>-</w:t>
            </w:r>
          </w:p>
        </w:tc>
        <w:tc>
          <w:tcPr>
            <w:tcW w:w="480" w:type="dxa"/>
            <w:tcBorders>
              <w:top w:val="nil"/>
              <w:left w:val="nil"/>
              <w:bottom w:val="single" w:sz="4" w:space="0" w:color="auto"/>
              <w:right w:val="single" w:sz="4" w:space="0" w:color="auto"/>
            </w:tcBorders>
            <w:shd w:val="clear" w:color="auto" w:fill="auto"/>
            <w:noWrap/>
            <w:vAlign w:val="center"/>
            <w:hideMark/>
          </w:tcPr>
          <w:p w14:paraId="5E7054C4" w14:textId="77777777" w:rsidR="00974443" w:rsidRPr="00FB241A" w:rsidRDefault="00974443" w:rsidP="00A35221">
            <w:pPr>
              <w:jc w:val="center"/>
              <w:rPr>
                <w:rFonts w:ascii="Calibri" w:hAnsi="Calibri" w:cs="Calibri"/>
                <w:sz w:val="16"/>
                <w:szCs w:val="16"/>
                <w:lang w:val="en-IN" w:eastAsia="en-IN"/>
              </w:rPr>
            </w:pPr>
            <w:r w:rsidRPr="00FB241A">
              <w:rPr>
                <w:rFonts w:ascii="Calibri" w:hAnsi="Calibri" w:cs="Calibri"/>
                <w:sz w:val="16"/>
                <w:szCs w:val="16"/>
                <w:lang w:val="en-IN" w:eastAsia="en-IN"/>
              </w:rPr>
              <w:t>-</w:t>
            </w:r>
          </w:p>
        </w:tc>
        <w:tc>
          <w:tcPr>
            <w:tcW w:w="700" w:type="dxa"/>
            <w:tcBorders>
              <w:top w:val="nil"/>
              <w:left w:val="nil"/>
              <w:bottom w:val="single" w:sz="4" w:space="0" w:color="auto"/>
              <w:right w:val="single" w:sz="4" w:space="0" w:color="auto"/>
            </w:tcBorders>
            <w:shd w:val="clear" w:color="auto" w:fill="auto"/>
            <w:noWrap/>
            <w:vAlign w:val="center"/>
            <w:hideMark/>
          </w:tcPr>
          <w:p w14:paraId="1670BC72" w14:textId="77777777" w:rsidR="00974443" w:rsidRPr="00FB241A" w:rsidRDefault="00974443" w:rsidP="00A35221">
            <w:pPr>
              <w:jc w:val="center"/>
              <w:rPr>
                <w:rFonts w:ascii="Calibri" w:hAnsi="Calibri" w:cs="Calibri"/>
                <w:sz w:val="16"/>
                <w:szCs w:val="16"/>
                <w:lang w:val="en-IN" w:eastAsia="en-IN"/>
              </w:rPr>
            </w:pPr>
            <w:r w:rsidRPr="00FB241A">
              <w:rPr>
                <w:rFonts w:ascii="Calibri" w:hAnsi="Calibri" w:cs="Calibri"/>
                <w:sz w:val="16"/>
                <w:szCs w:val="16"/>
                <w:lang w:val="en-IN" w:eastAsia="en-IN"/>
              </w:rPr>
              <w:t>199.19</w:t>
            </w:r>
          </w:p>
        </w:tc>
        <w:tc>
          <w:tcPr>
            <w:tcW w:w="780" w:type="dxa"/>
            <w:tcBorders>
              <w:top w:val="nil"/>
              <w:left w:val="nil"/>
              <w:bottom w:val="single" w:sz="4" w:space="0" w:color="auto"/>
              <w:right w:val="single" w:sz="4" w:space="0" w:color="auto"/>
            </w:tcBorders>
            <w:shd w:val="clear" w:color="auto" w:fill="auto"/>
            <w:noWrap/>
            <w:vAlign w:val="center"/>
            <w:hideMark/>
          </w:tcPr>
          <w:p w14:paraId="7DFA21B3" w14:textId="77777777" w:rsidR="00974443" w:rsidRPr="00FB241A" w:rsidRDefault="00974443" w:rsidP="00A35221">
            <w:pPr>
              <w:jc w:val="center"/>
              <w:rPr>
                <w:rFonts w:ascii="Calibri" w:hAnsi="Calibri" w:cs="Calibri"/>
                <w:sz w:val="16"/>
                <w:szCs w:val="16"/>
                <w:lang w:val="en-IN" w:eastAsia="en-IN"/>
              </w:rPr>
            </w:pPr>
            <w:r w:rsidRPr="00FB241A">
              <w:rPr>
                <w:rFonts w:ascii="Calibri" w:hAnsi="Calibri" w:cs="Calibri"/>
                <w:sz w:val="16"/>
                <w:szCs w:val="16"/>
                <w:lang w:val="en-IN" w:eastAsia="en-IN"/>
              </w:rPr>
              <w:t>49.80</w:t>
            </w:r>
          </w:p>
        </w:tc>
      </w:tr>
      <w:tr w:rsidR="00974443" w:rsidRPr="00FB241A" w14:paraId="11F851DC" w14:textId="77777777" w:rsidTr="00A35221">
        <w:trPr>
          <w:trHeight w:val="450"/>
        </w:trPr>
        <w:tc>
          <w:tcPr>
            <w:tcW w:w="520" w:type="dxa"/>
            <w:tcBorders>
              <w:top w:val="nil"/>
              <w:left w:val="single" w:sz="4" w:space="0" w:color="auto"/>
              <w:bottom w:val="single" w:sz="4" w:space="0" w:color="auto"/>
              <w:right w:val="single" w:sz="4" w:space="0" w:color="auto"/>
            </w:tcBorders>
            <w:shd w:val="clear" w:color="auto" w:fill="auto"/>
            <w:noWrap/>
            <w:vAlign w:val="center"/>
            <w:hideMark/>
          </w:tcPr>
          <w:p w14:paraId="13C00345" w14:textId="77777777" w:rsidR="00974443" w:rsidRPr="00FB241A" w:rsidRDefault="00974443" w:rsidP="00A35221">
            <w:pPr>
              <w:jc w:val="center"/>
              <w:rPr>
                <w:rFonts w:ascii="Calibri" w:hAnsi="Calibri" w:cs="Calibri"/>
                <w:b/>
                <w:sz w:val="16"/>
                <w:szCs w:val="16"/>
                <w:lang w:val="en-IN" w:eastAsia="en-IN"/>
              </w:rPr>
            </w:pPr>
            <w:r w:rsidRPr="00FB241A">
              <w:rPr>
                <w:rFonts w:ascii="Calibri" w:hAnsi="Calibri" w:cs="Calibri"/>
                <w:b/>
                <w:sz w:val="16"/>
                <w:szCs w:val="16"/>
                <w:lang w:val="en-IN" w:eastAsia="en-IN"/>
              </w:rPr>
              <w:t>2</w:t>
            </w:r>
          </w:p>
        </w:tc>
        <w:tc>
          <w:tcPr>
            <w:tcW w:w="2340" w:type="dxa"/>
            <w:tcBorders>
              <w:top w:val="nil"/>
              <w:left w:val="nil"/>
              <w:bottom w:val="single" w:sz="4" w:space="0" w:color="auto"/>
              <w:right w:val="single" w:sz="4" w:space="0" w:color="auto"/>
            </w:tcBorders>
            <w:shd w:val="clear" w:color="auto" w:fill="auto"/>
            <w:vAlign w:val="center"/>
            <w:hideMark/>
          </w:tcPr>
          <w:p w14:paraId="484A36AC" w14:textId="77777777" w:rsidR="00974443" w:rsidRPr="00FB241A" w:rsidRDefault="00974443" w:rsidP="00A35221">
            <w:pPr>
              <w:rPr>
                <w:rFonts w:ascii="Calibri" w:hAnsi="Calibri" w:cs="Calibri"/>
                <w:sz w:val="16"/>
                <w:szCs w:val="16"/>
                <w:lang w:val="en-IN" w:eastAsia="en-IN"/>
              </w:rPr>
            </w:pPr>
            <w:r w:rsidRPr="00FB241A">
              <w:rPr>
                <w:rFonts w:ascii="Calibri" w:hAnsi="Calibri" w:cs="Calibri"/>
                <w:sz w:val="16"/>
                <w:szCs w:val="16"/>
                <w:lang w:val="en-IN" w:eastAsia="en-IN"/>
              </w:rPr>
              <w:t>Strengthening of Elephant Corridor-Grant</w:t>
            </w:r>
          </w:p>
        </w:tc>
        <w:tc>
          <w:tcPr>
            <w:tcW w:w="780" w:type="dxa"/>
            <w:tcBorders>
              <w:top w:val="nil"/>
              <w:left w:val="nil"/>
              <w:bottom w:val="single" w:sz="4" w:space="0" w:color="auto"/>
              <w:right w:val="single" w:sz="4" w:space="0" w:color="auto"/>
            </w:tcBorders>
            <w:shd w:val="clear" w:color="auto" w:fill="auto"/>
            <w:noWrap/>
            <w:vAlign w:val="center"/>
            <w:hideMark/>
          </w:tcPr>
          <w:p w14:paraId="62203EB2" w14:textId="77777777" w:rsidR="00974443" w:rsidRPr="00FB241A" w:rsidRDefault="00974443" w:rsidP="00A35221">
            <w:pPr>
              <w:jc w:val="center"/>
              <w:rPr>
                <w:rFonts w:ascii="Calibri" w:hAnsi="Calibri" w:cs="Calibri"/>
                <w:sz w:val="16"/>
                <w:szCs w:val="16"/>
                <w:lang w:val="en-IN" w:eastAsia="en-IN"/>
              </w:rPr>
            </w:pPr>
            <w:r w:rsidRPr="00FB241A">
              <w:rPr>
                <w:rFonts w:ascii="Calibri" w:hAnsi="Calibri" w:cs="Calibri"/>
                <w:sz w:val="16"/>
                <w:szCs w:val="16"/>
                <w:lang w:val="en-IN" w:eastAsia="en-IN"/>
              </w:rPr>
              <w:t>4167.82</w:t>
            </w:r>
          </w:p>
        </w:tc>
        <w:tc>
          <w:tcPr>
            <w:tcW w:w="780" w:type="dxa"/>
            <w:tcBorders>
              <w:top w:val="nil"/>
              <w:left w:val="nil"/>
              <w:bottom w:val="single" w:sz="4" w:space="0" w:color="auto"/>
              <w:right w:val="single" w:sz="4" w:space="0" w:color="auto"/>
            </w:tcBorders>
            <w:shd w:val="clear" w:color="auto" w:fill="auto"/>
            <w:noWrap/>
            <w:vAlign w:val="center"/>
            <w:hideMark/>
          </w:tcPr>
          <w:p w14:paraId="0A12272E" w14:textId="77777777" w:rsidR="00974443" w:rsidRPr="00FB241A" w:rsidRDefault="00974443" w:rsidP="00A35221">
            <w:pPr>
              <w:jc w:val="center"/>
              <w:rPr>
                <w:rFonts w:ascii="Calibri" w:hAnsi="Calibri" w:cs="Calibri"/>
                <w:sz w:val="16"/>
                <w:szCs w:val="16"/>
                <w:lang w:val="en-IN" w:eastAsia="en-IN"/>
              </w:rPr>
            </w:pPr>
            <w:r w:rsidRPr="00FB241A">
              <w:rPr>
                <w:rFonts w:ascii="Calibri" w:hAnsi="Calibri" w:cs="Calibri"/>
                <w:sz w:val="16"/>
                <w:szCs w:val="16"/>
                <w:lang w:val="en-IN" w:eastAsia="en-IN"/>
              </w:rPr>
              <w:t>2366.73</w:t>
            </w:r>
          </w:p>
        </w:tc>
        <w:tc>
          <w:tcPr>
            <w:tcW w:w="480" w:type="dxa"/>
            <w:tcBorders>
              <w:top w:val="nil"/>
              <w:left w:val="nil"/>
              <w:bottom w:val="single" w:sz="4" w:space="0" w:color="auto"/>
              <w:right w:val="single" w:sz="4" w:space="0" w:color="auto"/>
            </w:tcBorders>
            <w:shd w:val="clear" w:color="auto" w:fill="auto"/>
            <w:noWrap/>
            <w:vAlign w:val="center"/>
            <w:hideMark/>
          </w:tcPr>
          <w:p w14:paraId="7575D47E" w14:textId="77777777" w:rsidR="00974443" w:rsidRPr="00FB241A" w:rsidRDefault="00974443" w:rsidP="00A35221">
            <w:pPr>
              <w:jc w:val="center"/>
              <w:rPr>
                <w:rFonts w:ascii="Calibri" w:hAnsi="Calibri" w:cs="Calibri"/>
                <w:sz w:val="16"/>
                <w:szCs w:val="16"/>
                <w:lang w:val="en-IN" w:eastAsia="en-IN"/>
              </w:rPr>
            </w:pPr>
            <w:r w:rsidRPr="00FB241A">
              <w:rPr>
                <w:rFonts w:ascii="Calibri" w:hAnsi="Calibri" w:cs="Calibri"/>
                <w:sz w:val="16"/>
                <w:szCs w:val="16"/>
                <w:lang w:val="en-IN" w:eastAsia="en-IN"/>
              </w:rPr>
              <w:t>-</w:t>
            </w:r>
          </w:p>
        </w:tc>
        <w:tc>
          <w:tcPr>
            <w:tcW w:w="480" w:type="dxa"/>
            <w:tcBorders>
              <w:top w:val="nil"/>
              <w:left w:val="nil"/>
              <w:bottom w:val="single" w:sz="4" w:space="0" w:color="auto"/>
              <w:right w:val="single" w:sz="4" w:space="0" w:color="auto"/>
            </w:tcBorders>
            <w:shd w:val="clear" w:color="auto" w:fill="auto"/>
            <w:noWrap/>
            <w:vAlign w:val="center"/>
            <w:hideMark/>
          </w:tcPr>
          <w:p w14:paraId="4465DC3C" w14:textId="77777777" w:rsidR="00974443" w:rsidRPr="00FB241A" w:rsidRDefault="00974443" w:rsidP="00A35221">
            <w:pPr>
              <w:jc w:val="center"/>
              <w:rPr>
                <w:rFonts w:ascii="Calibri" w:hAnsi="Calibri" w:cs="Calibri"/>
                <w:sz w:val="16"/>
                <w:szCs w:val="16"/>
                <w:lang w:val="en-IN" w:eastAsia="en-IN"/>
              </w:rPr>
            </w:pPr>
            <w:r w:rsidRPr="00FB241A">
              <w:rPr>
                <w:rFonts w:ascii="Calibri" w:hAnsi="Calibri" w:cs="Calibri"/>
                <w:sz w:val="16"/>
                <w:szCs w:val="16"/>
                <w:lang w:val="en-IN" w:eastAsia="en-IN"/>
              </w:rPr>
              <w:t>-</w:t>
            </w:r>
          </w:p>
        </w:tc>
        <w:tc>
          <w:tcPr>
            <w:tcW w:w="780" w:type="dxa"/>
            <w:tcBorders>
              <w:top w:val="nil"/>
              <w:left w:val="nil"/>
              <w:bottom w:val="single" w:sz="4" w:space="0" w:color="auto"/>
              <w:right w:val="single" w:sz="4" w:space="0" w:color="auto"/>
            </w:tcBorders>
            <w:shd w:val="clear" w:color="auto" w:fill="auto"/>
            <w:noWrap/>
            <w:vAlign w:val="center"/>
            <w:hideMark/>
          </w:tcPr>
          <w:p w14:paraId="12BECA62" w14:textId="77777777" w:rsidR="00974443" w:rsidRPr="00FB241A" w:rsidRDefault="00974443" w:rsidP="00A35221">
            <w:pPr>
              <w:jc w:val="center"/>
              <w:rPr>
                <w:rFonts w:ascii="Calibri" w:hAnsi="Calibri" w:cs="Calibri"/>
                <w:sz w:val="16"/>
                <w:szCs w:val="16"/>
                <w:lang w:val="en-IN" w:eastAsia="en-IN"/>
              </w:rPr>
            </w:pPr>
            <w:r w:rsidRPr="00FB241A">
              <w:rPr>
                <w:rFonts w:ascii="Calibri" w:hAnsi="Calibri" w:cs="Calibri"/>
                <w:sz w:val="16"/>
                <w:szCs w:val="16"/>
                <w:lang w:val="en-IN" w:eastAsia="en-IN"/>
              </w:rPr>
              <w:t>4355.60</w:t>
            </w:r>
          </w:p>
        </w:tc>
        <w:tc>
          <w:tcPr>
            <w:tcW w:w="780" w:type="dxa"/>
            <w:tcBorders>
              <w:top w:val="nil"/>
              <w:left w:val="nil"/>
              <w:bottom w:val="single" w:sz="4" w:space="0" w:color="auto"/>
              <w:right w:val="single" w:sz="4" w:space="0" w:color="auto"/>
            </w:tcBorders>
            <w:shd w:val="clear" w:color="auto" w:fill="auto"/>
            <w:noWrap/>
            <w:vAlign w:val="center"/>
            <w:hideMark/>
          </w:tcPr>
          <w:p w14:paraId="3C66CA3F" w14:textId="77777777" w:rsidR="00974443" w:rsidRPr="00FB241A" w:rsidRDefault="00974443" w:rsidP="00A35221">
            <w:pPr>
              <w:jc w:val="center"/>
              <w:rPr>
                <w:rFonts w:ascii="Calibri" w:hAnsi="Calibri" w:cs="Calibri"/>
                <w:sz w:val="16"/>
                <w:szCs w:val="16"/>
                <w:lang w:val="en-IN" w:eastAsia="en-IN"/>
              </w:rPr>
            </w:pPr>
            <w:r w:rsidRPr="00FB241A">
              <w:rPr>
                <w:rFonts w:ascii="Calibri" w:hAnsi="Calibri" w:cs="Calibri"/>
                <w:sz w:val="16"/>
                <w:szCs w:val="16"/>
                <w:lang w:val="en-IN" w:eastAsia="en-IN"/>
              </w:rPr>
              <w:t>2178.95</w:t>
            </w:r>
          </w:p>
        </w:tc>
        <w:tc>
          <w:tcPr>
            <w:tcW w:w="700" w:type="dxa"/>
            <w:tcBorders>
              <w:top w:val="nil"/>
              <w:left w:val="nil"/>
              <w:bottom w:val="single" w:sz="4" w:space="0" w:color="auto"/>
              <w:right w:val="single" w:sz="4" w:space="0" w:color="auto"/>
            </w:tcBorders>
            <w:shd w:val="clear" w:color="auto" w:fill="auto"/>
            <w:noWrap/>
            <w:vAlign w:val="center"/>
            <w:hideMark/>
          </w:tcPr>
          <w:p w14:paraId="4E69B903" w14:textId="77777777" w:rsidR="00974443" w:rsidRPr="00FB241A" w:rsidRDefault="00974443" w:rsidP="00A35221">
            <w:pPr>
              <w:jc w:val="center"/>
              <w:rPr>
                <w:rFonts w:ascii="Calibri" w:hAnsi="Calibri" w:cs="Calibri"/>
                <w:sz w:val="16"/>
                <w:szCs w:val="16"/>
                <w:lang w:val="en-IN" w:eastAsia="en-IN"/>
              </w:rPr>
            </w:pPr>
            <w:r w:rsidRPr="00FB241A">
              <w:rPr>
                <w:rFonts w:ascii="Calibri" w:hAnsi="Calibri" w:cs="Calibri"/>
                <w:sz w:val="16"/>
                <w:szCs w:val="16"/>
                <w:lang w:val="en-IN" w:eastAsia="en-IN"/>
              </w:rPr>
              <w:t>544.74</w:t>
            </w:r>
          </w:p>
        </w:tc>
        <w:tc>
          <w:tcPr>
            <w:tcW w:w="480" w:type="dxa"/>
            <w:tcBorders>
              <w:top w:val="nil"/>
              <w:left w:val="nil"/>
              <w:bottom w:val="single" w:sz="4" w:space="0" w:color="auto"/>
              <w:right w:val="single" w:sz="4" w:space="0" w:color="auto"/>
            </w:tcBorders>
            <w:shd w:val="clear" w:color="auto" w:fill="auto"/>
            <w:noWrap/>
            <w:vAlign w:val="center"/>
            <w:hideMark/>
          </w:tcPr>
          <w:p w14:paraId="48EB9808" w14:textId="77777777" w:rsidR="00974443" w:rsidRPr="00FB241A" w:rsidRDefault="00974443" w:rsidP="00A35221">
            <w:pPr>
              <w:jc w:val="center"/>
              <w:rPr>
                <w:rFonts w:ascii="Calibri" w:hAnsi="Calibri" w:cs="Calibri"/>
                <w:sz w:val="16"/>
                <w:szCs w:val="16"/>
                <w:lang w:val="en-IN" w:eastAsia="en-IN"/>
              </w:rPr>
            </w:pPr>
            <w:r w:rsidRPr="00FB241A">
              <w:rPr>
                <w:rFonts w:ascii="Calibri" w:hAnsi="Calibri" w:cs="Calibri"/>
                <w:sz w:val="16"/>
                <w:szCs w:val="16"/>
                <w:lang w:val="en-IN" w:eastAsia="en-IN"/>
              </w:rPr>
              <w:t>-</w:t>
            </w:r>
          </w:p>
        </w:tc>
        <w:tc>
          <w:tcPr>
            <w:tcW w:w="480" w:type="dxa"/>
            <w:tcBorders>
              <w:top w:val="nil"/>
              <w:left w:val="nil"/>
              <w:bottom w:val="single" w:sz="4" w:space="0" w:color="auto"/>
              <w:right w:val="single" w:sz="4" w:space="0" w:color="auto"/>
            </w:tcBorders>
            <w:shd w:val="clear" w:color="auto" w:fill="auto"/>
            <w:noWrap/>
            <w:vAlign w:val="center"/>
            <w:hideMark/>
          </w:tcPr>
          <w:p w14:paraId="113452FC" w14:textId="77777777" w:rsidR="00974443" w:rsidRPr="00FB241A" w:rsidRDefault="00974443" w:rsidP="00A35221">
            <w:pPr>
              <w:jc w:val="center"/>
              <w:rPr>
                <w:rFonts w:ascii="Calibri" w:hAnsi="Calibri" w:cs="Calibri"/>
                <w:sz w:val="16"/>
                <w:szCs w:val="16"/>
                <w:lang w:val="en-IN" w:eastAsia="en-IN"/>
              </w:rPr>
            </w:pPr>
            <w:r w:rsidRPr="00FB241A">
              <w:rPr>
                <w:rFonts w:ascii="Calibri" w:hAnsi="Calibri" w:cs="Calibri"/>
                <w:sz w:val="16"/>
                <w:szCs w:val="16"/>
                <w:lang w:val="en-IN" w:eastAsia="en-IN"/>
              </w:rPr>
              <w:t>-</w:t>
            </w:r>
          </w:p>
        </w:tc>
        <w:tc>
          <w:tcPr>
            <w:tcW w:w="700" w:type="dxa"/>
            <w:tcBorders>
              <w:top w:val="nil"/>
              <w:left w:val="nil"/>
              <w:bottom w:val="single" w:sz="4" w:space="0" w:color="auto"/>
              <w:right w:val="single" w:sz="4" w:space="0" w:color="auto"/>
            </w:tcBorders>
            <w:shd w:val="clear" w:color="auto" w:fill="auto"/>
            <w:noWrap/>
            <w:vAlign w:val="center"/>
            <w:hideMark/>
          </w:tcPr>
          <w:p w14:paraId="1F604C7D" w14:textId="77777777" w:rsidR="00974443" w:rsidRPr="00FB241A" w:rsidRDefault="00974443" w:rsidP="00A35221">
            <w:pPr>
              <w:jc w:val="center"/>
              <w:rPr>
                <w:rFonts w:ascii="Calibri" w:hAnsi="Calibri" w:cs="Calibri"/>
                <w:sz w:val="16"/>
                <w:szCs w:val="16"/>
                <w:lang w:val="en-IN" w:eastAsia="en-IN"/>
              </w:rPr>
            </w:pPr>
            <w:r w:rsidRPr="00FB241A">
              <w:rPr>
                <w:rFonts w:ascii="Calibri" w:hAnsi="Calibri" w:cs="Calibri"/>
                <w:sz w:val="16"/>
                <w:szCs w:val="16"/>
                <w:lang w:val="en-IN" w:eastAsia="en-IN"/>
              </w:rPr>
              <w:t>2178.95</w:t>
            </w:r>
          </w:p>
        </w:tc>
        <w:tc>
          <w:tcPr>
            <w:tcW w:w="780" w:type="dxa"/>
            <w:tcBorders>
              <w:top w:val="nil"/>
              <w:left w:val="nil"/>
              <w:bottom w:val="single" w:sz="4" w:space="0" w:color="auto"/>
              <w:right w:val="single" w:sz="4" w:space="0" w:color="auto"/>
            </w:tcBorders>
            <w:shd w:val="clear" w:color="auto" w:fill="auto"/>
            <w:noWrap/>
            <w:vAlign w:val="center"/>
            <w:hideMark/>
          </w:tcPr>
          <w:p w14:paraId="4C632110" w14:textId="77777777" w:rsidR="00974443" w:rsidRPr="00FB241A" w:rsidRDefault="00974443" w:rsidP="00A35221">
            <w:pPr>
              <w:jc w:val="center"/>
              <w:rPr>
                <w:rFonts w:ascii="Calibri" w:hAnsi="Calibri" w:cs="Calibri"/>
                <w:sz w:val="16"/>
                <w:szCs w:val="16"/>
                <w:lang w:val="en-IN" w:eastAsia="en-IN"/>
              </w:rPr>
            </w:pPr>
            <w:r w:rsidRPr="00FB241A">
              <w:rPr>
                <w:rFonts w:ascii="Calibri" w:hAnsi="Calibri" w:cs="Calibri"/>
                <w:sz w:val="16"/>
                <w:szCs w:val="16"/>
                <w:lang w:val="en-IN" w:eastAsia="en-IN"/>
              </w:rPr>
              <w:t>544.74</w:t>
            </w:r>
          </w:p>
        </w:tc>
      </w:tr>
      <w:tr w:rsidR="00974443" w:rsidRPr="00FB241A" w14:paraId="481D8E38" w14:textId="77777777" w:rsidTr="00A35221">
        <w:trPr>
          <w:trHeight w:val="300"/>
        </w:trPr>
        <w:tc>
          <w:tcPr>
            <w:tcW w:w="520" w:type="dxa"/>
            <w:tcBorders>
              <w:top w:val="nil"/>
              <w:left w:val="single" w:sz="4" w:space="0" w:color="auto"/>
              <w:bottom w:val="single" w:sz="4" w:space="0" w:color="auto"/>
              <w:right w:val="single" w:sz="4" w:space="0" w:color="auto"/>
            </w:tcBorders>
            <w:shd w:val="clear" w:color="auto" w:fill="auto"/>
            <w:noWrap/>
            <w:vAlign w:val="center"/>
            <w:hideMark/>
          </w:tcPr>
          <w:p w14:paraId="7E691FBD" w14:textId="77777777" w:rsidR="00974443" w:rsidRPr="00FB241A" w:rsidRDefault="00974443" w:rsidP="00A35221">
            <w:pPr>
              <w:jc w:val="center"/>
              <w:rPr>
                <w:rFonts w:ascii="Calibri" w:hAnsi="Calibri" w:cs="Calibri"/>
                <w:b/>
                <w:sz w:val="16"/>
                <w:szCs w:val="16"/>
                <w:lang w:val="en-IN" w:eastAsia="en-IN"/>
              </w:rPr>
            </w:pPr>
            <w:r w:rsidRPr="00FB241A">
              <w:rPr>
                <w:rFonts w:ascii="Calibri" w:hAnsi="Calibri" w:cs="Calibri"/>
                <w:b/>
                <w:sz w:val="16"/>
                <w:szCs w:val="16"/>
                <w:lang w:val="en-IN" w:eastAsia="en-IN"/>
              </w:rPr>
              <w:t>3</w:t>
            </w:r>
          </w:p>
        </w:tc>
        <w:tc>
          <w:tcPr>
            <w:tcW w:w="2340" w:type="dxa"/>
            <w:tcBorders>
              <w:top w:val="nil"/>
              <w:left w:val="nil"/>
              <w:bottom w:val="single" w:sz="4" w:space="0" w:color="auto"/>
              <w:right w:val="single" w:sz="4" w:space="0" w:color="auto"/>
            </w:tcBorders>
            <w:shd w:val="clear" w:color="auto" w:fill="auto"/>
            <w:vAlign w:val="center"/>
            <w:hideMark/>
          </w:tcPr>
          <w:p w14:paraId="21F3860E" w14:textId="77777777" w:rsidR="00974443" w:rsidRPr="00FB241A" w:rsidRDefault="00974443" w:rsidP="00A35221">
            <w:pPr>
              <w:rPr>
                <w:rFonts w:ascii="Calibri" w:hAnsi="Calibri" w:cs="Calibri"/>
                <w:sz w:val="16"/>
                <w:szCs w:val="16"/>
                <w:lang w:val="en-IN" w:eastAsia="en-IN"/>
              </w:rPr>
            </w:pPr>
            <w:r w:rsidRPr="00FB241A">
              <w:rPr>
                <w:rFonts w:ascii="Calibri" w:hAnsi="Calibri" w:cs="Calibri"/>
                <w:sz w:val="16"/>
                <w:szCs w:val="16"/>
                <w:lang w:val="en-IN" w:eastAsia="en-IN"/>
              </w:rPr>
              <w:t>CAPEX Plan-</w:t>
            </w:r>
            <w:proofErr w:type="spellStart"/>
            <w:r w:rsidRPr="00FB241A">
              <w:rPr>
                <w:rFonts w:ascii="Calibri" w:hAnsi="Calibri" w:cs="Calibri"/>
                <w:sz w:val="16"/>
                <w:szCs w:val="16"/>
                <w:lang w:val="en-IN" w:eastAsia="en-IN"/>
              </w:rPr>
              <w:t>GoO</w:t>
            </w:r>
            <w:proofErr w:type="spellEnd"/>
          </w:p>
        </w:tc>
        <w:tc>
          <w:tcPr>
            <w:tcW w:w="780" w:type="dxa"/>
            <w:tcBorders>
              <w:top w:val="nil"/>
              <w:left w:val="nil"/>
              <w:bottom w:val="single" w:sz="4" w:space="0" w:color="auto"/>
              <w:right w:val="single" w:sz="4" w:space="0" w:color="auto"/>
            </w:tcBorders>
            <w:shd w:val="clear" w:color="auto" w:fill="auto"/>
            <w:noWrap/>
            <w:vAlign w:val="center"/>
            <w:hideMark/>
          </w:tcPr>
          <w:p w14:paraId="166A8C3F" w14:textId="77777777" w:rsidR="00974443" w:rsidRPr="00FB241A" w:rsidRDefault="00974443" w:rsidP="00A35221">
            <w:pPr>
              <w:jc w:val="center"/>
              <w:rPr>
                <w:rFonts w:ascii="Calibri" w:hAnsi="Calibri" w:cs="Calibri"/>
                <w:sz w:val="16"/>
                <w:szCs w:val="16"/>
                <w:lang w:val="en-IN" w:eastAsia="en-IN"/>
              </w:rPr>
            </w:pPr>
            <w:r w:rsidRPr="00FB241A">
              <w:rPr>
                <w:rFonts w:ascii="Calibri" w:hAnsi="Calibri" w:cs="Calibri"/>
                <w:sz w:val="16"/>
                <w:szCs w:val="16"/>
                <w:lang w:val="en-IN" w:eastAsia="en-IN"/>
              </w:rPr>
              <w:t>12.87</w:t>
            </w:r>
          </w:p>
        </w:tc>
        <w:tc>
          <w:tcPr>
            <w:tcW w:w="780" w:type="dxa"/>
            <w:tcBorders>
              <w:top w:val="nil"/>
              <w:left w:val="nil"/>
              <w:bottom w:val="single" w:sz="4" w:space="0" w:color="auto"/>
              <w:right w:val="single" w:sz="4" w:space="0" w:color="auto"/>
            </w:tcBorders>
            <w:shd w:val="clear" w:color="auto" w:fill="auto"/>
            <w:noWrap/>
            <w:vAlign w:val="center"/>
            <w:hideMark/>
          </w:tcPr>
          <w:p w14:paraId="10931977" w14:textId="77777777" w:rsidR="00974443" w:rsidRPr="00FB241A" w:rsidRDefault="00974443" w:rsidP="00A35221">
            <w:pPr>
              <w:jc w:val="center"/>
              <w:rPr>
                <w:rFonts w:ascii="Calibri" w:hAnsi="Calibri" w:cs="Calibri"/>
                <w:sz w:val="16"/>
                <w:szCs w:val="16"/>
                <w:lang w:val="en-IN" w:eastAsia="en-IN"/>
              </w:rPr>
            </w:pPr>
            <w:r w:rsidRPr="00FB241A">
              <w:rPr>
                <w:rFonts w:ascii="Calibri" w:hAnsi="Calibri" w:cs="Calibri"/>
                <w:sz w:val="16"/>
                <w:szCs w:val="16"/>
                <w:lang w:val="en-IN" w:eastAsia="en-IN"/>
              </w:rPr>
              <w:t>-12.87</w:t>
            </w:r>
          </w:p>
        </w:tc>
        <w:tc>
          <w:tcPr>
            <w:tcW w:w="480" w:type="dxa"/>
            <w:tcBorders>
              <w:top w:val="nil"/>
              <w:left w:val="nil"/>
              <w:bottom w:val="single" w:sz="4" w:space="0" w:color="auto"/>
              <w:right w:val="single" w:sz="4" w:space="0" w:color="auto"/>
            </w:tcBorders>
            <w:shd w:val="clear" w:color="auto" w:fill="auto"/>
            <w:noWrap/>
            <w:vAlign w:val="center"/>
            <w:hideMark/>
          </w:tcPr>
          <w:p w14:paraId="7644B621" w14:textId="77777777" w:rsidR="00974443" w:rsidRPr="00FB241A" w:rsidRDefault="00974443" w:rsidP="00A35221">
            <w:pPr>
              <w:jc w:val="center"/>
              <w:rPr>
                <w:rFonts w:ascii="Calibri" w:hAnsi="Calibri" w:cs="Calibri"/>
                <w:sz w:val="16"/>
                <w:szCs w:val="16"/>
                <w:lang w:val="en-IN" w:eastAsia="en-IN"/>
              </w:rPr>
            </w:pPr>
            <w:r w:rsidRPr="00FB241A">
              <w:rPr>
                <w:rFonts w:ascii="Calibri" w:hAnsi="Calibri" w:cs="Calibri"/>
                <w:sz w:val="16"/>
                <w:szCs w:val="16"/>
                <w:lang w:val="en-IN" w:eastAsia="en-IN"/>
              </w:rPr>
              <w:t>-</w:t>
            </w:r>
          </w:p>
        </w:tc>
        <w:tc>
          <w:tcPr>
            <w:tcW w:w="480" w:type="dxa"/>
            <w:tcBorders>
              <w:top w:val="nil"/>
              <w:left w:val="nil"/>
              <w:bottom w:val="single" w:sz="4" w:space="0" w:color="auto"/>
              <w:right w:val="single" w:sz="4" w:space="0" w:color="auto"/>
            </w:tcBorders>
            <w:shd w:val="clear" w:color="auto" w:fill="auto"/>
            <w:noWrap/>
            <w:vAlign w:val="center"/>
            <w:hideMark/>
          </w:tcPr>
          <w:p w14:paraId="450C1044" w14:textId="77777777" w:rsidR="00974443" w:rsidRPr="00FB241A" w:rsidRDefault="00974443" w:rsidP="00A35221">
            <w:pPr>
              <w:jc w:val="center"/>
              <w:rPr>
                <w:rFonts w:ascii="Calibri" w:hAnsi="Calibri" w:cs="Calibri"/>
                <w:sz w:val="16"/>
                <w:szCs w:val="16"/>
                <w:lang w:val="en-IN" w:eastAsia="en-IN"/>
              </w:rPr>
            </w:pPr>
            <w:r w:rsidRPr="00FB241A">
              <w:rPr>
                <w:rFonts w:ascii="Calibri" w:hAnsi="Calibri" w:cs="Calibri"/>
                <w:sz w:val="16"/>
                <w:szCs w:val="16"/>
                <w:lang w:val="en-IN" w:eastAsia="en-IN"/>
              </w:rPr>
              <w:t>-</w:t>
            </w:r>
          </w:p>
        </w:tc>
        <w:tc>
          <w:tcPr>
            <w:tcW w:w="780" w:type="dxa"/>
            <w:tcBorders>
              <w:top w:val="nil"/>
              <w:left w:val="nil"/>
              <w:bottom w:val="single" w:sz="4" w:space="0" w:color="auto"/>
              <w:right w:val="single" w:sz="4" w:space="0" w:color="auto"/>
            </w:tcBorders>
            <w:shd w:val="clear" w:color="auto" w:fill="auto"/>
            <w:noWrap/>
            <w:vAlign w:val="center"/>
            <w:hideMark/>
          </w:tcPr>
          <w:p w14:paraId="7AD8D957" w14:textId="77777777" w:rsidR="00974443" w:rsidRPr="00FB241A" w:rsidRDefault="00974443" w:rsidP="00A35221">
            <w:pPr>
              <w:jc w:val="center"/>
              <w:rPr>
                <w:rFonts w:ascii="Calibri" w:hAnsi="Calibri" w:cs="Calibri"/>
                <w:sz w:val="16"/>
                <w:szCs w:val="16"/>
                <w:lang w:val="en-IN" w:eastAsia="en-IN"/>
              </w:rPr>
            </w:pPr>
            <w:r w:rsidRPr="00FB241A">
              <w:rPr>
                <w:rFonts w:ascii="Calibri" w:hAnsi="Calibri" w:cs="Calibri"/>
                <w:sz w:val="16"/>
                <w:szCs w:val="16"/>
                <w:lang w:val="en-IN" w:eastAsia="en-IN"/>
              </w:rPr>
              <w:t>0.00</w:t>
            </w:r>
          </w:p>
        </w:tc>
        <w:tc>
          <w:tcPr>
            <w:tcW w:w="780" w:type="dxa"/>
            <w:tcBorders>
              <w:top w:val="nil"/>
              <w:left w:val="nil"/>
              <w:bottom w:val="single" w:sz="4" w:space="0" w:color="auto"/>
              <w:right w:val="single" w:sz="4" w:space="0" w:color="auto"/>
            </w:tcBorders>
            <w:shd w:val="clear" w:color="auto" w:fill="auto"/>
            <w:noWrap/>
            <w:vAlign w:val="center"/>
            <w:hideMark/>
          </w:tcPr>
          <w:p w14:paraId="6C16DA3C" w14:textId="77777777" w:rsidR="00974443" w:rsidRPr="00FB241A" w:rsidRDefault="00974443" w:rsidP="00A35221">
            <w:pPr>
              <w:jc w:val="center"/>
              <w:rPr>
                <w:rFonts w:ascii="Calibri" w:hAnsi="Calibri" w:cs="Calibri"/>
                <w:sz w:val="16"/>
                <w:szCs w:val="16"/>
                <w:lang w:val="en-IN" w:eastAsia="en-IN"/>
              </w:rPr>
            </w:pPr>
            <w:r w:rsidRPr="00FB241A">
              <w:rPr>
                <w:rFonts w:ascii="Calibri" w:hAnsi="Calibri" w:cs="Calibri"/>
                <w:sz w:val="16"/>
                <w:szCs w:val="16"/>
                <w:lang w:val="en-IN" w:eastAsia="en-IN"/>
              </w:rPr>
              <w:t>0.00</w:t>
            </w:r>
          </w:p>
        </w:tc>
        <w:tc>
          <w:tcPr>
            <w:tcW w:w="700" w:type="dxa"/>
            <w:tcBorders>
              <w:top w:val="nil"/>
              <w:left w:val="nil"/>
              <w:bottom w:val="single" w:sz="4" w:space="0" w:color="auto"/>
              <w:right w:val="single" w:sz="4" w:space="0" w:color="auto"/>
            </w:tcBorders>
            <w:shd w:val="clear" w:color="auto" w:fill="auto"/>
            <w:noWrap/>
            <w:vAlign w:val="center"/>
            <w:hideMark/>
          </w:tcPr>
          <w:p w14:paraId="43BF24E9" w14:textId="77777777" w:rsidR="00974443" w:rsidRPr="00FB241A" w:rsidRDefault="00974443" w:rsidP="00A35221">
            <w:pPr>
              <w:jc w:val="center"/>
              <w:rPr>
                <w:rFonts w:ascii="Calibri" w:hAnsi="Calibri" w:cs="Calibri"/>
                <w:sz w:val="16"/>
                <w:szCs w:val="16"/>
                <w:lang w:val="en-IN" w:eastAsia="en-IN"/>
              </w:rPr>
            </w:pPr>
            <w:r w:rsidRPr="00FB241A">
              <w:rPr>
                <w:rFonts w:ascii="Calibri" w:hAnsi="Calibri" w:cs="Calibri"/>
                <w:sz w:val="16"/>
                <w:szCs w:val="16"/>
                <w:lang w:val="en-IN" w:eastAsia="en-IN"/>
              </w:rPr>
              <w:t>0.00</w:t>
            </w:r>
          </w:p>
        </w:tc>
        <w:tc>
          <w:tcPr>
            <w:tcW w:w="480" w:type="dxa"/>
            <w:tcBorders>
              <w:top w:val="nil"/>
              <w:left w:val="nil"/>
              <w:bottom w:val="single" w:sz="4" w:space="0" w:color="auto"/>
              <w:right w:val="single" w:sz="4" w:space="0" w:color="auto"/>
            </w:tcBorders>
            <w:shd w:val="clear" w:color="auto" w:fill="auto"/>
            <w:noWrap/>
            <w:vAlign w:val="center"/>
            <w:hideMark/>
          </w:tcPr>
          <w:p w14:paraId="16F7D4E4" w14:textId="77777777" w:rsidR="00974443" w:rsidRPr="00FB241A" w:rsidRDefault="00974443" w:rsidP="00A35221">
            <w:pPr>
              <w:jc w:val="center"/>
              <w:rPr>
                <w:rFonts w:ascii="Calibri" w:hAnsi="Calibri" w:cs="Calibri"/>
                <w:sz w:val="16"/>
                <w:szCs w:val="16"/>
                <w:lang w:val="en-IN" w:eastAsia="en-IN"/>
              </w:rPr>
            </w:pPr>
            <w:r w:rsidRPr="00FB241A">
              <w:rPr>
                <w:rFonts w:ascii="Calibri" w:hAnsi="Calibri" w:cs="Calibri"/>
                <w:sz w:val="16"/>
                <w:szCs w:val="16"/>
                <w:lang w:val="en-IN" w:eastAsia="en-IN"/>
              </w:rPr>
              <w:t>-</w:t>
            </w:r>
          </w:p>
        </w:tc>
        <w:tc>
          <w:tcPr>
            <w:tcW w:w="480" w:type="dxa"/>
            <w:tcBorders>
              <w:top w:val="nil"/>
              <w:left w:val="nil"/>
              <w:bottom w:val="single" w:sz="4" w:space="0" w:color="auto"/>
              <w:right w:val="single" w:sz="4" w:space="0" w:color="auto"/>
            </w:tcBorders>
            <w:shd w:val="clear" w:color="auto" w:fill="auto"/>
            <w:noWrap/>
            <w:vAlign w:val="center"/>
            <w:hideMark/>
          </w:tcPr>
          <w:p w14:paraId="3CAEE4ED" w14:textId="77777777" w:rsidR="00974443" w:rsidRPr="00FB241A" w:rsidRDefault="00974443" w:rsidP="00A35221">
            <w:pPr>
              <w:jc w:val="center"/>
              <w:rPr>
                <w:rFonts w:ascii="Calibri" w:hAnsi="Calibri" w:cs="Calibri"/>
                <w:sz w:val="16"/>
                <w:szCs w:val="16"/>
                <w:lang w:val="en-IN" w:eastAsia="en-IN"/>
              </w:rPr>
            </w:pPr>
            <w:r w:rsidRPr="00FB241A">
              <w:rPr>
                <w:rFonts w:ascii="Calibri" w:hAnsi="Calibri" w:cs="Calibri"/>
                <w:sz w:val="16"/>
                <w:szCs w:val="16"/>
                <w:lang w:val="en-IN" w:eastAsia="en-IN"/>
              </w:rPr>
              <w:t>-</w:t>
            </w:r>
          </w:p>
        </w:tc>
        <w:tc>
          <w:tcPr>
            <w:tcW w:w="700" w:type="dxa"/>
            <w:tcBorders>
              <w:top w:val="nil"/>
              <w:left w:val="nil"/>
              <w:bottom w:val="single" w:sz="4" w:space="0" w:color="auto"/>
              <w:right w:val="single" w:sz="4" w:space="0" w:color="auto"/>
            </w:tcBorders>
            <w:shd w:val="clear" w:color="auto" w:fill="auto"/>
            <w:noWrap/>
            <w:vAlign w:val="center"/>
            <w:hideMark/>
          </w:tcPr>
          <w:p w14:paraId="1C91377C" w14:textId="77777777" w:rsidR="00974443" w:rsidRPr="00FB241A" w:rsidRDefault="00974443" w:rsidP="00A35221">
            <w:pPr>
              <w:jc w:val="center"/>
              <w:rPr>
                <w:rFonts w:ascii="Calibri" w:hAnsi="Calibri" w:cs="Calibri"/>
                <w:sz w:val="16"/>
                <w:szCs w:val="16"/>
                <w:lang w:val="en-IN" w:eastAsia="en-IN"/>
              </w:rPr>
            </w:pPr>
            <w:r w:rsidRPr="00FB241A">
              <w:rPr>
                <w:rFonts w:ascii="Calibri" w:hAnsi="Calibri" w:cs="Calibri"/>
                <w:sz w:val="16"/>
                <w:szCs w:val="16"/>
                <w:lang w:val="en-IN" w:eastAsia="en-IN"/>
              </w:rPr>
              <w:t>0.00</w:t>
            </w:r>
          </w:p>
        </w:tc>
        <w:tc>
          <w:tcPr>
            <w:tcW w:w="780" w:type="dxa"/>
            <w:tcBorders>
              <w:top w:val="nil"/>
              <w:left w:val="nil"/>
              <w:bottom w:val="single" w:sz="4" w:space="0" w:color="auto"/>
              <w:right w:val="single" w:sz="4" w:space="0" w:color="auto"/>
            </w:tcBorders>
            <w:shd w:val="clear" w:color="auto" w:fill="auto"/>
            <w:noWrap/>
            <w:vAlign w:val="center"/>
            <w:hideMark/>
          </w:tcPr>
          <w:p w14:paraId="0A0A4C4B" w14:textId="77777777" w:rsidR="00974443" w:rsidRPr="00FB241A" w:rsidRDefault="00974443" w:rsidP="00A35221">
            <w:pPr>
              <w:jc w:val="center"/>
              <w:rPr>
                <w:rFonts w:ascii="Calibri" w:hAnsi="Calibri" w:cs="Calibri"/>
                <w:sz w:val="16"/>
                <w:szCs w:val="16"/>
                <w:lang w:val="en-IN" w:eastAsia="en-IN"/>
              </w:rPr>
            </w:pPr>
            <w:r w:rsidRPr="00FB241A">
              <w:rPr>
                <w:rFonts w:ascii="Calibri" w:hAnsi="Calibri" w:cs="Calibri"/>
                <w:sz w:val="16"/>
                <w:szCs w:val="16"/>
                <w:lang w:val="en-IN" w:eastAsia="en-IN"/>
              </w:rPr>
              <w:t>0.00</w:t>
            </w:r>
          </w:p>
        </w:tc>
      </w:tr>
      <w:tr w:rsidR="00974443" w:rsidRPr="00FB241A" w14:paraId="6513DB17" w14:textId="77777777" w:rsidTr="00A35221">
        <w:trPr>
          <w:trHeight w:val="300"/>
        </w:trPr>
        <w:tc>
          <w:tcPr>
            <w:tcW w:w="520" w:type="dxa"/>
            <w:tcBorders>
              <w:top w:val="nil"/>
              <w:left w:val="single" w:sz="4" w:space="0" w:color="auto"/>
              <w:bottom w:val="single" w:sz="4" w:space="0" w:color="auto"/>
              <w:right w:val="single" w:sz="4" w:space="0" w:color="auto"/>
            </w:tcBorders>
            <w:shd w:val="clear" w:color="auto" w:fill="auto"/>
            <w:noWrap/>
            <w:vAlign w:val="center"/>
            <w:hideMark/>
          </w:tcPr>
          <w:p w14:paraId="30E5E44B" w14:textId="77777777" w:rsidR="00974443" w:rsidRPr="00FB241A" w:rsidRDefault="00974443" w:rsidP="00A35221">
            <w:pPr>
              <w:jc w:val="center"/>
              <w:rPr>
                <w:rFonts w:ascii="Calibri" w:hAnsi="Calibri" w:cs="Calibri"/>
                <w:b/>
                <w:sz w:val="16"/>
                <w:szCs w:val="16"/>
                <w:lang w:val="en-IN" w:eastAsia="en-IN"/>
              </w:rPr>
            </w:pPr>
            <w:r w:rsidRPr="00FB241A">
              <w:rPr>
                <w:rFonts w:ascii="Calibri" w:hAnsi="Calibri" w:cs="Calibri"/>
                <w:b/>
                <w:sz w:val="16"/>
                <w:szCs w:val="16"/>
                <w:lang w:val="en-IN" w:eastAsia="en-IN"/>
              </w:rPr>
              <w:t>4</w:t>
            </w:r>
          </w:p>
        </w:tc>
        <w:tc>
          <w:tcPr>
            <w:tcW w:w="2340" w:type="dxa"/>
            <w:tcBorders>
              <w:top w:val="nil"/>
              <w:left w:val="nil"/>
              <w:bottom w:val="single" w:sz="4" w:space="0" w:color="auto"/>
              <w:right w:val="single" w:sz="4" w:space="0" w:color="auto"/>
            </w:tcBorders>
            <w:shd w:val="clear" w:color="auto" w:fill="auto"/>
            <w:vAlign w:val="center"/>
            <w:hideMark/>
          </w:tcPr>
          <w:p w14:paraId="7E73E4F0" w14:textId="77777777" w:rsidR="00974443" w:rsidRPr="00FB241A" w:rsidRDefault="00974443" w:rsidP="00A35221">
            <w:pPr>
              <w:rPr>
                <w:rFonts w:ascii="Calibri" w:hAnsi="Calibri" w:cs="Calibri"/>
                <w:sz w:val="16"/>
                <w:szCs w:val="16"/>
                <w:lang w:val="en-IN" w:eastAsia="en-IN"/>
              </w:rPr>
            </w:pPr>
            <w:r w:rsidRPr="00FB241A">
              <w:rPr>
                <w:rFonts w:ascii="Calibri" w:hAnsi="Calibri" w:cs="Calibri"/>
                <w:sz w:val="16"/>
                <w:szCs w:val="16"/>
                <w:lang w:val="en-IN" w:eastAsia="en-IN"/>
              </w:rPr>
              <w:t>RGGJY- Grant</w:t>
            </w:r>
          </w:p>
        </w:tc>
        <w:tc>
          <w:tcPr>
            <w:tcW w:w="780" w:type="dxa"/>
            <w:tcBorders>
              <w:top w:val="nil"/>
              <w:left w:val="nil"/>
              <w:bottom w:val="single" w:sz="4" w:space="0" w:color="auto"/>
              <w:right w:val="single" w:sz="4" w:space="0" w:color="auto"/>
            </w:tcBorders>
            <w:shd w:val="clear" w:color="auto" w:fill="auto"/>
            <w:noWrap/>
            <w:vAlign w:val="center"/>
            <w:hideMark/>
          </w:tcPr>
          <w:p w14:paraId="3F22C745" w14:textId="77777777" w:rsidR="00974443" w:rsidRPr="00FB241A" w:rsidRDefault="00974443" w:rsidP="00A35221">
            <w:pPr>
              <w:jc w:val="center"/>
              <w:rPr>
                <w:rFonts w:ascii="Calibri" w:hAnsi="Calibri" w:cs="Calibri"/>
                <w:sz w:val="16"/>
                <w:szCs w:val="16"/>
                <w:lang w:val="en-IN" w:eastAsia="en-IN"/>
              </w:rPr>
            </w:pPr>
            <w:r w:rsidRPr="00FB241A">
              <w:rPr>
                <w:rFonts w:ascii="Calibri" w:hAnsi="Calibri" w:cs="Calibri"/>
                <w:sz w:val="16"/>
                <w:szCs w:val="16"/>
                <w:lang w:val="en-IN" w:eastAsia="en-IN"/>
              </w:rPr>
              <w:t>0.00</w:t>
            </w:r>
          </w:p>
        </w:tc>
        <w:tc>
          <w:tcPr>
            <w:tcW w:w="780" w:type="dxa"/>
            <w:tcBorders>
              <w:top w:val="nil"/>
              <w:left w:val="nil"/>
              <w:bottom w:val="single" w:sz="4" w:space="0" w:color="auto"/>
              <w:right w:val="single" w:sz="4" w:space="0" w:color="auto"/>
            </w:tcBorders>
            <w:shd w:val="clear" w:color="auto" w:fill="auto"/>
            <w:noWrap/>
            <w:vAlign w:val="center"/>
            <w:hideMark/>
          </w:tcPr>
          <w:p w14:paraId="3443741D" w14:textId="77777777" w:rsidR="00974443" w:rsidRPr="00FB241A" w:rsidRDefault="00974443" w:rsidP="00A35221">
            <w:pPr>
              <w:jc w:val="center"/>
              <w:rPr>
                <w:rFonts w:ascii="Calibri" w:hAnsi="Calibri" w:cs="Calibri"/>
                <w:sz w:val="16"/>
                <w:szCs w:val="16"/>
                <w:lang w:val="en-IN" w:eastAsia="en-IN"/>
              </w:rPr>
            </w:pPr>
            <w:r w:rsidRPr="00FB241A">
              <w:rPr>
                <w:rFonts w:ascii="Calibri" w:hAnsi="Calibri" w:cs="Calibri"/>
                <w:sz w:val="16"/>
                <w:szCs w:val="16"/>
                <w:lang w:val="en-IN" w:eastAsia="en-IN"/>
              </w:rPr>
              <w:t>0.00</w:t>
            </w:r>
          </w:p>
        </w:tc>
        <w:tc>
          <w:tcPr>
            <w:tcW w:w="480" w:type="dxa"/>
            <w:tcBorders>
              <w:top w:val="nil"/>
              <w:left w:val="nil"/>
              <w:bottom w:val="single" w:sz="4" w:space="0" w:color="auto"/>
              <w:right w:val="single" w:sz="4" w:space="0" w:color="auto"/>
            </w:tcBorders>
            <w:shd w:val="clear" w:color="auto" w:fill="auto"/>
            <w:noWrap/>
            <w:vAlign w:val="center"/>
            <w:hideMark/>
          </w:tcPr>
          <w:p w14:paraId="1ACA5268" w14:textId="77777777" w:rsidR="00974443" w:rsidRPr="00FB241A" w:rsidRDefault="00974443" w:rsidP="00A35221">
            <w:pPr>
              <w:jc w:val="center"/>
              <w:rPr>
                <w:rFonts w:ascii="Calibri" w:hAnsi="Calibri" w:cs="Calibri"/>
                <w:sz w:val="16"/>
                <w:szCs w:val="16"/>
                <w:lang w:val="en-IN" w:eastAsia="en-IN"/>
              </w:rPr>
            </w:pPr>
            <w:r w:rsidRPr="00FB241A">
              <w:rPr>
                <w:rFonts w:ascii="Calibri" w:hAnsi="Calibri" w:cs="Calibri"/>
                <w:sz w:val="16"/>
                <w:szCs w:val="16"/>
                <w:lang w:val="en-IN" w:eastAsia="en-IN"/>
              </w:rPr>
              <w:t>-</w:t>
            </w:r>
          </w:p>
        </w:tc>
        <w:tc>
          <w:tcPr>
            <w:tcW w:w="480" w:type="dxa"/>
            <w:tcBorders>
              <w:top w:val="nil"/>
              <w:left w:val="nil"/>
              <w:bottom w:val="single" w:sz="4" w:space="0" w:color="auto"/>
              <w:right w:val="single" w:sz="4" w:space="0" w:color="auto"/>
            </w:tcBorders>
            <w:shd w:val="clear" w:color="auto" w:fill="auto"/>
            <w:noWrap/>
            <w:vAlign w:val="center"/>
            <w:hideMark/>
          </w:tcPr>
          <w:p w14:paraId="5EC81966" w14:textId="77777777" w:rsidR="00974443" w:rsidRPr="00FB241A" w:rsidRDefault="00974443" w:rsidP="00A35221">
            <w:pPr>
              <w:jc w:val="center"/>
              <w:rPr>
                <w:rFonts w:ascii="Calibri" w:hAnsi="Calibri" w:cs="Calibri"/>
                <w:sz w:val="16"/>
                <w:szCs w:val="16"/>
                <w:lang w:val="en-IN" w:eastAsia="en-IN"/>
              </w:rPr>
            </w:pPr>
            <w:r w:rsidRPr="00FB241A">
              <w:rPr>
                <w:rFonts w:ascii="Calibri" w:hAnsi="Calibri" w:cs="Calibri"/>
                <w:sz w:val="16"/>
                <w:szCs w:val="16"/>
                <w:lang w:val="en-IN" w:eastAsia="en-IN"/>
              </w:rPr>
              <w:t>-</w:t>
            </w:r>
          </w:p>
        </w:tc>
        <w:tc>
          <w:tcPr>
            <w:tcW w:w="780" w:type="dxa"/>
            <w:tcBorders>
              <w:top w:val="nil"/>
              <w:left w:val="nil"/>
              <w:bottom w:val="single" w:sz="4" w:space="0" w:color="auto"/>
              <w:right w:val="single" w:sz="4" w:space="0" w:color="auto"/>
            </w:tcBorders>
            <w:shd w:val="clear" w:color="auto" w:fill="auto"/>
            <w:noWrap/>
            <w:vAlign w:val="center"/>
            <w:hideMark/>
          </w:tcPr>
          <w:p w14:paraId="3D83520B" w14:textId="77777777" w:rsidR="00974443" w:rsidRPr="00FB241A" w:rsidRDefault="00974443" w:rsidP="00A35221">
            <w:pPr>
              <w:jc w:val="center"/>
              <w:rPr>
                <w:rFonts w:ascii="Calibri" w:hAnsi="Calibri" w:cs="Calibri"/>
                <w:sz w:val="16"/>
                <w:szCs w:val="16"/>
                <w:lang w:val="en-IN" w:eastAsia="en-IN"/>
              </w:rPr>
            </w:pPr>
            <w:r w:rsidRPr="00FB241A">
              <w:rPr>
                <w:rFonts w:ascii="Calibri" w:hAnsi="Calibri" w:cs="Calibri"/>
                <w:sz w:val="16"/>
                <w:szCs w:val="16"/>
                <w:lang w:val="en-IN" w:eastAsia="en-IN"/>
              </w:rPr>
              <w:t>0.00</w:t>
            </w:r>
          </w:p>
        </w:tc>
        <w:tc>
          <w:tcPr>
            <w:tcW w:w="780" w:type="dxa"/>
            <w:tcBorders>
              <w:top w:val="nil"/>
              <w:left w:val="nil"/>
              <w:bottom w:val="single" w:sz="4" w:space="0" w:color="auto"/>
              <w:right w:val="single" w:sz="4" w:space="0" w:color="auto"/>
            </w:tcBorders>
            <w:shd w:val="clear" w:color="auto" w:fill="auto"/>
            <w:noWrap/>
            <w:vAlign w:val="center"/>
            <w:hideMark/>
          </w:tcPr>
          <w:p w14:paraId="71EF50BA" w14:textId="77777777" w:rsidR="00974443" w:rsidRPr="00FB241A" w:rsidRDefault="00974443" w:rsidP="00A35221">
            <w:pPr>
              <w:jc w:val="center"/>
              <w:rPr>
                <w:rFonts w:ascii="Calibri" w:hAnsi="Calibri" w:cs="Calibri"/>
                <w:sz w:val="16"/>
                <w:szCs w:val="16"/>
                <w:lang w:val="en-IN" w:eastAsia="en-IN"/>
              </w:rPr>
            </w:pPr>
            <w:r w:rsidRPr="00FB241A">
              <w:rPr>
                <w:rFonts w:ascii="Calibri" w:hAnsi="Calibri" w:cs="Calibri"/>
                <w:sz w:val="16"/>
                <w:szCs w:val="16"/>
                <w:lang w:val="en-IN" w:eastAsia="en-IN"/>
              </w:rPr>
              <w:t>0.00</w:t>
            </w:r>
          </w:p>
        </w:tc>
        <w:tc>
          <w:tcPr>
            <w:tcW w:w="700" w:type="dxa"/>
            <w:tcBorders>
              <w:top w:val="nil"/>
              <w:left w:val="nil"/>
              <w:bottom w:val="single" w:sz="4" w:space="0" w:color="auto"/>
              <w:right w:val="single" w:sz="4" w:space="0" w:color="auto"/>
            </w:tcBorders>
            <w:shd w:val="clear" w:color="auto" w:fill="auto"/>
            <w:noWrap/>
            <w:vAlign w:val="center"/>
            <w:hideMark/>
          </w:tcPr>
          <w:p w14:paraId="04F8DC85" w14:textId="77777777" w:rsidR="00974443" w:rsidRPr="00FB241A" w:rsidRDefault="00974443" w:rsidP="00A35221">
            <w:pPr>
              <w:jc w:val="center"/>
              <w:rPr>
                <w:rFonts w:ascii="Calibri" w:hAnsi="Calibri" w:cs="Calibri"/>
                <w:sz w:val="16"/>
                <w:szCs w:val="16"/>
                <w:lang w:val="en-IN" w:eastAsia="en-IN"/>
              </w:rPr>
            </w:pPr>
            <w:r w:rsidRPr="00FB241A">
              <w:rPr>
                <w:rFonts w:ascii="Calibri" w:hAnsi="Calibri" w:cs="Calibri"/>
                <w:sz w:val="16"/>
                <w:szCs w:val="16"/>
                <w:lang w:val="en-IN" w:eastAsia="en-IN"/>
              </w:rPr>
              <w:t>0.00</w:t>
            </w:r>
          </w:p>
        </w:tc>
        <w:tc>
          <w:tcPr>
            <w:tcW w:w="480" w:type="dxa"/>
            <w:tcBorders>
              <w:top w:val="nil"/>
              <w:left w:val="nil"/>
              <w:bottom w:val="single" w:sz="4" w:space="0" w:color="auto"/>
              <w:right w:val="single" w:sz="4" w:space="0" w:color="auto"/>
            </w:tcBorders>
            <w:shd w:val="clear" w:color="auto" w:fill="auto"/>
            <w:noWrap/>
            <w:vAlign w:val="center"/>
            <w:hideMark/>
          </w:tcPr>
          <w:p w14:paraId="5A3091FD" w14:textId="77777777" w:rsidR="00974443" w:rsidRPr="00FB241A" w:rsidRDefault="00974443" w:rsidP="00A35221">
            <w:pPr>
              <w:jc w:val="center"/>
              <w:rPr>
                <w:rFonts w:ascii="Calibri" w:hAnsi="Calibri" w:cs="Calibri"/>
                <w:sz w:val="16"/>
                <w:szCs w:val="16"/>
                <w:lang w:val="en-IN" w:eastAsia="en-IN"/>
              </w:rPr>
            </w:pPr>
            <w:r w:rsidRPr="00FB241A">
              <w:rPr>
                <w:rFonts w:ascii="Calibri" w:hAnsi="Calibri" w:cs="Calibri"/>
                <w:sz w:val="16"/>
                <w:szCs w:val="16"/>
                <w:lang w:val="en-IN" w:eastAsia="en-IN"/>
              </w:rPr>
              <w:t>-</w:t>
            </w:r>
          </w:p>
        </w:tc>
        <w:tc>
          <w:tcPr>
            <w:tcW w:w="480" w:type="dxa"/>
            <w:tcBorders>
              <w:top w:val="nil"/>
              <w:left w:val="nil"/>
              <w:bottom w:val="single" w:sz="4" w:space="0" w:color="auto"/>
              <w:right w:val="single" w:sz="4" w:space="0" w:color="auto"/>
            </w:tcBorders>
            <w:shd w:val="clear" w:color="auto" w:fill="auto"/>
            <w:noWrap/>
            <w:vAlign w:val="center"/>
            <w:hideMark/>
          </w:tcPr>
          <w:p w14:paraId="145D6F2E" w14:textId="77777777" w:rsidR="00974443" w:rsidRPr="00FB241A" w:rsidRDefault="00974443" w:rsidP="00A35221">
            <w:pPr>
              <w:jc w:val="center"/>
              <w:rPr>
                <w:rFonts w:ascii="Calibri" w:hAnsi="Calibri" w:cs="Calibri"/>
                <w:sz w:val="16"/>
                <w:szCs w:val="16"/>
                <w:lang w:val="en-IN" w:eastAsia="en-IN"/>
              </w:rPr>
            </w:pPr>
            <w:r w:rsidRPr="00FB241A">
              <w:rPr>
                <w:rFonts w:ascii="Calibri" w:hAnsi="Calibri" w:cs="Calibri"/>
                <w:sz w:val="16"/>
                <w:szCs w:val="16"/>
                <w:lang w:val="en-IN" w:eastAsia="en-IN"/>
              </w:rPr>
              <w:t>-</w:t>
            </w:r>
          </w:p>
        </w:tc>
        <w:tc>
          <w:tcPr>
            <w:tcW w:w="700" w:type="dxa"/>
            <w:tcBorders>
              <w:top w:val="nil"/>
              <w:left w:val="nil"/>
              <w:bottom w:val="single" w:sz="4" w:space="0" w:color="auto"/>
              <w:right w:val="single" w:sz="4" w:space="0" w:color="auto"/>
            </w:tcBorders>
            <w:shd w:val="clear" w:color="auto" w:fill="auto"/>
            <w:noWrap/>
            <w:vAlign w:val="center"/>
            <w:hideMark/>
          </w:tcPr>
          <w:p w14:paraId="5F7EEA23" w14:textId="77777777" w:rsidR="00974443" w:rsidRPr="00FB241A" w:rsidRDefault="00974443" w:rsidP="00A35221">
            <w:pPr>
              <w:jc w:val="center"/>
              <w:rPr>
                <w:rFonts w:ascii="Calibri" w:hAnsi="Calibri" w:cs="Calibri"/>
                <w:sz w:val="16"/>
                <w:szCs w:val="16"/>
                <w:lang w:val="en-IN" w:eastAsia="en-IN"/>
              </w:rPr>
            </w:pPr>
            <w:r w:rsidRPr="00FB241A">
              <w:rPr>
                <w:rFonts w:ascii="Calibri" w:hAnsi="Calibri" w:cs="Calibri"/>
                <w:sz w:val="16"/>
                <w:szCs w:val="16"/>
                <w:lang w:val="en-IN" w:eastAsia="en-IN"/>
              </w:rPr>
              <w:t>0.00</w:t>
            </w:r>
          </w:p>
        </w:tc>
        <w:tc>
          <w:tcPr>
            <w:tcW w:w="780" w:type="dxa"/>
            <w:tcBorders>
              <w:top w:val="nil"/>
              <w:left w:val="nil"/>
              <w:bottom w:val="single" w:sz="4" w:space="0" w:color="auto"/>
              <w:right w:val="single" w:sz="4" w:space="0" w:color="auto"/>
            </w:tcBorders>
            <w:shd w:val="clear" w:color="auto" w:fill="auto"/>
            <w:noWrap/>
            <w:vAlign w:val="center"/>
            <w:hideMark/>
          </w:tcPr>
          <w:p w14:paraId="22E923EC" w14:textId="77777777" w:rsidR="00974443" w:rsidRPr="00FB241A" w:rsidRDefault="00974443" w:rsidP="00A35221">
            <w:pPr>
              <w:jc w:val="center"/>
              <w:rPr>
                <w:rFonts w:ascii="Calibri" w:hAnsi="Calibri" w:cs="Calibri"/>
                <w:sz w:val="16"/>
                <w:szCs w:val="16"/>
                <w:lang w:val="en-IN" w:eastAsia="en-IN"/>
              </w:rPr>
            </w:pPr>
            <w:r w:rsidRPr="00FB241A">
              <w:rPr>
                <w:rFonts w:ascii="Calibri" w:hAnsi="Calibri" w:cs="Calibri"/>
                <w:sz w:val="16"/>
                <w:szCs w:val="16"/>
                <w:lang w:val="en-IN" w:eastAsia="en-IN"/>
              </w:rPr>
              <w:t>0.00</w:t>
            </w:r>
          </w:p>
        </w:tc>
      </w:tr>
      <w:tr w:rsidR="00974443" w:rsidRPr="00FB241A" w14:paraId="5A7C3936" w14:textId="77777777" w:rsidTr="00A35221">
        <w:trPr>
          <w:trHeight w:val="300"/>
        </w:trPr>
        <w:tc>
          <w:tcPr>
            <w:tcW w:w="520" w:type="dxa"/>
            <w:tcBorders>
              <w:top w:val="nil"/>
              <w:left w:val="single" w:sz="4" w:space="0" w:color="auto"/>
              <w:bottom w:val="single" w:sz="4" w:space="0" w:color="auto"/>
              <w:right w:val="single" w:sz="4" w:space="0" w:color="auto"/>
            </w:tcBorders>
            <w:shd w:val="clear" w:color="auto" w:fill="auto"/>
            <w:noWrap/>
            <w:vAlign w:val="center"/>
            <w:hideMark/>
          </w:tcPr>
          <w:p w14:paraId="45C8F0B3" w14:textId="77777777" w:rsidR="00974443" w:rsidRPr="00FB241A" w:rsidRDefault="00974443" w:rsidP="00A35221">
            <w:pPr>
              <w:jc w:val="center"/>
              <w:rPr>
                <w:rFonts w:ascii="Calibri" w:hAnsi="Calibri" w:cs="Calibri"/>
                <w:b/>
                <w:sz w:val="16"/>
                <w:szCs w:val="16"/>
                <w:lang w:val="en-IN" w:eastAsia="en-IN"/>
              </w:rPr>
            </w:pPr>
            <w:r w:rsidRPr="00FB241A">
              <w:rPr>
                <w:rFonts w:ascii="Calibri" w:hAnsi="Calibri" w:cs="Calibri"/>
                <w:b/>
                <w:sz w:val="16"/>
                <w:szCs w:val="16"/>
                <w:lang w:val="en-IN" w:eastAsia="en-IN"/>
              </w:rPr>
              <w:t>5</w:t>
            </w:r>
          </w:p>
        </w:tc>
        <w:tc>
          <w:tcPr>
            <w:tcW w:w="2340" w:type="dxa"/>
            <w:tcBorders>
              <w:top w:val="nil"/>
              <w:left w:val="nil"/>
              <w:bottom w:val="single" w:sz="4" w:space="0" w:color="auto"/>
              <w:right w:val="single" w:sz="4" w:space="0" w:color="auto"/>
            </w:tcBorders>
            <w:shd w:val="clear" w:color="auto" w:fill="auto"/>
            <w:vAlign w:val="center"/>
            <w:hideMark/>
          </w:tcPr>
          <w:p w14:paraId="48C6D9B8" w14:textId="77777777" w:rsidR="00974443" w:rsidRPr="00FB241A" w:rsidRDefault="00974443" w:rsidP="00A35221">
            <w:pPr>
              <w:rPr>
                <w:rFonts w:ascii="Calibri" w:hAnsi="Calibri" w:cs="Calibri"/>
                <w:sz w:val="16"/>
                <w:szCs w:val="16"/>
                <w:lang w:val="en-IN" w:eastAsia="en-IN"/>
              </w:rPr>
            </w:pPr>
            <w:r w:rsidRPr="00FB241A">
              <w:rPr>
                <w:rFonts w:ascii="Calibri" w:hAnsi="Calibri" w:cs="Calibri"/>
                <w:sz w:val="16"/>
                <w:szCs w:val="16"/>
                <w:lang w:val="en-IN" w:eastAsia="en-IN"/>
              </w:rPr>
              <w:t>BGJY- Grant</w:t>
            </w:r>
          </w:p>
        </w:tc>
        <w:tc>
          <w:tcPr>
            <w:tcW w:w="780" w:type="dxa"/>
            <w:tcBorders>
              <w:top w:val="nil"/>
              <w:left w:val="nil"/>
              <w:bottom w:val="single" w:sz="4" w:space="0" w:color="auto"/>
              <w:right w:val="single" w:sz="4" w:space="0" w:color="auto"/>
            </w:tcBorders>
            <w:shd w:val="clear" w:color="auto" w:fill="auto"/>
            <w:noWrap/>
            <w:vAlign w:val="center"/>
            <w:hideMark/>
          </w:tcPr>
          <w:p w14:paraId="0F9B47C1" w14:textId="77777777" w:rsidR="00974443" w:rsidRPr="00FB241A" w:rsidRDefault="00974443" w:rsidP="00A35221">
            <w:pPr>
              <w:jc w:val="center"/>
              <w:rPr>
                <w:rFonts w:ascii="Calibri" w:hAnsi="Calibri" w:cs="Calibri"/>
                <w:sz w:val="16"/>
                <w:szCs w:val="16"/>
                <w:lang w:val="en-IN" w:eastAsia="en-IN"/>
              </w:rPr>
            </w:pPr>
            <w:r w:rsidRPr="00FB241A">
              <w:rPr>
                <w:rFonts w:ascii="Calibri" w:hAnsi="Calibri" w:cs="Calibri"/>
                <w:sz w:val="16"/>
                <w:szCs w:val="16"/>
                <w:lang w:val="en-IN" w:eastAsia="en-IN"/>
              </w:rPr>
              <w:t>6448.18</w:t>
            </w:r>
          </w:p>
        </w:tc>
        <w:tc>
          <w:tcPr>
            <w:tcW w:w="780" w:type="dxa"/>
            <w:tcBorders>
              <w:top w:val="nil"/>
              <w:left w:val="nil"/>
              <w:bottom w:val="single" w:sz="4" w:space="0" w:color="auto"/>
              <w:right w:val="single" w:sz="4" w:space="0" w:color="auto"/>
            </w:tcBorders>
            <w:shd w:val="clear" w:color="auto" w:fill="auto"/>
            <w:noWrap/>
            <w:vAlign w:val="center"/>
            <w:hideMark/>
          </w:tcPr>
          <w:p w14:paraId="531C7DC5" w14:textId="77777777" w:rsidR="00974443" w:rsidRPr="00FB241A" w:rsidRDefault="00974443" w:rsidP="00A35221">
            <w:pPr>
              <w:jc w:val="center"/>
              <w:rPr>
                <w:rFonts w:ascii="Calibri" w:hAnsi="Calibri" w:cs="Calibri"/>
                <w:sz w:val="16"/>
                <w:szCs w:val="16"/>
                <w:lang w:val="en-IN" w:eastAsia="en-IN"/>
              </w:rPr>
            </w:pPr>
            <w:r w:rsidRPr="00FB241A">
              <w:rPr>
                <w:rFonts w:ascii="Calibri" w:hAnsi="Calibri" w:cs="Calibri"/>
                <w:sz w:val="16"/>
                <w:szCs w:val="16"/>
                <w:lang w:val="en-IN" w:eastAsia="en-IN"/>
              </w:rPr>
              <w:t>3086.37</w:t>
            </w:r>
          </w:p>
        </w:tc>
        <w:tc>
          <w:tcPr>
            <w:tcW w:w="480" w:type="dxa"/>
            <w:tcBorders>
              <w:top w:val="nil"/>
              <w:left w:val="nil"/>
              <w:bottom w:val="single" w:sz="4" w:space="0" w:color="auto"/>
              <w:right w:val="single" w:sz="4" w:space="0" w:color="auto"/>
            </w:tcBorders>
            <w:shd w:val="clear" w:color="auto" w:fill="auto"/>
            <w:noWrap/>
            <w:vAlign w:val="center"/>
            <w:hideMark/>
          </w:tcPr>
          <w:p w14:paraId="0711D36C" w14:textId="77777777" w:rsidR="00974443" w:rsidRPr="00FB241A" w:rsidRDefault="00974443" w:rsidP="00A35221">
            <w:pPr>
              <w:jc w:val="center"/>
              <w:rPr>
                <w:rFonts w:ascii="Calibri" w:hAnsi="Calibri" w:cs="Calibri"/>
                <w:sz w:val="16"/>
                <w:szCs w:val="16"/>
                <w:lang w:val="en-IN" w:eastAsia="en-IN"/>
              </w:rPr>
            </w:pPr>
            <w:r w:rsidRPr="00FB241A">
              <w:rPr>
                <w:rFonts w:ascii="Calibri" w:hAnsi="Calibri" w:cs="Calibri"/>
                <w:sz w:val="16"/>
                <w:szCs w:val="16"/>
                <w:lang w:val="en-IN" w:eastAsia="en-IN"/>
              </w:rPr>
              <w:t>-</w:t>
            </w:r>
          </w:p>
        </w:tc>
        <w:tc>
          <w:tcPr>
            <w:tcW w:w="480" w:type="dxa"/>
            <w:tcBorders>
              <w:top w:val="nil"/>
              <w:left w:val="nil"/>
              <w:bottom w:val="single" w:sz="4" w:space="0" w:color="auto"/>
              <w:right w:val="single" w:sz="4" w:space="0" w:color="auto"/>
            </w:tcBorders>
            <w:shd w:val="clear" w:color="auto" w:fill="auto"/>
            <w:noWrap/>
            <w:vAlign w:val="center"/>
            <w:hideMark/>
          </w:tcPr>
          <w:p w14:paraId="51E89C71" w14:textId="77777777" w:rsidR="00974443" w:rsidRPr="00FB241A" w:rsidRDefault="00974443" w:rsidP="00A35221">
            <w:pPr>
              <w:jc w:val="center"/>
              <w:rPr>
                <w:rFonts w:ascii="Calibri" w:hAnsi="Calibri" w:cs="Calibri"/>
                <w:sz w:val="16"/>
                <w:szCs w:val="16"/>
                <w:lang w:val="en-IN" w:eastAsia="en-IN"/>
              </w:rPr>
            </w:pPr>
            <w:r w:rsidRPr="00FB241A">
              <w:rPr>
                <w:rFonts w:ascii="Calibri" w:hAnsi="Calibri" w:cs="Calibri"/>
                <w:sz w:val="16"/>
                <w:szCs w:val="16"/>
                <w:lang w:val="en-IN" w:eastAsia="en-IN"/>
              </w:rPr>
              <w:t>-</w:t>
            </w:r>
          </w:p>
        </w:tc>
        <w:tc>
          <w:tcPr>
            <w:tcW w:w="780" w:type="dxa"/>
            <w:tcBorders>
              <w:top w:val="nil"/>
              <w:left w:val="nil"/>
              <w:bottom w:val="single" w:sz="4" w:space="0" w:color="auto"/>
              <w:right w:val="single" w:sz="4" w:space="0" w:color="auto"/>
            </w:tcBorders>
            <w:shd w:val="clear" w:color="auto" w:fill="auto"/>
            <w:noWrap/>
            <w:vAlign w:val="center"/>
            <w:hideMark/>
          </w:tcPr>
          <w:p w14:paraId="63C67C75" w14:textId="77777777" w:rsidR="00974443" w:rsidRPr="00FB241A" w:rsidRDefault="00974443" w:rsidP="00A35221">
            <w:pPr>
              <w:jc w:val="center"/>
              <w:rPr>
                <w:rFonts w:ascii="Calibri" w:hAnsi="Calibri" w:cs="Calibri"/>
                <w:sz w:val="16"/>
                <w:szCs w:val="16"/>
                <w:lang w:val="en-IN" w:eastAsia="en-IN"/>
              </w:rPr>
            </w:pPr>
            <w:r w:rsidRPr="00FB241A">
              <w:rPr>
                <w:rFonts w:ascii="Calibri" w:hAnsi="Calibri" w:cs="Calibri"/>
                <w:sz w:val="16"/>
                <w:szCs w:val="16"/>
                <w:lang w:val="en-IN" w:eastAsia="en-IN"/>
              </w:rPr>
              <w:t>6343.69</w:t>
            </w:r>
          </w:p>
        </w:tc>
        <w:tc>
          <w:tcPr>
            <w:tcW w:w="780" w:type="dxa"/>
            <w:tcBorders>
              <w:top w:val="nil"/>
              <w:left w:val="nil"/>
              <w:bottom w:val="single" w:sz="4" w:space="0" w:color="auto"/>
              <w:right w:val="single" w:sz="4" w:space="0" w:color="auto"/>
            </w:tcBorders>
            <w:shd w:val="clear" w:color="auto" w:fill="auto"/>
            <w:noWrap/>
            <w:vAlign w:val="center"/>
            <w:hideMark/>
          </w:tcPr>
          <w:p w14:paraId="50A17370" w14:textId="77777777" w:rsidR="00974443" w:rsidRPr="00FB241A" w:rsidRDefault="00974443" w:rsidP="00A35221">
            <w:pPr>
              <w:jc w:val="center"/>
              <w:rPr>
                <w:rFonts w:ascii="Calibri" w:hAnsi="Calibri" w:cs="Calibri"/>
                <w:sz w:val="16"/>
                <w:szCs w:val="16"/>
                <w:lang w:val="en-IN" w:eastAsia="en-IN"/>
              </w:rPr>
            </w:pPr>
            <w:r w:rsidRPr="00FB241A">
              <w:rPr>
                <w:rFonts w:ascii="Calibri" w:hAnsi="Calibri" w:cs="Calibri"/>
                <w:sz w:val="16"/>
                <w:szCs w:val="16"/>
                <w:lang w:val="en-IN" w:eastAsia="en-IN"/>
              </w:rPr>
              <w:t>3190.86</w:t>
            </w:r>
          </w:p>
        </w:tc>
        <w:tc>
          <w:tcPr>
            <w:tcW w:w="700" w:type="dxa"/>
            <w:tcBorders>
              <w:top w:val="nil"/>
              <w:left w:val="nil"/>
              <w:bottom w:val="single" w:sz="4" w:space="0" w:color="auto"/>
              <w:right w:val="single" w:sz="4" w:space="0" w:color="auto"/>
            </w:tcBorders>
            <w:shd w:val="clear" w:color="auto" w:fill="auto"/>
            <w:noWrap/>
            <w:vAlign w:val="center"/>
            <w:hideMark/>
          </w:tcPr>
          <w:p w14:paraId="5CD66ED8" w14:textId="77777777" w:rsidR="00974443" w:rsidRPr="00FB241A" w:rsidRDefault="00974443" w:rsidP="00A35221">
            <w:pPr>
              <w:jc w:val="center"/>
              <w:rPr>
                <w:rFonts w:ascii="Calibri" w:hAnsi="Calibri" w:cs="Calibri"/>
                <w:sz w:val="16"/>
                <w:szCs w:val="16"/>
                <w:lang w:val="en-IN" w:eastAsia="en-IN"/>
              </w:rPr>
            </w:pPr>
            <w:r w:rsidRPr="00FB241A">
              <w:rPr>
                <w:rFonts w:ascii="Calibri" w:hAnsi="Calibri" w:cs="Calibri"/>
                <w:sz w:val="16"/>
                <w:szCs w:val="16"/>
                <w:lang w:val="en-IN" w:eastAsia="en-IN"/>
              </w:rPr>
              <w:t>797.72</w:t>
            </w:r>
          </w:p>
        </w:tc>
        <w:tc>
          <w:tcPr>
            <w:tcW w:w="480" w:type="dxa"/>
            <w:tcBorders>
              <w:top w:val="nil"/>
              <w:left w:val="nil"/>
              <w:bottom w:val="single" w:sz="4" w:space="0" w:color="auto"/>
              <w:right w:val="single" w:sz="4" w:space="0" w:color="auto"/>
            </w:tcBorders>
            <w:shd w:val="clear" w:color="auto" w:fill="auto"/>
            <w:noWrap/>
            <w:vAlign w:val="center"/>
            <w:hideMark/>
          </w:tcPr>
          <w:p w14:paraId="29674889" w14:textId="77777777" w:rsidR="00974443" w:rsidRPr="00FB241A" w:rsidRDefault="00974443" w:rsidP="00A35221">
            <w:pPr>
              <w:jc w:val="center"/>
              <w:rPr>
                <w:rFonts w:ascii="Calibri" w:hAnsi="Calibri" w:cs="Calibri"/>
                <w:sz w:val="16"/>
                <w:szCs w:val="16"/>
                <w:lang w:val="en-IN" w:eastAsia="en-IN"/>
              </w:rPr>
            </w:pPr>
            <w:r w:rsidRPr="00FB241A">
              <w:rPr>
                <w:rFonts w:ascii="Calibri" w:hAnsi="Calibri" w:cs="Calibri"/>
                <w:sz w:val="16"/>
                <w:szCs w:val="16"/>
                <w:lang w:val="en-IN" w:eastAsia="en-IN"/>
              </w:rPr>
              <w:t>-</w:t>
            </w:r>
          </w:p>
        </w:tc>
        <w:tc>
          <w:tcPr>
            <w:tcW w:w="480" w:type="dxa"/>
            <w:tcBorders>
              <w:top w:val="nil"/>
              <w:left w:val="nil"/>
              <w:bottom w:val="single" w:sz="4" w:space="0" w:color="auto"/>
              <w:right w:val="single" w:sz="4" w:space="0" w:color="auto"/>
            </w:tcBorders>
            <w:shd w:val="clear" w:color="auto" w:fill="auto"/>
            <w:noWrap/>
            <w:vAlign w:val="center"/>
            <w:hideMark/>
          </w:tcPr>
          <w:p w14:paraId="7A56711B" w14:textId="77777777" w:rsidR="00974443" w:rsidRPr="00FB241A" w:rsidRDefault="00974443" w:rsidP="00A35221">
            <w:pPr>
              <w:jc w:val="center"/>
              <w:rPr>
                <w:rFonts w:ascii="Calibri" w:hAnsi="Calibri" w:cs="Calibri"/>
                <w:sz w:val="16"/>
                <w:szCs w:val="16"/>
                <w:lang w:val="en-IN" w:eastAsia="en-IN"/>
              </w:rPr>
            </w:pPr>
            <w:r w:rsidRPr="00FB241A">
              <w:rPr>
                <w:rFonts w:ascii="Calibri" w:hAnsi="Calibri" w:cs="Calibri"/>
                <w:sz w:val="16"/>
                <w:szCs w:val="16"/>
                <w:lang w:val="en-IN" w:eastAsia="en-IN"/>
              </w:rPr>
              <w:t>-</w:t>
            </w:r>
          </w:p>
        </w:tc>
        <w:tc>
          <w:tcPr>
            <w:tcW w:w="700" w:type="dxa"/>
            <w:tcBorders>
              <w:top w:val="nil"/>
              <w:left w:val="nil"/>
              <w:bottom w:val="single" w:sz="4" w:space="0" w:color="auto"/>
              <w:right w:val="single" w:sz="4" w:space="0" w:color="auto"/>
            </w:tcBorders>
            <w:shd w:val="clear" w:color="auto" w:fill="auto"/>
            <w:noWrap/>
            <w:vAlign w:val="center"/>
            <w:hideMark/>
          </w:tcPr>
          <w:p w14:paraId="613E01A2" w14:textId="77777777" w:rsidR="00974443" w:rsidRPr="00FB241A" w:rsidRDefault="00974443" w:rsidP="00A35221">
            <w:pPr>
              <w:jc w:val="center"/>
              <w:rPr>
                <w:rFonts w:ascii="Calibri" w:hAnsi="Calibri" w:cs="Calibri"/>
                <w:sz w:val="16"/>
                <w:szCs w:val="16"/>
                <w:lang w:val="en-IN" w:eastAsia="en-IN"/>
              </w:rPr>
            </w:pPr>
            <w:r w:rsidRPr="00FB241A">
              <w:rPr>
                <w:rFonts w:ascii="Calibri" w:hAnsi="Calibri" w:cs="Calibri"/>
                <w:sz w:val="16"/>
                <w:szCs w:val="16"/>
                <w:lang w:val="en-IN" w:eastAsia="en-IN"/>
              </w:rPr>
              <w:t>1337.50</w:t>
            </w:r>
          </w:p>
        </w:tc>
        <w:tc>
          <w:tcPr>
            <w:tcW w:w="780" w:type="dxa"/>
            <w:tcBorders>
              <w:top w:val="nil"/>
              <w:left w:val="nil"/>
              <w:bottom w:val="single" w:sz="4" w:space="0" w:color="auto"/>
              <w:right w:val="single" w:sz="4" w:space="0" w:color="auto"/>
            </w:tcBorders>
            <w:shd w:val="clear" w:color="auto" w:fill="auto"/>
            <w:noWrap/>
            <w:vAlign w:val="center"/>
            <w:hideMark/>
          </w:tcPr>
          <w:p w14:paraId="22D18230" w14:textId="77777777" w:rsidR="00974443" w:rsidRPr="00FB241A" w:rsidRDefault="00974443" w:rsidP="00A35221">
            <w:pPr>
              <w:jc w:val="center"/>
              <w:rPr>
                <w:rFonts w:ascii="Calibri" w:hAnsi="Calibri" w:cs="Calibri"/>
                <w:sz w:val="16"/>
                <w:szCs w:val="16"/>
                <w:lang w:val="en-IN" w:eastAsia="en-IN"/>
              </w:rPr>
            </w:pPr>
            <w:r w:rsidRPr="00FB241A">
              <w:rPr>
                <w:rFonts w:ascii="Calibri" w:hAnsi="Calibri" w:cs="Calibri"/>
                <w:sz w:val="16"/>
                <w:szCs w:val="16"/>
                <w:lang w:val="en-IN" w:eastAsia="en-IN"/>
              </w:rPr>
              <w:t>2651.08</w:t>
            </w:r>
          </w:p>
        </w:tc>
      </w:tr>
      <w:tr w:rsidR="00974443" w:rsidRPr="00FB241A" w14:paraId="03235DB5" w14:textId="77777777" w:rsidTr="00A35221">
        <w:trPr>
          <w:trHeight w:val="300"/>
        </w:trPr>
        <w:tc>
          <w:tcPr>
            <w:tcW w:w="520" w:type="dxa"/>
            <w:tcBorders>
              <w:top w:val="nil"/>
              <w:left w:val="single" w:sz="4" w:space="0" w:color="auto"/>
              <w:bottom w:val="single" w:sz="4" w:space="0" w:color="auto"/>
              <w:right w:val="single" w:sz="4" w:space="0" w:color="auto"/>
            </w:tcBorders>
            <w:shd w:val="clear" w:color="auto" w:fill="auto"/>
            <w:noWrap/>
            <w:vAlign w:val="center"/>
            <w:hideMark/>
          </w:tcPr>
          <w:p w14:paraId="6AABBB49" w14:textId="77777777" w:rsidR="00974443" w:rsidRPr="00FB241A" w:rsidRDefault="00974443" w:rsidP="00A35221">
            <w:pPr>
              <w:jc w:val="center"/>
              <w:rPr>
                <w:rFonts w:ascii="Calibri" w:hAnsi="Calibri" w:cs="Calibri"/>
                <w:b/>
                <w:sz w:val="16"/>
                <w:szCs w:val="16"/>
                <w:lang w:val="en-IN" w:eastAsia="en-IN"/>
              </w:rPr>
            </w:pPr>
            <w:r w:rsidRPr="00FB241A">
              <w:rPr>
                <w:rFonts w:ascii="Calibri" w:hAnsi="Calibri" w:cs="Calibri"/>
                <w:b/>
                <w:sz w:val="16"/>
                <w:szCs w:val="16"/>
                <w:lang w:val="en-IN" w:eastAsia="en-IN"/>
              </w:rPr>
              <w:t>6</w:t>
            </w:r>
          </w:p>
        </w:tc>
        <w:tc>
          <w:tcPr>
            <w:tcW w:w="2340" w:type="dxa"/>
            <w:tcBorders>
              <w:top w:val="nil"/>
              <w:left w:val="nil"/>
              <w:bottom w:val="single" w:sz="4" w:space="0" w:color="auto"/>
              <w:right w:val="single" w:sz="4" w:space="0" w:color="auto"/>
            </w:tcBorders>
            <w:shd w:val="clear" w:color="auto" w:fill="auto"/>
            <w:vAlign w:val="center"/>
            <w:hideMark/>
          </w:tcPr>
          <w:p w14:paraId="593CC439" w14:textId="77777777" w:rsidR="00974443" w:rsidRPr="00FB241A" w:rsidRDefault="00974443" w:rsidP="00A35221">
            <w:pPr>
              <w:rPr>
                <w:rFonts w:ascii="Calibri" w:hAnsi="Calibri" w:cs="Calibri"/>
                <w:sz w:val="16"/>
                <w:szCs w:val="16"/>
                <w:lang w:val="en-IN" w:eastAsia="en-IN"/>
              </w:rPr>
            </w:pPr>
            <w:r w:rsidRPr="00FB241A">
              <w:rPr>
                <w:rFonts w:ascii="Calibri" w:hAnsi="Calibri" w:cs="Calibri"/>
                <w:sz w:val="16"/>
                <w:szCs w:val="16"/>
                <w:lang w:val="en-IN" w:eastAsia="en-IN"/>
              </w:rPr>
              <w:t>SAUBHAGYA-Grant</w:t>
            </w:r>
          </w:p>
        </w:tc>
        <w:tc>
          <w:tcPr>
            <w:tcW w:w="780" w:type="dxa"/>
            <w:tcBorders>
              <w:top w:val="nil"/>
              <w:left w:val="nil"/>
              <w:bottom w:val="single" w:sz="4" w:space="0" w:color="auto"/>
              <w:right w:val="single" w:sz="4" w:space="0" w:color="auto"/>
            </w:tcBorders>
            <w:shd w:val="clear" w:color="auto" w:fill="auto"/>
            <w:noWrap/>
            <w:vAlign w:val="center"/>
            <w:hideMark/>
          </w:tcPr>
          <w:p w14:paraId="0B409D58" w14:textId="77777777" w:rsidR="00974443" w:rsidRPr="00FB241A" w:rsidRDefault="00974443" w:rsidP="00A35221">
            <w:pPr>
              <w:jc w:val="center"/>
              <w:rPr>
                <w:rFonts w:ascii="Calibri" w:hAnsi="Calibri" w:cs="Calibri"/>
                <w:sz w:val="16"/>
                <w:szCs w:val="16"/>
                <w:lang w:val="en-IN" w:eastAsia="en-IN"/>
              </w:rPr>
            </w:pPr>
            <w:r w:rsidRPr="00FB241A">
              <w:rPr>
                <w:rFonts w:ascii="Calibri" w:hAnsi="Calibri" w:cs="Calibri"/>
                <w:sz w:val="16"/>
                <w:szCs w:val="16"/>
                <w:lang w:val="en-IN" w:eastAsia="en-IN"/>
              </w:rPr>
              <w:t>0.27</w:t>
            </w:r>
          </w:p>
        </w:tc>
        <w:tc>
          <w:tcPr>
            <w:tcW w:w="780" w:type="dxa"/>
            <w:tcBorders>
              <w:top w:val="nil"/>
              <w:left w:val="nil"/>
              <w:bottom w:val="single" w:sz="4" w:space="0" w:color="auto"/>
              <w:right w:val="single" w:sz="4" w:space="0" w:color="auto"/>
            </w:tcBorders>
            <w:shd w:val="clear" w:color="auto" w:fill="auto"/>
            <w:noWrap/>
            <w:vAlign w:val="center"/>
            <w:hideMark/>
          </w:tcPr>
          <w:p w14:paraId="48E0FC41" w14:textId="77777777" w:rsidR="00974443" w:rsidRPr="00FB241A" w:rsidRDefault="00974443" w:rsidP="00A35221">
            <w:pPr>
              <w:jc w:val="center"/>
              <w:rPr>
                <w:rFonts w:ascii="Calibri" w:hAnsi="Calibri" w:cs="Calibri"/>
                <w:sz w:val="16"/>
                <w:szCs w:val="16"/>
                <w:lang w:val="en-IN" w:eastAsia="en-IN"/>
              </w:rPr>
            </w:pPr>
            <w:r w:rsidRPr="00FB241A">
              <w:rPr>
                <w:rFonts w:ascii="Calibri" w:hAnsi="Calibri" w:cs="Calibri"/>
                <w:sz w:val="16"/>
                <w:szCs w:val="16"/>
                <w:lang w:val="en-IN" w:eastAsia="en-IN"/>
              </w:rPr>
              <w:t>20.81</w:t>
            </w:r>
          </w:p>
        </w:tc>
        <w:tc>
          <w:tcPr>
            <w:tcW w:w="480" w:type="dxa"/>
            <w:tcBorders>
              <w:top w:val="nil"/>
              <w:left w:val="nil"/>
              <w:bottom w:val="single" w:sz="4" w:space="0" w:color="auto"/>
              <w:right w:val="single" w:sz="4" w:space="0" w:color="auto"/>
            </w:tcBorders>
            <w:shd w:val="clear" w:color="auto" w:fill="auto"/>
            <w:noWrap/>
            <w:vAlign w:val="center"/>
            <w:hideMark/>
          </w:tcPr>
          <w:p w14:paraId="7A3A27CB" w14:textId="77777777" w:rsidR="00974443" w:rsidRPr="00FB241A" w:rsidRDefault="00974443" w:rsidP="00A35221">
            <w:pPr>
              <w:jc w:val="center"/>
              <w:rPr>
                <w:rFonts w:ascii="Calibri" w:hAnsi="Calibri" w:cs="Calibri"/>
                <w:sz w:val="16"/>
                <w:szCs w:val="16"/>
                <w:lang w:val="en-IN" w:eastAsia="en-IN"/>
              </w:rPr>
            </w:pPr>
            <w:r w:rsidRPr="00FB241A">
              <w:rPr>
                <w:rFonts w:ascii="Calibri" w:hAnsi="Calibri" w:cs="Calibri"/>
                <w:sz w:val="16"/>
                <w:szCs w:val="16"/>
                <w:lang w:val="en-IN" w:eastAsia="en-IN"/>
              </w:rPr>
              <w:t>-</w:t>
            </w:r>
          </w:p>
        </w:tc>
        <w:tc>
          <w:tcPr>
            <w:tcW w:w="480" w:type="dxa"/>
            <w:tcBorders>
              <w:top w:val="nil"/>
              <w:left w:val="nil"/>
              <w:bottom w:val="single" w:sz="4" w:space="0" w:color="auto"/>
              <w:right w:val="single" w:sz="4" w:space="0" w:color="auto"/>
            </w:tcBorders>
            <w:shd w:val="clear" w:color="auto" w:fill="auto"/>
            <w:noWrap/>
            <w:vAlign w:val="center"/>
            <w:hideMark/>
          </w:tcPr>
          <w:p w14:paraId="2415A350" w14:textId="77777777" w:rsidR="00974443" w:rsidRPr="00FB241A" w:rsidRDefault="00974443" w:rsidP="00A35221">
            <w:pPr>
              <w:jc w:val="center"/>
              <w:rPr>
                <w:rFonts w:ascii="Calibri" w:hAnsi="Calibri" w:cs="Calibri"/>
                <w:sz w:val="16"/>
                <w:szCs w:val="16"/>
                <w:lang w:val="en-IN" w:eastAsia="en-IN"/>
              </w:rPr>
            </w:pPr>
            <w:r w:rsidRPr="00FB241A">
              <w:rPr>
                <w:rFonts w:ascii="Calibri" w:hAnsi="Calibri" w:cs="Calibri"/>
                <w:sz w:val="16"/>
                <w:szCs w:val="16"/>
                <w:lang w:val="en-IN" w:eastAsia="en-IN"/>
              </w:rPr>
              <w:t>-</w:t>
            </w:r>
          </w:p>
        </w:tc>
        <w:tc>
          <w:tcPr>
            <w:tcW w:w="780" w:type="dxa"/>
            <w:tcBorders>
              <w:top w:val="nil"/>
              <w:left w:val="nil"/>
              <w:bottom w:val="single" w:sz="4" w:space="0" w:color="auto"/>
              <w:right w:val="single" w:sz="4" w:space="0" w:color="auto"/>
            </w:tcBorders>
            <w:shd w:val="clear" w:color="auto" w:fill="auto"/>
            <w:noWrap/>
            <w:vAlign w:val="center"/>
            <w:hideMark/>
          </w:tcPr>
          <w:p w14:paraId="6D27049C" w14:textId="77777777" w:rsidR="00974443" w:rsidRPr="00FB241A" w:rsidRDefault="00974443" w:rsidP="00A35221">
            <w:pPr>
              <w:jc w:val="center"/>
              <w:rPr>
                <w:rFonts w:ascii="Calibri" w:hAnsi="Calibri" w:cs="Calibri"/>
                <w:sz w:val="16"/>
                <w:szCs w:val="16"/>
                <w:lang w:val="en-IN" w:eastAsia="en-IN"/>
              </w:rPr>
            </w:pPr>
            <w:r w:rsidRPr="00FB241A">
              <w:rPr>
                <w:rFonts w:ascii="Calibri" w:hAnsi="Calibri" w:cs="Calibri"/>
                <w:sz w:val="16"/>
                <w:szCs w:val="16"/>
                <w:lang w:val="en-IN" w:eastAsia="en-IN"/>
              </w:rPr>
              <w:t>0.00</w:t>
            </w:r>
          </w:p>
        </w:tc>
        <w:tc>
          <w:tcPr>
            <w:tcW w:w="780" w:type="dxa"/>
            <w:tcBorders>
              <w:top w:val="nil"/>
              <w:left w:val="nil"/>
              <w:bottom w:val="single" w:sz="4" w:space="0" w:color="auto"/>
              <w:right w:val="single" w:sz="4" w:space="0" w:color="auto"/>
            </w:tcBorders>
            <w:shd w:val="clear" w:color="auto" w:fill="auto"/>
            <w:noWrap/>
            <w:vAlign w:val="center"/>
            <w:hideMark/>
          </w:tcPr>
          <w:p w14:paraId="0CE8B8A1" w14:textId="77777777" w:rsidR="00974443" w:rsidRPr="00FB241A" w:rsidRDefault="00974443" w:rsidP="00A35221">
            <w:pPr>
              <w:jc w:val="center"/>
              <w:rPr>
                <w:rFonts w:ascii="Calibri" w:hAnsi="Calibri" w:cs="Calibri"/>
                <w:sz w:val="16"/>
                <w:szCs w:val="16"/>
                <w:lang w:val="en-IN" w:eastAsia="en-IN"/>
              </w:rPr>
            </w:pPr>
            <w:r w:rsidRPr="00FB241A">
              <w:rPr>
                <w:rFonts w:ascii="Calibri" w:hAnsi="Calibri" w:cs="Calibri"/>
                <w:sz w:val="16"/>
                <w:szCs w:val="16"/>
                <w:lang w:val="en-IN" w:eastAsia="en-IN"/>
              </w:rPr>
              <w:t>21.08</w:t>
            </w:r>
          </w:p>
        </w:tc>
        <w:tc>
          <w:tcPr>
            <w:tcW w:w="700" w:type="dxa"/>
            <w:tcBorders>
              <w:top w:val="nil"/>
              <w:left w:val="nil"/>
              <w:bottom w:val="single" w:sz="4" w:space="0" w:color="auto"/>
              <w:right w:val="single" w:sz="4" w:space="0" w:color="auto"/>
            </w:tcBorders>
            <w:shd w:val="clear" w:color="auto" w:fill="auto"/>
            <w:noWrap/>
            <w:vAlign w:val="center"/>
            <w:hideMark/>
          </w:tcPr>
          <w:p w14:paraId="56FFB7F4" w14:textId="77777777" w:rsidR="00974443" w:rsidRPr="00FB241A" w:rsidRDefault="00974443" w:rsidP="00A35221">
            <w:pPr>
              <w:jc w:val="center"/>
              <w:rPr>
                <w:rFonts w:ascii="Calibri" w:hAnsi="Calibri" w:cs="Calibri"/>
                <w:sz w:val="16"/>
                <w:szCs w:val="16"/>
                <w:lang w:val="en-IN" w:eastAsia="en-IN"/>
              </w:rPr>
            </w:pPr>
            <w:r w:rsidRPr="00FB241A">
              <w:rPr>
                <w:rFonts w:ascii="Calibri" w:hAnsi="Calibri" w:cs="Calibri"/>
                <w:sz w:val="16"/>
                <w:szCs w:val="16"/>
                <w:lang w:val="en-IN" w:eastAsia="en-IN"/>
              </w:rPr>
              <w:t>5.27</w:t>
            </w:r>
          </w:p>
        </w:tc>
        <w:tc>
          <w:tcPr>
            <w:tcW w:w="480" w:type="dxa"/>
            <w:tcBorders>
              <w:top w:val="nil"/>
              <w:left w:val="nil"/>
              <w:bottom w:val="single" w:sz="4" w:space="0" w:color="auto"/>
              <w:right w:val="single" w:sz="4" w:space="0" w:color="auto"/>
            </w:tcBorders>
            <w:shd w:val="clear" w:color="auto" w:fill="auto"/>
            <w:noWrap/>
            <w:vAlign w:val="center"/>
            <w:hideMark/>
          </w:tcPr>
          <w:p w14:paraId="2B40DFB6" w14:textId="77777777" w:rsidR="00974443" w:rsidRPr="00FB241A" w:rsidRDefault="00974443" w:rsidP="00A35221">
            <w:pPr>
              <w:jc w:val="center"/>
              <w:rPr>
                <w:rFonts w:ascii="Calibri" w:hAnsi="Calibri" w:cs="Calibri"/>
                <w:sz w:val="16"/>
                <w:szCs w:val="16"/>
                <w:lang w:val="en-IN" w:eastAsia="en-IN"/>
              </w:rPr>
            </w:pPr>
            <w:r w:rsidRPr="00FB241A">
              <w:rPr>
                <w:rFonts w:ascii="Calibri" w:hAnsi="Calibri" w:cs="Calibri"/>
                <w:sz w:val="16"/>
                <w:szCs w:val="16"/>
                <w:lang w:val="en-IN" w:eastAsia="en-IN"/>
              </w:rPr>
              <w:t>-</w:t>
            </w:r>
          </w:p>
        </w:tc>
        <w:tc>
          <w:tcPr>
            <w:tcW w:w="480" w:type="dxa"/>
            <w:tcBorders>
              <w:top w:val="nil"/>
              <w:left w:val="nil"/>
              <w:bottom w:val="single" w:sz="4" w:space="0" w:color="auto"/>
              <w:right w:val="single" w:sz="4" w:space="0" w:color="auto"/>
            </w:tcBorders>
            <w:shd w:val="clear" w:color="auto" w:fill="auto"/>
            <w:noWrap/>
            <w:vAlign w:val="center"/>
            <w:hideMark/>
          </w:tcPr>
          <w:p w14:paraId="72D31B50" w14:textId="77777777" w:rsidR="00974443" w:rsidRPr="00FB241A" w:rsidRDefault="00974443" w:rsidP="00A35221">
            <w:pPr>
              <w:jc w:val="center"/>
              <w:rPr>
                <w:rFonts w:ascii="Calibri" w:hAnsi="Calibri" w:cs="Calibri"/>
                <w:sz w:val="16"/>
                <w:szCs w:val="16"/>
                <w:lang w:val="en-IN" w:eastAsia="en-IN"/>
              </w:rPr>
            </w:pPr>
            <w:r w:rsidRPr="00FB241A">
              <w:rPr>
                <w:rFonts w:ascii="Calibri" w:hAnsi="Calibri" w:cs="Calibri"/>
                <w:sz w:val="16"/>
                <w:szCs w:val="16"/>
                <w:lang w:val="en-IN" w:eastAsia="en-IN"/>
              </w:rPr>
              <w:t>-</w:t>
            </w:r>
          </w:p>
        </w:tc>
        <w:tc>
          <w:tcPr>
            <w:tcW w:w="700" w:type="dxa"/>
            <w:tcBorders>
              <w:top w:val="nil"/>
              <w:left w:val="nil"/>
              <w:bottom w:val="single" w:sz="4" w:space="0" w:color="auto"/>
              <w:right w:val="single" w:sz="4" w:space="0" w:color="auto"/>
            </w:tcBorders>
            <w:shd w:val="clear" w:color="auto" w:fill="auto"/>
            <w:noWrap/>
            <w:vAlign w:val="center"/>
            <w:hideMark/>
          </w:tcPr>
          <w:p w14:paraId="27CBAFDE" w14:textId="77777777" w:rsidR="00974443" w:rsidRPr="00FB241A" w:rsidRDefault="00974443" w:rsidP="00A35221">
            <w:pPr>
              <w:jc w:val="center"/>
              <w:rPr>
                <w:rFonts w:ascii="Calibri" w:hAnsi="Calibri" w:cs="Calibri"/>
                <w:sz w:val="16"/>
                <w:szCs w:val="16"/>
                <w:lang w:val="en-IN" w:eastAsia="en-IN"/>
              </w:rPr>
            </w:pPr>
            <w:r w:rsidRPr="00FB241A">
              <w:rPr>
                <w:rFonts w:ascii="Calibri" w:hAnsi="Calibri" w:cs="Calibri"/>
                <w:sz w:val="16"/>
                <w:szCs w:val="16"/>
                <w:lang w:val="en-IN" w:eastAsia="en-IN"/>
              </w:rPr>
              <w:t>21.08</w:t>
            </w:r>
          </w:p>
        </w:tc>
        <w:tc>
          <w:tcPr>
            <w:tcW w:w="780" w:type="dxa"/>
            <w:tcBorders>
              <w:top w:val="nil"/>
              <w:left w:val="nil"/>
              <w:bottom w:val="single" w:sz="4" w:space="0" w:color="auto"/>
              <w:right w:val="single" w:sz="4" w:space="0" w:color="auto"/>
            </w:tcBorders>
            <w:shd w:val="clear" w:color="auto" w:fill="auto"/>
            <w:noWrap/>
            <w:vAlign w:val="center"/>
            <w:hideMark/>
          </w:tcPr>
          <w:p w14:paraId="4C26AF64" w14:textId="77777777" w:rsidR="00974443" w:rsidRPr="00FB241A" w:rsidRDefault="00974443" w:rsidP="00A35221">
            <w:pPr>
              <w:jc w:val="center"/>
              <w:rPr>
                <w:rFonts w:ascii="Calibri" w:hAnsi="Calibri" w:cs="Calibri"/>
                <w:sz w:val="16"/>
                <w:szCs w:val="16"/>
                <w:lang w:val="en-IN" w:eastAsia="en-IN"/>
              </w:rPr>
            </w:pPr>
            <w:r w:rsidRPr="00FB241A">
              <w:rPr>
                <w:rFonts w:ascii="Calibri" w:hAnsi="Calibri" w:cs="Calibri"/>
                <w:sz w:val="16"/>
                <w:szCs w:val="16"/>
                <w:lang w:val="en-IN" w:eastAsia="en-IN"/>
              </w:rPr>
              <w:t>5.27</w:t>
            </w:r>
          </w:p>
        </w:tc>
      </w:tr>
      <w:tr w:rsidR="00974443" w:rsidRPr="00FB241A" w14:paraId="1B043AEF" w14:textId="77777777" w:rsidTr="00A35221">
        <w:trPr>
          <w:trHeight w:val="300"/>
        </w:trPr>
        <w:tc>
          <w:tcPr>
            <w:tcW w:w="520" w:type="dxa"/>
            <w:tcBorders>
              <w:top w:val="nil"/>
              <w:left w:val="single" w:sz="4" w:space="0" w:color="auto"/>
              <w:bottom w:val="single" w:sz="4" w:space="0" w:color="auto"/>
              <w:right w:val="single" w:sz="4" w:space="0" w:color="auto"/>
            </w:tcBorders>
            <w:shd w:val="clear" w:color="auto" w:fill="auto"/>
            <w:noWrap/>
            <w:vAlign w:val="center"/>
            <w:hideMark/>
          </w:tcPr>
          <w:p w14:paraId="7ECE9C14" w14:textId="77777777" w:rsidR="00974443" w:rsidRPr="00FB241A" w:rsidRDefault="00974443" w:rsidP="00A35221">
            <w:pPr>
              <w:jc w:val="center"/>
              <w:rPr>
                <w:rFonts w:ascii="Calibri" w:hAnsi="Calibri" w:cs="Calibri"/>
                <w:b/>
                <w:sz w:val="16"/>
                <w:szCs w:val="16"/>
                <w:lang w:val="en-IN" w:eastAsia="en-IN"/>
              </w:rPr>
            </w:pPr>
            <w:r w:rsidRPr="00FB241A">
              <w:rPr>
                <w:rFonts w:ascii="Calibri" w:hAnsi="Calibri" w:cs="Calibri"/>
                <w:b/>
                <w:sz w:val="16"/>
                <w:szCs w:val="16"/>
                <w:lang w:val="en-IN" w:eastAsia="en-IN"/>
              </w:rPr>
              <w:t>7</w:t>
            </w:r>
          </w:p>
        </w:tc>
        <w:tc>
          <w:tcPr>
            <w:tcW w:w="2340" w:type="dxa"/>
            <w:tcBorders>
              <w:top w:val="nil"/>
              <w:left w:val="nil"/>
              <w:bottom w:val="single" w:sz="4" w:space="0" w:color="auto"/>
              <w:right w:val="single" w:sz="4" w:space="0" w:color="auto"/>
            </w:tcBorders>
            <w:shd w:val="clear" w:color="auto" w:fill="auto"/>
            <w:vAlign w:val="center"/>
            <w:hideMark/>
          </w:tcPr>
          <w:p w14:paraId="5746955E" w14:textId="77777777" w:rsidR="00974443" w:rsidRPr="00FB241A" w:rsidRDefault="00974443" w:rsidP="00A35221">
            <w:pPr>
              <w:rPr>
                <w:rFonts w:ascii="Calibri" w:hAnsi="Calibri" w:cs="Calibri"/>
                <w:sz w:val="16"/>
                <w:szCs w:val="16"/>
                <w:lang w:val="en-IN" w:eastAsia="en-IN"/>
              </w:rPr>
            </w:pPr>
            <w:r w:rsidRPr="00FB241A">
              <w:rPr>
                <w:rFonts w:ascii="Calibri" w:hAnsi="Calibri" w:cs="Calibri"/>
                <w:sz w:val="16"/>
                <w:szCs w:val="16"/>
                <w:lang w:val="en-IN" w:eastAsia="en-IN"/>
              </w:rPr>
              <w:t>OPTCL-ODSSP- Grant</w:t>
            </w:r>
          </w:p>
        </w:tc>
        <w:tc>
          <w:tcPr>
            <w:tcW w:w="780" w:type="dxa"/>
            <w:tcBorders>
              <w:top w:val="nil"/>
              <w:left w:val="nil"/>
              <w:bottom w:val="single" w:sz="4" w:space="0" w:color="auto"/>
              <w:right w:val="single" w:sz="4" w:space="0" w:color="auto"/>
            </w:tcBorders>
            <w:shd w:val="clear" w:color="auto" w:fill="auto"/>
            <w:noWrap/>
            <w:vAlign w:val="center"/>
            <w:hideMark/>
          </w:tcPr>
          <w:p w14:paraId="49DD097F" w14:textId="77777777" w:rsidR="00974443" w:rsidRPr="00FB241A" w:rsidRDefault="00974443" w:rsidP="00A35221">
            <w:pPr>
              <w:jc w:val="center"/>
              <w:rPr>
                <w:rFonts w:ascii="Calibri" w:hAnsi="Calibri" w:cs="Calibri"/>
                <w:sz w:val="16"/>
                <w:szCs w:val="16"/>
                <w:lang w:val="en-IN" w:eastAsia="en-IN"/>
              </w:rPr>
            </w:pPr>
            <w:r w:rsidRPr="00FB241A">
              <w:rPr>
                <w:rFonts w:ascii="Calibri" w:hAnsi="Calibri" w:cs="Calibri"/>
                <w:sz w:val="16"/>
                <w:szCs w:val="16"/>
                <w:lang w:val="en-IN" w:eastAsia="en-IN"/>
              </w:rPr>
              <w:t>190.53</w:t>
            </w:r>
          </w:p>
        </w:tc>
        <w:tc>
          <w:tcPr>
            <w:tcW w:w="780" w:type="dxa"/>
            <w:tcBorders>
              <w:top w:val="nil"/>
              <w:left w:val="nil"/>
              <w:bottom w:val="single" w:sz="4" w:space="0" w:color="auto"/>
              <w:right w:val="single" w:sz="4" w:space="0" w:color="auto"/>
            </w:tcBorders>
            <w:shd w:val="clear" w:color="auto" w:fill="auto"/>
            <w:noWrap/>
            <w:vAlign w:val="center"/>
            <w:hideMark/>
          </w:tcPr>
          <w:p w14:paraId="3FC21884" w14:textId="77777777" w:rsidR="00974443" w:rsidRPr="00FB241A" w:rsidRDefault="00974443" w:rsidP="00A35221">
            <w:pPr>
              <w:jc w:val="center"/>
              <w:rPr>
                <w:rFonts w:ascii="Calibri" w:hAnsi="Calibri" w:cs="Calibri"/>
                <w:sz w:val="16"/>
                <w:szCs w:val="16"/>
                <w:lang w:val="en-IN" w:eastAsia="en-IN"/>
              </w:rPr>
            </w:pPr>
            <w:r w:rsidRPr="00FB241A">
              <w:rPr>
                <w:rFonts w:ascii="Calibri" w:hAnsi="Calibri" w:cs="Calibri"/>
                <w:sz w:val="16"/>
                <w:szCs w:val="16"/>
                <w:lang w:val="en-IN" w:eastAsia="en-IN"/>
              </w:rPr>
              <w:t>1655.95</w:t>
            </w:r>
          </w:p>
        </w:tc>
        <w:tc>
          <w:tcPr>
            <w:tcW w:w="480" w:type="dxa"/>
            <w:tcBorders>
              <w:top w:val="nil"/>
              <w:left w:val="nil"/>
              <w:bottom w:val="single" w:sz="4" w:space="0" w:color="auto"/>
              <w:right w:val="single" w:sz="4" w:space="0" w:color="auto"/>
            </w:tcBorders>
            <w:shd w:val="clear" w:color="auto" w:fill="auto"/>
            <w:noWrap/>
            <w:vAlign w:val="center"/>
            <w:hideMark/>
          </w:tcPr>
          <w:p w14:paraId="14334F74" w14:textId="77777777" w:rsidR="00974443" w:rsidRPr="00FB241A" w:rsidRDefault="00974443" w:rsidP="00A35221">
            <w:pPr>
              <w:jc w:val="center"/>
              <w:rPr>
                <w:rFonts w:ascii="Calibri" w:hAnsi="Calibri" w:cs="Calibri"/>
                <w:sz w:val="16"/>
                <w:szCs w:val="16"/>
                <w:lang w:val="en-IN" w:eastAsia="en-IN"/>
              </w:rPr>
            </w:pPr>
            <w:r w:rsidRPr="00FB241A">
              <w:rPr>
                <w:rFonts w:ascii="Calibri" w:hAnsi="Calibri" w:cs="Calibri"/>
                <w:sz w:val="16"/>
                <w:szCs w:val="16"/>
                <w:lang w:val="en-IN" w:eastAsia="en-IN"/>
              </w:rPr>
              <w:t>-</w:t>
            </w:r>
          </w:p>
        </w:tc>
        <w:tc>
          <w:tcPr>
            <w:tcW w:w="480" w:type="dxa"/>
            <w:tcBorders>
              <w:top w:val="nil"/>
              <w:left w:val="nil"/>
              <w:bottom w:val="single" w:sz="4" w:space="0" w:color="auto"/>
              <w:right w:val="single" w:sz="4" w:space="0" w:color="auto"/>
            </w:tcBorders>
            <w:shd w:val="clear" w:color="auto" w:fill="auto"/>
            <w:noWrap/>
            <w:vAlign w:val="center"/>
            <w:hideMark/>
          </w:tcPr>
          <w:p w14:paraId="0F7BE445" w14:textId="77777777" w:rsidR="00974443" w:rsidRPr="00FB241A" w:rsidRDefault="00974443" w:rsidP="00A35221">
            <w:pPr>
              <w:jc w:val="center"/>
              <w:rPr>
                <w:rFonts w:ascii="Calibri" w:hAnsi="Calibri" w:cs="Calibri"/>
                <w:sz w:val="16"/>
                <w:szCs w:val="16"/>
                <w:lang w:val="en-IN" w:eastAsia="en-IN"/>
              </w:rPr>
            </w:pPr>
            <w:r w:rsidRPr="00FB241A">
              <w:rPr>
                <w:rFonts w:ascii="Calibri" w:hAnsi="Calibri" w:cs="Calibri"/>
                <w:sz w:val="16"/>
                <w:szCs w:val="16"/>
                <w:lang w:val="en-IN" w:eastAsia="en-IN"/>
              </w:rPr>
              <w:t>-</w:t>
            </w:r>
          </w:p>
        </w:tc>
        <w:tc>
          <w:tcPr>
            <w:tcW w:w="780" w:type="dxa"/>
            <w:tcBorders>
              <w:top w:val="nil"/>
              <w:left w:val="nil"/>
              <w:bottom w:val="single" w:sz="4" w:space="0" w:color="auto"/>
              <w:right w:val="single" w:sz="4" w:space="0" w:color="auto"/>
            </w:tcBorders>
            <w:shd w:val="clear" w:color="auto" w:fill="auto"/>
            <w:noWrap/>
            <w:vAlign w:val="center"/>
            <w:hideMark/>
          </w:tcPr>
          <w:p w14:paraId="1EF0D75A" w14:textId="77777777" w:rsidR="00974443" w:rsidRPr="00FB241A" w:rsidRDefault="00974443" w:rsidP="00A35221">
            <w:pPr>
              <w:jc w:val="center"/>
              <w:rPr>
                <w:rFonts w:ascii="Calibri" w:hAnsi="Calibri" w:cs="Calibri"/>
                <w:sz w:val="16"/>
                <w:szCs w:val="16"/>
                <w:lang w:val="en-IN" w:eastAsia="en-IN"/>
              </w:rPr>
            </w:pPr>
            <w:r w:rsidRPr="00FB241A">
              <w:rPr>
                <w:rFonts w:ascii="Calibri" w:hAnsi="Calibri" w:cs="Calibri"/>
                <w:sz w:val="16"/>
                <w:szCs w:val="16"/>
                <w:lang w:val="en-IN" w:eastAsia="en-IN"/>
              </w:rPr>
              <w:t>1025.21</w:t>
            </w:r>
          </w:p>
        </w:tc>
        <w:tc>
          <w:tcPr>
            <w:tcW w:w="780" w:type="dxa"/>
            <w:tcBorders>
              <w:top w:val="nil"/>
              <w:left w:val="nil"/>
              <w:bottom w:val="single" w:sz="4" w:space="0" w:color="auto"/>
              <w:right w:val="single" w:sz="4" w:space="0" w:color="auto"/>
            </w:tcBorders>
            <w:shd w:val="clear" w:color="auto" w:fill="auto"/>
            <w:noWrap/>
            <w:vAlign w:val="center"/>
            <w:hideMark/>
          </w:tcPr>
          <w:p w14:paraId="18825896" w14:textId="77777777" w:rsidR="00974443" w:rsidRPr="00FB241A" w:rsidRDefault="00974443" w:rsidP="00A35221">
            <w:pPr>
              <w:jc w:val="center"/>
              <w:rPr>
                <w:rFonts w:ascii="Calibri" w:hAnsi="Calibri" w:cs="Calibri"/>
                <w:sz w:val="16"/>
                <w:szCs w:val="16"/>
                <w:lang w:val="en-IN" w:eastAsia="en-IN"/>
              </w:rPr>
            </w:pPr>
            <w:r w:rsidRPr="00FB241A">
              <w:rPr>
                <w:rFonts w:ascii="Calibri" w:hAnsi="Calibri" w:cs="Calibri"/>
                <w:sz w:val="16"/>
                <w:szCs w:val="16"/>
                <w:lang w:val="en-IN" w:eastAsia="en-IN"/>
              </w:rPr>
              <w:t>821.27</w:t>
            </w:r>
          </w:p>
        </w:tc>
        <w:tc>
          <w:tcPr>
            <w:tcW w:w="700" w:type="dxa"/>
            <w:tcBorders>
              <w:top w:val="nil"/>
              <w:left w:val="nil"/>
              <w:bottom w:val="single" w:sz="4" w:space="0" w:color="auto"/>
              <w:right w:val="single" w:sz="4" w:space="0" w:color="auto"/>
            </w:tcBorders>
            <w:shd w:val="clear" w:color="auto" w:fill="auto"/>
            <w:noWrap/>
            <w:vAlign w:val="center"/>
            <w:hideMark/>
          </w:tcPr>
          <w:p w14:paraId="5B8D3181" w14:textId="77777777" w:rsidR="00974443" w:rsidRPr="00FB241A" w:rsidRDefault="00974443" w:rsidP="00A35221">
            <w:pPr>
              <w:jc w:val="center"/>
              <w:rPr>
                <w:rFonts w:ascii="Calibri" w:hAnsi="Calibri" w:cs="Calibri"/>
                <w:sz w:val="16"/>
                <w:szCs w:val="16"/>
                <w:lang w:val="en-IN" w:eastAsia="en-IN"/>
              </w:rPr>
            </w:pPr>
            <w:r w:rsidRPr="00FB241A">
              <w:rPr>
                <w:rFonts w:ascii="Calibri" w:hAnsi="Calibri" w:cs="Calibri"/>
                <w:sz w:val="16"/>
                <w:szCs w:val="16"/>
                <w:lang w:val="en-IN" w:eastAsia="en-IN"/>
              </w:rPr>
              <w:t>205.32</w:t>
            </w:r>
          </w:p>
        </w:tc>
        <w:tc>
          <w:tcPr>
            <w:tcW w:w="480" w:type="dxa"/>
            <w:tcBorders>
              <w:top w:val="nil"/>
              <w:left w:val="nil"/>
              <w:bottom w:val="single" w:sz="4" w:space="0" w:color="auto"/>
              <w:right w:val="single" w:sz="4" w:space="0" w:color="auto"/>
            </w:tcBorders>
            <w:shd w:val="clear" w:color="auto" w:fill="auto"/>
            <w:noWrap/>
            <w:vAlign w:val="center"/>
            <w:hideMark/>
          </w:tcPr>
          <w:p w14:paraId="52B118D9" w14:textId="77777777" w:rsidR="00974443" w:rsidRPr="00FB241A" w:rsidRDefault="00974443" w:rsidP="00A35221">
            <w:pPr>
              <w:jc w:val="center"/>
              <w:rPr>
                <w:rFonts w:ascii="Calibri" w:hAnsi="Calibri" w:cs="Calibri"/>
                <w:sz w:val="16"/>
                <w:szCs w:val="16"/>
                <w:lang w:val="en-IN" w:eastAsia="en-IN"/>
              </w:rPr>
            </w:pPr>
            <w:r w:rsidRPr="00FB241A">
              <w:rPr>
                <w:rFonts w:ascii="Calibri" w:hAnsi="Calibri" w:cs="Calibri"/>
                <w:sz w:val="16"/>
                <w:szCs w:val="16"/>
                <w:lang w:val="en-IN" w:eastAsia="en-IN"/>
              </w:rPr>
              <w:t>-</w:t>
            </w:r>
          </w:p>
        </w:tc>
        <w:tc>
          <w:tcPr>
            <w:tcW w:w="480" w:type="dxa"/>
            <w:tcBorders>
              <w:top w:val="nil"/>
              <w:left w:val="nil"/>
              <w:bottom w:val="single" w:sz="4" w:space="0" w:color="auto"/>
              <w:right w:val="single" w:sz="4" w:space="0" w:color="auto"/>
            </w:tcBorders>
            <w:shd w:val="clear" w:color="auto" w:fill="auto"/>
            <w:noWrap/>
            <w:vAlign w:val="center"/>
            <w:hideMark/>
          </w:tcPr>
          <w:p w14:paraId="6F1327C1" w14:textId="77777777" w:rsidR="00974443" w:rsidRPr="00FB241A" w:rsidRDefault="00974443" w:rsidP="00A35221">
            <w:pPr>
              <w:jc w:val="center"/>
              <w:rPr>
                <w:rFonts w:ascii="Calibri" w:hAnsi="Calibri" w:cs="Calibri"/>
                <w:sz w:val="16"/>
                <w:szCs w:val="16"/>
                <w:lang w:val="en-IN" w:eastAsia="en-IN"/>
              </w:rPr>
            </w:pPr>
            <w:r w:rsidRPr="00FB241A">
              <w:rPr>
                <w:rFonts w:ascii="Calibri" w:hAnsi="Calibri" w:cs="Calibri"/>
                <w:sz w:val="16"/>
                <w:szCs w:val="16"/>
                <w:lang w:val="en-IN" w:eastAsia="en-IN"/>
              </w:rPr>
              <w:t>-</w:t>
            </w:r>
          </w:p>
        </w:tc>
        <w:tc>
          <w:tcPr>
            <w:tcW w:w="700" w:type="dxa"/>
            <w:tcBorders>
              <w:top w:val="nil"/>
              <w:left w:val="nil"/>
              <w:bottom w:val="single" w:sz="4" w:space="0" w:color="auto"/>
              <w:right w:val="single" w:sz="4" w:space="0" w:color="auto"/>
            </w:tcBorders>
            <w:shd w:val="clear" w:color="auto" w:fill="auto"/>
            <w:noWrap/>
            <w:vAlign w:val="center"/>
            <w:hideMark/>
          </w:tcPr>
          <w:p w14:paraId="4CE8F8AB" w14:textId="77777777" w:rsidR="00974443" w:rsidRPr="00FB241A" w:rsidRDefault="00974443" w:rsidP="00A35221">
            <w:pPr>
              <w:jc w:val="center"/>
              <w:rPr>
                <w:rFonts w:ascii="Calibri" w:hAnsi="Calibri" w:cs="Calibri"/>
                <w:sz w:val="16"/>
                <w:szCs w:val="16"/>
                <w:lang w:val="en-IN" w:eastAsia="en-IN"/>
              </w:rPr>
            </w:pPr>
            <w:r w:rsidRPr="00FB241A">
              <w:rPr>
                <w:rFonts w:ascii="Calibri" w:hAnsi="Calibri" w:cs="Calibri"/>
                <w:sz w:val="16"/>
                <w:szCs w:val="16"/>
                <w:lang w:val="en-IN" w:eastAsia="en-IN"/>
              </w:rPr>
              <w:t>821.27</w:t>
            </w:r>
          </w:p>
        </w:tc>
        <w:tc>
          <w:tcPr>
            <w:tcW w:w="780" w:type="dxa"/>
            <w:tcBorders>
              <w:top w:val="nil"/>
              <w:left w:val="nil"/>
              <w:bottom w:val="single" w:sz="4" w:space="0" w:color="auto"/>
              <w:right w:val="single" w:sz="4" w:space="0" w:color="auto"/>
            </w:tcBorders>
            <w:shd w:val="clear" w:color="auto" w:fill="auto"/>
            <w:noWrap/>
            <w:vAlign w:val="center"/>
            <w:hideMark/>
          </w:tcPr>
          <w:p w14:paraId="2098A525" w14:textId="77777777" w:rsidR="00974443" w:rsidRPr="00FB241A" w:rsidRDefault="00974443" w:rsidP="00A35221">
            <w:pPr>
              <w:jc w:val="center"/>
              <w:rPr>
                <w:rFonts w:ascii="Calibri" w:hAnsi="Calibri" w:cs="Calibri"/>
                <w:sz w:val="16"/>
                <w:szCs w:val="16"/>
                <w:lang w:val="en-IN" w:eastAsia="en-IN"/>
              </w:rPr>
            </w:pPr>
            <w:r w:rsidRPr="00FB241A">
              <w:rPr>
                <w:rFonts w:ascii="Calibri" w:hAnsi="Calibri" w:cs="Calibri"/>
                <w:sz w:val="16"/>
                <w:szCs w:val="16"/>
                <w:lang w:val="en-IN" w:eastAsia="en-IN"/>
              </w:rPr>
              <w:t>205.32</w:t>
            </w:r>
          </w:p>
        </w:tc>
      </w:tr>
      <w:tr w:rsidR="00974443" w:rsidRPr="00FB241A" w14:paraId="12F89A51" w14:textId="77777777" w:rsidTr="00A35221">
        <w:trPr>
          <w:trHeight w:val="300"/>
        </w:trPr>
        <w:tc>
          <w:tcPr>
            <w:tcW w:w="520" w:type="dxa"/>
            <w:tcBorders>
              <w:top w:val="nil"/>
              <w:left w:val="single" w:sz="4" w:space="0" w:color="auto"/>
              <w:bottom w:val="single" w:sz="4" w:space="0" w:color="auto"/>
              <w:right w:val="single" w:sz="4" w:space="0" w:color="auto"/>
            </w:tcBorders>
            <w:shd w:val="clear" w:color="auto" w:fill="auto"/>
            <w:noWrap/>
            <w:vAlign w:val="center"/>
            <w:hideMark/>
          </w:tcPr>
          <w:p w14:paraId="0C55A909" w14:textId="77777777" w:rsidR="00974443" w:rsidRPr="00FB241A" w:rsidRDefault="00974443" w:rsidP="00A35221">
            <w:pPr>
              <w:jc w:val="center"/>
              <w:rPr>
                <w:rFonts w:ascii="Calibri" w:hAnsi="Calibri" w:cs="Calibri"/>
                <w:b/>
                <w:sz w:val="16"/>
                <w:szCs w:val="16"/>
                <w:lang w:val="en-IN" w:eastAsia="en-IN"/>
              </w:rPr>
            </w:pPr>
            <w:r w:rsidRPr="00FB241A">
              <w:rPr>
                <w:rFonts w:ascii="Calibri" w:hAnsi="Calibri" w:cs="Calibri"/>
                <w:b/>
                <w:sz w:val="16"/>
                <w:szCs w:val="16"/>
                <w:lang w:val="en-IN" w:eastAsia="en-IN"/>
              </w:rPr>
              <w:t>8</w:t>
            </w:r>
          </w:p>
        </w:tc>
        <w:tc>
          <w:tcPr>
            <w:tcW w:w="2340" w:type="dxa"/>
            <w:tcBorders>
              <w:top w:val="nil"/>
              <w:left w:val="nil"/>
              <w:bottom w:val="single" w:sz="4" w:space="0" w:color="auto"/>
              <w:right w:val="single" w:sz="4" w:space="0" w:color="auto"/>
            </w:tcBorders>
            <w:shd w:val="clear" w:color="auto" w:fill="auto"/>
            <w:vAlign w:val="center"/>
            <w:hideMark/>
          </w:tcPr>
          <w:p w14:paraId="4D427950" w14:textId="77777777" w:rsidR="00974443" w:rsidRPr="00FB241A" w:rsidRDefault="00974443" w:rsidP="00A35221">
            <w:pPr>
              <w:rPr>
                <w:rFonts w:ascii="Calibri" w:hAnsi="Calibri" w:cs="Calibri"/>
                <w:sz w:val="16"/>
                <w:szCs w:val="16"/>
                <w:lang w:val="en-IN" w:eastAsia="en-IN"/>
              </w:rPr>
            </w:pPr>
            <w:r w:rsidRPr="00FB241A">
              <w:rPr>
                <w:rFonts w:ascii="Calibri" w:hAnsi="Calibri" w:cs="Calibri"/>
                <w:sz w:val="16"/>
                <w:szCs w:val="16"/>
                <w:lang w:val="en-IN" w:eastAsia="en-IN"/>
              </w:rPr>
              <w:t>Disaster Fund-FANI- Grant</w:t>
            </w:r>
          </w:p>
        </w:tc>
        <w:tc>
          <w:tcPr>
            <w:tcW w:w="780" w:type="dxa"/>
            <w:tcBorders>
              <w:top w:val="nil"/>
              <w:left w:val="nil"/>
              <w:bottom w:val="single" w:sz="4" w:space="0" w:color="auto"/>
              <w:right w:val="single" w:sz="4" w:space="0" w:color="auto"/>
            </w:tcBorders>
            <w:shd w:val="clear" w:color="auto" w:fill="auto"/>
            <w:noWrap/>
            <w:vAlign w:val="center"/>
            <w:hideMark/>
          </w:tcPr>
          <w:p w14:paraId="0A34D100" w14:textId="77777777" w:rsidR="00974443" w:rsidRPr="00FB241A" w:rsidRDefault="00974443" w:rsidP="00A35221">
            <w:pPr>
              <w:jc w:val="center"/>
              <w:rPr>
                <w:rFonts w:ascii="Calibri" w:hAnsi="Calibri" w:cs="Calibri"/>
                <w:sz w:val="16"/>
                <w:szCs w:val="16"/>
                <w:lang w:val="en-IN" w:eastAsia="en-IN"/>
              </w:rPr>
            </w:pPr>
            <w:r w:rsidRPr="00FB241A">
              <w:rPr>
                <w:rFonts w:ascii="Calibri" w:hAnsi="Calibri" w:cs="Calibri"/>
                <w:sz w:val="16"/>
                <w:szCs w:val="16"/>
                <w:lang w:val="en-IN" w:eastAsia="en-IN"/>
              </w:rPr>
              <w:t>302.62</w:t>
            </w:r>
          </w:p>
        </w:tc>
        <w:tc>
          <w:tcPr>
            <w:tcW w:w="780" w:type="dxa"/>
            <w:tcBorders>
              <w:top w:val="nil"/>
              <w:left w:val="nil"/>
              <w:bottom w:val="single" w:sz="4" w:space="0" w:color="auto"/>
              <w:right w:val="single" w:sz="4" w:space="0" w:color="auto"/>
            </w:tcBorders>
            <w:shd w:val="clear" w:color="auto" w:fill="auto"/>
            <w:noWrap/>
            <w:vAlign w:val="center"/>
            <w:hideMark/>
          </w:tcPr>
          <w:p w14:paraId="2742A5CC" w14:textId="77777777" w:rsidR="00974443" w:rsidRPr="00FB241A" w:rsidRDefault="00974443" w:rsidP="00A35221">
            <w:pPr>
              <w:jc w:val="center"/>
              <w:rPr>
                <w:rFonts w:ascii="Calibri" w:hAnsi="Calibri" w:cs="Calibri"/>
                <w:sz w:val="16"/>
                <w:szCs w:val="16"/>
                <w:lang w:val="en-IN" w:eastAsia="en-IN"/>
              </w:rPr>
            </w:pPr>
            <w:r w:rsidRPr="00FB241A">
              <w:rPr>
                <w:rFonts w:ascii="Calibri" w:hAnsi="Calibri" w:cs="Calibri"/>
                <w:sz w:val="16"/>
                <w:szCs w:val="16"/>
                <w:lang w:val="en-IN" w:eastAsia="en-IN"/>
              </w:rPr>
              <w:t>10.67</w:t>
            </w:r>
          </w:p>
        </w:tc>
        <w:tc>
          <w:tcPr>
            <w:tcW w:w="480" w:type="dxa"/>
            <w:tcBorders>
              <w:top w:val="nil"/>
              <w:left w:val="nil"/>
              <w:bottom w:val="single" w:sz="4" w:space="0" w:color="auto"/>
              <w:right w:val="single" w:sz="4" w:space="0" w:color="auto"/>
            </w:tcBorders>
            <w:shd w:val="clear" w:color="auto" w:fill="auto"/>
            <w:noWrap/>
            <w:vAlign w:val="center"/>
            <w:hideMark/>
          </w:tcPr>
          <w:p w14:paraId="42DF50CF" w14:textId="77777777" w:rsidR="00974443" w:rsidRPr="00FB241A" w:rsidRDefault="00974443" w:rsidP="00A35221">
            <w:pPr>
              <w:jc w:val="center"/>
              <w:rPr>
                <w:rFonts w:ascii="Calibri" w:hAnsi="Calibri" w:cs="Calibri"/>
                <w:sz w:val="16"/>
                <w:szCs w:val="16"/>
                <w:lang w:val="en-IN" w:eastAsia="en-IN"/>
              </w:rPr>
            </w:pPr>
            <w:r w:rsidRPr="00FB241A">
              <w:rPr>
                <w:rFonts w:ascii="Calibri" w:hAnsi="Calibri" w:cs="Calibri"/>
                <w:sz w:val="16"/>
                <w:szCs w:val="16"/>
                <w:lang w:val="en-IN" w:eastAsia="en-IN"/>
              </w:rPr>
              <w:t>-</w:t>
            </w:r>
          </w:p>
        </w:tc>
        <w:tc>
          <w:tcPr>
            <w:tcW w:w="480" w:type="dxa"/>
            <w:tcBorders>
              <w:top w:val="nil"/>
              <w:left w:val="nil"/>
              <w:bottom w:val="single" w:sz="4" w:space="0" w:color="auto"/>
              <w:right w:val="single" w:sz="4" w:space="0" w:color="auto"/>
            </w:tcBorders>
            <w:shd w:val="clear" w:color="auto" w:fill="auto"/>
            <w:noWrap/>
            <w:vAlign w:val="center"/>
            <w:hideMark/>
          </w:tcPr>
          <w:p w14:paraId="0C2BFCE7" w14:textId="77777777" w:rsidR="00974443" w:rsidRPr="00FB241A" w:rsidRDefault="00974443" w:rsidP="00A35221">
            <w:pPr>
              <w:jc w:val="center"/>
              <w:rPr>
                <w:rFonts w:ascii="Calibri" w:hAnsi="Calibri" w:cs="Calibri"/>
                <w:sz w:val="16"/>
                <w:szCs w:val="16"/>
                <w:lang w:val="en-IN" w:eastAsia="en-IN"/>
              </w:rPr>
            </w:pPr>
            <w:r w:rsidRPr="00FB241A">
              <w:rPr>
                <w:rFonts w:ascii="Calibri" w:hAnsi="Calibri" w:cs="Calibri"/>
                <w:sz w:val="16"/>
                <w:szCs w:val="16"/>
                <w:lang w:val="en-IN" w:eastAsia="en-IN"/>
              </w:rPr>
              <w:t>-</w:t>
            </w:r>
          </w:p>
        </w:tc>
        <w:tc>
          <w:tcPr>
            <w:tcW w:w="780" w:type="dxa"/>
            <w:tcBorders>
              <w:top w:val="nil"/>
              <w:left w:val="nil"/>
              <w:bottom w:val="single" w:sz="4" w:space="0" w:color="auto"/>
              <w:right w:val="single" w:sz="4" w:space="0" w:color="auto"/>
            </w:tcBorders>
            <w:shd w:val="clear" w:color="auto" w:fill="auto"/>
            <w:noWrap/>
            <w:vAlign w:val="center"/>
            <w:hideMark/>
          </w:tcPr>
          <w:p w14:paraId="0E91EC62" w14:textId="77777777" w:rsidR="00974443" w:rsidRPr="00FB241A" w:rsidRDefault="00974443" w:rsidP="00A35221">
            <w:pPr>
              <w:jc w:val="center"/>
              <w:rPr>
                <w:rFonts w:ascii="Calibri" w:hAnsi="Calibri" w:cs="Calibri"/>
                <w:sz w:val="16"/>
                <w:szCs w:val="16"/>
                <w:lang w:val="en-IN" w:eastAsia="en-IN"/>
              </w:rPr>
            </w:pPr>
            <w:r w:rsidRPr="00FB241A">
              <w:rPr>
                <w:rFonts w:ascii="Calibri" w:hAnsi="Calibri" w:cs="Calibri"/>
                <w:sz w:val="16"/>
                <w:szCs w:val="16"/>
                <w:lang w:val="en-IN" w:eastAsia="en-IN"/>
              </w:rPr>
              <w:t>313.29</w:t>
            </w:r>
          </w:p>
        </w:tc>
        <w:tc>
          <w:tcPr>
            <w:tcW w:w="780" w:type="dxa"/>
            <w:tcBorders>
              <w:top w:val="nil"/>
              <w:left w:val="nil"/>
              <w:bottom w:val="single" w:sz="4" w:space="0" w:color="auto"/>
              <w:right w:val="single" w:sz="4" w:space="0" w:color="auto"/>
            </w:tcBorders>
            <w:shd w:val="clear" w:color="auto" w:fill="auto"/>
            <w:noWrap/>
            <w:vAlign w:val="center"/>
            <w:hideMark/>
          </w:tcPr>
          <w:p w14:paraId="0F262380" w14:textId="77777777" w:rsidR="00974443" w:rsidRPr="00FB241A" w:rsidRDefault="00974443" w:rsidP="00A35221">
            <w:pPr>
              <w:jc w:val="center"/>
              <w:rPr>
                <w:rFonts w:ascii="Calibri" w:hAnsi="Calibri" w:cs="Calibri"/>
                <w:sz w:val="16"/>
                <w:szCs w:val="16"/>
                <w:lang w:val="en-IN" w:eastAsia="en-IN"/>
              </w:rPr>
            </w:pPr>
            <w:r w:rsidRPr="00FB241A">
              <w:rPr>
                <w:rFonts w:ascii="Calibri" w:hAnsi="Calibri" w:cs="Calibri"/>
                <w:sz w:val="16"/>
                <w:szCs w:val="16"/>
                <w:lang w:val="en-IN" w:eastAsia="en-IN"/>
              </w:rPr>
              <w:t>0.00</w:t>
            </w:r>
          </w:p>
        </w:tc>
        <w:tc>
          <w:tcPr>
            <w:tcW w:w="700" w:type="dxa"/>
            <w:tcBorders>
              <w:top w:val="nil"/>
              <w:left w:val="nil"/>
              <w:bottom w:val="single" w:sz="4" w:space="0" w:color="auto"/>
              <w:right w:val="single" w:sz="4" w:space="0" w:color="auto"/>
            </w:tcBorders>
            <w:shd w:val="clear" w:color="auto" w:fill="auto"/>
            <w:noWrap/>
            <w:vAlign w:val="center"/>
            <w:hideMark/>
          </w:tcPr>
          <w:p w14:paraId="452CAC4F" w14:textId="77777777" w:rsidR="00974443" w:rsidRPr="00FB241A" w:rsidRDefault="00974443" w:rsidP="00A35221">
            <w:pPr>
              <w:jc w:val="center"/>
              <w:rPr>
                <w:rFonts w:ascii="Calibri" w:hAnsi="Calibri" w:cs="Calibri"/>
                <w:sz w:val="16"/>
                <w:szCs w:val="16"/>
                <w:lang w:val="en-IN" w:eastAsia="en-IN"/>
              </w:rPr>
            </w:pPr>
            <w:r w:rsidRPr="00FB241A">
              <w:rPr>
                <w:rFonts w:ascii="Calibri" w:hAnsi="Calibri" w:cs="Calibri"/>
                <w:sz w:val="16"/>
                <w:szCs w:val="16"/>
                <w:lang w:val="en-IN" w:eastAsia="en-IN"/>
              </w:rPr>
              <w:t>0.00</w:t>
            </w:r>
          </w:p>
        </w:tc>
        <w:tc>
          <w:tcPr>
            <w:tcW w:w="480" w:type="dxa"/>
            <w:tcBorders>
              <w:top w:val="nil"/>
              <w:left w:val="nil"/>
              <w:bottom w:val="single" w:sz="4" w:space="0" w:color="auto"/>
              <w:right w:val="single" w:sz="4" w:space="0" w:color="auto"/>
            </w:tcBorders>
            <w:shd w:val="clear" w:color="auto" w:fill="auto"/>
            <w:noWrap/>
            <w:vAlign w:val="center"/>
            <w:hideMark/>
          </w:tcPr>
          <w:p w14:paraId="5DDB1F20" w14:textId="77777777" w:rsidR="00974443" w:rsidRPr="00FB241A" w:rsidRDefault="00974443" w:rsidP="00A35221">
            <w:pPr>
              <w:jc w:val="center"/>
              <w:rPr>
                <w:rFonts w:ascii="Calibri" w:hAnsi="Calibri" w:cs="Calibri"/>
                <w:sz w:val="16"/>
                <w:szCs w:val="16"/>
                <w:lang w:val="en-IN" w:eastAsia="en-IN"/>
              </w:rPr>
            </w:pPr>
            <w:r w:rsidRPr="00FB241A">
              <w:rPr>
                <w:rFonts w:ascii="Calibri" w:hAnsi="Calibri" w:cs="Calibri"/>
                <w:sz w:val="16"/>
                <w:szCs w:val="16"/>
                <w:lang w:val="en-IN" w:eastAsia="en-IN"/>
              </w:rPr>
              <w:t>-</w:t>
            </w:r>
          </w:p>
        </w:tc>
        <w:tc>
          <w:tcPr>
            <w:tcW w:w="480" w:type="dxa"/>
            <w:tcBorders>
              <w:top w:val="nil"/>
              <w:left w:val="nil"/>
              <w:bottom w:val="single" w:sz="4" w:space="0" w:color="auto"/>
              <w:right w:val="single" w:sz="4" w:space="0" w:color="auto"/>
            </w:tcBorders>
            <w:shd w:val="clear" w:color="auto" w:fill="auto"/>
            <w:noWrap/>
            <w:vAlign w:val="center"/>
            <w:hideMark/>
          </w:tcPr>
          <w:p w14:paraId="3A45F2F4" w14:textId="77777777" w:rsidR="00974443" w:rsidRPr="00FB241A" w:rsidRDefault="00974443" w:rsidP="00A35221">
            <w:pPr>
              <w:jc w:val="center"/>
              <w:rPr>
                <w:rFonts w:ascii="Calibri" w:hAnsi="Calibri" w:cs="Calibri"/>
                <w:sz w:val="16"/>
                <w:szCs w:val="16"/>
                <w:lang w:val="en-IN" w:eastAsia="en-IN"/>
              </w:rPr>
            </w:pPr>
            <w:r w:rsidRPr="00FB241A">
              <w:rPr>
                <w:rFonts w:ascii="Calibri" w:hAnsi="Calibri" w:cs="Calibri"/>
                <w:sz w:val="16"/>
                <w:szCs w:val="16"/>
                <w:lang w:val="en-IN" w:eastAsia="en-IN"/>
              </w:rPr>
              <w:t>-</w:t>
            </w:r>
          </w:p>
        </w:tc>
        <w:tc>
          <w:tcPr>
            <w:tcW w:w="700" w:type="dxa"/>
            <w:tcBorders>
              <w:top w:val="nil"/>
              <w:left w:val="nil"/>
              <w:bottom w:val="single" w:sz="4" w:space="0" w:color="auto"/>
              <w:right w:val="single" w:sz="4" w:space="0" w:color="auto"/>
            </w:tcBorders>
            <w:shd w:val="clear" w:color="auto" w:fill="auto"/>
            <w:noWrap/>
            <w:vAlign w:val="center"/>
            <w:hideMark/>
          </w:tcPr>
          <w:p w14:paraId="28865CCC" w14:textId="77777777" w:rsidR="00974443" w:rsidRPr="00FB241A" w:rsidRDefault="00974443" w:rsidP="00A35221">
            <w:pPr>
              <w:jc w:val="center"/>
              <w:rPr>
                <w:rFonts w:ascii="Calibri" w:hAnsi="Calibri" w:cs="Calibri"/>
                <w:sz w:val="16"/>
                <w:szCs w:val="16"/>
                <w:lang w:val="en-IN" w:eastAsia="en-IN"/>
              </w:rPr>
            </w:pPr>
            <w:r w:rsidRPr="00FB241A">
              <w:rPr>
                <w:rFonts w:ascii="Calibri" w:hAnsi="Calibri" w:cs="Calibri"/>
                <w:sz w:val="16"/>
                <w:szCs w:val="16"/>
                <w:lang w:val="en-IN" w:eastAsia="en-IN"/>
              </w:rPr>
              <w:t>0.00</w:t>
            </w:r>
          </w:p>
        </w:tc>
        <w:tc>
          <w:tcPr>
            <w:tcW w:w="780" w:type="dxa"/>
            <w:tcBorders>
              <w:top w:val="nil"/>
              <w:left w:val="nil"/>
              <w:bottom w:val="single" w:sz="4" w:space="0" w:color="auto"/>
              <w:right w:val="single" w:sz="4" w:space="0" w:color="auto"/>
            </w:tcBorders>
            <w:shd w:val="clear" w:color="auto" w:fill="auto"/>
            <w:noWrap/>
            <w:vAlign w:val="center"/>
            <w:hideMark/>
          </w:tcPr>
          <w:p w14:paraId="45A2D600" w14:textId="77777777" w:rsidR="00974443" w:rsidRPr="00FB241A" w:rsidRDefault="00974443" w:rsidP="00A35221">
            <w:pPr>
              <w:jc w:val="center"/>
              <w:rPr>
                <w:rFonts w:ascii="Calibri" w:hAnsi="Calibri" w:cs="Calibri"/>
                <w:sz w:val="16"/>
                <w:szCs w:val="16"/>
                <w:lang w:val="en-IN" w:eastAsia="en-IN"/>
              </w:rPr>
            </w:pPr>
            <w:r w:rsidRPr="00FB241A">
              <w:rPr>
                <w:rFonts w:ascii="Calibri" w:hAnsi="Calibri" w:cs="Calibri"/>
                <w:sz w:val="16"/>
                <w:szCs w:val="16"/>
                <w:lang w:val="en-IN" w:eastAsia="en-IN"/>
              </w:rPr>
              <w:t>0.00</w:t>
            </w:r>
          </w:p>
        </w:tc>
      </w:tr>
      <w:tr w:rsidR="00974443" w:rsidRPr="00FB241A" w14:paraId="2A7282C6" w14:textId="77777777" w:rsidTr="00A35221">
        <w:trPr>
          <w:trHeight w:val="300"/>
        </w:trPr>
        <w:tc>
          <w:tcPr>
            <w:tcW w:w="520" w:type="dxa"/>
            <w:tcBorders>
              <w:top w:val="nil"/>
              <w:left w:val="single" w:sz="4" w:space="0" w:color="auto"/>
              <w:bottom w:val="single" w:sz="4" w:space="0" w:color="auto"/>
              <w:right w:val="single" w:sz="4" w:space="0" w:color="auto"/>
            </w:tcBorders>
            <w:shd w:val="clear" w:color="auto" w:fill="auto"/>
            <w:noWrap/>
            <w:vAlign w:val="center"/>
            <w:hideMark/>
          </w:tcPr>
          <w:p w14:paraId="6644C082" w14:textId="77777777" w:rsidR="00974443" w:rsidRPr="00FB241A" w:rsidRDefault="00974443" w:rsidP="00A35221">
            <w:pPr>
              <w:jc w:val="center"/>
              <w:rPr>
                <w:rFonts w:ascii="Calibri" w:hAnsi="Calibri" w:cs="Calibri"/>
                <w:b/>
                <w:sz w:val="16"/>
                <w:szCs w:val="16"/>
                <w:lang w:val="en-IN" w:eastAsia="en-IN"/>
              </w:rPr>
            </w:pPr>
            <w:r w:rsidRPr="00FB241A">
              <w:rPr>
                <w:rFonts w:ascii="Calibri" w:hAnsi="Calibri" w:cs="Calibri"/>
                <w:b/>
                <w:sz w:val="16"/>
                <w:szCs w:val="16"/>
                <w:lang w:val="en-IN" w:eastAsia="en-IN"/>
              </w:rPr>
              <w:t>9</w:t>
            </w:r>
          </w:p>
        </w:tc>
        <w:tc>
          <w:tcPr>
            <w:tcW w:w="2340" w:type="dxa"/>
            <w:tcBorders>
              <w:top w:val="nil"/>
              <w:left w:val="nil"/>
              <w:bottom w:val="single" w:sz="4" w:space="0" w:color="auto"/>
              <w:right w:val="single" w:sz="4" w:space="0" w:color="auto"/>
            </w:tcBorders>
            <w:shd w:val="clear" w:color="auto" w:fill="auto"/>
            <w:vAlign w:val="center"/>
            <w:hideMark/>
          </w:tcPr>
          <w:p w14:paraId="769A2612" w14:textId="77777777" w:rsidR="00974443" w:rsidRPr="00FB241A" w:rsidRDefault="00974443" w:rsidP="00A35221">
            <w:pPr>
              <w:rPr>
                <w:rFonts w:ascii="Calibri" w:hAnsi="Calibri" w:cs="Calibri"/>
                <w:sz w:val="16"/>
                <w:szCs w:val="16"/>
                <w:lang w:val="en-IN" w:eastAsia="en-IN"/>
              </w:rPr>
            </w:pPr>
            <w:r w:rsidRPr="00FB241A">
              <w:rPr>
                <w:rFonts w:ascii="Calibri" w:hAnsi="Calibri" w:cs="Calibri"/>
                <w:sz w:val="16"/>
                <w:szCs w:val="16"/>
                <w:lang w:val="en-IN" w:eastAsia="en-IN"/>
              </w:rPr>
              <w:t>Disaster Fund-AMPHAN- Grant</w:t>
            </w:r>
          </w:p>
        </w:tc>
        <w:tc>
          <w:tcPr>
            <w:tcW w:w="780" w:type="dxa"/>
            <w:tcBorders>
              <w:top w:val="nil"/>
              <w:left w:val="nil"/>
              <w:bottom w:val="single" w:sz="4" w:space="0" w:color="auto"/>
              <w:right w:val="single" w:sz="4" w:space="0" w:color="auto"/>
            </w:tcBorders>
            <w:shd w:val="clear" w:color="auto" w:fill="auto"/>
            <w:noWrap/>
            <w:vAlign w:val="center"/>
            <w:hideMark/>
          </w:tcPr>
          <w:p w14:paraId="12B3817E" w14:textId="77777777" w:rsidR="00974443" w:rsidRPr="00FB241A" w:rsidRDefault="00974443" w:rsidP="00A35221">
            <w:pPr>
              <w:jc w:val="center"/>
              <w:rPr>
                <w:rFonts w:ascii="Calibri" w:hAnsi="Calibri" w:cs="Calibri"/>
                <w:sz w:val="16"/>
                <w:szCs w:val="16"/>
                <w:lang w:val="en-IN" w:eastAsia="en-IN"/>
              </w:rPr>
            </w:pPr>
            <w:r w:rsidRPr="00FB241A">
              <w:rPr>
                <w:rFonts w:ascii="Calibri" w:hAnsi="Calibri" w:cs="Calibri"/>
                <w:sz w:val="16"/>
                <w:szCs w:val="16"/>
                <w:lang w:val="en-IN" w:eastAsia="en-IN"/>
              </w:rPr>
              <w:t>2005.15</w:t>
            </w:r>
          </w:p>
        </w:tc>
        <w:tc>
          <w:tcPr>
            <w:tcW w:w="780" w:type="dxa"/>
            <w:tcBorders>
              <w:top w:val="nil"/>
              <w:left w:val="nil"/>
              <w:bottom w:val="single" w:sz="4" w:space="0" w:color="auto"/>
              <w:right w:val="single" w:sz="4" w:space="0" w:color="auto"/>
            </w:tcBorders>
            <w:shd w:val="clear" w:color="auto" w:fill="auto"/>
            <w:noWrap/>
            <w:vAlign w:val="center"/>
            <w:hideMark/>
          </w:tcPr>
          <w:p w14:paraId="0B7B897B" w14:textId="77777777" w:rsidR="00974443" w:rsidRPr="00FB241A" w:rsidRDefault="00974443" w:rsidP="00A35221">
            <w:pPr>
              <w:jc w:val="center"/>
              <w:rPr>
                <w:rFonts w:ascii="Calibri" w:hAnsi="Calibri" w:cs="Calibri"/>
                <w:sz w:val="16"/>
                <w:szCs w:val="16"/>
                <w:lang w:val="en-IN" w:eastAsia="en-IN"/>
              </w:rPr>
            </w:pPr>
            <w:r w:rsidRPr="00FB241A">
              <w:rPr>
                <w:rFonts w:ascii="Calibri" w:hAnsi="Calibri" w:cs="Calibri"/>
                <w:sz w:val="16"/>
                <w:szCs w:val="16"/>
                <w:lang w:val="en-IN" w:eastAsia="en-IN"/>
              </w:rPr>
              <w:t>442.21</w:t>
            </w:r>
          </w:p>
        </w:tc>
        <w:tc>
          <w:tcPr>
            <w:tcW w:w="480" w:type="dxa"/>
            <w:tcBorders>
              <w:top w:val="nil"/>
              <w:left w:val="nil"/>
              <w:bottom w:val="single" w:sz="4" w:space="0" w:color="auto"/>
              <w:right w:val="single" w:sz="4" w:space="0" w:color="auto"/>
            </w:tcBorders>
            <w:shd w:val="clear" w:color="auto" w:fill="auto"/>
            <w:noWrap/>
            <w:vAlign w:val="center"/>
            <w:hideMark/>
          </w:tcPr>
          <w:p w14:paraId="1D55EAD5" w14:textId="77777777" w:rsidR="00974443" w:rsidRPr="00FB241A" w:rsidRDefault="00974443" w:rsidP="00A35221">
            <w:pPr>
              <w:jc w:val="center"/>
              <w:rPr>
                <w:rFonts w:ascii="Calibri" w:hAnsi="Calibri" w:cs="Calibri"/>
                <w:sz w:val="16"/>
                <w:szCs w:val="16"/>
                <w:lang w:val="en-IN" w:eastAsia="en-IN"/>
              </w:rPr>
            </w:pPr>
            <w:r w:rsidRPr="00FB241A">
              <w:rPr>
                <w:rFonts w:ascii="Calibri" w:hAnsi="Calibri" w:cs="Calibri"/>
                <w:sz w:val="16"/>
                <w:szCs w:val="16"/>
                <w:lang w:val="en-IN" w:eastAsia="en-IN"/>
              </w:rPr>
              <w:t>-</w:t>
            </w:r>
          </w:p>
        </w:tc>
        <w:tc>
          <w:tcPr>
            <w:tcW w:w="480" w:type="dxa"/>
            <w:tcBorders>
              <w:top w:val="nil"/>
              <w:left w:val="nil"/>
              <w:bottom w:val="single" w:sz="4" w:space="0" w:color="auto"/>
              <w:right w:val="single" w:sz="4" w:space="0" w:color="auto"/>
            </w:tcBorders>
            <w:shd w:val="clear" w:color="auto" w:fill="auto"/>
            <w:noWrap/>
            <w:vAlign w:val="center"/>
            <w:hideMark/>
          </w:tcPr>
          <w:p w14:paraId="041EBB3C" w14:textId="77777777" w:rsidR="00974443" w:rsidRPr="00FB241A" w:rsidRDefault="00974443" w:rsidP="00A35221">
            <w:pPr>
              <w:jc w:val="center"/>
              <w:rPr>
                <w:rFonts w:ascii="Calibri" w:hAnsi="Calibri" w:cs="Calibri"/>
                <w:sz w:val="16"/>
                <w:szCs w:val="16"/>
                <w:lang w:val="en-IN" w:eastAsia="en-IN"/>
              </w:rPr>
            </w:pPr>
            <w:r w:rsidRPr="00FB241A">
              <w:rPr>
                <w:rFonts w:ascii="Calibri" w:hAnsi="Calibri" w:cs="Calibri"/>
                <w:sz w:val="16"/>
                <w:szCs w:val="16"/>
                <w:lang w:val="en-IN" w:eastAsia="en-IN"/>
              </w:rPr>
              <w:t>-</w:t>
            </w:r>
          </w:p>
        </w:tc>
        <w:tc>
          <w:tcPr>
            <w:tcW w:w="780" w:type="dxa"/>
            <w:tcBorders>
              <w:top w:val="nil"/>
              <w:left w:val="nil"/>
              <w:bottom w:val="single" w:sz="4" w:space="0" w:color="auto"/>
              <w:right w:val="single" w:sz="4" w:space="0" w:color="auto"/>
            </w:tcBorders>
            <w:shd w:val="clear" w:color="auto" w:fill="auto"/>
            <w:noWrap/>
            <w:vAlign w:val="center"/>
            <w:hideMark/>
          </w:tcPr>
          <w:p w14:paraId="2A0195B6" w14:textId="77777777" w:rsidR="00974443" w:rsidRPr="00FB241A" w:rsidRDefault="00974443" w:rsidP="00A35221">
            <w:pPr>
              <w:jc w:val="center"/>
              <w:rPr>
                <w:rFonts w:ascii="Calibri" w:hAnsi="Calibri" w:cs="Calibri"/>
                <w:sz w:val="16"/>
                <w:szCs w:val="16"/>
                <w:lang w:val="en-IN" w:eastAsia="en-IN"/>
              </w:rPr>
            </w:pPr>
            <w:r w:rsidRPr="00FB241A">
              <w:rPr>
                <w:rFonts w:ascii="Calibri" w:hAnsi="Calibri" w:cs="Calibri"/>
                <w:sz w:val="16"/>
                <w:szCs w:val="16"/>
                <w:lang w:val="en-IN" w:eastAsia="en-IN"/>
              </w:rPr>
              <w:t>2447.36</w:t>
            </w:r>
          </w:p>
        </w:tc>
        <w:tc>
          <w:tcPr>
            <w:tcW w:w="780" w:type="dxa"/>
            <w:tcBorders>
              <w:top w:val="nil"/>
              <w:left w:val="nil"/>
              <w:bottom w:val="single" w:sz="4" w:space="0" w:color="auto"/>
              <w:right w:val="single" w:sz="4" w:space="0" w:color="auto"/>
            </w:tcBorders>
            <w:shd w:val="clear" w:color="auto" w:fill="auto"/>
            <w:noWrap/>
            <w:vAlign w:val="center"/>
            <w:hideMark/>
          </w:tcPr>
          <w:p w14:paraId="19D92157" w14:textId="77777777" w:rsidR="00974443" w:rsidRPr="00FB241A" w:rsidRDefault="00974443" w:rsidP="00A35221">
            <w:pPr>
              <w:jc w:val="center"/>
              <w:rPr>
                <w:rFonts w:ascii="Calibri" w:hAnsi="Calibri" w:cs="Calibri"/>
                <w:sz w:val="16"/>
                <w:szCs w:val="16"/>
                <w:lang w:val="en-IN" w:eastAsia="en-IN"/>
              </w:rPr>
            </w:pPr>
            <w:r w:rsidRPr="00FB241A">
              <w:rPr>
                <w:rFonts w:ascii="Calibri" w:hAnsi="Calibri" w:cs="Calibri"/>
                <w:sz w:val="16"/>
                <w:szCs w:val="16"/>
                <w:lang w:val="en-IN" w:eastAsia="en-IN"/>
              </w:rPr>
              <w:t>0.00</w:t>
            </w:r>
          </w:p>
        </w:tc>
        <w:tc>
          <w:tcPr>
            <w:tcW w:w="700" w:type="dxa"/>
            <w:tcBorders>
              <w:top w:val="nil"/>
              <w:left w:val="nil"/>
              <w:bottom w:val="single" w:sz="4" w:space="0" w:color="auto"/>
              <w:right w:val="single" w:sz="4" w:space="0" w:color="auto"/>
            </w:tcBorders>
            <w:shd w:val="clear" w:color="auto" w:fill="auto"/>
            <w:noWrap/>
            <w:vAlign w:val="center"/>
            <w:hideMark/>
          </w:tcPr>
          <w:p w14:paraId="39E0BF41" w14:textId="77777777" w:rsidR="00974443" w:rsidRPr="00FB241A" w:rsidRDefault="00974443" w:rsidP="00A35221">
            <w:pPr>
              <w:jc w:val="center"/>
              <w:rPr>
                <w:rFonts w:ascii="Calibri" w:hAnsi="Calibri" w:cs="Calibri"/>
                <w:sz w:val="16"/>
                <w:szCs w:val="16"/>
                <w:lang w:val="en-IN" w:eastAsia="en-IN"/>
              </w:rPr>
            </w:pPr>
            <w:r w:rsidRPr="00FB241A">
              <w:rPr>
                <w:rFonts w:ascii="Calibri" w:hAnsi="Calibri" w:cs="Calibri"/>
                <w:sz w:val="16"/>
                <w:szCs w:val="16"/>
                <w:lang w:val="en-IN" w:eastAsia="en-IN"/>
              </w:rPr>
              <w:t>0.00</w:t>
            </w:r>
          </w:p>
        </w:tc>
        <w:tc>
          <w:tcPr>
            <w:tcW w:w="480" w:type="dxa"/>
            <w:tcBorders>
              <w:top w:val="nil"/>
              <w:left w:val="nil"/>
              <w:bottom w:val="single" w:sz="4" w:space="0" w:color="auto"/>
              <w:right w:val="single" w:sz="4" w:space="0" w:color="auto"/>
            </w:tcBorders>
            <w:shd w:val="clear" w:color="auto" w:fill="auto"/>
            <w:noWrap/>
            <w:vAlign w:val="center"/>
            <w:hideMark/>
          </w:tcPr>
          <w:p w14:paraId="7E15E060" w14:textId="77777777" w:rsidR="00974443" w:rsidRPr="00FB241A" w:rsidRDefault="00974443" w:rsidP="00A35221">
            <w:pPr>
              <w:jc w:val="center"/>
              <w:rPr>
                <w:rFonts w:ascii="Calibri" w:hAnsi="Calibri" w:cs="Calibri"/>
                <w:sz w:val="16"/>
                <w:szCs w:val="16"/>
                <w:lang w:val="en-IN" w:eastAsia="en-IN"/>
              </w:rPr>
            </w:pPr>
            <w:r w:rsidRPr="00FB241A">
              <w:rPr>
                <w:rFonts w:ascii="Calibri" w:hAnsi="Calibri" w:cs="Calibri"/>
                <w:sz w:val="16"/>
                <w:szCs w:val="16"/>
                <w:lang w:val="en-IN" w:eastAsia="en-IN"/>
              </w:rPr>
              <w:t>-</w:t>
            </w:r>
          </w:p>
        </w:tc>
        <w:tc>
          <w:tcPr>
            <w:tcW w:w="480" w:type="dxa"/>
            <w:tcBorders>
              <w:top w:val="nil"/>
              <w:left w:val="nil"/>
              <w:bottom w:val="single" w:sz="4" w:space="0" w:color="auto"/>
              <w:right w:val="single" w:sz="4" w:space="0" w:color="auto"/>
            </w:tcBorders>
            <w:shd w:val="clear" w:color="auto" w:fill="auto"/>
            <w:noWrap/>
            <w:vAlign w:val="center"/>
            <w:hideMark/>
          </w:tcPr>
          <w:p w14:paraId="284DB2D2" w14:textId="77777777" w:rsidR="00974443" w:rsidRPr="00FB241A" w:rsidRDefault="00974443" w:rsidP="00A35221">
            <w:pPr>
              <w:jc w:val="center"/>
              <w:rPr>
                <w:rFonts w:ascii="Calibri" w:hAnsi="Calibri" w:cs="Calibri"/>
                <w:sz w:val="16"/>
                <w:szCs w:val="16"/>
                <w:lang w:val="en-IN" w:eastAsia="en-IN"/>
              </w:rPr>
            </w:pPr>
            <w:r w:rsidRPr="00FB241A">
              <w:rPr>
                <w:rFonts w:ascii="Calibri" w:hAnsi="Calibri" w:cs="Calibri"/>
                <w:sz w:val="16"/>
                <w:szCs w:val="16"/>
                <w:lang w:val="en-IN" w:eastAsia="en-IN"/>
              </w:rPr>
              <w:t>-</w:t>
            </w:r>
          </w:p>
        </w:tc>
        <w:tc>
          <w:tcPr>
            <w:tcW w:w="700" w:type="dxa"/>
            <w:tcBorders>
              <w:top w:val="nil"/>
              <w:left w:val="nil"/>
              <w:bottom w:val="single" w:sz="4" w:space="0" w:color="auto"/>
              <w:right w:val="single" w:sz="4" w:space="0" w:color="auto"/>
            </w:tcBorders>
            <w:shd w:val="clear" w:color="auto" w:fill="auto"/>
            <w:noWrap/>
            <w:vAlign w:val="center"/>
            <w:hideMark/>
          </w:tcPr>
          <w:p w14:paraId="47D1E427" w14:textId="77777777" w:rsidR="00974443" w:rsidRPr="00FB241A" w:rsidRDefault="00974443" w:rsidP="00A35221">
            <w:pPr>
              <w:jc w:val="center"/>
              <w:rPr>
                <w:rFonts w:ascii="Calibri" w:hAnsi="Calibri" w:cs="Calibri"/>
                <w:sz w:val="16"/>
                <w:szCs w:val="16"/>
                <w:lang w:val="en-IN" w:eastAsia="en-IN"/>
              </w:rPr>
            </w:pPr>
            <w:r w:rsidRPr="00FB241A">
              <w:rPr>
                <w:rFonts w:ascii="Calibri" w:hAnsi="Calibri" w:cs="Calibri"/>
                <w:sz w:val="16"/>
                <w:szCs w:val="16"/>
                <w:lang w:val="en-IN" w:eastAsia="en-IN"/>
              </w:rPr>
              <w:t>0.00</w:t>
            </w:r>
          </w:p>
        </w:tc>
        <w:tc>
          <w:tcPr>
            <w:tcW w:w="780" w:type="dxa"/>
            <w:tcBorders>
              <w:top w:val="nil"/>
              <w:left w:val="nil"/>
              <w:bottom w:val="single" w:sz="4" w:space="0" w:color="auto"/>
              <w:right w:val="single" w:sz="4" w:space="0" w:color="auto"/>
            </w:tcBorders>
            <w:shd w:val="clear" w:color="auto" w:fill="auto"/>
            <w:noWrap/>
            <w:vAlign w:val="center"/>
            <w:hideMark/>
          </w:tcPr>
          <w:p w14:paraId="5A2A790B" w14:textId="77777777" w:rsidR="00974443" w:rsidRPr="00FB241A" w:rsidRDefault="00974443" w:rsidP="00A35221">
            <w:pPr>
              <w:jc w:val="center"/>
              <w:rPr>
                <w:rFonts w:ascii="Calibri" w:hAnsi="Calibri" w:cs="Calibri"/>
                <w:sz w:val="16"/>
                <w:szCs w:val="16"/>
                <w:lang w:val="en-IN" w:eastAsia="en-IN"/>
              </w:rPr>
            </w:pPr>
            <w:r w:rsidRPr="00FB241A">
              <w:rPr>
                <w:rFonts w:ascii="Calibri" w:hAnsi="Calibri" w:cs="Calibri"/>
                <w:sz w:val="16"/>
                <w:szCs w:val="16"/>
                <w:lang w:val="en-IN" w:eastAsia="en-IN"/>
              </w:rPr>
              <w:t>0.00</w:t>
            </w:r>
          </w:p>
        </w:tc>
      </w:tr>
      <w:tr w:rsidR="00974443" w:rsidRPr="00FB241A" w14:paraId="39E3C0E8" w14:textId="77777777" w:rsidTr="00A35221">
        <w:trPr>
          <w:trHeight w:val="300"/>
        </w:trPr>
        <w:tc>
          <w:tcPr>
            <w:tcW w:w="520" w:type="dxa"/>
            <w:tcBorders>
              <w:top w:val="nil"/>
              <w:left w:val="single" w:sz="4" w:space="0" w:color="auto"/>
              <w:bottom w:val="single" w:sz="4" w:space="0" w:color="auto"/>
              <w:right w:val="single" w:sz="4" w:space="0" w:color="auto"/>
            </w:tcBorders>
            <w:shd w:val="clear" w:color="auto" w:fill="auto"/>
            <w:noWrap/>
            <w:vAlign w:val="center"/>
            <w:hideMark/>
          </w:tcPr>
          <w:p w14:paraId="060FAF5D" w14:textId="77777777" w:rsidR="00974443" w:rsidRPr="00FB241A" w:rsidRDefault="00974443" w:rsidP="00A35221">
            <w:pPr>
              <w:jc w:val="center"/>
              <w:rPr>
                <w:rFonts w:ascii="Calibri" w:hAnsi="Calibri" w:cs="Calibri"/>
                <w:b/>
                <w:sz w:val="16"/>
                <w:szCs w:val="16"/>
                <w:lang w:val="en-IN" w:eastAsia="en-IN"/>
              </w:rPr>
            </w:pPr>
            <w:r w:rsidRPr="00FB241A">
              <w:rPr>
                <w:rFonts w:ascii="Calibri" w:hAnsi="Calibri" w:cs="Calibri"/>
                <w:b/>
                <w:sz w:val="16"/>
                <w:szCs w:val="16"/>
                <w:lang w:val="en-IN" w:eastAsia="en-IN"/>
              </w:rPr>
              <w:t>10</w:t>
            </w:r>
          </w:p>
        </w:tc>
        <w:tc>
          <w:tcPr>
            <w:tcW w:w="2340" w:type="dxa"/>
            <w:tcBorders>
              <w:top w:val="nil"/>
              <w:left w:val="nil"/>
              <w:bottom w:val="single" w:sz="4" w:space="0" w:color="auto"/>
              <w:right w:val="single" w:sz="4" w:space="0" w:color="auto"/>
            </w:tcBorders>
            <w:shd w:val="clear" w:color="auto" w:fill="auto"/>
            <w:vAlign w:val="center"/>
            <w:hideMark/>
          </w:tcPr>
          <w:p w14:paraId="22C73690" w14:textId="77777777" w:rsidR="00974443" w:rsidRPr="00FB241A" w:rsidRDefault="00974443" w:rsidP="00A35221">
            <w:pPr>
              <w:rPr>
                <w:rFonts w:ascii="Calibri" w:hAnsi="Calibri" w:cs="Calibri"/>
                <w:sz w:val="16"/>
                <w:szCs w:val="16"/>
                <w:lang w:val="en-IN" w:eastAsia="en-IN"/>
              </w:rPr>
            </w:pPr>
            <w:r w:rsidRPr="00FB241A">
              <w:rPr>
                <w:rFonts w:ascii="Calibri" w:hAnsi="Calibri" w:cs="Calibri"/>
                <w:sz w:val="16"/>
                <w:szCs w:val="16"/>
                <w:lang w:val="en-IN" w:eastAsia="en-IN"/>
              </w:rPr>
              <w:t>NEW DESI- Grant</w:t>
            </w:r>
          </w:p>
        </w:tc>
        <w:tc>
          <w:tcPr>
            <w:tcW w:w="780" w:type="dxa"/>
            <w:tcBorders>
              <w:top w:val="nil"/>
              <w:left w:val="nil"/>
              <w:bottom w:val="single" w:sz="4" w:space="0" w:color="auto"/>
              <w:right w:val="single" w:sz="4" w:space="0" w:color="auto"/>
            </w:tcBorders>
            <w:shd w:val="clear" w:color="auto" w:fill="auto"/>
            <w:noWrap/>
            <w:vAlign w:val="center"/>
            <w:hideMark/>
          </w:tcPr>
          <w:p w14:paraId="4F84F97E" w14:textId="77777777" w:rsidR="00974443" w:rsidRPr="00FB241A" w:rsidRDefault="00974443" w:rsidP="00A35221">
            <w:pPr>
              <w:jc w:val="center"/>
              <w:rPr>
                <w:rFonts w:ascii="Calibri" w:hAnsi="Calibri" w:cs="Calibri"/>
                <w:sz w:val="16"/>
                <w:szCs w:val="16"/>
                <w:lang w:val="en-IN" w:eastAsia="en-IN"/>
              </w:rPr>
            </w:pPr>
            <w:r w:rsidRPr="00FB241A">
              <w:rPr>
                <w:rFonts w:ascii="Calibri" w:hAnsi="Calibri" w:cs="Calibri"/>
                <w:sz w:val="16"/>
                <w:szCs w:val="16"/>
                <w:lang w:val="en-IN" w:eastAsia="en-IN"/>
              </w:rPr>
              <w:t>28.05</w:t>
            </w:r>
          </w:p>
        </w:tc>
        <w:tc>
          <w:tcPr>
            <w:tcW w:w="780" w:type="dxa"/>
            <w:tcBorders>
              <w:top w:val="nil"/>
              <w:left w:val="nil"/>
              <w:bottom w:val="single" w:sz="4" w:space="0" w:color="auto"/>
              <w:right w:val="single" w:sz="4" w:space="0" w:color="auto"/>
            </w:tcBorders>
            <w:shd w:val="clear" w:color="auto" w:fill="auto"/>
            <w:noWrap/>
            <w:vAlign w:val="center"/>
            <w:hideMark/>
          </w:tcPr>
          <w:p w14:paraId="3B64460B" w14:textId="77777777" w:rsidR="00974443" w:rsidRPr="00FB241A" w:rsidRDefault="00974443" w:rsidP="00A35221">
            <w:pPr>
              <w:jc w:val="center"/>
              <w:rPr>
                <w:rFonts w:ascii="Calibri" w:hAnsi="Calibri" w:cs="Calibri"/>
                <w:sz w:val="16"/>
                <w:szCs w:val="16"/>
                <w:lang w:val="en-IN" w:eastAsia="en-IN"/>
              </w:rPr>
            </w:pPr>
            <w:r w:rsidRPr="00FB241A">
              <w:rPr>
                <w:rFonts w:ascii="Calibri" w:hAnsi="Calibri" w:cs="Calibri"/>
                <w:sz w:val="16"/>
                <w:szCs w:val="16"/>
                <w:lang w:val="en-IN" w:eastAsia="en-IN"/>
              </w:rPr>
              <w:t>1.08</w:t>
            </w:r>
          </w:p>
        </w:tc>
        <w:tc>
          <w:tcPr>
            <w:tcW w:w="480" w:type="dxa"/>
            <w:tcBorders>
              <w:top w:val="nil"/>
              <w:left w:val="nil"/>
              <w:bottom w:val="single" w:sz="4" w:space="0" w:color="auto"/>
              <w:right w:val="single" w:sz="4" w:space="0" w:color="auto"/>
            </w:tcBorders>
            <w:shd w:val="clear" w:color="auto" w:fill="auto"/>
            <w:noWrap/>
            <w:vAlign w:val="center"/>
            <w:hideMark/>
          </w:tcPr>
          <w:p w14:paraId="10DFE3B9" w14:textId="77777777" w:rsidR="00974443" w:rsidRPr="00FB241A" w:rsidRDefault="00974443" w:rsidP="00A35221">
            <w:pPr>
              <w:jc w:val="center"/>
              <w:rPr>
                <w:rFonts w:ascii="Calibri" w:hAnsi="Calibri" w:cs="Calibri"/>
                <w:sz w:val="16"/>
                <w:szCs w:val="16"/>
                <w:lang w:val="en-IN" w:eastAsia="en-IN"/>
              </w:rPr>
            </w:pPr>
            <w:r w:rsidRPr="00FB241A">
              <w:rPr>
                <w:rFonts w:ascii="Calibri" w:hAnsi="Calibri" w:cs="Calibri"/>
                <w:sz w:val="16"/>
                <w:szCs w:val="16"/>
                <w:lang w:val="en-IN" w:eastAsia="en-IN"/>
              </w:rPr>
              <w:t>-</w:t>
            </w:r>
          </w:p>
        </w:tc>
        <w:tc>
          <w:tcPr>
            <w:tcW w:w="480" w:type="dxa"/>
            <w:tcBorders>
              <w:top w:val="nil"/>
              <w:left w:val="nil"/>
              <w:bottom w:val="single" w:sz="4" w:space="0" w:color="auto"/>
              <w:right w:val="single" w:sz="4" w:space="0" w:color="auto"/>
            </w:tcBorders>
            <w:shd w:val="clear" w:color="auto" w:fill="auto"/>
            <w:noWrap/>
            <w:vAlign w:val="center"/>
            <w:hideMark/>
          </w:tcPr>
          <w:p w14:paraId="782FEDDF" w14:textId="77777777" w:rsidR="00974443" w:rsidRPr="00FB241A" w:rsidRDefault="00974443" w:rsidP="00A35221">
            <w:pPr>
              <w:jc w:val="center"/>
              <w:rPr>
                <w:rFonts w:ascii="Calibri" w:hAnsi="Calibri" w:cs="Calibri"/>
                <w:sz w:val="16"/>
                <w:szCs w:val="16"/>
                <w:lang w:val="en-IN" w:eastAsia="en-IN"/>
              </w:rPr>
            </w:pPr>
            <w:r w:rsidRPr="00FB241A">
              <w:rPr>
                <w:rFonts w:ascii="Calibri" w:hAnsi="Calibri" w:cs="Calibri"/>
                <w:sz w:val="16"/>
                <w:szCs w:val="16"/>
                <w:lang w:val="en-IN" w:eastAsia="en-IN"/>
              </w:rPr>
              <w:t>-</w:t>
            </w:r>
          </w:p>
        </w:tc>
        <w:tc>
          <w:tcPr>
            <w:tcW w:w="780" w:type="dxa"/>
            <w:tcBorders>
              <w:top w:val="nil"/>
              <w:left w:val="nil"/>
              <w:bottom w:val="single" w:sz="4" w:space="0" w:color="auto"/>
              <w:right w:val="single" w:sz="4" w:space="0" w:color="auto"/>
            </w:tcBorders>
            <w:shd w:val="clear" w:color="auto" w:fill="auto"/>
            <w:noWrap/>
            <w:vAlign w:val="center"/>
            <w:hideMark/>
          </w:tcPr>
          <w:p w14:paraId="61C570A8" w14:textId="77777777" w:rsidR="00974443" w:rsidRPr="00FB241A" w:rsidRDefault="00974443" w:rsidP="00A35221">
            <w:pPr>
              <w:jc w:val="center"/>
              <w:rPr>
                <w:rFonts w:ascii="Calibri" w:hAnsi="Calibri" w:cs="Calibri"/>
                <w:sz w:val="16"/>
                <w:szCs w:val="16"/>
                <w:lang w:val="en-IN" w:eastAsia="en-IN"/>
              </w:rPr>
            </w:pPr>
            <w:r w:rsidRPr="00FB241A">
              <w:rPr>
                <w:rFonts w:ascii="Calibri" w:hAnsi="Calibri" w:cs="Calibri"/>
                <w:sz w:val="16"/>
                <w:szCs w:val="16"/>
                <w:lang w:val="en-IN" w:eastAsia="en-IN"/>
              </w:rPr>
              <w:t>0.00</w:t>
            </w:r>
          </w:p>
        </w:tc>
        <w:tc>
          <w:tcPr>
            <w:tcW w:w="780" w:type="dxa"/>
            <w:tcBorders>
              <w:top w:val="nil"/>
              <w:left w:val="nil"/>
              <w:bottom w:val="single" w:sz="4" w:space="0" w:color="auto"/>
              <w:right w:val="single" w:sz="4" w:space="0" w:color="auto"/>
            </w:tcBorders>
            <w:shd w:val="clear" w:color="auto" w:fill="auto"/>
            <w:noWrap/>
            <w:vAlign w:val="center"/>
            <w:hideMark/>
          </w:tcPr>
          <w:p w14:paraId="6E7FC58E" w14:textId="77777777" w:rsidR="00974443" w:rsidRPr="00FB241A" w:rsidRDefault="00974443" w:rsidP="00A35221">
            <w:pPr>
              <w:jc w:val="center"/>
              <w:rPr>
                <w:rFonts w:ascii="Calibri" w:hAnsi="Calibri" w:cs="Calibri"/>
                <w:sz w:val="16"/>
                <w:szCs w:val="16"/>
                <w:lang w:val="en-IN" w:eastAsia="en-IN"/>
              </w:rPr>
            </w:pPr>
            <w:r w:rsidRPr="00FB241A">
              <w:rPr>
                <w:rFonts w:ascii="Calibri" w:hAnsi="Calibri" w:cs="Calibri"/>
                <w:sz w:val="16"/>
                <w:szCs w:val="16"/>
                <w:lang w:val="en-IN" w:eastAsia="en-IN"/>
              </w:rPr>
              <w:t>29.14</w:t>
            </w:r>
          </w:p>
        </w:tc>
        <w:tc>
          <w:tcPr>
            <w:tcW w:w="700" w:type="dxa"/>
            <w:tcBorders>
              <w:top w:val="nil"/>
              <w:left w:val="nil"/>
              <w:bottom w:val="single" w:sz="4" w:space="0" w:color="auto"/>
              <w:right w:val="single" w:sz="4" w:space="0" w:color="auto"/>
            </w:tcBorders>
            <w:shd w:val="clear" w:color="auto" w:fill="auto"/>
            <w:noWrap/>
            <w:vAlign w:val="center"/>
            <w:hideMark/>
          </w:tcPr>
          <w:p w14:paraId="36CAC156" w14:textId="77777777" w:rsidR="00974443" w:rsidRPr="00FB241A" w:rsidRDefault="00974443" w:rsidP="00A35221">
            <w:pPr>
              <w:jc w:val="center"/>
              <w:rPr>
                <w:rFonts w:ascii="Calibri" w:hAnsi="Calibri" w:cs="Calibri"/>
                <w:sz w:val="16"/>
                <w:szCs w:val="16"/>
                <w:lang w:val="en-IN" w:eastAsia="en-IN"/>
              </w:rPr>
            </w:pPr>
            <w:r w:rsidRPr="00FB241A">
              <w:rPr>
                <w:rFonts w:ascii="Calibri" w:hAnsi="Calibri" w:cs="Calibri"/>
                <w:sz w:val="16"/>
                <w:szCs w:val="16"/>
                <w:lang w:val="en-IN" w:eastAsia="en-IN"/>
              </w:rPr>
              <w:t>0.00</w:t>
            </w:r>
          </w:p>
        </w:tc>
        <w:tc>
          <w:tcPr>
            <w:tcW w:w="480" w:type="dxa"/>
            <w:tcBorders>
              <w:top w:val="nil"/>
              <w:left w:val="nil"/>
              <w:bottom w:val="single" w:sz="4" w:space="0" w:color="auto"/>
              <w:right w:val="single" w:sz="4" w:space="0" w:color="auto"/>
            </w:tcBorders>
            <w:shd w:val="clear" w:color="auto" w:fill="auto"/>
            <w:noWrap/>
            <w:vAlign w:val="center"/>
            <w:hideMark/>
          </w:tcPr>
          <w:p w14:paraId="1B67D7B0" w14:textId="77777777" w:rsidR="00974443" w:rsidRPr="00FB241A" w:rsidRDefault="00974443" w:rsidP="00A35221">
            <w:pPr>
              <w:jc w:val="center"/>
              <w:rPr>
                <w:rFonts w:ascii="Calibri" w:hAnsi="Calibri" w:cs="Calibri"/>
                <w:sz w:val="16"/>
                <w:szCs w:val="16"/>
                <w:lang w:val="en-IN" w:eastAsia="en-IN"/>
              </w:rPr>
            </w:pPr>
            <w:r w:rsidRPr="00FB241A">
              <w:rPr>
                <w:rFonts w:ascii="Calibri" w:hAnsi="Calibri" w:cs="Calibri"/>
                <w:sz w:val="16"/>
                <w:szCs w:val="16"/>
                <w:lang w:val="en-IN" w:eastAsia="en-IN"/>
              </w:rPr>
              <w:t>-</w:t>
            </w:r>
          </w:p>
        </w:tc>
        <w:tc>
          <w:tcPr>
            <w:tcW w:w="480" w:type="dxa"/>
            <w:tcBorders>
              <w:top w:val="nil"/>
              <w:left w:val="nil"/>
              <w:bottom w:val="single" w:sz="4" w:space="0" w:color="auto"/>
              <w:right w:val="single" w:sz="4" w:space="0" w:color="auto"/>
            </w:tcBorders>
            <w:shd w:val="clear" w:color="auto" w:fill="auto"/>
            <w:noWrap/>
            <w:vAlign w:val="center"/>
            <w:hideMark/>
          </w:tcPr>
          <w:p w14:paraId="79CA2D70" w14:textId="77777777" w:rsidR="00974443" w:rsidRPr="00FB241A" w:rsidRDefault="00974443" w:rsidP="00A35221">
            <w:pPr>
              <w:jc w:val="center"/>
              <w:rPr>
                <w:rFonts w:ascii="Calibri" w:hAnsi="Calibri" w:cs="Calibri"/>
                <w:sz w:val="16"/>
                <w:szCs w:val="16"/>
                <w:lang w:val="en-IN" w:eastAsia="en-IN"/>
              </w:rPr>
            </w:pPr>
            <w:r w:rsidRPr="00FB241A">
              <w:rPr>
                <w:rFonts w:ascii="Calibri" w:hAnsi="Calibri" w:cs="Calibri"/>
                <w:sz w:val="16"/>
                <w:szCs w:val="16"/>
                <w:lang w:val="en-IN" w:eastAsia="en-IN"/>
              </w:rPr>
              <w:t>-</w:t>
            </w:r>
          </w:p>
        </w:tc>
        <w:tc>
          <w:tcPr>
            <w:tcW w:w="700" w:type="dxa"/>
            <w:tcBorders>
              <w:top w:val="nil"/>
              <w:left w:val="nil"/>
              <w:bottom w:val="single" w:sz="4" w:space="0" w:color="auto"/>
              <w:right w:val="single" w:sz="4" w:space="0" w:color="auto"/>
            </w:tcBorders>
            <w:shd w:val="clear" w:color="auto" w:fill="auto"/>
            <w:noWrap/>
            <w:vAlign w:val="center"/>
            <w:hideMark/>
          </w:tcPr>
          <w:p w14:paraId="5C3E0BDC" w14:textId="77777777" w:rsidR="00974443" w:rsidRPr="00FB241A" w:rsidRDefault="00974443" w:rsidP="00A35221">
            <w:pPr>
              <w:jc w:val="center"/>
              <w:rPr>
                <w:rFonts w:ascii="Calibri" w:hAnsi="Calibri" w:cs="Calibri"/>
                <w:sz w:val="16"/>
                <w:szCs w:val="16"/>
                <w:lang w:val="en-IN" w:eastAsia="en-IN"/>
              </w:rPr>
            </w:pPr>
            <w:r w:rsidRPr="00FB241A">
              <w:rPr>
                <w:rFonts w:ascii="Calibri" w:hAnsi="Calibri" w:cs="Calibri"/>
                <w:sz w:val="16"/>
                <w:szCs w:val="16"/>
                <w:lang w:val="en-IN" w:eastAsia="en-IN"/>
              </w:rPr>
              <w:t>29.14</w:t>
            </w:r>
          </w:p>
        </w:tc>
        <w:tc>
          <w:tcPr>
            <w:tcW w:w="780" w:type="dxa"/>
            <w:tcBorders>
              <w:top w:val="nil"/>
              <w:left w:val="nil"/>
              <w:bottom w:val="single" w:sz="4" w:space="0" w:color="auto"/>
              <w:right w:val="single" w:sz="4" w:space="0" w:color="auto"/>
            </w:tcBorders>
            <w:shd w:val="clear" w:color="auto" w:fill="auto"/>
            <w:noWrap/>
            <w:vAlign w:val="center"/>
            <w:hideMark/>
          </w:tcPr>
          <w:p w14:paraId="5359DF99" w14:textId="77777777" w:rsidR="00974443" w:rsidRPr="00FB241A" w:rsidRDefault="00974443" w:rsidP="00A35221">
            <w:pPr>
              <w:jc w:val="center"/>
              <w:rPr>
                <w:rFonts w:ascii="Calibri" w:hAnsi="Calibri" w:cs="Calibri"/>
                <w:sz w:val="16"/>
                <w:szCs w:val="16"/>
                <w:lang w:val="en-IN" w:eastAsia="en-IN"/>
              </w:rPr>
            </w:pPr>
            <w:r w:rsidRPr="00FB241A">
              <w:rPr>
                <w:rFonts w:ascii="Calibri" w:hAnsi="Calibri" w:cs="Calibri"/>
                <w:sz w:val="16"/>
                <w:szCs w:val="16"/>
                <w:lang w:val="en-IN" w:eastAsia="en-IN"/>
              </w:rPr>
              <w:t>0.00</w:t>
            </w:r>
          </w:p>
        </w:tc>
      </w:tr>
      <w:tr w:rsidR="00974443" w:rsidRPr="00FB241A" w14:paraId="04C74CA1" w14:textId="77777777" w:rsidTr="00A35221">
        <w:trPr>
          <w:trHeight w:val="300"/>
        </w:trPr>
        <w:tc>
          <w:tcPr>
            <w:tcW w:w="520" w:type="dxa"/>
            <w:tcBorders>
              <w:top w:val="nil"/>
              <w:left w:val="single" w:sz="4" w:space="0" w:color="auto"/>
              <w:bottom w:val="single" w:sz="4" w:space="0" w:color="auto"/>
              <w:right w:val="single" w:sz="4" w:space="0" w:color="auto"/>
            </w:tcBorders>
            <w:shd w:val="clear" w:color="auto" w:fill="auto"/>
            <w:noWrap/>
            <w:vAlign w:val="center"/>
            <w:hideMark/>
          </w:tcPr>
          <w:p w14:paraId="716C5354" w14:textId="77777777" w:rsidR="00974443" w:rsidRPr="00FB241A" w:rsidRDefault="00974443" w:rsidP="00A35221">
            <w:pPr>
              <w:jc w:val="center"/>
              <w:rPr>
                <w:rFonts w:ascii="Calibri" w:hAnsi="Calibri" w:cs="Calibri"/>
                <w:b/>
                <w:sz w:val="16"/>
                <w:szCs w:val="16"/>
                <w:lang w:val="en-IN" w:eastAsia="en-IN"/>
              </w:rPr>
            </w:pPr>
            <w:r w:rsidRPr="00FB241A">
              <w:rPr>
                <w:rFonts w:ascii="Calibri" w:hAnsi="Calibri" w:cs="Calibri"/>
                <w:b/>
                <w:sz w:val="16"/>
                <w:szCs w:val="16"/>
                <w:lang w:val="en-IN" w:eastAsia="en-IN"/>
              </w:rPr>
              <w:t>11</w:t>
            </w:r>
          </w:p>
        </w:tc>
        <w:tc>
          <w:tcPr>
            <w:tcW w:w="2340" w:type="dxa"/>
            <w:tcBorders>
              <w:top w:val="nil"/>
              <w:left w:val="nil"/>
              <w:bottom w:val="single" w:sz="4" w:space="0" w:color="auto"/>
              <w:right w:val="single" w:sz="4" w:space="0" w:color="auto"/>
            </w:tcBorders>
            <w:shd w:val="clear" w:color="auto" w:fill="auto"/>
            <w:vAlign w:val="center"/>
            <w:hideMark/>
          </w:tcPr>
          <w:p w14:paraId="63C5AF8E" w14:textId="77777777" w:rsidR="00974443" w:rsidRPr="00FB241A" w:rsidRDefault="00974443" w:rsidP="00A35221">
            <w:pPr>
              <w:rPr>
                <w:rFonts w:ascii="Calibri" w:hAnsi="Calibri" w:cs="Calibri"/>
                <w:sz w:val="16"/>
                <w:szCs w:val="16"/>
                <w:lang w:val="en-IN" w:eastAsia="en-IN"/>
              </w:rPr>
            </w:pPr>
            <w:r w:rsidRPr="00FB241A">
              <w:rPr>
                <w:rFonts w:ascii="Calibri" w:hAnsi="Calibri" w:cs="Calibri"/>
                <w:sz w:val="16"/>
                <w:szCs w:val="16"/>
                <w:lang w:val="en-IN" w:eastAsia="en-IN"/>
              </w:rPr>
              <w:t>Disaster Fund- Flood- Grant</w:t>
            </w:r>
          </w:p>
        </w:tc>
        <w:tc>
          <w:tcPr>
            <w:tcW w:w="780" w:type="dxa"/>
            <w:tcBorders>
              <w:top w:val="nil"/>
              <w:left w:val="nil"/>
              <w:bottom w:val="single" w:sz="4" w:space="0" w:color="auto"/>
              <w:right w:val="single" w:sz="4" w:space="0" w:color="auto"/>
            </w:tcBorders>
            <w:shd w:val="clear" w:color="auto" w:fill="auto"/>
            <w:noWrap/>
            <w:vAlign w:val="center"/>
            <w:hideMark/>
          </w:tcPr>
          <w:p w14:paraId="31ECC61C" w14:textId="77777777" w:rsidR="00974443" w:rsidRPr="00FB241A" w:rsidRDefault="00974443" w:rsidP="00A35221">
            <w:pPr>
              <w:jc w:val="center"/>
              <w:rPr>
                <w:rFonts w:ascii="Calibri" w:hAnsi="Calibri" w:cs="Calibri"/>
                <w:sz w:val="16"/>
                <w:szCs w:val="16"/>
                <w:lang w:val="en-IN" w:eastAsia="en-IN"/>
              </w:rPr>
            </w:pPr>
            <w:r w:rsidRPr="00FB241A">
              <w:rPr>
                <w:rFonts w:ascii="Calibri" w:hAnsi="Calibri" w:cs="Calibri"/>
                <w:sz w:val="16"/>
                <w:szCs w:val="16"/>
                <w:lang w:val="en-IN" w:eastAsia="en-IN"/>
              </w:rPr>
              <w:t>148.00</w:t>
            </w:r>
          </w:p>
        </w:tc>
        <w:tc>
          <w:tcPr>
            <w:tcW w:w="780" w:type="dxa"/>
            <w:tcBorders>
              <w:top w:val="nil"/>
              <w:left w:val="nil"/>
              <w:bottom w:val="single" w:sz="4" w:space="0" w:color="auto"/>
              <w:right w:val="single" w:sz="4" w:space="0" w:color="auto"/>
            </w:tcBorders>
            <w:shd w:val="clear" w:color="auto" w:fill="auto"/>
            <w:noWrap/>
            <w:vAlign w:val="center"/>
            <w:hideMark/>
          </w:tcPr>
          <w:p w14:paraId="6378ECBF" w14:textId="77777777" w:rsidR="00974443" w:rsidRPr="00FB241A" w:rsidRDefault="00974443" w:rsidP="00A35221">
            <w:pPr>
              <w:jc w:val="center"/>
              <w:rPr>
                <w:rFonts w:ascii="Calibri" w:hAnsi="Calibri" w:cs="Calibri"/>
                <w:sz w:val="16"/>
                <w:szCs w:val="16"/>
                <w:lang w:val="en-IN" w:eastAsia="en-IN"/>
              </w:rPr>
            </w:pPr>
            <w:r w:rsidRPr="00FB241A">
              <w:rPr>
                <w:rFonts w:ascii="Calibri" w:hAnsi="Calibri" w:cs="Calibri"/>
                <w:sz w:val="16"/>
                <w:szCs w:val="16"/>
                <w:lang w:val="en-IN" w:eastAsia="en-IN"/>
              </w:rPr>
              <w:t>66.17</w:t>
            </w:r>
          </w:p>
        </w:tc>
        <w:tc>
          <w:tcPr>
            <w:tcW w:w="480" w:type="dxa"/>
            <w:tcBorders>
              <w:top w:val="nil"/>
              <w:left w:val="nil"/>
              <w:bottom w:val="single" w:sz="4" w:space="0" w:color="auto"/>
              <w:right w:val="single" w:sz="4" w:space="0" w:color="auto"/>
            </w:tcBorders>
            <w:shd w:val="clear" w:color="auto" w:fill="auto"/>
            <w:noWrap/>
            <w:vAlign w:val="center"/>
            <w:hideMark/>
          </w:tcPr>
          <w:p w14:paraId="311F4DA7" w14:textId="77777777" w:rsidR="00974443" w:rsidRPr="00FB241A" w:rsidRDefault="00974443" w:rsidP="00A35221">
            <w:pPr>
              <w:jc w:val="center"/>
              <w:rPr>
                <w:rFonts w:ascii="Calibri" w:hAnsi="Calibri" w:cs="Calibri"/>
                <w:sz w:val="16"/>
                <w:szCs w:val="16"/>
                <w:lang w:val="en-IN" w:eastAsia="en-IN"/>
              </w:rPr>
            </w:pPr>
            <w:r w:rsidRPr="00FB241A">
              <w:rPr>
                <w:rFonts w:ascii="Calibri" w:hAnsi="Calibri" w:cs="Calibri"/>
                <w:sz w:val="16"/>
                <w:szCs w:val="16"/>
                <w:lang w:val="en-IN" w:eastAsia="en-IN"/>
              </w:rPr>
              <w:t>-</w:t>
            </w:r>
          </w:p>
        </w:tc>
        <w:tc>
          <w:tcPr>
            <w:tcW w:w="480" w:type="dxa"/>
            <w:tcBorders>
              <w:top w:val="nil"/>
              <w:left w:val="nil"/>
              <w:bottom w:val="single" w:sz="4" w:space="0" w:color="auto"/>
              <w:right w:val="single" w:sz="4" w:space="0" w:color="auto"/>
            </w:tcBorders>
            <w:shd w:val="clear" w:color="auto" w:fill="auto"/>
            <w:noWrap/>
            <w:vAlign w:val="center"/>
            <w:hideMark/>
          </w:tcPr>
          <w:p w14:paraId="18F2D996" w14:textId="77777777" w:rsidR="00974443" w:rsidRPr="00FB241A" w:rsidRDefault="00974443" w:rsidP="00A35221">
            <w:pPr>
              <w:jc w:val="center"/>
              <w:rPr>
                <w:rFonts w:ascii="Calibri" w:hAnsi="Calibri" w:cs="Calibri"/>
                <w:sz w:val="16"/>
                <w:szCs w:val="16"/>
                <w:lang w:val="en-IN" w:eastAsia="en-IN"/>
              </w:rPr>
            </w:pPr>
            <w:r w:rsidRPr="00FB241A">
              <w:rPr>
                <w:rFonts w:ascii="Calibri" w:hAnsi="Calibri" w:cs="Calibri"/>
                <w:sz w:val="16"/>
                <w:szCs w:val="16"/>
                <w:lang w:val="en-IN" w:eastAsia="en-IN"/>
              </w:rPr>
              <w:t>-</w:t>
            </w:r>
          </w:p>
        </w:tc>
        <w:tc>
          <w:tcPr>
            <w:tcW w:w="780" w:type="dxa"/>
            <w:tcBorders>
              <w:top w:val="nil"/>
              <w:left w:val="nil"/>
              <w:bottom w:val="single" w:sz="4" w:space="0" w:color="auto"/>
              <w:right w:val="single" w:sz="4" w:space="0" w:color="auto"/>
            </w:tcBorders>
            <w:shd w:val="clear" w:color="auto" w:fill="auto"/>
            <w:noWrap/>
            <w:vAlign w:val="center"/>
            <w:hideMark/>
          </w:tcPr>
          <w:p w14:paraId="379201C5" w14:textId="77777777" w:rsidR="00974443" w:rsidRPr="00FB241A" w:rsidRDefault="00974443" w:rsidP="00A35221">
            <w:pPr>
              <w:jc w:val="center"/>
              <w:rPr>
                <w:rFonts w:ascii="Calibri" w:hAnsi="Calibri" w:cs="Calibri"/>
                <w:sz w:val="16"/>
                <w:szCs w:val="16"/>
                <w:lang w:val="en-IN" w:eastAsia="en-IN"/>
              </w:rPr>
            </w:pPr>
            <w:r w:rsidRPr="00FB241A">
              <w:rPr>
                <w:rFonts w:ascii="Calibri" w:hAnsi="Calibri" w:cs="Calibri"/>
                <w:sz w:val="16"/>
                <w:szCs w:val="16"/>
                <w:lang w:val="en-IN" w:eastAsia="en-IN"/>
              </w:rPr>
              <w:t>214.17</w:t>
            </w:r>
          </w:p>
        </w:tc>
        <w:tc>
          <w:tcPr>
            <w:tcW w:w="780" w:type="dxa"/>
            <w:tcBorders>
              <w:top w:val="nil"/>
              <w:left w:val="nil"/>
              <w:bottom w:val="single" w:sz="4" w:space="0" w:color="auto"/>
              <w:right w:val="single" w:sz="4" w:space="0" w:color="auto"/>
            </w:tcBorders>
            <w:shd w:val="clear" w:color="auto" w:fill="auto"/>
            <w:noWrap/>
            <w:vAlign w:val="center"/>
            <w:hideMark/>
          </w:tcPr>
          <w:p w14:paraId="775AB7D5" w14:textId="77777777" w:rsidR="00974443" w:rsidRPr="00FB241A" w:rsidRDefault="00974443" w:rsidP="00A35221">
            <w:pPr>
              <w:jc w:val="center"/>
              <w:rPr>
                <w:rFonts w:ascii="Calibri" w:hAnsi="Calibri" w:cs="Calibri"/>
                <w:sz w:val="16"/>
                <w:szCs w:val="16"/>
                <w:lang w:val="en-IN" w:eastAsia="en-IN"/>
              </w:rPr>
            </w:pPr>
            <w:r w:rsidRPr="00FB241A">
              <w:rPr>
                <w:rFonts w:ascii="Calibri" w:hAnsi="Calibri" w:cs="Calibri"/>
                <w:sz w:val="16"/>
                <w:szCs w:val="16"/>
                <w:lang w:val="en-IN" w:eastAsia="en-IN"/>
              </w:rPr>
              <w:t>0.00</w:t>
            </w:r>
          </w:p>
        </w:tc>
        <w:tc>
          <w:tcPr>
            <w:tcW w:w="700" w:type="dxa"/>
            <w:tcBorders>
              <w:top w:val="nil"/>
              <w:left w:val="nil"/>
              <w:bottom w:val="single" w:sz="4" w:space="0" w:color="auto"/>
              <w:right w:val="single" w:sz="4" w:space="0" w:color="auto"/>
            </w:tcBorders>
            <w:shd w:val="clear" w:color="auto" w:fill="auto"/>
            <w:noWrap/>
            <w:vAlign w:val="center"/>
            <w:hideMark/>
          </w:tcPr>
          <w:p w14:paraId="6E4B5B57" w14:textId="77777777" w:rsidR="00974443" w:rsidRPr="00FB241A" w:rsidRDefault="00974443" w:rsidP="00A35221">
            <w:pPr>
              <w:jc w:val="center"/>
              <w:rPr>
                <w:rFonts w:ascii="Calibri" w:hAnsi="Calibri" w:cs="Calibri"/>
                <w:sz w:val="16"/>
                <w:szCs w:val="16"/>
                <w:lang w:val="en-IN" w:eastAsia="en-IN"/>
              </w:rPr>
            </w:pPr>
            <w:r w:rsidRPr="00FB241A">
              <w:rPr>
                <w:rFonts w:ascii="Calibri" w:hAnsi="Calibri" w:cs="Calibri"/>
                <w:sz w:val="16"/>
                <w:szCs w:val="16"/>
                <w:lang w:val="en-IN" w:eastAsia="en-IN"/>
              </w:rPr>
              <w:t>0.00</w:t>
            </w:r>
          </w:p>
        </w:tc>
        <w:tc>
          <w:tcPr>
            <w:tcW w:w="480" w:type="dxa"/>
            <w:tcBorders>
              <w:top w:val="nil"/>
              <w:left w:val="nil"/>
              <w:bottom w:val="single" w:sz="4" w:space="0" w:color="auto"/>
              <w:right w:val="single" w:sz="4" w:space="0" w:color="auto"/>
            </w:tcBorders>
            <w:shd w:val="clear" w:color="auto" w:fill="auto"/>
            <w:noWrap/>
            <w:vAlign w:val="center"/>
            <w:hideMark/>
          </w:tcPr>
          <w:p w14:paraId="5BFC0746" w14:textId="77777777" w:rsidR="00974443" w:rsidRPr="00FB241A" w:rsidRDefault="00974443" w:rsidP="00A35221">
            <w:pPr>
              <w:jc w:val="center"/>
              <w:rPr>
                <w:rFonts w:ascii="Calibri" w:hAnsi="Calibri" w:cs="Calibri"/>
                <w:sz w:val="16"/>
                <w:szCs w:val="16"/>
                <w:lang w:val="en-IN" w:eastAsia="en-IN"/>
              </w:rPr>
            </w:pPr>
            <w:r w:rsidRPr="00FB241A">
              <w:rPr>
                <w:rFonts w:ascii="Calibri" w:hAnsi="Calibri" w:cs="Calibri"/>
                <w:sz w:val="16"/>
                <w:szCs w:val="16"/>
                <w:lang w:val="en-IN" w:eastAsia="en-IN"/>
              </w:rPr>
              <w:t>-</w:t>
            </w:r>
          </w:p>
        </w:tc>
        <w:tc>
          <w:tcPr>
            <w:tcW w:w="480" w:type="dxa"/>
            <w:tcBorders>
              <w:top w:val="nil"/>
              <w:left w:val="nil"/>
              <w:bottom w:val="single" w:sz="4" w:space="0" w:color="auto"/>
              <w:right w:val="single" w:sz="4" w:space="0" w:color="auto"/>
            </w:tcBorders>
            <w:shd w:val="clear" w:color="auto" w:fill="auto"/>
            <w:noWrap/>
            <w:vAlign w:val="center"/>
            <w:hideMark/>
          </w:tcPr>
          <w:p w14:paraId="6EAFED35" w14:textId="77777777" w:rsidR="00974443" w:rsidRPr="00FB241A" w:rsidRDefault="00974443" w:rsidP="00A35221">
            <w:pPr>
              <w:jc w:val="center"/>
              <w:rPr>
                <w:rFonts w:ascii="Calibri" w:hAnsi="Calibri" w:cs="Calibri"/>
                <w:sz w:val="16"/>
                <w:szCs w:val="16"/>
                <w:lang w:val="en-IN" w:eastAsia="en-IN"/>
              </w:rPr>
            </w:pPr>
            <w:r w:rsidRPr="00FB241A">
              <w:rPr>
                <w:rFonts w:ascii="Calibri" w:hAnsi="Calibri" w:cs="Calibri"/>
                <w:sz w:val="16"/>
                <w:szCs w:val="16"/>
                <w:lang w:val="en-IN" w:eastAsia="en-IN"/>
              </w:rPr>
              <w:t>-</w:t>
            </w:r>
          </w:p>
        </w:tc>
        <w:tc>
          <w:tcPr>
            <w:tcW w:w="700" w:type="dxa"/>
            <w:tcBorders>
              <w:top w:val="nil"/>
              <w:left w:val="nil"/>
              <w:bottom w:val="single" w:sz="4" w:space="0" w:color="auto"/>
              <w:right w:val="single" w:sz="4" w:space="0" w:color="auto"/>
            </w:tcBorders>
            <w:shd w:val="clear" w:color="auto" w:fill="auto"/>
            <w:noWrap/>
            <w:vAlign w:val="center"/>
            <w:hideMark/>
          </w:tcPr>
          <w:p w14:paraId="6E2BEFDB" w14:textId="77777777" w:rsidR="00974443" w:rsidRPr="00FB241A" w:rsidRDefault="00974443" w:rsidP="00A35221">
            <w:pPr>
              <w:jc w:val="center"/>
              <w:rPr>
                <w:rFonts w:ascii="Calibri" w:hAnsi="Calibri" w:cs="Calibri"/>
                <w:sz w:val="16"/>
                <w:szCs w:val="16"/>
                <w:lang w:val="en-IN" w:eastAsia="en-IN"/>
              </w:rPr>
            </w:pPr>
            <w:r w:rsidRPr="00FB241A">
              <w:rPr>
                <w:rFonts w:ascii="Calibri" w:hAnsi="Calibri" w:cs="Calibri"/>
                <w:sz w:val="16"/>
                <w:szCs w:val="16"/>
                <w:lang w:val="en-IN" w:eastAsia="en-IN"/>
              </w:rPr>
              <w:t>0.00</w:t>
            </w:r>
          </w:p>
        </w:tc>
        <w:tc>
          <w:tcPr>
            <w:tcW w:w="780" w:type="dxa"/>
            <w:tcBorders>
              <w:top w:val="nil"/>
              <w:left w:val="nil"/>
              <w:bottom w:val="single" w:sz="4" w:space="0" w:color="auto"/>
              <w:right w:val="single" w:sz="4" w:space="0" w:color="auto"/>
            </w:tcBorders>
            <w:shd w:val="clear" w:color="auto" w:fill="auto"/>
            <w:noWrap/>
            <w:vAlign w:val="center"/>
            <w:hideMark/>
          </w:tcPr>
          <w:p w14:paraId="269D8A17" w14:textId="77777777" w:rsidR="00974443" w:rsidRPr="00FB241A" w:rsidRDefault="00974443" w:rsidP="00A35221">
            <w:pPr>
              <w:jc w:val="center"/>
              <w:rPr>
                <w:rFonts w:ascii="Calibri" w:hAnsi="Calibri" w:cs="Calibri"/>
                <w:sz w:val="16"/>
                <w:szCs w:val="16"/>
                <w:lang w:val="en-IN" w:eastAsia="en-IN"/>
              </w:rPr>
            </w:pPr>
            <w:r w:rsidRPr="00FB241A">
              <w:rPr>
                <w:rFonts w:ascii="Calibri" w:hAnsi="Calibri" w:cs="Calibri"/>
                <w:sz w:val="16"/>
                <w:szCs w:val="16"/>
                <w:lang w:val="en-IN" w:eastAsia="en-IN"/>
              </w:rPr>
              <w:t>0.00</w:t>
            </w:r>
          </w:p>
        </w:tc>
      </w:tr>
      <w:tr w:rsidR="00974443" w:rsidRPr="00FB241A" w14:paraId="2AD03CC9" w14:textId="77777777" w:rsidTr="00A35221">
        <w:trPr>
          <w:trHeight w:val="300"/>
        </w:trPr>
        <w:tc>
          <w:tcPr>
            <w:tcW w:w="520" w:type="dxa"/>
            <w:tcBorders>
              <w:top w:val="nil"/>
              <w:left w:val="single" w:sz="4" w:space="0" w:color="auto"/>
              <w:bottom w:val="single" w:sz="4" w:space="0" w:color="auto"/>
              <w:right w:val="single" w:sz="4" w:space="0" w:color="auto"/>
            </w:tcBorders>
            <w:shd w:val="clear" w:color="auto" w:fill="auto"/>
            <w:noWrap/>
            <w:vAlign w:val="center"/>
            <w:hideMark/>
          </w:tcPr>
          <w:p w14:paraId="6CD37FC5" w14:textId="77777777" w:rsidR="00974443" w:rsidRPr="00FB241A" w:rsidRDefault="00974443" w:rsidP="00A35221">
            <w:pPr>
              <w:jc w:val="center"/>
              <w:rPr>
                <w:rFonts w:ascii="Calibri" w:hAnsi="Calibri" w:cs="Calibri"/>
                <w:b/>
                <w:sz w:val="16"/>
                <w:szCs w:val="16"/>
                <w:lang w:val="en-IN" w:eastAsia="en-IN"/>
              </w:rPr>
            </w:pPr>
            <w:r w:rsidRPr="00FB241A">
              <w:rPr>
                <w:rFonts w:ascii="Calibri" w:hAnsi="Calibri" w:cs="Calibri"/>
                <w:b/>
                <w:sz w:val="16"/>
                <w:szCs w:val="16"/>
                <w:lang w:val="en-IN" w:eastAsia="en-IN"/>
              </w:rPr>
              <w:t>12</w:t>
            </w:r>
          </w:p>
        </w:tc>
        <w:tc>
          <w:tcPr>
            <w:tcW w:w="2340" w:type="dxa"/>
            <w:tcBorders>
              <w:top w:val="nil"/>
              <w:left w:val="nil"/>
              <w:bottom w:val="single" w:sz="4" w:space="0" w:color="auto"/>
              <w:right w:val="single" w:sz="4" w:space="0" w:color="auto"/>
            </w:tcBorders>
            <w:shd w:val="clear" w:color="auto" w:fill="auto"/>
            <w:vAlign w:val="center"/>
            <w:hideMark/>
          </w:tcPr>
          <w:p w14:paraId="08D9AD1E" w14:textId="77777777" w:rsidR="00974443" w:rsidRPr="00FB241A" w:rsidRDefault="00974443" w:rsidP="00A35221">
            <w:pPr>
              <w:rPr>
                <w:rFonts w:ascii="Calibri" w:hAnsi="Calibri" w:cs="Calibri"/>
                <w:sz w:val="16"/>
                <w:szCs w:val="16"/>
                <w:lang w:val="en-IN" w:eastAsia="en-IN"/>
              </w:rPr>
            </w:pPr>
            <w:r w:rsidRPr="00FB241A">
              <w:rPr>
                <w:rFonts w:ascii="Calibri" w:hAnsi="Calibri" w:cs="Calibri"/>
                <w:sz w:val="16"/>
                <w:szCs w:val="16"/>
                <w:lang w:val="en-IN" w:eastAsia="en-IN"/>
              </w:rPr>
              <w:t>Disaster Fund- YAAS- Grant</w:t>
            </w:r>
          </w:p>
        </w:tc>
        <w:tc>
          <w:tcPr>
            <w:tcW w:w="780" w:type="dxa"/>
            <w:tcBorders>
              <w:top w:val="nil"/>
              <w:left w:val="nil"/>
              <w:bottom w:val="single" w:sz="4" w:space="0" w:color="auto"/>
              <w:right w:val="single" w:sz="4" w:space="0" w:color="auto"/>
            </w:tcBorders>
            <w:shd w:val="clear" w:color="auto" w:fill="auto"/>
            <w:noWrap/>
            <w:vAlign w:val="center"/>
            <w:hideMark/>
          </w:tcPr>
          <w:p w14:paraId="21D317D0" w14:textId="77777777" w:rsidR="00974443" w:rsidRPr="00FB241A" w:rsidRDefault="00974443" w:rsidP="00A35221">
            <w:pPr>
              <w:jc w:val="center"/>
              <w:rPr>
                <w:rFonts w:ascii="Calibri" w:hAnsi="Calibri" w:cs="Calibri"/>
                <w:sz w:val="16"/>
                <w:szCs w:val="16"/>
                <w:lang w:val="en-IN" w:eastAsia="en-IN"/>
              </w:rPr>
            </w:pPr>
            <w:r w:rsidRPr="00FB241A">
              <w:rPr>
                <w:rFonts w:ascii="Calibri" w:hAnsi="Calibri" w:cs="Calibri"/>
                <w:sz w:val="16"/>
                <w:szCs w:val="16"/>
                <w:lang w:val="en-IN" w:eastAsia="en-IN"/>
              </w:rPr>
              <w:t>7380.72</w:t>
            </w:r>
          </w:p>
        </w:tc>
        <w:tc>
          <w:tcPr>
            <w:tcW w:w="780" w:type="dxa"/>
            <w:tcBorders>
              <w:top w:val="nil"/>
              <w:left w:val="nil"/>
              <w:bottom w:val="single" w:sz="4" w:space="0" w:color="auto"/>
              <w:right w:val="single" w:sz="4" w:space="0" w:color="auto"/>
            </w:tcBorders>
            <w:shd w:val="clear" w:color="auto" w:fill="auto"/>
            <w:noWrap/>
            <w:vAlign w:val="center"/>
            <w:hideMark/>
          </w:tcPr>
          <w:p w14:paraId="3A455E14" w14:textId="77777777" w:rsidR="00974443" w:rsidRPr="00FB241A" w:rsidRDefault="00974443" w:rsidP="00A35221">
            <w:pPr>
              <w:jc w:val="center"/>
              <w:rPr>
                <w:rFonts w:ascii="Calibri" w:hAnsi="Calibri" w:cs="Calibri"/>
                <w:sz w:val="16"/>
                <w:szCs w:val="16"/>
                <w:lang w:val="en-IN" w:eastAsia="en-IN"/>
              </w:rPr>
            </w:pPr>
            <w:r w:rsidRPr="00FB241A">
              <w:rPr>
                <w:rFonts w:ascii="Calibri" w:hAnsi="Calibri" w:cs="Calibri"/>
                <w:sz w:val="16"/>
                <w:szCs w:val="16"/>
                <w:lang w:val="en-IN" w:eastAsia="en-IN"/>
              </w:rPr>
              <w:t>1516.45</w:t>
            </w:r>
          </w:p>
        </w:tc>
        <w:tc>
          <w:tcPr>
            <w:tcW w:w="480" w:type="dxa"/>
            <w:tcBorders>
              <w:top w:val="nil"/>
              <w:left w:val="nil"/>
              <w:bottom w:val="single" w:sz="4" w:space="0" w:color="auto"/>
              <w:right w:val="single" w:sz="4" w:space="0" w:color="auto"/>
            </w:tcBorders>
            <w:shd w:val="clear" w:color="auto" w:fill="auto"/>
            <w:noWrap/>
            <w:vAlign w:val="center"/>
            <w:hideMark/>
          </w:tcPr>
          <w:p w14:paraId="1237051A" w14:textId="77777777" w:rsidR="00974443" w:rsidRPr="00FB241A" w:rsidRDefault="00974443" w:rsidP="00A35221">
            <w:pPr>
              <w:jc w:val="center"/>
              <w:rPr>
                <w:rFonts w:ascii="Calibri" w:hAnsi="Calibri" w:cs="Calibri"/>
                <w:sz w:val="16"/>
                <w:szCs w:val="16"/>
                <w:lang w:val="en-IN" w:eastAsia="en-IN"/>
              </w:rPr>
            </w:pPr>
            <w:r w:rsidRPr="00FB241A">
              <w:rPr>
                <w:rFonts w:ascii="Calibri" w:hAnsi="Calibri" w:cs="Calibri"/>
                <w:sz w:val="16"/>
                <w:szCs w:val="16"/>
                <w:lang w:val="en-IN" w:eastAsia="en-IN"/>
              </w:rPr>
              <w:t>-</w:t>
            </w:r>
          </w:p>
        </w:tc>
        <w:tc>
          <w:tcPr>
            <w:tcW w:w="480" w:type="dxa"/>
            <w:tcBorders>
              <w:top w:val="nil"/>
              <w:left w:val="nil"/>
              <w:bottom w:val="single" w:sz="4" w:space="0" w:color="auto"/>
              <w:right w:val="single" w:sz="4" w:space="0" w:color="auto"/>
            </w:tcBorders>
            <w:shd w:val="clear" w:color="auto" w:fill="auto"/>
            <w:noWrap/>
            <w:vAlign w:val="center"/>
            <w:hideMark/>
          </w:tcPr>
          <w:p w14:paraId="63CB7622" w14:textId="77777777" w:rsidR="00974443" w:rsidRPr="00FB241A" w:rsidRDefault="00974443" w:rsidP="00A35221">
            <w:pPr>
              <w:jc w:val="center"/>
              <w:rPr>
                <w:rFonts w:ascii="Calibri" w:hAnsi="Calibri" w:cs="Calibri"/>
                <w:sz w:val="16"/>
                <w:szCs w:val="16"/>
                <w:lang w:val="en-IN" w:eastAsia="en-IN"/>
              </w:rPr>
            </w:pPr>
            <w:r w:rsidRPr="00FB241A">
              <w:rPr>
                <w:rFonts w:ascii="Calibri" w:hAnsi="Calibri" w:cs="Calibri"/>
                <w:sz w:val="16"/>
                <w:szCs w:val="16"/>
                <w:lang w:val="en-IN" w:eastAsia="en-IN"/>
              </w:rPr>
              <w:t>-</w:t>
            </w:r>
          </w:p>
        </w:tc>
        <w:tc>
          <w:tcPr>
            <w:tcW w:w="780" w:type="dxa"/>
            <w:tcBorders>
              <w:top w:val="nil"/>
              <w:left w:val="nil"/>
              <w:bottom w:val="single" w:sz="4" w:space="0" w:color="auto"/>
              <w:right w:val="single" w:sz="4" w:space="0" w:color="auto"/>
            </w:tcBorders>
            <w:shd w:val="clear" w:color="auto" w:fill="auto"/>
            <w:noWrap/>
            <w:vAlign w:val="center"/>
            <w:hideMark/>
          </w:tcPr>
          <w:p w14:paraId="0F7FDF54" w14:textId="77777777" w:rsidR="00974443" w:rsidRPr="00FB241A" w:rsidRDefault="00974443" w:rsidP="00A35221">
            <w:pPr>
              <w:jc w:val="center"/>
              <w:rPr>
                <w:rFonts w:ascii="Calibri" w:hAnsi="Calibri" w:cs="Calibri"/>
                <w:sz w:val="16"/>
                <w:szCs w:val="16"/>
                <w:lang w:val="en-IN" w:eastAsia="en-IN"/>
              </w:rPr>
            </w:pPr>
            <w:r w:rsidRPr="00FB241A">
              <w:rPr>
                <w:rFonts w:ascii="Calibri" w:hAnsi="Calibri" w:cs="Calibri"/>
                <w:sz w:val="16"/>
                <w:szCs w:val="16"/>
                <w:lang w:val="en-IN" w:eastAsia="en-IN"/>
              </w:rPr>
              <w:t>8897.17</w:t>
            </w:r>
          </w:p>
        </w:tc>
        <w:tc>
          <w:tcPr>
            <w:tcW w:w="780" w:type="dxa"/>
            <w:tcBorders>
              <w:top w:val="nil"/>
              <w:left w:val="nil"/>
              <w:bottom w:val="single" w:sz="4" w:space="0" w:color="auto"/>
              <w:right w:val="single" w:sz="4" w:space="0" w:color="auto"/>
            </w:tcBorders>
            <w:shd w:val="clear" w:color="auto" w:fill="auto"/>
            <w:noWrap/>
            <w:vAlign w:val="center"/>
            <w:hideMark/>
          </w:tcPr>
          <w:p w14:paraId="37A75F5A" w14:textId="77777777" w:rsidR="00974443" w:rsidRPr="00FB241A" w:rsidRDefault="00974443" w:rsidP="00A35221">
            <w:pPr>
              <w:jc w:val="center"/>
              <w:rPr>
                <w:rFonts w:ascii="Calibri" w:hAnsi="Calibri" w:cs="Calibri"/>
                <w:sz w:val="16"/>
                <w:szCs w:val="16"/>
                <w:lang w:val="en-IN" w:eastAsia="en-IN"/>
              </w:rPr>
            </w:pPr>
            <w:r w:rsidRPr="00FB241A">
              <w:rPr>
                <w:rFonts w:ascii="Calibri" w:hAnsi="Calibri" w:cs="Calibri"/>
                <w:sz w:val="16"/>
                <w:szCs w:val="16"/>
                <w:lang w:val="en-IN" w:eastAsia="en-IN"/>
              </w:rPr>
              <w:t>0.00</w:t>
            </w:r>
          </w:p>
        </w:tc>
        <w:tc>
          <w:tcPr>
            <w:tcW w:w="700" w:type="dxa"/>
            <w:tcBorders>
              <w:top w:val="nil"/>
              <w:left w:val="nil"/>
              <w:bottom w:val="single" w:sz="4" w:space="0" w:color="auto"/>
              <w:right w:val="single" w:sz="4" w:space="0" w:color="auto"/>
            </w:tcBorders>
            <w:shd w:val="clear" w:color="auto" w:fill="auto"/>
            <w:noWrap/>
            <w:vAlign w:val="center"/>
            <w:hideMark/>
          </w:tcPr>
          <w:p w14:paraId="2B01BE43" w14:textId="77777777" w:rsidR="00974443" w:rsidRPr="00FB241A" w:rsidRDefault="00974443" w:rsidP="00A35221">
            <w:pPr>
              <w:jc w:val="center"/>
              <w:rPr>
                <w:rFonts w:ascii="Calibri" w:hAnsi="Calibri" w:cs="Calibri"/>
                <w:sz w:val="16"/>
                <w:szCs w:val="16"/>
                <w:lang w:val="en-IN" w:eastAsia="en-IN"/>
              </w:rPr>
            </w:pPr>
            <w:r w:rsidRPr="00FB241A">
              <w:rPr>
                <w:rFonts w:ascii="Calibri" w:hAnsi="Calibri" w:cs="Calibri"/>
                <w:sz w:val="16"/>
                <w:szCs w:val="16"/>
                <w:lang w:val="en-IN" w:eastAsia="en-IN"/>
              </w:rPr>
              <w:t>0.00</w:t>
            </w:r>
          </w:p>
        </w:tc>
        <w:tc>
          <w:tcPr>
            <w:tcW w:w="480" w:type="dxa"/>
            <w:tcBorders>
              <w:top w:val="nil"/>
              <w:left w:val="nil"/>
              <w:bottom w:val="single" w:sz="4" w:space="0" w:color="auto"/>
              <w:right w:val="single" w:sz="4" w:space="0" w:color="auto"/>
            </w:tcBorders>
            <w:shd w:val="clear" w:color="auto" w:fill="auto"/>
            <w:noWrap/>
            <w:vAlign w:val="center"/>
            <w:hideMark/>
          </w:tcPr>
          <w:p w14:paraId="7CECDD83" w14:textId="77777777" w:rsidR="00974443" w:rsidRPr="00FB241A" w:rsidRDefault="00974443" w:rsidP="00A35221">
            <w:pPr>
              <w:jc w:val="center"/>
              <w:rPr>
                <w:rFonts w:ascii="Calibri" w:hAnsi="Calibri" w:cs="Calibri"/>
                <w:sz w:val="16"/>
                <w:szCs w:val="16"/>
                <w:lang w:val="en-IN" w:eastAsia="en-IN"/>
              </w:rPr>
            </w:pPr>
            <w:r w:rsidRPr="00FB241A">
              <w:rPr>
                <w:rFonts w:ascii="Calibri" w:hAnsi="Calibri" w:cs="Calibri"/>
                <w:sz w:val="16"/>
                <w:szCs w:val="16"/>
                <w:lang w:val="en-IN" w:eastAsia="en-IN"/>
              </w:rPr>
              <w:t>-</w:t>
            </w:r>
          </w:p>
        </w:tc>
        <w:tc>
          <w:tcPr>
            <w:tcW w:w="480" w:type="dxa"/>
            <w:tcBorders>
              <w:top w:val="nil"/>
              <w:left w:val="nil"/>
              <w:bottom w:val="single" w:sz="4" w:space="0" w:color="auto"/>
              <w:right w:val="single" w:sz="4" w:space="0" w:color="auto"/>
            </w:tcBorders>
            <w:shd w:val="clear" w:color="auto" w:fill="auto"/>
            <w:noWrap/>
            <w:vAlign w:val="center"/>
            <w:hideMark/>
          </w:tcPr>
          <w:p w14:paraId="25FAEE3E" w14:textId="77777777" w:rsidR="00974443" w:rsidRPr="00FB241A" w:rsidRDefault="00974443" w:rsidP="00A35221">
            <w:pPr>
              <w:jc w:val="center"/>
              <w:rPr>
                <w:rFonts w:ascii="Calibri" w:hAnsi="Calibri" w:cs="Calibri"/>
                <w:sz w:val="16"/>
                <w:szCs w:val="16"/>
                <w:lang w:val="en-IN" w:eastAsia="en-IN"/>
              </w:rPr>
            </w:pPr>
            <w:r w:rsidRPr="00FB241A">
              <w:rPr>
                <w:rFonts w:ascii="Calibri" w:hAnsi="Calibri" w:cs="Calibri"/>
                <w:sz w:val="16"/>
                <w:szCs w:val="16"/>
                <w:lang w:val="en-IN" w:eastAsia="en-IN"/>
              </w:rPr>
              <w:t>-</w:t>
            </w:r>
          </w:p>
        </w:tc>
        <w:tc>
          <w:tcPr>
            <w:tcW w:w="700" w:type="dxa"/>
            <w:tcBorders>
              <w:top w:val="nil"/>
              <w:left w:val="nil"/>
              <w:bottom w:val="single" w:sz="4" w:space="0" w:color="auto"/>
              <w:right w:val="single" w:sz="4" w:space="0" w:color="auto"/>
            </w:tcBorders>
            <w:shd w:val="clear" w:color="auto" w:fill="auto"/>
            <w:noWrap/>
            <w:vAlign w:val="center"/>
            <w:hideMark/>
          </w:tcPr>
          <w:p w14:paraId="2692798C" w14:textId="77777777" w:rsidR="00974443" w:rsidRPr="00FB241A" w:rsidRDefault="00974443" w:rsidP="00A35221">
            <w:pPr>
              <w:jc w:val="center"/>
              <w:rPr>
                <w:rFonts w:ascii="Calibri" w:hAnsi="Calibri" w:cs="Calibri"/>
                <w:sz w:val="16"/>
                <w:szCs w:val="16"/>
                <w:lang w:val="en-IN" w:eastAsia="en-IN"/>
              </w:rPr>
            </w:pPr>
            <w:r w:rsidRPr="00FB241A">
              <w:rPr>
                <w:rFonts w:ascii="Calibri" w:hAnsi="Calibri" w:cs="Calibri"/>
                <w:sz w:val="16"/>
                <w:szCs w:val="16"/>
                <w:lang w:val="en-IN" w:eastAsia="en-IN"/>
              </w:rPr>
              <w:t>0.00</w:t>
            </w:r>
          </w:p>
        </w:tc>
        <w:tc>
          <w:tcPr>
            <w:tcW w:w="780" w:type="dxa"/>
            <w:tcBorders>
              <w:top w:val="nil"/>
              <w:left w:val="nil"/>
              <w:bottom w:val="single" w:sz="4" w:space="0" w:color="auto"/>
              <w:right w:val="single" w:sz="4" w:space="0" w:color="auto"/>
            </w:tcBorders>
            <w:shd w:val="clear" w:color="auto" w:fill="auto"/>
            <w:noWrap/>
            <w:vAlign w:val="center"/>
            <w:hideMark/>
          </w:tcPr>
          <w:p w14:paraId="5C4DAC1A" w14:textId="77777777" w:rsidR="00974443" w:rsidRPr="00FB241A" w:rsidRDefault="00974443" w:rsidP="00A35221">
            <w:pPr>
              <w:jc w:val="center"/>
              <w:rPr>
                <w:rFonts w:ascii="Calibri" w:hAnsi="Calibri" w:cs="Calibri"/>
                <w:sz w:val="16"/>
                <w:szCs w:val="16"/>
                <w:lang w:val="en-IN" w:eastAsia="en-IN"/>
              </w:rPr>
            </w:pPr>
            <w:r w:rsidRPr="00FB241A">
              <w:rPr>
                <w:rFonts w:ascii="Calibri" w:hAnsi="Calibri" w:cs="Calibri"/>
                <w:sz w:val="16"/>
                <w:szCs w:val="16"/>
                <w:lang w:val="en-IN" w:eastAsia="en-IN"/>
              </w:rPr>
              <w:t>0.00</w:t>
            </w:r>
          </w:p>
        </w:tc>
      </w:tr>
      <w:tr w:rsidR="00974443" w:rsidRPr="00FB241A" w14:paraId="54AF426A" w14:textId="77777777" w:rsidTr="00A35221">
        <w:trPr>
          <w:trHeight w:val="300"/>
        </w:trPr>
        <w:tc>
          <w:tcPr>
            <w:tcW w:w="520" w:type="dxa"/>
            <w:tcBorders>
              <w:top w:val="nil"/>
              <w:left w:val="single" w:sz="4" w:space="0" w:color="auto"/>
              <w:bottom w:val="single" w:sz="4" w:space="0" w:color="auto"/>
              <w:right w:val="single" w:sz="4" w:space="0" w:color="auto"/>
            </w:tcBorders>
            <w:shd w:val="clear" w:color="auto" w:fill="auto"/>
            <w:noWrap/>
            <w:vAlign w:val="center"/>
            <w:hideMark/>
          </w:tcPr>
          <w:p w14:paraId="11B8AE9C" w14:textId="77777777" w:rsidR="00974443" w:rsidRPr="00FB241A" w:rsidRDefault="00974443" w:rsidP="00A35221">
            <w:pPr>
              <w:jc w:val="center"/>
              <w:rPr>
                <w:rFonts w:ascii="Calibri" w:hAnsi="Calibri" w:cs="Calibri"/>
                <w:b/>
                <w:sz w:val="16"/>
                <w:szCs w:val="16"/>
                <w:lang w:val="en-IN" w:eastAsia="en-IN"/>
              </w:rPr>
            </w:pPr>
            <w:r w:rsidRPr="00FB241A">
              <w:rPr>
                <w:rFonts w:ascii="Calibri" w:hAnsi="Calibri" w:cs="Calibri"/>
                <w:b/>
                <w:sz w:val="16"/>
                <w:szCs w:val="16"/>
                <w:lang w:val="en-IN" w:eastAsia="en-IN"/>
              </w:rPr>
              <w:t>13</w:t>
            </w:r>
          </w:p>
        </w:tc>
        <w:tc>
          <w:tcPr>
            <w:tcW w:w="2340" w:type="dxa"/>
            <w:tcBorders>
              <w:top w:val="nil"/>
              <w:left w:val="nil"/>
              <w:bottom w:val="single" w:sz="4" w:space="0" w:color="auto"/>
              <w:right w:val="single" w:sz="4" w:space="0" w:color="auto"/>
            </w:tcBorders>
            <w:shd w:val="clear" w:color="auto" w:fill="auto"/>
            <w:vAlign w:val="center"/>
            <w:hideMark/>
          </w:tcPr>
          <w:p w14:paraId="750F4400" w14:textId="77777777" w:rsidR="00974443" w:rsidRPr="00FB241A" w:rsidRDefault="00974443" w:rsidP="00A35221">
            <w:pPr>
              <w:rPr>
                <w:rFonts w:ascii="Calibri" w:hAnsi="Calibri" w:cs="Calibri"/>
                <w:sz w:val="16"/>
                <w:szCs w:val="16"/>
                <w:lang w:val="en-IN" w:eastAsia="en-IN"/>
              </w:rPr>
            </w:pPr>
            <w:r w:rsidRPr="00FB241A">
              <w:rPr>
                <w:rFonts w:ascii="Calibri" w:hAnsi="Calibri" w:cs="Calibri"/>
                <w:sz w:val="16"/>
                <w:szCs w:val="16"/>
                <w:lang w:val="en-IN" w:eastAsia="en-IN"/>
              </w:rPr>
              <w:t>System Improvement- Grant</w:t>
            </w:r>
          </w:p>
        </w:tc>
        <w:tc>
          <w:tcPr>
            <w:tcW w:w="780" w:type="dxa"/>
            <w:tcBorders>
              <w:top w:val="nil"/>
              <w:left w:val="nil"/>
              <w:bottom w:val="single" w:sz="4" w:space="0" w:color="auto"/>
              <w:right w:val="single" w:sz="4" w:space="0" w:color="auto"/>
            </w:tcBorders>
            <w:shd w:val="clear" w:color="auto" w:fill="auto"/>
            <w:noWrap/>
            <w:vAlign w:val="center"/>
            <w:hideMark/>
          </w:tcPr>
          <w:p w14:paraId="65B0B014" w14:textId="77777777" w:rsidR="00974443" w:rsidRPr="00FB241A" w:rsidRDefault="00974443" w:rsidP="00A35221">
            <w:pPr>
              <w:jc w:val="center"/>
              <w:rPr>
                <w:rFonts w:ascii="Calibri" w:hAnsi="Calibri" w:cs="Calibri"/>
                <w:sz w:val="16"/>
                <w:szCs w:val="16"/>
                <w:lang w:val="en-IN" w:eastAsia="en-IN"/>
              </w:rPr>
            </w:pPr>
            <w:r w:rsidRPr="00FB241A">
              <w:rPr>
                <w:rFonts w:ascii="Calibri" w:hAnsi="Calibri" w:cs="Calibri"/>
                <w:sz w:val="16"/>
                <w:szCs w:val="16"/>
                <w:lang w:val="en-IN" w:eastAsia="en-IN"/>
              </w:rPr>
              <w:t>0.00</w:t>
            </w:r>
          </w:p>
        </w:tc>
        <w:tc>
          <w:tcPr>
            <w:tcW w:w="780" w:type="dxa"/>
            <w:tcBorders>
              <w:top w:val="nil"/>
              <w:left w:val="nil"/>
              <w:bottom w:val="single" w:sz="4" w:space="0" w:color="auto"/>
              <w:right w:val="single" w:sz="4" w:space="0" w:color="auto"/>
            </w:tcBorders>
            <w:shd w:val="clear" w:color="auto" w:fill="auto"/>
            <w:noWrap/>
            <w:vAlign w:val="center"/>
            <w:hideMark/>
          </w:tcPr>
          <w:p w14:paraId="465FE7AD" w14:textId="77777777" w:rsidR="00974443" w:rsidRPr="00FB241A" w:rsidRDefault="00974443" w:rsidP="00A35221">
            <w:pPr>
              <w:jc w:val="center"/>
              <w:rPr>
                <w:rFonts w:ascii="Calibri" w:hAnsi="Calibri" w:cs="Calibri"/>
                <w:sz w:val="16"/>
                <w:szCs w:val="16"/>
                <w:lang w:val="en-IN" w:eastAsia="en-IN"/>
              </w:rPr>
            </w:pPr>
            <w:r w:rsidRPr="00FB241A">
              <w:rPr>
                <w:rFonts w:ascii="Calibri" w:hAnsi="Calibri" w:cs="Calibri"/>
                <w:sz w:val="16"/>
                <w:szCs w:val="16"/>
                <w:lang w:val="en-IN" w:eastAsia="en-IN"/>
              </w:rPr>
              <w:t>0.00</w:t>
            </w:r>
          </w:p>
        </w:tc>
        <w:tc>
          <w:tcPr>
            <w:tcW w:w="480" w:type="dxa"/>
            <w:tcBorders>
              <w:top w:val="nil"/>
              <w:left w:val="nil"/>
              <w:bottom w:val="single" w:sz="4" w:space="0" w:color="auto"/>
              <w:right w:val="single" w:sz="4" w:space="0" w:color="auto"/>
            </w:tcBorders>
            <w:shd w:val="clear" w:color="auto" w:fill="auto"/>
            <w:noWrap/>
            <w:vAlign w:val="center"/>
            <w:hideMark/>
          </w:tcPr>
          <w:p w14:paraId="6847ADB7" w14:textId="77777777" w:rsidR="00974443" w:rsidRPr="00FB241A" w:rsidRDefault="00974443" w:rsidP="00A35221">
            <w:pPr>
              <w:jc w:val="center"/>
              <w:rPr>
                <w:rFonts w:ascii="Calibri" w:hAnsi="Calibri" w:cs="Calibri"/>
                <w:sz w:val="16"/>
                <w:szCs w:val="16"/>
                <w:lang w:val="en-IN" w:eastAsia="en-IN"/>
              </w:rPr>
            </w:pPr>
            <w:r w:rsidRPr="00FB241A">
              <w:rPr>
                <w:rFonts w:ascii="Calibri" w:hAnsi="Calibri" w:cs="Calibri"/>
                <w:sz w:val="16"/>
                <w:szCs w:val="16"/>
                <w:lang w:val="en-IN" w:eastAsia="en-IN"/>
              </w:rPr>
              <w:t>-</w:t>
            </w:r>
          </w:p>
        </w:tc>
        <w:tc>
          <w:tcPr>
            <w:tcW w:w="480" w:type="dxa"/>
            <w:tcBorders>
              <w:top w:val="nil"/>
              <w:left w:val="nil"/>
              <w:bottom w:val="single" w:sz="4" w:space="0" w:color="auto"/>
              <w:right w:val="single" w:sz="4" w:space="0" w:color="auto"/>
            </w:tcBorders>
            <w:shd w:val="clear" w:color="auto" w:fill="auto"/>
            <w:noWrap/>
            <w:vAlign w:val="center"/>
            <w:hideMark/>
          </w:tcPr>
          <w:p w14:paraId="20E02577" w14:textId="77777777" w:rsidR="00974443" w:rsidRPr="00FB241A" w:rsidRDefault="00974443" w:rsidP="00A35221">
            <w:pPr>
              <w:jc w:val="center"/>
              <w:rPr>
                <w:rFonts w:ascii="Calibri" w:hAnsi="Calibri" w:cs="Calibri"/>
                <w:sz w:val="16"/>
                <w:szCs w:val="16"/>
                <w:lang w:val="en-IN" w:eastAsia="en-IN"/>
              </w:rPr>
            </w:pPr>
            <w:r w:rsidRPr="00FB241A">
              <w:rPr>
                <w:rFonts w:ascii="Calibri" w:hAnsi="Calibri" w:cs="Calibri"/>
                <w:sz w:val="16"/>
                <w:szCs w:val="16"/>
                <w:lang w:val="en-IN" w:eastAsia="en-IN"/>
              </w:rPr>
              <w:t>-</w:t>
            </w:r>
          </w:p>
        </w:tc>
        <w:tc>
          <w:tcPr>
            <w:tcW w:w="780" w:type="dxa"/>
            <w:tcBorders>
              <w:top w:val="nil"/>
              <w:left w:val="nil"/>
              <w:bottom w:val="single" w:sz="4" w:space="0" w:color="auto"/>
              <w:right w:val="single" w:sz="4" w:space="0" w:color="auto"/>
            </w:tcBorders>
            <w:shd w:val="clear" w:color="auto" w:fill="auto"/>
            <w:noWrap/>
            <w:vAlign w:val="center"/>
            <w:hideMark/>
          </w:tcPr>
          <w:p w14:paraId="520A13DB" w14:textId="77777777" w:rsidR="00974443" w:rsidRPr="00FB241A" w:rsidRDefault="00974443" w:rsidP="00A35221">
            <w:pPr>
              <w:jc w:val="center"/>
              <w:rPr>
                <w:rFonts w:ascii="Calibri" w:hAnsi="Calibri" w:cs="Calibri"/>
                <w:sz w:val="16"/>
                <w:szCs w:val="16"/>
                <w:lang w:val="en-IN" w:eastAsia="en-IN"/>
              </w:rPr>
            </w:pPr>
            <w:r w:rsidRPr="00FB241A">
              <w:rPr>
                <w:rFonts w:ascii="Calibri" w:hAnsi="Calibri" w:cs="Calibri"/>
                <w:sz w:val="16"/>
                <w:szCs w:val="16"/>
                <w:lang w:val="en-IN" w:eastAsia="en-IN"/>
              </w:rPr>
              <w:t>0.00</w:t>
            </w:r>
          </w:p>
        </w:tc>
        <w:tc>
          <w:tcPr>
            <w:tcW w:w="780" w:type="dxa"/>
            <w:tcBorders>
              <w:top w:val="nil"/>
              <w:left w:val="nil"/>
              <w:bottom w:val="single" w:sz="4" w:space="0" w:color="auto"/>
              <w:right w:val="single" w:sz="4" w:space="0" w:color="auto"/>
            </w:tcBorders>
            <w:shd w:val="clear" w:color="auto" w:fill="auto"/>
            <w:noWrap/>
            <w:vAlign w:val="center"/>
            <w:hideMark/>
          </w:tcPr>
          <w:p w14:paraId="67A8994A" w14:textId="77777777" w:rsidR="00974443" w:rsidRPr="00FB241A" w:rsidRDefault="00974443" w:rsidP="00A35221">
            <w:pPr>
              <w:jc w:val="center"/>
              <w:rPr>
                <w:rFonts w:ascii="Calibri" w:hAnsi="Calibri" w:cs="Calibri"/>
                <w:sz w:val="16"/>
                <w:szCs w:val="16"/>
                <w:lang w:val="en-IN" w:eastAsia="en-IN"/>
              </w:rPr>
            </w:pPr>
            <w:r w:rsidRPr="00FB241A">
              <w:rPr>
                <w:rFonts w:ascii="Calibri" w:hAnsi="Calibri" w:cs="Calibri"/>
                <w:sz w:val="16"/>
                <w:szCs w:val="16"/>
                <w:lang w:val="en-IN" w:eastAsia="en-IN"/>
              </w:rPr>
              <w:t>0.00</w:t>
            </w:r>
          </w:p>
        </w:tc>
        <w:tc>
          <w:tcPr>
            <w:tcW w:w="700" w:type="dxa"/>
            <w:tcBorders>
              <w:top w:val="nil"/>
              <w:left w:val="nil"/>
              <w:bottom w:val="single" w:sz="4" w:space="0" w:color="auto"/>
              <w:right w:val="single" w:sz="4" w:space="0" w:color="auto"/>
            </w:tcBorders>
            <w:shd w:val="clear" w:color="auto" w:fill="auto"/>
            <w:noWrap/>
            <w:vAlign w:val="center"/>
            <w:hideMark/>
          </w:tcPr>
          <w:p w14:paraId="4A0D98D4" w14:textId="77777777" w:rsidR="00974443" w:rsidRPr="00FB241A" w:rsidRDefault="00974443" w:rsidP="00A35221">
            <w:pPr>
              <w:jc w:val="center"/>
              <w:rPr>
                <w:rFonts w:ascii="Calibri" w:hAnsi="Calibri" w:cs="Calibri"/>
                <w:sz w:val="16"/>
                <w:szCs w:val="16"/>
                <w:lang w:val="en-IN" w:eastAsia="en-IN"/>
              </w:rPr>
            </w:pPr>
            <w:r w:rsidRPr="00FB241A">
              <w:rPr>
                <w:rFonts w:ascii="Calibri" w:hAnsi="Calibri" w:cs="Calibri"/>
                <w:sz w:val="16"/>
                <w:szCs w:val="16"/>
                <w:lang w:val="en-IN" w:eastAsia="en-IN"/>
              </w:rPr>
              <w:t>0.00</w:t>
            </w:r>
          </w:p>
        </w:tc>
        <w:tc>
          <w:tcPr>
            <w:tcW w:w="480" w:type="dxa"/>
            <w:tcBorders>
              <w:top w:val="nil"/>
              <w:left w:val="nil"/>
              <w:bottom w:val="single" w:sz="4" w:space="0" w:color="auto"/>
              <w:right w:val="single" w:sz="4" w:space="0" w:color="auto"/>
            </w:tcBorders>
            <w:shd w:val="clear" w:color="auto" w:fill="auto"/>
            <w:noWrap/>
            <w:vAlign w:val="center"/>
            <w:hideMark/>
          </w:tcPr>
          <w:p w14:paraId="06ACDAE8" w14:textId="77777777" w:rsidR="00974443" w:rsidRPr="00FB241A" w:rsidRDefault="00974443" w:rsidP="00A35221">
            <w:pPr>
              <w:jc w:val="center"/>
              <w:rPr>
                <w:rFonts w:ascii="Calibri" w:hAnsi="Calibri" w:cs="Calibri"/>
                <w:sz w:val="16"/>
                <w:szCs w:val="16"/>
                <w:lang w:val="en-IN" w:eastAsia="en-IN"/>
              </w:rPr>
            </w:pPr>
            <w:r w:rsidRPr="00FB241A">
              <w:rPr>
                <w:rFonts w:ascii="Calibri" w:hAnsi="Calibri" w:cs="Calibri"/>
                <w:sz w:val="16"/>
                <w:szCs w:val="16"/>
                <w:lang w:val="en-IN" w:eastAsia="en-IN"/>
              </w:rPr>
              <w:t>-</w:t>
            </w:r>
          </w:p>
        </w:tc>
        <w:tc>
          <w:tcPr>
            <w:tcW w:w="480" w:type="dxa"/>
            <w:tcBorders>
              <w:top w:val="nil"/>
              <w:left w:val="nil"/>
              <w:bottom w:val="single" w:sz="4" w:space="0" w:color="auto"/>
              <w:right w:val="single" w:sz="4" w:space="0" w:color="auto"/>
            </w:tcBorders>
            <w:shd w:val="clear" w:color="auto" w:fill="auto"/>
            <w:noWrap/>
            <w:vAlign w:val="center"/>
            <w:hideMark/>
          </w:tcPr>
          <w:p w14:paraId="30569A40" w14:textId="77777777" w:rsidR="00974443" w:rsidRPr="00FB241A" w:rsidRDefault="00974443" w:rsidP="00A35221">
            <w:pPr>
              <w:jc w:val="center"/>
              <w:rPr>
                <w:rFonts w:ascii="Calibri" w:hAnsi="Calibri" w:cs="Calibri"/>
                <w:sz w:val="16"/>
                <w:szCs w:val="16"/>
                <w:lang w:val="en-IN" w:eastAsia="en-IN"/>
              </w:rPr>
            </w:pPr>
            <w:r w:rsidRPr="00FB241A">
              <w:rPr>
                <w:rFonts w:ascii="Calibri" w:hAnsi="Calibri" w:cs="Calibri"/>
                <w:sz w:val="16"/>
                <w:szCs w:val="16"/>
                <w:lang w:val="en-IN" w:eastAsia="en-IN"/>
              </w:rPr>
              <w:t>-</w:t>
            </w:r>
          </w:p>
        </w:tc>
        <w:tc>
          <w:tcPr>
            <w:tcW w:w="700" w:type="dxa"/>
            <w:tcBorders>
              <w:top w:val="nil"/>
              <w:left w:val="nil"/>
              <w:bottom w:val="single" w:sz="4" w:space="0" w:color="auto"/>
              <w:right w:val="single" w:sz="4" w:space="0" w:color="auto"/>
            </w:tcBorders>
            <w:shd w:val="clear" w:color="auto" w:fill="auto"/>
            <w:noWrap/>
            <w:vAlign w:val="center"/>
            <w:hideMark/>
          </w:tcPr>
          <w:p w14:paraId="056843EC" w14:textId="77777777" w:rsidR="00974443" w:rsidRPr="00FB241A" w:rsidRDefault="00974443" w:rsidP="00A35221">
            <w:pPr>
              <w:jc w:val="center"/>
              <w:rPr>
                <w:rFonts w:ascii="Calibri" w:hAnsi="Calibri" w:cs="Calibri"/>
                <w:sz w:val="16"/>
                <w:szCs w:val="16"/>
                <w:lang w:val="en-IN" w:eastAsia="en-IN"/>
              </w:rPr>
            </w:pPr>
            <w:r w:rsidRPr="00FB241A">
              <w:rPr>
                <w:rFonts w:ascii="Calibri" w:hAnsi="Calibri" w:cs="Calibri"/>
                <w:sz w:val="16"/>
                <w:szCs w:val="16"/>
                <w:lang w:val="en-IN" w:eastAsia="en-IN"/>
              </w:rPr>
              <w:t>0.00</w:t>
            </w:r>
          </w:p>
        </w:tc>
        <w:tc>
          <w:tcPr>
            <w:tcW w:w="780" w:type="dxa"/>
            <w:tcBorders>
              <w:top w:val="nil"/>
              <w:left w:val="nil"/>
              <w:bottom w:val="single" w:sz="4" w:space="0" w:color="auto"/>
              <w:right w:val="single" w:sz="4" w:space="0" w:color="auto"/>
            </w:tcBorders>
            <w:shd w:val="clear" w:color="auto" w:fill="auto"/>
            <w:noWrap/>
            <w:vAlign w:val="center"/>
            <w:hideMark/>
          </w:tcPr>
          <w:p w14:paraId="0C0270D5" w14:textId="77777777" w:rsidR="00974443" w:rsidRPr="00FB241A" w:rsidRDefault="00974443" w:rsidP="00A35221">
            <w:pPr>
              <w:jc w:val="center"/>
              <w:rPr>
                <w:rFonts w:ascii="Calibri" w:hAnsi="Calibri" w:cs="Calibri"/>
                <w:sz w:val="16"/>
                <w:szCs w:val="16"/>
                <w:lang w:val="en-IN" w:eastAsia="en-IN"/>
              </w:rPr>
            </w:pPr>
            <w:r w:rsidRPr="00FB241A">
              <w:rPr>
                <w:rFonts w:ascii="Calibri" w:hAnsi="Calibri" w:cs="Calibri"/>
                <w:sz w:val="16"/>
                <w:szCs w:val="16"/>
                <w:lang w:val="en-IN" w:eastAsia="en-IN"/>
              </w:rPr>
              <w:t>0.00</w:t>
            </w:r>
          </w:p>
        </w:tc>
      </w:tr>
      <w:tr w:rsidR="00974443" w:rsidRPr="00FB241A" w14:paraId="3089167E" w14:textId="77777777" w:rsidTr="00A35221">
        <w:trPr>
          <w:trHeight w:val="450"/>
        </w:trPr>
        <w:tc>
          <w:tcPr>
            <w:tcW w:w="520" w:type="dxa"/>
            <w:tcBorders>
              <w:top w:val="nil"/>
              <w:left w:val="single" w:sz="4" w:space="0" w:color="auto"/>
              <w:bottom w:val="single" w:sz="4" w:space="0" w:color="auto"/>
              <w:right w:val="single" w:sz="4" w:space="0" w:color="auto"/>
            </w:tcBorders>
            <w:shd w:val="clear" w:color="auto" w:fill="auto"/>
            <w:noWrap/>
            <w:vAlign w:val="center"/>
            <w:hideMark/>
          </w:tcPr>
          <w:p w14:paraId="6293CEB2" w14:textId="77777777" w:rsidR="00974443" w:rsidRPr="00FB241A" w:rsidRDefault="00974443" w:rsidP="00A35221">
            <w:pPr>
              <w:jc w:val="center"/>
              <w:rPr>
                <w:rFonts w:ascii="Calibri" w:hAnsi="Calibri" w:cs="Calibri"/>
                <w:b/>
                <w:sz w:val="16"/>
                <w:szCs w:val="16"/>
                <w:lang w:val="en-IN" w:eastAsia="en-IN"/>
              </w:rPr>
            </w:pPr>
            <w:r w:rsidRPr="00FB241A">
              <w:rPr>
                <w:rFonts w:ascii="Calibri" w:hAnsi="Calibri" w:cs="Calibri"/>
                <w:b/>
                <w:sz w:val="16"/>
                <w:szCs w:val="16"/>
                <w:lang w:val="en-IN" w:eastAsia="en-IN"/>
              </w:rPr>
              <w:t>14</w:t>
            </w:r>
          </w:p>
        </w:tc>
        <w:tc>
          <w:tcPr>
            <w:tcW w:w="2340" w:type="dxa"/>
            <w:tcBorders>
              <w:top w:val="nil"/>
              <w:left w:val="nil"/>
              <w:bottom w:val="single" w:sz="4" w:space="0" w:color="auto"/>
              <w:right w:val="single" w:sz="4" w:space="0" w:color="auto"/>
            </w:tcBorders>
            <w:shd w:val="clear" w:color="auto" w:fill="auto"/>
            <w:vAlign w:val="center"/>
            <w:hideMark/>
          </w:tcPr>
          <w:p w14:paraId="5B6D7BF9" w14:textId="77777777" w:rsidR="00974443" w:rsidRPr="00FB241A" w:rsidRDefault="00974443" w:rsidP="00A35221">
            <w:pPr>
              <w:rPr>
                <w:rFonts w:ascii="Calibri" w:hAnsi="Calibri" w:cs="Calibri"/>
                <w:sz w:val="16"/>
                <w:szCs w:val="16"/>
                <w:lang w:val="en-IN" w:eastAsia="en-IN"/>
              </w:rPr>
            </w:pPr>
            <w:r w:rsidRPr="00FB241A">
              <w:rPr>
                <w:rFonts w:ascii="Calibri" w:hAnsi="Calibri" w:cs="Calibri"/>
                <w:sz w:val="16"/>
                <w:szCs w:val="16"/>
                <w:lang w:val="en-IN" w:eastAsia="en-IN"/>
              </w:rPr>
              <w:t>SDMF-CYCLONE STRUCTURE-Grant</w:t>
            </w:r>
          </w:p>
        </w:tc>
        <w:tc>
          <w:tcPr>
            <w:tcW w:w="780" w:type="dxa"/>
            <w:tcBorders>
              <w:top w:val="nil"/>
              <w:left w:val="nil"/>
              <w:bottom w:val="single" w:sz="4" w:space="0" w:color="auto"/>
              <w:right w:val="single" w:sz="4" w:space="0" w:color="auto"/>
            </w:tcBorders>
            <w:shd w:val="clear" w:color="auto" w:fill="auto"/>
            <w:noWrap/>
            <w:vAlign w:val="center"/>
            <w:hideMark/>
          </w:tcPr>
          <w:p w14:paraId="1239DC39" w14:textId="77777777" w:rsidR="00974443" w:rsidRPr="00FB241A" w:rsidRDefault="00974443" w:rsidP="00A35221">
            <w:pPr>
              <w:jc w:val="center"/>
              <w:rPr>
                <w:rFonts w:ascii="Calibri" w:hAnsi="Calibri" w:cs="Calibri"/>
                <w:sz w:val="16"/>
                <w:szCs w:val="16"/>
                <w:lang w:val="en-IN" w:eastAsia="en-IN"/>
              </w:rPr>
            </w:pPr>
            <w:r w:rsidRPr="00FB241A">
              <w:rPr>
                <w:rFonts w:ascii="Calibri" w:hAnsi="Calibri" w:cs="Calibri"/>
                <w:sz w:val="16"/>
                <w:szCs w:val="16"/>
                <w:lang w:val="en-IN" w:eastAsia="en-IN"/>
              </w:rPr>
              <w:t>817.53</w:t>
            </w:r>
          </w:p>
        </w:tc>
        <w:tc>
          <w:tcPr>
            <w:tcW w:w="780" w:type="dxa"/>
            <w:tcBorders>
              <w:top w:val="nil"/>
              <w:left w:val="nil"/>
              <w:bottom w:val="single" w:sz="4" w:space="0" w:color="auto"/>
              <w:right w:val="single" w:sz="4" w:space="0" w:color="auto"/>
            </w:tcBorders>
            <w:shd w:val="clear" w:color="auto" w:fill="auto"/>
            <w:noWrap/>
            <w:vAlign w:val="center"/>
            <w:hideMark/>
          </w:tcPr>
          <w:p w14:paraId="50C2253D" w14:textId="77777777" w:rsidR="00974443" w:rsidRPr="00FB241A" w:rsidRDefault="00974443" w:rsidP="00A35221">
            <w:pPr>
              <w:jc w:val="center"/>
              <w:rPr>
                <w:rFonts w:ascii="Calibri" w:hAnsi="Calibri" w:cs="Calibri"/>
                <w:sz w:val="16"/>
                <w:szCs w:val="16"/>
                <w:lang w:val="en-IN" w:eastAsia="en-IN"/>
              </w:rPr>
            </w:pPr>
            <w:r w:rsidRPr="00FB241A">
              <w:rPr>
                <w:rFonts w:ascii="Calibri" w:hAnsi="Calibri" w:cs="Calibri"/>
                <w:sz w:val="16"/>
                <w:szCs w:val="16"/>
                <w:lang w:val="en-IN" w:eastAsia="en-IN"/>
              </w:rPr>
              <w:t>3436.87</w:t>
            </w:r>
          </w:p>
        </w:tc>
        <w:tc>
          <w:tcPr>
            <w:tcW w:w="480" w:type="dxa"/>
            <w:tcBorders>
              <w:top w:val="nil"/>
              <w:left w:val="nil"/>
              <w:bottom w:val="single" w:sz="4" w:space="0" w:color="auto"/>
              <w:right w:val="single" w:sz="4" w:space="0" w:color="auto"/>
            </w:tcBorders>
            <w:shd w:val="clear" w:color="auto" w:fill="auto"/>
            <w:noWrap/>
            <w:vAlign w:val="center"/>
            <w:hideMark/>
          </w:tcPr>
          <w:p w14:paraId="431B6748" w14:textId="77777777" w:rsidR="00974443" w:rsidRPr="00FB241A" w:rsidRDefault="00974443" w:rsidP="00A35221">
            <w:pPr>
              <w:jc w:val="center"/>
              <w:rPr>
                <w:rFonts w:ascii="Calibri" w:hAnsi="Calibri" w:cs="Calibri"/>
                <w:sz w:val="16"/>
                <w:szCs w:val="16"/>
                <w:lang w:val="en-IN" w:eastAsia="en-IN"/>
              </w:rPr>
            </w:pPr>
            <w:r w:rsidRPr="00FB241A">
              <w:rPr>
                <w:rFonts w:ascii="Calibri" w:hAnsi="Calibri" w:cs="Calibri"/>
                <w:sz w:val="16"/>
                <w:szCs w:val="16"/>
                <w:lang w:val="en-IN" w:eastAsia="en-IN"/>
              </w:rPr>
              <w:t>-</w:t>
            </w:r>
          </w:p>
        </w:tc>
        <w:tc>
          <w:tcPr>
            <w:tcW w:w="480" w:type="dxa"/>
            <w:tcBorders>
              <w:top w:val="nil"/>
              <w:left w:val="nil"/>
              <w:bottom w:val="single" w:sz="4" w:space="0" w:color="auto"/>
              <w:right w:val="single" w:sz="4" w:space="0" w:color="auto"/>
            </w:tcBorders>
            <w:shd w:val="clear" w:color="auto" w:fill="auto"/>
            <w:noWrap/>
            <w:vAlign w:val="center"/>
            <w:hideMark/>
          </w:tcPr>
          <w:p w14:paraId="0D5611FF" w14:textId="77777777" w:rsidR="00974443" w:rsidRPr="00FB241A" w:rsidRDefault="00974443" w:rsidP="00A35221">
            <w:pPr>
              <w:jc w:val="center"/>
              <w:rPr>
                <w:rFonts w:ascii="Calibri" w:hAnsi="Calibri" w:cs="Calibri"/>
                <w:sz w:val="16"/>
                <w:szCs w:val="16"/>
                <w:lang w:val="en-IN" w:eastAsia="en-IN"/>
              </w:rPr>
            </w:pPr>
            <w:r w:rsidRPr="00FB241A">
              <w:rPr>
                <w:rFonts w:ascii="Calibri" w:hAnsi="Calibri" w:cs="Calibri"/>
                <w:sz w:val="16"/>
                <w:szCs w:val="16"/>
                <w:lang w:val="en-IN" w:eastAsia="en-IN"/>
              </w:rPr>
              <w:t>-</w:t>
            </w:r>
          </w:p>
        </w:tc>
        <w:tc>
          <w:tcPr>
            <w:tcW w:w="780" w:type="dxa"/>
            <w:tcBorders>
              <w:top w:val="nil"/>
              <w:left w:val="nil"/>
              <w:bottom w:val="single" w:sz="4" w:space="0" w:color="auto"/>
              <w:right w:val="single" w:sz="4" w:space="0" w:color="auto"/>
            </w:tcBorders>
            <w:shd w:val="clear" w:color="auto" w:fill="auto"/>
            <w:noWrap/>
            <w:vAlign w:val="center"/>
            <w:hideMark/>
          </w:tcPr>
          <w:p w14:paraId="39FD1923" w14:textId="77777777" w:rsidR="00974443" w:rsidRPr="00FB241A" w:rsidRDefault="00974443" w:rsidP="00A35221">
            <w:pPr>
              <w:jc w:val="center"/>
              <w:rPr>
                <w:rFonts w:ascii="Calibri" w:hAnsi="Calibri" w:cs="Calibri"/>
                <w:sz w:val="16"/>
                <w:szCs w:val="16"/>
                <w:lang w:val="en-IN" w:eastAsia="en-IN"/>
              </w:rPr>
            </w:pPr>
            <w:r w:rsidRPr="00FB241A">
              <w:rPr>
                <w:rFonts w:ascii="Calibri" w:hAnsi="Calibri" w:cs="Calibri"/>
                <w:sz w:val="16"/>
                <w:szCs w:val="16"/>
                <w:lang w:val="en-IN" w:eastAsia="en-IN"/>
              </w:rPr>
              <w:t>0.00</w:t>
            </w:r>
          </w:p>
        </w:tc>
        <w:tc>
          <w:tcPr>
            <w:tcW w:w="780" w:type="dxa"/>
            <w:tcBorders>
              <w:top w:val="nil"/>
              <w:left w:val="nil"/>
              <w:bottom w:val="single" w:sz="4" w:space="0" w:color="auto"/>
              <w:right w:val="single" w:sz="4" w:space="0" w:color="auto"/>
            </w:tcBorders>
            <w:shd w:val="clear" w:color="auto" w:fill="auto"/>
            <w:noWrap/>
            <w:vAlign w:val="center"/>
            <w:hideMark/>
          </w:tcPr>
          <w:p w14:paraId="3DBA21B7" w14:textId="77777777" w:rsidR="00974443" w:rsidRPr="00FB241A" w:rsidRDefault="00974443" w:rsidP="00A35221">
            <w:pPr>
              <w:jc w:val="center"/>
              <w:rPr>
                <w:rFonts w:ascii="Calibri" w:hAnsi="Calibri" w:cs="Calibri"/>
                <w:sz w:val="16"/>
                <w:szCs w:val="16"/>
                <w:lang w:val="en-IN" w:eastAsia="en-IN"/>
              </w:rPr>
            </w:pPr>
            <w:r w:rsidRPr="00FB241A">
              <w:rPr>
                <w:rFonts w:ascii="Calibri" w:hAnsi="Calibri" w:cs="Calibri"/>
                <w:sz w:val="16"/>
                <w:szCs w:val="16"/>
                <w:lang w:val="en-IN" w:eastAsia="en-IN"/>
              </w:rPr>
              <w:t>4254.40</w:t>
            </w:r>
          </w:p>
        </w:tc>
        <w:tc>
          <w:tcPr>
            <w:tcW w:w="700" w:type="dxa"/>
            <w:tcBorders>
              <w:top w:val="nil"/>
              <w:left w:val="nil"/>
              <w:bottom w:val="single" w:sz="4" w:space="0" w:color="auto"/>
              <w:right w:val="single" w:sz="4" w:space="0" w:color="auto"/>
            </w:tcBorders>
            <w:shd w:val="clear" w:color="auto" w:fill="auto"/>
            <w:noWrap/>
            <w:vAlign w:val="center"/>
            <w:hideMark/>
          </w:tcPr>
          <w:p w14:paraId="28AC46B1" w14:textId="77777777" w:rsidR="00974443" w:rsidRPr="00FB241A" w:rsidRDefault="00974443" w:rsidP="00A35221">
            <w:pPr>
              <w:jc w:val="center"/>
              <w:rPr>
                <w:rFonts w:ascii="Calibri" w:hAnsi="Calibri" w:cs="Calibri"/>
                <w:sz w:val="16"/>
                <w:szCs w:val="16"/>
                <w:lang w:val="en-IN" w:eastAsia="en-IN"/>
              </w:rPr>
            </w:pPr>
            <w:r w:rsidRPr="00FB241A">
              <w:rPr>
                <w:rFonts w:ascii="Calibri" w:hAnsi="Calibri" w:cs="Calibri"/>
                <w:sz w:val="16"/>
                <w:szCs w:val="16"/>
                <w:lang w:val="en-IN" w:eastAsia="en-IN"/>
              </w:rPr>
              <w:t>1063.60</w:t>
            </w:r>
          </w:p>
        </w:tc>
        <w:tc>
          <w:tcPr>
            <w:tcW w:w="480" w:type="dxa"/>
            <w:tcBorders>
              <w:top w:val="nil"/>
              <w:left w:val="nil"/>
              <w:bottom w:val="single" w:sz="4" w:space="0" w:color="auto"/>
              <w:right w:val="single" w:sz="4" w:space="0" w:color="auto"/>
            </w:tcBorders>
            <w:shd w:val="clear" w:color="auto" w:fill="auto"/>
            <w:noWrap/>
            <w:vAlign w:val="center"/>
            <w:hideMark/>
          </w:tcPr>
          <w:p w14:paraId="7420CCA3" w14:textId="77777777" w:rsidR="00974443" w:rsidRPr="00FB241A" w:rsidRDefault="00974443" w:rsidP="00A35221">
            <w:pPr>
              <w:jc w:val="center"/>
              <w:rPr>
                <w:rFonts w:ascii="Calibri" w:hAnsi="Calibri" w:cs="Calibri"/>
                <w:sz w:val="16"/>
                <w:szCs w:val="16"/>
                <w:lang w:val="en-IN" w:eastAsia="en-IN"/>
              </w:rPr>
            </w:pPr>
            <w:r w:rsidRPr="00FB241A">
              <w:rPr>
                <w:rFonts w:ascii="Calibri" w:hAnsi="Calibri" w:cs="Calibri"/>
                <w:sz w:val="16"/>
                <w:szCs w:val="16"/>
                <w:lang w:val="en-IN" w:eastAsia="en-IN"/>
              </w:rPr>
              <w:t>-</w:t>
            </w:r>
          </w:p>
        </w:tc>
        <w:tc>
          <w:tcPr>
            <w:tcW w:w="480" w:type="dxa"/>
            <w:tcBorders>
              <w:top w:val="nil"/>
              <w:left w:val="nil"/>
              <w:bottom w:val="single" w:sz="4" w:space="0" w:color="auto"/>
              <w:right w:val="single" w:sz="4" w:space="0" w:color="auto"/>
            </w:tcBorders>
            <w:shd w:val="clear" w:color="auto" w:fill="auto"/>
            <w:noWrap/>
            <w:vAlign w:val="center"/>
            <w:hideMark/>
          </w:tcPr>
          <w:p w14:paraId="29578F57" w14:textId="77777777" w:rsidR="00974443" w:rsidRPr="00FB241A" w:rsidRDefault="00974443" w:rsidP="00A35221">
            <w:pPr>
              <w:jc w:val="center"/>
              <w:rPr>
                <w:rFonts w:ascii="Calibri" w:hAnsi="Calibri" w:cs="Calibri"/>
                <w:sz w:val="16"/>
                <w:szCs w:val="16"/>
                <w:lang w:val="en-IN" w:eastAsia="en-IN"/>
              </w:rPr>
            </w:pPr>
            <w:r w:rsidRPr="00FB241A">
              <w:rPr>
                <w:rFonts w:ascii="Calibri" w:hAnsi="Calibri" w:cs="Calibri"/>
                <w:sz w:val="16"/>
                <w:szCs w:val="16"/>
                <w:lang w:val="en-IN" w:eastAsia="en-IN"/>
              </w:rPr>
              <w:t>-</w:t>
            </w:r>
          </w:p>
        </w:tc>
        <w:tc>
          <w:tcPr>
            <w:tcW w:w="700" w:type="dxa"/>
            <w:tcBorders>
              <w:top w:val="nil"/>
              <w:left w:val="nil"/>
              <w:bottom w:val="single" w:sz="4" w:space="0" w:color="auto"/>
              <w:right w:val="single" w:sz="4" w:space="0" w:color="auto"/>
            </w:tcBorders>
            <w:shd w:val="clear" w:color="auto" w:fill="auto"/>
            <w:noWrap/>
            <w:vAlign w:val="center"/>
            <w:hideMark/>
          </w:tcPr>
          <w:p w14:paraId="1F22B57A" w14:textId="77777777" w:rsidR="00974443" w:rsidRPr="00FB241A" w:rsidRDefault="00974443" w:rsidP="00A35221">
            <w:pPr>
              <w:jc w:val="center"/>
              <w:rPr>
                <w:rFonts w:ascii="Calibri" w:hAnsi="Calibri" w:cs="Calibri"/>
                <w:sz w:val="16"/>
                <w:szCs w:val="16"/>
                <w:lang w:val="en-IN" w:eastAsia="en-IN"/>
              </w:rPr>
            </w:pPr>
            <w:r w:rsidRPr="00FB241A">
              <w:rPr>
                <w:rFonts w:ascii="Calibri" w:hAnsi="Calibri" w:cs="Calibri"/>
                <w:sz w:val="16"/>
                <w:szCs w:val="16"/>
                <w:lang w:val="en-IN" w:eastAsia="en-IN"/>
              </w:rPr>
              <w:t>0.00</w:t>
            </w:r>
          </w:p>
        </w:tc>
        <w:tc>
          <w:tcPr>
            <w:tcW w:w="780" w:type="dxa"/>
            <w:tcBorders>
              <w:top w:val="nil"/>
              <w:left w:val="nil"/>
              <w:bottom w:val="single" w:sz="4" w:space="0" w:color="auto"/>
              <w:right w:val="single" w:sz="4" w:space="0" w:color="auto"/>
            </w:tcBorders>
            <w:shd w:val="clear" w:color="auto" w:fill="auto"/>
            <w:noWrap/>
            <w:vAlign w:val="center"/>
            <w:hideMark/>
          </w:tcPr>
          <w:p w14:paraId="1198DDFE" w14:textId="77777777" w:rsidR="00974443" w:rsidRPr="00FB241A" w:rsidRDefault="00974443" w:rsidP="00A35221">
            <w:pPr>
              <w:jc w:val="center"/>
              <w:rPr>
                <w:rFonts w:ascii="Calibri" w:hAnsi="Calibri" w:cs="Calibri"/>
                <w:sz w:val="16"/>
                <w:szCs w:val="16"/>
                <w:lang w:val="en-IN" w:eastAsia="en-IN"/>
              </w:rPr>
            </w:pPr>
            <w:r w:rsidRPr="00FB241A">
              <w:rPr>
                <w:rFonts w:ascii="Calibri" w:hAnsi="Calibri" w:cs="Calibri"/>
                <w:sz w:val="16"/>
                <w:szCs w:val="16"/>
                <w:lang w:val="en-IN" w:eastAsia="en-IN"/>
              </w:rPr>
              <w:t>5318.00</w:t>
            </w:r>
          </w:p>
        </w:tc>
      </w:tr>
      <w:tr w:rsidR="00974443" w:rsidRPr="00FB241A" w14:paraId="56DE1361" w14:textId="77777777" w:rsidTr="00A35221">
        <w:trPr>
          <w:trHeight w:val="450"/>
        </w:trPr>
        <w:tc>
          <w:tcPr>
            <w:tcW w:w="520" w:type="dxa"/>
            <w:tcBorders>
              <w:top w:val="nil"/>
              <w:left w:val="single" w:sz="4" w:space="0" w:color="auto"/>
              <w:bottom w:val="single" w:sz="4" w:space="0" w:color="auto"/>
              <w:right w:val="single" w:sz="4" w:space="0" w:color="auto"/>
            </w:tcBorders>
            <w:shd w:val="clear" w:color="auto" w:fill="auto"/>
            <w:noWrap/>
            <w:vAlign w:val="center"/>
            <w:hideMark/>
          </w:tcPr>
          <w:p w14:paraId="1630A29D" w14:textId="77777777" w:rsidR="00974443" w:rsidRPr="00FB241A" w:rsidRDefault="00974443" w:rsidP="00A35221">
            <w:pPr>
              <w:jc w:val="center"/>
              <w:rPr>
                <w:rFonts w:ascii="Calibri" w:hAnsi="Calibri" w:cs="Calibri"/>
                <w:b/>
                <w:sz w:val="16"/>
                <w:szCs w:val="16"/>
                <w:lang w:val="en-IN" w:eastAsia="en-IN"/>
              </w:rPr>
            </w:pPr>
            <w:r w:rsidRPr="00FB241A">
              <w:rPr>
                <w:rFonts w:ascii="Calibri" w:hAnsi="Calibri" w:cs="Calibri"/>
                <w:b/>
                <w:sz w:val="16"/>
                <w:szCs w:val="16"/>
                <w:lang w:val="en-IN" w:eastAsia="en-IN"/>
              </w:rPr>
              <w:t>15</w:t>
            </w:r>
          </w:p>
        </w:tc>
        <w:tc>
          <w:tcPr>
            <w:tcW w:w="2340" w:type="dxa"/>
            <w:tcBorders>
              <w:top w:val="nil"/>
              <w:left w:val="nil"/>
              <w:bottom w:val="single" w:sz="4" w:space="0" w:color="auto"/>
              <w:right w:val="single" w:sz="4" w:space="0" w:color="auto"/>
            </w:tcBorders>
            <w:shd w:val="clear" w:color="auto" w:fill="auto"/>
            <w:vAlign w:val="center"/>
            <w:hideMark/>
          </w:tcPr>
          <w:p w14:paraId="62DB1569" w14:textId="77777777" w:rsidR="00974443" w:rsidRPr="00FB241A" w:rsidRDefault="00974443" w:rsidP="00A35221">
            <w:pPr>
              <w:rPr>
                <w:rFonts w:ascii="Calibri" w:hAnsi="Calibri" w:cs="Calibri"/>
                <w:sz w:val="16"/>
                <w:szCs w:val="16"/>
                <w:lang w:val="en-IN" w:eastAsia="en-IN"/>
              </w:rPr>
            </w:pPr>
            <w:r w:rsidRPr="00FB241A">
              <w:rPr>
                <w:rFonts w:ascii="Calibri" w:hAnsi="Calibri" w:cs="Calibri"/>
                <w:sz w:val="16"/>
                <w:szCs w:val="16"/>
                <w:lang w:val="en-IN" w:eastAsia="en-IN"/>
              </w:rPr>
              <w:t>SDMF-FLOOD MITIGATION-Grant</w:t>
            </w:r>
          </w:p>
        </w:tc>
        <w:tc>
          <w:tcPr>
            <w:tcW w:w="780" w:type="dxa"/>
            <w:tcBorders>
              <w:top w:val="nil"/>
              <w:left w:val="nil"/>
              <w:bottom w:val="single" w:sz="4" w:space="0" w:color="auto"/>
              <w:right w:val="single" w:sz="4" w:space="0" w:color="auto"/>
            </w:tcBorders>
            <w:shd w:val="clear" w:color="auto" w:fill="auto"/>
            <w:noWrap/>
            <w:vAlign w:val="center"/>
            <w:hideMark/>
          </w:tcPr>
          <w:p w14:paraId="09D135B7" w14:textId="77777777" w:rsidR="00974443" w:rsidRPr="00FB241A" w:rsidRDefault="00974443" w:rsidP="00A35221">
            <w:pPr>
              <w:jc w:val="center"/>
              <w:rPr>
                <w:rFonts w:ascii="Calibri" w:hAnsi="Calibri" w:cs="Calibri"/>
                <w:sz w:val="16"/>
                <w:szCs w:val="16"/>
                <w:lang w:val="en-IN" w:eastAsia="en-IN"/>
              </w:rPr>
            </w:pPr>
            <w:r w:rsidRPr="00FB241A">
              <w:rPr>
                <w:rFonts w:ascii="Calibri" w:hAnsi="Calibri" w:cs="Calibri"/>
                <w:sz w:val="16"/>
                <w:szCs w:val="16"/>
                <w:lang w:val="en-IN" w:eastAsia="en-IN"/>
              </w:rPr>
              <w:t>124.26</w:t>
            </w:r>
          </w:p>
        </w:tc>
        <w:tc>
          <w:tcPr>
            <w:tcW w:w="780" w:type="dxa"/>
            <w:tcBorders>
              <w:top w:val="nil"/>
              <w:left w:val="nil"/>
              <w:bottom w:val="single" w:sz="4" w:space="0" w:color="auto"/>
              <w:right w:val="single" w:sz="4" w:space="0" w:color="auto"/>
            </w:tcBorders>
            <w:shd w:val="clear" w:color="auto" w:fill="auto"/>
            <w:noWrap/>
            <w:vAlign w:val="center"/>
            <w:hideMark/>
          </w:tcPr>
          <w:p w14:paraId="3A06556B" w14:textId="77777777" w:rsidR="00974443" w:rsidRPr="00FB241A" w:rsidRDefault="00974443" w:rsidP="00A35221">
            <w:pPr>
              <w:jc w:val="center"/>
              <w:rPr>
                <w:rFonts w:ascii="Calibri" w:hAnsi="Calibri" w:cs="Calibri"/>
                <w:sz w:val="16"/>
                <w:szCs w:val="16"/>
                <w:lang w:val="en-IN" w:eastAsia="en-IN"/>
              </w:rPr>
            </w:pPr>
            <w:r w:rsidRPr="00FB241A">
              <w:rPr>
                <w:rFonts w:ascii="Calibri" w:hAnsi="Calibri" w:cs="Calibri"/>
                <w:sz w:val="16"/>
                <w:szCs w:val="16"/>
                <w:lang w:val="en-IN" w:eastAsia="en-IN"/>
              </w:rPr>
              <w:t>859.74</w:t>
            </w:r>
          </w:p>
        </w:tc>
        <w:tc>
          <w:tcPr>
            <w:tcW w:w="480" w:type="dxa"/>
            <w:tcBorders>
              <w:top w:val="nil"/>
              <w:left w:val="nil"/>
              <w:bottom w:val="single" w:sz="4" w:space="0" w:color="auto"/>
              <w:right w:val="single" w:sz="4" w:space="0" w:color="auto"/>
            </w:tcBorders>
            <w:shd w:val="clear" w:color="auto" w:fill="auto"/>
            <w:noWrap/>
            <w:vAlign w:val="center"/>
            <w:hideMark/>
          </w:tcPr>
          <w:p w14:paraId="2007BC98" w14:textId="77777777" w:rsidR="00974443" w:rsidRPr="00FB241A" w:rsidRDefault="00974443" w:rsidP="00A35221">
            <w:pPr>
              <w:jc w:val="center"/>
              <w:rPr>
                <w:rFonts w:ascii="Calibri" w:hAnsi="Calibri" w:cs="Calibri"/>
                <w:sz w:val="16"/>
                <w:szCs w:val="16"/>
                <w:lang w:val="en-IN" w:eastAsia="en-IN"/>
              </w:rPr>
            </w:pPr>
            <w:r w:rsidRPr="00FB241A">
              <w:rPr>
                <w:rFonts w:ascii="Calibri" w:hAnsi="Calibri" w:cs="Calibri"/>
                <w:sz w:val="16"/>
                <w:szCs w:val="16"/>
                <w:lang w:val="en-IN" w:eastAsia="en-IN"/>
              </w:rPr>
              <w:t>-</w:t>
            </w:r>
          </w:p>
        </w:tc>
        <w:tc>
          <w:tcPr>
            <w:tcW w:w="480" w:type="dxa"/>
            <w:tcBorders>
              <w:top w:val="nil"/>
              <w:left w:val="nil"/>
              <w:bottom w:val="single" w:sz="4" w:space="0" w:color="auto"/>
              <w:right w:val="single" w:sz="4" w:space="0" w:color="auto"/>
            </w:tcBorders>
            <w:shd w:val="clear" w:color="auto" w:fill="auto"/>
            <w:noWrap/>
            <w:vAlign w:val="center"/>
            <w:hideMark/>
          </w:tcPr>
          <w:p w14:paraId="63DADB13" w14:textId="77777777" w:rsidR="00974443" w:rsidRPr="00FB241A" w:rsidRDefault="00974443" w:rsidP="00A35221">
            <w:pPr>
              <w:jc w:val="center"/>
              <w:rPr>
                <w:rFonts w:ascii="Calibri" w:hAnsi="Calibri" w:cs="Calibri"/>
                <w:sz w:val="16"/>
                <w:szCs w:val="16"/>
                <w:lang w:val="en-IN" w:eastAsia="en-IN"/>
              </w:rPr>
            </w:pPr>
            <w:r w:rsidRPr="00FB241A">
              <w:rPr>
                <w:rFonts w:ascii="Calibri" w:hAnsi="Calibri" w:cs="Calibri"/>
                <w:sz w:val="16"/>
                <w:szCs w:val="16"/>
                <w:lang w:val="en-IN" w:eastAsia="en-IN"/>
              </w:rPr>
              <w:t>-</w:t>
            </w:r>
          </w:p>
        </w:tc>
        <w:tc>
          <w:tcPr>
            <w:tcW w:w="780" w:type="dxa"/>
            <w:tcBorders>
              <w:top w:val="nil"/>
              <w:left w:val="nil"/>
              <w:bottom w:val="single" w:sz="4" w:space="0" w:color="auto"/>
              <w:right w:val="single" w:sz="4" w:space="0" w:color="auto"/>
            </w:tcBorders>
            <w:shd w:val="clear" w:color="auto" w:fill="auto"/>
            <w:noWrap/>
            <w:vAlign w:val="center"/>
            <w:hideMark/>
          </w:tcPr>
          <w:p w14:paraId="5E134928" w14:textId="77777777" w:rsidR="00974443" w:rsidRPr="00FB241A" w:rsidRDefault="00974443" w:rsidP="00A35221">
            <w:pPr>
              <w:jc w:val="center"/>
              <w:rPr>
                <w:rFonts w:ascii="Calibri" w:hAnsi="Calibri" w:cs="Calibri"/>
                <w:sz w:val="16"/>
                <w:szCs w:val="16"/>
                <w:lang w:val="en-IN" w:eastAsia="en-IN"/>
              </w:rPr>
            </w:pPr>
            <w:r w:rsidRPr="00FB241A">
              <w:rPr>
                <w:rFonts w:ascii="Calibri" w:hAnsi="Calibri" w:cs="Calibri"/>
                <w:sz w:val="16"/>
                <w:szCs w:val="16"/>
                <w:lang w:val="en-IN" w:eastAsia="en-IN"/>
              </w:rPr>
              <w:t>0.00</w:t>
            </w:r>
          </w:p>
        </w:tc>
        <w:tc>
          <w:tcPr>
            <w:tcW w:w="780" w:type="dxa"/>
            <w:tcBorders>
              <w:top w:val="nil"/>
              <w:left w:val="nil"/>
              <w:bottom w:val="single" w:sz="4" w:space="0" w:color="auto"/>
              <w:right w:val="single" w:sz="4" w:space="0" w:color="auto"/>
            </w:tcBorders>
            <w:shd w:val="clear" w:color="auto" w:fill="auto"/>
            <w:noWrap/>
            <w:vAlign w:val="center"/>
            <w:hideMark/>
          </w:tcPr>
          <w:p w14:paraId="24EA7AE5" w14:textId="77777777" w:rsidR="00974443" w:rsidRPr="00FB241A" w:rsidRDefault="00974443" w:rsidP="00A35221">
            <w:pPr>
              <w:jc w:val="center"/>
              <w:rPr>
                <w:rFonts w:ascii="Calibri" w:hAnsi="Calibri" w:cs="Calibri"/>
                <w:sz w:val="16"/>
                <w:szCs w:val="16"/>
                <w:lang w:val="en-IN" w:eastAsia="en-IN"/>
              </w:rPr>
            </w:pPr>
            <w:r w:rsidRPr="00FB241A">
              <w:rPr>
                <w:rFonts w:ascii="Calibri" w:hAnsi="Calibri" w:cs="Calibri"/>
                <w:sz w:val="16"/>
                <w:szCs w:val="16"/>
                <w:lang w:val="en-IN" w:eastAsia="en-IN"/>
              </w:rPr>
              <w:t>984.00</w:t>
            </w:r>
          </w:p>
        </w:tc>
        <w:tc>
          <w:tcPr>
            <w:tcW w:w="700" w:type="dxa"/>
            <w:tcBorders>
              <w:top w:val="nil"/>
              <w:left w:val="nil"/>
              <w:bottom w:val="single" w:sz="4" w:space="0" w:color="auto"/>
              <w:right w:val="single" w:sz="4" w:space="0" w:color="auto"/>
            </w:tcBorders>
            <w:shd w:val="clear" w:color="auto" w:fill="auto"/>
            <w:noWrap/>
            <w:vAlign w:val="center"/>
            <w:hideMark/>
          </w:tcPr>
          <w:p w14:paraId="5279643A" w14:textId="77777777" w:rsidR="00974443" w:rsidRPr="00FB241A" w:rsidRDefault="00974443" w:rsidP="00A35221">
            <w:pPr>
              <w:jc w:val="center"/>
              <w:rPr>
                <w:rFonts w:ascii="Calibri" w:hAnsi="Calibri" w:cs="Calibri"/>
                <w:sz w:val="16"/>
                <w:szCs w:val="16"/>
                <w:lang w:val="en-IN" w:eastAsia="en-IN"/>
              </w:rPr>
            </w:pPr>
            <w:r w:rsidRPr="00FB241A">
              <w:rPr>
                <w:rFonts w:ascii="Calibri" w:hAnsi="Calibri" w:cs="Calibri"/>
                <w:sz w:val="16"/>
                <w:szCs w:val="16"/>
                <w:lang w:val="en-IN" w:eastAsia="en-IN"/>
              </w:rPr>
              <w:t>246.00</w:t>
            </w:r>
          </w:p>
        </w:tc>
        <w:tc>
          <w:tcPr>
            <w:tcW w:w="480" w:type="dxa"/>
            <w:tcBorders>
              <w:top w:val="nil"/>
              <w:left w:val="nil"/>
              <w:bottom w:val="single" w:sz="4" w:space="0" w:color="auto"/>
              <w:right w:val="single" w:sz="4" w:space="0" w:color="auto"/>
            </w:tcBorders>
            <w:shd w:val="clear" w:color="auto" w:fill="auto"/>
            <w:noWrap/>
            <w:vAlign w:val="center"/>
            <w:hideMark/>
          </w:tcPr>
          <w:p w14:paraId="1606F863" w14:textId="77777777" w:rsidR="00974443" w:rsidRPr="00FB241A" w:rsidRDefault="00974443" w:rsidP="00A35221">
            <w:pPr>
              <w:jc w:val="center"/>
              <w:rPr>
                <w:rFonts w:ascii="Calibri" w:hAnsi="Calibri" w:cs="Calibri"/>
                <w:sz w:val="16"/>
                <w:szCs w:val="16"/>
                <w:lang w:val="en-IN" w:eastAsia="en-IN"/>
              </w:rPr>
            </w:pPr>
            <w:r w:rsidRPr="00FB241A">
              <w:rPr>
                <w:rFonts w:ascii="Calibri" w:hAnsi="Calibri" w:cs="Calibri"/>
                <w:sz w:val="16"/>
                <w:szCs w:val="16"/>
                <w:lang w:val="en-IN" w:eastAsia="en-IN"/>
              </w:rPr>
              <w:t>-</w:t>
            </w:r>
          </w:p>
        </w:tc>
        <w:tc>
          <w:tcPr>
            <w:tcW w:w="480" w:type="dxa"/>
            <w:tcBorders>
              <w:top w:val="nil"/>
              <w:left w:val="nil"/>
              <w:bottom w:val="single" w:sz="4" w:space="0" w:color="auto"/>
              <w:right w:val="single" w:sz="4" w:space="0" w:color="auto"/>
            </w:tcBorders>
            <w:shd w:val="clear" w:color="auto" w:fill="auto"/>
            <w:noWrap/>
            <w:vAlign w:val="center"/>
            <w:hideMark/>
          </w:tcPr>
          <w:p w14:paraId="2473B659" w14:textId="77777777" w:rsidR="00974443" w:rsidRPr="00FB241A" w:rsidRDefault="00974443" w:rsidP="00A35221">
            <w:pPr>
              <w:jc w:val="center"/>
              <w:rPr>
                <w:rFonts w:ascii="Calibri" w:hAnsi="Calibri" w:cs="Calibri"/>
                <w:sz w:val="16"/>
                <w:szCs w:val="16"/>
                <w:lang w:val="en-IN" w:eastAsia="en-IN"/>
              </w:rPr>
            </w:pPr>
            <w:r w:rsidRPr="00FB241A">
              <w:rPr>
                <w:rFonts w:ascii="Calibri" w:hAnsi="Calibri" w:cs="Calibri"/>
                <w:sz w:val="16"/>
                <w:szCs w:val="16"/>
                <w:lang w:val="en-IN" w:eastAsia="en-IN"/>
              </w:rPr>
              <w:t>-</w:t>
            </w:r>
          </w:p>
        </w:tc>
        <w:tc>
          <w:tcPr>
            <w:tcW w:w="700" w:type="dxa"/>
            <w:tcBorders>
              <w:top w:val="nil"/>
              <w:left w:val="nil"/>
              <w:bottom w:val="single" w:sz="4" w:space="0" w:color="auto"/>
              <w:right w:val="single" w:sz="4" w:space="0" w:color="auto"/>
            </w:tcBorders>
            <w:shd w:val="clear" w:color="auto" w:fill="auto"/>
            <w:noWrap/>
            <w:vAlign w:val="center"/>
            <w:hideMark/>
          </w:tcPr>
          <w:p w14:paraId="062739A5" w14:textId="77777777" w:rsidR="00974443" w:rsidRPr="00FB241A" w:rsidRDefault="00974443" w:rsidP="00A35221">
            <w:pPr>
              <w:jc w:val="center"/>
              <w:rPr>
                <w:rFonts w:ascii="Calibri" w:hAnsi="Calibri" w:cs="Calibri"/>
                <w:sz w:val="16"/>
                <w:szCs w:val="16"/>
                <w:lang w:val="en-IN" w:eastAsia="en-IN"/>
              </w:rPr>
            </w:pPr>
            <w:r w:rsidRPr="00FB241A">
              <w:rPr>
                <w:rFonts w:ascii="Calibri" w:hAnsi="Calibri" w:cs="Calibri"/>
                <w:sz w:val="16"/>
                <w:szCs w:val="16"/>
                <w:lang w:val="en-IN" w:eastAsia="en-IN"/>
              </w:rPr>
              <w:t>0.00</w:t>
            </w:r>
          </w:p>
        </w:tc>
        <w:tc>
          <w:tcPr>
            <w:tcW w:w="780" w:type="dxa"/>
            <w:tcBorders>
              <w:top w:val="nil"/>
              <w:left w:val="nil"/>
              <w:bottom w:val="single" w:sz="4" w:space="0" w:color="auto"/>
              <w:right w:val="single" w:sz="4" w:space="0" w:color="auto"/>
            </w:tcBorders>
            <w:shd w:val="clear" w:color="auto" w:fill="auto"/>
            <w:noWrap/>
            <w:vAlign w:val="center"/>
            <w:hideMark/>
          </w:tcPr>
          <w:p w14:paraId="29DB2318" w14:textId="77777777" w:rsidR="00974443" w:rsidRPr="00FB241A" w:rsidRDefault="00974443" w:rsidP="00A35221">
            <w:pPr>
              <w:jc w:val="center"/>
              <w:rPr>
                <w:rFonts w:ascii="Calibri" w:hAnsi="Calibri" w:cs="Calibri"/>
                <w:sz w:val="16"/>
                <w:szCs w:val="16"/>
                <w:lang w:val="en-IN" w:eastAsia="en-IN"/>
              </w:rPr>
            </w:pPr>
            <w:r w:rsidRPr="00FB241A">
              <w:rPr>
                <w:rFonts w:ascii="Calibri" w:hAnsi="Calibri" w:cs="Calibri"/>
                <w:sz w:val="16"/>
                <w:szCs w:val="16"/>
                <w:lang w:val="en-IN" w:eastAsia="en-IN"/>
              </w:rPr>
              <w:t>1230.00</w:t>
            </w:r>
          </w:p>
        </w:tc>
      </w:tr>
      <w:tr w:rsidR="00974443" w:rsidRPr="00FB241A" w14:paraId="3358D214" w14:textId="77777777" w:rsidTr="00A35221">
        <w:trPr>
          <w:trHeight w:val="300"/>
        </w:trPr>
        <w:tc>
          <w:tcPr>
            <w:tcW w:w="520" w:type="dxa"/>
            <w:tcBorders>
              <w:top w:val="nil"/>
              <w:left w:val="single" w:sz="4" w:space="0" w:color="auto"/>
              <w:bottom w:val="single" w:sz="4" w:space="0" w:color="auto"/>
              <w:right w:val="single" w:sz="4" w:space="0" w:color="auto"/>
            </w:tcBorders>
            <w:shd w:val="clear" w:color="auto" w:fill="auto"/>
            <w:noWrap/>
            <w:vAlign w:val="center"/>
            <w:hideMark/>
          </w:tcPr>
          <w:p w14:paraId="209A4AE7" w14:textId="77777777" w:rsidR="00974443" w:rsidRPr="00FB241A" w:rsidRDefault="00974443" w:rsidP="00A35221">
            <w:pPr>
              <w:jc w:val="center"/>
              <w:rPr>
                <w:rFonts w:ascii="Calibri" w:hAnsi="Calibri" w:cs="Calibri"/>
                <w:b/>
                <w:sz w:val="16"/>
                <w:szCs w:val="16"/>
                <w:lang w:val="en-IN" w:eastAsia="en-IN"/>
              </w:rPr>
            </w:pPr>
            <w:r w:rsidRPr="00FB241A">
              <w:rPr>
                <w:rFonts w:ascii="Calibri" w:hAnsi="Calibri" w:cs="Calibri"/>
                <w:b/>
                <w:sz w:val="16"/>
                <w:szCs w:val="16"/>
                <w:lang w:val="en-IN" w:eastAsia="en-IN"/>
              </w:rPr>
              <w:t>16</w:t>
            </w:r>
          </w:p>
        </w:tc>
        <w:tc>
          <w:tcPr>
            <w:tcW w:w="2340" w:type="dxa"/>
            <w:tcBorders>
              <w:top w:val="nil"/>
              <w:left w:val="nil"/>
              <w:bottom w:val="single" w:sz="4" w:space="0" w:color="auto"/>
              <w:right w:val="single" w:sz="4" w:space="0" w:color="auto"/>
            </w:tcBorders>
            <w:shd w:val="clear" w:color="auto" w:fill="auto"/>
            <w:vAlign w:val="center"/>
            <w:hideMark/>
          </w:tcPr>
          <w:p w14:paraId="5A385183" w14:textId="77777777" w:rsidR="00974443" w:rsidRPr="00FB241A" w:rsidRDefault="00974443" w:rsidP="00A35221">
            <w:pPr>
              <w:rPr>
                <w:rFonts w:ascii="Calibri" w:hAnsi="Calibri" w:cs="Calibri"/>
                <w:sz w:val="16"/>
                <w:szCs w:val="16"/>
                <w:lang w:val="en-IN" w:eastAsia="en-IN"/>
              </w:rPr>
            </w:pPr>
            <w:r w:rsidRPr="00FB241A">
              <w:rPr>
                <w:rFonts w:ascii="Calibri" w:hAnsi="Calibri" w:cs="Calibri"/>
                <w:sz w:val="16"/>
                <w:szCs w:val="16"/>
                <w:lang w:val="en-IN" w:eastAsia="en-IN"/>
              </w:rPr>
              <w:t>ODSSP PHASE-V-Grant</w:t>
            </w:r>
          </w:p>
        </w:tc>
        <w:tc>
          <w:tcPr>
            <w:tcW w:w="780" w:type="dxa"/>
            <w:tcBorders>
              <w:top w:val="nil"/>
              <w:left w:val="nil"/>
              <w:bottom w:val="single" w:sz="4" w:space="0" w:color="auto"/>
              <w:right w:val="single" w:sz="4" w:space="0" w:color="auto"/>
            </w:tcBorders>
            <w:shd w:val="clear" w:color="auto" w:fill="auto"/>
            <w:noWrap/>
            <w:vAlign w:val="center"/>
            <w:hideMark/>
          </w:tcPr>
          <w:p w14:paraId="3D9C0760" w14:textId="77777777" w:rsidR="00974443" w:rsidRPr="00FB241A" w:rsidRDefault="00974443" w:rsidP="00A35221">
            <w:pPr>
              <w:jc w:val="center"/>
              <w:rPr>
                <w:rFonts w:ascii="Calibri" w:hAnsi="Calibri" w:cs="Calibri"/>
                <w:sz w:val="16"/>
                <w:szCs w:val="16"/>
                <w:lang w:val="en-IN" w:eastAsia="en-IN"/>
              </w:rPr>
            </w:pPr>
            <w:r w:rsidRPr="00FB241A">
              <w:rPr>
                <w:rFonts w:ascii="Calibri" w:hAnsi="Calibri" w:cs="Calibri"/>
                <w:sz w:val="16"/>
                <w:szCs w:val="16"/>
                <w:lang w:val="en-IN" w:eastAsia="en-IN"/>
              </w:rPr>
              <w:t>5527.49</w:t>
            </w:r>
          </w:p>
        </w:tc>
        <w:tc>
          <w:tcPr>
            <w:tcW w:w="780" w:type="dxa"/>
            <w:tcBorders>
              <w:top w:val="nil"/>
              <w:left w:val="nil"/>
              <w:bottom w:val="single" w:sz="4" w:space="0" w:color="auto"/>
              <w:right w:val="single" w:sz="4" w:space="0" w:color="auto"/>
            </w:tcBorders>
            <w:shd w:val="clear" w:color="auto" w:fill="auto"/>
            <w:noWrap/>
            <w:vAlign w:val="center"/>
            <w:hideMark/>
          </w:tcPr>
          <w:p w14:paraId="25D3C039" w14:textId="77777777" w:rsidR="00974443" w:rsidRPr="00FB241A" w:rsidRDefault="00974443" w:rsidP="00A35221">
            <w:pPr>
              <w:jc w:val="center"/>
              <w:rPr>
                <w:rFonts w:ascii="Calibri" w:hAnsi="Calibri" w:cs="Calibri"/>
                <w:sz w:val="16"/>
                <w:szCs w:val="16"/>
                <w:lang w:val="en-IN" w:eastAsia="en-IN"/>
              </w:rPr>
            </w:pPr>
            <w:r w:rsidRPr="00FB241A">
              <w:rPr>
                <w:rFonts w:ascii="Calibri" w:hAnsi="Calibri" w:cs="Calibri"/>
                <w:sz w:val="16"/>
                <w:szCs w:val="16"/>
                <w:lang w:val="en-IN" w:eastAsia="en-IN"/>
              </w:rPr>
              <w:t>12952.51</w:t>
            </w:r>
          </w:p>
        </w:tc>
        <w:tc>
          <w:tcPr>
            <w:tcW w:w="480" w:type="dxa"/>
            <w:tcBorders>
              <w:top w:val="nil"/>
              <w:left w:val="nil"/>
              <w:bottom w:val="single" w:sz="4" w:space="0" w:color="auto"/>
              <w:right w:val="single" w:sz="4" w:space="0" w:color="auto"/>
            </w:tcBorders>
            <w:shd w:val="clear" w:color="auto" w:fill="auto"/>
            <w:noWrap/>
            <w:vAlign w:val="center"/>
            <w:hideMark/>
          </w:tcPr>
          <w:p w14:paraId="47821616" w14:textId="77777777" w:rsidR="00974443" w:rsidRPr="00FB241A" w:rsidRDefault="00974443" w:rsidP="00A35221">
            <w:pPr>
              <w:jc w:val="center"/>
              <w:rPr>
                <w:rFonts w:ascii="Calibri" w:hAnsi="Calibri" w:cs="Calibri"/>
                <w:sz w:val="16"/>
                <w:szCs w:val="16"/>
                <w:lang w:val="en-IN" w:eastAsia="en-IN"/>
              </w:rPr>
            </w:pPr>
            <w:r w:rsidRPr="00FB241A">
              <w:rPr>
                <w:rFonts w:ascii="Calibri" w:hAnsi="Calibri" w:cs="Calibri"/>
                <w:sz w:val="16"/>
                <w:szCs w:val="16"/>
                <w:lang w:val="en-IN" w:eastAsia="en-IN"/>
              </w:rPr>
              <w:t>-</w:t>
            </w:r>
          </w:p>
        </w:tc>
        <w:tc>
          <w:tcPr>
            <w:tcW w:w="480" w:type="dxa"/>
            <w:tcBorders>
              <w:top w:val="nil"/>
              <w:left w:val="nil"/>
              <w:bottom w:val="single" w:sz="4" w:space="0" w:color="auto"/>
              <w:right w:val="single" w:sz="4" w:space="0" w:color="auto"/>
            </w:tcBorders>
            <w:shd w:val="clear" w:color="auto" w:fill="auto"/>
            <w:noWrap/>
            <w:vAlign w:val="center"/>
            <w:hideMark/>
          </w:tcPr>
          <w:p w14:paraId="6496197D" w14:textId="77777777" w:rsidR="00974443" w:rsidRPr="00FB241A" w:rsidRDefault="00974443" w:rsidP="00A35221">
            <w:pPr>
              <w:jc w:val="center"/>
              <w:rPr>
                <w:rFonts w:ascii="Calibri" w:hAnsi="Calibri" w:cs="Calibri"/>
                <w:sz w:val="16"/>
                <w:szCs w:val="16"/>
                <w:lang w:val="en-IN" w:eastAsia="en-IN"/>
              </w:rPr>
            </w:pPr>
            <w:r w:rsidRPr="00FB241A">
              <w:rPr>
                <w:rFonts w:ascii="Calibri" w:hAnsi="Calibri" w:cs="Calibri"/>
                <w:sz w:val="16"/>
                <w:szCs w:val="16"/>
                <w:lang w:val="en-IN" w:eastAsia="en-IN"/>
              </w:rPr>
              <w:t>-</w:t>
            </w:r>
          </w:p>
        </w:tc>
        <w:tc>
          <w:tcPr>
            <w:tcW w:w="780" w:type="dxa"/>
            <w:tcBorders>
              <w:top w:val="nil"/>
              <w:left w:val="nil"/>
              <w:bottom w:val="single" w:sz="4" w:space="0" w:color="auto"/>
              <w:right w:val="single" w:sz="4" w:space="0" w:color="auto"/>
            </w:tcBorders>
            <w:shd w:val="clear" w:color="auto" w:fill="auto"/>
            <w:noWrap/>
            <w:vAlign w:val="center"/>
            <w:hideMark/>
          </w:tcPr>
          <w:p w14:paraId="6D5CC5E5" w14:textId="77777777" w:rsidR="00974443" w:rsidRPr="00FB241A" w:rsidRDefault="00974443" w:rsidP="00A35221">
            <w:pPr>
              <w:jc w:val="center"/>
              <w:rPr>
                <w:rFonts w:ascii="Calibri" w:hAnsi="Calibri" w:cs="Calibri"/>
                <w:sz w:val="16"/>
                <w:szCs w:val="16"/>
                <w:lang w:val="en-IN" w:eastAsia="en-IN"/>
              </w:rPr>
            </w:pPr>
            <w:r w:rsidRPr="00FB241A">
              <w:rPr>
                <w:rFonts w:ascii="Calibri" w:hAnsi="Calibri" w:cs="Calibri"/>
                <w:sz w:val="16"/>
                <w:szCs w:val="16"/>
                <w:lang w:val="en-IN" w:eastAsia="en-IN"/>
              </w:rPr>
              <w:t>0.00</w:t>
            </w:r>
          </w:p>
        </w:tc>
        <w:tc>
          <w:tcPr>
            <w:tcW w:w="780" w:type="dxa"/>
            <w:tcBorders>
              <w:top w:val="nil"/>
              <w:left w:val="nil"/>
              <w:bottom w:val="single" w:sz="4" w:space="0" w:color="auto"/>
              <w:right w:val="single" w:sz="4" w:space="0" w:color="auto"/>
            </w:tcBorders>
            <w:shd w:val="clear" w:color="auto" w:fill="auto"/>
            <w:noWrap/>
            <w:vAlign w:val="center"/>
            <w:hideMark/>
          </w:tcPr>
          <w:p w14:paraId="1B20DB34" w14:textId="77777777" w:rsidR="00974443" w:rsidRPr="00FB241A" w:rsidRDefault="00974443" w:rsidP="00A35221">
            <w:pPr>
              <w:jc w:val="center"/>
              <w:rPr>
                <w:rFonts w:ascii="Calibri" w:hAnsi="Calibri" w:cs="Calibri"/>
                <w:sz w:val="16"/>
                <w:szCs w:val="16"/>
                <w:lang w:val="en-IN" w:eastAsia="en-IN"/>
              </w:rPr>
            </w:pPr>
            <w:r w:rsidRPr="00FB241A">
              <w:rPr>
                <w:rFonts w:ascii="Calibri" w:hAnsi="Calibri" w:cs="Calibri"/>
                <w:sz w:val="16"/>
                <w:szCs w:val="16"/>
                <w:lang w:val="en-IN" w:eastAsia="en-IN"/>
              </w:rPr>
              <w:t>18480.00</w:t>
            </w:r>
          </w:p>
        </w:tc>
        <w:tc>
          <w:tcPr>
            <w:tcW w:w="700" w:type="dxa"/>
            <w:tcBorders>
              <w:top w:val="nil"/>
              <w:left w:val="nil"/>
              <w:bottom w:val="single" w:sz="4" w:space="0" w:color="auto"/>
              <w:right w:val="single" w:sz="4" w:space="0" w:color="auto"/>
            </w:tcBorders>
            <w:shd w:val="clear" w:color="auto" w:fill="auto"/>
            <w:noWrap/>
            <w:vAlign w:val="center"/>
            <w:hideMark/>
          </w:tcPr>
          <w:p w14:paraId="56861ADA" w14:textId="77777777" w:rsidR="00974443" w:rsidRPr="00FB241A" w:rsidRDefault="00974443" w:rsidP="00A35221">
            <w:pPr>
              <w:jc w:val="center"/>
              <w:rPr>
                <w:rFonts w:ascii="Calibri" w:hAnsi="Calibri" w:cs="Calibri"/>
                <w:sz w:val="16"/>
                <w:szCs w:val="16"/>
                <w:lang w:val="en-IN" w:eastAsia="en-IN"/>
              </w:rPr>
            </w:pPr>
            <w:r w:rsidRPr="00FB241A">
              <w:rPr>
                <w:rFonts w:ascii="Calibri" w:hAnsi="Calibri" w:cs="Calibri"/>
                <w:sz w:val="16"/>
                <w:szCs w:val="16"/>
                <w:lang w:val="en-IN" w:eastAsia="en-IN"/>
              </w:rPr>
              <w:t>4620.00</w:t>
            </w:r>
          </w:p>
        </w:tc>
        <w:tc>
          <w:tcPr>
            <w:tcW w:w="480" w:type="dxa"/>
            <w:tcBorders>
              <w:top w:val="nil"/>
              <w:left w:val="nil"/>
              <w:bottom w:val="single" w:sz="4" w:space="0" w:color="auto"/>
              <w:right w:val="single" w:sz="4" w:space="0" w:color="auto"/>
            </w:tcBorders>
            <w:shd w:val="clear" w:color="auto" w:fill="auto"/>
            <w:noWrap/>
            <w:vAlign w:val="center"/>
            <w:hideMark/>
          </w:tcPr>
          <w:p w14:paraId="71C1098A" w14:textId="77777777" w:rsidR="00974443" w:rsidRPr="00FB241A" w:rsidRDefault="00974443" w:rsidP="00A35221">
            <w:pPr>
              <w:jc w:val="center"/>
              <w:rPr>
                <w:rFonts w:ascii="Calibri" w:hAnsi="Calibri" w:cs="Calibri"/>
                <w:sz w:val="16"/>
                <w:szCs w:val="16"/>
                <w:lang w:val="en-IN" w:eastAsia="en-IN"/>
              </w:rPr>
            </w:pPr>
            <w:r w:rsidRPr="00FB241A">
              <w:rPr>
                <w:rFonts w:ascii="Calibri" w:hAnsi="Calibri" w:cs="Calibri"/>
                <w:sz w:val="16"/>
                <w:szCs w:val="16"/>
                <w:lang w:val="en-IN" w:eastAsia="en-IN"/>
              </w:rPr>
              <w:t>-</w:t>
            </w:r>
          </w:p>
        </w:tc>
        <w:tc>
          <w:tcPr>
            <w:tcW w:w="480" w:type="dxa"/>
            <w:tcBorders>
              <w:top w:val="nil"/>
              <w:left w:val="nil"/>
              <w:bottom w:val="single" w:sz="4" w:space="0" w:color="auto"/>
              <w:right w:val="single" w:sz="4" w:space="0" w:color="auto"/>
            </w:tcBorders>
            <w:shd w:val="clear" w:color="auto" w:fill="auto"/>
            <w:noWrap/>
            <w:vAlign w:val="center"/>
            <w:hideMark/>
          </w:tcPr>
          <w:p w14:paraId="1597E600" w14:textId="77777777" w:rsidR="00974443" w:rsidRPr="00FB241A" w:rsidRDefault="00974443" w:rsidP="00A35221">
            <w:pPr>
              <w:jc w:val="center"/>
              <w:rPr>
                <w:rFonts w:ascii="Calibri" w:hAnsi="Calibri" w:cs="Calibri"/>
                <w:sz w:val="16"/>
                <w:szCs w:val="16"/>
                <w:lang w:val="en-IN" w:eastAsia="en-IN"/>
              </w:rPr>
            </w:pPr>
            <w:r w:rsidRPr="00FB241A">
              <w:rPr>
                <w:rFonts w:ascii="Calibri" w:hAnsi="Calibri" w:cs="Calibri"/>
                <w:sz w:val="16"/>
                <w:szCs w:val="16"/>
                <w:lang w:val="en-IN" w:eastAsia="en-IN"/>
              </w:rPr>
              <w:t>-</w:t>
            </w:r>
          </w:p>
        </w:tc>
        <w:tc>
          <w:tcPr>
            <w:tcW w:w="700" w:type="dxa"/>
            <w:tcBorders>
              <w:top w:val="nil"/>
              <w:left w:val="nil"/>
              <w:bottom w:val="single" w:sz="4" w:space="0" w:color="auto"/>
              <w:right w:val="single" w:sz="4" w:space="0" w:color="auto"/>
            </w:tcBorders>
            <w:shd w:val="clear" w:color="auto" w:fill="auto"/>
            <w:noWrap/>
            <w:vAlign w:val="center"/>
            <w:hideMark/>
          </w:tcPr>
          <w:p w14:paraId="7F5F5301" w14:textId="77777777" w:rsidR="00974443" w:rsidRPr="00FB241A" w:rsidRDefault="00974443" w:rsidP="00A35221">
            <w:pPr>
              <w:jc w:val="center"/>
              <w:rPr>
                <w:rFonts w:ascii="Calibri" w:hAnsi="Calibri" w:cs="Calibri"/>
                <w:sz w:val="16"/>
                <w:szCs w:val="16"/>
                <w:lang w:val="en-IN" w:eastAsia="en-IN"/>
              </w:rPr>
            </w:pPr>
            <w:r w:rsidRPr="00FB241A">
              <w:rPr>
                <w:rFonts w:ascii="Calibri" w:hAnsi="Calibri" w:cs="Calibri"/>
                <w:sz w:val="16"/>
                <w:szCs w:val="16"/>
                <w:lang w:val="en-IN" w:eastAsia="en-IN"/>
              </w:rPr>
              <w:t>0.00</w:t>
            </w:r>
          </w:p>
        </w:tc>
        <w:tc>
          <w:tcPr>
            <w:tcW w:w="780" w:type="dxa"/>
            <w:tcBorders>
              <w:top w:val="nil"/>
              <w:left w:val="nil"/>
              <w:bottom w:val="single" w:sz="4" w:space="0" w:color="auto"/>
              <w:right w:val="single" w:sz="4" w:space="0" w:color="auto"/>
            </w:tcBorders>
            <w:shd w:val="clear" w:color="auto" w:fill="auto"/>
            <w:noWrap/>
            <w:vAlign w:val="center"/>
            <w:hideMark/>
          </w:tcPr>
          <w:p w14:paraId="070058BC" w14:textId="77777777" w:rsidR="00974443" w:rsidRPr="00FB241A" w:rsidRDefault="00974443" w:rsidP="00A35221">
            <w:pPr>
              <w:jc w:val="center"/>
              <w:rPr>
                <w:rFonts w:ascii="Calibri" w:hAnsi="Calibri" w:cs="Calibri"/>
                <w:sz w:val="16"/>
                <w:szCs w:val="16"/>
                <w:lang w:val="en-IN" w:eastAsia="en-IN"/>
              </w:rPr>
            </w:pPr>
            <w:r w:rsidRPr="00FB241A">
              <w:rPr>
                <w:rFonts w:ascii="Calibri" w:hAnsi="Calibri" w:cs="Calibri"/>
                <w:sz w:val="16"/>
                <w:szCs w:val="16"/>
                <w:lang w:val="en-IN" w:eastAsia="en-IN"/>
              </w:rPr>
              <w:t>23100.00</w:t>
            </w:r>
          </w:p>
        </w:tc>
      </w:tr>
      <w:tr w:rsidR="00974443" w:rsidRPr="00FB241A" w14:paraId="5468EF5A" w14:textId="77777777" w:rsidTr="00A35221">
        <w:trPr>
          <w:trHeight w:val="300"/>
        </w:trPr>
        <w:tc>
          <w:tcPr>
            <w:tcW w:w="520" w:type="dxa"/>
            <w:tcBorders>
              <w:top w:val="nil"/>
              <w:left w:val="single" w:sz="4" w:space="0" w:color="auto"/>
              <w:bottom w:val="single" w:sz="4" w:space="0" w:color="auto"/>
              <w:right w:val="single" w:sz="4" w:space="0" w:color="auto"/>
            </w:tcBorders>
            <w:shd w:val="clear" w:color="auto" w:fill="auto"/>
            <w:vAlign w:val="center"/>
            <w:hideMark/>
          </w:tcPr>
          <w:p w14:paraId="7180226D" w14:textId="77777777" w:rsidR="00974443" w:rsidRPr="00FB241A" w:rsidRDefault="00974443" w:rsidP="00A35221">
            <w:pPr>
              <w:jc w:val="center"/>
              <w:rPr>
                <w:rFonts w:ascii="Calibri" w:hAnsi="Calibri" w:cs="Calibri"/>
                <w:b/>
                <w:sz w:val="16"/>
                <w:szCs w:val="16"/>
                <w:lang w:val="en-IN" w:eastAsia="en-IN"/>
              </w:rPr>
            </w:pPr>
            <w:r w:rsidRPr="00FB241A">
              <w:rPr>
                <w:rFonts w:ascii="Calibri" w:hAnsi="Calibri" w:cs="Calibri"/>
                <w:b/>
                <w:sz w:val="16"/>
                <w:szCs w:val="16"/>
                <w:lang w:val="en-IN" w:eastAsia="en-IN"/>
              </w:rPr>
              <w:t>17</w:t>
            </w:r>
          </w:p>
        </w:tc>
        <w:tc>
          <w:tcPr>
            <w:tcW w:w="2340" w:type="dxa"/>
            <w:tcBorders>
              <w:top w:val="nil"/>
              <w:left w:val="nil"/>
              <w:bottom w:val="single" w:sz="4" w:space="0" w:color="auto"/>
              <w:right w:val="single" w:sz="4" w:space="0" w:color="auto"/>
            </w:tcBorders>
            <w:shd w:val="clear" w:color="auto" w:fill="auto"/>
            <w:vAlign w:val="center"/>
            <w:hideMark/>
          </w:tcPr>
          <w:p w14:paraId="5BB5B5A5" w14:textId="77777777" w:rsidR="00974443" w:rsidRPr="00FB241A" w:rsidRDefault="00974443" w:rsidP="00A35221">
            <w:pPr>
              <w:rPr>
                <w:rFonts w:ascii="Calibri" w:hAnsi="Calibri" w:cs="Calibri"/>
                <w:sz w:val="16"/>
                <w:szCs w:val="16"/>
                <w:lang w:val="en-IN" w:eastAsia="en-IN"/>
              </w:rPr>
            </w:pPr>
            <w:r w:rsidRPr="00FB241A">
              <w:rPr>
                <w:rFonts w:ascii="Calibri" w:hAnsi="Calibri" w:cs="Calibri"/>
                <w:sz w:val="16"/>
                <w:szCs w:val="16"/>
                <w:lang w:val="en-IN" w:eastAsia="en-IN"/>
              </w:rPr>
              <w:t>Other Miscellaneous Schemes</w:t>
            </w:r>
          </w:p>
        </w:tc>
        <w:tc>
          <w:tcPr>
            <w:tcW w:w="780" w:type="dxa"/>
            <w:tcBorders>
              <w:top w:val="nil"/>
              <w:left w:val="nil"/>
              <w:bottom w:val="single" w:sz="4" w:space="0" w:color="auto"/>
              <w:right w:val="single" w:sz="4" w:space="0" w:color="auto"/>
            </w:tcBorders>
            <w:shd w:val="clear" w:color="auto" w:fill="auto"/>
            <w:noWrap/>
            <w:vAlign w:val="center"/>
            <w:hideMark/>
          </w:tcPr>
          <w:p w14:paraId="65065321" w14:textId="77777777" w:rsidR="00974443" w:rsidRPr="00FB241A" w:rsidRDefault="00974443" w:rsidP="00A35221">
            <w:pPr>
              <w:jc w:val="center"/>
              <w:rPr>
                <w:rFonts w:ascii="Calibri" w:hAnsi="Calibri" w:cs="Calibri"/>
                <w:sz w:val="16"/>
                <w:szCs w:val="16"/>
                <w:lang w:val="en-IN" w:eastAsia="en-IN"/>
              </w:rPr>
            </w:pPr>
            <w:r w:rsidRPr="00FB241A">
              <w:rPr>
                <w:rFonts w:ascii="Calibri" w:hAnsi="Calibri" w:cs="Calibri"/>
                <w:sz w:val="16"/>
                <w:szCs w:val="16"/>
                <w:lang w:val="en-IN" w:eastAsia="en-IN"/>
              </w:rPr>
              <w:t>0.01</w:t>
            </w:r>
          </w:p>
        </w:tc>
        <w:tc>
          <w:tcPr>
            <w:tcW w:w="780" w:type="dxa"/>
            <w:tcBorders>
              <w:top w:val="nil"/>
              <w:left w:val="nil"/>
              <w:bottom w:val="single" w:sz="4" w:space="0" w:color="auto"/>
              <w:right w:val="single" w:sz="4" w:space="0" w:color="auto"/>
            </w:tcBorders>
            <w:shd w:val="clear" w:color="auto" w:fill="auto"/>
            <w:noWrap/>
            <w:vAlign w:val="center"/>
            <w:hideMark/>
          </w:tcPr>
          <w:p w14:paraId="3EB0112C" w14:textId="77777777" w:rsidR="00974443" w:rsidRPr="00FB241A" w:rsidRDefault="00974443" w:rsidP="00A35221">
            <w:pPr>
              <w:jc w:val="center"/>
              <w:rPr>
                <w:rFonts w:ascii="Calibri" w:hAnsi="Calibri" w:cs="Calibri"/>
                <w:sz w:val="16"/>
                <w:szCs w:val="16"/>
                <w:lang w:val="en-IN" w:eastAsia="en-IN"/>
              </w:rPr>
            </w:pPr>
            <w:r w:rsidRPr="00FB241A">
              <w:rPr>
                <w:rFonts w:ascii="Calibri" w:hAnsi="Calibri" w:cs="Calibri"/>
                <w:sz w:val="16"/>
                <w:szCs w:val="16"/>
                <w:lang w:val="en-IN" w:eastAsia="en-IN"/>
              </w:rPr>
              <w:t>50.50</w:t>
            </w:r>
          </w:p>
        </w:tc>
        <w:tc>
          <w:tcPr>
            <w:tcW w:w="480" w:type="dxa"/>
            <w:tcBorders>
              <w:top w:val="nil"/>
              <w:left w:val="nil"/>
              <w:bottom w:val="single" w:sz="4" w:space="0" w:color="auto"/>
              <w:right w:val="single" w:sz="4" w:space="0" w:color="auto"/>
            </w:tcBorders>
            <w:shd w:val="clear" w:color="auto" w:fill="auto"/>
            <w:noWrap/>
            <w:vAlign w:val="center"/>
            <w:hideMark/>
          </w:tcPr>
          <w:p w14:paraId="038FAC51" w14:textId="77777777" w:rsidR="00974443" w:rsidRPr="00FB241A" w:rsidRDefault="00974443" w:rsidP="00A35221">
            <w:pPr>
              <w:jc w:val="center"/>
              <w:rPr>
                <w:rFonts w:ascii="Calibri" w:hAnsi="Calibri" w:cs="Calibri"/>
                <w:sz w:val="16"/>
                <w:szCs w:val="16"/>
                <w:lang w:val="en-IN" w:eastAsia="en-IN"/>
              </w:rPr>
            </w:pPr>
            <w:r w:rsidRPr="00FB241A">
              <w:rPr>
                <w:rFonts w:ascii="Calibri" w:hAnsi="Calibri" w:cs="Calibri"/>
                <w:sz w:val="16"/>
                <w:szCs w:val="16"/>
                <w:lang w:val="en-IN" w:eastAsia="en-IN"/>
              </w:rPr>
              <w:t>-</w:t>
            </w:r>
          </w:p>
        </w:tc>
        <w:tc>
          <w:tcPr>
            <w:tcW w:w="480" w:type="dxa"/>
            <w:tcBorders>
              <w:top w:val="nil"/>
              <w:left w:val="nil"/>
              <w:bottom w:val="single" w:sz="4" w:space="0" w:color="auto"/>
              <w:right w:val="single" w:sz="4" w:space="0" w:color="auto"/>
            </w:tcBorders>
            <w:shd w:val="clear" w:color="auto" w:fill="auto"/>
            <w:noWrap/>
            <w:vAlign w:val="center"/>
            <w:hideMark/>
          </w:tcPr>
          <w:p w14:paraId="39D23F0C" w14:textId="77777777" w:rsidR="00974443" w:rsidRPr="00FB241A" w:rsidRDefault="00974443" w:rsidP="00A35221">
            <w:pPr>
              <w:jc w:val="center"/>
              <w:rPr>
                <w:rFonts w:ascii="Calibri" w:hAnsi="Calibri" w:cs="Calibri"/>
                <w:sz w:val="16"/>
                <w:szCs w:val="16"/>
                <w:lang w:val="en-IN" w:eastAsia="en-IN"/>
              </w:rPr>
            </w:pPr>
            <w:r w:rsidRPr="00FB241A">
              <w:rPr>
                <w:rFonts w:ascii="Calibri" w:hAnsi="Calibri" w:cs="Calibri"/>
                <w:sz w:val="16"/>
                <w:szCs w:val="16"/>
                <w:lang w:val="en-IN" w:eastAsia="en-IN"/>
              </w:rPr>
              <w:t>-</w:t>
            </w:r>
          </w:p>
        </w:tc>
        <w:tc>
          <w:tcPr>
            <w:tcW w:w="780" w:type="dxa"/>
            <w:tcBorders>
              <w:top w:val="nil"/>
              <w:left w:val="nil"/>
              <w:bottom w:val="single" w:sz="4" w:space="0" w:color="auto"/>
              <w:right w:val="single" w:sz="4" w:space="0" w:color="auto"/>
            </w:tcBorders>
            <w:shd w:val="clear" w:color="auto" w:fill="auto"/>
            <w:noWrap/>
            <w:vAlign w:val="center"/>
            <w:hideMark/>
          </w:tcPr>
          <w:p w14:paraId="51C97BDC" w14:textId="77777777" w:rsidR="00974443" w:rsidRPr="00FB241A" w:rsidRDefault="00974443" w:rsidP="00A35221">
            <w:pPr>
              <w:jc w:val="center"/>
              <w:rPr>
                <w:rFonts w:ascii="Calibri" w:hAnsi="Calibri" w:cs="Calibri"/>
                <w:sz w:val="16"/>
                <w:szCs w:val="16"/>
                <w:lang w:val="en-IN" w:eastAsia="en-IN"/>
              </w:rPr>
            </w:pPr>
            <w:r w:rsidRPr="00FB241A">
              <w:rPr>
                <w:rFonts w:ascii="Calibri" w:hAnsi="Calibri" w:cs="Calibri"/>
                <w:sz w:val="16"/>
                <w:szCs w:val="16"/>
                <w:lang w:val="en-IN" w:eastAsia="en-IN"/>
              </w:rPr>
              <w:t>0.00</w:t>
            </w:r>
          </w:p>
        </w:tc>
        <w:tc>
          <w:tcPr>
            <w:tcW w:w="780" w:type="dxa"/>
            <w:tcBorders>
              <w:top w:val="nil"/>
              <w:left w:val="nil"/>
              <w:bottom w:val="single" w:sz="4" w:space="0" w:color="auto"/>
              <w:right w:val="single" w:sz="4" w:space="0" w:color="auto"/>
            </w:tcBorders>
            <w:shd w:val="clear" w:color="auto" w:fill="auto"/>
            <w:noWrap/>
            <w:vAlign w:val="center"/>
            <w:hideMark/>
          </w:tcPr>
          <w:p w14:paraId="39A19238" w14:textId="77777777" w:rsidR="00974443" w:rsidRPr="00FB241A" w:rsidRDefault="00974443" w:rsidP="00A35221">
            <w:pPr>
              <w:jc w:val="center"/>
              <w:rPr>
                <w:rFonts w:ascii="Calibri" w:hAnsi="Calibri" w:cs="Calibri"/>
                <w:sz w:val="16"/>
                <w:szCs w:val="16"/>
                <w:lang w:val="en-IN" w:eastAsia="en-IN"/>
              </w:rPr>
            </w:pPr>
            <w:r w:rsidRPr="00FB241A">
              <w:rPr>
                <w:rFonts w:ascii="Calibri" w:hAnsi="Calibri" w:cs="Calibri"/>
                <w:sz w:val="16"/>
                <w:szCs w:val="16"/>
                <w:lang w:val="en-IN" w:eastAsia="en-IN"/>
              </w:rPr>
              <w:t>50.51</w:t>
            </w:r>
          </w:p>
        </w:tc>
        <w:tc>
          <w:tcPr>
            <w:tcW w:w="700" w:type="dxa"/>
            <w:tcBorders>
              <w:top w:val="nil"/>
              <w:left w:val="nil"/>
              <w:bottom w:val="single" w:sz="4" w:space="0" w:color="auto"/>
              <w:right w:val="single" w:sz="4" w:space="0" w:color="auto"/>
            </w:tcBorders>
            <w:shd w:val="clear" w:color="auto" w:fill="auto"/>
            <w:noWrap/>
            <w:vAlign w:val="center"/>
            <w:hideMark/>
          </w:tcPr>
          <w:p w14:paraId="06734C62" w14:textId="77777777" w:rsidR="00974443" w:rsidRPr="00FB241A" w:rsidRDefault="00974443" w:rsidP="00A35221">
            <w:pPr>
              <w:jc w:val="center"/>
              <w:rPr>
                <w:rFonts w:ascii="Calibri" w:hAnsi="Calibri" w:cs="Calibri"/>
                <w:sz w:val="16"/>
                <w:szCs w:val="16"/>
                <w:lang w:val="en-IN" w:eastAsia="en-IN"/>
              </w:rPr>
            </w:pPr>
            <w:r w:rsidRPr="00FB241A">
              <w:rPr>
                <w:rFonts w:ascii="Calibri" w:hAnsi="Calibri" w:cs="Calibri"/>
                <w:sz w:val="16"/>
                <w:szCs w:val="16"/>
                <w:lang w:val="en-IN" w:eastAsia="en-IN"/>
              </w:rPr>
              <w:t>191.89</w:t>
            </w:r>
          </w:p>
        </w:tc>
        <w:tc>
          <w:tcPr>
            <w:tcW w:w="480" w:type="dxa"/>
            <w:tcBorders>
              <w:top w:val="nil"/>
              <w:left w:val="nil"/>
              <w:bottom w:val="single" w:sz="4" w:space="0" w:color="auto"/>
              <w:right w:val="single" w:sz="4" w:space="0" w:color="auto"/>
            </w:tcBorders>
            <w:shd w:val="clear" w:color="auto" w:fill="auto"/>
            <w:noWrap/>
            <w:vAlign w:val="center"/>
            <w:hideMark/>
          </w:tcPr>
          <w:p w14:paraId="1045FD82" w14:textId="77777777" w:rsidR="00974443" w:rsidRPr="00FB241A" w:rsidRDefault="00974443" w:rsidP="00A35221">
            <w:pPr>
              <w:jc w:val="center"/>
              <w:rPr>
                <w:rFonts w:ascii="Calibri" w:hAnsi="Calibri" w:cs="Calibri"/>
                <w:sz w:val="16"/>
                <w:szCs w:val="16"/>
                <w:lang w:val="en-IN" w:eastAsia="en-IN"/>
              </w:rPr>
            </w:pPr>
            <w:r w:rsidRPr="00FB241A">
              <w:rPr>
                <w:rFonts w:ascii="Calibri" w:hAnsi="Calibri" w:cs="Calibri"/>
                <w:sz w:val="16"/>
                <w:szCs w:val="16"/>
                <w:lang w:val="en-IN" w:eastAsia="en-IN"/>
              </w:rPr>
              <w:t>-</w:t>
            </w:r>
          </w:p>
        </w:tc>
        <w:tc>
          <w:tcPr>
            <w:tcW w:w="480" w:type="dxa"/>
            <w:tcBorders>
              <w:top w:val="nil"/>
              <w:left w:val="nil"/>
              <w:bottom w:val="single" w:sz="4" w:space="0" w:color="auto"/>
              <w:right w:val="single" w:sz="4" w:space="0" w:color="auto"/>
            </w:tcBorders>
            <w:shd w:val="clear" w:color="auto" w:fill="auto"/>
            <w:noWrap/>
            <w:vAlign w:val="center"/>
            <w:hideMark/>
          </w:tcPr>
          <w:p w14:paraId="681B16A7" w14:textId="77777777" w:rsidR="00974443" w:rsidRPr="00FB241A" w:rsidRDefault="00974443" w:rsidP="00A35221">
            <w:pPr>
              <w:jc w:val="center"/>
              <w:rPr>
                <w:rFonts w:ascii="Calibri" w:hAnsi="Calibri" w:cs="Calibri"/>
                <w:sz w:val="16"/>
                <w:szCs w:val="16"/>
                <w:lang w:val="en-IN" w:eastAsia="en-IN"/>
              </w:rPr>
            </w:pPr>
            <w:r w:rsidRPr="00FB241A">
              <w:rPr>
                <w:rFonts w:ascii="Calibri" w:hAnsi="Calibri" w:cs="Calibri"/>
                <w:sz w:val="16"/>
                <w:szCs w:val="16"/>
                <w:lang w:val="en-IN" w:eastAsia="en-IN"/>
              </w:rPr>
              <w:t>-</w:t>
            </w:r>
          </w:p>
        </w:tc>
        <w:tc>
          <w:tcPr>
            <w:tcW w:w="700" w:type="dxa"/>
            <w:tcBorders>
              <w:top w:val="nil"/>
              <w:left w:val="nil"/>
              <w:bottom w:val="single" w:sz="4" w:space="0" w:color="auto"/>
              <w:right w:val="single" w:sz="4" w:space="0" w:color="auto"/>
            </w:tcBorders>
            <w:shd w:val="clear" w:color="auto" w:fill="auto"/>
            <w:noWrap/>
            <w:vAlign w:val="center"/>
            <w:hideMark/>
          </w:tcPr>
          <w:p w14:paraId="7240E7DF" w14:textId="77777777" w:rsidR="00974443" w:rsidRPr="00FB241A" w:rsidRDefault="00974443" w:rsidP="00A35221">
            <w:pPr>
              <w:jc w:val="center"/>
              <w:rPr>
                <w:rFonts w:ascii="Calibri" w:hAnsi="Calibri" w:cs="Calibri"/>
                <w:sz w:val="16"/>
                <w:szCs w:val="16"/>
                <w:lang w:val="en-IN" w:eastAsia="en-IN"/>
              </w:rPr>
            </w:pPr>
            <w:r w:rsidRPr="00FB241A">
              <w:rPr>
                <w:rFonts w:ascii="Calibri" w:hAnsi="Calibri" w:cs="Calibri"/>
                <w:sz w:val="16"/>
                <w:szCs w:val="16"/>
                <w:lang w:val="en-IN" w:eastAsia="en-IN"/>
              </w:rPr>
              <w:t>50.51</w:t>
            </w:r>
          </w:p>
        </w:tc>
        <w:tc>
          <w:tcPr>
            <w:tcW w:w="780" w:type="dxa"/>
            <w:tcBorders>
              <w:top w:val="nil"/>
              <w:left w:val="nil"/>
              <w:bottom w:val="single" w:sz="4" w:space="0" w:color="auto"/>
              <w:right w:val="single" w:sz="4" w:space="0" w:color="auto"/>
            </w:tcBorders>
            <w:shd w:val="clear" w:color="auto" w:fill="auto"/>
            <w:noWrap/>
            <w:vAlign w:val="center"/>
            <w:hideMark/>
          </w:tcPr>
          <w:p w14:paraId="3F0C42BC" w14:textId="77777777" w:rsidR="00974443" w:rsidRPr="00FB241A" w:rsidRDefault="00974443" w:rsidP="00A35221">
            <w:pPr>
              <w:jc w:val="center"/>
              <w:rPr>
                <w:rFonts w:ascii="Calibri" w:hAnsi="Calibri" w:cs="Calibri"/>
                <w:sz w:val="16"/>
                <w:szCs w:val="16"/>
                <w:lang w:val="en-IN" w:eastAsia="en-IN"/>
              </w:rPr>
            </w:pPr>
            <w:r w:rsidRPr="00FB241A">
              <w:rPr>
                <w:rFonts w:ascii="Calibri" w:hAnsi="Calibri" w:cs="Calibri"/>
                <w:sz w:val="16"/>
                <w:szCs w:val="16"/>
                <w:lang w:val="en-IN" w:eastAsia="en-IN"/>
              </w:rPr>
              <w:t>191.89</w:t>
            </w:r>
          </w:p>
        </w:tc>
      </w:tr>
      <w:tr w:rsidR="00974443" w:rsidRPr="00FB241A" w14:paraId="065BF294" w14:textId="77777777" w:rsidTr="00A35221">
        <w:trPr>
          <w:trHeight w:val="300"/>
        </w:trPr>
        <w:tc>
          <w:tcPr>
            <w:tcW w:w="520" w:type="dxa"/>
            <w:tcBorders>
              <w:top w:val="nil"/>
              <w:left w:val="single" w:sz="4" w:space="0" w:color="auto"/>
              <w:bottom w:val="single" w:sz="4" w:space="0" w:color="auto"/>
              <w:right w:val="single" w:sz="4" w:space="0" w:color="auto"/>
            </w:tcBorders>
            <w:shd w:val="clear" w:color="auto" w:fill="95B3D7" w:themeFill="accent1" w:themeFillTint="99"/>
            <w:noWrap/>
            <w:vAlign w:val="center"/>
            <w:hideMark/>
          </w:tcPr>
          <w:p w14:paraId="58B32D5B" w14:textId="77777777" w:rsidR="00974443" w:rsidRPr="00FB241A" w:rsidRDefault="00974443" w:rsidP="00A35221">
            <w:pPr>
              <w:rPr>
                <w:rFonts w:ascii="Calibri" w:hAnsi="Calibri" w:cs="Calibri"/>
                <w:b/>
                <w:sz w:val="18"/>
                <w:szCs w:val="16"/>
                <w:lang w:val="en-IN" w:eastAsia="en-IN"/>
              </w:rPr>
            </w:pPr>
            <w:r w:rsidRPr="00FB241A">
              <w:rPr>
                <w:rFonts w:ascii="Calibri" w:hAnsi="Calibri" w:cs="Calibri"/>
                <w:b/>
                <w:sz w:val="18"/>
                <w:szCs w:val="16"/>
                <w:lang w:val="en-IN" w:eastAsia="en-IN"/>
              </w:rPr>
              <w:t> </w:t>
            </w:r>
          </w:p>
        </w:tc>
        <w:tc>
          <w:tcPr>
            <w:tcW w:w="2340" w:type="dxa"/>
            <w:tcBorders>
              <w:top w:val="nil"/>
              <w:left w:val="nil"/>
              <w:bottom w:val="single" w:sz="4" w:space="0" w:color="auto"/>
              <w:right w:val="single" w:sz="4" w:space="0" w:color="auto"/>
            </w:tcBorders>
            <w:shd w:val="clear" w:color="auto" w:fill="95B3D7" w:themeFill="accent1" w:themeFillTint="99"/>
            <w:vAlign w:val="center"/>
            <w:hideMark/>
          </w:tcPr>
          <w:p w14:paraId="6CDFD7D8" w14:textId="77777777" w:rsidR="00974443" w:rsidRPr="00FB241A" w:rsidRDefault="00974443" w:rsidP="00A35221">
            <w:pPr>
              <w:rPr>
                <w:rFonts w:ascii="Calibri" w:hAnsi="Calibri" w:cs="Calibri"/>
                <w:b/>
                <w:sz w:val="18"/>
                <w:szCs w:val="16"/>
                <w:lang w:val="en-IN" w:eastAsia="en-IN"/>
              </w:rPr>
            </w:pPr>
            <w:r w:rsidRPr="00FB241A">
              <w:rPr>
                <w:rFonts w:ascii="Calibri" w:hAnsi="Calibri" w:cs="Calibri"/>
                <w:b/>
                <w:sz w:val="18"/>
                <w:szCs w:val="16"/>
                <w:lang w:val="en-IN" w:eastAsia="en-IN"/>
              </w:rPr>
              <w:t>Total</w:t>
            </w:r>
          </w:p>
        </w:tc>
        <w:tc>
          <w:tcPr>
            <w:tcW w:w="780" w:type="dxa"/>
            <w:tcBorders>
              <w:top w:val="nil"/>
              <w:left w:val="nil"/>
              <w:bottom w:val="single" w:sz="4" w:space="0" w:color="auto"/>
              <w:right w:val="single" w:sz="4" w:space="0" w:color="auto"/>
            </w:tcBorders>
            <w:shd w:val="clear" w:color="auto" w:fill="95B3D7" w:themeFill="accent1" w:themeFillTint="99"/>
            <w:noWrap/>
            <w:vAlign w:val="center"/>
            <w:hideMark/>
          </w:tcPr>
          <w:p w14:paraId="626866DD" w14:textId="77777777" w:rsidR="00974443" w:rsidRPr="00FB241A" w:rsidRDefault="00974443" w:rsidP="00A35221">
            <w:pPr>
              <w:rPr>
                <w:rFonts w:ascii="Calibri" w:hAnsi="Calibri" w:cs="Calibri"/>
                <w:b/>
                <w:sz w:val="18"/>
                <w:szCs w:val="16"/>
                <w:lang w:val="en-IN" w:eastAsia="en-IN"/>
              </w:rPr>
            </w:pPr>
            <w:r w:rsidRPr="00FB241A">
              <w:rPr>
                <w:rFonts w:ascii="Calibri" w:hAnsi="Calibri" w:cs="Calibri"/>
                <w:b/>
                <w:sz w:val="18"/>
                <w:szCs w:val="16"/>
                <w:lang w:val="en-IN" w:eastAsia="en-IN"/>
              </w:rPr>
              <w:t xml:space="preserve"> 27,228 </w:t>
            </w:r>
          </w:p>
        </w:tc>
        <w:tc>
          <w:tcPr>
            <w:tcW w:w="780" w:type="dxa"/>
            <w:tcBorders>
              <w:top w:val="nil"/>
              <w:left w:val="nil"/>
              <w:bottom w:val="single" w:sz="4" w:space="0" w:color="auto"/>
              <w:right w:val="single" w:sz="4" w:space="0" w:color="auto"/>
            </w:tcBorders>
            <w:shd w:val="clear" w:color="auto" w:fill="95B3D7" w:themeFill="accent1" w:themeFillTint="99"/>
            <w:noWrap/>
            <w:vAlign w:val="center"/>
            <w:hideMark/>
          </w:tcPr>
          <w:p w14:paraId="5A3F0D9E" w14:textId="77777777" w:rsidR="00974443" w:rsidRPr="00FB241A" w:rsidRDefault="00974443" w:rsidP="00A35221">
            <w:pPr>
              <w:rPr>
                <w:rFonts w:ascii="Calibri" w:hAnsi="Calibri" w:cs="Calibri"/>
                <w:b/>
                <w:sz w:val="18"/>
                <w:szCs w:val="16"/>
                <w:lang w:val="en-IN" w:eastAsia="en-IN"/>
              </w:rPr>
            </w:pPr>
            <w:r w:rsidRPr="00FB241A">
              <w:rPr>
                <w:rFonts w:ascii="Calibri" w:hAnsi="Calibri" w:cs="Calibri"/>
                <w:b/>
                <w:sz w:val="18"/>
                <w:szCs w:val="16"/>
                <w:lang w:val="en-IN" w:eastAsia="en-IN"/>
              </w:rPr>
              <w:t xml:space="preserve"> 28,343 </w:t>
            </w:r>
          </w:p>
        </w:tc>
        <w:tc>
          <w:tcPr>
            <w:tcW w:w="480" w:type="dxa"/>
            <w:tcBorders>
              <w:top w:val="nil"/>
              <w:left w:val="nil"/>
              <w:bottom w:val="single" w:sz="4" w:space="0" w:color="auto"/>
              <w:right w:val="single" w:sz="4" w:space="0" w:color="auto"/>
            </w:tcBorders>
            <w:shd w:val="clear" w:color="auto" w:fill="95B3D7" w:themeFill="accent1" w:themeFillTint="99"/>
            <w:noWrap/>
            <w:vAlign w:val="center"/>
            <w:hideMark/>
          </w:tcPr>
          <w:p w14:paraId="3FFA3E5D" w14:textId="77777777" w:rsidR="00974443" w:rsidRPr="00FB241A" w:rsidRDefault="00974443" w:rsidP="00A35221">
            <w:pPr>
              <w:rPr>
                <w:rFonts w:ascii="Calibri" w:hAnsi="Calibri" w:cs="Calibri"/>
                <w:b/>
                <w:sz w:val="18"/>
                <w:szCs w:val="16"/>
                <w:lang w:val="en-IN" w:eastAsia="en-IN"/>
              </w:rPr>
            </w:pPr>
            <w:r w:rsidRPr="00FB241A">
              <w:rPr>
                <w:rFonts w:ascii="Calibri" w:hAnsi="Calibri" w:cs="Calibri"/>
                <w:b/>
                <w:sz w:val="18"/>
                <w:szCs w:val="16"/>
                <w:lang w:val="en-IN" w:eastAsia="en-IN"/>
              </w:rPr>
              <w:t xml:space="preserve">    -   </w:t>
            </w:r>
          </w:p>
        </w:tc>
        <w:tc>
          <w:tcPr>
            <w:tcW w:w="480" w:type="dxa"/>
            <w:tcBorders>
              <w:top w:val="nil"/>
              <w:left w:val="nil"/>
              <w:bottom w:val="single" w:sz="4" w:space="0" w:color="auto"/>
              <w:right w:val="single" w:sz="4" w:space="0" w:color="auto"/>
            </w:tcBorders>
            <w:shd w:val="clear" w:color="auto" w:fill="95B3D7" w:themeFill="accent1" w:themeFillTint="99"/>
            <w:noWrap/>
            <w:vAlign w:val="center"/>
            <w:hideMark/>
          </w:tcPr>
          <w:p w14:paraId="7E375910" w14:textId="77777777" w:rsidR="00974443" w:rsidRPr="00FB241A" w:rsidRDefault="00974443" w:rsidP="00A35221">
            <w:pPr>
              <w:rPr>
                <w:rFonts w:ascii="Calibri" w:hAnsi="Calibri" w:cs="Calibri"/>
                <w:b/>
                <w:sz w:val="18"/>
                <w:szCs w:val="16"/>
                <w:lang w:val="en-IN" w:eastAsia="en-IN"/>
              </w:rPr>
            </w:pPr>
            <w:r w:rsidRPr="00FB241A">
              <w:rPr>
                <w:rFonts w:ascii="Calibri" w:hAnsi="Calibri" w:cs="Calibri"/>
                <w:b/>
                <w:sz w:val="18"/>
                <w:szCs w:val="16"/>
                <w:lang w:val="en-IN" w:eastAsia="en-IN"/>
              </w:rPr>
              <w:t xml:space="preserve">    -   </w:t>
            </w:r>
          </w:p>
        </w:tc>
        <w:tc>
          <w:tcPr>
            <w:tcW w:w="780" w:type="dxa"/>
            <w:tcBorders>
              <w:top w:val="nil"/>
              <w:left w:val="nil"/>
              <w:bottom w:val="single" w:sz="4" w:space="0" w:color="auto"/>
              <w:right w:val="single" w:sz="4" w:space="0" w:color="auto"/>
            </w:tcBorders>
            <w:shd w:val="clear" w:color="auto" w:fill="95B3D7" w:themeFill="accent1" w:themeFillTint="99"/>
            <w:noWrap/>
            <w:vAlign w:val="center"/>
            <w:hideMark/>
          </w:tcPr>
          <w:p w14:paraId="2C60AE81" w14:textId="77777777" w:rsidR="00974443" w:rsidRPr="00FB241A" w:rsidRDefault="00974443" w:rsidP="00A35221">
            <w:pPr>
              <w:rPr>
                <w:rFonts w:ascii="Calibri" w:hAnsi="Calibri" w:cs="Calibri"/>
                <w:b/>
                <w:sz w:val="18"/>
                <w:szCs w:val="16"/>
                <w:lang w:val="en-IN" w:eastAsia="en-IN"/>
              </w:rPr>
            </w:pPr>
            <w:r w:rsidRPr="00FB241A">
              <w:rPr>
                <w:rFonts w:ascii="Calibri" w:hAnsi="Calibri" w:cs="Calibri"/>
                <w:b/>
                <w:sz w:val="18"/>
                <w:szCs w:val="16"/>
                <w:lang w:val="en-IN" w:eastAsia="en-IN"/>
              </w:rPr>
              <w:t xml:space="preserve"> 25,361 </w:t>
            </w:r>
          </w:p>
        </w:tc>
        <w:tc>
          <w:tcPr>
            <w:tcW w:w="780" w:type="dxa"/>
            <w:tcBorders>
              <w:top w:val="nil"/>
              <w:left w:val="nil"/>
              <w:bottom w:val="single" w:sz="4" w:space="0" w:color="auto"/>
              <w:right w:val="single" w:sz="4" w:space="0" w:color="auto"/>
            </w:tcBorders>
            <w:shd w:val="clear" w:color="auto" w:fill="95B3D7" w:themeFill="accent1" w:themeFillTint="99"/>
            <w:noWrap/>
            <w:vAlign w:val="center"/>
            <w:hideMark/>
          </w:tcPr>
          <w:p w14:paraId="14134FBA" w14:textId="77777777" w:rsidR="00974443" w:rsidRPr="00FB241A" w:rsidRDefault="00974443" w:rsidP="00A35221">
            <w:pPr>
              <w:rPr>
                <w:rFonts w:ascii="Calibri" w:hAnsi="Calibri" w:cs="Calibri"/>
                <w:b/>
                <w:sz w:val="18"/>
                <w:szCs w:val="16"/>
                <w:lang w:val="en-IN" w:eastAsia="en-IN"/>
              </w:rPr>
            </w:pPr>
            <w:r w:rsidRPr="00FB241A">
              <w:rPr>
                <w:rFonts w:ascii="Calibri" w:hAnsi="Calibri" w:cs="Calibri"/>
                <w:b/>
                <w:sz w:val="18"/>
                <w:szCs w:val="16"/>
                <w:lang w:val="en-IN" w:eastAsia="en-IN"/>
              </w:rPr>
              <w:t xml:space="preserve"> 30,209 </w:t>
            </w:r>
          </w:p>
        </w:tc>
        <w:tc>
          <w:tcPr>
            <w:tcW w:w="700" w:type="dxa"/>
            <w:tcBorders>
              <w:top w:val="nil"/>
              <w:left w:val="nil"/>
              <w:bottom w:val="single" w:sz="4" w:space="0" w:color="auto"/>
              <w:right w:val="single" w:sz="4" w:space="0" w:color="auto"/>
            </w:tcBorders>
            <w:shd w:val="clear" w:color="auto" w:fill="95B3D7" w:themeFill="accent1" w:themeFillTint="99"/>
            <w:noWrap/>
            <w:vAlign w:val="center"/>
            <w:hideMark/>
          </w:tcPr>
          <w:p w14:paraId="43E64346" w14:textId="77777777" w:rsidR="00974443" w:rsidRPr="00FB241A" w:rsidRDefault="00974443" w:rsidP="00A35221">
            <w:pPr>
              <w:rPr>
                <w:rFonts w:ascii="Calibri" w:hAnsi="Calibri" w:cs="Calibri"/>
                <w:b/>
                <w:sz w:val="18"/>
                <w:szCs w:val="16"/>
                <w:lang w:val="en-IN" w:eastAsia="en-IN"/>
              </w:rPr>
            </w:pPr>
            <w:r w:rsidRPr="00FB241A">
              <w:rPr>
                <w:rFonts w:ascii="Calibri" w:hAnsi="Calibri" w:cs="Calibri"/>
                <w:b/>
                <w:sz w:val="18"/>
                <w:szCs w:val="16"/>
                <w:lang w:val="en-IN" w:eastAsia="en-IN"/>
              </w:rPr>
              <w:t xml:space="preserve">  7,724 </w:t>
            </w:r>
          </w:p>
        </w:tc>
        <w:tc>
          <w:tcPr>
            <w:tcW w:w="480" w:type="dxa"/>
            <w:tcBorders>
              <w:top w:val="nil"/>
              <w:left w:val="nil"/>
              <w:bottom w:val="single" w:sz="4" w:space="0" w:color="auto"/>
              <w:right w:val="single" w:sz="4" w:space="0" w:color="auto"/>
            </w:tcBorders>
            <w:shd w:val="clear" w:color="auto" w:fill="95B3D7" w:themeFill="accent1" w:themeFillTint="99"/>
            <w:noWrap/>
            <w:vAlign w:val="center"/>
            <w:hideMark/>
          </w:tcPr>
          <w:p w14:paraId="73AFB0D0" w14:textId="77777777" w:rsidR="00974443" w:rsidRPr="00FB241A" w:rsidRDefault="00974443" w:rsidP="00A35221">
            <w:pPr>
              <w:rPr>
                <w:rFonts w:ascii="Calibri" w:hAnsi="Calibri" w:cs="Calibri"/>
                <w:b/>
                <w:sz w:val="18"/>
                <w:szCs w:val="16"/>
                <w:lang w:val="en-IN" w:eastAsia="en-IN"/>
              </w:rPr>
            </w:pPr>
            <w:r w:rsidRPr="00FB241A">
              <w:rPr>
                <w:rFonts w:ascii="Calibri" w:hAnsi="Calibri" w:cs="Calibri"/>
                <w:b/>
                <w:sz w:val="18"/>
                <w:szCs w:val="16"/>
                <w:lang w:val="en-IN" w:eastAsia="en-IN"/>
              </w:rPr>
              <w:t>-</w:t>
            </w:r>
          </w:p>
        </w:tc>
        <w:tc>
          <w:tcPr>
            <w:tcW w:w="480" w:type="dxa"/>
            <w:tcBorders>
              <w:top w:val="nil"/>
              <w:left w:val="nil"/>
              <w:bottom w:val="single" w:sz="4" w:space="0" w:color="auto"/>
              <w:right w:val="single" w:sz="4" w:space="0" w:color="auto"/>
            </w:tcBorders>
            <w:shd w:val="clear" w:color="auto" w:fill="95B3D7" w:themeFill="accent1" w:themeFillTint="99"/>
            <w:noWrap/>
            <w:vAlign w:val="center"/>
            <w:hideMark/>
          </w:tcPr>
          <w:p w14:paraId="361F1A58" w14:textId="77777777" w:rsidR="00974443" w:rsidRPr="00FB241A" w:rsidRDefault="00974443" w:rsidP="00A35221">
            <w:pPr>
              <w:rPr>
                <w:rFonts w:ascii="Calibri" w:hAnsi="Calibri" w:cs="Calibri"/>
                <w:b/>
                <w:sz w:val="18"/>
                <w:szCs w:val="16"/>
                <w:lang w:val="en-IN" w:eastAsia="en-IN"/>
              </w:rPr>
            </w:pPr>
            <w:r w:rsidRPr="00FB241A">
              <w:rPr>
                <w:rFonts w:ascii="Calibri" w:hAnsi="Calibri" w:cs="Calibri"/>
                <w:b/>
                <w:sz w:val="18"/>
                <w:szCs w:val="16"/>
                <w:lang w:val="en-IN" w:eastAsia="en-IN"/>
              </w:rPr>
              <w:t>-</w:t>
            </w:r>
          </w:p>
        </w:tc>
        <w:tc>
          <w:tcPr>
            <w:tcW w:w="700" w:type="dxa"/>
            <w:tcBorders>
              <w:top w:val="nil"/>
              <w:left w:val="nil"/>
              <w:bottom w:val="single" w:sz="4" w:space="0" w:color="auto"/>
              <w:right w:val="single" w:sz="4" w:space="0" w:color="auto"/>
            </w:tcBorders>
            <w:shd w:val="clear" w:color="auto" w:fill="95B3D7" w:themeFill="accent1" w:themeFillTint="99"/>
            <w:noWrap/>
            <w:vAlign w:val="center"/>
            <w:hideMark/>
          </w:tcPr>
          <w:p w14:paraId="62426255" w14:textId="77777777" w:rsidR="00974443" w:rsidRPr="00FB241A" w:rsidRDefault="00974443" w:rsidP="00A35221">
            <w:pPr>
              <w:rPr>
                <w:rFonts w:ascii="Calibri" w:hAnsi="Calibri" w:cs="Calibri"/>
                <w:b/>
                <w:sz w:val="18"/>
                <w:szCs w:val="16"/>
                <w:lang w:val="en-IN" w:eastAsia="en-IN"/>
              </w:rPr>
            </w:pPr>
            <w:r w:rsidRPr="00FB241A">
              <w:rPr>
                <w:rFonts w:ascii="Calibri" w:hAnsi="Calibri" w:cs="Calibri"/>
                <w:b/>
                <w:sz w:val="18"/>
                <w:szCs w:val="16"/>
                <w:lang w:val="en-IN" w:eastAsia="en-IN"/>
              </w:rPr>
              <w:t xml:space="preserve">  4,638 </w:t>
            </w:r>
          </w:p>
        </w:tc>
        <w:tc>
          <w:tcPr>
            <w:tcW w:w="780" w:type="dxa"/>
            <w:tcBorders>
              <w:top w:val="nil"/>
              <w:left w:val="nil"/>
              <w:bottom w:val="single" w:sz="4" w:space="0" w:color="auto"/>
              <w:right w:val="single" w:sz="4" w:space="0" w:color="auto"/>
            </w:tcBorders>
            <w:shd w:val="clear" w:color="auto" w:fill="95B3D7" w:themeFill="accent1" w:themeFillTint="99"/>
            <w:noWrap/>
            <w:vAlign w:val="center"/>
            <w:hideMark/>
          </w:tcPr>
          <w:p w14:paraId="27C331D8" w14:textId="77777777" w:rsidR="00974443" w:rsidRPr="00FB241A" w:rsidRDefault="00974443" w:rsidP="00A35221">
            <w:pPr>
              <w:rPr>
                <w:rFonts w:ascii="Calibri" w:hAnsi="Calibri" w:cs="Calibri"/>
                <w:b/>
                <w:sz w:val="18"/>
                <w:szCs w:val="16"/>
                <w:lang w:val="en-IN" w:eastAsia="en-IN"/>
              </w:rPr>
            </w:pPr>
            <w:r w:rsidRPr="00FB241A">
              <w:rPr>
                <w:rFonts w:ascii="Calibri" w:hAnsi="Calibri" w:cs="Calibri"/>
                <w:b/>
                <w:sz w:val="18"/>
                <w:szCs w:val="16"/>
                <w:lang w:val="en-IN" w:eastAsia="en-IN"/>
              </w:rPr>
              <w:t xml:space="preserve"> 33,296 </w:t>
            </w:r>
          </w:p>
        </w:tc>
      </w:tr>
    </w:tbl>
    <w:p w14:paraId="142DA23D" w14:textId="77777777" w:rsidR="00974443" w:rsidRPr="00D6050D" w:rsidRDefault="00974443" w:rsidP="00974443">
      <w:pPr>
        <w:spacing w:after="120" w:line="360" w:lineRule="auto"/>
        <w:ind w:right="142"/>
        <w:jc w:val="both"/>
        <w:rPr>
          <w:rFonts w:ascii="Calibri" w:hAnsi="Calibri" w:cs="Calibri"/>
          <w:b/>
          <w:sz w:val="22"/>
          <w:szCs w:val="22"/>
        </w:rPr>
      </w:pPr>
    </w:p>
    <w:p w14:paraId="35B5BB74" w14:textId="3E925A35" w:rsidR="00974443" w:rsidRPr="00C369B5" w:rsidRDefault="00996459" w:rsidP="00974443">
      <w:pPr>
        <w:spacing w:after="120" w:line="360" w:lineRule="auto"/>
        <w:ind w:left="567" w:right="142"/>
        <w:jc w:val="both"/>
        <w:rPr>
          <w:rFonts w:ascii="Calibri" w:hAnsi="Calibri" w:cs="Calibri"/>
          <w:b/>
          <w:szCs w:val="22"/>
        </w:rPr>
      </w:pPr>
      <w:r>
        <w:rPr>
          <w:rFonts w:ascii="Calibri" w:hAnsi="Calibri" w:cs="Calibri"/>
          <w:b/>
          <w:szCs w:val="22"/>
        </w:rPr>
        <w:t>2</w:t>
      </w:r>
      <w:r w:rsidR="00974443" w:rsidRPr="00C369B5">
        <w:rPr>
          <w:rFonts w:ascii="Calibri" w:hAnsi="Calibri" w:cs="Calibri"/>
          <w:b/>
          <w:szCs w:val="22"/>
        </w:rPr>
        <w:t>.</w:t>
      </w:r>
      <w:r w:rsidR="00C369B5" w:rsidRPr="00C369B5">
        <w:rPr>
          <w:rFonts w:ascii="Calibri" w:hAnsi="Calibri" w:cs="Calibri"/>
          <w:b/>
          <w:szCs w:val="22"/>
        </w:rPr>
        <w:t>1</w:t>
      </w:r>
      <w:r>
        <w:rPr>
          <w:rFonts w:ascii="Calibri" w:hAnsi="Calibri" w:cs="Calibri"/>
          <w:b/>
          <w:szCs w:val="22"/>
        </w:rPr>
        <w:t>1.2</w:t>
      </w:r>
      <w:r w:rsidR="00974443" w:rsidRPr="00C369B5">
        <w:rPr>
          <w:rFonts w:ascii="Calibri" w:hAnsi="Calibri" w:cs="Calibri"/>
          <w:b/>
          <w:szCs w:val="22"/>
        </w:rPr>
        <w:t xml:space="preserve"> Additional</w:t>
      </w:r>
      <w:r w:rsidR="00974443" w:rsidRPr="00C369B5">
        <w:rPr>
          <w:rFonts w:ascii="Calibri" w:hAnsi="Calibri" w:cs="Calibri"/>
          <w:b/>
          <w:spacing w:val="-4"/>
          <w:szCs w:val="22"/>
        </w:rPr>
        <w:t xml:space="preserve"> </w:t>
      </w:r>
      <w:r w:rsidR="00974443" w:rsidRPr="00C369B5">
        <w:rPr>
          <w:rFonts w:ascii="Calibri" w:hAnsi="Calibri" w:cs="Calibri"/>
          <w:b/>
          <w:szCs w:val="22"/>
        </w:rPr>
        <w:t>Capitalization</w:t>
      </w:r>
      <w:r w:rsidR="00974443" w:rsidRPr="00C369B5">
        <w:rPr>
          <w:rFonts w:ascii="Calibri" w:hAnsi="Calibri" w:cs="Calibri"/>
          <w:b/>
          <w:spacing w:val="-3"/>
          <w:szCs w:val="22"/>
        </w:rPr>
        <w:t xml:space="preserve"> </w:t>
      </w:r>
      <w:r w:rsidR="00974443" w:rsidRPr="00C369B5">
        <w:rPr>
          <w:rFonts w:ascii="Calibri" w:hAnsi="Calibri" w:cs="Calibri"/>
          <w:b/>
          <w:szCs w:val="22"/>
        </w:rPr>
        <w:t>to</w:t>
      </w:r>
      <w:r w:rsidR="00974443" w:rsidRPr="00C369B5">
        <w:rPr>
          <w:rFonts w:ascii="Calibri" w:hAnsi="Calibri" w:cs="Calibri"/>
          <w:b/>
          <w:spacing w:val="-5"/>
          <w:szCs w:val="22"/>
        </w:rPr>
        <w:t xml:space="preserve"> </w:t>
      </w:r>
      <w:r w:rsidR="00974443" w:rsidRPr="00C369B5">
        <w:rPr>
          <w:rFonts w:ascii="Calibri" w:hAnsi="Calibri" w:cs="Calibri"/>
          <w:b/>
          <w:szCs w:val="22"/>
        </w:rPr>
        <w:t>Compensate</w:t>
      </w:r>
      <w:r w:rsidR="00974443" w:rsidRPr="00C369B5">
        <w:rPr>
          <w:rFonts w:ascii="Calibri" w:hAnsi="Calibri" w:cs="Calibri"/>
          <w:b/>
          <w:spacing w:val="-4"/>
          <w:szCs w:val="22"/>
        </w:rPr>
        <w:t xml:space="preserve"> </w:t>
      </w:r>
      <w:r w:rsidR="00974443" w:rsidRPr="00C369B5">
        <w:rPr>
          <w:rFonts w:ascii="Calibri" w:hAnsi="Calibri" w:cs="Calibri"/>
          <w:b/>
          <w:szCs w:val="22"/>
        </w:rPr>
        <w:t>the</w:t>
      </w:r>
      <w:r w:rsidR="00974443" w:rsidRPr="00C369B5">
        <w:rPr>
          <w:rFonts w:ascii="Calibri" w:hAnsi="Calibri" w:cs="Calibri"/>
          <w:b/>
          <w:spacing w:val="-4"/>
          <w:szCs w:val="22"/>
        </w:rPr>
        <w:t xml:space="preserve"> </w:t>
      </w:r>
      <w:r w:rsidR="00974443" w:rsidRPr="00C369B5">
        <w:rPr>
          <w:rFonts w:ascii="Calibri" w:hAnsi="Calibri" w:cs="Calibri"/>
          <w:b/>
          <w:szCs w:val="22"/>
        </w:rPr>
        <w:t>Contribution</w:t>
      </w:r>
      <w:r w:rsidR="00974443" w:rsidRPr="00C369B5">
        <w:rPr>
          <w:rFonts w:ascii="Calibri" w:hAnsi="Calibri" w:cs="Calibri"/>
          <w:b/>
          <w:spacing w:val="-3"/>
          <w:szCs w:val="22"/>
        </w:rPr>
        <w:t xml:space="preserve"> </w:t>
      </w:r>
      <w:r w:rsidR="00974443" w:rsidRPr="00C369B5">
        <w:rPr>
          <w:rFonts w:ascii="Calibri" w:hAnsi="Calibri" w:cs="Calibri"/>
          <w:b/>
          <w:szCs w:val="22"/>
        </w:rPr>
        <w:t>of</w:t>
      </w:r>
      <w:r w:rsidR="00974443" w:rsidRPr="00C369B5">
        <w:rPr>
          <w:rFonts w:ascii="Calibri" w:hAnsi="Calibri" w:cs="Calibri"/>
          <w:b/>
          <w:spacing w:val="3"/>
          <w:szCs w:val="22"/>
        </w:rPr>
        <w:t xml:space="preserve"> </w:t>
      </w:r>
      <w:r w:rsidR="00974443" w:rsidRPr="00C369B5">
        <w:rPr>
          <w:rFonts w:ascii="Calibri" w:hAnsi="Calibri" w:cs="Calibri"/>
          <w:b/>
          <w:szCs w:val="22"/>
        </w:rPr>
        <w:t>GRIDCO</w:t>
      </w:r>
    </w:p>
    <w:p w14:paraId="17E51AF3" w14:textId="77777777" w:rsidR="00974443" w:rsidRPr="00D6050D" w:rsidRDefault="00974443" w:rsidP="00974443">
      <w:pPr>
        <w:spacing w:after="120" w:line="360" w:lineRule="auto"/>
        <w:ind w:left="567" w:right="1"/>
        <w:jc w:val="both"/>
        <w:rPr>
          <w:rFonts w:ascii="Calibri" w:hAnsi="Calibri" w:cs="Calibri"/>
          <w:sz w:val="22"/>
          <w:szCs w:val="22"/>
        </w:rPr>
      </w:pPr>
      <w:r w:rsidRPr="00D6050D">
        <w:rPr>
          <w:rFonts w:ascii="Calibri" w:hAnsi="Calibri" w:cs="Calibri"/>
          <w:sz w:val="22"/>
          <w:szCs w:val="22"/>
        </w:rPr>
        <w:t>The capital expenditure would be required to be financed in the ratio of 70 % (Debt) and 30%</w:t>
      </w:r>
      <w:r w:rsidRPr="00D6050D">
        <w:rPr>
          <w:rFonts w:ascii="Calibri" w:hAnsi="Calibri" w:cs="Calibri"/>
          <w:spacing w:val="1"/>
          <w:sz w:val="22"/>
          <w:szCs w:val="22"/>
        </w:rPr>
        <w:t xml:space="preserve"> </w:t>
      </w:r>
      <w:r w:rsidRPr="00D6050D">
        <w:rPr>
          <w:rFonts w:ascii="Calibri" w:hAnsi="Calibri" w:cs="Calibri"/>
          <w:sz w:val="22"/>
          <w:szCs w:val="22"/>
        </w:rPr>
        <w:t>(Equity) other than depreciation on existing assets (as mentioned below). Since TPNODL has the</w:t>
      </w:r>
      <w:r w:rsidRPr="00D6050D">
        <w:rPr>
          <w:rFonts w:ascii="Calibri" w:hAnsi="Calibri" w:cs="Calibri"/>
          <w:spacing w:val="1"/>
          <w:sz w:val="22"/>
          <w:szCs w:val="22"/>
        </w:rPr>
        <w:t xml:space="preserve"> </w:t>
      </w:r>
      <w:r w:rsidRPr="00D6050D">
        <w:rPr>
          <w:rFonts w:ascii="Calibri" w:hAnsi="Calibri" w:cs="Calibri"/>
          <w:sz w:val="22"/>
          <w:szCs w:val="22"/>
        </w:rPr>
        <w:t xml:space="preserve">shareholding </w:t>
      </w:r>
      <w:r w:rsidRPr="00D6050D">
        <w:rPr>
          <w:rFonts w:ascii="Calibri" w:hAnsi="Calibri" w:cs="Calibri"/>
          <w:sz w:val="22"/>
          <w:szCs w:val="22"/>
        </w:rPr>
        <w:lastRenderedPageBreak/>
        <w:t>of Tata Power (51%) and GRIDCO (49%), in order to maintain 49% stake in the</w:t>
      </w:r>
      <w:r w:rsidRPr="00D6050D">
        <w:rPr>
          <w:rFonts w:ascii="Calibri" w:hAnsi="Calibri" w:cs="Calibri"/>
          <w:spacing w:val="1"/>
          <w:sz w:val="22"/>
          <w:szCs w:val="22"/>
        </w:rPr>
        <w:t xml:space="preserve"> </w:t>
      </w:r>
      <w:r w:rsidRPr="00D6050D">
        <w:rPr>
          <w:rFonts w:ascii="Calibri" w:hAnsi="Calibri" w:cs="Calibri"/>
          <w:sz w:val="22"/>
          <w:szCs w:val="22"/>
        </w:rPr>
        <w:t>company, GRIDCO</w:t>
      </w:r>
      <w:r w:rsidRPr="00D6050D">
        <w:rPr>
          <w:rFonts w:ascii="Calibri" w:hAnsi="Calibri" w:cs="Calibri"/>
          <w:spacing w:val="-1"/>
          <w:sz w:val="22"/>
          <w:szCs w:val="22"/>
        </w:rPr>
        <w:t xml:space="preserve"> </w:t>
      </w:r>
      <w:r w:rsidRPr="00D6050D">
        <w:rPr>
          <w:rFonts w:ascii="Calibri" w:hAnsi="Calibri" w:cs="Calibri"/>
          <w:sz w:val="22"/>
          <w:szCs w:val="22"/>
        </w:rPr>
        <w:t>would</w:t>
      </w:r>
      <w:r w:rsidRPr="00D6050D">
        <w:rPr>
          <w:rFonts w:ascii="Calibri" w:hAnsi="Calibri" w:cs="Calibri"/>
          <w:spacing w:val="-2"/>
          <w:sz w:val="22"/>
          <w:szCs w:val="22"/>
        </w:rPr>
        <w:t xml:space="preserve"> </w:t>
      </w:r>
      <w:r w:rsidRPr="00D6050D">
        <w:rPr>
          <w:rFonts w:ascii="Calibri" w:hAnsi="Calibri" w:cs="Calibri"/>
          <w:sz w:val="22"/>
          <w:szCs w:val="22"/>
        </w:rPr>
        <w:t>be</w:t>
      </w:r>
      <w:r w:rsidRPr="00D6050D">
        <w:rPr>
          <w:rFonts w:ascii="Calibri" w:hAnsi="Calibri" w:cs="Calibri"/>
          <w:spacing w:val="-2"/>
          <w:sz w:val="22"/>
          <w:szCs w:val="22"/>
        </w:rPr>
        <w:t xml:space="preserve"> </w:t>
      </w:r>
      <w:r w:rsidRPr="00D6050D">
        <w:rPr>
          <w:rFonts w:ascii="Calibri" w:hAnsi="Calibri" w:cs="Calibri"/>
          <w:sz w:val="22"/>
          <w:szCs w:val="22"/>
        </w:rPr>
        <w:t>required</w:t>
      </w:r>
      <w:r w:rsidRPr="00D6050D">
        <w:rPr>
          <w:rFonts w:ascii="Calibri" w:hAnsi="Calibri" w:cs="Calibri"/>
          <w:spacing w:val="-1"/>
          <w:sz w:val="22"/>
          <w:szCs w:val="22"/>
        </w:rPr>
        <w:t xml:space="preserve"> </w:t>
      </w:r>
      <w:r w:rsidRPr="00D6050D">
        <w:rPr>
          <w:rFonts w:ascii="Calibri" w:hAnsi="Calibri" w:cs="Calibri"/>
          <w:sz w:val="22"/>
          <w:szCs w:val="22"/>
        </w:rPr>
        <w:t>to contribute 49%</w:t>
      </w:r>
      <w:r w:rsidRPr="00D6050D">
        <w:rPr>
          <w:rFonts w:ascii="Calibri" w:hAnsi="Calibri" w:cs="Calibri"/>
          <w:spacing w:val="-2"/>
          <w:sz w:val="22"/>
          <w:szCs w:val="22"/>
        </w:rPr>
        <w:t xml:space="preserve"> </w:t>
      </w:r>
      <w:r w:rsidRPr="00D6050D">
        <w:rPr>
          <w:rFonts w:ascii="Calibri" w:hAnsi="Calibri" w:cs="Calibri"/>
          <w:sz w:val="22"/>
          <w:szCs w:val="22"/>
        </w:rPr>
        <w:t>of such</w:t>
      </w:r>
      <w:r w:rsidRPr="00D6050D">
        <w:rPr>
          <w:rFonts w:ascii="Calibri" w:hAnsi="Calibri" w:cs="Calibri"/>
          <w:spacing w:val="1"/>
          <w:sz w:val="22"/>
          <w:szCs w:val="22"/>
        </w:rPr>
        <w:t xml:space="preserve"> </w:t>
      </w:r>
      <w:r w:rsidRPr="00D6050D">
        <w:rPr>
          <w:rFonts w:ascii="Calibri" w:hAnsi="Calibri" w:cs="Calibri"/>
          <w:sz w:val="22"/>
          <w:szCs w:val="22"/>
        </w:rPr>
        <w:t>equity.</w:t>
      </w:r>
    </w:p>
    <w:p w14:paraId="4B478C88" w14:textId="77777777" w:rsidR="00974443" w:rsidRPr="00D6050D" w:rsidRDefault="00974443" w:rsidP="00974443">
      <w:pPr>
        <w:spacing w:after="120" w:line="360" w:lineRule="auto"/>
        <w:ind w:left="567" w:right="1"/>
        <w:jc w:val="both"/>
        <w:rPr>
          <w:rFonts w:ascii="Calibri" w:hAnsi="Calibri" w:cs="Calibri"/>
          <w:sz w:val="22"/>
          <w:szCs w:val="22"/>
        </w:rPr>
      </w:pPr>
      <w:r w:rsidRPr="00D6050D">
        <w:rPr>
          <w:rFonts w:ascii="Calibri" w:hAnsi="Calibri" w:cs="Calibri"/>
          <w:sz w:val="22"/>
          <w:szCs w:val="22"/>
        </w:rPr>
        <w:t>However instead of contributing such equity in cash, GRIDCO may like to contribute such equity</w:t>
      </w:r>
      <w:r w:rsidRPr="00D6050D">
        <w:rPr>
          <w:rFonts w:ascii="Calibri" w:hAnsi="Calibri" w:cs="Calibri"/>
          <w:spacing w:val="1"/>
          <w:sz w:val="22"/>
          <w:szCs w:val="22"/>
        </w:rPr>
        <w:t xml:space="preserve"> </w:t>
      </w:r>
      <w:r w:rsidRPr="00D6050D">
        <w:rPr>
          <w:rFonts w:ascii="Calibri" w:hAnsi="Calibri" w:cs="Calibri"/>
          <w:sz w:val="22"/>
          <w:szCs w:val="22"/>
        </w:rPr>
        <w:t>in kind.</w:t>
      </w:r>
      <w:r w:rsidRPr="00D6050D">
        <w:rPr>
          <w:rFonts w:ascii="Calibri" w:hAnsi="Calibri" w:cs="Calibri"/>
          <w:spacing w:val="1"/>
          <w:sz w:val="22"/>
          <w:szCs w:val="22"/>
        </w:rPr>
        <w:t xml:space="preserve"> </w:t>
      </w:r>
      <w:r w:rsidRPr="00D6050D">
        <w:rPr>
          <w:rFonts w:ascii="Calibri" w:hAnsi="Calibri" w:cs="Calibri"/>
          <w:sz w:val="22"/>
          <w:szCs w:val="22"/>
        </w:rPr>
        <w:t>It is further submitted that unless the capital expenditure resources are raised to the full</w:t>
      </w:r>
      <w:r w:rsidRPr="00D6050D">
        <w:rPr>
          <w:rFonts w:ascii="Calibri" w:hAnsi="Calibri" w:cs="Calibri"/>
          <w:spacing w:val="-52"/>
          <w:sz w:val="22"/>
          <w:szCs w:val="22"/>
        </w:rPr>
        <w:t xml:space="preserve"> </w:t>
      </w:r>
      <w:r w:rsidRPr="00D6050D">
        <w:rPr>
          <w:rFonts w:ascii="Calibri" w:hAnsi="Calibri" w:cs="Calibri"/>
          <w:sz w:val="22"/>
          <w:szCs w:val="22"/>
        </w:rPr>
        <w:t>in</w:t>
      </w:r>
      <w:r w:rsidRPr="00D6050D">
        <w:rPr>
          <w:rFonts w:ascii="Calibri" w:hAnsi="Calibri" w:cs="Calibri"/>
          <w:spacing w:val="11"/>
          <w:sz w:val="22"/>
          <w:szCs w:val="22"/>
        </w:rPr>
        <w:t xml:space="preserve"> </w:t>
      </w:r>
      <w:r w:rsidRPr="00D6050D">
        <w:rPr>
          <w:rFonts w:ascii="Calibri" w:hAnsi="Calibri" w:cs="Calibri"/>
          <w:sz w:val="22"/>
          <w:szCs w:val="22"/>
        </w:rPr>
        <w:t>terms</w:t>
      </w:r>
      <w:r w:rsidRPr="00D6050D">
        <w:rPr>
          <w:rFonts w:ascii="Calibri" w:hAnsi="Calibri" w:cs="Calibri"/>
          <w:spacing w:val="11"/>
          <w:sz w:val="22"/>
          <w:szCs w:val="22"/>
        </w:rPr>
        <w:t xml:space="preserve"> </w:t>
      </w:r>
      <w:r w:rsidRPr="00D6050D">
        <w:rPr>
          <w:rFonts w:ascii="Calibri" w:hAnsi="Calibri" w:cs="Calibri"/>
          <w:sz w:val="22"/>
          <w:szCs w:val="22"/>
        </w:rPr>
        <w:t>of</w:t>
      </w:r>
      <w:r w:rsidRPr="00D6050D">
        <w:rPr>
          <w:rFonts w:ascii="Calibri" w:hAnsi="Calibri" w:cs="Calibri"/>
          <w:spacing w:val="12"/>
          <w:sz w:val="22"/>
          <w:szCs w:val="22"/>
        </w:rPr>
        <w:t xml:space="preserve"> </w:t>
      </w:r>
      <w:r w:rsidRPr="00D6050D">
        <w:rPr>
          <w:rFonts w:ascii="Calibri" w:hAnsi="Calibri" w:cs="Calibri"/>
          <w:sz w:val="22"/>
          <w:szCs w:val="22"/>
        </w:rPr>
        <w:t>Debt</w:t>
      </w:r>
      <w:r w:rsidRPr="00D6050D">
        <w:rPr>
          <w:rFonts w:ascii="Calibri" w:hAnsi="Calibri" w:cs="Calibri"/>
          <w:spacing w:val="11"/>
          <w:sz w:val="22"/>
          <w:szCs w:val="22"/>
        </w:rPr>
        <w:t xml:space="preserve"> </w:t>
      </w:r>
      <w:r w:rsidRPr="00D6050D">
        <w:rPr>
          <w:rFonts w:ascii="Calibri" w:hAnsi="Calibri" w:cs="Calibri"/>
          <w:sz w:val="22"/>
          <w:szCs w:val="22"/>
        </w:rPr>
        <w:t>(but</w:t>
      </w:r>
      <w:r w:rsidRPr="00D6050D">
        <w:rPr>
          <w:rFonts w:ascii="Calibri" w:hAnsi="Calibri" w:cs="Calibri"/>
          <w:spacing w:val="12"/>
          <w:sz w:val="22"/>
          <w:szCs w:val="22"/>
        </w:rPr>
        <w:t xml:space="preserve"> </w:t>
      </w:r>
      <w:r w:rsidRPr="00D6050D">
        <w:rPr>
          <w:rFonts w:ascii="Calibri" w:hAnsi="Calibri" w:cs="Calibri"/>
          <w:sz w:val="22"/>
          <w:szCs w:val="22"/>
        </w:rPr>
        <w:t>limited</w:t>
      </w:r>
      <w:r w:rsidRPr="00D6050D">
        <w:rPr>
          <w:rFonts w:ascii="Calibri" w:hAnsi="Calibri" w:cs="Calibri"/>
          <w:spacing w:val="12"/>
          <w:sz w:val="22"/>
          <w:szCs w:val="22"/>
        </w:rPr>
        <w:t xml:space="preserve"> </w:t>
      </w:r>
      <w:r w:rsidRPr="00D6050D">
        <w:rPr>
          <w:rFonts w:ascii="Calibri" w:hAnsi="Calibri" w:cs="Calibri"/>
          <w:sz w:val="22"/>
          <w:szCs w:val="22"/>
        </w:rPr>
        <w:t>to</w:t>
      </w:r>
      <w:r w:rsidRPr="00D6050D">
        <w:rPr>
          <w:rFonts w:ascii="Calibri" w:hAnsi="Calibri" w:cs="Calibri"/>
          <w:spacing w:val="11"/>
          <w:sz w:val="22"/>
          <w:szCs w:val="22"/>
        </w:rPr>
        <w:t xml:space="preserve"> </w:t>
      </w:r>
      <w:r w:rsidRPr="00D6050D">
        <w:rPr>
          <w:rFonts w:ascii="Calibri" w:hAnsi="Calibri" w:cs="Calibri"/>
          <w:sz w:val="22"/>
          <w:szCs w:val="22"/>
        </w:rPr>
        <w:t>70%)</w:t>
      </w:r>
      <w:r w:rsidRPr="00D6050D">
        <w:rPr>
          <w:rFonts w:ascii="Calibri" w:hAnsi="Calibri" w:cs="Calibri"/>
          <w:spacing w:val="10"/>
          <w:sz w:val="22"/>
          <w:szCs w:val="22"/>
        </w:rPr>
        <w:t xml:space="preserve"> </w:t>
      </w:r>
      <w:r w:rsidRPr="00D6050D">
        <w:rPr>
          <w:rFonts w:ascii="Calibri" w:hAnsi="Calibri" w:cs="Calibri"/>
          <w:sz w:val="22"/>
          <w:szCs w:val="22"/>
        </w:rPr>
        <w:t>and</w:t>
      </w:r>
      <w:r w:rsidRPr="00D6050D">
        <w:rPr>
          <w:rFonts w:ascii="Calibri" w:hAnsi="Calibri" w:cs="Calibri"/>
          <w:spacing w:val="12"/>
          <w:sz w:val="22"/>
          <w:szCs w:val="22"/>
        </w:rPr>
        <w:t xml:space="preserve"> </w:t>
      </w:r>
      <w:r w:rsidRPr="00D6050D">
        <w:rPr>
          <w:rFonts w:ascii="Calibri" w:hAnsi="Calibri" w:cs="Calibri"/>
          <w:sz w:val="22"/>
          <w:szCs w:val="22"/>
        </w:rPr>
        <w:t>in</w:t>
      </w:r>
      <w:r w:rsidRPr="00D6050D">
        <w:rPr>
          <w:rFonts w:ascii="Calibri" w:hAnsi="Calibri" w:cs="Calibri"/>
          <w:spacing w:val="11"/>
          <w:sz w:val="22"/>
          <w:szCs w:val="22"/>
        </w:rPr>
        <w:t xml:space="preserve"> </w:t>
      </w:r>
      <w:r w:rsidRPr="00D6050D">
        <w:rPr>
          <w:rFonts w:ascii="Calibri" w:hAnsi="Calibri" w:cs="Calibri"/>
          <w:sz w:val="22"/>
          <w:szCs w:val="22"/>
        </w:rPr>
        <w:t>terms</w:t>
      </w:r>
      <w:r w:rsidRPr="00D6050D">
        <w:rPr>
          <w:rFonts w:ascii="Calibri" w:hAnsi="Calibri" w:cs="Calibri"/>
          <w:spacing w:val="11"/>
          <w:sz w:val="22"/>
          <w:szCs w:val="22"/>
        </w:rPr>
        <w:t xml:space="preserve"> </w:t>
      </w:r>
      <w:r w:rsidRPr="00D6050D">
        <w:rPr>
          <w:rFonts w:ascii="Calibri" w:hAnsi="Calibri" w:cs="Calibri"/>
          <w:sz w:val="22"/>
          <w:szCs w:val="22"/>
        </w:rPr>
        <w:t>of</w:t>
      </w:r>
      <w:r w:rsidRPr="00D6050D">
        <w:rPr>
          <w:rFonts w:ascii="Calibri" w:hAnsi="Calibri" w:cs="Calibri"/>
          <w:spacing w:val="12"/>
          <w:sz w:val="22"/>
          <w:szCs w:val="22"/>
        </w:rPr>
        <w:t xml:space="preserve"> </w:t>
      </w:r>
      <w:r w:rsidRPr="00D6050D">
        <w:rPr>
          <w:rFonts w:ascii="Calibri" w:hAnsi="Calibri" w:cs="Calibri"/>
          <w:sz w:val="22"/>
          <w:szCs w:val="22"/>
        </w:rPr>
        <w:t>Equity,</w:t>
      </w:r>
      <w:r w:rsidRPr="00D6050D">
        <w:rPr>
          <w:rFonts w:ascii="Calibri" w:hAnsi="Calibri" w:cs="Calibri"/>
          <w:spacing w:val="10"/>
          <w:sz w:val="22"/>
          <w:szCs w:val="22"/>
        </w:rPr>
        <w:t xml:space="preserve"> </w:t>
      </w:r>
      <w:r w:rsidRPr="00D6050D">
        <w:rPr>
          <w:rFonts w:ascii="Calibri" w:hAnsi="Calibri" w:cs="Calibri"/>
          <w:sz w:val="22"/>
          <w:szCs w:val="22"/>
        </w:rPr>
        <w:t>the</w:t>
      </w:r>
      <w:r w:rsidRPr="00D6050D">
        <w:rPr>
          <w:rFonts w:ascii="Calibri" w:hAnsi="Calibri" w:cs="Calibri"/>
          <w:spacing w:val="12"/>
          <w:sz w:val="22"/>
          <w:szCs w:val="22"/>
        </w:rPr>
        <w:t xml:space="preserve"> </w:t>
      </w:r>
      <w:r w:rsidRPr="00D6050D">
        <w:rPr>
          <w:rFonts w:ascii="Calibri" w:hAnsi="Calibri" w:cs="Calibri"/>
          <w:sz w:val="22"/>
          <w:szCs w:val="22"/>
        </w:rPr>
        <w:t>capital</w:t>
      </w:r>
      <w:r w:rsidRPr="00D6050D">
        <w:rPr>
          <w:rFonts w:ascii="Calibri" w:hAnsi="Calibri" w:cs="Calibri"/>
          <w:spacing w:val="7"/>
          <w:sz w:val="22"/>
          <w:szCs w:val="22"/>
        </w:rPr>
        <w:t xml:space="preserve"> </w:t>
      </w:r>
      <w:r w:rsidRPr="00D6050D">
        <w:rPr>
          <w:rFonts w:ascii="Calibri" w:hAnsi="Calibri" w:cs="Calibri"/>
          <w:sz w:val="22"/>
          <w:szCs w:val="22"/>
        </w:rPr>
        <w:t>expenditure</w:t>
      </w:r>
      <w:r w:rsidRPr="00D6050D">
        <w:rPr>
          <w:rFonts w:ascii="Calibri" w:hAnsi="Calibri" w:cs="Calibri"/>
          <w:spacing w:val="11"/>
          <w:sz w:val="22"/>
          <w:szCs w:val="22"/>
        </w:rPr>
        <w:t xml:space="preserve"> </w:t>
      </w:r>
      <w:r w:rsidRPr="00D6050D">
        <w:rPr>
          <w:rFonts w:ascii="Calibri" w:hAnsi="Calibri" w:cs="Calibri"/>
          <w:sz w:val="22"/>
          <w:szCs w:val="22"/>
        </w:rPr>
        <w:t>would</w:t>
      </w:r>
      <w:r w:rsidRPr="00D6050D">
        <w:rPr>
          <w:rFonts w:ascii="Calibri" w:hAnsi="Calibri" w:cs="Calibri"/>
          <w:spacing w:val="11"/>
          <w:sz w:val="22"/>
          <w:szCs w:val="22"/>
        </w:rPr>
        <w:t xml:space="preserve"> </w:t>
      </w:r>
      <w:r w:rsidRPr="00D6050D">
        <w:rPr>
          <w:rFonts w:ascii="Calibri" w:hAnsi="Calibri" w:cs="Calibri"/>
          <w:sz w:val="22"/>
          <w:szCs w:val="22"/>
        </w:rPr>
        <w:t>not</w:t>
      </w:r>
      <w:r w:rsidRPr="00D6050D">
        <w:rPr>
          <w:rFonts w:ascii="Calibri" w:hAnsi="Calibri" w:cs="Calibri"/>
          <w:spacing w:val="1"/>
          <w:sz w:val="22"/>
          <w:szCs w:val="22"/>
        </w:rPr>
        <w:t xml:space="preserve"> </w:t>
      </w:r>
      <w:r w:rsidRPr="00D6050D">
        <w:rPr>
          <w:rFonts w:ascii="Calibri" w:hAnsi="Calibri" w:cs="Calibri"/>
          <w:sz w:val="22"/>
          <w:szCs w:val="22"/>
        </w:rPr>
        <w:t>be financed. Hence to maintain the 51% to 49% shareholding ratio between TPCL and GRIDCO in</w:t>
      </w:r>
      <w:r w:rsidRPr="00D6050D">
        <w:rPr>
          <w:rFonts w:ascii="Calibri" w:hAnsi="Calibri" w:cs="Calibri"/>
          <w:spacing w:val="1"/>
          <w:sz w:val="22"/>
          <w:szCs w:val="22"/>
        </w:rPr>
        <w:t xml:space="preserve"> </w:t>
      </w:r>
      <w:r w:rsidRPr="00D6050D">
        <w:rPr>
          <w:rFonts w:ascii="Calibri" w:hAnsi="Calibri" w:cs="Calibri"/>
          <w:sz w:val="22"/>
          <w:szCs w:val="22"/>
        </w:rPr>
        <w:t>the TPNODL and also raise adequate finance, GRIDCO's share of equity which will be contributed</w:t>
      </w:r>
      <w:r w:rsidRPr="00D6050D">
        <w:rPr>
          <w:rFonts w:ascii="Calibri" w:hAnsi="Calibri" w:cs="Calibri"/>
          <w:spacing w:val="1"/>
          <w:sz w:val="22"/>
          <w:szCs w:val="22"/>
        </w:rPr>
        <w:t xml:space="preserve"> </w:t>
      </w:r>
      <w:r w:rsidRPr="00D6050D">
        <w:rPr>
          <w:rFonts w:ascii="Calibri" w:hAnsi="Calibri" w:cs="Calibri"/>
          <w:sz w:val="22"/>
          <w:szCs w:val="22"/>
        </w:rPr>
        <w:t>in kind (Distribution Assets) will be capitalized over and above the amount capitalized by</w:t>
      </w:r>
      <w:r w:rsidRPr="00D6050D">
        <w:rPr>
          <w:rFonts w:ascii="Calibri" w:hAnsi="Calibri" w:cs="Calibri"/>
          <w:spacing w:val="54"/>
          <w:sz w:val="22"/>
          <w:szCs w:val="22"/>
        </w:rPr>
        <w:t xml:space="preserve"> </w:t>
      </w:r>
      <w:r w:rsidRPr="00D6050D">
        <w:rPr>
          <w:rFonts w:ascii="Calibri" w:hAnsi="Calibri" w:cs="Calibri"/>
          <w:sz w:val="22"/>
          <w:szCs w:val="22"/>
        </w:rPr>
        <w:t>assets</w:t>
      </w:r>
      <w:r w:rsidRPr="00D6050D">
        <w:rPr>
          <w:rFonts w:ascii="Calibri" w:hAnsi="Calibri" w:cs="Calibri"/>
          <w:spacing w:val="1"/>
          <w:sz w:val="22"/>
          <w:szCs w:val="22"/>
        </w:rPr>
        <w:t xml:space="preserve"> </w:t>
      </w:r>
      <w:r w:rsidRPr="00D6050D">
        <w:rPr>
          <w:rFonts w:ascii="Calibri" w:hAnsi="Calibri" w:cs="Calibri"/>
          <w:sz w:val="22"/>
          <w:szCs w:val="22"/>
        </w:rPr>
        <w:t>in</w:t>
      </w:r>
      <w:r w:rsidRPr="00D6050D">
        <w:rPr>
          <w:rFonts w:ascii="Calibri" w:hAnsi="Calibri" w:cs="Calibri"/>
          <w:spacing w:val="1"/>
          <w:sz w:val="22"/>
          <w:szCs w:val="22"/>
        </w:rPr>
        <w:t xml:space="preserve"> </w:t>
      </w:r>
      <w:r w:rsidRPr="00D6050D">
        <w:rPr>
          <w:rFonts w:ascii="Calibri" w:hAnsi="Calibri" w:cs="Calibri"/>
          <w:sz w:val="22"/>
          <w:szCs w:val="22"/>
        </w:rPr>
        <w:t>TPNODL.</w:t>
      </w:r>
      <w:r w:rsidRPr="00D6050D">
        <w:rPr>
          <w:rFonts w:ascii="Calibri" w:hAnsi="Calibri" w:cs="Calibri"/>
          <w:spacing w:val="1"/>
          <w:sz w:val="22"/>
          <w:szCs w:val="22"/>
        </w:rPr>
        <w:t xml:space="preserve"> </w:t>
      </w:r>
      <w:r w:rsidRPr="00D6050D">
        <w:rPr>
          <w:rFonts w:ascii="Calibri" w:hAnsi="Calibri" w:cs="Calibri"/>
          <w:sz w:val="22"/>
          <w:szCs w:val="22"/>
        </w:rPr>
        <w:t>Moreover, such</w:t>
      </w:r>
      <w:r w:rsidRPr="00D6050D">
        <w:rPr>
          <w:rFonts w:ascii="Calibri" w:hAnsi="Calibri" w:cs="Calibri"/>
          <w:spacing w:val="1"/>
          <w:sz w:val="22"/>
          <w:szCs w:val="22"/>
        </w:rPr>
        <w:t xml:space="preserve"> </w:t>
      </w:r>
      <w:r w:rsidRPr="00D6050D">
        <w:rPr>
          <w:rFonts w:ascii="Calibri" w:hAnsi="Calibri" w:cs="Calibri"/>
          <w:sz w:val="22"/>
          <w:szCs w:val="22"/>
        </w:rPr>
        <w:t>investment should be approved with grossing</w:t>
      </w:r>
      <w:r w:rsidRPr="00D6050D">
        <w:rPr>
          <w:rFonts w:ascii="Calibri" w:hAnsi="Calibri" w:cs="Calibri"/>
          <w:spacing w:val="1"/>
          <w:sz w:val="22"/>
          <w:szCs w:val="22"/>
        </w:rPr>
        <w:t xml:space="preserve"> </w:t>
      </w:r>
      <w:r w:rsidRPr="00D6050D">
        <w:rPr>
          <w:rFonts w:ascii="Calibri" w:hAnsi="Calibri" w:cs="Calibri"/>
          <w:sz w:val="22"/>
          <w:szCs w:val="22"/>
        </w:rPr>
        <w:t>up</w:t>
      </w:r>
      <w:r w:rsidRPr="00D6050D">
        <w:rPr>
          <w:rFonts w:ascii="Calibri" w:hAnsi="Calibri" w:cs="Calibri"/>
          <w:spacing w:val="1"/>
          <w:sz w:val="22"/>
          <w:szCs w:val="22"/>
        </w:rPr>
        <w:t xml:space="preserve"> </w:t>
      </w:r>
      <w:r w:rsidRPr="00D6050D">
        <w:rPr>
          <w:rFonts w:ascii="Calibri" w:hAnsi="Calibri" w:cs="Calibri"/>
          <w:sz w:val="22"/>
          <w:szCs w:val="22"/>
        </w:rPr>
        <w:t>of the equity</w:t>
      </w:r>
      <w:r w:rsidRPr="00D6050D">
        <w:rPr>
          <w:rFonts w:ascii="Calibri" w:hAnsi="Calibri" w:cs="Calibri"/>
          <w:spacing w:val="1"/>
          <w:sz w:val="22"/>
          <w:szCs w:val="22"/>
        </w:rPr>
        <w:t xml:space="preserve"> </w:t>
      </w:r>
      <w:r w:rsidRPr="00D6050D">
        <w:rPr>
          <w:rFonts w:ascii="Calibri" w:hAnsi="Calibri" w:cs="Calibri"/>
          <w:sz w:val="22"/>
          <w:szCs w:val="22"/>
        </w:rPr>
        <w:t>contribution</w:t>
      </w:r>
      <w:r w:rsidRPr="00D6050D">
        <w:rPr>
          <w:rFonts w:ascii="Calibri" w:hAnsi="Calibri" w:cs="Calibri"/>
          <w:spacing w:val="-2"/>
          <w:sz w:val="22"/>
          <w:szCs w:val="22"/>
        </w:rPr>
        <w:t xml:space="preserve"> </w:t>
      </w:r>
      <w:r w:rsidRPr="00D6050D">
        <w:rPr>
          <w:rFonts w:ascii="Calibri" w:hAnsi="Calibri" w:cs="Calibri"/>
          <w:sz w:val="22"/>
          <w:szCs w:val="22"/>
        </w:rPr>
        <w:t>of GRIDCO</w:t>
      </w:r>
      <w:r w:rsidRPr="00D6050D">
        <w:rPr>
          <w:rFonts w:ascii="Calibri" w:hAnsi="Calibri" w:cs="Calibri"/>
          <w:spacing w:val="-2"/>
          <w:sz w:val="22"/>
          <w:szCs w:val="22"/>
        </w:rPr>
        <w:t xml:space="preserve"> </w:t>
      </w:r>
      <w:r w:rsidRPr="00D6050D">
        <w:rPr>
          <w:rFonts w:ascii="Calibri" w:hAnsi="Calibri" w:cs="Calibri"/>
          <w:sz w:val="22"/>
          <w:szCs w:val="22"/>
        </w:rPr>
        <w:t>and</w:t>
      </w:r>
      <w:r w:rsidRPr="00D6050D">
        <w:rPr>
          <w:rFonts w:ascii="Calibri" w:hAnsi="Calibri" w:cs="Calibri"/>
          <w:spacing w:val="-2"/>
          <w:sz w:val="22"/>
          <w:szCs w:val="22"/>
        </w:rPr>
        <w:t xml:space="preserve"> </w:t>
      </w:r>
      <w:r w:rsidRPr="00D6050D">
        <w:rPr>
          <w:rFonts w:ascii="Calibri" w:hAnsi="Calibri" w:cs="Calibri"/>
          <w:sz w:val="22"/>
          <w:szCs w:val="22"/>
        </w:rPr>
        <w:t>the same</w:t>
      </w:r>
      <w:r w:rsidRPr="00D6050D">
        <w:rPr>
          <w:rFonts w:ascii="Calibri" w:hAnsi="Calibri" w:cs="Calibri"/>
          <w:spacing w:val="-2"/>
          <w:sz w:val="22"/>
          <w:szCs w:val="22"/>
        </w:rPr>
        <w:t xml:space="preserve"> </w:t>
      </w:r>
      <w:r w:rsidRPr="00D6050D">
        <w:rPr>
          <w:rFonts w:ascii="Calibri" w:hAnsi="Calibri" w:cs="Calibri"/>
          <w:sz w:val="22"/>
          <w:szCs w:val="22"/>
        </w:rPr>
        <w:t>needs</w:t>
      </w:r>
      <w:r w:rsidRPr="00D6050D">
        <w:rPr>
          <w:rFonts w:ascii="Calibri" w:hAnsi="Calibri" w:cs="Calibri"/>
          <w:spacing w:val="-3"/>
          <w:sz w:val="22"/>
          <w:szCs w:val="22"/>
        </w:rPr>
        <w:t xml:space="preserve"> </w:t>
      </w:r>
      <w:r w:rsidRPr="00D6050D">
        <w:rPr>
          <w:rFonts w:ascii="Calibri" w:hAnsi="Calibri" w:cs="Calibri"/>
          <w:sz w:val="22"/>
          <w:szCs w:val="22"/>
        </w:rPr>
        <w:t>to</w:t>
      </w:r>
      <w:r w:rsidRPr="00D6050D">
        <w:rPr>
          <w:rFonts w:ascii="Calibri" w:hAnsi="Calibri" w:cs="Calibri"/>
          <w:spacing w:val="-2"/>
          <w:sz w:val="22"/>
          <w:szCs w:val="22"/>
        </w:rPr>
        <w:t xml:space="preserve"> </w:t>
      </w:r>
      <w:r w:rsidRPr="00D6050D">
        <w:rPr>
          <w:rFonts w:ascii="Calibri" w:hAnsi="Calibri" w:cs="Calibri"/>
          <w:sz w:val="22"/>
          <w:szCs w:val="22"/>
        </w:rPr>
        <w:t>be added</w:t>
      </w:r>
      <w:r w:rsidRPr="00D6050D">
        <w:rPr>
          <w:rFonts w:ascii="Calibri" w:hAnsi="Calibri" w:cs="Calibri"/>
          <w:spacing w:val="-1"/>
          <w:sz w:val="22"/>
          <w:szCs w:val="22"/>
        </w:rPr>
        <w:t xml:space="preserve"> </w:t>
      </w:r>
      <w:r w:rsidRPr="00D6050D">
        <w:rPr>
          <w:rFonts w:ascii="Calibri" w:hAnsi="Calibri" w:cs="Calibri"/>
          <w:sz w:val="22"/>
          <w:szCs w:val="22"/>
        </w:rPr>
        <w:t>into</w:t>
      </w:r>
      <w:r w:rsidRPr="00D6050D">
        <w:rPr>
          <w:rFonts w:ascii="Calibri" w:hAnsi="Calibri" w:cs="Calibri"/>
          <w:spacing w:val="-2"/>
          <w:sz w:val="22"/>
          <w:szCs w:val="22"/>
        </w:rPr>
        <w:t xml:space="preserve"> </w:t>
      </w:r>
      <w:r w:rsidRPr="00D6050D">
        <w:rPr>
          <w:rFonts w:ascii="Calibri" w:hAnsi="Calibri" w:cs="Calibri"/>
          <w:sz w:val="22"/>
          <w:szCs w:val="22"/>
        </w:rPr>
        <w:t>the capital investment.</w:t>
      </w:r>
    </w:p>
    <w:p w14:paraId="12E71659" w14:textId="77777777" w:rsidR="00974443" w:rsidRPr="00A57726" w:rsidRDefault="00974443" w:rsidP="00974443">
      <w:pPr>
        <w:spacing w:after="120" w:line="360" w:lineRule="auto"/>
        <w:ind w:left="567" w:right="1"/>
        <w:jc w:val="both"/>
        <w:rPr>
          <w:rFonts w:ascii="Calibri" w:hAnsi="Calibri" w:cs="Calibri"/>
          <w:sz w:val="22"/>
          <w:szCs w:val="22"/>
        </w:rPr>
      </w:pPr>
      <w:r w:rsidRPr="00D6050D">
        <w:rPr>
          <w:rFonts w:ascii="Calibri" w:hAnsi="Calibri" w:cs="Calibri"/>
          <w:sz w:val="22"/>
          <w:szCs w:val="22"/>
        </w:rPr>
        <w:t>The treatment for contribution of GRIDCO is provided under para 71 of the Vesting Order and the relevant</w:t>
      </w:r>
      <w:r w:rsidRPr="00D6050D">
        <w:rPr>
          <w:rFonts w:ascii="Calibri" w:hAnsi="Calibri" w:cs="Calibri"/>
          <w:spacing w:val="1"/>
          <w:sz w:val="22"/>
          <w:szCs w:val="22"/>
        </w:rPr>
        <w:t xml:space="preserve"> </w:t>
      </w:r>
      <w:r w:rsidRPr="00D6050D">
        <w:rPr>
          <w:rFonts w:ascii="Calibri" w:hAnsi="Calibri" w:cs="Calibri"/>
          <w:sz w:val="22"/>
          <w:szCs w:val="22"/>
        </w:rPr>
        <w:t>extracts</w:t>
      </w:r>
      <w:r w:rsidRPr="00D6050D">
        <w:rPr>
          <w:rFonts w:ascii="Calibri" w:hAnsi="Calibri" w:cs="Calibri"/>
          <w:spacing w:val="-1"/>
          <w:sz w:val="22"/>
          <w:szCs w:val="22"/>
        </w:rPr>
        <w:t xml:space="preserve"> </w:t>
      </w:r>
      <w:r w:rsidRPr="00D6050D">
        <w:rPr>
          <w:rFonts w:ascii="Calibri" w:hAnsi="Calibri" w:cs="Calibri"/>
          <w:sz w:val="22"/>
          <w:szCs w:val="22"/>
        </w:rPr>
        <w:t>is</w:t>
      </w:r>
      <w:r w:rsidRPr="00D6050D">
        <w:rPr>
          <w:rFonts w:ascii="Calibri" w:hAnsi="Calibri" w:cs="Calibri"/>
          <w:spacing w:val="-2"/>
          <w:sz w:val="22"/>
          <w:szCs w:val="22"/>
        </w:rPr>
        <w:t xml:space="preserve"> </w:t>
      </w:r>
      <w:r w:rsidRPr="00D6050D">
        <w:rPr>
          <w:rFonts w:ascii="Calibri" w:hAnsi="Calibri" w:cs="Calibri"/>
          <w:sz w:val="22"/>
          <w:szCs w:val="22"/>
        </w:rPr>
        <w:t>as given</w:t>
      </w:r>
      <w:r w:rsidRPr="00D6050D">
        <w:rPr>
          <w:rFonts w:ascii="Calibri" w:hAnsi="Calibri" w:cs="Calibri"/>
          <w:spacing w:val="-1"/>
          <w:sz w:val="22"/>
          <w:szCs w:val="22"/>
        </w:rPr>
        <w:t xml:space="preserve"> </w:t>
      </w:r>
      <w:r w:rsidRPr="00D6050D">
        <w:rPr>
          <w:rFonts w:ascii="Calibri" w:hAnsi="Calibri" w:cs="Calibri"/>
          <w:sz w:val="22"/>
          <w:szCs w:val="22"/>
        </w:rPr>
        <w:t>below.</w:t>
      </w:r>
    </w:p>
    <w:p w14:paraId="46511F1C" w14:textId="77777777" w:rsidR="00974443" w:rsidRPr="00D6050D" w:rsidRDefault="00974443" w:rsidP="00974443">
      <w:pPr>
        <w:tabs>
          <w:tab w:val="num" w:pos="1296"/>
        </w:tabs>
        <w:spacing w:before="240" w:after="60" w:line="312" w:lineRule="auto"/>
        <w:ind w:left="567"/>
        <w:jc w:val="both"/>
        <w:outlineLvl w:val="6"/>
        <w:rPr>
          <w:rFonts w:ascii="Calibri" w:hAnsi="Calibri" w:cs="Calibri"/>
          <w:b/>
          <w:i/>
          <w:iCs/>
          <w:sz w:val="22"/>
          <w:szCs w:val="22"/>
        </w:rPr>
      </w:pPr>
      <w:r w:rsidRPr="00D6050D">
        <w:rPr>
          <w:rFonts w:ascii="Calibri" w:hAnsi="Calibri" w:cs="Calibri"/>
          <w:b/>
          <w:i/>
          <w:iCs/>
          <w:sz w:val="22"/>
          <w:szCs w:val="22"/>
        </w:rPr>
        <w:t>TREATMENT OF EQUITY INVESTMENT FROM GRIDCO FOR FUTURE CAPITAL INVESTMENT</w:t>
      </w:r>
    </w:p>
    <w:p w14:paraId="312359A7" w14:textId="77777777" w:rsidR="00974443" w:rsidRPr="00D6050D" w:rsidRDefault="00974443" w:rsidP="00974443">
      <w:pPr>
        <w:ind w:left="567"/>
        <w:rPr>
          <w:rFonts w:ascii="Calibri" w:hAnsi="Calibri" w:cs="Calibri"/>
          <w:sz w:val="22"/>
          <w:szCs w:val="22"/>
        </w:rPr>
      </w:pPr>
    </w:p>
    <w:p w14:paraId="34332566" w14:textId="77777777" w:rsidR="00974443" w:rsidRPr="00D6050D" w:rsidRDefault="00974443" w:rsidP="00974443">
      <w:pPr>
        <w:spacing w:line="360" w:lineRule="auto"/>
        <w:ind w:left="567"/>
        <w:jc w:val="both"/>
        <w:rPr>
          <w:rFonts w:ascii="Calibri" w:hAnsi="Calibri" w:cs="Calibri"/>
          <w:i/>
          <w:sz w:val="22"/>
          <w:szCs w:val="22"/>
        </w:rPr>
      </w:pPr>
      <w:r w:rsidRPr="00D6050D">
        <w:rPr>
          <w:rFonts w:ascii="Calibri" w:hAnsi="Calibri" w:cs="Calibri"/>
          <w:i/>
          <w:sz w:val="22"/>
          <w:szCs w:val="22"/>
        </w:rPr>
        <w:t>71. Pursuant to Clause 3.6 of the Shareholder’s Agreement, the Commission orders that in the event that assets are transferred to TPNODL in lieu of equity investment by GRIDCO, the same shall be allowed in fixed asset base for determination of tariff, after prudence check, provided that the assets transferred are distribution assets. The Commission, exercising powers conferred to it u/s 86(2) of the Act, advises the State Government to consider providing a one-time approval on transfer of its assets to TPNODL through GRIDCO in lieu of equity investment from GRIDCO as and when such transfer is necessitated.</w:t>
      </w:r>
    </w:p>
    <w:p w14:paraId="292E89B5" w14:textId="77777777" w:rsidR="00974443" w:rsidRPr="00D6050D" w:rsidRDefault="00974443" w:rsidP="00974443">
      <w:pPr>
        <w:spacing w:line="360" w:lineRule="auto"/>
        <w:ind w:left="567"/>
        <w:rPr>
          <w:rFonts w:ascii="Calibri" w:hAnsi="Calibri" w:cs="Calibri"/>
          <w:sz w:val="22"/>
          <w:szCs w:val="22"/>
        </w:rPr>
      </w:pPr>
    </w:p>
    <w:p w14:paraId="79659B73" w14:textId="77777777" w:rsidR="00974443" w:rsidRPr="00D6050D" w:rsidRDefault="00974443" w:rsidP="00974443">
      <w:pPr>
        <w:spacing w:after="120" w:line="360" w:lineRule="auto"/>
        <w:ind w:left="567"/>
        <w:jc w:val="both"/>
        <w:rPr>
          <w:rFonts w:ascii="Calibri" w:hAnsi="Calibri" w:cs="Calibri"/>
          <w:sz w:val="22"/>
          <w:szCs w:val="22"/>
        </w:rPr>
      </w:pPr>
      <w:r w:rsidRPr="00D6050D">
        <w:rPr>
          <w:rFonts w:ascii="Calibri" w:hAnsi="Calibri" w:cs="Calibri"/>
          <w:sz w:val="22"/>
          <w:szCs w:val="22"/>
        </w:rPr>
        <w:t xml:space="preserve">To illustrate the grossing up concept, consider the Capital Expenditure of </w:t>
      </w:r>
      <w:r>
        <w:rPr>
          <w:rFonts w:ascii="Calibri" w:hAnsi="Calibri" w:cs="Calibri"/>
          <w:sz w:val="22"/>
          <w:szCs w:val="22"/>
        </w:rPr>
        <w:t>Rs.</w:t>
      </w:r>
      <w:r w:rsidRPr="00D6050D">
        <w:rPr>
          <w:rFonts w:ascii="Calibri" w:hAnsi="Calibri" w:cs="Calibri"/>
          <w:sz w:val="22"/>
          <w:szCs w:val="22"/>
        </w:rPr>
        <w:t xml:space="preserve"> 100 Crore. Based on</w:t>
      </w:r>
      <w:r w:rsidRPr="00D6050D">
        <w:rPr>
          <w:rFonts w:ascii="Calibri" w:hAnsi="Calibri" w:cs="Calibri"/>
          <w:spacing w:val="1"/>
          <w:sz w:val="22"/>
          <w:szCs w:val="22"/>
        </w:rPr>
        <w:t xml:space="preserve"> </w:t>
      </w:r>
      <w:r w:rsidRPr="00D6050D">
        <w:rPr>
          <w:rFonts w:ascii="Calibri" w:hAnsi="Calibri" w:cs="Calibri"/>
          <w:sz w:val="22"/>
          <w:szCs w:val="22"/>
        </w:rPr>
        <w:t>the same, the Capex/ Capitalization, Debt and Equity for the purpose of Tariff would be as</w:t>
      </w:r>
      <w:r w:rsidRPr="00D6050D">
        <w:rPr>
          <w:rFonts w:ascii="Calibri" w:hAnsi="Calibri" w:cs="Calibri"/>
          <w:spacing w:val="1"/>
          <w:sz w:val="22"/>
          <w:szCs w:val="22"/>
        </w:rPr>
        <w:t xml:space="preserve"> </w:t>
      </w:r>
      <w:r w:rsidRPr="00D6050D">
        <w:rPr>
          <w:rFonts w:ascii="Calibri" w:hAnsi="Calibri" w:cs="Calibri"/>
          <w:sz w:val="22"/>
          <w:szCs w:val="22"/>
        </w:rPr>
        <w:t>provided in</w:t>
      </w:r>
      <w:r w:rsidRPr="00D6050D">
        <w:rPr>
          <w:rFonts w:ascii="Calibri" w:hAnsi="Calibri" w:cs="Calibri"/>
          <w:spacing w:val="-1"/>
          <w:sz w:val="22"/>
          <w:szCs w:val="22"/>
        </w:rPr>
        <w:t xml:space="preserve"> </w:t>
      </w:r>
      <w:r w:rsidRPr="00D6050D">
        <w:rPr>
          <w:rFonts w:ascii="Calibri" w:hAnsi="Calibri" w:cs="Calibri"/>
          <w:sz w:val="22"/>
          <w:szCs w:val="22"/>
        </w:rPr>
        <w:t>the</w:t>
      </w:r>
      <w:r w:rsidRPr="00D6050D">
        <w:rPr>
          <w:rFonts w:ascii="Calibri" w:hAnsi="Calibri" w:cs="Calibri"/>
          <w:spacing w:val="-2"/>
          <w:sz w:val="22"/>
          <w:szCs w:val="22"/>
        </w:rPr>
        <w:t xml:space="preserve"> </w:t>
      </w:r>
      <w:r w:rsidRPr="00D6050D">
        <w:rPr>
          <w:rFonts w:ascii="Calibri" w:hAnsi="Calibri" w:cs="Calibri"/>
          <w:sz w:val="22"/>
          <w:szCs w:val="22"/>
        </w:rPr>
        <w:t>table</w:t>
      </w:r>
      <w:r w:rsidRPr="00D6050D">
        <w:rPr>
          <w:rFonts w:ascii="Calibri" w:hAnsi="Calibri" w:cs="Calibri"/>
          <w:spacing w:val="-1"/>
          <w:sz w:val="22"/>
          <w:szCs w:val="22"/>
        </w:rPr>
        <w:t xml:space="preserve"> </w:t>
      </w:r>
      <w:r w:rsidRPr="00D6050D">
        <w:rPr>
          <w:rFonts w:ascii="Calibri" w:hAnsi="Calibri" w:cs="Calibri"/>
          <w:sz w:val="22"/>
          <w:szCs w:val="22"/>
        </w:rPr>
        <w:t>below:</w:t>
      </w:r>
    </w:p>
    <w:p w14:paraId="4A097B8B" w14:textId="304B3D76" w:rsidR="00974443" w:rsidRPr="00D6050D" w:rsidRDefault="00974443" w:rsidP="00974443">
      <w:pPr>
        <w:keepNext/>
        <w:spacing w:before="240" w:after="60" w:line="360" w:lineRule="auto"/>
        <w:ind w:left="104"/>
        <w:jc w:val="center"/>
        <w:outlineLvl w:val="0"/>
        <w:rPr>
          <w:rFonts w:ascii="Calibri" w:hAnsi="Calibri" w:cs="Calibri"/>
          <w:b/>
          <w:bCs/>
          <w:kern w:val="32"/>
          <w:sz w:val="22"/>
          <w:szCs w:val="22"/>
        </w:rPr>
      </w:pPr>
      <w:r w:rsidRPr="00D6050D">
        <w:rPr>
          <w:rFonts w:ascii="Calibri" w:hAnsi="Calibri" w:cs="Calibri"/>
          <w:b/>
          <w:bCs/>
          <w:kern w:val="32"/>
          <w:sz w:val="22"/>
          <w:szCs w:val="22"/>
        </w:rPr>
        <w:t>Table-</w:t>
      </w:r>
      <w:r w:rsidR="00C369B5">
        <w:rPr>
          <w:rFonts w:ascii="Calibri" w:hAnsi="Calibri" w:cs="Calibri"/>
          <w:b/>
          <w:bCs/>
          <w:kern w:val="32"/>
          <w:sz w:val="22"/>
          <w:szCs w:val="22"/>
        </w:rPr>
        <w:t>40</w:t>
      </w:r>
      <w:r w:rsidRPr="00D6050D">
        <w:rPr>
          <w:rFonts w:ascii="Calibri" w:hAnsi="Calibri" w:cs="Calibri"/>
          <w:b/>
          <w:bCs/>
          <w:kern w:val="32"/>
          <w:sz w:val="22"/>
          <w:szCs w:val="22"/>
        </w:rPr>
        <w:t>: Grossing</w:t>
      </w:r>
      <w:r w:rsidRPr="00D6050D">
        <w:rPr>
          <w:rFonts w:ascii="Calibri" w:hAnsi="Calibri" w:cs="Calibri"/>
          <w:b/>
          <w:bCs/>
          <w:spacing w:val="-5"/>
          <w:kern w:val="32"/>
          <w:sz w:val="22"/>
          <w:szCs w:val="22"/>
        </w:rPr>
        <w:t xml:space="preserve"> </w:t>
      </w:r>
      <w:r w:rsidRPr="00D6050D">
        <w:rPr>
          <w:rFonts w:ascii="Calibri" w:hAnsi="Calibri" w:cs="Calibri"/>
          <w:b/>
          <w:bCs/>
          <w:kern w:val="32"/>
          <w:sz w:val="22"/>
          <w:szCs w:val="22"/>
        </w:rPr>
        <w:t>up</w:t>
      </w:r>
      <w:r w:rsidRPr="00D6050D">
        <w:rPr>
          <w:rFonts w:ascii="Calibri" w:hAnsi="Calibri" w:cs="Calibri"/>
          <w:b/>
          <w:bCs/>
          <w:spacing w:val="-3"/>
          <w:kern w:val="32"/>
          <w:sz w:val="22"/>
          <w:szCs w:val="22"/>
        </w:rPr>
        <w:t xml:space="preserve"> </w:t>
      </w:r>
      <w:r w:rsidRPr="00D6050D">
        <w:rPr>
          <w:rFonts w:ascii="Calibri" w:hAnsi="Calibri" w:cs="Calibri"/>
          <w:b/>
          <w:bCs/>
          <w:kern w:val="32"/>
          <w:sz w:val="22"/>
          <w:szCs w:val="22"/>
        </w:rPr>
        <w:t>of GRIDCO</w:t>
      </w:r>
      <w:r w:rsidRPr="00D6050D">
        <w:rPr>
          <w:rFonts w:ascii="Calibri" w:hAnsi="Calibri" w:cs="Calibri"/>
          <w:b/>
          <w:bCs/>
          <w:spacing w:val="-2"/>
          <w:kern w:val="32"/>
          <w:sz w:val="22"/>
          <w:szCs w:val="22"/>
        </w:rPr>
        <w:t xml:space="preserve"> </w:t>
      </w:r>
      <w:r w:rsidRPr="00D6050D">
        <w:rPr>
          <w:rFonts w:ascii="Calibri" w:hAnsi="Calibri" w:cs="Calibri"/>
          <w:b/>
          <w:bCs/>
          <w:kern w:val="32"/>
          <w:sz w:val="22"/>
          <w:szCs w:val="22"/>
        </w:rPr>
        <w:t>Equity</w:t>
      </w:r>
    </w:p>
    <w:tbl>
      <w:tblPr>
        <w:tblW w:w="8660" w:type="dxa"/>
        <w:tblInd w:w="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0"/>
        <w:gridCol w:w="4842"/>
        <w:gridCol w:w="1217"/>
        <w:gridCol w:w="1521"/>
      </w:tblGrid>
      <w:tr w:rsidR="00974443" w:rsidRPr="00D6050D" w14:paraId="6032F404" w14:textId="77777777" w:rsidTr="00A35221">
        <w:trPr>
          <w:trHeight w:val="301"/>
        </w:trPr>
        <w:tc>
          <w:tcPr>
            <w:tcW w:w="1080" w:type="dxa"/>
            <w:shd w:val="clear" w:color="auto" w:fill="95B3D7" w:themeFill="accent1" w:themeFillTint="99"/>
            <w:noWrap/>
            <w:vAlign w:val="center"/>
            <w:hideMark/>
          </w:tcPr>
          <w:p w14:paraId="68D56B92" w14:textId="77777777" w:rsidR="00974443" w:rsidRPr="00D6050D" w:rsidRDefault="00974443" w:rsidP="00A35221">
            <w:pPr>
              <w:jc w:val="center"/>
              <w:rPr>
                <w:rFonts w:ascii="Calibri" w:hAnsi="Calibri" w:cs="Calibri"/>
                <w:b/>
                <w:bCs/>
                <w:color w:val="000000"/>
                <w:sz w:val="22"/>
                <w:szCs w:val="22"/>
                <w:lang w:eastAsia="en-IN"/>
              </w:rPr>
            </w:pPr>
            <w:r w:rsidRPr="00D6050D">
              <w:rPr>
                <w:rFonts w:ascii="Calibri" w:hAnsi="Calibri" w:cs="Calibri"/>
                <w:b/>
                <w:bCs/>
                <w:color w:val="000000"/>
                <w:sz w:val="22"/>
                <w:szCs w:val="22"/>
                <w:lang w:eastAsia="en-IN"/>
              </w:rPr>
              <w:t>Sr. No.</w:t>
            </w:r>
          </w:p>
        </w:tc>
        <w:tc>
          <w:tcPr>
            <w:tcW w:w="4842" w:type="dxa"/>
            <w:shd w:val="clear" w:color="auto" w:fill="95B3D7" w:themeFill="accent1" w:themeFillTint="99"/>
            <w:noWrap/>
            <w:vAlign w:val="center"/>
            <w:hideMark/>
          </w:tcPr>
          <w:p w14:paraId="5E8CA557" w14:textId="77777777" w:rsidR="00974443" w:rsidRPr="00D6050D" w:rsidRDefault="00974443" w:rsidP="00A35221">
            <w:pPr>
              <w:jc w:val="center"/>
              <w:rPr>
                <w:rFonts w:ascii="Calibri" w:hAnsi="Calibri" w:cs="Calibri"/>
                <w:b/>
                <w:bCs/>
                <w:color w:val="000000"/>
                <w:sz w:val="22"/>
                <w:szCs w:val="22"/>
                <w:lang w:eastAsia="en-IN"/>
              </w:rPr>
            </w:pPr>
            <w:r w:rsidRPr="00D6050D">
              <w:rPr>
                <w:rFonts w:ascii="Calibri" w:hAnsi="Calibri" w:cs="Calibri"/>
                <w:b/>
                <w:bCs/>
                <w:color w:val="000000"/>
                <w:sz w:val="22"/>
                <w:szCs w:val="22"/>
                <w:lang w:eastAsia="en-IN"/>
              </w:rPr>
              <w:t>Particulars</w:t>
            </w:r>
          </w:p>
        </w:tc>
        <w:tc>
          <w:tcPr>
            <w:tcW w:w="1217" w:type="dxa"/>
            <w:shd w:val="clear" w:color="auto" w:fill="95B3D7" w:themeFill="accent1" w:themeFillTint="99"/>
            <w:noWrap/>
            <w:vAlign w:val="center"/>
            <w:hideMark/>
          </w:tcPr>
          <w:p w14:paraId="54AFEA9F" w14:textId="77777777" w:rsidR="00974443" w:rsidRPr="00D6050D" w:rsidRDefault="00974443" w:rsidP="00A35221">
            <w:pPr>
              <w:jc w:val="center"/>
              <w:rPr>
                <w:rFonts w:ascii="Calibri" w:hAnsi="Calibri" w:cs="Calibri"/>
                <w:b/>
                <w:bCs/>
                <w:color w:val="000000"/>
                <w:sz w:val="22"/>
                <w:szCs w:val="22"/>
                <w:lang w:eastAsia="en-IN"/>
              </w:rPr>
            </w:pPr>
            <w:r w:rsidRPr="00D6050D">
              <w:rPr>
                <w:rFonts w:ascii="Calibri" w:hAnsi="Calibri" w:cs="Calibri"/>
                <w:b/>
                <w:bCs/>
                <w:color w:val="000000"/>
                <w:sz w:val="22"/>
                <w:szCs w:val="22"/>
                <w:lang w:eastAsia="en-IN"/>
              </w:rPr>
              <w:t>Units</w:t>
            </w:r>
          </w:p>
        </w:tc>
        <w:tc>
          <w:tcPr>
            <w:tcW w:w="1521" w:type="dxa"/>
            <w:shd w:val="clear" w:color="auto" w:fill="95B3D7" w:themeFill="accent1" w:themeFillTint="99"/>
            <w:noWrap/>
            <w:vAlign w:val="center"/>
            <w:hideMark/>
          </w:tcPr>
          <w:p w14:paraId="7BC8C4CD" w14:textId="77777777" w:rsidR="00974443" w:rsidRPr="00D6050D" w:rsidRDefault="00974443" w:rsidP="00A35221">
            <w:pPr>
              <w:jc w:val="center"/>
              <w:rPr>
                <w:rFonts w:ascii="Calibri" w:hAnsi="Calibri" w:cs="Calibri"/>
                <w:b/>
                <w:bCs/>
                <w:color w:val="000000"/>
                <w:sz w:val="22"/>
                <w:szCs w:val="22"/>
                <w:lang w:eastAsia="en-IN"/>
              </w:rPr>
            </w:pPr>
            <w:r w:rsidRPr="00D6050D">
              <w:rPr>
                <w:rFonts w:ascii="Calibri" w:hAnsi="Calibri" w:cs="Calibri"/>
                <w:b/>
                <w:bCs/>
                <w:color w:val="000000"/>
                <w:sz w:val="22"/>
                <w:szCs w:val="22"/>
                <w:lang w:eastAsia="en-IN"/>
              </w:rPr>
              <w:t>Value</w:t>
            </w:r>
          </w:p>
        </w:tc>
      </w:tr>
      <w:tr w:rsidR="00974443" w:rsidRPr="00D6050D" w14:paraId="5AAC915D" w14:textId="77777777" w:rsidTr="00A35221">
        <w:trPr>
          <w:trHeight w:val="301"/>
        </w:trPr>
        <w:tc>
          <w:tcPr>
            <w:tcW w:w="1080" w:type="dxa"/>
            <w:shd w:val="clear" w:color="auto" w:fill="auto"/>
            <w:noWrap/>
            <w:vAlign w:val="center"/>
            <w:hideMark/>
          </w:tcPr>
          <w:p w14:paraId="1DC82DEC" w14:textId="77777777" w:rsidR="00974443" w:rsidRPr="00D6050D" w:rsidRDefault="00974443" w:rsidP="00A35221">
            <w:pPr>
              <w:jc w:val="center"/>
              <w:rPr>
                <w:rFonts w:ascii="Calibri" w:hAnsi="Calibri" w:cs="Calibri"/>
                <w:b/>
                <w:bCs/>
                <w:color w:val="000000"/>
                <w:sz w:val="22"/>
                <w:szCs w:val="22"/>
                <w:lang w:eastAsia="en-IN"/>
              </w:rPr>
            </w:pPr>
            <w:r w:rsidRPr="00D6050D">
              <w:rPr>
                <w:rFonts w:ascii="Calibri" w:hAnsi="Calibri" w:cs="Calibri"/>
                <w:b/>
                <w:bCs/>
                <w:color w:val="000000"/>
                <w:sz w:val="22"/>
                <w:szCs w:val="22"/>
                <w:lang w:eastAsia="en-IN"/>
              </w:rPr>
              <w:t>a</w:t>
            </w:r>
          </w:p>
        </w:tc>
        <w:tc>
          <w:tcPr>
            <w:tcW w:w="4842" w:type="dxa"/>
            <w:shd w:val="clear" w:color="auto" w:fill="auto"/>
            <w:vAlign w:val="center"/>
            <w:hideMark/>
          </w:tcPr>
          <w:p w14:paraId="239682DD" w14:textId="77777777" w:rsidR="00974443" w:rsidRPr="00D6050D" w:rsidRDefault="00974443" w:rsidP="00A35221">
            <w:pPr>
              <w:rPr>
                <w:rFonts w:ascii="Calibri" w:hAnsi="Calibri" w:cs="Calibri"/>
                <w:color w:val="000000"/>
                <w:sz w:val="22"/>
                <w:szCs w:val="22"/>
                <w:lang w:eastAsia="en-IN"/>
              </w:rPr>
            </w:pPr>
            <w:r w:rsidRPr="00D6050D">
              <w:rPr>
                <w:rFonts w:ascii="Calibri" w:hAnsi="Calibri" w:cs="Calibri"/>
                <w:color w:val="000000"/>
                <w:sz w:val="22"/>
                <w:szCs w:val="22"/>
                <w:lang w:eastAsia="en-IN"/>
              </w:rPr>
              <w:t>Capex/</w:t>
            </w:r>
            <w:proofErr w:type="spellStart"/>
            <w:r w:rsidRPr="00D6050D">
              <w:rPr>
                <w:rFonts w:ascii="Calibri" w:hAnsi="Calibri" w:cs="Calibri"/>
                <w:color w:val="000000"/>
                <w:sz w:val="22"/>
                <w:szCs w:val="22"/>
                <w:lang w:eastAsia="en-IN"/>
              </w:rPr>
              <w:t>Capitalisation</w:t>
            </w:r>
            <w:proofErr w:type="spellEnd"/>
            <w:r w:rsidRPr="00D6050D">
              <w:rPr>
                <w:rFonts w:ascii="Calibri" w:hAnsi="Calibri" w:cs="Calibri"/>
                <w:color w:val="000000"/>
                <w:sz w:val="22"/>
                <w:szCs w:val="22"/>
                <w:lang w:eastAsia="en-IN"/>
              </w:rPr>
              <w:t xml:space="preserve"> of Project</w:t>
            </w:r>
          </w:p>
        </w:tc>
        <w:tc>
          <w:tcPr>
            <w:tcW w:w="1217" w:type="dxa"/>
            <w:shd w:val="clear" w:color="auto" w:fill="auto"/>
            <w:noWrap/>
            <w:vAlign w:val="center"/>
            <w:hideMark/>
          </w:tcPr>
          <w:p w14:paraId="602720BD" w14:textId="77777777" w:rsidR="00974443" w:rsidRPr="00D6050D" w:rsidRDefault="00974443" w:rsidP="00A35221">
            <w:pPr>
              <w:jc w:val="center"/>
              <w:rPr>
                <w:rFonts w:ascii="Calibri" w:hAnsi="Calibri" w:cs="Calibri"/>
                <w:color w:val="000000"/>
                <w:sz w:val="22"/>
                <w:szCs w:val="22"/>
                <w:lang w:eastAsia="en-IN"/>
              </w:rPr>
            </w:pPr>
            <w:r w:rsidRPr="00D6050D">
              <w:rPr>
                <w:rFonts w:ascii="Calibri" w:hAnsi="Calibri" w:cs="Calibri"/>
                <w:color w:val="000000"/>
                <w:sz w:val="22"/>
                <w:szCs w:val="22"/>
                <w:lang w:eastAsia="en-IN"/>
              </w:rPr>
              <w:t>Rs Cr</w:t>
            </w:r>
          </w:p>
        </w:tc>
        <w:tc>
          <w:tcPr>
            <w:tcW w:w="1521" w:type="dxa"/>
            <w:shd w:val="clear" w:color="auto" w:fill="auto"/>
            <w:noWrap/>
            <w:vAlign w:val="center"/>
            <w:hideMark/>
          </w:tcPr>
          <w:p w14:paraId="581FE54D" w14:textId="77777777" w:rsidR="00974443" w:rsidRPr="00D6050D" w:rsidRDefault="00974443" w:rsidP="00A35221">
            <w:pPr>
              <w:jc w:val="center"/>
              <w:rPr>
                <w:rFonts w:ascii="Calibri" w:hAnsi="Calibri" w:cs="Calibri"/>
                <w:color w:val="000000"/>
                <w:sz w:val="22"/>
                <w:szCs w:val="22"/>
                <w:lang w:eastAsia="en-IN"/>
              </w:rPr>
            </w:pPr>
            <w:r w:rsidRPr="00D6050D">
              <w:rPr>
                <w:rFonts w:ascii="Calibri" w:hAnsi="Calibri" w:cs="Calibri"/>
                <w:color w:val="000000"/>
                <w:sz w:val="22"/>
                <w:szCs w:val="22"/>
                <w:lang w:eastAsia="en-IN"/>
              </w:rPr>
              <w:t>100.00</w:t>
            </w:r>
          </w:p>
        </w:tc>
      </w:tr>
      <w:tr w:rsidR="00974443" w:rsidRPr="00D6050D" w14:paraId="7F6A73DE" w14:textId="77777777" w:rsidTr="00A35221">
        <w:trPr>
          <w:trHeight w:val="503"/>
        </w:trPr>
        <w:tc>
          <w:tcPr>
            <w:tcW w:w="1080" w:type="dxa"/>
            <w:shd w:val="clear" w:color="auto" w:fill="auto"/>
            <w:noWrap/>
            <w:vAlign w:val="center"/>
            <w:hideMark/>
          </w:tcPr>
          <w:p w14:paraId="2951872F" w14:textId="77777777" w:rsidR="00974443" w:rsidRPr="00D6050D" w:rsidRDefault="00974443" w:rsidP="00A35221">
            <w:pPr>
              <w:jc w:val="center"/>
              <w:rPr>
                <w:rFonts w:ascii="Calibri" w:hAnsi="Calibri" w:cs="Calibri"/>
                <w:b/>
                <w:bCs/>
                <w:color w:val="000000"/>
                <w:sz w:val="22"/>
                <w:szCs w:val="22"/>
                <w:lang w:eastAsia="en-IN"/>
              </w:rPr>
            </w:pPr>
            <w:r w:rsidRPr="00D6050D">
              <w:rPr>
                <w:rFonts w:ascii="Calibri" w:hAnsi="Calibri" w:cs="Calibri"/>
                <w:b/>
                <w:bCs/>
                <w:color w:val="000000"/>
                <w:sz w:val="22"/>
                <w:szCs w:val="22"/>
                <w:lang w:eastAsia="en-IN"/>
              </w:rPr>
              <w:t>b</w:t>
            </w:r>
          </w:p>
        </w:tc>
        <w:tc>
          <w:tcPr>
            <w:tcW w:w="4842" w:type="dxa"/>
            <w:shd w:val="clear" w:color="auto" w:fill="auto"/>
            <w:vAlign w:val="center"/>
            <w:hideMark/>
          </w:tcPr>
          <w:p w14:paraId="37BBED37" w14:textId="77777777" w:rsidR="00974443" w:rsidRPr="00D6050D" w:rsidRDefault="00974443" w:rsidP="00A35221">
            <w:pPr>
              <w:rPr>
                <w:rFonts w:ascii="Calibri" w:hAnsi="Calibri" w:cs="Calibri"/>
                <w:color w:val="000000"/>
                <w:sz w:val="22"/>
                <w:szCs w:val="22"/>
                <w:lang w:eastAsia="en-IN"/>
              </w:rPr>
            </w:pPr>
            <w:r w:rsidRPr="00D6050D">
              <w:rPr>
                <w:rFonts w:ascii="Calibri" w:hAnsi="Calibri" w:cs="Calibri"/>
                <w:color w:val="000000"/>
                <w:sz w:val="22"/>
                <w:szCs w:val="22"/>
                <w:lang w:eastAsia="en-IN"/>
              </w:rPr>
              <w:t>Additional Capex/</w:t>
            </w:r>
            <w:proofErr w:type="spellStart"/>
            <w:r w:rsidRPr="00D6050D">
              <w:rPr>
                <w:rFonts w:ascii="Calibri" w:hAnsi="Calibri" w:cs="Calibri"/>
                <w:color w:val="000000"/>
                <w:sz w:val="22"/>
                <w:szCs w:val="22"/>
                <w:lang w:eastAsia="en-IN"/>
              </w:rPr>
              <w:t>Capitalisation</w:t>
            </w:r>
            <w:proofErr w:type="spellEnd"/>
            <w:r w:rsidRPr="00D6050D">
              <w:rPr>
                <w:rFonts w:ascii="Calibri" w:hAnsi="Calibri" w:cs="Calibri"/>
                <w:color w:val="000000"/>
                <w:sz w:val="22"/>
                <w:szCs w:val="22"/>
                <w:lang w:eastAsia="en-IN"/>
              </w:rPr>
              <w:t xml:space="preserve"> of Asset (in lieu of Equity investment by GRIDCO)</w:t>
            </w:r>
          </w:p>
        </w:tc>
        <w:tc>
          <w:tcPr>
            <w:tcW w:w="1217" w:type="dxa"/>
            <w:shd w:val="clear" w:color="auto" w:fill="auto"/>
            <w:noWrap/>
            <w:vAlign w:val="center"/>
            <w:hideMark/>
          </w:tcPr>
          <w:p w14:paraId="3F883A56" w14:textId="77777777" w:rsidR="00974443" w:rsidRPr="00D6050D" w:rsidRDefault="00974443" w:rsidP="00A35221">
            <w:pPr>
              <w:jc w:val="center"/>
              <w:rPr>
                <w:rFonts w:ascii="Calibri" w:hAnsi="Calibri" w:cs="Calibri"/>
                <w:color w:val="000000"/>
                <w:sz w:val="22"/>
                <w:szCs w:val="22"/>
                <w:lang w:eastAsia="en-IN"/>
              </w:rPr>
            </w:pPr>
            <w:r w:rsidRPr="00D6050D">
              <w:rPr>
                <w:rFonts w:ascii="Calibri" w:hAnsi="Calibri" w:cs="Calibri"/>
                <w:color w:val="000000"/>
                <w:sz w:val="22"/>
                <w:szCs w:val="22"/>
                <w:lang w:eastAsia="en-IN"/>
              </w:rPr>
              <w:t>Rs Cr</w:t>
            </w:r>
          </w:p>
        </w:tc>
        <w:tc>
          <w:tcPr>
            <w:tcW w:w="1521" w:type="dxa"/>
            <w:shd w:val="clear" w:color="auto" w:fill="auto"/>
            <w:noWrap/>
            <w:vAlign w:val="center"/>
            <w:hideMark/>
          </w:tcPr>
          <w:p w14:paraId="6832C989" w14:textId="77777777" w:rsidR="00974443" w:rsidRPr="00D6050D" w:rsidRDefault="00974443" w:rsidP="00A35221">
            <w:pPr>
              <w:jc w:val="center"/>
              <w:rPr>
                <w:rFonts w:ascii="Calibri" w:hAnsi="Calibri" w:cs="Calibri"/>
                <w:color w:val="000000"/>
                <w:sz w:val="22"/>
                <w:szCs w:val="22"/>
                <w:lang w:eastAsia="en-IN"/>
              </w:rPr>
            </w:pPr>
            <w:r w:rsidRPr="00D6050D">
              <w:rPr>
                <w:rFonts w:ascii="Calibri" w:hAnsi="Calibri" w:cs="Calibri"/>
                <w:color w:val="000000"/>
                <w:sz w:val="22"/>
                <w:szCs w:val="22"/>
                <w:lang w:eastAsia="en-IN"/>
              </w:rPr>
              <w:t>17.20</w:t>
            </w:r>
          </w:p>
        </w:tc>
      </w:tr>
      <w:tr w:rsidR="00974443" w:rsidRPr="00D6050D" w14:paraId="62401611" w14:textId="77777777" w:rsidTr="00A35221">
        <w:trPr>
          <w:trHeight w:val="400"/>
        </w:trPr>
        <w:tc>
          <w:tcPr>
            <w:tcW w:w="1080" w:type="dxa"/>
            <w:shd w:val="clear" w:color="auto" w:fill="auto"/>
            <w:noWrap/>
            <w:vAlign w:val="center"/>
            <w:hideMark/>
          </w:tcPr>
          <w:p w14:paraId="31EC0974" w14:textId="77777777" w:rsidR="00974443" w:rsidRPr="00D6050D" w:rsidRDefault="00974443" w:rsidP="00A35221">
            <w:pPr>
              <w:jc w:val="center"/>
              <w:rPr>
                <w:rFonts w:ascii="Calibri" w:hAnsi="Calibri" w:cs="Calibri"/>
                <w:b/>
                <w:bCs/>
                <w:color w:val="000000"/>
                <w:sz w:val="22"/>
                <w:szCs w:val="22"/>
                <w:lang w:eastAsia="en-IN"/>
              </w:rPr>
            </w:pPr>
            <w:r w:rsidRPr="00D6050D">
              <w:rPr>
                <w:rFonts w:ascii="Calibri" w:hAnsi="Calibri" w:cs="Calibri"/>
                <w:b/>
                <w:bCs/>
                <w:color w:val="000000"/>
                <w:sz w:val="22"/>
                <w:szCs w:val="22"/>
                <w:lang w:eastAsia="en-IN"/>
              </w:rPr>
              <w:t>c=a + b</w:t>
            </w:r>
          </w:p>
        </w:tc>
        <w:tc>
          <w:tcPr>
            <w:tcW w:w="4842" w:type="dxa"/>
            <w:shd w:val="clear" w:color="auto" w:fill="auto"/>
            <w:vAlign w:val="center"/>
            <w:hideMark/>
          </w:tcPr>
          <w:p w14:paraId="47338015" w14:textId="77777777" w:rsidR="00974443" w:rsidRPr="00D6050D" w:rsidRDefault="00974443" w:rsidP="00A35221">
            <w:pPr>
              <w:rPr>
                <w:rFonts w:ascii="Calibri" w:hAnsi="Calibri" w:cs="Calibri"/>
                <w:color w:val="000000"/>
                <w:sz w:val="22"/>
                <w:szCs w:val="22"/>
                <w:lang w:eastAsia="en-IN"/>
              </w:rPr>
            </w:pPr>
            <w:r w:rsidRPr="00D6050D">
              <w:rPr>
                <w:rFonts w:ascii="Calibri" w:hAnsi="Calibri" w:cs="Calibri"/>
                <w:color w:val="000000"/>
                <w:sz w:val="22"/>
                <w:szCs w:val="22"/>
                <w:lang w:eastAsia="en-IN"/>
              </w:rPr>
              <w:t>Total Capex/</w:t>
            </w:r>
            <w:proofErr w:type="spellStart"/>
            <w:r w:rsidRPr="00D6050D">
              <w:rPr>
                <w:rFonts w:ascii="Calibri" w:hAnsi="Calibri" w:cs="Calibri"/>
                <w:color w:val="000000"/>
                <w:sz w:val="22"/>
                <w:szCs w:val="22"/>
                <w:lang w:eastAsia="en-IN"/>
              </w:rPr>
              <w:t>Capitalisation</w:t>
            </w:r>
            <w:proofErr w:type="spellEnd"/>
            <w:r w:rsidRPr="00D6050D">
              <w:rPr>
                <w:rFonts w:ascii="Calibri" w:hAnsi="Calibri" w:cs="Calibri"/>
                <w:color w:val="000000"/>
                <w:sz w:val="22"/>
                <w:szCs w:val="22"/>
                <w:lang w:eastAsia="en-IN"/>
              </w:rPr>
              <w:t xml:space="preserve"> to be allowed</w:t>
            </w:r>
          </w:p>
        </w:tc>
        <w:tc>
          <w:tcPr>
            <w:tcW w:w="1217" w:type="dxa"/>
            <w:shd w:val="clear" w:color="auto" w:fill="auto"/>
            <w:noWrap/>
            <w:vAlign w:val="center"/>
            <w:hideMark/>
          </w:tcPr>
          <w:p w14:paraId="1DC57069" w14:textId="77777777" w:rsidR="00974443" w:rsidRPr="00D6050D" w:rsidRDefault="00974443" w:rsidP="00A35221">
            <w:pPr>
              <w:jc w:val="center"/>
              <w:rPr>
                <w:rFonts w:ascii="Calibri" w:hAnsi="Calibri" w:cs="Calibri"/>
                <w:color w:val="000000"/>
                <w:sz w:val="22"/>
                <w:szCs w:val="22"/>
                <w:lang w:eastAsia="en-IN"/>
              </w:rPr>
            </w:pPr>
            <w:r w:rsidRPr="00D6050D">
              <w:rPr>
                <w:rFonts w:ascii="Calibri" w:hAnsi="Calibri" w:cs="Calibri"/>
                <w:color w:val="000000"/>
                <w:sz w:val="22"/>
                <w:szCs w:val="22"/>
                <w:lang w:eastAsia="en-IN"/>
              </w:rPr>
              <w:t>Rs Cr</w:t>
            </w:r>
          </w:p>
        </w:tc>
        <w:tc>
          <w:tcPr>
            <w:tcW w:w="1521" w:type="dxa"/>
            <w:shd w:val="clear" w:color="auto" w:fill="auto"/>
            <w:noWrap/>
            <w:vAlign w:val="center"/>
            <w:hideMark/>
          </w:tcPr>
          <w:p w14:paraId="3A762A43" w14:textId="77777777" w:rsidR="00974443" w:rsidRPr="00D6050D" w:rsidRDefault="00974443" w:rsidP="00A35221">
            <w:pPr>
              <w:jc w:val="center"/>
              <w:rPr>
                <w:rFonts w:ascii="Calibri" w:hAnsi="Calibri" w:cs="Calibri"/>
                <w:color w:val="000000"/>
                <w:sz w:val="22"/>
                <w:szCs w:val="22"/>
                <w:lang w:eastAsia="en-IN"/>
              </w:rPr>
            </w:pPr>
            <w:r w:rsidRPr="00D6050D">
              <w:rPr>
                <w:rFonts w:ascii="Calibri" w:hAnsi="Calibri" w:cs="Calibri"/>
                <w:color w:val="000000"/>
                <w:sz w:val="22"/>
                <w:szCs w:val="22"/>
                <w:lang w:eastAsia="en-IN"/>
              </w:rPr>
              <w:t>117.20</w:t>
            </w:r>
          </w:p>
        </w:tc>
      </w:tr>
      <w:tr w:rsidR="00974443" w:rsidRPr="00D6050D" w14:paraId="422AE4B5" w14:textId="77777777" w:rsidTr="00A35221">
        <w:trPr>
          <w:trHeight w:val="367"/>
        </w:trPr>
        <w:tc>
          <w:tcPr>
            <w:tcW w:w="1080" w:type="dxa"/>
            <w:shd w:val="clear" w:color="auto" w:fill="auto"/>
            <w:noWrap/>
            <w:vAlign w:val="center"/>
            <w:hideMark/>
          </w:tcPr>
          <w:p w14:paraId="4F9B8030" w14:textId="77777777" w:rsidR="00974443" w:rsidRPr="00D6050D" w:rsidRDefault="00974443" w:rsidP="00A35221">
            <w:pPr>
              <w:jc w:val="center"/>
              <w:rPr>
                <w:rFonts w:ascii="Calibri" w:hAnsi="Calibri" w:cs="Calibri"/>
                <w:b/>
                <w:bCs/>
                <w:color w:val="000000"/>
                <w:sz w:val="22"/>
                <w:szCs w:val="22"/>
                <w:lang w:eastAsia="en-IN"/>
              </w:rPr>
            </w:pPr>
            <w:r w:rsidRPr="00D6050D">
              <w:rPr>
                <w:rFonts w:ascii="Calibri" w:hAnsi="Calibri" w:cs="Calibri"/>
                <w:b/>
                <w:bCs/>
                <w:color w:val="000000"/>
                <w:sz w:val="22"/>
                <w:szCs w:val="22"/>
                <w:lang w:eastAsia="en-IN"/>
              </w:rPr>
              <w:t>d</w:t>
            </w:r>
          </w:p>
        </w:tc>
        <w:tc>
          <w:tcPr>
            <w:tcW w:w="4842" w:type="dxa"/>
            <w:shd w:val="clear" w:color="auto" w:fill="auto"/>
            <w:vAlign w:val="center"/>
            <w:hideMark/>
          </w:tcPr>
          <w:p w14:paraId="1B918E80" w14:textId="77777777" w:rsidR="00974443" w:rsidRPr="00D6050D" w:rsidRDefault="00974443" w:rsidP="00A35221">
            <w:pPr>
              <w:rPr>
                <w:rFonts w:ascii="Calibri" w:hAnsi="Calibri" w:cs="Calibri"/>
                <w:color w:val="000000"/>
                <w:sz w:val="22"/>
                <w:szCs w:val="22"/>
                <w:lang w:eastAsia="en-IN"/>
              </w:rPr>
            </w:pPr>
            <w:r w:rsidRPr="00D6050D">
              <w:rPr>
                <w:rFonts w:ascii="Calibri" w:hAnsi="Calibri" w:cs="Calibri"/>
                <w:color w:val="000000"/>
                <w:sz w:val="22"/>
                <w:szCs w:val="22"/>
                <w:lang w:eastAsia="en-IN"/>
              </w:rPr>
              <w:t>Equity contribution by TPC=c X 30% X 51%</w:t>
            </w:r>
          </w:p>
        </w:tc>
        <w:tc>
          <w:tcPr>
            <w:tcW w:w="1217" w:type="dxa"/>
            <w:shd w:val="clear" w:color="auto" w:fill="auto"/>
            <w:noWrap/>
            <w:vAlign w:val="center"/>
            <w:hideMark/>
          </w:tcPr>
          <w:p w14:paraId="3A148EE8" w14:textId="77777777" w:rsidR="00974443" w:rsidRPr="00D6050D" w:rsidRDefault="00974443" w:rsidP="00A35221">
            <w:pPr>
              <w:jc w:val="center"/>
              <w:rPr>
                <w:rFonts w:ascii="Calibri" w:hAnsi="Calibri" w:cs="Calibri"/>
                <w:color w:val="000000"/>
                <w:sz w:val="22"/>
                <w:szCs w:val="22"/>
                <w:lang w:eastAsia="en-IN"/>
              </w:rPr>
            </w:pPr>
            <w:r w:rsidRPr="00D6050D">
              <w:rPr>
                <w:rFonts w:ascii="Calibri" w:hAnsi="Calibri" w:cs="Calibri"/>
                <w:color w:val="000000"/>
                <w:sz w:val="22"/>
                <w:szCs w:val="22"/>
                <w:lang w:eastAsia="en-IN"/>
              </w:rPr>
              <w:t>Rs Cr</w:t>
            </w:r>
          </w:p>
        </w:tc>
        <w:tc>
          <w:tcPr>
            <w:tcW w:w="1521" w:type="dxa"/>
            <w:shd w:val="clear" w:color="auto" w:fill="auto"/>
            <w:noWrap/>
            <w:vAlign w:val="center"/>
            <w:hideMark/>
          </w:tcPr>
          <w:p w14:paraId="41BB1BEB" w14:textId="77777777" w:rsidR="00974443" w:rsidRPr="00D6050D" w:rsidRDefault="00974443" w:rsidP="00A35221">
            <w:pPr>
              <w:jc w:val="center"/>
              <w:rPr>
                <w:rFonts w:ascii="Calibri" w:hAnsi="Calibri" w:cs="Calibri"/>
                <w:color w:val="000000"/>
                <w:sz w:val="22"/>
                <w:szCs w:val="22"/>
                <w:lang w:eastAsia="en-IN"/>
              </w:rPr>
            </w:pPr>
            <w:r w:rsidRPr="00D6050D">
              <w:rPr>
                <w:rFonts w:ascii="Calibri" w:hAnsi="Calibri" w:cs="Calibri"/>
                <w:color w:val="000000"/>
                <w:sz w:val="22"/>
                <w:szCs w:val="22"/>
                <w:lang w:eastAsia="en-IN"/>
              </w:rPr>
              <w:t>17.90</w:t>
            </w:r>
          </w:p>
        </w:tc>
      </w:tr>
      <w:tr w:rsidR="00974443" w:rsidRPr="00D6050D" w14:paraId="31D355AE" w14:textId="77777777" w:rsidTr="00A35221">
        <w:trPr>
          <w:trHeight w:val="319"/>
        </w:trPr>
        <w:tc>
          <w:tcPr>
            <w:tcW w:w="1080" w:type="dxa"/>
            <w:shd w:val="clear" w:color="auto" w:fill="auto"/>
            <w:noWrap/>
            <w:vAlign w:val="center"/>
            <w:hideMark/>
          </w:tcPr>
          <w:p w14:paraId="0294C189" w14:textId="77777777" w:rsidR="00974443" w:rsidRPr="00D6050D" w:rsidRDefault="00974443" w:rsidP="00A35221">
            <w:pPr>
              <w:jc w:val="center"/>
              <w:rPr>
                <w:rFonts w:ascii="Calibri" w:hAnsi="Calibri" w:cs="Calibri"/>
                <w:b/>
                <w:bCs/>
                <w:color w:val="000000"/>
                <w:sz w:val="22"/>
                <w:szCs w:val="22"/>
                <w:lang w:eastAsia="en-IN"/>
              </w:rPr>
            </w:pPr>
            <w:r w:rsidRPr="00D6050D">
              <w:rPr>
                <w:rFonts w:ascii="Calibri" w:hAnsi="Calibri" w:cs="Calibri"/>
                <w:b/>
                <w:bCs/>
                <w:color w:val="000000"/>
                <w:sz w:val="22"/>
                <w:szCs w:val="22"/>
                <w:lang w:eastAsia="en-IN"/>
              </w:rPr>
              <w:t>e</w:t>
            </w:r>
          </w:p>
        </w:tc>
        <w:tc>
          <w:tcPr>
            <w:tcW w:w="4842" w:type="dxa"/>
            <w:shd w:val="clear" w:color="auto" w:fill="auto"/>
            <w:vAlign w:val="center"/>
            <w:hideMark/>
          </w:tcPr>
          <w:p w14:paraId="1FD146B7" w14:textId="77777777" w:rsidR="00974443" w:rsidRPr="00D6050D" w:rsidRDefault="00974443" w:rsidP="00A35221">
            <w:pPr>
              <w:rPr>
                <w:rFonts w:ascii="Calibri" w:hAnsi="Calibri" w:cs="Calibri"/>
                <w:color w:val="000000"/>
                <w:sz w:val="22"/>
                <w:szCs w:val="22"/>
                <w:lang w:eastAsia="en-IN"/>
              </w:rPr>
            </w:pPr>
            <w:r w:rsidRPr="00D6050D">
              <w:rPr>
                <w:rFonts w:ascii="Calibri" w:hAnsi="Calibri" w:cs="Calibri"/>
                <w:color w:val="000000"/>
                <w:sz w:val="22"/>
                <w:szCs w:val="22"/>
                <w:lang w:eastAsia="en-IN"/>
              </w:rPr>
              <w:t>Equity contribution by GRIDCO=c X 30% X 49%</w:t>
            </w:r>
          </w:p>
        </w:tc>
        <w:tc>
          <w:tcPr>
            <w:tcW w:w="1217" w:type="dxa"/>
            <w:shd w:val="clear" w:color="auto" w:fill="auto"/>
            <w:noWrap/>
            <w:vAlign w:val="center"/>
            <w:hideMark/>
          </w:tcPr>
          <w:p w14:paraId="3A9298D3" w14:textId="77777777" w:rsidR="00974443" w:rsidRPr="00D6050D" w:rsidRDefault="00974443" w:rsidP="00A35221">
            <w:pPr>
              <w:jc w:val="center"/>
              <w:rPr>
                <w:rFonts w:ascii="Calibri" w:hAnsi="Calibri" w:cs="Calibri"/>
                <w:color w:val="000000"/>
                <w:sz w:val="22"/>
                <w:szCs w:val="22"/>
                <w:lang w:eastAsia="en-IN"/>
              </w:rPr>
            </w:pPr>
            <w:r w:rsidRPr="00D6050D">
              <w:rPr>
                <w:rFonts w:ascii="Calibri" w:hAnsi="Calibri" w:cs="Calibri"/>
                <w:color w:val="000000"/>
                <w:sz w:val="22"/>
                <w:szCs w:val="22"/>
                <w:lang w:eastAsia="en-IN"/>
              </w:rPr>
              <w:t>Rs Cr</w:t>
            </w:r>
          </w:p>
        </w:tc>
        <w:tc>
          <w:tcPr>
            <w:tcW w:w="1521" w:type="dxa"/>
            <w:shd w:val="clear" w:color="auto" w:fill="auto"/>
            <w:noWrap/>
            <w:vAlign w:val="center"/>
            <w:hideMark/>
          </w:tcPr>
          <w:p w14:paraId="24FDA5EE" w14:textId="77777777" w:rsidR="00974443" w:rsidRPr="00D6050D" w:rsidRDefault="00974443" w:rsidP="00A35221">
            <w:pPr>
              <w:jc w:val="center"/>
              <w:rPr>
                <w:rFonts w:ascii="Calibri" w:hAnsi="Calibri" w:cs="Calibri"/>
                <w:color w:val="000000"/>
                <w:sz w:val="22"/>
                <w:szCs w:val="22"/>
                <w:lang w:eastAsia="en-IN"/>
              </w:rPr>
            </w:pPr>
            <w:r w:rsidRPr="00D6050D">
              <w:rPr>
                <w:rFonts w:ascii="Calibri" w:hAnsi="Calibri" w:cs="Calibri"/>
                <w:color w:val="000000"/>
                <w:sz w:val="22"/>
                <w:szCs w:val="22"/>
                <w:lang w:eastAsia="en-IN"/>
              </w:rPr>
              <w:t>17.20</w:t>
            </w:r>
          </w:p>
        </w:tc>
      </w:tr>
      <w:tr w:rsidR="00974443" w:rsidRPr="00D6050D" w14:paraId="3707CEC6" w14:textId="77777777" w:rsidTr="00A35221">
        <w:trPr>
          <w:trHeight w:val="301"/>
        </w:trPr>
        <w:tc>
          <w:tcPr>
            <w:tcW w:w="1080" w:type="dxa"/>
            <w:shd w:val="clear" w:color="auto" w:fill="auto"/>
            <w:noWrap/>
            <w:vAlign w:val="center"/>
            <w:hideMark/>
          </w:tcPr>
          <w:p w14:paraId="138AD339" w14:textId="77777777" w:rsidR="00974443" w:rsidRPr="00D6050D" w:rsidRDefault="00974443" w:rsidP="00A35221">
            <w:pPr>
              <w:jc w:val="center"/>
              <w:rPr>
                <w:rFonts w:ascii="Calibri" w:hAnsi="Calibri" w:cs="Calibri"/>
                <w:b/>
                <w:bCs/>
                <w:color w:val="000000"/>
                <w:sz w:val="22"/>
                <w:szCs w:val="22"/>
                <w:lang w:eastAsia="en-IN"/>
              </w:rPr>
            </w:pPr>
            <w:r w:rsidRPr="00D6050D">
              <w:rPr>
                <w:rFonts w:ascii="Calibri" w:hAnsi="Calibri" w:cs="Calibri"/>
                <w:b/>
                <w:bCs/>
                <w:color w:val="000000"/>
                <w:sz w:val="22"/>
                <w:szCs w:val="22"/>
                <w:lang w:eastAsia="en-IN"/>
              </w:rPr>
              <w:t>f</w:t>
            </w:r>
          </w:p>
        </w:tc>
        <w:tc>
          <w:tcPr>
            <w:tcW w:w="4842" w:type="dxa"/>
            <w:shd w:val="clear" w:color="auto" w:fill="auto"/>
            <w:vAlign w:val="center"/>
            <w:hideMark/>
          </w:tcPr>
          <w:p w14:paraId="4FD5F178" w14:textId="77777777" w:rsidR="00974443" w:rsidRPr="00D6050D" w:rsidRDefault="00974443" w:rsidP="00A35221">
            <w:pPr>
              <w:rPr>
                <w:rFonts w:ascii="Calibri" w:hAnsi="Calibri" w:cs="Calibri"/>
                <w:color w:val="000000"/>
                <w:sz w:val="22"/>
                <w:szCs w:val="22"/>
                <w:lang w:eastAsia="en-IN"/>
              </w:rPr>
            </w:pPr>
            <w:r w:rsidRPr="00D6050D">
              <w:rPr>
                <w:rFonts w:ascii="Calibri" w:hAnsi="Calibri" w:cs="Calibri"/>
                <w:color w:val="000000"/>
                <w:sz w:val="22"/>
                <w:szCs w:val="22"/>
                <w:lang w:eastAsia="en-IN"/>
              </w:rPr>
              <w:t>Equity for Tariff= 30% of c</w:t>
            </w:r>
          </w:p>
        </w:tc>
        <w:tc>
          <w:tcPr>
            <w:tcW w:w="1217" w:type="dxa"/>
            <w:shd w:val="clear" w:color="auto" w:fill="auto"/>
            <w:noWrap/>
            <w:vAlign w:val="center"/>
            <w:hideMark/>
          </w:tcPr>
          <w:p w14:paraId="5D9D7889" w14:textId="77777777" w:rsidR="00974443" w:rsidRPr="00D6050D" w:rsidRDefault="00974443" w:rsidP="00A35221">
            <w:pPr>
              <w:jc w:val="center"/>
              <w:rPr>
                <w:rFonts w:ascii="Calibri" w:hAnsi="Calibri" w:cs="Calibri"/>
                <w:color w:val="000000"/>
                <w:sz w:val="22"/>
                <w:szCs w:val="22"/>
                <w:lang w:eastAsia="en-IN"/>
              </w:rPr>
            </w:pPr>
            <w:r w:rsidRPr="00D6050D">
              <w:rPr>
                <w:rFonts w:ascii="Calibri" w:hAnsi="Calibri" w:cs="Calibri"/>
                <w:color w:val="000000"/>
                <w:sz w:val="22"/>
                <w:szCs w:val="22"/>
                <w:lang w:eastAsia="en-IN"/>
              </w:rPr>
              <w:t>Rs Cr</w:t>
            </w:r>
          </w:p>
        </w:tc>
        <w:tc>
          <w:tcPr>
            <w:tcW w:w="1521" w:type="dxa"/>
            <w:shd w:val="clear" w:color="auto" w:fill="auto"/>
            <w:noWrap/>
            <w:vAlign w:val="center"/>
            <w:hideMark/>
          </w:tcPr>
          <w:p w14:paraId="7D2607D7" w14:textId="77777777" w:rsidR="00974443" w:rsidRPr="00D6050D" w:rsidRDefault="00974443" w:rsidP="00A35221">
            <w:pPr>
              <w:jc w:val="center"/>
              <w:rPr>
                <w:rFonts w:ascii="Calibri" w:hAnsi="Calibri" w:cs="Calibri"/>
                <w:color w:val="000000"/>
                <w:sz w:val="22"/>
                <w:szCs w:val="22"/>
                <w:lang w:eastAsia="en-IN"/>
              </w:rPr>
            </w:pPr>
            <w:r w:rsidRPr="00D6050D">
              <w:rPr>
                <w:rFonts w:ascii="Calibri" w:hAnsi="Calibri" w:cs="Calibri"/>
                <w:color w:val="000000"/>
                <w:sz w:val="22"/>
                <w:szCs w:val="22"/>
                <w:lang w:eastAsia="en-IN"/>
              </w:rPr>
              <w:t>35.20</w:t>
            </w:r>
          </w:p>
        </w:tc>
      </w:tr>
      <w:tr w:rsidR="00974443" w:rsidRPr="00D6050D" w14:paraId="16CCA5B3" w14:textId="77777777" w:rsidTr="00A35221">
        <w:trPr>
          <w:trHeight w:val="301"/>
        </w:trPr>
        <w:tc>
          <w:tcPr>
            <w:tcW w:w="1080" w:type="dxa"/>
            <w:shd w:val="clear" w:color="auto" w:fill="auto"/>
            <w:noWrap/>
            <w:vAlign w:val="center"/>
            <w:hideMark/>
          </w:tcPr>
          <w:p w14:paraId="41944B96" w14:textId="77777777" w:rsidR="00974443" w:rsidRPr="00D6050D" w:rsidRDefault="00974443" w:rsidP="00A35221">
            <w:pPr>
              <w:jc w:val="center"/>
              <w:rPr>
                <w:rFonts w:ascii="Calibri" w:hAnsi="Calibri" w:cs="Calibri"/>
                <w:b/>
                <w:bCs/>
                <w:color w:val="000000"/>
                <w:sz w:val="22"/>
                <w:szCs w:val="22"/>
                <w:lang w:eastAsia="en-IN"/>
              </w:rPr>
            </w:pPr>
            <w:r w:rsidRPr="00D6050D">
              <w:rPr>
                <w:rFonts w:ascii="Calibri" w:hAnsi="Calibri" w:cs="Calibri"/>
                <w:b/>
                <w:bCs/>
                <w:color w:val="000000"/>
                <w:sz w:val="22"/>
                <w:szCs w:val="22"/>
                <w:lang w:eastAsia="en-IN"/>
              </w:rPr>
              <w:t>g</w:t>
            </w:r>
          </w:p>
        </w:tc>
        <w:tc>
          <w:tcPr>
            <w:tcW w:w="4842" w:type="dxa"/>
            <w:shd w:val="clear" w:color="auto" w:fill="auto"/>
            <w:vAlign w:val="center"/>
            <w:hideMark/>
          </w:tcPr>
          <w:p w14:paraId="7124822C" w14:textId="77777777" w:rsidR="00974443" w:rsidRPr="00D6050D" w:rsidRDefault="00974443" w:rsidP="00A35221">
            <w:pPr>
              <w:rPr>
                <w:rFonts w:ascii="Calibri" w:hAnsi="Calibri" w:cs="Calibri"/>
                <w:color w:val="000000"/>
                <w:sz w:val="22"/>
                <w:szCs w:val="22"/>
                <w:lang w:eastAsia="en-IN"/>
              </w:rPr>
            </w:pPr>
            <w:r w:rsidRPr="00D6050D">
              <w:rPr>
                <w:rFonts w:ascii="Calibri" w:hAnsi="Calibri" w:cs="Calibri"/>
                <w:color w:val="000000"/>
                <w:sz w:val="22"/>
                <w:szCs w:val="22"/>
                <w:lang w:eastAsia="en-IN"/>
              </w:rPr>
              <w:t>Debt for Tariff=70% of c</w:t>
            </w:r>
          </w:p>
        </w:tc>
        <w:tc>
          <w:tcPr>
            <w:tcW w:w="1217" w:type="dxa"/>
            <w:shd w:val="clear" w:color="auto" w:fill="auto"/>
            <w:noWrap/>
            <w:vAlign w:val="center"/>
            <w:hideMark/>
          </w:tcPr>
          <w:p w14:paraId="20A2B32B" w14:textId="77777777" w:rsidR="00974443" w:rsidRPr="00D6050D" w:rsidRDefault="00974443" w:rsidP="00A35221">
            <w:pPr>
              <w:jc w:val="center"/>
              <w:rPr>
                <w:rFonts w:ascii="Calibri" w:hAnsi="Calibri" w:cs="Calibri"/>
                <w:color w:val="000000"/>
                <w:sz w:val="22"/>
                <w:szCs w:val="22"/>
                <w:lang w:eastAsia="en-IN"/>
              </w:rPr>
            </w:pPr>
            <w:r w:rsidRPr="00D6050D">
              <w:rPr>
                <w:rFonts w:ascii="Calibri" w:hAnsi="Calibri" w:cs="Calibri"/>
                <w:color w:val="000000"/>
                <w:sz w:val="22"/>
                <w:szCs w:val="22"/>
                <w:lang w:eastAsia="en-IN"/>
              </w:rPr>
              <w:t>Rs Cr</w:t>
            </w:r>
          </w:p>
        </w:tc>
        <w:tc>
          <w:tcPr>
            <w:tcW w:w="1521" w:type="dxa"/>
            <w:shd w:val="clear" w:color="auto" w:fill="auto"/>
            <w:noWrap/>
            <w:vAlign w:val="center"/>
            <w:hideMark/>
          </w:tcPr>
          <w:p w14:paraId="1CC042BA" w14:textId="77777777" w:rsidR="00974443" w:rsidRPr="00D6050D" w:rsidRDefault="00974443" w:rsidP="00A35221">
            <w:pPr>
              <w:jc w:val="center"/>
              <w:rPr>
                <w:rFonts w:ascii="Calibri" w:hAnsi="Calibri" w:cs="Calibri"/>
                <w:color w:val="000000"/>
                <w:sz w:val="22"/>
                <w:szCs w:val="22"/>
                <w:lang w:eastAsia="en-IN"/>
              </w:rPr>
            </w:pPr>
            <w:r w:rsidRPr="00D6050D">
              <w:rPr>
                <w:rFonts w:ascii="Calibri" w:hAnsi="Calibri" w:cs="Calibri"/>
                <w:color w:val="000000"/>
                <w:sz w:val="22"/>
                <w:szCs w:val="22"/>
                <w:lang w:eastAsia="en-IN"/>
              </w:rPr>
              <w:t>82.10</w:t>
            </w:r>
          </w:p>
        </w:tc>
      </w:tr>
    </w:tbl>
    <w:p w14:paraId="43FD8C7C" w14:textId="77777777" w:rsidR="00974443" w:rsidRPr="00D6050D" w:rsidRDefault="00974443" w:rsidP="00974443">
      <w:pPr>
        <w:spacing w:after="120" w:line="360" w:lineRule="auto"/>
        <w:ind w:right="714"/>
        <w:jc w:val="both"/>
        <w:rPr>
          <w:rFonts w:ascii="Calibri" w:hAnsi="Calibri" w:cs="Calibri"/>
          <w:sz w:val="22"/>
          <w:szCs w:val="22"/>
        </w:rPr>
      </w:pPr>
    </w:p>
    <w:p w14:paraId="71033D52" w14:textId="77777777" w:rsidR="00974443" w:rsidRPr="00D6050D" w:rsidRDefault="00974443" w:rsidP="00974443">
      <w:pPr>
        <w:spacing w:after="120" w:line="360" w:lineRule="auto"/>
        <w:ind w:left="567"/>
        <w:jc w:val="both"/>
        <w:rPr>
          <w:rFonts w:ascii="Calibri" w:hAnsi="Calibri" w:cs="Calibri"/>
          <w:sz w:val="22"/>
          <w:szCs w:val="22"/>
        </w:rPr>
      </w:pPr>
      <w:r w:rsidRPr="00D6050D">
        <w:rPr>
          <w:rFonts w:ascii="Calibri" w:hAnsi="Calibri" w:cs="Calibri"/>
          <w:sz w:val="22"/>
          <w:szCs w:val="22"/>
        </w:rPr>
        <w:t xml:space="preserve">Hence for every </w:t>
      </w:r>
      <w:r>
        <w:rPr>
          <w:rFonts w:ascii="Calibri" w:hAnsi="Calibri" w:cs="Calibri"/>
          <w:sz w:val="22"/>
          <w:szCs w:val="22"/>
        </w:rPr>
        <w:t>Rs.</w:t>
      </w:r>
      <w:r w:rsidRPr="00D6050D">
        <w:rPr>
          <w:rFonts w:ascii="Calibri" w:hAnsi="Calibri" w:cs="Calibri"/>
          <w:sz w:val="22"/>
          <w:szCs w:val="22"/>
        </w:rPr>
        <w:t xml:space="preserve"> One crore of capex/ capitalization incurred/achieved by TPNODL after the</w:t>
      </w:r>
      <w:r w:rsidRPr="00D6050D">
        <w:rPr>
          <w:rFonts w:ascii="Calibri" w:hAnsi="Calibri" w:cs="Calibri"/>
          <w:spacing w:val="1"/>
          <w:sz w:val="22"/>
          <w:szCs w:val="22"/>
        </w:rPr>
        <w:t xml:space="preserve"> </w:t>
      </w:r>
      <w:r w:rsidRPr="00D6050D">
        <w:rPr>
          <w:rFonts w:ascii="Calibri" w:hAnsi="Calibri" w:cs="Calibri"/>
          <w:sz w:val="22"/>
          <w:szCs w:val="22"/>
        </w:rPr>
        <w:t>Effective</w:t>
      </w:r>
      <w:r w:rsidRPr="00D6050D">
        <w:rPr>
          <w:rFonts w:ascii="Calibri" w:hAnsi="Calibri" w:cs="Calibri"/>
          <w:spacing w:val="1"/>
          <w:sz w:val="22"/>
          <w:szCs w:val="22"/>
        </w:rPr>
        <w:t xml:space="preserve"> </w:t>
      </w:r>
      <w:r w:rsidRPr="00D6050D">
        <w:rPr>
          <w:rFonts w:ascii="Calibri" w:hAnsi="Calibri" w:cs="Calibri"/>
          <w:sz w:val="22"/>
          <w:szCs w:val="22"/>
        </w:rPr>
        <w:t>date,</w:t>
      </w:r>
      <w:r w:rsidRPr="00D6050D">
        <w:rPr>
          <w:rFonts w:ascii="Calibri" w:hAnsi="Calibri" w:cs="Calibri"/>
          <w:spacing w:val="1"/>
          <w:sz w:val="22"/>
          <w:szCs w:val="22"/>
        </w:rPr>
        <w:t xml:space="preserve"> </w:t>
      </w:r>
      <w:r w:rsidRPr="00D6050D">
        <w:rPr>
          <w:rFonts w:ascii="Calibri" w:hAnsi="Calibri" w:cs="Calibri"/>
          <w:sz w:val="22"/>
          <w:szCs w:val="22"/>
        </w:rPr>
        <w:t>the</w:t>
      </w:r>
      <w:r w:rsidRPr="00D6050D">
        <w:rPr>
          <w:rFonts w:ascii="Calibri" w:hAnsi="Calibri" w:cs="Calibri"/>
          <w:spacing w:val="1"/>
          <w:sz w:val="22"/>
          <w:szCs w:val="22"/>
        </w:rPr>
        <w:t xml:space="preserve"> </w:t>
      </w:r>
      <w:r w:rsidRPr="00D6050D">
        <w:rPr>
          <w:rFonts w:ascii="Calibri" w:hAnsi="Calibri" w:cs="Calibri"/>
          <w:sz w:val="22"/>
          <w:szCs w:val="22"/>
        </w:rPr>
        <w:t>Hon'ble</w:t>
      </w:r>
      <w:r w:rsidRPr="00D6050D">
        <w:rPr>
          <w:rFonts w:ascii="Calibri" w:hAnsi="Calibri" w:cs="Calibri"/>
          <w:spacing w:val="1"/>
          <w:sz w:val="22"/>
          <w:szCs w:val="22"/>
        </w:rPr>
        <w:t xml:space="preserve"> </w:t>
      </w:r>
      <w:r w:rsidRPr="00D6050D">
        <w:rPr>
          <w:rFonts w:ascii="Calibri" w:hAnsi="Calibri" w:cs="Calibri"/>
          <w:sz w:val="22"/>
          <w:szCs w:val="22"/>
        </w:rPr>
        <w:t>Commission</w:t>
      </w:r>
      <w:r w:rsidRPr="00D6050D">
        <w:rPr>
          <w:rFonts w:ascii="Calibri" w:hAnsi="Calibri" w:cs="Calibri"/>
          <w:spacing w:val="1"/>
          <w:sz w:val="22"/>
          <w:szCs w:val="22"/>
        </w:rPr>
        <w:t xml:space="preserve"> </w:t>
      </w:r>
      <w:r w:rsidRPr="00D6050D">
        <w:rPr>
          <w:rFonts w:ascii="Calibri" w:hAnsi="Calibri" w:cs="Calibri"/>
          <w:sz w:val="22"/>
          <w:szCs w:val="22"/>
        </w:rPr>
        <w:t>is</w:t>
      </w:r>
      <w:r w:rsidRPr="00D6050D">
        <w:rPr>
          <w:rFonts w:ascii="Calibri" w:hAnsi="Calibri" w:cs="Calibri"/>
          <w:spacing w:val="1"/>
          <w:sz w:val="22"/>
          <w:szCs w:val="22"/>
        </w:rPr>
        <w:t xml:space="preserve"> </w:t>
      </w:r>
      <w:r w:rsidRPr="00D6050D">
        <w:rPr>
          <w:rFonts w:ascii="Calibri" w:hAnsi="Calibri" w:cs="Calibri"/>
          <w:sz w:val="22"/>
          <w:szCs w:val="22"/>
        </w:rPr>
        <w:t>requested</w:t>
      </w:r>
      <w:r w:rsidRPr="00D6050D">
        <w:rPr>
          <w:rFonts w:ascii="Calibri" w:hAnsi="Calibri" w:cs="Calibri"/>
          <w:spacing w:val="1"/>
          <w:sz w:val="22"/>
          <w:szCs w:val="22"/>
        </w:rPr>
        <w:t xml:space="preserve"> </w:t>
      </w:r>
      <w:r w:rsidRPr="00D6050D">
        <w:rPr>
          <w:rFonts w:ascii="Calibri" w:hAnsi="Calibri" w:cs="Calibri"/>
          <w:sz w:val="22"/>
          <w:szCs w:val="22"/>
        </w:rPr>
        <w:t>to</w:t>
      </w:r>
      <w:r w:rsidRPr="00D6050D">
        <w:rPr>
          <w:rFonts w:ascii="Calibri" w:hAnsi="Calibri" w:cs="Calibri"/>
          <w:spacing w:val="1"/>
          <w:sz w:val="22"/>
          <w:szCs w:val="22"/>
        </w:rPr>
        <w:t xml:space="preserve"> </w:t>
      </w:r>
      <w:r w:rsidRPr="00D6050D">
        <w:rPr>
          <w:rFonts w:ascii="Calibri" w:hAnsi="Calibri" w:cs="Calibri"/>
          <w:sz w:val="22"/>
          <w:szCs w:val="22"/>
        </w:rPr>
        <w:t>approve</w:t>
      </w:r>
      <w:r w:rsidRPr="00D6050D">
        <w:rPr>
          <w:rFonts w:ascii="Calibri" w:hAnsi="Calibri" w:cs="Calibri"/>
          <w:spacing w:val="1"/>
          <w:sz w:val="22"/>
          <w:szCs w:val="22"/>
        </w:rPr>
        <w:t xml:space="preserve"> </w:t>
      </w:r>
      <w:r>
        <w:rPr>
          <w:rFonts w:ascii="Calibri" w:hAnsi="Calibri" w:cs="Calibri"/>
          <w:sz w:val="22"/>
          <w:szCs w:val="22"/>
        </w:rPr>
        <w:t>Rs.</w:t>
      </w:r>
      <w:r w:rsidRPr="00D6050D">
        <w:rPr>
          <w:rFonts w:ascii="Calibri" w:hAnsi="Calibri" w:cs="Calibri"/>
          <w:sz w:val="22"/>
          <w:szCs w:val="22"/>
        </w:rPr>
        <w:t xml:space="preserve"> 1.172</w:t>
      </w:r>
      <w:r w:rsidRPr="00D6050D">
        <w:rPr>
          <w:rFonts w:ascii="Calibri" w:hAnsi="Calibri" w:cs="Calibri"/>
          <w:spacing w:val="1"/>
          <w:sz w:val="22"/>
          <w:szCs w:val="22"/>
        </w:rPr>
        <w:t xml:space="preserve"> </w:t>
      </w:r>
      <w:r w:rsidRPr="00D6050D">
        <w:rPr>
          <w:rFonts w:ascii="Calibri" w:hAnsi="Calibri" w:cs="Calibri"/>
          <w:sz w:val="22"/>
          <w:szCs w:val="22"/>
        </w:rPr>
        <w:t>crores</w:t>
      </w:r>
      <w:r w:rsidRPr="00D6050D">
        <w:rPr>
          <w:rFonts w:ascii="Calibri" w:hAnsi="Calibri" w:cs="Calibri"/>
          <w:spacing w:val="1"/>
          <w:sz w:val="22"/>
          <w:szCs w:val="22"/>
        </w:rPr>
        <w:t xml:space="preserve"> </w:t>
      </w:r>
      <w:r w:rsidRPr="00D6050D">
        <w:rPr>
          <w:rFonts w:ascii="Calibri" w:hAnsi="Calibri" w:cs="Calibri"/>
          <w:sz w:val="22"/>
          <w:szCs w:val="22"/>
        </w:rPr>
        <w:t>of</w:t>
      </w:r>
      <w:r w:rsidRPr="00D6050D">
        <w:rPr>
          <w:rFonts w:ascii="Calibri" w:hAnsi="Calibri" w:cs="Calibri"/>
          <w:spacing w:val="1"/>
          <w:sz w:val="22"/>
          <w:szCs w:val="22"/>
        </w:rPr>
        <w:t xml:space="preserve"> </w:t>
      </w:r>
      <w:r w:rsidRPr="00D6050D">
        <w:rPr>
          <w:rFonts w:ascii="Calibri" w:hAnsi="Calibri" w:cs="Calibri"/>
          <w:sz w:val="22"/>
          <w:szCs w:val="22"/>
        </w:rPr>
        <w:t>capex/</w:t>
      </w:r>
      <w:r w:rsidRPr="00D6050D">
        <w:rPr>
          <w:rFonts w:ascii="Calibri" w:hAnsi="Calibri" w:cs="Calibri"/>
          <w:spacing w:val="-52"/>
          <w:sz w:val="22"/>
          <w:szCs w:val="22"/>
        </w:rPr>
        <w:t xml:space="preserve"> </w:t>
      </w:r>
      <w:r w:rsidRPr="00D6050D">
        <w:rPr>
          <w:rFonts w:ascii="Calibri" w:hAnsi="Calibri" w:cs="Calibri"/>
          <w:sz w:val="22"/>
          <w:szCs w:val="22"/>
        </w:rPr>
        <w:t xml:space="preserve">capitalization. Out of this, as a contribution of the share towards equity, assets worth </w:t>
      </w:r>
      <w:r>
        <w:rPr>
          <w:rFonts w:ascii="Calibri" w:hAnsi="Calibri" w:cs="Calibri"/>
          <w:sz w:val="22"/>
          <w:szCs w:val="22"/>
        </w:rPr>
        <w:t>Rs.</w:t>
      </w:r>
      <w:r w:rsidRPr="00D6050D">
        <w:rPr>
          <w:rFonts w:ascii="Calibri" w:hAnsi="Calibri" w:cs="Calibri"/>
          <w:sz w:val="22"/>
          <w:szCs w:val="22"/>
        </w:rPr>
        <w:t xml:space="preserve"> 0.172</w:t>
      </w:r>
      <w:r w:rsidRPr="00D6050D">
        <w:rPr>
          <w:rFonts w:ascii="Calibri" w:hAnsi="Calibri" w:cs="Calibri"/>
          <w:spacing w:val="1"/>
          <w:sz w:val="22"/>
          <w:szCs w:val="22"/>
        </w:rPr>
        <w:t xml:space="preserve"> </w:t>
      </w:r>
      <w:r w:rsidRPr="00D6050D">
        <w:rPr>
          <w:rFonts w:ascii="Calibri" w:hAnsi="Calibri" w:cs="Calibri"/>
          <w:sz w:val="22"/>
          <w:szCs w:val="22"/>
        </w:rPr>
        <w:t>Crores will be brought into TPNODL by GRIDCO from the assets existing outside TPNODL but</w:t>
      </w:r>
      <w:r w:rsidRPr="00D6050D">
        <w:rPr>
          <w:rFonts w:ascii="Calibri" w:hAnsi="Calibri" w:cs="Calibri"/>
          <w:spacing w:val="1"/>
          <w:sz w:val="22"/>
          <w:szCs w:val="22"/>
        </w:rPr>
        <w:t xml:space="preserve"> </w:t>
      </w:r>
      <w:r w:rsidRPr="00D6050D">
        <w:rPr>
          <w:rFonts w:ascii="Calibri" w:hAnsi="Calibri" w:cs="Calibri"/>
          <w:sz w:val="22"/>
          <w:szCs w:val="22"/>
        </w:rPr>
        <w:t>which can be</w:t>
      </w:r>
      <w:r w:rsidRPr="00D6050D">
        <w:rPr>
          <w:rFonts w:ascii="Calibri" w:hAnsi="Calibri" w:cs="Calibri"/>
          <w:spacing w:val="-2"/>
          <w:sz w:val="22"/>
          <w:szCs w:val="22"/>
        </w:rPr>
        <w:t xml:space="preserve"> </w:t>
      </w:r>
      <w:r w:rsidRPr="00D6050D">
        <w:rPr>
          <w:rFonts w:ascii="Calibri" w:hAnsi="Calibri" w:cs="Calibri"/>
          <w:sz w:val="22"/>
          <w:szCs w:val="22"/>
        </w:rPr>
        <w:t>used for distribution</w:t>
      </w:r>
      <w:r w:rsidRPr="00D6050D">
        <w:rPr>
          <w:rFonts w:ascii="Calibri" w:hAnsi="Calibri" w:cs="Calibri"/>
          <w:spacing w:val="-1"/>
          <w:sz w:val="22"/>
          <w:szCs w:val="22"/>
        </w:rPr>
        <w:t xml:space="preserve"> </w:t>
      </w:r>
      <w:r w:rsidRPr="00D6050D">
        <w:rPr>
          <w:rFonts w:ascii="Calibri" w:hAnsi="Calibri" w:cs="Calibri"/>
          <w:sz w:val="22"/>
          <w:szCs w:val="22"/>
        </w:rPr>
        <w:t>business.</w:t>
      </w:r>
    </w:p>
    <w:p w14:paraId="24546F8C" w14:textId="16EE61AE" w:rsidR="00974443" w:rsidRPr="00C369B5" w:rsidRDefault="00974443" w:rsidP="00974443">
      <w:pPr>
        <w:spacing w:after="120" w:line="360" w:lineRule="auto"/>
        <w:ind w:right="714"/>
        <w:jc w:val="both"/>
        <w:rPr>
          <w:rFonts w:ascii="Calibri" w:hAnsi="Calibri" w:cs="Calibri"/>
          <w:b/>
          <w:szCs w:val="22"/>
        </w:rPr>
      </w:pPr>
      <w:r w:rsidRPr="00C369B5">
        <w:rPr>
          <w:rFonts w:ascii="Calibri" w:hAnsi="Calibri" w:cs="Calibri"/>
          <w:b/>
          <w:szCs w:val="22"/>
        </w:rPr>
        <w:t xml:space="preserve">         </w:t>
      </w:r>
      <w:r w:rsidR="00C369B5" w:rsidRPr="00C369B5">
        <w:rPr>
          <w:rFonts w:ascii="Calibri" w:hAnsi="Calibri" w:cs="Calibri"/>
          <w:b/>
          <w:szCs w:val="22"/>
        </w:rPr>
        <w:t>2.1</w:t>
      </w:r>
      <w:r w:rsidR="00996459">
        <w:rPr>
          <w:rFonts w:ascii="Calibri" w:hAnsi="Calibri" w:cs="Calibri"/>
          <w:b/>
          <w:szCs w:val="22"/>
        </w:rPr>
        <w:t>1.3</w:t>
      </w:r>
      <w:r w:rsidR="00C369B5" w:rsidRPr="00C369B5">
        <w:rPr>
          <w:rFonts w:ascii="Calibri" w:hAnsi="Calibri" w:cs="Calibri"/>
          <w:b/>
          <w:szCs w:val="22"/>
        </w:rPr>
        <w:t xml:space="preserve"> </w:t>
      </w:r>
      <w:r w:rsidRPr="00C369B5">
        <w:rPr>
          <w:rFonts w:ascii="Calibri" w:hAnsi="Calibri" w:cs="Calibri"/>
          <w:b/>
          <w:szCs w:val="22"/>
        </w:rPr>
        <w:t>Summary</w:t>
      </w:r>
      <w:r w:rsidRPr="00C369B5">
        <w:rPr>
          <w:rFonts w:ascii="Calibri" w:hAnsi="Calibri" w:cs="Calibri"/>
          <w:b/>
          <w:spacing w:val="-5"/>
          <w:szCs w:val="22"/>
        </w:rPr>
        <w:t xml:space="preserve"> </w:t>
      </w:r>
      <w:r w:rsidRPr="00C369B5">
        <w:rPr>
          <w:rFonts w:ascii="Calibri" w:hAnsi="Calibri" w:cs="Calibri"/>
          <w:b/>
          <w:szCs w:val="22"/>
        </w:rPr>
        <w:t>of</w:t>
      </w:r>
      <w:r w:rsidRPr="00C369B5">
        <w:rPr>
          <w:rFonts w:ascii="Calibri" w:hAnsi="Calibri" w:cs="Calibri"/>
          <w:b/>
          <w:spacing w:val="-3"/>
          <w:szCs w:val="22"/>
        </w:rPr>
        <w:t xml:space="preserve"> </w:t>
      </w:r>
      <w:r w:rsidRPr="00C369B5">
        <w:rPr>
          <w:rFonts w:ascii="Calibri" w:hAnsi="Calibri" w:cs="Calibri"/>
          <w:b/>
          <w:szCs w:val="22"/>
        </w:rPr>
        <w:t>Capitalization</w:t>
      </w:r>
    </w:p>
    <w:p w14:paraId="564811F8" w14:textId="77777777" w:rsidR="00974443" w:rsidRPr="00E35B57" w:rsidRDefault="00974443" w:rsidP="00974443">
      <w:pPr>
        <w:spacing w:after="120" w:line="360" w:lineRule="auto"/>
        <w:ind w:left="113"/>
        <w:jc w:val="both"/>
        <w:rPr>
          <w:rFonts w:ascii="Calibri" w:hAnsi="Calibri" w:cs="Calibri"/>
          <w:sz w:val="22"/>
          <w:szCs w:val="22"/>
        </w:rPr>
      </w:pPr>
      <w:r w:rsidRPr="00D6050D">
        <w:rPr>
          <w:rFonts w:ascii="Calibri" w:hAnsi="Calibri" w:cs="Calibri"/>
          <w:sz w:val="22"/>
          <w:szCs w:val="22"/>
        </w:rPr>
        <w:t xml:space="preserve">         The</w:t>
      </w:r>
      <w:r w:rsidRPr="00D6050D">
        <w:rPr>
          <w:rFonts w:ascii="Calibri" w:hAnsi="Calibri" w:cs="Calibri"/>
          <w:spacing w:val="-2"/>
          <w:sz w:val="22"/>
          <w:szCs w:val="22"/>
        </w:rPr>
        <w:t xml:space="preserve"> </w:t>
      </w:r>
      <w:r w:rsidRPr="00D6050D">
        <w:rPr>
          <w:rFonts w:ascii="Calibri" w:hAnsi="Calibri" w:cs="Calibri"/>
          <w:sz w:val="22"/>
          <w:szCs w:val="22"/>
        </w:rPr>
        <w:t>summary</w:t>
      </w:r>
      <w:r w:rsidRPr="00D6050D">
        <w:rPr>
          <w:rFonts w:ascii="Calibri" w:hAnsi="Calibri" w:cs="Calibri"/>
          <w:spacing w:val="-3"/>
          <w:sz w:val="22"/>
          <w:szCs w:val="22"/>
        </w:rPr>
        <w:t xml:space="preserve"> </w:t>
      </w:r>
      <w:r w:rsidRPr="00D6050D">
        <w:rPr>
          <w:rFonts w:ascii="Calibri" w:hAnsi="Calibri" w:cs="Calibri"/>
          <w:sz w:val="22"/>
          <w:szCs w:val="22"/>
        </w:rPr>
        <w:t>of</w:t>
      </w:r>
      <w:r w:rsidRPr="00D6050D">
        <w:rPr>
          <w:rFonts w:ascii="Calibri" w:hAnsi="Calibri" w:cs="Calibri"/>
          <w:spacing w:val="-3"/>
          <w:sz w:val="22"/>
          <w:szCs w:val="22"/>
        </w:rPr>
        <w:t xml:space="preserve"> </w:t>
      </w:r>
      <w:r w:rsidRPr="00D6050D">
        <w:rPr>
          <w:rFonts w:ascii="Calibri" w:hAnsi="Calibri" w:cs="Calibri"/>
          <w:sz w:val="22"/>
          <w:szCs w:val="22"/>
        </w:rPr>
        <w:t>the</w:t>
      </w:r>
      <w:r w:rsidRPr="00D6050D">
        <w:rPr>
          <w:rFonts w:ascii="Calibri" w:hAnsi="Calibri" w:cs="Calibri"/>
          <w:spacing w:val="1"/>
          <w:sz w:val="22"/>
          <w:szCs w:val="22"/>
        </w:rPr>
        <w:t xml:space="preserve"> </w:t>
      </w:r>
      <w:r w:rsidRPr="00D6050D">
        <w:rPr>
          <w:rFonts w:ascii="Calibri" w:hAnsi="Calibri" w:cs="Calibri"/>
          <w:sz w:val="22"/>
          <w:szCs w:val="22"/>
        </w:rPr>
        <w:t>capitalization</w:t>
      </w:r>
      <w:r w:rsidRPr="00D6050D">
        <w:rPr>
          <w:rFonts w:ascii="Calibri" w:hAnsi="Calibri" w:cs="Calibri"/>
          <w:spacing w:val="-1"/>
          <w:sz w:val="22"/>
          <w:szCs w:val="22"/>
        </w:rPr>
        <w:t xml:space="preserve"> </w:t>
      </w:r>
      <w:r w:rsidRPr="00D6050D">
        <w:rPr>
          <w:rFonts w:ascii="Calibri" w:hAnsi="Calibri" w:cs="Calibri"/>
          <w:sz w:val="22"/>
          <w:szCs w:val="22"/>
        </w:rPr>
        <w:t>based</w:t>
      </w:r>
      <w:r w:rsidRPr="00D6050D">
        <w:rPr>
          <w:rFonts w:ascii="Calibri" w:hAnsi="Calibri" w:cs="Calibri"/>
          <w:spacing w:val="-2"/>
          <w:sz w:val="22"/>
          <w:szCs w:val="22"/>
        </w:rPr>
        <w:t xml:space="preserve"> </w:t>
      </w:r>
      <w:r w:rsidRPr="00D6050D">
        <w:rPr>
          <w:rFonts w:ascii="Calibri" w:hAnsi="Calibri" w:cs="Calibri"/>
          <w:sz w:val="22"/>
          <w:szCs w:val="22"/>
        </w:rPr>
        <w:t>on</w:t>
      </w:r>
      <w:r w:rsidRPr="00D6050D">
        <w:rPr>
          <w:rFonts w:ascii="Calibri" w:hAnsi="Calibri" w:cs="Calibri"/>
          <w:spacing w:val="-2"/>
          <w:sz w:val="22"/>
          <w:szCs w:val="22"/>
        </w:rPr>
        <w:t xml:space="preserve"> </w:t>
      </w:r>
      <w:r w:rsidRPr="00D6050D">
        <w:rPr>
          <w:rFonts w:ascii="Calibri" w:hAnsi="Calibri" w:cs="Calibri"/>
          <w:sz w:val="22"/>
          <w:szCs w:val="22"/>
        </w:rPr>
        <w:t>the</w:t>
      </w:r>
      <w:r w:rsidRPr="00D6050D">
        <w:rPr>
          <w:rFonts w:ascii="Calibri" w:hAnsi="Calibri" w:cs="Calibri"/>
          <w:spacing w:val="-1"/>
          <w:sz w:val="22"/>
          <w:szCs w:val="22"/>
        </w:rPr>
        <w:t xml:space="preserve"> </w:t>
      </w:r>
      <w:r w:rsidRPr="00D6050D">
        <w:rPr>
          <w:rFonts w:ascii="Calibri" w:hAnsi="Calibri" w:cs="Calibri"/>
          <w:sz w:val="22"/>
          <w:szCs w:val="22"/>
        </w:rPr>
        <w:t>above</w:t>
      </w:r>
      <w:r w:rsidRPr="00D6050D">
        <w:rPr>
          <w:rFonts w:ascii="Calibri" w:hAnsi="Calibri" w:cs="Calibri"/>
          <w:spacing w:val="-1"/>
          <w:sz w:val="22"/>
          <w:szCs w:val="22"/>
        </w:rPr>
        <w:t xml:space="preserve"> </w:t>
      </w:r>
      <w:r w:rsidRPr="00D6050D">
        <w:rPr>
          <w:rFonts w:ascii="Calibri" w:hAnsi="Calibri" w:cs="Calibri"/>
          <w:sz w:val="22"/>
          <w:szCs w:val="22"/>
        </w:rPr>
        <w:t>is</w:t>
      </w:r>
      <w:r w:rsidRPr="00D6050D">
        <w:rPr>
          <w:rFonts w:ascii="Calibri" w:hAnsi="Calibri" w:cs="Calibri"/>
          <w:spacing w:val="-4"/>
          <w:sz w:val="22"/>
          <w:szCs w:val="22"/>
        </w:rPr>
        <w:t xml:space="preserve"> </w:t>
      </w:r>
      <w:r w:rsidRPr="00D6050D">
        <w:rPr>
          <w:rFonts w:ascii="Calibri" w:hAnsi="Calibri" w:cs="Calibri"/>
          <w:sz w:val="22"/>
          <w:szCs w:val="22"/>
        </w:rPr>
        <w:t>as</w:t>
      </w:r>
      <w:r w:rsidRPr="00D6050D">
        <w:rPr>
          <w:rFonts w:ascii="Calibri" w:hAnsi="Calibri" w:cs="Calibri"/>
          <w:spacing w:val="-2"/>
          <w:sz w:val="22"/>
          <w:szCs w:val="22"/>
        </w:rPr>
        <w:t xml:space="preserve"> </w:t>
      </w:r>
      <w:r w:rsidRPr="00D6050D">
        <w:rPr>
          <w:rFonts w:ascii="Calibri" w:hAnsi="Calibri" w:cs="Calibri"/>
          <w:sz w:val="22"/>
          <w:szCs w:val="22"/>
        </w:rPr>
        <w:t>given</w:t>
      </w:r>
      <w:r w:rsidRPr="00D6050D">
        <w:rPr>
          <w:rFonts w:ascii="Calibri" w:hAnsi="Calibri" w:cs="Calibri"/>
          <w:spacing w:val="-2"/>
          <w:sz w:val="22"/>
          <w:szCs w:val="22"/>
        </w:rPr>
        <w:t xml:space="preserve"> </w:t>
      </w:r>
      <w:r w:rsidRPr="00D6050D">
        <w:rPr>
          <w:rFonts w:ascii="Calibri" w:hAnsi="Calibri" w:cs="Calibri"/>
          <w:sz w:val="22"/>
          <w:szCs w:val="22"/>
        </w:rPr>
        <w:t>in</w:t>
      </w:r>
      <w:r w:rsidRPr="00D6050D">
        <w:rPr>
          <w:rFonts w:ascii="Calibri" w:hAnsi="Calibri" w:cs="Calibri"/>
          <w:spacing w:val="-3"/>
          <w:sz w:val="22"/>
          <w:szCs w:val="22"/>
        </w:rPr>
        <w:t xml:space="preserve"> </w:t>
      </w:r>
      <w:r w:rsidRPr="00D6050D">
        <w:rPr>
          <w:rFonts w:ascii="Calibri" w:hAnsi="Calibri" w:cs="Calibri"/>
          <w:sz w:val="22"/>
          <w:szCs w:val="22"/>
        </w:rPr>
        <w:t>the</w:t>
      </w:r>
      <w:r w:rsidRPr="00D6050D">
        <w:rPr>
          <w:rFonts w:ascii="Calibri" w:hAnsi="Calibri" w:cs="Calibri"/>
          <w:spacing w:val="-3"/>
          <w:sz w:val="22"/>
          <w:szCs w:val="22"/>
        </w:rPr>
        <w:t xml:space="preserve"> </w:t>
      </w:r>
      <w:r w:rsidRPr="00D6050D">
        <w:rPr>
          <w:rFonts w:ascii="Calibri" w:hAnsi="Calibri" w:cs="Calibri"/>
          <w:sz w:val="22"/>
          <w:szCs w:val="22"/>
        </w:rPr>
        <w:t>table</w:t>
      </w:r>
      <w:r w:rsidRPr="00D6050D">
        <w:rPr>
          <w:rFonts w:ascii="Calibri" w:hAnsi="Calibri" w:cs="Calibri"/>
          <w:spacing w:val="-3"/>
          <w:sz w:val="22"/>
          <w:szCs w:val="22"/>
        </w:rPr>
        <w:t xml:space="preserve"> </w:t>
      </w:r>
      <w:r w:rsidRPr="00D6050D">
        <w:rPr>
          <w:rFonts w:ascii="Calibri" w:hAnsi="Calibri" w:cs="Calibri"/>
          <w:sz w:val="22"/>
          <w:szCs w:val="22"/>
        </w:rPr>
        <w:t>below</w:t>
      </w:r>
    </w:p>
    <w:p w14:paraId="25E63535" w14:textId="71078DA8" w:rsidR="00974443" w:rsidRPr="00D6050D" w:rsidRDefault="00974443" w:rsidP="00974443">
      <w:pPr>
        <w:keepNext/>
        <w:spacing w:before="52" w:after="60" w:line="360" w:lineRule="auto"/>
        <w:ind w:left="105"/>
        <w:jc w:val="center"/>
        <w:outlineLvl w:val="0"/>
        <w:rPr>
          <w:rFonts w:ascii="Calibri" w:hAnsi="Calibri" w:cs="Calibri"/>
          <w:b/>
          <w:bCs/>
          <w:kern w:val="32"/>
          <w:sz w:val="22"/>
          <w:szCs w:val="22"/>
        </w:rPr>
      </w:pPr>
      <w:r w:rsidRPr="00D6050D">
        <w:rPr>
          <w:rFonts w:ascii="Calibri" w:hAnsi="Calibri" w:cs="Calibri"/>
          <w:b/>
          <w:bCs/>
          <w:kern w:val="32"/>
          <w:sz w:val="22"/>
          <w:szCs w:val="22"/>
        </w:rPr>
        <w:t xml:space="preserve">                                 </w:t>
      </w:r>
      <w:r w:rsidR="00C369B5">
        <w:rPr>
          <w:rFonts w:ascii="Calibri" w:hAnsi="Calibri" w:cs="Calibri"/>
          <w:b/>
          <w:bCs/>
          <w:kern w:val="32"/>
          <w:sz w:val="22"/>
          <w:szCs w:val="22"/>
        </w:rPr>
        <w:t xml:space="preserve"> </w:t>
      </w:r>
      <w:r w:rsidRPr="00D6050D">
        <w:rPr>
          <w:rFonts w:ascii="Calibri" w:hAnsi="Calibri" w:cs="Calibri"/>
          <w:b/>
          <w:bCs/>
          <w:kern w:val="32"/>
          <w:sz w:val="22"/>
          <w:szCs w:val="22"/>
        </w:rPr>
        <w:t xml:space="preserve">  Table-4</w:t>
      </w:r>
      <w:r w:rsidR="00C369B5">
        <w:rPr>
          <w:rFonts w:ascii="Calibri" w:hAnsi="Calibri" w:cs="Calibri"/>
          <w:b/>
          <w:bCs/>
          <w:kern w:val="32"/>
          <w:sz w:val="22"/>
          <w:szCs w:val="22"/>
        </w:rPr>
        <w:t>1</w:t>
      </w:r>
      <w:r w:rsidRPr="00D6050D">
        <w:rPr>
          <w:rFonts w:ascii="Calibri" w:hAnsi="Calibri" w:cs="Calibri"/>
          <w:b/>
          <w:bCs/>
          <w:kern w:val="32"/>
          <w:sz w:val="22"/>
          <w:szCs w:val="22"/>
        </w:rPr>
        <w:t>: Summary</w:t>
      </w:r>
      <w:r w:rsidRPr="00D6050D">
        <w:rPr>
          <w:rFonts w:ascii="Calibri" w:hAnsi="Calibri" w:cs="Calibri"/>
          <w:b/>
          <w:bCs/>
          <w:spacing w:val="-2"/>
          <w:kern w:val="32"/>
          <w:sz w:val="22"/>
          <w:szCs w:val="22"/>
        </w:rPr>
        <w:t xml:space="preserve"> </w:t>
      </w:r>
      <w:r w:rsidRPr="00D6050D">
        <w:rPr>
          <w:rFonts w:ascii="Calibri" w:hAnsi="Calibri" w:cs="Calibri"/>
          <w:b/>
          <w:bCs/>
          <w:kern w:val="32"/>
          <w:sz w:val="22"/>
          <w:szCs w:val="22"/>
        </w:rPr>
        <w:t>of</w:t>
      </w:r>
      <w:r w:rsidRPr="00D6050D">
        <w:rPr>
          <w:rFonts w:ascii="Calibri" w:hAnsi="Calibri" w:cs="Calibri"/>
          <w:b/>
          <w:bCs/>
          <w:spacing w:val="-3"/>
          <w:kern w:val="32"/>
          <w:sz w:val="22"/>
          <w:szCs w:val="22"/>
        </w:rPr>
        <w:t xml:space="preserve"> </w:t>
      </w:r>
      <w:r w:rsidRPr="00D6050D">
        <w:rPr>
          <w:rFonts w:ascii="Calibri" w:hAnsi="Calibri" w:cs="Calibri"/>
          <w:b/>
          <w:bCs/>
          <w:kern w:val="32"/>
          <w:sz w:val="22"/>
          <w:szCs w:val="22"/>
        </w:rPr>
        <w:t xml:space="preserve">Capitalization                                  </w:t>
      </w:r>
      <w:proofErr w:type="gramStart"/>
      <w:r w:rsidRPr="00D6050D">
        <w:rPr>
          <w:rFonts w:ascii="Calibri" w:hAnsi="Calibri" w:cs="Calibri"/>
          <w:b/>
          <w:bCs/>
          <w:kern w:val="32"/>
          <w:sz w:val="22"/>
          <w:szCs w:val="22"/>
        </w:rPr>
        <w:t xml:space="preserve">   (</w:t>
      </w:r>
      <w:proofErr w:type="gramEnd"/>
      <w:r w:rsidRPr="00D6050D">
        <w:rPr>
          <w:rFonts w:ascii="Calibri" w:hAnsi="Calibri" w:cs="Calibri"/>
          <w:b/>
          <w:bCs/>
          <w:kern w:val="32"/>
          <w:sz w:val="22"/>
          <w:szCs w:val="22"/>
        </w:rPr>
        <w:t xml:space="preserve">In </w:t>
      </w:r>
      <w:r>
        <w:rPr>
          <w:rFonts w:ascii="Calibri" w:hAnsi="Calibri" w:cs="Calibri"/>
          <w:b/>
          <w:bCs/>
          <w:kern w:val="32"/>
          <w:sz w:val="22"/>
          <w:szCs w:val="22"/>
        </w:rPr>
        <w:t>Rs.</w:t>
      </w:r>
      <w:r w:rsidRPr="00D6050D">
        <w:rPr>
          <w:rFonts w:ascii="Calibri" w:hAnsi="Calibri" w:cs="Calibri"/>
          <w:b/>
          <w:bCs/>
          <w:kern w:val="32"/>
          <w:sz w:val="22"/>
          <w:szCs w:val="22"/>
        </w:rPr>
        <w:t xml:space="preserve"> </w:t>
      </w:r>
      <w:proofErr w:type="spellStart"/>
      <w:r w:rsidRPr="00D6050D">
        <w:rPr>
          <w:rFonts w:ascii="Calibri" w:hAnsi="Calibri" w:cs="Calibri"/>
          <w:b/>
          <w:bCs/>
          <w:kern w:val="32"/>
          <w:sz w:val="22"/>
          <w:szCs w:val="22"/>
        </w:rPr>
        <w:t>Crs</w:t>
      </w:r>
      <w:proofErr w:type="spellEnd"/>
      <w:r w:rsidRPr="00D6050D">
        <w:rPr>
          <w:rFonts w:ascii="Calibri" w:hAnsi="Calibri" w:cs="Calibri"/>
          <w:b/>
          <w:bCs/>
          <w:kern w:val="32"/>
          <w:sz w:val="22"/>
          <w:szCs w:val="22"/>
        </w:rPr>
        <w:t>)</w:t>
      </w:r>
    </w:p>
    <w:tbl>
      <w:tblPr>
        <w:tblW w:w="9042" w:type="dxa"/>
        <w:tblInd w:w="704" w:type="dxa"/>
        <w:tblLook w:val="04A0" w:firstRow="1" w:lastRow="0" w:firstColumn="1" w:lastColumn="0" w:noHBand="0" w:noVBand="1"/>
      </w:tblPr>
      <w:tblGrid>
        <w:gridCol w:w="5460"/>
        <w:gridCol w:w="1328"/>
        <w:gridCol w:w="2254"/>
      </w:tblGrid>
      <w:tr w:rsidR="00C369B5" w14:paraId="7B11E8E5" w14:textId="77777777" w:rsidTr="00BF6458">
        <w:trPr>
          <w:trHeight w:val="346"/>
        </w:trPr>
        <w:tc>
          <w:tcPr>
            <w:tcW w:w="5460" w:type="dxa"/>
            <w:tcBorders>
              <w:top w:val="single" w:sz="4" w:space="0" w:color="auto"/>
              <w:left w:val="single" w:sz="4" w:space="0" w:color="auto"/>
              <w:bottom w:val="single" w:sz="4" w:space="0" w:color="auto"/>
              <w:right w:val="single" w:sz="4" w:space="0" w:color="auto"/>
            </w:tcBorders>
            <w:shd w:val="clear" w:color="auto" w:fill="8DB3E2" w:themeFill="text2" w:themeFillTint="66"/>
            <w:noWrap/>
            <w:vAlign w:val="center"/>
            <w:hideMark/>
          </w:tcPr>
          <w:p w14:paraId="223391E8" w14:textId="77777777" w:rsidR="00C369B5" w:rsidRDefault="00C369B5">
            <w:pPr>
              <w:jc w:val="center"/>
              <w:rPr>
                <w:rFonts w:ascii="Calibri" w:hAnsi="Calibri"/>
                <w:b/>
                <w:bCs/>
                <w:color w:val="000000"/>
                <w:sz w:val="22"/>
                <w:szCs w:val="22"/>
                <w:lang w:val="en-IN" w:eastAsia="en-IN"/>
              </w:rPr>
            </w:pPr>
            <w:r>
              <w:rPr>
                <w:rFonts w:ascii="Calibri" w:hAnsi="Calibri"/>
                <w:b/>
                <w:bCs/>
                <w:color w:val="000000"/>
                <w:sz w:val="22"/>
                <w:szCs w:val="22"/>
              </w:rPr>
              <w:t>Particulars</w:t>
            </w:r>
          </w:p>
        </w:tc>
        <w:tc>
          <w:tcPr>
            <w:tcW w:w="1328" w:type="dxa"/>
            <w:tcBorders>
              <w:top w:val="single" w:sz="4" w:space="0" w:color="auto"/>
              <w:left w:val="nil"/>
              <w:bottom w:val="single" w:sz="4" w:space="0" w:color="auto"/>
              <w:right w:val="single" w:sz="4" w:space="0" w:color="auto"/>
            </w:tcBorders>
            <w:shd w:val="clear" w:color="auto" w:fill="8DB3E2" w:themeFill="text2" w:themeFillTint="66"/>
            <w:noWrap/>
            <w:vAlign w:val="center"/>
            <w:hideMark/>
          </w:tcPr>
          <w:p w14:paraId="2F71473A" w14:textId="77777777" w:rsidR="00C369B5" w:rsidRDefault="00C369B5" w:rsidP="00C369B5">
            <w:pPr>
              <w:jc w:val="center"/>
              <w:rPr>
                <w:rFonts w:ascii="Calibri" w:hAnsi="Calibri"/>
                <w:b/>
                <w:bCs/>
                <w:color w:val="000000"/>
                <w:sz w:val="22"/>
                <w:szCs w:val="22"/>
              </w:rPr>
            </w:pPr>
            <w:r>
              <w:rPr>
                <w:rFonts w:ascii="Calibri" w:hAnsi="Calibri"/>
                <w:b/>
                <w:bCs/>
                <w:color w:val="000000"/>
                <w:sz w:val="22"/>
                <w:szCs w:val="22"/>
              </w:rPr>
              <w:t>FY 2024-25</w:t>
            </w:r>
          </w:p>
        </w:tc>
        <w:tc>
          <w:tcPr>
            <w:tcW w:w="2254" w:type="dxa"/>
            <w:tcBorders>
              <w:top w:val="single" w:sz="4" w:space="0" w:color="auto"/>
              <w:left w:val="nil"/>
              <w:bottom w:val="single" w:sz="4" w:space="0" w:color="auto"/>
              <w:right w:val="single" w:sz="4" w:space="0" w:color="auto"/>
            </w:tcBorders>
            <w:shd w:val="clear" w:color="auto" w:fill="8DB3E2" w:themeFill="text2" w:themeFillTint="66"/>
            <w:noWrap/>
            <w:vAlign w:val="center"/>
            <w:hideMark/>
          </w:tcPr>
          <w:p w14:paraId="27C63CA9" w14:textId="77777777" w:rsidR="00C369B5" w:rsidRDefault="00C369B5" w:rsidP="00C369B5">
            <w:pPr>
              <w:jc w:val="center"/>
              <w:rPr>
                <w:rFonts w:ascii="Calibri" w:hAnsi="Calibri"/>
                <w:b/>
                <w:bCs/>
                <w:color w:val="000000"/>
                <w:sz w:val="22"/>
                <w:szCs w:val="22"/>
              </w:rPr>
            </w:pPr>
            <w:r>
              <w:rPr>
                <w:rFonts w:ascii="Calibri" w:hAnsi="Calibri"/>
                <w:b/>
                <w:bCs/>
                <w:color w:val="000000"/>
                <w:sz w:val="22"/>
                <w:szCs w:val="22"/>
              </w:rPr>
              <w:t>FY 2025-26</w:t>
            </w:r>
          </w:p>
        </w:tc>
      </w:tr>
      <w:tr w:rsidR="00C369B5" w14:paraId="15D36631" w14:textId="77777777" w:rsidTr="00C369B5">
        <w:trPr>
          <w:trHeight w:val="346"/>
        </w:trPr>
        <w:tc>
          <w:tcPr>
            <w:tcW w:w="5460" w:type="dxa"/>
            <w:tcBorders>
              <w:top w:val="nil"/>
              <w:left w:val="single" w:sz="4" w:space="0" w:color="auto"/>
              <w:bottom w:val="single" w:sz="4" w:space="0" w:color="auto"/>
              <w:right w:val="single" w:sz="4" w:space="0" w:color="auto"/>
            </w:tcBorders>
            <w:shd w:val="clear" w:color="auto" w:fill="auto"/>
            <w:noWrap/>
            <w:vAlign w:val="center"/>
            <w:hideMark/>
          </w:tcPr>
          <w:p w14:paraId="7920A0A9" w14:textId="77777777" w:rsidR="00C369B5" w:rsidRDefault="00C369B5">
            <w:pPr>
              <w:rPr>
                <w:rFonts w:ascii="Calibri" w:hAnsi="Calibri"/>
                <w:color w:val="000000"/>
                <w:sz w:val="22"/>
                <w:szCs w:val="22"/>
              </w:rPr>
            </w:pPr>
            <w:proofErr w:type="gramStart"/>
            <w:r>
              <w:rPr>
                <w:rFonts w:ascii="Calibri" w:hAnsi="Calibri"/>
                <w:color w:val="000000"/>
                <w:sz w:val="22"/>
                <w:szCs w:val="22"/>
              </w:rPr>
              <w:t>Own  Capex</w:t>
            </w:r>
            <w:proofErr w:type="gramEnd"/>
          </w:p>
        </w:tc>
        <w:tc>
          <w:tcPr>
            <w:tcW w:w="1328" w:type="dxa"/>
            <w:tcBorders>
              <w:top w:val="nil"/>
              <w:left w:val="nil"/>
              <w:bottom w:val="single" w:sz="4" w:space="0" w:color="auto"/>
              <w:right w:val="single" w:sz="4" w:space="0" w:color="auto"/>
            </w:tcBorders>
            <w:shd w:val="clear" w:color="auto" w:fill="FFFFFF" w:themeFill="background1"/>
            <w:noWrap/>
            <w:vAlign w:val="center"/>
            <w:hideMark/>
          </w:tcPr>
          <w:p w14:paraId="73C05CD1" w14:textId="42148F5F" w:rsidR="00C369B5" w:rsidRDefault="00C369B5" w:rsidP="00C369B5">
            <w:pPr>
              <w:jc w:val="center"/>
              <w:rPr>
                <w:rFonts w:ascii="Calibri" w:hAnsi="Calibri"/>
                <w:color w:val="000000"/>
                <w:sz w:val="22"/>
                <w:szCs w:val="22"/>
              </w:rPr>
            </w:pPr>
            <w:r>
              <w:rPr>
                <w:rFonts w:ascii="Calibri" w:hAnsi="Calibri"/>
                <w:color w:val="000000"/>
                <w:sz w:val="22"/>
                <w:szCs w:val="22"/>
              </w:rPr>
              <w:t>450</w:t>
            </w:r>
          </w:p>
        </w:tc>
        <w:tc>
          <w:tcPr>
            <w:tcW w:w="2254" w:type="dxa"/>
            <w:tcBorders>
              <w:top w:val="nil"/>
              <w:left w:val="nil"/>
              <w:bottom w:val="single" w:sz="4" w:space="0" w:color="auto"/>
              <w:right w:val="single" w:sz="4" w:space="0" w:color="auto"/>
            </w:tcBorders>
            <w:shd w:val="clear" w:color="auto" w:fill="FFFFFF" w:themeFill="background1"/>
            <w:noWrap/>
            <w:vAlign w:val="bottom"/>
            <w:hideMark/>
          </w:tcPr>
          <w:p w14:paraId="35B5ADA5" w14:textId="38F55E7D" w:rsidR="00C369B5" w:rsidRDefault="00C369B5" w:rsidP="00C369B5">
            <w:pPr>
              <w:jc w:val="center"/>
              <w:rPr>
                <w:rFonts w:ascii="Calibri" w:hAnsi="Calibri"/>
                <w:color w:val="000000"/>
                <w:sz w:val="22"/>
                <w:szCs w:val="22"/>
              </w:rPr>
            </w:pPr>
            <w:r>
              <w:rPr>
                <w:rFonts w:ascii="Calibri" w:hAnsi="Calibri"/>
                <w:color w:val="000000"/>
                <w:sz w:val="22"/>
                <w:szCs w:val="22"/>
              </w:rPr>
              <w:t>512</w:t>
            </w:r>
          </w:p>
        </w:tc>
      </w:tr>
      <w:tr w:rsidR="00C369B5" w14:paraId="786A8D81" w14:textId="77777777" w:rsidTr="00C369B5">
        <w:trPr>
          <w:trHeight w:val="346"/>
        </w:trPr>
        <w:tc>
          <w:tcPr>
            <w:tcW w:w="5460" w:type="dxa"/>
            <w:tcBorders>
              <w:top w:val="nil"/>
              <w:left w:val="single" w:sz="4" w:space="0" w:color="auto"/>
              <w:bottom w:val="single" w:sz="4" w:space="0" w:color="auto"/>
              <w:right w:val="single" w:sz="4" w:space="0" w:color="auto"/>
            </w:tcBorders>
            <w:shd w:val="clear" w:color="auto" w:fill="auto"/>
            <w:noWrap/>
            <w:vAlign w:val="center"/>
            <w:hideMark/>
          </w:tcPr>
          <w:p w14:paraId="6A0411B5" w14:textId="77777777" w:rsidR="00C369B5" w:rsidRDefault="00C369B5">
            <w:pPr>
              <w:rPr>
                <w:rFonts w:ascii="Calibri" w:hAnsi="Calibri"/>
                <w:color w:val="000000"/>
                <w:sz w:val="22"/>
                <w:szCs w:val="22"/>
              </w:rPr>
            </w:pPr>
            <w:r>
              <w:rPr>
                <w:rFonts w:ascii="Calibri" w:hAnsi="Calibri"/>
                <w:color w:val="000000"/>
                <w:sz w:val="22"/>
                <w:szCs w:val="22"/>
              </w:rPr>
              <w:t>Government Projects</w:t>
            </w:r>
          </w:p>
        </w:tc>
        <w:tc>
          <w:tcPr>
            <w:tcW w:w="1328" w:type="dxa"/>
            <w:tcBorders>
              <w:top w:val="nil"/>
              <w:left w:val="nil"/>
              <w:bottom w:val="single" w:sz="4" w:space="0" w:color="auto"/>
              <w:right w:val="single" w:sz="4" w:space="0" w:color="auto"/>
            </w:tcBorders>
            <w:shd w:val="clear" w:color="auto" w:fill="FFFFFF" w:themeFill="background1"/>
            <w:noWrap/>
            <w:vAlign w:val="center"/>
            <w:hideMark/>
          </w:tcPr>
          <w:p w14:paraId="39283787" w14:textId="2807C8EC" w:rsidR="00C369B5" w:rsidRDefault="00C369B5" w:rsidP="00C369B5">
            <w:pPr>
              <w:jc w:val="center"/>
              <w:rPr>
                <w:rFonts w:ascii="Calibri" w:hAnsi="Calibri"/>
                <w:color w:val="000000"/>
                <w:sz w:val="22"/>
                <w:szCs w:val="22"/>
              </w:rPr>
            </w:pPr>
            <w:r>
              <w:rPr>
                <w:rFonts w:ascii="Calibri" w:hAnsi="Calibri"/>
                <w:color w:val="000000"/>
                <w:sz w:val="22"/>
                <w:szCs w:val="22"/>
              </w:rPr>
              <w:t>254</w:t>
            </w:r>
          </w:p>
        </w:tc>
        <w:tc>
          <w:tcPr>
            <w:tcW w:w="2254" w:type="dxa"/>
            <w:tcBorders>
              <w:top w:val="nil"/>
              <w:left w:val="nil"/>
              <w:bottom w:val="single" w:sz="4" w:space="0" w:color="auto"/>
              <w:right w:val="single" w:sz="4" w:space="0" w:color="auto"/>
            </w:tcBorders>
            <w:shd w:val="clear" w:color="auto" w:fill="FFFFFF" w:themeFill="background1"/>
            <w:noWrap/>
            <w:vAlign w:val="center"/>
            <w:hideMark/>
          </w:tcPr>
          <w:p w14:paraId="56E709A9" w14:textId="05DD3B60" w:rsidR="00C369B5" w:rsidRDefault="00C369B5" w:rsidP="00C369B5">
            <w:pPr>
              <w:jc w:val="center"/>
              <w:rPr>
                <w:rFonts w:ascii="Calibri" w:hAnsi="Calibri"/>
                <w:color w:val="000000"/>
                <w:sz w:val="22"/>
                <w:szCs w:val="22"/>
              </w:rPr>
            </w:pPr>
            <w:r>
              <w:rPr>
                <w:rFonts w:ascii="Calibri" w:hAnsi="Calibri"/>
                <w:color w:val="000000"/>
                <w:sz w:val="22"/>
                <w:szCs w:val="22"/>
              </w:rPr>
              <w:t>46</w:t>
            </w:r>
          </w:p>
        </w:tc>
      </w:tr>
      <w:tr w:rsidR="00C369B5" w14:paraId="11F0C3C8" w14:textId="77777777" w:rsidTr="00C369B5">
        <w:trPr>
          <w:trHeight w:val="346"/>
        </w:trPr>
        <w:tc>
          <w:tcPr>
            <w:tcW w:w="5460" w:type="dxa"/>
            <w:tcBorders>
              <w:top w:val="nil"/>
              <w:left w:val="single" w:sz="4" w:space="0" w:color="auto"/>
              <w:bottom w:val="single" w:sz="4" w:space="0" w:color="auto"/>
              <w:right w:val="single" w:sz="4" w:space="0" w:color="auto"/>
            </w:tcBorders>
            <w:shd w:val="clear" w:color="auto" w:fill="auto"/>
            <w:noWrap/>
            <w:vAlign w:val="center"/>
            <w:hideMark/>
          </w:tcPr>
          <w:p w14:paraId="2AC38A65" w14:textId="77777777" w:rsidR="00C369B5" w:rsidRDefault="00C369B5">
            <w:pPr>
              <w:rPr>
                <w:rFonts w:ascii="Calibri" w:hAnsi="Calibri"/>
                <w:color w:val="000000"/>
                <w:sz w:val="22"/>
                <w:szCs w:val="22"/>
              </w:rPr>
            </w:pPr>
            <w:r>
              <w:rPr>
                <w:rFonts w:ascii="Calibri" w:hAnsi="Calibri"/>
                <w:color w:val="000000"/>
                <w:sz w:val="22"/>
                <w:szCs w:val="22"/>
              </w:rPr>
              <w:t>Consumer Funded</w:t>
            </w:r>
          </w:p>
        </w:tc>
        <w:tc>
          <w:tcPr>
            <w:tcW w:w="1328" w:type="dxa"/>
            <w:tcBorders>
              <w:top w:val="nil"/>
              <w:left w:val="nil"/>
              <w:bottom w:val="single" w:sz="4" w:space="0" w:color="auto"/>
              <w:right w:val="single" w:sz="4" w:space="0" w:color="auto"/>
            </w:tcBorders>
            <w:shd w:val="clear" w:color="auto" w:fill="FFFFFF" w:themeFill="background1"/>
            <w:noWrap/>
            <w:vAlign w:val="center"/>
            <w:hideMark/>
          </w:tcPr>
          <w:p w14:paraId="2AA11A56" w14:textId="6D60A066" w:rsidR="00C369B5" w:rsidRDefault="00C369B5" w:rsidP="00C369B5">
            <w:pPr>
              <w:jc w:val="center"/>
              <w:rPr>
                <w:rFonts w:ascii="Calibri" w:hAnsi="Calibri"/>
                <w:color w:val="000000"/>
                <w:sz w:val="22"/>
                <w:szCs w:val="22"/>
              </w:rPr>
            </w:pPr>
            <w:r>
              <w:rPr>
                <w:rFonts w:ascii="Calibri" w:hAnsi="Calibri"/>
                <w:color w:val="000000"/>
                <w:sz w:val="22"/>
                <w:szCs w:val="22"/>
              </w:rPr>
              <w:t>293</w:t>
            </w:r>
          </w:p>
        </w:tc>
        <w:tc>
          <w:tcPr>
            <w:tcW w:w="2254" w:type="dxa"/>
            <w:tcBorders>
              <w:top w:val="nil"/>
              <w:left w:val="nil"/>
              <w:bottom w:val="single" w:sz="4" w:space="0" w:color="auto"/>
              <w:right w:val="single" w:sz="4" w:space="0" w:color="auto"/>
            </w:tcBorders>
            <w:shd w:val="clear" w:color="auto" w:fill="FFFFFF" w:themeFill="background1"/>
            <w:noWrap/>
            <w:vAlign w:val="center"/>
            <w:hideMark/>
          </w:tcPr>
          <w:p w14:paraId="017C2053" w14:textId="3D50A4D0" w:rsidR="00C369B5" w:rsidRDefault="00C369B5" w:rsidP="00C369B5">
            <w:pPr>
              <w:jc w:val="center"/>
              <w:rPr>
                <w:rFonts w:ascii="Calibri" w:hAnsi="Calibri"/>
                <w:color w:val="000000"/>
                <w:sz w:val="22"/>
                <w:szCs w:val="22"/>
              </w:rPr>
            </w:pPr>
            <w:r>
              <w:rPr>
                <w:rFonts w:ascii="Calibri" w:hAnsi="Calibri"/>
                <w:color w:val="000000"/>
                <w:sz w:val="22"/>
                <w:szCs w:val="22"/>
              </w:rPr>
              <w:t>401</w:t>
            </w:r>
          </w:p>
        </w:tc>
      </w:tr>
      <w:tr w:rsidR="00C369B5" w14:paraId="2DB56908" w14:textId="77777777" w:rsidTr="00C369B5">
        <w:trPr>
          <w:trHeight w:val="346"/>
        </w:trPr>
        <w:tc>
          <w:tcPr>
            <w:tcW w:w="5460" w:type="dxa"/>
            <w:tcBorders>
              <w:top w:val="nil"/>
              <w:left w:val="single" w:sz="4" w:space="0" w:color="auto"/>
              <w:bottom w:val="single" w:sz="4" w:space="0" w:color="auto"/>
              <w:right w:val="single" w:sz="4" w:space="0" w:color="auto"/>
            </w:tcBorders>
            <w:shd w:val="clear" w:color="auto" w:fill="auto"/>
            <w:noWrap/>
            <w:vAlign w:val="center"/>
            <w:hideMark/>
          </w:tcPr>
          <w:p w14:paraId="5C9388E7" w14:textId="77777777" w:rsidR="00C369B5" w:rsidRDefault="00C369B5">
            <w:pPr>
              <w:rPr>
                <w:rFonts w:ascii="Calibri" w:hAnsi="Calibri"/>
                <w:color w:val="000000"/>
                <w:sz w:val="22"/>
                <w:szCs w:val="22"/>
              </w:rPr>
            </w:pPr>
            <w:r>
              <w:rPr>
                <w:rFonts w:ascii="Calibri" w:hAnsi="Calibri"/>
                <w:color w:val="000000"/>
                <w:sz w:val="22"/>
                <w:szCs w:val="22"/>
              </w:rPr>
              <w:t>Meter &amp; Cables</w:t>
            </w:r>
          </w:p>
        </w:tc>
        <w:tc>
          <w:tcPr>
            <w:tcW w:w="1328" w:type="dxa"/>
            <w:tcBorders>
              <w:top w:val="nil"/>
              <w:left w:val="nil"/>
              <w:bottom w:val="single" w:sz="4" w:space="0" w:color="auto"/>
              <w:right w:val="single" w:sz="4" w:space="0" w:color="auto"/>
            </w:tcBorders>
            <w:shd w:val="clear" w:color="auto" w:fill="FFFFFF" w:themeFill="background1"/>
            <w:noWrap/>
            <w:vAlign w:val="center"/>
            <w:hideMark/>
          </w:tcPr>
          <w:p w14:paraId="22F7E292" w14:textId="09A4D3F8" w:rsidR="00C369B5" w:rsidRDefault="00C369B5" w:rsidP="00C369B5">
            <w:pPr>
              <w:jc w:val="center"/>
              <w:rPr>
                <w:rFonts w:ascii="Calibri" w:hAnsi="Calibri"/>
                <w:color w:val="000000"/>
                <w:sz w:val="22"/>
                <w:szCs w:val="22"/>
              </w:rPr>
            </w:pPr>
            <w:r>
              <w:rPr>
                <w:rFonts w:ascii="Calibri" w:hAnsi="Calibri"/>
                <w:color w:val="000000"/>
                <w:sz w:val="22"/>
                <w:szCs w:val="22"/>
              </w:rPr>
              <w:t>119</w:t>
            </w:r>
          </w:p>
        </w:tc>
        <w:tc>
          <w:tcPr>
            <w:tcW w:w="2254" w:type="dxa"/>
            <w:tcBorders>
              <w:top w:val="nil"/>
              <w:left w:val="nil"/>
              <w:bottom w:val="single" w:sz="4" w:space="0" w:color="auto"/>
              <w:right w:val="single" w:sz="4" w:space="0" w:color="auto"/>
            </w:tcBorders>
            <w:shd w:val="clear" w:color="auto" w:fill="FFFFFF" w:themeFill="background1"/>
            <w:noWrap/>
            <w:vAlign w:val="center"/>
            <w:hideMark/>
          </w:tcPr>
          <w:p w14:paraId="1ABBB257" w14:textId="111C53C7" w:rsidR="00C369B5" w:rsidRDefault="00C369B5" w:rsidP="00C369B5">
            <w:pPr>
              <w:jc w:val="center"/>
              <w:rPr>
                <w:rFonts w:ascii="Calibri" w:hAnsi="Calibri"/>
                <w:color w:val="000000"/>
                <w:sz w:val="22"/>
                <w:szCs w:val="22"/>
              </w:rPr>
            </w:pPr>
            <w:r>
              <w:rPr>
                <w:rFonts w:ascii="Calibri" w:hAnsi="Calibri"/>
                <w:color w:val="000000"/>
                <w:sz w:val="22"/>
                <w:szCs w:val="22"/>
              </w:rPr>
              <w:t>140</w:t>
            </w:r>
          </w:p>
        </w:tc>
      </w:tr>
      <w:tr w:rsidR="00C369B5" w14:paraId="7F5CC96F" w14:textId="77777777" w:rsidTr="00BF6458">
        <w:trPr>
          <w:trHeight w:val="346"/>
        </w:trPr>
        <w:tc>
          <w:tcPr>
            <w:tcW w:w="5460" w:type="dxa"/>
            <w:tcBorders>
              <w:top w:val="nil"/>
              <w:left w:val="single" w:sz="4" w:space="0" w:color="auto"/>
              <w:bottom w:val="single" w:sz="4" w:space="0" w:color="auto"/>
              <w:right w:val="single" w:sz="4" w:space="0" w:color="auto"/>
            </w:tcBorders>
            <w:shd w:val="clear" w:color="auto" w:fill="8DB3E2" w:themeFill="text2" w:themeFillTint="66"/>
            <w:noWrap/>
            <w:vAlign w:val="center"/>
            <w:hideMark/>
          </w:tcPr>
          <w:p w14:paraId="238B1EF1" w14:textId="77777777" w:rsidR="00C369B5" w:rsidRDefault="00C369B5">
            <w:pPr>
              <w:rPr>
                <w:rFonts w:ascii="Calibri" w:hAnsi="Calibri"/>
                <w:b/>
                <w:bCs/>
                <w:color w:val="000000"/>
                <w:sz w:val="22"/>
                <w:szCs w:val="22"/>
              </w:rPr>
            </w:pPr>
            <w:r>
              <w:rPr>
                <w:rFonts w:ascii="Calibri" w:hAnsi="Calibri"/>
                <w:b/>
                <w:bCs/>
                <w:color w:val="000000"/>
                <w:sz w:val="22"/>
                <w:szCs w:val="22"/>
              </w:rPr>
              <w:t xml:space="preserve">Total </w:t>
            </w:r>
            <w:proofErr w:type="spellStart"/>
            <w:r>
              <w:rPr>
                <w:rFonts w:ascii="Calibri" w:hAnsi="Calibri"/>
                <w:b/>
                <w:bCs/>
                <w:color w:val="000000"/>
                <w:sz w:val="22"/>
                <w:szCs w:val="22"/>
              </w:rPr>
              <w:t>Capitalisation</w:t>
            </w:r>
            <w:proofErr w:type="spellEnd"/>
          </w:p>
        </w:tc>
        <w:tc>
          <w:tcPr>
            <w:tcW w:w="1328" w:type="dxa"/>
            <w:tcBorders>
              <w:top w:val="nil"/>
              <w:left w:val="nil"/>
              <w:bottom w:val="single" w:sz="4" w:space="0" w:color="auto"/>
              <w:right w:val="single" w:sz="4" w:space="0" w:color="auto"/>
            </w:tcBorders>
            <w:shd w:val="clear" w:color="auto" w:fill="8DB3E2" w:themeFill="text2" w:themeFillTint="66"/>
            <w:noWrap/>
            <w:vAlign w:val="center"/>
            <w:hideMark/>
          </w:tcPr>
          <w:p w14:paraId="2B2EBE85" w14:textId="0DF03DFA" w:rsidR="00C369B5" w:rsidRDefault="00C369B5" w:rsidP="00C369B5">
            <w:pPr>
              <w:jc w:val="center"/>
              <w:rPr>
                <w:rFonts w:ascii="Calibri" w:hAnsi="Calibri"/>
                <w:b/>
                <w:bCs/>
                <w:color w:val="000000"/>
                <w:sz w:val="22"/>
                <w:szCs w:val="22"/>
              </w:rPr>
            </w:pPr>
            <w:r>
              <w:rPr>
                <w:rFonts w:ascii="Calibri" w:hAnsi="Calibri"/>
                <w:b/>
                <w:bCs/>
                <w:color w:val="000000"/>
                <w:sz w:val="22"/>
                <w:szCs w:val="22"/>
              </w:rPr>
              <w:t>1,115</w:t>
            </w:r>
          </w:p>
        </w:tc>
        <w:tc>
          <w:tcPr>
            <w:tcW w:w="2254" w:type="dxa"/>
            <w:tcBorders>
              <w:top w:val="nil"/>
              <w:left w:val="nil"/>
              <w:bottom w:val="single" w:sz="4" w:space="0" w:color="auto"/>
              <w:right w:val="single" w:sz="4" w:space="0" w:color="auto"/>
            </w:tcBorders>
            <w:shd w:val="clear" w:color="auto" w:fill="8DB3E2" w:themeFill="text2" w:themeFillTint="66"/>
            <w:noWrap/>
            <w:vAlign w:val="center"/>
            <w:hideMark/>
          </w:tcPr>
          <w:p w14:paraId="3B4FCC48" w14:textId="3FA9829E" w:rsidR="00C369B5" w:rsidRDefault="00C369B5" w:rsidP="00C369B5">
            <w:pPr>
              <w:jc w:val="center"/>
              <w:rPr>
                <w:rFonts w:ascii="Calibri" w:hAnsi="Calibri"/>
                <w:b/>
                <w:bCs/>
                <w:color w:val="000000"/>
                <w:sz w:val="22"/>
                <w:szCs w:val="22"/>
              </w:rPr>
            </w:pPr>
            <w:r>
              <w:rPr>
                <w:rFonts w:ascii="Calibri" w:hAnsi="Calibri"/>
                <w:b/>
                <w:bCs/>
                <w:color w:val="000000"/>
                <w:sz w:val="22"/>
                <w:szCs w:val="22"/>
              </w:rPr>
              <w:t>1,100</w:t>
            </w:r>
          </w:p>
        </w:tc>
      </w:tr>
    </w:tbl>
    <w:p w14:paraId="01C361A8" w14:textId="77777777" w:rsidR="00974443" w:rsidRPr="00D6050D" w:rsidRDefault="00974443" w:rsidP="00974443">
      <w:pPr>
        <w:spacing w:after="120" w:line="360" w:lineRule="auto"/>
        <w:rPr>
          <w:rFonts w:ascii="Calibri" w:hAnsi="Calibri" w:cs="Calibri"/>
          <w:b/>
          <w:sz w:val="22"/>
          <w:szCs w:val="22"/>
        </w:rPr>
      </w:pPr>
    </w:p>
    <w:p w14:paraId="3F862BF8" w14:textId="5B6FD355" w:rsidR="00974443" w:rsidRPr="00C369B5" w:rsidRDefault="00C369B5" w:rsidP="00974443">
      <w:pPr>
        <w:widowControl w:val="0"/>
        <w:tabs>
          <w:tab w:val="left" w:pos="567"/>
        </w:tabs>
        <w:autoSpaceDE w:val="0"/>
        <w:autoSpaceDN w:val="0"/>
        <w:spacing w:before="1" w:line="360" w:lineRule="auto"/>
        <w:ind w:left="567"/>
        <w:outlineLvl w:val="0"/>
        <w:rPr>
          <w:rFonts w:ascii="Calibri" w:hAnsi="Calibri" w:cs="Calibri"/>
          <w:b/>
          <w:bCs/>
          <w:kern w:val="32"/>
          <w:szCs w:val="22"/>
        </w:rPr>
      </w:pPr>
      <w:r w:rsidRPr="00C369B5">
        <w:rPr>
          <w:rFonts w:ascii="Calibri" w:hAnsi="Calibri" w:cs="Calibri"/>
          <w:b/>
          <w:szCs w:val="22"/>
        </w:rPr>
        <w:t>2.1</w:t>
      </w:r>
      <w:r w:rsidR="00996459">
        <w:rPr>
          <w:rFonts w:ascii="Calibri" w:hAnsi="Calibri" w:cs="Calibri"/>
          <w:b/>
          <w:szCs w:val="22"/>
        </w:rPr>
        <w:t>1.4</w:t>
      </w:r>
      <w:r w:rsidR="00974443" w:rsidRPr="00C369B5">
        <w:rPr>
          <w:rFonts w:ascii="Calibri" w:hAnsi="Calibri" w:cs="Calibri"/>
          <w:b/>
          <w:szCs w:val="22"/>
        </w:rPr>
        <w:t xml:space="preserve"> </w:t>
      </w:r>
      <w:r w:rsidR="00974443" w:rsidRPr="00C369B5">
        <w:rPr>
          <w:rFonts w:ascii="Calibri" w:hAnsi="Calibri" w:cs="Calibri"/>
          <w:b/>
          <w:bCs/>
          <w:kern w:val="32"/>
          <w:szCs w:val="22"/>
        </w:rPr>
        <w:t>Funding</w:t>
      </w:r>
      <w:r w:rsidR="00974443" w:rsidRPr="00C369B5">
        <w:rPr>
          <w:rFonts w:ascii="Calibri" w:hAnsi="Calibri" w:cs="Calibri"/>
          <w:b/>
          <w:bCs/>
          <w:spacing w:val="-4"/>
          <w:kern w:val="32"/>
          <w:szCs w:val="22"/>
        </w:rPr>
        <w:t xml:space="preserve"> </w:t>
      </w:r>
      <w:r w:rsidR="00974443" w:rsidRPr="00C369B5">
        <w:rPr>
          <w:rFonts w:ascii="Calibri" w:hAnsi="Calibri" w:cs="Calibri"/>
          <w:b/>
          <w:bCs/>
          <w:kern w:val="32"/>
          <w:szCs w:val="22"/>
        </w:rPr>
        <w:t>of</w:t>
      </w:r>
      <w:r w:rsidR="00974443" w:rsidRPr="00C369B5">
        <w:rPr>
          <w:rFonts w:ascii="Calibri" w:hAnsi="Calibri" w:cs="Calibri"/>
          <w:b/>
          <w:bCs/>
          <w:spacing w:val="-3"/>
          <w:kern w:val="32"/>
          <w:szCs w:val="22"/>
        </w:rPr>
        <w:t xml:space="preserve"> </w:t>
      </w:r>
      <w:r w:rsidR="00974443" w:rsidRPr="00C369B5">
        <w:rPr>
          <w:rFonts w:ascii="Calibri" w:hAnsi="Calibri" w:cs="Calibri"/>
          <w:b/>
          <w:bCs/>
          <w:kern w:val="32"/>
          <w:szCs w:val="22"/>
        </w:rPr>
        <w:t>the</w:t>
      </w:r>
      <w:r w:rsidR="00974443" w:rsidRPr="00C369B5">
        <w:rPr>
          <w:rFonts w:ascii="Calibri" w:hAnsi="Calibri" w:cs="Calibri"/>
          <w:b/>
          <w:bCs/>
          <w:spacing w:val="-5"/>
          <w:kern w:val="32"/>
          <w:szCs w:val="22"/>
        </w:rPr>
        <w:t xml:space="preserve"> </w:t>
      </w:r>
      <w:r w:rsidR="00974443" w:rsidRPr="00C369B5">
        <w:rPr>
          <w:rFonts w:ascii="Calibri" w:hAnsi="Calibri" w:cs="Calibri"/>
          <w:b/>
          <w:bCs/>
          <w:kern w:val="32"/>
          <w:szCs w:val="22"/>
        </w:rPr>
        <w:t>Capital</w:t>
      </w:r>
      <w:r w:rsidR="00974443" w:rsidRPr="00C369B5">
        <w:rPr>
          <w:rFonts w:ascii="Calibri" w:hAnsi="Calibri" w:cs="Calibri"/>
          <w:b/>
          <w:bCs/>
          <w:spacing w:val="-4"/>
          <w:kern w:val="32"/>
          <w:szCs w:val="22"/>
        </w:rPr>
        <w:t xml:space="preserve"> </w:t>
      </w:r>
      <w:r w:rsidR="00974443" w:rsidRPr="00C369B5">
        <w:rPr>
          <w:rFonts w:ascii="Calibri" w:hAnsi="Calibri" w:cs="Calibri"/>
          <w:b/>
          <w:bCs/>
          <w:kern w:val="32"/>
          <w:szCs w:val="22"/>
        </w:rPr>
        <w:t>Expenditure</w:t>
      </w:r>
    </w:p>
    <w:p w14:paraId="19519CF2" w14:textId="77777777" w:rsidR="00974443" w:rsidRPr="00D6050D" w:rsidRDefault="00974443" w:rsidP="00974443">
      <w:pPr>
        <w:tabs>
          <w:tab w:val="left" w:pos="567"/>
        </w:tabs>
        <w:spacing w:before="1" w:after="120" w:line="360" w:lineRule="auto"/>
        <w:ind w:left="567"/>
        <w:rPr>
          <w:rFonts w:ascii="Calibri" w:hAnsi="Calibri" w:cs="Calibri"/>
          <w:sz w:val="22"/>
          <w:szCs w:val="22"/>
        </w:rPr>
      </w:pPr>
      <w:r w:rsidRPr="00D6050D">
        <w:rPr>
          <w:rFonts w:ascii="Calibri" w:hAnsi="Calibri" w:cs="Calibri"/>
          <w:sz w:val="22"/>
          <w:szCs w:val="22"/>
        </w:rPr>
        <w:t>It</w:t>
      </w:r>
      <w:r w:rsidRPr="00D6050D">
        <w:rPr>
          <w:rFonts w:ascii="Calibri" w:hAnsi="Calibri" w:cs="Calibri"/>
          <w:spacing w:val="-2"/>
          <w:sz w:val="22"/>
          <w:szCs w:val="22"/>
        </w:rPr>
        <w:t xml:space="preserve"> </w:t>
      </w:r>
      <w:r w:rsidRPr="00D6050D">
        <w:rPr>
          <w:rFonts w:ascii="Calibri" w:hAnsi="Calibri" w:cs="Calibri"/>
          <w:sz w:val="22"/>
          <w:szCs w:val="22"/>
        </w:rPr>
        <w:t>is</w:t>
      </w:r>
      <w:r w:rsidRPr="00D6050D">
        <w:rPr>
          <w:rFonts w:ascii="Calibri" w:hAnsi="Calibri" w:cs="Calibri"/>
          <w:spacing w:val="-3"/>
          <w:sz w:val="22"/>
          <w:szCs w:val="22"/>
        </w:rPr>
        <w:t xml:space="preserve"> </w:t>
      </w:r>
      <w:r w:rsidRPr="00D6050D">
        <w:rPr>
          <w:rFonts w:ascii="Calibri" w:hAnsi="Calibri" w:cs="Calibri"/>
          <w:sz w:val="22"/>
          <w:szCs w:val="22"/>
        </w:rPr>
        <w:t>submitted</w:t>
      </w:r>
      <w:r w:rsidRPr="00D6050D">
        <w:rPr>
          <w:rFonts w:ascii="Calibri" w:hAnsi="Calibri" w:cs="Calibri"/>
          <w:spacing w:val="-1"/>
          <w:sz w:val="22"/>
          <w:szCs w:val="22"/>
        </w:rPr>
        <w:t xml:space="preserve"> </w:t>
      </w:r>
      <w:r w:rsidRPr="00D6050D">
        <w:rPr>
          <w:rFonts w:ascii="Calibri" w:hAnsi="Calibri" w:cs="Calibri"/>
          <w:sz w:val="22"/>
          <w:szCs w:val="22"/>
        </w:rPr>
        <w:t>that</w:t>
      </w:r>
      <w:r w:rsidRPr="00D6050D">
        <w:rPr>
          <w:rFonts w:ascii="Calibri" w:hAnsi="Calibri" w:cs="Calibri"/>
          <w:spacing w:val="-3"/>
          <w:sz w:val="22"/>
          <w:szCs w:val="22"/>
        </w:rPr>
        <w:t xml:space="preserve"> </w:t>
      </w:r>
      <w:r w:rsidRPr="00D6050D">
        <w:rPr>
          <w:rFonts w:ascii="Calibri" w:hAnsi="Calibri" w:cs="Calibri"/>
          <w:sz w:val="22"/>
          <w:szCs w:val="22"/>
        </w:rPr>
        <w:t>the</w:t>
      </w:r>
      <w:r w:rsidRPr="00D6050D">
        <w:rPr>
          <w:rFonts w:ascii="Calibri" w:hAnsi="Calibri" w:cs="Calibri"/>
          <w:spacing w:val="-3"/>
          <w:sz w:val="22"/>
          <w:szCs w:val="22"/>
        </w:rPr>
        <w:t xml:space="preserve"> </w:t>
      </w:r>
      <w:r w:rsidRPr="00D6050D">
        <w:rPr>
          <w:rFonts w:ascii="Calibri" w:hAnsi="Calibri" w:cs="Calibri"/>
          <w:sz w:val="22"/>
          <w:szCs w:val="22"/>
        </w:rPr>
        <w:t>funding</w:t>
      </w:r>
      <w:r w:rsidRPr="00D6050D">
        <w:rPr>
          <w:rFonts w:ascii="Calibri" w:hAnsi="Calibri" w:cs="Calibri"/>
          <w:spacing w:val="-3"/>
          <w:sz w:val="22"/>
          <w:szCs w:val="22"/>
        </w:rPr>
        <w:t xml:space="preserve"> </w:t>
      </w:r>
      <w:r w:rsidRPr="00D6050D">
        <w:rPr>
          <w:rFonts w:ascii="Calibri" w:hAnsi="Calibri" w:cs="Calibri"/>
          <w:sz w:val="22"/>
          <w:szCs w:val="22"/>
        </w:rPr>
        <w:t>of</w:t>
      </w:r>
      <w:r w:rsidRPr="00D6050D">
        <w:rPr>
          <w:rFonts w:ascii="Calibri" w:hAnsi="Calibri" w:cs="Calibri"/>
          <w:spacing w:val="-1"/>
          <w:sz w:val="22"/>
          <w:szCs w:val="22"/>
        </w:rPr>
        <w:t xml:space="preserve"> </w:t>
      </w:r>
      <w:r w:rsidRPr="00D6050D">
        <w:rPr>
          <w:rFonts w:ascii="Calibri" w:hAnsi="Calibri" w:cs="Calibri"/>
          <w:sz w:val="22"/>
          <w:szCs w:val="22"/>
        </w:rPr>
        <w:t>capital</w:t>
      </w:r>
      <w:r w:rsidRPr="00D6050D">
        <w:rPr>
          <w:rFonts w:ascii="Calibri" w:hAnsi="Calibri" w:cs="Calibri"/>
          <w:spacing w:val="-4"/>
          <w:sz w:val="22"/>
          <w:szCs w:val="22"/>
        </w:rPr>
        <w:t xml:space="preserve"> </w:t>
      </w:r>
      <w:r w:rsidRPr="00D6050D">
        <w:rPr>
          <w:rFonts w:ascii="Calibri" w:hAnsi="Calibri" w:cs="Calibri"/>
          <w:sz w:val="22"/>
          <w:szCs w:val="22"/>
        </w:rPr>
        <w:t>expenditure</w:t>
      </w:r>
      <w:r w:rsidRPr="00D6050D">
        <w:rPr>
          <w:rFonts w:ascii="Calibri" w:hAnsi="Calibri" w:cs="Calibri"/>
          <w:spacing w:val="-3"/>
          <w:sz w:val="22"/>
          <w:szCs w:val="22"/>
        </w:rPr>
        <w:t xml:space="preserve"> </w:t>
      </w:r>
      <w:r w:rsidRPr="00D6050D">
        <w:rPr>
          <w:rFonts w:ascii="Calibri" w:hAnsi="Calibri" w:cs="Calibri"/>
          <w:sz w:val="22"/>
          <w:szCs w:val="22"/>
        </w:rPr>
        <w:t>is</w:t>
      </w:r>
      <w:r w:rsidRPr="00D6050D">
        <w:rPr>
          <w:rFonts w:ascii="Calibri" w:hAnsi="Calibri" w:cs="Calibri"/>
          <w:spacing w:val="-5"/>
          <w:sz w:val="22"/>
          <w:szCs w:val="22"/>
        </w:rPr>
        <w:t xml:space="preserve"> </w:t>
      </w:r>
      <w:r w:rsidRPr="00D6050D">
        <w:rPr>
          <w:rFonts w:ascii="Calibri" w:hAnsi="Calibri" w:cs="Calibri"/>
          <w:sz w:val="22"/>
          <w:szCs w:val="22"/>
        </w:rPr>
        <w:t>being</w:t>
      </w:r>
      <w:r w:rsidRPr="00D6050D">
        <w:rPr>
          <w:rFonts w:ascii="Calibri" w:hAnsi="Calibri" w:cs="Calibri"/>
          <w:spacing w:val="-4"/>
          <w:sz w:val="22"/>
          <w:szCs w:val="22"/>
        </w:rPr>
        <w:t xml:space="preserve"> </w:t>
      </w:r>
      <w:r w:rsidRPr="00D6050D">
        <w:rPr>
          <w:rFonts w:ascii="Calibri" w:hAnsi="Calibri" w:cs="Calibri"/>
          <w:sz w:val="22"/>
          <w:szCs w:val="22"/>
        </w:rPr>
        <w:t>achieved</w:t>
      </w:r>
      <w:r w:rsidRPr="00D6050D">
        <w:rPr>
          <w:rFonts w:ascii="Calibri" w:hAnsi="Calibri" w:cs="Calibri"/>
          <w:spacing w:val="-1"/>
          <w:sz w:val="22"/>
          <w:szCs w:val="22"/>
        </w:rPr>
        <w:t xml:space="preserve"> </w:t>
      </w:r>
      <w:r w:rsidRPr="00D6050D">
        <w:rPr>
          <w:rFonts w:ascii="Calibri" w:hAnsi="Calibri" w:cs="Calibri"/>
          <w:sz w:val="22"/>
          <w:szCs w:val="22"/>
        </w:rPr>
        <w:t>in</w:t>
      </w:r>
      <w:r w:rsidRPr="00D6050D">
        <w:rPr>
          <w:rFonts w:ascii="Calibri" w:hAnsi="Calibri" w:cs="Calibri"/>
          <w:spacing w:val="-4"/>
          <w:sz w:val="22"/>
          <w:szCs w:val="22"/>
        </w:rPr>
        <w:t xml:space="preserve"> </w:t>
      </w:r>
      <w:r w:rsidRPr="00D6050D">
        <w:rPr>
          <w:rFonts w:ascii="Calibri" w:hAnsi="Calibri" w:cs="Calibri"/>
          <w:sz w:val="22"/>
          <w:szCs w:val="22"/>
        </w:rPr>
        <w:t>the</w:t>
      </w:r>
      <w:r w:rsidRPr="00D6050D">
        <w:rPr>
          <w:rFonts w:ascii="Calibri" w:hAnsi="Calibri" w:cs="Calibri"/>
          <w:spacing w:val="-2"/>
          <w:sz w:val="22"/>
          <w:szCs w:val="22"/>
        </w:rPr>
        <w:t xml:space="preserve"> </w:t>
      </w:r>
      <w:r w:rsidRPr="00D6050D">
        <w:rPr>
          <w:rFonts w:ascii="Calibri" w:hAnsi="Calibri" w:cs="Calibri"/>
          <w:sz w:val="22"/>
          <w:szCs w:val="22"/>
        </w:rPr>
        <w:t>following</w:t>
      </w:r>
      <w:r w:rsidRPr="00D6050D">
        <w:rPr>
          <w:rFonts w:ascii="Calibri" w:hAnsi="Calibri" w:cs="Calibri"/>
          <w:spacing w:val="-2"/>
          <w:sz w:val="22"/>
          <w:szCs w:val="22"/>
        </w:rPr>
        <w:t xml:space="preserve"> </w:t>
      </w:r>
      <w:r w:rsidRPr="00D6050D">
        <w:rPr>
          <w:rFonts w:ascii="Calibri" w:hAnsi="Calibri" w:cs="Calibri"/>
          <w:sz w:val="22"/>
          <w:szCs w:val="22"/>
        </w:rPr>
        <w:t>ways</w:t>
      </w:r>
    </w:p>
    <w:p w14:paraId="6AFE9DD8" w14:textId="77777777" w:rsidR="00974443" w:rsidRPr="00D6050D" w:rsidRDefault="00974443" w:rsidP="00974443">
      <w:pPr>
        <w:widowControl w:val="0"/>
        <w:numPr>
          <w:ilvl w:val="0"/>
          <w:numId w:val="21"/>
        </w:numPr>
        <w:tabs>
          <w:tab w:val="left" w:pos="567"/>
          <w:tab w:val="left" w:pos="754"/>
        </w:tabs>
        <w:autoSpaceDE w:val="0"/>
        <w:autoSpaceDN w:val="0"/>
        <w:spacing w:after="160" w:line="360" w:lineRule="auto"/>
        <w:contextualSpacing/>
        <w:rPr>
          <w:rFonts w:ascii="Calibri" w:eastAsia="Calibri" w:hAnsi="Calibri" w:cs="Calibri"/>
          <w:sz w:val="22"/>
          <w:szCs w:val="22"/>
        </w:rPr>
      </w:pPr>
      <w:r w:rsidRPr="00D6050D">
        <w:rPr>
          <w:rFonts w:ascii="Calibri" w:eastAsia="Calibri" w:hAnsi="Calibri" w:cs="Calibri"/>
          <w:sz w:val="22"/>
          <w:szCs w:val="22"/>
        </w:rPr>
        <w:t>Government</w:t>
      </w:r>
      <w:r w:rsidRPr="00D6050D">
        <w:rPr>
          <w:rFonts w:ascii="Calibri" w:eastAsia="Calibri" w:hAnsi="Calibri" w:cs="Calibri"/>
          <w:spacing w:val="-3"/>
          <w:sz w:val="22"/>
          <w:szCs w:val="22"/>
        </w:rPr>
        <w:t xml:space="preserve"> </w:t>
      </w:r>
      <w:r w:rsidRPr="00D6050D">
        <w:rPr>
          <w:rFonts w:ascii="Calibri" w:eastAsia="Calibri" w:hAnsi="Calibri" w:cs="Calibri"/>
          <w:sz w:val="22"/>
          <w:szCs w:val="22"/>
        </w:rPr>
        <w:t>Grants</w:t>
      </w:r>
    </w:p>
    <w:p w14:paraId="44FA4E92" w14:textId="77777777" w:rsidR="00974443" w:rsidRPr="00D6050D" w:rsidRDefault="00974443" w:rsidP="00974443">
      <w:pPr>
        <w:widowControl w:val="0"/>
        <w:numPr>
          <w:ilvl w:val="0"/>
          <w:numId w:val="21"/>
        </w:numPr>
        <w:tabs>
          <w:tab w:val="left" w:pos="567"/>
          <w:tab w:val="left" w:pos="754"/>
        </w:tabs>
        <w:autoSpaceDE w:val="0"/>
        <w:autoSpaceDN w:val="0"/>
        <w:spacing w:after="160" w:line="360" w:lineRule="auto"/>
        <w:contextualSpacing/>
        <w:rPr>
          <w:rFonts w:ascii="Calibri" w:eastAsia="Calibri" w:hAnsi="Calibri" w:cs="Calibri"/>
          <w:sz w:val="22"/>
          <w:szCs w:val="22"/>
        </w:rPr>
      </w:pPr>
      <w:r w:rsidRPr="00D6050D">
        <w:rPr>
          <w:rFonts w:ascii="Calibri" w:eastAsia="Calibri" w:hAnsi="Calibri" w:cs="Calibri"/>
          <w:sz w:val="22"/>
          <w:szCs w:val="22"/>
        </w:rPr>
        <w:t>Consumer</w:t>
      </w:r>
      <w:r w:rsidRPr="00D6050D">
        <w:rPr>
          <w:rFonts w:ascii="Calibri" w:eastAsia="Calibri" w:hAnsi="Calibri" w:cs="Calibri"/>
          <w:spacing w:val="-6"/>
          <w:sz w:val="22"/>
          <w:szCs w:val="22"/>
        </w:rPr>
        <w:t xml:space="preserve"> </w:t>
      </w:r>
      <w:r w:rsidRPr="00D6050D">
        <w:rPr>
          <w:rFonts w:ascii="Calibri" w:eastAsia="Calibri" w:hAnsi="Calibri" w:cs="Calibri"/>
          <w:sz w:val="22"/>
          <w:szCs w:val="22"/>
        </w:rPr>
        <w:t>Contribution</w:t>
      </w:r>
    </w:p>
    <w:p w14:paraId="51A50E7B" w14:textId="77777777" w:rsidR="00974443" w:rsidRPr="00D6050D" w:rsidRDefault="00974443" w:rsidP="00974443">
      <w:pPr>
        <w:widowControl w:val="0"/>
        <w:numPr>
          <w:ilvl w:val="0"/>
          <w:numId w:val="21"/>
        </w:numPr>
        <w:tabs>
          <w:tab w:val="left" w:pos="567"/>
          <w:tab w:val="left" w:pos="754"/>
        </w:tabs>
        <w:autoSpaceDE w:val="0"/>
        <w:autoSpaceDN w:val="0"/>
        <w:spacing w:after="160" w:line="360" w:lineRule="auto"/>
        <w:contextualSpacing/>
        <w:rPr>
          <w:rFonts w:ascii="Calibri" w:eastAsia="Calibri" w:hAnsi="Calibri" w:cs="Calibri"/>
          <w:sz w:val="22"/>
          <w:szCs w:val="22"/>
        </w:rPr>
      </w:pPr>
      <w:r w:rsidRPr="00D6050D">
        <w:rPr>
          <w:rFonts w:ascii="Calibri" w:eastAsia="Calibri" w:hAnsi="Calibri" w:cs="Calibri"/>
          <w:sz w:val="22"/>
          <w:szCs w:val="22"/>
        </w:rPr>
        <w:t>Depreciation</w:t>
      </w:r>
    </w:p>
    <w:p w14:paraId="44295D8C" w14:textId="77777777" w:rsidR="00974443" w:rsidRPr="00D6050D" w:rsidRDefault="00974443" w:rsidP="00974443">
      <w:pPr>
        <w:widowControl w:val="0"/>
        <w:numPr>
          <w:ilvl w:val="0"/>
          <w:numId w:val="21"/>
        </w:numPr>
        <w:tabs>
          <w:tab w:val="left" w:pos="567"/>
          <w:tab w:val="left" w:pos="754"/>
        </w:tabs>
        <w:autoSpaceDE w:val="0"/>
        <w:autoSpaceDN w:val="0"/>
        <w:spacing w:after="160" w:line="360" w:lineRule="auto"/>
        <w:contextualSpacing/>
        <w:rPr>
          <w:rFonts w:ascii="Calibri" w:eastAsia="Calibri" w:hAnsi="Calibri" w:cs="Calibri"/>
          <w:sz w:val="22"/>
          <w:szCs w:val="22"/>
        </w:rPr>
      </w:pPr>
      <w:r w:rsidRPr="00D6050D">
        <w:rPr>
          <w:rFonts w:ascii="Calibri" w:eastAsia="Calibri" w:hAnsi="Calibri" w:cs="Calibri"/>
          <w:sz w:val="22"/>
          <w:szCs w:val="22"/>
        </w:rPr>
        <w:t>Debt</w:t>
      </w:r>
    </w:p>
    <w:p w14:paraId="01F6AE09" w14:textId="77777777" w:rsidR="00974443" w:rsidRPr="00D6050D" w:rsidRDefault="00974443" w:rsidP="00974443">
      <w:pPr>
        <w:widowControl w:val="0"/>
        <w:numPr>
          <w:ilvl w:val="0"/>
          <w:numId w:val="21"/>
        </w:numPr>
        <w:tabs>
          <w:tab w:val="left" w:pos="567"/>
          <w:tab w:val="left" w:pos="754"/>
        </w:tabs>
        <w:autoSpaceDE w:val="0"/>
        <w:autoSpaceDN w:val="0"/>
        <w:spacing w:after="160" w:line="360" w:lineRule="auto"/>
        <w:contextualSpacing/>
        <w:rPr>
          <w:rFonts w:ascii="Calibri" w:eastAsia="Calibri" w:hAnsi="Calibri" w:cs="Calibri"/>
          <w:sz w:val="22"/>
          <w:szCs w:val="22"/>
        </w:rPr>
      </w:pPr>
      <w:r w:rsidRPr="00D6050D">
        <w:rPr>
          <w:rFonts w:ascii="Calibri" w:eastAsia="Calibri" w:hAnsi="Calibri" w:cs="Calibri"/>
          <w:sz w:val="22"/>
          <w:szCs w:val="22"/>
        </w:rPr>
        <w:t>Equity</w:t>
      </w:r>
    </w:p>
    <w:p w14:paraId="6F7F5181" w14:textId="77777777" w:rsidR="00974443" w:rsidRPr="00D6050D" w:rsidRDefault="00974443" w:rsidP="00974443">
      <w:pPr>
        <w:widowControl w:val="0"/>
        <w:tabs>
          <w:tab w:val="left" w:pos="567"/>
          <w:tab w:val="left" w:pos="754"/>
        </w:tabs>
        <w:autoSpaceDE w:val="0"/>
        <w:autoSpaceDN w:val="0"/>
        <w:spacing w:before="43" w:line="360" w:lineRule="auto"/>
        <w:ind w:left="567"/>
        <w:rPr>
          <w:rFonts w:ascii="Calibri" w:eastAsia="Calibri" w:hAnsi="Calibri" w:cs="Calibri"/>
          <w:b/>
          <w:sz w:val="22"/>
          <w:szCs w:val="22"/>
        </w:rPr>
      </w:pPr>
    </w:p>
    <w:p w14:paraId="0266B196" w14:textId="7FCB1423" w:rsidR="00974443" w:rsidRPr="00BF6458" w:rsidRDefault="00BF6458" w:rsidP="00974443">
      <w:pPr>
        <w:widowControl w:val="0"/>
        <w:tabs>
          <w:tab w:val="left" w:pos="567"/>
          <w:tab w:val="left" w:pos="754"/>
        </w:tabs>
        <w:autoSpaceDE w:val="0"/>
        <w:autoSpaceDN w:val="0"/>
        <w:spacing w:before="43" w:line="360" w:lineRule="auto"/>
        <w:ind w:left="567"/>
        <w:rPr>
          <w:rFonts w:ascii="Calibri" w:eastAsia="Calibri" w:hAnsi="Calibri" w:cs="Calibri"/>
          <w:b/>
          <w:szCs w:val="22"/>
        </w:rPr>
      </w:pPr>
      <w:r w:rsidRPr="00BF6458">
        <w:rPr>
          <w:rFonts w:ascii="Calibri" w:eastAsia="Calibri" w:hAnsi="Calibri" w:cs="Calibri"/>
          <w:b/>
          <w:szCs w:val="22"/>
        </w:rPr>
        <w:t xml:space="preserve">  2.1</w:t>
      </w:r>
      <w:r w:rsidR="00996459">
        <w:rPr>
          <w:rFonts w:ascii="Calibri" w:eastAsia="Calibri" w:hAnsi="Calibri" w:cs="Calibri"/>
          <w:b/>
          <w:szCs w:val="22"/>
        </w:rPr>
        <w:t>1.5</w:t>
      </w:r>
      <w:r w:rsidR="00974443" w:rsidRPr="00BF6458">
        <w:rPr>
          <w:rFonts w:ascii="Calibri" w:eastAsia="Calibri" w:hAnsi="Calibri" w:cs="Calibri"/>
          <w:b/>
          <w:szCs w:val="22"/>
        </w:rPr>
        <w:t xml:space="preserve"> Government</w:t>
      </w:r>
      <w:r w:rsidR="00974443" w:rsidRPr="00BF6458">
        <w:rPr>
          <w:rFonts w:ascii="Calibri" w:eastAsia="Calibri" w:hAnsi="Calibri" w:cs="Calibri"/>
          <w:b/>
          <w:spacing w:val="-6"/>
          <w:szCs w:val="22"/>
        </w:rPr>
        <w:t xml:space="preserve"> </w:t>
      </w:r>
      <w:r w:rsidR="00974443" w:rsidRPr="00BF6458">
        <w:rPr>
          <w:rFonts w:ascii="Calibri" w:eastAsia="Calibri" w:hAnsi="Calibri" w:cs="Calibri"/>
          <w:b/>
          <w:szCs w:val="22"/>
        </w:rPr>
        <w:t>Grants</w:t>
      </w:r>
    </w:p>
    <w:p w14:paraId="349E17B0" w14:textId="2FFF83EB" w:rsidR="00BF6458" w:rsidRPr="00D6050D" w:rsidRDefault="00974443" w:rsidP="00BF6458">
      <w:pPr>
        <w:tabs>
          <w:tab w:val="left" w:pos="0"/>
        </w:tabs>
        <w:spacing w:after="120" w:line="360" w:lineRule="auto"/>
        <w:ind w:left="567"/>
        <w:jc w:val="both"/>
        <w:rPr>
          <w:rFonts w:ascii="Calibri" w:hAnsi="Calibri" w:cs="Calibri"/>
          <w:sz w:val="22"/>
          <w:szCs w:val="22"/>
        </w:rPr>
      </w:pPr>
      <w:r w:rsidRPr="00D6050D">
        <w:rPr>
          <w:rFonts w:ascii="Calibri" w:hAnsi="Calibri" w:cs="Calibri"/>
          <w:sz w:val="22"/>
          <w:szCs w:val="22"/>
        </w:rPr>
        <w:t>For</w:t>
      </w:r>
      <w:r w:rsidRPr="00D6050D">
        <w:rPr>
          <w:rFonts w:ascii="Calibri" w:hAnsi="Calibri" w:cs="Calibri"/>
          <w:spacing w:val="24"/>
          <w:sz w:val="22"/>
          <w:szCs w:val="22"/>
        </w:rPr>
        <w:t xml:space="preserve"> </w:t>
      </w:r>
      <w:r w:rsidRPr="00D6050D">
        <w:rPr>
          <w:rFonts w:ascii="Calibri" w:hAnsi="Calibri" w:cs="Calibri"/>
          <w:sz w:val="22"/>
          <w:szCs w:val="22"/>
        </w:rPr>
        <w:t>the</w:t>
      </w:r>
      <w:r w:rsidRPr="00D6050D">
        <w:rPr>
          <w:rFonts w:ascii="Calibri" w:hAnsi="Calibri" w:cs="Calibri"/>
          <w:spacing w:val="23"/>
          <w:sz w:val="22"/>
          <w:szCs w:val="22"/>
        </w:rPr>
        <w:t xml:space="preserve"> </w:t>
      </w:r>
      <w:r w:rsidRPr="00D6050D">
        <w:rPr>
          <w:rFonts w:ascii="Calibri" w:hAnsi="Calibri" w:cs="Calibri"/>
          <w:sz w:val="22"/>
          <w:szCs w:val="22"/>
        </w:rPr>
        <w:t>purpose</w:t>
      </w:r>
      <w:r w:rsidRPr="00D6050D">
        <w:rPr>
          <w:rFonts w:ascii="Calibri" w:hAnsi="Calibri" w:cs="Calibri"/>
          <w:spacing w:val="26"/>
          <w:sz w:val="22"/>
          <w:szCs w:val="22"/>
        </w:rPr>
        <w:t xml:space="preserve"> </w:t>
      </w:r>
      <w:r w:rsidRPr="00D6050D">
        <w:rPr>
          <w:rFonts w:ascii="Calibri" w:hAnsi="Calibri" w:cs="Calibri"/>
          <w:sz w:val="22"/>
          <w:szCs w:val="22"/>
        </w:rPr>
        <w:t>of</w:t>
      </w:r>
      <w:r w:rsidRPr="00D6050D">
        <w:rPr>
          <w:rFonts w:ascii="Calibri" w:hAnsi="Calibri" w:cs="Calibri"/>
          <w:spacing w:val="24"/>
          <w:sz w:val="22"/>
          <w:szCs w:val="22"/>
        </w:rPr>
        <w:t xml:space="preserve"> </w:t>
      </w:r>
      <w:r w:rsidRPr="00D6050D">
        <w:rPr>
          <w:rFonts w:ascii="Calibri" w:hAnsi="Calibri" w:cs="Calibri"/>
          <w:sz w:val="22"/>
          <w:szCs w:val="22"/>
        </w:rPr>
        <w:t>this</w:t>
      </w:r>
      <w:r w:rsidRPr="00D6050D">
        <w:rPr>
          <w:rFonts w:ascii="Calibri" w:hAnsi="Calibri" w:cs="Calibri"/>
          <w:spacing w:val="22"/>
          <w:sz w:val="22"/>
          <w:szCs w:val="22"/>
        </w:rPr>
        <w:t xml:space="preserve"> </w:t>
      </w:r>
      <w:r w:rsidRPr="00D6050D">
        <w:rPr>
          <w:rFonts w:ascii="Calibri" w:hAnsi="Calibri" w:cs="Calibri"/>
          <w:sz w:val="22"/>
          <w:szCs w:val="22"/>
        </w:rPr>
        <w:t>submission,</w:t>
      </w:r>
      <w:r w:rsidRPr="00D6050D">
        <w:rPr>
          <w:rFonts w:ascii="Calibri" w:hAnsi="Calibri" w:cs="Calibri"/>
          <w:spacing w:val="25"/>
          <w:sz w:val="22"/>
          <w:szCs w:val="22"/>
        </w:rPr>
        <w:t xml:space="preserve"> </w:t>
      </w:r>
      <w:r w:rsidRPr="00D6050D">
        <w:rPr>
          <w:rFonts w:ascii="Calibri" w:hAnsi="Calibri" w:cs="Calibri"/>
          <w:sz w:val="22"/>
          <w:szCs w:val="22"/>
        </w:rPr>
        <w:t>we</w:t>
      </w:r>
      <w:r w:rsidRPr="00D6050D">
        <w:rPr>
          <w:rFonts w:ascii="Calibri" w:hAnsi="Calibri" w:cs="Calibri"/>
          <w:spacing w:val="26"/>
          <w:sz w:val="22"/>
          <w:szCs w:val="22"/>
        </w:rPr>
        <w:t xml:space="preserve"> </w:t>
      </w:r>
      <w:r w:rsidRPr="00D6050D">
        <w:rPr>
          <w:rFonts w:ascii="Calibri" w:hAnsi="Calibri" w:cs="Calibri"/>
          <w:sz w:val="22"/>
          <w:szCs w:val="22"/>
        </w:rPr>
        <w:t>have</w:t>
      </w:r>
      <w:r w:rsidRPr="00D6050D">
        <w:rPr>
          <w:rFonts w:ascii="Calibri" w:hAnsi="Calibri" w:cs="Calibri"/>
          <w:spacing w:val="25"/>
          <w:sz w:val="22"/>
          <w:szCs w:val="22"/>
        </w:rPr>
        <w:t xml:space="preserve"> </w:t>
      </w:r>
      <w:r w:rsidRPr="00D6050D">
        <w:rPr>
          <w:rFonts w:ascii="Calibri" w:hAnsi="Calibri" w:cs="Calibri"/>
          <w:sz w:val="22"/>
          <w:szCs w:val="22"/>
        </w:rPr>
        <w:t>considered</w:t>
      </w:r>
      <w:r w:rsidRPr="00D6050D">
        <w:rPr>
          <w:rFonts w:ascii="Calibri" w:hAnsi="Calibri" w:cs="Calibri"/>
          <w:spacing w:val="26"/>
          <w:sz w:val="22"/>
          <w:szCs w:val="22"/>
        </w:rPr>
        <w:t xml:space="preserve"> the </w:t>
      </w:r>
      <w:r w:rsidRPr="00D6050D">
        <w:rPr>
          <w:rFonts w:ascii="Calibri" w:hAnsi="Calibri" w:cs="Calibri"/>
          <w:spacing w:val="24"/>
          <w:sz w:val="22"/>
          <w:szCs w:val="22"/>
        </w:rPr>
        <w:t>Government</w:t>
      </w:r>
      <w:r w:rsidRPr="00D6050D">
        <w:rPr>
          <w:rFonts w:ascii="Calibri" w:hAnsi="Calibri" w:cs="Calibri"/>
          <w:spacing w:val="25"/>
          <w:sz w:val="22"/>
          <w:szCs w:val="22"/>
        </w:rPr>
        <w:t xml:space="preserve"> </w:t>
      </w:r>
      <w:r w:rsidRPr="00D6050D">
        <w:rPr>
          <w:rFonts w:ascii="Calibri" w:hAnsi="Calibri" w:cs="Calibri"/>
          <w:sz w:val="22"/>
          <w:szCs w:val="22"/>
        </w:rPr>
        <w:t>Grants</w:t>
      </w:r>
      <w:r w:rsidRPr="00D6050D">
        <w:rPr>
          <w:rFonts w:ascii="Calibri" w:hAnsi="Calibri" w:cs="Calibri"/>
          <w:spacing w:val="25"/>
          <w:sz w:val="22"/>
          <w:szCs w:val="22"/>
        </w:rPr>
        <w:t xml:space="preserve"> </w:t>
      </w:r>
      <w:r w:rsidRPr="00D6050D">
        <w:rPr>
          <w:rFonts w:ascii="Calibri" w:hAnsi="Calibri" w:cs="Calibri"/>
          <w:sz w:val="22"/>
          <w:szCs w:val="22"/>
        </w:rPr>
        <w:t xml:space="preserve">that </w:t>
      </w:r>
      <w:r w:rsidRPr="00EC617B">
        <w:rPr>
          <w:rFonts w:ascii="Calibri" w:hAnsi="Calibri" w:cs="Calibri"/>
          <w:iCs/>
          <w:sz w:val="22"/>
          <w:szCs w:val="22"/>
        </w:rPr>
        <w:t>are</w:t>
      </w:r>
      <w:r w:rsidRPr="00EC617B">
        <w:rPr>
          <w:rFonts w:ascii="Calibri" w:hAnsi="Calibri" w:cs="Calibri"/>
          <w:sz w:val="22"/>
          <w:szCs w:val="22"/>
        </w:rPr>
        <w:t xml:space="preserve"> </w:t>
      </w:r>
      <w:r w:rsidRPr="00D6050D">
        <w:rPr>
          <w:rFonts w:ascii="Calibri" w:hAnsi="Calibri" w:cs="Calibri"/>
          <w:sz w:val="22"/>
          <w:szCs w:val="22"/>
        </w:rPr>
        <w:t>available for the capex initiated after the Effective Date (" New Capex") i.e. for Capex of</w:t>
      </w:r>
      <w:r w:rsidRPr="00D6050D">
        <w:rPr>
          <w:rFonts w:ascii="Calibri" w:hAnsi="Calibri" w:cs="Calibri"/>
          <w:spacing w:val="1"/>
          <w:sz w:val="22"/>
          <w:szCs w:val="22"/>
        </w:rPr>
        <w:t xml:space="preserve"> </w:t>
      </w:r>
      <w:r w:rsidRPr="00D6050D">
        <w:rPr>
          <w:rFonts w:ascii="Calibri" w:hAnsi="Calibri" w:cs="Calibri"/>
          <w:sz w:val="22"/>
          <w:szCs w:val="22"/>
        </w:rPr>
        <w:t>FY 2022-23</w:t>
      </w:r>
      <w:r w:rsidRPr="00D6050D">
        <w:rPr>
          <w:rFonts w:ascii="Calibri" w:hAnsi="Calibri" w:cs="Calibri"/>
          <w:spacing w:val="1"/>
          <w:sz w:val="22"/>
          <w:szCs w:val="22"/>
        </w:rPr>
        <w:t xml:space="preserve"> </w:t>
      </w:r>
      <w:r w:rsidRPr="00D6050D">
        <w:rPr>
          <w:rFonts w:ascii="Calibri" w:hAnsi="Calibri" w:cs="Calibri"/>
          <w:sz w:val="22"/>
          <w:szCs w:val="22"/>
        </w:rPr>
        <w:t>and</w:t>
      </w:r>
      <w:r w:rsidRPr="00D6050D">
        <w:rPr>
          <w:rFonts w:ascii="Calibri" w:hAnsi="Calibri" w:cs="Calibri"/>
          <w:spacing w:val="1"/>
          <w:sz w:val="22"/>
          <w:szCs w:val="22"/>
        </w:rPr>
        <w:t xml:space="preserve"> </w:t>
      </w:r>
      <w:r w:rsidRPr="00D6050D">
        <w:rPr>
          <w:rFonts w:ascii="Calibri" w:hAnsi="Calibri" w:cs="Calibri"/>
          <w:sz w:val="22"/>
          <w:szCs w:val="22"/>
        </w:rPr>
        <w:t>FY 2023-24 for the purpose of claiming Repair &amp; Maintenance.  For the initial CWIP that</w:t>
      </w:r>
      <w:r w:rsidRPr="00D6050D">
        <w:rPr>
          <w:rFonts w:ascii="Calibri" w:hAnsi="Calibri" w:cs="Calibri"/>
          <w:spacing w:val="1"/>
          <w:sz w:val="22"/>
          <w:szCs w:val="22"/>
        </w:rPr>
        <w:t xml:space="preserve"> </w:t>
      </w:r>
      <w:r w:rsidRPr="00D6050D">
        <w:rPr>
          <w:rFonts w:ascii="Calibri" w:hAnsi="Calibri" w:cs="Calibri"/>
          <w:sz w:val="22"/>
          <w:szCs w:val="22"/>
        </w:rPr>
        <w:t>has been</w:t>
      </w:r>
      <w:r w:rsidRPr="00D6050D">
        <w:rPr>
          <w:rFonts w:ascii="Calibri" w:hAnsi="Calibri" w:cs="Calibri"/>
          <w:spacing w:val="54"/>
          <w:sz w:val="22"/>
          <w:szCs w:val="22"/>
        </w:rPr>
        <w:t xml:space="preserve"> </w:t>
      </w:r>
      <w:r w:rsidRPr="00D6050D">
        <w:rPr>
          <w:rFonts w:ascii="Calibri" w:hAnsi="Calibri" w:cs="Calibri"/>
          <w:sz w:val="22"/>
          <w:szCs w:val="22"/>
        </w:rPr>
        <w:t>inherited on</w:t>
      </w:r>
      <w:r w:rsidRPr="00D6050D">
        <w:rPr>
          <w:rFonts w:ascii="Calibri" w:hAnsi="Calibri" w:cs="Calibri"/>
          <w:spacing w:val="54"/>
          <w:sz w:val="22"/>
          <w:szCs w:val="22"/>
        </w:rPr>
        <w:t xml:space="preserve"> </w:t>
      </w:r>
      <w:r w:rsidRPr="00D6050D">
        <w:rPr>
          <w:rFonts w:ascii="Calibri" w:hAnsi="Calibri" w:cs="Calibri"/>
          <w:sz w:val="22"/>
          <w:szCs w:val="22"/>
        </w:rPr>
        <w:t>1</w:t>
      </w:r>
      <w:r w:rsidRPr="00D6050D">
        <w:rPr>
          <w:rFonts w:ascii="Calibri" w:hAnsi="Calibri" w:cs="Calibri"/>
          <w:sz w:val="22"/>
          <w:szCs w:val="22"/>
          <w:vertAlign w:val="superscript"/>
        </w:rPr>
        <w:t>st</w:t>
      </w:r>
      <w:r w:rsidRPr="00D6050D">
        <w:rPr>
          <w:rFonts w:ascii="Calibri" w:hAnsi="Calibri" w:cs="Calibri"/>
          <w:sz w:val="22"/>
          <w:szCs w:val="22"/>
        </w:rPr>
        <w:t xml:space="preserve"> April 2021,</w:t>
      </w:r>
      <w:r w:rsidRPr="00D6050D">
        <w:rPr>
          <w:rFonts w:ascii="Calibri" w:hAnsi="Calibri" w:cs="Calibri"/>
          <w:spacing w:val="1"/>
          <w:sz w:val="22"/>
          <w:szCs w:val="22"/>
        </w:rPr>
        <w:t xml:space="preserve"> </w:t>
      </w:r>
      <w:r w:rsidRPr="00D6050D">
        <w:rPr>
          <w:rFonts w:ascii="Calibri" w:hAnsi="Calibri" w:cs="Calibri"/>
          <w:sz w:val="22"/>
          <w:szCs w:val="22"/>
        </w:rPr>
        <w:t>we</w:t>
      </w:r>
      <w:r w:rsidRPr="00D6050D">
        <w:rPr>
          <w:rFonts w:ascii="Calibri" w:hAnsi="Calibri" w:cs="Calibri"/>
          <w:spacing w:val="-1"/>
          <w:sz w:val="22"/>
          <w:szCs w:val="22"/>
        </w:rPr>
        <w:t xml:space="preserve"> </w:t>
      </w:r>
      <w:r w:rsidRPr="00D6050D">
        <w:rPr>
          <w:rFonts w:ascii="Calibri" w:hAnsi="Calibri" w:cs="Calibri"/>
          <w:sz w:val="22"/>
          <w:szCs w:val="22"/>
        </w:rPr>
        <w:t>have considered</w:t>
      </w:r>
      <w:r w:rsidRPr="00D6050D">
        <w:rPr>
          <w:rFonts w:ascii="Calibri" w:hAnsi="Calibri" w:cs="Calibri"/>
          <w:spacing w:val="-2"/>
          <w:sz w:val="22"/>
          <w:szCs w:val="22"/>
        </w:rPr>
        <w:t xml:space="preserve"> </w:t>
      </w:r>
      <w:r w:rsidRPr="00D6050D">
        <w:rPr>
          <w:rFonts w:ascii="Calibri" w:hAnsi="Calibri" w:cs="Calibri"/>
          <w:sz w:val="22"/>
          <w:szCs w:val="22"/>
        </w:rPr>
        <w:t>the</w:t>
      </w:r>
      <w:r w:rsidRPr="00D6050D">
        <w:rPr>
          <w:rFonts w:ascii="Calibri" w:hAnsi="Calibri" w:cs="Calibri"/>
          <w:spacing w:val="-2"/>
          <w:sz w:val="22"/>
          <w:szCs w:val="22"/>
        </w:rPr>
        <w:t xml:space="preserve"> </w:t>
      </w:r>
      <w:r w:rsidRPr="00D6050D">
        <w:rPr>
          <w:rFonts w:ascii="Calibri" w:hAnsi="Calibri" w:cs="Calibri"/>
          <w:sz w:val="22"/>
          <w:szCs w:val="22"/>
        </w:rPr>
        <w:t>Government</w:t>
      </w:r>
      <w:r w:rsidRPr="00D6050D">
        <w:rPr>
          <w:rFonts w:ascii="Calibri" w:hAnsi="Calibri" w:cs="Calibri"/>
          <w:spacing w:val="-2"/>
          <w:sz w:val="22"/>
          <w:szCs w:val="22"/>
        </w:rPr>
        <w:t xml:space="preserve"> </w:t>
      </w:r>
      <w:r w:rsidRPr="00D6050D">
        <w:rPr>
          <w:rFonts w:ascii="Calibri" w:hAnsi="Calibri" w:cs="Calibri"/>
          <w:sz w:val="22"/>
          <w:szCs w:val="22"/>
        </w:rPr>
        <w:t>funding</w:t>
      </w:r>
      <w:r w:rsidRPr="00D6050D">
        <w:rPr>
          <w:rFonts w:ascii="Calibri" w:hAnsi="Calibri" w:cs="Calibri"/>
          <w:spacing w:val="-2"/>
          <w:sz w:val="22"/>
          <w:szCs w:val="22"/>
        </w:rPr>
        <w:t xml:space="preserve"> </w:t>
      </w:r>
      <w:r w:rsidRPr="00D6050D">
        <w:rPr>
          <w:rFonts w:ascii="Calibri" w:hAnsi="Calibri" w:cs="Calibri"/>
          <w:sz w:val="22"/>
          <w:szCs w:val="22"/>
        </w:rPr>
        <w:t>only</w:t>
      </w:r>
      <w:r w:rsidRPr="00D6050D">
        <w:rPr>
          <w:rFonts w:ascii="Calibri" w:hAnsi="Calibri" w:cs="Calibri"/>
          <w:spacing w:val="-1"/>
          <w:sz w:val="22"/>
          <w:szCs w:val="22"/>
        </w:rPr>
        <w:t xml:space="preserve"> </w:t>
      </w:r>
      <w:r w:rsidRPr="00D6050D">
        <w:rPr>
          <w:rFonts w:ascii="Calibri" w:hAnsi="Calibri" w:cs="Calibri"/>
          <w:sz w:val="22"/>
          <w:szCs w:val="22"/>
        </w:rPr>
        <w:t>to</w:t>
      </w:r>
      <w:r w:rsidRPr="00D6050D">
        <w:rPr>
          <w:rFonts w:ascii="Calibri" w:hAnsi="Calibri" w:cs="Calibri"/>
          <w:spacing w:val="-2"/>
          <w:sz w:val="22"/>
          <w:szCs w:val="22"/>
        </w:rPr>
        <w:t xml:space="preserve"> </w:t>
      </w:r>
      <w:r w:rsidRPr="00D6050D">
        <w:rPr>
          <w:rFonts w:ascii="Calibri" w:hAnsi="Calibri" w:cs="Calibri"/>
          <w:sz w:val="22"/>
          <w:szCs w:val="22"/>
        </w:rPr>
        <w:t>the</w:t>
      </w:r>
      <w:r w:rsidRPr="00D6050D">
        <w:rPr>
          <w:rFonts w:ascii="Calibri" w:hAnsi="Calibri" w:cs="Calibri"/>
          <w:spacing w:val="-3"/>
          <w:sz w:val="22"/>
          <w:szCs w:val="22"/>
        </w:rPr>
        <w:t xml:space="preserve"> </w:t>
      </w:r>
      <w:r w:rsidRPr="00D6050D">
        <w:rPr>
          <w:rFonts w:ascii="Calibri" w:hAnsi="Calibri" w:cs="Calibri"/>
          <w:sz w:val="22"/>
          <w:szCs w:val="22"/>
        </w:rPr>
        <w:t>extent</w:t>
      </w:r>
      <w:r w:rsidRPr="00D6050D">
        <w:rPr>
          <w:rFonts w:ascii="Calibri" w:hAnsi="Calibri" w:cs="Calibri"/>
          <w:spacing w:val="-2"/>
          <w:sz w:val="22"/>
          <w:szCs w:val="22"/>
        </w:rPr>
        <w:t xml:space="preserve"> </w:t>
      </w:r>
      <w:r w:rsidRPr="00D6050D">
        <w:rPr>
          <w:rFonts w:ascii="Calibri" w:hAnsi="Calibri" w:cs="Calibri"/>
          <w:sz w:val="22"/>
          <w:szCs w:val="22"/>
        </w:rPr>
        <w:t>utilized.</w:t>
      </w:r>
    </w:p>
    <w:p w14:paraId="7467F192" w14:textId="6D0DC464" w:rsidR="00974443" w:rsidRPr="00BF6458" w:rsidRDefault="00996459" w:rsidP="00974443">
      <w:pPr>
        <w:tabs>
          <w:tab w:val="left" w:pos="0"/>
        </w:tabs>
        <w:spacing w:after="120" w:line="360" w:lineRule="auto"/>
        <w:ind w:left="567" w:right="714"/>
        <w:jc w:val="both"/>
        <w:rPr>
          <w:rFonts w:ascii="Calibri" w:hAnsi="Calibri" w:cs="Calibri"/>
          <w:b/>
          <w:szCs w:val="22"/>
        </w:rPr>
      </w:pPr>
      <w:r>
        <w:rPr>
          <w:rFonts w:ascii="Calibri" w:hAnsi="Calibri" w:cs="Calibri"/>
          <w:b/>
          <w:szCs w:val="22"/>
        </w:rPr>
        <w:t xml:space="preserve">2.11.6 </w:t>
      </w:r>
      <w:r w:rsidR="00974443" w:rsidRPr="00BF6458">
        <w:rPr>
          <w:rFonts w:ascii="Calibri" w:hAnsi="Calibri" w:cs="Calibri"/>
          <w:b/>
          <w:szCs w:val="22"/>
        </w:rPr>
        <w:t>Consumer</w:t>
      </w:r>
      <w:r w:rsidR="00974443" w:rsidRPr="00BF6458">
        <w:rPr>
          <w:rFonts w:ascii="Calibri" w:hAnsi="Calibri" w:cs="Calibri"/>
          <w:b/>
          <w:spacing w:val="-11"/>
          <w:szCs w:val="22"/>
        </w:rPr>
        <w:t xml:space="preserve"> </w:t>
      </w:r>
      <w:r w:rsidR="00974443" w:rsidRPr="00BF6458">
        <w:rPr>
          <w:rFonts w:ascii="Calibri" w:hAnsi="Calibri" w:cs="Calibri"/>
          <w:b/>
          <w:szCs w:val="22"/>
        </w:rPr>
        <w:t>Contribution</w:t>
      </w:r>
    </w:p>
    <w:p w14:paraId="52AB74C2" w14:textId="77777777" w:rsidR="00974443" w:rsidRPr="00D6050D" w:rsidRDefault="00974443" w:rsidP="00974443">
      <w:pPr>
        <w:tabs>
          <w:tab w:val="left" w:pos="0"/>
        </w:tabs>
        <w:spacing w:after="120" w:line="360" w:lineRule="auto"/>
        <w:ind w:left="567"/>
        <w:jc w:val="both"/>
        <w:rPr>
          <w:rFonts w:ascii="Calibri" w:hAnsi="Calibri" w:cs="Calibri"/>
          <w:sz w:val="22"/>
          <w:szCs w:val="22"/>
        </w:rPr>
      </w:pPr>
      <w:r w:rsidRPr="00D6050D">
        <w:rPr>
          <w:rFonts w:ascii="Calibri" w:hAnsi="Calibri" w:cs="Calibri"/>
          <w:sz w:val="22"/>
          <w:szCs w:val="22"/>
        </w:rPr>
        <w:t>The Contribution from new Consumers including the Govt. Consumers and the asset upgradation/modification contributed are provided for extension of power supply to them.</w:t>
      </w:r>
      <w:r w:rsidRPr="00D6050D">
        <w:rPr>
          <w:rFonts w:ascii="Calibri" w:hAnsi="Calibri" w:cs="Calibri"/>
          <w:spacing w:val="1"/>
          <w:sz w:val="22"/>
          <w:szCs w:val="22"/>
        </w:rPr>
        <w:t xml:space="preserve"> </w:t>
      </w:r>
      <w:r w:rsidRPr="00D6050D">
        <w:rPr>
          <w:rFonts w:ascii="Calibri" w:hAnsi="Calibri" w:cs="Calibri"/>
          <w:sz w:val="22"/>
          <w:szCs w:val="22"/>
        </w:rPr>
        <w:t xml:space="preserve">Such consumers either pay for the connection towards the material, </w:t>
      </w:r>
      <w:proofErr w:type="spellStart"/>
      <w:r w:rsidRPr="00D6050D">
        <w:rPr>
          <w:rFonts w:ascii="Calibri" w:hAnsi="Calibri" w:cs="Calibri"/>
          <w:sz w:val="22"/>
          <w:szCs w:val="22"/>
        </w:rPr>
        <w:t>labour</w:t>
      </w:r>
      <w:proofErr w:type="spellEnd"/>
      <w:r w:rsidRPr="00D6050D">
        <w:rPr>
          <w:rFonts w:ascii="Calibri" w:hAnsi="Calibri" w:cs="Calibri"/>
          <w:sz w:val="22"/>
          <w:szCs w:val="22"/>
        </w:rPr>
        <w:t xml:space="preserve"> and services</w:t>
      </w:r>
      <w:r w:rsidRPr="00D6050D">
        <w:rPr>
          <w:rFonts w:ascii="Calibri" w:hAnsi="Calibri" w:cs="Calibri"/>
          <w:spacing w:val="1"/>
          <w:sz w:val="22"/>
          <w:szCs w:val="22"/>
        </w:rPr>
        <w:t xml:space="preserve"> </w:t>
      </w:r>
      <w:r w:rsidRPr="00D6050D">
        <w:rPr>
          <w:rFonts w:ascii="Calibri" w:hAnsi="Calibri" w:cs="Calibri"/>
          <w:sz w:val="22"/>
          <w:szCs w:val="22"/>
        </w:rPr>
        <w:t xml:space="preserve">from the </w:t>
      </w:r>
      <w:r w:rsidRPr="00D6050D">
        <w:rPr>
          <w:rFonts w:ascii="Calibri" w:hAnsi="Calibri" w:cs="Calibri"/>
          <w:sz w:val="22"/>
          <w:szCs w:val="22"/>
        </w:rPr>
        <w:lastRenderedPageBreak/>
        <w:t>Distribution Licensee or in case the consumer prefers to procure the material and</w:t>
      </w:r>
      <w:r w:rsidRPr="00D6050D">
        <w:rPr>
          <w:rFonts w:ascii="Calibri" w:hAnsi="Calibri" w:cs="Calibri"/>
          <w:spacing w:val="1"/>
          <w:sz w:val="22"/>
          <w:szCs w:val="22"/>
        </w:rPr>
        <w:t xml:space="preserve"> </w:t>
      </w:r>
      <w:proofErr w:type="spellStart"/>
      <w:r w:rsidRPr="00D6050D">
        <w:rPr>
          <w:rFonts w:ascii="Calibri" w:hAnsi="Calibri" w:cs="Calibri"/>
          <w:sz w:val="22"/>
          <w:szCs w:val="22"/>
        </w:rPr>
        <w:t>labour</w:t>
      </w:r>
      <w:proofErr w:type="spellEnd"/>
      <w:r w:rsidRPr="00D6050D">
        <w:rPr>
          <w:rFonts w:ascii="Calibri" w:hAnsi="Calibri" w:cs="Calibri"/>
          <w:spacing w:val="1"/>
          <w:sz w:val="22"/>
          <w:szCs w:val="22"/>
        </w:rPr>
        <w:t xml:space="preserve"> </w:t>
      </w:r>
      <w:r w:rsidRPr="00D6050D">
        <w:rPr>
          <w:rFonts w:ascii="Calibri" w:hAnsi="Calibri" w:cs="Calibri"/>
          <w:sz w:val="22"/>
          <w:szCs w:val="22"/>
        </w:rPr>
        <w:t>on</w:t>
      </w:r>
      <w:r w:rsidRPr="00D6050D">
        <w:rPr>
          <w:rFonts w:ascii="Calibri" w:hAnsi="Calibri" w:cs="Calibri"/>
          <w:spacing w:val="1"/>
          <w:sz w:val="22"/>
          <w:szCs w:val="22"/>
        </w:rPr>
        <w:t xml:space="preserve"> </w:t>
      </w:r>
      <w:r w:rsidRPr="00D6050D">
        <w:rPr>
          <w:rFonts w:ascii="Calibri" w:hAnsi="Calibri" w:cs="Calibri"/>
          <w:sz w:val="22"/>
          <w:szCs w:val="22"/>
        </w:rPr>
        <w:t>his</w:t>
      </w:r>
      <w:r w:rsidRPr="00D6050D">
        <w:rPr>
          <w:rFonts w:ascii="Calibri" w:hAnsi="Calibri" w:cs="Calibri"/>
          <w:spacing w:val="1"/>
          <w:sz w:val="22"/>
          <w:szCs w:val="22"/>
        </w:rPr>
        <w:t xml:space="preserve"> </w:t>
      </w:r>
      <w:r w:rsidRPr="00D6050D">
        <w:rPr>
          <w:rFonts w:ascii="Calibri" w:hAnsi="Calibri" w:cs="Calibri"/>
          <w:sz w:val="22"/>
          <w:szCs w:val="22"/>
        </w:rPr>
        <w:t>own,</w:t>
      </w:r>
      <w:r w:rsidRPr="00D6050D">
        <w:rPr>
          <w:rFonts w:ascii="Calibri" w:hAnsi="Calibri" w:cs="Calibri"/>
          <w:spacing w:val="1"/>
          <w:sz w:val="22"/>
          <w:szCs w:val="22"/>
        </w:rPr>
        <w:t xml:space="preserve"> </w:t>
      </w:r>
      <w:r w:rsidRPr="00D6050D">
        <w:rPr>
          <w:rFonts w:ascii="Calibri" w:hAnsi="Calibri" w:cs="Calibri"/>
          <w:sz w:val="22"/>
          <w:szCs w:val="22"/>
        </w:rPr>
        <w:t>then</w:t>
      </w:r>
      <w:r w:rsidRPr="00D6050D">
        <w:rPr>
          <w:rFonts w:ascii="Calibri" w:hAnsi="Calibri" w:cs="Calibri"/>
          <w:spacing w:val="1"/>
          <w:sz w:val="22"/>
          <w:szCs w:val="22"/>
        </w:rPr>
        <w:t xml:space="preserve"> </w:t>
      </w:r>
      <w:r w:rsidRPr="00D6050D">
        <w:rPr>
          <w:rFonts w:ascii="Calibri" w:hAnsi="Calibri" w:cs="Calibri"/>
          <w:sz w:val="22"/>
          <w:szCs w:val="22"/>
        </w:rPr>
        <w:t>supervision</w:t>
      </w:r>
      <w:r w:rsidRPr="00D6050D">
        <w:rPr>
          <w:rFonts w:ascii="Calibri" w:hAnsi="Calibri" w:cs="Calibri"/>
          <w:spacing w:val="1"/>
          <w:sz w:val="22"/>
          <w:szCs w:val="22"/>
        </w:rPr>
        <w:t xml:space="preserve"> </w:t>
      </w:r>
      <w:r w:rsidRPr="00D6050D">
        <w:rPr>
          <w:rFonts w:ascii="Calibri" w:hAnsi="Calibri" w:cs="Calibri"/>
          <w:sz w:val="22"/>
          <w:szCs w:val="22"/>
        </w:rPr>
        <w:t>charges</w:t>
      </w:r>
      <w:r w:rsidRPr="00D6050D">
        <w:rPr>
          <w:rFonts w:ascii="Calibri" w:hAnsi="Calibri" w:cs="Calibri"/>
          <w:spacing w:val="1"/>
          <w:sz w:val="22"/>
          <w:szCs w:val="22"/>
        </w:rPr>
        <w:t xml:space="preserve"> </w:t>
      </w:r>
      <w:r w:rsidRPr="00D6050D">
        <w:rPr>
          <w:rFonts w:ascii="Calibri" w:hAnsi="Calibri" w:cs="Calibri"/>
          <w:sz w:val="22"/>
          <w:szCs w:val="22"/>
        </w:rPr>
        <w:t>are</w:t>
      </w:r>
      <w:r w:rsidRPr="00D6050D">
        <w:rPr>
          <w:rFonts w:ascii="Calibri" w:hAnsi="Calibri" w:cs="Calibri"/>
          <w:spacing w:val="1"/>
          <w:sz w:val="22"/>
          <w:szCs w:val="22"/>
        </w:rPr>
        <w:t xml:space="preserve"> </w:t>
      </w:r>
      <w:r w:rsidRPr="00D6050D">
        <w:rPr>
          <w:rFonts w:ascii="Calibri" w:hAnsi="Calibri" w:cs="Calibri"/>
          <w:sz w:val="22"/>
          <w:szCs w:val="22"/>
        </w:rPr>
        <w:t>made</w:t>
      </w:r>
      <w:r w:rsidRPr="00D6050D">
        <w:rPr>
          <w:rFonts w:ascii="Calibri" w:hAnsi="Calibri" w:cs="Calibri"/>
          <w:spacing w:val="1"/>
          <w:sz w:val="22"/>
          <w:szCs w:val="22"/>
        </w:rPr>
        <w:t xml:space="preserve"> </w:t>
      </w:r>
      <w:r w:rsidRPr="00D6050D">
        <w:rPr>
          <w:rFonts w:ascii="Calibri" w:hAnsi="Calibri" w:cs="Calibri"/>
          <w:sz w:val="22"/>
          <w:szCs w:val="22"/>
        </w:rPr>
        <w:t>applicable</w:t>
      </w:r>
      <w:r w:rsidRPr="00D6050D">
        <w:rPr>
          <w:rFonts w:ascii="Calibri" w:hAnsi="Calibri" w:cs="Calibri"/>
          <w:spacing w:val="1"/>
          <w:sz w:val="22"/>
          <w:szCs w:val="22"/>
        </w:rPr>
        <w:t xml:space="preserve"> </w:t>
      </w:r>
      <w:r w:rsidRPr="00D6050D">
        <w:rPr>
          <w:rFonts w:ascii="Calibri" w:hAnsi="Calibri" w:cs="Calibri"/>
          <w:sz w:val="22"/>
          <w:szCs w:val="22"/>
        </w:rPr>
        <w:t>for</w:t>
      </w:r>
      <w:r w:rsidRPr="00D6050D">
        <w:rPr>
          <w:rFonts w:ascii="Calibri" w:hAnsi="Calibri" w:cs="Calibri"/>
          <w:spacing w:val="1"/>
          <w:sz w:val="22"/>
          <w:szCs w:val="22"/>
        </w:rPr>
        <w:t xml:space="preserve"> </w:t>
      </w:r>
      <w:r w:rsidRPr="00D6050D">
        <w:rPr>
          <w:rFonts w:ascii="Calibri" w:hAnsi="Calibri" w:cs="Calibri"/>
          <w:sz w:val="22"/>
          <w:szCs w:val="22"/>
        </w:rPr>
        <w:t>providing</w:t>
      </w:r>
      <w:r w:rsidRPr="00D6050D">
        <w:rPr>
          <w:rFonts w:ascii="Calibri" w:hAnsi="Calibri" w:cs="Calibri"/>
          <w:spacing w:val="1"/>
          <w:sz w:val="22"/>
          <w:szCs w:val="22"/>
        </w:rPr>
        <w:t xml:space="preserve"> </w:t>
      </w:r>
      <w:r w:rsidRPr="00D6050D">
        <w:rPr>
          <w:rFonts w:ascii="Calibri" w:hAnsi="Calibri" w:cs="Calibri"/>
          <w:sz w:val="22"/>
          <w:szCs w:val="22"/>
        </w:rPr>
        <w:t>such</w:t>
      </w:r>
      <w:r w:rsidRPr="00D6050D">
        <w:rPr>
          <w:rFonts w:ascii="Calibri" w:hAnsi="Calibri" w:cs="Calibri"/>
          <w:spacing w:val="1"/>
          <w:sz w:val="22"/>
          <w:szCs w:val="22"/>
        </w:rPr>
        <w:t xml:space="preserve"> </w:t>
      </w:r>
      <w:r w:rsidRPr="00D6050D">
        <w:rPr>
          <w:rFonts w:ascii="Calibri" w:hAnsi="Calibri" w:cs="Calibri"/>
          <w:sz w:val="22"/>
          <w:szCs w:val="22"/>
        </w:rPr>
        <w:t>connection.</w:t>
      </w:r>
      <w:r w:rsidRPr="00D6050D">
        <w:rPr>
          <w:rFonts w:ascii="Calibri" w:hAnsi="Calibri" w:cs="Calibri"/>
          <w:spacing w:val="51"/>
          <w:sz w:val="22"/>
          <w:szCs w:val="22"/>
        </w:rPr>
        <w:t xml:space="preserve"> </w:t>
      </w:r>
      <w:r w:rsidRPr="00D6050D">
        <w:rPr>
          <w:rFonts w:ascii="Calibri" w:hAnsi="Calibri" w:cs="Calibri"/>
          <w:sz w:val="22"/>
          <w:szCs w:val="22"/>
        </w:rPr>
        <w:t>Such</w:t>
      </w:r>
      <w:r w:rsidRPr="00D6050D">
        <w:rPr>
          <w:rFonts w:ascii="Calibri" w:hAnsi="Calibri" w:cs="Calibri"/>
          <w:spacing w:val="-2"/>
          <w:sz w:val="22"/>
          <w:szCs w:val="22"/>
        </w:rPr>
        <w:t xml:space="preserve"> </w:t>
      </w:r>
      <w:r w:rsidRPr="00D6050D">
        <w:rPr>
          <w:rFonts w:ascii="Calibri" w:hAnsi="Calibri" w:cs="Calibri"/>
          <w:sz w:val="22"/>
          <w:szCs w:val="22"/>
        </w:rPr>
        <w:t>contribution</w:t>
      </w:r>
      <w:r w:rsidRPr="00D6050D">
        <w:rPr>
          <w:rFonts w:ascii="Calibri" w:hAnsi="Calibri" w:cs="Calibri"/>
          <w:spacing w:val="-1"/>
          <w:sz w:val="22"/>
          <w:szCs w:val="22"/>
        </w:rPr>
        <w:t xml:space="preserve"> </w:t>
      </w:r>
      <w:r w:rsidRPr="00D6050D">
        <w:rPr>
          <w:rFonts w:ascii="Calibri" w:hAnsi="Calibri" w:cs="Calibri"/>
          <w:sz w:val="22"/>
          <w:szCs w:val="22"/>
        </w:rPr>
        <w:t>is termed as</w:t>
      </w:r>
      <w:r w:rsidRPr="00D6050D">
        <w:rPr>
          <w:rFonts w:ascii="Calibri" w:hAnsi="Calibri" w:cs="Calibri"/>
          <w:spacing w:val="-1"/>
          <w:sz w:val="22"/>
          <w:szCs w:val="22"/>
        </w:rPr>
        <w:t xml:space="preserve"> </w:t>
      </w:r>
      <w:r w:rsidRPr="00D6050D">
        <w:rPr>
          <w:rFonts w:ascii="Calibri" w:hAnsi="Calibri" w:cs="Calibri"/>
          <w:sz w:val="22"/>
          <w:szCs w:val="22"/>
        </w:rPr>
        <w:t>Consumer Contribution.</w:t>
      </w:r>
    </w:p>
    <w:p w14:paraId="16AB2719" w14:textId="325F16FD" w:rsidR="00974443" w:rsidRPr="00BF6458" w:rsidRDefault="00996459" w:rsidP="00974443">
      <w:pPr>
        <w:widowControl w:val="0"/>
        <w:tabs>
          <w:tab w:val="left" w:pos="0"/>
          <w:tab w:val="left" w:pos="1540"/>
          <w:tab w:val="left" w:pos="1541"/>
        </w:tabs>
        <w:autoSpaceDE w:val="0"/>
        <w:autoSpaceDN w:val="0"/>
        <w:spacing w:before="52" w:line="360" w:lineRule="auto"/>
        <w:ind w:left="567"/>
        <w:outlineLvl w:val="0"/>
        <w:rPr>
          <w:rFonts w:ascii="Calibri" w:hAnsi="Calibri" w:cs="Calibri"/>
          <w:b/>
          <w:bCs/>
          <w:kern w:val="32"/>
          <w:szCs w:val="22"/>
        </w:rPr>
      </w:pPr>
      <w:r>
        <w:rPr>
          <w:rFonts w:ascii="Calibri" w:hAnsi="Calibri" w:cs="Calibri"/>
          <w:b/>
          <w:bCs/>
          <w:kern w:val="32"/>
          <w:szCs w:val="22"/>
        </w:rPr>
        <w:t>2.11.7</w:t>
      </w:r>
      <w:r w:rsidR="00974443" w:rsidRPr="00BF6458">
        <w:rPr>
          <w:rFonts w:ascii="Calibri" w:hAnsi="Calibri" w:cs="Calibri"/>
          <w:b/>
          <w:bCs/>
          <w:kern w:val="32"/>
          <w:szCs w:val="22"/>
        </w:rPr>
        <w:t xml:space="preserve"> Debt</w:t>
      </w:r>
      <w:r w:rsidR="00974443" w:rsidRPr="00BF6458">
        <w:rPr>
          <w:rFonts w:ascii="Calibri" w:hAnsi="Calibri" w:cs="Calibri"/>
          <w:b/>
          <w:bCs/>
          <w:spacing w:val="-1"/>
          <w:kern w:val="32"/>
          <w:szCs w:val="22"/>
        </w:rPr>
        <w:t xml:space="preserve"> </w:t>
      </w:r>
      <w:r w:rsidR="00974443" w:rsidRPr="00BF6458">
        <w:rPr>
          <w:rFonts w:ascii="Calibri" w:hAnsi="Calibri" w:cs="Calibri"/>
          <w:b/>
          <w:bCs/>
          <w:kern w:val="32"/>
          <w:szCs w:val="22"/>
        </w:rPr>
        <w:t>or</w:t>
      </w:r>
      <w:r w:rsidR="00974443" w:rsidRPr="00BF6458">
        <w:rPr>
          <w:rFonts w:ascii="Calibri" w:hAnsi="Calibri" w:cs="Calibri"/>
          <w:b/>
          <w:bCs/>
          <w:spacing w:val="-3"/>
          <w:kern w:val="32"/>
          <w:szCs w:val="22"/>
        </w:rPr>
        <w:t xml:space="preserve"> </w:t>
      </w:r>
      <w:r w:rsidR="00974443" w:rsidRPr="00BF6458">
        <w:rPr>
          <w:rFonts w:ascii="Calibri" w:hAnsi="Calibri" w:cs="Calibri"/>
          <w:b/>
          <w:bCs/>
          <w:kern w:val="32"/>
          <w:szCs w:val="22"/>
        </w:rPr>
        <w:t>Capital</w:t>
      </w:r>
      <w:r w:rsidR="00974443" w:rsidRPr="00BF6458">
        <w:rPr>
          <w:rFonts w:ascii="Calibri" w:hAnsi="Calibri" w:cs="Calibri"/>
          <w:b/>
          <w:bCs/>
          <w:spacing w:val="-2"/>
          <w:kern w:val="32"/>
          <w:szCs w:val="22"/>
        </w:rPr>
        <w:t xml:space="preserve"> </w:t>
      </w:r>
      <w:r w:rsidR="00974443" w:rsidRPr="00BF6458">
        <w:rPr>
          <w:rFonts w:ascii="Calibri" w:hAnsi="Calibri" w:cs="Calibri"/>
          <w:b/>
          <w:bCs/>
          <w:kern w:val="32"/>
          <w:szCs w:val="22"/>
        </w:rPr>
        <w:t>loans</w:t>
      </w:r>
    </w:p>
    <w:p w14:paraId="3F079DC8" w14:textId="77777777" w:rsidR="00974443" w:rsidRPr="00D6050D" w:rsidRDefault="00974443" w:rsidP="00974443">
      <w:pPr>
        <w:tabs>
          <w:tab w:val="left" w:pos="0"/>
        </w:tabs>
        <w:rPr>
          <w:rFonts w:ascii="Calibri" w:hAnsi="Calibri" w:cs="Calibri"/>
          <w:sz w:val="22"/>
          <w:szCs w:val="22"/>
        </w:rPr>
      </w:pPr>
    </w:p>
    <w:p w14:paraId="223CE83C" w14:textId="77777777" w:rsidR="00974443" w:rsidRDefault="00974443" w:rsidP="00974443">
      <w:pPr>
        <w:tabs>
          <w:tab w:val="left" w:pos="0"/>
        </w:tabs>
        <w:spacing w:after="120" w:line="360" w:lineRule="auto"/>
        <w:ind w:left="567"/>
        <w:jc w:val="both"/>
        <w:rPr>
          <w:rFonts w:ascii="Calibri" w:hAnsi="Calibri" w:cs="Calibri"/>
          <w:sz w:val="22"/>
          <w:szCs w:val="22"/>
        </w:rPr>
      </w:pPr>
      <w:r w:rsidRPr="00D6050D">
        <w:rPr>
          <w:rFonts w:ascii="Calibri" w:hAnsi="Calibri" w:cs="Calibri"/>
          <w:sz w:val="22"/>
          <w:szCs w:val="22"/>
        </w:rPr>
        <w:t>As</w:t>
      </w:r>
      <w:r w:rsidRPr="00D6050D">
        <w:rPr>
          <w:rFonts w:ascii="Calibri" w:hAnsi="Calibri" w:cs="Calibri"/>
          <w:spacing w:val="1"/>
          <w:sz w:val="22"/>
          <w:szCs w:val="22"/>
        </w:rPr>
        <w:t xml:space="preserve"> </w:t>
      </w:r>
      <w:r w:rsidRPr="00D6050D">
        <w:rPr>
          <w:rFonts w:ascii="Calibri" w:hAnsi="Calibri" w:cs="Calibri"/>
          <w:sz w:val="22"/>
          <w:szCs w:val="22"/>
        </w:rPr>
        <w:t>per</w:t>
      </w:r>
      <w:r w:rsidRPr="00D6050D">
        <w:rPr>
          <w:rFonts w:ascii="Calibri" w:hAnsi="Calibri" w:cs="Calibri"/>
          <w:spacing w:val="1"/>
          <w:sz w:val="22"/>
          <w:szCs w:val="22"/>
        </w:rPr>
        <w:t xml:space="preserve"> </w:t>
      </w:r>
      <w:r w:rsidRPr="00D6050D">
        <w:rPr>
          <w:rFonts w:ascii="Calibri" w:hAnsi="Calibri" w:cs="Calibri"/>
          <w:sz w:val="22"/>
          <w:szCs w:val="22"/>
        </w:rPr>
        <w:t>the</w:t>
      </w:r>
      <w:r w:rsidRPr="00D6050D">
        <w:rPr>
          <w:rFonts w:ascii="Calibri" w:hAnsi="Calibri" w:cs="Calibri"/>
          <w:spacing w:val="1"/>
          <w:sz w:val="22"/>
          <w:szCs w:val="22"/>
        </w:rPr>
        <w:t xml:space="preserve"> </w:t>
      </w:r>
      <w:r w:rsidRPr="00D6050D">
        <w:rPr>
          <w:rFonts w:ascii="Calibri" w:hAnsi="Calibri" w:cs="Calibri"/>
          <w:sz w:val="22"/>
          <w:szCs w:val="22"/>
        </w:rPr>
        <w:t>Tariff</w:t>
      </w:r>
      <w:r w:rsidRPr="00D6050D">
        <w:rPr>
          <w:rFonts w:ascii="Calibri" w:hAnsi="Calibri" w:cs="Calibri"/>
          <w:spacing w:val="1"/>
          <w:sz w:val="22"/>
          <w:szCs w:val="22"/>
        </w:rPr>
        <w:t xml:space="preserve"> </w:t>
      </w:r>
      <w:r w:rsidRPr="00D6050D">
        <w:rPr>
          <w:rFonts w:ascii="Calibri" w:hAnsi="Calibri" w:cs="Calibri"/>
          <w:sz w:val="22"/>
          <w:szCs w:val="22"/>
        </w:rPr>
        <w:t>Regulations,</w:t>
      </w:r>
      <w:r w:rsidRPr="00D6050D">
        <w:rPr>
          <w:rFonts w:ascii="Calibri" w:hAnsi="Calibri" w:cs="Calibri"/>
          <w:spacing w:val="1"/>
          <w:sz w:val="22"/>
          <w:szCs w:val="22"/>
        </w:rPr>
        <w:t xml:space="preserve"> </w:t>
      </w:r>
      <w:r w:rsidRPr="00D6050D">
        <w:rPr>
          <w:rFonts w:ascii="Calibri" w:hAnsi="Calibri" w:cs="Calibri"/>
          <w:sz w:val="22"/>
          <w:szCs w:val="22"/>
        </w:rPr>
        <w:t>the</w:t>
      </w:r>
      <w:r w:rsidRPr="00D6050D">
        <w:rPr>
          <w:rFonts w:ascii="Calibri" w:hAnsi="Calibri" w:cs="Calibri"/>
          <w:spacing w:val="1"/>
          <w:sz w:val="22"/>
          <w:szCs w:val="22"/>
        </w:rPr>
        <w:t xml:space="preserve"> </w:t>
      </w:r>
      <w:r w:rsidRPr="00D6050D">
        <w:rPr>
          <w:rFonts w:ascii="Calibri" w:hAnsi="Calibri" w:cs="Calibri"/>
          <w:sz w:val="22"/>
          <w:szCs w:val="22"/>
        </w:rPr>
        <w:t>Debt</w:t>
      </w:r>
      <w:r w:rsidRPr="00D6050D">
        <w:rPr>
          <w:rFonts w:ascii="Calibri" w:hAnsi="Calibri" w:cs="Calibri"/>
          <w:spacing w:val="1"/>
          <w:sz w:val="22"/>
          <w:szCs w:val="22"/>
        </w:rPr>
        <w:t xml:space="preserve"> </w:t>
      </w:r>
      <w:r w:rsidRPr="00D6050D">
        <w:rPr>
          <w:rFonts w:ascii="Calibri" w:hAnsi="Calibri" w:cs="Calibri"/>
          <w:sz w:val="22"/>
          <w:szCs w:val="22"/>
        </w:rPr>
        <w:t>would</w:t>
      </w:r>
      <w:r w:rsidRPr="00D6050D">
        <w:rPr>
          <w:rFonts w:ascii="Calibri" w:hAnsi="Calibri" w:cs="Calibri"/>
          <w:spacing w:val="1"/>
          <w:sz w:val="22"/>
          <w:szCs w:val="22"/>
        </w:rPr>
        <w:t xml:space="preserve"> </w:t>
      </w:r>
      <w:r w:rsidRPr="00D6050D">
        <w:rPr>
          <w:rFonts w:ascii="Calibri" w:hAnsi="Calibri" w:cs="Calibri"/>
          <w:sz w:val="22"/>
          <w:szCs w:val="22"/>
        </w:rPr>
        <w:t>constitute</w:t>
      </w:r>
      <w:r w:rsidRPr="00D6050D">
        <w:rPr>
          <w:rFonts w:ascii="Calibri" w:hAnsi="Calibri" w:cs="Calibri"/>
          <w:spacing w:val="1"/>
          <w:sz w:val="22"/>
          <w:szCs w:val="22"/>
        </w:rPr>
        <w:t xml:space="preserve"> </w:t>
      </w:r>
      <w:r w:rsidRPr="00D6050D">
        <w:rPr>
          <w:rFonts w:ascii="Calibri" w:hAnsi="Calibri" w:cs="Calibri"/>
          <w:sz w:val="22"/>
          <w:szCs w:val="22"/>
        </w:rPr>
        <w:t>70%</w:t>
      </w:r>
      <w:r w:rsidRPr="00D6050D">
        <w:rPr>
          <w:rFonts w:ascii="Calibri" w:hAnsi="Calibri" w:cs="Calibri"/>
          <w:spacing w:val="1"/>
          <w:sz w:val="22"/>
          <w:szCs w:val="22"/>
        </w:rPr>
        <w:t xml:space="preserve"> </w:t>
      </w:r>
      <w:r w:rsidRPr="00D6050D">
        <w:rPr>
          <w:rFonts w:ascii="Calibri" w:hAnsi="Calibri" w:cs="Calibri"/>
          <w:sz w:val="22"/>
          <w:szCs w:val="22"/>
        </w:rPr>
        <w:t>of</w:t>
      </w:r>
      <w:r w:rsidRPr="00D6050D">
        <w:rPr>
          <w:rFonts w:ascii="Calibri" w:hAnsi="Calibri" w:cs="Calibri"/>
          <w:spacing w:val="1"/>
          <w:sz w:val="22"/>
          <w:szCs w:val="22"/>
        </w:rPr>
        <w:t xml:space="preserve"> </w:t>
      </w:r>
      <w:r w:rsidRPr="00D6050D">
        <w:rPr>
          <w:rFonts w:ascii="Calibri" w:hAnsi="Calibri" w:cs="Calibri"/>
          <w:sz w:val="22"/>
          <w:szCs w:val="22"/>
        </w:rPr>
        <w:t>the</w:t>
      </w:r>
      <w:r w:rsidRPr="00D6050D">
        <w:rPr>
          <w:rFonts w:ascii="Calibri" w:hAnsi="Calibri" w:cs="Calibri"/>
          <w:spacing w:val="1"/>
          <w:sz w:val="22"/>
          <w:szCs w:val="22"/>
        </w:rPr>
        <w:t xml:space="preserve"> </w:t>
      </w:r>
      <w:r w:rsidRPr="00D6050D">
        <w:rPr>
          <w:rFonts w:ascii="Calibri" w:hAnsi="Calibri" w:cs="Calibri"/>
          <w:sz w:val="22"/>
          <w:szCs w:val="22"/>
        </w:rPr>
        <w:t xml:space="preserve">Capitalization. </w:t>
      </w:r>
      <w:r w:rsidRPr="00D6050D">
        <w:rPr>
          <w:rFonts w:ascii="Calibri" w:hAnsi="Calibri" w:cs="Calibri"/>
          <w:spacing w:val="-52"/>
          <w:sz w:val="22"/>
          <w:szCs w:val="22"/>
        </w:rPr>
        <w:t xml:space="preserve"> </w:t>
      </w:r>
      <w:r w:rsidRPr="00D6050D">
        <w:rPr>
          <w:rFonts w:ascii="Calibri" w:hAnsi="Calibri" w:cs="Calibri"/>
          <w:sz w:val="22"/>
          <w:szCs w:val="22"/>
        </w:rPr>
        <w:t>However, in case the loan is higher than 70% (i.e. Equity less than 30%), then such higher</w:t>
      </w:r>
      <w:r w:rsidRPr="00D6050D">
        <w:rPr>
          <w:rFonts w:ascii="Calibri" w:hAnsi="Calibri" w:cs="Calibri"/>
          <w:spacing w:val="1"/>
          <w:sz w:val="22"/>
          <w:szCs w:val="22"/>
        </w:rPr>
        <w:t xml:space="preserve"> </w:t>
      </w:r>
      <w:r w:rsidRPr="00D6050D">
        <w:rPr>
          <w:rFonts w:ascii="Calibri" w:hAnsi="Calibri" w:cs="Calibri"/>
          <w:sz w:val="22"/>
          <w:szCs w:val="22"/>
        </w:rPr>
        <w:t>loan would</w:t>
      </w:r>
      <w:r w:rsidRPr="00D6050D">
        <w:rPr>
          <w:rFonts w:ascii="Calibri" w:hAnsi="Calibri" w:cs="Calibri"/>
          <w:spacing w:val="-2"/>
          <w:sz w:val="22"/>
          <w:szCs w:val="22"/>
        </w:rPr>
        <w:t xml:space="preserve"> </w:t>
      </w:r>
      <w:r w:rsidRPr="00D6050D">
        <w:rPr>
          <w:rFonts w:ascii="Calibri" w:hAnsi="Calibri" w:cs="Calibri"/>
          <w:sz w:val="22"/>
          <w:szCs w:val="22"/>
        </w:rPr>
        <w:t>be considered for</w:t>
      </w:r>
      <w:r w:rsidRPr="00D6050D">
        <w:rPr>
          <w:rFonts w:ascii="Calibri" w:hAnsi="Calibri" w:cs="Calibri"/>
          <w:spacing w:val="-1"/>
          <w:sz w:val="22"/>
          <w:szCs w:val="22"/>
        </w:rPr>
        <w:t xml:space="preserve"> </w:t>
      </w:r>
      <w:r w:rsidRPr="00D6050D">
        <w:rPr>
          <w:rFonts w:ascii="Calibri" w:hAnsi="Calibri" w:cs="Calibri"/>
          <w:sz w:val="22"/>
          <w:szCs w:val="22"/>
        </w:rPr>
        <w:t>the</w:t>
      </w:r>
      <w:r w:rsidRPr="00D6050D">
        <w:rPr>
          <w:rFonts w:ascii="Calibri" w:hAnsi="Calibri" w:cs="Calibri"/>
          <w:spacing w:val="-2"/>
          <w:sz w:val="22"/>
          <w:szCs w:val="22"/>
        </w:rPr>
        <w:t xml:space="preserve"> </w:t>
      </w:r>
      <w:r w:rsidRPr="00D6050D">
        <w:rPr>
          <w:rFonts w:ascii="Calibri" w:hAnsi="Calibri" w:cs="Calibri"/>
          <w:sz w:val="22"/>
          <w:szCs w:val="22"/>
        </w:rPr>
        <w:t>purpose working</w:t>
      </w:r>
      <w:r w:rsidRPr="00D6050D">
        <w:rPr>
          <w:rFonts w:ascii="Calibri" w:hAnsi="Calibri" w:cs="Calibri"/>
          <w:spacing w:val="-1"/>
          <w:sz w:val="22"/>
          <w:szCs w:val="22"/>
        </w:rPr>
        <w:t xml:space="preserve"> </w:t>
      </w:r>
      <w:r w:rsidRPr="00D6050D">
        <w:rPr>
          <w:rFonts w:ascii="Calibri" w:hAnsi="Calibri" w:cs="Calibri"/>
          <w:sz w:val="22"/>
          <w:szCs w:val="22"/>
        </w:rPr>
        <w:t>out the</w:t>
      </w:r>
      <w:r w:rsidRPr="00D6050D">
        <w:rPr>
          <w:rFonts w:ascii="Calibri" w:hAnsi="Calibri" w:cs="Calibri"/>
          <w:spacing w:val="-1"/>
          <w:sz w:val="22"/>
          <w:szCs w:val="22"/>
        </w:rPr>
        <w:t xml:space="preserve"> </w:t>
      </w:r>
      <w:r w:rsidRPr="00D6050D">
        <w:rPr>
          <w:rFonts w:ascii="Calibri" w:hAnsi="Calibri" w:cs="Calibri"/>
          <w:sz w:val="22"/>
          <w:szCs w:val="22"/>
        </w:rPr>
        <w:t>ARR</w:t>
      </w:r>
    </w:p>
    <w:p w14:paraId="15A612D3" w14:textId="77777777" w:rsidR="00974443" w:rsidRPr="00D6050D" w:rsidRDefault="00974443" w:rsidP="00974443">
      <w:pPr>
        <w:tabs>
          <w:tab w:val="left" w:pos="0"/>
        </w:tabs>
        <w:spacing w:after="120" w:line="360" w:lineRule="auto"/>
        <w:ind w:left="567"/>
        <w:jc w:val="both"/>
        <w:rPr>
          <w:rFonts w:ascii="Calibri" w:hAnsi="Calibri" w:cs="Calibri"/>
          <w:sz w:val="22"/>
          <w:szCs w:val="22"/>
        </w:rPr>
      </w:pPr>
      <w:r w:rsidRPr="00D6050D">
        <w:rPr>
          <w:rFonts w:ascii="Calibri" w:hAnsi="Calibri" w:cs="Calibri"/>
          <w:sz w:val="22"/>
          <w:szCs w:val="22"/>
        </w:rPr>
        <w:t>We have considered a Debt of 70% of Capitalization for the new Projects. For existing</w:t>
      </w:r>
      <w:r w:rsidRPr="00D6050D">
        <w:rPr>
          <w:rFonts w:ascii="Calibri" w:hAnsi="Calibri" w:cs="Calibri"/>
          <w:spacing w:val="1"/>
          <w:sz w:val="22"/>
          <w:szCs w:val="22"/>
        </w:rPr>
        <w:t xml:space="preserve"> </w:t>
      </w:r>
      <w:r w:rsidRPr="00D6050D">
        <w:rPr>
          <w:rFonts w:ascii="Calibri" w:hAnsi="Calibri" w:cs="Calibri"/>
          <w:sz w:val="22"/>
          <w:szCs w:val="22"/>
        </w:rPr>
        <w:t>projects as on effective date, no loan has been considered as the same has not been</w:t>
      </w:r>
      <w:r w:rsidRPr="00D6050D">
        <w:rPr>
          <w:rFonts w:ascii="Calibri" w:hAnsi="Calibri" w:cs="Calibri"/>
          <w:spacing w:val="1"/>
          <w:sz w:val="22"/>
          <w:szCs w:val="22"/>
        </w:rPr>
        <w:t xml:space="preserve"> </w:t>
      </w:r>
      <w:r w:rsidRPr="00D6050D">
        <w:rPr>
          <w:rFonts w:ascii="Calibri" w:hAnsi="Calibri" w:cs="Calibri"/>
          <w:sz w:val="22"/>
          <w:szCs w:val="22"/>
        </w:rPr>
        <w:t>financed</w:t>
      </w:r>
      <w:r w:rsidRPr="00D6050D">
        <w:rPr>
          <w:rFonts w:ascii="Calibri" w:hAnsi="Calibri" w:cs="Calibri"/>
          <w:spacing w:val="-1"/>
          <w:sz w:val="22"/>
          <w:szCs w:val="22"/>
        </w:rPr>
        <w:t xml:space="preserve"> </w:t>
      </w:r>
      <w:r w:rsidRPr="00D6050D">
        <w:rPr>
          <w:rFonts w:ascii="Calibri" w:hAnsi="Calibri" w:cs="Calibri"/>
          <w:sz w:val="22"/>
          <w:szCs w:val="22"/>
        </w:rPr>
        <w:t>by TPNODL.</w:t>
      </w:r>
    </w:p>
    <w:p w14:paraId="1F2CF801" w14:textId="6D063ABD" w:rsidR="00974443" w:rsidRPr="00BF6458" w:rsidRDefault="00996459" w:rsidP="00974443">
      <w:pPr>
        <w:widowControl w:val="0"/>
        <w:tabs>
          <w:tab w:val="left" w:pos="1540"/>
          <w:tab w:val="left" w:pos="1541"/>
        </w:tabs>
        <w:autoSpaceDE w:val="0"/>
        <w:autoSpaceDN w:val="0"/>
        <w:spacing w:line="360" w:lineRule="auto"/>
        <w:ind w:left="567"/>
        <w:outlineLvl w:val="0"/>
        <w:rPr>
          <w:rFonts w:ascii="Calibri" w:hAnsi="Calibri" w:cs="Calibri"/>
          <w:b/>
          <w:szCs w:val="22"/>
        </w:rPr>
      </w:pPr>
      <w:r>
        <w:rPr>
          <w:rFonts w:ascii="Calibri" w:hAnsi="Calibri" w:cs="Calibri"/>
          <w:b/>
          <w:szCs w:val="22"/>
        </w:rPr>
        <w:t>2.11.8</w:t>
      </w:r>
      <w:r w:rsidR="00974443" w:rsidRPr="00BF6458">
        <w:rPr>
          <w:rFonts w:ascii="Calibri" w:hAnsi="Calibri" w:cs="Calibri"/>
          <w:b/>
          <w:szCs w:val="22"/>
        </w:rPr>
        <w:t xml:space="preserve"> Equity</w:t>
      </w:r>
    </w:p>
    <w:p w14:paraId="1B32FF8E" w14:textId="77777777" w:rsidR="00974443" w:rsidRPr="00D6050D" w:rsidRDefault="00974443" w:rsidP="00974443">
      <w:pPr>
        <w:rPr>
          <w:rFonts w:ascii="Calibri" w:hAnsi="Calibri" w:cs="Calibri"/>
          <w:sz w:val="22"/>
          <w:szCs w:val="22"/>
        </w:rPr>
      </w:pPr>
    </w:p>
    <w:p w14:paraId="1183337D" w14:textId="715AF91B" w:rsidR="00B602FC" w:rsidRPr="00B602FC" w:rsidRDefault="00974443" w:rsidP="00B602FC">
      <w:pPr>
        <w:spacing w:after="120" w:line="360" w:lineRule="auto"/>
        <w:ind w:left="567" w:right="1"/>
        <w:jc w:val="both"/>
        <w:rPr>
          <w:rFonts w:ascii="Calibri" w:hAnsi="Calibri" w:cs="Calibri"/>
          <w:sz w:val="22"/>
          <w:szCs w:val="22"/>
        </w:rPr>
      </w:pPr>
      <w:r w:rsidRPr="00D6050D">
        <w:rPr>
          <w:rFonts w:ascii="Calibri" w:hAnsi="Calibri" w:cs="Calibri"/>
          <w:sz w:val="22"/>
          <w:szCs w:val="22"/>
        </w:rPr>
        <w:t>On the basis of the Debt Equity Ratio of 70:30, the Equity towards the capitalization of</w:t>
      </w:r>
      <w:r w:rsidRPr="00D6050D">
        <w:rPr>
          <w:rFonts w:ascii="Calibri" w:hAnsi="Calibri" w:cs="Calibri"/>
          <w:spacing w:val="1"/>
          <w:sz w:val="22"/>
          <w:szCs w:val="22"/>
        </w:rPr>
        <w:t xml:space="preserve"> </w:t>
      </w:r>
      <w:r w:rsidRPr="00D6050D">
        <w:rPr>
          <w:rFonts w:ascii="Calibri" w:hAnsi="Calibri" w:cs="Calibri"/>
          <w:sz w:val="22"/>
          <w:szCs w:val="22"/>
        </w:rPr>
        <w:t>new</w:t>
      </w:r>
      <w:r w:rsidRPr="00D6050D">
        <w:rPr>
          <w:rFonts w:ascii="Calibri" w:hAnsi="Calibri" w:cs="Calibri"/>
          <w:spacing w:val="-2"/>
          <w:sz w:val="22"/>
          <w:szCs w:val="22"/>
        </w:rPr>
        <w:t xml:space="preserve"> </w:t>
      </w:r>
      <w:r w:rsidRPr="00D6050D">
        <w:rPr>
          <w:rFonts w:ascii="Calibri" w:hAnsi="Calibri" w:cs="Calibri"/>
          <w:sz w:val="22"/>
          <w:szCs w:val="22"/>
        </w:rPr>
        <w:t>projects</w:t>
      </w:r>
      <w:r w:rsidRPr="00D6050D">
        <w:rPr>
          <w:rFonts w:ascii="Calibri" w:hAnsi="Calibri" w:cs="Calibri"/>
          <w:spacing w:val="-1"/>
          <w:sz w:val="22"/>
          <w:szCs w:val="22"/>
        </w:rPr>
        <w:t xml:space="preserve"> </w:t>
      </w:r>
      <w:r w:rsidRPr="00D6050D">
        <w:rPr>
          <w:rFonts w:ascii="Calibri" w:hAnsi="Calibri" w:cs="Calibri"/>
          <w:sz w:val="22"/>
          <w:szCs w:val="22"/>
        </w:rPr>
        <w:t>would</w:t>
      </w:r>
      <w:r w:rsidRPr="00D6050D">
        <w:rPr>
          <w:rFonts w:ascii="Calibri" w:hAnsi="Calibri" w:cs="Calibri"/>
          <w:spacing w:val="-3"/>
          <w:sz w:val="22"/>
          <w:szCs w:val="22"/>
        </w:rPr>
        <w:t xml:space="preserve"> </w:t>
      </w:r>
      <w:r w:rsidRPr="00D6050D">
        <w:rPr>
          <w:rFonts w:ascii="Calibri" w:hAnsi="Calibri" w:cs="Calibri"/>
          <w:sz w:val="22"/>
          <w:szCs w:val="22"/>
        </w:rPr>
        <w:t>be considered</w:t>
      </w:r>
      <w:r w:rsidRPr="00D6050D">
        <w:rPr>
          <w:rFonts w:ascii="Calibri" w:hAnsi="Calibri" w:cs="Calibri"/>
          <w:spacing w:val="-1"/>
          <w:sz w:val="22"/>
          <w:szCs w:val="22"/>
        </w:rPr>
        <w:t xml:space="preserve"> </w:t>
      </w:r>
      <w:r w:rsidRPr="00D6050D">
        <w:rPr>
          <w:rFonts w:ascii="Calibri" w:hAnsi="Calibri" w:cs="Calibri"/>
          <w:sz w:val="22"/>
          <w:szCs w:val="22"/>
        </w:rPr>
        <w:t>as</w:t>
      </w:r>
      <w:r w:rsidRPr="00D6050D">
        <w:rPr>
          <w:rFonts w:ascii="Calibri" w:hAnsi="Calibri" w:cs="Calibri"/>
          <w:spacing w:val="-2"/>
          <w:sz w:val="22"/>
          <w:szCs w:val="22"/>
        </w:rPr>
        <w:t xml:space="preserve"> </w:t>
      </w:r>
      <w:r w:rsidRPr="00D6050D">
        <w:rPr>
          <w:rFonts w:ascii="Calibri" w:hAnsi="Calibri" w:cs="Calibri"/>
          <w:sz w:val="22"/>
          <w:szCs w:val="22"/>
        </w:rPr>
        <w:t>30%</w:t>
      </w:r>
      <w:r w:rsidRPr="00D6050D">
        <w:rPr>
          <w:rFonts w:ascii="Calibri" w:hAnsi="Calibri" w:cs="Calibri"/>
          <w:spacing w:val="-1"/>
          <w:sz w:val="22"/>
          <w:szCs w:val="22"/>
        </w:rPr>
        <w:t xml:space="preserve"> </w:t>
      </w:r>
      <w:r w:rsidRPr="00D6050D">
        <w:rPr>
          <w:rFonts w:ascii="Calibri" w:hAnsi="Calibri" w:cs="Calibri"/>
          <w:sz w:val="22"/>
          <w:szCs w:val="22"/>
        </w:rPr>
        <w:t>of</w:t>
      </w:r>
      <w:r w:rsidRPr="00D6050D">
        <w:rPr>
          <w:rFonts w:ascii="Calibri" w:hAnsi="Calibri" w:cs="Calibri"/>
          <w:spacing w:val="-2"/>
          <w:sz w:val="22"/>
          <w:szCs w:val="22"/>
        </w:rPr>
        <w:t xml:space="preserve"> </w:t>
      </w:r>
      <w:r w:rsidRPr="00D6050D">
        <w:rPr>
          <w:rFonts w:ascii="Calibri" w:hAnsi="Calibri" w:cs="Calibri"/>
          <w:sz w:val="22"/>
          <w:szCs w:val="22"/>
        </w:rPr>
        <w:t>the</w:t>
      </w:r>
      <w:r w:rsidRPr="00D6050D">
        <w:rPr>
          <w:rFonts w:ascii="Calibri" w:hAnsi="Calibri" w:cs="Calibri"/>
          <w:spacing w:val="-3"/>
          <w:sz w:val="22"/>
          <w:szCs w:val="22"/>
        </w:rPr>
        <w:t xml:space="preserve"> </w:t>
      </w:r>
      <w:r w:rsidRPr="00D6050D">
        <w:rPr>
          <w:rFonts w:ascii="Calibri" w:hAnsi="Calibri" w:cs="Calibri"/>
          <w:sz w:val="22"/>
          <w:szCs w:val="22"/>
        </w:rPr>
        <w:t>capitalization in</w:t>
      </w:r>
      <w:r w:rsidRPr="00D6050D">
        <w:rPr>
          <w:rFonts w:ascii="Calibri" w:hAnsi="Calibri" w:cs="Calibri"/>
          <w:spacing w:val="-2"/>
          <w:sz w:val="22"/>
          <w:szCs w:val="22"/>
        </w:rPr>
        <w:t xml:space="preserve"> </w:t>
      </w:r>
      <w:r w:rsidRPr="00D6050D">
        <w:rPr>
          <w:rFonts w:ascii="Calibri" w:hAnsi="Calibri" w:cs="Calibri"/>
          <w:sz w:val="22"/>
          <w:szCs w:val="22"/>
        </w:rPr>
        <w:t>the</w:t>
      </w:r>
      <w:r w:rsidRPr="00D6050D">
        <w:rPr>
          <w:rFonts w:ascii="Calibri" w:hAnsi="Calibri" w:cs="Calibri"/>
          <w:spacing w:val="-3"/>
          <w:sz w:val="22"/>
          <w:szCs w:val="22"/>
        </w:rPr>
        <w:t xml:space="preserve"> </w:t>
      </w:r>
      <w:r w:rsidRPr="00D6050D">
        <w:rPr>
          <w:rFonts w:ascii="Calibri" w:hAnsi="Calibri" w:cs="Calibri"/>
          <w:sz w:val="22"/>
          <w:szCs w:val="22"/>
        </w:rPr>
        <w:t>particular year.</w:t>
      </w:r>
    </w:p>
    <w:p w14:paraId="6EDE41E7" w14:textId="6DD46B6C" w:rsidR="00974443" w:rsidRPr="00BF6458" w:rsidRDefault="00996459" w:rsidP="00974443">
      <w:pPr>
        <w:shd w:val="clear" w:color="auto" w:fill="FFFFFF" w:themeFill="background1"/>
        <w:spacing w:after="120" w:line="360" w:lineRule="auto"/>
        <w:ind w:left="567" w:right="1"/>
        <w:jc w:val="both"/>
        <w:rPr>
          <w:rFonts w:ascii="Calibri" w:hAnsi="Calibri" w:cs="Calibri"/>
          <w:b/>
          <w:szCs w:val="22"/>
        </w:rPr>
      </w:pPr>
      <w:r>
        <w:rPr>
          <w:rFonts w:ascii="Calibri" w:hAnsi="Calibri" w:cs="Calibri"/>
          <w:b/>
          <w:szCs w:val="22"/>
        </w:rPr>
        <w:t>2.11.</w:t>
      </w:r>
      <w:r w:rsidR="0088342E">
        <w:rPr>
          <w:rFonts w:ascii="Calibri" w:hAnsi="Calibri" w:cs="Calibri"/>
          <w:b/>
          <w:szCs w:val="22"/>
        </w:rPr>
        <w:t>9</w:t>
      </w:r>
      <w:r>
        <w:rPr>
          <w:rFonts w:ascii="Calibri" w:hAnsi="Calibri" w:cs="Calibri"/>
          <w:b/>
          <w:szCs w:val="22"/>
        </w:rPr>
        <w:t xml:space="preserve"> </w:t>
      </w:r>
      <w:r w:rsidR="00974443" w:rsidRPr="00BF6458">
        <w:rPr>
          <w:rFonts w:ascii="Calibri" w:hAnsi="Calibri" w:cs="Calibri"/>
          <w:b/>
          <w:szCs w:val="22"/>
        </w:rPr>
        <w:t>Funding</w:t>
      </w:r>
      <w:r w:rsidR="00974443" w:rsidRPr="00BF6458">
        <w:rPr>
          <w:rFonts w:ascii="Calibri" w:hAnsi="Calibri" w:cs="Calibri"/>
          <w:b/>
          <w:spacing w:val="-3"/>
          <w:szCs w:val="22"/>
        </w:rPr>
        <w:t xml:space="preserve"> </w:t>
      </w:r>
      <w:r w:rsidR="00974443" w:rsidRPr="00BF6458">
        <w:rPr>
          <w:rFonts w:ascii="Calibri" w:hAnsi="Calibri" w:cs="Calibri"/>
          <w:b/>
          <w:szCs w:val="22"/>
        </w:rPr>
        <w:t>Pattern</w:t>
      </w:r>
      <w:r w:rsidR="00974443" w:rsidRPr="00BF6458">
        <w:rPr>
          <w:rFonts w:ascii="Calibri" w:hAnsi="Calibri" w:cs="Calibri"/>
          <w:b/>
          <w:spacing w:val="-3"/>
          <w:szCs w:val="22"/>
        </w:rPr>
        <w:t xml:space="preserve"> </w:t>
      </w:r>
      <w:r w:rsidR="00974443" w:rsidRPr="00BF6458">
        <w:rPr>
          <w:rFonts w:ascii="Calibri" w:hAnsi="Calibri" w:cs="Calibri"/>
          <w:b/>
          <w:szCs w:val="22"/>
        </w:rPr>
        <w:t>for</w:t>
      </w:r>
      <w:r w:rsidR="00974443" w:rsidRPr="00BF6458">
        <w:rPr>
          <w:rFonts w:ascii="Calibri" w:hAnsi="Calibri" w:cs="Calibri"/>
          <w:b/>
          <w:spacing w:val="-1"/>
          <w:szCs w:val="22"/>
        </w:rPr>
        <w:t xml:space="preserve"> </w:t>
      </w:r>
      <w:r w:rsidR="00974443" w:rsidRPr="00BF6458">
        <w:rPr>
          <w:rFonts w:ascii="Calibri" w:hAnsi="Calibri" w:cs="Calibri"/>
          <w:b/>
          <w:szCs w:val="22"/>
        </w:rPr>
        <w:t>FY</w:t>
      </w:r>
      <w:r w:rsidR="00974443" w:rsidRPr="00BF6458">
        <w:rPr>
          <w:rFonts w:ascii="Calibri" w:hAnsi="Calibri" w:cs="Calibri"/>
          <w:b/>
          <w:spacing w:val="-3"/>
          <w:szCs w:val="22"/>
        </w:rPr>
        <w:t xml:space="preserve"> </w:t>
      </w:r>
      <w:r w:rsidR="00974443" w:rsidRPr="00BF6458">
        <w:rPr>
          <w:rFonts w:ascii="Calibri" w:hAnsi="Calibri" w:cs="Calibri"/>
          <w:b/>
          <w:szCs w:val="22"/>
        </w:rPr>
        <w:t>2024-25 and</w:t>
      </w:r>
      <w:r w:rsidR="00974443" w:rsidRPr="00BF6458">
        <w:rPr>
          <w:rFonts w:ascii="Calibri" w:hAnsi="Calibri" w:cs="Calibri"/>
          <w:b/>
          <w:spacing w:val="-1"/>
          <w:szCs w:val="22"/>
        </w:rPr>
        <w:t xml:space="preserve"> </w:t>
      </w:r>
      <w:r w:rsidR="00974443" w:rsidRPr="00BF6458">
        <w:rPr>
          <w:rFonts w:ascii="Calibri" w:hAnsi="Calibri" w:cs="Calibri"/>
          <w:b/>
          <w:szCs w:val="22"/>
        </w:rPr>
        <w:t>FY</w:t>
      </w:r>
      <w:r w:rsidR="00974443" w:rsidRPr="00BF6458">
        <w:rPr>
          <w:rFonts w:ascii="Calibri" w:hAnsi="Calibri" w:cs="Calibri"/>
          <w:b/>
          <w:spacing w:val="-3"/>
          <w:szCs w:val="22"/>
        </w:rPr>
        <w:t xml:space="preserve"> </w:t>
      </w:r>
      <w:r w:rsidR="00974443" w:rsidRPr="00BF6458">
        <w:rPr>
          <w:rFonts w:ascii="Calibri" w:hAnsi="Calibri" w:cs="Calibri"/>
          <w:b/>
          <w:szCs w:val="22"/>
        </w:rPr>
        <w:t>2025-26</w:t>
      </w:r>
    </w:p>
    <w:p w14:paraId="5ACA23CD" w14:textId="137E6FBA" w:rsidR="00B602FC" w:rsidRPr="00D6050D" w:rsidRDefault="00974443" w:rsidP="00B602FC">
      <w:pPr>
        <w:spacing w:after="120" w:line="360" w:lineRule="auto"/>
        <w:ind w:left="567"/>
        <w:jc w:val="both"/>
        <w:rPr>
          <w:rFonts w:ascii="Calibri" w:hAnsi="Calibri" w:cs="Calibri"/>
          <w:sz w:val="22"/>
          <w:szCs w:val="22"/>
        </w:rPr>
      </w:pPr>
      <w:r w:rsidRPr="00D6050D">
        <w:rPr>
          <w:rFonts w:ascii="Calibri" w:hAnsi="Calibri" w:cs="Calibri"/>
          <w:sz w:val="22"/>
          <w:szCs w:val="22"/>
        </w:rPr>
        <w:t>Based</w:t>
      </w:r>
      <w:r w:rsidRPr="00D6050D">
        <w:rPr>
          <w:rFonts w:ascii="Calibri" w:hAnsi="Calibri" w:cs="Calibri"/>
          <w:spacing w:val="-1"/>
          <w:sz w:val="22"/>
          <w:szCs w:val="22"/>
        </w:rPr>
        <w:t xml:space="preserve"> </w:t>
      </w:r>
      <w:r w:rsidRPr="00D6050D">
        <w:rPr>
          <w:rFonts w:ascii="Calibri" w:hAnsi="Calibri" w:cs="Calibri"/>
          <w:sz w:val="22"/>
          <w:szCs w:val="22"/>
        </w:rPr>
        <w:t>on</w:t>
      </w:r>
      <w:r w:rsidRPr="00D6050D">
        <w:rPr>
          <w:rFonts w:ascii="Calibri" w:hAnsi="Calibri" w:cs="Calibri"/>
          <w:spacing w:val="-2"/>
          <w:sz w:val="22"/>
          <w:szCs w:val="22"/>
        </w:rPr>
        <w:t xml:space="preserve"> </w:t>
      </w:r>
      <w:r w:rsidRPr="00D6050D">
        <w:rPr>
          <w:rFonts w:ascii="Calibri" w:hAnsi="Calibri" w:cs="Calibri"/>
          <w:sz w:val="22"/>
          <w:szCs w:val="22"/>
        </w:rPr>
        <w:t>the</w:t>
      </w:r>
      <w:r w:rsidRPr="00D6050D">
        <w:rPr>
          <w:rFonts w:ascii="Calibri" w:hAnsi="Calibri" w:cs="Calibri"/>
          <w:spacing w:val="-1"/>
          <w:sz w:val="22"/>
          <w:szCs w:val="22"/>
        </w:rPr>
        <w:t xml:space="preserve"> </w:t>
      </w:r>
      <w:r w:rsidRPr="00D6050D">
        <w:rPr>
          <w:rFonts w:ascii="Calibri" w:hAnsi="Calibri" w:cs="Calibri"/>
          <w:sz w:val="22"/>
          <w:szCs w:val="22"/>
        </w:rPr>
        <w:t>above</w:t>
      </w:r>
      <w:r w:rsidRPr="00D6050D">
        <w:rPr>
          <w:rFonts w:ascii="Calibri" w:hAnsi="Calibri" w:cs="Calibri"/>
          <w:spacing w:val="-2"/>
          <w:sz w:val="22"/>
          <w:szCs w:val="22"/>
        </w:rPr>
        <w:t xml:space="preserve"> </w:t>
      </w:r>
      <w:r w:rsidRPr="00D6050D">
        <w:rPr>
          <w:rFonts w:ascii="Calibri" w:hAnsi="Calibri" w:cs="Calibri"/>
          <w:sz w:val="22"/>
          <w:szCs w:val="22"/>
        </w:rPr>
        <w:t>the</w:t>
      </w:r>
      <w:r w:rsidRPr="00D6050D">
        <w:rPr>
          <w:rFonts w:ascii="Calibri" w:hAnsi="Calibri" w:cs="Calibri"/>
          <w:spacing w:val="-3"/>
          <w:sz w:val="22"/>
          <w:szCs w:val="22"/>
        </w:rPr>
        <w:t xml:space="preserve"> </w:t>
      </w:r>
      <w:r w:rsidRPr="00D6050D">
        <w:rPr>
          <w:rFonts w:ascii="Calibri" w:hAnsi="Calibri" w:cs="Calibri"/>
          <w:sz w:val="22"/>
          <w:szCs w:val="22"/>
        </w:rPr>
        <w:t>estimated</w:t>
      </w:r>
      <w:r w:rsidRPr="00D6050D">
        <w:rPr>
          <w:rFonts w:ascii="Calibri" w:hAnsi="Calibri" w:cs="Calibri"/>
          <w:spacing w:val="-2"/>
          <w:sz w:val="22"/>
          <w:szCs w:val="22"/>
        </w:rPr>
        <w:t xml:space="preserve"> </w:t>
      </w:r>
      <w:r w:rsidRPr="00D6050D">
        <w:rPr>
          <w:rFonts w:ascii="Calibri" w:hAnsi="Calibri" w:cs="Calibri"/>
          <w:sz w:val="22"/>
          <w:szCs w:val="22"/>
        </w:rPr>
        <w:t>funding</w:t>
      </w:r>
      <w:r w:rsidRPr="00D6050D">
        <w:rPr>
          <w:rFonts w:ascii="Calibri" w:hAnsi="Calibri" w:cs="Calibri"/>
          <w:spacing w:val="-2"/>
          <w:sz w:val="22"/>
          <w:szCs w:val="22"/>
        </w:rPr>
        <w:t xml:space="preserve"> </w:t>
      </w:r>
      <w:r w:rsidRPr="00D6050D">
        <w:rPr>
          <w:rFonts w:ascii="Calibri" w:hAnsi="Calibri" w:cs="Calibri"/>
          <w:sz w:val="22"/>
          <w:szCs w:val="22"/>
        </w:rPr>
        <w:t>is</w:t>
      </w:r>
      <w:r w:rsidRPr="00D6050D">
        <w:rPr>
          <w:rFonts w:ascii="Calibri" w:hAnsi="Calibri" w:cs="Calibri"/>
          <w:spacing w:val="-5"/>
          <w:sz w:val="22"/>
          <w:szCs w:val="22"/>
        </w:rPr>
        <w:t xml:space="preserve"> </w:t>
      </w:r>
      <w:r w:rsidRPr="00D6050D">
        <w:rPr>
          <w:rFonts w:ascii="Calibri" w:hAnsi="Calibri" w:cs="Calibri"/>
          <w:sz w:val="22"/>
          <w:szCs w:val="22"/>
        </w:rPr>
        <w:t>as</w:t>
      </w:r>
      <w:r w:rsidRPr="00D6050D">
        <w:rPr>
          <w:rFonts w:ascii="Calibri" w:hAnsi="Calibri" w:cs="Calibri"/>
          <w:spacing w:val="-2"/>
          <w:sz w:val="22"/>
          <w:szCs w:val="22"/>
        </w:rPr>
        <w:t xml:space="preserve"> </w:t>
      </w:r>
      <w:r w:rsidRPr="00D6050D">
        <w:rPr>
          <w:rFonts w:ascii="Calibri" w:hAnsi="Calibri" w:cs="Calibri"/>
          <w:sz w:val="22"/>
          <w:szCs w:val="22"/>
        </w:rPr>
        <w:t>follows:</w:t>
      </w:r>
    </w:p>
    <w:tbl>
      <w:tblPr>
        <w:tblpPr w:leftFromText="180" w:rightFromText="180" w:vertAnchor="text" w:horzAnchor="margin" w:tblpXSpec="right" w:tblpY="509"/>
        <w:tblW w:w="8930" w:type="dxa"/>
        <w:tblLook w:val="04A0" w:firstRow="1" w:lastRow="0" w:firstColumn="1" w:lastColumn="0" w:noHBand="0" w:noVBand="1"/>
      </w:tblPr>
      <w:tblGrid>
        <w:gridCol w:w="4943"/>
        <w:gridCol w:w="2096"/>
        <w:gridCol w:w="1891"/>
      </w:tblGrid>
      <w:tr w:rsidR="00BF6458" w14:paraId="3DF8FAD9" w14:textId="77777777" w:rsidTr="00BF6458">
        <w:trPr>
          <w:trHeight w:val="283"/>
        </w:trPr>
        <w:tc>
          <w:tcPr>
            <w:tcW w:w="4943" w:type="dxa"/>
            <w:tcBorders>
              <w:top w:val="single" w:sz="4" w:space="0" w:color="auto"/>
              <w:left w:val="single" w:sz="4" w:space="0" w:color="auto"/>
              <w:bottom w:val="single" w:sz="4" w:space="0" w:color="auto"/>
              <w:right w:val="single" w:sz="4" w:space="0" w:color="auto"/>
            </w:tcBorders>
            <w:shd w:val="clear" w:color="auto" w:fill="8DB3E2" w:themeFill="text2" w:themeFillTint="66"/>
            <w:noWrap/>
            <w:vAlign w:val="center"/>
            <w:hideMark/>
          </w:tcPr>
          <w:p w14:paraId="32ED3700" w14:textId="77777777" w:rsidR="00BF6458" w:rsidRDefault="00BF6458" w:rsidP="00BF6458">
            <w:pPr>
              <w:jc w:val="center"/>
              <w:rPr>
                <w:rFonts w:ascii="Calibri" w:hAnsi="Calibri"/>
                <w:b/>
                <w:bCs/>
                <w:color w:val="000000"/>
                <w:sz w:val="22"/>
                <w:szCs w:val="22"/>
                <w:lang w:val="en-IN" w:eastAsia="en-IN"/>
              </w:rPr>
            </w:pPr>
            <w:r>
              <w:rPr>
                <w:rFonts w:ascii="Calibri" w:hAnsi="Calibri"/>
                <w:b/>
                <w:bCs/>
                <w:color w:val="000000"/>
                <w:sz w:val="22"/>
                <w:szCs w:val="22"/>
              </w:rPr>
              <w:t>Particulars</w:t>
            </w:r>
          </w:p>
        </w:tc>
        <w:tc>
          <w:tcPr>
            <w:tcW w:w="2096" w:type="dxa"/>
            <w:tcBorders>
              <w:top w:val="single" w:sz="4" w:space="0" w:color="auto"/>
              <w:left w:val="nil"/>
              <w:bottom w:val="single" w:sz="4" w:space="0" w:color="auto"/>
              <w:right w:val="single" w:sz="4" w:space="0" w:color="auto"/>
            </w:tcBorders>
            <w:shd w:val="clear" w:color="auto" w:fill="8DB3E2" w:themeFill="text2" w:themeFillTint="66"/>
            <w:noWrap/>
            <w:vAlign w:val="center"/>
            <w:hideMark/>
          </w:tcPr>
          <w:p w14:paraId="5163C447" w14:textId="77777777" w:rsidR="00BF6458" w:rsidRDefault="00BF6458" w:rsidP="00BF6458">
            <w:pPr>
              <w:jc w:val="center"/>
              <w:rPr>
                <w:rFonts w:ascii="Calibri" w:hAnsi="Calibri"/>
                <w:b/>
                <w:bCs/>
                <w:color w:val="000000"/>
                <w:sz w:val="22"/>
                <w:szCs w:val="22"/>
              </w:rPr>
            </w:pPr>
            <w:r>
              <w:rPr>
                <w:rFonts w:ascii="Calibri" w:hAnsi="Calibri"/>
                <w:b/>
                <w:bCs/>
                <w:color w:val="000000"/>
                <w:sz w:val="22"/>
                <w:szCs w:val="22"/>
              </w:rPr>
              <w:t>FY 2024-25</w:t>
            </w:r>
          </w:p>
        </w:tc>
        <w:tc>
          <w:tcPr>
            <w:tcW w:w="1891" w:type="dxa"/>
            <w:tcBorders>
              <w:top w:val="single" w:sz="4" w:space="0" w:color="auto"/>
              <w:left w:val="nil"/>
              <w:bottom w:val="single" w:sz="4" w:space="0" w:color="auto"/>
              <w:right w:val="single" w:sz="4" w:space="0" w:color="auto"/>
            </w:tcBorders>
            <w:shd w:val="clear" w:color="auto" w:fill="8DB3E2" w:themeFill="text2" w:themeFillTint="66"/>
            <w:noWrap/>
            <w:vAlign w:val="center"/>
            <w:hideMark/>
          </w:tcPr>
          <w:p w14:paraId="7B6DCA5B" w14:textId="77777777" w:rsidR="00BF6458" w:rsidRDefault="00BF6458" w:rsidP="00BF6458">
            <w:pPr>
              <w:jc w:val="center"/>
              <w:rPr>
                <w:rFonts w:ascii="Calibri" w:hAnsi="Calibri"/>
                <w:b/>
                <w:bCs/>
                <w:color w:val="000000"/>
                <w:sz w:val="22"/>
                <w:szCs w:val="22"/>
              </w:rPr>
            </w:pPr>
            <w:r>
              <w:rPr>
                <w:rFonts w:ascii="Calibri" w:hAnsi="Calibri"/>
                <w:b/>
                <w:bCs/>
                <w:color w:val="000000"/>
                <w:sz w:val="22"/>
                <w:szCs w:val="22"/>
              </w:rPr>
              <w:t>FY 2025-26</w:t>
            </w:r>
          </w:p>
        </w:tc>
      </w:tr>
      <w:tr w:rsidR="00BF6458" w14:paraId="624A9F1B" w14:textId="77777777" w:rsidTr="00BF6458">
        <w:trPr>
          <w:trHeight w:val="283"/>
        </w:trPr>
        <w:tc>
          <w:tcPr>
            <w:tcW w:w="4943" w:type="dxa"/>
            <w:tcBorders>
              <w:top w:val="nil"/>
              <w:left w:val="single" w:sz="4" w:space="0" w:color="auto"/>
              <w:bottom w:val="single" w:sz="4" w:space="0" w:color="auto"/>
              <w:right w:val="single" w:sz="4" w:space="0" w:color="auto"/>
            </w:tcBorders>
            <w:shd w:val="clear" w:color="auto" w:fill="auto"/>
            <w:noWrap/>
            <w:vAlign w:val="center"/>
            <w:hideMark/>
          </w:tcPr>
          <w:p w14:paraId="13BC1EFE" w14:textId="77777777" w:rsidR="00BF6458" w:rsidRDefault="00BF6458" w:rsidP="00BF6458">
            <w:pPr>
              <w:rPr>
                <w:rFonts w:ascii="Calibri" w:hAnsi="Calibri"/>
                <w:color w:val="000000"/>
                <w:sz w:val="22"/>
                <w:szCs w:val="22"/>
              </w:rPr>
            </w:pPr>
            <w:proofErr w:type="spellStart"/>
            <w:r>
              <w:rPr>
                <w:rFonts w:ascii="Calibri" w:hAnsi="Calibri"/>
                <w:color w:val="000000"/>
                <w:sz w:val="22"/>
                <w:szCs w:val="22"/>
              </w:rPr>
              <w:t>Capitalisation</w:t>
            </w:r>
            <w:proofErr w:type="spellEnd"/>
          </w:p>
        </w:tc>
        <w:tc>
          <w:tcPr>
            <w:tcW w:w="2096" w:type="dxa"/>
            <w:tcBorders>
              <w:top w:val="nil"/>
              <w:left w:val="nil"/>
              <w:bottom w:val="single" w:sz="4" w:space="0" w:color="auto"/>
              <w:right w:val="single" w:sz="4" w:space="0" w:color="auto"/>
            </w:tcBorders>
            <w:shd w:val="clear" w:color="auto" w:fill="FFFFFF" w:themeFill="background1"/>
            <w:noWrap/>
            <w:vAlign w:val="center"/>
            <w:hideMark/>
          </w:tcPr>
          <w:p w14:paraId="32FDA6AE" w14:textId="77777777" w:rsidR="00BF6458" w:rsidRDefault="00BF6458" w:rsidP="00BF6458">
            <w:pPr>
              <w:jc w:val="center"/>
              <w:rPr>
                <w:rFonts w:ascii="Calibri" w:hAnsi="Calibri"/>
                <w:b/>
                <w:bCs/>
                <w:color w:val="000000"/>
                <w:sz w:val="22"/>
                <w:szCs w:val="22"/>
              </w:rPr>
            </w:pPr>
            <w:r>
              <w:rPr>
                <w:rFonts w:ascii="Calibri" w:hAnsi="Calibri"/>
                <w:b/>
                <w:bCs/>
                <w:color w:val="000000"/>
                <w:sz w:val="22"/>
                <w:szCs w:val="22"/>
              </w:rPr>
              <w:t>1115</w:t>
            </w:r>
          </w:p>
        </w:tc>
        <w:tc>
          <w:tcPr>
            <w:tcW w:w="1891" w:type="dxa"/>
            <w:tcBorders>
              <w:top w:val="nil"/>
              <w:left w:val="nil"/>
              <w:bottom w:val="single" w:sz="4" w:space="0" w:color="auto"/>
              <w:right w:val="single" w:sz="4" w:space="0" w:color="auto"/>
            </w:tcBorders>
            <w:shd w:val="clear" w:color="auto" w:fill="FFFFFF" w:themeFill="background1"/>
            <w:noWrap/>
            <w:vAlign w:val="center"/>
            <w:hideMark/>
          </w:tcPr>
          <w:p w14:paraId="47F021B9" w14:textId="77777777" w:rsidR="00BF6458" w:rsidRDefault="00BF6458" w:rsidP="00BF6458">
            <w:pPr>
              <w:jc w:val="center"/>
              <w:rPr>
                <w:rFonts w:ascii="Calibri" w:hAnsi="Calibri"/>
                <w:b/>
                <w:bCs/>
                <w:color w:val="000000"/>
                <w:sz w:val="22"/>
                <w:szCs w:val="22"/>
              </w:rPr>
            </w:pPr>
            <w:r>
              <w:rPr>
                <w:rFonts w:ascii="Calibri" w:hAnsi="Calibri"/>
                <w:b/>
                <w:bCs/>
                <w:color w:val="000000"/>
                <w:sz w:val="22"/>
                <w:szCs w:val="22"/>
              </w:rPr>
              <w:t>1100</w:t>
            </w:r>
          </w:p>
        </w:tc>
      </w:tr>
      <w:tr w:rsidR="00BF6458" w14:paraId="3AF1D5AA" w14:textId="77777777" w:rsidTr="00BF6458">
        <w:trPr>
          <w:trHeight w:val="283"/>
        </w:trPr>
        <w:tc>
          <w:tcPr>
            <w:tcW w:w="4943" w:type="dxa"/>
            <w:tcBorders>
              <w:top w:val="nil"/>
              <w:left w:val="single" w:sz="4" w:space="0" w:color="auto"/>
              <w:bottom w:val="single" w:sz="4" w:space="0" w:color="auto"/>
              <w:right w:val="single" w:sz="4" w:space="0" w:color="auto"/>
            </w:tcBorders>
            <w:shd w:val="clear" w:color="auto" w:fill="auto"/>
            <w:noWrap/>
            <w:vAlign w:val="center"/>
            <w:hideMark/>
          </w:tcPr>
          <w:p w14:paraId="63C6B409" w14:textId="77777777" w:rsidR="00BF6458" w:rsidRDefault="00BF6458" w:rsidP="00BF6458">
            <w:pPr>
              <w:rPr>
                <w:rFonts w:ascii="Calibri" w:hAnsi="Calibri"/>
                <w:b/>
                <w:bCs/>
                <w:color w:val="000000"/>
                <w:sz w:val="22"/>
                <w:szCs w:val="22"/>
              </w:rPr>
            </w:pPr>
            <w:r>
              <w:rPr>
                <w:rFonts w:ascii="Calibri" w:hAnsi="Calibri"/>
                <w:b/>
                <w:bCs/>
                <w:color w:val="000000"/>
                <w:sz w:val="22"/>
                <w:szCs w:val="22"/>
              </w:rPr>
              <w:t>Met Through</w:t>
            </w:r>
          </w:p>
        </w:tc>
        <w:tc>
          <w:tcPr>
            <w:tcW w:w="2096" w:type="dxa"/>
            <w:tcBorders>
              <w:top w:val="nil"/>
              <w:left w:val="nil"/>
              <w:bottom w:val="single" w:sz="4" w:space="0" w:color="auto"/>
              <w:right w:val="single" w:sz="4" w:space="0" w:color="auto"/>
            </w:tcBorders>
            <w:shd w:val="clear" w:color="auto" w:fill="FFFFFF" w:themeFill="background1"/>
            <w:noWrap/>
            <w:vAlign w:val="center"/>
            <w:hideMark/>
          </w:tcPr>
          <w:p w14:paraId="58F5A651" w14:textId="77777777" w:rsidR="00BF6458" w:rsidRDefault="00BF6458" w:rsidP="00BF6458">
            <w:pPr>
              <w:jc w:val="center"/>
              <w:rPr>
                <w:rFonts w:ascii="Calibri" w:hAnsi="Calibri"/>
                <w:color w:val="000000"/>
                <w:sz w:val="22"/>
                <w:szCs w:val="22"/>
              </w:rPr>
            </w:pPr>
            <w:r>
              <w:rPr>
                <w:rFonts w:ascii="Calibri" w:hAnsi="Calibri"/>
                <w:color w:val="000000"/>
                <w:sz w:val="22"/>
                <w:szCs w:val="22"/>
              </w:rPr>
              <w:t> </w:t>
            </w:r>
          </w:p>
        </w:tc>
        <w:tc>
          <w:tcPr>
            <w:tcW w:w="1891" w:type="dxa"/>
            <w:tcBorders>
              <w:top w:val="nil"/>
              <w:left w:val="nil"/>
              <w:bottom w:val="single" w:sz="4" w:space="0" w:color="auto"/>
              <w:right w:val="single" w:sz="4" w:space="0" w:color="auto"/>
            </w:tcBorders>
            <w:shd w:val="clear" w:color="auto" w:fill="FFFFFF" w:themeFill="background1"/>
            <w:noWrap/>
            <w:vAlign w:val="center"/>
            <w:hideMark/>
          </w:tcPr>
          <w:p w14:paraId="62FA6497" w14:textId="77777777" w:rsidR="00BF6458" w:rsidRDefault="00BF6458" w:rsidP="00BF6458">
            <w:pPr>
              <w:jc w:val="center"/>
              <w:rPr>
                <w:rFonts w:ascii="Calibri" w:hAnsi="Calibri"/>
                <w:color w:val="000000"/>
                <w:sz w:val="22"/>
                <w:szCs w:val="22"/>
              </w:rPr>
            </w:pPr>
            <w:r>
              <w:rPr>
                <w:rFonts w:ascii="Calibri" w:hAnsi="Calibri"/>
                <w:color w:val="000000"/>
                <w:sz w:val="22"/>
                <w:szCs w:val="22"/>
              </w:rPr>
              <w:t> </w:t>
            </w:r>
          </w:p>
        </w:tc>
      </w:tr>
      <w:tr w:rsidR="00BF6458" w14:paraId="5195E955" w14:textId="77777777" w:rsidTr="00BF6458">
        <w:trPr>
          <w:trHeight w:val="283"/>
        </w:trPr>
        <w:tc>
          <w:tcPr>
            <w:tcW w:w="4943" w:type="dxa"/>
            <w:tcBorders>
              <w:top w:val="nil"/>
              <w:left w:val="single" w:sz="4" w:space="0" w:color="auto"/>
              <w:bottom w:val="single" w:sz="4" w:space="0" w:color="auto"/>
              <w:right w:val="single" w:sz="4" w:space="0" w:color="auto"/>
            </w:tcBorders>
            <w:shd w:val="clear" w:color="auto" w:fill="auto"/>
            <w:noWrap/>
            <w:vAlign w:val="center"/>
            <w:hideMark/>
          </w:tcPr>
          <w:p w14:paraId="6A9EA84E" w14:textId="77777777" w:rsidR="00BF6458" w:rsidRDefault="00BF6458" w:rsidP="00BF6458">
            <w:pPr>
              <w:rPr>
                <w:rFonts w:ascii="Calibri" w:hAnsi="Calibri"/>
                <w:sz w:val="22"/>
                <w:szCs w:val="22"/>
              </w:rPr>
            </w:pPr>
            <w:r>
              <w:rPr>
                <w:rFonts w:ascii="Calibri" w:hAnsi="Calibri"/>
                <w:sz w:val="22"/>
                <w:szCs w:val="22"/>
              </w:rPr>
              <w:t>Meter &amp; Cables-Debt</w:t>
            </w:r>
          </w:p>
        </w:tc>
        <w:tc>
          <w:tcPr>
            <w:tcW w:w="2096" w:type="dxa"/>
            <w:tcBorders>
              <w:top w:val="nil"/>
              <w:left w:val="nil"/>
              <w:bottom w:val="single" w:sz="4" w:space="0" w:color="auto"/>
              <w:right w:val="single" w:sz="4" w:space="0" w:color="auto"/>
            </w:tcBorders>
            <w:shd w:val="clear" w:color="auto" w:fill="FFFFFF" w:themeFill="background1"/>
            <w:noWrap/>
            <w:vAlign w:val="center"/>
            <w:hideMark/>
          </w:tcPr>
          <w:p w14:paraId="63ABB876" w14:textId="77777777" w:rsidR="00BF6458" w:rsidRDefault="00BF6458" w:rsidP="00BF6458">
            <w:pPr>
              <w:jc w:val="center"/>
              <w:rPr>
                <w:rFonts w:ascii="Calibri" w:hAnsi="Calibri"/>
                <w:sz w:val="22"/>
                <w:szCs w:val="22"/>
              </w:rPr>
            </w:pPr>
            <w:r>
              <w:rPr>
                <w:rFonts w:ascii="Calibri" w:hAnsi="Calibri"/>
                <w:sz w:val="22"/>
                <w:szCs w:val="22"/>
              </w:rPr>
              <w:t>119</w:t>
            </w:r>
          </w:p>
        </w:tc>
        <w:tc>
          <w:tcPr>
            <w:tcW w:w="1891" w:type="dxa"/>
            <w:tcBorders>
              <w:top w:val="nil"/>
              <w:left w:val="nil"/>
              <w:bottom w:val="single" w:sz="4" w:space="0" w:color="auto"/>
              <w:right w:val="single" w:sz="4" w:space="0" w:color="auto"/>
            </w:tcBorders>
            <w:shd w:val="clear" w:color="auto" w:fill="FFFFFF" w:themeFill="background1"/>
            <w:noWrap/>
            <w:vAlign w:val="center"/>
            <w:hideMark/>
          </w:tcPr>
          <w:p w14:paraId="4DD077EF" w14:textId="77777777" w:rsidR="00BF6458" w:rsidRDefault="00BF6458" w:rsidP="00BF6458">
            <w:pPr>
              <w:jc w:val="center"/>
              <w:rPr>
                <w:rFonts w:ascii="Calibri" w:hAnsi="Calibri"/>
                <w:sz w:val="22"/>
                <w:szCs w:val="22"/>
              </w:rPr>
            </w:pPr>
            <w:r>
              <w:rPr>
                <w:rFonts w:ascii="Calibri" w:hAnsi="Calibri"/>
                <w:sz w:val="22"/>
                <w:szCs w:val="22"/>
              </w:rPr>
              <w:t>140</w:t>
            </w:r>
          </w:p>
        </w:tc>
      </w:tr>
      <w:tr w:rsidR="00BF6458" w14:paraId="4A2B2D4F" w14:textId="77777777" w:rsidTr="00BF6458">
        <w:trPr>
          <w:trHeight w:val="283"/>
        </w:trPr>
        <w:tc>
          <w:tcPr>
            <w:tcW w:w="4943" w:type="dxa"/>
            <w:tcBorders>
              <w:top w:val="nil"/>
              <w:left w:val="single" w:sz="4" w:space="0" w:color="auto"/>
              <w:bottom w:val="single" w:sz="4" w:space="0" w:color="auto"/>
              <w:right w:val="single" w:sz="4" w:space="0" w:color="auto"/>
            </w:tcBorders>
            <w:shd w:val="clear" w:color="auto" w:fill="auto"/>
            <w:noWrap/>
            <w:vAlign w:val="center"/>
            <w:hideMark/>
          </w:tcPr>
          <w:p w14:paraId="7F255617" w14:textId="77777777" w:rsidR="00BF6458" w:rsidRDefault="00BF6458" w:rsidP="00BF6458">
            <w:pPr>
              <w:rPr>
                <w:rFonts w:ascii="Calibri" w:hAnsi="Calibri"/>
                <w:color w:val="000000"/>
                <w:sz w:val="22"/>
                <w:szCs w:val="22"/>
              </w:rPr>
            </w:pPr>
            <w:r>
              <w:rPr>
                <w:rFonts w:ascii="Calibri" w:hAnsi="Calibri"/>
                <w:color w:val="000000"/>
                <w:sz w:val="22"/>
                <w:szCs w:val="22"/>
              </w:rPr>
              <w:t>Consumer Contribution</w:t>
            </w:r>
          </w:p>
        </w:tc>
        <w:tc>
          <w:tcPr>
            <w:tcW w:w="2096" w:type="dxa"/>
            <w:tcBorders>
              <w:top w:val="nil"/>
              <w:left w:val="nil"/>
              <w:bottom w:val="single" w:sz="4" w:space="0" w:color="auto"/>
              <w:right w:val="single" w:sz="4" w:space="0" w:color="auto"/>
            </w:tcBorders>
            <w:shd w:val="clear" w:color="auto" w:fill="FFFFFF" w:themeFill="background1"/>
            <w:noWrap/>
            <w:vAlign w:val="center"/>
            <w:hideMark/>
          </w:tcPr>
          <w:p w14:paraId="5664A5FE" w14:textId="77777777" w:rsidR="00BF6458" w:rsidRDefault="00BF6458" w:rsidP="00BF6458">
            <w:pPr>
              <w:jc w:val="center"/>
              <w:rPr>
                <w:rFonts w:ascii="Calibri" w:hAnsi="Calibri"/>
                <w:color w:val="000000"/>
                <w:sz w:val="22"/>
                <w:szCs w:val="22"/>
              </w:rPr>
            </w:pPr>
            <w:r>
              <w:rPr>
                <w:rFonts w:ascii="Calibri" w:hAnsi="Calibri"/>
                <w:color w:val="000000"/>
                <w:sz w:val="22"/>
                <w:szCs w:val="22"/>
              </w:rPr>
              <w:t>293</w:t>
            </w:r>
          </w:p>
        </w:tc>
        <w:tc>
          <w:tcPr>
            <w:tcW w:w="1891" w:type="dxa"/>
            <w:tcBorders>
              <w:top w:val="nil"/>
              <w:left w:val="nil"/>
              <w:bottom w:val="single" w:sz="4" w:space="0" w:color="auto"/>
              <w:right w:val="single" w:sz="4" w:space="0" w:color="auto"/>
            </w:tcBorders>
            <w:shd w:val="clear" w:color="auto" w:fill="FFFFFF" w:themeFill="background1"/>
            <w:noWrap/>
            <w:vAlign w:val="center"/>
            <w:hideMark/>
          </w:tcPr>
          <w:p w14:paraId="6E40E201" w14:textId="77777777" w:rsidR="00BF6458" w:rsidRDefault="00BF6458" w:rsidP="00BF6458">
            <w:pPr>
              <w:jc w:val="center"/>
              <w:rPr>
                <w:rFonts w:ascii="Calibri" w:hAnsi="Calibri"/>
                <w:color w:val="000000"/>
                <w:sz w:val="22"/>
                <w:szCs w:val="22"/>
              </w:rPr>
            </w:pPr>
            <w:r>
              <w:rPr>
                <w:rFonts w:ascii="Calibri" w:hAnsi="Calibri"/>
                <w:color w:val="000000"/>
                <w:sz w:val="22"/>
                <w:szCs w:val="22"/>
              </w:rPr>
              <w:t>401</w:t>
            </w:r>
          </w:p>
        </w:tc>
      </w:tr>
      <w:tr w:rsidR="00BF6458" w14:paraId="66648664" w14:textId="77777777" w:rsidTr="00BF6458">
        <w:trPr>
          <w:trHeight w:val="283"/>
        </w:trPr>
        <w:tc>
          <w:tcPr>
            <w:tcW w:w="4943" w:type="dxa"/>
            <w:tcBorders>
              <w:top w:val="nil"/>
              <w:left w:val="single" w:sz="4" w:space="0" w:color="auto"/>
              <w:bottom w:val="single" w:sz="4" w:space="0" w:color="auto"/>
              <w:right w:val="single" w:sz="4" w:space="0" w:color="auto"/>
            </w:tcBorders>
            <w:shd w:val="clear" w:color="auto" w:fill="auto"/>
            <w:noWrap/>
            <w:vAlign w:val="center"/>
            <w:hideMark/>
          </w:tcPr>
          <w:p w14:paraId="75760DBB" w14:textId="77777777" w:rsidR="00BF6458" w:rsidRDefault="00BF6458" w:rsidP="00BF6458">
            <w:pPr>
              <w:rPr>
                <w:rFonts w:ascii="Calibri" w:hAnsi="Calibri"/>
                <w:color w:val="000000"/>
                <w:sz w:val="22"/>
                <w:szCs w:val="22"/>
              </w:rPr>
            </w:pPr>
            <w:r>
              <w:rPr>
                <w:rFonts w:ascii="Calibri" w:hAnsi="Calibri"/>
                <w:color w:val="000000"/>
                <w:sz w:val="22"/>
                <w:szCs w:val="22"/>
              </w:rPr>
              <w:t>Government Grants</w:t>
            </w:r>
          </w:p>
        </w:tc>
        <w:tc>
          <w:tcPr>
            <w:tcW w:w="2096" w:type="dxa"/>
            <w:tcBorders>
              <w:top w:val="nil"/>
              <w:left w:val="nil"/>
              <w:bottom w:val="single" w:sz="4" w:space="0" w:color="auto"/>
              <w:right w:val="single" w:sz="4" w:space="0" w:color="auto"/>
            </w:tcBorders>
            <w:shd w:val="clear" w:color="auto" w:fill="FFFFFF" w:themeFill="background1"/>
            <w:noWrap/>
            <w:vAlign w:val="center"/>
            <w:hideMark/>
          </w:tcPr>
          <w:p w14:paraId="4CF9BD90" w14:textId="77777777" w:rsidR="00BF6458" w:rsidRDefault="00BF6458" w:rsidP="00BF6458">
            <w:pPr>
              <w:jc w:val="center"/>
              <w:rPr>
                <w:rFonts w:ascii="Calibri" w:hAnsi="Calibri"/>
                <w:color w:val="000000"/>
                <w:sz w:val="22"/>
                <w:szCs w:val="22"/>
              </w:rPr>
            </w:pPr>
            <w:r>
              <w:rPr>
                <w:rFonts w:ascii="Calibri" w:hAnsi="Calibri"/>
                <w:color w:val="000000"/>
                <w:sz w:val="22"/>
                <w:szCs w:val="22"/>
              </w:rPr>
              <w:t>254</w:t>
            </w:r>
          </w:p>
        </w:tc>
        <w:tc>
          <w:tcPr>
            <w:tcW w:w="1891" w:type="dxa"/>
            <w:tcBorders>
              <w:top w:val="nil"/>
              <w:left w:val="nil"/>
              <w:bottom w:val="single" w:sz="4" w:space="0" w:color="auto"/>
              <w:right w:val="single" w:sz="4" w:space="0" w:color="auto"/>
            </w:tcBorders>
            <w:shd w:val="clear" w:color="auto" w:fill="FFFFFF" w:themeFill="background1"/>
            <w:noWrap/>
            <w:vAlign w:val="center"/>
            <w:hideMark/>
          </w:tcPr>
          <w:p w14:paraId="23EA1641" w14:textId="77777777" w:rsidR="00BF6458" w:rsidRDefault="00BF6458" w:rsidP="00BF6458">
            <w:pPr>
              <w:jc w:val="center"/>
              <w:rPr>
                <w:rFonts w:ascii="Calibri" w:hAnsi="Calibri"/>
                <w:color w:val="000000"/>
                <w:sz w:val="22"/>
                <w:szCs w:val="22"/>
              </w:rPr>
            </w:pPr>
            <w:r>
              <w:rPr>
                <w:rFonts w:ascii="Calibri" w:hAnsi="Calibri"/>
                <w:color w:val="000000"/>
                <w:sz w:val="22"/>
                <w:szCs w:val="22"/>
              </w:rPr>
              <w:t>46</w:t>
            </w:r>
          </w:p>
        </w:tc>
      </w:tr>
      <w:tr w:rsidR="00BF6458" w14:paraId="44CAE53C" w14:textId="77777777" w:rsidTr="00BF6458">
        <w:trPr>
          <w:trHeight w:val="283"/>
        </w:trPr>
        <w:tc>
          <w:tcPr>
            <w:tcW w:w="4943" w:type="dxa"/>
            <w:tcBorders>
              <w:top w:val="nil"/>
              <w:left w:val="single" w:sz="4" w:space="0" w:color="auto"/>
              <w:bottom w:val="single" w:sz="4" w:space="0" w:color="auto"/>
              <w:right w:val="single" w:sz="4" w:space="0" w:color="auto"/>
            </w:tcBorders>
            <w:shd w:val="clear" w:color="auto" w:fill="8DB3E2" w:themeFill="text2" w:themeFillTint="66"/>
            <w:noWrap/>
            <w:vAlign w:val="center"/>
            <w:hideMark/>
          </w:tcPr>
          <w:p w14:paraId="39848ECF" w14:textId="77777777" w:rsidR="00BF6458" w:rsidRPr="00BF6458" w:rsidRDefault="00BF6458" w:rsidP="00BF6458">
            <w:pPr>
              <w:rPr>
                <w:rFonts w:ascii="Calibri" w:hAnsi="Calibri"/>
                <w:b/>
                <w:color w:val="000000"/>
                <w:sz w:val="22"/>
                <w:szCs w:val="22"/>
              </w:rPr>
            </w:pPr>
            <w:r w:rsidRPr="00BF6458">
              <w:rPr>
                <w:rFonts w:ascii="Calibri" w:hAnsi="Calibri"/>
                <w:b/>
                <w:color w:val="000000"/>
                <w:sz w:val="22"/>
                <w:szCs w:val="22"/>
              </w:rPr>
              <w:t>Debt</w:t>
            </w:r>
          </w:p>
        </w:tc>
        <w:tc>
          <w:tcPr>
            <w:tcW w:w="2096" w:type="dxa"/>
            <w:tcBorders>
              <w:top w:val="nil"/>
              <w:left w:val="nil"/>
              <w:bottom w:val="single" w:sz="4" w:space="0" w:color="auto"/>
              <w:right w:val="single" w:sz="4" w:space="0" w:color="auto"/>
            </w:tcBorders>
            <w:shd w:val="clear" w:color="auto" w:fill="8DB3E2" w:themeFill="text2" w:themeFillTint="66"/>
            <w:noWrap/>
            <w:vAlign w:val="center"/>
            <w:hideMark/>
          </w:tcPr>
          <w:p w14:paraId="2D6764EE" w14:textId="77777777" w:rsidR="00BF6458" w:rsidRPr="00BF6458" w:rsidRDefault="00BF6458" w:rsidP="00BF6458">
            <w:pPr>
              <w:jc w:val="center"/>
              <w:rPr>
                <w:rFonts w:ascii="Calibri" w:hAnsi="Calibri"/>
                <w:b/>
                <w:color w:val="000000"/>
                <w:sz w:val="22"/>
                <w:szCs w:val="22"/>
              </w:rPr>
            </w:pPr>
            <w:r w:rsidRPr="00BF6458">
              <w:rPr>
                <w:rFonts w:ascii="Calibri" w:hAnsi="Calibri"/>
                <w:b/>
                <w:color w:val="000000"/>
                <w:sz w:val="22"/>
                <w:szCs w:val="22"/>
              </w:rPr>
              <w:t>315</w:t>
            </w:r>
          </w:p>
        </w:tc>
        <w:tc>
          <w:tcPr>
            <w:tcW w:w="1891" w:type="dxa"/>
            <w:tcBorders>
              <w:top w:val="nil"/>
              <w:left w:val="nil"/>
              <w:bottom w:val="single" w:sz="4" w:space="0" w:color="auto"/>
              <w:right w:val="single" w:sz="4" w:space="0" w:color="auto"/>
            </w:tcBorders>
            <w:shd w:val="clear" w:color="auto" w:fill="8DB3E2" w:themeFill="text2" w:themeFillTint="66"/>
            <w:noWrap/>
            <w:vAlign w:val="center"/>
            <w:hideMark/>
          </w:tcPr>
          <w:p w14:paraId="7297CE1B" w14:textId="77777777" w:rsidR="00BF6458" w:rsidRPr="00BF6458" w:rsidRDefault="00BF6458" w:rsidP="00BF6458">
            <w:pPr>
              <w:jc w:val="center"/>
              <w:rPr>
                <w:rFonts w:ascii="Calibri" w:hAnsi="Calibri"/>
                <w:b/>
                <w:color w:val="000000"/>
                <w:sz w:val="22"/>
                <w:szCs w:val="22"/>
              </w:rPr>
            </w:pPr>
            <w:r w:rsidRPr="00BF6458">
              <w:rPr>
                <w:rFonts w:ascii="Calibri" w:hAnsi="Calibri"/>
                <w:b/>
                <w:color w:val="000000"/>
                <w:sz w:val="22"/>
                <w:szCs w:val="22"/>
              </w:rPr>
              <w:t>359</w:t>
            </w:r>
          </w:p>
        </w:tc>
      </w:tr>
      <w:tr w:rsidR="00BF6458" w14:paraId="1862D56C" w14:textId="77777777" w:rsidTr="00BF6458">
        <w:trPr>
          <w:trHeight w:val="70"/>
        </w:trPr>
        <w:tc>
          <w:tcPr>
            <w:tcW w:w="4943" w:type="dxa"/>
            <w:tcBorders>
              <w:top w:val="nil"/>
              <w:left w:val="single" w:sz="4" w:space="0" w:color="auto"/>
              <w:bottom w:val="single" w:sz="4" w:space="0" w:color="auto"/>
              <w:right w:val="single" w:sz="4" w:space="0" w:color="auto"/>
            </w:tcBorders>
            <w:shd w:val="clear" w:color="auto" w:fill="8DB3E2" w:themeFill="text2" w:themeFillTint="66"/>
            <w:noWrap/>
            <w:vAlign w:val="center"/>
            <w:hideMark/>
          </w:tcPr>
          <w:p w14:paraId="36C8F95A" w14:textId="77777777" w:rsidR="00BF6458" w:rsidRPr="00BF6458" w:rsidRDefault="00BF6458" w:rsidP="00BF6458">
            <w:pPr>
              <w:rPr>
                <w:rFonts w:ascii="Calibri" w:hAnsi="Calibri"/>
                <w:b/>
                <w:color w:val="000000"/>
                <w:sz w:val="22"/>
                <w:szCs w:val="22"/>
              </w:rPr>
            </w:pPr>
            <w:r w:rsidRPr="00BF6458">
              <w:rPr>
                <w:rFonts w:ascii="Calibri" w:hAnsi="Calibri"/>
                <w:b/>
                <w:color w:val="000000"/>
                <w:sz w:val="22"/>
                <w:szCs w:val="22"/>
              </w:rPr>
              <w:t>Equity</w:t>
            </w:r>
          </w:p>
        </w:tc>
        <w:tc>
          <w:tcPr>
            <w:tcW w:w="2096" w:type="dxa"/>
            <w:tcBorders>
              <w:top w:val="nil"/>
              <w:left w:val="nil"/>
              <w:bottom w:val="single" w:sz="4" w:space="0" w:color="auto"/>
              <w:right w:val="single" w:sz="4" w:space="0" w:color="auto"/>
            </w:tcBorders>
            <w:shd w:val="clear" w:color="auto" w:fill="8DB3E2" w:themeFill="text2" w:themeFillTint="66"/>
            <w:noWrap/>
            <w:vAlign w:val="center"/>
            <w:hideMark/>
          </w:tcPr>
          <w:p w14:paraId="5712C145" w14:textId="77777777" w:rsidR="00BF6458" w:rsidRPr="00BF6458" w:rsidRDefault="00BF6458" w:rsidP="00BF6458">
            <w:pPr>
              <w:jc w:val="center"/>
              <w:rPr>
                <w:rFonts w:ascii="Calibri" w:hAnsi="Calibri"/>
                <w:b/>
                <w:color w:val="000000"/>
                <w:sz w:val="22"/>
                <w:szCs w:val="22"/>
              </w:rPr>
            </w:pPr>
            <w:r w:rsidRPr="00BF6458">
              <w:rPr>
                <w:rFonts w:ascii="Calibri" w:hAnsi="Calibri"/>
                <w:b/>
                <w:color w:val="000000"/>
                <w:sz w:val="22"/>
                <w:szCs w:val="22"/>
              </w:rPr>
              <w:t>135</w:t>
            </w:r>
          </w:p>
        </w:tc>
        <w:tc>
          <w:tcPr>
            <w:tcW w:w="1891" w:type="dxa"/>
            <w:tcBorders>
              <w:top w:val="nil"/>
              <w:left w:val="nil"/>
              <w:bottom w:val="single" w:sz="4" w:space="0" w:color="auto"/>
              <w:right w:val="single" w:sz="4" w:space="0" w:color="auto"/>
            </w:tcBorders>
            <w:shd w:val="clear" w:color="auto" w:fill="8DB3E2" w:themeFill="text2" w:themeFillTint="66"/>
            <w:noWrap/>
            <w:vAlign w:val="center"/>
            <w:hideMark/>
          </w:tcPr>
          <w:p w14:paraId="058D4A2A" w14:textId="77777777" w:rsidR="00BF6458" w:rsidRPr="00BF6458" w:rsidRDefault="00BF6458" w:rsidP="00BF6458">
            <w:pPr>
              <w:jc w:val="center"/>
              <w:rPr>
                <w:rFonts w:ascii="Calibri" w:hAnsi="Calibri"/>
                <w:b/>
                <w:color w:val="000000"/>
                <w:sz w:val="22"/>
                <w:szCs w:val="22"/>
              </w:rPr>
            </w:pPr>
            <w:r w:rsidRPr="00BF6458">
              <w:rPr>
                <w:rFonts w:ascii="Calibri" w:hAnsi="Calibri"/>
                <w:b/>
                <w:color w:val="000000"/>
                <w:sz w:val="22"/>
                <w:szCs w:val="22"/>
              </w:rPr>
              <w:t>154</w:t>
            </w:r>
          </w:p>
        </w:tc>
      </w:tr>
    </w:tbl>
    <w:p w14:paraId="2CD97240" w14:textId="28EF65B7" w:rsidR="00974443" w:rsidRPr="00B602FC" w:rsidRDefault="00974443" w:rsidP="00B602FC">
      <w:pPr>
        <w:spacing w:after="120" w:line="360" w:lineRule="auto"/>
        <w:ind w:left="567"/>
        <w:jc w:val="both"/>
        <w:rPr>
          <w:rFonts w:ascii="Calibri" w:hAnsi="Calibri" w:cs="Calibri"/>
          <w:b/>
          <w:sz w:val="22"/>
          <w:szCs w:val="22"/>
        </w:rPr>
      </w:pPr>
      <w:r w:rsidRPr="00D6050D">
        <w:rPr>
          <w:rFonts w:ascii="Calibri" w:hAnsi="Calibri" w:cs="Calibri"/>
          <w:sz w:val="22"/>
          <w:szCs w:val="22"/>
        </w:rPr>
        <w:t xml:space="preserve">                  </w:t>
      </w:r>
      <w:r w:rsidR="005B3567">
        <w:rPr>
          <w:rFonts w:ascii="Calibri" w:hAnsi="Calibri" w:cs="Calibri"/>
          <w:sz w:val="22"/>
          <w:szCs w:val="22"/>
        </w:rPr>
        <w:t xml:space="preserve">          </w:t>
      </w:r>
      <w:r w:rsidRPr="00D6050D">
        <w:rPr>
          <w:rFonts w:ascii="Calibri" w:hAnsi="Calibri" w:cs="Calibri"/>
          <w:sz w:val="22"/>
          <w:szCs w:val="22"/>
        </w:rPr>
        <w:t xml:space="preserve">  </w:t>
      </w:r>
      <w:r>
        <w:rPr>
          <w:rFonts w:ascii="Calibri" w:hAnsi="Calibri" w:cs="Calibri"/>
          <w:b/>
          <w:sz w:val="22"/>
          <w:szCs w:val="22"/>
        </w:rPr>
        <w:t>Table-4</w:t>
      </w:r>
      <w:r w:rsidR="00BF6458">
        <w:rPr>
          <w:rFonts w:ascii="Calibri" w:hAnsi="Calibri" w:cs="Calibri"/>
          <w:b/>
          <w:sz w:val="22"/>
          <w:szCs w:val="22"/>
        </w:rPr>
        <w:t>2</w:t>
      </w:r>
      <w:r w:rsidRPr="00D6050D">
        <w:rPr>
          <w:rFonts w:ascii="Calibri" w:hAnsi="Calibri" w:cs="Calibri"/>
          <w:b/>
          <w:sz w:val="22"/>
          <w:szCs w:val="22"/>
        </w:rPr>
        <w:t>: Funding Pattern:</w:t>
      </w:r>
      <w:r>
        <w:rPr>
          <w:rFonts w:ascii="Calibri" w:hAnsi="Calibri" w:cs="Calibri"/>
          <w:b/>
          <w:sz w:val="22"/>
          <w:szCs w:val="22"/>
        </w:rPr>
        <w:t xml:space="preserve"> F</w:t>
      </w:r>
      <w:r w:rsidRPr="00D6050D">
        <w:rPr>
          <w:rFonts w:ascii="Calibri" w:hAnsi="Calibri" w:cs="Calibri"/>
          <w:b/>
          <w:sz w:val="22"/>
          <w:szCs w:val="22"/>
        </w:rPr>
        <w:t>Y 202</w:t>
      </w:r>
      <w:r>
        <w:rPr>
          <w:rFonts w:ascii="Calibri" w:hAnsi="Calibri" w:cs="Calibri"/>
          <w:b/>
          <w:sz w:val="22"/>
          <w:szCs w:val="22"/>
        </w:rPr>
        <w:t>4</w:t>
      </w:r>
      <w:r w:rsidRPr="00D6050D">
        <w:rPr>
          <w:rFonts w:ascii="Calibri" w:hAnsi="Calibri" w:cs="Calibri"/>
          <w:b/>
          <w:sz w:val="22"/>
          <w:szCs w:val="22"/>
        </w:rPr>
        <w:t>-2</w:t>
      </w:r>
      <w:r>
        <w:rPr>
          <w:rFonts w:ascii="Calibri" w:hAnsi="Calibri" w:cs="Calibri"/>
          <w:b/>
          <w:sz w:val="22"/>
          <w:szCs w:val="22"/>
        </w:rPr>
        <w:t>5</w:t>
      </w:r>
      <w:r w:rsidRPr="00D6050D">
        <w:rPr>
          <w:rFonts w:ascii="Calibri" w:hAnsi="Calibri" w:cs="Calibri"/>
          <w:b/>
          <w:sz w:val="22"/>
          <w:szCs w:val="22"/>
        </w:rPr>
        <w:t xml:space="preserve"> &amp; FY 202</w:t>
      </w:r>
      <w:r>
        <w:rPr>
          <w:rFonts w:ascii="Calibri" w:hAnsi="Calibri" w:cs="Calibri"/>
          <w:b/>
          <w:sz w:val="22"/>
          <w:szCs w:val="22"/>
        </w:rPr>
        <w:t>5</w:t>
      </w:r>
      <w:r w:rsidRPr="00D6050D">
        <w:rPr>
          <w:rFonts w:ascii="Calibri" w:hAnsi="Calibri" w:cs="Calibri"/>
          <w:b/>
          <w:sz w:val="22"/>
          <w:szCs w:val="22"/>
        </w:rPr>
        <w:t>-2</w:t>
      </w:r>
      <w:r>
        <w:rPr>
          <w:rFonts w:ascii="Calibri" w:hAnsi="Calibri" w:cs="Calibri"/>
          <w:b/>
          <w:sz w:val="22"/>
          <w:szCs w:val="22"/>
        </w:rPr>
        <w:t>6</w:t>
      </w:r>
      <w:r w:rsidRPr="00D6050D">
        <w:rPr>
          <w:rFonts w:ascii="Calibri" w:hAnsi="Calibri" w:cs="Calibri"/>
          <w:b/>
          <w:sz w:val="22"/>
          <w:szCs w:val="22"/>
        </w:rPr>
        <w:t xml:space="preserve">                 </w:t>
      </w:r>
      <w:proofErr w:type="gramStart"/>
      <w:r w:rsidRPr="00D6050D">
        <w:rPr>
          <w:rFonts w:ascii="Calibri" w:hAnsi="Calibri" w:cs="Calibri"/>
          <w:b/>
          <w:sz w:val="22"/>
          <w:szCs w:val="22"/>
        </w:rPr>
        <w:t xml:space="preserve">   (</w:t>
      </w:r>
      <w:proofErr w:type="gramEnd"/>
      <w:r w:rsidRPr="00D6050D">
        <w:rPr>
          <w:rFonts w:ascii="Calibri" w:hAnsi="Calibri" w:cs="Calibri"/>
          <w:b/>
          <w:sz w:val="22"/>
          <w:szCs w:val="22"/>
        </w:rPr>
        <w:t xml:space="preserve">In </w:t>
      </w:r>
      <w:r>
        <w:rPr>
          <w:rFonts w:ascii="Calibri" w:hAnsi="Calibri" w:cs="Calibri"/>
          <w:b/>
          <w:sz w:val="22"/>
          <w:szCs w:val="22"/>
        </w:rPr>
        <w:t>Rs.</w:t>
      </w:r>
      <w:r w:rsidRPr="00D6050D">
        <w:rPr>
          <w:rFonts w:ascii="Calibri" w:hAnsi="Calibri" w:cs="Calibri"/>
          <w:b/>
          <w:sz w:val="22"/>
          <w:szCs w:val="22"/>
        </w:rPr>
        <w:t xml:space="preserve"> </w:t>
      </w:r>
      <w:proofErr w:type="spellStart"/>
      <w:r w:rsidRPr="00D6050D">
        <w:rPr>
          <w:rFonts w:ascii="Calibri" w:hAnsi="Calibri" w:cs="Calibri"/>
          <w:b/>
          <w:sz w:val="22"/>
          <w:szCs w:val="22"/>
        </w:rPr>
        <w:t>Crs</w:t>
      </w:r>
      <w:proofErr w:type="spellEnd"/>
      <w:r w:rsidRPr="00D6050D">
        <w:rPr>
          <w:rFonts w:ascii="Calibri" w:hAnsi="Calibri" w:cs="Calibri"/>
          <w:b/>
          <w:sz w:val="22"/>
          <w:szCs w:val="22"/>
        </w:rPr>
        <w:t>)</w:t>
      </w:r>
    </w:p>
    <w:p w14:paraId="3A9AF156" w14:textId="77777777" w:rsidR="00BF6458" w:rsidRDefault="00BF6458" w:rsidP="00BF6458">
      <w:pPr>
        <w:tabs>
          <w:tab w:val="left" w:pos="920"/>
        </w:tabs>
        <w:spacing w:line="360" w:lineRule="auto"/>
        <w:rPr>
          <w:rFonts w:asciiTheme="minorHAnsi" w:hAnsiTheme="minorHAnsi" w:cstheme="minorHAnsi"/>
          <w:b/>
          <w:sz w:val="22"/>
          <w:szCs w:val="22"/>
        </w:rPr>
      </w:pPr>
    </w:p>
    <w:p w14:paraId="49C83D2C" w14:textId="77777777" w:rsidR="00BF6458" w:rsidRDefault="00BF6458" w:rsidP="00B602FC">
      <w:pPr>
        <w:tabs>
          <w:tab w:val="left" w:pos="920"/>
        </w:tabs>
        <w:spacing w:line="360" w:lineRule="auto"/>
        <w:ind w:left="567"/>
        <w:rPr>
          <w:rFonts w:asciiTheme="minorHAnsi" w:hAnsiTheme="minorHAnsi" w:cstheme="minorHAnsi"/>
          <w:b/>
          <w:sz w:val="22"/>
          <w:szCs w:val="22"/>
        </w:rPr>
      </w:pPr>
    </w:p>
    <w:p w14:paraId="2272CE66" w14:textId="6EEFA5E8" w:rsidR="00336144" w:rsidRPr="00BF6458" w:rsidRDefault="00996459" w:rsidP="00B602FC">
      <w:pPr>
        <w:tabs>
          <w:tab w:val="left" w:pos="920"/>
        </w:tabs>
        <w:spacing w:line="360" w:lineRule="auto"/>
        <w:ind w:left="567"/>
        <w:rPr>
          <w:rFonts w:asciiTheme="minorHAnsi" w:hAnsiTheme="minorHAnsi" w:cstheme="minorHAnsi"/>
          <w:b/>
          <w:sz w:val="28"/>
          <w:szCs w:val="22"/>
        </w:rPr>
      </w:pPr>
      <w:r>
        <w:rPr>
          <w:rFonts w:asciiTheme="minorHAnsi" w:hAnsiTheme="minorHAnsi" w:cstheme="minorHAnsi"/>
          <w:b/>
          <w:sz w:val="28"/>
          <w:szCs w:val="22"/>
        </w:rPr>
        <w:t xml:space="preserve">2.12 </w:t>
      </w:r>
      <w:r w:rsidR="00530F0D" w:rsidRPr="00BF6458">
        <w:rPr>
          <w:rFonts w:asciiTheme="minorHAnsi" w:hAnsiTheme="minorHAnsi" w:cstheme="minorHAnsi"/>
          <w:b/>
          <w:sz w:val="28"/>
          <w:szCs w:val="22"/>
        </w:rPr>
        <w:t>Return on Equity</w:t>
      </w:r>
    </w:p>
    <w:p w14:paraId="34A03F32" w14:textId="6BFEA0FC" w:rsidR="00530F0D" w:rsidRPr="00153204" w:rsidRDefault="00530F0D" w:rsidP="002334A3">
      <w:pPr>
        <w:spacing w:line="360" w:lineRule="auto"/>
        <w:ind w:left="567"/>
        <w:rPr>
          <w:rFonts w:asciiTheme="minorHAnsi" w:hAnsiTheme="minorHAnsi" w:cstheme="minorHAnsi"/>
          <w:sz w:val="22"/>
          <w:szCs w:val="22"/>
        </w:rPr>
      </w:pPr>
      <w:r w:rsidRPr="00153204">
        <w:rPr>
          <w:rFonts w:asciiTheme="minorHAnsi" w:hAnsiTheme="minorHAnsi" w:cstheme="minorHAnsi"/>
          <w:sz w:val="22"/>
          <w:szCs w:val="22"/>
        </w:rPr>
        <w:t xml:space="preserve">As per </w:t>
      </w:r>
      <w:r w:rsidR="00AC371F" w:rsidRPr="00153204">
        <w:rPr>
          <w:rFonts w:asciiTheme="minorHAnsi" w:hAnsiTheme="minorHAnsi" w:cstheme="minorHAnsi"/>
          <w:sz w:val="22"/>
          <w:szCs w:val="22"/>
        </w:rPr>
        <w:t xml:space="preserve">para 54 (a) of </w:t>
      </w:r>
      <w:r w:rsidRPr="00153204">
        <w:rPr>
          <w:rFonts w:asciiTheme="minorHAnsi" w:hAnsiTheme="minorHAnsi" w:cstheme="minorHAnsi"/>
          <w:sz w:val="22"/>
          <w:szCs w:val="22"/>
        </w:rPr>
        <w:t>the Vesting Order, the Return on Equity would be available as follows:</w:t>
      </w:r>
    </w:p>
    <w:p w14:paraId="5DAE830D" w14:textId="77777777" w:rsidR="0088472B" w:rsidRPr="00153204" w:rsidRDefault="0088472B" w:rsidP="002334A3">
      <w:pPr>
        <w:spacing w:line="360" w:lineRule="auto"/>
        <w:ind w:left="567"/>
        <w:rPr>
          <w:rFonts w:asciiTheme="minorHAnsi" w:hAnsiTheme="minorHAnsi" w:cstheme="minorHAnsi"/>
          <w:sz w:val="22"/>
          <w:szCs w:val="22"/>
        </w:rPr>
      </w:pPr>
    </w:p>
    <w:p w14:paraId="34A03F34" w14:textId="77777777" w:rsidR="00530F0D" w:rsidRPr="00153204" w:rsidRDefault="00530F0D" w:rsidP="00914D95">
      <w:pPr>
        <w:pStyle w:val="ListParagraph"/>
        <w:numPr>
          <w:ilvl w:val="0"/>
          <w:numId w:val="5"/>
        </w:numPr>
        <w:tabs>
          <w:tab w:val="left" w:pos="1080"/>
        </w:tabs>
        <w:spacing w:after="0" w:line="360" w:lineRule="auto"/>
        <w:ind w:firstLine="0"/>
        <w:rPr>
          <w:rFonts w:asciiTheme="minorHAnsi" w:hAnsiTheme="minorHAnsi" w:cstheme="minorHAnsi"/>
          <w:b/>
          <w:i/>
        </w:rPr>
      </w:pPr>
      <w:r w:rsidRPr="00153204">
        <w:rPr>
          <w:rFonts w:asciiTheme="minorHAnsi" w:hAnsiTheme="minorHAnsi" w:cstheme="minorHAnsi"/>
          <w:b/>
          <w:i/>
        </w:rPr>
        <w:t>Return on equity:</w:t>
      </w:r>
    </w:p>
    <w:p w14:paraId="34A03F38" w14:textId="303ACAF5" w:rsidR="00530F0D" w:rsidRPr="00153204" w:rsidRDefault="00AC371F" w:rsidP="002334A3">
      <w:pPr>
        <w:tabs>
          <w:tab w:val="left" w:pos="1084"/>
        </w:tabs>
        <w:spacing w:line="360" w:lineRule="auto"/>
        <w:ind w:left="1134"/>
        <w:jc w:val="both"/>
        <w:rPr>
          <w:rFonts w:asciiTheme="minorHAnsi" w:hAnsiTheme="minorHAnsi" w:cstheme="minorHAnsi"/>
          <w:b/>
          <w:i/>
          <w:sz w:val="22"/>
          <w:szCs w:val="22"/>
        </w:rPr>
      </w:pPr>
      <w:r w:rsidRPr="00153204">
        <w:rPr>
          <w:rFonts w:asciiTheme="minorHAnsi" w:hAnsiTheme="minorHAnsi" w:cstheme="minorHAnsi"/>
          <w:b/>
          <w:i/>
          <w:sz w:val="22"/>
          <w:szCs w:val="22"/>
        </w:rPr>
        <w:t xml:space="preserve">(a)  </w:t>
      </w:r>
      <w:r w:rsidR="00530F0D" w:rsidRPr="00153204">
        <w:rPr>
          <w:rFonts w:asciiTheme="minorHAnsi" w:hAnsiTheme="minorHAnsi" w:cstheme="minorHAnsi"/>
          <w:b/>
          <w:i/>
          <w:sz w:val="22"/>
          <w:szCs w:val="22"/>
        </w:rPr>
        <w:t xml:space="preserve">As per the terms of the RFP, the Commission shall allow return on equity, as per the Tariff Regulations, to TPNODL on the equity capital of </w:t>
      </w:r>
      <w:r w:rsidR="001A2772" w:rsidRPr="00153204">
        <w:rPr>
          <w:rFonts w:asciiTheme="minorHAnsi" w:hAnsiTheme="minorHAnsi" w:cstheme="minorHAnsi"/>
          <w:b/>
          <w:i/>
          <w:sz w:val="22"/>
          <w:szCs w:val="22"/>
        </w:rPr>
        <w:t>Rs.</w:t>
      </w:r>
      <w:r w:rsidR="00530F0D" w:rsidRPr="00153204">
        <w:rPr>
          <w:rFonts w:asciiTheme="minorHAnsi" w:hAnsiTheme="minorHAnsi" w:cstheme="minorHAnsi"/>
          <w:b/>
          <w:i/>
          <w:sz w:val="22"/>
          <w:szCs w:val="22"/>
        </w:rPr>
        <w:t xml:space="preserve"> 250 crores (Indian Rupee Two hundred and fifty crores) only which was the reserve price of the utility of NESCO. </w:t>
      </w:r>
    </w:p>
    <w:p w14:paraId="50BB642E" w14:textId="646AB8F9" w:rsidR="00C627B1" w:rsidRPr="00153204" w:rsidRDefault="00C627B1" w:rsidP="002334A3">
      <w:pPr>
        <w:tabs>
          <w:tab w:val="left" w:pos="1084"/>
        </w:tabs>
        <w:spacing w:line="360" w:lineRule="auto"/>
        <w:ind w:left="567"/>
        <w:jc w:val="both"/>
        <w:rPr>
          <w:rFonts w:asciiTheme="minorHAnsi" w:hAnsiTheme="minorHAnsi" w:cstheme="minorHAnsi"/>
          <w:i/>
          <w:sz w:val="22"/>
          <w:szCs w:val="22"/>
        </w:rPr>
      </w:pPr>
    </w:p>
    <w:p w14:paraId="4A3965A8" w14:textId="40D1A584" w:rsidR="00C627B1" w:rsidRPr="00153204" w:rsidRDefault="00C627B1" w:rsidP="002334A3">
      <w:pPr>
        <w:tabs>
          <w:tab w:val="left" w:pos="1084"/>
        </w:tabs>
        <w:spacing w:line="360" w:lineRule="auto"/>
        <w:ind w:left="567"/>
        <w:jc w:val="both"/>
        <w:rPr>
          <w:rFonts w:asciiTheme="minorHAnsi" w:hAnsiTheme="minorHAnsi" w:cstheme="minorHAnsi"/>
          <w:sz w:val="22"/>
          <w:szCs w:val="22"/>
        </w:rPr>
      </w:pPr>
      <w:r w:rsidRPr="00153204">
        <w:rPr>
          <w:rFonts w:asciiTheme="minorHAnsi" w:hAnsiTheme="minorHAnsi" w:cstheme="minorHAnsi"/>
          <w:sz w:val="22"/>
          <w:szCs w:val="22"/>
        </w:rPr>
        <w:t>Further, the Tariff Regulation</w:t>
      </w:r>
      <w:r w:rsidR="004F0C0E" w:rsidRPr="00153204">
        <w:rPr>
          <w:rFonts w:asciiTheme="minorHAnsi" w:hAnsiTheme="minorHAnsi" w:cstheme="minorHAnsi"/>
          <w:sz w:val="22"/>
          <w:szCs w:val="22"/>
        </w:rPr>
        <w:t>, 2022</w:t>
      </w:r>
      <w:r w:rsidRPr="00153204">
        <w:rPr>
          <w:rFonts w:asciiTheme="minorHAnsi" w:hAnsiTheme="minorHAnsi" w:cstheme="minorHAnsi"/>
          <w:sz w:val="22"/>
          <w:szCs w:val="22"/>
        </w:rPr>
        <w:t xml:space="preserve"> provides the following </w:t>
      </w:r>
    </w:p>
    <w:p w14:paraId="745ED083" w14:textId="556AA771" w:rsidR="00C627B1" w:rsidRPr="00153204" w:rsidRDefault="003A5B6F" w:rsidP="007D3E57">
      <w:pPr>
        <w:widowControl w:val="0"/>
        <w:tabs>
          <w:tab w:val="left" w:pos="931"/>
        </w:tabs>
        <w:autoSpaceDE w:val="0"/>
        <w:autoSpaceDN w:val="0"/>
        <w:spacing w:before="62"/>
        <w:ind w:left="1276"/>
        <w:jc w:val="both"/>
        <w:outlineLvl w:val="1"/>
        <w:rPr>
          <w:rFonts w:asciiTheme="minorHAnsi" w:hAnsiTheme="minorHAnsi" w:cstheme="minorHAnsi"/>
          <w:b/>
          <w:bCs/>
          <w:sz w:val="22"/>
          <w:szCs w:val="22"/>
        </w:rPr>
      </w:pPr>
      <w:r w:rsidRPr="00153204">
        <w:rPr>
          <w:rFonts w:asciiTheme="minorHAnsi" w:hAnsiTheme="minorHAnsi" w:cstheme="minorHAnsi"/>
          <w:b/>
          <w:bCs/>
          <w:sz w:val="22"/>
          <w:szCs w:val="22"/>
        </w:rPr>
        <w:lastRenderedPageBreak/>
        <w:t xml:space="preserve">“ 3.2. </w:t>
      </w:r>
      <w:r w:rsidR="00C627B1" w:rsidRPr="00153204">
        <w:rPr>
          <w:rFonts w:asciiTheme="minorHAnsi" w:hAnsiTheme="minorHAnsi" w:cstheme="minorHAnsi"/>
          <w:b/>
          <w:bCs/>
          <w:sz w:val="22"/>
          <w:szCs w:val="22"/>
        </w:rPr>
        <w:t>Return</w:t>
      </w:r>
      <w:r w:rsidR="00C627B1" w:rsidRPr="00153204">
        <w:rPr>
          <w:rFonts w:asciiTheme="minorHAnsi" w:hAnsiTheme="minorHAnsi" w:cstheme="minorHAnsi"/>
          <w:b/>
          <w:bCs/>
          <w:spacing w:val="-2"/>
          <w:sz w:val="22"/>
          <w:szCs w:val="22"/>
        </w:rPr>
        <w:t xml:space="preserve"> </w:t>
      </w:r>
      <w:r w:rsidR="00C627B1" w:rsidRPr="00153204">
        <w:rPr>
          <w:rFonts w:asciiTheme="minorHAnsi" w:hAnsiTheme="minorHAnsi" w:cstheme="minorHAnsi"/>
          <w:b/>
          <w:bCs/>
          <w:sz w:val="22"/>
          <w:szCs w:val="22"/>
        </w:rPr>
        <w:t>on</w:t>
      </w:r>
      <w:r w:rsidR="00C627B1" w:rsidRPr="00153204">
        <w:rPr>
          <w:rFonts w:asciiTheme="minorHAnsi" w:hAnsiTheme="minorHAnsi" w:cstheme="minorHAnsi"/>
          <w:b/>
          <w:bCs/>
          <w:spacing w:val="-6"/>
          <w:sz w:val="22"/>
          <w:szCs w:val="22"/>
        </w:rPr>
        <w:t xml:space="preserve"> </w:t>
      </w:r>
      <w:r w:rsidR="00C627B1" w:rsidRPr="00153204">
        <w:rPr>
          <w:rFonts w:asciiTheme="minorHAnsi" w:hAnsiTheme="minorHAnsi" w:cstheme="minorHAnsi"/>
          <w:b/>
          <w:bCs/>
          <w:sz w:val="22"/>
          <w:szCs w:val="22"/>
        </w:rPr>
        <w:t>Equity</w:t>
      </w:r>
    </w:p>
    <w:p w14:paraId="74723370" w14:textId="284C0CA5" w:rsidR="00C627B1" w:rsidRPr="00153204" w:rsidRDefault="00C627B1" w:rsidP="00AB536C">
      <w:pPr>
        <w:widowControl w:val="0"/>
        <w:numPr>
          <w:ilvl w:val="2"/>
          <w:numId w:val="12"/>
        </w:numPr>
        <w:tabs>
          <w:tab w:val="left" w:pos="1276"/>
        </w:tabs>
        <w:autoSpaceDE w:val="0"/>
        <w:autoSpaceDN w:val="0"/>
        <w:spacing w:before="157" w:line="295" w:lineRule="auto"/>
        <w:ind w:left="1276" w:right="228" w:firstLine="0"/>
        <w:jc w:val="both"/>
        <w:rPr>
          <w:rFonts w:asciiTheme="minorHAnsi" w:hAnsiTheme="minorHAnsi" w:cstheme="minorHAnsi"/>
          <w:i/>
          <w:sz w:val="22"/>
          <w:szCs w:val="22"/>
        </w:rPr>
      </w:pPr>
      <w:r w:rsidRPr="00153204">
        <w:rPr>
          <w:rFonts w:asciiTheme="minorHAnsi" w:hAnsiTheme="minorHAnsi" w:cstheme="minorHAnsi"/>
          <w:i/>
          <w:sz w:val="22"/>
          <w:szCs w:val="22"/>
        </w:rPr>
        <w:t>Return on equity on approved reserve price (INR 300 Crore for TPCODL, INR 300</w:t>
      </w:r>
      <w:r w:rsidRPr="00153204">
        <w:rPr>
          <w:rFonts w:asciiTheme="minorHAnsi" w:hAnsiTheme="minorHAnsi" w:cstheme="minorHAnsi"/>
          <w:i/>
          <w:spacing w:val="1"/>
          <w:sz w:val="22"/>
          <w:szCs w:val="22"/>
        </w:rPr>
        <w:t xml:space="preserve"> </w:t>
      </w:r>
      <w:r w:rsidRPr="00153204">
        <w:rPr>
          <w:rFonts w:asciiTheme="minorHAnsi" w:hAnsiTheme="minorHAnsi" w:cstheme="minorHAnsi"/>
          <w:i/>
          <w:sz w:val="22"/>
          <w:szCs w:val="22"/>
        </w:rPr>
        <w:t>Crore for TPWODL, INR 250 Crore for TPNODL and INR 200 Crore for TPSODL)</w:t>
      </w:r>
      <w:r w:rsidRPr="00153204">
        <w:rPr>
          <w:rFonts w:asciiTheme="minorHAnsi" w:hAnsiTheme="minorHAnsi" w:cstheme="minorHAnsi"/>
          <w:i/>
          <w:spacing w:val="1"/>
          <w:sz w:val="22"/>
          <w:szCs w:val="22"/>
        </w:rPr>
        <w:t xml:space="preserve"> </w:t>
      </w:r>
      <w:r w:rsidRPr="00153204">
        <w:rPr>
          <w:rFonts w:asciiTheme="minorHAnsi" w:hAnsiTheme="minorHAnsi" w:cstheme="minorHAnsi"/>
          <w:i/>
          <w:sz w:val="22"/>
          <w:szCs w:val="22"/>
        </w:rPr>
        <w:t>for</w:t>
      </w:r>
      <w:r w:rsidRPr="00153204">
        <w:rPr>
          <w:rFonts w:asciiTheme="minorHAnsi" w:hAnsiTheme="minorHAnsi" w:cstheme="minorHAnsi"/>
          <w:i/>
          <w:spacing w:val="1"/>
          <w:sz w:val="22"/>
          <w:szCs w:val="22"/>
        </w:rPr>
        <w:t xml:space="preserve"> </w:t>
      </w:r>
      <w:r w:rsidRPr="00153204">
        <w:rPr>
          <w:rFonts w:asciiTheme="minorHAnsi" w:hAnsiTheme="minorHAnsi" w:cstheme="minorHAnsi"/>
          <w:i/>
          <w:sz w:val="22"/>
          <w:szCs w:val="22"/>
        </w:rPr>
        <w:t>the</w:t>
      </w:r>
      <w:r w:rsidRPr="00153204">
        <w:rPr>
          <w:rFonts w:asciiTheme="minorHAnsi" w:hAnsiTheme="minorHAnsi" w:cstheme="minorHAnsi"/>
          <w:i/>
          <w:spacing w:val="1"/>
          <w:sz w:val="22"/>
          <w:szCs w:val="22"/>
        </w:rPr>
        <w:t xml:space="preserve"> </w:t>
      </w:r>
      <w:r w:rsidRPr="00153204">
        <w:rPr>
          <w:rFonts w:asciiTheme="minorHAnsi" w:hAnsiTheme="minorHAnsi" w:cstheme="minorHAnsi"/>
          <w:i/>
          <w:sz w:val="22"/>
          <w:szCs w:val="22"/>
        </w:rPr>
        <w:t>utilities</w:t>
      </w:r>
      <w:r w:rsidRPr="00153204">
        <w:rPr>
          <w:rFonts w:asciiTheme="minorHAnsi" w:hAnsiTheme="minorHAnsi" w:cstheme="minorHAnsi"/>
          <w:i/>
          <w:spacing w:val="1"/>
          <w:sz w:val="22"/>
          <w:szCs w:val="22"/>
        </w:rPr>
        <w:t xml:space="preserve"> </w:t>
      </w:r>
      <w:r w:rsidRPr="00153204">
        <w:rPr>
          <w:rFonts w:asciiTheme="minorHAnsi" w:hAnsiTheme="minorHAnsi" w:cstheme="minorHAnsi"/>
          <w:i/>
          <w:sz w:val="22"/>
          <w:szCs w:val="22"/>
        </w:rPr>
        <w:t>(TPCODL,</w:t>
      </w:r>
      <w:r w:rsidRPr="00153204">
        <w:rPr>
          <w:rFonts w:asciiTheme="minorHAnsi" w:hAnsiTheme="minorHAnsi" w:cstheme="minorHAnsi"/>
          <w:i/>
          <w:spacing w:val="1"/>
          <w:sz w:val="22"/>
          <w:szCs w:val="22"/>
        </w:rPr>
        <w:t xml:space="preserve"> </w:t>
      </w:r>
      <w:r w:rsidRPr="00153204">
        <w:rPr>
          <w:rFonts w:asciiTheme="minorHAnsi" w:hAnsiTheme="minorHAnsi" w:cstheme="minorHAnsi"/>
          <w:i/>
          <w:sz w:val="22"/>
          <w:szCs w:val="22"/>
        </w:rPr>
        <w:t>TPWODL,</w:t>
      </w:r>
      <w:r w:rsidRPr="00153204">
        <w:rPr>
          <w:rFonts w:asciiTheme="minorHAnsi" w:hAnsiTheme="minorHAnsi" w:cstheme="minorHAnsi"/>
          <w:i/>
          <w:spacing w:val="1"/>
          <w:sz w:val="22"/>
          <w:szCs w:val="22"/>
        </w:rPr>
        <w:t xml:space="preserve"> </w:t>
      </w:r>
      <w:r w:rsidRPr="00153204">
        <w:rPr>
          <w:rFonts w:asciiTheme="minorHAnsi" w:hAnsiTheme="minorHAnsi" w:cstheme="minorHAnsi"/>
          <w:i/>
          <w:sz w:val="22"/>
          <w:szCs w:val="22"/>
        </w:rPr>
        <w:t>TPNODL</w:t>
      </w:r>
      <w:r w:rsidRPr="00153204">
        <w:rPr>
          <w:rFonts w:asciiTheme="minorHAnsi" w:hAnsiTheme="minorHAnsi" w:cstheme="minorHAnsi"/>
          <w:i/>
          <w:spacing w:val="1"/>
          <w:sz w:val="22"/>
          <w:szCs w:val="22"/>
        </w:rPr>
        <w:t xml:space="preserve"> </w:t>
      </w:r>
      <w:r w:rsidRPr="00153204">
        <w:rPr>
          <w:rFonts w:asciiTheme="minorHAnsi" w:hAnsiTheme="minorHAnsi" w:cstheme="minorHAnsi"/>
          <w:i/>
          <w:sz w:val="22"/>
          <w:szCs w:val="22"/>
        </w:rPr>
        <w:t>&amp;</w:t>
      </w:r>
      <w:r w:rsidRPr="00153204">
        <w:rPr>
          <w:rFonts w:asciiTheme="minorHAnsi" w:hAnsiTheme="minorHAnsi" w:cstheme="minorHAnsi"/>
          <w:i/>
          <w:spacing w:val="1"/>
          <w:sz w:val="22"/>
          <w:szCs w:val="22"/>
        </w:rPr>
        <w:t xml:space="preserve"> </w:t>
      </w:r>
      <w:r w:rsidRPr="00153204">
        <w:rPr>
          <w:rFonts w:asciiTheme="minorHAnsi" w:hAnsiTheme="minorHAnsi" w:cstheme="minorHAnsi"/>
          <w:i/>
          <w:sz w:val="22"/>
          <w:szCs w:val="22"/>
        </w:rPr>
        <w:t>TPSODL)</w:t>
      </w:r>
      <w:r w:rsidRPr="00153204">
        <w:rPr>
          <w:rFonts w:asciiTheme="minorHAnsi" w:hAnsiTheme="minorHAnsi" w:cstheme="minorHAnsi"/>
          <w:i/>
          <w:spacing w:val="1"/>
          <w:sz w:val="22"/>
          <w:szCs w:val="22"/>
        </w:rPr>
        <w:t xml:space="preserve"> </w:t>
      </w:r>
      <w:r w:rsidRPr="00153204">
        <w:rPr>
          <w:rFonts w:asciiTheme="minorHAnsi" w:hAnsiTheme="minorHAnsi" w:cstheme="minorHAnsi"/>
          <w:i/>
          <w:sz w:val="22"/>
          <w:szCs w:val="22"/>
        </w:rPr>
        <w:t>of</w:t>
      </w:r>
      <w:r w:rsidRPr="00153204">
        <w:rPr>
          <w:rFonts w:asciiTheme="minorHAnsi" w:hAnsiTheme="minorHAnsi" w:cstheme="minorHAnsi"/>
          <w:i/>
          <w:spacing w:val="1"/>
          <w:sz w:val="22"/>
          <w:szCs w:val="22"/>
        </w:rPr>
        <w:t xml:space="preserve"> </w:t>
      </w:r>
      <w:r w:rsidRPr="00153204">
        <w:rPr>
          <w:rFonts w:asciiTheme="minorHAnsi" w:hAnsiTheme="minorHAnsi" w:cstheme="minorHAnsi"/>
          <w:i/>
          <w:sz w:val="22"/>
          <w:szCs w:val="22"/>
        </w:rPr>
        <w:t>the</w:t>
      </w:r>
      <w:r w:rsidRPr="00153204">
        <w:rPr>
          <w:rFonts w:asciiTheme="minorHAnsi" w:hAnsiTheme="minorHAnsi" w:cstheme="minorHAnsi"/>
          <w:i/>
          <w:spacing w:val="1"/>
          <w:sz w:val="22"/>
          <w:szCs w:val="22"/>
        </w:rPr>
        <w:t xml:space="preserve"> </w:t>
      </w:r>
      <w:r w:rsidRPr="00153204">
        <w:rPr>
          <w:rFonts w:asciiTheme="minorHAnsi" w:hAnsiTheme="minorHAnsi" w:cstheme="minorHAnsi"/>
          <w:i/>
          <w:sz w:val="22"/>
          <w:szCs w:val="22"/>
        </w:rPr>
        <w:t>erstwhile</w:t>
      </w:r>
      <w:r w:rsidRPr="00153204">
        <w:rPr>
          <w:rFonts w:asciiTheme="minorHAnsi" w:hAnsiTheme="minorHAnsi" w:cstheme="minorHAnsi"/>
          <w:i/>
          <w:spacing w:val="1"/>
          <w:sz w:val="22"/>
          <w:szCs w:val="22"/>
        </w:rPr>
        <w:t xml:space="preserve"> </w:t>
      </w:r>
      <w:r w:rsidRPr="00153204">
        <w:rPr>
          <w:rFonts w:asciiTheme="minorHAnsi" w:hAnsiTheme="minorHAnsi" w:cstheme="minorHAnsi"/>
          <w:i/>
          <w:sz w:val="22"/>
          <w:szCs w:val="22"/>
        </w:rPr>
        <w:t>Distribution</w:t>
      </w:r>
      <w:r w:rsidRPr="00153204">
        <w:rPr>
          <w:rFonts w:asciiTheme="minorHAnsi" w:hAnsiTheme="minorHAnsi" w:cstheme="minorHAnsi"/>
          <w:i/>
          <w:spacing w:val="-6"/>
          <w:sz w:val="22"/>
          <w:szCs w:val="22"/>
        </w:rPr>
        <w:t xml:space="preserve"> </w:t>
      </w:r>
      <w:r w:rsidRPr="00153204">
        <w:rPr>
          <w:rFonts w:asciiTheme="minorHAnsi" w:hAnsiTheme="minorHAnsi" w:cstheme="minorHAnsi"/>
          <w:i/>
          <w:sz w:val="22"/>
          <w:szCs w:val="22"/>
        </w:rPr>
        <w:t>utilities</w:t>
      </w:r>
      <w:r w:rsidRPr="00153204">
        <w:rPr>
          <w:rFonts w:asciiTheme="minorHAnsi" w:hAnsiTheme="minorHAnsi" w:cstheme="minorHAnsi"/>
          <w:i/>
          <w:spacing w:val="-2"/>
          <w:sz w:val="22"/>
          <w:szCs w:val="22"/>
        </w:rPr>
        <w:t xml:space="preserve"> </w:t>
      </w:r>
      <w:r w:rsidRPr="00153204">
        <w:rPr>
          <w:rFonts w:asciiTheme="minorHAnsi" w:hAnsiTheme="minorHAnsi" w:cstheme="minorHAnsi"/>
          <w:i/>
          <w:sz w:val="22"/>
          <w:szCs w:val="22"/>
        </w:rPr>
        <w:t>as</w:t>
      </w:r>
      <w:r w:rsidRPr="00153204">
        <w:rPr>
          <w:rFonts w:asciiTheme="minorHAnsi" w:hAnsiTheme="minorHAnsi" w:cstheme="minorHAnsi"/>
          <w:i/>
          <w:spacing w:val="-1"/>
          <w:sz w:val="22"/>
          <w:szCs w:val="22"/>
        </w:rPr>
        <w:t xml:space="preserve"> </w:t>
      </w:r>
      <w:r w:rsidRPr="00153204">
        <w:rPr>
          <w:rFonts w:asciiTheme="minorHAnsi" w:hAnsiTheme="minorHAnsi" w:cstheme="minorHAnsi"/>
          <w:i/>
          <w:sz w:val="22"/>
          <w:szCs w:val="22"/>
        </w:rPr>
        <w:t>on</w:t>
      </w:r>
      <w:r w:rsidRPr="00153204">
        <w:rPr>
          <w:rFonts w:asciiTheme="minorHAnsi" w:hAnsiTheme="minorHAnsi" w:cstheme="minorHAnsi"/>
          <w:i/>
          <w:spacing w:val="-5"/>
          <w:sz w:val="22"/>
          <w:szCs w:val="22"/>
        </w:rPr>
        <w:t xml:space="preserve"> </w:t>
      </w:r>
      <w:r w:rsidRPr="00153204">
        <w:rPr>
          <w:rFonts w:asciiTheme="minorHAnsi" w:hAnsiTheme="minorHAnsi" w:cstheme="minorHAnsi"/>
          <w:i/>
          <w:sz w:val="22"/>
          <w:szCs w:val="22"/>
        </w:rPr>
        <w:t>effective date</w:t>
      </w:r>
      <w:r w:rsidRPr="00153204">
        <w:rPr>
          <w:rFonts w:asciiTheme="minorHAnsi" w:hAnsiTheme="minorHAnsi" w:cstheme="minorHAnsi"/>
          <w:i/>
          <w:spacing w:val="-1"/>
          <w:sz w:val="22"/>
          <w:szCs w:val="22"/>
        </w:rPr>
        <w:t xml:space="preserve"> </w:t>
      </w:r>
      <w:r w:rsidRPr="00153204">
        <w:rPr>
          <w:rFonts w:asciiTheme="minorHAnsi" w:hAnsiTheme="minorHAnsi" w:cstheme="minorHAnsi"/>
          <w:i/>
          <w:sz w:val="22"/>
          <w:szCs w:val="22"/>
        </w:rPr>
        <w:t>in</w:t>
      </w:r>
      <w:r w:rsidRPr="00153204">
        <w:rPr>
          <w:rFonts w:asciiTheme="minorHAnsi" w:hAnsiTheme="minorHAnsi" w:cstheme="minorHAnsi"/>
          <w:i/>
          <w:spacing w:val="-4"/>
          <w:sz w:val="22"/>
          <w:szCs w:val="22"/>
        </w:rPr>
        <w:t xml:space="preserve"> </w:t>
      </w:r>
      <w:r w:rsidRPr="00153204">
        <w:rPr>
          <w:rFonts w:asciiTheme="minorHAnsi" w:hAnsiTheme="minorHAnsi" w:cstheme="minorHAnsi"/>
          <w:i/>
          <w:sz w:val="22"/>
          <w:szCs w:val="22"/>
        </w:rPr>
        <w:t>terms</w:t>
      </w:r>
      <w:r w:rsidRPr="00153204">
        <w:rPr>
          <w:rFonts w:asciiTheme="minorHAnsi" w:hAnsiTheme="minorHAnsi" w:cstheme="minorHAnsi"/>
          <w:i/>
          <w:spacing w:val="-2"/>
          <w:sz w:val="22"/>
          <w:szCs w:val="22"/>
        </w:rPr>
        <w:t xml:space="preserve"> </w:t>
      </w:r>
      <w:r w:rsidRPr="00153204">
        <w:rPr>
          <w:rFonts w:asciiTheme="minorHAnsi" w:hAnsiTheme="minorHAnsi" w:cstheme="minorHAnsi"/>
          <w:i/>
          <w:sz w:val="22"/>
          <w:szCs w:val="22"/>
        </w:rPr>
        <w:t>of</w:t>
      </w:r>
      <w:r w:rsidRPr="00153204">
        <w:rPr>
          <w:rFonts w:asciiTheme="minorHAnsi" w:hAnsiTheme="minorHAnsi" w:cstheme="minorHAnsi"/>
          <w:i/>
          <w:spacing w:val="-7"/>
          <w:sz w:val="22"/>
          <w:szCs w:val="22"/>
        </w:rPr>
        <w:t xml:space="preserve"> </w:t>
      </w:r>
      <w:r w:rsidRPr="00153204">
        <w:rPr>
          <w:rFonts w:asciiTheme="minorHAnsi" w:hAnsiTheme="minorHAnsi" w:cstheme="minorHAnsi"/>
          <w:i/>
          <w:sz w:val="22"/>
          <w:szCs w:val="22"/>
        </w:rPr>
        <w:t>the</w:t>
      </w:r>
      <w:r w:rsidRPr="00153204">
        <w:rPr>
          <w:rFonts w:asciiTheme="minorHAnsi" w:hAnsiTheme="minorHAnsi" w:cstheme="minorHAnsi"/>
          <w:i/>
          <w:spacing w:val="-1"/>
          <w:sz w:val="22"/>
          <w:szCs w:val="22"/>
        </w:rPr>
        <w:t xml:space="preserve"> </w:t>
      </w:r>
      <w:r w:rsidRPr="00153204">
        <w:rPr>
          <w:rFonts w:asciiTheme="minorHAnsi" w:hAnsiTheme="minorHAnsi" w:cstheme="minorHAnsi"/>
          <w:i/>
          <w:sz w:val="22"/>
          <w:szCs w:val="22"/>
        </w:rPr>
        <w:t>provisions</w:t>
      </w:r>
      <w:r w:rsidRPr="00153204">
        <w:rPr>
          <w:rFonts w:asciiTheme="minorHAnsi" w:hAnsiTheme="minorHAnsi" w:cstheme="minorHAnsi"/>
          <w:i/>
          <w:spacing w:val="-1"/>
          <w:sz w:val="22"/>
          <w:szCs w:val="22"/>
        </w:rPr>
        <w:t xml:space="preserve"> </w:t>
      </w:r>
      <w:r w:rsidRPr="00153204">
        <w:rPr>
          <w:rFonts w:asciiTheme="minorHAnsi" w:hAnsiTheme="minorHAnsi" w:cstheme="minorHAnsi"/>
          <w:i/>
          <w:sz w:val="22"/>
          <w:szCs w:val="22"/>
        </w:rPr>
        <w:t>of</w:t>
      </w:r>
      <w:r w:rsidRPr="00153204">
        <w:rPr>
          <w:rFonts w:asciiTheme="minorHAnsi" w:hAnsiTheme="minorHAnsi" w:cstheme="minorHAnsi"/>
          <w:i/>
          <w:spacing w:val="-8"/>
          <w:sz w:val="22"/>
          <w:szCs w:val="22"/>
        </w:rPr>
        <w:t xml:space="preserve"> </w:t>
      </w:r>
      <w:r w:rsidRPr="00153204">
        <w:rPr>
          <w:rFonts w:asciiTheme="minorHAnsi" w:hAnsiTheme="minorHAnsi" w:cstheme="minorHAnsi"/>
          <w:i/>
          <w:sz w:val="22"/>
          <w:szCs w:val="22"/>
        </w:rPr>
        <w:t>Vesting</w:t>
      </w:r>
      <w:r w:rsidRPr="00153204">
        <w:rPr>
          <w:rFonts w:asciiTheme="minorHAnsi" w:hAnsiTheme="minorHAnsi" w:cstheme="minorHAnsi"/>
          <w:i/>
          <w:spacing w:val="1"/>
          <w:sz w:val="22"/>
          <w:szCs w:val="22"/>
        </w:rPr>
        <w:t xml:space="preserve"> </w:t>
      </w:r>
      <w:r w:rsidRPr="00153204">
        <w:rPr>
          <w:rFonts w:asciiTheme="minorHAnsi" w:hAnsiTheme="minorHAnsi" w:cstheme="minorHAnsi"/>
          <w:i/>
          <w:sz w:val="22"/>
          <w:szCs w:val="22"/>
        </w:rPr>
        <w:t>Orders:</w:t>
      </w:r>
    </w:p>
    <w:p w14:paraId="088DF062" w14:textId="77777777" w:rsidR="00995DAA" w:rsidRPr="00153204" w:rsidRDefault="00995DAA" w:rsidP="007D3E57">
      <w:pPr>
        <w:widowControl w:val="0"/>
        <w:tabs>
          <w:tab w:val="left" w:pos="1276"/>
        </w:tabs>
        <w:autoSpaceDE w:val="0"/>
        <w:autoSpaceDN w:val="0"/>
        <w:spacing w:before="157" w:line="295" w:lineRule="auto"/>
        <w:ind w:left="1276" w:right="228"/>
        <w:jc w:val="both"/>
        <w:rPr>
          <w:rFonts w:asciiTheme="minorHAnsi" w:hAnsiTheme="minorHAnsi" w:cstheme="minorHAnsi"/>
          <w:i/>
          <w:sz w:val="22"/>
          <w:szCs w:val="22"/>
        </w:rPr>
      </w:pPr>
    </w:p>
    <w:p w14:paraId="5C2C47A5" w14:textId="5EBD5F1D" w:rsidR="00C627B1" w:rsidRPr="00153204" w:rsidRDefault="00C627B1" w:rsidP="007D3E57">
      <w:pPr>
        <w:widowControl w:val="0"/>
        <w:tabs>
          <w:tab w:val="left" w:pos="1276"/>
        </w:tabs>
        <w:autoSpaceDE w:val="0"/>
        <w:autoSpaceDN w:val="0"/>
        <w:spacing w:before="101" w:line="295" w:lineRule="auto"/>
        <w:ind w:left="1276" w:right="226"/>
        <w:jc w:val="both"/>
        <w:rPr>
          <w:rFonts w:asciiTheme="minorHAnsi" w:hAnsiTheme="minorHAnsi" w:cstheme="minorHAnsi"/>
          <w:i/>
          <w:sz w:val="22"/>
          <w:szCs w:val="22"/>
        </w:rPr>
      </w:pPr>
      <w:r w:rsidRPr="00153204">
        <w:rPr>
          <w:rFonts w:asciiTheme="minorHAnsi" w:hAnsiTheme="minorHAnsi" w:cstheme="minorHAnsi"/>
          <w:i/>
          <w:sz w:val="22"/>
          <w:szCs w:val="22"/>
        </w:rPr>
        <w:t>Return on equity shall be allowed on the approved reserve price of the utility from the</w:t>
      </w:r>
      <w:r w:rsidRPr="00153204">
        <w:rPr>
          <w:rFonts w:asciiTheme="minorHAnsi" w:hAnsiTheme="minorHAnsi" w:cstheme="minorHAnsi"/>
          <w:i/>
          <w:spacing w:val="1"/>
          <w:sz w:val="22"/>
          <w:szCs w:val="22"/>
        </w:rPr>
        <w:t xml:space="preserve"> </w:t>
      </w:r>
      <w:r w:rsidRPr="00153204">
        <w:rPr>
          <w:rFonts w:asciiTheme="minorHAnsi" w:hAnsiTheme="minorHAnsi" w:cstheme="minorHAnsi"/>
          <w:i/>
          <w:sz w:val="22"/>
          <w:szCs w:val="22"/>
        </w:rPr>
        <w:t>effective date of operation at the rate of 16% per annum (post tax), in Indian Rupee</w:t>
      </w:r>
      <w:r w:rsidRPr="00153204">
        <w:rPr>
          <w:rFonts w:asciiTheme="minorHAnsi" w:hAnsiTheme="minorHAnsi" w:cstheme="minorHAnsi"/>
          <w:i/>
          <w:spacing w:val="1"/>
          <w:sz w:val="22"/>
          <w:szCs w:val="22"/>
        </w:rPr>
        <w:t xml:space="preserve"> </w:t>
      </w:r>
      <w:r w:rsidRPr="00153204">
        <w:rPr>
          <w:rFonts w:asciiTheme="minorHAnsi" w:hAnsiTheme="minorHAnsi" w:cstheme="minorHAnsi"/>
          <w:i/>
          <w:sz w:val="22"/>
          <w:szCs w:val="22"/>
        </w:rPr>
        <w:t>terms</w:t>
      </w:r>
      <w:r w:rsidRPr="00153204">
        <w:rPr>
          <w:rFonts w:asciiTheme="minorHAnsi" w:hAnsiTheme="minorHAnsi" w:cstheme="minorHAnsi"/>
          <w:i/>
          <w:spacing w:val="-1"/>
          <w:sz w:val="22"/>
          <w:szCs w:val="22"/>
        </w:rPr>
        <w:t xml:space="preserve"> </w:t>
      </w:r>
      <w:r w:rsidRPr="00153204">
        <w:rPr>
          <w:rFonts w:asciiTheme="minorHAnsi" w:hAnsiTheme="minorHAnsi" w:cstheme="minorHAnsi"/>
          <w:i/>
          <w:sz w:val="22"/>
          <w:szCs w:val="22"/>
        </w:rPr>
        <w:t>on</w:t>
      </w:r>
      <w:r w:rsidRPr="00153204">
        <w:rPr>
          <w:rFonts w:asciiTheme="minorHAnsi" w:hAnsiTheme="minorHAnsi" w:cstheme="minorHAnsi"/>
          <w:i/>
          <w:spacing w:val="-3"/>
          <w:sz w:val="22"/>
          <w:szCs w:val="22"/>
        </w:rPr>
        <w:t xml:space="preserve"> </w:t>
      </w:r>
      <w:r w:rsidRPr="00153204">
        <w:rPr>
          <w:rFonts w:asciiTheme="minorHAnsi" w:hAnsiTheme="minorHAnsi" w:cstheme="minorHAnsi"/>
          <w:i/>
          <w:sz w:val="22"/>
          <w:szCs w:val="22"/>
        </w:rPr>
        <w:t>pro-rata</w:t>
      </w:r>
      <w:r w:rsidRPr="00153204">
        <w:rPr>
          <w:rFonts w:asciiTheme="minorHAnsi" w:hAnsiTheme="minorHAnsi" w:cstheme="minorHAnsi"/>
          <w:i/>
          <w:spacing w:val="1"/>
          <w:sz w:val="22"/>
          <w:szCs w:val="22"/>
        </w:rPr>
        <w:t xml:space="preserve"> </w:t>
      </w:r>
      <w:r w:rsidRPr="00153204">
        <w:rPr>
          <w:rFonts w:asciiTheme="minorHAnsi" w:hAnsiTheme="minorHAnsi" w:cstheme="minorHAnsi"/>
          <w:i/>
          <w:sz w:val="22"/>
          <w:szCs w:val="22"/>
        </w:rPr>
        <w:t>basis</w:t>
      </w:r>
      <w:r w:rsidRPr="00153204">
        <w:rPr>
          <w:rFonts w:asciiTheme="minorHAnsi" w:hAnsiTheme="minorHAnsi" w:cstheme="minorHAnsi"/>
          <w:i/>
          <w:spacing w:val="-1"/>
          <w:sz w:val="22"/>
          <w:szCs w:val="22"/>
        </w:rPr>
        <w:t xml:space="preserve"> </w:t>
      </w:r>
      <w:r w:rsidRPr="00153204">
        <w:rPr>
          <w:rFonts w:asciiTheme="minorHAnsi" w:hAnsiTheme="minorHAnsi" w:cstheme="minorHAnsi"/>
          <w:i/>
          <w:sz w:val="22"/>
          <w:szCs w:val="22"/>
        </w:rPr>
        <w:t>as per</w:t>
      </w:r>
      <w:r w:rsidRPr="00153204">
        <w:rPr>
          <w:rFonts w:asciiTheme="minorHAnsi" w:hAnsiTheme="minorHAnsi" w:cstheme="minorHAnsi"/>
          <w:i/>
          <w:spacing w:val="4"/>
          <w:sz w:val="22"/>
          <w:szCs w:val="22"/>
        </w:rPr>
        <w:t xml:space="preserve"> </w:t>
      </w:r>
      <w:r w:rsidRPr="00153204">
        <w:rPr>
          <w:rFonts w:asciiTheme="minorHAnsi" w:hAnsiTheme="minorHAnsi" w:cstheme="minorHAnsi"/>
          <w:i/>
          <w:sz w:val="22"/>
          <w:szCs w:val="22"/>
        </w:rPr>
        <w:t>Vesting</w:t>
      </w:r>
      <w:r w:rsidRPr="00153204">
        <w:rPr>
          <w:rFonts w:asciiTheme="minorHAnsi" w:hAnsiTheme="minorHAnsi" w:cstheme="minorHAnsi"/>
          <w:i/>
          <w:spacing w:val="2"/>
          <w:sz w:val="22"/>
          <w:szCs w:val="22"/>
        </w:rPr>
        <w:t xml:space="preserve"> </w:t>
      </w:r>
      <w:r w:rsidRPr="00153204">
        <w:rPr>
          <w:rFonts w:asciiTheme="minorHAnsi" w:hAnsiTheme="minorHAnsi" w:cstheme="minorHAnsi"/>
          <w:i/>
          <w:sz w:val="22"/>
          <w:szCs w:val="22"/>
        </w:rPr>
        <w:t>Order.</w:t>
      </w:r>
    </w:p>
    <w:p w14:paraId="56A5F1D0" w14:textId="77777777" w:rsidR="00995DAA" w:rsidRPr="00153204" w:rsidRDefault="00995DAA" w:rsidP="007D3E57">
      <w:pPr>
        <w:widowControl w:val="0"/>
        <w:tabs>
          <w:tab w:val="left" w:pos="1276"/>
        </w:tabs>
        <w:autoSpaceDE w:val="0"/>
        <w:autoSpaceDN w:val="0"/>
        <w:spacing w:before="101" w:line="295" w:lineRule="auto"/>
        <w:ind w:left="1276" w:right="226"/>
        <w:jc w:val="both"/>
        <w:rPr>
          <w:rFonts w:asciiTheme="minorHAnsi" w:hAnsiTheme="minorHAnsi" w:cstheme="minorHAnsi"/>
          <w:i/>
          <w:sz w:val="22"/>
          <w:szCs w:val="22"/>
        </w:rPr>
      </w:pPr>
    </w:p>
    <w:p w14:paraId="1877FACA" w14:textId="658EA148" w:rsidR="00C627B1" w:rsidRPr="00153204" w:rsidRDefault="00336144" w:rsidP="00AB536C">
      <w:pPr>
        <w:widowControl w:val="0"/>
        <w:numPr>
          <w:ilvl w:val="2"/>
          <w:numId w:val="12"/>
        </w:numPr>
        <w:autoSpaceDE w:val="0"/>
        <w:autoSpaceDN w:val="0"/>
        <w:spacing w:before="72" w:line="280" w:lineRule="auto"/>
        <w:ind w:left="1276" w:right="225" w:firstLine="0"/>
        <w:jc w:val="both"/>
        <w:rPr>
          <w:rFonts w:asciiTheme="minorHAnsi" w:hAnsiTheme="minorHAnsi" w:cstheme="minorHAnsi"/>
          <w:b/>
          <w:i/>
          <w:sz w:val="22"/>
          <w:szCs w:val="22"/>
        </w:rPr>
      </w:pPr>
      <w:r w:rsidRPr="00153204">
        <w:rPr>
          <w:rFonts w:asciiTheme="minorHAnsi" w:hAnsiTheme="minorHAnsi" w:cstheme="minorHAnsi"/>
          <w:b/>
          <w:i/>
          <w:sz w:val="22"/>
          <w:szCs w:val="22"/>
        </w:rPr>
        <w:t>R</w:t>
      </w:r>
      <w:r w:rsidR="00C627B1" w:rsidRPr="00153204">
        <w:rPr>
          <w:rFonts w:asciiTheme="minorHAnsi" w:hAnsiTheme="minorHAnsi" w:cstheme="minorHAnsi"/>
          <w:b/>
          <w:i/>
          <w:sz w:val="22"/>
          <w:szCs w:val="22"/>
        </w:rPr>
        <w:t>eturn</w:t>
      </w:r>
      <w:r w:rsidR="00C627B1" w:rsidRPr="00153204">
        <w:rPr>
          <w:rFonts w:asciiTheme="minorHAnsi" w:hAnsiTheme="minorHAnsi" w:cstheme="minorHAnsi"/>
          <w:b/>
          <w:i/>
          <w:spacing w:val="1"/>
          <w:sz w:val="22"/>
          <w:szCs w:val="22"/>
        </w:rPr>
        <w:t xml:space="preserve"> </w:t>
      </w:r>
      <w:r w:rsidR="00C627B1" w:rsidRPr="00153204">
        <w:rPr>
          <w:rFonts w:asciiTheme="minorHAnsi" w:hAnsiTheme="minorHAnsi" w:cstheme="minorHAnsi"/>
          <w:b/>
          <w:i/>
          <w:sz w:val="22"/>
          <w:szCs w:val="22"/>
        </w:rPr>
        <w:t>on</w:t>
      </w:r>
      <w:r w:rsidR="00C627B1" w:rsidRPr="00153204">
        <w:rPr>
          <w:rFonts w:asciiTheme="minorHAnsi" w:hAnsiTheme="minorHAnsi" w:cstheme="minorHAnsi"/>
          <w:b/>
          <w:i/>
          <w:spacing w:val="1"/>
          <w:sz w:val="22"/>
          <w:szCs w:val="22"/>
        </w:rPr>
        <w:t xml:space="preserve"> </w:t>
      </w:r>
      <w:r w:rsidR="00C627B1" w:rsidRPr="00153204">
        <w:rPr>
          <w:rFonts w:asciiTheme="minorHAnsi" w:hAnsiTheme="minorHAnsi" w:cstheme="minorHAnsi"/>
          <w:b/>
          <w:i/>
          <w:sz w:val="22"/>
          <w:szCs w:val="22"/>
        </w:rPr>
        <w:t>equity</w:t>
      </w:r>
      <w:r w:rsidR="00C627B1" w:rsidRPr="00153204">
        <w:rPr>
          <w:rFonts w:asciiTheme="minorHAnsi" w:hAnsiTheme="minorHAnsi" w:cstheme="minorHAnsi"/>
          <w:b/>
          <w:i/>
          <w:spacing w:val="1"/>
          <w:sz w:val="22"/>
          <w:szCs w:val="22"/>
        </w:rPr>
        <w:t xml:space="preserve"> </w:t>
      </w:r>
      <w:r w:rsidR="00C627B1" w:rsidRPr="00153204">
        <w:rPr>
          <w:rFonts w:asciiTheme="minorHAnsi" w:hAnsiTheme="minorHAnsi" w:cstheme="minorHAnsi"/>
          <w:b/>
          <w:i/>
          <w:sz w:val="22"/>
          <w:szCs w:val="22"/>
        </w:rPr>
        <w:t>on</w:t>
      </w:r>
      <w:r w:rsidR="00C627B1" w:rsidRPr="00153204">
        <w:rPr>
          <w:rFonts w:asciiTheme="minorHAnsi" w:hAnsiTheme="minorHAnsi" w:cstheme="minorHAnsi"/>
          <w:b/>
          <w:i/>
          <w:spacing w:val="1"/>
          <w:sz w:val="22"/>
          <w:szCs w:val="22"/>
        </w:rPr>
        <w:t xml:space="preserve"> </w:t>
      </w:r>
      <w:r w:rsidR="00C627B1" w:rsidRPr="00153204">
        <w:rPr>
          <w:rFonts w:asciiTheme="minorHAnsi" w:hAnsiTheme="minorHAnsi" w:cstheme="minorHAnsi"/>
          <w:b/>
          <w:i/>
          <w:sz w:val="22"/>
          <w:szCs w:val="22"/>
        </w:rPr>
        <w:t>the</w:t>
      </w:r>
      <w:r w:rsidR="00C627B1" w:rsidRPr="00153204">
        <w:rPr>
          <w:rFonts w:asciiTheme="minorHAnsi" w:hAnsiTheme="minorHAnsi" w:cstheme="minorHAnsi"/>
          <w:b/>
          <w:i/>
          <w:spacing w:val="1"/>
          <w:sz w:val="22"/>
          <w:szCs w:val="22"/>
        </w:rPr>
        <w:t xml:space="preserve"> </w:t>
      </w:r>
      <w:r w:rsidR="00C627B1" w:rsidRPr="00153204">
        <w:rPr>
          <w:rFonts w:asciiTheme="minorHAnsi" w:hAnsiTheme="minorHAnsi" w:cstheme="minorHAnsi"/>
          <w:b/>
          <w:i/>
          <w:sz w:val="22"/>
          <w:szCs w:val="22"/>
        </w:rPr>
        <w:t>assets</w:t>
      </w:r>
      <w:r w:rsidR="00C627B1" w:rsidRPr="00153204">
        <w:rPr>
          <w:rFonts w:asciiTheme="minorHAnsi" w:hAnsiTheme="minorHAnsi" w:cstheme="minorHAnsi"/>
          <w:b/>
          <w:i/>
          <w:spacing w:val="1"/>
          <w:sz w:val="22"/>
          <w:szCs w:val="22"/>
        </w:rPr>
        <w:t xml:space="preserve"> </w:t>
      </w:r>
      <w:r w:rsidR="00C627B1" w:rsidRPr="00153204">
        <w:rPr>
          <w:rFonts w:asciiTheme="minorHAnsi" w:hAnsiTheme="minorHAnsi" w:cstheme="minorHAnsi"/>
          <w:b/>
          <w:i/>
          <w:sz w:val="22"/>
          <w:szCs w:val="22"/>
        </w:rPr>
        <w:t>put</w:t>
      </w:r>
      <w:r w:rsidR="00C627B1" w:rsidRPr="00153204">
        <w:rPr>
          <w:rFonts w:asciiTheme="minorHAnsi" w:hAnsiTheme="minorHAnsi" w:cstheme="minorHAnsi"/>
          <w:b/>
          <w:i/>
          <w:spacing w:val="1"/>
          <w:sz w:val="22"/>
          <w:szCs w:val="22"/>
        </w:rPr>
        <w:t xml:space="preserve"> </w:t>
      </w:r>
      <w:r w:rsidR="00C627B1" w:rsidRPr="00153204">
        <w:rPr>
          <w:rFonts w:asciiTheme="minorHAnsi" w:hAnsiTheme="minorHAnsi" w:cstheme="minorHAnsi"/>
          <w:b/>
          <w:i/>
          <w:sz w:val="22"/>
          <w:szCs w:val="22"/>
        </w:rPr>
        <w:t>to</w:t>
      </w:r>
      <w:r w:rsidR="00C627B1" w:rsidRPr="00153204">
        <w:rPr>
          <w:rFonts w:asciiTheme="minorHAnsi" w:hAnsiTheme="minorHAnsi" w:cstheme="minorHAnsi"/>
          <w:b/>
          <w:i/>
          <w:spacing w:val="1"/>
          <w:sz w:val="22"/>
          <w:szCs w:val="22"/>
        </w:rPr>
        <w:t xml:space="preserve"> </w:t>
      </w:r>
      <w:r w:rsidR="00C627B1" w:rsidRPr="00153204">
        <w:rPr>
          <w:rFonts w:asciiTheme="minorHAnsi" w:hAnsiTheme="minorHAnsi" w:cstheme="minorHAnsi"/>
          <w:b/>
          <w:i/>
          <w:sz w:val="22"/>
          <w:szCs w:val="22"/>
        </w:rPr>
        <w:t>use</w:t>
      </w:r>
      <w:r w:rsidR="00C627B1" w:rsidRPr="00153204">
        <w:rPr>
          <w:rFonts w:asciiTheme="minorHAnsi" w:hAnsiTheme="minorHAnsi" w:cstheme="minorHAnsi"/>
          <w:b/>
          <w:i/>
          <w:spacing w:val="1"/>
          <w:sz w:val="22"/>
          <w:szCs w:val="22"/>
        </w:rPr>
        <w:t xml:space="preserve"> </w:t>
      </w:r>
      <w:r w:rsidR="00C627B1" w:rsidRPr="00153204">
        <w:rPr>
          <w:rFonts w:asciiTheme="minorHAnsi" w:hAnsiTheme="minorHAnsi" w:cstheme="minorHAnsi"/>
          <w:b/>
          <w:i/>
          <w:sz w:val="22"/>
          <w:szCs w:val="22"/>
        </w:rPr>
        <w:t>after</w:t>
      </w:r>
      <w:r w:rsidR="00C627B1" w:rsidRPr="00153204">
        <w:rPr>
          <w:rFonts w:asciiTheme="minorHAnsi" w:hAnsiTheme="minorHAnsi" w:cstheme="minorHAnsi"/>
          <w:b/>
          <w:i/>
          <w:spacing w:val="1"/>
          <w:sz w:val="22"/>
          <w:szCs w:val="22"/>
        </w:rPr>
        <w:t xml:space="preserve"> </w:t>
      </w:r>
      <w:r w:rsidR="00C627B1" w:rsidRPr="00153204">
        <w:rPr>
          <w:rFonts w:asciiTheme="minorHAnsi" w:hAnsiTheme="minorHAnsi" w:cstheme="minorHAnsi"/>
          <w:b/>
          <w:i/>
          <w:sz w:val="22"/>
          <w:szCs w:val="22"/>
        </w:rPr>
        <w:t>Effective</w:t>
      </w:r>
      <w:r w:rsidR="00C627B1" w:rsidRPr="00153204">
        <w:rPr>
          <w:rFonts w:asciiTheme="minorHAnsi" w:hAnsiTheme="minorHAnsi" w:cstheme="minorHAnsi"/>
          <w:b/>
          <w:i/>
          <w:spacing w:val="1"/>
          <w:sz w:val="22"/>
          <w:szCs w:val="22"/>
        </w:rPr>
        <w:t xml:space="preserve"> </w:t>
      </w:r>
      <w:r w:rsidR="00C627B1" w:rsidRPr="00153204">
        <w:rPr>
          <w:rFonts w:asciiTheme="minorHAnsi" w:hAnsiTheme="minorHAnsi" w:cstheme="minorHAnsi"/>
          <w:b/>
          <w:i/>
          <w:sz w:val="22"/>
          <w:szCs w:val="22"/>
        </w:rPr>
        <w:t>Date</w:t>
      </w:r>
      <w:r w:rsidR="00C627B1" w:rsidRPr="00153204">
        <w:rPr>
          <w:rFonts w:asciiTheme="minorHAnsi" w:hAnsiTheme="minorHAnsi" w:cstheme="minorHAnsi"/>
          <w:b/>
          <w:i/>
          <w:spacing w:val="1"/>
          <w:sz w:val="22"/>
          <w:szCs w:val="22"/>
        </w:rPr>
        <w:t xml:space="preserve"> </w:t>
      </w:r>
      <w:r w:rsidR="00C627B1" w:rsidRPr="00153204">
        <w:rPr>
          <w:rFonts w:asciiTheme="minorHAnsi" w:hAnsiTheme="minorHAnsi" w:cstheme="minorHAnsi"/>
          <w:b/>
          <w:i/>
          <w:sz w:val="22"/>
          <w:szCs w:val="22"/>
        </w:rPr>
        <w:t>up</w:t>
      </w:r>
      <w:r w:rsidR="00C627B1" w:rsidRPr="00153204">
        <w:rPr>
          <w:rFonts w:asciiTheme="minorHAnsi" w:hAnsiTheme="minorHAnsi" w:cstheme="minorHAnsi"/>
          <w:b/>
          <w:i/>
          <w:spacing w:val="1"/>
          <w:sz w:val="22"/>
          <w:szCs w:val="22"/>
        </w:rPr>
        <w:t xml:space="preserve"> </w:t>
      </w:r>
      <w:r w:rsidR="00C627B1" w:rsidRPr="00153204">
        <w:rPr>
          <w:rFonts w:asciiTheme="minorHAnsi" w:hAnsiTheme="minorHAnsi" w:cstheme="minorHAnsi"/>
          <w:b/>
          <w:i/>
          <w:sz w:val="22"/>
          <w:szCs w:val="22"/>
        </w:rPr>
        <w:t>to</w:t>
      </w:r>
      <w:r w:rsidR="00C627B1" w:rsidRPr="00153204">
        <w:rPr>
          <w:rFonts w:asciiTheme="minorHAnsi" w:hAnsiTheme="minorHAnsi" w:cstheme="minorHAnsi"/>
          <w:b/>
          <w:i/>
          <w:spacing w:val="1"/>
          <w:sz w:val="22"/>
          <w:szCs w:val="22"/>
        </w:rPr>
        <w:t xml:space="preserve"> </w:t>
      </w:r>
      <w:r w:rsidR="00C627B1" w:rsidRPr="00153204">
        <w:rPr>
          <w:rFonts w:asciiTheme="minorHAnsi" w:hAnsiTheme="minorHAnsi" w:cstheme="minorHAnsi"/>
          <w:b/>
          <w:i/>
          <w:sz w:val="22"/>
          <w:szCs w:val="22"/>
        </w:rPr>
        <w:t>date</w:t>
      </w:r>
      <w:r w:rsidR="00C627B1" w:rsidRPr="00153204">
        <w:rPr>
          <w:rFonts w:asciiTheme="minorHAnsi" w:hAnsiTheme="minorHAnsi" w:cstheme="minorHAnsi"/>
          <w:b/>
          <w:i/>
          <w:spacing w:val="60"/>
          <w:sz w:val="22"/>
          <w:szCs w:val="22"/>
        </w:rPr>
        <w:t xml:space="preserve"> </w:t>
      </w:r>
      <w:r w:rsidR="00C627B1" w:rsidRPr="00153204">
        <w:rPr>
          <w:rFonts w:asciiTheme="minorHAnsi" w:hAnsiTheme="minorHAnsi" w:cstheme="minorHAnsi"/>
          <w:b/>
          <w:i/>
          <w:sz w:val="22"/>
          <w:szCs w:val="22"/>
        </w:rPr>
        <w:t>of</w:t>
      </w:r>
      <w:r w:rsidR="00C627B1" w:rsidRPr="00153204">
        <w:rPr>
          <w:rFonts w:asciiTheme="minorHAnsi" w:hAnsiTheme="minorHAnsi" w:cstheme="minorHAnsi"/>
          <w:b/>
          <w:i/>
          <w:spacing w:val="1"/>
          <w:sz w:val="22"/>
          <w:szCs w:val="22"/>
        </w:rPr>
        <w:t xml:space="preserve"> </w:t>
      </w:r>
      <w:r w:rsidR="00C627B1" w:rsidRPr="00153204">
        <w:rPr>
          <w:rFonts w:asciiTheme="minorHAnsi" w:hAnsiTheme="minorHAnsi" w:cstheme="minorHAnsi"/>
          <w:b/>
          <w:i/>
          <w:sz w:val="22"/>
          <w:szCs w:val="22"/>
        </w:rPr>
        <w:t>applicability</w:t>
      </w:r>
      <w:r w:rsidR="00C627B1" w:rsidRPr="00153204">
        <w:rPr>
          <w:rFonts w:asciiTheme="minorHAnsi" w:hAnsiTheme="minorHAnsi" w:cstheme="minorHAnsi"/>
          <w:b/>
          <w:i/>
          <w:spacing w:val="-8"/>
          <w:sz w:val="22"/>
          <w:szCs w:val="22"/>
        </w:rPr>
        <w:t xml:space="preserve"> </w:t>
      </w:r>
      <w:r w:rsidR="00C627B1" w:rsidRPr="00153204">
        <w:rPr>
          <w:rFonts w:asciiTheme="minorHAnsi" w:hAnsiTheme="minorHAnsi" w:cstheme="minorHAnsi"/>
          <w:b/>
          <w:i/>
          <w:sz w:val="22"/>
          <w:szCs w:val="22"/>
        </w:rPr>
        <w:t>of</w:t>
      </w:r>
      <w:r w:rsidR="00C627B1" w:rsidRPr="00153204">
        <w:rPr>
          <w:rFonts w:asciiTheme="minorHAnsi" w:hAnsiTheme="minorHAnsi" w:cstheme="minorHAnsi"/>
          <w:b/>
          <w:i/>
          <w:spacing w:val="-6"/>
          <w:sz w:val="22"/>
          <w:szCs w:val="22"/>
        </w:rPr>
        <w:t xml:space="preserve"> </w:t>
      </w:r>
      <w:r w:rsidR="00C627B1" w:rsidRPr="00153204">
        <w:rPr>
          <w:rFonts w:asciiTheme="minorHAnsi" w:hAnsiTheme="minorHAnsi" w:cstheme="minorHAnsi"/>
          <w:b/>
          <w:i/>
          <w:sz w:val="22"/>
          <w:szCs w:val="22"/>
        </w:rPr>
        <w:t>these</w:t>
      </w:r>
      <w:r w:rsidR="00C627B1" w:rsidRPr="00153204">
        <w:rPr>
          <w:rFonts w:asciiTheme="minorHAnsi" w:hAnsiTheme="minorHAnsi" w:cstheme="minorHAnsi"/>
          <w:b/>
          <w:i/>
          <w:spacing w:val="1"/>
          <w:sz w:val="22"/>
          <w:szCs w:val="22"/>
        </w:rPr>
        <w:t xml:space="preserve"> </w:t>
      </w:r>
      <w:r w:rsidR="00C627B1" w:rsidRPr="00153204">
        <w:rPr>
          <w:rFonts w:asciiTheme="minorHAnsi" w:hAnsiTheme="minorHAnsi" w:cstheme="minorHAnsi"/>
          <w:b/>
          <w:i/>
          <w:sz w:val="22"/>
          <w:szCs w:val="22"/>
        </w:rPr>
        <w:t>Regulations:</w:t>
      </w:r>
    </w:p>
    <w:p w14:paraId="4DDCDEA4" w14:textId="0019052D" w:rsidR="00C627B1" w:rsidRPr="00153204" w:rsidRDefault="00C627B1" w:rsidP="007D3E57">
      <w:pPr>
        <w:widowControl w:val="0"/>
        <w:autoSpaceDE w:val="0"/>
        <w:autoSpaceDN w:val="0"/>
        <w:spacing w:before="112" w:line="278" w:lineRule="auto"/>
        <w:ind w:left="1276" w:right="218"/>
        <w:jc w:val="both"/>
        <w:rPr>
          <w:rFonts w:asciiTheme="minorHAnsi" w:hAnsiTheme="minorHAnsi" w:cstheme="minorHAnsi"/>
          <w:i/>
          <w:sz w:val="22"/>
          <w:szCs w:val="22"/>
        </w:rPr>
      </w:pPr>
      <w:r w:rsidRPr="00153204">
        <w:rPr>
          <w:rFonts w:asciiTheme="minorHAnsi" w:hAnsiTheme="minorHAnsi" w:cstheme="minorHAnsi"/>
          <w:i/>
          <w:sz w:val="22"/>
          <w:szCs w:val="22"/>
        </w:rPr>
        <w:t>Return on equity on assets put to use after Effective Date up to date of applicability of</w:t>
      </w:r>
      <w:r w:rsidRPr="00153204">
        <w:rPr>
          <w:rFonts w:asciiTheme="minorHAnsi" w:hAnsiTheme="minorHAnsi" w:cstheme="minorHAnsi"/>
          <w:i/>
          <w:spacing w:val="1"/>
          <w:sz w:val="22"/>
          <w:szCs w:val="22"/>
        </w:rPr>
        <w:t xml:space="preserve"> </w:t>
      </w:r>
      <w:r w:rsidRPr="00153204">
        <w:rPr>
          <w:rFonts w:asciiTheme="minorHAnsi" w:hAnsiTheme="minorHAnsi" w:cstheme="minorHAnsi"/>
          <w:i/>
          <w:sz w:val="22"/>
          <w:szCs w:val="22"/>
        </w:rPr>
        <w:t>these Regulations shall be eligible to get return as per Odisha Electricity Regulatory</w:t>
      </w:r>
      <w:r w:rsidRPr="00153204">
        <w:rPr>
          <w:rFonts w:asciiTheme="minorHAnsi" w:hAnsiTheme="minorHAnsi" w:cstheme="minorHAnsi"/>
          <w:i/>
          <w:spacing w:val="1"/>
          <w:sz w:val="22"/>
          <w:szCs w:val="22"/>
        </w:rPr>
        <w:t xml:space="preserve"> </w:t>
      </w:r>
      <w:r w:rsidRPr="00153204">
        <w:rPr>
          <w:rFonts w:asciiTheme="minorHAnsi" w:hAnsiTheme="minorHAnsi" w:cstheme="minorHAnsi"/>
          <w:i/>
          <w:sz w:val="22"/>
          <w:szCs w:val="22"/>
        </w:rPr>
        <w:t>Commission (Terms and Conditions for Determination of Wheeling Tariff and Retail</w:t>
      </w:r>
      <w:r w:rsidRPr="00153204">
        <w:rPr>
          <w:rFonts w:asciiTheme="minorHAnsi" w:hAnsiTheme="minorHAnsi" w:cstheme="minorHAnsi"/>
          <w:i/>
          <w:spacing w:val="1"/>
          <w:sz w:val="22"/>
          <w:szCs w:val="22"/>
        </w:rPr>
        <w:t xml:space="preserve"> </w:t>
      </w:r>
      <w:r w:rsidRPr="00153204">
        <w:rPr>
          <w:rFonts w:asciiTheme="minorHAnsi" w:hAnsiTheme="minorHAnsi" w:cstheme="minorHAnsi"/>
          <w:i/>
          <w:sz w:val="22"/>
          <w:szCs w:val="22"/>
        </w:rPr>
        <w:t>Supply</w:t>
      </w:r>
      <w:r w:rsidRPr="00153204">
        <w:rPr>
          <w:rFonts w:asciiTheme="minorHAnsi" w:hAnsiTheme="minorHAnsi" w:cstheme="minorHAnsi"/>
          <w:i/>
          <w:spacing w:val="-8"/>
          <w:sz w:val="22"/>
          <w:szCs w:val="22"/>
        </w:rPr>
        <w:t xml:space="preserve"> </w:t>
      </w:r>
      <w:r w:rsidRPr="00153204">
        <w:rPr>
          <w:rFonts w:asciiTheme="minorHAnsi" w:hAnsiTheme="minorHAnsi" w:cstheme="minorHAnsi"/>
          <w:i/>
          <w:sz w:val="22"/>
          <w:szCs w:val="22"/>
        </w:rPr>
        <w:t>Tariff)</w:t>
      </w:r>
      <w:r w:rsidRPr="00153204">
        <w:rPr>
          <w:rFonts w:asciiTheme="minorHAnsi" w:hAnsiTheme="minorHAnsi" w:cstheme="minorHAnsi"/>
          <w:i/>
          <w:spacing w:val="3"/>
          <w:sz w:val="22"/>
          <w:szCs w:val="22"/>
        </w:rPr>
        <w:t xml:space="preserve"> </w:t>
      </w:r>
      <w:r w:rsidRPr="00153204">
        <w:rPr>
          <w:rFonts w:asciiTheme="minorHAnsi" w:hAnsiTheme="minorHAnsi" w:cstheme="minorHAnsi"/>
          <w:i/>
          <w:sz w:val="22"/>
          <w:szCs w:val="22"/>
        </w:rPr>
        <w:t>Regulations,</w:t>
      </w:r>
      <w:r w:rsidRPr="00153204">
        <w:rPr>
          <w:rFonts w:asciiTheme="minorHAnsi" w:hAnsiTheme="minorHAnsi" w:cstheme="minorHAnsi"/>
          <w:i/>
          <w:spacing w:val="4"/>
          <w:sz w:val="22"/>
          <w:szCs w:val="22"/>
        </w:rPr>
        <w:t xml:space="preserve"> </w:t>
      </w:r>
      <w:r w:rsidRPr="00153204">
        <w:rPr>
          <w:rFonts w:asciiTheme="minorHAnsi" w:hAnsiTheme="minorHAnsi" w:cstheme="minorHAnsi"/>
          <w:i/>
          <w:sz w:val="22"/>
          <w:szCs w:val="22"/>
        </w:rPr>
        <w:t>2014</w:t>
      </w:r>
      <w:r w:rsidRPr="00153204">
        <w:rPr>
          <w:rFonts w:asciiTheme="minorHAnsi" w:hAnsiTheme="minorHAnsi" w:cstheme="minorHAnsi"/>
          <w:i/>
          <w:spacing w:val="-1"/>
          <w:sz w:val="22"/>
          <w:szCs w:val="22"/>
        </w:rPr>
        <w:t xml:space="preserve"> </w:t>
      </w:r>
      <w:r w:rsidRPr="00153204">
        <w:rPr>
          <w:rFonts w:asciiTheme="minorHAnsi" w:hAnsiTheme="minorHAnsi" w:cstheme="minorHAnsi"/>
          <w:i/>
          <w:sz w:val="22"/>
          <w:szCs w:val="22"/>
        </w:rPr>
        <w:t>and</w:t>
      </w:r>
      <w:r w:rsidRPr="00153204">
        <w:rPr>
          <w:rFonts w:asciiTheme="minorHAnsi" w:hAnsiTheme="minorHAnsi" w:cstheme="minorHAnsi"/>
          <w:i/>
          <w:spacing w:val="6"/>
          <w:sz w:val="22"/>
          <w:szCs w:val="22"/>
        </w:rPr>
        <w:t xml:space="preserve"> </w:t>
      </w:r>
      <w:r w:rsidRPr="00153204">
        <w:rPr>
          <w:rFonts w:asciiTheme="minorHAnsi" w:hAnsiTheme="minorHAnsi" w:cstheme="minorHAnsi"/>
          <w:i/>
          <w:sz w:val="22"/>
          <w:szCs w:val="22"/>
        </w:rPr>
        <w:t>its amendments</w:t>
      </w:r>
      <w:r w:rsidRPr="00153204">
        <w:rPr>
          <w:rFonts w:asciiTheme="minorHAnsi" w:hAnsiTheme="minorHAnsi" w:cstheme="minorHAnsi"/>
          <w:i/>
          <w:spacing w:val="-1"/>
          <w:sz w:val="22"/>
          <w:szCs w:val="22"/>
        </w:rPr>
        <w:t xml:space="preserve"> </w:t>
      </w:r>
      <w:r w:rsidRPr="00153204">
        <w:rPr>
          <w:rFonts w:asciiTheme="minorHAnsi" w:hAnsiTheme="minorHAnsi" w:cstheme="minorHAnsi"/>
          <w:i/>
          <w:sz w:val="22"/>
          <w:szCs w:val="22"/>
        </w:rPr>
        <w:t>thereof.</w:t>
      </w:r>
    </w:p>
    <w:p w14:paraId="5AE83602" w14:textId="77777777" w:rsidR="00995DAA" w:rsidRPr="00153204" w:rsidRDefault="00995DAA" w:rsidP="007D3E57">
      <w:pPr>
        <w:widowControl w:val="0"/>
        <w:autoSpaceDE w:val="0"/>
        <w:autoSpaceDN w:val="0"/>
        <w:spacing w:before="112" w:line="278" w:lineRule="auto"/>
        <w:ind w:left="1276" w:right="218"/>
        <w:jc w:val="both"/>
        <w:rPr>
          <w:rFonts w:asciiTheme="minorHAnsi" w:hAnsiTheme="minorHAnsi" w:cstheme="minorHAnsi"/>
          <w:i/>
          <w:sz w:val="22"/>
          <w:szCs w:val="22"/>
        </w:rPr>
      </w:pPr>
    </w:p>
    <w:p w14:paraId="2D560974" w14:textId="77777777" w:rsidR="00C627B1" w:rsidRPr="00153204" w:rsidRDefault="00C627B1" w:rsidP="00AB536C">
      <w:pPr>
        <w:widowControl w:val="0"/>
        <w:numPr>
          <w:ilvl w:val="2"/>
          <w:numId w:val="12"/>
        </w:numPr>
        <w:autoSpaceDE w:val="0"/>
        <w:autoSpaceDN w:val="0"/>
        <w:spacing w:before="121"/>
        <w:ind w:left="1276" w:firstLine="0"/>
        <w:jc w:val="both"/>
        <w:rPr>
          <w:rFonts w:asciiTheme="minorHAnsi" w:hAnsiTheme="minorHAnsi" w:cstheme="minorHAnsi"/>
          <w:b/>
          <w:i/>
          <w:sz w:val="22"/>
          <w:szCs w:val="22"/>
        </w:rPr>
      </w:pPr>
      <w:r w:rsidRPr="00153204">
        <w:rPr>
          <w:rFonts w:asciiTheme="minorHAnsi" w:hAnsiTheme="minorHAnsi" w:cstheme="minorHAnsi"/>
          <w:b/>
          <w:i/>
          <w:sz w:val="22"/>
          <w:szCs w:val="22"/>
        </w:rPr>
        <w:t>Return</w:t>
      </w:r>
      <w:r w:rsidRPr="00153204">
        <w:rPr>
          <w:rFonts w:asciiTheme="minorHAnsi" w:hAnsiTheme="minorHAnsi" w:cstheme="minorHAnsi"/>
          <w:b/>
          <w:i/>
          <w:spacing w:val="-6"/>
          <w:sz w:val="22"/>
          <w:szCs w:val="22"/>
        </w:rPr>
        <w:t xml:space="preserve"> </w:t>
      </w:r>
      <w:r w:rsidRPr="00153204">
        <w:rPr>
          <w:rFonts w:asciiTheme="minorHAnsi" w:hAnsiTheme="minorHAnsi" w:cstheme="minorHAnsi"/>
          <w:b/>
          <w:i/>
          <w:sz w:val="22"/>
          <w:szCs w:val="22"/>
        </w:rPr>
        <w:t>on</w:t>
      </w:r>
      <w:r w:rsidRPr="00153204">
        <w:rPr>
          <w:rFonts w:asciiTheme="minorHAnsi" w:hAnsiTheme="minorHAnsi" w:cstheme="minorHAnsi"/>
          <w:b/>
          <w:i/>
          <w:spacing w:val="-5"/>
          <w:sz w:val="22"/>
          <w:szCs w:val="22"/>
        </w:rPr>
        <w:t xml:space="preserve"> </w:t>
      </w:r>
      <w:r w:rsidRPr="00153204">
        <w:rPr>
          <w:rFonts w:asciiTheme="minorHAnsi" w:hAnsiTheme="minorHAnsi" w:cstheme="minorHAnsi"/>
          <w:b/>
          <w:i/>
          <w:sz w:val="22"/>
          <w:szCs w:val="22"/>
        </w:rPr>
        <w:t>equity</w:t>
      </w:r>
      <w:r w:rsidRPr="00153204">
        <w:rPr>
          <w:rFonts w:asciiTheme="minorHAnsi" w:hAnsiTheme="minorHAnsi" w:cstheme="minorHAnsi"/>
          <w:b/>
          <w:i/>
          <w:spacing w:val="-9"/>
          <w:sz w:val="22"/>
          <w:szCs w:val="22"/>
        </w:rPr>
        <w:t xml:space="preserve"> </w:t>
      </w:r>
      <w:r w:rsidRPr="00153204">
        <w:rPr>
          <w:rFonts w:asciiTheme="minorHAnsi" w:hAnsiTheme="minorHAnsi" w:cstheme="minorHAnsi"/>
          <w:b/>
          <w:i/>
          <w:sz w:val="22"/>
          <w:szCs w:val="22"/>
        </w:rPr>
        <w:t>on</w:t>
      </w:r>
      <w:r w:rsidRPr="00153204">
        <w:rPr>
          <w:rFonts w:asciiTheme="minorHAnsi" w:hAnsiTheme="minorHAnsi" w:cstheme="minorHAnsi"/>
          <w:b/>
          <w:i/>
          <w:spacing w:val="-5"/>
          <w:sz w:val="22"/>
          <w:szCs w:val="22"/>
        </w:rPr>
        <w:t xml:space="preserve"> </w:t>
      </w:r>
      <w:r w:rsidRPr="00153204">
        <w:rPr>
          <w:rFonts w:asciiTheme="minorHAnsi" w:hAnsiTheme="minorHAnsi" w:cstheme="minorHAnsi"/>
          <w:b/>
          <w:i/>
          <w:sz w:val="22"/>
          <w:szCs w:val="22"/>
        </w:rPr>
        <w:t>the</w:t>
      </w:r>
      <w:r w:rsidRPr="00153204">
        <w:rPr>
          <w:rFonts w:asciiTheme="minorHAnsi" w:hAnsiTheme="minorHAnsi" w:cstheme="minorHAnsi"/>
          <w:b/>
          <w:i/>
          <w:spacing w:val="-1"/>
          <w:sz w:val="22"/>
          <w:szCs w:val="22"/>
        </w:rPr>
        <w:t xml:space="preserve"> </w:t>
      </w:r>
      <w:r w:rsidRPr="00153204">
        <w:rPr>
          <w:rFonts w:asciiTheme="minorHAnsi" w:hAnsiTheme="minorHAnsi" w:cstheme="minorHAnsi"/>
          <w:b/>
          <w:i/>
          <w:sz w:val="22"/>
          <w:szCs w:val="22"/>
        </w:rPr>
        <w:t>assets</w:t>
      </w:r>
      <w:r w:rsidRPr="00153204">
        <w:rPr>
          <w:rFonts w:asciiTheme="minorHAnsi" w:hAnsiTheme="minorHAnsi" w:cstheme="minorHAnsi"/>
          <w:b/>
          <w:i/>
          <w:spacing w:val="-2"/>
          <w:sz w:val="22"/>
          <w:szCs w:val="22"/>
        </w:rPr>
        <w:t xml:space="preserve"> </w:t>
      </w:r>
      <w:r w:rsidRPr="00153204">
        <w:rPr>
          <w:rFonts w:asciiTheme="minorHAnsi" w:hAnsiTheme="minorHAnsi" w:cstheme="minorHAnsi"/>
          <w:b/>
          <w:i/>
          <w:sz w:val="22"/>
          <w:szCs w:val="22"/>
        </w:rPr>
        <w:t>put</w:t>
      </w:r>
      <w:r w:rsidRPr="00153204">
        <w:rPr>
          <w:rFonts w:asciiTheme="minorHAnsi" w:hAnsiTheme="minorHAnsi" w:cstheme="minorHAnsi"/>
          <w:b/>
          <w:i/>
          <w:spacing w:val="-4"/>
          <w:sz w:val="22"/>
          <w:szCs w:val="22"/>
        </w:rPr>
        <w:t xml:space="preserve"> </w:t>
      </w:r>
      <w:r w:rsidRPr="00153204">
        <w:rPr>
          <w:rFonts w:asciiTheme="minorHAnsi" w:hAnsiTheme="minorHAnsi" w:cstheme="minorHAnsi"/>
          <w:b/>
          <w:i/>
          <w:sz w:val="22"/>
          <w:szCs w:val="22"/>
        </w:rPr>
        <w:t>to</w:t>
      </w:r>
      <w:r w:rsidRPr="00153204">
        <w:rPr>
          <w:rFonts w:asciiTheme="minorHAnsi" w:hAnsiTheme="minorHAnsi" w:cstheme="minorHAnsi"/>
          <w:b/>
          <w:i/>
          <w:spacing w:val="-1"/>
          <w:sz w:val="22"/>
          <w:szCs w:val="22"/>
        </w:rPr>
        <w:t xml:space="preserve"> </w:t>
      </w:r>
      <w:r w:rsidRPr="00153204">
        <w:rPr>
          <w:rFonts w:asciiTheme="minorHAnsi" w:hAnsiTheme="minorHAnsi" w:cstheme="minorHAnsi"/>
          <w:b/>
          <w:i/>
          <w:sz w:val="22"/>
          <w:szCs w:val="22"/>
        </w:rPr>
        <w:t>use</w:t>
      </w:r>
      <w:r w:rsidRPr="00153204">
        <w:rPr>
          <w:rFonts w:asciiTheme="minorHAnsi" w:hAnsiTheme="minorHAnsi" w:cstheme="minorHAnsi"/>
          <w:b/>
          <w:i/>
          <w:spacing w:val="-4"/>
          <w:sz w:val="22"/>
          <w:szCs w:val="22"/>
        </w:rPr>
        <w:t xml:space="preserve"> </w:t>
      </w:r>
      <w:r w:rsidRPr="00153204">
        <w:rPr>
          <w:rFonts w:asciiTheme="minorHAnsi" w:hAnsiTheme="minorHAnsi" w:cstheme="minorHAnsi"/>
          <w:b/>
          <w:i/>
          <w:sz w:val="22"/>
          <w:szCs w:val="22"/>
        </w:rPr>
        <w:t>under</w:t>
      </w:r>
      <w:r w:rsidRPr="00153204">
        <w:rPr>
          <w:rFonts w:asciiTheme="minorHAnsi" w:hAnsiTheme="minorHAnsi" w:cstheme="minorHAnsi"/>
          <w:b/>
          <w:i/>
          <w:spacing w:val="6"/>
          <w:sz w:val="22"/>
          <w:szCs w:val="22"/>
        </w:rPr>
        <w:t xml:space="preserve"> </w:t>
      </w:r>
      <w:r w:rsidRPr="00153204">
        <w:rPr>
          <w:rFonts w:asciiTheme="minorHAnsi" w:hAnsiTheme="minorHAnsi" w:cstheme="minorHAnsi"/>
          <w:b/>
          <w:i/>
          <w:sz w:val="22"/>
          <w:szCs w:val="22"/>
        </w:rPr>
        <w:t>instant</w:t>
      </w:r>
      <w:r w:rsidRPr="00153204">
        <w:rPr>
          <w:rFonts w:asciiTheme="minorHAnsi" w:hAnsiTheme="minorHAnsi" w:cstheme="minorHAnsi"/>
          <w:b/>
          <w:i/>
          <w:spacing w:val="4"/>
          <w:sz w:val="22"/>
          <w:szCs w:val="22"/>
        </w:rPr>
        <w:t xml:space="preserve"> </w:t>
      </w:r>
      <w:r w:rsidRPr="00153204">
        <w:rPr>
          <w:rFonts w:asciiTheme="minorHAnsi" w:hAnsiTheme="minorHAnsi" w:cstheme="minorHAnsi"/>
          <w:b/>
          <w:i/>
          <w:sz w:val="22"/>
          <w:szCs w:val="22"/>
        </w:rPr>
        <w:t>Regulations:</w:t>
      </w:r>
    </w:p>
    <w:p w14:paraId="58B572BE" w14:textId="531658E6" w:rsidR="00C627B1" w:rsidRPr="00153204" w:rsidRDefault="00C627B1" w:rsidP="007D3E57">
      <w:pPr>
        <w:widowControl w:val="0"/>
        <w:autoSpaceDE w:val="0"/>
        <w:autoSpaceDN w:val="0"/>
        <w:spacing w:before="166" w:line="278" w:lineRule="auto"/>
        <w:ind w:left="1276" w:right="224"/>
        <w:jc w:val="both"/>
        <w:rPr>
          <w:rFonts w:asciiTheme="minorHAnsi" w:hAnsiTheme="minorHAnsi" w:cstheme="minorHAnsi"/>
          <w:i/>
          <w:sz w:val="22"/>
          <w:szCs w:val="22"/>
        </w:rPr>
      </w:pPr>
      <w:r w:rsidRPr="00153204">
        <w:rPr>
          <w:rFonts w:asciiTheme="minorHAnsi" w:hAnsiTheme="minorHAnsi" w:cstheme="minorHAnsi"/>
          <w:i/>
          <w:sz w:val="22"/>
          <w:szCs w:val="22"/>
        </w:rPr>
        <w:t>Return on equity on assets put</w:t>
      </w:r>
      <w:r w:rsidRPr="00153204">
        <w:rPr>
          <w:rFonts w:asciiTheme="minorHAnsi" w:hAnsiTheme="minorHAnsi" w:cstheme="minorHAnsi"/>
          <w:i/>
          <w:spacing w:val="1"/>
          <w:sz w:val="22"/>
          <w:szCs w:val="22"/>
        </w:rPr>
        <w:t xml:space="preserve"> </w:t>
      </w:r>
      <w:r w:rsidRPr="00153204">
        <w:rPr>
          <w:rFonts w:asciiTheme="minorHAnsi" w:hAnsiTheme="minorHAnsi" w:cstheme="minorHAnsi"/>
          <w:i/>
          <w:sz w:val="22"/>
          <w:szCs w:val="22"/>
        </w:rPr>
        <w:t>to</w:t>
      </w:r>
      <w:r w:rsidRPr="00153204">
        <w:rPr>
          <w:rFonts w:asciiTheme="minorHAnsi" w:hAnsiTheme="minorHAnsi" w:cstheme="minorHAnsi"/>
          <w:i/>
          <w:spacing w:val="60"/>
          <w:sz w:val="22"/>
          <w:szCs w:val="22"/>
        </w:rPr>
        <w:t xml:space="preserve"> </w:t>
      </w:r>
      <w:r w:rsidRPr="00153204">
        <w:rPr>
          <w:rFonts w:asciiTheme="minorHAnsi" w:hAnsiTheme="minorHAnsi" w:cstheme="minorHAnsi"/>
          <w:i/>
          <w:sz w:val="22"/>
          <w:szCs w:val="22"/>
        </w:rPr>
        <w:t>use under these Regulations shall be computed on</w:t>
      </w:r>
      <w:r w:rsidRPr="00153204">
        <w:rPr>
          <w:rFonts w:asciiTheme="minorHAnsi" w:hAnsiTheme="minorHAnsi" w:cstheme="minorHAnsi"/>
          <w:i/>
          <w:spacing w:val="1"/>
          <w:sz w:val="22"/>
          <w:szCs w:val="22"/>
        </w:rPr>
        <w:t xml:space="preserve"> </w:t>
      </w:r>
      <w:r w:rsidRPr="00153204">
        <w:rPr>
          <w:rFonts w:asciiTheme="minorHAnsi" w:hAnsiTheme="minorHAnsi" w:cstheme="minorHAnsi"/>
          <w:i/>
          <w:sz w:val="22"/>
          <w:szCs w:val="22"/>
        </w:rPr>
        <w:t>the paid-up equity capital determined in accordance with these Regulations and shall</w:t>
      </w:r>
      <w:r w:rsidRPr="00153204">
        <w:rPr>
          <w:rFonts w:asciiTheme="minorHAnsi" w:hAnsiTheme="minorHAnsi" w:cstheme="minorHAnsi"/>
          <w:i/>
          <w:spacing w:val="1"/>
          <w:sz w:val="22"/>
          <w:szCs w:val="22"/>
        </w:rPr>
        <w:t xml:space="preserve"> </w:t>
      </w:r>
      <w:r w:rsidRPr="00153204">
        <w:rPr>
          <w:rFonts w:asciiTheme="minorHAnsi" w:hAnsiTheme="minorHAnsi" w:cstheme="minorHAnsi"/>
          <w:i/>
          <w:sz w:val="22"/>
          <w:szCs w:val="22"/>
        </w:rPr>
        <w:t>be allowed at</w:t>
      </w:r>
      <w:r w:rsidRPr="00153204">
        <w:rPr>
          <w:rFonts w:asciiTheme="minorHAnsi" w:hAnsiTheme="minorHAnsi" w:cstheme="minorHAnsi"/>
          <w:i/>
          <w:spacing w:val="1"/>
          <w:sz w:val="22"/>
          <w:szCs w:val="22"/>
        </w:rPr>
        <w:t xml:space="preserve"> </w:t>
      </w:r>
      <w:r w:rsidRPr="00153204">
        <w:rPr>
          <w:rFonts w:asciiTheme="minorHAnsi" w:hAnsiTheme="minorHAnsi" w:cstheme="minorHAnsi"/>
          <w:i/>
          <w:sz w:val="22"/>
          <w:szCs w:val="22"/>
        </w:rPr>
        <w:t>the rate</w:t>
      </w:r>
      <w:r w:rsidRPr="00153204">
        <w:rPr>
          <w:rFonts w:asciiTheme="minorHAnsi" w:hAnsiTheme="minorHAnsi" w:cstheme="minorHAnsi"/>
          <w:i/>
          <w:spacing w:val="-4"/>
          <w:sz w:val="22"/>
          <w:szCs w:val="22"/>
        </w:rPr>
        <w:t xml:space="preserve"> </w:t>
      </w:r>
      <w:r w:rsidRPr="00153204">
        <w:rPr>
          <w:rFonts w:asciiTheme="minorHAnsi" w:hAnsiTheme="minorHAnsi" w:cstheme="minorHAnsi"/>
          <w:i/>
          <w:sz w:val="22"/>
          <w:szCs w:val="22"/>
        </w:rPr>
        <w:t>of</w:t>
      </w:r>
      <w:r w:rsidRPr="00153204">
        <w:rPr>
          <w:rFonts w:asciiTheme="minorHAnsi" w:hAnsiTheme="minorHAnsi" w:cstheme="minorHAnsi"/>
          <w:i/>
          <w:spacing w:val="-7"/>
          <w:sz w:val="22"/>
          <w:szCs w:val="22"/>
        </w:rPr>
        <w:t xml:space="preserve"> </w:t>
      </w:r>
      <w:r w:rsidRPr="00153204">
        <w:rPr>
          <w:rFonts w:asciiTheme="minorHAnsi" w:hAnsiTheme="minorHAnsi" w:cstheme="minorHAnsi"/>
          <w:i/>
          <w:sz w:val="22"/>
          <w:szCs w:val="22"/>
        </w:rPr>
        <w:t>16%</w:t>
      </w:r>
      <w:r w:rsidRPr="00153204">
        <w:rPr>
          <w:rFonts w:asciiTheme="minorHAnsi" w:hAnsiTheme="minorHAnsi" w:cstheme="minorHAnsi"/>
          <w:i/>
          <w:spacing w:val="3"/>
          <w:sz w:val="22"/>
          <w:szCs w:val="22"/>
        </w:rPr>
        <w:t xml:space="preserve"> </w:t>
      </w:r>
      <w:r w:rsidRPr="00153204">
        <w:rPr>
          <w:rFonts w:asciiTheme="minorHAnsi" w:hAnsiTheme="minorHAnsi" w:cstheme="minorHAnsi"/>
          <w:i/>
          <w:sz w:val="22"/>
          <w:szCs w:val="22"/>
        </w:rPr>
        <w:t>per</w:t>
      </w:r>
      <w:r w:rsidRPr="00153204">
        <w:rPr>
          <w:rFonts w:asciiTheme="minorHAnsi" w:hAnsiTheme="minorHAnsi" w:cstheme="minorHAnsi"/>
          <w:i/>
          <w:spacing w:val="4"/>
          <w:sz w:val="22"/>
          <w:szCs w:val="22"/>
        </w:rPr>
        <w:t xml:space="preserve"> </w:t>
      </w:r>
      <w:r w:rsidRPr="00153204">
        <w:rPr>
          <w:rFonts w:asciiTheme="minorHAnsi" w:hAnsiTheme="minorHAnsi" w:cstheme="minorHAnsi"/>
          <w:i/>
          <w:sz w:val="22"/>
          <w:szCs w:val="22"/>
        </w:rPr>
        <w:t>annum</w:t>
      </w:r>
      <w:r w:rsidRPr="00153204">
        <w:rPr>
          <w:rFonts w:asciiTheme="minorHAnsi" w:hAnsiTheme="minorHAnsi" w:cstheme="minorHAnsi"/>
          <w:i/>
          <w:spacing w:val="-8"/>
          <w:sz w:val="22"/>
          <w:szCs w:val="22"/>
        </w:rPr>
        <w:t xml:space="preserve"> </w:t>
      </w:r>
      <w:r w:rsidRPr="00153204">
        <w:rPr>
          <w:rFonts w:asciiTheme="minorHAnsi" w:hAnsiTheme="minorHAnsi" w:cstheme="minorHAnsi"/>
          <w:i/>
          <w:sz w:val="22"/>
          <w:szCs w:val="22"/>
        </w:rPr>
        <w:t>(post</w:t>
      </w:r>
      <w:r w:rsidRPr="00153204">
        <w:rPr>
          <w:rFonts w:asciiTheme="minorHAnsi" w:hAnsiTheme="minorHAnsi" w:cstheme="minorHAnsi"/>
          <w:i/>
          <w:spacing w:val="2"/>
          <w:sz w:val="22"/>
          <w:szCs w:val="22"/>
        </w:rPr>
        <w:t xml:space="preserve"> </w:t>
      </w:r>
      <w:r w:rsidRPr="00153204">
        <w:rPr>
          <w:rFonts w:asciiTheme="minorHAnsi" w:hAnsiTheme="minorHAnsi" w:cstheme="minorHAnsi"/>
          <w:i/>
          <w:sz w:val="22"/>
          <w:szCs w:val="22"/>
        </w:rPr>
        <w:t>tax),</w:t>
      </w:r>
      <w:r w:rsidRPr="00153204">
        <w:rPr>
          <w:rFonts w:asciiTheme="minorHAnsi" w:hAnsiTheme="minorHAnsi" w:cstheme="minorHAnsi"/>
          <w:i/>
          <w:spacing w:val="3"/>
          <w:sz w:val="22"/>
          <w:szCs w:val="22"/>
        </w:rPr>
        <w:t xml:space="preserve"> </w:t>
      </w:r>
      <w:r w:rsidRPr="00153204">
        <w:rPr>
          <w:rFonts w:asciiTheme="minorHAnsi" w:hAnsiTheme="minorHAnsi" w:cstheme="minorHAnsi"/>
          <w:i/>
          <w:sz w:val="22"/>
          <w:szCs w:val="22"/>
        </w:rPr>
        <w:t>in</w:t>
      </w:r>
      <w:r w:rsidRPr="00153204">
        <w:rPr>
          <w:rFonts w:asciiTheme="minorHAnsi" w:hAnsiTheme="minorHAnsi" w:cstheme="minorHAnsi"/>
          <w:i/>
          <w:spacing w:val="-4"/>
          <w:sz w:val="22"/>
          <w:szCs w:val="22"/>
        </w:rPr>
        <w:t xml:space="preserve"> </w:t>
      </w:r>
      <w:r w:rsidRPr="00153204">
        <w:rPr>
          <w:rFonts w:asciiTheme="minorHAnsi" w:hAnsiTheme="minorHAnsi" w:cstheme="minorHAnsi"/>
          <w:i/>
          <w:sz w:val="22"/>
          <w:szCs w:val="22"/>
        </w:rPr>
        <w:t>Indian</w:t>
      </w:r>
      <w:r w:rsidRPr="00153204">
        <w:rPr>
          <w:rFonts w:asciiTheme="minorHAnsi" w:hAnsiTheme="minorHAnsi" w:cstheme="minorHAnsi"/>
          <w:i/>
          <w:spacing w:val="-4"/>
          <w:sz w:val="22"/>
          <w:szCs w:val="22"/>
        </w:rPr>
        <w:t xml:space="preserve"> </w:t>
      </w:r>
      <w:r w:rsidRPr="00153204">
        <w:rPr>
          <w:rFonts w:asciiTheme="minorHAnsi" w:hAnsiTheme="minorHAnsi" w:cstheme="minorHAnsi"/>
          <w:i/>
          <w:sz w:val="22"/>
          <w:szCs w:val="22"/>
        </w:rPr>
        <w:t>Rupee terms:</w:t>
      </w:r>
    </w:p>
    <w:p w14:paraId="1B5D3E9B" w14:textId="77777777" w:rsidR="00995DAA" w:rsidRPr="00153204" w:rsidRDefault="00995DAA" w:rsidP="007D3E57">
      <w:pPr>
        <w:widowControl w:val="0"/>
        <w:autoSpaceDE w:val="0"/>
        <w:autoSpaceDN w:val="0"/>
        <w:spacing w:before="166" w:line="278" w:lineRule="auto"/>
        <w:ind w:left="1276" w:right="224"/>
        <w:jc w:val="both"/>
        <w:rPr>
          <w:rFonts w:asciiTheme="minorHAnsi" w:hAnsiTheme="minorHAnsi" w:cstheme="minorHAnsi"/>
          <w:i/>
          <w:sz w:val="22"/>
          <w:szCs w:val="22"/>
        </w:rPr>
      </w:pPr>
    </w:p>
    <w:p w14:paraId="43FFC76D" w14:textId="77777777" w:rsidR="00C627B1" w:rsidRPr="00153204" w:rsidRDefault="00C627B1" w:rsidP="007D3E57">
      <w:pPr>
        <w:widowControl w:val="0"/>
        <w:autoSpaceDE w:val="0"/>
        <w:autoSpaceDN w:val="0"/>
        <w:spacing w:before="120" w:line="278" w:lineRule="auto"/>
        <w:ind w:left="1276" w:right="224"/>
        <w:jc w:val="both"/>
        <w:rPr>
          <w:rFonts w:asciiTheme="minorHAnsi" w:hAnsiTheme="minorHAnsi" w:cstheme="minorHAnsi"/>
          <w:i/>
          <w:sz w:val="22"/>
          <w:szCs w:val="22"/>
        </w:rPr>
      </w:pPr>
      <w:r w:rsidRPr="00153204">
        <w:rPr>
          <w:rFonts w:asciiTheme="minorHAnsi" w:hAnsiTheme="minorHAnsi" w:cstheme="minorHAnsi"/>
          <w:i/>
          <w:sz w:val="22"/>
          <w:szCs w:val="22"/>
        </w:rPr>
        <w:t>Provided further that for the purpose of truing up for the Distribution Licensee, return</w:t>
      </w:r>
      <w:r w:rsidRPr="00153204">
        <w:rPr>
          <w:rFonts w:asciiTheme="minorHAnsi" w:hAnsiTheme="minorHAnsi" w:cstheme="minorHAnsi"/>
          <w:i/>
          <w:spacing w:val="1"/>
          <w:sz w:val="22"/>
          <w:szCs w:val="22"/>
        </w:rPr>
        <w:t xml:space="preserve"> </w:t>
      </w:r>
      <w:r w:rsidRPr="00153204">
        <w:rPr>
          <w:rFonts w:asciiTheme="minorHAnsi" w:hAnsiTheme="minorHAnsi" w:cstheme="minorHAnsi"/>
          <w:i/>
          <w:sz w:val="22"/>
          <w:szCs w:val="22"/>
        </w:rPr>
        <w:t>on equity shall be allowed from the date of commercial operation on pro-rata basis</w:t>
      </w:r>
      <w:r w:rsidRPr="00153204">
        <w:rPr>
          <w:rFonts w:asciiTheme="minorHAnsi" w:hAnsiTheme="minorHAnsi" w:cstheme="minorHAnsi"/>
          <w:i/>
          <w:spacing w:val="1"/>
          <w:sz w:val="22"/>
          <w:szCs w:val="22"/>
        </w:rPr>
        <w:t xml:space="preserve"> </w:t>
      </w:r>
      <w:r w:rsidRPr="00153204">
        <w:rPr>
          <w:rFonts w:asciiTheme="minorHAnsi" w:hAnsiTheme="minorHAnsi" w:cstheme="minorHAnsi"/>
          <w:i/>
          <w:sz w:val="22"/>
          <w:szCs w:val="22"/>
        </w:rPr>
        <w:t>based on documentary evidence provided for the assets put to use during the year in</w:t>
      </w:r>
      <w:r w:rsidRPr="00153204">
        <w:rPr>
          <w:rFonts w:asciiTheme="minorHAnsi" w:hAnsiTheme="minorHAnsi" w:cstheme="minorHAnsi"/>
          <w:i/>
          <w:spacing w:val="1"/>
          <w:sz w:val="22"/>
          <w:szCs w:val="22"/>
        </w:rPr>
        <w:t xml:space="preserve"> </w:t>
      </w:r>
      <w:r w:rsidRPr="00153204">
        <w:rPr>
          <w:rFonts w:asciiTheme="minorHAnsi" w:hAnsiTheme="minorHAnsi" w:cstheme="minorHAnsi"/>
          <w:i/>
          <w:sz w:val="22"/>
          <w:szCs w:val="22"/>
        </w:rPr>
        <w:t>absence</w:t>
      </w:r>
      <w:r w:rsidRPr="00153204">
        <w:rPr>
          <w:rFonts w:asciiTheme="minorHAnsi" w:hAnsiTheme="minorHAnsi" w:cstheme="minorHAnsi"/>
          <w:i/>
          <w:spacing w:val="-1"/>
          <w:sz w:val="22"/>
          <w:szCs w:val="22"/>
        </w:rPr>
        <w:t xml:space="preserve"> </w:t>
      </w:r>
      <w:r w:rsidRPr="00153204">
        <w:rPr>
          <w:rFonts w:asciiTheme="minorHAnsi" w:hAnsiTheme="minorHAnsi" w:cstheme="minorHAnsi"/>
          <w:i/>
          <w:sz w:val="22"/>
          <w:szCs w:val="22"/>
        </w:rPr>
        <w:t>of</w:t>
      </w:r>
      <w:r w:rsidRPr="00153204">
        <w:rPr>
          <w:rFonts w:asciiTheme="minorHAnsi" w:hAnsiTheme="minorHAnsi" w:cstheme="minorHAnsi"/>
          <w:i/>
          <w:spacing w:val="-8"/>
          <w:sz w:val="22"/>
          <w:szCs w:val="22"/>
        </w:rPr>
        <w:t xml:space="preserve"> </w:t>
      </w:r>
      <w:r w:rsidRPr="00153204">
        <w:rPr>
          <w:rFonts w:asciiTheme="minorHAnsi" w:hAnsiTheme="minorHAnsi" w:cstheme="minorHAnsi"/>
          <w:i/>
          <w:sz w:val="22"/>
          <w:szCs w:val="22"/>
        </w:rPr>
        <w:t>which</w:t>
      </w:r>
      <w:r w:rsidRPr="00153204">
        <w:rPr>
          <w:rFonts w:asciiTheme="minorHAnsi" w:hAnsiTheme="minorHAnsi" w:cstheme="minorHAnsi"/>
          <w:i/>
          <w:spacing w:val="-4"/>
          <w:sz w:val="22"/>
          <w:szCs w:val="22"/>
        </w:rPr>
        <w:t xml:space="preserve"> </w:t>
      </w:r>
      <w:r w:rsidRPr="00153204">
        <w:rPr>
          <w:rFonts w:asciiTheme="minorHAnsi" w:hAnsiTheme="minorHAnsi" w:cstheme="minorHAnsi"/>
          <w:i/>
          <w:sz w:val="22"/>
          <w:szCs w:val="22"/>
        </w:rPr>
        <w:t>the</w:t>
      </w:r>
      <w:r w:rsidRPr="00153204">
        <w:rPr>
          <w:rFonts w:asciiTheme="minorHAnsi" w:hAnsiTheme="minorHAnsi" w:cstheme="minorHAnsi"/>
          <w:i/>
          <w:spacing w:val="-1"/>
          <w:sz w:val="22"/>
          <w:szCs w:val="22"/>
        </w:rPr>
        <w:t xml:space="preserve"> </w:t>
      </w:r>
      <w:r w:rsidRPr="00153204">
        <w:rPr>
          <w:rFonts w:asciiTheme="minorHAnsi" w:hAnsiTheme="minorHAnsi" w:cstheme="minorHAnsi"/>
          <w:i/>
          <w:sz w:val="22"/>
          <w:szCs w:val="22"/>
        </w:rPr>
        <w:t>assets</w:t>
      </w:r>
      <w:r w:rsidRPr="00153204">
        <w:rPr>
          <w:rFonts w:asciiTheme="minorHAnsi" w:hAnsiTheme="minorHAnsi" w:cstheme="minorHAnsi"/>
          <w:i/>
          <w:spacing w:val="-2"/>
          <w:sz w:val="22"/>
          <w:szCs w:val="22"/>
        </w:rPr>
        <w:t xml:space="preserve"> </w:t>
      </w:r>
      <w:r w:rsidRPr="00153204">
        <w:rPr>
          <w:rFonts w:asciiTheme="minorHAnsi" w:hAnsiTheme="minorHAnsi" w:cstheme="minorHAnsi"/>
          <w:i/>
          <w:sz w:val="22"/>
          <w:szCs w:val="22"/>
        </w:rPr>
        <w:t>shall</w:t>
      </w:r>
      <w:r w:rsidRPr="00153204">
        <w:rPr>
          <w:rFonts w:asciiTheme="minorHAnsi" w:hAnsiTheme="minorHAnsi" w:cstheme="minorHAnsi"/>
          <w:i/>
          <w:spacing w:val="-3"/>
          <w:sz w:val="22"/>
          <w:szCs w:val="22"/>
        </w:rPr>
        <w:t xml:space="preserve"> </w:t>
      </w:r>
      <w:r w:rsidRPr="00153204">
        <w:rPr>
          <w:rFonts w:asciiTheme="minorHAnsi" w:hAnsiTheme="minorHAnsi" w:cstheme="minorHAnsi"/>
          <w:i/>
          <w:sz w:val="22"/>
          <w:szCs w:val="22"/>
        </w:rPr>
        <w:t>be</w:t>
      </w:r>
      <w:r w:rsidRPr="00153204">
        <w:rPr>
          <w:rFonts w:asciiTheme="minorHAnsi" w:hAnsiTheme="minorHAnsi" w:cstheme="minorHAnsi"/>
          <w:i/>
          <w:spacing w:val="-1"/>
          <w:sz w:val="22"/>
          <w:szCs w:val="22"/>
        </w:rPr>
        <w:t xml:space="preserve"> </w:t>
      </w:r>
      <w:r w:rsidRPr="00153204">
        <w:rPr>
          <w:rFonts w:asciiTheme="minorHAnsi" w:hAnsiTheme="minorHAnsi" w:cstheme="minorHAnsi"/>
          <w:i/>
          <w:sz w:val="22"/>
          <w:szCs w:val="22"/>
        </w:rPr>
        <w:t>considered to</w:t>
      </w:r>
      <w:r w:rsidRPr="00153204">
        <w:rPr>
          <w:rFonts w:asciiTheme="minorHAnsi" w:hAnsiTheme="minorHAnsi" w:cstheme="minorHAnsi"/>
          <w:i/>
          <w:spacing w:val="-4"/>
          <w:sz w:val="22"/>
          <w:szCs w:val="22"/>
        </w:rPr>
        <w:t xml:space="preserve"> </w:t>
      </w:r>
      <w:r w:rsidRPr="00153204">
        <w:rPr>
          <w:rFonts w:asciiTheme="minorHAnsi" w:hAnsiTheme="minorHAnsi" w:cstheme="minorHAnsi"/>
          <w:i/>
          <w:sz w:val="22"/>
          <w:szCs w:val="22"/>
        </w:rPr>
        <w:t>be</w:t>
      </w:r>
      <w:r w:rsidRPr="00153204">
        <w:rPr>
          <w:rFonts w:asciiTheme="minorHAnsi" w:hAnsiTheme="minorHAnsi" w:cstheme="minorHAnsi"/>
          <w:i/>
          <w:spacing w:val="-1"/>
          <w:sz w:val="22"/>
          <w:szCs w:val="22"/>
        </w:rPr>
        <w:t xml:space="preserve"> </w:t>
      </w:r>
      <w:r w:rsidRPr="00153204">
        <w:rPr>
          <w:rFonts w:asciiTheme="minorHAnsi" w:hAnsiTheme="minorHAnsi" w:cstheme="minorHAnsi"/>
          <w:i/>
          <w:sz w:val="22"/>
          <w:szCs w:val="22"/>
        </w:rPr>
        <w:t>added</w:t>
      </w:r>
      <w:r w:rsidRPr="00153204">
        <w:rPr>
          <w:rFonts w:asciiTheme="minorHAnsi" w:hAnsiTheme="minorHAnsi" w:cstheme="minorHAnsi"/>
          <w:i/>
          <w:spacing w:val="5"/>
          <w:sz w:val="22"/>
          <w:szCs w:val="22"/>
        </w:rPr>
        <w:t xml:space="preserve"> </w:t>
      </w:r>
      <w:r w:rsidRPr="00153204">
        <w:rPr>
          <w:rFonts w:asciiTheme="minorHAnsi" w:hAnsiTheme="minorHAnsi" w:cstheme="minorHAnsi"/>
          <w:i/>
          <w:sz w:val="22"/>
          <w:szCs w:val="22"/>
        </w:rPr>
        <w:t>in</w:t>
      </w:r>
      <w:r w:rsidRPr="00153204">
        <w:rPr>
          <w:rFonts w:asciiTheme="minorHAnsi" w:hAnsiTheme="minorHAnsi" w:cstheme="minorHAnsi"/>
          <w:i/>
          <w:spacing w:val="-4"/>
          <w:sz w:val="22"/>
          <w:szCs w:val="22"/>
        </w:rPr>
        <w:t xml:space="preserve"> </w:t>
      </w:r>
      <w:r w:rsidRPr="00153204">
        <w:rPr>
          <w:rFonts w:asciiTheme="minorHAnsi" w:hAnsiTheme="minorHAnsi" w:cstheme="minorHAnsi"/>
          <w:i/>
          <w:sz w:val="22"/>
          <w:szCs w:val="22"/>
        </w:rPr>
        <w:t>the</w:t>
      </w:r>
      <w:r w:rsidRPr="00153204">
        <w:rPr>
          <w:rFonts w:asciiTheme="minorHAnsi" w:hAnsiTheme="minorHAnsi" w:cstheme="minorHAnsi"/>
          <w:i/>
          <w:spacing w:val="4"/>
          <w:sz w:val="22"/>
          <w:szCs w:val="22"/>
        </w:rPr>
        <w:t xml:space="preserve"> </w:t>
      </w:r>
      <w:r w:rsidRPr="00153204">
        <w:rPr>
          <w:rFonts w:asciiTheme="minorHAnsi" w:hAnsiTheme="minorHAnsi" w:cstheme="minorHAnsi"/>
          <w:i/>
          <w:sz w:val="22"/>
          <w:szCs w:val="22"/>
        </w:rPr>
        <w:t>mid of</w:t>
      </w:r>
      <w:r w:rsidRPr="00153204">
        <w:rPr>
          <w:rFonts w:asciiTheme="minorHAnsi" w:hAnsiTheme="minorHAnsi" w:cstheme="minorHAnsi"/>
          <w:i/>
          <w:spacing w:val="-8"/>
          <w:sz w:val="22"/>
          <w:szCs w:val="22"/>
        </w:rPr>
        <w:t xml:space="preserve"> </w:t>
      </w:r>
      <w:r w:rsidRPr="00153204">
        <w:rPr>
          <w:rFonts w:asciiTheme="minorHAnsi" w:hAnsiTheme="minorHAnsi" w:cstheme="minorHAnsi"/>
          <w:i/>
          <w:sz w:val="22"/>
          <w:szCs w:val="22"/>
        </w:rPr>
        <w:t>the</w:t>
      </w:r>
      <w:r w:rsidRPr="00153204">
        <w:rPr>
          <w:rFonts w:asciiTheme="minorHAnsi" w:hAnsiTheme="minorHAnsi" w:cstheme="minorHAnsi"/>
          <w:i/>
          <w:spacing w:val="5"/>
          <w:sz w:val="22"/>
          <w:szCs w:val="22"/>
        </w:rPr>
        <w:t xml:space="preserve"> </w:t>
      </w:r>
      <w:r w:rsidRPr="00153204">
        <w:rPr>
          <w:rFonts w:asciiTheme="minorHAnsi" w:hAnsiTheme="minorHAnsi" w:cstheme="minorHAnsi"/>
          <w:i/>
          <w:sz w:val="22"/>
          <w:szCs w:val="22"/>
        </w:rPr>
        <w:t>year.</w:t>
      </w:r>
    </w:p>
    <w:p w14:paraId="469289B9" w14:textId="0D03F17A" w:rsidR="00C627B1" w:rsidRPr="00153204" w:rsidRDefault="00C627B1" w:rsidP="007D3E57">
      <w:pPr>
        <w:widowControl w:val="0"/>
        <w:autoSpaceDE w:val="0"/>
        <w:autoSpaceDN w:val="0"/>
        <w:spacing w:before="116" w:line="280" w:lineRule="auto"/>
        <w:ind w:left="1276" w:right="223"/>
        <w:jc w:val="both"/>
        <w:rPr>
          <w:rFonts w:asciiTheme="minorHAnsi" w:hAnsiTheme="minorHAnsi" w:cstheme="minorHAnsi"/>
          <w:i/>
          <w:sz w:val="22"/>
          <w:szCs w:val="22"/>
        </w:rPr>
      </w:pPr>
      <w:r w:rsidRPr="00153204">
        <w:rPr>
          <w:rFonts w:asciiTheme="minorHAnsi" w:hAnsiTheme="minorHAnsi" w:cstheme="minorHAnsi"/>
          <w:i/>
          <w:sz w:val="22"/>
          <w:szCs w:val="22"/>
        </w:rPr>
        <w:t>Provided</w:t>
      </w:r>
      <w:r w:rsidRPr="00153204">
        <w:rPr>
          <w:rFonts w:asciiTheme="minorHAnsi" w:hAnsiTheme="minorHAnsi" w:cstheme="minorHAnsi"/>
          <w:i/>
          <w:spacing w:val="1"/>
          <w:sz w:val="22"/>
          <w:szCs w:val="22"/>
        </w:rPr>
        <w:t xml:space="preserve"> </w:t>
      </w:r>
      <w:r w:rsidRPr="00153204">
        <w:rPr>
          <w:rFonts w:asciiTheme="minorHAnsi" w:hAnsiTheme="minorHAnsi" w:cstheme="minorHAnsi"/>
          <w:i/>
          <w:sz w:val="22"/>
          <w:szCs w:val="22"/>
        </w:rPr>
        <w:t>further</w:t>
      </w:r>
      <w:r w:rsidRPr="00153204">
        <w:rPr>
          <w:rFonts w:asciiTheme="minorHAnsi" w:hAnsiTheme="minorHAnsi" w:cstheme="minorHAnsi"/>
          <w:i/>
          <w:spacing w:val="1"/>
          <w:sz w:val="22"/>
          <w:szCs w:val="22"/>
        </w:rPr>
        <w:t xml:space="preserve"> </w:t>
      </w:r>
      <w:r w:rsidRPr="00153204">
        <w:rPr>
          <w:rFonts w:asciiTheme="minorHAnsi" w:hAnsiTheme="minorHAnsi" w:cstheme="minorHAnsi"/>
          <w:i/>
          <w:sz w:val="22"/>
          <w:szCs w:val="22"/>
        </w:rPr>
        <w:t>that</w:t>
      </w:r>
      <w:r w:rsidRPr="00153204">
        <w:rPr>
          <w:rFonts w:asciiTheme="minorHAnsi" w:hAnsiTheme="minorHAnsi" w:cstheme="minorHAnsi"/>
          <w:i/>
          <w:spacing w:val="1"/>
          <w:sz w:val="22"/>
          <w:szCs w:val="22"/>
        </w:rPr>
        <w:t xml:space="preserve"> </w:t>
      </w:r>
      <w:r w:rsidRPr="00153204">
        <w:rPr>
          <w:rFonts w:asciiTheme="minorHAnsi" w:hAnsiTheme="minorHAnsi" w:cstheme="minorHAnsi"/>
          <w:i/>
          <w:sz w:val="22"/>
          <w:szCs w:val="22"/>
        </w:rPr>
        <w:t>asset</w:t>
      </w:r>
      <w:r w:rsidRPr="00153204">
        <w:rPr>
          <w:rFonts w:asciiTheme="minorHAnsi" w:hAnsiTheme="minorHAnsi" w:cstheme="minorHAnsi"/>
          <w:i/>
          <w:spacing w:val="1"/>
          <w:sz w:val="22"/>
          <w:szCs w:val="22"/>
        </w:rPr>
        <w:t xml:space="preserve"> </w:t>
      </w:r>
      <w:r w:rsidRPr="00153204">
        <w:rPr>
          <w:rFonts w:asciiTheme="minorHAnsi" w:hAnsiTheme="minorHAnsi" w:cstheme="minorHAnsi"/>
          <w:i/>
          <w:sz w:val="22"/>
          <w:szCs w:val="22"/>
        </w:rPr>
        <w:t>funded</w:t>
      </w:r>
      <w:r w:rsidRPr="00153204">
        <w:rPr>
          <w:rFonts w:asciiTheme="minorHAnsi" w:hAnsiTheme="minorHAnsi" w:cstheme="minorHAnsi"/>
          <w:i/>
          <w:spacing w:val="1"/>
          <w:sz w:val="22"/>
          <w:szCs w:val="22"/>
        </w:rPr>
        <w:t xml:space="preserve"> </w:t>
      </w:r>
      <w:r w:rsidRPr="00153204">
        <w:rPr>
          <w:rFonts w:asciiTheme="minorHAnsi" w:hAnsiTheme="minorHAnsi" w:cstheme="minorHAnsi"/>
          <w:i/>
          <w:sz w:val="22"/>
          <w:szCs w:val="22"/>
        </w:rPr>
        <w:t>by</w:t>
      </w:r>
      <w:r w:rsidRPr="00153204">
        <w:rPr>
          <w:rFonts w:asciiTheme="minorHAnsi" w:hAnsiTheme="minorHAnsi" w:cstheme="minorHAnsi"/>
          <w:i/>
          <w:spacing w:val="1"/>
          <w:sz w:val="22"/>
          <w:szCs w:val="22"/>
        </w:rPr>
        <w:t xml:space="preserve"> </w:t>
      </w:r>
      <w:r w:rsidRPr="00153204">
        <w:rPr>
          <w:rFonts w:asciiTheme="minorHAnsi" w:hAnsiTheme="minorHAnsi" w:cstheme="minorHAnsi"/>
          <w:i/>
          <w:sz w:val="22"/>
          <w:szCs w:val="22"/>
        </w:rPr>
        <w:t>consumer</w:t>
      </w:r>
      <w:r w:rsidRPr="00153204">
        <w:rPr>
          <w:rFonts w:asciiTheme="minorHAnsi" w:hAnsiTheme="minorHAnsi" w:cstheme="minorHAnsi"/>
          <w:i/>
          <w:spacing w:val="1"/>
          <w:sz w:val="22"/>
          <w:szCs w:val="22"/>
        </w:rPr>
        <w:t xml:space="preserve"> </w:t>
      </w:r>
      <w:r w:rsidRPr="00153204">
        <w:rPr>
          <w:rFonts w:asciiTheme="minorHAnsi" w:hAnsiTheme="minorHAnsi" w:cstheme="minorHAnsi"/>
          <w:i/>
          <w:sz w:val="22"/>
          <w:szCs w:val="22"/>
        </w:rPr>
        <w:t>contributions,</w:t>
      </w:r>
      <w:r w:rsidRPr="00153204">
        <w:rPr>
          <w:rFonts w:asciiTheme="minorHAnsi" w:hAnsiTheme="minorHAnsi" w:cstheme="minorHAnsi"/>
          <w:i/>
          <w:spacing w:val="1"/>
          <w:sz w:val="22"/>
          <w:szCs w:val="22"/>
        </w:rPr>
        <w:t xml:space="preserve"> </w:t>
      </w:r>
      <w:r w:rsidRPr="00153204">
        <w:rPr>
          <w:rFonts w:asciiTheme="minorHAnsi" w:hAnsiTheme="minorHAnsi" w:cstheme="minorHAnsi"/>
          <w:i/>
          <w:sz w:val="22"/>
          <w:szCs w:val="22"/>
        </w:rPr>
        <w:t>capital</w:t>
      </w:r>
      <w:r w:rsidRPr="00153204">
        <w:rPr>
          <w:rFonts w:asciiTheme="minorHAnsi" w:hAnsiTheme="minorHAnsi" w:cstheme="minorHAnsi"/>
          <w:i/>
          <w:spacing w:val="1"/>
          <w:sz w:val="22"/>
          <w:szCs w:val="22"/>
        </w:rPr>
        <w:t xml:space="preserve"> </w:t>
      </w:r>
      <w:r w:rsidRPr="00153204">
        <w:rPr>
          <w:rFonts w:asciiTheme="minorHAnsi" w:hAnsiTheme="minorHAnsi" w:cstheme="minorHAnsi"/>
          <w:i/>
          <w:sz w:val="22"/>
          <w:szCs w:val="22"/>
        </w:rPr>
        <w:t>subsidies/</w:t>
      </w:r>
      <w:r w:rsidRPr="00153204">
        <w:rPr>
          <w:rFonts w:asciiTheme="minorHAnsi" w:hAnsiTheme="minorHAnsi" w:cstheme="minorHAnsi"/>
          <w:i/>
          <w:spacing w:val="1"/>
          <w:sz w:val="22"/>
          <w:szCs w:val="22"/>
        </w:rPr>
        <w:t xml:space="preserve"> </w:t>
      </w:r>
      <w:r w:rsidRPr="00153204">
        <w:rPr>
          <w:rFonts w:asciiTheme="minorHAnsi" w:hAnsiTheme="minorHAnsi" w:cstheme="minorHAnsi"/>
          <w:i/>
          <w:sz w:val="22"/>
          <w:szCs w:val="22"/>
        </w:rPr>
        <w:t>Government</w:t>
      </w:r>
      <w:r w:rsidRPr="00153204">
        <w:rPr>
          <w:rFonts w:asciiTheme="minorHAnsi" w:hAnsiTheme="minorHAnsi" w:cstheme="minorHAnsi"/>
          <w:i/>
          <w:spacing w:val="1"/>
          <w:sz w:val="22"/>
          <w:szCs w:val="22"/>
        </w:rPr>
        <w:t xml:space="preserve"> </w:t>
      </w:r>
      <w:r w:rsidRPr="00153204">
        <w:rPr>
          <w:rFonts w:asciiTheme="minorHAnsi" w:hAnsiTheme="minorHAnsi" w:cstheme="minorHAnsi"/>
          <w:i/>
          <w:sz w:val="22"/>
          <w:szCs w:val="22"/>
        </w:rPr>
        <w:t>grants</w:t>
      </w:r>
      <w:r w:rsidRPr="00153204">
        <w:rPr>
          <w:rFonts w:asciiTheme="minorHAnsi" w:hAnsiTheme="minorHAnsi" w:cstheme="minorHAnsi"/>
          <w:i/>
          <w:spacing w:val="1"/>
          <w:sz w:val="22"/>
          <w:szCs w:val="22"/>
        </w:rPr>
        <w:t xml:space="preserve"> </w:t>
      </w:r>
      <w:r w:rsidRPr="00153204">
        <w:rPr>
          <w:rFonts w:asciiTheme="minorHAnsi" w:hAnsiTheme="minorHAnsi" w:cstheme="minorHAnsi"/>
          <w:i/>
          <w:sz w:val="22"/>
          <w:szCs w:val="22"/>
        </w:rPr>
        <w:t>shall</w:t>
      </w:r>
      <w:r w:rsidRPr="00153204">
        <w:rPr>
          <w:rFonts w:asciiTheme="minorHAnsi" w:hAnsiTheme="minorHAnsi" w:cstheme="minorHAnsi"/>
          <w:i/>
          <w:spacing w:val="1"/>
          <w:sz w:val="22"/>
          <w:szCs w:val="22"/>
        </w:rPr>
        <w:t xml:space="preserve"> </w:t>
      </w:r>
      <w:r w:rsidRPr="00153204">
        <w:rPr>
          <w:rFonts w:asciiTheme="minorHAnsi" w:hAnsiTheme="minorHAnsi" w:cstheme="minorHAnsi"/>
          <w:i/>
          <w:sz w:val="22"/>
          <w:szCs w:val="22"/>
        </w:rPr>
        <w:t>not</w:t>
      </w:r>
      <w:r w:rsidRPr="00153204">
        <w:rPr>
          <w:rFonts w:asciiTheme="minorHAnsi" w:hAnsiTheme="minorHAnsi" w:cstheme="minorHAnsi"/>
          <w:i/>
          <w:spacing w:val="1"/>
          <w:sz w:val="22"/>
          <w:szCs w:val="22"/>
        </w:rPr>
        <w:t xml:space="preserve"> </w:t>
      </w:r>
      <w:r w:rsidRPr="00153204">
        <w:rPr>
          <w:rFonts w:asciiTheme="minorHAnsi" w:hAnsiTheme="minorHAnsi" w:cstheme="minorHAnsi"/>
          <w:i/>
          <w:sz w:val="22"/>
          <w:szCs w:val="22"/>
        </w:rPr>
        <w:t>form</w:t>
      </w:r>
      <w:r w:rsidRPr="00153204">
        <w:rPr>
          <w:rFonts w:asciiTheme="minorHAnsi" w:hAnsiTheme="minorHAnsi" w:cstheme="minorHAnsi"/>
          <w:i/>
          <w:spacing w:val="1"/>
          <w:sz w:val="22"/>
          <w:szCs w:val="22"/>
        </w:rPr>
        <w:t xml:space="preserve"> </w:t>
      </w:r>
      <w:r w:rsidRPr="00153204">
        <w:rPr>
          <w:rFonts w:asciiTheme="minorHAnsi" w:hAnsiTheme="minorHAnsi" w:cstheme="minorHAnsi"/>
          <w:i/>
          <w:sz w:val="22"/>
          <w:szCs w:val="22"/>
        </w:rPr>
        <w:t>part</w:t>
      </w:r>
      <w:r w:rsidRPr="00153204">
        <w:rPr>
          <w:rFonts w:asciiTheme="minorHAnsi" w:hAnsiTheme="minorHAnsi" w:cstheme="minorHAnsi"/>
          <w:i/>
          <w:spacing w:val="1"/>
          <w:sz w:val="22"/>
          <w:szCs w:val="22"/>
        </w:rPr>
        <w:t xml:space="preserve"> </w:t>
      </w:r>
      <w:r w:rsidRPr="00153204">
        <w:rPr>
          <w:rFonts w:asciiTheme="minorHAnsi" w:hAnsiTheme="minorHAnsi" w:cstheme="minorHAnsi"/>
          <w:i/>
          <w:sz w:val="22"/>
          <w:szCs w:val="22"/>
        </w:rPr>
        <w:t>of</w:t>
      </w:r>
      <w:r w:rsidRPr="00153204">
        <w:rPr>
          <w:rFonts w:asciiTheme="minorHAnsi" w:hAnsiTheme="minorHAnsi" w:cstheme="minorHAnsi"/>
          <w:i/>
          <w:spacing w:val="1"/>
          <w:sz w:val="22"/>
          <w:szCs w:val="22"/>
        </w:rPr>
        <w:t xml:space="preserve"> </w:t>
      </w:r>
      <w:r w:rsidRPr="00153204">
        <w:rPr>
          <w:rFonts w:asciiTheme="minorHAnsi" w:hAnsiTheme="minorHAnsi" w:cstheme="minorHAnsi"/>
          <w:i/>
          <w:sz w:val="22"/>
          <w:szCs w:val="22"/>
        </w:rPr>
        <w:t>the</w:t>
      </w:r>
      <w:r w:rsidRPr="00153204">
        <w:rPr>
          <w:rFonts w:asciiTheme="minorHAnsi" w:hAnsiTheme="minorHAnsi" w:cstheme="minorHAnsi"/>
          <w:i/>
          <w:spacing w:val="1"/>
          <w:sz w:val="22"/>
          <w:szCs w:val="22"/>
        </w:rPr>
        <w:t xml:space="preserve"> </w:t>
      </w:r>
      <w:r w:rsidRPr="00153204">
        <w:rPr>
          <w:rFonts w:asciiTheme="minorHAnsi" w:hAnsiTheme="minorHAnsi" w:cstheme="minorHAnsi"/>
          <w:i/>
          <w:sz w:val="22"/>
          <w:szCs w:val="22"/>
        </w:rPr>
        <w:t>capital</w:t>
      </w:r>
      <w:r w:rsidRPr="00153204">
        <w:rPr>
          <w:rFonts w:asciiTheme="minorHAnsi" w:hAnsiTheme="minorHAnsi" w:cstheme="minorHAnsi"/>
          <w:i/>
          <w:spacing w:val="1"/>
          <w:sz w:val="22"/>
          <w:szCs w:val="22"/>
        </w:rPr>
        <w:t xml:space="preserve"> </w:t>
      </w:r>
      <w:r w:rsidRPr="00153204">
        <w:rPr>
          <w:rFonts w:asciiTheme="minorHAnsi" w:hAnsiTheme="minorHAnsi" w:cstheme="minorHAnsi"/>
          <w:i/>
          <w:sz w:val="22"/>
          <w:szCs w:val="22"/>
        </w:rPr>
        <w:t>base</w:t>
      </w:r>
      <w:r w:rsidRPr="00153204">
        <w:rPr>
          <w:rFonts w:asciiTheme="minorHAnsi" w:hAnsiTheme="minorHAnsi" w:cstheme="minorHAnsi"/>
          <w:i/>
          <w:spacing w:val="1"/>
          <w:sz w:val="22"/>
          <w:szCs w:val="22"/>
        </w:rPr>
        <w:t xml:space="preserve"> </w:t>
      </w:r>
      <w:r w:rsidRPr="00153204">
        <w:rPr>
          <w:rFonts w:asciiTheme="minorHAnsi" w:hAnsiTheme="minorHAnsi" w:cstheme="minorHAnsi"/>
          <w:i/>
          <w:sz w:val="22"/>
          <w:szCs w:val="22"/>
        </w:rPr>
        <w:t>for</w:t>
      </w:r>
      <w:r w:rsidRPr="00153204">
        <w:rPr>
          <w:rFonts w:asciiTheme="minorHAnsi" w:hAnsiTheme="minorHAnsi" w:cstheme="minorHAnsi"/>
          <w:i/>
          <w:spacing w:val="1"/>
          <w:sz w:val="22"/>
          <w:szCs w:val="22"/>
        </w:rPr>
        <w:t xml:space="preserve"> </w:t>
      </w:r>
      <w:r w:rsidRPr="00153204">
        <w:rPr>
          <w:rFonts w:asciiTheme="minorHAnsi" w:hAnsiTheme="minorHAnsi" w:cstheme="minorHAnsi"/>
          <w:i/>
          <w:sz w:val="22"/>
          <w:szCs w:val="22"/>
        </w:rPr>
        <w:t>the</w:t>
      </w:r>
      <w:r w:rsidRPr="00153204">
        <w:rPr>
          <w:rFonts w:asciiTheme="minorHAnsi" w:hAnsiTheme="minorHAnsi" w:cstheme="minorHAnsi"/>
          <w:i/>
          <w:spacing w:val="1"/>
          <w:sz w:val="22"/>
          <w:szCs w:val="22"/>
        </w:rPr>
        <w:t xml:space="preserve"> </w:t>
      </w:r>
      <w:r w:rsidRPr="00153204">
        <w:rPr>
          <w:rFonts w:asciiTheme="minorHAnsi" w:hAnsiTheme="minorHAnsi" w:cstheme="minorHAnsi"/>
          <w:i/>
          <w:sz w:val="22"/>
          <w:szCs w:val="22"/>
        </w:rPr>
        <w:t>purpose</w:t>
      </w:r>
      <w:r w:rsidRPr="00153204">
        <w:rPr>
          <w:rFonts w:asciiTheme="minorHAnsi" w:hAnsiTheme="minorHAnsi" w:cstheme="minorHAnsi"/>
          <w:i/>
          <w:spacing w:val="60"/>
          <w:sz w:val="22"/>
          <w:szCs w:val="22"/>
        </w:rPr>
        <w:t xml:space="preserve"> </w:t>
      </w:r>
      <w:r w:rsidRPr="00153204">
        <w:rPr>
          <w:rFonts w:asciiTheme="minorHAnsi" w:hAnsiTheme="minorHAnsi" w:cstheme="minorHAnsi"/>
          <w:i/>
          <w:sz w:val="22"/>
          <w:szCs w:val="22"/>
        </w:rPr>
        <w:t>of</w:t>
      </w:r>
      <w:r w:rsidRPr="00153204">
        <w:rPr>
          <w:rFonts w:asciiTheme="minorHAnsi" w:hAnsiTheme="minorHAnsi" w:cstheme="minorHAnsi"/>
          <w:i/>
          <w:spacing w:val="1"/>
          <w:sz w:val="22"/>
          <w:szCs w:val="22"/>
        </w:rPr>
        <w:t xml:space="preserve"> </w:t>
      </w:r>
      <w:r w:rsidRPr="00153204">
        <w:rPr>
          <w:rFonts w:asciiTheme="minorHAnsi" w:hAnsiTheme="minorHAnsi" w:cstheme="minorHAnsi"/>
          <w:i/>
          <w:sz w:val="22"/>
          <w:szCs w:val="22"/>
        </w:rPr>
        <w:t>calculation</w:t>
      </w:r>
      <w:r w:rsidRPr="00153204">
        <w:rPr>
          <w:rFonts w:asciiTheme="minorHAnsi" w:hAnsiTheme="minorHAnsi" w:cstheme="minorHAnsi"/>
          <w:i/>
          <w:spacing w:val="-4"/>
          <w:sz w:val="22"/>
          <w:szCs w:val="22"/>
        </w:rPr>
        <w:t xml:space="preserve"> </w:t>
      </w:r>
      <w:r w:rsidRPr="00153204">
        <w:rPr>
          <w:rFonts w:asciiTheme="minorHAnsi" w:hAnsiTheme="minorHAnsi" w:cstheme="minorHAnsi"/>
          <w:i/>
          <w:sz w:val="22"/>
          <w:szCs w:val="22"/>
        </w:rPr>
        <w:t>of</w:t>
      </w:r>
      <w:r w:rsidRPr="00153204">
        <w:rPr>
          <w:rFonts w:asciiTheme="minorHAnsi" w:hAnsiTheme="minorHAnsi" w:cstheme="minorHAnsi"/>
          <w:i/>
          <w:spacing w:val="-6"/>
          <w:sz w:val="22"/>
          <w:szCs w:val="22"/>
        </w:rPr>
        <w:t xml:space="preserve"> </w:t>
      </w:r>
      <w:r w:rsidRPr="00153204">
        <w:rPr>
          <w:rFonts w:asciiTheme="minorHAnsi" w:hAnsiTheme="minorHAnsi" w:cstheme="minorHAnsi"/>
          <w:i/>
          <w:sz w:val="22"/>
          <w:szCs w:val="22"/>
        </w:rPr>
        <w:t>Return</w:t>
      </w:r>
      <w:r w:rsidRPr="00153204">
        <w:rPr>
          <w:rFonts w:asciiTheme="minorHAnsi" w:hAnsiTheme="minorHAnsi" w:cstheme="minorHAnsi"/>
          <w:i/>
          <w:spacing w:val="-3"/>
          <w:sz w:val="22"/>
          <w:szCs w:val="22"/>
        </w:rPr>
        <w:t xml:space="preserve"> </w:t>
      </w:r>
      <w:r w:rsidRPr="00153204">
        <w:rPr>
          <w:rFonts w:asciiTheme="minorHAnsi" w:hAnsiTheme="minorHAnsi" w:cstheme="minorHAnsi"/>
          <w:i/>
          <w:sz w:val="22"/>
          <w:szCs w:val="22"/>
        </w:rPr>
        <w:t>on</w:t>
      </w:r>
      <w:r w:rsidRPr="00153204">
        <w:rPr>
          <w:rFonts w:asciiTheme="minorHAnsi" w:hAnsiTheme="minorHAnsi" w:cstheme="minorHAnsi"/>
          <w:i/>
          <w:spacing w:val="-3"/>
          <w:sz w:val="22"/>
          <w:szCs w:val="22"/>
        </w:rPr>
        <w:t xml:space="preserve"> </w:t>
      </w:r>
      <w:r w:rsidRPr="00153204">
        <w:rPr>
          <w:rFonts w:asciiTheme="minorHAnsi" w:hAnsiTheme="minorHAnsi" w:cstheme="minorHAnsi"/>
          <w:i/>
          <w:sz w:val="22"/>
          <w:szCs w:val="22"/>
        </w:rPr>
        <w:t>Equity.</w:t>
      </w:r>
    </w:p>
    <w:p w14:paraId="6B537BD5" w14:textId="77777777" w:rsidR="00995DAA" w:rsidRPr="00153204" w:rsidRDefault="00995DAA" w:rsidP="007D3E57">
      <w:pPr>
        <w:widowControl w:val="0"/>
        <w:autoSpaceDE w:val="0"/>
        <w:autoSpaceDN w:val="0"/>
        <w:spacing w:before="116" w:line="280" w:lineRule="auto"/>
        <w:ind w:left="1276" w:right="223"/>
        <w:jc w:val="both"/>
        <w:rPr>
          <w:rFonts w:asciiTheme="minorHAnsi" w:hAnsiTheme="minorHAnsi" w:cstheme="minorHAnsi"/>
          <w:i/>
          <w:sz w:val="22"/>
          <w:szCs w:val="22"/>
        </w:rPr>
      </w:pPr>
    </w:p>
    <w:p w14:paraId="7EBA51F9" w14:textId="77777777" w:rsidR="00C627B1" w:rsidRPr="00153204" w:rsidRDefault="00C627B1" w:rsidP="00AB536C">
      <w:pPr>
        <w:widowControl w:val="0"/>
        <w:numPr>
          <w:ilvl w:val="3"/>
          <w:numId w:val="12"/>
        </w:numPr>
        <w:tabs>
          <w:tab w:val="left" w:pos="2208"/>
        </w:tabs>
        <w:autoSpaceDE w:val="0"/>
        <w:autoSpaceDN w:val="0"/>
        <w:spacing w:before="111" w:line="278" w:lineRule="auto"/>
        <w:ind w:left="1276" w:right="221" w:firstLine="0"/>
        <w:jc w:val="both"/>
        <w:rPr>
          <w:rFonts w:asciiTheme="minorHAnsi" w:hAnsiTheme="minorHAnsi" w:cstheme="minorHAnsi"/>
          <w:i/>
          <w:sz w:val="22"/>
          <w:szCs w:val="22"/>
        </w:rPr>
      </w:pPr>
      <w:r w:rsidRPr="00153204">
        <w:rPr>
          <w:rFonts w:asciiTheme="minorHAnsi" w:hAnsiTheme="minorHAnsi" w:cstheme="minorHAnsi"/>
          <w:i/>
          <w:sz w:val="22"/>
          <w:szCs w:val="22"/>
        </w:rPr>
        <w:t>The premium if any, raised by the Distribution Licensee while issuing share</w:t>
      </w:r>
      <w:r w:rsidRPr="00153204">
        <w:rPr>
          <w:rFonts w:asciiTheme="minorHAnsi" w:hAnsiTheme="minorHAnsi" w:cstheme="minorHAnsi"/>
          <w:i/>
          <w:spacing w:val="1"/>
          <w:sz w:val="22"/>
          <w:szCs w:val="22"/>
        </w:rPr>
        <w:t xml:space="preserve"> </w:t>
      </w:r>
      <w:r w:rsidRPr="00153204">
        <w:rPr>
          <w:rFonts w:asciiTheme="minorHAnsi" w:hAnsiTheme="minorHAnsi" w:cstheme="minorHAnsi"/>
          <w:i/>
          <w:sz w:val="22"/>
          <w:szCs w:val="22"/>
        </w:rPr>
        <w:t>capital and investment of internal resources created out of free reserve, if any,</w:t>
      </w:r>
      <w:r w:rsidRPr="00153204">
        <w:rPr>
          <w:rFonts w:asciiTheme="minorHAnsi" w:hAnsiTheme="minorHAnsi" w:cstheme="minorHAnsi"/>
          <w:i/>
          <w:spacing w:val="1"/>
          <w:sz w:val="22"/>
          <w:szCs w:val="22"/>
        </w:rPr>
        <w:t xml:space="preserve"> </w:t>
      </w:r>
      <w:r w:rsidRPr="00153204">
        <w:rPr>
          <w:rFonts w:asciiTheme="minorHAnsi" w:hAnsiTheme="minorHAnsi" w:cstheme="minorHAnsi"/>
          <w:i/>
          <w:sz w:val="22"/>
          <w:szCs w:val="22"/>
        </w:rPr>
        <w:t>shall also be reckoned as paid-up capital for the purpose of computing return on</w:t>
      </w:r>
      <w:r w:rsidRPr="00153204">
        <w:rPr>
          <w:rFonts w:asciiTheme="minorHAnsi" w:hAnsiTheme="minorHAnsi" w:cstheme="minorHAnsi"/>
          <w:i/>
          <w:spacing w:val="1"/>
          <w:sz w:val="22"/>
          <w:szCs w:val="22"/>
        </w:rPr>
        <w:t xml:space="preserve"> </w:t>
      </w:r>
      <w:r w:rsidRPr="00153204">
        <w:rPr>
          <w:rFonts w:asciiTheme="minorHAnsi" w:hAnsiTheme="minorHAnsi" w:cstheme="minorHAnsi"/>
          <w:i/>
          <w:sz w:val="22"/>
          <w:szCs w:val="22"/>
        </w:rPr>
        <w:t>equity,</w:t>
      </w:r>
      <w:r w:rsidRPr="00153204">
        <w:rPr>
          <w:rFonts w:asciiTheme="minorHAnsi" w:hAnsiTheme="minorHAnsi" w:cstheme="minorHAnsi"/>
          <w:i/>
          <w:spacing w:val="1"/>
          <w:sz w:val="22"/>
          <w:szCs w:val="22"/>
        </w:rPr>
        <w:t xml:space="preserve"> </w:t>
      </w:r>
      <w:r w:rsidRPr="00153204">
        <w:rPr>
          <w:rFonts w:asciiTheme="minorHAnsi" w:hAnsiTheme="minorHAnsi" w:cstheme="minorHAnsi"/>
          <w:i/>
          <w:sz w:val="22"/>
          <w:szCs w:val="22"/>
        </w:rPr>
        <w:t>provided</w:t>
      </w:r>
      <w:r w:rsidRPr="00153204">
        <w:rPr>
          <w:rFonts w:asciiTheme="minorHAnsi" w:hAnsiTheme="minorHAnsi" w:cstheme="minorHAnsi"/>
          <w:i/>
          <w:spacing w:val="1"/>
          <w:sz w:val="22"/>
          <w:szCs w:val="22"/>
        </w:rPr>
        <w:t xml:space="preserve"> </w:t>
      </w:r>
      <w:r w:rsidRPr="00153204">
        <w:rPr>
          <w:rFonts w:asciiTheme="minorHAnsi" w:hAnsiTheme="minorHAnsi" w:cstheme="minorHAnsi"/>
          <w:i/>
          <w:sz w:val="22"/>
          <w:szCs w:val="22"/>
        </w:rPr>
        <w:t>such</w:t>
      </w:r>
      <w:r w:rsidRPr="00153204">
        <w:rPr>
          <w:rFonts w:asciiTheme="minorHAnsi" w:hAnsiTheme="minorHAnsi" w:cstheme="minorHAnsi"/>
          <w:i/>
          <w:spacing w:val="1"/>
          <w:sz w:val="22"/>
          <w:szCs w:val="22"/>
        </w:rPr>
        <w:t xml:space="preserve"> </w:t>
      </w:r>
      <w:r w:rsidRPr="00153204">
        <w:rPr>
          <w:rFonts w:asciiTheme="minorHAnsi" w:hAnsiTheme="minorHAnsi" w:cstheme="minorHAnsi"/>
          <w:i/>
          <w:sz w:val="22"/>
          <w:szCs w:val="22"/>
        </w:rPr>
        <w:t>premium</w:t>
      </w:r>
      <w:r w:rsidRPr="00153204">
        <w:rPr>
          <w:rFonts w:asciiTheme="minorHAnsi" w:hAnsiTheme="minorHAnsi" w:cstheme="minorHAnsi"/>
          <w:i/>
          <w:spacing w:val="1"/>
          <w:sz w:val="22"/>
          <w:szCs w:val="22"/>
        </w:rPr>
        <w:t xml:space="preserve"> </w:t>
      </w:r>
      <w:r w:rsidRPr="00153204">
        <w:rPr>
          <w:rFonts w:asciiTheme="minorHAnsi" w:hAnsiTheme="minorHAnsi" w:cstheme="minorHAnsi"/>
          <w:i/>
          <w:sz w:val="22"/>
          <w:szCs w:val="22"/>
        </w:rPr>
        <w:t>amount</w:t>
      </w:r>
      <w:r w:rsidRPr="00153204">
        <w:rPr>
          <w:rFonts w:asciiTheme="minorHAnsi" w:hAnsiTheme="minorHAnsi" w:cstheme="minorHAnsi"/>
          <w:i/>
          <w:spacing w:val="1"/>
          <w:sz w:val="22"/>
          <w:szCs w:val="22"/>
        </w:rPr>
        <w:t xml:space="preserve"> </w:t>
      </w:r>
      <w:r w:rsidRPr="00153204">
        <w:rPr>
          <w:rFonts w:asciiTheme="minorHAnsi" w:hAnsiTheme="minorHAnsi" w:cstheme="minorHAnsi"/>
          <w:i/>
          <w:sz w:val="22"/>
          <w:szCs w:val="22"/>
        </w:rPr>
        <w:t>and</w:t>
      </w:r>
      <w:r w:rsidRPr="00153204">
        <w:rPr>
          <w:rFonts w:asciiTheme="minorHAnsi" w:hAnsiTheme="minorHAnsi" w:cstheme="minorHAnsi"/>
          <w:i/>
          <w:spacing w:val="1"/>
          <w:sz w:val="22"/>
          <w:szCs w:val="22"/>
        </w:rPr>
        <w:t xml:space="preserve"> </w:t>
      </w:r>
      <w:r w:rsidRPr="00153204">
        <w:rPr>
          <w:rFonts w:asciiTheme="minorHAnsi" w:hAnsiTheme="minorHAnsi" w:cstheme="minorHAnsi"/>
          <w:i/>
          <w:sz w:val="22"/>
          <w:szCs w:val="22"/>
        </w:rPr>
        <w:t>internal</w:t>
      </w:r>
      <w:r w:rsidRPr="00153204">
        <w:rPr>
          <w:rFonts w:asciiTheme="minorHAnsi" w:hAnsiTheme="minorHAnsi" w:cstheme="minorHAnsi"/>
          <w:i/>
          <w:spacing w:val="1"/>
          <w:sz w:val="22"/>
          <w:szCs w:val="22"/>
        </w:rPr>
        <w:t xml:space="preserve"> </w:t>
      </w:r>
      <w:r w:rsidRPr="00153204">
        <w:rPr>
          <w:rFonts w:asciiTheme="minorHAnsi" w:hAnsiTheme="minorHAnsi" w:cstheme="minorHAnsi"/>
          <w:i/>
          <w:sz w:val="22"/>
          <w:szCs w:val="22"/>
        </w:rPr>
        <w:t>resources</w:t>
      </w:r>
      <w:r w:rsidRPr="00153204">
        <w:rPr>
          <w:rFonts w:asciiTheme="minorHAnsi" w:hAnsiTheme="minorHAnsi" w:cstheme="minorHAnsi"/>
          <w:i/>
          <w:spacing w:val="1"/>
          <w:sz w:val="22"/>
          <w:szCs w:val="22"/>
        </w:rPr>
        <w:t xml:space="preserve"> </w:t>
      </w:r>
      <w:r w:rsidRPr="00153204">
        <w:rPr>
          <w:rFonts w:asciiTheme="minorHAnsi" w:hAnsiTheme="minorHAnsi" w:cstheme="minorHAnsi"/>
          <w:i/>
          <w:sz w:val="22"/>
          <w:szCs w:val="22"/>
        </w:rPr>
        <w:t>are</w:t>
      </w:r>
      <w:r w:rsidRPr="00153204">
        <w:rPr>
          <w:rFonts w:asciiTheme="minorHAnsi" w:hAnsiTheme="minorHAnsi" w:cstheme="minorHAnsi"/>
          <w:i/>
          <w:spacing w:val="1"/>
          <w:sz w:val="22"/>
          <w:szCs w:val="22"/>
        </w:rPr>
        <w:t xml:space="preserve"> </w:t>
      </w:r>
      <w:r w:rsidRPr="00153204">
        <w:rPr>
          <w:rFonts w:asciiTheme="minorHAnsi" w:hAnsiTheme="minorHAnsi" w:cstheme="minorHAnsi"/>
          <w:i/>
          <w:sz w:val="22"/>
          <w:szCs w:val="22"/>
        </w:rPr>
        <w:t>actually</w:t>
      </w:r>
      <w:r w:rsidRPr="00153204">
        <w:rPr>
          <w:rFonts w:asciiTheme="minorHAnsi" w:hAnsiTheme="minorHAnsi" w:cstheme="minorHAnsi"/>
          <w:i/>
          <w:spacing w:val="1"/>
          <w:sz w:val="22"/>
          <w:szCs w:val="22"/>
        </w:rPr>
        <w:t xml:space="preserve"> </w:t>
      </w:r>
      <w:r w:rsidRPr="00153204">
        <w:rPr>
          <w:rFonts w:asciiTheme="minorHAnsi" w:hAnsiTheme="minorHAnsi" w:cstheme="minorHAnsi"/>
          <w:i/>
          <w:sz w:val="22"/>
          <w:szCs w:val="22"/>
        </w:rPr>
        <w:t>utilized for meeting capital expenditure, and are within the ceiling of 30% of</w:t>
      </w:r>
      <w:r w:rsidRPr="00153204">
        <w:rPr>
          <w:rFonts w:asciiTheme="minorHAnsi" w:hAnsiTheme="minorHAnsi" w:cstheme="minorHAnsi"/>
          <w:i/>
          <w:spacing w:val="1"/>
          <w:sz w:val="22"/>
          <w:szCs w:val="22"/>
        </w:rPr>
        <w:t xml:space="preserve"> </w:t>
      </w:r>
      <w:r w:rsidRPr="00153204">
        <w:rPr>
          <w:rFonts w:asciiTheme="minorHAnsi" w:hAnsiTheme="minorHAnsi" w:cstheme="minorHAnsi"/>
          <w:i/>
          <w:sz w:val="22"/>
          <w:szCs w:val="22"/>
        </w:rPr>
        <w:t>capital</w:t>
      </w:r>
      <w:r w:rsidRPr="00153204">
        <w:rPr>
          <w:rFonts w:asciiTheme="minorHAnsi" w:hAnsiTheme="minorHAnsi" w:cstheme="minorHAnsi"/>
          <w:i/>
          <w:spacing w:val="-8"/>
          <w:sz w:val="22"/>
          <w:szCs w:val="22"/>
        </w:rPr>
        <w:t xml:space="preserve"> </w:t>
      </w:r>
      <w:r w:rsidRPr="00153204">
        <w:rPr>
          <w:rFonts w:asciiTheme="minorHAnsi" w:hAnsiTheme="minorHAnsi" w:cstheme="minorHAnsi"/>
          <w:i/>
          <w:sz w:val="22"/>
          <w:szCs w:val="22"/>
        </w:rPr>
        <w:t>cost</w:t>
      </w:r>
      <w:r w:rsidRPr="00153204">
        <w:rPr>
          <w:rFonts w:asciiTheme="minorHAnsi" w:hAnsiTheme="minorHAnsi" w:cstheme="minorHAnsi"/>
          <w:i/>
          <w:spacing w:val="7"/>
          <w:sz w:val="22"/>
          <w:szCs w:val="22"/>
        </w:rPr>
        <w:t xml:space="preserve"> </w:t>
      </w:r>
      <w:r w:rsidRPr="00153204">
        <w:rPr>
          <w:rFonts w:asciiTheme="minorHAnsi" w:hAnsiTheme="minorHAnsi" w:cstheme="minorHAnsi"/>
          <w:i/>
          <w:sz w:val="22"/>
          <w:szCs w:val="22"/>
        </w:rPr>
        <w:t>approved</w:t>
      </w:r>
      <w:r w:rsidRPr="00153204">
        <w:rPr>
          <w:rFonts w:asciiTheme="minorHAnsi" w:hAnsiTheme="minorHAnsi" w:cstheme="minorHAnsi"/>
          <w:i/>
          <w:spacing w:val="2"/>
          <w:sz w:val="22"/>
          <w:szCs w:val="22"/>
        </w:rPr>
        <w:t xml:space="preserve"> </w:t>
      </w:r>
      <w:r w:rsidRPr="00153204">
        <w:rPr>
          <w:rFonts w:asciiTheme="minorHAnsi" w:hAnsiTheme="minorHAnsi" w:cstheme="minorHAnsi"/>
          <w:i/>
          <w:sz w:val="22"/>
          <w:szCs w:val="22"/>
        </w:rPr>
        <w:t>by</w:t>
      </w:r>
      <w:r w:rsidRPr="00153204">
        <w:rPr>
          <w:rFonts w:asciiTheme="minorHAnsi" w:hAnsiTheme="minorHAnsi" w:cstheme="minorHAnsi"/>
          <w:i/>
          <w:spacing w:val="-7"/>
          <w:sz w:val="22"/>
          <w:szCs w:val="22"/>
        </w:rPr>
        <w:t xml:space="preserve"> </w:t>
      </w:r>
      <w:r w:rsidRPr="00153204">
        <w:rPr>
          <w:rFonts w:asciiTheme="minorHAnsi" w:hAnsiTheme="minorHAnsi" w:cstheme="minorHAnsi"/>
          <w:i/>
          <w:sz w:val="22"/>
          <w:szCs w:val="22"/>
        </w:rPr>
        <w:t>the Commission.</w:t>
      </w:r>
    </w:p>
    <w:p w14:paraId="4CE7C082" w14:textId="77777777" w:rsidR="00C627B1" w:rsidRPr="00153204" w:rsidRDefault="00C627B1" w:rsidP="00AB536C">
      <w:pPr>
        <w:widowControl w:val="0"/>
        <w:numPr>
          <w:ilvl w:val="3"/>
          <w:numId w:val="12"/>
        </w:numPr>
        <w:tabs>
          <w:tab w:val="left" w:pos="2208"/>
        </w:tabs>
        <w:autoSpaceDE w:val="0"/>
        <w:autoSpaceDN w:val="0"/>
        <w:spacing w:before="119" w:line="280" w:lineRule="auto"/>
        <w:ind w:left="1276" w:right="228" w:firstLine="0"/>
        <w:jc w:val="both"/>
        <w:rPr>
          <w:rFonts w:asciiTheme="minorHAnsi" w:hAnsiTheme="minorHAnsi" w:cstheme="minorHAnsi"/>
          <w:i/>
          <w:sz w:val="22"/>
          <w:szCs w:val="22"/>
        </w:rPr>
      </w:pPr>
      <w:r w:rsidRPr="00153204">
        <w:rPr>
          <w:rFonts w:asciiTheme="minorHAnsi" w:hAnsiTheme="minorHAnsi" w:cstheme="minorHAnsi"/>
          <w:i/>
          <w:sz w:val="22"/>
          <w:szCs w:val="22"/>
        </w:rPr>
        <w:t>In case of foreign currency brought as capital, the Commission may consider a</w:t>
      </w:r>
      <w:r w:rsidRPr="00153204">
        <w:rPr>
          <w:rFonts w:asciiTheme="minorHAnsi" w:hAnsiTheme="minorHAnsi" w:cstheme="minorHAnsi"/>
          <w:i/>
          <w:spacing w:val="1"/>
          <w:sz w:val="22"/>
          <w:szCs w:val="22"/>
        </w:rPr>
        <w:t xml:space="preserve"> </w:t>
      </w:r>
      <w:r w:rsidRPr="00153204">
        <w:rPr>
          <w:rFonts w:asciiTheme="minorHAnsi" w:hAnsiTheme="minorHAnsi" w:cstheme="minorHAnsi"/>
          <w:i/>
          <w:sz w:val="22"/>
          <w:szCs w:val="22"/>
        </w:rPr>
        <w:t>separate</w:t>
      </w:r>
      <w:r w:rsidRPr="00153204">
        <w:rPr>
          <w:rFonts w:asciiTheme="minorHAnsi" w:hAnsiTheme="minorHAnsi" w:cstheme="minorHAnsi"/>
          <w:i/>
          <w:spacing w:val="-2"/>
          <w:sz w:val="22"/>
          <w:szCs w:val="22"/>
        </w:rPr>
        <w:t xml:space="preserve"> </w:t>
      </w:r>
      <w:r w:rsidRPr="00153204">
        <w:rPr>
          <w:rFonts w:asciiTheme="minorHAnsi" w:hAnsiTheme="minorHAnsi" w:cstheme="minorHAnsi"/>
          <w:i/>
          <w:sz w:val="22"/>
          <w:szCs w:val="22"/>
        </w:rPr>
        <w:t>rate</w:t>
      </w:r>
      <w:r w:rsidRPr="00153204">
        <w:rPr>
          <w:rFonts w:asciiTheme="minorHAnsi" w:hAnsiTheme="minorHAnsi" w:cstheme="minorHAnsi"/>
          <w:i/>
          <w:spacing w:val="-5"/>
          <w:sz w:val="22"/>
          <w:szCs w:val="22"/>
        </w:rPr>
        <w:t xml:space="preserve"> </w:t>
      </w:r>
      <w:r w:rsidRPr="00153204">
        <w:rPr>
          <w:rFonts w:asciiTheme="minorHAnsi" w:hAnsiTheme="minorHAnsi" w:cstheme="minorHAnsi"/>
          <w:i/>
          <w:sz w:val="22"/>
          <w:szCs w:val="22"/>
        </w:rPr>
        <w:t>of</w:t>
      </w:r>
      <w:r w:rsidRPr="00153204">
        <w:rPr>
          <w:rFonts w:asciiTheme="minorHAnsi" w:hAnsiTheme="minorHAnsi" w:cstheme="minorHAnsi"/>
          <w:i/>
          <w:spacing w:val="-8"/>
          <w:sz w:val="22"/>
          <w:szCs w:val="22"/>
        </w:rPr>
        <w:t xml:space="preserve"> </w:t>
      </w:r>
      <w:r w:rsidRPr="00153204">
        <w:rPr>
          <w:rFonts w:asciiTheme="minorHAnsi" w:hAnsiTheme="minorHAnsi" w:cstheme="minorHAnsi"/>
          <w:i/>
          <w:sz w:val="22"/>
          <w:szCs w:val="22"/>
        </w:rPr>
        <w:t>return if</w:t>
      </w:r>
      <w:r w:rsidRPr="00153204">
        <w:rPr>
          <w:rFonts w:asciiTheme="minorHAnsi" w:hAnsiTheme="minorHAnsi" w:cstheme="minorHAnsi"/>
          <w:i/>
          <w:spacing w:val="-3"/>
          <w:sz w:val="22"/>
          <w:szCs w:val="22"/>
        </w:rPr>
        <w:t xml:space="preserve"> </w:t>
      </w:r>
      <w:r w:rsidRPr="00153204">
        <w:rPr>
          <w:rFonts w:asciiTheme="minorHAnsi" w:hAnsiTheme="minorHAnsi" w:cstheme="minorHAnsi"/>
          <w:i/>
          <w:sz w:val="22"/>
          <w:szCs w:val="22"/>
        </w:rPr>
        <w:t>foreign</w:t>
      </w:r>
      <w:r w:rsidRPr="00153204">
        <w:rPr>
          <w:rFonts w:asciiTheme="minorHAnsi" w:hAnsiTheme="minorHAnsi" w:cstheme="minorHAnsi"/>
          <w:i/>
          <w:spacing w:val="-5"/>
          <w:sz w:val="22"/>
          <w:szCs w:val="22"/>
        </w:rPr>
        <w:t xml:space="preserve"> </w:t>
      </w:r>
      <w:r w:rsidRPr="00153204">
        <w:rPr>
          <w:rFonts w:asciiTheme="minorHAnsi" w:hAnsiTheme="minorHAnsi" w:cstheme="minorHAnsi"/>
          <w:i/>
          <w:sz w:val="22"/>
          <w:szCs w:val="22"/>
        </w:rPr>
        <w:t>exchange</w:t>
      </w:r>
      <w:r w:rsidRPr="00153204">
        <w:rPr>
          <w:rFonts w:asciiTheme="minorHAnsi" w:hAnsiTheme="minorHAnsi" w:cstheme="minorHAnsi"/>
          <w:i/>
          <w:spacing w:val="3"/>
          <w:sz w:val="22"/>
          <w:szCs w:val="22"/>
        </w:rPr>
        <w:t xml:space="preserve"> </w:t>
      </w:r>
      <w:r w:rsidRPr="00153204">
        <w:rPr>
          <w:rFonts w:asciiTheme="minorHAnsi" w:hAnsiTheme="minorHAnsi" w:cstheme="minorHAnsi"/>
          <w:i/>
          <w:sz w:val="22"/>
          <w:szCs w:val="22"/>
        </w:rPr>
        <w:t>variation is</w:t>
      </w:r>
      <w:r w:rsidRPr="00153204">
        <w:rPr>
          <w:rFonts w:asciiTheme="minorHAnsi" w:hAnsiTheme="minorHAnsi" w:cstheme="minorHAnsi"/>
          <w:i/>
          <w:spacing w:val="-2"/>
          <w:sz w:val="22"/>
          <w:szCs w:val="22"/>
        </w:rPr>
        <w:t xml:space="preserve"> </w:t>
      </w:r>
      <w:r w:rsidRPr="00153204">
        <w:rPr>
          <w:rFonts w:asciiTheme="minorHAnsi" w:hAnsiTheme="minorHAnsi" w:cstheme="minorHAnsi"/>
          <w:i/>
          <w:sz w:val="22"/>
          <w:szCs w:val="22"/>
        </w:rPr>
        <w:t>allowed</w:t>
      </w:r>
      <w:r w:rsidRPr="00153204">
        <w:rPr>
          <w:rFonts w:asciiTheme="minorHAnsi" w:hAnsiTheme="minorHAnsi" w:cstheme="minorHAnsi"/>
          <w:i/>
          <w:spacing w:val="-1"/>
          <w:sz w:val="22"/>
          <w:szCs w:val="22"/>
        </w:rPr>
        <w:t xml:space="preserve"> </w:t>
      </w:r>
      <w:r w:rsidRPr="00153204">
        <w:rPr>
          <w:rFonts w:asciiTheme="minorHAnsi" w:hAnsiTheme="minorHAnsi" w:cstheme="minorHAnsi"/>
          <w:i/>
          <w:sz w:val="22"/>
          <w:szCs w:val="22"/>
        </w:rPr>
        <w:t>as</w:t>
      </w:r>
      <w:r w:rsidRPr="00153204">
        <w:rPr>
          <w:rFonts w:asciiTheme="minorHAnsi" w:hAnsiTheme="minorHAnsi" w:cstheme="minorHAnsi"/>
          <w:i/>
          <w:spacing w:val="-2"/>
          <w:sz w:val="22"/>
          <w:szCs w:val="22"/>
        </w:rPr>
        <w:t xml:space="preserve"> </w:t>
      </w:r>
      <w:r w:rsidRPr="00153204">
        <w:rPr>
          <w:rFonts w:asciiTheme="minorHAnsi" w:hAnsiTheme="minorHAnsi" w:cstheme="minorHAnsi"/>
          <w:i/>
          <w:sz w:val="22"/>
          <w:szCs w:val="22"/>
        </w:rPr>
        <w:t>a</w:t>
      </w:r>
      <w:r w:rsidRPr="00153204">
        <w:rPr>
          <w:rFonts w:asciiTheme="minorHAnsi" w:hAnsiTheme="minorHAnsi" w:cstheme="minorHAnsi"/>
          <w:i/>
          <w:spacing w:val="-1"/>
          <w:sz w:val="22"/>
          <w:szCs w:val="22"/>
        </w:rPr>
        <w:t xml:space="preserve"> </w:t>
      </w:r>
      <w:r w:rsidRPr="00153204">
        <w:rPr>
          <w:rFonts w:asciiTheme="minorHAnsi" w:hAnsiTheme="minorHAnsi" w:cstheme="minorHAnsi"/>
          <w:i/>
          <w:sz w:val="22"/>
          <w:szCs w:val="22"/>
        </w:rPr>
        <w:t>pass</w:t>
      </w:r>
      <w:r w:rsidRPr="00153204">
        <w:rPr>
          <w:rFonts w:asciiTheme="minorHAnsi" w:hAnsiTheme="minorHAnsi" w:cstheme="minorHAnsi"/>
          <w:i/>
          <w:spacing w:val="-2"/>
          <w:sz w:val="22"/>
          <w:szCs w:val="22"/>
        </w:rPr>
        <w:t xml:space="preserve"> </w:t>
      </w:r>
      <w:r w:rsidRPr="00153204">
        <w:rPr>
          <w:rFonts w:asciiTheme="minorHAnsi" w:hAnsiTheme="minorHAnsi" w:cstheme="minorHAnsi"/>
          <w:i/>
          <w:sz w:val="22"/>
          <w:szCs w:val="22"/>
        </w:rPr>
        <w:t>through.</w:t>
      </w:r>
    </w:p>
    <w:p w14:paraId="71D10939" w14:textId="18FC12ED" w:rsidR="00C627B1" w:rsidRPr="00153204" w:rsidRDefault="00C627B1" w:rsidP="00AB536C">
      <w:pPr>
        <w:widowControl w:val="0"/>
        <w:numPr>
          <w:ilvl w:val="3"/>
          <w:numId w:val="12"/>
        </w:numPr>
        <w:tabs>
          <w:tab w:val="left" w:pos="2208"/>
        </w:tabs>
        <w:autoSpaceDE w:val="0"/>
        <w:autoSpaceDN w:val="0"/>
        <w:spacing w:before="118"/>
        <w:ind w:left="1276" w:firstLine="0"/>
        <w:jc w:val="both"/>
        <w:rPr>
          <w:rFonts w:asciiTheme="minorHAnsi" w:hAnsiTheme="minorHAnsi" w:cstheme="minorHAnsi"/>
          <w:i/>
          <w:sz w:val="22"/>
          <w:szCs w:val="22"/>
        </w:rPr>
      </w:pPr>
      <w:r w:rsidRPr="00153204">
        <w:rPr>
          <w:rFonts w:asciiTheme="minorHAnsi" w:hAnsiTheme="minorHAnsi" w:cstheme="minorHAnsi"/>
          <w:i/>
          <w:sz w:val="22"/>
          <w:szCs w:val="22"/>
        </w:rPr>
        <w:t>The tax</w:t>
      </w:r>
      <w:r w:rsidRPr="00153204">
        <w:rPr>
          <w:rFonts w:asciiTheme="minorHAnsi" w:hAnsiTheme="minorHAnsi" w:cstheme="minorHAnsi"/>
          <w:i/>
          <w:spacing w:val="-3"/>
          <w:sz w:val="22"/>
          <w:szCs w:val="22"/>
        </w:rPr>
        <w:t xml:space="preserve"> </w:t>
      </w:r>
      <w:r w:rsidRPr="00153204">
        <w:rPr>
          <w:rFonts w:asciiTheme="minorHAnsi" w:hAnsiTheme="minorHAnsi" w:cstheme="minorHAnsi"/>
          <w:i/>
          <w:sz w:val="22"/>
          <w:szCs w:val="22"/>
        </w:rPr>
        <w:t>only</w:t>
      </w:r>
      <w:r w:rsidRPr="00153204">
        <w:rPr>
          <w:rFonts w:asciiTheme="minorHAnsi" w:hAnsiTheme="minorHAnsi" w:cstheme="minorHAnsi"/>
          <w:i/>
          <w:spacing w:val="-7"/>
          <w:sz w:val="22"/>
          <w:szCs w:val="22"/>
        </w:rPr>
        <w:t xml:space="preserve"> </w:t>
      </w:r>
      <w:r w:rsidRPr="00153204">
        <w:rPr>
          <w:rFonts w:asciiTheme="minorHAnsi" w:hAnsiTheme="minorHAnsi" w:cstheme="minorHAnsi"/>
          <w:i/>
          <w:sz w:val="22"/>
          <w:szCs w:val="22"/>
        </w:rPr>
        <w:t>to</w:t>
      </w:r>
      <w:r w:rsidRPr="00153204">
        <w:rPr>
          <w:rFonts w:asciiTheme="minorHAnsi" w:hAnsiTheme="minorHAnsi" w:cstheme="minorHAnsi"/>
          <w:i/>
          <w:spacing w:val="2"/>
          <w:sz w:val="22"/>
          <w:szCs w:val="22"/>
        </w:rPr>
        <w:t xml:space="preserve"> </w:t>
      </w:r>
      <w:r w:rsidRPr="00153204">
        <w:rPr>
          <w:rFonts w:asciiTheme="minorHAnsi" w:hAnsiTheme="minorHAnsi" w:cstheme="minorHAnsi"/>
          <w:i/>
          <w:sz w:val="22"/>
          <w:szCs w:val="22"/>
        </w:rPr>
        <w:t>the</w:t>
      </w:r>
      <w:r w:rsidRPr="00153204">
        <w:rPr>
          <w:rFonts w:asciiTheme="minorHAnsi" w:hAnsiTheme="minorHAnsi" w:cstheme="minorHAnsi"/>
          <w:i/>
          <w:spacing w:val="1"/>
          <w:sz w:val="22"/>
          <w:szCs w:val="22"/>
        </w:rPr>
        <w:t xml:space="preserve"> </w:t>
      </w:r>
      <w:r w:rsidRPr="00153204">
        <w:rPr>
          <w:rFonts w:asciiTheme="minorHAnsi" w:hAnsiTheme="minorHAnsi" w:cstheme="minorHAnsi"/>
          <w:i/>
          <w:sz w:val="22"/>
          <w:szCs w:val="22"/>
        </w:rPr>
        <w:t>extent</w:t>
      </w:r>
      <w:r w:rsidRPr="00153204">
        <w:rPr>
          <w:rFonts w:asciiTheme="minorHAnsi" w:hAnsiTheme="minorHAnsi" w:cstheme="minorHAnsi"/>
          <w:i/>
          <w:spacing w:val="3"/>
          <w:sz w:val="22"/>
          <w:szCs w:val="22"/>
        </w:rPr>
        <w:t xml:space="preserve"> </w:t>
      </w:r>
      <w:r w:rsidRPr="00153204">
        <w:rPr>
          <w:rFonts w:asciiTheme="minorHAnsi" w:hAnsiTheme="minorHAnsi" w:cstheme="minorHAnsi"/>
          <w:i/>
          <w:sz w:val="22"/>
          <w:szCs w:val="22"/>
        </w:rPr>
        <w:t>of</w:t>
      </w:r>
      <w:r w:rsidRPr="00153204">
        <w:rPr>
          <w:rFonts w:asciiTheme="minorHAnsi" w:hAnsiTheme="minorHAnsi" w:cstheme="minorHAnsi"/>
          <w:i/>
          <w:spacing w:val="-6"/>
          <w:sz w:val="22"/>
          <w:szCs w:val="22"/>
        </w:rPr>
        <w:t xml:space="preserve"> </w:t>
      </w:r>
      <w:r w:rsidRPr="00153204">
        <w:rPr>
          <w:rFonts w:asciiTheme="minorHAnsi" w:hAnsiTheme="minorHAnsi" w:cstheme="minorHAnsi"/>
          <w:i/>
          <w:sz w:val="22"/>
          <w:szCs w:val="22"/>
        </w:rPr>
        <w:t>the</w:t>
      </w:r>
      <w:r w:rsidRPr="00153204">
        <w:rPr>
          <w:rFonts w:asciiTheme="minorHAnsi" w:hAnsiTheme="minorHAnsi" w:cstheme="minorHAnsi"/>
          <w:i/>
          <w:spacing w:val="-3"/>
          <w:sz w:val="22"/>
          <w:szCs w:val="22"/>
        </w:rPr>
        <w:t xml:space="preserve"> </w:t>
      </w:r>
      <w:r w:rsidRPr="00153204">
        <w:rPr>
          <w:rFonts w:asciiTheme="minorHAnsi" w:hAnsiTheme="minorHAnsi" w:cstheme="minorHAnsi"/>
          <w:i/>
          <w:sz w:val="22"/>
          <w:szCs w:val="22"/>
        </w:rPr>
        <w:t>tax</w:t>
      </w:r>
      <w:r w:rsidRPr="00153204">
        <w:rPr>
          <w:rFonts w:asciiTheme="minorHAnsi" w:hAnsiTheme="minorHAnsi" w:cstheme="minorHAnsi"/>
          <w:i/>
          <w:spacing w:val="-3"/>
          <w:sz w:val="22"/>
          <w:szCs w:val="22"/>
        </w:rPr>
        <w:t xml:space="preserve"> </w:t>
      </w:r>
      <w:r w:rsidRPr="00153204">
        <w:rPr>
          <w:rFonts w:asciiTheme="minorHAnsi" w:hAnsiTheme="minorHAnsi" w:cstheme="minorHAnsi"/>
          <w:i/>
          <w:sz w:val="22"/>
          <w:szCs w:val="22"/>
        </w:rPr>
        <w:t>on</w:t>
      </w:r>
      <w:r w:rsidRPr="00153204">
        <w:rPr>
          <w:rFonts w:asciiTheme="minorHAnsi" w:hAnsiTheme="minorHAnsi" w:cstheme="minorHAnsi"/>
          <w:i/>
          <w:spacing w:val="-3"/>
          <w:sz w:val="22"/>
          <w:szCs w:val="22"/>
        </w:rPr>
        <w:t xml:space="preserve"> </w:t>
      </w:r>
      <w:r w:rsidRPr="00153204">
        <w:rPr>
          <w:rFonts w:asciiTheme="minorHAnsi" w:hAnsiTheme="minorHAnsi" w:cstheme="minorHAnsi"/>
          <w:i/>
          <w:sz w:val="22"/>
          <w:szCs w:val="22"/>
        </w:rPr>
        <w:t>return</w:t>
      </w:r>
      <w:r w:rsidRPr="00153204">
        <w:rPr>
          <w:rFonts w:asciiTheme="minorHAnsi" w:hAnsiTheme="minorHAnsi" w:cstheme="minorHAnsi"/>
          <w:i/>
          <w:spacing w:val="-3"/>
          <w:sz w:val="22"/>
          <w:szCs w:val="22"/>
        </w:rPr>
        <w:t xml:space="preserve"> </w:t>
      </w:r>
      <w:r w:rsidRPr="00153204">
        <w:rPr>
          <w:rFonts w:asciiTheme="minorHAnsi" w:hAnsiTheme="minorHAnsi" w:cstheme="minorHAnsi"/>
          <w:i/>
          <w:sz w:val="22"/>
          <w:szCs w:val="22"/>
        </w:rPr>
        <w:t>is provided</w:t>
      </w:r>
      <w:r w:rsidRPr="00153204">
        <w:rPr>
          <w:rFonts w:asciiTheme="minorHAnsi" w:hAnsiTheme="minorHAnsi" w:cstheme="minorHAnsi"/>
          <w:i/>
          <w:spacing w:val="2"/>
          <w:sz w:val="22"/>
          <w:szCs w:val="22"/>
        </w:rPr>
        <w:t xml:space="preserve"> </w:t>
      </w:r>
      <w:r w:rsidRPr="00153204">
        <w:rPr>
          <w:rFonts w:asciiTheme="minorHAnsi" w:hAnsiTheme="minorHAnsi" w:cstheme="minorHAnsi"/>
          <w:i/>
          <w:sz w:val="22"/>
          <w:szCs w:val="22"/>
        </w:rPr>
        <w:t>as pass through.</w:t>
      </w:r>
      <w:r w:rsidR="00F7598A" w:rsidRPr="00153204">
        <w:rPr>
          <w:rFonts w:asciiTheme="minorHAnsi" w:hAnsiTheme="minorHAnsi" w:cstheme="minorHAnsi"/>
          <w:i/>
          <w:sz w:val="22"/>
          <w:szCs w:val="22"/>
        </w:rPr>
        <w:t>”</w:t>
      </w:r>
    </w:p>
    <w:p w14:paraId="196EC6F9" w14:textId="77777777" w:rsidR="00995DAA" w:rsidRPr="00153204" w:rsidRDefault="00995DAA" w:rsidP="007D3E57">
      <w:pPr>
        <w:widowControl w:val="0"/>
        <w:tabs>
          <w:tab w:val="left" w:pos="2208"/>
        </w:tabs>
        <w:autoSpaceDE w:val="0"/>
        <w:autoSpaceDN w:val="0"/>
        <w:spacing w:before="118"/>
        <w:ind w:left="1276"/>
        <w:jc w:val="both"/>
        <w:rPr>
          <w:rFonts w:asciiTheme="minorHAnsi" w:hAnsiTheme="minorHAnsi" w:cstheme="minorHAnsi"/>
          <w:i/>
          <w:sz w:val="22"/>
          <w:szCs w:val="22"/>
        </w:rPr>
      </w:pPr>
    </w:p>
    <w:p w14:paraId="73D5F890" w14:textId="77777777" w:rsidR="00C627B1" w:rsidRPr="00153204" w:rsidRDefault="00C627B1" w:rsidP="002334A3">
      <w:pPr>
        <w:tabs>
          <w:tab w:val="left" w:pos="1084"/>
        </w:tabs>
        <w:spacing w:line="360" w:lineRule="auto"/>
        <w:ind w:left="2127"/>
        <w:jc w:val="both"/>
        <w:rPr>
          <w:rFonts w:asciiTheme="minorHAnsi" w:hAnsiTheme="minorHAnsi" w:cstheme="minorHAnsi"/>
          <w:i/>
          <w:sz w:val="22"/>
          <w:szCs w:val="22"/>
        </w:rPr>
      </w:pPr>
    </w:p>
    <w:p w14:paraId="1A49212D" w14:textId="5D83FFEC" w:rsidR="00E74C43" w:rsidRPr="00153204" w:rsidRDefault="00530F0D" w:rsidP="002334A3">
      <w:pPr>
        <w:spacing w:line="360" w:lineRule="auto"/>
        <w:ind w:left="567"/>
        <w:jc w:val="both"/>
        <w:rPr>
          <w:rFonts w:asciiTheme="minorHAnsi" w:hAnsiTheme="minorHAnsi" w:cstheme="minorHAnsi"/>
          <w:sz w:val="22"/>
          <w:szCs w:val="22"/>
        </w:rPr>
      </w:pPr>
      <w:r w:rsidRPr="00153204">
        <w:rPr>
          <w:rFonts w:asciiTheme="minorHAnsi" w:hAnsiTheme="minorHAnsi" w:cstheme="minorHAnsi"/>
          <w:sz w:val="22"/>
          <w:szCs w:val="22"/>
        </w:rPr>
        <w:t>On the basis of the above, TPNODL has worked out the Return on Equity (</w:t>
      </w:r>
      <w:proofErr w:type="spellStart"/>
      <w:r w:rsidRPr="00153204">
        <w:rPr>
          <w:rFonts w:asciiTheme="minorHAnsi" w:hAnsiTheme="minorHAnsi" w:cstheme="minorHAnsi"/>
          <w:sz w:val="22"/>
          <w:szCs w:val="22"/>
        </w:rPr>
        <w:t>RoE</w:t>
      </w:r>
      <w:proofErr w:type="spellEnd"/>
      <w:r w:rsidRPr="00153204">
        <w:rPr>
          <w:rFonts w:asciiTheme="minorHAnsi" w:hAnsiTheme="minorHAnsi" w:cstheme="minorHAnsi"/>
          <w:sz w:val="22"/>
          <w:szCs w:val="22"/>
        </w:rPr>
        <w:t xml:space="preserve">) for the capitalization arising out of the Capex undertaken by TPNODL after Effective Date. As considered for Depreciation and Interest on Capital Loan, we have considered that the capitalization is at the </w:t>
      </w:r>
      <w:proofErr w:type="spellStart"/>
      <w:r w:rsidRPr="00153204">
        <w:rPr>
          <w:rFonts w:asciiTheme="minorHAnsi" w:hAnsiTheme="minorHAnsi" w:cstheme="minorHAnsi"/>
          <w:sz w:val="22"/>
          <w:szCs w:val="22"/>
        </w:rPr>
        <w:t>centre</w:t>
      </w:r>
      <w:proofErr w:type="spellEnd"/>
      <w:r w:rsidRPr="00153204">
        <w:rPr>
          <w:rFonts w:asciiTheme="minorHAnsi" w:hAnsiTheme="minorHAnsi" w:cstheme="minorHAnsi"/>
          <w:sz w:val="22"/>
          <w:szCs w:val="22"/>
        </w:rPr>
        <w:t xml:space="preserve"> of the period. </w:t>
      </w:r>
      <w:r w:rsidR="008B6A59" w:rsidRPr="00153204">
        <w:rPr>
          <w:rFonts w:asciiTheme="minorHAnsi" w:hAnsiTheme="minorHAnsi" w:cstheme="minorHAnsi"/>
          <w:sz w:val="22"/>
          <w:szCs w:val="22"/>
        </w:rPr>
        <w:t xml:space="preserve"> </w:t>
      </w:r>
      <w:r w:rsidRPr="00153204">
        <w:rPr>
          <w:rFonts w:asciiTheme="minorHAnsi" w:hAnsiTheme="minorHAnsi" w:cstheme="minorHAnsi"/>
          <w:sz w:val="22"/>
          <w:szCs w:val="22"/>
        </w:rPr>
        <w:t xml:space="preserve">The </w:t>
      </w:r>
      <w:proofErr w:type="spellStart"/>
      <w:r w:rsidRPr="00153204">
        <w:rPr>
          <w:rFonts w:asciiTheme="minorHAnsi" w:hAnsiTheme="minorHAnsi" w:cstheme="minorHAnsi"/>
          <w:sz w:val="22"/>
          <w:szCs w:val="22"/>
        </w:rPr>
        <w:t>RoE</w:t>
      </w:r>
      <w:proofErr w:type="spellEnd"/>
      <w:r w:rsidRPr="00153204">
        <w:rPr>
          <w:rFonts w:asciiTheme="minorHAnsi" w:hAnsiTheme="minorHAnsi" w:cstheme="minorHAnsi"/>
          <w:sz w:val="22"/>
          <w:szCs w:val="22"/>
        </w:rPr>
        <w:t xml:space="preserve"> workings are as follows:</w:t>
      </w:r>
    </w:p>
    <w:p w14:paraId="6B5CF2F1" w14:textId="0F11C400" w:rsidR="001C646A" w:rsidRPr="00153204" w:rsidRDefault="00D821DD" w:rsidP="002334A3">
      <w:pPr>
        <w:spacing w:line="360" w:lineRule="auto"/>
        <w:ind w:left="567"/>
        <w:jc w:val="both"/>
        <w:rPr>
          <w:rFonts w:asciiTheme="minorHAnsi" w:hAnsiTheme="minorHAnsi" w:cstheme="minorHAnsi"/>
          <w:sz w:val="22"/>
          <w:szCs w:val="22"/>
        </w:rPr>
      </w:pPr>
      <w:r w:rsidRPr="00153204">
        <w:rPr>
          <w:rFonts w:asciiTheme="minorHAnsi" w:hAnsiTheme="minorHAnsi" w:cstheme="minorHAnsi"/>
          <w:b/>
          <w:bCs/>
          <w:color w:val="000000"/>
          <w:sz w:val="22"/>
          <w:szCs w:val="22"/>
        </w:rPr>
        <w:t xml:space="preserve">                                      </w:t>
      </w:r>
      <w:r w:rsidR="005B3567">
        <w:rPr>
          <w:rFonts w:asciiTheme="minorHAnsi" w:hAnsiTheme="minorHAnsi" w:cstheme="minorHAnsi"/>
          <w:b/>
          <w:bCs/>
          <w:color w:val="000000"/>
          <w:sz w:val="22"/>
          <w:szCs w:val="22"/>
        </w:rPr>
        <w:t xml:space="preserve">  </w:t>
      </w:r>
      <w:r w:rsidRPr="00153204">
        <w:rPr>
          <w:rFonts w:asciiTheme="minorHAnsi" w:hAnsiTheme="minorHAnsi" w:cstheme="minorHAnsi"/>
          <w:b/>
          <w:bCs/>
          <w:color w:val="000000"/>
          <w:sz w:val="22"/>
          <w:szCs w:val="22"/>
        </w:rPr>
        <w:t xml:space="preserve"> </w:t>
      </w:r>
      <w:r w:rsidR="005B3567">
        <w:rPr>
          <w:rFonts w:asciiTheme="minorHAnsi" w:hAnsiTheme="minorHAnsi" w:cstheme="minorHAnsi"/>
          <w:b/>
          <w:bCs/>
          <w:color w:val="000000"/>
          <w:sz w:val="22"/>
          <w:szCs w:val="22"/>
        </w:rPr>
        <w:t xml:space="preserve">   </w:t>
      </w:r>
      <w:r w:rsidRPr="00153204">
        <w:rPr>
          <w:rFonts w:asciiTheme="minorHAnsi" w:hAnsiTheme="minorHAnsi" w:cstheme="minorHAnsi"/>
          <w:b/>
          <w:bCs/>
          <w:color w:val="000000"/>
          <w:sz w:val="22"/>
          <w:szCs w:val="22"/>
        </w:rPr>
        <w:t>Table -</w:t>
      </w:r>
      <w:r w:rsidR="00B602FC">
        <w:rPr>
          <w:rFonts w:asciiTheme="minorHAnsi" w:hAnsiTheme="minorHAnsi" w:cstheme="minorHAnsi"/>
          <w:b/>
          <w:bCs/>
          <w:color w:val="000000"/>
          <w:sz w:val="22"/>
          <w:szCs w:val="22"/>
        </w:rPr>
        <w:t>4</w:t>
      </w:r>
      <w:r w:rsidR="005B3567">
        <w:rPr>
          <w:rFonts w:asciiTheme="minorHAnsi" w:hAnsiTheme="minorHAnsi" w:cstheme="minorHAnsi"/>
          <w:b/>
          <w:bCs/>
          <w:color w:val="000000"/>
          <w:sz w:val="22"/>
          <w:szCs w:val="22"/>
        </w:rPr>
        <w:t>3</w:t>
      </w:r>
      <w:r w:rsidRPr="00153204">
        <w:rPr>
          <w:rFonts w:asciiTheme="minorHAnsi" w:hAnsiTheme="minorHAnsi" w:cstheme="minorHAnsi"/>
          <w:b/>
          <w:bCs/>
          <w:color w:val="000000"/>
          <w:sz w:val="22"/>
          <w:szCs w:val="22"/>
        </w:rPr>
        <w:t xml:space="preserve">: Return on Equity Calculations         </w:t>
      </w:r>
      <w:proofErr w:type="gramStart"/>
      <w:r w:rsidRPr="00153204">
        <w:rPr>
          <w:rFonts w:asciiTheme="minorHAnsi" w:hAnsiTheme="minorHAnsi" w:cstheme="minorHAnsi"/>
          <w:b/>
          <w:bCs/>
          <w:color w:val="000000"/>
          <w:sz w:val="22"/>
          <w:szCs w:val="22"/>
        </w:rPr>
        <w:t xml:space="preserve">   (</w:t>
      </w:r>
      <w:proofErr w:type="gramEnd"/>
      <w:r w:rsidRPr="00153204">
        <w:rPr>
          <w:rFonts w:asciiTheme="minorHAnsi" w:hAnsiTheme="minorHAnsi" w:cstheme="minorHAnsi"/>
          <w:b/>
          <w:bCs/>
          <w:color w:val="000000"/>
          <w:sz w:val="22"/>
          <w:szCs w:val="22"/>
        </w:rPr>
        <w:t xml:space="preserve">In Rs. </w:t>
      </w:r>
      <w:proofErr w:type="spellStart"/>
      <w:r w:rsidRPr="00153204">
        <w:rPr>
          <w:rFonts w:asciiTheme="minorHAnsi" w:hAnsiTheme="minorHAnsi" w:cstheme="minorHAnsi"/>
          <w:b/>
          <w:bCs/>
          <w:color w:val="000000"/>
          <w:sz w:val="22"/>
          <w:szCs w:val="22"/>
        </w:rPr>
        <w:t>Crs</w:t>
      </w:r>
      <w:proofErr w:type="spellEnd"/>
      <w:r w:rsidRPr="00153204">
        <w:rPr>
          <w:rFonts w:asciiTheme="minorHAnsi" w:hAnsiTheme="minorHAnsi" w:cstheme="minorHAnsi"/>
          <w:b/>
          <w:bCs/>
          <w:color w:val="000000"/>
          <w:sz w:val="22"/>
          <w:szCs w:val="22"/>
        </w:rPr>
        <w:t xml:space="preserve">)            </w:t>
      </w:r>
    </w:p>
    <w:tbl>
      <w:tblPr>
        <w:tblW w:w="8924" w:type="dxa"/>
        <w:tblInd w:w="699" w:type="dxa"/>
        <w:tblLook w:val="04A0" w:firstRow="1" w:lastRow="0" w:firstColumn="1" w:lastColumn="0" w:noHBand="0" w:noVBand="1"/>
      </w:tblPr>
      <w:tblGrid>
        <w:gridCol w:w="5808"/>
        <w:gridCol w:w="1651"/>
        <w:gridCol w:w="1465"/>
      </w:tblGrid>
      <w:tr w:rsidR="00D821DD" w14:paraId="63851506" w14:textId="77777777" w:rsidTr="00CF7621">
        <w:trPr>
          <w:trHeight w:val="307"/>
        </w:trPr>
        <w:tc>
          <w:tcPr>
            <w:tcW w:w="5808" w:type="dxa"/>
            <w:tcBorders>
              <w:top w:val="single" w:sz="8" w:space="0" w:color="auto"/>
              <w:left w:val="single" w:sz="8" w:space="0" w:color="auto"/>
              <w:bottom w:val="single" w:sz="8" w:space="0" w:color="auto"/>
              <w:right w:val="nil"/>
            </w:tcBorders>
            <w:shd w:val="clear" w:color="auto" w:fill="8DB3E2" w:themeFill="text2" w:themeFillTint="66"/>
            <w:noWrap/>
            <w:vAlign w:val="center"/>
            <w:hideMark/>
          </w:tcPr>
          <w:p w14:paraId="4F55ED8F" w14:textId="77777777" w:rsidR="00D821DD" w:rsidRDefault="00D821DD">
            <w:pPr>
              <w:rPr>
                <w:rFonts w:ascii="Calibri" w:hAnsi="Calibri" w:cs="Calibri"/>
                <w:b/>
                <w:bCs/>
                <w:sz w:val="22"/>
                <w:szCs w:val="22"/>
                <w:lang w:val="en-IN" w:eastAsia="en-IN"/>
              </w:rPr>
            </w:pPr>
            <w:r>
              <w:rPr>
                <w:rFonts w:ascii="Calibri" w:hAnsi="Calibri" w:cs="Calibri"/>
                <w:b/>
                <w:bCs/>
                <w:sz w:val="22"/>
                <w:szCs w:val="22"/>
              </w:rPr>
              <w:t>Particulars</w:t>
            </w:r>
          </w:p>
        </w:tc>
        <w:tc>
          <w:tcPr>
            <w:tcW w:w="1651" w:type="dxa"/>
            <w:tcBorders>
              <w:top w:val="single" w:sz="4" w:space="0" w:color="auto"/>
              <w:left w:val="single" w:sz="4" w:space="0" w:color="auto"/>
              <w:bottom w:val="single" w:sz="4" w:space="0" w:color="auto"/>
              <w:right w:val="single" w:sz="4" w:space="0" w:color="auto"/>
            </w:tcBorders>
            <w:shd w:val="clear" w:color="auto" w:fill="8DB3E2" w:themeFill="text2" w:themeFillTint="66"/>
            <w:noWrap/>
            <w:vAlign w:val="center"/>
            <w:hideMark/>
          </w:tcPr>
          <w:p w14:paraId="2E876536" w14:textId="77777777" w:rsidR="00D821DD" w:rsidRDefault="00D821DD">
            <w:pPr>
              <w:jc w:val="center"/>
              <w:rPr>
                <w:rFonts w:ascii="Calibri" w:hAnsi="Calibri" w:cs="Calibri"/>
                <w:b/>
                <w:bCs/>
                <w:sz w:val="22"/>
                <w:szCs w:val="22"/>
              </w:rPr>
            </w:pPr>
            <w:r>
              <w:rPr>
                <w:rFonts w:ascii="Calibri" w:hAnsi="Calibri" w:cs="Calibri"/>
                <w:b/>
                <w:bCs/>
                <w:sz w:val="22"/>
                <w:szCs w:val="22"/>
              </w:rPr>
              <w:t>2024-25</w:t>
            </w:r>
          </w:p>
        </w:tc>
        <w:tc>
          <w:tcPr>
            <w:tcW w:w="1465" w:type="dxa"/>
            <w:tcBorders>
              <w:top w:val="single" w:sz="4" w:space="0" w:color="auto"/>
              <w:left w:val="nil"/>
              <w:bottom w:val="single" w:sz="4" w:space="0" w:color="auto"/>
              <w:right w:val="single" w:sz="4" w:space="0" w:color="auto"/>
            </w:tcBorders>
            <w:shd w:val="clear" w:color="auto" w:fill="8DB3E2" w:themeFill="text2" w:themeFillTint="66"/>
            <w:noWrap/>
            <w:vAlign w:val="center"/>
            <w:hideMark/>
          </w:tcPr>
          <w:p w14:paraId="1B428F6D" w14:textId="77777777" w:rsidR="00D821DD" w:rsidRDefault="00D821DD">
            <w:pPr>
              <w:jc w:val="center"/>
              <w:rPr>
                <w:rFonts w:ascii="Calibri" w:hAnsi="Calibri" w:cs="Calibri"/>
                <w:b/>
                <w:bCs/>
                <w:sz w:val="22"/>
                <w:szCs w:val="22"/>
              </w:rPr>
            </w:pPr>
            <w:r>
              <w:rPr>
                <w:rFonts w:ascii="Calibri" w:hAnsi="Calibri" w:cs="Calibri"/>
                <w:b/>
                <w:bCs/>
                <w:sz w:val="22"/>
                <w:szCs w:val="22"/>
              </w:rPr>
              <w:t>2025-26</w:t>
            </w:r>
          </w:p>
        </w:tc>
      </w:tr>
      <w:tr w:rsidR="00D821DD" w14:paraId="5469E516" w14:textId="77777777" w:rsidTr="00CF7621">
        <w:trPr>
          <w:trHeight w:val="307"/>
        </w:trPr>
        <w:tc>
          <w:tcPr>
            <w:tcW w:w="5808" w:type="dxa"/>
            <w:tcBorders>
              <w:top w:val="nil"/>
              <w:left w:val="single" w:sz="8" w:space="0" w:color="auto"/>
              <w:bottom w:val="single" w:sz="8" w:space="0" w:color="auto"/>
              <w:right w:val="nil"/>
            </w:tcBorders>
            <w:shd w:val="clear" w:color="auto" w:fill="auto"/>
            <w:noWrap/>
            <w:vAlign w:val="center"/>
            <w:hideMark/>
          </w:tcPr>
          <w:p w14:paraId="03846B83" w14:textId="77777777" w:rsidR="00D821DD" w:rsidRDefault="00D821DD">
            <w:pPr>
              <w:rPr>
                <w:rFonts w:ascii="Calibri" w:hAnsi="Calibri" w:cs="Calibri"/>
                <w:color w:val="000000"/>
                <w:sz w:val="22"/>
                <w:szCs w:val="22"/>
              </w:rPr>
            </w:pPr>
            <w:proofErr w:type="spellStart"/>
            <w:proofErr w:type="gramStart"/>
            <w:r>
              <w:rPr>
                <w:rFonts w:ascii="Calibri" w:hAnsi="Calibri" w:cs="Calibri"/>
                <w:color w:val="000000"/>
                <w:sz w:val="22"/>
                <w:szCs w:val="22"/>
              </w:rPr>
              <w:t>Op.Balance</w:t>
            </w:r>
            <w:proofErr w:type="spellEnd"/>
            <w:proofErr w:type="gramEnd"/>
          </w:p>
        </w:tc>
        <w:tc>
          <w:tcPr>
            <w:tcW w:w="1651" w:type="dxa"/>
            <w:tcBorders>
              <w:top w:val="nil"/>
              <w:left w:val="single" w:sz="4" w:space="0" w:color="auto"/>
              <w:bottom w:val="single" w:sz="4" w:space="0" w:color="auto"/>
              <w:right w:val="single" w:sz="4" w:space="0" w:color="auto"/>
            </w:tcBorders>
            <w:shd w:val="clear" w:color="auto" w:fill="auto"/>
            <w:noWrap/>
            <w:vAlign w:val="bottom"/>
            <w:hideMark/>
          </w:tcPr>
          <w:p w14:paraId="0A1D3C63" w14:textId="77777777" w:rsidR="00D821DD" w:rsidRDefault="00D821DD">
            <w:pPr>
              <w:jc w:val="center"/>
              <w:rPr>
                <w:rFonts w:ascii="Arial" w:hAnsi="Arial" w:cs="Arial"/>
                <w:sz w:val="20"/>
                <w:szCs w:val="20"/>
              </w:rPr>
            </w:pPr>
            <w:r>
              <w:rPr>
                <w:rFonts w:ascii="Arial" w:hAnsi="Arial" w:cs="Arial"/>
                <w:sz w:val="20"/>
                <w:szCs w:val="20"/>
              </w:rPr>
              <w:t>586.78</w:t>
            </w:r>
          </w:p>
        </w:tc>
        <w:tc>
          <w:tcPr>
            <w:tcW w:w="1465" w:type="dxa"/>
            <w:tcBorders>
              <w:top w:val="nil"/>
              <w:left w:val="nil"/>
              <w:bottom w:val="single" w:sz="4" w:space="0" w:color="auto"/>
              <w:right w:val="single" w:sz="4" w:space="0" w:color="auto"/>
            </w:tcBorders>
            <w:shd w:val="clear" w:color="auto" w:fill="auto"/>
            <w:noWrap/>
            <w:vAlign w:val="bottom"/>
            <w:hideMark/>
          </w:tcPr>
          <w:p w14:paraId="1EA2537F" w14:textId="77777777" w:rsidR="00D821DD" w:rsidRDefault="00D821DD">
            <w:pPr>
              <w:jc w:val="center"/>
              <w:rPr>
                <w:rFonts w:ascii="Arial" w:hAnsi="Arial" w:cs="Arial"/>
                <w:sz w:val="20"/>
                <w:szCs w:val="20"/>
              </w:rPr>
            </w:pPr>
            <w:r>
              <w:rPr>
                <w:rFonts w:ascii="Arial" w:hAnsi="Arial" w:cs="Arial"/>
                <w:sz w:val="20"/>
                <w:szCs w:val="20"/>
              </w:rPr>
              <w:t>721.89</w:t>
            </w:r>
          </w:p>
        </w:tc>
      </w:tr>
      <w:tr w:rsidR="00D821DD" w14:paraId="59D4FECA" w14:textId="77777777" w:rsidTr="00CF7621">
        <w:trPr>
          <w:trHeight w:val="307"/>
        </w:trPr>
        <w:tc>
          <w:tcPr>
            <w:tcW w:w="5808" w:type="dxa"/>
            <w:tcBorders>
              <w:top w:val="nil"/>
              <w:left w:val="single" w:sz="8" w:space="0" w:color="auto"/>
              <w:bottom w:val="single" w:sz="8" w:space="0" w:color="auto"/>
              <w:right w:val="nil"/>
            </w:tcBorders>
            <w:shd w:val="clear" w:color="auto" w:fill="auto"/>
            <w:noWrap/>
            <w:vAlign w:val="center"/>
            <w:hideMark/>
          </w:tcPr>
          <w:p w14:paraId="7D864E70" w14:textId="77777777" w:rsidR="00D821DD" w:rsidRDefault="00D821DD">
            <w:pPr>
              <w:rPr>
                <w:rFonts w:ascii="Calibri" w:hAnsi="Calibri" w:cs="Calibri"/>
                <w:color w:val="000000"/>
                <w:sz w:val="22"/>
                <w:szCs w:val="22"/>
              </w:rPr>
            </w:pPr>
            <w:r>
              <w:rPr>
                <w:rFonts w:ascii="Calibri" w:hAnsi="Calibri" w:cs="Calibri"/>
                <w:color w:val="000000"/>
                <w:sz w:val="22"/>
                <w:szCs w:val="22"/>
              </w:rPr>
              <w:t>Additions</w:t>
            </w:r>
          </w:p>
        </w:tc>
        <w:tc>
          <w:tcPr>
            <w:tcW w:w="1651" w:type="dxa"/>
            <w:tcBorders>
              <w:top w:val="nil"/>
              <w:left w:val="single" w:sz="4" w:space="0" w:color="auto"/>
              <w:bottom w:val="single" w:sz="4" w:space="0" w:color="auto"/>
              <w:right w:val="single" w:sz="4" w:space="0" w:color="auto"/>
            </w:tcBorders>
            <w:shd w:val="clear" w:color="auto" w:fill="auto"/>
            <w:noWrap/>
            <w:vAlign w:val="bottom"/>
            <w:hideMark/>
          </w:tcPr>
          <w:p w14:paraId="247C098A" w14:textId="77777777" w:rsidR="00D821DD" w:rsidRDefault="00D821DD">
            <w:pPr>
              <w:jc w:val="center"/>
              <w:rPr>
                <w:rFonts w:ascii="Arial" w:hAnsi="Arial" w:cs="Arial"/>
                <w:sz w:val="20"/>
                <w:szCs w:val="20"/>
              </w:rPr>
            </w:pPr>
            <w:r>
              <w:rPr>
                <w:rFonts w:ascii="Arial" w:hAnsi="Arial" w:cs="Arial"/>
                <w:sz w:val="20"/>
                <w:szCs w:val="20"/>
              </w:rPr>
              <w:t>135.11</w:t>
            </w:r>
          </w:p>
        </w:tc>
        <w:tc>
          <w:tcPr>
            <w:tcW w:w="1465" w:type="dxa"/>
            <w:tcBorders>
              <w:top w:val="nil"/>
              <w:left w:val="nil"/>
              <w:bottom w:val="single" w:sz="4" w:space="0" w:color="auto"/>
              <w:right w:val="single" w:sz="4" w:space="0" w:color="auto"/>
            </w:tcBorders>
            <w:shd w:val="clear" w:color="auto" w:fill="auto"/>
            <w:noWrap/>
            <w:vAlign w:val="bottom"/>
            <w:hideMark/>
          </w:tcPr>
          <w:p w14:paraId="4586A782" w14:textId="77777777" w:rsidR="00D821DD" w:rsidRDefault="00D821DD">
            <w:pPr>
              <w:jc w:val="center"/>
              <w:rPr>
                <w:rFonts w:ascii="Arial" w:hAnsi="Arial" w:cs="Arial"/>
                <w:sz w:val="20"/>
                <w:szCs w:val="20"/>
              </w:rPr>
            </w:pPr>
            <w:r>
              <w:rPr>
                <w:rFonts w:ascii="Arial" w:hAnsi="Arial" w:cs="Arial"/>
                <w:sz w:val="20"/>
                <w:szCs w:val="20"/>
              </w:rPr>
              <w:t>153.67</w:t>
            </w:r>
          </w:p>
        </w:tc>
      </w:tr>
      <w:tr w:rsidR="00D821DD" w14:paraId="5C31E64D" w14:textId="77777777" w:rsidTr="00CF7621">
        <w:trPr>
          <w:trHeight w:val="307"/>
        </w:trPr>
        <w:tc>
          <w:tcPr>
            <w:tcW w:w="5808" w:type="dxa"/>
            <w:tcBorders>
              <w:top w:val="nil"/>
              <w:left w:val="single" w:sz="8" w:space="0" w:color="auto"/>
              <w:bottom w:val="single" w:sz="8" w:space="0" w:color="auto"/>
              <w:right w:val="nil"/>
            </w:tcBorders>
            <w:shd w:val="clear" w:color="auto" w:fill="auto"/>
            <w:noWrap/>
            <w:vAlign w:val="center"/>
            <w:hideMark/>
          </w:tcPr>
          <w:p w14:paraId="5B3F800B" w14:textId="77777777" w:rsidR="00D821DD" w:rsidRDefault="00D821DD">
            <w:pPr>
              <w:rPr>
                <w:rFonts w:ascii="Calibri" w:hAnsi="Calibri" w:cs="Calibri"/>
                <w:color w:val="000000"/>
                <w:sz w:val="22"/>
                <w:szCs w:val="22"/>
              </w:rPr>
            </w:pPr>
            <w:r>
              <w:rPr>
                <w:rFonts w:ascii="Calibri" w:hAnsi="Calibri" w:cs="Calibri"/>
                <w:color w:val="000000"/>
                <w:sz w:val="22"/>
                <w:szCs w:val="22"/>
              </w:rPr>
              <w:t>Closing Balance</w:t>
            </w:r>
          </w:p>
        </w:tc>
        <w:tc>
          <w:tcPr>
            <w:tcW w:w="1651" w:type="dxa"/>
            <w:tcBorders>
              <w:top w:val="nil"/>
              <w:left w:val="single" w:sz="4" w:space="0" w:color="auto"/>
              <w:bottom w:val="single" w:sz="4" w:space="0" w:color="auto"/>
              <w:right w:val="single" w:sz="4" w:space="0" w:color="auto"/>
            </w:tcBorders>
            <w:shd w:val="clear" w:color="auto" w:fill="auto"/>
            <w:noWrap/>
            <w:vAlign w:val="bottom"/>
            <w:hideMark/>
          </w:tcPr>
          <w:p w14:paraId="2E201F15" w14:textId="77777777" w:rsidR="00D821DD" w:rsidRDefault="00D821DD">
            <w:pPr>
              <w:jc w:val="center"/>
              <w:rPr>
                <w:rFonts w:ascii="Arial" w:hAnsi="Arial" w:cs="Arial"/>
                <w:sz w:val="20"/>
                <w:szCs w:val="20"/>
              </w:rPr>
            </w:pPr>
            <w:r>
              <w:rPr>
                <w:rFonts w:ascii="Arial" w:hAnsi="Arial" w:cs="Arial"/>
                <w:sz w:val="20"/>
                <w:szCs w:val="20"/>
              </w:rPr>
              <w:t>721.89</w:t>
            </w:r>
          </w:p>
        </w:tc>
        <w:tc>
          <w:tcPr>
            <w:tcW w:w="1465" w:type="dxa"/>
            <w:tcBorders>
              <w:top w:val="nil"/>
              <w:left w:val="nil"/>
              <w:bottom w:val="single" w:sz="4" w:space="0" w:color="auto"/>
              <w:right w:val="single" w:sz="4" w:space="0" w:color="auto"/>
            </w:tcBorders>
            <w:shd w:val="clear" w:color="auto" w:fill="auto"/>
            <w:noWrap/>
            <w:vAlign w:val="bottom"/>
            <w:hideMark/>
          </w:tcPr>
          <w:p w14:paraId="2155307D" w14:textId="77777777" w:rsidR="00D821DD" w:rsidRDefault="00D821DD">
            <w:pPr>
              <w:jc w:val="center"/>
              <w:rPr>
                <w:rFonts w:ascii="Arial" w:hAnsi="Arial" w:cs="Arial"/>
                <w:sz w:val="20"/>
                <w:szCs w:val="20"/>
              </w:rPr>
            </w:pPr>
            <w:r>
              <w:rPr>
                <w:rFonts w:ascii="Arial" w:hAnsi="Arial" w:cs="Arial"/>
                <w:sz w:val="20"/>
                <w:szCs w:val="20"/>
              </w:rPr>
              <w:t>875.55</w:t>
            </w:r>
          </w:p>
        </w:tc>
      </w:tr>
      <w:tr w:rsidR="00D821DD" w14:paraId="1BCBF005" w14:textId="77777777" w:rsidTr="00CF7621">
        <w:trPr>
          <w:trHeight w:val="307"/>
        </w:trPr>
        <w:tc>
          <w:tcPr>
            <w:tcW w:w="5808" w:type="dxa"/>
            <w:tcBorders>
              <w:top w:val="nil"/>
              <w:left w:val="single" w:sz="8" w:space="0" w:color="auto"/>
              <w:bottom w:val="single" w:sz="8" w:space="0" w:color="auto"/>
              <w:right w:val="nil"/>
            </w:tcBorders>
            <w:shd w:val="clear" w:color="auto" w:fill="auto"/>
            <w:noWrap/>
            <w:vAlign w:val="center"/>
            <w:hideMark/>
          </w:tcPr>
          <w:p w14:paraId="015D0F56" w14:textId="77777777" w:rsidR="00D821DD" w:rsidRDefault="00D821DD">
            <w:pPr>
              <w:rPr>
                <w:rFonts w:ascii="Calibri" w:hAnsi="Calibri" w:cs="Calibri"/>
                <w:color w:val="000000"/>
                <w:sz w:val="22"/>
                <w:szCs w:val="22"/>
              </w:rPr>
            </w:pPr>
            <w:r>
              <w:rPr>
                <w:rFonts w:ascii="Calibri" w:hAnsi="Calibri" w:cs="Calibri"/>
                <w:color w:val="000000"/>
                <w:sz w:val="22"/>
                <w:szCs w:val="22"/>
              </w:rPr>
              <w:t>Average Balance</w:t>
            </w:r>
          </w:p>
        </w:tc>
        <w:tc>
          <w:tcPr>
            <w:tcW w:w="1651" w:type="dxa"/>
            <w:tcBorders>
              <w:top w:val="nil"/>
              <w:left w:val="single" w:sz="4" w:space="0" w:color="auto"/>
              <w:bottom w:val="single" w:sz="4" w:space="0" w:color="auto"/>
              <w:right w:val="single" w:sz="4" w:space="0" w:color="auto"/>
            </w:tcBorders>
            <w:shd w:val="clear" w:color="auto" w:fill="auto"/>
            <w:noWrap/>
            <w:vAlign w:val="bottom"/>
            <w:hideMark/>
          </w:tcPr>
          <w:p w14:paraId="6A221747" w14:textId="77777777" w:rsidR="00D821DD" w:rsidRDefault="00D821DD">
            <w:pPr>
              <w:jc w:val="center"/>
              <w:rPr>
                <w:rFonts w:ascii="Arial" w:hAnsi="Arial" w:cs="Arial"/>
                <w:sz w:val="20"/>
                <w:szCs w:val="20"/>
              </w:rPr>
            </w:pPr>
            <w:r>
              <w:rPr>
                <w:rFonts w:ascii="Arial" w:hAnsi="Arial" w:cs="Arial"/>
                <w:sz w:val="20"/>
                <w:szCs w:val="20"/>
              </w:rPr>
              <w:t>654.33</w:t>
            </w:r>
          </w:p>
        </w:tc>
        <w:tc>
          <w:tcPr>
            <w:tcW w:w="1465" w:type="dxa"/>
            <w:tcBorders>
              <w:top w:val="nil"/>
              <w:left w:val="nil"/>
              <w:bottom w:val="single" w:sz="4" w:space="0" w:color="auto"/>
              <w:right w:val="single" w:sz="4" w:space="0" w:color="auto"/>
            </w:tcBorders>
            <w:shd w:val="clear" w:color="auto" w:fill="auto"/>
            <w:noWrap/>
            <w:vAlign w:val="bottom"/>
            <w:hideMark/>
          </w:tcPr>
          <w:p w14:paraId="38E3F21C" w14:textId="77777777" w:rsidR="00D821DD" w:rsidRDefault="00D821DD">
            <w:pPr>
              <w:jc w:val="center"/>
              <w:rPr>
                <w:rFonts w:ascii="Arial" w:hAnsi="Arial" w:cs="Arial"/>
                <w:sz w:val="20"/>
                <w:szCs w:val="20"/>
              </w:rPr>
            </w:pPr>
            <w:r>
              <w:rPr>
                <w:rFonts w:ascii="Arial" w:hAnsi="Arial" w:cs="Arial"/>
                <w:sz w:val="20"/>
                <w:szCs w:val="20"/>
              </w:rPr>
              <w:t>798.72</w:t>
            </w:r>
          </w:p>
        </w:tc>
      </w:tr>
      <w:tr w:rsidR="00D821DD" w14:paraId="5972EE7F" w14:textId="77777777" w:rsidTr="00CF7621">
        <w:trPr>
          <w:trHeight w:val="307"/>
        </w:trPr>
        <w:tc>
          <w:tcPr>
            <w:tcW w:w="5808" w:type="dxa"/>
            <w:tcBorders>
              <w:top w:val="nil"/>
              <w:left w:val="single" w:sz="8" w:space="0" w:color="auto"/>
              <w:bottom w:val="single" w:sz="8" w:space="0" w:color="auto"/>
              <w:right w:val="nil"/>
            </w:tcBorders>
            <w:shd w:val="clear" w:color="auto" w:fill="auto"/>
            <w:noWrap/>
            <w:vAlign w:val="center"/>
            <w:hideMark/>
          </w:tcPr>
          <w:p w14:paraId="79C3AD1B" w14:textId="77777777" w:rsidR="00D821DD" w:rsidRDefault="00D821DD">
            <w:pPr>
              <w:rPr>
                <w:rFonts w:ascii="Calibri" w:hAnsi="Calibri" w:cs="Calibri"/>
                <w:color w:val="000000"/>
                <w:sz w:val="22"/>
                <w:szCs w:val="22"/>
              </w:rPr>
            </w:pPr>
            <w:proofErr w:type="spellStart"/>
            <w:r>
              <w:rPr>
                <w:rFonts w:ascii="Calibri" w:hAnsi="Calibri" w:cs="Calibri"/>
                <w:color w:val="000000"/>
                <w:sz w:val="22"/>
                <w:szCs w:val="22"/>
              </w:rPr>
              <w:t>RoE</w:t>
            </w:r>
            <w:proofErr w:type="spellEnd"/>
            <w:r>
              <w:rPr>
                <w:rFonts w:ascii="Calibri" w:hAnsi="Calibri" w:cs="Calibri"/>
                <w:color w:val="000000"/>
                <w:sz w:val="22"/>
                <w:szCs w:val="22"/>
              </w:rPr>
              <w:t xml:space="preserve"> rate</w:t>
            </w:r>
          </w:p>
        </w:tc>
        <w:tc>
          <w:tcPr>
            <w:tcW w:w="1651" w:type="dxa"/>
            <w:tcBorders>
              <w:top w:val="nil"/>
              <w:left w:val="single" w:sz="4" w:space="0" w:color="auto"/>
              <w:bottom w:val="single" w:sz="4" w:space="0" w:color="auto"/>
              <w:right w:val="single" w:sz="4" w:space="0" w:color="auto"/>
            </w:tcBorders>
            <w:shd w:val="clear" w:color="auto" w:fill="auto"/>
            <w:noWrap/>
            <w:vAlign w:val="center"/>
            <w:hideMark/>
          </w:tcPr>
          <w:p w14:paraId="62D4D4F9" w14:textId="77777777" w:rsidR="00D821DD" w:rsidRDefault="00D821DD">
            <w:pPr>
              <w:jc w:val="center"/>
              <w:rPr>
                <w:rFonts w:ascii="Calibri" w:hAnsi="Calibri" w:cs="Calibri"/>
                <w:color w:val="000000"/>
                <w:sz w:val="22"/>
                <w:szCs w:val="22"/>
              </w:rPr>
            </w:pPr>
            <w:r>
              <w:rPr>
                <w:rFonts w:ascii="Calibri" w:hAnsi="Calibri" w:cs="Calibri"/>
                <w:color w:val="000000"/>
                <w:sz w:val="22"/>
                <w:szCs w:val="22"/>
              </w:rPr>
              <w:t>16%</w:t>
            </w:r>
          </w:p>
        </w:tc>
        <w:tc>
          <w:tcPr>
            <w:tcW w:w="1465" w:type="dxa"/>
            <w:tcBorders>
              <w:top w:val="nil"/>
              <w:left w:val="nil"/>
              <w:bottom w:val="single" w:sz="4" w:space="0" w:color="auto"/>
              <w:right w:val="single" w:sz="4" w:space="0" w:color="auto"/>
            </w:tcBorders>
            <w:shd w:val="clear" w:color="auto" w:fill="auto"/>
            <w:noWrap/>
            <w:vAlign w:val="center"/>
            <w:hideMark/>
          </w:tcPr>
          <w:p w14:paraId="19FB5184" w14:textId="77777777" w:rsidR="00D821DD" w:rsidRDefault="00D821DD">
            <w:pPr>
              <w:jc w:val="center"/>
              <w:rPr>
                <w:rFonts w:ascii="Calibri" w:hAnsi="Calibri" w:cs="Calibri"/>
                <w:color w:val="000000"/>
                <w:sz w:val="22"/>
                <w:szCs w:val="22"/>
              </w:rPr>
            </w:pPr>
            <w:r>
              <w:rPr>
                <w:rFonts w:ascii="Calibri" w:hAnsi="Calibri" w:cs="Calibri"/>
                <w:color w:val="000000"/>
                <w:sz w:val="22"/>
                <w:szCs w:val="22"/>
              </w:rPr>
              <w:t>16%</w:t>
            </w:r>
          </w:p>
        </w:tc>
      </w:tr>
      <w:tr w:rsidR="00D821DD" w14:paraId="104C7765" w14:textId="77777777" w:rsidTr="00CF7621">
        <w:trPr>
          <w:trHeight w:val="307"/>
        </w:trPr>
        <w:tc>
          <w:tcPr>
            <w:tcW w:w="5808" w:type="dxa"/>
            <w:tcBorders>
              <w:top w:val="nil"/>
              <w:left w:val="single" w:sz="8" w:space="0" w:color="auto"/>
              <w:bottom w:val="single" w:sz="8" w:space="0" w:color="auto"/>
              <w:right w:val="nil"/>
            </w:tcBorders>
            <w:shd w:val="clear" w:color="auto" w:fill="auto"/>
            <w:noWrap/>
            <w:vAlign w:val="center"/>
            <w:hideMark/>
          </w:tcPr>
          <w:p w14:paraId="29346B29" w14:textId="77777777" w:rsidR="00D821DD" w:rsidRDefault="00D821DD">
            <w:pPr>
              <w:rPr>
                <w:rFonts w:ascii="Calibri" w:hAnsi="Calibri" w:cs="Calibri"/>
                <w:b/>
                <w:bCs/>
                <w:color w:val="000000"/>
                <w:sz w:val="22"/>
                <w:szCs w:val="22"/>
              </w:rPr>
            </w:pPr>
            <w:r>
              <w:rPr>
                <w:rFonts w:ascii="Calibri" w:hAnsi="Calibri" w:cs="Calibri"/>
                <w:b/>
                <w:bCs/>
                <w:color w:val="000000"/>
                <w:sz w:val="22"/>
                <w:szCs w:val="22"/>
              </w:rPr>
              <w:t>Return on Equity (post-tax)</w:t>
            </w:r>
          </w:p>
        </w:tc>
        <w:tc>
          <w:tcPr>
            <w:tcW w:w="1651" w:type="dxa"/>
            <w:tcBorders>
              <w:top w:val="nil"/>
              <w:left w:val="single" w:sz="4" w:space="0" w:color="auto"/>
              <w:bottom w:val="single" w:sz="4" w:space="0" w:color="auto"/>
              <w:right w:val="single" w:sz="4" w:space="0" w:color="auto"/>
            </w:tcBorders>
            <w:shd w:val="clear" w:color="auto" w:fill="auto"/>
            <w:noWrap/>
            <w:vAlign w:val="bottom"/>
            <w:hideMark/>
          </w:tcPr>
          <w:p w14:paraId="5AFFC262" w14:textId="77777777" w:rsidR="00D821DD" w:rsidRDefault="00D821DD">
            <w:pPr>
              <w:jc w:val="center"/>
              <w:rPr>
                <w:rFonts w:ascii="Arial" w:hAnsi="Arial" w:cs="Arial"/>
                <w:b/>
                <w:bCs/>
                <w:sz w:val="20"/>
                <w:szCs w:val="20"/>
              </w:rPr>
            </w:pPr>
            <w:r>
              <w:rPr>
                <w:rFonts w:ascii="Arial" w:hAnsi="Arial" w:cs="Arial"/>
                <w:b/>
                <w:bCs/>
                <w:sz w:val="20"/>
                <w:szCs w:val="20"/>
              </w:rPr>
              <w:t xml:space="preserve">104.69 </w:t>
            </w:r>
          </w:p>
        </w:tc>
        <w:tc>
          <w:tcPr>
            <w:tcW w:w="1465" w:type="dxa"/>
            <w:tcBorders>
              <w:top w:val="nil"/>
              <w:left w:val="nil"/>
              <w:bottom w:val="single" w:sz="4" w:space="0" w:color="auto"/>
              <w:right w:val="single" w:sz="4" w:space="0" w:color="auto"/>
            </w:tcBorders>
            <w:shd w:val="clear" w:color="auto" w:fill="auto"/>
            <w:noWrap/>
            <w:vAlign w:val="bottom"/>
            <w:hideMark/>
          </w:tcPr>
          <w:p w14:paraId="20D1162D" w14:textId="77777777" w:rsidR="00D821DD" w:rsidRDefault="00D821DD">
            <w:pPr>
              <w:jc w:val="center"/>
              <w:rPr>
                <w:rFonts w:ascii="Arial" w:hAnsi="Arial" w:cs="Arial"/>
                <w:b/>
                <w:bCs/>
                <w:sz w:val="20"/>
                <w:szCs w:val="20"/>
              </w:rPr>
            </w:pPr>
            <w:r>
              <w:rPr>
                <w:rFonts w:ascii="Arial" w:hAnsi="Arial" w:cs="Arial"/>
                <w:b/>
                <w:bCs/>
                <w:sz w:val="20"/>
                <w:szCs w:val="20"/>
              </w:rPr>
              <w:t xml:space="preserve">127.80 </w:t>
            </w:r>
          </w:p>
        </w:tc>
      </w:tr>
      <w:tr w:rsidR="00D821DD" w14:paraId="790E773A" w14:textId="77777777" w:rsidTr="00CF7621">
        <w:trPr>
          <w:trHeight w:val="307"/>
        </w:trPr>
        <w:tc>
          <w:tcPr>
            <w:tcW w:w="5808" w:type="dxa"/>
            <w:tcBorders>
              <w:top w:val="nil"/>
              <w:left w:val="single" w:sz="8" w:space="0" w:color="auto"/>
              <w:bottom w:val="single" w:sz="8" w:space="0" w:color="auto"/>
              <w:right w:val="nil"/>
            </w:tcBorders>
            <w:shd w:val="clear" w:color="auto" w:fill="8DB3E2" w:themeFill="text2" w:themeFillTint="66"/>
            <w:noWrap/>
            <w:vAlign w:val="center"/>
            <w:hideMark/>
          </w:tcPr>
          <w:p w14:paraId="608D1643" w14:textId="77777777" w:rsidR="00D821DD" w:rsidRPr="005B3567" w:rsidRDefault="00D821DD">
            <w:pPr>
              <w:rPr>
                <w:rFonts w:ascii="Calibri" w:hAnsi="Calibri" w:cs="Calibri"/>
                <w:b/>
                <w:color w:val="000000"/>
                <w:sz w:val="22"/>
                <w:szCs w:val="22"/>
              </w:rPr>
            </w:pPr>
            <w:r w:rsidRPr="005B3567">
              <w:rPr>
                <w:rFonts w:ascii="Calibri" w:hAnsi="Calibri" w:cs="Calibri"/>
                <w:b/>
                <w:color w:val="000000"/>
                <w:sz w:val="22"/>
                <w:szCs w:val="22"/>
              </w:rPr>
              <w:t xml:space="preserve">Total </w:t>
            </w:r>
            <w:proofErr w:type="spellStart"/>
            <w:r w:rsidRPr="005B3567">
              <w:rPr>
                <w:rFonts w:ascii="Calibri" w:hAnsi="Calibri" w:cs="Calibri"/>
                <w:b/>
                <w:color w:val="000000"/>
                <w:sz w:val="22"/>
                <w:szCs w:val="22"/>
              </w:rPr>
              <w:t>RoE</w:t>
            </w:r>
            <w:proofErr w:type="spellEnd"/>
          </w:p>
        </w:tc>
        <w:tc>
          <w:tcPr>
            <w:tcW w:w="1651" w:type="dxa"/>
            <w:tcBorders>
              <w:top w:val="nil"/>
              <w:left w:val="single" w:sz="4" w:space="0" w:color="auto"/>
              <w:bottom w:val="single" w:sz="4" w:space="0" w:color="auto"/>
              <w:right w:val="single" w:sz="4" w:space="0" w:color="auto"/>
            </w:tcBorders>
            <w:shd w:val="clear" w:color="auto" w:fill="8DB3E2" w:themeFill="text2" w:themeFillTint="66"/>
            <w:noWrap/>
            <w:vAlign w:val="center"/>
            <w:hideMark/>
          </w:tcPr>
          <w:p w14:paraId="1F9BE780" w14:textId="77777777" w:rsidR="00D821DD" w:rsidRPr="005B3567" w:rsidRDefault="00D821DD">
            <w:pPr>
              <w:jc w:val="center"/>
              <w:rPr>
                <w:rFonts w:ascii="Calibri" w:hAnsi="Calibri" w:cs="Calibri"/>
                <w:b/>
                <w:color w:val="000000"/>
                <w:sz w:val="22"/>
                <w:szCs w:val="22"/>
              </w:rPr>
            </w:pPr>
            <w:r w:rsidRPr="005B3567">
              <w:rPr>
                <w:rFonts w:ascii="Calibri" w:hAnsi="Calibri" w:cs="Calibri"/>
                <w:b/>
                <w:color w:val="000000"/>
                <w:sz w:val="22"/>
                <w:szCs w:val="22"/>
              </w:rPr>
              <w:t xml:space="preserve">104.69 </w:t>
            </w:r>
          </w:p>
        </w:tc>
        <w:tc>
          <w:tcPr>
            <w:tcW w:w="1465" w:type="dxa"/>
            <w:tcBorders>
              <w:top w:val="nil"/>
              <w:left w:val="nil"/>
              <w:bottom w:val="single" w:sz="4" w:space="0" w:color="auto"/>
              <w:right w:val="single" w:sz="4" w:space="0" w:color="auto"/>
            </w:tcBorders>
            <w:shd w:val="clear" w:color="auto" w:fill="8DB3E2" w:themeFill="text2" w:themeFillTint="66"/>
            <w:noWrap/>
            <w:vAlign w:val="center"/>
            <w:hideMark/>
          </w:tcPr>
          <w:p w14:paraId="3B0CE734" w14:textId="77777777" w:rsidR="00D821DD" w:rsidRPr="005B3567" w:rsidRDefault="00D821DD">
            <w:pPr>
              <w:jc w:val="center"/>
              <w:rPr>
                <w:rFonts w:ascii="Calibri" w:hAnsi="Calibri" w:cs="Calibri"/>
                <w:b/>
                <w:color w:val="000000"/>
                <w:sz w:val="22"/>
                <w:szCs w:val="22"/>
              </w:rPr>
            </w:pPr>
            <w:r w:rsidRPr="005B3567">
              <w:rPr>
                <w:rFonts w:ascii="Calibri" w:hAnsi="Calibri" w:cs="Calibri"/>
                <w:b/>
                <w:color w:val="000000"/>
                <w:sz w:val="22"/>
                <w:szCs w:val="22"/>
              </w:rPr>
              <w:t xml:space="preserve">127.80 </w:t>
            </w:r>
          </w:p>
        </w:tc>
      </w:tr>
      <w:tr w:rsidR="00D821DD" w14:paraId="24BF3399" w14:textId="77777777" w:rsidTr="00CF7621">
        <w:trPr>
          <w:trHeight w:val="307"/>
        </w:trPr>
        <w:tc>
          <w:tcPr>
            <w:tcW w:w="5808" w:type="dxa"/>
            <w:tcBorders>
              <w:top w:val="nil"/>
              <w:left w:val="single" w:sz="8" w:space="0" w:color="auto"/>
              <w:bottom w:val="single" w:sz="8" w:space="0" w:color="auto"/>
              <w:right w:val="nil"/>
            </w:tcBorders>
            <w:shd w:val="clear" w:color="auto" w:fill="auto"/>
            <w:noWrap/>
            <w:vAlign w:val="center"/>
            <w:hideMark/>
          </w:tcPr>
          <w:p w14:paraId="3B00D4E5" w14:textId="77777777" w:rsidR="00D821DD" w:rsidRDefault="00D821DD">
            <w:pPr>
              <w:rPr>
                <w:rFonts w:ascii="Calibri" w:hAnsi="Calibri" w:cs="Calibri"/>
                <w:color w:val="000000"/>
                <w:sz w:val="22"/>
                <w:szCs w:val="22"/>
              </w:rPr>
            </w:pPr>
            <w:r>
              <w:rPr>
                <w:rFonts w:ascii="Calibri" w:hAnsi="Calibri" w:cs="Calibri"/>
                <w:color w:val="000000"/>
                <w:sz w:val="22"/>
                <w:szCs w:val="22"/>
              </w:rPr>
              <w:t>Return on Equity (pre-tax)</w:t>
            </w:r>
          </w:p>
        </w:tc>
        <w:tc>
          <w:tcPr>
            <w:tcW w:w="1651" w:type="dxa"/>
            <w:tcBorders>
              <w:top w:val="nil"/>
              <w:left w:val="single" w:sz="4" w:space="0" w:color="auto"/>
              <w:bottom w:val="single" w:sz="4" w:space="0" w:color="auto"/>
              <w:right w:val="single" w:sz="4" w:space="0" w:color="auto"/>
            </w:tcBorders>
            <w:shd w:val="clear" w:color="auto" w:fill="auto"/>
            <w:noWrap/>
            <w:vAlign w:val="bottom"/>
            <w:hideMark/>
          </w:tcPr>
          <w:p w14:paraId="29F43387" w14:textId="77777777" w:rsidR="00D821DD" w:rsidRDefault="00D821DD">
            <w:pPr>
              <w:jc w:val="center"/>
              <w:rPr>
                <w:rFonts w:ascii="Arial" w:hAnsi="Arial" w:cs="Arial"/>
                <w:sz w:val="20"/>
                <w:szCs w:val="20"/>
              </w:rPr>
            </w:pPr>
            <w:r>
              <w:rPr>
                <w:rFonts w:ascii="Arial" w:hAnsi="Arial" w:cs="Arial"/>
                <w:sz w:val="20"/>
                <w:szCs w:val="20"/>
              </w:rPr>
              <w:t>139.91</w:t>
            </w:r>
          </w:p>
        </w:tc>
        <w:tc>
          <w:tcPr>
            <w:tcW w:w="1465" w:type="dxa"/>
            <w:tcBorders>
              <w:top w:val="nil"/>
              <w:left w:val="nil"/>
              <w:bottom w:val="single" w:sz="4" w:space="0" w:color="auto"/>
              <w:right w:val="single" w:sz="4" w:space="0" w:color="auto"/>
            </w:tcBorders>
            <w:shd w:val="clear" w:color="auto" w:fill="auto"/>
            <w:noWrap/>
            <w:vAlign w:val="bottom"/>
            <w:hideMark/>
          </w:tcPr>
          <w:p w14:paraId="18698FD2" w14:textId="77777777" w:rsidR="00D821DD" w:rsidRDefault="00D821DD">
            <w:pPr>
              <w:jc w:val="center"/>
              <w:rPr>
                <w:rFonts w:ascii="Arial" w:hAnsi="Arial" w:cs="Arial"/>
                <w:sz w:val="20"/>
                <w:szCs w:val="20"/>
              </w:rPr>
            </w:pPr>
            <w:r>
              <w:rPr>
                <w:rFonts w:ascii="Arial" w:hAnsi="Arial" w:cs="Arial"/>
                <w:sz w:val="20"/>
                <w:szCs w:val="20"/>
              </w:rPr>
              <w:t>170.78</w:t>
            </w:r>
          </w:p>
        </w:tc>
      </w:tr>
      <w:tr w:rsidR="00D821DD" w14:paraId="52E7294B" w14:textId="77777777" w:rsidTr="00CF7621">
        <w:trPr>
          <w:trHeight w:val="307"/>
        </w:trPr>
        <w:tc>
          <w:tcPr>
            <w:tcW w:w="5808" w:type="dxa"/>
            <w:tcBorders>
              <w:top w:val="nil"/>
              <w:left w:val="single" w:sz="8" w:space="0" w:color="auto"/>
              <w:bottom w:val="single" w:sz="8" w:space="0" w:color="auto"/>
              <w:right w:val="nil"/>
            </w:tcBorders>
            <w:shd w:val="clear" w:color="auto" w:fill="8DB3E2" w:themeFill="text2" w:themeFillTint="66"/>
            <w:noWrap/>
            <w:vAlign w:val="center"/>
            <w:hideMark/>
          </w:tcPr>
          <w:p w14:paraId="562B32EC" w14:textId="77777777" w:rsidR="00D821DD" w:rsidRPr="005B3567" w:rsidRDefault="00D821DD">
            <w:pPr>
              <w:rPr>
                <w:rFonts w:ascii="Calibri" w:hAnsi="Calibri" w:cs="Calibri"/>
                <w:b/>
                <w:bCs/>
                <w:color w:val="000000"/>
                <w:sz w:val="22"/>
                <w:szCs w:val="22"/>
              </w:rPr>
            </w:pPr>
            <w:r w:rsidRPr="005B3567">
              <w:rPr>
                <w:rFonts w:ascii="Calibri" w:hAnsi="Calibri" w:cs="Calibri"/>
                <w:b/>
                <w:bCs/>
                <w:color w:val="000000"/>
                <w:sz w:val="22"/>
                <w:szCs w:val="22"/>
              </w:rPr>
              <w:t>Income Tax</w:t>
            </w:r>
          </w:p>
        </w:tc>
        <w:tc>
          <w:tcPr>
            <w:tcW w:w="1651" w:type="dxa"/>
            <w:tcBorders>
              <w:top w:val="nil"/>
              <w:left w:val="single" w:sz="4" w:space="0" w:color="auto"/>
              <w:bottom w:val="single" w:sz="4" w:space="0" w:color="auto"/>
              <w:right w:val="single" w:sz="4" w:space="0" w:color="auto"/>
            </w:tcBorders>
            <w:shd w:val="clear" w:color="auto" w:fill="8DB3E2" w:themeFill="text2" w:themeFillTint="66"/>
            <w:noWrap/>
            <w:vAlign w:val="bottom"/>
            <w:hideMark/>
          </w:tcPr>
          <w:p w14:paraId="524D665E" w14:textId="39A1B621" w:rsidR="00D821DD" w:rsidRPr="005B3567" w:rsidRDefault="00950942">
            <w:pPr>
              <w:jc w:val="center"/>
              <w:rPr>
                <w:rFonts w:ascii="Arial" w:hAnsi="Arial" w:cs="Arial"/>
                <w:b/>
                <w:sz w:val="20"/>
                <w:szCs w:val="20"/>
              </w:rPr>
            </w:pPr>
            <w:r w:rsidRPr="005B3567">
              <w:rPr>
                <w:rFonts w:ascii="Arial" w:hAnsi="Arial" w:cs="Arial"/>
                <w:b/>
                <w:sz w:val="20"/>
                <w:szCs w:val="20"/>
              </w:rPr>
              <w:t>35.21</w:t>
            </w:r>
          </w:p>
        </w:tc>
        <w:tc>
          <w:tcPr>
            <w:tcW w:w="1465" w:type="dxa"/>
            <w:tcBorders>
              <w:top w:val="nil"/>
              <w:left w:val="nil"/>
              <w:bottom w:val="single" w:sz="4" w:space="0" w:color="auto"/>
              <w:right w:val="single" w:sz="4" w:space="0" w:color="auto"/>
            </w:tcBorders>
            <w:shd w:val="clear" w:color="auto" w:fill="8DB3E2" w:themeFill="text2" w:themeFillTint="66"/>
            <w:noWrap/>
            <w:vAlign w:val="bottom"/>
            <w:hideMark/>
          </w:tcPr>
          <w:p w14:paraId="7E5D0DCB" w14:textId="6085B498" w:rsidR="00D821DD" w:rsidRPr="005B3567" w:rsidRDefault="00950942">
            <w:pPr>
              <w:jc w:val="center"/>
              <w:rPr>
                <w:rFonts w:ascii="Arial" w:hAnsi="Arial" w:cs="Arial"/>
                <w:b/>
                <w:sz w:val="20"/>
                <w:szCs w:val="20"/>
              </w:rPr>
            </w:pPr>
            <w:r w:rsidRPr="005B3567">
              <w:rPr>
                <w:rFonts w:ascii="Arial" w:hAnsi="Arial" w:cs="Arial"/>
                <w:b/>
                <w:sz w:val="20"/>
                <w:szCs w:val="20"/>
              </w:rPr>
              <w:t>42.98</w:t>
            </w:r>
          </w:p>
        </w:tc>
      </w:tr>
    </w:tbl>
    <w:p w14:paraId="04C23BEB" w14:textId="11F32C4C" w:rsidR="00B87A94" w:rsidRDefault="00B87A94" w:rsidP="002334A3">
      <w:pPr>
        <w:spacing w:line="360" w:lineRule="auto"/>
        <w:ind w:left="567"/>
        <w:jc w:val="both"/>
        <w:rPr>
          <w:rFonts w:asciiTheme="minorHAnsi" w:hAnsiTheme="minorHAnsi" w:cstheme="minorHAnsi"/>
          <w:sz w:val="22"/>
          <w:szCs w:val="22"/>
        </w:rPr>
      </w:pPr>
    </w:p>
    <w:p w14:paraId="34A03FA3" w14:textId="34AAC672" w:rsidR="00457F93" w:rsidRPr="005B3567" w:rsidRDefault="007D3E57" w:rsidP="005B3567">
      <w:pPr>
        <w:spacing w:line="360" w:lineRule="auto"/>
        <w:ind w:left="709"/>
        <w:rPr>
          <w:rFonts w:asciiTheme="minorHAnsi" w:hAnsiTheme="minorHAnsi" w:cstheme="minorHAnsi"/>
          <w:b/>
          <w:sz w:val="22"/>
          <w:szCs w:val="22"/>
        </w:rPr>
      </w:pPr>
      <w:r w:rsidRPr="00153204">
        <w:rPr>
          <w:rFonts w:asciiTheme="minorHAnsi" w:hAnsiTheme="minorHAnsi" w:cstheme="minorHAnsi"/>
          <w:b/>
          <w:sz w:val="22"/>
          <w:szCs w:val="22"/>
        </w:rPr>
        <w:t xml:space="preserve"> </w:t>
      </w:r>
      <w:r w:rsidR="00B7260C" w:rsidRPr="005B3567">
        <w:rPr>
          <w:rFonts w:asciiTheme="minorHAnsi" w:hAnsiTheme="minorHAnsi" w:cstheme="minorHAnsi"/>
          <w:b/>
          <w:sz w:val="28"/>
          <w:szCs w:val="22"/>
        </w:rPr>
        <w:t>2.1</w:t>
      </w:r>
      <w:r w:rsidR="00996459">
        <w:rPr>
          <w:rFonts w:asciiTheme="minorHAnsi" w:hAnsiTheme="minorHAnsi" w:cstheme="minorHAnsi"/>
          <w:b/>
          <w:sz w:val="28"/>
          <w:szCs w:val="22"/>
        </w:rPr>
        <w:t>3</w:t>
      </w:r>
      <w:r w:rsidR="00457F93" w:rsidRPr="005B3567">
        <w:rPr>
          <w:rFonts w:asciiTheme="minorHAnsi" w:hAnsiTheme="minorHAnsi" w:cstheme="minorHAnsi"/>
          <w:b/>
          <w:sz w:val="28"/>
          <w:szCs w:val="22"/>
        </w:rPr>
        <w:t xml:space="preserve"> Carrying Cost</w:t>
      </w:r>
    </w:p>
    <w:p w14:paraId="3112A0EF" w14:textId="1C97F6AC" w:rsidR="006F48A4" w:rsidRPr="00153204" w:rsidRDefault="00C56F4B" w:rsidP="005B3567">
      <w:pPr>
        <w:pStyle w:val="ListParagraph"/>
        <w:spacing w:line="360" w:lineRule="auto"/>
        <w:ind w:left="709"/>
        <w:jc w:val="both"/>
        <w:rPr>
          <w:rFonts w:asciiTheme="minorHAnsi" w:hAnsiTheme="minorHAnsi" w:cstheme="minorHAnsi"/>
          <w:color w:val="232323"/>
        </w:rPr>
      </w:pPr>
      <w:r w:rsidRPr="001255EA">
        <w:rPr>
          <w:rFonts w:asciiTheme="minorHAnsi" w:hAnsiTheme="minorHAnsi" w:cstheme="minorHAnsi"/>
          <w:color w:val="232323"/>
        </w:rPr>
        <w:t>For the ensuing year FY 202</w:t>
      </w:r>
      <w:r w:rsidR="001255EA" w:rsidRPr="001255EA">
        <w:rPr>
          <w:rFonts w:asciiTheme="minorHAnsi" w:hAnsiTheme="minorHAnsi" w:cstheme="minorHAnsi"/>
          <w:color w:val="232323"/>
        </w:rPr>
        <w:t>5</w:t>
      </w:r>
      <w:r w:rsidRPr="001255EA">
        <w:rPr>
          <w:rFonts w:asciiTheme="minorHAnsi" w:hAnsiTheme="minorHAnsi" w:cstheme="minorHAnsi"/>
          <w:color w:val="232323"/>
        </w:rPr>
        <w:t>-2</w:t>
      </w:r>
      <w:r w:rsidR="001255EA" w:rsidRPr="001255EA">
        <w:rPr>
          <w:rFonts w:asciiTheme="minorHAnsi" w:hAnsiTheme="minorHAnsi" w:cstheme="minorHAnsi"/>
          <w:color w:val="232323"/>
        </w:rPr>
        <w:t>6</w:t>
      </w:r>
      <w:r w:rsidRPr="001255EA">
        <w:rPr>
          <w:rFonts w:asciiTheme="minorHAnsi" w:hAnsiTheme="minorHAnsi" w:cstheme="minorHAnsi"/>
          <w:color w:val="232323"/>
        </w:rPr>
        <w:t>, the gap</w:t>
      </w:r>
      <w:r w:rsidR="001255EA" w:rsidRPr="001255EA">
        <w:rPr>
          <w:rFonts w:asciiTheme="minorHAnsi" w:hAnsiTheme="minorHAnsi" w:cstheme="minorHAnsi"/>
          <w:color w:val="232323"/>
        </w:rPr>
        <w:t>(deficit)</w:t>
      </w:r>
      <w:r w:rsidRPr="001255EA">
        <w:rPr>
          <w:rFonts w:asciiTheme="minorHAnsi" w:hAnsiTheme="minorHAnsi" w:cstheme="minorHAnsi"/>
          <w:color w:val="232323"/>
        </w:rPr>
        <w:t xml:space="preserve"> arrived at </w:t>
      </w:r>
      <w:r w:rsidR="001A2772" w:rsidRPr="001255EA">
        <w:rPr>
          <w:rFonts w:asciiTheme="minorHAnsi" w:hAnsiTheme="minorHAnsi" w:cstheme="minorHAnsi"/>
          <w:color w:val="232323"/>
        </w:rPr>
        <w:t>Rs.</w:t>
      </w:r>
      <w:r w:rsidRPr="001255EA">
        <w:rPr>
          <w:rFonts w:asciiTheme="minorHAnsi" w:hAnsiTheme="minorHAnsi" w:cstheme="minorHAnsi"/>
          <w:color w:val="232323"/>
        </w:rPr>
        <w:t xml:space="preserve"> </w:t>
      </w:r>
      <w:r w:rsidR="001255EA" w:rsidRPr="001255EA">
        <w:rPr>
          <w:rFonts w:asciiTheme="minorHAnsi" w:hAnsiTheme="minorHAnsi" w:cstheme="minorHAnsi"/>
          <w:color w:val="232323"/>
        </w:rPr>
        <w:t>139.11</w:t>
      </w:r>
      <w:r w:rsidRPr="001255EA">
        <w:rPr>
          <w:rFonts w:asciiTheme="minorHAnsi" w:hAnsiTheme="minorHAnsi" w:cstheme="minorHAnsi"/>
          <w:color w:val="232323"/>
        </w:rPr>
        <w:t xml:space="preserve">Crs. and accordingly carrying cost @ </w:t>
      </w:r>
      <w:r w:rsidR="001255EA" w:rsidRPr="001255EA">
        <w:rPr>
          <w:rFonts w:asciiTheme="minorHAnsi" w:hAnsiTheme="minorHAnsi" w:cstheme="minorHAnsi"/>
          <w:color w:val="232323"/>
        </w:rPr>
        <w:t>8.5</w:t>
      </w:r>
      <w:r w:rsidRPr="001255EA">
        <w:rPr>
          <w:rFonts w:asciiTheme="minorHAnsi" w:hAnsiTheme="minorHAnsi" w:cstheme="minorHAnsi"/>
          <w:color w:val="232323"/>
        </w:rPr>
        <w:t xml:space="preserve"> % </w:t>
      </w:r>
      <w:r w:rsidR="001255EA" w:rsidRPr="001255EA">
        <w:rPr>
          <w:rFonts w:asciiTheme="minorHAnsi" w:hAnsiTheme="minorHAnsi" w:cstheme="minorHAnsi"/>
          <w:color w:val="232323"/>
        </w:rPr>
        <w:t>is</w:t>
      </w:r>
      <w:r w:rsidRPr="001255EA">
        <w:rPr>
          <w:rFonts w:asciiTheme="minorHAnsi" w:hAnsiTheme="minorHAnsi" w:cstheme="minorHAnsi"/>
          <w:color w:val="232323"/>
        </w:rPr>
        <w:t xml:space="preserve"> </w:t>
      </w:r>
      <w:r w:rsidR="001A2772" w:rsidRPr="001255EA">
        <w:rPr>
          <w:rFonts w:asciiTheme="minorHAnsi" w:hAnsiTheme="minorHAnsi" w:cstheme="minorHAnsi"/>
          <w:color w:val="232323"/>
        </w:rPr>
        <w:t>Rs.</w:t>
      </w:r>
      <w:r w:rsidRPr="001255EA">
        <w:rPr>
          <w:rFonts w:asciiTheme="minorHAnsi" w:hAnsiTheme="minorHAnsi" w:cstheme="minorHAnsi"/>
          <w:color w:val="232323"/>
        </w:rPr>
        <w:t xml:space="preserve"> </w:t>
      </w:r>
      <w:r w:rsidR="001255EA" w:rsidRPr="001255EA">
        <w:rPr>
          <w:rFonts w:asciiTheme="minorHAnsi" w:hAnsiTheme="minorHAnsi" w:cstheme="minorHAnsi"/>
          <w:color w:val="232323"/>
        </w:rPr>
        <w:t>12</w:t>
      </w:r>
      <w:r w:rsidRPr="001255EA">
        <w:rPr>
          <w:rFonts w:asciiTheme="minorHAnsi" w:hAnsiTheme="minorHAnsi" w:cstheme="minorHAnsi"/>
          <w:color w:val="232323"/>
        </w:rPr>
        <w:t xml:space="preserve"> </w:t>
      </w:r>
      <w:proofErr w:type="spellStart"/>
      <w:r w:rsidRPr="001255EA">
        <w:rPr>
          <w:rFonts w:asciiTheme="minorHAnsi" w:hAnsiTheme="minorHAnsi" w:cstheme="minorHAnsi"/>
          <w:color w:val="232323"/>
        </w:rPr>
        <w:t>Crs</w:t>
      </w:r>
      <w:proofErr w:type="spellEnd"/>
      <w:r w:rsidRPr="001255EA">
        <w:rPr>
          <w:rFonts w:asciiTheme="minorHAnsi" w:hAnsiTheme="minorHAnsi" w:cstheme="minorHAnsi"/>
          <w:color w:val="232323"/>
        </w:rPr>
        <w:t xml:space="preserve">. and the effective gap arrived at </w:t>
      </w:r>
      <w:r w:rsidR="001A2772" w:rsidRPr="001255EA">
        <w:rPr>
          <w:rFonts w:asciiTheme="minorHAnsi" w:hAnsiTheme="minorHAnsi" w:cstheme="minorHAnsi"/>
          <w:color w:val="232323"/>
        </w:rPr>
        <w:t>Rs.</w:t>
      </w:r>
      <w:r w:rsidRPr="001255EA">
        <w:rPr>
          <w:rFonts w:asciiTheme="minorHAnsi" w:hAnsiTheme="minorHAnsi" w:cstheme="minorHAnsi"/>
          <w:color w:val="232323"/>
        </w:rPr>
        <w:t xml:space="preserve"> </w:t>
      </w:r>
      <w:r w:rsidR="001255EA" w:rsidRPr="001255EA">
        <w:rPr>
          <w:rFonts w:asciiTheme="minorHAnsi" w:hAnsiTheme="minorHAnsi" w:cstheme="minorHAnsi"/>
          <w:color w:val="232323"/>
        </w:rPr>
        <w:t>151.11</w:t>
      </w:r>
      <w:r w:rsidRPr="001255EA">
        <w:rPr>
          <w:rFonts w:asciiTheme="minorHAnsi" w:hAnsiTheme="minorHAnsi" w:cstheme="minorHAnsi"/>
          <w:color w:val="232323"/>
        </w:rPr>
        <w:t>Crs.</w:t>
      </w:r>
    </w:p>
    <w:p w14:paraId="317A7DC1" w14:textId="6089FE01" w:rsidR="00B602FC" w:rsidRDefault="005B3567" w:rsidP="005B3567">
      <w:pPr>
        <w:pStyle w:val="ListParagraph"/>
        <w:spacing w:line="360" w:lineRule="auto"/>
        <w:ind w:left="567" w:firstLine="142"/>
        <w:jc w:val="both"/>
        <w:rPr>
          <w:rFonts w:asciiTheme="minorHAnsi" w:hAnsiTheme="minorHAnsi" w:cstheme="minorHAnsi"/>
          <w:b/>
        </w:rPr>
      </w:pPr>
      <w:r w:rsidRPr="00153204">
        <w:rPr>
          <w:rFonts w:asciiTheme="minorHAnsi" w:hAnsiTheme="minorHAnsi" w:cstheme="minorHAnsi"/>
          <w:b/>
          <w:noProof/>
          <w:lang w:val="en-IN" w:eastAsia="en-IN"/>
        </w:rPr>
        <mc:AlternateContent>
          <mc:Choice Requires="wps">
            <w:drawing>
              <wp:anchor distT="0" distB="0" distL="114300" distR="114300" simplePos="0" relativeHeight="251623424" behindDoc="1" locked="0" layoutInCell="1" allowOverlap="1" wp14:anchorId="34A04A37" wp14:editId="6C657902">
                <wp:simplePos x="0" y="0"/>
                <wp:positionH relativeFrom="margin">
                  <wp:posOffset>441960</wp:posOffset>
                </wp:positionH>
                <wp:positionV relativeFrom="paragraph">
                  <wp:posOffset>283845</wp:posOffset>
                </wp:positionV>
                <wp:extent cx="5638800" cy="351155"/>
                <wp:effectExtent l="0" t="0" r="19050" b="10795"/>
                <wp:wrapTight wrapText="bothSides">
                  <wp:wrapPolygon edited="0">
                    <wp:start x="0" y="0"/>
                    <wp:lineTo x="0" y="21092"/>
                    <wp:lineTo x="21600" y="21092"/>
                    <wp:lineTo x="21600" y="0"/>
                    <wp:lineTo x="0" y="0"/>
                  </wp:wrapPolygon>
                </wp:wrapTight>
                <wp:docPr id="19" name="Rectangle 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638800" cy="351155"/>
                        </a:xfrm>
                        <a:prstGeom prst="rect">
                          <a:avLst/>
                        </a:prstGeom>
                        <a:solidFill>
                          <a:schemeClr val="tx2">
                            <a:lumMod val="20000"/>
                            <a:lumOff val="80000"/>
                          </a:schemeClr>
                        </a:solidFill>
                        <a:ln w="9525">
                          <a:solidFill>
                            <a:srgbClr val="000000"/>
                          </a:solidFill>
                          <a:miter lim="800000"/>
                          <a:headEnd/>
                          <a:tailEnd/>
                        </a:ln>
                      </wps:spPr>
                      <wps:txbx>
                        <w:txbxContent>
                          <w:p w14:paraId="34A04A5E" w14:textId="77777777" w:rsidR="00535B24" w:rsidRPr="006F48A4" w:rsidRDefault="00535B24" w:rsidP="00EC1C3C">
                            <w:pPr>
                              <w:ind w:left="426" w:hanging="284"/>
                              <w:rPr>
                                <w:rFonts w:asciiTheme="minorHAnsi" w:hAnsiTheme="minorHAnsi" w:cstheme="minorHAnsi"/>
                                <w:b/>
                                <w:sz w:val="28"/>
                                <w:szCs w:val="28"/>
                                <w:lang w:val="en-IN"/>
                              </w:rPr>
                            </w:pPr>
                            <w:r w:rsidRPr="006F48A4">
                              <w:rPr>
                                <w:rFonts w:asciiTheme="minorHAnsi" w:hAnsiTheme="minorHAnsi" w:cstheme="minorHAnsi"/>
                                <w:b/>
                                <w:sz w:val="28"/>
                                <w:szCs w:val="28"/>
                                <w:lang w:val="en-IN"/>
                              </w:rPr>
                              <w:t xml:space="preserve">3. Revenue and Current Year GAP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4A04A37" id="Rectangle 4" o:spid="_x0000_s1038" style="position:absolute;left:0;text-align:left;margin-left:34.8pt;margin-top:22.35pt;width:444pt;height:27.65pt;z-index:-25169305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" fillcolor="#c6d9f1 [671]">
                <v:textbox>
                  <w:txbxContent>
                    <w:p w14:paraId="34A04A5E" w14:textId="77777777" w:rsidR="00535B24" w:rsidRPr="006F48A4" w:rsidRDefault="00535B24" w:rsidP="00EC1C3C">
                      <w:pPr>
                        <w:ind w:left="426" w:hanging="284"/>
                        <w:rPr>
                          <w:rFonts w:asciiTheme="minorHAnsi" w:hAnsiTheme="minorHAnsi" w:cstheme="minorHAnsi"/>
                          <w:b/>
                          <w:sz w:val="28"/>
                          <w:szCs w:val="28"/>
                          <w:lang w:val="en-IN"/>
                        </w:rPr>
                      </w:pPr>
                      <w:r w:rsidRPr="006F48A4">
                        <w:rPr>
                          <w:rFonts w:asciiTheme="minorHAnsi" w:hAnsiTheme="minorHAnsi" w:cstheme="minorHAnsi"/>
                          <w:b/>
                          <w:sz w:val="28"/>
                          <w:szCs w:val="28"/>
                          <w:lang w:val="en-IN"/>
                        </w:rPr>
                        <w:t xml:space="preserve">3. Revenue and Current Year GAP </w:t>
                      </w:r>
                    </w:p>
                  </w:txbxContent>
                </v:textbox>
                <w10:wrap type="tight" anchorx="margin"/>
              </v:rect>
            </w:pict>
          </mc:Fallback>
        </mc:AlternateContent>
      </w:r>
    </w:p>
    <w:p w14:paraId="14F0109E" w14:textId="28E25377" w:rsidR="005B3567" w:rsidRPr="005B3567" w:rsidRDefault="005B3567" w:rsidP="005B3567">
      <w:pPr>
        <w:spacing w:line="360" w:lineRule="auto"/>
        <w:jc w:val="both"/>
        <w:rPr>
          <w:rFonts w:asciiTheme="minorHAnsi" w:hAnsiTheme="minorHAnsi" w:cstheme="minorHAnsi"/>
          <w:b/>
        </w:rPr>
      </w:pPr>
    </w:p>
    <w:p w14:paraId="1BE3AD58" w14:textId="77777777" w:rsidR="005B3567" w:rsidRDefault="005B3567" w:rsidP="005B3567">
      <w:pPr>
        <w:pStyle w:val="ListParagraph"/>
        <w:spacing w:line="360" w:lineRule="auto"/>
        <w:ind w:left="709"/>
        <w:jc w:val="both"/>
        <w:rPr>
          <w:rFonts w:asciiTheme="minorHAnsi" w:hAnsiTheme="minorHAnsi" w:cstheme="minorHAnsi"/>
          <w:b/>
          <w:sz w:val="24"/>
        </w:rPr>
      </w:pPr>
    </w:p>
    <w:p w14:paraId="34A03FA9" w14:textId="5C008B0F" w:rsidR="004115DB" w:rsidRPr="00B00601" w:rsidRDefault="005B3567" w:rsidP="005B3567">
      <w:pPr>
        <w:pStyle w:val="ListParagraph"/>
        <w:spacing w:line="360" w:lineRule="auto"/>
        <w:ind w:left="709"/>
        <w:jc w:val="both"/>
        <w:rPr>
          <w:rFonts w:asciiTheme="minorHAnsi" w:hAnsiTheme="minorHAnsi" w:cstheme="minorHAnsi"/>
          <w:b/>
          <w:sz w:val="24"/>
        </w:rPr>
      </w:pPr>
      <w:r w:rsidRPr="00B00601">
        <w:rPr>
          <w:rFonts w:asciiTheme="minorHAnsi" w:hAnsiTheme="minorHAnsi" w:cstheme="minorHAnsi"/>
          <w:b/>
          <w:sz w:val="24"/>
        </w:rPr>
        <w:t xml:space="preserve">3.1 </w:t>
      </w:r>
      <w:r w:rsidR="0057362A" w:rsidRPr="00B00601">
        <w:rPr>
          <w:rFonts w:asciiTheme="minorHAnsi" w:hAnsiTheme="minorHAnsi" w:cstheme="minorHAnsi"/>
          <w:b/>
          <w:sz w:val="24"/>
        </w:rPr>
        <w:t>Non-Tariff</w:t>
      </w:r>
      <w:r w:rsidR="004115DB" w:rsidRPr="00B00601">
        <w:rPr>
          <w:rFonts w:asciiTheme="minorHAnsi" w:hAnsiTheme="minorHAnsi" w:cstheme="minorHAnsi"/>
          <w:b/>
          <w:sz w:val="24"/>
        </w:rPr>
        <w:t xml:space="preserve"> Income</w:t>
      </w:r>
    </w:p>
    <w:p w14:paraId="7D36C8CF" w14:textId="6B0A050E" w:rsidR="00FE4746" w:rsidRPr="00CF7621" w:rsidRDefault="00965230" w:rsidP="00CF7621">
      <w:pPr>
        <w:tabs>
          <w:tab w:val="left" w:pos="7872"/>
        </w:tabs>
        <w:spacing w:line="360" w:lineRule="auto"/>
        <w:ind w:left="709"/>
        <w:jc w:val="both"/>
        <w:rPr>
          <w:rFonts w:asciiTheme="minorHAnsi" w:hAnsiTheme="minorHAnsi" w:cstheme="minorHAnsi"/>
          <w:sz w:val="22"/>
          <w:szCs w:val="22"/>
        </w:rPr>
      </w:pPr>
      <w:r w:rsidRPr="00153204">
        <w:rPr>
          <w:rFonts w:asciiTheme="minorHAnsi" w:hAnsiTheme="minorHAnsi" w:cstheme="minorHAnsi"/>
          <w:sz w:val="22"/>
          <w:szCs w:val="22"/>
        </w:rPr>
        <w:t xml:space="preserve">The licensee </w:t>
      </w:r>
      <w:r w:rsidR="00A44CCB" w:rsidRPr="00153204">
        <w:rPr>
          <w:rFonts w:asciiTheme="minorHAnsi" w:hAnsiTheme="minorHAnsi" w:cstheme="minorHAnsi"/>
          <w:sz w:val="22"/>
          <w:szCs w:val="22"/>
        </w:rPr>
        <w:t>has relied</w:t>
      </w:r>
      <w:r w:rsidRPr="00153204">
        <w:rPr>
          <w:rFonts w:asciiTheme="minorHAnsi" w:hAnsiTheme="minorHAnsi" w:cstheme="minorHAnsi"/>
          <w:sz w:val="22"/>
          <w:szCs w:val="22"/>
        </w:rPr>
        <w:t xml:space="preserve"> on the quantum of actual </w:t>
      </w:r>
      <w:r w:rsidR="001D3F44" w:rsidRPr="00153204">
        <w:rPr>
          <w:rFonts w:asciiTheme="minorHAnsi" w:hAnsiTheme="minorHAnsi" w:cstheme="minorHAnsi"/>
          <w:sz w:val="22"/>
          <w:szCs w:val="22"/>
        </w:rPr>
        <w:t>Non-Tariff</w:t>
      </w:r>
      <w:r w:rsidRPr="00153204">
        <w:rPr>
          <w:rFonts w:asciiTheme="minorHAnsi" w:hAnsiTheme="minorHAnsi" w:cstheme="minorHAnsi"/>
          <w:sz w:val="22"/>
          <w:szCs w:val="22"/>
        </w:rPr>
        <w:t xml:space="preserve"> Income for the first six months of FY 2</w:t>
      </w:r>
      <w:r w:rsidR="001D3F44" w:rsidRPr="00153204">
        <w:rPr>
          <w:rFonts w:asciiTheme="minorHAnsi" w:hAnsiTheme="minorHAnsi" w:cstheme="minorHAnsi"/>
          <w:sz w:val="22"/>
          <w:szCs w:val="22"/>
        </w:rPr>
        <w:t>02</w:t>
      </w:r>
      <w:r w:rsidR="000C7737">
        <w:rPr>
          <w:rFonts w:asciiTheme="minorHAnsi" w:hAnsiTheme="minorHAnsi" w:cstheme="minorHAnsi"/>
          <w:sz w:val="22"/>
          <w:szCs w:val="22"/>
        </w:rPr>
        <w:t>4</w:t>
      </w:r>
      <w:r w:rsidRPr="00153204">
        <w:rPr>
          <w:rFonts w:asciiTheme="minorHAnsi" w:hAnsiTheme="minorHAnsi" w:cstheme="minorHAnsi"/>
          <w:sz w:val="22"/>
          <w:szCs w:val="22"/>
        </w:rPr>
        <w:t>-</w:t>
      </w:r>
      <w:r w:rsidR="00A44CCB" w:rsidRPr="00153204">
        <w:rPr>
          <w:rFonts w:asciiTheme="minorHAnsi" w:hAnsiTheme="minorHAnsi" w:cstheme="minorHAnsi"/>
          <w:sz w:val="22"/>
          <w:szCs w:val="22"/>
        </w:rPr>
        <w:t>2</w:t>
      </w:r>
      <w:r w:rsidR="000C7737">
        <w:rPr>
          <w:rFonts w:asciiTheme="minorHAnsi" w:hAnsiTheme="minorHAnsi" w:cstheme="minorHAnsi"/>
          <w:sz w:val="22"/>
          <w:szCs w:val="22"/>
        </w:rPr>
        <w:t>5</w:t>
      </w:r>
      <w:r w:rsidR="00A44CCB" w:rsidRPr="00153204">
        <w:rPr>
          <w:rFonts w:asciiTheme="minorHAnsi" w:hAnsiTheme="minorHAnsi" w:cstheme="minorHAnsi"/>
          <w:sz w:val="22"/>
          <w:szCs w:val="22"/>
        </w:rPr>
        <w:t xml:space="preserve"> for</w:t>
      </w:r>
      <w:r w:rsidRPr="00153204">
        <w:rPr>
          <w:rFonts w:asciiTheme="minorHAnsi" w:hAnsiTheme="minorHAnsi" w:cstheme="minorHAnsi"/>
          <w:sz w:val="22"/>
          <w:szCs w:val="22"/>
        </w:rPr>
        <w:t xml:space="preserve"> projecting the NTI for the ensuing year. Based on the trend, the projections of the </w:t>
      </w:r>
      <w:r w:rsidR="00A44CCB" w:rsidRPr="00153204">
        <w:rPr>
          <w:rFonts w:asciiTheme="minorHAnsi" w:hAnsiTheme="minorHAnsi" w:cstheme="minorHAnsi"/>
          <w:sz w:val="22"/>
          <w:szCs w:val="22"/>
        </w:rPr>
        <w:t>Non-Tariff</w:t>
      </w:r>
      <w:r w:rsidRPr="00153204">
        <w:rPr>
          <w:rFonts w:asciiTheme="minorHAnsi" w:hAnsiTheme="minorHAnsi" w:cstheme="minorHAnsi"/>
          <w:sz w:val="22"/>
          <w:szCs w:val="22"/>
        </w:rPr>
        <w:t xml:space="preserve"> Income are as given in the </w:t>
      </w:r>
      <w:r w:rsidR="00B24F3A" w:rsidRPr="00153204">
        <w:rPr>
          <w:rFonts w:asciiTheme="minorHAnsi" w:hAnsiTheme="minorHAnsi" w:cstheme="minorHAnsi"/>
          <w:sz w:val="22"/>
          <w:szCs w:val="22"/>
        </w:rPr>
        <w:t xml:space="preserve">following </w:t>
      </w:r>
      <w:r w:rsidRPr="00153204">
        <w:rPr>
          <w:rFonts w:asciiTheme="minorHAnsi" w:hAnsiTheme="minorHAnsi" w:cstheme="minorHAnsi"/>
          <w:sz w:val="22"/>
          <w:szCs w:val="22"/>
        </w:rPr>
        <w:t>Table:</w:t>
      </w:r>
    </w:p>
    <w:p w14:paraId="7C493389" w14:textId="7042AC75" w:rsidR="007067F6" w:rsidRDefault="00CF7621" w:rsidP="00CF7621">
      <w:pPr>
        <w:tabs>
          <w:tab w:val="left" w:pos="7403"/>
        </w:tabs>
        <w:spacing w:line="360" w:lineRule="auto"/>
        <w:jc w:val="center"/>
        <w:rPr>
          <w:rFonts w:asciiTheme="minorHAnsi" w:hAnsiTheme="minorHAnsi" w:cstheme="minorHAnsi"/>
          <w:b/>
          <w:color w:val="232323"/>
        </w:rPr>
      </w:pPr>
      <w:r>
        <w:rPr>
          <w:rFonts w:asciiTheme="minorHAnsi" w:hAnsiTheme="minorHAnsi" w:cstheme="minorHAnsi"/>
          <w:b/>
          <w:sz w:val="22"/>
        </w:rPr>
        <w:t xml:space="preserve">         </w:t>
      </w:r>
      <w:r w:rsidR="00177378" w:rsidRPr="00CF7621">
        <w:rPr>
          <w:rFonts w:asciiTheme="minorHAnsi" w:hAnsiTheme="minorHAnsi" w:cstheme="minorHAnsi"/>
          <w:b/>
          <w:sz w:val="22"/>
        </w:rPr>
        <w:t>Table No-</w:t>
      </w:r>
      <w:r w:rsidR="00B602FC" w:rsidRPr="00CF7621">
        <w:rPr>
          <w:rFonts w:asciiTheme="minorHAnsi" w:hAnsiTheme="minorHAnsi" w:cstheme="minorHAnsi"/>
          <w:b/>
          <w:sz w:val="22"/>
        </w:rPr>
        <w:t>4</w:t>
      </w:r>
      <w:r w:rsidRPr="00CF7621">
        <w:rPr>
          <w:rFonts w:asciiTheme="minorHAnsi" w:hAnsiTheme="minorHAnsi" w:cstheme="minorHAnsi"/>
          <w:b/>
          <w:sz w:val="22"/>
        </w:rPr>
        <w:t>4</w:t>
      </w:r>
      <w:r w:rsidR="00B24F3A" w:rsidRPr="00CF7621">
        <w:rPr>
          <w:rFonts w:asciiTheme="minorHAnsi" w:hAnsiTheme="minorHAnsi" w:cstheme="minorHAnsi"/>
          <w:b/>
          <w:sz w:val="22"/>
        </w:rPr>
        <w:t>: Non</w:t>
      </w:r>
      <w:r w:rsidR="00A3504E" w:rsidRPr="00CF7621">
        <w:rPr>
          <w:rFonts w:asciiTheme="minorHAnsi" w:hAnsiTheme="minorHAnsi" w:cstheme="minorHAnsi"/>
          <w:b/>
          <w:sz w:val="22"/>
        </w:rPr>
        <w:t xml:space="preserve"> –Tariff Income </w:t>
      </w:r>
      <w:r w:rsidR="00EC1C3C" w:rsidRPr="00CF7621">
        <w:rPr>
          <w:rFonts w:asciiTheme="minorHAnsi" w:hAnsiTheme="minorHAnsi" w:cstheme="minorHAnsi"/>
          <w:b/>
          <w:sz w:val="22"/>
        </w:rPr>
        <w:t xml:space="preserve">      </w:t>
      </w:r>
      <w:r w:rsidR="000E1AF2" w:rsidRPr="00CF7621">
        <w:rPr>
          <w:rFonts w:asciiTheme="minorHAnsi" w:hAnsiTheme="minorHAnsi" w:cstheme="minorHAnsi"/>
          <w:b/>
          <w:sz w:val="22"/>
        </w:rPr>
        <w:t xml:space="preserve">   </w:t>
      </w:r>
      <w:proofErr w:type="gramStart"/>
      <w:r w:rsidR="000E1AF2" w:rsidRPr="00CF7621">
        <w:rPr>
          <w:rFonts w:asciiTheme="minorHAnsi" w:hAnsiTheme="minorHAnsi" w:cstheme="minorHAnsi"/>
          <w:b/>
          <w:sz w:val="22"/>
        </w:rPr>
        <w:t xml:space="preserve">   </w:t>
      </w:r>
      <w:r w:rsidR="00965230" w:rsidRPr="00CF7621">
        <w:rPr>
          <w:rFonts w:asciiTheme="minorHAnsi" w:hAnsiTheme="minorHAnsi" w:cstheme="minorHAnsi"/>
          <w:b/>
          <w:sz w:val="22"/>
        </w:rPr>
        <w:t>(</w:t>
      </w:r>
      <w:proofErr w:type="gramEnd"/>
      <w:r w:rsidR="00100E6A" w:rsidRPr="00CF7621">
        <w:rPr>
          <w:rFonts w:asciiTheme="minorHAnsi" w:hAnsiTheme="minorHAnsi" w:cstheme="minorHAnsi"/>
          <w:b/>
          <w:sz w:val="22"/>
        </w:rPr>
        <w:t xml:space="preserve">In </w:t>
      </w:r>
      <w:r w:rsidR="001A2772" w:rsidRPr="00CF7621">
        <w:rPr>
          <w:rFonts w:asciiTheme="minorHAnsi" w:hAnsiTheme="minorHAnsi" w:cstheme="minorHAnsi"/>
          <w:b/>
          <w:sz w:val="22"/>
        </w:rPr>
        <w:t>Rs.</w:t>
      </w:r>
      <w:r w:rsidR="00100E6A" w:rsidRPr="00CF7621">
        <w:rPr>
          <w:rFonts w:asciiTheme="minorHAnsi" w:hAnsiTheme="minorHAnsi" w:cstheme="minorHAnsi"/>
          <w:b/>
          <w:sz w:val="22"/>
        </w:rPr>
        <w:t xml:space="preserve"> </w:t>
      </w:r>
      <w:proofErr w:type="spellStart"/>
      <w:r w:rsidR="00965230" w:rsidRPr="00CF7621">
        <w:rPr>
          <w:rFonts w:asciiTheme="minorHAnsi" w:hAnsiTheme="minorHAnsi" w:cstheme="minorHAnsi"/>
          <w:b/>
          <w:sz w:val="22"/>
        </w:rPr>
        <w:t>Crs</w:t>
      </w:r>
      <w:proofErr w:type="spellEnd"/>
      <w:r w:rsidR="00965230" w:rsidRPr="00B602FC">
        <w:rPr>
          <w:rFonts w:asciiTheme="minorHAnsi" w:hAnsiTheme="minorHAnsi" w:cstheme="minorHAnsi"/>
          <w:b/>
          <w:color w:val="232323"/>
        </w:rPr>
        <w:t>)</w:t>
      </w:r>
    </w:p>
    <w:p w14:paraId="5C4C0288" w14:textId="77777777" w:rsidR="00CF7621" w:rsidRPr="00B602FC" w:rsidRDefault="00CF7621" w:rsidP="00CF7621">
      <w:pPr>
        <w:tabs>
          <w:tab w:val="left" w:pos="7403"/>
        </w:tabs>
        <w:spacing w:line="360" w:lineRule="auto"/>
        <w:jc w:val="center"/>
        <w:rPr>
          <w:rFonts w:asciiTheme="minorHAnsi" w:hAnsiTheme="minorHAnsi" w:cstheme="minorHAnsi"/>
          <w:b/>
          <w:i/>
          <w:color w:val="232323"/>
        </w:rPr>
      </w:pPr>
    </w:p>
    <w:tbl>
      <w:tblPr>
        <w:tblpPr w:leftFromText="180" w:rightFromText="180" w:vertAnchor="text" w:horzAnchor="margin" w:tblpXSpec="center" w:tblpY="11"/>
        <w:tblW w:w="889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10"/>
        <w:gridCol w:w="2488"/>
        <w:gridCol w:w="2696"/>
      </w:tblGrid>
      <w:tr w:rsidR="00B602FC" w:rsidRPr="00CF7621" w14:paraId="2B269BCD" w14:textId="77777777" w:rsidTr="00B00601">
        <w:trPr>
          <w:trHeight w:val="738"/>
        </w:trPr>
        <w:tc>
          <w:tcPr>
            <w:tcW w:w="3710" w:type="dxa"/>
            <w:shd w:val="clear" w:color="auto" w:fill="95B3D7" w:themeFill="accent1" w:themeFillTint="99"/>
            <w:noWrap/>
            <w:vAlign w:val="center"/>
            <w:hideMark/>
          </w:tcPr>
          <w:p w14:paraId="39B5B93D" w14:textId="77777777" w:rsidR="00B602FC" w:rsidRPr="00CF7621" w:rsidRDefault="00B602FC" w:rsidP="00B602FC">
            <w:pPr>
              <w:jc w:val="center"/>
              <w:rPr>
                <w:rFonts w:asciiTheme="minorHAnsi" w:hAnsiTheme="minorHAnsi" w:cs="Arial"/>
                <w:b/>
                <w:bCs/>
                <w:color w:val="000000"/>
                <w:sz w:val="22"/>
                <w:szCs w:val="22"/>
                <w:lang w:val="en-IN" w:eastAsia="en-IN"/>
              </w:rPr>
            </w:pPr>
            <w:r w:rsidRPr="00CF7621">
              <w:rPr>
                <w:rFonts w:asciiTheme="minorHAnsi" w:hAnsiTheme="minorHAnsi" w:cs="Arial"/>
                <w:b/>
                <w:bCs/>
                <w:color w:val="000000"/>
                <w:sz w:val="22"/>
                <w:szCs w:val="22"/>
              </w:rPr>
              <w:t xml:space="preserve">Particulars </w:t>
            </w:r>
          </w:p>
        </w:tc>
        <w:tc>
          <w:tcPr>
            <w:tcW w:w="2488" w:type="dxa"/>
            <w:shd w:val="clear" w:color="auto" w:fill="95B3D7" w:themeFill="accent1" w:themeFillTint="99"/>
            <w:vAlign w:val="center"/>
            <w:hideMark/>
          </w:tcPr>
          <w:p w14:paraId="6E390053" w14:textId="77777777" w:rsidR="00B602FC" w:rsidRDefault="00CF7621" w:rsidP="00B602FC">
            <w:pPr>
              <w:jc w:val="center"/>
              <w:rPr>
                <w:rFonts w:asciiTheme="minorHAnsi" w:hAnsiTheme="minorHAnsi" w:cs="Arial"/>
                <w:b/>
                <w:bCs/>
                <w:sz w:val="22"/>
                <w:szCs w:val="22"/>
              </w:rPr>
            </w:pPr>
            <w:r>
              <w:rPr>
                <w:rFonts w:asciiTheme="minorHAnsi" w:hAnsiTheme="minorHAnsi" w:cs="Arial"/>
                <w:b/>
                <w:bCs/>
                <w:sz w:val="22"/>
                <w:szCs w:val="22"/>
              </w:rPr>
              <w:t>FY 2024-25</w:t>
            </w:r>
          </w:p>
          <w:p w14:paraId="0B903601" w14:textId="3ADC950E" w:rsidR="00CF7621" w:rsidRPr="00CF7621" w:rsidRDefault="00CF7621" w:rsidP="00B602FC">
            <w:pPr>
              <w:jc w:val="center"/>
              <w:rPr>
                <w:rFonts w:asciiTheme="minorHAnsi" w:hAnsiTheme="minorHAnsi" w:cs="Arial"/>
                <w:b/>
                <w:bCs/>
                <w:sz w:val="22"/>
                <w:szCs w:val="22"/>
              </w:rPr>
            </w:pPr>
            <w:r>
              <w:rPr>
                <w:rFonts w:asciiTheme="minorHAnsi" w:hAnsiTheme="minorHAnsi" w:cs="Arial"/>
                <w:b/>
                <w:bCs/>
                <w:sz w:val="22"/>
                <w:szCs w:val="22"/>
              </w:rPr>
              <w:t>(Estimated)</w:t>
            </w:r>
          </w:p>
        </w:tc>
        <w:tc>
          <w:tcPr>
            <w:tcW w:w="2696" w:type="dxa"/>
            <w:shd w:val="clear" w:color="auto" w:fill="95B3D7" w:themeFill="accent1" w:themeFillTint="99"/>
            <w:vAlign w:val="center"/>
            <w:hideMark/>
          </w:tcPr>
          <w:p w14:paraId="10735E41" w14:textId="77777777" w:rsidR="00CF7621" w:rsidRDefault="00CF7621" w:rsidP="00B602FC">
            <w:pPr>
              <w:jc w:val="center"/>
              <w:rPr>
                <w:rFonts w:asciiTheme="minorHAnsi" w:hAnsiTheme="minorHAnsi" w:cs="Arial"/>
                <w:b/>
                <w:bCs/>
                <w:color w:val="000000"/>
                <w:sz w:val="22"/>
                <w:szCs w:val="22"/>
              </w:rPr>
            </w:pPr>
            <w:r>
              <w:rPr>
                <w:rFonts w:asciiTheme="minorHAnsi" w:hAnsiTheme="minorHAnsi" w:cs="Arial"/>
                <w:b/>
                <w:bCs/>
                <w:color w:val="000000"/>
                <w:sz w:val="22"/>
                <w:szCs w:val="22"/>
              </w:rPr>
              <w:t>FY 2025-26</w:t>
            </w:r>
          </w:p>
          <w:p w14:paraId="36746A81" w14:textId="6100DC82" w:rsidR="00B602FC" w:rsidRPr="00CF7621" w:rsidRDefault="00CF7621" w:rsidP="00B602FC">
            <w:pPr>
              <w:jc w:val="center"/>
              <w:rPr>
                <w:rFonts w:asciiTheme="minorHAnsi" w:hAnsiTheme="minorHAnsi" w:cs="Arial"/>
                <w:b/>
                <w:bCs/>
                <w:color w:val="000000"/>
                <w:sz w:val="22"/>
                <w:szCs w:val="22"/>
              </w:rPr>
            </w:pPr>
            <w:r>
              <w:rPr>
                <w:rFonts w:asciiTheme="minorHAnsi" w:hAnsiTheme="minorHAnsi" w:cs="Arial"/>
                <w:b/>
                <w:bCs/>
                <w:color w:val="000000"/>
                <w:sz w:val="22"/>
                <w:szCs w:val="22"/>
              </w:rPr>
              <w:t>(Projection)</w:t>
            </w:r>
            <w:r w:rsidR="00B602FC" w:rsidRPr="00CF7621">
              <w:rPr>
                <w:rFonts w:asciiTheme="minorHAnsi" w:hAnsiTheme="minorHAnsi" w:cs="Arial"/>
                <w:b/>
                <w:bCs/>
                <w:color w:val="000000"/>
                <w:sz w:val="22"/>
                <w:szCs w:val="22"/>
              </w:rPr>
              <w:t xml:space="preserve"> </w:t>
            </w:r>
          </w:p>
        </w:tc>
      </w:tr>
      <w:tr w:rsidR="00B602FC" w:rsidRPr="00CF7621" w14:paraId="03385CB5" w14:textId="77777777" w:rsidTr="00B00601">
        <w:trPr>
          <w:trHeight w:val="250"/>
        </w:trPr>
        <w:tc>
          <w:tcPr>
            <w:tcW w:w="3710" w:type="dxa"/>
            <w:shd w:val="clear" w:color="auto" w:fill="auto"/>
            <w:noWrap/>
            <w:vAlign w:val="center"/>
            <w:hideMark/>
          </w:tcPr>
          <w:p w14:paraId="0333BF26" w14:textId="77777777" w:rsidR="00B602FC" w:rsidRPr="00CF7621" w:rsidRDefault="00B602FC" w:rsidP="00B602FC">
            <w:pPr>
              <w:rPr>
                <w:rFonts w:asciiTheme="minorHAnsi" w:hAnsiTheme="minorHAnsi" w:cs="Arial"/>
                <w:color w:val="000000"/>
                <w:sz w:val="22"/>
                <w:szCs w:val="22"/>
              </w:rPr>
            </w:pPr>
            <w:r w:rsidRPr="00CF7621">
              <w:rPr>
                <w:rFonts w:asciiTheme="minorHAnsi" w:hAnsiTheme="minorHAnsi" w:cs="Arial"/>
                <w:color w:val="000000"/>
                <w:sz w:val="22"/>
                <w:szCs w:val="22"/>
              </w:rPr>
              <w:t>Recovery of meter rent</w:t>
            </w:r>
          </w:p>
        </w:tc>
        <w:tc>
          <w:tcPr>
            <w:tcW w:w="2488" w:type="dxa"/>
            <w:shd w:val="clear" w:color="auto" w:fill="auto"/>
            <w:noWrap/>
            <w:vAlign w:val="center"/>
            <w:hideMark/>
          </w:tcPr>
          <w:p w14:paraId="7338C6B4" w14:textId="77777777" w:rsidR="00B602FC" w:rsidRPr="00CF7621" w:rsidRDefault="00B602FC" w:rsidP="00CF7621">
            <w:pPr>
              <w:jc w:val="center"/>
              <w:rPr>
                <w:rFonts w:asciiTheme="minorHAnsi" w:hAnsiTheme="minorHAnsi" w:cs="Arial"/>
                <w:sz w:val="22"/>
                <w:szCs w:val="22"/>
              </w:rPr>
            </w:pPr>
            <w:r w:rsidRPr="00CF7621">
              <w:rPr>
                <w:rFonts w:asciiTheme="minorHAnsi" w:hAnsiTheme="minorHAnsi" w:cs="Arial"/>
                <w:sz w:val="22"/>
                <w:szCs w:val="22"/>
              </w:rPr>
              <w:t>0.00</w:t>
            </w:r>
          </w:p>
        </w:tc>
        <w:tc>
          <w:tcPr>
            <w:tcW w:w="2696" w:type="dxa"/>
            <w:shd w:val="clear" w:color="auto" w:fill="auto"/>
            <w:noWrap/>
            <w:vAlign w:val="center"/>
            <w:hideMark/>
          </w:tcPr>
          <w:p w14:paraId="642BE68B" w14:textId="77777777" w:rsidR="00B602FC" w:rsidRPr="00CF7621" w:rsidRDefault="00B602FC" w:rsidP="00CF7621">
            <w:pPr>
              <w:jc w:val="center"/>
              <w:rPr>
                <w:rFonts w:asciiTheme="minorHAnsi" w:hAnsiTheme="minorHAnsi" w:cs="Arial"/>
                <w:sz w:val="22"/>
                <w:szCs w:val="22"/>
              </w:rPr>
            </w:pPr>
            <w:r w:rsidRPr="00CF7621">
              <w:rPr>
                <w:rFonts w:asciiTheme="minorHAnsi" w:hAnsiTheme="minorHAnsi" w:cs="Arial"/>
                <w:sz w:val="22"/>
                <w:szCs w:val="22"/>
              </w:rPr>
              <w:t>0.00</w:t>
            </w:r>
          </w:p>
        </w:tc>
      </w:tr>
      <w:tr w:rsidR="00B602FC" w:rsidRPr="00CF7621" w14:paraId="5A22129C" w14:textId="77777777" w:rsidTr="00B00601">
        <w:trPr>
          <w:trHeight w:val="250"/>
        </w:trPr>
        <w:tc>
          <w:tcPr>
            <w:tcW w:w="3710" w:type="dxa"/>
            <w:shd w:val="clear" w:color="auto" w:fill="auto"/>
            <w:noWrap/>
            <w:vAlign w:val="center"/>
            <w:hideMark/>
          </w:tcPr>
          <w:p w14:paraId="2449490C" w14:textId="77777777" w:rsidR="00B602FC" w:rsidRPr="00CF7621" w:rsidRDefault="00B602FC" w:rsidP="00B602FC">
            <w:pPr>
              <w:rPr>
                <w:rFonts w:asciiTheme="minorHAnsi" w:hAnsiTheme="minorHAnsi" w:cs="Arial"/>
                <w:color w:val="000000"/>
                <w:sz w:val="22"/>
                <w:szCs w:val="22"/>
              </w:rPr>
            </w:pPr>
            <w:proofErr w:type="spellStart"/>
            <w:r w:rsidRPr="00CF7621">
              <w:rPr>
                <w:rFonts w:asciiTheme="minorHAnsi" w:hAnsiTheme="minorHAnsi" w:cs="Arial"/>
                <w:color w:val="000000"/>
                <w:sz w:val="22"/>
                <w:szCs w:val="22"/>
              </w:rPr>
              <w:t>Overdrwal</w:t>
            </w:r>
            <w:proofErr w:type="spellEnd"/>
            <w:r w:rsidRPr="00CF7621">
              <w:rPr>
                <w:rFonts w:asciiTheme="minorHAnsi" w:hAnsiTheme="minorHAnsi" w:cs="Arial"/>
                <w:color w:val="000000"/>
                <w:sz w:val="22"/>
                <w:szCs w:val="22"/>
              </w:rPr>
              <w:t xml:space="preserve"> penalty</w:t>
            </w:r>
          </w:p>
        </w:tc>
        <w:tc>
          <w:tcPr>
            <w:tcW w:w="2488" w:type="dxa"/>
            <w:shd w:val="clear" w:color="auto" w:fill="auto"/>
            <w:noWrap/>
            <w:vAlign w:val="center"/>
            <w:hideMark/>
          </w:tcPr>
          <w:p w14:paraId="2A841B2B" w14:textId="77777777" w:rsidR="00B602FC" w:rsidRPr="00CF7621" w:rsidRDefault="00B602FC" w:rsidP="00CF7621">
            <w:pPr>
              <w:jc w:val="center"/>
              <w:rPr>
                <w:rFonts w:asciiTheme="minorHAnsi" w:hAnsiTheme="minorHAnsi" w:cs="Arial"/>
                <w:sz w:val="22"/>
                <w:szCs w:val="22"/>
              </w:rPr>
            </w:pPr>
            <w:r w:rsidRPr="00CF7621">
              <w:rPr>
                <w:rFonts w:asciiTheme="minorHAnsi" w:hAnsiTheme="minorHAnsi" w:cs="Arial"/>
                <w:sz w:val="22"/>
                <w:szCs w:val="22"/>
              </w:rPr>
              <w:t>10.70</w:t>
            </w:r>
          </w:p>
        </w:tc>
        <w:tc>
          <w:tcPr>
            <w:tcW w:w="2696" w:type="dxa"/>
            <w:shd w:val="clear" w:color="auto" w:fill="auto"/>
            <w:noWrap/>
            <w:vAlign w:val="center"/>
            <w:hideMark/>
          </w:tcPr>
          <w:p w14:paraId="291307E1" w14:textId="77777777" w:rsidR="00B602FC" w:rsidRPr="00CF7621" w:rsidRDefault="00B602FC" w:rsidP="00CF7621">
            <w:pPr>
              <w:jc w:val="center"/>
              <w:rPr>
                <w:rFonts w:asciiTheme="minorHAnsi" w:hAnsiTheme="minorHAnsi" w:cs="Arial"/>
                <w:sz w:val="22"/>
                <w:szCs w:val="22"/>
              </w:rPr>
            </w:pPr>
            <w:r w:rsidRPr="00CF7621">
              <w:rPr>
                <w:rFonts w:asciiTheme="minorHAnsi" w:hAnsiTheme="minorHAnsi" w:cs="Arial"/>
                <w:sz w:val="22"/>
                <w:szCs w:val="22"/>
              </w:rPr>
              <w:t>10.70</w:t>
            </w:r>
          </w:p>
        </w:tc>
      </w:tr>
      <w:tr w:rsidR="00B602FC" w:rsidRPr="00CF7621" w14:paraId="3A9D4B73" w14:textId="77777777" w:rsidTr="00B00601">
        <w:trPr>
          <w:trHeight w:val="250"/>
        </w:trPr>
        <w:tc>
          <w:tcPr>
            <w:tcW w:w="3710" w:type="dxa"/>
            <w:shd w:val="clear" w:color="auto" w:fill="auto"/>
            <w:noWrap/>
            <w:vAlign w:val="center"/>
            <w:hideMark/>
          </w:tcPr>
          <w:p w14:paraId="6830DCA3" w14:textId="77777777" w:rsidR="00B602FC" w:rsidRPr="00CF7621" w:rsidRDefault="00B602FC" w:rsidP="00B602FC">
            <w:pPr>
              <w:rPr>
                <w:rFonts w:asciiTheme="minorHAnsi" w:hAnsiTheme="minorHAnsi" w:cs="Arial"/>
                <w:color w:val="000000"/>
                <w:sz w:val="22"/>
                <w:szCs w:val="22"/>
              </w:rPr>
            </w:pPr>
            <w:r w:rsidRPr="00CF7621">
              <w:rPr>
                <w:rFonts w:asciiTheme="minorHAnsi" w:hAnsiTheme="minorHAnsi" w:cs="Arial"/>
                <w:color w:val="000000"/>
                <w:sz w:val="22"/>
                <w:szCs w:val="22"/>
              </w:rPr>
              <w:t xml:space="preserve">Reliability </w:t>
            </w:r>
          </w:p>
        </w:tc>
        <w:tc>
          <w:tcPr>
            <w:tcW w:w="2488" w:type="dxa"/>
            <w:shd w:val="clear" w:color="auto" w:fill="auto"/>
            <w:noWrap/>
            <w:vAlign w:val="center"/>
            <w:hideMark/>
          </w:tcPr>
          <w:p w14:paraId="358D3D9F" w14:textId="77777777" w:rsidR="00B602FC" w:rsidRPr="00CF7621" w:rsidRDefault="00B602FC" w:rsidP="00CF7621">
            <w:pPr>
              <w:jc w:val="center"/>
              <w:rPr>
                <w:rFonts w:asciiTheme="minorHAnsi" w:hAnsiTheme="minorHAnsi" w:cs="Arial"/>
                <w:sz w:val="22"/>
                <w:szCs w:val="22"/>
              </w:rPr>
            </w:pPr>
            <w:r w:rsidRPr="00CF7621">
              <w:rPr>
                <w:rFonts w:asciiTheme="minorHAnsi" w:hAnsiTheme="minorHAnsi" w:cs="Arial"/>
                <w:sz w:val="22"/>
                <w:szCs w:val="22"/>
              </w:rPr>
              <w:t>0.00</w:t>
            </w:r>
          </w:p>
        </w:tc>
        <w:tc>
          <w:tcPr>
            <w:tcW w:w="2696" w:type="dxa"/>
            <w:shd w:val="clear" w:color="auto" w:fill="auto"/>
            <w:noWrap/>
            <w:vAlign w:val="center"/>
            <w:hideMark/>
          </w:tcPr>
          <w:p w14:paraId="0681BF87" w14:textId="77777777" w:rsidR="00B602FC" w:rsidRPr="00CF7621" w:rsidRDefault="00B602FC" w:rsidP="00CF7621">
            <w:pPr>
              <w:jc w:val="center"/>
              <w:rPr>
                <w:rFonts w:asciiTheme="minorHAnsi" w:hAnsiTheme="minorHAnsi" w:cs="Arial"/>
                <w:sz w:val="22"/>
                <w:szCs w:val="22"/>
              </w:rPr>
            </w:pPr>
            <w:r w:rsidRPr="00CF7621">
              <w:rPr>
                <w:rFonts w:asciiTheme="minorHAnsi" w:hAnsiTheme="minorHAnsi" w:cs="Arial"/>
                <w:sz w:val="22"/>
                <w:szCs w:val="22"/>
              </w:rPr>
              <w:t>0.00</w:t>
            </w:r>
          </w:p>
        </w:tc>
      </w:tr>
      <w:tr w:rsidR="00B602FC" w:rsidRPr="00CF7621" w14:paraId="18CC3A65" w14:textId="77777777" w:rsidTr="00B00601">
        <w:trPr>
          <w:trHeight w:val="250"/>
        </w:trPr>
        <w:tc>
          <w:tcPr>
            <w:tcW w:w="3710" w:type="dxa"/>
            <w:shd w:val="clear" w:color="auto" w:fill="auto"/>
            <w:noWrap/>
            <w:vAlign w:val="center"/>
            <w:hideMark/>
          </w:tcPr>
          <w:p w14:paraId="3F645777" w14:textId="77777777" w:rsidR="00B602FC" w:rsidRPr="00CF7621" w:rsidRDefault="00B602FC" w:rsidP="00B602FC">
            <w:pPr>
              <w:rPr>
                <w:rFonts w:asciiTheme="minorHAnsi" w:hAnsiTheme="minorHAnsi" w:cs="Arial"/>
                <w:color w:val="000000"/>
                <w:sz w:val="22"/>
                <w:szCs w:val="22"/>
              </w:rPr>
            </w:pPr>
            <w:r w:rsidRPr="00CF7621">
              <w:rPr>
                <w:rFonts w:asciiTheme="minorHAnsi" w:hAnsiTheme="minorHAnsi" w:cs="Arial"/>
                <w:color w:val="000000"/>
                <w:sz w:val="22"/>
                <w:szCs w:val="22"/>
              </w:rPr>
              <w:t>OA - cross subsidy</w:t>
            </w:r>
          </w:p>
        </w:tc>
        <w:tc>
          <w:tcPr>
            <w:tcW w:w="2488" w:type="dxa"/>
            <w:shd w:val="clear" w:color="auto" w:fill="auto"/>
            <w:noWrap/>
            <w:vAlign w:val="center"/>
            <w:hideMark/>
          </w:tcPr>
          <w:p w14:paraId="077C3E29" w14:textId="77777777" w:rsidR="00B602FC" w:rsidRPr="00CF7621" w:rsidRDefault="00B602FC" w:rsidP="00CF7621">
            <w:pPr>
              <w:jc w:val="center"/>
              <w:rPr>
                <w:rFonts w:asciiTheme="minorHAnsi" w:hAnsiTheme="minorHAnsi" w:cs="Arial"/>
                <w:sz w:val="22"/>
                <w:szCs w:val="22"/>
              </w:rPr>
            </w:pPr>
            <w:r w:rsidRPr="00CF7621">
              <w:rPr>
                <w:rFonts w:asciiTheme="minorHAnsi" w:hAnsiTheme="minorHAnsi" w:cs="Arial"/>
                <w:sz w:val="22"/>
                <w:szCs w:val="22"/>
              </w:rPr>
              <w:t>27.18</w:t>
            </w:r>
          </w:p>
        </w:tc>
        <w:tc>
          <w:tcPr>
            <w:tcW w:w="2696" w:type="dxa"/>
            <w:shd w:val="clear" w:color="auto" w:fill="auto"/>
            <w:noWrap/>
            <w:vAlign w:val="center"/>
            <w:hideMark/>
          </w:tcPr>
          <w:p w14:paraId="44695AC6" w14:textId="77777777" w:rsidR="00B602FC" w:rsidRPr="00CF7621" w:rsidRDefault="00B602FC" w:rsidP="00CF7621">
            <w:pPr>
              <w:jc w:val="center"/>
              <w:rPr>
                <w:rFonts w:asciiTheme="minorHAnsi" w:hAnsiTheme="minorHAnsi" w:cs="Arial"/>
                <w:sz w:val="22"/>
                <w:szCs w:val="22"/>
              </w:rPr>
            </w:pPr>
            <w:r w:rsidRPr="00CF7621">
              <w:rPr>
                <w:rFonts w:asciiTheme="minorHAnsi" w:hAnsiTheme="minorHAnsi" w:cs="Arial"/>
                <w:sz w:val="22"/>
                <w:szCs w:val="22"/>
              </w:rPr>
              <w:t>47.18</w:t>
            </w:r>
          </w:p>
        </w:tc>
      </w:tr>
      <w:tr w:rsidR="00B602FC" w:rsidRPr="00CF7621" w14:paraId="449B8B72" w14:textId="77777777" w:rsidTr="00B00601">
        <w:trPr>
          <w:trHeight w:val="250"/>
        </w:trPr>
        <w:tc>
          <w:tcPr>
            <w:tcW w:w="3710" w:type="dxa"/>
            <w:shd w:val="clear" w:color="auto" w:fill="auto"/>
            <w:noWrap/>
            <w:vAlign w:val="center"/>
            <w:hideMark/>
          </w:tcPr>
          <w:p w14:paraId="6DE8EDB6" w14:textId="77777777" w:rsidR="00B602FC" w:rsidRPr="00CF7621" w:rsidRDefault="00B602FC" w:rsidP="00B602FC">
            <w:pPr>
              <w:rPr>
                <w:rFonts w:asciiTheme="minorHAnsi" w:hAnsiTheme="minorHAnsi" w:cs="Arial"/>
                <w:color w:val="000000"/>
                <w:sz w:val="22"/>
                <w:szCs w:val="22"/>
              </w:rPr>
            </w:pPr>
            <w:r w:rsidRPr="00CF7621">
              <w:rPr>
                <w:rFonts w:asciiTheme="minorHAnsi" w:hAnsiTheme="minorHAnsi" w:cs="Arial"/>
                <w:color w:val="000000"/>
                <w:sz w:val="22"/>
                <w:szCs w:val="22"/>
              </w:rPr>
              <w:t>Supervision-application fees</w:t>
            </w:r>
          </w:p>
        </w:tc>
        <w:tc>
          <w:tcPr>
            <w:tcW w:w="2488" w:type="dxa"/>
            <w:shd w:val="clear" w:color="auto" w:fill="auto"/>
            <w:noWrap/>
            <w:vAlign w:val="center"/>
            <w:hideMark/>
          </w:tcPr>
          <w:p w14:paraId="1BF441BA" w14:textId="77777777" w:rsidR="00B602FC" w:rsidRPr="00CF7621" w:rsidRDefault="00B602FC" w:rsidP="00CF7621">
            <w:pPr>
              <w:jc w:val="center"/>
              <w:rPr>
                <w:rFonts w:asciiTheme="minorHAnsi" w:hAnsiTheme="minorHAnsi" w:cs="Arial"/>
                <w:sz w:val="22"/>
                <w:szCs w:val="22"/>
              </w:rPr>
            </w:pPr>
            <w:r w:rsidRPr="00CF7621">
              <w:rPr>
                <w:rFonts w:asciiTheme="minorHAnsi" w:hAnsiTheme="minorHAnsi" w:cs="Arial"/>
                <w:sz w:val="22"/>
                <w:szCs w:val="22"/>
              </w:rPr>
              <w:t>0.79</w:t>
            </w:r>
          </w:p>
        </w:tc>
        <w:tc>
          <w:tcPr>
            <w:tcW w:w="2696" w:type="dxa"/>
            <w:shd w:val="clear" w:color="auto" w:fill="auto"/>
            <w:noWrap/>
            <w:vAlign w:val="center"/>
            <w:hideMark/>
          </w:tcPr>
          <w:p w14:paraId="048A318C" w14:textId="77777777" w:rsidR="00B602FC" w:rsidRPr="00CF7621" w:rsidRDefault="00B602FC" w:rsidP="00CF7621">
            <w:pPr>
              <w:jc w:val="center"/>
              <w:rPr>
                <w:rFonts w:asciiTheme="minorHAnsi" w:hAnsiTheme="minorHAnsi" w:cs="Arial"/>
                <w:sz w:val="22"/>
                <w:szCs w:val="22"/>
              </w:rPr>
            </w:pPr>
            <w:r w:rsidRPr="00CF7621">
              <w:rPr>
                <w:rFonts w:asciiTheme="minorHAnsi" w:hAnsiTheme="minorHAnsi" w:cs="Arial"/>
                <w:sz w:val="22"/>
                <w:szCs w:val="22"/>
              </w:rPr>
              <w:t>0.79</w:t>
            </w:r>
          </w:p>
        </w:tc>
      </w:tr>
      <w:tr w:rsidR="00B602FC" w:rsidRPr="00CF7621" w14:paraId="68B87A3E" w14:textId="77777777" w:rsidTr="00B00601">
        <w:trPr>
          <w:trHeight w:val="250"/>
        </w:trPr>
        <w:tc>
          <w:tcPr>
            <w:tcW w:w="3710" w:type="dxa"/>
            <w:shd w:val="clear" w:color="auto" w:fill="auto"/>
            <w:noWrap/>
            <w:vAlign w:val="center"/>
            <w:hideMark/>
          </w:tcPr>
          <w:p w14:paraId="1E41681D" w14:textId="77777777" w:rsidR="00B602FC" w:rsidRPr="00CF7621" w:rsidRDefault="00B602FC" w:rsidP="00B602FC">
            <w:pPr>
              <w:rPr>
                <w:rFonts w:asciiTheme="minorHAnsi" w:hAnsiTheme="minorHAnsi" w:cs="Arial"/>
                <w:color w:val="000000"/>
                <w:sz w:val="22"/>
                <w:szCs w:val="22"/>
              </w:rPr>
            </w:pPr>
            <w:r w:rsidRPr="00CF7621">
              <w:rPr>
                <w:rFonts w:asciiTheme="minorHAnsi" w:hAnsiTheme="minorHAnsi" w:cs="Arial"/>
                <w:color w:val="000000"/>
                <w:sz w:val="22"/>
                <w:szCs w:val="22"/>
              </w:rPr>
              <w:lastRenderedPageBreak/>
              <w:t>Inspection fees</w:t>
            </w:r>
          </w:p>
        </w:tc>
        <w:tc>
          <w:tcPr>
            <w:tcW w:w="2488" w:type="dxa"/>
            <w:shd w:val="clear" w:color="auto" w:fill="auto"/>
            <w:noWrap/>
            <w:vAlign w:val="center"/>
            <w:hideMark/>
          </w:tcPr>
          <w:p w14:paraId="4E43CFE4" w14:textId="77777777" w:rsidR="00B602FC" w:rsidRPr="00CF7621" w:rsidRDefault="00B602FC" w:rsidP="00CF7621">
            <w:pPr>
              <w:jc w:val="center"/>
              <w:rPr>
                <w:rFonts w:asciiTheme="minorHAnsi" w:hAnsiTheme="minorHAnsi" w:cs="Arial"/>
                <w:sz w:val="22"/>
                <w:szCs w:val="22"/>
              </w:rPr>
            </w:pPr>
            <w:r w:rsidRPr="00CF7621">
              <w:rPr>
                <w:rFonts w:asciiTheme="minorHAnsi" w:hAnsiTheme="minorHAnsi" w:cs="Arial"/>
                <w:sz w:val="22"/>
                <w:szCs w:val="22"/>
              </w:rPr>
              <w:t>11.56</w:t>
            </w:r>
          </w:p>
        </w:tc>
        <w:tc>
          <w:tcPr>
            <w:tcW w:w="2696" w:type="dxa"/>
            <w:shd w:val="clear" w:color="auto" w:fill="auto"/>
            <w:noWrap/>
            <w:vAlign w:val="center"/>
            <w:hideMark/>
          </w:tcPr>
          <w:p w14:paraId="1A8B2FE1" w14:textId="77777777" w:rsidR="00B602FC" w:rsidRPr="00CF7621" w:rsidRDefault="00B602FC" w:rsidP="00CF7621">
            <w:pPr>
              <w:jc w:val="center"/>
              <w:rPr>
                <w:rFonts w:asciiTheme="minorHAnsi" w:hAnsiTheme="minorHAnsi" w:cs="Arial"/>
                <w:sz w:val="22"/>
                <w:szCs w:val="22"/>
              </w:rPr>
            </w:pPr>
            <w:r w:rsidRPr="00CF7621">
              <w:rPr>
                <w:rFonts w:asciiTheme="minorHAnsi" w:hAnsiTheme="minorHAnsi" w:cs="Arial"/>
                <w:sz w:val="22"/>
                <w:szCs w:val="22"/>
              </w:rPr>
              <w:t>11.56</w:t>
            </w:r>
          </w:p>
        </w:tc>
      </w:tr>
      <w:tr w:rsidR="00B602FC" w:rsidRPr="00CF7621" w14:paraId="04CEE40C" w14:textId="77777777" w:rsidTr="00B00601">
        <w:trPr>
          <w:trHeight w:val="250"/>
        </w:trPr>
        <w:tc>
          <w:tcPr>
            <w:tcW w:w="3710" w:type="dxa"/>
            <w:shd w:val="clear" w:color="auto" w:fill="auto"/>
            <w:noWrap/>
            <w:vAlign w:val="center"/>
            <w:hideMark/>
          </w:tcPr>
          <w:p w14:paraId="08367C83" w14:textId="77777777" w:rsidR="00B602FC" w:rsidRPr="00CF7621" w:rsidRDefault="00B602FC" w:rsidP="00B602FC">
            <w:pPr>
              <w:rPr>
                <w:rFonts w:asciiTheme="minorHAnsi" w:hAnsiTheme="minorHAnsi" w:cs="Arial"/>
                <w:b/>
                <w:bCs/>
                <w:color w:val="000000"/>
                <w:sz w:val="22"/>
                <w:szCs w:val="22"/>
              </w:rPr>
            </w:pPr>
            <w:r w:rsidRPr="00CF7621">
              <w:rPr>
                <w:rFonts w:asciiTheme="minorHAnsi" w:hAnsiTheme="minorHAnsi" w:cs="Arial"/>
                <w:b/>
                <w:bCs/>
                <w:color w:val="000000"/>
                <w:sz w:val="22"/>
                <w:szCs w:val="22"/>
              </w:rPr>
              <w:t>Other</w:t>
            </w:r>
          </w:p>
        </w:tc>
        <w:tc>
          <w:tcPr>
            <w:tcW w:w="2488" w:type="dxa"/>
            <w:shd w:val="clear" w:color="auto" w:fill="auto"/>
            <w:noWrap/>
            <w:vAlign w:val="center"/>
            <w:hideMark/>
          </w:tcPr>
          <w:p w14:paraId="2D5354DB" w14:textId="77777777" w:rsidR="00B602FC" w:rsidRPr="00CF7621" w:rsidRDefault="00B602FC" w:rsidP="00CF7621">
            <w:pPr>
              <w:jc w:val="center"/>
              <w:rPr>
                <w:rFonts w:asciiTheme="minorHAnsi" w:hAnsiTheme="minorHAnsi" w:cs="Arial"/>
                <w:b/>
                <w:bCs/>
                <w:sz w:val="22"/>
                <w:szCs w:val="22"/>
              </w:rPr>
            </w:pPr>
            <w:r w:rsidRPr="00CF7621">
              <w:rPr>
                <w:rFonts w:asciiTheme="minorHAnsi" w:hAnsiTheme="minorHAnsi" w:cs="Arial"/>
                <w:b/>
                <w:bCs/>
                <w:sz w:val="22"/>
                <w:szCs w:val="22"/>
              </w:rPr>
              <w:t>1.61</w:t>
            </w:r>
          </w:p>
        </w:tc>
        <w:tc>
          <w:tcPr>
            <w:tcW w:w="2696" w:type="dxa"/>
            <w:shd w:val="clear" w:color="auto" w:fill="auto"/>
            <w:noWrap/>
            <w:vAlign w:val="center"/>
            <w:hideMark/>
          </w:tcPr>
          <w:p w14:paraId="70EB0FED" w14:textId="77777777" w:rsidR="00B602FC" w:rsidRPr="00CF7621" w:rsidRDefault="00B602FC" w:rsidP="00CF7621">
            <w:pPr>
              <w:jc w:val="center"/>
              <w:rPr>
                <w:rFonts w:asciiTheme="minorHAnsi" w:hAnsiTheme="minorHAnsi" w:cs="Arial"/>
                <w:b/>
                <w:bCs/>
                <w:color w:val="000000"/>
                <w:sz w:val="22"/>
                <w:szCs w:val="22"/>
              </w:rPr>
            </w:pPr>
            <w:r w:rsidRPr="00CF7621">
              <w:rPr>
                <w:rFonts w:asciiTheme="minorHAnsi" w:hAnsiTheme="minorHAnsi" w:cs="Arial"/>
                <w:b/>
                <w:bCs/>
                <w:color w:val="000000"/>
                <w:sz w:val="22"/>
                <w:szCs w:val="22"/>
              </w:rPr>
              <w:t>1.61</w:t>
            </w:r>
          </w:p>
        </w:tc>
      </w:tr>
      <w:tr w:rsidR="00B602FC" w:rsidRPr="00CF7621" w14:paraId="7A0C9A22" w14:textId="77777777" w:rsidTr="00B00601">
        <w:trPr>
          <w:trHeight w:val="250"/>
        </w:trPr>
        <w:tc>
          <w:tcPr>
            <w:tcW w:w="3710" w:type="dxa"/>
            <w:shd w:val="clear" w:color="auto" w:fill="auto"/>
            <w:noWrap/>
            <w:vAlign w:val="center"/>
            <w:hideMark/>
          </w:tcPr>
          <w:p w14:paraId="100F5809" w14:textId="77777777" w:rsidR="00B602FC" w:rsidRPr="00CF7621" w:rsidRDefault="00B602FC" w:rsidP="00B602FC">
            <w:pPr>
              <w:rPr>
                <w:rFonts w:asciiTheme="minorHAnsi" w:hAnsiTheme="minorHAnsi" w:cs="Arial"/>
                <w:color w:val="000000"/>
                <w:sz w:val="22"/>
                <w:szCs w:val="22"/>
              </w:rPr>
            </w:pPr>
            <w:r w:rsidRPr="00CF7621">
              <w:rPr>
                <w:rFonts w:asciiTheme="minorHAnsi" w:hAnsiTheme="minorHAnsi" w:cs="Arial"/>
                <w:color w:val="000000"/>
                <w:sz w:val="22"/>
                <w:szCs w:val="22"/>
              </w:rPr>
              <w:t>Pole rentals</w:t>
            </w:r>
          </w:p>
        </w:tc>
        <w:tc>
          <w:tcPr>
            <w:tcW w:w="2488" w:type="dxa"/>
            <w:shd w:val="clear" w:color="auto" w:fill="auto"/>
            <w:noWrap/>
            <w:vAlign w:val="center"/>
            <w:hideMark/>
          </w:tcPr>
          <w:p w14:paraId="37B1032C" w14:textId="77777777" w:rsidR="00B602FC" w:rsidRPr="00CF7621" w:rsidRDefault="00B602FC" w:rsidP="00CF7621">
            <w:pPr>
              <w:jc w:val="center"/>
              <w:rPr>
                <w:rFonts w:asciiTheme="minorHAnsi" w:hAnsiTheme="minorHAnsi" w:cs="Arial"/>
                <w:sz w:val="22"/>
                <w:szCs w:val="22"/>
              </w:rPr>
            </w:pPr>
            <w:r w:rsidRPr="00CF7621">
              <w:rPr>
                <w:rFonts w:asciiTheme="minorHAnsi" w:hAnsiTheme="minorHAnsi" w:cs="Arial"/>
                <w:sz w:val="22"/>
                <w:szCs w:val="22"/>
              </w:rPr>
              <w:t>0.25</w:t>
            </w:r>
          </w:p>
        </w:tc>
        <w:tc>
          <w:tcPr>
            <w:tcW w:w="2696" w:type="dxa"/>
            <w:shd w:val="clear" w:color="auto" w:fill="auto"/>
            <w:noWrap/>
            <w:vAlign w:val="center"/>
            <w:hideMark/>
          </w:tcPr>
          <w:p w14:paraId="1CD387C7" w14:textId="77777777" w:rsidR="00B602FC" w:rsidRPr="00CF7621" w:rsidRDefault="00B602FC" w:rsidP="00CF7621">
            <w:pPr>
              <w:jc w:val="center"/>
              <w:rPr>
                <w:rFonts w:asciiTheme="minorHAnsi" w:hAnsiTheme="minorHAnsi" w:cs="Arial"/>
                <w:color w:val="000000"/>
                <w:sz w:val="22"/>
                <w:szCs w:val="22"/>
              </w:rPr>
            </w:pPr>
            <w:r w:rsidRPr="00CF7621">
              <w:rPr>
                <w:rFonts w:asciiTheme="minorHAnsi" w:hAnsiTheme="minorHAnsi" w:cs="Arial"/>
                <w:color w:val="000000"/>
                <w:sz w:val="22"/>
                <w:szCs w:val="22"/>
              </w:rPr>
              <w:t>0.25</w:t>
            </w:r>
          </w:p>
        </w:tc>
      </w:tr>
      <w:tr w:rsidR="00B602FC" w:rsidRPr="00CF7621" w14:paraId="70C5558B" w14:textId="77777777" w:rsidTr="00B00601">
        <w:trPr>
          <w:trHeight w:val="250"/>
        </w:trPr>
        <w:tc>
          <w:tcPr>
            <w:tcW w:w="3710" w:type="dxa"/>
            <w:shd w:val="clear" w:color="auto" w:fill="auto"/>
            <w:noWrap/>
            <w:vAlign w:val="center"/>
            <w:hideMark/>
          </w:tcPr>
          <w:p w14:paraId="5081F712" w14:textId="77777777" w:rsidR="00B602FC" w:rsidRPr="00CF7621" w:rsidRDefault="00B602FC" w:rsidP="00B602FC">
            <w:pPr>
              <w:rPr>
                <w:rFonts w:asciiTheme="minorHAnsi" w:hAnsiTheme="minorHAnsi" w:cs="Arial"/>
                <w:color w:val="000000"/>
                <w:sz w:val="22"/>
                <w:szCs w:val="22"/>
              </w:rPr>
            </w:pPr>
            <w:r w:rsidRPr="00CF7621">
              <w:rPr>
                <w:rFonts w:asciiTheme="minorHAnsi" w:hAnsiTheme="minorHAnsi" w:cs="Arial"/>
                <w:color w:val="000000"/>
                <w:sz w:val="22"/>
                <w:szCs w:val="22"/>
              </w:rPr>
              <w:t>Meter testing fee</w:t>
            </w:r>
          </w:p>
        </w:tc>
        <w:tc>
          <w:tcPr>
            <w:tcW w:w="2488" w:type="dxa"/>
            <w:shd w:val="clear" w:color="auto" w:fill="auto"/>
            <w:noWrap/>
            <w:vAlign w:val="center"/>
            <w:hideMark/>
          </w:tcPr>
          <w:p w14:paraId="24F05CF6" w14:textId="77777777" w:rsidR="00B602FC" w:rsidRPr="00CF7621" w:rsidRDefault="00B602FC" w:rsidP="00CF7621">
            <w:pPr>
              <w:jc w:val="center"/>
              <w:rPr>
                <w:rFonts w:asciiTheme="minorHAnsi" w:hAnsiTheme="minorHAnsi" w:cs="Arial"/>
                <w:sz w:val="22"/>
                <w:szCs w:val="22"/>
              </w:rPr>
            </w:pPr>
            <w:r w:rsidRPr="00CF7621">
              <w:rPr>
                <w:rFonts w:asciiTheme="minorHAnsi" w:hAnsiTheme="minorHAnsi" w:cs="Arial"/>
                <w:sz w:val="22"/>
                <w:szCs w:val="22"/>
              </w:rPr>
              <w:t>0.11</w:t>
            </w:r>
          </w:p>
        </w:tc>
        <w:tc>
          <w:tcPr>
            <w:tcW w:w="2696" w:type="dxa"/>
            <w:shd w:val="clear" w:color="auto" w:fill="auto"/>
            <w:noWrap/>
            <w:vAlign w:val="center"/>
            <w:hideMark/>
          </w:tcPr>
          <w:p w14:paraId="342B00AA" w14:textId="77777777" w:rsidR="00B602FC" w:rsidRPr="00CF7621" w:rsidRDefault="00B602FC" w:rsidP="00CF7621">
            <w:pPr>
              <w:jc w:val="center"/>
              <w:rPr>
                <w:rFonts w:asciiTheme="minorHAnsi" w:hAnsiTheme="minorHAnsi" w:cs="Arial"/>
                <w:color w:val="000000"/>
                <w:sz w:val="22"/>
                <w:szCs w:val="22"/>
              </w:rPr>
            </w:pPr>
            <w:r w:rsidRPr="00CF7621">
              <w:rPr>
                <w:rFonts w:asciiTheme="minorHAnsi" w:hAnsiTheme="minorHAnsi" w:cs="Arial"/>
                <w:color w:val="000000"/>
                <w:sz w:val="22"/>
                <w:szCs w:val="22"/>
              </w:rPr>
              <w:t>0.11</w:t>
            </w:r>
          </w:p>
        </w:tc>
      </w:tr>
      <w:tr w:rsidR="00B602FC" w:rsidRPr="00CF7621" w14:paraId="5A05FD33" w14:textId="77777777" w:rsidTr="00B00601">
        <w:trPr>
          <w:trHeight w:val="250"/>
        </w:trPr>
        <w:tc>
          <w:tcPr>
            <w:tcW w:w="3710" w:type="dxa"/>
            <w:shd w:val="clear" w:color="auto" w:fill="auto"/>
            <w:noWrap/>
            <w:vAlign w:val="center"/>
            <w:hideMark/>
          </w:tcPr>
          <w:p w14:paraId="5D6FA2E4" w14:textId="77777777" w:rsidR="00B602FC" w:rsidRPr="00CF7621" w:rsidRDefault="00B602FC" w:rsidP="00B602FC">
            <w:pPr>
              <w:rPr>
                <w:rFonts w:asciiTheme="minorHAnsi" w:hAnsiTheme="minorHAnsi" w:cs="Arial"/>
                <w:color w:val="000000"/>
                <w:sz w:val="22"/>
                <w:szCs w:val="22"/>
              </w:rPr>
            </w:pPr>
            <w:proofErr w:type="gramStart"/>
            <w:r w:rsidRPr="00CF7621">
              <w:rPr>
                <w:rFonts w:asciiTheme="minorHAnsi" w:hAnsiTheme="minorHAnsi" w:cs="Arial"/>
                <w:color w:val="000000"/>
                <w:sz w:val="22"/>
                <w:szCs w:val="22"/>
              </w:rPr>
              <w:t>DC,RC</w:t>
            </w:r>
            <w:proofErr w:type="gramEnd"/>
            <w:r w:rsidRPr="00CF7621">
              <w:rPr>
                <w:rFonts w:asciiTheme="minorHAnsi" w:hAnsiTheme="minorHAnsi" w:cs="Arial"/>
                <w:color w:val="000000"/>
                <w:sz w:val="22"/>
                <w:szCs w:val="22"/>
              </w:rPr>
              <w:t xml:space="preserve"> &amp; Dismantle fee</w:t>
            </w:r>
          </w:p>
        </w:tc>
        <w:tc>
          <w:tcPr>
            <w:tcW w:w="2488" w:type="dxa"/>
            <w:shd w:val="clear" w:color="auto" w:fill="auto"/>
            <w:noWrap/>
            <w:vAlign w:val="center"/>
            <w:hideMark/>
          </w:tcPr>
          <w:p w14:paraId="1EC8E62A" w14:textId="77777777" w:rsidR="00B602FC" w:rsidRPr="00CF7621" w:rsidRDefault="00B602FC" w:rsidP="00CF7621">
            <w:pPr>
              <w:jc w:val="center"/>
              <w:rPr>
                <w:rFonts w:asciiTheme="minorHAnsi" w:hAnsiTheme="minorHAnsi" w:cs="Arial"/>
                <w:sz w:val="22"/>
                <w:szCs w:val="22"/>
              </w:rPr>
            </w:pPr>
            <w:r w:rsidRPr="00CF7621">
              <w:rPr>
                <w:rFonts w:asciiTheme="minorHAnsi" w:hAnsiTheme="minorHAnsi" w:cs="Arial"/>
                <w:sz w:val="22"/>
                <w:szCs w:val="22"/>
              </w:rPr>
              <w:t>0.36</w:t>
            </w:r>
          </w:p>
        </w:tc>
        <w:tc>
          <w:tcPr>
            <w:tcW w:w="2696" w:type="dxa"/>
            <w:shd w:val="clear" w:color="auto" w:fill="auto"/>
            <w:noWrap/>
            <w:vAlign w:val="center"/>
            <w:hideMark/>
          </w:tcPr>
          <w:p w14:paraId="1C328ADD" w14:textId="77777777" w:rsidR="00B602FC" w:rsidRPr="00CF7621" w:rsidRDefault="00B602FC" w:rsidP="00CF7621">
            <w:pPr>
              <w:jc w:val="center"/>
              <w:rPr>
                <w:rFonts w:asciiTheme="minorHAnsi" w:hAnsiTheme="minorHAnsi" w:cs="Arial"/>
                <w:color w:val="000000"/>
                <w:sz w:val="22"/>
                <w:szCs w:val="22"/>
              </w:rPr>
            </w:pPr>
            <w:r w:rsidRPr="00CF7621">
              <w:rPr>
                <w:rFonts w:asciiTheme="minorHAnsi" w:hAnsiTheme="minorHAnsi" w:cs="Arial"/>
                <w:color w:val="000000"/>
                <w:sz w:val="22"/>
                <w:szCs w:val="22"/>
              </w:rPr>
              <w:t>0.36</w:t>
            </w:r>
          </w:p>
        </w:tc>
      </w:tr>
      <w:tr w:rsidR="00B602FC" w:rsidRPr="00CF7621" w14:paraId="694DC663" w14:textId="77777777" w:rsidTr="00B00601">
        <w:trPr>
          <w:trHeight w:val="250"/>
        </w:trPr>
        <w:tc>
          <w:tcPr>
            <w:tcW w:w="3710" w:type="dxa"/>
            <w:shd w:val="clear" w:color="auto" w:fill="auto"/>
            <w:noWrap/>
            <w:vAlign w:val="center"/>
            <w:hideMark/>
          </w:tcPr>
          <w:p w14:paraId="32CF8138" w14:textId="77777777" w:rsidR="00B602FC" w:rsidRPr="00CF7621" w:rsidRDefault="00B602FC" w:rsidP="00B602FC">
            <w:pPr>
              <w:rPr>
                <w:rFonts w:asciiTheme="minorHAnsi" w:hAnsiTheme="minorHAnsi" w:cs="Arial"/>
                <w:color w:val="000000"/>
                <w:sz w:val="22"/>
                <w:szCs w:val="22"/>
              </w:rPr>
            </w:pPr>
            <w:r w:rsidRPr="00CF7621">
              <w:rPr>
                <w:rFonts w:asciiTheme="minorHAnsi" w:hAnsiTheme="minorHAnsi" w:cs="Arial"/>
                <w:color w:val="000000"/>
                <w:sz w:val="22"/>
                <w:szCs w:val="22"/>
              </w:rPr>
              <w:t>Meter box charges</w:t>
            </w:r>
          </w:p>
        </w:tc>
        <w:tc>
          <w:tcPr>
            <w:tcW w:w="2488" w:type="dxa"/>
            <w:shd w:val="clear" w:color="auto" w:fill="auto"/>
            <w:noWrap/>
            <w:vAlign w:val="center"/>
            <w:hideMark/>
          </w:tcPr>
          <w:p w14:paraId="5D9D0634" w14:textId="77777777" w:rsidR="00B602FC" w:rsidRPr="00CF7621" w:rsidRDefault="00B602FC" w:rsidP="00CF7621">
            <w:pPr>
              <w:jc w:val="center"/>
              <w:rPr>
                <w:rFonts w:asciiTheme="minorHAnsi" w:hAnsiTheme="minorHAnsi" w:cs="Arial"/>
                <w:sz w:val="22"/>
                <w:szCs w:val="22"/>
              </w:rPr>
            </w:pPr>
            <w:r w:rsidRPr="00CF7621">
              <w:rPr>
                <w:rFonts w:asciiTheme="minorHAnsi" w:hAnsiTheme="minorHAnsi" w:cs="Arial"/>
                <w:sz w:val="22"/>
                <w:szCs w:val="22"/>
              </w:rPr>
              <w:t>0.01</w:t>
            </w:r>
          </w:p>
        </w:tc>
        <w:tc>
          <w:tcPr>
            <w:tcW w:w="2696" w:type="dxa"/>
            <w:shd w:val="clear" w:color="auto" w:fill="auto"/>
            <w:noWrap/>
            <w:vAlign w:val="center"/>
            <w:hideMark/>
          </w:tcPr>
          <w:p w14:paraId="6C03CFF4" w14:textId="77777777" w:rsidR="00B602FC" w:rsidRPr="00CF7621" w:rsidRDefault="00B602FC" w:rsidP="00CF7621">
            <w:pPr>
              <w:jc w:val="center"/>
              <w:rPr>
                <w:rFonts w:asciiTheme="minorHAnsi" w:hAnsiTheme="minorHAnsi" w:cs="Arial"/>
                <w:color w:val="000000"/>
                <w:sz w:val="22"/>
                <w:szCs w:val="22"/>
              </w:rPr>
            </w:pPr>
            <w:r w:rsidRPr="00CF7621">
              <w:rPr>
                <w:rFonts w:asciiTheme="minorHAnsi" w:hAnsiTheme="minorHAnsi" w:cs="Arial"/>
                <w:color w:val="000000"/>
                <w:sz w:val="22"/>
                <w:szCs w:val="22"/>
              </w:rPr>
              <w:t>0.01</w:t>
            </w:r>
          </w:p>
        </w:tc>
      </w:tr>
      <w:tr w:rsidR="00B602FC" w:rsidRPr="00CF7621" w14:paraId="6E4604CA" w14:textId="77777777" w:rsidTr="00B00601">
        <w:trPr>
          <w:trHeight w:val="250"/>
        </w:trPr>
        <w:tc>
          <w:tcPr>
            <w:tcW w:w="3710" w:type="dxa"/>
            <w:shd w:val="clear" w:color="auto" w:fill="auto"/>
            <w:noWrap/>
            <w:vAlign w:val="center"/>
            <w:hideMark/>
          </w:tcPr>
          <w:p w14:paraId="67C0C2D1" w14:textId="77777777" w:rsidR="00B602FC" w:rsidRPr="00CF7621" w:rsidRDefault="00B602FC" w:rsidP="00B602FC">
            <w:pPr>
              <w:rPr>
                <w:rFonts w:asciiTheme="minorHAnsi" w:hAnsiTheme="minorHAnsi" w:cs="Arial"/>
                <w:color w:val="000000"/>
                <w:sz w:val="22"/>
                <w:szCs w:val="22"/>
              </w:rPr>
            </w:pPr>
            <w:r w:rsidRPr="00CF7621">
              <w:rPr>
                <w:rFonts w:asciiTheme="minorHAnsi" w:hAnsiTheme="minorHAnsi" w:cs="Arial"/>
                <w:color w:val="000000"/>
                <w:sz w:val="22"/>
                <w:szCs w:val="22"/>
              </w:rPr>
              <w:t>Service connection fees</w:t>
            </w:r>
          </w:p>
        </w:tc>
        <w:tc>
          <w:tcPr>
            <w:tcW w:w="2488" w:type="dxa"/>
            <w:shd w:val="clear" w:color="auto" w:fill="auto"/>
            <w:noWrap/>
            <w:vAlign w:val="center"/>
            <w:hideMark/>
          </w:tcPr>
          <w:p w14:paraId="68FEB99E" w14:textId="77777777" w:rsidR="00B602FC" w:rsidRPr="00CF7621" w:rsidRDefault="00B602FC" w:rsidP="00CF7621">
            <w:pPr>
              <w:jc w:val="center"/>
              <w:rPr>
                <w:rFonts w:asciiTheme="minorHAnsi" w:hAnsiTheme="minorHAnsi" w:cs="Arial"/>
                <w:sz w:val="22"/>
                <w:szCs w:val="22"/>
              </w:rPr>
            </w:pPr>
            <w:r w:rsidRPr="00CF7621">
              <w:rPr>
                <w:rFonts w:asciiTheme="minorHAnsi" w:hAnsiTheme="minorHAnsi" w:cs="Arial"/>
                <w:sz w:val="22"/>
                <w:szCs w:val="22"/>
              </w:rPr>
              <w:t>0.72</w:t>
            </w:r>
          </w:p>
        </w:tc>
        <w:tc>
          <w:tcPr>
            <w:tcW w:w="2696" w:type="dxa"/>
            <w:shd w:val="clear" w:color="auto" w:fill="auto"/>
            <w:noWrap/>
            <w:vAlign w:val="center"/>
            <w:hideMark/>
          </w:tcPr>
          <w:p w14:paraId="0F23DF9B" w14:textId="77777777" w:rsidR="00B602FC" w:rsidRPr="00CF7621" w:rsidRDefault="00B602FC" w:rsidP="00CF7621">
            <w:pPr>
              <w:jc w:val="center"/>
              <w:rPr>
                <w:rFonts w:asciiTheme="minorHAnsi" w:hAnsiTheme="minorHAnsi" w:cs="Arial"/>
                <w:color w:val="000000"/>
                <w:sz w:val="22"/>
                <w:szCs w:val="22"/>
              </w:rPr>
            </w:pPr>
            <w:r w:rsidRPr="00CF7621">
              <w:rPr>
                <w:rFonts w:asciiTheme="minorHAnsi" w:hAnsiTheme="minorHAnsi" w:cs="Arial"/>
                <w:color w:val="000000"/>
                <w:sz w:val="22"/>
                <w:szCs w:val="22"/>
              </w:rPr>
              <w:t>0.72</w:t>
            </w:r>
          </w:p>
        </w:tc>
      </w:tr>
      <w:tr w:rsidR="00B602FC" w:rsidRPr="00CF7621" w14:paraId="78F5CB34" w14:textId="77777777" w:rsidTr="00B00601">
        <w:trPr>
          <w:trHeight w:val="250"/>
        </w:trPr>
        <w:tc>
          <w:tcPr>
            <w:tcW w:w="3710" w:type="dxa"/>
            <w:shd w:val="clear" w:color="auto" w:fill="auto"/>
            <w:noWrap/>
            <w:vAlign w:val="center"/>
            <w:hideMark/>
          </w:tcPr>
          <w:p w14:paraId="0F329E2A" w14:textId="77777777" w:rsidR="00B602FC" w:rsidRPr="00CF7621" w:rsidRDefault="00B602FC" w:rsidP="00B602FC">
            <w:pPr>
              <w:rPr>
                <w:rFonts w:asciiTheme="minorHAnsi" w:hAnsiTheme="minorHAnsi" w:cs="Arial"/>
                <w:color w:val="000000"/>
                <w:sz w:val="22"/>
                <w:szCs w:val="22"/>
              </w:rPr>
            </w:pPr>
            <w:r w:rsidRPr="00CF7621">
              <w:rPr>
                <w:rFonts w:asciiTheme="minorHAnsi" w:hAnsiTheme="minorHAnsi" w:cs="Arial"/>
                <w:color w:val="000000"/>
                <w:sz w:val="22"/>
                <w:szCs w:val="22"/>
              </w:rPr>
              <w:t xml:space="preserve">Other </w:t>
            </w:r>
            <w:proofErr w:type="spellStart"/>
            <w:r w:rsidRPr="00CF7621">
              <w:rPr>
                <w:rFonts w:asciiTheme="minorHAnsi" w:hAnsiTheme="minorHAnsi" w:cs="Arial"/>
                <w:color w:val="000000"/>
                <w:sz w:val="22"/>
                <w:szCs w:val="22"/>
              </w:rPr>
              <w:t>misc</w:t>
            </w:r>
            <w:proofErr w:type="spellEnd"/>
            <w:r w:rsidRPr="00CF7621">
              <w:rPr>
                <w:rFonts w:asciiTheme="minorHAnsi" w:hAnsiTheme="minorHAnsi" w:cs="Arial"/>
                <w:color w:val="000000"/>
                <w:sz w:val="22"/>
                <w:szCs w:val="22"/>
              </w:rPr>
              <w:t xml:space="preserve"> operating income</w:t>
            </w:r>
          </w:p>
        </w:tc>
        <w:tc>
          <w:tcPr>
            <w:tcW w:w="2488" w:type="dxa"/>
            <w:shd w:val="clear" w:color="auto" w:fill="auto"/>
            <w:noWrap/>
            <w:vAlign w:val="center"/>
            <w:hideMark/>
          </w:tcPr>
          <w:p w14:paraId="23EA7093" w14:textId="77777777" w:rsidR="00B602FC" w:rsidRPr="00CF7621" w:rsidRDefault="00B602FC" w:rsidP="00CF7621">
            <w:pPr>
              <w:jc w:val="center"/>
              <w:rPr>
                <w:rFonts w:asciiTheme="minorHAnsi" w:hAnsiTheme="minorHAnsi" w:cs="Arial"/>
                <w:sz w:val="22"/>
                <w:szCs w:val="22"/>
              </w:rPr>
            </w:pPr>
            <w:r w:rsidRPr="00CF7621">
              <w:rPr>
                <w:rFonts w:asciiTheme="minorHAnsi" w:hAnsiTheme="minorHAnsi" w:cs="Arial"/>
                <w:sz w:val="22"/>
                <w:szCs w:val="22"/>
              </w:rPr>
              <w:t>0.14</w:t>
            </w:r>
          </w:p>
        </w:tc>
        <w:tc>
          <w:tcPr>
            <w:tcW w:w="2696" w:type="dxa"/>
            <w:shd w:val="clear" w:color="auto" w:fill="auto"/>
            <w:noWrap/>
            <w:vAlign w:val="center"/>
            <w:hideMark/>
          </w:tcPr>
          <w:p w14:paraId="73ED7D88" w14:textId="77777777" w:rsidR="00B602FC" w:rsidRPr="00CF7621" w:rsidRDefault="00B602FC" w:rsidP="00CF7621">
            <w:pPr>
              <w:jc w:val="center"/>
              <w:rPr>
                <w:rFonts w:asciiTheme="minorHAnsi" w:hAnsiTheme="minorHAnsi" w:cs="Arial"/>
                <w:color w:val="000000"/>
                <w:sz w:val="22"/>
                <w:szCs w:val="22"/>
              </w:rPr>
            </w:pPr>
            <w:r w:rsidRPr="00CF7621">
              <w:rPr>
                <w:rFonts w:asciiTheme="minorHAnsi" w:hAnsiTheme="minorHAnsi" w:cs="Arial"/>
                <w:color w:val="000000"/>
                <w:sz w:val="22"/>
                <w:szCs w:val="22"/>
              </w:rPr>
              <w:t>0.14</w:t>
            </w:r>
          </w:p>
        </w:tc>
      </w:tr>
      <w:tr w:rsidR="00B602FC" w:rsidRPr="00CF7621" w14:paraId="2D9CF141" w14:textId="77777777" w:rsidTr="00B00601">
        <w:trPr>
          <w:trHeight w:val="250"/>
        </w:trPr>
        <w:tc>
          <w:tcPr>
            <w:tcW w:w="3710" w:type="dxa"/>
            <w:shd w:val="clear" w:color="auto" w:fill="auto"/>
            <w:noWrap/>
            <w:vAlign w:val="center"/>
            <w:hideMark/>
          </w:tcPr>
          <w:p w14:paraId="08819363" w14:textId="77777777" w:rsidR="00B602FC" w:rsidRPr="00CF7621" w:rsidRDefault="00B602FC" w:rsidP="00B602FC">
            <w:pPr>
              <w:rPr>
                <w:rFonts w:asciiTheme="minorHAnsi" w:hAnsiTheme="minorHAnsi" w:cs="Arial"/>
                <w:b/>
                <w:bCs/>
                <w:color w:val="000000"/>
                <w:sz w:val="22"/>
                <w:szCs w:val="22"/>
              </w:rPr>
            </w:pPr>
            <w:r w:rsidRPr="00CF7621">
              <w:rPr>
                <w:rFonts w:asciiTheme="minorHAnsi" w:hAnsiTheme="minorHAnsi" w:cs="Arial"/>
                <w:b/>
                <w:bCs/>
                <w:color w:val="000000"/>
                <w:sz w:val="22"/>
                <w:szCs w:val="22"/>
              </w:rPr>
              <w:t>Total</w:t>
            </w:r>
          </w:p>
        </w:tc>
        <w:tc>
          <w:tcPr>
            <w:tcW w:w="2488" w:type="dxa"/>
            <w:shd w:val="clear" w:color="auto" w:fill="auto"/>
            <w:noWrap/>
            <w:vAlign w:val="center"/>
            <w:hideMark/>
          </w:tcPr>
          <w:p w14:paraId="6DFFFC6D" w14:textId="77777777" w:rsidR="00B602FC" w:rsidRPr="00CF7621" w:rsidRDefault="00B602FC" w:rsidP="00CF7621">
            <w:pPr>
              <w:jc w:val="center"/>
              <w:rPr>
                <w:rFonts w:asciiTheme="minorHAnsi" w:hAnsiTheme="minorHAnsi" w:cs="Arial"/>
                <w:b/>
                <w:bCs/>
                <w:sz w:val="22"/>
                <w:szCs w:val="22"/>
              </w:rPr>
            </w:pPr>
            <w:r w:rsidRPr="00CF7621">
              <w:rPr>
                <w:rFonts w:asciiTheme="minorHAnsi" w:hAnsiTheme="minorHAnsi" w:cs="Arial"/>
                <w:b/>
                <w:bCs/>
                <w:sz w:val="22"/>
                <w:szCs w:val="22"/>
              </w:rPr>
              <w:t>51.83</w:t>
            </w:r>
          </w:p>
        </w:tc>
        <w:tc>
          <w:tcPr>
            <w:tcW w:w="2696" w:type="dxa"/>
            <w:shd w:val="clear" w:color="auto" w:fill="auto"/>
            <w:noWrap/>
            <w:vAlign w:val="center"/>
            <w:hideMark/>
          </w:tcPr>
          <w:p w14:paraId="1083DC09" w14:textId="77777777" w:rsidR="00B602FC" w:rsidRPr="00CF7621" w:rsidRDefault="00B602FC" w:rsidP="00CF7621">
            <w:pPr>
              <w:jc w:val="center"/>
              <w:rPr>
                <w:rFonts w:asciiTheme="minorHAnsi" w:hAnsiTheme="minorHAnsi" w:cs="Arial"/>
                <w:b/>
                <w:bCs/>
                <w:color w:val="000000"/>
                <w:sz w:val="22"/>
                <w:szCs w:val="22"/>
              </w:rPr>
            </w:pPr>
            <w:r w:rsidRPr="00CF7621">
              <w:rPr>
                <w:rFonts w:asciiTheme="minorHAnsi" w:hAnsiTheme="minorHAnsi" w:cs="Arial"/>
                <w:b/>
                <w:bCs/>
                <w:color w:val="000000"/>
                <w:sz w:val="22"/>
                <w:szCs w:val="22"/>
              </w:rPr>
              <w:t>71.83</w:t>
            </w:r>
          </w:p>
        </w:tc>
      </w:tr>
      <w:tr w:rsidR="00B602FC" w:rsidRPr="00CF7621" w14:paraId="4E1EFA9A" w14:textId="77777777" w:rsidTr="00B00601">
        <w:trPr>
          <w:trHeight w:val="250"/>
        </w:trPr>
        <w:tc>
          <w:tcPr>
            <w:tcW w:w="3710" w:type="dxa"/>
            <w:shd w:val="clear" w:color="auto" w:fill="auto"/>
            <w:noWrap/>
            <w:vAlign w:val="center"/>
            <w:hideMark/>
          </w:tcPr>
          <w:p w14:paraId="78E015FD" w14:textId="77777777" w:rsidR="00B602FC" w:rsidRPr="00CF7621" w:rsidRDefault="00B602FC" w:rsidP="00B602FC">
            <w:pPr>
              <w:rPr>
                <w:rFonts w:asciiTheme="minorHAnsi" w:hAnsiTheme="minorHAnsi" w:cs="Arial"/>
                <w:color w:val="000000"/>
                <w:sz w:val="22"/>
                <w:szCs w:val="22"/>
              </w:rPr>
            </w:pPr>
            <w:r w:rsidRPr="00CF7621">
              <w:rPr>
                <w:rFonts w:asciiTheme="minorHAnsi" w:hAnsiTheme="minorHAnsi" w:cs="Arial"/>
                <w:color w:val="000000"/>
                <w:sz w:val="22"/>
                <w:szCs w:val="22"/>
              </w:rPr>
              <w:t> </w:t>
            </w:r>
          </w:p>
        </w:tc>
        <w:tc>
          <w:tcPr>
            <w:tcW w:w="2488" w:type="dxa"/>
            <w:shd w:val="clear" w:color="auto" w:fill="auto"/>
            <w:noWrap/>
            <w:vAlign w:val="center"/>
            <w:hideMark/>
          </w:tcPr>
          <w:p w14:paraId="47B880C6" w14:textId="7A70C844" w:rsidR="00B602FC" w:rsidRPr="00CF7621" w:rsidRDefault="00B602FC" w:rsidP="00CF7621">
            <w:pPr>
              <w:jc w:val="center"/>
              <w:rPr>
                <w:rFonts w:asciiTheme="minorHAnsi" w:hAnsiTheme="minorHAnsi" w:cs="Arial"/>
                <w:sz w:val="22"/>
                <w:szCs w:val="22"/>
              </w:rPr>
            </w:pPr>
          </w:p>
        </w:tc>
        <w:tc>
          <w:tcPr>
            <w:tcW w:w="2696" w:type="dxa"/>
            <w:shd w:val="clear" w:color="auto" w:fill="auto"/>
            <w:noWrap/>
            <w:vAlign w:val="center"/>
            <w:hideMark/>
          </w:tcPr>
          <w:p w14:paraId="0C30FB22" w14:textId="53BFE558" w:rsidR="00B602FC" w:rsidRPr="00CF7621" w:rsidRDefault="00B602FC" w:rsidP="00CF7621">
            <w:pPr>
              <w:jc w:val="center"/>
              <w:rPr>
                <w:rFonts w:asciiTheme="minorHAnsi" w:hAnsiTheme="minorHAnsi" w:cs="Arial"/>
                <w:color w:val="000000"/>
                <w:sz w:val="22"/>
                <w:szCs w:val="22"/>
              </w:rPr>
            </w:pPr>
          </w:p>
        </w:tc>
      </w:tr>
      <w:tr w:rsidR="00B602FC" w:rsidRPr="00CF7621" w14:paraId="6F27DBAB" w14:textId="77777777" w:rsidTr="00B00601">
        <w:trPr>
          <w:trHeight w:val="250"/>
        </w:trPr>
        <w:tc>
          <w:tcPr>
            <w:tcW w:w="3710" w:type="dxa"/>
            <w:shd w:val="clear" w:color="auto" w:fill="auto"/>
            <w:noWrap/>
            <w:vAlign w:val="center"/>
            <w:hideMark/>
          </w:tcPr>
          <w:p w14:paraId="1580C914" w14:textId="77777777" w:rsidR="00B602FC" w:rsidRPr="00CF7621" w:rsidRDefault="00B602FC" w:rsidP="00B602FC">
            <w:pPr>
              <w:rPr>
                <w:rFonts w:asciiTheme="minorHAnsi" w:hAnsiTheme="minorHAnsi" w:cs="Arial"/>
                <w:color w:val="000000"/>
                <w:sz w:val="22"/>
                <w:szCs w:val="22"/>
              </w:rPr>
            </w:pPr>
            <w:r w:rsidRPr="00CF7621">
              <w:rPr>
                <w:rFonts w:asciiTheme="minorHAnsi" w:hAnsiTheme="minorHAnsi" w:cs="Arial"/>
                <w:color w:val="000000"/>
                <w:sz w:val="22"/>
                <w:szCs w:val="22"/>
              </w:rPr>
              <w:t>Interest on FD</w:t>
            </w:r>
          </w:p>
        </w:tc>
        <w:tc>
          <w:tcPr>
            <w:tcW w:w="2488" w:type="dxa"/>
            <w:shd w:val="clear" w:color="auto" w:fill="auto"/>
            <w:noWrap/>
            <w:vAlign w:val="center"/>
            <w:hideMark/>
          </w:tcPr>
          <w:p w14:paraId="08AEC3A9" w14:textId="77777777" w:rsidR="00B602FC" w:rsidRPr="00CF7621" w:rsidRDefault="00B602FC" w:rsidP="00CF7621">
            <w:pPr>
              <w:jc w:val="center"/>
              <w:rPr>
                <w:rFonts w:asciiTheme="minorHAnsi" w:hAnsiTheme="minorHAnsi" w:cs="Arial"/>
                <w:sz w:val="22"/>
                <w:szCs w:val="22"/>
              </w:rPr>
            </w:pPr>
            <w:r w:rsidRPr="00CF7621">
              <w:rPr>
                <w:rFonts w:asciiTheme="minorHAnsi" w:hAnsiTheme="minorHAnsi" w:cs="Arial"/>
                <w:sz w:val="22"/>
                <w:szCs w:val="22"/>
              </w:rPr>
              <w:t>98.60</w:t>
            </w:r>
          </w:p>
        </w:tc>
        <w:tc>
          <w:tcPr>
            <w:tcW w:w="2696" w:type="dxa"/>
            <w:shd w:val="clear" w:color="auto" w:fill="auto"/>
            <w:noWrap/>
            <w:vAlign w:val="center"/>
            <w:hideMark/>
          </w:tcPr>
          <w:p w14:paraId="3394D122" w14:textId="77777777" w:rsidR="00B602FC" w:rsidRPr="00CF7621" w:rsidRDefault="00B602FC" w:rsidP="00CF7621">
            <w:pPr>
              <w:jc w:val="center"/>
              <w:rPr>
                <w:rFonts w:asciiTheme="minorHAnsi" w:hAnsiTheme="minorHAnsi" w:cs="Arial"/>
                <w:color w:val="000000"/>
                <w:sz w:val="22"/>
                <w:szCs w:val="22"/>
              </w:rPr>
            </w:pPr>
            <w:r w:rsidRPr="00CF7621">
              <w:rPr>
                <w:rFonts w:asciiTheme="minorHAnsi" w:hAnsiTheme="minorHAnsi" w:cs="Arial"/>
                <w:color w:val="000000"/>
                <w:sz w:val="22"/>
                <w:szCs w:val="22"/>
              </w:rPr>
              <w:t>98.60</w:t>
            </w:r>
          </w:p>
        </w:tc>
      </w:tr>
      <w:tr w:rsidR="00B602FC" w:rsidRPr="00CF7621" w14:paraId="380D1C40" w14:textId="77777777" w:rsidTr="00B00601">
        <w:trPr>
          <w:trHeight w:val="250"/>
        </w:trPr>
        <w:tc>
          <w:tcPr>
            <w:tcW w:w="3710" w:type="dxa"/>
            <w:shd w:val="clear" w:color="auto" w:fill="auto"/>
            <w:noWrap/>
            <w:vAlign w:val="center"/>
            <w:hideMark/>
          </w:tcPr>
          <w:p w14:paraId="6723128D" w14:textId="77777777" w:rsidR="00B602FC" w:rsidRPr="00CF7621" w:rsidRDefault="00B602FC" w:rsidP="00B602FC">
            <w:pPr>
              <w:rPr>
                <w:rFonts w:asciiTheme="minorHAnsi" w:hAnsiTheme="minorHAnsi" w:cs="Arial"/>
                <w:color w:val="000000"/>
                <w:sz w:val="22"/>
                <w:szCs w:val="22"/>
              </w:rPr>
            </w:pPr>
            <w:r w:rsidRPr="00CF7621">
              <w:rPr>
                <w:rFonts w:asciiTheme="minorHAnsi" w:hAnsiTheme="minorHAnsi" w:cs="Arial"/>
                <w:color w:val="000000"/>
                <w:sz w:val="22"/>
                <w:szCs w:val="22"/>
              </w:rPr>
              <w:t>Interest on Income Tax Refund</w:t>
            </w:r>
          </w:p>
        </w:tc>
        <w:tc>
          <w:tcPr>
            <w:tcW w:w="2488" w:type="dxa"/>
            <w:shd w:val="clear" w:color="auto" w:fill="auto"/>
            <w:noWrap/>
            <w:vAlign w:val="center"/>
            <w:hideMark/>
          </w:tcPr>
          <w:p w14:paraId="478B868F" w14:textId="77777777" w:rsidR="00B602FC" w:rsidRPr="00CF7621" w:rsidRDefault="00B602FC" w:rsidP="00CF7621">
            <w:pPr>
              <w:jc w:val="center"/>
              <w:rPr>
                <w:rFonts w:asciiTheme="minorHAnsi" w:hAnsiTheme="minorHAnsi" w:cs="Arial"/>
                <w:sz w:val="22"/>
                <w:szCs w:val="22"/>
              </w:rPr>
            </w:pPr>
            <w:r w:rsidRPr="00CF7621">
              <w:rPr>
                <w:rFonts w:asciiTheme="minorHAnsi" w:hAnsiTheme="minorHAnsi" w:cs="Arial"/>
                <w:sz w:val="22"/>
                <w:szCs w:val="22"/>
              </w:rPr>
              <w:t>0.00</w:t>
            </w:r>
          </w:p>
        </w:tc>
        <w:tc>
          <w:tcPr>
            <w:tcW w:w="2696" w:type="dxa"/>
            <w:shd w:val="clear" w:color="auto" w:fill="auto"/>
            <w:noWrap/>
            <w:vAlign w:val="center"/>
            <w:hideMark/>
          </w:tcPr>
          <w:p w14:paraId="4EB605E6" w14:textId="77777777" w:rsidR="00B602FC" w:rsidRPr="00CF7621" w:rsidRDefault="00B602FC" w:rsidP="00CF7621">
            <w:pPr>
              <w:jc w:val="center"/>
              <w:rPr>
                <w:rFonts w:asciiTheme="minorHAnsi" w:hAnsiTheme="minorHAnsi" w:cs="Arial"/>
                <w:color w:val="000000"/>
                <w:sz w:val="22"/>
                <w:szCs w:val="22"/>
              </w:rPr>
            </w:pPr>
            <w:r w:rsidRPr="00CF7621">
              <w:rPr>
                <w:rFonts w:asciiTheme="minorHAnsi" w:hAnsiTheme="minorHAnsi" w:cs="Arial"/>
                <w:color w:val="000000"/>
                <w:sz w:val="22"/>
                <w:szCs w:val="22"/>
              </w:rPr>
              <w:t>0.00</w:t>
            </w:r>
          </w:p>
        </w:tc>
      </w:tr>
      <w:tr w:rsidR="00B602FC" w:rsidRPr="00CF7621" w14:paraId="037F09E7" w14:textId="77777777" w:rsidTr="00B00601">
        <w:trPr>
          <w:trHeight w:val="250"/>
        </w:trPr>
        <w:tc>
          <w:tcPr>
            <w:tcW w:w="3710" w:type="dxa"/>
            <w:shd w:val="clear" w:color="auto" w:fill="auto"/>
            <w:noWrap/>
            <w:vAlign w:val="center"/>
            <w:hideMark/>
          </w:tcPr>
          <w:p w14:paraId="6A0198F7" w14:textId="77777777" w:rsidR="00B602FC" w:rsidRPr="00CF7621" w:rsidRDefault="00B602FC" w:rsidP="00B602FC">
            <w:pPr>
              <w:rPr>
                <w:rFonts w:asciiTheme="minorHAnsi" w:hAnsiTheme="minorHAnsi" w:cs="Arial"/>
                <w:color w:val="000000"/>
                <w:sz w:val="22"/>
                <w:szCs w:val="22"/>
              </w:rPr>
            </w:pPr>
            <w:proofErr w:type="spellStart"/>
            <w:r w:rsidRPr="00CF7621">
              <w:rPr>
                <w:rFonts w:asciiTheme="minorHAnsi" w:hAnsiTheme="minorHAnsi" w:cs="Arial"/>
                <w:color w:val="000000"/>
                <w:sz w:val="22"/>
                <w:szCs w:val="22"/>
              </w:rPr>
              <w:t>Ins.Claim-Recevd</w:t>
            </w:r>
            <w:proofErr w:type="spellEnd"/>
            <w:r w:rsidRPr="00CF7621">
              <w:rPr>
                <w:rFonts w:asciiTheme="minorHAnsi" w:hAnsiTheme="minorHAnsi" w:cs="Arial"/>
                <w:color w:val="000000"/>
                <w:sz w:val="22"/>
                <w:szCs w:val="22"/>
              </w:rPr>
              <w:t xml:space="preserve">.   </w:t>
            </w:r>
          </w:p>
        </w:tc>
        <w:tc>
          <w:tcPr>
            <w:tcW w:w="2488" w:type="dxa"/>
            <w:shd w:val="clear" w:color="auto" w:fill="auto"/>
            <w:noWrap/>
            <w:vAlign w:val="center"/>
            <w:hideMark/>
          </w:tcPr>
          <w:p w14:paraId="5A563424" w14:textId="77777777" w:rsidR="00B602FC" w:rsidRPr="00CF7621" w:rsidRDefault="00B602FC" w:rsidP="00CF7621">
            <w:pPr>
              <w:jc w:val="center"/>
              <w:rPr>
                <w:rFonts w:asciiTheme="minorHAnsi" w:hAnsiTheme="minorHAnsi" w:cs="Arial"/>
                <w:sz w:val="22"/>
                <w:szCs w:val="22"/>
              </w:rPr>
            </w:pPr>
            <w:r w:rsidRPr="00CF7621">
              <w:rPr>
                <w:rFonts w:asciiTheme="minorHAnsi" w:hAnsiTheme="minorHAnsi" w:cs="Arial"/>
                <w:sz w:val="22"/>
                <w:szCs w:val="22"/>
              </w:rPr>
              <w:t>0.26</w:t>
            </w:r>
          </w:p>
        </w:tc>
        <w:tc>
          <w:tcPr>
            <w:tcW w:w="2696" w:type="dxa"/>
            <w:shd w:val="clear" w:color="auto" w:fill="auto"/>
            <w:noWrap/>
            <w:vAlign w:val="center"/>
            <w:hideMark/>
          </w:tcPr>
          <w:p w14:paraId="381B1EF2" w14:textId="77777777" w:rsidR="00B602FC" w:rsidRPr="00CF7621" w:rsidRDefault="00B602FC" w:rsidP="00CF7621">
            <w:pPr>
              <w:jc w:val="center"/>
              <w:rPr>
                <w:rFonts w:asciiTheme="minorHAnsi" w:hAnsiTheme="minorHAnsi" w:cs="Arial"/>
                <w:color w:val="000000"/>
                <w:sz w:val="22"/>
                <w:szCs w:val="22"/>
              </w:rPr>
            </w:pPr>
            <w:r w:rsidRPr="00CF7621">
              <w:rPr>
                <w:rFonts w:asciiTheme="minorHAnsi" w:hAnsiTheme="minorHAnsi" w:cs="Arial"/>
                <w:color w:val="000000"/>
                <w:sz w:val="22"/>
                <w:szCs w:val="22"/>
              </w:rPr>
              <w:t>0.26</w:t>
            </w:r>
          </w:p>
        </w:tc>
      </w:tr>
      <w:tr w:rsidR="00B602FC" w:rsidRPr="00CF7621" w14:paraId="25AE0286" w14:textId="77777777" w:rsidTr="00B00601">
        <w:trPr>
          <w:trHeight w:val="250"/>
        </w:trPr>
        <w:tc>
          <w:tcPr>
            <w:tcW w:w="3710" w:type="dxa"/>
            <w:shd w:val="clear" w:color="auto" w:fill="auto"/>
            <w:noWrap/>
            <w:vAlign w:val="center"/>
            <w:hideMark/>
          </w:tcPr>
          <w:p w14:paraId="3BAB8A2E" w14:textId="77777777" w:rsidR="00B602FC" w:rsidRPr="00CF7621" w:rsidRDefault="00B602FC" w:rsidP="00B602FC">
            <w:pPr>
              <w:rPr>
                <w:rFonts w:asciiTheme="minorHAnsi" w:hAnsiTheme="minorHAnsi" w:cs="Arial"/>
                <w:color w:val="000000"/>
                <w:sz w:val="22"/>
                <w:szCs w:val="22"/>
              </w:rPr>
            </w:pPr>
            <w:r w:rsidRPr="00CF7621">
              <w:rPr>
                <w:rFonts w:asciiTheme="minorHAnsi" w:hAnsiTheme="minorHAnsi" w:cs="Arial"/>
                <w:color w:val="000000"/>
                <w:sz w:val="22"/>
                <w:szCs w:val="22"/>
              </w:rPr>
              <w:t>Delayed payment surcharge</w:t>
            </w:r>
          </w:p>
        </w:tc>
        <w:tc>
          <w:tcPr>
            <w:tcW w:w="2488" w:type="dxa"/>
            <w:shd w:val="clear" w:color="auto" w:fill="auto"/>
            <w:noWrap/>
            <w:vAlign w:val="center"/>
            <w:hideMark/>
          </w:tcPr>
          <w:p w14:paraId="3EE0E772" w14:textId="77777777" w:rsidR="00B602FC" w:rsidRPr="00CF7621" w:rsidRDefault="00B602FC" w:rsidP="00CF7621">
            <w:pPr>
              <w:jc w:val="center"/>
              <w:rPr>
                <w:rFonts w:asciiTheme="minorHAnsi" w:hAnsiTheme="minorHAnsi" w:cs="Arial"/>
                <w:sz w:val="22"/>
                <w:szCs w:val="22"/>
              </w:rPr>
            </w:pPr>
            <w:r w:rsidRPr="00CF7621">
              <w:rPr>
                <w:rFonts w:asciiTheme="minorHAnsi" w:hAnsiTheme="minorHAnsi" w:cs="Arial"/>
                <w:sz w:val="22"/>
                <w:szCs w:val="22"/>
              </w:rPr>
              <w:t>15.69</w:t>
            </w:r>
          </w:p>
        </w:tc>
        <w:tc>
          <w:tcPr>
            <w:tcW w:w="2696" w:type="dxa"/>
            <w:shd w:val="clear" w:color="auto" w:fill="auto"/>
            <w:noWrap/>
            <w:vAlign w:val="center"/>
            <w:hideMark/>
          </w:tcPr>
          <w:p w14:paraId="551BC6FF" w14:textId="77777777" w:rsidR="00B602FC" w:rsidRPr="00CF7621" w:rsidRDefault="00B602FC" w:rsidP="00CF7621">
            <w:pPr>
              <w:jc w:val="center"/>
              <w:rPr>
                <w:rFonts w:asciiTheme="minorHAnsi" w:hAnsiTheme="minorHAnsi" w:cs="Arial"/>
                <w:color w:val="000000"/>
                <w:sz w:val="22"/>
                <w:szCs w:val="22"/>
              </w:rPr>
            </w:pPr>
            <w:r w:rsidRPr="00CF7621">
              <w:rPr>
                <w:rFonts w:asciiTheme="minorHAnsi" w:hAnsiTheme="minorHAnsi" w:cs="Arial"/>
                <w:color w:val="000000"/>
                <w:sz w:val="22"/>
                <w:szCs w:val="22"/>
              </w:rPr>
              <w:t>15.69</w:t>
            </w:r>
          </w:p>
        </w:tc>
      </w:tr>
      <w:tr w:rsidR="00B602FC" w:rsidRPr="00CF7621" w14:paraId="46F1943A" w14:textId="77777777" w:rsidTr="00B00601">
        <w:trPr>
          <w:trHeight w:val="250"/>
        </w:trPr>
        <w:tc>
          <w:tcPr>
            <w:tcW w:w="3710" w:type="dxa"/>
            <w:shd w:val="clear" w:color="auto" w:fill="auto"/>
            <w:noWrap/>
            <w:vAlign w:val="center"/>
            <w:hideMark/>
          </w:tcPr>
          <w:p w14:paraId="1FA39903" w14:textId="77777777" w:rsidR="00B602FC" w:rsidRPr="00CF7621" w:rsidRDefault="00B602FC" w:rsidP="00B602FC">
            <w:pPr>
              <w:rPr>
                <w:rFonts w:asciiTheme="minorHAnsi" w:hAnsiTheme="minorHAnsi" w:cs="Arial"/>
                <w:color w:val="000000"/>
                <w:sz w:val="22"/>
                <w:szCs w:val="22"/>
              </w:rPr>
            </w:pPr>
            <w:r w:rsidRPr="00CF7621">
              <w:rPr>
                <w:rFonts w:asciiTheme="minorHAnsi" w:hAnsiTheme="minorHAnsi" w:cs="Arial"/>
                <w:color w:val="000000"/>
                <w:sz w:val="22"/>
                <w:szCs w:val="22"/>
              </w:rPr>
              <w:t>Meter testing fees</w:t>
            </w:r>
          </w:p>
        </w:tc>
        <w:tc>
          <w:tcPr>
            <w:tcW w:w="2488" w:type="dxa"/>
            <w:shd w:val="clear" w:color="auto" w:fill="auto"/>
            <w:noWrap/>
            <w:vAlign w:val="center"/>
            <w:hideMark/>
          </w:tcPr>
          <w:p w14:paraId="6231C2C2" w14:textId="77777777" w:rsidR="00B602FC" w:rsidRPr="00CF7621" w:rsidRDefault="00B602FC" w:rsidP="00CF7621">
            <w:pPr>
              <w:jc w:val="center"/>
              <w:rPr>
                <w:rFonts w:asciiTheme="minorHAnsi" w:hAnsiTheme="minorHAnsi" w:cs="Arial"/>
                <w:sz w:val="22"/>
                <w:szCs w:val="22"/>
              </w:rPr>
            </w:pPr>
            <w:r w:rsidRPr="00CF7621">
              <w:rPr>
                <w:rFonts w:asciiTheme="minorHAnsi" w:hAnsiTheme="minorHAnsi" w:cs="Arial"/>
                <w:sz w:val="22"/>
                <w:szCs w:val="22"/>
              </w:rPr>
              <w:t>0.10</w:t>
            </w:r>
          </w:p>
        </w:tc>
        <w:tc>
          <w:tcPr>
            <w:tcW w:w="2696" w:type="dxa"/>
            <w:shd w:val="clear" w:color="auto" w:fill="auto"/>
            <w:noWrap/>
            <w:vAlign w:val="center"/>
            <w:hideMark/>
          </w:tcPr>
          <w:p w14:paraId="2A096EEF" w14:textId="77777777" w:rsidR="00B602FC" w:rsidRPr="00CF7621" w:rsidRDefault="00B602FC" w:rsidP="00CF7621">
            <w:pPr>
              <w:jc w:val="center"/>
              <w:rPr>
                <w:rFonts w:asciiTheme="minorHAnsi" w:hAnsiTheme="minorHAnsi" w:cs="Arial"/>
                <w:color w:val="000000"/>
                <w:sz w:val="22"/>
                <w:szCs w:val="22"/>
              </w:rPr>
            </w:pPr>
            <w:r w:rsidRPr="00CF7621">
              <w:rPr>
                <w:rFonts w:asciiTheme="minorHAnsi" w:hAnsiTheme="minorHAnsi" w:cs="Arial"/>
                <w:color w:val="000000"/>
                <w:sz w:val="22"/>
                <w:szCs w:val="22"/>
              </w:rPr>
              <w:t>0.10</w:t>
            </w:r>
          </w:p>
        </w:tc>
      </w:tr>
      <w:tr w:rsidR="00B602FC" w:rsidRPr="00CF7621" w14:paraId="5131383C" w14:textId="77777777" w:rsidTr="00B00601">
        <w:trPr>
          <w:trHeight w:val="250"/>
        </w:trPr>
        <w:tc>
          <w:tcPr>
            <w:tcW w:w="3710" w:type="dxa"/>
            <w:shd w:val="clear" w:color="auto" w:fill="auto"/>
            <w:noWrap/>
            <w:vAlign w:val="center"/>
            <w:hideMark/>
          </w:tcPr>
          <w:p w14:paraId="3CD040E6" w14:textId="77777777" w:rsidR="00B602FC" w:rsidRPr="00CF7621" w:rsidRDefault="00B602FC" w:rsidP="00B602FC">
            <w:pPr>
              <w:rPr>
                <w:rFonts w:asciiTheme="minorHAnsi" w:hAnsiTheme="minorHAnsi" w:cs="Arial"/>
                <w:color w:val="000000"/>
                <w:sz w:val="22"/>
                <w:szCs w:val="22"/>
              </w:rPr>
            </w:pPr>
            <w:r w:rsidRPr="00CF7621">
              <w:rPr>
                <w:rFonts w:asciiTheme="minorHAnsi" w:hAnsiTheme="minorHAnsi" w:cs="Arial"/>
                <w:color w:val="000000"/>
                <w:sz w:val="22"/>
                <w:szCs w:val="22"/>
              </w:rPr>
              <w:t>PLM charges</w:t>
            </w:r>
          </w:p>
        </w:tc>
        <w:tc>
          <w:tcPr>
            <w:tcW w:w="2488" w:type="dxa"/>
            <w:shd w:val="clear" w:color="auto" w:fill="auto"/>
            <w:noWrap/>
            <w:vAlign w:val="center"/>
            <w:hideMark/>
          </w:tcPr>
          <w:p w14:paraId="1C568A81" w14:textId="77777777" w:rsidR="00B602FC" w:rsidRPr="00CF7621" w:rsidRDefault="00B602FC" w:rsidP="00CF7621">
            <w:pPr>
              <w:jc w:val="center"/>
              <w:rPr>
                <w:rFonts w:asciiTheme="minorHAnsi" w:hAnsiTheme="minorHAnsi" w:cs="Arial"/>
                <w:sz w:val="22"/>
                <w:szCs w:val="22"/>
              </w:rPr>
            </w:pPr>
            <w:r w:rsidRPr="00CF7621">
              <w:rPr>
                <w:rFonts w:asciiTheme="minorHAnsi" w:hAnsiTheme="minorHAnsi" w:cs="Arial"/>
                <w:sz w:val="22"/>
                <w:szCs w:val="22"/>
              </w:rPr>
              <w:t>0.00</w:t>
            </w:r>
          </w:p>
        </w:tc>
        <w:tc>
          <w:tcPr>
            <w:tcW w:w="2696" w:type="dxa"/>
            <w:shd w:val="clear" w:color="auto" w:fill="auto"/>
            <w:noWrap/>
            <w:vAlign w:val="center"/>
            <w:hideMark/>
          </w:tcPr>
          <w:p w14:paraId="3F0C2D43" w14:textId="77777777" w:rsidR="00B602FC" w:rsidRPr="00CF7621" w:rsidRDefault="00B602FC" w:rsidP="00CF7621">
            <w:pPr>
              <w:jc w:val="center"/>
              <w:rPr>
                <w:rFonts w:asciiTheme="minorHAnsi" w:hAnsiTheme="minorHAnsi" w:cs="Arial"/>
                <w:color w:val="000000"/>
                <w:sz w:val="22"/>
                <w:szCs w:val="22"/>
              </w:rPr>
            </w:pPr>
            <w:r w:rsidRPr="00CF7621">
              <w:rPr>
                <w:rFonts w:asciiTheme="minorHAnsi" w:hAnsiTheme="minorHAnsi" w:cs="Arial"/>
                <w:color w:val="000000"/>
                <w:sz w:val="22"/>
                <w:szCs w:val="22"/>
              </w:rPr>
              <w:t>0.00</w:t>
            </w:r>
          </w:p>
        </w:tc>
      </w:tr>
      <w:tr w:rsidR="00B602FC" w:rsidRPr="00CF7621" w14:paraId="106D3CE7" w14:textId="77777777" w:rsidTr="00B00601">
        <w:trPr>
          <w:trHeight w:val="250"/>
        </w:trPr>
        <w:tc>
          <w:tcPr>
            <w:tcW w:w="3710" w:type="dxa"/>
            <w:shd w:val="clear" w:color="auto" w:fill="auto"/>
            <w:noWrap/>
            <w:vAlign w:val="center"/>
            <w:hideMark/>
          </w:tcPr>
          <w:p w14:paraId="684727EB" w14:textId="77777777" w:rsidR="00B602FC" w:rsidRPr="00CF7621" w:rsidRDefault="00B602FC" w:rsidP="00B602FC">
            <w:pPr>
              <w:rPr>
                <w:rFonts w:asciiTheme="minorHAnsi" w:hAnsiTheme="minorHAnsi" w:cs="Arial"/>
                <w:color w:val="000000"/>
                <w:sz w:val="22"/>
                <w:szCs w:val="22"/>
              </w:rPr>
            </w:pPr>
            <w:r w:rsidRPr="00CF7621">
              <w:rPr>
                <w:rFonts w:asciiTheme="minorHAnsi" w:hAnsiTheme="minorHAnsi" w:cs="Arial"/>
                <w:color w:val="000000"/>
                <w:sz w:val="22"/>
                <w:szCs w:val="22"/>
              </w:rPr>
              <w:t>Rent-staff quarters</w:t>
            </w:r>
          </w:p>
        </w:tc>
        <w:tc>
          <w:tcPr>
            <w:tcW w:w="2488" w:type="dxa"/>
            <w:shd w:val="clear" w:color="auto" w:fill="auto"/>
            <w:noWrap/>
            <w:vAlign w:val="center"/>
            <w:hideMark/>
          </w:tcPr>
          <w:p w14:paraId="0CD33F36" w14:textId="77777777" w:rsidR="00B602FC" w:rsidRPr="00CF7621" w:rsidRDefault="00B602FC" w:rsidP="00CF7621">
            <w:pPr>
              <w:jc w:val="center"/>
              <w:rPr>
                <w:rFonts w:asciiTheme="minorHAnsi" w:hAnsiTheme="minorHAnsi" w:cs="Arial"/>
                <w:sz w:val="22"/>
                <w:szCs w:val="22"/>
              </w:rPr>
            </w:pPr>
            <w:r w:rsidRPr="00CF7621">
              <w:rPr>
                <w:rFonts w:asciiTheme="minorHAnsi" w:hAnsiTheme="minorHAnsi" w:cs="Arial"/>
                <w:sz w:val="22"/>
                <w:szCs w:val="22"/>
              </w:rPr>
              <w:t>0.00</w:t>
            </w:r>
          </w:p>
        </w:tc>
        <w:tc>
          <w:tcPr>
            <w:tcW w:w="2696" w:type="dxa"/>
            <w:shd w:val="clear" w:color="auto" w:fill="auto"/>
            <w:noWrap/>
            <w:vAlign w:val="center"/>
            <w:hideMark/>
          </w:tcPr>
          <w:p w14:paraId="1F2CB01E" w14:textId="77777777" w:rsidR="00B602FC" w:rsidRPr="00CF7621" w:rsidRDefault="00B602FC" w:rsidP="00CF7621">
            <w:pPr>
              <w:jc w:val="center"/>
              <w:rPr>
                <w:rFonts w:asciiTheme="minorHAnsi" w:hAnsiTheme="minorHAnsi" w:cs="Arial"/>
                <w:color w:val="000000"/>
                <w:sz w:val="22"/>
                <w:szCs w:val="22"/>
              </w:rPr>
            </w:pPr>
            <w:r w:rsidRPr="00CF7621">
              <w:rPr>
                <w:rFonts w:asciiTheme="minorHAnsi" w:hAnsiTheme="minorHAnsi" w:cs="Arial"/>
                <w:color w:val="000000"/>
                <w:sz w:val="22"/>
                <w:szCs w:val="22"/>
              </w:rPr>
              <w:t>0.00</w:t>
            </w:r>
          </w:p>
        </w:tc>
      </w:tr>
      <w:tr w:rsidR="00B602FC" w:rsidRPr="00CF7621" w14:paraId="18ABCFB3" w14:textId="77777777" w:rsidTr="00B00601">
        <w:trPr>
          <w:trHeight w:val="250"/>
        </w:trPr>
        <w:tc>
          <w:tcPr>
            <w:tcW w:w="3710" w:type="dxa"/>
            <w:shd w:val="clear" w:color="auto" w:fill="auto"/>
            <w:noWrap/>
            <w:vAlign w:val="center"/>
            <w:hideMark/>
          </w:tcPr>
          <w:p w14:paraId="49C620C4" w14:textId="77777777" w:rsidR="00B602FC" w:rsidRPr="00CF7621" w:rsidRDefault="00B602FC" w:rsidP="00B602FC">
            <w:pPr>
              <w:rPr>
                <w:rFonts w:asciiTheme="minorHAnsi" w:hAnsiTheme="minorHAnsi" w:cs="Arial"/>
                <w:color w:val="000000"/>
                <w:sz w:val="22"/>
                <w:szCs w:val="22"/>
              </w:rPr>
            </w:pPr>
            <w:r w:rsidRPr="00CF7621">
              <w:rPr>
                <w:rFonts w:asciiTheme="minorHAnsi" w:hAnsiTheme="minorHAnsi" w:cs="Arial"/>
                <w:color w:val="000000"/>
                <w:sz w:val="22"/>
                <w:szCs w:val="22"/>
              </w:rPr>
              <w:t xml:space="preserve">Water rates-Staff </w:t>
            </w:r>
            <w:proofErr w:type="spellStart"/>
            <w:r w:rsidRPr="00CF7621">
              <w:rPr>
                <w:rFonts w:asciiTheme="minorHAnsi" w:hAnsiTheme="minorHAnsi" w:cs="Arial"/>
                <w:color w:val="000000"/>
                <w:sz w:val="22"/>
                <w:szCs w:val="22"/>
              </w:rPr>
              <w:t>qtr</w:t>
            </w:r>
            <w:proofErr w:type="spellEnd"/>
          </w:p>
        </w:tc>
        <w:tc>
          <w:tcPr>
            <w:tcW w:w="2488" w:type="dxa"/>
            <w:shd w:val="clear" w:color="auto" w:fill="auto"/>
            <w:noWrap/>
            <w:vAlign w:val="center"/>
            <w:hideMark/>
          </w:tcPr>
          <w:p w14:paraId="50E3D78B" w14:textId="77777777" w:rsidR="00B602FC" w:rsidRPr="00CF7621" w:rsidRDefault="00B602FC" w:rsidP="00CF7621">
            <w:pPr>
              <w:jc w:val="center"/>
              <w:rPr>
                <w:rFonts w:asciiTheme="minorHAnsi" w:hAnsiTheme="minorHAnsi" w:cs="Arial"/>
                <w:sz w:val="22"/>
                <w:szCs w:val="22"/>
              </w:rPr>
            </w:pPr>
            <w:r w:rsidRPr="00CF7621">
              <w:rPr>
                <w:rFonts w:asciiTheme="minorHAnsi" w:hAnsiTheme="minorHAnsi" w:cs="Arial"/>
                <w:sz w:val="22"/>
                <w:szCs w:val="22"/>
              </w:rPr>
              <w:t>0.00</w:t>
            </w:r>
          </w:p>
        </w:tc>
        <w:tc>
          <w:tcPr>
            <w:tcW w:w="2696" w:type="dxa"/>
            <w:shd w:val="clear" w:color="auto" w:fill="auto"/>
            <w:noWrap/>
            <w:vAlign w:val="center"/>
            <w:hideMark/>
          </w:tcPr>
          <w:p w14:paraId="4FD0CF41" w14:textId="77777777" w:rsidR="00B602FC" w:rsidRPr="00CF7621" w:rsidRDefault="00B602FC" w:rsidP="00CF7621">
            <w:pPr>
              <w:jc w:val="center"/>
              <w:rPr>
                <w:rFonts w:asciiTheme="minorHAnsi" w:hAnsiTheme="minorHAnsi" w:cs="Arial"/>
                <w:color w:val="000000"/>
                <w:sz w:val="22"/>
                <w:szCs w:val="22"/>
              </w:rPr>
            </w:pPr>
            <w:r w:rsidRPr="00CF7621">
              <w:rPr>
                <w:rFonts w:asciiTheme="minorHAnsi" w:hAnsiTheme="minorHAnsi" w:cs="Arial"/>
                <w:color w:val="000000"/>
                <w:sz w:val="22"/>
                <w:szCs w:val="22"/>
              </w:rPr>
              <w:t>0.00</w:t>
            </w:r>
          </w:p>
        </w:tc>
      </w:tr>
      <w:tr w:rsidR="00B602FC" w:rsidRPr="00CF7621" w14:paraId="1B84273C" w14:textId="77777777" w:rsidTr="00B00601">
        <w:trPr>
          <w:trHeight w:val="250"/>
        </w:trPr>
        <w:tc>
          <w:tcPr>
            <w:tcW w:w="3710" w:type="dxa"/>
            <w:shd w:val="clear" w:color="auto" w:fill="auto"/>
            <w:noWrap/>
            <w:vAlign w:val="center"/>
            <w:hideMark/>
          </w:tcPr>
          <w:p w14:paraId="124BCCC3" w14:textId="77777777" w:rsidR="00B602FC" w:rsidRPr="00CF7621" w:rsidRDefault="00B602FC" w:rsidP="00B602FC">
            <w:pPr>
              <w:rPr>
                <w:rFonts w:asciiTheme="minorHAnsi" w:hAnsiTheme="minorHAnsi" w:cs="Arial"/>
                <w:color w:val="000000"/>
                <w:sz w:val="22"/>
                <w:szCs w:val="22"/>
              </w:rPr>
            </w:pPr>
            <w:r w:rsidRPr="00CF7621">
              <w:rPr>
                <w:rFonts w:asciiTheme="minorHAnsi" w:hAnsiTheme="minorHAnsi" w:cs="Arial"/>
                <w:color w:val="000000"/>
                <w:sz w:val="22"/>
                <w:szCs w:val="22"/>
              </w:rPr>
              <w:t>Sale of tender forms</w:t>
            </w:r>
          </w:p>
        </w:tc>
        <w:tc>
          <w:tcPr>
            <w:tcW w:w="2488" w:type="dxa"/>
            <w:shd w:val="clear" w:color="auto" w:fill="auto"/>
            <w:noWrap/>
            <w:vAlign w:val="center"/>
            <w:hideMark/>
          </w:tcPr>
          <w:p w14:paraId="00FB1A4D" w14:textId="77777777" w:rsidR="00B602FC" w:rsidRPr="00CF7621" w:rsidRDefault="00B602FC" w:rsidP="00CF7621">
            <w:pPr>
              <w:jc w:val="center"/>
              <w:rPr>
                <w:rFonts w:asciiTheme="minorHAnsi" w:hAnsiTheme="minorHAnsi" w:cs="Arial"/>
                <w:sz w:val="22"/>
                <w:szCs w:val="22"/>
              </w:rPr>
            </w:pPr>
            <w:r w:rsidRPr="00CF7621">
              <w:rPr>
                <w:rFonts w:asciiTheme="minorHAnsi" w:hAnsiTheme="minorHAnsi" w:cs="Arial"/>
                <w:sz w:val="22"/>
                <w:szCs w:val="22"/>
              </w:rPr>
              <w:t>0.16</w:t>
            </w:r>
          </w:p>
        </w:tc>
        <w:tc>
          <w:tcPr>
            <w:tcW w:w="2696" w:type="dxa"/>
            <w:shd w:val="clear" w:color="auto" w:fill="auto"/>
            <w:noWrap/>
            <w:vAlign w:val="center"/>
            <w:hideMark/>
          </w:tcPr>
          <w:p w14:paraId="3C2CBE0F" w14:textId="77777777" w:rsidR="00B602FC" w:rsidRPr="00CF7621" w:rsidRDefault="00B602FC" w:rsidP="00CF7621">
            <w:pPr>
              <w:jc w:val="center"/>
              <w:rPr>
                <w:rFonts w:asciiTheme="minorHAnsi" w:hAnsiTheme="minorHAnsi" w:cs="Arial"/>
                <w:color w:val="000000"/>
                <w:sz w:val="22"/>
                <w:szCs w:val="22"/>
              </w:rPr>
            </w:pPr>
            <w:r w:rsidRPr="00CF7621">
              <w:rPr>
                <w:rFonts w:asciiTheme="minorHAnsi" w:hAnsiTheme="minorHAnsi" w:cs="Arial"/>
                <w:color w:val="000000"/>
                <w:sz w:val="22"/>
                <w:szCs w:val="22"/>
              </w:rPr>
              <w:t>0.16</w:t>
            </w:r>
          </w:p>
        </w:tc>
      </w:tr>
      <w:tr w:rsidR="00B602FC" w:rsidRPr="00CF7621" w14:paraId="753DBC52" w14:textId="77777777" w:rsidTr="00B00601">
        <w:trPr>
          <w:trHeight w:val="250"/>
        </w:trPr>
        <w:tc>
          <w:tcPr>
            <w:tcW w:w="3710" w:type="dxa"/>
            <w:shd w:val="clear" w:color="auto" w:fill="auto"/>
            <w:noWrap/>
            <w:vAlign w:val="center"/>
            <w:hideMark/>
          </w:tcPr>
          <w:p w14:paraId="37E1E950" w14:textId="77777777" w:rsidR="00B602FC" w:rsidRPr="00CF7621" w:rsidRDefault="00B602FC" w:rsidP="00B602FC">
            <w:pPr>
              <w:rPr>
                <w:rFonts w:asciiTheme="minorHAnsi" w:hAnsiTheme="minorHAnsi" w:cs="Arial"/>
                <w:color w:val="000000"/>
                <w:sz w:val="22"/>
                <w:szCs w:val="22"/>
              </w:rPr>
            </w:pPr>
            <w:r w:rsidRPr="00CF7621">
              <w:rPr>
                <w:rFonts w:asciiTheme="minorHAnsi" w:hAnsiTheme="minorHAnsi" w:cs="Arial"/>
                <w:color w:val="000000"/>
                <w:sz w:val="22"/>
                <w:szCs w:val="22"/>
              </w:rPr>
              <w:t xml:space="preserve">Other </w:t>
            </w:r>
            <w:proofErr w:type="spellStart"/>
            <w:r w:rsidRPr="00CF7621">
              <w:rPr>
                <w:rFonts w:asciiTheme="minorHAnsi" w:hAnsiTheme="minorHAnsi" w:cs="Arial"/>
                <w:color w:val="000000"/>
                <w:sz w:val="22"/>
                <w:szCs w:val="22"/>
              </w:rPr>
              <w:t>misc</w:t>
            </w:r>
            <w:proofErr w:type="spellEnd"/>
            <w:r w:rsidRPr="00CF7621">
              <w:rPr>
                <w:rFonts w:asciiTheme="minorHAnsi" w:hAnsiTheme="minorHAnsi" w:cs="Arial"/>
                <w:color w:val="000000"/>
                <w:sz w:val="22"/>
                <w:szCs w:val="22"/>
              </w:rPr>
              <w:t xml:space="preserve"> receipts</w:t>
            </w:r>
          </w:p>
        </w:tc>
        <w:tc>
          <w:tcPr>
            <w:tcW w:w="2488" w:type="dxa"/>
            <w:shd w:val="clear" w:color="auto" w:fill="auto"/>
            <w:noWrap/>
            <w:vAlign w:val="center"/>
            <w:hideMark/>
          </w:tcPr>
          <w:p w14:paraId="70C06499" w14:textId="77777777" w:rsidR="00B602FC" w:rsidRPr="00CF7621" w:rsidRDefault="00B602FC" w:rsidP="00CF7621">
            <w:pPr>
              <w:jc w:val="center"/>
              <w:rPr>
                <w:rFonts w:asciiTheme="minorHAnsi" w:hAnsiTheme="minorHAnsi" w:cs="Arial"/>
                <w:sz w:val="22"/>
                <w:szCs w:val="22"/>
              </w:rPr>
            </w:pPr>
            <w:r w:rsidRPr="00CF7621">
              <w:rPr>
                <w:rFonts w:asciiTheme="minorHAnsi" w:hAnsiTheme="minorHAnsi" w:cs="Arial"/>
                <w:sz w:val="22"/>
                <w:szCs w:val="22"/>
              </w:rPr>
              <w:t>0.00</w:t>
            </w:r>
          </w:p>
        </w:tc>
        <w:tc>
          <w:tcPr>
            <w:tcW w:w="2696" w:type="dxa"/>
            <w:shd w:val="clear" w:color="auto" w:fill="auto"/>
            <w:noWrap/>
            <w:vAlign w:val="center"/>
            <w:hideMark/>
          </w:tcPr>
          <w:p w14:paraId="1FE026D0" w14:textId="77777777" w:rsidR="00B602FC" w:rsidRPr="00CF7621" w:rsidRDefault="00B602FC" w:rsidP="00CF7621">
            <w:pPr>
              <w:jc w:val="center"/>
              <w:rPr>
                <w:rFonts w:asciiTheme="minorHAnsi" w:hAnsiTheme="minorHAnsi" w:cs="Arial"/>
                <w:color w:val="000000"/>
                <w:sz w:val="22"/>
                <w:szCs w:val="22"/>
              </w:rPr>
            </w:pPr>
            <w:r w:rsidRPr="00CF7621">
              <w:rPr>
                <w:rFonts w:asciiTheme="minorHAnsi" w:hAnsiTheme="minorHAnsi" w:cs="Arial"/>
                <w:color w:val="000000"/>
                <w:sz w:val="22"/>
                <w:szCs w:val="22"/>
              </w:rPr>
              <w:t>0.00</w:t>
            </w:r>
          </w:p>
        </w:tc>
      </w:tr>
      <w:tr w:rsidR="00B602FC" w:rsidRPr="00CF7621" w14:paraId="63460CEB" w14:textId="77777777" w:rsidTr="00B00601">
        <w:trPr>
          <w:trHeight w:val="250"/>
        </w:trPr>
        <w:tc>
          <w:tcPr>
            <w:tcW w:w="3710" w:type="dxa"/>
            <w:shd w:val="clear" w:color="auto" w:fill="auto"/>
            <w:noWrap/>
            <w:vAlign w:val="center"/>
            <w:hideMark/>
          </w:tcPr>
          <w:p w14:paraId="5C6E8FEC" w14:textId="77777777" w:rsidR="00B602FC" w:rsidRPr="00CF7621" w:rsidRDefault="00B602FC" w:rsidP="00B602FC">
            <w:pPr>
              <w:rPr>
                <w:rFonts w:asciiTheme="minorHAnsi" w:hAnsiTheme="minorHAnsi" w:cs="Arial"/>
                <w:color w:val="000000"/>
                <w:sz w:val="22"/>
                <w:szCs w:val="22"/>
              </w:rPr>
            </w:pPr>
            <w:r w:rsidRPr="00CF7621">
              <w:rPr>
                <w:rFonts w:asciiTheme="minorHAnsi" w:hAnsiTheme="minorHAnsi" w:cs="Arial"/>
                <w:color w:val="000000"/>
                <w:sz w:val="22"/>
                <w:szCs w:val="22"/>
              </w:rPr>
              <w:t>Sale proceeds-scrap</w:t>
            </w:r>
          </w:p>
        </w:tc>
        <w:tc>
          <w:tcPr>
            <w:tcW w:w="2488" w:type="dxa"/>
            <w:shd w:val="clear" w:color="auto" w:fill="auto"/>
            <w:noWrap/>
            <w:vAlign w:val="center"/>
            <w:hideMark/>
          </w:tcPr>
          <w:p w14:paraId="18942D93" w14:textId="77777777" w:rsidR="00B602FC" w:rsidRPr="00CF7621" w:rsidRDefault="00B602FC" w:rsidP="00CF7621">
            <w:pPr>
              <w:jc w:val="center"/>
              <w:rPr>
                <w:rFonts w:asciiTheme="minorHAnsi" w:hAnsiTheme="minorHAnsi" w:cs="Arial"/>
                <w:sz w:val="22"/>
                <w:szCs w:val="22"/>
              </w:rPr>
            </w:pPr>
            <w:r w:rsidRPr="00CF7621">
              <w:rPr>
                <w:rFonts w:asciiTheme="minorHAnsi" w:hAnsiTheme="minorHAnsi" w:cs="Arial"/>
                <w:sz w:val="22"/>
                <w:szCs w:val="22"/>
              </w:rPr>
              <w:t>12.17</w:t>
            </w:r>
          </w:p>
        </w:tc>
        <w:tc>
          <w:tcPr>
            <w:tcW w:w="2696" w:type="dxa"/>
            <w:shd w:val="clear" w:color="auto" w:fill="auto"/>
            <w:noWrap/>
            <w:vAlign w:val="center"/>
            <w:hideMark/>
          </w:tcPr>
          <w:p w14:paraId="07A515E8" w14:textId="77777777" w:rsidR="00B602FC" w:rsidRPr="00CF7621" w:rsidRDefault="00B602FC" w:rsidP="00CF7621">
            <w:pPr>
              <w:jc w:val="center"/>
              <w:rPr>
                <w:rFonts w:asciiTheme="minorHAnsi" w:hAnsiTheme="minorHAnsi" w:cs="Arial"/>
                <w:color w:val="000000"/>
                <w:sz w:val="22"/>
                <w:szCs w:val="22"/>
              </w:rPr>
            </w:pPr>
            <w:r w:rsidRPr="00CF7621">
              <w:rPr>
                <w:rFonts w:asciiTheme="minorHAnsi" w:hAnsiTheme="minorHAnsi" w:cs="Arial"/>
                <w:color w:val="000000"/>
                <w:sz w:val="22"/>
                <w:szCs w:val="22"/>
              </w:rPr>
              <w:t>9.73</w:t>
            </w:r>
          </w:p>
        </w:tc>
      </w:tr>
      <w:tr w:rsidR="00B602FC" w:rsidRPr="00CF7621" w14:paraId="727FA6C7" w14:textId="77777777" w:rsidTr="00B00601">
        <w:trPr>
          <w:trHeight w:val="250"/>
        </w:trPr>
        <w:tc>
          <w:tcPr>
            <w:tcW w:w="3710" w:type="dxa"/>
            <w:shd w:val="clear" w:color="auto" w:fill="auto"/>
            <w:noWrap/>
            <w:vAlign w:val="center"/>
            <w:hideMark/>
          </w:tcPr>
          <w:p w14:paraId="116A7096" w14:textId="77777777" w:rsidR="00B602FC" w:rsidRPr="00CF7621" w:rsidRDefault="00B602FC" w:rsidP="00B602FC">
            <w:pPr>
              <w:rPr>
                <w:rFonts w:asciiTheme="minorHAnsi" w:hAnsiTheme="minorHAnsi" w:cs="Arial"/>
                <w:b/>
                <w:bCs/>
                <w:color w:val="000000"/>
                <w:sz w:val="22"/>
                <w:szCs w:val="22"/>
              </w:rPr>
            </w:pPr>
            <w:r w:rsidRPr="00CF7621">
              <w:rPr>
                <w:rFonts w:asciiTheme="minorHAnsi" w:hAnsiTheme="minorHAnsi" w:cs="Arial"/>
                <w:b/>
                <w:bCs/>
                <w:color w:val="000000"/>
                <w:sz w:val="22"/>
                <w:szCs w:val="22"/>
              </w:rPr>
              <w:t>Total</w:t>
            </w:r>
          </w:p>
        </w:tc>
        <w:tc>
          <w:tcPr>
            <w:tcW w:w="2488" w:type="dxa"/>
            <w:shd w:val="clear" w:color="auto" w:fill="auto"/>
            <w:noWrap/>
            <w:vAlign w:val="center"/>
            <w:hideMark/>
          </w:tcPr>
          <w:p w14:paraId="3B6DDC78" w14:textId="77777777" w:rsidR="00B602FC" w:rsidRPr="00CF7621" w:rsidRDefault="00B602FC" w:rsidP="00CF7621">
            <w:pPr>
              <w:jc w:val="center"/>
              <w:rPr>
                <w:rFonts w:asciiTheme="minorHAnsi" w:hAnsiTheme="minorHAnsi" w:cs="Arial"/>
                <w:b/>
                <w:bCs/>
                <w:sz w:val="22"/>
                <w:szCs w:val="22"/>
              </w:rPr>
            </w:pPr>
            <w:r w:rsidRPr="00CF7621">
              <w:rPr>
                <w:rFonts w:asciiTheme="minorHAnsi" w:hAnsiTheme="minorHAnsi" w:cs="Arial"/>
                <w:b/>
                <w:bCs/>
                <w:sz w:val="22"/>
                <w:szCs w:val="22"/>
              </w:rPr>
              <w:t>126.96</w:t>
            </w:r>
          </w:p>
        </w:tc>
        <w:tc>
          <w:tcPr>
            <w:tcW w:w="2696" w:type="dxa"/>
            <w:shd w:val="clear" w:color="auto" w:fill="auto"/>
            <w:noWrap/>
            <w:vAlign w:val="center"/>
            <w:hideMark/>
          </w:tcPr>
          <w:p w14:paraId="00AFC75B" w14:textId="77777777" w:rsidR="00B602FC" w:rsidRPr="00CF7621" w:rsidRDefault="00B602FC" w:rsidP="00CF7621">
            <w:pPr>
              <w:jc w:val="center"/>
              <w:rPr>
                <w:rFonts w:asciiTheme="minorHAnsi" w:hAnsiTheme="minorHAnsi" w:cs="Arial"/>
                <w:b/>
                <w:bCs/>
                <w:color w:val="000000"/>
                <w:sz w:val="22"/>
                <w:szCs w:val="22"/>
              </w:rPr>
            </w:pPr>
            <w:r w:rsidRPr="00CF7621">
              <w:rPr>
                <w:rFonts w:asciiTheme="minorHAnsi" w:hAnsiTheme="minorHAnsi" w:cs="Arial"/>
                <w:b/>
                <w:bCs/>
                <w:color w:val="000000"/>
                <w:sz w:val="22"/>
                <w:szCs w:val="22"/>
              </w:rPr>
              <w:t>124.53</w:t>
            </w:r>
          </w:p>
        </w:tc>
      </w:tr>
      <w:tr w:rsidR="00B602FC" w:rsidRPr="00CF7621" w14:paraId="687BE589" w14:textId="77777777" w:rsidTr="00B00601">
        <w:trPr>
          <w:trHeight w:val="250"/>
        </w:trPr>
        <w:tc>
          <w:tcPr>
            <w:tcW w:w="3710" w:type="dxa"/>
            <w:shd w:val="clear" w:color="auto" w:fill="auto"/>
            <w:noWrap/>
            <w:vAlign w:val="center"/>
            <w:hideMark/>
          </w:tcPr>
          <w:p w14:paraId="262E0D64" w14:textId="77777777" w:rsidR="00B602FC" w:rsidRPr="00CF7621" w:rsidRDefault="00B602FC" w:rsidP="00B602FC">
            <w:pPr>
              <w:rPr>
                <w:rFonts w:asciiTheme="minorHAnsi" w:hAnsiTheme="minorHAnsi" w:cs="Arial"/>
                <w:b/>
                <w:bCs/>
                <w:color w:val="000000"/>
                <w:sz w:val="22"/>
                <w:szCs w:val="22"/>
              </w:rPr>
            </w:pPr>
            <w:r w:rsidRPr="00CF7621">
              <w:rPr>
                <w:rFonts w:asciiTheme="minorHAnsi" w:hAnsiTheme="minorHAnsi" w:cs="Arial"/>
                <w:b/>
                <w:bCs/>
                <w:color w:val="000000"/>
                <w:sz w:val="22"/>
                <w:szCs w:val="22"/>
              </w:rPr>
              <w:t>Grand Total</w:t>
            </w:r>
          </w:p>
        </w:tc>
        <w:tc>
          <w:tcPr>
            <w:tcW w:w="2488" w:type="dxa"/>
            <w:shd w:val="clear" w:color="auto" w:fill="auto"/>
            <w:noWrap/>
            <w:vAlign w:val="center"/>
            <w:hideMark/>
          </w:tcPr>
          <w:p w14:paraId="4FC48653" w14:textId="77777777" w:rsidR="00B602FC" w:rsidRPr="00CF7621" w:rsidRDefault="00B602FC" w:rsidP="00CF7621">
            <w:pPr>
              <w:jc w:val="center"/>
              <w:rPr>
                <w:rFonts w:asciiTheme="minorHAnsi" w:hAnsiTheme="minorHAnsi" w:cs="Arial"/>
                <w:b/>
                <w:bCs/>
                <w:sz w:val="22"/>
                <w:szCs w:val="22"/>
              </w:rPr>
            </w:pPr>
            <w:r w:rsidRPr="00CF7621">
              <w:rPr>
                <w:rFonts w:asciiTheme="minorHAnsi" w:hAnsiTheme="minorHAnsi" w:cs="Arial"/>
                <w:b/>
                <w:bCs/>
                <w:sz w:val="22"/>
                <w:szCs w:val="22"/>
              </w:rPr>
              <w:t>178.80</w:t>
            </w:r>
          </w:p>
        </w:tc>
        <w:tc>
          <w:tcPr>
            <w:tcW w:w="2696" w:type="dxa"/>
            <w:shd w:val="clear" w:color="auto" w:fill="auto"/>
            <w:noWrap/>
            <w:vAlign w:val="center"/>
            <w:hideMark/>
          </w:tcPr>
          <w:p w14:paraId="4162058E" w14:textId="77777777" w:rsidR="00B602FC" w:rsidRPr="00CF7621" w:rsidRDefault="00B602FC" w:rsidP="00CF7621">
            <w:pPr>
              <w:jc w:val="center"/>
              <w:rPr>
                <w:rFonts w:asciiTheme="minorHAnsi" w:hAnsiTheme="minorHAnsi" w:cs="Arial"/>
                <w:b/>
                <w:bCs/>
                <w:color w:val="000000"/>
                <w:sz w:val="22"/>
                <w:szCs w:val="22"/>
              </w:rPr>
            </w:pPr>
            <w:r w:rsidRPr="00CF7621">
              <w:rPr>
                <w:rFonts w:asciiTheme="minorHAnsi" w:hAnsiTheme="minorHAnsi" w:cs="Arial"/>
                <w:b/>
                <w:bCs/>
                <w:color w:val="000000"/>
                <w:sz w:val="22"/>
                <w:szCs w:val="22"/>
              </w:rPr>
              <w:t>196.36</w:t>
            </w:r>
          </w:p>
        </w:tc>
      </w:tr>
      <w:tr w:rsidR="00B602FC" w:rsidRPr="00CF7621" w14:paraId="14214118" w14:textId="77777777" w:rsidTr="00B00601">
        <w:trPr>
          <w:trHeight w:val="250"/>
        </w:trPr>
        <w:tc>
          <w:tcPr>
            <w:tcW w:w="3710" w:type="dxa"/>
            <w:shd w:val="clear" w:color="auto" w:fill="auto"/>
            <w:noWrap/>
            <w:vAlign w:val="center"/>
            <w:hideMark/>
          </w:tcPr>
          <w:p w14:paraId="7421A783" w14:textId="77777777" w:rsidR="00B602FC" w:rsidRPr="00CF7621" w:rsidRDefault="00B602FC" w:rsidP="00B602FC">
            <w:pPr>
              <w:rPr>
                <w:rFonts w:asciiTheme="minorHAnsi" w:hAnsiTheme="minorHAnsi" w:cs="Arial"/>
                <w:b/>
                <w:bCs/>
                <w:color w:val="000000"/>
                <w:sz w:val="22"/>
                <w:szCs w:val="22"/>
              </w:rPr>
            </w:pPr>
            <w:r w:rsidRPr="00CF7621">
              <w:rPr>
                <w:rFonts w:asciiTheme="minorHAnsi" w:hAnsiTheme="minorHAnsi" w:cs="Arial"/>
                <w:b/>
                <w:bCs/>
                <w:color w:val="000000"/>
                <w:sz w:val="22"/>
                <w:szCs w:val="22"/>
              </w:rPr>
              <w:t>Less: Rebate offered to consumers</w:t>
            </w:r>
          </w:p>
        </w:tc>
        <w:tc>
          <w:tcPr>
            <w:tcW w:w="2488" w:type="dxa"/>
            <w:shd w:val="clear" w:color="auto" w:fill="auto"/>
            <w:noWrap/>
            <w:vAlign w:val="center"/>
            <w:hideMark/>
          </w:tcPr>
          <w:p w14:paraId="4A243843" w14:textId="77777777" w:rsidR="00B602FC" w:rsidRPr="00CF7621" w:rsidRDefault="00B602FC" w:rsidP="00CF7621">
            <w:pPr>
              <w:jc w:val="center"/>
              <w:rPr>
                <w:rFonts w:asciiTheme="minorHAnsi" w:hAnsiTheme="minorHAnsi" w:cs="Arial"/>
                <w:b/>
                <w:bCs/>
                <w:color w:val="000000"/>
                <w:sz w:val="22"/>
                <w:szCs w:val="22"/>
              </w:rPr>
            </w:pPr>
            <w:r w:rsidRPr="00CF7621">
              <w:rPr>
                <w:rFonts w:asciiTheme="minorHAnsi" w:hAnsiTheme="minorHAnsi" w:cs="Arial"/>
                <w:b/>
                <w:bCs/>
                <w:color w:val="000000"/>
                <w:sz w:val="22"/>
                <w:szCs w:val="22"/>
              </w:rPr>
              <w:t>-42.57</w:t>
            </w:r>
          </w:p>
        </w:tc>
        <w:tc>
          <w:tcPr>
            <w:tcW w:w="2696" w:type="dxa"/>
            <w:shd w:val="clear" w:color="auto" w:fill="auto"/>
            <w:noWrap/>
            <w:vAlign w:val="center"/>
            <w:hideMark/>
          </w:tcPr>
          <w:p w14:paraId="6A8F3CED" w14:textId="77777777" w:rsidR="00B602FC" w:rsidRPr="00CF7621" w:rsidRDefault="00B602FC" w:rsidP="00CF7621">
            <w:pPr>
              <w:jc w:val="center"/>
              <w:rPr>
                <w:rFonts w:asciiTheme="minorHAnsi" w:hAnsiTheme="minorHAnsi" w:cs="Arial"/>
                <w:b/>
                <w:bCs/>
                <w:color w:val="000000"/>
                <w:sz w:val="22"/>
                <w:szCs w:val="22"/>
              </w:rPr>
            </w:pPr>
            <w:r w:rsidRPr="00CF7621">
              <w:rPr>
                <w:rFonts w:asciiTheme="minorHAnsi" w:hAnsiTheme="minorHAnsi" w:cs="Arial"/>
                <w:b/>
                <w:bCs/>
                <w:color w:val="000000"/>
                <w:sz w:val="22"/>
                <w:szCs w:val="22"/>
              </w:rPr>
              <w:t>-47.30</w:t>
            </w:r>
          </w:p>
        </w:tc>
      </w:tr>
      <w:tr w:rsidR="00B602FC" w:rsidRPr="00CF7621" w14:paraId="1D6B10A8" w14:textId="77777777" w:rsidTr="00B00601">
        <w:trPr>
          <w:trHeight w:val="250"/>
        </w:trPr>
        <w:tc>
          <w:tcPr>
            <w:tcW w:w="3710" w:type="dxa"/>
            <w:shd w:val="clear" w:color="auto" w:fill="auto"/>
            <w:noWrap/>
            <w:vAlign w:val="center"/>
            <w:hideMark/>
          </w:tcPr>
          <w:p w14:paraId="5ACAE5E5" w14:textId="57E77C93" w:rsidR="00B602FC" w:rsidRPr="00CF7621" w:rsidRDefault="00B602FC" w:rsidP="00B602FC">
            <w:pPr>
              <w:rPr>
                <w:rFonts w:asciiTheme="minorHAnsi" w:hAnsiTheme="minorHAnsi" w:cs="Arial"/>
                <w:color w:val="000000"/>
                <w:sz w:val="22"/>
                <w:szCs w:val="22"/>
              </w:rPr>
            </w:pPr>
            <w:r w:rsidRPr="00CF7621">
              <w:rPr>
                <w:rFonts w:asciiTheme="minorHAnsi" w:hAnsiTheme="minorHAnsi" w:cs="Arial"/>
                <w:color w:val="000000"/>
                <w:sz w:val="22"/>
                <w:szCs w:val="22"/>
              </w:rPr>
              <w:t>Rebate on BSP prompt p</w:t>
            </w:r>
            <w:r w:rsidR="00CF7621">
              <w:rPr>
                <w:rFonts w:asciiTheme="minorHAnsi" w:hAnsiTheme="minorHAnsi" w:cs="Arial"/>
                <w:color w:val="000000"/>
                <w:sz w:val="22"/>
                <w:szCs w:val="22"/>
              </w:rPr>
              <w:t>ayment</w:t>
            </w:r>
          </w:p>
        </w:tc>
        <w:tc>
          <w:tcPr>
            <w:tcW w:w="2488" w:type="dxa"/>
            <w:shd w:val="clear" w:color="auto" w:fill="auto"/>
            <w:noWrap/>
            <w:vAlign w:val="center"/>
            <w:hideMark/>
          </w:tcPr>
          <w:p w14:paraId="34E27A87" w14:textId="77777777" w:rsidR="00B602FC" w:rsidRPr="00CF7621" w:rsidRDefault="00B602FC" w:rsidP="00CF7621">
            <w:pPr>
              <w:jc w:val="center"/>
              <w:rPr>
                <w:rFonts w:asciiTheme="minorHAnsi" w:hAnsiTheme="minorHAnsi" w:cs="Arial"/>
                <w:sz w:val="22"/>
                <w:szCs w:val="22"/>
              </w:rPr>
            </w:pPr>
            <w:r w:rsidRPr="00CF7621">
              <w:rPr>
                <w:rFonts w:asciiTheme="minorHAnsi" w:hAnsiTheme="minorHAnsi" w:cs="Arial"/>
                <w:sz w:val="22"/>
                <w:szCs w:val="22"/>
              </w:rPr>
              <w:t>30.07</w:t>
            </w:r>
          </w:p>
        </w:tc>
        <w:tc>
          <w:tcPr>
            <w:tcW w:w="2696" w:type="dxa"/>
            <w:shd w:val="clear" w:color="auto" w:fill="auto"/>
            <w:noWrap/>
            <w:vAlign w:val="center"/>
            <w:hideMark/>
          </w:tcPr>
          <w:p w14:paraId="6F835BF1" w14:textId="77777777" w:rsidR="00B602FC" w:rsidRPr="00CF7621" w:rsidRDefault="00B602FC" w:rsidP="00CF7621">
            <w:pPr>
              <w:jc w:val="center"/>
              <w:rPr>
                <w:rFonts w:asciiTheme="minorHAnsi" w:hAnsiTheme="minorHAnsi" w:cs="Arial"/>
                <w:color w:val="000000"/>
                <w:sz w:val="22"/>
                <w:szCs w:val="22"/>
              </w:rPr>
            </w:pPr>
            <w:r w:rsidRPr="00CF7621">
              <w:rPr>
                <w:rFonts w:asciiTheme="minorHAnsi" w:hAnsiTheme="minorHAnsi" w:cs="Arial"/>
                <w:color w:val="000000"/>
                <w:sz w:val="22"/>
                <w:szCs w:val="22"/>
              </w:rPr>
              <w:t>32.62</w:t>
            </w:r>
          </w:p>
        </w:tc>
      </w:tr>
      <w:tr w:rsidR="00B602FC" w:rsidRPr="00CF7621" w14:paraId="1EDA03E5" w14:textId="77777777" w:rsidTr="00B00601">
        <w:trPr>
          <w:trHeight w:val="403"/>
        </w:trPr>
        <w:tc>
          <w:tcPr>
            <w:tcW w:w="3710" w:type="dxa"/>
            <w:shd w:val="clear" w:color="auto" w:fill="95B3D7" w:themeFill="accent1" w:themeFillTint="99"/>
            <w:noWrap/>
            <w:vAlign w:val="center"/>
            <w:hideMark/>
          </w:tcPr>
          <w:p w14:paraId="2F6ACA49" w14:textId="77777777" w:rsidR="00B602FC" w:rsidRPr="00CF7621" w:rsidRDefault="00B602FC" w:rsidP="00B602FC">
            <w:pPr>
              <w:rPr>
                <w:rFonts w:asciiTheme="minorHAnsi" w:hAnsiTheme="minorHAnsi" w:cs="Arial"/>
                <w:b/>
                <w:bCs/>
                <w:color w:val="000000"/>
                <w:sz w:val="22"/>
                <w:szCs w:val="22"/>
              </w:rPr>
            </w:pPr>
            <w:r w:rsidRPr="00CF7621">
              <w:rPr>
                <w:rFonts w:asciiTheme="minorHAnsi" w:hAnsiTheme="minorHAnsi" w:cs="Arial"/>
                <w:b/>
                <w:bCs/>
                <w:color w:val="000000"/>
                <w:sz w:val="22"/>
                <w:szCs w:val="22"/>
              </w:rPr>
              <w:t>Total</w:t>
            </w:r>
          </w:p>
        </w:tc>
        <w:tc>
          <w:tcPr>
            <w:tcW w:w="2488" w:type="dxa"/>
            <w:shd w:val="clear" w:color="auto" w:fill="95B3D7" w:themeFill="accent1" w:themeFillTint="99"/>
            <w:noWrap/>
            <w:vAlign w:val="center"/>
            <w:hideMark/>
          </w:tcPr>
          <w:p w14:paraId="2EDF1069" w14:textId="77777777" w:rsidR="00B602FC" w:rsidRPr="00CF7621" w:rsidRDefault="00B602FC" w:rsidP="00CF7621">
            <w:pPr>
              <w:jc w:val="center"/>
              <w:rPr>
                <w:rFonts w:asciiTheme="minorHAnsi" w:hAnsiTheme="minorHAnsi" w:cs="Arial"/>
                <w:b/>
                <w:bCs/>
                <w:sz w:val="22"/>
                <w:szCs w:val="22"/>
              </w:rPr>
            </w:pPr>
            <w:r w:rsidRPr="00CF7621">
              <w:rPr>
                <w:rFonts w:asciiTheme="minorHAnsi" w:hAnsiTheme="minorHAnsi" w:cs="Arial"/>
                <w:b/>
                <w:bCs/>
                <w:sz w:val="22"/>
                <w:szCs w:val="22"/>
              </w:rPr>
              <w:t>166.30</w:t>
            </w:r>
          </w:p>
        </w:tc>
        <w:tc>
          <w:tcPr>
            <w:tcW w:w="2696" w:type="dxa"/>
            <w:shd w:val="clear" w:color="auto" w:fill="95B3D7" w:themeFill="accent1" w:themeFillTint="99"/>
            <w:noWrap/>
            <w:vAlign w:val="center"/>
            <w:hideMark/>
          </w:tcPr>
          <w:p w14:paraId="3E856755" w14:textId="77777777" w:rsidR="00B602FC" w:rsidRPr="00CF7621" w:rsidRDefault="00B602FC" w:rsidP="00CF7621">
            <w:pPr>
              <w:jc w:val="center"/>
              <w:rPr>
                <w:rFonts w:asciiTheme="minorHAnsi" w:hAnsiTheme="minorHAnsi" w:cs="Arial"/>
                <w:b/>
                <w:bCs/>
                <w:color w:val="000000"/>
                <w:sz w:val="22"/>
                <w:szCs w:val="22"/>
              </w:rPr>
            </w:pPr>
            <w:r w:rsidRPr="00CF7621">
              <w:rPr>
                <w:rFonts w:asciiTheme="minorHAnsi" w:hAnsiTheme="minorHAnsi" w:cs="Arial"/>
                <w:b/>
                <w:bCs/>
                <w:color w:val="000000"/>
                <w:sz w:val="22"/>
                <w:szCs w:val="22"/>
              </w:rPr>
              <w:t>181.69</w:t>
            </w:r>
          </w:p>
        </w:tc>
      </w:tr>
    </w:tbl>
    <w:p w14:paraId="06C83E70" w14:textId="77777777" w:rsidR="00B602FC" w:rsidRPr="00CF7621" w:rsidRDefault="00B602FC" w:rsidP="00CF7621">
      <w:pPr>
        <w:spacing w:line="360" w:lineRule="auto"/>
        <w:jc w:val="both"/>
        <w:rPr>
          <w:rFonts w:asciiTheme="minorHAnsi" w:hAnsiTheme="minorHAnsi" w:cstheme="minorHAnsi"/>
          <w:b/>
        </w:rPr>
      </w:pPr>
    </w:p>
    <w:p w14:paraId="3AD52E09" w14:textId="7DE2F46F" w:rsidR="00AB7580" w:rsidRPr="00CF7621" w:rsidRDefault="00965230" w:rsidP="003457BB">
      <w:pPr>
        <w:pStyle w:val="ListParagraph"/>
        <w:spacing w:line="360" w:lineRule="auto"/>
        <w:ind w:left="567"/>
        <w:jc w:val="both"/>
        <w:rPr>
          <w:rFonts w:asciiTheme="minorHAnsi" w:hAnsiTheme="minorHAnsi" w:cstheme="minorHAnsi"/>
          <w:b/>
        </w:rPr>
      </w:pPr>
      <w:r w:rsidRPr="00CF7621">
        <w:rPr>
          <w:rFonts w:asciiTheme="minorHAnsi" w:hAnsiTheme="minorHAnsi" w:cstheme="minorHAnsi"/>
          <w:b/>
        </w:rPr>
        <w:t xml:space="preserve">TPNODL has proposed </w:t>
      </w:r>
      <w:r w:rsidR="001A2772" w:rsidRPr="00CF7621">
        <w:rPr>
          <w:rFonts w:asciiTheme="minorHAnsi" w:hAnsiTheme="minorHAnsi" w:cstheme="minorHAnsi"/>
          <w:b/>
        </w:rPr>
        <w:t>Rs.</w:t>
      </w:r>
      <w:r w:rsidR="00922C51" w:rsidRPr="00CF7621">
        <w:rPr>
          <w:rFonts w:asciiTheme="minorHAnsi" w:hAnsiTheme="minorHAnsi" w:cstheme="minorHAnsi"/>
          <w:b/>
        </w:rPr>
        <w:t xml:space="preserve"> </w:t>
      </w:r>
      <w:r w:rsidR="000C7737" w:rsidRPr="00CF7621">
        <w:rPr>
          <w:rFonts w:asciiTheme="minorHAnsi" w:hAnsiTheme="minorHAnsi" w:cstheme="minorHAnsi"/>
          <w:b/>
        </w:rPr>
        <w:t>181.69</w:t>
      </w:r>
      <w:r w:rsidRPr="00CF7621">
        <w:rPr>
          <w:rFonts w:asciiTheme="minorHAnsi" w:hAnsiTheme="minorHAnsi" w:cstheme="minorHAnsi"/>
          <w:b/>
        </w:rPr>
        <w:t xml:space="preserve"> </w:t>
      </w:r>
      <w:proofErr w:type="spellStart"/>
      <w:r w:rsidRPr="00CF7621">
        <w:rPr>
          <w:rFonts w:asciiTheme="minorHAnsi" w:hAnsiTheme="minorHAnsi" w:cstheme="minorHAnsi"/>
          <w:b/>
        </w:rPr>
        <w:t>Crs</w:t>
      </w:r>
      <w:proofErr w:type="spellEnd"/>
      <w:r w:rsidRPr="00CF7621">
        <w:rPr>
          <w:rFonts w:asciiTheme="minorHAnsi" w:hAnsiTheme="minorHAnsi" w:cstheme="minorHAnsi"/>
          <w:b/>
        </w:rPr>
        <w:t xml:space="preserve">. </w:t>
      </w:r>
      <w:r w:rsidR="00C04530" w:rsidRPr="00CF7621">
        <w:rPr>
          <w:rFonts w:asciiTheme="minorHAnsi" w:hAnsiTheme="minorHAnsi" w:cstheme="minorHAnsi"/>
          <w:b/>
        </w:rPr>
        <w:t>a</w:t>
      </w:r>
      <w:r w:rsidRPr="00CF7621">
        <w:rPr>
          <w:rFonts w:asciiTheme="minorHAnsi" w:hAnsiTheme="minorHAnsi" w:cstheme="minorHAnsi"/>
          <w:b/>
        </w:rPr>
        <w:t>s Non-Tariff Income for the ensuing year FY 202</w:t>
      </w:r>
      <w:r w:rsidR="000C7737" w:rsidRPr="00CF7621">
        <w:rPr>
          <w:rFonts w:asciiTheme="minorHAnsi" w:hAnsiTheme="minorHAnsi" w:cstheme="minorHAnsi"/>
          <w:b/>
        </w:rPr>
        <w:t>5</w:t>
      </w:r>
      <w:r w:rsidRPr="00CF7621">
        <w:rPr>
          <w:rFonts w:asciiTheme="minorHAnsi" w:hAnsiTheme="minorHAnsi" w:cstheme="minorHAnsi"/>
          <w:b/>
        </w:rPr>
        <w:t>-2</w:t>
      </w:r>
      <w:r w:rsidR="000C7737" w:rsidRPr="00CF7621">
        <w:rPr>
          <w:rFonts w:asciiTheme="minorHAnsi" w:hAnsiTheme="minorHAnsi" w:cstheme="minorHAnsi"/>
          <w:b/>
        </w:rPr>
        <w:t>6</w:t>
      </w:r>
      <w:r w:rsidRPr="00CF7621">
        <w:rPr>
          <w:rFonts w:asciiTheme="minorHAnsi" w:hAnsiTheme="minorHAnsi" w:cstheme="minorHAnsi"/>
          <w:b/>
        </w:rPr>
        <w:t>.</w:t>
      </w:r>
      <w:bookmarkStart w:id="1" w:name="_Toc89193063"/>
    </w:p>
    <w:p w14:paraId="27AB467D" w14:textId="0E46526F" w:rsidR="009D4C3B" w:rsidRPr="00B00601" w:rsidRDefault="009D4C3B" w:rsidP="00EC1C3C">
      <w:pPr>
        <w:pStyle w:val="Heading2"/>
        <w:spacing w:line="360" w:lineRule="auto"/>
        <w:ind w:left="567"/>
        <w:rPr>
          <w:rFonts w:asciiTheme="minorHAnsi" w:hAnsiTheme="minorHAnsi" w:cstheme="minorHAnsi"/>
          <w:i w:val="0"/>
          <w:sz w:val="24"/>
          <w:szCs w:val="22"/>
        </w:rPr>
      </w:pPr>
      <w:r w:rsidRPr="00B00601">
        <w:rPr>
          <w:rFonts w:asciiTheme="minorHAnsi" w:hAnsiTheme="minorHAnsi" w:cstheme="minorHAnsi"/>
          <w:i w:val="0"/>
          <w:sz w:val="24"/>
          <w:szCs w:val="22"/>
        </w:rPr>
        <w:t xml:space="preserve">3.2 Aggregate Revenue </w:t>
      </w:r>
      <w:r w:rsidR="00B16019" w:rsidRPr="00B00601">
        <w:rPr>
          <w:rFonts w:asciiTheme="minorHAnsi" w:hAnsiTheme="minorHAnsi" w:cstheme="minorHAnsi"/>
          <w:i w:val="0"/>
          <w:sz w:val="24"/>
          <w:szCs w:val="22"/>
        </w:rPr>
        <w:t>Requirement (</w:t>
      </w:r>
      <w:r w:rsidRPr="00B00601">
        <w:rPr>
          <w:rFonts w:asciiTheme="minorHAnsi" w:hAnsiTheme="minorHAnsi" w:cstheme="minorHAnsi"/>
          <w:i w:val="0"/>
          <w:sz w:val="24"/>
          <w:szCs w:val="22"/>
        </w:rPr>
        <w:t>ARR)</w:t>
      </w:r>
      <w:bookmarkEnd w:id="1"/>
    </w:p>
    <w:p w14:paraId="749B9D97" w14:textId="77777777" w:rsidR="006F48A4" w:rsidRPr="00153204" w:rsidRDefault="006F48A4" w:rsidP="002334A3">
      <w:pPr>
        <w:rPr>
          <w:rFonts w:asciiTheme="minorHAnsi" w:hAnsiTheme="minorHAnsi" w:cstheme="minorHAnsi"/>
          <w:sz w:val="22"/>
          <w:szCs w:val="22"/>
        </w:rPr>
      </w:pPr>
    </w:p>
    <w:p w14:paraId="70BBE74C" w14:textId="4D164AA2" w:rsidR="009D4C3B" w:rsidRPr="00153204" w:rsidRDefault="009D4C3B" w:rsidP="00EC1C3C">
      <w:pPr>
        <w:spacing w:line="360" w:lineRule="auto"/>
        <w:ind w:left="567"/>
        <w:jc w:val="both"/>
        <w:rPr>
          <w:rFonts w:asciiTheme="minorHAnsi" w:hAnsiTheme="minorHAnsi" w:cstheme="minorHAnsi"/>
          <w:sz w:val="22"/>
          <w:szCs w:val="22"/>
        </w:rPr>
      </w:pPr>
      <w:r w:rsidRPr="00153204">
        <w:rPr>
          <w:rFonts w:asciiTheme="minorHAnsi" w:hAnsiTheme="minorHAnsi" w:cstheme="minorHAnsi"/>
          <w:sz w:val="22"/>
          <w:szCs w:val="22"/>
        </w:rPr>
        <w:t xml:space="preserve">As per the Tariff Regulations, the ARR needs to be worked out for Wheeling and Retail Supply business separately. However, such segregation requires expenses separately for Wires and Retail Supply business. In addition, the O&amp;M expenditure also needs to be segregated separately. At this point of time, TPNODL has not segregated the same. Further, even the Hon'ble Commission has approved the expenditure under various heads for both the businesses together and has </w:t>
      </w:r>
      <w:r w:rsidR="001B1DD9" w:rsidRPr="00153204">
        <w:rPr>
          <w:rFonts w:asciiTheme="minorHAnsi" w:hAnsiTheme="minorHAnsi" w:cstheme="minorHAnsi"/>
          <w:sz w:val="22"/>
          <w:szCs w:val="22"/>
        </w:rPr>
        <w:t>approved the</w:t>
      </w:r>
      <w:r w:rsidRPr="00153204">
        <w:rPr>
          <w:rFonts w:asciiTheme="minorHAnsi" w:hAnsiTheme="minorHAnsi" w:cstheme="minorHAnsi"/>
          <w:sz w:val="22"/>
          <w:szCs w:val="22"/>
        </w:rPr>
        <w:t xml:space="preserve"> segregation under pre-defined ratio. </w:t>
      </w:r>
    </w:p>
    <w:p w14:paraId="73A55028" w14:textId="77777777" w:rsidR="009D4C3B" w:rsidRPr="00153204" w:rsidRDefault="009D4C3B" w:rsidP="00EC1C3C">
      <w:pPr>
        <w:spacing w:line="360" w:lineRule="auto"/>
        <w:ind w:left="567"/>
        <w:jc w:val="both"/>
        <w:rPr>
          <w:rFonts w:asciiTheme="minorHAnsi" w:hAnsiTheme="minorHAnsi" w:cstheme="minorHAnsi"/>
          <w:sz w:val="22"/>
          <w:szCs w:val="22"/>
        </w:rPr>
      </w:pPr>
    </w:p>
    <w:p w14:paraId="280110FC" w14:textId="4CA08F6A" w:rsidR="009D4C3B" w:rsidRPr="00153204" w:rsidRDefault="009D4C3B" w:rsidP="00EC1C3C">
      <w:pPr>
        <w:spacing w:line="360" w:lineRule="auto"/>
        <w:ind w:left="567"/>
        <w:jc w:val="both"/>
        <w:rPr>
          <w:rFonts w:asciiTheme="minorHAnsi" w:hAnsiTheme="minorHAnsi" w:cstheme="minorHAnsi"/>
          <w:sz w:val="22"/>
          <w:szCs w:val="22"/>
        </w:rPr>
      </w:pPr>
      <w:r w:rsidRPr="00153204">
        <w:rPr>
          <w:rFonts w:asciiTheme="minorHAnsi" w:hAnsiTheme="minorHAnsi" w:cstheme="minorHAnsi"/>
          <w:sz w:val="22"/>
          <w:szCs w:val="22"/>
        </w:rPr>
        <w:t xml:space="preserve">In view of the same, the licensee is placing before the Hon’ble </w:t>
      </w:r>
      <w:r w:rsidR="001B1DD9" w:rsidRPr="00153204">
        <w:rPr>
          <w:rFonts w:asciiTheme="minorHAnsi" w:hAnsiTheme="minorHAnsi" w:cstheme="minorHAnsi"/>
          <w:sz w:val="22"/>
          <w:szCs w:val="22"/>
        </w:rPr>
        <w:t>Commission the</w:t>
      </w:r>
      <w:r w:rsidRPr="00153204">
        <w:rPr>
          <w:rFonts w:asciiTheme="minorHAnsi" w:hAnsiTheme="minorHAnsi" w:cstheme="minorHAnsi"/>
          <w:sz w:val="22"/>
          <w:szCs w:val="22"/>
        </w:rPr>
        <w:t xml:space="preserve"> ARR for the combined business </w:t>
      </w:r>
      <w:proofErr w:type="spellStart"/>
      <w:r w:rsidRPr="00153204">
        <w:rPr>
          <w:rFonts w:asciiTheme="minorHAnsi" w:hAnsiTheme="minorHAnsi" w:cstheme="minorHAnsi"/>
          <w:sz w:val="22"/>
          <w:szCs w:val="22"/>
        </w:rPr>
        <w:t>i.e</w:t>
      </w:r>
      <w:proofErr w:type="spellEnd"/>
      <w:r w:rsidRPr="00153204">
        <w:rPr>
          <w:rFonts w:asciiTheme="minorHAnsi" w:hAnsiTheme="minorHAnsi" w:cstheme="minorHAnsi"/>
          <w:sz w:val="22"/>
          <w:szCs w:val="22"/>
        </w:rPr>
        <w:t xml:space="preserve"> Wheeling and Retail Supply as such for the two periods on the basis of the projections so far. However, in this submission, for the purpose of working out the Wheeling Charges, we have segregated the expenditure on the basis of the ratios used by the Hon'ble Commission in the various tariff orders. </w:t>
      </w:r>
    </w:p>
    <w:p w14:paraId="62957F6E" w14:textId="4ED0A9EB" w:rsidR="008C38BA" w:rsidRPr="00B602FC" w:rsidRDefault="009D4C3B" w:rsidP="00B602FC">
      <w:pPr>
        <w:spacing w:line="360" w:lineRule="auto"/>
        <w:ind w:left="567"/>
        <w:rPr>
          <w:rFonts w:asciiTheme="minorHAnsi" w:hAnsiTheme="minorHAnsi" w:cstheme="minorHAnsi"/>
          <w:sz w:val="22"/>
          <w:szCs w:val="22"/>
        </w:rPr>
      </w:pPr>
      <w:r w:rsidRPr="00153204">
        <w:rPr>
          <w:rFonts w:asciiTheme="minorHAnsi" w:hAnsiTheme="minorHAnsi" w:cstheme="minorHAnsi"/>
          <w:sz w:val="22"/>
          <w:szCs w:val="22"/>
        </w:rPr>
        <w:lastRenderedPageBreak/>
        <w:t xml:space="preserve">The ARR for the </w:t>
      </w:r>
      <w:r w:rsidR="000C1458" w:rsidRPr="00153204">
        <w:rPr>
          <w:rFonts w:asciiTheme="minorHAnsi" w:hAnsiTheme="minorHAnsi" w:cstheme="minorHAnsi"/>
          <w:sz w:val="22"/>
          <w:szCs w:val="22"/>
        </w:rPr>
        <w:t>ensuing year FY 202</w:t>
      </w:r>
      <w:r w:rsidR="009505CA">
        <w:rPr>
          <w:rFonts w:asciiTheme="minorHAnsi" w:hAnsiTheme="minorHAnsi" w:cstheme="minorHAnsi"/>
          <w:sz w:val="22"/>
          <w:szCs w:val="22"/>
        </w:rPr>
        <w:t>5</w:t>
      </w:r>
      <w:r w:rsidRPr="00153204">
        <w:rPr>
          <w:rFonts w:asciiTheme="minorHAnsi" w:hAnsiTheme="minorHAnsi" w:cstheme="minorHAnsi"/>
          <w:sz w:val="22"/>
          <w:szCs w:val="22"/>
        </w:rPr>
        <w:t>-2</w:t>
      </w:r>
      <w:r w:rsidR="009505CA">
        <w:rPr>
          <w:rFonts w:asciiTheme="minorHAnsi" w:hAnsiTheme="minorHAnsi" w:cstheme="minorHAnsi"/>
          <w:sz w:val="22"/>
          <w:szCs w:val="22"/>
        </w:rPr>
        <w:t>6</w:t>
      </w:r>
      <w:r w:rsidRPr="00153204">
        <w:rPr>
          <w:rFonts w:asciiTheme="minorHAnsi" w:hAnsiTheme="minorHAnsi" w:cstheme="minorHAnsi"/>
          <w:sz w:val="22"/>
          <w:szCs w:val="22"/>
        </w:rPr>
        <w:t xml:space="preserve"> is computed and presented </w:t>
      </w:r>
      <w:r w:rsidR="00DA084E" w:rsidRPr="00153204">
        <w:rPr>
          <w:rFonts w:asciiTheme="minorHAnsi" w:hAnsiTheme="minorHAnsi" w:cstheme="minorHAnsi"/>
          <w:sz w:val="22"/>
          <w:szCs w:val="22"/>
        </w:rPr>
        <w:t xml:space="preserve">in the following </w:t>
      </w:r>
      <w:proofErr w:type="gramStart"/>
      <w:r w:rsidR="00DA084E" w:rsidRPr="00153204">
        <w:rPr>
          <w:rFonts w:asciiTheme="minorHAnsi" w:hAnsiTheme="minorHAnsi" w:cstheme="minorHAnsi"/>
          <w:sz w:val="22"/>
          <w:szCs w:val="22"/>
        </w:rPr>
        <w:t xml:space="preserve">table </w:t>
      </w:r>
      <w:r w:rsidRPr="00153204">
        <w:rPr>
          <w:rFonts w:asciiTheme="minorHAnsi" w:hAnsiTheme="minorHAnsi" w:cstheme="minorHAnsi"/>
          <w:sz w:val="22"/>
          <w:szCs w:val="22"/>
        </w:rPr>
        <w:t>:</w:t>
      </w:r>
      <w:proofErr w:type="gramEnd"/>
      <w:r w:rsidR="00C66734" w:rsidRPr="00B602FC">
        <w:rPr>
          <w:rFonts w:asciiTheme="minorHAnsi" w:hAnsiTheme="minorHAnsi" w:cstheme="minorHAnsi"/>
          <w:b/>
          <w:color w:val="232323"/>
        </w:rPr>
        <w:t xml:space="preserve">                                        </w:t>
      </w:r>
      <w:r w:rsidR="00712D2A" w:rsidRPr="00B602FC">
        <w:rPr>
          <w:rFonts w:asciiTheme="minorHAnsi" w:hAnsiTheme="minorHAnsi" w:cstheme="minorHAnsi"/>
          <w:b/>
          <w:color w:val="232323"/>
        </w:rPr>
        <w:t xml:space="preserve">     </w:t>
      </w:r>
    </w:p>
    <w:p w14:paraId="76FD9EC5" w14:textId="67D06C5E" w:rsidR="009D4C3B" w:rsidRDefault="00712D2A" w:rsidP="002334A3">
      <w:pPr>
        <w:pStyle w:val="ListParagraph"/>
        <w:tabs>
          <w:tab w:val="left" w:pos="8070"/>
        </w:tabs>
        <w:spacing w:line="360" w:lineRule="auto"/>
        <w:ind w:left="567"/>
        <w:jc w:val="both"/>
        <w:rPr>
          <w:rFonts w:asciiTheme="minorHAnsi" w:hAnsiTheme="minorHAnsi" w:cstheme="minorHAnsi"/>
          <w:b/>
          <w:color w:val="232323"/>
        </w:rPr>
      </w:pPr>
      <w:r w:rsidRPr="00153204">
        <w:rPr>
          <w:rFonts w:asciiTheme="minorHAnsi" w:hAnsiTheme="minorHAnsi" w:cstheme="minorHAnsi"/>
          <w:b/>
          <w:color w:val="232323"/>
        </w:rPr>
        <w:t xml:space="preserve">            </w:t>
      </w:r>
      <w:r w:rsidR="00C66734" w:rsidRPr="00153204">
        <w:rPr>
          <w:rFonts w:asciiTheme="minorHAnsi" w:hAnsiTheme="minorHAnsi" w:cstheme="minorHAnsi"/>
          <w:b/>
          <w:color w:val="232323"/>
        </w:rPr>
        <w:t xml:space="preserve">  </w:t>
      </w:r>
      <w:r w:rsidR="00066EE7" w:rsidRPr="00153204">
        <w:rPr>
          <w:rFonts w:asciiTheme="minorHAnsi" w:hAnsiTheme="minorHAnsi" w:cstheme="minorHAnsi"/>
          <w:b/>
          <w:color w:val="232323"/>
        </w:rPr>
        <w:t xml:space="preserve"> </w:t>
      </w:r>
      <w:r w:rsidR="009505CA">
        <w:rPr>
          <w:rFonts w:asciiTheme="minorHAnsi" w:hAnsiTheme="minorHAnsi" w:cstheme="minorHAnsi"/>
          <w:b/>
          <w:color w:val="232323"/>
        </w:rPr>
        <w:t xml:space="preserve">                  </w:t>
      </w:r>
      <w:r w:rsidR="00CF7621">
        <w:rPr>
          <w:rFonts w:asciiTheme="minorHAnsi" w:hAnsiTheme="minorHAnsi" w:cstheme="minorHAnsi"/>
          <w:b/>
          <w:color w:val="232323"/>
        </w:rPr>
        <w:t xml:space="preserve">  </w:t>
      </w:r>
      <w:r w:rsidR="009505CA">
        <w:rPr>
          <w:rFonts w:asciiTheme="minorHAnsi" w:hAnsiTheme="minorHAnsi" w:cstheme="minorHAnsi"/>
          <w:b/>
          <w:color w:val="232323"/>
        </w:rPr>
        <w:t xml:space="preserve">  </w:t>
      </w:r>
      <w:r w:rsidR="00177378" w:rsidRPr="00153204">
        <w:rPr>
          <w:rFonts w:asciiTheme="minorHAnsi" w:hAnsiTheme="minorHAnsi" w:cstheme="minorHAnsi"/>
          <w:b/>
          <w:color w:val="232323"/>
        </w:rPr>
        <w:t>Table No-</w:t>
      </w:r>
      <w:r w:rsidR="00B602FC">
        <w:rPr>
          <w:rFonts w:asciiTheme="minorHAnsi" w:hAnsiTheme="minorHAnsi" w:cstheme="minorHAnsi"/>
          <w:b/>
          <w:color w:val="232323"/>
        </w:rPr>
        <w:t>44</w:t>
      </w:r>
      <w:r w:rsidR="00B24F3A" w:rsidRPr="00153204">
        <w:rPr>
          <w:rFonts w:asciiTheme="minorHAnsi" w:hAnsiTheme="minorHAnsi" w:cstheme="minorHAnsi"/>
          <w:b/>
          <w:color w:val="232323"/>
        </w:rPr>
        <w:t>: Expenditure Details</w:t>
      </w:r>
      <w:r w:rsidR="00B24F3A" w:rsidRPr="00153204">
        <w:rPr>
          <w:rFonts w:asciiTheme="minorHAnsi" w:hAnsiTheme="minorHAnsi" w:cstheme="minorHAnsi"/>
          <w:color w:val="232323"/>
        </w:rPr>
        <w:t xml:space="preserve"> </w:t>
      </w:r>
      <w:r w:rsidR="00066EE7" w:rsidRPr="00153204">
        <w:rPr>
          <w:rFonts w:asciiTheme="minorHAnsi" w:hAnsiTheme="minorHAnsi" w:cstheme="minorHAnsi"/>
          <w:color w:val="232323"/>
        </w:rPr>
        <w:t xml:space="preserve">    </w:t>
      </w:r>
      <w:r w:rsidR="00C66734" w:rsidRPr="00153204">
        <w:rPr>
          <w:rFonts w:asciiTheme="minorHAnsi" w:hAnsiTheme="minorHAnsi" w:cstheme="minorHAnsi"/>
          <w:color w:val="232323"/>
        </w:rPr>
        <w:t xml:space="preserve">                       </w:t>
      </w:r>
      <w:r w:rsidR="00C66734" w:rsidRPr="00637642">
        <w:rPr>
          <w:rFonts w:asciiTheme="minorHAnsi" w:hAnsiTheme="minorHAnsi" w:cstheme="minorHAnsi"/>
        </w:rPr>
        <w:t xml:space="preserve"> </w:t>
      </w:r>
      <w:proofErr w:type="gramStart"/>
      <w:r w:rsidR="00C66734" w:rsidRPr="00637642">
        <w:rPr>
          <w:rFonts w:asciiTheme="minorHAnsi" w:hAnsiTheme="minorHAnsi" w:cstheme="minorHAnsi"/>
        </w:rPr>
        <w:t xml:space="preserve">  </w:t>
      </w:r>
      <w:r w:rsidR="00066EE7" w:rsidRPr="00637642">
        <w:rPr>
          <w:rFonts w:asciiTheme="minorHAnsi" w:hAnsiTheme="minorHAnsi" w:cstheme="minorHAnsi"/>
        </w:rPr>
        <w:t xml:space="preserve"> </w:t>
      </w:r>
      <w:r w:rsidR="00D824AF" w:rsidRPr="00637642">
        <w:rPr>
          <w:rFonts w:asciiTheme="minorHAnsi" w:hAnsiTheme="minorHAnsi" w:cstheme="minorHAnsi"/>
          <w:b/>
        </w:rPr>
        <w:t>(</w:t>
      </w:r>
      <w:proofErr w:type="gramEnd"/>
      <w:r w:rsidR="00066EE7" w:rsidRPr="00637642">
        <w:rPr>
          <w:rFonts w:asciiTheme="minorHAnsi" w:hAnsiTheme="minorHAnsi" w:cstheme="minorHAnsi"/>
          <w:b/>
        </w:rPr>
        <w:t xml:space="preserve">In </w:t>
      </w:r>
      <w:r w:rsidR="001A2772" w:rsidRPr="00637642">
        <w:rPr>
          <w:rFonts w:asciiTheme="minorHAnsi" w:hAnsiTheme="minorHAnsi" w:cstheme="minorHAnsi"/>
          <w:b/>
        </w:rPr>
        <w:t>Rs.</w:t>
      </w:r>
      <w:r w:rsidR="00B24F3A" w:rsidRPr="00637642">
        <w:rPr>
          <w:rFonts w:asciiTheme="minorHAnsi" w:hAnsiTheme="minorHAnsi" w:cstheme="minorHAnsi"/>
          <w:b/>
        </w:rPr>
        <w:t xml:space="preserve"> </w:t>
      </w:r>
      <w:proofErr w:type="spellStart"/>
      <w:r w:rsidR="00D824AF" w:rsidRPr="00637642">
        <w:rPr>
          <w:rFonts w:asciiTheme="minorHAnsi" w:hAnsiTheme="minorHAnsi" w:cstheme="minorHAnsi"/>
          <w:b/>
        </w:rPr>
        <w:t>Crs</w:t>
      </w:r>
      <w:proofErr w:type="spellEnd"/>
      <w:r w:rsidR="00D824AF" w:rsidRPr="00637642">
        <w:rPr>
          <w:rFonts w:asciiTheme="minorHAnsi" w:hAnsiTheme="minorHAnsi" w:cstheme="minorHAnsi"/>
          <w:b/>
        </w:rPr>
        <w:t>)</w:t>
      </w:r>
    </w:p>
    <w:tbl>
      <w:tblPr>
        <w:tblW w:w="8600" w:type="dxa"/>
        <w:tblInd w:w="562" w:type="dxa"/>
        <w:tblLook w:val="04A0" w:firstRow="1" w:lastRow="0" w:firstColumn="1" w:lastColumn="0" w:noHBand="0" w:noVBand="1"/>
      </w:tblPr>
      <w:tblGrid>
        <w:gridCol w:w="993"/>
        <w:gridCol w:w="4645"/>
        <w:gridCol w:w="2962"/>
      </w:tblGrid>
      <w:tr w:rsidR="008C38BA" w:rsidRPr="00CF7621" w14:paraId="41932567" w14:textId="77777777" w:rsidTr="00CF7621">
        <w:trPr>
          <w:trHeight w:val="243"/>
        </w:trPr>
        <w:tc>
          <w:tcPr>
            <w:tcW w:w="993" w:type="dxa"/>
            <w:tcBorders>
              <w:top w:val="single" w:sz="4" w:space="0" w:color="auto"/>
              <w:left w:val="single" w:sz="4" w:space="0" w:color="auto"/>
              <w:bottom w:val="single" w:sz="4" w:space="0" w:color="auto"/>
              <w:right w:val="single" w:sz="4" w:space="0" w:color="auto"/>
            </w:tcBorders>
            <w:shd w:val="clear" w:color="auto" w:fill="95B3D7" w:themeFill="accent1" w:themeFillTint="99"/>
            <w:noWrap/>
            <w:vAlign w:val="center"/>
            <w:hideMark/>
          </w:tcPr>
          <w:p w14:paraId="669CAC82" w14:textId="12ABB74A" w:rsidR="008C38BA" w:rsidRPr="00CF7621" w:rsidRDefault="008C38BA" w:rsidP="008C38BA">
            <w:pPr>
              <w:jc w:val="center"/>
              <w:rPr>
                <w:rFonts w:asciiTheme="minorHAnsi" w:hAnsiTheme="minorHAnsi" w:cs="Arial"/>
                <w:b/>
                <w:sz w:val="22"/>
                <w:szCs w:val="22"/>
                <w:lang w:val="en-IN" w:eastAsia="en-IN"/>
              </w:rPr>
            </w:pPr>
            <w:r w:rsidRPr="00CF7621">
              <w:rPr>
                <w:rFonts w:asciiTheme="minorHAnsi" w:hAnsiTheme="minorHAnsi" w:cs="Arial"/>
                <w:b/>
                <w:sz w:val="22"/>
                <w:szCs w:val="22"/>
              </w:rPr>
              <w:t>Sl</w:t>
            </w:r>
            <w:r w:rsidR="00CF7621">
              <w:rPr>
                <w:rFonts w:asciiTheme="minorHAnsi" w:hAnsiTheme="minorHAnsi" w:cs="Arial"/>
                <w:b/>
                <w:sz w:val="22"/>
                <w:szCs w:val="22"/>
              </w:rPr>
              <w:t>.</w:t>
            </w:r>
            <w:r w:rsidRPr="00CF7621">
              <w:rPr>
                <w:rFonts w:asciiTheme="minorHAnsi" w:hAnsiTheme="minorHAnsi" w:cs="Arial"/>
                <w:b/>
                <w:sz w:val="22"/>
                <w:szCs w:val="22"/>
              </w:rPr>
              <w:t xml:space="preserve"> No.</w:t>
            </w:r>
          </w:p>
        </w:tc>
        <w:tc>
          <w:tcPr>
            <w:tcW w:w="4645" w:type="dxa"/>
            <w:tcBorders>
              <w:top w:val="single" w:sz="4" w:space="0" w:color="auto"/>
              <w:left w:val="nil"/>
              <w:bottom w:val="single" w:sz="4" w:space="0" w:color="auto"/>
              <w:right w:val="single" w:sz="4" w:space="0" w:color="auto"/>
            </w:tcBorders>
            <w:shd w:val="clear" w:color="auto" w:fill="95B3D7" w:themeFill="accent1" w:themeFillTint="99"/>
            <w:noWrap/>
            <w:vAlign w:val="center"/>
            <w:hideMark/>
          </w:tcPr>
          <w:p w14:paraId="2392E214" w14:textId="77777777" w:rsidR="008C38BA" w:rsidRPr="00CF7621" w:rsidRDefault="008C38BA" w:rsidP="008C38BA">
            <w:pPr>
              <w:jc w:val="center"/>
              <w:rPr>
                <w:rFonts w:asciiTheme="minorHAnsi" w:hAnsiTheme="minorHAnsi" w:cs="Arial"/>
                <w:b/>
                <w:sz w:val="22"/>
                <w:szCs w:val="22"/>
              </w:rPr>
            </w:pPr>
            <w:r w:rsidRPr="00CF7621">
              <w:rPr>
                <w:rFonts w:asciiTheme="minorHAnsi" w:hAnsiTheme="minorHAnsi" w:cs="Arial"/>
                <w:b/>
                <w:sz w:val="22"/>
                <w:szCs w:val="22"/>
              </w:rPr>
              <w:t>Cost/Income Component</w:t>
            </w:r>
          </w:p>
        </w:tc>
        <w:tc>
          <w:tcPr>
            <w:tcW w:w="0" w:type="auto"/>
            <w:tcBorders>
              <w:top w:val="single" w:sz="4" w:space="0" w:color="auto"/>
              <w:left w:val="nil"/>
              <w:bottom w:val="single" w:sz="4" w:space="0" w:color="auto"/>
              <w:right w:val="single" w:sz="4" w:space="0" w:color="auto"/>
            </w:tcBorders>
            <w:shd w:val="clear" w:color="auto" w:fill="95B3D7" w:themeFill="accent1" w:themeFillTint="99"/>
            <w:noWrap/>
            <w:vAlign w:val="center"/>
            <w:hideMark/>
          </w:tcPr>
          <w:p w14:paraId="62EE76D6" w14:textId="38BA5078" w:rsidR="008C38BA" w:rsidRPr="00CF7621" w:rsidRDefault="00CF7621" w:rsidP="00CF7621">
            <w:pPr>
              <w:rPr>
                <w:rFonts w:asciiTheme="minorHAnsi" w:hAnsiTheme="minorHAnsi" w:cs="Arial"/>
                <w:b/>
                <w:sz w:val="22"/>
                <w:szCs w:val="22"/>
              </w:rPr>
            </w:pPr>
            <w:r>
              <w:rPr>
                <w:rFonts w:asciiTheme="minorHAnsi" w:hAnsiTheme="minorHAnsi" w:cs="Arial"/>
                <w:b/>
                <w:sz w:val="22"/>
                <w:szCs w:val="22"/>
              </w:rPr>
              <w:t xml:space="preserve">   ARR for FY 2025-26</w:t>
            </w:r>
          </w:p>
          <w:p w14:paraId="54F7CD7D" w14:textId="0CBA5228" w:rsidR="008C38BA" w:rsidRPr="00CF7621" w:rsidRDefault="008C38BA" w:rsidP="008C38BA">
            <w:pPr>
              <w:jc w:val="center"/>
              <w:rPr>
                <w:rFonts w:asciiTheme="minorHAnsi" w:hAnsiTheme="minorHAnsi" w:cs="Arial"/>
                <w:b/>
                <w:sz w:val="22"/>
                <w:szCs w:val="22"/>
              </w:rPr>
            </w:pPr>
          </w:p>
        </w:tc>
      </w:tr>
      <w:tr w:rsidR="008C38BA" w:rsidRPr="00CF7621" w14:paraId="3C42A5F8" w14:textId="77777777" w:rsidTr="00CF7621">
        <w:trPr>
          <w:trHeight w:val="243"/>
        </w:trPr>
        <w:tc>
          <w:tcPr>
            <w:tcW w:w="993" w:type="dxa"/>
            <w:tcBorders>
              <w:top w:val="nil"/>
              <w:left w:val="single" w:sz="4" w:space="0" w:color="auto"/>
              <w:bottom w:val="single" w:sz="4" w:space="0" w:color="auto"/>
              <w:right w:val="single" w:sz="4" w:space="0" w:color="auto"/>
            </w:tcBorders>
            <w:shd w:val="clear" w:color="auto" w:fill="auto"/>
            <w:noWrap/>
            <w:vAlign w:val="bottom"/>
            <w:hideMark/>
          </w:tcPr>
          <w:p w14:paraId="450EB6F6" w14:textId="77777777" w:rsidR="008C38BA" w:rsidRPr="00CF7621" w:rsidRDefault="008C38BA">
            <w:pPr>
              <w:jc w:val="center"/>
              <w:rPr>
                <w:rFonts w:asciiTheme="minorHAnsi" w:hAnsiTheme="minorHAnsi" w:cs="Arial"/>
                <w:sz w:val="22"/>
                <w:szCs w:val="22"/>
              </w:rPr>
            </w:pPr>
            <w:r w:rsidRPr="00CF7621">
              <w:rPr>
                <w:rFonts w:asciiTheme="minorHAnsi" w:hAnsiTheme="minorHAnsi" w:cs="Arial"/>
                <w:sz w:val="22"/>
                <w:szCs w:val="22"/>
              </w:rPr>
              <w:t>1</w:t>
            </w:r>
          </w:p>
        </w:tc>
        <w:tc>
          <w:tcPr>
            <w:tcW w:w="4645" w:type="dxa"/>
            <w:tcBorders>
              <w:top w:val="nil"/>
              <w:left w:val="nil"/>
              <w:bottom w:val="single" w:sz="4" w:space="0" w:color="auto"/>
              <w:right w:val="single" w:sz="4" w:space="0" w:color="auto"/>
            </w:tcBorders>
            <w:shd w:val="clear" w:color="auto" w:fill="auto"/>
            <w:noWrap/>
            <w:vAlign w:val="bottom"/>
            <w:hideMark/>
          </w:tcPr>
          <w:p w14:paraId="608DCD56" w14:textId="77777777" w:rsidR="008C38BA" w:rsidRPr="00CF7621" w:rsidRDefault="008C38BA">
            <w:pPr>
              <w:rPr>
                <w:rFonts w:asciiTheme="minorHAnsi" w:hAnsiTheme="minorHAnsi" w:cs="Arial"/>
                <w:sz w:val="22"/>
                <w:szCs w:val="22"/>
              </w:rPr>
            </w:pPr>
            <w:r w:rsidRPr="00CF7621">
              <w:rPr>
                <w:rFonts w:asciiTheme="minorHAnsi" w:hAnsiTheme="minorHAnsi" w:cs="Arial"/>
                <w:sz w:val="22"/>
                <w:szCs w:val="22"/>
              </w:rPr>
              <w:t>Cost of Power</w:t>
            </w:r>
          </w:p>
        </w:tc>
        <w:tc>
          <w:tcPr>
            <w:tcW w:w="0" w:type="auto"/>
            <w:tcBorders>
              <w:top w:val="nil"/>
              <w:left w:val="nil"/>
              <w:bottom w:val="single" w:sz="4" w:space="0" w:color="auto"/>
              <w:right w:val="single" w:sz="4" w:space="0" w:color="auto"/>
            </w:tcBorders>
            <w:shd w:val="clear" w:color="auto" w:fill="auto"/>
            <w:noWrap/>
            <w:vAlign w:val="bottom"/>
            <w:hideMark/>
          </w:tcPr>
          <w:p w14:paraId="3B0B5181" w14:textId="77777777" w:rsidR="008C38BA" w:rsidRPr="00CF7621" w:rsidRDefault="008C38BA">
            <w:pPr>
              <w:jc w:val="center"/>
              <w:rPr>
                <w:rFonts w:asciiTheme="minorHAnsi" w:hAnsiTheme="minorHAnsi" w:cs="Arial"/>
                <w:sz w:val="22"/>
                <w:szCs w:val="22"/>
              </w:rPr>
            </w:pPr>
            <w:r w:rsidRPr="00CF7621">
              <w:rPr>
                <w:rFonts w:asciiTheme="minorHAnsi" w:hAnsiTheme="minorHAnsi" w:cs="Arial"/>
                <w:sz w:val="22"/>
                <w:szCs w:val="22"/>
              </w:rPr>
              <w:t>3051.57</w:t>
            </w:r>
          </w:p>
        </w:tc>
      </w:tr>
      <w:tr w:rsidR="008C38BA" w:rsidRPr="00CF7621" w14:paraId="5BEE1A34" w14:textId="77777777" w:rsidTr="00CF7621">
        <w:trPr>
          <w:trHeight w:val="243"/>
        </w:trPr>
        <w:tc>
          <w:tcPr>
            <w:tcW w:w="993" w:type="dxa"/>
            <w:tcBorders>
              <w:top w:val="nil"/>
              <w:left w:val="single" w:sz="4" w:space="0" w:color="auto"/>
              <w:bottom w:val="single" w:sz="4" w:space="0" w:color="auto"/>
              <w:right w:val="single" w:sz="4" w:space="0" w:color="auto"/>
            </w:tcBorders>
            <w:shd w:val="clear" w:color="auto" w:fill="auto"/>
            <w:noWrap/>
            <w:vAlign w:val="bottom"/>
            <w:hideMark/>
          </w:tcPr>
          <w:p w14:paraId="63E5E858" w14:textId="77777777" w:rsidR="008C38BA" w:rsidRPr="00CF7621" w:rsidRDefault="008C38BA">
            <w:pPr>
              <w:jc w:val="center"/>
              <w:rPr>
                <w:rFonts w:asciiTheme="minorHAnsi" w:hAnsiTheme="minorHAnsi" w:cs="Arial"/>
                <w:b/>
                <w:sz w:val="22"/>
                <w:szCs w:val="22"/>
              </w:rPr>
            </w:pPr>
            <w:r w:rsidRPr="00CF7621">
              <w:rPr>
                <w:rFonts w:asciiTheme="minorHAnsi" w:hAnsiTheme="minorHAnsi" w:cs="Arial"/>
                <w:b/>
                <w:sz w:val="22"/>
                <w:szCs w:val="22"/>
              </w:rPr>
              <w:t>2</w:t>
            </w:r>
          </w:p>
        </w:tc>
        <w:tc>
          <w:tcPr>
            <w:tcW w:w="4645" w:type="dxa"/>
            <w:tcBorders>
              <w:top w:val="nil"/>
              <w:left w:val="nil"/>
              <w:bottom w:val="single" w:sz="4" w:space="0" w:color="auto"/>
              <w:right w:val="single" w:sz="4" w:space="0" w:color="auto"/>
            </w:tcBorders>
            <w:shd w:val="clear" w:color="auto" w:fill="auto"/>
            <w:noWrap/>
            <w:vAlign w:val="bottom"/>
            <w:hideMark/>
          </w:tcPr>
          <w:p w14:paraId="060F5C3A" w14:textId="77777777" w:rsidR="008C38BA" w:rsidRPr="00CF7621" w:rsidRDefault="008C38BA">
            <w:pPr>
              <w:rPr>
                <w:rFonts w:asciiTheme="minorHAnsi" w:hAnsiTheme="minorHAnsi" w:cs="Arial"/>
                <w:sz w:val="22"/>
                <w:szCs w:val="22"/>
              </w:rPr>
            </w:pPr>
            <w:r w:rsidRPr="00CF7621">
              <w:rPr>
                <w:rFonts w:asciiTheme="minorHAnsi" w:hAnsiTheme="minorHAnsi" w:cs="Arial"/>
                <w:sz w:val="22"/>
                <w:szCs w:val="22"/>
              </w:rPr>
              <w:t>Transmission Charges</w:t>
            </w:r>
          </w:p>
        </w:tc>
        <w:tc>
          <w:tcPr>
            <w:tcW w:w="0" w:type="auto"/>
            <w:tcBorders>
              <w:top w:val="nil"/>
              <w:left w:val="nil"/>
              <w:bottom w:val="single" w:sz="4" w:space="0" w:color="auto"/>
              <w:right w:val="single" w:sz="4" w:space="0" w:color="auto"/>
            </w:tcBorders>
            <w:shd w:val="clear" w:color="auto" w:fill="auto"/>
            <w:noWrap/>
            <w:vAlign w:val="bottom"/>
            <w:hideMark/>
          </w:tcPr>
          <w:p w14:paraId="1651D1E6" w14:textId="77777777" w:rsidR="008C38BA" w:rsidRPr="00CF7621" w:rsidRDefault="008C38BA">
            <w:pPr>
              <w:jc w:val="center"/>
              <w:rPr>
                <w:rFonts w:asciiTheme="minorHAnsi" w:hAnsiTheme="minorHAnsi" w:cs="Arial"/>
                <w:sz w:val="22"/>
                <w:szCs w:val="22"/>
              </w:rPr>
            </w:pPr>
            <w:r w:rsidRPr="00CF7621">
              <w:rPr>
                <w:rFonts w:asciiTheme="minorHAnsi" w:hAnsiTheme="minorHAnsi" w:cs="Arial"/>
                <w:sz w:val="22"/>
                <w:szCs w:val="22"/>
              </w:rPr>
              <w:t>209.25</w:t>
            </w:r>
          </w:p>
        </w:tc>
      </w:tr>
      <w:tr w:rsidR="008C38BA" w:rsidRPr="00CF7621" w14:paraId="7E998AED" w14:textId="77777777" w:rsidTr="00CF7621">
        <w:trPr>
          <w:trHeight w:val="243"/>
        </w:trPr>
        <w:tc>
          <w:tcPr>
            <w:tcW w:w="993" w:type="dxa"/>
            <w:tcBorders>
              <w:top w:val="nil"/>
              <w:left w:val="single" w:sz="4" w:space="0" w:color="auto"/>
              <w:bottom w:val="single" w:sz="4" w:space="0" w:color="auto"/>
              <w:right w:val="single" w:sz="4" w:space="0" w:color="auto"/>
            </w:tcBorders>
            <w:shd w:val="clear" w:color="auto" w:fill="auto"/>
            <w:noWrap/>
            <w:vAlign w:val="bottom"/>
            <w:hideMark/>
          </w:tcPr>
          <w:p w14:paraId="587018D4" w14:textId="77777777" w:rsidR="008C38BA" w:rsidRPr="00CF7621" w:rsidRDefault="008C38BA">
            <w:pPr>
              <w:jc w:val="center"/>
              <w:rPr>
                <w:rFonts w:asciiTheme="minorHAnsi" w:hAnsiTheme="minorHAnsi" w:cs="Arial"/>
                <w:b/>
                <w:sz w:val="22"/>
                <w:szCs w:val="22"/>
              </w:rPr>
            </w:pPr>
            <w:r w:rsidRPr="00CF7621">
              <w:rPr>
                <w:rFonts w:asciiTheme="minorHAnsi" w:hAnsiTheme="minorHAnsi" w:cs="Arial"/>
                <w:b/>
                <w:sz w:val="22"/>
                <w:szCs w:val="22"/>
              </w:rPr>
              <w:t>3</w:t>
            </w:r>
          </w:p>
        </w:tc>
        <w:tc>
          <w:tcPr>
            <w:tcW w:w="4645" w:type="dxa"/>
            <w:tcBorders>
              <w:top w:val="nil"/>
              <w:left w:val="nil"/>
              <w:bottom w:val="single" w:sz="4" w:space="0" w:color="auto"/>
              <w:right w:val="single" w:sz="4" w:space="0" w:color="auto"/>
            </w:tcBorders>
            <w:shd w:val="clear" w:color="auto" w:fill="auto"/>
            <w:noWrap/>
            <w:vAlign w:val="bottom"/>
            <w:hideMark/>
          </w:tcPr>
          <w:p w14:paraId="5F7551FC" w14:textId="77777777" w:rsidR="008C38BA" w:rsidRPr="00CF7621" w:rsidRDefault="008C38BA">
            <w:pPr>
              <w:rPr>
                <w:rFonts w:asciiTheme="minorHAnsi" w:hAnsiTheme="minorHAnsi" w:cs="Arial"/>
                <w:sz w:val="22"/>
                <w:szCs w:val="22"/>
              </w:rPr>
            </w:pPr>
            <w:r w:rsidRPr="00CF7621">
              <w:rPr>
                <w:rFonts w:asciiTheme="minorHAnsi" w:hAnsiTheme="minorHAnsi" w:cs="Arial"/>
                <w:sz w:val="22"/>
                <w:szCs w:val="22"/>
              </w:rPr>
              <w:t>SLDC Charges</w:t>
            </w:r>
          </w:p>
        </w:tc>
        <w:tc>
          <w:tcPr>
            <w:tcW w:w="0" w:type="auto"/>
            <w:tcBorders>
              <w:top w:val="nil"/>
              <w:left w:val="nil"/>
              <w:bottom w:val="single" w:sz="4" w:space="0" w:color="auto"/>
              <w:right w:val="single" w:sz="4" w:space="0" w:color="auto"/>
            </w:tcBorders>
            <w:shd w:val="clear" w:color="auto" w:fill="auto"/>
            <w:noWrap/>
            <w:vAlign w:val="bottom"/>
            <w:hideMark/>
          </w:tcPr>
          <w:p w14:paraId="32D709A3" w14:textId="77777777" w:rsidR="008C38BA" w:rsidRPr="00CF7621" w:rsidRDefault="008C38BA">
            <w:pPr>
              <w:jc w:val="center"/>
              <w:rPr>
                <w:rFonts w:asciiTheme="minorHAnsi" w:hAnsiTheme="minorHAnsi" w:cs="Arial"/>
                <w:sz w:val="22"/>
                <w:szCs w:val="22"/>
              </w:rPr>
            </w:pPr>
            <w:r w:rsidRPr="00CF7621">
              <w:rPr>
                <w:rFonts w:asciiTheme="minorHAnsi" w:hAnsiTheme="minorHAnsi" w:cs="Arial"/>
                <w:sz w:val="22"/>
                <w:szCs w:val="22"/>
              </w:rPr>
              <w:t>1.60</w:t>
            </w:r>
          </w:p>
        </w:tc>
      </w:tr>
      <w:tr w:rsidR="008C38BA" w:rsidRPr="00CF7621" w14:paraId="26A3137C" w14:textId="77777777" w:rsidTr="00CF7621">
        <w:trPr>
          <w:trHeight w:val="243"/>
        </w:trPr>
        <w:tc>
          <w:tcPr>
            <w:tcW w:w="993" w:type="dxa"/>
            <w:tcBorders>
              <w:top w:val="nil"/>
              <w:left w:val="single" w:sz="4" w:space="0" w:color="auto"/>
              <w:bottom w:val="single" w:sz="4" w:space="0" w:color="auto"/>
              <w:right w:val="single" w:sz="4" w:space="0" w:color="auto"/>
            </w:tcBorders>
            <w:shd w:val="clear" w:color="auto" w:fill="auto"/>
            <w:noWrap/>
            <w:vAlign w:val="bottom"/>
            <w:hideMark/>
          </w:tcPr>
          <w:p w14:paraId="6373A8B2" w14:textId="77777777" w:rsidR="008C38BA" w:rsidRPr="00CF7621" w:rsidRDefault="008C38BA">
            <w:pPr>
              <w:jc w:val="center"/>
              <w:rPr>
                <w:rFonts w:asciiTheme="minorHAnsi" w:hAnsiTheme="minorHAnsi" w:cs="Arial"/>
                <w:b/>
                <w:sz w:val="22"/>
                <w:szCs w:val="22"/>
              </w:rPr>
            </w:pPr>
            <w:r w:rsidRPr="00CF7621">
              <w:rPr>
                <w:rFonts w:asciiTheme="minorHAnsi" w:hAnsiTheme="minorHAnsi" w:cs="Arial"/>
                <w:b/>
                <w:sz w:val="22"/>
                <w:szCs w:val="22"/>
              </w:rPr>
              <w:t> </w:t>
            </w:r>
          </w:p>
        </w:tc>
        <w:tc>
          <w:tcPr>
            <w:tcW w:w="4645" w:type="dxa"/>
            <w:tcBorders>
              <w:top w:val="nil"/>
              <w:left w:val="nil"/>
              <w:bottom w:val="single" w:sz="4" w:space="0" w:color="auto"/>
              <w:right w:val="single" w:sz="4" w:space="0" w:color="auto"/>
            </w:tcBorders>
            <w:shd w:val="clear" w:color="auto" w:fill="auto"/>
            <w:noWrap/>
            <w:vAlign w:val="bottom"/>
            <w:hideMark/>
          </w:tcPr>
          <w:p w14:paraId="671BA594" w14:textId="66A7A5F8" w:rsidR="008C38BA" w:rsidRPr="00CF7621" w:rsidRDefault="008C38BA">
            <w:pPr>
              <w:rPr>
                <w:rFonts w:asciiTheme="minorHAnsi" w:hAnsiTheme="minorHAnsi" w:cs="Arial"/>
                <w:b/>
                <w:sz w:val="22"/>
                <w:szCs w:val="22"/>
              </w:rPr>
            </w:pPr>
            <w:r w:rsidRPr="00CF7621">
              <w:rPr>
                <w:rFonts w:asciiTheme="minorHAnsi" w:hAnsiTheme="minorHAnsi" w:cs="Arial"/>
                <w:b/>
                <w:sz w:val="22"/>
                <w:szCs w:val="22"/>
              </w:rPr>
              <w:t xml:space="preserve">Total power purchase cost </w:t>
            </w:r>
          </w:p>
        </w:tc>
        <w:tc>
          <w:tcPr>
            <w:tcW w:w="0" w:type="auto"/>
            <w:tcBorders>
              <w:top w:val="nil"/>
              <w:left w:val="nil"/>
              <w:bottom w:val="single" w:sz="4" w:space="0" w:color="auto"/>
              <w:right w:val="single" w:sz="4" w:space="0" w:color="auto"/>
            </w:tcBorders>
            <w:shd w:val="clear" w:color="auto" w:fill="auto"/>
            <w:noWrap/>
            <w:vAlign w:val="bottom"/>
            <w:hideMark/>
          </w:tcPr>
          <w:p w14:paraId="2AAC14B4" w14:textId="77777777" w:rsidR="008C38BA" w:rsidRPr="00CF7621" w:rsidRDefault="008C38BA">
            <w:pPr>
              <w:jc w:val="center"/>
              <w:rPr>
                <w:rFonts w:asciiTheme="minorHAnsi" w:hAnsiTheme="minorHAnsi" w:cs="Arial"/>
                <w:sz w:val="22"/>
                <w:szCs w:val="22"/>
              </w:rPr>
            </w:pPr>
            <w:r w:rsidRPr="00CF7621">
              <w:rPr>
                <w:rFonts w:asciiTheme="minorHAnsi" w:hAnsiTheme="minorHAnsi" w:cs="Arial"/>
                <w:sz w:val="22"/>
                <w:szCs w:val="22"/>
              </w:rPr>
              <w:t>3262.42</w:t>
            </w:r>
          </w:p>
        </w:tc>
      </w:tr>
      <w:tr w:rsidR="008C38BA" w:rsidRPr="00CF7621" w14:paraId="0B48F26B" w14:textId="77777777" w:rsidTr="00CF7621">
        <w:trPr>
          <w:trHeight w:val="243"/>
        </w:trPr>
        <w:tc>
          <w:tcPr>
            <w:tcW w:w="993" w:type="dxa"/>
            <w:tcBorders>
              <w:top w:val="nil"/>
              <w:left w:val="single" w:sz="4" w:space="0" w:color="auto"/>
              <w:bottom w:val="single" w:sz="4" w:space="0" w:color="auto"/>
              <w:right w:val="single" w:sz="4" w:space="0" w:color="auto"/>
            </w:tcBorders>
            <w:shd w:val="clear" w:color="auto" w:fill="auto"/>
            <w:noWrap/>
            <w:vAlign w:val="bottom"/>
            <w:hideMark/>
          </w:tcPr>
          <w:p w14:paraId="592F4A92" w14:textId="77777777" w:rsidR="008C38BA" w:rsidRPr="00CF7621" w:rsidRDefault="008C38BA">
            <w:pPr>
              <w:jc w:val="center"/>
              <w:rPr>
                <w:rFonts w:asciiTheme="minorHAnsi" w:hAnsiTheme="minorHAnsi" w:cs="Arial"/>
                <w:b/>
                <w:sz w:val="22"/>
                <w:szCs w:val="22"/>
              </w:rPr>
            </w:pPr>
            <w:r w:rsidRPr="00CF7621">
              <w:rPr>
                <w:rFonts w:asciiTheme="minorHAnsi" w:hAnsiTheme="minorHAnsi" w:cs="Arial"/>
                <w:b/>
                <w:sz w:val="22"/>
                <w:szCs w:val="22"/>
              </w:rPr>
              <w:t> </w:t>
            </w:r>
          </w:p>
        </w:tc>
        <w:tc>
          <w:tcPr>
            <w:tcW w:w="4645" w:type="dxa"/>
            <w:tcBorders>
              <w:top w:val="nil"/>
              <w:left w:val="nil"/>
              <w:bottom w:val="single" w:sz="4" w:space="0" w:color="auto"/>
              <w:right w:val="single" w:sz="4" w:space="0" w:color="auto"/>
            </w:tcBorders>
            <w:shd w:val="clear" w:color="auto" w:fill="auto"/>
            <w:noWrap/>
            <w:vAlign w:val="bottom"/>
            <w:hideMark/>
          </w:tcPr>
          <w:p w14:paraId="064CAAAB" w14:textId="77777777" w:rsidR="008C38BA" w:rsidRPr="00CF7621" w:rsidRDefault="008C38BA">
            <w:pPr>
              <w:rPr>
                <w:rFonts w:asciiTheme="minorHAnsi" w:hAnsiTheme="minorHAnsi" w:cs="Arial"/>
                <w:b/>
                <w:sz w:val="22"/>
                <w:szCs w:val="22"/>
              </w:rPr>
            </w:pPr>
            <w:r w:rsidRPr="00CF7621">
              <w:rPr>
                <w:rFonts w:asciiTheme="minorHAnsi" w:hAnsiTheme="minorHAnsi" w:cs="Arial"/>
                <w:b/>
                <w:sz w:val="22"/>
                <w:szCs w:val="22"/>
              </w:rPr>
              <w:t>O&amp;M</w:t>
            </w:r>
          </w:p>
        </w:tc>
        <w:tc>
          <w:tcPr>
            <w:tcW w:w="0" w:type="auto"/>
            <w:tcBorders>
              <w:top w:val="nil"/>
              <w:left w:val="nil"/>
              <w:bottom w:val="single" w:sz="4" w:space="0" w:color="auto"/>
              <w:right w:val="single" w:sz="4" w:space="0" w:color="auto"/>
            </w:tcBorders>
            <w:shd w:val="clear" w:color="auto" w:fill="auto"/>
            <w:noWrap/>
            <w:vAlign w:val="bottom"/>
            <w:hideMark/>
          </w:tcPr>
          <w:p w14:paraId="463C1D9D" w14:textId="77777777" w:rsidR="008C38BA" w:rsidRPr="00CF7621" w:rsidRDefault="008C38BA">
            <w:pPr>
              <w:jc w:val="center"/>
              <w:rPr>
                <w:rFonts w:asciiTheme="minorHAnsi" w:hAnsiTheme="minorHAnsi" w:cs="Arial"/>
                <w:sz w:val="22"/>
                <w:szCs w:val="22"/>
              </w:rPr>
            </w:pPr>
            <w:r w:rsidRPr="00CF7621">
              <w:rPr>
                <w:rFonts w:asciiTheme="minorHAnsi" w:hAnsiTheme="minorHAnsi" w:cs="Arial"/>
                <w:sz w:val="22"/>
                <w:szCs w:val="22"/>
              </w:rPr>
              <w:t>0.00</w:t>
            </w:r>
          </w:p>
        </w:tc>
      </w:tr>
      <w:tr w:rsidR="008C38BA" w:rsidRPr="00CF7621" w14:paraId="4C9446A4" w14:textId="77777777" w:rsidTr="00CF7621">
        <w:trPr>
          <w:trHeight w:val="243"/>
        </w:trPr>
        <w:tc>
          <w:tcPr>
            <w:tcW w:w="993" w:type="dxa"/>
            <w:tcBorders>
              <w:top w:val="nil"/>
              <w:left w:val="single" w:sz="4" w:space="0" w:color="auto"/>
              <w:bottom w:val="single" w:sz="4" w:space="0" w:color="auto"/>
              <w:right w:val="single" w:sz="4" w:space="0" w:color="auto"/>
            </w:tcBorders>
            <w:shd w:val="clear" w:color="auto" w:fill="auto"/>
            <w:noWrap/>
            <w:vAlign w:val="bottom"/>
            <w:hideMark/>
          </w:tcPr>
          <w:p w14:paraId="0888B94F" w14:textId="77777777" w:rsidR="008C38BA" w:rsidRPr="00CF7621" w:rsidRDefault="008C38BA">
            <w:pPr>
              <w:jc w:val="center"/>
              <w:rPr>
                <w:rFonts w:asciiTheme="minorHAnsi" w:hAnsiTheme="minorHAnsi" w:cs="Arial"/>
                <w:b/>
                <w:sz w:val="22"/>
                <w:szCs w:val="22"/>
              </w:rPr>
            </w:pPr>
            <w:r w:rsidRPr="00CF7621">
              <w:rPr>
                <w:rFonts w:asciiTheme="minorHAnsi" w:hAnsiTheme="minorHAnsi" w:cs="Arial"/>
                <w:b/>
                <w:sz w:val="22"/>
                <w:szCs w:val="22"/>
              </w:rPr>
              <w:t>4</w:t>
            </w:r>
          </w:p>
        </w:tc>
        <w:tc>
          <w:tcPr>
            <w:tcW w:w="4645" w:type="dxa"/>
            <w:tcBorders>
              <w:top w:val="nil"/>
              <w:left w:val="nil"/>
              <w:bottom w:val="single" w:sz="4" w:space="0" w:color="auto"/>
              <w:right w:val="single" w:sz="4" w:space="0" w:color="auto"/>
            </w:tcBorders>
            <w:shd w:val="clear" w:color="auto" w:fill="auto"/>
            <w:noWrap/>
            <w:vAlign w:val="bottom"/>
            <w:hideMark/>
          </w:tcPr>
          <w:p w14:paraId="0039B54A" w14:textId="77777777" w:rsidR="008C38BA" w:rsidRPr="00CF7621" w:rsidRDefault="008C38BA">
            <w:pPr>
              <w:rPr>
                <w:rFonts w:asciiTheme="minorHAnsi" w:hAnsiTheme="minorHAnsi" w:cs="Arial"/>
                <w:sz w:val="22"/>
                <w:szCs w:val="22"/>
              </w:rPr>
            </w:pPr>
            <w:r w:rsidRPr="00CF7621">
              <w:rPr>
                <w:rFonts w:asciiTheme="minorHAnsi" w:hAnsiTheme="minorHAnsi" w:cs="Arial"/>
                <w:sz w:val="22"/>
                <w:szCs w:val="22"/>
              </w:rPr>
              <w:t>Employee Cost</w:t>
            </w:r>
          </w:p>
        </w:tc>
        <w:tc>
          <w:tcPr>
            <w:tcW w:w="0" w:type="auto"/>
            <w:tcBorders>
              <w:top w:val="nil"/>
              <w:left w:val="nil"/>
              <w:bottom w:val="single" w:sz="4" w:space="0" w:color="auto"/>
              <w:right w:val="single" w:sz="4" w:space="0" w:color="auto"/>
            </w:tcBorders>
            <w:shd w:val="clear" w:color="auto" w:fill="auto"/>
            <w:noWrap/>
            <w:vAlign w:val="bottom"/>
            <w:hideMark/>
          </w:tcPr>
          <w:p w14:paraId="40EC8417" w14:textId="77777777" w:rsidR="008C38BA" w:rsidRPr="00CF7621" w:rsidRDefault="008C38BA">
            <w:pPr>
              <w:jc w:val="center"/>
              <w:rPr>
                <w:rFonts w:asciiTheme="minorHAnsi" w:hAnsiTheme="minorHAnsi" w:cs="Arial"/>
                <w:sz w:val="22"/>
                <w:szCs w:val="22"/>
              </w:rPr>
            </w:pPr>
            <w:r w:rsidRPr="00CF7621">
              <w:rPr>
                <w:rFonts w:asciiTheme="minorHAnsi" w:hAnsiTheme="minorHAnsi" w:cs="Arial"/>
                <w:sz w:val="22"/>
                <w:szCs w:val="22"/>
              </w:rPr>
              <w:t>543.18</w:t>
            </w:r>
          </w:p>
        </w:tc>
      </w:tr>
      <w:tr w:rsidR="008C38BA" w:rsidRPr="00CF7621" w14:paraId="4DB8360E" w14:textId="77777777" w:rsidTr="00CF7621">
        <w:trPr>
          <w:trHeight w:val="243"/>
        </w:trPr>
        <w:tc>
          <w:tcPr>
            <w:tcW w:w="993" w:type="dxa"/>
            <w:tcBorders>
              <w:top w:val="nil"/>
              <w:left w:val="single" w:sz="4" w:space="0" w:color="auto"/>
              <w:bottom w:val="single" w:sz="4" w:space="0" w:color="auto"/>
              <w:right w:val="single" w:sz="4" w:space="0" w:color="auto"/>
            </w:tcBorders>
            <w:shd w:val="clear" w:color="auto" w:fill="auto"/>
            <w:noWrap/>
            <w:vAlign w:val="bottom"/>
            <w:hideMark/>
          </w:tcPr>
          <w:p w14:paraId="6F66D319" w14:textId="77777777" w:rsidR="008C38BA" w:rsidRPr="00CF7621" w:rsidRDefault="008C38BA">
            <w:pPr>
              <w:jc w:val="center"/>
              <w:rPr>
                <w:rFonts w:asciiTheme="minorHAnsi" w:hAnsiTheme="minorHAnsi" w:cs="Arial"/>
                <w:b/>
                <w:sz w:val="22"/>
                <w:szCs w:val="22"/>
              </w:rPr>
            </w:pPr>
            <w:r w:rsidRPr="00CF7621">
              <w:rPr>
                <w:rFonts w:asciiTheme="minorHAnsi" w:hAnsiTheme="minorHAnsi" w:cs="Arial"/>
                <w:b/>
                <w:sz w:val="22"/>
                <w:szCs w:val="22"/>
              </w:rPr>
              <w:t>5</w:t>
            </w:r>
          </w:p>
        </w:tc>
        <w:tc>
          <w:tcPr>
            <w:tcW w:w="4645" w:type="dxa"/>
            <w:tcBorders>
              <w:top w:val="nil"/>
              <w:left w:val="nil"/>
              <w:bottom w:val="single" w:sz="4" w:space="0" w:color="auto"/>
              <w:right w:val="single" w:sz="4" w:space="0" w:color="auto"/>
            </w:tcBorders>
            <w:shd w:val="clear" w:color="auto" w:fill="auto"/>
            <w:noWrap/>
            <w:vAlign w:val="bottom"/>
            <w:hideMark/>
          </w:tcPr>
          <w:p w14:paraId="56BD57E6" w14:textId="77777777" w:rsidR="008C38BA" w:rsidRPr="00CF7621" w:rsidRDefault="008C38BA">
            <w:pPr>
              <w:rPr>
                <w:rFonts w:asciiTheme="minorHAnsi" w:hAnsiTheme="minorHAnsi" w:cs="Arial"/>
                <w:sz w:val="22"/>
                <w:szCs w:val="22"/>
              </w:rPr>
            </w:pPr>
            <w:r w:rsidRPr="00CF7621">
              <w:rPr>
                <w:rFonts w:asciiTheme="minorHAnsi" w:hAnsiTheme="minorHAnsi" w:cs="Arial"/>
                <w:sz w:val="22"/>
                <w:szCs w:val="22"/>
              </w:rPr>
              <w:t>Repair &amp; Maintenance Cost</w:t>
            </w:r>
          </w:p>
        </w:tc>
        <w:tc>
          <w:tcPr>
            <w:tcW w:w="0" w:type="auto"/>
            <w:tcBorders>
              <w:top w:val="nil"/>
              <w:left w:val="nil"/>
              <w:bottom w:val="single" w:sz="4" w:space="0" w:color="auto"/>
              <w:right w:val="single" w:sz="4" w:space="0" w:color="auto"/>
            </w:tcBorders>
            <w:shd w:val="clear" w:color="auto" w:fill="auto"/>
            <w:noWrap/>
            <w:vAlign w:val="bottom"/>
            <w:hideMark/>
          </w:tcPr>
          <w:p w14:paraId="38E1E919" w14:textId="77777777" w:rsidR="008C38BA" w:rsidRPr="00CF7621" w:rsidRDefault="008C38BA">
            <w:pPr>
              <w:jc w:val="center"/>
              <w:rPr>
                <w:rFonts w:asciiTheme="minorHAnsi" w:hAnsiTheme="minorHAnsi" w:cs="Arial"/>
                <w:sz w:val="22"/>
                <w:szCs w:val="22"/>
              </w:rPr>
            </w:pPr>
            <w:r w:rsidRPr="00CF7621">
              <w:rPr>
                <w:rFonts w:asciiTheme="minorHAnsi" w:hAnsiTheme="minorHAnsi" w:cs="Arial"/>
                <w:sz w:val="22"/>
                <w:szCs w:val="22"/>
              </w:rPr>
              <w:t>288.70</w:t>
            </w:r>
          </w:p>
        </w:tc>
      </w:tr>
      <w:tr w:rsidR="008C38BA" w:rsidRPr="00CF7621" w14:paraId="50307AB3" w14:textId="77777777" w:rsidTr="00CF7621">
        <w:trPr>
          <w:trHeight w:val="243"/>
        </w:trPr>
        <w:tc>
          <w:tcPr>
            <w:tcW w:w="993" w:type="dxa"/>
            <w:tcBorders>
              <w:top w:val="nil"/>
              <w:left w:val="single" w:sz="4" w:space="0" w:color="auto"/>
              <w:bottom w:val="single" w:sz="4" w:space="0" w:color="auto"/>
              <w:right w:val="single" w:sz="4" w:space="0" w:color="auto"/>
            </w:tcBorders>
            <w:shd w:val="clear" w:color="auto" w:fill="auto"/>
            <w:noWrap/>
            <w:vAlign w:val="bottom"/>
            <w:hideMark/>
          </w:tcPr>
          <w:p w14:paraId="2EFE85FD" w14:textId="77777777" w:rsidR="008C38BA" w:rsidRPr="00CF7621" w:rsidRDefault="008C38BA">
            <w:pPr>
              <w:jc w:val="center"/>
              <w:rPr>
                <w:rFonts w:asciiTheme="minorHAnsi" w:hAnsiTheme="minorHAnsi" w:cs="Arial"/>
                <w:b/>
                <w:sz w:val="22"/>
                <w:szCs w:val="22"/>
              </w:rPr>
            </w:pPr>
            <w:r w:rsidRPr="00CF7621">
              <w:rPr>
                <w:rFonts w:asciiTheme="minorHAnsi" w:hAnsiTheme="minorHAnsi" w:cs="Arial"/>
                <w:b/>
                <w:sz w:val="22"/>
                <w:szCs w:val="22"/>
              </w:rPr>
              <w:t>6</w:t>
            </w:r>
          </w:p>
        </w:tc>
        <w:tc>
          <w:tcPr>
            <w:tcW w:w="4645" w:type="dxa"/>
            <w:tcBorders>
              <w:top w:val="nil"/>
              <w:left w:val="nil"/>
              <w:bottom w:val="single" w:sz="4" w:space="0" w:color="auto"/>
              <w:right w:val="single" w:sz="4" w:space="0" w:color="auto"/>
            </w:tcBorders>
            <w:shd w:val="clear" w:color="auto" w:fill="auto"/>
            <w:noWrap/>
            <w:vAlign w:val="bottom"/>
            <w:hideMark/>
          </w:tcPr>
          <w:p w14:paraId="7566F8A6" w14:textId="77777777" w:rsidR="008C38BA" w:rsidRPr="00CF7621" w:rsidRDefault="008C38BA">
            <w:pPr>
              <w:rPr>
                <w:rFonts w:asciiTheme="minorHAnsi" w:hAnsiTheme="minorHAnsi" w:cs="Arial"/>
                <w:sz w:val="22"/>
                <w:szCs w:val="22"/>
              </w:rPr>
            </w:pPr>
            <w:r w:rsidRPr="00CF7621">
              <w:rPr>
                <w:rFonts w:asciiTheme="minorHAnsi" w:hAnsiTheme="minorHAnsi" w:cs="Arial"/>
                <w:sz w:val="22"/>
                <w:szCs w:val="22"/>
              </w:rPr>
              <w:t>Administrative &amp; General Expenses</w:t>
            </w:r>
          </w:p>
        </w:tc>
        <w:tc>
          <w:tcPr>
            <w:tcW w:w="0" w:type="auto"/>
            <w:tcBorders>
              <w:top w:val="nil"/>
              <w:left w:val="nil"/>
              <w:bottom w:val="single" w:sz="4" w:space="0" w:color="auto"/>
              <w:right w:val="single" w:sz="4" w:space="0" w:color="auto"/>
            </w:tcBorders>
            <w:shd w:val="clear" w:color="auto" w:fill="auto"/>
            <w:noWrap/>
            <w:vAlign w:val="bottom"/>
            <w:hideMark/>
          </w:tcPr>
          <w:p w14:paraId="0A5DEBEC" w14:textId="77777777" w:rsidR="008C38BA" w:rsidRPr="00CF7621" w:rsidRDefault="008C38BA">
            <w:pPr>
              <w:jc w:val="center"/>
              <w:rPr>
                <w:rFonts w:asciiTheme="minorHAnsi" w:hAnsiTheme="minorHAnsi" w:cs="Arial"/>
                <w:sz w:val="22"/>
                <w:szCs w:val="22"/>
              </w:rPr>
            </w:pPr>
            <w:r w:rsidRPr="00CF7621">
              <w:rPr>
                <w:rFonts w:asciiTheme="minorHAnsi" w:hAnsiTheme="minorHAnsi" w:cs="Arial"/>
                <w:sz w:val="22"/>
                <w:szCs w:val="22"/>
              </w:rPr>
              <w:t>186.82</w:t>
            </w:r>
          </w:p>
        </w:tc>
      </w:tr>
      <w:tr w:rsidR="008C38BA" w:rsidRPr="00CF7621" w14:paraId="66BE4C50" w14:textId="77777777" w:rsidTr="00CF7621">
        <w:trPr>
          <w:trHeight w:val="243"/>
        </w:trPr>
        <w:tc>
          <w:tcPr>
            <w:tcW w:w="993" w:type="dxa"/>
            <w:tcBorders>
              <w:top w:val="nil"/>
              <w:left w:val="single" w:sz="4" w:space="0" w:color="auto"/>
              <w:bottom w:val="single" w:sz="4" w:space="0" w:color="auto"/>
              <w:right w:val="single" w:sz="4" w:space="0" w:color="auto"/>
            </w:tcBorders>
            <w:shd w:val="clear" w:color="auto" w:fill="auto"/>
            <w:noWrap/>
            <w:vAlign w:val="bottom"/>
            <w:hideMark/>
          </w:tcPr>
          <w:p w14:paraId="6EE0072E" w14:textId="77777777" w:rsidR="008C38BA" w:rsidRPr="00CF7621" w:rsidRDefault="008C38BA">
            <w:pPr>
              <w:jc w:val="center"/>
              <w:rPr>
                <w:rFonts w:asciiTheme="minorHAnsi" w:hAnsiTheme="minorHAnsi" w:cs="Arial"/>
                <w:b/>
                <w:sz w:val="22"/>
                <w:szCs w:val="22"/>
              </w:rPr>
            </w:pPr>
            <w:r w:rsidRPr="00CF7621">
              <w:rPr>
                <w:rFonts w:asciiTheme="minorHAnsi" w:hAnsiTheme="minorHAnsi" w:cs="Arial"/>
                <w:b/>
                <w:sz w:val="22"/>
                <w:szCs w:val="22"/>
              </w:rPr>
              <w:t>7</w:t>
            </w:r>
          </w:p>
        </w:tc>
        <w:tc>
          <w:tcPr>
            <w:tcW w:w="4645" w:type="dxa"/>
            <w:tcBorders>
              <w:top w:val="nil"/>
              <w:left w:val="nil"/>
              <w:bottom w:val="single" w:sz="4" w:space="0" w:color="auto"/>
              <w:right w:val="single" w:sz="4" w:space="0" w:color="auto"/>
            </w:tcBorders>
            <w:shd w:val="clear" w:color="auto" w:fill="auto"/>
            <w:noWrap/>
            <w:vAlign w:val="bottom"/>
            <w:hideMark/>
          </w:tcPr>
          <w:p w14:paraId="23806DF8" w14:textId="77777777" w:rsidR="008C38BA" w:rsidRPr="00CF7621" w:rsidRDefault="008C38BA">
            <w:pPr>
              <w:rPr>
                <w:rFonts w:asciiTheme="minorHAnsi" w:hAnsiTheme="minorHAnsi" w:cs="Arial"/>
                <w:sz w:val="22"/>
                <w:szCs w:val="22"/>
              </w:rPr>
            </w:pPr>
            <w:r w:rsidRPr="00CF7621">
              <w:rPr>
                <w:rFonts w:asciiTheme="minorHAnsi" w:hAnsiTheme="minorHAnsi" w:cs="Arial"/>
                <w:sz w:val="22"/>
                <w:szCs w:val="22"/>
              </w:rPr>
              <w:t>Bad &amp; Doubtful Debt including Rebate</w:t>
            </w:r>
          </w:p>
        </w:tc>
        <w:tc>
          <w:tcPr>
            <w:tcW w:w="0" w:type="auto"/>
            <w:tcBorders>
              <w:top w:val="nil"/>
              <w:left w:val="nil"/>
              <w:bottom w:val="single" w:sz="4" w:space="0" w:color="auto"/>
              <w:right w:val="single" w:sz="4" w:space="0" w:color="auto"/>
            </w:tcBorders>
            <w:shd w:val="clear" w:color="auto" w:fill="auto"/>
            <w:noWrap/>
            <w:vAlign w:val="bottom"/>
            <w:hideMark/>
          </w:tcPr>
          <w:p w14:paraId="1107791F" w14:textId="77777777" w:rsidR="008C38BA" w:rsidRPr="00CF7621" w:rsidRDefault="008C38BA">
            <w:pPr>
              <w:jc w:val="center"/>
              <w:rPr>
                <w:rFonts w:asciiTheme="minorHAnsi" w:hAnsiTheme="minorHAnsi" w:cs="Arial"/>
                <w:sz w:val="22"/>
                <w:szCs w:val="22"/>
              </w:rPr>
            </w:pPr>
            <w:r w:rsidRPr="00CF7621">
              <w:rPr>
                <w:rFonts w:asciiTheme="minorHAnsi" w:hAnsiTheme="minorHAnsi" w:cs="Arial"/>
                <w:sz w:val="22"/>
                <w:szCs w:val="22"/>
              </w:rPr>
              <w:t>44.99</w:t>
            </w:r>
          </w:p>
        </w:tc>
      </w:tr>
      <w:tr w:rsidR="008C38BA" w:rsidRPr="00CF7621" w14:paraId="6328D4FD" w14:textId="77777777" w:rsidTr="00CF7621">
        <w:trPr>
          <w:trHeight w:val="243"/>
        </w:trPr>
        <w:tc>
          <w:tcPr>
            <w:tcW w:w="993" w:type="dxa"/>
            <w:tcBorders>
              <w:top w:val="nil"/>
              <w:left w:val="single" w:sz="4" w:space="0" w:color="auto"/>
              <w:bottom w:val="single" w:sz="4" w:space="0" w:color="auto"/>
              <w:right w:val="single" w:sz="4" w:space="0" w:color="auto"/>
            </w:tcBorders>
            <w:shd w:val="clear" w:color="auto" w:fill="auto"/>
            <w:noWrap/>
            <w:vAlign w:val="bottom"/>
            <w:hideMark/>
          </w:tcPr>
          <w:p w14:paraId="2D827FCA" w14:textId="77777777" w:rsidR="008C38BA" w:rsidRPr="00CF7621" w:rsidRDefault="008C38BA">
            <w:pPr>
              <w:jc w:val="center"/>
              <w:rPr>
                <w:rFonts w:asciiTheme="minorHAnsi" w:hAnsiTheme="minorHAnsi" w:cs="Arial"/>
                <w:b/>
                <w:sz w:val="22"/>
                <w:szCs w:val="22"/>
              </w:rPr>
            </w:pPr>
            <w:r w:rsidRPr="00CF7621">
              <w:rPr>
                <w:rFonts w:asciiTheme="minorHAnsi" w:hAnsiTheme="minorHAnsi" w:cs="Arial"/>
                <w:b/>
                <w:sz w:val="22"/>
                <w:szCs w:val="22"/>
              </w:rPr>
              <w:t>8</w:t>
            </w:r>
          </w:p>
        </w:tc>
        <w:tc>
          <w:tcPr>
            <w:tcW w:w="4645" w:type="dxa"/>
            <w:tcBorders>
              <w:top w:val="nil"/>
              <w:left w:val="nil"/>
              <w:bottom w:val="single" w:sz="4" w:space="0" w:color="auto"/>
              <w:right w:val="single" w:sz="4" w:space="0" w:color="auto"/>
            </w:tcBorders>
            <w:shd w:val="clear" w:color="auto" w:fill="auto"/>
            <w:noWrap/>
            <w:vAlign w:val="bottom"/>
            <w:hideMark/>
          </w:tcPr>
          <w:p w14:paraId="026D435A" w14:textId="77777777" w:rsidR="008C38BA" w:rsidRPr="00CF7621" w:rsidRDefault="008C38BA">
            <w:pPr>
              <w:rPr>
                <w:rFonts w:asciiTheme="minorHAnsi" w:hAnsiTheme="minorHAnsi" w:cs="Arial"/>
                <w:sz w:val="22"/>
                <w:szCs w:val="22"/>
              </w:rPr>
            </w:pPr>
            <w:r w:rsidRPr="00CF7621">
              <w:rPr>
                <w:rFonts w:asciiTheme="minorHAnsi" w:hAnsiTheme="minorHAnsi" w:cs="Arial"/>
                <w:sz w:val="22"/>
                <w:szCs w:val="22"/>
              </w:rPr>
              <w:t>Depreciation</w:t>
            </w:r>
          </w:p>
        </w:tc>
        <w:tc>
          <w:tcPr>
            <w:tcW w:w="0" w:type="auto"/>
            <w:tcBorders>
              <w:top w:val="nil"/>
              <w:left w:val="nil"/>
              <w:bottom w:val="single" w:sz="4" w:space="0" w:color="auto"/>
              <w:right w:val="single" w:sz="4" w:space="0" w:color="auto"/>
            </w:tcBorders>
            <w:shd w:val="clear" w:color="auto" w:fill="auto"/>
            <w:noWrap/>
            <w:vAlign w:val="bottom"/>
            <w:hideMark/>
          </w:tcPr>
          <w:p w14:paraId="34BD7471" w14:textId="77777777" w:rsidR="008C38BA" w:rsidRPr="00CF7621" w:rsidRDefault="008C38BA">
            <w:pPr>
              <w:jc w:val="center"/>
              <w:rPr>
                <w:rFonts w:asciiTheme="minorHAnsi" w:hAnsiTheme="minorHAnsi" w:cs="Arial"/>
                <w:sz w:val="22"/>
                <w:szCs w:val="22"/>
              </w:rPr>
            </w:pPr>
            <w:r w:rsidRPr="00CF7621">
              <w:rPr>
                <w:rFonts w:asciiTheme="minorHAnsi" w:hAnsiTheme="minorHAnsi" w:cs="Arial"/>
                <w:sz w:val="22"/>
                <w:szCs w:val="22"/>
              </w:rPr>
              <w:t>127.30</w:t>
            </w:r>
          </w:p>
        </w:tc>
      </w:tr>
      <w:tr w:rsidR="008C38BA" w:rsidRPr="00CF7621" w14:paraId="2CA54061" w14:textId="77777777" w:rsidTr="00CF7621">
        <w:trPr>
          <w:trHeight w:val="243"/>
        </w:trPr>
        <w:tc>
          <w:tcPr>
            <w:tcW w:w="993" w:type="dxa"/>
            <w:tcBorders>
              <w:top w:val="nil"/>
              <w:left w:val="single" w:sz="4" w:space="0" w:color="auto"/>
              <w:bottom w:val="single" w:sz="4" w:space="0" w:color="auto"/>
              <w:right w:val="single" w:sz="4" w:space="0" w:color="auto"/>
            </w:tcBorders>
            <w:shd w:val="clear" w:color="auto" w:fill="auto"/>
            <w:noWrap/>
            <w:vAlign w:val="bottom"/>
            <w:hideMark/>
          </w:tcPr>
          <w:p w14:paraId="307FD8C2" w14:textId="77777777" w:rsidR="008C38BA" w:rsidRPr="00CF7621" w:rsidRDefault="008C38BA">
            <w:pPr>
              <w:jc w:val="center"/>
              <w:rPr>
                <w:rFonts w:asciiTheme="minorHAnsi" w:hAnsiTheme="minorHAnsi" w:cs="Arial"/>
                <w:b/>
                <w:sz w:val="22"/>
                <w:szCs w:val="22"/>
              </w:rPr>
            </w:pPr>
            <w:r w:rsidRPr="00CF7621">
              <w:rPr>
                <w:rFonts w:asciiTheme="minorHAnsi" w:hAnsiTheme="minorHAnsi" w:cs="Arial"/>
                <w:b/>
                <w:sz w:val="22"/>
                <w:szCs w:val="22"/>
              </w:rPr>
              <w:t> </w:t>
            </w:r>
          </w:p>
        </w:tc>
        <w:tc>
          <w:tcPr>
            <w:tcW w:w="4645" w:type="dxa"/>
            <w:tcBorders>
              <w:top w:val="nil"/>
              <w:left w:val="nil"/>
              <w:bottom w:val="single" w:sz="4" w:space="0" w:color="auto"/>
              <w:right w:val="single" w:sz="4" w:space="0" w:color="auto"/>
            </w:tcBorders>
            <w:shd w:val="clear" w:color="auto" w:fill="auto"/>
            <w:noWrap/>
            <w:vAlign w:val="bottom"/>
            <w:hideMark/>
          </w:tcPr>
          <w:p w14:paraId="33AB6511" w14:textId="77777777" w:rsidR="008C38BA" w:rsidRPr="00CF7621" w:rsidRDefault="008C38BA">
            <w:pPr>
              <w:rPr>
                <w:rFonts w:asciiTheme="minorHAnsi" w:hAnsiTheme="minorHAnsi" w:cs="Arial"/>
                <w:sz w:val="22"/>
                <w:szCs w:val="22"/>
              </w:rPr>
            </w:pPr>
            <w:r w:rsidRPr="00CF7621">
              <w:rPr>
                <w:rFonts w:asciiTheme="minorHAnsi" w:hAnsiTheme="minorHAnsi" w:cs="Arial"/>
                <w:sz w:val="22"/>
                <w:szCs w:val="22"/>
              </w:rPr>
              <w:t>Interest on Loans</w:t>
            </w:r>
          </w:p>
        </w:tc>
        <w:tc>
          <w:tcPr>
            <w:tcW w:w="0" w:type="auto"/>
            <w:tcBorders>
              <w:top w:val="nil"/>
              <w:left w:val="nil"/>
              <w:bottom w:val="single" w:sz="4" w:space="0" w:color="auto"/>
              <w:right w:val="single" w:sz="4" w:space="0" w:color="auto"/>
            </w:tcBorders>
            <w:shd w:val="clear" w:color="auto" w:fill="auto"/>
            <w:noWrap/>
            <w:vAlign w:val="bottom"/>
            <w:hideMark/>
          </w:tcPr>
          <w:p w14:paraId="515107CE" w14:textId="77777777" w:rsidR="008C38BA" w:rsidRPr="00CF7621" w:rsidRDefault="008C38BA">
            <w:pPr>
              <w:jc w:val="center"/>
              <w:rPr>
                <w:rFonts w:asciiTheme="minorHAnsi" w:hAnsiTheme="minorHAnsi" w:cs="Arial"/>
                <w:sz w:val="22"/>
                <w:szCs w:val="22"/>
              </w:rPr>
            </w:pPr>
            <w:r w:rsidRPr="00CF7621">
              <w:rPr>
                <w:rFonts w:asciiTheme="minorHAnsi" w:hAnsiTheme="minorHAnsi" w:cs="Arial"/>
                <w:sz w:val="22"/>
                <w:szCs w:val="22"/>
              </w:rPr>
              <w:t>0.00</w:t>
            </w:r>
          </w:p>
        </w:tc>
      </w:tr>
      <w:tr w:rsidR="008C38BA" w:rsidRPr="00CF7621" w14:paraId="71F625B3" w14:textId="77777777" w:rsidTr="00CF7621">
        <w:trPr>
          <w:trHeight w:val="243"/>
        </w:trPr>
        <w:tc>
          <w:tcPr>
            <w:tcW w:w="993" w:type="dxa"/>
            <w:tcBorders>
              <w:top w:val="nil"/>
              <w:left w:val="single" w:sz="4" w:space="0" w:color="auto"/>
              <w:bottom w:val="single" w:sz="4" w:space="0" w:color="auto"/>
              <w:right w:val="single" w:sz="4" w:space="0" w:color="auto"/>
            </w:tcBorders>
            <w:shd w:val="clear" w:color="auto" w:fill="auto"/>
            <w:noWrap/>
            <w:vAlign w:val="bottom"/>
            <w:hideMark/>
          </w:tcPr>
          <w:p w14:paraId="5AA39B35" w14:textId="77777777" w:rsidR="008C38BA" w:rsidRPr="00CF7621" w:rsidRDefault="008C38BA">
            <w:pPr>
              <w:jc w:val="center"/>
              <w:rPr>
                <w:rFonts w:asciiTheme="minorHAnsi" w:hAnsiTheme="minorHAnsi" w:cs="Arial"/>
                <w:b/>
                <w:sz w:val="22"/>
                <w:szCs w:val="22"/>
              </w:rPr>
            </w:pPr>
            <w:r w:rsidRPr="00CF7621">
              <w:rPr>
                <w:rFonts w:asciiTheme="minorHAnsi" w:hAnsiTheme="minorHAnsi" w:cs="Arial"/>
                <w:b/>
                <w:sz w:val="22"/>
                <w:szCs w:val="22"/>
              </w:rPr>
              <w:t>9</w:t>
            </w:r>
          </w:p>
        </w:tc>
        <w:tc>
          <w:tcPr>
            <w:tcW w:w="4645" w:type="dxa"/>
            <w:tcBorders>
              <w:top w:val="nil"/>
              <w:left w:val="nil"/>
              <w:bottom w:val="single" w:sz="4" w:space="0" w:color="auto"/>
              <w:right w:val="single" w:sz="4" w:space="0" w:color="auto"/>
            </w:tcBorders>
            <w:shd w:val="clear" w:color="auto" w:fill="auto"/>
            <w:noWrap/>
            <w:vAlign w:val="bottom"/>
            <w:hideMark/>
          </w:tcPr>
          <w:p w14:paraId="51863584" w14:textId="77777777" w:rsidR="008C38BA" w:rsidRPr="00CF7621" w:rsidRDefault="008C38BA">
            <w:pPr>
              <w:rPr>
                <w:rFonts w:asciiTheme="minorHAnsi" w:hAnsiTheme="minorHAnsi" w:cs="Arial"/>
                <w:sz w:val="22"/>
                <w:szCs w:val="22"/>
              </w:rPr>
            </w:pPr>
            <w:r w:rsidRPr="00CF7621">
              <w:rPr>
                <w:rFonts w:asciiTheme="minorHAnsi" w:hAnsiTheme="minorHAnsi" w:cs="Arial"/>
                <w:sz w:val="22"/>
                <w:szCs w:val="22"/>
              </w:rPr>
              <w:t>for Capital loan</w:t>
            </w:r>
          </w:p>
        </w:tc>
        <w:tc>
          <w:tcPr>
            <w:tcW w:w="0" w:type="auto"/>
            <w:tcBorders>
              <w:top w:val="nil"/>
              <w:left w:val="nil"/>
              <w:bottom w:val="single" w:sz="4" w:space="0" w:color="auto"/>
              <w:right w:val="single" w:sz="4" w:space="0" w:color="auto"/>
            </w:tcBorders>
            <w:shd w:val="clear" w:color="auto" w:fill="auto"/>
            <w:noWrap/>
            <w:vAlign w:val="bottom"/>
            <w:hideMark/>
          </w:tcPr>
          <w:p w14:paraId="24BFED0F" w14:textId="77777777" w:rsidR="008C38BA" w:rsidRPr="00CF7621" w:rsidRDefault="008C38BA">
            <w:pPr>
              <w:jc w:val="center"/>
              <w:rPr>
                <w:rFonts w:asciiTheme="minorHAnsi" w:hAnsiTheme="minorHAnsi" w:cs="Arial"/>
                <w:sz w:val="22"/>
                <w:szCs w:val="22"/>
              </w:rPr>
            </w:pPr>
            <w:r w:rsidRPr="00CF7621">
              <w:rPr>
                <w:rFonts w:asciiTheme="minorHAnsi" w:hAnsiTheme="minorHAnsi" w:cs="Arial"/>
                <w:sz w:val="22"/>
                <w:szCs w:val="22"/>
              </w:rPr>
              <w:t>84.78</w:t>
            </w:r>
          </w:p>
        </w:tc>
      </w:tr>
      <w:tr w:rsidR="008C38BA" w:rsidRPr="00CF7621" w14:paraId="19CEA0E8" w14:textId="77777777" w:rsidTr="00CF7621">
        <w:trPr>
          <w:trHeight w:val="243"/>
        </w:trPr>
        <w:tc>
          <w:tcPr>
            <w:tcW w:w="993" w:type="dxa"/>
            <w:tcBorders>
              <w:top w:val="nil"/>
              <w:left w:val="single" w:sz="4" w:space="0" w:color="auto"/>
              <w:bottom w:val="single" w:sz="4" w:space="0" w:color="auto"/>
              <w:right w:val="single" w:sz="4" w:space="0" w:color="auto"/>
            </w:tcBorders>
            <w:shd w:val="clear" w:color="auto" w:fill="auto"/>
            <w:noWrap/>
            <w:vAlign w:val="bottom"/>
            <w:hideMark/>
          </w:tcPr>
          <w:p w14:paraId="0B112849" w14:textId="77777777" w:rsidR="008C38BA" w:rsidRPr="00CF7621" w:rsidRDefault="008C38BA">
            <w:pPr>
              <w:jc w:val="center"/>
              <w:rPr>
                <w:rFonts w:asciiTheme="minorHAnsi" w:hAnsiTheme="minorHAnsi" w:cs="Arial"/>
                <w:b/>
                <w:sz w:val="22"/>
                <w:szCs w:val="22"/>
              </w:rPr>
            </w:pPr>
            <w:r w:rsidRPr="00CF7621">
              <w:rPr>
                <w:rFonts w:asciiTheme="minorHAnsi" w:hAnsiTheme="minorHAnsi" w:cs="Arial"/>
                <w:b/>
                <w:sz w:val="22"/>
                <w:szCs w:val="22"/>
              </w:rPr>
              <w:t>10</w:t>
            </w:r>
          </w:p>
        </w:tc>
        <w:tc>
          <w:tcPr>
            <w:tcW w:w="4645" w:type="dxa"/>
            <w:tcBorders>
              <w:top w:val="nil"/>
              <w:left w:val="nil"/>
              <w:bottom w:val="single" w:sz="4" w:space="0" w:color="auto"/>
              <w:right w:val="single" w:sz="4" w:space="0" w:color="auto"/>
            </w:tcBorders>
            <w:shd w:val="clear" w:color="auto" w:fill="auto"/>
            <w:noWrap/>
            <w:vAlign w:val="bottom"/>
            <w:hideMark/>
          </w:tcPr>
          <w:p w14:paraId="2C432D7F" w14:textId="77777777" w:rsidR="008C38BA" w:rsidRPr="00CF7621" w:rsidRDefault="008C38BA">
            <w:pPr>
              <w:rPr>
                <w:rFonts w:asciiTheme="minorHAnsi" w:hAnsiTheme="minorHAnsi" w:cs="Arial"/>
                <w:sz w:val="22"/>
                <w:szCs w:val="22"/>
              </w:rPr>
            </w:pPr>
            <w:r w:rsidRPr="00CF7621">
              <w:rPr>
                <w:rFonts w:asciiTheme="minorHAnsi" w:hAnsiTheme="minorHAnsi" w:cs="Arial"/>
                <w:sz w:val="22"/>
                <w:szCs w:val="22"/>
              </w:rPr>
              <w:t>for Working capital</w:t>
            </w:r>
          </w:p>
        </w:tc>
        <w:tc>
          <w:tcPr>
            <w:tcW w:w="0" w:type="auto"/>
            <w:tcBorders>
              <w:top w:val="nil"/>
              <w:left w:val="nil"/>
              <w:bottom w:val="single" w:sz="4" w:space="0" w:color="auto"/>
              <w:right w:val="single" w:sz="4" w:space="0" w:color="auto"/>
            </w:tcBorders>
            <w:shd w:val="clear" w:color="auto" w:fill="auto"/>
            <w:noWrap/>
            <w:vAlign w:val="bottom"/>
            <w:hideMark/>
          </w:tcPr>
          <w:p w14:paraId="283524B9" w14:textId="77777777" w:rsidR="008C38BA" w:rsidRPr="00CF7621" w:rsidRDefault="008C38BA">
            <w:pPr>
              <w:jc w:val="center"/>
              <w:rPr>
                <w:rFonts w:asciiTheme="minorHAnsi" w:hAnsiTheme="minorHAnsi" w:cs="Arial"/>
                <w:sz w:val="22"/>
                <w:szCs w:val="22"/>
              </w:rPr>
            </w:pPr>
            <w:r w:rsidRPr="00CF7621">
              <w:rPr>
                <w:rFonts w:asciiTheme="minorHAnsi" w:hAnsiTheme="minorHAnsi" w:cs="Arial"/>
                <w:sz w:val="22"/>
                <w:szCs w:val="22"/>
              </w:rPr>
              <w:t>33.91</w:t>
            </w:r>
          </w:p>
        </w:tc>
      </w:tr>
      <w:tr w:rsidR="008C38BA" w:rsidRPr="00CF7621" w14:paraId="3F3B873D" w14:textId="77777777" w:rsidTr="00CF7621">
        <w:trPr>
          <w:trHeight w:val="243"/>
        </w:trPr>
        <w:tc>
          <w:tcPr>
            <w:tcW w:w="993" w:type="dxa"/>
            <w:tcBorders>
              <w:top w:val="nil"/>
              <w:left w:val="single" w:sz="4" w:space="0" w:color="auto"/>
              <w:bottom w:val="single" w:sz="4" w:space="0" w:color="auto"/>
              <w:right w:val="single" w:sz="4" w:space="0" w:color="auto"/>
            </w:tcBorders>
            <w:shd w:val="clear" w:color="auto" w:fill="auto"/>
            <w:noWrap/>
            <w:vAlign w:val="bottom"/>
            <w:hideMark/>
          </w:tcPr>
          <w:p w14:paraId="26FF93A3" w14:textId="77777777" w:rsidR="008C38BA" w:rsidRPr="00CF7621" w:rsidRDefault="008C38BA">
            <w:pPr>
              <w:jc w:val="center"/>
              <w:rPr>
                <w:rFonts w:asciiTheme="minorHAnsi" w:hAnsiTheme="minorHAnsi" w:cs="Arial"/>
                <w:b/>
                <w:sz w:val="22"/>
                <w:szCs w:val="22"/>
              </w:rPr>
            </w:pPr>
            <w:r w:rsidRPr="00CF7621">
              <w:rPr>
                <w:rFonts w:asciiTheme="minorHAnsi" w:hAnsiTheme="minorHAnsi" w:cs="Arial"/>
                <w:b/>
                <w:sz w:val="22"/>
                <w:szCs w:val="22"/>
              </w:rPr>
              <w:t>11</w:t>
            </w:r>
          </w:p>
        </w:tc>
        <w:tc>
          <w:tcPr>
            <w:tcW w:w="4645" w:type="dxa"/>
            <w:tcBorders>
              <w:top w:val="nil"/>
              <w:left w:val="nil"/>
              <w:bottom w:val="single" w:sz="4" w:space="0" w:color="auto"/>
              <w:right w:val="single" w:sz="4" w:space="0" w:color="auto"/>
            </w:tcBorders>
            <w:shd w:val="clear" w:color="auto" w:fill="auto"/>
            <w:noWrap/>
            <w:vAlign w:val="bottom"/>
            <w:hideMark/>
          </w:tcPr>
          <w:p w14:paraId="35CFA643" w14:textId="77777777" w:rsidR="008C38BA" w:rsidRPr="00CF7621" w:rsidRDefault="008C38BA">
            <w:pPr>
              <w:rPr>
                <w:rFonts w:asciiTheme="minorHAnsi" w:hAnsiTheme="minorHAnsi" w:cs="Arial"/>
                <w:sz w:val="22"/>
                <w:szCs w:val="22"/>
              </w:rPr>
            </w:pPr>
            <w:r w:rsidRPr="00CF7621">
              <w:rPr>
                <w:rFonts w:asciiTheme="minorHAnsi" w:hAnsiTheme="minorHAnsi" w:cs="Arial"/>
                <w:sz w:val="22"/>
                <w:szCs w:val="22"/>
              </w:rPr>
              <w:t>Interest on Security Deposits</w:t>
            </w:r>
          </w:p>
        </w:tc>
        <w:tc>
          <w:tcPr>
            <w:tcW w:w="0" w:type="auto"/>
            <w:tcBorders>
              <w:top w:val="nil"/>
              <w:left w:val="nil"/>
              <w:bottom w:val="single" w:sz="4" w:space="0" w:color="auto"/>
              <w:right w:val="single" w:sz="4" w:space="0" w:color="auto"/>
            </w:tcBorders>
            <w:shd w:val="clear" w:color="auto" w:fill="auto"/>
            <w:noWrap/>
            <w:vAlign w:val="bottom"/>
            <w:hideMark/>
          </w:tcPr>
          <w:p w14:paraId="7A2A2E34" w14:textId="77777777" w:rsidR="008C38BA" w:rsidRPr="00CF7621" w:rsidRDefault="008C38BA">
            <w:pPr>
              <w:jc w:val="center"/>
              <w:rPr>
                <w:rFonts w:asciiTheme="minorHAnsi" w:hAnsiTheme="minorHAnsi" w:cs="Arial"/>
                <w:sz w:val="22"/>
                <w:szCs w:val="22"/>
              </w:rPr>
            </w:pPr>
            <w:r w:rsidRPr="00CF7621">
              <w:rPr>
                <w:rFonts w:asciiTheme="minorHAnsi" w:hAnsiTheme="minorHAnsi" w:cs="Arial"/>
                <w:sz w:val="22"/>
                <w:szCs w:val="22"/>
              </w:rPr>
              <w:t>63.68</w:t>
            </w:r>
          </w:p>
        </w:tc>
      </w:tr>
      <w:tr w:rsidR="008C38BA" w:rsidRPr="00CF7621" w14:paraId="42AAA7C1" w14:textId="77777777" w:rsidTr="00CF7621">
        <w:trPr>
          <w:trHeight w:val="243"/>
        </w:trPr>
        <w:tc>
          <w:tcPr>
            <w:tcW w:w="993" w:type="dxa"/>
            <w:tcBorders>
              <w:top w:val="nil"/>
              <w:left w:val="single" w:sz="4" w:space="0" w:color="auto"/>
              <w:bottom w:val="single" w:sz="4" w:space="0" w:color="auto"/>
              <w:right w:val="single" w:sz="4" w:space="0" w:color="auto"/>
            </w:tcBorders>
            <w:shd w:val="clear" w:color="auto" w:fill="auto"/>
            <w:noWrap/>
            <w:vAlign w:val="bottom"/>
            <w:hideMark/>
          </w:tcPr>
          <w:p w14:paraId="69BFFCDC" w14:textId="77777777" w:rsidR="008C38BA" w:rsidRPr="00CF7621" w:rsidRDefault="008C38BA">
            <w:pPr>
              <w:jc w:val="center"/>
              <w:rPr>
                <w:rFonts w:asciiTheme="minorHAnsi" w:hAnsiTheme="minorHAnsi" w:cs="Arial"/>
                <w:b/>
                <w:sz w:val="22"/>
                <w:szCs w:val="22"/>
              </w:rPr>
            </w:pPr>
            <w:r w:rsidRPr="00CF7621">
              <w:rPr>
                <w:rFonts w:asciiTheme="minorHAnsi" w:hAnsiTheme="minorHAnsi" w:cs="Arial"/>
                <w:b/>
                <w:sz w:val="22"/>
                <w:szCs w:val="22"/>
              </w:rPr>
              <w:t>12</w:t>
            </w:r>
          </w:p>
        </w:tc>
        <w:tc>
          <w:tcPr>
            <w:tcW w:w="4645" w:type="dxa"/>
            <w:tcBorders>
              <w:top w:val="nil"/>
              <w:left w:val="nil"/>
              <w:bottom w:val="single" w:sz="4" w:space="0" w:color="auto"/>
              <w:right w:val="single" w:sz="4" w:space="0" w:color="auto"/>
            </w:tcBorders>
            <w:shd w:val="clear" w:color="auto" w:fill="auto"/>
            <w:noWrap/>
            <w:vAlign w:val="bottom"/>
            <w:hideMark/>
          </w:tcPr>
          <w:p w14:paraId="05546BA0" w14:textId="77777777" w:rsidR="008C38BA" w:rsidRPr="00CF7621" w:rsidRDefault="008C38BA">
            <w:pPr>
              <w:rPr>
                <w:rFonts w:asciiTheme="minorHAnsi" w:hAnsiTheme="minorHAnsi" w:cs="Arial"/>
                <w:sz w:val="22"/>
                <w:szCs w:val="22"/>
              </w:rPr>
            </w:pPr>
            <w:r w:rsidRPr="00CF7621">
              <w:rPr>
                <w:rFonts w:asciiTheme="minorHAnsi" w:hAnsiTheme="minorHAnsi" w:cs="Arial"/>
                <w:sz w:val="22"/>
                <w:szCs w:val="22"/>
              </w:rPr>
              <w:t>Return on Equity</w:t>
            </w:r>
          </w:p>
        </w:tc>
        <w:tc>
          <w:tcPr>
            <w:tcW w:w="0" w:type="auto"/>
            <w:tcBorders>
              <w:top w:val="nil"/>
              <w:left w:val="nil"/>
              <w:bottom w:val="single" w:sz="4" w:space="0" w:color="auto"/>
              <w:right w:val="single" w:sz="4" w:space="0" w:color="auto"/>
            </w:tcBorders>
            <w:shd w:val="clear" w:color="auto" w:fill="auto"/>
            <w:noWrap/>
            <w:vAlign w:val="bottom"/>
            <w:hideMark/>
          </w:tcPr>
          <w:p w14:paraId="12B19B97" w14:textId="77777777" w:rsidR="008C38BA" w:rsidRPr="00CF7621" w:rsidRDefault="008C38BA">
            <w:pPr>
              <w:jc w:val="center"/>
              <w:rPr>
                <w:rFonts w:asciiTheme="minorHAnsi" w:hAnsiTheme="minorHAnsi" w:cs="Arial"/>
                <w:sz w:val="22"/>
                <w:szCs w:val="22"/>
              </w:rPr>
            </w:pPr>
            <w:r w:rsidRPr="00CF7621">
              <w:rPr>
                <w:rFonts w:asciiTheme="minorHAnsi" w:hAnsiTheme="minorHAnsi" w:cs="Arial"/>
                <w:sz w:val="22"/>
                <w:szCs w:val="22"/>
              </w:rPr>
              <w:t>127.80</w:t>
            </w:r>
          </w:p>
        </w:tc>
      </w:tr>
      <w:tr w:rsidR="008C38BA" w:rsidRPr="00CF7621" w14:paraId="498C7CDD" w14:textId="77777777" w:rsidTr="00CF7621">
        <w:trPr>
          <w:trHeight w:val="243"/>
        </w:trPr>
        <w:tc>
          <w:tcPr>
            <w:tcW w:w="993" w:type="dxa"/>
            <w:tcBorders>
              <w:top w:val="nil"/>
              <w:left w:val="single" w:sz="4" w:space="0" w:color="auto"/>
              <w:bottom w:val="single" w:sz="4" w:space="0" w:color="auto"/>
              <w:right w:val="single" w:sz="4" w:space="0" w:color="auto"/>
            </w:tcBorders>
            <w:shd w:val="clear" w:color="auto" w:fill="auto"/>
            <w:noWrap/>
            <w:vAlign w:val="bottom"/>
            <w:hideMark/>
          </w:tcPr>
          <w:p w14:paraId="27F25DEC" w14:textId="77777777" w:rsidR="008C38BA" w:rsidRPr="00CF7621" w:rsidRDefault="008C38BA">
            <w:pPr>
              <w:jc w:val="center"/>
              <w:rPr>
                <w:rFonts w:asciiTheme="minorHAnsi" w:hAnsiTheme="minorHAnsi" w:cs="Arial"/>
                <w:b/>
                <w:sz w:val="22"/>
                <w:szCs w:val="22"/>
              </w:rPr>
            </w:pPr>
            <w:r w:rsidRPr="00CF7621">
              <w:rPr>
                <w:rFonts w:asciiTheme="minorHAnsi" w:hAnsiTheme="minorHAnsi" w:cs="Arial"/>
                <w:b/>
                <w:sz w:val="22"/>
                <w:szCs w:val="22"/>
              </w:rPr>
              <w:t>13</w:t>
            </w:r>
          </w:p>
        </w:tc>
        <w:tc>
          <w:tcPr>
            <w:tcW w:w="4645" w:type="dxa"/>
            <w:tcBorders>
              <w:top w:val="nil"/>
              <w:left w:val="nil"/>
              <w:bottom w:val="single" w:sz="4" w:space="0" w:color="auto"/>
              <w:right w:val="single" w:sz="4" w:space="0" w:color="auto"/>
            </w:tcBorders>
            <w:shd w:val="clear" w:color="auto" w:fill="auto"/>
            <w:noWrap/>
            <w:vAlign w:val="bottom"/>
            <w:hideMark/>
          </w:tcPr>
          <w:p w14:paraId="1809F32A" w14:textId="77777777" w:rsidR="008C38BA" w:rsidRPr="00CF7621" w:rsidRDefault="008C38BA">
            <w:pPr>
              <w:rPr>
                <w:rFonts w:asciiTheme="minorHAnsi" w:hAnsiTheme="minorHAnsi" w:cs="Arial"/>
                <w:sz w:val="22"/>
                <w:szCs w:val="22"/>
              </w:rPr>
            </w:pPr>
            <w:r w:rsidRPr="00CF7621">
              <w:rPr>
                <w:rFonts w:asciiTheme="minorHAnsi" w:hAnsiTheme="minorHAnsi" w:cs="Arial"/>
                <w:sz w:val="22"/>
                <w:szCs w:val="22"/>
              </w:rPr>
              <w:t xml:space="preserve">Tax on </w:t>
            </w:r>
            <w:proofErr w:type="spellStart"/>
            <w:r w:rsidRPr="00CF7621">
              <w:rPr>
                <w:rFonts w:asciiTheme="minorHAnsi" w:hAnsiTheme="minorHAnsi" w:cs="Arial"/>
                <w:sz w:val="22"/>
                <w:szCs w:val="22"/>
              </w:rPr>
              <w:t>RoE</w:t>
            </w:r>
            <w:proofErr w:type="spellEnd"/>
          </w:p>
        </w:tc>
        <w:tc>
          <w:tcPr>
            <w:tcW w:w="0" w:type="auto"/>
            <w:tcBorders>
              <w:top w:val="nil"/>
              <w:left w:val="nil"/>
              <w:bottom w:val="single" w:sz="4" w:space="0" w:color="auto"/>
              <w:right w:val="single" w:sz="4" w:space="0" w:color="auto"/>
            </w:tcBorders>
            <w:shd w:val="clear" w:color="auto" w:fill="auto"/>
            <w:noWrap/>
            <w:vAlign w:val="bottom"/>
            <w:hideMark/>
          </w:tcPr>
          <w:p w14:paraId="50C25039" w14:textId="77777777" w:rsidR="008C38BA" w:rsidRPr="00CF7621" w:rsidRDefault="008C38BA">
            <w:pPr>
              <w:jc w:val="center"/>
              <w:rPr>
                <w:rFonts w:asciiTheme="minorHAnsi" w:hAnsiTheme="minorHAnsi" w:cs="Arial"/>
                <w:sz w:val="22"/>
                <w:szCs w:val="22"/>
              </w:rPr>
            </w:pPr>
            <w:r w:rsidRPr="00CF7621">
              <w:rPr>
                <w:rFonts w:asciiTheme="minorHAnsi" w:hAnsiTheme="minorHAnsi" w:cs="Arial"/>
                <w:sz w:val="22"/>
                <w:szCs w:val="22"/>
              </w:rPr>
              <w:t>42.99</w:t>
            </w:r>
          </w:p>
        </w:tc>
      </w:tr>
      <w:tr w:rsidR="008C38BA" w:rsidRPr="00CF7621" w14:paraId="06212AF5" w14:textId="77777777" w:rsidTr="00CF7621">
        <w:trPr>
          <w:trHeight w:val="243"/>
        </w:trPr>
        <w:tc>
          <w:tcPr>
            <w:tcW w:w="993" w:type="dxa"/>
            <w:tcBorders>
              <w:top w:val="nil"/>
              <w:left w:val="single" w:sz="4" w:space="0" w:color="auto"/>
              <w:bottom w:val="single" w:sz="4" w:space="0" w:color="auto"/>
              <w:right w:val="single" w:sz="4" w:space="0" w:color="auto"/>
            </w:tcBorders>
            <w:shd w:val="clear" w:color="auto" w:fill="auto"/>
            <w:noWrap/>
            <w:vAlign w:val="bottom"/>
            <w:hideMark/>
          </w:tcPr>
          <w:p w14:paraId="2D9F022D" w14:textId="77777777" w:rsidR="008C38BA" w:rsidRPr="00CF7621" w:rsidRDefault="008C38BA">
            <w:pPr>
              <w:jc w:val="center"/>
              <w:rPr>
                <w:rFonts w:asciiTheme="minorHAnsi" w:hAnsiTheme="minorHAnsi" w:cs="Arial"/>
                <w:b/>
                <w:sz w:val="22"/>
                <w:szCs w:val="22"/>
              </w:rPr>
            </w:pPr>
            <w:r w:rsidRPr="00CF7621">
              <w:rPr>
                <w:rFonts w:asciiTheme="minorHAnsi" w:hAnsiTheme="minorHAnsi" w:cs="Arial"/>
                <w:b/>
                <w:sz w:val="22"/>
                <w:szCs w:val="22"/>
              </w:rPr>
              <w:t> </w:t>
            </w:r>
          </w:p>
        </w:tc>
        <w:tc>
          <w:tcPr>
            <w:tcW w:w="4645" w:type="dxa"/>
            <w:tcBorders>
              <w:top w:val="nil"/>
              <w:left w:val="nil"/>
              <w:bottom w:val="single" w:sz="4" w:space="0" w:color="auto"/>
              <w:right w:val="single" w:sz="4" w:space="0" w:color="auto"/>
            </w:tcBorders>
            <w:shd w:val="clear" w:color="auto" w:fill="auto"/>
            <w:noWrap/>
            <w:vAlign w:val="bottom"/>
            <w:hideMark/>
          </w:tcPr>
          <w:p w14:paraId="482354A9" w14:textId="77777777" w:rsidR="008C38BA" w:rsidRPr="00CF7621" w:rsidRDefault="008C38BA">
            <w:pPr>
              <w:rPr>
                <w:rFonts w:asciiTheme="minorHAnsi" w:hAnsiTheme="minorHAnsi" w:cs="Arial"/>
                <w:b/>
                <w:sz w:val="22"/>
                <w:szCs w:val="22"/>
              </w:rPr>
            </w:pPr>
            <w:r w:rsidRPr="00CF7621">
              <w:rPr>
                <w:rFonts w:asciiTheme="minorHAnsi" w:hAnsiTheme="minorHAnsi" w:cs="Arial"/>
                <w:b/>
                <w:sz w:val="22"/>
                <w:szCs w:val="22"/>
              </w:rPr>
              <w:t>Special Appropriation</w:t>
            </w:r>
          </w:p>
        </w:tc>
        <w:tc>
          <w:tcPr>
            <w:tcW w:w="0" w:type="auto"/>
            <w:tcBorders>
              <w:top w:val="nil"/>
              <w:left w:val="nil"/>
              <w:bottom w:val="single" w:sz="4" w:space="0" w:color="auto"/>
              <w:right w:val="single" w:sz="4" w:space="0" w:color="auto"/>
            </w:tcBorders>
            <w:shd w:val="clear" w:color="auto" w:fill="auto"/>
            <w:noWrap/>
            <w:vAlign w:val="bottom"/>
            <w:hideMark/>
          </w:tcPr>
          <w:p w14:paraId="0E73A8D8" w14:textId="77777777" w:rsidR="008C38BA" w:rsidRPr="00CF7621" w:rsidRDefault="008C38BA">
            <w:pPr>
              <w:jc w:val="center"/>
              <w:rPr>
                <w:rFonts w:asciiTheme="minorHAnsi" w:hAnsiTheme="minorHAnsi" w:cs="Arial"/>
                <w:sz w:val="22"/>
                <w:szCs w:val="22"/>
              </w:rPr>
            </w:pPr>
            <w:r w:rsidRPr="00CF7621">
              <w:rPr>
                <w:rFonts w:asciiTheme="minorHAnsi" w:hAnsiTheme="minorHAnsi" w:cs="Arial"/>
                <w:sz w:val="22"/>
                <w:szCs w:val="22"/>
              </w:rPr>
              <w:t>0.00</w:t>
            </w:r>
          </w:p>
        </w:tc>
      </w:tr>
      <w:tr w:rsidR="008C38BA" w:rsidRPr="00CF7621" w14:paraId="3AA9D41B" w14:textId="77777777" w:rsidTr="00CF7621">
        <w:trPr>
          <w:trHeight w:val="243"/>
        </w:trPr>
        <w:tc>
          <w:tcPr>
            <w:tcW w:w="993" w:type="dxa"/>
            <w:tcBorders>
              <w:top w:val="nil"/>
              <w:left w:val="single" w:sz="4" w:space="0" w:color="auto"/>
              <w:bottom w:val="single" w:sz="4" w:space="0" w:color="auto"/>
              <w:right w:val="single" w:sz="4" w:space="0" w:color="auto"/>
            </w:tcBorders>
            <w:shd w:val="clear" w:color="auto" w:fill="auto"/>
            <w:noWrap/>
            <w:vAlign w:val="bottom"/>
            <w:hideMark/>
          </w:tcPr>
          <w:p w14:paraId="4179AD3B" w14:textId="77777777" w:rsidR="008C38BA" w:rsidRPr="00CF7621" w:rsidRDefault="008C38BA">
            <w:pPr>
              <w:jc w:val="center"/>
              <w:rPr>
                <w:rFonts w:asciiTheme="minorHAnsi" w:hAnsiTheme="minorHAnsi" w:cs="Arial"/>
                <w:b/>
                <w:sz w:val="22"/>
                <w:szCs w:val="22"/>
              </w:rPr>
            </w:pPr>
            <w:r w:rsidRPr="00CF7621">
              <w:rPr>
                <w:rFonts w:asciiTheme="minorHAnsi" w:hAnsiTheme="minorHAnsi" w:cs="Arial"/>
                <w:b/>
                <w:sz w:val="22"/>
                <w:szCs w:val="22"/>
              </w:rPr>
              <w:t>14</w:t>
            </w:r>
          </w:p>
        </w:tc>
        <w:tc>
          <w:tcPr>
            <w:tcW w:w="4645" w:type="dxa"/>
            <w:tcBorders>
              <w:top w:val="nil"/>
              <w:left w:val="nil"/>
              <w:bottom w:val="single" w:sz="4" w:space="0" w:color="auto"/>
              <w:right w:val="single" w:sz="4" w:space="0" w:color="auto"/>
            </w:tcBorders>
            <w:shd w:val="clear" w:color="auto" w:fill="auto"/>
            <w:noWrap/>
            <w:vAlign w:val="bottom"/>
            <w:hideMark/>
          </w:tcPr>
          <w:p w14:paraId="73F77B0F" w14:textId="77777777" w:rsidR="008C38BA" w:rsidRPr="00CF7621" w:rsidRDefault="008C38BA">
            <w:pPr>
              <w:rPr>
                <w:rFonts w:asciiTheme="minorHAnsi" w:hAnsiTheme="minorHAnsi" w:cs="Arial"/>
                <w:sz w:val="22"/>
                <w:szCs w:val="22"/>
              </w:rPr>
            </w:pPr>
            <w:r w:rsidRPr="00CF7621">
              <w:rPr>
                <w:rFonts w:asciiTheme="minorHAnsi" w:hAnsiTheme="minorHAnsi" w:cs="Arial"/>
                <w:sz w:val="22"/>
                <w:szCs w:val="22"/>
              </w:rPr>
              <w:t>Carrying Cost</w:t>
            </w:r>
          </w:p>
        </w:tc>
        <w:tc>
          <w:tcPr>
            <w:tcW w:w="0" w:type="auto"/>
            <w:tcBorders>
              <w:top w:val="nil"/>
              <w:left w:val="nil"/>
              <w:bottom w:val="single" w:sz="4" w:space="0" w:color="auto"/>
              <w:right w:val="single" w:sz="4" w:space="0" w:color="auto"/>
            </w:tcBorders>
            <w:shd w:val="clear" w:color="auto" w:fill="auto"/>
            <w:noWrap/>
            <w:vAlign w:val="bottom"/>
            <w:hideMark/>
          </w:tcPr>
          <w:p w14:paraId="7838EB5A" w14:textId="77777777" w:rsidR="008C38BA" w:rsidRPr="00CF7621" w:rsidRDefault="008C38BA">
            <w:pPr>
              <w:jc w:val="center"/>
              <w:rPr>
                <w:rFonts w:asciiTheme="minorHAnsi" w:hAnsiTheme="minorHAnsi" w:cs="Arial"/>
                <w:sz w:val="22"/>
                <w:szCs w:val="22"/>
              </w:rPr>
            </w:pPr>
            <w:r w:rsidRPr="00CF7621">
              <w:rPr>
                <w:rFonts w:asciiTheme="minorHAnsi" w:hAnsiTheme="minorHAnsi" w:cs="Arial"/>
                <w:sz w:val="22"/>
                <w:szCs w:val="22"/>
              </w:rPr>
              <w:t>25.55</w:t>
            </w:r>
          </w:p>
        </w:tc>
      </w:tr>
      <w:tr w:rsidR="008C38BA" w:rsidRPr="00CF7621" w14:paraId="2E2F314D" w14:textId="77777777" w:rsidTr="00CF7621">
        <w:trPr>
          <w:trHeight w:val="243"/>
        </w:trPr>
        <w:tc>
          <w:tcPr>
            <w:tcW w:w="993" w:type="dxa"/>
            <w:tcBorders>
              <w:top w:val="nil"/>
              <w:left w:val="single" w:sz="4" w:space="0" w:color="auto"/>
              <w:bottom w:val="single" w:sz="4" w:space="0" w:color="auto"/>
              <w:right w:val="single" w:sz="4" w:space="0" w:color="auto"/>
            </w:tcBorders>
            <w:shd w:val="clear" w:color="auto" w:fill="auto"/>
            <w:noWrap/>
            <w:vAlign w:val="bottom"/>
            <w:hideMark/>
          </w:tcPr>
          <w:p w14:paraId="203AE5C1" w14:textId="77777777" w:rsidR="008C38BA" w:rsidRPr="00CF7621" w:rsidRDefault="008C38BA">
            <w:pPr>
              <w:jc w:val="center"/>
              <w:rPr>
                <w:rFonts w:asciiTheme="minorHAnsi" w:hAnsiTheme="minorHAnsi" w:cs="Arial"/>
                <w:b/>
                <w:sz w:val="22"/>
                <w:szCs w:val="22"/>
              </w:rPr>
            </w:pPr>
            <w:r w:rsidRPr="00CF7621">
              <w:rPr>
                <w:rFonts w:asciiTheme="minorHAnsi" w:hAnsiTheme="minorHAnsi" w:cs="Arial"/>
                <w:b/>
                <w:sz w:val="22"/>
                <w:szCs w:val="22"/>
              </w:rPr>
              <w:t>15</w:t>
            </w:r>
          </w:p>
        </w:tc>
        <w:tc>
          <w:tcPr>
            <w:tcW w:w="4645" w:type="dxa"/>
            <w:tcBorders>
              <w:top w:val="nil"/>
              <w:left w:val="nil"/>
              <w:bottom w:val="single" w:sz="4" w:space="0" w:color="auto"/>
              <w:right w:val="single" w:sz="4" w:space="0" w:color="auto"/>
            </w:tcBorders>
            <w:shd w:val="clear" w:color="auto" w:fill="auto"/>
            <w:noWrap/>
            <w:vAlign w:val="bottom"/>
            <w:hideMark/>
          </w:tcPr>
          <w:p w14:paraId="0E8CDDB4" w14:textId="77777777" w:rsidR="008C38BA" w:rsidRPr="00CF7621" w:rsidRDefault="008C38BA">
            <w:pPr>
              <w:rPr>
                <w:rFonts w:asciiTheme="minorHAnsi" w:hAnsiTheme="minorHAnsi" w:cs="Arial"/>
                <w:sz w:val="22"/>
                <w:szCs w:val="22"/>
              </w:rPr>
            </w:pPr>
            <w:r w:rsidRPr="00CF7621">
              <w:rPr>
                <w:rFonts w:asciiTheme="minorHAnsi" w:hAnsiTheme="minorHAnsi" w:cs="Arial"/>
                <w:sz w:val="22"/>
                <w:szCs w:val="22"/>
              </w:rPr>
              <w:t>True Up of Current year GAP 1/3rd</w:t>
            </w:r>
          </w:p>
        </w:tc>
        <w:tc>
          <w:tcPr>
            <w:tcW w:w="0" w:type="auto"/>
            <w:tcBorders>
              <w:top w:val="nil"/>
              <w:left w:val="nil"/>
              <w:bottom w:val="single" w:sz="4" w:space="0" w:color="auto"/>
              <w:right w:val="single" w:sz="4" w:space="0" w:color="auto"/>
            </w:tcBorders>
            <w:shd w:val="clear" w:color="auto" w:fill="auto"/>
            <w:noWrap/>
            <w:vAlign w:val="bottom"/>
            <w:hideMark/>
          </w:tcPr>
          <w:p w14:paraId="4D220BE5" w14:textId="77777777" w:rsidR="008C38BA" w:rsidRPr="00CF7621" w:rsidRDefault="008C38BA">
            <w:pPr>
              <w:jc w:val="center"/>
              <w:rPr>
                <w:rFonts w:asciiTheme="minorHAnsi" w:hAnsiTheme="minorHAnsi" w:cs="Arial"/>
                <w:sz w:val="22"/>
                <w:szCs w:val="22"/>
              </w:rPr>
            </w:pPr>
            <w:r w:rsidRPr="00CF7621">
              <w:rPr>
                <w:rFonts w:asciiTheme="minorHAnsi" w:hAnsiTheme="minorHAnsi" w:cs="Arial"/>
                <w:sz w:val="22"/>
                <w:szCs w:val="22"/>
              </w:rPr>
              <w:t>0.00</w:t>
            </w:r>
          </w:p>
        </w:tc>
      </w:tr>
      <w:tr w:rsidR="008C38BA" w:rsidRPr="00CF7621" w14:paraId="56B07205" w14:textId="77777777" w:rsidTr="00CF7621">
        <w:trPr>
          <w:trHeight w:val="243"/>
        </w:trPr>
        <w:tc>
          <w:tcPr>
            <w:tcW w:w="993" w:type="dxa"/>
            <w:tcBorders>
              <w:top w:val="nil"/>
              <w:left w:val="single" w:sz="4" w:space="0" w:color="auto"/>
              <w:bottom w:val="single" w:sz="4" w:space="0" w:color="auto"/>
              <w:right w:val="single" w:sz="4" w:space="0" w:color="auto"/>
            </w:tcBorders>
            <w:shd w:val="clear" w:color="auto" w:fill="auto"/>
            <w:noWrap/>
            <w:vAlign w:val="bottom"/>
            <w:hideMark/>
          </w:tcPr>
          <w:p w14:paraId="63831A08" w14:textId="77777777" w:rsidR="008C38BA" w:rsidRPr="00CF7621" w:rsidRDefault="008C38BA">
            <w:pPr>
              <w:jc w:val="center"/>
              <w:rPr>
                <w:rFonts w:asciiTheme="minorHAnsi" w:hAnsiTheme="minorHAnsi" w:cs="Arial"/>
                <w:b/>
                <w:sz w:val="22"/>
                <w:szCs w:val="22"/>
              </w:rPr>
            </w:pPr>
            <w:r w:rsidRPr="00CF7621">
              <w:rPr>
                <w:rFonts w:asciiTheme="minorHAnsi" w:hAnsiTheme="minorHAnsi" w:cs="Arial"/>
                <w:b/>
                <w:sz w:val="22"/>
                <w:szCs w:val="22"/>
              </w:rPr>
              <w:t>16</w:t>
            </w:r>
          </w:p>
        </w:tc>
        <w:tc>
          <w:tcPr>
            <w:tcW w:w="4645" w:type="dxa"/>
            <w:tcBorders>
              <w:top w:val="nil"/>
              <w:left w:val="nil"/>
              <w:bottom w:val="single" w:sz="4" w:space="0" w:color="auto"/>
              <w:right w:val="single" w:sz="4" w:space="0" w:color="auto"/>
            </w:tcBorders>
            <w:shd w:val="clear" w:color="auto" w:fill="auto"/>
            <w:noWrap/>
            <w:vAlign w:val="bottom"/>
            <w:hideMark/>
          </w:tcPr>
          <w:p w14:paraId="378A948D" w14:textId="2B36DA78" w:rsidR="008C38BA" w:rsidRPr="00CF7621" w:rsidRDefault="008C38BA">
            <w:pPr>
              <w:rPr>
                <w:rFonts w:asciiTheme="minorHAnsi" w:hAnsiTheme="minorHAnsi" w:cs="Arial"/>
                <w:sz w:val="22"/>
                <w:szCs w:val="22"/>
              </w:rPr>
            </w:pPr>
            <w:r w:rsidRPr="00CF7621">
              <w:rPr>
                <w:rFonts w:asciiTheme="minorHAnsi" w:hAnsiTheme="minorHAnsi" w:cs="Arial"/>
                <w:sz w:val="22"/>
                <w:szCs w:val="22"/>
              </w:rPr>
              <w:t>Other, if any-</w:t>
            </w:r>
            <w:r w:rsidR="00006D65" w:rsidRPr="00CF7621">
              <w:rPr>
                <w:rFonts w:asciiTheme="minorHAnsi" w:hAnsiTheme="minorHAnsi" w:cs="Arial"/>
                <w:sz w:val="22"/>
                <w:szCs w:val="22"/>
              </w:rPr>
              <w:t>Contingency</w:t>
            </w:r>
            <w:r w:rsidRPr="00CF7621">
              <w:rPr>
                <w:rFonts w:asciiTheme="minorHAnsi" w:hAnsiTheme="minorHAnsi" w:cs="Arial"/>
                <w:sz w:val="22"/>
                <w:szCs w:val="22"/>
              </w:rPr>
              <w:t xml:space="preserve"> Reserve</w:t>
            </w:r>
          </w:p>
        </w:tc>
        <w:tc>
          <w:tcPr>
            <w:tcW w:w="0" w:type="auto"/>
            <w:tcBorders>
              <w:top w:val="nil"/>
              <w:left w:val="nil"/>
              <w:bottom w:val="single" w:sz="4" w:space="0" w:color="auto"/>
              <w:right w:val="single" w:sz="4" w:space="0" w:color="auto"/>
            </w:tcBorders>
            <w:shd w:val="clear" w:color="auto" w:fill="auto"/>
            <w:noWrap/>
            <w:vAlign w:val="bottom"/>
            <w:hideMark/>
          </w:tcPr>
          <w:p w14:paraId="5A71B16C" w14:textId="77777777" w:rsidR="008C38BA" w:rsidRPr="00CF7621" w:rsidRDefault="008C38BA">
            <w:pPr>
              <w:jc w:val="center"/>
              <w:rPr>
                <w:rFonts w:asciiTheme="minorHAnsi" w:hAnsiTheme="minorHAnsi" w:cs="Arial"/>
                <w:sz w:val="22"/>
                <w:szCs w:val="22"/>
              </w:rPr>
            </w:pPr>
            <w:r w:rsidRPr="00CF7621">
              <w:rPr>
                <w:rFonts w:asciiTheme="minorHAnsi" w:hAnsiTheme="minorHAnsi" w:cs="Arial"/>
                <w:sz w:val="22"/>
                <w:szCs w:val="22"/>
              </w:rPr>
              <w:t>0.00</w:t>
            </w:r>
          </w:p>
        </w:tc>
      </w:tr>
      <w:tr w:rsidR="008C38BA" w:rsidRPr="00CF7621" w14:paraId="152605D9" w14:textId="77777777" w:rsidTr="00CF7621">
        <w:trPr>
          <w:trHeight w:val="243"/>
        </w:trPr>
        <w:tc>
          <w:tcPr>
            <w:tcW w:w="993" w:type="dxa"/>
            <w:tcBorders>
              <w:top w:val="nil"/>
              <w:left w:val="single" w:sz="4" w:space="0" w:color="auto"/>
              <w:bottom w:val="single" w:sz="4" w:space="0" w:color="auto"/>
              <w:right w:val="single" w:sz="4" w:space="0" w:color="auto"/>
            </w:tcBorders>
            <w:shd w:val="clear" w:color="auto" w:fill="auto"/>
            <w:noWrap/>
            <w:vAlign w:val="bottom"/>
            <w:hideMark/>
          </w:tcPr>
          <w:p w14:paraId="4A131856" w14:textId="77777777" w:rsidR="008C38BA" w:rsidRPr="00CF7621" w:rsidRDefault="008C38BA">
            <w:pPr>
              <w:jc w:val="center"/>
              <w:rPr>
                <w:rFonts w:asciiTheme="minorHAnsi" w:hAnsiTheme="minorHAnsi" w:cs="Arial"/>
                <w:b/>
                <w:sz w:val="22"/>
                <w:szCs w:val="22"/>
              </w:rPr>
            </w:pPr>
            <w:r w:rsidRPr="00CF7621">
              <w:rPr>
                <w:rFonts w:asciiTheme="minorHAnsi" w:hAnsiTheme="minorHAnsi" w:cs="Arial"/>
                <w:b/>
                <w:sz w:val="22"/>
                <w:szCs w:val="22"/>
              </w:rPr>
              <w:t> </w:t>
            </w:r>
          </w:p>
        </w:tc>
        <w:tc>
          <w:tcPr>
            <w:tcW w:w="4645" w:type="dxa"/>
            <w:tcBorders>
              <w:top w:val="nil"/>
              <w:left w:val="nil"/>
              <w:bottom w:val="single" w:sz="4" w:space="0" w:color="auto"/>
              <w:right w:val="single" w:sz="4" w:space="0" w:color="auto"/>
            </w:tcBorders>
            <w:shd w:val="clear" w:color="auto" w:fill="auto"/>
            <w:noWrap/>
            <w:vAlign w:val="bottom"/>
            <w:hideMark/>
          </w:tcPr>
          <w:p w14:paraId="59997202" w14:textId="77777777" w:rsidR="008C38BA" w:rsidRPr="00CF7621" w:rsidRDefault="008C38BA">
            <w:pPr>
              <w:rPr>
                <w:rFonts w:asciiTheme="minorHAnsi" w:hAnsiTheme="minorHAnsi" w:cs="Arial"/>
                <w:b/>
                <w:sz w:val="22"/>
                <w:szCs w:val="22"/>
              </w:rPr>
            </w:pPr>
            <w:r w:rsidRPr="00CF7621">
              <w:rPr>
                <w:rFonts w:asciiTheme="minorHAnsi" w:hAnsiTheme="minorHAnsi" w:cs="Arial"/>
                <w:b/>
                <w:sz w:val="22"/>
                <w:szCs w:val="22"/>
              </w:rPr>
              <w:t>Grand Total</w:t>
            </w:r>
          </w:p>
        </w:tc>
        <w:tc>
          <w:tcPr>
            <w:tcW w:w="0" w:type="auto"/>
            <w:tcBorders>
              <w:top w:val="nil"/>
              <w:left w:val="nil"/>
              <w:bottom w:val="single" w:sz="4" w:space="0" w:color="auto"/>
              <w:right w:val="single" w:sz="4" w:space="0" w:color="auto"/>
            </w:tcBorders>
            <w:shd w:val="clear" w:color="auto" w:fill="auto"/>
            <w:noWrap/>
            <w:vAlign w:val="bottom"/>
            <w:hideMark/>
          </w:tcPr>
          <w:p w14:paraId="6EB79D9A" w14:textId="77777777" w:rsidR="008C38BA" w:rsidRPr="00CF7621" w:rsidRDefault="008C38BA">
            <w:pPr>
              <w:jc w:val="center"/>
              <w:rPr>
                <w:rFonts w:asciiTheme="minorHAnsi" w:hAnsiTheme="minorHAnsi" w:cs="Arial"/>
                <w:b/>
                <w:sz w:val="22"/>
                <w:szCs w:val="22"/>
              </w:rPr>
            </w:pPr>
            <w:r w:rsidRPr="00CF7621">
              <w:rPr>
                <w:rFonts w:asciiTheme="minorHAnsi" w:hAnsiTheme="minorHAnsi" w:cs="Arial"/>
                <w:b/>
                <w:sz w:val="22"/>
                <w:szCs w:val="22"/>
              </w:rPr>
              <w:t>4832.12</w:t>
            </w:r>
          </w:p>
        </w:tc>
      </w:tr>
      <w:tr w:rsidR="008C38BA" w:rsidRPr="00CF7621" w14:paraId="748C80B4" w14:textId="77777777" w:rsidTr="00CF7621">
        <w:trPr>
          <w:trHeight w:val="243"/>
        </w:trPr>
        <w:tc>
          <w:tcPr>
            <w:tcW w:w="993" w:type="dxa"/>
            <w:tcBorders>
              <w:top w:val="nil"/>
              <w:left w:val="single" w:sz="4" w:space="0" w:color="auto"/>
              <w:bottom w:val="single" w:sz="4" w:space="0" w:color="auto"/>
              <w:right w:val="single" w:sz="4" w:space="0" w:color="auto"/>
            </w:tcBorders>
            <w:shd w:val="clear" w:color="auto" w:fill="auto"/>
            <w:noWrap/>
            <w:vAlign w:val="bottom"/>
            <w:hideMark/>
          </w:tcPr>
          <w:p w14:paraId="6EBB14B2" w14:textId="5E09AC88" w:rsidR="008C38BA" w:rsidRPr="00CF7621" w:rsidRDefault="008C38BA">
            <w:pPr>
              <w:jc w:val="center"/>
              <w:rPr>
                <w:rFonts w:asciiTheme="minorHAnsi" w:hAnsiTheme="minorHAnsi" w:cs="Arial"/>
                <w:b/>
                <w:sz w:val="22"/>
                <w:szCs w:val="22"/>
              </w:rPr>
            </w:pPr>
            <w:r w:rsidRPr="00CF7621">
              <w:rPr>
                <w:rFonts w:asciiTheme="minorHAnsi" w:hAnsiTheme="minorHAnsi" w:cs="Arial"/>
                <w:b/>
                <w:sz w:val="22"/>
                <w:szCs w:val="22"/>
              </w:rPr>
              <w:t> </w:t>
            </w:r>
            <w:r w:rsidR="00CF7621" w:rsidRPr="00CF7621">
              <w:rPr>
                <w:rFonts w:asciiTheme="minorHAnsi" w:hAnsiTheme="minorHAnsi" w:cs="Arial"/>
                <w:b/>
                <w:sz w:val="22"/>
                <w:szCs w:val="22"/>
              </w:rPr>
              <w:t>17</w:t>
            </w:r>
          </w:p>
        </w:tc>
        <w:tc>
          <w:tcPr>
            <w:tcW w:w="4645" w:type="dxa"/>
            <w:tcBorders>
              <w:top w:val="nil"/>
              <w:left w:val="nil"/>
              <w:bottom w:val="single" w:sz="4" w:space="0" w:color="auto"/>
              <w:right w:val="single" w:sz="4" w:space="0" w:color="auto"/>
            </w:tcBorders>
            <w:shd w:val="clear" w:color="auto" w:fill="auto"/>
            <w:noWrap/>
            <w:vAlign w:val="bottom"/>
            <w:hideMark/>
          </w:tcPr>
          <w:p w14:paraId="1A15D9B7" w14:textId="77777777" w:rsidR="008C38BA" w:rsidRPr="00CF7621" w:rsidRDefault="008C38BA">
            <w:pPr>
              <w:rPr>
                <w:rFonts w:asciiTheme="minorHAnsi" w:hAnsiTheme="minorHAnsi" w:cs="Arial"/>
                <w:b/>
                <w:sz w:val="22"/>
                <w:szCs w:val="22"/>
              </w:rPr>
            </w:pPr>
            <w:r w:rsidRPr="00CF7621">
              <w:rPr>
                <w:rFonts w:asciiTheme="minorHAnsi" w:hAnsiTheme="minorHAnsi" w:cs="Arial"/>
                <w:b/>
                <w:sz w:val="22"/>
                <w:szCs w:val="22"/>
              </w:rPr>
              <w:t>Miscellaneous Receipt</w:t>
            </w:r>
          </w:p>
        </w:tc>
        <w:tc>
          <w:tcPr>
            <w:tcW w:w="0" w:type="auto"/>
            <w:tcBorders>
              <w:top w:val="nil"/>
              <w:left w:val="nil"/>
              <w:bottom w:val="single" w:sz="4" w:space="0" w:color="auto"/>
              <w:right w:val="single" w:sz="4" w:space="0" w:color="auto"/>
            </w:tcBorders>
            <w:shd w:val="clear" w:color="auto" w:fill="auto"/>
            <w:noWrap/>
            <w:vAlign w:val="bottom"/>
            <w:hideMark/>
          </w:tcPr>
          <w:p w14:paraId="534E0E6E" w14:textId="77777777" w:rsidR="008C38BA" w:rsidRPr="00CF7621" w:rsidRDefault="008C38BA">
            <w:pPr>
              <w:jc w:val="center"/>
              <w:rPr>
                <w:rFonts w:asciiTheme="minorHAnsi" w:hAnsiTheme="minorHAnsi" w:cs="Arial"/>
                <w:b/>
                <w:sz w:val="22"/>
                <w:szCs w:val="22"/>
              </w:rPr>
            </w:pPr>
            <w:r w:rsidRPr="00CF7621">
              <w:rPr>
                <w:rFonts w:asciiTheme="minorHAnsi" w:hAnsiTheme="minorHAnsi" w:cs="Arial"/>
                <w:b/>
                <w:sz w:val="22"/>
                <w:szCs w:val="22"/>
              </w:rPr>
              <w:t>181.69</w:t>
            </w:r>
          </w:p>
        </w:tc>
      </w:tr>
      <w:tr w:rsidR="008C38BA" w:rsidRPr="00CF7621" w14:paraId="0AE7BA1A" w14:textId="77777777" w:rsidTr="00CF7621">
        <w:trPr>
          <w:trHeight w:val="243"/>
        </w:trPr>
        <w:tc>
          <w:tcPr>
            <w:tcW w:w="993" w:type="dxa"/>
            <w:tcBorders>
              <w:top w:val="nil"/>
              <w:left w:val="single" w:sz="4" w:space="0" w:color="auto"/>
              <w:bottom w:val="single" w:sz="4" w:space="0" w:color="auto"/>
              <w:right w:val="single" w:sz="4" w:space="0" w:color="auto"/>
            </w:tcBorders>
            <w:shd w:val="clear" w:color="auto" w:fill="95B3D7" w:themeFill="accent1" w:themeFillTint="99"/>
            <w:noWrap/>
            <w:vAlign w:val="bottom"/>
            <w:hideMark/>
          </w:tcPr>
          <w:p w14:paraId="1F9B88E4" w14:textId="75C469E9" w:rsidR="008C38BA" w:rsidRPr="00CF7621" w:rsidRDefault="00CF7621">
            <w:pPr>
              <w:jc w:val="center"/>
              <w:rPr>
                <w:rFonts w:asciiTheme="minorHAnsi" w:hAnsiTheme="minorHAnsi" w:cs="Arial"/>
                <w:b/>
                <w:sz w:val="22"/>
                <w:szCs w:val="22"/>
              </w:rPr>
            </w:pPr>
            <w:r w:rsidRPr="00CF7621">
              <w:rPr>
                <w:rFonts w:asciiTheme="minorHAnsi" w:hAnsiTheme="minorHAnsi" w:cs="Arial"/>
                <w:b/>
                <w:sz w:val="22"/>
                <w:szCs w:val="22"/>
              </w:rPr>
              <w:t>18</w:t>
            </w:r>
          </w:p>
        </w:tc>
        <w:tc>
          <w:tcPr>
            <w:tcW w:w="4645" w:type="dxa"/>
            <w:tcBorders>
              <w:top w:val="nil"/>
              <w:left w:val="nil"/>
              <w:bottom w:val="single" w:sz="4" w:space="0" w:color="auto"/>
              <w:right w:val="single" w:sz="4" w:space="0" w:color="auto"/>
            </w:tcBorders>
            <w:shd w:val="clear" w:color="auto" w:fill="95B3D7" w:themeFill="accent1" w:themeFillTint="99"/>
            <w:noWrap/>
            <w:vAlign w:val="bottom"/>
            <w:hideMark/>
          </w:tcPr>
          <w:p w14:paraId="2CDF61BB" w14:textId="77777777" w:rsidR="008C38BA" w:rsidRPr="00CF7621" w:rsidRDefault="008C38BA">
            <w:pPr>
              <w:rPr>
                <w:rFonts w:asciiTheme="minorHAnsi" w:hAnsiTheme="minorHAnsi" w:cs="Arial"/>
                <w:b/>
                <w:sz w:val="22"/>
                <w:szCs w:val="22"/>
              </w:rPr>
            </w:pPr>
            <w:r w:rsidRPr="00CF7621">
              <w:rPr>
                <w:rFonts w:asciiTheme="minorHAnsi" w:hAnsiTheme="minorHAnsi" w:cs="Arial"/>
                <w:b/>
                <w:sz w:val="22"/>
                <w:szCs w:val="22"/>
              </w:rPr>
              <w:t>Total Revenue Requirement</w:t>
            </w:r>
          </w:p>
        </w:tc>
        <w:tc>
          <w:tcPr>
            <w:tcW w:w="0" w:type="auto"/>
            <w:tcBorders>
              <w:top w:val="nil"/>
              <w:left w:val="nil"/>
              <w:bottom w:val="single" w:sz="4" w:space="0" w:color="auto"/>
              <w:right w:val="single" w:sz="4" w:space="0" w:color="auto"/>
            </w:tcBorders>
            <w:shd w:val="clear" w:color="auto" w:fill="95B3D7" w:themeFill="accent1" w:themeFillTint="99"/>
            <w:noWrap/>
            <w:vAlign w:val="bottom"/>
            <w:hideMark/>
          </w:tcPr>
          <w:p w14:paraId="10B500AD" w14:textId="77777777" w:rsidR="008C38BA" w:rsidRPr="00CF7621" w:rsidRDefault="008C38BA">
            <w:pPr>
              <w:jc w:val="center"/>
              <w:rPr>
                <w:rFonts w:asciiTheme="minorHAnsi" w:hAnsiTheme="minorHAnsi" w:cs="Arial"/>
                <w:b/>
                <w:sz w:val="22"/>
                <w:szCs w:val="22"/>
              </w:rPr>
            </w:pPr>
            <w:r w:rsidRPr="00CF7621">
              <w:rPr>
                <w:rFonts w:asciiTheme="minorHAnsi" w:hAnsiTheme="minorHAnsi" w:cs="Arial"/>
                <w:b/>
                <w:sz w:val="22"/>
                <w:szCs w:val="22"/>
              </w:rPr>
              <w:t>4650.44</w:t>
            </w:r>
          </w:p>
        </w:tc>
      </w:tr>
    </w:tbl>
    <w:p w14:paraId="406CF88F" w14:textId="68AF79B9" w:rsidR="008C38BA" w:rsidRDefault="008C38BA" w:rsidP="002334A3">
      <w:pPr>
        <w:pStyle w:val="ListParagraph"/>
        <w:tabs>
          <w:tab w:val="left" w:pos="8070"/>
        </w:tabs>
        <w:spacing w:line="360" w:lineRule="auto"/>
        <w:ind w:left="567"/>
        <w:jc w:val="both"/>
        <w:rPr>
          <w:rFonts w:asciiTheme="minorHAnsi" w:hAnsiTheme="minorHAnsi" w:cstheme="minorHAnsi"/>
          <w:b/>
          <w:color w:val="232323"/>
        </w:rPr>
      </w:pPr>
    </w:p>
    <w:p w14:paraId="34A03FAB" w14:textId="64BC34FE" w:rsidR="004115DB" w:rsidRPr="00B00601" w:rsidRDefault="0061302E" w:rsidP="00CF7621">
      <w:pPr>
        <w:pStyle w:val="Heading1"/>
        <w:spacing w:line="360" w:lineRule="auto"/>
        <w:ind w:left="567"/>
        <w:jc w:val="both"/>
        <w:rPr>
          <w:rFonts w:asciiTheme="minorHAnsi" w:hAnsiTheme="minorHAnsi" w:cstheme="minorHAnsi"/>
          <w:sz w:val="24"/>
          <w:szCs w:val="22"/>
        </w:rPr>
      </w:pPr>
      <w:r w:rsidRPr="00B00601">
        <w:rPr>
          <w:rFonts w:asciiTheme="minorHAnsi" w:hAnsiTheme="minorHAnsi" w:cstheme="minorHAnsi"/>
          <w:sz w:val="24"/>
          <w:szCs w:val="22"/>
        </w:rPr>
        <w:t>3.3 Revenue</w:t>
      </w:r>
      <w:r w:rsidR="004115DB" w:rsidRPr="00B00601">
        <w:rPr>
          <w:rFonts w:asciiTheme="minorHAnsi" w:hAnsiTheme="minorHAnsi" w:cstheme="minorHAnsi"/>
          <w:sz w:val="24"/>
          <w:szCs w:val="22"/>
        </w:rPr>
        <w:t xml:space="preserve"> at Existing Tariffs</w:t>
      </w:r>
    </w:p>
    <w:p w14:paraId="2349E591" w14:textId="6246393B" w:rsidR="00E767AD" w:rsidRPr="00153204" w:rsidRDefault="00CF7621" w:rsidP="00CF7621">
      <w:pPr>
        <w:rPr>
          <w:rFonts w:asciiTheme="minorHAnsi" w:hAnsiTheme="minorHAnsi" w:cstheme="minorHAnsi"/>
          <w:b/>
          <w:sz w:val="22"/>
          <w:szCs w:val="22"/>
        </w:rPr>
      </w:pPr>
      <w:r>
        <w:rPr>
          <w:rFonts w:asciiTheme="minorHAnsi" w:hAnsiTheme="minorHAnsi" w:cstheme="minorHAnsi"/>
          <w:b/>
          <w:sz w:val="22"/>
          <w:szCs w:val="22"/>
        </w:rPr>
        <w:t xml:space="preserve">           </w:t>
      </w:r>
      <w:r w:rsidR="00E767AD" w:rsidRPr="00B00601">
        <w:rPr>
          <w:rFonts w:asciiTheme="minorHAnsi" w:hAnsiTheme="minorHAnsi" w:cstheme="minorHAnsi"/>
          <w:b/>
          <w:szCs w:val="22"/>
        </w:rPr>
        <w:t>3.3.1 Revenue Projection at Existing Tariffs</w:t>
      </w:r>
    </w:p>
    <w:p w14:paraId="31EC4C52" w14:textId="77777777" w:rsidR="0036264E" w:rsidRPr="00153204" w:rsidRDefault="0036264E" w:rsidP="00CF7621">
      <w:pPr>
        <w:ind w:left="567" w:firstLine="426"/>
        <w:rPr>
          <w:rFonts w:asciiTheme="minorHAnsi" w:hAnsiTheme="minorHAnsi" w:cstheme="minorHAnsi"/>
          <w:b/>
          <w:sz w:val="22"/>
          <w:szCs w:val="22"/>
        </w:rPr>
      </w:pPr>
    </w:p>
    <w:p w14:paraId="34A03FAC" w14:textId="7DA1C1AE" w:rsidR="004115DB" w:rsidRPr="00153204" w:rsidRDefault="004115DB" w:rsidP="00CF7621">
      <w:pPr>
        <w:pStyle w:val="BodyText2"/>
        <w:spacing w:line="360" w:lineRule="auto"/>
        <w:ind w:left="567"/>
        <w:jc w:val="both"/>
        <w:rPr>
          <w:rFonts w:asciiTheme="minorHAnsi" w:hAnsiTheme="minorHAnsi" w:cstheme="minorHAnsi"/>
          <w:sz w:val="22"/>
          <w:szCs w:val="22"/>
        </w:rPr>
      </w:pPr>
      <w:r w:rsidRPr="00153204">
        <w:rPr>
          <w:rFonts w:asciiTheme="minorHAnsi" w:hAnsiTheme="minorHAnsi" w:cstheme="minorHAnsi"/>
          <w:sz w:val="22"/>
          <w:szCs w:val="22"/>
        </w:rPr>
        <w:t xml:space="preserve">The </w:t>
      </w:r>
      <w:r w:rsidR="00047141" w:rsidRPr="00153204">
        <w:rPr>
          <w:rFonts w:asciiTheme="minorHAnsi" w:hAnsiTheme="minorHAnsi" w:cstheme="minorHAnsi"/>
          <w:sz w:val="22"/>
          <w:szCs w:val="22"/>
        </w:rPr>
        <w:t>licensee</w:t>
      </w:r>
      <w:r w:rsidRPr="00153204">
        <w:rPr>
          <w:rFonts w:asciiTheme="minorHAnsi" w:hAnsiTheme="minorHAnsi" w:cstheme="minorHAnsi"/>
          <w:sz w:val="22"/>
          <w:szCs w:val="22"/>
        </w:rPr>
        <w:t xml:space="preserve"> has estimated the revenue from sale of power considering the sales projected for FY 202</w:t>
      </w:r>
      <w:r w:rsidR="008C38BA">
        <w:rPr>
          <w:rFonts w:asciiTheme="minorHAnsi" w:hAnsiTheme="minorHAnsi" w:cstheme="minorHAnsi"/>
          <w:sz w:val="22"/>
          <w:szCs w:val="22"/>
        </w:rPr>
        <w:t>5</w:t>
      </w:r>
      <w:r w:rsidRPr="00153204">
        <w:rPr>
          <w:rFonts w:asciiTheme="minorHAnsi" w:hAnsiTheme="minorHAnsi" w:cstheme="minorHAnsi"/>
          <w:sz w:val="22"/>
          <w:szCs w:val="22"/>
        </w:rPr>
        <w:t>-2</w:t>
      </w:r>
      <w:r w:rsidR="008C38BA">
        <w:rPr>
          <w:rFonts w:asciiTheme="minorHAnsi" w:hAnsiTheme="minorHAnsi" w:cstheme="minorHAnsi"/>
          <w:sz w:val="22"/>
          <w:szCs w:val="22"/>
        </w:rPr>
        <w:t>6</w:t>
      </w:r>
      <w:r w:rsidRPr="00153204">
        <w:rPr>
          <w:rFonts w:asciiTheme="minorHAnsi" w:hAnsiTheme="minorHAnsi" w:cstheme="minorHAnsi"/>
          <w:sz w:val="22"/>
          <w:szCs w:val="22"/>
        </w:rPr>
        <w:t xml:space="preserve"> and by applying the various components of existing tariffs. As detailed out in previous sections, the </w:t>
      </w:r>
      <w:r w:rsidR="00047141" w:rsidRPr="00153204">
        <w:rPr>
          <w:rFonts w:asciiTheme="minorHAnsi" w:hAnsiTheme="minorHAnsi" w:cstheme="minorHAnsi"/>
          <w:sz w:val="22"/>
          <w:szCs w:val="22"/>
        </w:rPr>
        <w:t xml:space="preserve">licensee </w:t>
      </w:r>
      <w:r w:rsidRPr="00153204">
        <w:rPr>
          <w:rFonts w:asciiTheme="minorHAnsi" w:hAnsiTheme="minorHAnsi" w:cstheme="minorHAnsi"/>
          <w:sz w:val="22"/>
          <w:szCs w:val="22"/>
        </w:rPr>
        <w:t xml:space="preserve">has adopted the approach considered by the Commission and estimated the revenue from sale of power on accrual basis. The total revenue based on the existing tariffs applicable for the projected sales is estimated at </w:t>
      </w:r>
      <w:r w:rsidR="001A2772" w:rsidRPr="00153204">
        <w:rPr>
          <w:rFonts w:asciiTheme="minorHAnsi" w:hAnsiTheme="minorHAnsi" w:cstheme="minorHAnsi"/>
          <w:b/>
          <w:sz w:val="22"/>
          <w:szCs w:val="22"/>
        </w:rPr>
        <w:t>Rs.</w:t>
      </w:r>
      <w:r w:rsidR="00796B9C" w:rsidRPr="00153204">
        <w:rPr>
          <w:rFonts w:asciiTheme="minorHAnsi" w:hAnsiTheme="minorHAnsi" w:cstheme="minorHAnsi"/>
          <w:b/>
          <w:sz w:val="22"/>
          <w:szCs w:val="22"/>
        </w:rPr>
        <w:t xml:space="preserve"> </w:t>
      </w:r>
      <w:r w:rsidR="008C38BA">
        <w:rPr>
          <w:rFonts w:asciiTheme="minorHAnsi" w:hAnsiTheme="minorHAnsi" w:cstheme="minorHAnsi"/>
          <w:b/>
          <w:sz w:val="22"/>
          <w:szCs w:val="22"/>
        </w:rPr>
        <w:t>4499.3</w:t>
      </w:r>
      <w:r w:rsidR="00D64531">
        <w:rPr>
          <w:rFonts w:asciiTheme="minorHAnsi" w:hAnsiTheme="minorHAnsi" w:cstheme="minorHAnsi"/>
          <w:b/>
          <w:sz w:val="22"/>
          <w:szCs w:val="22"/>
        </w:rPr>
        <w:t>3</w:t>
      </w:r>
      <w:r w:rsidR="001A7427" w:rsidRPr="00153204">
        <w:rPr>
          <w:rFonts w:asciiTheme="minorHAnsi" w:hAnsiTheme="minorHAnsi" w:cstheme="minorHAnsi"/>
          <w:b/>
          <w:sz w:val="22"/>
          <w:szCs w:val="22"/>
        </w:rPr>
        <w:t xml:space="preserve"> </w:t>
      </w:r>
      <w:r w:rsidRPr="00153204">
        <w:rPr>
          <w:rFonts w:asciiTheme="minorHAnsi" w:hAnsiTheme="minorHAnsi" w:cstheme="minorHAnsi"/>
          <w:b/>
          <w:sz w:val="22"/>
          <w:szCs w:val="22"/>
        </w:rPr>
        <w:t>Crore</w:t>
      </w:r>
      <w:r w:rsidRPr="00153204">
        <w:rPr>
          <w:rFonts w:asciiTheme="minorHAnsi" w:hAnsiTheme="minorHAnsi" w:cstheme="minorHAnsi"/>
          <w:sz w:val="22"/>
          <w:szCs w:val="22"/>
        </w:rPr>
        <w:t xml:space="preserve">. </w:t>
      </w:r>
    </w:p>
    <w:p w14:paraId="3D734F03" w14:textId="36136E45" w:rsidR="008C38BA" w:rsidRPr="00153204" w:rsidRDefault="004115DB" w:rsidP="00CF7621">
      <w:pPr>
        <w:pStyle w:val="BodyText2"/>
        <w:spacing w:line="360" w:lineRule="auto"/>
        <w:ind w:left="567"/>
        <w:jc w:val="both"/>
        <w:rPr>
          <w:rFonts w:asciiTheme="minorHAnsi" w:hAnsiTheme="minorHAnsi" w:cstheme="minorHAnsi"/>
          <w:sz w:val="22"/>
          <w:szCs w:val="22"/>
        </w:rPr>
      </w:pPr>
      <w:r w:rsidRPr="00153204">
        <w:rPr>
          <w:rFonts w:asciiTheme="minorHAnsi" w:hAnsiTheme="minorHAnsi" w:cstheme="minorHAnsi"/>
          <w:sz w:val="22"/>
          <w:szCs w:val="22"/>
        </w:rPr>
        <w:t>The details of estimated revenue from different categories of consumers at existing tariffs are provided in Form</w:t>
      </w:r>
      <w:r w:rsidR="000E11F4" w:rsidRPr="00153204">
        <w:rPr>
          <w:rFonts w:asciiTheme="minorHAnsi" w:hAnsiTheme="minorHAnsi" w:cstheme="minorHAnsi"/>
          <w:sz w:val="22"/>
          <w:szCs w:val="22"/>
        </w:rPr>
        <w:t xml:space="preserve"> </w:t>
      </w:r>
      <w:r w:rsidRPr="00153204">
        <w:rPr>
          <w:rFonts w:asciiTheme="minorHAnsi" w:hAnsiTheme="minorHAnsi" w:cstheme="minorHAnsi"/>
          <w:sz w:val="22"/>
          <w:szCs w:val="22"/>
        </w:rPr>
        <w:t xml:space="preserve">T-7. </w:t>
      </w:r>
    </w:p>
    <w:p w14:paraId="34A03FAF" w14:textId="47F6CF1E" w:rsidR="004115DB" w:rsidRPr="00153204" w:rsidRDefault="00CF7621" w:rsidP="00CF7621">
      <w:pPr>
        <w:pStyle w:val="BodyText2"/>
        <w:spacing w:line="360" w:lineRule="auto"/>
        <w:ind w:left="567" w:hanging="141"/>
        <w:jc w:val="both"/>
        <w:rPr>
          <w:rFonts w:asciiTheme="minorHAnsi" w:hAnsiTheme="minorHAnsi" w:cstheme="minorHAnsi"/>
          <w:b/>
          <w:sz w:val="22"/>
          <w:szCs w:val="22"/>
        </w:rPr>
      </w:pPr>
      <w:r>
        <w:rPr>
          <w:rFonts w:asciiTheme="minorHAnsi" w:hAnsiTheme="minorHAnsi" w:cstheme="minorHAnsi"/>
          <w:b/>
          <w:sz w:val="22"/>
          <w:szCs w:val="22"/>
        </w:rPr>
        <w:t xml:space="preserve">   </w:t>
      </w:r>
      <w:r w:rsidR="00B8706B" w:rsidRPr="00153204">
        <w:rPr>
          <w:rFonts w:asciiTheme="minorHAnsi" w:hAnsiTheme="minorHAnsi" w:cstheme="minorHAnsi"/>
          <w:b/>
          <w:sz w:val="22"/>
          <w:szCs w:val="22"/>
        </w:rPr>
        <w:t>3</w:t>
      </w:r>
      <w:r w:rsidR="00BC1068" w:rsidRPr="00153204">
        <w:rPr>
          <w:rFonts w:asciiTheme="minorHAnsi" w:hAnsiTheme="minorHAnsi" w:cstheme="minorHAnsi"/>
          <w:b/>
          <w:sz w:val="22"/>
          <w:szCs w:val="22"/>
        </w:rPr>
        <w:t>.4 Summary</w:t>
      </w:r>
      <w:r w:rsidR="004115DB" w:rsidRPr="00153204">
        <w:rPr>
          <w:rFonts w:asciiTheme="minorHAnsi" w:hAnsiTheme="minorHAnsi" w:cstheme="minorHAnsi"/>
          <w:b/>
          <w:sz w:val="22"/>
          <w:szCs w:val="22"/>
        </w:rPr>
        <w:t xml:space="preserve"> of Annual Revenue Requirement and Revenue Gap</w:t>
      </w:r>
    </w:p>
    <w:p w14:paraId="34A03FB0" w14:textId="29AAE790" w:rsidR="004115DB" w:rsidRPr="00153204" w:rsidRDefault="004115DB" w:rsidP="00CF7621">
      <w:pPr>
        <w:pStyle w:val="BodyText2"/>
        <w:spacing w:line="360" w:lineRule="auto"/>
        <w:ind w:left="567"/>
        <w:jc w:val="both"/>
        <w:rPr>
          <w:rFonts w:asciiTheme="minorHAnsi" w:hAnsiTheme="minorHAnsi" w:cstheme="minorHAnsi"/>
          <w:sz w:val="22"/>
          <w:szCs w:val="22"/>
        </w:rPr>
      </w:pPr>
      <w:r w:rsidRPr="00153204">
        <w:rPr>
          <w:rFonts w:asciiTheme="minorHAnsi" w:hAnsiTheme="minorHAnsi" w:cstheme="minorHAnsi"/>
          <w:sz w:val="22"/>
          <w:szCs w:val="22"/>
        </w:rPr>
        <w:t>The summary of Annual Revenue Requirement, Revenue at Existing Tariffs and Revenue Gap for the ensuing year 202</w:t>
      </w:r>
      <w:r w:rsidR="008C38BA">
        <w:rPr>
          <w:rFonts w:asciiTheme="minorHAnsi" w:hAnsiTheme="minorHAnsi" w:cstheme="minorHAnsi"/>
          <w:sz w:val="22"/>
          <w:szCs w:val="22"/>
        </w:rPr>
        <w:t>5</w:t>
      </w:r>
      <w:r w:rsidRPr="00153204">
        <w:rPr>
          <w:rFonts w:asciiTheme="minorHAnsi" w:hAnsiTheme="minorHAnsi" w:cstheme="minorHAnsi"/>
          <w:sz w:val="22"/>
          <w:szCs w:val="22"/>
        </w:rPr>
        <w:t>-2</w:t>
      </w:r>
      <w:r w:rsidR="008C38BA">
        <w:rPr>
          <w:rFonts w:asciiTheme="minorHAnsi" w:hAnsiTheme="minorHAnsi" w:cstheme="minorHAnsi"/>
          <w:sz w:val="22"/>
          <w:szCs w:val="22"/>
        </w:rPr>
        <w:t>6</w:t>
      </w:r>
      <w:r w:rsidRPr="00153204">
        <w:rPr>
          <w:rFonts w:asciiTheme="minorHAnsi" w:hAnsiTheme="minorHAnsi" w:cstheme="minorHAnsi"/>
          <w:sz w:val="22"/>
          <w:szCs w:val="22"/>
        </w:rPr>
        <w:t xml:space="preserve"> is provided below.</w:t>
      </w:r>
    </w:p>
    <w:p w14:paraId="3A2C047F" w14:textId="67D0DCCB" w:rsidR="004571FA" w:rsidRPr="00B602FC" w:rsidRDefault="003A3206" w:rsidP="00B602FC">
      <w:pPr>
        <w:pStyle w:val="Caption"/>
        <w:keepNext/>
        <w:spacing w:line="360" w:lineRule="auto"/>
        <w:ind w:left="1440" w:firstLine="720"/>
        <w:rPr>
          <w:rFonts w:asciiTheme="minorHAnsi" w:hAnsiTheme="minorHAnsi" w:cstheme="minorHAnsi"/>
          <w:b/>
          <w:color w:val="000000"/>
          <w:sz w:val="22"/>
          <w:szCs w:val="22"/>
        </w:rPr>
      </w:pPr>
      <w:r>
        <w:rPr>
          <w:rFonts w:asciiTheme="minorHAnsi" w:hAnsiTheme="minorHAnsi" w:cstheme="minorHAnsi"/>
          <w:b/>
          <w:color w:val="000000"/>
          <w:sz w:val="22"/>
          <w:szCs w:val="22"/>
        </w:rPr>
        <w:lastRenderedPageBreak/>
        <w:t xml:space="preserve">   </w:t>
      </w:r>
      <w:r w:rsidR="00177378" w:rsidRPr="00153204">
        <w:rPr>
          <w:rFonts w:asciiTheme="minorHAnsi" w:hAnsiTheme="minorHAnsi" w:cstheme="minorHAnsi"/>
          <w:b/>
          <w:color w:val="000000"/>
          <w:sz w:val="22"/>
          <w:szCs w:val="22"/>
        </w:rPr>
        <w:t>Table -</w:t>
      </w:r>
      <w:r w:rsidR="00B602FC">
        <w:rPr>
          <w:rFonts w:asciiTheme="minorHAnsi" w:hAnsiTheme="minorHAnsi" w:cstheme="minorHAnsi"/>
          <w:b/>
          <w:color w:val="000000"/>
          <w:sz w:val="22"/>
          <w:szCs w:val="22"/>
        </w:rPr>
        <w:t>4</w:t>
      </w:r>
      <w:r w:rsidR="00177378" w:rsidRPr="00153204">
        <w:rPr>
          <w:rFonts w:asciiTheme="minorHAnsi" w:hAnsiTheme="minorHAnsi" w:cstheme="minorHAnsi"/>
          <w:b/>
          <w:color w:val="000000"/>
          <w:sz w:val="22"/>
          <w:szCs w:val="22"/>
        </w:rPr>
        <w:t>5</w:t>
      </w:r>
      <w:r w:rsidR="00A26B6F" w:rsidRPr="00153204">
        <w:rPr>
          <w:rFonts w:asciiTheme="minorHAnsi" w:hAnsiTheme="minorHAnsi" w:cstheme="minorHAnsi"/>
          <w:b/>
          <w:color w:val="000000"/>
          <w:sz w:val="22"/>
          <w:szCs w:val="22"/>
        </w:rPr>
        <w:t>:</w:t>
      </w:r>
      <w:r w:rsidR="004115DB" w:rsidRPr="00153204">
        <w:rPr>
          <w:rFonts w:asciiTheme="minorHAnsi" w:hAnsiTheme="minorHAnsi" w:cstheme="minorHAnsi"/>
          <w:b/>
          <w:color w:val="000000"/>
          <w:sz w:val="22"/>
          <w:szCs w:val="22"/>
        </w:rPr>
        <w:t xml:space="preserve"> Revenue Gap </w:t>
      </w:r>
      <w:r w:rsidR="0082661D" w:rsidRPr="00153204">
        <w:rPr>
          <w:rFonts w:asciiTheme="minorHAnsi" w:hAnsiTheme="minorHAnsi" w:cstheme="minorHAnsi"/>
          <w:b/>
          <w:color w:val="000000"/>
          <w:sz w:val="22"/>
          <w:szCs w:val="22"/>
        </w:rPr>
        <w:t xml:space="preserve">for </w:t>
      </w:r>
      <w:r w:rsidR="00B24F3A" w:rsidRPr="00153204">
        <w:rPr>
          <w:rFonts w:asciiTheme="minorHAnsi" w:hAnsiTheme="minorHAnsi" w:cstheme="minorHAnsi"/>
          <w:b/>
          <w:color w:val="000000"/>
          <w:sz w:val="22"/>
          <w:szCs w:val="22"/>
        </w:rPr>
        <w:t>FY 202</w:t>
      </w:r>
      <w:r w:rsidR="008C38BA">
        <w:rPr>
          <w:rFonts w:asciiTheme="minorHAnsi" w:hAnsiTheme="minorHAnsi" w:cstheme="minorHAnsi"/>
          <w:b/>
          <w:color w:val="000000"/>
          <w:sz w:val="22"/>
          <w:szCs w:val="22"/>
        </w:rPr>
        <w:t>5</w:t>
      </w:r>
      <w:r w:rsidR="00B24F3A" w:rsidRPr="00153204">
        <w:rPr>
          <w:rFonts w:asciiTheme="minorHAnsi" w:hAnsiTheme="minorHAnsi" w:cstheme="minorHAnsi"/>
          <w:b/>
          <w:color w:val="000000"/>
          <w:sz w:val="22"/>
          <w:szCs w:val="22"/>
        </w:rPr>
        <w:t>-2</w:t>
      </w:r>
      <w:r w:rsidR="008C38BA">
        <w:rPr>
          <w:rFonts w:asciiTheme="minorHAnsi" w:hAnsiTheme="minorHAnsi" w:cstheme="minorHAnsi"/>
          <w:b/>
          <w:color w:val="000000"/>
          <w:sz w:val="22"/>
          <w:szCs w:val="22"/>
        </w:rPr>
        <w:t>6</w:t>
      </w:r>
      <w:r w:rsidR="0082661D" w:rsidRPr="00153204">
        <w:rPr>
          <w:rFonts w:asciiTheme="minorHAnsi" w:hAnsiTheme="minorHAnsi" w:cstheme="minorHAnsi"/>
          <w:b/>
          <w:color w:val="000000"/>
          <w:sz w:val="22"/>
          <w:szCs w:val="22"/>
        </w:rPr>
        <w:t xml:space="preserve">              </w:t>
      </w:r>
      <w:proofErr w:type="gramStart"/>
      <w:r w:rsidR="0082661D" w:rsidRPr="00153204">
        <w:rPr>
          <w:rFonts w:asciiTheme="minorHAnsi" w:hAnsiTheme="minorHAnsi" w:cstheme="minorHAnsi"/>
          <w:b/>
          <w:color w:val="000000"/>
          <w:sz w:val="22"/>
          <w:szCs w:val="22"/>
        </w:rPr>
        <w:t xml:space="preserve">   (</w:t>
      </w:r>
      <w:proofErr w:type="gramEnd"/>
      <w:r w:rsidR="0082661D" w:rsidRPr="00153204">
        <w:rPr>
          <w:rFonts w:asciiTheme="minorHAnsi" w:hAnsiTheme="minorHAnsi" w:cstheme="minorHAnsi"/>
          <w:b/>
          <w:color w:val="000000"/>
          <w:sz w:val="22"/>
          <w:szCs w:val="22"/>
        </w:rPr>
        <w:t xml:space="preserve">In </w:t>
      </w:r>
      <w:r w:rsidR="001A2772" w:rsidRPr="00153204">
        <w:rPr>
          <w:rFonts w:asciiTheme="minorHAnsi" w:hAnsiTheme="minorHAnsi" w:cstheme="minorHAnsi"/>
          <w:b/>
          <w:color w:val="000000"/>
          <w:sz w:val="22"/>
          <w:szCs w:val="22"/>
        </w:rPr>
        <w:t>Rs.</w:t>
      </w:r>
      <w:r w:rsidR="0082661D" w:rsidRPr="00153204">
        <w:rPr>
          <w:rFonts w:asciiTheme="minorHAnsi" w:hAnsiTheme="minorHAnsi" w:cstheme="minorHAnsi"/>
          <w:b/>
          <w:color w:val="000000"/>
          <w:sz w:val="22"/>
          <w:szCs w:val="22"/>
        </w:rPr>
        <w:t xml:space="preserve"> </w:t>
      </w:r>
      <w:proofErr w:type="spellStart"/>
      <w:r w:rsidR="0082661D" w:rsidRPr="00153204">
        <w:rPr>
          <w:rFonts w:asciiTheme="minorHAnsi" w:hAnsiTheme="minorHAnsi" w:cstheme="minorHAnsi"/>
          <w:b/>
          <w:color w:val="000000"/>
          <w:sz w:val="22"/>
          <w:szCs w:val="22"/>
        </w:rPr>
        <w:t>Crs</w:t>
      </w:r>
      <w:proofErr w:type="spellEnd"/>
      <w:r w:rsidR="0082661D" w:rsidRPr="00153204">
        <w:rPr>
          <w:rFonts w:asciiTheme="minorHAnsi" w:hAnsiTheme="minorHAnsi" w:cstheme="minorHAnsi"/>
          <w:b/>
          <w:color w:val="000000"/>
          <w:sz w:val="22"/>
          <w:szCs w:val="22"/>
        </w:rPr>
        <w:t>)</w:t>
      </w:r>
    </w:p>
    <w:tbl>
      <w:tblPr>
        <w:tblW w:w="8746" w:type="dxa"/>
        <w:tblInd w:w="562" w:type="dxa"/>
        <w:tblLook w:val="04A0" w:firstRow="1" w:lastRow="0" w:firstColumn="1" w:lastColumn="0" w:noHBand="0" w:noVBand="1"/>
      </w:tblPr>
      <w:tblGrid>
        <w:gridCol w:w="1127"/>
        <w:gridCol w:w="3951"/>
        <w:gridCol w:w="3668"/>
      </w:tblGrid>
      <w:tr w:rsidR="007D023B" w:rsidRPr="00153204" w14:paraId="573F621D" w14:textId="77777777" w:rsidTr="00006D65">
        <w:trPr>
          <w:trHeight w:val="70"/>
        </w:trPr>
        <w:tc>
          <w:tcPr>
            <w:tcW w:w="1127" w:type="dxa"/>
            <w:tcBorders>
              <w:top w:val="single" w:sz="4" w:space="0" w:color="auto"/>
              <w:left w:val="single" w:sz="4" w:space="0" w:color="auto"/>
              <w:bottom w:val="single" w:sz="4" w:space="0" w:color="auto"/>
              <w:right w:val="single" w:sz="4" w:space="0" w:color="auto"/>
            </w:tcBorders>
            <w:shd w:val="clear" w:color="auto" w:fill="8DB3E2" w:themeFill="text2" w:themeFillTint="66"/>
            <w:noWrap/>
            <w:vAlign w:val="bottom"/>
            <w:hideMark/>
          </w:tcPr>
          <w:p w14:paraId="46C354D3" w14:textId="77777777" w:rsidR="007D023B" w:rsidRPr="00153204" w:rsidRDefault="007D023B" w:rsidP="00006D65">
            <w:pPr>
              <w:jc w:val="center"/>
              <w:rPr>
                <w:rFonts w:asciiTheme="minorHAnsi" w:hAnsiTheme="minorHAnsi" w:cstheme="minorHAnsi"/>
                <w:b/>
                <w:bCs/>
                <w:color w:val="000000"/>
                <w:sz w:val="22"/>
                <w:szCs w:val="22"/>
                <w:lang w:val="en-IN" w:eastAsia="en-IN"/>
              </w:rPr>
            </w:pPr>
            <w:r w:rsidRPr="00153204">
              <w:rPr>
                <w:rFonts w:asciiTheme="minorHAnsi" w:hAnsiTheme="minorHAnsi" w:cstheme="minorHAnsi"/>
                <w:b/>
                <w:bCs/>
                <w:color w:val="000000"/>
                <w:sz w:val="22"/>
                <w:szCs w:val="22"/>
              </w:rPr>
              <w:t>Sl. No.</w:t>
            </w:r>
          </w:p>
        </w:tc>
        <w:tc>
          <w:tcPr>
            <w:tcW w:w="3951" w:type="dxa"/>
            <w:tcBorders>
              <w:top w:val="single" w:sz="4" w:space="0" w:color="auto"/>
              <w:left w:val="nil"/>
              <w:bottom w:val="single" w:sz="4" w:space="0" w:color="auto"/>
              <w:right w:val="single" w:sz="4" w:space="0" w:color="auto"/>
            </w:tcBorders>
            <w:shd w:val="clear" w:color="auto" w:fill="8DB3E2" w:themeFill="text2" w:themeFillTint="66"/>
            <w:noWrap/>
            <w:vAlign w:val="center"/>
            <w:hideMark/>
          </w:tcPr>
          <w:p w14:paraId="19C49B55" w14:textId="77777777" w:rsidR="007D023B" w:rsidRPr="00153204" w:rsidRDefault="007D023B" w:rsidP="00006D65">
            <w:pPr>
              <w:jc w:val="center"/>
              <w:rPr>
                <w:rFonts w:asciiTheme="minorHAnsi" w:hAnsiTheme="minorHAnsi" w:cstheme="minorHAnsi"/>
                <w:b/>
                <w:bCs/>
                <w:sz w:val="22"/>
                <w:szCs w:val="22"/>
              </w:rPr>
            </w:pPr>
          </w:p>
          <w:p w14:paraId="4E99F6CC" w14:textId="1DC14018" w:rsidR="007D023B" w:rsidRPr="00153204" w:rsidRDefault="007D023B" w:rsidP="00006D65">
            <w:pPr>
              <w:jc w:val="center"/>
              <w:rPr>
                <w:rFonts w:asciiTheme="minorHAnsi" w:hAnsiTheme="minorHAnsi" w:cstheme="minorHAnsi"/>
                <w:b/>
                <w:bCs/>
                <w:sz w:val="22"/>
                <w:szCs w:val="22"/>
              </w:rPr>
            </w:pPr>
            <w:r w:rsidRPr="00153204">
              <w:rPr>
                <w:rFonts w:asciiTheme="minorHAnsi" w:hAnsiTheme="minorHAnsi" w:cstheme="minorHAnsi"/>
                <w:b/>
                <w:bCs/>
                <w:sz w:val="22"/>
                <w:szCs w:val="22"/>
              </w:rPr>
              <w:t>Particulars</w:t>
            </w:r>
          </w:p>
        </w:tc>
        <w:tc>
          <w:tcPr>
            <w:tcW w:w="3668" w:type="dxa"/>
            <w:tcBorders>
              <w:top w:val="single" w:sz="4" w:space="0" w:color="auto"/>
              <w:left w:val="nil"/>
              <w:bottom w:val="single" w:sz="4" w:space="0" w:color="auto"/>
              <w:right w:val="single" w:sz="4" w:space="0" w:color="auto"/>
            </w:tcBorders>
            <w:shd w:val="clear" w:color="auto" w:fill="8DB3E2" w:themeFill="text2" w:themeFillTint="66"/>
            <w:vAlign w:val="bottom"/>
            <w:hideMark/>
          </w:tcPr>
          <w:p w14:paraId="039DC947" w14:textId="255637AA" w:rsidR="007D023B" w:rsidRPr="00153204" w:rsidRDefault="007D023B" w:rsidP="00006D65">
            <w:pPr>
              <w:jc w:val="center"/>
              <w:rPr>
                <w:rFonts w:asciiTheme="minorHAnsi" w:hAnsiTheme="minorHAnsi" w:cstheme="minorHAnsi"/>
                <w:b/>
                <w:bCs/>
                <w:color w:val="000000"/>
                <w:sz w:val="22"/>
                <w:szCs w:val="22"/>
              </w:rPr>
            </w:pPr>
            <w:r w:rsidRPr="00153204">
              <w:rPr>
                <w:rFonts w:asciiTheme="minorHAnsi" w:hAnsiTheme="minorHAnsi" w:cstheme="minorHAnsi"/>
                <w:b/>
                <w:bCs/>
                <w:color w:val="000000"/>
                <w:sz w:val="22"/>
                <w:szCs w:val="22"/>
              </w:rPr>
              <w:t xml:space="preserve">Projection </w:t>
            </w:r>
            <w:r w:rsidR="00006D65">
              <w:rPr>
                <w:rFonts w:asciiTheme="minorHAnsi" w:hAnsiTheme="minorHAnsi" w:cstheme="minorHAnsi"/>
                <w:b/>
                <w:bCs/>
                <w:color w:val="000000"/>
                <w:sz w:val="22"/>
                <w:szCs w:val="22"/>
              </w:rPr>
              <w:t xml:space="preserve">for </w:t>
            </w:r>
            <w:r w:rsidRPr="00153204">
              <w:rPr>
                <w:rFonts w:asciiTheme="minorHAnsi" w:hAnsiTheme="minorHAnsi" w:cstheme="minorHAnsi"/>
                <w:b/>
                <w:bCs/>
                <w:color w:val="000000"/>
                <w:sz w:val="22"/>
                <w:szCs w:val="22"/>
              </w:rPr>
              <w:t>FY 2</w:t>
            </w:r>
            <w:r w:rsidR="008C38BA">
              <w:rPr>
                <w:rFonts w:asciiTheme="minorHAnsi" w:hAnsiTheme="minorHAnsi" w:cstheme="minorHAnsi"/>
                <w:b/>
                <w:bCs/>
                <w:color w:val="000000"/>
                <w:sz w:val="22"/>
                <w:szCs w:val="22"/>
              </w:rPr>
              <w:t>5</w:t>
            </w:r>
            <w:r w:rsidRPr="00153204">
              <w:rPr>
                <w:rFonts w:asciiTheme="minorHAnsi" w:hAnsiTheme="minorHAnsi" w:cstheme="minorHAnsi"/>
                <w:b/>
                <w:bCs/>
                <w:color w:val="000000"/>
                <w:sz w:val="22"/>
                <w:szCs w:val="22"/>
              </w:rPr>
              <w:t>-2</w:t>
            </w:r>
            <w:r w:rsidR="008C38BA">
              <w:rPr>
                <w:rFonts w:asciiTheme="minorHAnsi" w:hAnsiTheme="minorHAnsi" w:cstheme="minorHAnsi"/>
                <w:b/>
                <w:bCs/>
                <w:color w:val="000000"/>
                <w:sz w:val="22"/>
                <w:szCs w:val="22"/>
              </w:rPr>
              <w:t>6</w:t>
            </w:r>
          </w:p>
        </w:tc>
      </w:tr>
      <w:tr w:rsidR="007D023B" w:rsidRPr="00153204" w14:paraId="015004D1" w14:textId="77777777" w:rsidTr="00006D65">
        <w:trPr>
          <w:trHeight w:val="331"/>
        </w:trPr>
        <w:tc>
          <w:tcPr>
            <w:tcW w:w="1127" w:type="dxa"/>
            <w:tcBorders>
              <w:top w:val="nil"/>
              <w:left w:val="single" w:sz="4" w:space="0" w:color="auto"/>
              <w:bottom w:val="single" w:sz="4" w:space="0" w:color="auto"/>
              <w:right w:val="single" w:sz="4" w:space="0" w:color="auto"/>
            </w:tcBorders>
            <w:shd w:val="clear" w:color="auto" w:fill="FFFFFF" w:themeFill="background1"/>
            <w:noWrap/>
            <w:vAlign w:val="bottom"/>
            <w:hideMark/>
          </w:tcPr>
          <w:p w14:paraId="35A3CAA7" w14:textId="21CF444F" w:rsidR="007D023B" w:rsidRPr="00153204" w:rsidRDefault="007D023B" w:rsidP="007D023B">
            <w:pPr>
              <w:jc w:val="center"/>
              <w:rPr>
                <w:rFonts w:asciiTheme="minorHAnsi" w:hAnsiTheme="minorHAnsi" w:cstheme="minorHAnsi"/>
                <w:b/>
                <w:bCs/>
                <w:color w:val="000000"/>
                <w:sz w:val="22"/>
                <w:szCs w:val="22"/>
              </w:rPr>
            </w:pPr>
            <w:r w:rsidRPr="00153204">
              <w:rPr>
                <w:rFonts w:asciiTheme="minorHAnsi" w:hAnsiTheme="minorHAnsi" w:cstheme="minorHAnsi"/>
                <w:b/>
                <w:bCs/>
                <w:color w:val="000000"/>
                <w:sz w:val="22"/>
                <w:szCs w:val="22"/>
              </w:rPr>
              <w:t>1</w:t>
            </w:r>
          </w:p>
        </w:tc>
        <w:tc>
          <w:tcPr>
            <w:tcW w:w="3951" w:type="dxa"/>
            <w:tcBorders>
              <w:top w:val="nil"/>
              <w:left w:val="nil"/>
              <w:bottom w:val="single" w:sz="4" w:space="0" w:color="auto"/>
              <w:right w:val="single" w:sz="4" w:space="0" w:color="auto"/>
            </w:tcBorders>
            <w:shd w:val="clear" w:color="auto" w:fill="FFFFFF" w:themeFill="background1"/>
            <w:noWrap/>
            <w:vAlign w:val="center"/>
            <w:hideMark/>
          </w:tcPr>
          <w:p w14:paraId="67A23385" w14:textId="77777777" w:rsidR="007D023B" w:rsidRPr="00153204" w:rsidRDefault="007D023B">
            <w:pPr>
              <w:rPr>
                <w:rFonts w:asciiTheme="minorHAnsi" w:hAnsiTheme="minorHAnsi" w:cstheme="minorHAnsi"/>
                <w:b/>
                <w:bCs/>
                <w:sz w:val="22"/>
                <w:szCs w:val="22"/>
              </w:rPr>
            </w:pPr>
            <w:r w:rsidRPr="00153204">
              <w:rPr>
                <w:rFonts w:asciiTheme="minorHAnsi" w:hAnsiTheme="minorHAnsi" w:cstheme="minorHAnsi"/>
                <w:b/>
                <w:bCs/>
                <w:sz w:val="22"/>
                <w:szCs w:val="22"/>
              </w:rPr>
              <w:t xml:space="preserve">Power Purchase cost </w:t>
            </w:r>
          </w:p>
        </w:tc>
        <w:tc>
          <w:tcPr>
            <w:tcW w:w="3668" w:type="dxa"/>
            <w:tcBorders>
              <w:top w:val="nil"/>
              <w:left w:val="nil"/>
              <w:bottom w:val="single" w:sz="4" w:space="0" w:color="auto"/>
              <w:right w:val="single" w:sz="4" w:space="0" w:color="auto"/>
            </w:tcBorders>
            <w:shd w:val="clear" w:color="auto" w:fill="FFFFFF" w:themeFill="background1"/>
            <w:vAlign w:val="bottom"/>
            <w:hideMark/>
          </w:tcPr>
          <w:p w14:paraId="549F60C3" w14:textId="311C0A29" w:rsidR="007D023B" w:rsidRPr="00153204" w:rsidRDefault="008C38BA" w:rsidP="008C38BA">
            <w:pPr>
              <w:jc w:val="center"/>
              <w:rPr>
                <w:rFonts w:asciiTheme="minorHAnsi" w:hAnsiTheme="minorHAnsi" w:cstheme="minorHAnsi"/>
                <w:b/>
                <w:bCs/>
                <w:color w:val="000000"/>
                <w:sz w:val="22"/>
                <w:szCs w:val="22"/>
              </w:rPr>
            </w:pPr>
            <w:r>
              <w:rPr>
                <w:rFonts w:asciiTheme="minorHAnsi" w:hAnsiTheme="minorHAnsi" w:cstheme="minorHAnsi"/>
                <w:b/>
                <w:bCs/>
                <w:color w:val="000000"/>
                <w:sz w:val="22"/>
                <w:szCs w:val="22"/>
              </w:rPr>
              <w:t>3262.42</w:t>
            </w:r>
          </w:p>
        </w:tc>
      </w:tr>
      <w:tr w:rsidR="007D023B" w:rsidRPr="00153204" w14:paraId="1FC69402" w14:textId="77777777" w:rsidTr="00006D65">
        <w:trPr>
          <w:trHeight w:val="331"/>
        </w:trPr>
        <w:tc>
          <w:tcPr>
            <w:tcW w:w="1127" w:type="dxa"/>
            <w:tcBorders>
              <w:top w:val="nil"/>
              <w:left w:val="single" w:sz="4" w:space="0" w:color="auto"/>
              <w:bottom w:val="single" w:sz="4" w:space="0" w:color="auto"/>
              <w:right w:val="single" w:sz="4" w:space="0" w:color="auto"/>
            </w:tcBorders>
            <w:shd w:val="clear" w:color="auto" w:fill="auto"/>
            <w:noWrap/>
            <w:vAlign w:val="bottom"/>
            <w:hideMark/>
          </w:tcPr>
          <w:p w14:paraId="75D56F95" w14:textId="3829B02F" w:rsidR="007D023B" w:rsidRPr="00153204" w:rsidRDefault="007D023B">
            <w:pPr>
              <w:jc w:val="center"/>
              <w:rPr>
                <w:rFonts w:asciiTheme="minorHAnsi" w:hAnsiTheme="minorHAnsi" w:cstheme="minorHAnsi"/>
                <w:color w:val="000000"/>
                <w:sz w:val="22"/>
                <w:szCs w:val="22"/>
              </w:rPr>
            </w:pPr>
            <w:r w:rsidRPr="00153204">
              <w:rPr>
                <w:rFonts w:asciiTheme="minorHAnsi" w:hAnsiTheme="minorHAnsi" w:cstheme="minorHAnsi"/>
                <w:color w:val="000000"/>
                <w:sz w:val="22"/>
                <w:szCs w:val="22"/>
              </w:rPr>
              <w:t>2</w:t>
            </w:r>
          </w:p>
        </w:tc>
        <w:tc>
          <w:tcPr>
            <w:tcW w:w="3951" w:type="dxa"/>
            <w:tcBorders>
              <w:top w:val="nil"/>
              <w:left w:val="nil"/>
              <w:bottom w:val="single" w:sz="4" w:space="0" w:color="auto"/>
              <w:right w:val="single" w:sz="4" w:space="0" w:color="auto"/>
            </w:tcBorders>
            <w:shd w:val="clear" w:color="000000" w:fill="FFFFFF"/>
            <w:noWrap/>
            <w:vAlign w:val="center"/>
            <w:hideMark/>
          </w:tcPr>
          <w:p w14:paraId="1826A709" w14:textId="77777777" w:rsidR="007D023B" w:rsidRPr="00153204" w:rsidRDefault="007D023B">
            <w:pPr>
              <w:rPr>
                <w:rFonts w:asciiTheme="minorHAnsi" w:hAnsiTheme="minorHAnsi" w:cstheme="minorHAnsi"/>
                <w:sz w:val="22"/>
                <w:szCs w:val="22"/>
              </w:rPr>
            </w:pPr>
            <w:r w:rsidRPr="00153204">
              <w:rPr>
                <w:rFonts w:asciiTheme="minorHAnsi" w:hAnsiTheme="minorHAnsi" w:cstheme="minorHAnsi"/>
                <w:sz w:val="22"/>
                <w:szCs w:val="22"/>
              </w:rPr>
              <w:t xml:space="preserve">Total Distribution Cost </w:t>
            </w:r>
          </w:p>
        </w:tc>
        <w:tc>
          <w:tcPr>
            <w:tcW w:w="3668" w:type="dxa"/>
            <w:tcBorders>
              <w:top w:val="nil"/>
              <w:left w:val="nil"/>
              <w:bottom w:val="single" w:sz="4" w:space="0" w:color="auto"/>
              <w:right w:val="single" w:sz="4" w:space="0" w:color="auto"/>
            </w:tcBorders>
            <w:shd w:val="clear" w:color="auto" w:fill="auto"/>
            <w:noWrap/>
            <w:vAlign w:val="bottom"/>
            <w:hideMark/>
          </w:tcPr>
          <w:p w14:paraId="1DE2C5AF" w14:textId="293A724C" w:rsidR="007D023B" w:rsidRPr="00153204" w:rsidRDefault="008C38BA" w:rsidP="007D023B">
            <w:pPr>
              <w:jc w:val="center"/>
              <w:rPr>
                <w:rFonts w:asciiTheme="minorHAnsi" w:hAnsiTheme="minorHAnsi" w:cstheme="minorHAnsi"/>
                <w:color w:val="000000"/>
                <w:sz w:val="22"/>
                <w:szCs w:val="22"/>
              </w:rPr>
            </w:pPr>
            <w:r>
              <w:rPr>
                <w:rFonts w:asciiTheme="minorHAnsi" w:hAnsiTheme="minorHAnsi" w:cstheme="minorHAnsi"/>
                <w:color w:val="000000"/>
                <w:sz w:val="22"/>
                <w:szCs w:val="22"/>
              </w:rPr>
              <w:t>1557.70</w:t>
            </w:r>
          </w:p>
        </w:tc>
      </w:tr>
      <w:tr w:rsidR="007D023B" w:rsidRPr="00153204" w14:paraId="044EF16E" w14:textId="77777777" w:rsidTr="00006D65">
        <w:trPr>
          <w:trHeight w:val="331"/>
        </w:trPr>
        <w:tc>
          <w:tcPr>
            <w:tcW w:w="1127" w:type="dxa"/>
            <w:tcBorders>
              <w:top w:val="nil"/>
              <w:left w:val="single" w:sz="4" w:space="0" w:color="auto"/>
              <w:bottom w:val="single" w:sz="4" w:space="0" w:color="auto"/>
              <w:right w:val="single" w:sz="4" w:space="0" w:color="auto"/>
            </w:tcBorders>
            <w:shd w:val="clear" w:color="auto" w:fill="auto"/>
            <w:noWrap/>
            <w:vAlign w:val="bottom"/>
            <w:hideMark/>
          </w:tcPr>
          <w:p w14:paraId="2028C481" w14:textId="1D0C33A3" w:rsidR="007D023B" w:rsidRPr="00153204" w:rsidRDefault="007D023B">
            <w:pPr>
              <w:jc w:val="center"/>
              <w:rPr>
                <w:rFonts w:asciiTheme="minorHAnsi" w:hAnsiTheme="minorHAnsi" w:cstheme="minorHAnsi"/>
                <w:color w:val="000000"/>
                <w:sz w:val="22"/>
                <w:szCs w:val="22"/>
              </w:rPr>
            </w:pPr>
            <w:r w:rsidRPr="00153204">
              <w:rPr>
                <w:rFonts w:asciiTheme="minorHAnsi" w:hAnsiTheme="minorHAnsi" w:cstheme="minorHAnsi"/>
                <w:color w:val="000000"/>
                <w:sz w:val="22"/>
                <w:szCs w:val="22"/>
              </w:rPr>
              <w:t>3</w:t>
            </w:r>
          </w:p>
        </w:tc>
        <w:tc>
          <w:tcPr>
            <w:tcW w:w="3951" w:type="dxa"/>
            <w:tcBorders>
              <w:top w:val="nil"/>
              <w:left w:val="nil"/>
              <w:bottom w:val="single" w:sz="4" w:space="0" w:color="auto"/>
              <w:right w:val="single" w:sz="4" w:space="0" w:color="auto"/>
            </w:tcBorders>
            <w:shd w:val="clear" w:color="000000" w:fill="FFFFFF"/>
            <w:noWrap/>
            <w:vAlign w:val="center"/>
            <w:hideMark/>
          </w:tcPr>
          <w:p w14:paraId="5707500B" w14:textId="77777777" w:rsidR="007D023B" w:rsidRPr="00153204" w:rsidRDefault="007D023B">
            <w:pPr>
              <w:rPr>
                <w:rFonts w:asciiTheme="minorHAnsi" w:hAnsiTheme="minorHAnsi" w:cstheme="minorHAnsi"/>
                <w:sz w:val="22"/>
                <w:szCs w:val="22"/>
              </w:rPr>
            </w:pPr>
            <w:r w:rsidRPr="00153204">
              <w:rPr>
                <w:rFonts w:asciiTheme="minorHAnsi" w:hAnsiTheme="minorHAnsi" w:cstheme="minorHAnsi"/>
                <w:sz w:val="22"/>
                <w:szCs w:val="22"/>
              </w:rPr>
              <w:t>Less: Miscellaneous Receipt</w:t>
            </w:r>
          </w:p>
        </w:tc>
        <w:tc>
          <w:tcPr>
            <w:tcW w:w="3668" w:type="dxa"/>
            <w:tcBorders>
              <w:top w:val="nil"/>
              <w:left w:val="nil"/>
              <w:bottom w:val="single" w:sz="4" w:space="0" w:color="auto"/>
              <w:right w:val="single" w:sz="4" w:space="0" w:color="auto"/>
            </w:tcBorders>
            <w:shd w:val="clear" w:color="auto" w:fill="auto"/>
            <w:noWrap/>
            <w:vAlign w:val="bottom"/>
            <w:hideMark/>
          </w:tcPr>
          <w:p w14:paraId="4E96A544" w14:textId="36833010" w:rsidR="007D023B" w:rsidRPr="00153204" w:rsidRDefault="008C38BA" w:rsidP="007D023B">
            <w:pPr>
              <w:jc w:val="center"/>
              <w:rPr>
                <w:rFonts w:asciiTheme="minorHAnsi" w:hAnsiTheme="minorHAnsi" w:cstheme="minorHAnsi"/>
                <w:color w:val="000000"/>
                <w:sz w:val="22"/>
                <w:szCs w:val="22"/>
              </w:rPr>
            </w:pPr>
            <w:r>
              <w:rPr>
                <w:rFonts w:asciiTheme="minorHAnsi" w:hAnsiTheme="minorHAnsi" w:cstheme="minorHAnsi"/>
                <w:color w:val="000000"/>
                <w:sz w:val="22"/>
                <w:szCs w:val="22"/>
              </w:rPr>
              <w:t>181.69</w:t>
            </w:r>
          </w:p>
        </w:tc>
      </w:tr>
      <w:tr w:rsidR="007D023B" w:rsidRPr="00153204" w14:paraId="2C13055E" w14:textId="77777777" w:rsidTr="00006D65">
        <w:trPr>
          <w:trHeight w:val="331"/>
        </w:trPr>
        <w:tc>
          <w:tcPr>
            <w:tcW w:w="1127" w:type="dxa"/>
            <w:tcBorders>
              <w:top w:val="nil"/>
              <w:left w:val="single" w:sz="4" w:space="0" w:color="auto"/>
              <w:bottom w:val="single" w:sz="4" w:space="0" w:color="auto"/>
              <w:right w:val="single" w:sz="4" w:space="0" w:color="auto"/>
            </w:tcBorders>
            <w:shd w:val="clear" w:color="auto" w:fill="auto"/>
            <w:noWrap/>
            <w:vAlign w:val="bottom"/>
            <w:hideMark/>
          </w:tcPr>
          <w:p w14:paraId="6390C6A0" w14:textId="6E6B4A3F" w:rsidR="007D023B" w:rsidRPr="00153204" w:rsidRDefault="007D023B">
            <w:pPr>
              <w:jc w:val="center"/>
              <w:rPr>
                <w:rFonts w:asciiTheme="minorHAnsi" w:hAnsiTheme="minorHAnsi" w:cstheme="minorHAnsi"/>
                <w:color w:val="000000"/>
                <w:sz w:val="22"/>
                <w:szCs w:val="22"/>
              </w:rPr>
            </w:pPr>
            <w:r w:rsidRPr="00153204">
              <w:rPr>
                <w:rFonts w:asciiTheme="minorHAnsi" w:hAnsiTheme="minorHAnsi" w:cstheme="minorHAnsi"/>
                <w:color w:val="000000"/>
                <w:sz w:val="22"/>
                <w:szCs w:val="22"/>
              </w:rPr>
              <w:t>4</w:t>
            </w:r>
          </w:p>
        </w:tc>
        <w:tc>
          <w:tcPr>
            <w:tcW w:w="3951" w:type="dxa"/>
            <w:tcBorders>
              <w:top w:val="nil"/>
              <w:left w:val="nil"/>
              <w:bottom w:val="single" w:sz="4" w:space="0" w:color="auto"/>
              <w:right w:val="single" w:sz="4" w:space="0" w:color="auto"/>
            </w:tcBorders>
            <w:shd w:val="clear" w:color="000000" w:fill="FFFFFF"/>
            <w:noWrap/>
            <w:vAlign w:val="center"/>
            <w:hideMark/>
          </w:tcPr>
          <w:p w14:paraId="4420D4C5" w14:textId="77777777" w:rsidR="007D023B" w:rsidRPr="00153204" w:rsidRDefault="007D023B">
            <w:pPr>
              <w:rPr>
                <w:rFonts w:asciiTheme="minorHAnsi" w:hAnsiTheme="minorHAnsi" w:cstheme="minorHAnsi"/>
                <w:sz w:val="22"/>
                <w:szCs w:val="22"/>
              </w:rPr>
            </w:pPr>
            <w:r w:rsidRPr="00153204">
              <w:rPr>
                <w:rFonts w:asciiTheme="minorHAnsi" w:hAnsiTheme="minorHAnsi" w:cstheme="minorHAnsi"/>
                <w:sz w:val="22"/>
                <w:szCs w:val="22"/>
              </w:rPr>
              <w:t xml:space="preserve">Net Distribution Cost </w:t>
            </w:r>
          </w:p>
        </w:tc>
        <w:tc>
          <w:tcPr>
            <w:tcW w:w="3668" w:type="dxa"/>
            <w:tcBorders>
              <w:top w:val="nil"/>
              <w:left w:val="nil"/>
              <w:bottom w:val="single" w:sz="4" w:space="0" w:color="auto"/>
              <w:right w:val="single" w:sz="4" w:space="0" w:color="auto"/>
            </w:tcBorders>
            <w:shd w:val="clear" w:color="auto" w:fill="auto"/>
            <w:noWrap/>
            <w:vAlign w:val="bottom"/>
            <w:hideMark/>
          </w:tcPr>
          <w:p w14:paraId="3A8F71F1" w14:textId="590F28F5" w:rsidR="007D023B" w:rsidRPr="00153204" w:rsidRDefault="008C38BA" w:rsidP="007D023B">
            <w:pPr>
              <w:jc w:val="center"/>
              <w:rPr>
                <w:rFonts w:asciiTheme="minorHAnsi" w:hAnsiTheme="minorHAnsi" w:cstheme="minorHAnsi"/>
                <w:color w:val="000000"/>
                <w:sz w:val="22"/>
                <w:szCs w:val="22"/>
              </w:rPr>
            </w:pPr>
            <w:r>
              <w:rPr>
                <w:rFonts w:asciiTheme="minorHAnsi" w:hAnsiTheme="minorHAnsi" w:cstheme="minorHAnsi"/>
                <w:color w:val="000000"/>
                <w:sz w:val="22"/>
                <w:szCs w:val="22"/>
              </w:rPr>
              <w:t>1376.01</w:t>
            </w:r>
          </w:p>
        </w:tc>
      </w:tr>
      <w:tr w:rsidR="007D023B" w:rsidRPr="00153204" w14:paraId="374FCFE1" w14:textId="77777777" w:rsidTr="00006D65">
        <w:trPr>
          <w:trHeight w:val="331"/>
        </w:trPr>
        <w:tc>
          <w:tcPr>
            <w:tcW w:w="1127" w:type="dxa"/>
            <w:tcBorders>
              <w:top w:val="nil"/>
              <w:left w:val="single" w:sz="4" w:space="0" w:color="auto"/>
              <w:bottom w:val="single" w:sz="4" w:space="0" w:color="auto"/>
              <w:right w:val="single" w:sz="4" w:space="0" w:color="auto"/>
            </w:tcBorders>
            <w:shd w:val="clear" w:color="auto" w:fill="auto"/>
            <w:noWrap/>
            <w:vAlign w:val="bottom"/>
            <w:hideMark/>
          </w:tcPr>
          <w:p w14:paraId="70C1A051" w14:textId="1544DFFE" w:rsidR="007D023B" w:rsidRPr="00153204" w:rsidRDefault="007D023B">
            <w:pPr>
              <w:jc w:val="center"/>
              <w:rPr>
                <w:rFonts w:asciiTheme="minorHAnsi" w:hAnsiTheme="minorHAnsi" w:cstheme="minorHAnsi"/>
                <w:color w:val="000000"/>
                <w:sz w:val="22"/>
                <w:szCs w:val="22"/>
              </w:rPr>
            </w:pPr>
            <w:r w:rsidRPr="00153204">
              <w:rPr>
                <w:rFonts w:asciiTheme="minorHAnsi" w:hAnsiTheme="minorHAnsi" w:cstheme="minorHAnsi"/>
                <w:color w:val="000000"/>
                <w:sz w:val="22"/>
                <w:szCs w:val="22"/>
              </w:rPr>
              <w:t>5</w:t>
            </w:r>
          </w:p>
        </w:tc>
        <w:tc>
          <w:tcPr>
            <w:tcW w:w="3951" w:type="dxa"/>
            <w:tcBorders>
              <w:top w:val="nil"/>
              <w:left w:val="nil"/>
              <w:bottom w:val="single" w:sz="4" w:space="0" w:color="auto"/>
              <w:right w:val="single" w:sz="4" w:space="0" w:color="auto"/>
            </w:tcBorders>
            <w:shd w:val="clear" w:color="000000" w:fill="FFFFFF"/>
            <w:noWrap/>
            <w:vAlign w:val="center"/>
            <w:hideMark/>
          </w:tcPr>
          <w:p w14:paraId="4F3033F8" w14:textId="77777777" w:rsidR="007D023B" w:rsidRPr="00153204" w:rsidRDefault="007D023B">
            <w:pPr>
              <w:rPr>
                <w:rFonts w:asciiTheme="minorHAnsi" w:hAnsiTheme="minorHAnsi" w:cstheme="minorHAnsi"/>
                <w:sz w:val="22"/>
                <w:szCs w:val="22"/>
              </w:rPr>
            </w:pPr>
            <w:r w:rsidRPr="00153204">
              <w:rPr>
                <w:rFonts w:asciiTheme="minorHAnsi" w:hAnsiTheme="minorHAnsi" w:cstheme="minorHAnsi"/>
                <w:sz w:val="22"/>
                <w:szCs w:val="22"/>
              </w:rPr>
              <w:t xml:space="preserve">Total Special Appropriation </w:t>
            </w:r>
          </w:p>
        </w:tc>
        <w:tc>
          <w:tcPr>
            <w:tcW w:w="3668" w:type="dxa"/>
            <w:tcBorders>
              <w:top w:val="nil"/>
              <w:left w:val="nil"/>
              <w:bottom w:val="single" w:sz="4" w:space="0" w:color="auto"/>
              <w:right w:val="single" w:sz="4" w:space="0" w:color="auto"/>
            </w:tcBorders>
            <w:shd w:val="clear" w:color="auto" w:fill="auto"/>
            <w:noWrap/>
            <w:vAlign w:val="bottom"/>
            <w:hideMark/>
          </w:tcPr>
          <w:p w14:paraId="07468458" w14:textId="6CDC56EC" w:rsidR="007D023B" w:rsidRPr="00153204" w:rsidRDefault="008C38BA" w:rsidP="007D023B">
            <w:pPr>
              <w:jc w:val="center"/>
              <w:rPr>
                <w:rFonts w:asciiTheme="minorHAnsi" w:hAnsiTheme="minorHAnsi" w:cstheme="minorHAnsi"/>
                <w:color w:val="000000"/>
                <w:sz w:val="22"/>
                <w:szCs w:val="22"/>
              </w:rPr>
            </w:pPr>
            <w:r>
              <w:rPr>
                <w:rFonts w:asciiTheme="minorHAnsi" w:hAnsiTheme="minorHAnsi" w:cstheme="minorHAnsi"/>
                <w:color w:val="000000"/>
                <w:sz w:val="22"/>
                <w:szCs w:val="22"/>
              </w:rPr>
              <w:t>11.99</w:t>
            </w:r>
          </w:p>
        </w:tc>
      </w:tr>
      <w:tr w:rsidR="007D023B" w:rsidRPr="00153204" w14:paraId="21FD1880" w14:textId="77777777" w:rsidTr="00006D65">
        <w:trPr>
          <w:trHeight w:val="331"/>
        </w:trPr>
        <w:tc>
          <w:tcPr>
            <w:tcW w:w="1127" w:type="dxa"/>
            <w:tcBorders>
              <w:top w:val="nil"/>
              <w:left w:val="single" w:sz="4" w:space="0" w:color="auto"/>
              <w:bottom w:val="single" w:sz="4" w:space="0" w:color="auto"/>
              <w:right w:val="single" w:sz="4" w:space="0" w:color="auto"/>
            </w:tcBorders>
            <w:shd w:val="clear" w:color="auto" w:fill="auto"/>
            <w:noWrap/>
            <w:vAlign w:val="bottom"/>
            <w:hideMark/>
          </w:tcPr>
          <w:p w14:paraId="0BE6AF27" w14:textId="093B3420" w:rsidR="007D023B" w:rsidRPr="00153204" w:rsidRDefault="007D023B">
            <w:pPr>
              <w:jc w:val="center"/>
              <w:rPr>
                <w:rFonts w:asciiTheme="minorHAnsi" w:hAnsiTheme="minorHAnsi" w:cstheme="minorHAnsi"/>
                <w:color w:val="000000"/>
                <w:sz w:val="22"/>
                <w:szCs w:val="22"/>
              </w:rPr>
            </w:pPr>
            <w:r w:rsidRPr="00153204">
              <w:rPr>
                <w:rFonts w:asciiTheme="minorHAnsi" w:hAnsiTheme="minorHAnsi" w:cstheme="minorHAnsi"/>
                <w:color w:val="000000"/>
                <w:sz w:val="22"/>
                <w:szCs w:val="22"/>
              </w:rPr>
              <w:t>6</w:t>
            </w:r>
          </w:p>
        </w:tc>
        <w:tc>
          <w:tcPr>
            <w:tcW w:w="3951" w:type="dxa"/>
            <w:tcBorders>
              <w:top w:val="nil"/>
              <w:left w:val="nil"/>
              <w:bottom w:val="single" w:sz="4" w:space="0" w:color="auto"/>
              <w:right w:val="single" w:sz="4" w:space="0" w:color="auto"/>
            </w:tcBorders>
            <w:shd w:val="clear" w:color="000000" w:fill="FFFFFF"/>
            <w:noWrap/>
            <w:vAlign w:val="center"/>
            <w:hideMark/>
          </w:tcPr>
          <w:p w14:paraId="2BDA186D" w14:textId="77777777" w:rsidR="007D023B" w:rsidRPr="00153204" w:rsidRDefault="007D023B">
            <w:pPr>
              <w:rPr>
                <w:rFonts w:asciiTheme="minorHAnsi" w:hAnsiTheme="minorHAnsi" w:cstheme="minorHAnsi"/>
                <w:sz w:val="22"/>
                <w:szCs w:val="22"/>
              </w:rPr>
            </w:pPr>
            <w:r w:rsidRPr="00153204">
              <w:rPr>
                <w:rFonts w:asciiTheme="minorHAnsi" w:hAnsiTheme="minorHAnsi" w:cstheme="minorHAnsi"/>
                <w:sz w:val="22"/>
                <w:szCs w:val="22"/>
              </w:rPr>
              <w:t>Total Revenue Requirement</w:t>
            </w:r>
          </w:p>
        </w:tc>
        <w:tc>
          <w:tcPr>
            <w:tcW w:w="3668" w:type="dxa"/>
            <w:tcBorders>
              <w:top w:val="nil"/>
              <w:left w:val="nil"/>
              <w:bottom w:val="single" w:sz="4" w:space="0" w:color="auto"/>
              <w:right w:val="single" w:sz="4" w:space="0" w:color="auto"/>
            </w:tcBorders>
            <w:shd w:val="clear" w:color="auto" w:fill="auto"/>
            <w:noWrap/>
            <w:vAlign w:val="bottom"/>
            <w:hideMark/>
          </w:tcPr>
          <w:p w14:paraId="68E7DC58" w14:textId="5CC91CAC" w:rsidR="007D023B" w:rsidRPr="00153204" w:rsidRDefault="008C38BA" w:rsidP="007D023B">
            <w:pPr>
              <w:jc w:val="center"/>
              <w:rPr>
                <w:rFonts w:asciiTheme="minorHAnsi" w:hAnsiTheme="minorHAnsi" w:cstheme="minorHAnsi"/>
                <w:color w:val="000000"/>
                <w:sz w:val="22"/>
                <w:szCs w:val="22"/>
              </w:rPr>
            </w:pPr>
            <w:r>
              <w:rPr>
                <w:rFonts w:asciiTheme="minorHAnsi" w:hAnsiTheme="minorHAnsi" w:cstheme="minorHAnsi"/>
                <w:color w:val="000000"/>
                <w:sz w:val="22"/>
                <w:szCs w:val="22"/>
              </w:rPr>
              <w:t>4650.44</w:t>
            </w:r>
          </w:p>
        </w:tc>
      </w:tr>
      <w:tr w:rsidR="007D023B" w:rsidRPr="00153204" w14:paraId="2D04C98A" w14:textId="77777777" w:rsidTr="00006D65">
        <w:trPr>
          <w:trHeight w:val="331"/>
        </w:trPr>
        <w:tc>
          <w:tcPr>
            <w:tcW w:w="1127" w:type="dxa"/>
            <w:tcBorders>
              <w:top w:val="nil"/>
              <w:left w:val="single" w:sz="4" w:space="0" w:color="auto"/>
              <w:bottom w:val="single" w:sz="4" w:space="0" w:color="auto"/>
              <w:right w:val="single" w:sz="4" w:space="0" w:color="auto"/>
            </w:tcBorders>
            <w:shd w:val="clear" w:color="auto" w:fill="auto"/>
            <w:noWrap/>
            <w:vAlign w:val="bottom"/>
            <w:hideMark/>
          </w:tcPr>
          <w:p w14:paraId="05A1BBFF" w14:textId="06902AD1" w:rsidR="007D023B" w:rsidRPr="00153204" w:rsidRDefault="007D023B">
            <w:pPr>
              <w:jc w:val="center"/>
              <w:rPr>
                <w:rFonts w:asciiTheme="minorHAnsi" w:hAnsiTheme="minorHAnsi" w:cstheme="minorHAnsi"/>
                <w:color w:val="000000"/>
                <w:sz w:val="22"/>
                <w:szCs w:val="22"/>
              </w:rPr>
            </w:pPr>
            <w:r w:rsidRPr="00153204">
              <w:rPr>
                <w:rFonts w:asciiTheme="minorHAnsi" w:hAnsiTheme="minorHAnsi" w:cstheme="minorHAnsi"/>
                <w:color w:val="000000"/>
                <w:sz w:val="22"/>
                <w:szCs w:val="22"/>
              </w:rPr>
              <w:t>7</w:t>
            </w:r>
          </w:p>
        </w:tc>
        <w:tc>
          <w:tcPr>
            <w:tcW w:w="3951" w:type="dxa"/>
            <w:tcBorders>
              <w:top w:val="nil"/>
              <w:left w:val="nil"/>
              <w:bottom w:val="single" w:sz="4" w:space="0" w:color="auto"/>
              <w:right w:val="single" w:sz="4" w:space="0" w:color="auto"/>
            </w:tcBorders>
            <w:shd w:val="clear" w:color="000000" w:fill="FFFFFF"/>
            <w:noWrap/>
            <w:vAlign w:val="center"/>
            <w:hideMark/>
          </w:tcPr>
          <w:p w14:paraId="28B5E2C8" w14:textId="77777777" w:rsidR="007D023B" w:rsidRPr="00153204" w:rsidRDefault="007D023B">
            <w:pPr>
              <w:rPr>
                <w:rFonts w:asciiTheme="minorHAnsi" w:hAnsiTheme="minorHAnsi" w:cstheme="minorHAnsi"/>
                <w:sz w:val="22"/>
                <w:szCs w:val="22"/>
              </w:rPr>
            </w:pPr>
            <w:r w:rsidRPr="00153204">
              <w:rPr>
                <w:rFonts w:asciiTheme="minorHAnsi" w:hAnsiTheme="minorHAnsi" w:cstheme="minorHAnsi"/>
                <w:sz w:val="22"/>
                <w:szCs w:val="22"/>
              </w:rPr>
              <w:t>Revenue from Tariffs (at Existing Rate)</w:t>
            </w:r>
          </w:p>
        </w:tc>
        <w:tc>
          <w:tcPr>
            <w:tcW w:w="3668" w:type="dxa"/>
            <w:tcBorders>
              <w:top w:val="nil"/>
              <w:left w:val="nil"/>
              <w:bottom w:val="single" w:sz="4" w:space="0" w:color="auto"/>
              <w:right w:val="single" w:sz="4" w:space="0" w:color="auto"/>
            </w:tcBorders>
            <w:shd w:val="clear" w:color="auto" w:fill="auto"/>
            <w:noWrap/>
            <w:vAlign w:val="bottom"/>
            <w:hideMark/>
          </w:tcPr>
          <w:p w14:paraId="64C9CE86" w14:textId="7F2566C3" w:rsidR="007D023B" w:rsidRPr="00153204" w:rsidRDefault="008C38BA" w:rsidP="007D023B">
            <w:pPr>
              <w:jc w:val="center"/>
              <w:rPr>
                <w:rFonts w:asciiTheme="minorHAnsi" w:hAnsiTheme="minorHAnsi" w:cstheme="minorHAnsi"/>
                <w:color w:val="000000"/>
                <w:sz w:val="22"/>
                <w:szCs w:val="22"/>
              </w:rPr>
            </w:pPr>
            <w:r>
              <w:rPr>
                <w:rFonts w:asciiTheme="minorHAnsi" w:hAnsiTheme="minorHAnsi" w:cstheme="minorHAnsi"/>
                <w:color w:val="000000"/>
                <w:sz w:val="22"/>
                <w:szCs w:val="22"/>
              </w:rPr>
              <w:t>4499.33</w:t>
            </w:r>
          </w:p>
        </w:tc>
      </w:tr>
      <w:tr w:rsidR="007D023B" w:rsidRPr="00153204" w14:paraId="5382A000" w14:textId="77777777" w:rsidTr="00006D65">
        <w:trPr>
          <w:trHeight w:val="331"/>
        </w:trPr>
        <w:tc>
          <w:tcPr>
            <w:tcW w:w="1127" w:type="dxa"/>
            <w:tcBorders>
              <w:top w:val="nil"/>
              <w:left w:val="single" w:sz="4" w:space="0" w:color="auto"/>
              <w:bottom w:val="single" w:sz="4" w:space="0" w:color="auto"/>
              <w:right w:val="single" w:sz="4" w:space="0" w:color="auto"/>
            </w:tcBorders>
            <w:shd w:val="clear" w:color="auto" w:fill="8DB3E2" w:themeFill="text2" w:themeFillTint="66"/>
            <w:noWrap/>
            <w:vAlign w:val="bottom"/>
            <w:hideMark/>
          </w:tcPr>
          <w:p w14:paraId="2BB48B53" w14:textId="128EA328" w:rsidR="007D023B" w:rsidRPr="00153204" w:rsidRDefault="007D023B">
            <w:pPr>
              <w:jc w:val="center"/>
              <w:rPr>
                <w:rFonts w:asciiTheme="minorHAnsi" w:hAnsiTheme="minorHAnsi" w:cstheme="minorHAnsi"/>
                <w:b/>
                <w:color w:val="000000"/>
                <w:sz w:val="22"/>
                <w:szCs w:val="22"/>
              </w:rPr>
            </w:pPr>
            <w:r w:rsidRPr="00153204">
              <w:rPr>
                <w:rFonts w:asciiTheme="minorHAnsi" w:hAnsiTheme="minorHAnsi" w:cstheme="minorHAnsi"/>
                <w:b/>
                <w:color w:val="000000"/>
                <w:sz w:val="22"/>
                <w:szCs w:val="22"/>
              </w:rPr>
              <w:t>8</w:t>
            </w:r>
          </w:p>
        </w:tc>
        <w:tc>
          <w:tcPr>
            <w:tcW w:w="3951" w:type="dxa"/>
            <w:tcBorders>
              <w:top w:val="nil"/>
              <w:left w:val="nil"/>
              <w:bottom w:val="single" w:sz="4" w:space="0" w:color="auto"/>
              <w:right w:val="single" w:sz="4" w:space="0" w:color="auto"/>
            </w:tcBorders>
            <w:shd w:val="clear" w:color="auto" w:fill="8DB3E2" w:themeFill="text2" w:themeFillTint="66"/>
            <w:noWrap/>
            <w:vAlign w:val="center"/>
            <w:hideMark/>
          </w:tcPr>
          <w:p w14:paraId="4851C0F9" w14:textId="77777777" w:rsidR="007D023B" w:rsidRPr="00153204" w:rsidRDefault="007D023B">
            <w:pPr>
              <w:rPr>
                <w:rFonts w:asciiTheme="minorHAnsi" w:hAnsiTheme="minorHAnsi" w:cstheme="minorHAnsi"/>
                <w:b/>
                <w:sz w:val="22"/>
                <w:szCs w:val="22"/>
              </w:rPr>
            </w:pPr>
            <w:r w:rsidRPr="00153204">
              <w:rPr>
                <w:rFonts w:asciiTheme="minorHAnsi" w:hAnsiTheme="minorHAnsi" w:cstheme="minorHAnsi"/>
                <w:b/>
                <w:sz w:val="22"/>
                <w:szCs w:val="22"/>
              </w:rPr>
              <w:t>(Deficit)/ Surplus at Existing Rate</w:t>
            </w:r>
          </w:p>
        </w:tc>
        <w:tc>
          <w:tcPr>
            <w:tcW w:w="3668" w:type="dxa"/>
            <w:tcBorders>
              <w:top w:val="nil"/>
              <w:left w:val="nil"/>
              <w:bottom w:val="single" w:sz="4" w:space="0" w:color="auto"/>
              <w:right w:val="single" w:sz="4" w:space="0" w:color="auto"/>
            </w:tcBorders>
            <w:shd w:val="clear" w:color="auto" w:fill="8DB3E2" w:themeFill="text2" w:themeFillTint="66"/>
            <w:noWrap/>
            <w:vAlign w:val="bottom"/>
            <w:hideMark/>
          </w:tcPr>
          <w:p w14:paraId="0364F7CA" w14:textId="44EAA048" w:rsidR="007D023B" w:rsidRPr="00153204" w:rsidRDefault="007D023B" w:rsidP="008C38BA">
            <w:pPr>
              <w:jc w:val="center"/>
              <w:rPr>
                <w:rFonts w:asciiTheme="minorHAnsi" w:hAnsiTheme="minorHAnsi" w:cstheme="minorHAnsi"/>
                <w:b/>
                <w:color w:val="000000"/>
                <w:sz w:val="22"/>
                <w:szCs w:val="22"/>
              </w:rPr>
            </w:pPr>
            <w:r w:rsidRPr="00153204">
              <w:rPr>
                <w:rFonts w:asciiTheme="minorHAnsi" w:hAnsiTheme="minorHAnsi" w:cstheme="minorHAnsi"/>
                <w:b/>
                <w:color w:val="000000"/>
                <w:sz w:val="22"/>
                <w:szCs w:val="22"/>
              </w:rPr>
              <w:t>(</w:t>
            </w:r>
            <w:r w:rsidR="008C38BA">
              <w:rPr>
                <w:rFonts w:asciiTheme="minorHAnsi" w:hAnsiTheme="minorHAnsi" w:cstheme="minorHAnsi"/>
                <w:b/>
                <w:color w:val="000000"/>
                <w:sz w:val="22"/>
                <w:szCs w:val="22"/>
              </w:rPr>
              <w:t>151.11</w:t>
            </w:r>
            <w:r w:rsidRPr="00153204">
              <w:rPr>
                <w:rFonts w:asciiTheme="minorHAnsi" w:hAnsiTheme="minorHAnsi" w:cstheme="minorHAnsi"/>
                <w:b/>
                <w:color w:val="000000"/>
                <w:sz w:val="22"/>
                <w:szCs w:val="22"/>
              </w:rPr>
              <w:t>)</w:t>
            </w:r>
          </w:p>
        </w:tc>
      </w:tr>
    </w:tbl>
    <w:p w14:paraId="5A02279B" w14:textId="7EB25ED5" w:rsidR="0020146E" w:rsidRPr="00153204" w:rsidRDefault="0020146E" w:rsidP="002334A3">
      <w:pPr>
        <w:rPr>
          <w:rFonts w:asciiTheme="minorHAnsi" w:hAnsiTheme="minorHAnsi" w:cstheme="minorHAnsi"/>
          <w:sz w:val="22"/>
          <w:szCs w:val="22"/>
          <w:lang w:val="en-GB"/>
        </w:rPr>
      </w:pPr>
    </w:p>
    <w:p w14:paraId="4C8C58EA" w14:textId="3F3BE326" w:rsidR="00B602FC" w:rsidRDefault="004115DB" w:rsidP="002334A3">
      <w:pPr>
        <w:pStyle w:val="BodyText2"/>
        <w:spacing w:line="360" w:lineRule="auto"/>
        <w:ind w:left="567"/>
        <w:jc w:val="both"/>
        <w:rPr>
          <w:rFonts w:asciiTheme="minorHAnsi" w:hAnsiTheme="minorHAnsi" w:cstheme="minorHAnsi"/>
          <w:color w:val="000000"/>
          <w:sz w:val="22"/>
          <w:szCs w:val="22"/>
          <w:lang w:val="en-GB"/>
        </w:rPr>
      </w:pPr>
      <w:r w:rsidRPr="00153204">
        <w:rPr>
          <w:rFonts w:asciiTheme="minorHAnsi" w:hAnsiTheme="minorHAnsi" w:cstheme="minorHAnsi"/>
          <w:color w:val="000000"/>
          <w:sz w:val="22"/>
          <w:szCs w:val="22"/>
          <w:lang w:val="en-GB"/>
        </w:rPr>
        <w:t>The revenue gap for the year 202</w:t>
      </w:r>
      <w:r w:rsidR="008C38BA">
        <w:rPr>
          <w:rFonts w:asciiTheme="minorHAnsi" w:hAnsiTheme="minorHAnsi" w:cstheme="minorHAnsi"/>
          <w:color w:val="000000"/>
          <w:sz w:val="22"/>
          <w:szCs w:val="22"/>
          <w:lang w:val="en-GB"/>
        </w:rPr>
        <w:t>5</w:t>
      </w:r>
      <w:r w:rsidRPr="00153204">
        <w:rPr>
          <w:rFonts w:asciiTheme="minorHAnsi" w:hAnsiTheme="minorHAnsi" w:cstheme="minorHAnsi"/>
          <w:color w:val="000000"/>
          <w:sz w:val="22"/>
          <w:szCs w:val="22"/>
          <w:lang w:val="en-GB"/>
        </w:rPr>
        <w:t>-2</w:t>
      </w:r>
      <w:r w:rsidR="008C38BA">
        <w:rPr>
          <w:rFonts w:asciiTheme="minorHAnsi" w:hAnsiTheme="minorHAnsi" w:cstheme="minorHAnsi"/>
          <w:color w:val="000000"/>
          <w:sz w:val="22"/>
          <w:szCs w:val="22"/>
          <w:lang w:val="en-GB"/>
        </w:rPr>
        <w:t>6</w:t>
      </w:r>
      <w:r w:rsidR="00A80772" w:rsidRPr="00153204">
        <w:rPr>
          <w:rFonts w:asciiTheme="minorHAnsi" w:hAnsiTheme="minorHAnsi" w:cstheme="minorHAnsi"/>
          <w:color w:val="000000"/>
          <w:sz w:val="22"/>
          <w:szCs w:val="22"/>
          <w:lang w:val="en-GB"/>
        </w:rPr>
        <w:t xml:space="preserve"> is arrived at</w:t>
      </w:r>
      <w:r w:rsidR="00A80772" w:rsidRPr="00153204">
        <w:rPr>
          <w:rFonts w:asciiTheme="minorHAnsi" w:hAnsiTheme="minorHAnsi" w:cstheme="minorHAnsi"/>
          <w:b/>
          <w:color w:val="000000"/>
          <w:sz w:val="22"/>
          <w:szCs w:val="22"/>
          <w:lang w:val="en-GB"/>
        </w:rPr>
        <w:t xml:space="preserve"> </w:t>
      </w:r>
      <w:r w:rsidR="001A2772" w:rsidRPr="00153204">
        <w:rPr>
          <w:rFonts w:asciiTheme="minorHAnsi" w:hAnsiTheme="minorHAnsi" w:cstheme="minorHAnsi"/>
          <w:b/>
          <w:color w:val="000000"/>
          <w:sz w:val="22"/>
          <w:szCs w:val="22"/>
          <w:lang w:val="en-GB"/>
        </w:rPr>
        <w:t>Rs.</w:t>
      </w:r>
      <w:r w:rsidR="00A80772" w:rsidRPr="00153204">
        <w:rPr>
          <w:rFonts w:asciiTheme="minorHAnsi" w:hAnsiTheme="minorHAnsi" w:cstheme="minorHAnsi"/>
          <w:b/>
          <w:color w:val="000000"/>
          <w:sz w:val="22"/>
          <w:szCs w:val="22"/>
          <w:lang w:val="en-GB"/>
        </w:rPr>
        <w:t xml:space="preserve"> </w:t>
      </w:r>
      <w:r w:rsidR="008C38BA">
        <w:rPr>
          <w:rFonts w:asciiTheme="minorHAnsi" w:hAnsiTheme="minorHAnsi" w:cstheme="minorHAnsi"/>
          <w:b/>
          <w:color w:val="000000"/>
          <w:sz w:val="22"/>
          <w:szCs w:val="22"/>
          <w:lang w:val="en-GB"/>
        </w:rPr>
        <w:t>151.11</w:t>
      </w:r>
      <w:r w:rsidR="00A80772" w:rsidRPr="00153204">
        <w:rPr>
          <w:rFonts w:asciiTheme="minorHAnsi" w:hAnsiTheme="minorHAnsi" w:cstheme="minorHAnsi"/>
          <w:b/>
          <w:color w:val="000000"/>
          <w:sz w:val="22"/>
          <w:szCs w:val="22"/>
          <w:lang w:val="en-GB"/>
        </w:rPr>
        <w:t xml:space="preserve"> </w:t>
      </w:r>
      <w:proofErr w:type="spellStart"/>
      <w:r w:rsidR="00A80772" w:rsidRPr="00153204">
        <w:rPr>
          <w:rFonts w:asciiTheme="minorHAnsi" w:hAnsiTheme="minorHAnsi" w:cstheme="minorHAnsi"/>
          <w:b/>
          <w:color w:val="000000"/>
          <w:sz w:val="22"/>
          <w:szCs w:val="22"/>
          <w:lang w:val="en-GB"/>
        </w:rPr>
        <w:t>Crs</w:t>
      </w:r>
      <w:proofErr w:type="spellEnd"/>
      <w:r w:rsidR="00A80772" w:rsidRPr="00153204">
        <w:rPr>
          <w:rFonts w:asciiTheme="minorHAnsi" w:hAnsiTheme="minorHAnsi" w:cstheme="minorHAnsi"/>
          <w:b/>
          <w:color w:val="000000"/>
          <w:sz w:val="22"/>
          <w:szCs w:val="22"/>
          <w:lang w:val="en-GB"/>
        </w:rPr>
        <w:t>.</w:t>
      </w:r>
      <w:r w:rsidR="00A80772" w:rsidRPr="00153204">
        <w:rPr>
          <w:rFonts w:asciiTheme="minorHAnsi" w:hAnsiTheme="minorHAnsi" w:cstheme="minorHAnsi"/>
          <w:color w:val="000000"/>
          <w:sz w:val="22"/>
          <w:szCs w:val="22"/>
          <w:lang w:val="en-GB"/>
        </w:rPr>
        <w:t xml:space="preserve"> considering the power purchase cost</w:t>
      </w:r>
      <w:r w:rsidRPr="00153204">
        <w:rPr>
          <w:rFonts w:asciiTheme="minorHAnsi" w:hAnsiTheme="minorHAnsi" w:cstheme="minorHAnsi"/>
          <w:color w:val="000000"/>
          <w:sz w:val="22"/>
          <w:szCs w:val="22"/>
          <w:lang w:val="en-GB"/>
        </w:rPr>
        <w:t xml:space="preserve"> </w:t>
      </w:r>
      <w:r w:rsidR="004571FA" w:rsidRPr="00153204">
        <w:rPr>
          <w:rFonts w:asciiTheme="minorHAnsi" w:hAnsiTheme="minorHAnsi" w:cstheme="minorHAnsi"/>
          <w:color w:val="000000"/>
          <w:sz w:val="22"/>
          <w:szCs w:val="22"/>
          <w:lang w:val="en-GB"/>
        </w:rPr>
        <w:t>at the rate applicable for</w:t>
      </w:r>
      <w:r w:rsidRPr="00153204">
        <w:rPr>
          <w:rFonts w:asciiTheme="minorHAnsi" w:hAnsiTheme="minorHAnsi" w:cstheme="minorHAnsi"/>
          <w:color w:val="000000"/>
          <w:sz w:val="22"/>
          <w:szCs w:val="22"/>
          <w:lang w:val="en-GB"/>
        </w:rPr>
        <w:t xml:space="preserve"> FY 202</w:t>
      </w:r>
      <w:r w:rsidR="008C38BA">
        <w:rPr>
          <w:rFonts w:asciiTheme="minorHAnsi" w:hAnsiTheme="minorHAnsi" w:cstheme="minorHAnsi"/>
          <w:color w:val="000000"/>
          <w:sz w:val="22"/>
          <w:szCs w:val="22"/>
          <w:lang w:val="en-GB"/>
        </w:rPr>
        <w:t>4</w:t>
      </w:r>
      <w:r w:rsidRPr="00153204">
        <w:rPr>
          <w:rFonts w:asciiTheme="minorHAnsi" w:hAnsiTheme="minorHAnsi" w:cstheme="minorHAnsi"/>
          <w:color w:val="000000"/>
          <w:sz w:val="22"/>
          <w:szCs w:val="22"/>
          <w:lang w:val="en-GB"/>
        </w:rPr>
        <w:t>-2</w:t>
      </w:r>
      <w:r w:rsidR="008C38BA">
        <w:rPr>
          <w:rFonts w:asciiTheme="minorHAnsi" w:hAnsiTheme="minorHAnsi" w:cstheme="minorHAnsi"/>
          <w:color w:val="000000"/>
          <w:sz w:val="22"/>
          <w:szCs w:val="22"/>
          <w:lang w:val="en-GB"/>
        </w:rPr>
        <w:t>5</w:t>
      </w:r>
      <w:r w:rsidR="00A80772" w:rsidRPr="00153204">
        <w:rPr>
          <w:rFonts w:asciiTheme="minorHAnsi" w:hAnsiTheme="minorHAnsi" w:cstheme="minorHAnsi"/>
          <w:color w:val="000000"/>
          <w:sz w:val="22"/>
          <w:szCs w:val="22"/>
          <w:lang w:val="en-GB"/>
        </w:rPr>
        <w:t xml:space="preserve"> and expected revenue at the approved tariff for FY 2</w:t>
      </w:r>
      <w:r w:rsidR="008C38BA">
        <w:rPr>
          <w:rFonts w:asciiTheme="minorHAnsi" w:hAnsiTheme="minorHAnsi" w:cstheme="minorHAnsi"/>
          <w:color w:val="000000"/>
          <w:sz w:val="22"/>
          <w:szCs w:val="22"/>
          <w:lang w:val="en-GB"/>
        </w:rPr>
        <w:t>4</w:t>
      </w:r>
      <w:r w:rsidR="00A80772" w:rsidRPr="00153204">
        <w:rPr>
          <w:rFonts w:asciiTheme="minorHAnsi" w:hAnsiTheme="minorHAnsi" w:cstheme="minorHAnsi"/>
          <w:color w:val="000000"/>
          <w:sz w:val="22"/>
          <w:szCs w:val="22"/>
          <w:lang w:val="en-GB"/>
        </w:rPr>
        <w:t>-2</w:t>
      </w:r>
      <w:r w:rsidR="008C38BA">
        <w:rPr>
          <w:rFonts w:asciiTheme="minorHAnsi" w:hAnsiTheme="minorHAnsi" w:cstheme="minorHAnsi"/>
          <w:color w:val="000000"/>
          <w:sz w:val="22"/>
          <w:szCs w:val="22"/>
          <w:lang w:val="en-GB"/>
        </w:rPr>
        <w:t>5.</w:t>
      </w:r>
      <w:r w:rsidR="004571FA" w:rsidRPr="00153204">
        <w:rPr>
          <w:rFonts w:asciiTheme="minorHAnsi" w:hAnsiTheme="minorHAnsi" w:cstheme="minorHAnsi"/>
          <w:color w:val="000000"/>
          <w:sz w:val="22"/>
          <w:szCs w:val="22"/>
          <w:lang w:val="en-GB"/>
        </w:rPr>
        <w:t xml:space="preserve"> </w:t>
      </w:r>
    </w:p>
    <w:p w14:paraId="34A03FD2" w14:textId="0B565D6A" w:rsidR="004115DB" w:rsidRPr="00153204" w:rsidRDefault="00743EFA" w:rsidP="002334A3">
      <w:pPr>
        <w:pStyle w:val="BodyText2"/>
        <w:spacing w:line="360" w:lineRule="auto"/>
        <w:ind w:left="567"/>
        <w:jc w:val="both"/>
        <w:rPr>
          <w:rFonts w:asciiTheme="minorHAnsi" w:hAnsiTheme="minorHAnsi" w:cstheme="minorHAnsi"/>
          <w:b/>
          <w:color w:val="000000"/>
          <w:sz w:val="22"/>
          <w:szCs w:val="22"/>
          <w:lang w:val="en-GB"/>
        </w:rPr>
      </w:pPr>
      <w:r w:rsidRPr="00153204">
        <w:rPr>
          <w:rFonts w:asciiTheme="minorHAnsi" w:hAnsiTheme="minorHAnsi" w:cstheme="minorHAnsi"/>
          <w:noProof/>
          <w:sz w:val="22"/>
          <w:szCs w:val="22"/>
          <w:lang w:val="en-IN" w:eastAsia="en-IN"/>
        </w:rPr>
        <mc:AlternateContent>
          <mc:Choice Requires="wps">
            <w:drawing>
              <wp:anchor distT="0" distB="0" distL="114300" distR="114300" simplePos="0" relativeHeight="251627520" behindDoc="0" locked="0" layoutInCell="1" allowOverlap="1" wp14:anchorId="433FA9EA" wp14:editId="0B4A6D4C">
                <wp:simplePos x="0" y="0"/>
                <wp:positionH relativeFrom="margin">
                  <wp:align>right</wp:align>
                </wp:positionH>
                <wp:positionV relativeFrom="paragraph">
                  <wp:posOffset>328296</wp:posOffset>
                </wp:positionV>
                <wp:extent cx="5715000" cy="323850"/>
                <wp:effectExtent l="0" t="0" r="19050" b="19050"/>
                <wp:wrapNone/>
                <wp:docPr id="4" name="Rectangle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715000" cy="323850"/>
                        </a:xfrm>
                        <a:prstGeom prst="rect">
                          <a:avLst/>
                        </a:prstGeom>
                        <a:solidFill>
                          <a:schemeClr val="tx2">
                            <a:lumMod val="20000"/>
                            <a:lumOff val="80000"/>
                          </a:schemeClr>
                        </a:solidFill>
                        <a:ln w="9525">
                          <a:solidFill>
                            <a:srgbClr val="000000"/>
                          </a:solidFill>
                          <a:miter lim="800000"/>
                          <a:headEnd/>
                          <a:tailEnd/>
                        </a:ln>
                      </wps:spPr>
                      <wps:txbx>
                        <w:txbxContent>
                          <w:p w14:paraId="739535FA" w14:textId="1A127AD7" w:rsidR="00535B24" w:rsidRPr="004B7027" w:rsidRDefault="00535B24" w:rsidP="00B24F3A">
                            <w:pPr>
                              <w:rPr>
                                <w:rFonts w:asciiTheme="minorHAnsi" w:hAnsiTheme="minorHAnsi" w:cstheme="minorHAnsi"/>
                                <w:b/>
                                <w:sz w:val="28"/>
                                <w:szCs w:val="28"/>
                              </w:rPr>
                            </w:pPr>
                            <w:r w:rsidRPr="004B7027">
                              <w:rPr>
                                <w:rFonts w:asciiTheme="minorHAnsi" w:hAnsiTheme="minorHAnsi" w:cstheme="minorHAnsi"/>
                                <w:b/>
                                <w:sz w:val="28"/>
                                <w:szCs w:val="28"/>
                                <w:lang w:val="en-IN"/>
                              </w:rPr>
                              <w:t xml:space="preserve">4.  </w:t>
                            </w:r>
                            <w:r w:rsidRPr="004B7027">
                              <w:rPr>
                                <w:rFonts w:asciiTheme="minorHAnsi" w:hAnsiTheme="minorHAnsi" w:cstheme="minorHAnsi"/>
                                <w:b/>
                                <w:sz w:val="28"/>
                                <w:szCs w:val="28"/>
                              </w:rPr>
                              <w:t xml:space="preserve">Pre-Take </w:t>
                            </w:r>
                            <w:r>
                              <w:rPr>
                                <w:rFonts w:asciiTheme="minorHAnsi" w:hAnsiTheme="minorHAnsi" w:cstheme="minorHAnsi"/>
                                <w:b/>
                                <w:sz w:val="28"/>
                                <w:szCs w:val="28"/>
                              </w:rPr>
                              <w:t>O</w:t>
                            </w:r>
                            <w:r w:rsidRPr="004B7027">
                              <w:rPr>
                                <w:rFonts w:asciiTheme="minorHAnsi" w:hAnsiTheme="minorHAnsi" w:cstheme="minorHAnsi"/>
                                <w:b/>
                                <w:sz w:val="28"/>
                                <w:szCs w:val="28"/>
                              </w:rPr>
                              <w:t xml:space="preserve">ver </w:t>
                            </w:r>
                            <w:r>
                              <w:rPr>
                                <w:rFonts w:asciiTheme="minorHAnsi" w:hAnsiTheme="minorHAnsi" w:cstheme="minorHAnsi"/>
                                <w:b/>
                                <w:sz w:val="28"/>
                                <w:szCs w:val="28"/>
                              </w:rPr>
                              <w:t>P</w:t>
                            </w:r>
                            <w:r w:rsidRPr="004B7027">
                              <w:rPr>
                                <w:rFonts w:asciiTheme="minorHAnsi" w:hAnsiTheme="minorHAnsi" w:cstheme="minorHAnsi"/>
                                <w:b/>
                                <w:sz w:val="28"/>
                                <w:szCs w:val="28"/>
                              </w:rPr>
                              <w:t xml:space="preserve">eriod </w:t>
                            </w:r>
                            <w:r>
                              <w:rPr>
                                <w:rFonts w:asciiTheme="minorHAnsi" w:hAnsiTheme="minorHAnsi" w:cstheme="minorHAnsi"/>
                                <w:b/>
                                <w:sz w:val="28"/>
                                <w:szCs w:val="28"/>
                              </w:rPr>
                              <w:t>P</w:t>
                            </w:r>
                            <w:r w:rsidRPr="004B7027">
                              <w:rPr>
                                <w:rFonts w:asciiTheme="minorHAnsi" w:hAnsiTheme="minorHAnsi" w:cstheme="minorHAnsi"/>
                                <w:b/>
                                <w:sz w:val="28"/>
                                <w:szCs w:val="28"/>
                              </w:rPr>
                              <w:t>ayment</w:t>
                            </w:r>
                          </w:p>
                          <w:p w14:paraId="53EF7AF4" w14:textId="5029AFF6" w:rsidR="00535B24" w:rsidRPr="00657B70" w:rsidRDefault="00535B24" w:rsidP="00B24F3A">
                            <w:pPr>
                              <w:rPr>
                                <w:rFonts w:asciiTheme="minorHAnsi" w:hAnsiTheme="minorHAnsi" w:cstheme="minorHAnsi"/>
                                <w:b/>
                                <w:lang w:val="en-IN"/>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33FA9EA" id="_x0000_s1039" style="position:absolute;left:0;text-align:left;margin-left:398.8pt;margin-top:25.85pt;width:450pt;height:25.5pt;z-index:25162752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" fillcolor="#c6d9f1 [671]">
                <v:textbox>
                  <w:txbxContent>
                    <w:p w14:paraId="739535FA" w14:textId="1A127AD7" w:rsidR="00535B24" w:rsidRPr="004B7027" w:rsidRDefault="00535B24" w:rsidP="00B24F3A">
                      <w:pPr>
                        <w:rPr>
                          <w:rFonts w:asciiTheme="minorHAnsi" w:hAnsiTheme="minorHAnsi" w:cstheme="minorHAnsi"/>
                          <w:b/>
                          <w:sz w:val="28"/>
                          <w:szCs w:val="28"/>
                        </w:rPr>
                      </w:pPr>
                      <w:r w:rsidRPr="004B7027">
                        <w:rPr>
                          <w:rFonts w:asciiTheme="minorHAnsi" w:hAnsiTheme="minorHAnsi" w:cstheme="minorHAnsi"/>
                          <w:b/>
                          <w:sz w:val="28"/>
                          <w:szCs w:val="28"/>
                          <w:lang w:val="en-IN"/>
                        </w:rPr>
                        <w:t xml:space="preserve">4.  </w:t>
                      </w:r>
                      <w:r w:rsidRPr="004B7027">
                        <w:rPr>
                          <w:rFonts w:asciiTheme="minorHAnsi" w:hAnsiTheme="minorHAnsi" w:cstheme="minorHAnsi"/>
                          <w:b/>
                          <w:sz w:val="28"/>
                          <w:szCs w:val="28"/>
                        </w:rPr>
                        <w:t xml:space="preserve">Pre-Take </w:t>
                      </w:r>
                      <w:r>
                        <w:rPr>
                          <w:rFonts w:asciiTheme="minorHAnsi" w:hAnsiTheme="minorHAnsi" w:cstheme="minorHAnsi"/>
                          <w:b/>
                          <w:sz w:val="28"/>
                          <w:szCs w:val="28"/>
                        </w:rPr>
                        <w:t>O</w:t>
                      </w:r>
                      <w:r w:rsidRPr="004B7027">
                        <w:rPr>
                          <w:rFonts w:asciiTheme="minorHAnsi" w:hAnsiTheme="minorHAnsi" w:cstheme="minorHAnsi"/>
                          <w:b/>
                          <w:sz w:val="28"/>
                          <w:szCs w:val="28"/>
                        </w:rPr>
                        <w:t xml:space="preserve">ver </w:t>
                      </w:r>
                      <w:r>
                        <w:rPr>
                          <w:rFonts w:asciiTheme="minorHAnsi" w:hAnsiTheme="minorHAnsi" w:cstheme="minorHAnsi"/>
                          <w:b/>
                          <w:sz w:val="28"/>
                          <w:szCs w:val="28"/>
                        </w:rPr>
                        <w:t>P</w:t>
                      </w:r>
                      <w:r w:rsidRPr="004B7027">
                        <w:rPr>
                          <w:rFonts w:asciiTheme="minorHAnsi" w:hAnsiTheme="minorHAnsi" w:cstheme="minorHAnsi"/>
                          <w:b/>
                          <w:sz w:val="28"/>
                          <w:szCs w:val="28"/>
                        </w:rPr>
                        <w:t xml:space="preserve">eriod </w:t>
                      </w:r>
                      <w:r>
                        <w:rPr>
                          <w:rFonts w:asciiTheme="minorHAnsi" w:hAnsiTheme="minorHAnsi" w:cstheme="minorHAnsi"/>
                          <w:b/>
                          <w:sz w:val="28"/>
                          <w:szCs w:val="28"/>
                        </w:rPr>
                        <w:t>P</w:t>
                      </w:r>
                      <w:r w:rsidRPr="004B7027">
                        <w:rPr>
                          <w:rFonts w:asciiTheme="minorHAnsi" w:hAnsiTheme="minorHAnsi" w:cstheme="minorHAnsi"/>
                          <w:b/>
                          <w:sz w:val="28"/>
                          <w:szCs w:val="28"/>
                        </w:rPr>
                        <w:t>ayment</w:t>
                      </w:r>
                    </w:p>
                    <w:p w14:paraId="53EF7AF4" w14:textId="5029AFF6" w:rsidR="00535B24" w:rsidRPr="00657B70" w:rsidRDefault="00535B24" w:rsidP="00B24F3A">
                      <w:pPr>
                        <w:rPr>
                          <w:rFonts w:asciiTheme="minorHAnsi" w:hAnsiTheme="minorHAnsi" w:cstheme="minorHAnsi"/>
                          <w:b/>
                          <w:lang w:val="en-IN"/>
                        </w:rPr>
                      </w:pPr>
                    </w:p>
                  </w:txbxContent>
                </v:textbox>
                <w10:wrap anchorx="margin"/>
              </v:rect>
            </w:pict>
          </mc:Fallback>
        </mc:AlternateContent>
      </w:r>
      <w:r w:rsidR="004115DB" w:rsidRPr="00153204">
        <w:rPr>
          <w:rFonts w:asciiTheme="minorHAnsi" w:hAnsiTheme="minorHAnsi" w:cstheme="minorHAnsi"/>
          <w:color w:val="000000"/>
          <w:sz w:val="22"/>
          <w:szCs w:val="22"/>
          <w:lang w:val="en-GB"/>
        </w:rPr>
        <w:t xml:space="preserve"> </w:t>
      </w:r>
    </w:p>
    <w:p w14:paraId="3CA5C452" w14:textId="1B684CC8" w:rsidR="005E4BB8" w:rsidRPr="00153204" w:rsidRDefault="005E4BB8" w:rsidP="002334A3">
      <w:pPr>
        <w:pStyle w:val="BodyText2"/>
        <w:spacing w:line="360" w:lineRule="auto"/>
        <w:ind w:left="567"/>
        <w:jc w:val="both"/>
        <w:rPr>
          <w:rFonts w:asciiTheme="minorHAnsi" w:hAnsiTheme="minorHAnsi" w:cstheme="minorHAnsi"/>
          <w:color w:val="000000"/>
          <w:sz w:val="22"/>
          <w:szCs w:val="22"/>
          <w:lang w:val="en-GB"/>
        </w:rPr>
      </w:pPr>
    </w:p>
    <w:p w14:paraId="4EC4EB83" w14:textId="77777777" w:rsidR="005E4BB8" w:rsidRPr="00153204" w:rsidRDefault="005E4BB8" w:rsidP="002334A3">
      <w:pPr>
        <w:spacing w:line="360" w:lineRule="auto"/>
        <w:jc w:val="both"/>
        <w:rPr>
          <w:rFonts w:asciiTheme="minorHAnsi" w:hAnsiTheme="minorHAnsi" w:cstheme="minorHAnsi"/>
          <w:bCs/>
          <w:sz w:val="22"/>
          <w:szCs w:val="22"/>
        </w:rPr>
      </w:pPr>
    </w:p>
    <w:p w14:paraId="46FFCD7C" w14:textId="414FC285" w:rsidR="00FB20DB" w:rsidRPr="00B602FC" w:rsidRDefault="00FB20DB" w:rsidP="00B602FC">
      <w:pPr>
        <w:pStyle w:val="ListParagraph"/>
        <w:tabs>
          <w:tab w:val="left" w:pos="426"/>
        </w:tabs>
        <w:spacing w:line="360" w:lineRule="auto"/>
        <w:ind w:left="567" w:right="-23"/>
        <w:jc w:val="both"/>
        <w:rPr>
          <w:rFonts w:asciiTheme="minorHAnsi" w:hAnsiTheme="minorHAnsi" w:cstheme="minorHAnsi"/>
        </w:rPr>
      </w:pPr>
      <w:r w:rsidRPr="00153204">
        <w:rPr>
          <w:rFonts w:asciiTheme="minorHAnsi" w:hAnsiTheme="minorHAnsi" w:cstheme="minorHAnsi"/>
        </w:rPr>
        <w:t xml:space="preserve">In compliance to provisions under clause 52 of the vesting order of Hon’ble Commission, to ensure continuity of operation of the utility as a going concern, TPNODL is meeting liabilities pertaining to employees, consumers, suppliers and statutory payments, etc. which has been transferred to TPNODL. Further, as per clause 52(e) (iii) of the Vesting order of Hon’ble Commission dated 25.03.2021, from 1.4.2021 TPNODL is responsible to receive /pay amounts pertaining to assets and liabilities transferred to TPNODL as additional serviceable liabilities. Hon’ble Commission’s order on segregation dated 25.11.2021 under clause 10 also provides that, </w:t>
      </w:r>
      <w:proofErr w:type="gramStart"/>
      <w:r w:rsidRPr="00153204">
        <w:rPr>
          <w:rFonts w:asciiTheme="minorHAnsi" w:hAnsiTheme="minorHAnsi" w:cstheme="minorHAnsi"/>
        </w:rPr>
        <w:t>If</w:t>
      </w:r>
      <w:proofErr w:type="gramEnd"/>
      <w:r w:rsidRPr="00153204">
        <w:rPr>
          <w:rFonts w:asciiTheme="minorHAnsi" w:hAnsiTheme="minorHAnsi" w:cstheme="minorHAnsi"/>
        </w:rPr>
        <w:t xml:space="preserve"> any liability arises subsequently, TPNODL shall be responsible to settle the said liability and the same shall be allowed in the year in which it is discharged subject to prudence check by the Commission. </w:t>
      </w:r>
    </w:p>
    <w:p w14:paraId="41D5CE20" w14:textId="653A4B44" w:rsidR="00E12F54" w:rsidRDefault="00FB20DB" w:rsidP="00FB20DB">
      <w:pPr>
        <w:pStyle w:val="ListParagraph"/>
        <w:tabs>
          <w:tab w:val="left" w:pos="567"/>
        </w:tabs>
        <w:spacing w:line="360" w:lineRule="auto"/>
        <w:ind w:left="567" w:right="-23"/>
        <w:jc w:val="both"/>
        <w:rPr>
          <w:rFonts w:asciiTheme="minorHAnsi" w:hAnsiTheme="minorHAnsi" w:cstheme="minorHAnsi"/>
        </w:rPr>
      </w:pPr>
      <w:r w:rsidRPr="00153204">
        <w:rPr>
          <w:rFonts w:asciiTheme="minorHAnsi" w:hAnsiTheme="minorHAnsi" w:cstheme="minorHAnsi"/>
        </w:rPr>
        <w:t xml:space="preserve">It is to submit that, to sustain the continuity of the normal business operation and to avoid discontentment amongst the consumers, employees as well as suppliers and for timely restoration of power supply to the consumers, TPNODL had to make payments against the bills for the services or supplies received by the utility on or before 31.03.2021. </w:t>
      </w:r>
    </w:p>
    <w:p w14:paraId="08666100" w14:textId="77777777" w:rsidR="00B602FC" w:rsidRPr="00153204" w:rsidRDefault="00B602FC" w:rsidP="00FB20DB">
      <w:pPr>
        <w:pStyle w:val="ListParagraph"/>
        <w:tabs>
          <w:tab w:val="left" w:pos="567"/>
        </w:tabs>
        <w:spacing w:line="360" w:lineRule="auto"/>
        <w:ind w:left="567" w:right="-23"/>
        <w:jc w:val="both"/>
        <w:rPr>
          <w:rFonts w:asciiTheme="minorHAnsi" w:hAnsiTheme="minorHAnsi" w:cstheme="minorHAnsi"/>
        </w:rPr>
      </w:pPr>
    </w:p>
    <w:p w14:paraId="1E5E6186" w14:textId="138052C9" w:rsidR="00416351" w:rsidRDefault="00FB20DB" w:rsidP="00FB20DB">
      <w:pPr>
        <w:pStyle w:val="ListParagraph"/>
        <w:tabs>
          <w:tab w:val="left" w:pos="567"/>
        </w:tabs>
        <w:spacing w:line="360" w:lineRule="auto"/>
        <w:ind w:left="567" w:right="-23"/>
        <w:jc w:val="both"/>
        <w:rPr>
          <w:rFonts w:asciiTheme="minorHAnsi" w:hAnsiTheme="minorHAnsi" w:cstheme="minorHAnsi"/>
          <w:b/>
        </w:rPr>
      </w:pPr>
      <w:r w:rsidRPr="00153204">
        <w:rPr>
          <w:rFonts w:asciiTheme="minorHAnsi" w:hAnsiTheme="minorHAnsi" w:cstheme="minorHAnsi"/>
          <w:b/>
        </w:rPr>
        <w:t xml:space="preserve">In this regard, </w:t>
      </w:r>
      <w:r w:rsidR="00E12F54" w:rsidRPr="00153204">
        <w:rPr>
          <w:rFonts w:asciiTheme="minorHAnsi" w:hAnsiTheme="minorHAnsi" w:cstheme="minorHAnsi"/>
          <w:b/>
        </w:rPr>
        <w:t>it is most humbly prayed before Hon’ble Commission that, payment made towards ASL during FY 2</w:t>
      </w:r>
      <w:r w:rsidR="00BE3515">
        <w:rPr>
          <w:rFonts w:asciiTheme="minorHAnsi" w:hAnsiTheme="minorHAnsi" w:cstheme="minorHAnsi"/>
          <w:b/>
        </w:rPr>
        <w:t>5</w:t>
      </w:r>
      <w:r w:rsidR="00E12F54" w:rsidRPr="00153204">
        <w:rPr>
          <w:rFonts w:asciiTheme="minorHAnsi" w:hAnsiTheme="minorHAnsi" w:cstheme="minorHAnsi"/>
          <w:b/>
        </w:rPr>
        <w:t>-2</w:t>
      </w:r>
      <w:r w:rsidR="00BE3515">
        <w:rPr>
          <w:rFonts w:asciiTheme="minorHAnsi" w:hAnsiTheme="minorHAnsi" w:cstheme="minorHAnsi"/>
          <w:b/>
        </w:rPr>
        <w:t>6</w:t>
      </w:r>
      <w:r w:rsidR="00E12F54" w:rsidRPr="00153204">
        <w:rPr>
          <w:rFonts w:asciiTheme="minorHAnsi" w:hAnsiTheme="minorHAnsi" w:cstheme="minorHAnsi"/>
          <w:b/>
        </w:rPr>
        <w:t xml:space="preserve"> may be considered by Hon’ble Commission on actual basis in the truing up </w:t>
      </w:r>
    </w:p>
    <w:p w14:paraId="2B9A8716" w14:textId="791145E5" w:rsidR="00FB20DB" w:rsidRDefault="00E12F54" w:rsidP="00FB20DB">
      <w:pPr>
        <w:pStyle w:val="ListParagraph"/>
        <w:tabs>
          <w:tab w:val="left" w:pos="567"/>
        </w:tabs>
        <w:spacing w:line="360" w:lineRule="auto"/>
        <w:ind w:left="567" w:right="-23"/>
        <w:jc w:val="both"/>
        <w:rPr>
          <w:rFonts w:asciiTheme="minorHAnsi" w:hAnsiTheme="minorHAnsi" w:cstheme="minorHAnsi"/>
          <w:b/>
        </w:rPr>
      </w:pPr>
      <w:r w:rsidRPr="00153204">
        <w:rPr>
          <w:rFonts w:asciiTheme="minorHAnsi" w:hAnsiTheme="minorHAnsi" w:cstheme="minorHAnsi"/>
          <w:b/>
        </w:rPr>
        <w:t>exercise</w:t>
      </w:r>
      <w:r w:rsidR="00AE2DE2" w:rsidRPr="00153204">
        <w:rPr>
          <w:rFonts w:asciiTheme="minorHAnsi" w:hAnsiTheme="minorHAnsi" w:cstheme="minorHAnsi"/>
          <w:b/>
        </w:rPr>
        <w:t xml:space="preserve"> for the corresponding financial year</w:t>
      </w:r>
      <w:r w:rsidR="00654309">
        <w:rPr>
          <w:rFonts w:asciiTheme="minorHAnsi" w:hAnsiTheme="minorHAnsi" w:cstheme="minorHAnsi"/>
          <w:b/>
        </w:rPr>
        <w:t>.</w:t>
      </w:r>
    </w:p>
    <w:p w14:paraId="26B35BE0" w14:textId="77777777" w:rsidR="00654309" w:rsidRPr="00153204" w:rsidRDefault="00654309" w:rsidP="00FB20DB">
      <w:pPr>
        <w:pStyle w:val="ListParagraph"/>
        <w:tabs>
          <w:tab w:val="left" w:pos="567"/>
        </w:tabs>
        <w:spacing w:line="360" w:lineRule="auto"/>
        <w:ind w:left="567" w:right="-23"/>
        <w:jc w:val="both"/>
        <w:rPr>
          <w:rFonts w:asciiTheme="minorHAnsi" w:hAnsiTheme="minorHAnsi" w:cstheme="minorHAnsi"/>
          <w:b/>
        </w:rPr>
      </w:pPr>
    </w:p>
    <w:p w14:paraId="58746080" w14:textId="1C102A30" w:rsidR="00BE3515" w:rsidRPr="004D0AC9" w:rsidRDefault="00416351" w:rsidP="004D0AC9">
      <w:pPr>
        <w:tabs>
          <w:tab w:val="left" w:pos="567"/>
        </w:tabs>
        <w:spacing w:line="360" w:lineRule="auto"/>
        <w:ind w:right="-23"/>
        <w:jc w:val="both"/>
        <w:rPr>
          <w:rFonts w:asciiTheme="minorHAnsi" w:hAnsiTheme="minorHAnsi" w:cstheme="minorHAnsi"/>
        </w:rPr>
      </w:pPr>
      <w:r w:rsidRPr="00153204">
        <w:rPr>
          <w:rFonts w:asciiTheme="minorHAnsi" w:hAnsiTheme="minorHAnsi" w:cstheme="minorHAnsi"/>
          <w:noProof/>
          <w:lang w:val="en-IN" w:eastAsia="en-IN"/>
        </w:rPr>
        <w:lastRenderedPageBreak/>
        <mc:AlternateContent>
          <mc:Choice Requires="wps">
            <w:drawing>
              <wp:anchor distT="0" distB="0" distL="114300" distR="114300" simplePos="0" relativeHeight="252119552" behindDoc="0" locked="0" layoutInCell="1" allowOverlap="1" wp14:anchorId="7676BD6A" wp14:editId="2CA9AAA3">
                <wp:simplePos x="0" y="0"/>
                <wp:positionH relativeFrom="margin">
                  <wp:posOffset>280035</wp:posOffset>
                </wp:positionH>
                <wp:positionV relativeFrom="paragraph">
                  <wp:posOffset>8890</wp:posOffset>
                </wp:positionV>
                <wp:extent cx="5676061" cy="561975"/>
                <wp:effectExtent l="0" t="0" r="20320" b="28575"/>
                <wp:wrapNone/>
                <wp:docPr id="22" name="Rectangle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676061" cy="561975"/>
                        </a:xfrm>
                        <a:prstGeom prst="rect">
                          <a:avLst/>
                        </a:prstGeom>
                        <a:solidFill>
                          <a:srgbClr val="1F497D">
                            <a:lumMod val="20000"/>
                            <a:lumOff val="80000"/>
                          </a:srgbClr>
                        </a:solidFill>
                        <a:ln w="9525">
                          <a:solidFill>
                            <a:srgbClr val="000000"/>
                          </a:solidFill>
                          <a:miter lim="800000"/>
                          <a:headEnd/>
                          <a:tailEnd/>
                        </a:ln>
                      </wps:spPr>
                      <wps:txbx>
                        <w:txbxContent>
                          <w:p w14:paraId="5887B9EF" w14:textId="3BB4BD61" w:rsidR="00535B24" w:rsidRPr="004B7027" w:rsidRDefault="00535B24" w:rsidP="00416351">
                            <w:pPr>
                              <w:rPr>
                                <w:rFonts w:asciiTheme="minorHAnsi" w:hAnsiTheme="minorHAnsi" w:cstheme="minorHAnsi"/>
                                <w:b/>
                                <w:sz w:val="28"/>
                                <w:szCs w:val="28"/>
                                <w:lang w:val="en-IN"/>
                              </w:rPr>
                            </w:pPr>
                            <w:r w:rsidRPr="004B7027">
                              <w:rPr>
                                <w:rFonts w:asciiTheme="minorHAnsi" w:hAnsiTheme="minorHAnsi" w:cstheme="minorHAnsi"/>
                                <w:b/>
                                <w:sz w:val="28"/>
                                <w:szCs w:val="28"/>
                                <w:lang w:val="en-IN"/>
                              </w:rPr>
                              <w:t xml:space="preserve">5 Truing –up for the FY </w:t>
                            </w:r>
                            <w:r>
                              <w:rPr>
                                <w:rFonts w:asciiTheme="minorHAnsi" w:hAnsiTheme="minorHAnsi" w:cstheme="minorHAnsi"/>
                                <w:b/>
                                <w:sz w:val="28"/>
                                <w:szCs w:val="28"/>
                                <w:lang w:val="en-IN"/>
                              </w:rPr>
                              <w:t>2023</w:t>
                            </w:r>
                            <w:r w:rsidRPr="004B7027">
                              <w:rPr>
                                <w:rFonts w:asciiTheme="minorHAnsi" w:hAnsiTheme="minorHAnsi" w:cstheme="minorHAnsi"/>
                                <w:b/>
                                <w:sz w:val="28"/>
                                <w:szCs w:val="28"/>
                                <w:lang w:val="en-IN"/>
                              </w:rPr>
                              <w:t>-2</w:t>
                            </w:r>
                            <w:r>
                              <w:rPr>
                                <w:rFonts w:asciiTheme="minorHAnsi" w:hAnsiTheme="minorHAnsi" w:cstheme="minorHAnsi"/>
                                <w:b/>
                                <w:sz w:val="28"/>
                                <w:szCs w:val="28"/>
                                <w:lang w:val="en-IN"/>
                              </w:rPr>
                              <w:t>4 &amp; Issues pertaining to Previous Tariff Orders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676BD6A" id="_x0000_s1040" style="position:absolute;left:0;text-align:left;margin-left:22.05pt;margin-top:.7pt;width:446.95pt;height:44.25pt;z-index:25211955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" fillcolor="#c6d9f1">
                <v:textbox>
                  <w:txbxContent>
                    <w:p w14:paraId="5887B9EF" w14:textId="3BB4BD61" w:rsidR="00535B24" w:rsidRPr="004B7027" w:rsidRDefault="00535B24" w:rsidP="00416351">
                      <w:pPr>
                        <w:rPr>
                          <w:rFonts w:asciiTheme="minorHAnsi" w:hAnsiTheme="minorHAnsi" w:cstheme="minorHAnsi"/>
                          <w:b/>
                          <w:sz w:val="28"/>
                          <w:szCs w:val="28"/>
                          <w:lang w:val="en-IN"/>
                        </w:rPr>
                      </w:pPr>
                      <w:r w:rsidRPr="004B7027">
                        <w:rPr>
                          <w:rFonts w:asciiTheme="minorHAnsi" w:hAnsiTheme="minorHAnsi" w:cstheme="minorHAnsi"/>
                          <w:b/>
                          <w:sz w:val="28"/>
                          <w:szCs w:val="28"/>
                          <w:lang w:val="en-IN"/>
                        </w:rPr>
                        <w:t xml:space="preserve">5 Truing –up for the FY </w:t>
                      </w:r>
                      <w:r>
                        <w:rPr>
                          <w:rFonts w:asciiTheme="minorHAnsi" w:hAnsiTheme="minorHAnsi" w:cstheme="minorHAnsi"/>
                          <w:b/>
                          <w:sz w:val="28"/>
                          <w:szCs w:val="28"/>
                          <w:lang w:val="en-IN"/>
                        </w:rPr>
                        <w:t>2023</w:t>
                      </w:r>
                      <w:r w:rsidRPr="004B7027">
                        <w:rPr>
                          <w:rFonts w:asciiTheme="minorHAnsi" w:hAnsiTheme="minorHAnsi" w:cstheme="minorHAnsi"/>
                          <w:b/>
                          <w:sz w:val="28"/>
                          <w:szCs w:val="28"/>
                          <w:lang w:val="en-IN"/>
                        </w:rPr>
                        <w:t>-2</w:t>
                      </w:r>
                      <w:r>
                        <w:rPr>
                          <w:rFonts w:asciiTheme="minorHAnsi" w:hAnsiTheme="minorHAnsi" w:cstheme="minorHAnsi"/>
                          <w:b/>
                          <w:sz w:val="28"/>
                          <w:szCs w:val="28"/>
                          <w:lang w:val="en-IN"/>
                        </w:rPr>
                        <w:t>4 &amp; Issues pertaining to Previous Tariff Orders</w:t>
                      </w:r>
                    </w:p>
                  </w:txbxContent>
                </v:textbox>
                <w10:wrap anchorx="margin"/>
              </v:rect>
            </w:pict>
          </mc:Fallback>
        </mc:AlternateContent>
      </w:r>
    </w:p>
    <w:p w14:paraId="05D660D9" w14:textId="18241B2A" w:rsidR="00BF7C10" w:rsidRPr="00153204" w:rsidRDefault="00BF7C10" w:rsidP="002334A3">
      <w:pPr>
        <w:pStyle w:val="ListParagraph"/>
        <w:spacing w:line="360" w:lineRule="auto"/>
        <w:ind w:left="567"/>
        <w:jc w:val="both"/>
        <w:rPr>
          <w:rFonts w:asciiTheme="minorHAnsi" w:hAnsiTheme="minorHAnsi" w:cstheme="minorHAnsi"/>
          <w:b/>
        </w:rPr>
      </w:pPr>
    </w:p>
    <w:p w14:paraId="2FDE1F58" w14:textId="55C3E5C9" w:rsidR="009156DD" w:rsidRPr="00153204" w:rsidRDefault="00D40D6A" w:rsidP="002334A3">
      <w:pPr>
        <w:rPr>
          <w:rFonts w:asciiTheme="minorHAnsi" w:hAnsiTheme="minorHAnsi" w:cstheme="minorHAnsi"/>
          <w:b/>
          <w:color w:val="FFFFFF" w:themeColor="background1"/>
          <w:sz w:val="22"/>
          <w:szCs w:val="22"/>
        </w:rPr>
      </w:pPr>
      <w:r w:rsidRPr="00153204">
        <w:rPr>
          <w:rFonts w:asciiTheme="minorHAnsi" w:hAnsiTheme="minorHAnsi" w:cstheme="minorHAnsi"/>
          <w:noProof/>
          <w:lang w:val="en-IN" w:eastAsia="en-IN"/>
        </w:rPr>
        <mc:AlternateContent>
          <mc:Choice Requires="wps">
            <w:drawing>
              <wp:anchor distT="0" distB="0" distL="114300" distR="114300" simplePos="0" relativeHeight="252121600" behindDoc="0" locked="0" layoutInCell="1" allowOverlap="1" wp14:anchorId="59C5E292" wp14:editId="3B98359B">
                <wp:simplePos x="0" y="0"/>
                <wp:positionH relativeFrom="margin">
                  <wp:posOffset>278130</wp:posOffset>
                </wp:positionH>
                <wp:positionV relativeFrom="paragraph">
                  <wp:posOffset>27305</wp:posOffset>
                </wp:positionV>
                <wp:extent cx="5641676" cy="353683"/>
                <wp:effectExtent l="0" t="0" r="16510" b="27940"/>
                <wp:wrapNone/>
                <wp:docPr id="11" name="Rectangle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641676" cy="353683"/>
                        </a:xfrm>
                        <a:prstGeom prst="rect">
                          <a:avLst/>
                        </a:prstGeom>
                        <a:solidFill>
                          <a:srgbClr val="1F497D">
                            <a:lumMod val="20000"/>
                            <a:lumOff val="80000"/>
                          </a:srgbClr>
                        </a:solidFill>
                        <a:ln w="9525">
                          <a:solidFill>
                            <a:srgbClr val="000000"/>
                          </a:solidFill>
                          <a:miter lim="800000"/>
                          <a:headEnd/>
                          <a:tailEnd/>
                        </a:ln>
                      </wps:spPr>
                      <wps:txbx>
                        <w:txbxContent>
                          <w:p w14:paraId="12F95627" w14:textId="77777777" w:rsidR="00535B24" w:rsidRPr="004B7027" w:rsidRDefault="00535B24" w:rsidP="00416351">
                            <w:pPr>
                              <w:rPr>
                                <w:rFonts w:asciiTheme="minorHAnsi" w:hAnsiTheme="minorHAnsi" w:cstheme="minorHAnsi"/>
                                <w:b/>
                                <w:sz w:val="28"/>
                                <w:szCs w:val="28"/>
                                <w:lang w:val="en-IN"/>
                              </w:rPr>
                            </w:pPr>
                            <w:r w:rsidRPr="004B7027">
                              <w:rPr>
                                <w:rFonts w:asciiTheme="minorHAnsi" w:hAnsiTheme="minorHAnsi" w:cstheme="minorHAnsi"/>
                                <w:b/>
                                <w:sz w:val="28"/>
                                <w:szCs w:val="28"/>
                                <w:lang w:val="en-IN"/>
                              </w:rPr>
                              <w:t>5.</w:t>
                            </w:r>
                            <w:r>
                              <w:rPr>
                                <w:rFonts w:asciiTheme="minorHAnsi" w:hAnsiTheme="minorHAnsi" w:cstheme="minorHAnsi"/>
                                <w:b/>
                                <w:sz w:val="28"/>
                                <w:szCs w:val="28"/>
                                <w:lang w:val="en-IN"/>
                              </w:rPr>
                              <w:t>1</w:t>
                            </w:r>
                            <w:r w:rsidRPr="004B7027">
                              <w:rPr>
                                <w:rFonts w:asciiTheme="minorHAnsi" w:hAnsiTheme="minorHAnsi" w:cstheme="minorHAnsi"/>
                                <w:b/>
                                <w:sz w:val="28"/>
                                <w:szCs w:val="28"/>
                                <w:lang w:val="en-IN"/>
                              </w:rPr>
                              <w:t xml:space="preserve"> Truing –up for the FY </w:t>
                            </w:r>
                            <w:r>
                              <w:rPr>
                                <w:rFonts w:asciiTheme="minorHAnsi" w:hAnsiTheme="minorHAnsi" w:cstheme="minorHAnsi"/>
                                <w:b/>
                                <w:sz w:val="28"/>
                                <w:szCs w:val="28"/>
                                <w:lang w:val="en-IN"/>
                              </w:rPr>
                              <w:t>2023</w:t>
                            </w:r>
                            <w:r w:rsidRPr="004B7027">
                              <w:rPr>
                                <w:rFonts w:asciiTheme="minorHAnsi" w:hAnsiTheme="minorHAnsi" w:cstheme="minorHAnsi"/>
                                <w:b/>
                                <w:sz w:val="28"/>
                                <w:szCs w:val="28"/>
                                <w:lang w:val="en-IN"/>
                              </w:rPr>
                              <w:t>-2</w:t>
                            </w:r>
                            <w:r>
                              <w:rPr>
                                <w:rFonts w:asciiTheme="minorHAnsi" w:hAnsiTheme="minorHAnsi" w:cstheme="minorHAnsi"/>
                                <w:b/>
                                <w:sz w:val="28"/>
                                <w:szCs w:val="28"/>
                                <w:lang w:val="en-IN"/>
                              </w:rPr>
                              <w:t>4</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9C5E292" id="_x0000_s1041" style="position:absolute;margin-left:21.9pt;margin-top:2.15pt;width:444.25pt;height:27.85pt;z-index:25212160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" fillcolor="#c6d9f1">
                <v:textbox>
                  <w:txbxContent>
                    <w:p w14:paraId="12F95627" w14:textId="77777777" w:rsidR="00535B24" w:rsidRPr="004B7027" w:rsidRDefault="00535B24" w:rsidP="00416351">
                      <w:pPr>
                        <w:rPr>
                          <w:rFonts w:asciiTheme="minorHAnsi" w:hAnsiTheme="minorHAnsi" w:cstheme="minorHAnsi"/>
                          <w:b/>
                          <w:sz w:val="28"/>
                          <w:szCs w:val="28"/>
                          <w:lang w:val="en-IN"/>
                        </w:rPr>
                      </w:pPr>
                      <w:r w:rsidRPr="004B7027">
                        <w:rPr>
                          <w:rFonts w:asciiTheme="minorHAnsi" w:hAnsiTheme="minorHAnsi" w:cstheme="minorHAnsi"/>
                          <w:b/>
                          <w:sz w:val="28"/>
                          <w:szCs w:val="28"/>
                          <w:lang w:val="en-IN"/>
                        </w:rPr>
                        <w:t>5.</w:t>
                      </w:r>
                      <w:r>
                        <w:rPr>
                          <w:rFonts w:asciiTheme="minorHAnsi" w:hAnsiTheme="minorHAnsi" w:cstheme="minorHAnsi"/>
                          <w:b/>
                          <w:sz w:val="28"/>
                          <w:szCs w:val="28"/>
                          <w:lang w:val="en-IN"/>
                        </w:rPr>
                        <w:t>1</w:t>
                      </w:r>
                      <w:r w:rsidRPr="004B7027">
                        <w:rPr>
                          <w:rFonts w:asciiTheme="minorHAnsi" w:hAnsiTheme="minorHAnsi" w:cstheme="minorHAnsi"/>
                          <w:b/>
                          <w:sz w:val="28"/>
                          <w:szCs w:val="28"/>
                          <w:lang w:val="en-IN"/>
                        </w:rPr>
                        <w:t xml:space="preserve"> Truing –up for the FY </w:t>
                      </w:r>
                      <w:r>
                        <w:rPr>
                          <w:rFonts w:asciiTheme="minorHAnsi" w:hAnsiTheme="minorHAnsi" w:cstheme="minorHAnsi"/>
                          <w:b/>
                          <w:sz w:val="28"/>
                          <w:szCs w:val="28"/>
                          <w:lang w:val="en-IN"/>
                        </w:rPr>
                        <w:t>2023</w:t>
                      </w:r>
                      <w:r w:rsidRPr="004B7027">
                        <w:rPr>
                          <w:rFonts w:asciiTheme="minorHAnsi" w:hAnsiTheme="minorHAnsi" w:cstheme="minorHAnsi"/>
                          <w:b/>
                          <w:sz w:val="28"/>
                          <w:szCs w:val="28"/>
                          <w:lang w:val="en-IN"/>
                        </w:rPr>
                        <w:t>-2</w:t>
                      </w:r>
                      <w:r>
                        <w:rPr>
                          <w:rFonts w:asciiTheme="minorHAnsi" w:hAnsiTheme="minorHAnsi" w:cstheme="minorHAnsi"/>
                          <w:b/>
                          <w:sz w:val="28"/>
                          <w:szCs w:val="28"/>
                          <w:lang w:val="en-IN"/>
                        </w:rPr>
                        <w:t>4</w:t>
                      </w:r>
                    </w:p>
                  </w:txbxContent>
                </v:textbox>
                <w10:wrap anchorx="margin"/>
              </v:rect>
            </w:pict>
          </mc:Fallback>
        </mc:AlternateContent>
      </w:r>
      <w:r w:rsidR="009156DD" w:rsidRPr="00153204">
        <w:rPr>
          <w:rFonts w:asciiTheme="minorHAnsi" w:hAnsiTheme="minorHAnsi" w:cstheme="minorHAnsi"/>
          <w:b/>
          <w:color w:val="FFFFFF" w:themeColor="background1"/>
          <w:sz w:val="22"/>
          <w:szCs w:val="22"/>
        </w:rPr>
        <w:t xml:space="preserve">PRE –VER PERIOD PAYMENT </w:t>
      </w:r>
    </w:p>
    <w:p w14:paraId="5D106783" w14:textId="76198D75" w:rsidR="00416351" w:rsidRPr="00D40D6A" w:rsidRDefault="00416351" w:rsidP="00D40D6A">
      <w:pPr>
        <w:spacing w:line="360" w:lineRule="auto"/>
        <w:jc w:val="both"/>
        <w:rPr>
          <w:rFonts w:asciiTheme="minorHAnsi" w:hAnsiTheme="minorHAnsi" w:cstheme="minorHAnsi"/>
        </w:rPr>
      </w:pPr>
    </w:p>
    <w:p w14:paraId="74B7E034" w14:textId="4F177027" w:rsidR="00B602FC" w:rsidRPr="00B602FC" w:rsidRDefault="00BF7C10" w:rsidP="00B602FC">
      <w:pPr>
        <w:pStyle w:val="ListParagraph"/>
        <w:spacing w:line="360" w:lineRule="auto"/>
        <w:ind w:left="567"/>
        <w:jc w:val="both"/>
        <w:rPr>
          <w:rFonts w:asciiTheme="minorHAnsi" w:hAnsiTheme="minorHAnsi" w:cstheme="minorHAnsi"/>
        </w:rPr>
      </w:pPr>
      <w:r w:rsidRPr="00153204">
        <w:rPr>
          <w:rFonts w:asciiTheme="minorHAnsi" w:hAnsiTheme="minorHAnsi" w:cstheme="minorHAnsi"/>
        </w:rPr>
        <w:t xml:space="preserve">In compliance with the directions of Hon’ble Commission in the Vesting order, the licensee has </w:t>
      </w:r>
      <w:r w:rsidR="000F3F99" w:rsidRPr="00153204">
        <w:rPr>
          <w:rFonts w:asciiTheme="minorHAnsi" w:hAnsiTheme="minorHAnsi" w:cstheme="minorHAnsi"/>
        </w:rPr>
        <w:t xml:space="preserve">started operation </w:t>
      </w:r>
      <w:r w:rsidRPr="00153204">
        <w:rPr>
          <w:rFonts w:asciiTheme="minorHAnsi" w:hAnsiTheme="minorHAnsi" w:cstheme="minorHAnsi"/>
        </w:rPr>
        <w:t xml:space="preserve">with effect from 1.4.2021.  The truing up petition for the </w:t>
      </w:r>
      <w:r w:rsidR="00BE3515">
        <w:rPr>
          <w:rFonts w:asciiTheme="minorHAnsi" w:hAnsiTheme="minorHAnsi" w:cstheme="minorHAnsi"/>
        </w:rPr>
        <w:t>third</w:t>
      </w:r>
      <w:r w:rsidR="00FB20DB" w:rsidRPr="00153204">
        <w:rPr>
          <w:rFonts w:asciiTheme="minorHAnsi" w:hAnsiTheme="minorHAnsi" w:cstheme="minorHAnsi"/>
        </w:rPr>
        <w:t xml:space="preserve"> </w:t>
      </w:r>
      <w:r w:rsidRPr="00153204">
        <w:rPr>
          <w:rFonts w:asciiTheme="minorHAnsi" w:hAnsiTheme="minorHAnsi" w:cstheme="minorHAnsi"/>
        </w:rPr>
        <w:t>year of operation that is FY 202</w:t>
      </w:r>
      <w:r w:rsidR="00BE3515">
        <w:rPr>
          <w:rFonts w:asciiTheme="minorHAnsi" w:hAnsiTheme="minorHAnsi" w:cstheme="minorHAnsi"/>
        </w:rPr>
        <w:t>3</w:t>
      </w:r>
      <w:r w:rsidRPr="00153204">
        <w:rPr>
          <w:rFonts w:asciiTheme="minorHAnsi" w:hAnsiTheme="minorHAnsi" w:cstheme="minorHAnsi"/>
        </w:rPr>
        <w:t>-2</w:t>
      </w:r>
      <w:r w:rsidR="00BE3515">
        <w:rPr>
          <w:rFonts w:asciiTheme="minorHAnsi" w:hAnsiTheme="minorHAnsi" w:cstheme="minorHAnsi"/>
        </w:rPr>
        <w:t>4</w:t>
      </w:r>
      <w:r w:rsidRPr="00153204">
        <w:rPr>
          <w:rFonts w:asciiTheme="minorHAnsi" w:hAnsiTheme="minorHAnsi" w:cstheme="minorHAnsi"/>
        </w:rPr>
        <w:t>, has been submitted separately before Hon’ble Commission for kind approval</w:t>
      </w:r>
      <w:r w:rsidR="00647830" w:rsidRPr="00153204">
        <w:rPr>
          <w:rFonts w:asciiTheme="minorHAnsi" w:hAnsiTheme="minorHAnsi" w:cstheme="minorHAnsi"/>
        </w:rPr>
        <w:t>.</w:t>
      </w:r>
      <w:r w:rsidRPr="00153204">
        <w:rPr>
          <w:rFonts w:asciiTheme="minorHAnsi" w:hAnsiTheme="minorHAnsi" w:cstheme="minorHAnsi"/>
        </w:rPr>
        <w:t xml:space="preserve"> </w:t>
      </w:r>
      <w:r w:rsidR="000F3F99" w:rsidRPr="00153204">
        <w:rPr>
          <w:rFonts w:asciiTheme="minorHAnsi" w:hAnsiTheme="minorHAnsi" w:cstheme="minorHAnsi"/>
        </w:rPr>
        <w:t xml:space="preserve"> The approvals accorded by Hon’ble Commission for the FY 202</w:t>
      </w:r>
      <w:r w:rsidR="00BE3515">
        <w:rPr>
          <w:rFonts w:asciiTheme="minorHAnsi" w:hAnsiTheme="minorHAnsi" w:cstheme="minorHAnsi"/>
        </w:rPr>
        <w:t>3</w:t>
      </w:r>
      <w:r w:rsidR="000F3F99" w:rsidRPr="00153204">
        <w:rPr>
          <w:rFonts w:asciiTheme="minorHAnsi" w:hAnsiTheme="minorHAnsi" w:cstheme="minorHAnsi"/>
        </w:rPr>
        <w:t>-2</w:t>
      </w:r>
      <w:r w:rsidR="00BE3515">
        <w:rPr>
          <w:rFonts w:asciiTheme="minorHAnsi" w:hAnsiTheme="minorHAnsi" w:cstheme="minorHAnsi"/>
        </w:rPr>
        <w:t>4</w:t>
      </w:r>
      <w:r w:rsidR="000F3F99" w:rsidRPr="00153204">
        <w:rPr>
          <w:rFonts w:asciiTheme="minorHAnsi" w:hAnsiTheme="minorHAnsi" w:cstheme="minorHAnsi"/>
        </w:rPr>
        <w:t xml:space="preserve">, the audited actual figures </w:t>
      </w:r>
      <w:r w:rsidR="00E87B78" w:rsidRPr="00153204">
        <w:rPr>
          <w:rFonts w:asciiTheme="minorHAnsi" w:hAnsiTheme="minorHAnsi" w:cstheme="minorHAnsi"/>
        </w:rPr>
        <w:t>and truing</w:t>
      </w:r>
      <w:r w:rsidR="000F3F99" w:rsidRPr="00153204">
        <w:rPr>
          <w:rFonts w:asciiTheme="minorHAnsi" w:hAnsiTheme="minorHAnsi" w:cstheme="minorHAnsi"/>
        </w:rPr>
        <w:t xml:space="preserve"> </w:t>
      </w:r>
      <w:proofErr w:type="gramStart"/>
      <w:r w:rsidR="000F3F99" w:rsidRPr="00153204">
        <w:rPr>
          <w:rFonts w:asciiTheme="minorHAnsi" w:hAnsiTheme="minorHAnsi" w:cstheme="minorHAnsi"/>
        </w:rPr>
        <w:t>up  considering</w:t>
      </w:r>
      <w:proofErr w:type="gramEnd"/>
      <w:r w:rsidR="000F3F99" w:rsidRPr="00153204">
        <w:rPr>
          <w:rFonts w:asciiTheme="minorHAnsi" w:hAnsiTheme="minorHAnsi" w:cstheme="minorHAnsi"/>
        </w:rPr>
        <w:t xml:space="preserve"> the normative T&amp;D loss of 1</w:t>
      </w:r>
      <w:r w:rsidR="00FB20DB" w:rsidRPr="00153204">
        <w:rPr>
          <w:rFonts w:asciiTheme="minorHAnsi" w:hAnsiTheme="minorHAnsi" w:cstheme="minorHAnsi"/>
        </w:rPr>
        <w:t>6.2</w:t>
      </w:r>
      <w:r w:rsidR="000F3F99" w:rsidRPr="00153204">
        <w:rPr>
          <w:rFonts w:asciiTheme="minorHAnsi" w:hAnsiTheme="minorHAnsi" w:cstheme="minorHAnsi"/>
        </w:rPr>
        <w:t>5% is furnished in t</w:t>
      </w:r>
      <w:r w:rsidR="005A08D4" w:rsidRPr="00153204">
        <w:rPr>
          <w:rFonts w:asciiTheme="minorHAnsi" w:hAnsiTheme="minorHAnsi" w:cstheme="minorHAnsi"/>
        </w:rPr>
        <w:t>he following table.</w:t>
      </w:r>
      <w:r w:rsidR="000F3F99" w:rsidRPr="00153204">
        <w:rPr>
          <w:rFonts w:asciiTheme="minorHAnsi" w:hAnsiTheme="minorHAnsi" w:cstheme="minorHAnsi"/>
        </w:rPr>
        <w:t xml:space="preserve"> </w:t>
      </w:r>
    </w:p>
    <w:p w14:paraId="0A463A5E" w14:textId="0D034385" w:rsidR="00813324" w:rsidRPr="00B602FC" w:rsidRDefault="00920D3F" w:rsidP="00B602FC">
      <w:pPr>
        <w:pStyle w:val="ListParagraph"/>
        <w:spacing w:line="360" w:lineRule="auto"/>
        <w:ind w:left="567"/>
        <w:jc w:val="both"/>
        <w:rPr>
          <w:rFonts w:asciiTheme="minorHAnsi" w:hAnsiTheme="minorHAnsi" w:cstheme="minorHAnsi"/>
          <w:b/>
        </w:rPr>
      </w:pPr>
      <w:r w:rsidRPr="00153204">
        <w:rPr>
          <w:rFonts w:asciiTheme="minorHAnsi" w:hAnsiTheme="minorHAnsi" w:cstheme="minorHAnsi"/>
        </w:rPr>
        <w:t xml:space="preserve">                                     </w:t>
      </w:r>
      <w:r w:rsidR="00177378" w:rsidRPr="00153204">
        <w:rPr>
          <w:rFonts w:asciiTheme="minorHAnsi" w:hAnsiTheme="minorHAnsi" w:cstheme="minorHAnsi"/>
          <w:b/>
        </w:rPr>
        <w:t>Table No-</w:t>
      </w:r>
      <w:r w:rsidR="00B602FC">
        <w:rPr>
          <w:rFonts w:asciiTheme="minorHAnsi" w:hAnsiTheme="minorHAnsi" w:cstheme="minorHAnsi"/>
          <w:b/>
        </w:rPr>
        <w:t>4</w:t>
      </w:r>
      <w:r w:rsidR="00177378" w:rsidRPr="00153204">
        <w:rPr>
          <w:rFonts w:asciiTheme="minorHAnsi" w:hAnsiTheme="minorHAnsi" w:cstheme="minorHAnsi"/>
          <w:b/>
        </w:rPr>
        <w:t>6</w:t>
      </w:r>
      <w:r w:rsidR="005A08D4" w:rsidRPr="00153204">
        <w:rPr>
          <w:rFonts w:asciiTheme="minorHAnsi" w:hAnsiTheme="minorHAnsi" w:cstheme="minorHAnsi"/>
          <w:b/>
        </w:rPr>
        <w:t>: Truing-up for the FY 202</w:t>
      </w:r>
      <w:r w:rsidR="00BE3515">
        <w:rPr>
          <w:rFonts w:asciiTheme="minorHAnsi" w:hAnsiTheme="minorHAnsi" w:cstheme="minorHAnsi"/>
          <w:b/>
        </w:rPr>
        <w:t>3</w:t>
      </w:r>
      <w:r w:rsidR="005A08D4" w:rsidRPr="00153204">
        <w:rPr>
          <w:rFonts w:asciiTheme="minorHAnsi" w:hAnsiTheme="minorHAnsi" w:cstheme="minorHAnsi"/>
          <w:b/>
        </w:rPr>
        <w:t>-2</w:t>
      </w:r>
      <w:r w:rsidR="00BE3515">
        <w:rPr>
          <w:rFonts w:asciiTheme="minorHAnsi" w:hAnsiTheme="minorHAnsi" w:cstheme="minorHAnsi"/>
          <w:b/>
        </w:rPr>
        <w:t>4</w:t>
      </w:r>
      <w:r w:rsidR="005A08D4" w:rsidRPr="00153204">
        <w:rPr>
          <w:rFonts w:asciiTheme="minorHAnsi" w:hAnsiTheme="minorHAnsi" w:cstheme="minorHAnsi"/>
          <w:b/>
        </w:rPr>
        <w:t xml:space="preserve">       </w:t>
      </w:r>
      <w:r w:rsidRPr="00153204">
        <w:rPr>
          <w:rFonts w:asciiTheme="minorHAnsi" w:hAnsiTheme="minorHAnsi" w:cstheme="minorHAnsi"/>
          <w:b/>
        </w:rPr>
        <w:t xml:space="preserve">                          </w:t>
      </w:r>
      <w:proofErr w:type="gramStart"/>
      <w:r w:rsidRPr="00153204">
        <w:rPr>
          <w:rFonts w:asciiTheme="minorHAnsi" w:hAnsiTheme="minorHAnsi" w:cstheme="minorHAnsi"/>
          <w:b/>
        </w:rPr>
        <w:t xml:space="preserve"> </w:t>
      </w:r>
      <w:r w:rsidR="005A08D4" w:rsidRPr="00153204">
        <w:rPr>
          <w:rFonts w:asciiTheme="minorHAnsi" w:hAnsiTheme="minorHAnsi" w:cstheme="minorHAnsi"/>
          <w:b/>
        </w:rPr>
        <w:t xml:space="preserve"> </w:t>
      </w:r>
      <w:r w:rsidR="000F3F99" w:rsidRPr="00153204">
        <w:rPr>
          <w:rFonts w:asciiTheme="minorHAnsi" w:hAnsiTheme="minorHAnsi" w:cstheme="minorHAnsi"/>
          <w:b/>
        </w:rPr>
        <w:t xml:space="preserve"> (</w:t>
      </w:r>
      <w:proofErr w:type="gramEnd"/>
      <w:r w:rsidRPr="00153204">
        <w:rPr>
          <w:rFonts w:asciiTheme="minorHAnsi" w:hAnsiTheme="minorHAnsi" w:cstheme="minorHAnsi"/>
          <w:b/>
        </w:rPr>
        <w:t xml:space="preserve">In </w:t>
      </w:r>
      <w:r w:rsidR="001A2772" w:rsidRPr="00153204">
        <w:rPr>
          <w:rFonts w:asciiTheme="minorHAnsi" w:hAnsiTheme="minorHAnsi" w:cstheme="minorHAnsi"/>
          <w:b/>
        </w:rPr>
        <w:t>Rs.</w:t>
      </w:r>
      <w:r w:rsidR="005A08D4" w:rsidRPr="00153204">
        <w:rPr>
          <w:rFonts w:asciiTheme="minorHAnsi" w:hAnsiTheme="minorHAnsi" w:cstheme="minorHAnsi"/>
          <w:b/>
        </w:rPr>
        <w:t xml:space="preserve"> </w:t>
      </w:r>
      <w:proofErr w:type="spellStart"/>
      <w:r w:rsidR="000F3F99" w:rsidRPr="00153204">
        <w:rPr>
          <w:rFonts w:asciiTheme="minorHAnsi" w:hAnsiTheme="minorHAnsi" w:cstheme="minorHAnsi"/>
          <w:b/>
        </w:rPr>
        <w:t>Crs</w:t>
      </w:r>
      <w:proofErr w:type="spellEnd"/>
    </w:p>
    <w:tbl>
      <w:tblPr>
        <w:tblW w:w="9807" w:type="dxa"/>
        <w:tblInd w:w="-5" w:type="dxa"/>
        <w:tblLook w:val="04A0" w:firstRow="1" w:lastRow="0" w:firstColumn="1" w:lastColumn="0" w:noHBand="0" w:noVBand="1"/>
      </w:tblPr>
      <w:tblGrid>
        <w:gridCol w:w="3691"/>
        <w:gridCol w:w="1412"/>
        <w:gridCol w:w="1395"/>
        <w:gridCol w:w="1638"/>
        <w:gridCol w:w="1671"/>
      </w:tblGrid>
      <w:tr w:rsidR="00813324" w:rsidRPr="00654309" w14:paraId="4517DB25" w14:textId="77777777" w:rsidTr="003A3206">
        <w:trPr>
          <w:trHeight w:val="1628"/>
        </w:trPr>
        <w:tc>
          <w:tcPr>
            <w:tcW w:w="0" w:type="auto"/>
            <w:tcBorders>
              <w:top w:val="single" w:sz="4" w:space="0" w:color="auto"/>
              <w:left w:val="single" w:sz="4" w:space="0" w:color="auto"/>
              <w:bottom w:val="single" w:sz="4" w:space="0" w:color="auto"/>
              <w:right w:val="single" w:sz="4" w:space="0" w:color="auto"/>
            </w:tcBorders>
            <w:shd w:val="clear" w:color="000000" w:fill="BDD7EE"/>
            <w:noWrap/>
            <w:vAlign w:val="center"/>
            <w:hideMark/>
          </w:tcPr>
          <w:p w14:paraId="6FA4B5F3" w14:textId="77777777" w:rsidR="00813324" w:rsidRPr="00654309" w:rsidRDefault="00813324" w:rsidP="00813324">
            <w:pPr>
              <w:jc w:val="center"/>
              <w:rPr>
                <w:rFonts w:asciiTheme="minorHAnsi" w:hAnsiTheme="minorHAnsi" w:cs="Arial"/>
                <w:b/>
                <w:bCs/>
                <w:color w:val="000000"/>
                <w:sz w:val="22"/>
                <w:szCs w:val="22"/>
                <w:lang w:val="en-IN" w:eastAsia="en-IN"/>
              </w:rPr>
            </w:pPr>
            <w:r w:rsidRPr="00654309">
              <w:rPr>
                <w:rFonts w:asciiTheme="minorHAnsi" w:hAnsiTheme="minorHAnsi" w:cs="Arial"/>
                <w:b/>
                <w:bCs/>
                <w:color w:val="000000"/>
                <w:sz w:val="22"/>
                <w:szCs w:val="22"/>
              </w:rPr>
              <w:t>Expenditure</w:t>
            </w:r>
          </w:p>
        </w:tc>
        <w:tc>
          <w:tcPr>
            <w:tcW w:w="1412" w:type="dxa"/>
            <w:tcBorders>
              <w:top w:val="single" w:sz="4" w:space="0" w:color="auto"/>
              <w:left w:val="nil"/>
              <w:bottom w:val="single" w:sz="4" w:space="0" w:color="auto"/>
              <w:right w:val="single" w:sz="4" w:space="0" w:color="auto"/>
            </w:tcBorders>
            <w:shd w:val="clear" w:color="000000" w:fill="BDD7EE"/>
            <w:vAlign w:val="center"/>
            <w:hideMark/>
          </w:tcPr>
          <w:p w14:paraId="1CE514B4" w14:textId="0F0C3793" w:rsidR="00813324" w:rsidRPr="00654309" w:rsidRDefault="00813324" w:rsidP="00813324">
            <w:pPr>
              <w:jc w:val="center"/>
              <w:rPr>
                <w:rFonts w:asciiTheme="minorHAnsi" w:hAnsiTheme="minorHAnsi" w:cs="Arial"/>
                <w:b/>
                <w:bCs/>
                <w:color w:val="000000"/>
                <w:sz w:val="22"/>
                <w:szCs w:val="22"/>
              </w:rPr>
            </w:pPr>
            <w:r w:rsidRPr="00654309">
              <w:rPr>
                <w:rFonts w:asciiTheme="minorHAnsi" w:hAnsiTheme="minorHAnsi" w:cs="Arial"/>
                <w:b/>
                <w:bCs/>
                <w:color w:val="000000"/>
                <w:sz w:val="22"/>
                <w:szCs w:val="22"/>
              </w:rPr>
              <w:t>Approval by OERC for FY 2</w:t>
            </w:r>
            <w:r w:rsidR="003A3206">
              <w:rPr>
                <w:rFonts w:asciiTheme="minorHAnsi" w:hAnsiTheme="minorHAnsi" w:cs="Arial"/>
                <w:b/>
                <w:bCs/>
                <w:color w:val="000000"/>
                <w:sz w:val="22"/>
                <w:szCs w:val="22"/>
              </w:rPr>
              <w:t>02</w:t>
            </w:r>
            <w:r w:rsidRPr="00654309">
              <w:rPr>
                <w:rFonts w:asciiTheme="minorHAnsi" w:hAnsiTheme="minorHAnsi" w:cs="Arial"/>
                <w:b/>
                <w:bCs/>
                <w:color w:val="000000"/>
                <w:sz w:val="22"/>
                <w:szCs w:val="22"/>
              </w:rPr>
              <w:t>3-24</w:t>
            </w:r>
          </w:p>
        </w:tc>
        <w:tc>
          <w:tcPr>
            <w:tcW w:w="1395" w:type="dxa"/>
            <w:tcBorders>
              <w:top w:val="single" w:sz="4" w:space="0" w:color="auto"/>
              <w:left w:val="nil"/>
              <w:bottom w:val="single" w:sz="4" w:space="0" w:color="auto"/>
              <w:right w:val="single" w:sz="4" w:space="0" w:color="auto"/>
            </w:tcBorders>
            <w:shd w:val="clear" w:color="000000" w:fill="BDD7EE"/>
            <w:vAlign w:val="center"/>
            <w:hideMark/>
          </w:tcPr>
          <w:p w14:paraId="1B5806BF" w14:textId="0F471DB2" w:rsidR="00813324" w:rsidRPr="00654309" w:rsidRDefault="00813324" w:rsidP="00813324">
            <w:pPr>
              <w:jc w:val="center"/>
              <w:rPr>
                <w:rFonts w:asciiTheme="minorHAnsi" w:hAnsiTheme="minorHAnsi" w:cs="Arial"/>
                <w:b/>
                <w:bCs/>
                <w:color w:val="000000"/>
                <w:sz w:val="22"/>
                <w:szCs w:val="22"/>
              </w:rPr>
            </w:pPr>
            <w:proofErr w:type="gramStart"/>
            <w:r w:rsidRPr="00654309">
              <w:rPr>
                <w:rFonts w:asciiTheme="minorHAnsi" w:hAnsiTheme="minorHAnsi" w:cs="Arial"/>
                <w:b/>
                <w:bCs/>
                <w:color w:val="000000"/>
                <w:sz w:val="22"/>
                <w:szCs w:val="22"/>
              </w:rPr>
              <w:t>Actual  (</w:t>
            </w:r>
            <w:proofErr w:type="gramEnd"/>
            <w:r w:rsidRPr="00654309">
              <w:rPr>
                <w:rFonts w:asciiTheme="minorHAnsi" w:hAnsiTheme="minorHAnsi" w:cs="Arial"/>
                <w:b/>
                <w:bCs/>
                <w:color w:val="000000"/>
                <w:sz w:val="22"/>
                <w:szCs w:val="22"/>
              </w:rPr>
              <w:t>Audited Accounts )</w:t>
            </w:r>
          </w:p>
        </w:tc>
        <w:tc>
          <w:tcPr>
            <w:tcW w:w="1638" w:type="dxa"/>
            <w:tcBorders>
              <w:top w:val="single" w:sz="4" w:space="0" w:color="auto"/>
              <w:left w:val="nil"/>
              <w:bottom w:val="single" w:sz="4" w:space="0" w:color="auto"/>
              <w:right w:val="single" w:sz="4" w:space="0" w:color="auto"/>
            </w:tcBorders>
            <w:shd w:val="clear" w:color="000000" w:fill="BDD7EE"/>
            <w:vAlign w:val="center"/>
            <w:hideMark/>
          </w:tcPr>
          <w:p w14:paraId="1B07A08F" w14:textId="730CD9AE" w:rsidR="00813324" w:rsidRPr="00654309" w:rsidRDefault="00813324" w:rsidP="00813324">
            <w:pPr>
              <w:jc w:val="center"/>
              <w:rPr>
                <w:rFonts w:asciiTheme="minorHAnsi" w:hAnsiTheme="minorHAnsi" w:cs="Arial"/>
                <w:b/>
                <w:bCs/>
                <w:color w:val="000000"/>
                <w:sz w:val="22"/>
                <w:szCs w:val="22"/>
              </w:rPr>
            </w:pPr>
            <w:r w:rsidRPr="00654309">
              <w:rPr>
                <w:rFonts w:asciiTheme="minorHAnsi" w:hAnsiTheme="minorHAnsi" w:cs="Arial"/>
                <w:b/>
                <w:bCs/>
                <w:color w:val="000000"/>
                <w:sz w:val="22"/>
                <w:szCs w:val="22"/>
              </w:rPr>
              <w:t>Reference from Audited Annual Accounts</w:t>
            </w:r>
          </w:p>
        </w:tc>
        <w:tc>
          <w:tcPr>
            <w:tcW w:w="0" w:type="auto"/>
            <w:tcBorders>
              <w:top w:val="single" w:sz="4" w:space="0" w:color="auto"/>
              <w:left w:val="nil"/>
              <w:bottom w:val="single" w:sz="4" w:space="0" w:color="auto"/>
              <w:right w:val="single" w:sz="4" w:space="0" w:color="auto"/>
            </w:tcBorders>
            <w:shd w:val="clear" w:color="000000" w:fill="BDD7EE"/>
            <w:vAlign w:val="center"/>
            <w:hideMark/>
          </w:tcPr>
          <w:p w14:paraId="0EA75941" w14:textId="7938EC9F" w:rsidR="00813324" w:rsidRPr="00654309" w:rsidRDefault="00813324" w:rsidP="00813324">
            <w:pPr>
              <w:jc w:val="center"/>
              <w:rPr>
                <w:rFonts w:asciiTheme="minorHAnsi" w:hAnsiTheme="minorHAnsi" w:cs="Arial"/>
                <w:b/>
                <w:bCs/>
                <w:color w:val="000000"/>
                <w:sz w:val="22"/>
                <w:szCs w:val="22"/>
              </w:rPr>
            </w:pPr>
            <w:r w:rsidRPr="00654309">
              <w:rPr>
                <w:rFonts w:asciiTheme="minorHAnsi" w:hAnsiTheme="minorHAnsi" w:cs="Arial"/>
                <w:b/>
                <w:bCs/>
                <w:color w:val="000000"/>
                <w:sz w:val="22"/>
                <w:szCs w:val="22"/>
              </w:rPr>
              <w:t>True up Considering Normative T&amp;D loss 16.25%</w:t>
            </w:r>
          </w:p>
        </w:tc>
      </w:tr>
      <w:tr w:rsidR="00813324" w:rsidRPr="00654309" w14:paraId="021865CA" w14:textId="77777777" w:rsidTr="003A3206">
        <w:trPr>
          <w:trHeight w:val="286"/>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3F3EEDB0" w14:textId="77777777" w:rsidR="00813324" w:rsidRPr="00654309" w:rsidRDefault="00813324" w:rsidP="00654309">
            <w:pPr>
              <w:rPr>
                <w:rFonts w:asciiTheme="minorHAnsi" w:hAnsiTheme="minorHAnsi" w:cs="Arial"/>
                <w:color w:val="000000"/>
                <w:sz w:val="22"/>
                <w:szCs w:val="22"/>
              </w:rPr>
            </w:pPr>
            <w:r w:rsidRPr="00654309">
              <w:rPr>
                <w:rFonts w:asciiTheme="minorHAnsi" w:hAnsiTheme="minorHAnsi" w:cs="Arial"/>
                <w:color w:val="000000"/>
                <w:sz w:val="22"/>
                <w:szCs w:val="22"/>
              </w:rPr>
              <w:t>INPUT(MU)</w:t>
            </w:r>
          </w:p>
        </w:tc>
        <w:tc>
          <w:tcPr>
            <w:tcW w:w="1412" w:type="dxa"/>
            <w:tcBorders>
              <w:top w:val="nil"/>
              <w:left w:val="nil"/>
              <w:bottom w:val="single" w:sz="4" w:space="0" w:color="auto"/>
              <w:right w:val="single" w:sz="4" w:space="0" w:color="auto"/>
            </w:tcBorders>
            <w:shd w:val="clear" w:color="auto" w:fill="auto"/>
            <w:noWrap/>
            <w:vAlign w:val="center"/>
            <w:hideMark/>
          </w:tcPr>
          <w:p w14:paraId="6C314B35" w14:textId="77777777" w:rsidR="00813324" w:rsidRPr="00654309" w:rsidRDefault="00813324" w:rsidP="00813324">
            <w:pPr>
              <w:jc w:val="center"/>
              <w:rPr>
                <w:rFonts w:asciiTheme="minorHAnsi" w:hAnsiTheme="minorHAnsi" w:cs="Arial"/>
                <w:color w:val="000000"/>
                <w:sz w:val="22"/>
                <w:szCs w:val="22"/>
              </w:rPr>
            </w:pPr>
            <w:r w:rsidRPr="00654309">
              <w:rPr>
                <w:rFonts w:asciiTheme="minorHAnsi" w:hAnsiTheme="minorHAnsi" w:cs="Arial"/>
                <w:color w:val="000000"/>
                <w:sz w:val="22"/>
                <w:szCs w:val="22"/>
              </w:rPr>
              <w:t>7508.00</w:t>
            </w:r>
          </w:p>
        </w:tc>
        <w:tc>
          <w:tcPr>
            <w:tcW w:w="1395" w:type="dxa"/>
            <w:tcBorders>
              <w:top w:val="nil"/>
              <w:left w:val="nil"/>
              <w:bottom w:val="single" w:sz="4" w:space="0" w:color="auto"/>
              <w:right w:val="single" w:sz="4" w:space="0" w:color="auto"/>
            </w:tcBorders>
            <w:shd w:val="clear" w:color="auto" w:fill="auto"/>
            <w:noWrap/>
            <w:vAlign w:val="center"/>
            <w:hideMark/>
          </w:tcPr>
          <w:p w14:paraId="3A1F1B07" w14:textId="77777777" w:rsidR="00813324" w:rsidRPr="00654309" w:rsidRDefault="00813324" w:rsidP="00813324">
            <w:pPr>
              <w:jc w:val="center"/>
              <w:rPr>
                <w:rFonts w:asciiTheme="minorHAnsi" w:hAnsiTheme="minorHAnsi" w:cs="Arial"/>
                <w:color w:val="000000"/>
                <w:sz w:val="22"/>
                <w:szCs w:val="22"/>
              </w:rPr>
            </w:pPr>
            <w:r w:rsidRPr="00654309">
              <w:rPr>
                <w:rFonts w:asciiTheme="minorHAnsi" w:hAnsiTheme="minorHAnsi" w:cs="Arial"/>
                <w:color w:val="000000"/>
                <w:sz w:val="22"/>
                <w:szCs w:val="22"/>
              </w:rPr>
              <w:t>7047.13</w:t>
            </w:r>
          </w:p>
        </w:tc>
        <w:tc>
          <w:tcPr>
            <w:tcW w:w="1638" w:type="dxa"/>
            <w:tcBorders>
              <w:top w:val="nil"/>
              <w:left w:val="nil"/>
              <w:bottom w:val="single" w:sz="4" w:space="0" w:color="auto"/>
              <w:right w:val="single" w:sz="4" w:space="0" w:color="auto"/>
            </w:tcBorders>
            <w:shd w:val="clear" w:color="auto" w:fill="auto"/>
            <w:noWrap/>
            <w:vAlign w:val="center"/>
            <w:hideMark/>
          </w:tcPr>
          <w:p w14:paraId="565CAF3D" w14:textId="17DA76DE" w:rsidR="00813324" w:rsidRPr="00654309" w:rsidRDefault="00813324" w:rsidP="00813324">
            <w:pPr>
              <w:jc w:val="center"/>
              <w:rPr>
                <w:rFonts w:asciiTheme="minorHAnsi" w:hAnsiTheme="minorHAnsi" w:cs="Arial"/>
                <w:color w:val="000000"/>
                <w:sz w:val="22"/>
                <w:szCs w:val="22"/>
              </w:rPr>
            </w:pPr>
          </w:p>
        </w:tc>
        <w:tc>
          <w:tcPr>
            <w:tcW w:w="0" w:type="auto"/>
            <w:tcBorders>
              <w:top w:val="nil"/>
              <w:left w:val="nil"/>
              <w:bottom w:val="single" w:sz="4" w:space="0" w:color="auto"/>
              <w:right w:val="single" w:sz="4" w:space="0" w:color="auto"/>
            </w:tcBorders>
            <w:shd w:val="clear" w:color="auto" w:fill="auto"/>
            <w:noWrap/>
            <w:vAlign w:val="center"/>
            <w:hideMark/>
          </w:tcPr>
          <w:p w14:paraId="3CBB8CE1" w14:textId="77777777" w:rsidR="00813324" w:rsidRPr="00654309" w:rsidRDefault="00813324" w:rsidP="00813324">
            <w:pPr>
              <w:jc w:val="center"/>
              <w:rPr>
                <w:rFonts w:asciiTheme="minorHAnsi" w:hAnsiTheme="minorHAnsi" w:cs="Arial"/>
                <w:color w:val="000000"/>
                <w:sz w:val="22"/>
                <w:szCs w:val="22"/>
              </w:rPr>
            </w:pPr>
            <w:r w:rsidRPr="00654309">
              <w:rPr>
                <w:rFonts w:asciiTheme="minorHAnsi" w:hAnsiTheme="minorHAnsi" w:cs="Arial"/>
                <w:color w:val="000000"/>
                <w:sz w:val="22"/>
                <w:szCs w:val="22"/>
              </w:rPr>
              <w:t>7185.21</w:t>
            </w:r>
          </w:p>
        </w:tc>
      </w:tr>
      <w:tr w:rsidR="00813324" w:rsidRPr="00654309" w14:paraId="0B3819E3" w14:textId="77777777" w:rsidTr="003A3206">
        <w:trPr>
          <w:trHeight w:val="286"/>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7D05A5E2" w14:textId="77777777" w:rsidR="00813324" w:rsidRPr="00654309" w:rsidRDefault="00813324" w:rsidP="00654309">
            <w:pPr>
              <w:rPr>
                <w:rFonts w:asciiTheme="minorHAnsi" w:hAnsiTheme="minorHAnsi" w:cs="Arial"/>
                <w:color w:val="000000"/>
                <w:sz w:val="22"/>
                <w:szCs w:val="22"/>
              </w:rPr>
            </w:pPr>
            <w:r w:rsidRPr="00654309">
              <w:rPr>
                <w:rFonts w:asciiTheme="minorHAnsi" w:hAnsiTheme="minorHAnsi" w:cs="Arial"/>
                <w:color w:val="000000"/>
                <w:sz w:val="22"/>
                <w:szCs w:val="22"/>
              </w:rPr>
              <w:t>Cost of power purchase</w:t>
            </w:r>
          </w:p>
        </w:tc>
        <w:tc>
          <w:tcPr>
            <w:tcW w:w="1412" w:type="dxa"/>
            <w:tcBorders>
              <w:top w:val="nil"/>
              <w:left w:val="nil"/>
              <w:bottom w:val="single" w:sz="4" w:space="0" w:color="auto"/>
              <w:right w:val="single" w:sz="4" w:space="0" w:color="auto"/>
            </w:tcBorders>
            <w:shd w:val="clear" w:color="auto" w:fill="auto"/>
            <w:noWrap/>
            <w:vAlign w:val="center"/>
            <w:hideMark/>
          </w:tcPr>
          <w:p w14:paraId="5CB9D573" w14:textId="77777777" w:rsidR="00813324" w:rsidRPr="00654309" w:rsidRDefault="00813324" w:rsidP="00813324">
            <w:pPr>
              <w:jc w:val="center"/>
              <w:rPr>
                <w:rFonts w:asciiTheme="minorHAnsi" w:hAnsiTheme="minorHAnsi" w:cs="Arial"/>
                <w:color w:val="000000"/>
                <w:sz w:val="22"/>
                <w:szCs w:val="22"/>
              </w:rPr>
            </w:pPr>
            <w:r w:rsidRPr="00654309">
              <w:rPr>
                <w:rFonts w:asciiTheme="minorHAnsi" w:hAnsiTheme="minorHAnsi" w:cs="Arial"/>
                <w:color w:val="000000"/>
                <w:sz w:val="22"/>
                <w:szCs w:val="22"/>
              </w:rPr>
              <w:t>2515.18</w:t>
            </w:r>
          </w:p>
        </w:tc>
        <w:tc>
          <w:tcPr>
            <w:tcW w:w="1395" w:type="dxa"/>
            <w:tcBorders>
              <w:top w:val="nil"/>
              <w:left w:val="nil"/>
              <w:bottom w:val="single" w:sz="4" w:space="0" w:color="auto"/>
              <w:right w:val="single" w:sz="4" w:space="0" w:color="auto"/>
            </w:tcBorders>
            <w:shd w:val="clear" w:color="auto" w:fill="auto"/>
            <w:noWrap/>
            <w:vAlign w:val="center"/>
            <w:hideMark/>
          </w:tcPr>
          <w:p w14:paraId="603E8168" w14:textId="77777777" w:rsidR="00813324" w:rsidRPr="00654309" w:rsidRDefault="00813324" w:rsidP="00813324">
            <w:pPr>
              <w:jc w:val="center"/>
              <w:rPr>
                <w:rFonts w:asciiTheme="minorHAnsi" w:hAnsiTheme="minorHAnsi" w:cs="Arial"/>
                <w:color w:val="000000"/>
                <w:sz w:val="22"/>
                <w:szCs w:val="22"/>
              </w:rPr>
            </w:pPr>
            <w:r w:rsidRPr="00654309">
              <w:rPr>
                <w:rFonts w:asciiTheme="minorHAnsi" w:hAnsiTheme="minorHAnsi" w:cs="Arial"/>
                <w:color w:val="000000"/>
                <w:sz w:val="22"/>
                <w:szCs w:val="22"/>
              </w:rPr>
              <w:t>2360.75</w:t>
            </w:r>
          </w:p>
        </w:tc>
        <w:tc>
          <w:tcPr>
            <w:tcW w:w="1638" w:type="dxa"/>
            <w:tcBorders>
              <w:top w:val="nil"/>
              <w:left w:val="nil"/>
              <w:bottom w:val="single" w:sz="4" w:space="0" w:color="auto"/>
              <w:right w:val="single" w:sz="4" w:space="0" w:color="auto"/>
            </w:tcBorders>
            <w:shd w:val="clear" w:color="auto" w:fill="auto"/>
            <w:noWrap/>
            <w:vAlign w:val="center"/>
            <w:hideMark/>
          </w:tcPr>
          <w:p w14:paraId="58F74A72" w14:textId="330ED3BA" w:rsidR="00813324" w:rsidRPr="00654309" w:rsidRDefault="00813324" w:rsidP="00813324">
            <w:pPr>
              <w:jc w:val="center"/>
              <w:rPr>
                <w:rFonts w:asciiTheme="minorHAnsi" w:hAnsiTheme="minorHAnsi" w:cs="Arial"/>
                <w:color w:val="000000"/>
                <w:sz w:val="22"/>
                <w:szCs w:val="22"/>
              </w:rPr>
            </w:pPr>
          </w:p>
        </w:tc>
        <w:tc>
          <w:tcPr>
            <w:tcW w:w="0" w:type="auto"/>
            <w:tcBorders>
              <w:top w:val="nil"/>
              <w:left w:val="nil"/>
              <w:bottom w:val="single" w:sz="4" w:space="0" w:color="auto"/>
              <w:right w:val="single" w:sz="4" w:space="0" w:color="auto"/>
            </w:tcBorders>
            <w:shd w:val="clear" w:color="auto" w:fill="auto"/>
            <w:noWrap/>
            <w:vAlign w:val="center"/>
            <w:hideMark/>
          </w:tcPr>
          <w:p w14:paraId="21EFE530" w14:textId="77777777" w:rsidR="00813324" w:rsidRPr="00654309" w:rsidRDefault="00813324" w:rsidP="00813324">
            <w:pPr>
              <w:jc w:val="center"/>
              <w:rPr>
                <w:rFonts w:asciiTheme="minorHAnsi" w:hAnsiTheme="minorHAnsi" w:cs="Arial"/>
                <w:color w:val="000000"/>
                <w:sz w:val="22"/>
                <w:szCs w:val="22"/>
              </w:rPr>
            </w:pPr>
            <w:r w:rsidRPr="00654309">
              <w:rPr>
                <w:rFonts w:asciiTheme="minorHAnsi" w:hAnsiTheme="minorHAnsi" w:cs="Arial"/>
                <w:color w:val="000000"/>
                <w:sz w:val="22"/>
                <w:szCs w:val="22"/>
              </w:rPr>
              <w:t>2407.01</w:t>
            </w:r>
          </w:p>
        </w:tc>
      </w:tr>
      <w:tr w:rsidR="00813324" w:rsidRPr="00654309" w14:paraId="6A6A10B7" w14:textId="77777777" w:rsidTr="003A3206">
        <w:trPr>
          <w:trHeight w:val="286"/>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0245DCD4" w14:textId="77777777" w:rsidR="00813324" w:rsidRPr="00654309" w:rsidRDefault="00813324" w:rsidP="00654309">
            <w:pPr>
              <w:rPr>
                <w:rFonts w:asciiTheme="minorHAnsi" w:hAnsiTheme="minorHAnsi" w:cs="Arial"/>
                <w:color w:val="000000"/>
                <w:sz w:val="22"/>
                <w:szCs w:val="22"/>
              </w:rPr>
            </w:pPr>
            <w:r w:rsidRPr="00654309">
              <w:rPr>
                <w:rFonts w:asciiTheme="minorHAnsi" w:hAnsiTheme="minorHAnsi" w:cs="Arial"/>
                <w:color w:val="000000"/>
                <w:sz w:val="22"/>
                <w:szCs w:val="22"/>
              </w:rPr>
              <w:t>Transmission Cost</w:t>
            </w:r>
          </w:p>
        </w:tc>
        <w:tc>
          <w:tcPr>
            <w:tcW w:w="1412" w:type="dxa"/>
            <w:tcBorders>
              <w:top w:val="nil"/>
              <w:left w:val="nil"/>
              <w:bottom w:val="single" w:sz="4" w:space="0" w:color="auto"/>
              <w:right w:val="single" w:sz="4" w:space="0" w:color="auto"/>
            </w:tcBorders>
            <w:shd w:val="clear" w:color="auto" w:fill="auto"/>
            <w:noWrap/>
            <w:vAlign w:val="center"/>
            <w:hideMark/>
          </w:tcPr>
          <w:p w14:paraId="4D356FCE" w14:textId="77777777" w:rsidR="00813324" w:rsidRPr="00654309" w:rsidRDefault="00813324" w:rsidP="00813324">
            <w:pPr>
              <w:jc w:val="center"/>
              <w:rPr>
                <w:rFonts w:asciiTheme="minorHAnsi" w:hAnsiTheme="minorHAnsi" w:cs="Arial"/>
                <w:color w:val="000000"/>
                <w:sz w:val="22"/>
                <w:szCs w:val="22"/>
              </w:rPr>
            </w:pPr>
            <w:r w:rsidRPr="00654309">
              <w:rPr>
                <w:rFonts w:asciiTheme="minorHAnsi" w:hAnsiTheme="minorHAnsi" w:cs="Arial"/>
                <w:color w:val="000000"/>
                <w:sz w:val="22"/>
                <w:szCs w:val="22"/>
              </w:rPr>
              <w:t>180.19</w:t>
            </w:r>
          </w:p>
        </w:tc>
        <w:tc>
          <w:tcPr>
            <w:tcW w:w="1395" w:type="dxa"/>
            <w:tcBorders>
              <w:top w:val="nil"/>
              <w:left w:val="nil"/>
              <w:bottom w:val="single" w:sz="4" w:space="0" w:color="auto"/>
              <w:right w:val="single" w:sz="4" w:space="0" w:color="auto"/>
            </w:tcBorders>
            <w:shd w:val="clear" w:color="auto" w:fill="auto"/>
            <w:noWrap/>
            <w:vAlign w:val="center"/>
            <w:hideMark/>
          </w:tcPr>
          <w:p w14:paraId="160F13EC" w14:textId="77777777" w:rsidR="00813324" w:rsidRPr="00654309" w:rsidRDefault="00813324" w:rsidP="00813324">
            <w:pPr>
              <w:jc w:val="center"/>
              <w:rPr>
                <w:rFonts w:asciiTheme="minorHAnsi" w:hAnsiTheme="minorHAnsi" w:cs="Arial"/>
                <w:color w:val="000000"/>
                <w:sz w:val="22"/>
                <w:szCs w:val="22"/>
              </w:rPr>
            </w:pPr>
            <w:r w:rsidRPr="00654309">
              <w:rPr>
                <w:rFonts w:asciiTheme="minorHAnsi" w:hAnsiTheme="minorHAnsi" w:cs="Arial"/>
                <w:color w:val="000000"/>
                <w:sz w:val="22"/>
                <w:szCs w:val="22"/>
              </w:rPr>
              <w:t>168.76</w:t>
            </w:r>
          </w:p>
        </w:tc>
        <w:tc>
          <w:tcPr>
            <w:tcW w:w="1638" w:type="dxa"/>
            <w:tcBorders>
              <w:top w:val="nil"/>
              <w:left w:val="nil"/>
              <w:bottom w:val="single" w:sz="4" w:space="0" w:color="auto"/>
              <w:right w:val="single" w:sz="4" w:space="0" w:color="auto"/>
            </w:tcBorders>
            <w:shd w:val="clear" w:color="auto" w:fill="auto"/>
            <w:noWrap/>
            <w:vAlign w:val="center"/>
            <w:hideMark/>
          </w:tcPr>
          <w:p w14:paraId="5B7C064C" w14:textId="5ADD5F6F" w:rsidR="00813324" w:rsidRPr="00654309" w:rsidRDefault="00813324" w:rsidP="00813324">
            <w:pPr>
              <w:jc w:val="center"/>
              <w:rPr>
                <w:rFonts w:asciiTheme="minorHAnsi" w:hAnsiTheme="minorHAnsi" w:cs="Arial"/>
                <w:color w:val="000000"/>
                <w:sz w:val="22"/>
                <w:szCs w:val="22"/>
              </w:rPr>
            </w:pPr>
          </w:p>
        </w:tc>
        <w:tc>
          <w:tcPr>
            <w:tcW w:w="0" w:type="auto"/>
            <w:tcBorders>
              <w:top w:val="nil"/>
              <w:left w:val="nil"/>
              <w:bottom w:val="single" w:sz="4" w:space="0" w:color="auto"/>
              <w:right w:val="single" w:sz="4" w:space="0" w:color="auto"/>
            </w:tcBorders>
            <w:shd w:val="clear" w:color="auto" w:fill="auto"/>
            <w:noWrap/>
            <w:vAlign w:val="center"/>
            <w:hideMark/>
          </w:tcPr>
          <w:p w14:paraId="400A68FA" w14:textId="77777777" w:rsidR="00813324" w:rsidRPr="00654309" w:rsidRDefault="00813324" w:rsidP="00813324">
            <w:pPr>
              <w:jc w:val="center"/>
              <w:rPr>
                <w:rFonts w:asciiTheme="minorHAnsi" w:hAnsiTheme="minorHAnsi" w:cs="Arial"/>
                <w:color w:val="000000"/>
                <w:sz w:val="22"/>
                <w:szCs w:val="22"/>
              </w:rPr>
            </w:pPr>
            <w:r w:rsidRPr="00654309">
              <w:rPr>
                <w:rFonts w:asciiTheme="minorHAnsi" w:hAnsiTheme="minorHAnsi" w:cs="Arial"/>
                <w:color w:val="000000"/>
                <w:sz w:val="22"/>
                <w:szCs w:val="22"/>
              </w:rPr>
              <w:t>168.76</w:t>
            </w:r>
          </w:p>
        </w:tc>
      </w:tr>
      <w:tr w:rsidR="00813324" w:rsidRPr="00654309" w14:paraId="07DF2CD0" w14:textId="77777777" w:rsidTr="003A3206">
        <w:trPr>
          <w:trHeight w:val="286"/>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02102AC7" w14:textId="77777777" w:rsidR="00813324" w:rsidRPr="00654309" w:rsidRDefault="00813324" w:rsidP="00654309">
            <w:pPr>
              <w:rPr>
                <w:rFonts w:asciiTheme="minorHAnsi" w:hAnsiTheme="minorHAnsi" w:cs="Arial"/>
                <w:color w:val="000000"/>
                <w:sz w:val="22"/>
                <w:szCs w:val="22"/>
              </w:rPr>
            </w:pPr>
            <w:r w:rsidRPr="00654309">
              <w:rPr>
                <w:rFonts w:asciiTheme="minorHAnsi" w:hAnsiTheme="minorHAnsi" w:cs="Arial"/>
                <w:color w:val="000000"/>
                <w:sz w:val="22"/>
                <w:szCs w:val="22"/>
              </w:rPr>
              <w:t>SLDC Cost</w:t>
            </w:r>
          </w:p>
        </w:tc>
        <w:tc>
          <w:tcPr>
            <w:tcW w:w="1412" w:type="dxa"/>
            <w:tcBorders>
              <w:top w:val="nil"/>
              <w:left w:val="nil"/>
              <w:bottom w:val="single" w:sz="4" w:space="0" w:color="auto"/>
              <w:right w:val="single" w:sz="4" w:space="0" w:color="auto"/>
            </w:tcBorders>
            <w:shd w:val="clear" w:color="auto" w:fill="auto"/>
            <w:noWrap/>
            <w:vAlign w:val="center"/>
            <w:hideMark/>
          </w:tcPr>
          <w:p w14:paraId="4145D628" w14:textId="77777777" w:rsidR="00813324" w:rsidRPr="00654309" w:rsidRDefault="00813324" w:rsidP="00813324">
            <w:pPr>
              <w:jc w:val="center"/>
              <w:rPr>
                <w:rFonts w:asciiTheme="minorHAnsi" w:hAnsiTheme="minorHAnsi" w:cs="Arial"/>
                <w:color w:val="000000"/>
                <w:sz w:val="22"/>
                <w:szCs w:val="22"/>
              </w:rPr>
            </w:pPr>
            <w:r w:rsidRPr="00654309">
              <w:rPr>
                <w:rFonts w:asciiTheme="minorHAnsi" w:hAnsiTheme="minorHAnsi" w:cs="Arial"/>
                <w:color w:val="000000"/>
                <w:sz w:val="22"/>
                <w:szCs w:val="22"/>
              </w:rPr>
              <w:t>1.16</w:t>
            </w:r>
          </w:p>
        </w:tc>
        <w:tc>
          <w:tcPr>
            <w:tcW w:w="1395" w:type="dxa"/>
            <w:tcBorders>
              <w:top w:val="nil"/>
              <w:left w:val="nil"/>
              <w:bottom w:val="single" w:sz="4" w:space="0" w:color="auto"/>
              <w:right w:val="single" w:sz="4" w:space="0" w:color="auto"/>
            </w:tcBorders>
            <w:shd w:val="clear" w:color="auto" w:fill="auto"/>
            <w:noWrap/>
            <w:vAlign w:val="center"/>
            <w:hideMark/>
          </w:tcPr>
          <w:p w14:paraId="2F358969" w14:textId="77777777" w:rsidR="00813324" w:rsidRPr="00654309" w:rsidRDefault="00813324" w:rsidP="00813324">
            <w:pPr>
              <w:jc w:val="center"/>
              <w:rPr>
                <w:rFonts w:asciiTheme="minorHAnsi" w:hAnsiTheme="minorHAnsi" w:cs="Arial"/>
                <w:color w:val="000000"/>
                <w:sz w:val="22"/>
                <w:szCs w:val="22"/>
              </w:rPr>
            </w:pPr>
            <w:r w:rsidRPr="00654309">
              <w:rPr>
                <w:rFonts w:asciiTheme="minorHAnsi" w:hAnsiTheme="minorHAnsi" w:cs="Arial"/>
                <w:color w:val="000000"/>
                <w:sz w:val="22"/>
                <w:szCs w:val="22"/>
              </w:rPr>
              <w:t>1.16</w:t>
            </w:r>
          </w:p>
        </w:tc>
        <w:tc>
          <w:tcPr>
            <w:tcW w:w="1638" w:type="dxa"/>
            <w:tcBorders>
              <w:top w:val="nil"/>
              <w:left w:val="nil"/>
              <w:bottom w:val="single" w:sz="4" w:space="0" w:color="auto"/>
              <w:right w:val="single" w:sz="4" w:space="0" w:color="auto"/>
            </w:tcBorders>
            <w:shd w:val="clear" w:color="auto" w:fill="auto"/>
            <w:noWrap/>
            <w:vAlign w:val="center"/>
            <w:hideMark/>
          </w:tcPr>
          <w:p w14:paraId="33E55990" w14:textId="79A30F7F" w:rsidR="00813324" w:rsidRPr="00654309" w:rsidRDefault="00813324" w:rsidP="00813324">
            <w:pPr>
              <w:jc w:val="center"/>
              <w:rPr>
                <w:rFonts w:asciiTheme="minorHAnsi" w:hAnsiTheme="minorHAnsi" w:cs="Arial"/>
                <w:color w:val="000000"/>
                <w:sz w:val="22"/>
                <w:szCs w:val="22"/>
              </w:rPr>
            </w:pPr>
          </w:p>
        </w:tc>
        <w:tc>
          <w:tcPr>
            <w:tcW w:w="0" w:type="auto"/>
            <w:tcBorders>
              <w:top w:val="nil"/>
              <w:left w:val="nil"/>
              <w:bottom w:val="single" w:sz="4" w:space="0" w:color="auto"/>
              <w:right w:val="single" w:sz="4" w:space="0" w:color="auto"/>
            </w:tcBorders>
            <w:shd w:val="clear" w:color="auto" w:fill="auto"/>
            <w:noWrap/>
            <w:vAlign w:val="center"/>
            <w:hideMark/>
          </w:tcPr>
          <w:p w14:paraId="00A9A9AE" w14:textId="77777777" w:rsidR="00813324" w:rsidRPr="00654309" w:rsidRDefault="00813324" w:rsidP="00813324">
            <w:pPr>
              <w:jc w:val="center"/>
              <w:rPr>
                <w:rFonts w:asciiTheme="minorHAnsi" w:hAnsiTheme="minorHAnsi" w:cs="Arial"/>
                <w:color w:val="000000"/>
                <w:sz w:val="22"/>
                <w:szCs w:val="22"/>
              </w:rPr>
            </w:pPr>
            <w:r w:rsidRPr="00654309">
              <w:rPr>
                <w:rFonts w:asciiTheme="minorHAnsi" w:hAnsiTheme="minorHAnsi" w:cs="Arial"/>
                <w:color w:val="000000"/>
                <w:sz w:val="22"/>
                <w:szCs w:val="22"/>
              </w:rPr>
              <w:t>1.16</w:t>
            </w:r>
          </w:p>
        </w:tc>
      </w:tr>
      <w:tr w:rsidR="00813324" w:rsidRPr="00654309" w14:paraId="1D58E6D7" w14:textId="77777777" w:rsidTr="003A3206">
        <w:trPr>
          <w:trHeight w:val="286"/>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17C6EEAC" w14:textId="77777777" w:rsidR="00813324" w:rsidRPr="00654309" w:rsidRDefault="00813324" w:rsidP="00654309">
            <w:pPr>
              <w:rPr>
                <w:rFonts w:asciiTheme="minorHAnsi" w:hAnsiTheme="minorHAnsi" w:cs="Arial"/>
                <w:color w:val="000000"/>
                <w:sz w:val="22"/>
                <w:szCs w:val="22"/>
              </w:rPr>
            </w:pPr>
            <w:proofErr w:type="gramStart"/>
            <w:r w:rsidRPr="00654309">
              <w:rPr>
                <w:rFonts w:asciiTheme="minorHAnsi" w:hAnsiTheme="minorHAnsi" w:cs="Arial"/>
                <w:color w:val="000000"/>
                <w:sz w:val="22"/>
                <w:szCs w:val="22"/>
              </w:rPr>
              <w:t>Less :</w:t>
            </w:r>
            <w:proofErr w:type="gramEnd"/>
            <w:r w:rsidRPr="00654309">
              <w:rPr>
                <w:rFonts w:asciiTheme="minorHAnsi" w:hAnsiTheme="minorHAnsi" w:cs="Arial"/>
                <w:color w:val="000000"/>
                <w:sz w:val="22"/>
                <w:szCs w:val="22"/>
              </w:rPr>
              <w:t xml:space="preserve"> Rebate</w:t>
            </w:r>
          </w:p>
        </w:tc>
        <w:tc>
          <w:tcPr>
            <w:tcW w:w="1412" w:type="dxa"/>
            <w:tcBorders>
              <w:top w:val="nil"/>
              <w:left w:val="nil"/>
              <w:bottom w:val="single" w:sz="4" w:space="0" w:color="auto"/>
              <w:right w:val="single" w:sz="4" w:space="0" w:color="auto"/>
            </w:tcBorders>
            <w:shd w:val="clear" w:color="auto" w:fill="auto"/>
            <w:noWrap/>
            <w:vAlign w:val="center"/>
            <w:hideMark/>
          </w:tcPr>
          <w:p w14:paraId="45BF09EC" w14:textId="7F9663BC" w:rsidR="00813324" w:rsidRPr="00654309" w:rsidRDefault="00813324" w:rsidP="00813324">
            <w:pPr>
              <w:jc w:val="center"/>
              <w:rPr>
                <w:rFonts w:asciiTheme="minorHAnsi" w:hAnsiTheme="minorHAnsi" w:cs="Arial"/>
                <w:color w:val="000000"/>
                <w:sz w:val="22"/>
                <w:szCs w:val="22"/>
              </w:rPr>
            </w:pPr>
          </w:p>
        </w:tc>
        <w:tc>
          <w:tcPr>
            <w:tcW w:w="1395" w:type="dxa"/>
            <w:tcBorders>
              <w:top w:val="nil"/>
              <w:left w:val="nil"/>
              <w:bottom w:val="single" w:sz="4" w:space="0" w:color="auto"/>
              <w:right w:val="single" w:sz="4" w:space="0" w:color="auto"/>
            </w:tcBorders>
            <w:shd w:val="clear" w:color="auto" w:fill="auto"/>
            <w:noWrap/>
            <w:vAlign w:val="center"/>
            <w:hideMark/>
          </w:tcPr>
          <w:p w14:paraId="4CEC853A" w14:textId="477D1304" w:rsidR="00813324" w:rsidRPr="00654309" w:rsidRDefault="00813324" w:rsidP="00813324">
            <w:pPr>
              <w:jc w:val="center"/>
              <w:rPr>
                <w:rFonts w:asciiTheme="minorHAnsi" w:hAnsiTheme="minorHAnsi" w:cs="Arial"/>
                <w:color w:val="000000"/>
                <w:sz w:val="22"/>
                <w:szCs w:val="22"/>
              </w:rPr>
            </w:pPr>
            <w:r w:rsidRPr="00654309">
              <w:rPr>
                <w:rFonts w:asciiTheme="minorHAnsi" w:hAnsiTheme="minorHAnsi" w:cs="Arial"/>
                <w:color w:val="000000"/>
                <w:sz w:val="22"/>
                <w:szCs w:val="22"/>
              </w:rPr>
              <w:t>(26.90)</w:t>
            </w:r>
          </w:p>
        </w:tc>
        <w:tc>
          <w:tcPr>
            <w:tcW w:w="1638" w:type="dxa"/>
            <w:tcBorders>
              <w:top w:val="nil"/>
              <w:left w:val="nil"/>
              <w:bottom w:val="single" w:sz="4" w:space="0" w:color="auto"/>
              <w:right w:val="single" w:sz="4" w:space="0" w:color="auto"/>
            </w:tcBorders>
            <w:shd w:val="clear" w:color="auto" w:fill="auto"/>
            <w:noWrap/>
            <w:vAlign w:val="center"/>
            <w:hideMark/>
          </w:tcPr>
          <w:p w14:paraId="28BFE62D" w14:textId="244F53B3" w:rsidR="00813324" w:rsidRPr="00654309" w:rsidRDefault="00813324" w:rsidP="00813324">
            <w:pPr>
              <w:jc w:val="center"/>
              <w:rPr>
                <w:rFonts w:asciiTheme="minorHAnsi" w:hAnsiTheme="minorHAnsi" w:cs="Arial"/>
                <w:color w:val="000000"/>
                <w:sz w:val="22"/>
                <w:szCs w:val="22"/>
              </w:rPr>
            </w:pPr>
          </w:p>
        </w:tc>
        <w:tc>
          <w:tcPr>
            <w:tcW w:w="0" w:type="auto"/>
            <w:tcBorders>
              <w:top w:val="nil"/>
              <w:left w:val="nil"/>
              <w:bottom w:val="single" w:sz="4" w:space="0" w:color="auto"/>
              <w:right w:val="single" w:sz="4" w:space="0" w:color="auto"/>
            </w:tcBorders>
            <w:shd w:val="clear" w:color="auto" w:fill="auto"/>
            <w:noWrap/>
            <w:vAlign w:val="center"/>
            <w:hideMark/>
          </w:tcPr>
          <w:p w14:paraId="64EE1999" w14:textId="124ACC4D" w:rsidR="00813324" w:rsidRPr="00654309" w:rsidRDefault="00813324" w:rsidP="00813324">
            <w:pPr>
              <w:jc w:val="center"/>
              <w:rPr>
                <w:rFonts w:asciiTheme="minorHAnsi" w:hAnsiTheme="minorHAnsi" w:cs="Arial"/>
                <w:color w:val="000000"/>
                <w:sz w:val="22"/>
                <w:szCs w:val="22"/>
              </w:rPr>
            </w:pPr>
            <w:r w:rsidRPr="00654309">
              <w:rPr>
                <w:rFonts w:asciiTheme="minorHAnsi" w:hAnsiTheme="minorHAnsi" w:cs="Arial"/>
                <w:color w:val="000000"/>
                <w:sz w:val="22"/>
                <w:szCs w:val="22"/>
              </w:rPr>
              <w:t>(26.90)</w:t>
            </w:r>
          </w:p>
        </w:tc>
      </w:tr>
      <w:tr w:rsidR="00813324" w:rsidRPr="00654309" w14:paraId="133F0E28" w14:textId="77777777" w:rsidTr="003A3206">
        <w:trPr>
          <w:trHeight w:val="573"/>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69C7AED" w14:textId="77777777" w:rsidR="00813324" w:rsidRPr="00654309" w:rsidRDefault="00813324" w:rsidP="00654309">
            <w:pPr>
              <w:rPr>
                <w:rFonts w:asciiTheme="minorHAnsi" w:hAnsiTheme="minorHAnsi" w:cs="Arial"/>
                <w:color w:val="000000"/>
                <w:sz w:val="22"/>
                <w:szCs w:val="22"/>
              </w:rPr>
            </w:pPr>
            <w:r w:rsidRPr="00654309">
              <w:rPr>
                <w:rFonts w:asciiTheme="minorHAnsi" w:hAnsiTheme="minorHAnsi" w:cs="Arial"/>
                <w:color w:val="000000"/>
                <w:sz w:val="22"/>
                <w:szCs w:val="22"/>
              </w:rPr>
              <w:t>Net Input -Inter-DISCOM exchange from TPCODL(MU)</w:t>
            </w:r>
          </w:p>
        </w:tc>
        <w:tc>
          <w:tcPr>
            <w:tcW w:w="1412" w:type="dxa"/>
            <w:tcBorders>
              <w:top w:val="nil"/>
              <w:left w:val="nil"/>
              <w:bottom w:val="single" w:sz="4" w:space="0" w:color="auto"/>
              <w:right w:val="single" w:sz="4" w:space="0" w:color="auto"/>
            </w:tcBorders>
            <w:shd w:val="clear" w:color="auto" w:fill="auto"/>
            <w:noWrap/>
            <w:vAlign w:val="center"/>
            <w:hideMark/>
          </w:tcPr>
          <w:p w14:paraId="6C24D878" w14:textId="5A8C6A62" w:rsidR="00813324" w:rsidRPr="00654309" w:rsidRDefault="00813324" w:rsidP="00813324">
            <w:pPr>
              <w:jc w:val="center"/>
              <w:rPr>
                <w:rFonts w:asciiTheme="minorHAnsi" w:hAnsiTheme="minorHAnsi" w:cs="Arial"/>
                <w:color w:val="000000"/>
                <w:sz w:val="22"/>
                <w:szCs w:val="22"/>
              </w:rPr>
            </w:pPr>
          </w:p>
        </w:tc>
        <w:tc>
          <w:tcPr>
            <w:tcW w:w="1395" w:type="dxa"/>
            <w:tcBorders>
              <w:top w:val="nil"/>
              <w:left w:val="nil"/>
              <w:bottom w:val="single" w:sz="4" w:space="0" w:color="auto"/>
              <w:right w:val="single" w:sz="4" w:space="0" w:color="auto"/>
            </w:tcBorders>
            <w:shd w:val="clear" w:color="auto" w:fill="auto"/>
            <w:noWrap/>
            <w:vAlign w:val="center"/>
            <w:hideMark/>
          </w:tcPr>
          <w:p w14:paraId="5C9175E5" w14:textId="62072A74" w:rsidR="00813324" w:rsidRPr="00654309" w:rsidRDefault="00813324" w:rsidP="00813324">
            <w:pPr>
              <w:jc w:val="center"/>
              <w:rPr>
                <w:rFonts w:asciiTheme="minorHAnsi" w:hAnsiTheme="minorHAnsi" w:cs="Arial"/>
                <w:color w:val="000000"/>
                <w:sz w:val="22"/>
                <w:szCs w:val="22"/>
              </w:rPr>
            </w:pPr>
            <w:r w:rsidRPr="00654309">
              <w:rPr>
                <w:rFonts w:asciiTheme="minorHAnsi" w:hAnsiTheme="minorHAnsi" w:cs="Arial"/>
                <w:color w:val="000000"/>
                <w:sz w:val="22"/>
                <w:szCs w:val="22"/>
              </w:rPr>
              <w:t>2.89</w:t>
            </w:r>
          </w:p>
        </w:tc>
        <w:tc>
          <w:tcPr>
            <w:tcW w:w="1638" w:type="dxa"/>
            <w:tcBorders>
              <w:top w:val="nil"/>
              <w:left w:val="nil"/>
              <w:bottom w:val="single" w:sz="4" w:space="0" w:color="auto"/>
              <w:right w:val="single" w:sz="4" w:space="0" w:color="auto"/>
            </w:tcBorders>
            <w:shd w:val="clear" w:color="auto" w:fill="auto"/>
            <w:noWrap/>
            <w:vAlign w:val="center"/>
            <w:hideMark/>
          </w:tcPr>
          <w:p w14:paraId="5364A73C" w14:textId="47F4A0AC" w:rsidR="00813324" w:rsidRPr="00654309" w:rsidRDefault="00813324" w:rsidP="00813324">
            <w:pPr>
              <w:jc w:val="center"/>
              <w:rPr>
                <w:rFonts w:asciiTheme="minorHAnsi" w:hAnsiTheme="minorHAnsi" w:cs="Arial"/>
                <w:color w:val="000000"/>
                <w:sz w:val="22"/>
                <w:szCs w:val="22"/>
              </w:rPr>
            </w:pPr>
          </w:p>
        </w:tc>
        <w:tc>
          <w:tcPr>
            <w:tcW w:w="0" w:type="auto"/>
            <w:tcBorders>
              <w:top w:val="nil"/>
              <w:left w:val="nil"/>
              <w:bottom w:val="single" w:sz="4" w:space="0" w:color="auto"/>
              <w:right w:val="single" w:sz="4" w:space="0" w:color="auto"/>
            </w:tcBorders>
            <w:shd w:val="clear" w:color="auto" w:fill="auto"/>
            <w:noWrap/>
            <w:vAlign w:val="center"/>
            <w:hideMark/>
          </w:tcPr>
          <w:p w14:paraId="577088DB" w14:textId="2C6C4954" w:rsidR="00813324" w:rsidRPr="00654309" w:rsidRDefault="00813324" w:rsidP="00813324">
            <w:pPr>
              <w:jc w:val="center"/>
              <w:rPr>
                <w:rFonts w:asciiTheme="minorHAnsi" w:hAnsiTheme="minorHAnsi" w:cs="Arial"/>
                <w:color w:val="000000"/>
                <w:sz w:val="22"/>
                <w:szCs w:val="22"/>
              </w:rPr>
            </w:pPr>
            <w:r w:rsidRPr="00654309">
              <w:rPr>
                <w:rFonts w:asciiTheme="minorHAnsi" w:hAnsiTheme="minorHAnsi" w:cs="Arial"/>
                <w:color w:val="000000"/>
                <w:sz w:val="22"/>
                <w:szCs w:val="22"/>
              </w:rPr>
              <w:t>2.89</w:t>
            </w:r>
          </w:p>
        </w:tc>
      </w:tr>
      <w:tr w:rsidR="00813324" w:rsidRPr="00654309" w14:paraId="045C929A" w14:textId="77777777" w:rsidTr="003A3206">
        <w:trPr>
          <w:trHeight w:val="573"/>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50ECAC7" w14:textId="77777777" w:rsidR="00813324" w:rsidRPr="00654309" w:rsidRDefault="00813324" w:rsidP="00654309">
            <w:pPr>
              <w:rPr>
                <w:rFonts w:asciiTheme="minorHAnsi" w:hAnsiTheme="minorHAnsi" w:cs="Arial"/>
                <w:color w:val="000000"/>
                <w:sz w:val="22"/>
                <w:szCs w:val="22"/>
              </w:rPr>
            </w:pPr>
            <w:r w:rsidRPr="00654309">
              <w:rPr>
                <w:rFonts w:asciiTheme="minorHAnsi" w:hAnsiTheme="minorHAnsi" w:cs="Arial"/>
                <w:color w:val="000000"/>
                <w:sz w:val="22"/>
                <w:szCs w:val="22"/>
              </w:rPr>
              <w:t xml:space="preserve">Cost of power </w:t>
            </w:r>
            <w:proofErr w:type="gramStart"/>
            <w:r w:rsidRPr="00654309">
              <w:rPr>
                <w:rFonts w:asciiTheme="minorHAnsi" w:hAnsiTheme="minorHAnsi" w:cs="Arial"/>
                <w:color w:val="000000"/>
                <w:sz w:val="22"/>
                <w:szCs w:val="22"/>
              </w:rPr>
              <w:t>Net  input</w:t>
            </w:r>
            <w:proofErr w:type="gramEnd"/>
            <w:r w:rsidRPr="00654309">
              <w:rPr>
                <w:rFonts w:asciiTheme="minorHAnsi" w:hAnsiTheme="minorHAnsi" w:cs="Arial"/>
                <w:color w:val="000000"/>
                <w:sz w:val="22"/>
                <w:szCs w:val="22"/>
              </w:rPr>
              <w:t xml:space="preserve"> - Inter-DISCOM exchange from TPCODL</w:t>
            </w:r>
          </w:p>
        </w:tc>
        <w:tc>
          <w:tcPr>
            <w:tcW w:w="1412" w:type="dxa"/>
            <w:tcBorders>
              <w:top w:val="nil"/>
              <w:left w:val="nil"/>
              <w:bottom w:val="single" w:sz="4" w:space="0" w:color="auto"/>
              <w:right w:val="single" w:sz="4" w:space="0" w:color="auto"/>
            </w:tcBorders>
            <w:shd w:val="clear" w:color="auto" w:fill="auto"/>
            <w:noWrap/>
            <w:vAlign w:val="center"/>
            <w:hideMark/>
          </w:tcPr>
          <w:p w14:paraId="5386219D" w14:textId="5145D762" w:rsidR="00813324" w:rsidRPr="00654309" w:rsidRDefault="00813324" w:rsidP="00813324">
            <w:pPr>
              <w:jc w:val="center"/>
              <w:rPr>
                <w:rFonts w:asciiTheme="minorHAnsi" w:hAnsiTheme="minorHAnsi" w:cs="Arial"/>
                <w:color w:val="000000"/>
                <w:sz w:val="22"/>
                <w:szCs w:val="22"/>
              </w:rPr>
            </w:pPr>
          </w:p>
        </w:tc>
        <w:tc>
          <w:tcPr>
            <w:tcW w:w="1395" w:type="dxa"/>
            <w:tcBorders>
              <w:top w:val="nil"/>
              <w:left w:val="nil"/>
              <w:bottom w:val="single" w:sz="4" w:space="0" w:color="auto"/>
              <w:right w:val="single" w:sz="4" w:space="0" w:color="auto"/>
            </w:tcBorders>
            <w:shd w:val="clear" w:color="auto" w:fill="auto"/>
            <w:noWrap/>
            <w:vAlign w:val="center"/>
            <w:hideMark/>
          </w:tcPr>
          <w:p w14:paraId="5BC45E79" w14:textId="53C5EC0F" w:rsidR="00813324" w:rsidRPr="00654309" w:rsidRDefault="00813324" w:rsidP="00813324">
            <w:pPr>
              <w:jc w:val="center"/>
              <w:rPr>
                <w:rFonts w:asciiTheme="minorHAnsi" w:hAnsiTheme="minorHAnsi" w:cs="Arial"/>
                <w:color w:val="000000"/>
                <w:sz w:val="22"/>
                <w:szCs w:val="22"/>
              </w:rPr>
            </w:pPr>
            <w:r w:rsidRPr="00654309">
              <w:rPr>
                <w:rFonts w:asciiTheme="minorHAnsi" w:hAnsiTheme="minorHAnsi" w:cs="Arial"/>
                <w:color w:val="000000"/>
                <w:sz w:val="22"/>
                <w:szCs w:val="22"/>
              </w:rPr>
              <w:t>0.95</w:t>
            </w:r>
          </w:p>
        </w:tc>
        <w:tc>
          <w:tcPr>
            <w:tcW w:w="1638" w:type="dxa"/>
            <w:tcBorders>
              <w:top w:val="nil"/>
              <w:left w:val="nil"/>
              <w:bottom w:val="single" w:sz="4" w:space="0" w:color="auto"/>
              <w:right w:val="single" w:sz="4" w:space="0" w:color="auto"/>
            </w:tcBorders>
            <w:shd w:val="clear" w:color="auto" w:fill="auto"/>
            <w:noWrap/>
            <w:vAlign w:val="center"/>
            <w:hideMark/>
          </w:tcPr>
          <w:p w14:paraId="17692B04" w14:textId="6AFDCD58" w:rsidR="00813324" w:rsidRPr="00654309" w:rsidRDefault="00813324" w:rsidP="00813324">
            <w:pPr>
              <w:jc w:val="center"/>
              <w:rPr>
                <w:rFonts w:asciiTheme="minorHAnsi" w:hAnsiTheme="minorHAnsi" w:cs="Arial"/>
                <w:color w:val="000000"/>
                <w:sz w:val="22"/>
                <w:szCs w:val="22"/>
              </w:rPr>
            </w:pPr>
          </w:p>
        </w:tc>
        <w:tc>
          <w:tcPr>
            <w:tcW w:w="0" w:type="auto"/>
            <w:tcBorders>
              <w:top w:val="nil"/>
              <w:left w:val="nil"/>
              <w:bottom w:val="single" w:sz="4" w:space="0" w:color="auto"/>
              <w:right w:val="single" w:sz="4" w:space="0" w:color="auto"/>
            </w:tcBorders>
            <w:shd w:val="clear" w:color="auto" w:fill="auto"/>
            <w:noWrap/>
            <w:vAlign w:val="center"/>
            <w:hideMark/>
          </w:tcPr>
          <w:p w14:paraId="38A3F0E0" w14:textId="28A6CD91" w:rsidR="00813324" w:rsidRPr="00654309" w:rsidRDefault="00813324" w:rsidP="00813324">
            <w:pPr>
              <w:jc w:val="center"/>
              <w:rPr>
                <w:rFonts w:asciiTheme="minorHAnsi" w:hAnsiTheme="minorHAnsi" w:cs="Arial"/>
                <w:color w:val="000000"/>
                <w:sz w:val="22"/>
                <w:szCs w:val="22"/>
              </w:rPr>
            </w:pPr>
            <w:r w:rsidRPr="00654309">
              <w:rPr>
                <w:rFonts w:asciiTheme="minorHAnsi" w:hAnsiTheme="minorHAnsi" w:cs="Arial"/>
                <w:color w:val="000000"/>
                <w:sz w:val="22"/>
                <w:szCs w:val="22"/>
              </w:rPr>
              <w:t>0.95</w:t>
            </w:r>
          </w:p>
        </w:tc>
      </w:tr>
      <w:tr w:rsidR="00813324" w:rsidRPr="00654309" w14:paraId="791A9926" w14:textId="77777777" w:rsidTr="003A3206">
        <w:trPr>
          <w:trHeight w:val="301"/>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6E70CD86" w14:textId="77777777" w:rsidR="00813324" w:rsidRPr="00654309" w:rsidRDefault="00813324" w:rsidP="00654309">
            <w:pPr>
              <w:rPr>
                <w:rFonts w:asciiTheme="minorHAnsi" w:hAnsiTheme="minorHAnsi" w:cs="Arial"/>
                <w:b/>
                <w:bCs/>
                <w:color w:val="000000"/>
                <w:sz w:val="22"/>
                <w:szCs w:val="22"/>
              </w:rPr>
            </w:pPr>
            <w:r w:rsidRPr="00654309">
              <w:rPr>
                <w:rFonts w:asciiTheme="minorHAnsi" w:hAnsiTheme="minorHAnsi" w:cs="Arial"/>
                <w:b/>
                <w:bCs/>
                <w:color w:val="000000"/>
                <w:sz w:val="22"/>
                <w:szCs w:val="22"/>
              </w:rPr>
              <w:t>Total Power purchase Cost(A)</w:t>
            </w:r>
          </w:p>
        </w:tc>
        <w:tc>
          <w:tcPr>
            <w:tcW w:w="1412" w:type="dxa"/>
            <w:tcBorders>
              <w:top w:val="nil"/>
              <w:left w:val="nil"/>
              <w:bottom w:val="single" w:sz="4" w:space="0" w:color="auto"/>
              <w:right w:val="single" w:sz="4" w:space="0" w:color="auto"/>
            </w:tcBorders>
            <w:shd w:val="clear" w:color="auto" w:fill="auto"/>
            <w:noWrap/>
            <w:vAlign w:val="center"/>
            <w:hideMark/>
          </w:tcPr>
          <w:p w14:paraId="788974A1" w14:textId="1A070900" w:rsidR="00813324" w:rsidRPr="00654309" w:rsidRDefault="00813324" w:rsidP="00813324">
            <w:pPr>
              <w:jc w:val="center"/>
              <w:rPr>
                <w:rFonts w:asciiTheme="minorHAnsi" w:hAnsiTheme="minorHAnsi" w:cs="Arial"/>
                <w:b/>
                <w:bCs/>
                <w:color w:val="000000"/>
                <w:sz w:val="22"/>
                <w:szCs w:val="22"/>
              </w:rPr>
            </w:pPr>
            <w:r w:rsidRPr="00654309">
              <w:rPr>
                <w:rFonts w:asciiTheme="minorHAnsi" w:hAnsiTheme="minorHAnsi" w:cs="Arial"/>
                <w:b/>
                <w:bCs/>
                <w:color w:val="000000"/>
                <w:sz w:val="22"/>
                <w:szCs w:val="22"/>
              </w:rPr>
              <w:t>2,696.53</w:t>
            </w:r>
          </w:p>
        </w:tc>
        <w:tc>
          <w:tcPr>
            <w:tcW w:w="1395" w:type="dxa"/>
            <w:tcBorders>
              <w:top w:val="nil"/>
              <w:left w:val="nil"/>
              <w:bottom w:val="single" w:sz="4" w:space="0" w:color="auto"/>
              <w:right w:val="single" w:sz="4" w:space="0" w:color="auto"/>
            </w:tcBorders>
            <w:shd w:val="clear" w:color="auto" w:fill="auto"/>
            <w:noWrap/>
            <w:vAlign w:val="center"/>
            <w:hideMark/>
          </w:tcPr>
          <w:p w14:paraId="4C4C3481" w14:textId="2CC36C1A" w:rsidR="00813324" w:rsidRPr="00654309" w:rsidRDefault="00813324" w:rsidP="00813324">
            <w:pPr>
              <w:jc w:val="center"/>
              <w:rPr>
                <w:rFonts w:asciiTheme="minorHAnsi" w:hAnsiTheme="minorHAnsi" w:cs="Arial"/>
                <w:b/>
                <w:bCs/>
                <w:color w:val="000000"/>
                <w:sz w:val="22"/>
                <w:szCs w:val="22"/>
              </w:rPr>
            </w:pPr>
            <w:r w:rsidRPr="00654309">
              <w:rPr>
                <w:rFonts w:asciiTheme="minorHAnsi" w:hAnsiTheme="minorHAnsi" w:cs="Arial"/>
                <w:b/>
                <w:bCs/>
                <w:color w:val="000000"/>
                <w:sz w:val="22"/>
                <w:szCs w:val="22"/>
              </w:rPr>
              <w:t>2,504.72</w:t>
            </w:r>
          </w:p>
        </w:tc>
        <w:tc>
          <w:tcPr>
            <w:tcW w:w="1638" w:type="dxa"/>
            <w:tcBorders>
              <w:top w:val="nil"/>
              <w:left w:val="nil"/>
              <w:bottom w:val="single" w:sz="4" w:space="0" w:color="auto"/>
              <w:right w:val="single" w:sz="4" w:space="0" w:color="auto"/>
            </w:tcBorders>
            <w:shd w:val="clear" w:color="auto" w:fill="auto"/>
            <w:noWrap/>
            <w:vAlign w:val="center"/>
            <w:hideMark/>
          </w:tcPr>
          <w:p w14:paraId="228727FC" w14:textId="69E73164" w:rsidR="00813324" w:rsidRPr="00654309" w:rsidRDefault="00813324" w:rsidP="00813324">
            <w:pPr>
              <w:jc w:val="center"/>
              <w:rPr>
                <w:rFonts w:asciiTheme="minorHAnsi" w:hAnsiTheme="minorHAnsi" w:cs="Arial"/>
                <w:color w:val="000000"/>
                <w:sz w:val="22"/>
                <w:szCs w:val="22"/>
              </w:rPr>
            </w:pPr>
            <w:r w:rsidRPr="00654309">
              <w:rPr>
                <w:rFonts w:asciiTheme="minorHAnsi" w:hAnsiTheme="minorHAnsi" w:cs="Arial"/>
                <w:color w:val="000000"/>
                <w:sz w:val="22"/>
                <w:szCs w:val="22"/>
              </w:rPr>
              <w:t>Note-28</w:t>
            </w:r>
          </w:p>
        </w:tc>
        <w:tc>
          <w:tcPr>
            <w:tcW w:w="0" w:type="auto"/>
            <w:tcBorders>
              <w:top w:val="nil"/>
              <w:left w:val="nil"/>
              <w:bottom w:val="single" w:sz="4" w:space="0" w:color="auto"/>
              <w:right w:val="single" w:sz="4" w:space="0" w:color="auto"/>
            </w:tcBorders>
            <w:shd w:val="clear" w:color="auto" w:fill="auto"/>
            <w:noWrap/>
            <w:vAlign w:val="center"/>
            <w:hideMark/>
          </w:tcPr>
          <w:p w14:paraId="3615B056" w14:textId="7EE22989" w:rsidR="00813324" w:rsidRPr="00654309" w:rsidRDefault="00813324" w:rsidP="00813324">
            <w:pPr>
              <w:jc w:val="center"/>
              <w:rPr>
                <w:rFonts w:asciiTheme="minorHAnsi" w:hAnsiTheme="minorHAnsi" w:cs="Arial"/>
                <w:b/>
                <w:bCs/>
                <w:color w:val="000000"/>
                <w:sz w:val="22"/>
                <w:szCs w:val="22"/>
              </w:rPr>
            </w:pPr>
            <w:r w:rsidRPr="00654309">
              <w:rPr>
                <w:rFonts w:asciiTheme="minorHAnsi" w:hAnsiTheme="minorHAnsi" w:cs="Arial"/>
                <w:b/>
                <w:bCs/>
                <w:color w:val="000000"/>
                <w:sz w:val="22"/>
                <w:szCs w:val="22"/>
              </w:rPr>
              <w:t>2,550.97</w:t>
            </w:r>
          </w:p>
        </w:tc>
      </w:tr>
      <w:tr w:rsidR="00813324" w:rsidRPr="00654309" w14:paraId="70685635" w14:textId="77777777" w:rsidTr="003A3206">
        <w:trPr>
          <w:trHeight w:val="286"/>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0C7232B4" w14:textId="4560596A" w:rsidR="00813324" w:rsidRPr="00654309" w:rsidRDefault="00813324" w:rsidP="00654309">
            <w:pPr>
              <w:rPr>
                <w:rFonts w:asciiTheme="minorHAnsi" w:hAnsiTheme="minorHAnsi" w:cs="Arial"/>
                <w:color w:val="000000"/>
                <w:sz w:val="22"/>
                <w:szCs w:val="22"/>
              </w:rPr>
            </w:pPr>
          </w:p>
        </w:tc>
        <w:tc>
          <w:tcPr>
            <w:tcW w:w="1412" w:type="dxa"/>
            <w:tcBorders>
              <w:top w:val="nil"/>
              <w:left w:val="nil"/>
              <w:bottom w:val="single" w:sz="4" w:space="0" w:color="auto"/>
              <w:right w:val="single" w:sz="4" w:space="0" w:color="auto"/>
            </w:tcBorders>
            <w:shd w:val="clear" w:color="auto" w:fill="auto"/>
            <w:noWrap/>
            <w:vAlign w:val="bottom"/>
            <w:hideMark/>
          </w:tcPr>
          <w:p w14:paraId="140FEC73" w14:textId="1C532009" w:rsidR="00813324" w:rsidRPr="00654309" w:rsidRDefault="00813324" w:rsidP="00813324">
            <w:pPr>
              <w:jc w:val="center"/>
              <w:rPr>
                <w:rFonts w:asciiTheme="minorHAnsi" w:hAnsiTheme="minorHAnsi" w:cs="Arial"/>
                <w:color w:val="000000"/>
                <w:sz w:val="22"/>
                <w:szCs w:val="22"/>
              </w:rPr>
            </w:pPr>
          </w:p>
        </w:tc>
        <w:tc>
          <w:tcPr>
            <w:tcW w:w="1395" w:type="dxa"/>
            <w:tcBorders>
              <w:top w:val="nil"/>
              <w:left w:val="nil"/>
              <w:bottom w:val="single" w:sz="4" w:space="0" w:color="auto"/>
              <w:right w:val="single" w:sz="4" w:space="0" w:color="auto"/>
            </w:tcBorders>
            <w:shd w:val="clear" w:color="auto" w:fill="auto"/>
            <w:noWrap/>
            <w:vAlign w:val="bottom"/>
            <w:hideMark/>
          </w:tcPr>
          <w:p w14:paraId="41EEAF13" w14:textId="3C00BBA8" w:rsidR="00813324" w:rsidRPr="00654309" w:rsidRDefault="00813324" w:rsidP="00813324">
            <w:pPr>
              <w:jc w:val="center"/>
              <w:rPr>
                <w:rFonts w:asciiTheme="minorHAnsi" w:hAnsiTheme="minorHAnsi" w:cs="Arial"/>
                <w:color w:val="000000"/>
                <w:sz w:val="22"/>
                <w:szCs w:val="22"/>
              </w:rPr>
            </w:pPr>
          </w:p>
        </w:tc>
        <w:tc>
          <w:tcPr>
            <w:tcW w:w="1638" w:type="dxa"/>
            <w:tcBorders>
              <w:top w:val="nil"/>
              <w:left w:val="nil"/>
              <w:bottom w:val="single" w:sz="4" w:space="0" w:color="auto"/>
              <w:right w:val="single" w:sz="4" w:space="0" w:color="auto"/>
            </w:tcBorders>
            <w:shd w:val="clear" w:color="auto" w:fill="auto"/>
            <w:noWrap/>
            <w:vAlign w:val="bottom"/>
            <w:hideMark/>
          </w:tcPr>
          <w:p w14:paraId="7CBF47B0" w14:textId="032BF354" w:rsidR="00813324" w:rsidRPr="00654309" w:rsidRDefault="00813324" w:rsidP="00813324">
            <w:pPr>
              <w:jc w:val="center"/>
              <w:rPr>
                <w:rFonts w:asciiTheme="minorHAnsi" w:hAnsiTheme="minorHAnsi" w:cs="Arial"/>
                <w:color w:val="000000"/>
                <w:sz w:val="22"/>
                <w:szCs w:val="22"/>
              </w:rPr>
            </w:pPr>
          </w:p>
        </w:tc>
        <w:tc>
          <w:tcPr>
            <w:tcW w:w="0" w:type="auto"/>
            <w:tcBorders>
              <w:top w:val="nil"/>
              <w:left w:val="nil"/>
              <w:bottom w:val="single" w:sz="4" w:space="0" w:color="auto"/>
              <w:right w:val="single" w:sz="4" w:space="0" w:color="auto"/>
            </w:tcBorders>
            <w:shd w:val="clear" w:color="auto" w:fill="auto"/>
            <w:noWrap/>
            <w:vAlign w:val="bottom"/>
            <w:hideMark/>
          </w:tcPr>
          <w:p w14:paraId="512E1855" w14:textId="48228215" w:rsidR="00813324" w:rsidRPr="00654309" w:rsidRDefault="00813324" w:rsidP="00813324">
            <w:pPr>
              <w:jc w:val="center"/>
              <w:rPr>
                <w:rFonts w:asciiTheme="minorHAnsi" w:hAnsiTheme="minorHAnsi" w:cs="Arial"/>
                <w:color w:val="000000"/>
                <w:sz w:val="22"/>
                <w:szCs w:val="22"/>
              </w:rPr>
            </w:pPr>
          </w:p>
        </w:tc>
      </w:tr>
      <w:tr w:rsidR="00813324" w:rsidRPr="00654309" w14:paraId="11F112D1" w14:textId="77777777" w:rsidTr="003A3206">
        <w:trPr>
          <w:trHeight w:val="286"/>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6DC02D95" w14:textId="77777777" w:rsidR="00813324" w:rsidRPr="00654309" w:rsidRDefault="00813324" w:rsidP="00654309">
            <w:pPr>
              <w:rPr>
                <w:rFonts w:asciiTheme="minorHAnsi" w:hAnsiTheme="minorHAnsi" w:cs="Arial"/>
                <w:sz w:val="22"/>
                <w:szCs w:val="22"/>
              </w:rPr>
            </w:pPr>
            <w:r w:rsidRPr="00654309">
              <w:rPr>
                <w:rFonts w:asciiTheme="minorHAnsi" w:hAnsiTheme="minorHAnsi" w:cs="Arial"/>
                <w:sz w:val="22"/>
                <w:szCs w:val="22"/>
              </w:rPr>
              <w:t>Employee Cost</w:t>
            </w:r>
          </w:p>
        </w:tc>
        <w:tc>
          <w:tcPr>
            <w:tcW w:w="1412" w:type="dxa"/>
            <w:tcBorders>
              <w:top w:val="nil"/>
              <w:left w:val="nil"/>
              <w:bottom w:val="single" w:sz="4" w:space="0" w:color="auto"/>
              <w:right w:val="single" w:sz="4" w:space="0" w:color="auto"/>
            </w:tcBorders>
            <w:shd w:val="clear" w:color="auto" w:fill="auto"/>
            <w:noWrap/>
            <w:vAlign w:val="center"/>
            <w:hideMark/>
          </w:tcPr>
          <w:p w14:paraId="00A19090" w14:textId="68C9B110" w:rsidR="00813324" w:rsidRPr="00654309" w:rsidRDefault="00813324" w:rsidP="00813324">
            <w:pPr>
              <w:jc w:val="center"/>
              <w:rPr>
                <w:rFonts w:asciiTheme="minorHAnsi" w:hAnsiTheme="minorHAnsi" w:cs="Arial"/>
                <w:sz w:val="22"/>
                <w:szCs w:val="22"/>
              </w:rPr>
            </w:pPr>
            <w:r w:rsidRPr="00654309">
              <w:rPr>
                <w:rFonts w:asciiTheme="minorHAnsi" w:hAnsiTheme="minorHAnsi" w:cs="Arial"/>
                <w:sz w:val="22"/>
                <w:szCs w:val="22"/>
              </w:rPr>
              <w:t>512.79</w:t>
            </w:r>
          </w:p>
        </w:tc>
        <w:tc>
          <w:tcPr>
            <w:tcW w:w="1395" w:type="dxa"/>
            <w:tcBorders>
              <w:top w:val="nil"/>
              <w:left w:val="nil"/>
              <w:bottom w:val="single" w:sz="4" w:space="0" w:color="auto"/>
              <w:right w:val="single" w:sz="4" w:space="0" w:color="auto"/>
            </w:tcBorders>
            <w:shd w:val="clear" w:color="auto" w:fill="auto"/>
            <w:noWrap/>
            <w:vAlign w:val="center"/>
            <w:hideMark/>
          </w:tcPr>
          <w:p w14:paraId="51339949" w14:textId="730F51F0" w:rsidR="00813324" w:rsidRPr="00654309" w:rsidRDefault="00813324" w:rsidP="00813324">
            <w:pPr>
              <w:jc w:val="center"/>
              <w:rPr>
                <w:rFonts w:asciiTheme="minorHAnsi" w:hAnsiTheme="minorHAnsi" w:cs="Arial"/>
                <w:sz w:val="22"/>
                <w:szCs w:val="22"/>
              </w:rPr>
            </w:pPr>
            <w:r w:rsidRPr="00654309">
              <w:rPr>
                <w:rFonts w:asciiTheme="minorHAnsi" w:hAnsiTheme="minorHAnsi" w:cs="Arial"/>
                <w:sz w:val="22"/>
                <w:szCs w:val="22"/>
              </w:rPr>
              <w:t>526.56</w:t>
            </w:r>
          </w:p>
        </w:tc>
        <w:tc>
          <w:tcPr>
            <w:tcW w:w="1638" w:type="dxa"/>
            <w:tcBorders>
              <w:top w:val="nil"/>
              <w:left w:val="nil"/>
              <w:bottom w:val="single" w:sz="4" w:space="0" w:color="auto"/>
              <w:right w:val="single" w:sz="4" w:space="0" w:color="auto"/>
            </w:tcBorders>
            <w:shd w:val="clear" w:color="auto" w:fill="auto"/>
            <w:noWrap/>
            <w:vAlign w:val="center"/>
            <w:hideMark/>
          </w:tcPr>
          <w:p w14:paraId="438C6F78" w14:textId="5204C8DF" w:rsidR="00813324" w:rsidRPr="00654309" w:rsidRDefault="00813324" w:rsidP="00813324">
            <w:pPr>
              <w:jc w:val="center"/>
              <w:rPr>
                <w:rFonts w:asciiTheme="minorHAnsi" w:hAnsiTheme="minorHAnsi" w:cs="Arial"/>
                <w:sz w:val="22"/>
                <w:szCs w:val="22"/>
              </w:rPr>
            </w:pPr>
            <w:r w:rsidRPr="00654309">
              <w:rPr>
                <w:rFonts w:asciiTheme="minorHAnsi" w:hAnsiTheme="minorHAnsi" w:cs="Arial"/>
                <w:sz w:val="22"/>
                <w:szCs w:val="22"/>
              </w:rPr>
              <w:t>Note-29</w:t>
            </w:r>
          </w:p>
        </w:tc>
        <w:tc>
          <w:tcPr>
            <w:tcW w:w="0" w:type="auto"/>
            <w:tcBorders>
              <w:top w:val="nil"/>
              <w:left w:val="nil"/>
              <w:bottom w:val="single" w:sz="4" w:space="0" w:color="auto"/>
              <w:right w:val="single" w:sz="4" w:space="0" w:color="auto"/>
            </w:tcBorders>
            <w:shd w:val="clear" w:color="auto" w:fill="auto"/>
            <w:noWrap/>
            <w:vAlign w:val="center"/>
            <w:hideMark/>
          </w:tcPr>
          <w:p w14:paraId="7D9D2DC0" w14:textId="00C4BE9E" w:rsidR="00813324" w:rsidRPr="00654309" w:rsidRDefault="00813324" w:rsidP="00813324">
            <w:pPr>
              <w:jc w:val="center"/>
              <w:rPr>
                <w:rFonts w:asciiTheme="minorHAnsi" w:hAnsiTheme="minorHAnsi" w:cs="Arial"/>
                <w:sz w:val="22"/>
                <w:szCs w:val="22"/>
              </w:rPr>
            </w:pPr>
            <w:r w:rsidRPr="00654309">
              <w:rPr>
                <w:rFonts w:asciiTheme="minorHAnsi" w:hAnsiTheme="minorHAnsi" w:cs="Arial"/>
                <w:sz w:val="22"/>
                <w:szCs w:val="22"/>
              </w:rPr>
              <w:t>479.40</w:t>
            </w:r>
          </w:p>
        </w:tc>
      </w:tr>
      <w:tr w:rsidR="00813324" w:rsidRPr="00654309" w14:paraId="3F8DF7F5" w14:textId="77777777" w:rsidTr="003A3206">
        <w:trPr>
          <w:trHeight w:val="573"/>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86B9D56" w14:textId="77777777" w:rsidR="00813324" w:rsidRPr="00654309" w:rsidRDefault="00813324" w:rsidP="00654309">
            <w:pPr>
              <w:rPr>
                <w:rFonts w:asciiTheme="minorHAnsi" w:hAnsiTheme="minorHAnsi" w:cs="Arial"/>
                <w:color w:val="000000"/>
                <w:sz w:val="22"/>
                <w:szCs w:val="22"/>
              </w:rPr>
            </w:pPr>
            <w:r w:rsidRPr="00654309">
              <w:rPr>
                <w:rFonts w:asciiTheme="minorHAnsi" w:hAnsiTheme="minorHAnsi" w:cs="Arial"/>
                <w:color w:val="000000"/>
                <w:sz w:val="22"/>
                <w:szCs w:val="22"/>
              </w:rPr>
              <w:t xml:space="preserve">Repair &amp;Maintenance Cost </w:t>
            </w:r>
            <w:proofErr w:type="gramStart"/>
            <w:r w:rsidRPr="00654309">
              <w:rPr>
                <w:rFonts w:asciiTheme="minorHAnsi" w:hAnsiTheme="minorHAnsi" w:cs="Arial"/>
                <w:color w:val="000000"/>
                <w:sz w:val="22"/>
                <w:szCs w:val="22"/>
              </w:rPr>
              <w:t>( Net</w:t>
            </w:r>
            <w:proofErr w:type="gramEnd"/>
            <w:r w:rsidRPr="00654309">
              <w:rPr>
                <w:rFonts w:asciiTheme="minorHAnsi" w:hAnsiTheme="minorHAnsi" w:cs="Arial"/>
                <w:color w:val="000000"/>
                <w:sz w:val="22"/>
                <w:szCs w:val="22"/>
              </w:rPr>
              <w:t xml:space="preserve"> off Govt. Grant </w:t>
            </w:r>
            <w:proofErr w:type="spellStart"/>
            <w:r w:rsidRPr="00654309">
              <w:rPr>
                <w:rFonts w:asciiTheme="minorHAnsi" w:hAnsiTheme="minorHAnsi" w:cs="Arial"/>
                <w:color w:val="000000"/>
                <w:sz w:val="22"/>
                <w:szCs w:val="22"/>
              </w:rPr>
              <w:t>Amortisation</w:t>
            </w:r>
            <w:proofErr w:type="spellEnd"/>
            <w:r w:rsidRPr="00654309">
              <w:rPr>
                <w:rFonts w:asciiTheme="minorHAnsi" w:hAnsiTheme="minorHAnsi" w:cs="Arial"/>
                <w:color w:val="000000"/>
                <w:sz w:val="22"/>
                <w:szCs w:val="22"/>
              </w:rPr>
              <w:t>)</w:t>
            </w:r>
          </w:p>
        </w:tc>
        <w:tc>
          <w:tcPr>
            <w:tcW w:w="1412" w:type="dxa"/>
            <w:tcBorders>
              <w:top w:val="nil"/>
              <w:left w:val="nil"/>
              <w:bottom w:val="single" w:sz="4" w:space="0" w:color="auto"/>
              <w:right w:val="single" w:sz="4" w:space="0" w:color="auto"/>
            </w:tcBorders>
            <w:shd w:val="clear" w:color="auto" w:fill="auto"/>
            <w:noWrap/>
            <w:vAlign w:val="center"/>
            <w:hideMark/>
          </w:tcPr>
          <w:p w14:paraId="037FDC0A" w14:textId="7B6FC504" w:rsidR="00813324" w:rsidRPr="00654309" w:rsidRDefault="00813324" w:rsidP="00813324">
            <w:pPr>
              <w:jc w:val="center"/>
              <w:rPr>
                <w:rFonts w:asciiTheme="minorHAnsi" w:hAnsiTheme="minorHAnsi" w:cs="Arial"/>
                <w:sz w:val="22"/>
                <w:szCs w:val="22"/>
              </w:rPr>
            </w:pPr>
            <w:r w:rsidRPr="00654309">
              <w:rPr>
                <w:rFonts w:asciiTheme="minorHAnsi" w:hAnsiTheme="minorHAnsi" w:cs="Arial"/>
                <w:sz w:val="22"/>
                <w:szCs w:val="22"/>
              </w:rPr>
              <w:t>214.34</w:t>
            </w:r>
          </w:p>
        </w:tc>
        <w:tc>
          <w:tcPr>
            <w:tcW w:w="1395" w:type="dxa"/>
            <w:tcBorders>
              <w:top w:val="nil"/>
              <w:left w:val="nil"/>
              <w:bottom w:val="single" w:sz="4" w:space="0" w:color="auto"/>
              <w:right w:val="single" w:sz="4" w:space="0" w:color="auto"/>
            </w:tcBorders>
            <w:shd w:val="clear" w:color="auto" w:fill="auto"/>
            <w:noWrap/>
            <w:vAlign w:val="center"/>
            <w:hideMark/>
          </w:tcPr>
          <w:p w14:paraId="5B291F68" w14:textId="5FB59D04" w:rsidR="00813324" w:rsidRPr="00654309" w:rsidRDefault="00813324" w:rsidP="00813324">
            <w:pPr>
              <w:jc w:val="center"/>
              <w:rPr>
                <w:rFonts w:asciiTheme="minorHAnsi" w:hAnsiTheme="minorHAnsi" w:cs="Arial"/>
                <w:sz w:val="22"/>
                <w:szCs w:val="22"/>
              </w:rPr>
            </w:pPr>
            <w:r w:rsidRPr="00654309">
              <w:rPr>
                <w:rFonts w:asciiTheme="minorHAnsi" w:hAnsiTheme="minorHAnsi" w:cs="Arial"/>
                <w:sz w:val="22"/>
                <w:szCs w:val="22"/>
              </w:rPr>
              <w:t>241.13</w:t>
            </w:r>
          </w:p>
        </w:tc>
        <w:tc>
          <w:tcPr>
            <w:tcW w:w="1638" w:type="dxa"/>
            <w:tcBorders>
              <w:top w:val="nil"/>
              <w:left w:val="nil"/>
              <w:bottom w:val="single" w:sz="4" w:space="0" w:color="auto"/>
              <w:right w:val="single" w:sz="4" w:space="0" w:color="auto"/>
            </w:tcBorders>
            <w:shd w:val="clear" w:color="auto" w:fill="auto"/>
            <w:noWrap/>
            <w:vAlign w:val="center"/>
            <w:hideMark/>
          </w:tcPr>
          <w:p w14:paraId="53A6C653" w14:textId="4F904CBF" w:rsidR="00813324" w:rsidRPr="00654309" w:rsidRDefault="00813324" w:rsidP="00813324">
            <w:pPr>
              <w:jc w:val="center"/>
              <w:rPr>
                <w:rFonts w:asciiTheme="minorHAnsi" w:hAnsiTheme="minorHAnsi" w:cs="Arial"/>
                <w:sz w:val="22"/>
                <w:szCs w:val="22"/>
              </w:rPr>
            </w:pPr>
            <w:r w:rsidRPr="00654309">
              <w:rPr>
                <w:rFonts w:asciiTheme="minorHAnsi" w:hAnsiTheme="minorHAnsi" w:cs="Arial"/>
                <w:sz w:val="22"/>
                <w:szCs w:val="22"/>
              </w:rPr>
              <w:t>Note-31</w:t>
            </w:r>
          </w:p>
        </w:tc>
        <w:tc>
          <w:tcPr>
            <w:tcW w:w="0" w:type="auto"/>
            <w:tcBorders>
              <w:top w:val="nil"/>
              <w:left w:val="nil"/>
              <w:bottom w:val="single" w:sz="4" w:space="0" w:color="auto"/>
              <w:right w:val="single" w:sz="4" w:space="0" w:color="auto"/>
            </w:tcBorders>
            <w:shd w:val="clear" w:color="auto" w:fill="auto"/>
            <w:noWrap/>
            <w:vAlign w:val="center"/>
            <w:hideMark/>
          </w:tcPr>
          <w:p w14:paraId="40134D6C" w14:textId="59301974" w:rsidR="00813324" w:rsidRPr="00654309" w:rsidRDefault="00813324" w:rsidP="00813324">
            <w:pPr>
              <w:jc w:val="center"/>
              <w:rPr>
                <w:rFonts w:asciiTheme="minorHAnsi" w:hAnsiTheme="minorHAnsi" w:cs="Arial"/>
                <w:sz w:val="22"/>
                <w:szCs w:val="22"/>
              </w:rPr>
            </w:pPr>
            <w:r w:rsidRPr="00654309">
              <w:rPr>
                <w:rFonts w:asciiTheme="minorHAnsi" w:hAnsiTheme="minorHAnsi" w:cs="Arial"/>
                <w:sz w:val="22"/>
                <w:szCs w:val="22"/>
              </w:rPr>
              <w:t>241.13</w:t>
            </w:r>
          </w:p>
        </w:tc>
      </w:tr>
      <w:tr w:rsidR="00813324" w:rsidRPr="00654309" w14:paraId="124E5741" w14:textId="77777777" w:rsidTr="003A3206">
        <w:trPr>
          <w:trHeight w:val="286"/>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446E5609" w14:textId="77777777" w:rsidR="00813324" w:rsidRPr="00654309" w:rsidRDefault="00813324" w:rsidP="00654309">
            <w:pPr>
              <w:rPr>
                <w:rFonts w:asciiTheme="minorHAnsi" w:hAnsiTheme="minorHAnsi" w:cs="Arial"/>
                <w:sz w:val="22"/>
                <w:szCs w:val="22"/>
              </w:rPr>
            </w:pPr>
            <w:r w:rsidRPr="00654309">
              <w:rPr>
                <w:rFonts w:asciiTheme="minorHAnsi" w:hAnsiTheme="minorHAnsi" w:cs="Arial"/>
                <w:sz w:val="22"/>
                <w:szCs w:val="22"/>
              </w:rPr>
              <w:t>Administrative &amp; General Expenses</w:t>
            </w:r>
          </w:p>
        </w:tc>
        <w:tc>
          <w:tcPr>
            <w:tcW w:w="1412" w:type="dxa"/>
            <w:tcBorders>
              <w:top w:val="nil"/>
              <w:left w:val="nil"/>
              <w:bottom w:val="single" w:sz="4" w:space="0" w:color="auto"/>
              <w:right w:val="single" w:sz="4" w:space="0" w:color="auto"/>
            </w:tcBorders>
            <w:shd w:val="clear" w:color="auto" w:fill="auto"/>
            <w:noWrap/>
            <w:vAlign w:val="center"/>
            <w:hideMark/>
          </w:tcPr>
          <w:p w14:paraId="57E75D8D" w14:textId="215F47E9" w:rsidR="00813324" w:rsidRPr="00654309" w:rsidRDefault="00813324" w:rsidP="00813324">
            <w:pPr>
              <w:jc w:val="center"/>
              <w:rPr>
                <w:rFonts w:asciiTheme="minorHAnsi" w:hAnsiTheme="minorHAnsi" w:cs="Arial"/>
                <w:sz w:val="22"/>
                <w:szCs w:val="22"/>
              </w:rPr>
            </w:pPr>
            <w:r w:rsidRPr="00654309">
              <w:rPr>
                <w:rFonts w:asciiTheme="minorHAnsi" w:hAnsiTheme="minorHAnsi" w:cs="Arial"/>
                <w:sz w:val="22"/>
                <w:szCs w:val="22"/>
              </w:rPr>
              <w:t>120.13</w:t>
            </w:r>
          </w:p>
        </w:tc>
        <w:tc>
          <w:tcPr>
            <w:tcW w:w="1395" w:type="dxa"/>
            <w:tcBorders>
              <w:top w:val="nil"/>
              <w:left w:val="nil"/>
              <w:bottom w:val="single" w:sz="4" w:space="0" w:color="auto"/>
              <w:right w:val="single" w:sz="4" w:space="0" w:color="auto"/>
            </w:tcBorders>
            <w:shd w:val="clear" w:color="auto" w:fill="auto"/>
            <w:noWrap/>
            <w:vAlign w:val="center"/>
            <w:hideMark/>
          </w:tcPr>
          <w:p w14:paraId="61FCD299" w14:textId="13F6FA50" w:rsidR="00813324" w:rsidRPr="00654309" w:rsidRDefault="00813324" w:rsidP="00813324">
            <w:pPr>
              <w:jc w:val="center"/>
              <w:rPr>
                <w:rFonts w:asciiTheme="minorHAnsi" w:hAnsiTheme="minorHAnsi" w:cs="Arial"/>
                <w:sz w:val="22"/>
                <w:szCs w:val="22"/>
              </w:rPr>
            </w:pPr>
            <w:r w:rsidRPr="00654309">
              <w:rPr>
                <w:rFonts w:asciiTheme="minorHAnsi" w:hAnsiTheme="minorHAnsi" w:cs="Arial"/>
                <w:sz w:val="22"/>
                <w:szCs w:val="22"/>
              </w:rPr>
              <w:t>143.96</w:t>
            </w:r>
          </w:p>
        </w:tc>
        <w:tc>
          <w:tcPr>
            <w:tcW w:w="1638" w:type="dxa"/>
            <w:tcBorders>
              <w:top w:val="nil"/>
              <w:left w:val="nil"/>
              <w:bottom w:val="single" w:sz="4" w:space="0" w:color="auto"/>
              <w:right w:val="single" w:sz="4" w:space="0" w:color="auto"/>
            </w:tcBorders>
            <w:shd w:val="clear" w:color="auto" w:fill="auto"/>
            <w:noWrap/>
            <w:vAlign w:val="center"/>
            <w:hideMark/>
          </w:tcPr>
          <w:p w14:paraId="3B281265" w14:textId="270BF5ED" w:rsidR="00813324" w:rsidRPr="00654309" w:rsidRDefault="00813324" w:rsidP="00813324">
            <w:pPr>
              <w:jc w:val="center"/>
              <w:rPr>
                <w:rFonts w:asciiTheme="minorHAnsi" w:hAnsiTheme="minorHAnsi" w:cs="Arial"/>
                <w:sz w:val="22"/>
                <w:szCs w:val="22"/>
              </w:rPr>
            </w:pPr>
            <w:r w:rsidRPr="00654309">
              <w:rPr>
                <w:rFonts w:asciiTheme="minorHAnsi" w:hAnsiTheme="minorHAnsi" w:cs="Arial"/>
                <w:sz w:val="22"/>
                <w:szCs w:val="22"/>
              </w:rPr>
              <w:t>Note-31</w:t>
            </w:r>
          </w:p>
        </w:tc>
        <w:tc>
          <w:tcPr>
            <w:tcW w:w="0" w:type="auto"/>
            <w:tcBorders>
              <w:top w:val="nil"/>
              <w:left w:val="nil"/>
              <w:bottom w:val="single" w:sz="4" w:space="0" w:color="auto"/>
              <w:right w:val="single" w:sz="4" w:space="0" w:color="auto"/>
            </w:tcBorders>
            <w:shd w:val="clear" w:color="auto" w:fill="auto"/>
            <w:noWrap/>
            <w:vAlign w:val="center"/>
            <w:hideMark/>
          </w:tcPr>
          <w:p w14:paraId="0B568C3B" w14:textId="6F7BFE60" w:rsidR="00813324" w:rsidRPr="00654309" w:rsidRDefault="00813324" w:rsidP="00813324">
            <w:pPr>
              <w:jc w:val="center"/>
              <w:rPr>
                <w:rFonts w:asciiTheme="minorHAnsi" w:hAnsiTheme="minorHAnsi" w:cs="Arial"/>
                <w:sz w:val="22"/>
                <w:szCs w:val="22"/>
              </w:rPr>
            </w:pPr>
            <w:r w:rsidRPr="00654309">
              <w:rPr>
                <w:rFonts w:asciiTheme="minorHAnsi" w:hAnsiTheme="minorHAnsi" w:cs="Arial"/>
                <w:sz w:val="22"/>
                <w:szCs w:val="22"/>
              </w:rPr>
              <w:t>143.96</w:t>
            </w:r>
          </w:p>
        </w:tc>
      </w:tr>
      <w:tr w:rsidR="00813324" w:rsidRPr="00654309" w14:paraId="503A4475" w14:textId="77777777" w:rsidTr="003A3206">
        <w:trPr>
          <w:trHeight w:val="286"/>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62760558" w14:textId="77777777" w:rsidR="00813324" w:rsidRPr="00654309" w:rsidRDefault="00813324" w:rsidP="00654309">
            <w:pPr>
              <w:rPr>
                <w:rFonts w:asciiTheme="minorHAnsi" w:hAnsiTheme="minorHAnsi" w:cs="Arial"/>
                <w:color w:val="000000"/>
                <w:sz w:val="22"/>
                <w:szCs w:val="22"/>
              </w:rPr>
            </w:pPr>
            <w:r w:rsidRPr="00654309">
              <w:rPr>
                <w:rFonts w:asciiTheme="minorHAnsi" w:hAnsiTheme="minorHAnsi" w:cs="Arial"/>
                <w:color w:val="000000"/>
                <w:sz w:val="22"/>
                <w:szCs w:val="22"/>
              </w:rPr>
              <w:t>Provision for bad &amp; doubtful debts</w:t>
            </w:r>
          </w:p>
        </w:tc>
        <w:tc>
          <w:tcPr>
            <w:tcW w:w="1412" w:type="dxa"/>
            <w:tcBorders>
              <w:top w:val="nil"/>
              <w:left w:val="nil"/>
              <w:bottom w:val="single" w:sz="4" w:space="0" w:color="auto"/>
              <w:right w:val="single" w:sz="4" w:space="0" w:color="auto"/>
            </w:tcBorders>
            <w:shd w:val="clear" w:color="auto" w:fill="auto"/>
            <w:noWrap/>
            <w:vAlign w:val="center"/>
            <w:hideMark/>
          </w:tcPr>
          <w:p w14:paraId="64B7EBAA" w14:textId="18E2FE09" w:rsidR="00813324" w:rsidRPr="00654309" w:rsidRDefault="00813324" w:rsidP="00813324">
            <w:pPr>
              <w:jc w:val="center"/>
              <w:rPr>
                <w:rFonts w:asciiTheme="minorHAnsi" w:hAnsiTheme="minorHAnsi" w:cs="Arial"/>
                <w:sz w:val="22"/>
                <w:szCs w:val="22"/>
              </w:rPr>
            </w:pPr>
            <w:r w:rsidRPr="00654309">
              <w:rPr>
                <w:rFonts w:asciiTheme="minorHAnsi" w:hAnsiTheme="minorHAnsi" w:cs="Arial"/>
                <w:sz w:val="22"/>
                <w:szCs w:val="22"/>
              </w:rPr>
              <w:t>35.59</w:t>
            </w:r>
          </w:p>
        </w:tc>
        <w:tc>
          <w:tcPr>
            <w:tcW w:w="1395" w:type="dxa"/>
            <w:tcBorders>
              <w:top w:val="nil"/>
              <w:left w:val="nil"/>
              <w:bottom w:val="single" w:sz="4" w:space="0" w:color="auto"/>
              <w:right w:val="single" w:sz="4" w:space="0" w:color="auto"/>
            </w:tcBorders>
            <w:shd w:val="clear" w:color="auto" w:fill="auto"/>
            <w:noWrap/>
            <w:vAlign w:val="center"/>
            <w:hideMark/>
          </w:tcPr>
          <w:p w14:paraId="7ED8CBC5" w14:textId="25D13D51" w:rsidR="00813324" w:rsidRPr="00654309" w:rsidRDefault="00813324" w:rsidP="00813324">
            <w:pPr>
              <w:jc w:val="center"/>
              <w:rPr>
                <w:rFonts w:asciiTheme="minorHAnsi" w:hAnsiTheme="minorHAnsi" w:cs="Arial"/>
                <w:sz w:val="22"/>
                <w:szCs w:val="22"/>
              </w:rPr>
            </w:pPr>
            <w:r w:rsidRPr="00654309">
              <w:rPr>
                <w:rFonts w:asciiTheme="minorHAnsi" w:hAnsiTheme="minorHAnsi" w:cs="Arial"/>
                <w:sz w:val="22"/>
                <w:szCs w:val="22"/>
              </w:rPr>
              <w:t>60.78</w:t>
            </w:r>
          </w:p>
        </w:tc>
        <w:tc>
          <w:tcPr>
            <w:tcW w:w="1638" w:type="dxa"/>
            <w:tcBorders>
              <w:top w:val="nil"/>
              <w:left w:val="nil"/>
              <w:bottom w:val="single" w:sz="4" w:space="0" w:color="auto"/>
              <w:right w:val="single" w:sz="4" w:space="0" w:color="auto"/>
            </w:tcBorders>
            <w:shd w:val="clear" w:color="auto" w:fill="auto"/>
            <w:noWrap/>
            <w:vAlign w:val="center"/>
            <w:hideMark/>
          </w:tcPr>
          <w:p w14:paraId="5E0E3DCD" w14:textId="51DACC1F" w:rsidR="00813324" w:rsidRPr="00654309" w:rsidRDefault="00813324" w:rsidP="00813324">
            <w:pPr>
              <w:jc w:val="center"/>
              <w:rPr>
                <w:rFonts w:asciiTheme="minorHAnsi" w:hAnsiTheme="minorHAnsi" w:cs="Arial"/>
                <w:sz w:val="22"/>
                <w:szCs w:val="22"/>
              </w:rPr>
            </w:pPr>
            <w:r w:rsidRPr="00654309">
              <w:rPr>
                <w:rFonts w:asciiTheme="minorHAnsi" w:hAnsiTheme="minorHAnsi" w:cs="Arial"/>
                <w:sz w:val="22"/>
                <w:szCs w:val="22"/>
              </w:rPr>
              <w:t>Note-31</w:t>
            </w:r>
          </w:p>
        </w:tc>
        <w:tc>
          <w:tcPr>
            <w:tcW w:w="0" w:type="auto"/>
            <w:tcBorders>
              <w:top w:val="nil"/>
              <w:left w:val="nil"/>
              <w:bottom w:val="single" w:sz="4" w:space="0" w:color="auto"/>
              <w:right w:val="single" w:sz="4" w:space="0" w:color="auto"/>
            </w:tcBorders>
            <w:shd w:val="clear" w:color="auto" w:fill="auto"/>
            <w:noWrap/>
            <w:vAlign w:val="center"/>
            <w:hideMark/>
          </w:tcPr>
          <w:p w14:paraId="6365B76A" w14:textId="0E385D41" w:rsidR="00813324" w:rsidRPr="00654309" w:rsidRDefault="00813324" w:rsidP="00813324">
            <w:pPr>
              <w:jc w:val="center"/>
              <w:rPr>
                <w:rFonts w:asciiTheme="minorHAnsi" w:hAnsiTheme="minorHAnsi" w:cs="Arial"/>
                <w:sz w:val="22"/>
                <w:szCs w:val="22"/>
              </w:rPr>
            </w:pPr>
            <w:r w:rsidRPr="00654309">
              <w:rPr>
                <w:rFonts w:asciiTheme="minorHAnsi" w:hAnsiTheme="minorHAnsi" w:cs="Arial"/>
                <w:sz w:val="22"/>
                <w:szCs w:val="22"/>
              </w:rPr>
              <w:t>36.76</w:t>
            </w:r>
          </w:p>
        </w:tc>
      </w:tr>
      <w:tr w:rsidR="00813324" w:rsidRPr="00654309" w14:paraId="1EECDAB6" w14:textId="77777777" w:rsidTr="003A3206">
        <w:trPr>
          <w:trHeight w:val="573"/>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6612C5F" w14:textId="77777777" w:rsidR="00813324" w:rsidRPr="00654309" w:rsidRDefault="00813324" w:rsidP="00654309">
            <w:pPr>
              <w:rPr>
                <w:rFonts w:asciiTheme="minorHAnsi" w:hAnsiTheme="minorHAnsi" w:cs="Arial"/>
                <w:color w:val="000000"/>
                <w:sz w:val="22"/>
                <w:szCs w:val="22"/>
              </w:rPr>
            </w:pPr>
            <w:proofErr w:type="gramStart"/>
            <w:r w:rsidRPr="00654309">
              <w:rPr>
                <w:rFonts w:asciiTheme="minorHAnsi" w:hAnsiTheme="minorHAnsi" w:cs="Arial"/>
                <w:color w:val="000000"/>
                <w:sz w:val="22"/>
                <w:szCs w:val="22"/>
              </w:rPr>
              <w:t>Depreciation( Net</w:t>
            </w:r>
            <w:proofErr w:type="gramEnd"/>
            <w:r w:rsidRPr="00654309">
              <w:rPr>
                <w:rFonts w:asciiTheme="minorHAnsi" w:hAnsiTheme="minorHAnsi" w:cs="Arial"/>
                <w:color w:val="000000"/>
                <w:sz w:val="22"/>
                <w:szCs w:val="22"/>
              </w:rPr>
              <w:t xml:space="preserve"> off Govt. Grant - Cons. </w:t>
            </w:r>
            <w:proofErr w:type="spellStart"/>
            <w:r w:rsidRPr="00654309">
              <w:rPr>
                <w:rFonts w:asciiTheme="minorHAnsi" w:hAnsiTheme="minorHAnsi" w:cs="Arial"/>
                <w:color w:val="000000"/>
                <w:sz w:val="22"/>
                <w:szCs w:val="22"/>
              </w:rPr>
              <w:t>Contbn</w:t>
            </w:r>
            <w:proofErr w:type="spellEnd"/>
            <w:r w:rsidRPr="00654309">
              <w:rPr>
                <w:rFonts w:asciiTheme="minorHAnsi" w:hAnsiTheme="minorHAnsi" w:cs="Arial"/>
                <w:color w:val="000000"/>
                <w:sz w:val="22"/>
                <w:szCs w:val="22"/>
              </w:rPr>
              <w:t xml:space="preserve"> </w:t>
            </w:r>
            <w:proofErr w:type="spellStart"/>
            <w:r w:rsidRPr="00654309">
              <w:rPr>
                <w:rFonts w:asciiTheme="minorHAnsi" w:hAnsiTheme="minorHAnsi" w:cs="Arial"/>
                <w:color w:val="000000"/>
                <w:sz w:val="22"/>
                <w:szCs w:val="22"/>
              </w:rPr>
              <w:t>Amortisation</w:t>
            </w:r>
            <w:proofErr w:type="spellEnd"/>
            <w:r w:rsidRPr="00654309">
              <w:rPr>
                <w:rFonts w:asciiTheme="minorHAnsi" w:hAnsiTheme="minorHAnsi" w:cs="Arial"/>
                <w:color w:val="000000"/>
                <w:sz w:val="22"/>
                <w:szCs w:val="22"/>
              </w:rPr>
              <w:t>)</w:t>
            </w:r>
          </w:p>
        </w:tc>
        <w:tc>
          <w:tcPr>
            <w:tcW w:w="1412" w:type="dxa"/>
            <w:tcBorders>
              <w:top w:val="nil"/>
              <w:left w:val="nil"/>
              <w:bottom w:val="single" w:sz="4" w:space="0" w:color="auto"/>
              <w:right w:val="single" w:sz="4" w:space="0" w:color="auto"/>
            </w:tcBorders>
            <w:shd w:val="clear" w:color="auto" w:fill="auto"/>
            <w:noWrap/>
            <w:vAlign w:val="center"/>
            <w:hideMark/>
          </w:tcPr>
          <w:p w14:paraId="38F0199F" w14:textId="7126932E" w:rsidR="00813324" w:rsidRPr="00654309" w:rsidRDefault="00813324" w:rsidP="00813324">
            <w:pPr>
              <w:jc w:val="center"/>
              <w:rPr>
                <w:rFonts w:asciiTheme="minorHAnsi" w:hAnsiTheme="minorHAnsi" w:cs="Arial"/>
                <w:sz w:val="22"/>
                <w:szCs w:val="22"/>
              </w:rPr>
            </w:pPr>
            <w:r w:rsidRPr="00654309">
              <w:rPr>
                <w:rFonts w:asciiTheme="minorHAnsi" w:hAnsiTheme="minorHAnsi" w:cs="Arial"/>
                <w:sz w:val="22"/>
                <w:szCs w:val="22"/>
              </w:rPr>
              <w:t>49.83</w:t>
            </w:r>
          </w:p>
        </w:tc>
        <w:tc>
          <w:tcPr>
            <w:tcW w:w="1395" w:type="dxa"/>
            <w:tcBorders>
              <w:top w:val="nil"/>
              <w:left w:val="nil"/>
              <w:bottom w:val="single" w:sz="4" w:space="0" w:color="auto"/>
              <w:right w:val="single" w:sz="4" w:space="0" w:color="auto"/>
            </w:tcBorders>
            <w:shd w:val="clear" w:color="auto" w:fill="auto"/>
            <w:noWrap/>
            <w:vAlign w:val="center"/>
            <w:hideMark/>
          </w:tcPr>
          <w:p w14:paraId="6E13ABD2" w14:textId="61EA3A95" w:rsidR="00813324" w:rsidRPr="00654309" w:rsidRDefault="00813324" w:rsidP="00813324">
            <w:pPr>
              <w:jc w:val="center"/>
              <w:rPr>
                <w:rFonts w:asciiTheme="minorHAnsi" w:hAnsiTheme="minorHAnsi" w:cs="Arial"/>
                <w:sz w:val="22"/>
                <w:szCs w:val="22"/>
              </w:rPr>
            </w:pPr>
            <w:r w:rsidRPr="00654309">
              <w:rPr>
                <w:rFonts w:asciiTheme="minorHAnsi" w:hAnsiTheme="minorHAnsi" w:cs="Arial"/>
                <w:sz w:val="22"/>
                <w:szCs w:val="22"/>
              </w:rPr>
              <w:t>78.44</w:t>
            </w:r>
          </w:p>
        </w:tc>
        <w:tc>
          <w:tcPr>
            <w:tcW w:w="1638" w:type="dxa"/>
            <w:tcBorders>
              <w:top w:val="nil"/>
              <w:left w:val="nil"/>
              <w:bottom w:val="single" w:sz="4" w:space="0" w:color="auto"/>
              <w:right w:val="single" w:sz="4" w:space="0" w:color="auto"/>
            </w:tcBorders>
            <w:shd w:val="clear" w:color="auto" w:fill="auto"/>
            <w:noWrap/>
            <w:vAlign w:val="center"/>
            <w:hideMark/>
          </w:tcPr>
          <w:p w14:paraId="03B386F0" w14:textId="47F5AA00" w:rsidR="00813324" w:rsidRPr="00654309" w:rsidRDefault="00813324" w:rsidP="00813324">
            <w:pPr>
              <w:jc w:val="center"/>
              <w:rPr>
                <w:rFonts w:asciiTheme="minorHAnsi" w:hAnsiTheme="minorHAnsi" w:cs="Arial"/>
                <w:sz w:val="22"/>
                <w:szCs w:val="22"/>
              </w:rPr>
            </w:pPr>
            <w:r w:rsidRPr="00654309">
              <w:rPr>
                <w:rFonts w:asciiTheme="minorHAnsi" w:hAnsiTheme="minorHAnsi" w:cs="Arial"/>
                <w:sz w:val="22"/>
                <w:szCs w:val="22"/>
              </w:rPr>
              <w:t>Note-4&amp;6</w:t>
            </w:r>
          </w:p>
        </w:tc>
        <w:tc>
          <w:tcPr>
            <w:tcW w:w="0" w:type="auto"/>
            <w:tcBorders>
              <w:top w:val="nil"/>
              <w:left w:val="nil"/>
              <w:bottom w:val="single" w:sz="4" w:space="0" w:color="auto"/>
              <w:right w:val="single" w:sz="4" w:space="0" w:color="auto"/>
            </w:tcBorders>
            <w:shd w:val="clear" w:color="auto" w:fill="auto"/>
            <w:noWrap/>
            <w:vAlign w:val="center"/>
            <w:hideMark/>
          </w:tcPr>
          <w:p w14:paraId="194C4B2E" w14:textId="0C63CDEB" w:rsidR="00813324" w:rsidRPr="00654309" w:rsidRDefault="00813324" w:rsidP="00813324">
            <w:pPr>
              <w:jc w:val="center"/>
              <w:rPr>
                <w:rFonts w:asciiTheme="minorHAnsi" w:hAnsiTheme="minorHAnsi" w:cs="Arial"/>
                <w:sz w:val="22"/>
                <w:szCs w:val="22"/>
              </w:rPr>
            </w:pPr>
            <w:r w:rsidRPr="00654309">
              <w:rPr>
                <w:rFonts w:asciiTheme="minorHAnsi" w:hAnsiTheme="minorHAnsi" w:cs="Arial"/>
                <w:sz w:val="22"/>
                <w:szCs w:val="22"/>
              </w:rPr>
              <w:t>62.06</w:t>
            </w:r>
          </w:p>
        </w:tc>
      </w:tr>
      <w:tr w:rsidR="00813324" w:rsidRPr="00654309" w14:paraId="448A5331" w14:textId="77777777" w:rsidTr="003A3206">
        <w:trPr>
          <w:trHeight w:val="286"/>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7F8F3807" w14:textId="77777777" w:rsidR="00813324" w:rsidRPr="00654309" w:rsidRDefault="00813324" w:rsidP="00654309">
            <w:pPr>
              <w:rPr>
                <w:rFonts w:asciiTheme="minorHAnsi" w:hAnsiTheme="minorHAnsi" w:cs="Arial"/>
                <w:color w:val="000000"/>
                <w:sz w:val="22"/>
                <w:szCs w:val="22"/>
              </w:rPr>
            </w:pPr>
            <w:r w:rsidRPr="00654309">
              <w:rPr>
                <w:rFonts w:asciiTheme="minorHAnsi" w:hAnsiTheme="minorHAnsi" w:cs="Arial"/>
                <w:color w:val="000000"/>
                <w:sz w:val="22"/>
                <w:szCs w:val="22"/>
              </w:rPr>
              <w:t>Interest on security deposits</w:t>
            </w:r>
          </w:p>
        </w:tc>
        <w:tc>
          <w:tcPr>
            <w:tcW w:w="1412" w:type="dxa"/>
            <w:tcBorders>
              <w:top w:val="nil"/>
              <w:left w:val="nil"/>
              <w:bottom w:val="single" w:sz="4" w:space="0" w:color="auto"/>
              <w:right w:val="single" w:sz="4" w:space="0" w:color="auto"/>
            </w:tcBorders>
            <w:shd w:val="clear" w:color="auto" w:fill="auto"/>
            <w:noWrap/>
            <w:vAlign w:val="center"/>
            <w:hideMark/>
          </w:tcPr>
          <w:p w14:paraId="3465626C" w14:textId="73D28FD4" w:rsidR="00813324" w:rsidRPr="00654309" w:rsidRDefault="00813324" w:rsidP="00813324">
            <w:pPr>
              <w:jc w:val="center"/>
              <w:rPr>
                <w:rFonts w:asciiTheme="minorHAnsi" w:hAnsiTheme="minorHAnsi" w:cs="Arial"/>
                <w:sz w:val="22"/>
                <w:szCs w:val="22"/>
              </w:rPr>
            </w:pPr>
            <w:r w:rsidRPr="00654309">
              <w:rPr>
                <w:rFonts w:asciiTheme="minorHAnsi" w:hAnsiTheme="minorHAnsi" w:cs="Arial"/>
                <w:sz w:val="22"/>
                <w:szCs w:val="22"/>
              </w:rPr>
              <w:t>51.83</w:t>
            </w:r>
          </w:p>
        </w:tc>
        <w:tc>
          <w:tcPr>
            <w:tcW w:w="1395" w:type="dxa"/>
            <w:tcBorders>
              <w:top w:val="nil"/>
              <w:left w:val="nil"/>
              <w:bottom w:val="single" w:sz="4" w:space="0" w:color="auto"/>
              <w:right w:val="single" w:sz="4" w:space="0" w:color="auto"/>
            </w:tcBorders>
            <w:shd w:val="clear" w:color="auto" w:fill="auto"/>
            <w:noWrap/>
            <w:vAlign w:val="center"/>
            <w:hideMark/>
          </w:tcPr>
          <w:p w14:paraId="307DA912" w14:textId="34091344" w:rsidR="00813324" w:rsidRPr="00654309" w:rsidRDefault="00813324" w:rsidP="00813324">
            <w:pPr>
              <w:jc w:val="center"/>
              <w:rPr>
                <w:rFonts w:asciiTheme="minorHAnsi" w:hAnsiTheme="minorHAnsi" w:cs="Arial"/>
                <w:sz w:val="22"/>
                <w:szCs w:val="22"/>
              </w:rPr>
            </w:pPr>
            <w:r w:rsidRPr="00654309">
              <w:rPr>
                <w:rFonts w:asciiTheme="minorHAnsi" w:hAnsiTheme="minorHAnsi" w:cs="Arial"/>
                <w:sz w:val="22"/>
                <w:szCs w:val="22"/>
              </w:rPr>
              <w:t>50.46</w:t>
            </w:r>
          </w:p>
        </w:tc>
        <w:tc>
          <w:tcPr>
            <w:tcW w:w="1638" w:type="dxa"/>
            <w:tcBorders>
              <w:top w:val="nil"/>
              <w:left w:val="nil"/>
              <w:bottom w:val="single" w:sz="4" w:space="0" w:color="auto"/>
              <w:right w:val="single" w:sz="4" w:space="0" w:color="auto"/>
            </w:tcBorders>
            <w:shd w:val="clear" w:color="auto" w:fill="auto"/>
            <w:noWrap/>
            <w:vAlign w:val="center"/>
            <w:hideMark/>
          </w:tcPr>
          <w:p w14:paraId="5FCBD73A" w14:textId="16155659" w:rsidR="00813324" w:rsidRPr="00654309" w:rsidRDefault="00813324" w:rsidP="00813324">
            <w:pPr>
              <w:jc w:val="center"/>
              <w:rPr>
                <w:rFonts w:asciiTheme="minorHAnsi" w:hAnsiTheme="minorHAnsi" w:cs="Arial"/>
                <w:sz w:val="22"/>
                <w:szCs w:val="22"/>
              </w:rPr>
            </w:pPr>
            <w:r w:rsidRPr="00654309">
              <w:rPr>
                <w:rFonts w:asciiTheme="minorHAnsi" w:hAnsiTheme="minorHAnsi" w:cs="Arial"/>
                <w:sz w:val="22"/>
                <w:szCs w:val="22"/>
              </w:rPr>
              <w:t>Note-30</w:t>
            </w:r>
          </w:p>
        </w:tc>
        <w:tc>
          <w:tcPr>
            <w:tcW w:w="0" w:type="auto"/>
            <w:tcBorders>
              <w:top w:val="nil"/>
              <w:left w:val="nil"/>
              <w:bottom w:val="single" w:sz="4" w:space="0" w:color="auto"/>
              <w:right w:val="single" w:sz="4" w:space="0" w:color="auto"/>
            </w:tcBorders>
            <w:shd w:val="clear" w:color="auto" w:fill="auto"/>
            <w:noWrap/>
            <w:vAlign w:val="center"/>
            <w:hideMark/>
          </w:tcPr>
          <w:p w14:paraId="2A0CB50C" w14:textId="1366542A" w:rsidR="00813324" w:rsidRPr="00654309" w:rsidRDefault="00813324" w:rsidP="00813324">
            <w:pPr>
              <w:jc w:val="center"/>
              <w:rPr>
                <w:rFonts w:asciiTheme="minorHAnsi" w:hAnsiTheme="minorHAnsi" w:cs="Arial"/>
                <w:sz w:val="22"/>
                <w:szCs w:val="22"/>
              </w:rPr>
            </w:pPr>
            <w:r w:rsidRPr="00654309">
              <w:rPr>
                <w:rFonts w:asciiTheme="minorHAnsi" w:hAnsiTheme="minorHAnsi" w:cs="Arial"/>
                <w:sz w:val="22"/>
                <w:szCs w:val="22"/>
              </w:rPr>
              <w:t>50.46</w:t>
            </w:r>
          </w:p>
        </w:tc>
      </w:tr>
      <w:tr w:rsidR="00813324" w:rsidRPr="00654309" w14:paraId="340B22FD" w14:textId="77777777" w:rsidTr="003A3206">
        <w:trPr>
          <w:trHeight w:val="286"/>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09A663BC" w14:textId="77777777" w:rsidR="00813324" w:rsidRPr="00654309" w:rsidRDefault="00813324" w:rsidP="00654309">
            <w:pPr>
              <w:rPr>
                <w:rFonts w:asciiTheme="minorHAnsi" w:hAnsiTheme="minorHAnsi" w:cs="Arial"/>
                <w:color w:val="000000"/>
                <w:sz w:val="22"/>
                <w:szCs w:val="22"/>
              </w:rPr>
            </w:pPr>
            <w:r w:rsidRPr="00654309">
              <w:rPr>
                <w:rFonts w:asciiTheme="minorHAnsi" w:hAnsiTheme="minorHAnsi" w:cs="Arial"/>
                <w:color w:val="000000"/>
                <w:sz w:val="22"/>
                <w:szCs w:val="22"/>
              </w:rPr>
              <w:t>Interest on working capital</w:t>
            </w:r>
          </w:p>
        </w:tc>
        <w:tc>
          <w:tcPr>
            <w:tcW w:w="1412" w:type="dxa"/>
            <w:tcBorders>
              <w:top w:val="nil"/>
              <w:left w:val="nil"/>
              <w:bottom w:val="single" w:sz="4" w:space="0" w:color="auto"/>
              <w:right w:val="single" w:sz="4" w:space="0" w:color="auto"/>
            </w:tcBorders>
            <w:shd w:val="clear" w:color="auto" w:fill="auto"/>
            <w:noWrap/>
            <w:vAlign w:val="center"/>
            <w:hideMark/>
          </w:tcPr>
          <w:p w14:paraId="4F4CCA1C" w14:textId="39949023" w:rsidR="00813324" w:rsidRPr="00654309" w:rsidRDefault="00813324" w:rsidP="00813324">
            <w:pPr>
              <w:jc w:val="center"/>
              <w:rPr>
                <w:rFonts w:asciiTheme="minorHAnsi" w:hAnsiTheme="minorHAnsi" w:cs="Arial"/>
                <w:sz w:val="22"/>
                <w:szCs w:val="22"/>
              </w:rPr>
            </w:pPr>
            <w:r w:rsidRPr="00654309">
              <w:rPr>
                <w:rFonts w:asciiTheme="minorHAnsi" w:hAnsiTheme="minorHAnsi" w:cs="Arial"/>
                <w:sz w:val="22"/>
                <w:szCs w:val="22"/>
              </w:rPr>
              <w:t>27.02</w:t>
            </w:r>
          </w:p>
        </w:tc>
        <w:tc>
          <w:tcPr>
            <w:tcW w:w="1395" w:type="dxa"/>
            <w:tcBorders>
              <w:top w:val="nil"/>
              <w:left w:val="nil"/>
              <w:bottom w:val="single" w:sz="4" w:space="0" w:color="auto"/>
              <w:right w:val="single" w:sz="4" w:space="0" w:color="auto"/>
            </w:tcBorders>
            <w:shd w:val="clear" w:color="auto" w:fill="auto"/>
            <w:noWrap/>
            <w:vAlign w:val="center"/>
            <w:hideMark/>
          </w:tcPr>
          <w:p w14:paraId="4FF27175" w14:textId="73AA27B9" w:rsidR="00813324" w:rsidRPr="00654309" w:rsidRDefault="00813324" w:rsidP="00813324">
            <w:pPr>
              <w:jc w:val="center"/>
              <w:rPr>
                <w:rFonts w:asciiTheme="minorHAnsi" w:hAnsiTheme="minorHAnsi" w:cs="Arial"/>
                <w:sz w:val="22"/>
                <w:szCs w:val="22"/>
              </w:rPr>
            </w:pPr>
            <w:r w:rsidRPr="00654309">
              <w:rPr>
                <w:rFonts w:asciiTheme="minorHAnsi" w:hAnsiTheme="minorHAnsi" w:cs="Arial"/>
                <w:sz w:val="22"/>
                <w:szCs w:val="22"/>
              </w:rPr>
              <w:t>19.79</w:t>
            </w:r>
          </w:p>
        </w:tc>
        <w:tc>
          <w:tcPr>
            <w:tcW w:w="1638" w:type="dxa"/>
            <w:tcBorders>
              <w:top w:val="nil"/>
              <w:left w:val="nil"/>
              <w:bottom w:val="single" w:sz="4" w:space="0" w:color="auto"/>
              <w:right w:val="single" w:sz="4" w:space="0" w:color="auto"/>
            </w:tcBorders>
            <w:shd w:val="clear" w:color="auto" w:fill="auto"/>
            <w:noWrap/>
            <w:vAlign w:val="center"/>
            <w:hideMark/>
          </w:tcPr>
          <w:p w14:paraId="22F774D1" w14:textId="09128C50" w:rsidR="00813324" w:rsidRPr="00654309" w:rsidRDefault="00813324" w:rsidP="00813324">
            <w:pPr>
              <w:jc w:val="center"/>
              <w:rPr>
                <w:rFonts w:asciiTheme="minorHAnsi" w:hAnsiTheme="minorHAnsi" w:cs="Arial"/>
                <w:sz w:val="22"/>
                <w:szCs w:val="22"/>
              </w:rPr>
            </w:pPr>
            <w:r w:rsidRPr="00654309">
              <w:rPr>
                <w:rFonts w:asciiTheme="minorHAnsi" w:hAnsiTheme="minorHAnsi" w:cs="Arial"/>
                <w:sz w:val="22"/>
                <w:szCs w:val="22"/>
              </w:rPr>
              <w:t>Note-30</w:t>
            </w:r>
          </w:p>
        </w:tc>
        <w:tc>
          <w:tcPr>
            <w:tcW w:w="0" w:type="auto"/>
            <w:tcBorders>
              <w:top w:val="nil"/>
              <w:left w:val="nil"/>
              <w:bottom w:val="single" w:sz="4" w:space="0" w:color="auto"/>
              <w:right w:val="single" w:sz="4" w:space="0" w:color="auto"/>
            </w:tcBorders>
            <w:shd w:val="clear" w:color="auto" w:fill="auto"/>
            <w:noWrap/>
            <w:vAlign w:val="center"/>
            <w:hideMark/>
          </w:tcPr>
          <w:p w14:paraId="0A492B34" w14:textId="64786108" w:rsidR="00813324" w:rsidRPr="00654309" w:rsidRDefault="00813324" w:rsidP="00813324">
            <w:pPr>
              <w:jc w:val="center"/>
              <w:rPr>
                <w:rFonts w:asciiTheme="minorHAnsi" w:hAnsiTheme="minorHAnsi" w:cs="Arial"/>
                <w:sz w:val="22"/>
                <w:szCs w:val="22"/>
              </w:rPr>
            </w:pPr>
            <w:r w:rsidRPr="00654309">
              <w:rPr>
                <w:rFonts w:asciiTheme="minorHAnsi" w:hAnsiTheme="minorHAnsi" w:cs="Arial"/>
                <w:sz w:val="22"/>
                <w:szCs w:val="22"/>
              </w:rPr>
              <w:t>22.72</w:t>
            </w:r>
          </w:p>
        </w:tc>
      </w:tr>
      <w:tr w:rsidR="00813324" w:rsidRPr="00654309" w14:paraId="6FF5FBE6" w14:textId="77777777" w:rsidTr="003A3206">
        <w:trPr>
          <w:trHeight w:val="286"/>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2A4A071F" w14:textId="792F6697" w:rsidR="00813324" w:rsidRPr="00654309" w:rsidRDefault="00813324" w:rsidP="00654309">
            <w:pPr>
              <w:rPr>
                <w:rFonts w:asciiTheme="minorHAnsi" w:hAnsiTheme="minorHAnsi" w:cs="Arial"/>
                <w:color w:val="000000"/>
                <w:sz w:val="22"/>
                <w:szCs w:val="22"/>
              </w:rPr>
            </w:pPr>
            <w:r w:rsidRPr="00654309">
              <w:rPr>
                <w:rFonts w:asciiTheme="minorHAnsi" w:hAnsiTheme="minorHAnsi" w:cs="Arial"/>
                <w:color w:val="000000"/>
                <w:sz w:val="22"/>
                <w:szCs w:val="22"/>
              </w:rPr>
              <w:t>Interest on Term Loan (normative)</w:t>
            </w:r>
          </w:p>
        </w:tc>
        <w:tc>
          <w:tcPr>
            <w:tcW w:w="1412" w:type="dxa"/>
            <w:tcBorders>
              <w:top w:val="nil"/>
              <w:left w:val="nil"/>
              <w:bottom w:val="single" w:sz="4" w:space="0" w:color="auto"/>
              <w:right w:val="single" w:sz="4" w:space="0" w:color="auto"/>
            </w:tcBorders>
            <w:shd w:val="clear" w:color="auto" w:fill="auto"/>
            <w:noWrap/>
            <w:vAlign w:val="center"/>
            <w:hideMark/>
          </w:tcPr>
          <w:p w14:paraId="7500077A" w14:textId="7DCDB6D1" w:rsidR="00813324" w:rsidRPr="00654309" w:rsidRDefault="00813324" w:rsidP="00813324">
            <w:pPr>
              <w:jc w:val="center"/>
              <w:rPr>
                <w:rFonts w:asciiTheme="minorHAnsi" w:hAnsiTheme="minorHAnsi" w:cs="Arial"/>
                <w:sz w:val="22"/>
                <w:szCs w:val="22"/>
              </w:rPr>
            </w:pPr>
            <w:r w:rsidRPr="00654309">
              <w:rPr>
                <w:rFonts w:asciiTheme="minorHAnsi" w:hAnsiTheme="minorHAnsi" w:cs="Arial"/>
                <w:sz w:val="22"/>
                <w:szCs w:val="22"/>
              </w:rPr>
              <w:t>21.61</w:t>
            </w:r>
          </w:p>
        </w:tc>
        <w:tc>
          <w:tcPr>
            <w:tcW w:w="1395" w:type="dxa"/>
            <w:tcBorders>
              <w:top w:val="nil"/>
              <w:left w:val="nil"/>
              <w:bottom w:val="single" w:sz="4" w:space="0" w:color="auto"/>
              <w:right w:val="single" w:sz="4" w:space="0" w:color="auto"/>
            </w:tcBorders>
            <w:shd w:val="clear" w:color="auto" w:fill="auto"/>
            <w:noWrap/>
            <w:vAlign w:val="center"/>
            <w:hideMark/>
          </w:tcPr>
          <w:p w14:paraId="1D2BBDA5" w14:textId="7C25ABBB" w:rsidR="00813324" w:rsidRPr="00654309" w:rsidRDefault="00813324" w:rsidP="00813324">
            <w:pPr>
              <w:jc w:val="center"/>
              <w:rPr>
                <w:rFonts w:asciiTheme="minorHAnsi" w:hAnsiTheme="minorHAnsi" w:cs="Arial"/>
                <w:sz w:val="22"/>
                <w:szCs w:val="22"/>
              </w:rPr>
            </w:pPr>
            <w:r w:rsidRPr="00654309">
              <w:rPr>
                <w:rFonts w:asciiTheme="minorHAnsi" w:hAnsiTheme="minorHAnsi" w:cs="Arial"/>
                <w:sz w:val="22"/>
                <w:szCs w:val="22"/>
              </w:rPr>
              <w:t>29.81</w:t>
            </w:r>
          </w:p>
        </w:tc>
        <w:tc>
          <w:tcPr>
            <w:tcW w:w="1638" w:type="dxa"/>
            <w:tcBorders>
              <w:top w:val="nil"/>
              <w:left w:val="nil"/>
              <w:bottom w:val="single" w:sz="4" w:space="0" w:color="auto"/>
              <w:right w:val="single" w:sz="4" w:space="0" w:color="auto"/>
            </w:tcBorders>
            <w:shd w:val="clear" w:color="auto" w:fill="auto"/>
            <w:noWrap/>
            <w:vAlign w:val="center"/>
            <w:hideMark/>
          </w:tcPr>
          <w:p w14:paraId="32173331" w14:textId="6EFA12A9" w:rsidR="00813324" w:rsidRPr="00654309" w:rsidRDefault="00813324" w:rsidP="00813324">
            <w:pPr>
              <w:jc w:val="center"/>
              <w:rPr>
                <w:rFonts w:asciiTheme="minorHAnsi" w:hAnsiTheme="minorHAnsi" w:cs="Arial"/>
                <w:sz w:val="22"/>
                <w:szCs w:val="22"/>
              </w:rPr>
            </w:pPr>
            <w:r w:rsidRPr="00654309">
              <w:rPr>
                <w:rFonts w:asciiTheme="minorHAnsi" w:hAnsiTheme="minorHAnsi" w:cs="Arial"/>
                <w:sz w:val="22"/>
                <w:szCs w:val="22"/>
              </w:rPr>
              <w:t>Note-30</w:t>
            </w:r>
          </w:p>
        </w:tc>
        <w:tc>
          <w:tcPr>
            <w:tcW w:w="0" w:type="auto"/>
            <w:tcBorders>
              <w:top w:val="nil"/>
              <w:left w:val="nil"/>
              <w:bottom w:val="single" w:sz="4" w:space="0" w:color="auto"/>
              <w:right w:val="single" w:sz="4" w:space="0" w:color="auto"/>
            </w:tcBorders>
            <w:shd w:val="clear" w:color="auto" w:fill="auto"/>
            <w:noWrap/>
            <w:vAlign w:val="center"/>
            <w:hideMark/>
          </w:tcPr>
          <w:p w14:paraId="3F13A6E2" w14:textId="58012888" w:rsidR="00813324" w:rsidRPr="00654309" w:rsidRDefault="00813324" w:rsidP="00813324">
            <w:pPr>
              <w:jc w:val="center"/>
              <w:rPr>
                <w:rFonts w:asciiTheme="minorHAnsi" w:hAnsiTheme="minorHAnsi" w:cs="Arial"/>
                <w:sz w:val="22"/>
                <w:szCs w:val="22"/>
              </w:rPr>
            </w:pPr>
            <w:r w:rsidRPr="00654309">
              <w:rPr>
                <w:rFonts w:asciiTheme="minorHAnsi" w:hAnsiTheme="minorHAnsi" w:cs="Arial"/>
                <w:sz w:val="22"/>
                <w:szCs w:val="22"/>
              </w:rPr>
              <w:t>40.81</w:t>
            </w:r>
          </w:p>
        </w:tc>
      </w:tr>
      <w:tr w:rsidR="00813324" w:rsidRPr="00654309" w14:paraId="3505D816" w14:textId="77777777" w:rsidTr="003A3206">
        <w:trPr>
          <w:trHeight w:val="603"/>
        </w:trPr>
        <w:tc>
          <w:tcPr>
            <w:tcW w:w="0" w:type="auto"/>
            <w:tcBorders>
              <w:top w:val="nil"/>
              <w:left w:val="single" w:sz="4" w:space="0" w:color="auto"/>
              <w:bottom w:val="single" w:sz="4" w:space="0" w:color="auto"/>
              <w:right w:val="single" w:sz="4" w:space="0" w:color="auto"/>
            </w:tcBorders>
            <w:shd w:val="clear" w:color="000000" w:fill="DDEBF7"/>
            <w:vAlign w:val="center"/>
            <w:hideMark/>
          </w:tcPr>
          <w:p w14:paraId="4ACD918D" w14:textId="77777777" w:rsidR="00813324" w:rsidRPr="00654309" w:rsidRDefault="00813324" w:rsidP="00654309">
            <w:pPr>
              <w:rPr>
                <w:rFonts w:asciiTheme="minorHAnsi" w:hAnsiTheme="minorHAnsi" w:cs="Arial"/>
                <w:b/>
                <w:bCs/>
                <w:color w:val="000000"/>
                <w:sz w:val="22"/>
                <w:szCs w:val="22"/>
              </w:rPr>
            </w:pPr>
            <w:r w:rsidRPr="00654309">
              <w:rPr>
                <w:rFonts w:asciiTheme="minorHAnsi" w:hAnsiTheme="minorHAnsi" w:cs="Arial"/>
                <w:b/>
                <w:bCs/>
                <w:color w:val="000000"/>
                <w:sz w:val="22"/>
                <w:szCs w:val="22"/>
              </w:rPr>
              <w:t>Total Operation &amp;Maintenance and Other Cost</w:t>
            </w:r>
          </w:p>
        </w:tc>
        <w:tc>
          <w:tcPr>
            <w:tcW w:w="1412" w:type="dxa"/>
            <w:tcBorders>
              <w:top w:val="nil"/>
              <w:left w:val="nil"/>
              <w:bottom w:val="single" w:sz="4" w:space="0" w:color="auto"/>
              <w:right w:val="single" w:sz="4" w:space="0" w:color="auto"/>
            </w:tcBorders>
            <w:shd w:val="clear" w:color="000000" w:fill="DDEBF7"/>
            <w:noWrap/>
            <w:vAlign w:val="center"/>
            <w:hideMark/>
          </w:tcPr>
          <w:p w14:paraId="4B55B6BF" w14:textId="32FE9B2B" w:rsidR="00813324" w:rsidRPr="00654309" w:rsidRDefault="00813324" w:rsidP="00813324">
            <w:pPr>
              <w:jc w:val="center"/>
              <w:rPr>
                <w:rFonts w:asciiTheme="minorHAnsi" w:hAnsiTheme="minorHAnsi" w:cs="Arial"/>
                <w:b/>
                <w:bCs/>
                <w:color w:val="000000"/>
                <w:sz w:val="22"/>
                <w:szCs w:val="22"/>
              </w:rPr>
            </w:pPr>
            <w:r w:rsidRPr="00654309">
              <w:rPr>
                <w:rFonts w:asciiTheme="minorHAnsi" w:hAnsiTheme="minorHAnsi" w:cs="Arial"/>
                <w:b/>
                <w:bCs/>
                <w:color w:val="000000"/>
                <w:sz w:val="22"/>
                <w:szCs w:val="22"/>
              </w:rPr>
              <w:t>1,033.14</w:t>
            </w:r>
          </w:p>
        </w:tc>
        <w:tc>
          <w:tcPr>
            <w:tcW w:w="1395" w:type="dxa"/>
            <w:tcBorders>
              <w:top w:val="nil"/>
              <w:left w:val="nil"/>
              <w:bottom w:val="single" w:sz="4" w:space="0" w:color="auto"/>
              <w:right w:val="single" w:sz="4" w:space="0" w:color="auto"/>
            </w:tcBorders>
            <w:shd w:val="clear" w:color="000000" w:fill="DDEBF7"/>
            <w:noWrap/>
            <w:vAlign w:val="center"/>
            <w:hideMark/>
          </w:tcPr>
          <w:p w14:paraId="3250A623" w14:textId="7420E37A" w:rsidR="00813324" w:rsidRPr="00654309" w:rsidRDefault="00813324" w:rsidP="00813324">
            <w:pPr>
              <w:jc w:val="center"/>
              <w:rPr>
                <w:rFonts w:asciiTheme="minorHAnsi" w:hAnsiTheme="minorHAnsi" w:cs="Arial"/>
                <w:b/>
                <w:bCs/>
                <w:color w:val="000000"/>
                <w:sz w:val="22"/>
                <w:szCs w:val="22"/>
              </w:rPr>
            </w:pPr>
            <w:r w:rsidRPr="00654309">
              <w:rPr>
                <w:rFonts w:asciiTheme="minorHAnsi" w:hAnsiTheme="minorHAnsi" w:cs="Arial"/>
                <w:b/>
                <w:bCs/>
                <w:color w:val="000000"/>
                <w:sz w:val="22"/>
                <w:szCs w:val="22"/>
              </w:rPr>
              <w:t>1,150.93</w:t>
            </w:r>
          </w:p>
        </w:tc>
        <w:tc>
          <w:tcPr>
            <w:tcW w:w="1638" w:type="dxa"/>
            <w:tcBorders>
              <w:top w:val="nil"/>
              <w:left w:val="nil"/>
              <w:bottom w:val="single" w:sz="4" w:space="0" w:color="auto"/>
              <w:right w:val="single" w:sz="4" w:space="0" w:color="auto"/>
            </w:tcBorders>
            <w:shd w:val="clear" w:color="000000" w:fill="DDEBF7"/>
            <w:noWrap/>
            <w:vAlign w:val="center"/>
            <w:hideMark/>
          </w:tcPr>
          <w:p w14:paraId="5B026401" w14:textId="2CC3C1EC" w:rsidR="00813324" w:rsidRPr="00654309" w:rsidRDefault="00813324" w:rsidP="00813324">
            <w:pPr>
              <w:jc w:val="center"/>
              <w:rPr>
                <w:rFonts w:asciiTheme="minorHAnsi" w:hAnsiTheme="minorHAnsi" w:cs="Arial"/>
                <w:b/>
                <w:bCs/>
                <w:color w:val="000000"/>
                <w:sz w:val="22"/>
                <w:szCs w:val="22"/>
              </w:rPr>
            </w:pPr>
          </w:p>
        </w:tc>
        <w:tc>
          <w:tcPr>
            <w:tcW w:w="0" w:type="auto"/>
            <w:tcBorders>
              <w:top w:val="nil"/>
              <w:left w:val="nil"/>
              <w:bottom w:val="single" w:sz="4" w:space="0" w:color="auto"/>
              <w:right w:val="single" w:sz="4" w:space="0" w:color="auto"/>
            </w:tcBorders>
            <w:shd w:val="clear" w:color="000000" w:fill="DDEBF7"/>
            <w:noWrap/>
            <w:vAlign w:val="center"/>
            <w:hideMark/>
          </w:tcPr>
          <w:p w14:paraId="05C36BA9" w14:textId="4BB5F775" w:rsidR="00813324" w:rsidRPr="00654309" w:rsidRDefault="00813324" w:rsidP="00813324">
            <w:pPr>
              <w:jc w:val="center"/>
              <w:rPr>
                <w:rFonts w:asciiTheme="minorHAnsi" w:hAnsiTheme="minorHAnsi" w:cs="Arial"/>
                <w:b/>
                <w:bCs/>
                <w:color w:val="000000"/>
                <w:sz w:val="22"/>
                <w:szCs w:val="22"/>
              </w:rPr>
            </w:pPr>
            <w:r w:rsidRPr="00654309">
              <w:rPr>
                <w:rFonts w:asciiTheme="minorHAnsi" w:hAnsiTheme="minorHAnsi" w:cs="Arial"/>
                <w:b/>
                <w:bCs/>
                <w:color w:val="000000"/>
                <w:sz w:val="22"/>
                <w:szCs w:val="22"/>
              </w:rPr>
              <w:t>1,077.31</w:t>
            </w:r>
          </w:p>
        </w:tc>
      </w:tr>
      <w:tr w:rsidR="00813324" w:rsidRPr="00654309" w14:paraId="4E1C8E9A" w14:textId="77777777" w:rsidTr="003A3206">
        <w:trPr>
          <w:trHeight w:val="286"/>
        </w:trPr>
        <w:tc>
          <w:tcPr>
            <w:tcW w:w="0" w:type="auto"/>
            <w:tcBorders>
              <w:top w:val="nil"/>
              <w:left w:val="single" w:sz="4" w:space="0" w:color="auto"/>
              <w:bottom w:val="single" w:sz="4" w:space="0" w:color="auto"/>
              <w:right w:val="single" w:sz="4" w:space="0" w:color="auto"/>
            </w:tcBorders>
            <w:shd w:val="clear" w:color="000000" w:fill="FFFFFF"/>
            <w:noWrap/>
            <w:vAlign w:val="center"/>
            <w:hideMark/>
          </w:tcPr>
          <w:p w14:paraId="3C3F857B" w14:textId="77777777" w:rsidR="00813324" w:rsidRPr="00654309" w:rsidRDefault="00813324" w:rsidP="00654309">
            <w:pPr>
              <w:rPr>
                <w:rFonts w:asciiTheme="minorHAnsi" w:hAnsiTheme="minorHAnsi" w:cs="Arial"/>
                <w:color w:val="000000"/>
                <w:sz w:val="22"/>
                <w:szCs w:val="22"/>
              </w:rPr>
            </w:pPr>
            <w:r w:rsidRPr="00654309">
              <w:rPr>
                <w:rFonts w:asciiTheme="minorHAnsi" w:hAnsiTheme="minorHAnsi" w:cs="Arial"/>
                <w:color w:val="000000"/>
                <w:sz w:val="22"/>
                <w:szCs w:val="22"/>
              </w:rPr>
              <w:t>Return on equity</w:t>
            </w:r>
          </w:p>
        </w:tc>
        <w:tc>
          <w:tcPr>
            <w:tcW w:w="1412" w:type="dxa"/>
            <w:tcBorders>
              <w:top w:val="nil"/>
              <w:left w:val="nil"/>
              <w:bottom w:val="single" w:sz="4" w:space="0" w:color="auto"/>
              <w:right w:val="single" w:sz="4" w:space="0" w:color="auto"/>
            </w:tcBorders>
            <w:shd w:val="clear" w:color="auto" w:fill="auto"/>
            <w:noWrap/>
            <w:vAlign w:val="center"/>
            <w:hideMark/>
          </w:tcPr>
          <w:p w14:paraId="6BF09014" w14:textId="095F90DA" w:rsidR="00813324" w:rsidRPr="00654309" w:rsidRDefault="00813324" w:rsidP="00813324">
            <w:pPr>
              <w:jc w:val="center"/>
              <w:rPr>
                <w:rFonts w:asciiTheme="minorHAnsi" w:hAnsiTheme="minorHAnsi" w:cs="Arial"/>
                <w:sz w:val="22"/>
                <w:szCs w:val="22"/>
              </w:rPr>
            </w:pPr>
            <w:r w:rsidRPr="00654309">
              <w:rPr>
                <w:rFonts w:asciiTheme="minorHAnsi" w:hAnsiTheme="minorHAnsi" w:cs="Arial"/>
                <w:sz w:val="22"/>
                <w:szCs w:val="22"/>
              </w:rPr>
              <w:t>47.19</w:t>
            </w:r>
          </w:p>
        </w:tc>
        <w:tc>
          <w:tcPr>
            <w:tcW w:w="1395" w:type="dxa"/>
            <w:tcBorders>
              <w:top w:val="nil"/>
              <w:left w:val="nil"/>
              <w:bottom w:val="single" w:sz="4" w:space="0" w:color="auto"/>
              <w:right w:val="single" w:sz="4" w:space="0" w:color="auto"/>
            </w:tcBorders>
            <w:shd w:val="clear" w:color="auto" w:fill="auto"/>
            <w:noWrap/>
            <w:vAlign w:val="center"/>
            <w:hideMark/>
          </w:tcPr>
          <w:p w14:paraId="06D44BA7" w14:textId="10C28497" w:rsidR="00813324" w:rsidRPr="00654309" w:rsidRDefault="00813324" w:rsidP="00813324">
            <w:pPr>
              <w:jc w:val="center"/>
              <w:rPr>
                <w:rFonts w:asciiTheme="minorHAnsi" w:hAnsiTheme="minorHAnsi" w:cs="Arial"/>
                <w:sz w:val="22"/>
                <w:szCs w:val="22"/>
              </w:rPr>
            </w:pPr>
            <w:r w:rsidRPr="00654309">
              <w:rPr>
                <w:rFonts w:asciiTheme="minorHAnsi" w:hAnsiTheme="minorHAnsi" w:cs="Arial"/>
                <w:sz w:val="22"/>
                <w:szCs w:val="22"/>
              </w:rPr>
              <w:t>-</w:t>
            </w:r>
          </w:p>
        </w:tc>
        <w:tc>
          <w:tcPr>
            <w:tcW w:w="1638" w:type="dxa"/>
            <w:tcBorders>
              <w:top w:val="nil"/>
              <w:left w:val="nil"/>
              <w:bottom w:val="single" w:sz="4" w:space="0" w:color="auto"/>
              <w:right w:val="single" w:sz="4" w:space="0" w:color="auto"/>
            </w:tcBorders>
            <w:shd w:val="clear" w:color="auto" w:fill="auto"/>
            <w:noWrap/>
            <w:vAlign w:val="center"/>
            <w:hideMark/>
          </w:tcPr>
          <w:p w14:paraId="1966E6DD" w14:textId="116549D5" w:rsidR="00813324" w:rsidRPr="00654309" w:rsidRDefault="00813324" w:rsidP="00813324">
            <w:pPr>
              <w:jc w:val="center"/>
              <w:rPr>
                <w:rFonts w:asciiTheme="minorHAnsi" w:hAnsiTheme="minorHAnsi" w:cs="Arial"/>
                <w:sz w:val="22"/>
                <w:szCs w:val="22"/>
              </w:rPr>
            </w:pPr>
          </w:p>
        </w:tc>
        <w:tc>
          <w:tcPr>
            <w:tcW w:w="0" w:type="auto"/>
            <w:tcBorders>
              <w:top w:val="nil"/>
              <w:left w:val="nil"/>
              <w:bottom w:val="single" w:sz="4" w:space="0" w:color="auto"/>
              <w:right w:val="single" w:sz="4" w:space="0" w:color="auto"/>
            </w:tcBorders>
            <w:shd w:val="clear" w:color="auto" w:fill="auto"/>
            <w:noWrap/>
            <w:vAlign w:val="center"/>
            <w:hideMark/>
          </w:tcPr>
          <w:p w14:paraId="1BB371AC" w14:textId="02AC5E6E" w:rsidR="00813324" w:rsidRPr="00654309" w:rsidRDefault="00813324" w:rsidP="00813324">
            <w:pPr>
              <w:jc w:val="center"/>
              <w:rPr>
                <w:rFonts w:asciiTheme="minorHAnsi" w:hAnsiTheme="minorHAnsi" w:cs="Arial"/>
                <w:sz w:val="22"/>
                <w:szCs w:val="22"/>
              </w:rPr>
            </w:pPr>
            <w:r w:rsidRPr="00654309">
              <w:rPr>
                <w:rFonts w:asciiTheme="minorHAnsi" w:hAnsiTheme="minorHAnsi" w:cs="Arial"/>
                <w:sz w:val="22"/>
                <w:szCs w:val="22"/>
              </w:rPr>
              <w:t>80.34</w:t>
            </w:r>
          </w:p>
        </w:tc>
      </w:tr>
      <w:tr w:rsidR="00813324" w:rsidRPr="00654309" w14:paraId="2A56A606" w14:textId="77777777" w:rsidTr="003A3206">
        <w:trPr>
          <w:trHeight w:val="286"/>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38978FD9" w14:textId="77777777" w:rsidR="00813324" w:rsidRPr="00654309" w:rsidRDefault="00813324" w:rsidP="00654309">
            <w:pPr>
              <w:rPr>
                <w:rFonts w:asciiTheme="minorHAnsi" w:hAnsiTheme="minorHAnsi" w:cs="Arial"/>
                <w:color w:val="000000"/>
                <w:sz w:val="22"/>
                <w:szCs w:val="22"/>
              </w:rPr>
            </w:pPr>
            <w:r w:rsidRPr="00654309">
              <w:rPr>
                <w:rFonts w:asciiTheme="minorHAnsi" w:hAnsiTheme="minorHAnsi" w:cs="Arial"/>
                <w:color w:val="000000"/>
                <w:sz w:val="22"/>
                <w:szCs w:val="22"/>
              </w:rPr>
              <w:t>Income Tax</w:t>
            </w:r>
          </w:p>
        </w:tc>
        <w:tc>
          <w:tcPr>
            <w:tcW w:w="1412" w:type="dxa"/>
            <w:tcBorders>
              <w:top w:val="nil"/>
              <w:left w:val="nil"/>
              <w:bottom w:val="single" w:sz="4" w:space="0" w:color="auto"/>
              <w:right w:val="single" w:sz="4" w:space="0" w:color="auto"/>
            </w:tcBorders>
            <w:shd w:val="clear" w:color="auto" w:fill="auto"/>
            <w:noWrap/>
            <w:vAlign w:val="center"/>
            <w:hideMark/>
          </w:tcPr>
          <w:p w14:paraId="297652DF" w14:textId="29AF5164" w:rsidR="00813324" w:rsidRPr="00654309" w:rsidRDefault="00813324" w:rsidP="00813324">
            <w:pPr>
              <w:jc w:val="center"/>
              <w:rPr>
                <w:rFonts w:asciiTheme="minorHAnsi" w:hAnsiTheme="minorHAnsi" w:cs="Arial"/>
                <w:sz w:val="22"/>
                <w:szCs w:val="22"/>
              </w:rPr>
            </w:pPr>
          </w:p>
        </w:tc>
        <w:tc>
          <w:tcPr>
            <w:tcW w:w="1395" w:type="dxa"/>
            <w:tcBorders>
              <w:top w:val="nil"/>
              <w:left w:val="nil"/>
              <w:bottom w:val="single" w:sz="4" w:space="0" w:color="auto"/>
              <w:right w:val="single" w:sz="4" w:space="0" w:color="auto"/>
            </w:tcBorders>
            <w:shd w:val="clear" w:color="auto" w:fill="auto"/>
            <w:noWrap/>
            <w:vAlign w:val="center"/>
            <w:hideMark/>
          </w:tcPr>
          <w:p w14:paraId="3B560316" w14:textId="2E4812B8" w:rsidR="00813324" w:rsidRPr="00654309" w:rsidRDefault="00813324" w:rsidP="00813324">
            <w:pPr>
              <w:jc w:val="center"/>
              <w:rPr>
                <w:rFonts w:asciiTheme="minorHAnsi" w:hAnsiTheme="minorHAnsi" w:cs="Arial"/>
                <w:sz w:val="22"/>
                <w:szCs w:val="22"/>
              </w:rPr>
            </w:pPr>
            <w:r w:rsidRPr="00654309">
              <w:rPr>
                <w:rFonts w:asciiTheme="minorHAnsi" w:hAnsiTheme="minorHAnsi" w:cs="Arial"/>
                <w:sz w:val="22"/>
                <w:szCs w:val="22"/>
              </w:rPr>
              <w:t>47.50</w:t>
            </w:r>
          </w:p>
        </w:tc>
        <w:tc>
          <w:tcPr>
            <w:tcW w:w="1638" w:type="dxa"/>
            <w:tcBorders>
              <w:top w:val="nil"/>
              <w:left w:val="nil"/>
              <w:bottom w:val="single" w:sz="4" w:space="0" w:color="auto"/>
              <w:right w:val="single" w:sz="4" w:space="0" w:color="auto"/>
            </w:tcBorders>
            <w:shd w:val="clear" w:color="auto" w:fill="auto"/>
            <w:noWrap/>
            <w:vAlign w:val="center"/>
            <w:hideMark/>
          </w:tcPr>
          <w:p w14:paraId="6DC1472B" w14:textId="725CADA4" w:rsidR="00813324" w:rsidRPr="00654309" w:rsidRDefault="00813324" w:rsidP="00813324">
            <w:pPr>
              <w:jc w:val="center"/>
              <w:rPr>
                <w:rFonts w:asciiTheme="minorHAnsi" w:hAnsiTheme="minorHAnsi" w:cs="Arial"/>
                <w:sz w:val="22"/>
                <w:szCs w:val="22"/>
              </w:rPr>
            </w:pPr>
            <w:r w:rsidRPr="00654309">
              <w:rPr>
                <w:rFonts w:asciiTheme="minorHAnsi" w:hAnsiTheme="minorHAnsi" w:cs="Arial"/>
                <w:sz w:val="22"/>
                <w:szCs w:val="22"/>
              </w:rPr>
              <w:t>Note-32</w:t>
            </w:r>
          </w:p>
        </w:tc>
        <w:tc>
          <w:tcPr>
            <w:tcW w:w="0" w:type="auto"/>
            <w:tcBorders>
              <w:top w:val="nil"/>
              <w:left w:val="nil"/>
              <w:bottom w:val="single" w:sz="4" w:space="0" w:color="auto"/>
              <w:right w:val="single" w:sz="4" w:space="0" w:color="auto"/>
            </w:tcBorders>
            <w:shd w:val="clear" w:color="auto" w:fill="auto"/>
            <w:noWrap/>
            <w:vAlign w:val="center"/>
            <w:hideMark/>
          </w:tcPr>
          <w:p w14:paraId="2AD43735" w14:textId="530F1E33" w:rsidR="00813324" w:rsidRPr="00654309" w:rsidRDefault="00813324" w:rsidP="00813324">
            <w:pPr>
              <w:jc w:val="center"/>
              <w:rPr>
                <w:rFonts w:asciiTheme="minorHAnsi" w:hAnsiTheme="minorHAnsi" w:cs="Arial"/>
                <w:sz w:val="22"/>
                <w:szCs w:val="22"/>
              </w:rPr>
            </w:pPr>
            <w:r w:rsidRPr="00654309">
              <w:rPr>
                <w:rFonts w:asciiTheme="minorHAnsi" w:hAnsiTheme="minorHAnsi" w:cs="Arial"/>
                <w:sz w:val="22"/>
                <w:szCs w:val="22"/>
              </w:rPr>
              <w:t>27.02</w:t>
            </w:r>
          </w:p>
        </w:tc>
      </w:tr>
      <w:tr w:rsidR="00813324" w:rsidRPr="00654309" w14:paraId="13069E7C" w14:textId="77777777" w:rsidTr="003A3206">
        <w:trPr>
          <w:trHeight w:val="301"/>
        </w:trPr>
        <w:tc>
          <w:tcPr>
            <w:tcW w:w="0" w:type="auto"/>
            <w:tcBorders>
              <w:top w:val="nil"/>
              <w:left w:val="single" w:sz="4" w:space="0" w:color="auto"/>
              <w:bottom w:val="single" w:sz="4" w:space="0" w:color="auto"/>
              <w:right w:val="single" w:sz="4" w:space="0" w:color="auto"/>
            </w:tcBorders>
            <w:shd w:val="clear" w:color="000000" w:fill="DDEBF7"/>
            <w:noWrap/>
            <w:vAlign w:val="center"/>
            <w:hideMark/>
          </w:tcPr>
          <w:p w14:paraId="592C0FBE" w14:textId="77777777" w:rsidR="00813324" w:rsidRPr="00654309" w:rsidRDefault="00813324" w:rsidP="00654309">
            <w:pPr>
              <w:rPr>
                <w:rFonts w:asciiTheme="minorHAnsi" w:hAnsiTheme="minorHAnsi" w:cs="Arial"/>
                <w:b/>
                <w:bCs/>
                <w:color w:val="000000"/>
                <w:sz w:val="22"/>
                <w:szCs w:val="22"/>
              </w:rPr>
            </w:pPr>
            <w:r w:rsidRPr="00654309">
              <w:rPr>
                <w:rFonts w:asciiTheme="minorHAnsi" w:hAnsiTheme="minorHAnsi" w:cs="Arial"/>
                <w:b/>
                <w:bCs/>
                <w:color w:val="000000"/>
                <w:sz w:val="22"/>
                <w:szCs w:val="22"/>
              </w:rPr>
              <w:t>Total Distribution Cost</w:t>
            </w:r>
          </w:p>
        </w:tc>
        <w:tc>
          <w:tcPr>
            <w:tcW w:w="1412" w:type="dxa"/>
            <w:tcBorders>
              <w:top w:val="nil"/>
              <w:left w:val="nil"/>
              <w:bottom w:val="single" w:sz="4" w:space="0" w:color="auto"/>
              <w:right w:val="single" w:sz="4" w:space="0" w:color="auto"/>
            </w:tcBorders>
            <w:shd w:val="clear" w:color="000000" w:fill="DDEBF7"/>
            <w:noWrap/>
            <w:vAlign w:val="center"/>
            <w:hideMark/>
          </w:tcPr>
          <w:p w14:paraId="0A64C484" w14:textId="3DE66017" w:rsidR="00813324" w:rsidRPr="00654309" w:rsidRDefault="00813324" w:rsidP="00813324">
            <w:pPr>
              <w:jc w:val="center"/>
              <w:rPr>
                <w:rFonts w:asciiTheme="minorHAnsi" w:hAnsiTheme="minorHAnsi" w:cs="Arial"/>
                <w:b/>
                <w:bCs/>
                <w:color w:val="000000"/>
                <w:sz w:val="22"/>
                <w:szCs w:val="22"/>
              </w:rPr>
            </w:pPr>
            <w:r w:rsidRPr="00654309">
              <w:rPr>
                <w:rFonts w:asciiTheme="minorHAnsi" w:hAnsiTheme="minorHAnsi" w:cs="Arial"/>
                <w:b/>
                <w:bCs/>
                <w:color w:val="000000"/>
                <w:sz w:val="22"/>
                <w:szCs w:val="22"/>
              </w:rPr>
              <w:t>1,080.33</w:t>
            </w:r>
          </w:p>
        </w:tc>
        <w:tc>
          <w:tcPr>
            <w:tcW w:w="1395" w:type="dxa"/>
            <w:tcBorders>
              <w:top w:val="nil"/>
              <w:left w:val="nil"/>
              <w:bottom w:val="single" w:sz="4" w:space="0" w:color="auto"/>
              <w:right w:val="single" w:sz="4" w:space="0" w:color="auto"/>
            </w:tcBorders>
            <w:shd w:val="clear" w:color="000000" w:fill="DDEBF7"/>
            <w:noWrap/>
            <w:vAlign w:val="center"/>
            <w:hideMark/>
          </w:tcPr>
          <w:p w14:paraId="56D3C349" w14:textId="275A4ABF" w:rsidR="00813324" w:rsidRPr="00654309" w:rsidRDefault="00813324" w:rsidP="00813324">
            <w:pPr>
              <w:jc w:val="center"/>
              <w:rPr>
                <w:rFonts w:asciiTheme="minorHAnsi" w:hAnsiTheme="minorHAnsi" w:cs="Arial"/>
                <w:b/>
                <w:bCs/>
                <w:color w:val="000000"/>
                <w:sz w:val="22"/>
                <w:szCs w:val="22"/>
              </w:rPr>
            </w:pPr>
            <w:r w:rsidRPr="00654309">
              <w:rPr>
                <w:rFonts w:asciiTheme="minorHAnsi" w:hAnsiTheme="minorHAnsi" w:cs="Arial"/>
                <w:b/>
                <w:bCs/>
                <w:color w:val="000000"/>
                <w:sz w:val="22"/>
                <w:szCs w:val="22"/>
              </w:rPr>
              <w:t>1,198.43</w:t>
            </w:r>
          </w:p>
        </w:tc>
        <w:tc>
          <w:tcPr>
            <w:tcW w:w="1638" w:type="dxa"/>
            <w:tcBorders>
              <w:top w:val="nil"/>
              <w:left w:val="nil"/>
              <w:bottom w:val="single" w:sz="4" w:space="0" w:color="auto"/>
              <w:right w:val="single" w:sz="4" w:space="0" w:color="auto"/>
            </w:tcBorders>
            <w:shd w:val="clear" w:color="000000" w:fill="DDEBF7"/>
            <w:noWrap/>
            <w:vAlign w:val="center"/>
            <w:hideMark/>
          </w:tcPr>
          <w:p w14:paraId="14F79E5D" w14:textId="4DF24E43" w:rsidR="00813324" w:rsidRPr="00654309" w:rsidRDefault="00813324" w:rsidP="00813324">
            <w:pPr>
              <w:jc w:val="center"/>
              <w:rPr>
                <w:rFonts w:asciiTheme="minorHAnsi" w:hAnsiTheme="minorHAnsi" w:cs="Arial"/>
                <w:b/>
                <w:bCs/>
                <w:color w:val="000000"/>
                <w:sz w:val="22"/>
                <w:szCs w:val="22"/>
              </w:rPr>
            </w:pPr>
          </w:p>
        </w:tc>
        <w:tc>
          <w:tcPr>
            <w:tcW w:w="0" w:type="auto"/>
            <w:tcBorders>
              <w:top w:val="nil"/>
              <w:left w:val="nil"/>
              <w:bottom w:val="single" w:sz="4" w:space="0" w:color="auto"/>
              <w:right w:val="single" w:sz="4" w:space="0" w:color="auto"/>
            </w:tcBorders>
            <w:shd w:val="clear" w:color="000000" w:fill="DDEBF7"/>
            <w:noWrap/>
            <w:vAlign w:val="center"/>
            <w:hideMark/>
          </w:tcPr>
          <w:p w14:paraId="7A831D43" w14:textId="23287055" w:rsidR="00813324" w:rsidRPr="00654309" w:rsidRDefault="00813324" w:rsidP="00813324">
            <w:pPr>
              <w:jc w:val="center"/>
              <w:rPr>
                <w:rFonts w:asciiTheme="minorHAnsi" w:hAnsiTheme="minorHAnsi" w:cs="Arial"/>
                <w:b/>
                <w:bCs/>
                <w:color w:val="000000"/>
                <w:sz w:val="22"/>
                <w:szCs w:val="22"/>
              </w:rPr>
            </w:pPr>
            <w:r w:rsidRPr="00654309">
              <w:rPr>
                <w:rFonts w:asciiTheme="minorHAnsi" w:hAnsiTheme="minorHAnsi" w:cs="Arial"/>
                <w:b/>
                <w:bCs/>
                <w:color w:val="000000"/>
                <w:sz w:val="22"/>
                <w:szCs w:val="22"/>
              </w:rPr>
              <w:t>1,184.67</w:t>
            </w:r>
          </w:p>
        </w:tc>
      </w:tr>
      <w:tr w:rsidR="00813324" w:rsidRPr="00654309" w14:paraId="44CB3A47" w14:textId="77777777" w:rsidTr="003A3206">
        <w:trPr>
          <w:trHeight w:val="286"/>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7FFABA5C" w14:textId="77777777" w:rsidR="00813324" w:rsidRPr="00654309" w:rsidRDefault="00813324" w:rsidP="00813324">
            <w:pPr>
              <w:jc w:val="center"/>
              <w:rPr>
                <w:rFonts w:asciiTheme="minorHAnsi" w:hAnsiTheme="minorHAnsi" w:cs="Arial"/>
                <w:color w:val="000000"/>
                <w:sz w:val="22"/>
                <w:szCs w:val="22"/>
              </w:rPr>
            </w:pPr>
            <w:r w:rsidRPr="00654309">
              <w:rPr>
                <w:rFonts w:asciiTheme="minorHAnsi" w:hAnsiTheme="minorHAnsi" w:cs="Arial"/>
                <w:color w:val="000000"/>
                <w:sz w:val="22"/>
                <w:szCs w:val="22"/>
              </w:rPr>
              <w:lastRenderedPageBreak/>
              <w:t>Less Miscellaneous Receipts</w:t>
            </w:r>
          </w:p>
        </w:tc>
        <w:tc>
          <w:tcPr>
            <w:tcW w:w="1412" w:type="dxa"/>
            <w:tcBorders>
              <w:top w:val="nil"/>
              <w:left w:val="nil"/>
              <w:bottom w:val="single" w:sz="4" w:space="0" w:color="auto"/>
              <w:right w:val="single" w:sz="4" w:space="0" w:color="auto"/>
            </w:tcBorders>
            <w:shd w:val="clear" w:color="auto" w:fill="auto"/>
            <w:noWrap/>
            <w:vAlign w:val="bottom"/>
            <w:hideMark/>
          </w:tcPr>
          <w:p w14:paraId="50CC47EB" w14:textId="77777777" w:rsidR="00813324" w:rsidRPr="00654309" w:rsidRDefault="00813324" w:rsidP="00813324">
            <w:pPr>
              <w:jc w:val="center"/>
              <w:rPr>
                <w:rFonts w:asciiTheme="minorHAnsi" w:hAnsiTheme="minorHAnsi" w:cs="Arial"/>
                <w:color w:val="000000"/>
                <w:sz w:val="22"/>
                <w:szCs w:val="22"/>
              </w:rPr>
            </w:pPr>
            <w:r w:rsidRPr="00654309">
              <w:rPr>
                <w:rFonts w:asciiTheme="minorHAnsi" w:hAnsiTheme="minorHAnsi" w:cs="Arial"/>
                <w:color w:val="000000"/>
                <w:sz w:val="22"/>
                <w:szCs w:val="22"/>
              </w:rPr>
              <w:t>154.99</w:t>
            </w:r>
          </w:p>
        </w:tc>
        <w:tc>
          <w:tcPr>
            <w:tcW w:w="1395" w:type="dxa"/>
            <w:tcBorders>
              <w:top w:val="nil"/>
              <w:left w:val="nil"/>
              <w:bottom w:val="single" w:sz="4" w:space="0" w:color="auto"/>
              <w:right w:val="single" w:sz="4" w:space="0" w:color="auto"/>
            </w:tcBorders>
            <w:shd w:val="clear" w:color="auto" w:fill="auto"/>
            <w:noWrap/>
            <w:vAlign w:val="center"/>
            <w:hideMark/>
          </w:tcPr>
          <w:p w14:paraId="47EFDCCF" w14:textId="3F739437" w:rsidR="00813324" w:rsidRPr="00654309" w:rsidRDefault="00813324" w:rsidP="00813324">
            <w:pPr>
              <w:jc w:val="center"/>
              <w:rPr>
                <w:rFonts w:asciiTheme="minorHAnsi" w:hAnsiTheme="minorHAnsi" w:cs="Arial"/>
                <w:sz w:val="22"/>
                <w:szCs w:val="22"/>
              </w:rPr>
            </w:pPr>
            <w:r w:rsidRPr="00654309">
              <w:rPr>
                <w:rFonts w:asciiTheme="minorHAnsi" w:hAnsiTheme="minorHAnsi" w:cs="Arial"/>
                <w:sz w:val="22"/>
                <w:szCs w:val="22"/>
              </w:rPr>
              <w:t>220.44</w:t>
            </w:r>
          </w:p>
        </w:tc>
        <w:tc>
          <w:tcPr>
            <w:tcW w:w="1638" w:type="dxa"/>
            <w:tcBorders>
              <w:top w:val="nil"/>
              <w:left w:val="nil"/>
              <w:bottom w:val="single" w:sz="4" w:space="0" w:color="auto"/>
              <w:right w:val="single" w:sz="4" w:space="0" w:color="auto"/>
            </w:tcBorders>
            <w:shd w:val="clear" w:color="auto" w:fill="auto"/>
            <w:noWrap/>
            <w:vAlign w:val="center"/>
            <w:hideMark/>
          </w:tcPr>
          <w:p w14:paraId="57F6D441" w14:textId="22B93631" w:rsidR="00813324" w:rsidRPr="00654309" w:rsidRDefault="00813324" w:rsidP="00813324">
            <w:pPr>
              <w:jc w:val="center"/>
              <w:rPr>
                <w:rFonts w:asciiTheme="minorHAnsi" w:hAnsiTheme="minorHAnsi" w:cs="Arial"/>
                <w:sz w:val="22"/>
                <w:szCs w:val="22"/>
              </w:rPr>
            </w:pPr>
            <w:r w:rsidRPr="00654309">
              <w:rPr>
                <w:rFonts w:asciiTheme="minorHAnsi" w:hAnsiTheme="minorHAnsi" w:cs="Arial"/>
                <w:sz w:val="22"/>
                <w:szCs w:val="22"/>
              </w:rPr>
              <w:t>Note-26.4.2 &amp;27</w:t>
            </w:r>
          </w:p>
        </w:tc>
        <w:tc>
          <w:tcPr>
            <w:tcW w:w="0" w:type="auto"/>
            <w:tcBorders>
              <w:top w:val="nil"/>
              <w:left w:val="nil"/>
              <w:bottom w:val="single" w:sz="4" w:space="0" w:color="auto"/>
              <w:right w:val="single" w:sz="4" w:space="0" w:color="auto"/>
            </w:tcBorders>
            <w:shd w:val="clear" w:color="auto" w:fill="auto"/>
            <w:noWrap/>
            <w:vAlign w:val="center"/>
            <w:hideMark/>
          </w:tcPr>
          <w:p w14:paraId="3339A066" w14:textId="36D1C8E1" w:rsidR="00813324" w:rsidRPr="00654309" w:rsidRDefault="00813324" w:rsidP="00813324">
            <w:pPr>
              <w:jc w:val="center"/>
              <w:rPr>
                <w:rFonts w:asciiTheme="minorHAnsi" w:hAnsiTheme="minorHAnsi" w:cs="Arial"/>
                <w:sz w:val="22"/>
                <w:szCs w:val="22"/>
              </w:rPr>
            </w:pPr>
            <w:r w:rsidRPr="00654309">
              <w:rPr>
                <w:rFonts w:asciiTheme="minorHAnsi" w:hAnsiTheme="minorHAnsi" w:cs="Arial"/>
                <w:sz w:val="22"/>
                <w:szCs w:val="22"/>
              </w:rPr>
              <w:t>112.49</w:t>
            </w:r>
          </w:p>
        </w:tc>
      </w:tr>
      <w:tr w:rsidR="00813324" w:rsidRPr="00654309" w14:paraId="7CAD4ED8" w14:textId="77777777" w:rsidTr="003A3206">
        <w:trPr>
          <w:trHeight w:val="301"/>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43878BBC" w14:textId="77777777" w:rsidR="00813324" w:rsidRPr="00654309" w:rsidRDefault="00813324" w:rsidP="00813324">
            <w:pPr>
              <w:jc w:val="center"/>
              <w:rPr>
                <w:rFonts w:asciiTheme="minorHAnsi" w:hAnsiTheme="minorHAnsi" w:cs="Arial"/>
                <w:b/>
                <w:bCs/>
                <w:color w:val="000000"/>
                <w:sz w:val="22"/>
                <w:szCs w:val="22"/>
              </w:rPr>
            </w:pPr>
            <w:r w:rsidRPr="00654309">
              <w:rPr>
                <w:rFonts w:asciiTheme="minorHAnsi" w:hAnsiTheme="minorHAnsi" w:cs="Arial"/>
                <w:b/>
                <w:bCs/>
                <w:color w:val="000000"/>
                <w:sz w:val="22"/>
                <w:szCs w:val="22"/>
              </w:rPr>
              <w:t>Net Distribution Cost(B)</w:t>
            </w:r>
          </w:p>
        </w:tc>
        <w:tc>
          <w:tcPr>
            <w:tcW w:w="1412" w:type="dxa"/>
            <w:tcBorders>
              <w:top w:val="nil"/>
              <w:left w:val="nil"/>
              <w:bottom w:val="single" w:sz="4" w:space="0" w:color="auto"/>
              <w:right w:val="single" w:sz="4" w:space="0" w:color="auto"/>
            </w:tcBorders>
            <w:shd w:val="clear" w:color="auto" w:fill="auto"/>
            <w:noWrap/>
            <w:vAlign w:val="center"/>
            <w:hideMark/>
          </w:tcPr>
          <w:p w14:paraId="42089240" w14:textId="045F9D91" w:rsidR="00813324" w:rsidRPr="00654309" w:rsidRDefault="00813324" w:rsidP="00813324">
            <w:pPr>
              <w:jc w:val="center"/>
              <w:rPr>
                <w:rFonts w:asciiTheme="minorHAnsi" w:hAnsiTheme="minorHAnsi" w:cs="Arial"/>
                <w:b/>
                <w:bCs/>
                <w:color w:val="000000"/>
                <w:sz w:val="22"/>
                <w:szCs w:val="22"/>
              </w:rPr>
            </w:pPr>
            <w:r w:rsidRPr="00654309">
              <w:rPr>
                <w:rFonts w:asciiTheme="minorHAnsi" w:hAnsiTheme="minorHAnsi" w:cs="Arial"/>
                <w:b/>
                <w:bCs/>
                <w:color w:val="000000"/>
                <w:sz w:val="22"/>
                <w:szCs w:val="22"/>
              </w:rPr>
              <w:t>925.34</w:t>
            </w:r>
          </w:p>
        </w:tc>
        <w:tc>
          <w:tcPr>
            <w:tcW w:w="1395" w:type="dxa"/>
            <w:tcBorders>
              <w:top w:val="nil"/>
              <w:left w:val="nil"/>
              <w:bottom w:val="single" w:sz="4" w:space="0" w:color="auto"/>
              <w:right w:val="single" w:sz="4" w:space="0" w:color="auto"/>
            </w:tcBorders>
            <w:shd w:val="clear" w:color="auto" w:fill="auto"/>
            <w:noWrap/>
            <w:vAlign w:val="center"/>
            <w:hideMark/>
          </w:tcPr>
          <w:p w14:paraId="5DDF6AC1" w14:textId="3CBE5B03" w:rsidR="00813324" w:rsidRPr="00654309" w:rsidRDefault="00813324" w:rsidP="00813324">
            <w:pPr>
              <w:jc w:val="center"/>
              <w:rPr>
                <w:rFonts w:asciiTheme="minorHAnsi" w:hAnsiTheme="minorHAnsi" w:cs="Arial"/>
                <w:b/>
                <w:bCs/>
                <w:color w:val="000000"/>
                <w:sz w:val="22"/>
                <w:szCs w:val="22"/>
              </w:rPr>
            </w:pPr>
            <w:r w:rsidRPr="00654309">
              <w:rPr>
                <w:rFonts w:asciiTheme="minorHAnsi" w:hAnsiTheme="minorHAnsi" w:cs="Arial"/>
                <w:b/>
                <w:bCs/>
                <w:color w:val="000000"/>
                <w:sz w:val="22"/>
                <w:szCs w:val="22"/>
              </w:rPr>
              <w:t>977.99</w:t>
            </w:r>
          </w:p>
        </w:tc>
        <w:tc>
          <w:tcPr>
            <w:tcW w:w="1638" w:type="dxa"/>
            <w:tcBorders>
              <w:top w:val="nil"/>
              <w:left w:val="nil"/>
              <w:bottom w:val="single" w:sz="4" w:space="0" w:color="auto"/>
              <w:right w:val="single" w:sz="4" w:space="0" w:color="auto"/>
            </w:tcBorders>
            <w:shd w:val="clear" w:color="auto" w:fill="auto"/>
            <w:noWrap/>
            <w:vAlign w:val="center"/>
            <w:hideMark/>
          </w:tcPr>
          <w:p w14:paraId="5F0F4F38" w14:textId="6DB6552F" w:rsidR="00813324" w:rsidRPr="00654309" w:rsidRDefault="00813324" w:rsidP="00813324">
            <w:pPr>
              <w:jc w:val="center"/>
              <w:rPr>
                <w:rFonts w:asciiTheme="minorHAnsi" w:hAnsiTheme="minorHAnsi" w:cs="Arial"/>
                <w:b/>
                <w:bCs/>
                <w:color w:val="000000"/>
                <w:sz w:val="22"/>
                <w:szCs w:val="22"/>
              </w:rPr>
            </w:pPr>
          </w:p>
        </w:tc>
        <w:tc>
          <w:tcPr>
            <w:tcW w:w="0" w:type="auto"/>
            <w:tcBorders>
              <w:top w:val="nil"/>
              <w:left w:val="nil"/>
              <w:bottom w:val="single" w:sz="4" w:space="0" w:color="auto"/>
              <w:right w:val="single" w:sz="4" w:space="0" w:color="auto"/>
            </w:tcBorders>
            <w:shd w:val="clear" w:color="auto" w:fill="auto"/>
            <w:noWrap/>
            <w:vAlign w:val="center"/>
            <w:hideMark/>
          </w:tcPr>
          <w:p w14:paraId="695F00C4" w14:textId="13B23696" w:rsidR="00813324" w:rsidRPr="00654309" w:rsidRDefault="00813324" w:rsidP="00813324">
            <w:pPr>
              <w:jc w:val="center"/>
              <w:rPr>
                <w:rFonts w:asciiTheme="minorHAnsi" w:hAnsiTheme="minorHAnsi" w:cs="Arial"/>
                <w:b/>
                <w:bCs/>
                <w:color w:val="000000"/>
                <w:sz w:val="22"/>
                <w:szCs w:val="22"/>
              </w:rPr>
            </w:pPr>
            <w:r w:rsidRPr="00654309">
              <w:rPr>
                <w:rFonts w:asciiTheme="minorHAnsi" w:hAnsiTheme="minorHAnsi" w:cs="Arial"/>
                <w:b/>
                <w:bCs/>
                <w:color w:val="000000"/>
                <w:sz w:val="22"/>
                <w:szCs w:val="22"/>
              </w:rPr>
              <w:t>1,072.19</w:t>
            </w:r>
          </w:p>
        </w:tc>
      </w:tr>
      <w:tr w:rsidR="00813324" w:rsidRPr="00654309" w14:paraId="6D04CEA2" w14:textId="77777777" w:rsidTr="003A3206">
        <w:trPr>
          <w:trHeight w:val="904"/>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FB6A709" w14:textId="77777777" w:rsidR="00813324" w:rsidRPr="00654309" w:rsidRDefault="00813324" w:rsidP="00813324">
            <w:pPr>
              <w:jc w:val="center"/>
              <w:rPr>
                <w:rFonts w:asciiTheme="minorHAnsi" w:hAnsiTheme="minorHAnsi" w:cs="Arial"/>
                <w:b/>
                <w:bCs/>
                <w:color w:val="000000"/>
                <w:sz w:val="22"/>
                <w:szCs w:val="22"/>
              </w:rPr>
            </w:pPr>
            <w:r w:rsidRPr="00654309">
              <w:rPr>
                <w:rFonts w:asciiTheme="minorHAnsi" w:hAnsiTheme="minorHAnsi" w:cs="Arial"/>
                <w:b/>
                <w:bCs/>
                <w:color w:val="000000"/>
                <w:sz w:val="22"/>
                <w:szCs w:val="22"/>
              </w:rPr>
              <w:t>True up of</w:t>
            </w:r>
            <w:r w:rsidRPr="00654309">
              <w:rPr>
                <w:rFonts w:asciiTheme="minorHAnsi" w:hAnsiTheme="minorHAnsi" w:cs="Arial"/>
                <w:b/>
                <w:bCs/>
                <w:color w:val="000000"/>
                <w:sz w:val="22"/>
                <w:szCs w:val="22"/>
              </w:rPr>
              <w:br/>
              <w:t>Surplus/(Losses) for FY</w:t>
            </w:r>
            <w:r w:rsidRPr="00654309">
              <w:rPr>
                <w:rFonts w:asciiTheme="minorHAnsi" w:hAnsiTheme="minorHAnsi" w:cs="Arial"/>
                <w:b/>
                <w:bCs/>
                <w:color w:val="000000"/>
                <w:sz w:val="22"/>
                <w:szCs w:val="22"/>
              </w:rPr>
              <w:br/>
              <w:t>2022-23</w:t>
            </w:r>
          </w:p>
        </w:tc>
        <w:tc>
          <w:tcPr>
            <w:tcW w:w="1412" w:type="dxa"/>
            <w:tcBorders>
              <w:top w:val="nil"/>
              <w:left w:val="nil"/>
              <w:bottom w:val="single" w:sz="4" w:space="0" w:color="auto"/>
              <w:right w:val="single" w:sz="4" w:space="0" w:color="auto"/>
            </w:tcBorders>
            <w:shd w:val="clear" w:color="000000" w:fill="FFFFFF"/>
            <w:noWrap/>
            <w:vAlign w:val="center"/>
            <w:hideMark/>
          </w:tcPr>
          <w:p w14:paraId="3D32D3C5" w14:textId="36E4C500" w:rsidR="00813324" w:rsidRPr="00654309" w:rsidRDefault="00813324" w:rsidP="00813324">
            <w:pPr>
              <w:jc w:val="center"/>
              <w:rPr>
                <w:rFonts w:asciiTheme="minorHAnsi" w:hAnsiTheme="minorHAnsi" w:cs="Arial"/>
                <w:b/>
                <w:bCs/>
                <w:color w:val="000000"/>
                <w:sz w:val="22"/>
                <w:szCs w:val="22"/>
              </w:rPr>
            </w:pPr>
            <w:r w:rsidRPr="00654309">
              <w:rPr>
                <w:rFonts w:asciiTheme="minorHAnsi" w:hAnsiTheme="minorHAnsi" w:cs="Arial"/>
                <w:b/>
                <w:bCs/>
                <w:color w:val="000000"/>
                <w:sz w:val="22"/>
                <w:szCs w:val="22"/>
              </w:rPr>
              <w:t>(65.59)</w:t>
            </w:r>
          </w:p>
        </w:tc>
        <w:tc>
          <w:tcPr>
            <w:tcW w:w="1395" w:type="dxa"/>
            <w:tcBorders>
              <w:top w:val="nil"/>
              <w:left w:val="nil"/>
              <w:bottom w:val="single" w:sz="4" w:space="0" w:color="auto"/>
              <w:right w:val="single" w:sz="4" w:space="0" w:color="auto"/>
            </w:tcBorders>
            <w:shd w:val="clear" w:color="auto" w:fill="auto"/>
            <w:noWrap/>
            <w:vAlign w:val="center"/>
            <w:hideMark/>
          </w:tcPr>
          <w:p w14:paraId="61F2FBB0" w14:textId="508252C3" w:rsidR="00813324" w:rsidRPr="00654309" w:rsidRDefault="00813324" w:rsidP="00813324">
            <w:pPr>
              <w:jc w:val="center"/>
              <w:rPr>
                <w:rFonts w:asciiTheme="minorHAnsi" w:hAnsiTheme="minorHAnsi" w:cs="Arial"/>
                <w:b/>
                <w:bCs/>
                <w:color w:val="000000"/>
                <w:sz w:val="22"/>
                <w:szCs w:val="22"/>
              </w:rPr>
            </w:pPr>
            <w:r w:rsidRPr="00654309">
              <w:rPr>
                <w:rFonts w:asciiTheme="minorHAnsi" w:hAnsiTheme="minorHAnsi" w:cs="Arial"/>
                <w:b/>
                <w:bCs/>
                <w:color w:val="000000"/>
                <w:sz w:val="22"/>
                <w:szCs w:val="22"/>
              </w:rPr>
              <w:t>-</w:t>
            </w:r>
          </w:p>
        </w:tc>
        <w:tc>
          <w:tcPr>
            <w:tcW w:w="1638" w:type="dxa"/>
            <w:tcBorders>
              <w:top w:val="nil"/>
              <w:left w:val="nil"/>
              <w:bottom w:val="single" w:sz="4" w:space="0" w:color="auto"/>
              <w:right w:val="single" w:sz="4" w:space="0" w:color="auto"/>
            </w:tcBorders>
            <w:shd w:val="clear" w:color="auto" w:fill="auto"/>
            <w:noWrap/>
            <w:vAlign w:val="center"/>
            <w:hideMark/>
          </w:tcPr>
          <w:p w14:paraId="41AE87F2" w14:textId="51C16A50" w:rsidR="00813324" w:rsidRPr="00654309" w:rsidRDefault="00813324" w:rsidP="00813324">
            <w:pPr>
              <w:jc w:val="center"/>
              <w:rPr>
                <w:rFonts w:asciiTheme="minorHAnsi" w:hAnsiTheme="minorHAnsi" w:cs="Arial"/>
                <w:b/>
                <w:bCs/>
                <w:color w:val="000000"/>
                <w:sz w:val="22"/>
                <w:szCs w:val="22"/>
              </w:rPr>
            </w:pPr>
            <w:r w:rsidRPr="00654309">
              <w:rPr>
                <w:rFonts w:asciiTheme="minorHAnsi" w:hAnsiTheme="minorHAnsi" w:cs="Arial"/>
                <w:b/>
                <w:bCs/>
                <w:color w:val="000000"/>
                <w:sz w:val="22"/>
                <w:szCs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5FA2362A" w14:textId="3747EE5F" w:rsidR="00813324" w:rsidRPr="00654309" w:rsidRDefault="00813324" w:rsidP="00813324">
            <w:pPr>
              <w:jc w:val="center"/>
              <w:rPr>
                <w:rFonts w:asciiTheme="minorHAnsi" w:hAnsiTheme="minorHAnsi" w:cs="Arial"/>
                <w:b/>
                <w:bCs/>
                <w:color w:val="000000"/>
                <w:sz w:val="22"/>
                <w:szCs w:val="22"/>
              </w:rPr>
            </w:pPr>
            <w:r w:rsidRPr="00654309">
              <w:rPr>
                <w:rFonts w:asciiTheme="minorHAnsi" w:hAnsiTheme="minorHAnsi" w:cs="Arial"/>
                <w:b/>
                <w:bCs/>
                <w:color w:val="000000"/>
                <w:sz w:val="22"/>
                <w:szCs w:val="22"/>
              </w:rPr>
              <w:t>-</w:t>
            </w:r>
          </w:p>
        </w:tc>
      </w:tr>
      <w:tr w:rsidR="00813324" w:rsidRPr="00654309" w14:paraId="05934DAE" w14:textId="77777777" w:rsidTr="003A3206">
        <w:trPr>
          <w:trHeight w:val="286"/>
        </w:trPr>
        <w:tc>
          <w:tcPr>
            <w:tcW w:w="0" w:type="auto"/>
            <w:tcBorders>
              <w:top w:val="nil"/>
              <w:left w:val="single" w:sz="4" w:space="0" w:color="auto"/>
              <w:bottom w:val="single" w:sz="4" w:space="0" w:color="auto"/>
              <w:right w:val="single" w:sz="4" w:space="0" w:color="auto"/>
            </w:tcBorders>
            <w:shd w:val="clear" w:color="000000" w:fill="FFFFFF"/>
            <w:noWrap/>
            <w:vAlign w:val="center"/>
            <w:hideMark/>
          </w:tcPr>
          <w:p w14:paraId="6C7813D6" w14:textId="77777777" w:rsidR="00813324" w:rsidRPr="00654309" w:rsidRDefault="00813324" w:rsidP="00813324">
            <w:pPr>
              <w:jc w:val="center"/>
              <w:rPr>
                <w:rFonts w:asciiTheme="minorHAnsi" w:hAnsiTheme="minorHAnsi" w:cs="Arial"/>
                <w:color w:val="000000"/>
                <w:sz w:val="22"/>
                <w:szCs w:val="22"/>
              </w:rPr>
            </w:pPr>
            <w:r w:rsidRPr="00654309">
              <w:rPr>
                <w:rFonts w:asciiTheme="minorHAnsi" w:hAnsiTheme="minorHAnsi" w:cs="Arial"/>
                <w:color w:val="000000"/>
                <w:sz w:val="22"/>
                <w:szCs w:val="22"/>
              </w:rPr>
              <w:t xml:space="preserve">Carrying cost </w:t>
            </w:r>
            <w:proofErr w:type="gramStart"/>
            <w:r w:rsidRPr="00654309">
              <w:rPr>
                <w:rFonts w:asciiTheme="minorHAnsi" w:hAnsiTheme="minorHAnsi" w:cs="Arial"/>
                <w:color w:val="000000"/>
                <w:sz w:val="22"/>
                <w:szCs w:val="22"/>
              </w:rPr>
              <w:t>on  of</w:t>
            </w:r>
            <w:proofErr w:type="gramEnd"/>
            <w:r w:rsidRPr="00654309">
              <w:rPr>
                <w:rFonts w:asciiTheme="minorHAnsi" w:hAnsiTheme="minorHAnsi" w:cs="Arial"/>
                <w:color w:val="000000"/>
                <w:sz w:val="22"/>
                <w:szCs w:val="22"/>
              </w:rPr>
              <w:t xml:space="preserve"> ASL</w:t>
            </w:r>
          </w:p>
        </w:tc>
        <w:tc>
          <w:tcPr>
            <w:tcW w:w="1412" w:type="dxa"/>
            <w:tcBorders>
              <w:top w:val="nil"/>
              <w:left w:val="nil"/>
              <w:bottom w:val="single" w:sz="4" w:space="0" w:color="auto"/>
              <w:right w:val="single" w:sz="4" w:space="0" w:color="auto"/>
            </w:tcBorders>
            <w:shd w:val="clear" w:color="000000" w:fill="FFFFFF"/>
            <w:noWrap/>
            <w:vAlign w:val="bottom"/>
            <w:hideMark/>
          </w:tcPr>
          <w:p w14:paraId="559DE3AA" w14:textId="0DA187A8" w:rsidR="00813324" w:rsidRPr="00654309" w:rsidRDefault="00813324" w:rsidP="00813324">
            <w:pPr>
              <w:jc w:val="center"/>
              <w:rPr>
                <w:rFonts w:asciiTheme="minorHAnsi" w:hAnsiTheme="minorHAnsi" w:cs="Arial"/>
                <w:color w:val="000000"/>
                <w:sz w:val="22"/>
                <w:szCs w:val="22"/>
              </w:rPr>
            </w:pPr>
            <w:r w:rsidRPr="00654309">
              <w:rPr>
                <w:rFonts w:asciiTheme="minorHAnsi" w:hAnsiTheme="minorHAnsi" w:cs="Arial"/>
                <w:color w:val="000000"/>
                <w:sz w:val="22"/>
                <w:szCs w:val="22"/>
              </w:rPr>
              <w:t>-</w:t>
            </w:r>
          </w:p>
        </w:tc>
        <w:tc>
          <w:tcPr>
            <w:tcW w:w="1395" w:type="dxa"/>
            <w:tcBorders>
              <w:top w:val="nil"/>
              <w:left w:val="nil"/>
              <w:bottom w:val="single" w:sz="4" w:space="0" w:color="auto"/>
              <w:right w:val="single" w:sz="4" w:space="0" w:color="auto"/>
            </w:tcBorders>
            <w:shd w:val="clear" w:color="000000" w:fill="FFFFFF"/>
            <w:noWrap/>
            <w:vAlign w:val="bottom"/>
            <w:hideMark/>
          </w:tcPr>
          <w:p w14:paraId="2533D264" w14:textId="4316DD9E" w:rsidR="00813324" w:rsidRPr="00654309" w:rsidRDefault="00813324" w:rsidP="00813324">
            <w:pPr>
              <w:jc w:val="center"/>
              <w:rPr>
                <w:rFonts w:asciiTheme="minorHAnsi" w:hAnsiTheme="minorHAnsi" w:cs="Arial"/>
                <w:color w:val="000000"/>
                <w:sz w:val="22"/>
                <w:szCs w:val="22"/>
              </w:rPr>
            </w:pPr>
            <w:r w:rsidRPr="00654309">
              <w:rPr>
                <w:rFonts w:asciiTheme="minorHAnsi" w:hAnsiTheme="minorHAnsi" w:cs="Arial"/>
                <w:color w:val="000000"/>
                <w:sz w:val="22"/>
                <w:szCs w:val="22"/>
              </w:rPr>
              <w:t>-</w:t>
            </w:r>
          </w:p>
        </w:tc>
        <w:tc>
          <w:tcPr>
            <w:tcW w:w="1638" w:type="dxa"/>
            <w:tcBorders>
              <w:top w:val="nil"/>
              <w:left w:val="nil"/>
              <w:bottom w:val="single" w:sz="4" w:space="0" w:color="auto"/>
              <w:right w:val="single" w:sz="4" w:space="0" w:color="auto"/>
            </w:tcBorders>
            <w:shd w:val="clear" w:color="000000" w:fill="FFFFFF"/>
            <w:noWrap/>
            <w:vAlign w:val="bottom"/>
            <w:hideMark/>
          </w:tcPr>
          <w:p w14:paraId="501B13CE" w14:textId="52CF795C" w:rsidR="00813324" w:rsidRPr="00654309" w:rsidRDefault="00813324" w:rsidP="00813324">
            <w:pPr>
              <w:jc w:val="center"/>
              <w:rPr>
                <w:rFonts w:asciiTheme="minorHAnsi" w:hAnsiTheme="minorHAnsi" w:cs="Arial"/>
                <w:color w:val="000000"/>
                <w:sz w:val="22"/>
                <w:szCs w:val="22"/>
              </w:rPr>
            </w:pPr>
            <w:r w:rsidRPr="00654309">
              <w:rPr>
                <w:rFonts w:asciiTheme="minorHAnsi" w:hAnsiTheme="minorHAnsi" w:cs="Arial"/>
                <w:color w:val="000000"/>
                <w:sz w:val="22"/>
                <w:szCs w:val="22"/>
              </w:rPr>
              <w:t>-</w:t>
            </w:r>
          </w:p>
        </w:tc>
        <w:tc>
          <w:tcPr>
            <w:tcW w:w="0" w:type="auto"/>
            <w:tcBorders>
              <w:top w:val="nil"/>
              <w:left w:val="nil"/>
              <w:bottom w:val="single" w:sz="4" w:space="0" w:color="auto"/>
              <w:right w:val="single" w:sz="4" w:space="0" w:color="auto"/>
            </w:tcBorders>
            <w:shd w:val="clear" w:color="auto" w:fill="auto"/>
            <w:noWrap/>
            <w:vAlign w:val="center"/>
            <w:hideMark/>
          </w:tcPr>
          <w:p w14:paraId="39D398A2" w14:textId="6164A62C" w:rsidR="00813324" w:rsidRPr="00654309" w:rsidRDefault="00813324" w:rsidP="00813324">
            <w:pPr>
              <w:jc w:val="center"/>
              <w:rPr>
                <w:rFonts w:asciiTheme="minorHAnsi" w:hAnsiTheme="minorHAnsi" w:cs="Arial"/>
                <w:sz w:val="22"/>
                <w:szCs w:val="22"/>
              </w:rPr>
            </w:pPr>
            <w:r w:rsidRPr="00654309">
              <w:rPr>
                <w:rFonts w:asciiTheme="minorHAnsi" w:hAnsiTheme="minorHAnsi" w:cs="Arial"/>
                <w:sz w:val="22"/>
                <w:szCs w:val="22"/>
              </w:rPr>
              <w:t>11.27</w:t>
            </w:r>
          </w:p>
        </w:tc>
      </w:tr>
      <w:tr w:rsidR="00813324" w:rsidRPr="00654309" w14:paraId="68E9CB3B" w14:textId="77777777" w:rsidTr="003A3206">
        <w:trPr>
          <w:trHeight w:val="286"/>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7F17C2FB" w14:textId="77777777" w:rsidR="00813324" w:rsidRPr="00654309" w:rsidRDefault="00813324" w:rsidP="00813324">
            <w:pPr>
              <w:jc w:val="center"/>
              <w:rPr>
                <w:rFonts w:asciiTheme="minorHAnsi" w:hAnsiTheme="minorHAnsi" w:cs="Arial"/>
                <w:color w:val="000000"/>
                <w:sz w:val="22"/>
                <w:szCs w:val="22"/>
              </w:rPr>
            </w:pPr>
            <w:r w:rsidRPr="00654309">
              <w:rPr>
                <w:rFonts w:asciiTheme="minorHAnsi" w:hAnsiTheme="minorHAnsi" w:cs="Arial"/>
                <w:color w:val="000000"/>
                <w:sz w:val="22"/>
                <w:szCs w:val="22"/>
              </w:rPr>
              <w:t>Total Revenue Requirement</w:t>
            </w:r>
          </w:p>
        </w:tc>
        <w:tc>
          <w:tcPr>
            <w:tcW w:w="1412" w:type="dxa"/>
            <w:tcBorders>
              <w:top w:val="nil"/>
              <w:left w:val="nil"/>
              <w:bottom w:val="single" w:sz="4" w:space="0" w:color="auto"/>
              <w:right w:val="single" w:sz="4" w:space="0" w:color="auto"/>
            </w:tcBorders>
            <w:shd w:val="clear" w:color="auto" w:fill="auto"/>
            <w:noWrap/>
            <w:vAlign w:val="center"/>
            <w:hideMark/>
          </w:tcPr>
          <w:p w14:paraId="4DA00EEB" w14:textId="7770F279" w:rsidR="00813324" w:rsidRPr="00654309" w:rsidRDefault="00813324" w:rsidP="00813324">
            <w:pPr>
              <w:jc w:val="center"/>
              <w:rPr>
                <w:rFonts w:asciiTheme="minorHAnsi" w:hAnsiTheme="minorHAnsi" w:cs="Arial"/>
                <w:color w:val="000000"/>
                <w:sz w:val="22"/>
                <w:szCs w:val="22"/>
              </w:rPr>
            </w:pPr>
            <w:r w:rsidRPr="00654309">
              <w:rPr>
                <w:rFonts w:asciiTheme="minorHAnsi" w:hAnsiTheme="minorHAnsi" w:cs="Arial"/>
                <w:color w:val="000000"/>
                <w:sz w:val="22"/>
                <w:szCs w:val="22"/>
              </w:rPr>
              <w:t>3,556.28</w:t>
            </w:r>
          </w:p>
        </w:tc>
        <w:tc>
          <w:tcPr>
            <w:tcW w:w="1395" w:type="dxa"/>
            <w:tcBorders>
              <w:top w:val="nil"/>
              <w:left w:val="nil"/>
              <w:bottom w:val="single" w:sz="4" w:space="0" w:color="auto"/>
              <w:right w:val="single" w:sz="4" w:space="0" w:color="auto"/>
            </w:tcBorders>
            <w:shd w:val="clear" w:color="auto" w:fill="auto"/>
            <w:noWrap/>
            <w:vAlign w:val="center"/>
            <w:hideMark/>
          </w:tcPr>
          <w:p w14:paraId="10693167" w14:textId="4B11664C" w:rsidR="00813324" w:rsidRPr="00654309" w:rsidRDefault="00813324" w:rsidP="00813324">
            <w:pPr>
              <w:jc w:val="center"/>
              <w:rPr>
                <w:rFonts w:asciiTheme="minorHAnsi" w:hAnsiTheme="minorHAnsi" w:cs="Arial"/>
                <w:sz w:val="22"/>
                <w:szCs w:val="22"/>
              </w:rPr>
            </w:pPr>
            <w:r w:rsidRPr="00654309">
              <w:rPr>
                <w:rFonts w:asciiTheme="minorHAnsi" w:hAnsiTheme="minorHAnsi" w:cs="Arial"/>
                <w:sz w:val="22"/>
                <w:szCs w:val="22"/>
              </w:rPr>
              <w:t>3,482.71</w:t>
            </w:r>
          </w:p>
        </w:tc>
        <w:tc>
          <w:tcPr>
            <w:tcW w:w="1638" w:type="dxa"/>
            <w:tcBorders>
              <w:top w:val="nil"/>
              <w:left w:val="nil"/>
              <w:bottom w:val="single" w:sz="4" w:space="0" w:color="auto"/>
              <w:right w:val="single" w:sz="4" w:space="0" w:color="auto"/>
            </w:tcBorders>
            <w:shd w:val="clear" w:color="auto" w:fill="auto"/>
            <w:noWrap/>
            <w:vAlign w:val="center"/>
            <w:hideMark/>
          </w:tcPr>
          <w:p w14:paraId="2E9902B4" w14:textId="758E5E8D" w:rsidR="00813324" w:rsidRPr="00654309" w:rsidRDefault="00813324" w:rsidP="00813324">
            <w:pPr>
              <w:jc w:val="center"/>
              <w:rPr>
                <w:rFonts w:asciiTheme="minorHAnsi" w:hAnsiTheme="minorHAnsi" w:cs="Arial"/>
                <w:color w:val="000000"/>
                <w:sz w:val="22"/>
                <w:szCs w:val="22"/>
              </w:rPr>
            </w:pPr>
          </w:p>
        </w:tc>
        <w:tc>
          <w:tcPr>
            <w:tcW w:w="0" w:type="auto"/>
            <w:tcBorders>
              <w:top w:val="nil"/>
              <w:left w:val="nil"/>
              <w:bottom w:val="single" w:sz="4" w:space="0" w:color="auto"/>
              <w:right w:val="single" w:sz="4" w:space="0" w:color="auto"/>
            </w:tcBorders>
            <w:shd w:val="clear" w:color="auto" w:fill="auto"/>
            <w:noWrap/>
            <w:vAlign w:val="center"/>
            <w:hideMark/>
          </w:tcPr>
          <w:p w14:paraId="3F097567" w14:textId="12322B5D" w:rsidR="00813324" w:rsidRPr="00654309" w:rsidRDefault="00813324" w:rsidP="00813324">
            <w:pPr>
              <w:jc w:val="center"/>
              <w:rPr>
                <w:rFonts w:asciiTheme="minorHAnsi" w:hAnsiTheme="minorHAnsi" w:cs="Arial"/>
                <w:color w:val="000000"/>
                <w:sz w:val="22"/>
                <w:szCs w:val="22"/>
              </w:rPr>
            </w:pPr>
            <w:r w:rsidRPr="00654309">
              <w:rPr>
                <w:rFonts w:asciiTheme="minorHAnsi" w:hAnsiTheme="minorHAnsi" w:cs="Arial"/>
                <w:color w:val="000000"/>
                <w:sz w:val="22"/>
                <w:szCs w:val="22"/>
              </w:rPr>
              <w:t>3,634.43</w:t>
            </w:r>
          </w:p>
        </w:tc>
      </w:tr>
      <w:tr w:rsidR="00813324" w:rsidRPr="00654309" w14:paraId="51EDD8BE" w14:textId="77777777" w:rsidTr="003A3206">
        <w:trPr>
          <w:trHeight w:val="286"/>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6C2675F7" w14:textId="77777777" w:rsidR="00813324" w:rsidRPr="00654309" w:rsidRDefault="00813324" w:rsidP="00813324">
            <w:pPr>
              <w:jc w:val="center"/>
              <w:rPr>
                <w:rFonts w:asciiTheme="minorHAnsi" w:hAnsiTheme="minorHAnsi" w:cs="Arial"/>
                <w:color w:val="000000"/>
                <w:sz w:val="22"/>
                <w:szCs w:val="22"/>
              </w:rPr>
            </w:pPr>
            <w:r w:rsidRPr="00654309">
              <w:rPr>
                <w:rFonts w:asciiTheme="minorHAnsi" w:hAnsiTheme="minorHAnsi" w:cs="Arial"/>
                <w:color w:val="000000"/>
                <w:sz w:val="22"/>
                <w:szCs w:val="22"/>
              </w:rPr>
              <w:t>Actual Revenue</w:t>
            </w:r>
          </w:p>
        </w:tc>
        <w:tc>
          <w:tcPr>
            <w:tcW w:w="1412" w:type="dxa"/>
            <w:tcBorders>
              <w:top w:val="nil"/>
              <w:left w:val="nil"/>
              <w:bottom w:val="single" w:sz="4" w:space="0" w:color="auto"/>
              <w:right w:val="single" w:sz="4" w:space="0" w:color="auto"/>
            </w:tcBorders>
            <w:shd w:val="clear" w:color="auto" w:fill="auto"/>
            <w:noWrap/>
            <w:vAlign w:val="center"/>
            <w:hideMark/>
          </w:tcPr>
          <w:p w14:paraId="1A887546" w14:textId="523AFD70" w:rsidR="00813324" w:rsidRPr="00654309" w:rsidRDefault="00813324" w:rsidP="00813324">
            <w:pPr>
              <w:jc w:val="center"/>
              <w:rPr>
                <w:rFonts w:asciiTheme="minorHAnsi" w:hAnsiTheme="minorHAnsi" w:cs="Arial"/>
                <w:color w:val="000000"/>
                <w:sz w:val="22"/>
                <w:szCs w:val="22"/>
              </w:rPr>
            </w:pPr>
            <w:r w:rsidRPr="00654309">
              <w:rPr>
                <w:rFonts w:asciiTheme="minorHAnsi" w:hAnsiTheme="minorHAnsi" w:cs="Arial"/>
                <w:color w:val="000000"/>
                <w:sz w:val="22"/>
                <w:szCs w:val="22"/>
              </w:rPr>
              <w:t>3,559.02</w:t>
            </w:r>
          </w:p>
        </w:tc>
        <w:tc>
          <w:tcPr>
            <w:tcW w:w="1395" w:type="dxa"/>
            <w:tcBorders>
              <w:top w:val="nil"/>
              <w:left w:val="nil"/>
              <w:bottom w:val="single" w:sz="4" w:space="0" w:color="auto"/>
              <w:right w:val="single" w:sz="4" w:space="0" w:color="auto"/>
            </w:tcBorders>
            <w:shd w:val="clear" w:color="auto" w:fill="auto"/>
            <w:noWrap/>
            <w:vAlign w:val="center"/>
            <w:hideMark/>
          </w:tcPr>
          <w:p w14:paraId="0007D1AE" w14:textId="3E5D656F" w:rsidR="00813324" w:rsidRPr="00654309" w:rsidRDefault="00813324" w:rsidP="00813324">
            <w:pPr>
              <w:jc w:val="center"/>
              <w:rPr>
                <w:rFonts w:asciiTheme="minorHAnsi" w:hAnsiTheme="minorHAnsi" w:cs="Arial"/>
                <w:sz w:val="22"/>
                <w:szCs w:val="22"/>
              </w:rPr>
            </w:pPr>
            <w:r w:rsidRPr="00654309">
              <w:rPr>
                <w:rFonts w:asciiTheme="minorHAnsi" w:hAnsiTheme="minorHAnsi" w:cs="Arial"/>
                <w:sz w:val="22"/>
                <w:szCs w:val="22"/>
              </w:rPr>
              <w:t>3,572.59</w:t>
            </w:r>
          </w:p>
        </w:tc>
        <w:tc>
          <w:tcPr>
            <w:tcW w:w="1638" w:type="dxa"/>
            <w:tcBorders>
              <w:top w:val="nil"/>
              <w:left w:val="nil"/>
              <w:bottom w:val="single" w:sz="4" w:space="0" w:color="auto"/>
              <w:right w:val="single" w:sz="4" w:space="0" w:color="auto"/>
            </w:tcBorders>
            <w:shd w:val="clear" w:color="auto" w:fill="auto"/>
            <w:noWrap/>
            <w:vAlign w:val="center"/>
            <w:hideMark/>
          </w:tcPr>
          <w:p w14:paraId="4703AC1E" w14:textId="1C302942" w:rsidR="00813324" w:rsidRPr="00654309" w:rsidRDefault="00813324" w:rsidP="00813324">
            <w:pPr>
              <w:jc w:val="center"/>
              <w:rPr>
                <w:rFonts w:asciiTheme="minorHAnsi" w:hAnsiTheme="minorHAnsi" w:cs="Arial"/>
                <w:color w:val="000000"/>
                <w:sz w:val="22"/>
                <w:szCs w:val="22"/>
              </w:rPr>
            </w:pPr>
            <w:r w:rsidRPr="00654309">
              <w:rPr>
                <w:rFonts w:asciiTheme="minorHAnsi" w:hAnsiTheme="minorHAnsi" w:cs="Arial"/>
                <w:color w:val="000000"/>
                <w:sz w:val="22"/>
                <w:szCs w:val="22"/>
              </w:rPr>
              <w:t>Note-26.4.1</w:t>
            </w:r>
          </w:p>
        </w:tc>
        <w:tc>
          <w:tcPr>
            <w:tcW w:w="0" w:type="auto"/>
            <w:tcBorders>
              <w:top w:val="nil"/>
              <w:left w:val="nil"/>
              <w:bottom w:val="single" w:sz="4" w:space="0" w:color="auto"/>
              <w:right w:val="single" w:sz="4" w:space="0" w:color="auto"/>
            </w:tcBorders>
            <w:shd w:val="clear" w:color="auto" w:fill="auto"/>
            <w:noWrap/>
            <w:vAlign w:val="center"/>
            <w:hideMark/>
          </w:tcPr>
          <w:p w14:paraId="72EEE5AB" w14:textId="1678A14B" w:rsidR="00813324" w:rsidRPr="00654309" w:rsidRDefault="00813324" w:rsidP="00813324">
            <w:pPr>
              <w:jc w:val="center"/>
              <w:rPr>
                <w:rFonts w:asciiTheme="minorHAnsi" w:hAnsiTheme="minorHAnsi" w:cs="Arial"/>
                <w:color w:val="000000"/>
                <w:sz w:val="22"/>
                <w:szCs w:val="22"/>
              </w:rPr>
            </w:pPr>
            <w:r w:rsidRPr="00654309">
              <w:rPr>
                <w:rFonts w:asciiTheme="minorHAnsi" w:hAnsiTheme="minorHAnsi" w:cs="Arial"/>
                <w:color w:val="000000"/>
                <w:sz w:val="22"/>
                <w:szCs w:val="22"/>
              </w:rPr>
              <w:t>3,622.82</w:t>
            </w:r>
          </w:p>
        </w:tc>
      </w:tr>
      <w:tr w:rsidR="00813324" w:rsidRPr="00654309" w14:paraId="7411BE74" w14:textId="77777777" w:rsidTr="003A3206">
        <w:trPr>
          <w:trHeight w:val="301"/>
        </w:trPr>
        <w:tc>
          <w:tcPr>
            <w:tcW w:w="0" w:type="auto"/>
            <w:tcBorders>
              <w:top w:val="nil"/>
              <w:left w:val="single" w:sz="4" w:space="0" w:color="auto"/>
              <w:bottom w:val="single" w:sz="4" w:space="0" w:color="auto"/>
              <w:right w:val="single" w:sz="4" w:space="0" w:color="auto"/>
            </w:tcBorders>
            <w:shd w:val="clear" w:color="000000" w:fill="9BC2E6"/>
            <w:noWrap/>
            <w:vAlign w:val="center"/>
            <w:hideMark/>
          </w:tcPr>
          <w:p w14:paraId="2CA0C22C" w14:textId="77777777" w:rsidR="00813324" w:rsidRPr="00654309" w:rsidRDefault="00813324" w:rsidP="00813324">
            <w:pPr>
              <w:jc w:val="center"/>
              <w:rPr>
                <w:rFonts w:asciiTheme="minorHAnsi" w:hAnsiTheme="minorHAnsi" w:cs="Arial"/>
                <w:b/>
                <w:bCs/>
                <w:color w:val="000000"/>
                <w:sz w:val="22"/>
                <w:szCs w:val="22"/>
              </w:rPr>
            </w:pPr>
            <w:r w:rsidRPr="00654309">
              <w:rPr>
                <w:rFonts w:asciiTheme="minorHAnsi" w:hAnsiTheme="minorHAnsi" w:cs="Arial"/>
                <w:b/>
                <w:bCs/>
                <w:color w:val="000000"/>
                <w:sz w:val="22"/>
                <w:szCs w:val="22"/>
              </w:rPr>
              <w:t>SURPLUS/(DEFICIT) FY 23-24</w:t>
            </w:r>
          </w:p>
        </w:tc>
        <w:tc>
          <w:tcPr>
            <w:tcW w:w="1412" w:type="dxa"/>
            <w:tcBorders>
              <w:top w:val="nil"/>
              <w:left w:val="nil"/>
              <w:bottom w:val="single" w:sz="4" w:space="0" w:color="auto"/>
              <w:right w:val="single" w:sz="4" w:space="0" w:color="auto"/>
            </w:tcBorders>
            <w:shd w:val="clear" w:color="000000" w:fill="9BC2E6"/>
            <w:noWrap/>
            <w:vAlign w:val="center"/>
            <w:hideMark/>
          </w:tcPr>
          <w:p w14:paraId="2E45E0F6" w14:textId="56BCF975" w:rsidR="00813324" w:rsidRPr="00654309" w:rsidRDefault="00813324" w:rsidP="00813324">
            <w:pPr>
              <w:jc w:val="center"/>
              <w:rPr>
                <w:rFonts w:asciiTheme="minorHAnsi" w:hAnsiTheme="minorHAnsi" w:cs="Arial"/>
                <w:b/>
                <w:bCs/>
                <w:color w:val="000000"/>
                <w:sz w:val="22"/>
                <w:szCs w:val="22"/>
              </w:rPr>
            </w:pPr>
            <w:r w:rsidRPr="00654309">
              <w:rPr>
                <w:rFonts w:asciiTheme="minorHAnsi" w:hAnsiTheme="minorHAnsi" w:cs="Arial"/>
                <w:b/>
                <w:bCs/>
                <w:color w:val="000000"/>
                <w:sz w:val="22"/>
                <w:szCs w:val="22"/>
              </w:rPr>
              <w:t>2.74</w:t>
            </w:r>
          </w:p>
        </w:tc>
        <w:tc>
          <w:tcPr>
            <w:tcW w:w="1395" w:type="dxa"/>
            <w:tcBorders>
              <w:top w:val="nil"/>
              <w:left w:val="nil"/>
              <w:bottom w:val="single" w:sz="4" w:space="0" w:color="auto"/>
              <w:right w:val="single" w:sz="4" w:space="0" w:color="auto"/>
            </w:tcBorders>
            <w:shd w:val="clear" w:color="000000" w:fill="9BC2E6"/>
            <w:noWrap/>
            <w:vAlign w:val="center"/>
            <w:hideMark/>
          </w:tcPr>
          <w:p w14:paraId="49D40213" w14:textId="6139AAB8" w:rsidR="00813324" w:rsidRPr="00654309" w:rsidRDefault="00813324" w:rsidP="00813324">
            <w:pPr>
              <w:jc w:val="center"/>
              <w:rPr>
                <w:rFonts w:asciiTheme="minorHAnsi" w:hAnsiTheme="minorHAnsi" w:cs="Arial"/>
                <w:b/>
                <w:bCs/>
                <w:color w:val="000000"/>
                <w:sz w:val="22"/>
                <w:szCs w:val="22"/>
              </w:rPr>
            </w:pPr>
            <w:r w:rsidRPr="00654309">
              <w:rPr>
                <w:rFonts w:asciiTheme="minorHAnsi" w:hAnsiTheme="minorHAnsi" w:cs="Arial"/>
                <w:b/>
                <w:bCs/>
                <w:color w:val="000000"/>
                <w:sz w:val="22"/>
                <w:szCs w:val="22"/>
              </w:rPr>
              <w:t>89.88</w:t>
            </w:r>
          </w:p>
        </w:tc>
        <w:tc>
          <w:tcPr>
            <w:tcW w:w="1638" w:type="dxa"/>
            <w:tcBorders>
              <w:top w:val="nil"/>
              <w:left w:val="nil"/>
              <w:bottom w:val="single" w:sz="4" w:space="0" w:color="auto"/>
              <w:right w:val="single" w:sz="4" w:space="0" w:color="auto"/>
            </w:tcBorders>
            <w:shd w:val="clear" w:color="000000" w:fill="9BC2E6"/>
            <w:noWrap/>
            <w:vAlign w:val="center"/>
            <w:hideMark/>
          </w:tcPr>
          <w:p w14:paraId="65608265" w14:textId="7C5742C3" w:rsidR="00813324" w:rsidRPr="00654309" w:rsidRDefault="00813324" w:rsidP="00813324">
            <w:pPr>
              <w:jc w:val="center"/>
              <w:rPr>
                <w:rFonts w:asciiTheme="minorHAnsi" w:hAnsiTheme="minorHAnsi" w:cs="Arial"/>
                <w:b/>
                <w:bCs/>
                <w:color w:val="000000"/>
                <w:sz w:val="22"/>
                <w:szCs w:val="22"/>
              </w:rPr>
            </w:pPr>
          </w:p>
        </w:tc>
        <w:tc>
          <w:tcPr>
            <w:tcW w:w="0" w:type="auto"/>
            <w:tcBorders>
              <w:top w:val="nil"/>
              <w:left w:val="nil"/>
              <w:bottom w:val="single" w:sz="4" w:space="0" w:color="auto"/>
              <w:right w:val="single" w:sz="4" w:space="0" w:color="auto"/>
            </w:tcBorders>
            <w:shd w:val="clear" w:color="000000" w:fill="9BC2E6"/>
            <w:noWrap/>
            <w:vAlign w:val="bottom"/>
            <w:hideMark/>
          </w:tcPr>
          <w:p w14:paraId="42774152" w14:textId="3AA91E96" w:rsidR="00813324" w:rsidRPr="00654309" w:rsidRDefault="00813324" w:rsidP="00813324">
            <w:pPr>
              <w:jc w:val="center"/>
              <w:rPr>
                <w:rFonts w:asciiTheme="minorHAnsi" w:hAnsiTheme="minorHAnsi" w:cs="Arial"/>
                <w:b/>
                <w:bCs/>
                <w:color w:val="000000"/>
                <w:sz w:val="22"/>
                <w:szCs w:val="22"/>
              </w:rPr>
            </w:pPr>
            <w:r w:rsidRPr="00654309">
              <w:rPr>
                <w:rFonts w:asciiTheme="minorHAnsi" w:hAnsiTheme="minorHAnsi" w:cs="Arial"/>
                <w:b/>
                <w:bCs/>
                <w:color w:val="000000"/>
                <w:sz w:val="22"/>
                <w:szCs w:val="22"/>
              </w:rPr>
              <w:t>(11.61)</w:t>
            </w:r>
          </w:p>
        </w:tc>
      </w:tr>
      <w:tr w:rsidR="00813324" w:rsidRPr="00654309" w14:paraId="62FDBADB" w14:textId="77777777" w:rsidTr="003A3206">
        <w:trPr>
          <w:trHeight w:val="301"/>
        </w:trPr>
        <w:tc>
          <w:tcPr>
            <w:tcW w:w="0" w:type="auto"/>
            <w:tcBorders>
              <w:top w:val="nil"/>
              <w:left w:val="single" w:sz="4" w:space="0" w:color="auto"/>
              <w:bottom w:val="single" w:sz="4" w:space="0" w:color="auto"/>
              <w:right w:val="nil"/>
            </w:tcBorders>
            <w:shd w:val="clear" w:color="000000" w:fill="FFFFFF"/>
            <w:vAlign w:val="center"/>
            <w:hideMark/>
          </w:tcPr>
          <w:p w14:paraId="67C455E9" w14:textId="05074221" w:rsidR="00813324" w:rsidRPr="00654309" w:rsidRDefault="00813324" w:rsidP="00813324">
            <w:pPr>
              <w:jc w:val="center"/>
              <w:rPr>
                <w:rFonts w:asciiTheme="minorHAnsi" w:hAnsiTheme="minorHAnsi" w:cs="Arial"/>
                <w:b/>
                <w:bCs/>
                <w:color w:val="000000"/>
                <w:sz w:val="22"/>
                <w:szCs w:val="22"/>
              </w:rPr>
            </w:pPr>
          </w:p>
        </w:tc>
        <w:tc>
          <w:tcPr>
            <w:tcW w:w="1412" w:type="dxa"/>
            <w:tcBorders>
              <w:top w:val="nil"/>
              <w:left w:val="nil"/>
              <w:bottom w:val="single" w:sz="4" w:space="0" w:color="auto"/>
              <w:right w:val="nil"/>
            </w:tcBorders>
            <w:shd w:val="clear" w:color="000000" w:fill="FFFFFF"/>
            <w:noWrap/>
            <w:vAlign w:val="center"/>
            <w:hideMark/>
          </w:tcPr>
          <w:p w14:paraId="7220A987" w14:textId="0280931B" w:rsidR="00813324" w:rsidRPr="00654309" w:rsidRDefault="00813324" w:rsidP="00813324">
            <w:pPr>
              <w:jc w:val="center"/>
              <w:rPr>
                <w:rFonts w:asciiTheme="minorHAnsi" w:hAnsiTheme="minorHAnsi" w:cs="Arial"/>
                <w:b/>
                <w:bCs/>
                <w:color w:val="000000"/>
                <w:sz w:val="22"/>
                <w:szCs w:val="22"/>
              </w:rPr>
            </w:pPr>
          </w:p>
        </w:tc>
        <w:tc>
          <w:tcPr>
            <w:tcW w:w="1395" w:type="dxa"/>
            <w:tcBorders>
              <w:top w:val="nil"/>
              <w:left w:val="nil"/>
              <w:bottom w:val="single" w:sz="4" w:space="0" w:color="auto"/>
              <w:right w:val="nil"/>
            </w:tcBorders>
            <w:shd w:val="clear" w:color="000000" w:fill="FFFFFF"/>
            <w:noWrap/>
            <w:vAlign w:val="center"/>
            <w:hideMark/>
          </w:tcPr>
          <w:p w14:paraId="6A1490BC" w14:textId="19981F3E" w:rsidR="00813324" w:rsidRPr="00654309" w:rsidRDefault="00813324" w:rsidP="00813324">
            <w:pPr>
              <w:jc w:val="center"/>
              <w:rPr>
                <w:rFonts w:asciiTheme="minorHAnsi" w:hAnsiTheme="minorHAnsi" w:cs="Arial"/>
                <w:b/>
                <w:bCs/>
                <w:color w:val="000000"/>
                <w:sz w:val="22"/>
                <w:szCs w:val="22"/>
              </w:rPr>
            </w:pPr>
          </w:p>
        </w:tc>
        <w:tc>
          <w:tcPr>
            <w:tcW w:w="1638" w:type="dxa"/>
            <w:tcBorders>
              <w:top w:val="nil"/>
              <w:left w:val="nil"/>
              <w:bottom w:val="single" w:sz="4" w:space="0" w:color="auto"/>
              <w:right w:val="nil"/>
            </w:tcBorders>
            <w:shd w:val="clear" w:color="000000" w:fill="FFFFFF"/>
            <w:noWrap/>
            <w:vAlign w:val="center"/>
            <w:hideMark/>
          </w:tcPr>
          <w:p w14:paraId="32015D55" w14:textId="7BF35C59" w:rsidR="00813324" w:rsidRPr="00654309" w:rsidRDefault="00813324" w:rsidP="00813324">
            <w:pPr>
              <w:jc w:val="center"/>
              <w:rPr>
                <w:rFonts w:asciiTheme="minorHAnsi" w:hAnsiTheme="minorHAnsi" w:cs="Arial"/>
                <w:b/>
                <w:bCs/>
                <w:color w:val="000000"/>
                <w:sz w:val="22"/>
                <w:szCs w:val="22"/>
              </w:rPr>
            </w:pPr>
          </w:p>
        </w:tc>
        <w:tc>
          <w:tcPr>
            <w:tcW w:w="0" w:type="auto"/>
            <w:tcBorders>
              <w:top w:val="nil"/>
              <w:left w:val="nil"/>
              <w:bottom w:val="single" w:sz="4" w:space="0" w:color="auto"/>
              <w:right w:val="single" w:sz="4" w:space="0" w:color="auto"/>
            </w:tcBorders>
            <w:shd w:val="clear" w:color="000000" w:fill="FFFFFF"/>
            <w:noWrap/>
            <w:vAlign w:val="bottom"/>
            <w:hideMark/>
          </w:tcPr>
          <w:p w14:paraId="796641F8" w14:textId="422AB679" w:rsidR="00813324" w:rsidRPr="00654309" w:rsidRDefault="00813324" w:rsidP="00813324">
            <w:pPr>
              <w:jc w:val="center"/>
              <w:rPr>
                <w:rFonts w:asciiTheme="minorHAnsi" w:hAnsiTheme="minorHAnsi" w:cs="Arial"/>
                <w:b/>
                <w:bCs/>
                <w:color w:val="000000"/>
                <w:sz w:val="22"/>
                <w:szCs w:val="22"/>
              </w:rPr>
            </w:pPr>
          </w:p>
        </w:tc>
      </w:tr>
      <w:tr w:rsidR="00813324" w:rsidRPr="00654309" w14:paraId="17475992" w14:textId="77777777" w:rsidTr="003A3206">
        <w:trPr>
          <w:trHeight w:val="301"/>
        </w:trPr>
        <w:tc>
          <w:tcPr>
            <w:tcW w:w="0" w:type="auto"/>
            <w:gridSpan w:val="5"/>
            <w:tcBorders>
              <w:top w:val="single" w:sz="4" w:space="0" w:color="auto"/>
              <w:left w:val="single" w:sz="4" w:space="0" w:color="auto"/>
              <w:bottom w:val="single" w:sz="4" w:space="0" w:color="auto"/>
              <w:right w:val="single" w:sz="4" w:space="0" w:color="000000"/>
            </w:tcBorders>
            <w:shd w:val="clear" w:color="000000" w:fill="9BC2E6"/>
            <w:noWrap/>
            <w:vAlign w:val="center"/>
            <w:hideMark/>
          </w:tcPr>
          <w:p w14:paraId="3AF655D3" w14:textId="7BA70869" w:rsidR="00813324" w:rsidRPr="00654309" w:rsidRDefault="00813324" w:rsidP="00813324">
            <w:pPr>
              <w:jc w:val="center"/>
              <w:rPr>
                <w:rFonts w:asciiTheme="minorHAnsi" w:hAnsiTheme="minorHAnsi" w:cs="Arial"/>
                <w:b/>
                <w:bCs/>
                <w:color w:val="000000"/>
                <w:sz w:val="22"/>
                <w:szCs w:val="22"/>
              </w:rPr>
            </w:pPr>
            <w:r w:rsidRPr="00654309">
              <w:rPr>
                <w:rFonts w:asciiTheme="minorHAnsi" w:hAnsiTheme="minorHAnsi" w:cs="Arial"/>
                <w:b/>
                <w:bCs/>
                <w:color w:val="000000"/>
                <w:sz w:val="22"/>
                <w:szCs w:val="22"/>
              </w:rPr>
              <w:t>Not considered in Previous FYs</w:t>
            </w:r>
          </w:p>
        </w:tc>
      </w:tr>
      <w:tr w:rsidR="00813324" w:rsidRPr="00654309" w14:paraId="3A524F99" w14:textId="77777777" w:rsidTr="003A3206">
        <w:trPr>
          <w:trHeight w:val="301"/>
        </w:trPr>
        <w:tc>
          <w:tcPr>
            <w:tcW w:w="0" w:type="auto"/>
            <w:tcBorders>
              <w:top w:val="nil"/>
              <w:left w:val="single" w:sz="4" w:space="0" w:color="auto"/>
              <w:bottom w:val="single" w:sz="4" w:space="0" w:color="auto"/>
              <w:right w:val="single" w:sz="4" w:space="0" w:color="auto"/>
            </w:tcBorders>
            <w:shd w:val="clear" w:color="000000" w:fill="FFFFFF"/>
            <w:noWrap/>
            <w:vAlign w:val="center"/>
            <w:hideMark/>
          </w:tcPr>
          <w:p w14:paraId="2743E851" w14:textId="77777777" w:rsidR="00813324" w:rsidRPr="00654309" w:rsidRDefault="00813324" w:rsidP="00813324">
            <w:pPr>
              <w:jc w:val="center"/>
              <w:rPr>
                <w:rFonts w:asciiTheme="minorHAnsi" w:hAnsiTheme="minorHAnsi" w:cs="Arial"/>
                <w:b/>
                <w:bCs/>
                <w:color w:val="000000"/>
                <w:sz w:val="22"/>
                <w:szCs w:val="22"/>
              </w:rPr>
            </w:pPr>
            <w:r w:rsidRPr="00654309">
              <w:rPr>
                <w:rFonts w:asciiTheme="minorHAnsi" w:hAnsiTheme="minorHAnsi" w:cs="Arial"/>
                <w:b/>
                <w:bCs/>
                <w:color w:val="000000"/>
                <w:sz w:val="22"/>
                <w:szCs w:val="22"/>
              </w:rPr>
              <w:t>FY 21-22</w:t>
            </w:r>
          </w:p>
        </w:tc>
        <w:tc>
          <w:tcPr>
            <w:tcW w:w="1412" w:type="dxa"/>
            <w:tcBorders>
              <w:top w:val="nil"/>
              <w:left w:val="nil"/>
              <w:bottom w:val="single" w:sz="4" w:space="0" w:color="auto"/>
              <w:right w:val="single" w:sz="4" w:space="0" w:color="auto"/>
            </w:tcBorders>
            <w:shd w:val="clear" w:color="000000" w:fill="FFFFFF"/>
            <w:noWrap/>
            <w:vAlign w:val="center"/>
            <w:hideMark/>
          </w:tcPr>
          <w:p w14:paraId="733440B1" w14:textId="51FA96C9" w:rsidR="00813324" w:rsidRPr="00654309" w:rsidRDefault="00813324" w:rsidP="00813324">
            <w:pPr>
              <w:jc w:val="center"/>
              <w:rPr>
                <w:rFonts w:asciiTheme="minorHAnsi" w:hAnsiTheme="minorHAnsi" w:cs="Arial"/>
                <w:b/>
                <w:bCs/>
                <w:color w:val="000000"/>
                <w:sz w:val="22"/>
                <w:szCs w:val="22"/>
              </w:rPr>
            </w:pPr>
          </w:p>
        </w:tc>
        <w:tc>
          <w:tcPr>
            <w:tcW w:w="1395" w:type="dxa"/>
            <w:tcBorders>
              <w:top w:val="nil"/>
              <w:left w:val="nil"/>
              <w:bottom w:val="single" w:sz="4" w:space="0" w:color="auto"/>
              <w:right w:val="single" w:sz="4" w:space="0" w:color="auto"/>
            </w:tcBorders>
            <w:shd w:val="clear" w:color="000000" w:fill="FFFFFF"/>
            <w:noWrap/>
            <w:vAlign w:val="center"/>
            <w:hideMark/>
          </w:tcPr>
          <w:p w14:paraId="36A2BB44" w14:textId="15777391" w:rsidR="00813324" w:rsidRPr="00654309" w:rsidRDefault="00813324" w:rsidP="00813324">
            <w:pPr>
              <w:jc w:val="center"/>
              <w:rPr>
                <w:rFonts w:asciiTheme="minorHAnsi" w:hAnsiTheme="minorHAnsi" w:cs="Arial"/>
                <w:b/>
                <w:bCs/>
                <w:color w:val="000000"/>
                <w:sz w:val="22"/>
                <w:szCs w:val="22"/>
              </w:rPr>
            </w:pPr>
          </w:p>
        </w:tc>
        <w:tc>
          <w:tcPr>
            <w:tcW w:w="1638" w:type="dxa"/>
            <w:tcBorders>
              <w:top w:val="nil"/>
              <w:left w:val="nil"/>
              <w:bottom w:val="single" w:sz="4" w:space="0" w:color="auto"/>
              <w:right w:val="single" w:sz="4" w:space="0" w:color="auto"/>
            </w:tcBorders>
            <w:shd w:val="clear" w:color="000000" w:fill="FFFFFF"/>
            <w:noWrap/>
            <w:vAlign w:val="center"/>
            <w:hideMark/>
          </w:tcPr>
          <w:p w14:paraId="1BF6E803" w14:textId="22992D49" w:rsidR="00813324" w:rsidRPr="00654309" w:rsidRDefault="00813324" w:rsidP="00813324">
            <w:pPr>
              <w:jc w:val="center"/>
              <w:rPr>
                <w:rFonts w:asciiTheme="minorHAnsi" w:hAnsiTheme="minorHAnsi" w:cs="Arial"/>
                <w:b/>
                <w:bCs/>
                <w:color w:val="000000"/>
                <w:sz w:val="22"/>
                <w:szCs w:val="22"/>
              </w:rPr>
            </w:pPr>
          </w:p>
        </w:tc>
        <w:tc>
          <w:tcPr>
            <w:tcW w:w="0" w:type="auto"/>
            <w:tcBorders>
              <w:top w:val="nil"/>
              <w:left w:val="nil"/>
              <w:bottom w:val="single" w:sz="4" w:space="0" w:color="auto"/>
              <w:right w:val="single" w:sz="4" w:space="0" w:color="auto"/>
            </w:tcBorders>
            <w:shd w:val="clear" w:color="000000" w:fill="FFFFFF"/>
            <w:noWrap/>
            <w:vAlign w:val="bottom"/>
            <w:hideMark/>
          </w:tcPr>
          <w:p w14:paraId="6A2F796E" w14:textId="696B186B" w:rsidR="00813324" w:rsidRPr="00654309" w:rsidRDefault="00813324" w:rsidP="00813324">
            <w:pPr>
              <w:jc w:val="center"/>
              <w:rPr>
                <w:rFonts w:asciiTheme="minorHAnsi" w:hAnsiTheme="minorHAnsi" w:cs="Arial"/>
                <w:b/>
                <w:bCs/>
                <w:color w:val="000000"/>
                <w:sz w:val="22"/>
                <w:szCs w:val="22"/>
              </w:rPr>
            </w:pPr>
          </w:p>
        </w:tc>
      </w:tr>
      <w:tr w:rsidR="00813324" w:rsidRPr="00654309" w14:paraId="76C4ECA8" w14:textId="77777777" w:rsidTr="003A3206">
        <w:trPr>
          <w:trHeight w:val="301"/>
        </w:trPr>
        <w:tc>
          <w:tcPr>
            <w:tcW w:w="0" w:type="auto"/>
            <w:tcBorders>
              <w:top w:val="nil"/>
              <w:left w:val="single" w:sz="4" w:space="0" w:color="auto"/>
              <w:bottom w:val="single" w:sz="4" w:space="0" w:color="auto"/>
              <w:right w:val="single" w:sz="4" w:space="0" w:color="auto"/>
            </w:tcBorders>
            <w:shd w:val="clear" w:color="000000" w:fill="FFFFFF"/>
            <w:noWrap/>
            <w:vAlign w:val="center"/>
            <w:hideMark/>
          </w:tcPr>
          <w:p w14:paraId="02C463DF" w14:textId="77777777" w:rsidR="00813324" w:rsidRPr="00654309" w:rsidRDefault="00813324" w:rsidP="00813324">
            <w:pPr>
              <w:jc w:val="center"/>
              <w:rPr>
                <w:rFonts w:asciiTheme="minorHAnsi" w:hAnsiTheme="minorHAnsi" w:cs="Arial"/>
                <w:b/>
                <w:bCs/>
                <w:color w:val="000000"/>
                <w:sz w:val="22"/>
                <w:szCs w:val="22"/>
              </w:rPr>
            </w:pPr>
            <w:r w:rsidRPr="00654309">
              <w:rPr>
                <w:rFonts w:asciiTheme="minorHAnsi" w:hAnsiTheme="minorHAnsi" w:cs="Arial"/>
                <w:b/>
                <w:bCs/>
                <w:color w:val="000000"/>
                <w:sz w:val="22"/>
                <w:szCs w:val="22"/>
              </w:rPr>
              <w:t>NTI Excluding Meter Rent</w:t>
            </w:r>
          </w:p>
        </w:tc>
        <w:tc>
          <w:tcPr>
            <w:tcW w:w="1412" w:type="dxa"/>
            <w:tcBorders>
              <w:top w:val="nil"/>
              <w:left w:val="nil"/>
              <w:bottom w:val="single" w:sz="4" w:space="0" w:color="auto"/>
              <w:right w:val="single" w:sz="4" w:space="0" w:color="auto"/>
            </w:tcBorders>
            <w:shd w:val="clear" w:color="000000" w:fill="FFFFFF"/>
            <w:noWrap/>
            <w:vAlign w:val="center"/>
            <w:hideMark/>
          </w:tcPr>
          <w:p w14:paraId="433819D5" w14:textId="4C94A4FA" w:rsidR="00813324" w:rsidRPr="00654309" w:rsidRDefault="00813324" w:rsidP="00813324">
            <w:pPr>
              <w:jc w:val="center"/>
              <w:rPr>
                <w:rFonts w:asciiTheme="minorHAnsi" w:hAnsiTheme="minorHAnsi" w:cs="Arial"/>
                <w:b/>
                <w:bCs/>
                <w:color w:val="000000"/>
                <w:sz w:val="22"/>
                <w:szCs w:val="22"/>
              </w:rPr>
            </w:pPr>
          </w:p>
        </w:tc>
        <w:tc>
          <w:tcPr>
            <w:tcW w:w="1395" w:type="dxa"/>
            <w:tcBorders>
              <w:top w:val="nil"/>
              <w:left w:val="nil"/>
              <w:bottom w:val="single" w:sz="4" w:space="0" w:color="auto"/>
              <w:right w:val="single" w:sz="4" w:space="0" w:color="auto"/>
            </w:tcBorders>
            <w:shd w:val="clear" w:color="000000" w:fill="FFFFFF"/>
            <w:noWrap/>
            <w:vAlign w:val="bottom"/>
            <w:hideMark/>
          </w:tcPr>
          <w:p w14:paraId="5A43E695" w14:textId="7D89D811" w:rsidR="00813324" w:rsidRPr="00654309" w:rsidRDefault="00813324" w:rsidP="00813324">
            <w:pPr>
              <w:jc w:val="center"/>
              <w:rPr>
                <w:rFonts w:asciiTheme="minorHAnsi" w:hAnsiTheme="minorHAnsi" w:cs="Arial"/>
                <w:b/>
                <w:bCs/>
                <w:color w:val="000000"/>
                <w:sz w:val="22"/>
                <w:szCs w:val="22"/>
              </w:rPr>
            </w:pPr>
          </w:p>
        </w:tc>
        <w:tc>
          <w:tcPr>
            <w:tcW w:w="1638" w:type="dxa"/>
            <w:tcBorders>
              <w:top w:val="nil"/>
              <w:left w:val="nil"/>
              <w:bottom w:val="single" w:sz="4" w:space="0" w:color="auto"/>
              <w:right w:val="single" w:sz="4" w:space="0" w:color="auto"/>
            </w:tcBorders>
            <w:shd w:val="clear" w:color="000000" w:fill="FFFFFF"/>
            <w:noWrap/>
            <w:vAlign w:val="center"/>
            <w:hideMark/>
          </w:tcPr>
          <w:p w14:paraId="79F1C9AD" w14:textId="2C330ECB" w:rsidR="00813324" w:rsidRPr="00654309" w:rsidRDefault="00813324" w:rsidP="00813324">
            <w:pPr>
              <w:jc w:val="center"/>
              <w:rPr>
                <w:rFonts w:asciiTheme="minorHAnsi" w:hAnsiTheme="minorHAnsi" w:cs="Arial"/>
                <w:b/>
                <w:bCs/>
                <w:color w:val="000000"/>
                <w:sz w:val="22"/>
                <w:szCs w:val="22"/>
              </w:rPr>
            </w:pPr>
          </w:p>
        </w:tc>
        <w:tc>
          <w:tcPr>
            <w:tcW w:w="0" w:type="auto"/>
            <w:tcBorders>
              <w:top w:val="nil"/>
              <w:left w:val="nil"/>
              <w:bottom w:val="single" w:sz="4" w:space="0" w:color="auto"/>
              <w:right w:val="single" w:sz="4" w:space="0" w:color="auto"/>
            </w:tcBorders>
            <w:shd w:val="clear" w:color="auto" w:fill="auto"/>
            <w:noWrap/>
            <w:vAlign w:val="bottom"/>
            <w:hideMark/>
          </w:tcPr>
          <w:p w14:paraId="4BD2F319" w14:textId="3DCB5D16" w:rsidR="00813324" w:rsidRPr="00654309" w:rsidRDefault="00813324" w:rsidP="00813324">
            <w:pPr>
              <w:jc w:val="center"/>
              <w:rPr>
                <w:rFonts w:asciiTheme="minorHAnsi" w:hAnsiTheme="minorHAnsi" w:cs="Arial"/>
                <w:b/>
                <w:bCs/>
                <w:color w:val="000000"/>
                <w:sz w:val="22"/>
                <w:szCs w:val="22"/>
              </w:rPr>
            </w:pPr>
            <w:r w:rsidRPr="00654309">
              <w:rPr>
                <w:rFonts w:asciiTheme="minorHAnsi" w:hAnsiTheme="minorHAnsi" w:cs="Arial"/>
                <w:b/>
                <w:bCs/>
                <w:color w:val="000000"/>
                <w:sz w:val="22"/>
                <w:szCs w:val="22"/>
              </w:rPr>
              <w:t>(6.52)</w:t>
            </w:r>
          </w:p>
        </w:tc>
      </w:tr>
      <w:tr w:rsidR="00813324" w:rsidRPr="00654309" w14:paraId="5FAC90C0" w14:textId="77777777" w:rsidTr="003A3206">
        <w:trPr>
          <w:trHeight w:val="301"/>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7BB7DC6B" w14:textId="77777777" w:rsidR="00813324" w:rsidRPr="00654309" w:rsidRDefault="00813324" w:rsidP="00813324">
            <w:pPr>
              <w:jc w:val="center"/>
              <w:rPr>
                <w:rFonts w:asciiTheme="minorHAnsi" w:hAnsiTheme="minorHAnsi" w:cs="Arial"/>
                <w:b/>
                <w:bCs/>
                <w:color w:val="000000"/>
                <w:sz w:val="22"/>
                <w:szCs w:val="22"/>
              </w:rPr>
            </w:pPr>
            <w:r w:rsidRPr="00654309">
              <w:rPr>
                <w:rFonts w:asciiTheme="minorHAnsi" w:hAnsiTheme="minorHAnsi" w:cs="Arial"/>
                <w:b/>
                <w:bCs/>
                <w:color w:val="000000"/>
                <w:sz w:val="22"/>
                <w:szCs w:val="22"/>
              </w:rPr>
              <w:t>FY 22-23</w:t>
            </w:r>
          </w:p>
        </w:tc>
        <w:tc>
          <w:tcPr>
            <w:tcW w:w="1412" w:type="dxa"/>
            <w:tcBorders>
              <w:top w:val="nil"/>
              <w:left w:val="nil"/>
              <w:bottom w:val="single" w:sz="4" w:space="0" w:color="auto"/>
              <w:right w:val="single" w:sz="4" w:space="0" w:color="auto"/>
            </w:tcBorders>
            <w:shd w:val="clear" w:color="auto" w:fill="auto"/>
            <w:noWrap/>
            <w:vAlign w:val="bottom"/>
            <w:hideMark/>
          </w:tcPr>
          <w:p w14:paraId="578FEA95" w14:textId="3DBED894" w:rsidR="00813324" w:rsidRPr="00654309" w:rsidRDefault="00813324" w:rsidP="00813324">
            <w:pPr>
              <w:jc w:val="center"/>
              <w:rPr>
                <w:rFonts w:asciiTheme="minorHAnsi" w:hAnsiTheme="minorHAnsi" w:cs="Arial"/>
                <w:color w:val="000000"/>
                <w:sz w:val="22"/>
                <w:szCs w:val="22"/>
              </w:rPr>
            </w:pPr>
          </w:p>
        </w:tc>
        <w:tc>
          <w:tcPr>
            <w:tcW w:w="1395" w:type="dxa"/>
            <w:tcBorders>
              <w:top w:val="nil"/>
              <w:left w:val="nil"/>
              <w:bottom w:val="single" w:sz="4" w:space="0" w:color="auto"/>
              <w:right w:val="single" w:sz="4" w:space="0" w:color="auto"/>
            </w:tcBorders>
            <w:shd w:val="clear" w:color="auto" w:fill="auto"/>
            <w:noWrap/>
            <w:vAlign w:val="bottom"/>
            <w:hideMark/>
          </w:tcPr>
          <w:p w14:paraId="47273DC1" w14:textId="5D877976" w:rsidR="00813324" w:rsidRPr="00654309" w:rsidRDefault="00813324" w:rsidP="00813324">
            <w:pPr>
              <w:jc w:val="center"/>
              <w:rPr>
                <w:rFonts w:asciiTheme="minorHAnsi" w:hAnsiTheme="minorHAnsi" w:cs="Arial"/>
                <w:color w:val="000000"/>
                <w:sz w:val="22"/>
                <w:szCs w:val="22"/>
              </w:rPr>
            </w:pPr>
          </w:p>
        </w:tc>
        <w:tc>
          <w:tcPr>
            <w:tcW w:w="1638" w:type="dxa"/>
            <w:tcBorders>
              <w:top w:val="nil"/>
              <w:left w:val="nil"/>
              <w:bottom w:val="single" w:sz="4" w:space="0" w:color="auto"/>
              <w:right w:val="single" w:sz="4" w:space="0" w:color="auto"/>
            </w:tcBorders>
            <w:shd w:val="clear" w:color="auto" w:fill="auto"/>
            <w:noWrap/>
            <w:vAlign w:val="bottom"/>
            <w:hideMark/>
          </w:tcPr>
          <w:p w14:paraId="4778F6F8" w14:textId="314B7996" w:rsidR="00813324" w:rsidRPr="00654309" w:rsidRDefault="00813324" w:rsidP="00813324">
            <w:pPr>
              <w:jc w:val="center"/>
              <w:rPr>
                <w:rFonts w:asciiTheme="minorHAnsi" w:hAnsiTheme="minorHAnsi" w:cs="Arial"/>
                <w:color w:val="000000"/>
                <w:sz w:val="22"/>
                <w:szCs w:val="22"/>
              </w:rPr>
            </w:pPr>
          </w:p>
        </w:tc>
        <w:tc>
          <w:tcPr>
            <w:tcW w:w="0" w:type="auto"/>
            <w:tcBorders>
              <w:top w:val="nil"/>
              <w:left w:val="nil"/>
              <w:bottom w:val="single" w:sz="4" w:space="0" w:color="auto"/>
              <w:right w:val="single" w:sz="4" w:space="0" w:color="auto"/>
            </w:tcBorders>
            <w:shd w:val="clear" w:color="000000" w:fill="FFFFFF"/>
            <w:noWrap/>
            <w:vAlign w:val="bottom"/>
            <w:hideMark/>
          </w:tcPr>
          <w:p w14:paraId="06A76A7A" w14:textId="3784418A" w:rsidR="00813324" w:rsidRPr="00654309" w:rsidRDefault="00813324" w:rsidP="00813324">
            <w:pPr>
              <w:jc w:val="center"/>
              <w:rPr>
                <w:rFonts w:asciiTheme="minorHAnsi" w:hAnsiTheme="minorHAnsi" w:cs="Arial"/>
                <w:b/>
                <w:bCs/>
                <w:color w:val="000000"/>
                <w:sz w:val="22"/>
                <w:szCs w:val="22"/>
              </w:rPr>
            </w:pPr>
          </w:p>
        </w:tc>
      </w:tr>
      <w:tr w:rsidR="00813324" w:rsidRPr="00654309" w14:paraId="3EFD5878" w14:textId="77777777" w:rsidTr="003A3206">
        <w:trPr>
          <w:trHeight w:val="301"/>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7A3A0C0F" w14:textId="67D32100" w:rsidR="00813324" w:rsidRPr="00654309" w:rsidRDefault="00813324" w:rsidP="00813324">
            <w:pPr>
              <w:jc w:val="center"/>
              <w:rPr>
                <w:rFonts w:asciiTheme="minorHAnsi" w:hAnsiTheme="minorHAnsi" w:cs="Arial"/>
                <w:b/>
                <w:bCs/>
                <w:color w:val="000000"/>
                <w:sz w:val="22"/>
                <w:szCs w:val="22"/>
              </w:rPr>
            </w:pPr>
            <w:r w:rsidRPr="00654309">
              <w:rPr>
                <w:rFonts w:asciiTheme="minorHAnsi" w:hAnsiTheme="minorHAnsi" w:cs="Arial"/>
                <w:b/>
                <w:bCs/>
                <w:color w:val="000000"/>
                <w:sz w:val="22"/>
                <w:szCs w:val="22"/>
              </w:rPr>
              <w:t>Employee Cost</w:t>
            </w:r>
          </w:p>
        </w:tc>
        <w:tc>
          <w:tcPr>
            <w:tcW w:w="1412" w:type="dxa"/>
            <w:tcBorders>
              <w:top w:val="nil"/>
              <w:left w:val="nil"/>
              <w:bottom w:val="single" w:sz="4" w:space="0" w:color="auto"/>
              <w:right w:val="single" w:sz="4" w:space="0" w:color="auto"/>
            </w:tcBorders>
            <w:shd w:val="clear" w:color="auto" w:fill="auto"/>
            <w:noWrap/>
            <w:vAlign w:val="bottom"/>
            <w:hideMark/>
          </w:tcPr>
          <w:p w14:paraId="1FED9463" w14:textId="29A5DCFC" w:rsidR="00813324" w:rsidRPr="00654309" w:rsidRDefault="00813324" w:rsidP="00813324">
            <w:pPr>
              <w:jc w:val="center"/>
              <w:rPr>
                <w:rFonts w:asciiTheme="minorHAnsi" w:hAnsiTheme="minorHAnsi" w:cs="Arial"/>
                <w:color w:val="000000"/>
                <w:sz w:val="22"/>
                <w:szCs w:val="22"/>
              </w:rPr>
            </w:pPr>
          </w:p>
        </w:tc>
        <w:tc>
          <w:tcPr>
            <w:tcW w:w="1395" w:type="dxa"/>
            <w:tcBorders>
              <w:top w:val="nil"/>
              <w:left w:val="nil"/>
              <w:bottom w:val="single" w:sz="4" w:space="0" w:color="auto"/>
              <w:right w:val="single" w:sz="4" w:space="0" w:color="auto"/>
            </w:tcBorders>
            <w:shd w:val="clear" w:color="auto" w:fill="auto"/>
            <w:noWrap/>
            <w:vAlign w:val="bottom"/>
            <w:hideMark/>
          </w:tcPr>
          <w:p w14:paraId="78625408" w14:textId="5B1B7D2C" w:rsidR="00813324" w:rsidRPr="00654309" w:rsidRDefault="00813324" w:rsidP="00813324">
            <w:pPr>
              <w:jc w:val="center"/>
              <w:rPr>
                <w:rFonts w:asciiTheme="minorHAnsi" w:hAnsiTheme="minorHAnsi" w:cs="Arial"/>
                <w:color w:val="000000"/>
                <w:sz w:val="22"/>
                <w:szCs w:val="22"/>
              </w:rPr>
            </w:pPr>
          </w:p>
        </w:tc>
        <w:tc>
          <w:tcPr>
            <w:tcW w:w="1638" w:type="dxa"/>
            <w:tcBorders>
              <w:top w:val="nil"/>
              <w:left w:val="nil"/>
              <w:bottom w:val="single" w:sz="4" w:space="0" w:color="auto"/>
              <w:right w:val="single" w:sz="4" w:space="0" w:color="auto"/>
            </w:tcBorders>
            <w:shd w:val="clear" w:color="auto" w:fill="auto"/>
            <w:noWrap/>
            <w:vAlign w:val="bottom"/>
            <w:hideMark/>
          </w:tcPr>
          <w:p w14:paraId="6F3EAE57" w14:textId="489DE1B7" w:rsidR="00813324" w:rsidRPr="00654309" w:rsidRDefault="00813324" w:rsidP="00813324">
            <w:pPr>
              <w:jc w:val="center"/>
              <w:rPr>
                <w:rFonts w:asciiTheme="minorHAnsi" w:hAnsiTheme="minorHAnsi" w:cs="Arial"/>
                <w:color w:val="000000"/>
                <w:sz w:val="22"/>
                <w:szCs w:val="22"/>
              </w:rPr>
            </w:pPr>
          </w:p>
        </w:tc>
        <w:tc>
          <w:tcPr>
            <w:tcW w:w="0" w:type="auto"/>
            <w:tcBorders>
              <w:top w:val="nil"/>
              <w:left w:val="nil"/>
              <w:bottom w:val="single" w:sz="4" w:space="0" w:color="auto"/>
              <w:right w:val="single" w:sz="4" w:space="0" w:color="auto"/>
            </w:tcBorders>
            <w:shd w:val="clear" w:color="000000" w:fill="FFFFFF"/>
            <w:noWrap/>
            <w:vAlign w:val="bottom"/>
            <w:hideMark/>
          </w:tcPr>
          <w:p w14:paraId="52B32E20" w14:textId="6BE9166D" w:rsidR="00813324" w:rsidRPr="00654309" w:rsidRDefault="00813324" w:rsidP="00813324">
            <w:pPr>
              <w:jc w:val="center"/>
              <w:rPr>
                <w:rFonts w:asciiTheme="minorHAnsi" w:hAnsiTheme="minorHAnsi" w:cs="Arial"/>
                <w:b/>
                <w:bCs/>
                <w:color w:val="000000"/>
                <w:sz w:val="22"/>
                <w:szCs w:val="22"/>
              </w:rPr>
            </w:pPr>
            <w:r w:rsidRPr="00654309">
              <w:rPr>
                <w:rFonts w:asciiTheme="minorHAnsi" w:hAnsiTheme="minorHAnsi" w:cs="Arial"/>
                <w:b/>
                <w:bCs/>
                <w:color w:val="000000"/>
                <w:sz w:val="22"/>
                <w:szCs w:val="22"/>
              </w:rPr>
              <w:t>(2.72)</w:t>
            </w:r>
          </w:p>
        </w:tc>
      </w:tr>
      <w:tr w:rsidR="00813324" w:rsidRPr="00654309" w14:paraId="4A79808F" w14:textId="77777777" w:rsidTr="003A3206">
        <w:trPr>
          <w:trHeight w:val="301"/>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1837BB14" w14:textId="77777777" w:rsidR="00813324" w:rsidRPr="00654309" w:rsidRDefault="00813324" w:rsidP="00813324">
            <w:pPr>
              <w:jc w:val="center"/>
              <w:rPr>
                <w:rFonts w:asciiTheme="minorHAnsi" w:hAnsiTheme="minorHAnsi" w:cs="Arial"/>
                <w:b/>
                <w:bCs/>
                <w:color w:val="000000"/>
                <w:sz w:val="22"/>
                <w:szCs w:val="22"/>
              </w:rPr>
            </w:pPr>
            <w:r w:rsidRPr="00654309">
              <w:rPr>
                <w:rFonts w:asciiTheme="minorHAnsi" w:hAnsiTheme="minorHAnsi" w:cs="Arial"/>
                <w:b/>
                <w:bCs/>
                <w:color w:val="000000"/>
                <w:sz w:val="22"/>
                <w:szCs w:val="22"/>
              </w:rPr>
              <w:t>R&amp;M</w:t>
            </w:r>
          </w:p>
        </w:tc>
        <w:tc>
          <w:tcPr>
            <w:tcW w:w="1412" w:type="dxa"/>
            <w:tcBorders>
              <w:top w:val="nil"/>
              <w:left w:val="nil"/>
              <w:bottom w:val="single" w:sz="4" w:space="0" w:color="auto"/>
              <w:right w:val="single" w:sz="4" w:space="0" w:color="auto"/>
            </w:tcBorders>
            <w:shd w:val="clear" w:color="auto" w:fill="auto"/>
            <w:noWrap/>
            <w:vAlign w:val="bottom"/>
            <w:hideMark/>
          </w:tcPr>
          <w:p w14:paraId="2D10ACAF" w14:textId="680E317B" w:rsidR="00813324" w:rsidRPr="00654309" w:rsidRDefault="00813324" w:rsidP="00813324">
            <w:pPr>
              <w:jc w:val="center"/>
              <w:rPr>
                <w:rFonts w:asciiTheme="minorHAnsi" w:hAnsiTheme="minorHAnsi" w:cs="Arial"/>
                <w:color w:val="000000"/>
                <w:sz w:val="22"/>
                <w:szCs w:val="22"/>
              </w:rPr>
            </w:pPr>
          </w:p>
        </w:tc>
        <w:tc>
          <w:tcPr>
            <w:tcW w:w="1395" w:type="dxa"/>
            <w:tcBorders>
              <w:top w:val="nil"/>
              <w:left w:val="nil"/>
              <w:bottom w:val="single" w:sz="4" w:space="0" w:color="auto"/>
              <w:right w:val="single" w:sz="4" w:space="0" w:color="auto"/>
            </w:tcBorders>
            <w:shd w:val="clear" w:color="auto" w:fill="auto"/>
            <w:noWrap/>
            <w:vAlign w:val="bottom"/>
            <w:hideMark/>
          </w:tcPr>
          <w:p w14:paraId="73BD74D0" w14:textId="038D2C74" w:rsidR="00813324" w:rsidRPr="00654309" w:rsidRDefault="00813324" w:rsidP="00813324">
            <w:pPr>
              <w:jc w:val="center"/>
              <w:rPr>
                <w:rFonts w:asciiTheme="minorHAnsi" w:hAnsiTheme="minorHAnsi" w:cs="Arial"/>
                <w:color w:val="000000"/>
                <w:sz w:val="22"/>
                <w:szCs w:val="22"/>
              </w:rPr>
            </w:pPr>
          </w:p>
        </w:tc>
        <w:tc>
          <w:tcPr>
            <w:tcW w:w="1638" w:type="dxa"/>
            <w:tcBorders>
              <w:top w:val="nil"/>
              <w:left w:val="nil"/>
              <w:bottom w:val="single" w:sz="4" w:space="0" w:color="auto"/>
              <w:right w:val="single" w:sz="4" w:space="0" w:color="auto"/>
            </w:tcBorders>
            <w:shd w:val="clear" w:color="auto" w:fill="auto"/>
            <w:noWrap/>
            <w:vAlign w:val="bottom"/>
            <w:hideMark/>
          </w:tcPr>
          <w:p w14:paraId="46373517" w14:textId="59EF1FC7" w:rsidR="00813324" w:rsidRPr="00654309" w:rsidRDefault="00813324" w:rsidP="00813324">
            <w:pPr>
              <w:jc w:val="center"/>
              <w:rPr>
                <w:rFonts w:asciiTheme="minorHAnsi" w:hAnsiTheme="minorHAnsi" w:cs="Arial"/>
                <w:color w:val="000000"/>
                <w:sz w:val="22"/>
                <w:szCs w:val="22"/>
              </w:rPr>
            </w:pPr>
          </w:p>
        </w:tc>
        <w:tc>
          <w:tcPr>
            <w:tcW w:w="0" w:type="auto"/>
            <w:tcBorders>
              <w:top w:val="nil"/>
              <w:left w:val="nil"/>
              <w:bottom w:val="single" w:sz="4" w:space="0" w:color="auto"/>
              <w:right w:val="single" w:sz="4" w:space="0" w:color="auto"/>
            </w:tcBorders>
            <w:shd w:val="clear" w:color="000000" w:fill="FFFFFF"/>
            <w:noWrap/>
            <w:vAlign w:val="bottom"/>
            <w:hideMark/>
          </w:tcPr>
          <w:p w14:paraId="4EFC91FD" w14:textId="45A2F3A1" w:rsidR="00813324" w:rsidRPr="00654309" w:rsidRDefault="00813324" w:rsidP="00813324">
            <w:pPr>
              <w:jc w:val="center"/>
              <w:rPr>
                <w:rFonts w:asciiTheme="minorHAnsi" w:hAnsiTheme="minorHAnsi" w:cs="Arial"/>
                <w:b/>
                <w:bCs/>
                <w:color w:val="000000"/>
                <w:sz w:val="22"/>
                <w:szCs w:val="22"/>
              </w:rPr>
            </w:pPr>
            <w:r w:rsidRPr="00654309">
              <w:rPr>
                <w:rFonts w:asciiTheme="minorHAnsi" w:hAnsiTheme="minorHAnsi" w:cs="Arial"/>
                <w:b/>
                <w:bCs/>
                <w:color w:val="000000"/>
                <w:sz w:val="22"/>
                <w:szCs w:val="22"/>
              </w:rPr>
              <w:t>(51.10)</w:t>
            </w:r>
          </w:p>
        </w:tc>
      </w:tr>
      <w:tr w:rsidR="00813324" w:rsidRPr="00654309" w14:paraId="23256B97" w14:textId="77777777" w:rsidTr="003A3206">
        <w:trPr>
          <w:trHeight w:val="301"/>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3245CC23" w14:textId="77777777" w:rsidR="00813324" w:rsidRPr="00654309" w:rsidRDefault="00813324" w:rsidP="00813324">
            <w:pPr>
              <w:jc w:val="center"/>
              <w:rPr>
                <w:rFonts w:asciiTheme="minorHAnsi" w:hAnsiTheme="minorHAnsi" w:cs="Arial"/>
                <w:b/>
                <w:bCs/>
                <w:color w:val="000000"/>
                <w:sz w:val="22"/>
                <w:szCs w:val="22"/>
              </w:rPr>
            </w:pPr>
            <w:r w:rsidRPr="00654309">
              <w:rPr>
                <w:rFonts w:asciiTheme="minorHAnsi" w:hAnsiTheme="minorHAnsi" w:cs="Arial"/>
                <w:b/>
                <w:bCs/>
                <w:color w:val="000000"/>
                <w:sz w:val="22"/>
                <w:szCs w:val="22"/>
              </w:rPr>
              <w:t>A&amp;G</w:t>
            </w:r>
          </w:p>
        </w:tc>
        <w:tc>
          <w:tcPr>
            <w:tcW w:w="1412" w:type="dxa"/>
            <w:tcBorders>
              <w:top w:val="nil"/>
              <w:left w:val="nil"/>
              <w:bottom w:val="single" w:sz="4" w:space="0" w:color="auto"/>
              <w:right w:val="single" w:sz="4" w:space="0" w:color="auto"/>
            </w:tcBorders>
            <w:shd w:val="clear" w:color="auto" w:fill="auto"/>
            <w:noWrap/>
            <w:vAlign w:val="bottom"/>
            <w:hideMark/>
          </w:tcPr>
          <w:p w14:paraId="3AB51A8E" w14:textId="17693544" w:rsidR="00813324" w:rsidRPr="00654309" w:rsidRDefault="00813324" w:rsidP="00813324">
            <w:pPr>
              <w:jc w:val="center"/>
              <w:rPr>
                <w:rFonts w:asciiTheme="minorHAnsi" w:hAnsiTheme="minorHAnsi" w:cs="Arial"/>
                <w:color w:val="000000"/>
                <w:sz w:val="22"/>
                <w:szCs w:val="22"/>
              </w:rPr>
            </w:pPr>
          </w:p>
        </w:tc>
        <w:tc>
          <w:tcPr>
            <w:tcW w:w="1395" w:type="dxa"/>
            <w:tcBorders>
              <w:top w:val="nil"/>
              <w:left w:val="nil"/>
              <w:bottom w:val="single" w:sz="4" w:space="0" w:color="auto"/>
              <w:right w:val="single" w:sz="4" w:space="0" w:color="auto"/>
            </w:tcBorders>
            <w:shd w:val="clear" w:color="auto" w:fill="auto"/>
            <w:noWrap/>
            <w:vAlign w:val="bottom"/>
            <w:hideMark/>
          </w:tcPr>
          <w:p w14:paraId="50C88A22" w14:textId="3A2D3A02" w:rsidR="00813324" w:rsidRPr="00654309" w:rsidRDefault="00813324" w:rsidP="00813324">
            <w:pPr>
              <w:jc w:val="center"/>
              <w:rPr>
                <w:rFonts w:asciiTheme="minorHAnsi" w:hAnsiTheme="minorHAnsi" w:cs="Arial"/>
                <w:color w:val="000000"/>
                <w:sz w:val="22"/>
                <w:szCs w:val="22"/>
              </w:rPr>
            </w:pPr>
          </w:p>
        </w:tc>
        <w:tc>
          <w:tcPr>
            <w:tcW w:w="1638" w:type="dxa"/>
            <w:tcBorders>
              <w:top w:val="nil"/>
              <w:left w:val="nil"/>
              <w:bottom w:val="single" w:sz="4" w:space="0" w:color="auto"/>
              <w:right w:val="single" w:sz="4" w:space="0" w:color="auto"/>
            </w:tcBorders>
            <w:shd w:val="clear" w:color="auto" w:fill="auto"/>
            <w:noWrap/>
            <w:vAlign w:val="bottom"/>
            <w:hideMark/>
          </w:tcPr>
          <w:p w14:paraId="38681E4F" w14:textId="7417436D" w:rsidR="00813324" w:rsidRPr="00654309" w:rsidRDefault="00813324" w:rsidP="00813324">
            <w:pPr>
              <w:jc w:val="center"/>
              <w:rPr>
                <w:rFonts w:asciiTheme="minorHAnsi" w:hAnsiTheme="minorHAnsi" w:cs="Arial"/>
                <w:color w:val="000000"/>
                <w:sz w:val="22"/>
                <w:szCs w:val="22"/>
              </w:rPr>
            </w:pPr>
          </w:p>
        </w:tc>
        <w:tc>
          <w:tcPr>
            <w:tcW w:w="0" w:type="auto"/>
            <w:tcBorders>
              <w:top w:val="nil"/>
              <w:left w:val="nil"/>
              <w:bottom w:val="single" w:sz="4" w:space="0" w:color="auto"/>
              <w:right w:val="single" w:sz="4" w:space="0" w:color="auto"/>
            </w:tcBorders>
            <w:shd w:val="clear" w:color="000000" w:fill="FFFFFF"/>
            <w:noWrap/>
            <w:vAlign w:val="bottom"/>
            <w:hideMark/>
          </w:tcPr>
          <w:p w14:paraId="0D5F7C04" w14:textId="3B82B199" w:rsidR="00813324" w:rsidRPr="00654309" w:rsidRDefault="00813324" w:rsidP="00813324">
            <w:pPr>
              <w:jc w:val="center"/>
              <w:rPr>
                <w:rFonts w:asciiTheme="minorHAnsi" w:hAnsiTheme="minorHAnsi" w:cs="Arial"/>
                <w:b/>
                <w:bCs/>
                <w:color w:val="000000"/>
                <w:sz w:val="22"/>
                <w:szCs w:val="22"/>
              </w:rPr>
            </w:pPr>
            <w:r w:rsidRPr="00654309">
              <w:rPr>
                <w:rFonts w:asciiTheme="minorHAnsi" w:hAnsiTheme="minorHAnsi" w:cs="Arial"/>
                <w:b/>
                <w:bCs/>
                <w:color w:val="000000"/>
                <w:sz w:val="22"/>
                <w:szCs w:val="22"/>
              </w:rPr>
              <w:t>(28.32)</w:t>
            </w:r>
          </w:p>
        </w:tc>
      </w:tr>
      <w:tr w:rsidR="00813324" w:rsidRPr="00654309" w14:paraId="0C279E5B" w14:textId="77777777" w:rsidTr="003A3206">
        <w:trPr>
          <w:trHeight w:val="301"/>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6D9D33EE" w14:textId="77777777" w:rsidR="00813324" w:rsidRPr="00654309" w:rsidRDefault="00813324" w:rsidP="00813324">
            <w:pPr>
              <w:jc w:val="center"/>
              <w:rPr>
                <w:rFonts w:asciiTheme="minorHAnsi" w:hAnsiTheme="minorHAnsi" w:cs="Arial"/>
                <w:b/>
                <w:bCs/>
                <w:color w:val="000000"/>
                <w:sz w:val="22"/>
                <w:szCs w:val="22"/>
              </w:rPr>
            </w:pPr>
            <w:r w:rsidRPr="00654309">
              <w:rPr>
                <w:rFonts w:asciiTheme="minorHAnsi" w:hAnsiTheme="minorHAnsi" w:cs="Arial"/>
                <w:b/>
                <w:bCs/>
                <w:color w:val="000000"/>
                <w:sz w:val="22"/>
                <w:szCs w:val="22"/>
              </w:rPr>
              <w:t>Interest on SD</w:t>
            </w:r>
          </w:p>
        </w:tc>
        <w:tc>
          <w:tcPr>
            <w:tcW w:w="1412" w:type="dxa"/>
            <w:tcBorders>
              <w:top w:val="nil"/>
              <w:left w:val="nil"/>
              <w:bottom w:val="single" w:sz="4" w:space="0" w:color="auto"/>
              <w:right w:val="single" w:sz="4" w:space="0" w:color="auto"/>
            </w:tcBorders>
            <w:shd w:val="clear" w:color="auto" w:fill="auto"/>
            <w:noWrap/>
            <w:vAlign w:val="bottom"/>
            <w:hideMark/>
          </w:tcPr>
          <w:p w14:paraId="42DE1484" w14:textId="1FE3FDF2" w:rsidR="00813324" w:rsidRPr="00654309" w:rsidRDefault="00813324" w:rsidP="00813324">
            <w:pPr>
              <w:jc w:val="center"/>
              <w:rPr>
                <w:rFonts w:asciiTheme="minorHAnsi" w:hAnsiTheme="minorHAnsi" w:cs="Arial"/>
                <w:color w:val="000000"/>
                <w:sz w:val="22"/>
                <w:szCs w:val="22"/>
              </w:rPr>
            </w:pPr>
          </w:p>
        </w:tc>
        <w:tc>
          <w:tcPr>
            <w:tcW w:w="1395" w:type="dxa"/>
            <w:tcBorders>
              <w:top w:val="nil"/>
              <w:left w:val="nil"/>
              <w:bottom w:val="single" w:sz="4" w:space="0" w:color="auto"/>
              <w:right w:val="single" w:sz="4" w:space="0" w:color="auto"/>
            </w:tcBorders>
            <w:shd w:val="clear" w:color="auto" w:fill="auto"/>
            <w:noWrap/>
            <w:vAlign w:val="bottom"/>
            <w:hideMark/>
          </w:tcPr>
          <w:p w14:paraId="5CC5EAE3" w14:textId="0891EBB5" w:rsidR="00813324" w:rsidRPr="00654309" w:rsidRDefault="00813324" w:rsidP="00813324">
            <w:pPr>
              <w:jc w:val="center"/>
              <w:rPr>
                <w:rFonts w:asciiTheme="minorHAnsi" w:hAnsiTheme="minorHAnsi" w:cs="Arial"/>
                <w:color w:val="000000"/>
                <w:sz w:val="22"/>
                <w:szCs w:val="22"/>
              </w:rPr>
            </w:pPr>
          </w:p>
        </w:tc>
        <w:tc>
          <w:tcPr>
            <w:tcW w:w="1638" w:type="dxa"/>
            <w:tcBorders>
              <w:top w:val="nil"/>
              <w:left w:val="nil"/>
              <w:bottom w:val="single" w:sz="4" w:space="0" w:color="auto"/>
              <w:right w:val="single" w:sz="4" w:space="0" w:color="auto"/>
            </w:tcBorders>
            <w:shd w:val="clear" w:color="auto" w:fill="auto"/>
            <w:noWrap/>
            <w:vAlign w:val="bottom"/>
            <w:hideMark/>
          </w:tcPr>
          <w:p w14:paraId="2FD0E5A0" w14:textId="610C3A78" w:rsidR="00813324" w:rsidRPr="00654309" w:rsidRDefault="00813324" w:rsidP="00813324">
            <w:pPr>
              <w:jc w:val="center"/>
              <w:rPr>
                <w:rFonts w:asciiTheme="minorHAnsi" w:hAnsiTheme="minorHAnsi" w:cs="Arial"/>
                <w:color w:val="000000"/>
                <w:sz w:val="22"/>
                <w:szCs w:val="22"/>
              </w:rPr>
            </w:pPr>
          </w:p>
        </w:tc>
        <w:tc>
          <w:tcPr>
            <w:tcW w:w="0" w:type="auto"/>
            <w:tcBorders>
              <w:top w:val="nil"/>
              <w:left w:val="nil"/>
              <w:bottom w:val="single" w:sz="4" w:space="0" w:color="auto"/>
              <w:right w:val="single" w:sz="4" w:space="0" w:color="auto"/>
            </w:tcBorders>
            <w:shd w:val="clear" w:color="000000" w:fill="FFFFFF"/>
            <w:noWrap/>
            <w:vAlign w:val="bottom"/>
            <w:hideMark/>
          </w:tcPr>
          <w:p w14:paraId="7C05F8D3" w14:textId="2D2C04E2" w:rsidR="00813324" w:rsidRPr="00654309" w:rsidRDefault="00813324" w:rsidP="00813324">
            <w:pPr>
              <w:jc w:val="center"/>
              <w:rPr>
                <w:rFonts w:asciiTheme="minorHAnsi" w:hAnsiTheme="minorHAnsi" w:cs="Arial"/>
                <w:b/>
                <w:bCs/>
                <w:color w:val="000000"/>
                <w:sz w:val="22"/>
                <w:szCs w:val="22"/>
              </w:rPr>
            </w:pPr>
            <w:r w:rsidRPr="00654309">
              <w:rPr>
                <w:rFonts w:asciiTheme="minorHAnsi" w:hAnsiTheme="minorHAnsi" w:cs="Arial"/>
                <w:b/>
                <w:bCs/>
                <w:color w:val="000000"/>
                <w:sz w:val="22"/>
                <w:szCs w:val="22"/>
              </w:rPr>
              <w:t>(16.13)</w:t>
            </w:r>
          </w:p>
        </w:tc>
      </w:tr>
      <w:tr w:rsidR="00813324" w:rsidRPr="00654309" w14:paraId="6C8B611F" w14:textId="77777777" w:rsidTr="003A3206">
        <w:trPr>
          <w:trHeight w:val="301"/>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66F2CB85" w14:textId="0CC40C2D" w:rsidR="00813324" w:rsidRPr="00654309" w:rsidRDefault="00813324" w:rsidP="00813324">
            <w:pPr>
              <w:jc w:val="center"/>
              <w:rPr>
                <w:rFonts w:asciiTheme="minorHAnsi" w:hAnsiTheme="minorHAnsi" w:cs="Arial"/>
                <w:color w:val="000000"/>
                <w:sz w:val="22"/>
                <w:szCs w:val="22"/>
              </w:rPr>
            </w:pPr>
          </w:p>
        </w:tc>
        <w:tc>
          <w:tcPr>
            <w:tcW w:w="1412" w:type="dxa"/>
            <w:tcBorders>
              <w:top w:val="nil"/>
              <w:left w:val="nil"/>
              <w:bottom w:val="single" w:sz="4" w:space="0" w:color="auto"/>
              <w:right w:val="single" w:sz="4" w:space="0" w:color="auto"/>
            </w:tcBorders>
            <w:shd w:val="clear" w:color="auto" w:fill="auto"/>
            <w:noWrap/>
            <w:vAlign w:val="bottom"/>
            <w:hideMark/>
          </w:tcPr>
          <w:p w14:paraId="0B768B94" w14:textId="5813C50E" w:rsidR="00813324" w:rsidRPr="00654309" w:rsidRDefault="00813324" w:rsidP="00813324">
            <w:pPr>
              <w:jc w:val="center"/>
              <w:rPr>
                <w:rFonts w:asciiTheme="minorHAnsi" w:hAnsiTheme="minorHAnsi" w:cs="Arial"/>
                <w:color w:val="000000"/>
                <w:sz w:val="22"/>
                <w:szCs w:val="22"/>
              </w:rPr>
            </w:pPr>
          </w:p>
        </w:tc>
        <w:tc>
          <w:tcPr>
            <w:tcW w:w="1395" w:type="dxa"/>
            <w:tcBorders>
              <w:top w:val="nil"/>
              <w:left w:val="nil"/>
              <w:bottom w:val="single" w:sz="4" w:space="0" w:color="auto"/>
              <w:right w:val="single" w:sz="4" w:space="0" w:color="auto"/>
            </w:tcBorders>
            <w:shd w:val="clear" w:color="auto" w:fill="auto"/>
            <w:noWrap/>
            <w:vAlign w:val="bottom"/>
            <w:hideMark/>
          </w:tcPr>
          <w:p w14:paraId="5DD57392" w14:textId="097B9875" w:rsidR="00813324" w:rsidRPr="00654309" w:rsidRDefault="00813324" w:rsidP="00813324">
            <w:pPr>
              <w:jc w:val="center"/>
              <w:rPr>
                <w:rFonts w:asciiTheme="minorHAnsi" w:hAnsiTheme="minorHAnsi" w:cs="Arial"/>
                <w:color w:val="000000"/>
                <w:sz w:val="22"/>
                <w:szCs w:val="22"/>
              </w:rPr>
            </w:pPr>
          </w:p>
        </w:tc>
        <w:tc>
          <w:tcPr>
            <w:tcW w:w="1638" w:type="dxa"/>
            <w:tcBorders>
              <w:top w:val="nil"/>
              <w:left w:val="nil"/>
              <w:bottom w:val="single" w:sz="4" w:space="0" w:color="auto"/>
              <w:right w:val="single" w:sz="4" w:space="0" w:color="auto"/>
            </w:tcBorders>
            <w:shd w:val="clear" w:color="auto" w:fill="auto"/>
            <w:noWrap/>
            <w:vAlign w:val="bottom"/>
            <w:hideMark/>
          </w:tcPr>
          <w:p w14:paraId="60BF9AD4" w14:textId="65948955" w:rsidR="00813324" w:rsidRPr="00654309" w:rsidRDefault="00813324" w:rsidP="00813324">
            <w:pPr>
              <w:jc w:val="center"/>
              <w:rPr>
                <w:rFonts w:asciiTheme="minorHAnsi" w:hAnsiTheme="minorHAnsi" w:cs="Arial"/>
                <w:color w:val="000000"/>
                <w:sz w:val="22"/>
                <w:szCs w:val="22"/>
              </w:rPr>
            </w:pPr>
          </w:p>
        </w:tc>
        <w:tc>
          <w:tcPr>
            <w:tcW w:w="0" w:type="auto"/>
            <w:tcBorders>
              <w:top w:val="nil"/>
              <w:left w:val="nil"/>
              <w:bottom w:val="single" w:sz="4" w:space="0" w:color="auto"/>
              <w:right w:val="single" w:sz="4" w:space="0" w:color="auto"/>
            </w:tcBorders>
            <w:shd w:val="clear" w:color="000000" w:fill="FFFFFF"/>
            <w:noWrap/>
            <w:vAlign w:val="bottom"/>
            <w:hideMark/>
          </w:tcPr>
          <w:p w14:paraId="31A39B59" w14:textId="0E657100" w:rsidR="00813324" w:rsidRPr="00654309" w:rsidRDefault="00813324" w:rsidP="00813324">
            <w:pPr>
              <w:jc w:val="center"/>
              <w:rPr>
                <w:rFonts w:asciiTheme="minorHAnsi" w:hAnsiTheme="minorHAnsi" w:cs="Arial"/>
                <w:b/>
                <w:bCs/>
                <w:color w:val="000000"/>
                <w:sz w:val="22"/>
                <w:szCs w:val="22"/>
              </w:rPr>
            </w:pPr>
          </w:p>
        </w:tc>
      </w:tr>
      <w:tr w:rsidR="00813324" w:rsidRPr="00654309" w14:paraId="79C20CF9" w14:textId="77777777" w:rsidTr="003A3206">
        <w:trPr>
          <w:trHeight w:val="301"/>
        </w:trPr>
        <w:tc>
          <w:tcPr>
            <w:tcW w:w="0" w:type="auto"/>
            <w:tcBorders>
              <w:top w:val="nil"/>
              <w:left w:val="single" w:sz="4" w:space="0" w:color="auto"/>
              <w:bottom w:val="single" w:sz="4" w:space="0" w:color="auto"/>
              <w:right w:val="single" w:sz="4" w:space="0" w:color="auto"/>
            </w:tcBorders>
            <w:shd w:val="clear" w:color="000000" w:fill="BDD7EE"/>
            <w:noWrap/>
            <w:vAlign w:val="center"/>
            <w:hideMark/>
          </w:tcPr>
          <w:p w14:paraId="3A19E084" w14:textId="64ACCEC9" w:rsidR="00813324" w:rsidRPr="00654309" w:rsidRDefault="00813324" w:rsidP="00813324">
            <w:pPr>
              <w:jc w:val="center"/>
              <w:rPr>
                <w:rFonts w:asciiTheme="minorHAnsi" w:hAnsiTheme="minorHAnsi" w:cs="Arial"/>
                <w:b/>
                <w:bCs/>
                <w:color w:val="000000"/>
                <w:sz w:val="22"/>
                <w:szCs w:val="22"/>
              </w:rPr>
            </w:pPr>
            <w:r w:rsidRPr="00654309">
              <w:rPr>
                <w:rFonts w:asciiTheme="minorHAnsi" w:hAnsiTheme="minorHAnsi" w:cs="Arial"/>
                <w:b/>
                <w:bCs/>
                <w:color w:val="000000"/>
                <w:sz w:val="22"/>
                <w:szCs w:val="22"/>
              </w:rPr>
              <w:t>Total</w:t>
            </w:r>
          </w:p>
        </w:tc>
        <w:tc>
          <w:tcPr>
            <w:tcW w:w="1412" w:type="dxa"/>
            <w:tcBorders>
              <w:top w:val="nil"/>
              <w:left w:val="nil"/>
              <w:bottom w:val="single" w:sz="4" w:space="0" w:color="auto"/>
              <w:right w:val="single" w:sz="4" w:space="0" w:color="auto"/>
            </w:tcBorders>
            <w:shd w:val="clear" w:color="000000" w:fill="BDD7EE"/>
            <w:noWrap/>
            <w:vAlign w:val="bottom"/>
            <w:hideMark/>
          </w:tcPr>
          <w:p w14:paraId="0DC70458" w14:textId="5485E14A" w:rsidR="00813324" w:rsidRPr="00654309" w:rsidRDefault="00813324" w:rsidP="00813324">
            <w:pPr>
              <w:jc w:val="center"/>
              <w:rPr>
                <w:rFonts w:asciiTheme="minorHAnsi" w:hAnsiTheme="minorHAnsi" w:cs="Arial"/>
                <w:color w:val="000000"/>
                <w:sz w:val="22"/>
                <w:szCs w:val="22"/>
              </w:rPr>
            </w:pPr>
          </w:p>
        </w:tc>
        <w:tc>
          <w:tcPr>
            <w:tcW w:w="1395" w:type="dxa"/>
            <w:tcBorders>
              <w:top w:val="nil"/>
              <w:left w:val="nil"/>
              <w:bottom w:val="single" w:sz="4" w:space="0" w:color="auto"/>
              <w:right w:val="single" w:sz="4" w:space="0" w:color="auto"/>
            </w:tcBorders>
            <w:shd w:val="clear" w:color="000000" w:fill="BDD7EE"/>
            <w:noWrap/>
            <w:vAlign w:val="bottom"/>
            <w:hideMark/>
          </w:tcPr>
          <w:p w14:paraId="26FE5606" w14:textId="2F20BFC8" w:rsidR="00813324" w:rsidRPr="00654309" w:rsidRDefault="00813324" w:rsidP="00813324">
            <w:pPr>
              <w:jc w:val="center"/>
              <w:rPr>
                <w:rFonts w:asciiTheme="minorHAnsi" w:hAnsiTheme="minorHAnsi" w:cs="Arial"/>
                <w:color w:val="000000"/>
                <w:sz w:val="22"/>
                <w:szCs w:val="22"/>
              </w:rPr>
            </w:pPr>
          </w:p>
        </w:tc>
        <w:tc>
          <w:tcPr>
            <w:tcW w:w="1638" w:type="dxa"/>
            <w:tcBorders>
              <w:top w:val="nil"/>
              <w:left w:val="nil"/>
              <w:bottom w:val="single" w:sz="4" w:space="0" w:color="auto"/>
              <w:right w:val="single" w:sz="4" w:space="0" w:color="auto"/>
            </w:tcBorders>
            <w:shd w:val="clear" w:color="000000" w:fill="BDD7EE"/>
            <w:noWrap/>
            <w:vAlign w:val="bottom"/>
            <w:hideMark/>
          </w:tcPr>
          <w:p w14:paraId="0636E48C" w14:textId="166A24B7" w:rsidR="00813324" w:rsidRPr="00654309" w:rsidRDefault="00813324" w:rsidP="00813324">
            <w:pPr>
              <w:jc w:val="center"/>
              <w:rPr>
                <w:rFonts w:asciiTheme="minorHAnsi" w:hAnsiTheme="minorHAnsi" w:cs="Arial"/>
                <w:color w:val="000000"/>
                <w:sz w:val="22"/>
                <w:szCs w:val="22"/>
              </w:rPr>
            </w:pPr>
          </w:p>
        </w:tc>
        <w:tc>
          <w:tcPr>
            <w:tcW w:w="0" w:type="auto"/>
            <w:tcBorders>
              <w:top w:val="nil"/>
              <w:left w:val="nil"/>
              <w:bottom w:val="single" w:sz="4" w:space="0" w:color="auto"/>
              <w:right w:val="single" w:sz="4" w:space="0" w:color="auto"/>
            </w:tcBorders>
            <w:shd w:val="clear" w:color="000000" w:fill="BDD7EE"/>
            <w:noWrap/>
            <w:vAlign w:val="bottom"/>
            <w:hideMark/>
          </w:tcPr>
          <w:p w14:paraId="02EA8377" w14:textId="010F37C8" w:rsidR="00813324" w:rsidRPr="00654309" w:rsidRDefault="00813324" w:rsidP="00813324">
            <w:pPr>
              <w:jc w:val="center"/>
              <w:rPr>
                <w:rFonts w:asciiTheme="minorHAnsi" w:hAnsiTheme="minorHAnsi" w:cs="Arial"/>
                <w:b/>
                <w:bCs/>
                <w:color w:val="000000"/>
                <w:sz w:val="22"/>
                <w:szCs w:val="22"/>
              </w:rPr>
            </w:pPr>
            <w:r w:rsidRPr="00654309">
              <w:rPr>
                <w:rFonts w:asciiTheme="minorHAnsi" w:hAnsiTheme="minorHAnsi" w:cs="Arial"/>
                <w:b/>
                <w:bCs/>
                <w:color w:val="000000"/>
                <w:sz w:val="22"/>
                <w:szCs w:val="22"/>
              </w:rPr>
              <w:t>(104.79)</w:t>
            </w:r>
          </w:p>
        </w:tc>
      </w:tr>
      <w:tr w:rsidR="00813324" w:rsidRPr="00654309" w14:paraId="45D3A7F5" w14:textId="77777777" w:rsidTr="003A3206">
        <w:trPr>
          <w:trHeight w:val="301"/>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247894C3" w14:textId="3FDBA915" w:rsidR="00813324" w:rsidRPr="00654309" w:rsidRDefault="00813324" w:rsidP="00813324">
            <w:pPr>
              <w:jc w:val="center"/>
              <w:rPr>
                <w:rFonts w:asciiTheme="minorHAnsi" w:hAnsiTheme="minorHAnsi" w:cs="Arial"/>
                <w:color w:val="000000"/>
                <w:sz w:val="22"/>
                <w:szCs w:val="22"/>
              </w:rPr>
            </w:pPr>
          </w:p>
        </w:tc>
        <w:tc>
          <w:tcPr>
            <w:tcW w:w="1412" w:type="dxa"/>
            <w:tcBorders>
              <w:top w:val="nil"/>
              <w:left w:val="nil"/>
              <w:bottom w:val="single" w:sz="4" w:space="0" w:color="auto"/>
              <w:right w:val="single" w:sz="4" w:space="0" w:color="auto"/>
            </w:tcBorders>
            <w:shd w:val="clear" w:color="auto" w:fill="auto"/>
            <w:noWrap/>
            <w:vAlign w:val="bottom"/>
            <w:hideMark/>
          </w:tcPr>
          <w:p w14:paraId="40EFC166" w14:textId="68F251A9" w:rsidR="00813324" w:rsidRPr="00654309" w:rsidRDefault="00813324" w:rsidP="00813324">
            <w:pPr>
              <w:jc w:val="center"/>
              <w:rPr>
                <w:rFonts w:asciiTheme="minorHAnsi" w:hAnsiTheme="minorHAnsi" w:cs="Arial"/>
                <w:color w:val="000000"/>
                <w:sz w:val="22"/>
                <w:szCs w:val="22"/>
              </w:rPr>
            </w:pPr>
          </w:p>
        </w:tc>
        <w:tc>
          <w:tcPr>
            <w:tcW w:w="1395" w:type="dxa"/>
            <w:tcBorders>
              <w:top w:val="nil"/>
              <w:left w:val="nil"/>
              <w:bottom w:val="single" w:sz="4" w:space="0" w:color="auto"/>
              <w:right w:val="single" w:sz="4" w:space="0" w:color="auto"/>
            </w:tcBorders>
            <w:shd w:val="clear" w:color="auto" w:fill="auto"/>
            <w:noWrap/>
            <w:vAlign w:val="bottom"/>
            <w:hideMark/>
          </w:tcPr>
          <w:p w14:paraId="48DB479C" w14:textId="3333AD31" w:rsidR="00813324" w:rsidRPr="00654309" w:rsidRDefault="00813324" w:rsidP="00813324">
            <w:pPr>
              <w:jc w:val="center"/>
              <w:rPr>
                <w:rFonts w:asciiTheme="minorHAnsi" w:hAnsiTheme="minorHAnsi" w:cs="Arial"/>
                <w:color w:val="000000"/>
                <w:sz w:val="22"/>
                <w:szCs w:val="22"/>
              </w:rPr>
            </w:pPr>
          </w:p>
        </w:tc>
        <w:tc>
          <w:tcPr>
            <w:tcW w:w="1638" w:type="dxa"/>
            <w:tcBorders>
              <w:top w:val="nil"/>
              <w:left w:val="nil"/>
              <w:bottom w:val="single" w:sz="4" w:space="0" w:color="auto"/>
              <w:right w:val="single" w:sz="4" w:space="0" w:color="auto"/>
            </w:tcBorders>
            <w:shd w:val="clear" w:color="auto" w:fill="auto"/>
            <w:noWrap/>
            <w:vAlign w:val="bottom"/>
            <w:hideMark/>
          </w:tcPr>
          <w:p w14:paraId="1F57188C" w14:textId="608800BF" w:rsidR="00813324" w:rsidRPr="00654309" w:rsidRDefault="00813324" w:rsidP="00813324">
            <w:pPr>
              <w:jc w:val="center"/>
              <w:rPr>
                <w:rFonts w:asciiTheme="minorHAnsi" w:hAnsiTheme="minorHAnsi" w:cs="Arial"/>
                <w:color w:val="000000"/>
                <w:sz w:val="22"/>
                <w:szCs w:val="22"/>
              </w:rPr>
            </w:pPr>
          </w:p>
        </w:tc>
        <w:tc>
          <w:tcPr>
            <w:tcW w:w="0" w:type="auto"/>
            <w:tcBorders>
              <w:top w:val="nil"/>
              <w:left w:val="nil"/>
              <w:bottom w:val="single" w:sz="4" w:space="0" w:color="auto"/>
              <w:right w:val="single" w:sz="4" w:space="0" w:color="auto"/>
            </w:tcBorders>
            <w:shd w:val="clear" w:color="auto" w:fill="auto"/>
            <w:noWrap/>
            <w:vAlign w:val="bottom"/>
            <w:hideMark/>
          </w:tcPr>
          <w:p w14:paraId="6B556369" w14:textId="5C919852" w:rsidR="00813324" w:rsidRPr="00654309" w:rsidRDefault="00813324" w:rsidP="00813324">
            <w:pPr>
              <w:jc w:val="center"/>
              <w:rPr>
                <w:rFonts w:asciiTheme="minorHAnsi" w:hAnsiTheme="minorHAnsi" w:cs="Arial"/>
                <w:color w:val="000000"/>
                <w:sz w:val="22"/>
                <w:szCs w:val="22"/>
              </w:rPr>
            </w:pPr>
          </w:p>
        </w:tc>
      </w:tr>
      <w:tr w:rsidR="00813324" w:rsidRPr="00654309" w14:paraId="4C89075E" w14:textId="77777777" w:rsidTr="003A3206">
        <w:trPr>
          <w:trHeight w:val="633"/>
        </w:trPr>
        <w:tc>
          <w:tcPr>
            <w:tcW w:w="0" w:type="auto"/>
            <w:tcBorders>
              <w:top w:val="nil"/>
              <w:left w:val="single" w:sz="4" w:space="0" w:color="auto"/>
              <w:bottom w:val="single" w:sz="4" w:space="0" w:color="auto"/>
              <w:right w:val="single" w:sz="4" w:space="0" w:color="auto"/>
            </w:tcBorders>
            <w:shd w:val="clear" w:color="000000" w:fill="9BC2E6"/>
            <w:vAlign w:val="bottom"/>
            <w:hideMark/>
          </w:tcPr>
          <w:p w14:paraId="63DF42BC" w14:textId="77777777" w:rsidR="00813324" w:rsidRPr="00654309" w:rsidRDefault="00813324" w:rsidP="00813324">
            <w:pPr>
              <w:jc w:val="center"/>
              <w:rPr>
                <w:rFonts w:asciiTheme="minorHAnsi" w:hAnsiTheme="minorHAnsi" w:cs="Arial"/>
                <w:b/>
                <w:bCs/>
                <w:color w:val="000000"/>
                <w:sz w:val="22"/>
                <w:szCs w:val="22"/>
              </w:rPr>
            </w:pPr>
            <w:r w:rsidRPr="00654309">
              <w:rPr>
                <w:rFonts w:asciiTheme="minorHAnsi" w:hAnsiTheme="minorHAnsi" w:cs="Arial"/>
                <w:b/>
                <w:bCs/>
                <w:color w:val="000000"/>
                <w:sz w:val="22"/>
                <w:szCs w:val="22"/>
              </w:rPr>
              <w:t>SURPLUS/(DEFICIT) FY 23-24 with Previous FY Non-Considered cost</w:t>
            </w:r>
          </w:p>
        </w:tc>
        <w:tc>
          <w:tcPr>
            <w:tcW w:w="1412" w:type="dxa"/>
            <w:tcBorders>
              <w:top w:val="nil"/>
              <w:left w:val="nil"/>
              <w:bottom w:val="single" w:sz="4" w:space="0" w:color="auto"/>
              <w:right w:val="single" w:sz="4" w:space="0" w:color="auto"/>
            </w:tcBorders>
            <w:shd w:val="clear" w:color="000000" w:fill="9BC2E6"/>
            <w:vAlign w:val="bottom"/>
            <w:hideMark/>
          </w:tcPr>
          <w:p w14:paraId="0710133F" w14:textId="588D6212" w:rsidR="00813324" w:rsidRPr="00654309" w:rsidRDefault="00813324" w:rsidP="00813324">
            <w:pPr>
              <w:jc w:val="center"/>
              <w:rPr>
                <w:rFonts w:asciiTheme="minorHAnsi" w:hAnsiTheme="minorHAnsi" w:cs="Arial"/>
                <w:b/>
                <w:bCs/>
                <w:color w:val="000000"/>
                <w:sz w:val="22"/>
                <w:szCs w:val="22"/>
              </w:rPr>
            </w:pPr>
          </w:p>
        </w:tc>
        <w:tc>
          <w:tcPr>
            <w:tcW w:w="1395" w:type="dxa"/>
            <w:tcBorders>
              <w:top w:val="nil"/>
              <w:left w:val="nil"/>
              <w:bottom w:val="single" w:sz="4" w:space="0" w:color="auto"/>
              <w:right w:val="single" w:sz="4" w:space="0" w:color="auto"/>
            </w:tcBorders>
            <w:shd w:val="clear" w:color="000000" w:fill="9BC2E6"/>
            <w:noWrap/>
            <w:vAlign w:val="bottom"/>
            <w:hideMark/>
          </w:tcPr>
          <w:p w14:paraId="0EBF0F69" w14:textId="42F8360A" w:rsidR="00813324" w:rsidRPr="00654309" w:rsidRDefault="00813324" w:rsidP="00813324">
            <w:pPr>
              <w:jc w:val="center"/>
              <w:rPr>
                <w:rFonts w:asciiTheme="minorHAnsi" w:hAnsiTheme="minorHAnsi" w:cs="Arial"/>
                <w:b/>
                <w:bCs/>
                <w:color w:val="000000"/>
                <w:sz w:val="22"/>
                <w:szCs w:val="22"/>
              </w:rPr>
            </w:pPr>
          </w:p>
        </w:tc>
        <w:tc>
          <w:tcPr>
            <w:tcW w:w="1638" w:type="dxa"/>
            <w:tcBorders>
              <w:top w:val="nil"/>
              <w:left w:val="nil"/>
              <w:bottom w:val="single" w:sz="4" w:space="0" w:color="auto"/>
              <w:right w:val="single" w:sz="4" w:space="0" w:color="auto"/>
            </w:tcBorders>
            <w:shd w:val="clear" w:color="000000" w:fill="9BC2E6"/>
            <w:noWrap/>
            <w:vAlign w:val="bottom"/>
            <w:hideMark/>
          </w:tcPr>
          <w:p w14:paraId="52BEF979" w14:textId="473DEDE2" w:rsidR="00813324" w:rsidRPr="00654309" w:rsidRDefault="00813324" w:rsidP="00813324">
            <w:pPr>
              <w:jc w:val="center"/>
              <w:rPr>
                <w:rFonts w:asciiTheme="minorHAnsi" w:hAnsiTheme="minorHAnsi" w:cs="Arial"/>
                <w:b/>
                <w:bCs/>
                <w:color w:val="000000"/>
                <w:sz w:val="22"/>
                <w:szCs w:val="22"/>
              </w:rPr>
            </w:pPr>
          </w:p>
        </w:tc>
        <w:tc>
          <w:tcPr>
            <w:tcW w:w="0" w:type="auto"/>
            <w:tcBorders>
              <w:top w:val="nil"/>
              <w:left w:val="nil"/>
              <w:bottom w:val="single" w:sz="4" w:space="0" w:color="auto"/>
              <w:right w:val="single" w:sz="4" w:space="0" w:color="auto"/>
            </w:tcBorders>
            <w:shd w:val="clear" w:color="000000" w:fill="9BC2E6"/>
            <w:noWrap/>
            <w:vAlign w:val="bottom"/>
            <w:hideMark/>
          </w:tcPr>
          <w:p w14:paraId="037577FE" w14:textId="2DDBBF2F" w:rsidR="00813324" w:rsidRPr="00654309" w:rsidRDefault="00813324" w:rsidP="00813324">
            <w:pPr>
              <w:jc w:val="center"/>
              <w:rPr>
                <w:rFonts w:asciiTheme="minorHAnsi" w:hAnsiTheme="minorHAnsi" w:cs="Arial"/>
                <w:b/>
                <w:bCs/>
                <w:color w:val="000000"/>
                <w:sz w:val="22"/>
                <w:szCs w:val="22"/>
              </w:rPr>
            </w:pPr>
            <w:r w:rsidRPr="00654309">
              <w:rPr>
                <w:rFonts w:asciiTheme="minorHAnsi" w:hAnsiTheme="minorHAnsi" w:cs="Arial"/>
                <w:b/>
                <w:bCs/>
                <w:color w:val="000000"/>
                <w:sz w:val="22"/>
                <w:szCs w:val="22"/>
              </w:rPr>
              <w:t>(116.40)</w:t>
            </w:r>
          </w:p>
        </w:tc>
      </w:tr>
    </w:tbl>
    <w:p w14:paraId="7E616A86" w14:textId="77777777" w:rsidR="00B602FC" w:rsidRDefault="00B602FC" w:rsidP="003A3206">
      <w:pPr>
        <w:pStyle w:val="NoSpacing"/>
        <w:tabs>
          <w:tab w:val="left" w:pos="426"/>
        </w:tabs>
        <w:spacing w:line="360" w:lineRule="auto"/>
        <w:ind w:right="-23"/>
        <w:jc w:val="both"/>
        <w:rPr>
          <w:rFonts w:asciiTheme="minorHAnsi" w:hAnsiTheme="minorHAnsi" w:cstheme="minorHAnsi"/>
          <w:b/>
          <w:highlight w:val="yellow"/>
        </w:rPr>
      </w:pPr>
    </w:p>
    <w:p w14:paraId="40087745" w14:textId="77777777" w:rsidR="00423534" w:rsidRDefault="00423534" w:rsidP="00423534">
      <w:pPr>
        <w:autoSpaceDE w:val="0"/>
        <w:autoSpaceDN w:val="0"/>
        <w:adjustRightInd w:val="0"/>
        <w:spacing w:line="360" w:lineRule="auto"/>
        <w:jc w:val="both"/>
        <w:rPr>
          <w:rFonts w:asciiTheme="minorHAnsi" w:hAnsiTheme="minorHAnsi" w:cstheme="minorHAnsi"/>
          <w:b/>
          <w:sz w:val="22"/>
          <w:szCs w:val="22"/>
        </w:rPr>
      </w:pPr>
    </w:p>
    <w:p w14:paraId="1FD46AA2" w14:textId="77777777" w:rsidR="00423534" w:rsidRDefault="00423534" w:rsidP="00423534">
      <w:pPr>
        <w:autoSpaceDE w:val="0"/>
        <w:autoSpaceDN w:val="0"/>
        <w:adjustRightInd w:val="0"/>
        <w:spacing w:line="360" w:lineRule="auto"/>
        <w:jc w:val="both"/>
        <w:rPr>
          <w:rFonts w:asciiTheme="minorHAnsi" w:hAnsiTheme="minorHAnsi" w:cstheme="minorHAnsi"/>
          <w:b/>
          <w:sz w:val="22"/>
          <w:szCs w:val="22"/>
        </w:rPr>
      </w:pPr>
      <w:r w:rsidRPr="00153204">
        <w:rPr>
          <w:rFonts w:asciiTheme="minorHAnsi" w:hAnsiTheme="minorHAnsi" w:cstheme="minorHAnsi"/>
          <w:noProof/>
          <w:sz w:val="22"/>
          <w:szCs w:val="22"/>
          <w:lang w:val="en-IN" w:eastAsia="en-IN"/>
        </w:rPr>
        <mc:AlternateContent>
          <mc:Choice Requires="wps">
            <w:drawing>
              <wp:anchor distT="0" distB="0" distL="114300" distR="114300" simplePos="0" relativeHeight="252114432" behindDoc="0" locked="0" layoutInCell="1" allowOverlap="1" wp14:anchorId="01EF8D53" wp14:editId="5E0D6924">
                <wp:simplePos x="0" y="0"/>
                <wp:positionH relativeFrom="margin">
                  <wp:posOffset>422910</wp:posOffset>
                </wp:positionH>
                <wp:positionV relativeFrom="paragraph">
                  <wp:posOffset>9525</wp:posOffset>
                </wp:positionV>
                <wp:extent cx="5667375" cy="381000"/>
                <wp:effectExtent l="0" t="0" r="28575" b="19050"/>
                <wp:wrapNone/>
                <wp:docPr id="46" name="Rectangle 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667375" cy="381000"/>
                        </a:xfrm>
                        <a:prstGeom prst="rect">
                          <a:avLst/>
                        </a:prstGeom>
                        <a:solidFill>
                          <a:srgbClr val="1F497D">
                            <a:lumMod val="20000"/>
                            <a:lumOff val="80000"/>
                          </a:srgbClr>
                        </a:solidFill>
                        <a:ln w="9525">
                          <a:solidFill>
                            <a:srgbClr val="000000"/>
                          </a:solidFill>
                          <a:miter lim="800000"/>
                          <a:headEnd/>
                          <a:tailEnd/>
                        </a:ln>
                      </wps:spPr>
                      <wps:txbx>
                        <w:txbxContent>
                          <w:p w14:paraId="37F8930A" w14:textId="0A95590E" w:rsidR="00535B24" w:rsidRPr="00531EE6" w:rsidRDefault="00535B24" w:rsidP="00423534">
                            <w:pPr>
                              <w:rPr>
                                <w:rFonts w:asciiTheme="minorHAnsi" w:hAnsiTheme="minorHAnsi" w:cstheme="minorHAnsi"/>
                                <w:b/>
                                <w:sz w:val="28"/>
                                <w:szCs w:val="28"/>
                                <w:lang w:val="en-IN"/>
                              </w:rPr>
                            </w:pPr>
                            <w:r w:rsidRPr="00531EE6">
                              <w:rPr>
                                <w:rFonts w:asciiTheme="minorHAnsi" w:hAnsiTheme="minorHAnsi" w:cstheme="minorHAnsi"/>
                                <w:b/>
                                <w:sz w:val="28"/>
                                <w:szCs w:val="28"/>
                                <w:lang w:val="en-IN"/>
                              </w:rPr>
                              <w:t xml:space="preserve"> </w:t>
                            </w:r>
                            <w:r>
                              <w:rPr>
                                <w:rFonts w:asciiTheme="minorHAnsi" w:hAnsiTheme="minorHAnsi" w:cstheme="minorHAnsi"/>
                                <w:b/>
                                <w:sz w:val="28"/>
                                <w:szCs w:val="28"/>
                                <w:lang w:val="en-IN"/>
                              </w:rPr>
                              <w:t>5</w:t>
                            </w:r>
                            <w:r w:rsidRPr="00531EE6">
                              <w:rPr>
                                <w:rFonts w:asciiTheme="minorHAnsi" w:hAnsiTheme="minorHAnsi" w:cstheme="minorHAnsi"/>
                                <w:b/>
                                <w:sz w:val="28"/>
                                <w:szCs w:val="28"/>
                                <w:lang w:val="en-IN"/>
                              </w:rPr>
                              <w:t>.</w:t>
                            </w:r>
                            <w:r>
                              <w:rPr>
                                <w:rFonts w:asciiTheme="minorHAnsi" w:hAnsiTheme="minorHAnsi" w:cstheme="minorHAnsi"/>
                                <w:b/>
                                <w:sz w:val="28"/>
                                <w:szCs w:val="28"/>
                                <w:lang w:val="en-IN"/>
                              </w:rPr>
                              <w:t>2</w:t>
                            </w:r>
                            <w:r w:rsidRPr="00531EE6">
                              <w:rPr>
                                <w:rFonts w:asciiTheme="minorHAnsi" w:hAnsiTheme="minorHAnsi" w:cstheme="minorHAnsi"/>
                                <w:b/>
                                <w:sz w:val="28"/>
                                <w:szCs w:val="28"/>
                                <w:lang w:val="en-IN"/>
                              </w:rPr>
                              <w:t xml:space="preserve"> </w:t>
                            </w:r>
                            <w:r>
                              <w:rPr>
                                <w:rFonts w:asciiTheme="minorHAnsi" w:hAnsiTheme="minorHAnsi" w:cstheme="minorHAnsi"/>
                                <w:b/>
                                <w:sz w:val="28"/>
                                <w:szCs w:val="28"/>
                                <w:lang w:val="en-IN"/>
                              </w:rPr>
                              <w:t>Issues Pertaining to Past Tariff Orders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1EF8D53" id="Rectangle 9" o:spid="_x0000_s1042" style="position:absolute;left:0;text-align:left;margin-left:33.3pt;margin-top:.75pt;width:446.25pt;height:30pt;z-index:25211443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" fillcolor="#c6d9f1">
                <v:textbox>
                  <w:txbxContent>
                    <w:p w14:paraId="37F8930A" w14:textId="0A95590E" w:rsidR="00535B24" w:rsidRPr="00531EE6" w:rsidRDefault="00535B24" w:rsidP="00423534">
                      <w:pPr>
                        <w:rPr>
                          <w:rFonts w:asciiTheme="minorHAnsi" w:hAnsiTheme="minorHAnsi" w:cstheme="minorHAnsi"/>
                          <w:b/>
                          <w:sz w:val="28"/>
                          <w:szCs w:val="28"/>
                          <w:lang w:val="en-IN"/>
                        </w:rPr>
                      </w:pPr>
                      <w:r w:rsidRPr="00531EE6">
                        <w:rPr>
                          <w:rFonts w:asciiTheme="minorHAnsi" w:hAnsiTheme="minorHAnsi" w:cstheme="minorHAnsi"/>
                          <w:b/>
                          <w:sz w:val="28"/>
                          <w:szCs w:val="28"/>
                          <w:lang w:val="en-IN"/>
                        </w:rPr>
                        <w:t xml:space="preserve"> </w:t>
                      </w:r>
                      <w:r>
                        <w:rPr>
                          <w:rFonts w:asciiTheme="minorHAnsi" w:hAnsiTheme="minorHAnsi" w:cstheme="minorHAnsi"/>
                          <w:b/>
                          <w:sz w:val="28"/>
                          <w:szCs w:val="28"/>
                          <w:lang w:val="en-IN"/>
                        </w:rPr>
                        <w:t>5</w:t>
                      </w:r>
                      <w:r w:rsidRPr="00531EE6">
                        <w:rPr>
                          <w:rFonts w:asciiTheme="minorHAnsi" w:hAnsiTheme="minorHAnsi" w:cstheme="minorHAnsi"/>
                          <w:b/>
                          <w:sz w:val="28"/>
                          <w:szCs w:val="28"/>
                          <w:lang w:val="en-IN"/>
                        </w:rPr>
                        <w:t>.</w:t>
                      </w:r>
                      <w:r>
                        <w:rPr>
                          <w:rFonts w:asciiTheme="minorHAnsi" w:hAnsiTheme="minorHAnsi" w:cstheme="minorHAnsi"/>
                          <w:b/>
                          <w:sz w:val="28"/>
                          <w:szCs w:val="28"/>
                          <w:lang w:val="en-IN"/>
                        </w:rPr>
                        <w:t>2</w:t>
                      </w:r>
                      <w:r w:rsidRPr="00531EE6">
                        <w:rPr>
                          <w:rFonts w:asciiTheme="minorHAnsi" w:hAnsiTheme="minorHAnsi" w:cstheme="minorHAnsi"/>
                          <w:b/>
                          <w:sz w:val="28"/>
                          <w:szCs w:val="28"/>
                          <w:lang w:val="en-IN"/>
                        </w:rPr>
                        <w:t xml:space="preserve"> </w:t>
                      </w:r>
                      <w:r>
                        <w:rPr>
                          <w:rFonts w:asciiTheme="minorHAnsi" w:hAnsiTheme="minorHAnsi" w:cstheme="minorHAnsi"/>
                          <w:b/>
                          <w:sz w:val="28"/>
                          <w:szCs w:val="28"/>
                          <w:lang w:val="en-IN"/>
                        </w:rPr>
                        <w:t>Issues Pertaining to Past Tariff Orders</w:t>
                      </w:r>
                    </w:p>
                  </w:txbxContent>
                </v:textbox>
                <w10:wrap anchorx="margin"/>
              </v:rect>
            </w:pict>
          </mc:Fallback>
        </mc:AlternateContent>
      </w:r>
    </w:p>
    <w:p w14:paraId="330B9727" w14:textId="77777777" w:rsidR="00423534" w:rsidRPr="004954F9" w:rsidRDefault="00423534" w:rsidP="00423534">
      <w:pPr>
        <w:tabs>
          <w:tab w:val="left" w:pos="426"/>
        </w:tabs>
        <w:suppressAutoHyphens/>
        <w:spacing w:line="360" w:lineRule="auto"/>
        <w:ind w:left="567" w:right="-23"/>
        <w:jc w:val="both"/>
        <w:rPr>
          <w:rFonts w:ascii="Arial" w:hAnsi="Arial" w:cs="Arial"/>
          <w:b/>
          <w:bCs/>
          <w:sz w:val="22"/>
          <w:szCs w:val="22"/>
        </w:rPr>
      </w:pPr>
    </w:p>
    <w:p w14:paraId="5EB285E3" w14:textId="77777777" w:rsidR="00423534" w:rsidRPr="004954F9" w:rsidRDefault="00423534" w:rsidP="00423534">
      <w:pPr>
        <w:tabs>
          <w:tab w:val="left" w:pos="426"/>
        </w:tabs>
        <w:suppressAutoHyphens/>
        <w:spacing w:line="360" w:lineRule="auto"/>
        <w:ind w:right="-23"/>
        <w:jc w:val="both"/>
        <w:rPr>
          <w:rFonts w:ascii="Arial" w:hAnsi="Arial" w:cs="Arial"/>
          <w:b/>
          <w:bCs/>
          <w:sz w:val="22"/>
          <w:szCs w:val="22"/>
        </w:rPr>
      </w:pPr>
    </w:p>
    <w:p w14:paraId="01C743B0" w14:textId="77777777" w:rsidR="00423534" w:rsidRPr="004954F9" w:rsidRDefault="00423534" w:rsidP="00423534">
      <w:pPr>
        <w:spacing w:after="160" w:line="360" w:lineRule="auto"/>
        <w:ind w:left="709"/>
        <w:jc w:val="both"/>
        <w:rPr>
          <w:rFonts w:ascii="Calibri" w:eastAsia="Calibri" w:hAnsi="Calibri" w:cs="Calibri"/>
          <w:sz w:val="22"/>
          <w:szCs w:val="22"/>
        </w:rPr>
      </w:pPr>
      <w:r w:rsidRPr="004954F9">
        <w:rPr>
          <w:rFonts w:ascii="Calibri" w:eastAsia="Calibri" w:hAnsi="Calibri" w:cs="Calibri"/>
          <w:sz w:val="22"/>
          <w:szCs w:val="22"/>
        </w:rPr>
        <w:t>Hon’ble Commission had issued the Tariff Notification for FY 2024-25 on 13.02.2024 and subsequently has issued the detailed order in the matter of ARR and RST in Case No 122/2023 and Truing –up in Case No-123/2023 on 5</w:t>
      </w:r>
      <w:r w:rsidRPr="004954F9">
        <w:rPr>
          <w:rFonts w:ascii="Calibri" w:eastAsia="Calibri" w:hAnsi="Calibri" w:cs="Calibri"/>
          <w:sz w:val="22"/>
          <w:szCs w:val="22"/>
          <w:vertAlign w:val="superscript"/>
        </w:rPr>
        <w:t>th</w:t>
      </w:r>
      <w:r w:rsidRPr="004954F9">
        <w:rPr>
          <w:rFonts w:ascii="Calibri" w:eastAsia="Calibri" w:hAnsi="Calibri" w:cs="Calibri"/>
          <w:sz w:val="22"/>
          <w:szCs w:val="22"/>
        </w:rPr>
        <w:t xml:space="preserve"> March 2024.  </w:t>
      </w:r>
    </w:p>
    <w:p w14:paraId="547C71D5" w14:textId="77777777" w:rsidR="00423534" w:rsidRPr="004954F9" w:rsidRDefault="00423534" w:rsidP="00423534">
      <w:pPr>
        <w:spacing w:after="160" w:line="360" w:lineRule="auto"/>
        <w:ind w:left="709"/>
        <w:jc w:val="both"/>
        <w:rPr>
          <w:rFonts w:ascii="Calibri" w:eastAsia="Calibri" w:hAnsi="Calibri" w:cs="Calibri"/>
          <w:sz w:val="22"/>
          <w:szCs w:val="22"/>
        </w:rPr>
      </w:pPr>
      <w:r w:rsidRPr="004954F9">
        <w:rPr>
          <w:rFonts w:ascii="Calibri" w:eastAsia="Calibri" w:hAnsi="Calibri" w:cs="Calibri"/>
          <w:sz w:val="22"/>
          <w:szCs w:val="22"/>
        </w:rPr>
        <w:t xml:space="preserve">After perusing the combined order pronounced by Hon’ble Commission, it was observed that the expenditures have been severely curtailed in O&amp;M for the FY 24-25. Similarly, the licensee had submitted before Hon’ble Commission audited financials for FY 22-23 and detailed justification against each cost component for FY 2022-23 for kind consideration by Hon’ble Commission in the truing up exercise for FY 2022-23. However, there are certain disallowances in the order of Hon’ble Commission against the actual as well as projected O&amp;M expenses and other expenses which are likely to affect the operation of the licensee very adversely. These would compel the licensee to </w:t>
      </w:r>
      <w:r w:rsidRPr="004954F9">
        <w:rPr>
          <w:rFonts w:ascii="Calibri" w:eastAsia="Calibri" w:hAnsi="Calibri" w:cs="Calibri"/>
          <w:sz w:val="22"/>
          <w:szCs w:val="22"/>
        </w:rPr>
        <w:lastRenderedPageBreak/>
        <w:t>curtail its planned critical activities that are required to bring down the loss level and improve the performance standards.</w:t>
      </w:r>
    </w:p>
    <w:p w14:paraId="3363084D" w14:textId="56F77AB9" w:rsidR="00416351" w:rsidRPr="003A3206" w:rsidRDefault="00423534" w:rsidP="003A3206">
      <w:pPr>
        <w:spacing w:after="160" w:line="360" w:lineRule="auto"/>
        <w:ind w:left="709"/>
        <w:jc w:val="both"/>
        <w:rPr>
          <w:rFonts w:eastAsia="Calibri"/>
          <w:sz w:val="22"/>
          <w:szCs w:val="22"/>
        </w:rPr>
      </w:pPr>
      <w:r w:rsidRPr="004954F9">
        <w:rPr>
          <w:rFonts w:ascii="Calibri" w:eastAsia="Calibri" w:hAnsi="Calibri" w:cs="Calibri"/>
          <w:sz w:val="22"/>
          <w:szCs w:val="22"/>
        </w:rPr>
        <w:t>The licensee had submitted the issues before Hon’ble Commission for reconsideration.  Hon’ble Commission has been kind enough to permit the licensee to place the issues for reconsideration before Hon’ble Commission in ARR FY 25-26 vide letter no. SECY/09-Cor-TPCODL/2023/473 dated 30.4.24, vide letter no. SECY/09-Cor-TPCODL/2023/</w:t>
      </w:r>
      <w:proofErr w:type="gramStart"/>
      <w:r w:rsidRPr="004954F9">
        <w:rPr>
          <w:rFonts w:ascii="Calibri" w:eastAsia="Calibri" w:hAnsi="Calibri" w:cs="Calibri"/>
          <w:sz w:val="22"/>
          <w:szCs w:val="22"/>
        </w:rPr>
        <w:t>474  dated</w:t>
      </w:r>
      <w:proofErr w:type="gramEnd"/>
      <w:r w:rsidRPr="004954F9">
        <w:rPr>
          <w:rFonts w:ascii="Calibri" w:eastAsia="Calibri" w:hAnsi="Calibri" w:cs="Calibri"/>
          <w:sz w:val="22"/>
          <w:szCs w:val="22"/>
        </w:rPr>
        <w:t xml:space="preserve"> 30.4.24, vide letter no. SECY/09-Cor-TPCODL/2023/475  dated 30.4.24 . In its order dated 22.10.24 in case no. 29 of 2024 also Hon’ble Commission has granted liberty to the licensee to raise the issues in the ARR &amp;RST Application for the FY 2025-26. The same are placed before Hon’ble Commission under the following paragraphs for kind consideration</w:t>
      </w:r>
      <w:r w:rsidRPr="004954F9">
        <w:rPr>
          <w:rFonts w:eastAsia="Calibri"/>
          <w:sz w:val="22"/>
          <w:szCs w:val="22"/>
        </w:rPr>
        <w:t>.</w:t>
      </w:r>
    </w:p>
    <w:p w14:paraId="755070AA" w14:textId="29E3AE75" w:rsidR="00416351" w:rsidRPr="00A2402F" w:rsidRDefault="00416351" w:rsidP="00423534">
      <w:pPr>
        <w:spacing w:after="160" w:line="360" w:lineRule="auto"/>
        <w:ind w:left="709"/>
        <w:jc w:val="both"/>
        <w:rPr>
          <w:rFonts w:asciiTheme="minorHAnsi" w:eastAsia="Calibri" w:hAnsiTheme="minorHAnsi"/>
          <w:sz w:val="22"/>
          <w:szCs w:val="22"/>
        </w:rPr>
      </w:pPr>
      <w:r w:rsidRPr="00A2402F">
        <w:rPr>
          <w:rFonts w:asciiTheme="minorHAnsi" w:hAnsiTheme="minorHAnsi" w:cs="Arial"/>
          <w:b/>
          <w:szCs w:val="28"/>
        </w:rPr>
        <w:t>5.2.1 Issues Pertaining to Truing up FY 2</w:t>
      </w:r>
      <w:r w:rsidR="00A2402F">
        <w:rPr>
          <w:rFonts w:asciiTheme="minorHAnsi" w:hAnsiTheme="minorHAnsi" w:cs="Arial"/>
          <w:b/>
          <w:szCs w:val="28"/>
        </w:rPr>
        <w:t>02</w:t>
      </w:r>
      <w:r w:rsidRPr="00A2402F">
        <w:rPr>
          <w:rFonts w:asciiTheme="minorHAnsi" w:hAnsiTheme="minorHAnsi" w:cs="Arial"/>
          <w:b/>
          <w:szCs w:val="28"/>
        </w:rPr>
        <w:t>1-22</w:t>
      </w:r>
    </w:p>
    <w:p w14:paraId="27119C0B" w14:textId="77777777" w:rsidR="00423534" w:rsidRPr="004954F9" w:rsidRDefault="00423534" w:rsidP="00423534">
      <w:pPr>
        <w:tabs>
          <w:tab w:val="left" w:pos="426"/>
        </w:tabs>
        <w:suppressAutoHyphens/>
        <w:spacing w:line="360" w:lineRule="auto"/>
        <w:ind w:right="-23"/>
        <w:jc w:val="both"/>
        <w:rPr>
          <w:rFonts w:ascii="Arial" w:hAnsi="Arial" w:cs="Arial"/>
          <w:b/>
          <w:bCs/>
          <w:sz w:val="22"/>
          <w:szCs w:val="22"/>
        </w:rPr>
      </w:pPr>
    </w:p>
    <w:p w14:paraId="699C1B33" w14:textId="77777777" w:rsidR="00423534" w:rsidRPr="004954F9" w:rsidRDefault="00423534" w:rsidP="00423534">
      <w:pPr>
        <w:suppressAutoHyphens/>
        <w:spacing w:line="360" w:lineRule="auto"/>
        <w:ind w:left="567"/>
        <w:jc w:val="both"/>
        <w:rPr>
          <w:rFonts w:ascii="Calibri" w:hAnsi="Calibri" w:cs="Calibri"/>
          <w:sz w:val="22"/>
          <w:szCs w:val="22"/>
        </w:rPr>
      </w:pPr>
      <w:r w:rsidRPr="004954F9">
        <w:rPr>
          <w:rFonts w:ascii="Calibri" w:hAnsi="Calibri" w:cs="Calibri"/>
          <w:sz w:val="22"/>
          <w:szCs w:val="22"/>
        </w:rPr>
        <w:t>The Hon’ble Commission in the Tariff Order dated 13th February 2024 has approved the Truing up for FY 2020-21 and FY 2021-22 and has stipulated following with regards to True up of FY 2020-21 and FY 2021-22.</w:t>
      </w:r>
    </w:p>
    <w:p w14:paraId="24CC5F20" w14:textId="77777777" w:rsidR="00423534" w:rsidRPr="004954F9" w:rsidRDefault="00423534" w:rsidP="00423534">
      <w:pPr>
        <w:suppressAutoHyphens/>
        <w:spacing w:line="360" w:lineRule="auto"/>
        <w:ind w:left="567"/>
        <w:jc w:val="both"/>
        <w:rPr>
          <w:rFonts w:ascii="Calibri" w:hAnsi="Calibri" w:cs="Calibri"/>
          <w:sz w:val="22"/>
          <w:szCs w:val="22"/>
        </w:rPr>
      </w:pPr>
    </w:p>
    <w:p w14:paraId="4F6A222B" w14:textId="77777777" w:rsidR="00423534" w:rsidRPr="004954F9" w:rsidRDefault="00423534" w:rsidP="00423534">
      <w:pPr>
        <w:suppressAutoHyphens/>
        <w:spacing w:line="360" w:lineRule="auto"/>
        <w:ind w:left="567"/>
        <w:jc w:val="both"/>
        <w:rPr>
          <w:rFonts w:ascii="Calibri" w:hAnsi="Calibri" w:cs="Calibri"/>
          <w:i/>
          <w:sz w:val="22"/>
          <w:szCs w:val="22"/>
        </w:rPr>
      </w:pPr>
      <w:r w:rsidRPr="004954F9">
        <w:rPr>
          <w:rFonts w:ascii="Calibri" w:hAnsi="Calibri" w:cs="Calibri"/>
          <w:i/>
          <w:sz w:val="22"/>
          <w:szCs w:val="22"/>
        </w:rPr>
        <w:t>201.</w:t>
      </w:r>
      <w:r w:rsidRPr="004954F9">
        <w:rPr>
          <w:rFonts w:ascii="Calibri" w:hAnsi="Calibri" w:cs="Calibri"/>
          <w:i/>
          <w:sz w:val="22"/>
          <w:szCs w:val="22"/>
        </w:rPr>
        <w:tab/>
        <w:t>The Commission now finalizes the truing up for FY 2020-21 and 2021-22 in this ARR for FY 2024-25 considering all the factors and submissions. The commission hereby directs that no further submission regarding truing up for FY 2020-21 and 2021-22 will be entertained in future.</w:t>
      </w:r>
    </w:p>
    <w:p w14:paraId="35ADB9C4" w14:textId="77777777" w:rsidR="00423534" w:rsidRPr="004954F9" w:rsidRDefault="00423534" w:rsidP="00423534">
      <w:pPr>
        <w:suppressAutoHyphens/>
        <w:spacing w:line="360" w:lineRule="auto"/>
        <w:ind w:left="567"/>
        <w:jc w:val="both"/>
        <w:rPr>
          <w:rFonts w:ascii="Calibri" w:hAnsi="Calibri" w:cs="Calibri"/>
          <w:i/>
          <w:sz w:val="22"/>
          <w:szCs w:val="22"/>
        </w:rPr>
      </w:pPr>
      <w:r w:rsidRPr="004954F9">
        <w:rPr>
          <w:rFonts w:ascii="Calibri" w:hAnsi="Calibri" w:cs="Calibri"/>
          <w:i/>
          <w:sz w:val="22"/>
          <w:szCs w:val="22"/>
        </w:rPr>
        <w:t>….</w:t>
      </w:r>
    </w:p>
    <w:p w14:paraId="64BC6E7D" w14:textId="77777777" w:rsidR="00423534" w:rsidRPr="004954F9" w:rsidRDefault="00423534" w:rsidP="00423534">
      <w:pPr>
        <w:suppressAutoHyphens/>
        <w:spacing w:line="360" w:lineRule="auto"/>
        <w:ind w:left="567"/>
        <w:jc w:val="both"/>
        <w:rPr>
          <w:rFonts w:ascii="Calibri" w:hAnsi="Calibri" w:cs="Calibri"/>
          <w:i/>
          <w:sz w:val="22"/>
          <w:szCs w:val="22"/>
        </w:rPr>
      </w:pPr>
      <w:r w:rsidRPr="004954F9">
        <w:rPr>
          <w:rFonts w:ascii="Calibri" w:hAnsi="Calibri" w:cs="Calibri"/>
          <w:i/>
          <w:sz w:val="22"/>
          <w:szCs w:val="22"/>
        </w:rPr>
        <w:t>205.</w:t>
      </w:r>
      <w:r w:rsidRPr="004954F9">
        <w:rPr>
          <w:rFonts w:ascii="Calibri" w:hAnsi="Calibri" w:cs="Calibri"/>
          <w:i/>
          <w:sz w:val="22"/>
          <w:szCs w:val="22"/>
        </w:rPr>
        <w:tab/>
        <w:t>The Commission hereby concludes the truing up of expenses of the DISCOMs (TPCODL, TPSODL, and TPWODL &amp; TPNODL) for the FY 2020-21 and FY 2021-22.</w:t>
      </w:r>
    </w:p>
    <w:p w14:paraId="2BE7ACE5" w14:textId="77777777" w:rsidR="00423534" w:rsidRPr="004954F9" w:rsidRDefault="00423534" w:rsidP="00423534">
      <w:pPr>
        <w:suppressAutoHyphens/>
        <w:spacing w:line="360" w:lineRule="auto"/>
        <w:ind w:left="567"/>
        <w:jc w:val="both"/>
        <w:rPr>
          <w:rFonts w:ascii="Calibri" w:hAnsi="Calibri" w:cs="Calibri"/>
          <w:sz w:val="22"/>
          <w:szCs w:val="22"/>
        </w:rPr>
      </w:pPr>
    </w:p>
    <w:p w14:paraId="71E08DDA" w14:textId="376498C4" w:rsidR="00423534" w:rsidRPr="004954F9" w:rsidRDefault="00423534" w:rsidP="00423534">
      <w:pPr>
        <w:suppressAutoHyphens/>
        <w:spacing w:line="360" w:lineRule="auto"/>
        <w:ind w:left="567"/>
        <w:jc w:val="both"/>
        <w:rPr>
          <w:rFonts w:ascii="Calibri" w:hAnsi="Calibri" w:cs="Calibri"/>
          <w:sz w:val="22"/>
          <w:szCs w:val="22"/>
        </w:rPr>
      </w:pPr>
      <w:r w:rsidRPr="004954F9">
        <w:rPr>
          <w:rFonts w:ascii="Calibri" w:hAnsi="Calibri" w:cs="Calibri"/>
          <w:sz w:val="22"/>
          <w:szCs w:val="22"/>
        </w:rPr>
        <w:t xml:space="preserve">Though Hon’ble Commission has finalized the truing up of FY 2021-22, the Non-Tariff Income of TPNODL presented by us in our submission was proposed Rs.140.49 </w:t>
      </w:r>
      <w:proofErr w:type="spellStart"/>
      <w:r w:rsidRPr="004954F9">
        <w:rPr>
          <w:rFonts w:ascii="Calibri" w:hAnsi="Calibri" w:cs="Calibri"/>
          <w:sz w:val="22"/>
          <w:szCs w:val="22"/>
        </w:rPr>
        <w:t>Crs</w:t>
      </w:r>
      <w:proofErr w:type="spellEnd"/>
      <w:r w:rsidRPr="004954F9">
        <w:rPr>
          <w:rFonts w:ascii="Calibri" w:hAnsi="Calibri" w:cs="Calibri"/>
          <w:sz w:val="22"/>
          <w:szCs w:val="22"/>
        </w:rPr>
        <w:t>. The issue in this re-submission of ours relates to the Non-Tariff Income wherein an additional income of Rs 6.52</w:t>
      </w:r>
      <w:r w:rsidRPr="004954F9">
        <w:rPr>
          <w:rFonts w:ascii="Calibri" w:hAnsi="Calibri" w:cs="Calibri"/>
          <w:b/>
          <w:color w:val="FF0000"/>
          <w:sz w:val="22"/>
          <w:szCs w:val="22"/>
        </w:rPr>
        <w:t xml:space="preserve"> </w:t>
      </w:r>
      <w:r w:rsidRPr="004954F9">
        <w:rPr>
          <w:rFonts w:ascii="Calibri" w:hAnsi="Calibri" w:cs="Calibri"/>
          <w:b/>
          <w:sz w:val="22"/>
          <w:szCs w:val="22"/>
        </w:rPr>
        <w:t>Crores</w:t>
      </w:r>
      <w:r w:rsidRPr="004954F9">
        <w:rPr>
          <w:rFonts w:ascii="Calibri" w:hAnsi="Calibri" w:cs="Calibri"/>
          <w:color w:val="FF0000"/>
          <w:sz w:val="22"/>
          <w:szCs w:val="22"/>
        </w:rPr>
        <w:t xml:space="preserve"> </w:t>
      </w:r>
      <w:r w:rsidRPr="004954F9">
        <w:rPr>
          <w:rFonts w:ascii="Calibri" w:hAnsi="Calibri" w:cs="Calibri"/>
          <w:sz w:val="22"/>
          <w:szCs w:val="22"/>
        </w:rPr>
        <w:t>in the True-up for FY 2021-22 has been considered due to the consideration of Meter Rent and Delayed Payment Charges.</w:t>
      </w:r>
    </w:p>
    <w:p w14:paraId="4EAEDB08" w14:textId="77777777" w:rsidR="00423534" w:rsidRPr="004954F9" w:rsidRDefault="00423534" w:rsidP="00423534">
      <w:pPr>
        <w:suppressAutoHyphens/>
        <w:spacing w:line="360" w:lineRule="auto"/>
        <w:ind w:left="567"/>
        <w:jc w:val="both"/>
        <w:rPr>
          <w:rFonts w:ascii="Calibri" w:hAnsi="Calibri" w:cs="Calibri"/>
          <w:sz w:val="22"/>
          <w:szCs w:val="22"/>
        </w:rPr>
      </w:pPr>
    </w:p>
    <w:p w14:paraId="25159F0B" w14:textId="695BF5AA" w:rsidR="00423534" w:rsidRPr="004954F9" w:rsidRDefault="00423534" w:rsidP="00423534">
      <w:pPr>
        <w:suppressAutoHyphens/>
        <w:spacing w:line="360" w:lineRule="auto"/>
        <w:ind w:left="567"/>
        <w:jc w:val="both"/>
        <w:rPr>
          <w:rFonts w:ascii="Calibri" w:hAnsi="Calibri" w:cs="Calibri"/>
          <w:sz w:val="22"/>
          <w:szCs w:val="22"/>
        </w:rPr>
      </w:pPr>
      <w:r w:rsidRPr="004954F9">
        <w:rPr>
          <w:rFonts w:ascii="Calibri" w:hAnsi="Calibri" w:cs="Calibri"/>
          <w:sz w:val="22"/>
          <w:szCs w:val="22"/>
        </w:rPr>
        <w:t xml:space="preserve">The Hon’ble Commission at para 203 of the Tariff Order FY 2024-25 while setting the principle for True up has stipulated that Meter Rent to be excluded from Non-Tariff Income i.e. the </w:t>
      </w:r>
      <w:proofErr w:type="spellStart"/>
      <w:r w:rsidRPr="004954F9">
        <w:rPr>
          <w:rFonts w:ascii="Calibri" w:hAnsi="Calibri" w:cs="Calibri"/>
          <w:sz w:val="22"/>
          <w:szCs w:val="22"/>
        </w:rPr>
        <w:t>Discoms</w:t>
      </w:r>
      <w:proofErr w:type="spellEnd"/>
      <w:r w:rsidRPr="004954F9">
        <w:rPr>
          <w:rFonts w:ascii="Calibri" w:hAnsi="Calibri" w:cs="Calibri"/>
          <w:sz w:val="22"/>
          <w:szCs w:val="22"/>
        </w:rPr>
        <w:t xml:space="preserve"> are allowed to retain the meter rent while claiming Non-Tariff Income. The relevant extract from the Tariff Order is as provided below.</w:t>
      </w:r>
    </w:p>
    <w:p w14:paraId="49833A5E" w14:textId="77777777" w:rsidR="00423534" w:rsidRPr="004954F9" w:rsidRDefault="00423534" w:rsidP="00423534">
      <w:pPr>
        <w:suppressAutoHyphens/>
        <w:spacing w:line="360" w:lineRule="auto"/>
        <w:ind w:left="567"/>
        <w:jc w:val="both"/>
        <w:rPr>
          <w:rFonts w:ascii="Calibri" w:hAnsi="Calibri" w:cs="Calibri"/>
          <w:sz w:val="22"/>
          <w:szCs w:val="22"/>
        </w:rPr>
      </w:pPr>
    </w:p>
    <w:p w14:paraId="4A630C07" w14:textId="77777777" w:rsidR="00423534" w:rsidRPr="004954F9" w:rsidRDefault="00423534" w:rsidP="00423534">
      <w:pPr>
        <w:suppressAutoHyphens/>
        <w:spacing w:line="360" w:lineRule="auto"/>
        <w:ind w:left="567"/>
        <w:jc w:val="both"/>
        <w:rPr>
          <w:rFonts w:ascii="Calibri" w:hAnsi="Calibri" w:cs="Calibri"/>
          <w:i/>
          <w:sz w:val="22"/>
          <w:szCs w:val="22"/>
        </w:rPr>
      </w:pPr>
      <w:r w:rsidRPr="004954F9">
        <w:rPr>
          <w:rFonts w:ascii="Calibri" w:hAnsi="Calibri" w:cs="Calibri"/>
          <w:i/>
          <w:sz w:val="22"/>
          <w:szCs w:val="22"/>
        </w:rPr>
        <w:lastRenderedPageBreak/>
        <w:t>203. The truing up exercise has been carried based on following principle along with principle of OERC’s Wheeling &amp; RST Regulation, 2022.</w:t>
      </w:r>
    </w:p>
    <w:p w14:paraId="54D14740" w14:textId="77777777" w:rsidR="00423534" w:rsidRPr="004954F9" w:rsidRDefault="00423534" w:rsidP="00423534">
      <w:pPr>
        <w:suppressAutoHyphens/>
        <w:spacing w:line="360" w:lineRule="auto"/>
        <w:ind w:left="567"/>
        <w:jc w:val="both"/>
        <w:rPr>
          <w:rFonts w:ascii="Calibri" w:hAnsi="Calibri" w:cs="Calibri"/>
          <w:i/>
          <w:sz w:val="22"/>
          <w:szCs w:val="22"/>
        </w:rPr>
      </w:pPr>
      <w:r w:rsidRPr="004954F9">
        <w:rPr>
          <w:rFonts w:ascii="Calibri" w:hAnsi="Calibri" w:cs="Calibri"/>
          <w:i/>
          <w:sz w:val="22"/>
          <w:szCs w:val="22"/>
        </w:rPr>
        <w:t>…</w:t>
      </w:r>
    </w:p>
    <w:p w14:paraId="7BA752DD" w14:textId="77777777" w:rsidR="00423534" w:rsidRPr="004954F9" w:rsidRDefault="00423534" w:rsidP="00423534">
      <w:pPr>
        <w:suppressAutoHyphens/>
        <w:spacing w:line="360" w:lineRule="auto"/>
        <w:ind w:left="567"/>
        <w:jc w:val="both"/>
        <w:rPr>
          <w:rFonts w:ascii="Calibri" w:hAnsi="Calibri" w:cs="Calibri"/>
          <w:i/>
          <w:sz w:val="22"/>
          <w:szCs w:val="22"/>
        </w:rPr>
      </w:pPr>
      <w:r w:rsidRPr="004954F9">
        <w:rPr>
          <w:rFonts w:ascii="Calibri" w:hAnsi="Calibri" w:cs="Calibri"/>
          <w:i/>
          <w:sz w:val="22"/>
          <w:szCs w:val="22"/>
        </w:rPr>
        <w:t xml:space="preserve">g) Non-Tariff Income (NTI) has been allowed </w:t>
      </w:r>
      <w:r w:rsidRPr="004954F9">
        <w:rPr>
          <w:rFonts w:ascii="Calibri" w:hAnsi="Calibri" w:cs="Calibri"/>
          <w:b/>
          <w:i/>
          <w:sz w:val="22"/>
          <w:szCs w:val="22"/>
        </w:rPr>
        <w:t>excluding meter rent</w:t>
      </w:r>
      <w:r w:rsidRPr="004954F9">
        <w:rPr>
          <w:rFonts w:ascii="Calibri" w:hAnsi="Calibri" w:cs="Calibri"/>
          <w:i/>
          <w:sz w:val="22"/>
          <w:szCs w:val="22"/>
        </w:rPr>
        <w:t xml:space="preserve">, incentive and arrear collection and </w:t>
      </w:r>
      <w:proofErr w:type="spellStart"/>
      <w:r w:rsidRPr="004954F9">
        <w:rPr>
          <w:rFonts w:ascii="Calibri" w:hAnsi="Calibri" w:cs="Calibri"/>
          <w:i/>
          <w:sz w:val="22"/>
          <w:szCs w:val="22"/>
        </w:rPr>
        <w:t>amortisation</w:t>
      </w:r>
      <w:proofErr w:type="spellEnd"/>
      <w:r w:rsidRPr="004954F9">
        <w:rPr>
          <w:rFonts w:ascii="Calibri" w:hAnsi="Calibri" w:cs="Calibri"/>
          <w:i/>
          <w:sz w:val="22"/>
          <w:szCs w:val="22"/>
        </w:rPr>
        <w:t xml:space="preserve"> of consumer contribution and grant. (Emphasis supplied)</w:t>
      </w:r>
    </w:p>
    <w:p w14:paraId="5D22E8B6" w14:textId="77777777" w:rsidR="00423534" w:rsidRPr="004954F9" w:rsidRDefault="00423534" w:rsidP="00423534">
      <w:pPr>
        <w:suppressAutoHyphens/>
        <w:spacing w:line="360" w:lineRule="auto"/>
        <w:ind w:left="567"/>
        <w:jc w:val="both"/>
        <w:rPr>
          <w:rFonts w:ascii="Calibri" w:hAnsi="Calibri" w:cs="Calibri"/>
          <w:i/>
          <w:sz w:val="22"/>
          <w:szCs w:val="22"/>
        </w:rPr>
      </w:pPr>
    </w:p>
    <w:p w14:paraId="1F4674D9" w14:textId="77777777" w:rsidR="00423534" w:rsidRDefault="00423534" w:rsidP="00423534">
      <w:pPr>
        <w:suppressAutoHyphens/>
        <w:spacing w:line="360" w:lineRule="auto"/>
        <w:ind w:left="567"/>
        <w:jc w:val="both"/>
        <w:rPr>
          <w:rFonts w:ascii="Calibri" w:hAnsi="Calibri" w:cs="Calibri"/>
          <w:sz w:val="22"/>
          <w:szCs w:val="22"/>
        </w:rPr>
      </w:pPr>
      <w:r w:rsidRPr="004954F9">
        <w:rPr>
          <w:rFonts w:ascii="Calibri" w:hAnsi="Calibri" w:cs="Calibri"/>
          <w:sz w:val="22"/>
          <w:szCs w:val="22"/>
        </w:rPr>
        <w:t xml:space="preserve">Further, the Tariff Regulations, 2022 stipulates the Delayed Payment Surcharge (DPS) as part of Non-Tariff Income. </w:t>
      </w:r>
    </w:p>
    <w:p w14:paraId="6CFD5D6E" w14:textId="77777777" w:rsidR="00423534" w:rsidRPr="004954F9" w:rsidRDefault="00423534" w:rsidP="00423534">
      <w:pPr>
        <w:suppressAutoHyphens/>
        <w:spacing w:line="360" w:lineRule="auto"/>
        <w:ind w:left="567"/>
        <w:jc w:val="both"/>
        <w:rPr>
          <w:rFonts w:ascii="Calibri" w:hAnsi="Calibri" w:cs="Calibri"/>
          <w:sz w:val="22"/>
          <w:szCs w:val="22"/>
        </w:rPr>
      </w:pPr>
    </w:p>
    <w:p w14:paraId="4EF6326E" w14:textId="77777777" w:rsidR="00423534" w:rsidRPr="004954F9" w:rsidRDefault="00423534" w:rsidP="00423534">
      <w:pPr>
        <w:suppressAutoHyphens/>
        <w:spacing w:line="360" w:lineRule="auto"/>
        <w:ind w:left="567"/>
        <w:jc w:val="both"/>
        <w:rPr>
          <w:rFonts w:ascii="Calibri" w:hAnsi="Calibri" w:cs="Calibri"/>
          <w:sz w:val="22"/>
          <w:szCs w:val="22"/>
        </w:rPr>
      </w:pPr>
      <w:r w:rsidRPr="004954F9">
        <w:rPr>
          <w:rFonts w:ascii="Calibri" w:hAnsi="Calibri" w:cs="Calibri"/>
          <w:sz w:val="22"/>
          <w:szCs w:val="22"/>
        </w:rPr>
        <w:t xml:space="preserve">While the Hon’ble Commission has approved the Non-Tariff Income of Rs.140.43 Cr as proposed by TPNODL for FY 2021-22, it is requested that the above stipulations may kindly be taken into consideration while approving the Non-Tariff Income. Accordingly, the licensee has offered meter rent for meters installed under various government schemes only amounting to Rs.14.32 </w:t>
      </w:r>
      <w:proofErr w:type="spellStart"/>
      <w:r w:rsidRPr="004954F9">
        <w:rPr>
          <w:rFonts w:ascii="Calibri" w:hAnsi="Calibri" w:cs="Calibri"/>
          <w:sz w:val="22"/>
          <w:szCs w:val="22"/>
        </w:rPr>
        <w:t>Crs</w:t>
      </w:r>
      <w:proofErr w:type="spellEnd"/>
      <w:r w:rsidRPr="004954F9">
        <w:rPr>
          <w:rFonts w:ascii="Calibri" w:hAnsi="Calibri" w:cs="Calibri"/>
          <w:sz w:val="22"/>
          <w:szCs w:val="22"/>
        </w:rPr>
        <w:t xml:space="preserve"> and also entire DPS of Rs.5.67Crs. Hon’ble Commission is requested to approve the Non-Tariff Income of Rs.133.91 Cr for FY 2021-22, detailed computation of which is provided in table below.</w:t>
      </w:r>
    </w:p>
    <w:p w14:paraId="2A37CD92" w14:textId="6F2BEBB6" w:rsidR="00B602FC" w:rsidRDefault="00423534" w:rsidP="003A3206">
      <w:pPr>
        <w:suppressAutoHyphens/>
        <w:spacing w:line="360" w:lineRule="auto"/>
        <w:ind w:left="567"/>
        <w:jc w:val="center"/>
        <w:rPr>
          <w:rFonts w:ascii="Arial" w:hAnsi="Arial" w:cs="Arial"/>
          <w:b/>
          <w:sz w:val="22"/>
          <w:szCs w:val="22"/>
        </w:rPr>
      </w:pPr>
      <w:r w:rsidRPr="004954F9">
        <w:rPr>
          <w:rFonts w:ascii="Arial" w:hAnsi="Arial" w:cs="Arial"/>
          <w:b/>
          <w:sz w:val="22"/>
          <w:szCs w:val="22"/>
        </w:rPr>
        <w:t xml:space="preserve">                    </w:t>
      </w:r>
    </w:p>
    <w:p w14:paraId="76637C9E" w14:textId="02FEA386" w:rsidR="00423534" w:rsidRPr="00B602FC" w:rsidRDefault="00B602FC" w:rsidP="00B602FC">
      <w:pPr>
        <w:suppressAutoHyphens/>
        <w:spacing w:line="360" w:lineRule="auto"/>
        <w:ind w:left="567"/>
        <w:rPr>
          <w:rFonts w:ascii="Arial" w:hAnsi="Arial" w:cs="Arial"/>
          <w:b/>
          <w:sz w:val="22"/>
          <w:szCs w:val="22"/>
        </w:rPr>
      </w:pPr>
      <w:r>
        <w:rPr>
          <w:rFonts w:ascii="Calibri" w:hAnsi="Calibri" w:cs="Calibri"/>
          <w:b/>
          <w:sz w:val="22"/>
          <w:szCs w:val="22"/>
        </w:rPr>
        <w:t xml:space="preserve">                                  </w:t>
      </w:r>
      <w:r w:rsidR="003A3206">
        <w:rPr>
          <w:rFonts w:ascii="Calibri" w:hAnsi="Calibri" w:cs="Calibri"/>
          <w:b/>
          <w:sz w:val="22"/>
          <w:szCs w:val="22"/>
        </w:rPr>
        <w:t xml:space="preserve"> </w:t>
      </w:r>
      <w:r w:rsidR="00423534" w:rsidRPr="004954F9">
        <w:rPr>
          <w:rFonts w:ascii="Calibri" w:hAnsi="Calibri" w:cs="Calibri"/>
          <w:b/>
          <w:sz w:val="22"/>
          <w:szCs w:val="22"/>
        </w:rPr>
        <w:t>Table-</w:t>
      </w:r>
      <w:r>
        <w:rPr>
          <w:rFonts w:ascii="Calibri" w:hAnsi="Calibri" w:cs="Calibri"/>
          <w:b/>
          <w:sz w:val="22"/>
          <w:szCs w:val="22"/>
        </w:rPr>
        <w:t>47</w:t>
      </w:r>
      <w:r w:rsidR="00423534" w:rsidRPr="004954F9">
        <w:rPr>
          <w:rFonts w:ascii="Calibri" w:hAnsi="Calibri" w:cs="Calibri"/>
          <w:b/>
          <w:sz w:val="22"/>
          <w:szCs w:val="22"/>
        </w:rPr>
        <w:t xml:space="preserve">:  Non –Tariff Income for FY 2021-22                                 </w:t>
      </w:r>
      <w:proofErr w:type="gramStart"/>
      <w:r w:rsidR="00423534" w:rsidRPr="004954F9">
        <w:rPr>
          <w:rFonts w:ascii="Calibri" w:hAnsi="Calibri" w:cs="Calibri"/>
          <w:b/>
          <w:sz w:val="22"/>
          <w:szCs w:val="22"/>
        </w:rPr>
        <w:t xml:space="preserve">   </w:t>
      </w:r>
      <w:r w:rsidR="00423534" w:rsidRPr="004954F9">
        <w:rPr>
          <w:rFonts w:ascii="Calibri" w:hAnsi="Calibri" w:cs="Calibri"/>
          <w:b/>
          <w:bCs/>
          <w:sz w:val="22"/>
          <w:szCs w:val="22"/>
          <w:lang w:eastAsia="en-IN"/>
        </w:rPr>
        <w:t>(</w:t>
      </w:r>
      <w:proofErr w:type="gramEnd"/>
      <w:r w:rsidR="00423534" w:rsidRPr="004954F9">
        <w:rPr>
          <w:rFonts w:ascii="Calibri" w:hAnsi="Calibri" w:cs="Calibri"/>
          <w:b/>
          <w:bCs/>
          <w:sz w:val="22"/>
          <w:szCs w:val="22"/>
          <w:lang w:eastAsia="en-IN"/>
        </w:rPr>
        <w:t xml:space="preserve">In Rs. </w:t>
      </w:r>
      <w:proofErr w:type="spellStart"/>
      <w:r w:rsidR="00423534" w:rsidRPr="004954F9">
        <w:rPr>
          <w:rFonts w:ascii="Calibri" w:hAnsi="Calibri" w:cs="Calibri"/>
          <w:b/>
          <w:bCs/>
          <w:sz w:val="22"/>
          <w:szCs w:val="22"/>
          <w:lang w:eastAsia="en-IN"/>
        </w:rPr>
        <w:t>Crs</w:t>
      </w:r>
      <w:proofErr w:type="spellEnd"/>
      <w:r w:rsidR="00423534" w:rsidRPr="004954F9">
        <w:rPr>
          <w:rFonts w:ascii="Calibri" w:hAnsi="Calibri" w:cs="Calibri"/>
          <w:b/>
          <w:bCs/>
          <w:sz w:val="22"/>
          <w:szCs w:val="22"/>
          <w:lang w:eastAsia="en-IN"/>
        </w:rPr>
        <w:t>.)</w:t>
      </w:r>
    </w:p>
    <w:tbl>
      <w:tblPr>
        <w:tblW w:w="9072"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867"/>
        <w:gridCol w:w="3527"/>
        <w:gridCol w:w="1343"/>
        <w:gridCol w:w="1083"/>
        <w:gridCol w:w="1123"/>
        <w:gridCol w:w="1129"/>
      </w:tblGrid>
      <w:tr w:rsidR="00423534" w:rsidRPr="004954F9" w14:paraId="750657B4" w14:textId="77777777" w:rsidTr="003A3206">
        <w:trPr>
          <w:trHeight w:val="1075"/>
        </w:trPr>
        <w:tc>
          <w:tcPr>
            <w:tcW w:w="867" w:type="dxa"/>
            <w:shd w:val="clear" w:color="auto" w:fill="9CC2E5"/>
            <w:noWrap/>
            <w:tcMar>
              <w:top w:w="0" w:type="dxa"/>
              <w:left w:w="108" w:type="dxa"/>
              <w:bottom w:w="0" w:type="dxa"/>
              <w:right w:w="108" w:type="dxa"/>
            </w:tcMar>
            <w:vAlign w:val="center"/>
            <w:hideMark/>
          </w:tcPr>
          <w:p w14:paraId="61B0A9F0" w14:textId="77777777" w:rsidR="00423534" w:rsidRPr="004954F9" w:rsidRDefault="00423534" w:rsidP="00423534">
            <w:pPr>
              <w:suppressAutoHyphens/>
              <w:jc w:val="center"/>
              <w:rPr>
                <w:rFonts w:ascii="Calibri" w:hAnsi="Calibri" w:cs="Calibri"/>
                <w:b/>
                <w:bCs/>
                <w:sz w:val="22"/>
                <w:szCs w:val="22"/>
                <w:lang w:eastAsia="en-IN"/>
              </w:rPr>
            </w:pPr>
            <w:r w:rsidRPr="004954F9">
              <w:rPr>
                <w:rFonts w:ascii="Calibri" w:hAnsi="Calibri" w:cs="Calibri"/>
                <w:b/>
                <w:bCs/>
                <w:sz w:val="22"/>
                <w:szCs w:val="22"/>
                <w:lang w:eastAsia="en-IN"/>
              </w:rPr>
              <w:t>Sl. No.</w:t>
            </w:r>
          </w:p>
        </w:tc>
        <w:tc>
          <w:tcPr>
            <w:tcW w:w="3527" w:type="dxa"/>
            <w:shd w:val="clear" w:color="auto" w:fill="9CC2E5"/>
            <w:noWrap/>
            <w:tcMar>
              <w:top w:w="0" w:type="dxa"/>
              <w:left w:w="108" w:type="dxa"/>
              <w:bottom w:w="0" w:type="dxa"/>
              <w:right w:w="108" w:type="dxa"/>
            </w:tcMar>
            <w:vAlign w:val="center"/>
            <w:hideMark/>
          </w:tcPr>
          <w:p w14:paraId="517455CC" w14:textId="77777777" w:rsidR="00423534" w:rsidRPr="004954F9" w:rsidRDefault="00423534" w:rsidP="00423534">
            <w:pPr>
              <w:suppressAutoHyphens/>
              <w:jc w:val="center"/>
              <w:rPr>
                <w:rFonts w:ascii="Calibri" w:hAnsi="Calibri" w:cs="Calibri"/>
                <w:b/>
                <w:bCs/>
                <w:sz w:val="22"/>
                <w:szCs w:val="22"/>
                <w:lang w:eastAsia="en-IN"/>
              </w:rPr>
            </w:pPr>
            <w:r w:rsidRPr="004954F9">
              <w:rPr>
                <w:rFonts w:ascii="Calibri" w:hAnsi="Calibri" w:cs="Calibri"/>
                <w:b/>
                <w:bCs/>
                <w:sz w:val="22"/>
                <w:szCs w:val="22"/>
                <w:lang w:eastAsia="en-IN"/>
              </w:rPr>
              <w:t>Particulars</w:t>
            </w:r>
          </w:p>
        </w:tc>
        <w:tc>
          <w:tcPr>
            <w:tcW w:w="1343" w:type="dxa"/>
            <w:shd w:val="clear" w:color="auto" w:fill="9CC2E5"/>
            <w:tcMar>
              <w:top w:w="0" w:type="dxa"/>
              <w:left w:w="108" w:type="dxa"/>
              <w:bottom w:w="0" w:type="dxa"/>
              <w:right w:w="108" w:type="dxa"/>
            </w:tcMar>
            <w:vAlign w:val="center"/>
            <w:hideMark/>
          </w:tcPr>
          <w:p w14:paraId="770C4561" w14:textId="77777777" w:rsidR="00423534" w:rsidRPr="004954F9" w:rsidRDefault="00423534" w:rsidP="00423534">
            <w:pPr>
              <w:suppressAutoHyphens/>
              <w:jc w:val="center"/>
              <w:rPr>
                <w:rFonts w:ascii="Calibri" w:hAnsi="Calibri" w:cs="Calibri"/>
                <w:b/>
                <w:bCs/>
                <w:sz w:val="22"/>
                <w:szCs w:val="22"/>
                <w:lang w:eastAsia="en-IN"/>
              </w:rPr>
            </w:pPr>
            <w:r w:rsidRPr="004954F9">
              <w:rPr>
                <w:rFonts w:ascii="Calibri" w:hAnsi="Calibri" w:cs="Calibri"/>
                <w:b/>
                <w:bCs/>
                <w:sz w:val="22"/>
                <w:szCs w:val="22"/>
                <w:lang w:eastAsia="en-IN"/>
              </w:rPr>
              <w:t xml:space="preserve">As per Audited Accounts </w:t>
            </w:r>
          </w:p>
        </w:tc>
        <w:tc>
          <w:tcPr>
            <w:tcW w:w="0" w:type="auto"/>
            <w:shd w:val="clear" w:color="auto" w:fill="9CC2E5"/>
            <w:tcMar>
              <w:top w:w="0" w:type="dxa"/>
              <w:left w:w="108" w:type="dxa"/>
              <w:bottom w:w="0" w:type="dxa"/>
              <w:right w:w="108" w:type="dxa"/>
            </w:tcMar>
            <w:vAlign w:val="center"/>
            <w:hideMark/>
          </w:tcPr>
          <w:p w14:paraId="2CCE8503" w14:textId="77777777" w:rsidR="00423534" w:rsidRPr="004954F9" w:rsidRDefault="00423534" w:rsidP="00423534">
            <w:pPr>
              <w:suppressAutoHyphens/>
              <w:jc w:val="center"/>
              <w:rPr>
                <w:rFonts w:ascii="Calibri" w:hAnsi="Calibri" w:cs="Calibri"/>
                <w:b/>
                <w:bCs/>
                <w:sz w:val="22"/>
                <w:szCs w:val="22"/>
                <w:lang w:eastAsia="en-IN"/>
              </w:rPr>
            </w:pPr>
            <w:r w:rsidRPr="004954F9">
              <w:rPr>
                <w:rFonts w:ascii="Calibri" w:hAnsi="Calibri" w:cs="Calibri"/>
                <w:b/>
                <w:bCs/>
                <w:sz w:val="22"/>
                <w:szCs w:val="22"/>
                <w:lang w:eastAsia="en-IN"/>
              </w:rPr>
              <w:t xml:space="preserve">Proposed Truing Up </w:t>
            </w:r>
          </w:p>
        </w:tc>
        <w:tc>
          <w:tcPr>
            <w:tcW w:w="0" w:type="auto"/>
            <w:shd w:val="clear" w:color="auto" w:fill="9CC2E5"/>
          </w:tcPr>
          <w:p w14:paraId="09D197CA" w14:textId="77777777" w:rsidR="00423534" w:rsidRPr="004954F9" w:rsidRDefault="00423534" w:rsidP="00423534">
            <w:pPr>
              <w:suppressAutoHyphens/>
              <w:jc w:val="center"/>
              <w:rPr>
                <w:rFonts w:ascii="Calibri" w:hAnsi="Calibri" w:cs="Calibri"/>
                <w:b/>
                <w:bCs/>
                <w:sz w:val="22"/>
                <w:szCs w:val="22"/>
                <w:lang w:eastAsia="en-IN"/>
              </w:rPr>
            </w:pPr>
            <w:r w:rsidRPr="004954F9">
              <w:rPr>
                <w:rFonts w:ascii="Calibri" w:hAnsi="Calibri" w:cs="Calibri"/>
                <w:b/>
                <w:bCs/>
                <w:sz w:val="22"/>
                <w:szCs w:val="22"/>
                <w:lang w:eastAsia="en-IN"/>
              </w:rPr>
              <w:t>Approved by Commission</w:t>
            </w:r>
          </w:p>
        </w:tc>
        <w:tc>
          <w:tcPr>
            <w:tcW w:w="1129" w:type="dxa"/>
            <w:shd w:val="clear" w:color="auto" w:fill="9CC2E5"/>
            <w:noWrap/>
            <w:tcMar>
              <w:top w:w="0" w:type="dxa"/>
              <w:left w:w="108" w:type="dxa"/>
              <w:bottom w:w="0" w:type="dxa"/>
              <w:right w:w="108" w:type="dxa"/>
            </w:tcMar>
            <w:vAlign w:val="center"/>
            <w:hideMark/>
          </w:tcPr>
          <w:p w14:paraId="48B8CFBD" w14:textId="77777777" w:rsidR="00423534" w:rsidRPr="004954F9" w:rsidRDefault="00423534" w:rsidP="00423534">
            <w:pPr>
              <w:suppressAutoHyphens/>
              <w:jc w:val="center"/>
              <w:rPr>
                <w:rFonts w:ascii="Calibri" w:hAnsi="Calibri" w:cs="Calibri"/>
                <w:b/>
                <w:bCs/>
                <w:sz w:val="22"/>
                <w:szCs w:val="22"/>
                <w:lang w:eastAsia="en-IN"/>
              </w:rPr>
            </w:pPr>
            <w:r w:rsidRPr="004954F9">
              <w:rPr>
                <w:rFonts w:ascii="Calibri" w:hAnsi="Calibri" w:cs="Calibri"/>
                <w:b/>
                <w:bCs/>
                <w:sz w:val="22"/>
                <w:szCs w:val="22"/>
                <w:lang w:eastAsia="en-IN"/>
              </w:rPr>
              <w:t>Now Proposed</w:t>
            </w:r>
          </w:p>
        </w:tc>
      </w:tr>
      <w:tr w:rsidR="00423534" w:rsidRPr="004954F9" w14:paraId="2BA3329C" w14:textId="77777777" w:rsidTr="003A3206">
        <w:trPr>
          <w:trHeight w:val="233"/>
        </w:trPr>
        <w:tc>
          <w:tcPr>
            <w:tcW w:w="867" w:type="dxa"/>
            <w:noWrap/>
            <w:tcMar>
              <w:top w:w="0" w:type="dxa"/>
              <w:left w:w="108" w:type="dxa"/>
              <w:bottom w:w="0" w:type="dxa"/>
              <w:right w:w="108" w:type="dxa"/>
            </w:tcMar>
            <w:vAlign w:val="center"/>
            <w:hideMark/>
          </w:tcPr>
          <w:p w14:paraId="0F5F90A0" w14:textId="77777777" w:rsidR="00423534" w:rsidRPr="004954F9" w:rsidRDefault="00423534" w:rsidP="00423534">
            <w:pPr>
              <w:suppressAutoHyphens/>
              <w:jc w:val="center"/>
              <w:rPr>
                <w:rFonts w:ascii="Calibri" w:hAnsi="Calibri" w:cs="Calibri"/>
                <w:sz w:val="22"/>
                <w:szCs w:val="22"/>
                <w:lang w:eastAsia="en-IN"/>
              </w:rPr>
            </w:pPr>
            <w:r w:rsidRPr="004954F9">
              <w:rPr>
                <w:rFonts w:ascii="Calibri" w:hAnsi="Calibri" w:cs="Calibri"/>
                <w:sz w:val="22"/>
                <w:szCs w:val="22"/>
                <w:lang w:eastAsia="en-IN"/>
              </w:rPr>
              <w:t>1</w:t>
            </w:r>
          </w:p>
        </w:tc>
        <w:tc>
          <w:tcPr>
            <w:tcW w:w="3527" w:type="dxa"/>
            <w:noWrap/>
            <w:tcMar>
              <w:top w:w="0" w:type="dxa"/>
              <w:left w:w="108" w:type="dxa"/>
              <w:bottom w:w="0" w:type="dxa"/>
              <w:right w:w="108" w:type="dxa"/>
            </w:tcMar>
            <w:vAlign w:val="center"/>
            <w:hideMark/>
          </w:tcPr>
          <w:p w14:paraId="603C03E5" w14:textId="77777777" w:rsidR="00423534" w:rsidRPr="004954F9" w:rsidRDefault="00423534" w:rsidP="00423534">
            <w:pPr>
              <w:suppressAutoHyphens/>
              <w:rPr>
                <w:rFonts w:ascii="Calibri" w:hAnsi="Calibri" w:cs="Calibri"/>
                <w:sz w:val="22"/>
                <w:szCs w:val="22"/>
                <w:lang w:eastAsia="en-IN"/>
              </w:rPr>
            </w:pPr>
            <w:proofErr w:type="spellStart"/>
            <w:r w:rsidRPr="004954F9">
              <w:rPr>
                <w:rFonts w:ascii="Calibri" w:hAnsi="Calibri" w:cs="Calibri"/>
                <w:sz w:val="22"/>
                <w:szCs w:val="22"/>
                <w:lang w:eastAsia="en-IN"/>
              </w:rPr>
              <w:t>Amortisation</w:t>
            </w:r>
            <w:proofErr w:type="spellEnd"/>
            <w:r w:rsidRPr="004954F9">
              <w:rPr>
                <w:rFonts w:ascii="Calibri" w:hAnsi="Calibri" w:cs="Calibri"/>
                <w:sz w:val="22"/>
                <w:szCs w:val="22"/>
                <w:lang w:eastAsia="en-IN"/>
              </w:rPr>
              <w:t xml:space="preserve"> of consumer contribution</w:t>
            </w:r>
          </w:p>
        </w:tc>
        <w:tc>
          <w:tcPr>
            <w:tcW w:w="1343" w:type="dxa"/>
            <w:noWrap/>
            <w:tcMar>
              <w:top w:w="0" w:type="dxa"/>
              <w:left w:w="108" w:type="dxa"/>
              <w:bottom w:w="0" w:type="dxa"/>
              <w:right w:w="108" w:type="dxa"/>
            </w:tcMar>
            <w:vAlign w:val="center"/>
            <w:hideMark/>
          </w:tcPr>
          <w:p w14:paraId="796E43C0" w14:textId="77777777" w:rsidR="00423534" w:rsidRPr="004954F9" w:rsidRDefault="00423534" w:rsidP="00423534">
            <w:pPr>
              <w:suppressAutoHyphens/>
              <w:jc w:val="center"/>
              <w:rPr>
                <w:rFonts w:ascii="Calibri" w:hAnsi="Calibri" w:cs="Calibri"/>
                <w:sz w:val="22"/>
                <w:szCs w:val="22"/>
                <w:lang w:eastAsia="en-IN"/>
              </w:rPr>
            </w:pPr>
            <w:r w:rsidRPr="004954F9">
              <w:rPr>
                <w:rFonts w:ascii="Calibri" w:hAnsi="Calibri" w:cs="Calibri"/>
                <w:sz w:val="22"/>
                <w:szCs w:val="22"/>
                <w:lang w:eastAsia="en-IN"/>
              </w:rPr>
              <w:t>65.52</w:t>
            </w:r>
          </w:p>
        </w:tc>
        <w:tc>
          <w:tcPr>
            <w:tcW w:w="0" w:type="auto"/>
            <w:noWrap/>
            <w:tcMar>
              <w:top w:w="0" w:type="dxa"/>
              <w:left w:w="108" w:type="dxa"/>
              <w:bottom w:w="0" w:type="dxa"/>
              <w:right w:w="108" w:type="dxa"/>
            </w:tcMar>
            <w:vAlign w:val="center"/>
            <w:hideMark/>
          </w:tcPr>
          <w:p w14:paraId="162A1B9B" w14:textId="77777777" w:rsidR="00423534" w:rsidRPr="004954F9" w:rsidRDefault="00423534" w:rsidP="00423534">
            <w:pPr>
              <w:suppressAutoHyphens/>
              <w:jc w:val="center"/>
              <w:rPr>
                <w:rFonts w:ascii="Calibri" w:hAnsi="Calibri" w:cs="Calibri"/>
                <w:sz w:val="22"/>
                <w:szCs w:val="22"/>
                <w:lang w:eastAsia="en-IN"/>
              </w:rPr>
            </w:pPr>
            <w:r w:rsidRPr="004954F9">
              <w:rPr>
                <w:rFonts w:ascii="Calibri" w:hAnsi="Calibri" w:cs="Calibri"/>
                <w:sz w:val="22"/>
                <w:szCs w:val="22"/>
                <w:lang w:eastAsia="en-IN"/>
              </w:rPr>
              <w:t>-</w:t>
            </w:r>
          </w:p>
        </w:tc>
        <w:tc>
          <w:tcPr>
            <w:tcW w:w="0" w:type="auto"/>
            <w:vMerge w:val="restart"/>
            <w:vAlign w:val="center"/>
          </w:tcPr>
          <w:p w14:paraId="6871D0B7" w14:textId="77777777" w:rsidR="00423534" w:rsidRPr="004954F9" w:rsidRDefault="00423534" w:rsidP="00423534">
            <w:pPr>
              <w:suppressAutoHyphens/>
              <w:jc w:val="center"/>
              <w:rPr>
                <w:rFonts w:ascii="Calibri" w:hAnsi="Calibri" w:cs="Calibri"/>
                <w:sz w:val="22"/>
                <w:szCs w:val="22"/>
                <w:lang w:eastAsia="en-IN"/>
              </w:rPr>
            </w:pPr>
            <w:r w:rsidRPr="004954F9">
              <w:rPr>
                <w:rFonts w:ascii="Calibri" w:hAnsi="Calibri" w:cs="Calibri"/>
                <w:sz w:val="22"/>
                <w:szCs w:val="22"/>
                <w:lang w:eastAsia="en-IN"/>
              </w:rPr>
              <w:t>140.43</w:t>
            </w:r>
          </w:p>
        </w:tc>
        <w:tc>
          <w:tcPr>
            <w:tcW w:w="1129" w:type="dxa"/>
            <w:noWrap/>
            <w:tcMar>
              <w:top w:w="0" w:type="dxa"/>
              <w:left w:w="108" w:type="dxa"/>
              <w:bottom w:w="0" w:type="dxa"/>
              <w:right w:w="108" w:type="dxa"/>
            </w:tcMar>
            <w:vAlign w:val="center"/>
            <w:hideMark/>
          </w:tcPr>
          <w:p w14:paraId="7160DA4A" w14:textId="77777777" w:rsidR="00423534" w:rsidRPr="004954F9" w:rsidRDefault="00423534" w:rsidP="00423534">
            <w:pPr>
              <w:suppressAutoHyphens/>
              <w:jc w:val="center"/>
              <w:rPr>
                <w:rFonts w:ascii="Calibri" w:hAnsi="Calibri" w:cs="Calibri"/>
                <w:sz w:val="22"/>
                <w:szCs w:val="22"/>
                <w:lang w:eastAsia="en-IN"/>
              </w:rPr>
            </w:pPr>
            <w:r w:rsidRPr="004954F9">
              <w:rPr>
                <w:rFonts w:ascii="Calibri" w:hAnsi="Calibri" w:cs="Calibri"/>
                <w:sz w:val="22"/>
                <w:szCs w:val="22"/>
                <w:lang w:eastAsia="en-IN"/>
              </w:rPr>
              <w:t>-</w:t>
            </w:r>
          </w:p>
        </w:tc>
      </w:tr>
      <w:tr w:rsidR="00423534" w:rsidRPr="004954F9" w14:paraId="679BF14D" w14:textId="77777777" w:rsidTr="003A3206">
        <w:trPr>
          <w:trHeight w:val="233"/>
        </w:trPr>
        <w:tc>
          <w:tcPr>
            <w:tcW w:w="867" w:type="dxa"/>
            <w:noWrap/>
            <w:tcMar>
              <w:top w:w="0" w:type="dxa"/>
              <w:left w:w="108" w:type="dxa"/>
              <w:bottom w:w="0" w:type="dxa"/>
              <w:right w:w="108" w:type="dxa"/>
            </w:tcMar>
            <w:vAlign w:val="center"/>
            <w:hideMark/>
          </w:tcPr>
          <w:p w14:paraId="2ED9498A" w14:textId="77777777" w:rsidR="00423534" w:rsidRPr="004954F9" w:rsidRDefault="00423534" w:rsidP="00423534">
            <w:pPr>
              <w:suppressAutoHyphens/>
              <w:jc w:val="center"/>
              <w:rPr>
                <w:rFonts w:ascii="Calibri" w:hAnsi="Calibri" w:cs="Calibri"/>
                <w:sz w:val="22"/>
                <w:szCs w:val="22"/>
                <w:lang w:eastAsia="en-IN"/>
              </w:rPr>
            </w:pPr>
            <w:r w:rsidRPr="004954F9">
              <w:rPr>
                <w:rFonts w:ascii="Calibri" w:hAnsi="Calibri" w:cs="Calibri"/>
                <w:sz w:val="22"/>
                <w:szCs w:val="22"/>
                <w:lang w:eastAsia="en-IN"/>
              </w:rPr>
              <w:t>2</w:t>
            </w:r>
          </w:p>
        </w:tc>
        <w:tc>
          <w:tcPr>
            <w:tcW w:w="3527" w:type="dxa"/>
            <w:noWrap/>
            <w:tcMar>
              <w:top w:w="0" w:type="dxa"/>
              <w:left w:w="108" w:type="dxa"/>
              <w:bottom w:w="0" w:type="dxa"/>
              <w:right w:w="108" w:type="dxa"/>
            </w:tcMar>
            <w:vAlign w:val="center"/>
            <w:hideMark/>
          </w:tcPr>
          <w:p w14:paraId="60E6F5D1" w14:textId="77777777" w:rsidR="00423534" w:rsidRPr="004954F9" w:rsidRDefault="00423534" w:rsidP="00423534">
            <w:pPr>
              <w:suppressAutoHyphens/>
              <w:rPr>
                <w:rFonts w:ascii="Calibri" w:hAnsi="Calibri" w:cs="Calibri"/>
                <w:sz w:val="22"/>
                <w:szCs w:val="22"/>
                <w:lang w:eastAsia="en-IN"/>
              </w:rPr>
            </w:pPr>
            <w:proofErr w:type="spellStart"/>
            <w:r w:rsidRPr="004954F9">
              <w:rPr>
                <w:rFonts w:ascii="Calibri" w:hAnsi="Calibri" w:cs="Calibri"/>
                <w:sz w:val="22"/>
                <w:szCs w:val="22"/>
                <w:lang w:eastAsia="en-IN"/>
              </w:rPr>
              <w:t>Amortisation</w:t>
            </w:r>
            <w:proofErr w:type="spellEnd"/>
            <w:r w:rsidRPr="004954F9">
              <w:rPr>
                <w:rFonts w:ascii="Calibri" w:hAnsi="Calibri" w:cs="Calibri"/>
                <w:sz w:val="22"/>
                <w:szCs w:val="22"/>
                <w:lang w:eastAsia="en-IN"/>
              </w:rPr>
              <w:t xml:space="preserve"> of Govt. Grants in capital nature</w:t>
            </w:r>
          </w:p>
        </w:tc>
        <w:tc>
          <w:tcPr>
            <w:tcW w:w="1343" w:type="dxa"/>
            <w:noWrap/>
            <w:tcMar>
              <w:top w:w="0" w:type="dxa"/>
              <w:left w:w="108" w:type="dxa"/>
              <w:bottom w:w="0" w:type="dxa"/>
              <w:right w:w="108" w:type="dxa"/>
            </w:tcMar>
            <w:vAlign w:val="center"/>
            <w:hideMark/>
          </w:tcPr>
          <w:p w14:paraId="17714618" w14:textId="77777777" w:rsidR="00423534" w:rsidRPr="004954F9" w:rsidRDefault="00423534" w:rsidP="00423534">
            <w:pPr>
              <w:suppressAutoHyphens/>
              <w:jc w:val="center"/>
              <w:rPr>
                <w:rFonts w:ascii="Calibri" w:hAnsi="Calibri" w:cs="Calibri"/>
                <w:sz w:val="22"/>
                <w:szCs w:val="22"/>
                <w:lang w:eastAsia="en-IN"/>
              </w:rPr>
            </w:pPr>
            <w:r w:rsidRPr="004954F9">
              <w:rPr>
                <w:rFonts w:ascii="Calibri" w:hAnsi="Calibri" w:cs="Calibri"/>
                <w:sz w:val="22"/>
                <w:szCs w:val="22"/>
                <w:lang w:eastAsia="en-IN"/>
              </w:rPr>
              <w:t>0.20</w:t>
            </w:r>
          </w:p>
        </w:tc>
        <w:tc>
          <w:tcPr>
            <w:tcW w:w="0" w:type="auto"/>
            <w:noWrap/>
            <w:tcMar>
              <w:top w:w="0" w:type="dxa"/>
              <w:left w:w="108" w:type="dxa"/>
              <w:bottom w:w="0" w:type="dxa"/>
              <w:right w:w="108" w:type="dxa"/>
            </w:tcMar>
            <w:vAlign w:val="center"/>
            <w:hideMark/>
          </w:tcPr>
          <w:p w14:paraId="6F9AC129" w14:textId="77777777" w:rsidR="00423534" w:rsidRPr="004954F9" w:rsidRDefault="00423534" w:rsidP="00423534">
            <w:pPr>
              <w:suppressAutoHyphens/>
              <w:jc w:val="center"/>
              <w:rPr>
                <w:rFonts w:ascii="Calibri" w:hAnsi="Calibri" w:cs="Calibri"/>
                <w:sz w:val="22"/>
                <w:szCs w:val="22"/>
                <w:lang w:eastAsia="en-IN"/>
              </w:rPr>
            </w:pPr>
            <w:r w:rsidRPr="004954F9">
              <w:rPr>
                <w:rFonts w:ascii="Calibri" w:hAnsi="Calibri" w:cs="Calibri"/>
                <w:sz w:val="22"/>
                <w:szCs w:val="22"/>
                <w:lang w:eastAsia="en-IN"/>
              </w:rPr>
              <w:t>-</w:t>
            </w:r>
          </w:p>
        </w:tc>
        <w:tc>
          <w:tcPr>
            <w:tcW w:w="0" w:type="auto"/>
            <w:vMerge/>
            <w:vAlign w:val="center"/>
          </w:tcPr>
          <w:p w14:paraId="1EF135D0" w14:textId="77777777" w:rsidR="00423534" w:rsidRPr="004954F9" w:rsidRDefault="00423534" w:rsidP="00423534">
            <w:pPr>
              <w:suppressAutoHyphens/>
              <w:jc w:val="center"/>
              <w:rPr>
                <w:rFonts w:ascii="Calibri" w:hAnsi="Calibri" w:cs="Calibri"/>
                <w:sz w:val="22"/>
                <w:szCs w:val="22"/>
                <w:lang w:eastAsia="en-IN"/>
              </w:rPr>
            </w:pPr>
          </w:p>
        </w:tc>
        <w:tc>
          <w:tcPr>
            <w:tcW w:w="1129" w:type="dxa"/>
            <w:noWrap/>
            <w:tcMar>
              <w:top w:w="0" w:type="dxa"/>
              <w:left w:w="108" w:type="dxa"/>
              <w:bottom w:w="0" w:type="dxa"/>
              <w:right w:w="108" w:type="dxa"/>
            </w:tcMar>
            <w:vAlign w:val="center"/>
            <w:hideMark/>
          </w:tcPr>
          <w:p w14:paraId="26AA200A" w14:textId="77777777" w:rsidR="00423534" w:rsidRPr="004954F9" w:rsidRDefault="00423534" w:rsidP="00423534">
            <w:pPr>
              <w:suppressAutoHyphens/>
              <w:jc w:val="center"/>
              <w:rPr>
                <w:rFonts w:ascii="Calibri" w:hAnsi="Calibri" w:cs="Calibri"/>
                <w:sz w:val="22"/>
                <w:szCs w:val="22"/>
                <w:lang w:eastAsia="en-IN"/>
              </w:rPr>
            </w:pPr>
            <w:r w:rsidRPr="004954F9">
              <w:rPr>
                <w:rFonts w:ascii="Calibri" w:hAnsi="Calibri" w:cs="Calibri"/>
                <w:sz w:val="22"/>
                <w:szCs w:val="22"/>
                <w:lang w:eastAsia="en-IN"/>
              </w:rPr>
              <w:t>-</w:t>
            </w:r>
          </w:p>
        </w:tc>
      </w:tr>
      <w:tr w:rsidR="00423534" w:rsidRPr="004954F9" w14:paraId="238B5AB7" w14:textId="77777777" w:rsidTr="003A3206">
        <w:trPr>
          <w:trHeight w:val="233"/>
        </w:trPr>
        <w:tc>
          <w:tcPr>
            <w:tcW w:w="867" w:type="dxa"/>
            <w:noWrap/>
            <w:tcMar>
              <w:top w:w="0" w:type="dxa"/>
              <w:left w:w="108" w:type="dxa"/>
              <w:bottom w:w="0" w:type="dxa"/>
              <w:right w:w="108" w:type="dxa"/>
            </w:tcMar>
            <w:vAlign w:val="center"/>
            <w:hideMark/>
          </w:tcPr>
          <w:p w14:paraId="648516B9" w14:textId="77777777" w:rsidR="00423534" w:rsidRPr="004954F9" w:rsidRDefault="00423534" w:rsidP="00423534">
            <w:pPr>
              <w:suppressAutoHyphens/>
              <w:jc w:val="center"/>
              <w:rPr>
                <w:rFonts w:ascii="Calibri" w:hAnsi="Calibri" w:cs="Calibri"/>
                <w:sz w:val="22"/>
                <w:szCs w:val="22"/>
                <w:lang w:eastAsia="en-IN"/>
              </w:rPr>
            </w:pPr>
            <w:r w:rsidRPr="004954F9">
              <w:rPr>
                <w:rFonts w:ascii="Calibri" w:hAnsi="Calibri" w:cs="Calibri"/>
                <w:sz w:val="22"/>
                <w:szCs w:val="22"/>
                <w:lang w:eastAsia="en-IN"/>
              </w:rPr>
              <w:t>3</w:t>
            </w:r>
          </w:p>
        </w:tc>
        <w:tc>
          <w:tcPr>
            <w:tcW w:w="3527" w:type="dxa"/>
            <w:noWrap/>
            <w:tcMar>
              <w:top w:w="0" w:type="dxa"/>
              <w:left w:w="108" w:type="dxa"/>
              <w:bottom w:w="0" w:type="dxa"/>
              <w:right w:w="108" w:type="dxa"/>
            </w:tcMar>
            <w:vAlign w:val="center"/>
            <w:hideMark/>
          </w:tcPr>
          <w:p w14:paraId="60C5ABCB" w14:textId="77777777" w:rsidR="00423534" w:rsidRPr="004954F9" w:rsidRDefault="00423534" w:rsidP="00423534">
            <w:pPr>
              <w:suppressAutoHyphens/>
              <w:rPr>
                <w:rFonts w:ascii="Calibri" w:hAnsi="Calibri" w:cs="Calibri"/>
                <w:sz w:val="22"/>
                <w:szCs w:val="22"/>
                <w:lang w:eastAsia="en-IN"/>
              </w:rPr>
            </w:pPr>
            <w:proofErr w:type="spellStart"/>
            <w:r w:rsidRPr="004954F9">
              <w:rPr>
                <w:rFonts w:ascii="Calibri" w:hAnsi="Calibri" w:cs="Calibri"/>
                <w:sz w:val="22"/>
                <w:szCs w:val="22"/>
                <w:lang w:eastAsia="en-IN"/>
              </w:rPr>
              <w:t>Amortisation</w:t>
            </w:r>
            <w:proofErr w:type="spellEnd"/>
            <w:r w:rsidRPr="004954F9">
              <w:rPr>
                <w:rFonts w:ascii="Calibri" w:hAnsi="Calibri" w:cs="Calibri"/>
                <w:sz w:val="22"/>
                <w:szCs w:val="22"/>
                <w:lang w:eastAsia="en-IN"/>
              </w:rPr>
              <w:t xml:space="preserve"> of Govt. Grants in Revenue nature</w:t>
            </w:r>
          </w:p>
        </w:tc>
        <w:tc>
          <w:tcPr>
            <w:tcW w:w="1343" w:type="dxa"/>
            <w:noWrap/>
            <w:tcMar>
              <w:top w:w="0" w:type="dxa"/>
              <w:left w:w="108" w:type="dxa"/>
              <w:bottom w:w="0" w:type="dxa"/>
              <w:right w:w="108" w:type="dxa"/>
            </w:tcMar>
            <w:vAlign w:val="center"/>
            <w:hideMark/>
          </w:tcPr>
          <w:p w14:paraId="1A5C7CDD" w14:textId="77777777" w:rsidR="00423534" w:rsidRPr="004954F9" w:rsidRDefault="00423534" w:rsidP="00423534">
            <w:pPr>
              <w:suppressAutoHyphens/>
              <w:jc w:val="center"/>
              <w:rPr>
                <w:rFonts w:ascii="Calibri" w:hAnsi="Calibri" w:cs="Calibri"/>
                <w:sz w:val="22"/>
                <w:szCs w:val="22"/>
                <w:lang w:eastAsia="en-IN"/>
              </w:rPr>
            </w:pPr>
            <w:r w:rsidRPr="004954F9">
              <w:rPr>
                <w:rFonts w:ascii="Calibri" w:hAnsi="Calibri" w:cs="Calibri"/>
                <w:sz w:val="22"/>
                <w:szCs w:val="22"/>
                <w:lang w:eastAsia="en-IN"/>
              </w:rPr>
              <w:t>12.71</w:t>
            </w:r>
          </w:p>
        </w:tc>
        <w:tc>
          <w:tcPr>
            <w:tcW w:w="0" w:type="auto"/>
            <w:noWrap/>
            <w:tcMar>
              <w:top w:w="0" w:type="dxa"/>
              <w:left w:w="108" w:type="dxa"/>
              <w:bottom w:w="0" w:type="dxa"/>
              <w:right w:w="108" w:type="dxa"/>
            </w:tcMar>
            <w:vAlign w:val="center"/>
            <w:hideMark/>
          </w:tcPr>
          <w:p w14:paraId="692EF643" w14:textId="77777777" w:rsidR="00423534" w:rsidRPr="004954F9" w:rsidRDefault="00423534" w:rsidP="00423534">
            <w:pPr>
              <w:suppressAutoHyphens/>
              <w:jc w:val="center"/>
              <w:rPr>
                <w:rFonts w:ascii="Calibri" w:hAnsi="Calibri" w:cs="Calibri"/>
                <w:sz w:val="22"/>
                <w:szCs w:val="22"/>
                <w:lang w:eastAsia="en-IN"/>
              </w:rPr>
            </w:pPr>
            <w:r w:rsidRPr="004954F9">
              <w:rPr>
                <w:rFonts w:ascii="Calibri" w:hAnsi="Calibri" w:cs="Calibri"/>
                <w:sz w:val="22"/>
                <w:szCs w:val="22"/>
                <w:lang w:eastAsia="en-IN"/>
              </w:rPr>
              <w:t>-</w:t>
            </w:r>
          </w:p>
        </w:tc>
        <w:tc>
          <w:tcPr>
            <w:tcW w:w="0" w:type="auto"/>
            <w:vMerge/>
            <w:vAlign w:val="center"/>
          </w:tcPr>
          <w:p w14:paraId="49AA4939" w14:textId="77777777" w:rsidR="00423534" w:rsidRPr="004954F9" w:rsidRDefault="00423534" w:rsidP="00423534">
            <w:pPr>
              <w:suppressAutoHyphens/>
              <w:jc w:val="center"/>
              <w:rPr>
                <w:rFonts w:ascii="Calibri" w:hAnsi="Calibri" w:cs="Calibri"/>
                <w:sz w:val="22"/>
                <w:szCs w:val="22"/>
                <w:lang w:eastAsia="en-IN"/>
              </w:rPr>
            </w:pPr>
          </w:p>
        </w:tc>
        <w:tc>
          <w:tcPr>
            <w:tcW w:w="1129" w:type="dxa"/>
            <w:noWrap/>
            <w:tcMar>
              <w:top w:w="0" w:type="dxa"/>
              <w:left w:w="108" w:type="dxa"/>
              <w:bottom w:w="0" w:type="dxa"/>
              <w:right w:w="108" w:type="dxa"/>
            </w:tcMar>
            <w:vAlign w:val="center"/>
            <w:hideMark/>
          </w:tcPr>
          <w:p w14:paraId="24C7E43A" w14:textId="77777777" w:rsidR="00423534" w:rsidRPr="004954F9" w:rsidRDefault="00423534" w:rsidP="00423534">
            <w:pPr>
              <w:suppressAutoHyphens/>
              <w:jc w:val="center"/>
              <w:rPr>
                <w:rFonts w:ascii="Calibri" w:hAnsi="Calibri" w:cs="Calibri"/>
                <w:sz w:val="22"/>
                <w:szCs w:val="22"/>
                <w:lang w:eastAsia="en-IN"/>
              </w:rPr>
            </w:pPr>
            <w:r w:rsidRPr="004954F9">
              <w:rPr>
                <w:rFonts w:ascii="Calibri" w:hAnsi="Calibri" w:cs="Calibri"/>
                <w:sz w:val="22"/>
                <w:szCs w:val="22"/>
                <w:lang w:eastAsia="en-IN"/>
              </w:rPr>
              <w:t>-</w:t>
            </w:r>
          </w:p>
        </w:tc>
      </w:tr>
      <w:tr w:rsidR="00423534" w:rsidRPr="004954F9" w14:paraId="20C0C9A5" w14:textId="77777777" w:rsidTr="003A3206">
        <w:trPr>
          <w:trHeight w:val="233"/>
        </w:trPr>
        <w:tc>
          <w:tcPr>
            <w:tcW w:w="867" w:type="dxa"/>
            <w:noWrap/>
            <w:tcMar>
              <w:top w:w="0" w:type="dxa"/>
              <w:left w:w="108" w:type="dxa"/>
              <w:bottom w:w="0" w:type="dxa"/>
              <w:right w:w="108" w:type="dxa"/>
            </w:tcMar>
            <w:vAlign w:val="center"/>
            <w:hideMark/>
          </w:tcPr>
          <w:p w14:paraId="3423E98F" w14:textId="77777777" w:rsidR="00423534" w:rsidRPr="004954F9" w:rsidRDefault="00423534" w:rsidP="00423534">
            <w:pPr>
              <w:suppressAutoHyphens/>
              <w:jc w:val="center"/>
              <w:rPr>
                <w:rFonts w:ascii="Calibri" w:hAnsi="Calibri" w:cs="Calibri"/>
                <w:sz w:val="22"/>
                <w:szCs w:val="22"/>
                <w:lang w:eastAsia="en-IN"/>
              </w:rPr>
            </w:pPr>
            <w:r w:rsidRPr="004954F9">
              <w:rPr>
                <w:rFonts w:ascii="Calibri" w:hAnsi="Calibri" w:cs="Calibri"/>
                <w:sz w:val="22"/>
                <w:szCs w:val="22"/>
                <w:lang w:eastAsia="en-IN"/>
              </w:rPr>
              <w:t>4</w:t>
            </w:r>
          </w:p>
        </w:tc>
        <w:tc>
          <w:tcPr>
            <w:tcW w:w="3527" w:type="dxa"/>
            <w:noWrap/>
            <w:tcMar>
              <w:top w:w="0" w:type="dxa"/>
              <w:left w:w="108" w:type="dxa"/>
              <w:bottom w:w="0" w:type="dxa"/>
              <w:right w:w="108" w:type="dxa"/>
            </w:tcMar>
            <w:vAlign w:val="center"/>
            <w:hideMark/>
          </w:tcPr>
          <w:p w14:paraId="60C3ECF0" w14:textId="77777777" w:rsidR="00423534" w:rsidRPr="004954F9" w:rsidRDefault="00423534" w:rsidP="00423534">
            <w:pPr>
              <w:suppressAutoHyphens/>
              <w:rPr>
                <w:rFonts w:ascii="Calibri" w:hAnsi="Calibri" w:cs="Calibri"/>
                <w:sz w:val="22"/>
                <w:szCs w:val="22"/>
                <w:lang w:eastAsia="en-IN"/>
              </w:rPr>
            </w:pPr>
            <w:r w:rsidRPr="004954F9">
              <w:rPr>
                <w:rFonts w:ascii="Calibri" w:hAnsi="Calibri" w:cs="Calibri"/>
                <w:sz w:val="22"/>
                <w:szCs w:val="22"/>
                <w:lang w:eastAsia="en-IN"/>
              </w:rPr>
              <w:t>Recovery of Meter Rent</w:t>
            </w:r>
          </w:p>
        </w:tc>
        <w:tc>
          <w:tcPr>
            <w:tcW w:w="1343" w:type="dxa"/>
            <w:noWrap/>
            <w:tcMar>
              <w:top w:w="0" w:type="dxa"/>
              <w:left w:w="108" w:type="dxa"/>
              <w:bottom w:w="0" w:type="dxa"/>
              <w:right w:w="108" w:type="dxa"/>
            </w:tcMar>
            <w:vAlign w:val="center"/>
            <w:hideMark/>
          </w:tcPr>
          <w:p w14:paraId="576592CB" w14:textId="77777777" w:rsidR="00423534" w:rsidRPr="004954F9" w:rsidRDefault="00423534" w:rsidP="00423534">
            <w:pPr>
              <w:suppressAutoHyphens/>
              <w:jc w:val="center"/>
              <w:rPr>
                <w:rFonts w:ascii="Calibri" w:hAnsi="Calibri" w:cs="Calibri"/>
                <w:sz w:val="22"/>
                <w:szCs w:val="22"/>
                <w:lang w:eastAsia="en-IN"/>
              </w:rPr>
            </w:pPr>
            <w:r w:rsidRPr="004954F9">
              <w:rPr>
                <w:rFonts w:ascii="Calibri" w:hAnsi="Calibri" w:cs="Calibri"/>
                <w:sz w:val="22"/>
                <w:szCs w:val="22"/>
                <w:lang w:eastAsia="en-IN"/>
              </w:rPr>
              <w:t>25.35</w:t>
            </w:r>
          </w:p>
        </w:tc>
        <w:tc>
          <w:tcPr>
            <w:tcW w:w="0" w:type="auto"/>
            <w:noWrap/>
            <w:tcMar>
              <w:top w:w="0" w:type="dxa"/>
              <w:left w:w="108" w:type="dxa"/>
              <w:bottom w:w="0" w:type="dxa"/>
              <w:right w:w="108" w:type="dxa"/>
            </w:tcMar>
            <w:vAlign w:val="center"/>
            <w:hideMark/>
          </w:tcPr>
          <w:p w14:paraId="6EBD6D41" w14:textId="77777777" w:rsidR="00423534" w:rsidRPr="004954F9" w:rsidRDefault="00423534" w:rsidP="00423534">
            <w:pPr>
              <w:suppressAutoHyphens/>
              <w:jc w:val="center"/>
              <w:rPr>
                <w:rFonts w:ascii="Calibri" w:hAnsi="Calibri" w:cs="Calibri"/>
                <w:b/>
                <w:sz w:val="22"/>
                <w:szCs w:val="22"/>
                <w:lang w:eastAsia="en-IN"/>
              </w:rPr>
            </w:pPr>
            <w:r w:rsidRPr="004954F9">
              <w:rPr>
                <w:rFonts w:ascii="Calibri" w:hAnsi="Calibri" w:cs="Calibri"/>
                <w:b/>
                <w:sz w:val="22"/>
                <w:szCs w:val="22"/>
                <w:lang w:eastAsia="en-IN"/>
              </w:rPr>
              <w:t>24.68</w:t>
            </w:r>
          </w:p>
        </w:tc>
        <w:tc>
          <w:tcPr>
            <w:tcW w:w="0" w:type="auto"/>
            <w:vMerge/>
          </w:tcPr>
          <w:p w14:paraId="74154BF3" w14:textId="77777777" w:rsidR="00423534" w:rsidRPr="004954F9" w:rsidRDefault="00423534" w:rsidP="00423534">
            <w:pPr>
              <w:suppressAutoHyphens/>
              <w:jc w:val="center"/>
              <w:rPr>
                <w:rFonts w:ascii="Calibri" w:hAnsi="Calibri" w:cs="Calibri"/>
                <w:sz w:val="22"/>
                <w:szCs w:val="22"/>
                <w:lang w:eastAsia="en-IN"/>
              </w:rPr>
            </w:pPr>
          </w:p>
        </w:tc>
        <w:tc>
          <w:tcPr>
            <w:tcW w:w="1129" w:type="dxa"/>
            <w:noWrap/>
            <w:tcMar>
              <w:top w:w="0" w:type="dxa"/>
              <w:left w:w="108" w:type="dxa"/>
              <w:bottom w:w="0" w:type="dxa"/>
              <w:right w:w="108" w:type="dxa"/>
            </w:tcMar>
            <w:vAlign w:val="center"/>
            <w:hideMark/>
          </w:tcPr>
          <w:p w14:paraId="700F947F" w14:textId="77777777" w:rsidR="00423534" w:rsidRPr="004954F9" w:rsidRDefault="00423534" w:rsidP="00423534">
            <w:pPr>
              <w:suppressAutoHyphens/>
              <w:jc w:val="center"/>
              <w:rPr>
                <w:rFonts w:ascii="Calibri" w:hAnsi="Calibri" w:cs="Calibri"/>
                <w:b/>
                <w:sz w:val="22"/>
                <w:szCs w:val="22"/>
                <w:lang w:eastAsia="en-IN"/>
              </w:rPr>
            </w:pPr>
            <w:r w:rsidRPr="004954F9">
              <w:rPr>
                <w:rFonts w:ascii="Calibri" w:hAnsi="Calibri" w:cs="Calibri"/>
                <w:b/>
                <w:sz w:val="22"/>
                <w:szCs w:val="22"/>
                <w:lang w:eastAsia="en-IN"/>
              </w:rPr>
              <w:t>14.32</w:t>
            </w:r>
          </w:p>
        </w:tc>
      </w:tr>
      <w:tr w:rsidR="00423534" w:rsidRPr="004954F9" w14:paraId="10303878" w14:textId="77777777" w:rsidTr="003A3206">
        <w:trPr>
          <w:trHeight w:val="233"/>
        </w:trPr>
        <w:tc>
          <w:tcPr>
            <w:tcW w:w="867" w:type="dxa"/>
            <w:noWrap/>
            <w:tcMar>
              <w:top w:w="0" w:type="dxa"/>
              <w:left w:w="108" w:type="dxa"/>
              <w:bottom w:w="0" w:type="dxa"/>
              <w:right w:w="108" w:type="dxa"/>
            </w:tcMar>
            <w:vAlign w:val="center"/>
            <w:hideMark/>
          </w:tcPr>
          <w:p w14:paraId="1F047C03" w14:textId="77777777" w:rsidR="00423534" w:rsidRPr="004954F9" w:rsidRDefault="00423534" w:rsidP="00423534">
            <w:pPr>
              <w:suppressAutoHyphens/>
              <w:jc w:val="center"/>
              <w:rPr>
                <w:rFonts w:ascii="Calibri" w:hAnsi="Calibri" w:cs="Calibri"/>
                <w:sz w:val="22"/>
                <w:szCs w:val="22"/>
                <w:lang w:eastAsia="en-IN"/>
              </w:rPr>
            </w:pPr>
            <w:r w:rsidRPr="004954F9">
              <w:rPr>
                <w:rFonts w:ascii="Calibri" w:hAnsi="Calibri" w:cs="Calibri"/>
                <w:sz w:val="22"/>
                <w:szCs w:val="22"/>
                <w:lang w:eastAsia="en-IN"/>
              </w:rPr>
              <w:t>5</w:t>
            </w:r>
          </w:p>
        </w:tc>
        <w:tc>
          <w:tcPr>
            <w:tcW w:w="3527" w:type="dxa"/>
            <w:noWrap/>
            <w:tcMar>
              <w:top w:w="0" w:type="dxa"/>
              <w:left w:w="108" w:type="dxa"/>
              <w:bottom w:w="0" w:type="dxa"/>
              <w:right w:w="108" w:type="dxa"/>
            </w:tcMar>
            <w:vAlign w:val="center"/>
            <w:hideMark/>
          </w:tcPr>
          <w:p w14:paraId="0A1633FE" w14:textId="77777777" w:rsidR="00423534" w:rsidRPr="004954F9" w:rsidRDefault="00423534" w:rsidP="00423534">
            <w:pPr>
              <w:suppressAutoHyphens/>
              <w:rPr>
                <w:rFonts w:ascii="Calibri" w:hAnsi="Calibri" w:cs="Calibri"/>
                <w:sz w:val="22"/>
                <w:szCs w:val="22"/>
                <w:lang w:eastAsia="en-IN"/>
              </w:rPr>
            </w:pPr>
            <w:proofErr w:type="spellStart"/>
            <w:r w:rsidRPr="004954F9">
              <w:rPr>
                <w:rFonts w:ascii="Calibri" w:hAnsi="Calibri" w:cs="Calibri"/>
                <w:sz w:val="22"/>
                <w:szCs w:val="22"/>
                <w:lang w:eastAsia="en-IN"/>
              </w:rPr>
              <w:t>Overdrawal</w:t>
            </w:r>
            <w:proofErr w:type="spellEnd"/>
            <w:r w:rsidRPr="004954F9">
              <w:rPr>
                <w:rFonts w:ascii="Calibri" w:hAnsi="Calibri" w:cs="Calibri"/>
                <w:sz w:val="22"/>
                <w:szCs w:val="22"/>
                <w:lang w:eastAsia="en-IN"/>
              </w:rPr>
              <w:t xml:space="preserve"> penalty recovered</w:t>
            </w:r>
          </w:p>
        </w:tc>
        <w:tc>
          <w:tcPr>
            <w:tcW w:w="1343" w:type="dxa"/>
            <w:noWrap/>
            <w:tcMar>
              <w:top w:w="0" w:type="dxa"/>
              <w:left w:w="108" w:type="dxa"/>
              <w:bottom w:w="0" w:type="dxa"/>
              <w:right w:w="108" w:type="dxa"/>
            </w:tcMar>
            <w:vAlign w:val="center"/>
            <w:hideMark/>
          </w:tcPr>
          <w:p w14:paraId="10D553E5" w14:textId="77777777" w:rsidR="00423534" w:rsidRPr="004954F9" w:rsidRDefault="00423534" w:rsidP="00423534">
            <w:pPr>
              <w:suppressAutoHyphens/>
              <w:jc w:val="center"/>
              <w:rPr>
                <w:rFonts w:ascii="Calibri" w:hAnsi="Calibri" w:cs="Calibri"/>
                <w:sz w:val="22"/>
                <w:szCs w:val="22"/>
                <w:lang w:eastAsia="en-IN"/>
              </w:rPr>
            </w:pPr>
            <w:r w:rsidRPr="004954F9">
              <w:rPr>
                <w:rFonts w:ascii="Calibri" w:hAnsi="Calibri" w:cs="Calibri"/>
                <w:sz w:val="22"/>
                <w:szCs w:val="22"/>
                <w:lang w:eastAsia="en-IN"/>
              </w:rPr>
              <w:t>6.52</w:t>
            </w:r>
          </w:p>
        </w:tc>
        <w:tc>
          <w:tcPr>
            <w:tcW w:w="0" w:type="auto"/>
            <w:noWrap/>
            <w:tcMar>
              <w:top w:w="0" w:type="dxa"/>
              <w:left w:w="108" w:type="dxa"/>
              <w:bottom w:w="0" w:type="dxa"/>
              <w:right w:w="108" w:type="dxa"/>
            </w:tcMar>
            <w:vAlign w:val="center"/>
            <w:hideMark/>
          </w:tcPr>
          <w:p w14:paraId="630029A4" w14:textId="77777777" w:rsidR="00423534" w:rsidRPr="004954F9" w:rsidRDefault="00423534" w:rsidP="00423534">
            <w:pPr>
              <w:suppressAutoHyphens/>
              <w:jc w:val="center"/>
              <w:rPr>
                <w:rFonts w:ascii="Calibri" w:hAnsi="Calibri" w:cs="Calibri"/>
                <w:sz w:val="22"/>
                <w:szCs w:val="22"/>
                <w:lang w:eastAsia="en-IN"/>
              </w:rPr>
            </w:pPr>
            <w:r w:rsidRPr="004954F9">
              <w:rPr>
                <w:rFonts w:ascii="Calibri" w:hAnsi="Calibri" w:cs="Calibri"/>
                <w:sz w:val="22"/>
                <w:szCs w:val="22"/>
                <w:lang w:eastAsia="en-IN"/>
              </w:rPr>
              <w:t>6.52</w:t>
            </w:r>
          </w:p>
        </w:tc>
        <w:tc>
          <w:tcPr>
            <w:tcW w:w="0" w:type="auto"/>
            <w:vMerge/>
          </w:tcPr>
          <w:p w14:paraId="184A744A" w14:textId="77777777" w:rsidR="00423534" w:rsidRPr="004954F9" w:rsidRDefault="00423534" w:rsidP="00423534">
            <w:pPr>
              <w:suppressAutoHyphens/>
              <w:jc w:val="center"/>
              <w:rPr>
                <w:rFonts w:ascii="Calibri" w:hAnsi="Calibri" w:cs="Calibri"/>
                <w:sz w:val="22"/>
                <w:szCs w:val="22"/>
                <w:lang w:eastAsia="en-IN"/>
              </w:rPr>
            </w:pPr>
          </w:p>
        </w:tc>
        <w:tc>
          <w:tcPr>
            <w:tcW w:w="1129" w:type="dxa"/>
            <w:noWrap/>
            <w:tcMar>
              <w:top w:w="0" w:type="dxa"/>
              <w:left w:w="108" w:type="dxa"/>
              <w:bottom w:w="0" w:type="dxa"/>
              <w:right w:w="108" w:type="dxa"/>
            </w:tcMar>
            <w:vAlign w:val="center"/>
            <w:hideMark/>
          </w:tcPr>
          <w:p w14:paraId="7B5BEA16" w14:textId="77777777" w:rsidR="00423534" w:rsidRPr="004954F9" w:rsidRDefault="00423534" w:rsidP="00423534">
            <w:pPr>
              <w:suppressAutoHyphens/>
              <w:jc w:val="center"/>
              <w:rPr>
                <w:rFonts w:ascii="Calibri" w:hAnsi="Calibri" w:cs="Calibri"/>
                <w:sz w:val="22"/>
                <w:szCs w:val="22"/>
                <w:lang w:eastAsia="en-IN"/>
              </w:rPr>
            </w:pPr>
            <w:r w:rsidRPr="004954F9">
              <w:rPr>
                <w:rFonts w:ascii="Calibri" w:hAnsi="Calibri" w:cs="Calibri"/>
                <w:sz w:val="22"/>
                <w:szCs w:val="22"/>
                <w:lang w:eastAsia="en-IN"/>
              </w:rPr>
              <w:t>6.52</w:t>
            </w:r>
          </w:p>
        </w:tc>
      </w:tr>
      <w:tr w:rsidR="00423534" w:rsidRPr="004954F9" w14:paraId="245AE1F7" w14:textId="77777777" w:rsidTr="003A3206">
        <w:trPr>
          <w:trHeight w:val="233"/>
        </w:trPr>
        <w:tc>
          <w:tcPr>
            <w:tcW w:w="867" w:type="dxa"/>
            <w:noWrap/>
            <w:tcMar>
              <w:top w:w="0" w:type="dxa"/>
              <w:left w:w="108" w:type="dxa"/>
              <w:bottom w:w="0" w:type="dxa"/>
              <w:right w:w="108" w:type="dxa"/>
            </w:tcMar>
            <w:vAlign w:val="center"/>
            <w:hideMark/>
          </w:tcPr>
          <w:p w14:paraId="24F30B6B" w14:textId="77777777" w:rsidR="00423534" w:rsidRPr="004954F9" w:rsidRDefault="00423534" w:rsidP="00423534">
            <w:pPr>
              <w:suppressAutoHyphens/>
              <w:jc w:val="center"/>
              <w:rPr>
                <w:rFonts w:ascii="Calibri" w:hAnsi="Calibri" w:cs="Calibri"/>
                <w:sz w:val="22"/>
                <w:szCs w:val="22"/>
                <w:lang w:eastAsia="en-IN"/>
              </w:rPr>
            </w:pPr>
            <w:r w:rsidRPr="004954F9">
              <w:rPr>
                <w:rFonts w:ascii="Calibri" w:hAnsi="Calibri" w:cs="Calibri"/>
                <w:sz w:val="22"/>
                <w:szCs w:val="22"/>
                <w:lang w:eastAsia="en-IN"/>
              </w:rPr>
              <w:t>6</w:t>
            </w:r>
          </w:p>
        </w:tc>
        <w:tc>
          <w:tcPr>
            <w:tcW w:w="3527" w:type="dxa"/>
            <w:noWrap/>
            <w:tcMar>
              <w:top w:w="0" w:type="dxa"/>
              <w:left w:w="108" w:type="dxa"/>
              <w:bottom w:w="0" w:type="dxa"/>
              <w:right w:w="108" w:type="dxa"/>
            </w:tcMar>
            <w:vAlign w:val="center"/>
            <w:hideMark/>
          </w:tcPr>
          <w:p w14:paraId="1B09C7B6" w14:textId="77777777" w:rsidR="00423534" w:rsidRPr="004954F9" w:rsidRDefault="00423534" w:rsidP="00423534">
            <w:pPr>
              <w:suppressAutoHyphens/>
              <w:rPr>
                <w:rFonts w:ascii="Calibri" w:hAnsi="Calibri" w:cs="Calibri"/>
                <w:sz w:val="22"/>
                <w:szCs w:val="22"/>
                <w:lang w:eastAsia="en-IN"/>
              </w:rPr>
            </w:pPr>
            <w:r w:rsidRPr="004954F9">
              <w:rPr>
                <w:rFonts w:ascii="Calibri" w:hAnsi="Calibri" w:cs="Calibri"/>
                <w:sz w:val="22"/>
                <w:szCs w:val="22"/>
                <w:lang w:eastAsia="en-IN"/>
              </w:rPr>
              <w:t>Incentives on arrear Collection</w:t>
            </w:r>
          </w:p>
        </w:tc>
        <w:tc>
          <w:tcPr>
            <w:tcW w:w="1343" w:type="dxa"/>
            <w:noWrap/>
            <w:tcMar>
              <w:top w:w="0" w:type="dxa"/>
              <w:left w:w="108" w:type="dxa"/>
              <w:bottom w:w="0" w:type="dxa"/>
              <w:right w:w="108" w:type="dxa"/>
            </w:tcMar>
            <w:vAlign w:val="center"/>
            <w:hideMark/>
          </w:tcPr>
          <w:p w14:paraId="613F61AA" w14:textId="77777777" w:rsidR="00423534" w:rsidRPr="004954F9" w:rsidRDefault="00423534" w:rsidP="00423534">
            <w:pPr>
              <w:suppressAutoHyphens/>
              <w:jc w:val="center"/>
              <w:rPr>
                <w:rFonts w:ascii="Calibri" w:hAnsi="Calibri" w:cs="Calibri"/>
                <w:sz w:val="22"/>
                <w:szCs w:val="22"/>
                <w:lang w:eastAsia="en-IN"/>
              </w:rPr>
            </w:pPr>
            <w:r w:rsidRPr="004954F9">
              <w:rPr>
                <w:rFonts w:ascii="Calibri" w:hAnsi="Calibri" w:cs="Calibri"/>
                <w:sz w:val="22"/>
                <w:szCs w:val="22"/>
                <w:lang w:eastAsia="en-IN"/>
              </w:rPr>
              <w:t>16.15</w:t>
            </w:r>
          </w:p>
        </w:tc>
        <w:tc>
          <w:tcPr>
            <w:tcW w:w="0" w:type="auto"/>
            <w:noWrap/>
            <w:tcMar>
              <w:top w:w="0" w:type="dxa"/>
              <w:left w:w="108" w:type="dxa"/>
              <w:bottom w:w="0" w:type="dxa"/>
              <w:right w:w="108" w:type="dxa"/>
            </w:tcMar>
            <w:vAlign w:val="center"/>
            <w:hideMark/>
          </w:tcPr>
          <w:p w14:paraId="57929AB6" w14:textId="77777777" w:rsidR="00423534" w:rsidRPr="004954F9" w:rsidRDefault="00423534" w:rsidP="00423534">
            <w:pPr>
              <w:suppressAutoHyphens/>
              <w:jc w:val="center"/>
              <w:rPr>
                <w:rFonts w:ascii="Calibri" w:hAnsi="Calibri" w:cs="Calibri"/>
                <w:sz w:val="22"/>
                <w:szCs w:val="22"/>
                <w:lang w:eastAsia="en-IN"/>
              </w:rPr>
            </w:pPr>
            <w:r w:rsidRPr="004954F9">
              <w:rPr>
                <w:rFonts w:ascii="Calibri" w:hAnsi="Calibri" w:cs="Calibri"/>
                <w:sz w:val="22"/>
                <w:szCs w:val="22"/>
                <w:lang w:eastAsia="en-IN"/>
              </w:rPr>
              <w:t>-</w:t>
            </w:r>
          </w:p>
        </w:tc>
        <w:tc>
          <w:tcPr>
            <w:tcW w:w="0" w:type="auto"/>
            <w:vMerge/>
            <w:vAlign w:val="center"/>
          </w:tcPr>
          <w:p w14:paraId="2E461DCC" w14:textId="77777777" w:rsidR="00423534" w:rsidRPr="004954F9" w:rsidRDefault="00423534" w:rsidP="00423534">
            <w:pPr>
              <w:suppressAutoHyphens/>
              <w:jc w:val="center"/>
              <w:rPr>
                <w:rFonts w:ascii="Calibri" w:hAnsi="Calibri" w:cs="Calibri"/>
                <w:sz w:val="22"/>
                <w:szCs w:val="22"/>
                <w:lang w:eastAsia="en-IN"/>
              </w:rPr>
            </w:pPr>
          </w:p>
        </w:tc>
        <w:tc>
          <w:tcPr>
            <w:tcW w:w="1129" w:type="dxa"/>
            <w:noWrap/>
            <w:tcMar>
              <w:top w:w="0" w:type="dxa"/>
              <w:left w:w="108" w:type="dxa"/>
              <w:bottom w:w="0" w:type="dxa"/>
              <w:right w:w="108" w:type="dxa"/>
            </w:tcMar>
            <w:vAlign w:val="center"/>
            <w:hideMark/>
          </w:tcPr>
          <w:p w14:paraId="52F1E13E" w14:textId="77777777" w:rsidR="00423534" w:rsidRPr="004954F9" w:rsidRDefault="00423534" w:rsidP="00423534">
            <w:pPr>
              <w:suppressAutoHyphens/>
              <w:jc w:val="center"/>
              <w:rPr>
                <w:rFonts w:ascii="Calibri" w:hAnsi="Calibri" w:cs="Calibri"/>
                <w:sz w:val="22"/>
                <w:szCs w:val="22"/>
                <w:lang w:eastAsia="en-IN"/>
              </w:rPr>
            </w:pPr>
            <w:r w:rsidRPr="004954F9">
              <w:rPr>
                <w:rFonts w:ascii="Calibri" w:hAnsi="Calibri" w:cs="Calibri"/>
                <w:sz w:val="22"/>
                <w:szCs w:val="22"/>
                <w:lang w:eastAsia="en-IN"/>
              </w:rPr>
              <w:t>-</w:t>
            </w:r>
          </w:p>
        </w:tc>
      </w:tr>
      <w:tr w:rsidR="00423534" w:rsidRPr="004954F9" w14:paraId="4CEDC46B" w14:textId="77777777" w:rsidTr="003A3206">
        <w:trPr>
          <w:trHeight w:val="233"/>
        </w:trPr>
        <w:tc>
          <w:tcPr>
            <w:tcW w:w="867" w:type="dxa"/>
            <w:noWrap/>
            <w:tcMar>
              <w:top w:w="0" w:type="dxa"/>
              <w:left w:w="108" w:type="dxa"/>
              <w:bottom w:w="0" w:type="dxa"/>
              <w:right w:w="108" w:type="dxa"/>
            </w:tcMar>
            <w:vAlign w:val="center"/>
            <w:hideMark/>
          </w:tcPr>
          <w:p w14:paraId="4D9B7D6C" w14:textId="77777777" w:rsidR="00423534" w:rsidRPr="004954F9" w:rsidRDefault="00423534" w:rsidP="00423534">
            <w:pPr>
              <w:suppressAutoHyphens/>
              <w:jc w:val="center"/>
              <w:rPr>
                <w:rFonts w:ascii="Calibri" w:hAnsi="Calibri" w:cs="Calibri"/>
                <w:sz w:val="22"/>
                <w:szCs w:val="22"/>
                <w:lang w:eastAsia="en-IN"/>
              </w:rPr>
            </w:pPr>
            <w:r w:rsidRPr="004954F9">
              <w:rPr>
                <w:rFonts w:ascii="Calibri" w:hAnsi="Calibri" w:cs="Calibri"/>
                <w:sz w:val="22"/>
                <w:szCs w:val="22"/>
                <w:lang w:eastAsia="en-IN"/>
              </w:rPr>
              <w:t>7</w:t>
            </w:r>
          </w:p>
        </w:tc>
        <w:tc>
          <w:tcPr>
            <w:tcW w:w="3527" w:type="dxa"/>
            <w:noWrap/>
            <w:tcMar>
              <w:top w:w="0" w:type="dxa"/>
              <w:left w:w="108" w:type="dxa"/>
              <w:bottom w:w="0" w:type="dxa"/>
              <w:right w:w="108" w:type="dxa"/>
            </w:tcMar>
            <w:vAlign w:val="center"/>
            <w:hideMark/>
          </w:tcPr>
          <w:p w14:paraId="61277704" w14:textId="77777777" w:rsidR="00423534" w:rsidRPr="004954F9" w:rsidRDefault="00423534" w:rsidP="00423534">
            <w:pPr>
              <w:suppressAutoHyphens/>
              <w:rPr>
                <w:rFonts w:ascii="Calibri" w:hAnsi="Calibri" w:cs="Calibri"/>
                <w:sz w:val="22"/>
                <w:szCs w:val="22"/>
                <w:lang w:eastAsia="en-IN"/>
              </w:rPr>
            </w:pPr>
            <w:r w:rsidRPr="004954F9">
              <w:rPr>
                <w:rFonts w:ascii="Calibri" w:hAnsi="Calibri" w:cs="Calibri"/>
                <w:sz w:val="22"/>
                <w:szCs w:val="22"/>
                <w:lang w:eastAsia="en-IN"/>
              </w:rPr>
              <w:t>Open Access Cross Subsidy Income</w:t>
            </w:r>
          </w:p>
        </w:tc>
        <w:tc>
          <w:tcPr>
            <w:tcW w:w="1343" w:type="dxa"/>
            <w:noWrap/>
            <w:tcMar>
              <w:top w:w="0" w:type="dxa"/>
              <w:left w:w="108" w:type="dxa"/>
              <w:bottom w:w="0" w:type="dxa"/>
              <w:right w:w="108" w:type="dxa"/>
            </w:tcMar>
            <w:vAlign w:val="center"/>
            <w:hideMark/>
          </w:tcPr>
          <w:p w14:paraId="420DCC0A" w14:textId="77777777" w:rsidR="00423534" w:rsidRPr="004954F9" w:rsidRDefault="00423534" w:rsidP="00423534">
            <w:pPr>
              <w:suppressAutoHyphens/>
              <w:jc w:val="center"/>
              <w:rPr>
                <w:rFonts w:ascii="Calibri" w:hAnsi="Calibri" w:cs="Calibri"/>
                <w:sz w:val="22"/>
                <w:szCs w:val="22"/>
                <w:lang w:eastAsia="en-IN"/>
              </w:rPr>
            </w:pPr>
            <w:r w:rsidRPr="004954F9">
              <w:rPr>
                <w:rFonts w:ascii="Calibri" w:hAnsi="Calibri" w:cs="Calibri"/>
                <w:sz w:val="22"/>
                <w:szCs w:val="22"/>
                <w:lang w:eastAsia="en-IN"/>
              </w:rPr>
              <w:t>57.98</w:t>
            </w:r>
          </w:p>
        </w:tc>
        <w:tc>
          <w:tcPr>
            <w:tcW w:w="0" w:type="auto"/>
            <w:noWrap/>
            <w:tcMar>
              <w:top w:w="0" w:type="dxa"/>
              <w:left w:w="108" w:type="dxa"/>
              <w:bottom w:w="0" w:type="dxa"/>
              <w:right w:w="108" w:type="dxa"/>
            </w:tcMar>
            <w:vAlign w:val="center"/>
            <w:hideMark/>
          </w:tcPr>
          <w:p w14:paraId="26597194" w14:textId="77777777" w:rsidR="00423534" w:rsidRPr="004954F9" w:rsidRDefault="00423534" w:rsidP="00423534">
            <w:pPr>
              <w:suppressAutoHyphens/>
              <w:jc w:val="center"/>
              <w:rPr>
                <w:rFonts w:ascii="Calibri" w:hAnsi="Calibri" w:cs="Calibri"/>
                <w:sz w:val="22"/>
                <w:szCs w:val="22"/>
                <w:lang w:eastAsia="en-IN"/>
              </w:rPr>
            </w:pPr>
            <w:r w:rsidRPr="004954F9">
              <w:rPr>
                <w:rFonts w:ascii="Calibri" w:hAnsi="Calibri" w:cs="Calibri"/>
                <w:sz w:val="22"/>
                <w:szCs w:val="22"/>
                <w:lang w:eastAsia="en-IN"/>
              </w:rPr>
              <w:t>57.98</w:t>
            </w:r>
          </w:p>
        </w:tc>
        <w:tc>
          <w:tcPr>
            <w:tcW w:w="0" w:type="auto"/>
            <w:vMerge/>
            <w:vAlign w:val="center"/>
          </w:tcPr>
          <w:p w14:paraId="5066FB5A" w14:textId="77777777" w:rsidR="00423534" w:rsidRPr="004954F9" w:rsidRDefault="00423534" w:rsidP="00423534">
            <w:pPr>
              <w:suppressAutoHyphens/>
              <w:jc w:val="center"/>
              <w:rPr>
                <w:rFonts w:ascii="Calibri" w:hAnsi="Calibri" w:cs="Calibri"/>
                <w:sz w:val="22"/>
                <w:szCs w:val="22"/>
                <w:lang w:eastAsia="en-IN"/>
              </w:rPr>
            </w:pPr>
          </w:p>
        </w:tc>
        <w:tc>
          <w:tcPr>
            <w:tcW w:w="1129" w:type="dxa"/>
            <w:noWrap/>
            <w:tcMar>
              <w:top w:w="0" w:type="dxa"/>
              <w:left w:w="108" w:type="dxa"/>
              <w:bottom w:w="0" w:type="dxa"/>
              <w:right w:w="108" w:type="dxa"/>
            </w:tcMar>
            <w:vAlign w:val="center"/>
            <w:hideMark/>
          </w:tcPr>
          <w:p w14:paraId="19C59B91" w14:textId="77777777" w:rsidR="00423534" w:rsidRPr="004954F9" w:rsidRDefault="00423534" w:rsidP="00423534">
            <w:pPr>
              <w:suppressAutoHyphens/>
              <w:jc w:val="center"/>
              <w:rPr>
                <w:rFonts w:ascii="Calibri" w:hAnsi="Calibri" w:cs="Calibri"/>
                <w:sz w:val="22"/>
                <w:szCs w:val="22"/>
                <w:lang w:eastAsia="en-IN"/>
              </w:rPr>
            </w:pPr>
            <w:r w:rsidRPr="004954F9">
              <w:rPr>
                <w:rFonts w:ascii="Calibri" w:hAnsi="Calibri" w:cs="Calibri"/>
                <w:sz w:val="22"/>
                <w:szCs w:val="22"/>
                <w:lang w:eastAsia="en-IN"/>
              </w:rPr>
              <w:t>57.98</w:t>
            </w:r>
          </w:p>
        </w:tc>
      </w:tr>
      <w:tr w:rsidR="00423534" w:rsidRPr="004954F9" w14:paraId="4D8C9059" w14:textId="77777777" w:rsidTr="003A3206">
        <w:trPr>
          <w:trHeight w:val="233"/>
        </w:trPr>
        <w:tc>
          <w:tcPr>
            <w:tcW w:w="867" w:type="dxa"/>
            <w:noWrap/>
            <w:tcMar>
              <w:top w:w="0" w:type="dxa"/>
              <w:left w:w="108" w:type="dxa"/>
              <w:bottom w:w="0" w:type="dxa"/>
              <w:right w:w="108" w:type="dxa"/>
            </w:tcMar>
            <w:vAlign w:val="center"/>
            <w:hideMark/>
          </w:tcPr>
          <w:p w14:paraId="5895264B" w14:textId="77777777" w:rsidR="00423534" w:rsidRPr="004954F9" w:rsidRDefault="00423534" w:rsidP="00423534">
            <w:pPr>
              <w:suppressAutoHyphens/>
              <w:jc w:val="center"/>
              <w:rPr>
                <w:rFonts w:ascii="Calibri" w:hAnsi="Calibri" w:cs="Calibri"/>
                <w:sz w:val="22"/>
                <w:szCs w:val="22"/>
                <w:lang w:eastAsia="en-IN"/>
              </w:rPr>
            </w:pPr>
            <w:r w:rsidRPr="004954F9">
              <w:rPr>
                <w:rFonts w:ascii="Calibri" w:hAnsi="Calibri" w:cs="Calibri"/>
                <w:sz w:val="22"/>
                <w:szCs w:val="22"/>
                <w:lang w:eastAsia="en-IN"/>
              </w:rPr>
              <w:t>8</w:t>
            </w:r>
          </w:p>
        </w:tc>
        <w:tc>
          <w:tcPr>
            <w:tcW w:w="3527" w:type="dxa"/>
            <w:noWrap/>
            <w:tcMar>
              <w:top w:w="0" w:type="dxa"/>
              <w:left w:w="108" w:type="dxa"/>
              <w:bottom w:w="0" w:type="dxa"/>
              <w:right w:w="108" w:type="dxa"/>
            </w:tcMar>
            <w:vAlign w:val="center"/>
            <w:hideMark/>
          </w:tcPr>
          <w:p w14:paraId="6CEAFAE3" w14:textId="77777777" w:rsidR="00423534" w:rsidRPr="004954F9" w:rsidRDefault="00423534" w:rsidP="00423534">
            <w:pPr>
              <w:suppressAutoHyphens/>
              <w:rPr>
                <w:rFonts w:ascii="Calibri" w:hAnsi="Calibri" w:cs="Calibri"/>
                <w:sz w:val="22"/>
                <w:szCs w:val="22"/>
                <w:lang w:eastAsia="en-IN"/>
              </w:rPr>
            </w:pPr>
            <w:r w:rsidRPr="004954F9">
              <w:rPr>
                <w:rFonts w:ascii="Calibri" w:hAnsi="Calibri" w:cs="Calibri"/>
                <w:sz w:val="22"/>
                <w:szCs w:val="22"/>
                <w:lang w:eastAsia="en-IN"/>
              </w:rPr>
              <w:t>Supervision Charges</w:t>
            </w:r>
          </w:p>
        </w:tc>
        <w:tc>
          <w:tcPr>
            <w:tcW w:w="1343" w:type="dxa"/>
            <w:noWrap/>
            <w:tcMar>
              <w:top w:w="0" w:type="dxa"/>
              <w:left w:w="108" w:type="dxa"/>
              <w:bottom w:w="0" w:type="dxa"/>
              <w:right w:w="108" w:type="dxa"/>
            </w:tcMar>
            <w:vAlign w:val="center"/>
            <w:hideMark/>
          </w:tcPr>
          <w:p w14:paraId="0DA7C909" w14:textId="77777777" w:rsidR="00423534" w:rsidRPr="004954F9" w:rsidRDefault="00423534" w:rsidP="00423534">
            <w:pPr>
              <w:suppressAutoHyphens/>
              <w:jc w:val="center"/>
              <w:rPr>
                <w:rFonts w:ascii="Calibri" w:hAnsi="Calibri" w:cs="Calibri"/>
                <w:sz w:val="22"/>
                <w:szCs w:val="22"/>
                <w:lang w:eastAsia="en-IN"/>
              </w:rPr>
            </w:pPr>
            <w:r w:rsidRPr="004954F9">
              <w:rPr>
                <w:rFonts w:ascii="Calibri" w:hAnsi="Calibri" w:cs="Calibri"/>
                <w:sz w:val="22"/>
                <w:szCs w:val="22"/>
                <w:lang w:eastAsia="en-IN"/>
              </w:rPr>
              <w:t>5.72</w:t>
            </w:r>
          </w:p>
        </w:tc>
        <w:tc>
          <w:tcPr>
            <w:tcW w:w="0" w:type="auto"/>
            <w:noWrap/>
            <w:tcMar>
              <w:top w:w="0" w:type="dxa"/>
              <w:left w:w="108" w:type="dxa"/>
              <w:bottom w:w="0" w:type="dxa"/>
              <w:right w:w="108" w:type="dxa"/>
            </w:tcMar>
            <w:vAlign w:val="center"/>
            <w:hideMark/>
          </w:tcPr>
          <w:p w14:paraId="78D80767" w14:textId="77777777" w:rsidR="00423534" w:rsidRPr="004954F9" w:rsidRDefault="00423534" w:rsidP="00423534">
            <w:pPr>
              <w:suppressAutoHyphens/>
              <w:jc w:val="center"/>
              <w:rPr>
                <w:rFonts w:ascii="Calibri" w:hAnsi="Calibri" w:cs="Calibri"/>
                <w:sz w:val="22"/>
                <w:szCs w:val="22"/>
                <w:lang w:eastAsia="en-IN"/>
              </w:rPr>
            </w:pPr>
            <w:r w:rsidRPr="004954F9">
              <w:rPr>
                <w:rFonts w:ascii="Calibri" w:hAnsi="Calibri" w:cs="Calibri"/>
                <w:sz w:val="22"/>
                <w:szCs w:val="22"/>
                <w:lang w:eastAsia="en-IN"/>
              </w:rPr>
              <w:t>5.72</w:t>
            </w:r>
          </w:p>
        </w:tc>
        <w:tc>
          <w:tcPr>
            <w:tcW w:w="0" w:type="auto"/>
            <w:vMerge/>
            <w:vAlign w:val="center"/>
          </w:tcPr>
          <w:p w14:paraId="12A0EFE9" w14:textId="77777777" w:rsidR="00423534" w:rsidRPr="004954F9" w:rsidRDefault="00423534" w:rsidP="00423534">
            <w:pPr>
              <w:suppressAutoHyphens/>
              <w:jc w:val="center"/>
              <w:rPr>
                <w:rFonts w:ascii="Calibri" w:hAnsi="Calibri" w:cs="Calibri"/>
                <w:sz w:val="22"/>
                <w:szCs w:val="22"/>
                <w:lang w:eastAsia="en-IN"/>
              </w:rPr>
            </w:pPr>
          </w:p>
        </w:tc>
        <w:tc>
          <w:tcPr>
            <w:tcW w:w="1129" w:type="dxa"/>
            <w:noWrap/>
            <w:tcMar>
              <w:top w:w="0" w:type="dxa"/>
              <w:left w:w="108" w:type="dxa"/>
              <w:bottom w:w="0" w:type="dxa"/>
              <w:right w:w="108" w:type="dxa"/>
            </w:tcMar>
            <w:vAlign w:val="center"/>
            <w:hideMark/>
          </w:tcPr>
          <w:p w14:paraId="432069ED" w14:textId="77777777" w:rsidR="00423534" w:rsidRPr="004954F9" w:rsidRDefault="00423534" w:rsidP="00423534">
            <w:pPr>
              <w:suppressAutoHyphens/>
              <w:jc w:val="center"/>
              <w:rPr>
                <w:rFonts w:ascii="Calibri" w:hAnsi="Calibri" w:cs="Calibri"/>
                <w:sz w:val="22"/>
                <w:szCs w:val="22"/>
                <w:lang w:eastAsia="en-IN"/>
              </w:rPr>
            </w:pPr>
            <w:r w:rsidRPr="004954F9">
              <w:rPr>
                <w:rFonts w:ascii="Calibri" w:hAnsi="Calibri" w:cs="Calibri"/>
                <w:sz w:val="22"/>
                <w:szCs w:val="22"/>
                <w:lang w:eastAsia="en-IN"/>
              </w:rPr>
              <w:t>5.72</w:t>
            </w:r>
          </w:p>
        </w:tc>
      </w:tr>
      <w:tr w:rsidR="00423534" w:rsidRPr="004954F9" w14:paraId="7A26F445" w14:textId="77777777" w:rsidTr="003A3206">
        <w:trPr>
          <w:trHeight w:val="233"/>
        </w:trPr>
        <w:tc>
          <w:tcPr>
            <w:tcW w:w="867" w:type="dxa"/>
            <w:noWrap/>
            <w:tcMar>
              <w:top w:w="0" w:type="dxa"/>
              <w:left w:w="108" w:type="dxa"/>
              <w:bottom w:w="0" w:type="dxa"/>
              <w:right w:w="108" w:type="dxa"/>
            </w:tcMar>
            <w:vAlign w:val="center"/>
            <w:hideMark/>
          </w:tcPr>
          <w:p w14:paraId="248A8BB6" w14:textId="77777777" w:rsidR="00423534" w:rsidRPr="004954F9" w:rsidRDefault="00423534" w:rsidP="00423534">
            <w:pPr>
              <w:suppressAutoHyphens/>
              <w:jc w:val="center"/>
              <w:rPr>
                <w:rFonts w:ascii="Calibri" w:hAnsi="Calibri" w:cs="Calibri"/>
                <w:sz w:val="22"/>
                <w:szCs w:val="22"/>
                <w:lang w:eastAsia="en-IN"/>
              </w:rPr>
            </w:pPr>
            <w:r w:rsidRPr="004954F9">
              <w:rPr>
                <w:rFonts w:ascii="Calibri" w:hAnsi="Calibri" w:cs="Calibri"/>
                <w:sz w:val="22"/>
                <w:szCs w:val="22"/>
                <w:lang w:eastAsia="en-IN"/>
              </w:rPr>
              <w:t>9</w:t>
            </w:r>
          </w:p>
        </w:tc>
        <w:tc>
          <w:tcPr>
            <w:tcW w:w="3527" w:type="dxa"/>
            <w:noWrap/>
            <w:tcMar>
              <w:top w:w="0" w:type="dxa"/>
              <w:left w:w="108" w:type="dxa"/>
              <w:bottom w:w="0" w:type="dxa"/>
              <w:right w:w="108" w:type="dxa"/>
            </w:tcMar>
            <w:vAlign w:val="center"/>
            <w:hideMark/>
          </w:tcPr>
          <w:p w14:paraId="721E95BD" w14:textId="77777777" w:rsidR="00423534" w:rsidRPr="004954F9" w:rsidRDefault="00423534" w:rsidP="00423534">
            <w:pPr>
              <w:suppressAutoHyphens/>
              <w:rPr>
                <w:rFonts w:ascii="Calibri" w:hAnsi="Calibri" w:cs="Calibri"/>
                <w:sz w:val="22"/>
                <w:szCs w:val="22"/>
                <w:lang w:eastAsia="en-IN"/>
              </w:rPr>
            </w:pPr>
            <w:r w:rsidRPr="004954F9">
              <w:rPr>
                <w:rFonts w:ascii="Calibri" w:hAnsi="Calibri" w:cs="Calibri"/>
                <w:sz w:val="22"/>
                <w:szCs w:val="22"/>
                <w:lang w:eastAsia="en-IN"/>
              </w:rPr>
              <w:t>Miscellaneous operating income</w:t>
            </w:r>
          </w:p>
        </w:tc>
        <w:tc>
          <w:tcPr>
            <w:tcW w:w="1343" w:type="dxa"/>
            <w:noWrap/>
            <w:tcMar>
              <w:top w:w="0" w:type="dxa"/>
              <w:left w:w="108" w:type="dxa"/>
              <w:bottom w:w="0" w:type="dxa"/>
              <w:right w:w="108" w:type="dxa"/>
            </w:tcMar>
            <w:vAlign w:val="center"/>
            <w:hideMark/>
          </w:tcPr>
          <w:p w14:paraId="1A635E96" w14:textId="77777777" w:rsidR="00423534" w:rsidRPr="004954F9" w:rsidRDefault="00423534" w:rsidP="00423534">
            <w:pPr>
              <w:suppressAutoHyphens/>
              <w:jc w:val="center"/>
              <w:rPr>
                <w:rFonts w:ascii="Calibri" w:hAnsi="Calibri" w:cs="Calibri"/>
                <w:sz w:val="22"/>
                <w:szCs w:val="22"/>
                <w:lang w:eastAsia="en-IN"/>
              </w:rPr>
            </w:pPr>
            <w:r w:rsidRPr="004954F9">
              <w:rPr>
                <w:rFonts w:ascii="Calibri" w:hAnsi="Calibri" w:cs="Calibri"/>
                <w:sz w:val="22"/>
                <w:szCs w:val="22"/>
                <w:lang w:eastAsia="en-IN"/>
              </w:rPr>
              <w:t>3.77</w:t>
            </w:r>
          </w:p>
        </w:tc>
        <w:tc>
          <w:tcPr>
            <w:tcW w:w="0" w:type="auto"/>
            <w:noWrap/>
            <w:tcMar>
              <w:top w:w="0" w:type="dxa"/>
              <w:left w:w="108" w:type="dxa"/>
              <w:bottom w:w="0" w:type="dxa"/>
              <w:right w:w="108" w:type="dxa"/>
            </w:tcMar>
            <w:vAlign w:val="center"/>
            <w:hideMark/>
          </w:tcPr>
          <w:p w14:paraId="71305BC2" w14:textId="77777777" w:rsidR="00423534" w:rsidRPr="004954F9" w:rsidRDefault="00423534" w:rsidP="00423534">
            <w:pPr>
              <w:suppressAutoHyphens/>
              <w:jc w:val="center"/>
              <w:rPr>
                <w:rFonts w:ascii="Calibri" w:hAnsi="Calibri" w:cs="Calibri"/>
                <w:sz w:val="22"/>
                <w:szCs w:val="22"/>
                <w:lang w:eastAsia="en-IN"/>
              </w:rPr>
            </w:pPr>
            <w:r w:rsidRPr="004954F9">
              <w:rPr>
                <w:rFonts w:ascii="Calibri" w:hAnsi="Calibri" w:cs="Calibri"/>
                <w:sz w:val="22"/>
                <w:szCs w:val="22"/>
                <w:lang w:eastAsia="en-IN"/>
              </w:rPr>
              <w:t>3.77</w:t>
            </w:r>
          </w:p>
        </w:tc>
        <w:tc>
          <w:tcPr>
            <w:tcW w:w="0" w:type="auto"/>
            <w:vMerge/>
            <w:vAlign w:val="center"/>
          </w:tcPr>
          <w:p w14:paraId="673D1550" w14:textId="77777777" w:rsidR="00423534" w:rsidRPr="004954F9" w:rsidRDefault="00423534" w:rsidP="00423534">
            <w:pPr>
              <w:suppressAutoHyphens/>
              <w:jc w:val="center"/>
              <w:rPr>
                <w:rFonts w:ascii="Calibri" w:hAnsi="Calibri" w:cs="Calibri"/>
                <w:sz w:val="22"/>
                <w:szCs w:val="22"/>
                <w:lang w:eastAsia="en-IN"/>
              </w:rPr>
            </w:pPr>
          </w:p>
        </w:tc>
        <w:tc>
          <w:tcPr>
            <w:tcW w:w="1129" w:type="dxa"/>
            <w:noWrap/>
            <w:tcMar>
              <w:top w:w="0" w:type="dxa"/>
              <w:left w:w="108" w:type="dxa"/>
              <w:bottom w:w="0" w:type="dxa"/>
              <w:right w:w="108" w:type="dxa"/>
            </w:tcMar>
            <w:vAlign w:val="center"/>
            <w:hideMark/>
          </w:tcPr>
          <w:p w14:paraId="2D67975F" w14:textId="77777777" w:rsidR="00423534" w:rsidRPr="004954F9" w:rsidRDefault="00423534" w:rsidP="00423534">
            <w:pPr>
              <w:suppressAutoHyphens/>
              <w:jc w:val="center"/>
              <w:rPr>
                <w:rFonts w:ascii="Calibri" w:hAnsi="Calibri" w:cs="Calibri"/>
                <w:sz w:val="22"/>
                <w:szCs w:val="22"/>
                <w:lang w:eastAsia="en-IN"/>
              </w:rPr>
            </w:pPr>
            <w:r w:rsidRPr="004954F9">
              <w:rPr>
                <w:rFonts w:ascii="Calibri" w:hAnsi="Calibri" w:cs="Calibri"/>
                <w:sz w:val="22"/>
                <w:szCs w:val="22"/>
                <w:lang w:eastAsia="en-IN"/>
              </w:rPr>
              <w:t>3.77</w:t>
            </w:r>
          </w:p>
        </w:tc>
      </w:tr>
      <w:tr w:rsidR="00423534" w:rsidRPr="004954F9" w14:paraId="32665AC6" w14:textId="77777777" w:rsidTr="003A3206">
        <w:trPr>
          <w:trHeight w:val="233"/>
        </w:trPr>
        <w:tc>
          <w:tcPr>
            <w:tcW w:w="867" w:type="dxa"/>
            <w:noWrap/>
            <w:tcMar>
              <w:top w:w="0" w:type="dxa"/>
              <w:left w:w="108" w:type="dxa"/>
              <w:bottom w:w="0" w:type="dxa"/>
              <w:right w:w="108" w:type="dxa"/>
            </w:tcMar>
            <w:vAlign w:val="center"/>
            <w:hideMark/>
          </w:tcPr>
          <w:p w14:paraId="4375F653" w14:textId="77777777" w:rsidR="00423534" w:rsidRPr="004954F9" w:rsidRDefault="00423534" w:rsidP="00423534">
            <w:pPr>
              <w:suppressAutoHyphens/>
              <w:jc w:val="center"/>
              <w:rPr>
                <w:rFonts w:ascii="Calibri" w:hAnsi="Calibri" w:cs="Calibri"/>
                <w:sz w:val="22"/>
                <w:szCs w:val="22"/>
                <w:lang w:eastAsia="en-IN"/>
              </w:rPr>
            </w:pPr>
            <w:r w:rsidRPr="004954F9">
              <w:rPr>
                <w:rFonts w:ascii="Calibri" w:hAnsi="Calibri" w:cs="Calibri"/>
                <w:sz w:val="22"/>
                <w:szCs w:val="22"/>
                <w:lang w:eastAsia="en-IN"/>
              </w:rPr>
              <w:t>10</w:t>
            </w:r>
          </w:p>
        </w:tc>
        <w:tc>
          <w:tcPr>
            <w:tcW w:w="3527" w:type="dxa"/>
            <w:noWrap/>
            <w:tcMar>
              <w:top w:w="0" w:type="dxa"/>
              <w:left w:w="108" w:type="dxa"/>
              <w:bottom w:w="0" w:type="dxa"/>
              <w:right w:w="108" w:type="dxa"/>
            </w:tcMar>
            <w:vAlign w:val="center"/>
            <w:hideMark/>
          </w:tcPr>
          <w:p w14:paraId="1F77A05A" w14:textId="77777777" w:rsidR="00423534" w:rsidRPr="004954F9" w:rsidRDefault="00423534" w:rsidP="00423534">
            <w:pPr>
              <w:suppressAutoHyphens/>
              <w:rPr>
                <w:rFonts w:ascii="Calibri" w:hAnsi="Calibri" w:cs="Calibri"/>
                <w:sz w:val="22"/>
                <w:szCs w:val="22"/>
                <w:lang w:eastAsia="en-IN"/>
              </w:rPr>
            </w:pPr>
            <w:r w:rsidRPr="004954F9">
              <w:rPr>
                <w:rFonts w:ascii="Calibri" w:hAnsi="Calibri" w:cs="Calibri"/>
                <w:sz w:val="22"/>
                <w:szCs w:val="22"/>
                <w:lang w:eastAsia="en-IN"/>
              </w:rPr>
              <w:t>Interest income</w:t>
            </w:r>
          </w:p>
        </w:tc>
        <w:tc>
          <w:tcPr>
            <w:tcW w:w="1343" w:type="dxa"/>
            <w:noWrap/>
            <w:tcMar>
              <w:top w:w="0" w:type="dxa"/>
              <w:left w:w="108" w:type="dxa"/>
              <w:bottom w:w="0" w:type="dxa"/>
              <w:right w:w="108" w:type="dxa"/>
            </w:tcMar>
            <w:vAlign w:val="center"/>
            <w:hideMark/>
          </w:tcPr>
          <w:p w14:paraId="4B4F5A23" w14:textId="77777777" w:rsidR="00423534" w:rsidRPr="004954F9" w:rsidRDefault="00423534" w:rsidP="00423534">
            <w:pPr>
              <w:suppressAutoHyphens/>
              <w:jc w:val="center"/>
              <w:rPr>
                <w:rFonts w:ascii="Calibri" w:hAnsi="Calibri" w:cs="Calibri"/>
                <w:sz w:val="22"/>
                <w:szCs w:val="22"/>
                <w:lang w:eastAsia="en-IN"/>
              </w:rPr>
            </w:pPr>
            <w:r w:rsidRPr="004954F9">
              <w:rPr>
                <w:rFonts w:ascii="Calibri" w:hAnsi="Calibri" w:cs="Calibri"/>
                <w:sz w:val="22"/>
                <w:szCs w:val="22"/>
                <w:lang w:eastAsia="en-IN"/>
              </w:rPr>
              <w:t>34.46</w:t>
            </w:r>
          </w:p>
        </w:tc>
        <w:tc>
          <w:tcPr>
            <w:tcW w:w="0" w:type="auto"/>
            <w:noWrap/>
            <w:tcMar>
              <w:top w:w="0" w:type="dxa"/>
              <w:left w:w="108" w:type="dxa"/>
              <w:bottom w:w="0" w:type="dxa"/>
              <w:right w:w="108" w:type="dxa"/>
            </w:tcMar>
            <w:vAlign w:val="center"/>
            <w:hideMark/>
          </w:tcPr>
          <w:p w14:paraId="3E41C875" w14:textId="77777777" w:rsidR="00423534" w:rsidRPr="004954F9" w:rsidRDefault="00423534" w:rsidP="00423534">
            <w:pPr>
              <w:suppressAutoHyphens/>
              <w:jc w:val="center"/>
              <w:rPr>
                <w:rFonts w:ascii="Calibri" w:hAnsi="Calibri" w:cs="Calibri"/>
                <w:sz w:val="22"/>
                <w:szCs w:val="22"/>
                <w:lang w:eastAsia="en-IN"/>
              </w:rPr>
            </w:pPr>
            <w:r w:rsidRPr="004954F9">
              <w:rPr>
                <w:rFonts w:ascii="Calibri" w:hAnsi="Calibri" w:cs="Calibri"/>
                <w:sz w:val="22"/>
                <w:szCs w:val="22"/>
                <w:lang w:eastAsia="en-IN"/>
              </w:rPr>
              <w:t>34.46</w:t>
            </w:r>
          </w:p>
        </w:tc>
        <w:tc>
          <w:tcPr>
            <w:tcW w:w="0" w:type="auto"/>
            <w:vMerge/>
            <w:vAlign w:val="center"/>
          </w:tcPr>
          <w:p w14:paraId="7CB3FEE0" w14:textId="77777777" w:rsidR="00423534" w:rsidRPr="004954F9" w:rsidRDefault="00423534" w:rsidP="00423534">
            <w:pPr>
              <w:suppressAutoHyphens/>
              <w:jc w:val="center"/>
              <w:rPr>
                <w:rFonts w:ascii="Calibri" w:hAnsi="Calibri" w:cs="Calibri"/>
                <w:sz w:val="22"/>
                <w:szCs w:val="22"/>
                <w:lang w:eastAsia="en-IN"/>
              </w:rPr>
            </w:pPr>
          </w:p>
        </w:tc>
        <w:tc>
          <w:tcPr>
            <w:tcW w:w="1129" w:type="dxa"/>
            <w:noWrap/>
            <w:tcMar>
              <w:top w:w="0" w:type="dxa"/>
              <w:left w:w="108" w:type="dxa"/>
              <w:bottom w:w="0" w:type="dxa"/>
              <w:right w:w="108" w:type="dxa"/>
            </w:tcMar>
            <w:vAlign w:val="center"/>
            <w:hideMark/>
          </w:tcPr>
          <w:p w14:paraId="2045D76E" w14:textId="77777777" w:rsidR="00423534" w:rsidRPr="004954F9" w:rsidRDefault="00423534" w:rsidP="00423534">
            <w:pPr>
              <w:suppressAutoHyphens/>
              <w:jc w:val="center"/>
              <w:rPr>
                <w:rFonts w:ascii="Calibri" w:hAnsi="Calibri" w:cs="Calibri"/>
                <w:sz w:val="22"/>
                <w:szCs w:val="22"/>
                <w:lang w:eastAsia="en-IN"/>
              </w:rPr>
            </w:pPr>
            <w:r w:rsidRPr="004954F9">
              <w:rPr>
                <w:rFonts w:ascii="Calibri" w:hAnsi="Calibri" w:cs="Calibri"/>
                <w:sz w:val="22"/>
                <w:szCs w:val="22"/>
                <w:lang w:eastAsia="en-IN"/>
              </w:rPr>
              <w:t>34.46</w:t>
            </w:r>
          </w:p>
        </w:tc>
      </w:tr>
      <w:tr w:rsidR="00423534" w:rsidRPr="004954F9" w14:paraId="20A619D5" w14:textId="77777777" w:rsidTr="003A3206">
        <w:trPr>
          <w:trHeight w:val="233"/>
        </w:trPr>
        <w:tc>
          <w:tcPr>
            <w:tcW w:w="867" w:type="dxa"/>
            <w:noWrap/>
            <w:tcMar>
              <w:top w:w="0" w:type="dxa"/>
              <w:left w:w="108" w:type="dxa"/>
              <w:bottom w:w="0" w:type="dxa"/>
              <w:right w:w="108" w:type="dxa"/>
            </w:tcMar>
            <w:vAlign w:val="center"/>
            <w:hideMark/>
          </w:tcPr>
          <w:p w14:paraId="1BB5202B" w14:textId="77777777" w:rsidR="00423534" w:rsidRPr="004954F9" w:rsidRDefault="00423534" w:rsidP="00423534">
            <w:pPr>
              <w:suppressAutoHyphens/>
              <w:jc w:val="center"/>
              <w:rPr>
                <w:rFonts w:ascii="Calibri" w:hAnsi="Calibri" w:cs="Calibri"/>
                <w:sz w:val="22"/>
                <w:szCs w:val="22"/>
                <w:lang w:eastAsia="en-IN"/>
              </w:rPr>
            </w:pPr>
            <w:r w:rsidRPr="004954F9">
              <w:rPr>
                <w:rFonts w:ascii="Calibri" w:hAnsi="Calibri" w:cs="Calibri"/>
                <w:sz w:val="22"/>
                <w:szCs w:val="22"/>
                <w:lang w:eastAsia="en-IN"/>
              </w:rPr>
              <w:t>11</w:t>
            </w:r>
          </w:p>
        </w:tc>
        <w:tc>
          <w:tcPr>
            <w:tcW w:w="3527" w:type="dxa"/>
            <w:noWrap/>
            <w:tcMar>
              <w:top w:w="0" w:type="dxa"/>
              <w:left w:w="108" w:type="dxa"/>
              <w:bottom w:w="0" w:type="dxa"/>
              <w:right w:w="108" w:type="dxa"/>
            </w:tcMar>
            <w:vAlign w:val="center"/>
            <w:hideMark/>
          </w:tcPr>
          <w:p w14:paraId="0E9FDAFB" w14:textId="77777777" w:rsidR="00423534" w:rsidRPr="004954F9" w:rsidRDefault="00423534" w:rsidP="00423534">
            <w:pPr>
              <w:suppressAutoHyphens/>
              <w:rPr>
                <w:rFonts w:ascii="Calibri" w:hAnsi="Calibri" w:cs="Calibri"/>
                <w:sz w:val="22"/>
                <w:szCs w:val="22"/>
                <w:lang w:eastAsia="en-IN"/>
              </w:rPr>
            </w:pPr>
            <w:r w:rsidRPr="004954F9">
              <w:rPr>
                <w:rFonts w:ascii="Calibri" w:hAnsi="Calibri" w:cs="Calibri"/>
                <w:sz w:val="22"/>
                <w:szCs w:val="22"/>
                <w:lang w:eastAsia="en-IN"/>
              </w:rPr>
              <w:t>Delayed payment surcharge</w:t>
            </w:r>
          </w:p>
        </w:tc>
        <w:tc>
          <w:tcPr>
            <w:tcW w:w="1343" w:type="dxa"/>
            <w:noWrap/>
            <w:tcMar>
              <w:top w:w="0" w:type="dxa"/>
              <w:left w:w="108" w:type="dxa"/>
              <w:bottom w:w="0" w:type="dxa"/>
              <w:right w:w="108" w:type="dxa"/>
            </w:tcMar>
            <w:vAlign w:val="center"/>
            <w:hideMark/>
          </w:tcPr>
          <w:p w14:paraId="25A07BFE" w14:textId="77777777" w:rsidR="00423534" w:rsidRPr="004954F9" w:rsidRDefault="00423534" w:rsidP="00423534">
            <w:pPr>
              <w:suppressAutoHyphens/>
              <w:jc w:val="center"/>
              <w:rPr>
                <w:rFonts w:ascii="Calibri" w:hAnsi="Calibri" w:cs="Calibri"/>
                <w:sz w:val="22"/>
                <w:szCs w:val="22"/>
                <w:lang w:eastAsia="en-IN"/>
              </w:rPr>
            </w:pPr>
            <w:r w:rsidRPr="004954F9">
              <w:rPr>
                <w:rFonts w:ascii="Calibri" w:hAnsi="Calibri" w:cs="Calibri"/>
                <w:sz w:val="22"/>
                <w:szCs w:val="22"/>
                <w:lang w:eastAsia="en-IN"/>
              </w:rPr>
              <w:t>5.67</w:t>
            </w:r>
          </w:p>
        </w:tc>
        <w:tc>
          <w:tcPr>
            <w:tcW w:w="0" w:type="auto"/>
            <w:noWrap/>
            <w:tcMar>
              <w:top w:w="0" w:type="dxa"/>
              <w:left w:w="108" w:type="dxa"/>
              <w:bottom w:w="0" w:type="dxa"/>
              <w:right w:w="108" w:type="dxa"/>
            </w:tcMar>
            <w:vAlign w:val="center"/>
            <w:hideMark/>
          </w:tcPr>
          <w:p w14:paraId="18C18A94" w14:textId="77777777" w:rsidR="00423534" w:rsidRPr="004954F9" w:rsidRDefault="00423534" w:rsidP="00423534">
            <w:pPr>
              <w:suppressAutoHyphens/>
              <w:jc w:val="center"/>
              <w:rPr>
                <w:rFonts w:ascii="Calibri" w:hAnsi="Calibri" w:cs="Calibri"/>
                <w:b/>
                <w:sz w:val="22"/>
                <w:szCs w:val="22"/>
                <w:lang w:eastAsia="en-IN"/>
              </w:rPr>
            </w:pPr>
            <w:r w:rsidRPr="004954F9">
              <w:rPr>
                <w:rFonts w:ascii="Calibri" w:hAnsi="Calibri" w:cs="Calibri"/>
                <w:b/>
                <w:sz w:val="22"/>
                <w:szCs w:val="22"/>
                <w:lang w:eastAsia="en-IN"/>
              </w:rPr>
              <w:t>1.89</w:t>
            </w:r>
          </w:p>
        </w:tc>
        <w:tc>
          <w:tcPr>
            <w:tcW w:w="0" w:type="auto"/>
            <w:vMerge/>
            <w:vAlign w:val="center"/>
          </w:tcPr>
          <w:p w14:paraId="53EE184C" w14:textId="77777777" w:rsidR="00423534" w:rsidRPr="004954F9" w:rsidRDefault="00423534" w:rsidP="00423534">
            <w:pPr>
              <w:suppressAutoHyphens/>
              <w:jc w:val="center"/>
              <w:rPr>
                <w:rFonts w:ascii="Calibri" w:hAnsi="Calibri" w:cs="Calibri"/>
                <w:sz w:val="22"/>
                <w:szCs w:val="22"/>
                <w:lang w:eastAsia="en-IN"/>
              </w:rPr>
            </w:pPr>
          </w:p>
        </w:tc>
        <w:tc>
          <w:tcPr>
            <w:tcW w:w="1129" w:type="dxa"/>
            <w:noWrap/>
            <w:tcMar>
              <w:top w:w="0" w:type="dxa"/>
              <w:left w:w="108" w:type="dxa"/>
              <w:bottom w:w="0" w:type="dxa"/>
              <w:right w:w="108" w:type="dxa"/>
            </w:tcMar>
            <w:vAlign w:val="center"/>
            <w:hideMark/>
          </w:tcPr>
          <w:p w14:paraId="7026EEDA" w14:textId="77777777" w:rsidR="00423534" w:rsidRPr="004954F9" w:rsidRDefault="00423534" w:rsidP="00423534">
            <w:pPr>
              <w:suppressAutoHyphens/>
              <w:jc w:val="center"/>
              <w:rPr>
                <w:rFonts w:ascii="Calibri" w:hAnsi="Calibri" w:cs="Calibri"/>
                <w:b/>
                <w:sz w:val="22"/>
                <w:szCs w:val="22"/>
                <w:lang w:eastAsia="en-IN"/>
              </w:rPr>
            </w:pPr>
            <w:r w:rsidRPr="004954F9">
              <w:rPr>
                <w:rFonts w:ascii="Calibri" w:hAnsi="Calibri" w:cs="Calibri"/>
                <w:b/>
                <w:sz w:val="22"/>
                <w:szCs w:val="22"/>
                <w:lang w:eastAsia="en-IN"/>
              </w:rPr>
              <w:t>5.67</w:t>
            </w:r>
          </w:p>
        </w:tc>
      </w:tr>
      <w:tr w:rsidR="00423534" w:rsidRPr="004954F9" w14:paraId="2DDC8BB8" w14:textId="77777777" w:rsidTr="003A3206">
        <w:trPr>
          <w:trHeight w:val="233"/>
        </w:trPr>
        <w:tc>
          <w:tcPr>
            <w:tcW w:w="867" w:type="dxa"/>
            <w:noWrap/>
            <w:tcMar>
              <w:top w:w="0" w:type="dxa"/>
              <w:left w:w="108" w:type="dxa"/>
              <w:bottom w:w="0" w:type="dxa"/>
              <w:right w:w="108" w:type="dxa"/>
            </w:tcMar>
            <w:vAlign w:val="center"/>
            <w:hideMark/>
          </w:tcPr>
          <w:p w14:paraId="1F39C4F1" w14:textId="77777777" w:rsidR="00423534" w:rsidRPr="004954F9" w:rsidRDefault="00423534" w:rsidP="00423534">
            <w:pPr>
              <w:suppressAutoHyphens/>
              <w:jc w:val="center"/>
              <w:rPr>
                <w:rFonts w:ascii="Calibri" w:hAnsi="Calibri" w:cs="Calibri"/>
                <w:sz w:val="22"/>
                <w:szCs w:val="22"/>
                <w:lang w:eastAsia="en-IN"/>
              </w:rPr>
            </w:pPr>
            <w:r w:rsidRPr="004954F9">
              <w:rPr>
                <w:rFonts w:ascii="Calibri" w:hAnsi="Calibri" w:cs="Calibri"/>
                <w:sz w:val="22"/>
                <w:szCs w:val="22"/>
                <w:lang w:eastAsia="en-IN"/>
              </w:rPr>
              <w:t>12</w:t>
            </w:r>
          </w:p>
        </w:tc>
        <w:tc>
          <w:tcPr>
            <w:tcW w:w="3527" w:type="dxa"/>
            <w:noWrap/>
            <w:tcMar>
              <w:top w:w="0" w:type="dxa"/>
              <w:left w:w="108" w:type="dxa"/>
              <w:bottom w:w="0" w:type="dxa"/>
              <w:right w:w="108" w:type="dxa"/>
            </w:tcMar>
            <w:vAlign w:val="center"/>
            <w:hideMark/>
          </w:tcPr>
          <w:p w14:paraId="06450CBF" w14:textId="77777777" w:rsidR="00423534" w:rsidRPr="004954F9" w:rsidRDefault="00423534" w:rsidP="00423534">
            <w:pPr>
              <w:suppressAutoHyphens/>
              <w:rPr>
                <w:rFonts w:ascii="Calibri" w:hAnsi="Calibri" w:cs="Calibri"/>
                <w:sz w:val="22"/>
                <w:szCs w:val="22"/>
                <w:lang w:eastAsia="en-IN"/>
              </w:rPr>
            </w:pPr>
            <w:r w:rsidRPr="004954F9">
              <w:rPr>
                <w:rFonts w:ascii="Calibri" w:hAnsi="Calibri" w:cs="Calibri"/>
                <w:sz w:val="22"/>
                <w:szCs w:val="22"/>
                <w:lang w:eastAsia="en-IN"/>
              </w:rPr>
              <w:t>Other Income</w:t>
            </w:r>
          </w:p>
        </w:tc>
        <w:tc>
          <w:tcPr>
            <w:tcW w:w="1343" w:type="dxa"/>
            <w:noWrap/>
            <w:tcMar>
              <w:top w:w="0" w:type="dxa"/>
              <w:left w:w="108" w:type="dxa"/>
              <w:bottom w:w="0" w:type="dxa"/>
              <w:right w:w="108" w:type="dxa"/>
            </w:tcMar>
            <w:vAlign w:val="center"/>
            <w:hideMark/>
          </w:tcPr>
          <w:p w14:paraId="2206C1E5" w14:textId="77777777" w:rsidR="00423534" w:rsidRPr="004954F9" w:rsidRDefault="00423534" w:rsidP="00423534">
            <w:pPr>
              <w:suppressAutoHyphens/>
              <w:jc w:val="center"/>
              <w:rPr>
                <w:rFonts w:ascii="Calibri" w:hAnsi="Calibri" w:cs="Calibri"/>
                <w:sz w:val="22"/>
                <w:szCs w:val="22"/>
                <w:lang w:eastAsia="en-IN"/>
              </w:rPr>
            </w:pPr>
            <w:r w:rsidRPr="004954F9">
              <w:rPr>
                <w:rFonts w:ascii="Calibri" w:hAnsi="Calibri" w:cs="Calibri"/>
                <w:sz w:val="22"/>
                <w:szCs w:val="22"/>
                <w:lang w:eastAsia="en-IN"/>
              </w:rPr>
              <w:t>5.47</w:t>
            </w:r>
          </w:p>
        </w:tc>
        <w:tc>
          <w:tcPr>
            <w:tcW w:w="0" w:type="auto"/>
            <w:noWrap/>
            <w:tcMar>
              <w:top w:w="0" w:type="dxa"/>
              <w:left w:w="108" w:type="dxa"/>
              <w:bottom w:w="0" w:type="dxa"/>
              <w:right w:w="108" w:type="dxa"/>
            </w:tcMar>
            <w:vAlign w:val="center"/>
            <w:hideMark/>
          </w:tcPr>
          <w:p w14:paraId="7849451B" w14:textId="77777777" w:rsidR="00423534" w:rsidRPr="004954F9" w:rsidRDefault="00423534" w:rsidP="00423534">
            <w:pPr>
              <w:suppressAutoHyphens/>
              <w:jc w:val="center"/>
              <w:rPr>
                <w:rFonts w:ascii="Calibri" w:hAnsi="Calibri" w:cs="Calibri"/>
                <w:sz w:val="22"/>
                <w:szCs w:val="22"/>
                <w:lang w:eastAsia="en-IN"/>
              </w:rPr>
            </w:pPr>
            <w:r w:rsidRPr="004954F9">
              <w:rPr>
                <w:rFonts w:ascii="Calibri" w:hAnsi="Calibri" w:cs="Calibri"/>
                <w:sz w:val="22"/>
                <w:szCs w:val="22"/>
                <w:lang w:eastAsia="en-IN"/>
              </w:rPr>
              <w:t>5.47</w:t>
            </w:r>
          </w:p>
        </w:tc>
        <w:tc>
          <w:tcPr>
            <w:tcW w:w="0" w:type="auto"/>
            <w:vMerge/>
            <w:vAlign w:val="center"/>
          </w:tcPr>
          <w:p w14:paraId="2DED11A0" w14:textId="77777777" w:rsidR="00423534" w:rsidRPr="004954F9" w:rsidRDefault="00423534" w:rsidP="00423534">
            <w:pPr>
              <w:suppressAutoHyphens/>
              <w:jc w:val="center"/>
              <w:rPr>
                <w:rFonts w:ascii="Calibri" w:hAnsi="Calibri" w:cs="Calibri"/>
                <w:sz w:val="22"/>
                <w:szCs w:val="22"/>
                <w:lang w:eastAsia="en-IN"/>
              </w:rPr>
            </w:pPr>
          </w:p>
        </w:tc>
        <w:tc>
          <w:tcPr>
            <w:tcW w:w="1129" w:type="dxa"/>
            <w:noWrap/>
            <w:tcMar>
              <w:top w:w="0" w:type="dxa"/>
              <w:left w:w="108" w:type="dxa"/>
              <w:bottom w:w="0" w:type="dxa"/>
              <w:right w:w="108" w:type="dxa"/>
            </w:tcMar>
            <w:vAlign w:val="center"/>
            <w:hideMark/>
          </w:tcPr>
          <w:p w14:paraId="7AC9E17E" w14:textId="77777777" w:rsidR="00423534" w:rsidRPr="004954F9" w:rsidRDefault="00423534" w:rsidP="00423534">
            <w:pPr>
              <w:suppressAutoHyphens/>
              <w:jc w:val="center"/>
              <w:rPr>
                <w:rFonts w:ascii="Calibri" w:hAnsi="Calibri" w:cs="Calibri"/>
                <w:sz w:val="22"/>
                <w:szCs w:val="22"/>
                <w:lang w:eastAsia="en-IN"/>
              </w:rPr>
            </w:pPr>
            <w:r w:rsidRPr="004954F9">
              <w:rPr>
                <w:rFonts w:ascii="Calibri" w:hAnsi="Calibri" w:cs="Calibri"/>
                <w:sz w:val="22"/>
                <w:szCs w:val="22"/>
                <w:lang w:eastAsia="en-IN"/>
              </w:rPr>
              <w:t>5.47</w:t>
            </w:r>
          </w:p>
        </w:tc>
      </w:tr>
      <w:tr w:rsidR="00423534" w:rsidRPr="004954F9" w14:paraId="0779A017" w14:textId="77777777" w:rsidTr="003A3206">
        <w:trPr>
          <w:trHeight w:val="233"/>
        </w:trPr>
        <w:tc>
          <w:tcPr>
            <w:tcW w:w="867" w:type="dxa"/>
            <w:shd w:val="clear" w:color="auto" w:fill="9CC2E5"/>
            <w:noWrap/>
            <w:tcMar>
              <w:top w:w="0" w:type="dxa"/>
              <w:left w:w="108" w:type="dxa"/>
              <w:bottom w:w="0" w:type="dxa"/>
              <w:right w:w="108" w:type="dxa"/>
            </w:tcMar>
            <w:vAlign w:val="center"/>
            <w:hideMark/>
          </w:tcPr>
          <w:p w14:paraId="00E8EFE2" w14:textId="77777777" w:rsidR="00423534" w:rsidRPr="004954F9" w:rsidRDefault="00423534" w:rsidP="00423534">
            <w:pPr>
              <w:suppressAutoHyphens/>
              <w:rPr>
                <w:rFonts w:ascii="Calibri" w:hAnsi="Calibri" w:cs="Calibri"/>
                <w:sz w:val="22"/>
                <w:szCs w:val="22"/>
                <w:lang w:eastAsia="en-IN"/>
              </w:rPr>
            </w:pPr>
            <w:r w:rsidRPr="004954F9">
              <w:rPr>
                <w:rFonts w:ascii="Calibri" w:hAnsi="Calibri" w:cs="Calibri"/>
                <w:sz w:val="22"/>
                <w:szCs w:val="22"/>
                <w:lang w:eastAsia="en-IN"/>
              </w:rPr>
              <w:t> </w:t>
            </w:r>
          </w:p>
        </w:tc>
        <w:tc>
          <w:tcPr>
            <w:tcW w:w="3527" w:type="dxa"/>
            <w:shd w:val="clear" w:color="auto" w:fill="9CC2E5"/>
            <w:noWrap/>
            <w:tcMar>
              <w:top w:w="0" w:type="dxa"/>
              <w:left w:w="108" w:type="dxa"/>
              <w:bottom w:w="0" w:type="dxa"/>
              <w:right w:w="108" w:type="dxa"/>
            </w:tcMar>
            <w:vAlign w:val="center"/>
            <w:hideMark/>
          </w:tcPr>
          <w:p w14:paraId="03476302" w14:textId="77777777" w:rsidR="00423534" w:rsidRPr="004954F9" w:rsidRDefault="00423534" w:rsidP="00423534">
            <w:pPr>
              <w:suppressAutoHyphens/>
              <w:rPr>
                <w:rFonts w:ascii="Calibri" w:hAnsi="Calibri" w:cs="Calibri"/>
                <w:b/>
                <w:bCs/>
                <w:sz w:val="22"/>
                <w:szCs w:val="22"/>
                <w:lang w:eastAsia="en-IN"/>
              </w:rPr>
            </w:pPr>
            <w:r w:rsidRPr="004954F9">
              <w:rPr>
                <w:rFonts w:ascii="Calibri" w:hAnsi="Calibri" w:cs="Calibri"/>
                <w:b/>
                <w:bCs/>
                <w:sz w:val="22"/>
                <w:szCs w:val="22"/>
                <w:lang w:eastAsia="en-IN"/>
              </w:rPr>
              <w:t>Total</w:t>
            </w:r>
          </w:p>
        </w:tc>
        <w:tc>
          <w:tcPr>
            <w:tcW w:w="1343" w:type="dxa"/>
            <w:shd w:val="clear" w:color="auto" w:fill="9CC2E5"/>
            <w:noWrap/>
            <w:tcMar>
              <w:top w:w="0" w:type="dxa"/>
              <w:left w:w="108" w:type="dxa"/>
              <w:bottom w:w="0" w:type="dxa"/>
              <w:right w:w="108" w:type="dxa"/>
            </w:tcMar>
            <w:vAlign w:val="center"/>
            <w:hideMark/>
          </w:tcPr>
          <w:p w14:paraId="64ADF627" w14:textId="77777777" w:rsidR="00423534" w:rsidRPr="004954F9" w:rsidRDefault="00423534" w:rsidP="00423534">
            <w:pPr>
              <w:suppressAutoHyphens/>
              <w:jc w:val="center"/>
              <w:rPr>
                <w:rFonts w:ascii="Calibri" w:hAnsi="Calibri" w:cs="Calibri"/>
                <w:b/>
                <w:bCs/>
                <w:sz w:val="22"/>
                <w:szCs w:val="22"/>
                <w:lang w:eastAsia="en-IN"/>
              </w:rPr>
            </w:pPr>
            <w:r w:rsidRPr="004954F9">
              <w:rPr>
                <w:rFonts w:ascii="Calibri" w:hAnsi="Calibri" w:cs="Calibri"/>
                <w:b/>
                <w:bCs/>
                <w:sz w:val="22"/>
                <w:szCs w:val="22"/>
                <w:lang w:eastAsia="en-IN"/>
              </w:rPr>
              <w:t>239.52</w:t>
            </w:r>
          </w:p>
        </w:tc>
        <w:tc>
          <w:tcPr>
            <w:tcW w:w="0" w:type="auto"/>
            <w:shd w:val="clear" w:color="auto" w:fill="9CC2E5"/>
            <w:noWrap/>
            <w:tcMar>
              <w:top w:w="0" w:type="dxa"/>
              <w:left w:w="108" w:type="dxa"/>
              <w:bottom w:w="0" w:type="dxa"/>
              <w:right w:w="108" w:type="dxa"/>
            </w:tcMar>
            <w:vAlign w:val="center"/>
            <w:hideMark/>
          </w:tcPr>
          <w:p w14:paraId="00C924E0" w14:textId="77777777" w:rsidR="00423534" w:rsidRPr="004954F9" w:rsidRDefault="00423534" w:rsidP="00423534">
            <w:pPr>
              <w:suppressAutoHyphens/>
              <w:jc w:val="center"/>
              <w:rPr>
                <w:rFonts w:ascii="Calibri" w:hAnsi="Calibri" w:cs="Calibri"/>
                <w:b/>
                <w:bCs/>
                <w:sz w:val="22"/>
                <w:szCs w:val="22"/>
                <w:lang w:eastAsia="en-IN"/>
              </w:rPr>
            </w:pPr>
            <w:r w:rsidRPr="004954F9">
              <w:rPr>
                <w:rFonts w:ascii="Calibri" w:hAnsi="Calibri" w:cs="Calibri"/>
                <w:b/>
                <w:bCs/>
                <w:sz w:val="22"/>
                <w:szCs w:val="22"/>
                <w:lang w:eastAsia="en-IN"/>
              </w:rPr>
              <w:t>140.49</w:t>
            </w:r>
          </w:p>
        </w:tc>
        <w:tc>
          <w:tcPr>
            <w:tcW w:w="0" w:type="auto"/>
            <w:shd w:val="clear" w:color="auto" w:fill="9CC2E5"/>
          </w:tcPr>
          <w:p w14:paraId="3F98636A" w14:textId="77777777" w:rsidR="00423534" w:rsidRPr="004954F9" w:rsidRDefault="00423534" w:rsidP="00423534">
            <w:pPr>
              <w:suppressAutoHyphens/>
              <w:jc w:val="center"/>
              <w:rPr>
                <w:rFonts w:ascii="Calibri" w:hAnsi="Calibri" w:cs="Calibri"/>
                <w:b/>
                <w:bCs/>
                <w:sz w:val="22"/>
                <w:szCs w:val="22"/>
                <w:lang w:eastAsia="en-IN"/>
              </w:rPr>
            </w:pPr>
            <w:r w:rsidRPr="004954F9">
              <w:rPr>
                <w:rFonts w:ascii="Calibri" w:hAnsi="Calibri" w:cs="Calibri"/>
                <w:b/>
                <w:bCs/>
                <w:sz w:val="22"/>
                <w:szCs w:val="22"/>
                <w:lang w:eastAsia="en-IN"/>
              </w:rPr>
              <w:t>140.43</w:t>
            </w:r>
          </w:p>
        </w:tc>
        <w:tc>
          <w:tcPr>
            <w:tcW w:w="1129" w:type="dxa"/>
            <w:shd w:val="clear" w:color="auto" w:fill="9CC2E5"/>
            <w:noWrap/>
            <w:tcMar>
              <w:top w:w="0" w:type="dxa"/>
              <w:left w:w="108" w:type="dxa"/>
              <w:bottom w:w="0" w:type="dxa"/>
              <w:right w:w="108" w:type="dxa"/>
            </w:tcMar>
            <w:vAlign w:val="center"/>
            <w:hideMark/>
          </w:tcPr>
          <w:p w14:paraId="542AC2A2" w14:textId="77777777" w:rsidR="00423534" w:rsidRPr="004954F9" w:rsidRDefault="00423534" w:rsidP="00423534">
            <w:pPr>
              <w:suppressAutoHyphens/>
              <w:jc w:val="center"/>
              <w:rPr>
                <w:rFonts w:ascii="Calibri" w:hAnsi="Calibri" w:cs="Calibri"/>
                <w:b/>
                <w:bCs/>
                <w:sz w:val="22"/>
                <w:szCs w:val="22"/>
                <w:lang w:eastAsia="en-IN"/>
              </w:rPr>
            </w:pPr>
            <w:r w:rsidRPr="004954F9">
              <w:rPr>
                <w:rFonts w:ascii="Calibri" w:hAnsi="Calibri" w:cs="Calibri"/>
                <w:b/>
                <w:bCs/>
                <w:sz w:val="22"/>
                <w:szCs w:val="22"/>
                <w:lang w:eastAsia="en-IN"/>
              </w:rPr>
              <w:t>133.91</w:t>
            </w:r>
          </w:p>
        </w:tc>
      </w:tr>
    </w:tbl>
    <w:p w14:paraId="5FFF40A9" w14:textId="77777777" w:rsidR="00423534" w:rsidRPr="004954F9" w:rsidRDefault="00423534" w:rsidP="00423534">
      <w:pPr>
        <w:suppressAutoHyphens/>
        <w:spacing w:line="360" w:lineRule="auto"/>
        <w:jc w:val="both"/>
        <w:rPr>
          <w:rFonts w:ascii="Arial" w:hAnsi="Arial" w:cs="Arial"/>
          <w:sz w:val="22"/>
          <w:szCs w:val="22"/>
        </w:rPr>
      </w:pPr>
    </w:p>
    <w:p w14:paraId="089AF823" w14:textId="0EF43C06" w:rsidR="00423534" w:rsidRPr="00B602FC" w:rsidRDefault="00423534" w:rsidP="00B602FC">
      <w:pPr>
        <w:suppressAutoHyphens/>
        <w:spacing w:line="360" w:lineRule="auto"/>
        <w:ind w:left="851"/>
        <w:jc w:val="both"/>
        <w:rPr>
          <w:rFonts w:asciiTheme="minorHAnsi" w:hAnsiTheme="minorHAnsi" w:cs="Arial"/>
          <w:sz w:val="22"/>
          <w:szCs w:val="22"/>
        </w:rPr>
      </w:pPr>
      <w:r w:rsidRPr="004954F9">
        <w:rPr>
          <w:rFonts w:asciiTheme="minorHAnsi" w:hAnsiTheme="minorHAnsi" w:cs="Arial"/>
          <w:sz w:val="22"/>
          <w:szCs w:val="22"/>
        </w:rPr>
        <w:t xml:space="preserve">In light of the above, it is humbly prayed that the Hon’ble Commission may kindly approve the Non-Tariff Income of Rs. 133.91 Cr that has been computed as per the Provision of the Tariff </w:t>
      </w:r>
      <w:r w:rsidRPr="004954F9">
        <w:rPr>
          <w:rFonts w:asciiTheme="minorHAnsi" w:hAnsiTheme="minorHAnsi" w:cs="Arial"/>
          <w:sz w:val="22"/>
          <w:szCs w:val="22"/>
        </w:rPr>
        <w:lastRenderedPageBreak/>
        <w:t>Regulations, 2022 in place of Rs. 140.43 Cr which was approved in Tariff Order dated 13</w:t>
      </w:r>
      <w:r w:rsidRPr="004954F9">
        <w:rPr>
          <w:rFonts w:asciiTheme="minorHAnsi" w:hAnsiTheme="minorHAnsi" w:cs="Arial"/>
          <w:sz w:val="22"/>
          <w:szCs w:val="22"/>
          <w:vertAlign w:val="superscript"/>
        </w:rPr>
        <w:t>th</w:t>
      </w:r>
      <w:r w:rsidRPr="004954F9">
        <w:rPr>
          <w:rFonts w:asciiTheme="minorHAnsi" w:hAnsiTheme="minorHAnsi" w:cs="Arial"/>
          <w:sz w:val="22"/>
          <w:szCs w:val="22"/>
        </w:rPr>
        <w:t xml:space="preserve"> Feb 2024. </w:t>
      </w:r>
    </w:p>
    <w:p w14:paraId="3C2DFEA7" w14:textId="1B61B89E" w:rsidR="00423534" w:rsidRPr="004954F9" w:rsidRDefault="00C25C59" w:rsidP="00423534">
      <w:pPr>
        <w:tabs>
          <w:tab w:val="left" w:pos="426"/>
        </w:tabs>
        <w:suppressAutoHyphens/>
        <w:spacing w:before="120" w:after="120" w:line="360" w:lineRule="auto"/>
        <w:ind w:left="567" w:right="-23"/>
        <w:jc w:val="center"/>
        <w:rPr>
          <w:rFonts w:asciiTheme="minorHAnsi" w:hAnsiTheme="minorHAnsi" w:cs="Arial"/>
          <w:sz w:val="22"/>
          <w:szCs w:val="22"/>
        </w:rPr>
      </w:pPr>
      <w:r>
        <w:rPr>
          <w:rFonts w:asciiTheme="minorHAnsi" w:hAnsiTheme="minorHAnsi" w:cs="Arial"/>
          <w:b/>
          <w:sz w:val="22"/>
          <w:szCs w:val="22"/>
          <w:lang w:val="en-GB"/>
        </w:rPr>
        <w:t xml:space="preserve">                                  </w:t>
      </w:r>
      <w:r w:rsidR="00423534" w:rsidRPr="004954F9">
        <w:rPr>
          <w:rFonts w:asciiTheme="minorHAnsi" w:hAnsiTheme="minorHAnsi" w:cs="Arial"/>
          <w:b/>
          <w:sz w:val="22"/>
          <w:szCs w:val="22"/>
          <w:lang w:val="en-GB"/>
        </w:rPr>
        <w:t xml:space="preserve">Table- </w:t>
      </w:r>
      <w:r w:rsidR="00B602FC">
        <w:rPr>
          <w:rFonts w:asciiTheme="minorHAnsi" w:hAnsiTheme="minorHAnsi" w:cs="Arial"/>
          <w:b/>
          <w:sz w:val="22"/>
          <w:szCs w:val="22"/>
          <w:lang w:val="en-GB"/>
        </w:rPr>
        <w:t>48</w:t>
      </w:r>
      <w:r w:rsidR="00423534" w:rsidRPr="004954F9">
        <w:rPr>
          <w:rFonts w:asciiTheme="minorHAnsi" w:hAnsiTheme="minorHAnsi" w:cs="Arial"/>
          <w:b/>
          <w:sz w:val="22"/>
          <w:szCs w:val="22"/>
          <w:lang w:val="en-GB"/>
        </w:rPr>
        <w:t xml:space="preserve">: </w:t>
      </w:r>
      <w:r>
        <w:rPr>
          <w:rFonts w:asciiTheme="minorHAnsi" w:hAnsiTheme="minorHAnsi" w:cs="Arial"/>
          <w:b/>
          <w:sz w:val="22"/>
          <w:szCs w:val="22"/>
          <w:lang w:val="en-GB"/>
        </w:rPr>
        <w:t>NTI_FY 21-22-</w:t>
      </w:r>
      <w:r w:rsidR="00423534" w:rsidRPr="004954F9">
        <w:rPr>
          <w:rFonts w:asciiTheme="minorHAnsi" w:hAnsiTheme="minorHAnsi" w:cs="Arial"/>
          <w:b/>
          <w:sz w:val="22"/>
          <w:szCs w:val="22"/>
          <w:lang w:val="en-GB"/>
        </w:rPr>
        <w:t xml:space="preserve">Approved vis-à-vis- Now Proposed              </w:t>
      </w:r>
      <w:proofErr w:type="gramStart"/>
      <w:r w:rsidR="00423534" w:rsidRPr="004954F9">
        <w:rPr>
          <w:rFonts w:asciiTheme="minorHAnsi" w:hAnsiTheme="minorHAnsi" w:cs="Arial"/>
          <w:b/>
          <w:sz w:val="22"/>
          <w:szCs w:val="22"/>
          <w:lang w:val="en-GB"/>
        </w:rPr>
        <w:t xml:space="preserve">  </w:t>
      </w:r>
      <w:r w:rsidR="00423534" w:rsidRPr="004954F9">
        <w:rPr>
          <w:rFonts w:asciiTheme="minorHAnsi" w:hAnsiTheme="minorHAnsi" w:cs="Arial"/>
          <w:b/>
          <w:bCs/>
          <w:sz w:val="22"/>
          <w:szCs w:val="22"/>
        </w:rPr>
        <w:t xml:space="preserve"> (</w:t>
      </w:r>
      <w:proofErr w:type="gramEnd"/>
      <w:r w:rsidR="00423534" w:rsidRPr="004954F9">
        <w:rPr>
          <w:rFonts w:asciiTheme="minorHAnsi" w:hAnsiTheme="minorHAnsi" w:cs="Arial"/>
          <w:b/>
          <w:bCs/>
          <w:sz w:val="22"/>
          <w:szCs w:val="22"/>
        </w:rPr>
        <w:t xml:space="preserve">In Rs. </w:t>
      </w:r>
      <w:proofErr w:type="spellStart"/>
      <w:r w:rsidR="00423534" w:rsidRPr="004954F9">
        <w:rPr>
          <w:rFonts w:asciiTheme="minorHAnsi" w:hAnsiTheme="minorHAnsi" w:cs="Arial"/>
          <w:b/>
          <w:bCs/>
          <w:sz w:val="22"/>
          <w:szCs w:val="22"/>
        </w:rPr>
        <w:t>Crs</w:t>
      </w:r>
      <w:proofErr w:type="spellEnd"/>
      <w:r w:rsidR="00423534" w:rsidRPr="004954F9">
        <w:rPr>
          <w:rFonts w:asciiTheme="minorHAnsi" w:hAnsiTheme="minorHAnsi" w:cs="Arial"/>
          <w:b/>
          <w:bCs/>
          <w:sz w:val="22"/>
          <w:szCs w:val="22"/>
        </w:rPr>
        <w:t>)</w:t>
      </w:r>
    </w:p>
    <w:tbl>
      <w:tblPr>
        <w:tblStyle w:val="TableGrid4"/>
        <w:tblW w:w="8910" w:type="dxa"/>
        <w:tblInd w:w="846" w:type="dxa"/>
        <w:tblLayout w:type="fixed"/>
        <w:tblLook w:val="04A0" w:firstRow="1" w:lastRow="0" w:firstColumn="1" w:lastColumn="0" w:noHBand="0" w:noVBand="1"/>
      </w:tblPr>
      <w:tblGrid>
        <w:gridCol w:w="2772"/>
        <w:gridCol w:w="3067"/>
        <w:gridCol w:w="3071"/>
      </w:tblGrid>
      <w:tr w:rsidR="00423534" w:rsidRPr="004954F9" w14:paraId="41E2C8E0" w14:textId="77777777" w:rsidTr="00423534">
        <w:trPr>
          <w:trHeight w:val="727"/>
        </w:trPr>
        <w:tc>
          <w:tcPr>
            <w:tcW w:w="2772" w:type="dxa"/>
            <w:shd w:val="clear" w:color="auto" w:fill="9CC2E5"/>
          </w:tcPr>
          <w:p w14:paraId="4B8F1F63" w14:textId="77777777" w:rsidR="00423534" w:rsidRPr="004954F9" w:rsidRDefault="00423534" w:rsidP="00423534">
            <w:pPr>
              <w:tabs>
                <w:tab w:val="left" w:pos="426"/>
              </w:tabs>
              <w:spacing w:line="360" w:lineRule="auto"/>
              <w:ind w:right="-23"/>
              <w:jc w:val="center"/>
              <w:rPr>
                <w:rFonts w:asciiTheme="minorHAnsi" w:hAnsiTheme="minorHAnsi" w:cs="Arial"/>
                <w:b/>
                <w:bCs/>
                <w:sz w:val="22"/>
                <w:szCs w:val="22"/>
              </w:rPr>
            </w:pPr>
            <w:r w:rsidRPr="004954F9">
              <w:rPr>
                <w:rFonts w:asciiTheme="minorHAnsi" w:hAnsiTheme="minorHAnsi" w:cs="Arial"/>
                <w:b/>
                <w:bCs/>
                <w:sz w:val="22"/>
                <w:szCs w:val="22"/>
              </w:rPr>
              <w:t xml:space="preserve">Approved </w:t>
            </w:r>
            <w:proofErr w:type="gramStart"/>
            <w:r w:rsidRPr="004954F9">
              <w:rPr>
                <w:rFonts w:asciiTheme="minorHAnsi" w:hAnsiTheme="minorHAnsi" w:cs="Arial"/>
                <w:b/>
                <w:bCs/>
                <w:sz w:val="22"/>
                <w:szCs w:val="22"/>
              </w:rPr>
              <w:t>in  truing</w:t>
            </w:r>
            <w:proofErr w:type="gramEnd"/>
            <w:r w:rsidRPr="004954F9">
              <w:rPr>
                <w:rFonts w:asciiTheme="minorHAnsi" w:hAnsiTheme="minorHAnsi" w:cs="Arial"/>
                <w:b/>
                <w:bCs/>
                <w:sz w:val="22"/>
                <w:szCs w:val="22"/>
              </w:rPr>
              <w:t xml:space="preserve"> up FY</w:t>
            </w:r>
            <w:r>
              <w:rPr>
                <w:rFonts w:asciiTheme="minorHAnsi" w:hAnsiTheme="minorHAnsi" w:cs="Arial"/>
                <w:b/>
                <w:bCs/>
                <w:sz w:val="22"/>
                <w:szCs w:val="22"/>
              </w:rPr>
              <w:t xml:space="preserve"> </w:t>
            </w:r>
            <w:r w:rsidRPr="004954F9">
              <w:rPr>
                <w:rFonts w:asciiTheme="minorHAnsi" w:hAnsiTheme="minorHAnsi" w:cs="Arial"/>
                <w:b/>
                <w:bCs/>
                <w:sz w:val="22"/>
                <w:szCs w:val="22"/>
              </w:rPr>
              <w:t>2</w:t>
            </w:r>
            <w:r>
              <w:rPr>
                <w:rFonts w:asciiTheme="minorHAnsi" w:hAnsiTheme="minorHAnsi" w:cs="Arial"/>
                <w:b/>
                <w:bCs/>
                <w:sz w:val="22"/>
                <w:szCs w:val="22"/>
              </w:rPr>
              <w:t>02</w:t>
            </w:r>
            <w:r w:rsidRPr="004954F9">
              <w:rPr>
                <w:rFonts w:asciiTheme="minorHAnsi" w:hAnsiTheme="minorHAnsi" w:cs="Arial"/>
                <w:b/>
                <w:bCs/>
                <w:sz w:val="22"/>
                <w:szCs w:val="22"/>
              </w:rPr>
              <w:t>1-22</w:t>
            </w:r>
          </w:p>
        </w:tc>
        <w:tc>
          <w:tcPr>
            <w:tcW w:w="3067" w:type="dxa"/>
            <w:shd w:val="clear" w:color="auto" w:fill="9CC2E5"/>
          </w:tcPr>
          <w:p w14:paraId="4CB4072F" w14:textId="77777777" w:rsidR="00423534" w:rsidRPr="004954F9" w:rsidRDefault="00423534" w:rsidP="00423534">
            <w:pPr>
              <w:tabs>
                <w:tab w:val="left" w:pos="426"/>
              </w:tabs>
              <w:spacing w:line="360" w:lineRule="auto"/>
              <w:ind w:right="-23"/>
              <w:jc w:val="center"/>
              <w:rPr>
                <w:rFonts w:asciiTheme="minorHAnsi" w:hAnsiTheme="minorHAnsi" w:cs="Arial"/>
                <w:b/>
                <w:bCs/>
                <w:sz w:val="22"/>
                <w:szCs w:val="22"/>
              </w:rPr>
            </w:pPr>
            <w:r w:rsidRPr="004954F9">
              <w:rPr>
                <w:rFonts w:asciiTheme="minorHAnsi" w:hAnsiTheme="minorHAnsi" w:cs="Arial"/>
                <w:b/>
                <w:bCs/>
                <w:sz w:val="22"/>
                <w:szCs w:val="22"/>
              </w:rPr>
              <w:t>Now Proposed</w:t>
            </w:r>
          </w:p>
        </w:tc>
        <w:tc>
          <w:tcPr>
            <w:tcW w:w="3071" w:type="dxa"/>
            <w:shd w:val="clear" w:color="auto" w:fill="9CC2E5"/>
          </w:tcPr>
          <w:p w14:paraId="31847755" w14:textId="77777777" w:rsidR="00423534" w:rsidRPr="004954F9" w:rsidRDefault="00423534" w:rsidP="00423534">
            <w:pPr>
              <w:tabs>
                <w:tab w:val="left" w:pos="426"/>
              </w:tabs>
              <w:spacing w:line="360" w:lineRule="auto"/>
              <w:ind w:right="-23"/>
              <w:jc w:val="center"/>
              <w:rPr>
                <w:rFonts w:asciiTheme="minorHAnsi" w:hAnsiTheme="minorHAnsi" w:cs="Arial"/>
                <w:b/>
                <w:bCs/>
                <w:sz w:val="22"/>
                <w:szCs w:val="22"/>
              </w:rPr>
            </w:pPr>
            <w:r w:rsidRPr="004954F9">
              <w:rPr>
                <w:rFonts w:asciiTheme="minorHAnsi" w:hAnsiTheme="minorHAnsi" w:cs="Arial"/>
                <w:b/>
                <w:bCs/>
                <w:sz w:val="22"/>
                <w:szCs w:val="22"/>
              </w:rPr>
              <w:t>Difference</w:t>
            </w:r>
          </w:p>
        </w:tc>
      </w:tr>
      <w:tr w:rsidR="00423534" w:rsidRPr="004954F9" w14:paraId="71BF485F" w14:textId="77777777" w:rsidTr="00423534">
        <w:trPr>
          <w:trHeight w:val="370"/>
        </w:trPr>
        <w:tc>
          <w:tcPr>
            <w:tcW w:w="2772" w:type="dxa"/>
          </w:tcPr>
          <w:p w14:paraId="344120C7" w14:textId="77777777" w:rsidR="00423534" w:rsidRPr="004954F9" w:rsidRDefault="00423534" w:rsidP="00423534">
            <w:pPr>
              <w:tabs>
                <w:tab w:val="left" w:pos="426"/>
              </w:tabs>
              <w:spacing w:line="360" w:lineRule="auto"/>
              <w:ind w:right="-23"/>
              <w:jc w:val="center"/>
              <w:rPr>
                <w:rFonts w:asciiTheme="minorHAnsi" w:hAnsiTheme="minorHAnsi" w:cs="Arial"/>
                <w:b/>
                <w:bCs/>
                <w:sz w:val="22"/>
                <w:szCs w:val="22"/>
              </w:rPr>
            </w:pPr>
            <w:r w:rsidRPr="004954F9">
              <w:rPr>
                <w:rFonts w:asciiTheme="minorHAnsi" w:hAnsiTheme="minorHAnsi" w:cs="Arial"/>
                <w:b/>
                <w:bCs/>
                <w:sz w:val="22"/>
                <w:szCs w:val="22"/>
              </w:rPr>
              <w:t>140.43</w:t>
            </w:r>
          </w:p>
        </w:tc>
        <w:tc>
          <w:tcPr>
            <w:tcW w:w="3067" w:type="dxa"/>
          </w:tcPr>
          <w:p w14:paraId="41933F3F" w14:textId="77777777" w:rsidR="00423534" w:rsidRPr="004954F9" w:rsidRDefault="00423534" w:rsidP="00423534">
            <w:pPr>
              <w:tabs>
                <w:tab w:val="left" w:pos="426"/>
              </w:tabs>
              <w:spacing w:line="360" w:lineRule="auto"/>
              <w:ind w:right="-23"/>
              <w:jc w:val="center"/>
              <w:rPr>
                <w:rFonts w:asciiTheme="minorHAnsi" w:hAnsiTheme="minorHAnsi" w:cs="Arial"/>
                <w:b/>
                <w:bCs/>
                <w:sz w:val="22"/>
                <w:szCs w:val="22"/>
              </w:rPr>
            </w:pPr>
            <w:r w:rsidRPr="004954F9">
              <w:rPr>
                <w:rFonts w:asciiTheme="minorHAnsi" w:hAnsiTheme="minorHAnsi" w:cs="Arial"/>
                <w:b/>
                <w:bCs/>
                <w:sz w:val="22"/>
                <w:szCs w:val="22"/>
              </w:rPr>
              <w:t>133.91</w:t>
            </w:r>
          </w:p>
        </w:tc>
        <w:tc>
          <w:tcPr>
            <w:tcW w:w="3071" w:type="dxa"/>
          </w:tcPr>
          <w:p w14:paraId="48EE1C44" w14:textId="77777777" w:rsidR="00423534" w:rsidRPr="004954F9" w:rsidRDefault="00423534" w:rsidP="00423534">
            <w:pPr>
              <w:tabs>
                <w:tab w:val="left" w:pos="426"/>
              </w:tabs>
              <w:spacing w:line="360" w:lineRule="auto"/>
              <w:ind w:right="-23"/>
              <w:jc w:val="center"/>
              <w:rPr>
                <w:rFonts w:asciiTheme="minorHAnsi" w:hAnsiTheme="minorHAnsi" w:cs="Arial"/>
                <w:b/>
                <w:bCs/>
                <w:sz w:val="22"/>
                <w:szCs w:val="22"/>
              </w:rPr>
            </w:pPr>
            <w:r w:rsidRPr="004954F9">
              <w:rPr>
                <w:rFonts w:asciiTheme="minorHAnsi" w:hAnsiTheme="minorHAnsi" w:cs="Arial"/>
                <w:b/>
                <w:bCs/>
                <w:sz w:val="22"/>
                <w:szCs w:val="22"/>
              </w:rPr>
              <w:t>6.52</w:t>
            </w:r>
          </w:p>
        </w:tc>
      </w:tr>
    </w:tbl>
    <w:p w14:paraId="52486563" w14:textId="715BC05D" w:rsidR="00423534" w:rsidRDefault="00423534" w:rsidP="00423534">
      <w:pPr>
        <w:suppressAutoHyphens/>
        <w:spacing w:line="360" w:lineRule="auto"/>
        <w:jc w:val="both"/>
        <w:rPr>
          <w:rFonts w:asciiTheme="minorHAnsi" w:hAnsiTheme="minorHAnsi" w:cs="Arial"/>
          <w:sz w:val="22"/>
          <w:szCs w:val="22"/>
        </w:rPr>
      </w:pPr>
    </w:p>
    <w:p w14:paraId="57D14BB6" w14:textId="440903BA" w:rsidR="00416351" w:rsidRPr="00A2402F" w:rsidRDefault="00416351" w:rsidP="00416351">
      <w:pPr>
        <w:pStyle w:val="FrameContents"/>
        <w:rPr>
          <w:rFonts w:asciiTheme="minorHAnsi" w:hAnsiTheme="minorHAnsi" w:cs="Arial"/>
          <w:b/>
          <w:sz w:val="28"/>
          <w:szCs w:val="28"/>
        </w:rPr>
      </w:pPr>
      <w:r w:rsidRPr="00A2402F">
        <w:rPr>
          <w:rFonts w:ascii="Arial" w:hAnsi="Arial" w:cs="Arial"/>
          <w:b/>
          <w:sz w:val="28"/>
          <w:szCs w:val="28"/>
        </w:rPr>
        <w:t xml:space="preserve">         </w:t>
      </w:r>
      <w:r w:rsidR="00A2402F" w:rsidRPr="00A2402F">
        <w:rPr>
          <w:rFonts w:ascii="Arial" w:hAnsi="Arial" w:cs="Arial"/>
          <w:b/>
          <w:sz w:val="28"/>
          <w:szCs w:val="28"/>
        </w:rPr>
        <w:t xml:space="preserve">  </w:t>
      </w:r>
      <w:r w:rsidRPr="00A2402F">
        <w:rPr>
          <w:rFonts w:asciiTheme="minorHAnsi" w:hAnsiTheme="minorHAnsi" w:cs="Arial"/>
          <w:b/>
          <w:sz w:val="24"/>
          <w:szCs w:val="28"/>
        </w:rPr>
        <w:t>5.2.2</w:t>
      </w:r>
      <w:r w:rsidRPr="00A2402F">
        <w:rPr>
          <w:rFonts w:asciiTheme="minorHAnsi" w:hAnsiTheme="minorHAnsi" w:cs="Arial"/>
          <w:sz w:val="22"/>
          <w:szCs w:val="22"/>
        </w:rPr>
        <w:t xml:space="preserve"> </w:t>
      </w:r>
      <w:r w:rsidRPr="00A2402F">
        <w:rPr>
          <w:rFonts w:asciiTheme="minorHAnsi" w:hAnsiTheme="minorHAnsi" w:cs="Arial"/>
          <w:b/>
          <w:sz w:val="24"/>
          <w:szCs w:val="28"/>
        </w:rPr>
        <w:t>Issues Pertaining to Truing up FY 2022-23</w:t>
      </w:r>
    </w:p>
    <w:p w14:paraId="67EF972F" w14:textId="0CCA4F74" w:rsidR="00416351" w:rsidRDefault="00416351" w:rsidP="00423534">
      <w:pPr>
        <w:suppressAutoHyphens/>
        <w:spacing w:line="360" w:lineRule="auto"/>
        <w:jc w:val="both"/>
        <w:rPr>
          <w:rFonts w:asciiTheme="minorHAnsi" w:hAnsiTheme="minorHAnsi" w:cs="Arial"/>
          <w:sz w:val="22"/>
          <w:szCs w:val="22"/>
        </w:rPr>
      </w:pPr>
    </w:p>
    <w:p w14:paraId="43FBBB7F" w14:textId="77777777" w:rsidR="00423534" w:rsidRDefault="00423534" w:rsidP="00AB536C">
      <w:pPr>
        <w:numPr>
          <w:ilvl w:val="0"/>
          <w:numId w:val="55"/>
        </w:numPr>
        <w:tabs>
          <w:tab w:val="left" w:pos="1134"/>
        </w:tabs>
        <w:suppressAutoHyphens/>
        <w:spacing w:line="360" w:lineRule="auto"/>
        <w:ind w:left="567" w:firstLine="142"/>
        <w:contextualSpacing/>
        <w:jc w:val="both"/>
        <w:rPr>
          <w:rFonts w:asciiTheme="minorHAnsi" w:hAnsiTheme="minorHAnsi" w:cs="Arial"/>
          <w:b/>
          <w:bCs/>
          <w:iCs/>
          <w:sz w:val="22"/>
          <w:szCs w:val="22"/>
          <w:lang w:val="en-IN"/>
        </w:rPr>
      </w:pPr>
      <w:r w:rsidRPr="004954F9">
        <w:rPr>
          <w:rFonts w:ascii="Arial" w:hAnsi="Arial" w:cs="Arial"/>
          <w:b/>
          <w:bCs/>
          <w:iCs/>
          <w:sz w:val="22"/>
          <w:szCs w:val="22"/>
          <w:lang w:val="en-IN"/>
        </w:rPr>
        <w:t xml:space="preserve"> </w:t>
      </w:r>
      <w:r w:rsidRPr="004954F9">
        <w:rPr>
          <w:rFonts w:asciiTheme="minorHAnsi" w:hAnsiTheme="minorHAnsi" w:cs="Arial"/>
          <w:b/>
          <w:bCs/>
          <w:iCs/>
          <w:sz w:val="22"/>
          <w:szCs w:val="22"/>
          <w:lang w:val="en-IN"/>
        </w:rPr>
        <w:t>Employee Expenditure:</w:t>
      </w:r>
    </w:p>
    <w:p w14:paraId="2B54D074" w14:textId="77777777" w:rsidR="00423534" w:rsidRPr="001F29D8" w:rsidRDefault="00423534" w:rsidP="00423534">
      <w:pPr>
        <w:tabs>
          <w:tab w:val="left" w:pos="1134"/>
        </w:tabs>
        <w:suppressAutoHyphens/>
        <w:spacing w:line="360" w:lineRule="auto"/>
        <w:ind w:left="709"/>
        <w:contextualSpacing/>
        <w:jc w:val="both"/>
        <w:rPr>
          <w:rFonts w:asciiTheme="minorHAnsi" w:hAnsiTheme="minorHAnsi" w:cs="Arial"/>
          <w:b/>
          <w:bCs/>
          <w:iCs/>
          <w:sz w:val="22"/>
          <w:szCs w:val="22"/>
          <w:lang w:val="en-IN"/>
        </w:rPr>
      </w:pPr>
    </w:p>
    <w:p w14:paraId="6FCDB965" w14:textId="77777777" w:rsidR="00423534" w:rsidRPr="004954F9" w:rsidRDefault="00423534" w:rsidP="00423534">
      <w:pPr>
        <w:suppressAutoHyphens/>
        <w:spacing w:line="360" w:lineRule="auto"/>
        <w:ind w:left="709"/>
        <w:contextualSpacing/>
        <w:jc w:val="both"/>
        <w:rPr>
          <w:rFonts w:asciiTheme="minorHAnsi" w:hAnsiTheme="minorHAnsi" w:cs="Arial"/>
          <w:b/>
          <w:bCs/>
          <w:i/>
          <w:iCs/>
          <w:sz w:val="22"/>
          <w:szCs w:val="22"/>
          <w:lang w:val="en-IN"/>
        </w:rPr>
      </w:pPr>
      <w:r w:rsidRPr="004954F9">
        <w:rPr>
          <w:rFonts w:asciiTheme="minorHAnsi" w:hAnsiTheme="minorHAnsi" w:cs="Arial"/>
          <w:bCs/>
          <w:sz w:val="22"/>
          <w:szCs w:val="22"/>
        </w:rPr>
        <w:t xml:space="preserve">Hon’ble Commission </w:t>
      </w:r>
      <w:r w:rsidRPr="004954F9">
        <w:rPr>
          <w:rFonts w:asciiTheme="minorHAnsi" w:hAnsiTheme="minorHAnsi" w:cs="Arial"/>
          <w:bCs/>
          <w:i/>
          <w:iCs/>
          <w:sz w:val="22"/>
          <w:szCs w:val="22"/>
        </w:rPr>
        <w:t>vide</w:t>
      </w:r>
      <w:r w:rsidRPr="004954F9">
        <w:rPr>
          <w:rFonts w:asciiTheme="minorHAnsi" w:hAnsiTheme="minorHAnsi" w:cs="Arial"/>
          <w:bCs/>
          <w:sz w:val="22"/>
          <w:szCs w:val="22"/>
        </w:rPr>
        <w:t xml:space="preserve"> Tariff Order has approved the Employee Expenses of Rs. 417.80 Crores for FY 2022-23, against TPNODL’s claim of Rs. 440.32 Crores. TPNODL had proposed a Gross Employee Cost of Rs. 453.16 Crores and Employee Capitalization of Rs.12.85 Crores i.e. the proposed amount was Rs. 440.32 Crores in the True up Petition</w:t>
      </w:r>
      <w:r w:rsidRPr="004954F9">
        <w:rPr>
          <w:rFonts w:asciiTheme="minorHAnsi" w:hAnsiTheme="minorHAnsi" w:cs="Arial"/>
          <w:sz w:val="22"/>
          <w:szCs w:val="22"/>
          <w:lang w:val="en-IN"/>
        </w:rPr>
        <w:t>.</w:t>
      </w:r>
    </w:p>
    <w:p w14:paraId="424E4DEE" w14:textId="77777777" w:rsidR="00423534" w:rsidRPr="004954F9" w:rsidRDefault="00423534" w:rsidP="00423534">
      <w:pPr>
        <w:suppressAutoHyphens/>
        <w:spacing w:line="360" w:lineRule="auto"/>
        <w:ind w:left="709" w:hanging="425"/>
        <w:contextualSpacing/>
        <w:jc w:val="both"/>
        <w:rPr>
          <w:rFonts w:asciiTheme="minorHAnsi" w:hAnsiTheme="minorHAnsi" w:cs="Arial"/>
          <w:b/>
          <w:bCs/>
          <w:i/>
          <w:iCs/>
          <w:sz w:val="22"/>
          <w:szCs w:val="22"/>
          <w:lang w:val="en-IN"/>
        </w:rPr>
      </w:pPr>
    </w:p>
    <w:p w14:paraId="51106F36" w14:textId="77777777" w:rsidR="00423534" w:rsidRPr="004954F9" w:rsidRDefault="00423534" w:rsidP="00423534">
      <w:pPr>
        <w:suppressAutoHyphens/>
        <w:spacing w:line="360" w:lineRule="auto"/>
        <w:ind w:left="709"/>
        <w:contextualSpacing/>
        <w:jc w:val="both"/>
        <w:rPr>
          <w:rFonts w:asciiTheme="minorHAnsi" w:hAnsiTheme="minorHAnsi" w:cs="Arial"/>
          <w:b/>
          <w:bCs/>
          <w:i/>
          <w:iCs/>
          <w:sz w:val="22"/>
          <w:szCs w:val="22"/>
          <w:lang w:val="en-IN"/>
        </w:rPr>
      </w:pPr>
      <w:r w:rsidRPr="004954F9">
        <w:rPr>
          <w:rFonts w:asciiTheme="minorHAnsi" w:hAnsiTheme="minorHAnsi" w:cs="Arial"/>
          <w:sz w:val="22"/>
          <w:szCs w:val="22"/>
        </w:rPr>
        <w:t xml:space="preserve">It is humbly submitted that the </w:t>
      </w:r>
      <w:r w:rsidRPr="004954F9">
        <w:rPr>
          <w:rFonts w:asciiTheme="minorHAnsi" w:hAnsiTheme="minorHAnsi" w:cs="Arial"/>
          <w:sz w:val="22"/>
          <w:szCs w:val="22"/>
          <w:lang w:val="en-IN"/>
        </w:rPr>
        <w:t>Odisha Electricity Regulatory Commission (Terms &amp; Conditions for Determination of Wheeling Tariff and Retail Supply Tariff) Regulations, 2022</w:t>
      </w:r>
      <w:r w:rsidRPr="004954F9">
        <w:rPr>
          <w:rFonts w:asciiTheme="minorHAnsi" w:hAnsiTheme="minorHAnsi" w:cs="Arial"/>
          <w:sz w:val="22"/>
          <w:szCs w:val="22"/>
        </w:rPr>
        <w:t xml:space="preserve"> (“</w:t>
      </w:r>
      <w:r w:rsidRPr="004954F9">
        <w:rPr>
          <w:rFonts w:asciiTheme="minorHAnsi" w:hAnsiTheme="minorHAnsi" w:cs="Arial"/>
          <w:b/>
          <w:bCs/>
          <w:sz w:val="22"/>
          <w:szCs w:val="22"/>
        </w:rPr>
        <w:t>Tariff Regulations,</w:t>
      </w:r>
      <w:r w:rsidRPr="004954F9">
        <w:rPr>
          <w:rFonts w:asciiTheme="minorHAnsi" w:hAnsiTheme="minorHAnsi" w:cs="Arial"/>
          <w:sz w:val="22"/>
          <w:szCs w:val="22"/>
        </w:rPr>
        <w:t xml:space="preserve"> </w:t>
      </w:r>
      <w:r w:rsidRPr="004954F9">
        <w:rPr>
          <w:rFonts w:asciiTheme="minorHAnsi" w:hAnsiTheme="minorHAnsi" w:cs="Arial"/>
          <w:b/>
          <w:bCs/>
          <w:sz w:val="22"/>
          <w:szCs w:val="22"/>
        </w:rPr>
        <w:t>2022</w:t>
      </w:r>
      <w:r w:rsidRPr="004954F9">
        <w:rPr>
          <w:rFonts w:asciiTheme="minorHAnsi" w:hAnsiTheme="minorHAnsi" w:cs="Arial"/>
          <w:sz w:val="22"/>
          <w:szCs w:val="22"/>
        </w:rPr>
        <w:t xml:space="preserve">”) specifically provides for the provision of Employee Cost. That in past, Hon’ble Commission has allowed the “Outsourced Manpower Cost” under the head “Employee Cost” in Tariff Orders of the DISCOMs. The same was also allowed </w:t>
      </w:r>
      <w:r w:rsidRPr="004954F9">
        <w:rPr>
          <w:rFonts w:asciiTheme="minorHAnsi" w:hAnsiTheme="minorHAnsi" w:cs="Arial"/>
          <w:i/>
          <w:iCs/>
          <w:sz w:val="22"/>
          <w:szCs w:val="22"/>
        </w:rPr>
        <w:t>vide</w:t>
      </w:r>
      <w:r w:rsidRPr="004954F9">
        <w:rPr>
          <w:rFonts w:asciiTheme="minorHAnsi" w:hAnsiTheme="minorHAnsi" w:cs="Arial"/>
          <w:sz w:val="22"/>
          <w:szCs w:val="22"/>
        </w:rPr>
        <w:t xml:space="preserve"> Tariff Order dated 26.03.2021 for FY 2021-22 passed by this Hon’ble Commission. Accordingly, </w:t>
      </w:r>
      <w:r w:rsidRPr="004954F9">
        <w:rPr>
          <w:rFonts w:asciiTheme="minorHAnsi" w:hAnsiTheme="minorHAnsi" w:cs="Arial"/>
          <w:bCs/>
          <w:sz w:val="22"/>
          <w:szCs w:val="22"/>
        </w:rPr>
        <w:t>TPNODL</w:t>
      </w:r>
      <w:r w:rsidRPr="004954F9">
        <w:rPr>
          <w:rFonts w:asciiTheme="minorHAnsi" w:hAnsiTheme="minorHAnsi" w:cs="Arial"/>
          <w:sz w:val="22"/>
          <w:szCs w:val="22"/>
        </w:rPr>
        <w:t xml:space="preserve">, in line with such prior practices has claimed the “Outsourced Manpower Cost” under the head of “Other Expenses” as per the Annual Accounts of </w:t>
      </w:r>
      <w:r w:rsidRPr="004954F9">
        <w:rPr>
          <w:rFonts w:asciiTheme="minorHAnsi" w:hAnsiTheme="minorHAnsi" w:cs="Arial"/>
          <w:bCs/>
          <w:sz w:val="22"/>
          <w:szCs w:val="22"/>
        </w:rPr>
        <w:t>TPNODL</w:t>
      </w:r>
      <w:r w:rsidRPr="004954F9">
        <w:rPr>
          <w:rFonts w:asciiTheme="minorHAnsi" w:hAnsiTheme="minorHAnsi" w:cs="Arial"/>
          <w:sz w:val="22"/>
          <w:szCs w:val="22"/>
        </w:rPr>
        <w:t>.</w:t>
      </w:r>
    </w:p>
    <w:p w14:paraId="7E875CF4" w14:textId="77777777" w:rsidR="00423534" w:rsidRPr="004954F9" w:rsidRDefault="00423534" w:rsidP="00423534">
      <w:pPr>
        <w:suppressAutoHyphens/>
        <w:spacing w:after="200" w:line="360" w:lineRule="auto"/>
        <w:ind w:left="720"/>
        <w:contextualSpacing/>
        <w:jc w:val="both"/>
        <w:rPr>
          <w:rFonts w:asciiTheme="minorHAnsi" w:hAnsiTheme="minorHAnsi" w:cs="Arial"/>
          <w:b/>
          <w:bCs/>
          <w:i/>
          <w:iCs/>
          <w:sz w:val="22"/>
          <w:szCs w:val="22"/>
          <w:lang w:val="en-IN"/>
        </w:rPr>
      </w:pPr>
    </w:p>
    <w:p w14:paraId="2A0603E3" w14:textId="4AAF759D" w:rsidR="00423534" w:rsidRPr="004954F9" w:rsidRDefault="00423534" w:rsidP="00423534">
      <w:pPr>
        <w:suppressAutoHyphens/>
        <w:spacing w:line="360" w:lineRule="auto"/>
        <w:ind w:left="709"/>
        <w:contextualSpacing/>
        <w:jc w:val="both"/>
        <w:rPr>
          <w:rFonts w:asciiTheme="minorHAnsi" w:hAnsiTheme="minorHAnsi" w:cs="Arial"/>
          <w:b/>
          <w:bCs/>
          <w:i/>
          <w:iCs/>
          <w:sz w:val="22"/>
          <w:szCs w:val="22"/>
          <w:lang w:val="en-IN"/>
        </w:rPr>
      </w:pPr>
      <w:r w:rsidRPr="004954F9">
        <w:rPr>
          <w:rFonts w:asciiTheme="minorHAnsi" w:hAnsiTheme="minorHAnsi" w:cs="Arial"/>
          <w:sz w:val="22"/>
          <w:szCs w:val="22"/>
        </w:rPr>
        <w:t xml:space="preserve">It is submitted that the Employee Expenditure as per the Annual Accounts includes the cost with Actuarial Valuation of retirement benefits for erstwhile employees. Therefore, after deducting such non-cash expenditure of Rs.19.69 Crores, the Actual Employee Cost incurred by </w:t>
      </w:r>
      <w:r w:rsidRPr="004954F9">
        <w:rPr>
          <w:rFonts w:asciiTheme="minorHAnsi" w:hAnsiTheme="minorHAnsi" w:cs="Arial"/>
          <w:bCs/>
          <w:sz w:val="22"/>
          <w:szCs w:val="22"/>
        </w:rPr>
        <w:t xml:space="preserve">TPNODL </w:t>
      </w:r>
      <w:r w:rsidRPr="004954F9">
        <w:rPr>
          <w:rFonts w:asciiTheme="minorHAnsi" w:hAnsiTheme="minorHAnsi" w:cs="Arial"/>
          <w:sz w:val="22"/>
          <w:szCs w:val="22"/>
        </w:rPr>
        <w:t xml:space="preserve">is Rs.433.47 Crores. Further, Hon’ble Commission has allowed Rs. 44.76 Crores towards CTC Employee Cost in place of the actual cost incurred Rs.74.85 Crores in the FY 2022-23 while computing the approved Employee Costs of Rs. 417.80 Crores. The approved Employee Cost of Rs. 417.80 Crores is significantly lower than the Actual Employee Cost of </w:t>
      </w:r>
      <w:r w:rsidRPr="004954F9">
        <w:rPr>
          <w:rFonts w:asciiTheme="minorHAnsi" w:hAnsiTheme="minorHAnsi" w:cs="Arial"/>
          <w:bCs/>
          <w:sz w:val="22"/>
          <w:szCs w:val="22"/>
        </w:rPr>
        <w:t xml:space="preserve">TPNODL </w:t>
      </w:r>
      <w:r w:rsidRPr="004954F9">
        <w:rPr>
          <w:rFonts w:asciiTheme="minorHAnsi" w:hAnsiTheme="minorHAnsi" w:cs="Arial"/>
          <w:sz w:val="22"/>
          <w:szCs w:val="22"/>
        </w:rPr>
        <w:t xml:space="preserve">for FY 2022-23 i.e. </w:t>
      </w:r>
      <w:r w:rsidRPr="004954F9">
        <w:rPr>
          <w:rFonts w:asciiTheme="minorHAnsi" w:hAnsiTheme="minorHAnsi" w:cs="Arial"/>
          <w:b/>
          <w:bCs/>
          <w:sz w:val="22"/>
          <w:szCs w:val="22"/>
        </w:rPr>
        <w:t>Rs. 433.47Crores</w:t>
      </w:r>
      <w:r w:rsidRPr="004954F9">
        <w:rPr>
          <w:rFonts w:asciiTheme="minorHAnsi" w:hAnsiTheme="minorHAnsi" w:cs="Arial"/>
          <w:sz w:val="22"/>
          <w:szCs w:val="22"/>
        </w:rPr>
        <w:t>, which requires due consideration of Hon’ble Commission.</w:t>
      </w:r>
    </w:p>
    <w:p w14:paraId="43CFF00F" w14:textId="77777777" w:rsidR="00423534" w:rsidRPr="004954F9" w:rsidRDefault="00423534" w:rsidP="00423534">
      <w:pPr>
        <w:suppressAutoHyphens/>
        <w:spacing w:after="200" w:line="360" w:lineRule="auto"/>
        <w:ind w:left="720"/>
        <w:contextualSpacing/>
        <w:jc w:val="both"/>
        <w:rPr>
          <w:rFonts w:asciiTheme="minorHAnsi" w:hAnsiTheme="minorHAnsi" w:cs="Arial"/>
          <w:b/>
          <w:bCs/>
          <w:i/>
          <w:iCs/>
          <w:sz w:val="22"/>
          <w:szCs w:val="22"/>
          <w:lang w:val="en-IN"/>
        </w:rPr>
      </w:pPr>
    </w:p>
    <w:p w14:paraId="0027C8C6" w14:textId="483FF428" w:rsidR="00423534" w:rsidRPr="00B602FC" w:rsidRDefault="00423534" w:rsidP="00B602FC">
      <w:pPr>
        <w:suppressAutoHyphens/>
        <w:spacing w:line="360" w:lineRule="auto"/>
        <w:ind w:left="709"/>
        <w:contextualSpacing/>
        <w:jc w:val="both"/>
        <w:rPr>
          <w:rFonts w:asciiTheme="minorHAnsi" w:hAnsiTheme="minorHAnsi" w:cs="Arial"/>
          <w:b/>
          <w:bCs/>
          <w:i/>
          <w:iCs/>
          <w:sz w:val="22"/>
          <w:szCs w:val="22"/>
          <w:lang w:val="en-IN"/>
        </w:rPr>
      </w:pPr>
      <w:r w:rsidRPr="004954F9">
        <w:rPr>
          <w:rFonts w:asciiTheme="minorHAnsi" w:hAnsiTheme="minorHAnsi" w:cs="Arial"/>
          <w:sz w:val="22"/>
          <w:szCs w:val="22"/>
          <w:lang w:val="en-IN"/>
        </w:rPr>
        <w:lastRenderedPageBreak/>
        <w:t xml:space="preserve">It is pertinent that against the proposed strength of 551 Employees, </w:t>
      </w:r>
      <w:r w:rsidRPr="004954F9">
        <w:rPr>
          <w:rFonts w:asciiTheme="minorHAnsi" w:hAnsiTheme="minorHAnsi" w:cs="Arial"/>
          <w:bCs/>
          <w:sz w:val="22"/>
          <w:szCs w:val="22"/>
        </w:rPr>
        <w:t xml:space="preserve">TPNODL </w:t>
      </w:r>
      <w:r w:rsidRPr="004954F9">
        <w:rPr>
          <w:rFonts w:asciiTheme="minorHAnsi" w:hAnsiTheme="minorHAnsi" w:cs="Arial"/>
          <w:sz w:val="22"/>
          <w:szCs w:val="22"/>
          <w:lang w:val="en-IN"/>
        </w:rPr>
        <w:t xml:space="preserve">recruited only 518 employees, </w:t>
      </w:r>
      <w:r w:rsidRPr="004954F9">
        <w:rPr>
          <w:rFonts w:asciiTheme="minorHAnsi" w:hAnsiTheme="minorHAnsi" w:cs="Arial"/>
          <w:sz w:val="22"/>
          <w:szCs w:val="22"/>
        </w:rPr>
        <w:t>which is much below the approved quantum of employees</w:t>
      </w:r>
      <w:r w:rsidRPr="004954F9">
        <w:rPr>
          <w:rFonts w:asciiTheme="minorHAnsi" w:hAnsiTheme="minorHAnsi" w:cs="Arial"/>
          <w:sz w:val="22"/>
          <w:szCs w:val="22"/>
          <w:lang w:val="en-IN"/>
        </w:rPr>
        <w:t xml:space="preserve">. </w:t>
      </w:r>
      <w:r w:rsidRPr="004954F9">
        <w:rPr>
          <w:rFonts w:asciiTheme="minorHAnsi" w:hAnsiTheme="minorHAnsi" w:cs="Arial"/>
          <w:sz w:val="22"/>
          <w:szCs w:val="22"/>
        </w:rPr>
        <w:t xml:space="preserve">It is submitted that </w:t>
      </w:r>
      <w:r w:rsidRPr="004954F9">
        <w:rPr>
          <w:rFonts w:asciiTheme="minorHAnsi" w:hAnsiTheme="minorHAnsi" w:cs="Arial"/>
          <w:i/>
          <w:iCs/>
          <w:sz w:val="22"/>
          <w:szCs w:val="22"/>
        </w:rPr>
        <w:t>vide</w:t>
      </w:r>
      <w:r w:rsidRPr="004954F9">
        <w:rPr>
          <w:rFonts w:asciiTheme="minorHAnsi" w:hAnsiTheme="minorHAnsi" w:cs="Arial"/>
          <w:sz w:val="22"/>
          <w:szCs w:val="22"/>
        </w:rPr>
        <w:t xml:space="preserve"> Tariff Order for FY 2022-23 dated 24.03.2022, this Hon’ble Commission had approved Rs. 44.76 Crores towards CTC Employees Cost for FY 2022-23, against the Actual Employee Cost of Rs. 74.85 Crores.</w:t>
      </w:r>
    </w:p>
    <w:p w14:paraId="114E07EF" w14:textId="77777777" w:rsidR="00423534" w:rsidRPr="004954F9" w:rsidRDefault="00423534" w:rsidP="00423534">
      <w:pPr>
        <w:suppressAutoHyphens/>
        <w:spacing w:line="360" w:lineRule="auto"/>
        <w:ind w:left="709"/>
        <w:contextualSpacing/>
        <w:jc w:val="both"/>
        <w:rPr>
          <w:rFonts w:asciiTheme="minorHAnsi" w:hAnsiTheme="minorHAnsi" w:cs="Arial"/>
          <w:sz w:val="22"/>
          <w:szCs w:val="22"/>
          <w:lang w:val="en-IN"/>
        </w:rPr>
      </w:pPr>
      <w:r w:rsidRPr="004954F9">
        <w:rPr>
          <w:rFonts w:asciiTheme="minorHAnsi" w:hAnsiTheme="minorHAnsi" w:cs="Arial"/>
          <w:sz w:val="22"/>
          <w:szCs w:val="22"/>
          <w:lang w:val="en-IN"/>
        </w:rPr>
        <w:t xml:space="preserve">Therefore, TPNODL humbly requests this Hon’ble Commission to re-consider the Employee Expenditure as allowed </w:t>
      </w:r>
      <w:r w:rsidRPr="004954F9">
        <w:rPr>
          <w:rFonts w:asciiTheme="minorHAnsi" w:hAnsiTheme="minorHAnsi" w:cs="Arial"/>
          <w:i/>
          <w:iCs/>
          <w:sz w:val="22"/>
          <w:szCs w:val="22"/>
          <w:lang w:val="en-IN"/>
        </w:rPr>
        <w:t>vide</w:t>
      </w:r>
      <w:r w:rsidRPr="004954F9">
        <w:rPr>
          <w:rFonts w:asciiTheme="minorHAnsi" w:hAnsiTheme="minorHAnsi" w:cs="Arial"/>
          <w:sz w:val="22"/>
          <w:szCs w:val="22"/>
          <w:lang w:val="en-IN"/>
        </w:rPr>
        <w:t xml:space="preserve"> Tariff Order and consider allowing the amount of Rs. 433.47 Crores instead of the present allowance of Rs. 417.80 Crores.</w:t>
      </w:r>
    </w:p>
    <w:p w14:paraId="7993118C" w14:textId="77777777" w:rsidR="00423534" w:rsidRPr="004954F9" w:rsidRDefault="00423534" w:rsidP="00423534">
      <w:pPr>
        <w:suppressAutoHyphens/>
        <w:spacing w:line="360" w:lineRule="auto"/>
        <w:ind w:firstLine="720"/>
        <w:jc w:val="both"/>
        <w:rPr>
          <w:rFonts w:asciiTheme="minorHAnsi" w:hAnsiTheme="minorHAnsi" w:cs="Arial"/>
          <w:b/>
          <w:bCs/>
          <w:sz w:val="22"/>
          <w:szCs w:val="22"/>
        </w:rPr>
      </w:pPr>
      <w:r w:rsidRPr="004954F9">
        <w:rPr>
          <w:rFonts w:asciiTheme="minorHAnsi" w:hAnsiTheme="minorHAnsi" w:cs="Arial"/>
          <w:b/>
          <w:bCs/>
          <w:sz w:val="22"/>
          <w:szCs w:val="22"/>
        </w:rPr>
        <w:t xml:space="preserve">                         </w:t>
      </w:r>
    </w:p>
    <w:p w14:paraId="1A151923" w14:textId="3AFC3312" w:rsidR="00423534" w:rsidRPr="00D64531" w:rsidRDefault="00423534" w:rsidP="00C25C59">
      <w:pPr>
        <w:suppressAutoHyphens/>
        <w:spacing w:line="360" w:lineRule="auto"/>
        <w:ind w:firstLine="720"/>
        <w:rPr>
          <w:rFonts w:asciiTheme="minorHAnsi" w:hAnsiTheme="minorHAnsi" w:cs="Arial"/>
          <w:sz w:val="22"/>
          <w:szCs w:val="22"/>
        </w:rPr>
      </w:pPr>
      <w:r w:rsidRPr="004954F9">
        <w:rPr>
          <w:rFonts w:asciiTheme="minorHAnsi" w:hAnsiTheme="minorHAnsi" w:cs="Arial"/>
          <w:b/>
          <w:sz w:val="22"/>
          <w:szCs w:val="22"/>
          <w:lang w:val="en-GB"/>
        </w:rPr>
        <w:t xml:space="preserve">                         </w:t>
      </w:r>
      <w:r w:rsidRPr="00D64531">
        <w:rPr>
          <w:rFonts w:asciiTheme="minorHAnsi" w:hAnsiTheme="minorHAnsi" w:cs="Arial"/>
          <w:b/>
          <w:sz w:val="22"/>
          <w:szCs w:val="22"/>
          <w:lang w:val="en-GB"/>
        </w:rPr>
        <w:t>Table- 4</w:t>
      </w:r>
      <w:r w:rsidR="00B602FC" w:rsidRPr="00D64531">
        <w:rPr>
          <w:rFonts w:asciiTheme="minorHAnsi" w:hAnsiTheme="minorHAnsi" w:cs="Arial"/>
          <w:b/>
          <w:sz w:val="22"/>
          <w:szCs w:val="22"/>
          <w:lang w:val="en-GB"/>
        </w:rPr>
        <w:t>9</w:t>
      </w:r>
      <w:r w:rsidRPr="00D64531">
        <w:rPr>
          <w:rFonts w:asciiTheme="minorHAnsi" w:hAnsiTheme="minorHAnsi" w:cs="Arial"/>
          <w:b/>
          <w:sz w:val="22"/>
          <w:szCs w:val="22"/>
          <w:lang w:val="en-GB"/>
        </w:rPr>
        <w:t xml:space="preserve">: </w:t>
      </w:r>
      <w:r w:rsidR="00C25C59" w:rsidRPr="00D64531">
        <w:rPr>
          <w:rFonts w:asciiTheme="minorHAnsi" w:hAnsiTheme="minorHAnsi" w:cs="Arial"/>
          <w:b/>
          <w:sz w:val="22"/>
          <w:szCs w:val="22"/>
          <w:lang w:val="en-GB"/>
        </w:rPr>
        <w:t xml:space="preserve">Employee Expenses _FY 22-23- </w:t>
      </w:r>
      <w:r w:rsidRPr="00D64531">
        <w:rPr>
          <w:rFonts w:asciiTheme="minorHAnsi" w:hAnsiTheme="minorHAnsi" w:cs="Arial"/>
          <w:b/>
          <w:sz w:val="22"/>
          <w:szCs w:val="22"/>
          <w:lang w:val="en-GB"/>
        </w:rPr>
        <w:t xml:space="preserve">Approved vis-à-vis- Actual   </w:t>
      </w:r>
      <w:proofErr w:type="gramStart"/>
      <w:r w:rsidRPr="00D64531">
        <w:rPr>
          <w:rFonts w:asciiTheme="minorHAnsi" w:hAnsiTheme="minorHAnsi" w:cs="Arial"/>
          <w:b/>
          <w:sz w:val="22"/>
          <w:szCs w:val="22"/>
          <w:lang w:val="en-GB"/>
        </w:rPr>
        <w:t xml:space="preserve">   </w:t>
      </w:r>
      <w:r w:rsidRPr="00D64531">
        <w:rPr>
          <w:rFonts w:asciiTheme="minorHAnsi" w:hAnsiTheme="minorHAnsi" w:cs="Arial"/>
          <w:b/>
          <w:bCs/>
          <w:sz w:val="22"/>
          <w:szCs w:val="22"/>
        </w:rPr>
        <w:t>(</w:t>
      </w:r>
      <w:proofErr w:type="gramEnd"/>
      <w:r w:rsidRPr="00D64531">
        <w:rPr>
          <w:rFonts w:asciiTheme="minorHAnsi" w:hAnsiTheme="minorHAnsi" w:cs="Arial"/>
          <w:b/>
          <w:bCs/>
          <w:sz w:val="22"/>
          <w:szCs w:val="22"/>
        </w:rPr>
        <w:t xml:space="preserve">Rs. </w:t>
      </w:r>
      <w:proofErr w:type="spellStart"/>
      <w:r w:rsidRPr="00D64531">
        <w:rPr>
          <w:rFonts w:asciiTheme="minorHAnsi" w:hAnsiTheme="minorHAnsi" w:cs="Arial"/>
          <w:b/>
          <w:bCs/>
          <w:sz w:val="22"/>
          <w:szCs w:val="22"/>
        </w:rPr>
        <w:t>Crs</w:t>
      </w:r>
      <w:proofErr w:type="spellEnd"/>
      <w:r w:rsidRPr="00D64531">
        <w:rPr>
          <w:rFonts w:asciiTheme="minorHAnsi" w:hAnsiTheme="minorHAnsi" w:cs="Arial"/>
          <w:b/>
          <w:bCs/>
          <w:sz w:val="22"/>
          <w:szCs w:val="22"/>
        </w:rPr>
        <w:t>)</w:t>
      </w:r>
    </w:p>
    <w:tbl>
      <w:tblPr>
        <w:tblStyle w:val="TableGrid4"/>
        <w:tblW w:w="8756" w:type="dxa"/>
        <w:tblInd w:w="567" w:type="dxa"/>
        <w:tblLayout w:type="fixed"/>
        <w:tblLook w:val="04A0" w:firstRow="1" w:lastRow="0" w:firstColumn="1" w:lastColumn="0" w:noHBand="0" w:noVBand="1"/>
      </w:tblPr>
      <w:tblGrid>
        <w:gridCol w:w="2928"/>
        <w:gridCol w:w="2454"/>
        <w:gridCol w:w="3374"/>
      </w:tblGrid>
      <w:tr w:rsidR="00423534" w:rsidRPr="00D64531" w14:paraId="342837BE" w14:textId="77777777" w:rsidTr="00423534">
        <w:tc>
          <w:tcPr>
            <w:tcW w:w="2928" w:type="dxa"/>
            <w:shd w:val="clear" w:color="auto" w:fill="9CC2E5"/>
          </w:tcPr>
          <w:p w14:paraId="36720159" w14:textId="77777777" w:rsidR="00423534" w:rsidRPr="00D64531" w:rsidRDefault="00423534" w:rsidP="00423534">
            <w:pPr>
              <w:tabs>
                <w:tab w:val="left" w:pos="426"/>
              </w:tabs>
              <w:spacing w:line="360" w:lineRule="auto"/>
              <w:ind w:right="-23"/>
              <w:jc w:val="center"/>
              <w:rPr>
                <w:rFonts w:asciiTheme="minorHAnsi" w:hAnsiTheme="minorHAnsi" w:cs="Arial"/>
                <w:b/>
                <w:bCs/>
                <w:sz w:val="22"/>
                <w:szCs w:val="22"/>
              </w:rPr>
            </w:pPr>
            <w:r w:rsidRPr="00D64531">
              <w:rPr>
                <w:rFonts w:asciiTheme="minorHAnsi" w:hAnsiTheme="minorHAnsi" w:cs="Arial"/>
                <w:b/>
                <w:bCs/>
                <w:sz w:val="22"/>
                <w:szCs w:val="22"/>
              </w:rPr>
              <w:t>Approved</w:t>
            </w:r>
          </w:p>
        </w:tc>
        <w:tc>
          <w:tcPr>
            <w:tcW w:w="2454" w:type="dxa"/>
            <w:shd w:val="clear" w:color="auto" w:fill="9CC2E5"/>
          </w:tcPr>
          <w:p w14:paraId="4EAA7E8F" w14:textId="77777777" w:rsidR="00423534" w:rsidRPr="00D64531" w:rsidRDefault="00423534" w:rsidP="00423534">
            <w:pPr>
              <w:tabs>
                <w:tab w:val="left" w:pos="426"/>
              </w:tabs>
              <w:spacing w:line="360" w:lineRule="auto"/>
              <w:ind w:right="-23"/>
              <w:jc w:val="center"/>
              <w:rPr>
                <w:rFonts w:asciiTheme="minorHAnsi" w:hAnsiTheme="minorHAnsi" w:cs="Arial"/>
                <w:b/>
                <w:bCs/>
                <w:sz w:val="22"/>
                <w:szCs w:val="22"/>
              </w:rPr>
            </w:pPr>
            <w:r w:rsidRPr="00D64531">
              <w:rPr>
                <w:rFonts w:asciiTheme="minorHAnsi" w:hAnsiTheme="minorHAnsi" w:cs="Arial"/>
                <w:b/>
                <w:bCs/>
                <w:sz w:val="22"/>
                <w:szCs w:val="22"/>
              </w:rPr>
              <w:t>Actual</w:t>
            </w:r>
          </w:p>
        </w:tc>
        <w:tc>
          <w:tcPr>
            <w:tcW w:w="3374" w:type="dxa"/>
            <w:shd w:val="clear" w:color="auto" w:fill="9CC2E5"/>
          </w:tcPr>
          <w:p w14:paraId="7DC61BDF" w14:textId="77777777" w:rsidR="00423534" w:rsidRPr="00D64531" w:rsidRDefault="00423534" w:rsidP="00423534">
            <w:pPr>
              <w:tabs>
                <w:tab w:val="left" w:pos="426"/>
              </w:tabs>
              <w:spacing w:line="360" w:lineRule="auto"/>
              <w:ind w:right="-23"/>
              <w:jc w:val="center"/>
              <w:rPr>
                <w:rFonts w:asciiTheme="minorHAnsi" w:hAnsiTheme="minorHAnsi" w:cs="Arial"/>
                <w:b/>
                <w:bCs/>
                <w:sz w:val="22"/>
                <w:szCs w:val="22"/>
              </w:rPr>
            </w:pPr>
            <w:r w:rsidRPr="00D64531">
              <w:rPr>
                <w:rFonts w:asciiTheme="minorHAnsi" w:hAnsiTheme="minorHAnsi" w:cs="Arial"/>
                <w:b/>
                <w:bCs/>
                <w:sz w:val="22"/>
                <w:szCs w:val="22"/>
              </w:rPr>
              <w:t>Difference (Approved-Actual)</w:t>
            </w:r>
          </w:p>
        </w:tc>
      </w:tr>
      <w:tr w:rsidR="00423534" w:rsidRPr="004954F9" w14:paraId="1AD4D3D5" w14:textId="77777777" w:rsidTr="00423534">
        <w:tc>
          <w:tcPr>
            <w:tcW w:w="2928" w:type="dxa"/>
          </w:tcPr>
          <w:p w14:paraId="05EF4613" w14:textId="77777777" w:rsidR="00423534" w:rsidRPr="00D64531" w:rsidRDefault="00423534" w:rsidP="00423534">
            <w:pPr>
              <w:tabs>
                <w:tab w:val="left" w:pos="426"/>
              </w:tabs>
              <w:spacing w:line="360" w:lineRule="auto"/>
              <w:ind w:right="-23"/>
              <w:jc w:val="center"/>
              <w:rPr>
                <w:rFonts w:asciiTheme="minorHAnsi" w:hAnsiTheme="minorHAnsi" w:cs="Arial"/>
                <w:b/>
                <w:bCs/>
                <w:sz w:val="22"/>
                <w:szCs w:val="22"/>
              </w:rPr>
            </w:pPr>
            <w:r w:rsidRPr="00D64531">
              <w:rPr>
                <w:rFonts w:asciiTheme="minorHAnsi" w:hAnsiTheme="minorHAnsi" w:cs="Arial"/>
                <w:b/>
                <w:bCs/>
                <w:sz w:val="22"/>
                <w:szCs w:val="22"/>
              </w:rPr>
              <w:t>417.80</w:t>
            </w:r>
          </w:p>
        </w:tc>
        <w:tc>
          <w:tcPr>
            <w:tcW w:w="2454" w:type="dxa"/>
          </w:tcPr>
          <w:p w14:paraId="475FF668" w14:textId="538F284C" w:rsidR="00423534" w:rsidRPr="00D64531" w:rsidRDefault="00423534" w:rsidP="00423534">
            <w:pPr>
              <w:tabs>
                <w:tab w:val="left" w:pos="426"/>
              </w:tabs>
              <w:spacing w:line="360" w:lineRule="auto"/>
              <w:ind w:right="-23"/>
              <w:jc w:val="center"/>
              <w:rPr>
                <w:rFonts w:asciiTheme="minorHAnsi" w:hAnsiTheme="minorHAnsi" w:cs="Arial"/>
                <w:b/>
                <w:bCs/>
                <w:sz w:val="22"/>
                <w:szCs w:val="22"/>
              </w:rPr>
            </w:pPr>
            <w:r w:rsidRPr="00D64531">
              <w:rPr>
                <w:rFonts w:asciiTheme="minorHAnsi" w:hAnsiTheme="minorHAnsi" w:cs="Arial"/>
                <w:b/>
                <w:bCs/>
                <w:sz w:val="22"/>
                <w:szCs w:val="22"/>
              </w:rPr>
              <w:t>4</w:t>
            </w:r>
            <w:r w:rsidR="00D64531" w:rsidRPr="00D64531">
              <w:rPr>
                <w:rFonts w:asciiTheme="minorHAnsi" w:hAnsiTheme="minorHAnsi" w:cs="Arial"/>
                <w:b/>
                <w:bCs/>
                <w:sz w:val="22"/>
                <w:szCs w:val="22"/>
              </w:rPr>
              <w:t>20.52</w:t>
            </w:r>
          </w:p>
        </w:tc>
        <w:tc>
          <w:tcPr>
            <w:tcW w:w="3374" w:type="dxa"/>
          </w:tcPr>
          <w:p w14:paraId="477CD3C4" w14:textId="1D7822C3" w:rsidR="00423534" w:rsidRPr="004954F9" w:rsidRDefault="00423534" w:rsidP="00423534">
            <w:pPr>
              <w:tabs>
                <w:tab w:val="left" w:pos="426"/>
              </w:tabs>
              <w:spacing w:line="360" w:lineRule="auto"/>
              <w:ind w:right="-23"/>
              <w:jc w:val="center"/>
              <w:rPr>
                <w:rFonts w:asciiTheme="minorHAnsi" w:hAnsiTheme="minorHAnsi" w:cs="Arial"/>
                <w:b/>
                <w:bCs/>
                <w:sz w:val="22"/>
                <w:szCs w:val="22"/>
              </w:rPr>
            </w:pPr>
            <w:r w:rsidRPr="00D64531">
              <w:rPr>
                <w:rFonts w:asciiTheme="minorHAnsi" w:hAnsiTheme="minorHAnsi" w:cs="Arial"/>
                <w:b/>
                <w:bCs/>
                <w:sz w:val="22"/>
                <w:szCs w:val="22"/>
              </w:rPr>
              <w:t>(</w:t>
            </w:r>
            <w:r w:rsidR="00D64531" w:rsidRPr="00D64531">
              <w:rPr>
                <w:rFonts w:asciiTheme="minorHAnsi" w:hAnsiTheme="minorHAnsi" w:cs="Arial"/>
                <w:b/>
                <w:bCs/>
                <w:sz w:val="22"/>
                <w:szCs w:val="22"/>
              </w:rPr>
              <w:t>2.72</w:t>
            </w:r>
            <w:r w:rsidRPr="00D64531">
              <w:rPr>
                <w:rFonts w:asciiTheme="minorHAnsi" w:hAnsiTheme="minorHAnsi" w:cs="Arial"/>
                <w:b/>
                <w:bCs/>
                <w:sz w:val="22"/>
                <w:szCs w:val="22"/>
              </w:rPr>
              <w:t>)</w:t>
            </w:r>
          </w:p>
        </w:tc>
      </w:tr>
    </w:tbl>
    <w:p w14:paraId="71CF4CBF" w14:textId="77777777" w:rsidR="00423534" w:rsidRPr="001F29D8" w:rsidRDefault="00423534" w:rsidP="00423534">
      <w:pPr>
        <w:suppressAutoHyphens/>
        <w:spacing w:line="360" w:lineRule="auto"/>
        <w:contextualSpacing/>
        <w:jc w:val="both"/>
        <w:rPr>
          <w:rFonts w:asciiTheme="minorHAnsi" w:hAnsiTheme="minorHAnsi" w:cs="Arial"/>
          <w:szCs w:val="22"/>
          <w:lang w:val="en-IN"/>
        </w:rPr>
      </w:pPr>
    </w:p>
    <w:p w14:paraId="38C02855" w14:textId="77777777" w:rsidR="00423534" w:rsidRPr="001F29D8" w:rsidRDefault="00423534" w:rsidP="00AB536C">
      <w:pPr>
        <w:numPr>
          <w:ilvl w:val="0"/>
          <w:numId w:val="54"/>
        </w:numPr>
        <w:tabs>
          <w:tab w:val="left" w:pos="851"/>
        </w:tabs>
        <w:suppressAutoHyphens/>
        <w:spacing w:line="360" w:lineRule="auto"/>
        <w:ind w:left="567" w:firstLine="0"/>
        <w:contextualSpacing/>
        <w:jc w:val="both"/>
        <w:rPr>
          <w:rFonts w:asciiTheme="minorHAnsi" w:hAnsiTheme="minorHAnsi" w:cs="Arial"/>
          <w:b/>
          <w:bCs/>
          <w:iCs/>
          <w:szCs w:val="22"/>
          <w:lang w:val="en-IN"/>
        </w:rPr>
      </w:pPr>
      <w:r w:rsidRPr="001F29D8">
        <w:rPr>
          <w:rFonts w:asciiTheme="minorHAnsi" w:hAnsiTheme="minorHAnsi" w:cs="Arial"/>
          <w:b/>
          <w:bCs/>
          <w:iCs/>
          <w:szCs w:val="22"/>
          <w:lang w:val="en-IN"/>
        </w:rPr>
        <w:t xml:space="preserve"> Repair and Maintenance:</w:t>
      </w:r>
    </w:p>
    <w:p w14:paraId="3ED822EA" w14:textId="77777777" w:rsidR="00423534" w:rsidRPr="004954F9" w:rsidRDefault="00423534" w:rsidP="00423534">
      <w:pPr>
        <w:suppressAutoHyphens/>
        <w:spacing w:line="360" w:lineRule="auto"/>
        <w:ind w:left="720"/>
        <w:contextualSpacing/>
        <w:jc w:val="both"/>
        <w:rPr>
          <w:rFonts w:asciiTheme="minorHAnsi" w:hAnsiTheme="minorHAnsi" w:cs="Arial"/>
          <w:b/>
          <w:bCs/>
          <w:i/>
          <w:iCs/>
          <w:sz w:val="22"/>
          <w:szCs w:val="22"/>
          <w:lang w:val="en-IN"/>
        </w:rPr>
      </w:pPr>
    </w:p>
    <w:p w14:paraId="04C04347" w14:textId="77777777" w:rsidR="00423534" w:rsidRPr="004954F9" w:rsidRDefault="00423534" w:rsidP="00423534">
      <w:pPr>
        <w:suppressAutoHyphens/>
        <w:spacing w:line="360" w:lineRule="auto"/>
        <w:ind w:left="709"/>
        <w:contextualSpacing/>
        <w:jc w:val="both"/>
        <w:rPr>
          <w:rFonts w:asciiTheme="minorHAnsi" w:hAnsiTheme="minorHAnsi" w:cs="Arial"/>
          <w:b/>
          <w:bCs/>
          <w:i/>
          <w:iCs/>
          <w:sz w:val="22"/>
          <w:szCs w:val="22"/>
          <w:lang w:val="en-IN"/>
        </w:rPr>
      </w:pPr>
      <w:r w:rsidRPr="004954F9">
        <w:rPr>
          <w:rFonts w:asciiTheme="minorHAnsi" w:hAnsiTheme="minorHAnsi" w:cs="Arial"/>
          <w:sz w:val="22"/>
          <w:szCs w:val="22"/>
        </w:rPr>
        <w:t xml:space="preserve">Hon’ble Commission </w:t>
      </w:r>
      <w:r w:rsidRPr="004954F9">
        <w:rPr>
          <w:rFonts w:asciiTheme="minorHAnsi" w:hAnsiTheme="minorHAnsi" w:cs="Arial"/>
          <w:i/>
          <w:iCs/>
          <w:sz w:val="22"/>
          <w:szCs w:val="22"/>
        </w:rPr>
        <w:t>vide</w:t>
      </w:r>
      <w:r w:rsidRPr="004954F9">
        <w:rPr>
          <w:rFonts w:asciiTheme="minorHAnsi" w:hAnsiTheme="minorHAnsi" w:cs="Arial"/>
          <w:sz w:val="22"/>
          <w:szCs w:val="22"/>
        </w:rPr>
        <w:t xml:space="preserve"> the Tariff Order FY 22-23 has allowed the Repair and Maintenance (“</w:t>
      </w:r>
      <w:r w:rsidRPr="004954F9">
        <w:rPr>
          <w:rFonts w:asciiTheme="minorHAnsi" w:hAnsiTheme="minorHAnsi" w:cs="Arial"/>
          <w:b/>
          <w:bCs/>
          <w:sz w:val="22"/>
          <w:szCs w:val="22"/>
        </w:rPr>
        <w:t>R&amp;M</w:t>
      </w:r>
      <w:r w:rsidRPr="004954F9">
        <w:rPr>
          <w:rFonts w:asciiTheme="minorHAnsi" w:hAnsiTheme="minorHAnsi" w:cs="Arial"/>
          <w:sz w:val="22"/>
          <w:szCs w:val="22"/>
        </w:rPr>
        <w:t xml:space="preserve">”) Expenditure of </w:t>
      </w:r>
      <w:r w:rsidRPr="004954F9">
        <w:rPr>
          <w:rFonts w:asciiTheme="minorHAnsi" w:hAnsiTheme="minorHAnsi" w:cs="Arial"/>
          <w:bCs/>
          <w:sz w:val="22"/>
          <w:szCs w:val="22"/>
        </w:rPr>
        <w:t>Rs. 186.43 Crores for FY 2022-23,</w:t>
      </w:r>
      <w:r w:rsidRPr="004954F9">
        <w:rPr>
          <w:rFonts w:asciiTheme="minorHAnsi" w:hAnsiTheme="minorHAnsi" w:cs="Arial"/>
          <w:sz w:val="22"/>
          <w:szCs w:val="22"/>
        </w:rPr>
        <w:t xml:space="preserve"> against </w:t>
      </w:r>
      <w:r w:rsidRPr="004954F9">
        <w:rPr>
          <w:rFonts w:asciiTheme="minorHAnsi" w:hAnsiTheme="minorHAnsi" w:cs="Arial"/>
          <w:bCs/>
          <w:sz w:val="22"/>
          <w:szCs w:val="22"/>
        </w:rPr>
        <w:t>TPNODL</w:t>
      </w:r>
      <w:r w:rsidRPr="004954F9">
        <w:rPr>
          <w:rFonts w:asciiTheme="minorHAnsi" w:hAnsiTheme="minorHAnsi" w:cs="Arial"/>
          <w:sz w:val="22"/>
          <w:szCs w:val="22"/>
        </w:rPr>
        <w:t xml:space="preserve">’s claim of Rs. 237.53 </w:t>
      </w:r>
      <w:r w:rsidRPr="004954F9">
        <w:rPr>
          <w:rFonts w:asciiTheme="minorHAnsi" w:hAnsiTheme="minorHAnsi" w:cs="Arial"/>
          <w:bCs/>
          <w:sz w:val="22"/>
          <w:szCs w:val="22"/>
        </w:rPr>
        <w:t>Crores</w:t>
      </w:r>
      <w:r w:rsidRPr="004954F9">
        <w:rPr>
          <w:rFonts w:asciiTheme="minorHAnsi" w:hAnsiTheme="minorHAnsi" w:cs="Arial"/>
          <w:sz w:val="22"/>
          <w:szCs w:val="22"/>
        </w:rPr>
        <w:t xml:space="preserve">. However, Hon’ble Commission did not provide any reasoning while disallowing the said amount of Rs. 51.1 Crores towards R&amp;M Expenditure. </w:t>
      </w:r>
      <w:r w:rsidRPr="004954F9">
        <w:rPr>
          <w:rFonts w:asciiTheme="minorHAnsi" w:hAnsiTheme="minorHAnsi" w:cs="Arial"/>
          <w:sz w:val="22"/>
          <w:szCs w:val="22"/>
          <w:lang w:val="en-IN"/>
        </w:rPr>
        <w:t xml:space="preserve">It is submitted that the Actual R&amp;M Expenditure for FY 2022-23 amounts to </w:t>
      </w:r>
      <w:r w:rsidRPr="004954F9">
        <w:rPr>
          <w:rFonts w:asciiTheme="minorHAnsi" w:hAnsiTheme="minorHAnsi" w:cs="Arial"/>
          <w:b/>
          <w:bCs/>
          <w:sz w:val="22"/>
          <w:szCs w:val="22"/>
          <w:lang w:val="en-IN"/>
        </w:rPr>
        <w:t>Rs. 237.53 Crores</w:t>
      </w:r>
      <w:r w:rsidRPr="004954F9">
        <w:rPr>
          <w:rFonts w:asciiTheme="minorHAnsi" w:hAnsiTheme="minorHAnsi" w:cs="Arial"/>
          <w:sz w:val="22"/>
          <w:szCs w:val="22"/>
          <w:lang w:val="en-IN"/>
        </w:rPr>
        <w:t>. It is submitted that the appropriate R&amp;M of system network is the key to supply reliable and quality power to the consumers.</w:t>
      </w:r>
    </w:p>
    <w:p w14:paraId="5EE1AD38" w14:textId="77777777" w:rsidR="00423534" w:rsidRPr="004954F9" w:rsidRDefault="00423534" w:rsidP="00423534">
      <w:pPr>
        <w:suppressAutoHyphens/>
        <w:spacing w:after="200" w:line="360" w:lineRule="auto"/>
        <w:ind w:left="720" w:hanging="425"/>
        <w:contextualSpacing/>
        <w:jc w:val="both"/>
        <w:rPr>
          <w:rFonts w:asciiTheme="minorHAnsi" w:hAnsiTheme="minorHAnsi" w:cs="Arial"/>
          <w:sz w:val="22"/>
          <w:szCs w:val="22"/>
          <w:lang w:val="en-IN"/>
        </w:rPr>
      </w:pPr>
    </w:p>
    <w:p w14:paraId="12BF208D" w14:textId="77777777" w:rsidR="00423534" w:rsidRPr="004954F9" w:rsidRDefault="00423534" w:rsidP="00423534">
      <w:pPr>
        <w:suppressAutoHyphens/>
        <w:spacing w:line="360" w:lineRule="auto"/>
        <w:ind w:left="709"/>
        <w:contextualSpacing/>
        <w:jc w:val="both"/>
        <w:rPr>
          <w:rFonts w:asciiTheme="minorHAnsi" w:hAnsiTheme="minorHAnsi" w:cs="Arial"/>
          <w:b/>
          <w:bCs/>
          <w:i/>
          <w:iCs/>
          <w:sz w:val="22"/>
          <w:szCs w:val="22"/>
          <w:lang w:val="en-IN"/>
        </w:rPr>
      </w:pPr>
      <w:r w:rsidRPr="004954F9">
        <w:rPr>
          <w:rFonts w:asciiTheme="minorHAnsi" w:hAnsiTheme="minorHAnsi" w:cs="Arial"/>
          <w:sz w:val="22"/>
          <w:szCs w:val="22"/>
          <w:lang w:val="en-IN"/>
        </w:rPr>
        <w:t>It is submitted that, during the performance review for the FY 2022-23 by Hon’ble Commission and during the 34</w:t>
      </w:r>
      <w:r w:rsidRPr="004954F9">
        <w:rPr>
          <w:rFonts w:asciiTheme="minorHAnsi" w:hAnsiTheme="minorHAnsi" w:cs="Arial"/>
          <w:sz w:val="22"/>
          <w:szCs w:val="22"/>
          <w:vertAlign w:val="superscript"/>
          <w:lang w:val="en-IN"/>
        </w:rPr>
        <w:t>th</w:t>
      </w:r>
      <w:r w:rsidRPr="004954F9">
        <w:rPr>
          <w:rFonts w:asciiTheme="minorHAnsi" w:hAnsiTheme="minorHAnsi" w:cs="Arial"/>
          <w:sz w:val="22"/>
          <w:szCs w:val="22"/>
          <w:lang w:val="en-IN"/>
        </w:rPr>
        <w:t xml:space="preserve"> SAC Meeting dated 24.07.2023, all the DISCOMs were advised to ensure the manning of all the Rural Sections in two-shift operation, and for Urban Sections in three-shifts operation. To ensure the same, </w:t>
      </w:r>
      <w:r w:rsidRPr="004954F9">
        <w:rPr>
          <w:rFonts w:asciiTheme="minorHAnsi" w:hAnsiTheme="minorHAnsi" w:cs="Arial"/>
          <w:bCs/>
          <w:sz w:val="22"/>
          <w:szCs w:val="22"/>
        </w:rPr>
        <w:t xml:space="preserve">TPNODL </w:t>
      </w:r>
      <w:r w:rsidRPr="004954F9">
        <w:rPr>
          <w:rFonts w:asciiTheme="minorHAnsi" w:hAnsiTheme="minorHAnsi" w:cs="Arial"/>
          <w:sz w:val="22"/>
          <w:szCs w:val="22"/>
          <w:lang w:val="en-IN"/>
        </w:rPr>
        <w:t xml:space="preserve">has been duly ensuring the manning of rural Fuse Call Centres (FCCs) for no current complaints, deploying maintenance gang for preventive maintenance of DT and 11KV network, breakdown for attending 11KV and LT breakdown in two shifts in rural areas since the commencement of its role as a utility. It is submitted that the expenditure incurred by </w:t>
      </w:r>
      <w:r w:rsidRPr="004954F9">
        <w:rPr>
          <w:rFonts w:asciiTheme="minorHAnsi" w:hAnsiTheme="minorHAnsi" w:cs="Arial"/>
          <w:bCs/>
          <w:sz w:val="22"/>
          <w:szCs w:val="22"/>
        </w:rPr>
        <w:t xml:space="preserve">TPNODL </w:t>
      </w:r>
      <w:r w:rsidRPr="004954F9">
        <w:rPr>
          <w:rFonts w:asciiTheme="minorHAnsi" w:hAnsiTheme="minorHAnsi" w:cs="Arial"/>
          <w:sz w:val="22"/>
          <w:szCs w:val="22"/>
          <w:lang w:val="en-IN"/>
        </w:rPr>
        <w:t>to maintain the 2</w:t>
      </w:r>
      <w:r w:rsidRPr="004954F9">
        <w:rPr>
          <w:rFonts w:asciiTheme="minorHAnsi" w:hAnsiTheme="minorHAnsi" w:cs="Arial"/>
          <w:sz w:val="22"/>
          <w:szCs w:val="22"/>
          <w:vertAlign w:val="superscript"/>
          <w:lang w:val="en-IN"/>
        </w:rPr>
        <w:t>nd</w:t>
      </w:r>
      <w:r w:rsidRPr="004954F9">
        <w:rPr>
          <w:rFonts w:asciiTheme="minorHAnsi" w:hAnsiTheme="minorHAnsi" w:cs="Arial"/>
          <w:sz w:val="22"/>
          <w:szCs w:val="22"/>
          <w:lang w:val="en-IN"/>
        </w:rPr>
        <w:t xml:space="preserve"> shift operation in Rural Area amounts to </w:t>
      </w:r>
      <w:r w:rsidRPr="004954F9">
        <w:rPr>
          <w:rFonts w:asciiTheme="minorHAnsi" w:hAnsiTheme="minorHAnsi" w:cs="Arial"/>
          <w:b/>
          <w:bCs/>
          <w:sz w:val="22"/>
          <w:szCs w:val="22"/>
          <w:lang w:val="en-IN"/>
        </w:rPr>
        <w:t>Rs. 43.46</w:t>
      </w:r>
      <w:r w:rsidRPr="004954F9">
        <w:rPr>
          <w:rFonts w:asciiTheme="minorHAnsi" w:hAnsiTheme="minorHAnsi" w:cs="Arial"/>
          <w:sz w:val="22"/>
          <w:szCs w:val="22"/>
          <w:lang w:val="en-IN"/>
        </w:rPr>
        <w:t xml:space="preserve"> Crores, which accounts for a large part of the disallowance of Rs.51.1 Crores in FY 2022-23. </w:t>
      </w:r>
    </w:p>
    <w:p w14:paraId="49508795" w14:textId="77777777" w:rsidR="00423534" w:rsidRPr="004954F9" w:rsidRDefault="00423534" w:rsidP="00423534">
      <w:pPr>
        <w:suppressAutoHyphens/>
        <w:spacing w:after="200" w:line="360" w:lineRule="auto"/>
        <w:ind w:left="720" w:hanging="425"/>
        <w:contextualSpacing/>
        <w:jc w:val="both"/>
        <w:rPr>
          <w:rFonts w:asciiTheme="minorHAnsi" w:hAnsiTheme="minorHAnsi" w:cs="Arial"/>
          <w:b/>
          <w:bCs/>
          <w:i/>
          <w:iCs/>
          <w:sz w:val="22"/>
          <w:szCs w:val="22"/>
          <w:lang w:val="en-IN"/>
        </w:rPr>
      </w:pPr>
    </w:p>
    <w:p w14:paraId="316E281C" w14:textId="76C04AAB" w:rsidR="00423534" w:rsidRDefault="00423534" w:rsidP="00423534">
      <w:pPr>
        <w:suppressAutoHyphens/>
        <w:spacing w:line="360" w:lineRule="auto"/>
        <w:ind w:left="709"/>
        <w:contextualSpacing/>
        <w:jc w:val="both"/>
        <w:rPr>
          <w:rFonts w:asciiTheme="minorHAnsi" w:hAnsiTheme="minorHAnsi" w:cs="Arial"/>
          <w:sz w:val="22"/>
          <w:szCs w:val="22"/>
          <w:lang w:val="en-IN"/>
        </w:rPr>
      </w:pPr>
      <w:r w:rsidRPr="004954F9">
        <w:rPr>
          <w:rFonts w:asciiTheme="minorHAnsi" w:hAnsiTheme="minorHAnsi" w:cs="Arial"/>
          <w:sz w:val="22"/>
          <w:szCs w:val="22"/>
          <w:lang w:val="en-IN"/>
        </w:rPr>
        <w:t xml:space="preserve">It is submitted that </w:t>
      </w:r>
      <w:r w:rsidRPr="004954F9">
        <w:rPr>
          <w:rFonts w:asciiTheme="minorHAnsi" w:hAnsiTheme="minorHAnsi" w:cs="Arial"/>
          <w:i/>
          <w:iCs/>
          <w:sz w:val="22"/>
          <w:szCs w:val="22"/>
          <w:lang w:val="en-IN"/>
        </w:rPr>
        <w:t>vide</w:t>
      </w:r>
      <w:r w:rsidRPr="004954F9">
        <w:rPr>
          <w:rFonts w:asciiTheme="minorHAnsi" w:hAnsiTheme="minorHAnsi" w:cs="Arial"/>
          <w:sz w:val="22"/>
          <w:szCs w:val="22"/>
          <w:lang w:val="en-IN"/>
        </w:rPr>
        <w:t xml:space="preserve"> Order dated 24.03.2022 for FY 2022-23, this Hon’ble Commission allowed the R&amp;M Expenditure of only Rs. 32 Crores on an </w:t>
      </w:r>
      <w:r w:rsidRPr="004954F9">
        <w:rPr>
          <w:rFonts w:asciiTheme="minorHAnsi" w:hAnsiTheme="minorHAnsi" w:cs="Arial"/>
          <w:i/>
          <w:iCs/>
          <w:sz w:val="22"/>
          <w:szCs w:val="22"/>
          <w:lang w:val="en-IN"/>
        </w:rPr>
        <w:t>ad-hoc</w:t>
      </w:r>
      <w:r w:rsidRPr="004954F9">
        <w:rPr>
          <w:rFonts w:asciiTheme="minorHAnsi" w:hAnsiTheme="minorHAnsi" w:cs="Arial"/>
          <w:sz w:val="22"/>
          <w:szCs w:val="22"/>
          <w:lang w:val="en-IN"/>
        </w:rPr>
        <w:t xml:space="preserve"> basis towards the government funded assets. It is pertinent that based on a detailed zero-based budgeting exercise, an expenditure of </w:t>
      </w:r>
      <w:r w:rsidRPr="004954F9">
        <w:rPr>
          <w:rFonts w:asciiTheme="minorHAnsi" w:hAnsiTheme="minorHAnsi" w:cs="Arial"/>
          <w:b/>
          <w:bCs/>
          <w:sz w:val="22"/>
          <w:szCs w:val="22"/>
          <w:lang w:val="en-IN"/>
        </w:rPr>
        <w:t xml:space="preserve">Rs. </w:t>
      </w:r>
      <w:r w:rsidRPr="004954F9">
        <w:rPr>
          <w:rFonts w:asciiTheme="minorHAnsi" w:hAnsiTheme="minorHAnsi" w:cs="Arial"/>
          <w:b/>
          <w:bCs/>
          <w:sz w:val="22"/>
          <w:szCs w:val="22"/>
          <w:lang w:val="en-IN"/>
        </w:rPr>
        <w:lastRenderedPageBreak/>
        <w:t>240.01</w:t>
      </w:r>
      <w:r w:rsidRPr="004954F9">
        <w:rPr>
          <w:rFonts w:asciiTheme="minorHAnsi" w:hAnsiTheme="minorHAnsi" w:cs="Arial"/>
          <w:sz w:val="22"/>
          <w:szCs w:val="22"/>
          <w:lang w:val="en-IN"/>
        </w:rPr>
        <w:t xml:space="preserve"> Crores was estimated towards R&amp;M Expenditure. Further, the network area of such assets is spread </w:t>
      </w:r>
      <w:proofErr w:type="spellStart"/>
      <w:r w:rsidRPr="004954F9">
        <w:rPr>
          <w:rFonts w:asciiTheme="minorHAnsi" w:hAnsiTheme="minorHAnsi" w:cs="Arial"/>
          <w:sz w:val="22"/>
          <w:szCs w:val="22"/>
          <w:lang w:val="en-IN"/>
        </w:rPr>
        <w:t>upto</w:t>
      </w:r>
      <w:proofErr w:type="spellEnd"/>
      <w:r w:rsidRPr="004954F9">
        <w:rPr>
          <w:rFonts w:asciiTheme="minorHAnsi" w:hAnsiTheme="minorHAnsi" w:cs="Arial"/>
          <w:sz w:val="22"/>
          <w:szCs w:val="22"/>
          <w:lang w:val="en-IN"/>
        </w:rPr>
        <w:t xml:space="preserve"> </w:t>
      </w:r>
      <w:r w:rsidRPr="004954F9">
        <w:rPr>
          <w:rFonts w:asciiTheme="minorHAnsi" w:hAnsiTheme="minorHAnsi" w:cs="Arial"/>
          <w:bCs/>
          <w:sz w:val="22"/>
          <w:szCs w:val="22"/>
          <w:lang w:val="en-IN"/>
        </w:rPr>
        <w:t>27,857 Sq. Kms</w:t>
      </w:r>
      <w:r w:rsidRPr="004954F9">
        <w:rPr>
          <w:rFonts w:asciiTheme="minorHAnsi" w:hAnsiTheme="minorHAnsi" w:cs="Arial"/>
          <w:sz w:val="22"/>
          <w:szCs w:val="22"/>
          <w:lang w:val="en-IN"/>
        </w:rPr>
        <w:t xml:space="preserve">, covering a large geographical </w:t>
      </w:r>
      <w:proofErr w:type="spellStart"/>
      <w:r w:rsidR="00A35221">
        <w:rPr>
          <w:rFonts w:asciiTheme="minorHAnsi" w:hAnsiTheme="minorHAnsi" w:cs="Arial"/>
          <w:sz w:val="22"/>
          <w:szCs w:val="22"/>
          <w:lang w:val="en-IN"/>
        </w:rPr>
        <w:t>Licensee</w:t>
      </w:r>
      <w:r w:rsidRPr="004954F9">
        <w:rPr>
          <w:rFonts w:asciiTheme="minorHAnsi" w:hAnsiTheme="minorHAnsi" w:cs="Arial"/>
          <w:sz w:val="22"/>
          <w:szCs w:val="22"/>
          <w:lang w:val="en-IN"/>
        </w:rPr>
        <w:t>d</w:t>
      </w:r>
      <w:proofErr w:type="spellEnd"/>
      <w:r w:rsidRPr="004954F9">
        <w:rPr>
          <w:rFonts w:asciiTheme="minorHAnsi" w:hAnsiTheme="minorHAnsi" w:cs="Arial"/>
          <w:sz w:val="22"/>
          <w:szCs w:val="22"/>
          <w:lang w:val="en-IN"/>
        </w:rPr>
        <w:t xml:space="preserve"> area of </w:t>
      </w:r>
      <w:r w:rsidRPr="004954F9">
        <w:rPr>
          <w:rFonts w:asciiTheme="minorHAnsi" w:hAnsiTheme="minorHAnsi" w:cs="Arial"/>
          <w:bCs/>
          <w:sz w:val="22"/>
          <w:szCs w:val="22"/>
        </w:rPr>
        <w:t xml:space="preserve">TPNODL </w:t>
      </w:r>
      <w:r w:rsidRPr="004954F9">
        <w:rPr>
          <w:rFonts w:asciiTheme="minorHAnsi" w:hAnsiTheme="minorHAnsi" w:cs="Arial"/>
          <w:sz w:val="22"/>
          <w:szCs w:val="22"/>
          <w:lang w:val="en-IN"/>
        </w:rPr>
        <w:t xml:space="preserve">and therefore </w:t>
      </w:r>
      <w:r w:rsidRPr="004954F9">
        <w:rPr>
          <w:rFonts w:asciiTheme="minorHAnsi" w:hAnsiTheme="minorHAnsi" w:cs="Arial"/>
          <w:bCs/>
          <w:sz w:val="22"/>
          <w:szCs w:val="22"/>
        </w:rPr>
        <w:t xml:space="preserve">TPNODL submits </w:t>
      </w:r>
      <w:proofErr w:type="gramStart"/>
      <w:r w:rsidRPr="004954F9">
        <w:rPr>
          <w:rFonts w:asciiTheme="minorHAnsi" w:hAnsiTheme="minorHAnsi" w:cs="Arial"/>
          <w:bCs/>
          <w:sz w:val="22"/>
          <w:szCs w:val="22"/>
        </w:rPr>
        <w:t xml:space="preserve">before </w:t>
      </w:r>
      <w:r w:rsidRPr="004954F9">
        <w:rPr>
          <w:rFonts w:asciiTheme="minorHAnsi" w:hAnsiTheme="minorHAnsi" w:cs="Arial"/>
          <w:sz w:val="22"/>
          <w:szCs w:val="22"/>
          <w:lang w:val="en-IN"/>
        </w:rPr>
        <w:t xml:space="preserve"> Hon’ble</w:t>
      </w:r>
      <w:proofErr w:type="gramEnd"/>
      <w:r w:rsidRPr="004954F9">
        <w:rPr>
          <w:rFonts w:asciiTheme="minorHAnsi" w:hAnsiTheme="minorHAnsi" w:cs="Arial"/>
          <w:sz w:val="22"/>
          <w:szCs w:val="22"/>
          <w:lang w:val="en-IN"/>
        </w:rPr>
        <w:t xml:space="preserve"> Commission to may allow the R&amp;M Expenditure of </w:t>
      </w:r>
      <w:r w:rsidRPr="004954F9">
        <w:rPr>
          <w:rFonts w:asciiTheme="minorHAnsi" w:hAnsiTheme="minorHAnsi" w:cs="Arial"/>
          <w:b/>
          <w:bCs/>
          <w:sz w:val="22"/>
          <w:szCs w:val="22"/>
          <w:lang w:val="en-IN"/>
        </w:rPr>
        <w:t>Rs. 237.53 Crores</w:t>
      </w:r>
      <w:r w:rsidRPr="004954F9">
        <w:rPr>
          <w:rFonts w:asciiTheme="minorHAnsi" w:hAnsiTheme="minorHAnsi" w:cs="Arial"/>
          <w:sz w:val="22"/>
          <w:szCs w:val="22"/>
          <w:lang w:val="en-IN"/>
        </w:rPr>
        <w:t xml:space="preserve"> which is towards the genuine maintenance and operation of electrical equipment in that area.</w:t>
      </w:r>
    </w:p>
    <w:p w14:paraId="49FD6D31" w14:textId="77777777" w:rsidR="00557ED5" w:rsidRPr="004954F9" w:rsidRDefault="00557ED5" w:rsidP="00423534">
      <w:pPr>
        <w:suppressAutoHyphens/>
        <w:spacing w:line="360" w:lineRule="auto"/>
        <w:ind w:left="709"/>
        <w:contextualSpacing/>
        <w:jc w:val="both"/>
        <w:rPr>
          <w:rFonts w:asciiTheme="minorHAnsi" w:hAnsiTheme="minorHAnsi" w:cs="Arial"/>
          <w:b/>
          <w:bCs/>
          <w:i/>
          <w:iCs/>
          <w:sz w:val="22"/>
          <w:szCs w:val="22"/>
          <w:lang w:val="en-IN"/>
        </w:rPr>
      </w:pPr>
    </w:p>
    <w:p w14:paraId="6A0590DD" w14:textId="77777777" w:rsidR="00423534" w:rsidRPr="004954F9" w:rsidRDefault="00423534" w:rsidP="00423534">
      <w:pPr>
        <w:suppressAutoHyphens/>
        <w:spacing w:after="200" w:line="360" w:lineRule="auto"/>
        <w:ind w:left="720" w:hanging="425"/>
        <w:contextualSpacing/>
        <w:jc w:val="both"/>
        <w:rPr>
          <w:rFonts w:asciiTheme="minorHAnsi" w:hAnsiTheme="minorHAnsi" w:cs="Arial"/>
          <w:sz w:val="22"/>
          <w:szCs w:val="22"/>
          <w:lang w:val="en-IN"/>
        </w:rPr>
      </w:pPr>
      <w:r w:rsidRPr="004954F9">
        <w:rPr>
          <w:rFonts w:asciiTheme="minorHAnsi" w:hAnsiTheme="minorHAnsi" w:cs="Arial"/>
          <w:sz w:val="22"/>
          <w:szCs w:val="22"/>
          <w:lang w:val="en-IN"/>
        </w:rPr>
        <w:t xml:space="preserve">       The steps undertaken to improve the reliability of power supply and the achievements so far have been detailed in the previous sections under R&amp;M costs.</w:t>
      </w:r>
    </w:p>
    <w:p w14:paraId="72934E31" w14:textId="77777777" w:rsidR="00423534" w:rsidRPr="004954F9" w:rsidRDefault="00423534" w:rsidP="00423534">
      <w:pPr>
        <w:tabs>
          <w:tab w:val="left" w:pos="426"/>
        </w:tabs>
        <w:suppressAutoHyphens/>
        <w:spacing w:line="360" w:lineRule="auto"/>
        <w:ind w:left="709"/>
        <w:contextualSpacing/>
        <w:jc w:val="both"/>
        <w:rPr>
          <w:rFonts w:asciiTheme="minorHAnsi" w:hAnsiTheme="minorHAnsi" w:cs="Arial"/>
          <w:sz w:val="22"/>
          <w:szCs w:val="22"/>
          <w:lang w:val="en-IN"/>
        </w:rPr>
      </w:pPr>
      <w:r w:rsidRPr="004954F9">
        <w:rPr>
          <w:rFonts w:asciiTheme="minorHAnsi" w:hAnsiTheme="minorHAnsi" w:cs="Arial"/>
          <w:sz w:val="22"/>
          <w:szCs w:val="22"/>
          <w:lang w:val="en-IN"/>
        </w:rPr>
        <w:t xml:space="preserve">Therefore, TPNODL most humbly requests before Hon’ble Commission to re-consider the R&amp;M Expenditure as allowed </w:t>
      </w:r>
      <w:r w:rsidRPr="004954F9">
        <w:rPr>
          <w:rFonts w:asciiTheme="minorHAnsi" w:hAnsiTheme="minorHAnsi" w:cs="Arial"/>
          <w:i/>
          <w:iCs/>
          <w:sz w:val="22"/>
          <w:szCs w:val="22"/>
          <w:lang w:val="en-IN"/>
        </w:rPr>
        <w:t>vide</w:t>
      </w:r>
      <w:r w:rsidRPr="004954F9">
        <w:rPr>
          <w:rFonts w:asciiTheme="minorHAnsi" w:hAnsiTheme="minorHAnsi" w:cs="Arial"/>
          <w:sz w:val="22"/>
          <w:szCs w:val="22"/>
          <w:lang w:val="en-IN"/>
        </w:rPr>
        <w:t xml:space="preserve"> Tariff Order and consider allowing the amount of Rs. 237.53 Crores instead of the present allowance of Rs. 186.43 Crores.</w:t>
      </w:r>
    </w:p>
    <w:p w14:paraId="182B9AD3" w14:textId="77777777" w:rsidR="00423534" w:rsidRPr="004954F9" w:rsidRDefault="00423534" w:rsidP="00423534">
      <w:pPr>
        <w:tabs>
          <w:tab w:val="left" w:pos="426"/>
        </w:tabs>
        <w:suppressAutoHyphens/>
        <w:spacing w:line="360" w:lineRule="auto"/>
        <w:contextualSpacing/>
        <w:rPr>
          <w:rFonts w:asciiTheme="minorHAnsi" w:hAnsiTheme="minorHAnsi" w:cs="Arial"/>
          <w:b/>
          <w:sz w:val="22"/>
          <w:szCs w:val="22"/>
          <w:lang w:val="en-GB"/>
        </w:rPr>
      </w:pPr>
      <w:r w:rsidRPr="004954F9">
        <w:rPr>
          <w:rFonts w:asciiTheme="minorHAnsi" w:hAnsiTheme="minorHAnsi" w:cs="Arial"/>
          <w:b/>
          <w:sz w:val="22"/>
          <w:szCs w:val="22"/>
          <w:lang w:val="en-GB"/>
        </w:rPr>
        <w:t xml:space="preserve">                        </w:t>
      </w:r>
    </w:p>
    <w:p w14:paraId="5BDF4F37" w14:textId="3F8D043C" w:rsidR="00423534" w:rsidRPr="004954F9" w:rsidRDefault="00423534" w:rsidP="00423534">
      <w:pPr>
        <w:tabs>
          <w:tab w:val="left" w:pos="426"/>
        </w:tabs>
        <w:suppressAutoHyphens/>
        <w:spacing w:line="360" w:lineRule="auto"/>
        <w:ind w:left="709"/>
        <w:contextualSpacing/>
        <w:jc w:val="center"/>
        <w:rPr>
          <w:rFonts w:asciiTheme="minorHAnsi" w:hAnsiTheme="minorHAnsi" w:cs="Arial"/>
          <w:b/>
          <w:bCs/>
          <w:i/>
          <w:iCs/>
          <w:sz w:val="22"/>
          <w:szCs w:val="22"/>
          <w:lang w:val="en-IN"/>
        </w:rPr>
      </w:pPr>
      <w:r>
        <w:rPr>
          <w:rFonts w:asciiTheme="minorHAnsi" w:hAnsiTheme="minorHAnsi" w:cs="Arial"/>
          <w:b/>
          <w:sz w:val="22"/>
          <w:szCs w:val="22"/>
          <w:lang w:val="en-GB"/>
        </w:rPr>
        <w:t xml:space="preserve">         </w:t>
      </w:r>
      <w:r w:rsidRPr="004954F9">
        <w:rPr>
          <w:rFonts w:asciiTheme="minorHAnsi" w:hAnsiTheme="minorHAnsi" w:cs="Arial"/>
          <w:b/>
          <w:sz w:val="22"/>
          <w:szCs w:val="22"/>
          <w:lang w:val="en-GB"/>
        </w:rPr>
        <w:t xml:space="preserve">Table- </w:t>
      </w:r>
      <w:proofErr w:type="gramStart"/>
      <w:r w:rsidR="00B602FC">
        <w:rPr>
          <w:rFonts w:asciiTheme="minorHAnsi" w:hAnsiTheme="minorHAnsi" w:cs="Arial"/>
          <w:b/>
          <w:sz w:val="22"/>
          <w:szCs w:val="22"/>
          <w:lang w:val="en-GB"/>
        </w:rPr>
        <w:t>50</w:t>
      </w:r>
      <w:r w:rsidRPr="004954F9">
        <w:rPr>
          <w:rFonts w:asciiTheme="minorHAnsi" w:hAnsiTheme="minorHAnsi" w:cs="Arial"/>
          <w:b/>
          <w:sz w:val="22"/>
          <w:szCs w:val="22"/>
          <w:lang w:val="en-GB"/>
        </w:rPr>
        <w:t xml:space="preserve"> :</w:t>
      </w:r>
      <w:proofErr w:type="gramEnd"/>
      <w:r w:rsidRPr="004954F9">
        <w:rPr>
          <w:rFonts w:asciiTheme="minorHAnsi" w:hAnsiTheme="minorHAnsi" w:cs="Arial"/>
          <w:b/>
          <w:sz w:val="22"/>
          <w:szCs w:val="22"/>
          <w:lang w:val="en-GB"/>
        </w:rPr>
        <w:t xml:space="preserve"> </w:t>
      </w:r>
      <w:r w:rsidR="00C25C59">
        <w:rPr>
          <w:rFonts w:asciiTheme="minorHAnsi" w:hAnsiTheme="minorHAnsi" w:cs="Arial"/>
          <w:b/>
          <w:sz w:val="22"/>
          <w:szCs w:val="22"/>
          <w:lang w:val="en-GB"/>
        </w:rPr>
        <w:t xml:space="preserve"> R&amp;M </w:t>
      </w:r>
      <w:proofErr w:type="spellStart"/>
      <w:r w:rsidR="00C25C59">
        <w:rPr>
          <w:rFonts w:asciiTheme="minorHAnsi" w:hAnsiTheme="minorHAnsi" w:cs="Arial"/>
          <w:b/>
          <w:sz w:val="22"/>
          <w:szCs w:val="22"/>
          <w:lang w:val="en-GB"/>
        </w:rPr>
        <w:t>Expenses_FY</w:t>
      </w:r>
      <w:proofErr w:type="spellEnd"/>
      <w:r w:rsidR="00C25C59">
        <w:rPr>
          <w:rFonts w:asciiTheme="minorHAnsi" w:hAnsiTheme="minorHAnsi" w:cs="Arial"/>
          <w:b/>
          <w:sz w:val="22"/>
          <w:szCs w:val="22"/>
          <w:lang w:val="en-GB"/>
        </w:rPr>
        <w:t xml:space="preserve"> 22-23_ </w:t>
      </w:r>
      <w:r w:rsidRPr="004954F9">
        <w:rPr>
          <w:rFonts w:asciiTheme="minorHAnsi" w:hAnsiTheme="minorHAnsi" w:cs="Arial"/>
          <w:b/>
          <w:sz w:val="22"/>
          <w:szCs w:val="22"/>
          <w:lang w:val="en-GB"/>
        </w:rPr>
        <w:t xml:space="preserve">Approved vis-à-vis- Actual                        </w:t>
      </w:r>
      <w:r w:rsidRPr="004954F9">
        <w:rPr>
          <w:rFonts w:asciiTheme="minorHAnsi" w:hAnsiTheme="minorHAnsi" w:cs="Arial"/>
          <w:b/>
          <w:bCs/>
          <w:sz w:val="22"/>
          <w:szCs w:val="22"/>
          <w:lang w:val="en-IN"/>
        </w:rPr>
        <w:t xml:space="preserve"> (Rs. </w:t>
      </w:r>
      <w:proofErr w:type="spellStart"/>
      <w:r w:rsidRPr="004954F9">
        <w:rPr>
          <w:rFonts w:asciiTheme="minorHAnsi" w:hAnsiTheme="minorHAnsi" w:cs="Arial"/>
          <w:b/>
          <w:bCs/>
          <w:sz w:val="22"/>
          <w:szCs w:val="22"/>
          <w:lang w:val="en-IN"/>
        </w:rPr>
        <w:t>Crs</w:t>
      </w:r>
      <w:proofErr w:type="spellEnd"/>
      <w:r w:rsidRPr="004954F9">
        <w:rPr>
          <w:rFonts w:asciiTheme="minorHAnsi" w:hAnsiTheme="minorHAnsi" w:cs="Arial"/>
          <w:b/>
          <w:bCs/>
          <w:sz w:val="22"/>
          <w:szCs w:val="22"/>
          <w:lang w:val="en-IN"/>
        </w:rPr>
        <w:t>)</w:t>
      </w:r>
    </w:p>
    <w:tbl>
      <w:tblPr>
        <w:tblStyle w:val="TableGrid4"/>
        <w:tblW w:w="8756" w:type="dxa"/>
        <w:tblInd w:w="567" w:type="dxa"/>
        <w:tblLayout w:type="fixed"/>
        <w:tblLook w:val="04A0" w:firstRow="1" w:lastRow="0" w:firstColumn="1" w:lastColumn="0" w:noHBand="0" w:noVBand="1"/>
      </w:tblPr>
      <w:tblGrid>
        <w:gridCol w:w="2928"/>
        <w:gridCol w:w="2454"/>
        <w:gridCol w:w="3374"/>
      </w:tblGrid>
      <w:tr w:rsidR="00423534" w:rsidRPr="004954F9" w14:paraId="77A0B73F" w14:textId="77777777" w:rsidTr="00423534">
        <w:tc>
          <w:tcPr>
            <w:tcW w:w="2928" w:type="dxa"/>
            <w:shd w:val="clear" w:color="auto" w:fill="9CC2E5"/>
          </w:tcPr>
          <w:p w14:paraId="20EEE486" w14:textId="77777777" w:rsidR="00423534" w:rsidRPr="004954F9" w:rsidRDefault="00423534" w:rsidP="00423534">
            <w:pPr>
              <w:tabs>
                <w:tab w:val="left" w:pos="426"/>
              </w:tabs>
              <w:spacing w:line="360" w:lineRule="auto"/>
              <w:ind w:right="-23"/>
              <w:jc w:val="center"/>
              <w:rPr>
                <w:rFonts w:asciiTheme="minorHAnsi" w:hAnsiTheme="minorHAnsi" w:cs="Arial"/>
                <w:b/>
                <w:bCs/>
                <w:sz w:val="22"/>
                <w:szCs w:val="22"/>
              </w:rPr>
            </w:pPr>
            <w:r w:rsidRPr="004954F9">
              <w:rPr>
                <w:rFonts w:asciiTheme="minorHAnsi" w:hAnsiTheme="minorHAnsi" w:cs="Arial"/>
                <w:b/>
                <w:bCs/>
                <w:sz w:val="22"/>
                <w:szCs w:val="22"/>
              </w:rPr>
              <w:t>Approved</w:t>
            </w:r>
          </w:p>
        </w:tc>
        <w:tc>
          <w:tcPr>
            <w:tcW w:w="2454" w:type="dxa"/>
            <w:shd w:val="clear" w:color="auto" w:fill="9CC2E5"/>
          </w:tcPr>
          <w:p w14:paraId="07C19F9B" w14:textId="77777777" w:rsidR="00423534" w:rsidRPr="004954F9" w:rsidRDefault="00423534" w:rsidP="00423534">
            <w:pPr>
              <w:tabs>
                <w:tab w:val="left" w:pos="426"/>
              </w:tabs>
              <w:spacing w:line="360" w:lineRule="auto"/>
              <w:ind w:right="-23"/>
              <w:jc w:val="center"/>
              <w:rPr>
                <w:rFonts w:asciiTheme="minorHAnsi" w:hAnsiTheme="minorHAnsi" w:cs="Arial"/>
                <w:b/>
                <w:bCs/>
                <w:sz w:val="22"/>
                <w:szCs w:val="22"/>
              </w:rPr>
            </w:pPr>
            <w:r w:rsidRPr="004954F9">
              <w:rPr>
                <w:rFonts w:asciiTheme="minorHAnsi" w:hAnsiTheme="minorHAnsi" w:cs="Arial"/>
                <w:b/>
                <w:bCs/>
                <w:sz w:val="22"/>
                <w:szCs w:val="22"/>
              </w:rPr>
              <w:t>Actual</w:t>
            </w:r>
          </w:p>
        </w:tc>
        <w:tc>
          <w:tcPr>
            <w:tcW w:w="3374" w:type="dxa"/>
            <w:shd w:val="clear" w:color="auto" w:fill="9CC2E5"/>
          </w:tcPr>
          <w:p w14:paraId="2A14B641" w14:textId="77777777" w:rsidR="00423534" w:rsidRPr="004954F9" w:rsidRDefault="00423534" w:rsidP="00423534">
            <w:pPr>
              <w:tabs>
                <w:tab w:val="left" w:pos="426"/>
              </w:tabs>
              <w:spacing w:line="360" w:lineRule="auto"/>
              <w:ind w:right="-23"/>
              <w:jc w:val="center"/>
              <w:rPr>
                <w:rFonts w:asciiTheme="minorHAnsi" w:hAnsiTheme="minorHAnsi" w:cs="Arial"/>
                <w:b/>
                <w:bCs/>
                <w:sz w:val="22"/>
                <w:szCs w:val="22"/>
              </w:rPr>
            </w:pPr>
            <w:r w:rsidRPr="004954F9">
              <w:rPr>
                <w:rFonts w:asciiTheme="minorHAnsi" w:hAnsiTheme="minorHAnsi" w:cs="Arial"/>
                <w:b/>
                <w:bCs/>
                <w:sz w:val="22"/>
                <w:szCs w:val="22"/>
              </w:rPr>
              <w:t>Difference</w:t>
            </w:r>
            <w:r>
              <w:rPr>
                <w:rFonts w:asciiTheme="minorHAnsi" w:hAnsiTheme="minorHAnsi" w:cs="Arial"/>
                <w:b/>
                <w:bCs/>
                <w:sz w:val="22"/>
                <w:szCs w:val="22"/>
              </w:rPr>
              <w:t xml:space="preserve"> </w:t>
            </w:r>
            <w:r w:rsidRPr="004954F9">
              <w:rPr>
                <w:rFonts w:asciiTheme="minorHAnsi" w:hAnsiTheme="minorHAnsi" w:cs="Arial"/>
                <w:b/>
                <w:bCs/>
                <w:sz w:val="22"/>
                <w:szCs w:val="22"/>
              </w:rPr>
              <w:t>(Approved-Actual)</w:t>
            </w:r>
          </w:p>
        </w:tc>
      </w:tr>
      <w:tr w:rsidR="00423534" w:rsidRPr="004954F9" w14:paraId="37AE02E9" w14:textId="77777777" w:rsidTr="00423534">
        <w:tc>
          <w:tcPr>
            <w:tcW w:w="2928" w:type="dxa"/>
          </w:tcPr>
          <w:p w14:paraId="6BA2F1B5" w14:textId="77777777" w:rsidR="00423534" w:rsidRPr="004954F9" w:rsidRDefault="00423534" w:rsidP="00423534">
            <w:pPr>
              <w:tabs>
                <w:tab w:val="left" w:pos="426"/>
              </w:tabs>
              <w:spacing w:line="360" w:lineRule="auto"/>
              <w:ind w:right="-23"/>
              <w:jc w:val="center"/>
              <w:rPr>
                <w:rFonts w:asciiTheme="minorHAnsi" w:hAnsiTheme="minorHAnsi" w:cs="Arial"/>
                <w:b/>
                <w:bCs/>
                <w:sz w:val="22"/>
                <w:szCs w:val="22"/>
              </w:rPr>
            </w:pPr>
            <w:r w:rsidRPr="004954F9">
              <w:rPr>
                <w:rFonts w:asciiTheme="minorHAnsi" w:hAnsiTheme="minorHAnsi" w:cs="Arial"/>
                <w:b/>
                <w:bCs/>
                <w:sz w:val="22"/>
                <w:szCs w:val="22"/>
              </w:rPr>
              <w:t>186.43</w:t>
            </w:r>
          </w:p>
        </w:tc>
        <w:tc>
          <w:tcPr>
            <w:tcW w:w="2454" w:type="dxa"/>
          </w:tcPr>
          <w:p w14:paraId="651F967A" w14:textId="77777777" w:rsidR="00423534" w:rsidRPr="004954F9" w:rsidRDefault="00423534" w:rsidP="00423534">
            <w:pPr>
              <w:tabs>
                <w:tab w:val="left" w:pos="426"/>
              </w:tabs>
              <w:spacing w:line="360" w:lineRule="auto"/>
              <w:ind w:right="-23"/>
              <w:jc w:val="center"/>
              <w:rPr>
                <w:rFonts w:asciiTheme="minorHAnsi" w:hAnsiTheme="minorHAnsi" w:cs="Arial"/>
                <w:b/>
                <w:bCs/>
                <w:sz w:val="22"/>
                <w:szCs w:val="22"/>
              </w:rPr>
            </w:pPr>
            <w:r w:rsidRPr="004954F9">
              <w:rPr>
                <w:rFonts w:asciiTheme="minorHAnsi" w:hAnsiTheme="minorHAnsi" w:cs="Arial"/>
                <w:b/>
                <w:bCs/>
                <w:sz w:val="22"/>
                <w:szCs w:val="22"/>
              </w:rPr>
              <w:t>237.53</w:t>
            </w:r>
          </w:p>
        </w:tc>
        <w:tc>
          <w:tcPr>
            <w:tcW w:w="3374" w:type="dxa"/>
          </w:tcPr>
          <w:p w14:paraId="07DCAB8D" w14:textId="77777777" w:rsidR="00423534" w:rsidRPr="004954F9" w:rsidRDefault="00423534" w:rsidP="00423534">
            <w:pPr>
              <w:tabs>
                <w:tab w:val="left" w:pos="426"/>
              </w:tabs>
              <w:spacing w:line="360" w:lineRule="auto"/>
              <w:ind w:right="-23"/>
              <w:jc w:val="center"/>
              <w:rPr>
                <w:rFonts w:asciiTheme="minorHAnsi" w:hAnsiTheme="minorHAnsi" w:cs="Arial"/>
                <w:b/>
                <w:bCs/>
                <w:sz w:val="22"/>
                <w:szCs w:val="22"/>
              </w:rPr>
            </w:pPr>
            <w:r w:rsidRPr="004954F9">
              <w:rPr>
                <w:rFonts w:asciiTheme="minorHAnsi" w:hAnsiTheme="minorHAnsi" w:cs="Arial"/>
                <w:b/>
                <w:bCs/>
                <w:sz w:val="22"/>
                <w:szCs w:val="22"/>
              </w:rPr>
              <w:t>-51.1</w:t>
            </w:r>
          </w:p>
        </w:tc>
      </w:tr>
    </w:tbl>
    <w:p w14:paraId="5841CDB2" w14:textId="77777777" w:rsidR="00B602FC" w:rsidRPr="004954F9" w:rsidRDefault="00B602FC" w:rsidP="00557ED5">
      <w:pPr>
        <w:suppressAutoHyphens/>
        <w:spacing w:line="360" w:lineRule="auto"/>
        <w:contextualSpacing/>
        <w:jc w:val="both"/>
        <w:rPr>
          <w:rFonts w:asciiTheme="minorHAnsi" w:hAnsiTheme="minorHAnsi" w:cs="Arial"/>
          <w:b/>
          <w:bCs/>
          <w:iCs/>
          <w:sz w:val="22"/>
          <w:szCs w:val="22"/>
          <w:lang w:val="en-IN"/>
        </w:rPr>
      </w:pPr>
    </w:p>
    <w:p w14:paraId="3DB70339" w14:textId="77777777" w:rsidR="00423534" w:rsidRPr="001F29D8" w:rsidRDefault="00423534" w:rsidP="00AB536C">
      <w:pPr>
        <w:numPr>
          <w:ilvl w:val="0"/>
          <w:numId w:val="54"/>
        </w:numPr>
        <w:tabs>
          <w:tab w:val="left" w:pos="851"/>
        </w:tabs>
        <w:suppressAutoHyphens/>
        <w:spacing w:line="360" w:lineRule="auto"/>
        <w:ind w:hanging="153"/>
        <w:contextualSpacing/>
        <w:jc w:val="both"/>
        <w:rPr>
          <w:rFonts w:asciiTheme="minorHAnsi" w:hAnsiTheme="minorHAnsi" w:cs="Arial"/>
          <w:b/>
          <w:bCs/>
          <w:iCs/>
          <w:szCs w:val="22"/>
          <w:lang w:val="en-IN"/>
        </w:rPr>
      </w:pPr>
      <w:r w:rsidRPr="001F29D8">
        <w:rPr>
          <w:rFonts w:asciiTheme="minorHAnsi" w:hAnsiTheme="minorHAnsi" w:cs="Arial"/>
          <w:b/>
          <w:bCs/>
          <w:iCs/>
          <w:szCs w:val="22"/>
          <w:lang w:val="en-IN"/>
        </w:rPr>
        <w:t>Administrative and General Expenditure:</w:t>
      </w:r>
    </w:p>
    <w:p w14:paraId="31036F42" w14:textId="77777777" w:rsidR="00423534" w:rsidRPr="004954F9" w:rsidRDefault="00423534" w:rsidP="00423534">
      <w:pPr>
        <w:suppressAutoHyphens/>
        <w:spacing w:line="360" w:lineRule="auto"/>
        <w:ind w:left="720"/>
        <w:contextualSpacing/>
        <w:jc w:val="both"/>
        <w:rPr>
          <w:rFonts w:asciiTheme="minorHAnsi" w:hAnsiTheme="minorHAnsi" w:cs="Arial"/>
          <w:b/>
          <w:bCs/>
          <w:i/>
          <w:iCs/>
          <w:sz w:val="22"/>
          <w:szCs w:val="22"/>
          <w:lang w:val="en-IN"/>
        </w:rPr>
      </w:pPr>
    </w:p>
    <w:p w14:paraId="6BD010BD" w14:textId="77777777" w:rsidR="00423534" w:rsidRPr="004954F9" w:rsidRDefault="00423534" w:rsidP="00423534">
      <w:pPr>
        <w:suppressAutoHyphens/>
        <w:spacing w:line="360" w:lineRule="auto"/>
        <w:ind w:left="709"/>
        <w:contextualSpacing/>
        <w:jc w:val="both"/>
        <w:rPr>
          <w:rFonts w:asciiTheme="minorHAnsi" w:hAnsiTheme="minorHAnsi" w:cs="Arial"/>
          <w:sz w:val="22"/>
          <w:szCs w:val="22"/>
        </w:rPr>
      </w:pPr>
      <w:r w:rsidRPr="004954F9">
        <w:rPr>
          <w:rFonts w:asciiTheme="minorHAnsi" w:hAnsiTheme="minorHAnsi" w:cs="Arial"/>
          <w:sz w:val="22"/>
          <w:szCs w:val="22"/>
        </w:rPr>
        <w:t xml:space="preserve">Hon’ble Commission </w:t>
      </w:r>
      <w:r w:rsidRPr="004954F9">
        <w:rPr>
          <w:rFonts w:asciiTheme="minorHAnsi" w:hAnsiTheme="minorHAnsi" w:cs="Arial"/>
          <w:i/>
          <w:iCs/>
          <w:sz w:val="22"/>
          <w:szCs w:val="22"/>
        </w:rPr>
        <w:t>vide</w:t>
      </w:r>
      <w:r w:rsidRPr="004954F9">
        <w:rPr>
          <w:rFonts w:asciiTheme="minorHAnsi" w:hAnsiTheme="minorHAnsi" w:cs="Arial"/>
          <w:sz w:val="22"/>
          <w:szCs w:val="22"/>
        </w:rPr>
        <w:t xml:space="preserve"> the Tariff Order has allowed the Administrative and General (“</w:t>
      </w:r>
      <w:r w:rsidRPr="004954F9">
        <w:rPr>
          <w:rFonts w:asciiTheme="minorHAnsi" w:hAnsiTheme="minorHAnsi" w:cs="Arial"/>
          <w:b/>
          <w:bCs/>
          <w:sz w:val="22"/>
          <w:szCs w:val="22"/>
        </w:rPr>
        <w:t>A&amp;G</w:t>
      </w:r>
      <w:r w:rsidRPr="004954F9">
        <w:rPr>
          <w:rFonts w:asciiTheme="minorHAnsi" w:hAnsiTheme="minorHAnsi" w:cs="Arial"/>
          <w:sz w:val="22"/>
          <w:szCs w:val="22"/>
        </w:rPr>
        <w:t xml:space="preserve">”) Expenditure of </w:t>
      </w:r>
      <w:r w:rsidRPr="004954F9">
        <w:rPr>
          <w:rFonts w:asciiTheme="minorHAnsi" w:hAnsiTheme="minorHAnsi" w:cs="Arial"/>
          <w:bCs/>
          <w:sz w:val="22"/>
          <w:szCs w:val="22"/>
        </w:rPr>
        <w:t>Rs. 84.23 Crores for FY 2022-23,</w:t>
      </w:r>
      <w:r w:rsidRPr="004954F9">
        <w:rPr>
          <w:rFonts w:asciiTheme="minorHAnsi" w:hAnsiTheme="minorHAnsi" w:cs="Arial"/>
          <w:sz w:val="22"/>
          <w:szCs w:val="22"/>
        </w:rPr>
        <w:t xml:space="preserve"> against </w:t>
      </w:r>
      <w:r w:rsidRPr="004954F9">
        <w:rPr>
          <w:rFonts w:asciiTheme="minorHAnsi" w:hAnsiTheme="minorHAnsi" w:cs="Arial"/>
          <w:bCs/>
          <w:sz w:val="22"/>
          <w:szCs w:val="22"/>
        </w:rPr>
        <w:t>TPNODL</w:t>
      </w:r>
      <w:r w:rsidRPr="004954F9">
        <w:rPr>
          <w:rFonts w:asciiTheme="minorHAnsi" w:hAnsiTheme="minorHAnsi" w:cs="Arial"/>
          <w:sz w:val="22"/>
          <w:szCs w:val="22"/>
        </w:rPr>
        <w:t xml:space="preserve">’s claim of Rs. 112.55 </w:t>
      </w:r>
      <w:r w:rsidRPr="004954F9">
        <w:rPr>
          <w:rFonts w:asciiTheme="minorHAnsi" w:hAnsiTheme="minorHAnsi" w:cs="Arial"/>
          <w:bCs/>
          <w:sz w:val="22"/>
          <w:szCs w:val="22"/>
        </w:rPr>
        <w:t>Crores</w:t>
      </w:r>
      <w:r w:rsidRPr="004954F9">
        <w:rPr>
          <w:rFonts w:asciiTheme="minorHAnsi" w:hAnsiTheme="minorHAnsi" w:cs="Arial"/>
          <w:sz w:val="22"/>
          <w:szCs w:val="22"/>
        </w:rPr>
        <w:t>. This approved A&amp;G expenses.</w:t>
      </w:r>
    </w:p>
    <w:p w14:paraId="281F13BB" w14:textId="77777777" w:rsidR="00423534" w:rsidRPr="004954F9" w:rsidRDefault="00423534" w:rsidP="00423534">
      <w:pPr>
        <w:tabs>
          <w:tab w:val="left" w:pos="426"/>
        </w:tabs>
        <w:suppressAutoHyphens/>
        <w:spacing w:line="360" w:lineRule="auto"/>
        <w:jc w:val="both"/>
        <w:rPr>
          <w:rFonts w:asciiTheme="minorHAnsi" w:hAnsiTheme="minorHAnsi" w:cs="Arial"/>
          <w:sz w:val="22"/>
          <w:szCs w:val="22"/>
          <w:lang w:val="en-IN" w:eastAsia="en-IN"/>
        </w:rPr>
      </w:pPr>
    </w:p>
    <w:p w14:paraId="4B44A428" w14:textId="77777777" w:rsidR="00423534" w:rsidRPr="004954F9" w:rsidRDefault="00423534" w:rsidP="00423534">
      <w:pPr>
        <w:tabs>
          <w:tab w:val="left" w:pos="709"/>
        </w:tabs>
        <w:suppressAutoHyphens/>
        <w:spacing w:line="360" w:lineRule="auto"/>
        <w:ind w:left="709" w:right="-23"/>
        <w:jc w:val="both"/>
        <w:rPr>
          <w:rFonts w:asciiTheme="minorHAnsi" w:hAnsiTheme="minorHAnsi" w:cs="Arial"/>
          <w:sz w:val="22"/>
          <w:szCs w:val="22"/>
          <w:lang w:val="en-IN" w:eastAsia="en-IN"/>
        </w:rPr>
      </w:pPr>
      <w:r w:rsidRPr="004954F9">
        <w:rPr>
          <w:rFonts w:asciiTheme="minorHAnsi" w:hAnsiTheme="minorHAnsi" w:cs="Arial"/>
          <w:sz w:val="22"/>
          <w:szCs w:val="22"/>
          <w:lang w:val="en-IN" w:eastAsia="en-IN"/>
        </w:rPr>
        <w:t>Hon’ble Commission has allowed Rs.49.20Crores for the FY 21-22 while approving the Tariff order basing the application filed by NESCO Utility. After taking over, TPNODL filed the Annual Business Plan for FY 21-22 before Hon’ble Commission proposing A&amp;G expenditure of Rs.139.83Crores. Considering the submission made by the licensee in the ABP application for FY 21-22, Hon’ble Commission had allowed additional 60% of the previous approval of Rs.49.20 Crores, making the total approval under A&amp;G expenses for the FY 21-22 Rs.78.72 Crores.</w:t>
      </w:r>
    </w:p>
    <w:p w14:paraId="235A675A" w14:textId="77777777" w:rsidR="00423534" w:rsidRPr="004954F9" w:rsidRDefault="00423534" w:rsidP="00423534">
      <w:pPr>
        <w:tabs>
          <w:tab w:val="left" w:pos="709"/>
        </w:tabs>
        <w:suppressAutoHyphens/>
        <w:spacing w:line="360" w:lineRule="auto"/>
        <w:ind w:left="709" w:right="-23"/>
        <w:jc w:val="both"/>
        <w:rPr>
          <w:rFonts w:asciiTheme="minorHAnsi" w:hAnsiTheme="minorHAnsi" w:cs="Arial"/>
          <w:sz w:val="22"/>
          <w:szCs w:val="22"/>
          <w:lang w:val="en-IN" w:eastAsia="en-IN"/>
        </w:rPr>
      </w:pPr>
    </w:p>
    <w:p w14:paraId="5E3BB2D9" w14:textId="77777777" w:rsidR="00423534" w:rsidRPr="004954F9" w:rsidRDefault="00423534" w:rsidP="00423534">
      <w:pPr>
        <w:tabs>
          <w:tab w:val="left" w:pos="709"/>
        </w:tabs>
        <w:suppressAutoHyphens/>
        <w:spacing w:line="360" w:lineRule="auto"/>
        <w:ind w:left="709" w:right="-23"/>
        <w:jc w:val="both"/>
        <w:rPr>
          <w:rFonts w:asciiTheme="minorHAnsi" w:hAnsiTheme="minorHAnsi" w:cs="Arial"/>
          <w:sz w:val="22"/>
          <w:szCs w:val="22"/>
          <w:lang w:val="en-IN" w:eastAsia="en-IN"/>
        </w:rPr>
      </w:pPr>
      <w:r w:rsidRPr="004954F9">
        <w:rPr>
          <w:rFonts w:asciiTheme="minorHAnsi" w:hAnsiTheme="minorHAnsi" w:cs="Arial"/>
          <w:sz w:val="22"/>
          <w:szCs w:val="22"/>
          <w:lang w:val="en-IN" w:eastAsia="en-IN"/>
        </w:rPr>
        <w:t>This approved A&amp;G expenses for FY 22-23 is based on the base A&amp;G approval of Rs.78.72Crs for FY 21-22 with 7% escalation as per Tariff Regulations.</w:t>
      </w:r>
    </w:p>
    <w:p w14:paraId="33490FCA" w14:textId="77777777" w:rsidR="00423534" w:rsidRPr="004954F9" w:rsidRDefault="00423534" w:rsidP="00423534">
      <w:pPr>
        <w:tabs>
          <w:tab w:val="left" w:pos="709"/>
        </w:tabs>
        <w:suppressAutoHyphens/>
        <w:spacing w:line="360" w:lineRule="auto"/>
        <w:ind w:left="709" w:right="-23"/>
        <w:jc w:val="both"/>
        <w:rPr>
          <w:rFonts w:asciiTheme="minorHAnsi" w:hAnsiTheme="minorHAnsi" w:cs="Arial"/>
          <w:sz w:val="22"/>
          <w:szCs w:val="22"/>
          <w:lang w:val="en-IN" w:eastAsia="en-IN"/>
        </w:rPr>
      </w:pPr>
    </w:p>
    <w:p w14:paraId="14EF93E0" w14:textId="77777777" w:rsidR="00423534" w:rsidRPr="004954F9" w:rsidRDefault="00423534" w:rsidP="00423534">
      <w:pPr>
        <w:tabs>
          <w:tab w:val="left" w:pos="709"/>
        </w:tabs>
        <w:suppressAutoHyphens/>
        <w:spacing w:line="360" w:lineRule="auto"/>
        <w:ind w:left="709" w:right="-23"/>
        <w:jc w:val="both"/>
        <w:rPr>
          <w:rFonts w:asciiTheme="minorHAnsi" w:hAnsiTheme="minorHAnsi" w:cs="Arial"/>
          <w:sz w:val="22"/>
          <w:szCs w:val="22"/>
          <w:lang w:val="en-IN" w:eastAsia="en-IN"/>
        </w:rPr>
      </w:pPr>
      <w:r w:rsidRPr="004954F9">
        <w:rPr>
          <w:rFonts w:asciiTheme="minorHAnsi" w:hAnsiTheme="minorHAnsi" w:cs="Arial"/>
          <w:sz w:val="22"/>
          <w:szCs w:val="22"/>
          <w:lang w:val="en-IN" w:eastAsia="en-IN"/>
        </w:rPr>
        <w:t>However, Hon’ble Commission has been kind enough to consider the request of the licensee and approved A&amp;G expenditure of Rs.105.24Crs.</w:t>
      </w:r>
    </w:p>
    <w:p w14:paraId="4608A389" w14:textId="77777777" w:rsidR="00423534" w:rsidRPr="004954F9" w:rsidRDefault="00423534" w:rsidP="00423534">
      <w:pPr>
        <w:suppressAutoHyphens/>
        <w:spacing w:line="360" w:lineRule="auto"/>
        <w:ind w:left="709"/>
        <w:contextualSpacing/>
        <w:jc w:val="both"/>
        <w:rPr>
          <w:rFonts w:asciiTheme="minorHAnsi" w:hAnsiTheme="minorHAnsi" w:cs="Arial"/>
          <w:sz w:val="22"/>
          <w:szCs w:val="22"/>
        </w:rPr>
      </w:pPr>
    </w:p>
    <w:p w14:paraId="54768A39" w14:textId="77777777" w:rsidR="00423534" w:rsidRPr="004954F9" w:rsidRDefault="00423534" w:rsidP="00423534">
      <w:pPr>
        <w:suppressAutoHyphens/>
        <w:spacing w:line="360" w:lineRule="auto"/>
        <w:ind w:left="709"/>
        <w:contextualSpacing/>
        <w:jc w:val="both"/>
        <w:rPr>
          <w:rFonts w:asciiTheme="minorHAnsi" w:hAnsiTheme="minorHAnsi" w:cs="Arial"/>
          <w:sz w:val="22"/>
          <w:szCs w:val="22"/>
          <w:lang w:val="en-IN"/>
        </w:rPr>
      </w:pPr>
      <w:r w:rsidRPr="004954F9">
        <w:rPr>
          <w:rFonts w:asciiTheme="minorHAnsi" w:hAnsiTheme="minorHAnsi" w:cs="Arial"/>
          <w:sz w:val="22"/>
          <w:szCs w:val="22"/>
        </w:rPr>
        <w:lastRenderedPageBreak/>
        <w:t xml:space="preserve">It is submitted certain Normal A&amp;G Expenses may need to be controlled and therefore are controllable expenses. However, it is pertinent that the Statutory A&amp;G Expenses are compulsory in nature and are governed by various statutes and thus are not controllable </w:t>
      </w:r>
      <w:r w:rsidRPr="004954F9">
        <w:rPr>
          <w:rFonts w:asciiTheme="minorHAnsi" w:hAnsiTheme="minorHAnsi" w:cs="Arial"/>
          <w:i/>
          <w:iCs/>
          <w:sz w:val="22"/>
          <w:szCs w:val="22"/>
        </w:rPr>
        <w:t>per se</w:t>
      </w:r>
      <w:r w:rsidRPr="004954F9">
        <w:rPr>
          <w:rFonts w:asciiTheme="minorHAnsi" w:hAnsiTheme="minorHAnsi" w:cs="Arial"/>
          <w:sz w:val="22"/>
          <w:szCs w:val="22"/>
        </w:rPr>
        <w:t xml:space="preserve">. Further, the MBC Expenses are dependent on the </w:t>
      </w:r>
      <w:r w:rsidRPr="004954F9">
        <w:rPr>
          <w:rFonts w:asciiTheme="minorHAnsi" w:hAnsiTheme="minorHAnsi" w:cs="Arial"/>
          <w:b/>
          <w:bCs/>
          <w:sz w:val="22"/>
          <w:szCs w:val="22"/>
        </w:rPr>
        <w:t>consumer base</w:t>
      </w:r>
      <w:r w:rsidRPr="004954F9">
        <w:rPr>
          <w:rFonts w:asciiTheme="minorHAnsi" w:hAnsiTheme="minorHAnsi" w:cs="Arial"/>
          <w:sz w:val="22"/>
          <w:szCs w:val="22"/>
        </w:rPr>
        <w:t xml:space="preserve"> and are non-controllable without compromising on the consumer satisfaction as well as the AT&amp;C Losses.  It will not be out of place that TPNODL has achieved AT&amp;C loss level of 14.19%- that is achieved a reduction in AT&amp;C of 15% in three years of operation. Therefore, </w:t>
      </w:r>
      <w:r w:rsidRPr="004954F9">
        <w:rPr>
          <w:rFonts w:asciiTheme="minorHAnsi" w:hAnsiTheme="minorHAnsi" w:cs="Arial"/>
          <w:bCs/>
          <w:sz w:val="22"/>
          <w:szCs w:val="22"/>
        </w:rPr>
        <w:t xml:space="preserve">TPNODL </w:t>
      </w:r>
      <w:r w:rsidRPr="004954F9">
        <w:rPr>
          <w:rFonts w:asciiTheme="minorHAnsi" w:hAnsiTheme="minorHAnsi" w:cs="Arial"/>
          <w:sz w:val="22"/>
          <w:szCs w:val="22"/>
        </w:rPr>
        <w:t xml:space="preserve">humbly submits that </w:t>
      </w:r>
      <w:r w:rsidRPr="004954F9">
        <w:rPr>
          <w:rFonts w:asciiTheme="minorHAnsi" w:hAnsiTheme="minorHAnsi" w:cs="Arial"/>
          <w:sz w:val="22"/>
          <w:szCs w:val="22"/>
          <w:lang w:val="en-IN"/>
        </w:rPr>
        <w:t xml:space="preserve">since the commencement of </w:t>
      </w:r>
      <w:r w:rsidRPr="004954F9">
        <w:rPr>
          <w:rFonts w:asciiTheme="minorHAnsi" w:hAnsiTheme="minorHAnsi" w:cs="Arial"/>
          <w:bCs/>
          <w:sz w:val="22"/>
          <w:szCs w:val="22"/>
        </w:rPr>
        <w:t xml:space="preserve">TPNODL’s </w:t>
      </w:r>
      <w:r w:rsidRPr="004954F9">
        <w:rPr>
          <w:rFonts w:asciiTheme="minorHAnsi" w:hAnsiTheme="minorHAnsi" w:cs="Arial"/>
          <w:sz w:val="22"/>
          <w:szCs w:val="22"/>
          <w:lang w:val="en-IN"/>
        </w:rPr>
        <w:t xml:space="preserve">role as a DISCOM, </w:t>
      </w:r>
      <w:r w:rsidRPr="004954F9">
        <w:rPr>
          <w:rFonts w:asciiTheme="minorHAnsi" w:hAnsiTheme="minorHAnsi" w:cs="Arial"/>
          <w:bCs/>
          <w:sz w:val="22"/>
          <w:szCs w:val="22"/>
        </w:rPr>
        <w:t xml:space="preserve">TPNODL </w:t>
      </w:r>
      <w:r w:rsidRPr="004954F9">
        <w:rPr>
          <w:rFonts w:asciiTheme="minorHAnsi" w:hAnsiTheme="minorHAnsi" w:cs="Arial"/>
          <w:sz w:val="22"/>
          <w:szCs w:val="22"/>
          <w:lang w:val="en-IN"/>
        </w:rPr>
        <w:t>has undertaken several measures in the area of billing and collection to improve the services to the consumers, and to reduce the AT&amp;C Loss.</w:t>
      </w:r>
    </w:p>
    <w:p w14:paraId="62A1832C" w14:textId="77777777" w:rsidR="00423534" w:rsidRPr="004954F9" w:rsidRDefault="00423534" w:rsidP="00423534">
      <w:pPr>
        <w:suppressAutoHyphens/>
        <w:spacing w:after="200" w:line="360" w:lineRule="auto"/>
        <w:ind w:left="720" w:hanging="425"/>
        <w:contextualSpacing/>
        <w:jc w:val="both"/>
        <w:rPr>
          <w:rFonts w:asciiTheme="minorHAnsi" w:hAnsiTheme="minorHAnsi" w:cs="Arial"/>
          <w:sz w:val="22"/>
          <w:szCs w:val="22"/>
          <w:lang w:val="en-IN"/>
        </w:rPr>
      </w:pPr>
    </w:p>
    <w:p w14:paraId="69322059" w14:textId="77777777" w:rsidR="00423534" w:rsidRPr="004954F9" w:rsidRDefault="00423534" w:rsidP="00423534">
      <w:pPr>
        <w:suppressAutoHyphens/>
        <w:spacing w:line="360" w:lineRule="auto"/>
        <w:ind w:left="709"/>
        <w:contextualSpacing/>
        <w:jc w:val="both"/>
        <w:rPr>
          <w:rFonts w:asciiTheme="minorHAnsi" w:hAnsiTheme="minorHAnsi" w:cs="Arial"/>
          <w:b/>
          <w:sz w:val="22"/>
          <w:szCs w:val="22"/>
          <w:lang w:val="en-IN"/>
        </w:rPr>
      </w:pPr>
      <w:r w:rsidRPr="004954F9">
        <w:rPr>
          <w:rFonts w:asciiTheme="minorHAnsi" w:hAnsiTheme="minorHAnsi" w:cs="Arial"/>
          <w:b/>
          <w:sz w:val="22"/>
          <w:szCs w:val="22"/>
          <w:lang w:val="en-IN"/>
        </w:rPr>
        <w:t xml:space="preserve">Therefore, TPNODL humbly requests this Hon’ble Commission to re-consider the </w:t>
      </w:r>
      <w:r w:rsidRPr="004954F9">
        <w:rPr>
          <w:rFonts w:asciiTheme="minorHAnsi" w:hAnsiTheme="minorHAnsi" w:cs="Arial"/>
          <w:b/>
          <w:sz w:val="22"/>
          <w:szCs w:val="22"/>
        </w:rPr>
        <w:t xml:space="preserve">A&amp;G Expenditure </w:t>
      </w:r>
      <w:r w:rsidRPr="004954F9">
        <w:rPr>
          <w:rFonts w:asciiTheme="minorHAnsi" w:hAnsiTheme="minorHAnsi" w:cs="Arial"/>
          <w:b/>
          <w:sz w:val="22"/>
          <w:szCs w:val="22"/>
          <w:lang w:val="en-IN"/>
        </w:rPr>
        <w:t xml:space="preserve">as allowed </w:t>
      </w:r>
      <w:r w:rsidRPr="004954F9">
        <w:rPr>
          <w:rFonts w:asciiTheme="minorHAnsi" w:hAnsiTheme="minorHAnsi" w:cs="Arial"/>
          <w:b/>
          <w:i/>
          <w:iCs/>
          <w:sz w:val="22"/>
          <w:szCs w:val="22"/>
          <w:lang w:val="en-IN"/>
        </w:rPr>
        <w:t>vide</w:t>
      </w:r>
      <w:r w:rsidRPr="004954F9">
        <w:rPr>
          <w:rFonts w:asciiTheme="minorHAnsi" w:hAnsiTheme="minorHAnsi" w:cs="Arial"/>
          <w:b/>
          <w:sz w:val="22"/>
          <w:szCs w:val="22"/>
          <w:lang w:val="en-IN"/>
        </w:rPr>
        <w:t xml:space="preserve"> Tariff Order and consider allowing the amount of Rs. 112.55 Crores considering Rs.105.24Crs as the base with the applicable escalation as per Tariff Regulation and approve the actual A&amp;G expenses of Rs.112.55Crs incurred for FY 22-23.</w:t>
      </w:r>
    </w:p>
    <w:p w14:paraId="430FEFB7" w14:textId="77777777" w:rsidR="00423534" w:rsidRPr="004954F9" w:rsidRDefault="00423534" w:rsidP="00423534">
      <w:pPr>
        <w:suppressAutoHyphens/>
        <w:spacing w:line="360" w:lineRule="auto"/>
        <w:ind w:left="7909" w:hanging="5499"/>
        <w:contextualSpacing/>
        <w:jc w:val="both"/>
        <w:rPr>
          <w:rFonts w:asciiTheme="minorHAnsi" w:hAnsiTheme="minorHAnsi" w:cs="Arial"/>
          <w:b/>
          <w:sz w:val="22"/>
          <w:szCs w:val="22"/>
          <w:lang w:val="en-GB"/>
        </w:rPr>
      </w:pPr>
    </w:p>
    <w:p w14:paraId="556C2336" w14:textId="456AC6FA" w:rsidR="00423534" w:rsidRPr="004954F9" w:rsidRDefault="00423534" w:rsidP="00C25C59">
      <w:pPr>
        <w:suppressAutoHyphens/>
        <w:spacing w:line="360" w:lineRule="auto"/>
        <w:ind w:left="1440" w:firstLine="720"/>
        <w:contextualSpacing/>
        <w:rPr>
          <w:rFonts w:asciiTheme="minorHAnsi" w:hAnsiTheme="minorHAnsi" w:cs="Arial"/>
          <w:b/>
          <w:bCs/>
          <w:sz w:val="22"/>
          <w:szCs w:val="22"/>
          <w:lang w:val="en-IN"/>
        </w:rPr>
      </w:pPr>
      <w:r w:rsidRPr="004954F9">
        <w:rPr>
          <w:rFonts w:asciiTheme="minorHAnsi" w:hAnsiTheme="minorHAnsi" w:cs="Arial"/>
          <w:b/>
          <w:sz w:val="22"/>
          <w:szCs w:val="22"/>
          <w:lang w:val="en-GB"/>
        </w:rPr>
        <w:t xml:space="preserve">Table- </w:t>
      </w:r>
      <w:r w:rsidR="00B602FC">
        <w:rPr>
          <w:rFonts w:asciiTheme="minorHAnsi" w:hAnsiTheme="minorHAnsi" w:cs="Arial"/>
          <w:b/>
          <w:sz w:val="22"/>
          <w:szCs w:val="22"/>
          <w:lang w:val="en-GB"/>
        </w:rPr>
        <w:t>51</w:t>
      </w:r>
      <w:r w:rsidRPr="004954F9">
        <w:rPr>
          <w:rFonts w:asciiTheme="minorHAnsi" w:hAnsiTheme="minorHAnsi" w:cs="Arial"/>
          <w:b/>
          <w:sz w:val="22"/>
          <w:szCs w:val="22"/>
          <w:lang w:val="en-GB"/>
        </w:rPr>
        <w:t>:</w:t>
      </w:r>
      <w:r w:rsidR="00B602FC">
        <w:rPr>
          <w:rFonts w:asciiTheme="minorHAnsi" w:hAnsiTheme="minorHAnsi" w:cs="Arial"/>
          <w:b/>
          <w:sz w:val="22"/>
          <w:szCs w:val="22"/>
          <w:lang w:val="en-GB"/>
        </w:rPr>
        <w:t xml:space="preserve"> </w:t>
      </w:r>
      <w:r w:rsidR="00C25C59">
        <w:rPr>
          <w:rFonts w:asciiTheme="minorHAnsi" w:hAnsiTheme="minorHAnsi" w:cs="Arial"/>
          <w:b/>
          <w:sz w:val="22"/>
          <w:szCs w:val="22"/>
          <w:lang w:val="en-GB"/>
        </w:rPr>
        <w:t>A&amp;G Expenses_FY22-23_</w:t>
      </w:r>
      <w:r w:rsidRPr="004954F9">
        <w:rPr>
          <w:rFonts w:asciiTheme="minorHAnsi" w:hAnsiTheme="minorHAnsi" w:cs="Arial"/>
          <w:b/>
          <w:sz w:val="22"/>
          <w:szCs w:val="22"/>
          <w:lang w:val="en-GB"/>
        </w:rPr>
        <w:t xml:space="preserve"> Approved vis-à-vis- Actual         </w:t>
      </w:r>
      <w:proofErr w:type="gramStart"/>
      <w:r w:rsidRPr="004954F9">
        <w:rPr>
          <w:rFonts w:asciiTheme="minorHAnsi" w:hAnsiTheme="minorHAnsi" w:cs="Arial"/>
          <w:b/>
          <w:sz w:val="22"/>
          <w:szCs w:val="22"/>
          <w:lang w:val="en-GB"/>
        </w:rPr>
        <w:t xml:space="preserve">  </w:t>
      </w:r>
      <w:r w:rsidRPr="004954F9">
        <w:rPr>
          <w:rFonts w:asciiTheme="minorHAnsi" w:hAnsiTheme="minorHAnsi" w:cs="Arial"/>
          <w:b/>
          <w:bCs/>
          <w:sz w:val="22"/>
          <w:szCs w:val="22"/>
          <w:lang w:val="en-IN"/>
        </w:rPr>
        <w:t xml:space="preserve"> (</w:t>
      </w:r>
      <w:proofErr w:type="gramEnd"/>
      <w:r w:rsidRPr="004954F9">
        <w:rPr>
          <w:rFonts w:asciiTheme="minorHAnsi" w:hAnsiTheme="minorHAnsi" w:cs="Arial"/>
          <w:b/>
          <w:bCs/>
          <w:sz w:val="22"/>
          <w:szCs w:val="22"/>
          <w:lang w:val="en-IN"/>
        </w:rPr>
        <w:t xml:space="preserve">In Rs. </w:t>
      </w:r>
      <w:proofErr w:type="spellStart"/>
      <w:r w:rsidRPr="004954F9">
        <w:rPr>
          <w:rFonts w:asciiTheme="minorHAnsi" w:hAnsiTheme="minorHAnsi" w:cs="Arial"/>
          <w:b/>
          <w:bCs/>
          <w:sz w:val="22"/>
          <w:szCs w:val="22"/>
          <w:lang w:val="en-IN"/>
        </w:rPr>
        <w:t>Crs</w:t>
      </w:r>
      <w:proofErr w:type="spellEnd"/>
      <w:r w:rsidRPr="004954F9">
        <w:rPr>
          <w:rFonts w:asciiTheme="minorHAnsi" w:hAnsiTheme="minorHAnsi" w:cs="Arial"/>
          <w:b/>
          <w:bCs/>
          <w:sz w:val="22"/>
          <w:szCs w:val="22"/>
          <w:lang w:val="en-IN"/>
        </w:rPr>
        <w:t>)</w:t>
      </w:r>
    </w:p>
    <w:tbl>
      <w:tblPr>
        <w:tblStyle w:val="TableGrid4"/>
        <w:tblW w:w="8816" w:type="dxa"/>
        <w:tblInd w:w="704" w:type="dxa"/>
        <w:tblLayout w:type="fixed"/>
        <w:tblLook w:val="04A0" w:firstRow="1" w:lastRow="0" w:firstColumn="1" w:lastColumn="0" w:noHBand="0" w:noVBand="1"/>
      </w:tblPr>
      <w:tblGrid>
        <w:gridCol w:w="2762"/>
        <w:gridCol w:w="3006"/>
        <w:gridCol w:w="3048"/>
      </w:tblGrid>
      <w:tr w:rsidR="00423534" w:rsidRPr="004954F9" w14:paraId="49F4055A" w14:textId="77777777" w:rsidTr="00423534">
        <w:trPr>
          <w:trHeight w:val="434"/>
        </w:trPr>
        <w:tc>
          <w:tcPr>
            <w:tcW w:w="2762" w:type="dxa"/>
            <w:shd w:val="clear" w:color="auto" w:fill="9CC2E5"/>
          </w:tcPr>
          <w:p w14:paraId="308F9F64" w14:textId="77777777" w:rsidR="00423534" w:rsidRPr="004954F9" w:rsidRDefault="00423534" w:rsidP="00423534">
            <w:pPr>
              <w:tabs>
                <w:tab w:val="left" w:pos="426"/>
              </w:tabs>
              <w:spacing w:line="360" w:lineRule="auto"/>
              <w:ind w:right="-23"/>
              <w:jc w:val="center"/>
              <w:rPr>
                <w:rFonts w:asciiTheme="minorHAnsi" w:hAnsiTheme="minorHAnsi" w:cs="Arial"/>
                <w:b/>
                <w:bCs/>
                <w:sz w:val="22"/>
                <w:szCs w:val="22"/>
              </w:rPr>
            </w:pPr>
            <w:r w:rsidRPr="004954F9">
              <w:rPr>
                <w:rFonts w:asciiTheme="minorHAnsi" w:hAnsiTheme="minorHAnsi" w:cs="Arial"/>
                <w:b/>
                <w:bCs/>
                <w:sz w:val="22"/>
                <w:szCs w:val="22"/>
              </w:rPr>
              <w:t>Approved</w:t>
            </w:r>
          </w:p>
        </w:tc>
        <w:tc>
          <w:tcPr>
            <w:tcW w:w="3006" w:type="dxa"/>
            <w:shd w:val="clear" w:color="auto" w:fill="9CC2E5"/>
          </w:tcPr>
          <w:p w14:paraId="10E291D4" w14:textId="77777777" w:rsidR="00423534" w:rsidRPr="004954F9" w:rsidRDefault="00423534" w:rsidP="00423534">
            <w:pPr>
              <w:tabs>
                <w:tab w:val="left" w:pos="426"/>
              </w:tabs>
              <w:spacing w:line="360" w:lineRule="auto"/>
              <w:ind w:right="-23"/>
              <w:jc w:val="center"/>
              <w:rPr>
                <w:rFonts w:asciiTheme="minorHAnsi" w:hAnsiTheme="minorHAnsi" w:cs="Arial"/>
                <w:b/>
                <w:bCs/>
                <w:sz w:val="22"/>
                <w:szCs w:val="22"/>
              </w:rPr>
            </w:pPr>
            <w:r w:rsidRPr="004954F9">
              <w:rPr>
                <w:rFonts w:asciiTheme="minorHAnsi" w:hAnsiTheme="minorHAnsi" w:cs="Arial"/>
                <w:b/>
                <w:bCs/>
                <w:sz w:val="22"/>
                <w:szCs w:val="22"/>
              </w:rPr>
              <w:t>Actual</w:t>
            </w:r>
          </w:p>
        </w:tc>
        <w:tc>
          <w:tcPr>
            <w:tcW w:w="3048" w:type="dxa"/>
            <w:shd w:val="clear" w:color="auto" w:fill="9CC2E5"/>
          </w:tcPr>
          <w:p w14:paraId="5F0124F7" w14:textId="77777777" w:rsidR="00423534" w:rsidRPr="004954F9" w:rsidRDefault="00423534" w:rsidP="00423534">
            <w:pPr>
              <w:tabs>
                <w:tab w:val="left" w:pos="426"/>
              </w:tabs>
              <w:spacing w:line="360" w:lineRule="auto"/>
              <w:ind w:right="-23"/>
              <w:jc w:val="center"/>
              <w:rPr>
                <w:rFonts w:asciiTheme="minorHAnsi" w:hAnsiTheme="minorHAnsi" w:cs="Arial"/>
                <w:b/>
                <w:bCs/>
                <w:sz w:val="22"/>
                <w:szCs w:val="22"/>
              </w:rPr>
            </w:pPr>
            <w:r w:rsidRPr="004954F9">
              <w:rPr>
                <w:rFonts w:asciiTheme="minorHAnsi" w:hAnsiTheme="minorHAnsi" w:cs="Arial"/>
                <w:b/>
                <w:bCs/>
                <w:sz w:val="22"/>
                <w:szCs w:val="22"/>
              </w:rPr>
              <w:t>Difference</w:t>
            </w:r>
          </w:p>
        </w:tc>
      </w:tr>
      <w:tr w:rsidR="00423534" w:rsidRPr="004954F9" w14:paraId="27CC5E4F" w14:textId="77777777" w:rsidTr="00423534">
        <w:trPr>
          <w:trHeight w:val="418"/>
        </w:trPr>
        <w:tc>
          <w:tcPr>
            <w:tcW w:w="2762" w:type="dxa"/>
          </w:tcPr>
          <w:p w14:paraId="317E1D92" w14:textId="77777777" w:rsidR="00423534" w:rsidRPr="004954F9" w:rsidRDefault="00423534" w:rsidP="00423534">
            <w:pPr>
              <w:tabs>
                <w:tab w:val="left" w:pos="426"/>
              </w:tabs>
              <w:spacing w:line="360" w:lineRule="auto"/>
              <w:ind w:right="-23"/>
              <w:jc w:val="center"/>
              <w:rPr>
                <w:rFonts w:asciiTheme="minorHAnsi" w:hAnsiTheme="minorHAnsi" w:cs="Arial"/>
                <w:b/>
                <w:bCs/>
                <w:sz w:val="22"/>
                <w:szCs w:val="22"/>
              </w:rPr>
            </w:pPr>
            <w:r w:rsidRPr="004954F9">
              <w:rPr>
                <w:rFonts w:asciiTheme="minorHAnsi" w:hAnsiTheme="minorHAnsi" w:cs="Arial"/>
                <w:b/>
                <w:bCs/>
                <w:sz w:val="22"/>
                <w:szCs w:val="22"/>
              </w:rPr>
              <w:t>84.23</w:t>
            </w:r>
          </w:p>
        </w:tc>
        <w:tc>
          <w:tcPr>
            <w:tcW w:w="3006" w:type="dxa"/>
          </w:tcPr>
          <w:p w14:paraId="4E4135A4" w14:textId="77777777" w:rsidR="00423534" w:rsidRPr="004954F9" w:rsidRDefault="00423534" w:rsidP="00423534">
            <w:pPr>
              <w:tabs>
                <w:tab w:val="left" w:pos="426"/>
              </w:tabs>
              <w:spacing w:line="360" w:lineRule="auto"/>
              <w:ind w:right="-23"/>
              <w:jc w:val="center"/>
              <w:rPr>
                <w:rFonts w:asciiTheme="minorHAnsi" w:hAnsiTheme="minorHAnsi" w:cs="Arial"/>
                <w:b/>
                <w:bCs/>
                <w:sz w:val="22"/>
                <w:szCs w:val="22"/>
              </w:rPr>
            </w:pPr>
            <w:r w:rsidRPr="004954F9">
              <w:rPr>
                <w:rFonts w:asciiTheme="minorHAnsi" w:hAnsiTheme="minorHAnsi" w:cs="Arial"/>
                <w:b/>
                <w:bCs/>
                <w:sz w:val="22"/>
                <w:szCs w:val="22"/>
              </w:rPr>
              <w:t>112.55</w:t>
            </w:r>
          </w:p>
        </w:tc>
        <w:tc>
          <w:tcPr>
            <w:tcW w:w="3048" w:type="dxa"/>
          </w:tcPr>
          <w:p w14:paraId="36B3B8FC" w14:textId="77777777" w:rsidR="00423534" w:rsidRPr="004954F9" w:rsidRDefault="00423534" w:rsidP="00423534">
            <w:pPr>
              <w:tabs>
                <w:tab w:val="left" w:pos="426"/>
              </w:tabs>
              <w:spacing w:line="360" w:lineRule="auto"/>
              <w:ind w:right="-23"/>
              <w:jc w:val="center"/>
              <w:rPr>
                <w:rFonts w:asciiTheme="minorHAnsi" w:hAnsiTheme="minorHAnsi" w:cs="Arial"/>
                <w:b/>
                <w:bCs/>
                <w:sz w:val="22"/>
                <w:szCs w:val="22"/>
              </w:rPr>
            </w:pPr>
            <w:r w:rsidRPr="004954F9">
              <w:rPr>
                <w:rFonts w:asciiTheme="minorHAnsi" w:hAnsiTheme="minorHAnsi" w:cs="Arial"/>
                <w:b/>
                <w:bCs/>
                <w:sz w:val="22"/>
                <w:szCs w:val="22"/>
              </w:rPr>
              <w:t>28.32</w:t>
            </w:r>
          </w:p>
        </w:tc>
      </w:tr>
    </w:tbl>
    <w:p w14:paraId="664AD078" w14:textId="77777777" w:rsidR="00423534" w:rsidRDefault="00423534" w:rsidP="00423534">
      <w:pPr>
        <w:suppressAutoHyphens/>
        <w:spacing w:line="360" w:lineRule="auto"/>
        <w:ind w:left="720"/>
        <w:contextualSpacing/>
        <w:jc w:val="both"/>
        <w:rPr>
          <w:rFonts w:asciiTheme="minorHAnsi" w:hAnsiTheme="minorHAnsi" w:cs="Arial"/>
          <w:b/>
          <w:bCs/>
          <w:iCs/>
          <w:sz w:val="22"/>
          <w:szCs w:val="22"/>
          <w:lang w:val="en-IN"/>
        </w:rPr>
      </w:pPr>
    </w:p>
    <w:p w14:paraId="5F2C6847" w14:textId="77777777" w:rsidR="00423534" w:rsidRPr="001F29D8" w:rsidRDefault="00423534" w:rsidP="00AB536C">
      <w:pPr>
        <w:numPr>
          <w:ilvl w:val="0"/>
          <w:numId w:val="54"/>
        </w:numPr>
        <w:tabs>
          <w:tab w:val="left" w:pos="993"/>
        </w:tabs>
        <w:suppressAutoHyphens/>
        <w:spacing w:line="360" w:lineRule="auto"/>
        <w:ind w:hanging="11"/>
        <w:contextualSpacing/>
        <w:jc w:val="both"/>
        <w:rPr>
          <w:rFonts w:asciiTheme="minorHAnsi" w:hAnsiTheme="minorHAnsi" w:cs="Arial"/>
          <w:b/>
          <w:bCs/>
          <w:iCs/>
          <w:sz w:val="22"/>
          <w:szCs w:val="22"/>
          <w:lang w:val="en-IN"/>
        </w:rPr>
      </w:pPr>
      <w:r>
        <w:rPr>
          <w:rFonts w:asciiTheme="minorHAnsi" w:hAnsiTheme="minorHAnsi" w:cs="Arial"/>
          <w:b/>
          <w:bCs/>
          <w:iCs/>
          <w:sz w:val="22"/>
          <w:szCs w:val="22"/>
          <w:lang w:val="en-IN"/>
        </w:rPr>
        <w:t xml:space="preserve"> </w:t>
      </w:r>
      <w:r w:rsidRPr="001F29D8">
        <w:rPr>
          <w:rFonts w:asciiTheme="minorHAnsi" w:hAnsiTheme="minorHAnsi" w:cs="Arial"/>
          <w:b/>
          <w:bCs/>
          <w:iCs/>
          <w:sz w:val="22"/>
          <w:szCs w:val="22"/>
          <w:lang w:val="en-IN"/>
        </w:rPr>
        <w:t>Interest on Security Deposit:</w:t>
      </w:r>
    </w:p>
    <w:p w14:paraId="45A96015" w14:textId="77777777" w:rsidR="00423534" w:rsidRPr="004954F9" w:rsidRDefault="00423534" w:rsidP="00423534">
      <w:pPr>
        <w:suppressAutoHyphens/>
        <w:spacing w:line="360" w:lineRule="auto"/>
        <w:ind w:left="720"/>
        <w:contextualSpacing/>
        <w:jc w:val="both"/>
        <w:rPr>
          <w:rFonts w:asciiTheme="minorHAnsi" w:hAnsiTheme="minorHAnsi" w:cs="Arial"/>
          <w:b/>
          <w:bCs/>
          <w:sz w:val="22"/>
          <w:szCs w:val="22"/>
          <w:lang w:val="en-IN"/>
        </w:rPr>
      </w:pPr>
    </w:p>
    <w:p w14:paraId="0DD7DBE0" w14:textId="77777777" w:rsidR="00423534" w:rsidRPr="004954F9" w:rsidRDefault="00423534" w:rsidP="00423534">
      <w:pPr>
        <w:suppressAutoHyphens/>
        <w:spacing w:line="360" w:lineRule="auto"/>
        <w:ind w:left="709"/>
        <w:contextualSpacing/>
        <w:jc w:val="both"/>
        <w:rPr>
          <w:rFonts w:asciiTheme="minorHAnsi" w:hAnsiTheme="minorHAnsi" w:cs="Arial"/>
          <w:b/>
          <w:bCs/>
          <w:i/>
          <w:iCs/>
          <w:sz w:val="22"/>
          <w:szCs w:val="22"/>
          <w:lang w:val="en-IN"/>
        </w:rPr>
      </w:pPr>
      <w:r w:rsidRPr="004954F9">
        <w:rPr>
          <w:rFonts w:asciiTheme="minorHAnsi" w:hAnsiTheme="minorHAnsi" w:cs="Arial"/>
          <w:sz w:val="22"/>
          <w:szCs w:val="22"/>
        </w:rPr>
        <w:t xml:space="preserve">Hon’ble Commission </w:t>
      </w:r>
      <w:r w:rsidRPr="004954F9">
        <w:rPr>
          <w:rFonts w:asciiTheme="minorHAnsi" w:hAnsiTheme="minorHAnsi" w:cs="Arial"/>
          <w:i/>
          <w:iCs/>
          <w:sz w:val="22"/>
          <w:szCs w:val="22"/>
        </w:rPr>
        <w:t>vide</w:t>
      </w:r>
      <w:r w:rsidRPr="004954F9">
        <w:rPr>
          <w:rFonts w:asciiTheme="minorHAnsi" w:hAnsiTheme="minorHAnsi" w:cs="Arial"/>
          <w:sz w:val="22"/>
          <w:szCs w:val="22"/>
        </w:rPr>
        <w:t xml:space="preserve"> the Tariff Order has allowed the Interest on Security Deposit of </w:t>
      </w:r>
      <w:r w:rsidRPr="004954F9">
        <w:rPr>
          <w:rFonts w:asciiTheme="minorHAnsi" w:hAnsiTheme="minorHAnsi" w:cs="Arial"/>
          <w:bCs/>
          <w:sz w:val="22"/>
          <w:szCs w:val="22"/>
        </w:rPr>
        <w:t>Rs. 25.83 Crores for FY 2022-23,</w:t>
      </w:r>
      <w:r w:rsidRPr="004954F9">
        <w:rPr>
          <w:rFonts w:asciiTheme="minorHAnsi" w:hAnsiTheme="minorHAnsi" w:cs="Arial"/>
          <w:sz w:val="22"/>
          <w:szCs w:val="22"/>
        </w:rPr>
        <w:t xml:space="preserve"> against TPNODL’s claim of Rs. 41.96 </w:t>
      </w:r>
      <w:proofErr w:type="spellStart"/>
      <w:r w:rsidRPr="004954F9">
        <w:rPr>
          <w:rFonts w:asciiTheme="minorHAnsi" w:hAnsiTheme="minorHAnsi" w:cs="Arial"/>
          <w:bCs/>
          <w:sz w:val="22"/>
          <w:szCs w:val="22"/>
        </w:rPr>
        <w:t>Crores.</w:t>
      </w:r>
      <w:r w:rsidRPr="004954F9">
        <w:rPr>
          <w:rFonts w:asciiTheme="minorHAnsi" w:hAnsiTheme="minorHAnsi" w:cs="Arial"/>
          <w:sz w:val="22"/>
          <w:szCs w:val="22"/>
        </w:rPr>
        <w:t>It</w:t>
      </w:r>
      <w:proofErr w:type="spellEnd"/>
      <w:r w:rsidRPr="004954F9">
        <w:rPr>
          <w:rFonts w:asciiTheme="minorHAnsi" w:hAnsiTheme="minorHAnsi" w:cs="Arial"/>
          <w:sz w:val="22"/>
          <w:szCs w:val="22"/>
        </w:rPr>
        <w:t xml:space="preserve"> is humbly submitted that Hon’ble Commission </w:t>
      </w:r>
      <w:r w:rsidRPr="004954F9">
        <w:rPr>
          <w:rFonts w:asciiTheme="minorHAnsi" w:hAnsiTheme="minorHAnsi" w:cs="Arial"/>
          <w:i/>
          <w:iCs/>
          <w:sz w:val="22"/>
          <w:szCs w:val="22"/>
        </w:rPr>
        <w:t>vide</w:t>
      </w:r>
      <w:r w:rsidRPr="004954F9">
        <w:rPr>
          <w:rFonts w:asciiTheme="minorHAnsi" w:hAnsiTheme="minorHAnsi" w:cs="Arial"/>
          <w:sz w:val="22"/>
          <w:szCs w:val="22"/>
        </w:rPr>
        <w:t xml:space="preserve"> Tariff Order dated 23.03.2023 had approved a rate of 6.75% p.a. on payment to be made towards Interest on Security Deposit in the year May 2023 to the consumers. Accordingly, the Interest on Security Deposit amounting to Rs. 41.96 Crores was booked in the Accounts for FY 2022-23. The aforementioned approach is consistent with the approach adopted in earlier years where the Interest on Security Deposits were booked in accounts in terms of the extant approved rate. That the Accounts are presented on the basis of Accrual principle as per the amount booked ensuring consistency with the Accounting Standards.</w:t>
      </w:r>
    </w:p>
    <w:p w14:paraId="2D1AD67A" w14:textId="77777777" w:rsidR="00423534" w:rsidRPr="004954F9" w:rsidRDefault="00423534" w:rsidP="00423534">
      <w:pPr>
        <w:suppressAutoHyphens/>
        <w:spacing w:after="200" w:line="360" w:lineRule="auto"/>
        <w:ind w:left="720" w:hanging="425"/>
        <w:contextualSpacing/>
        <w:jc w:val="both"/>
        <w:rPr>
          <w:rFonts w:asciiTheme="minorHAnsi" w:hAnsiTheme="minorHAnsi" w:cs="Arial"/>
          <w:b/>
          <w:bCs/>
          <w:i/>
          <w:iCs/>
          <w:sz w:val="22"/>
          <w:szCs w:val="22"/>
          <w:lang w:val="en-IN"/>
        </w:rPr>
      </w:pPr>
    </w:p>
    <w:p w14:paraId="79A2BF56" w14:textId="77777777" w:rsidR="00423534" w:rsidRPr="004954F9" w:rsidRDefault="00423534" w:rsidP="00423534">
      <w:pPr>
        <w:suppressAutoHyphens/>
        <w:spacing w:line="360" w:lineRule="auto"/>
        <w:ind w:left="709"/>
        <w:contextualSpacing/>
        <w:jc w:val="both"/>
        <w:rPr>
          <w:rFonts w:asciiTheme="minorHAnsi" w:hAnsiTheme="minorHAnsi" w:cs="Arial"/>
          <w:b/>
          <w:bCs/>
          <w:i/>
          <w:iCs/>
          <w:sz w:val="22"/>
          <w:szCs w:val="22"/>
          <w:lang w:val="en-IN"/>
        </w:rPr>
      </w:pPr>
      <w:r w:rsidRPr="004954F9">
        <w:rPr>
          <w:rFonts w:asciiTheme="minorHAnsi" w:hAnsiTheme="minorHAnsi" w:cs="Arial"/>
          <w:sz w:val="22"/>
          <w:szCs w:val="22"/>
        </w:rPr>
        <w:t xml:space="preserve">It is humbly submitted that </w:t>
      </w:r>
      <w:r w:rsidRPr="004954F9">
        <w:rPr>
          <w:rFonts w:asciiTheme="minorHAnsi" w:hAnsiTheme="minorHAnsi" w:cs="Arial"/>
          <w:bCs/>
          <w:sz w:val="22"/>
          <w:szCs w:val="22"/>
        </w:rPr>
        <w:t xml:space="preserve">TPNODL </w:t>
      </w:r>
      <w:r w:rsidRPr="004954F9">
        <w:rPr>
          <w:rFonts w:asciiTheme="minorHAnsi" w:hAnsiTheme="minorHAnsi" w:cs="Arial"/>
          <w:sz w:val="22"/>
          <w:szCs w:val="22"/>
        </w:rPr>
        <w:t xml:space="preserve">has been calculating its interest on Accrual Basis in line with regulatory framework and past practice. Accordingly, the Interest on Security Deposit calculated by </w:t>
      </w:r>
      <w:r w:rsidRPr="004954F9">
        <w:rPr>
          <w:rFonts w:asciiTheme="minorHAnsi" w:hAnsiTheme="minorHAnsi" w:cs="Arial"/>
          <w:bCs/>
          <w:sz w:val="22"/>
          <w:szCs w:val="22"/>
        </w:rPr>
        <w:t xml:space="preserve">TPNODL </w:t>
      </w:r>
      <w:r w:rsidRPr="004954F9">
        <w:rPr>
          <w:rFonts w:asciiTheme="minorHAnsi" w:hAnsiTheme="minorHAnsi" w:cs="Arial"/>
          <w:sz w:val="22"/>
          <w:szCs w:val="22"/>
        </w:rPr>
        <w:t>for FY 2022-23 is based on the interest rate of 6.75% p.a. after considering the Opening Balance of Security Deposit and Addition/ Deletion of consumers.</w:t>
      </w:r>
    </w:p>
    <w:p w14:paraId="73934F35" w14:textId="77777777" w:rsidR="00423534" w:rsidRPr="004954F9" w:rsidRDefault="00423534" w:rsidP="00423534">
      <w:pPr>
        <w:suppressAutoHyphens/>
        <w:spacing w:after="200" w:line="360" w:lineRule="auto"/>
        <w:ind w:left="720"/>
        <w:contextualSpacing/>
        <w:jc w:val="both"/>
        <w:rPr>
          <w:rFonts w:asciiTheme="minorHAnsi" w:hAnsiTheme="minorHAnsi" w:cs="Arial"/>
          <w:sz w:val="22"/>
          <w:szCs w:val="22"/>
          <w:lang w:val="en-IN"/>
        </w:rPr>
      </w:pPr>
    </w:p>
    <w:p w14:paraId="7552A5F4" w14:textId="77777777" w:rsidR="00423534" w:rsidRPr="004954F9" w:rsidRDefault="00423534" w:rsidP="00423534">
      <w:pPr>
        <w:suppressAutoHyphens/>
        <w:spacing w:line="360" w:lineRule="auto"/>
        <w:ind w:left="709"/>
        <w:contextualSpacing/>
        <w:jc w:val="both"/>
        <w:rPr>
          <w:rFonts w:asciiTheme="minorHAnsi" w:hAnsiTheme="minorHAnsi" w:cs="Arial"/>
          <w:b/>
          <w:bCs/>
          <w:i/>
          <w:iCs/>
          <w:sz w:val="22"/>
          <w:szCs w:val="22"/>
          <w:lang w:val="en-IN"/>
        </w:rPr>
      </w:pPr>
      <w:r w:rsidRPr="004954F9">
        <w:rPr>
          <w:rFonts w:asciiTheme="minorHAnsi" w:hAnsiTheme="minorHAnsi" w:cs="Arial"/>
          <w:sz w:val="22"/>
          <w:szCs w:val="22"/>
          <w:lang w:val="en-IN"/>
        </w:rPr>
        <w:t xml:space="preserve">Therefore, TPNODL humbly requests this Hon’ble Commission to re-consider the Interest on Security Deposit as allowed </w:t>
      </w:r>
      <w:r w:rsidRPr="004954F9">
        <w:rPr>
          <w:rFonts w:asciiTheme="minorHAnsi" w:hAnsiTheme="minorHAnsi" w:cs="Arial"/>
          <w:i/>
          <w:iCs/>
          <w:sz w:val="22"/>
          <w:szCs w:val="22"/>
          <w:lang w:val="en-IN"/>
        </w:rPr>
        <w:t>vide</w:t>
      </w:r>
      <w:r w:rsidRPr="004954F9">
        <w:rPr>
          <w:rFonts w:asciiTheme="minorHAnsi" w:hAnsiTheme="minorHAnsi" w:cs="Arial"/>
          <w:sz w:val="22"/>
          <w:szCs w:val="22"/>
          <w:lang w:val="en-IN"/>
        </w:rPr>
        <w:t xml:space="preserve"> Tariff Order and consider allowing the amount of Rs. 41.96 Crores instead of the present allowance of Rs. 25.83 Crores.</w:t>
      </w:r>
    </w:p>
    <w:p w14:paraId="7EB56BA9" w14:textId="77777777" w:rsidR="00423534" w:rsidRPr="004954F9" w:rsidRDefault="00423534" w:rsidP="00423534">
      <w:pPr>
        <w:suppressAutoHyphens/>
        <w:spacing w:line="360" w:lineRule="auto"/>
        <w:ind w:left="709"/>
        <w:contextualSpacing/>
        <w:jc w:val="both"/>
        <w:rPr>
          <w:rFonts w:asciiTheme="minorHAnsi" w:hAnsiTheme="minorHAnsi" w:cs="Arial"/>
          <w:b/>
          <w:bCs/>
          <w:i/>
          <w:iCs/>
          <w:sz w:val="22"/>
          <w:szCs w:val="22"/>
          <w:lang w:val="en-IN"/>
        </w:rPr>
      </w:pPr>
    </w:p>
    <w:p w14:paraId="10F03380" w14:textId="17E8D6D7" w:rsidR="00423534" w:rsidRPr="004954F9" w:rsidRDefault="00423534" w:rsidP="00423534">
      <w:pPr>
        <w:suppressAutoHyphens/>
        <w:spacing w:line="360" w:lineRule="auto"/>
        <w:ind w:left="7909" w:hanging="6349"/>
        <w:contextualSpacing/>
        <w:jc w:val="both"/>
        <w:rPr>
          <w:rFonts w:asciiTheme="minorHAnsi" w:hAnsiTheme="minorHAnsi" w:cs="Arial"/>
          <w:sz w:val="22"/>
          <w:szCs w:val="22"/>
          <w:lang w:val="en-IN"/>
        </w:rPr>
      </w:pPr>
      <w:r w:rsidRPr="004954F9">
        <w:rPr>
          <w:rFonts w:asciiTheme="minorHAnsi" w:hAnsiTheme="minorHAnsi" w:cs="Arial"/>
          <w:b/>
          <w:bCs/>
          <w:sz w:val="22"/>
          <w:szCs w:val="22"/>
          <w:lang w:val="en-IN"/>
        </w:rPr>
        <w:t xml:space="preserve">            </w:t>
      </w:r>
      <w:r w:rsidRPr="004954F9">
        <w:rPr>
          <w:rFonts w:asciiTheme="minorHAnsi" w:hAnsiTheme="minorHAnsi" w:cs="Arial"/>
          <w:b/>
          <w:sz w:val="22"/>
          <w:szCs w:val="22"/>
          <w:lang w:val="en-GB"/>
        </w:rPr>
        <w:t xml:space="preserve">Table- </w:t>
      </w:r>
      <w:r w:rsidR="00B602FC">
        <w:rPr>
          <w:rFonts w:asciiTheme="minorHAnsi" w:hAnsiTheme="minorHAnsi" w:cs="Arial"/>
          <w:b/>
          <w:sz w:val="22"/>
          <w:szCs w:val="22"/>
          <w:lang w:val="en-GB"/>
        </w:rPr>
        <w:t>52</w:t>
      </w:r>
      <w:r w:rsidRPr="004954F9">
        <w:rPr>
          <w:rFonts w:asciiTheme="minorHAnsi" w:hAnsiTheme="minorHAnsi" w:cs="Arial"/>
          <w:b/>
          <w:sz w:val="22"/>
          <w:szCs w:val="22"/>
          <w:lang w:val="en-GB"/>
        </w:rPr>
        <w:t xml:space="preserve">: </w:t>
      </w:r>
      <w:r w:rsidR="00C25C59">
        <w:rPr>
          <w:rFonts w:asciiTheme="minorHAnsi" w:hAnsiTheme="minorHAnsi" w:cs="Arial"/>
          <w:b/>
          <w:sz w:val="22"/>
          <w:szCs w:val="22"/>
          <w:lang w:val="en-GB"/>
        </w:rPr>
        <w:t>Interest on SD_FY 22-23_</w:t>
      </w:r>
      <w:r w:rsidRPr="004954F9">
        <w:rPr>
          <w:rFonts w:asciiTheme="minorHAnsi" w:hAnsiTheme="minorHAnsi" w:cs="Arial"/>
          <w:b/>
          <w:sz w:val="22"/>
          <w:szCs w:val="22"/>
          <w:lang w:val="en-GB"/>
        </w:rPr>
        <w:t xml:space="preserve">Approved vis-à-vis- Actual         </w:t>
      </w:r>
      <w:proofErr w:type="gramStart"/>
      <w:r w:rsidRPr="004954F9">
        <w:rPr>
          <w:rFonts w:asciiTheme="minorHAnsi" w:hAnsiTheme="minorHAnsi" w:cs="Arial"/>
          <w:b/>
          <w:sz w:val="22"/>
          <w:szCs w:val="22"/>
          <w:lang w:val="en-GB"/>
        </w:rPr>
        <w:t xml:space="preserve"> </w:t>
      </w:r>
      <w:r w:rsidRPr="004954F9">
        <w:rPr>
          <w:rFonts w:asciiTheme="minorHAnsi" w:hAnsiTheme="minorHAnsi" w:cs="Arial"/>
          <w:b/>
          <w:bCs/>
          <w:sz w:val="22"/>
          <w:szCs w:val="22"/>
          <w:lang w:val="en-IN"/>
        </w:rPr>
        <w:t xml:space="preserve">  (</w:t>
      </w:r>
      <w:proofErr w:type="gramEnd"/>
      <w:r w:rsidRPr="004954F9">
        <w:rPr>
          <w:rFonts w:asciiTheme="minorHAnsi" w:hAnsiTheme="minorHAnsi" w:cs="Arial"/>
          <w:b/>
          <w:bCs/>
          <w:sz w:val="22"/>
          <w:szCs w:val="22"/>
          <w:lang w:val="en-IN"/>
        </w:rPr>
        <w:t xml:space="preserve">In Rs. </w:t>
      </w:r>
      <w:proofErr w:type="spellStart"/>
      <w:r w:rsidRPr="004954F9">
        <w:rPr>
          <w:rFonts w:asciiTheme="minorHAnsi" w:hAnsiTheme="minorHAnsi" w:cs="Arial"/>
          <w:b/>
          <w:bCs/>
          <w:sz w:val="22"/>
          <w:szCs w:val="22"/>
          <w:lang w:val="en-IN"/>
        </w:rPr>
        <w:t>Crs</w:t>
      </w:r>
      <w:proofErr w:type="spellEnd"/>
      <w:r w:rsidRPr="004954F9">
        <w:rPr>
          <w:rFonts w:asciiTheme="minorHAnsi" w:hAnsiTheme="minorHAnsi" w:cs="Arial"/>
          <w:b/>
          <w:bCs/>
          <w:sz w:val="22"/>
          <w:szCs w:val="22"/>
          <w:lang w:val="en-IN"/>
        </w:rPr>
        <w:t>)</w:t>
      </w:r>
    </w:p>
    <w:tbl>
      <w:tblPr>
        <w:tblStyle w:val="TableGrid4"/>
        <w:tblW w:w="8803" w:type="dxa"/>
        <w:tblInd w:w="562" w:type="dxa"/>
        <w:tblLayout w:type="fixed"/>
        <w:tblLook w:val="04A0" w:firstRow="1" w:lastRow="0" w:firstColumn="1" w:lastColumn="0" w:noHBand="0" w:noVBand="1"/>
      </w:tblPr>
      <w:tblGrid>
        <w:gridCol w:w="2947"/>
        <w:gridCol w:w="2908"/>
        <w:gridCol w:w="2948"/>
      </w:tblGrid>
      <w:tr w:rsidR="00423534" w:rsidRPr="004954F9" w14:paraId="633F953D" w14:textId="77777777" w:rsidTr="00423534">
        <w:trPr>
          <w:trHeight w:val="434"/>
        </w:trPr>
        <w:tc>
          <w:tcPr>
            <w:tcW w:w="2947" w:type="dxa"/>
            <w:shd w:val="clear" w:color="auto" w:fill="9CC2E5"/>
          </w:tcPr>
          <w:p w14:paraId="69F467C6" w14:textId="77777777" w:rsidR="00423534" w:rsidRPr="004954F9" w:rsidRDefault="00423534" w:rsidP="00423534">
            <w:pPr>
              <w:tabs>
                <w:tab w:val="left" w:pos="426"/>
              </w:tabs>
              <w:spacing w:line="360" w:lineRule="auto"/>
              <w:ind w:right="-23"/>
              <w:jc w:val="center"/>
              <w:rPr>
                <w:rFonts w:asciiTheme="minorHAnsi" w:hAnsiTheme="minorHAnsi" w:cs="Arial"/>
                <w:b/>
                <w:bCs/>
                <w:sz w:val="22"/>
                <w:szCs w:val="22"/>
              </w:rPr>
            </w:pPr>
            <w:r w:rsidRPr="004954F9">
              <w:rPr>
                <w:rFonts w:asciiTheme="minorHAnsi" w:hAnsiTheme="minorHAnsi" w:cs="Arial"/>
                <w:b/>
                <w:bCs/>
                <w:sz w:val="22"/>
                <w:szCs w:val="22"/>
              </w:rPr>
              <w:t>Approved</w:t>
            </w:r>
          </w:p>
        </w:tc>
        <w:tc>
          <w:tcPr>
            <w:tcW w:w="2908" w:type="dxa"/>
            <w:shd w:val="clear" w:color="auto" w:fill="9CC2E5"/>
          </w:tcPr>
          <w:p w14:paraId="603E128F" w14:textId="77777777" w:rsidR="00423534" w:rsidRPr="004954F9" w:rsidRDefault="00423534" w:rsidP="00423534">
            <w:pPr>
              <w:tabs>
                <w:tab w:val="left" w:pos="426"/>
              </w:tabs>
              <w:spacing w:line="360" w:lineRule="auto"/>
              <w:ind w:right="-23"/>
              <w:jc w:val="center"/>
              <w:rPr>
                <w:rFonts w:asciiTheme="minorHAnsi" w:hAnsiTheme="minorHAnsi" w:cs="Arial"/>
                <w:b/>
                <w:bCs/>
                <w:sz w:val="22"/>
                <w:szCs w:val="22"/>
              </w:rPr>
            </w:pPr>
            <w:r w:rsidRPr="004954F9">
              <w:rPr>
                <w:rFonts w:asciiTheme="minorHAnsi" w:hAnsiTheme="minorHAnsi" w:cs="Arial"/>
                <w:b/>
                <w:bCs/>
                <w:sz w:val="22"/>
                <w:szCs w:val="22"/>
              </w:rPr>
              <w:t>Actual</w:t>
            </w:r>
          </w:p>
        </w:tc>
        <w:tc>
          <w:tcPr>
            <w:tcW w:w="2948" w:type="dxa"/>
            <w:shd w:val="clear" w:color="auto" w:fill="9CC2E5"/>
          </w:tcPr>
          <w:p w14:paraId="485AECE9" w14:textId="77777777" w:rsidR="00423534" w:rsidRPr="004954F9" w:rsidRDefault="00423534" w:rsidP="00423534">
            <w:pPr>
              <w:tabs>
                <w:tab w:val="left" w:pos="426"/>
              </w:tabs>
              <w:spacing w:line="360" w:lineRule="auto"/>
              <w:ind w:right="-23"/>
              <w:jc w:val="center"/>
              <w:rPr>
                <w:rFonts w:asciiTheme="minorHAnsi" w:hAnsiTheme="minorHAnsi" w:cs="Arial"/>
                <w:b/>
                <w:bCs/>
                <w:sz w:val="22"/>
                <w:szCs w:val="22"/>
              </w:rPr>
            </w:pPr>
            <w:r w:rsidRPr="004954F9">
              <w:rPr>
                <w:rFonts w:asciiTheme="minorHAnsi" w:hAnsiTheme="minorHAnsi" w:cs="Arial"/>
                <w:b/>
                <w:bCs/>
                <w:sz w:val="22"/>
                <w:szCs w:val="22"/>
              </w:rPr>
              <w:t>Difference</w:t>
            </w:r>
          </w:p>
        </w:tc>
      </w:tr>
      <w:tr w:rsidR="00423534" w:rsidRPr="004954F9" w14:paraId="4D672125" w14:textId="77777777" w:rsidTr="00423534">
        <w:trPr>
          <w:trHeight w:val="418"/>
        </w:trPr>
        <w:tc>
          <w:tcPr>
            <w:tcW w:w="2947" w:type="dxa"/>
          </w:tcPr>
          <w:p w14:paraId="194D22E6" w14:textId="77777777" w:rsidR="00423534" w:rsidRPr="004954F9" w:rsidRDefault="00423534" w:rsidP="00423534">
            <w:pPr>
              <w:tabs>
                <w:tab w:val="left" w:pos="426"/>
              </w:tabs>
              <w:spacing w:line="360" w:lineRule="auto"/>
              <w:ind w:right="-23"/>
              <w:jc w:val="center"/>
              <w:rPr>
                <w:rFonts w:asciiTheme="minorHAnsi" w:hAnsiTheme="minorHAnsi" w:cs="Arial"/>
                <w:b/>
                <w:bCs/>
                <w:sz w:val="22"/>
                <w:szCs w:val="22"/>
              </w:rPr>
            </w:pPr>
            <w:r w:rsidRPr="004954F9">
              <w:rPr>
                <w:rFonts w:asciiTheme="minorHAnsi" w:hAnsiTheme="minorHAnsi" w:cs="Arial"/>
                <w:b/>
                <w:bCs/>
                <w:sz w:val="22"/>
                <w:szCs w:val="22"/>
              </w:rPr>
              <w:t>25.83</w:t>
            </w:r>
          </w:p>
        </w:tc>
        <w:tc>
          <w:tcPr>
            <w:tcW w:w="2908" w:type="dxa"/>
          </w:tcPr>
          <w:p w14:paraId="3F408DF2" w14:textId="77777777" w:rsidR="00423534" w:rsidRPr="004954F9" w:rsidRDefault="00423534" w:rsidP="00423534">
            <w:pPr>
              <w:tabs>
                <w:tab w:val="left" w:pos="426"/>
              </w:tabs>
              <w:spacing w:line="360" w:lineRule="auto"/>
              <w:ind w:right="-23"/>
              <w:jc w:val="center"/>
              <w:rPr>
                <w:rFonts w:asciiTheme="minorHAnsi" w:hAnsiTheme="minorHAnsi" w:cs="Arial"/>
                <w:b/>
                <w:bCs/>
                <w:sz w:val="22"/>
                <w:szCs w:val="22"/>
              </w:rPr>
            </w:pPr>
            <w:r w:rsidRPr="004954F9">
              <w:rPr>
                <w:rFonts w:asciiTheme="minorHAnsi" w:hAnsiTheme="minorHAnsi" w:cs="Arial"/>
                <w:b/>
                <w:bCs/>
                <w:sz w:val="22"/>
                <w:szCs w:val="22"/>
              </w:rPr>
              <w:t>41.96</w:t>
            </w:r>
          </w:p>
        </w:tc>
        <w:tc>
          <w:tcPr>
            <w:tcW w:w="2948" w:type="dxa"/>
          </w:tcPr>
          <w:p w14:paraId="2A926631" w14:textId="77777777" w:rsidR="00423534" w:rsidRPr="004954F9" w:rsidRDefault="00423534" w:rsidP="00423534">
            <w:pPr>
              <w:tabs>
                <w:tab w:val="left" w:pos="426"/>
              </w:tabs>
              <w:spacing w:line="360" w:lineRule="auto"/>
              <w:ind w:right="-23"/>
              <w:jc w:val="center"/>
              <w:rPr>
                <w:rFonts w:asciiTheme="minorHAnsi" w:hAnsiTheme="minorHAnsi" w:cs="Arial"/>
                <w:b/>
                <w:bCs/>
                <w:sz w:val="22"/>
                <w:szCs w:val="22"/>
              </w:rPr>
            </w:pPr>
            <w:r w:rsidRPr="004954F9">
              <w:rPr>
                <w:rFonts w:asciiTheme="minorHAnsi" w:hAnsiTheme="minorHAnsi" w:cs="Arial"/>
                <w:b/>
                <w:bCs/>
                <w:sz w:val="22"/>
                <w:szCs w:val="22"/>
              </w:rPr>
              <w:t>16.13</w:t>
            </w:r>
          </w:p>
        </w:tc>
      </w:tr>
    </w:tbl>
    <w:p w14:paraId="3C3AF25D" w14:textId="77777777" w:rsidR="00416351" w:rsidRDefault="00416351" w:rsidP="00423534">
      <w:pPr>
        <w:tabs>
          <w:tab w:val="left" w:pos="426"/>
        </w:tabs>
        <w:suppressAutoHyphens/>
        <w:spacing w:line="360" w:lineRule="auto"/>
        <w:ind w:left="284" w:right="-23"/>
        <w:jc w:val="both"/>
        <w:rPr>
          <w:rFonts w:asciiTheme="minorHAnsi" w:hAnsiTheme="minorHAnsi" w:cs="Arial"/>
          <w:bCs/>
          <w:sz w:val="22"/>
          <w:szCs w:val="22"/>
        </w:rPr>
      </w:pPr>
    </w:p>
    <w:p w14:paraId="0E9CF012" w14:textId="77777777" w:rsidR="00416351" w:rsidRDefault="00416351" w:rsidP="00423534">
      <w:pPr>
        <w:tabs>
          <w:tab w:val="left" w:pos="426"/>
        </w:tabs>
        <w:suppressAutoHyphens/>
        <w:spacing w:line="360" w:lineRule="auto"/>
        <w:ind w:left="284" w:right="-23"/>
        <w:jc w:val="both"/>
        <w:rPr>
          <w:rFonts w:asciiTheme="minorHAnsi" w:hAnsiTheme="minorHAnsi" w:cs="Arial"/>
          <w:bCs/>
          <w:sz w:val="22"/>
          <w:szCs w:val="22"/>
        </w:rPr>
      </w:pPr>
    </w:p>
    <w:p w14:paraId="42009A57" w14:textId="0C2814E5" w:rsidR="00416351" w:rsidRPr="00557ED5" w:rsidRDefault="00416351" w:rsidP="00416351">
      <w:pPr>
        <w:pStyle w:val="FrameContents"/>
        <w:ind w:firstLine="709"/>
        <w:rPr>
          <w:rFonts w:asciiTheme="minorHAnsi" w:hAnsiTheme="minorHAnsi" w:cs="Arial"/>
          <w:b/>
          <w:sz w:val="28"/>
          <w:szCs w:val="28"/>
        </w:rPr>
      </w:pPr>
      <w:r w:rsidRPr="00557ED5">
        <w:rPr>
          <w:rFonts w:asciiTheme="minorHAnsi" w:hAnsiTheme="minorHAnsi" w:cs="Arial"/>
          <w:b/>
          <w:sz w:val="28"/>
          <w:szCs w:val="28"/>
        </w:rPr>
        <w:t>5.2.3.</w:t>
      </w:r>
      <w:r w:rsidRPr="00557ED5">
        <w:rPr>
          <w:rFonts w:asciiTheme="minorHAnsi" w:hAnsiTheme="minorHAnsi" w:cs="Arial"/>
          <w:bCs/>
          <w:sz w:val="24"/>
          <w:szCs w:val="22"/>
        </w:rPr>
        <w:t xml:space="preserve"> </w:t>
      </w:r>
      <w:r w:rsidRPr="00557ED5">
        <w:rPr>
          <w:rFonts w:asciiTheme="minorHAnsi" w:hAnsiTheme="minorHAnsi" w:cs="Arial"/>
          <w:b/>
          <w:sz w:val="28"/>
          <w:szCs w:val="28"/>
        </w:rPr>
        <w:t>Issues Pertaining to R&amp;M Cost approved in RST Order FY 2024-25</w:t>
      </w:r>
    </w:p>
    <w:p w14:paraId="086F5CE4" w14:textId="4BBB285D" w:rsidR="00423534" w:rsidRPr="004954F9" w:rsidRDefault="00423534" w:rsidP="00423534">
      <w:pPr>
        <w:tabs>
          <w:tab w:val="left" w:pos="426"/>
        </w:tabs>
        <w:suppressAutoHyphens/>
        <w:spacing w:line="360" w:lineRule="auto"/>
        <w:ind w:left="284" w:right="-23"/>
        <w:jc w:val="both"/>
        <w:rPr>
          <w:rFonts w:asciiTheme="minorHAnsi" w:hAnsiTheme="minorHAnsi" w:cs="Arial"/>
          <w:bCs/>
          <w:sz w:val="22"/>
          <w:szCs w:val="22"/>
        </w:rPr>
      </w:pPr>
    </w:p>
    <w:p w14:paraId="2FCC1195" w14:textId="77777777" w:rsidR="00C25C59" w:rsidRDefault="00416351" w:rsidP="00423534">
      <w:pPr>
        <w:widowControl w:val="0"/>
        <w:tabs>
          <w:tab w:val="left" w:pos="8505"/>
        </w:tabs>
        <w:suppressAutoHyphens/>
        <w:autoSpaceDE w:val="0"/>
        <w:autoSpaceDN w:val="0"/>
        <w:spacing w:before="60" w:line="360" w:lineRule="auto"/>
        <w:ind w:left="709"/>
        <w:outlineLvl w:val="0"/>
        <w:rPr>
          <w:rFonts w:asciiTheme="minorHAnsi" w:eastAsia="Calibri" w:hAnsiTheme="minorHAnsi" w:cs="Calibri"/>
          <w:b/>
          <w:bCs/>
          <w:sz w:val="22"/>
          <w:szCs w:val="22"/>
        </w:rPr>
      </w:pPr>
      <w:r>
        <w:rPr>
          <w:rFonts w:asciiTheme="minorHAnsi" w:eastAsia="Calibri" w:hAnsiTheme="minorHAnsi" w:cs="Calibri"/>
          <w:b/>
          <w:bCs/>
          <w:sz w:val="22"/>
          <w:szCs w:val="22"/>
        </w:rPr>
        <w:t>S</w:t>
      </w:r>
      <w:r w:rsidR="00423534" w:rsidRPr="004954F9">
        <w:rPr>
          <w:rFonts w:asciiTheme="minorHAnsi" w:eastAsia="Calibri" w:hAnsiTheme="minorHAnsi" w:cs="Calibri"/>
          <w:b/>
          <w:bCs/>
          <w:sz w:val="22"/>
          <w:szCs w:val="22"/>
        </w:rPr>
        <w:t>hort</w:t>
      </w:r>
      <w:r w:rsidR="00423534" w:rsidRPr="004954F9">
        <w:rPr>
          <w:rFonts w:asciiTheme="minorHAnsi" w:eastAsia="Calibri" w:hAnsiTheme="minorHAnsi" w:cs="Calibri"/>
          <w:b/>
          <w:bCs/>
          <w:spacing w:val="11"/>
          <w:sz w:val="22"/>
          <w:szCs w:val="22"/>
        </w:rPr>
        <w:t xml:space="preserve"> </w:t>
      </w:r>
      <w:r w:rsidR="00423534" w:rsidRPr="004954F9">
        <w:rPr>
          <w:rFonts w:asciiTheme="minorHAnsi" w:eastAsia="Calibri" w:hAnsiTheme="minorHAnsi" w:cs="Calibri"/>
          <w:b/>
          <w:bCs/>
          <w:sz w:val="22"/>
          <w:szCs w:val="22"/>
        </w:rPr>
        <w:t>Allowance</w:t>
      </w:r>
      <w:r w:rsidR="00423534" w:rsidRPr="004954F9">
        <w:rPr>
          <w:rFonts w:asciiTheme="minorHAnsi" w:eastAsia="Calibri" w:hAnsiTheme="minorHAnsi" w:cs="Calibri"/>
          <w:b/>
          <w:bCs/>
          <w:spacing w:val="5"/>
          <w:sz w:val="22"/>
          <w:szCs w:val="22"/>
        </w:rPr>
        <w:t xml:space="preserve"> </w:t>
      </w:r>
      <w:r w:rsidR="00423534" w:rsidRPr="004954F9">
        <w:rPr>
          <w:rFonts w:asciiTheme="minorHAnsi" w:eastAsia="Calibri" w:hAnsiTheme="minorHAnsi" w:cs="Calibri"/>
          <w:b/>
          <w:bCs/>
          <w:sz w:val="22"/>
          <w:szCs w:val="22"/>
        </w:rPr>
        <w:t>of</w:t>
      </w:r>
      <w:r w:rsidR="00423534" w:rsidRPr="004954F9">
        <w:rPr>
          <w:rFonts w:asciiTheme="minorHAnsi" w:eastAsia="Calibri" w:hAnsiTheme="minorHAnsi" w:cs="Calibri"/>
          <w:b/>
          <w:bCs/>
          <w:spacing w:val="22"/>
          <w:sz w:val="22"/>
          <w:szCs w:val="22"/>
        </w:rPr>
        <w:t xml:space="preserve"> </w:t>
      </w:r>
      <w:r w:rsidR="00423534" w:rsidRPr="004954F9">
        <w:rPr>
          <w:rFonts w:asciiTheme="minorHAnsi" w:eastAsia="Calibri" w:hAnsiTheme="minorHAnsi" w:cs="Calibri"/>
          <w:b/>
          <w:bCs/>
          <w:sz w:val="22"/>
          <w:szCs w:val="22"/>
        </w:rPr>
        <w:t>R&amp;M</w:t>
      </w:r>
      <w:r w:rsidR="00423534" w:rsidRPr="004954F9">
        <w:rPr>
          <w:rFonts w:asciiTheme="minorHAnsi" w:eastAsia="Calibri" w:hAnsiTheme="minorHAnsi" w:cs="Calibri"/>
          <w:b/>
          <w:bCs/>
          <w:spacing w:val="7"/>
          <w:sz w:val="22"/>
          <w:szCs w:val="22"/>
        </w:rPr>
        <w:t xml:space="preserve"> </w:t>
      </w:r>
      <w:r w:rsidR="00423534" w:rsidRPr="004954F9">
        <w:rPr>
          <w:rFonts w:asciiTheme="minorHAnsi" w:eastAsia="Calibri" w:hAnsiTheme="minorHAnsi" w:cs="Calibri"/>
          <w:b/>
          <w:bCs/>
          <w:sz w:val="22"/>
          <w:szCs w:val="22"/>
        </w:rPr>
        <w:t>Cost</w:t>
      </w:r>
      <w:r w:rsidR="00423534" w:rsidRPr="004954F9">
        <w:rPr>
          <w:rFonts w:asciiTheme="minorHAnsi" w:eastAsia="Calibri" w:hAnsiTheme="minorHAnsi" w:cs="Calibri"/>
          <w:b/>
          <w:bCs/>
          <w:spacing w:val="12"/>
          <w:sz w:val="22"/>
          <w:szCs w:val="22"/>
        </w:rPr>
        <w:t xml:space="preserve"> </w:t>
      </w:r>
      <w:r w:rsidR="00423534" w:rsidRPr="004954F9">
        <w:rPr>
          <w:rFonts w:asciiTheme="minorHAnsi" w:eastAsia="Calibri" w:hAnsiTheme="minorHAnsi" w:cs="Calibri"/>
          <w:b/>
          <w:bCs/>
          <w:sz w:val="22"/>
          <w:szCs w:val="22"/>
        </w:rPr>
        <w:t>due</w:t>
      </w:r>
      <w:r w:rsidR="00423534" w:rsidRPr="004954F9">
        <w:rPr>
          <w:rFonts w:asciiTheme="minorHAnsi" w:eastAsia="Calibri" w:hAnsiTheme="minorHAnsi" w:cs="Calibri"/>
          <w:b/>
          <w:bCs/>
          <w:spacing w:val="8"/>
          <w:sz w:val="22"/>
          <w:szCs w:val="22"/>
        </w:rPr>
        <w:t xml:space="preserve"> </w:t>
      </w:r>
      <w:r w:rsidR="00423534" w:rsidRPr="004954F9">
        <w:rPr>
          <w:rFonts w:asciiTheme="minorHAnsi" w:eastAsia="Calibri" w:hAnsiTheme="minorHAnsi" w:cs="Calibri"/>
          <w:b/>
          <w:bCs/>
          <w:sz w:val="22"/>
          <w:szCs w:val="22"/>
        </w:rPr>
        <w:t>to</w:t>
      </w:r>
      <w:r w:rsidR="00423534" w:rsidRPr="004954F9">
        <w:rPr>
          <w:rFonts w:asciiTheme="minorHAnsi" w:eastAsia="Calibri" w:hAnsiTheme="minorHAnsi" w:cs="Calibri"/>
          <w:b/>
          <w:bCs/>
          <w:spacing w:val="22"/>
          <w:sz w:val="22"/>
          <w:szCs w:val="22"/>
        </w:rPr>
        <w:t xml:space="preserve"> </w:t>
      </w:r>
      <w:r w:rsidR="00423534" w:rsidRPr="004954F9">
        <w:rPr>
          <w:rFonts w:asciiTheme="minorHAnsi" w:eastAsia="Calibri" w:hAnsiTheme="minorHAnsi" w:cs="Calibri"/>
          <w:b/>
          <w:bCs/>
          <w:sz w:val="22"/>
          <w:szCs w:val="22"/>
        </w:rPr>
        <w:t>exclusion</w:t>
      </w:r>
      <w:r w:rsidR="00423534" w:rsidRPr="004954F9">
        <w:rPr>
          <w:rFonts w:asciiTheme="minorHAnsi" w:eastAsia="Calibri" w:hAnsiTheme="minorHAnsi" w:cs="Calibri"/>
          <w:b/>
          <w:bCs/>
          <w:spacing w:val="10"/>
          <w:sz w:val="22"/>
          <w:szCs w:val="22"/>
        </w:rPr>
        <w:t xml:space="preserve"> </w:t>
      </w:r>
      <w:r w:rsidR="00423534" w:rsidRPr="004954F9">
        <w:rPr>
          <w:rFonts w:asciiTheme="minorHAnsi" w:eastAsia="Calibri" w:hAnsiTheme="minorHAnsi" w:cs="Calibri"/>
          <w:b/>
          <w:bCs/>
          <w:sz w:val="22"/>
          <w:szCs w:val="22"/>
        </w:rPr>
        <w:t>of</w:t>
      </w:r>
      <w:r w:rsidR="00423534" w:rsidRPr="004954F9">
        <w:rPr>
          <w:rFonts w:asciiTheme="minorHAnsi" w:eastAsia="Calibri" w:hAnsiTheme="minorHAnsi" w:cs="Calibri"/>
          <w:b/>
          <w:bCs/>
          <w:spacing w:val="9"/>
          <w:sz w:val="22"/>
          <w:szCs w:val="22"/>
        </w:rPr>
        <w:t xml:space="preserve"> </w:t>
      </w:r>
      <w:r w:rsidR="00423534" w:rsidRPr="004954F9">
        <w:rPr>
          <w:rFonts w:asciiTheme="minorHAnsi" w:eastAsia="Calibri" w:hAnsiTheme="minorHAnsi" w:cs="Calibri"/>
          <w:b/>
          <w:bCs/>
          <w:sz w:val="22"/>
          <w:szCs w:val="22"/>
        </w:rPr>
        <w:t>Asset</w:t>
      </w:r>
      <w:r w:rsidR="00423534" w:rsidRPr="004954F9">
        <w:rPr>
          <w:rFonts w:asciiTheme="minorHAnsi" w:eastAsia="Calibri" w:hAnsiTheme="minorHAnsi" w:cs="Calibri"/>
          <w:b/>
          <w:bCs/>
          <w:spacing w:val="8"/>
          <w:sz w:val="22"/>
          <w:szCs w:val="22"/>
        </w:rPr>
        <w:t xml:space="preserve"> </w:t>
      </w:r>
      <w:r w:rsidR="00423534" w:rsidRPr="004954F9">
        <w:rPr>
          <w:rFonts w:asciiTheme="minorHAnsi" w:eastAsia="Calibri" w:hAnsiTheme="minorHAnsi" w:cs="Calibri"/>
          <w:b/>
          <w:bCs/>
          <w:sz w:val="22"/>
          <w:szCs w:val="22"/>
        </w:rPr>
        <w:t>having</w:t>
      </w:r>
      <w:r w:rsidR="00423534" w:rsidRPr="004954F9">
        <w:rPr>
          <w:rFonts w:asciiTheme="minorHAnsi" w:eastAsia="Calibri" w:hAnsiTheme="minorHAnsi" w:cs="Calibri"/>
          <w:b/>
          <w:bCs/>
          <w:spacing w:val="13"/>
          <w:sz w:val="22"/>
          <w:szCs w:val="22"/>
        </w:rPr>
        <w:t xml:space="preserve"> </w:t>
      </w:r>
      <w:r w:rsidR="00423534" w:rsidRPr="004954F9">
        <w:rPr>
          <w:rFonts w:asciiTheme="minorHAnsi" w:eastAsia="Calibri" w:hAnsiTheme="minorHAnsi" w:cs="Calibri"/>
          <w:b/>
          <w:bCs/>
          <w:sz w:val="22"/>
          <w:szCs w:val="22"/>
        </w:rPr>
        <w:t>reached</w:t>
      </w:r>
      <w:r w:rsidR="00423534" w:rsidRPr="004954F9">
        <w:rPr>
          <w:rFonts w:asciiTheme="minorHAnsi" w:eastAsia="Calibri" w:hAnsiTheme="minorHAnsi" w:cs="Calibri"/>
          <w:b/>
          <w:bCs/>
          <w:spacing w:val="9"/>
          <w:sz w:val="22"/>
          <w:szCs w:val="22"/>
        </w:rPr>
        <w:t xml:space="preserve"> </w:t>
      </w:r>
      <w:r w:rsidR="00423534" w:rsidRPr="004954F9">
        <w:rPr>
          <w:rFonts w:asciiTheme="minorHAnsi" w:eastAsia="Calibri" w:hAnsiTheme="minorHAnsi" w:cs="Calibri"/>
          <w:b/>
          <w:bCs/>
          <w:sz w:val="22"/>
          <w:szCs w:val="22"/>
        </w:rPr>
        <w:t>10%</w:t>
      </w:r>
      <w:r w:rsidR="00423534" w:rsidRPr="004954F9">
        <w:rPr>
          <w:rFonts w:asciiTheme="minorHAnsi" w:eastAsia="Calibri" w:hAnsiTheme="minorHAnsi" w:cs="Calibri"/>
          <w:b/>
          <w:bCs/>
          <w:spacing w:val="10"/>
          <w:sz w:val="22"/>
          <w:szCs w:val="22"/>
        </w:rPr>
        <w:t xml:space="preserve"> </w:t>
      </w:r>
      <w:r w:rsidR="00423534" w:rsidRPr="004954F9">
        <w:rPr>
          <w:rFonts w:asciiTheme="minorHAnsi" w:eastAsia="Calibri" w:hAnsiTheme="minorHAnsi" w:cs="Calibri"/>
          <w:b/>
          <w:bCs/>
          <w:sz w:val="22"/>
          <w:szCs w:val="22"/>
        </w:rPr>
        <w:t>of</w:t>
      </w:r>
      <w:r w:rsidR="00423534" w:rsidRPr="004954F9">
        <w:rPr>
          <w:rFonts w:asciiTheme="minorHAnsi" w:eastAsia="Calibri" w:hAnsiTheme="minorHAnsi" w:cs="Calibri"/>
          <w:b/>
          <w:bCs/>
          <w:spacing w:val="-47"/>
          <w:sz w:val="22"/>
          <w:szCs w:val="22"/>
        </w:rPr>
        <w:t xml:space="preserve"> </w:t>
      </w:r>
      <w:r w:rsidR="00C25C59">
        <w:rPr>
          <w:rFonts w:asciiTheme="minorHAnsi" w:eastAsia="Calibri" w:hAnsiTheme="minorHAnsi" w:cs="Calibri"/>
          <w:b/>
          <w:bCs/>
          <w:spacing w:val="-47"/>
          <w:sz w:val="22"/>
          <w:szCs w:val="22"/>
        </w:rPr>
        <w:t xml:space="preserve">   </w:t>
      </w:r>
      <w:r w:rsidR="00423534" w:rsidRPr="004954F9">
        <w:rPr>
          <w:rFonts w:asciiTheme="minorHAnsi" w:eastAsia="Calibri" w:hAnsiTheme="minorHAnsi" w:cs="Calibri"/>
          <w:b/>
          <w:bCs/>
          <w:sz w:val="22"/>
          <w:szCs w:val="22"/>
        </w:rPr>
        <w:t>their</w:t>
      </w:r>
      <w:r w:rsidR="00423534">
        <w:rPr>
          <w:rFonts w:asciiTheme="minorHAnsi" w:eastAsia="Calibri" w:hAnsiTheme="minorHAnsi" w:cs="Calibri"/>
          <w:b/>
          <w:bCs/>
          <w:spacing w:val="-1"/>
          <w:sz w:val="22"/>
          <w:szCs w:val="22"/>
        </w:rPr>
        <w:t xml:space="preserve"> </w:t>
      </w:r>
      <w:r w:rsidR="00423534" w:rsidRPr="004954F9">
        <w:rPr>
          <w:rFonts w:asciiTheme="minorHAnsi" w:eastAsia="Calibri" w:hAnsiTheme="minorHAnsi" w:cs="Calibri"/>
          <w:b/>
          <w:bCs/>
          <w:sz w:val="22"/>
          <w:szCs w:val="22"/>
        </w:rPr>
        <w:t>GFA</w:t>
      </w:r>
      <w:r w:rsidR="00423534" w:rsidRPr="004954F9">
        <w:rPr>
          <w:rFonts w:asciiTheme="minorHAnsi" w:eastAsia="Calibri" w:hAnsiTheme="minorHAnsi" w:cs="Calibri"/>
          <w:b/>
          <w:bCs/>
          <w:spacing w:val="4"/>
          <w:sz w:val="22"/>
          <w:szCs w:val="22"/>
        </w:rPr>
        <w:t xml:space="preserve"> </w:t>
      </w:r>
      <w:r w:rsidR="00C25C59">
        <w:rPr>
          <w:rFonts w:asciiTheme="minorHAnsi" w:eastAsia="Calibri" w:hAnsiTheme="minorHAnsi" w:cs="Calibri"/>
          <w:b/>
          <w:bCs/>
          <w:sz w:val="22"/>
          <w:szCs w:val="22"/>
        </w:rPr>
        <w:t>from t</w:t>
      </w:r>
      <w:r w:rsidR="00423534" w:rsidRPr="004954F9">
        <w:rPr>
          <w:rFonts w:asciiTheme="minorHAnsi" w:eastAsia="Calibri" w:hAnsiTheme="minorHAnsi" w:cs="Calibri"/>
          <w:b/>
          <w:bCs/>
          <w:sz w:val="22"/>
          <w:szCs w:val="22"/>
        </w:rPr>
        <w:t>otal</w:t>
      </w:r>
      <w:r w:rsidR="00423534" w:rsidRPr="004954F9">
        <w:rPr>
          <w:rFonts w:asciiTheme="minorHAnsi" w:eastAsia="Calibri" w:hAnsiTheme="minorHAnsi" w:cs="Calibri"/>
          <w:b/>
          <w:bCs/>
          <w:spacing w:val="2"/>
          <w:sz w:val="22"/>
          <w:szCs w:val="22"/>
        </w:rPr>
        <w:t xml:space="preserve"> </w:t>
      </w:r>
      <w:r w:rsidR="00423534" w:rsidRPr="004954F9">
        <w:rPr>
          <w:rFonts w:asciiTheme="minorHAnsi" w:eastAsia="Calibri" w:hAnsiTheme="minorHAnsi" w:cs="Calibri"/>
          <w:b/>
          <w:bCs/>
          <w:sz w:val="22"/>
          <w:szCs w:val="22"/>
        </w:rPr>
        <w:t>GFA</w:t>
      </w:r>
      <w:r w:rsidR="00423534" w:rsidRPr="004954F9">
        <w:rPr>
          <w:rFonts w:asciiTheme="minorHAnsi" w:eastAsia="Calibri" w:hAnsiTheme="minorHAnsi" w:cs="Calibri"/>
          <w:b/>
          <w:bCs/>
          <w:spacing w:val="2"/>
          <w:sz w:val="22"/>
          <w:szCs w:val="22"/>
        </w:rPr>
        <w:t xml:space="preserve"> </w:t>
      </w:r>
      <w:r w:rsidR="00423534" w:rsidRPr="004954F9">
        <w:rPr>
          <w:rFonts w:asciiTheme="minorHAnsi" w:eastAsia="Calibri" w:hAnsiTheme="minorHAnsi" w:cs="Calibri"/>
          <w:b/>
          <w:bCs/>
          <w:sz w:val="22"/>
          <w:szCs w:val="22"/>
        </w:rPr>
        <w:t>but still</w:t>
      </w:r>
      <w:r w:rsidR="00423534" w:rsidRPr="004954F9">
        <w:rPr>
          <w:rFonts w:asciiTheme="minorHAnsi" w:eastAsia="Calibri" w:hAnsiTheme="minorHAnsi" w:cs="Calibri"/>
          <w:b/>
          <w:bCs/>
          <w:spacing w:val="1"/>
          <w:sz w:val="22"/>
          <w:szCs w:val="22"/>
        </w:rPr>
        <w:t xml:space="preserve"> </w:t>
      </w:r>
      <w:r w:rsidR="00423534" w:rsidRPr="004954F9">
        <w:rPr>
          <w:rFonts w:asciiTheme="minorHAnsi" w:eastAsia="Calibri" w:hAnsiTheme="minorHAnsi" w:cs="Calibri"/>
          <w:b/>
          <w:bCs/>
          <w:sz w:val="22"/>
          <w:szCs w:val="22"/>
        </w:rPr>
        <w:t>in</w:t>
      </w:r>
      <w:r w:rsidR="00423534" w:rsidRPr="004954F9">
        <w:rPr>
          <w:rFonts w:asciiTheme="minorHAnsi" w:eastAsia="Calibri" w:hAnsiTheme="minorHAnsi" w:cs="Calibri"/>
          <w:b/>
          <w:bCs/>
          <w:spacing w:val="-2"/>
          <w:sz w:val="22"/>
          <w:szCs w:val="22"/>
        </w:rPr>
        <w:t xml:space="preserve"> </w:t>
      </w:r>
      <w:r w:rsidR="00423534" w:rsidRPr="004954F9">
        <w:rPr>
          <w:rFonts w:asciiTheme="minorHAnsi" w:eastAsia="Calibri" w:hAnsiTheme="minorHAnsi" w:cs="Calibri"/>
          <w:b/>
          <w:bCs/>
          <w:sz w:val="22"/>
          <w:szCs w:val="22"/>
        </w:rPr>
        <w:t>operation/</w:t>
      </w:r>
      <w:r w:rsidR="00423534" w:rsidRPr="004954F9">
        <w:rPr>
          <w:rFonts w:asciiTheme="minorHAnsi" w:eastAsia="Calibri" w:hAnsiTheme="minorHAnsi" w:cs="Calibri"/>
          <w:b/>
          <w:bCs/>
          <w:spacing w:val="8"/>
          <w:sz w:val="22"/>
          <w:szCs w:val="22"/>
        </w:rPr>
        <w:t xml:space="preserve"> </w:t>
      </w:r>
      <w:r w:rsidR="00423534" w:rsidRPr="004954F9">
        <w:rPr>
          <w:rFonts w:asciiTheme="minorHAnsi" w:eastAsia="Calibri" w:hAnsiTheme="minorHAnsi" w:cs="Calibri"/>
          <w:b/>
          <w:bCs/>
          <w:sz w:val="22"/>
          <w:szCs w:val="22"/>
        </w:rPr>
        <w:t>use</w:t>
      </w:r>
      <w:r w:rsidR="00423534">
        <w:rPr>
          <w:rFonts w:asciiTheme="minorHAnsi" w:eastAsia="Calibri" w:hAnsiTheme="minorHAnsi" w:cs="Calibri"/>
          <w:b/>
          <w:bCs/>
          <w:sz w:val="22"/>
          <w:szCs w:val="22"/>
        </w:rPr>
        <w:t xml:space="preserve">: </w:t>
      </w:r>
    </w:p>
    <w:p w14:paraId="7903D867" w14:textId="330A5E2F" w:rsidR="00423534" w:rsidRPr="00751DC0" w:rsidRDefault="00423534" w:rsidP="00423534">
      <w:pPr>
        <w:widowControl w:val="0"/>
        <w:tabs>
          <w:tab w:val="left" w:pos="8505"/>
        </w:tabs>
        <w:suppressAutoHyphens/>
        <w:autoSpaceDE w:val="0"/>
        <w:autoSpaceDN w:val="0"/>
        <w:spacing w:before="60" w:line="360" w:lineRule="auto"/>
        <w:ind w:left="709"/>
        <w:outlineLvl w:val="0"/>
        <w:rPr>
          <w:rFonts w:asciiTheme="minorHAnsi" w:eastAsia="Calibri" w:hAnsiTheme="minorHAnsi" w:cs="Calibri"/>
          <w:sz w:val="22"/>
          <w:szCs w:val="22"/>
        </w:rPr>
      </w:pPr>
      <w:r w:rsidRPr="004954F9">
        <w:rPr>
          <w:rFonts w:asciiTheme="minorHAnsi" w:eastAsia="Calibri" w:hAnsiTheme="minorHAnsi" w:cs="Calibri"/>
          <w:sz w:val="22"/>
          <w:szCs w:val="22"/>
        </w:rPr>
        <w:t>While approving the</w:t>
      </w:r>
      <w:r w:rsidRPr="004954F9">
        <w:rPr>
          <w:rFonts w:asciiTheme="minorHAnsi" w:eastAsia="Calibri" w:hAnsiTheme="minorHAnsi" w:cs="Calibri"/>
          <w:spacing w:val="1"/>
          <w:sz w:val="22"/>
          <w:szCs w:val="22"/>
        </w:rPr>
        <w:t xml:space="preserve"> </w:t>
      </w:r>
      <w:r w:rsidRPr="004954F9">
        <w:rPr>
          <w:rFonts w:asciiTheme="minorHAnsi" w:eastAsia="Calibri" w:hAnsiTheme="minorHAnsi" w:cs="Calibri"/>
          <w:sz w:val="22"/>
          <w:szCs w:val="22"/>
        </w:rPr>
        <w:t>R&amp;M Cost for FY 2024-25 (Table -52, Page-114), the Hon’ble</w:t>
      </w:r>
      <w:r w:rsidRPr="004954F9">
        <w:rPr>
          <w:rFonts w:asciiTheme="minorHAnsi" w:eastAsia="Calibri" w:hAnsiTheme="minorHAnsi" w:cs="Calibri"/>
          <w:spacing w:val="1"/>
          <w:sz w:val="22"/>
          <w:szCs w:val="22"/>
        </w:rPr>
        <w:t xml:space="preserve"> </w:t>
      </w:r>
      <w:r w:rsidRPr="004954F9">
        <w:rPr>
          <w:rFonts w:asciiTheme="minorHAnsi" w:eastAsia="Calibri" w:hAnsiTheme="minorHAnsi" w:cs="Calibri"/>
          <w:sz w:val="22"/>
          <w:szCs w:val="22"/>
        </w:rPr>
        <w:t>Commission has</w:t>
      </w:r>
      <w:r w:rsidRPr="004954F9">
        <w:rPr>
          <w:rFonts w:asciiTheme="minorHAnsi" w:eastAsia="Calibri" w:hAnsiTheme="minorHAnsi" w:cs="Calibri"/>
          <w:spacing w:val="1"/>
          <w:sz w:val="22"/>
          <w:szCs w:val="22"/>
        </w:rPr>
        <w:t xml:space="preserve"> </w:t>
      </w:r>
      <w:r w:rsidRPr="004954F9">
        <w:rPr>
          <w:rFonts w:asciiTheme="minorHAnsi" w:eastAsia="Calibri" w:hAnsiTheme="minorHAnsi" w:cs="Calibri"/>
          <w:sz w:val="22"/>
          <w:szCs w:val="22"/>
        </w:rPr>
        <w:t>considered the GFA after excluding the</w:t>
      </w:r>
      <w:r w:rsidRPr="004954F9">
        <w:rPr>
          <w:rFonts w:asciiTheme="minorHAnsi" w:eastAsia="Calibri" w:hAnsiTheme="minorHAnsi" w:cs="Calibri"/>
          <w:spacing w:val="49"/>
          <w:sz w:val="22"/>
          <w:szCs w:val="22"/>
        </w:rPr>
        <w:t xml:space="preserve"> </w:t>
      </w:r>
      <w:r w:rsidRPr="004954F9">
        <w:rPr>
          <w:rFonts w:asciiTheme="minorHAnsi" w:eastAsia="Calibri" w:hAnsiTheme="minorHAnsi" w:cs="Calibri"/>
          <w:sz w:val="22"/>
          <w:szCs w:val="22"/>
        </w:rPr>
        <w:t>Asset that have reached 10%</w:t>
      </w:r>
      <w:r w:rsidRPr="004954F9">
        <w:rPr>
          <w:rFonts w:asciiTheme="minorHAnsi" w:eastAsia="Calibri" w:hAnsiTheme="minorHAnsi" w:cs="Calibri"/>
          <w:spacing w:val="1"/>
          <w:sz w:val="22"/>
          <w:szCs w:val="22"/>
        </w:rPr>
        <w:t xml:space="preserve"> </w:t>
      </w:r>
      <w:r w:rsidRPr="004954F9">
        <w:rPr>
          <w:rFonts w:asciiTheme="minorHAnsi" w:eastAsia="Calibri" w:hAnsiTheme="minorHAnsi" w:cs="Calibri"/>
          <w:sz w:val="22"/>
          <w:szCs w:val="22"/>
        </w:rPr>
        <w:t>of</w:t>
      </w:r>
      <w:r w:rsidRPr="004954F9">
        <w:rPr>
          <w:rFonts w:asciiTheme="minorHAnsi" w:eastAsia="Calibri" w:hAnsiTheme="minorHAnsi" w:cs="Calibri"/>
          <w:spacing w:val="23"/>
          <w:sz w:val="22"/>
          <w:szCs w:val="22"/>
        </w:rPr>
        <w:t xml:space="preserve"> </w:t>
      </w:r>
      <w:r w:rsidRPr="004954F9">
        <w:rPr>
          <w:rFonts w:asciiTheme="minorHAnsi" w:eastAsia="Calibri" w:hAnsiTheme="minorHAnsi" w:cs="Calibri"/>
          <w:sz w:val="22"/>
          <w:szCs w:val="22"/>
        </w:rPr>
        <w:t>their</w:t>
      </w:r>
      <w:r w:rsidRPr="004954F9">
        <w:rPr>
          <w:rFonts w:asciiTheme="minorHAnsi" w:eastAsia="Calibri" w:hAnsiTheme="minorHAnsi" w:cs="Calibri"/>
          <w:spacing w:val="23"/>
          <w:sz w:val="22"/>
          <w:szCs w:val="22"/>
        </w:rPr>
        <w:t xml:space="preserve"> </w:t>
      </w:r>
      <w:r w:rsidRPr="004954F9">
        <w:rPr>
          <w:rFonts w:asciiTheme="minorHAnsi" w:eastAsia="Calibri" w:hAnsiTheme="minorHAnsi" w:cs="Calibri"/>
          <w:sz w:val="22"/>
          <w:szCs w:val="22"/>
        </w:rPr>
        <w:t>GFA</w:t>
      </w:r>
      <w:r w:rsidRPr="004954F9">
        <w:rPr>
          <w:rFonts w:asciiTheme="minorHAnsi" w:eastAsia="Calibri" w:hAnsiTheme="minorHAnsi" w:cs="Calibri"/>
          <w:spacing w:val="20"/>
          <w:sz w:val="22"/>
          <w:szCs w:val="22"/>
        </w:rPr>
        <w:t xml:space="preserve"> </w:t>
      </w:r>
      <w:r w:rsidRPr="004954F9">
        <w:rPr>
          <w:rFonts w:asciiTheme="minorHAnsi" w:eastAsia="Calibri" w:hAnsiTheme="minorHAnsi" w:cs="Calibri"/>
          <w:sz w:val="22"/>
          <w:szCs w:val="22"/>
        </w:rPr>
        <w:t>which</w:t>
      </w:r>
      <w:r w:rsidRPr="004954F9">
        <w:rPr>
          <w:rFonts w:asciiTheme="minorHAnsi" w:eastAsia="Calibri" w:hAnsiTheme="minorHAnsi" w:cs="Calibri"/>
          <w:spacing w:val="18"/>
          <w:sz w:val="22"/>
          <w:szCs w:val="22"/>
        </w:rPr>
        <w:t xml:space="preserve"> </w:t>
      </w:r>
      <w:r w:rsidRPr="004954F9">
        <w:rPr>
          <w:rFonts w:asciiTheme="minorHAnsi" w:eastAsia="Calibri" w:hAnsiTheme="minorHAnsi" w:cs="Calibri"/>
          <w:sz w:val="22"/>
          <w:szCs w:val="22"/>
        </w:rPr>
        <w:t>is</w:t>
      </w:r>
      <w:r w:rsidRPr="004954F9">
        <w:rPr>
          <w:rFonts w:asciiTheme="minorHAnsi" w:eastAsia="Calibri" w:hAnsiTheme="minorHAnsi" w:cs="Calibri"/>
          <w:spacing w:val="23"/>
          <w:sz w:val="22"/>
          <w:szCs w:val="22"/>
        </w:rPr>
        <w:t xml:space="preserve"> </w:t>
      </w:r>
      <w:r w:rsidRPr="004954F9">
        <w:rPr>
          <w:rFonts w:asciiTheme="minorHAnsi" w:eastAsia="Calibri" w:hAnsiTheme="minorHAnsi" w:cs="Calibri"/>
          <w:sz w:val="22"/>
          <w:szCs w:val="22"/>
        </w:rPr>
        <w:t>against</w:t>
      </w:r>
      <w:r w:rsidRPr="004954F9">
        <w:rPr>
          <w:rFonts w:asciiTheme="minorHAnsi" w:eastAsia="Calibri" w:hAnsiTheme="minorHAnsi" w:cs="Calibri"/>
          <w:spacing w:val="21"/>
          <w:sz w:val="22"/>
          <w:szCs w:val="22"/>
        </w:rPr>
        <w:t xml:space="preserve"> </w:t>
      </w:r>
      <w:r w:rsidRPr="004954F9">
        <w:rPr>
          <w:rFonts w:asciiTheme="minorHAnsi" w:eastAsia="Calibri" w:hAnsiTheme="minorHAnsi" w:cs="Calibri"/>
          <w:sz w:val="22"/>
          <w:szCs w:val="22"/>
        </w:rPr>
        <w:t>the</w:t>
      </w:r>
      <w:r w:rsidRPr="004954F9">
        <w:rPr>
          <w:rFonts w:asciiTheme="minorHAnsi" w:eastAsia="Calibri" w:hAnsiTheme="minorHAnsi" w:cs="Calibri"/>
          <w:spacing w:val="26"/>
          <w:sz w:val="22"/>
          <w:szCs w:val="22"/>
        </w:rPr>
        <w:t xml:space="preserve"> </w:t>
      </w:r>
      <w:r w:rsidRPr="004954F9">
        <w:rPr>
          <w:rFonts w:asciiTheme="minorHAnsi" w:eastAsia="Calibri" w:hAnsiTheme="minorHAnsi" w:cs="Calibri"/>
          <w:sz w:val="22"/>
          <w:szCs w:val="22"/>
        </w:rPr>
        <w:t>provisions</w:t>
      </w:r>
      <w:r w:rsidRPr="004954F9">
        <w:rPr>
          <w:rFonts w:asciiTheme="minorHAnsi" w:eastAsia="Calibri" w:hAnsiTheme="minorHAnsi" w:cs="Calibri"/>
          <w:spacing w:val="22"/>
          <w:sz w:val="22"/>
          <w:szCs w:val="22"/>
        </w:rPr>
        <w:t xml:space="preserve"> </w:t>
      </w:r>
      <w:r w:rsidRPr="004954F9">
        <w:rPr>
          <w:rFonts w:asciiTheme="minorHAnsi" w:eastAsia="Calibri" w:hAnsiTheme="minorHAnsi" w:cs="Calibri"/>
          <w:sz w:val="22"/>
          <w:szCs w:val="22"/>
        </w:rPr>
        <w:t>of</w:t>
      </w:r>
      <w:r w:rsidRPr="004954F9">
        <w:rPr>
          <w:rFonts w:asciiTheme="minorHAnsi" w:eastAsia="Calibri" w:hAnsiTheme="minorHAnsi" w:cs="Calibri"/>
          <w:spacing w:val="26"/>
          <w:sz w:val="22"/>
          <w:szCs w:val="22"/>
        </w:rPr>
        <w:t xml:space="preserve"> </w:t>
      </w:r>
      <w:r w:rsidRPr="004954F9">
        <w:rPr>
          <w:rFonts w:asciiTheme="minorHAnsi" w:eastAsia="Calibri" w:hAnsiTheme="minorHAnsi" w:cs="Calibri"/>
          <w:sz w:val="22"/>
          <w:szCs w:val="22"/>
        </w:rPr>
        <w:t>the</w:t>
      </w:r>
      <w:r w:rsidRPr="004954F9">
        <w:rPr>
          <w:rFonts w:asciiTheme="minorHAnsi" w:eastAsia="Calibri" w:hAnsiTheme="minorHAnsi" w:cs="Calibri"/>
          <w:spacing w:val="23"/>
          <w:sz w:val="22"/>
          <w:szCs w:val="22"/>
        </w:rPr>
        <w:t xml:space="preserve"> </w:t>
      </w:r>
      <w:r w:rsidRPr="004954F9">
        <w:rPr>
          <w:rFonts w:asciiTheme="minorHAnsi" w:eastAsia="Calibri" w:hAnsiTheme="minorHAnsi" w:cs="Calibri"/>
          <w:sz w:val="22"/>
          <w:szCs w:val="22"/>
        </w:rPr>
        <w:t>Tariff</w:t>
      </w:r>
      <w:r w:rsidRPr="004954F9">
        <w:rPr>
          <w:rFonts w:asciiTheme="minorHAnsi" w:eastAsia="Calibri" w:hAnsiTheme="minorHAnsi" w:cs="Calibri"/>
          <w:spacing w:val="21"/>
          <w:sz w:val="22"/>
          <w:szCs w:val="22"/>
        </w:rPr>
        <w:t xml:space="preserve"> </w:t>
      </w:r>
      <w:r w:rsidRPr="004954F9">
        <w:rPr>
          <w:rFonts w:asciiTheme="minorHAnsi" w:eastAsia="Calibri" w:hAnsiTheme="minorHAnsi" w:cs="Calibri"/>
          <w:sz w:val="22"/>
          <w:szCs w:val="22"/>
        </w:rPr>
        <w:t>Regulations,2022.</w:t>
      </w:r>
      <w:r w:rsidRPr="004954F9">
        <w:rPr>
          <w:rFonts w:asciiTheme="minorHAnsi" w:eastAsia="Calibri" w:hAnsiTheme="minorHAnsi" w:cs="Calibri"/>
          <w:spacing w:val="22"/>
          <w:sz w:val="22"/>
          <w:szCs w:val="22"/>
        </w:rPr>
        <w:t xml:space="preserve"> </w:t>
      </w:r>
      <w:r w:rsidRPr="004954F9">
        <w:rPr>
          <w:rFonts w:asciiTheme="minorHAnsi" w:eastAsia="Calibri" w:hAnsiTheme="minorHAnsi" w:cs="Calibri"/>
          <w:sz w:val="22"/>
          <w:szCs w:val="22"/>
        </w:rPr>
        <w:t>Table</w:t>
      </w:r>
      <w:r w:rsidRPr="004954F9">
        <w:rPr>
          <w:rFonts w:asciiTheme="minorHAnsi" w:eastAsia="Calibri" w:hAnsiTheme="minorHAnsi" w:cs="Calibri"/>
          <w:spacing w:val="20"/>
          <w:sz w:val="22"/>
          <w:szCs w:val="22"/>
        </w:rPr>
        <w:t xml:space="preserve"> </w:t>
      </w:r>
      <w:r w:rsidRPr="004954F9">
        <w:rPr>
          <w:rFonts w:asciiTheme="minorHAnsi" w:eastAsia="Calibri" w:hAnsiTheme="minorHAnsi" w:cs="Calibri"/>
          <w:sz w:val="22"/>
          <w:szCs w:val="22"/>
        </w:rPr>
        <w:t>-52</w:t>
      </w:r>
      <w:r w:rsidRPr="004954F9">
        <w:rPr>
          <w:rFonts w:asciiTheme="minorHAnsi" w:eastAsia="Calibri" w:hAnsiTheme="minorHAnsi" w:cs="Calibri"/>
          <w:spacing w:val="-47"/>
          <w:sz w:val="22"/>
          <w:szCs w:val="22"/>
        </w:rPr>
        <w:t xml:space="preserve"> </w:t>
      </w:r>
      <w:r w:rsidRPr="004954F9">
        <w:rPr>
          <w:rFonts w:asciiTheme="minorHAnsi" w:eastAsia="Calibri" w:hAnsiTheme="minorHAnsi" w:cs="Calibri"/>
          <w:sz w:val="22"/>
          <w:szCs w:val="22"/>
        </w:rPr>
        <w:t>of</w:t>
      </w:r>
      <w:r w:rsidRPr="004954F9">
        <w:rPr>
          <w:rFonts w:asciiTheme="minorHAnsi" w:eastAsia="Calibri" w:hAnsiTheme="minorHAnsi" w:cs="Calibri"/>
          <w:spacing w:val="34"/>
          <w:sz w:val="22"/>
          <w:szCs w:val="22"/>
        </w:rPr>
        <w:t xml:space="preserve"> </w:t>
      </w:r>
      <w:r w:rsidRPr="004954F9">
        <w:rPr>
          <w:rFonts w:asciiTheme="minorHAnsi" w:eastAsia="Calibri" w:hAnsiTheme="minorHAnsi" w:cs="Calibri"/>
          <w:sz w:val="22"/>
          <w:szCs w:val="22"/>
        </w:rPr>
        <w:t>the</w:t>
      </w:r>
      <w:r w:rsidRPr="004954F9">
        <w:rPr>
          <w:rFonts w:asciiTheme="minorHAnsi" w:eastAsia="Calibri" w:hAnsiTheme="minorHAnsi" w:cs="Calibri"/>
          <w:spacing w:val="31"/>
          <w:sz w:val="22"/>
          <w:szCs w:val="22"/>
        </w:rPr>
        <w:t xml:space="preserve"> </w:t>
      </w:r>
      <w:r w:rsidRPr="004954F9">
        <w:rPr>
          <w:rFonts w:asciiTheme="minorHAnsi" w:eastAsia="Calibri" w:hAnsiTheme="minorHAnsi" w:cs="Calibri"/>
          <w:sz w:val="22"/>
          <w:szCs w:val="22"/>
        </w:rPr>
        <w:t>Tariff</w:t>
      </w:r>
      <w:r w:rsidRPr="004954F9">
        <w:rPr>
          <w:rFonts w:asciiTheme="minorHAnsi" w:eastAsia="Calibri" w:hAnsiTheme="minorHAnsi" w:cs="Calibri"/>
          <w:spacing w:val="32"/>
          <w:sz w:val="22"/>
          <w:szCs w:val="22"/>
        </w:rPr>
        <w:t xml:space="preserve"> </w:t>
      </w:r>
      <w:r w:rsidRPr="004954F9">
        <w:rPr>
          <w:rFonts w:asciiTheme="minorHAnsi" w:eastAsia="Calibri" w:hAnsiTheme="minorHAnsi" w:cs="Calibri"/>
          <w:sz w:val="22"/>
          <w:szCs w:val="22"/>
        </w:rPr>
        <w:t>Order</w:t>
      </w:r>
      <w:r w:rsidRPr="004954F9">
        <w:rPr>
          <w:rFonts w:asciiTheme="minorHAnsi" w:eastAsia="Calibri" w:hAnsiTheme="minorHAnsi" w:cs="Calibri"/>
          <w:spacing w:val="31"/>
          <w:sz w:val="22"/>
          <w:szCs w:val="22"/>
        </w:rPr>
        <w:t xml:space="preserve"> </w:t>
      </w:r>
      <w:r w:rsidRPr="004954F9">
        <w:rPr>
          <w:rFonts w:asciiTheme="minorHAnsi" w:eastAsia="Calibri" w:hAnsiTheme="minorHAnsi" w:cs="Calibri"/>
          <w:sz w:val="22"/>
          <w:szCs w:val="22"/>
        </w:rPr>
        <w:t>is</w:t>
      </w:r>
      <w:r w:rsidRPr="004954F9">
        <w:rPr>
          <w:rFonts w:asciiTheme="minorHAnsi" w:eastAsia="Calibri" w:hAnsiTheme="minorHAnsi" w:cs="Calibri"/>
          <w:spacing w:val="33"/>
          <w:sz w:val="22"/>
          <w:szCs w:val="22"/>
        </w:rPr>
        <w:t xml:space="preserve"> </w:t>
      </w:r>
      <w:r w:rsidRPr="004954F9">
        <w:rPr>
          <w:rFonts w:asciiTheme="minorHAnsi" w:eastAsia="Calibri" w:hAnsiTheme="minorHAnsi" w:cs="Calibri"/>
          <w:sz w:val="22"/>
          <w:szCs w:val="22"/>
        </w:rPr>
        <w:t>reproduced</w:t>
      </w:r>
      <w:r w:rsidRPr="004954F9">
        <w:rPr>
          <w:rFonts w:asciiTheme="minorHAnsi" w:eastAsia="Calibri" w:hAnsiTheme="minorHAnsi" w:cs="Calibri"/>
          <w:spacing w:val="32"/>
          <w:sz w:val="22"/>
          <w:szCs w:val="22"/>
        </w:rPr>
        <w:t xml:space="preserve"> </w:t>
      </w:r>
      <w:r w:rsidRPr="004954F9">
        <w:rPr>
          <w:rFonts w:asciiTheme="minorHAnsi" w:eastAsia="Calibri" w:hAnsiTheme="minorHAnsi" w:cs="Calibri"/>
          <w:sz w:val="22"/>
          <w:szCs w:val="22"/>
        </w:rPr>
        <w:t>below</w:t>
      </w:r>
      <w:r w:rsidRPr="004954F9">
        <w:rPr>
          <w:rFonts w:asciiTheme="minorHAnsi" w:eastAsia="Calibri" w:hAnsiTheme="minorHAnsi" w:cs="Calibri"/>
          <w:spacing w:val="32"/>
          <w:sz w:val="22"/>
          <w:szCs w:val="22"/>
        </w:rPr>
        <w:t xml:space="preserve"> </w:t>
      </w:r>
      <w:r w:rsidRPr="004954F9">
        <w:rPr>
          <w:rFonts w:asciiTheme="minorHAnsi" w:eastAsia="Calibri" w:hAnsiTheme="minorHAnsi" w:cs="Calibri"/>
          <w:sz w:val="22"/>
          <w:szCs w:val="22"/>
        </w:rPr>
        <w:t>for</w:t>
      </w:r>
      <w:r w:rsidRPr="004954F9">
        <w:rPr>
          <w:rFonts w:asciiTheme="minorHAnsi" w:eastAsia="Calibri" w:hAnsiTheme="minorHAnsi" w:cs="Calibri"/>
          <w:spacing w:val="31"/>
          <w:sz w:val="22"/>
          <w:szCs w:val="22"/>
        </w:rPr>
        <w:t xml:space="preserve"> </w:t>
      </w:r>
      <w:r w:rsidRPr="004954F9">
        <w:rPr>
          <w:rFonts w:asciiTheme="minorHAnsi" w:eastAsia="Calibri" w:hAnsiTheme="minorHAnsi" w:cs="Calibri"/>
          <w:sz w:val="22"/>
          <w:szCs w:val="22"/>
        </w:rPr>
        <w:t>ease</w:t>
      </w:r>
      <w:r w:rsidRPr="004954F9">
        <w:rPr>
          <w:rFonts w:asciiTheme="minorHAnsi" w:eastAsia="Calibri" w:hAnsiTheme="minorHAnsi" w:cs="Calibri"/>
          <w:spacing w:val="31"/>
          <w:sz w:val="22"/>
          <w:szCs w:val="22"/>
        </w:rPr>
        <w:t xml:space="preserve"> </w:t>
      </w:r>
      <w:r w:rsidRPr="004954F9">
        <w:rPr>
          <w:rFonts w:asciiTheme="minorHAnsi" w:eastAsia="Calibri" w:hAnsiTheme="minorHAnsi" w:cs="Calibri"/>
          <w:sz w:val="22"/>
          <w:szCs w:val="22"/>
        </w:rPr>
        <w:t>of</w:t>
      </w:r>
      <w:r w:rsidRPr="004954F9">
        <w:rPr>
          <w:rFonts w:asciiTheme="minorHAnsi" w:eastAsia="Calibri" w:hAnsiTheme="minorHAnsi" w:cs="Calibri"/>
          <w:spacing w:val="30"/>
          <w:sz w:val="22"/>
          <w:szCs w:val="22"/>
        </w:rPr>
        <w:t xml:space="preserve"> </w:t>
      </w:r>
      <w:r w:rsidRPr="004954F9">
        <w:rPr>
          <w:rFonts w:asciiTheme="minorHAnsi" w:eastAsia="Calibri" w:hAnsiTheme="minorHAnsi" w:cs="Calibri"/>
          <w:sz w:val="22"/>
          <w:szCs w:val="22"/>
        </w:rPr>
        <w:t>reference.</w:t>
      </w:r>
    </w:p>
    <w:p w14:paraId="2391F0EA" w14:textId="0CEF6AFD" w:rsidR="00423534" w:rsidRPr="00751DC0" w:rsidRDefault="00423534" w:rsidP="00423534">
      <w:pPr>
        <w:widowControl w:val="0"/>
        <w:autoSpaceDE w:val="0"/>
        <w:autoSpaceDN w:val="0"/>
        <w:spacing w:line="360" w:lineRule="auto"/>
        <w:ind w:left="2028" w:right="377"/>
        <w:jc w:val="center"/>
        <w:rPr>
          <w:rFonts w:asciiTheme="minorHAnsi" w:eastAsia="Calibri" w:hAnsiTheme="minorHAnsi" w:cs="Calibri"/>
          <w:b/>
          <w:sz w:val="22"/>
          <w:szCs w:val="22"/>
        </w:rPr>
      </w:pPr>
      <w:r>
        <w:rPr>
          <w:rFonts w:asciiTheme="minorHAnsi" w:eastAsia="Calibri" w:hAnsiTheme="minorHAnsi" w:cs="Calibri"/>
          <w:b/>
          <w:sz w:val="22"/>
          <w:szCs w:val="22"/>
        </w:rPr>
        <w:t xml:space="preserve">        </w:t>
      </w:r>
      <w:r w:rsidR="00B602FC">
        <w:rPr>
          <w:rFonts w:asciiTheme="minorHAnsi" w:eastAsia="Calibri" w:hAnsiTheme="minorHAnsi" w:cs="Calibri"/>
          <w:b/>
          <w:sz w:val="22"/>
          <w:szCs w:val="22"/>
        </w:rPr>
        <w:t>Table-</w:t>
      </w:r>
      <w:r w:rsidR="00A2402F">
        <w:rPr>
          <w:rFonts w:asciiTheme="minorHAnsi" w:eastAsia="Calibri" w:hAnsiTheme="minorHAnsi" w:cs="Calibri"/>
          <w:b/>
          <w:sz w:val="22"/>
          <w:szCs w:val="22"/>
        </w:rPr>
        <w:t>53: -</w:t>
      </w:r>
      <w:r w:rsidR="00B602FC">
        <w:rPr>
          <w:rFonts w:asciiTheme="minorHAnsi" w:eastAsia="Calibri" w:hAnsiTheme="minorHAnsi" w:cs="Calibri"/>
          <w:b/>
          <w:sz w:val="22"/>
          <w:szCs w:val="22"/>
        </w:rPr>
        <w:t xml:space="preserve"> </w:t>
      </w:r>
      <w:r w:rsidRPr="004954F9">
        <w:rPr>
          <w:rFonts w:asciiTheme="minorHAnsi" w:eastAsia="Calibri" w:hAnsiTheme="minorHAnsi" w:cs="Calibri"/>
          <w:b/>
          <w:sz w:val="22"/>
          <w:szCs w:val="22"/>
        </w:rPr>
        <w:t xml:space="preserve">Approved R&amp;M FY 2024-25         </w:t>
      </w:r>
      <w:r>
        <w:rPr>
          <w:rFonts w:asciiTheme="minorHAnsi" w:eastAsia="Calibri" w:hAnsiTheme="minorHAnsi" w:cs="Calibri"/>
          <w:b/>
          <w:sz w:val="22"/>
          <w:szCs w:val="22"/>
        </w:rPr>
        <w:t xml:space="preserve">             </w:t>
      </w:r>
      <w:proofErr w:type="gramStart"/>
      <w:r>
        <w:rPr>
          <w:rFonts w:asciiTheme="minorHAnsi" w:eastAsia="Calibri" w:hAnsiTheme="minorHAnsi" w:cs="Calibri"/>
          <w:b/>
          <w:sz w:val="22"/>
          <w:szCs w:val="22"/>
        </w:rPr>
        <w:t xml:space="preserve">   </w:t>
      </w:r>
      <w:r w:rsidRPr="004954F9">
        <w:rPr>
          <w:rFonts w:asciiTheme="minorHAnsi" w:eastAsia="Calibri" w:hAnsiTheme="minorHAnsi" w:cs="Calibri"/>
          <w:b/>
          <w:sz w:val="22"/>
          <w:szCs w:val="22"/>
        </w:rPr>
        <w:t>(</w:t>
      </w:r>
      <w:proofErr w:type="gramEnd"/>
      <w:r w:rsidRPr="004954F9">
        <w:rPr>
          <w:rFonts w:asciiTheme="minorHAnsi" w:eastAsia="Calibri" w:hAnsiTheme="minorHAnsi" w:cs="Calibri"/>
          <w:b/>
          <w:sz w:val="22"/>
          <w:szCs w:val="22"/>
        </w:rPr>
        <w:t xml:space="preserve">Rs. In </w:t>
      </w:r>
      <w:proofErr w:type="spellStart"/>
      <w:r w:rsidRPr="004954F9">
        <w:rPr>
          <w:rFonts w:asciiTheme="minorHAnsi" w:eastAsia="Calibri" w:hAnsiTheme="minorHAnsi" w:cs="Calibri"/>
          <w:b/>
          <w:sz w:val="22"/>
          <w:szCs w:val="22"/>
        </w:rPr>
        <w:t>Crs</w:t>
      </w:r>
      <w:proofErr w:type="spellEnd"/>
      <w:r w:rsidRPr="004954F9">
        <w:rPr>
          <w:rFonts w:asciiTheme="minorHAnsi" w:eastAsia="Calibri" w:hAnsiTheme="minorHAnsi" w:cs="Calibri"/>
          <w:b/>
          <w:sz w:val="22"/>
          <w:szCs w:val="22"/>
        </w:rPr>
        <w:t>)</w:t>
      </w:r>
    </w:p>
    <w:tbl>
      <w:tblPr>
        <w:tblpPr w:leftFromText="180" w:rightFromText="180" w:vertAnchor="text" w:horzAnchor="page" w:tblpX="1831" w:tblpY="256"/>
        <w:tblW w:w="86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96"/>
        <w:gridCol w:w="2656"/>
        <w:gridCol w:w="2390"/>
      </w:tblGrid>
      <w:tr w:rsidR="00423534" w:rsidRPr="004954F9" w14:paraId="68453CBD" w14:textId="77777777" w:rsidTr="00557ED5">
        <w:trPr>
          <w:trHeight w:val="191"/>
        </w:trPr>
        <w:tc>
          <w:tcPr>
            <w:tcW w:w="3596" w:type="dxa"/>
            <w:vMerge w:val="restart"/>
            <w:shd w:val="clear" w:color="auto" w:fill="8DB3E2" w:themeFill="text2" w:themeFillTint="66"/>
            <w:vAlign w:val="center"/>
            <w:hideMark/>
          </w:tcPr>
          <w:p w14:paraId="30D40079" w14:textId="77777777" w:rsidR="00423534" w:rsidRPr="00751DC0" w:rsidRDefault="00423534" w:rsidP="00423534">
            <w:pPr>
              <w:suppressAutoHyphens/>
              <w:spacing w:line="276" w:lineRule="auto"/>
              <w:jc w:val="center"/>
              <w:rPr>
                <w:rFonts w:asciiTheme="minorHAnsi" w:hAnsiTheme="minorHAnsi" w:cs="Calibri"/>
                <w:b/>
                <w:bCs/>
                <w:color w:val="000000"/>
                <w:sz w:val="22"/>
                <w:szCs w:val="20"/>
                <w:lang w:val="en-IN" w:eastAsia="en-IN"/>
              </w:rPr>
            </w:pPr>
            <w:r w:rsidRPr="00751DC0">
              <w:rPr>
                <w:rFonts w:asciiTheme="minorHAnsi" w:hAnsiTheme="minorHAnsi" w:cs="Calibri"/>
                <w:b/>
                <w:bCs/>
                <w:color w:val="000000"/>
                <w:sz w:val="22"/>
                <w:szCs w:val="20"/>
                <w:lang w:eastAsia="en-IN"/>
              </w:rPr>
              <w:t>R&amp;M for FY 2024-25</w:t>
            </w:r>
          </w:p>
        </w:tc>
        <w:tc>
          <w:tcPr>
            <w:tcW w:w="5046" w:type="dxa"/>
            <w:gridSpan w:val="2"/>
            <w:shd w:val="clear" w:color="auto" w:fill="8DB3E2" w:themeFill="text2" w:themeFillTint="66"/>
            <w:vAlign w:val="center"/>
            <w:hideMark/>
          </w:tcPr>
          <w:p w14:paraId="5022F607" w14:textId="77777777" w:rsidR="00423534" w:rsidRPr="00751DC0" w:rsidRDefault="00423534" w:rsidP="00423534">
            <w:pPr>
              <w:suppressAutoHyphens/>
              <w:spacing w:line="276" w:lineRule="auto"/>
              <w:jc w:val="center"/>
              <w:rPr>
                <w:rFonts w:asciiTheme="minorHAnsi" w:hAnsiTheme="minorHAnsi" w:cs="Calibri"/>
                <w:b/>
                <w:bCs/>
                <w:color w:val="000000"/>
                <w:sz w:val="22"/>
                <w:szCs w:val="20"/>
                <w:lang w:val="en-IN" w:eastAsia="en-IN"/>
              </w:rPr>
            </w:pPr>
            <w:r w:rsidRPr="00751DC0">
              <w:rPr>
                <w:rFonts w:asciiTheme="minorHAnsi" w:hAnsiTheme="minorHAnsi" w:cs="Calibri"/>
                <w:b/>
                <w:bCs/>
                <w:color w:val="000000"/>
                <w:sz w:val="22"/>
                <w:szCs w:val="20"/>
                <w:lang w:eastAsia="en-IN"/>
              </w:rPr>
              <w:t>TPNODL</w:t>
            </w:r>
          </w:p>
        </w:tc>
      </w:tr>
      <w:tr w:rsidR="00423534" w:rsidRPr="004954F9" w14:paraId="688EC111" w14:textId="77777777" w:rsidTr="00557ED5">
        <w:trPr>
          <w:trHeight w:val="191"/>
        </w:trPr>
        <w:tc>
          <w:tcPr>
            <w:tcW w:w="3596" w:type="dxa"/>
            <w:vMerge/>
            <w:shd w:val="clear" w:color="auto" w:fill="8DB3E2" w:themeFill="text2" w:themeFillTint="66"/>
            <w:vAlign w:val="center"/>
            <w:hideMark/>
          </w:tcPr>
          <w:p w14:paraId="43380277" w14:textId="77777777" w:rsidR="00423534" w:rsidRPr="00751DC0" w:rsidRDefault="00423534" w:rsidP="00423534">
            <w:pPr>
              <w:suppressAutoHyphens/>
              <w:spacing w:line="276" w:lineRule="auto"/>
              <w:rPr>
                <w:rFonts w:asciiTheme="minorHAnsi" w:hAnsiTheme="minorHAnsi" w:cs="Calibri"/>
                <w:b/>
                <w:bCs/>
                <w:color w:val="000000"/>
                <w:sz w:val="22"/>
                <w:szCs w:val="20"/>
                <w:lang w:val="en-IN" w:eastAsia="en-IN"/>
              </w:rPr>
            </w:pPr>
          </w:p>
        </w:tc>
        <w:tc>
          <w:tcPr>
            <w:tcW w:w="2656" w:type="dxa"/>
            <w:shd w:val="clear" w:color="auto" w:fill="8DB3E2" w:themeFill="text2" w:themeFillTint="66"/>
            <w:vAlign w:val="center"/>
            <w:hideMark/>
          </w:tcPr>
          <w:p w14:paraId="56C366F8" w14:textId="77777777" w:rsidR="00423534" w:rsidRPr="00751DC0" w:rsidRDefault="00423534" w:rsidP="00423534">
            <w:pPr>
              <w:suppressAutoHyphens/>
              <w:spacing w:line="276" w:lineRule="auto"/>
              <w:jc w:val="center"/>
              <w:rPr>
                <w:rFonts w:asciiTheme="minorHAnsi" w:hAnsiTheme="minorHAnsi" w:cs="Calibri"/>
                <w:b/>
                <w:bCs/>
                <w:color w:val="000000"/>
                <w:sz w:val="22"/>
                <w:szCs w:val="20"/>
                <w:lang w:val="en-IN" w:eastAsia="en-IN"/>
              </w:rPr>
            </w:pPr>
            <w:r w:rsidRPr="00751DC0">
              <w:rPr>
                <w:rFonts w:asciiTheme="minorHAnsi" w:hAnsiTheme="minorHAnsi" w:cs="Calibri"/>
                <w:b/>
                <w:bCs/>
                <w:color w:val="000000"/>
                <w:sz w:val="22"/>
                <w:szCs w:val="20"/>
                <w:lang w:eastAsia="en-IN"/>
              </w:rPr>
              <w:t>Proposed</w:t>
            </w:r>
          </w:p>
        </w:tc>
        <w:tc>
          <w:tcPr>
            <w:tcW w:w="2390" w:type="dxa"/>
            <w:shd w:val="clear" w:color="auto" w:fill="8DB3E2" w:themeFill="text2" w:themeFillTint="66"/>
            <w:vAlign w:val="center"/>
            <w:hideMark/>
          </w:tcPr>
          <w:p w14:paraId="21522CD6" w14:textId="77777777" w:rsidR="00423534" w:rsidRPr="00751DC0" w:rsidRDefault="00423534" w:rsidP="00423534">
            <w:pPr>
              <w:suppressAutoHyphens/>
              <w:spacing w:line="276" w:lineRule="auto"/>
              <w:jc w:val="center"/>
              <w:rPr>
                <w:rFonts w:asciiTheme="minorHAnsi" w:hAnsiTheme="minorHAnsi" w:cs="Calibri"/>
                <w:b/>
                <w:bCs/>
                <w:color w:val="000000"/>
                <w:sz w:val="22"/>
                <w:szCs w:val="20"/>
                <w:lang w:val="en-IN" w:eastAsia="en-IN"/>
              </w:rPr>
            </w:pPr>
            <w:r w:rsidRPr="00751DC0">
              <w:rPr>
                <w:rFonts w:asciiTheme="minorHAnsi" w:hAnsiTheme="minorHAnsi" w:cs="Calibri"/>
                <w:b/>
                <w:bCs/>
                <w:color w:val="000000"/>
                <w:sz w:val="22"/>
                <w:szCs w:val="20"/>
                <w:lang w:eastAsia="en-IN"/>
              </w:rPr>
              <w:t>Approved</w:t>
            </w:r>
          </w:p>
        </w:tc>
      </w:tr>
      <w:tr w:rsidR="00423534" w:rsidRPr="004954F9" w14:paraId="625BE6AD" w14:textId="77777777" w:rsidTr="00423534">
        <w:trPr>
          <w:trHeight w:val="488"/>
        </w:trPr>
        <w:tc>
          <w:tcPr>
            <w:tcW w:w="3596" w:type="dxa"/>
            <w:shd w:val="clear" w:color="auto" w:fill="auto"/>
            <w:vAlign w:val="center"/>
            <w:hideMark/>
          </w:tcPr>
          <w:p w14:paraId="47919346" w14:textId="77777777" w:rsidR="00423534" w:rsidRPr="00751DC0" w:rsidRDefault="00423534" w:rsidP="00423534">
            <w:pPr>
              <w:suppressAutoHyphens/>
              <w:spacing w:line="276" w:lineRule="auto"/>
              <w:rPr>
                <w:rFonts w:asciiTheme="minorHAnsi" w:hAnsiTheme="minorHAnsi" w:cs="Calibri"/>
                <w:color w:val="000000"/>
                <w:sz w:val="22"/>
                <w:szCs w:val="20"/>
                <w:lang w:val="en-IN" w:eastAsia="en-IN"/>
              </w:rPr>
            </w:pPr>
            <w:r w:rsidRPr="00751DC0">
              <w:rPr>
                <w:rFonts w:asciiTheme="minorHAnsi" w:hAnsiTheme="minorHAnsi" w:cs="Calibri"/>
                <w:color w:val="000000"/>
                <w:sz w:val="22"/>
                <w:szCs w:val="20"/>
                <w:lang w:val="en-IN" w:eastAsia="en-IN"/>
              </w:rPr>
              <w:t>DISCOM's Gross fixed assets (GFA) as on 01.04.2024(pre-vesting)</w:t>
            </w:r>
          </w:p>
        </w:tc>
        <w:tc>
          <w:tcPr>
            <w:tcW w:w="2656" w:type="dxa"/>
            <w:shd w:val="clear" w:color="auto" w:fill="FFFFFF"/>
            <w:vAlign w:val="center"/>
            <w:hideMark/>
          </w:tcPr>
          <w:p w14:paraId="36CBC610" w14:textId="77777777" w:rsidR="00423534" w:rsidRPr="00751DC0" w:rsidRDefault="00423534" w:rsidP="00423534">
            <w:pPr>
              <w:suppressAutoHyphens/>
              <w:spacing w:line="276" w:lineRule="auto"/>
              <w:jc w:val="center"/>
              <w:rPr>
                <w:rFonts w:asciiTheme="minorHAnsi" w:hAnsiTheme="minorHAnsi" w:cs="Calibri"/>
                <w:color w:val="000000"/>
                <w:sz w:val="22"/>
                <w:szCs w:val="20"/>
                <w:lang w:val="en-IN" w:eastAsia="en-IN"/>
              </w:rPr>
            </w:pPr>
            <w:r w:rsidRPr="00751DC0">
              <w:rPr>
                <w:rFonts w:asciiTheme="minorHAnsi" w:hAnsiTheme="minorHAnsi" w:cs="Calibri"/>
                <w:color w:val="000000"/>
                <w:sz w:val="22"/>
                <w:szCs w:val="20"/>
                <w:lang w:eastAsia="en-IN"/>
              </w:rPr>
              <w:t>2199.41</w:t>
            </w:r>
          </w:p>
        </w:tc>
        <w:tc>
          <w:tcPr>
            <w:tcW w:w="2390" w:type="dxa"/>
            <w:shd w:val="clear" w:color="auto" w:fill="FFFFFF"/>
            <w:vAlign w:val="center"/>
            <w:hideMark/>
          </w:tcPr>
          <w:p w14:paraId="427A214A" w14:textId="77777777" w:rsidR="00423534" w:rsidRPr="00751DC0" w:rsidRDefault="00423534" w:rsidP="00423534">
            <w:pPr>
              <w:suppressAutoHyphens/>
              <w:spacing w:line="276" w:lineRule="auto"/>
              <w:jc w:val="center"/>
              <w:rPr>
                <w:rFonts w:asciiTheme="minorHAnsi" w:hAnsiTheme="minorHAnsi" w:cs="Calibri"/>
                <w:color w:val="000000"/>
                <w:sz w:val="22"/>
                <w:szCs w:val="20"/>
                <w:lang w:val="en-IN" w:eastAsia="en-IN"/>
              </w:rPr>
            </w:pPr>
            <w:r w:rsidRPr="00751DC0">
              <w:rPr>
                <w:rFonts w:asciiTheme="minorHAnsi" w:hAnsiTheme="minorHAnsi" w:cs="Calibri"/>
                <w:color w:val="000000"/>
                <w:sz w:val="22"/>
                <w:szCs w:val="20"/>
                <w:lang w:eastAsia="en-IN"/>
              </w:rPr>
              <w:t>1917.91</w:t>
            </w:r>
          </w:p>
        </w:tc>
      </w:tr>
      <w:tr w:rsidR="00423534" w:rsidRPr="004954F9" w14:paraId="669A9CEB" w14:textId="77777777" w:rsidTr="00423534">
        <w:trPr>
          <w:trHeight w:val="624"/>
        </w:trPr>
        <w:tc>
          <w:tcPr>
            <w:tcW w:w="3596" w:type="dxa"/>
            <w:shd w:val="clear" w:color="auto" w:fill="auto"/>
            <w:vAlign w:val="center"/>
            <w:hideMark/>
          </w:tcPr>
          <w:p w14:paraId="7AAD7008" w14:textId="77777777" w:rsidR="00423534" w:rsidRPr="00751DC0" w:rsidRDefault="00423534" w:rsidP="00423534">
            <w:pPr>
              <w:suppressAutoHyphens/>
              <w:spacing w:line="276" w:lineRule="auto"/>
              <w:rPr>
                <w:rFonts w:asciiTheme="minorHAnsi" w:hAnsiTheme="minorHAnsi" w:cs="Calibri"/>
                <w:color w:val="000000"/>
                <w:sz w:val="22"/>
                <w:szCs w:val="20"/>
                <w:lang w:val="en-IN" w:eastAsia="en-IN"/>
              </w:rPr>
            </w:pPr>
            <w:r w:rsidRPr="00751DC0">
              <w:rPr>
                <w:rFonts w:asciiTheme="minorHAnsi" w:hAnsiTheme="minorHAnsi" w:cs="Calibri"/>
                <w:color w:val="000000"/>
                <w:sz w:val="22"/>
                <w:szCs w:val="20"/>
                <w:lang w:val="en-IN" w:eastAsia="en-IN"/>
              </w:rPr>
              <w:t>DISCOM's Gross fixed assets (GFA) as on 01.04.2024(post vesting)</w:t>
            </w:r>
          </w:p>
        </w:tc>
        <w:tc>
          <w:tcPr>
            <w:tcW w:w="2656" w:type="dxa"/>
            <w:shd w:val="clear" w:color="auto" w:fill="FFFFFF"/>
            <w:vAlign w:val="center"/>
            <w:hideMark/>
          </w:tcPr>
          <w:p w14:paraId="6AAFE667" w14:textId="77777777" w:rsidR="00423534" w:rsidRPr="00751DC0" w:rsidRDefault="00423534" w:rsidP="00423534">
            <w:pPr>
              <w:suppressAutoHyphens/>
              <w:spacing w:line="276" w:lineRule="auto"/>
              <w:jc w:val="center"/>
              <w:rPr>
                <w:rFonts w:asciiTheme="minorHAnsi" w:hAnsiTheme="minorHAnsi" w:cs="Calibri"/>
                <w:color w:val="000000"/>
                <w:sz w:val="22"/>
                <w:szCs w:val="20"/>
                <w:lang w:val="en-IN" w:eastAsia="en-IN"/>
              </w:rPr>
            </w:pPr>
            <w:r w:rsidRPr="00751DC0">
              <w:rPr>
                <w:rFonts w:asciiTheme="minorHAnsi" w:hAnsiTheme="minorHAnsi" w:cs="Calibri"/>
                <w:color w:val="000000"/>
                <w:sz w:val="22"/>
                <w:szCs w:val="20"/>
                <w:lang w:eastAsia="en-IN"/>
              </w:rPr>
              <w:t>1395.61</w:t>
            </w:r>
          </w:p>
        </w:tc>
        <w:tc>
          <w:tcPr>
            <w:tcW w:w="2390" w:type="dxa"/>
            <w:shd w:val="clear" w:color="auto" w:fill="FFFFFF"/>
            <w:vAlign w:val="center"/>
            <w:hideMark/>
          </w:tcPr>
          <w:p w14:paraId="7926F53A" w14:textId="77777777" w:rsidR="00423534" w:rsidRPr="00751DC0" w:rsidRDefault="00423534" w:rsidP="00423534">
            <w:pPr>
              <w:suppressAutoHyphens/>
              <w:spacing w:line="276" w:lineRule="auto"/>
              <w:jc w:val="center"/>
              <w:rPr>
                <w:rFonts w:asciiTheme="minorHAnsi" w:hAnsiTheme="minorHAnsi" w:cs="Calibri"/>
                <w:color w:val="000000"/>
                <w:sz w:val="22"/>
                <w:szCs w:val="20"/>
                <w:lang w:val="en-IN" w:eastAsia="en-IN"/>
              </w:rPr>
            </w:pPr>
            <w:r w:rsidRPr="00751DC0">
              <w:rPr>
                <w:rFonts w:asciiTheme="minorHAnsi" w:hAnsiTheme="minorHAnsi" w:cs="Calibri"/>
                <w:color w:val="000000"/>
                <w:sz w:val="22"/>
                <w:szCs w:val="20"/>
                <w:lang w:eastAsia="en-IN"/>
              </w:rPr>
              <w:t>1146</w:t>
            </w:r>
          </w:p>
        </w:tc>
      </w:tr>
      <w:tr w:rsidR="00423534" w:rsidRPr="004954F9" w14:paraId="43A2E017" w14:textId="77777777" w:rsidTr="00423534">
        <w:trPr>
          <w:trHeight w:val="286"/>
        </w:trPr>
        <w:tc>
          <w:tcPr>
            <w:tcW w:w="3596" w:type="dxa"/>
            <w:shd w:val="clear" w:color="auto" w:fill="auto"/>
            <w:vAlign w:val="center"/>
            <w:hideMark/>
          </w:tcPr>
          <w:p w14:paraId="5482BE1C" w14:textId="77777777" w:rsidR="00423534" w:rsidRPr="00751DC0" w:rsidRDefault="00423534" w:rsidP="00423534">
            <w:pPr>
              <w:suppressAutoHyphens/>
              <w:spacing w:line="276" w:lineRule="auto"/>
              <w:rPr>
                <w:rFonts w:asciiTheme="minorHAnsi" w:hAnsiTheme="minorHAnsi" w:cs="Calibri"/>
                <w:color w:val="000000"/>
                <w:sz w:val="22"/>
                <w:szCs w:val="20"/>
                <w:lang w:val="en-IN" w:eastAsia="en-IN"/>
              </w:rPr>
            </w:pPr>
            <w:r w:rsidRPr="00751DC0">
              <w:rPr>
                <w:rFonts w:asciiTheme="minorHAnsi" w:hAnsiTheme="minorHAnsi" w:cs="Calibri"/>
                <w:color w:val="000000"/>
                <w:sz w:val="22"/>
                <w:szCs w:val="20"/>
                <w:lang w:eastAsia="en-IN"/>
              </w:rPr>
              <w:t>Total GFA as on 01.04.2024</w:t>
            </w:r>
          </w:p>
        </w:tc>
        <w:tc>
          <w:tcPr>
            <w:tcW w:w="2656" w:type="dxa"/>
            <w:shd w:val="clear" w:color="auto" w:fill="FFFFFF"/>
            <w:vAlign w:val="center"/>
            <w:hideMark/>
          </w:tcPr>
          <w:p w14:paraId="36C410BD" w14:textId="77777777" w:rsidR="00423534" w:rsidRPr="00751DC0" w:rsidRDefault="00423534" w:rsidP="00423534">
            <w:pPr>
              <w:suppressAutoHyphens/>
              <w:spacing w:line="276" w:lineRule="auto"/>
              <w:jc w:val="center"/>
              <w:rPr>
                <w:rFonts w:asciiTheme="minorHAnsi" w:hAnsiTheme="minorHAnsi" w:cs="Calibri"/>
                <w:color w:val="000000"/>
                <w:sz w:val="22"/>
                <w:szCs w:val="20"/>
                <w:lang w:val="en-IN" w:eastAsia="en-IN"/>
              </w:rPr>
            </w:pPr>
            <w:r w:rsidRPr="00751DC0">
              <w:rPr>
                <w:rFonts w:asciiTheme="minorHAnsi" w:hAnsiTheme="minorHAnsi" w:cs="Calibri"/>
                <w:color w:val="000000"/>
                <w:sz w:val="22"/>
                <w:szCs w:val="20"/>
                <w:lang w:eastAsia="en-IN"/>
              </w:rPr>
              <w:t>3595.02</w:t>
            </w:r>
          </w:p>
        </w:tc>
        <w:tc>
          <w:tcPr>
            <w:tcW w:w="2390" w:type="dxa"/>
            <w:shd w:val="clear" w:color="auto" w:fill="FFFFFF"/>
            <w:vAlign w:val="center"/>
            <w:hideMark/>
          </w:tcPr>
          <w:p w14:paraId="1AC2F0F6" w14:textId="77777777" w:rsidR="00423534" w:rsidRPr="00751DC0" w:rsidRDefault="00423534" w:rsidP="00423534">
            <w:pPr>
              <w:suppressAutoHyphens/>
              <w:spacing w:line="276" w:lineRule="auto"/>
              <w:jc w:val="center"/>
              <w:rPr>
                <w:rFonts w:asciiTheme="minorHAnsi" w:hAnsiTheme="minorHAnsi" w:cs="Calibri"/>
                <w:color w:val="000000"/>
                <w:sz w:val="22"/>
                <w:szCs w:val="20"/>
                <w:lang w:val="en-IN" w:eastAsia="en-IN"/>
              </w:rPr>
            </w:pPr>
            <w:r w:rsidRPr="00751DC0">
              <w:rPr>
                <w:rFonts w:asciiTheme="minorHAnsi" w:hAnsiTheme="minorHAnsi" w:cs="Calibri"/>
                <w:color w:val="000000"/>
                <w:sz w:val="22"/>
                <w:szCs w:val="20"/>
                <w:lang w:eastAsia="en-IN"/>
              </w:rPr>
              <w:t>3063.91</w:t>
            </w:r>
          </w:p>
        </w:tc>
      </w:tr>
      <w:tr w:rsidR="00423534" w:rsidRPr="004954F9" w14:paraId="66C977E9" w14:textId="77777777" w:rsidTr="00423534">
        <w:trPr>
          <w:trHeight w:val="191"/>
        </w:trPr>
        <w:tc>
          <w:tcPr>
            <w:tcW w:w="3596" w:type="dxa"/>
            <w:shd w:val="clear" w:color="auto" w:fill="auto"/>
            <w:vAlign w:val="center"/>
            <w:hideMark/>
          </w:tcPr>
          <w:p w14:paraId="5A7B9A36" w14:textId="77777777" w:rsidR="00423534" w:rsidRPr="00751DC0" w:rsidRDefault="00423534" w:rsidP="00423534">
            <w:pPr>
              <w:suppressAutoHyphens/>
              <w:spacing w:line="276" w:lineRule="auto"/>
              <w:rPr>
                <w:rFonts w:asciiTheme="minorHAnsi" w:hAnsiTheme="minorHAnsi" w:cs="Calibri"/>
                <w:color w:val="000000"/>
                <w:sz w:val="22"/>
                <w:szCs w:val="20"/>
                <w:lang w:val="en-IN" w:eastAsia="en-IN"/>
              </w:rPr>
            </w:pPr>
            <w:r w:rsidRPr="00751DC0">
              <w:rPr>
                <w:rFonts w:asciiTheme="minorHAnsi" w:hAnsiTheme="minorHAnsi" w:cs="Calibri"/>
                <w:color w:val="000000"/>
                <w:sz w:val="22"/>
                <w:szCs w:val="20"/>
                <w:lang w:eastAsia="en-IN"/>
              </w:rPr>
              <w:t>Rate of R &amp; M on GFA</w:t>
            </w:r>
          </w:p>
        </w:tc>
        <w:tc>
          <w:tcPr>
            <w:tcW w:w="2656" w:type="dxa"/>
            <w:shd w:val="clear" w:color="auto" w:fill="FFFFFF"/>
            <w:vAlign w:val="center"/>
            <w:hideMark/>
          </w:tcPr>
          <w:p w14:paraId="52D7EAE0" w14:textId="77777777" w:rsidR="00423534" w:rsidRPr="00751DC0" w:rsidRDefault="00423534" w:rsidP="00423534">
            <w:pPr>
              <w:suppressAutoHyphens/>
              <w:spacing w:line="276" w:lineRule="auto"/>
              <w:jc w:val="center"/>
              <w:rPr>
                <w:rFonts w:asciiTheme="minorHAnsi" w:hAnsiTheme="minorHAnsi" w:cs="Calibri"/>
                <w:color w:val="000000"/>
                <w:sz w:val="22"/>
                <w:szCs w:val="20"/>
                <w:lang w:val="en-IN" w:eastAsia="en-IN"/>
              </w:rPr>
            </w:pPr>
            <w:r w:rsidRPr="00751DC0">
              <w:rPr>
                <w:rFonts w:asciiTheme="minorHAnsi" w:hAnsiTheme="minorHAnsi" w:cs="Calibri"/>
                <w:color w:val="000000"/>
                <w:sz w:val="22"/>
                <w:szCs w:val="20"/>
                <w:lang w:eastAsia="en-IN"/>
              </w:rPr>
              <w:t>4.50%</w:t>
            </w:r>
          </w:p>
        </w:tc>
        <w:tc>
          <w:tcPr>
            <w:tcW w:w="2390" w:type="dxa"/>
            <w:shd w:val="clear" w:color="auto" w:fill="FFFFFF"/>
            <w:vAlign w:val="center"/>
            <w:hideMark/>
          </w:tcPr>
          <w:p w14:paraId="405A645F" w14:textId="77777777" w:rsidR="00423534" w:rsidRPr="00751DC0" w:rsidRDefault="00423534" w:rsidP="00423534">
            <w:pPr>
              <w:suppressAutoHyphens/>
              <w:spacing w:line="276" w:lineRule="auto"/>
              <w:jc w:val="center"/>
              <w:rPr>
                <w:rFonts w:asciiTheme="minorHAnsi" w:hAnsiTheme="minorHAnsi" w:cs="Calibri"/>
                <w:color w:val="000000"/>
                <w:sz w:val="22"/>
                <w:szCs w:val="20"/>
                <w:lang w:val="en-IN" w:eastAsia="en-IN"/>
              </w:rPr>
            </w:pPr>
            <w:r w:rsidRPr="00751DC0">
              <w:rPr>
                <w:rFonts w:asciiTheme="minorHAnsi" w:hAnsiTheme="minorHAnsi" w:cs="Calibri"/>
                <w:color w:val="000000"/>
                <w:sz w:val="22"/>
                <w:szCs w:val="20"/>
                <w:lang w:eastAsia="en-IN"/>
              </w:rPr>
              <w:t>4.20%</w:t>
            </w:r>
          </w:p>
        </w:tc>
      </w:tr>
      <w:tr w:rsidR="00423534" w:rsidRPr="004954F9" w14:paraId="2C869DF7" w14:textId="77777777" w:rsidTr="00423534">
        <w:trPr>
          <w:trHeight w:val="191"/>
        </w:trPr>
        <w:tc>
          <w:tcPr>
            <w:tcW w:w="3596" w:type="dxa"/>
            <w:shd w:val="clear" w:color="auto" w:fill="auto"/>
            <w:vAlign w:val="center"/>
            <w:hideMark/>
          </w:tcPr>
          <w:p w14:paraId="5A0A18F5" w14:textId="77777777" w:rsidR="00423534" w:rsidRPr="00751DC0" w:rsidRDefault="00423534" w:rsidP="00423534">
            <w:pPr>
              <w:suppressAutoHyphens/>
              <w:spacing w:line="276" w:lineRule="auto"/>
              <w:rPr>
                <w:rFonts w:asciiTheme="minorHAnsi" w:hAnsiTheme="minorHAnsi" w:cs="Calibri"/>
                <w:color w:val="000000"/>
                <w:sz w:val="22"/>
                <w:szCs w:val="20"/>
                <w:lang w:val="en-IN" w:eastAsia="en-IN"/>
              </w:rPr>
            </w:pPr>
            <w:r w:rsidRPr="00751DC0">
              <w:rPr>
                <w:rFonts w:asciiTheme="minorHAnsi" w:hAnsiTheme="minorHAnsi" w:cs="Calibri"/>
                <w:color w:val="000000"/>
                <w:sz w:val="22"/>
                <w:szCs w:val="20"/>
                <w:lang w:eastAsia="en-IN"/>
              </w:rPr>
              <w:t>R&amp;M on GFA</w:t>
            </w:r>
          </w:p>
        </w:tc>
        <w:tc>
          <w:tcPr>
            <w:tcW w:w="2656" w:type="dxa"/>
            <w:shd w:val="clear" w:color="auto" w:fill="FFFFFF"/>
            <w:vAlign w:val="center"/>
            <w:hideMark/>
          </w:tcPr>
          <w:p w14:paraId="506C5DBF" w14:textId="77777777" w:rsidR="00423534" w:rsidRPr="00751DC0" w:rsidRDefault="00423534" w:rsidP="00423534">
            <w:pPr>
              <w:suppressAutoHyphens/>
              <w:spacing w:line="276" w:lineRule="auto"/>
              <w:jc w:val="center"/>
              <w:rPr>
                <w:rFonts w:asciiTheme="minorHAnsi" w:hAnsiTheme="minorHAnsi" w:cs="Calibri"/>
                <w:color w:val="000000"/>
                <w:sz w:val="22"/>
                <w:szCs w:val="20"/>
                <w:lang w:val="en-IN" w:eastAsia="en-IN"/>
              </w:rPr>
            </w:pPr>
            <w:r w:rsidRPr="00751DC0">
              <w:rPr>
                <w:rFonts w:asciiTheme="minorHAnsi" w:hAnsiTheme="minorHAnsi" w:cs="Calibri"/>
                <w:color w:val="000000"/>
                <w:sz w:val="22"/>
                <w:szCs w:val="20"/>
                <w:lang w:eastAsia="en-IN"/>
              </w:rPr>
              <w:t>161.78</w:t>
            </w:r>
          </w:p>
        </w:tc>
        <w:tc>
          <w:tcPr>
            <w:tcW w:w="2390" w:type="dxa"/>
            <w:shd w:val="clear" w:color="auto" w:fill="FFFFFF"/>
            <w:vAlign w:val="center"/>
            <w:hideMark/>
          </w:tcPr>
          <w:p w14:paraId="6855540E" w14:textId="77777777" w:rsidR="00423534" w:rsidRPr="00751DC0" w:rsidRDefault="00423534" w:rsidP="00423534">
            <w:pPr>
              <w:suppressAutoHyphens/>
              <w:spacing w:line="276" w:lineRule="auto"/>
              <w:jc w:val="center"/>
              <w:rPr>
                <w:rFonts w:asciiTheme="minorHAnsi" w:hAnsiTheme="minorHAnsi" w:cs="Calibri"/>
                <w:color w:val="000000"/>
                <w:sz w:val="22"/>
                <w:szCs w:val="20"/>
                <w:lang w:val="en-IN" w:eastAsia="en-IN"/>
              </w:rPr>
            </w:pPr>
            <w:r w:rsidRPr="00751DC0">
              <w:rPr>
                <w:rFonts w:asciiTheme="minorHAnsi" w:hAnsiTheme="minorHAnsi" w:cs="Calibri"/>
                <w:color w:val="000000"/>
                <w:sz w:val="22"/>
                <w:szCs w:val="20"/>
                <w:lang w:eastAsia="en-IN"/>
              </w:rPr>
              <w:t>128.68</w:t>
            </w:r>
          </w:p>
        </w:tc>
      </w:tr>
      <w:tr w:rsidR="00423534" w:rsidRPr="004954F9" w14:paraId="1D6B106F" w14:textId="77777777" w:rsidTr="00423534">
        <w:trPr>
          <w:trHeight w:val="286"/>
        </w:trPr>
        <w:tc>
          <w:tcPr>
            <w:tcW w:w="3596" w:type="dxa"/>
            <w:shd w:val="clear" w:color="auto" w:fill="auto"/>
            <w:vAlign w:val="center"/>
            <w:hideMark/>
          </w:tcPr>
          <w:p w14:paraId="4366D064" w14:textId="77777777" w:rsidR="00423534" w:rsidRPr="00751DC0" w:rsidRDefault="00423534" w:rsidP="00423534">
            <w:pPr>
              <w:suppressAutoHyphens/>
              <w:spacing w:line="276" w:lineRule="auto"/>
              <w:rPr>
                <w:rFonts w:asciiTheme="minorHAnsi" w:hAnsiTheme="minorHAnsi" w:cs="Calibri"/>
                <w:color w:val="000000"/>
                <w:sz w:val="22"/>
                <w:szCs w:val="20"/>
                <w:lang w:val="en-IN" w:eastAsia="en-IN"/>
              </w:rPr>
            </w:pPr>
            <w:r w:rsidRPr="00751DC0">
              <w:rPr>
                <w:rFonts w:asciiTheme="minorHAnsi" w:hAnsiTheme="minorHAnsi" w:cs="Calibri"/>
                <w:color w:val="000000"/>
                <w:sz w:val="22"/>
                <w:szCs w:val="20"/>
                <w:lang w:eastAsia="en-IN"/>
              </w:rPr>
              <w:t>Govt. (Funded/Grant) Assets as on 01.04.2024</w:t>
            </w:r>
          </w:p>
        </w:tc>
        <w:tc>
          <w:tcPr>
            <w:tcW w:w="2656" w:type="dxa"/>
            <w:shd w:val="clear" w:color="auto" w:fill="FFFFFF"/>
            <w:vAlign w:val="center"/>
            <w:hideMark/>
          </w:tcPr>
          <w:p w14:paraId="5A5566FD" w14:textId="77777777" w:rsidR="00423534" w:rsidRPr="00751DC0" w:rsidRDefault="00423534" w:rsidP="00423534">
            <w:pPr>
              <w:suppressAutoHyphens/>
              <w:spacing w:line="276" w:lineRule="auto"/>
              <w:jc w:val="center"/>
              <w:rPr>
                <w:rFonts w:asciiTheme="minorHAnsi" w:hAnsiTheme="minorHAnsi" w:cs="Calibri"/>
                <w:color w:val="000000"/>
                <w:sz w:val="22"/>
                <w:szCs w:val="20"/>
                <w:lang w:val="en-IN" w:eastAsia="en-IN"/>
              </w:rPr>
            </w:pPr>
            <w:r w:rsidRPr="00751DC0">
              <w:rPr>
                <w:rFonts w:asciiTheme="minorHAnsi" w:hAnsiTheme="minorHAnsi" w:cs="Calibri"/>
                <w:color w:val="000000"/>
                <w:sz w:val="22"/>
                <w:szCs w:val="20"/>
                <w:lang w:eastAsia="en-IN"/>
              </w:rPr>
              <w:t>3700.07</w:t>
            </w:r>
          </w:p>
        </w:tc>
        <w:tc>
          <w:tcPr>
            <w:tcW w:w="2390" w:type="dxa"/>
            <w:shd w:val="clear" w:color="auto" w:fill="FFFFFF"/>
            <w:vAlign w:val="center"/>
            <w:hideMark/>
          </w:tcPr>
          <w:p w14:paraId="195CEFDF" w14:textId="77777777" w:rsidR="00423534" w:rsidRPr="00751DC0" w:rsidRDefault="00423534" w:rsidP="00423534">
            <w:pPr>
              <w:suppressAutoHyphens/>
              <w:spacing w:line="276" w:lineRule="auto"/>
              <w:jc w:val="center"/>
              <w:rPr>
                <w:rFonts w:asciiTheme="minorHAnsi" w:hAnsiTheme="minorHAnsi" w:cs="Calibri"/>
                <w:color w:val="000000"/>
                <w:sz w:val="22"/>
                <w:szCs w:val="20"/>
                <w:lang w:val="en-IN" w:eastAsia="en-IN"/>
              </w:rPr>
            </w:pPr>
            <w:r w:rsidRPr="00751DC0">
              <w:rPr>
                <w:rFonts w:asciiTheme="minorHAnsi" w:hAnsiTheme="minorHAnsi" w:cs="Calibri"/>
                <w:color w:val="000000"/>
                <w:sz w:val="22"/>
                <w:szCs w:val="20"/>
                <w:lang w:eastAsia="en-IN"/>
              </w:rPr>
              <w:t>3051.85</w:t>
            </w:r>
          </w:p>
        </w:tc>
      </w:tr>
      <w:tr w:rsidR="00423534" w:rsidRPr="004954F9" w14:paraId="03683426" w14:textId="77777777" w:rsidTr="00423534">
        <w:trPr>
          <w:trHeight w:val="286"/>
        </w:trPr>
        <w:tc>
          <w:tcPr>
            <w:tcW w:w="3596" w:type="dxa"/>
            <w:shd w:val="clear" w:color="auto" w:fill="auto"/>
            <w:vAlign w:val="center"/>
            <w:hideMark/>
          </w:tcPr>
          <w:p w14:paraId="2F6244AC" w14:textId="77777777" w:rsidR="00423534" w:rsidRPr="00751DC0" w:rsidRDefault="00423534" w:rsidP="00423534">
            <w:pPr>
              <w:suppressAutoHyphens/>
              <w:spacing w:line="276" w:lineRule="auto"/>
              <w:rPr>
                <w:rFonts w:asciiTheme="minorHAnsi" w:hAnsiTheme="minorHAnsi" w:cs="Calibri"/>
                <w:color w:val="000000"/>
                <w:sz w:val="22"/>
                <w:szCs w:val="20"/>
                <w:lang w:val="en-IN" w:eastAsia="en-IN"/>
              </w:rPr>
            </w:pPr>
            <w:r w:rsidRPr="00751DC0">
              <w:rPr>
                <w:rFonts w:asciiTheme="minorHAnsi" w:hAnsiTheme="minorHAnsi" w:cs="Calibri"/>
                <w:color w:val="000000"/>
                <w:sz w:val="22"/>
                <w:szCs w:val="20"/>
                <w:lang w:eastAsia="en-IN"/>
              </w:rPr>
              <w:t>Rate of R &amp; M on Govt. (Funded/Grant) Assets</w:t>
            </w:r>
          </w:p>
        </w:tc>
        <w:tc>
          <w:tcPr>
            <w:tcW w:w="2656" w:type="dxa"/>
            <w:shd w:val="clear" w:color="auto" w:fill="FFFFFF"/>
            <w:vAlign w:val="center"/>
            <w:hideMark/>
          </w:tcPr>
          <w:p w14:paraId="67F145DC" w14:textId="77777777" w:rsidR="00423534" w:rsidRPr="00751DC0" w:rsidRDefault="00423534" w:rsidP="00423534">
            <w:pPr>
              <w:suppressAutoHyphens/>
              <w:spacing w:line="276" w:lineRule="auto"/>
              <w:jc w:val="center"/>
              <w:rPr>
                <w:rFonts w:asciiTheme="minorHAnsi" w:hAnsiTheme="minorHAnsi" w:cs="Calibri"/>
                <w:color w:val="000000"/>
                <w:sz w:val="22"/>
                <w:szCs w:val="20"/>
                <w:lang w:val="en-IN" w:eastAsia="en-IN"/>
              </w:rPr>
            </w:pPr>
            <w:r w:rsidRPr="00751DC0">
              <w:rPr>
                <w:rFonts w:asciiTheme="minorHAnsi" w:hAnsiTheme="minorHAnsi" w:cs="Calibri"/>
                <w:color w:val="000000"/>
                <w:sz w:val="22"/>
                <w:szCs w:val="20"/>
                <w:lang w:eastAsia="en-IN"/>
              </w:rPr>
              <w:t>3.00%</w:t>
            </w:r>
          </w:p>
        </w:tc>
        <w:tc>
          <w:tcPr>
            <w:tcW w:w="2390" w:type="dxa"/>
            <w:shd w:val="clear" w:color="auto" w:fill="FFFFFF"/>
            <w:vAlign w:val="center"/>
            <w:hideMark/>
          </w:tcPr>
          <w:p w14:paraId="2E11FEC9" w14:textId="77777777" w:rsidR="00423534" w:rsidRPr="00751DC0" w:rsidRDefault="00423534" w:rsidP="00423534">
            <w:pPr>
              <w:suppressAutoHyphens/>
              <w:spacing w:line="276" w:lineRule="auto"/>
              <w:jc w:val="center"/>
              <w:rPr>
                <w:rFonts w:asciiTheme="minorHAnsi" w:hAnsiTheme="minorHAnsi" w:cs="Calibri"/>
                <w:color w:val="000000"/>
                <w:sz w:val="22"/>
                <w:szCs w:val="20"/>
                <w:lang w:val="en-IN" w:eastAsia="en-IN"/>
              </w:rPr>
            </w:pPr>
            <w:r w:rsidRPr="00751DC0">
              <w:rPr>
                <w:rFonts w:asciiTheme="minorHAnsi" w:hAnsiTheme="minorHAnsi" w:cs="Calibri"/>
                <w:color w:val="000000"/>
                <w:sz w:val="22"/>
                <w:szCs w:val="20"/>
                <w:lang w:eastAsia="en-IN"/>
              </w:rPr>
              <w:t>3.00%</w:t>
            </w:r>
          </w:p>
        </w:tc>
      </w:tr>
      <w:tr w:rsidR="00423534" w:rsidRPr="004954F9" w14:paraId="0F61D68B" w14:textId="77777777" w:rsidTr="00423534">
        <w:trPr>
          <w:trHeight w:val="286"/>
        </w:trPr>
        <w:tc>
          <w:tcPr>
            <w:tcW w:w="3596" w:type="dxa"/>
            <w:shd w:val="clear" w:color="auto" w:fill="auto"/>
            <w:vAlign w:val="center"/>
            <w:hideMark/>
          </w:tcPr>
          <w:p w14:paraId="4FA54216" w14:textId="77777777" w:rsidR="00423534" w:rsidRPr="00751DC0" w:rsidRDefault="00423534" w:rsidP="00423534">
            <w:pPr>
              <w:suppressAutoHyphens/>
              <w:spacing w:line="276" w:lineRule="auto"/>
              <w:rPr>
                <w:rFonts w:asciiTheme="minorHAnsi" w:hAnsiTheme="minorHAnsi" w:cs="Calibri"/>
                <w:color w:val="000000"/>
                <w:sz w:val="22"/>
                <w:szCs w:val="20"/>
                <w:lang w:val="en-IN" w:eastAsia="en-IN"/>
              </w:rPr>
            </w:pPr>
            <w:r w:rsidRPr="00751DC0">
              <w:rPr>
                <w:rFonts w:asciiTheme="minorHAnsi" w:hAnsiTheme="minorHAnsi" w:cs="Calibri"/>
                <w:color w:val="000000"/>
                <w:w w:val="95"/>
                <w:sz w:val="22"/>
                <w:szCs w:val="20"/>
                <w:lang w:eastAsia="en-IN"/>
              </w:rPr>
              <w:t>R&amp;M on    Govt. funded Assets</w:t>
            </w:r>
          </w:p>
        </w:tc>
        <w:tc>
          <w:tcPr>
            <w:tcW w:w="2656" w:type="dxa"/>
            <w:shd w:val="clear" w:color="auto" w:fill="FFFFFF"/>
            <w:vAlign w:val="center"/>
            <w:hideMark/>
          </w:tcPr>
          <w:p w14:paraId="11E52D3F" w14:textId="77777777" w:rsidR="00423534" w:rsidRPr="00751DC0" w:rsidRDefault="00423534" w:rsidP="00423534">
            <w:pPr>
              <w:suppressAutoHyphens/>
              <w:spacing w:line="276" w:lineRule="auto"/>
              <w:jc w:val="center"/>
              <w:rPr>
                <w:rFonts w:asciiTheme="minorHAnsi" w:hAnsiTheme="minorHAnsi" w:cs="Calibri"/>
                <w:color w:val="000000"/>
                <w:sz w:val="22"/>
                <w:szCs w:val="20"/>
                <w:lang w:val="en-IN" w:eastAsia="en-IN"/>
              </w:rPr>
            </w:pPr>
            <w:r w:rsidRPr="00751DC0">
              <w:rPr>
                <w:rFonts w:asciiTheme="minorHAnsi" w:hAnsiTheme="minorHAnsi" w:cs="Calibri"/>
                <w:color w:val="000000"/>
                <w:sz w:val="22"/>
                <w:szCs w:val="20"/>
                <w:lang w:eastAsia="en-IN"/>
              </w:rPr>
              <w:t>111</w:t>
            </w:r>
          </w:p>
        </w:tc>
        <w:tc>
          <w:tcPr>
            <w:tcW w:w="2390" w:type="dxa"/>
            <w:shd w:val="clear" w:color="auto" w:fill="FFFFFF"/>
            <w:vAlign w:val="center"/>
            <w:hideMark/>
          </w:tcPr>
          <w:p w14:paraId="200588E7" w14:textId="77777777" w:rsidR="00423534" w:rsidRPr="00751DC0" w:rsidRDefault="00423534" w:rsidP="00423534">
            <w:pPr>
              <w:suppressAutoHyphens/>
              <w:spacing w:line="276" w:lineRule="auto"/>
              <w:jc w:val="center"/>
              <w:rPr>
                <w:rFonts w:asciiTheme="minorHAnsi" w:hAnsiTheme="minorHAnsi" w:cs="Calibri"/>
                <w:color w:val="000000"/>
                <w:sz w:val="22"/>
                <w:szCs w:val="20"/>
                <w:lang w:val="en-IN" w:eastAsia="en-IN"/>
              </w:rPr>
            </w:pPr>
            <w:r w:rsidRPr="00751DC0">
              <w:rPr>
                <w:rFonts w:asciiTheme="minorHAnsi" w:hAnsiTheme="minorHAnsi" w:cs="Calibri"/>
                <w:color w:val="000000"/>
                <w:sz w:val="22"/>
                <w:szCs w:val="20"/>
                <w:lang w:eastAsia="en-IN"/>
              </w:rPr>
              <w:t>91.56</w:t>
            </w:r>
          </w:p>
        </w:tc>
      </w:tr>
      <w:tr w:rsidR="00423534" w:rsidRPr="004954F9" w14:paraId="6A3B8FC4" w14:textId="77777777" w:rsidTr="00423534">
        <w:trPr>
          <w:trHeight w:val="191"/>
        </w:trPr>
        <w:tc>
          <w:tcPr>
            <w:tcW w:w="3596" w:type="dxa"/>
            <w:shd w:val="clear" w:color="auto" w:fill="auto"/>
            <w:vAlign w:val="center"/>
            <w:hideMark/>
          </w:tcPr>
          <w:p w14:paraId="3770570E" w14:textId="77777777" w:rsidR="00423534" w:rsidRPr="00751DC0" w:rsidRDefault="00423534" w:rsidP="00423534">
            <w:pPr>
              <w:suppressAutoHyphens/>
              <w:spacing w:line="276" w:lineRule="auto"/>
              <w:rPr>
                <w:rFonts w:asciiTheme="minorHAnsi" w:hAnsiTheme="minorHAnsi" w:cs="Calibri"/>
                <w:color w:val="000000"/>
                <w:sz w:val="22"/>
                <w:szCs w:val="20"/>
                <w:lang w:val="en-IN" w:eastAsia="en-IN"/>
              </w:rPr>
            </w:pPr>
            <w:r w:rsidRPr="00751DC0">
              <w:rPr>
                <w:rFonts w:asciiTheme="minorHAnsi" w:hAnsiTheme="minorHAnsi" w:cs="Calibri"/>
                <w:color w:val="000000"/>
                <w:sz w:val="22"/>
                <w:szCs w:val="20"/>
                <w:lang w:eastAsia="en-IN"/>
              </w:rPr>
              <w:t>Disaster Resilient Fund</w:t>
            </w:r>
          </w:p>
        </w:tc>
        <w:tc>
          <w:tcPr>
            <w:tcW w:w="2656" w:type="dxa"/>
            <w:shd w:val="clear" w:color="auto" w:fill="FFFFFF"/>
            <w:vAlign w:val="center"/>
            <w:hideMark/>
          </w:tcPr>
          <w:p w14:paraId="6BC895A4" w14:textId="77777777" w:rsidR="00423534" w:rsidRPr="00751DC0" w:rsidRDefault="00423534" w:rsidP="00423534">
            <w:pPr>
              <w:suppressAutoHyphens/>
              <w:spacing w:line="276" w:lineRule="auto"/>
              <w:jc w:val="center"/>
              <w:rPr>
                <w:rFonts w:asciiTheme="minorHAnsi" w:hAnsiTheme="minorHAnsi" w:cs="Calibri"/>
                <w:color w:val="000000"/>
                <w:sz w:val="22"/>
                <w:szCs w:val="20"/>
                <w:lang w:val="en-IN" w:eastAsia="en-IN"/>
              </w:rPr>
            </w:pPr>
            <w:r w:rsidRPr="00751DC0">
              <w:rPr>
                <w:rFonts w:asciiTheme="minorHAnsi" w:hAnsiTheme="minorHAnsi" w:cs="Calibri"/>
                <w:color w:val="000000"/>
                <w:sz w:val="22"/>
                <w:szCs w:val="20"/>
                <w:lang w:eastAsia="en-IN"/>
              </w:rPr>
              <w:t>- </w:t>
            </w:r>
          </w:p>
        </w:tc>
        <w:tc>
          <w:tcPr>
            <w:tcW w:w="2390" w:type="dxa"/>
            <w:shd w:val="clear" w:color="auto" w:fill="FFFFFF"/>
            <w:vAlign w:val="center"/>
            <w:hideMark/>
          </w:tcPr>
          <w:p w14:paraId="0921A174" w14:textId="77777777" w:rsidR="00423534" w:rsidRPr="00751DC0" w:rsidRDefault="00423534" w:rsidP="00423534">
            <w:pPr>
              <w:suppressAutoHyphens/>
              <w:spacing w:line="276" w:lineRule="auto"/>
              <w:jc w:val="center"/>
              <w:rPr>
                <w:rFonts w:asciiTheme="minorHAnsi" w:hAnsiTheme="minorHAnsi" w:cs="Calibri"/>
                <w:color w:val="000000"/>
                <w:sz w:val="22"/>
                <w:szCs w:val="20"/>
                <w:lang w:val="en-IN" w:eastAsia="en-IN"/>
              </w:rPr>
            </w:pPr>
            <w:r w:rsidRPr="00751DC0">
              <w:rPr>
                <w:rFonts w:asciiTheme="minorHAnsi" w:hAnsiTheme="minorHAnsi" w:cs="Calibri"/>
                <w:color w:val="000000"/>
                <w:sz w:val="22"/>
                <w:szCs w:val="20"/>
                <w:lang w:eastAsia="en-IN"/>
              </w:rPr>
              <w:t>10.00</w:t>
            </w:r>
          </w:p>
        </w:tc>
      </w:tr>
      <w:tr w:rsidR="00423534" w:rsidRPr="004954F9" w14:paraId="49D49BAB" w14:textId="77777777" w:rsidTr="00423534">
        <w:trPr>
          <w:trHeight w:val="191"/>
        </w:trPr>
        <w:tc>
          <w:tcPr>
            <w:tcW w:w="3596" w:type="dxa"/>
            <w:shd w:val="clear" w:color="auto" w:fill="auto"/>
            <w:vAlign w:val="center"/>
            <w:hideMark/>
          </w:tcPr>
          <w:p w14:paraId="0A074DFD" w14:textId="77777777" w:rsidR="00423534" w:rsidRPr="00751DC0" w:rsidRDefault="00423534" w:rsidP="00423534">
            <w:pPr>
              <w:suppressAutoHyphens/>
              <w:spacing w:line="276" w:lineRule="auto"/>
              <w:rPr>
                <w:rFonts w:asciiTheme="minorHAnsi" w:hAnsiTheme="minorHAnsi" w:cs="Calibri"/>
                <w:color w:val="000000"/>
                <w:sz w:val="22"/>
                <w:szCs w:val="20"/>
                <w:lang w:val="en-IN" w:eastAsia="en-IN"/>
              </w:rPr>
            </w:pPr>
            <w:r w:rsidRPr="00751DC0">
              <w:rPr>
                <w:rFonts w:asciiTheme="minorHAnsi" w:hAnsiTheme="minorHAnsi" w:cs="Calibri"/>
                <w:color w:val="000000"/>
                <w:sz w:val="22"/>
                <w:szCs w:val="20"/>
                <w:lang w:eastAsia="en-IN"/>
              </w:rPr>
              <w:t>Additional R&amp;M</w:t>
            </w:r>
          </w:p>
        </w:tc>
        <w:tc>
          <w:tcPr>
            <w:tcW w:w="2656" w:type="dxa"/>
            <w:shd w:val="clear" w:color="auto" w:fill="FFFFFF"/>
            <w:vAlign w:val="center"/>
            <w:hideMark/>
          </w:tcPr>
          <w:p w14:paraId="55479915" w14:textId="77777777" w:rsidR="00423534" w:rsidRPr="00751DC0" w:rsidRDefault="00423534" w:rsidP="00423534">
            <w:pPr>
              <w:suppressAutoHyphens/>
              <w:spacing w:line="276" w:lineRule="auto"/>
              <w:jc w:val="center"/>
              <w:rPr>
                <w:rFonts w:asciiTheme="minorHAnsi" w:hAnsiTheme="minorHAnsi" w:cs="Calibri"/>
                <w:color w:val="000000"/>
                <w:sz w:val="22"/>
                <w:szCs w:val="20"/>
                <w:lang w:val="en-IN" w:eastAsia="en-IN"/>
              </w:rPr>
            </w:pPr>
            <w:r w:rsidRPr="00751DC0">
              <w:rPr>
                <w:rFonts w:asciiTheme="minorHAnsi" w:hAnsiTheme="minorHAnsi" w:cs="Calibri"/>
                <w:color w:val="000000"/>
                <w:sz w:val="22"/>
                <w:szCs w:val="20"/>
                <w:lang w:eastAsia="en-IN"/>
              </w:rPr>
              <w:t>48.67</w:t>
            </w:r>
          </w:p>
        </w:tc>
        <w:tc>
          <w:tcPr>
            <w:tcW w:w="2390" w:type="dxa"/>
            <w:shd w:val="clear" w:color="auto" w:fill="FFFFFF"/>
            <w:vAlign w:val="center"/>
            <w:hideMark/>
          </w:tcPr>
          <w:p w14:paraId="36C8A0FB" w14:textId="77777777" w:rsidR="00423534" w:rsidRPr="00751DC0" w:rsidRDefault="00423534" w:rsidP="00423534">
            <w:pPr>
              <w:suppressAutoHyphens/>
              <w:spacing w:line="276" w:lineRule="auto"/>
              <w:jc w:val="center"/>
              <w:rPr>
                <w:rFonts w:asciiTheme="minorHAnsi" w:hAnsiTheme="minorHAnsi" w:cs="Calibri"/>
                <w:color w:val="000000"/>
                <w:sz w:val="22"/>
                <w:szCs w:val="20"/>
                <w:lang w:val="en-IN" w:eastAsia="en-IN"/>
              </w:rPr>
            </w:pPr>
            <w:r w:rsidRPr="00751DC0">
              <w:rPr>
                <w:rFonts w:asciiTheme="minorHAnsi" w:hAnsiTheme="minorHAnsi" w:cs="Calibri"/>
                <w:color w:val="000000"/>
                <w:sz w:val="22"/>
                <w:szCs w:val="20"/>
                <w:lang w:eastAsia="en-IN"/>
              </w:rPr>
              <w:t> -</w:t>
            </w:r>
          </w:p>
        </w:tc>
      </w:tr>
      <w:tr w:rsidR="00423534" w:rsidRPr="004954F9" w14:paraId="7E5E0D57" w14:textId="77777777" w:rsidTr="00557ED5">
        <w:trPr>
          <w:trHeight w:val="277"/>
        </w:trPr>
        <w:tc>
          <w:tcPr>
            <w:tcW w:w="3596" w:type="dxa"/>
            <w:shd w:val="clear" w:color="auto" w:fill="8DB3E2" w:themeFill="text2" w:themeFillTint="66"/>
            <w:noWrap/>
            <w:vAlign w:val="center"/>
            <w:hideMark/>
          </w:tcPr>
          <w:p w14:paraId="7C64CAD4" w14:textId="77777777" w:rsidR="00423534" w:rsidRPr="00751DC0" w:rsidRDefault="00423534" w:rsidP="00423534">
            <w:pPr>
              <w:suppressAutoHyphens/>
              <w:spacing w:line="276" w:lineRule="auto"/>
              <w:rPr>
                <w:rFonts w:asciiTheme="minorHAnsi" w:hAnsiTheme="minorHAnsi" w:cs="Calibri"/>
                <w:b/>
                <w:color w:val="000000"/>
                <w:sz w:val="22"/>
                <w:szCs w:val="20"/>
                <w:lang w:val="en-IN" w:eastAsia="en-IN"/>
              </w:rPr>
            </w:pPr>
            <w:r w:rsidRPr="00751DC0">
              <w:rPr>
                <w:rFonts w:asciiTheme="minorHAnsi" w:hAnsiTheme="minorHAnsi" w:cs="Calibri"/>
                <w:b/>
                <w:color w:val="000000"/>
                <w:sz w:val="22"/>
                <w:szCs w:val="20"/>
                <w:lang w:eastAsia="en-IN"/>
              </w:rPr>
              <w:t xml:space="preserve">Total R &amp; M incl. </w:t>
            </w:r>
            <w:proofErr w:type="spellStart"/>
            <w:r w:rsidRPr="00751DC0">
              <w:rPr>
                <w:rFonts w:asciiTheme="minorHAnsi" w:hAnsiTheme="minorHAnsi" w:cs="Calibri"/>
                <w:b/>
                <w:color w:val="000000"/>
                <w:sz w:val="22"/>
                <w:szCs w:val="20"/>
                <w:lang w:eastAsia="en-IN"/>
              </w:rPr>
              <w:t>Spl</w:t>
            </w:r>
            <w:proofErr w:type="spellEnd"/>
            <w:r w:rsidRPr="00751DC0">
              <w:rPr>
                <w:rFonts w:asciiTheme="minorHAnsi" w:hAnsiTheme="minorHAnsi" w:cs="Calibri"/>
                <w:b/>
                <w:color w:val="000000"/>
                <w:sz w:val="22"/>
                <w:szCs w:val="20"/>
                <w:lang w:eastAsia="en-IN"/>
              </w:rPr>
              <w:t>. R &amp; M</w:t>
            </w:r>
          </w:p>
        </w:tc>
        <w:tc>
          <w:tcPr>
            <w:tcW w:w="2656" w:type="dxa"/>
            <w:shd w:val="clear" w:color="auto" w:fill="8DB3E2" w:themeFill="text2" w:themeFillTint="66"/>
            <w:vAlign w:val="center"/>
            <w:hideMark/>
          </w:tcPr>
          <w:p w14:paraId="41C633CE" w14:textId="77777777" w:rsidR="00423534" w:rsidRPr="00751DC0" w:rsidRDefault="00423534" w:rsidP="00423534">
            <w:pPr>
              <w:suppressAutoHyphens/>
              <w:spacing w:line="276" w:lineRule="auto"/>
              <w:jc w:val="center"/>
              <w:rPr>
                <w:rFonts w:asciiTheme="minorHAnsi" w:hAnsiTheme="minorHAnsi" w:cs="Calibri"/>
                <w:b/>
                <w:bCs/>
                <w:color w:val="000000"/>
                <w:sz w:val="22"/>
                <w:szCs w:val="20"/>
                <w:lang w:val="en-IN" w:eastAsia="en-IN"/>
              </w:rPr>
            </w:pPr>
            <w:r w:rsidRPr="00751DC0">
              <w:rPr>
                <w:rFonts w:asciiTheme="minorHAnsi" w:hAnsiTheme="minorHAnsi" w:cs="Calibri"/>
                <w:b/>
                <w:bCs/>
                <w:color w:val="000000"/>
                <w:sz w:val="22"/>
                <w:szCs w:val="20"/>
                <w:lang w:eastAsia="en-IN"/>
              </w:rPr>
              <w:t>321.45</w:t>
            </w:r>
          </w:p>
        </w:tc>
        <w:tc>
          <w:tcPr>
            <w:tcW w:w="2390" w:type="dxa"/>
            <w:shd w:val="clear" w:color="auto" w:fill="8DB3E2" w:themeFill="text2" w:themeFillTint="66"/>
            <w:vAlign w:val="center"/>
            <w:hideMark/>
          </w:tcPr>
          <w:p w14:paraId="6BBE4B5D" w14:textId="77777777" w:rsidR="00423534" w:rsidRPr="00751DC0" w:rsidRDefault="00423534" w:rsidP="00423534">
            <w:pPr>
              <w:suppressAutoHyphens/>
              <w:spacing w:line="276" w:lineRule="auto"/>
              <w:jc w:val="center"/>
              <w:rPr>
                <w:rFonts w:asciiTheme="minorHAnsi" w:hAnsiTheme="minorHAnsi" w:cs="Calibri"/>
                <w:b/>
                <w:bCs/>
                <w:color w:val="000000"/>
                <w:sz w:val="22"/>
                <w:szCs w:val="20"/>
                <w:lang w:val="en-IN" w:eastAsia="en-IN"/>
              </w:rPr>
            </w:pPr>
            <w:r w:rsidRPr="00751DC0">
              <w:rPr>
                <w:rFonts w:asciiTheme="minorHAnsi" w:hAnsiTheme="minorHAnsi" w:cs="Calibri"/>
                <w:b/>
                <w:bCs/>
                <w:color w:val="000000"/>
                <w:sz w:val="22"/>
                <w:szCs w:val="20"/>
                <w:lang w:eastAsia="en-IN"/>
              </w:rPr>
              <w:t>230.24</w:t>
            </w:r>
          </w:p>
        </w:tc>
      </w:tr>
    </w:tbl>
    <w:p w14:paraId="7932CBCC" w14:textId="77777777" w:rsidR="00423534" w:rsidRPr="004954F9" w:rsidRDefault="00423534" w:rsidP="00423534">
      <w:pPr>
        <w:widowControl w:val="0"/>
        <w:autoSpaceDE w:val="0"/>
        <w:autoSpaceDN w:val="0"/>
        <w:spacing w:line="360" w:lineRule="auto"/>
        <w:ind w:right="377"/>
        <w:jc w:val="both"/>
        <w:rPr>
          <w:rFonts w:asciiTheme="minorHAnsi" w:eastAsia="Calibri" w:hAnsiTheme="minorHAnsi" w:cs="Calibri"/>
          <w:sz w:val="22"/>
          <w:szCs w:val="22"/>
        </w:rPr>
      </w:pPr>
    </w:p>
    <w:p w14:paraId="2CC1416E" w14:textId="77777777" w:rsidR="00423534" w:rsidRPr="004954F9" w:rsidRDefault="00423534" w:rsidP="00423534">
      <w:pPr>
        <w:widowControl w:val="0"/>
        <w:autoSpaceDE w:val="0"/>
        <w:autoSpaceDN w:val="0"/>
        <w:spacing w:line="360" w:lineRule="auto"/>
        <w:ind w:right="377"/>
        <w:jc w:val="both"/>
        <w:rPr>
          <w:rFonts w:asciiTheme="minorHAnsi" w:eastAsia="Calibri" w:hAnsiTheme="minorHAnsi" w:cs="Calibri"/>
          <w:sz w:val="22"/>
          <w:szCs w:val="22"/>
        </w:rPr>
      </w:pPr>
    </w:p>
    <w:p w14:paraId="0CF7D73B" w14:textId="77777777" w:rsidR="00423534" w:rsidRDefault="00423534" w:rsidP="00B602FC">
      <w:pPr>
        <w:widowControl w:val="0"/>
        <w:autoSpaceDE w:val="0"/>
        <w:autoSpaceDN w:val="0"/>
        <w:spacing w:before="157" w:line="360" w:lineRule="auto"/>
        <w:ind w:right="379"/>
        <w:jc w:val="both"/>
        <w:rPr>
          <w:rFonts w:ascii="Calibri" w:eastAsia="Calibri" w:hAnsi="Calibri" w:cs="Calibri"/>
          <w:sz w:val="22"/>
          <w:szCs w:val="22"/>
        </w:rPr>
      </w:pPr>
    </w:p>
    <w:p w14:paraId="1B08A3BD" w14:textId="77777777" w:rsidR="00423534" w:rsidRPr="004954F9" w:rsidRDefault="00423534" w:rsidP="00423534">
      <w:pPr>
        <w:widowControl w:val="0"/>
        <w:autoSpaceDE w:val="0"/>
        <w:autoSpaceDN w:val="0"/>
        <w:spacing w:before="157" w:line="360" w:lineRule="auto"/>
        <w:ind w:left="851" w:right="379"/>
        <w:jc w:val="both"/>
        <w:rPr>
          <w:rFonts w:ascii="Calibri" w:eastAsia="Calibri" w:hAnsi="Calibri" w:cs="Calibri"/>
          <w:sz w:val="22"/>
          <w:szCs w:val="22"/>
        </w:rPr>
      </w:pPr>
      <w:r w:rsidRPr="004954F9">
        <w:rPr>
          <w:rFonts w:ascii="Calibri" w:eastAsia="Calibri" w:hAnsi="Calibri" w:cs="Calibri"/>
          <w:sz w:val="22"/>
          <w:szCs w:val="22"/>
        </w:rPr>
        <w:t>However, it is pertinent to note that the Tariff Regulations, 2022 does not allow for</w:t>
      </w:r>
      <w:r w:rsidRPr="004954F9">
        <w:rPr>
          <w:rFonts w:ascii="Calibri" w:eastAsia="Calibri" w:hAnsi="Calibri" w:cs="Calibri"/>
          <w:spacing w:val="1"/>
          <w:sz w:val="22"/>
          <w:szCs w:val="22"/>
        </w:rPr>
        <w:t xml:space="preserve"> </w:t>
      </w:r>
      <w:r w:rsidRPr="004954F9">
        <w:rPr>
          <w:rFonts w:ascii="Calibri" w:eastAsia="Calibri" w:hAnsi="Calibri" w:cs="Calibri"/>
          <w:sz w:val="22"/>
          <w:szCs w:val="22"/>
        </w:rPr>
        <w:t>such</w:t>
      </w:r>
      <w:r w:rsidRPr="004954F9">
        <w:rPr>
          <w:rFonts w:ascii="Calibri" w:eastAsia="Calibri" w:hAnsi="Calibri" w:cs="Calibri"/>
          <w:spacing w:val="1"/>
          <w:sz w:val="22"/>
          <w:szCs w:val="22"/>
        </w:rPr>
        <w:t xml:space="preserve"> </w:t>
      </w:r>
      <w:r w:rsidRPr="004954F9">
        <w:rPr>
          <w:rFonts w:ascii="Calibri" w:eastAsia="Calibri" w:hAnsi="Calibri" w:cs="Calibri"/>
          <w:sz w:val="22"/>
          <w:szCs w:val="22"/>
        </w:rPr>
        <w:lastRenderedPageBreak/>
        <w:t>exclusions</w:t>
      </w:r>
      <w:r w:rsidRPr="004954F9">
        <w:rPr>
          <w:rFonts w:ascii="Calibri" w:eastAsia="Calibri" w:hAnsi="Calibri" w:cs="Calibri"/>
          <w:spacing w:val="1"/>
          <w:sz w:val="22"/>
          <w:szCs w:val="22"/>
        </w:rPr>
        <w:t xml:space="preserve"> </w:t>
      </w:r>
      <w:r w:rsidRPr="004954F9">
        <w:rPr>
          <w:rFonts w:ascii="Calibri" w:eastAsia="Calibri" w:hAnsi="Calibri" w:cs="Calibri"/>
          <w:sz w:val="22"/>
          <w:szCs w:val="22"/>
        </w:rPr>
        <w:t>of</w:t>
      </w:r>
      <w:r w:rsidRPr="004954F9">
        <w:rPr>
          <w:rFonts w:ascii="Calibri" w:eastAsia="Calibri" w:hAnsi="Calibri" w:cs="Calibri"/>
          <w:spacing w:val="1"/>
          <w:sz w:val="22"/>
          <w:szCs w:val="22"/>
        </w:rPr>
        <w:t xml:space="preserve"> </w:t>
      </w:r>
      <w:r w:rsidRPr="004954F9">
        <w:rPr>
          <w:rFonts w:ascii="Calibri" w:eastAsia="Calibri" w:hAnsi="Calibri" w:cs="Calibri"/>
          <w:sz w:val="22"/>
          <w:szCs w:val="22"/>
        </w:rPr>
        <w:t>assets.</w:t>
      </w:r>
      <w:r w:rsidRPr="004954F9">
        <w:rPr>
          <w:rFonts w:ascii="Calibri" w:eastAsia="Calibri" w:hAnsi="Calibri" w:cs="Calibri"/>
          <w:spacing w:val="1"/>
          <w:sz w:val="22"/>
          <w:szCs w:val="22"/>
        </w:rPr>
        <w:t xml:space="preserve"> </w:t>
      </w:r>
      <w:r w:rsidRPr="004954F9">
        <w:rPr>
          <w:rFonts w:ascii="Calibri" w:eastAsia="Calibri" w:hAnsi="Calibri" w:cs="Calibri"/>
          <w:sz w:val="22"/>
          <w:szCs w:val="22"/>
        </w:rPr>
        <w:t>The</w:t>
      </w:r>
      <w:r w:rsidRPr="004954F9">
        <w:rPr>
          <w:rFonts w:ascii="Calibri" w:eastAsia="Calibri" w:hAnsi="Calibri" w:cs="Calibri"/>
          <w:spacing w:val="1"/>
          <w:sz w:val="22"/>
          <w:szCs w:val="22"/>
        </w:rPr>
        <w:t xml:space="preserve"> </w:t>
      </w:r>
      <w:r w:rsidRPr="004954F9">
        <w:rPr>
          <w:rFonts w:ascii="Calibri" w:eastAsia="Calibri" w:hAnsi="Calibri" w:cs="Calibri"/>
          <w:sz w:val="22"/>
          <w:szCs w:val="22"/>
        </w:rPr>
        <w:t>relevant</w:t>
      </w:r>
      <w:r w:rsidRPr="004954F9">
        <w:rPr>
          <w:rFonts w:ascii="Calibri" w:eastAsia="Calibri" w:hAnsi="Calibri" w:cs="Calibri"/>
          <w:spacing w:val="1"/>
          <w:sz w:val="22"/>
          <w:szCs w:val="22"/>
        </w:rPr>
        <w:t xml:space="preserve"> </w:t>
      </w:r>
      <w:r w:rsidRPr="004954F9">
        <w:rPr>
          <w:rFonts w:ascii="Calibri" w:eastAsia="Calibri" w:hAnsi="Calibri" w:cs="Calibri"/>
          <w:sz w:val="22"/>
          <w:szCs w:val="22"/>
        </w:rPr>
        <w:t>extract</w:t>
      </w:r>
      <w:r w:rsidRPr="004954F9">
        <w:rPr>
          <w:rFonts w:ascii="Calibri" w:eastAsia="Calibri" w:hAnsi="Calibri" w:cs="Calibri"/>
          <w:spacing w:val="1"/>
          <w:sz w:val="22"/>
          <w:szCs w:val="22"/>
        </w:rPr>
        <w:t xml:space="preserve"> </w:t>
      </w:r>
      <w:r w:rsidRPr="004954F9">
        <w:rPr>
          <w:rFonts w:ascii="Calibri" w:eastAsia="Calibri" w:hAnsi="Calibri" w:cs="Calibri"/>
          <w:sz w:val="22"/>
          <w:szCs w:val="22"/>
        </w:rPr>
        <w:t>of</w:t>
      </w:r>
      <w:r w:rsidRPr="004954F9">
        <w:rPr>
          <w:rFonts w:ascii="Calibri" w:eastAsia="Calibri" w:hAnsi="Calibri" w:cs="Calibri"/>
          <w:spacing w:val="1"/>
          <w:sz w:val="22"/>
          <w:szCs w:val="22"/>
        </w:rPr>
        <w:t xml:space="preserve"> </w:t>
      </w:r>
      <w:r w:rsidRPr="004954F9">
        <w:rPr>
          <w:rFonts w:ascii="Calibri" w:eastAsia="Calibri" w:hAnsi="Calibri" w:cs="Calibri"/>
          <w:sz w:val="22"/>
          <w:szCs w:val="22"/>
        </w:rPr>
        <w:t>the</w:t>
      </w:r>
      <w:r w:rsidRPr="004954F9">
        <w:rPr>
          <w:rFonts w:ascii="Calibri" w:eastAsia="Calibri" w:hAnsi="Calibri" w:cs="Calibri"/>
          <w:spacing w:val="1"/>
          <w:sz w:val="22"/>
          <w:szCs w:val="22"/>
        </w:rPr>
        <w:t xml:space="preserve"> </w:t>
      </w:r>
      <w:r w:rsidRPr="004954F9">
        <w:rPr>
          <w:rFonts w:ascii="Calibri" w:eastAsia="Calibri" w:hAnsi="Calibri" w:cs="Calibri"/>
          <w:sz w:val="22"/>
          <w:szCs w:val="22"/>
        </w:rPr>
        <w:t>Tariff</w:t>
      </w:r>
      <w:r w:rsidRPr="004954F9">
        <w:rPr>
          <w:rFonts w:ascii="Calibri" w:eastAsia="Calibri" w:hAnsi="Calibri" w:cs="Calibri"/>
          <w:spacing w:val="1"/>
          <w:sz w:val="22"/>
          <w:szCs w:val="22"/>
        </w:rPr>
        <w:t xml:space="preserve"> </w:t>
      </w:r>
      <w:r w:rsidRPr="004954F9">
        <w:rPr>
          <w:rFonts w:ascii="Calibri" w:eastAsia="Calibri" w:hAnsi="Calibri" w:cs="Calibri"/>
          <w:sz w:val="22"/>
          <w:szCs w:val="22"/>
        </w:rPr>
        <w:t>Regulations,</w:t>
      </w:r>
      <w:r w:rsidRPr="004954F9">
        <w:rPr>
          <w:rFonts w:ascii="Calibri" w:eastAsia="Calibri" w:hAnsi="Calibri" w:cs="Calibri"/>
          <w:spacing w:val="1"/>
          <w:sz w:val="22"/>
          <w:szCs w:val="22"/>
        </w:rPr>
        <w:t xml:space="preserve"> </w:t>
      </w:r>
      <w:r w:rsidRPr="004954F9">
        <w:rPr>
          <w:rFonts w:ascii="Calibri" w:eastAsia="Calibri" w:hAnsi="Calibri" w:cs="Calibri"/>
          <w:sz w:val="22"/>
          <w:szCs w:val="22"/>
        </w:rPr>
        <w:t>2022</w:t>
      </w:r>
      <w:r w:rsidRPr="004954F9">
        <w:rPr>
          <w:rFonts w:ascii="Calibri" w:eastAsia="Calibri" w:hAnsi="Calibri" w:cs="Calibri"/>
          <w:spacing w:val="1"/>
          <w:sz w:val="22"/>
          <w:szCs w:val="22"/>
        </w:rPr>
        <w:t xml:space="preserve"> </w:t>
      </w:r>
      <w:r w:rsidRPr="004954F9">
        <w:rPr>
          <w:rFonts w:ascii="Calibri" w:eastAsia="Calibri" w:hAnsi="Calibri" w:cs="Calibri"/>
          <w:sz w:val="22"/>
          <w:szCs w:val="22"/>
        </w:rPr>
        <w:t>is</w:t>
      </w:r>
      <w:r w:rsidRPr="004954F9">
        <w:rPr>
          <w:rFonts w:ascii="Calibri" w:eastAsia="Calibri" w:hAnsi="Calibri" w:cs="Calibri"/>
          <w:spacing w:val="1"/>
          <w:sz w:val="22"/>
          <w:szCs w:val="22"/>
        </w:rPr>
        <w:t xml:space="preserve"> </w:t>
      </w:r>
      <w:r w:rsidRPr="004954F9">
        <w:rPr>
          <w:rFonts w:ascii="Calibri" w:eastAsia="Calibri" w:hAnsi="Calibri" w:cs="Calibri"/>
          <w:sz w:val="22"/>
          <w:szCs w:val="22"/>
        </w:rPr>
        <w:t>reproduced</w:t>
      </w:r>
      <w:r w:rsidRPr="004954F9">
        <w:rPr>
          <w:rFonts w:ascii="Calibri" w:eastAsia="Calibri" w:hAnsi="Calibri" w:cs="Calibri"/>
          <w:spacing w:val="9"/>
          <w:sz w:val="22"/>
          <w:szCs w:val="22"/>
        </w:rPr>
        <w:t xml:space="preserve"> </w:t>
      </w:r>
      <w:r w:rsidRPr="004954F9">
        <w:rPr>
          <w:rFonts w:ascii="Calibri" w:eastAsia="Calibri" w:hAnsi="Calibri" w:cs="Calibri"/>
          <w:sz w:val="22"/>
          <w:szCs w:val="22"/>
        </w:rPr>
        <w:t>herein</w:t>
      </w:r>
      <w:r w:rsidRPr="004954F9">
        <w:rPr>
          <w:rFonts w:ascii="Calibri" w:eastAsia="Calibri" w:hAnsi="Calibri" w:cs="Calibri"/>
          <w:spacing w:val="6"/>
          <w:sz w:val="22"/>
          <w:szCs w:val="22"/>
        </w:rPr>
        <w:t xml:space="preserve"> </w:t>
      </w:r>
      <w:r w:rsidRPr="004954F9">
        <w:rPr>
          <w:rFonts w:ascii="Calibri" w:eastAsia="Calibri" w:hAnsi="Calibri" w:cs="Calibri"/>
          <w:sz w:val="22"/>
          <w:szCs w:val="22"/>
        </w:rPr>
        <w:t>below</w:t>
      </w:r>
      <w:r w:rsidRPr="004954F9">
        <w:rPr>
          <w:rFonts w:ascii="Calibri" w:eastAsia="Calibri" w:hAnsi="Calibri" w:cs="Calibri"/>
          <w:spacing w:val="4"/>
          <w:sz w:val="22"/>
          <w:szCs w:val="22"/>
        </w:rPr>
        <w:t xml:space="preserve"> </w:t>
      </w:r>
      <w:r w:rsidRPr="004954F9">
        <w:rPr>
          <w:rFonts w:ascii="Calibri" w:eastAsia="Calibri" w:hAnsi="Calibri" w:cs="Calibri"/>
          <w:sz w:val="22"/>
          <w:szCs w:val="22"/>
        </w:rPr>
        <w:t>for</w:t>
      </w:r>
      <w:r w:rsidRPr="004954F9">
        <w:rPr>
          <w:rFonts w:ascii="Calibri" w:eastAsia="Calibri" w:hAnsi="Calibri" w:cs="Calibri"/>
          <w:spacing w:val="8"/>
          <w:sz w:val="22"/>
          <w:szCs w:val="22"/>
        </w:rPr>
        <w:t xml:space="preserve"> </w:t>
      </w:r>
      <w:r w:rsidRPr="004954F9">
        <w:rPr>
          <w:rFonts w:ascii="Calibri" w:eastAsia="Calibri" w:hAnsi="Calibri" w:cs="Calibri"/>
          <w:sz w:val="22"/>
          <w:szCs w:val="22"/>
        </w:rPr>
        <w:t>the</w:t>
      </w:r>
      <w:r w:rsidRPr="004954F9">
        <w:rPr>
          <w:rFonts w:ascii="Calibri" w:eastAsia="Calibri" w:hAnsi="Calibri" w:cs="Calibri"/>
          <w:spacing w:val="4"/>
          <w:sz w:val="22"/>
          <w:szCs w:val="22"/>
        </w:rPr>
        <w:t xml:space="preserve"> </w:t>
      </w:r>
      <w:r w:rsidRPr="004954F9">
        <w:rPr>
          <w:rFonts w:ascii="Calibri" w:eastAsia="Calibri" w:hAnsi="Calibri" w:cs="Calibri"/>
          <w:sz w:val="22"/>
          <w:szCs w:val="22"/>
        </w:rPr>
        <w:t>ready</w:t>
      </w:r>
      <w:r w:rsidRPr="004954F9">
        <w:rPr>
          <w:rFonts w:ascii="Calibri" w:eastAsia="Calibri" w:hAnsi="Calibri" w:cs="Calibri"/>
          <w:spacing w:val="7"/>
          <w:sz w:val="22"/>
          <w:szCs w:val="22"/>
        </w:rPr>
        <w:t xml:space="preserve"> </w:t>
      </w:r>
      <w:r w:rsidRPr="004954F9">
        <w:rPr>
          <w:rFonts w:ascii="Calibri" w:eastAsia="Calibri" w:hAnsi="Calibri" w:cs="Calibri"/>
          <w:sz w:val="22"/>
          <w:szCs w:val="22"/>
        </w:rPr>
        <w:t>reference</w:t>
      </w:r>
      <w:r w:rsidRPr="004954F9">
        <w:rPr>
          <w:rFonts w:ascii="Calibri" w:eastAsia="Calibri" w:hAnsi="Calibri" w:cs="Calibri"/>
          <w:spacing w:val="4"/>
          <w:sz w:val="22"/>
          <w:szCs w:val="22"/>
        </w:rPr>
        <w:t xml:space="preserve"> </w:t>
      </w:r>
      <w:r w:rsidRPr="004954F9">
        <w:rPr>
          <w:rFonts w:ascii="Calibri" w:eastAsia="Calibri" w:hAnsi="Calibri" w:cs="Calibri"/>
          <w:sz w:val="22"/>
          <w:szCs w:val="22"/>
        </w:rPr>
        <w:t>of</w:t>
      </w:r>
      <w:r w:rsidRPr="004954F9">
        <w:rPr>
          <w:rFonts w:ascii="Calibri" w:eastAsia="Calibri" w:hAnsi="Calibri" w:cs="Calibri"/>
          <w:spacing w:val="6"/>
          <w:sz w:val="22"/>
          <w:szCs w:val="22"/>
        </w:rPr>
        <w:t xml:space="preserve"> </w:t>
      </w:r>
      <w:r w:rsidRPr="004954F9">
        <w:rPr>
          <w:rFonts w:ascii="Calibri" w:eastAsia="Calibri" w:hAnsi="Calibri" w:cs="Calibri"/>
          <w:sz w:val="22"/>
          <w:szCs w:val="22"/>
        </w:rPr>
        <w:t>this</w:t>
      </w:r>
      <w:r w:rsidRPr="004954F9">
        <w:rPr>
          <w:rFonts w:ascii="Calibri" w:eastAsia="Calibri" w:hAnsi="Calibri" w:cs="Calibri"/>
          <w:spacing w:val="10"/>
          <w:sz w:val="22"/>
          <w:szCs w:val="22"/>
        </w:rPr>
        <w:t xml:space="preserve"> </w:t>
      </w:r>
      <w:r w:rsidRPr="004954F9">
        <w:rPr>
          <w:rFonts w:ascii="Calibri" w:eastAsia="Calibri" w:hAnsi="Calibri" w:cs="Calibri"/>
          <w:sz w:val="22"/>
          <w:szCs w:val="22"/>
        </w:rPr>
        <w:t>Hon’ble</w:t>
      </w:r>
      <w:r w:rsidRPr="004954F9">
        <w:rPr>
          <w:rFonts w:ascii="Calibri" w:eastAsia="Calibri" w:hAnsi="Calibri" w:cs="Calibri"/>
          <w:spacing w:val="6"/>
          <w:sz w:val="22"/>
          <w:szCs w:val="22"/>
        </w:rPr>
        <w:t xml:space="preserve"> </w:t>
      </w:r>
      <w:r w:rsidRPr="004954F9">
        <w:rPr>
          <w:rFonts w:ascii="Calibri" w:eastAsia="Calibri" w:hAnsi="Calibri" w:cs="Calibri"/>
          <w:sz w:val="22"/>
          <w:szCs w:val="22"/>
        </w:rPr>
        <w:t>Commission:</w:t>
      </w:r>
    </w:p>
    <w:p w14:paraId="49F8D6FC" w14:textId="3736867D" w:rsidR="00423534" w:rsidRPr="00B602FC" w:rsidRDefault="00423534" w:rsidP="00B602FC">
      <w:pPr>
        <w:suppressAutoHyphens/>
        <w:spacing w:before="151" w:line="360" w:lineRule="auto"/>
        <w:ind w:left="851"/>
        <w:rPr>
          <w:rFonts w:asciiTheme="minorHAnsi" w:hAnsiTheme="minorHAnsi"/>
          <w:b/>
          <w:i/>
          <w:sz w:val="22"/>
          <w:szCs w:val="22"/>
        </w:rPr>
      </w:pPr>
      <w:r w:rsidRPr="00751DC0">
        <w:rPr>
          <w:rFonts w:asciiTheme="minorHAnsi" w:hAnsiTheme="minorHAnsi"/>
          <w:i/>
          <w:spacing w:val="-1"/>
          <w:w w:val="105"/>
          <w:sz w:val="22"/>
          <w:szCs w:val="22"/>
        </w:rPr>
        <w:t>“</w:t>
      </w:r>
      <w:r w:rsidRPr="00751DC0">
        <w:rPr>
          <w:rFonts w:asciiTheme="minorHAnsi" w:hAnsiTheme="minorHAnsi"/>
          <w:b/>
          <w:i/>
          <w:spacing w:val="-1"/>
          <w:w w:val="105"/>
          <w:sz w:val="22"/>
          <w:szCs w:val="22"/>
        </w:rPr>
        <w:t>Repairs</w:t>
      </w:r>
      <w:r w:rsidRPr="00751DC0">
        <w:rPr>
          <w:rFonts w:asciiTheme="minorHAnsi" w:hAnsiTheme="minorHAnsi"/>
          <w:b/>
          <w:i/>
          <w:spacing w:val="-12"/>
          <w:w w:val="105"/>
          <w:sz w:val="22"/>
          <w:szCs w:val="22"/>
        </w:rPr>
        <w:t xml:space="preserve"> </w:t>
      </w:r>
      <w:r w:rsidRPr="00751DC0">
        <w:rPr>
          <w:rFonts w:asciiTheme="minorHAnsi" w:hAnsiTheme="minorHAnsi"/>
          <w:b/>
          <w:i/>
          <w:spacing w:val="-1"/>
          <w:w w:val="105"/>
          <w:sz w:val="22"/>
          <w:szCs w:val="22"/>
        </w:rPr>
        <w:t>and</w:t>
      </w:r>
      <w:r w:rsidRPr="00751DC0">
        <w:rPr>
          <w:rFonts w:asciiTheme="minorHAnsi" w:hAnsiTheme="minorHAnsi"/>
          <w:b/>
          <w:i/>
          <w:spacing w:val="-12"/>
          <w:w w:val="105"/>
          <w:sz w:val="22"/>
          <w:szCs w:val="22"/>
        </w:rPr>
        <w:t xml:space="preserve"> </w:t>
      </w:r>
      <w:r w:rsidRPr="00751DC0">
        <w:rPr>
          <w:rFonts w:asciiTheme="minorHAnsi" w:hAnsiTheme="minorHAnsi"/>
          <w:b/>
          <w:i/>
          <w:w w:val="105"/>
          <w:sz w:val="22"/>
          <w:szCs w:val="22"/>
        </w:rPr>
        <w:t>Maintenance</w:t>
      </w:r>
      <w:r w:rsidRPr="00751DC0">
        <w:rPr>
          <w:rFonts w:asciiTheme="minorHAnsi" w:hAnsiTheme="minorHAnsi"/>
          <w:b/>
          <w:i/>
          <w:spacing w:val="-12"/>
          <w:w w:val="105"/>
          <w:sz w:val="22"/>
          <w:szCs w:val="22"/>
        </w:rPr>
        <w:t xml:space="preserve"> </w:t>
      </w:r>
      <w:r w:rsidRPr="00751DC0">
        <w:rPr>
          <w:rFonts w:asciiTheme="minorHAnsi" w:hAnsiTheme="minorHAnsi"/>
          <w:b/>
          <w:i/>
          <w:w w:val="105"/>
          <w:sz w:val="22"/>
          <w:szCs w:val="22"/>
        </w:rPr>
        <w:t>(R&amp;M)</w:t>
      </w:r>
      <w:r w:rsidRPr="00751DC0">
        <w:rPr>
          <w:rFonts w:asciiTheme="minorHAnsi" w:hAnsiTheme="minorHAnsi"/>
          <w:b/>
          <w:i/>
          <w:spacing w:val="-10"/>
          <w:w w:val="105"/>
          <w:sz w:val="22"/>
          <w:szCs w:val="22"/>
        </w:rPr>
        <w:t xml:space="preserve"> </w:t>
      </w:r>
      <w:r w:rsidRPr="00751DC0">
        <w:rPr>
          <w:rFonts w:asciiTheme="minorHAnsi" w:hAnsiTheme="minorHAnsi"/>
          <w:b/>
          <w:i/>
          <w:w w:val="105"/>
          <w:sz w:val="22"/>
          <w:szCs w:val="22"/>
        </w:rPr>
        <w:t>Expenses</w:t>
      </w:r>
    </w:p>
    <w:p w14:paraId="6A5C6B45" w14:textId="77777777" w:rsidR="00423534" w:rsidRPr="00751DC0" w:rsidRDefault="00423534" w:rsidP="00423534">
      <w:pPr>
        <w:suppressAutoHyphens/>
        <w:spacing w:line="360" w:lineRule="auto"/>
        <w:ind w:left="851" w:right="284"/>
        <w:jc w:val="both"/>
        <w:rPr>
          <w:rFonts w:asciiTheme="minorHAnsi" w:hAnsiTheme="minorHAnsi"/>
          <w:b/>
          <w:i/>
          <w:sz w:val="22"/>
          <w:szCs w:val="22"/>
        </w:rPr>
      </w:pPr>
      <w:r w:rsidRPr="00751DC0">
        <w:rPr>
          <w:rFonts w:asciiTheme="minorHAnsi" w:hAnsiTheme="minorHAnsi"/>
          <w:b/>
          <w:i/>
          <w:w w:val="105"/>
          <w:sz w:val="22"/>
          <w:szCs w:val="22"/>
        </w:rPr>
        <w:t>3.9.19.</w:t>
      </w:r>
      <w:r w:rsidRPr="00751DC0">
        <w:rPr>
          <w:rFonts w:asciiTheme="minorHAnsi" w:hAnsiTheme="minorHAnsi"/>
          <w:b/>
          <w:i/>
          <w:spacing w:val="-10"/>
          <w:w w:val="105"/>
          <w:sz w:val="22"/>
          <w:szCs w:val="22"/>
        </w:rPr>
        <w:t xml:space="preserve"> </w:t>
      </w:r>
      <w:r w:rsidRPr="00751DC0">
        <w:rPr>
          <w:rFonts w:asciiTheme="minorHAnsi" w:hAnsiTheme="minorHAnsi"/>
          <w:b/>
          <w:i/>
          <w:w w:val="105"/>
          <w:sz w:val="22"/>
          <w:szCs w:val="22"/>
        </w:rPr>
        <w:t>Repair</w:t>
      </w:r>
      <w:r w:rsidRPr="00751DC0">
        <w:rPr>
          <w:rFonts w:asciiTheme="minorHAnsi" w:hAnsiTheme="minorHAnsi"/>
          <w:b/>
          <w:i/>
          <w:spacing w:val="-13"/>
          <w:w w:val="105"/>
          <w:sz w:val="22"/>
          <w:szCs w:val="22"/>
        </w:rPr>
        <w:t xml:space="preserve"> </w:t>
      </w:r>
      <w:r w:rsidRPr="00751DC0">
        <w:rPr>
          <w:rFonts w:asciiTheme="minorHAnsi" w:hAnsiTheme="minorHAnsi"/>
          <w:b/>
          <w:i/>
          <w:w w:val="105"/>
          <w:sz w:val="22"/>
          <w:szCs w:val="22"/>
        </w:rPr>
        <w:t>and</w:t>
      </w:r>
      <w:r w:rsidRPr="00751DC0">
        <w:rPr>
          <w:rFonts w:asciiTheme="minorHAnsi" w:hAnsiTheme="minorHAnsi"/>
          <w:b/>
          <w:i/>
          <w:spacing w:val="-12"/>
          <w:w w:val="105"/>
          <w:sz w:val="22"/>
          <w:szCs w:val="22"/>
        </w:rPr>
        <w:t xml:space="preserve"> </w:t>
      </w:r>
      <w:r w:rsidRPr="00751DC0">
        <w:rPr>
          <w:rFonts w:asciiTheme="minorHAnsi" w:hAnsiTheme="minorHAnsi"/>
          <w:b/>
          <w:i/>
          <w:w w:val="105"/>
          <w:sz w:val="22"/>
          <w:szCs w:val="22"/>
        </w:rPr>
        <w:t>Maintenance</w:t>
      </w:r>
      <w:r w:rsidRPr="00751DC0">
        <w:rPr>
          <w:rFonts w:asciiTheme="minorHAnsi" w:hAnsiTheme="minorHAnsi"/>
          <w:b/>
          <w:i/>
          <w:spacing w:val="-8"/>
          <w:w w:val="105"/>
          <w:sz w:val="22"/>
          <w:szCs w:val="22"/>
        </w:rPr>
        <w:t xml:space="preserve"> </w:t>
      </w:r>
      <w:r w:rsidRPr="00751DC0">
        <w:rPr>
          <w:rFonts w:asciiTheme="minorHAnsi" w:hAnsiTheme="minorHAnsi"/>
          <w:b/>
          <w:i/>
          <w:w w:val="105"/>
          <w:sz w:val="22"/>
          <w:szCs w:val="22"/>
        </w:rPr>
        <w:t>expenses</w:t>
      </w:r>
      <w:r w:rsidRPr="00751DC0">
        <w:rPr>
          <w:rFonts w:asciiTheme="minorHAnsi" w:hAnsiTheme="minorHAnsi"/>
          <w:b/>
          <w:i/>
          <w:spacing w:val="-7"/>
          <w:w w:val="105"/>
          <w:sz w:val="22"/>
          <w:szCs w:val="22"/>
        </w:rPr>
        <w:t xml:space="preserve"> </w:t>
      </w:r>
      <w:r w:rsidRPr="00751DC0">
        <w:rPr>
          <w:rFonts w:asciiTheme="minorHAnsi" w:hAnsiTheme="minorHAnsi"/>
          <w:b/>
          <w:i/>
          <w:w w:val="105"/>
          <w:sz w:val="22"/>
          <w:szCs w:val="22"/>
        </w:rPr>
        <w:t>shall</w:t>
      </w:r>
      <w:r w:rsidRPr="00751DC0">
        <w:rPr>
          <w:rFonts w:asciiTheme="minorHAnsi" w:hAnsiTheme="minorHAnsi"/>
          <w:b/>
          <w:i/>
          <w:spacing w:val="-9"/>
          <w:w w:val="105"/>
          <w:sz w:val="22"/>
          <w:szCs w:val="22"/>
        </w:rPr>
        <w:t xml:space="preserve"> </w:t>
      </w:r>
      <w:r w:rsidRPr="00751DC0">
        <w:rPr>
          <w:rFonts w:asciiTheme="minorHAnsi" w:hAnsiTheme="minorHAnsi"/>
          <w:b/>
          <w:i/>
          <w:w w:val="105"/>
          <w:sz w:val="22"/>
          <w:szCs w:val="22"/>
        </w:rPr>
        <w:t>be</w:t>
      </w:r>
      <w:r w:rsidRPr="00751DC0">
        <w:rPr>
          <w:rFonts w:asciiTheme="minorHAnsi" w:hAnsiTheme="minorHAnsi"/>
          <w:b/>
          <w:i/>
          <w:spacing w:val="-12"/>
          <w:w w:val="105"/>
          <w:sz w:val="22"/>
          <w:szCs w:val="22"/>
        </w:rPr>
        <w:t xml:space="preserve"> </w:t>
      </w:r>
      <w:r w:rsidRPr="00751DC0">
        <w:rPr>
          <w:rFonts w:asciiTheme="minorHAnsi" w:hAnsiTheme="minorHAnsi"/>
          <w:b/>
          <w:i/>
          <w:w w:val="105"/>
          <w:sz w:val="22"/>
          <w:szCs w:val="22"/>
        </w:rPr>
        <w:t>allowed</w:t>
      </w:r>
      <w:r w:rsidRPr="00751DC0">
        <w:rPr>
          <w:rFonts w:asciiTheme="minorHAnsi" w:hAnsiTheme="minorHAnsi"/>
          <w:b/>
          <w:i/>
          <w:spacing w:val="-8"/>
          <w:w w:val="105"/>
          <w:sz w:val="22"/>
          <w:szCs w:val="22"/>
        </w:rPr>
        <w:t xml:space="preserve"> </w:t>
      </w:r>
      <w:r w:rsidRPr="00751DC0">
        <w:rPr>
          <w:rFonts w:asciiTheme="minorHAnsi" w:hAnsiTheme="minorHAnsi"/>
          <w:b/>
          <w:i/>
          <w:w w:val="105"/>
          <w:sz w:val="22"/>
          <w:szCs w:val="22"/>
        </w:rPr>
        <w:t>as</w:t>
      </w:r>
      <w:r w:rsidRPr="00751DC0">
        <w:rPr>
          <w:rFonts w:asciiTheme="minorHAnsi" w:hAnsiTheme="minorHAnsi"/>
          <w:b/>
          <w:i/>
          <w:spacing w:val="-11"/>
          <w:w w:val="105"/>
          <w:sz w:val="22"/>
          <w:szCs w:val="22"/>
        </w:rPr>
        <w:t xml:space="preserve"> </w:t>
      </w:r>
      <w:r w:rsidRPr="00751DC0">
        <w:rPr>
          <w:rFonts w:asciiTheme="minorHAnsi" w:hAnsiTheme="minorHAnsi"/>
          <w:b/>
          <w:i/>
          <w:w w:val="105"/>
          <w:sz w:val="22"/>
          <w:szCs w:val="22"/>
        </w:rPr>
        <w:t>a</w:t>
      </w:r>
      <w:r w:rsidRPr="00751DC0">
        <w:rPr>
          <w:rFonts w:asciiTheme="minorHAnsi" w:hAnsiTheme="minorHAnsi"/>
          <w:b/>
          <w:i/>
          <w:spacing w:val="-8"/>
          <w:w w:val="105"/>
          <w:sz w:val="22"/>
          <w:szCs w:val="22"/>
        </w:rPr>
        <w:t xml:space="preserve"> </w:t>
      </w:r>
      <w:r w:rsidRPr="00751DC0">
        <w:rPr>
          <w:rFonts w:asciiTheme="minorHAnsi" w:hAnsiTheme="minorHAnsi"/>
          <w:b/>
          <w:i/>
          <w:w w:val="105"/>
          <w:sz w:val="22"/>
          <w:szCs w:val="22"/>
        </w:rPr>
        <w:t>%</w:t>
      </w:r>
      <w:r w:rsidRPr="00751DC0">
        <w:rPr>
          <w:rFonts w:asciiTheme="minorHAnsi" w:hAnsiTheme="minorHAnsi"/>
          <w:b/>
          <w:i/>
          <w:spacing w:val="-10"/>
          <w:w w:val="105"/>
          <w:sz w:val="22"/>
          <w:szCs w:val="22"/>
        </w:rPr>
        <w:t xml:space="preserve"> </w:t>
      </w:r>
      <w:r w:rsidRPr="00751DC0">
        <w:rPr>
          <w:rFonts w:asciiTheme="minorHAnsi" w:hAnsiTheme="minorHAnsi"/>
          <w:b/>
          <w:i/>
          <w:w w:val="105"/>
          <w:sz w:val="22"/>
          <w:szCs w:val="22"/>
        </w:rPr>
        <w:t>of</w:t>
      </w:r>
      <w:r w:rsidRPr="00751DC0">
        <w:rPr>
          <w:rFonts w:asciiTheme="minorHAnsi" w:hAnsiTheme="minorHAnsi"/>
          <w:b/>
          <w:i/>
          <w:spacing w:val="-10"/>
          <w:w w:val="105"/>
          <w:sz w:val="22"/>
          <w:szCs w:val="22"/>
        </w:rPr>
        <w:t xml:space="preserve"> </w:t>
      </w:r>
      <w:r w:rsidRPr="00751DC0">
        <w:rPr>
          <w:rFonts w:asciiTheme="minorHAnsi" w:hAnsiTheme="minorHAnsi"/>
          <w:b/>
          <w:i/>
          <w:w w:val="105"/>
          <w:sz w:val="22"/>
          <w:szCs w:val="22"/>
        </w:rPr>
        <w:t>opening</w:t>
      </w:r>
      <w:r w:rsidRPr="00751DC0">
        <w:rPr>
          <w:rFonts w:asciiTheme="minorHAnsi" w:hAnsiTheme="minorHAnsi"/>
          <w:b/>
          <w:i/>
          <w:spacing w:val="-50"/>
          <w:w w:val="105"/>
          <w:sz w:val="22"/>
          <w:szCs w:val="22"/>
        </w:rPr>
        <w:t xml:space="preserve"> </w:t>
      </w:r>
      <w:r w:rsidRPr="00751DC0">
        <w:rPr>
          <w:rFonts w:asciiTheme="minorHAnsi" w:hAnsiTheme="minorHAnsi"/>
          <w:b/>
          <w:i/>
          <w:spacing w:val="-1"/>
          <w:w w:val="105"/>
          <w:sz w:val="22"/>
          <w:szCs w:val="22"/>
        </w:rPr>
        <w:t>Gross</w:t>
      </w:r>
      <w:r w:rsidRPr="00751DC0">
        <w:rPr>
          <w:rFonts w:asciiTheme="minorHAnsi" w:hAnsiTheme="minorHAnsi"/>
          <w:b/>
          <w:i/>
          <w:spacing w:val="-12"/>
          <w:w w:val="105"/>
          <w:sz w:val="22"/>
          <w:szCs w:val="22"/>
        </w:rPr>
        <w:t xml:space="preserve"> </w:t>
      </w:r>
      <w:r w:rsidRPr="00751DC0">
        <w:rPr>
          <w:rFonts w:asciiTheme="minorHAnsi" w:hAnsiTheme="minorHAnsi"/>
          <w:b/>
          <w:i/>
          <w:w w:val="105"/>
          <w:sz w:val="22"/>
          <w:szCs w:val="22"/>
        </w:rPr>
        <w:t>Fixed</w:t>
      </w:r>
      <w:r w:rsidRPr="00751DC0">
        <w:rPr>
          <w:rFonts w:asciiTheme="minorHAnsi" w:hAnsiTheme="minorHAnsi"/>
          <w:b/>
          <w:i/>
          <w:spacing w:val="-9"/>
          <w:w w:val="105"/>
          <w:sz w:val="22"/>
          <w:szCs w:val="22"/>
        </w:rPr>
        <w:t xml:space="preserve"> </w:t>
      </w:r>
      <w:r w:rsidRPr="00751DC0">
        <w:rPr>
          <w:rFonts w:asciiTheme="minorHAnsi" w:hAnsiTheme="minorHAnsi"/>
          <w:b/>
          <w:i/>
          <w:w w:val="105"/>
          <w:sz w:val="22"/>
          <w:szCs w:val="22"/>
        </w:rPr>
        <w:t>Assets</w:t>
      </w:r>
      <w:r w:rsidRPr="00751DC0">
        <w:rPr>
          <w:rFonts w:asciiTheme="minorHAnsi" w:hAnsiTheme="minorHAnsi"/>
          <w:b/>
          <w:i/>
          <w:spacing w:val="-13"/>
          <w:w w:val="105"/>
          <w:sz w:val="22"/>
          <w:szCs w:val="22"/>
        </w:rPr>
        <w:t xml:space="preserve"> </w:t>
      </w:r>
      <w:r w:rsidRPr="00751DC0">
        <w:rPr>
          <w:rFonts w:asciiTheme="minorHAnsi" w:hAnsiTheme="minorHAnsi"/>
          <w:b/>
          <w:i/>
          <w:w w:val="105"/>
          <w:sz w:val="22"/>
          <w:szCs w:val="22"/>
        </w:rPr>
        <w:t>(GFA)</w:t>
      </w:r>
      <w:r w:rsidRPr="00751DC0">
        <w:rPr>
          <w:rFonts w:asciiTheme="minorHAnsi" w:hAnsiTheme="minorHAnsi"/>
          <w:b/>
          <w:i/>
          <w:spacing w:val="-6"/>
          <w:w w:val="105"/>
          <w:sz w:val="22"/>
          <w:szCs w:val="22"/>
        </w:rPr>
        <w:t xml:space="preserve"> </w:t>
      </w:r>
      <w:r w:rsidRPr="00751DC0">
        <w:rPr>
          <w:rFonts w:asciiTheme="minorHAnsi" w:hAnsiTheme="minorHAnsi"/>
          <w:b/>
          <w:i/>
          <w:w w:val="105"/>
          <w:sz w:val="22"/>
          <w:szCs w:val="22"/>
        </w:rPr>
        <w:t>only</w:t>
      </w:r>
      <w:r w:rsidRPr="00751DC0">
        <w:rPr>
          <w:rFonts w:asciiTheme="minorHAnsi" w:hAnsiTheme="minorHAnsi"/>
          <w:b/>
          <w:i/>
          <w:spacing w:val="-7"/>
          <w:w w:val="105"/>
          <w:sz w:val="22"/>
          <w:szCs w:val="22"/>
        </w:rPr>
        <w:t xml:space="preserve"> </w:t>
      </w:r>
      <w:r w:rsidRPr="00751DC0">
        <w:rPr>
          <w:rFonts w:asciiTheme="minorHAnsi" w:hAnsiTheme="minorHAnsi"/>
          <w:b/>
          <w:i/>
          <w:w w:val="105"/>
          <w:sz w:val="22"/>
          <w:szCs w:val="22"/>
        </w:rPr>
        <w:t>on</w:t>
      </w:r>
      <w:r w:rsidRPr="00751DC0">
        <w:rPr>
          <w:rFonts w:asciiTheme="minorHAnsi" w:hAnsiTheme="minorHAnsi"/>
          <w:b/>
          <w:i/>
          <w:spacing w:val="-11"/>
          <w:w w:val="105"/>
          <w:sz w:val="22"/>
          <w:szCs w:val="22"/>
        </w:rPr>
        <w:t xml:space="preserve"> </w:t>
      </w:r>
      <w:r w:rsidRPr="00751DC0">
        <w:rPr>
          <w:rFonts w:asciiTheme="minorHAnsi" w:hAnsiTheme="minorHAnsi"/>
          <w:b/>
          <w:i/>
          <w:w w:val="105"/>
          <w:sz w:val="22"/>
          <w:szCs w:val="22"/>
        </w:rPr>
        <w:t>assets</w:t>
      </w:r>
      <w:r w:rsidRPr="00751DC0">
        <w:rPr>
          <w:rFonts w:asciiTheme="minorHAnsi" w:hAnsiTheme="minorHAnsi"/>
          <w:b/>
          <w:i/>
          <w:spacing w:val="-12"/>
          <w:w w:val="105"/>
          <w:sz w:val="22"/>
          <w:szCs w:val="22"/>
        </w:rPr>
        <w:t xml:space="preserve"> </w:t>
      </w:r>
      <w:r w:rsidRPr="00751DC0">
        <w:rPr>
          <w:rFonts w:asciiTheme="minorHAnsi" w:hAnsiTheme="minorHAnsi"/>
          <w:b/>
          <w:i/>
          <w:w w:val="105"/>
          <w:sz w:val="22"/>
          <w:szCs w:val="22"/>
        </w:rPr>
        <w:t>owned</w:t>
      </w:r>
      <w:r w:rsidRPr="00751DC0">
        <w:rPr>
          <w:rFonts w:asciiTheme="minorHAnsi" w:hAnsiTheme="minorHAnsi"/>
          <w:b/>
          <w:i/>
          <w:spacing w:val="-10"/>
          <w:w w:val="105"/>
          <w:sz w:val="22"/>
          <w:szCs w:val="22"/>
        </w:rPr>
        <w:t xml:space="preserve"> </w:t>
      </w:r>
      <w:r w:rsidRPr="00751DC0">
        <w:rPr>
          <w:rFonts w:asciiTheme="minorHAnsi" w:hAnsiTheme="minorHAnsi"/>
          <w:b/>
          <w:i/>
          <w:w w:val="105"/>
          <w:sz w:val="22"/>
          <w:szCs w:val="22"/>
        </w:rPr>
        <w:t>by</w:t>
      </w:r>
      <w:r w:rsidRPr="00751DC0">
        <w:rPr>
          <w:rFonts w:asciiTheme="minorHAnsi" w:hAnsiTheme="minorHAnsi"/>
          <w:b/>
          <w:i/>
          <w:spacing w:val="-12"/>
          <w:w w:val="105"/>
          <w:sz w:val="22"/>
          <w:szCs w:val="22"/>
        </w:rPr>
        <w:t xml:space="preserve"> </w:t>
      </w:r>
      <w:r w:rsidRPr="00751DC0">
        <w:rPr>
          <w:rFonts w:asciiTheme="minorHAnsi" w:hAnsiTheme="minorHAnsi"/>
          <w:b/>
          <w:i/>
          <w:w w:val="105"/>
          <w:sz w:val="22"/>
          <w:szCs w:val="22"/>
        </w:rPr>
        <w:t>the</w:t>
      </w:r>
      <w:r w:rsidRPr="00751DC0">
        <w:rPr>
          <w:rFonts w:asciiTheme="minorHAnsi" w:hAnsiTheme="minorHAnsi"/>
          <w:b/>
          <w:i/>
          <w:spacing w:val="-12"/>
          <w:w w:val="105"/>
          <w:sz w:val="22"/>
          <w:szCs w:val="22"/>
        </w:rPr>
        <w:t xml:space="preserve"> </w:t>
      </w:r>
      <w:r w:rsidRPr="00751DC0">
        <w:rPr>
          <w:rFonts w:asciiTheme="minorHAnsi" w:hAnsiTheme="minorHAnsi"/>
          <w:b/>
          <w:i/>
          <w:w w:val="105"/>
          <w:sz w:val="22"/>
          <w:szCs w:val="22"/>
        </w:rPr>
        <w:t>distribution</w:t>
      </w:r>
      <w:r w:rsidRPr="00751DC0">
        <w:rPr>
          <w:rFonts w:asciiTheme="minorHAnsi" w:hAnsiTheme="minorHAnsi"/>
          <w:b/>
          <w:i/>
          <w:spacing w:val="-10"/>
          <w:w w:val="105"/>
          <w:sz w:val="22"/>
          <w:szCs w:val="22"/>
        </w:rPr>
        <w:t xml:space="preserve"> </w:t>
      </w:r>
      <w:r w:rsidRPr="00751DC0">
        <w:rPr>
          <w:rFonts w:asciiTheme="minorHAnsi" w:hAnsiTheme="minorHAnsi"/>
          <w:b/>
          <w:i/>
          <w:w w:val="105"/>
          <w:sz w:val="22"/>
          <w:szCs w:val="22"/>
        </w:rPr>
        <w:t>company,</w:t>
      </w:r>
      <w:r w:rsidRPr="00751DC0">
        <w:rPr>
          <w:rFonts w:asciiTheme="minorHAnsi" w:hAnsiTheme="minorHAnsi"/>
          <w:b/>
          <w:i/>
          <w:spacing w:val="-50"/>
          <w:w w:val="105"/>
          <w:sz w:val="22"/>
          <w:szCs w:val="22"/>
        </w:rPr>
        <w:t xml:space="preserve"> </w:t>
      </w:r>
      <w:r w:rsidRPr="00751DC0">
        <w:rPr>
          <w:rFonts w:asciiTheme="minorHAnsi" w:hAnsiTheme="minorHAnsi"/>
          <w:b/>
          <w:i/>
          <w:w w:val="105"/>
          <w:sz w:val="22"/>
          <w:szCs w:val="22"/>
        </w:rPr>
        <w:t>for</w:t>
      </w:r>
      <w:r w:rsidRPr="00751DC0">
        <w:rPr>
          <w:rFonts w:asciiTheme="minorHAnsi" w:hAnsiTheme="minorHAnsi"/>
          <w:b/>
          <w:i/>
          <w:spacing w:val="-8"/>
          <w:w w:val="105"/>
          <w:sz w:val="22"/>
          <w:szCs w:val="22"/>
        </w:rPr>
        <w:t xml:space="preserve"> </w:t>
      </w:r>
      <w:r w:rsidRPr="00751DC0">
        <w:rPr>
          <w:rFonts w:asciiTheme="minorHAnsi" w:hAnsiTheme="minorHAnsi"/>
          <w:b/>
          <w:i/>
          <w:w w:val="105"/>
          <w:sz w:val="22"/>
          <w:szCs w:val="22"/>
        </w:rPr>
        <w:t>each</w:t>
      </w:r>
      <w:r w:rsidRPr="00751DC0">
        <w:rPr>
          <w:rFonts w:asciiTheme="minorHAnsi" w:hAnsiTheme="minorHAnsi"/>
          <w:b/>
          <w:i/>
          <w:spacing w:val="-4"/>
          <w:w w:val="105"/>
          <w:sz w:val="22"/>
          <w:szCs w:val="22"/>
        </w:rPr>
        <w:t xml:space="preserve"> </w:t>
      </w:r>
      <w:r w:rsidRPr="00751DC0">
        <w:rPr>
          <w:rFonts w:asciiTheme="minorHAnsi" w:hAnsiTheme="minorHAnsi"/>
          <w:b/>
          <w:i/>
          <w:w w:val="105"/>
          <w:sz w:val="22"/>
          <w:szCs w:val="22"/>
        </w:rPr>
        <w:t>year</w:t>
      </w:r>
      <w:r w:rsidRPr="00751DC0">
        <w:rPr>
          <w:rFonts w:asciiTheme="minorHAnsi" w:hAnsiTheme="minorHAnsi"/>
          <w:b/>
          <w:i/>
          <w:spacing w:val="-6"/>
          <w:w w:val="105"/>
          <w:sz w:val="22"/>
          <w:szCs w:val="22"/>
        </w:rPr>
        <w:t xml:space="preserve"> </w:t>
      </w:r>
      <w:r w:rsidRPr="00751DC0">
        <w:rPr>
          <w:rFonts w:asciiTheme="minorHAnsi" w:hAnsiTheme="minorHAnsi"/>
          <w:b/>
          <w:i/>
          <w:w w:val="105"/>
          <w:sz w:val="22"/>
          <w:szCs w:val="22"/>
        </w:rPr>
        <w:t>of</w:t>
      </w:r>
      <w:r w:rsidRPr="00751DC0">
        <w:rPr>
          <w:rFonts w:asciiTheme="minorHAnsi" w:hAnsiTheme="minorHAnsi"/>
          <w:b/>
          <w:i/>
          <w:spacing w:val="-6"/>
          <w:w w:val="105"/>
          <w:sz w:val="22"/>
          <w:szCs w:val="22"/>
        </w:rPr>
        <w:t xml:space="preserve"> </w:t>
      </w:r>
      <w:r w:rsidRPr="00751DC0">
        <w:rPr>
          <w:rFonts w:asciiTheme="minorHAnsi" w:hAnsiTheme="minorHAnsi"/>
          <w:b/>
          <w:i/>
          <w:w w:val="105"/>
          <w:sz w:val="22"/>
          <w:szCs w:val="22"/>
        </w:rPr>
        <w:t>the</w:t>
      </w:r>
      <w:r w:rsidRPr="00751DC0">
        <w:rPr>
          <w:rFonts w:asciiTheme="minorHAnsi" w:hAnsiTheme="minorHAnsi"/>
          <w:b/>
          <w:i/>
          <w:spacing w:val="-6"/>
          <w:w w:val="105"/>
          <w:sz w:val="22"/>
          <w:szCs w:val="22"/>
        </w:rPr>
        <w:t xml:space="preserve"> </w:t>
      </w:r>
      <w:r w:rsidRPr="00751DC0">
        <w:rPr>
          <w:rFonts w:asciiTheme="minorHAnsi" w:hAnsiTheme="minorHAnsi"/>
          <w:b/>
          <w:i/>
          <w:w w:val="105"/>
          <w:sz w:val="22"/>
          <w:szCs w:val="22"/>
        </w:rPr>
        <w:t>Control</w:t>
      </w:r>
      <w:r w:rsidRPr="00751DC0">
        <w:rPr>
          <w:rFonts w:asciiTheme="minorHAnsi" w:hAnsiTheme="minorHAnsi"/>
          <w:b/>
          <w:i/>
          <w:spacing w:val="-4"/>
          <w:w w:val="105"/>
          <w:sz w:val="22"/>
          <w:szCs w:val="22"/>
        </w:rPr>
        <w:t xml:space="preserve"> </w:t>
      </w:r>
      <w:r w:rsidRPr="00751DC0">
        <w:rPr>
          <w:rFonts w:asciiTheme="minorHAnsi" w:hAnsiTheme="minorHAnsi"/>
          <w:b/>
          <w:i/>
          <w:w w:val="105"/>
          <w:sz w:val="22"/>
          <w:szCs w:val="22"/>
        </w:rPr>
        <w:t>Period</w:t>
      </w:r>
      <w:r w:rsidRPr="00751DC0">
        <w:rPr>
          <w:rFonts w:asciiTheme="minorHAnsi" w:hAnsiTheme="minorHAnsi"/>
          <w:b/>
          <w:i/>
          <w:spacing w:val="-2"/>
          <w:w w:val="105"/>
          <w:sz w:val="22"/>
          <w:szCs w:val="22"/>
        </w:rPr>
        <w:t xml:space="preserve"> </w:t>
      </w:r>
      <w:r w:rsidRPr="00751DC0">
        <w:rPr>
          <w:rFonts w:asciiTheme="minorHAnsi" w:hAnsiTheme="minorHAnsi"/>
          <w:b/>
          <w:i/>
          <w:w w:val="105"/>
          <w:sz w:val="22"/>
          <w:szCs w:val="22"/>
        </w:rPr>
        <w:t>as</w:t>
      </w:r>
      <w:r w:rsidRPr="00751DC0">
        <w:rPr>
          <w:rFonts w:asciiTheme="minorHAnsi" w:hAnsiTheme="minorHAnsi"/>
          <w:b/>
          <w:i/>
          <w:spacing w:val="-4"/>
          <w:w w:val="105"/>
          <w:sz w:val="22"/>
          <w:szCs w:val="22"/>
        </w:rPr>
        <w:t xml:space="preserve"> </w:t>
      </w:r>
      <w:r w:rsidRPr="00751DC0">
        <w:rPr>
          <w:rFonts w:asciiTheme="minorHAnsi" w:hAnsiTheme="minorHAnsi"/>
          <w:b/>
          <w:i/>
          <w:w w:val="105"/>
          <w:sz w:val="22"/>
          <w:szCs w:val="22"/>
        </w:rPr>
        <w:t>provided</w:t>
      </w:r>
      <w:r w:rsidRPr="00751DC0">
        <w:rPr>
          <w:rFonts w:asciiTheme="minorHAnsi" w:hAnsiTheme="minorHAnsi"/>
          <w:b/>
          <w:i/>
          <w:spacing w:val="-4"/>
          <w:w w:val="105"/>
          <w:sz w:val="22"/>
          <w:szCs w:val="22"/>
        </w:rPr>
        <w:t xml:space="preserve"> </w:t>
      </w:r>
      <w:r w:rsidRPr="00751DC0">
        <w:rPr>
          <w:rFonts w:asciiTheme="minorHAnsi" w:hAnsiTheme="minorHAnsi"/>
          <w:b/>
          <w:i/>
          <w:w w:val="105"/>
          <w:sz w:val="22"/>
          <w:szCs w:val="22"/>
        </w:rPr>
        <w:t>in</w:t>
      </w:r>
      <w:r w:rsidRPr="00751DC0">
        <w:rPr>
          <w:rFonts w:asciiTheme="minorHAnsi" w:hAnsiTheme="minorHAnsi"/>
          <w:b/>
          <w:i/>
          <w:spacing w:val="-3"/>
          <w:w w:val="105"/>
          <w:sz w:val="22"/>
          <w:szCs w:val="22"/>
        </w:rPr>
        <w:t xml:space="preserve"> </w:t>
      </w:r>
      <w:r w:rsidRPr="00751DC0">
        <w:rPr>
          <w:rFonts w:asciiTheme="minorHAnsi" w:hAnsiTheme="minorHAnsi"/>
          <w:b/>
          <w:i/>
          <w:w w:val="105"/>
          <w:sz w:val="22"/>
          <w:szCs w:val="22"/>
        </w:rPr>
        <w:t>the</w:t>
      </w:r>
      <w:r w:rsidRPr="00751DC0">
        <w:rPr>
          <w:rFonts w:asciiTheme="minorHAnsi" w:hAnsiTheme="minorHAnsi"/>
          <w:b/>
          <w:i/>
          <w:spacing w:val="-4"/>
          <w:w w:val="105"/>
          <w:sz w:val="22"/>
          <w:szCs w:val="22"/>
        </w:rPr>
        <w:t xml:space="preserve"> </w:t>
      </w:r>
      <w:r w:rsidRPr="00751DC0">
        <w:rPr>
          <w:rFonts w:asciiTheme="minorHAnsi" w:hAnsiTheme="minorHAnsi"/>
          <w:b/>
          <w:i/>
          <w:w w:val="105"/>
          <w:sz w:val="22"/>
          <w:szCs w:val="22"/>
        </w:rPr>
        <w:t>table</w:t>
      </w:r>
      <w:r w:rsidRPr="00751DC0">
        <w:rPr>
          <w:rFonts w:asciiTheme="minorHAnsi" w:hAnsiTheme="minorHAnsi"/>
          <w:b/>
          <w:i/>
          <w:spacing w:val="-7"/>
          <w:w w:val="105"/>
          <w:sz w:val="22"/>
          <w:szCs w:val="22"/>
        </w:rPr>
        <w:t xml:space="preserve"> </w:t>
      </w:r>
      <w:r w:rsidRPr="00751DC0">
        <w:rPr>
          <w:rFonts w:asciiTheme="minorHAnsi" w:hAnsiTheme="minorHAnsi"/>
          <w:b/>
          <w:i/>
          <w:w w:val="105"/>
          <w:sz w:val="22"/>
          <w:szCs w:val="22"/>
        </w:rPr>
        <w:t>below:</w:t>
      </w:r>
    </w:p>
    <w:tbl>
      <w:tblPr>
        <w:tblpPr w:leftFromText="180" w:rightFromText="180" w:vertAnchor="text" w:horzAnchor="margin" w:tblpXSpec="right" w:tblpY="225"/>
        <w:tblW w:w="84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1E0" w:firstRow="1" w:lastRow="1" w:firstColumn="1" w:lastColumn="1" w:noHBand="0" w:noVBand="0"/>
      </w:tblPr>
      <w:tblGrid>
        <w:gridCol w:w="2735"/>
        <w:gridCol w:w="1357"/>
        <w:gridCol w:w="1650"/>
        <w:gridCol w:w="1453"/>
        <w:gridCol w:w="1236"/>
      </w:tblGrid>
      <w:tr w:rsidR="00423534" w:rsidRPr="00751DC0" w14:paraId="56493FC1" w14:textId="77777777" w:rsidTr="00423534">
        <w:trPr>
          <w:trHeight w:val="302"/>
        </w:trPr>
        <w:tc>
          <w:tcPr>
            <w:tcW w:w="2736" w:type="dxa"/>
          </w:tcPr>
          <w:p w14:paraId="768C1B37" w14:textId="77777777" w:rsidR="00423534" w:rsidRPr="00751DC0" w:rsidRDefault="00423534" w:rsidP="00423534">
            <w:pPr>
              <w:widowControl w:val="0"/>
              <w:autoSpaceDE w:val="0"/>
              <w:autoSpaceDN w:val="0"/>
              <w:spacing w:before="6"/>
              <w:ind w:left="100"/>
              <w:jc w:val="center"/>
              <w:rPr>
                <w:rFonts w:asciiTheme="minorHAnsi" w:hAnsiTheme="minorHAnsi" w:cs="Calibri"/>
                <w:b/>
                <w:i/>
                <w:sz w:val="22"/>
                <w:szCs w:val="22"/>
              </w:rPr>
            </w:pPr>
            <w:r w:rsidRPr="00751DC0">
              <w:rPr>
                <w:rFonts w:asciiTheme="minorHAnsi" w:hAnsiTheme="minorHAnsi" w:cs="Calibri"/>
                <w:b/>
                <w:i/>
                <w:w w:val="105"/>
                <w:sz w:val="22"/>
                <w:szCs w:val="22"/>
              </w:rPr>
              <w:t>DISCOMs</w:t>
            </w:r>
          </w:p>
        </w:tc>
        <w:tc>
          <w:tcPr>
            <w:tcW w:w="1357" w:type="dxa"/>
          </w:tcPr>
          <w:p w14:paraId="77FD156C" w14:textId="77777777" w:rsidR="00423534" w:rsidRPr="00751DC0" w:rsidRDefault="00423534" w:rsidP="00423534">
            <w:pPr>
              <w:widowControl w:val="0"/>
              <w:autoSpaceDE w:val="0"/>
              <w:autoSpaceDN w:val="0"/>
              <w:spacing w:before="6"/>
              <w:ind w:right="334"/>
              <w:jc w:val="center"/>
              <w:rPr>
                <w:rFonts w:asciiTheme="minorHAnsi" w:hAnsiTheme="minorHAnsi" w:cs="Calibri"/>
                <w:b/>
                <w:i/>
                <w:sz w:val="22"/>
                <w:szCs w:val="22"/>
              </w:rPr>
            </w:pPr>
            <w:r w:rsidRPr="00751DC0">
              <w:rPr>
                <w:rFonts w:asciiTheme="minorHAnsi" w:hAnsiTheme="minorHAnsi" w:cs="Calibri"/>
                <w:b/>
                <w:i/>
                <w:w w:val="105"/>
                <w:sz w:val="22"/>
                <w:szCs w:val="22"/>
              </w:rPr>
              <w:t>TPCODL</w:t>
            </w:r>
          </w:p>
        </w:tc>
        <w:tc>
          <w:tcPr>
            <w:tcW w:w="0" w:type="auto"/>
          </w:tcPr>
          <w:p w14:paraId="432BC798" w14:textId="77777777" w:rsidR="00423534" w:rsidRPr="00751DC0" w:rsidRDefault="00423534" w:rsidP="00423534">
            <w:pPr>
              <w:widowControl w:val="0"/>
              <w:autoSpaceDE w:val="0"/>
              <w:autoSpaceDN w:val="0"/>
              <w:spacing w:before="6"/>
              <w:ind w:left="243" w:right="240"/>
              <w:jc w:val="center"/>
              <w:rPr>
                <w:rFonts w:asciiTheme="minorHAnsi" w:hAnsiTheme="minorHAnsi" w:cs="Calibri"/>
                <w:b/>
                <w:i/>
                <w:sz w:val="22"/>
                <w:szCs w:val="22"/>
              </w:rPr>
            </w:pPr>
            <w:r w:rsidRPr="00751DC0">
              <w:rPr>
                <w:rFonts w:asciiTheme="minorHAnsi" w:hAnsiTheme="minorHAnsi" w:cs="Calibri"/>
                <w:b/>
                <w:i/>
                <w:w w:val="105"/>
                <w:sz w:val="22"/>
                <w:szCs w:val="22"/>
              </w:rPr>
              <w:t>TPWODL</w:t>
            </w:r>
          </w:p>
        </w:tc>
        <w:tc>
          <w:tcPr>
            <w:tcW w:w="0" w:type="auto"/>
            <w:shd w:val="clear" w:color="auto" w:fill="FFFFFF" w:themeFill="background1"/>
          </w:tcPr>
          <w:p w14:paraId="0194F9B3" w14:textId="77777777" w:rsidR="00423534" w:rsidRPr="00751DC0" w:rsidRDefault="00423534" w:rsidP="00423534">
            <w:pPr>
              <w:widowControl w:val="0"/>
              <w:autoSpaceDE w:val="0"/>
              <w:autoSpaceDN w:val="0"/>
              <w:spacing w:before="6"/>
              <w:ind w:left="195" w:right="186"/>
              <w:jc w:val="center"/>
              <w:rPr>
                <w:rFonts w:asciiTheme="minorHAnsi" w:hAnsiTheme="minorHAnsi" w:cs="Calibri"/>
                <w:b/>
                <w:i/>
                <w:sz w:val="22"/>
                <w:szCs w:val="22"/>
              </w:rPr>
            </w:pPr>
            <w:r w:rsidRPr="00751DC0">
              <w:rPr>
                <w:rFonts w:asciiTheme="minorHAnsi" w:hAnsiTheme="minorHAnsi" w:cs="Calibri"/>
                <w:b/>
                <w:i/>
                <w:w w:val="105"/>
                <w:sz w:val="22"/>
                <w:szCs w:val="22"/>
              </w:rPr>
              <w:t>TPNODL</w:t>
            </w:r>
          </w:p>
        </w:tc>
        <w:tc>
          <w:tcPr>
            <w:tcW w:w="0" w:type="auto"/>
          </w:tcPr>
          <w:p w14:paraId="4B3BF595" w14:textId="77777777" w:rsidR="00423534" w:rsidRPr="00751DC0" w:rsidRDefault="00423534" w:rsidP="00423534">
            <w:pPr>
              <w:widowControl w:val="0"/>
              <w:autoSpaceDE w:val="0"/>
              <w:autoSpaceDN w:val="0"/>
              <w:spacing w:before="3"/>
              <w:ind w:left="128" w:right="121"/>
              <w:jc w:val="center"/>
              <w:rPr>
                <w:rFonts w:asciiTheme="minorHAnsi" w:hAnsiTheme="minorHAnsi" w:cs="Calibri"/>
                <w:b/>
                <w:i/>
                <w:sz w:val="22"/>
                <w:szCs w:val="22"/>
              </w:rPr>
            </w:pPr>
            <w:r w:rsidRPr="00751DC0">
              <w:rPr>
                <w:rFonts w:asciiTheme="minorHAnsi" w:hAnsiTheme="minorHAnsi" w:cs="Calibri"/>
                <w:b/>
                <w:i/>
                <w:w w:val="105"/>
                <w:sz w:val="22"/>
                <w:szCs w:val="22"/>
              </w:rPr>
              <w:t>TPSODL</w:t>
            </w:r>
          </w:p>
        </w:tc>
      </w:tr>
      <w:tr w:rsidR="00423534" w:rsidRPr="00751DC0" w14:paraId="7B86A7A3" w14:textId="77777777" w:rsidTr="00423534">
        <w:trPr>
          <w:trHeight w:val="303"/>
        </w:trPr>
        <w:tc>
          <w:tcPr>
            <w:tcW w:w="2736" w:type="dxa"/>
          </w:tcPr>
          <w:p w14:paraId="531FA043" w14:textId="77777777" w:rsidR="00423534" w:rsidRPr="00751DC0" w:rsidRDefault="00423534" w:rsidP="00423534">
            <w:pPr>
              <w:widowControl w:val="0"/>
              <w:autoSpaceDE w:val="0"/>
              <w:autoSpaceDN w:val="0"/>
              <w:spacing w:before="6"/>
              <w:ind w:right="685"/>
              <w:jc w:val="center"/>
              <w:rPr>
                <w:rFonts w:asciiTheme="minorHAnsi" w:hAnsiTheme="minorHAnsi" w:cs="Calibri"/>
                <w:b/>
                <w:i/>
                <w:sz w:val="22"/>
                <w:szCs w:val="22"/>
              </w:rPr>
            </w:pPr>
            <w:r w:rsidRPr="00751DC0">
              <w:rPr>
                <w:rFonts w:asciiTheme="minorHAnsi" w:hAnsiTheme="minorHAnsi" w:cs="Calibri"/>
                <w:b/>
                <w:i/>
                <w:w w:val="105"/>
                <w:sz w:val="22"/>
                <w:szCs w:val="22"/>
              </w:rPr>
              <w:t>FY</w:t>
            </w:r>
            <w:r w:rsidRPr="00751DC0">
              <w:rPr>
                <w:rFonts w:asciiTheme="minorHAnsi" w:hAnsiTheme="minorHAnsi" w:cs="Calibri"/>
                <w:b/>
                <w:i/>
                <w:spacing w:val="-4"/>
                <w:w w:val="105"/>
                <w:sz w:val="22"/>
                <w:szCs w:val="22"/>
              </w:rPr>
              <w:t xml:space="preserve"> </w:t>
            </w:r>
            <w:r w:rsidRPr="00751DC0">
              <w:rPr>
                <w:rFonts w:asciiTheme="minorHAnsi" w:hAnsiTheme="minorHAnsi" w:cs="Calibri"/>
                <w:b/>
                <w:i/>
                <w:w w:val="105"/>
                <w:sz w:val="22"/>
                <w:szCs w:val="22"/>
              </w:rPr>
              <w:t>23-24</w:t>
            </w:r>
          </w:p>
        </w:tc>
        <w:tc>
          <w:tcPr>
            <w:tcW w:w="1357" w:type="dxa"/>
          </w:tcPr>
          <w:p w14:paraId="7F53F950" w14:textId="77777777" w:rsidR="00423534" w:rsidRPr="00751DC0" w:rsidRDefault="00423534" w:rsidP="00423534">
            <w:pPr>
              <w:widowControl w:val="0"/>
              <w:autoSpaceDE w:val="0"/>
              <w:autoSpaceDN w:val="0"/>
              <w:spacing w:before="1"/>
              <w:ind w:right="340"/>
              <w:jc w:val="right"/>
              <w:rPr>
                <w:rFonts w:asciiTheme="minorHAnsi" w:hAnsiTheme="minorHAnsi" w:cs="Calibri"/>
                <w:i/>
                <w:sz w:val="22"/>
                <w:szCs w:val="22"/>
              </w:rPr>
            </w:pPr>
            <w:r w:rsidRPr="00751DC0">
              <w:rPr>
                <w:rFonts w:asciiTheme="minorHAnsi" w:hAnsiTheme="minorHAnsi" w:cs="Calibri"/>
                <w:i/>
                <w:w w:val="105"/>
                <w:sz w:val="22"/>
                <w:szCs w:val="22"/>
              </w:rPr>
              <w:t>4.20%</w:t>
            </w:r>
          </w:p>
        </w:tc>
        <w:tc>
          <w:tcPr>
            <w:tcW w:w="0" w:type="auto"/>
          </w:tcPr>
          <w:p w14:paraId="53905D22" w14:textId="77777777" w:rsidR="00423534" w:rsidRPr="00751DC0" w:rsidRDefault="00423534" w:rsidP="00423534">
            <w:pPr>
              <w:widowControl w:val="0"/>
              <w:autoSpaceDE w:val="0"/>
              <w:autoSpaceDN w:val="0"/>
              <w:spacing w:before="1"/>
              <w:ind w:left="243" w:right="239"/>
              <w:jc w:val="center"/>
              <w:rPr>
                <w:rFonts w:asciiTheme="minorHAnsi" w:hAnsiTheme="minorHAnsi" w:cs="Calibri"/>
                <w:i/>
                <w:sz w:val="22"/>
                <w:szCs w:val="22"/>
              </w:rPr>
            </w:pPr>
            <w:r w:rsidRPr="00751DC0">
              <w:rPr>
                <w:rFonts w:asciiTheme="minorHAnsi" w:hAnsiTheme="minorHAnsi" w:cs="Calibri"/>
                <w:i/>
                <w:w w:val="105"/>
                <w:sz w:val="22"/>
                <w:szCs w:val="22"/>
              </w:rPr>
              <w:t>4.50%</w:t>
            </w:r>
          </w:p>
        </w:tc>
        <w:tc>
          <w:tcPr>
            <w:tcW w:w="0" w:type="auto"/>
            <w:shd w:val="clear" w:color="auto" w:fill="FFFFFF" w:themeFill="background1"/>
          </w:tcPr>
          <w:p w14:paraId="6451D0EB" w14:textId="77777777" w:rsidR="00423534" w:rsidRPr="00751DC0" w:rsidRDefault="00423534" w:rsidP="00423534">
            <w:pPr>
              <w:widowControl w:val="0"/>
              <w:autoSpaceDE w:val="0"/>
              <w:autoSpaceDN w:val="0"/>
              <w:spacing w:before="1"/>
              <w:ind w:left="195" w:right="185"/>
              <w:jc w:val="center"/>
              <w:rPr>
                <w:rFonts w:asciiTheme="minorHAnsi" w:hAnsiTheme="minorHAnsi" w:cs="Calibri"/>
                <w:i/>
                <w:sz w:val="22"/>
                <w:szCs w:val="22"/>
              </w:rPr>
            </w:pPr>
            <w:r w:rsidRPr="00751DC0">
              <w:rPr>
                <w:rFonts w:asciiTheme="minorHAnsi" w:hAnsiTheme="minorHAnsi" w:cs="Calibri"/>
                <w:i/>
                <w:w w:val="105"/>
                <w:sz w:val="22"/>
                <w:szCs w:val="22"/>
              </w:rPr>
              <w:t>4.50%</w:t>
            </w:r>
          </w:p>
        </w:tc>
        <w:tc>
          <w:tcPr>
            <w:tcW w:w="0" w:type="auto"/>
          </w:tcPr>
          <w:p w14:paraId="31C8B2F8" w14:textId="77777777" w:rsidR="00423534" w:rsidRPr="00751DC0" w:rsidRDefault="00423534" w:rsidP="00423534">
            <w:pPr>
              <w:widowControl w:val="0"/>
              <w:autoSpaceDE w:val="0"/>
              <w:autoSpaceDN w:val="0"/>
              <w:spacing w:before="1"/>
              <w:ind w:left="126" w:right="121"/>
              <w:jc w:val="center"/>
              <w:rPr>
                <w:rFonts w:asciiTheme="minorHAnsi" w:hAnsiTheme="minorHAnsi" w:cs="Calibri"/>
                <w:i/>
                <w:sz w:val="22"/>
                <w:szCs w:val="22"/>
              </w:rPr>
            </w:pPr>
            <w:r w:rsidRPr="00751DC0">
              <w:rPr>
                <w:rFonts w:asciiTheme="minorHAnsi" w:hAnsiTheme="minorHAnsi" w:cs="Calibri"/>
                <w:i/>
                <w:w w:val="105"/>
                <w:sz w:val="22"/>
                <w:szCs w:val="22"/>
              </w:rPr>
              <w:t>5.40%</w:t>
            </w:r>
          </w:p>
        </w:tc>
      </w:tr>
      <w:tr w:rsidR="00423534" w:rsidRPr="00751DC0" w14:paraId="2BAB7ECC" w14:textId="77777777" w:rsidTr="00423534">
        <w:trPr>
          <w:trHeight w:val="303"/>
        </w:trPr>
        <w:tc>
          <w:tcPr>
            <w:tcW w:w="2736" w:type="dxa"/>
          </w:tcPr>
          <w:p w14:paraId="77DA065B" w14:textId="77777777" w:rsidR="00423534" w:rsidRPr="00751DC0" w:rsidRDefault="00423534" w:rsidP="00423534">
            <w:pPr>
              <w:widowControl w:val="0"/>
              <w:autoSpaceDE w:val="0"/>
              <w:autoSpaceDN w:val="0"/>
              <w:spacing w:before="6"/>
              <w:ind w:right="685"/>
              <w:jc w:val="center"/>
              <w:rPr>
                <w:rFonts w:asciiTheme="minorHAnsi" w:hAnsiTheme="minorHAnsi" w:cs="Calibri"/>
                <w:b/>
                <w:i/>
                <w:sz w:val="22"/>
                <w:szCs w:val="22"/>
              </w:rPr>
            </w:pPr>
            <w:r w:rsidRPr="00751DC0">
              <w:rPr>
                <w:rFonts w:asciiTheme="minorHAnsi" w:hAnsiTheme="minorHAnsi" w:cs="Calibri"/>
                <w:b/>
                <w:i/>
                <w:w w:val="105"/>
                <w:sz w:val="22"/>
                <w:szCs w:val="22"/>
              </w:rPr>
              <w:t>FY</w:t>
            </w:r>
            <w:r w:rsidRPr="00751DC0">
              <w:rPr>
                <w:rFonts w:asciiTheme="minorHAnsi" w:hAnsiTheme="minorHAnsi" w:cs="Calibri"/>
                <w:b/>
                <w:i/>
                <w:spacing w:val="-4"/>
                <w:w w:val="105"/>
                <w:sz w:val="22"/>
                <w:szCs w:val="22"/>
              </w:rPr>
              <w:t xml:space="preserve"> </w:t>
            </w:r>
            <w:r w:rsidRPr="00751DC0">
              <w:rPr>
                <w:rFonts w:asciiTheme="minorHAnsi" w:hAnsiTheme="minorHAnsi" w:cs="Calibri"/>
                <w:b/>
                <w:i/>
                <w:w w:val="105"/>
                <w:sz w:val="22"/>
                <w:szCs w:val="22"/>
              </w:rPr>
              <w:t>24-25</w:t>
            </w:r>
          </w:p>
        </w:tc>
        <w:tc>
          <w:tcPr>
            <w:tcW w:w="1357" w:type="dxa"/>
          </w:tcPr>
          <w:p w14:paraId="0232D1DD" w14:textId="77777777" w:rsidR="00423534" w:rsidRPr="00751DC0" w:rsidRDefault="00423534" w:rsidP="00423534">
            <w:pPr>
              <w:widowControl w:val="0"/>
              <w:autoSpaceDE w:val="0"/>
              <w:autoSpaceDN w:val="0"/>
              <w:spacing w:before="6"/>
              <w:ind w:right="342"/>
              <w:jc w:val="right"/>
              <w:rPr>
                <w:rFonts w:asciiTheme="minorHAnsi" w:hAnsiTheme="minorHAnsi" w:cs="Calibri"/>
                <w:b/>
                <w:i/>
                <w:sz w:val="22"/>
                <w:szCs w:val="22"/>
              </w:rPr>
            </w:pPr>
            <w:r w:rsidRPr="00751DC0">
              <w:rPr>
                <w:rFonts w:asciiTheme="minorHAnsi" w:hAnsiTheme="minorHAnsi" w:cs="Calibri"/>
                <w:b/>
                <w:i/>
                <w:w w:val="105"/>
                <w:sz w:val="22"/>
                <w:szCs w:val="22"/>
              </w:rPr>
              <w:t>4.00%</w:t>
            </w:r>
          </w:p>
        </w:tc>
        <w:tc>
          <w:tcPr>
            <w:tcW w:w="0" w:type="auto"/>
          </w:tcPr>
          <w:p w14:paraId="72A9C80D" w14:textId="77777777" w:rsidR="00423534" w:rsidRPr="00751DC0" w:rsidRDefault="00423534" w:rsidP="00423534">
            <w:pPr>
              <w:widowControl w:val="0"/>
              <w:autoSpaceDE w:val="0"/>
              <w:autoSpaceDN w:val="0"/>
              <w:spacing w:before="1"/>
              <w:ind w:left="243" w:right="238"/>
              <w:jc w:val="center"/>
              <w:rPr>
                <w:rFonts w:asciiTheme="minorHAnsi" w:hAnsiTheme="minorHAnsi" w:cs="Calibri"/>
                <w:i/>
                <w:sz w:val="22"/>
                <w:szCs w:val="22"/>
              </w:rPr>
            </w:pPr>
            <w:r w:rsidRPr="00751DC0">
              <w:rPr>
                <w:rFonts w:asciiTheme="minorHAnsi" w:hAnsiTheme="minorHAnsi" w:cs="Calibri"/>
                <w:i/>
                <w:w w:val="105"/>
                <w:sz w:val="22"/>
                <w:szCs w:val="22"/>
              </w:rPr>
              <w:t>4.20%</w:t>
            </w:r>
          </w:p>
        </w:tc>
        <w:tc>
          <w:tcPr>
            <w:tcW w:w="0" w:type="auto"/>
            <w:shd w:val="clear" w:color="auto" w:fill="FFFFFF" w:themeFill="background1"/>
          </w:tcPr>
          <w:p w14:paraId="766C807A" w14:textId="77777777" w:rsidR="00423534" w:rsidRPr="00751DC0" w:rsidRDefault="00423534" w:rsidP="00423534">
            <w:pPr>
              <w:widowControl w:val="0"/>
              <w:autoSpaceDE w:val="0"/>
              <w:autoSpaceDN w:val="0"/>
              <w:spacing w:before="1"/>
              <w:ind w:left="195" w:right="186"/>
              <w:jc w:val="center"/>
              <w:rPr>
                <w:rFonts w:asciiTheme="minorHAnsi" w:hAnsiTheme="minorHAnsi" w:cs="Calibri"/>
                <w:i/>
                <w:sz w:val="22"/>
                <w:szCs w:val="22"/>
              </w:rPr>
            </w:pPr>
            <w:r w:rsidRPr="00751DC0">
              <w:rPr>
                <w:rFonts w:asciiTheme="minorHAnsi" w:hAnsiTheme="minorHAnsi" w:cs="Calibri"/>
                <w:i/>
                <w:w w:val="105"/>
                <w:sz w:val="22"/>
                <w:szCs w:val="22"/>
              </w:rPr>
              <w:t>4.20%</w:t>
            </w:r>
          </w:p>
        </w:tc>
        <w:tc>
          <w:tcPr>
            <w:tcW w:w="0" w:type="auto"/>
          </w:tcPr>
          <w:p w14:paraId="3B89AC80" w14:textId="77777777" w:rsidR="00423534" w:rsidRPr="00751DC0" w:rsidRDefault="00423534" w:rsidP="00423534">
            <w:pPr>
              <w:widowControl w:val="0"/>
              <w:autoSpaceDE w:val="0"/>
              <w:autoSpaceDN w:val="0"/>
              <w:spacing w:line="206" w:lineRule="exact"/>
              <w:ind w:left="126" w:right="121"/>
              <w:jc w:val="center"/>
              <w:rPr>
                <w:rFonts w:asciiTheme="minorHAnsi" w:hAnsiTheme="minorHAnsi" w:cs="Calibri"/>
                <w:i/>
                <w:sz w:val="22"/>
                <w:szCs w:val="22"/>
              </w:rPr>
            </w:pPr>
            <w:r w:rsidRPr="00751DC0">
              <w:rPr>
                <w:rFonts w:asciiTheme="minorHAnsi" w:hAnsiTheme="minorHAnsi" w:cs="Calibri"/>
                <w:i/>
                <w:w w:val="105"/>
                <w:sz w:val="22"/>
                <w:szCs w:val="22"/>
              </w:rPr>
              <w:t>4.50%</w:t>
            </w:r>
          </w:p>
        </w:tc>
      </w:tr>
      <w:tr w:rsidR="00423534" w:rsidRPr="00751DC0" w14:paraId="4F996984" w14:textId="77777777" w:rsidTr="00423534">
        <w:trPr>
          <w:trHeight w:val="302"/>
        </w:trPr>
        <w:tc>
          <w:tcPr>
            <w:tcW w:w="2736" w:type="dxa"/>
          </w:tcPr>
          <w:p w14:paraId="6D2C18D8" w14:textId="77777777" w:rsidR="00423534" w:rsidRPr="00751DC0" w:rsidRDefault="00423534" w:rsidP="00423534">
            <w:pPr>
              <w:widowControl w:val="0"/>
              <w:autoSpaceDE w:val="0"/>
              <w:autoSpaceDN w:val="0"/>
              <w:spacing w:before="6"/>
              <w:ind w:right="685"/>
              <w:jc w:val="center"/>
              <w:rPr>
                <w:rFonts w:asciiTheme="minorHAnsi" w:hAnsiTheme="minorHAnsi" w:cs="Calibri"/>
                <w:b/>
                <w:i/>
                <w:sz w:val="22"/>
                <w:szCs w:val="22"/>
              </w:rPr>
            </w:pPr>
            <w:r w:rsidRPr="00751DC0">
              <w:rPr>
                <w:rFonts w:asciiTheme="minorHAnsi" w:hAnsiTheme="minorHAnsi" w:cs="Calibri"/>
                <w:b/>
                <w:i/>
                <w:w w:val="105"/>
                <w:sz w:val="22"/>
                <w:szCs w:val="22"/>
              </w:rPr>
              <w:t>FY</w:t>
            </w:r>
            <w:r w:rsidRPr="00751DC0">
              <w:rPr>
                <w:rFonts w:asciiTheme="minorHAnsi" w:hAnsiTheme="minorHAnsi" w:cs="Calibri"/>
                <w:b/>
                <w:i/>
                <w:spacing w:val="-4"/>
                <w:w w:val="105"/>
                <w:sz w:val="22"/>
                <w:szCs w:val="22"/>
              </w:rPr>
              <w:t xml:space="preserve"> </w:t>
            </w:r>
            <w:r w:rsidRPr="00751DC0">
              <w:rPr>
                <w:rFonts w:asciiTheme="minorHAnsi" w:hAnsiTheme="minorHAnsi" w:cs="Calibri"/>
                <w:b/>
                <w:i/>
                <w:w w:val="105"/>
                <w:sz w:val="22"/>
                <w:szCs w:val="22"/>
              </w:rPr>
              <w:t>25-26</w:t>
            </w:r>
          </w:p>
        </w:tc>
        <w:tc>
          <w:tcPr>
            <w:tcW w:w="1357" w:type="dxa"/>
          </w:tcPr>
          <w:p w14:paraId="4FC21446" w14:textId="77777777" w:rsidR="00423534" w:rsidRPr="00751DC0" w:rsidRDefault="00423534" w:rsidP="00423534">
            <w:pPr>
              <w:widowControl w:val="0"/>
              <w:autoSpaceDE w:val="0"/>
              <w:autoSpaceDN w:val="0"/>
              <w:spacing w:before="1"/>
              <w:ind w:right="340"/>
              <w:jc w:val="right"/>
              <w:rPr>
                <w:rFonts w:asciiTheme="minorHAnsi" w:hAnsiTheme="minorHAnsi" w:cs="Calibri"/>
                <w:i/>
                <w:sz w:val="22"/>
                <w:szCs w:val="22"/>
              </w:rPr>
            </w:pPr>
            <w:r w:rsidRPr="00751DC0">
              <w:rPr>
                <w:rFonts w:asciiTheme="minorHAnsi" w:hAnsiTheme="minorHAnsi" w:cs="Calibri"/>
                <w:i/>
                <w:w w:val="105"/>
                <w:sz w:val="22"/>
                <w:szCs w:val="22"/>
              </w:rPr>
              <w:t>3.50%</w:t>
            </w:r>
          </w:p>
        </w:tc>
        <w:tc>
          <w:tcPr>
            <w:tcW w:w="0" w:type="auto"/>
          </w:tcPr>
          <w:p w14:paraId="63909A5E" w14:textId="77777777" w:rsidR="00423534" w:rsidRPr="00751DC0" w:rsidRDefault="00423534" w:rsidP="00423534">
            <w:pPr>
              <w:widowControl w:val="0"/>
              <w:autoSpaceDE w:val="0"/>
              <w:autoSpaceDN w:val="0"/>
              <w:spacing w:before="1"/>
              <w:ind w:left="243" w:right="239"/>
              <w:jc w:val="center"/>
              <w:rPr>
                <w:rFonts w:asciiTheme="minorHAnsi" w:hAnsiTheme="minorHAnsi" w:cs="Calibri"/>
                <w:i/>
                <w:sz w:val="22"/>
                <w:szCs w:val="22"/>
              </w:rPr>
            </w:pPr>
            <w:r w:rsidRPr="00751DC0">
              <w:rPr>
                <w:rFonts w:asciiTheme="minorHAnsi" w:hAnsiTheme="minorHAnsi" w:cs="Calibri"/>
                <w:i/>
                <w:w w:val="105"/>
                <w:sz w:val="22"/>
                <w:szCs w:val="22"/>
              </w:rPr>
              <w:t>4.00%</w:t>
            </w:r>
          </w:p>
        </w:tc>
        <w:tc>
          <w:tcPr>
            <w:tcW w:w="0" w:type="auto"/>
            <w:shd w:val="clear" w:color="auto" w:fill="FFFFFF" w:themeFill="background1"/>
          </w:tcPr>
          <w:p w14:paraId="3D7EF94A" w14:textId="77777777" w:rsidR="00423534" w:rsidRPr="00751DC0" w:rsidRDefault="00423534" w:rsidP="00423534">
            <w:pPr>
              <w:widowControl w:val="0"/>
              <w:autoSpaceDE w:val="0"/>
              <w:autoSpaceDN w:val="0"/>
              <w:spacing w:before="1"/>
              <w:ind w:left="195" w:right="185"/>
              <w:jc w:val="center"/>
              <w:rPr>
                <w:rFonts w:asciiTheme="minorHAnsi" w:hAnsiTheme="minorHAnsi" w:cs="Calibri"/>
                <w:i/>
                <w:sz w:val="22"/>
                <w:szCs w:val="22"/>
              </w:rPr>
            </w:pPr>
            <w:r w:rsidRPr="00751DC0">
              <w:rPr>
                <w:rFonts w:asciiTheme="minorHAnsi" w:hAnsiTheme="minorHAnsi" w:cs="Calibri"/>
                <w:i/>
                <w:w w:val="105"/>
                <w:sz w:val="22"/>
                <w:szCs w:val="22"/>
              </w:rPr>
              <w:t>4.00%</w:t>
            </w:r>
          </w:p>
        </w:tc>
        <w:tc>
          <w:tcPr>
            <w:tcW w:w="0" w:type="auto"/>
          </w:tcPr>
          <w:p w14:paraId="4B2E705C" w14:textId="77777777" w:rsidR="00423534" w:rsidRPr="00751DC0" w:rsidRDefault="00423534" w:rsidP="00423534">
            <w:pPr>
              <w:widowControl w:val="0"/>
              <w:autoSpaceDE w:val="0"/>
              <w:autoSpaceDN w:val="0"/>
              <w:spacing w:line="206" w:lineRule="exact"/>
              <w:ind w:left="126" w:right="121"/>
              <w:jc w:val="center"/>
              <w:rPr>
                <w:rFonts w:asciiTheme="minorHAnsi" w:hAnsiTheme="minorHAnsi" w:cs="Calibri"/>
                <w:i/>
                <w:sz w:val="22"/>
                <w:szCs w:val="22"/>
              </w:rPr>
            </w:pPr>
            <w:r w:rsidRPr="00751DC0">
              <w:rPr>
                <w:rFonts w:asciiTheme="minorHAnsi" w:hAnsiTheme="minorHAnsi" w:cs="Calibri"/>
                <w:i/>
                <w:w w:val="105"/>
                <w:sz w:val="22"/>
                <w:szCs w:val="22"/>
              </w:rPr>
              <w:t>4.20%</w:t>
            </w:r>
          </w:p>
        </w:tc>
      </w:tr>
      <w:tr w:rsidR="00423534" w:rsidRPr="00751DC0" w14:paraId="765487A9" w14:textId="77777777" w:rsidTr="00423534">
        <w:trPr>
          <w:trHeight w:val="303"/>
        </w:trPr>
        <w:tc>
          <w:tcPr>
            <w:tcW w:w="2736" w:type="dxa"/>
          </w:tcPr>
          <w:p w14:paraId="4B71BC9A" w14:textId="77777777" w:rsidR="00423534" w:rsidRPr="00751DC0" w:rsidRDefault="00423534" w:rsidP="00423534">
            <w:pPr>
              <w:widowControl w:val="0"/>
              <w:autoSpaceDE w:val="0"/>
              <w:autoSpaceDN w:val="0"/>
              <w:spacing w:before="6"/>
              <w:ind w:right="685"/>
              <w:jc w:val="center"/>
              <w:rPr>
                <w:rFonts w:asciiTheme="minorHAnsi" w:hAnsiTheme="minorHAnsi" w:cs="Calibri"/>
                <w:b/>
                <w:i/>
                <w:sz w:val="22"/>
                <w:szCs w:val="22"/>
              </w:rPr>
            </w:pPr>
            <w:r w:rsidRPr="00751DC0">
              <w:rPr>
                <w:rFonts w:asciiTheme="minorHAnsi" w:hAnsiTheme="minorHAnsi" w:cs="Calibri"/>
                <w:b/>
                <w:i/>
                <w:w w:val="105"/>
                <w:sz w:val="22"/>
                <w:szCs w:val="22"/>
              </w:rPr>
              <w:t>FY</w:t>
            </w:r>
            <w:r w:rsidRPr="00751DC0">
              <w:rPr>
                <w:rFonts w:asciiTheme="minorHAnsi" w:hAnsiTheme="minorHAnsi" w:cs="Calibri"/>
                <w:b/>
                <w:i/>
                <w:spacing w:val="-4"/>
                <w:w w:val="105"/>
                <w:sz w:val="22"/>
                <w:szCs w:val="22"/>
              </w:rPr>
              <w:t xml:space="preserve"> </w:t>
            </w:r>
            <w:r w:rsidRPr="00751DC0">
              <w:rPr>
                <w:rFonts w:asciiTheme="minorHAnsi" w:hAnsiTheme="minorHAnsi" w:cs="Calibri"/>
                <w:b/>
                <w:i/>
                <w:w w:val="105"/>
                <w:sz w:val="22"/>
                <w:szCs w:val="22"/>
              </w:rPr>
              <w:t>26-27</w:t>
            </w:r>
          </w:p>
        </w:tc>
        <w:tc>
          <w:tcPr>
            <w:tcW w:w="1357" w:type="dxa"/>
          </w:tcPr>
          <w:p w14:paraId="655D3D01" w14:textId="77777777" w:rsidR="00423534" w:rsidRPr="00751DC0" w:rsidRDefault="00423534" w:rsidP="00423534">
            <w:pPr>
              <w:widowControl w:val="0"/>
              <w:autoSpaceDE w:val="0"/>
              <w:autoSpaceDN w:val="0"/>
              <w:spacing w:before="1"/>
              <w:ind w:right="340"/>
              <w:jc w:val="right"/>
              <w:rPr>
                <w:rFonts w:asciiTheme="minorHAnsi" w:hAnsiTheme="minorHAnsi" w:cs="Calibri"/>
                <w:i/>
                <w:sz w:val="22"/>
                <w:szCs w:val="22"/>
              </w:rPr>
            </w:pPr>
            <w:r w:rsidRPr="00751DC0">
              <w:rPr>
                <w:rFonts w:asciiTheme="minorHAnsi" w:hAnsiTheme="minorHAnsi" w:cs="Calibri"/>
                <w:i/>
                <w:w w:val="105"/>
                <w:sz w:val="22"/>
                <w:szCs w:val="22"/>
              </w:rPr>
              <w:t>3.00%</w:t>
            </w:r>
          </w:p>
        </w:tc>
        <w:tc>
          <w:tcPr>
            <w:tcW w:w="0" w:type="auto"/>
          </w:tcPr>
          <w:p w14:paraId="44FA4021" w14:textId="77777777" w:rsidR="00423534" w:rsidRPr="00751DC0" w:rsidRDefault="00423534" w:rsidP="00423534">
            <w:pPr>
              <w:widowControl w:val="0"/>
              <w:autoSpaceDE w:val="0"/>
              <w:autoSpaceDN w:val="0"/>
              <w:spacing w:before="1"/>
              <w:ind w:left="243" w:right="239"/>
              <w:jc w:val="center"/>
              <w:rPr>
                <w:rFonts w:asciiTheme="minorHAnsi" w:hAnsiTheme="minorHAnsi" w:cs="Calibri"/>
                <w:i/>
                <w:sz w:val="22"/>
                <w:szCs w:val="22"/>
              </w:rPr>
            </w:pPr>
            <w:r w:rsidRPr="00751DC0">
              <w:rPr>
                <w:rFonts w:asciiTheme="minorHAnsi" w:hAnsiTheme="minorHAnsi" w:cs="Calibri"/>
                <w:i/>
                <w:w w:val="105"/>
                <w:sz w:val="22"/>
                <w:szCs w:val="22"/>
              </w:rPr>
              <w:t>3.00%</w:t>
            </w:r>
          </w:p>
        </w:tc>
        <w:tc>
          <w:tcPr>
            <w:tcW w:w="0" w:type="auto"/>
            <w:shd w:val="clear" w:color="auto" w:fill="FFFFFF" w:themeFill="background1"/>
          </w:tcPr>
          <w:p w14:paraId="4F7B19FD" w14:textId="77777777" w:rsidR="00423534" w:rsidRPr="00751DC0" w:rsidRDefault="00423534" w:rsidP="00423534">
            <w:pPr>
              <w:widowControl w:val="0"/>
              <w:autoSpaceDE w:val="0"/>
              <w:autoSpaceDN w:val="0"/>
              <w:spacing w:before="1"/>
              <w:ind w:left="195" w:right="185"/>
              <w:jc w:val="center"/>
              <w:rPr>
                <w:rFonts w:asciiTheme="minorHAnsi" w:hAnsiTheme="minorHAnsi" w:cs="Calibri"/>
                <w:i/>
                <w:sz w:val="22"/>
                <w:szCs w:val="22"/>
              </w:rPr>
            </w:pPr>
            <w:r w:rsidRPr="00751DC0">
              <w:rPr>
                <w:rFonts w:asciiTheme="minorHAnsi" w:hAnsiTheme="minorHAnsi" w:cs="Calibri"/>
                <w:i/>
                <w:w w:val="105"/>
                <w:sz w:val="22"/>
                <w:szCs w:val="22"/>
              </w:rPr>
              <w:t>3.00%</w:t>
            </w:r>
          </w:p>
        </w:tc>
        <w:tc>
          <w:tcPr>
            <w:tcW w:w="0" w:type="auto"/>
          </w:tcPr>
          <w:p w14:paraId="40A0DD3F" w14:textId="77777777" w:rsidR="00423534" w:rsidRPr="00751DC0" w:rsidRDefault="00423534" w:rsidP="00423534">
            <w:pPr>
              <w:widowControl w:val="0"/>
              <w:autoSpaceDE w:val="0"/>
              <w:autoSpaceDN w:val="0"/>
              <w:spacing w:before="1"/>
              <w:ind w:left="126" w:right="121"/>
              <w:jc w:val="center"/>
              <w:rPr>
                <w:rFonts w:asciiTheme="minorHAnsi" w:hAnsiTheme="minorHAnsi" w:cs="Calibri"/>
                <w:i/>
                <w:sz w:val="22"/>
                <w:szCs w:val="22"/>
              </w:rPr>
            </w:pPr>
            <w:r w:rsidRPr="00751DC0">
              <w:rPr>
                <w:rFonts w:asciiTheme="minorHAnsi" w:hAnsiTheme="minorHAnsi" w:cs="Calibri"/>
                <w:i/>
                <w:w w:val="105"/>
                <w:sz w:val="22"/>
                <w:szCs w:val="22"/>
              </w:rPr>
              <w:t>3.50%</w:t>
            </w:r>
          </w:p>
        </w:tc>
      </w:tr>
      <w:tr w:rsidR="00423534" w:rsidRPr="00751DC0" w14:paraId="085293EA" w14:textId="77777777" w:rsidTr="00423534">
        <w:trPr>
          <w:trHeight w:val="303"/>
        </w:trPr>
        <w:tc>
          <w:tcPr>
            <w:tcW w:w="2736" w:type="dxa"/>
          </w:tcPr>
          <w:p w14:paraId="23E54D11" w14:textId="77777777" w:rsidR="00423534" w:rsidRPr="00751DC0" w:rsidRDefault="00423534" w:rsidP="00423534">
            <w:pPr>
              <w:widowControl w:val="0"/>
              <w:autoSpaceDE w:val="0"/>
              <w:autoSpaceDN w:val="0"/>
              <w:spacing w:before="4" w:line="249" w:lineRule="auto"/>
              <w:ind w:left="136" w:right="128"/>
              <w:rPr>
                <w:rFonts w:asciiTheme="minorHAnsi" w:hAnsiTheme="minorHAnsi" w:cs="Calibri"/>
                <w:b/>
                <w:i/>
                <w:sz w:val="22"/>
                <w:szCs w:val="22"/>
              </w:rPr>
            </w:pPr>
            <w:r w:rsidRPr="00751DC0">
              <w:rPr>
                <w:rFonts w:asciiTheme="minorHAnsi" w:hAnsiTheme="minorHAnsi" w:cs="Calibri"/>
                <w:b/>
                <w:i/>
                <w:w w:val="105"/>
                <w:sz w:val="22"/>
                <w:szCs w:val="22"/>
              </w:rPr>
              <w:t>FY</w:t>
            </w:r>
            <w:r w:rsidRPr="00751DC0">
              <w:rPr>
                <w:rFonts w:asciiTheme="minorHAnsi" w:hAnsiTheme="minorHAnsi" w:cs="Calibri"/>
                <w:b/>
                <w:i/>
                <w:spacing w:val="-8"/>
                <w:w w:val="105"/>
                <w:sz w:val="22"/>
                <w:szCs w:val="22"/>
              </w:rPr>
              <w:t xml:space="preserve"> </w:t>
            </w:r>
            <w:r w:rsidRPr="00751DC0">
              <w:rPr>
                <w:rFonts w:asciiTheme="minorHAnsi" w:hAnsiTheme="minorHAnsi" w:cs="Calibri"/>
                <w:b/>
                <w:i/>
                <w:w w:val="105"/>
                <w:sz w:val="22"/>
                <w:szCs w:val="22"/>
              </w:rPr>
              <w:t>27-28</w:t>
            </w:r>
            <w:r w:rsidRPr="00751DC0">
              <w:rPr>
                <w:rFonts w:asciiTheme="minorHAnsi" w:hAnsiTheme="minorHAnsi" w:cs="Calibri"/>
                <w:b/>
                <w:i/>
                <w:spacing w:val="-8"/>
                <w:w w:val="105"/>
                <w:sz w:val="22"/>
                <w:szCs w:val="22"/>
              </w:rPr>
              <w:t xml:space="preserve"> </w:t>
            </w:r>
            <w:r w:rsidRPr="00751DC0">
              <w:rPr>
                <w:rFonts w:asciiTheme="minorHAnsi" w:hAnsiTheme="minorHAnsi" w:cs="Calibri"/>
                <w:b/>
                <w:i/>
                <w:w w:val="105"/>
                <w:sz w:val="22"/>
                <w:szCs w:val="22"/>
              </w:rPr>
              <w:t>&amp;</w:t>
            </w:r>
            <w:r w:rsidRPr="00751DC0">
              <w:rPr>
                <w:rFonts w:asciiTheme="minorHAnsi" w:hAnsiTheme="minorHAnsi" w:cs="Calibri"/>
                <w:b/>
                <w:i/>
                <w:spacing w:val="-5"/>
                <w:w w:val="105"/>
                <w:sz w:val="22"/>
                <w:szCs w:val="22"/>
              </w:rPr>
              <w:t xml:space="preserve"> </w:t>
            </w:r>
            <w:r w:rsidRPr="00751DC0">
              <w:rPr>
                <w:rFonts w:asciiTheme="minorHAnsi" w:hAnsiTheme="minorHAnsi" w:cs="Calibri"/>
                <w:b/>
                <w:i/>
                <w:w w:val="105"/>
                <w:sz w:val="22"/>
                <w:szCs w:val="22"/>
              </w:rPr>
              <w:t>onwards</w:t>
            </w:r>
            <w:r w:rsidRPr="00751DC0">
              <w:rPr>
                <w:rFonts w:asciiTheme="minorHAnsi" w:hAnsiTheme="minorHAnsi" w:cs="Calibri"/>
                <w:b/>
                <w:i/>
                <w:spacing w:val="-5"/>
                <w:w w:val="105"/>
                <w:sz w:val="22"/>
                <w:szCs w:val="22"/>
              </w:rPr>
              <w:t xml:space="preserve"> </w:t>
            </w:r>
            <w:r w:rsidRPr="00751DC0">
              <w:rPr>
                <w:rFonts w:asciiTheme="minorHAnsi" w:hAnsiTheme="minorHAnsi" w:cs="Calibri"/>
                <w:b/>
                <w:i/>
                <w:w w:val="105"/>
                <w:sz w:val="22"/>
                <w:szCs w:val="22"/>
              </w:rPr>
              <w:t>as</w:t>
            </w:r>
            <w:r w:rsidRPr="00751DC0">
              <w:rPr>
                <w:rFonts w:asciiTheme="minorHAnsi" w:hAnsiTheme="minorHAnsi" w:cs="Calibri"/>
                <w:b/>
                <w:i/>
                <w:spacing w:val="-44"/>
                <w:w w:val="105"/>
                <w:sz w:val="22"/>
                <w:szCs w:val="22"/>
              </w:rPr>
              <w:t xml:space="preserve"> </w:t>
            </w:r>
            <w:r w:rsidRPr="00751DC0">
              <w:rPr>
                <w:rFonts w:asciiTheme="minorHAnsi" w:hAnsiTheme="minorHAnsi" w:cs="Calibri"/>
                <w:b/>
                <w:i/>
                <w:w w:val="105"/>
                <w:sz w:val="22"/>
                <w:szCs w:val="22"/>
              </w:rPr>
              <w:t>per</w:t>
            </w:r>
            <w:r w:rsidRPr="00751DC0">
              <w:rPr>
                <w:rFonts w:asciiTheme="minorHAnsi" w:hAnsiTheme="minorHAnsi" w:cs="Calibri"/>
                <w:b/>
                <w:i/>
                <w:spacing w:val="-6"/>
                <w:w w:val="105"/>
                <w:sz w:val="22"/>
                <w:szCs w:val="22"/>
              </w:rPr>
              <w:t xml:space="preserve"> </w:t>
            </w:r>
            <w:r w:rsidRPr="00751DC0">
              <w:rPr>
                <w:rFonts w:asciiTheme="minorHAnsi" w:hAnsiTheme="minorHAnsi" w:cs="Calibri"/>
                <w:b/>
                <w:i/>
                <w:w w:val="105"/>
                <w:sz w:val="22"/>
                <w:szCs w:val="22"/>
              </w:rPr>
              <w:t>the</w:t>
            </w:r>
            <w:r w:rsidRPr="00751DC0">
              <w:rPr>
                <w:rFonts w:asciiTheme="minorHAnsi" w:hAnsiTheme="minorHAnsi" w:cs="Calibri"/>
                <w:b/>
                <w:i/>
                <w:spacing w:val="-1"/>
                <w:w w:val="105"/>
                <w:sz w:val="22"/>
                <w:szCs w:val="22"/>
              </w:rPr>
              <w:t xml:space="preserve"> </w:t>
            </w:r>
            <w:r w:rsidRPr="00751DC0">
              <w:rPr>
                <w:rFonts w:asciiTheme="minorHAnsi" w:hAnsiTheme="minorHAnsi" w:cs="Calibri"/>
                <w:b/>
                <w:i/>
                <w:w w:val="105"/>
                <w:sz w:val="22"/>
                <w:szCs w:val="22"/>
              </w:rPr>
              <w:t>directives</w:t>
            </w:r>
            <w:r w:rsidRPr="00751DC0">
              <w:rPr>
                <w:rFonts w:asciiTheme="minorHAnsi" w:hAnsiTheme="minorHAnsi" w:cs="Calibri"/>
                <w:b/>
                <w:i/>
                <w:spacing w:val="-3"/>
                <w:w w:val="105"/>
                <w:sz w:val="22"/>
                <w:szCs w:val="22"/>
              </w:rPr>
              <w:t xml:space="preserve"> </w:t>
            </w:r>
            <w:r w:rsidRPr="00751DC0">
              <w:rPr>
                <w:rFonts w:asciiTheme="minorHAnsi" w:hAnsiTheme="minorHAnsi" w:cs="Calibri"/>
                <w:b/>
                <w:i/>
                <w:w w:val="105"/>
                <w:sz w:val="22"/>
                <w:szCs w:val="22"/>
              </w:rPr>
              <w:t>of</w:t>
            </w:r>
            <w:r w:rsidRPr="00751DC0">
              <w:rPr>
                <w:rFonts w:asciiTheme="minorHAnsi" w:hAnsiTheme="minorHAnsi" w:cs="Calibri"/>
                <w:b/>
                <w:i/>
                <w:spacing w:val="-4"/>
                <w:w w:val="105"/>
                <w:sz w:val="22"/>
                <w:szCs w:val="22"/>
              </w:rPr>
              <w:t xml:space="preserve"> </w:t>
            </w:r>
            <w:r w:rsidRPr="00751DC0">
              <w:rPr>
                <w:rFonts w:asciiTheme="minorHAnsi" w:hAnsiTheme="minorHAnsi" w:cs="Calibri"/>
                <w:b/>
                <w:i/>
                <w:w w:val="105"/>
                <w:sz w:val="22"/>
                <w:szCs w:val="22"/>
              </w:rPr>
              <w:t>the Commission</w:t>
            </w:r>
          </w:p>
        </w:tc>
        <w:tc>
          <w:tcPr>
            <w:tcW w:w="1357" w:type="dxa"/>
          </w:tcPr>
          <w:p w14:paraId="2ECA4398" w14:textId="77777777" w:rsidR="00423534" w:rsidRPr="00751DC0" w:rsidRDefault="00423534" w:rsidP="00423534">
            <w:pPr>
              <w:widowControl w:val="0"/>
              <w:autoSpaceDE w:val="0"/>
              <w:autoSpaceDN w:val="0"/>
              <w:spacing w:before="1"/>
              <w:ind w:right="340"/>
              <w:jc w:val="right"/>
              <w:rPr>
                <w:rFonts w:asciiTheme="minorHAnsi" w:hAnsiTheme="minorHAnsi" w:cs="Calibri"/>
                <w:i/>
                <w:sz w:val="22"/>
                <w:szCs w:val="22"/>
              </w:rPr>
            </w:pPr>
            <w:r w:rsidRPr="00751DC0">
              <w:rPr>
                <w:rFonts w:asciiTheme="minorHAnsi" w:hAnsiTheme="minorHAnsi" w:cs="Calibri"/>
                <w:i/>
                <w:w w:val="105"/>
                <w:sz w:val="22"/>
                <w:szCs w:val="22"/>
              </w:rPr>
              <w:t>3.00%</w:t>
            </w:r>
          </w:p>
        </w:tc>
        <w:tc>
          <w:tcPr>
            <w:tcW w:w="0" w:type="auto"/>
          </w:tcPr>
          <w:p w14:paraId="208FDD76" w14:textId="77777777" w:rsidR="00423534" w:rsidRPr="00751DC0" w:rsidRDefault="00423534" w:rsidP="00423534">
            <w:pPr>
              <w:widowControl w:val="0"/>
              <w:autoSpaceDE w:val="0"/>
              <w:autoSpaceDN w:val="0"/>
              <w:spacing w:before="1"/>
              <w:ind w:left="243" w:right="239"/>
              <w:jc w:val="center"/>
              <w:rPr>
                <w:rFonts w:asciiTheme="minorHAnsi" w:hAnsiTheme="minorHAnsi" w:cs="Calibri"/>
                <w:i/>
                <w:sz w:val="22"/>
                <w:szCs w:val="22"/>
              </w:rPr>
            </w:pPr>
            <w:r w:rsidRPr="00751DC0">
              <w:rPr>
                <w:rFonts w:asciiTheme="minorHAnsi" w:hAnsiTheme="minorHAnsi" w:cs="Calibri"/>
                <w:i/>
                <w:w w:val="105"/>
                <w:sz w:val="22"/>
                <w:szCs w:val="22"/>
              </w:rPr>
              <w:t>3.00%</w:t>
            </w:r>
          </w:p>
        </w:tc>
        <w:tc>
          <w:tcPr>
            <w:tcW w:w="0" w:type="auto"/>
            <w:shd w:val="clear" w:color="auto" w:fill="FFFFFF" w:themeFill="background1"/>
          </w:tcPr>
          <w:p w14:paraId="4A2FB708" w14:textId="77777777" w:rsidR="00423534" w:rsidRPr="00751DC0" w:rsidRDefault="00423534" w:rsidP="00423534">
            <w:pPr>
              <w:widowControl w:val="0"/>
              <w:autoSpaceDE w:val="0"/>
              <w:autoSpaceDN w:val="0"/>
              <w:spacing w:before="1"/>
              <w:ind w:left="195" w:right="185"/>
              <w:jc w:val="center"/>
              <w:rPr>
                <w:rFonts w:asciiTheme="minorHAnsi" w:hAnsiTheme="minorHAnsi" w:cs="Calibri"/>
                <w:i/>
                <w:sz w:val="22"/>
                <w:szCs w:val="22"/>
              </w:rPr>
            </w:pPr>
            <w:r w:rsidRPr="00751DC0">
              <w:rPr>
                <w:rFonts w:asciiTheme="minorHAnsi" w:hAnsiTheme="minorHAnsi" w:cs="Calibri"/>
                <w:i/>
                <w:w w:val="105"/>
                <w:sz w:val="22"/>
                <w:szCs w:val="22"/>
              </w:rPr>
              <w:t>3.00%</w:t>
            </w:r>
          </w:p>
        </w:tc>
        <w:tc>
          <w:tcPr>
            <w:tcW w:w="0" w:type="auto"/>
          </w:tcPr>
          <w:p w14:paraId="238D8C78" w14:textId="77777777" w:rsidR="00423534" w:rsidRPr="00751DC0" w:rsidRDefault="00423534" w:rsidP="00423534">
            <w:pPr>
              <w:widowControl w:val="0"/>
              <w:autoSpaceDE w:val="0"/>
              <w:autoSpaceDN w:val="0"/>
              <w:spacing w:before="1"/>
              <w:ind w:right="340"/>
              <w:jc w:val="right"/>
              <w:rPr>
                <w:rFonts w:asciiTheme="minorHAnsi" w:hAnsiTheme="minorHAnsi" w:cs="Calibri"/>
                <w:i/>
                <w:sz w:val="22"/>
                <w:szCs w:val="22"/>
              </w:rPr>
            </w:pPr>
            <w:r w:rsidRPr="00751DC0">
              <w:rPr>
                <w:rFonts w:asciiTheme="minorHAnsi" w:hAnsiTheme="minorHAnsi" w:cs="Calibri"/>
                <w:i/>
                <w:w w:val="105"/>
                <w:sz w:val="22"/>
                <w:szCs w:val="22"/>
              </w:rPr>
              <w:t>3.00%</w:t>
            </w:r>
          </w:p>
        </w:tc>
      </w:tr>
    </w:tbl>
    <w:p w14:paraId="630133F3" w14:textId="77777777" w:rsidR="00423534" w:rsidRPr="00751DC0" w:rsidRDefault="00423534" w:rsidP="00423534">
      <w:pPr>
        <w:widowControl w:val="0"/>
        <w:autoSpaceDE w:val="0"/>
        <w:autoSpaceDN w:val="0"/>
        <w:spacing w:before="9"/>
        <w:rPr>
          <w:rFonts w:asciiTheme="minorHAnsi" w:eastAsia="Calibri" w:hAnsiTheme="minorHAnsi" w:cs="Calibri"/>
          <w:b/>
          <w:i/>
          <w:sz w:val="22"/>
          <w:szCs w:val="22"/>
        </w:rPr>
      </w:pPr>
    </w:p>
    <w:p w14:paraId="4032D71B" w14:textId="77777777" w:rsidR="00423534" w:rsidRPr="004954F9" w:rsidRDefault="00423534" w:rsidP="00423534">
      <w:pPr>
        <w:widowControl w:val="0"/>
        <w:autoSpaceDE w:val="0"/>
        <w:autoSpaceDN w:val="0"/>
        <w:spacing w:before="9"/>
        <w:rPr>
          <w:rFonts w:eastAsia="Calibri" w:hAnsi="Calibri" w:cs="Calibri"/>
          <w:b/>
          <w:i/>
          <w:sz w:val="29"/>
          <w:szCs w:val="22"/>
        </w:rPr>
      </w:pPr>
    </w:p>
    <w:p w14:paraId="7972FAE0" w14:textId="77777777" w:rsidR="00423534" w:rsidRPr="004954F9" w:rsidRDefault="00423534" w:rsidP="00423534">
      <w:pPr>
        <w:suppressAutoHyphens/>
        <w:rPr>
          <w:sz w:val="18"/>
          <w:szCs w:val="20"/>
        </w:rPr>
      </w:pPr>
    </w:p>
    <w:p w14:paraId="4B0F5BEF" w14:textId="77777777" w:rsidR="00423534" w:rsidRPr="004954F9" w:rsidRDefault="00423534" w:rsidP="00423534">
      <w:pPr>
        <w:suppressAutoHyphens/>
        <w:rPr>
          <w:sz w:val="18"/>
          <w:szCs w:val="20"/>
        </w:rPr>
      </w:pPr>
    </w:p>
    <w:p w14:paraId="2746C3B5" w14:textId="77777777" w:rsidR="00423534" w:rsidRPr="004954F9" w:rsidRDefault="00423534" w:rsidP="00423534">
      <w:pPr>
        <w:suppressAutoHyphens/>
        <w:spacing w:before="3"/>
        <w:ind w:left="2019"/>
        <w:rPr>
          <w:i/>
          <w:sz w:val="20"/>
          <w:szCs w:val="20"/>
        </w:rPr>
      </w:pPr>
      <w:r w:rsidRPr="004954F9">
        <w:rPr>
          <w:sz w:val="18"/>
          <w:szCs w:val="20"/>
        </w:rPr>
        <w:tab/>
      </w:r>
      <w:r w:rsidRPr="004954F9">
        <w:rPr>
          <w:i/>
          <w:w w:val="105"/>
          <w:sz w:val="20"/>
          <w:szCs w:val="20"/>
        </w:rPr>
        <w:t>…..</w:t>
      </w:r>
    </w:p>
    <w:p w14:paraId="60CEAF19" w14:textId="77777777" w:rsidR="00423534" w:rsidRPr="00751DC0" w:rsidRDefault="00423534" w:rsidP="00423534">
      <w:pPr>
        <w:widowControl w:val="0"/>
        <w:autoSpaceDE w:val="0"/>
        <w:autoSpaceDN w:val="0"/>
        <w:spacing w:before="162" w:line="360" w:lineRule="auto"/>
        <w:ind w:left="993"/>
        <w:rPr>
          <w:rFonts w:asciiTheme="minorHAnsi" w:eastAsia="Calibri" w:hAnsiTheme="minorHAnsi" w:cs="Calibri"/>
          <w:sz w:val="22"/>
          <w:szCs w:val="22"/>
        </w:rPr>
      </w:pPr>
      <w:r w:rsidRPr="00751DC0">
        <w:rPr>
          <w:rFonts w:asciiTheme="minorHAnsi" w:eastAsia="Calibri" w:hAnsiTheme="minorHAnsi" w:cs="Calibri"/>
          <w:sz w:val="22"/>
          <w:szCs w:val="22"/>
        </w:rPr>
        <w:t>The</w:t>
      </w:r>
      <w:r w:rsidRPr="00751DC0">
        <w:rPr>
          <w:rFonts w:asciiTheme="minorHAnsi" w:eastAsia="Calibri" w:hAnsiTheme="minorHAnsi" w:cs="Calibri"/>
          <w:spacing w:val="11"/>
          <w:sz w:val="22"/>
          <w:szCs w:val="22"/>
        </w:rPr>
        <w:t xml:space="preserve"> </w:t>
      </w:r>
      <w:r w:rsidRPr="00751DC0">
        <w:rPr>
          <w:rFonts w:asciiTheme="minorHAnsi" w:eastAsia="Calibri" w:hAnsiTheme="minorHAnsi" w:cs="Calibri"/>
          <w:sz w:val="22"/>
          <w:szCs w:val="22"/>
        </w:rPr>
        <w:t>term</w:t>
      </w:r>
      <w:r w:rsidRPr="00751DC0">
        <w:rPr>
          <w:rFonts w:asciiTheme="minorHAnsi" w:eastAsia="Calibri" w:hAnsiTheme="minorHAnsi" w:cs="Calibri"/>
          <w:spacing w:val="10"/>
          <w:sz w:val="22"/>
          <w:szCs w:val="22"/>
        </w:rPr>
        <w:t xml:space="preserve"> </w:t>
      </w:r>
      <w:r w:rsidRPr="00751DC0">
        <w:rPr>
          <w:rFonts w:asciiTheme="minorHAnsi" w:eastAsia="Calibri" w:hAnsiTheme="minorHAnsi" w:cs="Calibri"/>
          <w:sz w:val="22"/>
          <w:szCs w:val="22"/>
        </w:rPr>
        <w:t>GFA</w:t>
      </w:r>
      <w:r w:rsidRPr="00751DC0">
        <w:rPr>
          <w:rFonts w:asciiTheme="minorHAnsi" w:eastAsia="Calibri" w:hAnsiTheme="minorHAnsi" w:cs="Calibri"/>
          <w:spacing w:val="9"/>
          <w:sz w:val="22"/>
          <w:szCs w:val="22"/>
        </w:rPr>
        <w:t xml:space="preserve"> </w:t>
      </w:r>
      <w:r w:rsidRPr="00751DC0">
        <w:rPr>
          <w:rFonts w:asciiTheme="minorHAnsi" w:eastAsia="Calibri" w:hAnsiTheme="minorHAnsi" w:cs="Calibri"/>
          <w:sz w:val="22"/>
          <w:szCs w:val="22"/>
        </w:rPr>
        <w:t>is</w:t>
      </w:r>
      <w:r w:rsidRPr="00751DC0">
        <w:rPr>
          <w:rFonts w:asciiTheme="minorHAnsi" w:eastAsia="Calibri" w:hAnsiTheme="minorHAnsi" w:cs="Calibri"/>
          <w:spacing w:val="11"/>
          <w:sz w:val="22"/>
          <w:szCs w:val="22"/>
        </w:rPr>
        <w:t xml:space="preserve"> </w:t>
      </w:r>
      <w:r w:rsidRPr="00751DC0">
        <w:rPr>
          <w:rFonts w:asciiTheme="minorHAnsi" w:eastAsia="Calibri" w:hAnsiTheme="minorHAnsi" w:cs="Calibri"/>
          <w:sz w:val="22"/>
          <w:szCs w:val="22"/>
        </w:rPr>
        <w:t>defined</w:t>
      </w:r>
      <w:r w:rsidRPr="00751DC0">
        <w:rPr>
          <w:rFonts w:asciiTheme="minorHAnsi" w:eastAsia="Calibri" w:hAnsiTheme="minorHAnsi" w:cs="Calibri"/>
          <w:spacing w:val="13"/>
          <w:sz w:val="22"/>
          <w:szCs w:val="22"/>
        </w:rPr>
        <w:t xml:space="preserve"> </w:t>
      </w:r>
      <w:r w:rsidRPr="00751DC0">
        <w:rPr>
          <w:rFonts w:asciiTheme="minorHAnsi" w:eastAsia="Calibri" w:hAnsiTheme="minorHAnsi" w:cs="Calibri"/>
          <w:sz w:val="22"/>
          <w:szCs w:val="22"/>
        </w:rPr>
        <w:t>in</w:t>
      </w:r>
      <w:r w:rsidRPr="00751DC0">
        <w:rPr>
          <w:rFonts w:asciiTheme="minorHAnsi" w:eastAsia="Calibri" w:hAnsiTheme="minorHAnsi" w:cs="Calibri"/>
          <w:spacing w:val="13"/>
          <w:sz w:val="22"/>
          <w:szCs w:val="22"/>
        </w:rPr>
        <w:t xml:space="preserve"> </w:t>
      </w:r>
      <w:r w:rsidRPr="00751DC0">
        <w:rPr>
          <w:rFonts w:asciiTheme="minorHAnsi" w:eastAsia="Calibri" w:hAnsiTheme="minorHAnsi" w:cs="Calibri"/>
          <w:sz w:val="22"/>
          <w:szCs w:val="22"/>
        </w:rPr>
        <w:t>the</w:t>
      </w:r>
      <w:r w:rsidRPr="00751DC0">
        <w:rPr>
          <w:rFonts w:asciiTheme="minorHAnsi" w:eastAsia="Calibri" w:hAnsiTheme="minorHAnsi" w:cs="Calibri"/>
          <w:spacing w:val="14"/>
          <w:sz w:val="22"/>
          <w:szCs w:val="22"/>
        </w:rPr>
        <w:t xml:space="preserve"> </w:t>
      </w:r>
      <w:r w:rsidRPr="00751DC0">
        <w:rPr>
          <w:rFonts w:asciiTheme="minorHAnsi" w:eastAsia="Calibri" w:hAnsiTheme="minorHAnsi" w:cs="Calibri"/>
          <w:sz w:val="22"/>
          <w:szCs w:val="22"/>
        </w:rPr>
        <w:t>Tariff</w:t>
      </w:r>
      <w:r w:rsidRPr="00751DC0">
        <w:rPr>
          <w:rFonts w:asciiTheme="minorHAnsi" w:eastAsia="Calibri" w:hAnsiTheme="minorHAnsi" w:cs="Calibri"/>
          <w:spacing w:val="10"/>
          <w:sz w:val="22"/>
          <w:szCs w:val="22"/>
        </w:rPr>
        <w:t xml:space="preserve"> </w:t>
      </w:r>
      <w:r w:rsidRPr="00751DC0">
        <w:rPr>
          <w:rFonts w:asciiTheme="minorHAnsi" w:eastAsia="Calibri" w:hAnsiTheme="minorHAnsi" w:cs="Calibri"/>
          <w:sz w:val="22"/>
          <w:szCs w:val="22"/>
        </w:rPr>
        <w:t>Regulations,</w:t>
      </w:r>
      <w:r w:rsidRPr="00751DC0">
        <w:rPr>
          <w:rFonts w:asciiTheme="minorHAnsi" w:eastAsia="Calibri" w:hAnsiTheme="minorHAnsi" w:cs="Calibri"/>
          <w:spacing w:val="12"/>
          <w:sz w:val="22"/>
          <w:szCs w:val="22"/>
        </w:rPr>
        <w:t xml:space="preserve"> </w:t>
      </w:r>
      <w:r w:rsidRPr="00751DC0">
        <w:rPr>
          <w:rFonts w:asciiTheme="minorHAnsi" w:eastAsia="Calibri" w:hAnsiTheme="minorHAnsi" w:cs="Calibri"/>
          <w:sz w:val="22"/>
          <w:szCs w:val="22"/>
        </w:rPr>
        <w:t>2022</w:t>
      </w:r>
      <w:r w:rsidRPr="00751DC0">
        <w:rPr>
          <w:rFonts w:asciiTheme="minorHAnsi" w:eastAsia="Calibri" w:hAnsiTheme="minorHAnsi" w:cs="Calibri"/>
          <w:spacing w:val="11"/>
          <w:sz w:val="22"/>
          <w:szCs w:val="22"/>
        </w:rPr>
        <w:t xml:space="preserve"> </w:t>
      </w:r>
      <w:r w:rsidRPr="00751DC0">
        <w:rPr>
          <w:rFonts w:asciiTheme="minorHAnsi" w:eastAsia="Calibri" w:hAnsiTheme="minorHAnsi" w:cs="Calibri"/>
          <w:sz w:val="22"/>
          <w:szCs w:val="22"/>
        </w:rPr>
        <w:t>as</w:t>
      </w:r>
      <w:r w:rsidRPr="00751DC0">
        <w:rPr>
          <w:rFonts w:asciiTheme="minorHAnsi" w:eastAsia="Calibri" w:hAnsiTheme="minorHAnsi" w:cs="Calibri"/>
          <w:spacing w:val="6"/>
          <w:sz w:val="22"/>
          <w:szCs w:val="22"/>
        </w:rPr>
        <w:t xml:space="preserve"> </w:t>
      </w:r>
      <w:r w:rsidRPr="00751DC0">
        <w:rPr>
          <w:rFonts w:asciiTheme="minorHAnsi" w:eastAsia="Calibri" w:hAnsiTheme="minorHAnsi" w:cs="Calibri"/>
          <w:sz w:val="22"/>
          <w:szCs w:val="22"/>
        </w:rPr>
        <w:t>provided</w:t>
      </w:r>
      <w:r w:rsidRPr="00751DC0">
        <w:rPr>
          <w:rFonts w:asciiTheme="minorHAnsi" w:eastAsia="Calibri" w:hAnsiTheme="minorHAnsi" w:cs="Calibri"/>
          <w:spacing w:val="7"/>
          <w:sz w:val="22"/>
          <w:szCs w:val="22"/>
        </w:rPr>
        <w:t xml:space="preserve"> </w:t>
      </w:r>
      <w:r w:rsidRPr="00751DC0">
        <w:rPr>
          <w:rFonts w:asciiTheme="minorHAnsi" w:eastAsia="Calibri" w:hAnsiTheme="minorHAnsi" w:cs="Calibri"/>
          <w:sz w:val="22"/>
          <w:szCs w:val="22"/>
        </w:rPr>
        <w:t>below.</w:t>
      </w:r>
    </w:p>
    <w:p w14:paraId="742042B2" w14:textId="77777777" w:rsidR="00423534" w:rsidRPr="00751DC0" w:rsidRDefault="00423534" w:rsidP="00423534">
      <w:pPr>
        <w:suppressAutoHyphens/>
        <w:spacing w:before="180" w:line="360" w:lineRule="auto"/>
        <w:ind w:left="993" w:right="377"/>
        <w:jc w:val="both"/>
        <w:rPr>
          <w:rFonts w:asciiTheme="minorHAnsi" w:hAnsiTheme="minorHAnsi"/>
          <w:i/>
          <w:sz w:val="22"/>
          <w:szCs w:val="22"/>
        </w:rPr>
      </w:pPr>
      <w:r w:rsidRPr="00751DC0">
        <w:rPr>
          <w:rFonts w:asciiTheme="minorHAnsi" w:hAnsiTheme="minorHAnsi"/>
          <w:i/>
          <w:sz w:val="22"/>
          <w:szCs w:val="22"/>
        </w:rPr>
        <w:t xml:space="preserve">37) </w:t>
      </w:r>
      <w:r w:rsidRPr="00751DC0">
        <w:rPr>
          <w:rFonts w:asciiTheme="minorHAnsi" w:hAnsiTheme="minorHAnsi"/>
          <w:b/>
          <w:i/>
          <w:sz w:val="22"/>
          <w:szCs w:val="22"/>
        </w:rPr>
        <w:t>“Gross Fixed Asset”</w:t>
      </w:r>
      <w:r w:rsidRPr="00751DC0">
        <w:rPr>
          <w:rFonts w:asciiTheme="minorHAnsi" w:hAnsiTheme="minorHAnsi"/>
          <w:b/>
          <w:i/>
          <w:spacing w:val="1"/>
          <w:sz w:val="22"/>
          <w:szCs w:val="22"/>
        </w:rPr>
        <w:t xml:space="preserve"> </w:t>
      </w:r>
      <w:r w:rsidRPr="00751DC0">
        <w:rPr>
          <w:rFonts w:asciiTheme="minorHAnsi" w:hAnsiTheme="minorHAnsi"/>
          <w:i/>
          <w:sz w:val="22"/>
          <w:szCs w:val="22"/>
        </w:rPr>
        <w:t>means historical</w:t>
      </w:r>
      <w:r w:rsidRPr="00751DC0">
        <w:rPr>
          <w:rFonts w:asciiTheme="minorHAnsi" w:hAnsiTheme="minorHAnsi"/>
          <w:i/>
          <w:spacing w:val="1"/>
          <w:sz w:val="22"/>
          <w:szCs w:val="22"/>
        </w:rPr>
        <w:t xml:space="preserve"> </w:t>
      </w:r>
      <w:r w:rsidRPr="00751DC0">
        <w:rPr>
          <w:rFonts w:asciiTheme="minorHAnsi" w:hAnsiTheme="minorHAnsi"/>
          <w:i/>
          <w:sz w:val="22"/>
          <w:szCs w:val="22"/>
        </w:rPr>
        <w:t>cost</w:t>
      </w:r>
      <w:r w:rsidRPr="00751DC0">
        <w:rPr>
          <w:rFonts w:asciiTheme="minorHAnsi" w:hAnsiTheme="minorHAnsi"/>
          <w:i/>
          <w:spacing w:val="49"/>
          <w:sz w:val="22"/>
          <w:szCs w:val="22"/>
        </w:rPr>
        <w:t xml:space="preserve"> </w:t>
      </w:r>
      <w:r w:rsidRPr="00751DC0">
        <w:rPr>
          <w:rFonts w:asciiTheme="minorHAnsi" w:hAnsiTheme="minorHAnsi"/>
          <w:i/>
          <w:sz w:val="22"/>
          <w:szCs w:val="22"/>
        </w:rPr>
        <w:t>of an asset or gross book value</w:t>
      </w:r>
      <w:r w:rsidRPr="00751DC0">
        <w:rPr>
          <w:rFonts w:asciiTheme="minorHAnsi" w:hAnsiTheme="minorHAnsi"/>
          <w:i/>
          <w:spacing w:val="1"/>
          <w:sz w:val="22"/>
          <w:szCs w:val="22"/>
        </w:rPr>
        <w:t xml:space="preserve"> </w:t>
      </w:r>
      <w:r w:rsidRPr="00751DC0">
        <w:rPr>
          <w:rFonts w:asciiTheme="minorHAnsi" w:hAnsiTheme="minorHAnsi"/>
          <w:i/>
          <w:sz w:val="22"/>
          <w:szCs w:val="22"/>
        </w:rPr>
        <w:t>the company had to pay in order to possess the fixed asset or other amount</w:t>
      </w:r>
      <w:r w:rsidRPr="00751DC0">
        <w:rPr>
          <w:rFonts w:asciiTheme="minorHAnsi" w:hAnsiTheme="minorHAnsi"/>
          <w:i/>
          <w:spacing w:val="1"/>
          <w:sz w:val="22"/>
          <w:szCs w:val="22"/>
        </w:rPr>
        <w:t xml:space="preserve"> </w:t>
      </w:r>
      <w:r w:rsidRPr="00751DC0">
        <w:rPr>
          <w:rFonts w:asciiTheme="minorHAnsi" w:hAnsiTheme="minorHAnsi"/>
          <w:i/>
          <w:sz w:val="22"/>
          <w:szCs w:val="22"/>
        </w:rPr>
        <w:t>substituted</w:t>
      </w:r>
      <w:r w:rsidRPr="00751DC0">
        <w:rPr>
          <w:rFonts w:asciiTheme="minorHAnsi" w:hAnsiTheme="minorHAnsi"/>
          <w:i/>
          <w:spacing w:val="5"/>
          <w:sz w:val="22"/>
          <w:szCs w:val="22"/>
        </w:rPr>
        <w:t xml:space="preserve"> </w:t>
      </w:r>
      <w:r w:rsidRPr="00751DC0">
        <w:rPr>
          <w:rFonts w:asciiTheme="minorHAnsi" w:hAnsiTheme="minorHAnsi"/>
          <w:i/>
          <w:sz w:val="22"/>
          <w:szCs w:val="22"/>
        </w:rPr>
        <w:t>for</w:t>
      </w:r>
      <w:r w:rsidRPr="00751DC0">
        <w:rPr>
          <w:rFonts w:asciiTheme="minorHAnsi" w:hAnsiTheme="minorHAnsi"/>
          <w:i/>
          <w:spacing w:val="12"/>
          <w:sz w:val="22"/>
          <w:szCs w:val="22"/>
        </w:rPr>
        <w:t xml:space="preserve"> </w:t>
      </w:r>
      <w:r w:rsidRPr="00751DC0">
        <w:rPr>
          <w:rFonts w:asciiTheme="minorHAnsi" w:hAnsiTheme="minorHAnsi"/>
          <w:i/>
          <w:sz w:val="22"/>
          <w:szCs w:val="22"/>
        </w:rPr>
        <w:t>historical</w:t>
      </w:r>
      <w:r w:rsidRPr="00751DC0">
        <w:rPr>
          <w:rFonts w:asciiTheme="minorHAnsi" w:hAnsiTheme="minorHAnsi"/>
          <w:i/>
          <w:spacing w:val="9"/>
          <w:sz w:val="22"/>
          <w:szCs w:val="22"/>
        </w:rPr>
        <w:t xml:space="preserve"> </w:t>
      </w:r>
      <w:r w:rsidRPr="00751DC0">
        <w:rPr>
          <w:rFonts w:asciiTheme="minorHAnsi" w:hAnsiTheme="minorHAnsi"/>
          <w:i/>
          <w:sz w:val="22"/>
          <w:szCs w:val="22"/>
        </w:rPr>
        <w:t>cost</w:t>
      </w:r>
      <w:r w:rsidRPr="00751DC0">
        <w:rPr>
          <w:rFonts w:asciiTheme="minorHAnsi" w:hAnsiTheme="minorHAnsi"/>
          <w:i/>
          <w:spacing w:val="6"/>
          <w:sz w:val="22"/>
          <w:szCs w:val="22"/>
        </w:rPr>
        <w:t xml:space="preserve"> </w:t>
      </w:r>
      <w:r w:rsidRPr="00751DC0">
        <w:rPr>
          <w:rFonts w:asciiTheme="minorHAnsi" w:hAnsiTheme="minorHAnsi"/>
          <w:i/>
          <w:sz w:val="22"/>
          <w:szCs w:val="22"/>
        </w:rPr>
        <w:t>in</w:t>
      </w:r>
      <w:r w:rsidRPr="00751DC0">
        <w:rPr>
          <w:rFonts w:asciiTheme="minorHAnsi" w:hAnsiTheme="minorHAnsi"/>
          <w:i/>
          <w:spacing w:val="8"/>
          <w:sz w:val="22"/>
          <w:szCs w:val="22"/>
        </w:rPr>
        <w:t xml:space="preserve"> </w:t>
      </w:r>
      <w:r w:rsidRPr="00751DC0">
        <w:rPr>
          <w:rFonts w:asciiTheme="minorHAnsi" w:hAnsiTheme="minorHAnsi"/>
          <w:i/>
          <w:sz w:val="22"/>
          <w:szCs w:val="22"/>
        </w:rPr>
        <w:t>the</w:t>
      </w:r>
      <w:r w:rsidRPr="00751DC0">
        <w:rPr>
          <w:rFonts w:asciiTheme="minorHAnsi" w:hAnsiTheme="minorHAnsi"/>
          <w:i/>
          <w:spacing w:val="10"/>
          <w:sz w:val="22"/>
          <w:szCs w:val="22"/>
        </w:rPr>
        <w:t xml:space="preserve"> </w:t>
      </w:r>
      <w:r w:rsidRPr="00751DC0">
        <w:rPr>
          <w:rFonts w:asciiTheme="minorHAnsi" w:hAnsiTheme="minorHAnsi"/>
          <w:i/>
          <w:sz w:val="22"/>
          <w:szCs w:val="22"/>
        </w:rPr>
        <w:t>books</w:t>
      </w:r>
      <w:r w:rsidRPr="00751DC0">
        <w:rPr>
          <w:rFonts w:asciiTheme="minorHAnsi" w:hAnsiTheme="minorHAnsi"/>
          <w:i/>
          <w:spacing w:val="7"/>
          <w:sz w:val="22"/>
          <w:szCs w:val="22"/>
        </w:rPr>
        <w:t xml:space="preserve"> </w:t>
      </w:r>
      <w:r w:rsidRPr="00751DC0">
        <w:rPr>
          <w:rFonts w:asciiTheme="minorHAnsi" w:hAnsiTheme="minorHAnsi"/>
          <w:i/>
          <w:sz w:val="22"/>
          <w:szCs w:val="22"/>
        </w:rPr>
        <w:t>of</w:t>
      </w:r>
      <w:r w:rsidRPr="00751DC0">
        <w:rPr>
          <w:rFonts w:asciiTheme="minorHAnsi" w:hAnsiTheme="minorHAnsi"/>
          <w:i/>
          <w:spacing w:val="8"/>
          <w:sz w:val="22"/>
          <w:szCs w:val="22"/>
        </w:rPr>
        <w:t xml:space="preserve"> </w:t>
      </w:r>
      <w:r w:rsidRPr="00751DC0">
        <w:rPr>
          <w:rFonts w:asciiTheme="minorHAnsi" w:hAnsiTheme="minorHAnsi"/>
          <w:i/>
          <w:sz w:val="22"/>
          <w:szCs w:val="22"/>
        </w:rPr>
        <w:t>account</w:t>
      </w:r>
      <w:r w:rsidRPr="00751DC0">
        <w:rPr>
          <w:rFonts w:asciiTheme="minorHAnsi" w:hAnsiTheme="minorHAnsi"/>
          <w:i/>
          <w:spacing w:val="6"/>
          <w:sz w:val="22"/>
          <w:szCs w:val="22"/>
        </w:rPr>
        <w:t xml:space="preserve"> </w:t>
      </w:r>
      <w:r w:rsidRPr="00751DC0">
        <w:rPr>
          <w:rFonts w:asciiTheme="minorHAnsi" w:hAnsiTheme="minorHAnsi"/>
          <w:i/>
          <w:sz w:val="22"/>
          <w:szCs w:val="22"/>
        </w:rPr>
        <w:t>or</w:t>
      </w:r>
      <w:r w:rsidRPr="00751DC0">
        <w:rPr>
          <w:rFonts w:asciiTheme="minorHAnsi" w:hAnsiTheme="minorHAnsi"/>
          <w:i/>
          <w:spacing w:val="8"/>
          <w:sz w:val="22"/>
          <w:szCs w:val="22"/>
        </w:rPr>
        <w:t xml:space="preserve"> </w:t>
      </w:r>
      <w:r w:rsidRPr="00751DC0">
        <w:rPr>
          <w:rFonts w:asciiTheme="minorHAnsi" w:hAnsiTheme="minorHAnsi"/>
          <w:i/>
          <w:sz w:val="22"/>
          <w:szCs w:val="22"/>
        </w:rPr>
        <w:t>financial</w:t>
      </w:r>
      <w:r w:rsidRPr="00751DC0">
        <w:rPr>
          <w:rFonts w:asciiTheme="minorHAnsi" w:hAnsiTheme="minorHAnsi"/>
          <w:i/>
          <w:spacing w:val="4"/>
          <w:sz w:val="22"/>
          <w:szCs w:val="22"/>
        </w:rPr>
        <w:t xml:space="preserve"> </w:t>
      </w:r>
      <w:r w:rsidRPr="00751DC0">
        <w:rPr>
          <w:rFonts w:asciiTheme="minorHAnsi" w:hAnsiTheme="minorHAnsi"/>
          <w:i/>
          <w:sz w:val="22"/>
          <w:szCs w:val="22"/>
        </w:rPr>
        <w:t>statements;”.</w:t>
      </w:r>
    </w:p>
    <w:p w14:paraId="14ABA718" w14:textId="77777777" w:rsidR="00423534" w:rsidRPr="00751DC0" w:rsidRDefault="00423534" w:rsidP="00423534">
      <w:pPr>
        <w:widowControl w:val="0"/>
        <w:autoSpaceDE w:val="0"/>
        <w:autoSpaceDN w:val="0"/>
        <w:spacing w:before="158" w:line="360" w:lineRule="auto"/>
        <w:ind w:left="993" w:right="379"/>
        <w:jc w:val="both"/>
        <w:rPr>
          <w:rFonts w:asciiTheme="minorHAnsi" w:eastAsia="Calibri" w:hAnsiTheme="minorHAnsi" w:cs="Calibri"/>
          <w:sz w:val="22"/>
          <w:szCs w:val="22"/>
        </w:rPr>
      </w:pPr>
      <w:r w:rsidRPr="00751DC0">
        <w:rPr>
          <w:rFonts w:asciiTheme="minorHAnsi" w:eastAsia="Calibri" w:hAnsiTheme="minorHAnsi" w:cs="Calibri"/>
          <w:sz w:val="22"/>
          <w:szCs w:val="22"/>
        </w:rPr>
        <w:t>Further, these Assets (having reached 10 % of their GFA) that have been deducted by</w:t>
      </w:r>
      <w:r w:rsidRPr="00751DC0">
        <w:rPr>
          <w:rFonts w:asciiTheme="minorHAnsi" w:eastAsia="Calibri" w:hAnsiTheme="minorHAnsi" w:cs="Calibri"/>
          <w:spacing w:val="1"/>
          <w:sz w:val="22"/>
          <w:szCs w:val="22"/>
        </w:rPr>
        <w:t xml:space="preserve"> </w:t>
      </w:r>
      <w:r w:rsidRPr="00751DC0">
        <w:rPr>
          <w:rFonts w:asciiTheme="minorHAnsi" w:eastAsia="Calibri" w:hAnsiTheme="minorHAnsi" w:cs="Calibri"/>
          <w:sz w:val="22"/>
          <w:szCs w:val="22"/>
        </w:rPr>
        <w:t>the Hon’ble Commission for allowing normative R&amp;M are very much in service and</w:t>
      </w:r>
      <w:r w:rsidRPr="00751DC0">
        <w:rPr>
          <w:rFonts w:asciiTheme="minorHAnsi" w:eastAsia="Calibri" w:hAnsiTheme="minorHAnsi" w:cs="Calibri"/>
          <w:spacing w:val="1"/>
          <w:sz w:val="22"/>
          <w:szCs w:val="22"/>
        </w:rPr>
        <w:t xml:space="preserve"> </w:t>
      </w:r>
      <w:r w:rsidRPr="00751DC0">
        <w:rPr>
          <w:rFonts w:asciiTheme="minorHAnsi" w:eastAsia="Calibri" w:hAnsiTheme="minorHAnsi" w:cs="Calibri"/>
          <w:sz w:val="22"/>
          <w:szCs w:val="22"/>
        </w:rPr>
        <w:t>required</w:t>
      </w:r>
      <w:r w:rsidRPr="00751DC0">
        <w:rPr>
          <w:rFonts w:asciiTheme="minorHAnsi" w:eastAsia="Calibri" w:hAnsiTheme="minorHAnsi" w:cs="Calibri"/>
          <w:spacing w:val="19"/>
          <w:sz w:val="22"/>
          <w:szCs w:val="22"/>
        </w:rPr>
        <w:t xml:space="preserve"> </w:t>
      </w:r>
      <w:r w:rsidRPr="00751DC0">
        <w:rPr>
          <w:rFonts w:asciiTheme="minorHAnsi" w:eastAsia="Calibri" w:hAnsiTheme="minorHAnsi" w:cs="Calibri"/>
          <w:sz w:val="22"/>
          <w:szCs w:val="22"/>
        </w:rPr>
        <w:t>to</w:t>
      </w:r>
      <w:r w:rsidRPr="00751DC0">
        <w:rPr>
          <w:rFonts w:asciiTheme="minorHAnsi" w:eastAsia="Calibri" w:hAnsiTheme="minorHAnsi" w:cs="Calibri"/>
          <w:spacing w:val="21"/>
          <w:sz w:val="22"/>
          <w:szCs w:val="22"/>
        </w:rPr>
        <w:t xml:space="preserve"> </w:t>
      </w:r>
      <w:r w:rsidRPr="00751DC0">
        <w:rPr>
          <w:rFonts w:asciiTheme="minorHAnsi" w:eastAsia="Calibri" w:hAnsiTheme="minorHAnsi" w:cs="Calibri"/>
          <w:sz w:val="22"/>
          <w:szCs w:val="22"/>
        </w:rPr>
        <w:t>be</w:t>
      </w:r>
      <w:r w:rsidRPr="00751DC0">
        <w:rPr>
          <w:rFonts w:asciiTheme="minorHAnsi" w:eastAsia="Calibri" w:hAnsiTheme="minorHAnsi" w:cs="Calibri"/>
          <w:spacing w:val="21"/>
          <w:sz w:val="22"/>
          <w:szCs w:val="22"/>
        </w:rPr>
        <w:t xml:space="preserve"> </w:t>
      </w:r>
      <w:r w:rsidRPr="00751DC0">
        <w:rPr>
          <w:rFonts w:asciiTheme="minorHAnsi" w:eastAsia="Calibri" w:hAnsiTheme="minorHAnsi" w:cs="Calibri"/>
          <w:sz w:val="22"/>
          <w:szCs w:val="22"/>
        </w:rPr>
        <w:t>maintained</w:t>
      </w:r>
      <w:r w:rsidRPr="00751DC0">
        <w:rPr>
          <w:rFonts w:asciiTheme="minorHAnsi" w:eastAsia="Calibri" w:hAnsiTheme="minorHAnsi" w:cs="Calibri"/>
          <w:spacing w:val="17"/>
          <w:sz w:val="22"/>
          <w:szCs w:val="22"/>
        </w:rPr>
        <w:t xml:space="preserve"> </w:t>
      </w:r>
      <w:r w:rsidRPr="00751DC0">
        <w:rPr>
          <w:rFonts w:asciiTheme="minorHAnsi" w:eastAsia="Calibri" w:hAnsiTheme="minorHAnsi" w:cs="Calibri"/>
          <w:sz w:val="22"/>
          <w:szCs w:val="22"/>
        </w:rPr>
        <w:t>for</w:t>
      </w:r>
      <w:r w:rsidRPr="00751DC0">
        <w:rPr>
          <w:rFonts w:asciiTheme="minorHAnsi" w:eastAsia="Calibri" w:hAnsiTheme="minorHAnsi" w:cs="Calibri"/>
          <w:spacing w:val="22"/>
          <w:sz w:val="22"/>
          <w:szCs w:val="22"/>
        </w:rPr>
        <w:t xml:space="preserve"> </w:t>
      </w:r>
      <w:r w:rsidRPr="00751DC0">
        <w:rPr>
          <w:rFonts w:asciiTheme="minorHAnsi" w:eastAsia="Calibri" w:hAnsiTheme="minorHAnsi" w:cs="Calibri"/>
          <w:sz w:val="22"/>
          <w:szCs w:val="22"/>
        </w:rPr>
        <w:t>ensuring</w:t>
      </w:r>
      <w:r w:rsidRPr="00751DC0">
        <w:rPr>
          <w:rFonts w:asciiTheme="minorHAnsi" w:eastAsia="Calibri" w:hAnsiTheme="minorHAnsi" w:cs="Calibri"/>
          <w:spacing w:val="17"/>
          <w:sz w:val="22"/>
          <w:szCs w:val="22"/>
        </w:rPr>
        <w:t xml:space="preserve"> </w:t>
      </w:r>
      <w:r w:rsidRPr="00751DC0">
        <w:rPr>
          <w:rFonts w:asciiTheme="minorHAnsi" w:eastAsia="Calibri" w:hAnsiTheme="minorHAnsi" w:cs="Calibri"/>
          <w:sz w:val="22"/>
          <w:szCs w:val="22"/>
        </w:rPr>
        <w:t>Power</w:t>
      </w:r>
      <w:r w:rsidRPr="00751DC0">
        <w:rPr>
          <w:rFonts w:asciiTheme="minorHAnsi" w:eastAsia="Calibri" w:hAnsiTheme="minorHAnsi" w:cs="Calibri"/>
          <w:spacing w:val="18"/>
          <w:sz w:val="22"/>
          <w:szCs w:val="22"/>
        </w:rPr>
        <w:t xml:space="preserve"> </w:t>
      </w:r>
      <w:r w:rsidRPr="00751DC0">
        <w:rPr>
          <w:rFonts w:asciiTheme="minorHAnsi" w:eastAsia="Calibri" w:hAnsiTheme="minorHAnsi" w:cs="Calibri"/>
          <w:sz w:val="22"/>
          <w:szCs w:val="22"/>
        </w:rPr>
        <w:t>Supply</w:t>
      </w:r>
      <w:r w:rsidRPr="00751DC0">
        <w:rPr>
          <w:rFonts w:asciiTheme="minorHAnsi" w:eastAsia="Calibri" w:hAnsiTheme="minorHAnsi" w:cs="Calibri"/>
          <w:spacing w:val="17"/>
          <w:sz w:val="22"/>
          <w:szCs w:val="22"/>
        </w:rPr>
        <w:t xml:space="preserve"> </w:t>
      </w:r>
      <w:r w:rsidRPr="00751DC0">
        <w:rPr>
          <w:rFonts w:asciiTheme="minorHAnsi" w:eastAsia="Calibri" w:hAnsiTheme="minorHAnsi" w:cs="Calibri"/>
          <w:sz w:val="22"/>
          <w:szCs w:val="22"/>
        </w:rPr>
        <w:t>to</w:t>
      </w:r>
      <w:r w:rsidRPr="00751DC0">
        <w:rPr>
          <w:rFonts w:asciiTheme="minorHAnsi" w:eastAsia="Calibri" w:hAnsiTheme="minorHAnsi" w:cs="Calibri"/>
          <w:spacing w:val="24"/>
          <w:sz w:val="22"/>
          <w:szCs w:val="22"/>
        </w:rPr>
        <w:t xml:space="preserve"> </w:t>
      </w:r>
      <w:r w:rsidRPr="00751DC0">
        <w:rPr>
          <w:rFonts w:asciiTheme="minorHAnsi" w:eastAsia="Calibri" w:hAnsiTheme="minorHAnsi" w:cs="Calibri"/>
          <w:sz w:val="22"/>
          <w:szCs w:val="22"/>
        </w:rPr>
        <w:t>the</w:t>
      </w:r>
      <w:r w:rsidRPr="00751DC0">
        <w:rPr>
          <w:rFonts w:asciiTheme="minorHAnsi" w:eastAsia="Calibri" w:hAnsiTheme="minorHAnsi" w:cs="Calibri"/>
          <w:spacing w:val="24"/>
          <w:sz w:val="22"/>
          <w:szCs w:val="22"/>
        </w:rPr>
        <w:t xml:space="preserve"> </w:t>
      </w:r>
      <w:r w:rsidRPr="00751DC0">
        <w:rPr>
          <w:rFonts w:asciiTheme="minorHAnsi" w:eastAsia="Calibri" w:hAnsiTheme="minorHAnsi" w:cs="Calibri"/>
          <w:sz w:val="22"/>
          <w:szCs w:val="22"/>
        </w:rPr>
        <w:t>Consumers.</w:t>
      </w:r>
      <w:r w:rsidRPr="00751DC0">
        <w:rPr>
          <w:rFonts w:asciiTheme="minorHAnsi" w:eastAsia="Calibri" w:hAnsiTheme="minorHAnsi" w:cs="Calibri"/>
          <w:spacing w:val="20"/>
          <w:sz w:val="22"/>
          <w:szCs w:val="22"/>
        </w:rPr>
        <w:t xml:space="preserve"> </w:t>
      </w:r>
    </w:p>
    <w:p w14:paraId="18360416" w14:textId="77777777" w:rsidR="00423534" w:rsidRPr="00751DC0" w:rsidRDefault="00423534" w:rsidP="00423534">
      <w:pPr>
        <w:widowControl w:val="0"/>
        <w:autoSpaceDE w:val="0"/>
        <w:autoSpaceDN w:val="0"/>
        <w:spacing w:before="158" w:line="360" w:lineRule="auto"/>
        <w:ind w:left="993" w:right="381"/>
        <w:jc w:val="both"/>
        <w:rPr>
          <w:rFonts w:asciiTheme="minorHAnsi" w:eastAsia="Calibri" w:hAnsiTheme="minorHAnsi" w:cs="Calibri"/>
          <w:sz w:val="22"/>
          <w:szCs w:val="22"/>
        </w:rPr>
      </w:pPr>
      <w:r w:rsidRPr="00751DC0">
        <w:rPr>
          <w:rFonts w:asciiTheme="minorHAnsi" w:eastAsia="Calibri" w:hAnsiTheme="minorHAnsi" w:cs="Calibri"/>
          <w:sz w:val="22"/>
          <w:szCs w:val="22"/>
        </w:rPr>
        <w:t>Moreover, such Assets are in use in field and requires maintenance.</w:t>
      </w:r>
    </w:p>
    <w:p w14:paraId="6B477497" w14:textId="77777777" w:rsidR="00423534" w:rsidRPr="004954F9" w:rsidRDefault="00423534" w:rsidP="00423534">
      <w:pPr>
        <w:widowControl w:val="0"/>
        <w:autoSpaceDE w:val="0"/>
        <w:autoSpaceDN w:val="0"/>
        <w:spacing w:before="158" w:line="360" w:lineRule="auto"/>
        <w:ind w:left="993" w:right="377"/>
        <w:jc w:val="both"/>
        <w:rPr>
          <w:rFonts w:ascii="Calibri" w:eastAsia="Calibri" w:hAnsi="Calibri" w:cs="Calibri"/>
          <w:sz w:val="22"/>
          <w:szCs w:val="22"/>
        </w:rPr>
      </w:pPr>
      <w:r w:rsidRPr="00751DC0">
        <w:rPr>
          <w:rFonts w:asciiTheme="minorHAnsi" w:eastAsia="Calibri" w:hAnsiTheme="minorHAnsi" w:cs="Calibri"/>
          <w:sz w:val="22"/>
          <w:szCs w:val="22"/>
        </w:rPr>
        <w:t>Further,</w:t>
      </w:r>
      <w:r w:rsidRPr="00751DC0">
        <w:rPr>
          <w:rFonts w:asciiTheme="minorHAnsi" w:eastAsia="Calibri" w:hAnsiTheme="minorHAnsi" w:cs="Calibri"/>
          <w:spacing w:val="1"/>
          <w:sz w:val="22"/>
          <w:szCs w:val="22"/>
        </w:rPr>
        <w:t xml:space="preserve"> </w:t>
      </w:r>
      <w:r w:rsidRPr="00751DC0">
        <w:rPr>
          <w:rFonts w:asciiTheme="minorHAnsi" w:eastAsia="Calibri" w:hAnsiTheme="minorHAnsi" w:cs="Calibri"/>
          <w:sz w:val="22"/>
          <w:szCs w:val="22"/>
        </w:rPr>
        <w:t>for</w:t>
      </w:r>
      <w:r w:rsidRPr="00751DC0">
        <w:rPr>
          <w:rFonts w:asciiTheme="minorHAnsi" w:eastAsia="Calibri" w:hAnsiTheme="minorHAnsi" w:cs="Calibri"/>
          <w:spacing w:val="1"/>
          <w:sz w:val="22"/>
          <w:szCs w:val="22"/>
        </w:rPr>
        <w:t xml:space="preserve"> </w:t>
      </w:r>
      <w:r w:rsidRPr="00751DC0">
        <w:rPr>
          <w:rFonts w:asciiTheme="minorHAnsi" w:eastAsia="Calibri" w:hAnsiTheme="minorHAnsi" w:cs="Calibri"/>
          <w:sz w:val="22"/>
          <w:szCs w:val="22"/>
        </w:rPr>
        <w:t>FY</w:t>
      </w:r>
      <w:r w:rsidRPr="00751DC0">
        <w:rPr>
          <w:rFonts w:asciiTheme="minorHAnsi" w:eastAsia="Calibri" w:hAnsiTheme="minorHAnsi" w:cs="Calibri"/>
          <w:spacing w:val="1"/>
          <w:sz w:val="22"/>
          <w:szCs w:val="22"/>
        </w:rPr>
        <w:t xml:space="preserve"> </w:t>
      </w:r>
      <w:r w:rsidRPr="00751DC0">
        <w:rPr>
          <w:rFonts w:asciiTheme="minorHAnsi" w:eastAsia="Calibri" w:hAnsiTheme="minorHAnsi" w:cs="Calibri"/>
          <w:sz w:val="22"/>
          <w:szCs w:val="22"/>
        </w:rPr>
        <w:t>2023-24</w:t>
      </w:r>
      <w:r w:rsidRPr="00751DC0">
        <w:rPr>
          <w:rFonts w:asciiTheme="minorHAnsi" w:eastAsia="Calibri" w:hAnsiTheme="minorHAnsi" w:cs="Calibri"/>
          <w:spacing w:val="1"/>
          <w:sz w:val="22"/>
          <w:szCs w:val="22"/>
        </w:rPr>
        <w:t xml:space="preserve"> </w:t>
      </w:r>
      <w:r w:rsidRPr="00751DC0">
        <w:rPr>
          <w:rFonts w:asciiTheme="minorHAnsi" w:eastAsia="Calibri" w:hAnsiTheme="minorHAnsi" w:cs="Calibri"/>
          <w:sz w:val="22"/>
          <w:szCs w:val="22"/>
        </w:rPr>
        <w:t>no</w:t>
      </w:r>
      <w:r w:rsidRPr="00751DC0">
        <w:rPr>
          <w:rFonts w:asciiTheme="minorHAnsi" w:eastAsia="Calibri" w:hAnsiTheme="minorHAnsi" w:cs="Calibri"/>
          <w:spacing w:val="1"/>
          <w:sz w:val="22"/>
          <w:szCs w:val="22"/>
        </w:rPr>
        <w:t xml:space="preserve"> </w:t>
      </w:r>
      <w:r w:rsidRPr="00751DC0">
        <w:rPr>
          <w:rFonts w:asciiTheme="minorHAnsi" w:eastAsia="Calibri" w:hAnsiTheme="minorHAnsi" w:cs="Calibri"/>
          <w:sz w:val="22"/>
          <w:szCs w:val="22"/>
        </w:rPr>
        <w:t>such</w:t>
      </w:r>
      <w:r w:rsidRPr="00751DC0">
        <w:rPr>
          <w:rFonts w:asciiTheme="minorHAnsi" w:eastAsia="Calibri" w:hAnsiTheme="minorHAnsi" w:cs="Calibri"/>
          <w:spacing w:val="1"/>
          <w:sz w:val="22"/>
          <w:szCs w:val="22"/>
        </w:rPr>
        <w:t xml:space="preserve"> </w:t>
      </w:r>
      <w:r w:rsidRPr="00751DC0">
        <w:rPr>
          <w:rFonts w:asciiTheme="minorHAnsi" w:eastAsia="Calibri" w:hAnsiTheme="minorHAnsi" w:cs="Calibri"/>
          <w:sz w:val="22"/>
          <w:szCs w:val="22"/>
        </w:rPr>
        <w:t>Treatment</w:t>
      </w:r>
      <w:r w:rsidRPr="00751DC0">
        <w:rPr>
          <w:rFonts w:asciiTheme="minorHAnsi" w:eastAsia="Calibri" w:hAnsiTheme="minorHAnsi" w:cs="Calibri"/>
          <w:spacing w:val="1"/>
          <w:sz w:val="22"/>
          <w:szCs w:val="22"/>
        </w:rPr>
        <w:t xml:space="preserve"> </w:t>
      </w:r>
      <w:r w:rsidRPr="00751DC0">
        <w:rPr>
          <w:rFonts w:asciiTheme="minorHAnsi" w:eastAsia="Calibri" w:hAnsiTheme="minorHAnsi" w:cs="Calibri"/>
          <w:sz w:val="22"/>
          <w:szCs w:val="22"/>
        </w:rPr>
        <w:t>was</w:t>
      </w:r>
      <w:r w:rsidRPr="00751DC0">
        <w:rPr>
          <w:rFonts w:asciiTheme="minorHAnsi" w:eastAsia="Calibri" w:hAnsiTheme="minorHAnsi" w:cs="Calibri"/>
          <w:spacing w:val="1"/>
          <w:sz w:val="22"/>
          <w:szCs w:val="22"/>
        </w:rPr>
        <w:t xml:space="preserve"> </w:t>
      </w:r>
      <w:r w:rsidRPr="00751DC0">
        <w:rPr>
          <w:rFonts w:asciiTheme="minorHAnsi" w:eastAsia="Calibri" w:hAnsiTheme="minorHAnsi" w:cs="Calibri"/>
          <w:sz w:val="22"/>
          <w:szCs w:val="22"/>
        </w:rPr>
        <w:t>provided,</w:t>
      </w:r>
      <w:r w:rsidRPr="00751DC0">
        <w:rPr>
          <w:rFonts w:asciiTheme="minorHAnsi" w:eastAsia="Calibri" w:hAnsiTheme="minorHAnsi" w:cs="Calibri"/>
          <w:spacing w:val="1"/>
          <w:sz w:val="22"/>
          <w:szCs w:val="22"/>
        </w:rPr>
        <w:t xml:space="preserve"> </w:t>
      </w:r>
      <w:proofErr w:type="spellStart"/>
      <w:r w:rsidRPr="00751DC0">
        <w:rPr>
          <w:rFonts w:asciiTheme="minorHAnsi" w:eastAsia="Calibri" w:hAnsiTheme="minorHAnsi" w:cs="Calibri"/>
          <w:sz w:val="22"/>
          <w:szCs w:val="22"/>
        </w:rPr>
        <w:t>i.e</w:t>
      </w:r>
      <w:proofErr w:type="spellEnd"/>
      <w:r w:rsidRPr="00751DC0">
        <w:rPr>
          <w:rFonts w:asciiTheme="minorHAnsi" w:eastAsia="Calibri" w:hAnsiTheme="minorHAnsi" w:cs="Calibri"/>
          <w:spacing w:val="1"/>
          <w:sz w:val="22"/>
          <w:szCs w:val="22"/>
        </w:rPr>
        <w:t xml:space="preserve"> </w:t>
      </w:r>
      <w:r w:rsidRPr="00751DC0">
        <w:rPr>
          <w:rFonts w:asciiTheme="minorHAnsi" w:eastAsia="Calibri" w:hAnsiTheme="minorHAnsi" w:cs="Calibri"/>
          <w:sz w:val="22"/>
          <w:szCs w:val="22"/>
        </w:rPr>
        <w:t>entire</w:t>
      </w:r>
      <w:r w:rsidRPr="00751DC0">
        <w:rPr>
          <w:rFonts w:asciiTheme="minorHAnsi" w:eastAsia="Calibri" w:hAnsiTheme="minorHAnsi" w:cs="Calibri"/>
          <w:spacing w:val="1"/>
          <w:sz w:val="22"/>
          <w:szCs w:val="22"/>
        </w:rPr>
        <w:t xml:space="preserve"> </w:t>
      </w:r>
      <w:r w:rsidRPr="00751DC0">
        <w:rPr>
          <w:rFonts w:asciiTheme="minorHAnsi" w:eastAsia="Calibri" w:hAnsiTheme="minorHAnsi" w:cs="Calibri"/>
          <w:sz w:val="22"/>
          <w:szCs w:val="22"/>
        </w:rPr>
        <w:t>GFA</w:t>
      </w:r>
      <w:r w:rsidRPr="00751DC0">
        <w:rPr>
          <w:rFonts w:asciiTheme="minorHAnsi" w:eastAsia="Calibri" w:hAnsiTheme="minorHAnsi" w:cs="Calibri"/>
          <w:spacing w:val="49"/>
          <w:sz w:val="22"/>
          <w:szCs w:val="22"/>
        </w:rPr>
        <w:t xml:space="preserve"> </w:t>
      </w:r>
      <w:r w:rsidRPr="00751DC0">
        <w:rPr>
          <w:rFonts w:asciiTheme="minorHAnsi" w:eastAsia="Calibri" w:hAnsiTheme="minorHAnsi" w:cs="Calibri"/>
          <w:sz w:val="22"/>
          <w:szCs w:val="22"/>
        </w:rPr>
        <w:t>was</w:t>
      </w:r>
      <w:r w:rsidRPr="00751DC0">
        <w:rPr>
          <w:rFonts w:asciiTheme="minorHAnsi" w:eastAsia="Calibri" w:hAnsiTheme="minorHAnsi" w:cs="Calibri"/>
          <w:spacing w:val="1"/>
          <w:sz w:val="22"/>
          <w:szCs w:val="22"/>
        </w:rPr>
        <w:t xml:space="preserve"> </w:t>
      </w:r>
      <w:r w:rsidRPr="00751DC0">
        <w:rPr>
          <w:rFonts w:asciiTheme="minorHAnsi" w:eastAsia="Calibri" w:hAnsiTheme="minorHAnsi" w:cs="Calibri"/>
          <w:sz w:val="22"/>
          <w:szCs w:val="22"/>
        </w:rPr>
        <w:t>considered while</w:t>
      </w:r>
      <w:r w:rsidRPr="00751DC0">
        <w:rPr>
          <w:rFonts w:asciiTheme="minorHAnsi" w:eastAsia="Calibri" w:hAnsiTheme="minorHAnsi" w:cs="Calibri"/>
          <w:spacing w:val="1"/>
          <w:sz w:val="22"/>
          <w:szCs w:val="22"/>
        </w:rPr>
        <w:t xml:space="preserve"> </w:t>
      </w:r>
      <w:r w:rsidRPr="00751DC0">
        <w:rPr>
          <w:rFonts w:asciiTheme="minorHAnsi" w:eastAsia="Calibri" w:hAnsiTheme="minorHAnsi" w:cs="Calibri"/>
          <w:sz w:val="22"/>
          <w:szCs w:val="22"/>
        </w:rPr>
        <w:t>approving allowable</w:t>
      </w:r>
      <w:r w:rsidRPr="00751DC0">
        <w:rPr>
          <w:rFonts w:asciiTheme="minorHAnsi" w:eastAsia="Calibri" w:hAnsiTheme="minorHAnsi" w:cs="Calibri"/>
          <w:spacing w:val="1"/>
          <w:sz w:val="22"/>
          <w:szCs w:val="22"/>
        </w:rPr>
        <w:t xml:space="preserve"> </w:t>
      </w:r>
      <w:r w:rsidRPr="00751DC0">
        <w:rPr>
          <w:rFonts w:asciiTheme="minorHAnsi" w:eastAsia="Calibri" w:hAnsiTheme="minorHAnsi" w:cs="Calibri"/>
          <w:sz w:val="22"/>
          <w:szCs w:val="22"/>
        </w:rPr>
        <w:t>R&amp;M Cost.</w:t>
      </w:r>
      <w:r w:rsidRPr="00751DC0">
        <w:rPr>
          <w:rFonts w:asciiTheme="minorHAnsi" w:eastAsia="Calibri" w:hAnsiTheme="minorHAnsi" w:cs="Calibri"/>
          <w:spacing w:val="1"/>
          <w:sz w:val="22"/>
          <w:szCs w:val="22"/>
        </w:rPr>
        <w:t xml:space="preserve"> </w:t>
      </w:r>
      <w:r w:rsidRPr="00751DC0">
        <w:rPr>
          <w:rFonts w:asciiTheme="minorHAnsi" w:eastAsia="Calibri" w:hAnsiTheme="minorHAnsi" w:cs="Calibri"/>
          <w:sz w:val="22"/>
          <w:szCs w:val="22"/>
        </w:rPr>
        <w:t>The extract from Tariff Order</w:t>
      </w:r>
      <w:r w:rsidRPr="004954F9">
        <w:rPr>
          <w:rFonts w:ascii="Calibri" w:eastAsia="Calibri" w:hAnsi="Calibri" w:cs="Calibri"/>
          <w:sz w:val="22"/>
          <w:szCs w:val="22"/>
        </w:rPr>
        <w:t xml:space="preserve"> FY</w:t>
      </w:r>
      <w:r w:rsidRPr="004954F9">
        <w:rPr>
          <w:rFonts w:ascii="Calibri" w:eastAsia="Calibri" w:hAnsi="Calibri" w:cs="Calibri"/>
          <w:spacing w:val="1"/>
          <w:sz w:val="22"/>
          <w:szCs w:val="22"/>
        </w:rPr>
        <w:t xml:space="preserve"> </w:t>
      </w:r>
      <w:r w:rsidRPr="004954F9">
        <w:rPr>
          <w:rFonts w:ascii="Calibri" w:eastAsia="Calibri" w:hAnsi="Calibri" w:cs="Calibri"/>
          <w:sz w:val="22"/>
          <w:szCs w:val="22"/>
        </w:rPr>
        <w:t>2023-24 is</w:t>
      </w:r>
      <w:r w:rsidRPr="004954F9">
        <w:rPr>
          <w:rFonts w:ascii="Calibri" w:eastAsia="Calibri" w:hAnsi="Calibri" w:cs="Calibri"/>
          <w:spacing w:val="-3"/>
          <w:sz w:val="22"/>
          <w:szCs w:val="22"/>
        </w:rPr>
        <w:t xml:space="preserve"> </w:t>
      </w:r>
      <w:r w:rsidRPr="004954F9">
        <w:rPr>
          <w:rFonts w:ascii="Calibri" w:eastAsia="Calibri" w:hAnsi="Calibri" w:cs="Calibri"/>
          <w:sz w:val="22"/>
          <w:szCs w:val="22"/>
        </w:rPr>
        <w:t>provided</w:t>
      </w:r>
      <w:r w:rsidRPr="004954F9">
        <w:rPr>
          <w:rFonts w:ascii="Calibri" w:eastAsia="Calibri" w:hAnsi="Calibri" w:cs="Calibri"/>
          <w:spacing w:val="4"/>
          <w:sz w:val="22"/>
          <w:szCs w:val="22"/>
        </w:rPr>
        <w:t xml:space="preserve"> </w:t>
      </w:r>
      <w:r w:rsidRPr="004954F9">
        <w:rPr>
          <w:rFonts w:ascii="Calibri" w:eastAsia="Calibri" w:hAnsi="Calibri" w:cs="Calibri"/>
          <w:sz w:val="22"/>
          <w:szCs w:val="22"/>
        </w:rPr>
        <w:t>below.</w:t>
      </w:r>
    </w:p>
    <w:p w14:paraId="2F50B254" w14:textId="0266C7D3" w:rsidR="00423534" w:rsidRPr="004954F9" w:rsidRDefault="00B602FC" w:rsidP="00423534">
      <w:pPr>
        <w:widowControl w:val="0"/>
        <w:autoSpaceDE w:val="0"/>
        <w:autoSpaceDN w:val="0"/>
        <w:spacing w:before="158" w:line="264" w:lineRule="auto"/>
        <w:ind w:left="2028" w:right="377"/>
        <w:jc w:val="center"/>
        <w:rPr>
          <w:rFonts w:ascii="Calibri" w:eastAsia="Calibri" w:hAnsi="Calibri" w:cs="Calibri"/>
          <w:b/>
          <w:sz w:val="22"/>
          <w:szCs w:val="22"/>
        </w:rPr>
      </w:pPr>
      <w:r>
        <w:rPr>
          <w:rFonts w:ascii="Calibri" w:eastAsia="Calibri" w:hAnsi="Calibri" w:cs="Calibri"/>
          <w:b/>
          <w:sz w:val="22"/>
          <w:szCs w:val="22"/>
        </w:rPr>
        <w:t>Table-</w:t>
      </w:r>
      <w:proofErr w:type="gramStart"/>
      <w:r>
        <w:rPr>
          <w:rFonts w:ascii="Calibri" w:eastAsia="Calibri" w:hAnsi="Calibri" w:cs="Calibri"/>
          <w:b/>
          <w:sz w:val="22"/>
          <w:szCs w:val="22"/>
        </w:rPr>
        <w:t>54:-</w:t>
      </w:r>
      <w:proofErr w:type="gramEnd"/>
      <w:r>
        <w:rPr>
          <w:rFonts w:ascii="Calibri" w:eastAsia="Calibri" w:hAnsi="Calibri" w:cs="Calibri"/>
          <w:b/>
          <w:sz w:val="22"/>
          <w:szCs w:val="22"/>
        </w:rPr>
        <w:t xml:space="preserve"> </w:t>
      </w:r>
      <w:r w:rsidR="00423534" w:rsidRPr="004954F9">
        <w:rPr>
          <w:rFonts w:ascii="Calibri" w:eastAsia="Calibri" w:hAnsi="Calibri" w:cs="Calibri"/>
          <w:b/>
          <w:sz w:val="22"/>
          <w:szCs w:val="22"/>
        </w:rPr>
        <w:t xml:space="preserve">Approved R&amp;M FY 2023-24   (In Rs. </w:t>
      </w:r>
      <w:proofErr w:type="spellStart"/>
      <w:r w:rsidR="00423534" w:rsidRPr="004954F9">
        <w:rPr>
          <w:rFonts w:ascii="Calibri" w:eastAsia="Calibri" w:hAnsi="Calibri" w:cs="Calibri"/>
          <w:b/>
          <w:sz w:val="22"/>
          <w:szCs w:val="22"/>
        </w:rPr>
        <w:t>Crs</w:t>
      </w:r>
      <w:proofErr w:type="spellEnd"/>
      <w:r w:rsidR="00423534" w:rsidRPr="004954F9">
        <w:rPr>
          <w:rFonts w:ascii="Calibri" w:eastAsia="Calibri" w:hAnsi="Calibri" w:cs="Calibri"/>
          <w:b/>
          <w:sz w:val="22"/>
          <w:szCs w:val="22"/>
        </w:rPr>
        <w:t>)</w:t>
      </w:r>
    </w:p>
    <w:tbl>
      <w:tblPr>
        <w:tblpPr w:leftFromText="180" w:rightFromText="180" w:vertAnchor="text" w:horzAnchor="margin" w:tblpXSpec="right" w:tblpY="141"/>
        <w:tblW w:w="84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23"/>
        <w:gridCol w:w="2348"/>
        <w:gridCol w:w="2399"/>
      </w:tblGrid>
      <w:tr w:rsidR="00423534" w:rsidRPr="00D95ECC" w14:paraId="31D1E418" w14:textId="77777777" w:rsidTr="00557ED5">
        <w:trPr>
          <w:trHeight w:val="189"/>
        </w:trPr>
        <w:tc>
          <w:tcPr>
            <w:tcW w:w="3723" w:type="dxa"/>
            <w:vMerge w:val="restart"/>
            <w:shd w:val="clear" w:color="auto" w:fill="8DB3E2" w:themeFill="text2" w:themeFillTint="66"/>
            <w:vAlign w:val="center"/>
            <w:hideMark/>
          </w:tcPr>
          <w:p w14:paraId="45D60287" w14:textId="77777777" w:rsidR="00423534" w:rsidRPr="00D95ECC" w:rsidRDefault="00423534" w:rsidP="00423534">
            <w:pPr>
              <w:suppressAutoHyphens/>
              <w:rPr>
                <w:rFonts w:ascii="Calibri" w:hAnsi="Calibri" w:cs="Calibri"/>
                <w:b/>
                <w:bCs/>
                <w:color w:val="000000"/>
                <w:sz w:val="22"/>
                <w:szCs w:val="22"/>
                <w:lang w:val="en-IN" w:eastAsia="en-IN"/>
              </w:rPr>
            </w:pPr>
            <w:r w:rsidRPr="00D95ECC">
              <w:rPr>
                <w:rFonts w:ascii="Calibri" w:hAnsi="Calibri" w:cs="Calibri"/>
                <w:b/>
                <w:bCs/>
                <w:color w:val="000000"/>
                <w:sz w:val="22"/>
                <w:szCs w:val="22"/>
                <w:lang w:eastAsia="en-IN"/>
              </w:rPr>
              <w:t>R&amp;M for FY 2023-24</w:t>
            </w:r>
          </w:p>
        </w:tc>
        <w:tc>
          <w:tcPr>
            <w:tcW w:w="4747" w:type="dxa"/>
            <w:gridSpan w:val="2"/>
            <w:shd w:val="clear" w:color="auto" w:fill="8DB3E2" w:themeFill="text2" w:themeFillTint="66"/>
            <w:vAlign w:val="center"/>
            <w:hideMark/>
          </w:tcPr>
          <w:p w14:paraId="3E2BCFDB" w14:textId="77777777" w:rsidR="00423534" w:rsidRPr="00D95ECC" w:rsidRDefault="00423534" w:rsidP="00423534">
            <w:pPr>
              <w:suppressAutoHyphens/>
              <w:ind w:firstLineChars="400" w:firstLine="875"/>
              <w:jc w:val="center"/>
              <w:rPr>
                <w:rFonts w:ascii="Calibri" w:hAnsi="Calibri" w:cs="Calibri"/>
                <w:b/>
                <w:bCs/>
                <w:color w:val="000000"/>
                <w:sz w:val="22"/>
                <w:szCs w:val="22"/>
                <w:lang w:val="en-IN" w:eastAsia="en-IN"/>
              </w:rPr>
            </w:pPr>
            <w:r w:rsidRPr="00D95ECC">
              <w:rPr>
                <w:rFonts w:ascii="Calibri" w:hAnsi="Calibri" w:cs="Calibri"/>
                <w:b/>
                <w:bCs/>
                <w:color w:val="000000"/>
                <w:spacing w:val="-2"/>
                <w:sz w:val="22"/>
                <w:szCs w:val="22"/>
                <w:lang w:eastAsia="en-IN"/>
              </w:rPr>
              <w:t>TPNODL</w:t>
            </w:r>
          </w:p>
        </w:tc>
      </w:tr>
      <w:tr w:rsidR="00423534" w:rsidRPr="00D95ECC" w14:paraId="44A5DA04" w14:textId="77777777" w:rsidTr="00557ED5">
        <w:trPr>
          <w:trHeight w:val="189"/>
        </w:trPr>
        <w:tc>
          <w:tcPr>
            <w:tcW w:w="3723" w:type="dxa"/>
            <w:vMerge/>
            <w:shd w:val="clear" w:color="auto" w:fill="8DB3E2" w:themeFill="text2" w:themeFillTint="66"/>
            <w:vAlign w:val="center"/>
            <w:hideMark/>
          </w:tcPr>
          <w:p w14:paraId="5C2836E5" w14:textId="77777777" w:rsidR="00423534" w:rsidRPr="00D95ECC" w:rsidRDefault="00423534" w:rsidP="00423534">
            <w:pPr>
              <w:suppressAutoHyphens/>
              <w:rPr>
                <w:rFonts w:ascii="Calibri" w:hAnsi="Calibri" w:cs="Calibri"/>
                <w:b/>
                <w:bCs/>
                <w:color w:val="000000"/>
                <w:sz w:val="22"/>
                <w:szCs w:val="22"/>
                <w:lang w:val="en-IN" w:eastAsia="en-IN"/>
              </w:rPr>
            </w:pPr>
          </w:p>
        </w:tc>
        <w:tc>
          <w:tcPr>
            <w:tcW w:w="2348" w:type="dxa"/>
            <w:shd w:val="clear" w:color="auto" w:fill="8DB3E2" w:themeFill="text2" w:themeFillTint="66"/>
            <w:vAlign w:val="center"/>
            <w:hideMark/>
          </w:tcPr>
          <w:p w14:paraId="0DCEE8A7" w14:textId="77777777" w:rsidR="00423534" w:rsidRPr="00D95ECC" w:rsidRDefault="00423534" w:rsidP="00423534">
            <w:pPr>
              <w:suppressAutoHyphens/>
              <w:jc w:val="center"/>
              <w:rPr>
                <w:rFonts w:ascii="Calibri" w:hAnsi="Calibri" w:cs="Calibri"/>
                <w:b/>
                <w:bCs/>
                <w:color w:val="000000"/>
                <w:sz w:val="22"/>
                <w:szCs w:val="22"/>
                <w:lang w:val="en-IN" w:eastAsia="en-IN"/>
              </w:rPr>
            </w:pPr>
            <w:r w:rsidRPr="00D95ECC">
              <w:rPr>
                <w:rFonts w:ascii="Calibri" w:hAnsi="Calibri" w:cs="Calibri"/>
                <w:b/>
                <w:bCs/>
                <w:color w:val="000000"/>
                <w:spacing w:val="-2"/>
                <w:sz w:val="22"/>
                <w:szCs w:val="22"/>
                <w:lang w:eastAsia="en-IN"/>
              </w:rPr>
              <w:t>Proposed</w:t>
            </w:r>
          </w:p>
        </w:tc>
        <w:tc>
          <w:tcPr>
            <w:tcW w:w="2399" w:type="dxa"/>
            <w:shd w:val="clear" w:color="auto" w:fill="8DB3E2" w:themeFill="text2" w:themeFillTint="66"/>
            <w:vAlign w:val="center"/>
            <w:hideMark/>
          </w:tcPr>
          <w:p w14:paraId="55C01300" w14:textId="77777777" w:rsidR="00423534" w:rsidRPr="00D95ECC" w:rsidRDefault="00423534" w:rsidP="00423534">
            <w:pPr>
              <w:suppressAutoHyphens/>
              <w:jc w:val="center"/>
              <w:rPr>
                <w:rFonts w:ascii="Calibri" w:hAnsi="Calibri" w:cs="Calibri"/>
                <w:b/>
                <w:bCs/>
                <w:color w:val="000000"/>
                <w:sz w:val="22"/>
                <w:szCs w:val="22"/>
                <w:lang w:val="en-IN" w:eastAsia="en-IN"/>
              </w:rPr>
            </w:pPr>
            <w:r w:rsidRPr="00D95ECC">
              <w:rPr>
                <w:rFonts w:ascii="Calibri" w:hAnsi="Calibri" w:cs="Calibri"/>
                <w:b/>
                <w:bCs/>
                <w:color w:val="000000"/>
                <w:spacing w:val="-2"/>
                <w:sz w:val="22"/>
                <w:szCs w:val="22"/>
                <w:lang w:eastAsia="en-IN"/>
              </w:rPr>
              <w:t>Approved</w:t>
            </w:r>
          </w:p>
        </w:tc>
      </w:tr>
      <w:tr w:rsidR="00423534" w:rsidRPr="00D95ECC" w14:paraId="3DB7EB35" w14:textId="77777777" w:rsidTr="00423534">
        <w:trPr>
          <w:trHeight w:val="571"/>
        </w:trPr>
        <w:tc>
          <w:tcPr>
            <w:tcW w:w="3723" w:type="dxa"/>
            <w:shd w:val="clear" w:color="auto" w:fill="auto"/>
            <w:vAlign w:val="center"/>
            <w:hideMark/>
          </w:tcPr>
          <w:p w14:paraId="29A99E53" w14:textId="77777777" w:rsidR="00423534" w:rsidRPr="00D95ECC" w:rsidRDefault="00423534" w:rsidP="00423534">
            <w:pPr>
              <w:suppressAutoHyphens/>
              <w:jc w:val="both"/>
              <w:rPr>
                <w:rFonts w:ascii="Calibri" w:hAnsi="Calibri" w:cs="Calibri"/>
                <w:color w:val="000000"/>
                <w:sz w:val="22"/>
                <w:szCs w:val="22"/>
                <w:lang w:val="en-IN" w:eastAsia="en-IN"/>
              </w:rPr>
            </w:pPr>
            <w:r w:rsidRPr="00D95ECC">
              <w:rPr>
                <w:rFonts w:ascii="Calibri" w:hAnsi="Calibri" w:cs="Calibri"/>
                <w:color w:val="000000"/>
                <w:sz w:val="22"/>
                <w:szCs w:val="22"/>
                <w:lang w:eastAsia="en-IN"/>
              </w:rPr>
              <w:t>DISCOM's Gross fixed assets (GFA) as on 01.04.2023 (pre-vesting)</w:t>
            </w:r>
          </w:p>
        </w:tc>
        <w:tc>
          <w:tcPr>
            <w:tcW w:w="2348" w:type="dxa"/>
            <w:shd w:val="clear" w:color="auto" w:fill="FFFFFF"/>
            <w:vAlign w:val="center"/>
            <w:hideMark/>
          </w:tcPr>
          <w:p w14:paraId="6B2BABF1" w14:textId="77777777" w:rsidR="00423534" w:rsidRPr="00D95ECC" w:rsidRDefault="00423534" w:rsidP="00423534">
            <w:pPr>
              <w:suppressAutoHyphens/>
              <w:rPr>
                <w:rFonts w:ascii="Calibri" w:hAnsi="Calibri" w:cs="Calibri"/>
                <w:color w:val="000000"/>
                <w:sz w:val="22"/>
                <w:szCs w:val="22"/>
                <w:lang w:val="en-IN" w:eastAsia="en-IN"/>
              </w:rPr>
            </w:pPr>
            <w:r w:rsidRPr="00D95ECC">
              <w:rPr>
                <w:rFonts w:ascii="Calibri" w:hAnsi="Calibri" w:cs="Calibri"/>
                <w:color w:val="000000"/>
                <w:sz w:val="22"/>
                <w:szCs w:val="22"/>
                <w:lang w:eastAsia="en-IN"/>
              </w:rPr>
              <w:t> </w:t>
            </w:r>
          </w:p>
        </w:tc>
        <w:tc>
          <w:tcPr>
            <w:tcW w:w="2399" w:type="dxa"/>
            <w:shd w:val="clear" w:color="auto" w:fill="FFFFFF"/>
            <w:vAlign w:val="center"/>
            <w:hideMark/>
          </w:tcPr>
          <w:p w14:paraId="05703BEF" w14:textId="77777777" w:rsidR="00423534" w:rsidRPr="00D95ECC" w:rsidRDefault="00423534" w:rsidP="00423534">
            <w:pPr>
              <w:suppressAutoHyphens/>
              <w:jc w:val="center"/>
              <w:rPr>
                <w:rFonts w:ascii="Calibri" w:hAnsi="Calibri" w:cs="Calibri"/>
                <w:color w:val="000000"/>
                <w:sz w:val="22"/>
                <w:szCs w:val="22"/>
                <w:lang w:val="en-IN" w:eastAsia="en-IN"/>
              </w:rPr>
            </w:pPr>
            <w:r w:rsidRPr="00D95ECC">
              <w:rPr>
                <w:rFonts w:ascii="Calibri" w:hAnsi="Calibri" w:cs="Calibri"/>
                <w:color w:val="000000"/>
                <w:spacing w:val="-2"/>
                <w:sz w:val="22"/>
                <w:szCs w:val="22"/>
                <w:lang w:eastAsia="en-IN"/>
              </w:rPr>
              <w:t>2199.41</w:t>
            </w:r>
          </w:p>
        </w:tc>
      </w:tr>
      <w:tr w:rsidR="00423534" w:rsidRPr="00D95ECC" w14:paraId="02AB0FB7" w14:textId="77777777" w:rsidTr="00423534">
        <w:trPr>
          <w:trHeight w:val="495"/>
        </w:trPr>
        <w:tc>
          <w:tcPr>
            <w:tcW w:w="3723" w:type="dxa"/>
            <w:shd w:val="clear" w:color="auto" w:fill="auto"/>
            <w:vAlign w:val="center"/>
            <w:hideMark/>
          </w:tcPr>
          <w:p w14:paraId="53C7309C" w14:textId="77777777" w:rsidR="00423534" w:rsidRPr="00D95ECC" w:rsidRDefault="00423534" w:rsidP="00423534">
            <w:pPr>
              <w:suppressAutoHyphens/>
              <w:rPr>
                <w:rFonts w:ascii="Calibri" w:hAnsi="Calibri" w:cs="Calibri"/>
                <w:color w:val="000000"/>
                <w:sz w:val="22"/>
                <w:szCs w:val="22"/>
                <w:lang w:val="en-IN" w:eastAsia="en-IN"/>
              </w:rPr>
            </w:pPr>
            <w:r w:rsidRPr="00D95ECC">
              <w:rPr>
                <w:rFonts w:ascii="Calibri" w:hAnsi="Calibri" w:cs="Calibri"/>
                <w:color w:val="000000"/>
                <w:sz w:val="22"/>
                <w:szCs w:val="22"/>
                <w:lang w:val="en-IN" w:eastAsia="en-IN"/>
              </w:rPr>
              <w:t>DISCOM's Gross fixed assets (GFA) as on 01.04.2023(post vesting)</w:t>
            </w:r>
          </w:p>
        </w:tc>
        <w:tc>
          <w:tcPr>
            <w:tcW w:w="2348" w:type="dxa"/>
            <w:shd w:val="clear" w:color="auto" w:fill="FFFFFF"/>
            <w:vAlign w:val="center"/>
            <w:hideMark/>
          </w:tcPr>
          <w:p w14:paraId="1BA0C124" w14:textId="77777777" w:rsidR="00423534" w:rsidRPr="00D95ECC" w:rsidRDefault="00423534" w:rsidP="00423534">
            <w:pPr>
              <w:suppressAutoHyphens/>
              <w:rPr>
                <w:rFonts w:ascii="Calibri" w:hAnsi="Calibri" w:cs="Calibri"/>
                <w:color w:val="000000"/>
                <w:sz w:val="22"/>
                <w:szCs w:val="22"/>
                <w:lang w:val="en-IN" w:eastAsia="en-IN"/>
              </w:rPr>
            </w:pPr>
            <w:r w:rsidRPr="00D95ECC">
              <w:rPr>
                <w:rFonts w:ascii="Calibri" w:hAnsi="Calibri" w:cs="Calibri"/>
                <w:color w:val="000000"/>
                <w:sz w:val="22"/>
                <w:szCs w:val="22"/>
                <w:lang w:val="en-IN" w:eastAsia="en-IN"/>
              </w:rPr>
              <w:t> </w:t>
            </w:r>
          </w:p>
        </w:tc>
        <w:tc>
          <w:tcPr>
            <w:tcW w:w="2399" w:type="dxa"/>
            <w:shd w:val="clear" w:color="auto" w:fill="FFFFFF"/>
            <w:vAlign w:val="center"/>
            <w:hideMark/>
          </w:tcPr>
          <w:p w14:paraId="011E4E36" w14:textId="77777777" w:rsidR="00423534" w:rsidRPr="00D95ECC" w:rsidRDefault="00423534" w:rsidP="00423534">
            <w:pPr>
              <w:suppressAutoHyphens/>
              <w:jc w:val="center"/>
              <w:rPr>
                <w:rFonts w:ascii="Calibri" w:hAnsi="Calibri" w:cs="Calibri"/>
                <w:color w:val="000000"/>
                <w:sz w:val="22"/>
                <w:szCs w:val="22"/>
                <w:lang w:val="en-IN" w:eastAsia="en-IN"/>
              </w:rPr>
            </w:pPr>
            <w:r w:rsidRPr="00D95ECC">
              <w:rPr>
                <w:rFonts w:ascii="Calibri" w:hAnsi="Calibri" w:cs="Calibri"/>
                <w:color w:val="000000"/>
                <w:spacing w:val="-2"/>
                <w:sz w:val="22"/>
                <w:szCs w:val="22"/>
                <w:lang w:eastAsia="en-IN"/>
              </w:rPr>
              <w:t>668.61</w:t>
            </w:r>
          </w:p>
        </w:tc>
      </w:tr>
      <w:tr w:rsidR="00423534" w:rsidRPr="00D95ECC" w14:paraId="315F439E" w14:textId="77777777" w:rsidTr="00423534">
        <w:trPr>
          <w:trHeight w:val="323"/>
        </w:trPr>
        <w:tc>
          <w:tcPr>
            <w:tcW w:w="3723" w:type="dxa"/>
            <w:shd w:val="clear" w:color="auto" w:fill="auto"/>
            <w:vAlign w:val="center"/>
            <w:hideMark/>
          </w:tcPr>
          <w:p w14:paraId="77868564" w14:textId="77777777" w:rsidR="00423534" w:rsidRPr="00D95ECC" w:rsidRDefault="00423534" w:rsidP="00423534">
            <w:pPr>
              <w:suppressAutoHyphens/>
              <w:rPr>
                <w:rFonts w:ascii="Calibri" w:hAnsi="Calibri" w:cs="Calibri"/>
                <w:color w:val="000000"/>
                <w:sz w:val="22"/>
                <w:szCs w:val="22"/>
                <w:lang w:val="en-IN" w:eastAsia="en-IN"/>
              </w:rPr>
            </w:pPr>
            <w:r w:rsidRPr="00D95ECC">
              <w:rPr>
                <w:rFonts w:ascii="Calibri" w:hAnsi="Calibri" w:cs="Calibri"/>
                <w:color w:val="000000"/>
                <w:sz w:val="22"/>
                <w:szCs w:val="22"/>
                <w:lang w:eastAsia="en-IN"/>
              </w:rPr>
              <w:t>Total GFA as on 01.04.2023</w:t>
            </w:r>
          </w:p>
        </w:tc>
        <w:tc>
          <w:tcPr>
            <w:tcW w:w="2348" w:type="dxa"/>
            <w:shd w:val="clear" w:color="auto" w:fill="FFFFFF"/>
            <w:vAlign w:val="center"/>
            <w:hideMark/>
          </w:tcPr>
          <w:p w14:paraId="7EB85594" w14:textId="77777777" w:rsidR="00423534" w:rsidRPr="00D95ECC" w:rsidRDefault="00423534" w:rsidP="00423534">
            <w:pPr>
              <w:suppressAutoHyphens/>
              <w:jc w:val="center"/>
              <w:rPr>
                <w:rFonts w:ascii="Calibri" w:hAnsi="Calibri" w:cs="Calibri"/>
                <w:color w:val="000000"/>
                <w:sz w:val="22"/>
                <w:szCs w:val="22"/>
                <w:lang w:val="en-IN" w:eastAsia="en-IN"/>
              </w:rPr>
            </w:pPr>
            <w:r w:rsidRPr="00D95ECC">
              <w:rPr>
                <w:rFonts w:ascii="Calibri" w:hAnsi="Calibri" w:cs="Calibri"/>
                <w:color w:val="000000"/>
                <w:spacing w:val="-2"/>
                <w:sz w:val="22"/>
                <w:szCs w:val="22"/>
                <w:lang w:eastAsia="en-IN"/>
              </w:rPr>
              <w:t>2778.83</w:t>
            </w:r>
          </w:p>
        </w:tc>
        <w:tc>
          <w:tcPr>
            <w:tcW w:w="2399" w:type="dxa"/>
            <w:shd w:val="clear" w:color="auto" w:fill="FFFFFF"/>
            <w:vAlign w:val="center"/>
            <w:hideMark/>
          </w:tcPr>
          <w:p w14:paraId="00B81737" w14:textId="77777777" w:rsidR="00423534" w:rsidRPr="00D95ECC" w:rsidRDefault="00423534" w:rsidP="00423534">
            <w:pPr>
              <w:suppressAutoHyphens/>
              <w:jc w:val="center"/>
              <w:rPr>
                <w:rFonts w:ascii="Calibri" w:hAnsi="Calibri" w:cs="Calibri"/>
                <w:color w:val="000000"/>
                <w:sz w:val="22"/>
                <w:szCs w:val="22"/>
                <w:lang w:val="en-IN" w:eastAsia="en-IN"/>
              </w:rPr>
            </w:pPr>
            <w:r w:rsidRPr="00D95ECC">
              <w:rPr>
                <w:rFonts w:ascii="Calibri" w:hAnsi="Calibri" w:cs="Calibri"/>
                <w:color w:val="000000"/>
                <w:spacing w:val="-2"/>
                <w:sz w:val="22"/>
                <w:szCs w:val="22"/>
                <w:lang w:eastAsia="en-IN"/>
              </w:rPr>
              <w:t>2868.02</w:t>
            </w:r>
          </w:p>
        </w:tc>
      </w:tr>
      <w:tr w:rsidR="00423534" w:rsidRPr="00D95ECC" w14:paraId="191A05EF" w14:textId="77777777" w:rsidTr="00423534">
        <w:trPr>
          <w:trHeight w:val="189"/>
        </w:trPr>
        <w:tc>
          <w:tcPr>
            <w:tcW w:w="3723" w:type="dxa"/>
            <w:shd w:val="clear" w:color="auto" w:fill="auto"/>
            <w:vAlign w:val="center"/>
            <w:hideMark/>
          </w:tcPr>
          <w:p w14:paraId="2EB1C570" w14:textId="77777777" w:rsidR="00423534" w:rsidRPr="00D95ECC" w:rsidRDefault="00423534" w:rsidP="00423534">
            <w:pPr>
              <w:suppressAutoHyphens/>
              <w:rPr>
                <w:rFonts w:ascii="Calibri" w:hAnsi="Calibri" w:cs="Calibri"/>
                <w:color w:val="000000"/>
                <w:sz w:val="22"/>
                <w:szCs w:val="22"/>
                <w:lang w:val="en-IN" w:eastAsia="en-IN"/>
              </w:rPr>
            </w:pPr>
            <w:r w:rsidRPr="00D95ECC">
              <w:rPr>
                <w:rFonts w:ascii="Calibri" w:hAnsi="Calibri" w:cs="Calibri"/>
                <w:color w:val="000000"/>
                <w:sz w:val="22"/>
                <w:szCs w:val="22"/>
                <w:lang w:eastAsia="en-IN"/>
              </w:rPr>
              <w:t>Rate of R &amp; M on GFA</w:t>
            </w:r>
          </w:p>
        </w:tc>
        <w:tc>
          <w:tcPr>
            <w:tcW w:w="2348" w:type="dxa"/>
            <w:shd w:val="clear" w:color="auto" w:fill="FFFFFF"/>
            <w:vAlign w:val="center"/>
            <w:hideMark/>
          </w:tcPr>
          <w:p w14:paraId="74F03223" w14:textId="77777777" w:rsidR="00423534" w:rsidRPr="00D95ECC" w:rsidRDefault="00423534" w:rsidP="00423534">
            <w:pPr>
              <w:suppressAutoHyphens/>
              <w:jc w:val="center"/>
              <w:rPr>
                <w:rFonts w:ascii="Calibri" w:hAnsi="Calibri" w:cs="Calibri"/>
                <w:color w:val="000000"/>
                <w:sz w:val="22"/>
                <w:szCs w:val="22"/>
                <w:lang w:val="en-IN" w:eastAsia="en-IN"/>
              </w:rPr>
            </w:pPr>
            <w:r w:rsidRPr="00D95ECC">
              <w:rPr>
                <w:rFonts w:ascii="Calibri" w:hAnsi="Calibri" w:cs="Calibri"/>
                <w:color w:val="000000"/>
                <w:spacing w:val="-2"/>
                <w:sz w:val="22"/>
                <w:szCs w:val="22"/>
                <w:lang w:eastAsia="en-IN"/>
              </w:rPr>
              <w:t>4.50%</w:t>
            </w:r>
          </w:p>
        </w:tc>
        <w:tc>
          <w:tcPr>
            <w:tcW w:w="2399" w:type="dxa"/>
            <w:shd w:val="clear" w:color="auto" w:fill="FFFFFF"/>
            <w:vAlign w:val="center"/>
            <w:hideMark/>
          </w:tcPr>
          <w:p w14:paraId="3DC0661C" w14:textId="77777777" w:rsidR="00423534" w:rsidRPr="00D95ECC" w:rsidRDefault="00423534" w:rsidP="00423534">
            <w:pPr>
              <w:suppressAutoHyphens/>
              <w:jc w:val="center"/>
              <w:rPr>
                <w:rFonts w:ascii="Calibri" w:hAnsi="Calibri" w:cs="Calibri"/>
                <w:color w:val="000000"/>
                <w:sz w:val="22"/>
                <w:szCs w:val="22"/>
                <w:lang w:val="en-IN" w:eastAsia="en-IN"/>
              </w:rPr>
            </w:pPr>
            <w:r w:rsidRPr="00D95ECC">
              <w:rPr>
                <w:rFonts w:ascii="Calibri" w:hAnsi="Calibri" w:cs="Calibri"/>
                <w:color w:val="000000"/>
                <w:spacing w:val="-2"/>
                <w:sz w:val="22"/>
                <w:szCs w:val="22"/>
                <w:lang w:eastAsia="en-IN"/>
              </w:rPr>
              <w:t>4.50%</w:t>
            </w:r>
          </w:p>
        </w:tc>
      </w:tr>
      <w:tr w:rsidR="00423534" w:rsidRPr="00D95ECC" w14:paraId="38994942" w14:textId="77777777" w:rsidTr="00423534">
        <w:trPr>
          <w:trHeight w:val="189"/>
        </w:trPr>
        <w:tc>
          <w:tcPr>
            <w:tcW w:w="3723" w:type="dxa"/>
            <w:shd w:val="clear" w:color="auto" w:fill="auto"/>
            <w:vAlign w:val="center"/>
            <w:hideMark/>
          </w:tcPr>
          <w:p w14:paraId="1662596D" w14:textId="77777777" w:rsidR="00423534" w:rsidRPr="00D95ECC" w:rsidRDefault="00423534" w:rsidP="00423534">
            <w:pPr>
              <w:suppressAutoHyphens/>
              <w:rPr>
                <w:rFonts w:ascii="Calibri" w:hAnsi="Calibri" w:cs="Calibri"/>
                <w:color w:val="000000"/>
                <w:sz w:val="22"/>
                <w:szCs w:val="22"/>
                <w:lang w:val="en-IN" w:eastAsia="en-IN"/>
              </w:rPr>
            </w:pPr>
            <w:r w:rsidRPr="00D95ECC">
              <w:rPr>
                <w:rFonts w:ascii="Calibri" w:hAnsi="Calibri" w:cs="Calibri"/>
                <w:color w:val="000000"/>
                <w:sz w:val="22"/>
                <w:szCs w:val="22"/>
                <w:lang w:eastAsia="en-IN"/>
              </w:rPr>
              <w:t>R&amp;M on GFA</w:t>
            </w:r>
          </w:p>
        </w:tc>
        <w:tc>
          <w:tcPr>
            <w:tcW w:w="2348" w:type="dxa"/>
            <w:shd w:val="clear" w:color="auto" w:fill="FFFFFF"/>
            <w:vAlign w:val="center"/>
            <w:hideMark/>
          </w:tcPr>
          <w:p w14:paraId="560D5588" w14:textId="77777777" w:rsidR="00423534" w:rsidRPr="00D95ECC" w:rsidRDefault="00423534" w:rsidP="00423534">
            <w:pPr>
              <w:suppressAutoHyphens/>
              <w:jc w:val="center"/>
              <w:rPr>
                <w:rFonts w:ascii="Calibri" w:hAnsi="Calibri" w:cs="Calibri"/>
                <w:color w:val="000000"/>
                <w:sz w:val="22"/>
                <w:szCs w:val="22"/>
                <w:lang w:val="en-IN" w:eastAsia="en-IN"/>
              </w:rPr>
            </w:pPr>
            <w:r w:rsidRPr="00D95ECC">
              <w:rPr>
                <w:rFonts w:ascii="Calibri" w:hAnsi="Calibri" w:cs="Calibri"/>
                <w:color w:val="000000"/>
                <w:spacing w:val="-2"/>
                <w:sz w:val="22"/>
                <w:szCs w:val="22"/>
                <w:lang w:eastAsia="en-IN"/>
              </w:rPr>
              <w:t>125.05</w:t>
            </w:r>
          </w:p>
        </w:tc>
        <w:tc>
          <w:tcPr>
            <w:tcW w:w="2399" w:type="dxa"/>
            <w:shd w:val="clear" w:color="auto" w:fill="FFFFFF"/>
            <w:vAlign w:val="center"/>
            <w:hideMark/>
          </w:tcPr>
          <w:p w14:paraId="58971F51" w14:textId="77777777" w:rsidR="00423534" w:rsidRPr="00D95ECC" w:rsidRDefault="00423534" w:rsidP="00423534">
            <w:pPr>
              <w:suppressAutoHyphens/>
              <w:jc w:val="center"/>
              <w:rPr>
                <w:rFonts w:ascii="Calibri" w:hAnsi="Calibri" w:cs="Calibri"/>
                <w:color w:val="000000"/>
                <w:sz w:val="22"/>
                <w:szCs w:val="22"/>
                <w:lang w:val="en-IN" w:eastAsia="en-IN"/>
              </w:rPr>
            </w:pPr>
            <w:r w:rsidRPr="00D95ECC">
              <w:rPr>
                <w:rFonts w:ascii="Calibri" w:hAnsi="Calibri" w:cs="Calibri"/>
                <w:color w:val="000000"/>
                <w:spacing w:val="-2"/>
                <w:sz w:val="22"/>
                <w:szCs w:val="22"/>
                <w:lang w:eastAsia="en-IN"/>
              </w:rPr>
              <w:t>129.06</w:t>
            </w:r>
          </w:p>
        </w:tc>
      </w:tr>
      <w:tr w:rsidR="00423534" w:rsidRPr="00D95ECC" w14:paraId="2434F65E" w14:textId="77777777" w:rsidTr="00423534">
        <w:trPr>
          <w:trHeight w:val="285"/>
        </w:trPr>
        <w:tc>
          <w:tcPr>
            <w:tcW w:w="3723" w:type="dxa"/>
            <w:shd w:val="clear" w:color="auto" w:fill="auto"/>
            <w:vAlign w:val="center"/>
            <w:hideMark/>
          </w:tcPr>
          <w:p w14:paraId="6B9C32DB" w14:textId="77777777" w:rsidR="00423534" w:rsidRPr="00D95ECC" w:rsidRDefault="00423534" w:rsidP="00423534">
            <w:pPr>
              <w:suppressAutoHyphens/>
              <w:rPr>
                <w:rFonts w:ascii="Calibri" w:hAnsi="Calibri" w:cs="Calibri"/>
                <w:color w:val="000000"/>
                <w:sz w:val="22"/>
                <w:szCs w:val="22"/>
                <w:lang w:val="en-IN" w:eastAsia="en-IN"/>
              </w:rPr>
            </w:pPr>
            <w:r w:rsidRPr="00D95ECC">
              <w:rPr>
                <w:rFonts w:ascii="Calibri" w:hAnsi="Calibri" w:cs="Calibri"/>
                <w:color w:val="000000"/>
                <w:sz w:val="22"/>
                <w:szCs w:val="22"/>
                <w:lang w:eastAsia="en-IN"/>
              </w:rPr>
              <w:lastRenderedPageBreak/>
              <w:t>Govt. (Funded/Grant) Assets as on 01.04.2023</w:t>
            </w:r>
          </w:p>
        </w:tc>
        <w:tc>
          <w:tcPr>
            <w:tcW w:w="2348" w:type="dxa"/>
            <w:shd w:val="clear" w:color="auto" w:fill="FFFFFF"/>
            <w:vAlign w:val="center"/>
            <w:hideMark/>
          </w:tcPr>
          <w:p w14:paraId="6257D924" w14:textId="77777777" w:rsidR="00423534" w:rsidRPr="00D95ECC" w:rsidRDefault="00423534" w:rsidP="00423534">
            <w:pPr>
              <w:suppressAutoHyphens/>
              <w:jc w:val="center"/>
              <w:rPr>
                <w:rFonts w:ascii="Calibri" w:hAnsi="Calibri" w:cs="Calibri"/>
                <w:color w:val="000000"/>
                <w:sz w:val="22"/>
                <w:szCs w:val="22"/>
                <w:lang w:val="en-IN" w:eastAsia="en-IN"/>
              </w:rPr>
            </w:pPr>
            <w:r w:rsidRPr="00D95ECC">
              <w:rPr>
                <w:rFonts w:ascii="Calibri" w:hAnsi="Calibri" w:cs="Calibri"/>
                <w:color w:val="000000"/>
                <w:spacing w:val="-2"/>
                <w:sz w:val="22"/>
                <w:szCs w:val="22"/>
                <w:lang w:eastAsia="en-IN"/>
              </w:rPr>
              <w:t>2033.26</w:t>
            </w:r>
          </w:p>
        </w:tc>
        <w:tc>
          <w:tcPr>
            <w:tcW w:w="2399" w:type="dxa"/>
            <w:shd w:val="clear" w:color="auto" w:fill="FFFFFF"/>
            <w:vAlign w:val="center"/>
            <w:hideMark/>
          </w:tcPr>
          <w:p w14:paraId="5F323555" w14:textId="77777777" w:rsidR="00423534" w:rsidRPr="00D95ECC" w:rsidRDefault="00423534" w:rsidP="00423534">
            <w:pPr>
              <w:suppressAutoHyphens/>
              <w:jc w:val="center"/>
              <w:rPr>
                <w:rFonts w:ascii="Calibri" w:hAnsi="Calibri" w:cs="Calibri"/>
                <w:color w:val="000000"/>
                <w:sz w:val="22"/>
                <w:szCs w:val="22"/>
                <w:lang w:val="en-IN" w:eastAsia="en-IN"/>
              </w:rPr>
            </w:pPr>
            <w:r w:rsidRPr="00D95ECC">
              <w:rPr>
                <w:rFonts w:ascii="Calibri" w:hAnsi="Calibri" w:cs="Calibri"/>
                <w:color w:val="000000"/>
                <w:spacing w:val="-2"/>
                <w:sz w:val="22"/>
                <w:szCs w:val="22"/>
                <w:lang w:eastAsia="en-IN"/>
              </w:rPr>
              <w:t>1675.95</w:t>
            </w:r>
          </w:p>
        </w:tc>
      </w:tr>
      <w:tr w:rsidR="00423534" w:rsidRPr="00D95ECC" w14:paraId="1C3B89EA" w14:textId="77777777" w:rsidTr="00423534">
        <w:trPr>
          <w:trHeight w:val="285"/>
        </w:trPr>
        <w:tc>
          <w:tcPr>
            <w:tcW w:w="3723" w:type="dxa"/>
            <w:shd w:val="clear" w:color="auto" w:fill="auto"/>
            <w:vAlign w:val="center"/>
            <w:hideMark/>
          </w:tcPr>
          <w:p w14:paraId="1EDC2AA0" w14:textId="77777777" w:rsidR="00423534" w:rsidRPr="00D95ECC" w:rsidRDefault="00423534" w:rsidP="00423534">
            <w:pPr>
              <w:suppressAutoHyphens/>
              <w:rPr>
                <w:rFonts w:ascii="Calibri" w:hAnsi="Calibri" w:cs="Calibri"/>
                <w:color w:val="000000"/>
                <w:sz w:val="22"/>
                <w:szCs w:val="22"/>
                <w:lang w:val="en-IN" w:eastAsia="en-IN"/>
              </w:rPr>
            </w:pPr>
            <w:r w:rsidRPr="00D95ECC">
              <w:rPr>
                <w:rFonts w:ascii="Calibri" w:hAnsi="Calibri" w:cs="Calibri"/>
                <w:color w:val="000000"/>
                <w:sz w:val="22"/>
                <w:szCs w:val="22"/>
                <w:lang w:eastAsia="en-IN"/>
              </w:rPr>
              <w:t>Rate of R &amp; M on Govt.  (Funded/Grant) Assets</w:t>
            </w:r>
          </w:p>
        </w:tc>
        <w:tc>
          <w:tcPr>
            <w:tcW w:w="2348" w:type="dxa"/>
            <w:shd w:val="clear" w:color="auto" w:fill="FFFFFF"/>
            <w:vAlign w:val="center"/>
            <w:hideMark/>
          </w:tcPr>
          <w:p w14:paraId="7F5BF19F" w14:textId="77777777" w:rsidR="00423534" w:rsidRPr="00D95ECC" w:rsidRDefault="00423534" w:rsidP="00423534">
            <w:pPr>
              <w:suppressAutoHyphens/>
              <w:jc w:val="center"/>
              <w:rPr>
                <w:rFonts w:ascii="Calibri" w:hAnsi="Calibri" w:cs="Calibri"/>
                <w:color w:val="000000"/>
                <w:sz w:val="22"/>
                <w:szCs w:val="22"/>
                <w:lang w:val="en-IN" w:eastAsia="en-IN"/>
              </w:rPr>
            </w:pPr>
            <w:r w:rsidRPr="00D95ECC">
              <w:rPr>
                <w:rFonts w:ascii="Calibri" w:hAnsi="Calibri" w:cs="Calibri"/>
                <w:color w:val="000000"/>
                <w:spacing w:val="-2"/>
                <w:sz w:val="22"/>
                <w:szCs w:val="22"/>
                <w:lang w:eastAsia="en-IN"/>
              </w:rPr>
              <w:t>3.00%</w:t>
            </w:r>
          </w:p>
        </w:tc>
        <w:tc>
          <w:tcPr>
            <w:tcW w:w="2399" w:type="dxa"/>
            <w:shd w:val="clear" w:color="auto" w:fill="FFFFFF"/>
            <w:vAlign w:val="center"/>
            <w:hideMark/>
          </w:tcPr>
          <w:p w14:paraId="05515521" w14:textId="77777777" w:rsidR="00423534" w:rsidRPr="00D95ECC" w:rsidRDefault="00423534" w:rsidP="00423534">
            <w:pPr>
              <w:suppressAutoHyphens/>
              <w:jc w:val="center"/>
              <w:rPr>
                <w:rFonts w:ascii="Calibri" w:hAnsi="Calibri" w:cs="Calibri"/>
                <w:color w:val="000000"/>
                <w:sz w:val="22"/>
                <w:szCs w:val="22"/>
                <w:lang w:val="en-IN" w:eastAsia="en-IN"/>
              </w:rPr>
            </w:pPr>
            <w:r w:rsidRPr="00D95ECC">
              <w:rPr>
                <w:rFonts w:ascii="Calibri" w:hAnsi="Calibri" w:cs="Calibri"/>
                <w:color w:val="000000"/>
                <w:spacing w:val="-2"/>
                <w:sz w:val="22"/>
                <w:szCs w:val="22"/>
                <w:lang w:eastAsia="en-IN"/>
              </w:rPr>
              <w:t>3.00%</w:t>
            </w:r>
          </w:p>
        </w:tc>
      </w:tr>
      <w:tr w:rsidR="00423534" w:rsidRPr="00D95ECC" w14:paraId="034DA9D4" w14:textId="77777777" w:rsidTr="00423534">
        <w:trPr>
          <w:trHeight w:val="285"/>
        </w:trPr>
        <w:tc>
          <w:tcPr>
            <w:tcW w:w="3723" w:type="dxa"/>
            <w:shd w:val="clear" w:color="auto" w:fill="auto"/>
            <w:vAlign w:val="center"/>
            <w:hideMark/>
          </w:tcPr>
          <w:p w14:paraId="33268EF4" w14:textId="77777777" w:rsidR="00423534" w:rsidRPr="00D95ECC" w:rsidRDefault="00423534" w:rsidP="00423534">
            <w:pPr>
              <w:suppressAutoHyphens/>
              <w:rPr>
                <w:rFonts w:ascii="Calibri" w:hAnsi="Calibri" w:cs="Calibri"/>
                <w:color w:val="000000"/>
                <w:sz w:val="22"/>
                <w:szCs w:val="22"/>
                <w:lang w:val="en-IN" w:eastAsia="en-IN"/>
              </w:rPr>
            </w:pPr>
            <w:r w:rsidRPr="00D95ECC">
              <w:rPr>
                <w:rFonts w:ascii="Calibri" w:hAnsi="Calibri" w:cs="Calibri"/>
                <w:color w:val="000000"/>
                <w:sz w:val="22"/>
                <w:szCs w:val="22"/>
                <w:lang w:eastAsia="en-IN"/>
              </w:rPr>
              <w:t>R&amp;M on Govt. funded Assets</w:t>
            </w:r>
          </w:p>
        </w:tc>
        <w:tc>
          <w:tcPr>
            <w:tcW w:w="2348" w:type="dxa"/>
            <w:shd w:val="clear" w:color="auto" w:fill="FFFFFF"/>
            <w:vAlign w:val="center"/>
            <w:hideMark/>
          </w:tcPr>
          <w:p w14:paraId="69470247" w14:textId="77777777" w:rsidR="00423534" w:rsidRPr="00D95ECC" w:rsidRDefault="00423534" w:rsidP="00423534">
            <w:pPr>
              <w:suppressAutoHyphens/>
              <w:jc w:val="center"/>
              <w:rPr>
                <w:rFonts w:ascii="Calibri" w:hAnsi="Calibri" w:cs="Calibri"/>
                <w:color w:val="000000"/>
                <w:sz w:val="22"/>
                <w:szCs w:val="22"/>
                <w:lang w:val="en-IN" w:eastAsia="en-IN"/>
              </w:rPr>
            </w:pPr>
            <w:r w:rsidRPr="00D95ECC">
              <w:rPr>
                <w:rFonts w:ascii="Calibri" w:hAnsi="Calibri" w:cs="Calibri"/>
                <w:color w:val="000000"/>
                <w:spacing w:val="-2"/>
                <w:sz w:val="22"/>
                <w:szCs w:val="22"/>
                <w:lang w:eastAsia="en-IN"/>
              </w:rPr>
              <w:t>61</w:t>
            </w:r>
          </w:p>
        </w:tc>
        <w:tc>
          <w:tcPr>
            <w:tcW w:w="2399" w:type="dxa"/>
            <w:shd w:val="clear" w:color="auto" w:fill="FFFFFF"/>
            <w:vAlign w:val="center"/>
            <w:hideMark/>
          </w:tcPr>
          <w:p w14:paraId="642F3D40" w14:textId="77777777" w:rsidR="00423534" w:rsidRPr="00D95ECC" w:rsidRDefault="00423534" w:rsidP="00423534">
            <w:pPr>
              <w:suppressAutoHyphens/>
              <w:jc w:val="center"/>
              <w:rPr>
                <w:rFonts w:ascii="Calibri" w:hAnsi="Calibri" w:cs="Calibri"/>
                <w:color w:val="000000"/>
                <w:sz w:val="22"/>
                <w:szCs w:val="22"/>
                <w:lang w:val="en-IN" w:eastAsia="en-IN"/>
              </w:rPr>
            </w:pPr>
            <w:r w:rsidRPr="00D95ECC">
              <w:rPr>
                <w:rFonts w:ascii="Calibri" w:hAnsi="Calibri" w:cs="Calibri"/>
                <w:color w:val="000000"/>
                <w:spacing w:val="-2"/>
                <w:sz w:val="22"/>
                <w:szCs w:val="22"/>
                <w:lang w:eastAsia="en-IN"/>
              </w:rPr>
              <w:t>50.28</w:t>
            </w:r>
          </w:p>
        </w:tc>
      </w:tr>
      <w:tr w:rsidR="00423534" w:rsidRPr="00D95ECC" w14:paraId="75718042" w14:textId="77777777" w:rsidTr="00423534">
        <w:trPr>
          <w:trHeight w:val="209"/>
        </w:trPr>
        <w:tc>
          <w:tcPr>
            <w:tcW w:w="3723" w:type="dxa"/>
            <w:shd w:val="clear" w:color="auto" w:fill="auto"/>
            <w:vAlign w:val="center"/>
            <w:hideMark/>
          </w:tcPr>
          <w:p w14:paraId="5578DADE" w14:textId="77777777" w:rsidR="00423534" w:rsidRPr="00D95ECC" w:rsidRDefault="00423534" w:rsidP="00423534">
            <w:pPr>
              <w:suppressAutoHyphens/>
              <w:rPr>
                <w:rFonts w:ascii="Calibri" w:hAnsi="Calibri" w:cs="Calibri"/>
                <w:color w:val="000000"/>
                <w:sz w:val="22"/>
                <w:szCs w:val="22"/>
                <w:lang w:val="en-IN" w:eastAsia="en-IN"/>
              </w:rPr>
            </w:pPr>
            <w:r w:rsidRPr="00D95ECC">
              <w:rPr>
                <w:rFonts w:ascii="Calibri" w:hAnsi="Calibri" w:cs="Calibri"/>
                <w:color w:val="000000"/>
                <w:sz w:val="22"/>
                <w:szCs w:val="22"/>
                <w:lang w:eastAsia="en-IN"/>
              </w:rPr>
              <w:t>Additional R &amp; M</w:t>
            </w:r>
          </w:p>
        </w:tc>
        <w:tc>
          <w:tcPr>
            <w:tcW w:w="2348" w:type="dxa"/>
            <w:shd w:val="clear" w:color="auto" w:fill="FFFFFF"/>
            <w:vAlign w:val="center"/>
            <w:hideMark/>
          </w:tcPr>
          <w:p w14:paraId="187160FA" w14:textId="77777777" w:rsidR="00423534" w:rsidRPr="00D95ECC" w:rsidRDefault="00423534" w:rsidP="00423534">
            <w:pPr>
              <w:suppressAutoHyphens/>
              <w:jc w:val="center"/>
              <w:rPr>
                <w:rFonts w:ascii="Calibri" w:hAnsi="Calibri" w:cs="Calibri"/>
                <w:color w:val="000000"/>
                <w:sz w:val="22"/>
                <w:szCs w:val="22"/>
                <w:lang w:val="en-IN" w:eastAsia="en-IN"/>
              </w:rPr>
            </w:pPr>
            <w:r w:rsidRPr="00D95ECC">
              <w:rPr>
                <w:rFonts w:ascii="Calibri" w:hAnsi="Calibri" w:cs="Calibri"/>
                <w:color w:val="000000"/>
                <w:spacing w:val="-2"/>
                <w:sz w:val="22"/>
                <w:szCs w:val="22"/>
                <w:lang w:eastAsia="en-IN"/>
              </w:rPr>
              <w:t>71.14</w:t>
            </w:r>
          </w:p>
        </w:tc>
        <w:tc>
          <w:tcPr>
            <w:tcW w:w="2399" w:type="dxa"/>
            <w:shd w:val="clear" w:color="auto" w:fill="FFFFFF"/>
            <w:vAlign w:val="center"/>
            <w:hideMark/>
          </w:tcPr>
          <w:p w14:paraId="50A217A2" w14:textId="77777777" w:rsidR="00423534" w:rsidRPr="00D95ECC" w:rsidRDefault="00423534" w:rsidP="00423534">
            <w:pPr>
              <w:suppressAutoHyphens/>
              <w:jc w:val="center"/>
              <w:rPr>
                <w:rFonts w:ascii="Calibri" w:hAnsi="Calibri" w:cs="Calibri"/>
                <w:color w:val="000000"/>
                <w:sz w:val="22"/>
                <w:szCs w:val="22"/>
                <w:lang w:val="en-IN" w:eastAsia="en-IN"/>
              </w:rPr>
            </w:pPr>
            <w:r w:rsidRPr="00D95ECC">
              <w:rPr>
                <w:rFonts w:ascii="Calibri" w:hAnsi="Calibri" w:cs="Calibri"/>
                <w:color w:val="000000"/>
                <w:spacing w:val="-2"/>
                <w:sz w:val="22"/>
                <w:szCs w:val="22"/>
                <w:lang w:eastAsia="en-IN"/>
              </w:rPr>
              <w:t>35</w:t>
            </w:r>
          </w:p>
        </w:tc>
      </w:tr>
      <w:tr w:rsidR="00423534" w:rsidRPr="00D95ECC" w14:paraId="13F83C9B" w14:textId="77777777" w:rsidTr="00587A8D">
        <w:trPr>
          <w:trHeight w:val="285"/>
        </w:trPr>
        <w:tc>
          <w:tcPr>
            <w:tcW w:w="3723" w:type="dxa"/>
            <w:shd w:val="clear" w:color="auto" w:fill="8DB3E2" w:themeFill="text2" w:themeFillTint="66"/>
            <w:vAlign w:val="center"/>
            <w:hideMark/>
          </w:tcPr>
          <w:p w14:paraId="1E525F16" w14:textId="77777777" w:rsidR="00423534" w:rsidRPr="00D95ECC" w:rsidRDefault="00423534" w:rsidP="00423534">
            <w:pPr>
              <w:suppressAutoHyphens/>
              <w:rPr>
                <w:rFonts w:ascii="Calibri" w:hAnsi="Calibri" w:cs="Calibri"/>
                <w:b/>
                <w:color w:val="000000"/>
                <w:sz w:val="22"/>
                <w:szCs w:val="22"/>
                <w:lang w:val="en-IN" w:eastAsia="en-IN"/>
              </w:rPr>
            </w:pPr>
            <w:r w:rsidRPr="00D95ECC">
              <w:rPr>
                <w:rFonts w:ascii="Calibri" w:hAnsi="Calibri" w:cs="Calibri"/>
                <w:b/>
                <w:color w:val="000000"/>
                <w:sz w:val="22"/>
                <w:szCs w:val="22"/>
                <w:lang w:eastAsia="en-IN"/>
              </w:rPr>
              <w:t>Total R &amp; M including Special R &amp; M</w:t>
            </w:r>
          </w:p>
        </w:tc>
        <w:tc>
          <w:tcPr>
            <w:tcW w:w="2348" w:type="dxa"/>
            <w:shd w:val="clear" w:color="auto" w:fill="8DB3E2" w:themeFill="text2" w:themeFillTint="66"/>
            <w:vAlign w:val="center"/>
            <w:hideMark/>
          </w:tcPr>
          <w:p w14:paraId="59169340" w14:textId="77777777" w:rsidR="00423534" w:rsidRPr="00D95ECC" w:rsidRDefault="00423534" w:rsidP="00423534">
            <w:pPr>
              <w:suppressAutoHyphens/>
              <w:jc w:val="center"/>
              <w:rPr>
                <w:rFonts w:ascii="Calibri" w:hAnsi="Calibri" w:cs="Calibri"/>
                <w:b/>
                <w:bCs/>
                <w:color w:val="000000"/>
                <w:sz w:val="22"/>
                <w:szCs w:val="22"/>
                <w:lang w:val="en-IN" w:eastAsia="en-IN"/>
              </w:rPr>
            </w:pPr>
            <w:r w:rsidRPr="00D95ECC">
              <w:rPr>
                <w:rFonts w:ascii="Calibri" w:hAnsi="Calibri" w:cs="Calibri"/>
                <w:b/>
                <w:bCs/>
                <w:color w:val="000000"/>
                <w:spacing w:val="-2"/>
                <w:sz w:val="22"/>
                <w:szCs w:val="22"/>
                <w:lang w:eastAsia="en-IN"/>
              </w:rPr>
              <w:t>257.19</w:t>
            </w:r>
          </w:p>
        </w:tc>
        <w:tc>
          <w:tcPr>
            <w:tcW w:w="2399" w:type="dxa"/>
            <w:shd w:val="clear" w:color="auto" w:fill="8DB3E2" w:themeFill="text2" w:themeFillTint="66"/>
            <w:vAlign w:val="center"/>
            <w:hideMark/>
          </w:tcPr>
          <w:p w14:paraId="521BEA4C" w14:textId="77777777" w:rsidR="00423534" w:rsidRPr="00D95ECC" w:rsidRDefault="00423534" w:rsidP="00423534">
            <w:pPr>
              <w:suppressAutoHyphens/>
              <w:jc w:val="center"/>
              <w:rPr>
                <w:rFonts w:ascii="Calibri" w:hAnsi="Calibri" w:cs="Calibri"/>
                <w:b/>
                <w:bCs/>
                <w:color w:val="000000"/>
                <w:sz w:val="22"/>
                <w:szCs w:val="22"/>
                <w:lang w:val="en-IN" w:eastAsia="en-IN"/>
              </w:rPr>
            </w:pPr>
            <w:r w:rsidRPr="00D95ECC">
              <w:rPr>
                <w:rFonts w:ascii="Calibri" w:hAnsi="Calibri" w:cs="Calibri"/>
                <w:b/>
                <w:bCs/>
                <w:color w:val="000000"/>
                <w:spacing w:val="-2"/>
                <w:sz w:val="22"/>
                <w:szCs w:val="22"/>
                <w:lang w:eastAsia="en-IN"/>
              </w:rPr>
              <w:t>214.34</w:t>
            </w:r>
          </w:p>
        </w:tc>
      </w:tr>
    </w:tbl>
    <w:p w14:paraId="7AEA34E0" w14:textId="03092DC7" w:rsidR="00587A8D" w:rsidRDefault="00587A8D" w:rsidP="00587A8D">
      <w:pPr>
        <w:pStyle w:val="BodyText"/>
        <w:spacing w:before="180" w:line="360" w:lineRule="auto"/>
        <w:ind w:left="993"/>
        <w:jc w:val="both"/>
        <w:rPr>
          <w:rFonts w:asciiTheme="minorHAnsi" w:hAnsiTheme="minorHAnsi"/>
          <w:sz w:val="22"/>
          <w:szCs w:val="22"/>
        </w:rPr>
      </w:pPr>
    </w:p>
    <w:p w14:paraId="386AF656" w14:textId="14C1C4E0" w:rsidR="00587A8D" w:rsidRDefault="00416351" w:rsidP="00587A8D">
      <w:pPr>
        <w:pStyle w:val="BodyText"/>
        <w:spacing w:before="180" w:line="360" w:lineRule="auto"/>
        <w:ind w:left="993"/>
        <w:jc w:val="both"/>
        <w:rPr>
          <w:rFonts w:asciiTheme="minorHAnsi" w:hAnsiTheme="minorHAnsi"/>
          <w:sz w:val="22"/>
          <w:szCs w:val="22"/>
        </w:rPr>
      </w:pPr>
      <w:r w:rsidRPr="00587A8D">
        <w:rPr>
          <w:rFonts w:asciiTheme="minorHAnsi" w:hAnsiTheme="minorHAnsi"/>
          <w:sz w:val="22"/>
          <w:szCs w:val="22"/>
        </w:rPr>
        <w:t xml:space="preserve">As these Assets are in use and </w:t>
      </w:r>
      <w:proofErr w:type="spellStart"/>
      <w:r w:rsidRPr="00587A8D">
        <w:rPr>
          <w:rFonts w:asciiTheme="minorHAnsi" w:hAnsiTheme="minorHAnsi"/>
          <w:sz w:val="22"/>
          <w:szCs w:val="22"/>
        </w:rPr>
        <w:t>Discom</w:t>
      </w:r>
      <w:proofErr w:type="spellEnd"/>
      <w:r w:rsidRPr="00587A8D">
        <w:rPr>
          <w:rFonts w:asciiTheme="minorHAnsi" w:hAnsiTheme="minorHAnsi"/>
          <w:sz w:val="22"/>
          <w:szCs w:val="22"/>
        </w:rPr>
        <w:t xml:space="preserve"> need to carry our R&amp;M of these Assets to ensure</w:t>
      </w:r>
      <w:r w:rsidRPr="00587A8D">
        <w:rPr>
          <w:rFonts w:asciiTheme="minorHAnsi" w:hAnsiTheme="minorHAnsi"/>
          <w:spacing w:val="-47"/>
          <w:sz w:val="22"/>
          <w:szCs w:val="22"/>
        </w:rPr>
        <w:t xml:space="preserve"> </w:t>
      </w:r>
      <w:r w:rsidRPr="00587A8D">
        <w:rPr>
          <w:rFonts w:asciiTheme="minorHAnsi" w:hAnsiTheme="minorHAnsi"/>
          <w:sz w:val="22"/>
          <w:szCs w:val="22"/>
        </w:rPr>
        <w:t>smooth</w:t>
      </w:r>
      <w:r w:rsidRPr="00587A8D">
        <w:rPr>
          <w:rFonts w:asciiTheme="minorHAnsi" w:hAnsiTheme="minorHAnsi"/>
          <w:spacing w:val="1"/>
          <w:sz w:val="22"/>
          <w:szCs w:val="22"/>
        </w:rPr>
        <w:t xml:space="preserve"> </w:t>
      </w:r>
      <w:r w:rsidRPr="00587A8D">
        <w:rPr>
          <w:rFonts w:asciiTheme="minorHAnsi" w:hAnsiTheme="minorHAnsi"/>
          <w:sz w:val="22"/>
          <w:szCs w:val="22"/>
        </w:rPr>
        <w:t>Power</w:t>
      </w:r>
      <w:r w:rsidRPr="00587A8D">
        <w:rPr>
          <w:rFonts w:asciiTheme="minorHAnsi" w:hAnsiTheme="minorHAnsi"/>
          <w:spacing w:val="1"/>
          <w:sz w:val="22"/>
          <w:szCs w:val="22"/>
        </w:rPr>
        <w:t xml:space="preserve"> </w:t>
      </w:r>
      <w:r w:rsidRPr="00587A8D">
        <w:rPr>
          <w:rFonts w:asciiTheme="minorHAnsi" w:hAnsiTheme="minorHAnsi"/>
          <w:sz w:val="22"/>
          <w:szCs w:val="22"/>
        </w:rPr>
        <w:t>Supply</w:t>
      </w:r>
      <w:r w:rsidRPr="00587A8D">
        <w:rPr>
          <w:rFonts w:asciiTheme="minorHAnsi" w:hAnsiTheme="minorHAnsi"/>
          <w:spacing w:val="1"/>
          <w:sz w:val="22"/>
          <w:szCs w:val="22"/>
        </w:rPr>
        <w:t xml:space="preserve"> </w:t>
      </w:r>
      <w:r w:rsidRPr="00587A8D">
        <w:rPr>
          <w:rFonts w:asciiTheme="minorHAnsi" w:hAnsiTheme="minorHAnsi"/>
          <w:sz w:val="22"/>
          <w:szCs w:val="22"/>
        </w:rPr>
        <w:t>to</w:t>
      </w:r>
      <w:r w:rsidRPr="00587A8D">
        <w:rPr>
          <w:rFonts w:asciiTheme="minorHAnsi" w:hAnsiTheme="minorHAnsi"/>
          <w:spacing w:val="1"/>
          <w:sz w:val="22"/>
          <w:szCs w:val="22"/>
        </w:rPr>
        <w:t xml:space="preserve"> </w:t>
      </w:r>
      <w:r w:rsidRPr="00587A8D">
        <w:rPr>
          <w:rFonts w:asciiTheme="minorHAnsi" w:hAnsiTheme="minorHAnsi"/>
          <w:sz w:val="22"/>
          <w:szCs w:val="22"/>
        </w:rPr>
        <w:t>the</w:t>
      </w:r>
      <w:r w:rsidRPr="00587A8D">
        <w:rPr>
          <w:rFonts w:asciiTheme="minorHAnsi" w:hAnsiTheme="minorHAnsi"/>
          <w:spacing w:val="1"/>
          <w:sz w:val="22"/>
          <w:szCs w:val="22"/>
        </w:rPr>
        <w:t xml:space="preserve"> </w:t>
      </w:r>
      <w:r w:rsidRPr="00587A8D">
        <w:rPr>
          <w:rFonts w:asciiTheme="minorHAnsi" w:hAnsiTheme="minorHAnsi"/>
          <w:sz w:val="22"/>
          <w:szCs w:val="22"/>
        </w:rPr>
        <w:t>Consumers</w:t>
      </w:r>
      <w:r w:rsidRPr="00587A8D">
        <w:rPr>
          <w:rFonts w:asciiTheme="minorHAnsi" w:hAnsiTheme="minorHAnsi"/>
          <w:spacing w:val="1"/>
          <w:sz w:val="22"/>
          <w:szCs w:val="22"/>
        </w:rPr>
        <w:t xml:space="preserve"> </w:t>
      </w:r>
      <w:r w:rsidRPr="00587A8D">
        <w:rPr>
          <w:rFonts w:asciiTheme="minorHAnsi" w:hAnsiTheme="minorHAnsi"/>
          <w:sz w:val="22"/>
          <w:szCs w:val="22"/>
        </w:rPr>
        <w:t>and</w:t>
      </w:r>
      <w:r w:rsidRPr="00587A8D">
        <w:rPr>
          <w:rFonts w:asciiTheme="minorHAnsi" w:hAnsiTheme="minorHAnsi"/>
          <w:spacing w:val="1"/>
          <w:sz w:val="22"/>
          <w:szCs w:val="22"/>
        </w:rPr>
        <w:t xml:space="preserve"> </w:t>
      </w:r>
      <w:r w:rsidRPr="00587A8D">
        <w:rPr>
          <w:rFonts w:asciiTheme="minorHAnsi" w:hAnsiTheme="minorHAnsi"/>
          <w:sz w:val="22"/>
          <w:szCs w:val="22"/>
        </w:rPr>
        <w:t>also</w:t>
      </w:r>
      <w:r w:rsidRPr="00587A8D">
        <w:rPr>
          <w:rFonts w:asciiTheme="minorHAnsi" w:hAnsiTheme="minorHAnsi"/>
          <w:spacing w:val="1"/>
          <w:sz w:val="22"/>
          <w:szCs w:val="22"/>
        </w:rPr>
        <w:t xml:space="preserve"> </w:t>
      </w:r>
      <w:r w:rsidRPr="00587A8D">
        <w:rPr>
          <w:rFonts w:asciiTheme="minorHAnsi" w:hAnsiTheme="minorHAnsi"/>
          <w:sz w:val="22"/>
          <w:szCs w:val="22"/>
        </w:rPr>
        <w:t>the</w:t>
      </w:r>
      <w:r w:rsidRPr="00587A8D">
        <w:rPr>
          <w:rFonts w:asciiTheme="minorHAnsi" w:hAnsiTheme="minorHAnsi"/>
          <w:spacing w:val="1"/>
          <w:sz w:val="22"/>
          <w:szCs w:val="22"/>
        </w:rPr>
        <w:t xml:space="preserve"> </w:t>
      </w:r>
      <w:r w:rsidRPr="00587A8D">
        <w:rPr>
          <w:rFonts w:asciiTheme="minorHAnsi" w:hAnsiTheme="minorHAnsi"/>
          <w:sz w:val="22"/>
          <w:szCs w:val="22"/>
        </w:rPr>
        <w:t>Tariff</w:t>
      </w:r>
      <w:r w:rsidRPr="00587A8D">
        <w:rPr>
          <w:rFonts w:asciiTheme="minorHAnsi" w:hAnsiTheme="minorHAnsi"/>
          <w:spacing w:val="1"/>
          <w:sz w:val="22"/>
          <w:szCs w:val="22"/>
        </w:rPr>
        <w:t xml:space="preserve"> </w:t>
      </w:r>
      <w:r w:rsidRPr="00587A8D">
        <w:rPr>
          <w:rFonts w:asciiTheme="minorHAnsi" w:hAnsiTheme="minorHAnsi"/>
          <w:sz w:val="22"/>
          <w:szCs w:val="22"/>
        </w:rPr>
        <w:t>Regulations,</w:t>
      </w:r>
      <w:r w:rsidRPr="00587A8D">
        <w:rPr>
          <w:rFonts w:asciiTheme="minorHAnsi" w:hAnsiTheme="minorHAnsi"/>
          <w:spacing w:val="49"/>
          <w:sz w:val="22"/>
          <w:szCs w:val="22"/>
        </w:rPr>
        <w:t xml:space="preserve"> </w:t>
      </w:r>
      <w:r w:rsidRPr="00587A8D">
        <w:rPr>
          <w:rFonts w:asciiTheme="minorHAnsi" w:hAnsiTheme="minorHAnsi"/>
          <w:sz w:val="22"/>
          <w:szCs w:val="22"/>
        </w:rPr>
        <w:t>2022</w:t>
      </w:r>
      <w:r w:rsidRPr="00587A8D">
        <w:rPr>
          <w:rFonts w:asciiTheme="minorHAnsi" w:hAnsiTheme="minorHAnsi"/>
          <w:spacing w:val="1"/>
          <w:sz w:val="22"/>
          <w:szCs w:val="22"/>
        </w:rPr>
        <w:t xml:space="preserve"> </w:t>
      </w:r>
      <w:r w:rsidRPr="00587A8D">
        <w:rPr>
          <w:rFonts w:asciiTheme="minorHAnsi" w:hAnsiTheme="minorHAnsi"/>
          <w:sz w:val="22"/>
          <w:szCs w:val="22"/>
        </w:rPr>
        <w:t>stipulates</w:t>
      </w:r>
      <w:r w:rsidRPr="00587A8D">
        <w:rPr>
          <w:rFonts w:asciiTheme="minorHAnsi" w:hAnsiTheme="minorHAnsi"/>
          <w:spacing w:val="29"/>
          <w:sz w:val="22"/>
          <w:szCs w:val="22"/>
        </w:rPr>
        <w:t xml:space="preserve"> </w:t>
      </w:r>
      <w:r w:rsidRPr="00587A8D">
        <w:rPr>
          <w:rFonts w:asciiTheme="minorHAnsi" w:hAnsiTheme="minorHAnsi"/>
          <w:sz w:val="22"/>
          <w:szCs w:val="22"/>
        </w:rPr>
        <w:t>allowable</w:t>
      </w:r>
      <w:r w:rsidRPr="00587A8D">
        <w:rPr>
          <w:rFonts w:asciiTheme="minorHAnsi" w:hAnsiTheme="minorHAnsi"/>
          <w:spacing w:val="31"/>
          <w:sz w:val="22"/>
          <w:szCs w:val="22"/>
        </w:rPr>
        <w:t xml:space="preserve"> </w:t>
      </w:r>
      <w:r w:rsidRPr="00587A8D">
        <w:rPr>
          <w:rFonts w:asciiTheme="minorHAnsi" w:hAnsiTheme="minorHAnsi"/>
          <w:sz w:val="22"/>
          <w:szCs w:val="22"/>
        </w:rPr>
        <w:t>R&amp;M</w:t>
      </w:r>
      <w:r w:rsidRPr="00587A8D">
        <w:rPr>
          <w:rFonts w:asciiTheme="minorHAnsi" w:hAnsiTheme="minorHAnsi"/>
          <w:spacing w:val="31"/>
          <w:sz w:val="22"/>
          <w:szCs w:val="22"/>
        </w:rPr>
        <w:t xml:space="preserve"> </w:t>
      </w:r>
      <w:r w:rsidRPr="00587A8D">
        <w:rPr>
          <w:rFonts w:asciiTheme="minorHAnsi" w:hAnsiTheme="minorHAnsi"/>
          <w:sz w:val="22"/>
          <w:szCs w:val="22"/>
        </w:rPr>
        <w:t>on</w:t>
      </w:r>
      <w:r w:rsidRPr="00587A8D">
        <w:rPr>
          <w:rFonts w:asciiTheme="minorHAnsi" w:hAnsiTheme="minorHAnsi"/>
          <w:spacing w:val="29"/>
          <w:sz w:val="22"/>
          <w:szCs w:val="22"/>
        </w:rPr>
        <w:t xml:space="preserve"> </w:t>
      </w:r>
      <w:r w:rsidRPr="00587A8D">
        <w:rPr>
          <w:rFonts w:asciiTheme="minorHAnsi" w:hAnsiTheme="minorHAnsi"/>
          <w:sz w:val="22"/>
          <w:szCs w:val="22"/>
        </w:rPr>
        <w:t>total</w:t>
      </w:r>
      <w:r w:rsidRPr="00587A8D">
        <w:rPr>
          <w:rFonts w:asciiTheme="minorHAnsi" w:hAnsiTheme="minorHAnsi"/>
          <w:spacing w:val="30"/>
          <w:sz w:val="22"/>
          <w:szCs w:val="22"/>
        </w:rPr>
        <w:t xml:space="preserve"> </w:t>
      </w:r>
      <w:r w:rsidRPr="00587A8D">
        <w:rPr>
          <w:rFonts w:asciiTheme="minorHAnsi" w:hAnsiTheme="minorHAnsi"/>
          <w:sz w:val="22"/>
          <w:szCs w:val="22"/>
        </w:rPr>
        <w:t>GFA</w:t>
      </w:r>
      <w:r w:rsidRPr="00587A8D">
        <w:rPr>
          <w:rFonts w:asciiTheme="minorHAnsi" w:hAnsiTheme="minorHAnsi"/>
          <w:spacing w:val="27"/>
          <w:sz w:val="22"/>
          <w:szCs w:val="22"/>
        </w:rPr>
        <w:t>.</w:t>
      </w:r>
      <w:r w:rsidRPr="00587A8D">
        <w:rPr>
          <w:rFonts w:asciiTheme="minorHAnsi" w:hAnsiTheme="minorHAnsi"/>
          <w:spacing w:val="30"/>
          <w:sz w:val="22"/>
          <w:szCs w:val="22"/>
        </w:rPr>
        <w:t xml:space="preserve"> </w:t>
      </w:r>
      <w:r w:rsidRPr="00587A8D">
        <w:rPr>
          <w:rFonts w:asciiTheme="minorHAnsi" w:hAnsiTheme="minorHAnsi"/>
          <w:sz w:val="22"/>
          <w:szCs w:val="22"/>
        </w:rPr>
        <w:t>Such</w:t>
      </w:r>
      <w:r w:rsidRPr="00587A8D">
        <w:rPr>
          <w:rFonts w:asciiTheme="minorHAnsi" w:hAnsiTheme="minorHAnsi"/>
          <w:spacing w:val="31"/>
          <w:sz w:val="22"/>
          <w:szCs w:val="22"/>
        </w:rPr>
        <w:t xml:space="preserve"> </w:t>
      </w:r>
      <w:r w:rsidRPr="00587A8D">
        <w:rPr>
          <w:rFonts w:asciiTheme="minorHAnsi" w:hAnsiTheme="minorHAnsi"/>
          <w:sz w:val="22"/>
          <w:szCs w:val="22"/>
        </w:rPr>
        <w:t>disallowance</w:t>
      </w:r>
      <w:r w:rsidRPr="00587A8D">
        <w:rPr>
          <w:rFonts w:asciiTheme="minorHAnsi" w:hAnsiTheme="minorHAnsi"/>
          <w:spacing w:val="31"/>
          <w:sz w:val="22"/>
          <w:szCs w:val="22"/>
        </w:rPr>
        <w:t xml:space="preserve"> </w:t>
      </w:r>
      <w:r w:rsidRPr="00587A8D">
        <w:rPr>
          <w:rFonts w:asciiTheme="minorHAnsi" w:hAnsiTheme="minorHAnsi"/>
          <w:sz w:val="22"/>
          <w:szCs w:val="22"/>
        </w:rPr>
        <w:t>under</w:t>
      </w:r>
      <w:r w:rsidRPr="00587A8D">
        <w:rPr>
          <w:rFonts w:asciiTheme="minorHAnsi" w:hAnsiTheme="minorHAnsi"/>
          <w:spacing w:val="31"/>
          <w:sz w:val="22"/>
          <w:szCs w:val="22"/>
        </w:rPr>
        <w:t xml:space="preserve"> </w:t>
      </w:r>
      <w:r w:rsidRPr="00587A8D">
        <w:rPr>
          <w:rFonts w:asciiTheme="minorHAnsi" w:hAnsiTheme="minorHAnsi"/>
          <w:sz w:val="22"/>
          <w:szCs w:val="22"/>
        </w:rPr>
        <w:t>R&amp;M</w:t>
      </w:r>
      <w:r w:rsidRPr="00587A8D">
        <w:rPr>
          <w:rFonts w:asciiTheme="minorHAnsi" w:hAnsiTheme="minorHAnsi"/>
          <w:spacing w:val="31"/>
          <w:sz w:val="22"/>
          <w:szCs w:val="22"/>
        </w:rPr>
        <w:t xml:space="preserve"> </w:t>
      </w:r>
      <w:r w:rsidRPr="00587A8D">
        <w:rPr>
          <w:rFonts w:asciiTheme="minorHAnsi" w:hAnsiTheme="minorHAnsi"/>
          <w:sz w:val="22"/>
          <w:szCs w:val="22"/>
        </w:rPr>
        <w:t>entitlement</w:t>
      </w:r>
      <w:r w:rsidRPr="00587A8D">
        <w:rPr>
          <w:rFonts w:asciiTheme="minorHAnsi" w:hAnsiTheme="minorHAnsi"/>
          <w:spacing w:val="1"/>
          <w:sz w:val="22"/>
          <w:szCs w:val="22"/>
        </w:rPr>
        <w:t xml:space="preserve"> </w:t>
      </w:r>
      <w:r w:rsidRPr="00587A8D">
        <w:rPr>
          <w:rFonts w:asciiTheme="minorHAnsi" w:hAnsiTheme="minorHAnsi"/>
          <w:sz w:val="22"/>
          <w:szCs w:val="22"/>
        </w:rPr>
        <w:t>will on the other hand encourage utilities to replace such assets when they are beyond</w:t>
      </w:r>
      <w:r w:rsidRPr="00587A8D">
        <w:rPr>
          <w:rFonts w:asciiTheme="minorHAnsi" w:hAnsiTheme="minorHAnsi"/>
          <w:spacing w:val="1"/>
          <w:sz w:val="22"/>
          <w:szCs w:val="22"/>
        </w:rPr>
        <w:t xml:space="preserve"> </w:t>
      </w:r>
      <w:r w:rsidRPr="00587A8D">
        <w:rPr>
          <w:rFonts w:asciiTheme="minorHAnsi" w:hAnsiTheme="minorHAnsi"/>
          <w:sz w:val="22"/>
          <w:szCs w:val="22"/>
        </w:rPr>
        <w:t>their</w:t>
      </w:r>
      <w:r w:rsidRPr="00587A8D">
        <w:rPr>
          <w:rFonts w:asciiTheme="minorHAnsi" w:hAnsiTheme="minorHAnsi"/>
          <w:spacing w:val="37"/>
          <w:sz w:val="22"/>
          <w:szCs w:val="22"/>
        </w:rPr>
        <w:t xml:space="preserve"> </w:t>
      </w:r>
      <w:r w:rsidRPr="00587A8D">
        <w:rPr>
          <w:rFonts w:asciiTheme="minorHAnsi" w:hAnsiTheme="minorHAnsi"/>
          <w:sz w:val="22"/>
          <w:szCs w:val="22"/>
        </w:rPr>
        <w:t>“depreciated</w:t>
      </w:r>
      <w:r w:rsidRPr="00587A8D">
        <w:rPr>
          <w:rFonts w:asciiTheme="minorHAnsi" w:hAnsiTheme="minorHAnsi"/>
          <w:spacing w:val="32"/>
          <w:sz w:val="22"/>
          <w:szCs w:val="22"/>
        </w:rPr>
        <w:t xml:space="preserve"> </w:t>
      </w:r>
      <w:r w:rsidRPr="00587A8D">
        <w:rPr>
          <w:rFonts w:asciiTheme="minorHAnsi" w:hAnsiTheme="minorHAnsi"/>
          <w:sz w:val="22"/>
          <w:szCs w:val="22"/>
        </w:rPr>
        <w:t>life”</w:t>
      </w:r>
      <w:r w:rsidRPr="00587A8D">
        <w:rPr>
          <w:rFonts w:asciiTheme="minorHAnsi" w:hAnsiTheme="minorHAnsi"/>
          <w:spacing w:val="35"/>
          <w:sz w:val="22"/>
          <w:szCs w:val="22"/>
        </w:rPr>
        <w:t xml:space="preserve"> </w:t>
      </w:r>
      <w:r w:rsidRPr="00587A8D">
        <w:rPr>
          <w:rFonts w:asciiTheme="minorHAnsi" w:hAnsiTheme="minorHAnsi"/>
          <w:sz w:val="22"/>
          <w:szCs w:val="22"/>
        </w:rPr>
        <w:t>but</w:t>
      </w:r>
      <w:r w:rsidRPr="00587A8D">
        <w:rPr>
          <w:rFonts w:asciiTheme="minorHAnsi" w:hAnsiTheme="minorHAnsi"/>
          <w:spacing w:val="36"/>
          <w:sz w:val="22"/>
          <w:szCs w:val="22"/>
        </w:rPr>
        <w:t xml:space="preserve"> </w:t>
      </w:r>
      <w:r w:rsidRPr="00587A8D">
        <w:rPr>
          <w:rFonts w:asciiTheme="minorHAnsi" w:hAnsiTheme="minorHAnsi"/>
          <w:sz w:val="22"/>
          <w:szCs w:val="22"/>
        </w:rPr>
        <w:t>are</w:t>
      </w:r>
      <w:r w:rsidRPr="00587A8D">
        <w:rPr>
          <w:rFonts w:asciiTheme="minorHAnsi" w:hAnsiTheme="minorHAnsi"/>
          <w:spacing w:val="35"/>
          <w:sz w:val="22"/>
          <w:szCs w:val="22"/>
        </w:rPr>
        <w:t xml:space="preserve"> </w:t>
      </w:r>
      <w:r w:rsidRPr="00587A8D">
        <w:rPr>
          <w:rFonts w:asciiTheme="minorHAnsi" w:hAnsiTheme="minorHAnsi"/>
          <w:sz w:val="22"/>
          <w:szCs w:val="22"/>
        </w:rPr>
        <w:t>still</w:t>
      </w:r>
      <w:r w:rsidRPr="00587A8D">
        <w:rPr>
          <w:rFonts w:asciiTheme="minorHAnsi" w:hAnsiTheme="minorHAnsi"/>
          <w:spacing w:val="40"/>
          <w:sz w:val="22"/>
          <w:szCs w:val="22"/>
        </w:rPr>
        <w:t xml:space="preserve"> </w:t>
      </w:r>
      <w:r w:rsidRPr="00587A8D">
        <w:rPr>
          <w:rFonts w:asciiTheme="minorHAnsi" w:hAnsiTheme="minorHAnsi"/>
          <w:sz w:val="22"/>
          <w:szCs w:val="22"/>
        </w:rPr>
        <w:t>serviceable</w:t>
      </w:r>
      <w:r w:rsidRPr="00587A8D">
        <w:rPr>
          <w:rFonts w:asciiTheme="minorHAnsi" w:hAnsiTheme="minorHAnsi"/>
          <w:spacing w:val="35"/>
          <w:sz w:val="22"/>
          <w:szCs w:val="22"/>
        </w:rPr>
        <w:t xml:space="preserve"> </w:t>
      </w:r>
      <w:r w:rsidRPr="00587A8D">
        <w:rPr>
          <w:rFonts w:asciiTheme="minorHAnsi" w:hAnsiTheme="minorHAnsi"/>
          <w:sz w:val="22"/>
          <w:szCs w:val="22"/>
        </w:rPr>
        <w:t>and</w:t>
      </w:r>
      <w:r w:rsidRPr="00587A8D">
        <w:rPr>
          <w:rFonts w:asciiTheme="minorHAnsi" w:hAnsiTheme="minorHAnsi"/>
          <w:spacing w:val="36"/>
          <w:sz w:val="22"/>
          <w:szCs w:val="22"/>
        </w:rPr>
        <w:t xml:space="preserve"> </w:t>
      </w:r>
      <w:r w:rsidRPr="00587A8D">
        <w:rPr>
          <w:rFonts w:asciiTheme="minorHAnsi" w:hAnsiTheme="minorHAnsi"/>
          <w:sz w:val="22"/>
          <w:szCs w:val="22"/>
        </w:rPr>
        <w:t>put</w:t>
      </w:r>
      <w:r w:rsidRPr="00587A8D">
        <w:rPr>
          <w:rFonts w:asciiTheme="minorHAnsi" w:hAnsiTheme="minorHAnsi"/>
          <w:spacing w:val="36"/>
          <w:sz w:val="22"/>
          <w:szCs w:val="22"/>
        </w:rPr>
        <w:t xml:space="preserve"> </w:t>
      </w:r>
      <w:r w:rsidRPr="00587A8D">
        <w:rPr>
          <w:rFonts w:asciiTheme="minorHAnsi" w:hAnsiTheme="minorHAnsi"/>
          <w:sz w:val="22"/>
          <w:szCs w:val="22"/>
        </w:rPr>
        <w:t>additional</w:t>
      </w:r>
      <w:r w:rsidRPr="00587A8D">
        <w:rPr>
          <w:rFonts w:asciiTheme="minorHAnsi" w:hAnsiTheme="minorHAnsi"/>
          <w:spacing w:val="40"/>
          <w:sz w:val="22"/>
          <w:szCs w:val="22"/>
        </w:rPr>
        <w:t xml:space="preserve"> </w:t>
      </w:r>
      <w:r w:rsidRPr="00587A8D">
        <w:rPr>
          <w:rFonts w:asciiTheme="minorHAnsi" w:hAnsiTheme="minorHAnsi"/>
          <w:sz w:val="22"/>
          <w:szCs w:val="22"/>
        </w:rPr>
        <w:t>burden</w:t>
      </w:r>
      <w:r w:rsidRPr="00587A8D">
        <w:rPr>
          <w:rFonts w:asciiTheme="minorHAnsi" w:hAnsiTheme="minorHAnsi"/>
          <w:spacing w:val="32"/>
          <w:sz w:val="22"/>
          <w:szCs w:val="22"/>
        </w:rPr>
        <w:t xml:space="preserve"> </w:t>
      </w:r>
      <w:r w:rsidRPr="00587A8D">
        <w:rPr>
          <w:rFonts w:asciiTheme="minorHAnsi" w:hAnsiTheme="minorHAnsi"/>
          <w:sz w:val="22"/>
          <w:szCs w:val="22"/>
        </w:rPr>
        <w:t>on consumers in terms of</w:t>
      </w:r>
      <w:r w:rsidRPr="00587A8D">
        <w:rPr>
          <w:rFonts w:asciiTheme="minorHAnsi" w:hAnsiTheme="minorHAnsi"/>
          <w:spacing w:val="1"/>
          <w:sz w:val="22"/>
          <w:szCs w:val="22"/>
        </w:rPr>
        <w:t xml:space="preserve"> </w:t>
      </w:r>
      <w:r w:rsidRPr="00587A8D">
        <w:rPr>
          <w:rFonts w:asciiTheme="minorHAnsi" w:hAnsiTheme="minorHAnsi"/>
          <w:sz w:val="22"/>
          <w:szCs w:val="22"/>
        </w:rPr>
        <w:t>additional cost to replace with new assets instead of focusing</w:t>
      </w:r>
      <w:r w:rsidRPr="00587A8D">
        <w:rPr>
          <w:rFonts w:asciiTheme="minorHAnsi" w:hAnsiTheme="minorHAnsi"/>
          <w:spacing w:val="1"/>
          <w:sz w:val="22"/>
          <w:szCs w:val="22"/>
        </w:rPr>
        <w:t xml:space="preserve"> </w:t>
      </w:r>
      <w:r w:rsidRPr="00587A8D">
        <w:rPr>
          <w:rFonts w:asciiTheme="minorHAnsi" w:hAnsiTheme="minorHAnsi"/>
          <w:sz w:val="22"/>
          <w:szCs w:val="22"/>
        </w:rPr>
        <w:t>on</w:t>
      </w:r>
      <w:r w:rsidRPr="00587A8D">
        <w:rPr>
          <w:rFonts w:asciiTheme="minorHAnsi" w:hAnsiTheme="minorHAnsi"/>
          <w:spacing w:val="1"/>
          <w:sz w:val="22"/>
          <w:szCs w:val="22"/>
        </w:rPr>
        <w:t xml:space="preserve"> </w:t>
      </w:r>
      <w:r w:rsidRPr="00587A8D">
        <w:rPr>
          <w:rFonts w:asciiTheme="minorHAnsi" w:hAnsiTheme="minorHAnsi"/>
          <w:sz w:val="22"/>
          <w:szCs w:val="22"/>
        </w:rPr>
        <w:t>life</w:t>
      </w:r>
      <w:r w:rsidRPr="00587A8D">
        <w:rPr>
          <w:rFonts w:asciiTheme="minorHAnsi" w:hAnsiTheme="minorHAnsi"/>
          <w:spacing w:val="1"/>
          <w:sz w:val="22"/>
          <w:szCs w:val="22"/>
        </w:rPr>
        <w:t xml:space="preserve"> </w:t>
      </w:r>
      <w:r w:rsidRPr="00587A8D">
        <w:rPr>
          <w:rFonts w:asciiTheme="minorHAnsi" w:hAnsiTheme="minorHAnsi"/>
          <w:sz w:val="22"/>
          <w:szCs w:val="22"/>
        </w:rPr>
        <w:t>enhancement</w:t>
      </w:r>
      <w:r w:rsidRPr="00587A8D">
        <w:rPr>
          <w:rFonts w:asciiTheme="minorHAnsi" w:hAnsiTheme="minorHAnsi"/>
          <w:spacing w:val="1"/>
          <w:sz w:val="22"/>
          <w:szCs w:val="22"/>
        </w:rPr>
        <w:t xml:space="preserve"> </w:t>
      </w:r>
      <w:r w:rsidRPr="00587A8D">
        <w:rPr>
          <w:rFonts w:asciiTheme="minorHAnsi" w:hAnsiTheme="minorHAnsi"/>
          <w:sz w:val="22"/>
          <w:szCs w:val="22"/>
        </w:rPr>
        <w:t>of</w:t>
      </w:r>
      <w:r w:rsidRPr="00587A8D">
        <w:rPr>
          <w:rFonts w:asciiTheme="minorHAnsi" w:hAnsiTheme="minorHAnsi"/>
          <w:spacing w:val="1"/>
          <w:sz w:val="22"/>
          <w:szCs w:val="22"/>
        </w:rPr>
        <w:t xml:space="preserve"> </w:t>
      </w:r>
      <w:r w:rsidRPr="00587A8D">
        <w:rPr>
          <w:rFonts w:asciiTheme="minorHAnsi" w:hAnsiTheme="minorHAnsi"/>
          <w:sz w:val="22"/>
          <w:szCs w:val="22"/>
        </w:rPr>
        <w:t>existing</w:t>
      </w:r>
      <w:r w:rsidRPr="00587A8D">
        <w:rPr>
          <w:rFonts w:asciiTheme="minorHAnsi" w:hAnsiTheme="minorHAnsi"/>
          <w:spacing w:val="1"/>
          <w:sz w:val="22"/>
          <w:szCs w:val="22"/>
        </w:rPr>
        <w:t xml:space="preserve"> </w:t>
      </w:r>
      <w:r w:rsidRPr="00587A8D">
        <w:rPr>
          <w:rFonts w:asciiTheme="minorHAnsi" w:hAnsiTheme="minorHAnsi"/>
          <w:sz w:val="22"/>
          <w:szCs w:val="22"/>
        </w:rPr>
        <w:t>assets</w:t>
      </w:r>
      <w:r w:rsidRPr="00587A8D">
        <w:rPr>
          <w:rFonts w:asciiTheme="minorHAnsi" w:hAnsiTheme="minorHAnsi"/>
          <w:spacing w:val="1"/>
          <w:sz w:val="22"/>
          <w:szCs w:val="22"/>
        </w:rPr>
        <w:t xml:space="preserve"> </w:t>
      </w:r>
      <w:r w:rsidRPr="00587A8D">
        <w:rPr>
          <w:rFonts w:asciiTheme="minorHAnsi" w:hAnsiTheme="minorHAnsi"/>
          <w:sz w:val="22"/>
          <w:szCs w:val="22"/>
        </w:rPr>
        <w:t>through</w:t>
      </w:r>
      <w:r w:rsidRPr="00587A8D">
        <w:rPr>
          <w:rFonts w:asciiTheme="minorHAnsi" w:hAnsiTheme="minorHAnsi"/>
          <w:spacing w:val="1"/>
          <w:sz w:val="22"/>
          <w:szCs w:val="22"/>
        </w:rPr>
        <w:t xml:space="preserve"> </w:t>
      </w:r>
      <w:r w:rsidRPr="00587A8D">
        <w:rPr>
          <w:rFonts w:asciiTheme="minorHAnsi" w:hAnsiTheme="minorHAnsi"/>
          <w:sz w:val="22"/>
          <w:szCs w:val="22"/>
        </w:rPr>
        <w:t>R&amp;M.</w:t>
      </w:r>
      <w:r w:rsidRPr="00587A8D">
        <w:rPr>
          <w:rFonts w:asciiTheme="minorHAnsi" w:hAnsiTheme="minorHAnsi"/>
          <w:spacing w:val="1"/>
          <w:sz w:val="22"/>
          <w:szCs w:val="22"/>
        </w:rPr>
        <w:t xml:space="preserve"> </w:t>
      </w:r>
      <w:r w:rsidRPr="00587A8D">
        <w:rPr>
          <w:rFonts w:asciiTheme="minorHAnsi" w:hAnsiTheme="minorHAnsi"/>
          <w:sz w:val="22"/>
          <w:szCs w:val="22"/>
        </w:rPr>
        <w:t>We</w:t>
      </w:r>
      <w:r w:rsidRPr="00587A8D">
        <w:rPr>
          <w:rFonts w:asciiTheme="minorHAnsi" w:hAnsiTheme="minorHAnsi"/>
          <w:spacing w:val="1"/>
          <w:sz w:val="22"/>
          <w:szCs w:val="22"/>
        </w:rPr>
        <w:t xml:space="preserve"> </w:t>
      </w:r>
      <w:r w:rsidRPr="00587A8D">
        <w:rPr>
          <w:rFonts w:asciiTheme="minorHAnsi" w:hAnsiTheme="minorHAnsi"/>
          <w:sz w:val="22"/>
          <w:szCs w:val="22"/>
        </w:rPr>
        <w:t>therefore</w:t>
      </w:r>
      <w:r w:rsidRPr="00587A8D">
        <w:rPr>
          <w:rFonts w:asciiTheme="minorHAnsi" w:hAnsiTheme="minorHAnsi"/>
          <w:spacing w:val="1"/>
          <w:sz w:val="22"/>
          <w:szCs w:val="22"/>
        </w:rPr>
        <w:t xml:space="preserve"> </w:t>
      </w:r>
      <w:r w:rsidRPr="00587A8D">
        <w:rPr>
          <w:rFonts w:asciiTheme="minorHAnsi" w:hAnsiTheme="minorHAnsi"/>
          <w:sz w:val="22"/>
          <w:szCs w:val="22"/>
        </w:rPr>
        <w:t>request</w:t>
      </w:r>
      <w:r w:rsidRPr="00587A8D">
        <w:rPr>
          <w:rFonts w:asciiTheme="minorHAnsi" w:hAnsiTheme="minorHAnsi"/>
          <w:spacing w:val="49"/>
          <w:sz w:val="22"/>
          <w:szCs w:val="22"/>
        </w:rPr>
        <w:t xml:space="preserve"> </w:t>
      </w:r>
      <w:r w:rsidRPr="00587A8D">
        <w:rPr>
          <w:rFonts w:asciiTheme="minorHAnsi" w:hAnsiTheme="minorHAnsi"/>
          <w:sz w:val="22"/>
          <w:szCs w:val="22"/>
        </w:rPr>
        <w:t>the</w:t>
      </w:r>
      <w:r w:rsidRPr="00587A8D">
        <w:rPr>
          <w:rFonts w:asciiTheme="minorHAnsi" w:hAnsiTheme="minorHAnsi"/>
          <w:spacing w:val="1"/>
          <w:sz w:val="22"/>
          <w:szCs w:val="22"/>
        </w:rPr>
        <w:t xml:space="preserve"> </w:t>
      </w:r>
      <w:r w:rsidRPr="00587A8D">
        <w:rPr>
          <w:rFonts w:asciiTheme="minorHAnsi" w:hAnsiTheme="minorHAnsi"/>
          <w:sz w:val="22"/>
          <w:szCs w:val="22"/>
        </w:rPr>
        <w:t xml:space="preserve">Hon’ble Commission to kindly allow R&amp;M on these assets </w:t>
      </w:r>
    </w:p>
    <w:p w14:paraId="435AA69E" w14:textId="13544442" w:rsidR="00844104" w:rsidRPr="00844104" w:rsidRDefault="00BE3501" w:rsidP="00844104">
      <w:pPr>
        <w:pStyle w:val="BodyText"/>
        <w:spacing w:before="180" w:line="360" w:lineRule="auto"/>
        <w:ind w:left="993"/>
        <w:jc w:val="both"/>
        <w:rPr>
          <w:rFonts w:asciiTheme="minorHAnsi" w:hAnsiTheme="minorHAnsi" w:cs="Arial"/>
          <w:bCs/>
          <w:sz w:val="22"/>
          <w:szCs w:val="22"/>
        </w:rPr>
      </w:pPr>
      <w:r w:rsidRPr="00587A8D">
        <w:rPr>
          <w:rFonts w:asciiTheme="minorHAnsi" w:hAnsiTheme="minorHAnsi" w:cs="Arial"/>
          <w:bCs/>
          <w:sz w:val="22"/>
          <w:szCs w:val="22"/>
        </w:rPr>
        <w:t>Certified copy of SRB &amp; Associates (Statutory Auditor) for Gross Fixed Asset (GFA) as on 31.03.2024 is provided below:</w:t>
      </w:r>
    </w:p>
    <w:p w14:paraId="433C575A" w14:textId="3A6499E7" w:rsidR="00BE3501" w:rsidRPr="00587A8D" w:rsidRDefault="00FA0527" w:rsidP="00587A8D">
      <w:pPr>
        <w:pStyle w:val="Caption"/>
        <w:jc w:val="both"/>
        <w:rPr>
          <w:rFonts w:asciiTheme="minorHAnsi" w:hAnsiTheme="minorHAnsi" w:cs="Arial"/>
          <w:b/>
          <w:i/>
          <w:sz w:val="22"/>
        </w:rPr>
      </w:pPr>
      <w:r>
        <w:rPr>
          <w:noProof/>
          <w:lang w:val="en-IN" w:eastAsia="en-IN"/>
          <w14:ligatures w14:val="standardContextual"/>
        </w:rPr>
        <mc:AlternateContent>
          <mc:Choice Requires="wps">
            <w:drawing>
              <wp:anchor distT="0" distB="0" distL="114300" distR="114300" simplePos="0" relativeHeight="252188160" behindDoc="0" locked="0" layoutInCell="1" allowOverlap="1" wp14:anchorId="76667F8C" wp14:editId="4B20B637">
                <wp:simplePos x="0" y="0"/>
                <wp:positionH relativeFrom="margin">
                  <wp:posOffset>1042035</wp:posOffset>
                </wp:positionH>
                <wp:positionV relativeFrom="paragraph">
                  <wp:posOffset>4389755</wp:posOffset>
                </wp:positionV>
                <wp:extent cx="4610100" cy="247650"/>
                <wp:effectExtent l="19050" t="19050" r="19050" b="19050"/>
                <wp:wrapNone/>
                <wp:docPr id="212922778" name="Rectangle: Rounded Corners 1">
                  <a:extLst xmlns:a="http://schemas.openxmlformats.org/drawingml/2006/main"/>
                </wp:docPr>
                <wp:cNvGraphicFramePr/>
                <a:graphic xmlns:a="http://schemas.openxmlformats.org/drawingml/2006/main">
                  <a:graphicData uri="http://schemas.microsoft.com/office/word/2010/wordprocessingShape">
                    <wps:wsp>
                      <wps:cNvSpPr/>
                      <wps:spPr>
                        <a:xfrm>
                          <a:off x="0" y="0"/>
                          <a:ext cx="4610100" cy="247650"/>
                        </a:xfrm>
                        <a:prstGeom prst="roundRect">
                          <a:avLst/>
                        </a:prstGeom>
                        <a:noFill/>
                        <a:ln w="28575">
                          <a:solidFill>
                            <a:srgbClr val="FF0000"/>
                          </a:solidFill>
                        </a:ln>
                      </wps:spPr>
                      <wps:style>
                        <a:lnRef idx="2">
                          <a:schemeClr val="accent6"/>
                        </a:lnRef>
                        <a:fillRef idx="1">
                          <a:schemeClr val="lt1"/>
                        </a:fillRef>
                        <a:effectRef idx="0">
                          <a:schemeClr val="accent6"/>
                        </a:effectRef>
                        <a:fontRef idx="minor">
                          <a:schemeClr val="dk1"/>
                        </a:fontRef>
                      </wps:style>
                      <wps:bodyPr rot="0" spcFirstLastPara="0" vertOverflow="clip" horzOverflow="clip"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6AC25387" id="Rectangle: Rounded Corners 1" o:spid="_x0000_s1026" style="position:absolute;margin-left:82.05pt;margin-top:345.65pt;width:363pt;height:19.5pt;z-index:25218816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" filled="f" strokecolor="red" strokeweight="2.25pt">
                <w10:wrap anchorx="margin"/>
              </v:roundrect>
            </w:pict>
          </mc:Fallback>
        </mc:AlternateContent>
      </w:r>
      <w:r>
        <w:rPr>
          <w:noProof/>
          <w:lang w:val="en-IN" w:eastAsia="en-IN"/>
        </w:rPr>
        <w:drawing>
          <wp:anchor distT="0" distB="0" distL="114300" distR="114300" simplePos="0" relativeHeight="252187136" behindDoc="0" locked="0" layoutInCell="1" allowOverlap="1" wp14:anchorId="66674C3A" wp14:editId="3E8F1C81">
            <wp:simplePos x="0" y="0"/>
            <wp:positionH relativeFrom="page">
              <wp:posOffset>1228725</wp:posOffset>
            </wp:positionH>
            <wp:positionV relativeFrom="paragraph">
              <wp:posOffset>198120</wp:posOffset>
            </wp:positionV>
            <wp:extent cx="5591175" cy="4524375"/>
            <wp:effectExtent l="0" t="0" r="9525" b="9525"/>
            <wp:wrapSquare wrapText="bothSides"/>
            <wp:docPr id="212922779" name="Picture 2129227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extLst>
                        <a:ext uri="{28A0092B-C50C-407E-A947-70E740481C1C}">
                          <a14:useLocalDpi xmlns:a14="http://schemas.microsoft.com/office/drawing/2010/main" val="0"/>
                        </a:ext>
                      </a:extLst>
                    </a:blip>
                    <a:stretch>
                      <a:fillRect/>
                    </a:stretch>
                  </pic:blipFill>
                  <pic:spPr>
                    <a:xfrm>
                      <a:off x="0" y="0"/>
                      <a:ext cx="5591175" cy="4524375"/>
                    </a:xfrm>
                    <a:prstGeom prst="rect">
                      <a:avLst/>
                    </a:prstGeom>
                  </pic:spPr>
                </pic:pic>
              </a:graphicData>
            </a:graphic>
            <wp14:sizeRelH relativeFrom="margin">
              <wp14:pctWidth>0</wp14:pctWidth>
            </wp14:sizeRelH>
            <wp14:sizeRelV relativeFrom="margin">
              <wp14:pctHeight>0</wp14:pctHeight>
            </wp14:sizeRelV>
          </wp:anchor>
        </w:drawing>
      </w:r>
      <w:r w:rsidR="00587A8D">
        <w:rPr>
          <w:rFonts w:asciiTheme="minorHAnsi" w:hAnsiTheme="minorHAnsi" w:cs="Arial"/>
          <w:b/>
          <w:sz w:val="22"/>
        </w:rPr>
        <w:t xml:space="preserve">                   </w:t>
      </w:r>
      <w:r w:rsidR="00BE3501" w:rsidRPr="00587A8D">
        <w:rPr>
          <w:rFonts w:asciiTheme="minorHAnsi" w:hAnsiTheme="minorHAnsi" w:cs="Arial"/>
          <w:b/>
          <w:sz w:val="22"/>
        </w:rPr>
        <w:t xml:space="preserve">Extract: </w:t>
      </w:r>
      <w:r w:rsidR="00BE3501" w:rsidRPr="00587A8D">
        <w:rPr>
          <w:rFonts w:asciiTheme="minorHAnsi" w:hAnsiTheme="minorHAnsi" w:cs="Arial"/>
          <w:b/>
          <w:bCs/>
          <w:sz w:val="22"/>
          <w:szCs w:val="22"/>
        </w:rPr>
        <w:t>Certified copy of SRB &amp; Associates (Statutory Auditor) for Gross Fixed Asset (GFA)</w:t>
      </w:r>
    </w:p>
    <w:p w14:paraId="589F6805" w14:textId="3435CFB4" w:rsidR="00BE3501" w:rsidRDefault="00BE3501" w:rsidP="00FA0527">
      <w:pPr>
        <w:tabs>
          <w:tab w:val="left" w:pos="426"/>
        </w:tabs>
        <w:spacing w:line="360" w:lineRule="auto"/>
        <w:ind w:right="-23"/>
        <w:jc w:val="both"/>
        <w:rPr>
          <w:rFonts w:ascii="Arial" w:hAnsi="Arial" w:cs="Arial"/>
          <w:bCs/>
          <w:sz w:val="22"/>
          <w:szCs w:val="22"/>
        </w:rPr>
      </w:pPr>
    </w:p>
    <w:p w14:paraId="0F6C96AD" w14:textId="4C483C85" w:rsidR="00974443" w:rsidRPr="00FA0527" w:rsidRDefault="00FA0527" w:rsidP="00FA0527">
      <w:pPr>
        <w:rPr>
          <w:rFonts w:asciiTheme="minorHAnsi" w:hAnsiTheme="minorHAnsi"/>
          <w:b/>
          <w:sz w:val="22"/>
        </w:rPr>
      </w:pPr>
      <w:r w:rsidRPr="00FA0527">
        <w:rPr>
          <w:rFonts w:asciiTheme="minorHAnsi" w:hAnsiTheme="minorHAnsi"/>
          <w:b/>
          <w:sz w:val="22"/>
        </w:rPr>
        <w:lastRenderedPageBreak/>
        <w:t xml:space="preserve">            </w:t>
      </w:r>
      <w:r>
        <w:rPr>
          <w:rFonts w:asciiTheme="minorHAnsi" w:hAnsiTheme="minorHAnsi"/>
          <w:b/>
          <w:sz w:val="22"/>
        </w:rPr>
        <w:t xml:space="preserve">  </w:t>
      </w:r>
      <w:r w:rsidR="00974443" w:rsidRPr="00FA0527">
        <w:rPr>
          <w:rFonts w:asciiTheme="minorHAnsi" w:hAnsiTheme="minorHAnsi"/>
          <w:b/>
          <w:sz w:val="22"/>
        </w:rPr>
        <w:t>Our</w:t>
      </w:r>
      <w:r w:rsidR="00974443" w:rsidRPr="00FA0527">
        <w:rPr>
          <w:rFonts w:asciiTheme="minorHAnsi" w:hAnsiTheme="minorHAnsi"/>
          <w:b/>
          <w:spacing w:val="13"/>
          <w:sz w:val="22"/>
        </w:rPr>
        <w:t xml:space="preserve"> </w:t>
      </w:r>
      <w:r w:rsidR="00974443" w:rsidRPr="00FA0527">
        <w:rPr>
          <w:rFonts w:asciiTheme="minorHAnsi" w:hAnsiTheme="minorHAnsi"/>
          <w:b/>
          <w:sz w:val="22"/>
        </w:rPr>
        <w:t>Submission:</w:t>
      </w:r>
    </w:p>
    <w:p w14:paraId="53DD2969" w14:textId="68A242BC" w:rsidR="00974443" w:rsidRPr="00FA0527" w:rsidRDefault="00974443" w:rsidP="00974443">
      <w:pPr>
        <w:pStyle w:val="BodyText"/>
        <w:tabs>
          <w:tab w:val="left" w:pos="709"/>
        </w:tabs>
        <w:spacing w:before="181" w:line="264" w:lineRule="auto"/>
        <w:ind w:left="709" w:right="379"/>
        <w:jc w:val="both"/>
        <w:rPr>
          <w:rFonts w:asciiTheme="minorHAnsi" w:hAnsiTheme="minorHAnsi"/>
          <w:sz w:val="22"/>
        </w:rPr>
      </w:pPr>
      <w:r w:rsidRPr="00FA0527">
        <w:rPr>
          <w:rFonts w:asciiTheme="minorHAnsi" w:hAnsiTheme="minorHAnsi"/>
          <w:sz w:val="22"/>
        </w:rPr>
        <w:t xml:space="preserve">The Hon’ble Commission may accord </w:t>
      </w:r>
      <w:r w:rsidR="00FA0527" w:rsidRPr="00FA0527">
        <w:rPr>
          <w:rFonts w:asciiTheme="minorHAnsi" w:hAnsiTheme="minorHAnsi"/>
          <w:sz w:val="22"/>
        </w:rPr>
        <w:t>approval for</w:t>
      </w:r>
      <w:r w:rsidRPr="00FA0527">
        <w:rPr>
          <w:rFonts w:asciiTheme="minorHAnsi" w:hAnsiTheme="minorHAnsi"/>
          <w:sz w:val="22"/>
        </w:rPr>
        <w:t xml:space="preserve"> </w:t>
      </w:r>
      <w:r w:rsidR="00FA0527" w:rsidRPr="00FA0527">
        <w:rPr>
          <w:rFonts w:asciiTheme="minorHAnsi" w:hAnsiTheme="minorHAnsi"/>
          <w:sz w:val="22"/>
        </w:rPr>
        <w:t xml:space="preserve">considering </w:t>
      </w:r>
      <w:r w:rsidR="00FA0527" w:rsidRPr="00FA0527">
        <w:rPr>
          <w:rFonts w:asciiTheme="minorHAnsi" w:hAnsiTheme="minorHAnsi"/>
          <w:spacing w:val="4"/>
          <w:sz w:val="22"/>
        </w:rPr>
        <w:t>the</w:t>
      </w:r>
      <w:r w:rsidRPr="00FA0527">
        <w:rPr>
          <w:rFonts w:asciiTheme="minorHAnsi" w:hAnsiTheme="minorHAnsi"/>
          <w:spacing w:val="1"/>
          <w:sz w:val="22"/>
        </w:rPr>
        <w:t xml:space="preserve"> </w:t>
      </w:r>
      <w:r w:rsidRPr="00FA0527">
        <w:rPr>
          <w:rFonts w:asciiTheme="minorHAnsi" w:hAnsiTheme="minorHAnsi"/>
          <w:sz w:val="22"/>
        </w:rPr>
        <w:t>actual</w:t>
      </w:r>
      <w:r w:rsidRPr="00FA0527">
        <w:rPr>
          <w:rFonts w:asciiTheme="minorHAnsi" w:hAnsiTheme="minorHAnsi"/>
          <w:spacing w:val="4"/>
          <w:sz w:val="22"/>
        </w:rPr>
        <w:t xml:space="preserve"> </w:t>
      </w:r>
      <w:r w:rsidRPr="00FA0527">
        <w:rPr>
          <w:rFonts w:asciiTheme="minorHAnsi" w:hAnsiTheme="minorHAnsi"/>
          <w:sz w:val="22"/>
        </w:rPr>
        <w:t>cost</w:t>
      </w:r>
      <w:r w:rsidRPr="00FA0527">
        <w:rPr>
          <w:rFonts w:asciiTheme="minorHAnsi" w:hAnsiTheme="minorHAnsi"/>
          <w:spacing w:val="3"/>
          <w:sz w:val="22"/>
        </w:rPr>
        <w:t xml:space="preserve"> </w:t>
      </w:r>
      <w:r w:rsidRPr="00FA0527">
        <w:rPr>
          <w:rFonts w:asciiTheme="minorHAnsi" w:hAnsiTheme="minorHAnsi"/>
          <w:sz w:val="22"/>
        </w:rPr>
        <w:t>at</w:t>
      </w:r>
      <w:r w:rsidRPr="00FA0527">
        <w:rPr>
          <w:rFonts w:asciiTheme="minorHAnsi" w:hAnsiTheme="minorHAnsi"/>
          <w:spacing w:val="2"/>
          <w:sz w:val="22"/>
        </w:rPr>
        <w:t xml:space="preserve"> </w:t>
      </w:r>
      <w:r w:rsidRPr="00FA0527">
        <w:rPr>
          <w:rFonts w:asciiTheme="minorHAnsi" w:hAnsiTheme="minorHAnsi"/>
          <w:sz w:val="22"/>
        </w:rPr>
        <w:t>the</w:t>
      </w:r>
      <w:r w:rsidRPr="00FA0527">
        <w:rPr>
          <w:rFonts w:asciiTheme="minorHAnsi" w:hAnsiTheme="minorHAnsi"/>
          <w:spacing w:val="5"/>
          <w:sz w:val="22"/>
        </w:rPr>
        <w:t xml:space="preserve"> </w:t>
      </w:r>
      <w:r w:rsidRPr="00FA0527">
        <w:rPr>
          <w:rFonts w:asciiTheme="minorHAnsi" w:hAnsiTheme="minorHAnsi"/>
          <w:sz w:val="22"/>
        </w:rPr>
        <w:t>time</w:t>
      </w:r>
      <w:r w:rsidRPr="00FA0527">
        <w:rPr>
          <w:rFonts w:asciiTheme="minorHAnsi" w:hAnsiTheme="minorHAnsi"/>
          <w:spacing w:val="2"/>
          <w:sz w:val="22"/>
        </w:rPr>
        <w:t xml:space="preserve"> </w:t>
      </w:r>
      <w:r w:rsidRPr="00FA0527">
        <w:rPr>
          <w:rFonts w:asciiTheme="minorHAnsi" w:hAnsiTheme="minorHAnsi"/>
          <w:sz w:val="22"/>
        </w:rPr>
        <w:t>of</w:t>
      </w:r>
      <w:r w:rsidRPr="00FA0527">
        <w:rPr>
          <w:rFonts w:asciiTheme="minorHAnsi" w:hAnsiTheme="minorHAnsi"/>
          <w:spacing w:val="3"/>
          <w:sz w:val="22"/>
        </w:rPr>
        <w:t xml:space="preserve"> </w:t>
      </w:r>
      <w:r w:rsidRPr="00FA0527">
        <w:rPr>
          <w:rFonts w:asciiTheme="minorHAnsi" w:hAnsiTheme="minorHAnsi"/>
          <w:sz w:val="22"/>
        </w:rPr>
        <w:t>Truing</w:t>
      </w:r>
      <w:r w:rsidRPr="00FA0527">
        <w:rPr>
          <w:rFonts w:asciiTheme="minorHAnsi" w:hAnsiTheme="minorHAnsi"/>
          <w:spacing w:val="1"/>
          <w:sz w:val="22"/>
        </w:rPr>
        <w:t xml:space="preserve"> </w:t>
      </w:r>
      <w:r w:rsidRPr="00FA0527">
        <w:rPr>
          <w:rFonts w:asciiTheme="minorHAnsi" w:hAnsiTheme="minorHAnsi"/>
          <w:sz w:val="22"/>
        </w:rPr>
        <w:t>up for the FY 2024-25.</w:t>
      </w:r>
    </w:p>
    <w:p w14:paraId="1258FF9D" w14:textId="77777777" w:rsidR="00BE3501" w:rsidRDefault="00BE3501" w:rsidP="00416351">
      <w:pPr>
        <w:tabs>
          <w:tab w:val="left" w:pos="426"/>
        </w:tabs>
        <w:spacing w:line="360" w:lineRule="auto"/>
        <w:ind w:left="284" w:right="-23"/>
        <w:jc w:val="both"/>
        <w:rPr>
          <w:rFonts w:ascii="Arial" w:hAnsi="Arial" w:cs="Arial"/>
          <w:bCs/>
          <w:sz w:val="22"/>
          <w:szCs w:val="22"/>
        </w:rPr>
      </w:pPr>
    </w:p>
    <w:p w14:paraId="615119FA" w14:textId="28C6C657" w:rsidR="00416351" w:rsidRPr="00A2402F" w:rsidRDefault="00974443" w:rsidP="00FA0527">
      <w:pPr>
        <w:tabs>
          <w:tab w:val="left" w:pos="426"/>
        </w:tabs>
        <w:spacing w:line="360" w:lineRule="auto"/>
        <w:ind w:left="709" w:right="-23"/>
        <w:jc w:val="both"/>
        <w:rPr>
          <w:rFonts w:asciiTheme="minorHAnsi" w:hAnsiTheme="minorHAnsi" w:cs="Arial"/>
          <w:bCs/>
          <w:sz w:val="28"/>
          <w:szCs w:val="22"/>
        </w:rPr>
      </w:pPr>
      <w:r w:rsidRPr="00A2402F">
        <w:rPr>
          <w:rFonts w:asciiTheme="minorHAnsi" w:hAnsiTheme="minorHAnsi" w:cs="Arial"/>
          <w:b/>
          <w:bCs/>
          <w:sz w:val="28"/>
          <w:szCs w:val="22"/>
        </w:rPr>
        <w:t xml:space="preserve">5.2.4. </w:t>
      </w:r>
      <w:r w:rsidR="00416351" w:rsidRPr="00A2402F">
        <w:rPr>
          <w:rFonts w:asciiTheme="minorHAnsi" w:hAnsiTheme="minorHAnsi" w:cs="Arial"/>
          <w:b/>
          <w:bCs/>
          <w:sz w:val="28"/>
          <w:szCs w:val="22"/>
        </w:rPr>
        <w:t xml:space="preserve">Consolidation of Previous FYs Disallowances                                </w:t>
      </w:r>
    </w:p>
    <w:p w14:paraId="7F5E6BF3" w14:textId="77777777" w:rsidR="00416351" w:rsidRPr="00FA0527" w:rsidRDefault="00416351" w:rsidP="00FA0527">
      <w:pPr>
        <w:tabs>
          <w:tab w:val="left" w:pos="426"/>
        </w:tabs>
        <w:spacing w:line="360" w:lineRule="auto"/>
        <w:ind w:left="709" w:right="-23"/>
        <w:jc w:val="both"/>
        <w:rPr>
          <w:rFonts w:asciiTheme="minorHAnsi" w:hAnsiTheme="minorHAnsi" w:cs="Arial"/>
          <w:bCs/>
          <w:sz w:val="22"/>
          <w:szCs w:val="22"/>
        </w:rPr>
      </w:pPr>
      <w:r w:rsidRPr="00FA0527">
        <w:rPr>
          <w:rFonts w:asciiTheme="minorHAnsi" w:hAnsiTheme="minorHAnsi" w:cs="Arial"/>
          <w:bCs/>
          <w:sz w:val="22"/>
          <w:szCs w:val="22"/>
        </w:rPr>
        <w:t xml:space="preserve">A consolidation of previous financial year’s disallowances </w:t>
      </w:r>
      <w:proofErr w:type="spellStart"/>
      <w:r w:rsidRPr="00FA0527">
        <w:rPr>
          <w:rFonts w:asciiTheme="minorHAnsi" w:hAnsiTheme="minorHAnsi" w:cs="Arial"/>
          <w:bCs/>
          <w:sz w:val="22"/>
          <w:szCs w:val="22"/>
        </w:rPr>
        <w:t>upto</w:t>
      </w:r>
      <w:proofErr w:type="spellEnd"/>
      <w:r w:rsidRPr="00FA0527">
        <w:rPr>
          <w:rFonts w:asciiTheme="minorHAnsi" w:hAnsiTheme="minorHAnsi" w:cs="Arial"/>
          <w:bCs/>
          <w:sz w:val="22"/>
          <w:szCs w:val="22"/>
        </w:rPr>
        <w:t xml:space="preserve"> FY 2022-23 are furnished in the following table</w:t>
      </w:r>
    </w:p>
    <w:p w14:paraId="22295EA3" w14:textId="77777777" w:rsidR="00B602FC" w:rsidRDefault="00B602FC" w:rsidP="00FA0527">
      <w:pPr>
        <w:tabs>
          <w:tab w:val="left" w:pos="426"/>
        </w:tabs>
        <w:spacing w:line="360" w:lineRule="auto"/>
        <w:ind w:right="-23"/>
        <w:jc w:val="both"/>
        <w:rPr>
          <w:rFonts w:ascii="Arial" w:hAnsi="Arial" w:cs="Arial"/>
          <w:bCs/>
          <w:sz w:val="22"/>
          <w:szCs w:val="22"/>
        </w:rPr>
      </w:pPr>
    </w:p>
    <w:p w14:paraId="22A42E48" w14:textId="2820638A" w:rsidR="00974443" w:rsidRPr="00FA0527" w:rsidRDefault="00974443" w:rsidP="00B602FC">
      <w:pPr>
        <w:tabs>
          <w:tab w:val="left" w:pos="426"/>
        </w:tabs>
        <w:spacing w:line="360" w:lineRule="auto"/>
        <w:ind w:right="-23"/>
        <w:jc w:val="right"/>
        <w:rPr>
          <w:rFonts w:asciiTheme="minorHAnsi" w:hAnsiTheme="minorHAnsi" w:cs="Arial"/>
          <w:b/>
          <w:bCs/>
          <w:sz w:val="22"/>
          <w:szCs w:val="22"/>
        </w:rPr>
      </w:pPr>
      <w:r w:rsidRPr="00FA0527">
        <w:rPr>
          <w:rFonts w:asciiTheme="minorHAnsi" w:hAnsiTheme="minorHAnsi" w:cs="Arial"/>
          <w:b/>
          <w:bCs/>
          <w:sz w:val="22"/>
          <w:szCs w:val="22"/>
        </w:rPr>
        <w:t>Table-</w:t>
      </w:r>
      <w:r w:rsidR="00B602FC" w:rsidRPr="00FA0527">
        <w:rPr>
          <w:rFonts w:asciiTheme="minorHAnsi" w:hAnsiTheme="minorHAnsi" w:cs="Arial"/>
          <w:b/>
          <w:bCs/>
          <w:sz w:val="22"/>
          <w:szCs w:val="22"/>
        </w:rPr>
        <w:t>55</w:t>
      </w:r>
      <w:r w:rsidRPr="00FA0527">
        <w:rPr>
          <w:rFonts w:asciiTheme="minorHAnsi" w:hAnsiTheme="minorHAnsi" w:cs="Arial"/>
          <w:b/>
          <w:bCs/>
          <w:sz w:val="22"/>
          <w:szCs w:val="22"/>
        </w:rPr>
        <w:t xml:space="preserve">: Consolidation of previous FYs cost non considered by Hon’ble Commission               </w:t>
      </w:r>
      <w:proofErr w:type="gramStart"/>
      <w:r w:rsidRPr="00FA0527">
        <w:rPr>
          <w:rFonts w:asciiTheme="minorHAnsi" w:hAnsiTheme="minorHAnsi" w:cs="Arial"/>
          <w:b/>
          <w:bCs/>
          <w:sz w:val="22"/>
          <w:szCs w:val="22"/>
        </w:rPr>
        <w:t xml:space="preserve">   (</w:t>
      </w:r>
      <w:proofErr w:type="gramEnd"/>
      <w:r w:rsidRPr="00FA0527">
        <w:rPr>
          <w:rFonts w:asciiTheme="minorHAnsi" w:hAnsiTheme="minorHAnsi" w:cs="Arial"/>
          <w:b/>
          <w:bCs/>
          <w:sz w:val="22"/>
          <w:szCs w:val="22"/>
        </w:rPr>
        <w:t xml:space="preserve">In Rs. </w:t>
      </w:r>
      <w:proofErr w:type="spellStart"/>
      <w:r w:rsidRPr="00FA0527">
        <w:rPr>
          <w:rFonts w:asciiTheme="minorHAnsi" w:hAnsiTheme="minorHAnsi" w:cs="Arial"/>
          <w:b/>
          <w:bCs/>
          <w:sz w:val="22"/>
          <w:szCs w:val="22"/>
        </w:rPr>
        <w:t>Crs</w:t>
      </w:r>
      <w:proofErr w:type="spellEnd"/>
      <w:r w:rsidRPr="00FA0527">
        <w:rPr>
          <w:rFonts w:asciiTheme="minorHAnsi" w:hAnsiTheme="minorHAnsi" w:cs="Arial"/>
          <w:b/>
          <w:bCs/>
          <w:sz w:val="22"/>
          <w:szCs w:val="22"/>
        </w:rPr>
        <w:t>)</w:t>
      </w:r>
    </w:p>
    <w:tbl>
      <w:tblPr>
        <w:tblW w:w="10349" w:type="dxa"/>
        <w:tblInd w:w="-436" w:type="dxa"/>
        <w:tblLook w:val="04A0" w:firstRow="1" w:lastRow="0" w:firstColumn="1" w:lastColumn="0" w:noHBand="0" w:noVBand="1"/>
      </w:tblPr>
      <w:tblGrid>
        <w:gridCol w:w="1290"/>
        <w:gridCol w:w="1463"/>
        <w:gridCol w:w="1338"/>
        <w:gridCol w:w="1115"/>
        <w:gridCol w:w="900"/>
        <w:gridCol w:w="1833"/>
        <w:gridCol w:w="2410"/>
      </w:tblGrid>
      <w:tr w:rsidR="00974443" w:rsidRPr="00FA0527" w14:paraId="2B7F94A0" w14:textId="77777777" w:rsidTr="00A35221">
        <w:trPr>
          <w:trHeight w:val="403"/>
        </w:trPr>
        <w:tc>
          <w:tcPr>
            <w:tcW w:w="1303" w:type="dxa"/>
            <w:vMerge w:val="restart"/>
            <w:tcBorders>
              <w:top w:val="single" w:sz="8" w:space="0" w:color="auto"/>
              <w:left w:val="single" w:sz="8" w:space="0" w:color="auto"/>
              <w:bottom w:val="single" w:sz="8" w:space="0" w:color="000000"/>
              <w:right w:val="single" w:sz="8" w:space="0" w:color="auto"/>
            </w:tcBorders>
            <w:shd w:val="clear" w:color="000000" w:fill="9BC2E6"/>
            <w:vAlign w:val="center"/>
            <w:hideMark/>
          </w:tcPr>
          <w:p w14:paraId="0F90434C" w14:textId="77777777" w:rsidR="00974443" w:rsidRPr="00FA0527" w:rsidRDefault="00974443" w:rsidP="00A35221">
            <w:pPr>
              <w:jc w:val="center"/>
              <w:rPr>
                <w:rFonts w:asciiTheme="minorHAnsi" w:hAnsiTheme="minorHAnsi" w:cs="Arial"/>
                <w:b/>
                <w:bCs/>
                <w:color w:val="000000"/>
                <w:sz w:val="22"/>
                <w:szCs w:val="22"/>
                <w:lang w:val="en-IN" w:eastAsia="en-IN"/>
              </w:rPr>
            </w:pPr>
            <w:r w:rsidRPr="00FA0527">
              <w:rPr>
                <w:rFonts w:asciiTheme="minorHAnsi" w:hAnsiTheme="minorHAnsi" w:cs="Arial"/>
                <w:b/>
                <w:bCs/>
                <w:color w:val="000000"/>
                <w:sz w:val="22"/>
                <w:szCs w:val="22"/>
                <w:lang w:val="en-IN" w:eastAsia="en-IN"/>
              </w:rPr>
              <w:t xml:space="preserve">FY </w:t>
            </w:r>
          </w:p>
        </w:tc>
        <w:tc>
          <w:tcPr>
            <w:tcW w:w="1467" w:type="dxa"/>
            <w:vMerge w:val="restart"/>
            <w:tcBorders>
              <w:top w:val="single" w:sz="8" w:space="0" w:color="auto"/>
              <w:left w:val="single" w:sz="8" w:space="0" w:color="auto"/>
              <w:bottom w:val="single" w:sz="8" w:space="0" w:color="000000"/>
              <w:right w:val="single" w:sz="8" w:space="0" w:color="auto"/>
            </w:tcBorders>
            <w:shd w:val="clear" w:color="000000" w:fill="9BC2E6"/>
            <w:vAlign w:val="center"/>
            <w:hideMark/>
          </w:tcPr>
          <w:p w14:paraId="2C72647F" w14:textId="77777777" w:rsidR="00974443" w:rsidRPr="00FA0527" w:rsidRDefault="00974443" w:rsidP="00A35221">
            <w:pPr>
              <w:jc w:val="center"/>
              <w:rPr>
                <w:rFonts w:asciiTheme="minorHAnsi" w:hAnsiTheme="minorHAnsi" w:cs="Arial"/>
                <w:b/>
                <w:bCs/>
                <w:color w:val="000000"/>
                <w:sz w:val="22"/>
                <w:szCs w:val="22"/>
                <w:lang w:val="en-IN" w:eastAsia="en-IN"/>
              </w:rPr>
            </w:pPr>
            <w:r w:rsidRPr="00FA0527">
              <w:rPr>
                <w:rFonts w:asciiTheme="minorHAnsi" w:hAnsiTheme="minorHAnsi" w:cs="Arial"/>
                <w:b/>
                <w:bCs/>
                <w:color w:val="000000"/>
                <w:sz w:val="22"/>
                <w:szCs w:val="22"/>
                <w:lang w:val="en-IN" w:eastAsia="en-IN"/>
              </w:rPr>
              <w:t>Particulars</w:t>
            </w:r>
          </w:p>
        </w:tc>
        <w:tc>
          <w:tcPr>
            <w:tcW w:w="1342" w:type="dxa"/>
            <w:vMerge w:val="restart"/>
            <w:tcBorders>
              <w:top w:val="single" w:sz="8" w:space="0" w:color="auto"/>
              <w:left w:val="single" w:sz="8" w:space="0" w:color="auto"/>
              <w:bottom w:val="single" w:sz="8" w:space="0" w:color="000000"/>
              <w:right w:val="single" w:sz="8" w:space="0" w:color="auto"/>
            </w:tcBorders>
            <w:shd w:val="clear" w:color="000000" w:fill="9BC2E6"/>
            <w:vAlign w:val="center"/>
            <w:hideMark/>
          </w:tcPr>
          <w:p w14:paraId="3B862438" w14:textId="77777777" w:rsidR="00974443" w:rsidRPr="00FA0527" w:rsidRDefault="00974443" w:rsidP="00A35221">
            <w:pPr>
              <w:jc w:val="center"/>
              <w:rPr>
                <w:rFonts w:asciiTheme="minorHAnsi" w:hAnsiTheme="minorHAnsi" w:cs="Arial"/>
                <w:b/>
                <w:bCs/>
                <w:color w:val="000000"/>
                <w:sz w:val="22"/>
                <w:szCs w:val="22"/>
                <w:lang w:val="en-IN" w:eastAsia="en-IN"/>
              </w:rPr>
            </w:pPr>
            <w:r w:rsidRPr="00FA0527">
              <w:rPr>
                <w:rFonts w:asciiTheme="minorHAnsi" w:hAnsiTheme="minorHAnsi" w:cs="Arial"/>
                <w:b/>
                <w:bCs/>
                <w:color w:val="000000"/>
                <w:sz w:val="22"/>
                <w:szCs w:val="22"/>
                <w:lang w:val="en-IN" w:eastAsia="en-IN"/>
              </w:rPr>
              <w:t>Proposed</w:t>
            </w:r>
          </w:p>
        </w:tc>
        <w:tc>
          <w:tcPr>
            <w:tcW w:w="1083" w:type="dxa"/>
            <w:vMerge w:val="restart"/>
            <w:tcBorders>
              <w:top w:val="single" w:sz="8" w:space="0" w:color="auto"/>
              <w:left w:val="single" w:sz="8" w:space="0" w:color="auto"/>
              <w:bottom w:val="single" w:sz="8" w:space="0" w:color="000000"/>
              <w:right w:val="single" w:sz="8" w:space="0" w:color="auto"/>
            </w:tcBorders>
            <w:shd w:val="clear" w:color="000000" w:fill="9BC2E6"/>
            <w:vAlign w:val="center"/>
            <w:hideMark/>
          </w:tcPr>
          <w:p w14:paraId="24284825" w14:textId="77777777" w:rsidR="00974443" w:rsidRPr="00FA0527" w:rsidRDefault="00974443" w:rsidP="00A35221">
            <w:pPr>
              <w:jc w:val="center"/>
              <w:rPr>
                <w:rFonts w:asciiTheme="minorHAnsi" w:hAnsiTheme="minorHAnsi" w:cs="Arial"/>
                <w:b/>
                <w:bCs/>
                <w:color w:val="000000"/>
                <w:sz w:val="22"/>
                <w:szCs w:val="22"/>
                <w:lang w:val="en-IN" w:eastAsia="en-IN"/>
              </w:rPr>
            </w:pPr>
            <w:r w:rsidRPr="00FA0527">
              <w:rPr>
                <w:rFonts w:asciiTheme="minorHAnsi" w:hAnsiTheme="minorHAnsi" w:cs="Arial"/>
                <w:b/>
                <w:bCs/>
                <w:color w:val="000000"/>
                <w:sz w:val="22"/>
                <w:szCs w:val="22"/>
                <w:lang w:val="en-IN" w:eastAsia="en-IN"/>
              </w:rPr>
              <w:t>Approved</w:t>
            </w:r>
          </w:p>
        </w:tc>
        <w:tc>
          <w:tcPr>
            <w:tcW w:w="901" w:type="dxa"/>
            <w:vMerge w:val="restart"/>
            <w:tcBorders>
              <w:top w:val="single" w:sz="8" w:space="0" w:color="auto"/>
              <w:left w:val="single" w:sz="8" w:space="0" w:color="auto"/>
              <w:bottom w:val="single" w:sz="8" w:space="0" w:color="000000"/>
              <w:right w:val="single" w:sz="8" w:space="0" w:color="auto"/>
            </w:tcBorders>
            <w:shd w:val="clear" w:color="000000" w:fill="9BC2E6"/>
            <w:vAlign w:val="center"/>
            <w:hideMark/>
          </w:tcPr>
          <w:p w14:paraId="38647814" w14:textId="77777777" w:rsidR="00974443" w:rsidRPr="00FA0527" w:rsidRDefault="00974443" w:rsidP="00A35221">
            <w:pPr>
              <w:jc w:val="center"/>
              <w:rPr>
                <w:rFonts w:asciiTheme="minorHAnsi" w:hAnsiTheme="minorHAnsi" w:cs="Arial"/>
                <w:b/>
                <w:bCs/>
                <w:color w:val="000000"/>
                <w:sz w:val="22"/>
                <w:szCs w:val="22"/>
                <w:lang w:val="en-IN" w:eastAsia="en-IN"/>
              </w:rPr>
            </w:pPr>
            <w:r w:rsidRPr="00FA0527">
              <w:rPr>
                <w:rFonts w:asciiTheme="minorHAnsi" w:hAnsiTheme="minorHAnsi" w:cs="Arial"/>
                <w:b/>
                <w:bCs/>
                <w:color w:val="000000"/>
                <w:sz w:val="22"/>
                <w:szCs w:val="22"/>
                <w:lang w:val="en-IN" w:eastAsia="en-IN"/>
              </w:rPr>
              <w:t xml:space="preserve">Actual </w:t>
            </w:r>
          </w:p>
        </w:tc>
        <w:tc>
          <w:tcPr>
            <w:tcW w:w="1843" w:type="dxa"/>
            <w:tcBorders>
              <w:top w:val="single" w:sz="8" w:space="0" w:color="auto"/>
              <w:left w:val="nil"/>
              <w:bottom w:val="nil"/>
              <w:right w:val="single" w:sz="8" w:space="0" w:color="auto"/>
            </w:tcBorders>
            <w:shd w:val="clear" w:color="000000" w:fill="9BC2E6"/>
            <w:vAlign w:val="center"/>
            <w:hideMark/>
          </w:tcPr>
          <w:p w14:paraId="015F596E" w14:textId="77777777" w:rsidR="00974443" w:rsidRPr="00FA0527" w:rsidRDefault="00974443" w:rsidP="00A35221">
            <w:pPr>
              <w:jc w:val="center"/>
              <w:rPr>
                <w:rFonts w:asciiTheme="minorHAnsi" w:hAnsiTheme="minorHAnsi" w:cs="Arial"/>
                <w:b/>
                <w:bCs/>
                <w:color w:val="000000"/>
                <w:sz w:val="22"/>
                <w:szCs w:val="22"/>
                <w:lang w:val="en-IN" w:eastAsia="en-IN"/>
              </w:rPr>
            </w:pPr>
            <w:r w:rsidRPr="00FA0527">
              <w:rPr>
                <w:rFonts w:asciiTheme="minorHAnsi" w:hAnsiTheme="minorHAnsi" w:cs="Arial"/>
                <w:b/>
                <w:bCs/>
                <w:color w:val="000000"/>
                <w:sz w:val="22"/>
                <w:szCs w:val="22"/>
                <w:lang w:val="en-IN" w:eastAsia="en-IN"/>
              </w:rPr>
              <w:t>Difference</w:t>
            </w:r>
          </w:p>
        </w:tc>
        <w:tc>
          <w:tcPr>
            <w:tcW w:w="2410" w:type="dxa"/>
            <w:vMerge w:val="restart"/>
            <w:tcBorders>
              <w:top w:val="single" w:sz="8" w:space="0" w:color="auto"/>
              <w:left w:val="single" w:sz="8" w:space="0" w:color="auto"/>
              <w:bottom w:val="single" w:sz="8" w:space="0" w:color="000000"/>
              <w:right w:val="single" w:sz="8" w:space="0" w:color="auto"/>
            </w:tcBorders>
            <w:shd w:val="clear" w:color="000000" w:fill="9BC2E6"/>
            <w:vAlign w:val="center"/>
            <w:hideMark/>
          </w:tcPr>
          <w:p w14:paraId="41F69359" w14:textId="77777777" w:rsidR="00974443" w:rsidRPr="00FA0527" w:rsidRDefault="00974443" w:rsidP="00A35221">
            <w:pPr>
              <w:jc w:val="center"/>
              <w:rPr>
                <w:rFonts w:asciiTheme="minorHAnsi" w:hAnsiTheme="minorHAnsi" w:cs="Arial"/>
                <w:b/>
                <w:bCs/>
                <w:color w:val="000000"/>
                <w:sz w:val="22"/>
                <w:szCs w:val="22"/>
                <w:lang w:val="en-IN" w:eastAsia="en-IN"/>
              </w:rPr>
            </w:pPr>
            <w:r w:rsidRPr="00FA0527">
              <w:rPr>
                <w:rFonts w:asciiTheme="minorHAnsi" w:hAnsiTheme="minorHAnsi" w:cs="Arial"/>
                <w:b/>
                <w:bCs/>
                <w:color w:val="000000"/>
                <w:sz w:val="22"/>
                <w:szCs w:val="22"/>
                <w:lang w:val="en-IN" w:eastAsia="en-IN"/>
              </w:rPr>
              <w:t>Remarks</w:t>
            </w:r>
          </w:p>
        </w:tc>
      </w:tr>
      <w:tr w:rsidR="00974443" w:rsidRPr="00FA0527" w14:paraId="79C26B9B" w14:textId="77777777" w:rsidTr="00A35221">
        <w:trPr>
          <w:trHeight w:val="201"/>
        </w:trPr>
        <w:tc>
          <w:tcPr>
            <w:tcW w:w="1303" w:type="dxa"/>
            <w:vMerge/>
            <w:tcBorders>
              <w:top w:val="single" w:sz="8" w:space="0" w:color="auto"/>
              <w:left w:val="single" w:sz="8" w:space="0" w:color="auto"/>
              <w:bottom w:val="single" w:sz="8" w:space="0" w:color="000000"/>
              <w:right w:val="single" w:sz="8" w:space="0" w:color="auto"/>
            </w:tcBorders>
            <w:vAlign w:val="center"/>
            <w:hideMark/>
          </w:tcPr>
          <w:p w14:paraId="58759484" w14:textId="77777777" w:rsidR="00974443" w:rsidRPr="00FA0527" w:rsidRDefault="00974443" w:rsidP="00A35221">
            <w:pPr>
              <w:rPr>
                <w:rFonts w:asciiTheme="minorHAnsi" w:hAnsiTheme="minorHAnsi" w:cs="Arial"/>
                <w:b/>
                <w:bCs/>
                <w:color w:val="000000"/>
                <w:sz w:val="22"/>
                <w:szCs w:val="22"/>
                <w:lang w:val="en-IN" w:eastAsia="en-IN"/>
              </w:rPr>
            </w:pPr>
          </w:p>
        </w:tc>
        <w:tc>
          <w:tcPr>
            <w:tcW w:w="1467" w:type="dxa"/>
            <w:vMerge/>
            <w:tcBorders>
              <w:top w:val="single" w:sz="8" w:space="0" w:color="auto"/>
              <w:left w:val="single" w:sz="8" w:space="0" w:color="auto"/>
              <w:bottom w:val="single" w:sz="8" w:space="0" w:color="000000"/>
              <w:right w:val="single" w:sz="8" w:space="0" w:color="auto"/>
            </w:tcBorders>
            <w:vAlign w:val="center"/>
            <w:hideMark/>
          </w:tcPr>
          <w:p w14:paraId="31CF765A" w14:textId="77777777" w:rsidR="00974443" w:rsidRPr="00FA0527" w:rsidRDefault="00974443" w:rsidP="00A35221">
            <w:pPr>
              <w:rPr>
                <w:rFonts w:asciiTheme="minorHAnsi" w:hAnsiTheme="minorHAnsi" w:cs="Arial"/>
                <w:b/>
                <w:bCs/>
                <w:color w:val="000000"/>
                <w:sz w:val="22"/>
                <w:szCs w:val="22"/>
                <w:lang w:val="en-IN" w:eastAsia="en-IN"/>
              </w:rPr>
            </w:pPr>
          </w:p>
        </w:tc>
        <w:tc>
          <w:tcPr>
            <w:tcW w:w="1342" w:type="dxa"/>
            <w:vMerge/>
            <w:tcBorders>
              <w:top w:val="single" w:sz="8" w:space="0" w:color="auto"/>
              <w:left w:val="single" w:sz="8" w:space="0" w:color="auto"/>
              <w:bottom w:val="single" w:sz="8" w:space="0" w:color="000000"/>
              <w:right w:val="single" w:sz="8" w:space="0" w:color="auto"/>
            </w:tcBorders>
            <w:vAlign w:val="center"/>
            <w:hideMark/>
          </w:tcPr>
          <w:p w14:paraId="7EFC31D5" w14:textId="77777777" w:rsidR="00974443" w:rsidRPr="00FA0527" w:rsidRDefault="00974443" w:rsidP="00A35221">
            <w:pPr>
              <w:rPr>
                <w:rFonts w:asciiTheme="minorHAnsi" w:hAnsiTheme="minorHAnsi" w:cs="Arial"/>
                <w:b/>
                <w:bCs/>
                <w:color w:val="000000"/>
                <w:sz w:val="22"/>
                <w:szCs w:val="22"/>
                <w:lang w:val="en-IN" w:eastAsia="en-IN"/>
              </w:rPr>
            </w:pPr>
          </w:p>
        </w:tc>
        <w:tc>
          <w:tcPr>
            <w:tcW w:w="1083" w:type="dxa"/>
            <w:vMerge/>
            <w:tcBorders>
              <w:top w:val="single" w:sz="8" w:space="0" w:color="auto"/>
              <w:left w:val="single" w:sz="8" w:space="0" w:color="auto"/>
              <w:bottom w:val="single" w:sz="8" w:space="0" w:color="000000"/>
              <w:right w:val="single" w:sz="8" w:space="0" w:color="auto"/>
            </w:tcBorders>
            <w:vAlign w:val="center"/>
            <w:hideMark/>
          </w:tcPr>
          <w:p w14:paraId="2C10C219" w14:textId="77777777" w:rsidR="00974443" w:rsidRPr="00FA0527" w:rsidRDefault="00974443" w:rsidP="00A35221">
            <w:pPr>
              <w:rPr>
                <w:rFonts w:asciiTheme="minorHAnsi" w:hAnsiTheme="minorHAnsi" w:cs="Arial"/>
                <w:b/>
                <w:bCs/>
                <w:color w:val="000000"/>
                <w:sz w:val="22"/>
                <w:szCs w:val="22"/>
                <w:lang w:val="en-IN" w:eastAsia="en-IN"/>
              </w:rPr>
            </w:pPr>
          </w:p>
        </w:tc>
        <w:tc>
          <w:tcPr>
            <w:tcW w:w="901" w:type="dxa"/>
            <w:vMerge/>
            <w:tcBorders>
              <w:top w:val="single" w:sz="8" w:space="0" w:color="auto"/>
              <w:left w:val="single" w:sz="8" w:space="0" w:color="auto"/>
              <w:bottom w:val="single" w:sz="8" w:space="0" w:color="000000"/>
              <w:right w:val="single" w:sz="8" w:space="0" w:color="auto"/>
            </w:tcBorders>
            <w:vAlign w:val="center"/>
            <w:hideMark/>
          </w:tcPr>
          <w:p w14:paraId="19F30D87" w14:textId="77777777" w:rsidR="00974443" w:rsidRPr="00FA0527" w:rsidRDefault="00974443" w:rsidP="00A35221">
            <w:pPr>
              <w:rPr>
                <w:rFonts w:asciiTheme="minorHAnsi" w:hAnsiTheme="minorHAnsi" w:cs="Arial"/>
                <w:b/>
                <w:bCs/>
                <w:color w:val="000000"/>
                <w:sz w:val="22"/>
                <w:szCs w:val="22"/>
                <w:lang w:val="en-IN" w:eastAsia="en-IN"/>
              </w:rPr>
            </w:pPr>
          </w:p>
        </w:tc>
        <w:tc>
          <w:tcPr>
            <w:tcW w:w="1843" w:type="dxa"/>
            <w:tcBorders>
              <w:top w:val="nil"/>
              <w:left w:val="nil"/>
              <w:bottom w:val="nil"/>
              <w:right w:val="single" w:sz="8" w:space="0" w:color="auto"/>
            </w:tcBorders>
            <w:shd w:val="clear" w:color="000000" w:fill="9BC2E6"/>
            <w:vAlign w:val="center"/>
            <w:hideMark/>
          </w:tcPr>
          <w:p w14:paraId="1C5AC2B8" w14:textId="77777777" w:rsidR="00974443" w:rsidRPr="00FA0527" w:rsidRDefault="00974443" w:rsidP="00A35221">
            <w:pPr>
              <w:jc w:val="center"/>
              <w:rPr>
                <w:rFonts w:asciiTheme="minorHAnsi" w:hAnsiTheme="minorHAnsi" w:cs="Arial"/>
                <w:b/>
                <w:bCs/>
                <w:color w:val="000000"/>
                <w:sz w:val="22"/>
                <w:szCs w:val="22"/>
                <w:lang w:val="en-IN" w:eastAsia="en-IN"/>
              </w:rPr>
            </w:pPr>
            <w:r w:rsidRPr="00FA0527">
              <w:rPr>
                <w:rFonts w:asciiTheme="minorHAnsi" w:hAnsiTheme="minorHAnsi" w:cs="Arial"/>
                <w:b/>
                <w:bCs/>
                <w:color w:val="000000"/>
                <w:sz w:val="22"/>
                <w:szCs w:val="22"/>
                <w:lang w:val="en-IN" w:eastAsia="en-IN"/>
              </w:rPr>
              <w:t>(Actual-</w:t>
            </w:r>
          </w:p>
        </w:tc>
        <w:tc>
          <w:tcPr>
            <w:tcW w:w="2410" w:type="dxa"/>
            <w:vMerge/>
            <w:tcBorders>
              <w:top w:val="single" w:sz="8" w:space="0" w:color="auto"/>
              <w:left w:val="single" w:sz="8" w:space="0" w:color="auto"/>
              <w:bottom w:val="single" w:sz="8" w:space="0" w:color="000000"/>
              <w:right w:val="single" w:sz="8" w:space="0" w:color="auto"/>
            </w:tcBorders>
            <w:vAlign w:val="center"/>
            <w:hideMark/>
          </w:tcPr>
          <w:p w14:paraId="60ECDC0B" w14:textId="77777777" w:rsidR="00974443" w:rsidRPr="00FA0527" w:rsidRDefault="00974443" w:rsidP="00A35221">
            <w:pPr>
              <w:rPr>
                <w:rFonts w:asciiTheme="minorHAnsi" w:hAnsiTheme="minorHAnsi" w:cs="Arial"/>
                <w:b/>
                <w:bCs/>
                <w:color w:val="000000"/>
                <w:sz w:val="22"/>
                <w:szCs w:val="22"/>
                <w:lang w:val="en-IN" w:eastAsia="en-IN"/>
              </w:rPr>
            </w:pPr>
          </w:p>
        </w:tc>
      </w:tr>
      <w:tr w:rsidR="00974443" w:rsidRPr="00FA0527" w14:paraId="28FD84FA" w14:textId="77777777" w:rsidTr="00A35221">
        <w:trPr>
          <w:trHeight w:val="413"/>
        </w:trPr>
        <w:tc>
          <w:tcPr>
            <w:tcW w:w="1303" w:type="dxa"/>
            <w:vMerge/>
            <w:tcBorders>
              <w:top w:val="single" w:sz="8" w:space="0" w:color="auto"/>
              <w:left w:val="single" w:sz="8" w:space="0" w:color="auto"/>
              <w:bottom w:val="single" w:sz="8" w:space="0" w:color="000000"/>
              <w:right w:val="single" w:sz="8" w:space="0" w:color="auto"/>
            </w:tcBorders>
            <w:vAlign w:val="center"/>
            <w:hideMark/>
          </w:tcPr>
          <w:p w14:paraId="32A722CE" w14:textId="77777777" w:rsidR="00974443" w:rsidRPr="00FA0527" w:rsidRDefault="00974443" w:rsidP="00A35221">
            <w:pPr>
              <w:rPr>
                <w:rFonts w:asciiTheme="minorHAnsi" w:hAnsiTheme="minorHAnsi" w:cs="Arial"/>
                <w:b/>
                <w:bCs/>
                <w:color w:val="000000"/>
                <w:sz w:val="22"/>
                <w:szCs w:val="22"/>
                <w:lang w:val="en-IN" w:eastAsia="en-IN"/>
              </w:rPr>
            </w:pPr>
          </w:p>
        </w:tc>
        <w:tc>
          <w:tcPr>
            <w:tcW w:w="1467" w:type="dxa"/>
            <w:vMerge/>
            <w:tcBorders>
              <w:top w:val="single" w:sz="8" w:space="0" w:color="auto"/>
              <w:left w:val="single" w:sz="8" w:space="0" w:color="auto"/>
              <w:bottom w:val="single" w:sz="8" w:space="0" w:color="000000"/>
              <w:right w:val="single" w:sz="8" w:space="0" w:color="auto"/>
            </w:tcBorders>
            <w:vAlign w:val="center"/>
            <w:hideMark/>
          </w:tcPr>
          <w:p w14:paraId="50EEF84D" w14:textId="77777777" w:rsidR="00974443" w:rsidRPr="00FA0527" w:rsidRDefault="00974443" w:rsidP="00A35221">
            <w:pPr>
              <w:rPr>
                <w:rFonts w:asciiTheme="minorHAnsi" w:hAnsiTheme="minorHAnsi" w:cs="Arial"/>
                <w:b/>
                <w:bCs/>
                <w:color w:val="000000"/>
                <w:sz w:val="22"/>
                <w:szCs w:val="22"/>
                <w:lang w:val="en-IN" w:eastAsia="en-IN"/>
              </w:rPr>
            </w:pPr>
          </w:p>
        </w:tc>
        <w:tc>
          <w:tcPr>
            <w:tcW w:w="1342" w:type="dxa"/>
            <w:vMerge/>
            <w:tcBorders>
              <w:top w:val="single" w:sz="8" w:space="0" w:color="auto"/>
              <w:left w:val="single" w:sz="8" w:space="0" w:color="auto"/>
              <w:bottom w:val="single" w:sz="8" w:space="0" w:color="000000"/>
              <w:right w:val="single" w:sz="8" w:space="0" w:color="auto"/>
            </w:tcBorders>
            <w:vAlign w:val="center"/>
            <w:hideMark/>
          </w:tcPr>
          <w:p w14:paraId="7AB8760A" w14:textId="77777777" w:rsidR="00974443" w:rsidRPr="00FA0527" w:rsidRDefault="00974443" w:rsidP="00A35221">
            <w:pPr>
              <w:rPr>
                <w:rFonts w:asciiTheme="minorHAnsi" w:hAnsiTheme="minorHAnsi" w:cs="Arial"/>
                <w:b/>
                <w:bCs/>
                <w:color w:val="000000"/>
                <w:sz w:val="22"/>
                <w:szCs w:val="22"/>
                <w:lang w:val="en-IN" w:eastAsia="en-IN"/>
              </w:rPr>
            </w:pPr>
          </w:p>
        </w:tc>
        <w:tc>
          <w:tcPr>
            <w:tcW w:w="1083" w:type="dxa"/>
            <w:vMerge/>
            <w:tcBorders>
              <w:top w:val="single" w:sz="8" w:space="0" w:color="auto"/>
              <w:left w:val="single" w:sz="8" w:space="0" w:color="auto"/>
              <w:bottom w:val="single" w:sz="8" w:space="0" w:color="000000"/>
              <w:right w:val="single" w:sz="8" w:space="0" w:color="auto"/>
            </w:tcBorders>
            <w:vAlign w:val="center"/>
            <w:hideMark/>
          </w:tcPr>
          <w:p w14:paraId="11955632" w14:textId="77777777" w:rsidR="00974443" w:rsidRPr="00FA0527" w:rsidRDefault="00974443" w:rsidP="00A35221">
            <w:pPr>
              <w:rPr>
                <w:rFonts w:asciiTheme="minorHAnsi" w:hAnsiTheme="minorHAnsi" w:cs="Arial"/>
                <w:b/>
                <w:bCs/>
                <w:color w:val="000000"/>
                <w:sz w:val="22"/>
                <w:szCs w:val="22"/>
                <w:lang w:val="en-IN" w:eastAsia="en-IN"/>
              </w:rPr>
            </w:pPr>
          </w:p>
        </w:tc>
        <w:tc>
          <w:tcPr>
            <w:tcW w:w="901" w:type="dxa"/>
            <w:vMerge/>
            <w:tcBorders>
              <w:top w:val="single" w:sz="8" w:space="0" w:color="auto"/>
              <w:left w:val="single" w:sz="8" w:space="0" w:color="auto"/>
              <w:bottom w:val="single" w:sz="8" w:space="0" w:color="000000"/>
              <w:right w:val="single" w:sz="8" w:space="0" w:color="auto"/>
            </w:tcBorders>
            <w:vAlign w:val="center"/>
            <w:hideMark/>
          </w:tcPr>
          <w:p w14:paraId="291879AF" w14:textId="77777777" w:rsidR="00974443" w:rsidRPr="00FA0527" w:rsidRDefault="00974443" w:rsidP="00A35221">
            <w:pPr>
              <w:rPr>
                <w:rFonts w:asciiTheme="minorHAnsi" w:hAnsiTheme="minorHAnsi" w:cs="Arial"/>
                <w:b/>
                <w:bCs/>
                <w:color w:val="000000"/>
                <w:sz w:val="22"/>
                <w:szCs w:val="22"/>
                <w:lang w:val="en-IN" w:eastAsia="en-IN"/>
              </w:rPr>
            </w:pPr>
          </w:p>
        </w:tc>
        <w:tc>
          <w:tcPr>
            <w:tcW w:w="1843" w:type="dxa"/>
            <w:tcBorders>
              <w:top w:val="nil"/>
              <w:left w:val="nil"/>
              <w:bottom w:val="single" w:sz="8" w:space="0" w:color="auto"/>
              <w:right w:val="single" w:sz="8" w:space="0" w:color="auto"/>
            </w:tcBorders>
            <w:shd w:val="clear" w:color="000000" w:fill="9BC2E6"/>
            <w:vAlign w:val="center"/>
            <w:hideMark/>
          </w:tcPr>
          <w:p w14:paraId="2B00E6EC" w14:textId="77777777" w:rsidR="00974443" w:rsidRPr="00FA0527" w:rsidRDefault="00974443" w:rsidP="00A35221">
            <w:pPr>
              <w:jc w:val="center"/>
              <w:rPr>
                <w:rFonts w:asciiTheme="minorHAnsi" w:hAnsiTheme="minorHAnsi" w:cs="Arial"/>
                <w:b/>
                <w:bCs/>
                <w:color w:val="000000"/>
                <w:sz w:val="22"/>
                <w:szCs w:val="22"/>
                <w:lang w:val="en-IN" w:eastAsia="en-IN"/>
              </w:rPr>
            </w:pPr>
            <w:r w:rsidRPr="00FA0527">
              <w:rPr>
                <w:rFonts w:asciiTheme="minorHAnsi" w:hAnsiTheme="minorHAnsi" w:cs="Arial"/>
                <w:b/>
                <w:bCs/>
                <w:color w:val="000000"/>
                <w:sz w:val="22"/>
                <w:szCs w:val="22"/>
                <w:lang w:val="en-IN" w:eastAsia="en-IN"/>
              </w:rPr>
              <w:t>Approved)</w:t>
            </w:r>
          </w:p>
        </w:tc>
        <w:tc>
          <w:tcPr>
            <w:tcW w:w="2410" w:type="dxa"/>
            <w:vMerge/>
            <w:tcBorders>
              <w:top w:val="single" w:sz="8" w:space="0" w:color="auto"/>
              <w:left w:val="single" w:sz="8" w:space="0" w:color="auto"/>
              <w:bottom w:val="single" w:sz="8" w:space="0" w:color="000000"/>
              <w:right w:val="single" w:sz="8" w:space="0" w:color="auto"/>
            </w:tcBorders>
            <w:vAlign w:val="center"/>
            <w:hideMark/>
          </w:tcPr>
          <w:p w14:paraId="5CA7B5FD" w14:textId="77777777" w:rsidR="00974443" w:rsidRPr="00FA0527" w:rsidRDefault="00974443" w:rsidP="00A35221">
            <w:pPr>
              <w:rPr>
                <w:rFonts w:asciiTheme="minorHAnsi" w:hAnsiTheme="minorHAnsi" w:cs="Arial"/>
                <w:b/>
                <w:bCs/>
                <w:color w:val="000000"/>
                <w:sz w:val="22"/>
                <w:szCs w:val="22"/>
                <w:lang w:val="en-IN" w:eastAsia="en-IN"/>
              </w:rPr>
            </w:pPr>
          </w:p>
        </w:tc>
      </w:tr>
      <w:tr w:rsidR="00974443" w:rsidRPr="00FA0527" w14:paraId="4D53F291" w14:textId="77777777" w:rsidTr="00A35221">
        <w:trPr>
          <w:trHeight w:val="776"/>
        </w:trPr>
        <w:tc>
          <w:tcPr>
            <w:tcW w:w="1303" w:type="dxa"/>
            <w:tcBorders>
              <w:top w:val="nil"/>
              <w:left w:val="single" w:sz="8" w:space="0" w:color="auto"/>
              <w:bottom w:val="single" w:sz="8" w:space="0" w:color="auto"/>
              <w:right w:val="single" w:sz="8" w:space="0" w:color="auto"/>
            </w:tcBorders>
            <w:shd w:val="clear" w:color="auto" w:fill="auto"/>
            <w:vAlign w:val="center"/>
            <w:hideMark/>
          </w:tcPr>
          <w:p w14:paraId="20E32B09" w14:textId="77777777" w:rsidR="00974443" w:rsidRPr="00FA0527" w:rsidRDefault="00974443" w:rsidP="00A35221">
            <w:pPr>
              <w:jc w:val="center"/>
              <w:rPr>
                <w:rFonts w:asciiTheme="minorHAnsi" w:hAnsiTheme="minorHAnsi" w:cs="Arial"/>
                <w:color w:val="000000"/>
                <w:sz w:val="22"/>
                <w:szCs w:val="22"/>
                <w:lang w:val="en-IN" w:eastAsia="en-IN"/>
              </w:rPr>
            </w:pPr>
            <w:r w:rsidRPr="00FA0527">
              <w:rPr>
                <w:rFonts w:asciiTheme="minorHAnsi" w:hAnsiTheme="minorHAnsi" w:cs="Arial"/>
                <w:color w:val="000000"/>
                <w:sz w:val="22"/>
                <w:szCs w:val="22"/>
                <w:lang w:val="en-IN" w:eastAsia="en-IN"/>
              </w:rPr>
              <w:t>FY 21-22</w:t>
            </w:r>
          </w:p>
        </w:tc>
        <w:tc>
          <w:tcPr>
            <w:tcW w:w="1467" w:type="dxa"/>
            <w:tcBorders>
              <w:top w:val="nil"/>
              <w:left w:val="nil"/>
              <w:bottom w:val="single" w:sz="8" w:space="0" w:color="auto"/>
              <w:right w:val="single" w:sz="8" w:space="0" w:color="auto"/>
            </w:tcBorders>
            <w:shd w:val="clear" w:color="auto" w:fill="auto"/>
            <w:vAlign w:val="center"/>
            <w:hideMark/>
          </w:tcPr>
          <w:p w14:paraId="45F6C54C" w14:textId="77777777" w:rsidR="00974443" w:rsidRPr="00FA0527" w:rsidRDefault="00974443" w:rsidP="00A35221">
            <w:pPr>
              <w:jc w:val="center"/>
              <w:rPr>
                <w:rFonts w:asciiTheme="minorHAnsi" w:hAnsiTheme="minorHAnsi" w:cs="Arial"/>
                <w:color w:val="000000"/>
                <w:sz w:val="22"/>
                <w:szCs w:val="22"/>
                <w:lang w:val="en-IN" w:eastAsia="en-IN"/>
              </w:rPr>
            </w:pPr>
            <w:r w:rsidRPr="00FA0527">
              <w:rPr>
                <w:rFonts w:asciiTheme="minorHAnsi" w:hAnsiTheme="minorHAnsi" w:cs="Arial"/>
                <w:color w:val="000000"/>
                <w:sz w:val="22"/>
                <w:szCs w:val="22"/>
                <w:lang w:val="en-IN" w:eastAsia="en-IN"/>
              </w:rPr>
              <w:t>NTI (Offered MR on Govt meters)</w:t>
            </w:r>
          </w:p>
        </w:tc>
        <w:tc>
          <w:tcPr>
            <w:tcW w:w="1342" w:type="dxa"/>
            <w:tcBorders>
              <w:top w:val="nil"/>
              <w:left w:val="nil"/>
              <w:bottom w:val="single" w:sz="8" w:space="0" w:color="auto"/>
              <w:right w:val="single" w:sz="8" w:space="0" w:color="auto"/>
            </w:tcBorders>
            <w:shd w:val="clear" w:color="auto" w:fill="auto"/>
            <w:vAlign w:val="center"/>
            <w:hideMark/>
          </w:tcPr>
          <w:p w14:paraId="26FBC3F6" w14:textId="77777777" w:rsidR="00974443" w:rsidRPr="00FA0527" w:rsidRDefault="00974443" w:rsidP="00A35221">
            <w:pPr>
              <w:jc w:val="center"/>
              <w:rPr>
                <w:rFonts w:asciiTheme="minorHAnsi" w:hAnsiTheme="minorHAnsi" w:cs="Arial"/>
                <w:color w:val="000000"/>
                <w:sz w:val="22"/>
                <w:szCs w:val="22"/>
                <w:lang w:val="en-IN" w:eastAsia="en-IN"/>
              </w:rPr>
            </w:pPr>
            <w:r w:rsidRPr="00FA0527">
              <w:rPr>
                <w:rFonts w:asciiTheme="minorHAnsi" w:hAnsiTheme="minorHAnsi" w:cs="Arial"/>
                <w:color w:val="000000"/>
                <w:sz w:val="22"/>
                <w:szCs w:val="22"/>
                <w:lang w:val="en-IN" w:eastAsia="en-IN"/>
              </w:rPr>
              <w:t>140.49</w:t>
            </w:r>
          </w:p>
        </w:tc>
        <w:tc>
          <w:tcPr>
            <w:tcW w:w="1083" w:type="dxa"/>
            <w:tcBorders>
              <w:top w:val="nil"/>
              <w:left w:val="nil"/>
              <w:bottom w:val="single" w:sz="8" w:space="0" w:color="auto"/>
              <w:right w:val="single" w:sz="8" w:space="0" w:color="auto"/>
            </w:tcBorders>
            <w:shd w:val="clear" w:color="auto" w:fill="auto"/>
            <w:vAlign w:val="center"/>
            <w:hideMark/>
          </w:tcPr>
          <w:p w14:paraId="2399758F" w14:textId="77777777" w:rsidR="00974443" w:rsidRPr="00FA0527" w:rsidRDefault="00974443" w:rsidP="00A35221">
            <w:pPr>
              <w:jc w:val="center"/>
              <w:rPr>
                <w:rFonts w:asciiTheme="minorHAnsi" w:hAnsiTheme="minorHAnsi" w:cs="Arial"/>
                <w:color w:val="000000"/>
                <w:sz w:val="22"/>
                <w:szCs w:val="22"/>
                <w:lang w:val="en-IN" w:eastAsia="en-IN"/>
              </w:rPr>
            </w:pPr>
            <w:r w:rsidRPr="00FA0527">
              <w:rPr>
                <w:rFonts w:asciiTheme="minorHAnsi" w:hAnsiTheme="minorHAnsi" w:cs="Arial"/>
                <w:color w:val="000000"/>
                <w:sz w:val="22"/>
                <w:szCs w:val="22"/>
                <w:lang w:val="en-IN" w:eastAsia="en-IN"/>
              </w:rPr>
              <w:t>140.43</w:t>
            </w:r>
          </w:p>
        </w:tc>
        <w:tc>
          <w:tcPr>
            <w:tcW w:w="901" w:type="dxa"/>
            <w:tcBorders>
              <w:top w:val="nil"/>
              <w:left w:val="nil"/>
              <w:bottom w:val="single" w:sz="8" w:space="0" w:color="auto"/>
              <w:right w:val="single" w:sz="8" w:space="0" w:color="auto"/>
            </w:tcBorders>
            <w:shd w:val="clear" w:color="auto" w:fill="auto"/>
            <w:vAlign w:val="center"/>
            <w:hideMark/>
          </w:tcPr>
          <w:p w14:paraId="513FA379" w14:textId="77777777" w:rsidR="00974443" w:rsidRPr="00FA0527" w:rsidRDefault="00974443" w:rsidP="00A35221">
            <w:pPr>
              <w:jc w:val="center"/>
              <w:rPr>
                <w:rFonts w:asciiTheme="minorHAnsi" w:hAnsiTheme="minorHAnsi" w:cs="Arial"/>
                <w:color w:val="000000"/>
                <w:sz w:val="22"/>
                <w:szCs w:val="22"/>
                <w:lang w:val="en-IN" w:eastAsia="en-IN"/>
              </w:rPr>
            </w:pPr>
            <w:r w:rsidRPr="00FA0527">
              <w:rPr>
                <w:rFonts w:asciiTheme="minorHAnsi" w:hAnsiTheme="minorHAnsi" w:cs="Arial"/>
                <w:color w:val="000000"/>
                <w:sz w:val="22"/>
                <w:szCs w:val="22"/>
                <w:lang w:val="en-IN" w:eastAsia="en-IN"/>
              </w:rPr>
              <w:t>133.91</w:t>
            </w:r>
          </w:p>
        </w:tc>
        <w:tc>
          <w:tcPr>
            <w:tcW w:w="1843" w:type="dxa"/>
            <w:tcBorders>
              <w:top w:val="nil"/>
              <w:left w:val="nil"/>
              <w:bottom w:val="single" w:sz="8" w:space="0" w:color="auto"/>
              <w:right w:val="single" w:sz="8" w:space="0" w:color="auto"/>
            </w:tcBorders>
            <w:shd w:val="clear" w:color="auto" w:fill="auto"/>
            <w:vAlign w:val="center"/>
            <w:hideMark/>
          </w:tcPr>
          <w:p w14:paraId="116F3F76" w14:textId="77777777" w:rsidR="00974443" w:rsidRPr="00FA0527" w:rsidRDefault="00974443" w:rsidP="00A35221">
            <w:pPr>
              <w:jc w:val="center"/>
              <w:rPr>
                <w:rFonts w:asciiTheme="minorHAnsi" w:hAnsiTheme="minorHAnsi" w:cs="Arial"/>
                <w:color w:val="000000"/>
                <w:sz w:val="22"/>
                <w:szCs w:val="22"/>
                <w:lang w:val="en-IN" w:eastAsia="en-IN"/>
              </w:rPr>
            </w:pPr>
            <w:r w:rsidRPr="00FA0527">
              <w:rPr>
                <w:rFonts w:asciiTheme="minorHAnsi" w:hAnsiTheme="minorHAnsi" w:cs="Arial"/>
                <w:color w:val="000000"/>
                <w:sz w:val="22"/>
                <w:szCs w:val="22"/>
                <w:lang w:val="en-IN" w:eastAsia="en-IN"/>
              </w:rPr>
              <w:t>(6.52)</w:t>
            </w:r>
          </w:p>
        </w:tc>
        <w:tc>
          <w:tcPr>
            <w:tcW w:w="2410" w:type="dxa"/>
            <w:tcBorders>
              <w:top w:val="nil"/>
              <w:left w:val="nil"/>
              <w:bottom w:val="single" w:sz="8" w:space="0" w:color="auto"/>
              <w:right w:val="single" w:sz="8" w:space="0" w:color="auto"/>
            </w:tcBorders>
            <w:shd w:val="clear" w:color="auto" w:fill="auto"/>
            <w:vAlign w:val="center"/>
            <w:hideMark/>
          </w:tcPr>
          <w:p w14:paraId="73E257EC" w14:textId="77777777" w:rsidR="00974443" w:rsidRPr="00FA0527" w:rsidRDefault="00974443" w:rsidP="00A35221">
            <w:pPr>
              <w:rPr>
                <w:rFonts w:asciiTheme="minorHAnsi" w:hAnsiTheme="minorHAnsi" w:cs="Arial"/>
                <w:color w:val="000000"/>
                <w:sz w:val="22"/>
                <w:szCs w:val="22"/>
                <w:lang w:val="en-IN" w:eastAsia="en-IN"/>
              </w:rPr>
            </w:pPr>
            <w:r w:rsidRPr="00FA0527">
              <w:rPr>
                <w:rFonts w:asciiTheme="minorHAnsi" w:hAnsiTheme="minorHAnsi" w:cs="Arial"/>
                <w:color w:val="000000"/>
                <w:sz w:val="22"/>
                <w:szCs w:val="22"/>
                <w:lang w:val="en-IN" w:eastAsia="en-IN"/>
              </w:rPr>
              <w:t>Offered Meter Rent on Govt. funded Meter &amp; total DPS</w:t>
            </w:r>
          </w:p>
        </w:tc>
      </w:tr>
      <w:tr w:rsidR="00974443" w:rsidRPr="00FA0527" w14:paraId="72E24A48" w14:textId="77777777" w:rsidTr="00A35221">
        <w:trPr>
          <w:trHeight w:val="776"/>
        </w:trPr>
        <w:tc>
          <w:tcPr>
            <w:tcW w:w="1303" w:type="dxa"/>
            <w:vMerge w:val="restart"/>
            <w:tcBorders>
              <w:top w:val="nil"/>
              <w:left w:val="single" w:sz="8" w:space="0" w:color="auto"/>
              <w:bottom w:val="single" w:sz="8" w:space="0" w:color="000000"/>
              <w:right w:val="single" w:sz="8" w:space="0" w:color="auto"/>
            </w:tcBorders>
            <w:shd w:val="clear" w:color="auto" w:fill="auto"/>
            <w:vAlign w:val="center"/>
            <w:hideMark/>
          </w:tcPr>
          <w:p w14:paraId="288D8C01" w14:textId="77777777" w:rsidR="00974443" w:rsidRPr="00FA0527" w:rsidRDefault="00974443" w:rsidP="00A35221">
            <w:pPr>
              <w:jc w:val="center"/>
              <w:rPr>
                <w:rFonts w:asciiTheme="minorHAnsi" w:hAnsiTheme="minorHAnsi" w:cs="Arial"/>
                <w:color w:val="000000"/>
                <w:sz w:val="22"/>
                <w:szCs w:val="22"/>
                <w:lang w:val="en-IN" w:eastAsia="en-IN"/>
              </w:rPr>
            </w:pPr>
            <w:r w:rsidRPr="00FA0527">
              <w:rPr>
                <w:rFonts w:asciiTheme="minorHAnsi" w:hAnsiTheme="minorHAnsi" w:cs="Arial"/>
                <w:color w:val="000000"/>
                <w:sz w:val="22"/>
                <w:szCs w:val="22"/>
                <w:lang w:val="en-IN" w:eastAsia="en-IN"/>
              </w:rPr>
              <w:t>FY 22-23</w:t>
            </w:r>
          </w:p>
        </w:tc>
        <w:tc>
          <w:tcPr>
            <w:tcW w:w="1467" w:type="dxa"/>
            <w:tcBorders>
              <w:top w:val="nil"/>
              <w:left w:val="nil"/>
              <w:bottom w:val="single" w:sz="8" w:space="0" w:color="auto"/>
              <w:right w:val="single" w:sz="8" w:space="0" w:color="auto"/>
            </w:tcBorders>
            <w:shd w:val="clear" w:color="auto" w:fill="auto"/>
            <w:vAlign w:val="center"/>
            <w:hideMark/>
          </w:tcPr>
          <w:p w14:paraId="5940C858" w14:textId="77777777" w:rsidR="00974443" w:rsidRPr="00FA0527" w:rsidRDefault="00974443" w:rsidP="00A35221">
            <w:pPr>
              <w:jc w:val="center"/>
              <w:rPr>
                <w:rFonts w:asciiTheme="minorHAnsi" w:hAnsiTheme="minorHAnsi" w:cs="Arial"/>
                <w:color w:val="000000"/>
                <w:sz w:val="22"/>
                <w:szCs w:val="22"/>
                <w:lang w:val="en-IN" w:eastAsia="en-IN"/>
              </w:rPr>
            </w:pPr>
            <w:r w:rsidRPr="00FA0527">
              <w:rPr>
                <w:rFonts w:asciiTheme="minorHAnsi" w:hAnsiTheme="minorHAnsi" w:cs="Arial"/>
                <w:color w:val="000000"/>
                <w:sz w:val="22"/>
                <w:szCs w:val="22"/>
                <w:lang w:val="en-IN" w:eastAsia="en-IN"/>
              </w:rPr>
              <w:t xml:space="preserve">Employee cost </w:t>
            </w:r>
          </w:p>
        </w:tc>
        <w:tc>
          <w:tcPr>
            <w:tcW w:w="1342" w:type="dxa"/>
            <w:tcBorders>
              <w:top w:val="nil"/>
              <w:left w:val="nil"/>
              <w:bottom w:val="single" w:sz="8" w:space="0" w:color="auto"/>
              <w:right w:val="single" w:sz="8" w:space="0" w:color="auto"/>
            </w:tcBorders>
            <w:shd w:val="clear" w:color="auto" w:fill="auto"/>
            <w:vAlign w:val="center"/>
            <w:hideMark/>
          </w:tcPr>
          <w:p w14:paraId="2552CAD6" w14:textId="77777777" w:rsidR="00974443" w:rsidRPr="00FA0527" w:rsidRDefault="00974443" w:rsidP="00A35221">
            <w:pPr>
              <w:jc w:val="center"/>
              <w:rPr>
                <w:rFonts w:asciiTheme="minorHAnsi" w:hAnsiTheme="minorHAnsi" w:cs="Arial"/>
                <w:color w:val="000000"/>
                <w:sz w:val="22"/>
                <w:szCs w:val="22"/>
                <w:lang w:val="en-IN" w:eastAsia="en-IN"/>
              </w:rPr>
            </w:pPr>
            <w:r w:rsidRPr="00FA0527">
              <w:rPr>
                <w:rFonts w:asciiTheme="minorHAnsi" w:hAnsiTheme="minorHAnsi" w:cs="Arial"/>
                <w:color w:val="000000"/>
                <w:sz w:val="22"/>
                <w:szCs w:val="22"/>
                <w:lang w:val="en-IN" w:eastAsia="en-IN"/>
              </w:rPr>
              <w:t>440.32</w:t>
            </w:r>
          </w:p>
        </w:tc>
        <w:tc>
          <w:tcPr>
            <w:tcW w:w="1083" w:type="dxa"/>
            <w:tcBorders>
              <w:top w:val="nil"/>
              <w:left w:val="nil"/>
              <w:bottom w:val="single" w:sz="8" w:space="0" w:color="auto"/>
              <w:right w:val="single" w:sz="8" w:space="0" w:color="auto"/>
            </w:tcBorders>
            <w:shd w:val="clear" w:color="auto" w:fill="auto"/>
            <w:vAlign w:val="center"/>
            <w:hideMark/>
          </w:tcPr>
          <w:p w14:paraId="743C38AC" w14:textId="77777777" w:rsidR="00974443" w:rsidRPr="00FA0527" w:rsidRDefault="00974443" w:rsidP="00A35221">
            <w:pPr>
              <w:jc w:val="center"/>
              <w:rPr>
                <w:rFonts w:asciiTheme="minorHAnsi" w:hAnsiTheme="minorHAnsi" w:cs="Arial"/>
                <w:color w:val="000000"/>
                <w:sz w:val="22"/>
                <w:szCs w:val="22"/>
                <w:lang w:val="en-IN" w:eastAsia="en-IN"/>
              </w:rPr>
            </w:pPr>
            <w:r w:rsidRPr="00FA0527">
              <w:rPr>
                <w:rFonts w:asciiTheme="minorHAnsi" w:hAnsiTheme="minorHAnsi" w:cs="Arial"/>
                <w:color w:val="000000"/>
                <w:sz w:val="22"/>
                <w:szCs w:val="22"/>
                <w:lang w:val="en-IN" w:eastAsia="en-IN"/>
              </w:rPr>
              <w:t>417.8</w:t>
            </w:r>
          </w:p>
        </w:tc>
        <w:tc>
          <w:tcPr>
            <w:tcW w:w="901" w:type="dxa"/>
            <w:tcBorders>
              <w:top w:val="nil"/>
              <w:left w:val="nil"/>
              <w:bottom w:val="single" w:sz="8" w:space="0" w:color="auto"/>
              <w:right w:val="single" w:sz="8" w:space="0" w:color="auto"/>
            </w:tcBorders>
            <w:shd w:val="clear" w:color="auto" w:fill="auto"/>
            <w:vAlign w:val="center"/>
            <w:hideMark/>
          </w:tcPr>
          <w:p w14:paraId="455722E2" w14:textId="77777777" w:rsidR="00974443" w:rsidRPr="00FA0527" w:rsidRDefault="00974443" w:rsidP="00A35221">
            <w:pPr>
              <w:jc w:val="center"/>
              <w:rPr>
                <w:rFonts w:asciiTheme="minorHAnsi" w:hAnsiTheme="minorHAnsi" w:cs="Arial"/>
                <w:color w:val="000000"/>
                <w:sz w:val="22"/>
                <w:szCs w:val="22"/>
                <w:lang w:val="en-IN" w:eastAsia="en-IN"/>
              </w:rPr>
            </w:pPr>
            <w:r w:rsidRPr="00FA0527">
              <w:rPr>
                <w:rFonts w:asciiTheme="minorHAnsi" w:hAnsiTheme="minorHAnsi" w:cs="Arial"/>
                <w:color w:val="000000"/>
                <w:sz w:val="22"/>
                <w:szCs w:val="22"/>
                <w:lang w:val="en-IN" w:eastAsia="en-IN"/>
              </w:rPr>
              <w:t>420.52</w:t>
            </w:r>
          </w:p>
        </w:tc>
        <w:tc>
          <w:tcPr>
            <w:tcW w:w="1843" w:type="dxa"/>
            <w:tcBorders>
              <w:top w:val="nil"/>
              <w:left w:val="nil"/>
              <w:bottom w:val="single" w:sz="8" w:space="0" w:color="auto"/>
              <w:right w:val="single" w:sz="8" w:space="0" w:color="auto"/>
            </w:tcBorders>
            <w:shd w:val="clear" w:color="auto" w:fill="auto"/>
            <w:vAlign w:val="center"/>
            <w:hideMark/>
          </w:tcPr>
          <w:p w14:paraId="3AE21071" w14:textId="77777777" w:rsidR="00974443" w:rsidRPr="00FA0527" w:rsidRDefault="00974443" w:rsidP="00A35221">
            <w:pPr>
              <w:jc w:val="center"/>
              <w:rPr>
                <w:rFonts w:asciiTheme="minorHAnsi" w:hAnsiTheme="minorHAnsi" w:cs="Arial"/>
                <w:color w:val="000000"/>
                <w:sz w:val="22"/>
                <w:szCs w:val="22"/>
                <w:lang w:val="en-IN" w:eastAsia="en-IN"/>
              </w:rPr>
            </w:pPr>
            <w:r w:rsidRPr="00FA0527">
              <w:rPr>
                <w:rFonts w:asciiTheme="minorHAnsi" w:hAnsiTheme="minorHAnsi" w:cs="Arial"/>
                <w:color w:val="000000"/>
                <w:sz w:val="22"/>
                <w:szCs w:val="22"/>
                <w:lang w:val="en-IN" w:eastAsia="en-IN"/>
              </w:rPr>
              <w:t>(2.72)</w:t>
            </w:r>
          </w:p>
        </w:tc>
        <w:tc>
          <w:tcPr>
            <w:tcW w:w="2410" w:type="dxa"/>
            <w:tcBorders>
              <w:top w:val="nil"/>
              <w:left w:val="nil"/>
              <w:bottom w:val="single" w:sz="8" w:space="0" w:color="auto"/>
              <w:right w:val="single" w:sz="8" w:space="0" w:color="auto"/>
            </w:tcBorders>
            <w:shd w:val="clear" w:color="auto" w:fill="auto"/>
            <w:vAlign w:val="center"/>
            <w:hideMark/>
          </w:tcPr>
          <w:p w14:paraId="0D9D9ED0" w14:textId="77777777" w:rsidR="00974443" w:rsidRPr="00FA0527" w:rsidRDefault="00974443" w:rsidP="00A35221">
            <w:pPr>
              <w:rPr>
                <w:rFonts w:asciiTheme="minorHAnsi" w:hAnsiTheme="minorHAnsi" w:cs="Arial"/>
                <w:color w:val="000000"/>
                <w:sz w:val="22"/>
                <w:szCs w:val="22"/>
                <w:lang w:val="en-IN" w:eastAsia="en-IN"/>
              </w:rPr>
            </w:pPr>
            <w:r w:rsidRPr="00FA0527">
              <w:rPr>
                <w:rFonts w:asciiTheme="minorHAnsi" w:hAnsiTheme="minorHAnsi" w:cs="Arial"/>
                <w:color w:val="000000"/>
                <w:sz w:val="22"/>
                <w:szCs w:val="22"/>
                <w:lang w:val="en-IN" w:eastAsia="en-IN"/>
              </w:rPr>
              <w:t>Employee Cost on actual Cash outgo basis</w:t>
            </w:r>
          </w:p>
        </w:tc>
      </w:tr>
      <w:tr w:rsidR="00974443" w:rsidRPr="00FA0527" w14:paraId="47808FD6" w14:textId="77777777" w:rsidTr="00A35221">
        <w:trPr>
          <w:trHeight w:val="968"/>
        </w:trPr>
        <w:tc>
          <w:tcPr>
            <w:tcW w:w="1303" w:type="dxa"/>
            <w:vMerge/>
            <w:tcBorders>
              <w:top w:val="nil"/>
              <w:left w:val="single" w:sz="8" w:space="0" w:color="auto"/>
              <w:bottom w:val="single" w:sz="8" w:space="0" w:color="000000"/>
              <w:right w:val="single" w:sz="8" w:space="0" w:color="auto"/>
            </w:tcBorders>
            <w:vAlign w:val="center"/>
            <w:hideMark/>
          </w:tcPr>
          <w:p w14:paraId="6E489940" w14:textId="77777777" w:rsidR="00974443" w:rsidRPr="00FA0527" w:rsidRDefault="00974443" w:rsidP="00A35221">
            <w:pPr>
              <w:rPr>
                <w:rFonts w:asciiTheme="minorHAnsi" w:hAnsiTheme="minorHAnsi" w:cs="Arial"/>
                <w:color w:val="000000"/>
                <w:sz w:val="22"/>
                <w:szCs w:val="22"/>
                <w:lang w:val="en-IN" w:eastAsia="en-IN"/>
              </w:rPr>
            </w:pPr>
          </w:p>
        </w:tc>
        <w:tc>
          <w:tcPr>
            <w:tcW w:w="1467" w:type="dxa"/>
            <w:tcBorders>
              <w:top w:val="nil"/>
              <w:left w:val="nil"/>
              <w:bottom w:val="single" w:sz="8" w:space="0" w:color="auto"/>
              <w:right w:val="single" w:sz="8" w:space="0" w:color="auto"/>
            </w:tcBorders>
            <w:shd w:val="clear" w:color="auto" w:fill="auto"/>
            <w:vAlign w:val="center"/>
            <w:hideMark/>
          </w:tcPr>
          <w:p w14:paraId="722C1812" w14:textId="77777777" w:rsidR="00974443" w:rsidRPr="00FA0527" w:rsidRDefault="00974443" w:rsidP="00A35221">
            <w:pPr>
              <w:jc w:val="center"/>
              <w:rPr>
                <w:rFonts w:asciiTheme="minorHAnsi" w:hAnsiTheme="minorHAnsi" w:cs="Arial"/>
                <w:color w:val="000000"/>
                <w:sz w:val="22"/>
                <w:szCs w:val="22"/>
                <w:lang w:val="en-IN" w:eastAsia="en-IN"/>
              </w:rPr>
            </w:pPr>
            <w:r w:rsidRPr="00FA0527">
              <w:rPr>
                <w:rFonts w:asciiTheme="minorHAnsi" w:hAnsiTheme="minorHAnsi" w:cs="Arial"/>
                <w:color w:val="000000"/>
                <w:sz w:val="22"/>
                <w:szCs w:val="22"/>
                <w:lang w:val="en-IN" w:eastAsia="en-IN"/>
              </w:rPr>
              <w:t>R&amp;M Expenses</w:t>
            </w:r>
          </w:p>
        </w:tc>
        <w:tc>
          <w:tcPr>
            <w:tcW w:w="1342" w:type="dxa"/>
            <w:tcBorders>
              <w:top w:val="nil"/>
              <w:left w:val="nil"/>
              <w:bottom w:val="single" w:sz="8" w:space="0" w:color="auto"/>
              <w:right w:val="single" w:sz="8" w:space="0" w:color="auto"/>
            </w:tcBorders>
            <w:shd w:val="clear" w:color="auto" w:fill="auto"/>
            <w:vAlign w:val="center"/>
            <w:hideMark/>
          </w:tcPr>
          <w:p w14:paraId="20A45311" w14:textId="77777777" w:rsidR="00974443" w:rsidRPr="00FA0527" w:rsidRDefault="00974443" w:rsidP="00A35221">
            <w:pPr>
              <w:jc w:val="center"/>
              <w:rPr>
                <w:rFonts w:asciiTheme="minorHAnsi" w:hAnsiTheme="minorHAnsi" w:cs="Arial"/>
                <w:color w:val="000000"/>
                <w:sz w:val="22"/>
                <w:szCs w:val="22"/>
                <w:lang w:val="en-IN" w:eastAsia="en-IN"/>
              </w:rPr>
            </w:pPr>
            <w:r w:rsidRPr="00FA0527">
              <w:rPr>
                <w:rFonts w:asciiTheme="minorHAnsi" w:hAnsiTheme="minorHAnsi" w:cs="Arial"/>
                <w:color w:val="000000"/>
                <w:sz w:val="22"/>
                <w:szCs w:val="22"/>
                <w:lang w:val="en-IN" w:eastAsia="en-IN"/>
              </w:rPr>
              <w:t>240.01</w:t>
            </w:r>
          </w:p>
        </w:tc>
        <w:tc>
          <w:tcPr>
            <w:tcW w:w="1083" w:type="dxa"/>
            <w:tcBorders>
              <w:top w:val="nil"/>
              <w:left w:val="nil"/>
              <w:bottom w:val="single" w:sz="8" w:space="0" w:color="auto"/>
              <w:right w:val="single" w:sz="8" w:space="0" w:color="auto"/>
            </w:tcBorders>
            <w:shd w:val="clear" w:color="auto" w:fill="auto"/>
            <w:vAlign w:val="center"/>
            <w:hideMark/>
          </w:tcPr>
          <w:p w14:paraId="5B1375A3" w14:textId="77777777" w:rsidR="00974443" w:rsidRPr="00FA0527" w:rsidRDefault="00974443" w:rsidP="00A35221">
            <w:pPr>
              <w:jc w:val="center"/>
              <w:rPr>
                <w:rFonts w:asciiTheme="minorHAnsi" w:hAnsiTheme="minorHAnsi" w:cs="Arial"/>
                <w:color w:val="000000"/>
                <w:sz w:val="22"/>
                <w:szCs w:val="22"/>
                <w:lang w:val="en-IN" w:eastAsia="en-IN"/>
              </w:rPr>
            </w:pPr>
            <w:r w:rsidRPr="00FA0527">
              <w:rPr>
                <w:rFonts w:asciiTheme="minorHAnsi" w:hAnsiTheme="minorHAnsi" w:cs="Arial"/>
                <w:color w:val="000000"/>
                <w:sz w:val="22"/>
                <w:szCs w:val="22"/>
                <w:lang w:val="en-IN" w:eastAsia="en-IN"/>
              </w:rPr>
              <w:t>186.43</w:t>
            </w:r>
          </w:p>
        </w:tc>
        <w:tc>
          <w:tcPr>
            <w:tcW w:w="901" w:type="dxa"/>
            <w:tcBorders>
              <w:top w:val="nil"/>
              <w:left w:val="nil"/>
              <w:bottom w:val="single" w:sz="8" w:space="0" w:color="auto"/>
              <w:right w:val="single" w:sz="8" w:space="0" w:color="auto"/>
            </w:tcBorders>
            <w:shd w:val="clear" w:color="auto" w:fill="auto"/>
            <w:vAlign w:val="center"/>
            <w:hideMark/>
          </w:tcPr>
          <w:p w14:paraId="1494CC7A" w14:textId="77777777" w:rsidR="00974443" w:rsidRPr="00FA0527" w:rsidRDefault="00974443" w:rsidP="00A35221">
            <w:pPr>
              <w:jc w:val="center"/>
              <w:rPr>
                <w:rFonts w:asciiTheme="minorHAnsi" w:hAnsiTheme="minorHAnsi" w:cs="Arial"/>
                <w:color w:val="000000"/>
                <w:sz w:val="22"/>
                <w:szCs w:val="22"/>
                <w:lang w:val="en-IN" w:eastAsia="en-IN"/>
              </w:rPr>
            </w:pPr>
            <w:r w:rsidRPr="00FA0527">
              <w:rPr>
                <w:rFonts w:asciiTheme="minorHAnsi" w:hAnsiTheme="minorHAnsi" w:cs="Arial"/>
                <w:color w:val="000000"/>
                <w:sz w:val="22"/>
                <w:szCs w:val="22"/>
                <w:lang w:val="en-IN" w:eastAsia="en-IN"/>
              </w:rPr>
              <w:t>237.53</w:t>
            </w:r>
          </w:p>
        </w:tc>
        <w:tc>
          <w:tcPr>
            <w:tcW w:w="1843" w:type="dxa"/>
            <w:tcBorders>
              <w:top w:val="nil"/>
              <w:left w:val="nil"/>
              <w:bottom w:val="single" w:sz="8" w:space="0" w:color="auto"/>
              <w:right w:val="single" w:sz="8" w:space="0" w:color="auto"/>
            </w:tcBorders>
            <w:shd w:val="clear" w:color="auto" w:fill="auto"/>
            <w:vAlign w:val="center"/>
            <w:hideMark/>
          </w:tcPr>
          <w:p w14:paraId="2B752B21" w14:textId="77777777" w:rsidR="00974443" w:rsidRPr="00FA0527" w:rsidRDefault="00974443" w:rsidP="00A35221">
            <w:pPr>
              <w:jc w:val="center"/>
              <w:rPr>
                <w:rFonts w:asciiTheme="minorHAnsi" w:hAnsiTheme="minorHAnsi" w:cs="Arial"/>
                <w:color w:val="000000"/>
                <w:sz w:val="22"/>
                <w:szCs w:val="22"/>
                <w:lang w:val="en-IN" w:eastAsia="en-IN"/>
              </w:rPr>
            </w:pPr>
            <w:r w:rsidRPr="00FA0527">
              <w:rPr>
                <w:rFonts w:asciiTheme="minorHAnsi" w:hAnsiTheme="minorHAnsi" w:cs="Arial"/>
                <w:color w:val="000000"/>
                <w:sz w:val="22"/>
                <w:szCs w:val="22"/>
                <w:lang w:val="en-IN" w:eastAsia="en-IN"/>
              </w:rPr>
              <w:t>(51.1)</w:t>
            </w:r>
          </w:p>
        </w:tc>
        <w:tc>
          <w:tcPr>
            <w:tcW w:w="2410" w:type="dxa"/>
            <w:tcBorders>
              <w:top w:val="nil"/>
              <w:left w:val="nil"/>
              <w:bottom w:val="single" w:sz="8" w:space="0" w:color="auto"/>
              <w:right w:val="single" w:sz="8" w:space="0" w:color="auto"/>
            </w:tcBorders>
            <w:shd w:val="clear" w:color="auto" w:fill="auto"/>
            <w:vAlign w:val="center"/>
            <w:hideMark/>
          </w:tcPr>
          <w:p w14:paraId="49045D6A" w14:textId="77777777" w:rsidR="00974443" w:rsidRPr="00FA0527" w:rsidRDefault="00974443" w:rsidP="00A35221">
            <w:pPr>
              <w:rPr>
                <w:rFonts w:asciiTheme="minorHAnsi" w:hAnsiTheme="minorHAnsi" w:cs="Arial"/>
                <w:color w:val="000000"/>
                <w:sz w:val="22"/>
                <w:szCs w:val="22"/>
                <w:lang w:val="en-IN" w:eastAsia="en-IN"/>
              </w:rPr>
            </w:pPr>
            <w:r w:rsidRPr="00FA0527">
              <w:rPr>
                <w:rFonts w:asciiTheme="minorHAnsi" w:hAnsiTheme="minorHAnsi" w:cs="Arial"/>
                <w:color w:val="000000"/>
                <w:sz w:val="22"/>
                <w:szCs w:val="22"/>
                <w:lang w:val="en-IN" w:eastAsia="en-IN"/>
              </w:rPr>
              <w:t>Normative entitlement (based on actual audited GFA)</w:t>
            </w:r>
          </w:p>
        </w:tc>
      </w:tr>
      <w:tr w:rsidR="00974443" w:rsidRPr="00FA0527" w14:paraId="4C206518" w14:textId="77777777" w:rsidTr="00A35221">
        <w:trPr>
          <w:trHeight w:val="1160"/>
        </w:trPr>
        <w:tc>
          <w:tcPr>
            <w:tcW w:w="1303" w:type="dxa"/>
            <w:vMerge/>
            <w:tcBorders>
              <w:top w:val="nil"/>
              <w:left w:val="single" w:sz="8" w:space="0" w:color="auto"/>
              <w:bottom w:val="single" w:sz="8" w:space="0" w:color="000000"/>
              <w:right w:val="single" w:sz="8" w:space="0" w:color="auto"/>
            </w:tcBorders>
            <w:vAlign w:val="center"/>
            <w:hideMark/>
          </w:tcPr>
          <w:p w14:paraId="2A1AE6E6" w14:textId="77777777" w:rsidR="00974443" w:rsidRPr="00FA0527" w:rsidRDefault="00974443" w:rsidP="00A35221">
            <w:pPr>
              <w:rPr>
                <w:rFonts w:asciiTheme="minorHAnsi" w:hAnsiTheme="minorHAnsi" w:cs="Arial"/>
                <w:color w:val="000000"/>
                <w:sz w:val="22"/>
                <w:szCs w:val="22"/>
                <w:lang w:val="en-IN" w:eastAsia="en-IN"/>
              </w:rPr>
            </w:pPr>
          </w:p>
        </w:tc>
        <w:tc>
          <w:tcPr>
            <w:tcW w:w="1467" w:type="dxa"/>
            <w:tcBorders>
              <w:top w:val="nil"/>
              <w:left w:val="nil"/>
              <w:bottom w:val="single" w:sz="8" w:space="0" w:color="auto"/>
              <w:right w:val="single" w:sz="8" w:space="0" w:color="auto"/>
            </w:tcBorders>
            <w:shd w:val="clear" w:color="auto" w:fill="auto"/>
            <w:vAlign w:val="center"/>
            <w:hideMark/>
          </w:tcPr>
          <w:p w14:paraId="6518DD72" w14:textId="77777777" w:rsidR="00974443" w:rsidRPr="00FA0527" w:rsidRDefault="00974443" w:rsidP="00A35221">
            <w:pPr>
              <w:jc w:val="center"/>
              <w:rPr>
                <w:rFonts w:asciiTheme="minorHAnsi" w:hAnsiTheme="minorHAnsi" w:cs="Arial"/>
                <w:color w:val="000000"/>
                <w:sz w:val="22"/>
                <w:szCs w:val="22"/>
                <w:lang w:val="en-IN" w:eastAsia="en-IN"/>
              </w:rPr>
            </w:pPr>
            <w:r w:rsidRPr="00FA0527">
              <w:rPr>
                <w:rFonts w:asciiTheme="minorHAnsi" w:hAnsiTheme="minorHAnsi" w:cs="Arial"/>
                <w:color w:val="000000"/>
                <w:sz w:val="22"/>
                <w:szCs w:val="22"/>
                <w:lang w:val="en-IN" w:eastAsia="en-IN"/>
              </w:rPr>
              <w:t>A&amp;G Expenses</w:t>
            </w:r>
          </w:p>
        </w:tc>
        <w:tc>
          <w:tcPr>
            <w:tcW w:w="1342" w:type="dxa"/>
            <w:tcBorders>
              <w:top w:val="nil"/>
              <w:left w:val="nil"/>
              <w:bottom w:val="single" w:sz="8" w:space="0" w:color="auto"/>
              <w:right w:val="single" w:sz="8" w:space="0" w:color="auto"/>
            </w:tcBorders>
            <w:shd w:val="clear" w:color="auto" w:fill="auto"/>
            <w:vAlign w:val="center"/>
            <w:hideMark/>
          </w:tcPr>
          <w:p w14:paraId="05F43ABB" w14:textId="77777777" w:rsidR="00974443" w:rsidRPr="00FA0527" w:rsidRDefault="00974443" w:rsidP="00A35221">
            <w:pPr>
              <w:jc w:val="center"/>
              <w:rPr>
                <w:rFonts w:asciiTheme="minorHAnsi" w:hAnsiTheme="minorHAnsi" w:cs="Arial"/>
                <w:color w:val="000000"/>
                <w:sz w:val="22"/>
                <w:szCs w:val="22"/>
                <w:lang w:val="en-IN" w:eastAsia="en-IN"/>
              </w:rPr>
            </w:pPr>
            <w:r w:rsidRPr="00FA0527">
              <w:rPr>
                <w:rFonts w:asciiTheme="minorHAnsi" w:hAnsiTheme="minorHAnsi" w:cs="Arial"/>
                <w:color w:val="000000"/>
                <w:sz w:val="22"/>
                <w:szCs w:val="22"/>
                <w:lang w:val="en-IN" w:eastAsia="en-IN"/>
              </w:rPr>
              <w:t>155.18</w:t>
            </w:r>
          </w:p>
        </w:tc>
        <w:tc>
          <w:tcPr>
            <w:tcW w:w="1083" w:type="dxa"/>
            <w:tcBorders>
              <w:top w:val="nil"/>
              <w:left w:val="nil"/>
              <w:bottom w:val="single" w:sz="8" w:space="0" w:color="auto"/>
              <w:right w:val="single" w:sz="8" w:space="0" w:color="auto"/>
            </w:tcBorders>
            <w:shd w:val="clear" w:color="auto" w:fill="auto"/>
            <w:vAlign w:val="center"/>
            <w:hideMark/>
          </w:tcPr>
          <w:p w14:paraId="057DC305" w14:textId="77777777" w:rsidR="00974443" w:rsidRPr="00FA0527" w:rsidRDefault="00974443" w:rsidP="00A35221">
            <w:pPr>
              <w:jc w:val="center"/>
              <w:rPr>
                <w:rFonts w:asciiTheme="minorHAnsi" w:hAnsiTheme="minorHAnsi" w:cs="Arial"/>
                <w:color w:val="000000"/>
                <w:sz w:val="22"/>
                <w:szCs w:val="22"/>
                <w:lang w:val="en-IN" w:eastAsia="en-IN"/>
              </w:rPr>
            </w:pPr>
            <w:r w:rsidRPr="00FA0527">
              <w:rPr>
                <w:rFonts w:asciiTheme="minorHAnsi" w:hAnsiTheme="minorHAnsi" w:cs="Arial"/>
                <w:color w:val="000000"/>
                <w:sz w:val="22"/>
                <w:szCs w:val="22"/>
                <w:lang w:val="en-IN" w:eastAsia="en-IN"/>
              </w:rPr>
              <w:t>84.23</w:t>
            </w:r>
          </w:p>
        </w:tc>
        <w:tc>
          <w:tcPr>
            <w:tcW w:w="901" w:type="dxa"/>
            <w:tcBorders>
              <w:top w:val="nil"/>
              <w:left w:val="nil"/>
              <w:bottom w:val="single" w:sz="8" w:space="0" w:color="auto"/>
              <w:right w:val="single" w:sz="8" w:space="0" w:color="auto"/>
            </w:tcBorders>
            <w:shd w:val="clear" w:color="auto" w:fill="auto"/>
            <w:vAlign w:val="center"/>
            <w:hideMark/>
          </w:tcPr>
          <w:p w14:paraId="44AF5B4D" w14:textId="77777777" w:rsidR="00974443" w:rsidRPr="00FA0527" w:rsidRDefault="00974443" w:rsidP="00A35221">
            <w:pPr>
              <w:jc w:val="center"/>
              <w:rPr>
                <w:rFonts w:asciiTheme="minorHAnsi" w:hAnsiTheme="minorHAnsi" w:cs="Arial"/>
                <w:color w:val="000000"/>
                <w:sz w:val="22"/>
                <w:szCs w:val="22"/>
                <w:lang w:val="en-IN" w:eastAsia="en-IN"/>
              </w:rPr>
            </w:pPr>
            <w:r w:rsidRPr="00FA0527">
              <w:rPr>
                <w:rFonts w:asciiTheme="minorHAnsi" w:hAnsiTheme="minorHAnsi" w:cs="Arial"/>
                <w:color w:val="000000"/>
                <w:sz w:val="22"/>
                <w:szCs w:val="22"/>
                <w:lang w:val="en-IN" w:eastAsia="en-IN"/>
              </w:rPr>
              <w:t>112.55</w:t>
            </w:r>
          </w:p>
        </w:tc>
        <w:tc>
          <w:tcPr>
            <w:tcW w:w="1843" w:type="dxa"/>
            <w:tcBorders>
              <w:top w:val="nil"/>
              <w:left w:val="nil"/>
              <w:bottom w:val="single" w:sz="8" w:space="0" w:color="auto"/>
              <w:right w:val="single" w:sz="8" w:space="0" w:color="auto"/>
            </w:tcBorders>
            <w:shd w:val="clear" w:color="auto" w:fill="auto"/>
            <w:vAlign w:val="center"/>
            <w:hideMark/>
          </w:tcPr>
          <w:p w14:paraId="164E7390" w14:textId="77777777" w:rsidR="00974443" w:rsidRPr="00FA0527" w:rsidRDefault="00974443" w:rsidP="00A35221">
            <w:pPr>
              <w:jc w:val="center"/>
              <w:rPr>
                <w:rFonts w:asciiTheme="minorHAnsi" w:hAnsiTheme="minorHAnsi" w:cs="Arial"/>
                <w:color w:val="000000"/>
                <w:sz w:val="22"/>
                <w:szCs w:val="22"/>
                <w:lang w:val="en-IN" w:eastAsia="en-IN"/>
              </w:rPr>
            </w:pPr>
            <w:r w:rsidRPr="00FA0527">
              <w:rPr>
                <w:rFonts w:asciiTheme="minorHAnsi" w:hAnsiTheme="minorHAnsi" w:cs="Arial"/>
                <w:color w:val="000000"/>
                <w:sz w:val="22"/>
                <w:szCs w:val="22"/>
                <w:lang w:val="en-IN" w:eastAsia="en-IN"/>
              </w:rPr>
              <w:t>(28.32)</w:t>
            </w:r>
          </w:p>
        </w:tc>
        <w:tc>
          <w:tcPr>
            <w:tcW w:w="2410" w:type="dxa"/>
            <w:tcBorders>
              <w:top w:val="nil"/>
              <w:left w:val="nil"/>
              <w:bottom w:val="single" w:sz="8" w:space="0" w:color="auto"/>
              <w:right w:val="single" w:sz="8" w:space="0" w:color="auto"/>
            </w:tcBorders>
            <w:shd w:val="clear" w:color="auto" w:fill="auto"/>
            <w:vAlign w:val="center"/>
            <w:hideMark/>
          </w:tcPr>
          <w:p w14:paraId="5AB425F1" w14:textId="77777777" w:rsidR="00974443" w:rsidRPr="00FA0527" w:rsidRDefault="00974443" w:rsidP="00A35221">
            <w:pPr>
              <w:rPr>
                <w:rFonts w:asciiTheme="minorHAnsi" w:hAnsiTheme="minorHAnsi" w:cs="Arial"/>
                <w:color w:val="000000"/>
                <w:sz w:val="22"/>
                <w:szCs w:val="22"/>
                <w:lang w:val="en-IN" w:eastAsia="en-IN"/>
              </w:rPr>
            </w:pPr>
            <w:r w:rsidRPr="00FA0527">
              <w:rPr>
                <w:rFonts w:asciiTheme="minorHAnsi" w:hAnsiTheme="minorHAnsi" w:cs="Arial"/>
                <w:color w:val="000000"/>
                <w:sz w:val="22"/>
                <w:szCs w:val="22"/>
                <w:lang w:val="en-IN" w:eastAsia="en-IN"/>
              </w:rPr>
              <w:t>Sought 7% escalation over the previous year approved A&amp;G expenses</w:t>
            </w:r>
          </w:p>
        </w:tc>
      </w:tr>
      <w:tr w:rsidR="00974443" w:rsidRPr="00FA0527" w14:paraId="5D4D4C36" w14:textId="77777777" w:rsidTr="00A35221">
        <w:trPr>
          <w:trHeight w:val="1160"/>
        </w:trPr>
        <w:tc>
          <w:tcPr>
            <w:tcW w:w="1303" w:type="dxa"/>
            <w:vMerge/>
            <w:tcBorders>
              <w:top w:val="nil"/>
              <w:left w:val="single" w:sz="8" w:space="0" w:color="auto"/>
              <w:bottom w:val="single" w:sz="8" w:space="0" w:color="000000"/>
              <w:right w:val="single" w:sz="8" w:space="0" w:color="auto"/>
            </w:tcBorders>
            <w:vAlign w:val="center"/>
            <w:hideMark/>
          </w:tcPr>
          <w:p w14:paraId="11D31BB2" w14:textId="77777777" w:rsidR="00974443" w:rsidRPr="00FA0527" w:rsidRDefault="00974443" w:rsidP="00A35221">
            <w:pPr>
              <w:rPr>
                <w:rFonts w:asciiTheme="minorHAnsi" w:hAnsiTheme="minorHAnsi" w:cs="Arial"/>
                <w:color w:val="000000"/>
                <w:sz w:val="22"/>
                <w:szCs w:val="22"/>
                <w:lang w:val="en-IN" w:eastAsia="en-IN"/>
              </w:rPr>
            </w:pPr>
          </w:p>
        </w:tc>
        <w:tc>
          <w:tcPr>
            <w:tcW w:w="1467" w:type="dxa"/>
            <w:tcBorders>
              <w:top w:val="nil"/>
              <w:left w:val="nil"/>
              <w:bottom w:val="single" w:sz="8" w:space="0" w:color="auto"/>
              <w:right w:val="single" w:sz="8" w:space="0" w:color="auto"/>
            </w:tcBorders>
            <w:shd w:val="clear" w:color="auto" w:fill="auto"/>
            <w:vAlign w:val="center"/>
            <w:hideMark/>
          </w:tcPr>
          <w:p w14:paraId="6ADA2433" w14:textId="77777777" w:rsidR="00974443" w:rsidRPr="00FA0527" w:rsidRDefault="00974443" w:rsidP="00A35221">
            <w:pPr>
              <w:jc w:val="center"/>
              <w:rPr>
                <w:rFonts w:asciiTheme="minorHAnsi" w:hAnsiTheme="minorHAnsi" w:cs="Arial"/>
                <w:color w:val="000000"/>
                <w:sz w:val="22"/>
                <w:szCs w:val="22"/>
                <w:lang w:val="en-IN" w:eastAsia="en-IN"/>
              </w:rPr>
            </w:pPr>
            <w:r w:rsidRPr="00FA0527">
              <w:rPr>
                <w:rFonts w:asciiTheme="minorHAnsi" w:hAnsiTheme="minorHAnsi" w:cs="Arial"/>
                <w:color w:val="000000"/>
                <w:sz w:val="22"/>
                <w:szCs w:val="22"/>
                <w:lang w:val="en-IN" w:eastAsia="en-IN"/>
              </w:rPr>
              <w:t>Interest on SD</w:t>
            </w:r>
          </w:p>
        </w:tc>
        <w:tc>
          <w:tcPr>
            <w:tcW w:w="1342" w:type="dxa"/>
            <w:tcBorders>
              <w:top w:val="nil"/>
              <w:left w:val="nil"/>
              <w:bottom w:val="single" w:sz="8" w:space="0" w:color="auto"/>
              <w:right w:val="single" w:sz="8" w:space="0" w:color="auto"/>
            </w:tcBorders>
            <w:shd w:val="clear" w:color="auto" w:fill="auto"/>
            <w:vAlign w:val="center"/>
            <w:hideMark/>
          </w:tcPr>
          <w:p w14:paraId="4DAB9CA2" w14:textId="77777777" w:rsidR="00974443" w:rsidRPr="00FA0527" w:rsidRDefault="00974443" w:rsidP="00A35221">
            <w:pPr>
              <w:jc w:val="center"/>
              <w:rPr>
                <w:rFonts w:asciiTheme="minorHAnsi" w:hAnsiTheme="minorHAnsi" w:cs="Arial"/>
                <w:color w:val="000000"/>
                <w:sz w:val="22"/>
                <w:szCs w:val="22"/>
                <w:lang w:val="en-IN" w:eastAsia="en-IN"/>
              </w:rPr>
            </w:pPr>
            <w:r w:rsidRPr="00FA0527">
              <w:rPr>
                <w:rFonts w:asciiTheme="minorHAnsi" w:hAnsiTheme="minorHAnsi" w:cs="Arial"/>
                <w:color w:val="000000"/>
                <w:sz w:val="22"/>
                <w:szCs w:val="22"/>
                <w:lang w:val="en-IN" w:eastAsia="en-IN"/>
              </w:rPr>
              <w:t>26.22</w:t>
            </w:r>
          </w:p>
        </w:tc>
        <w:tc>
          <w:tcPr>
            <w:tcW w:w="1083" w:type="dxa"/>
            <w:tcBorders>
              <w:top w:val="nil"/>
              <w:left w:val="nil"/>
              <w:bottom w:val="single" w:sz="8" w:space="0" w:color="auto"/>
              <w:right w:val="single" w:sz="8" w:space="0" w:color="auto"/>
            </w:tcBorders>
            <w:shd w:val="clear" w:color="auto" w:fill="auto"/>
            <w:vAlign w:val="center"/>
            <w:hideMark/>
          </w:tcPr>
          <w:p w14:paraId="4BA4C01A" w14:textId="77777777" w:rsidR="00974443" w:rsidRPr="00FA0527" w:rsidRDefault="00974443" w:rsidP="00A35221">
            <w:pPr>
              <w:jc w:val="center"/>
              <w:rPr>
                <w:rFonts w:asciiTheme="minorHAnsi" w:hAnsiTheme="minorHAnsi" w:cs="Arial"/>
                <w:color w:val="000000"/>
                <w:sz w:val="22"/>
                <w:szCs w:val="22"/>
                <w:lang w:val="en-IN" w:eastAsia="en-IN"/>
              </w:rPr>
            </w:pPr>
            <w:r w:rsidRPr="00FA0527">
              <w:rPr>
                <w:rFonts w:asciiTheme="minorHAnsi" w:hAnsiTheme="minorHAnsi" w:cs="Arial"/>
                <w:color w:val="000000"/>
                <w:sz w:val="22"/>
                <w:szCs w:val="22"/>
                <w:lang w:val="en-IN" w:eastAsia="en-IN"/>
              </w:rPr>
              <w:t>25.83</w:t>
            </w:r>
          </w:p>
        </w:tc>
        <w:tc>
          <w:tcPr>
            <w:tcW w:w="901" w:type="dxa"/>
            <w:tcBorders>
              <w:top w:val="nil"/>
              <w:left w:val="nil"/>
              <w:bottom w:val="single" w:sz="8" w:space="0" w:color="auto"/>
              <w:right w:val="single" w:sz="8" w:space="0" w:color="auto"/>
            </w:tcBorders>
            <w:shd w:val="clear" w:color="auto" w:fill="auto"/>
            <w:vAlign w:val="center"/>
            <w:hideMark/>
          </w:tcPr>
          <w:p w14:paraId="0A6A89B4" w14:textId="77777777" w:rsidR="00974443" w:rsidRPr="00FA0527" w:rsidRDefault="00974443" w:rsidP="00A35221">
            <w:pPr>
              <w:jc w:val="center"/>
              <w:rPr>
                <w:rFonts w:asciiTheme="minorHAnsi" w:hAnsiTheme="minorHAnsi" w:cs="Arial"/>
                <w:color w:val="000000"/>
                <w:sz w:val="22"/>
                <w:szCs w:val="22"/>
                <w:lang w:val="en-IN" w:eastAsia="en-IN"/>
              </w:rPr>
            </w:pPr>
            <w:r w:rsidRPr="00FA0527">
              <w:rPr>
                <w:rFonts w:asciiTheme="minorHAnsi" w:hAnsiTheme="minorHAnsi" w:cs="Arial"/>
                <w:color w:val="000000"/>
                <w:sz w:val="22"/>
                <w:szCs w:val="22"/>
                <w:lang w:val="en-IN" w:eastAsia="en-IN"/>
              </w:rPr>
              <w:t>41.96</w:t>
            </w:r>
          </w:p>
        </w:tc>
        <w:tc>
          <w:tcPr>
            <w:tcW w:w="1843" w:type="dxa"/>
            <w:tcBorders>
              <w:top w:val="nil"/>
              <w:left w:val="nil"/>
              <w:bottom w:val="single" w:sz="8" w:space="0" w:color="auto"/>
              <w:right w:val="single" w:sz="8" w:space="0" w:color="auto"/>
            </w:tcBorders>
            <w:shd w:val="clear" w:color="auto" w:fill="auto"/>
            <w:vAlign w:val="center"/>
            <w:hideMark/>
          </w:tcPr>
          <w:p w14:paraId="34317337" w14:textId="77777777" w:rsidR="00974443" w:rsidRPr="00FA0527" w:rsidRDefault="00974443" w:rsidP="00A35221">
            <w:pPr>
              <w:jc w:val="center"/>
              <w:rPr>
                <w:rFonts w:asciiTheme="minorHAnsi" w:hAnsiTheme="minorHAnsi" w:cs="Arial"/>
                <w:color w:val="000000"/>
                <w:sz w:val="22"/>
                <w:szCs w:val="22"/>
                <w:lang w:val="en-IN" w:eastAsia="en-IN"/>
              </w:rPr>
            </w:pPr>
            <w:r w:rsidRPr="00FA0527">
              <w:rPr>
                <w:rFonts w:asciiTheme="minorHAnsi" w:hAnsiTheme="minorHAnsi" w:cs="Arial"/>
                <w:color w:val="000000"/>
                <w:sz w:val="22"/>
                <w:szCs w:val="22"/>
                <w:lang w:val="en-IN" w:eastAsia="en-IN"/>
              </w:rPr>
              <w:t>(16.13)</w:t>
            </w:r>
          </w:p>
        </w:tc>
        <w:tc>
          <w:tcPr>
            <w:tcW w:w="2410" w:type="dxa"/>
            <w:tcBorders>
              <w:top w:val="nil"/>
              <w:left w:val="nil"/>
              <w:bottom w:val="single" w:sz="8" w:space="0" w:color="auto"/>
              <w:right w:val="single" w:sz="8" w:space="0" w:color="auto"/>
            </w:tcBorders>
            <w:shd w:val="clear" w:color="auto" w:fill="auto"/>
            <w:vAlign w:val="center"/>
            <w:hideMark/>
          </w:tcPr>
          <w:p w14:paraId="681DE0FE" w14:textId="77777777" w:rsidR="00974443" w:rsidRPr="00FA0527" w:rsidRDefault="00974443" w:rsidP="00A35221">
            <w:pPr>
              <w:rPr>
                <w:rFonts w:asciiTheme="minorHAnsi" w:hAnsiTheme="minorHAnsi" w:cs="Arial"/>
                <w:color w:val="000000"/>
                <w:sz w:val="22"/>
                <w:szCs w:val="22"/>
                <w:lang w:val="en-IN" w:eastAsia="en-IN"/>
              </w:rPr>
            </w:pPr>
            <w:r w:rsidRPr="00FA0527">
              <w:rPr>
                <w:rFonts w:asciiTheme="minorHAnsi" w:hAnsiTheme="minorHAnsi" w:cs="Arial"/>
                <w:color w:val="000000"/>
                <w:sz w:val="22"/>
                <w:szCs w:val="22"/>
                <w:lang w:val="en-IN" w:eastAsia="en-IN"/>
              </w:rPr>
              <w:t>Actual interest cost on SD increased over proposed due to increase in rate of interest</w:t>
            </w:r>
          </w:p>
        </w:tc>
      </w:tr>
      <w:tr w:rsidR="00974443" w:rsidRPr="00FA0527" w14:paraId="28F9E994" w14:textId="77777777" w:rsidTr="00A35221">
        <w:trPr>
          <w:trHeight w:val="211"/>
        </w:trPr>
        <w:tc>
          <w:tcPr>
            <w:tcW w:w="6096" w:type="dxa"/>
            <w:gridSpan w:val="5"/>
            <w:tcBorders>
              <w:top w:val="single" w:sz="8" w:space="0" w:color="auto"/>
              <w:left w:val="single" w:sz="8" w:space="0" w:color="auto"/>
              <w:bottom w:val="single" w:sz="8" w:space="0" w:color="auto"/>
              <w:right w:val="single" w:sz="8" w:space="0" w:color="000000"/>
            </w:tcBorders>
            <w:shd w:val="clear" w:color="000000" w:fill="9CC2E5"/>
            <w:vAlign w:val="center"/>
            <w:hideMark/>
          </w:tcPr>
          <w:p w14:paraId="79718895" w14:textId="77777777" w:rsidR="00974443" w:rsidRPr="00FA0527" w:rsidRDefault="00974443" w:rsidP="00A35221">
            <w:pPr>
              <w:jc w:val="center"/>
              <w:rPr>
                <w:rFonts w:asciiTheme="minorHAnsi" w:hAnsiTheme="minorHAnsi" w:cs="Arial"/>
                <w:b/>
                <w:bCs/>
                <w:color w:val="000000"/>
                <w:sz w:val="22"/>
                <w:szCs w:val="22"/>
                <w:lang w:val="en-IN" w:eastAsia="en-IN"/>
              </w:rPr>
            </w:pPr>
            <w:r w:rsidRPr="00FA0527">
              <w:rPr>
                <w:rFonts w:asciiTheme="minorHAnsi" w:hAnsiTheme="minorHAnsi" w:cs="Arial"/>
                <w:b/>
                <w:bCs/>
                <w:color w:val="000000"/>
                <w:sz w:val="22"/>
                <w:szCs w:val="22"/>
                <w:lang w:val="en-IN" w:eastAsia="en-IN"/>
              </w:rPr>
              <w:t xml:space="preserve">Total </w:t>
            </w:r>
          </w:p>
        </w:tc>
        <w:tc>
          <w:tcPr>
            <w:tcW w:w="1843" w:type="dxa"/>
            <w:tcBorders>
              <w:top w:val="nil"/>
              <w:left w:val="nil"/>
              <w:bottom w:val="single" w:sz="8" w:space="0" w:color="auto"/>
              <w:right w:val="single" w:sz="8" w:space="0" w:color="auto"/>
            </w:tcBorders>
            <w:shd w:val="clear" w:color="000000" w:fill="9CC2E5"/>
            <w:vAlign w:val="center"/>
            <w:hideMark/>
          </w:tcPr>
          <w:p w14:paraId="1391BB96" w14:textId="77777777" w:rsidR="00974443" w:rsidRPr="00FA0527" w:rsidRDefault="00974443" w:rsidP="00A35221">
            <w:pPr>
              <w:jc w:val="center"/>
              <w:rPr>
                <w:rFonts w:asciiTheme="minorHAnsi" w:hAnsiTheme="minorHAnsi" w:cs="Arial"/>
                <w:b/>
                <w:bCs/>
                <w:color w:val="000000"/>
                <w:sz w:val="22"/>
                <w:szCs w:val="22"/>
                <w:lang w:val="en-IN" w:eastAsia="en-IN"/>
              </w:rPr>
            </w:pPr>
            <w:r w:rsidRPr="00FA0527">
              <w:rPr>
                <w:rFonts w:asciiTheme="minorHAnsi" w:hAnsiTheme="minorHAnsi" w:cs="Arial"/>
                <w:b/>
                <w:bCs/>
                <w:color w:val="000000"/>
                <w:sz w:val="22"/>
                <w:szCs w:val="22"/>
                <w:lang w:val="en-IN" w:eastAsia="en-IN"/>
              </w:rPr>
              <w:t>(104.79)</w:t>
            </w:r>
          </w:p>
        </w:tc>
        <w:tc>
          <w:tcPr>
            <w:tcW w:w="2410" w:type="dxa"/>
            <w:tcBorders>
              <w:top w:val="nil"/>
              <w:left w:val="nil"/>
              <w:bottom w:val="single" w:sz="8" w:space="0" w:color="auto"/>
              <w:right w:val="single" w:sz="8" w:space="0" w:color="auto"/>
            </w:tcBorders>
            <w:shd w:val="clear" w:color="000000" w:fill="9CC2E5"/>
            <w:noWrap/>
            <w:vAlign w:val="center"/>
            <w:hideMark/>
          </w:tcPr>
          <w:p w14:paraId="58D61BEB" w14:textId="77777777" w:rsidR="00974443" w:rsidRPr="00FA0527" w:rsidRDefault="00974443" w:rsidP="00A35221">
            <w:pPr>
              <w:rPr>
                <w:rFonts w:asciiTheme="minorHAnsi" w:hAnsiTheme="minorHAnsi" w:cs="Calibri"/>
                <w:color w:val="000000"/>
                <w:sz w:val="22"/>
                <w:szCs w:val="22"/>
                <w:lang w:val="en-IN" w:eastAsia="en-IN"/>
              </w:rPr>
            </w:pPr>
            <w:r w:rsidRPr="00FA0527">
              <w:rPr>
                <w:rFonts w:asciiTheme="minorHAnsi" w:hAnsiTheme="minorHAnsi" w:cs="Calibri"/>
                <w:color w:val="000000"/>
                <w:sz w:val="22"/>
                <w:szCs w:val="22"/>
                <w:lang w:val="en-IN" w:eastAsia="en-IN"/>
              </w:rPr>
              <w:t> </w:t>
            </w:r>
          </w:p>
        </w:tc>
      </w:tr>
    </w:tbl>
    <w:p w14:paraId="0EDA13AA" w14:textId="77777777" w:rsidR="00974443" w:rsidRDefault="00974443" w:rsidP="00416351">
      <w:pPr>
        <w:tabs>
          <w:tab w:val="left" w:pos="426"/>
        </w:tabs>
        <w:spacing w:line="360" w:lineRule="auto"/>
        <w:ind w:left="284" w:right="-23"/>
        <w:jc w:val="both"/>
        <w:rPr>
          <w:rFonts w:ascii="Arial" w:hAnsi="Arial" w:cs="Arial"/>
          <w:bCs/>
          <w:sz w:val="22"/>
          <w:szCs w:val="22"/>
        </w:rPr>
      </w:pPr>
    </w:p>
    <w:p w14:paraId="137F9868" w14:textId="16FBF5DE" w:rsidR="001D455A" w:rsidRDefault="001D455A" w:rsidP="1C7A3D4D">
      <w:pPr>
        <w:pStyle w:val="NoSpacing"/>
        <w:tabs>
          <w:tab w:val="left" w:pos="851"/>
        </w:tabs>
        <w:spacing w:line="360" w:lineRule="auto"/>
        <w:ind w:left="851" w:right="-23"/>
        <w:jc w:val="both"/>
        <w:rPr>
          <w:rFonts w:asciiTheme="minorHAnsi" w:hAnsiTheme="minorHAnsi" w:cstheme="minorBidi"/>
          <w:b/>
          <w:bCs/>
          <w:lang w:val="en-US"/>
        </w:rPr>
      </w:pPr>
    </w:p>
    <w:p w14:paraId="42DBC7AE" w14:textId="77777777" w:rsidR="00F616FB" w:rsidRDefault="00F616FB" w:rsidP="00F616FB">
      <w:r w:rsidRPr="00BD5055">
        <w:rPr>
          <w:rFonts w:asciiTheme="minorHAnsi" w:hAnsiTheme="minorHAnsi" w:cstheme="minorHAnsi"/>
          <w:noProof/>
          <w:sz w:val="22"/>
          <w:szCs w:val="22"/>
          <w:lang w:val="en-IN" w:eastAsia="en-IN"/>
        </w:rPr>
        <mc:AlternateContent>
          <mc:Choice Requires="wps">
            <w:drawing>
              <wp:anchor distT="0" distB="0" distL="114300" distR="114300" simplePos="0" relativeHeight="251999744" behindDoc="0" locked="0" layoutInCell="1" allowOverlap="1" wp14:anchorId="57D785BC" wp14:editId="19A9B051">
                <wp:simplePos x="0" y="0"/>
                <wp:positionH relativeFrom="margin">
                  <wp:posOffset>346710</wp:posOffset>
                </wp:positionH>
                <wp:positionV relativeFrom="paragraph">
                  <wp:posOffset>-634</wp:posOffset>
                </wp:positionV>
                <wp:extent cx="5610225" cy="533400"/>
                <wp:effectExtent l="0" t="0" r="28575" b="19050"/>
                <wp:wrapNone/>
                <wp:docPr id="92574952" name="Rectangle 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610225" cy="533400"/>
                        </a:xfrm>
                        <a:prstGeom prst="rect">
                          <a:avLst/>
                        </a:prstGeom>
                        <a:solidFill>
                          <a:srgbClr val="1F497D">
                            <a:lumMod val="20000"/>
                            <a:lumOff val="80000"/>
                          </a:srgbClr>
                        </a:solidFill>
                        <a:ln w="9525">
                          <a:solidFill>
                            <a:srgbClr val="000000"/>
                          </a:solidFill>
                          <a:miter lim="800000"/>
                          <a:headEnd/>
                          <a:tailEnd/>
                        </a:ln>
                      </wps:spPr>
                      <wps:txbx>
                        <w:txbxContent>
                          <w:p w14:paraId="34E7FCD8" w14:textId="4B003FE9" w:rsidR="00535B24" w:rsidRPr="001A2772" w:rsidRDefault="00535B24" w:rsidP="00F616FB">
                            <w:pPr>
                              <w:ind w:left="426" w:hanging="426"/>
                              <w:rPr>
                                <w:rFonts w:asciiTheme="minorHAnsi" w:hAnsiTheme="minorHAnsi" w:cstheme="minorHAnsi"/>
                                <w:b/>
                                <w:sz w:val="28"/>
                                <w:szCs w:val="28"/>
                              </w:rPr>
                            </w:pPr>
                            <w:r>
                              <w:rPr>
                                <w:rFonts w:asciiTheme="minorHAnsi" w:hAnsiTheme="minorHAnsi" w:cstheme="minorHAnsi"/>
                                <w:b/>
                                <w:sz w:val="28"/>
                                <w:szCs w:val="28"/>
                              </w:rPr>
                              <w:t>6</w:t>
                            </w:r>
                            <w:r w:rsidRPr="001A2772">
                              <w:rPr>
                                <w:rFonts w:asciiTheme="minorHAnsi" w:hAnsiTheme="minorHAnsi" w:cstheme="minorHAnsi"/>
                                <w:b/>
                                <w:sz w:val="28"/>
                                <w:szCs w:val="28"/>
                              </w:rPr>
                              <w:t>.  Performance of TPNODL in First T</w:t>
                            </w:r>
                            <w:r>
                              <w:rPr>
                                <w:rFonts w:asciiTheme="minorHAnsi" w:hAnsiTheme="minorHAnsi" w:cstheme="minorHAnsi"/>
                                <w:b/>
                                <w:sz w:val="28"/>
                                <w:szCs w:val="28"/>
                              </w:rPr>
                              <w:t>hree</w:t>
                            </w:r>
                            <w:r w:rsidRPr="001A2772">
                              <w:rPr>
                                <w:rFonts w:asciiTheme="minorHAnsi" w:hAnsiTheme="minorHAnsi" w:cstheme="minorHAnsi"/>
                                <w:b/>
                                <w:sz w:val="28"/>
                                <w:szCs w:val="28"/>
                              </w:rPr>
                              <w:t xml:space="preserve"> and Half Years of Operation-                Initiatives Undertaken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7D785BC" id="Rectangle 7" o:spid="_x0000_s1043" style="position:absolute;margin-left:27.3pt;margin-top:-.05pt;width:441.75pt;height:42pt;z-index:25199974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" fillcolor="#c6d9f1">
                <v:textbox>
                  <w:txbxContent>
                    <w:p w14:paraId="34E7FCD8" w14:textId="4B003FE9" w:rsidR="00535B24" w:rsidRPr="001A2772" w:rsidRDefault="00535B24" w:rsidP="00F616FB">
                      <w:pPr>
                        <w:ind w:left="426" w:hanging="426"/>
                        <w:rPr>
                          <w:rFonts w:asciiTheme="minorHAnsi" w:hAnsiTheme="minorHAnsi" w:cstheme="minorHAnsi"/>
                          <w:b/>
                          <w:sz w:val="28"/>
                          <w:szCs w:val="28"/>
                        </w:rPr>
                      </w:pPr>
                      <w:r>
                        <w:rPr>
                          <w:rFonts w:asciiTheme="minorHAnsi" w:hAnsiTheme="minorHAnsi" w:cstheme="minorHAnsi"/>
                          <w:b/>
                          <w:sz w:val="28"/>
                          <w:szCs w:val="28"/>
                        </w:rPr>
                        <w:t>6</w:t>
                      </w:r>
                      <w:r w:rsidRPr="001A2772">
                        <w:rPr>
                          <w:rFonts w:asciiTheme="minorHAnsi" w:hAnsiTheme="minorHAnsi" w:cstheme="minorHAnsi"/>
                          <w:b/>
                          <w:sz w:val="28"/>
                          <w:szCs w:val="28"/>
                        </w:rPr>
                        <w:t>.  Performance of TPNODL in First T</w:t>
                      </w:r>
                      <w:r>
                        <w:rPr>
                          <w:rFonts w:asciiTheme="minorHAnsi" w:hAnsiTheme="minorHAnsi" w:cstheme="minorHAnsi"/>
                          <w:b/>
                          <w:sz w:val="28"/>
                          <w:szCs w:val="28"/>
                        </w:rPr>
                        <w:t>hree</w:t>
                      </w:r>
                      <w:r w:rsidRPr="001A2772">
                        <w:rPr>
                          <w:rFonts w:asciiTheme="minorHAnsi" w:hAnsiTheme="minorHAnsi" w:cstheme="minorHAnsi"/>
                          <w:b/>
                          <w:sz w:val="28"/>
                          <w:szCs w:val="28"/>
                        </w:rPr>
                        <w:t xml:space="preserve"> and Half Years of Operation-                Initiatives Undertaken      </w:t>
                      </w:r>
                    </w:p>
                  </w:txbxContent>
                </v:textbox>
                <w10:wrap anchorx="margin"/>
              </v:rect>
            </w:pict>
          </mc:Fallback>
        </mc:AlternateContent>
      </w:r>
    </w:p>
    <w:p w14:paraId="0488368E" w14:textId="77777777" w:rsidR="00F616FB" w:rsidRDefault="00F616FB" w:rsidP="00F616FB">
      <w:pPr>
        <w:spacing w:line="360" w:lineRule="auto"/>
        <w:jc w:val="both"/>
        <w:rPr>
          <w:rFonts w:asciiTheme="minorHAnsi" w:hAnsiTheme="minorHAnsi" w:cstheme="minorHAnsi"/>
          <w:bCs/>
          <w:sz w:val="22"/>
          <w:szCs w:val="22"/>
          <w:shd w:val="clear" w:color="auto" w:fill="FFFFFF"/>
        </w:rPr>
      </w:pPr>
    </w:p>
    <w:p w14:paraId="6B5CE244" w14:textId="62ED3D84" w:rsidR="00F616FB" w:rsidRDefault="00F616FB" w:rsidP="006B144F">
      <w:pPr>
        <w:spacing w:line="360" w:lineRule="auto"/>
        <w:jc w:val="both"/>
        <w:rPr>
          <w:rFonts w:asciiTheme="minorHAnsi" w:hAnsiTheme="minorHAnsi" w:cstheme="minorHAnsi"/>
          <w:bCs/>
          <w:sz w:val="22"/>
          <w:szCs w:val="22"/>
          <w:shd w:val="clear" w:color="auto" w:fill="FFFFFF"/>
        </w:rPr>
      </w:pPr>
    </w:p>
    <w:p w14:paraId="364048B8" w14:textId="77777777" w:rsidR="00CA68C8" w:rsidRDefault="00F616FB" w:rsidP="00F616FB">
      <w:pPr>
        <w:spacing w:line="360" w:lineRule="auto"/>
        <w:ind w:left="567"/>
        <w:jc w:val="both"/>
        <w:rPr>
          <w:rFonts w:asciiTheme="minorHAnsi" w:hAnsiTheme="minorHAnsi" w:cstheme="minorHAnsi"/>
          <w:bCs/>
          <w:sz w:val="22"/>
          <w:szCs w:val="22"/>
          <w:shd w:val="clear" w:color="auto" w:fill="FFFFFF"/>
        </w:rPr>
      </w:pPr>
      <w:r>
        <w:rPr>
          <w:rFonts w:asciiTheme="minorHAnsi" w:hAnsiTheme="minorHAnsi" w:cstheme="minorHAnsi"/>
          <w:bCs/>
          <w:sz w:val="22"/>
          <w:szCs w:val="22"/>
          <w:shd w:val="clear" w:color="auto" w:fill="FFFFFF"/>
        </w:rPr>
        <w:t>I</w:t>
      </w:r>
      <w:r w:rsidRPr="00BD5055">
        <w:rPr>
          <w:rFonts w:asciiTheme="minorHAnsi" w:hAnsiTheme="minorHAnsi" w:cstheme="minorHAnsi"/>
          <w:bCs/>
          <w:sz w:val="22"/>
          <w:szCs w:val="22"/>
          <w:shd w:val="clear" w:color="auto" w:fill="FFFFFF"/>
        </w:rPr>
        <w:t xml:space="preserve">n compliance to the vesting order of Hon’ble Commission, TPNODL started operation with effect from </w:t>
      </w:r>
      <w:r>
        <w:rPr>
          <w:rFonts w:asciiTheme="minorHAnsi" w:hAnsiTheme="minorHAnsi" w:cstheme="minorHAnsi"/>
          <w:bCs/>
          <w:sz w:val="22"/>
          <w:szCs w:val="22"/>
          <w:shd w:val="clear" w:color="auto" w:fill="FFFFFF"/>
        </w:rPr>
        <w:t>0</w:t>
      </w:r>
      <w:r w:rsidRPr="00BD5055">
        <w:rPr>
          <w:rFonts w:asciiTheme="minorHAnsi" w:hAnsiTheme="minorHAnsi" w:cstheme="minorHAnsi"/>
          <w:bCs/>
          <w:sz w:val="22"/>
          <w:szCs w:val="22"/>
          <w:shd w:val="clear" w:color="auto" w:fill="FFFFFF"/>
        </w:rPr>
        <w:t>1.04.2021. The overview of the network position as on 30.09.202</w:t>
      </w:r>
      <w:r>
        <w:rPr>
          <w:rFonts w:asciiTheme="minorHAnsi" w:hAnsiTheme="minorHAnsi" w:cstheme="minorHAnsi"/>
          <w:bCs/>
          <w:sz w:val="22"/>
          <w:szCs w:val="22"/>
          <w:shd w:val="clear" w:color="auto" w:fill="FFFFFF"/>
        </w:rPr>
        <w:t>4</w:t>
      </w:r>
      <w:r w:rsidRPr="00BD5055">
        <w:rPr>
          <w:rFonts w:asciiTheme="minorHAnsi" w:hAnsiTheme="minorHAnsi" w:cstheme="minorHAnsi"/>
          <w:bCs/>
          <w:sz w:val="22"/>
          <w:szCs w:val="22"/>
          <w:shd w:val="clear" w:color="auto" w:fill="FFFFFF"/>
        </w:rPr>
        <w:t xml:space="preserve"> has been depicted in the following table:</w:t>
      </w:r>
    </w:p>
    <w:p w14:paraId="318CB4C4" w14:textId="7DFF9865" w:rsidR="00CA68C8" w:rsidRDefault="00CA68C8" w:rsidP="000E1556">
      <w:pPr>
        <w:spacing w:line="360" w:lineRule="auto"/>
        <w:jc w:val="both"/>
        <w:rPr>
          <w:rFonts w:asciiTheme="minorHAnsi" w:hAnsiTheme="minorHAnsi" w:cstheme="minorHAnsi"/>
          <w:bCs/>
          <w:sz w:val="22"/>
          <w:szCs w:val="22"/>
          <w:shd w:val="clear" w:color="auto" w:fill="FFFFFF"/>
        </w:rPr>
      </w:pPr>
    </w:p>
    <w:p w14:paraId="518648AF" w14:textId="77777777" w:rsidR="00CA68C8" w:rsidRDefault="00CA68C8" w:rsidP="00F616FB">
      <w:pPr>
        <w:spacing w:line="360" w:lineRule="auto"/>
        <w:ind w:left="567"/>
        <w:jc w:val="both"/>
        <w:rPr>
          <w:rFonts w:asciiTheme="minorHAnsi" w:hAnsiTheme="minorHAnsi" w:cstheme="minorHAnsi"/>
          <w:bCs/>
          <w:sz w:val="22"/>
          <w:szCs w:val="22"/>
          <w:shd w:val="clear" w:color="auto" w:fill="FFFFFF"/>
        </w:rPr>
      </w:pPr>
    </w:p>
    <w:p w14:paraId="5FC4028B" w14:textId="0DBA71B9" w:rsidR="008C0C54" w:rsidRPr="00CA68C8" w:rsidRDefault="00CA68C8" w:rsidP="00CA68C8">
      <w:pPr>
        <w:spacing w:line="360" w:lineRule="auto"/>
        <w:jc w:val="center"/>
        <w:rPr>
          <w:rFonts w:asciiTheme="minorHAnsi" w:hAnsiTheme="minorHAnsi" w:cstheme="minorHAnsi"/>
          <w:b/>
          <w:bCs/>
          <w:sz w:val="22"/>
          <w:szCs w:val="22"/>
          <w:shd w:val="clear" w:color="auto" w:fill="FFFFFF"/>
        </w:rPr>
      </w:pPr>
      <w:r w:rsidRPr="00BD5055">
        <w:rPr>
          <w:rFonts w:asciiTheme="minorHAnsi" w:hAnsiTheme="minorHAnsi" w:cstheme="minorHAnsi"/>
          <w:b/>
          <w:bCs/>
          <w:sz w:val="22"/>
          <w:szCs w:val="22"/>
          <w:shd w:val="clear" w:color="auto" w:fill="FFFFFF"/>
        </w:rPr>
        <w:t>Table-</w:t>
      </w:r>
      <w:r>
        <w:rPr>
          <w:rFonts w:asciiTheme="minorHAnsi" w:hAnsiTheme="minorHAnsi" w:cstheme="minorHAnsi"/>
          <w:b/>
          <w:bCs/>
          <w:sz w:val="22"/>
          <w:szCs w:val="22"/>
          <w:shd w:val="clear" w:color="auto" w:fill="FFFFFF"/>
        </w:rPr>
        <w:t>56:</w:t>
      </w:r>
      <w:r w:rsidRPr="00BD5055">
        <w:rPr>
          <w:rFonts w:asciiTheme="minorHAnsi" w:hAnsiTheme="minorHAnsi" w:cstheme="minorHAnsi"/>
          <w:b/>
          <w:bCs/>
          <w:sz w:val="22"/>
          <w:szCs w:val="22"/>
          <w:shd w:val="clear" w:color="auto" w:fill="FFFFFF"/>
        </w:rPr>
        <w:t xml:space="preserve"> </w:t>
      </w:r>
      <w:r>
        <w:rPr>
          <w:rFonts w:asciiTheme="minorHAnsi" w:hAnsiTheme="minorHAnsi" w:cstheme="minorHAnsi"/>
          <w:b/>
          <w:bCs/>
          <w:sz w:val="22"/>
          <w:szCs w:val="22"/>
          <w:shd w:val="clear" w:color="auto" w:fill="FFFFFF"/>
        </w:rPr>
        <w:t>Overview of the Network Position</w:t>
      </w:r>
    </w:p>
    <w:tbl>
      <w:tblPr>
        <w:tblW w:w="10832" w:type="dxa"/>
        <w:tblInd w:w="-7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0"/>
        <w:gridCol w:w="1305"/>
        <w:gridCol w:w="1305"/>
        <w:gridCol w:w="1305"/>
        <w:gridCol w:w="1305"/>
        <w:gridCol w:w="1305"/>
        <w:gridCol w:w="1226"/>
        <w:gridCol w:w="1641"/>
      </w:tblGrid>
      <w:tr w:rsidR="008C0C54" w:rsidRPr="007E7131" w14:paraId="528CBEC6" w14:textId="77777777" w:rsidTr="000E1556">
        <w:trPr>
          <w:trHeight w:val="1096"/>
        </w:trPr>
        <w:tc>
          <w:tcPr>
            <w:tcW w:w="1440" w:type="dxa"/>
            <w:vMerge w:val="restart"/>
            <w:shd w:val="clear" w:color="auto" w:fill="95B3D7" w:themeFill="accent1" w:themeFillTint="99"/>
            <w:vAlign w:val="center"/>
            <w:hideMark/>
          </w:tcPr>
          <w:p w14:paraId="646A4002" w14:textId="77777777" w:rsidR="008C0C54" w:rsidRPr="007E7131" w:rsidRDefault="008C0C54" w:rsidP="008C0C54">
            <w:pPr>
              <w:jc w:val="center"/>
              <w:rPr>
                <w:rFonts w:ascii="Calibri" w:hAnsi="Calibri" w:cs="Calibri"/>
                <w:b/>
                <w:bCs/>
                <w:color w:val="000000"/>
                <w:sz w:val="22"/>
                <w:szCs w:val="22"/>
                <w:lang w:val="en-IN" w:eastAsia="en-IN"/>
              </w:rPr>
            </w:pPr>
            <w:r w:rsidRPr="007E7131">
              <w:rPr>
                <w:rFonts w:ascii="Calibri" w:hAnsi="Calibri" w:cs="Calibri"/>
                <w:b/>
                <w:bCs/>
                <w:color w:val="000000"/>
                <w:sz w:val="22"/>
                <w:szCs w:val="22"/>
                <w:lang w:val="en-IN" w:eastAsia="en-IN"/>
              </w:rPr>
              <w:t>Particulars</w:t>
            </w:r>
          </w:p>
        </w:tc>
        <w:tc>
          <w:tcPr>
            <w:tcW w:w="1305" w:type="dxa"/>
            <w:vMerge w:val="restart"/>
            <w:shd w:val="clear" w:color="auto" w:fill="95B3D7" w:themeFill="accent1" w:themeFillTint="99"/>
            <w:vAlign w:val="center"/>
            <w:hideMark/>
          </w:tcPr>
          <w:p w14:paraId="5B268BA7" w14:textId="77777777" w:rsidR="008C0C54" w:rsidRPr="007E7131" w:rsidRDefault="008C0C54" w:rsidP="008C0C54">
            <w:pPr>
              <w:jc w:val="center"/>
              <w:rPr>
                <w:rFonts w:ascii="Calibri" w:hAnsi="Calibri" w:cs="Calibri"/>
                <w:b/>
                <w:bCs/>
                <w:color w:val="000000"/>
                <w:sz w:val="22"/>
                <w:szCs w:val="22"/>
                <w:lang w:val="en-IN" w:eastAsia="en-IN"/>
              </w:rPr>
            </w:pPr>
            <w:r w:rsidRPr="007E7131">
              <w:rPr>
                <w:rFonts w:ascii="Calibri" w:hAnsi="Calibri" w:cs="Calibri"/>
                <w:b/>
                <w:bCs/>
                <w:color w:val="000000"/>
                <w:sz w:val="22"/>
                <w:szCs w:val="22"/>
                <w:lang w:val="en-IN" w:eastAsia="en-IN"/>
              </w:rPr>
              <w:t xml:space="preserve"> As on 31.03.2021</w:t>
            </w:r>
          </w:p>
        </w:tc>
        <w:tc>
          <w:tcPr>
            <w:tcW w:w="1305" w:type="dxa"/>
            <w:vMerge w:val="restart"/>
            <w:shd w:val="clear" w:color="auto" w:fill="95B3D7" w:themeFill="accent1" w:themeFillTint="99"/>
            <w:vAlign w:val="center"/>
            <w:hideMark/>
          </w:tcPr>
          <w:p w14:paraId="70C87A54" w14:textId="77777777" w:rsidR="008C0C54" w:rsidRPr="007E7131" w:rsidRDefault="008C0C54" w:rsidP="008C0C54">
            <w:pPr>
              <w:jc w:val="center"/>
              <w:rPr>
                <w:rFonts w:ascii="Calibri" w:hAnsi="Calibri" w:cs="Calibri"/>
                <w:b/>
                <w:bCs/>
                <w:color w:val="000000"/>
                <w:sz w:val="22"/>
                <w:szCs w:val="22"/>
                <w:lang w:val="en-IN" w:eastAsia="en-IN"/>
              </w:rPr>
            </w:pPr>
            <w:r w:rsidRPr="007E7131">
              <w:rPr>
                <w:rFonts w:ascii="Calibri" w:hAnsi="Calibri" w:cs="Calibri"/>
                <w:b/>
                <w:bCs/>
                <w:color w:val="000000"/>
                <w:sz w:val="22"/>
                <w:szCs w:val="22"/>
                <w:lang w:val="en-IN" w:eastAsia="en-IN"/>
              </w:rPr>
              <w:t>As on 31.03.2022</w:t>
            </w:r>
          </w:p>
        </w:tc>
        <w:tc>
          <w:tcPr>
            <w:tcW w:w="1305" w:type="dxa"/>
            <w:vMerge w:val="restart"/>
            <w:shd w:val="clear" w:color="auto" w:fill="95B3D7" w:themeFill="accent1" w:themeFillTint="99"/>
            <w:vAlign w:val="center"/>
            <w:hideMark/>
          </w:tcPr>
          <w:p w14:paraId="5609E199" w14:textId="77777777" w:rsidR="008C0C54" w:rsidRPr="007E7131" w:rsidRDefault="008C0C54" w:rsidP="008C0C54">
            <w:pPr>
              <w:jc w:val="center"/>
              <w:rPr>
                <w:rFonts w:ascii="Calibri" w:hAnsi="Calibri" w:cs="Calibri"/>
                <w:b/>
                <w:bCs/>
                <w:color w:val="000000"/>
                <w:sz w:val="22"/>
                <w:szCs w:val="22"/>
                <w:lang w:val="en-IN" w:eastAsia="en-IN"/>
              </w:rPr>
            </w:pPr>
            <w:r w:rsidRPr="007E7131">
              <w:rPr>
                <w:rFonts w:ascii="Calibri" w:hAnsi="Calibri" w:cs="Calibri"/>
                <w:b/>
                <w:bCs/>
                <w:color w:val="000000"/>
                <w:sz w:val="22"/>
                <w:szCs w:val="22"/>
                <w:lang w:val="en-IN" w:eastAsia="en-IN"/>
              </w:rPr>
              <w:t>As on 31.03.2023</w:t>
            </w:r>
          </w:p>
        </w:tc>
        <w:tc>
          <w:tcPr>
            <w:tcW w:w="1305" w:type="dxa"/>
            <w:vMerge w:val="restart"/>
            <w:shd w:val="clear" w:color="auto" w:fill="95B3D7" w:themeFill="accent1" w:themeFillTint="99"/>
            <w:vAlign w:val="center"/>
            <w:hideMark/>
          </w:tcPr>
          <w:p w14:paraId="542098CD" w14:textId="77777777" w:rsidR="008C0C54" w:rsidRPr="007E7131" w:rsidRDefault="008C0C54" w:rsidP="008C0C54">
            <w:pPr>
              <w:jc w:val="center"/>
              <w:rPr>
                <w:rFonts w:ascii="Calibri" w:hAnsi="Calibri" w:cs="Calibri"/>
                <w:b/>
                <w:bCs/>
                <w:color w:val="000000"/>
                <w:sz w:val="22"/>
                <w:szCs w:val="22"/>
                <w:lang w:val="en-IN" w:eastAsia="en-IN"/>
              </w:rPr>
            </w:pPr>
            <w:r w:rsidRPr="007E7131">
              <w:rPr>
                <w:rFonts w:ascii="Calibri" w:hAnsi="Calibri" w:cs="Calibri"/>
                <w:b/>
                <w:bCs/>
                <w:color w:val="000000"/>
                <w:sz w:val="22"/>
                <w:szCs w:val="22"/>
                <w:lang w:val="en-IN" w:eastAsia="en-IN"/>
              </w:rPr>
              <w:t>As on 31.03.2024</w:t>
            </w:r>
          </w:p>
        </w:tc>
        <w:tc>
          <w:tcPr>
            <w:tcW w:w="1305" w:type="dxa"/>
            <w:vMerge w:val="restart"/>
            <w:shd w:val="clear" w:color="auto" w:fill="95B3D7" w:themeFill="accent1" w:themeFillTint="99"/>
            <w:vAlign w:val="center"/>
            <w:hideMark/>
          </w:tcPr>
          <w:p w14:paraId="0192D1BC" w14:textId="77777777" w:rsidR="008C0C54" w:rsidRPr="007E7131" w:rsidRDefault="008C0C54" w:rsidP="008C0C54">
            <w:pPr>
              <w:jc w:val="center"/>
              <w:rPr>
                <w:rFonts w:ascii="Calibri" w:hAnsi="Calibri" w:cs="Calibri"/>
                <w:b/>
                <w:bCs/>
                <w:color w:val="000000"/>
                <w:sz w:val="22"/>
                <w:szCs w:val="22"/>
                <w:lang w:val="en-IN" w:eastAsia="en-IN"/>
              </w:rPr>
            </w:pPr>
            <w:r w:rsidRPr="007E7131">
              <w:rPr>
                <w:rFonts w:ascii="Calibri" w:hAnsi="Calibri" w:cs="Calibri"/>
                <w:b/>
                <w:bCs/>
                <w:color w:val="000000"/>
                <w:sz w:val="22"/>
                <w:szCs w:val="22"/>
                <w:lang w:val="en-IN" w:eastAsia="en-IN"/>
              </w:rPr>
              <w:t>As on 30.09.2024</w:t>
            </w:r>
          </w:p>
        </w:tc>
        <w:tc>
          <w:tcPr>
            <w:tcW w:w="1226" w:type="dxa"/>
            <w:shd w:val="clear" w:color="auto" w:fill="95B3D7" w:themeFill="accent1" w:themeFillTint="99"/>
            <w:vAlign w:val="center"/>
            <w:hideMark/>
          </w:tcPr>
          <w:p w14:paraId="7884C3EE" w14:textId="77777777" w:rsidR="008C0C54" w:rsidRPr="007E7131" w:rsidRDefault="008C0C54" w:rsidP="008C0C54">
            <w:pPr>
              <w:jc w:val="center"/>
              <w:rPr>
                <w:rFonts w:ascii="Calibri" w:hAnsi="Calibri" w:cs="Calibri"/>
                <w:b/>
                <w:bCs/>
                <w:color w:val="000000"/>
                <w:sz w:val="22"/>
                <w:szCs w:val="22"/>
                <w:lang w:val="en-IN" w:eastAsia="en-IN"/>
              </w:rPr>
            </w:pPr>
            <w:r w:rsidRPr="007E7131">
              <w:rPr>
                <w:rFonts w:ascii="Calibri" w:hAnsi="Calibri" w:cs="Calibri"/>
                <w:b/>
                <w:bCs/>
                <w:color w:val="000000"/>
                <w:sz w:val="22"/>
                <w:szCs w:val="22"/>
                <w:lang w:val="en-IN" w:eastAsia="en-IN"/>
              </w:rPr>
              <w:t xml:space="preserve">Growth (Nos.) </w:t>
            </w:r>
            <w:proofErr w:type="spellStart"/>
            <w:r w:rsidRPr="007E7131">
              <w:rPr>
                <w:rFonts w:ascii="Calibri" w:hAnsi="Calibri" w:cs="Calibri"/>
                <w:b/>
                <w:bCs/>
                <w:color w:val="000000"/>
                <w:sz w:val="22"/>
                <w:szCs w:val="22"/>
                <w:lang w:val="en-IN" w:eastAsia="en-IN"/>
              </w:rPr>
              <w:t>w.r.t.</w:t>
            </w:r>
            <w:proofErr w:type="spellEnd"/>
            <w:r>
              <w:rPr>
                <w:rFonts w:ascii="Calibri" w:hAnsi="Calibri" w:cs="Calibri"/>
                <w:b/>
                <w:bCs/>
                <w:color w:val="000000"/>
                <w:sz w:val="22"/>
                <w:szCs w:val="22"/>
                <w:lang w:val="en-IN" w:eastAsia="en-IN"/>
              </w:rPr>
              <w:t xml:space="preserve"> </w:t>
            </w:r>
            <w:r w:rsidRPr="007E7131">
              <w:rPr>
                <w:rFonts w:ascii="Calibri" w:hAnsi="Calibri" w:cs="Calibri"/>
                <w:b/>
                <w:bCs/>
                <w:color w:val="000000"/>
                <w:sz w:val="22"/>
                <w:szCs w:val="22"/>
                <w:lang w:val="en-IN" w:eastAsia="en-IN"/>
              </w:rPr>
              <w:t xml:space="preserve">Pre-Vesting </w:t>
            </w:r>
          </w:p>
        </w:tc>
        <w:tc>
          <w:tcPr>
            <w:tcW w:w="1641" w:type="dxa"/>
            <w:shd w:val="clear" w:color="auto" w:fill="95B3D7" w:themeFill="accent1" w:themeFillTint="99"/>
            <w:vAlign w:val="center"/>
            <w:hideMark/>
          </w:tcPr>
          <w:p w14:paraId="185D68DE" w14:textId="77777777" w:rsidR="008C0C54" w:rsidRPr="007E7131" w:rsidRDefault="008C0C54" w:rsidP="008C0C54">
            <w:pPr>
              <w:jc w:val="center"/>
              <w:rPr>
                <w:rFonts w:ascii="Calibri" w:hAnsi="Calibri" w:cs="Calibri"/>
                <w:b/>
                <w:bCs/>
                <w:color w:val="000000"/>
                <w:sz w:val="22"/>
                <w:szCs w:val="22"/>
                <w:lang w:val="en-IN" w:eastAsia="en-IN"/>
              </w:rPr>
            </w:pPr>
            <w:r w:rsidRPr="007E7131">
              <w:rPr>
                <w:rFonts w:ascii="Calibri" w:hAnsi="Calibri" w:cs="Calibri"/>
                <w:b/>
                <w:bCs/>
                <w:color w:val="000000"/>
                <w:sz w:val="22"/>
                <w:szCs w:val="22"/>
                <w:lang w:val="en-IN" w:eastAsia="en-IN"/>
              </w:rPr>
              <w:t>Growth (%)</w:t>
            </w:r>
            <w:r w:rsidRPr="007E7131">
              <w:rPr>
                <w:rFonts w:ascii="Calibri" w:hAnsi="Calibri" w:cs="Calibri"/>
                <w:b/>
                <w:bCs/>
                <w:color w:val="000000"/>
                <w:sz w:val="22"/>
                <w:szCs w:val="22"/>
                <w:lang w:val="en-IN" w:eastAsia="en-IN"/>
              </w:rPr>
              <w:br/>
            </w:r>
            <w:proofErr w:type="spellStart"/>
            <w:r w:rsidRPr="007E7131">
              <w:rPr>
                <w:rFonts w:ascii="Calibri" w:hAnsi="Calibri" w:cs="Calibri"/>
                <w:b/>
                <w:bCs/>
                <w:color w:val="000000"/>
                <w:sz w:val="22"/>
                <w:szCs w:val="22"/>
                <w:lang w:val="en-IN" w:eastAsia="en-IN"/>
              </w:rPr>
              <w:t>w.r.t.</w:t>
            </w:r>
            <w:proofErr w:type="spellEnd"/>
            <w:r w:rsidRPr="007E7131">
              <w:rPr>
                <w:rFonts w:ascii="Calibri" w:hAnsi="Calibri" w:cs="Calibri"/>
                <w:b/>
                <w:bCs/>
                <w:color w:val="000000"/>
                <w:sz w:val="22"/>
                <w:szCs w:val="22"/>
                <w:lang w:val="en-IN" w:eastAsia="en-IN"/>
              </w:rPr>
              <w:t xml:space="preserve"> Pre-Vesting</w:t>
            </w:r>
          </w:p>
        </w:tc>
      </w:tr>
      <w:tr w:rsidR="008C0C54" w:rsidRPr="007E7131" w14:paraId="7DEB840B" w14:textId="77777777" w:rsidTr="000E1556">
        <w:trPr>
          <w:trHeight w:val="569"/>
        </w:trPr>
        <w:tc>
          <w:tcPr>
            <w:tcW w:w="1440" w:type="dxa"/>
            <w:vMerge/>
            <w:vAlign w:val="center"/>
            <w:hideMark/>
          </w:tcPr>
          <w:p w14:paraId="7C7F9F9F" w14:textId="77777777" w:rsidR="008C0C54" w:rsidRPr="007E7131" w:rsidRDefault="008C0C54" w:rsidP="008C0C54">
            <w:pPr>
              <w:rPr>
                <w:rFonts w:ascii="Calibri" w:hAnsi="Calibri" w:cs="Calibri"/>
                <w:b/>
                <w:bCs/>
                <w:color w:val="000000"/>
                <w:sz w:val="22"/>
                <w:szCs w:val="22"/>
                <w:lang w:val="en-IN" w:eastAsia="en-IN"/>
              </w:rPr>
            </w:pPr>
          </w:p>
        </w:tc>
        <w:tc>
          <w:tcPr>
            <w:tcW w:w="1305" w:type="dxa"/>
            <w:vMerge/>
            <w:vAlign w:val="center"/>
            <w:hideMark/>
          </w:tcPr>
          <w:p w14:paraId="471B93F7" w14:textId="77777777" w:rsidR="008C0C54" w:rsidRPr="007E7131" w:rsidRDefault="008C0C54" w:rsidP="008C0C54">
            <w:pPr>
              <w:rPr>
                <w:rFonts w:ascii="Calibri" w:hAnsi="Calibri" w:cs="Calibri"/>
                <w:b/>
                <w:bCs/>
                <w:color w:val="000000"/>
                <w:sz w:val="22"/>
                <w:szCs w:val="22"/>
                <w:lang w:val="en-IN" w:eastAsia="en-IN"/>
              </w:rPr>
            </w:pPr>
          </w:p>
        </w:tc>
        <w:tc>
          <w:tcPr>
            <w:tcW w:w="1305" w:type="dxa"/>
            <w:vMerge/>
            <w:vAlign w:val="center"/>
            <w:hideMark/>
          </w:tcPr>
          <w:p w14:paraId="080858A7" w14:textId="77777777" w:rsidR="008C0C54" w:rsidRPr="007E7131" w:rsidRDefault="008C0C54" w:rsidP="008C0C54">
            <w:pPr>
              <w:rPr>
                <w:rFonts w:ascii="Calibri" w:hAnsi="Calibri" w:cs="Calibri"/>
                <w:b/>
                <w:bCs/>
                <w:color w:val="000000"/>
                <w:sz w:val="22"/>
                <w:szCs w:val="22"/>
                <w:lang w:val="en-IN" w:eastAsia="en-IN"/>
              </w:rPr>
            </w:pPr>
          </w:p>
        </w:tc>
        <w:tc>
          <w:tcPr>
            <w:tcW w:w="1305" w:type="dxa"/>
            <w:vMerge/>
            <w:vAlign w:val="center"/>
            <w:hideMark/>
          </w:tcPr>
          <w:p w14:paraId="433DC40D" w14:textId="77777777" w:rsidR="008C0C54" w:rsidRPr="007E7131" w:rsidRDefault="008C0C54" w:rsidP="008C0C54">
            <w:pPr>
              <w:rPr>
                <w:rFonts w:ascii="Calibri" w:hAnsi="Calibri" w:cs="Calibri"/>
                <w:b/>
                <w:bCs/>
                <w:color w:val="000000"/>
                <w:sz w:val="22"/>
                <w:szCs w:val="22"/>
                <w:lang w:val="en-IN" w:eastAsia="en-IN"/>
              </w:rPr>
            </w:pPr>
          </w:p>
        </w:tc>
        <w:tc>
          <w:tcPr>
            <w:tcW w:w="1305" w:type="dxa"/>
            <w:vMerge/>
            <w:vAlign w:val="center"/>
            <w:hideMark/>
          </w:tcPr>
          <w:p w14:paraId="33970835" w14:textId="77777777" w:rsidR="008C0C54" w:rsidRPr="007E7131" w:rsidRDefault="008C0C54" w:rsidP="008C0C54">
            <w:pPr>
              <w:rPr>
                <w:rFonts w:ascii="Calibri" w:hAnsi="Calibri" w:cs="Calibri"/>
                <w:b/>
                <w:bCs/>
                <w:color w:val="000000"/>
                <w:sz w:val="22"/>
                <w:szCs w:val="22"/>
                <w:lang w:val="en-IN" w:eastAsia="en-IN"/>
              </w:rPr>
            </w:pPr>
          </w:p>
        </w:tc>
        <w:tc>
          <w:tcPr>
            <w:tcW w:w="1305" w:type="dxa"/>
            <w:vMerge/>
            <w:vAlign w:val="center"/>
            <w:hideMark/>
          </w:tcPr>
          <w:p w14:paraId="442298CB" w14:textId="77777777" w:rsidR="008C0C54" w:rsidRPr="007E7131" w:rsidRDefault="008C0C54" w:rsidP="008C0C54">
            <w:pPr>
              <w:rPr>
                <w:rFonts w:ascii="Calibri" w:hAnsi="Calibri" w:cs="Calibri"/>
                <w:b/>
                <w:bCs/>
                <w:color w:val="000000"/>
                <w:sz w:val="22"/>
                <w:szCs w:val="22"/>
                <w:lang w:val="en-IN" w:eastAsia="en-IN"/>
              </w:rPr>
            </w:pPr>
          </w:p>
        </w:tc>
        <w:tc>
          <w:tcPr>
            <w:tcW w:w="1226" w:type="dxa"/>
            <w:shd w:val="clear" w:color="auto" w:fill="95B3D7" w:themeFill="accent1" w:themeFillTint="99"/>
            <w:vAlign w:val="center"/>
            <w:hideMark/>
          </w:tcPr>
          <w:p w14:paraId="7E4C7EC8" w14:textId="77777777" w:rsidR="008C0C54" w:rsidRPr="007E7131" w:rsidRDefault="008C0C54" w:rsidP="008C0C54">
            <w:pPr>
              <w:jc w:val="center"/>
              <w:rPr>
                <w:rFonts w:ascii="Calibri" w:hAnsi="Calibri" w:cs="Calibri"/>
                <w:b/>
                <w:bCs/>
                <w:color w:val="000000"/>
                <w:sz w:val="22"/>
                <w:szCs w:val="22"/>
                <w:lang w:val="en-IN" w:eastAsia="en-IN"/>
              </w:rPr>
            </w:pPr>
            <w:r w:rsidRPr="007E7131">
              <w:rPr>
                <w:rFonts w:ascii="Calibri" w:hAnsi="Calibri" w:cs="Calibri"/>
                <w:b/>
                <w:bCs/>
                <w:color w:val="000000"/>
                <w:sz w:val="22"/>
                <w:szCs w:val="22"/>
                <w:lang w:val="en-IN" w:eastAsia="en-IN"/>
              </w:rPr>
              <w:t>As on 30.09.2024</w:t>
            </w:r>
          </w:p>
        </w:tc>
        <w:tc>
          <w:tcPr>
            <w:tcW w:w="1641" w:type="dxa"/>
            <w:shd w:val="clear" w:color="auto" w:fill="95B3D7" w:themeFill="accent1" w:themeFillTint="99"/>
            <w:vAlign w:val="center"/>
            <w:hideMark/>
          </w:tcPr>
          <w:p w14:paraId="57A8B318" w14:textId="77777777" w:rsidR="008C0C54" w:rsidRPr="007E7131" w:rsidRDefault="008C0C54" w:rsidP="008C0C54">
            <w:pPr>
              <w:jc w:val="center"/>
              <w:rPr>
                <w:rFonts w:ascii="Calibri" w:hAnsi="Calibri" w:cs="Calibri"/>
                <w:b/>
                <w:bCs/>
                <w:color w:val="000000"/>
                <w:sz w:val="22"/>
                <w:szCs w:val="22"/>
                <w:lang w:val="en-IN" w:eastAsia="en-IN"/>
              </w:rPr>
            </w:pPr>
            <w:r w:rsidRPr="007E7131">
              <w:rPr>
                <w:rFonts w:ascii="Calibri" w:hAnsi="Calibri" w:cs="Calibri"/>
                <w:b/>
                <w:bCs/>
                <w:color w:val="000000"/>
                <w:sz w:val="22"/>
                <w:szCs w:val="22"/>
                <w:lang w:val="en-IN" w:eastAsia="en-IN"/>
              </w:rPr>
              <w:t>As on 30.09.2024</w:t>
            </w:r>
          </w:p>
        </w:tc>
      </w:tr>
      <w:tr w:rsidR="008C0C54" w:rsidRPr="007E7131" w14:paraId="6E9E9B45" w14:textId="77777777" w:rsidTr="000E1556">
        <w:trPr>
          <w:trHeight w:val="284"/>
        </w:trPr>
        <w:tc>
          <w:tcPr>
            <w:tcW w:w="1440" w:type="dxa"/>
            <w:shd w:val="clear" w:color="auto" w:fill="auto"/>
            <w:vAlign w:val="center"/>
            <w:hideMark/>
          </w:tcPr>
          <w:p w14:paraId="4F35A284" w14:textId="77777777" w:rsidR="008C0C54" w:rsidRPr="007E7131" w:rsidRDefault="008C0C54" w:rsidP="008C0C54">
            <w:pPr>
              <w:rPr>
                <w:rFonts w:ascii="Calibri" w:hAnsi="Calibri" w:cs="Calibri"/>
                <w:b/>
                <w:bCs/>
                <w:color w:val="000000"/>
                <w:sz w:val="22"/>
                <w:szCs w:val="22"/>
                <w:lang w:val="en-IN" w:eastAsia="en-IN"/>
              </w:rPr>
            </w:pPr>
            <w:r w:rsidRPr="007E7131">
              <w:rPr>
                <w:rFonts w:ascii="Calibri" w:hAnsi="Calibri" w:cs="Calibri"/>
                <w:b/>
                <w:bCs/>
                <w:color w:val="000000"/>
                <w:sz w:val="22"/>
                <w:szCs w:val="22"/>
                <w:lang w:val="en-IN" w:eastAsia="en-IN"/>
              </w:rPr>
              <w:t>33KV Line (CKT Km.)</w:t>
            </w:r>
          </w:p>
        </w:tc>
        <w:tc>
          <w:tcPr>
            <w:tcW w:w="1305" w:type="dxa"/>
            <w:shd w:val="clear" w:color="auto" w:fill="auto"/>
            <w:vAlign w:val="center"/>
            <w:hideMark/>
          </w:tcPr>
          <w:p w14:paraId="57A879FE" w14:textId="77777777" w:rsidR="008C0C54" w:rsidRPr="007E7131" w:rsidRDefault="008C0C54" w:rsidP="008C0C54">
            <w:pPr>
              <w:jc w:val="center"/>
              <w:rPr>
                <w:rFonts w:ascii="Calibri" w:hAnsi="Calibri" w:cs="Calibri"/>
                <w:color w:val="000000"/>
                <w:sz w:val="22"/>
                <w:szCs w:val="22"/>
                <w:lang w:val="en-IN" w:eastAsia="en-IN"/>
              </w:rPr>
            </w:pPr>
            <w:r w:rsidRPr="007E7131">
              <w:rPr>
                <w:rFonts w:ascii="Calibri" w:hAnsi="Calibri" w:cs="Calibri"/>
                <w:color w:val="000000"/>
                <w:sz w:val="22"/>
                <w:szCs w:val="22"/>
                <w:lang w:val="en-IN" w:eastAsia="en-IN"/>
              </w:rPr>
              <w:t>2,868</w:t>
            </w:r>
          </w:p>
        </w:tc>
        <w:tc>
          <w:tcPr>
            <w:tcW w:w="1305" w:type="dxa"/>
            <w:shd w:val="clear" w:color="auto" w:fill="auto"/>
            <w:vAlign w:val="center"/>
            <w:hideMark/>
          </w:tcPr>
          <w:p w14:paraId="755CEF85" w14:textId="77777777" w:rsidR="008C0C54" w:rsidRPr="007E7131" w:rsidRDefault="008C0C54" w:rsidP="008C0C54">
            <w:pPr>
              <w:jc w:val="center"/>
              <w:rPr>
                <w:rFonts w:ascii="Calibri" w:hAnsi="Calibri" w:cs="Calibri"/>
                <w:color w:val="000000"/>
                <w:sz w:val="22"/>
                <w:szCs w:val="22"/>
                <w:lang w:val="en-IN" w:eastAsia="en-IN"/>
              </w:rPr>
            </w:pPr>
            <w:r w:rsidRPr="007E7131">
              <w:rPr>
                <w:rFonts w:ascii="Calibri" w:hAnsi="Calibri" w:cs="Calibri"/>
                <w:color w:val="000000"/>
                <w:sz w:val="22"/>
                <w:szCs w:val="22"/>
                <w:lang w:val="en-IN" w:eastAsia="en-IN"/>
              </w:rPr>
              <w:t>2,895</w:t>
            </w:r>
          </w:p>
        </w:tc>
        <w:tc>
          <w:tcPr>
            <w:tcW w:w="1305" w:type="dxa"/>
            <w:shd w:val="clear" w:color="auto" w:fill="auto"/>
            <w:vAlign w:val="center"/>
            <w:hideMark/>
          </w:tcPr>
          <w:p w14:paraId="095DB0E3" w14:textId="77777777" w:rsidR="008C0C54" w:rsidRPr="007E7131" w:rsidRDefault="008C0C54" w:rsidP="008C0C54">
            <w:pPr>
              <w:jc w:val="center"/>
              <w:rPr>
                <w:rFonts w:ascii="Calibri" w:hAnsi="Calibri" w:cs="Calibri"/>
                <w:color w:val="000000"/>
                <w:sz w:val="22"/>
                <w:szCs w:val="22"/>
                <w:lang w:val="en-IN" w:eastAsia="en-IN"/>
              </w:rPr>
            </w:pPr>
            <w:r w:rsidRPr="007E7131">
              <w:rPr>
                <w:rFonts w:ascii="Calibri" w:hAnsi="Calibri" w:cs="Calibri"/>
                <w:color w:val="000000"/>
                <w:sz w:val="22"/>
                <w:szCs w:val="22"/>
                <w:lang w:val="en-IN" w:eastAsia="en-IN"/>
              </w:rPr>
              <w:t>3,024</w:t>
            </w:r>
          </w:p>
        </w:tc>
        <w:tc>
          <w:tcPr>
            <w:tcW w:w="1305" w:type="dxa"/>
            <w:shd w:val="clear" w:color="auto" w:fill="auto"/>
            <w:vAlign w:val="center"/>
            <w:hideMark/>
          </w:tcPr>
          <w:p w14:paraId="6A57B9C5" w14:textId="77777777" w:rsidR="008C0C54" w:rsidRPr="007E7131" w:rsidRDefault="008C0C54" w:rsidP="008C0C54">
            <w:pPr>
              <w:jc w:val="center"/>
              <w:rPr>
                <w:rFonts w:ascii="Calibri" w:hAnsi="Calibri" w:cs="Calibri"/>
                <w:color w:val="000000"/>
                <w:sz w:val="22"/>
                <w:szCs w:val="22"/>
                <w:lang w:val="en-IN" w:eastAsia="en-IN"/>
              </w:rPr>
            </w:pPr>
            <w:r w:rsidRPr="007E7131">
              <w:rPr>
                <w:rFonts w:ascii="Calibri" w:hAnsi="Calibri" w:cs="Calibri"/>
                <w:color w:val="000000"/>
                <w:sz w:val="22"/>
                <w:szCs w:val="22"/>
                <w:lang w:val="en-IN" w:eastAsia="en-IN"/>
              </w:rPr>
              <w:t>3,226</w:t>
            </w:r>
          </w:p>
        </w:tc>
        <w:tc>
          <w:tcPr>
            <w:tcW w:w="1305" w:type="dxa"/>
            <w:shd w:val="clear" w:color="auto" w:fill="FFFFFF" w:themeFill="background1"/>
            <w:vAlign w:val="center"/>
            <w:hideMark/>
          </w:tcPr>
          <w:p w14:paraId="427EBB71" w14:textId="77777777" w:rsidR="008C0C54" w:rsidRPr="007E7131" w:rsidRDefault="008C0C54" w:rsidP="008C0C54">
            <w:pPr>
              <w:jc w:val="center"/>
              <w:rPr>
                <w:rFonts w:ascii="Calibri" w:hAnsi="Calibri" w:cs="Calibri"/>
                <w:color w:val="000000"/>
                <w:sz w:val="22"/>
                <w:szCs w:val="22"/>
                <w:lang w:val="en-IN" w:eastAsia="en-IN"/>
              </w:rPr>
            </w:pPr>
            <w:r>
              <w:rPr>
                <w:rFonts w:ascii="Calibri" w:hAnsi="Calibri" w:cs="Calibri"/>
                <w:color w:val="000000"/>
                <w:sz w:val="22"/>
                <w:szCs w:val="22"/>
              </w:rPr>
              <w:t>3,494</w:t>
            </w:r>
          </w:p>
        </w:tc>
        <w:tc>
          <w:tcPr>
            <w:tcW w:w="1226" w:type="dxa"/>
            <w:shd w:val="clear" w:color="auto" w:fill="FFFFFF" w:themeFill="background1"/>
            <w:vAlign w:val="center"/>
            <w:hideMark/>
          </w:tcPr>
          <w:p w14:paraId="12E9C814" w14:textId="77777777" w:rsidR="008C0C54" w:rsidRPr="007E7131" w:rsidRDefault="008C0C54" w:rsidP="008C0C54">
            <w:pPr>
              <w:jc w:val="center"/>
              <w:rPr>
                <w:rFonts w:ascii="Calibri" w:hAnsi="Calibri" w:cs="Calibri"/>
                <w:color w:val="000000"/>
                <w:sz w:val="22"/>
                <w:szCs w:val="22"/>
                <w:lang w:val="en-IN" w:eastAsia="en-IN"/>
              </w:rPr>
            </w:pPr>
            <w:r>
              <w:rPr>
                <w:rFonts w:ascii="Calibri" w:hAnsi="Calibri" w:cs="Calibri"/>
                <w:color w:val="000000"/>
                <w:sz w:val="22"/>
                <w:szCs w:val="22"/>
              </w:rPr>
              <w:t>626</w:t>
            </w:r>
          </w:p>
        </w:tc>
        <w:tc>
          <w:tcPr>
            <w:tcW w:w="1641" w:type="dxa"/>
            <w:shd w:val="clear" w:color="auto" w:fill="auto"/>
            <w:vAlign w:val="center"/>
            <w:hideMark/>
          </w:tcPr>
          <w:p w14:paraId="2DAD5B91" w14:textId="77777777" w:rsidR="008C0C54" w:rsidRPr="007E7131" w:rsidRDefault="008C0C54" w:rsidP="008C0C54">
            <w:pPr>
              <w:jc w:val="center"/>
              <w:rPr>
                <w:rFonts w:ascii="Calibri" w:hAnsi="Calibri" w:cs="Calibri"/>
                <w:b/>
                <w:bCs/>
                <w:color w:val="000000"/>
                <w:sz w:val="22"/>
                <w:szCs w:val="22"/>
                <w:lang w:val="en-IN" w:eastAsia="en-IN"/>
              </w:rPr>
            </w:pPr>
            <w:r>
              <w:rPr>
                <w:rFonts w:ascii="Calibri" w:hAnsi="Calibri" w:cs="Calibri"/>
                <w:b/>
                <w:bCs/>
                <w:color w:val="000000"/>
                <w:sz w:val="22"/>
                <w:szCs w:val="22"/>
              </w:rPr>
              <w:t>21.83%</w:t>
            </w:r>
          </w:p>
        </w:tc>
      </w:tr>
      <w:tr w:rsidR="008C0C54" w14:paraId="0A735E42" w14:textId="77777777" w:rsidTr="000E1556">
        <w:trPr>
          <w:trHeight w:val="300"/>
        </w:trPr>
        <w:tc>
          <w:tcPr>
            <w:tcW w:w="1440" w:type="dxa"/>
            <w:shd w:val="clear" w:color="auto" w:fill="auto"/>
            <w:vAlign w:val="center"/>
            <w:hideMark/>
          </w:tcPr>
          <w:p w14:paraId="55B79EDA" w14:textId="77777777" w:rsidR="008C0C54" w:rsidRPr="000E1556" w:rsidRDefault="008C0C54" w:rsidP="008C0C54">
            <w:pPr>
              <w:rPr>
                <w:rFonts w:ascii="Calibri" w:hAnsi="Calibri" w:cs="Calibri"/>
                <w:b/>
                <w:bCs/>
                <w:color w:val="000000" w:themeColor="text1"/>
                <w:sz w:val="22"/>
                <w:szCs w:val="22"/>
                <w:lang w:val="en-IN" w:eastAsia="en-IN"/>
              </w:rPr>
            </w:pPr>
            <w:r w:rsidRPr="000E1556">
              <w:rPr>
                <w:rFonts w:ascii="Calibri" w:hAnsi="Calibri" w:cs="Calibri"/>
                <w:b/>
                <w:bCs/>
                <w:color w:val="000000" w:themeColor="text1"/>
                <w:sz w:val="22"/>
                <w:szCs w:val="22"/>
                <w:lang w:val="en-IN" w:eastAsia="en-IN"/>
              </w:rPr>
              <w:t>UG Details</w:t>
            </w:r>
          </w:p>
        </w:tc>
        <w:tc>
          <w:tcPr>
            <w:tcW w:w="1305" w:type="dxa"/>
            <w:shd w:val="clear" w:color="auto" w:fill="auto"/>
            <w:vAlign w:val="center"/>
            <w:hideMark/>
          </w:tcPr>
          <w:p w14:paraId="0055E38C" w14:textId="77777777" w:rsidR="008C0C54" w:rsidRDefault="008C0C54" w:rsidP="008C0C54">
            <w:pPr>
              <w:jc w:val="center"/>
            </w:pPr>
            <w:r w:rsidRPr="0E3E11BB">
              <w:rPr>
                <w:color w:val="000000" w:themeColor="text1"/>
                <w:sz w:val="20"/>
                <w:szCs w:val="20"/>
              </w:rPr>
              <w:t>23.26</w:t>
            </w:r>
          </w:p>
        </w:tc>
        <w:tc>
          <w:tcPr>
            <w:tcW w:w="1305" w:type="dxa"/>
            <w:shd w:val="clear" w:color="auto" w:fill="auto"/>
            <w:vAlign w:val="center"/>
            <w:hideMark/>
          </w:tcPr>
          <w:p w14:paraId="7A0716DF" w14:textId="77777777" w:rsidR="008C0C54" w:rsidRDefault="008C0C54" w:rsidP="008C0C54">
            <w:pPr>
              <w:jc w:val="center"/>
            </w:pPr>
            <w:r w:rsidRPr="0E3E11BB">
              <w:rPr>
                <w:color w:val="000000" w:themeColor="text1"/>
                <w:sz w:val="20"/>
                <w:szCs w:val="20"/>
              </w:rPr>
              <w:t>24.26</w:t>
            </w:r>
          </w:p>
        </w:tc>
        <w:tc>
          <w:tcPr>
            <w:tcW w:w="1305" w:type="dxa"/>
            <w:shd w:val="clear" w:color="auto" w:fill="auto"/>
            <w:vAlign w:val="center"/>
            <w:hideMark/>
          </w:tcPr>
          <w:p w14:paraId="7D055EDF" w14:textId="77777777" w:rsidR="008C0C54" w:rsidRDefault="008C0C54" w:rsidP="008C0C54">
            <w:pPr>
              <w:jc w:val="center"/>
            </w:pPr>
            <w:r w:rsidRPr="0E3E11BB">
              <w:rPr>
                <w:color w:val="000000" w:themeColor="text1"/>
                <w:sz w:val="20"/>
                <w:szCs w:val="20"/>
              </w:rPr>
              <w:t>24.26</w:t>
            </w:r>
          </w:p>
        </w:tc>
        <w:tc>
          <w:tcPr>
            <w:tcW w:w="1305" w:type="dxa"/>
            <w:shd w:val="clear" w:color="auto" w:fill="auto"/>
            <w:vAlign w:val="center"/>
            <w:hideMark/>
          </w:tcPr>
          <w:p w14:paraId="521594F6" w14:textId="77777777" w:rsidR="008C0C54" w:rsidRDefault="008C0C54" w:rsidP="008C0C54">
            <w:pPr>
              <w:jc w:val="center"/>
            </w:pPr>
            <w:r w:rsidRPr="0E3E11BB">
              <w:rPr>
                <w:color w:val="000000" w:themeColor="text1"/>
                <w:sz w:val="20"/>
                <w:szCs w:val="20"/>
              </w:rPr>
              <w:t>29.26</w:t>
            </w:r>
          </w:p>
        </w:tc>
        <w:tc>
          <w:tcPr>
            <w:tcW w:w="1305" w:type="dxa"/>
            <w:shd w:val="clear" w:color="auto" w:fill="FFFFFF" w:themeFill="background1"/>
            <w:vAlign w:val="center"/>
            <w:hideMark/>
          </w:tcPr>
          <w:p w14:paraId="21007643" w14:textId="77777777" w:rsidR="008C0C54" w:rsidRDefault="008C0C54" w:rsidP="008C0C54">
            <w:pPr>
              <w:jc w:val="center"/>
            </w:pPr>
            <w:r w:rsidRPr="0E3E11BB">
              <w:rPr>
                <w:color w:val="000000" w:themeColor="text1"/>
                <w:sz w:val="20"/>
                <w:szCs w:val="20"/>
              </w:rPr>
              <w:t>37.97</w:t>
            </w:r>
          </w:p>
        </w:tc>
        <w:tc>
          <w:tcPr>
            <w:tcW w:w="1226" w:type="dxa"/>
            <w:shd w:val="clear" w:color="auto" w:fill="FFFFFF" w:themeFill="background1"/>
            <w:vAlign w:val="center"/>
            <w:hideMark/>
          </w:tcPr>
          <w:p w14:paraId="29C5BA77" w14:textId="77777777" w:rsidR="008C0C54" w:rsidRDefault="008C0C54" w:rsidP="008C0C54">
            <w:pPr>
              <w:jc w:val="center"/>
            </w:pPr>
            <w:r w:rsidRPr="0E3E11BB">
              <w:rPr>
                <w:color w:val="000000" w:themeColor="text1"/>
                <w:sz w:val="20"/>
                <w:szCs w:val="20"/>
              </w:rPr>
              <w:t>14.71</w:t>
            </w:r>
          </w:p>
        </w:tc>
        <w:tc>
          <w:tcPr>
            <w:tcW w:w="1641" w:type="dxa"/>
            <w:shd w:val="clear" w:color="auto" w:fill="auto"/>
            <w:vAlign w:val="center"/>
            <w:hideMark/>
          </w:tcPr>
          <w:p w14:paraId="218F1DB5" w14:textId="77777777" w:rsidR="008C0C54" w:rsidRDefault="008C0C54" w:rsidP="008C0C54">
            <w:pPr>
              <w:jc w:val="center"/>
            </w:pPr>
            <w:r w:rsidRPr="0E3E11BB">
              <w:rPr>
                <w:color w:val="000000" w:themeColor="text1"/>
                <w:sz w:val="20"/>
                <w:szCs w:val="20"/>
              </w:rPr>
              <w:t>63.24%</w:t>
            </w:r>
          </w:p>
        </w:tc>
      </w:tr>
      <w:tr w:rsidR="008C0C54" w:rsidRPr="007E7131" w14:paraId="58794686" w14:textId="77777777" w:rsidTr="000E1556">
        <w:trPr>
          <w:trHeight w:val="284"/>
        </w:trPr>
        <w:tc>
          <w:tcPr>
            <w:tcW w:w="1440" w:type="dxa"/>
            <w:shd w:val="clear" w:color="auto" w:fill="auto"/>
            <w:vAlign w:val="center"/>
            <w:hideMark/>
          </w:tcPr>
          <w:p w14:paraId="06F3B19E" w14:textId="77777777" w:rsidR="008C0C54" w:rsidRPr="000E1556" w:rsidRDefault="008C0C54" w:rsidP="008C0C54">
            <w:pPr>
              <w:rPr>
                <w:rFonts w:ascii="Calibri" w:hAnsi="Calibri" w:cs="Calibri"/>
                <w:b/>
                <w:bCs/>
                <w:color w:val="000000"/>
                <w:sz w:val="22"/>
                <w:szCs w:val="22"/>
                <w:lang w:val="en-IN" w:eastAsia="en-IN"/>
              </w:rPr>
            </w:pPr>
            <w:r w:rsidRPr="000E1556">
              <w:rPr>
                <w:rFonts w:ascii="Calibri" w:hAnsi="Calibri" w:cs="Calibri"/>
                <w:b/>
                <w:bCs/>
                <w:color w:val="000000"/>
                <w:sz w:val="22"/>
                <w:szCs w:val="22"/>
                <w:lang w:val="en-IN" w:eastAsia="en-IN"/>
              </w:rPr>
              <w:t>11KV Line (CKT Km.)</w:t>
            </w:r>
          </w:p>
        </w:tc>
        <w:tc>
          <w:tcPr>
            <w:tcW w:w="1305" w:type="dxa"/>
            <w:shd w:val="clear" w:color="auto" w:fill="auto"/>
            <w:vAlign w:val="center"/>
            <w:hideMark/>
          </w:tcPr>
          <w:p w14:paraId="4DF1B13F" w14:textId="77777777" w:rsidR="008C0C54" w:rsidRPr="007E7131" w:rsidRDefault="008C0C54" w:rsidP="008C0C54">
            <w:pPr>
              <w:jc w:val="center"/>
              <w:rPr>
                <w:rFonts w:ascii="Calibri" w:hAnsi="Calibri" w:cs="Calibri"/>
                <w:color w:val="000000"/>
                <w:sz w:val="22"/>
                <w:szCs w:val="22"/>
                <w:lang w:val="en-IN" w:eastAsia="en-IN"/>
              </w:rPr>
            </w:pPr>
            <w:r w:rsidRPr="007E7131">
              <w:rPr>
                <w:rFonts w:ascii="Calibri" w:hAnsi="Calibri" w:cs="Calibri"/>
                <w:color w:val="000000"/>
                <w:sz w:val="22"/>
                <w:szCs w:val="22"/>
                <w:lang w:val="en-IN" w:eastAsia="en-IN"/>
              </w:rPr>
              <w:t>37,069</w:t>
            </w:r>
          </w:p>
        </w:tc>
        <w:tc>
          <w:tcPr>
            <w:tcW w:w="1305" w:type="dxa"/>
            <w:shd w:val="clear" w:color="auto" w:fill="auto"/>
            <w:vAlign w:val="center"/>
            <w:hideMark/>
          </w:tcPr>
          <w:p w14:paraId="4C29963A" w14:textId="77777777" w:rsidR="008C0C54" w:rsidRPr="007E7131" w:rsidRDefault="008C0C54" w:rsidP="008C0C54">
            <w:pPr>
              <w:jc w:val="center"/>
              <w:rPr>
                <w:rFonts w:ascii="Calibri" w:hAnsi="Calibri" w:cs="Calibri"/>
                <w:color w:val="000000"/>
                <w:sz w:val="22"/>
                <w:szCs w:val="22"/>
                <w:lang w:val="en-IN" w:eastAsia="en-IN"/>
              </w:rPr>
            </w:pPr>
            <w:r w:rsidRPr="007E7131">
              <w:rPr>
                <w:rFonts w:ascii="Calibri" w:hAnsi="Calibri" w:cs="Calibri"/>
                <w:color w:val="000000"/>
                <w:sz w:val="22"/>
                <w:szCs w:val="22"/>
                <w:lang w:val="en-IN" w:eastAsia="en-IN"/>
              </w:rPr>
              <w:t>37,591</w:t>
            </w:r>
          </w:p>
        </w:tc>
        <w:tc>
          <w:tcPr>
            <w:tcW w:w="1305" w:type="dxa"/>
            <w:shd w:val="clear" w:color="auto" w:fill="auto"/>
            <w:vAlign w:val="center"/>
            <w:hideMark/>
          </w:tcPr>
          <w:p w14:paraId="72750ED3" w14:textId="77777777" w:rsidR="008C0C54" w:rsidRPr="007E7131" w:rsidRDefault="008C0C54" w:rsidP="008C0C54">
            <w:pPr>
              <w:jc w:val="center"/>
              <w:rPr>
                <w:rFonts w:ascii="Calibri" w:hAnsi="Calibri" w:cs="Calibri"/>
                <w:color w:val="000000"/>
                <w:sz w:val="22"/>
                <w:szCs w:val="22"/>
                <w:lang w:val="en-IN" w:eastAsia="en-IN"/>
              </w:rPr>
            </w:pPr>
            <w:r w:rsidRPr="007E7131">
              <w:rPr>
                <w:rFonts w:ascii="Calibri" w:hAnsi="Calibri" w:cs="Calibri"/>
                <w:color w:val="000000"/>
                <w:sz w:val="22"/>
                <w:szCs w:val="22"/>
                <w:lang w:val="en-IN" w:eastAsia="en-IN"/>
              </w:rPr>
              <w:t>40,188</w:t>
            </w:r>
          </w:p>
        </w:tc>
        <w:tc>
          <w:tcPr>
            <w:tcW w:w="1305" w:type="dxa"/>
            <w:shd w:val="clear" w:color="auto" w:fill="auto"/>
            <w:vAlign w:val="center"/>
            <w:hideMark/>
          </w:tcPr>
          <w:p w14:paraId="0FC6BA1A" w14:textId="77777777" w:rsidR="008C0C54" w:rsidRPr="007E7131" w:rsidRDefault="008C0C54" w:rsidP="008C0C54">
            <w:pPr>
              <w:jc w:val="center"/>
              <w:rPr>
                <w:rFonts w:ascii="Calibri" w:hAnsi="Calibri" w:cs="Calibri"/>
                <w:color w:val="000000"/>
                <w:sz w:val="22"/>
                <w:szCs w:val="22"/>
                <w:lang w:val="en-IN" w:eastAsia="en-IN"/>
              </w:rPr>
            </w:pPr>
            <w:r w:rsidRPr="007E7131">
              <w:rPr>
                <w:rFonts w:ascii="Calibri" w:hAnsi="Calibri" w:cs="Calibri"/>
                <w:color w:val="000000"/>
                <w:sz w:val="22"/>
                <w:szCs w:val="22"/>
                <w:lang w:val="en-IN" w:eastAsia="en-IN"/>
              </w:rPr>
              <w:t>41,108</w:t>
            </w:r>
          </w:p>
        </w:tc>
        <w:tc>
          <w:tcPr>
            <w:tcW w:w="1305" w:type="dxa"/>
            <w:shd w:val="clear" w:color="auto" w:fill="FFFFFF" w:themeFill="background1"/>
            <w:vAlign w:val="center"/>
            <w:hideMark/>
          </w:tcPr>
          <w:p w14:paraId="55DE3E40" w14:textId="77777777" w:rsidR="008C0C54" w:rsidRPr="007E7131" w:rsidRDefault="008C0C54" w:rsidP="008C0C54">
            <w:pPr>
              <w:jc w:val="center"/>
              <w:rPr>
                <w:rFonts w:ascii="Calibri" w:hAnsi="Calibri" w:cs="Calibri"/>
                <w:color w:val="000000"/>
                <w:sz w:val="22"/>
                <w:szCs w:val="22"/>
                <w:lang w:val="en-IN" w:eastAsia="en-IN"/>
              </w:rPr>
            </w:pPr>
            <w:r>
              <w:rPr>
                <w:rFonts w:ascii="Calibri" w:hAnsi="Calibri" w:cs="Calibri"/>
                <w:color w:val="000000"/>
                <w:sz w:val="22"/>
                <w:szCs w:val="22"/>
              </w:rPr>
              <w:t>42,110</w:t>
            </w:r>
          </w:p>
        </w:tc>
        <w:tc>
          <w:tcPr>
            <w:tcW w:w="1226" w:type="dxa"/>
            <w:shd w:val="clear" w:color="auto" w:fill="FFFFFF" w:themeFill="background1"/>
            <w:vAlign w:val="center"/>
            <w:hideMark/>
          </w:tcPr>
          <w:p w14:paraId="4A07100A" w14:textId="77777777" w:rsidR="008C0C54" w:rsidRPr="007E7131" w:rsidRDefault="008C0C54" w:rsidP="008C0C54">
            <w:pPr>
              <w:jc w:val="center"/>
              <w:rPr>
                <w:rFonts w:ascii="Calibri" w:hAnsi="Calibri" w:cs="Calibri"/>
                <w:color w:val="000000"/>
                <w:sz w:val="22"/>
                <w:szCs w:val="22"/>
                <w:lang w:val="en-IN" w:eastAsia="en-IN"/>
              </w:rPr>
            </w:pPr>
            <w:r>
              <w:rPr>
                <w:rFonts w:ascii="Calibri" w:hAnsi="Calibri" w:cs="Calibri"/>
                <w:color w:val="000000"/>
                <w:sz w:val="22"/>
                <w:szCs w:val="22"/>
              </w:rPr>
              <w:t>5,041</w:t>
            </w:r>
          </w:p>
        </w:tc>
        <w:tc>
          <w:tcPr>
            <w:tcW w:w="1641" w:type="dxa"/>
            <w:shd w:val="clear" w:color="auto" w:fill="auto"/>
            <w:vAlign w:val="center"/>
            <w:hideMark/>
          </w:tcPr>
          <w:p w14:paraId="0BFF33F7" w14:textId="77777777" w:rsidR="008C0C54" w:rsidRPr="007E7131" w:rsidRDefault="008C0C54" w:rsidP="008C0C54">
            <w:pPr>
              <w:jc w:val="center"/>
              <w:rPr>
                <w:rFonts w:ascii="Calibri" w:hAnsi="Calibri" w:cs="Calibri"/>
                <w:b/>
                <w:bCs/>
                <w:color w:val="000000"/>
                <w:sz w:val="22"/>
                <w:szCs w:val="22"/>
                <w:lang w:val="en-IN" w:eastAsia="en-IN"/>
              </w:rPr>
            </w:pPr>
            <w:r>
              <w:rPr>
                <w:rFonts w:ascii="Calibri" w:hAnsi="Calibri" w:cs="Calibri"/>
                <w:b/>
                <w:bCs/>
                <w:color w:val="000000"/>
                <w:sz w:val="22"/>
                <w:szCs w:val="22"/>
              </w:rPr>
              <w:t>13.60%</w:t>
            </w:r>
          </w:p>
        </w:tc>
      </w:tr>
      <w:tr w:rsidR="008C0C54" w14:paraId="756457D7" w14:textId="77777777" w:rsidTr="000E1556">
        <w:trPr>
          <w:trHeight w:val="300"/>
        </w:trPr>
        <w:tc>
          <w:tcPr>
            <w:tcW w:w="1440" w:type="dxa"/>
            <w:shd w:val="clear" w:color="auto" w:fill="auto"/>
            <w:vAlign w:val="center"/>
            <w:hideMark/>
          </w:tcPr>
          <w:p w14:paraId="3F935A92" w14:textId="12FCF955" w:rsidR="008C0C54" w:rsidRPr="000E1556" w:rsidRDefault="008C0C54" w:rsidP="008C0C54">
            <w:pPr>
              <w:rPr>
                <w:rFonts w:ascii="Calibri" w:hAnsi="Calibri" w:cs="Calibri"/>
                <w:b/>
                <w:bCs/>
                <w:color w:val="000000" w:themeColor="text1"/>
                <w:sz w:val="22"/>
                <w:szCs w:val="22"/>
                <w:lang w:val="en-IN" w:eastAsia="en-IN"/>
              </w:rPr>
            </w:pPr>
            <w:r w:rsidRPr="000E1556">
              <w:rPr>
                <w:rFonts w:ascii="Calibri" w:hAnsi="Calibri" w:cs="Calibri"/>
                <w:b/>
                <w:bCs/>
                <w:color w:val="000000" w:themeColor="text1"/>
                <w:sz w:val="22"/>
                <w:szCs w:val="22"/>
                <w:lang w:val="en-IN" w:eastAsia="en-IN"/>
              </w:rPr>
              <w:t xml:space="preserve">UG </w:t>
            </w:r>
            <w:r w:rsidR="000E1556">
              <w:rPr>
                <w:rFonts w:ascii="Calibri" w:hAnsi="Calibri" w:cs="Calibri"/>
                <w:b/>
                <w:bCs/>
                <w:color w:val="000000" w:themeColor="text1"/>
                <w:sz w:val="22"/>
                <w:szCs w:val="22"/>
                <w:lang w:val="en-IN" w:eastAsia="en-IN"/>
              </w:rPr>
              <w:t>Cable (Km.)</w:t>
            </w:r>
          </w:p>
        </w:tc>
        <w:tc>
          <w:tcPr>
            <w:tcW w:w="1305" w:type="dxa"/>
            <w:shd w:val="clear" w:color="auto" w:fill="auto"/>
            <w:vAlign w:val="center"/>
            <w:hideMark/>
          </w:tcPr>
          <w:p w14:paraId="13066F5B" w14:textId="77777777" w:rsidR="008C0C54" w:rsidRPr="000E1556" w:rsidRDefault="008C0C54" w:rsidP="008C0C54">
            <w:pPr>
              <w:jc w:val="center"/>
              <w:rPr>
                <w:rFonts w:asciiTheme="minorHAnsi" w:hAnsiTheme="minorHAnsi"/>
                <w:sz w:val="22"/>
              </w:rPr>
            </w:pPr>
            <w:r w:rsidRPr="000E1556">
              <w:rPr>
                <w:rFonts w:asciiTheme="minorHAnsi" w:hAnsiTheme="minorHAnsi"/>
                <w:color w:val="000000" w:themeColor="text1"/>
                <w:sz w:val="22"/>
                <w:szCs w:val="20"/>
              </w:rPr>
              <w:t>1768</w:t>
            </w:r>
          </w:p>
        </w:tc>
        <w:tc>
          <w:tcPr>
            <w:tcW w:w="1305" w:type="dxa"/>
            <w:shd w:val="clear" w:color="auto" w:fill="auto"/>
            <w:vAlign w:val="center"/>
            <w:hideMark/>
          </w:tcPr>
          <w:p w14:paraId="78EAA124" w14:textId="77777777" w:rsidR="008C0C54" w:rsidRPr="000E1556" w:rsidRDefault="008C0C54" w:rsidP="008C0C54">
            <w:pPr>
              <w:jc w:val="center"/>
              <w:rPr>
                <w:rFonts w:asciiTheme="minorHAnsi" w:hAnsiTheme="minorHAnsi"/>
                <w:sz w:val="22"/>
              </w:rPr>
            </w:pPr>
            <w:r w:rsidRPr="000E1556">
              <w:rPr>
                <w:rFonts w:asciiTheme="minorHAnsi" w:hAnsiTheme="minorHAnsi"/>
                <w:color w:val="000000" w:themeColor="text1"/>
                <w:sz w:val="22"/>
                <w:szCs w:val="20"/>
              </w:rPr>
              <w:t>1768</w:t>
            </w:r>
          </w:p>
        </w:tc>
        <w:tc>
          <w:tcPr>
            <w:tcW w:w="1305" w:type="dxa"/>
            <w:shd w:val="clear" w:color="auto" w:fill="auto"/>
            <w:vAlign w:val="center"/>
            <w:hideMark/>
          </w:tcPr>
          <w:p w14:paraId="5C34CCED" w14:textId="77777777" w:rsidR="008C0C54" w:rsidRPr="000E1556" w:rsidRDefault="008C0C54" w:rsidP="008C0C54">
            <w:pPr>
              <w:jc w:val="center"/>
              <w:rPr>
                <w:rFonts w:asciiTheme="minorHAnsi" w:hAnsiTheme="minorHAnsi"/>
                <w:sz w:val="22"/>
              </w:rPr>
            </w:pPr>
            <w:r w:rsidRPr="000E1556">
              <w:rPr>
                <w:rFonts w:asciiTheme="minorHAnsi" w:hAnsiTheme="minorHAnsi"/>
                <w:color w:val="000000" w:themeColor="text1"/>
                <w:sz w:val="22"/>
                <w:szCs w:val="20"/>
              </w:rPr>
              <w:t>1768</w:t>
            </w:r>
          </w:p>
        </w:tc>
        <w:tc>
          <w:tcPr>
            <w:tcW w:w="1305" w:type="dxa"/>
            <w:shd w:val="clear" w:color="auto" w:fill="auto"/>
            <w:vAlign w:val="center"/>
            <w:hideMark/>
          </w:tcPr>
          <w:p w14:paraId="70A67AD5" w14:textId="77777777" w:rsidR="008C0C54" w:rsidRPr="000E1556" w:rsidRDefault="008C0C54" w:rsidP="008C0C54">
            <w:pPr>
              <w:jc w:val="center"/>
              <w:rPr>
                <w:rFonts w:asciiTheme="minorHAnsi" w:hAnsiTheme="minorHAnsi"/>
                <w:sz w:val="22"/>
              </w:rPr>
            </w:pPr>
            <w:r w:rsidRPr="000E1556">
              <w:rPr>
                <w:rFonts w:asciiTheme="minorHAnsi" w:hAnsiTheme="minorHAnsi"/>
                <w:color w:val="000000" w:themeColor="text1"/>
                <w:sz w:val="22"/>
                <w:szCs w:val="20"/>
              </w:rPr>
              <w:t>1780.04</w:t>
            </w:r>
          </w:p>
        </w:tc>
        <w:tc>
          <w:tcPr>
            <w:tcW w:w="1305" w:type="dxa"/>
            <w:shd w:val="clear" w:color="auto" w:fill="FFFFFF" w:themeFill="background1"/>
            <w:vAlign w:val="center"/>
            <w:hideMark/>
          </w:tcPr>
          <w:p w14:paraId="3DC33C4F" w14:textId="77777777" w:rsidR="008C0C54" w:rsidRPr="000E1556" w:rsidRDefault="008C0C54" w:rsidP="008C0C54">
            <w:pPr>
              <w:jc w:val="center"/>
              <w:rPr>
                <w:rFonts w:asciiTheme="minorHAnsi" w:hAnsiTheme="minorHAnsi"/>
                <w:sz w:val="22"/>
              </w:rPr>
            </w:pPr>
            <w:r w:rsidRPr="000E1556">
              <w:rPr>
                <w:rFonts w:asciiTheme="minorHAnsi" w:hAnsiTheme="minorHAnsi"/>
                <w:color w:val="000000" w:themeColor="text1"/>
                <w:sz w:val="22"/>
                <w:szCs w:val="20"/>
              </w:rPr>
              <w:t>1812</w:t>
            </w:r>
          </w:p>
        </w:tc>
        <w:tc>
          <w:tcPr>
            <w:tcW w:w="1226" w:type="dxa"/>
            <w:shd w:val="clear" w:color="auto" w:fill="FFFFFF" w:themeFill="background1"/>
            <w:vAlign w:val="center"/>
            <w:hideMark/>
          </w:tcPr>
          <w:p w14:paraId="05ED7127" w14:textId="77777777" w:rsidR="008C0C54" w:rsidRPr="000E1556" w:rsidRDefault="008C0C54" w:rsidP="008C0C54">
            <w:pPr>
              <w:jc w:val="center"/>
              <w:rPr>
                <w:rFonts w:asciiTheme="minorHAnsi" w:hAnsiTheme="minorHAnsi"/>
                <w:sz w:val="22"/>
              </w:rPr>
            </w:pPr>
            <w:r w:rsidRPr="000E1556">
              <w:rPr>
                <w:rFonts w:asciiTheme="minorHAnsi" w:hAnsiTheme="minorHAnsi"/>
                <w:color w:val="000000" w:themeColor="text1"/>
                <w:sz w:val="22"/>
                <w:szCs w:val="20"/>
              </w:rPr>
              <w:t>44</w:t>
            </w:r>
          </w:p>
        </w:tc>
        <w:tc>
          <w:tcPr>
            <w:tcW w:w="1641" w:type="dxa"/>
            <w:shd w:val="clear" w:color="auto" w:fill="auto"/>
            <w:vAlign w:val="center"/>
            <w:hideMark/>
          </w:tcPr>
          <w:p w14:paraId="011A9F77" w14:textId="77777777" w:rsidR="008C0C54" w:rsidRPr="000E1556" w:rsidRDefault="008C0C54" w:rsidP="008C0C54">
            <w:pPr>
              <w:jc w:val="center"/>
              <w:rPr>
                <w:rFonts w:asciiTheme="minorHAnsi" w:hAnsiTheme="minorHAnsi"/>
                <w:sz w:val="22"/>
              </w:rPr>
            </w:pPr>
            <w:r w:rsidRPr="000E1556">
              <w:rPr>
                <w:rFonts w:asciiTheme="minorHAnsi" w:hAnsiTheme="minorHAnsi"/>
                <w:color w:val="000000" w:themeColor="text1"/>
                <w:sz w:val="22"/>
                <w:szCs w:val="20"/>
              </w:rPr>
              <w:t>2.49%</w:t>
            </w:r>
          </w:p>
        </w:tc>
      </w:tr>
      <w:tr w:rsidR="008C0C54" w:rsidRPr="007E7131" w14:paraId="41B80699" w14:textId="77777777" w:rsidTr="000E1556">
        <w:trPr>
          <w:trHeight w:val="284"/>
        </w:trPr>
        <w:tc>
          <w:tcPr>
            <w:tcW w:w="1440" w:type="dxa"/>
            <w:shd w:val="clear" w:color="auto" w:fill="auto"/>
            <w:vAlign w:val="center"/>
            <w:hideMark/>
          </w:tcPr>
          <w:p w14:paraId="258ADB7A" w14:textId="77777777" w:rsidR="008C0C54" w:rsidRPr="007E7131" w:rsidRDefault="008C0C54" w:rsidP="008C0C54">
            <w:pPr>
              <w:rPr>
                <w:rFonts w:ascii="Calibri" w:hAnsi="Calibri" w:cs="Calibri"/>
                <w:b/>
                <w:bCs/>
                <w:color w:val="000000"/>
                <w:sz w:val="22"/>
                <w:szCs w:val="22"/>
                <w:lang w:val="en-IN" w:eastAsia="en-IN"/>
              </w:rPr>
            </w:pPr>
            <w:r w:rsidRPr="007E7131">
              <w:rPr>
                <w:rFonts w:ascii="Calibri" w:hAnsi="Calibri" w:cs="Calibri"/>
                <w:b/>
                <w:bCs/>
                <w:color w:val="000000"/>
                <w:sz w:val="22"/>
                <w:szCs w:val="22"/>
                <w:lang w:val="en-IN" w:eastAsia="en-IN"/>
              </w:rPr>
              <w:t>LT Line (CKT Km.)</w:t>
            </w:r>
          </w:p>
        </w:tc>
        <w:tc>
          <w:tcPr>
            <w:tcW w:w="1305" w:type="dxa"/>
            <w:shd w:val="clear" w:color="auto" w:fill="auto"/>
            <w:vAlign w:val="center"/>
            <w:hideMark/>
          </w:tcPr>
          <w:p w14:paraId="5B12ACD0" w14:textId="77777777" w:rsidR="008C0C54" w:rsidRPr="007E7131" w:rsidRDefault="008C0C54" w:rsidP="008C0C54">
            <w:pPr>
              <w:jc w:val="center"/>
              <w:rPr>
                <w:rFonts w:ascii="Calibri" w:hAnsi="Calibri" w:cs="Calibri"/>
                <w:color w:val="000000"/>
                <w:sz w:val="22"/>
                <w:szCs w:val="22"/>
                <w:lang w:val="en-IN" w:eastAsia="en-IN"/>
              </w:rPr>
            </w:pPr>
            <w:r w:rsidRPr="007E7131">
              <w:rPr>
                <w:rFonts w:ascii="Calibri" w:hAnsi="Calibri" w:cs="Calibri"/>
                <w:color w:val="000000"/>
                <w:sz w:val="22"/>
                <w:szCs w:val="22"/>
                <w:lang w:val="en-IN" w:eastAsia="en-IN"/>
              </w:rPr>
              <w:t>66,300</w:t>
            </w:r>
          </w:p>
        </w:tc>
        <w:tc>
          <w:tcPr>
            <w:tcW w:w="1305" w:type="dxa"/>
            <w:shd w:val="clear" w:color="auto" w:fill="auto"/>
            <w:vAlign w:val="center"/>
            <w:hideMark/>
          </w:tcPr>
          <w:p w14:paraId="767C8B10" w14:textId="77777777" w:rsidR="008C0C54" w:rsidRPr="007E7131" w:rsidRDefault="008C0C54" w:rsidP="008C0C54">
            <w:pPr>
              <w:jc w:val="center"/>
              <w:rPr>
                <w:rFonts w:ascii="Calibri" w:hAnsi="Calibri" w:cs="Calibri"/>
                <w:color w:val="000000"/>
                <w:sz w:val="22"/>
                <w:szCs w:val="22"/>
                <w:lang w:val="en-IN" w:eastAsia="en-IN"/>
              </w:rPr>
            </w:pPr>
            <w:r w:rsidRPr="007E7131">
              <w:rPr>
                <w:rFonts w:ascii="Calibri" w:hAnsi="Calibri" w:cs="Calibri"/>
                <w:color w:val="000000"/>
                <w:sz w:val="22"/>
                <w:szCs w:val="22"/>
                <w:lang w:val="en-IN" w:eastAsia="en-IN"/>
              </w:rPr>
              <w:t>66,672</w:t>
            </w:r>
          </w:p>
        </w:tc>
        <w:tc>
          <w:tcPr>
            <w:tcW w:w="1305" w:type="dxa"/>
            <w:shd w:val="clear" w:color="auto" w:fill="auto"/>
            <w:vAlign w:val="center"/>
            <w:hideMark/>
          </w:tcPr>
          <w:p w14:paraId="22EFED69" w14:textId="77777777" w:rsidR="008C0C54" w:rsidRPr="007E7131" w:rsidRDefault="008C0C54" w:rsidP="008C0C54">
            <w:pPr>
              <w:jc w:val="center"/>
              <w:rPr>
                <w:rFonts w:ascii="Calibri" w:hAnsi="Calibri" w:cs="Calibri"/>
                <w:color w:val="000000"/>
                <w:sz w:val="22"/>
                <w:szCs w:val="22"/>
                <w:lang w:val="en-IN" w:eastAsia="en-IN"/>
              </w:rPr>
            </w:pPr>
            <w:r w:rsidRPr="007E7131">
              <w:rPr>
                <w:rFonts w:ascii="Calibri" w:hAnsi="Calibri" w:cs="Calibri"/>
                <w:color w:val="000000"/>
                <w:sz w:val="22"/>
                <w:szCs w:val="22"/>
                <w:lang w:val="en-IN" w:eastAsia="en-IN"/>
              </w:rPr>
              <w:t>67,486</w:t>
            </w:r>
          </w:p>
        </w:tc>
        <w:tc>
          <w:tcPr>
            <w:tcW w:w="1305" w:type="dxa"/>
            <w:shd w:val="clear" w:color="auto" w:fill="auto"/>
            <w:vAlign w:val="center"/>
            <w:hideMark/>
          </w:tcPr>
          <w:p w14:paraId="69738DB7" w14:textId="77777777" w:rsidR="008C0C54" w:rsidRPr="007E7131" w:rsidRDefault="008C0C54" w:rsidP="008C0C54">
            <w:pPr>
              <w:jc w:val="center"/>
              <w:rPr>
                <w:rFonts w:ascii="Calibri" w:hAnsi="Calibri" w:cs="Calibri"/>
                <w:color w:val="000000"/>
                <w:sz w:val="22"/>
                <w:szCs w:val="22"/>
                <w:lang w:val="en-IN" w:eastAsia="en-IN"/>
              </w:rPr>
            </w:pPr>
            <w:r w:rsidRPr="007E7131">
              <w:rPr>
                <w:rFonts w:ascii="Calibri" w:hAnsi="Calibri" w:cs="Calibri"/>
                <w:color w:val="000000"/>
                <w:sz w:val="22"/>
                <w:szCs w:val="22"/>
                <w:lang w:val="en-IN" w:eastAsia="en-IN"/>
              </w:rPr>
              <w:t>68,139</w:t>
            </w:r>
          </w:p>
        </w:tc>
        <w:tc>
          <w:tcPr>
            <w:tcW w:w="1305" w:type="dxa"/>
            <w:shd w:val="clear" w:color="auto" w:fill="FFFFFF" w:themeFill="background1"/>
            <w:vAlign w:val="center"/>
            <w:hideMark/>
          </w:tcPr>
          <w:p w14:paraId="111084A5" w14:textId="77777777" w:rsidR="008C0C54" w:rsidRPr="007E7131" w:rsidRDefault="008C0C54" w:rsidP="008C0C54">
            <w:pPr>
              <w:jc w:val="center"/>
              <w:rPr>
                <w:rFonts w:ascii="Calibri" w:hAnsi="Calibri" w:cs="Calibri"/>
                <w:color w:val="000000"/>
                <w:sz w:val="22"/>
                <w:szCs w:val="22"/>
                <w:lang w:val="en-IN" w:eastAsia="en-IN"/>
              </w:rPr>
            </w:pPr>
            <w:r>
              <w:rPr>
                <w:rFonts w:ascii="Calibri" w:hAnsi="Calibri" w:cs="Calibri"/>
                <w:color w:val="000000"/>
                <w:sz w:val="22"/>
                <w:szCs w:val="22"/>
              </w:rPr>
              <w:t>68,524</w:t>
            </w:r>
          </w:p>
        </w:tc>
        <w:tc>
          <w:tcPr>
            <w:tcW w:w="1226" w:type="dxa"/>
            <w:shd w:val="clear" w:color="auto" w:fill="FFFFFF" w:themeFill="background1"/>
            <w:vAlign w:val="center"/>
            <w:hideMark/>
          </w:tcPr>
          <w:p w14:paraId="41BD5547" w14:textId="77777777" w:rsidR="008C0C54" w:rsidRPr="007E7131" w:rsidRDefault="008C0C54" w:rsidP="008C0C54">
            <w:pPr>
              <w:jc w:val="center"/>
              <w:rPr>
                <w:rFonts w:ascii="Calibri" w:hAnsi="Calibri" w:cs="Calibri"/>
                <w:color w:val="000000"/>
                <w:sz w:val="22"/>
                <w:szCs w:val="22"/>
                <w:lang w:val="en-IN" w:eastAsia="en-IN"/>
              </w:rPr>
            </w:pPr>
            <w:r>
              <w:rPr>
                <w:rFonts w:ascii="Calibri" w:hAnsi="Calibri" w:cs="Calibri"/>
                <w:color w:val="000000"/>
                <w:sz w:val="22"/>
                <w:szCs w:val="22"/>
              </w:rPr>
              <w:t>2,224</w:t>
            </w:r>
          </w:p>
        </w:tc>
        <w:tc>
          <w:tcPr>
            <w:tcW w:w="1641" w:type="dxa"/>
            <w:shd w:val="clear" w:color="auto" w:fill="auto"/>
            <w:vAlign w:val="center"/>
            <w:hideMark/>
          </w:tcPr>
          <w:p w14:paraId="177D6C7F" w14:textId="77777777" w:rsidR="008C0C54" w:rsidRPr="007E7131" w:rsidRDefault="008C0C54" w:rsidP="008C0C54">
            <w:pPr>
              <w:jc w:val="center"/>
              <w:rPr>
                <w:rFonts w:ascii="Calibri" w:hAnsi="Calibri" w:cs="Calibri"/>
                <w:b/>
                <w:bCs/>
                <w:color w:val="000000"/>
                <w:sz w:val="22"/>
                <w:szCs w:val="22"/>
                <w:lang w:val="en-IN" w:eastAsia="en-IN"/>
              </w:rPr>
            </w:pPr>
            <w:r>
              <w:rPr>
                <w:rFonts w:ascii="Calibri" w:hAnsi="Calibri" w:cs="Calibri"/>
                <w:b/>
                <w:bCs/>
                <w:color w:val="000000"/>
                <w:sz w:val="22"/>
                <w:szCs w:val="22"/>
              </w:rPr>
              <w:t>3.35%</w:t>
            </w:r>
          </w:p>
        </w:tc>
      </w:tr>
      <w:tr w:rsidR="008C0C54" w:rsidRPr="007E7131" w14:paraId="58CC9390" w14:textId="77777777" w:rsidTr="000E1556">
        <w:trPr>
          <w:trHeight w:val="583"/>
        </w:trPr>
        <w:tc>
          <w:tcPr>
            <w:tcW w:w="1440" w:type="dxa"/>
            <w:shd w:val="clear" w:color="auto" w:fill="auto"/>
            <w:vAlign w:val="center"/>
            <w:hideMark/>
          </w:tcPr>
          <w:p w14:paraId="4BE1F9D7" w14:textId="77777777" w:rsidR="008C0C54" w:rsidRPr="007E7131" w:rsidRDefault="008C0C54" w:rsidP="008C0C54">
            <w:pPr>
              <w:rPr>
                <w:rFonts w:ascii="Calibri" w:hAnsi="Calibri" w:cs="Calibri"/>
                <w:b/>
                <w:bCs/>
                <w:color w:val="000000"/>
                <w:sz w:val="22"/>
                <w:szCs w:val="22"/>
                <w:lang w:val="en-IN" w:eastAsia="en-IN"/>
              </w:rPr>
            </w:pPr>
            <w:r w:rsidRPr="007E7131">
              <w:rPr>
                <w:rFonts w:ascii="Calibri" w:hAnsi="Calibri" w:cs="Calibri"/>
                <w:b/>
                <w:bCs/>
                <w:color w:val="000000"/>
                <w:sz w:val="22"/>
                <w:szCs w:val="22"/>
                <w:lang w:val="en-IN" w:eastAsia="en-IN"/>
              </w:rPr>
              <w:t>No. of 33/11kV Sub-station (Nos.)</w:t>
            </w:r>
          </w:p>
        </w:tc>
        <w:tc>
          <w:tcPr>
            <w:tcW w:w="1305" w:type="dxa"/>
            <w:shd w:val="clear" w:color="auto" w:fill="auto"/>
            <w:vAlign w:val="center"/>
            <w:hideMark/>
          </w:tcPr>
          <w:p w14:paraId="373A9A47" w14:textId="77777777" w:rsidR="008C0C54" w:rsidRPr="007E7131" w:rsidRDefault="008C0C54" w:rsidP="008C0C54">
            <w:pPr>
              <w:jc w:val="center"/>
              <w:rPr>
                <w:rFonts w:ascii="Calibri" w:hAnsi="Calibri" w:cs="Calibri"/>
                <w:color w:val="000000"/>
                <w:sz w:val="22"/>
                <w:szCs w:val="22"/>
                <w:lang w:val="en-IN" w:eastAsia="en-IN"/>
              </w:rPr>
            </w:pPr>
            <w:r w:rsidRPr="007E7131">
              <w:rPr>
                <w:rFonts w:ascii="Calibri" w:hAnsi="Calibri" w:cs="Calibri"/>
                <w:color w:val="000000"/>
                <w:sz w:val="22"/>
                <w:szCs w:val="22"/>
                <w:lang w:val="en-IN" w:eastAsia="en-IN"/>
              </w:rPr>
              <w:t>217</w:t>
            </w:r>
          </w:p>
        </w:tc>
        <w:tc>
          <w:tcPr>
            <w:tcW w:w="1305" w:type="dxa"/>
            <w:shd w:val="clear" w:color="auto" w:fill="auto"/>
            <w:vAlign w:val="center"/>
            <w:hideMark/>
          </w:tcPr>
          <w:p w14:paraId="5E3D6238" w14:textId="77777777" w:rsidR="008C0C54" w:rsidRPr="007E7131" w:rsidRDefault="008C0C54" w:rsidP="008C0C54">
            <w:pPr>
              <w:jc w:val="center"/>
              <w:rPr>
                <w:rFonts w:ascii="Calibri" w:hAnsi="Calibri" w:cs="Calibri"/>
                <w:color w:val="000000"/>
                <w:sz w:val="22"/>
                <w:szCs w:val="22"/>
                <w:lang w:val="en-IN" w:eastAsia="en-IN"/>
              </w:rPr>
            </w:pPr>
            <w:r w:rsidRPr="007E7131">
              <w:rPr>
                <w:rFonts w:ascii="Calibri" w:hAnsi="Calibri" w:cs="Calibri"/>
                <w:color w:val="000000"/>
                <w:sz w:val="22"/>
                <w:szCs w:val="22"/>
                <w:lang w:val="en-IN" w:eastAsia="en-IN"/>
              </w:rPr>
              <w:t>236</w:t>
            </w:r>
          </w:p>
        </w:tc>
        <w:tc>
          <w:tcPr>
            <w:tcW w:w="1305" w:type="dxa"/>
            <w:shd w:val="clear" w:color="auto" w:fill="auto"/>
            <w:vAlign w:val="center"/>
            <w:hideMark/>
          </w:tcPr>
          <w:p w14:paraId="73EDE2AB" w14:textId="77777777" w:rsidR="008C0C54" w:rsidRPr="007E7131" w:rsidRDefault="008C0C54" w:rsidP="008C0C54">
            <w:pPr>
              <w:jc w:val="center"/>
              <w:rPr>
                <w:rFonts w:ascii="Calibri" w:hAnsi="Calibri" w:cs="Calibri"/>
                <w:color w:val="000000"/>
                <w:sz w:val="22"/>
                <w:szCs w:val="22"/>
                <w:lang w:val="en-IN" w:eastAsia="en-IN"/>
              </w:rPr>
            </w:pPr>
            <w:r w:rsidRPr="007E7131">
              <w:rPr>
                <w:rFonts w:ascii="Calibri" w:hAnsi="Calibri" w:cs="Calibri"/>
                <w:color w:val="000000"/>
                <w:sz w:val="22"/>
                <w:szCs w:val="22"/>
                <w:lang w:val="en-IN" w:eastAsia="en-IN"/>
              </w:rPr>
              <w:t>244</w:t>
            </w:r>
          </w:p>
        </w:tc>
        <w:tc>
          <w:tcPr>
            <w:tcW w:w="1305" w:type="dxa"/>
            <w:shd w:val="clear" w:color="auto" w:fill="auto"/>
            <w:vAlign w:val="center"/>
            <w:hideMark/>
          </w:tcPr>
          <w:p w14:paraId="081DC2A5" w14:textId="77777777" w:rsidR="008C0C54" w:rsidRPr="007E7131" w:rsidRDefault="008C0C54" w:rsidP="008C0C54">
            <w:pPr>
              <w:jc w:val="center"/>
              <w:rPr>
                <w:rFonts w:ascii="Calibri" w:hAnsi="Calibri" w:cs="Calibri"/>
                <w:color w:val="000000"/>
                <w:sz w:val="22"/>
                <w:szCs w:val="22"/>
                <w:lang w:val="en-IN" w:eastAsia="en-IN"/>
              </w:rPr>
            </w:pPr>
            <w:r w:rsidRPr="007E7131">
              <w:rPr>
                <w:rFonts w:ascii="Calibri" w:hAnsi="Calibri" w:cs="Calibri"/>
                <w:color w:val="000000"/>
                <w:sz w:val="22"/>
                <w:szCs w:val="22"/>
                <w:lang w:val="en-IN" w:eastAsia="en-IN"/>
              </w:rPr>
              <w:t>247</w:t>
            </w:r>
          </w:p>
        </w:tc>
        <w:tc>
          <w:tcPr>
            <w:tcW w:w="1305" w:type="dxa"/>
            <w:shd w:val="clear" w:color="auto" w:fill="FFFFFF" w:themeFill="background1"/>
            <w:vAlign w:val="center"/>
            <w:hideMark/>
          </w:tcPr>
          <w:p w14:paraId="78C0E59E" w14:textId="77777777" w:rsidR="008C0C54" w:rsidRPr="007E7131" w:rsidRDefault="008C0C54" w:rsidP="008C0C54">
            <w:pPr>
              <w:jc w:val="center"/>
              <w:rPr>
                <w:rFonts w:ascii="Calibri" w:hAnsi="Calibri" w:cs="Calibri"/>
                <w:color w:val="000000"/>
                <w:sz w:val="22"/>
                <w:szCs w:val="22"/>
                <w:lang w:val="en-IN" w:eastAsia="en-IN"/>
              </w:rPr>
            </w:pPr>
            <w:r>
              <w:rPr>
                <w:rFonts w:ascii="Calibri" w:hAnsi="Calibri" w:cs="Calibri"/>
                <w:color w:val="000000"/>
                <w:sz w:val="22"/>
                <w:szCs w:val="22"/>
              </w:rPr>
              <w:t>248</w:t>
            </w:r>
          </w:p>
        </w:tc>
        <w:tc>
          <w:tcPr>
            <w:tcW w:w="1226" w:type="dxa"/>
            <w:shd w:val="clear" w:color="auto" w:fill="FFFFFF" w:themeFill="background1"/>
            <w:vAlign w:val="center"/>
            <w:hideMark/>
          </w:tcPr>
          <w:p w14:paraId="1B35C8A6" w14:textId="77777777" w:rsidR="008C0C54" w:rsidRPr="007E7131" w:rsidRDefault="008C0C54" w:rsidP="008C0C54">
            <w:pPr>
              <w:jc w:val="center"/>
              <w:rPr>
                <w:rFonts w:ascii="Calibri" w:hAnsi="Calibri" w:cs="Calibri"/>
                <w:color w:val="000000"/>
                <w:sz w:val="22"/>
                <w:szCs w:val="22"/>
                <w:lang w:val="en-IN" w:eastAsia="en-IN"/>
              </w:rPr>
            </w:pPr>
            <w:r>
              <w:rPr>
                <w:rFonts w:ascii="Calibri" w:hAnsi="Calibri" w:cs="Calibri"/>
                <w:color w:val="000000"/>
                <w:sz w:val="22"/>
                <w:szCs w:val="22"/>
              </w:rPr>
              <w:t>31</w:t>
            </w:r>
          </w:p>
        </w:tc>
        <w:tc>
          <w:tcPr>
            <w:tcW w:w="1641" w:type="dxa"/>
            <w:shd w:val="clear" w:color="auto" w:fill="auto"/>
            <w:vAlign w:val="center"/>
            <w:hideMark/>
          </w:tcPr>
          <w:p w14:paraId="795F51A8" w14:textId="77777777" w:rsidR="008C0C54" w:rsidRPr="007E7131" w:rsidRDefault="008C0C54" w:rsidP="008C0C54">
            <w:pPr>
              <w:jc w:val="center"/>
              <w:rPr>
                <w:rFonts w:ascii="Calibri" w:hAnsi="Calibri" w:cs="Calibri"/>
                <w:b/>
                <w:bCs/>
                <w:color w:val="000000"/>
                <w:sz w:val="22"/>
                <w:szCs w:val="22"/>
                <w:lang w:val="en-IN" w:eastAsia="en-IN"/>
              </w:rPr>
            </w:pPr>
            <w:r>
              <w:rPr>
                <w:rFonts w:ascii="Calibri" w:hAnsi="Calibri" w:cs="Calibri"/>
                <w:b/>
                <w:bCs/>
                <w:color w:val="000000"/>
                <w:sz w:val="22"/>
                <w:szCs w:val="22"/>
              </w:rPr>
              <w:t>14.29%</w:t>
            </w:r>
          </w:p>
        </w:tc>
      </w:tr>
      <w:tr w:rsidR="008C0C54" w:rsidRPr="007E7131" w14:paraId="687CF941" w14:textId="77777777" w:rsidTr="000E1556">
        <w:trPr>
          <w:trHeight w:val="697"/>
        </w:trPr>
        <w:tc>
          <w:tcPr>
            <w:tcW w:w="1440" w:type="dxa"/>
            <w:shd w:val="clear" w:color="auto" w:fill="auto"/>
            <w:vAlign w:val="center"/>
            <w:hideMark/>
          </w:tcPr>
          <w:p w14:paraId="3B45ED21" w14:textId="77777777" w:rsidR="008C0C54" w:rsidRPr="007E7131" w:rsidRDefault="008C0C54" w:rsidP="008C0C54">
            <w:pPr>
              <w:rPr>
                <w:rFonts w:ascii="Calibri" w:hAnsi="Calibri" w:cs="Calibri"/>
                <w:b/>
                <w:bCs/>
                <w:color w:val="000000"/>
                <w:sz w:val="22"/>
                <w:szCs w:val="22"/>
                <w:lang w:val="en-IN" w:eastAsia="en-IN"/>
              </w:rPr>
            </w:pPr>
            <w:r w:rsidRPr="007E7131">
              <w:rPr>
                <w:rFonts w:ascii="Calibri" w:hAnsi="Calibri" w:cs="Calibri"/>
                <w:b/>
                <w:bCs/>
                <w:color w:val="000000"/>
                <w:sz w:val="22"/>
                <w:szCs w:val="22"/>
                <w:lang w:val="en-IN" w:eastAsia="en-IN"/>
              </w:rPr>
              <w:t>Power Transformers (Nos./ MVA)</w:t>
            </w:r>
          </w:p>
        </w:tc>
        <w:tc>
          <w:tcPr>
            <w:tcW w:w="1305" w:type="dxa"/>
            <w:shd w:val="clear" w:color="auto" w:fill="auto"/>
            <w:vAlign w:val="center"/>
            <w:hideMark/>
          </w:tcPr>
          <w:p w14:paraId="04A6E176" w14:textId="77777777" w:rsidR="008C0C54" w:rsidRPr="007E7131" w:rsidRDefault="008C0C54" w:rsidP="008C0C54">
            <w:pPr>
              <w:jc w:val="center"/>
              <w:rPr>
                <w:rFonts w:ascii="Calibri" w:hAnsi="Calibri" w:cs="Calibri"/>
                <w:color w:val="000000"/>
                <w:sz w:val="22"/>
                <w:szCs w:val="22"/>
                <w:lang w:val="en-IN" w:eastAsia="en-IN"/>
              </w:rPr>
            </w:pPr>
            <w:r w:rsidRPr="007E7131">
              <w:rPr>
                <w:rFonts w:ascii="Calibri" w:hAnsi="Calibri" w:cs="Calibri"/>
                <w:color w:val="000000"/>
                <w:sz w:val="22"/>
                <w:szCs w:val="22"/>
                <w:lang w:val="en-IN" w:eastAsia="en-IN"/>
              </w:rPr>
              <w:t>488/2211</w:t>
            </w:r>
          </w:p>
        </w:tc>
        <w:tc>
          <w:tcPr>
            <w:tcW w:w="1305" w:type="dxa"/>
            <w:shd w:val="clear" w:color="auto" w:fill="auto"/>
            <w:vAlign w:val="center"/>
            <w:hideMark/>
          </w:tcPr>
          <w:p w14:paraId="11241083" w14:textId="77777777" w:rsidR="008C0C54" w:rsidRPr="007E7131" w:rsidRDefault="008C0C54" w:rsidP="008C0C54">
            <w:pPr>
              <w:jc w:val="center"/>
              <w:rPr>
                <w:rFonts w:ascii="Calibri" w:hAnsi="Calibri" w:cs="Calibri"/>
                <w:color w:val="000000"/>
                <w:sz w:val="22"/>
                <w:szCs w:val="22"/>
                <w:lang w:val="en-IN" w:eastAsia="en-IN"/>
              </w:rPr>
            </w:pPr>
            <w:r w:rsidRPr="007E7131">
              <w:rPr>
                <w:rFonts w:ascii="Calibri" w:hAnsi="Calibri" w:cs="Calibri"/>
                <w:color w:val="000000"/>
                <w:sz w:val="22"/>
                <w:szCs w:val="22"/>
                <w:lang w:val="en-IN" w:eastAsia="en-IN"/>
              </w:rPr>
              <w:t>524/2419</w:t>
            </w:r>
          </w:p>
        </w:tc>
        <w:tc>
          <w:tcPr>
            <w:tcW w:w="1305" w:type="dxa"/>
            <w:shd w:val="clear" w:color="auto" w:fill="auto"/>
            <w:vAlign w:val="center"/>
            <w:hideMark/>
          </w:tcPr>
          <w:p w14:paraId="2F9A1E40" w14:textId="77777777" w:rsidR="008C0C54" w:rsidRPr="007E7131" w:rsidRDefault="008C0C54" w:rsidP="008C0C54">
            <w:pPr>
              <w:jc w:val="center"/>
              <w:rPr>
                <w:rFonts w:ascii="Calibri" w:hAnsi="Calibri" w:cs="Calibri"/>
                <w:color w:val="000000"/>
                <w:sz w:val="22"/>
                <w:szCs w:val="22"/>
                <w:lang w:val="en-IN" w:eastAsia="en-IN"/>
              </w:rPr>
            </w:pPr>
            <w:r w:rsidRPr="007E7131">
              <w:rPr>
                <w:rFonts w:ascii="Calibri" w:hAnsi="Calibri" w:cs="Calibri"/>
                <w:color w:val="000000"/>
                <w:sz w:val="22"/>
                <w:szCs w:val="22"/>
                <w:lang w:val="en-IN" w:eastAsia="en-IN"/>
              </w:rPr>
              <w:t>550/2615</w:t>
            </w:r>
          </w:p>
        </w:tc>
        <w:tc>
          <w:tcPr>
            <w:tcW w:w="1305" w:type="dxa"/>
            <w:shd w:val="clear" w:color="auto" w:fill="auto"/>
            <w:vAlign w:val="center"/>
            <w:hideMark/>
          </w:tcPr>
          <w:p w14:paraId="46873A9E" w14:textId="77777777" w:rsidR="008C0C54" w:rsidRPr="007E7131" w:rsidRDefault="008C0C54" w:rsidP="008C0C54">
            <w:pPr>
              <w:jc w:val="center"/>
              <w:rPr>
                <w:rFonts w:ascii="Calibri" w:hAnsi="Calibri" w:cs="Calibri"/>
                <w:color w:val="000000"/>
                <w:sz w:val="22"/>
                <w:szCs w:val="22"/>
                <w:lang w:val="en-IN" w:eastAsia="en-IN"/>
              </w:rPr>
            </w:pPr>
            <w:r w:rsidRPr="007E7131">
              <w:rPr>
                <w:rFonts w:ascii="Calibri" w:hAnsi="Calibri" w:cs="Calibri"/>
                <w:color w:val="000000"/>
                <w:sz w:val="22"/>
                <w:szCs w:val="22"/>
                <w:lang w:val="en-IN" w:eastAsia="en-IN"/>
              </w:rPr>
              <w:t>564/2704</w:t>
            </w:r>
          </w:p>
        </w:tc>
        <w:tc>
          <w:tcPr>
            <w:tcW w:w="1305" w:type="dxa"/>
            <w:shd w:val="clear" w:color="auto" w:fill="FFFFFF" w:themeFill="background1"/>
            <w:vAlign w:val="center"/>
            <w:hideMark/>
          </w:tcPr>
          <w:p w14:paraId="4CE0902C" w14:textId="77777777" w:rsidR="008C0C54" w:rsidRPr="007E7131" w:rsidRDefault="008C0C54" w:rsidP="008C0C54">
            <w:pPr>
              <w:jc w:val="center"/>
              <w:rPr>
                <w:rFonts w:ascii="Calibri" w:hAnsi="Calibri" w:cs="Calibri"/>
                <w:color w:val="000000"/>
                <w:sz w:val="22"/>
                <w:szCs w:val="22"/>
                <w:lang w:val="en-IN" w:eastAsia="en-IN"/>
              </w:rPr>
            </w:pPr>
            <w:r>
              <w:rPr>
                <w:rFonts w:ascii="Calibri" w:hAnsi="Calibri" w:cs="Calibri"/>
                <w:color w:val="000000"/>
                <w:sz w:val="22"/>
                <w:szCs w:val="22"/>
              </w:rPr>
              <w:t>565/2720</w:t>
            </w:r>
          </w:p>
        </w:tc>
        <w:tc>
          <w:tcPr>
            <w:tcW w:w="1226" w:type="dxa"/>
            <w:shd w:val="clear" w:color="auto" w:fill="FFFFFF" w:themeFill="background1"/>
            <w:vAlign w:val="center"/>
            <w:hideMark/>
          </w:tcPr>
          <w:p w14:paraId="5E07BA7B" w14:textId="77777777" w:rsidR="008C0C54" w:rsidRPr="007E7131" w:rsidRDefault="008C0C54" w:rsidP="008C0C54">
            <w:pPr>
              <w:jc w:val="center"/>
              <w:rPr>
                <w:rFonts w:ascii="Calibri" w:hAnsi="Calibri" w:cs="Calibri"/>
                <w:color w:val="000000"/>
                <w:sz w:val="22"/>
                <w:szCs w:val="22"/>
                <w:lang w:val="en-IN" w:eastAsia="en-IN"/>
              </w:rPr>
            </w:pPr>
            <w:r>
              <w:rPr>
                <w:rFonts w:ascii="Calibri" w:hAnsi="Calibri" w:cs="Calibri"/>
                <w:color w:val="000000"/>
                <w:sz w:val="22"/>
                <w:szCs w:val="22"/>
              </w:rPr>
              <w:t>77/509</w:t>
            </w:r>
          </w:p>
        </w:tc>
        <w:tc>
          <w:tcPr>
            <w:tcW w:w="1641" w:type="dxa"/>
            <w:shd w:val="clear" w:color="auto" w:fill="auto"/>
            <w:vAlign w:val="center"/>
            <w:hideMark/>
          </w:tcPr>
          <w:p w14:paraId="6989D9FF" w14:textId="77777777" w:rsidR="008C0C54" w:rsidRPr="002A0FF4" w:rsidRDefault="008C0C54" w:rsidP="008C0C54">
            <w:pPr>
              <w:jc w:val="center"/>
              <w:rPr>
                <w:rFonts w:ascii="Calibri" w:hAnsi="Calibri" w:cs="Calibri"/>
                <w:b/>
                <w:bCs/>
                <w:color w:val="000000"/>
                <w:sz w:val="22"/>
                <w:szCs w:val="22"/>
                <w:lang w:val="en-IN" w:eastAsia="en-IN"/>
              </w:rPr>
            </w:pPr>
            <w:r w:rsidRPr="002A0FF4">
              <w:rPr>
                <w:rFonts w:ascii="Calibri" w:hAnsi="Calibri" w:cs="Calibri"/>
                <w:b/>
                <w:color w:val="000000"/>
                <w:sz w:val="22"/>
                <w:szCs w:val="22"/>
              </w:rPr>
              <w:t>15.78%</w:t>
            </w:r>
          </w:p>
        </w:tc>
      </w:tr>
      <w:tr w:rsidR="008C0C54" w:rsidRPr="007E7131" w14:paraId="660A18A5" w14:textId="77777777" w:rsidTr="000E1556">
        <w:trPr>
          <w:trHeight w:val="782"/>
        </w:trPr>
        <w:tc>
          <w:tcPr>
            <w:tcW w:w="1440" w:type="dxa"/>
            <w:shd w:val="clear" w:color="auto" w:fill="auto"/>
            <w:vAlign w:val="center"/>
            <w:hideMark/>
          </w:tcPr>
          <w:p w14:paraId="1D7328DA" w14:textId="77777777" w:rsidR="008C0C54" w:rsidRPr="007E7131" w:rsidRDefault="008C0C54" w:rsidP="008C0C54">
            <w:pPr>
              <w:rPr>
                <w:rFonts w:ascii="Calibri" w:hAnsi="Calibri" w:cs="Calibri"/>
                <w:b/>
                <w:bCs/>
                <w:color w:val="000000"/>
                <w:sz w:val="22"/>
                <w:szCs w:val="22"/>
                <w:lang w:val="en-IN" w:eastAsia="en-IN"/>
              </w:rPr>
            </w:pPr>
            <w:r w:rsidRPr="007E7131">
              <w:rPr>
                <w:rFonts w:ascii="Calibri" w:hAnsi="Calibri" w:cs="Calibri"/>
                <w:b/>
                <w:bCs/>
                <w:color w:val="000000"/>
                <w:sz w:val="22"/>
                <w:szCs w:val="22"/>
                <w:lang w:val="en-IN" w:eastAsia="en-IN"/>
              </w:rPr>
              <w:t>Distribution Transformers (Nos./ MVA)</w:t>
            </w:r>
          </w:p>
        </w:tc>
        <w:tc>
          <w:tcPr>
            <w:tcW w:w="1305" w:type="dxa"/>
            <w:shd w:val="clear" w:color="auto" w:fill="auto"/>
            <w:vAlign w:val="center"/>
            <w:hideMark/>
          </w:tcPr>
          <w:p w14:paraId="65F2FECC" w14:textId="77777777" w:rsidR="008C0C54" w:rsidRPr="007E7131" w:rsidRDefault="008C0C54" w:rsidP="008C0C54">
            <w:pPr>
              <w:jc w:val="center"/>
              <w:rPr>
                <w:rFonts w:ascii="Calibri" w:hAnsi="Calibri" w:cs="Calibri"/>
                <w:color w:val="000000"/>
                <w:sz w:val="22"/>
                <w:szCs w:val="22"/>
                <w:lang w:val="en-IN" w:eastAsia="en-IN"/>
              </w:rPr>
            </w:pPr>
            <w:r w:rsidRPr="007E7131">
              <w:rPr>
                <w:rFonts w:ascii="Calibri" w:hAnsi="Calibri" w:cs="Calibri"/>
                <w:color w:val="000000"/>
                <w:sz w:val="22"/>
                <w:szCs w:val="22"/>
                <w:lang w:val="en-IN" w:eastAsia="en-IN"/>
              </w:rPr>
              <w:t>70429/2583</w:t>
            </w:r>
          </w:p>
        </w:tc>
        <w:tc>
          <w:tcPr>
            <w:tcW w:w="1305" w:type="dxa"/>
            <w:shd w:val="clear" w:color="auto" w:fill="auto"/>
            <w:vAlign w:val="center"/>
            <w:hideMark/>
          </w:tcPr>
          <w:p w14:paraId="3625BC84" w14:textId="77777777" w:rsidR="008C0C54" w:rsidRPr="007E7131" w:rsidRDefault="008C0C54" w:rsidP="008C0C54">
            <w:pPr>
              <w:jc w:val="center"/>
              <w:rPr>
                <w:rFonts w:ascii="Calibri" w:hAnsi="Calibri" w:cs="Calibri"/>
                <w:color w:val="000000"/>
                <w:sz w:val="22"/>
                <w:szCs w:val="22"/>
                <w:lang w:val="en-IN" w:eastAsia="en-IN"/>
              </w:rPr>
            </w:pPr>
            <w:r w:rsidRPr="007E7131">
              <w:rPr>
                <w:rFonts w:ascii="Calibri" w:hAnsi="Calibri" w:cs="Calibri"/>
                <w:color w:val="000000"/>
                <w:sz w:val="22"/>
                <w:szCs w:val="22"/>
                <w:lang w:val="en-IN" w:eastAsia="en-IN"/>
              </w:rPr>
              <w:t>72323/2657</w:t>
            </w:r>
          </w:p>
        </w:tc>
        <w:tc>
          <w:tcPr>
            <w:tcW w:w="1305" w:type="dxa"/>
            <w:shd w:val="clear" w:color="auto" w:fill="auto"/>
            <w:vAlign w:val="center"/>
            <w:hideMark/>
          </w:tcPr>
          <w:p w14:paraId="60BDD6B6" w14:textId="77777777" w:rsidR="008C0C54" w:rsidRPr="007E7131" w:rsidRDefault="008C0C54" w:rsidP="008C0C54">
            <w:pPr>
              <w:jc w:val="center"/>
              <w:rPr>
                <w:rFonts w:ascii="Calibri" w:hAnsi="Calibri" w:cs="Calibri"/>
                <w:color w:val="000000"/>
                <w:sz w:val="22"/>
                <w:szCs w:val="22"/>
                <w:lang w:val="en-IN" w:eastAsia="en-IN"/>
              </w:rPr>
            </w:pPr>
            <w:r w:rsidRPr="007E7131">
              <w:rPr>
                <w:rFonts w:ascii="Calibri" w:hAnsi="Calibri" w:cs="Calibri"/>
                <w:color w:val="000000"/>
                <w:sz w:val="22"/>
                <w:szCs w:val="22"/>
                <w:lang w:val="en-IN" w:eastAsia="en-IN"/>
              </w:rPr>
              <w:t>74726/2786</w:t>
            </w:r>
          </w:p>
        </w:tc>
        <w:tc>
          <w:tcPr>
            <w:tcW w:w="1305" w:type="dxa"/>
            <w:shd w:val="clear" w:color="auto" w:fill="auto"/>
            <w:vAlign w:val="center"/>
            <w:hideMark/>
          </w:tcPr>
          <w:p w14:paraId="6DE2FE3F" w14:textId="77777777" w:rsidR="008C0C54" w:rsidRPr="007E7131" w:rsidRDefault="008C0C54" w:rsidP="008C0C54">
            <w:pPr>
              <w:jc w:val="center"/>
              <w:rPr>
                <w:rFonts w:ascii="Calibri" w:hAnsi="Calibri" w:cs="Calibri"/>
                <w:color w:val="000000"/>
                <w:sz w:val="22"/>
                <w:szCs w:val="22"/>
                <w:lang w:val="en-IN" w:eastAsia="en-IN"/>
              </w:rPr>
            </w:pPr>
            <w:r w:rsidRPr="007E7131">
              <w:rPr>
                <w:rFonts w:ascii="Calibri" w:hAnsi="Calibri" w:cs="Calibri"/>
                <w:color w:val="000000"/>
                <w:sz w:val="22"/>
                <w:szCs w:val="22"/>
                <w:lang w:val="en-IN" w:eastAsia="en-IN"/>
              </w:rPr>
              <w:t>77688/2932</w:t>
            </w:r>
          </w:p>
        </w:tc>
        <w:tc>
          <w:tcPr>
            <w:tcW w:w="1305" w:type="dxa"/>
            <w:shd w:val="clear" w:color="auto" w:fill="FFFFFF" w:themeFill="background1"/>
            <w:vAlign w:val="center"/>
            <w:hideMark/>
          </w:tcPr>
          <w:p w14:paraId="3840B9F0" w14:textId="77777777" w:rsidR="008C0C54" w:rsidRPr="007E7131" w:rsidRDefault="008C0C54" w:rsidP="008C0C54">
            <w:pPr>
              <w:jc w:val="center"/>
              <w:rPr>
                <w:rFonts w:ascii="Calibri" w:hAnsi="Calibri" w:cs="Calibri"/>
                <w:color w:val="000000"/>
                <w:sz w:val="22"/>
                <w:szCs w:val="22"/>
                <w:lang w:val="en-IN" w:eastAsia="en-IN"/>
              </w:rPr>
            </w:pPr>
            <w:r>
              <w:rPr>
                <w:rFonts w:ascii="Calibri" w:hAnsi="Calibri" w:cs="Calibri"/>
                <w:color w:val="000000"/>
                <w:sz w:val="22"/>
                <w:szCs w:val="22"/>
              </w:rPr>
              <w:t>79446/3041</w:t>
            </w:r>
          </w:p>
        </w:tc>
        <w:tc>
          <w:tcPr>
            <w:tcW w:w="1226" w:type="dxa"/>
            <w:shd w:val="clear" w:color="auto" w:fill="FFFFFF" w:themeFill="background1"/>
            <w:vAlign w:val="center"/>
            <w:hideMark/>
          </w:tcPr>
          <w:p w14:paraId="2629FA31" w14:textId="77777777" w:rsidR="008C0C54" w:rsidRPr="007E7131" w:rsidRDefault="008C0C54" w:rsidP="008C0C54">
            <w:pPr>
              <w:jc w:val="center"/>
              <w:rPr>
                <w:rFonts w:ascii="Calibri" w:hAnsi="Calibri" w:cs="Calibri"/>
                <w:color w:val="000000"/>
                <w:sz w:val="22"/>
                <w:szCs w:val="22"/>
                <w:lang w:val="en-IN" w:eastAsia="en-IN"/>
              </w:rPr>
            </w:pPr>
            <w:r>
              <w:rPr>
                <w:rFonts w:ascii="Calibri" w:hAnsi="Calibri" w:cs="Calibri"/>
                <w:color w:val="000000"/>
                <w:sz w:val="22"/>
                <w:szCs w:val="22"/>
              </w:rPr>
              <w:t>9017/458</w:t>
            </w:r>
          </w:p>
        </w:tc>
        <w:tc>
          <w:tcPr>
            <w:tcW w:w="1641" w:type="dxa"/>
            <w:shd w:val="clear" w:color="auto" w:fill="auto"/>
            <w:vAlign w:val="center"/>
            <w:hideMark/>
          </w:tcPr>
          <w:p w14:paraId="336FE0A6" w14:textId="77777777" w:rsidR="008C0C54" w:rsidRPr="007E7131" w:rsidRDefault="008C0C54" w:rsidP="008C0C54">
            <w:pPr>
              <w:jc w:val="center"/>
              <w:rPr>
                <w:rFonts w:ascii="Calibri" w:hAnsi="Calibri" w:cs="Calibri"/>
                <w:b/>
                <w:bCs/>
                <w:color w:val="000000"/>
                <w:sz w:val="22"/>
                <w:szCs w:val="22"/>
                <w:lang w:val="en-IN" w:eastAsia="en-IN"/>
              </w:rPr>
            </w:pPr>
            <w:r>
              <w:rPr>
                <w:rFonts w:ascii="Calibri" w:hAnsi="Calibri" w:cs="Calibri"/>
                <w:b/>
                <w:bCs/>
                <w:color w:val="000000"/>
                <w:sz w:val="22"/>
                <w:szCs w:val="22"/>
              </w:rPr>
              <w:t>12.80%/17.73%</w:t>
            </w:r>
          </w:p>
        </w:tc>
      </w:tr>
      <w:tr w:rsidR="008C0C54" w:rsidRPr="007E7131" w14:paraId="2BBE174F" w14:textId="77777777" w:rsidTr="000E1556">
        <w:trPr>
          <w:trHeight w:val="370"/>
        </w:trPr>
        <w:tc>
          <w:tcPr>
            <w:tcW w:w="1440" w:type="dxa"/>
            <w:shd w:val="clear" w:color="auto" w:fill="auto"/>
            <w:vAlign w:val="center"/>
            <w:hideMark/>
          </w:tcPr>
          <w:p w14:paraId="2C6051B4" w14:textId="77777777" w:rsidR="008C0C54" w:rsidRPr="007E7131" w:rsidRDefault="008C0C54" w:rsidP="008C0C54">
            <w:pPr>
              <w:rPr>
                <w:rFonts w:ascii="Calibri" w:hAnsi="Calibri" w:cs="Calibri"/>
                <w:b/>
                <w:bCs/>
                <w:color w:val="000000"/>
                <w:sz w:val="22"/>
                <w:szCs w:val="22"/>
                <w:lang w:val="en-IN" w:eastAsia="en-IN"/>
              </w:rPr>
            </w:pPr>
            <w:r w:rsidRPr="007E7131">
              <w:rPr>
                <w:rFonts w:ascii="Calibri" w:hAnsi="Calibri" w:cs="Calibri"/>
                <w:b/>
                <w:bCs/>
                <w:color w:val="000000"/>
                <w:sz w:val="22"/>
                <w:szCs w:val="22"/>
                <w:lang w:val="en-IN" w:eastAsia="en-IN"/>
              </w:rPr>
              <w:t>Peak Demand</w:t>
            </w:r>
          </w:p>
        </w:tc>
        <w:tc>
          <w:tcPr>
            <w:tcW w:w="1305" w:type="dxa"/>
            <w:shd w:val="clear" w:color="auto" w:fill="auto"/>
            <w:vAlign w:val="center"/>
            <w:hideMark/>
          </w:tcPr>
          <w:p w14:paraId="062B1F1D" w14:textId="77777777" w:rsidR="008C0C54" w:rsidRPr="007E7131" w:rsidRDefault="008C0C54" w:rsidP="008C0C54">
            <w:pPr>
              <w:jc w:val="center"/>
              <w:rPr>
                <w:rFonts w:ascii="Calibri" w:hAnsi="Calibri" w:cs="Calibri"/>
                <w:color w:val="000000"/>
                <w:sz w:val="22"/>
                <w:szCs w:val="22"/>
                <w:lang w:val="en-IN" w:eastAsia="en-IN"/>
              </w:rPr>
            </w:pPr>
            <w:r w:rsidRPr="007E7131">
              <w:rPr>
                <w:rFonts w:ascii="Calibri" w:hAnsi="Calibri" w:cs="Calibri"/>
                <w:color w:val="000000"/>
                <w:sz w:val="22"/>
                <w:szCs w:val="22"/>
                <w:lang w:val="en-IN" w:eastAsia="en-IN"/>
              </w:rPr>
              <w:t>1013</w:t>
            </w:r>
          </w:p>
        </w:tc>
        <w:tc>
          <w:tcPr>
            <w:tcW w:w="1305" w:type="dxa"/>
            <w:shd w:val="clear" w:color="auto" w:fill="auto"/>
            <w:vAlign w:val="center"/>
            <w:hideMark/>
          </w:tcPr>
          <w:p w14:paraId="3F556245" w14:textId="77777777" w:rsidR="008C0C54" w:rsidRPr="007E7131" w:rsidRDefault="008C0C54" w:rsidP="008C0C54">
            <w:pPr>
              <w:jc w:val="center"/>
              <w:rPr>
                <w:rFonts w:ascii="Calibri" w:hAnsi="Calibri" w:cs="Calibri"/>
                <w:color w:val="000000"/>
                <w:sz w:val="22"/>
                <w:szCs w:val="22"/>
                <w:lang w:val="en-IN" w:eastAsia="en-IN"/>
              </w:rPr>
            </w:pPr>
            <w:r w:rsidRPr="007E7131">
              <w:rPr>
                <w:rFonts w:ascii="Calibri" w:hAnsi="Calibri" w:cs="Calibri"/>
                <w:color w:val="000000"/>
                <w:sz w:val="22"/>
                <w:szCs w:val="22"/>
                <w:lang w:val="en-IN" w:eastAsia="en-IN"/>
              </w:rPr>
              <w:t>1000</w:t>
            </w:r>
          </w:p>
        </w:tc>
        <w:tc>
          <w:tcPr>
            <w:tcW w:w="1305" w:type="dxa"/>
            <w:shd w:val="clear" w:color="auto" w:fill="auto"/>
            <w:vAlign w:val="center"/>
            <w:hideMark/>
          </w:tcPr>
          <w:p w14:paraId="49A7B686" w14:textId="77777777" w:rsidR="008C0C54" w:rsidRPr="007E7131" w:rsidRDefault="008C0C54" w:rsidP="008C0C54">
            <w:pPr>
              <w:jc w:val="center"/>
              <w:rPr>
                <w:rFonts w:ascii="Calibri" w:hAnsi="Calibri" w:cs="Calibri"/>
                <w:color w:val="000000"/>
                <w:sz w:val="22"/>
                <w:szCs w:val="22"/>
                <w:lang w:val="en-IN" w:eastAsia="en-IN"/>
              </w:rPr>
            </w:pPr>
            <w:r w:rsidRPr="007E7131">
              <w:rPr>
                <w:rFonts w:ascii="Calibri" w:hAnsi="Calibri" w:cs="Calibri"/>
                <w:color w:val="000000"/>
                <w:sz w:val="22"/>
                <w:szCs w:val="22"/>
                <w:lang w:val="en-IN" w:eastAsia="en-IN"/>
              </w:rPr>
              <w:t>1037</w:t>
            </w:r>
          </w:p>
        </w:tc>
        <w:tc>
          <w:tcPr>
            <w:tcW w:w="1305" w:type="dxa"/>
            <w:shd w:val="clear" w:color="auto" w:fill="auto"/>
            <w:vAlign w:val="center"/>
            <w:hideMark/>
          </w:tcPr>
          <w:p w14:paraId="42121B21" w14:textId="77777777" w:rsidR="008C0C54" w:rsidRPr="007E7131" w:rsidRDefault="008C0C54" w:rsidP="008C0C54">
            <w:pPr>
              <w:jc w:val="center"/>
              <w:rPr>
                <w:rFonts w:ascii="Calibri" w:hAnsi="Calibri" w:cs="Calibri"/>
                <w:color w:val="000000"/>
                <w:sz w:val="22"/>
                <w:szCs w:val="22"/>
                <w:lang w:val="en-IN" w:eastAsia="en-IN"/>
              </w:rPr>
            </w:pPr>
            <w:r w:rsidRPr="007E7131">
              <w:rPr>
                <w:rFonts w:ascii="Calibri" w:hAnsi="Calibri" w:cs="Calibri"/>
                <w:color w:val="000000"/>
                <w:sz w:val="22"/>
                <w:szCs w:val="22"/>
                <w:lang w:val="en-IN" w:eastAsia="en-IN"/>
              </w:rPr>
              <w:t>1189</w:t>
            </w:r>
          </w:p>
        </w:tc>
        <w:tc>
          <w:tcPr>
            <w:tcW w:w="1305" w:type="dxa"/>
            <w:shd w:val="clear" w:color="auto" w:fill="FFFFFF" w:themeFill="background1"/>
            <w:vAlign w:val="center"/>
            <w:hideMark/>
          </w:tcPr>
          <w:p w14:paraId="4BA7A2C5" w14:textId="77777777" w:rsidR="008C0C54" w:rsidRPr="007E7131" w:rsidRDefault="008C0C54" w:rsidP="008C0C54">
            <w:pPr>
              <w:jc w:val="center"/>
              <w:rPr>
                <w:rFonts w:ascii="Calibri" w:hAnsi="Calibri" w:cs="Calibri"/>
                <w:color w:val="000000"/>
                <w:sz w:val="22"/>
                <w:szCs w:val="22"/>
                <w:lang w:val="en-IN" w:eastAsia="en-IN"/>
              </w:rPr>
            </w:pPr>
            <w:r>
              <w:rPr>
                <w:rFonts w:ascii="Calibri" w:hAnsi="Calibri" w:cs="Calibri"/>
                <w:color w:val="000000"/>
                <w:sz w:val="22"/>
                <w:szCs w:val="22"/>
              </w:rPr>
              <w:t>1313</w:t>
            </w:r>
          </w:p>
        </w:tc>
        <w:tc>
          <w:tcPr>
            <w:tcW w:w="1226" w:type="dxa"/>
            <w:shd w:val="clear" w:color="auto" w:fill="FFFFFF" w:themeFill="background1"/>
            <w:vAlign w:val="center"/>
            <w:hideMark/>
          </w:tcPr>
          <w:p w14:paraId="791C3AFA" w14:textId="77777777" w:rsidR="008C0C54" w:rsidRPr="007E7131" w:rsidRDefault="008C0C54" w:rsidP="008C0C54">
            <w:pPr>
              <w:jc w:val="center"/>
              <w:rPr>
                <w:rFonts w:ascii="Calibri" w:hAnsi="Calibri" w:cs="Calibri"/>
                <w:color w:val="000000"/>
                <w:sz w:val="22"/>
                <w:szCs w:val="22"/>
                <w:lang w:val="en-IN" w:eastAsia="en-IN"/>
              </w:rPr>
            </w:pPr>
            <w:r>
              <w:rPr>
                <w:rFonts w:ascii="Calibri" w:hAnsi="Calibri" w:cs="Calibri"/>
                <w:color w:val="000000"/>
                <w:sz w:val="22"/>
                <w:szCs w:val="22"/>
              </w:rPr>
              <w:t>300</w:t>
            </w:r>
          </w:p>
        </w:tc>
        <w:tc>
          <w:tcPr>
            <w:tcW w:w="1641" w:type="dxa"/>
            <w:shd w:val="clear" w:color="auto" w:fill="auto"/>
            <w:vAlign w:val="center"/>
            <w:hideMark/>
          </w:tcPr>
          <w:p w14:paraId="4B0F79BD" w14:textId="77777777" w:rsidR="008C0C54" w:rsidRPr="007E7131" w:rsidRDefault="008C0C54" w:rsidP="008C0C54">
            <w:pPr>
              <w:jc w:val="center"/>
              <w:rPr>
                <w:rFonts w:ascii="Calibri" w:hAnsi="Calibri" w:cs="Calibri"/>
                <w:b/>
                <w:bCs/>
                <w:color w:val="000000"/>
                <w:sz w:val="22"/>
                <w:szCs w:val="22"/>
                <w:lang w:val="en-IN" w:eastAsia="en-IN"/>
              </w:rPr>
            </w:pPr>
            <w:r>
              <w:rPr>
                <w:rFonts w:ascii="Calibri" w:hAnsi="Calibri" w:cs="Calibri"/>
                <w:b/>
                <w:bCs/>
                <w:color w:val="000000"/>
                <w:sz w:val="22"/>
                <w:szCs w:val="22"/>
              </w:rPr>
              <w:t>30%</w:t>
            </w:r>
          </w:p>
        </w:tc>
      </w:tr>
      <w:tr w:rsidR="008C0C54" w:rsidRPr="007E7131" w14:paraId="75F0193E" w14:textId="77777777" w:rsidTr="000E1556">
        <w:trPr>
          <w:trHeight w:val="284"/>
        </w:trPr>
        <w:tc>
          <w:tcPr>
            <w:tcW w:w="10832" w:type="dxa"/>
            <w:gridSpan w:val="8"/>
            <w:shd w:val="clear" w:color="auto" w:fill="95B3D7" w:themeFill="accent1" w:themeFillTint="99"/>
            <w:vAlign w:val="center"/>
            <w:hideMark/>
          </w:tcPr>
          <w:p w14:paraId="36910EC3" w14:textId="77777777" w:rsidR="008C0C54" w:rsidRPr="007E7131" w:rsidRDefault="008C0C54" w:rsidP="008C0C54">
            <w:pPr>
              <w:rPr>
                <w:rFonts w:ascii="Calibri" w:hAnsi="Calibri" w:cs="Calibri"/>
                <w:b/>
                <w:bCs/>
                <w:color w:val="000000"/>
                <w:sz w:val="22"/>
                <w:szCs w:val="22"/>
                <w:lang w:val="en-IN" w:eastAsia="en-IN"/>
              </w:rPr>
            </w:pPr>
            <w:r w:rsidRPr="007E7131">
              <w:rPr>
                <w:rFonts w:ascii="Calibri" w:hAnsi="Calibri" w:cs="Calibri"/>
                <w:b/>
                <w:bCs/>
                <w:color w:val="000000"/>
                <w:sz w:val="22"/>
                <w:szCs w:val="22"/>
                <w:lang w:val="en-IN" w:eastAsia="en-IN"/>
              </w:rPr>
              <w:t xml:space="preserve">No. of Consumers:    </w:t>
            </w:r>
          </w:p>
        </w:tc>
      </w:tr>
      <w:tr w:rsidR="008C0C54" w:rsidRPr="007E7131" w14:paraId="6FEB61BD" w14:textId="77777777" w:rsidTr="000E1556">
        <w:trPr>
          <w:trHeight w:val="284"/>
        </w:trPr>
        <w:tc>
          <w:tcPr>
            <w:tcW w:w="1440" w:type="dxa"/>
            <w:shd w:val="clear" w:color="auto" w:fill="auto"/>
            <w:vAlign w:val="center"/>
            <w:hideMark/>
          </w:tcPr>
          <w:p w14:paraId="17054787" w14:textId="77777777" w:rsidR="008C0C54" w:rsidRPr="007E7131" w:rsidRDefault="008C0C54" w:rsidP="008C0C54">
            <w:pPr>
              <w:rPr>
                <w:rFonts w:ascii="Calibri" w:hAnsi="Calibri" w:cs="Calibri"/>
                <w:b/>
                <w:bCs/>
                <w:color w:val="000000"/>
                <w:sz w:val="22"/>
                <w:szCs w:val="22"/>
                <w:lang w:val="en-IN" w:eastAsia="en-IN"/>
              </w:rPr>
            </w:pPr>
            <w:r w:rsidRPr="007E7131">
              <w:rPr>
                <w:rFonts w:ascii="Calibri" w:hAnsi="Calibri" w:cs="Calibri"/>
                <w:b/>
                <w:bCs/>
                <w:color w:val="000000"/>
                <w:sz w:val="22"/>
                <w:szCs w:val="22"/>
                <w:lang w:val="en-IN" w:eastAsia="en-IN"/>
              </w:rPr>
              <w:t>EHT</w:t>
            </w:r>
          </w:p>
        </w:tc>
        <w:tc>
          <w:tcPr>
            <w:tcW w:w="1305" w:type="dxa"/>
            <w:shd w:val="clear" w:color="auto" w:fill="auto"/>
            <w:vAlign w:val="center"/>
            <w:hideMark/>
          </w:tcPr>
          <w:p w14:paraId="4095BE04" w14:textId="77777777" w:rsidR="008C0C54" w:rsidRPr="007E7131" w:rsidRDefault="008C0C54" w:rsidP="008C0C54">
            <w:pPr>
              <w:jc w:val="center"/>
              <w:rPr>
                <w:rFonts w:ascii="Calibri" w:hAnsi="Calibri" w:cs="Calibri"/>
                <w:color w:val="000000"/>
                <w:sz w:val="22"/>
                <w:szCs w:val="22"/>
                <w:lang w:val="en-IN" w:eastAsia="en-IN"/>
              </w:rPr>
            </w:pPr>
            <w:r w:rsidRPr="007E7131">
              <w:rPr>
                <w:rFonts w:ascii="Calibri" w:hAnsi="Calibri" w:cs="Calibri"/>
                <w:color w:val="000000"/>
                <w:sz w:val="22"/>
                <w:szCs w:val="22"/>
                <w:lang w:val="en-IN" w:eastAsia="en-IN"/>
              </w:rPr>
              <w:t>36</w:t>
            </w:r>
          </w:p>
        </w:tc>
        <w:tc>
          <w:tcPr>
            <w:tcW w:w="1305" w:type="dxa"/>
            <w:shd w:val="clear" w:color="auto" w:fill="auto"/>
            <w:vAlign w:val="center"/>
            <w:hideMark/>
          </w:tcPr>
          <w:p w14:paraId="4BA76D3A" w14:textId="77777777" w:rsidR="008C0C54" w:rsidRPr="007E7131" w:rsidRDefault="008C0C54" w:rsidP="008C0C54">
            <w:pPr>
              <w:jc w:val="center"/>
              <w:rPr>
                <w:rFonts w:ascii="Calibri" w:hAnsi="Calibri" w:cs="Calibri"/>
                <w:color w:val="000000"/>
                <w:sz w:val="22"/>
                <w:szCs w:val="22"/>
                <w:lang w:val="en-IN" w:eastAsia="en-IN"/>
              </w:rPr>
            </w:pPr>
            <w:r w:rsidRPr="007E7131">
              <w:rPr>
                <w:rFonts w:ascii="Calibri" w:hAnsi="Calibri" w:cs="Calibri"/>
                <w:color w:val="000000"/>
                <w:sz w:val="22"/>
                <w:szCs w:val="22"/>
                <w:lang w:val="en-IN" w:eastAsia="en-IN"/>
              </w:rPr>
              <w:t>37</w:t>
            </w:r>
          </w:p>
        </w:tc>
        <w:tc>
          <w:tcPr>
            <w:tcW w:w="1305" w:type="dxa"/>
            <w:shd w:val="clear" w:color="auto" w:fill="auto"/>
            <w:vAlign w:val="center"/>
            <w:hideMark/>
          </w:tcPr>
          <w:p w14:paraId="711638BD" w14:textId="77777777" w:rsidR="008C0C54" w:rsidRPr="007E7131" w:rsidRDefault="008C0C54" w:rsidP="008C0C54">
            <w:pPr>
              <w:jc w:val="center"/>
              <w:rPr>
                <w:rFonts w:ascii="Calibri" w:hAnsi="Calibri" w:cs="Calibri"/>
                <w:color w:val="000000"/>
                <w:sz w:val="22"/>
                <w:szCs w:val="22"/>
                <w:lang w:val="en-IN" w:eastAsia="en-IN"/>
              </w:rPr>
            </w:pPr>
            <w:r w:rsidRPr="007E7131">
              <w:rPr>
                <w:rFonts w:ascii="Calibri" w:hAnsi="Calibri" w:cs="Calibri"/>
                <w:color w:val="000000"/>
                <w:sz w:val="22"/>
                <w:szCs w:val="22"/>
                <w:lang w:val="en-IN" w:eastAsia="en-IN"/>
              </w:rPr>
              <w:t>41</w:t>
            </w:r>
          </w:p>
        </w:tc>
        <w:tc>
          <w:tcPr>
            <w:tcW w:w="1305" w:type="dxa"/>
            <w:shd w:val="clear" w:color="auto" w:fill="auto"/>
            <w:vAlign w:val="center"/>
            <w:hideMark/>
          </w:tcPr>
          <w:p w14:paraId="7C8B8F5C" w14:textId="77777777" w:rsidR="008C0C54" w:rsidRPr="007E7131" w:rsidRDefault="008C0C54" w:rsidP="008C0C54">
            <w:pPr>
              <w:jc w:val="center"/>
              <w:rPr>
                <w:rFonts w:ascii="Calibri" w:hAnsi="Calibri" w:cs="Calibri"/>
                <w:color w:val="000000"/>
                <w:sz w:val="22"/>
                <w:szCs w:val="22"/>
                <w:lang w:val="en-IN" w:eastAsia="en-IN"/>
              </w:rPr>
            </w:pPr>
            <w:r w:rsidRPr="007E7131">
              <w:rPr>
                <w:rFonts w:ascii="Calibri" w:hAnsi="Calibri" w:cs="Calibri"/>
                <w:color w:val="000000"/>
                <w:sz w:val="22"/>
                <w:szCs w:val="22"/>
                <w:lang w:val="en-IN" w:eastAsia="en-IN"/>
              </w:rPr>
              <w:t>42</w:t>
            </w:r>
          </w:p>
        </w:tc>
        <w:tc>
          <w:tcPr>
            <w:tcW w:w="1305" w:type="dxa"/>
            <w:shd w:val="clear" w:color="auto" w:fill="FFFFFF" w:themeFill="background1"/>
            <w:vAlign w:val="center"/>
            <w:hideMark/>
          </w:tcPr>
          <w:p w14:paraId="1107C16C" w14:textId="77777777" w:rsidR="008C0C54" w:rsidRPr="007E7131" w:rsidRDefault="008C0C54" w:rsidP="008C0C54">
            <w:pPr>
              <w:jc w:val="center"/>
              <w:rPr>
                <w:rFonts w:ascii="Calibri" w:hAnsi="Calibri" w:cs="Calibri"/>
                <w:color w:val="000000"/>
                <w:sz w:val="22"/>
                <w:szCs w:val="22"/>
                <w:lang w:val="en-IN" w:eastAsia="en-IN"/>
              </w:rPr>
            </w:pPr>
            <w:r>
              <w:rPr>
                <w:rFonts w:ascii="Calibri" w:hAnsi="Calibri" w:cs="Calibri"/>
                <w:color w:val="000000"/>
                <w:sz w:val="22"/>
                <w:szCs w:val="22"/>
              </w:rPr>
              <w:t>42</w:t>
            </w:r>
          </w:p>
        </w:tc>
        <w:tc>
          <w:tcPr>
            <w:tcW w:w="1226" w:type="dxa"/>
            <w:shd w:val="clear" w:color="auto" w:fill="auto"/>
            <w:vAlign w:val="center"/>
            <w:hideMark/>
          </w:tcPr>
          <w:p w14:paraId="71940F98" w14:textId="77777777" w:rsidR="008C0C54" w:rsidRPr="007E7131" w:rsidRDefault="008C0C54" w:rsidP="008C0C54">
            <w:pPr>
              <w:jc w:val="center"/>
              <w:rPr>
                <w:rFonts w:ascii="Calibri" w:hAnsi="Calibri" w:cs="Calibri"/>
                <w:color w:val="000000"/>
                <w:sz w:val="22"/>
                <w:szCs w:val="22"/>
                <w:lang w:val="en-IN" w:eastAsia="en-IN"/>
              </w:rPr>
            </w:pPr>
            <w:r>
              <w:rPr>
                <w:rFonts w:ascii="Calibri" w:hAnsi="Calibri" w:cs="Calibri"/>
                <w:color w:val="000000"/>
                <w:sz w:val="22"/>
                <w:szCs w:val="22"/>
              </w:rPr>
              <w:t>6</w:t>
            </w:r>
          </w:p>
        </w:tc>
        <w:tc>
          <w:tcPr>
            <w:tcW w:w="1641" w:type="dxa"/>
            <w:shd w:val="clear" w:color="auto" w:fill="FFFFFF" w:themeFill="background1"/>
            <w:vAlign w:val="center"/>
            <w:hideMark/>
          </w:tcPr>
          <w:p w14:paraId="58271F5F" w14:textId="77777777" w:rsidR="008C0C54" w:rsidRPr="007E7131" w:rsidRDefault="008C0C54" w:rsidP="008C0C54">
            <w:pPr>
              <w:jc w:val="center"/>
              <w:rPr>
                <w:rFonts w:ascii="Calibri" w:hAnsi="Calibri" w:cs="Calibri"/>
                <w:b/>
                <w:bCs/>
                <w:color w:val="000000"/>
                <w:sz w:val="22"/>
                <w:szCs w:val="22"/>
                <w:lang w:val="en-IN" w:eastAsia="en-IN"/>
              </w:rPr>
            </w:pPr>
            <w:r>
              <w:rPr>
                <w:rFonts w:ascii="Calibri" w:hAnsi="Calibri" w:cs="Calibri"/>
                <w:b/>
                <w:bCs/>
                <w:color w:val="000000"/>
                <w:sz w:val="22"/>
                <w:szCs w:val="22"/>
              </w:rPr>
              <w:t>16.67%</w:t>
            </w:r>
          </w:p>
        </w:tc>
      </w:tr>
      <w:tr w:rsidR="008C0C54" w:rsidRPr="007E7131" w14:paraId="3BBD34B7" w14:textId="77777777" w:rsidTr="000E1556">
        <w:trPr>
          <w:trHeight w:val="284"/>
        </w:trPr>
        <w:tc>
          <w:tcPr>
            <w:tcW w:w="1440" w:type="dxa"/>
            <w:shd w:val="clear" w:color="auto" w:fill="auto"/>
            <w:vAlign w:val="center"/>
            <w:hideMark/>
          </w:tcPr>
          <w:p w14:paraId="341194E2" w14:textId="77777777" w:rsidR="008C0C54" w:rsidRPr="007E7131" w:rsidRDefault="008C0C54" w:rsidP="008C0C54">
            <w:pPr>
              <w:rPr>
                <w:rFonts w:ascii="Calibri" w:hAnsi="Calibri" w:cs="Calibri"/>
                <w:b/>
                <w:bCs/>
                <w:color w:val="000000"/>
                <w:sz w:val="22"/>
                <w:szCs w:val="22"/>
                <w:lang w:val="en-IN" w:eastAsia="en-IN"/>
              </w:rPr>
            </w:pPr>
            <w:r w:rsidRPr="007E7131">
              <w:rPr>
                <w:rFonts w:ascii="Calibri" w:hAnsi="Calibri" w:cs="Calibri"/>
                <w:b/>
                <w:bCs/>
                <w:color w:val="000000"/>
                <w:sz w:val="22"/>
                <w:szCs w:val="22"/>
                <w:lang w:val="en-IN" w:eastAsia="en-IN"/>
              </w:rPr>
              <w:t>HT</w:t>
            </w:r>
          </w:p>
        </w:tc>
        <w:tc>
          <w:tcPr>
            <w:tcW w:w="1305" w:type="dxa"/>
            <w:shd w:val="clear" w:color="auto" w:fill="auto"/>
            <w:vAlign w:val="center"/>
            <w:hideMark/>
          </w:tcPr>
          <w:p w14:paraId="21897A72" w14:textId="77777777" w:rsidR="008C0C54" w:rsidRPr="007E7131" w:rsidRDefault="008C0C54" w:rsidP="008C0C54">
            <w:pPr>
              <w:jc w:val="center"/>
              <w:rPr>
                <w:rFonts w:ascii="Calibri" w:hAnsi="Calibri" w:cs="Calibri"/>
                <w:color w:val="000000"/>
                <w:sz w:val="22"/>
                <w:szCs w:val="22"/>
                <w:lang w:val="en-IN" w:eastAsia="en-IN"/>
              </w:rPr>
            </w:pPr>
            <w:r w:rsidRPr="007E7131">
              <w:rPr>
                <w:rFonts w:ascii="Calibri" w:hAnsi="Calibri" w:cs="Calibri"/>
                <w:color w:val="000000"/>
                <w:sz w:val="22"/>
                <w:szCs w:val="22"/>
                <w:lang w:val="en-IN" w:eastAsia="en-IN"/>
              </w:rPr>
              <w:t>557</w:t>
            </w:r>
          </w:p>
        </w:tc>
        <w:tc>
          <w:tcPr>
            <w:tcW w:w="1305" w:type="dxa"/>
            <w:shd w:val="clear" w:color="auto" w:fill="auto"/>
            <w:vAlign w:val="center"/>
            <w:hideMark/>
          </w:tcPr>
          <w:p w14:paraId="322B20CF" w14:textId="77777777" w:rsidR="008C0C54" w:rsidRPr="007E7131" w:rsidRDefault="008C0C54" w:rsidP="008C0C54">
            <w:pPr>
              <w:jc w:val="center"/>
              <w:rPr>
                <w:rFonts w:ascii="Calibri" w:hAnsi="Calibri" w:cs="Calibri"/>
                <w:color w:val="000000"/>
                <w:sz w:val="22"/>
                <w:szCs w:val="22"/>
                <w:lang w:val="en-IN" w:eastAsia="en-IN"/>
              </w:rPr>
            </w:pPr>
            <w:r w:rsidRPr="007E7131">
              <w:rPr>
                <w:rFonts w:ascii="Calibri" w:hAnsi="Calibri" w:cs="Calibri"/>
                <w:color w:val="000000"/>
                <w:sz w:val="22"/>
                <w:szCs w:val="22"/>
                <w:lang w:val="en-IN" w:eastAsia="en-IN"/>
              </w:rPr>
              <w:t>614</w:t>
            </w:r>
          </w:p>
        </w:tc>
        <w:tc>
          <w:tcPr>
            <w:tcW w:w="1305" w:type="dxa"/>
            <w:shd w:val="clear" w:color="auto" w:fill="auto"/>
            <w:vAlign w:val="center"/>
            <w:hideMark/>
          </w:tcPr>
          <w:p w14:paraId="3B968449" w14:textId="77777777" w:rsidR="008C0C54" w:rsidRPr="007E7131" w:rsidRDefault="008C0C54" w:rsidP="008C0C54">
            <w:pPr>
              <w:jc w:val="center"/>
              <w:rPr>
                <w:rFonts w:ascii="Calibri" w:hAnsi="Calibri" w:cs="Calibri"/>
                <w:color w:val="000000"/>
                <w:sz w:val="22"/>
                <w:szCs w:val="22"/>
                <w:lang w:val="en-IN" w:eastAsia="en-IN"/>
              </w:rPr>
            </w:pPr>
            <w:r w:rsidRPr="007E7131">
              <w:rPr>
                <w:rFonts w:ascii="Calibri" w:hAnsi="Calibri" w:cs="Calibri"/>
                <w:color w:val="000000"/>
                <w:sz w:val="22"/>
                <w:szCs w:val="22"/>
                <w:lang w:val="en-IN" w:eastAsia="en-IN"/>
              </w:rPr>
              <w:t>659</w:t>
            </w:r>
          </w:p>
        </w:tc>
        <w:tc>
          <w:tcPr>
            <w:tcW w:w="1305" w:type="dxa"/>
            <w:shd w:val="clear" w:color="auto" w:fill="auto"/>
            <w:vAlign w:val="center"/>
            <w:hideMark/>
          </w:tcPr>
          <w:p w14:paraId="185DAB41" w14:textId="77777777" w:rsidR="008C0C54" w:rsidRPr="007E7131" w:rsidRDefault="008C0C54" w:rsidP="008C0C54">
            <w:pPr>
              <w:jc w:val="center"/>
              <w:rPr>
                <w:rFonts w:ascii="Calibri" w:hAnsi="Calibri" w:cs="Calibri"/>
                <w:color w:val="000000"/>
                <w:sz w:val="22"/>
                <w:szCs w:val="22"/>
                <w:lang w:val="en-IN" w:eastAsia="en-IN"/>
              </w:rPr>
            </w:pPr>
            <w:r w:rsidRPr="007E7131">
              <w:rPr>
                <w:rFonts w:ascii="Calibri" w:hAnsi="Calibri" w:cs="Calibri"/>
                <w:color w:val="000000"/>
                <w:sz w:val="22"/>
                <w:szCs w:val="22"/>
                <w:lang w:val="en-IN" w:eastAsia="en-IN"/>
              </w:rPr>
              <w:t>748</w:t>
            </w:r>
          </w:p>
        </w:tc>
        <w:tc>
          <w:tcPr>
            <w:tcW w:w="1305" w:type="dxa"/>
            <w:shd w:val="clear" w:color="auto" w:fill="FFFFFF" w:themeFill="background1"/>
            <w:vAlign w:val="center"/>
            <w:hideMark/>
          </w:tcPr>
          <w:p w14:paraId="5C7FA212" w14:textId="77777777" w:rsidR="008C0C54" w:rsidRPr="007E7131" w:rsidRDefault="008C0C54" w:rsidP="008C0C54">
            <w:pPr>
              <w:jc w:val="center"/>
              <w:rPr>
                <w:rFonts w:ascii="Calibri" w:hAnsi="Calibri" w:cs="Calibri"/>
                <w:color w:val="000000"/>
                <w:sz w:val="22"/>
                <w:szCs w:val="22"/>
                <w:lang w:val="en-IN" w:eastAsia="en-IN"/>
              </w:rPr>
            </w:pPr>
            <w:r>
              <w:rPr>
                <w:rFonts w:ascii="Calibri" w:hAnsi="Calibri" w:cs="Calibri"/>
                <w:color w:val="000000"/>
                <w:sz w:val="22"/>
                <w:szCs w:val="22"/>
              </w:rPr>
              <w:t>799</w:t>
            </w:r>
          </w:p>
        </w:tc>
        <w:tc>
          <w:tcPr>
            <w:tcW w:w="1226" w:type="dxa"/>
            <w:shd w:val="clear" w:color="auto" w:fill="auto"/>
            <w:vAlign w:val="center"/>
            <w:hideMark/>
          </w:tcPr>
          <w:p w14:paraId="277974FE" w14:textId="77777777" w:rsidR="008C0C54" w:rsidRPr="007E7131" w:rsidRDefault="008C0C54" w:rsidP="008C0C54">
            <w:pPr>
              <w:jc w:val="center"/>
              <w:rPr>
                <w:rFonts w:ascii="Calibri" w:hAnsi="Calibri" w:cs="Calibri"/>
                <w:color w:val="000000"/>
                <w:sz w:val="22"/>
                <w:szCs w:val="22"/>
                <w:lang w:val="en-IN" w:eastAsia="en-IN"/>
              </w:rPr>
            </w:pPr>
            <w:r>
              <w:rPr>
                <w:rFonts w:ascii="Calibri" w:hAnsi="Calibri" w:cs="Calibri"/>
                <w:color w:val="000000"/>
                <w:sz w:val="22"/>
                <w:szCs w:val="22"/>
              </w:rPr>
              <w:t>242</w:t>
            </w:r>
          </w:p>
        </w:tc>
        <w:tc>
          <w:tcPr>
            <w:tcW w:w="1641" w:type="dxa"/>
            <w:shd w:val="clear" w:color="auto" w:fill="FFFFFF" w:themeFill="background1"/>
            <w:vAlign w:val="center"/>
            <w:hideMark/>
          </w:tcPr>
          <w:p w14:paraId="7989EFB0" w14:textId="77777777" w:rsidR="008C0C54" w:rsidRPr="007E7131" w:rsidRDefault="008C0C54" w:rsidP="008C0C54">
            <w:pPr>
              <w:jc w:val="center"/>
              <w:rPr>
                <w:rFonts w:ascii="Calibri" w:hAnsi="Calibri" w:cs="Calibri"/>
                <w:b/>
                <w:bCs/>
                <w:color w:val="000000"/>
                <w:sz w:val="22"/>
                <w:szCs w:val="22"/>
                <w:lang w:val="en-IN" w:eastAsia="en-IN"/>
              </w:rPr>
            </w:pPr>
            <w:r>
              <w:rPr>
                <w:rFonts w:ascii="Calibri" w:hAnsi="Calibri" w:cs="Calibri"/>
                <w:b/>
                <w:bCs/>
                <w:color w:val="000000"/>
                <w:sz w:val="22"/>
                <w:szCs w:val="22"/>
              </w:rPr>
              <w:t>43.45%</w:t>
            </w:r>
          </w:p>
        </w:tc>
      </w:tr>
      <w:tr w:rsidR="008C0C54" w:rsidRPr="007E7131" w14:paraId="0EFE4706" w14:textId="77777777" w:rsidTr="000E1556">
        <w:trPr>
          <w:trHeight w:val="284"/>
        </w:trPr>
        <w:tc>
          <w:tcPr>
            <w:tcW w:w="1440" w:type="dxa"/>
            <w:shd w:val="clear" w:color="auto" w:fill="auto"/>
            <w:vAlign w:val="center"/>
            <w:hideMark/>
          </w:tcPr>
          <w:p w14:paraId="649C1B08" w14:textId="77777777" w:rsidR="008C0C54" w:rsidRPr="007E7131" w:rsidRDefault="008C0C54" w:rsidP="008C0C54">
            <w:pPr>
              <w:rPr>
                <w:rFonts w:ascii="Calibri" w:hAnsi="Calibri" w:cs="Calibri"/>
                <w:b/>
                <w:bCs/>
                <w:color w:val="000000"/>
                <w:sz w:val="22"/>
                <w:szCs w:val="22"/>
                <w:lang w:val="en-IN" w:eastAsia="en-IN"/>
              </w:rPr>
            </w:pPr>
            <w:r w:rsidRPr="007E7131">
              <w:rPr>
                <w:rFonts w:ascii="Calibri" w:hAnsi="Calibri" w:cs="Calibri"/>
                <w:b/>
                <w:bCs/>
                <w:color w:val="000000"/>
                <w:sz w:val="22"/>
                <w:szCs w:val="22"/>
                <w:lang w:val="en-IN" w:eastAsia="en-IN"/>
              </w:rPr>
              <w:t>LT</w:t>
            </w:r>
          </w:p>
        </w:tc>
        <w:tc>
          <w:tcPr>
            <w:tcW w:w="1305" w:type="dxa"/>
            <w:shd w:val="clear" w:color="auto" w:fill="auto"/>
            <w:vAlign w:val="center"/>
            <w:hideMark/>
          </w:tcPr>
          <w:p w14:paraId="53C5F7D8" w14:textId="77777777" w:rsidR="008C0C54" w:rsidRPr="007E7131" w:rsidRDefault="008C0C54" w:rsidP="008C0C54">
            <w:pPr>
              <w:jc w:val="center"/>
              <w:rPr>
                <w:rFonts w:ascii="Calibri" w:hAnsi="Calibri" w:cs="Calibri"/>
                <w:color w:val="000000"/>
                <w:sz w:val="22"/>
                <w:szCs w:val="22"/>
                <w:lang w:val="en-IN" w:eastAsia="en-IN"/>
              </w:rPr>
            </w:pPr>
            <w:r w:rsidRPr="007E7131">
              <w:rPr>
                <w:rFonts w:ascii="Calibri" w:hAnsi="Calibri" w:cs="Calibri"/>
                <w:color w:val="000000"/>
                <w:sz w:val="22"/>
                <w:szCs w:val="22"/>
                <w:lang w:val="en-IN" w:eastAsia="en-IN"/>
              </w:rPr>
              <w:t>20,07,540</w:t>
            </w:r>
          </w:p>
        </w:tc>
        <w:tc>
          <w:tcPr>
            <w:tcW w:w="1305" w:type="dxa"/>
            <w:shd w:val="clear" w:color="auto" w:fill="auto"/>
            <w:vAlign w:val="center"/>
            <w:hideMark/>
          </w:tcPr>
          <w:p w14:paraId="6CC1EF8F" w14:textId="77777777" w:rsidR="008C0C54" w:rsidRPr="007E7131" w:rsidRDefault="008C0C54" w:rsidP="008C0C54">
            <w:pPr>
              <w:jc w:val="center"/>
              <w:rPr>
                <w:rFonts w:ascii="Calibri" w:hAnsi="Calibri" w:cs="Calibri"/>
                <w:color w:val="000000"/>
                <w:sz w:val="22"/>
                <w:szCs w:val="22"/>
                <w:lang w:val="en-IN" w:eastAsia="en-IN"/>
              </w:rPr>
            </w:pPr>
            <w:r w:rsidRPr="007E7131">
              <w:rPr>
                <w:rFonts w:ascii="Calibri" w:hAnsi="Calibri" w:cs="Calibri"/>
                <w:color w:val="000000"/>
                <w:sz w:val="22"/>
                <w:szCs w:val="22"/>
                <w:lang w:val="en-IN" w:eastAsia="en-IN"/>
              </w:rPr>
              <w:t>20,88,432</w:t>
            </w:r>
          </w:p>
        </w:tc>
        <w:tc>
          <w:tcPr>
            <w:tcW w:w="1305" w:type="dxa"/>
            <w:shd w:val="clear" w:color="auto" w:fill="auto"/>
            <w:vAlign w:val="center"/>
            <w:hideMark/>
          </w:tcPr>
          <w:p w14:paraId="671035D6" w14:textId="77777777" w:rsidR="008C0C54" w:rsidRPr="007E7131" w:rsidRDefault="008C0C54" w:rsidP="008C0C54">
            <w:pPr>
              <w:jc w:val="center"/>
              <w:rPr>
                <w:rFonts w:ascii="Calibri" w:hAnsi="Calibri" w:cs="Calibri"/>
                <w:color w:val="000000"/>
                <w:sz w:val="22"/>
                <w:szCs w:val="22"/>
                <w:lang w:val="en-IN" w:eastAsia="en-IN"/>
              </w:rPr>
            </w:pPr>
            <w:r w:rsidRPr="007E7131">
              <w:rPr>
                <w:rFonts w:ascii="Calibri" w:hAnsi="Calibri" w:cs="Calibri"/>
                <w:color w:val="000000"/>
                <w:sz w:val="22"/>
                <w:szCs w:val="22"/>
                <w:lang w:val="en-IN" w:eastAsia="en-IN"/>
              </w:rPr>
              <w:t>20,40,888*</w:t>
            </w:r>
          </w:p>
        </w:tc>
        <w:tc>
          <w:tcPr>
            <w:tcW w:w="1305" w:type="dxa"/>
            <w:shd w:val="clear" w:color="auto" w:fill="auto"/>
            <w:vAlign w:val="center"/>
            <w:hideMark/>
          </w:tcPr>
          <w:p w14:paraId="73EE3A5D" w14:textId="77777777" w:rsidR="008C0C54" w:rsidRPr="007E7131" w:rsidRDefault="008C0C54" w:rsidP="008C0C54">
            <w:pPr>
              <w:jc w:val="center"/>
              <w:rPr>
                <w:rFonts w:ascii="Calibri" w:hAnsi="Calibri" w:cs="Calibri"/>
                <w:color w:val="000000"/>
                <w:sz w:val="22"/>
                <w:szCs w:val="22"/>
                <w:lang w:val="en-IN" w:eastAsia="en-IN"/>
              </w:rPr>
            </w:pPr>
            <w:r w:rsidRPr="007E7131">
              <w:rPr>
                <w:rFonts w:ascii="Calibri" w:hAnsi="Calibri" w:cs="Calibri"/>
                <w:color w:val="000000"/>
                <w:sz w:val="22"/>
                <w:szCs w:val="22"/>
                <w:lang w:val="en-IN" w:eastAsia="en-IN"/>
              </w:rPr>
              <w:t>19,53,723</w:t>
            </w:r>
            <w:r>
              <w:rPr>
                <w:rFonts w:ascii="Calibri" w:hAnsi="Calibri" w:cs="Calibri"/>
                <w:color w:val="000000"/>
                <w:sz w:val="22"/>
                <w:szCs w:val="22"/>
                <w:lang w:val="en-IN" w:eastAsia="en-IN"/>
              </w:rPr>
              <w:t>*</w:t>
            </w:r>
          </w:p>
        </w:tc>
        <w:tc>
          <w:tcPr>
            <w:tcW w:w="1305" w:type="dxa"/>
            <w:shd w:val="clear" w:color="auto" w:fill="auto"/>
            <w:vAlign w:val="center"/>
            <w:hideMark/>
          </w:tcPr>
          <w:p w14:paraId="15420A02" w14:textId="77777777" w:rsidR="008C0C54" w:rsidRPr="007E7131" w:rsidRDefault="008C0C54" w:rsidP="008C0C54">
            <w:pPr>
              <w:jc w:val="center"/>
              <w:rPr>
                <w:rFonts w:ascii="Calibri" w:hAnsi="Calibri" w:cs="Calibri"/>
                <w:color w:val="000000"/>
                <w:sz w:val="22"/>
                <w:szCs w:val="22"/>
                <w:lang w:val="en-IN" w:eastAsia="en-IN"/>
              </w:rPr>
            </w:pPr>
            <w:r>
              <w:rPr>
                <w:rFonts w:ascii="Calibri" w:hAnsi="Calibri" w:cs="Calibri"/>
                <w:color w:val="000000"/>
                <w:sz w:val="22"/>
                <w:szCs w:val="22"/>
              </w:rPr>
              <w:t>19,81,521</w:t>
            </w:r>
          </w:p>
        </w:tc>
        <w:tc>
          <w:tcPr>
            <w:tcW w:w="1226" w:type="dxa"/>
            <w:shd w:val="clear" w:color="auto" w:fill="auto"/>
            <w:vAlign w:val="center"/>
            <w:hideMark/>
          </w:tcPr>
          <w:p w14:paraId="2186AAE5" w14:textId="77777777" w:rsidR="008C0C54" w:rsidRPr="007E7131" w:rsidRDefault="008C0C54" w:rsidP="008C0C54">
            <w:pPr>
              <w:jc w:val="center"/>
              <w:rPr>
                <w:rFonts w:ascii="Calibri" w:hAnsi="Calibri" w:cs="Calibri"/>
                <w:color w:val="000000"/>
                <w:sz w:val="22"/>
                <w:szCs w:val="22"/>
                <w:lang w:val="en-IN" w:eastAsia="en-IN"/>
              </w:rPr>
            </w:pPr>
            <w:r>
              <w:rPr>
                <w:rFonts w:ascii="Calibri" w:hAnsi="Calibri" w:cs="Calibri"/>
                <w:color w:val="000000"/>
                <w:sz w:val="22"/>
                <w:szCs w:val="22"/>
              </w:rPr>
              <w:t>-26019</w:t>
            </w:r>
          </w:p>
        </w:tc>
        <w:tc>
          <w:tcPr>
            <w:tcW w:w="1641" w:type="dxa"/>
            <w:shd w:val="clear" w:color="auto" w:fill="FFFFFF" w:themeFill="background1"/>
            <w:vAlign w:val="center"/>
            <w:hideMark/>
          </w:tcPr>
          <w:p w14:paraId="4656E790" w14:textId="77777777" w:rsidR="008C0C54" w:rsidRPr="007E7131" w:rsidRDefault="008C0C54" w:rsidP="008C0C54">
            <w:pPr>
              <w:jc w:val="center"/>
              <w:rPr>
                <w:rFonts w:ascii="Calibri" w:hAnsi="Calibri" w:cs="Calibri"/>
                <w:b/>
                <w:bCs/>
                <w:color w:val="000000"/>
                <w:sz w:val="22"/>
                <w:szCs w:val="22"/>
                <w:lang w:val="en-IN" w:eastAsia="en-IN"/>
              </w:rPr>
            </w:pPr>
            <w:r>
              <w:rPr>
                <w:rFonts w:ascii="Calibri" w:hAnsi="Calibri" w:cs="Calibri"/>
                <w:b/>
                <w:bCs/>
                <w:color w:val="000000"/>
                <w:sz w:val="22"/>
                <w:szCs w:val="22"/>
              </w:rPr>
              <w:t>-1.30%</w:t>
            </w:r>
          </w:p>
        </w:tc>
      </w:tr>
      <w:tr w:rsidR="008C0C54" w:rsidRPr="007E7131" w14:paraId="11313F8F" w14:textId="77777777" w:rsidTr="000E1556">
        <w:trPr>
          <w:trHeight w:val="284"/>
        </w:trPr>
        <w:tc>
          <w:tcPr>
            <w:tcW w:w="1440" w:type="dxa"/>
            <w:shd w:val="clear" w:color="auto" w:fill="auto"/>
            <w:vAlign w:val="center"/>
            <w:hideMark/>
          </w:tcPr>
          <w:p w14:paraId="4BF75E23" w14:textId="77777777" w:rsidR="008C0C54" w:rsidRPr="007E7131" w:rsidRDefault="008C0C54" w:rsidP="008C0C54">
            <w:pPr>
              <w:rPr>
                <w:rFonts w:ascii="Calibri" w:hAnsi="Calibri" w:cs="Calibri"/>
                <w:b/>
                <w:bCs/>
                <w:color w:val="000000"/>
                <w:sz w:val="22"/>
                <w:szCs w:val="22"/>
                <w:lang w:val="en-IN" w:eastAsia="en-IN"/>
              </w:rPr>
            </w:pPr>
            <w:r w:rsidRPr="007E7131">
              <w:rPr>
                <w:rFonts w:ascii="Calibri" w:hAnsi="Calibri" w:cs="Calibri"/>
                <w:b/>
                <w:bCs/>
                <w:color w:val="000000"/>
                <w:sz w:val="22"/>
                <w:szCs w:val="22"/>
                <w:lang w:val="en-IN" w:eastAsia="en-IN"/>
              </w:rPr>
              <w:t>TOTAL</w:t>
            </w:r>
          </w:p>
        </w:tc>
        <w:tc>
          <w:tcPr>
            <w:tcW w:w="1305" w:type="dxa"/>
            <w:shd w:val="clear" w:color="auto" w:fill="auto"/>
            <w:vAlign w:val="center"/>
            <w:hideMark/>
          </w:tcPr>
          <w:p w14:paraId="6BE33DF4" w14:textId="77777777" w:rsidR="008C0C54" w:rsidRPr="007E7131" w:rsidRDefault="008C0C54" w:rsidP="008C0C54">
            <w:pPr>
              <w:jc w:val="center"/>
              <w:rPr>
                <w:rFonts w:ascii="Calibri" w:hAnsi="Calibri" w:cs="Calibri"/>
                <w:b/>
                <w:bCs/>
                <w:color w:val="000000"/>
                <w:sz w:val="22"/>
                <w:szCs w:val="22"/>
                <w:lang w:val="en-IN" w:eastAsia="en-IN"/>
              </w:rPr>
            </w:pPr>
            <w:r w:rsidRPr="007E7131">
              <w:rPr>
                <w:rFonts w:ascii="Calibri" w:hAnsi="Calibri" w:cs="Calibri"/>
                <w:b/>
                <w:bCs/>
                <w:color w:val="000000"/>
                <w:sz w:val="22"/>
                <w:szCs w:val="22"/>
                <w:lang w:val="en-IN" w:eastAsia="en-IN"/>
              </w:rPr>
              <w:t>20,08,133</w:t>
            </w:r>
          </w:p>
        </w:tc>
        <w:tc>
          <w:tcPr>
            <w:tcW w:w="1305" w:type="dxa"/>
            <w:shd w:val="clear" w:color="auto" w:fill="auto"/>
            <w:vAlign w:val="center"/>
            <w:hideMark/>
          </w:tcPr>
          <w:p w14:paraId="07CCA04C" w14:textId="77777777" w:rsidR="008C0C54" w:rsidRPr="007E7131" w:rsidRDefault="008C0C54" w:rsidP="008C0C54">
            <w:pPr>
              <w:jc w:val="center"/>
              <w:rPr>
                <w:rFonts w:ascii="Calibri" w:hAnsi="Calibri" w:cs="Calibri"/>
                <w:b/>
                <w:bCs/>
                <w:color w:val="000000"/>
                <w:sz w:val="22"/>
                <w:szCs w:val="22"/>
                <w:lang w:val="en-IN" w:eastAsia="en-IN"/>
              </w:rPr>
            </w:pPr>
            <w:r w:rsidRPr="007E7131">
              <w:rPr>
                <w:rFonts w:ascii="Calibri" w:hAnsi="Calibri" w:cs="Calibri"/>
                <w:b/>
                <w:bCs/>
                <w:color w:val="000000"/>
                <w:sz w:val="22"/>
                <w:szCs w:val="22"/>
                <w:lang w:val="en-IN" w:eastAsia="en-IN"/>
              </w:rPr>
              <w:t>20,89,083</w:t>
            </w:r>
          </w:p>
        </w:tc>
        <w:tc>
          <w:tcPr>
            <w:tcW w:w="1305" w:type="dxa"/>
            <w:shd w:val="clear" w:color="auto" w:fill="auto"/>
            <w:vAlign w:val="center"/>
            <w:hideMark/>
          </w:tcPr>
          <w:p w14:paraId="502E3164" w14:textId="77777777" w:rsidR="008C0C54" w:rsidRPr="007E7131" w:rsidRDefault="008C0C54" w:rsidP="008C0C54">
            <w:pPr>
              <w:jc w:val="center"/>
              <w:rPr>
                <w:rFonts w:ascii="Calibri" w:hAnsi="Calibri" w:cs="Calibri"/>
                <w:b/>
                <w:bCs/>
                <w:color w:val="000000"/>
                <w:sz w:val="22"/>
                <w:szCs w:val="22"/>
                <w:lang w:val="en-IN" w:eastAsia="en-IN"/>
              </w:rPr>
            </w:pPr>
            <w:r w:rsidRPr="007E7131">
              <w:rPr>
                <w:rFonts w:ascii="Calibri" w:hAnsi="Calibri" w:cs="Calibri"/>
                <w:b/>
                <w:bCs/>
                <w:color w:val="000000"/>
                <w:sz w:val="22"/>
                <w:szCs w:val="22"/>
                <w:lang w:val="en-IN" w:eastAsia="en-IN"/>
              </w:rPr>
              <w:t>2041588</w:t>
            </w:r>
          </w:p>
        </w:tc>
        <w:tc>
          <w:tcPr>
            <w:tcW w:w="1305" w:type="dxa"/>
            <w:shd w:val="clear" w:color="auto" w:fill="auto"/>
            <w:vAlign w:val="center"/>
            <w:hideMark/>
          </w:tcPr>
          <w:p w14:paraId="1729A27F" w14:textId="77777777" w:rsidR="008C0C54" w:rsidRPr="007E7131" w:rsidRDefault="008C0C54" w:rsidP="008C0C54">
            <w:pPr>
              <w:jc w:val="center"/>
              <w:rPr>
                <w:rFonts w:ascii="Calibri" w:hAnsi="Calibri" w:cs="Calibri"/>
                <w:b/>
                <w:bCs/>
                <w:color w:val="000000"/>
                <w:sz w:val="22"/>
                <w:szCs w:val="22"/>
                <w:lang w:val="en-IN" w:eastAsia="en-IN"/>
              </w:rPr>
            </w:pPr>
            <w:r w:rsidRPr="007E7131">
              <w:rPr>
                <w:rFonts w:ascii="Calibri" w:hAnsi="Calibri" w:cs="Calibri"/>
                <w:b/>
                <w:bCs/>
                <w:color w:val="000000"/>
                <w:sz w:val="22"/>
                <w:szCs w:val="22"/>
                <w:lang w:val="en-IN" w:eastAsia="en-IN"/>
              </w:rPr>
              <w:t>19,54,513</w:t>
            </w:r>
          </w:p>
        </w:tc>
        <w:tc>
          <w:tcPr>
            <w:tcW w:w="1305" w:type="dxa"/>
            <w:shd w:val="clear" w:color="auto" w:fill="auto"/>
            <w:vAlign w:val="center"/>
            <w:hideMark/>
          </w:tcPr>
          <w:p w14:paraId="334B9B75" w14:textId="77777777" w:rsidR="008C0C54" w:rsidRPr="00BE57D1" w:rsidRDefault="008C0C54" w:rsidP="008C0C54">
            <w:pPr>
              <w:jc w:val="center"/>
              <w:rPr>
                <w:rFonts w:ascii="Calibri" w:hAnsi="Calibri" w:cs="Calibri"/>
                <w:b/>
                <w:color w:val="000000"/>
                <w:sz w:val="22"/>
                <w:szCs w:val="22"/>
                <w:lang w:val="en-IN" w:eastAsia="en-IN"/>
              </w:rPr>
            </w:pPr>
            <w:r>
              <w:rPr>
                <w:rFonts w:ascii="Calibri" w:hAnsi="Calibri" w:cs="Calibri"/>
                <w:b/>
                <w:bCs/>
                <w:color w:val="000000"/>
                <w:sz w:val="22"/>
                <w:szCs w:val="22"/>
              </w:rPr>
              <w:t>19,82,362</w:t>
            </w:r>
          </w:p>
        </w:tc>
        <w:tc>
          <w:tcPr>
            <w:tcW w:w="1226" w:type="dxa"/>
            <w:shd w:val="clear" w:color="auto" w:fill="auto"/>
            <w:vAlign w:val="center"/>
            <w:hideMark/>
          </w:tcPr>
          <w:p w14:paraId="7697AF9E" w14:textId="77777777" w:rsidR="008C0C54" w:rsidRPr="007E7131" w:rsidRDefault="008C0C54" w:rsidP="008C0C54">
            <w:pPr>
              <w:jc w:val="center"/>
              <w:rPr>
                <w:rFonts w:ascii="Calibri" w:hAnsi="Calibri" w:cs="Calibri"/>
                <w:color w:val="000000"/>
                <w:sz w:val="22"/>
                <w:szCs w:val="22"/>
                <w:lang w:val="en-IN" w:eastAsia="en-IN"/>
              </w:rPr>
            </w:pPr>
            <w:r>
              <w:rPr>
                <w:rFonts w:ascii="Calibri" w:hAnsi="Calibri" w:cs="Calibri"/>
                <w:color w:val="000000"/>
                <w:sz w:val="22"/>
                <w:szCs w:val="22"/>
              </w:rPr>
              <w:t>-25,771</w:t>
            </w:r>
          </w:p>
        </w:tc>
        <w:tc>
          <w:tcPr>
            <w:tcW w:w="1641" w:type="dxa"/>
            <w:shd w:val="clear" w:color="auto" w:fill="FFFFFF" w:themeFill="background1"/>
            <w:vAlign w:val="center"/>
            <w:hideMark/>
          </w:tcPr>
          <w:p w14:paraId="3439319E" w14:textId="77777777" w:rsidR="008C0C54" w:rsidRPr="007E7131" w:rsidRDefault="008C0C54" w:rsidP="008C0C54">
            <w:pPr>
              <w:jc w:val="center"/>
              <w:rPr>
                <w:rFonts w:ascii="Calibri" w:hAnsi="Calibri" w:cs="Calibri"/>
                <w:b/>
                <w:bCs/>
                <w:color w:val="000000"/>
                <w:sz w:val="22"/>
                <w:szCs w:val="22"/>
                <w:lang w:val="en-IN" w:eastAsia="en-IN"/>
              </w:rPr>
            </w:pPr>
            <w:r>
              <w:rPr>
                <w:rFonts w:ascii="Calibri" w:hAnsi="Calibri" w:cs="Calibri"/>
                <w:b/>
                <w:bCs/>
                <w:color w:val="000000"/>
                <w:sz w:val="22"/>
                <w:szCs w:val="22"/>
              </w:rPr>
              <w:t>-1.28%</w:t>
            </w:r>
          </w:p>
        </w:tc>
      </w:tr>
      <w:tr w:rsidR="008C0C54" w:rsidRPr="007E7131" w14:paraId="6B9390E1" w14:textId="77777777" w:rsidTr="000E1556">
        <w:trPr>
          <w:trHeight w:val="540"/>
        </w:trPr>
        <w:tc>
          <w:tcPr>
            <w:tcW w:w="1440" w:type="dxa"/>
            <w:shd w:val="clear" w:color="auto" w:fill="auto"/>
            <w:vAlign w:val="center"/>
            <w:hideMark/>
          </w:tcPr>
          <w:p w14:paraId="55DA4A5A" w14:textId="77777777" w:rsidR="008C0C54" w:rsidRPr="007E7131" w:rsidRDefault="008C0C54" w:rsidP="008C0C54">
            <w:pPr>
              <w:rPr>
                <w:rFonts w:ascii="Calibri" w:hAnsi="Calibri" w:cs="Calibri"/>
                <w:b/>
                <w:bCs/>
                <w:color w:val="000000"/>
                <w:sz w:val="22"/>
                <w:szCs w:val="22"/>
                <w:lang w:val="en-IN" w:eastAsia="en-IN"/>
              </w:rPr>
            </w:pPr>
            <w:r w:rsidRPr="007E7131">
              <w:rPr>
                <w:rFonts w:ascii="Calibri" w:hAnsi="Calibri" w:cs="Calibri"/>
                <w:b/>
                <w:bCs/>
                <w:color w:val="000000"/>
                <w:sz w:val="22"/>
                <w:szCs w:val="22"/>
                <w:lang w:val="en-IN" w:eastAsia="en-IN"/>
              </w:rPr>
              <w:t>Number of Employees</w:t>
            </w:r>
          </w:p>
        </w:tc>
        <w:tc>
          <w:tcPr>
            <w:tcW w:w="1305" w:type="dxa"/>
            <w:shd w:val="clear" w:color="auto" w:fill="auto"/>
            <w:vAlign w:val="center"/>
            <w:hideMark/>
          </w:tcPr>
          <w:p w14:paraId="326347E5" w14:textId="77777777" w:rsidR="008C0C54" w:rsidRPr="007E7131" w:rsidRDefault="008C0C54" w:rsidP="008C0C54">
            <w:pPr>
              <w:jc w:val="center"/>
              <w:rPr>
                <w:rFonts w:ascii="Calibri" w:hAnsi="Calibri" w:cs="Calibri"/>
                <w:color w:val="000000"/>
                <w:sz w:val="22"/>
                <w:szCs w:val="22"/>
                <w:lang w:val="en-IN" w:eastAsia="en-IN"/>
              </w:rPr>
            </w:pPr>
            <w:r>
              <w:rPr>
                <w:rFonts w:ascii="Calibri" w:hAnsi="Calibri" w:cs="Calibri"/>
                <w:color w:val="000000"/>
                <w:sz w:val="22"/>
                <w:szCs w:val="22"/>
              </w:rPr>
              <w:t>2159</w:t>
            </w:r>
          </w:p>
        </w:tc>
        <w:tc>
          <w:tcPr>
            <w:tcW w:w="1305" w:type="dxa"/>
            <w:shd w:val="clear" w:color="auto" w:fill="auto"/>
            <w:vAlign w:val="center"/>
            <w:hideMark/>
          </w:tcPr>
          <w:p w14:paraId="25C9F6EE" w14:textId="77777777" w:rsidR="008C0C54" w:rsidRPr="007E7131" w:rsidRDefault="008C0C54" w:rsidP="008C0C54">
            <w:pPr>
              <w:jc w:val="center"/>
              <w:rPr>
                <w:rFonts w:ascii="Calibri" w:hAnsi="Calibri" w:cs="Calibri"/>
                <w:color w:val="000000"/>
                <w:sz w:val="22"/>
                <w:szCs w:val="22"/>
                <w:lang w:val="en-IN" w:eastAsia="en-IN"/>
              </w:rPr>
            </w:pPr>
            <w:r>
              <w:rPr>
                <w:rFonts w:ascii="Calibri" w:hAnsi="Calibri" w:cs="Calibri"/>
                <w:color w:val="000000"/>
                <w:sz w:val="22"/>
                <w:szCs w:val="22"/>
              </w:rPr>
              <w:t>2576</w:t>
            </w:r>
          </w:p>
        </w:tc>
        <w:tc>
          <w:tcPr>
            <w:tcW w:w="1305" w:type="dxa"/>
            <w:shd w:val="clear" w:color="auto" w:fill="auto"/>
            <w:vAlign w:val="center"/>
            <w:hideMark/>
          </w:tcPr>
          <w:p w14:paraId="5012E107" w14:textId="77777777" w:rsidR="008C0C54" w:rsidRPr="007E7131" w:rsidRDefault="008C0C54" w:rsidP="008C0C54">
            <w:pPr>
              <w:jc w:val="center"/>
              <w:rPr>
                <w:rFonts w:ascii="Calibri" w:hAnsi="Calibri" w:cs="Calibri"/>
                <w:color w:val="000000"/>
                <w:sz w:val="22"/>
                <w:szCs w:val="22"/>
                <w:lang w:val="en-IN" w:eastAsia="en-IN"/>
              </w:rPr>
            </w:pPr>
            <w:r>
              <w:rPr>
                <w:rFonts w:ascii="Calibri" w:hAnsi="Calibri" w:cs="Calibri"/>
                <w:color w:val="000000"/>
                <w:sz w:val="22"/>
                <w:szCs w:val="22"/>
              </w:rPr>
              <w:t>2961</w:t>
            </w:r>
          </w:p>
        </w:tc>
        <w:tc>
          <w:tcPr>
            <w:tcW w:w="1305" w:type="dxa"/>
            <w:shd w:val="clear" w:color="auto" w:fill="auto"/>
            <w:vAlign w:val="center"/>
            <w:hideMark/>
          </w:tcPr>
          <w:p w14:paraId="7F4F97D7" w14:textId="77777777" w:rsidR="008C0C54" w:rsidRPr="007E7131" w:rsidRDefault="008C0C54" w:rsidP="008C0C54">
            <w:pPr>
              <w:jc w:val="center"/>
              <w:rPr>
                <w:rFonts w:ascii="Calibri" w:hAnsi="Calibri" w:cs="Calibri"/>
                <w:color w:val="000000"/>
                <w:sz w:val="22"/>
                <w:szCs w:val="22"/>
                <w:lang w:val="en-IN" w:eastAsia="en-IN"/>
              </w:rPr>
            </w:pPr>
            <w:r>
              <w:rPr>
                <w:rFonts w:ascii="Calibri" w:hAnsi="Calibri" w:cs="Calibri"/>
                <w:color w:val="000000"/>
                <w:sz w:val="22"/>
                <w:szCs w:val="22"/>
              </w:rPr>
              <w:t>2991</w:t>
            </w:r>
          </w:p>
        </w:tc>
        <w:tc>
          <w:tcPr>
            <w:tcW w:w="1305" w:type="dxa"/>
            <w:shd w:val="clear" w:color="auto" w:fill="FFFFFF" w:themeFill="background1"/>
            <w:vAlign w:val="center"/>
            <w:hideMark/>
          </w:tcPr>
          <w:p w14:paraId="2B810C31" w14:textId="77777777" w:rsidR="008C0C54" w:rsidRPr="007E7131" w:rsidRDefault="008C0C54" w:rsidP="008C0C54">
            <w:pPr>
              <w:jc w:val="center"/>
              <w:rPr>
                <w:rFonts w:ascii="Calibri" w:hAnsi="Calibri" w:cs="Calibri"/>
                <w:color w:val="000000"/>
                <w:sz w:val="22"/>
                <w:szCs w:val="22"/>
                <w:lang w:val="en-IN" w:eastAsia="en-IN"/>
              </w:rPr>
            </w:pPr>
            <w:r>
              <w:rPr>
                <w:rFonts w:ascii="Calibri" w:hAnsi="Calibri" w:cs="Calibri"/>
                <w:color w:val="000000"/>
                <w:sz w:val="22"/>
                <w:szCs w:val="22"/>
              </w:rPr>
              <w:t>3138</w:t>
            </w:r>
          </w:p>
        </w:tc>
        <w:tc>
          <w:tcPr>
            <w:tcW w:w="1226" w:type="dxa"/>
            <w:shd w:val="clear" w:color="auto" w:fill="auto"/>
            <w:vAlign w:val="center"/>
            <w:hideMark/>
          </w:tcPr>
          <w:p w14:paraId="10BD7BA9" w14:textId="77777777" w:rsidR="008C0C54" w:rsidRPr="007E7131" w:rsidRDefault="008C0C54" w:rsidP="008C0C54">
            <w:pPr>
              <w:jc w:val="center"/>
              <w:rPr>
                <w:rFonts w:ascii="Calibri" w:hAnsi="Calibri" w:cs="Calibri"/>
                <w:color w:val="000000"/>
                <w:sz w:val="22"/>
                <w:szCs w:val="22"/>
                <w:lang w:val="en-IN" w:eastAsia="en-IN"/>
              </w:rPr>
            </w:pPr>
            <w:r>
              <w:rPr>
                <w:rFonts w:ascii="Calibri" w:hAnsi="Calibri" w:cs="Calibri"/>
                <w:color w:val="000000"/>
                <w:sz w:val="22"/>
                <w:szCs w:val="22"/>
              </w:rPr>
              <w:t>979</w:t>
            </w:r>
          </w:p>
        </w:tc>
        <w:tc>
          <w:tcPr>
            <w:tcW w:w="1641" w:type="dxa"/>
            <w:shd w:val="clear" w:color="auto" w:fill="FFFFFF" w:themeFill="background1"/>
            <w:vAlign w:val="center"/>
            <w:hideMark/>
          </w:tcPr>
          <w:p w14:paraId="503DBD4A" w14:textId="77777777" w:rsidR="008C0C54" w:rsidRPr="007E7131" w:rsidRDefault="008C0C54" w:rsidP="008C0C54">
            <w:pPr>
              <w:jc w:val="center"/>
              <w:rPr>
                <w:rFonts w:ascii="Calibri" w:hAnsi="Calibri" w:cs="Calibri"/>
                <w:b/>
                <w:bCs/>
                <w:color w:val="000000"/>
                <w:sz w:val="22"/>
                <w:szCs w:val="22"/>
                <w:lang w:val="en-IN" w:eastAsia="en-IN"/>
              </w:rPr>
            </w:pPr>
            <w:r>
              <w:rPr>
                <w:rFonts w:ascii="Calibri" w:hAnsi="Calibri" w:cs="Calibri"/>
                <w:b/>
                <w:bCs/>
                <w:color w:val="000000"/>
                <w:sz w:val="22"/>
                <w:szCs w:val="22"/>
              </w:rPr>
              <w:t>45.35%</w:t>
            </w:r>
          </w:p>
        </w:tc>
      </w:tr>
    </w:tbl>
    <w:p w14:paraId="21043630" w14:textId="615EC7F9" w:rsidR="00F616FB" w:rsidRDefault="008C0C54" w:rsidP="00CA68C8">
      <w:pPr>
        <w:ind w:left="142"/>
        <w:rPr>
          <w:rFonts w:asciiTheme="minorHAnsi" w:hAnsiTheme="minorHAnsi" w:cstheme="minorHAnsi"/>
          <w:b/>
          <w:bCs/>
          <w:i/>
          <w:sz w:val="22"/>
          <w:szCs w:val="22"/>
          <w:shd w:val="clear" w:color="auto" w:fill="FFFFFF"/>
        </w:rPr>
      </w:pPr>
      <w:r w:rsidRPr="007E7131">
        <w:rPr>
          <w:rFonts w:asciiTheme="minorHAnsi" w:hAnsiTheme="minorHAnsi" w:cstheme="minorHAnsi"/>
          <w:bCs/>
          <w:sz w:val="22"/>
          <w:szCs w:val="22"/>
          <w:shd w:val="clear" w:color="auto" w:fill="FFFFFF"/>
        </w:rPr>
        <w:t xml:space="preserve">* </w:t>
      </w:r>
      <w:r w:rsidRPr="007E7131">
        <w:rPr>
          <w:rFonts w:asciiTheme="minorHAnsi" w:hAnsiTheme="minorHAnsi" w:cstheme="minorHAnsi"/>
          <w:b/>
          <w:bCs/>
          <w:i/>
          <w:sz w:val="22"/>
          <w:szCs w:val="22"/>
          <w:shd w:val="clear" w:color="auto" w:fill="FFFFFF"/>
        </w:rPr>
        <w:t>Negative growth in no. of consumers is due to removal of non-existing consumers as per site verification from active directory of Billing System in FY 23 &amp; FY 24</w:t>
      </w:r>
    </w:p>
    <w:p w14:paraId="0C2A8B7A" w14:textId="77777777" w:rsidR="00CA68C8" w:rsidRPr="00CA68C8" w:rsidRDefault="00CA68C8" w:rsidP="00CA68C8">
      <w:pPr>
        <w:ind w:left="142"/>
        <w:rPr>
          <w:rFonts w:asciiTheme="minorHAnsi" w:hAnsiTheme="minorHAnsi" w:cstheme="minorHAnsi"/>
          <w:b/>
          <w:bCs/>
          <w:i/>
          <w:sz w:val="22"/>
          <w:szCs w:val="22"/>
          <w:shd w:val="clear" w:color="auto" w:fill="FFFFFF"/>
        </w:rPr>
      </w:pPr>
    </w:p>
    <w:p w14:paraId="7B5A35D1" w14:textId="5B947ACF" w:rsidR="009505CA" w:rsidRDefault="00F616FB" w:rsidP="00CA68C8">
      <w:pPr>
        <w:spacing w:line="360" w:lineRule="auto"/>
        <w:ind w:left="567"/>
        <w:jc w:val="both"/>
        <w:rPr>
          <w:rFonts w:asciiTheme="minorHAnsi" w:hAnsiTheme="minorHAnsi" w:cstheme="minorHAnsi"/>
          <w:bCs/>
          <w:sz w:val="22"/>
          <w:szCs w:val="22"/>
          <w:shd w:val="clear" w:color="auto" w:fill="FFFFFF"/>
        </w:rPr>
      </w:pPr>
      <w:r w:rsidRPr="00BD5055">
        <w:rPr>
          <w:rFonts w:asciiTheme="minorHAnsi" w:hAnsiTheme="minorHAnsi" w:cstheme="minorHAnsi"/>
          <w:bCs/>
          <w:sz w:val="22"/>
          <w:szCs w:val="22"/>
          <w:shd w:val="clear" w:color="auto" w:fill="FFFFFF"/>
        </w:rPr>
        <w:t>The performance parameters of the licensee in the first two years of operation has been depicted in the following table</w:t>
      </w:r>
      <w:r w:rsidR="00CA68C8">
        <w:rPr>
          <w:rFonts w:asciiTheme="minorHAnsi" w:hAnsiTheme="minorHAnsi" w:cstheme="minorHAnsi"/>
          <w:bCs/>
          <w:sz w:val="22"/>
          <w:szCs w:val="22"/>
          <w:shd w:val="clear" w:color="auto" w:fill="FFFFFF"/>
        </w:rPr>
        <w:t>.</w:t>
      </w:r>
    </w:p>
    <w:p w14:paraId="6A384903" w14:textId="0C55F4ED" w:rsidR="00CA68C8" w:rsidRDefault="00CA68C8" w:rsidP="00CA68C8">
      <w:pPr>
        <w:spacing w:line="360" w:lineRule="auto"/>
        <w:ind w:left="567"/>
        <w:jc w:val="both"/>
        <w:rPr>
          <w:rFonts w:asciiTheme="minorHAnsi" w:hAnsiTheme="minorHAnsi" w:cstheme="minorHAnsi"/>
          <w:bCs/>
          <w:sz w:val="22"/>
          <w:szCs w:val="22"/>
          <w:shd w:val="clear" w:color="auto" w:fill="FFFFFF"/>
        </w:rPr>
      </w:pPr>
    </w:p>
    <w:p w14:paraId="58A1CCBD" w14:textId="523841AE" w:rsidR="00CA68C8" w:rsidRDefault="00CA68C8" w:rsidP="00CA68C8">
      <w:pPr>
        <w:spacing w:line="360" w:lineRule="auto"/>
        <w:ind w:left="567"/>
        <w:jc w:val="both"/>
        <w:rPr>
          <w:rFonts w:asciiTheme="minorHAnsi" w:hAnsiTheme="minorHAnsi" w:cstheme="minorHAnsi"/>
          <w:bCs/>
          <w:sz w:val="22"/>
          <w:szCs w:val="22"/>
          <w:shd w:val="clear" w:color="auto" w:fill="FFFFFF"/>
        </w:rPr>
      </w:pPr>
    </w:p>
    <w:p w14:paraId="533C93F1" w14:textId="56045553" w:rsidR="00CA68C8" w:rsidRDefault="00CA68C8" w:rsidP="00CA68C8">
      <w:pPr>
        <w:spacing w:line="360" w:lineRule="auto"/>
        <w:ind w:left="567"/>
        <w:jc w:val="both"/>
        <w:rPr>
          <w:rFonts w:asciiTheme="minorHAnsi" w:hAnsiTheme="minorHAnsi" w:cstheme="minorHAnsi"/>
          <w:bCs/>
          <w:sz w:val="22"/>
          <w:szCs w:val="22"/>
          <w:shd w:val="clear" w:color="auto" w:fill="FFFFFF"/>
        </w:rPr>
      </w:pPr>
    </w:p>
    <w:p w14:paraId="7F4A23A5" w14:textId="5A46709E" w:rsidR="00CA68C8" w:rsidRDefault="00CA68C8" w:rsidP="00CA68C8">
      <w:pPr>
        <w:spacing w:line="360" w:lineRule="auto"/>
        <w:ind w:left="567"/>
        <w:jc w:val="both"/>
        <w:rPr>
          <w:rFonts w:asciiTheme="minorHAnsi" w:hAnsiTheme="minorHAnsi" w:cstheme="minorHAnsi"/>
          <w:bCs/>
          <w:sz w:val="22"/>
          <w:szCs w:val="22"/>
          <w:shd w:val="clear" w:color="auto" w:fill="FFFFFF"/>
        </w:rPr>
      </w:pPr>
    </w:p>
    <w:p w14:paraId="085B27E8" w14:textId="77777777" w:rsidR="00CA68C8" w:rsidRPr="00CA68C8" w:rsidRDefault="00CA68C8" w:rsidP="000E1556">
      <w:pPr>
        <w:spacing w:line="360" w:lineRule="auto"/>
        <w:jc w:val="both"/>
        <w:rPr>
          <w:rFonts w:asciiTheme="minorHAnsi" w:hAnsiTheme="minorHAnsi" w:cstheme="minorHAnsi"/>
          <w:bCs/>
          <w:sz w:val="22"/>
          <w:szCs w:val="22"/>
          <w:shd w:val="clear" w:color="auto" w:fill="FFFFFF"/>
        </w:rPr>
      </w:pPr>
    </w:p>
    <w:p w14:paraId="7A6C533E" w14:textId="77777777" w:rsidR="009505CA" w:rsidRDefault="009505CA" w:rsidP="00F616FB">
      <w:pPr>
        <w:tabs>
          <w:tab w:val="center" w:pos="4513"/>
          <w:tab w:val="left" w:pos="6840"/>
        </w:tabs>
        <w:spacing w:line="360" w:lineRule="auto"/>
        <w:jc w:val="center"/>
        <w:rPr>
          <w:rFonts w:asciiTheme="minorHAnsi" w:hAnsiTheme="minorHAnsi" w:cstheme="minorHAnsi"/>
          <w:b/>
          <w:sz w:val="22"/>
          <w:szCs w:val="22"/>
        </w:rPr>
      </w:pPr>
    </w:p>
    <w:p w14:paraId="392E8881" w14:textId="4C85A21A" w:rsidR="00F616FB" w:rsidRPr="00BD5055" w:rsidRDefault="00F616FB" w:rsidP="00F616FB">
      <w:pPr>
        <w:tabs>
          <w:tab w:val="center" w:pos="4513"/>
          <w:tab w:val="left" w:pos="6840"/>
        </w:tabs>
        <w:spacing w:line="360" w:lineRule="auto"/>
        <w:jc w:val="center"/>
        <w:rPr>
          <w:rFonts w:asciiTheme="minorHAnsi" w:hAnsiTheme="minorHAnsi" w:cstheme="minorHAnsi"/>
          <w:b/>
          <w:sz w:val="22"/>
          <w:szCs w:val="22"/>
        </w:rPr>
      </w:pPr>
      <w:r>
        <w:rPr>
          <w:rFonts w:asciiTheme="minorHAnsi" w:hAnsiTheme="minorHAnsi" w:cstheme="minorHAnsi"/>
          <w:b/>
          <w:sz w:val="22"/>
          <w:szCs w:val="22"/>
        </w:rPr>
        <w:t>Table No.-</w:t>
      </w:r>
      <w:r w:rsidR="00CA68C8">
        <w:rPr>
          <w:rFonts w:asciiTheme="minorHAnsi" w:hAnsiTheme="minorHAnsi" w:cstheme="minorHAnsi"/>
          <w:b/>
          <w:sz w:val="22"/>
          <w:szCs w:val="22"/>
        </w:rPr>
        <w:t>57</w:t>
      </w:r>
      <w:r w:rsidRPr="00BD5055">
        <w:rPr>
          <w:rFonts w:asciiTheme="minorHAnsi" w:hAnsiTheme="minorHAnsi" w:cstheme="minorHAnsi"/>
          <w:b/>
          <w:sz w:val="22"/>
          <w:szCs w:val="22"/>
        </w:rPr>
        <w:t xml:space="preserve">: </w:t>
      </w:r>
      <w:r>
        <w:rPr>
          <w:rFonts w:asciiTheme="minorHAnsi" w:hAnsiTheme="minorHAnsi" w:cstheme="minorHAnsi"/>
          <w:b/>
          <w:sz w:val="22"/>
          <w:szCs w:val="22"/>
        </w:rPr>
        <w:t xml:space="preserve">TPNODL </w:t>
      </w:r>
      <w:r w:rsidRPr="00BD5055">
        <w:rPr>
          <w:rFonts w:asciiTheme="minorHAnsi" w:hAnsiTheme="minorHAnsi" w:cstheme="minorHAnsi"/>
          <w:b/>
          <w:sz w:val="22"/>
          <w:szCs w:val="22"/>
        </w:rPr>
        <w:t>Performance Parameters</w:t>
      </w:r>
    </w:p>
    <w:tbl>
      <w:tblPr>
        <w:tblW w:w="10414" w:type="dxa"/>
        <w:tblInd w:w="-4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6"/>
        <w:gridCol w:w="1239"/>
        <w:gridCol w:w="1237"/>
        <w:gridCol w:w="1256"/>
        <w:gridCol w:w="1276"/>
        <w:gridCol w:w="1134"/>
        <w:gridCol w:w="1200"/>
        <w:gridCol w:w="1226"/>
      </w:tblGrid>
      <w:tr w:rsidR="00F616FB" w:rsidRPr="004647CC" w14:paraId="14F49AC1" w14:textId="77777777" w:rsidTr="00F616FB">
        <w:trPr>
          <w:trHeight w:val="1140"/>
        </w:trPr>
        <w:tc>
          <w:tcPr>
            <w:tcW w:w="1846" w:type="dxa"/>
            <w:shd w:val="clear" w:color="auto" w:fill="95B3D7" w:themeFill="accent1" w:themeFillTint="99"/>
            <w:vAlign w:val="center"/>
            <w:hideMark/>
          </w:tcPr>
          <w:p w14:paraId="49379F8B" w14:textId="77777777" w:rsidR="00F616FB" w:rsidRPr="004647CC" w:rsidRDefault="00F616FB" w:rsidP="00F616FB">
            <w:pPr>
              <w:jc w:val="center"/>
              <w:rPr>
                <w:rFonts w:ascii="Calibri" w:hAnsi="Calibri" w:cs="Calibri"/>
                <w:b/>
                <w:bCs/>
                <w:color w:val="000000" w:themeColor="text1"/>
                <w:sz w:val="22"/>
                <w:szCs w:val="22"/>
                <w:lang w:val="en-IN" w:eastAsia="en-IN"/>
              </w:rPr>
            </w:pPr>
            <w:r w:rsidRPr="004647CC">
              <w:rPr>
                <w:rFonts w:ascii="Calibri" w:hAnsi="Calibri" w:cs="Calibri"/>
                <w:b/>
                <w:bCs/>
                <w:color w:val="000000" w:themeColor="text1"/>
                <w:sz w:val="22"/>
                <w:szCs w:val="22"/>
                <w:lang w:val="en-IN" w:eastAsia="en-IN"/>
              </w:rPr>
              <w:t>KEY BUSINESS PARAMETERS (OVERALL)</w:t>
            </w:r>
          </w:p>
        </w:tc>
        <w:tc>
          <w:tcPr>
            <w:tcW w:w="1239" w:type="dxa"/>
            <w:shd w:val="clear" w:color="auto" w:fill="95B3D7" w:themeFill="accent1" w:themeFillTint="99"/>
            <w:vAlign w:val="center"/>
            <w:hideMark/>
          </w:tcPr>
          <w:p w14:paraId="75F079CD" w14:textId="77777777" w:rsidR="00F616FB" w:rsidRPr="004647CC" w:rsidRDefault="00F616FB" w:rsidP="00F616FB">
            <w:pPr>
              <w:jc w:val="center"/>
              <w:rPr>
                <w:rFonts w:ascii="Calibri" w:hAnsi="Calibri" w:cs="Calibri"/>
                <w:b/>
                <w:bCs/>
                <w:color w:val="000000" w:themeColor="text1"/>
                <w:sz w:val="22"/>
                <w:szCs w:val="22"/>
                <w:lang w:val="en-IN" w:eastAsia="en-IN"/>
              </w:rPr>
            </w:pPr>
            <w:r w:rsidRPr="004647CC">
              <w:rPr>
                <w:rFonts w:ascii="Calibri" w:hAnsi="Calibri" w:cs="Calibri"/>
                <w:b/>
                <w:bCs/>
                <w:color w:val="000000" w:themeColor="text1"/>
                <w:sz w:val="22"/>
                <w:szCs w:val="22"/>
                <w:lang w:val="en-IN" w:eastAsia="en-IN"/>
              </w:rPr>
              <w:t>FY 2020-21</w:t>
            </w:r>
            <w:r w:rsidRPr="004647CC">
              <w:rPr>
                <w:rFonts w:ascii="Calibri" w:hAnsi="Calibri" w:cs="Calibri"/>
                <w:b/>
                <w:bCs/>
                <w:color w:val="000000" w:themeColor="text1"/>
                <w:sz w:val="22"/>
                <w:szCs w:val="22"/>
                <w:lang w:val="en-IN" w:eastAsia="en-IN"/>
              </w:rPr>
              <w:br/>
              <w:t>(Actual)</w:t>
            </w:r>
          </w:p>
        </w:tc>
        <w:tc>
          <w:tcPr>
            <w:tcW w:w="1237" w:type="dxa"/>
            <w:shd w:val="clear" w:color="auto" w:fill="95B3D7" w:themeFill="accent1" w:themeFillTint="99"/>
            <w:vAlign w:val="center"/>
            <w:hideMark/>
          </w:tcPr>
          <w:p w14:paraId="257D934D" w14:textId="77777777" w:rsidR="00F616FB" w:rsidRPr="004647CC" w:rsidRDefault="00F616FB" w:rsidP="00F616FB">
            <w:pPr>
              <w:jc w:val="center"/>
              <w:rPr>
                <w:rFonts w:ascii="Calibri" w:hAnsi="Calibri" w:cs="Calibri"/>
                <w:b/>
                <w:bCs/>
                <w:color w:val="000000" w:themeColor="text1"/>
                <w:sz w:val="22"/>
                <w:szCs w:val="22"/>
                <w:lang w:val="en-IN" w:eastAsia="en-IN"/>
              </w:rPr>
            </w:pPr>
            <w:r w:rsidRPr="004647CC">
              <w:rPr>
                <w:rFonts w:ascii="Calibri" w:hAnsi="Calibri" w:cs="Calibri"/>
                <w:b/>
                <w:bCs/>
                <w:color w:val="000000" w:themeColor="text1"/>
                <w:sz w:val="22"/>
                <w:szCs w:val="22"/>
                <w:lang w:val="en-IN" w:eastAsia="en-IN"/>
              </w:rPr>
              <w:t>FY 2021-22 (Actual)</w:t>
            </w:r>
          </w:p>
        </w:tc>
        <w:tc>
          <w:tcPr>
            <w:tcW w:w="1256" w:type="dxa"/>
            <w:shd w:val="clear" w:color="auto" w:fill="95B3D7" w:themeFill="accent1" w:themeFillTint="99"/>
            <w:vAlign w:val="center"/>
            <w:hideMark/>
          </w:tcPr>
          <w:p w14:paraId="5D88C51E" w14:textId="77777777" w:rsidR="00F616FB" w:rsidRPr="004647CC" w:rsidRDefault="00F616FB" w:rsidP="00F616FB">
            <w:pPr>
              <w:jc w:val="center"/>
              <w:rPr>
                <w:rFonts w:ascii="Calibri" w:hAnsi="Calibri" w:cs="Calibri"/>
                <w:b/>
                <w:bCs/>
                <w:color w:val="000000" w:themeColor="text1"/>
                <w:sz w:val="22"/>
                <w:szCs w:val="22"/>
                <w:lang w:val="en-IN" w:eastAsia="en-IN"/>
              </w:rPr>
            </w:pPr>
            <w:r w:rsidRPr="004647CC">
              <w:rPr>
                <w:rFonts w:ascii="Calibri" w:hAnsi="Calibri" w:cs="Calibri"/>
                <w:b/>
                <w:bCs/>
                <w:color w:val="000000" w:themeColor="text1"/>
                <w:sz w:val="22"/>
                <w:szCs w:val="22"/>
                <w:lang w:val="en-IN" w:eastAsia="en-IN"/>
              </w:rPr>
              <w:t>FY 2022-23 (Actual)</w:t>
            </w:r>
          </w:p>
        </w:tc>
        <w:tc>
          <w:tcPr>
            <w:tcW w:w="1276" w:type="dxa"/>
            <w:shd w:val="clear" w:color="auto" w:fill="95B3D7" w:themeFill="accent1" w:themeFillTint="99"/>
            <w:vAlign w:val="center"/>
            <w:hideMark/>
          </w:tcPr>
          <w:p w14:paraId="62FEE910" w14:textId="77777777" w:rsidR="00F616FB" w:rsidRPr="004647CC" w:rsidRDefault="00F616FB" w:rsidP="00F616FB">
            <w:pPr>
              <w:jc w:val="center"/>
              <w:rPr>
                <w:rFonts w:ascii="Calibri" w:hAnsi="Calibri" w:cs="Calibri"/>
                <w:b/>
                <w:bCs/>
                <w:color w:val="000000" w:themeColor="text1"/>
                <w:sz w:val="22"/>
                <w:szCs w:val="22"/>
                <w:lang w:val="en-IN" w:eastAsia="en-IN"/>
              </w:rPr>
            </w:pPr>
            <w:r w:rsidRPr="004647CC">
              <w:rPr>
                <w:rFonts w:ascii="Calibri" w:hAnsi="Calibri" w:cs="Calibri"/>
                <w:b/>
                <w:bCs/>
                <w:color w:val="000000" w:themeColor="text1"/>
                <w:sz w:val="22"/>
                <w:szCs w:val="22"/>
                <w:lang w:val="en-IN" w:eastAsia="en-IN"/>
              </w:rPr>
              <w:t>FY 2023-24 (Actual)</w:t>
            </w:r>
          </w:p>
        </w:tc>
        <w:tc>
          <w:tcPr>
            <w:tcW w:w="1134" w:type="dxa"/>
            <w:shd w:val="clear" w:color="auto" w:fill="95B3D7" w:themeFill="accent1" w:themeFillTint="99"/>
            <w:vAlign w:val="center"/>
            <w:hideMark/>
          </w:tcPr>
          <w:p w14:paraId="683FEA7E" w14:textId="77777777" w:rsidR="00F616FB" w:rsidRPr="004647CC" w:rsidRDefault="00F616FB" w:rsidP="00F616FB">
            <w:pPr>
              <w:jc w:val="center"/>
              <w:rPr>
                <w:rFonts w:ascii="Calibri" w:hAnsi="Calibri" w:cs="Calibri"/>
                <w:b/>
                <w:bCs/>
                <w:color w:val="000000" w:themeColor="text1"/>
                <w:sz w:val="22"/>
                <w:szCs w:val="22"/>
                <w:lang w:val="en-IN" w:eastAsia="en-IN"/>
              </w:rPr>
            </w:pPr>
            <w:r w:rsidRPr="004647CC">
              <w:rPr>
                <w:rFonts w:ascii="Calibri" w:hAnsi="Calibri" w:cs="Calibri"/>
                <w:b/>
                <w:bCs/>
                <w:color w:val="000000" w:themeColor="text1"/>
                <w:sz w:val="22"/>
                <w:szCs w:val="22"/>
                <w:lang w:val="en-IN" w:eastAsia="en-IN"/>
              </w:rPr>
              <w:t xml:space="preserve">Variance </w:t>
            </w:r>
            <w:proofErr w:type="spellStart"/>
            <w:r w:rsidRPr="004647CC">
              <w:rPr>
                <w:rFonts w:ascii="Calibri" w:hAnsi="Calibri" w:cs="Calibri"/>
                <w:b/>
                <w:bCs/>
                <w:color w:val="000000" w:themeColor="text1"/>
                <w:sz w:val="22"/>
                <w:szCs w:val="22"/>
                <w:lang w:val="en-IN" w:eastAsia="en-IN"/>
              </w:rPr>
              <w:t>w.r.t.</w:t>
            </w:r>
            <w:proofErr w:type="spellEnd"/>
            <w:r w:rsidRPr="004647CC">
              <w:rPr>
                <w:rFonts w:ascii="Calibri" w:hAnsi="Calibri" w:cs="Calibri"/>
                <w:b/>
                <w:bCs/>
                <w:color w:val="000000" w:themeColor="text1"/>
                <w:sz w:val="22"/>
                <w:szCs w:val="22"/>
                <w:lang w:val="en-IN" w:eastAsia="en-IN"/>
              </w:rPr>
              <w:t xml:space="preserve"> Pre-vesting </w:t>
            </w:r>
          </w:p>
        </w:tc>
        <w:tc>
          <w:tcPr>
            <w:tcW w:w="1200" w:type="dxa"/>
            <w:shd w:val="clear" w:color="auto" w:fill="95B3D7" w:themeFill="accent1" w:themeFillTint="99"/>
            <w:vAlign w:val="center"/>
            <w:hideMark/>
          </w:tcPr>
          <w:p w14:paraId="7713E240" w14:textId="77777777" w:rsidR="00F616FB" w:rsidRPr="004647CC" w:rsidRDefault="00F616FB" w:rsidP="00F616FB">
            <w:pPr>
              <w:jc w:val="center"/>
              <w:rPr>
                <w:rFonts w:ascii="Calibri" w:hAnsi="Calibri" w:cs="Calibri"/>
                <w:b/>
                <w:bCs/>
                <w:color w:val="000000" w:themeColor="text1"/>
                <w:sz w:val="22"/>
                <w:szCs w:val="22"/>
                <w:lang w:val="en-IN" w:eastAsia="en-IN"/>
              </w:rPr>
            </w:pPr>
            <w:r w:rsidRPr="004647CC">
              <w:rPr>
                <w:rFonts w:ascii="Calibri" w:hAnsi="Calibri" w:cs="Calibri"/>
                <w:b/>
                <w:bCs/>
                <w:color w:val="000000" w:themeColor="text1"/>
                <w:sz w:val="22"/>
                <w:szCs w:val="22"/>
                <w:lang w:val="en-IN" w:eastAsia="en-IN"/>
              </w:rPr>
              <w:t xml:space="preserve">Variance w.r.t FY 2022-23 </w:t>
            </w:r>
          </w:p>
        </w:tc>
        <w:tc>
          <w:tcPr>
            <w:tcW w:w="1226" w:type="dxa"/>
            <w:shd w:val="clear" w:color="auto" w:fill="95B3D7" w:themeFill="accent1" w:themeFillTint="99"/>
            <w:vAlign w:val="center"/>
            <w:hideMark/>
          </w:tcPr>
          <w:p w14:paraId="50DBA277" w14:textId="77777777" w:rsidR="00F616FB" w:rsidRPr="004647CC" w:rsidRDefault="00F616FB" w:rsidP="00F616FB">
            <w:pPr>
              <w:jc w:val="center"/>
              <w:rPr>
                <w:rFonts w:ascii="Calibri" w:hAnsi="Calibri" w:cs="Calibri"/>
                <w:b/>
                <w:bCs/>
                <w:color w:val="000000" w:themeColor="text1"/>
                <w:sz w:val="22"/>
                <w:szCs w:val="22"/>
                <w:lang w:val="en-IN" w:eastAsia="en-IN"/>
              </w:rPr>
            </w:pPr>
            <w:r w:rsidRPr="004647CC">
              <w:rPr>
                <w:rFonts w:ascii="Calibri" w:hAnsi="Calibri" w:cs="Calibri"/>
                <w:b/>
                <w:bCs/>
                <w:color w:val="000000" w:themeColor="text1"/>
                <w:sz w:val="22"/>
                <w:szCs w:val="22"/>
                <w:lang w:val="en-IN" w:eastAsia="en-IN"/>
              </w:rPr>
              <w:t>As on 30.09.2024</w:t>
            </w:r>
          </w:p>
        </w:tc>
      </w:tr>
      <w:tr w:rsidR="00F616FB" w:rsidRPr="004647CC" w14:paraId="5CCE72A9" w14:textId="77777777" w:rsidTr="00F616FB">
        <w:trPr>
          <w:trHeight w:val="265"/>
        </w:trPr>
        <w:tc>
          <w:tcPr>
            <w:tcW w:w="1846" w:type="dxa"/>
            <w:shd w:val="clear" w:color="auto" w:fill="auto"/>
            <w:vAlign w:val="center"/>
            <w:hideMark/>
          </w:tcPr>
          <w:p w14:paraId="06E1AAB2" w14:textId="77777777" w:rsidR="00F616FB" w:rsidRPr="004647CC" w:rsidRDefault="00F616FB" w:rsidP="00F616FB">
            <w:pPr>
              <w:rPr>
                <w:rFonts w:ascii="Calibri" w:hAnsi="Calibri" w:cs="Calibri"/>
                <w:b/>
                <w:bCs/>
                <w:color w:val="000000"/>
                <w:sz w:val="22"/>
                <w:szCs w:val="22"/>
                <w:lang w:val="en-IN" w:eastAsia="en-IN"/>
              </w:rPr>
            </w:pPr>
            <w:r w:rsidRPr="004647CC">
              <w:rPr>
                <w:rFonts w:ascii="Calibri" w:hAnsi="Calibri" w:cs="Calibri"/>
                <w:b/>
                <w:bCs/>
                <w:color w:val="000000"/>
                <w:sz w:val="22"/>
                <w:szCs w:val="22"/>
                <w:lang w:val="en-IN" w:eastAsia="en-IN"/>
              </w:rPr>
              <w:t>INPUT (MU)</w:t>
            </w:r>
          </w:p>
        </w:tc>
        <w:tc>
          <w:tcPr>
            <w:tcW w:w="1239" w:type="dxa"/>
            <w:shd w:val="clear" w:color="auto" w:fill="auto"/>
            <w:vAlign w:val="center"/>
            <w:hideMark/>
          </w:tcPr>
          <w:p w14:paraId="1A5E1435" w14:textId="77777777" w:rsidR="00F616FB" w:rsidRPr="004647CC" w:rsidRDefault="00F616FB" w:rsidP="00F616FB">
            <w:pPr>
              <w:jc w:val="center"/>
              <w:rPr>
                <w:rFonts w:ascii="Calibri" w:hAnsi="Calibri" w:cs="Calibri"/>
                <w:color w:val="000000"/>
                <w:sz w:val="22"/>
                <w:szCs w:val="22"/>
                <w:lang w:val="en-IN" w:eastAsia="en-IN"/>
              </w:rPr>
            </w:pPr>
            <w:r w:rsidRPr="004647CC">
              <w:rPr>
                <w:rFonts w:ascii="Calibri" w:hAnsi="Calibri" w:cs="Calibri"/>
                <w:color w:val="000000"/>
                <w:sz w:val="22"/>
                <w:szCs w:val="22"/>
                <w:lang w:val="en-IN" w:eastAsia="en-IN"/>
              </w:rPr>
              <w:t>4941.19</w:t>
            </w:r>
          </w:p>
        </w:tc>
        <w:tc>
          <w:tcPr>
            <w:tcW w:w="1237" w:type="dxa"/>
            <w:shd w:val="clear" w:color="auto" w:fill="auto"/>
            <w:vAlign w:val="center"/>
            <w:hideMark/>
          </w:tcPr>
          <w:p w14:paraId="2639E8CE" w14:textId="77777777" w:rsidR="00F616FB" w:rsidRPr="004647CC" w:rsidRDefault="00F616FB" w:rsidP="00F616FB">
            <w:pPr>
              <w:jc w:val="center"/>
              <w:rPr>
                <w:rFonts w:ascii="Calibri" w:hAnsi="Calibri" w:cs="Calibri"/>
                <w:color w:val="000000"/>
                <w:sz w:val="22"/>
                <w:szCs w:val="22"/>
                <w:lang w:val="en-IN" w:eastAsia="en-IN"/>
              </w:rPr>
            </w:pPr>
            <w:r w:rsidRPr="004647CC">
              <w:rPr>
                <w:rFonts w:ascii="Calibri" w:hAnsi="Calibri" w:cs="Calibri"/>
                <w:color w:val="000000"/>
                <w:sz w:val="22"/>
                <w:szCs w:val="22"/>
                <w:lang w:val="en-IN" w:eastAsia="en-IN"/>
              </w:rPr>
              <w:t>5327.04</w:t>
            </w:r>
          </w:p>
        </w:tc>
        <w:tc>
          <w:tcPr>
            <w:tcW w:w="1256" w:type="dxa"/>
            <w:shd w:val="clear" w:color="auto" w:fill="auto"/>
            <w:vAlign w:val="center"/>
            <w:hideMark/>
          </w:tcPr>
          <w:p w14:paraId="16A4FF7B" w14:textId="77777777" w:rsidR="00F616FB" w:rsidRPr="004647CC" w:rsidRDefault="00F616FB" w:rsidP="00F616FB">
            <w:pPr>
              <w:jc w:val="center"/>
              <w:rPr>
                <w:rFonts w:ascii="Calibri" w:hAnsi="Calibri" w:cs="Calibri"/>
                <w:color w:val="000000"/>
                <w:sz w:val="22"/>
                <w:szCs w:val="22"/>
                <w:lang w:val="en-IN" w:eastAsia="en-IN"/>
              </w:rPr>
            </w:pPr>
            <w:r w:rsidRPr="004647CC">
              <w:rPr>
                <w:rFonts w:ascii="Calibri" w:hAnsi="Calibri" w:cs="Calibri"/>
                <w:color w:val="000000"/>
                <w:sz w:val="22"/>
                <w:szCs w:val="22"/>
                <w:lang w:val="en-IN" w:eastAsia="en-IN"/>
              </w:rPr>
              <w:t>6473.32</w:t>
            </w:r>
          </w:p>
        </w:tc>
        <w:tc>
          <w:tcPr>
            <w:tcW w:w="1276" w:type="dxa"/>
            <w:shd w:val="clear" w:color="auto" w:fill="auto"/>
            <w:vAlign w:val="center"/>
            <w:hideMark/>
          </w:tcPr>
          <w:p w14:paraId="52E9C096" w14:textId="77777777" w:rsidR="00F616FB" w:rsidRPr="004647CC" w:rsidRDefault="00F616FB" w:rsidP="00F616FB">
            <w:pPr>
              <w:jc w:val="center"/>
              <w:rPr>
                <w:rFonts w:ascii="Calibri" w:hAnsi="Calibri" w:cs="Calibri"/>
                <w:color w:val="000000"/>
                <w:sz w:val="22"/>
                <w:szCs w:val="22"/>
                <w:lang w:val="en-IN" w:eastAsia="en-IN"/>
              </w:rPr>
            </w:pPr>
            <w:r w:rsidRPr="004647CC">
              <w:rPr>
                <w:rFonts w:ascii="Calibri" w:hAnsi="Calibri" w:cs="Calibri"/>
                <w:color w:val="000000"/>
                <w:sz w:val="22"/>
                <w:szCs w:val="22"/>
                <w:lang w:val="en-IN" w:eastAsia="en-IN"/>
              </w:rPr>
              <w:t>7047.15</w:t>
            </w:r>
          </w:p>
        </w:tc>
        <w:tc>
          <w:tcPr>
            <w:tcW w:w="1134" w:type="dxa"/>
            <w:shd w:val="clear" w:color="auto" w:fill="auto"/>
            <w:vAlign w:val="center"/>
            <w:hideMark/>
          </w:tcPr>
          <w:p w14:paraId="6C8E2F74" w14:textId="77777777" w:rsidR="00F616FB" w:rsidRPr="004647CC" w:rsidRDefault="00F616FB" w:rsidP="00F616FB">
            <w:pPr>
              <w:jc w:val="center"/>
              <w:rPr>
                <w:rFonts w:ascii="Calibri" w:hAnsi="Calibri" w:cs="Calibri"/>
                <w:color w:val="000000"/>
                <w:sz w:val="22"/>
                <w:szCs w:val="22"/>
                <w:lang w:val="en-IN" w:eastAsia="en-IN"/>
              </w:rPr>
            </w:pPr>
            <w:r w:rsidRPr="004647CC">
              <w:rPr>
                <w:rFonts w:ascii="Calibri" w:hAnsi="Calibri" w:cs="Calibri"/>
                <w:color w:val="000000"/>
                <w:sz w:val="22"/>
                <w:szCs w:val="22"/>
                <w:lang w:val="en-IN" w:eastAsia="en-IN"/>
              </w:rPr>
              <w:t>2105.96</w:t>
            </w:r>
          </w:p>
        </w:tc>
        <w:tc>
          <w:tcPr>
            <w:tcW w:w="1200" w:type="dxa"/>
            <w:shd w:val="clear" w:color="auto" w:fill="auto"/>
            <w:vAlign w:val="center"/>
            <w:hideMark/>
          </w:tcPr>
          <w:p w14:paraId="25BF63BD" w14:textId="77777777" w:rsidR="00F616FB" w:rsidRPr="004647CC" w:rsidRDefault="00F616FB" w:rsidP="00F616FB">
            <w:pPr>
              <w:jc w:val="center"/>
              <w:rPr>
                <w:rFonts w:ascii="Calibri" w:hAnsi="Calibri" w:cs="Calibri"/>
                <w:color w:val="000000"/>
                <w:sz w:val="22"/>
                <w:szCs w:val="22"/>
                <w:lang w:val="en-IN" w:eastAsia="en-IN"/>
              </w:rPr>
            </w:pPr>
            <w:r w:rsidRPr="004647CC">
              <w:rPr>
                <w:rFonts w:ascii="Calibri" w:hAnsi="Calibri" w:cs="Calibri"/>
                <w:color w:val="000000"/>
                <w:sz w:val="22"/>
                <w:szCs w:val="22"/>
                <w:lang w:val="en-IN" w:eastAsia="en-IN"/>
              </w:rPr>
              <w:t>573.83</w:t>
            </w:r>
          </w:p>
        </w:tc>
        <w:tc>
          <w:tcPr>
            <w:tcW w:w="1226" w:type="dxa"/>
            <w:shd w:val="clear" w:color="auto" w:fill="auto"/>
            <w:noWrap/>
            <w:vAlign w:val="bottom"/>
            <w:hideMark/>
          </w:tcPr>
          <w:p w14:paraId="3A620108" w14:textId="77777777" w:rsidR="00F616FB" w:rsidRPr="004647CC" w:rsidRDefault="00F616FB" w:rsidP="00F616FB">
            <w:pPr>
              <w:jc w:val="center"/>
              <w:rPr>
                <w:rFonts w:ascii="Calibri" w:hAnsi="Calibri" w:cs="Calibri"/>
                <w:color w:val="000000"/>
                <w:sz w:val="22"/>
                <w:szCs w:val="22"/>
                <w:lang w:val="en-IN" w:eastAsia="en-IN"/>
              </w:rPr>
            </w:pPr>
            <w:r w:rsidRPr="004647CC">
              <w:rPr>
                <w:rFonts w:ascii="Calibri" w:hAnsi="Calibri" w:cs="Calibri"/>
                <w:color w:val="000000"/>
                <w:sz w:val="22"/>
                <w:szCs w:val="22"/>
                <w:lang w:val="en-IN" w:eastAsia="en-IN"/>
              </w:rPr>
              <w:t>4086.74</w:t>
            </w:r>
          </w:p>
        </w:tc>
      </w:tr>
      <w:tr w:rsidR="00F616FB" w:rsidRPr="004647CC" w14:paraId="7B33CFD3" w14:textId="77777777" w:rsidTr="00F616FB">
        <w:trPr>
          <w:trHeight w:val="265"/>
        </w:trPr>
        <w:tc>
          <w:tcPr>
            <w:tcW w:w="10414" w:type="dxa"/>
            <w:gridSpan w:val="8"/>
            <w:shd w:val="clear" w:color="auto" w:fill="auto"/>
            <w:vAlign w:val="center"/>
            <w:hideMark/>
          </w:tcPr>
          <w:p w14:paraId="7711A6AA" w14:textId="77777777" w:rsidR="00F616FB" w:rsidRPr="004647CC" w:rsidRDefault="00F616FB" w:rsidP="00F616FB">
            <w:pPr>
              <w:rPr>
                <w:rFonts w:ascii="Calibri" w:hAnsi="Calibri" w:cs="Calibri"/>
                <w:b/>
                <w:bCs/>
                <w:color w:val="000000"/>
                <w:sz w:val="22"/>
                <w:szCs w:val="22"/>
                <w:lang w:val="en-IN" w:eastAsia="en-IN"/>
              </w:rPr>
            </w:pPr>
            <w:r w:rsidRPr="004647CC">
              <w:rPr>
                <w:rFonts w:ascii="Calibri" w:hAnsi="Calibri" w:cs="Calibri"/>
                <w:b/>
                <w:bCs/>
                <w:color w:val="000000"/>
                <w:sz w:val="22"/>
                <w:szCs w:val="22"/>
                <w:lang w:val="en-IN" w:eastAsia="en-IN"/>
              </w:rPr>
              <w:t>SALES (MU) </w:t>
            </w:r>
          </w:p>
        </w:tc>
      </w:tr>
      <w:tr w:rsidR="00F616FB" w:rsidRPr="004647CC" w14:paraId="6B6992A2" w14:textId="77777777" w:rsidTr="00F616FB">
        <w:trPr>
          <w:trHeight w:val="265"/>
        </w:trPr>
        <w:tc>
          <w:tcPr>
            <w:tcW w:w="1846" w:type="dxa"/>
            <w:shd w:val="clear" w:color="auto" w:fill="auto"/>
            <w:vAlign w:val="center"/>
            <w:hideMark/>
          </w:tcPr>
          <w:p w14:paraId="0DB8CC77" w14:textId="77777777" w:rsidR="00F616FB" w:rsidRPr="004647CC" w:rsidRDefault="00F616FB" w:rsidP="00F616FB">
            <w:pPr>
              <w:rPr>
                <w:rFonts w:ascii="Calibri" w:hAnsi="Calibri" w:cs="Calibri"/>
                <w:color w:val="000000"/>
                <w:sz w:val="22"/>
                <w:szCs w:val="22"/>
                <w:lang w:val="en-IN" w:eastAsia="en-IN"/>
              </w:rPr>
            </w:pPr>
            <w:r w:rsidRPr="004647CC">
              <w:rPr>
                <w:rFonts w:ascii="Calibri" w:hAnsi="Calibri" w:cs="Calibri"/>
                <w:color w:val="000000"/>
                <w:sz w:val="22"/>
                <w:szCs w:val="22"/>
                <w:lang w:val="en-IN" w:eastAsia="en-IN"/>
              </w:rPr>
              <w:t>EHT</w:t>
            </w:r>
          </w:p>
        </w:tc>
        <w:tc>
          <w:tcPr>
            <w:tcW w:w="1239" w:type="dxa"/>
            <w:shd w:val="clear" w:color="auto" w:fill="auto"/>
            <w:vAlign w:val="center"/>
            <w:hideMark/>
          </w:tcPr>
          <w:p w14:paraId="0588999F" w14:textId="77777777" w:rsidR="00F616FB" w:rsidRPr="004647CC" w:rsidRDefault="00F616FB" w:rsidP="00F616FB">
            <w:pPr>
              <w:jc w:val="center"/>
              <w:rPr>
                <w:rFonts w:ascii="Calibri" w:hAnsi="Calibri" w:cs="Calibri"/>
                <w:color w:val="000000"/>
                <w:sz w:val="22"/>
                <w:szCs w:val="22"/>
                <w:lang w:val="en-IN" w:eastAsia="en-IN"/>
              </w:rPr>
            </w:pPr>
            <w:r w:rsidRPr="004647CC">
              <w:rPr>
                <w:rFonts w:ascii="Calibri" w:hAnsi="Calibri" w:cs="Calibri"/>
                <w:color w:val="000000"/>
                <w:sz w:val="22"/>
                <w:szCs w:val="22"/>
                <w:lang w:val="en-IN" w:eastAsia="en-IN"/>
              </w:rPr>
              <w:t>1424.98</w:t>
            </w:r>
          </w:p>
        </w:tc>
        <w:tc>
          <w:tcPr>
            <w:tcW w:w="1237" w:type="dxa"/>
            <w:shd w:val="clear" w:color="auto" w:fill="auto"/>
            <w:vAlign w:val="center"/>
            <w:hideMark/>
          </w:tcPr>
          <w:p w14:paraId="647A1890" w14:textId="77777777" w:rsidR="00F616FB" w:rsidRPr="004647CC" w:rsidRDefault="00F616FB" w:rsidP="00F616FB">
            <w:pPr>
              <w:jc w:val="center"/>
              <w:rPr>
                <w:rFonts w:ascii="Calibri" w:hAnsi="Calibri" w:cs="Calibri"/>
                <w:color w:val="000000"/>
                <w:sz w:val="22"/>
                <w:szCs w:val="22"/>
                <w:lang w:val="en-IN" w:eastAsia="en-IN"/>
              </w:rPr>
            </w:pPr>
            <w:r w:rsidRPr="004647CC">
              <w:rPr>
                <w:rFonts w:ascii="Calibri" w:hAnsi="Calibri" w:cs="Calibri"/>
                <w:color w:val="000000"/>
                <w:sz w:val="22"/>
                <w:szCs w:val="22"/>
                <w:lang w:val="en-IN" w:eastAsia="en-IN"/>
              </w:rPr>
              <w:t>1676.025</w:t>
            </w:r>
          </w:p>
        </w:tc>
        <w:tc>
          <w:tcPr>
            <w:tcW w:w="1256" w:type="dxa"/>
            <w:shd w:val="clear" w:color="auto" w:fill="auto"/>
            <w:vAlign w:val="center"/>
            <w:hideMark/>
          </w:tcPr>
          <w:p w14:paraId="3B0D482B" w14:textId="77777777" w:rsidR="00F616FB" w:rsidRPr="004647CC" w:rsidRDefault="00F616FB" w:rsidP="00F616FB">
            <w:pPr>
              <w:jc w:val="center"/>
              <w:rPr>
                <w:rFonts w:ascii="Calibri" w:hAnsi="Calibri" w:cs="Calibri"/>
                <w:color w:val="000000"/>
                <w:sz w:val="22"/>
                <w:szCs w:val="22"/>
                <w:lang w:val="en-IN" w:eastAsia="en-IN"/>
              </w:rPr>
            </w:pPr>
            <w:r w:rsidRPr="004647CC">
              <w:rPr>
                <w:rFonts w:ascii="Calibri" w:hAnsi="Calibri" w:cs="Calibri"/>
                <w:color w:val="000000"/>
                <w:sz w:val="22"/>
                <w:szCs w:val="22"/>
                <w:lang w:val="en-IN" w:eastAsia="en-IN"/>
              </w:rPr>
              <w:t>2651.93</w:t>
            </w:r>
          </w:p>
        </w:tc>
        <w:tc>
          <w:tcPr>
            <w:tcW w:w="1276" w:type="dxa"/>
            <w:shd w:val="clear" w:color="auto" w:fill="auto"/>
            <w:vAlign w:val="center"/>
            <w:hideMark/>
          </w:tcPr>
          <w:p w14:paraId="07967D21" w14:textId="77777777" w:rsidR="00F616FB" w:rsidRPr="004647CC" w:rsidRDefault="00F616FB" w:rsidP="00F616FB">
            <w:pPr>
              <w:jc w:val="center"/>
              <w:rPr>
                <w:rFonts w:ascii="Calibri" w:hAnsi="Calibri" w:cs="Calibri"/>
                <w:color w:val="000000"/>
                <w:sz w:val="22"/>
                <w:szCs w:val="22"/>
                <w:lang w:val="en-IN" w:eastAsia="en-IN"/>
              </w:rPr>
            </w:pPr>
            <w:r w:rsidRPr="004647CC">
              <w:rPr>
                <w:rFonts w:ascii="Calibri" w:hAnsi="Calibri" w:cs="Calibri"/>
                <w:color w:val="000000"/>
                <w:sz w:val="22"/>
                <w:szCs w:val="22"/>
                <w:lang w:val="en-IN" w:eastAsia="en-IN"/>
              </w:rPr>
              <w:t>3115.17</w:t>
            </w:r>
          </w:p>
        </w:tc>
        <w:tc>
          <w:tcPr>
            <w:tcW w:w="1134" w:type="dxa"/>
            <w:shd w:val="clear" w:color="auto" w:fill="auto"/>
            <w:vAlign w:val="center"/>
            <w:hideMark/>
          </w:tcPr>
          <w:p w14:paraId="334B16DB" w14:textId="77777777" w:rsidR="00F616FB" w:rsidRPr="004647CC" w:rsidRDefault="00F616FB" w:rsidP="00F616FB">
            <w:pPr>
              <w:jc w:val="center"/>
              <w:rPr>
                <w:rFonts w:ascii="Calibri" w:hAnsi="Calibri" w:cs="Calibri"/>
                <w:color w:val="000000"/>
                <w:sz w:val="22"/>
                <w:szCs w:val="22"/>
                <w:lang w:val="en-IN" w:eastAsia="en-IN"/>
              </w:rPr>
            </w:pPr>
            <w:r w:rsidRPr="004647CC">
              <w:rPr>
                <w:rFonts w:ascii="Calibri" w:hAnsi="Calibri" w:cs="Calibri"/>
                <w:color w:val="000000"/>
                <w:sz w:val="22"/>
                <w:szCs w:val="22"/>
                <w:lang w:val="en-IN" w:eastAsia="en-IN"/>
              </w:rPr>
              <w:t>1690.19</w:t>
            </w:r>
          </w:p>
        </w:tc>
        <w:tc>
          <w:tcPr>
            <w:tcW w:w="1200" w:type="dxa"/>
            <w:shd w:val="clear" w:color="auto" w:fill="auto"/>
            <w:vAlign w:val="center"/>
            <w:hideMark/>
          </w:tcPr>
          <w:p w14:paraId="62B8AE6B" w14:textId="77777777" w:rsidR="00F616FB" w:rsidRPr="004647CC" w:rsidRDefault="00F616FB" w:rsidP="00F616FB">
            <w:pPr>
              <w:jc w:val="center"/>
              <w:rPr>
                <w:rFonts w:ascii="Calibri" w:hAnsi="Calibri" w:cs="Calibri"/>
                <w:color w:val="000000"/>
                <w:sz w:val="22"/>
                <w:szCs w:val="22"/>
                <w:lang w:val="en-IN" w:eastAsia="en-IN"/>
              </w:rPr>
            </w:pPr>
            <w:r w:rsidRPr="004647CC">
              <w:rPr>
                <w:rFonts w:ascii="Calibri" w:hAnsi="Calibri" w:cs="Calibri"/>
                <w:color w:val="000000"/>
                <w:sz w:val="22"/>
                <w:szCs w:val="22"/>
                <w:lang w:val="en-IN" w:eastAsia="en-IN"/>
              </w:rPr>
              <w:t>463.24</w:t>
            </w:r>
          </w:p>
        </w:tc>
        <w:tc>
          <w:tcPr>
            <w:tcW w:w="1226" w:type="dxa"/>
            <w:shd w:val="clear" w:color="auto" w:fill="auto"/>
            <w:noWrap/>
            <w:vAlign w:val="bottom"/>
            <w:hideMark/>
          </w:tcPr>
          <w:p w14:paraId="6208170F" w14:textId="77777777" w:rsidR="00F616FB" w:rsidRPr="004647CC" w:rsidRDefault="00F616FB" w:rsidP="00F616FB">
            <w:pPr>
              <w:jc w:val="center"/>
              <w:rPr>
                <w:rFonts w:ascii="Calibri" w:hAnsi="Calibri" w:cs="Calibri"/>
                <w:color w:val="000000"/>
                <w:sz w:val="22"/>
                <w:szCs w:val="22"/>
                <w:lang w:val="en-IN" w:eastAsia="en-IN"/>
              </w:rPr>
            </w:pPr>
            <w:r w:rsidRPr="004647CC">
              <w:rPr>
                <w:rFonts w:ascii="Calibri" w:hAnsi="Calibri" w:cs="Calibri"/>
                <w:color w:val="000000"/>
                <w:sz w:val="22"/>
                <w:szCs w:val="22"/>
                <w:lang w:val="en-IN" w:eastAsia="en-IN"/>
              </w:rPr>
              <w:t>1588.98</w:t>
            </w:r>
          </w:p>
        </w:tc>
      </w:tr>
      <w:tr w:rsidR="00F616FB" w:rsidRPr="004647CC" w14:paraId="7425F603" w14:textId="77777777" w:rsidTr="00F616FB">
        <w:trPr>
          <w:trHeight w:val="265"/>
        </w:trPr>
        <w:tc>
          <w:tcPr>
            <w:tcW w:w="1846" w:type="dxa"/>
            <w:shd w:val="clear" w:color="auto" w:fill="auto"/>
            <w:vAlign w:val="center"/>
            <w:hideMark/>
          </w:tcPr>
          <w:p w14:paraId="4C2B382D" w14:textId="77777777" w:rsidR="00F616FB" w:rsidRPr="004647CC" w:rsidRDefault="00F616FB" w:rsidP="00F616FB">
            <w:pPr>
              <w:rPr>
                <w:rFonts w:ascii="Calibri" w:hAnsi="Calibri" w:cs="Calibri"/>
                <w:color w:val="000000"/>
                <w:sz w:val="22"/>
                <w:szCs w:val="22"/>
                <w:lang w:val="en-IN" w:eastAsia="en-IN"/>
              </w:rPr>
            </w:pPr>
            <w:r w:rsidRPr="004647CC">
              <w:rPr>
                <w:rFonts w:ascii="Calibri" w:hAnsi="Calibri" w:cs="Calibri"/>
                <w:color w:val="000000"/>
                <w:sz w:val="22"/>
                <w:szCs w:val="22"/>
                <w:lang w:val="en-IN" w:eastAsia="en-IN"/>
              </w:rPr>
              <w:t>HT</w:t>
            </w:r>
          </w:p>
        </w:tc>
        <w:tc>
          <w:tcPr>
            <w:tcW w:w="1239" w:type="dxa"/>
            <w:shd w:val="clear" w:color="auto" w:fill="auto"/>
            <w:vAlign w:val="center"/>
            <w:hideMark/>
          </w:tcPr>
          <w:p w14:paraId="311702C5" w14:textId="77777777" w:rsidR="00F616FB" w:rsidRPr="004647CC" w:rsidRDefault="00F616FB" w:rsidP="00F616FB">
            <w:pPr>
              <w:jc w:val="center"/>
              <w:rPr>
                <w:rFonts w:ascii="Calibri" w:hAnsi="Calibri" w:cs="Calibri"/>
                <w:color w:val="000000"/>
                <w:sz w:val="22"/>
                <w:szCs w:val="22"/>
                <w:lang w:val="en-IN" w:eastAsia="en-IN"/>
              </w:rPr>
            </w:pPr>
            <w:r w:rsidRPr="004647CC">
              <w:rPr>
                <w:rFonts w:ascii="Calibri" w:hAnsi="Calibri" w:cs="Calibri"/>
                <w:color w:val="000000"/>
                <w:sz w:val="22"/>
                <w:szCs w:val="22"/>
                <w:lang w:val="en-IN" w:eastAsia="en-IN"/>
              </w:rPr>
              <w:t>388.87</w:t>
            </w:r>
          </w:p>
        </w:tc>
        <w:tc>
          <w:tcPr>
            <w:tcW w:w="1237" w:type="dxa"/>
            <w:shd w:val="clear" w:color="auto" w:fill="auto"/>
            <w:vAlign w:val="center"/>
            <w:hideMark/>
          </w:tcPr>
          <w:p w14:paraId="5AD21309" w14:textId="77777777" w:rsidR="00F616FB" w:rsidRPr="004647CC" w:rsidRDefault="00F616FB" w:rsidP="00F616FB">
            <w:pPr>
              <w:jc w:val="center"/>
              <w:rPr>
                <w:rFonts w:ascii="Calibri" w:hAnsi="Calibri" w:cs="Calibri"/>
                <w:color w:val="000000"/>
                <w:sz w:val="22"/>
                <w:szCs w:val="22"/>
                <w:lang w:val="en-IN" w:eastAsia="en-IN"/>
              </w:rPr>
            </w:pPr>
            <w:r w:rsidRPr="004647CC">
              <w:rPr>
                <w:rFonts w:ascii="Calibri" w:hAnsi="Calibri" w:cs="Calibri"/>
                <w:color w:val="000000"/>
                <w:sz w:val="22"/>
                <w:szCs w:val="22"/>
                <w:lang w:val="en-IN" w:eastAsia="en-IN"/>
              </w:rPr>
              <w:t>503.265</w:t>
            </w:r>
          </w:p>
        </w:tc>
        <w:tc>
          <w:tcPr>
            <w:tcW w:w="1256" w:type="dxa"/>
            <w:shd w:val="clear" w:color="auto" w:fill="auto"/>
            <w:vAlign w:val="center"/>
            <w:hideMark/>
          </w:tcPr>
          <w:p w14:paraId="48312772" w14:textId="77777777" w:rsidR="00F616FB" w:rsidRPr="004647CC" w:rsidRDefault="00F616FB" w:rsidP="00F616FB">
            <w:pPr>
              <w:jc w:val="center"/>
              <w:rPr>
                <w:rFonts w:ascii="Calibri" w:hAnsi="Calibri" w:cs="Calibri"/>
                <w:color w:val="000000"/>
                <w:sz w:val="22"/>
                <w:szCs w:val="22"/>
                <w:lang w:val="en-IN" w:eastAsia="en-IN"/>
              </w:rPr>
            </w:pPr>
            <w:r w:rsidRPr="004647CC">
              <w:rPr>
                <w:rFonts w:ascii="Calibri" w:hAnsi="Calibri" w:cs="Calibri"/>
                <w:color w:val="000000"/>
                <w:sz w:val="22"/>
                <w:szCs w:val="22"/>
                <w:lang w:val="en-IN" w:eastAsia="en-IN"/>
              </w:rPr>
              <w:t>625.42</w:t>
            </w:r>
          </w:p>
        </w:tc>
        <w:tc>
          <w:tcPr>
            <w:tcW w:w="1276" w:type="dxa"/>
            <w:shd w:val="clear" w:color="auto" w:fill="auto"/>
            <w:vAlign w:val="center"/>
            <w:hideMark/>
          </w:tcPr>
          <w:p w14:paraId="20C31ED3" w14:textId="77777777" w:rsidR="00F616FB" w:rsidRPr="004647CC" w:rsidRDefault="00F616FB" w:rsidP="00F616FB">
            <w:pPr>
              <w:jc w:val="center"/>
              <w:rPr>
                <w:rFonts w:ascii="Calibri" w:hAnsi="Calibri" w:cs="Calibri"/>
                <w:color w:val="000000"/>
                <w:sz w:val="22"/>
                <w:szCs w:val="22"/>
                <w:lang w:val="en-IN" w:eastAsia="en-IN"/>
              </w:rPr>
            </w:pPr>
            <w:r w:rsidRPr="004647CC">
              <w:rPr>
                <w:rFonts w:ascii="Calibri" w:hAnsi="Calibri" w:cs="Calibri"/>
                <w:color w:val="000000"/>
                <w:sz w:val="22"/>
                <w:szCs w:val="22"/>
                <w:lang w:val="en-IN" w:eastAsia="en-IN"/>
              </w:rPr>
              <w:t>685.81</w:t>
            </w:r>
          </w:p>
        </w:tc>
        <w:tc>
          <w:tcPr>
            <w:tcW w:w="1134" w:type="dxa"/>
            <w:shd w:val="clear" w:color="auto" w:fill="auto"/>
            <w:vAlign w:val="center"/>
            <w:hideMark/>
          </w:tcPr>
          <w:p w14:paraId="78825965" w14:textId="77777777" w:rsidR="00F616FB" w:rsidRPr="004647CC" w:rsidRDefault="00F616FB" w:rsidP="00F616FB">
            <w:pPr>
              <w:jc w:val="center"/>
              <w:rPr>
                <w:rFonts w:ascii="Calibri" w:hAnsi="Calibri" w:cs="Calibri"/>
                <w:color w:val="000000"/>
                <w:sz w:val="22"/>
                <w:szCs w:val="22"/>
                <w:lang w:val="en-IN" w:eastAsia="en-IN"/>
              </w:rPr>
            </w:pPr>
            <w:r w:rsidRPr="004647CC">
              <w:rPr>
                <w:rFonts w:ascii="Calibri" w:hAnsi="Calibri" w:cs="Calibri"/>
                <w:color w:val="000000"/>
                <w:sz w:val="22"/>
                <w:szCs w:val="22"/>
                <w:lang w:val="en-IN" w:eastAsia="en-IN"/>
              </w:rPr>
              <w:t>296.95</w:t>
            </w:r>
          </w:p>
        </w:tc>
        <w:tc>
          <w:tcPr>
            <w:tcW w:w="1200" w:type="dxa"/>
            <w:shd w:val="clear" w:color="auto" w:fill="auto"/>
            <w:vAlign w:val="center"/>
            <w:hideMark/>
          </w:tcPr>
          <w:p w14:paraId="3BAC623D" w14:textId="77777777" w:rsidR="00F616FB" w:rsidRPr="004647CC" w:rsidRDefault="00F616FB" w:rsidP="00F616FB">
            <w:pPr>
              <w:jc w:val="center"/>
              <w:rPr>
                <w:rFonts w:ascii="Calibri" w:hAnsi="Calibri" w:cs="Calibri"/>
                <w:color w:val="000000"/>
                <w:sz w:val="22"/>
                <w:szCs w:val="22"/>
                <w:lang w:val="en-IN" w:eastAsia="en-IN"/>
              </w:rPr>
            </w:pPr>
            <w:r w:rsidRPr="004647CC">
              <w:rPr>
                <w:rFonts w:ascii="Calibri" w:hAnsi="Calibri" w:cs="Calibri"/>
                <w:color w:val="000000"/>
                <w:sz w:val="22"/>
                <w:szCs w:val="22"/>
                <w:lang w:val="en-IN" w:eastAsia="en-IN"/>
              </w:rPr>
              <w:t>60.39</w:t>
            </w:r>
          </w:p>
        </w:tc>
        <w:tc>
          <w:tcPr>
            <w:tcW w:w="1226" w:type="dxa"/>
            <w:shd w:val="clear" w:color="auto" w:fill="auto"/>
            <w:noWrap/>
            <w:vAlign w:val="bottom"/>
            <w:hideMark/>
          </w:tcPr>
          <w:p w14:paraId="5F41A363" w14:textId="77777777" w:rsidR="00F616FB" w:rsidRPr="004647CC" w:rsidRDefault="00F616FB" w:rsidP="00F616FB">
            <w:pPr>
              <w:jc w:val="center"/>
              <w:rPr>
                <w:rFonts w:ascii="Calibri" w:hAnsi="Calibri" w:cs="Calibri"/>
                <w:color w:val="000000"/>
                <w:sz w:val="22"/>
                <w:szCs w:val="22"/>
                <w:lang w:val="en-IN" w:eastAsia="en-IN"/>
              </w:rPr>
            </w:pPr>
            <w:r w:rsidRPr="004647CC">
              <w:rPr>
                <w:rFonts w:ascii="Calibri" w:hAnsi="Calibri" w:cs="Calibri"/>
                <w:color w:val="000000"/>
                <w:sz w:val="22"/>
                <w:szCs w:val="22"/>
                <w:lang w:val="en-IN" w:eastAsia="en-IN"/>
              </w:rPr>
              <w:t>417.55</w:t>
            </w:r>
          </w:p>
        </w:tc>
      </w:tr>
      <w:tr w:rsidR="00F616FB" w:rsidRPr="004647CC" w14:paraId="01C0390E" w14:textId="77777777" w:rsidTr="00F616FB">
        <w:trPr>
          <w:trHeight w:val="265"/>
        </w:trPr>
        <w:tc>
          <w:tcPr>
            <w:tcW w:w="1846" w:type="dxa"/>
            <w:shd w:val="clear" w:color="auto" w:fill="auto"/>
            <w:vAlign w:val="center"/>
            <w:hideMark/>
          </w:tcPr>
          <w:p w14:paraId="6F5BC441" w14:textId="77777777" w:rsidR="00F616FB" w:rsidRPr="004647CC" w:rsidRDefault="00F616FB" w:rsidP="00F616FB">
            <w:pPr>
              <w:rPr>
                <w:rFonts w:ascii="Calibri" w:hAnsi="Calibri" w:cs="Calibri"/>
                <w:color w:val="000000"/>
                <w:sz w:val="22"/>
                <w:szCs w:val="22"/>
                <w:lang w:val="en-IN" w:eastAsia="en-IN"/>
              </w:rPr>
            </w:pPr>
            <w:r w:rsidRPr="004647CC">
              <w:rPr>
                <w:rFonts w:ascii="Calibri" w:hAnsi="Calibri" w:cs="Calibri"/>
                <w:color w:val="000000"/>
                <w:sz w:val="22"/>
                <w:szCs w:val="22"/>
                <w:lang w:val="en-IN" w:eastAsia="en-IN"/>
              </w:rPr>
              <w:t>LT</w:t>
            </w:r>
          </w:p>
        </w:tc>
        <w:tc>
          <w:tcPr>
            <w:tcW w:w="1239" w:type="dxa"/>
            <w:shd w:val="clear" w:color="auto" w:fill="auto"/>
            <w:vAlign w:val="center"/>
            <w:hideMark/>
          </w:tcPr>
          <w:p w14:paraId="2E84D27F" w14:textId="77777777" w:rsidR="00F616FB" w:rsidRPr="004647CC" w:rsidRDefault="00F616FB" w:rsidP="00F616FB">
            <w:pPr>
              <w:jc w:val="center"/>
              <w:rPr>
                <w:rFonts w:ascii="Calibri" w:hAnsi="Calibri" w:cs="Calibri"/>
                <w:color w:val="000000"/>
                <w:sz w:val="22"/>
                <w:szCs w:val="22"/>
                <w:lang w:val="en-IN" w:eastAsia="en-IN"/>
              </w:rPr>
            </w:pPr>
            <w:r w:rsidRPr="004647CC">
              <w:rPr>
                <w:rFonts w:ascii="Calibri" w:hAnsi="Calibri" w:cs="Calibri"/>
                <w:color w:val="000000"/>
                <w:sz w:val="22"/>
                <w:szCs w:val="22"/>
                <w:lang w:val="en-IN" w:eastAsia="en-IN"/>
              </w:rPr>
              <w:t>2107.78</w:t>
            </w:r>
          </w:p>
        </w:tc>
        <w:tc>
          <w:tcPr>
            <w:tcW w:w="1237" w:type="dxa"/>
            <w:shd w:val="clear" w:color="auto" w:fill="auto"/>
            <w:vAlign w:val="center"/>
            <w:hideMark/>
          </w:tcPr>
          <w:p w14:paraId="388C26BB" w14:textId="77777777" w:rsidR="00F616FB" w:rsidRPr="004647CC" w:rsidRDefault="00F616FB" w:rsidP="00F616FB">
            <w:pPr>
              <w:jc w:val="center"/>
              <w:rPr>
                <w:rFonts w:ascii="Calibri" w:hAnsi="Calibri" w:cs="Calibri"/>
                <w:color w:val="000000"/>
                <w:sz w:val="22"/>
                <w:szCs w:val="22"/>
                <w:lang w:val="en-IN" w:eastAsia="en-IN"/>
              </w:rPr>
            </w:pPr>
            <w:r w:rsidRPr="004647CC">
              <w:rPr>
                <w:rFonts w:ascii="Calibri" w:hAnsi="Calibri" w:cs="Calibri"/>
                <w:color w:val="000000"/>
                <w:sz w:val="22"/>
                <w:szCs w:val="22"/>
                <w:lang w:val="en-IN" w:eastAsia="en-IN"/>
              </w:rPr>
              <w:t>2167.708</w:t>
            </w:r>
          </w:p>
        </w:tc>
        <w:tc>
          <w:tcPr>
            <w:tcW w:w="1256" w:type="dxa"/>
            <w:shd w:val="clear" w:color="auto" w:fill="auto"/>
            <w:vAlign w:val="center"/>
            <w:hideMark/>
          </w:tcPr>
          <w:p w14:paraId="73B6B08B" w14:textId="77777777" w:rsidR="00F616FB" w:rsidRPr="004647CC" w:rsidRDefault="00F616FB" w:rsidP="00F616FB">
            <w:pPr>
              <w:jc w:val="center"/>
              <w:rPr>
                <w:rFonts w:ascii="Calibri" w:hAnsi="Calibri" w:cs="Calibri"/>
                <w:color w:val="000000"/>
                <w:sz w:val="22"/>
                <w:szCs w:val="22"/>
                <w:lang w:val="en-IN" w:eastAsia="en-IN"/>
              </w:rPr>
            </w:pPr>
            <w:r w:rsidRPr="004647CC">
              <w:rPr>
                <w:rFonts w:ascii="Calibri" w:hAnsi="Calibri" w:cs="Calibri"/>
                <w:color w:val="000000"/>
                <w:sz w:val="22"/>
                <w:szCs w:val="22"/>
                <w:lang w:val="en-IN" w:eastAsia="en-IN"/>
              </w:rPr>
              <w:t>2132.7</w:t>
            </w:r>
          </w:p>
        </w:tc>
        <w:tc>
          <w:tcPr>
            <w:tcW w:w="1276" w:type="dxa"/>
            <w:shd w:val="clear" w:color="auto" w:fill="auto"/>
            <w:vAlign w:val="center"/>
            <w:hideMark/>
          </w:tcPr>
          <w:p w14:paraId="429FB1D1" w14:textId="77777777" w:rsidR="00F616FB" w:rsidRPr="004647CC" w:rsidRDefault="00F616FB" w:rsidP="00F616FB">
            <w:pPr>
              <w:jc w:val="center"/>
              <w:rPr>
                <w:rFonts w:ascii="Calibri" w:hAnsi="Calibri" w:cs="Calibri"/>
                <w:color w:val="000000"/>
                <w:sz w:val="22"/>
                <w:szCs w:val="22"/>
                <w:lang w:val="en-IN" w:eastAsia="en-IN"/>
              </w:rPr>
            </w:pPr>
            <w:r w:rsidRPr="004647CC">
              <w:rPr>
                <w:rFonts w:ascii="Calibri" w:hAnsi="Calibri" w:cs="Calibri"/>
                <w:color w:val="000000"/>
                <w:sz w:val="22"/>
                <w:szCs w:val="22"/>
                <w:lang w:val="en-IN" w:eastAsia="en-IN"/>
              </w:rPr>
              <w:t>2195.38</w:t>
            </w:r>
          </w:p>
        </w:tc>
        <w:tc>
          <w:tcPr>
            <w:tcW w:w="1134" w:type="dxa"/>
            <w:shd w:val="clear" w:color="auto" w:fill="auto"/>
            <w:vAlign w:val="center"/>
            <w:hideMark/>
          </w:tcPr>
          <w:p w14:paraId="0375795E" w14:textId="77777777" w:rsidR="00F616FB" w:rsidRPr="004647CC" w:rsidRDefault="00F616FB" w:rsidP="00F616FB">
            <w:pPr>
              <w:jc w:val="center"/>
              <w:rPr>
                <w:rFonts w:ascii="Calibri" w:hAnsi="Calibri" w:cs="Calibri"/>
                <w:color w:val="000000"/>
                <w:sz w:val="22"/>
                <w:szCs w:val="22"/>
                <w:lang w:val="en-IN" w:eastAsia="en-IN"/>
              </w:rPr>
            </w:pPr>
            <w:r w:rsidRPr="004647CC">
              <w:rPr>
                <w:rFonts w:ascii="Calibri" w:hAnsi="Calibri" w:cs="Calibri"/>
                <w:color w:val="000000"/>
                <w:sz w:val="22"/>
                <w:szCs w:val="22"/>
                <w:lang w:val="en-IN" w:eastAsia="en-IN"/>
              </w:rPr>
              <w:t>87.6</w:t>
            </w:r>
          </w:p>
        </w:tc>
        <w:tc>
          <w:tcPr>
            <w:tcW w:w="1200" w:type="dxa"/>
            <w:shd w:val="clear" w:color="auto" w:fill="auto"/>
            <w:vAlign w:val="center"/>
            <w:hideMark/>
          </w:tcPr>
          <w:p w14:paraId="4CBDC7D7" w14:textId="77777777" w:rsidR="00F616FB" w:rsidRPr="004647CC" w:rsidRDefault="00F616FB" w:rsidP="00F616FB">
            <w:pPr>
              <w:jc w:val="center"/>
              <w:rPr>
                <w:rFonts w:ascii="Calibri" w:hAnsi="Calibri" w:cs="Calibri"/>
                <w:color w:val="000000"/>
                <w:sz w:val="22"/>
                <w:szCs w:val="22"/>
                <w:lang w:val="en-IN" w:eastAsia="en-IN"/>
              </w:rPr>
            </w:pPr>
            <w:r w:rsidRPr="004647CC">
              <w:rPr>
                <w:rFonts w:ascii="Calibri" w:hAnsi="Calibri" w:cs="Calibri"/>
                <w:color w:val="000000"/>
                <w:sz w:val="22"/>
                <w:szCs w:val="22"/>
                <w:lang w:val="en-IN" w:eastAsia="en-IN"/>
              </w:rPr>
              <w:t>62.68</w:t>
            </w:r>
          </w:p>
        </w:tc>
        <w:tc>
          <w:tcPr>
            <w:tcW w:w="1226" w:type="dxa"/>
            <w:shd w:val="clear" w:color="auto" w:fill="auto"/>
            <w:noWrap/>
            <w:vAlign w:val="bottom"/>
            <w:hideMark/>
          </w:tcPr>
          <w:p w14:paraId="27A861E4" w14:textId="77777777" w:rsidR="00F616FB" w:rsidRPr="004647CC" w:rsidRDefault="00F616FB" w:rsidP="00F616FB">
            <w:pPr>
              <w:jc w:val="center"/>
              <w:rPr>
                <w:rFonts w:ascii="Calibri" w:hAnsi="Calibri" w:cs="Calibri"/>
                <w:color w:val="000000"/>
                <w:sz w:val="22"/>
                <w:szCs w:val="22"/>
                <w:lang w:val="en-IN" w:eastAsia="en-IN"/>
              </w:rPr>
            </w:pPr>
            <w:r w:rsidRPr="004647CC">
              <w:rPr>
                <w:rFonts w:ascii="Calibri" w:hAnsi="Calibri" w:cs="Calibri"/>
                <w:color w:val="000000"/>
                <w:sz w:val="22"/>
                <w:szCs w:val="22"/>
                <w:lang w:val="en-IN" w:eastAsia="en-IN"/>
              </w:rPr>
              <w:t>1523.39</w:t>
            </w:r>
          </w:p>
        </w:tc>
      </w:tr>
      <w:tr w:rsidR="00F616FB" w:rsidRPr="004647CC" w14:paraId="4200EBCF" w14:textId="77777777" w:rsidTr="00F616FB">
        <w:trPr>
          <w:trHeight w:val="265"/>
        </w:trPr>
        <w:tc>
          <w:tcPr>
            <w:tcW w:w="1846" w:type="dxa"/>
            <w:shd w:val="clear" w:color="000000" w:fill="DBEEF4"/>
            <w:vAlign w:val="center"/>
            <w:hideMark/>
          </w:tcPr>
          <w:p w14:paraId="46597DAA" w14:textId="77777777" w:rsidR="00F616FB" w:rsidRPr="004647CC" w:rsidRDefault="00F616FB" w:rsidP="00F616FB">
            <w:pPr>
              <w:rPr>
                <w:rFonts w:ascii="Calibri" w:hAnsi="Calibri" w:cs="Calibri"/>
                <w:b/>
                <w:bCs/>
                <w:color w:val="000000"/>
                <w:sz w:val="22"/>
                <w:szCs w:val="22"/>
                <w:lang w:val="en-IN" w:eastAsia="en-IN"/>
              </w:rPr>
            </w:pPr>
            <w:r w:rsidRPr="004647CC">
              <w:rPr>
                <w:rFonts w:ascii="Calibri" w:hAnsi="Calibri" w:cs="Calibri"/>
                <w:b/>
                <w:bCs/>
                <w:color w:val="000000"/>
                <w:sz w:val="22"/>
                <w:szCs w:val="22"/>
                <w:lang w:val="en-IN" w:eastAsia="en-IN"/>
              </w:rPr>
              <w:t>Total</w:t>
            </w:r>
          </w:p>
        </w:tc>
        <w:tc>
          <w:tcPr>
            <w:tcW w:w="1239" w:type="dxa"/>
            <w:shd w:val="clear" w:color="000000" w:fill="DBEEF4"/>
            <w:vAlign w:val="center"/>
            <w:hideMark/>
          </w:tcPr>
          <w:p w14:paraId="7236C9B5" w14:textId="77777777" w:rsidR="00F616FB" w:rsidRPr="004647CC" w:rsidRDefault="00F616FB" w:rsidP="00F616FB">
            <w:pPr>
              <w:jc w:val="center"/>
              <w:rPr>
                <w:rFonts w:ascii="Calibri" w:hAnsi="Calibri" w:cs="Calibri"/>
                <w:b/>
                <w:bCs/>
                <w:color w:val="000000"/>
                <w:sz w:val="22"/>
                <w:szCs w:val="22"/>
                <w:lang w:val="en-IN" w:eastAsia="en-IN"/>
              </w:rPr>
            </w:pPr>
            <w:r w:rsidRPr="004647CC">
              <w:rPr>
                <w:rFonts w:ascii="Calibri" w:hAnsi="Calibri" w:cs="Calibri"/>
                <w:b/>
                <w:bCs/>
                <w:color w:val="000000"/>
                <w:sz w:val="22"/>
                <w:szCs w:val="22"/>
                <w:lang w:val="en-IN" w:eastAsia="en-IN"/>
              </w:rPr>
              <w:t>3921.63</w:t>
            </w:r>
          </w:p>
        </w:tc>
        <w:tc>
          <w:tcPr>
            <w:tcW w:w="1237" w:type="dxa"/>
            <w:shd w:val="clear" w:color="000000" w:fill="DBEEF4"/>
            <w:vAlign w:val="center"/>
            <w:hideMark/>
          </w:tcPr>
          <w:p w14:paraId="3AE52BA0" w14:textId="77777777" w:rsidR="00F616FB" w:rsidRPr="004647CC" w:rsidRDefault="00F616FB" w:rsidP="00F616FB">
            <w:pPr>
              <w:jc w:val="center"/>
              <w:rPr>
                <w:rFonts w:ascii="Calibri" w:hAnsi="Calibri" w:cs="Calibri"/>
                <w:b/>
                <w:bCs/>
                <w:color w:val="000000"/>
                <w:sz w:val="22"/>
                <w:szCs w:val="22"/>
                <w:lang w:val="en-IN" w:eastAsia="en-IN"/>
              </w:rPr>
            </w:pPr>
            <w:r w:rsidRPr="004647CC">
              <w:rPr>
                <w:rFonts w:ascii="Calibri" w:hAnsi="Calibri" w:cs="Calibri"/>
                <w:b/>
                <w:bCs/>
                <w:color w:val="000000"/>
                <w:sz w:val="22"/>
                <w:szCs w:val="22"/>
                <w:lang w:val="en-IN" w:eastAsia="en-IN"/>
              </w:rPr>
              <w:t>4346.998</w:t>
            </w:r>
          </w:p>
        </w:tc>
        <w:tc>
          <w:tcPr>
            <w:tcW w:w="1256" w:type="dxa"/>
            <w:shd w:val="clear" w:color="000000" w:fill="DBEEF4"/>
            <w:vAlign w:val="center"/>
            <w:hideMark/>
          </w:tcPr>
          <w:p w14:paraId="04C7712B" w14:textId="77777777" w:rsidR="00F616FB" w:rsidRPr="004647CC" w:rsidRDefault="00F616FB" w:rsidP="00F616FB">
            <w:pPr>
              <w:jc w:val="center"/>
              <w:rPr>
                <w:rFonts w:ascii="Calibri" w:hAnsi="Calibri" w:cs="Calibri"/>
                <w:b/>
                <w:bCs/>
                <w:color w:val="000000"/>
                <w:sz w:val="22"/>
                <w:szCs w:val="22"/>
                <w:lang w:val="en-IN" w:eastAsia="en-IN"/>
              </w:rPr>
            </w:pPr>
            <w:r w:rsidRPr="004647CC">
              <w:rPr>
                <w:rFonts w:ascii="Calibri" w:hAnsi="Calibri" w:cs="Calibri"/>
                <w:b/>
                <w:bCs/>
                <w:color w:val="000000"/>
                <w:sz w:val="22"/>
                <w:szCs w:val="22"/>
                <w:lang w:val="en-IN" w:eastAsia="en-IN"/>
              </w:rPr>
              <w:t>5410.05</w:t>
            </w:r>
          </w:p>
        </w:tc>
        <w:tc>
          <w:tcPr>
            <w:tcW w:w="1276" w:type="dxa"/>
            <w:shd w:val="clear" w:color="000000" w:fill="DBEEF4"/>
            <w:vAlign w:val="center"/>
            <w:hideMark/>
          </w:tcPr>
          <w:p w14:paraId="724D4281" w14:textId="77777777" w:rsidR="00F616FB" w:rsidRPr="004647CC" w:rsidRDefault="00F616FB" w:rsidP="00F616FB">
            <w:pPr>
              <w:jc w:val="center"/>
              <w:rPr>
                <w:rFonts w:ascii="Calibri" w:hAnsi="Calibri" w:cs="Calibri"/>
                <w:b/>
                <w:bCs/>
                <w:color w:val="000000"/>
                <w:sz w:val="22"/>
                <w:szCs w:val="22"/>
                <w:lang w:val="en-IN" w:eastAsia="en-IN"/>
              </w:rPr>
            </w:pPr>
            <w:r w:rsidRPr="004647CC">
              <w:rPr>
                <w:rFonts w:ascii="Calibri" w:hAnsi="Calibri" w:cs="Calibri"/>
                <w:b/>
                <w:bCs/>
                <w:color w:val="000000"/>
                <w:sz w:val="22"/>
                <w:szCs w:val="22"/>
                <w:lang w:val="en-IN" w:eastAsia="en-IN"/>
              </w:rPr>
              <w:t>5996.36</w:t>
            </w:r>
          </w:p>
        </w:tc>
        <w:tc>
          <w:tcPr>
            <w:tcW w:w="1134" w:type="dxa"/>
            <w:shd w:val="clear" w:color="000000" w:fill="DBEEF4"/>
            <w:vAlign w:val="center"/>
            <w:hideMark/>
          </w:tcPr>
          <w:p w14:paraId="18FD3E6F" w14:textId="77777777" w:rsidR="00F616FB" w:rsidRPr="004647CC" w:rsidRDefault="00F616FB" w:rsidP="00F616FB">
            <w:pPr>
              <w:jc w:val="center"/>
              <w:rPr>
                <w:rFonts w:ascii="Calibri" w:hAnsi="Calibri" w:cs="Calibri"/>
                <w:b/>
                <w:bCs/>
                <w:color w:val="000000"/>
                <w:sz w:val="22"/>
                <w:szCs w:val="22"/>
                <w:lang w:val="en-IN" w:eastAsia="en-IN"/>
              </w:rPr>
            </w:pPr>
            <w:r w:rsidRPr="004647CC">
              <w:rPr>
                <w:rFonts w:ascii="Calibri" w:hAnsi="Calibri" w:cs="Calibri"/>
                <w:b/>
                <w:bCs/>
                <w:color w:val="000000"/>
                <w:sz w:val="22"/>
                <w:szCs w:val="22"/>
                <w:lang w:val="en-IN" w:eastAsia="en-IN"/>
              </w:rPr>
              <w:t>2074.73</w:t>
            </w:r>
          </w:p>
        </w:tc>
        <w:tc>
          <w:tcPr>
            <w:tcW w:w="1200" w:type="dxa"/>
            <w:shd w:val="clear" w:color="000000" w:fill="DBEEF4"/>
            <w:vAlign w:val="center"/>
            <w:hideMark/>
          </w:tcPr>
          <w:p w14:paraId="4650EDA2" w14:textId="77777777" w:rsidR="00F616FB" w:rsidRPr="004647CC" w:rsidRDefault="00F616FB" w:rsidP="00F616FB">
            <w:pPr>
              <w:jc w:val="center"/>
              <w:rPr>
                <w:rFonts w:ascii="Calibri" w:hAnsi="Calibri" w:cs="Calibri"/>
                <w:b/>
                <w:bCs/>
                <w:color w:val="000000"/>
                <w:sz w:val="22"/>
                <w:szCs w:val="22"/>
                <w:lang w:val="en-IN" w:eastAsia="en-IN"/>
              </w:rPr>
            </w:pPr>
            <w:r w:rsidRPr="004647CC">
              <w:rPr>
                <w:rFonts w:ascii="Calibri" w:hAnsi="Calibri" w:cs="Calibri"/>
                <w:b/>
                <w:bCs/>
                <w:color w:val="000000"/>
                <w:sz w:val="22"/>
                <w:szCs w:val="22"/>
                <w:lang w:val="en-IN" w:eastAsia="en-IN"/>
              </w:rPr>
              <w:t>586.31</w:t>
            </w:r>
          </w:p>
        </w:tc>
        <w:tc>
          <w:tcPr>
            <w:tcW w:w="1226" w:type="dxa"/>
            <w:shd w:val="clear" w:color="000000" w:fill="DBEEF4"/>
            <w:vAlign w:val="center"/>
            <w:hideMark/>
          </w:tcPr>
          <w:p w14:paraId="29B93A5E" w14:textId="77777777" w:rsidR="00F616FB" w:rsidRPr="004647CC" w:rsidRDefault="00F616FB" w:rsidP="00F616FB">
            <w:pPr>
              <w:jc w:val="center"/>
              <w:rPr>
                <w:rFonts w:ascii="Calibri" w:hAnsi="Calibri" w:cs="Calibri"/>
                <w:b/>
                <w:bCs/>
                <w:color w:val="000000"/>
                <w:sz w:val="22"/>
                <w:szCs w:val="22"/>
                <w:lang w:val="en-IN" w:eastAsia="en-IN"/>
              </w:rPr>
            </w:pPr>
            <w:r w:rsidRPr="004647CC">
              <w:rPr>
                <w:rFonts w:ascii="Calibri" w:hAnsi="Calibri" w:cs="Calibri"/>
                <w:b/>
                <w:bCs/>
                <w:color w:val="000000"/>
                <w:sz w:val="22"/>
                <w:szCs w:val="22"/>
                <w:lang w:val="en-IN" w:eastAsia="en-IN"/>
              </w:rPr>
              <w:t>3529.92</w:t>
            </w:r>
          </w:p>
        </w:tc>
      </w:tr>
      <w:tr w:rsidR="00F616FB" w:rsidRPr="004647CC" w14:paraId="7445187D" w14:textId="77777777" w:rsidTr="00F616FB">
        <w:trPr>
          <w:trHeight w:val="383"/>
        </w:trPr>
        <w:tc>
          <w:tcPr>
            <w:tcW w:w="1846" w:type="dxa"/>
            <w:shd w:val="clear" w:color="auto" w:fill="auto"/>
            <w:vAlign w:val="center"/>
            <w:hideMark/>
          </w:tcPr>
          <w:p w14:paraId="38633EDD" w14:textId="77777777" w:rsidR="00F616FB" w:rsidRPr="004647CC" w:rsidRDefault="00F616FB" w:rsidP="00F616FB">
            <w:pPr>
              <w:rPr>
                <w:rFonts w:ascii="Calibri" w:hAnsi="Calibri" w:cs="Calibri"/>
                <w:b/>
                <w:bCs/>
                <w:color w:val="000000"/>
                <w:sz w:val="22"/>
                <w:szCs w:val="22"/>
                <w:lang w:val="en-IN" w:eastAsia="en-IN"/>
              </w:rPr>
            </w:pPr>
            <w:r w:rsidRPr="004647CC">
              <w:rPr>
                <w:rFonts w:ascii="Calibri" w:hAnsi="Calibri" w:cs="Calibri"/>
                <w:b/>
                <w:bCs/>
                <w:color w:val="000000"/>
                <w:sz w:val="22"/>
                <w:szCs w:val="22"/>
                <w:lang w:val="en-IN" w:eastAsia="en-IN"/>
              </w:rPr>
              <w:t>DISRIBUTION LOSS %</w:t>
            </w:r>
          </w:p>
        </w:tc>
        <w:tc>
          <w:tcPr>
            <w:tcW w:w="1239" w:type="dxa"/>
            <w:shd w:val="clear" w:color="auto" w:fill="auto"/>
            <w:vAlign w:val="center"/>
            <w:hideMark/>
          </w:tcPr>
          <w:p w14:paraId="526F75E2" w14:textId="77777777" w:rsidR="00F616FB" w:rsidRPr="004647CC" w:rsidRDefault="00F616FB" w:rsidP="00F616FB">
            <w:pPr>
              <w:jc w:val="center"/>
              <w:rPr>
                <w:rFonts w:ascii="Calibri" w:hAnsi="Calibri" w:cs="Calibri"/>
                <w:color w:val="000000"/>
                <w:sz w:val="22"/>
                <w:szCs w:val="22"/>
                <w:lang w:val="en-IN" w:eastAsia="en-IN"/>
              </w:rPr>
            </w:pPr>
            <w:r w:rsidRPr="004647CC">
              <w:rPr>
                <w:rFonts w:ascii="Calibri" w:hAnsi="Calibri" w:cs="Calibri"/>
                <w:color w:val="000000"/>
                <w:sz w:val="22"/>
                <w:szCs w:val="22"/>
                <w:lang w:val="en-IN" w:eastAsia="en-IN"/>
              </w:rPr>
              <w:t>20.63%</w:t>
            </w:r>
          </w:p>
        </w:tc>
        <w:tc>
          <w:tcPr>
            <w:tcW w:w="1237" w:type="dxa"/>
            <w:shd w:val="clear" w:color="000000" w:fill="FFFFFF"/>
            <w:vAlign w:val="center"/>
            <w:hideMark/>
          </w:tcPr>
          <w:p w14:paraId="190A3186" w14:textId="77777777" w:rsidR="00F616FB" w:rsidRPr="004647CC" w:rsidRDefault="00F616FB" w:rsidP="00F616FB">
            <w:pPr>
              <w:jc w:val="center"/>
              <w:rPr>
                <w:rFonts w:ascii="Calibri" w:hAnsi="Calibri" w:cs="Calibri"/>
                <w:color w:val="000000"/>
                <w:sz w:val="22"/>
                <w:szCs w:val="22"/>
                <w:lang w:val="en-IN" w:eastAsia="en-IN"/>
              </w:rPr>
            </w:pPr>
            <w:r w:rsidRPr="004647CC">
              <w:rPr>
                <w:rFonts w:ascii="Calibri" w:hAnsi="Calibri" w:cs="Calibri"/>
                <w:color w:val="000000"/>
                <w:sz w:val="22"/>
                <w:szCs w:val="22"/>
                <w:lang w:val="en-IN" w:eastAsia="en-IN"/>
              </w:rPr>
              <w:t>18.40%</w:t>
            </w:r>
          </w:p>
        </w:tc>
        <w:tc>
          <w:tcPr>
            <w:tcW w:w="1256" w:type="dxa"/>
            <w:shd w:val="clear" w:color="000000" w:fill="FFFFFF"/>
            <w:vAlign w:val="center"/>
            <w:hideMark/>
          </w:tcPr>
          <w:p w14:paraId="371AB407" w14:textId="77777777" w:rsidR="00F616FB" w:rsidRPr="004647CC" w:rsidRDefault="00F616FB" w:rsidP="00F616FB">
            <w:pPr>
              <w:jc w:val="center"/>
              <w:rPr>
                <w:rFonts w:ascii="Calibri" w:hAnsi="Calibri" w:cs="Calibri"/>
                <w:color w:val="000000"/>
                <w:sz w:val="22"/>
                <w:szCs w:val="22"/>
                <w:lang w:val="en-IN" w:eastAsia="en-IN"/>
              </w:rPr>
            </w:pPr>
            <w:r w:rsidRPr="004647CC">
              <w:rPr>
                <w:rFonts w:ascii="Calibri" w:hAnsi="Calibri" w:cs="Calibri"/>
                <w:color w:val="000000"/>
                <w:sz w:val="22"/>
                <w:szCs w:val="22"/>
                <w:lang w:val="en-IN" w:eastAsia="en-IN"/>
              </w:rPr>
              <w:t>16.43%</w:t>
            </w:r>
          </w:p>
        </w:tc>
        <w:tc>
          <w:tcPr>
            <w:tcW w:w="1276" w:type="dxa"/>
            <w:shd w:val="clear" w:color="000000" w:fill="FFFFFF"/>
            <w:vAlign w:val="center"/>
            <w:hideMark/>
          </w:tcPr>
          <w:p w14:paraId="16793BEC" w14:textId="77777777" w:rsidR="00F616FB" w:rsidRPr="004647CC" w:rsidRDefault="00F616FB" w:rsidP="00F616FB">
            <w:pPr>
              <w:jc w:val="center"/>
              <w:rPr>
                <w:rFonts w:ascii="Calibri" w:hAnsi="Calibri" w:cs="Calibri"/>
                <w:color w:val="000000"/>
                <w:sz w:val="22"/>
                <w:szCs w:val="22"/>
                <w:lang w:val="en-IN" w:eastAsia="en-IN"/>
              </w:rPr>
            </w:pPr>
            <w:r w:rsidRPr="004647CC">
              <w:rPr>
                <w:rFonts w:ascii="Calibri" w:hAnsi="Calibri" w:cs="Calibri"/>
                <w:color w:val="000000"/>
                <w:sz w:val="22"/>
                <w:szCs w:val="22"/>
                <w:lang w:val="en-IN" w:eastAsia="en-IN"/>
              </w:rPr>
              <w:t>14.91%</w:t>
            </w:r>
          </w:p>
        </w:tc>
        <w:tc>
          <w:tcPr>
            <w:tcW w:w="1134" w:type="dxa"/>
            <w:shd w:val="clear" w:color="000000" w:fill="FFFFFF"/>
            <w:vAlign w:val="center"/>
            <w:hideMark/>
          </w:tcPr>
          <w:p w14:paraId="43FC9C3C" w14:textId="77777777" w:rsidR="00F616FB" w:rsidRPr="004647CC" w:rsidRDefault="00F616FB" w:rsidP="00F616FB">
            <w:pPr>
              <w:jc w:val="center"/>
              <w:rPr>
                <w:rFonts w:ascii="Calibri" w:hAnsi="Calibri" w:cs="Calibri"/>
                <w:color w:val="000000"/>
                <w:sz w:val="22"/>
                <w:szCs w:val="22"/>
                <w:lang w:val="en-IN" w:eastAsia="en-IN"/>
              </w:rPr>
            </w:pPr>
            <w:r w:rsidRPr="004647CC">
              <w:rPr>
                <w:rFonts w:ascii="Calibri" w:hAnsi="Calibri" w:cs="Calibri"/>
                <w:color w:val="000000"/>
                <w:sz w:val="22"/>
                <w:szCs w:val="22"/>
                <w:lang w:val="en-IN" w:eastAsia="en-IN"/>
              </w:rPr>
              <w:t>-5.72%</w:t>
            </w:r>
          </w:p>
        </w:tc>
        <w:tc>
          <w:tcPr>
            <w:tcW w:w="1200" w:type="dxa"/>
            <w:shd w:val="clear" w:color="auto" w:fill="auto"/>
            <w:vAlign w:val="center"/>
            <w:hideMark/>
          </w:tcPr>
          <w:p w14:paraId="4D0278EC" w14:textId="77777777" w:rsidR="00F616FB" w:rsidRPr="004647CC" w:rsidRDefault="00F616FB" w:rsidP="00F616FB">
            <w:pPr>
              <w:jc w:val="center"/>
              <w:rPr>
                <w:rFonts w:ascii="Calibri" w:hAnsi="Calibri" w:cs="Calibri"/>
                <w:color w:val="000000"/>
                <w:sz w:val="22"/>
                <w:szCs w:val="22"/>
                <w:lang w:val="en-IN" w:eastAsia="en-IN"/>
              </w:rPr>
            </w:pPr>
            <w:r w:rsidRPr="004647CC">
              <w:rPr>
                <w:rFonts w:ascii="Calibri" w:hAnsi="Calibri" w:cs="Calibri"/>
                <w:color w:val="000000"/>
                <w:sz w:val="22"/>
                <w:szCs w:val="22"/>
                <w:lang w:val="en-IN" w:eastAsia="en-IN"/>
              </w:rPr>
              <w:t>-1.52%</w:t>
            </w:r>
          </w:p>
        </w:tc>
        <w:tc>
          <w:tcPr>
            <w:tcW w:w="1226" w:type="dxa"/>
            <w:shd w:val="clear" w:color="auto" w:fill="auto"/>
            <w:noWrap/>
            <w:vAlign w:val="center"/>
            <w:hideMark/>
          </w:tcPr>
          <w:p w14:paraId="72E5C861" w14:textId="77777777" w:rsidR="00F616FB" w:rsidRPr="004647CC" w:rsidRDefault="00F616FB" w:rsidP="00F616FB">
            <w:pPr>
              <w:jc w:val="center"/>
              <w:rPr>
                <w:rFonts w:ascii="Calibri" w:hAnsi="Calibri" w:cs="Calibri"/>
                <w:color w:val="000000"/>
                <w:sz w:val="22"/>
                <w:szCs w:val="22"/>
                <w:lang w:val="en-IN" w:eastAsia="en-IN"/>
              </w:rPr>
            </w:pPr>
            <w:r w:rsidRPr="004647CC">
              <w:rPr>
                <w:rFonts w:ascii="Calibri" w:hAnsi="Calibri" w:cs="Calibri"/>
                <w:color w:val="000000"/>
                <w:sz w:val="22"/>
                <w:szCs w:val="22"/>
                <w:lang w:val="en-IN" w:eastAsia="en-IN"/>
              </w:rPr>
              <w:t>13.62%</w:t>
            </w:r>
          </w:p>
        </w:tc>
      </w:tr>
      <w:tr w:rsidR="00F616FB" w:rsidRPr="004647CC" w14:paraId="3F78BB25" w14:textId="77777777" w:rsidTr="00F616FB">
        <w:trPr>
          <w:trHeight w:val="383"/>
        </w:trPr>
        <w:tc>
          <w:tcPr>
            <w:tcW w:w="1846" w:type="dxa"/>
            <w:shd w:val="clear" w:color="auto" w:fill="auto"/>
            <w:vAlign w:val="center"/>
            <w:hideMark/>
          </w:tcPr>
          <w:p w14:paraId="19C958F1" w14:textId="77777777" w:rsidR="00F616FB" w:rsidRPr="004647CC" w:rsidRDefault="00F616FB" w:rsidP="00F616FB">
            <w:pPr>
              <w:rPr>
                <w:rFonts w:ascii="Calibri" w:hAnsi="Calibri" w:cs="Calibri"/>
                <w:b/>
                <w:bCs/>
                <w:color w:val="000000"/>
                <w:sz w:val="22"/>
                <w:szCs w:val="22"/>
                <w:lang w:val="en-IN" w:eastAsia="en-IN"/>
              </w:rPr>
            </w:pPr>
            <w:r w:rsidRPr="004647CC">
              <w:rPr>
                <w:rFonts w:ascii="Calibri" w:hAnsi="Calibri" w:cs="Calibri"/>
                <w:b/>
                <w:bCs/>
                <w:color w:val="000000"/>
                <w:sz w:val="22"/>
                <w:szCs w:val="22"/>
                <w:lang w:val="en-IN" w:eastAsia="en-IN"/>
              </w:rPr>
              <w:t>BILLING EFFICIENCY %</w:t>
            </w:r>
          </w:p>
        </w:tc>
        <w:tc>
          <w:tcPr>
            <w:tcW w:w="1239" w:type="dxa"/>
            <w:shd w:val="clear" w:color="auto" w:fill="auto"/>
            <w:vAlign w:val="center"/>
            <w:hideMark/>
          </w:tcPr>
          <w:p w14:paraId="5C65CDD2" w14:textId="77777777" w:rsidR="00F616FB" w:rsidRPr="004647CC" w:rsidRDefault="00F616FB" w:rsidP="00F616FB">
            <w:pPr>
              <w:jc w:val="center"/>
              <w:rPr>
                <w:rFonts w:ascii="Calibri" w:hAnsi="Calibri" w:cs="Calibri"/>
                <w:color w:val="000000"/>
                <w:sz w:val="22"/>
                <w:szCs w:val="22"/>
                <w:lang w:val="en-IN" w:eastAsia="en-IN"/>
              </w:rPr>
            </w:pPr>
            <w:r w:rsidRPr="004647CC">
              <w:rPr>
                <w:rFonts w:ascii="Calibri" w:hAnsi="Calibri" w:cs="Calibri"/>
                <w:color w:val="000000"/>
                <w:sz w:val="22"/>
                <w:szCs w:val="22"/>
                <w:lang w:val="en-IN" w:eastAsia="en-IN"/>
              </w:rPr>
              <w:t>79.37%</w:t>
            </w:r>
          </w:p>
        </w:tc>
        <w:tc>
          <w:tcPr>
            <w:tcW w:w="1237" w:type="dxa"/>
            <w:shd w:val="clear" w:color="000000" w:fill="FFFFFF"/>
            <w:vAlign w:val="center"/>
            <w:hideMark/>
          </w:tcPr>
          <w:p w14:paraId="4895DAF0" w14:textId="77777777" w:rsidR="00F616FB" w:rsidRPr="004647CC" w:rsidRDefault="00F616FB" w:rsidP="00F616FB">
            <w:pPr>
              <w:jc w:val="center"/>
              <w:rPr>
                <w:rFonts w:ascii="Calibri" w:hAnsi="Calibri" w:cs="Calibri"/>
                <w:color w:val="000000"/>
                <w:sz w:val="22"/>
                <w:szCs w:val="22"/>
                <w:lang w:val="en-IN" w:eastAsia="en-IN"/>
              </w:rPr>
            </w:pPr>
            <w:r w:rsidRPr="004647CC">
              <w:rPr>
                <w:rFonts w:ascii="Calibri" w:hAnsi="Calibri" w:cs="Calibri"/>
                <w:color w:val="000000"/>
                <w:sz w:val="22"/>
                <w:szCs w:val="22"/>
                <w:lang w:val="en-IN" w:eastAsia="en-IN"/>
              </w:rPr>
              <w:t>81.60%</w:t>
            </w:r>
          </w:p>
        </w:tc>
        <w:tc>
          <w:tcPr>
            <w:tcW w:w="1256" w:type="dxa"/>
            <w:shd w:val="clear" w:color="000000" w:fill="FFFFFF"/>
            <w:vAlign w:val="center"/>
            <w:hideMark/>
          </w:tcPr>
          <w:p w14:paraId="37FD0760" w14:textId="77777777" w:rsidR="00F616FB" w:rsidRPr="004647CC" w:rsidRDefault="00F616FB" w:rsidP="00F616FB">
            <w:pPr>
              <w:jc w:val="center"/>
              <w:rPr>
                <w:rFonts w:ascii="Calibri" w:hAnsi="Calibri" w:cs="Calibri"/>
                <w:color w:val="000000"/>
                <w:sz w:val="22"/>
                <w:szCs w:val="22"/>
                <w:lang w:val="en-IN" w:eastAsia="en-IN"/>
              </w:rPr>
            </w:pPr>
            <w:r w:rsidRPr="004647CC">
              <w:rPr>
                <w:rFonts w:ascii="Calibri" w:hAnsi="Calibri" w:cs="Calibri"/>
                <w:color w:val="000000"/>
                <w:sz w:val="22"/>
                <w:szCs w:val="22"/>
                <w:lang w:val="en-IN" w:eastAsia="en-IN"/>
              </w:rPr>
              <w:t>83.57%</w:t>
            </w:r>
          </w:p>
        </w:tc>
        <w:tc>
          <w:tcPr>
            <w:tcW w:w="1276" w:type="dxa"/>
            <w:shd w:val="clear" w:color="000000" w:fill="FFFFFF"/>
            <w:vAlign w:val="center"/>
            <w:hideMark/>
          </w:tcPr>
          <w:p w14:paraId="0110ADB8" w14:textId="77777777" w:rsidR="00F616FB" w:rsidRPr="004647CC" w:rsidRDefault="00F616FB" w:rsidP="00F616FB">
            <w:pPr>
              <w:jc w:val="center"/>
              <w:rPr>
                <w:rFonts w:ascii="Calibri" w:hAnsi="Calibri" w:cs="Calibri"/>
                <w:color w:val="000000"/>
                <w:sz w:val="22"/>
                <w:szCs w:val="22"/>
                <w:lang w:val="en-IN" w:eastAsia="en-IN"/>
              </w:rPr>
            </w:pPr>
            <w:r w:rsidRPr="004647CC">
              <w:rPr>
                <w:rFonts w:ascii="Calibri" w:hAnsi="Calibri" w:cs="Calibri"/>
                <w:color w:val="000000"/>
                <w:sz w:val="22"/>
                <w:szCs w:val="22"/>
                <w:lang w:val="en-IN" w:eastAsia="en-IN"/>
              </w:rPr>
              <w:t>85.09%</w:t>
            </w:r>
          </w:p>
        </w:tc>
        <w:tc>
          <w:tcPr>
            <w:tcW w:w="1134" w:type="dxa"/>
            <w:shd w:val="clear" w:color="000000" w:fill="FFFFFF"/>
            <w:vAlign w:val="center"/>
            <w:hideMark/>
          </w:tcPr>
          <w:p w14:paraId="77E51606" w14:textId="77777777" w:rsidR="00F616FB" w:rsidRPr="004647CC" w:rsidRDefault="00F616FB" w:rsidP="00F616FB">
            <w:pPr>
              <w:jc w:val="center"/>
              <w:rPr>
                <w:rFonts w:ascii="Calibri" w:hAnsi="Calibri" w:cs="Calibri"/>
                <w:color w:val="000000"/>
                <w:sz w:val="22"/>
                <w:szCs w:val="22"/>
                <w:lang w:val="en-IN" w:eastAsia="en-IN"/>
              </w:rPr>
            </w:pPr>
            <w:r w:rsidRPr="004647CC">
              <w:rPr>
                <w:rFonts w:ascii="Calibri" w:hAnsi="Calibri" w:cs="Calibri"/>
                <w:color w:val="000000"/>
                <w:sz w:val="22"/>
                <w:szCs w:val="22"/>
                <w:lang w:val="en-IN" w:eastAsia="en-IN"/>
              </w:rPr>
              <w:t>5.72%</w:t>
            </w:r>
          </w:p>
        </w:tc>
        <w:tc>
          <w:tcPr>
            <w:tcW w:w="1200" w:type="dxa"/>
            <w:shd w:val="clear" w:color="auto" w:fill="auto"/>
            <w:vAlign w:val="center"/>
            <w:hideMark/>
          </w:tcPr>
          <w:p w14:paraId="2A8AEE80" w14:textId="77777777" w:rsidR="00F616FB" w:rsidRPr="004647CC" w:rsidRDefault="00F616FB" w:rsidP="00F616FB">
            <w:pPr>
              <w:jc w:val="center"/>
              <w:rPr>
                <w:rFonts w:ascii="Calibri" w:hAnsi="Calibri" w:cs="Calibri"/>
                <w:color w:val="000000"/>
                <w:sz w:val="22"/>
                <w:szCs w:val="22"/>
                <w:lang w:val="en-IN" w:eastAsia="en-IN"/>
              </w:rPr>
            </w:pPr>
            <w:r w:rsidRPr="004647CC">
              <w:rPr>
                <w:rFonts w:ascii="Calibri" w:hAnsi="Calibri" w:cs="Calibri"/>
                <w:color w:val="000000"/>
                <w:sz w:val="22"/>
                <w:szCs w:val="22"/>
                <w:lang w:val="en-IN" w:eastAsia="en-IN"/>
              </w:rPr>
              <w:t>1.52%</w:t>
            </w:r>
          </w:p>
        </w:tc>
        <w:tc>
          <w:tcPr>
            <w:tcW w:w="1226" w:type="dxa"/>
            <w:shd w:val="clear" w:color="auto" w:fill="auto"/>
            <w:noWrap/>
            <w:vAlign w:val="center"/>
            <w:hideMark/>
          </w:tcPr>
          <w:p w14:paraId="2EEC6F5B" w14:textId="77777777" w:rsidR="00F616FB" w:rsidRPr="004647CC" w:rsidRDefault="00F616FB" w:rsidP="00F616FB">
            <w:pPr>
              <w:jc w:val="center"/>
              <w:rPr>
                <w:rFonts w:ascii="Calibri" w:hAnsi="Calibri" w:cs="Calibri"/>
                <w:color w:val="000000"/>
                <w:sz w:val="22"/>
                <w:szCs w:val="22"/>
                <w:lang w:val="en-IN" w:eastAsia="en-IN"/>
              </w:rPr>
            </w:pPr>
            <w:r w:rsidRPr="004647CC">
              <w:rPr>
                <w:rFonts w:ascii="Calibri" w:hAnsi="Calibri" w:cs="Calibri"/>
                <w:color w:val="000000"/>
                <w:sz w:val="22"/>
                <w:szCs w:val="22"/>
                <w:lang w:val="en-IN" w:eastAsia="en-IN"/>
              </w:rPr>
              <w:t>86.38%</w:t>
            </w:r>
          </w:p>
        </w:tc>
      </w:tr>
      <w:tr w:rsidR="00F616FB" w:rsidRPr="004647CC" w14:paraId="2C1A284B" w14:textId="77777777" w:rsidTr="00F616FB">
        <w:trPr>
          <w:trHeight w:val="477"/>
        </w:trPr>
        <w:tc>
          <w:tcPr>
            <w:tcW w:w="1846" w:type="dxa"/>
            <w:shd w:val="clear" w:color="auto" w:fill="auto"/>
            <w:vAlign w:val="center"/>
            <w:hideMark/>
          </w:tcPr>
          <w:p w14:paraId="15B0400D" w14:textId="77777777" w:rsidR="00F616FB" w:rsidRPr="004647CC" w:rsidRDefault="00F616FB" w:rsidP="00F616FB">
            <w:pPr>
              <w:rPr>
                <w:rFonts w:ascii="Calibri" w:hAnsi="Calibri" w:cs="Calibri"/>
                <w:b/>
                <w:bCs/>
                <w:color w:val="000000"/>
                <w:sz w:val="22"/>
                <w:szCs w:val="22"/>
                <w:lang w:val="en-IN" w:eastAsia="en-IN"/>
              </w:rPr>
            </w:pPr>
            <w:r w:rsidRPr="004647CC">
              <w:rPr>
                <w:rFonts w:ascii="Calibri" w:hAnsi="Calibri" w:cs="Calibri"/>
                <w:b/>
                <w:bCs/>
                <w:color w:val="000000"/>
                <w:sz w:val="22"/>
                <w:szCs w:val="22"/>
                <w:lang w:val="en-IN" w:eastAsia="en-IN"/>
              </w:rPr>
              <w:t>COLLECTION EFFICIENCY %</w:t>
            </w:r>
          </w:p>
        </w:tc>
        <w:tc>
          <w:tcPr>
            <w:tcW w:w="1239" w:type="dxa"/>
            <w:shd w:val="clear" w:color="auto" w:fill="auto"/>
            <w:vAlign w:val="center"/>
            <w:hideMark/>
          </w:tcPr>
          <w:p w14:paraId="259602BF" w14:textId="77777777" w:rsidR="00F616FB" w:rsidRPr="004647CC" w:rsidRDefault="00F616FB" w:rsidP="00F616FB">
            <w:pPr>
              <w:jc w:val="center"/>
              <w:rPr>
                <w:rFonts w:ascii="Calibri" w:hAnsi="Calibri" w:cs="Calibri"/>
                <w:color w:val="000000"/>
                <w:sz w:val="22"/>
                <w:szCs w:val="22"/>
                <w:lang w:val="en-IN" w:eastAsia="en-IN"/>
              </w:rPr>
            </w:pPr>
            <w:r w:rsidRPr="004647CC">
              <w:rPr>
                <w:rFonts w:ascii="Calibri" w:hAnsi="Calibri" w:cs="Calibri"/>
                <w:color w:val="000000"/>
                <w:sz w:val="22"/>
                <w:szCs w:val="22"/>
                <w:lang w:val="en-IN" w:eastAsia="en-IN"/>
              </w:rPr>
              <w:t>94.28%</w:t>
            </w:r>
          </w:p>
        </w:tc>
        <w:tc>
          <w:tcPr>
            <w:tcW w:w="1237" w:type="dxa"/>
            <w:shd w:val="clear" w:color="000000" w:fill="FFFFFF"/>
            <w:vAlign w:val="center"/>
            <w:hideMark/>
          </w:tcPr>
          <w:p w14:paraId="06F432EE" w14:textId="77777777" w:rsidR="00F616FB" w:rsidRPr="004647CC" w:rsidRDefault="00F616FB" w:rsidP="00F616FB">
            <w:pPr>
              <w:jc w:val="center"/>
              <w:rPr>
                <w:rFonts w:ascii="Calibri" w:hAnsi="Calibri" w:cs="Calibri"/>
                <w:color w:val="000000"/>
                <w:sz w:val="22"/>
                <w:szCs w:val="22"/>
                <w:lang w:val="en-IN" w:eastAsia="en-IN"/>
              </w:rPr>
            </w:pPr>
            <w:r w:rsidRPr="004647CC">
              <w:rPr>
                <w:rFonts w:ascii="Calibri" w:hAnsi="Calibri" w:cs="Calibri"/>
                <w:color w:val="000000"/>
                <w:sz w:val="22"/>
                <w:szCs w:val="22"/>
                <w:lang w:val="en-IN" w:eastAsia="en-IN"/>
              </w:rPr>
              <w:t>86.72%</w:t>
            </w:r>
          </w:p>
        </w:tc>
        <w:tc>
          <w:tcPr>
            <w:tcW w:w="1256" w:type="dxa"/>
            <w:shd w:val="clear" w:color="000000" w:fill="FFFFFF"/>
            <w:vAlign w:val="center"/>
            <w:hideMark/>
          </w:tcPr>
          <w:p w14:paraId="61528A42" w14:textId="77777777" w:rsidR="00F616FB" w:rsidRPr="004647CC" w:rsidRDefault="00F616FB" w:rsidP="00F616FB">
            <w:pPr>
              <w:jc w:val="center"/>
              <w:rPr>
                <w:rFonts w:ascii="Calibri" w:hAnsi="Calibri" w:cs="Calibri"/>
                <w:color w:val="000000"/>
                <w:sz w:val="22"/>
                <w:szCs w:val="22"/>
                <w:lang w:val="en-IN" w:eastAsia="en-IN"/>
              </w:rPr>
            </w:pPr>
            <w:r w:rsidRPr="004647CC">
              <w:rPr>
                <w:rFonts w:ascii="Calibri" w:hAnsi="Calibri" w:cs="Calibri"/>
                <w:color w:val="000000"/>
                <w:sz w:val="22"/>
                <w:szCs w:val="22"/>
                <w:lang w:val="en-IN" w:eastAsia="en-IN"/>
              </w:rPr>
              <w:t>96.05%</w:t>
            </w:r>
          </w:p>
        </w:tc>
        <w:tc>
          <w:tcPr>
            <w:tcW w:w="1276" w:type="dxa"/>
            <w:shd w:val="clear" w:color="000000" w:fill="FFFFFF"/>
            <w:vAlign w:val="center"/>
            <w:hideMark/>
          </w:tcPr>
          <w:p w14:paraId="368EEFDA" w14:textId="77777777" w:rsidR="00F616FB" w:rsidRPr="004647CC" w:rsidRDefault="00F616FB" w:rsidP="00F616FB">
            <w:pPr>
              <w:jc w:val="center"/>
              <w:rPr>
                <w:rFonts w:ascii="Calibri" w:hAnsi="Calibri" w:cs="Calibri"/>
                <w:color w:val="000000"/>
                <w:sz w:val="22"/>
                <w:szCs w:val="22"/>
                <w:lang w:val="en-IN" w:eastAsia="en-IN"/>
              </w:rPr>
            </w:pPr>
            <w:r w:rsidRPr="004647CC">
              <w:rPr>
                <w:rFonts w:ascii="Calibri" w:hAnsi="Calibri" w:cs="Calibri"/>
                <w:color w:val="000000"/>
                <w:sz w:val="22"/>
                <w:szCs w:val="22"/>
                <w:lang w:val="en-IN" w:eastAsia="en-IN"/>
              </w:rPr>
              <w:t>100.85%</w:t>
            </w:r>
          </w:p>
        </w:tc>
        <w:tc>
          <w:tcPr>
            <w:tcW w:w="1134" w:type="dxa"/>
            <w:shd w:val="clear" w:color="000000" w:fill="FFFFFF"/>
            <w:vAlign w:val="center"/>
            <w:hideMark/>
          </w:tcPr>
          <w:p w14:paraId="24944AED" w14:textId="77777777" w:rsidR="00F616FB" w:rsidRPr="004647CC" w:rsidRDefault="00F616FB" w:rsidP="00F616FB">
            <w:pPr>
              <w:jc w:val="center"/>
              <w:rPr>
                <w:rFonts w:ascii="Calibri" w:hAnsi="Calibri" w:cs="Calibri"/>
                <w:color w:val="000000"/>
                <w:sz w:val="22"/>
                <w:szCs w:val="22"/>
                <w:lang w:val="en-IN" w:eastAsia="en-IN"/>
              </w:rPr>
            </w:pPr>
            <w:r w:rsidRPr="004647CC">
              <w:rPr>
                <w:rFonts w:ascii="Calibri" w:hAnsi="Calibri" w:cs="Calibri"/>
                <w:color w:val="000000"/>
                <w:sz w:val="22"/>
                <w:szCs w:val="22"/>
                <w:lang w:val="en-IN" w:eastAsia="en-IN"/>
              </w:rPr>
              <w:t>6.57%</w:t>
            </w:r>
          </w:p>
        </w:tc>
        <w:tc>
          <w:tcPr>
            <w:tcW w:w="1200" w:type="dxa"/>
            <w:shd w:val="clear" w:color="auto" w:fill="auto"/>
            <w:vAlign w:val="center"/>
            <w:hideMark/>
          </w:tcPr>
          <w:p w14:paraId="680B1992" w14:textId="77777777" w:rsidR="00F616FB" w:rsidRPr="004647CC" w:rsidRDefault="00F616FB" w:rsidP="00F616FB">
            <w:pPr>
              <w:jc w:val="center"/>
              <w:rPr>
                <w:rFonts w:ascii="Calibri" w:hAnsi="Calibri" w:cs="Calibri"/>
                <w:color w:val="000000"/>
                <w:sz w:val="22"/>
                <w:szCs w:val="22"/>
                <w:lang w:val="en-IN" w:eastAsia="en-IN"/>
              </w:rPr>
            </w:pPr>
            <w:r w:rsidRPr="004647CC">
              <w:rPr>
                <w:rFonts w:ascii="Calibri" w:hAnsi="Calibri" w:cs="Calibri"/>
                <w:color w:val="000000"/>
                <w:sz w:val="22"/>
                <w:szCs w:val="22"/>
                <w:lang w:val="en-IN" w:eastAsia="en-IN"/>
              </w:rPr>
              <w:t>4.80%</w:t>
            </w:r>
          </w:p>
        </w:tc>
        <w:tc>
          <w:tcPr>
            <w:tcW w:w="1226" w:type="dxa"/>
            <w:shd w:val="clear" w:color="auto" w:fill="auto"/>
            <w:noWrap/>
            <w:vAlign w:val="center"/>
            <w:hideMark/>
          </w:tcPr>
          <w:p w14:paraId="0CE0EE14" w14:textId="77777777" w:rsidR="00F616FB" w:rsidRPr="004647CC" w:rsidRDefault="00F616FB" w:rsidP="00F616FB">
            <w:pPr>
              <w:jc w:val="center"/>
              <w:rPr>
                <w:rFonts w:ascii="Calibri" w:hAnsi="Calibri" w:cs="Calibri"/>
                <w:color w:val="000000"/>
                <w:sz w:val="22"/>
                <w:szCs w:val="22"/>
                <w:lang w:val="en-IN" w:eastAsia="en-IN"/>
              </w:rPr>
            </w:pPr>
            <w:r w:rsidRPr="004647CC">
              <w:rPr>
                <w:rFonts w:ascii="Calibri" w:hAnsi="Calibri" w:cs="Calibri"/>
                <w:color w:val="000000"/>
                <w:sz w:val="22"/>
                <w:szCs w:val="22"/>
                <w:lang w:val="en-IN" w:eastAsia="en-IN"/>
              </w:rPr>
              <w:t>96.61%</w:t>
            </w:r>
          </w:p>
        </w:tc>
      </w:tr>
      <w:tr w:rsidR="00F616FB" w:rsidRPr="004647CC" w14:paraId="573A7ADF" w14:textId="77777777" w:rsidTr="00F616FB">
        <w:trPr>
          <w:trHeight w:val="357"/>
        </w:trPr>
        <w:tc>
          <w:tcPr>
            <w:tcW w:w="1846" w:type="dxa"/>
            <w:shd w:val="clear" w:color="auto" w:fill="auto"/>
            <w:vAlign w:val="center"/>
            <w:hideMark/>
          </w:tcPr>
          <w:p w14:paraId="0288937A" w14:textId="77777777" w:rsidR="00F616FB" w:rsidRPr="004647CC" w:rsidRDefault="00F616FB" w:rsidP="00F616FB">
            <w:pPr>
              <w:rPr>
                <w:rFonts w:ascii="Calibri" w:hAnsi="Calibri" w:cs="Calibri"/>
                <w:b/>
                <w:bCs/>
                <w:color w:val="000000"/>
                <w:sz w:val="22"/>
                <w:szCs w:val="22"/>
                <w:lang w:val="en-IN" w:eastAsia="en-IN"/>
              </w:rPr>
            </w:pPr>
            <w:r w:rsidRPr="004647CC">
              <w:rPr>
                <w:rFonts w:ascii="Calibri" w:hAnsi="Calibri" w:cs="Calibri"/>
                <w:b/>
                <w:bCs/>
                <w:color w:val="000000"/>
                <w:sz w:val="22"/>
                <w:szCs w:val="22"/>
                <w:lang w:val="en-IN" w:eastAsia="en-IN"/>
              </w:rPr>
              <w:t>AT &amp; C LOSS %</w:t>
            </w:r>
          </w:p>
        </w:tc>
        <w:tc>
          <w:tcPr>
            <w:tcW w:w="1239" w:type="dxa"/>
            <w:shd w:val="clear" w:color="auto" w:fill="auto"/>
            <w:vAlign w:val="center"/>
            <w:hideMark/>
          </w:tcPr>
          <w:p w14:paraId="4C8E54B6" w14:textId="77777777" w:rsidR="00F616FB" w:rsidRPr="004647CC" w:rsidRDefault="00F616FB" w:rsidP="00F616FB">
            <w:pPr>
              <w:jc w:val="center"/>
              <w:rPr>
                <w:rFonts w:ascii="Calibri" w:hAnsi="Calibri" w:cs="Calibri"/>
                <w:color w:val="000000"/>
                <w:sz w:val="22"/>
                <w:szCs w:val="22"/>
                <w:lang w:val="en-IN" w:eastAsia="en-IN"/>
              </w:rPr>
            </w:pPr>
            <w:r w:rsidRPr="004647CC">
              <w:rPr>
                <w:rFonts w:ascii="Calibri" w:hAnsi="Calibri" w:cs="Calibri"/>
                <w:color w:val="000000"/>
                <w:sz w:val="22"/>
                <w:szCs w:val="22"/>
                <w:lang w:val="en-IN" w:eastAsia="en-IN"/>
              </w:rPr>
              <w:t>25.17%</w:t>
            </w:r>
          </w:p>
        </w:tc>
        <w:tc>
          <w:tcPr>
            <w:tcW w:w="1237" w:type="dxa"/>
            <w:shd w:val="clear" w:color="000000" w:fill="FFFFFF"/>
            <w:vAlign w:val="center"/>
            <w:hideMark/>
          </w:tcPr>
          <w:p w14:paraId="0B54961A" w14:textId="77777777" w:rsidR="00F616FB" w:rsidRPr="004647CC" w:rsidRDefault="00F616FB" w:rsidP="00F616FB">
            <w:pPr>
              <w:jc w:val="center"/>
              <w:rPr>
                <w:rFonts w:ascii="Calibri" w:hAnsi="Calibri" w:cs="Calibri"/>
                <w:b/>
                <w:bCs/>
                <w:color w:val="000000"/>
                <w:sz w:val="22"/>
                <w:szCs w:val="22"/>
                <w:lang w:val="en-IN" w:eastAsia="en-IN"/>
              </w:rPr>
            </w:pPr>
            <w:r w:rsidRPr="004647CC">
              <w:rPr>
                <w:rFonts w:ascii="Calibri" w:hAnsi="Calibri" w:cs="Calibri"/>
                <w:b/>
                <w:bCs/>
                <w:color w:val="000000"/>
                <w:sz w:val="22"/>
                <w:szCs w:val="22"/>
                <w:lang w:val="en-IN" w:eastAsia="en-IN"/>
              </w:rPr>
              <w:t>29.23%</w:t>
            </w:r>
          </w:p>
        </w:tc>
        <w:tc>
          <w:tcPr>
            <w:tcW w:w="1256" w:type="dxa"/>
            <w:shd w:val="clear" w:color="000000" w:fill="FFFFFF"/>
            <w:vAlign w:val="center"/>
            <w:hideMark/>
          </w:tcPr>
          <w:p w14:paraId="470F0E9B" w14:textId="77777777" w:rsidR="00F616FB" w:rsidRPr="004647CC" w:rsidRDefault="00F616FB" w:rsidP="00F616FB">
            <w:pPr>
              <w:jc w:val="center"/>
              <w:rPr>
                <w:rFonts w:ascii="Calibri" w:hAnsi="Calibri" w:cs="Calibri"/>
                <w:b/>
                <w:bCs/>
                <w:color w:val="000000"/>
                <w:sz w:val="22"/>
                <w:szCs w:val="22"/>
                <w:lang w:val="en-IN" w:eastAsia="en-IN"/>
              </w:rPr>
            </w:pPr>
            <w:r w:rsidRPr="004647CC">
              <w:rPr>
                <w:rFonts w:ascii="Calibri" w:hAnsi="Calibri" w:cs="Calibri"/>
                <w:b/>
                <w:bCs/>
                <w:color w:val="000000"/>
                <w:sz w:val="22"/>
                <w:szCs w:val="22"/>
                <w:lang w:val="en-IN" w:eastAsia="en-IN"/>
              </w:rPr>
              <w:t>19.74%</w:t>
            </w:r>
          </w:p>
        </w:tc>
        <w:tc>
          <w:tcPr>
            <w:tcW w:w="1276" w:type="dxa"/>
            <w:shd w:val="clear" w:color="000000" w:fill="FFFFFF"/>
            <w:vAlign w:val="center"/>
            <w:hideMark/>
          </w:tcPr>
          <w:p w14:paraId="27B01BC3" w14:textId="77777777" w:rsidR="00F616FB" w:rsidRPr="004647CC" w:rsidRDefault="00F616FB" w:rsidP="00F616FB">
            <w:pPr>
              <w:jc w:val="center"/>
              <w:rPr>
                <w:rFonts w:ascii="Calibri" w:hAnsi="Calibri" w:cs="Calibri"/>
                <w:b/>
                <w:bCs/>
                <w:color w:val="000000"/>
                <w:sz w:val="22"/>
                <w:szCs w:val="22"/>
                <w:lang w:val="en-IN" w:eastAsia="en-IN"/>
              </w:rPr>
            </w:pPr>
            <w:r w:rsidRPr="004647CC">
              <w:rPr>
                <w:rFonts w:ascii="Calibri" w:hAnsi="Calibri" w:cs="Calibri"/>
                <w:b/>
                <w:bCs/>
                <w:color w:val="000000"/>
                <w:sz w:val="22"/>
                <w:szCs w:val="22"/>
                <w:lang w:val="en-IN" w:eastAsia="en-IN"/>
              </w:rPr>
              <w:t>14.22%</w:t>
            </w:r>
          </w:p>
        </w:tc>
        <w:tc>
          <w:tcPr>
            <w:tcW w:w="1134" w:type="dxa"/>
            <w:shd w:val="clear" w:color="000000" w:fill="FFFFFF"/>
            <w:vAlign w:val="center"/>
            <w:hideMark/>
          </w:tcPr>
          <w:p w14:paraId="2A25DE4F" w14:textId="77777777" w:rsidR="00F616FB" w:rsidRPr="004647CC" w:rsidRDefault="00F616FB" w:rsidP="00F616FB">
            <w:pPr>
              <w:jc w:val="center"/>
              <w:rPr>
                <w:rFonts w:ascii="Calibri" w:hAnsi="Calibri" w:cs="Calibri"/>
                <w:b/>
                <w:bCs/>
                <w:color w:val="000000"/>
                <w:sz w:val="22"/>
                <w:szCs w:val="22"/>
                <w:lang w:val="en-IN" w:eastAsia="en-IN"/>
              </w:rPr>
            </w:pPr>
            <w:r w:rsidRPr="004647CC">
              <w:rPr>
                <w:rFonts w:ascii="Calibri" w:hAnsi="Calibri" w:cs="Calibri"/>
                <w:b/>
                <w:bCs/>
                <w:color w:val="000000"/>
                <w:sz w:val="22"/>
                <w:szCs w:val="22"/>
                <w:lang w:val="en-IN" w:eastAsia="en-IN"/>
              </w:rPr>
              <w:t>-10.95%</w:t>
            </w:r>
          </w:p>
        </w:tc>
        <w:tc>
          <w:tcPr>
            <w:tcW w:w="1200" w:type="dxa"/>
            <w:shd w:val="clear" w:color="auto" w:fill="auto"/>
            <w:vAlign w:val="center"/>
            <w:hideMark/>
          </w:tcPr>
          <w:p w14:paraId="09CE47B5" w14:textId="77777777" w:rsidR="00F616FB" w:rsidRPr="004647CC" w:rsidRDefault="00F616FB" w:rsidP="00F616FB">
            <w:pPr>
              <w:jc w:val="center"/>
              <w:rPr>
                <w:rFonts w:ascii="Calibri" w:hAnsi="Calibri" w:cs="Calibri"/>
                <w:b/>
                <w:bCs/>
                <w:color w:val="000000"/>
                <w:sz w:val="22"/>
                <w:szCs w:val="22"/>
                <w:lang w:val="en-IN" w:eastAsia="en-IN"/>
              </w:rPr>
            </w:pPr>
            <w:r w:rsidRPr="004647CC">
              <w:rPr>
                <w:rFonts w:ascii="Calibri" w:hAnsi="Calibri" w:cs="Calibri"/>
                <w:b/>
                <w:bCs/>
                <w:color w:val="000000"/>
                <w:sz w:val="22"/>
                <w:szCs w:val="22"/>
                <w:lang w:val="en-IN" w:eastAsia="en-IN"/>
              </w:rPr>
              <w:t>-5.52%</w:t>
            </w:r>
          </w:p>
        </w:tc>
        <w:tc>
          <w:tcPr>
            <w:tcW w:w="1226" w:type="dxa"/>
            <w:shd w:val="clear" w:color="auto" w:fill="auto"/>
            <w:noWrap/>
            <w:vAlign w:val="center"/>
            <w:hideMark/>
          </w:tcPr>
          <w:p w14:paraId="49A19769" w14:textId="77777777" w:rsidR="00F616FB" w:rsidRPr="004647CC" w:rsidRDefault="00F616FB" w:rsidP="00F616FB">
            <w:pPr>
              <w:jc w:val="center"/>
              <w:rPr>
                <w:rFonts w:ascii="Calibri" w:hAnsi="Calibri" w:cs="Calibri"/>
                <w:b/>
                <w:color w:val="000000"/>
                <w:sz w:val="22"/>
                <w:szCs w:val="22"/>
                <w:lang w:val="en-IN" w:eastAsia="en-IN"/>
              </w:rPr>
            </w:pPr>
            <w:r w:rsidRPr="004647CC">
              <w:rPr>
                <w:rFonts w:ascii="Calibri" w:hAnsi="Calibri" w:cs="Calibri"/>
                <w:b/>
                <w:color w:val="000000"/>
                <w:sz w:val="22"/>
                <w:szCs w:val="22"/>
                <w:lang w:val="en-IN" w:eastAsia="en-IN"/>
              </w:rPr>
              <w:t> </w:t>
            </w:r>
            <w:r>
              <w:rPr>
                <w:rFonts w:ascii="Calibri" w:hAnsi="Calibri" w:cs="Calibri"/>
                <w:b/>
                <w:color w:val="000000"/>
                <w:sz w:val="22"/>
                <w:szCs w:val="22"/>
                <w:lang w:val="en-IN" w:eastAsia="en-IN"/>
              </w:rPr>
              <w:t>17.24%</w:t>
            </w:r>
          </w:p>
        </w:tc>
      </w:tr>
      <w:tr w:rsidR="00F616FB" w:rsidRPr="004647CC" w14:paraId="636C4B10" w14:textId="77777777" w:rsidTr="00F616FB">
        <w:trPr>
          <w:trHeight w:val="530"/>
        </w:trPr>
        <w:tc>
          <w:tcPr>
            <w:tcW w:w="1846" w:type="dxa"/>
            <w:shd w:val="clear" w:color="auto" w:fill="auto"/>
            <w:vAlign w:val="center"/>
            <w:hideMark/>
          </w:tcPr>
          <w:p w14:paraId="7988B425" w14:textId="77777777" w:rsidR="00F616FB" w:rsidRPr="004647CC" w:rsidRDefault="00F616FB" w:rsidP="00F616FB">
            <w:pPr>
              <w:rPr>
                <w:rFonts w:ascii="Calibri" w:hAnsi="Calibri" w:cs="Calibri"/>
                <w:b/>
                <w:bCs/>
                <w:color w:val="000000"/>
                <w:sz w:val="22"/>
                <w:szCs w:val="22"/>
                <w:lang w:val="en-IN" w:eastAsia="en-IN"/>
              </w:rPr>
            </w:pPr>
            <w:r w:rsidRPr="004647CC">
              <w:rPr>
                <w:rFonts w:ascii="Calibri" w:hAnsi="Calibri" w:cs="Calibri"/>
                <w:b/>
                <w:bCs/>
                <w:color w:val="000000"/>
                <w:sz w:val="22"/>
                <w:szCs w:val="22"/>
                <w:lang w:val="en-IN" w:eastAsia="en-IN"/>
              </w:rPr>
              <w:t>AT &amp; C LOSS (Including PA)</w:t>
            </w:r>
          </w:p>
        </w:tc>
        <w:tc>
          <w:tcPr>
            <w:tcW w:w="1239" w:type="dxa"/>
            <w:shd w:val="clear" w:color="auto" w:fill="auto"/>
            <w:vAlign w:val="center"/>
            <w:hideMark/>
          </w:tcPr>
          <w:p w14:paraId="0C73E84E" w14:textId="77777777" w:rsidR="00F616FB" w:rsidRPr="004647CC" w:rsidRDefault="00F616FB" w:rsidP="00F616FB">
            <w:pPr>
              <w:jc w:val="center"/>
              <w:rPr>
                <w:rFonts w:ascii="Calibri" w:hAnsi="Calibri" w:cs="Calibri"/>
                <w:b/>
                <w:bCs/>
                <w:color w:val="000000"/>
                <w:sz w:val="22"/>
                <w:szCs w:val="22"/>
                <w:lang w:val="en-IN" w:eastAsia="en-IN"/>
              </w:rPr>
            </w:pPr>
            <w:r w:rsidRPr="004647CC">
              <w:rPr>
                <w:rFonts w:ascii="Calibri" w:hAnsi="Calibri" w:cs="Calibri"/>
                <w:b/>
                <w:bCs/>
                <w:color w:val="000000"/>
                <w:sz w:val="22"/>
                <w:szCs w:val="22"/>
                <w:lang w:val="en-IN" w:eastAsia="en-IN"/>
              </w:rPr>
              <w:t>25.17%</w:t>
            </w:r>
          </w:p>
        </w:tc>
        <w:tc>
          <w:tcPr>
            <w:tcW w:w="1237" w:type="dxa"/>
            <w:shd w:val="clear" w:color="000000" w:fill="FFFFFF"/>
            <w:vAlign w:val="center"/>
            <w:hideMark/>
          </w:tcPr>
          <w:p w14:paraId="55A3AB5C" w14:textId="77777777" w:rsidR="00F616FB" w:rsidRPr="004647CC" w:rsidRDefault="00F616FB" w:rsidP="00F616FB">
            <w:pPr>
              <w:jc w:val="center"/>
              <w:rPr>
                <w:rFonts w:ascii="Calibri" w:hAnsi="Calibri" w:cs="Calibri"/>
                <w:b/>
                <w:bCs/>
                <w:color w:val="000000"/>
                <w:sz w:val="22"/>
                <w:szCs w:val="22"/>
                <w:lang w:val="en-IN" w:eastAsia="en-IN"/>
              </w:rPr>
            </w:pPr>
            <w:r w:rsidRPr="004647CC">
              <w:rPr>
                <w:rFonts w:ascii="Calibri" w:hAnsi="Calibri" w:cs="Calibri"/>
                <w:b/>
                <w:bCs/>
                <w:color w:val="000000"/>
                <w:sz w:val="22"/>
                <w:szCs w:val="22"/>
                <w:lang w:val="en-IN" w:eastAsia="en-IN"/>
              </w:rPr>
              <w:t>23.13%</w:t>
            </w:r>
          </w:p>
        </w:tc>
        <w:tc>
          <w:tcPr>
            <w:tcW w:w="1256" w:type="dxa"/>
            <w:shd w:val="clear" w:color="000000" w:fill="FFFFFF"/>
            <w:vAlign w:val="center"/>
            <w:hideMark/>
          </w:tcPr>
          <w:p w14:paraId="02F1DD04" w14:textId="77777777" w:rsidR="00F616FB" w:rsidRPr="004647CC" w:rsidRDefault="00F616FB" w:rsidP="00F616FB">
            <w:pPr>
              <w:jc w:val="center"/>
              <w:rPr>
                <w:rFonts w:ascii="Calibri" w:hAnsi="Calibri" w:cs="Calibri"/>
                <w:b/>
                <w:bCs/>
                <w:color w:val="000000"/>
                <w:sz w:val="22"/>
                <w:szCs w:val="22"/>
                <w:lang w:val="en-IN" w:eastAsia="en-IN"/>
              </w:rPr>
            </w:pPr>
            <w:r w:rsidRPr="004647CC">
              <w:rPr>
                <w:rFonts w:ascii="Calibri" w:hAnsi="Calibri" w:cs="Calibri"/>
                <w:b/>
                <w:bCs/>
                <w:color w:val="000000"/>
                <w:sz w:val="22"/>
                <w:szCs w:val="22"/>
                <w:lang w:val="en-IN" w:eastAsia="en-IN"/>
              </w:rPr>
              <w:t>11.36%</w:t>
            </w:r>
          </w:p>
        </w:tc>
        <w:tc>
          <w:tcPr>
            <w:tcW w:w="1276" w:type="dxa"/>
            <w:shd w:val="clear" w:color="000000" w:fill="FFFFFF"/>
            <w:vAlign w:val="center"/>
            <w:hideMark/>
          </w:tcPr>
          <w:p w14:paraId="13B887D8" w14:textId="77777777" w:rsidR="00F616FB" w:rsidRPr="004647CC" w:rsidRDefault="00F616FB" w:rsidP="00F616FB">
            <w:pPr>
              <w:jc w:val="center"/>
              <w:rPr>
                <w:rFonts w:ascii="Calibri" w:hAnsi="Calibri" w:cs="Calibri"/>
                <w:b/>
                <w:bCs/>
                <w:color w:val="000000"/>
                <w:sz w:val="22"/>
                <w:szCs w:val="22"/>
                <w:lang w:val="en-IN" w:eastAsia="en-IN"/>
              </w:rPr>
            </w:pPr>
            <w:r w:rsidRPr="004647CC">
              <w:rPr>
                <w:rFonts w:ascii="Calibri" w:hAnsi="Calibri" w:cs="Calibri"/>
                <w:b/>
                <w:bCs/>
                <w:color w:val="000000"/>
                <w:sz w:val="22"/>
                <w:szCs w:val="22"/>
                <w:lang w:val="en-IN" w:eastAsia="en-IN"/>
              </w:rPr>
              <w:t>11.71%</w:t>
            </w:r>
          </w:p>
        </w:tc>
        <w:tc>
          <w:tcPr>
            <w:tcW w:w="1134" w:type="dxa"/>
            <w:shd w:val="clear" w:color="000000" w:fill="FFFFFF"/>
            <w:vAlign w:val="center"/>
            <w:hideMark/>
          </w:tcPr>
          <w:p w14:paraId="29403573" w14:textId="77777777" w:rsidR="00F616FB" w:rsidRPr="004647CC" w:rsidRDefault="00F616FB" w:rsidP="00F616FB">
            <w:pPr>
              <w:jc w:val="center"/>
              <w:rPr>
                <w:rFonts w:ascii="Calibri" w:hAnsi="Calibri" w:cs="Calibri"/>
                <w:b/>
                <w:bCs/>
                <w:color w:val="000000"/>
                <w:sz w:val="22"/>
                <w:szCs w:val="22"/>
                <w:lang w:val="en-IN" w:eastAsia="en-IN"/>
              </w:rPr>
            </w:pPr>
            <w:r w:rsidRPr="004647CC">
              <w:rPr>
                <w:rFonts w:ascii="Calibri" w:hAnsi="Calibri" w:cs="Calibri"/>
                <w:b/>
                <w:bCs/>
                <w:color w:val="000000"/>
                <w:sz w:val="22"/>
                <w:szCs w:val="22"/>
                <w:lang w:val="en-IN" w:eastAsia="en-IN"/>
              </w:rPr>
              <w:t>-13.46%</w:t>
            </w:r>
          </w:p>
        </w:tc>
        <w:tc>
          <w:tcPr>
            <w:tcW w:w="1200" w:type="dxa"/>
            <w:shd w:val="clear" w:color="auto" w:fill="auto"/>
            <w:vAlign w:val="center"/>
            <w:hideMark/>
          </w:tcPr>
          <w:p w14:paraId="1F4F4E4D" w14:textId="77777777" w:rsidR="00F616FB" w:rsidRPr="004647CC" w:rsidRDefault="00F616FB" w:rsidP="00F616FB">
            <w:pPr>
              <w:jc w:val="center"/>
              <w:rPr>
                <w:rFonts w:ascii="Calibri" w:hAnsi="Calibri" w:cs="Calibri"/>
                <w:b/>
                <w:bCs/>
                <w:color w:val="000000"/>
                <w:sz w:val="22"/>
                <w:szCs w:val="22"/>
                <w:lang w:val="en-IN" w:eastAsia="en-IN"/>
              </w:rPr>
            </w:pPr>
            <w:r w:rsidRPr="004647CC">
              <w:rPr>
                <w:rFonts w:ascii="Calibri" w:hAnsi="Calibri" w:cs="Calibri"/>
                <w:b/>
                <w:bCs/>
                <w:color w:val="000000"/>
                <w:sz w:val="22"/>
                <w:szCs w:val="22"/>
                <w:lang w:val="en-IN" w:eastAsia="en-IN"/>
              </w:rPr>
              <w:t>0.35%</w:t>
            </w:r>
          </w:p>
        </w:tc>
        <w:tc>
          <w:tcPr>
            <w:tcW w:w="1226" w:type="dxa"/>
            <w:shd w:val="clear" w:color="auto" w:fill="auto"/>
            <w:noWrap/>
            <w:vAlign w:val="center"/>
            <w:hideMark/>
          </w:tcPr>
          <w:p w14:paraId="407BAB6D" w14:textId="77777777" w:rsidR="00F616FB" w:rsidRPr="004647CC" w:rsidRDefault="00F616FB" w:rsidP="00F616FB">
            <w:pPr>
              <w:jc w:val="center"/>
              <w:rPr>
                <w:rFonts w:ascii="Calibri" w:hAnsi="Calibri" w:cs="Calibri"/>
                <w:b/>
                <w:color w:val="000000"/>
                <w:sz w:val="22"/>
                <w:szCs w:val="22"/>
                <w:lang w:val="en-IN" w:eastAsia="en-IN"/>
              </w:rPr>
            </w:pPr>
            <w:r w:rsidRPr="004647CC">
              <w:rPr>
                <w:rFonts w:ascii="Calibri" w:hAnsi="Calibri" w:cs="Calibri"/>
                <w:b/>
                <w:color w:val="000000"/>
                <w:sz w:val="22"/>
                <w:szCs w:val="22"/>
                <w:lang w:val="en-IN" w:eastAsia="en-IN"/>
              </w:rPr>
              <w:t>16.55%</w:t>
            </w:r>
          </w:p>
        </w:tc>
      </w:tr>
    </w:tbl>
    <w:p w14:paraId="2EF635BC" w14:textId="77777777" w:rsidR="00F616FB" w:rsidRDefault="00F616FB" w:rsidP="00F616FB">
      <w:pPr>
        <w:spacing w:line="360" w:lineRule="auto"/>
        <w:ind w:left="567"/>
        <w:jc w:val="both"/>
        <w:rPr>
          <w:rFonts w:asciiTheme="minorHAnsi" w:hAnsiTheme="minorHAnsi" w:cstheme="minorHAnsi"/>
          <w:bCs/>
          <w:sz w:val="22"/>
          <w:szCs w:val="22"/>
          <w:shd w:val="clear" w:color="auto" w:fill="FFFFFF"/>
        </w:rPr>
      </w:pPr>
    </w:p>
    <w:p w14:paraId="36782AAA" w14:textId="77777777" w:rsidR="00F616FB" w:rsidRDefault="00F616FB" w:rsidP="00F616FB">
      <w:pPr>
        <w:spacing w:line="360" w:lineRule="auto"/>
        <w:ind w:left="567"/>
        <w:jc w:val="both"/>
        <w:rPr>
          <w:rFonts w:asciiTheme="minorHAnsi" w:hAnsiTheme="minorHAnsi" w:cstheme="minorHAnsi"/>
          <w:bCs/>
          <w:sz w:val="22"/>
          <w:szCs w:val="22"/>
          <w:shd w:val="clear" w:color="auto" w:fill="FFFFFF"/>
        </w:rPr>
      </w:pPr>
      <w:r w:rsidRPr="00BD5055">
        <w:rPr>
          <w:rFonts w:asciiTheme="minorHAnsi" w:hAnsiTheme="minorHAnsi" w:cstheme="minorHAnsi"/>
          <w:bCs/>
          <w:sz w:val="22"/>
          <w:szCs w:val="22"/>
          <w:shd w:val="clear" w:color="auto" w:fill="FFFFFF"/>
        </w:rPr>
        <w:t>Both T&amp;D Loss and AT&amp;C Loss reduced by 1.</w:t>
      </w:r>
      <w:r>
        <w:rPr>
          <w:rFonts w:asciiTheme="minorHAnsi" w:hAnsiTheme="minorHAnsi" w:cstheme="minorHAnsi"/>
          <w:bCs/>
          <w:sz w:val="22"/>
          <w:szCs w:val="22"/>
          <w:shd w:val="clear" w:color="auto" w:fill="FFFFFF"/>
        </w:rPr>
        <w:t>52</w:t>
      </w:r>
      <w:r w:rsidRPr="00BD5055">
        <w:rPr>
          <w:rFonts w:asciiTheme="minorHAnsi" w:hAnsiTheme="minorHAnsi" w:cstheme="minorHAnsi"/>
          <w:bCs/>
          <w:sz w:val="22"/>
          <w:szCs w:val="22"/>
          <w:shd w:val="clear" w:color="auto" w:fill="FFFFFF"/>
        </w:rPr>
        <w:t xml:space="preserve">% and </w:t>
      </w:r>
      <w:r>
        <w:rPr>
          <w:rFonts w:asciiTheme="minorHAnsi" w:hAnsiTheme="minorHAnsi" w:cstheme="minorHAnsi"/>
          <w:bCs/>
          <w:sz w:val="22"/>
          <w:szCs w:val="22"/>
          <w:shd w:val="clear" w:color="auto" w:fill="FFFFFF"/>
        </w:rPr>
        <w:t>5.52</w:t>
      </w:r>
      <w:r w:rsidRPr="00BD5055">
        <w:rPr>
          <w:rFonts w:asciiTheme="minorHAnsi" w:hAnsiTheme="minorHAnsi" w:cstheme="minorHAnsi"/>
          <w:bCs/>
          <w:sz w:val="22"/>
          <w:szCs w:val="22"/>
          <w:shd w:val="clear" w:color="auto" w:fill="FFFFFF"/>
        </w:rPr>
        <w:t>% (</w:t>
      </w:r>
      <w:r>
        <w:rPr>
          <w:rFonts w:asciiTheme="minorHAnsi" w:hAnsiTheme="minorHAnsi" w:cstheme="minorHAnsi"/>
          <w:bCs/>
          <w:sz w:val="22"/>
          <w:szCs w:val="22"/>
          <w:shd w:val="clear" w:color="auto" w:fill="FFFFFF"/>
        </w:rPr>
        <w:t>Excluding</w:t>
      </w:r>
      <w:r w:rsidRPr="00BD5055">
        <w:rPr>
          <w:rFonts w:asciiTheme="minorHAnsi" w:hAnsiTheme="minorHAnsi" w:cstheme="minorHAnsi"/>
          <w:bCs/>
          <w:sz w:val="22"/>
          <w:szCs w:val="22"/>
          <w:shd w:val="clear" w:color="auto" w:fill="FFFFFF"/>
        </w:rPr>
        <w:t xml:space="preserve"> past arrear collection) respectively in FY 202</w:t>
      </w:r>
      <w:r>
        <w:rPr>
          <w:rFonts w:asciiTheme="minorHAnsi" w:hAnsiTheme="minorHAnsi" w:cstheme="minorHAnsi"/>
          <w:bCs/>
          <w:sz w:val="22"/>
          <w:szCs w:val="22"/>
          <w:shd w:val="clear" w:color="auto" w:fill="FFFFFF"/>
        </w:rPr>
        <w:t>3</w:t>
      </w:r>
      <w:r w:rsidRPr="00BD5055">
        <w:rPr>
          <w:rFonts w:asciiTheme="minorHAnsi" w:hAnsiTheme="minorHAnsi" w:cstheme="minorHAnsi"/>
          <w:bCs/>
          <w:sz w:val="22"/>
          <w:szCs w:val="22"/>
          <w:shd w:val="clear" w:color="auto" w:fill="FFFFFF"/>
        </w:rPr>
        <w:t>-2</w:t>
      </w:r>
      <w:r>
        <w:rPr>
          <w:rFonts w:asciiTheme="minorHAnsi" w:hAnsiTheme="minorHAnsi" w:cstheme="minorHAnsi"/>
          <w:bCs/>
          <w:sz w:val="22"/>
          <w:szCs w:val="22"/>
          <w:shd w:val="clear" w:color="auto" w:fill="FFFFFF"/>
        </w:rPr>
        <w:t>4</w:t>
      </w:r>
      <w:r w:rsidRPr="00BD5055">
        <w:rPr>
          <w:rFonts w:asciiTheme="minorHAnsi" w:hAnsiTheme="minorHAnsi" w:cstheme="minorHAnsi"/>
          <w:bCs/>
          <w:sz w:val="22"/>
          <w:szCs w:val="22"/>
          <w:shd w:val="clear" w:color="auto" w:fill="FFFFFF"/>
        </w:rPr>
        <w:t xml:space="preserve"> with respect to FY 202</w:t>
      </w:r>
      <w:r>
        <w:rPr>
          <w:rFonts w:asciiTheme="minorHAnsi" w:hAnsiTheme="minorHAnsi" w:cstheme="minorHAnsi"/>
          <w:bCs/>
          <w:sz w:val="22"/>
          <w:szCs w:val="22"/>
          <w:shd w:val="clear" w:color="auto" w:fill="FFFFFF"/>
        </w:rPr>
        <w:t>2</w:t>
      </w:r>
      <w:r w:rsidRPr="00BD5055">
        <w:rPr>
          <w:rFonts w:asciiTheme="minorHAnsi" w:hAnsiTheme="minorHAnsi" w:cstheme="minorHAnsi"/>
          <w:bCs/>
          <w:sz w:val="22"/>
          <w:szCs w:val="22"/>
          <w:shd w:val="clear" w:color="auto" w:fill="FFFFFF"/>
        </w:rPr>
        <w:t>-2</w:t>
      </w:r>
      <w:r>
        <w:rPr>
          <w:rFonts w:asciiTheme="minorHAnsi" w:hAnsiTheme="minorHAnsi" w:cstheme="minorHAnsi"/>
          <w:bCs/>
          <w:sz w:val="22"/>
          <w:szCs w:val="22"/>
          <w:shd w:val="clear" w:color="auto" w:fill="FFFFFF"/>
        </w:rPr>
        <w:t>3</w:t>
      </w:r>
      <w:r w:rsidRPr="00BD5055">
        <w:rPr>
          <w:rFonts w:asciiTheme="minorHAnsi" w:hAnsiTheme="minorHAnsi" w:cstheme="minorHAnsi"/>
          <w:bCs/>
          <w:sz w:val="22"/>
          <w:szCs w:val="22"/>
          <w:shd w:val="clear" w:color="auto" w:fill="FFFFFF"/>
        </w:rPr>
        <w:t>. Development of distribution infrastructure for improving reliability of supply needs proper planning, designing&amp; engineering and smooth operation and condition-based maintenance.</w:t>
      </w:r>
    </w:p>
    <w:p w14:paraId="3B098C88" w14:textId="77777777" w:rsidR="00F616FB" w:rsidRPr="00BD5055" w:rsidRDefault="00F616FB" w:rsidP="00F616FB">
      <w:pPr>
        <w:spacing w:line="360" w:lineRule="auto"/>
        <w:ind w:left="567"/>
        <w:jc w:val="both"/>
        <w:rPr>
          <w:rFonts w:asciiTheme="minorHAnsi" w:hAnsiTheme="minorHAnsi" w:cstheme="minorHAnsi"/>
          <w:bCs/>
          <w:sz w:val="22"/>
          <w:szCs w:val="22"/>
          <w:shd w:val="clear" w:color="auto" w:fill="FFFFFF"/>
        </w:rPr>
      </w:pPr>
    </w:p>
    <w:p w14:paraId="78610FE6" w14:textId="77777777" w:rsidR="00F616FB" w:rsidRDefault="00F616FB" w:rsidP="00F616FB">
      <w:pPr>
        <w:spacing w:line="360" w:lineRule="auto"/>
        <w:ind w:left="567"/>
        <w:jc w:val="both"/>
        <w:rPr>
          <w:rFonts w:asciiTheme="minorHAnsi" w:hAnsiTheme="minorHAnsi" w:cstheme="minorHAnsi"/>
          <w:bCs/>
          <w:sz w:val="22"/>
          <w:szCs w:val="22"/>
          <w:shd w:val="clear" w:color="auto" w:fill="FFFFFF"/>
        </w:rPr>
      </w:pPr>
      <w:r w:rsidRPr="00BD5055">
        <w:rPr>
          <w:rFonts w:asciiTheme="minorHAnsi" w:hAnsiTheme="minorHAnsi" w:cstheme="minorHAnsi"/>
          <w:bCs/>
          <w:sz w:val="22"/>
          <w:szCs w:val="22"/>
          <w:shd w:val="clear" w:color="auto" w:fill="FFFFFF"/>
        </w:rPr>
        <w:t xml:space="preserve">After take over, TPNODL did a comprehensive study of the entire network. Entire HT network of TPNODL (33 &amp; 11KV) is now 100% documented in terms of single line diagram (SLD). These SLD were prepared through a focused drive for more than 6 months where in network data was captured through the closed coordination with JE/SDOs/ Lineman. </w:t>
      </w:r>
    </w:p>
    <w:p w14:paraId="3EABEA3C" w14:textId="77777777" w:rsidR="00F616FB" w:rsidRPr="00BD5055" w:rsidRDefault="00F616FB" w:rsidP="00F616FB">
      <w:pPr>
        <w:spacing w:line="360" w:lineRule="auto"/>
        <w:jc w:val="both"/>
        <w:rPr>
          <w:rFonts w:asciiTheme="minorHAnsi" w:hAnsiTheme="minorHAnsi" w:cstheme="minorHAnsi"/>
          <w:bCs/>
          <w:sz w:val="22"/>
          <w:szCs w:val="22"/>
          <w:shd w:val="clear" w:color="auto" w:fill="FFFFFF"/>
        </w:rPr>
      </w:pPr>
    </w:p>
    <w:p w14:paraId="24495338" w14:textId="6B3D24E8" w:rsidR="006B144F" w:rsidRDefault="00F616FB" w:rsidP="00CD105A">
      <w:pPr>
        <w:spacing w:line="360" w:lineRule="auto"/>
        <w:ind w:left="567"/>
        <w:jc w:val="both"/>
        <w:rPr>
          <w:rFonts w:asciiTheme="minorHAnsi" w:hAnsiTheme="minorHAnsi" w:cstheme="minorHAnsi"/>
          <w:bCs/>
          <w:sz w:val="22"/>
          <w:szCs w:val="22"/>
          <w:shd w:val="clear" w:color="auto" w:fill="FFFFFF"/>
        </w:rPr>
      </w:pPr>
      <w:r w:rsidRPr="00BD5055">
        <w:rPr>
          <w:rFonts w:asciiTheme="minorHAnsi" w:hAnsiTheme="minorHAnsi" w:cstheme="minorHAnsi"/>
          <w:bCs/>
          <w:sz w:val="22"/>
          <w:szCs w:val="22"/>
          <w:shd w:val="clear" w:color="auto" w:fill="FFFFFF"/>
        </w:rPr>
        <w:t xml:space="preserve">TPNODL has also taken up several initiatives under Energy Audit, Operation &amp; Maintenance of Distribution Networks, Commercial Services, Safety, IT &amp; OT and HR during last </w:t>
      </w:r>
      <w:r>
        <w:rPr>
          <w:rFonts w:asciiTheme="minorHAnsi" w:hAnsiTheme="minorHAnsi" w:cstheme="minorHAnsi"/>
          <w:bCs/>
          <w:sz w:val="22"/>
          <w:szCs w:val="22"/>
          <w:shd w:val="clear" w:color="auto" w:fill="FFFFFF"/>
        </w:rPr>
        <w:t>three</w:t>
      </w:r>
      <w:r w:rsidRPr="00BD5055">
        <w:rPr>
          <w:rFonts w:asciiTheme="minorHAnsi" w:hAnsiTheme="minorHAnsi" w:cstheme="minorHAnsi"/>
          <w:bCs/>
          <w:sz w:val="22"/>
          <w:szCs w:val="22"/>
          <w:shd w:val="clear" w:color="auto" w:fill="FFFFFF"/>
        </w:rPr>
        <w:t xml:space="preserve"> and half years of operation which are described as below:</w:t>
      </w:r>
    </w:p>
    <w:p w14:paraId="23BDD6D6" w14:textId="77777777" w:rsidR="00CD105A" w:rsidRPr="00CD105A" w:rsidRDefault="00CD105A" w:rsidP="00CD105A">
      <w:pPr>
        <w:spacing w:line="360" w:lineRule="auto"/>
        <w:ind w:left="567"/>
        <w:jc w:val="both"/>
        <w:rPr>
          <w:rStyle w:val="normaltextrun"/>
          <w:rFonts w:asciiTheme="minorHAnsi" w:hAnsiTheme="minorHAnsi" w:cstheme="minorHAnsi"/>
          <w:bCs/>
          <w:sz w:val="22"/>
          <w:szCs w:val="22"/>
          <w:shd w:val="clear" w:color="auto" w:fill="FFFFFF"/>
        </w:rPr>
      </w:pPr>
    </w:p>
    <w:p w14:paraId="678DCECF" w14:textId="4B8DB957" w:rsidR="00F616FB" w:rsidRPr="00345E48" w:rsidRDefault="000E1556" w:rsidP="00F616FB">
      <w:pPr>
        <w:spacing w:line="360" w:lineRule="auto"/>
        <w:ind w:left="567"/>
        <w:rPr>
          <w:rFonts w:asciiTheme="minorHAnsi" w:hAnsiTheme="minorHAnsi" w:cstheme="minorHAnsi"/>
          <w:b/>
          <w:bCs/>
          <w:sz w:val="28"/>
          <w:szCs w:val="28"/>
          <w:shd w:val="clear" w:color="auto" w:fill="FFFFFF"/>
        </w:rPr>
      </w:pPr>
      <w:r>
        <w:rPr>
          <w:rFonts w:asciiTheme="minorHAnsi" w:hAnsiTheme="minorHAnsi" w:cstheme="minorHAnsi"/>
          <w:b/>
          <w:bCs/>
          <w:sz w:val="28"/>
          <w:szCs w:val="28"/>
          <w:shd w:val="clear" w:color="auto" w:fill="FFFFFF"/>
        </w:rPr>
        <w:t>6.1</w:t>
      </w:r>
      <w:r w:rsidR="00F616FB" w:rsidRPr="00345E48">
        <w:rPr>
          <w:rFonts w:asciiTheme="minorHAnsi" w:hAnsiTheme="minorHAnsi" w:cstheme="minorHAnsi"/>
          <w:b/>
          <w:bCs/>
          <w:sz w:val="28"/>
          <w:szCs w:val="28"/>
          <w:shd w:val="clear" w:color="auto" w:fill="FFFFFF"/>
        </w:rPr>
        <w:t xml:space="preserve"> Initiatives </w:t>
      </w:r>
      <w:bookmarkStart w:id="2" w:name="_GoBack"/>
      <w:bookmarkEnd w:id="2"/>
      <w:r w:rsidR="00F616FB" w:rsidRPr="00345E48">
        <w:rPr>
          <w:rFonts w:asciiTheme="minorHAnsi" w:hAnsiTheme="minorHAnsi" w:cstheme="minorHAnsi"/>
          <w:b/>
          <w:bCs/>
          <w:sz w:val="28"/>
          <w:szCs w:val="28"/>
          <w:shd w:val="clear" w:color="auto" w:fill="FFFFFF"/>
        </w:rPr>
        <w:t xml:space="preserve">for Operation &amp; Maintenance Activities </w:t>
      </w:r>
    </w:p>
    <w:p w14:paraId="23BD09AF" w14:textId="6551523D" w:rsidR="00F616FB" w:rsidRPr="00593FBC" w:rsidRDefault="00F616FB" w:rsidP="00F616FB">
      <w:pPr>
        <w:pStyle w:val="Heading3"/>
        <w:tabs>
          <w:tab w:val="left" w:pos="426"/>
          <w:tab w:val="left" w:pos="1501"/>
        </w:tabs>
        <w:spacing w:before="66" w:line="360" w:lineRule="auto"/>
        <w:ind w:left="567" w:hanging="993"/>
        <w:jc w:val="both"/>
        <w:rPr>
          <w:rFonts w:asciiTheme="minorHAnsi" w:hAnsiTheme="minorHAnsi" w:cstheme="minorHAnsi"/>
        </w:rPr>
      </w:pPr>
      <w:r w:rsidRPr="00102D57">
        <w:rPr>
          <w:rFonts w:asciiTheme="minorHAnsi" w:eastAsia="Symbol" w:hAnsiTheme="minorHAnsi" w:cstheme="minorHAnsi"/>
          <w:color w:val="000000" w:themeColor="text1"/>
        </w:rPr>
        <w:t>·</w:t>
      </w:r>
      <w:r w:rsidRPr="00102D57">
        <w:rPr>
          <w:rFonts w:asciiTheme="minorHAnsi" w:hAnsiTheme="minorHAnsi" w:cstheme="minorHAnsi"/>
          <w:color w:val="000000" w:themeColor="text1"/>
        </w:rPr>
        <w:t xml:space="preserve">           </w:t>
      </w:r>
      <w:r>
        <w:rPr>
          <w:rFonts w:asciiTheme="minorHAnsi" w:hAnsiTheme="minorHAnsi" w:cstheme="minorHAnsi"/>
          <w:color w:val="000000" w:themeColor="text1"/>
        </w:rPr>
        <w:t xml:space="preserve">     </w:t>
      </w:r>
      <w:r w:rsidR="000E1556">
        <w:rPr>
          <w:rFonts w:asciiTheme="minorHAnsi" w:hAnsiTheme="minorHAnsi" w:cstheme="minorHAnsi"/>
          <w:color w:val="000000" w:themeColor="text1"/>
        </w:rPr>
        <w:t>6</w:t>
      </w:r>
      <w:r w:rsidR="008C0C54">
        <w:rPr>
          <w:rFonts w:asciiTheme="minorHAnsi" w:hAnsiTheme="minorHAnsi" w:cstheme="minorHAnsi"/>
          <w:color w:val="000000" w:themeColor="text1"/>
        </w:rPr>
        <w:t>.</w:t>
      </w:r>
      <w:r w:rsidR="000E1556">
        <w:rPr>
          <w:rFonts w:asciiTheme="minorHAnsi" w:hAnsiTheme="minorHAnsi" w:cstheme="minorHAnsi"/>
          <w:color w:val="000000" w:themeColor="text1"/>
        </w:rPr>
        <w:t>1</w:t>
      </w:r>
      <w:r w:rsidR="008C0C54">
        <w:rPr>
          <w:rFonts w:asciiTheme="minorHAnsi" w:hAnsiTheme="minorHAnsi" w:cstheme="minorHAnsi"/>
          <w:color w:val="000000" w:themeColor="text1"/>
        </w:rPr>
        <w:t xml:space="preserve">.1 </w:t>
      </w:r>
      <w:r w:rsidRPr="00102D57">
        <w:rPr>
          <w:rFonts w:asciiTheme="minorHAnsi" w:eastAsia="Arial" w:hAnsiTheme="minorHAnsi" w:cstheme="minorHAnsi"/>
          <w:color w:val="000000" w:themeColor="text1"/>
        </w:rPr>
        <w:t xml:space="preserve">Operations </w:t>
      </w:r>
      <w:r>
        <w:rPr>
          <w:rFonts w:asciiTheme="minorHAnsi" w:eastAsia="Arial" w:hAnsiTheme="minorHAnsi" w:cstheme="minorHAnsi"/>
          <w:color w:val="000000" w:themeColor="text1"/>
        </w:rPr>
        <w:t>I</w:t>
      </w:r>
      <w:r w:rsidRPr="00102D57">
        <w:rPr>
          <w:rFonts w:asciiTheme="minorHAnsi" w:eastAsia="Arial" w:hAnsiTheme="minorHAnsi" w:cstheme="minorHAnsi"/>
          <w:color w:val="000000" w:themeColor="text1"/>
        </w:rPr>
        <w:t>nitiatives</w:t>
      </w:r>
    </w:p>
    <w:p w14:paraId="26293BA5" w14:textId="77777777" w:rsidR="00F616FB" w:rsidRPr="00593FBC" w:rsidRDefault="00F616FB" w:rsidP="00F616FB">
      <w:pPr>
        <w:tabs>
          <w:tab w:val="left" w:pos="426"/>
        </w:tabs>
        <w:spacing w:before="86" w:line="360" w:lineRule="auto"/>
        <w:ind w:left="567" w:right="95" w:hanging="993"/>
        <w:jc w:val="both"/>
        <w:rPr>
          <w:rFonts w:asciiTheme="minorHAnsi" w:hAnsiTheme="minorHAnsi" w:cstheme="minorHAnsi"/>
        </w:rPr>
      </w:pPr>
      <w:r>
        <w:rPr>
          <w:rFonts w:asciiTheme="minorHAnsi" w:eastAsia="Arial" w:hAnsiTheme="minorHAnsi" w:cstheme="minorHAnsi"/>
          <w:color w:val="000000" w:themeColor="text1"/>
          <w:sz w:val="22"/>
          <w:szCs w:val="22"/>
        </w:rPr>
        <w:t xml:space="preserve">                     </w:t>
      </w:r>
      <w:r w:rsidRPr="00593FBC">
        <w:rPr>
          <w:rFonts w:asciiTheme="minorHAnsi" w:eastAsia="Arial" w:hAnsiTheme="minorHAnsi" w:cstheme="minorHAnsi"/>
          <w:color w:val="000000" w:themeColor="text1"/>
          <w:sz w:val="22"/>
          <w:szCs w:val="22"/>
        </w:rPr>
        <w:t xml:space="preserve">TPNODL with predominant rural geography, has a vast operational area of 27,857 Sq. Km comprising of majorly bare overhead network of 33kV, 11kV and Low-tension lines which delivers </w:t>
      </w:r>
      <w:r w:rsidRPr="00593FBC">
        <w:rPr>
          <w:rFonts w:asciiTheme="minorHAnsi" w:eastAsia="Arial" w:hAnsiTheme="minorHAnsi" w:cstheme="minorHAnsi"/>
          <w:color w:val="000000" w:themeColor="text1"/>
          <w:sz w:val="22"/>
          <w:szCs w:val="22"/>
        </w:rPr>
        <w:lastRenderedPageBreak/>
        <w:t xml:space="preserve">power supply to </w:t>
      </w:r>
      <w:r>
        <w:rPr>
          <w:rFonts w:asciiTheme="minorHAnsi" w:eastAsia="Arial" w:hAnsiTheme="minorHAnsi" w:cstheme="minorHAnsi"/>
          <w:color w:val="000000" w:themeColor="text1"/>
          <w:sz w:val="22"/>
          <w:szCs w:val="22"/>
        </w:rPr>
        <w:t xml:space="preserve">approx. </w:t>
      </w:r>
      <w:r w:rsidRPr="00593FBC">
        <w:rPr>
          <w:rFonts w:asciiTheme="minorHAnsi" w:eastAsia="Arial" w:hAnsiTheme="minorHAnsi" w:cstheme="minorHAnsi"/>
          <w:color w:val="000000" w:themeColor="text1"/>
          <w:sz w:val="22"/>
          <w:szCs w:val="22"/>
        </w:rPr>
        <w:t xml:space="preserve">2.0 Million valuable customer </w:t>
      </w:r>
      <w:proofErr w:type="gramStart"/>
      <w:r w:rsidRPr="00593FBC">
        <w:rPr>
          <w:rFonts w:asciiTheme="minorHAnsi" w:eastAsia="Arial" w:hAnsiTheme="minorHAnsi" w:cstheme="minorHAnsi"/>
          <w:color w:val="000000" w:themeColor="text1"/>
          <w:sz w:val="22"/>
          <w:szCs w:val="22"/>
        </w:rPr>
        <w:t>base</w:t>
      </w:r>
      <w:proofErr w:type="gramEnd"/>
      <w:r w:rsidRPr="00593FBC">
        <w:rPr>
          <w:rFonts w:asciiTheme="minorHAnsi" w:eastAsia="Arial" w:hAnsiTheme="minorHAnsi" w:cstheme="minorHAnsi"/>
          <w:color w:val="000000" w:themeColor="text1"/>
          <w:sz w:val="22"/>
          <w:szCs w:val="22"/>
        </w:rPr>
        <w:t>. In the 3</w:t>
      </w:r>
      <w:r w:rsidRPr="00593FBC">
        <w:rPr>
          <w:rFonts w:asciiTheme="minorHAnsi" w:eastAsia="Arial" w:hAnsiTheme="minorHAnsi" w:cstheme="minorHAnsi"/>
          <w:color w:val="000000" w:themeColor="text1"/>
          <w:sz w:val="22"/>
          <w:szCs w:val="22"/>
          <w:vertAlign w:val="superscript"/>
        </w:rPr>
        <w:t>rd</w:t>
      </w:r>
      <w:r w:rsidRPr="00593FBC">
        <w:rPr>
          <w:rFonts w:asciiTheme="minorHAnsi" w:eastAsia="Arial" w:hAnsiTheme="minorHAnsi" w:cstheme="minorHAnsi"/>
          <w:color w:val="000000" w:themeColor="text1"/>
          <w:sz w:val="22"/>
          <w:szCs w:val="22"/>
        </w:rPr>
        <w:t xml:space="preserve"> year operation, the entire focus was on primarily on safety &amp; then providing reliable power supply, enhanced customer services and reducing the existing AT&amp;C losses in a systematic manner through upgrading the existing distribution infrastructure and adoption of new technologies.</w:t>
      </w:r>
    </w:p>
    <w:p w14:paraId="16E1DDD8" w14:textId="77777777" w:rsidR="00F616FB" w:rsidRPr="00593FBC" w:rsidRDefault="00F616FB" w:rsidP="00F616FB">
      <w:pPr>
        <w:tabs>
          <w:tab w:val="left" w:pos="426"/>
        </w:tabs>
        <w:spacing w:before="73" w:line="360" w:lineRule="auto"/>
        <w:ind w:left="567" w:hanging="993"/>
        <w:jc w:val="both"/>
        <w:rPr>
          <w:rFonts w:asciiTheme="minorHAnsi" w:hAnsiTheme="minorHAnsi" w:cstheme="minorHAnsi"/>
        </w:rPr>
      </w:pPr>
      <w:r>
        <w:rPr>
          <w:rFonts w:asciiTheme="minorHAnsi" w:eastAsia="Arial" w:hAnsiTheme="minorHAnsi" w:cstheme="minorHAnsi"/>
          <w:color w:val="000000" w:themeColor="text1"/>
          <w:sz w:val="22"/>
          <w:szCs w:val="22"/>
        </w:rPr>
        <w:t xml:space="preserve">                    </w:t>
      </w:r>
      <w:r w:rsidRPr="00593FBC">
        <w:rPr>
          <w:rFonts w:asciiTheme="minorHAnsi" w:eastAsia="Arial" w:hAnsiTheme="minorHAnsi" w:cstheme="minorHAnsi"/>
          <w:color w:val="000000" w:themeColor="text1"/>
          <w:sz w:val="22"/>
          <w:szCs w:val="22"/>
        </w:rPr>
        <w:t>We have taken the following major safety &amp; operational initiatives during the year 2</w:t>
      </w:r>
      <w:r>
        <w:rPr>
          <w:rFonts w:asciiTheme="minorHAnsi" w:eastAsia="Arial" w:hAnsiTheme="minorHAnsi" w:cstheme="minorHAnsi"/>
          <w:color w:val="000000" w:themeColor="text1"/>
          <w:sz w:val="22"/>
          <w:szCs w:val="22"/>
        </w:rPr>
        <w:t>02</w:t>
      </w:r>
      <w:r w:rsidRPr="00593FBC">
        <w:rPr>
          <w:rFonts w:asciiTheme="minorHAnsi" w:eastAsia="Arial" w:hAnsiTheme="minorHAnsi" w:cstheme="minorHAnsi"/>
          <w:color w:val="000000" w:themeColor="text1"/>
          <w:sz w:val="22"/>
          <w:szCs w:val="22"/>
        </w:rPr>
        <w:t>3-24:</w:t>
      </w:r>
    </w:p>
    <w:p w14:paraId="72086415" w14:textId="77777777" w:rsidR="00F616FB" w:rsidRPr="00593FBC" w:rsidRDefault="00F616FB" w:rsidP="00F616FB">
      <w:pPr>
        <w:tabs>
          <w:tab w:val="left" w:pos="426"/>
        </w:tabs>
        <w:spacing w:line="360" w:lineRule="auto"/>
        <w:ind w:left="567" w:hanging="993"/>
        <w:jc w:val="both"/>
        <w:rPr>
          <w:rFonts w:asciiTheme="minorHAnsi" w:hAnsiTheme="minorHAnsi" w:cstheme="minorHAnsi"/>
        </w:rPr>
      </w:pPr>
      <w:r w:rsidRPr="00593FBC">
        <w:rPr>
          <w:rFonts w:asciiTheme="minorHAnsi" w:eastAsia="Arial" w:hAnsiTheme="minorHAnsi" w:cstheme="minorHAnsi"/>
          <w:b/>
          <w:bCs/>
          <w:color w:val="000000" w:themeColor="text1"/>
        </w:rPr>
        <w:t xml:space="preserve"> </w:t>
      </w:r>
    </w:p>
    <w:p w14:paraId="46F477CF" w14:textId="31338D7E" w:rsidR="00F616FB" w:rsidRDefault="00F616FB" w:rsidP="00F616FB">
      <w:pPr>
        <w:pStyle w:val="ListParagraph"/>
        <w:tabs>
          <w:tab w:val="left" w:pos="426"/>
        </w:tabs>
        <w:spacing w:after="0" w:line="360" w:lineRule="auto"/>
        <w:ind w:left="567" w:hanging="993"/>
        <w:jc w:val="both"/>
        <w:rPr>
          <w:rFonts w:asciiTheme="minorHAnsi" w:eastAsia="Arial" w:hAnsiTheme="minorHAnsi" w:cstheme="minorHAnsi"/>
          <w:b/>
          <w:bCs/>
          <w:color w:val="000000" w:themeColor="text1"/>
          <w:sz w:val="24"/>
        </w:rPr>
      </w:pPr>
      <w:r>
        <w:rPr>
          <w:rFonts w:asciiTheme="minorHAnsi" w:eastAsia="Arial" w:hAnsiTheme="minorHAnsi" w:cstheme="minorHAnsi"/>
          <w:b/>
          <w:bCs/>
          <w:color w:val="000000" w:themeColor="text1"/>
        </w:rPr>
        <w:t xml:space="preserve">                   </w:t>
      </w:r>
      <w:r w:rsidR="0082580C">
        <w:rPr>
          <w:rFonts w:asciiTheme="minorHAnsi" w:eastAsia="Arial" w:hAnsiTheme="minorHAnsi" w:cstheme="minorHAnsi"/>
          <w:b/>
          <w:bCs/>
          <w:color w:val="000000" w:themeColor="text1"/>
          <w:sz w:val="24"/>
        </w:rPr>
        <w:t>6.1.2</w:t>
      </w:r>
      <w:r w:rsidRPr="0067462F">
        <w:rPr>
          <w:rFonts w:asciiTheme="minorHAnsi" w:eastAsia="Arial" w:hAnsiTheme="minorHAnsi" w:cstheme="minorHAnsi"/>
          <w:b/>
          <w:bCs/>
          <w:color w:val="000000" w:themeColor="text1"/>
          <w:sz w:val="24"/>
        </w:rPr>
        <w:t xml:space="preserve"> Suraksha </w:t>
      </w:r>
      <w:proofErr w:type="spellStart"/>
      <w:r w:rsidRPr="0067462F">
        <w:rPr>
          <w:rFonts w:asciiTheme="minorHAnsi" w:eastAsia="Arial" w:hAnsiTheme="minorHAnsi" w:cstheme="minorHAnsi"/>
          <w:b/>
          <w:bCs/>
          <w:color w:val="000000" w:themeColor="text1"/>
          <w:sz w:val="24"/>
        </w:rPr>
        <w:t>Sambad</w:t>
      </w:r>
      <w:proofErr w:type="spellEnd"/>
    </w:p>
    <w:p w14:paraId="2BA5158B" w14:textId="77777777" w:rsidR="00F616FB" w:rsidRDefault="00F616FB" w:rsidP="00F616FB">
      <w:pPr>
        <w:pStyle w:val="ListParagraph"/>
        <w:tabs>
          <w:tab w:val="left" w:pos="426"/>
        </w:tabs>
        <w:spacing w:after="0" w:line="360" w:lineRule="auto"/>
        <w:ind w:left="567" w:hanging="993"/>
        <w:jc w:val="both"/>
        <w:rPr>
          <w:rFonts w:asciiTheme="minorHAnsi" w:eastAsia="Arial" w:hAnsiTheme="minorHAnsi" w:cstheme="minorHAnsi"/>
          <w:color w:val="000000" w:themeColor="text1"/>
          <w:sz w:val="24"/>
        </w:rPr>
      </w:pPr>
      <w:r>
        <w:rPr>
          <w:rFonts w:asciiTheme="minorHAnsi" w:eastAsia="Arial" w:hAnsiTheme="minorHAnsi" w:cstheme="minorHAnsi"/>
          <w:color w:val="000000" w:themeColor="text1"/>
          <w:sz w:val="24"/>
        </w:rPr>
        <w:t xml:space="preserve">                  </w:t>
      </w:r>
      <w:r w:rsidRPr="000A00A4">
        <w:rPr>
          <w:rFonts w:asciiTheme="minorHAnsi" w:eastAsia="Arial" w:hAnsiTheme="minorHAnsi" w:cstheme="minorHAnsi"/>
          <w:color w:val="000000" w:themeColor="text1"/>
        </w:rPr>
        <w:t xml:space="preserve">Field level Safety Interaction by Sr. Management team with the lineman/helper during work at site &amp; mentoring them. This is a unique safety program that empowers employees to actively participate in a culture of safety. By fostering open communication and prioritizing respect, Suraksha </w:t>
      </w:r>
      <w:proofErr w:type="spellStart"/>
      <w:r w:rsidRPr="000A00A4">
        <w:rPr>
          <w:rFonts w:asciiTheme="minorHAnsi" w:eastAsia="Arial" w:hAnsiTheme="minorHAnsi" w:cstheme="minorHAnsi"/>
          <w:color w:val="000000" w:themeColor="text1"/>
        </w:rPr>
        <w:t>Sambad</w:t>
      </w:r>
      <w:proofErr w:type="spellEnd"/>
      <w:r w:rsidRPr="000A00A4">
        <w:rPr>
          <w:rFonts w:asciiTheme="minorHAnsi" w:eastAsia="Arial" w:hAnsiTheme="minorHAnsi" w:cstheme="minorHAnsi"/>
          <w:color w:val="000000" w:themeColor="text1"/>
        </w:rPr>
        <w:t xml:space="preserve"> aims to prevent accidents and create a workforce invested in everyone's well-being</w:t>
      </w:r>
    </w:p>
    <w:p w14:paraId="77384B10" w14:textId="1621FC09" w:rsidR="00F616FB" w:rsidRPr="000A00A4" w:rsidRDefault="0082580C" w:rsidP="00F616FB">
      <w:pPr>
        <w:tabs>
          <w:tab w:val="left" w:pos="426"/>
        </w:tabs>
        <w:spacing w:line="360" w:lineRule="auto"/>
        <w:ind w:left="567"/>
        <w:jc w:val="both"/>
        <w:rPr>
          <w:rFonts w:asciiTheme="minorHAnsi" w:eastAsia="Arial" w:hAnsiTheme="minorHAnsi" w:cstheme="minorHAnsi"/>
          <w:color w:val="000000" w:themeColor="text1"/>
        </w:rPr>
      </w:pPr>
      <w:r w:rsidRPr="00593FBC">
        <w:rPr>
          <w:noProof/>
          <w:lang w:val="en-IN" w:eastAsia="en-IN"/>
        </w:rPr>
        <w:drawing>
          <wp:anchor distT="0" distB="0" distL="114300" distR="114300" simplePos="0" relativeHeight="252005888" behindDoc="1" locked="0" layoutInCell="1" allowOverlap="1" wp14:anchorId="069D6177" wp14:editId="272685AF">
            <wp:simplePos x="0" y="0"/>
            <wp:positionH relativeFrom="margin">
              <wp:posOffset>3585210</wp:posOffset>
            </wp:positionH>
            <wp:positionV relativeFrom="paragraph">
              <wp:posOffset>140970</wp:posOffset>
            </wp:positionV>
            <wp:extent cx="2352675" cy="1562100"/>
            <wp:effectExtent l="76200" t="76200" r="142875" b="133350"/>
            <wp:wrapTight wrapText="bothSides">
              <wp:wrapPolygon edited="0">
                <wp:start x="-350" y="-1054"/>
                <wp:lineTo x="-700" y="-790"/>
                <wp:lineTo x="-700" y="22127"/>
                <wp:lineTo x="-350" y="23180"/>
                <wp:lineTo x="22387" y="23180"/>
                <wp:lineTo x="22737" y="20546"/>
                <wp:lineTo x="22737" y="3424"/>
                <wp:lineTo x="22387" y="-527"/>
                <wp:lineTo x="22387" y="-1054"/>
                <wp:lineTo x="-350" y="-1054"/>
              </wp:wrapPolygon>
            </wp:wrapTight>
            <wp:docPr id="648326393" name="Picture 648326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
                      <a:extLst>
                        <a:ext uri="{28A0092B-C50C-407E-A947-70E740481C1C}">
                          <a14:useLocalDpi xmlns:a14="http://schemas.microsoft.com/office/drawing/2010/main" val="0"/>
                        </a:ext>
                      </a:extLst>
                    </a:blip>
                    <a:stretch>
                      <a:fillRect/>
                    </a:stretch>
                  </pic:blipFill>
                  <pic:spPr>
                    <a:xfrm>
                      <a:off x="0" y="0"/>
                      <a:ext cx="2352675" cy="156210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14:sizeRelH relativeFrom="margin">
              <wp14:pctWidth>0</wp14:pctWidth>
            </wp14:sizeRelH>
            <wp14:sizeRelV relativeFrom="margin">
              <wp14:pctHeight>0</wp14:pctHeight>
            </wp14:sizeRelV>
          </wp:anchor>
        </w:drawing>
      </w:r>
      <w:r w:rsidR="00CA68C8" w:rsidRPr="00593FBC">
        <w:rPr>
          <w:noProof/>
          <w:lang w:val="en-IN" w:eastAsia="en-IN"/>
        </w:rPr>
        <w:drawing>
          <wp:anchor distT="0" distB="0" distL="114300" distR="114300" simplePos="0" relativeHeight="252004864" behindDoc="1" locked="0" layoutInCell="1" allowOverlap="1" wp14:anchorId="4191806A" wp14:editId="2C56DCD7">
            <wp:simplePos x="0" y="0"/>
            <wp:positionH relativeFrom="column">
              <wp:posOffset>767715</wp:posOffset>
            </wp:positionH>
            <wp:positionV relativeFrom="paragraph">
              <wp:posOffset>137160</wp:posOffset>
            </wp:positionV>
            <wp:extent cx="2409825" cy="1571625"/>
            <wp:effectExtent l="76200" t="76200" r="142875" b="142875"/>
            <wp:wrapTight wrapText="bothSides">
              <wp:wrapPolygon edited="0">
                <wp:start x="-342" y="-1047"/>
                <wp:lineTo x="-683" y="-785"/>
                <wp:lineTo x="-683" y="22255"/>
                <wp:lineTo x="-342" y="23302"/>
                <wp:lineTo x="22368" y="23302"/>
                <wp:lineTo x="22710" y="20422"/>
                <wp:lineTo x="22710" y="3404"/>
                <wp:lineTo x="22368" y="-524"/>
                <wp:lineTo x="22368" y="-1047"/>
                <wp:lineTo x="-342" y="-1047"/>
              </wp:wrapPolygon>
            </wp:wrapTight>
            <wp:docPr id="1719730722" name="Picture 17197307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
                      <a:extLst>
                        <a:ext uri="{28A0092B-C50C-407E-A947-70E740481C1C}">
                          <a14:useLocalDpi xmlns:a14="http://schemas.microsoft.com/office/drawing/2010/main" val="0"/>
                        </a:ext>
                      </a:extLst>
                    </a:blip>
                    <a:stretch>
                      <a:fillRect/>
                    </a:stretch>
                  </pic:blipFill>
                  <pic:spPr>
                    <a:xfrm>
                      <a:off x="0" y="0"/>
                      <a:ext cx="2409825" cy="157162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14:sizeRelH relativeFrom="margin">
              <wp14:pctWidth>0</wp14:pctWidth>
            </wp14:sizeRelH>
            <wp14:sizeRelV relativeFrom="margin">
              <wp14:pctHeight>0</wp14:pctHeight>
            </wp14:sizeRelV>
          </wp:anchor>
        </w:drawing>
      </w:r>
      <w:r w:rsidR="00F616FB" w:rsidRPr="000A00A4">
        <w:rPr>
          <w:rFonts w:asciiTheme="minorHAnsi" w:eastAsia="Arial" w:hAnsiTheme="minorHAnsi" w:cstheme="minorHAnsi"/>
          <w:color w:val="000000" w:themeColor="text1"/>
        </w:rPr>
        <w:t>.</w:t>
      </w:r>
    </w:p>
    <w:p w14:paraId="45A48F49" w14:textId="75CE3EF1" w:rsidR="00F616FB" w:rsidRDefault="00F616FB" w:rsidP="00F616FB">
      <w:pPr>
        <w:spacing w:line="360" w:lineRule="auto"/>
        <w:ind w:left="567"/>
        <w:rPr>
          <w:rFonts w:asciiTheme="minorHAnsi" w:eastAsia="Arial" w:hAnsiTheme="minorHAnsi" w:cstheme="minorHAnsi"/>
          <w:b/>
          <w:bCs/>
          <w:color w:val="000000" w:themeColor="text1"/>
        </w:rPr>
      </w:pPr>
    </w:p>
    <w:p w14:paraId="21F5FA7F" w14:textId="77777777" w:rsidR="006B144F" w:rsidRDefault="006B144F" w:rsidP="00F616FB">
      <w:pPr>
        <w:spacing w:line="360" w:lineRule="auto"/>
        <w:ind w:left="567"/>
        <w:rPr>
          <w:rFonts w:asciiTheme="minorHAnsi" w:eastAsia="Arial" w:hAnsiTheme="minorHAnsi" w:cstheme="minorHAnsi"/>
          <w:b/>
          <w:bCs/>
          <w:color w:val="000000" w:themeColor="text1"/>
        </w:rPr>
      </w:pPr>
    </w:p>
    <w:p w14:paraId="7606875C" w14:textId="77777777" w:rsidR="006B144F" w:rsidRDefault="006B144F" w:rsidP="00F616FB">
      <w:pPr>
        <w:spacing w:line="360" w:lineRule="auto"/>
        <w:ind w:left="567"/>
        <w:rPr>
          <w:rFonts w:asciiTheme="minorHAnsi" w:eastAsia="Arial" w:hAnsiTheme="minorHAnsi" w:cstheme="minorHAnsi"/>
          <w:b/>
          <w:bCs/>
          <w:color w:val="000000" w:themeColor="text1"/>
        </w:rPr>
      </w:pPr>
    </w:p>
    <w:p w14:paraId="200B77B5" w14:textId="77777777" w:rsidR="006B144F" w:rsidRDefault="006B144F" w:rsidP="00F616FB">
      <w:pPr>
        <w:spacing w:line="360" w:lineRule="auto"/>
        <w:ind w:left="567"/>
        <w:rPr>
          <w:rFonts w:asciiTheme="minorHAnsi" w:eastAsia="Arial" w:hAnsiTheme="minorHAnsi" w:cstheme="minorHAnsi"/>
          <w:b/>
          <w:bCs/>
          <w:color w:val="000000" w:themeColor="text1"/>
        </w:rPr>
      </w:pPr>
    </w:p>
    <w:p w14:paraId="4C362E09" w14:textId="77777777" w:rsidR="006B144F" w:rsidRDefault="006B144F" w:rsidP="00F616FB">
      <w:pPr>
        <w:spacing w:line="360" w:lineRule="auto"/>
        <w:ind w:left="567"/>
        <w:rPr>
          <w:rFonts w:asciiTheme="minorHAnsi" w:eastAsia="Arial" w:hAnsiTheme="minorHAnsi" w:cstheme="minorHAnsi"/>
          <w:b/>
          <w:bCs/>
          <w:color w:val="000000" w:themeColor="text1"/>
        </w:rPr>
      </w:pPr>
    </w:p>
    <w:p w14:paraId="3237B543" w14:textId="77777777" w:rsidR="006B144F" w:rsidRDefault="006B144F" w:rsidP="00F616FB">
      <w:pPr>
        <w:spacing w:line="360" w:lineRule="auto"/>
        <w:ind w:left="567"/>
        <w:rPr>
          <w:rFonts w:asciiTheme="minorHAnsi" w:eastAsia="Arial" w:hAnsiTheme="minorHAnsi" w:cstheme="minorHAnsi"/>
          <w:b/>
          <w:bCs/>
          <w:color w:val="000000" w:themeColor="text1"/>
        </w:rPr>
      </w:pPr>
    </w:p>
    <w:p w14:paraId="5519C1B4" w14:textId="1F41BDCF" w:rsidR="00F616FB" w:rsidRDefault="0082580C" w:rsidP="00F616FB">
      <w:pPr>
        <w:spacing w:line="360" w:lineRule="auto"/>
        <w:ind w:left="567"/>
        <w:rPr>
          <w:rFonts w:asciiTheme="minorHAnsi" w:eastAsia="Arial" w:hAnsiTheme="minorHAnsi" w:cstheme="minorHAnsi"/>
          <w:b/>
          <w:bCs/>
          <w:color w:val="000000" w:themeColor="text1"/>
        </w:rPr>
      </w:pPr>
      <w:r>
        <w:rPr>
          <w:rFonts w:asciiTheme="minorHAnsi" w:eastAsia="Arial" w:hAnsiTheme="minorHAnsi" w:cstheme="minorHAnsi"/>
          <w:b/>
          <w:bCs/>
          <w:color w:val="000000" w:themeColor="text1"/>
        </w:rPr>
        <w:t>6.1.3</w:t>
      </w:r>
      <w:r w:rsidR="00F616FB">
        <w:rPr>
          <w:rFonts w:asciiTheme="minorHAnsi" w:eastAsia="Arial" w:hAnsiTheme="minorHAnsi" w:cstheme="minorHAnsi"/>
          <w:b/>
          <w:bCs/>
          <w:color w:val="000000" w:themeColor="text1"/>
        </w:rPr>
        <w:t xml:space="preserve"> </w:t>
      </w:r>
      <w:r w:rsidR="00F616FB" w:rsidRPr="006A15A9">
        <w:rPr>
          <w:rFonts w:asciiTheme="minorHAnsi" w:eastAsia="Arial" w:hAnsiTheme="minorHAnsi" w:cstheme="minorHAnsi"/>
          <w:b/>
          <w:bCs/>
          <w:color w:val="000000" w:themeColor="text1"/>
        </w:rPr>
        <w:t xml:space="preserve">Jeevan Ki </w:t>
      </w:r>
      <w:proofErr w:type="spellStart"/>
      <w:r w:rsidR="00F616FB" w:rsidRPr="006A15A9">
        <w:rPr>
          <w:rFonts w:asciiTheme="minorHAnsi" w:eastAsia="Arial" w:hAnsiTheme="minorHAnsi" w:cstheme="minorHAnsi"/>
          <w:b/>
          <w:bCs/>
          <w:color w:val="000000" w:themeColor="text1"/>
        </w:rPr>
        <w:t>Aur</w:t>
      </w:r>
      <w:proofErr w:type="spellEnd"/>
    </w:p>
    <w:p w14:paraId="5828FC97" w14:textId="77777777" w:rsidR="00F616FB" w:rsidRPr="006A15A9" w:rsidRDefault="00F616FB" w:rsidP="00F616FB">
      <w:pPr>
        <w:spacing w:line="360" w:lineRule="auto"/>
        <w:ind w:left="567"/>
        <w:rPr>
          <w:rFonts w:asciiTheme="minorHAnsi" w:eastAsia="Arial" w:hAnsiTheme="minorHAnsi" w:cstheme="minorHAnsi"/>
          <w:color w:val="000000" w:themeColor="text1"/>
        </w:rPr>
      </w:pPr>
      <w:r w:rsidRPr="00593FBC">
        <w:rPr>
          <w:noProof/>
          <w:lang w:val="en-IN" w:eastAsia="en-IN"/>
        </w:rPr>
        <w:drawing>
          <wp:anchor distT="0" distB="0" distL="114300" distR="114300" simplePos="0" relativeHeight="252006912" behindDoc="1" locked="0" layoutInCell="1" allowOverlap="1" wp14:anchorId="1DABE577" wp14:editId="668ECC83">
            <wp:simplePos x="0" y="0"/>
            <wp:positionH relativeFrom="margin">
              <wp:posOffset>514350</wp:posOffset>
            </wp:positionH>
            <wp:positionV relativeFrom="paragraph">
              <wp:posOffset>484505</wp:posOffset>
            </wp:positionV>
            <wp:extent cx="2352675" cy="2028825"/>
            <wp:effectExtent l="76200" t="76200" r="142875" b="142875"/>
            <wp:wrapTight wrapText="bothSides">
              <wp:wrapPolygon edited="0">
                <wp:start x="-350" y="-811"/>
                <wp:lineTo x="-700" y="-608"/>
                <wp:lineTo x="-700" y="22107"/>
                <wp:lineTo x="-350" y="22918"/>
                <wp:lineTo x="22387" y="22918"/>
                <wp:lineTo x="22737" y="22107"/>
                <wp:lineTo x="22737" y="2637"/>
                <wp:lineTo x="22387" y="-406"/>
                <wp:lineTo x="22387" y="-811"/>
                <wp:lineTo x="-350" y="-811"/>
              </wp:wrapPolygon>
            </wp:wrapTight>
            <wp:docPr id="1462256334" name="Picture 1462256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
                      <a:extLst>
                        <a:ext uri="{28A0092B-C50C-407E-A947-70E740481C1C}">
                          <a14:useLocalDpi xmlns:a14="http://schemas.microsoft.com/office/drawing/2010/main" val="0"/>
                        </a:ext>
                      </a:extLst>
                    </a:blip>
                    <a:stretch>
                      <a:fillRect/>
                    </a:stretch>
                  </pic:blipFill>
                  <pic:spPr>
                    <a:xfrm>
                      <a:off x="0" y="0"/>
                      <a:ext cx="2352675" cy="202882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14:sizeRelH relativeFrom="margin">
              <wp14:pctWidth>0</wp14:pctWidth>
            </wp14:sizeRelH>
            <wp14:sizeRelV relativeFrom="margin">
              <wp14:pctHeight>0</wp14:pctHeight>
            </wp14:sizeRelV>
          </wp:anchor>
        </w:drawing>
      </w:r>
      <w:r w:rsidRPr="006A15A9">
        <w:rPr>
          <w:rFonts w:asciiTheme="minorHAnsi" w:eastAsia="Arial" w:hAnsiTheme="minorHAnsi" w:cstheme="minorHAnsi"/>
          <w:color w:val="000000" w:themeColor="text1"/>
        </w:rPr>
        <w:t xml:space="preserve">Behavioral Based Community Intervention sessions. 1050+ Session </w:t>
      </w:r>
      <w:r>
        <w:rPr>
          <w:rFonts w:asciiTheme="minorHAnsi" w:eastAsia="Arial" w:hAnsiTheme="minorHAnsi" w:cstheme="minorHAnsi"/>
          <w:color w:val="000000" w:themeColor="text1"/>
        </w:rPr>
        <w:t xml:space="preserve">already </w:t>
      </w:r>
      <w:r w:rsidRPr="006A15A9">
        <w:rPr>
          <w:rFonts w:asciiTheme="minorHAnsi" w:eastAsia="Arial" w:hAnsiTheme="minorHAnsi" w:cstheme="minorHAnsi"/>
          <w:color w:val="000000" w:themeColor="text1"/>
        </w:rPr>
        <w:t>conducted.</w:t>
      </w:r>
    </w:p>
    <w:p w14:paraId="3DBBFA28" w14:textId="1E318A5B" w:rsidR="00F616FB" w:rsidRPr="006B144F" w:rsidRDefault="00F616FB" w:rsidP="006B144F">
      <w:pPr>
        <w:spacing w:line="360" w:lineRule="auto"/>
        <w:ind w:left="567"/>
        <w:jc w:val="both"/>
        <w:rPr>
          <w:rFonts w:asciiTheme="minorHAnsi" w:eastAsia="Arial" w:hAnsiTheme="minorHAnsi" w:cstheme="minorHAnsi"/>
          <w:b/>
          <w:bCs/>
          <w:color w:val="000000" w:themeColor="text1"/>
          <w:sz w:val="22"/>
        </w:rPr>
      </w:pPr>
      <w:r w:rsidRPr="00593FBC">
        <w:rPr>
          <w:noProof/>
          <w:lang w:val="en-IN" w:eastAsia="en-IN"/>
        </w:rPr>
        <w:drawing>
          <wp:anchor distT="0" distB="0" distL="114300" distR="114300" simplePos="0" relativeHeight="252007936" behindDoc="1" locked="0" layoutInCell="1" allowOverlap="1" wp14:anchorId="0F48A5F8" wp14:editId="7113CF8A">
            <wp:simplePos x="0" y="0"/>
            <wp:positionH relativeFrom="margin">
              <wp:posOffset>3248025</wp:posOffset>
            </wp:positionH>
            <wp:positionV relativeFrom="paragraph">
              <wp:posOffset>224155</wp:posOffset>
            </wp:positionV>
            <wp:extent cx="2305050" cy="1981200"/>
            <wp:effectExtent l="76200" t="76200" r="133350" b="133350"/>
            <wp:wrapTight wrapText="bothSides">
              <wp:wrapPolygon edited="0">
                <wp:start x="-357" y="-831"/>
                <wp:lineTo x="-714" y="-623"/>
                <wp:lineTo x="-714" y="22015"/>
                <wp:lineTo x="-357" y="22846"/>
                <wp:lineTo x="22314" y="22846"/>
                <wp:lineTo x="22314" y="22638"/>
                <wp:lineTo x="22671" y="19523"/>
                <wp:lineTo x="22671" y="2700"/>
                <wp:lineTo x="22314" y="-415"/>
                <wp:lineTo x="22314" y="-831"/>
                <wp:lineTo x="-357" y="-831"/>
              </wp:wrapPolygon>
            </wp:wrapTight>
            <wp:docPr id="212922814" name="Picture 2129228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1">
                      <a:extLst>
                        <a:ext uri="{28A0092B-C50C-407E-A947-70E740481C1C}">
                          <a14:useLocalDpi xmlns:a14="http://schemas.microsoft.com/office/drawing/2010/main" val="0"/>
                        </a:ext>
                      </a:extLst>
                    </a:blip>
                    <a:stretch>
                      <a:fillRect/>
                    </a:stretch>
                  </pic:blipFill>
                  <pic:spPr>
                    <a:xfrm>
                      <a:off x="0" y="0"/>
                      <a:ext cx="2305050" cy="198120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14:sizeRelH relativeFrom="margin">
              <wp14:pctWidth>0</wp14:pctWidth>
            </wp14:sizeRelH>
            <wp14:sizeRelV relativeFrom="margin">
              <wp14:pctHeight>0</wp14:pctHeight>
            </wp14:sizeRelV>
          </wp:anchor>
        </w:drawing>
      </w:r>
    </w:p>
    <w:p w14:paraId="170E00AA" w14:textId="77777777" w:rsidR="0082580C" w:rsidRDefault="0082580C" w:rsidP="00F616FB">
      <w:pPr>
        <w:spacing w:line="360" w:lineRule="auto"/>
        <w:ind w:left="567"/>
        <w:jc w:val="both"/>
        <w:rPr>
          <w:rFonts w:asciiTheme="minorHAnsi" w:eastAsia="Arial" w:hAnsiTheme="minorHAnsi" w:cstheme="minorHAnsi"/>
          <w:b/>
          <w:bCs/>
          <w:color w:val="000000" w:themeColor="text1"/>
        </w:rPr>
      </w:pPr>
    </w:p>
    <w:p w14:paraId="16FE562A" w14:textId="77777777" w:rsidR="0082580C" w:rsidRDefault="0082580C" w:rsidP="00F616FB">
      <w:pPr>
        <w:spacing w:line="360" w:lineRule="auto"/>
        <w:ind w:left="567"/>
        <w:jc w:val="both"/>
        <w:rPr>
          <w:rFonts w:asciiTheme="minorHAnsi" w:eastAsia="Arial" w:hAnsiTheme="minorHAnsi" w:cstheme="minorHAnsi"/>
          <w:b/>
          <w:bCs/>
          <w:color w:val="000000" w:themeColor="text1"/>
        </w:rPr>
      </w:pPr>
    </w:p>
    <w:p w14:paraId="411ADCA6" w14:textId="77777777" w:rsidR="0082580C" w:rsidRDefault="0082580C" w:rsidP="00F616FB">
      <w:pPr>
        <w:spacing w:line="360" w:lineRule="auto"/>
        <w:ind w:left="567"/>
        <w:jc w:val="both"/>
        <w:rPr>
          <w:rFonts w:asciiTheme="minorHAnsi" w:eastAsia="Arial" w:hAnsiTheme="minorHAnsi" w:cstheme="minorHAnsi"/>
          <w:b/>
          <w:bCs/>
          <w:color w:val="000000" w:themeColor="text1"/>
        </w:rPr>
      </w:pPr>
    </w:p>
    <w:p w14:paraId="27759029" w14:textId="77777777" w:rsidR="0082580C" w:rsidRDefault="0082580C" w:rsidP="00F616FB">
      <w:pPr>
        <w:spacing w:line="360" w:lineRule="auto"/>
        <w:ind w:left="567"/>
        <w:jc w:val="both"/>
        <w:rPr>
          <w:rFonts w:asciiTheme="minorHAnsi" w:eastAsia="Arial" w:hAnsiTheme="minorHAnsi" w:cstheme="minorHAnsi"/>
          <w:b/>
          <w:bCs/>
          <w:color w:val="000000" w:themeColor="text1"/>
        </w:rPr>
      </w:pPr>
    </w:p>
    <w:p w14:paraId="74A72A69" w14:textId="77777777" w:rsidR="0082580C" w:rsidRDefault="0082580C" w:rsidP="00F616FB">
      <w:pPr>
        <w:spacing w:line="360" w:lineRule="auto"/>
        <w:ind w:left="567"/>
        <w:jc w:val="both"/>
        <w:rPr>
          <w:rFonts w:asciiTheme="minorHAnsi" w:eastAsia="Arial" w:hAnsiTheme="minorHAnsi" w:cstheme="minorHAnsi"/>
          <w:b/>
          <w:bCs/>
          <w:color w:val="000000" w:themeColor="text1"/>
        </w:rPr>
      </w:pPr>
    </w:p>
    <w:p w14:paraId="10EDBFE9" w14:textId="77777777" w:rsidR="0082580C" w:rsidRDefault="0082580C" w:rsidP="00F616FB">
      <w:pPr>
        <w:spacing w:line="360" w:lineRule="auto"/>
        <w:ind w:left="567"/>
        <w:jc w:val="both"/>
        <w:rPr>
          <w:rFonts w:asciiTheme="minorHAnsi" w:eastAsia="Arial" w:hAnsiTheme="minorHAnsi" w:cstheme="minorHAnsi"/>
          <w:b/>
          <w:bCs/>
          <w:color w:val="000000" w:themeColor="text1"/>
        </w:rPr>
      </w:pPr>
    </w:p>
    <w:p w14:paraId="601AE170" w14:textId="77777777" w:rsidR="0082580C" w:rsidRDefault="0082580C" w:rsidP="00F616FB">
      <w:pPr>
        <w:spacing w:line="360" w:lineRule="auto"/>
        <w:ind w:left="567"/>
        <w:jc w:val="both"/>
        <w:rPr>
          <w:rFonts w:asciiTheme="minorHAnsi" w:eastAsia="Arial" w:hAnsiTheme="minorHAnsi" w:cstheme="minorHAnsi"/>
          <w:b/>
          <w:bCs/>
          <w:color w:val="000000" w:themeColor="text1"/>
        </w:rPr>
      </w:pPr>
    </w:p>
    <w:p w14:paraId="0AC34634" w14:textId="77777777" w:rsidR="0082580C" w:rsidRDefault="0082580C" w:rsidP="00F616FB">
      <w:pPr>
        <w:spacing w:line="360" w:lineRule="auto"/>
        <w:ind w:left="567"/>
        <w:jc w:val="both"/>
        <w:rPr>
          <w:rFonts w:asciiTheme="minorHAnsi" w:eastAsia="Arial" w:hAnsiTheme="minorHAnsi" w:cstheme="minorHAnsi"/>
          <w:b/>
          <w:bCs/>
          <w:color w:val="000000" w:themeColor="text1"/>
        </w:rPr>
      </w:pPr>
    </w:p>
    <w:p w14:paraId="6F78B635" w14:textId="12D3E564" w:rsidR="00F616FB" w:rsidRPr="00DE1F62" w:rsidRDefault="0082580C" w:rsidP="00F616FB">
      <w:pPr>
        <w:spacing w:line="360" w:lineRule="auto"/>
        <w:ind w:left="567"/>
        <w:jc w:val="both"/>
        <w:rPr>
          <w:rFonts w:asciiTheme="minorHAnsi" w:eastAsia="Arial" w:hAnsiTheme="minorHAnsi" w:cstheme="minorHAnsi"/>
          <w:color w:val="000000" w:themeColor="text1"/>
          <w:sz w:val="22"/>
        </w:rPr>
      </w:pPr>
      <w:r>
        <w:rPr>
          <w:rFonts w:asciiTheme="minorHAnsi" w:eastAsia="Arial" w:hAnsiTheme="minorHAnsi" w:cstheme="minorHAnsi"/>
          <w:b/>
          <w:bCs/>
          <w:color w:val="000000" w:themeColor="text1"/>
        </w:rPr>
        <w:t>6.1.4</w:t>
      </w:r>
      <w:r w:rsidR="00F616FB" w:rsidRPr="00FB7994">
        <w:rPr>
          <w:rFonts w:asciiTheme="minorHAnsi" w:eastAsia="Arial" w:hAnsiTheme="minorHAnsi" w:cstheme="minorHAnsi"/>
          <w:b/>
          <w:bCs/>
          <w:color w:val="000000" w:themeColor="text1"/>
        </w:rPr>
        <w:t xml:space="preserve"> Innovative Safety Harness integrated with Voltage Detector Helmet</w:t>
      </w:r>
      <w:r w:rsidR="00F616FB" w:rsidRPr="00FB7994">
        <w:rPr>
          <w:rFonts w:asciiTheme="minorHAnsi" w:eastAsia="Arial" w:hAnsiTheme="minorHAnsi" w:cstheme="minorHAnsi"/>
          <w:color w:val="000000" w:themeColor="text1"/>
        </w:rPr>
        <w:t xml:space="preserve">: </w:t>
      </w:r>
      <w:r w:rsidR="00F616FB" w:rsidRPr="00DE1F62">
        <w:rPr>
          <w:rFonts w:asciiTheme="minorHAnsi" w:eastAsia="Arial" w:hAnsiTheme="minorHAnsi" w:cstheme="minorHAnsi"/>
          <w:color w:val="000000" w:themeColor="text1"/>
          <w:sz w:val="22"/>
        </w:rPr>
        <w:t>Ingeniously designed technology with modern, inventive Safety Helmet &amp; Safety Harness connected with advanced communicative snap hooks. Interlinked through a wireless communication entirely powered through Solar power.</w:t>
      </w:r>
    </w:p>
    <w:p w14:paraId="04F2FBC1" w14:textId="77777777" w:rsidR="00F616FB" w:rsidRPr="00593FBC" w:rsidRDefault="00F616FB" w:rsidP="00F616FB">
      <w:pPr>
        <w:spacing w:line="360" w:lineRule="auto"/>
        <w:ind w:left="426"/>
        <w:jc w:val="both"/>
        <w:rPr>
          <w:rFonts w:asciiTheme="minorHAnsi" w:hAnsiTheme="minorHAnsi" w:cstheme="minorHAnsi"/>
        </w:rPr>
      </w:pPr>
      <w:r w:rsidRPr="00593FBC">
        <w:rPr>
          <w:rFonts w:asciiTheme="minorHAnsi" w:eastAsia="Arial" w:hAnsiTheme="minorHAnsi" w:cstheme="minorHAnsi"/>
          <w:color w:val="000000" w:themeColor="text1"/>
          <w:sz w:val="22"/>
          <w:szCs w:val="22"/>
        </w:rPr>
        <w:lastRenderedPageBreak/>
        <w:t xml:space="preserve"> </w:t>
      </w:r>
    </w:p>
    <w:p w14:paraId="78B0CF2F" w14:textId="77777777" w:rsidR="00F616FB" w:rsidRDefault="00F616FB" w:rsidP="00AB536C">
      <w:pPr>
        <w:pStyle w:val="ListParagraph"/>
        <w:numPr>
          <w:ilvl w:val="0"/>
          <w:numId w:val="24"/>
        </w:numPr>
        <w:spacing w:after="0" w:line="360" w:lineRule="auto"/>
        <w:ind w:left="993"/>
        <w:jc w:val="both"/>
        <w:rPr>
          <w:rFonts w:asciiTheme="minorHAnsi" w:eastAsia="Arial" w:hAnsiTheme="minorHAnsi" w:cstheme="minorHAnsi"/>
          <w:color w:val="000000" w:themeColor="text1"/>
        </w:rPr>
      </w:pPr>
      <w:r w:rsidRPr="00593FBC">
        <w:rPr>
          <w:rFonts w:asciiTheme="minorHAnsi" w:eastAsia="Arial" w:hAnsiTheme="minorHAnsi" w:cstheme="minorHAnsi"/>
          <w:color w:val="000000" w:themeColor="text1"/>
        </w:rPr>
        <w:t>A very novel concept to alert &amp; identify the safe working practices in all respects while working at height, which in turn saves the life of workmen.</w:t>
      </w:r>
    </w:p>
    <w:p w14:paraId="3209477E" w14:textId="77777777" w:rsidR="00F616FB" w:rsidRDefault="00F616FB" w:rsidP="00AB536C">
      <w:pPr>
        <w:pStyle w:val="ListParagraph"/>
        <w:numPr>
          <w:ilvl w:val="0"/>
          <w:numId w:val="24"/>
        </w:numPr>
        <w:spacing w:after="0" w:line="360" w:lineRule="auto"/>
        <w:ind w:left="993"/>
        <w:jc w:val="both"/>
        <w:rPr>
          <w:rFonts w:asciiTheme="minorHAnsi" w:eastAsia="Arial" w:hAnsiTheme="minorHAnsi" w:cstheme="minorHAnsi"/>
          <w:color w:val="000000" w:themeColor="text1"/>
        </w:rPr>
      </w:pPr>
      <w:r w:rsidRPr="000C6FD6">
        <w:rPr>
          <w:rFonts w:asciiTheme="minorHAnsi" w:eastAsia="Arial" w:hAnsiTheme="minorHAnsi" w:cstheme="minorHAnsi"/>
          <w:color w:val="000000" w:themeColor="text1"/>
        </w:rPr>
        <w:t>Covers intentional or unintentional mistake like unfastened harness, not wearing a helmet, or unanchored hooks etc.</w:t>
      </w:r>
    </w:p>
    <w:p w14:paraId="47E47DEA" w14:textId="77777777" w:rsidR="00F616FB" w:rsidRPr="00593FBC" w:rsidRDefault="00F616FB" w:rsidP="00F616FB">
      <w:pPr>
        <w:spacing w:line="360" w:lineRule="auto"/>
        <w:ind w:firstLine="284"/>
        <w:rPr>
          <w:rFonts w:asciiTheme="minorHAnsi" w:hAnsiTheme="minorHAnsi" w:cstheme="minorHAnsi"/>
        </w:rPr>
      </w:pPr>
    </w:p>
    <w:p w14:paraId="23BF47B6" w14:textId="6580FD64" w:rsidR="00F616FB" w:rsidRPr="00593FBC" w:rsidRDefault="00CA68C8" w:rsidP="00F616FB">
      <w:pPr>
        <w:spacing w:line="360" w:lineRule="auto"/>
        <w:ind w:firstLine="284"/>
        <w:rPr>
          <w:rFonts w:asciiTheme="minorHAnsi" w:hAnsiTheme="minorHAnsi" w:cstheme="minorHAnsi"/>
        </w:rPr>
      </w:pPr>
      <w:r w:rsidRPr="00593FBC">
        <w:rPr>
          <w:rFonts w:asciiTheme="minorHAnsi" w:hAnsiTheme="minorHAnsi" w:cstheme="minorHAnsi"/>
          <w:noProof/>
          <w:lang w:val="en-IN" w:eastAsia="en-IN"/>
        </w:rPr>
        <w:drawing>
          <wp:anchor distT="0" distB="0" distL="114300" distR="114300" simplePos="0" relativeHeight="252028416" behindDoc="1" locked="0" layoutInCell="1" allowOverlap="1" wp14:anchorId="4A2B46F5" wp14:editId="1534DA4C">
            <wp:simplePos x="0" y="0"/>
            <wp:positionH relativeFrom="column">
              <wp:posOffset>721995</wp:posOffset>
            </wp:positionH>
            <wp:positionV relativeFrom="paragraph">
              <wp:posOffset>83820</wp:posOffset>
            </wp:positionV>
            <wp:extent cx="2476500" cy="2181225"/>
            <wp:effectExtent l="76200" t="76200" r="133350" b="142875"/>
            <wp:wrapTight wrapText="bothSides">
              <wp:wrapPolygon edited="0">
                <wp:start x="-332" y="-755"/>
                <wp:lineTo x="-665" y="-566"/>
                <wp:lineTo x="-665" y="22072"/>
                <wp:lineTo x="-332" y="22826"/>
                <wp:lineTo x="22265" y="22826"/>
                <wp:lineTo x="22597" y="20751"/>
                <wp:lineTo x="22597" y="2452"/>
                <wp:lineTo x="22265" y="-377"/>
                <wp:lineTo x="22265" y="-755"/>
                <wp:lineTo x="-332" y="-755"/>
              </wp:wrapPolygon>
            </wp:wrapTight>
            <wp:docPr id="2052678763" name="Picture 20526787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2">
                      <a:extLst>
                        <a:ext uri="{28A0092B-C50C-407E-A947-70E740481C1C}">
                          <a14:useLocalDpi xmlns:a14="http://schemas.microsoft.com/office/drawing/2010/main" val="0"/>
                        </a:ext>
                      </a:extLst>
                    </a:blip>
                    <a:stretch>
                      <a:fillRect/>
                    </a:stretch>
                  </pic:blipFill>
                  <pic:spPr>
                    <a:xfrm>
                      <a:off x="0" y="0"/>
                      <a:ext cx="2476500" cy="218122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14:sizeRelH relativeFrom="margin">
              <wp14:pctWidth>0</wp14:pctWidth>
            </wp14:sizeRelH>
            <wp14:sizeRelV relativeFrom="margin">
              <wp14:pctHeight>0</wp14:pctHeight>
            </wp14:sizeRelV>
          </wp:anchor>
        </w:drawing>
      </w:r>
      <w:r w:rsidR="00F616FB" w:rsidRPr="00593FBC">
        <w:rPr>
          <w:rFonts w:asciiTheme="minorHAnsi" w:hAnsiTheme="minorHAnsi" w:cstheme="minorHAnsi"/>
          <w:noProof/>
          <w:lang w:val="en-IN" w:eastAsia="en-IN"/>
        </w:rPr>
        <w:drawing>
          <wp:anchor distT="0" distB="0" distL="114300" distR="114300" simplePos="0" relativeHeight="252008960" behindDoc="1" locked="0" layoutInCell="1" allowOverlap="1" wp14:anchorId="200DE708" wp14:editId="710865B4">
            <wp:simplePos x="0" y="0"/>
            <wp:positionH relativeFrom="margin">
              <wp:align>right</wp:align>
            </wp:positionH>
            <wp:positionV relativeFrom="paragraph">
              <wp:posOffset>64135</wp:posOffset>
            </wp:positionV>
            <wp:extent cx="2381250" cy="2171700"/>
            <wp:effectExtent l="76200" t="76200" r="133350" b="133350"/>
            <wp:wrapTight wrapText="bothSides">
              <wp:wrapPolygon edited="0">
                <wp:start x="-346" y="-758"/>
                <wp:lineTo x="-691" y="-568"/>
                <wp:lineTo x="-691" y="21979"/>
                <wp:lineTo x="-346" y="22737"/>
                <wp:lineTo x="22291" y="22737"/>
                <wp:lineTo x="22637" y="20842"/>
                <wp:lineTo x="22637" y="2463"/>
                <wp:lineTo x="22291" y="-379"/>
                <wp:lineTo x="22291" y="-758"/>
                <wp:lineTo x="-346" y="-758"/>
              </wp:wrapPolygon>
            </wp:wrapTight>
            <wp:docPr id="454107653" name="Picture 4541076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3">
                      <a:extLst>
                        <a:ext uri="{28A0092B-C50C-407E-A947-70E740481C1C}">
                          <a14:useLocalDpi xmlns:a14="http://schemas.microsoft.com/office/drawing/2010/main" val="0"/>
                        </a:ext>
                      </a:extLst>
                    </a:blip>
                    <a:stretch>
                      <a:fillRect/>
                    </a:stretch>
                  </pic:blipFill>
                  <pic:spPr>
                    <a:xfrm>
                      <a:off x="0" y="0"/>
                      <a:ext cx="2381250" cy="217170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14:sizeRelH relativeFrom="margin">
              <wp14:pctWidth>0</wp14:pctWidth>
            </wp14:sizeRelH>
            <wp14:sizeRelV relativeFrom="margin">
              <wp14:pctHeight>0</wp14:pctHeight>
            </wp14:sizeRelV>
          </wp:anchor>
        </w:drawing>
      </w:r>
      <w:r w:rsidR="00F616FB" w:rsidRPr="00593FBC">
        <w:rPr>
          <w:rFonts w:asciiTheme="minorHAnsi" w:hAnsiTheme="minorHAnsi" w:cstheme="minorHAnsi"/>
        </w:rPr>
        <w:t xml:space="preserve">  </w:t>
      </w:r>
    </w:p>
    <w:p w14:paraId="7C2ED274" w14:textId="77777777" w:rsidR="00F616FB" w:rsidRDefault="00F616FB" w:rsidP="00F616FB">
      <w:pPr>
        <w:pStyle w:val="ListParagraph"/>
        <w:spacing w:after="0" w:line="360" w:lineRule="auto"/>
        <w:ind w:left="567" w:hanging="283"/>
        <w:jc w:val="both"/>
        <w:rPr>
          <w:rFonts w:asciiTheme="minorHAnsi" w:eastAsia="Arial" w:hAnsiTheme="minorHAnsi" w:cstheme="minorHAnsi"/>
          <w:b/>
          <w:bCs/>
          <w:color w:val="000000" w:themeColor="text1"/>
          <w:szCs w:val="24"/>
        </w:rPr>
      </w:pPr>
      <w:r>
        <w:rPr>
          <w:rFonts w:asciiTheme="minorHAnsi" w:eastAsia="Arial" w:hAnsiTheme="minorHAnsi" w:cstheme="minorHAnsi"/>
          <w:b/>
          <w:bCs/>
          <w:color w:val="000000" w:themeColor="text1"/>
          <w:szCs w:val="24"/>
        </w:rPr>
        <w:t xml:space="preserve">      </w:t>
      </w:r>
    </w:p>
    <w:p w14:paraId="2B4C94F8" w14:textId="77777777" w:rsidR="00F616FB" w:rsidRDefault="00F616FB" w:rsidP="00F616FB">
      <w:pPr>
        <w:pStyle w:val="ListParagraph"/>
        <w:spacing w:after="0" w:line="360" w:lineRule="auto"/>
        <w:ind w:left="567" w:hanging="283"/>
        <w:jc w:val="both"/>
        <w:rPr>
          <w:rFonts w:asciiTheme="minorHAnsi" w:eastAsia="Arial" w:hAnsiTheme="minorHAnsi" w:cstheme="minorHAnsi"/>
          <w:b/>
          <w:bCs/>
          <w:color w:val="000000" w:themeColor="text1"/>
          <w:szCs w:val="24"/>
        </w:rPr>
      </w:pPr>
    </w:p>
    <w:p w14:paraId="33FBA611" w14:textId="77777777" w:rsidR="00F616FB" w:rsidRDefault="00F616FB" w:rsidP="00F616FB">
      <w:pPr>
        <w:pStyle w:val="ListParagraph"/>
        <w:spacing w:after="0" w:line="360" w:lineRule="auto"/>
        <w:ind w:left="567" w:hanging="283"/>
        <w:jc w:val="both"/>
        <w:rPr>
          <w:rFonts w:asciiTheme="minorHAnsi" w:eastAsia="Arial" w:hAnsiTheme="minorHAnsi" w:cstheme="minorHAnsi"/>
          <w:b/>
          <w:bCs/>
          <w:color w:val="000000" w:themeColor="text1"/>
          <w:szCs w:val="24"/>
        </w:rPr>
      </w:pPr>
    </w:p>
    <w:p w14:paraId="581EA7F3" w14:textId="77777777" w:rsidR="00F616FB" w:rsidRDefault="00F616FB" w:rsidP="00F616FB">
      <w:pPr>
        <w:pStyle w:val="ListParagraph"/>
        <w:spacing w:after="0" w:line="360" w:lineRule="auto"/>
        <w:ind w:left="567" w:hanging="283"/>
        <w:jc w:val="both"/>
        <w:rPr>
          <w:rFonts w:asciiTheme="minorHAnsi" w:eastAsia="Arial" w:hAnsiTheme="minorHAnsi" w:cstheme="minorHAnsi"/>
          <w:b/>
          <w:bCs/>
          <w:color w:val="000000" w:themeColor="text1"/>
          <w:szCs w:val="24"/>
        </w:rPr>
      </w:pPr>
    </w:p>
    <w:p w14:paraId="2B1E03F3" w14:textId="77777777" w:rsidR="00F616FB" w:rsidRDefault="00F616FB" w:rsidP="00F616FB">
      <w:pPr>
        <w:pStyle w:val="ListParagraph"/>
        <w:spacing w:after="0" w:line="360" w:lineRule="auto"/>
        <w:ind w:left="567" w:hanging="283"/>
        <w:jc w:val="both"/>
        <w:rPr>
          <w:rFonts w:asciiTheme="minorHAnsi" w:eastAsia="Arial" w:hAnsiTheme="minorHAnsi" w:cstheme="minorHAnsi"/>
          <w:b/>
          <w:bCs/>
          <w:color w:val="000000" w:themeColor="text1"/>
          <w:szCs w:val="24"/>
        </w:rPr>
      </w:pPr>
    </w:p>
    <w:p w14:paraId="398A3F9E" w14:textId="77777777" w:rsidR="00F616FB" w:rsidRDefault="00F616FB" w:rsidP="00F616FB">
      <w:pPr>
        <w:pStyle w:val="ListParagraph"/>
        <w:spacing w:after="0" w:line="360" w:lineRule="auto"/>
        <w:ind w:left="567" w:hanging="283"/>
        <w:jc w:val="both"/>
        <w:rPr>
          <w:rFonts w:asciiTheme="minorHAnsi" w:eastAsia="Arial" w:hAnsiTheme="minorHAnsi" w:cstheme="minorHAnsi"/>
          <w:b/>
          <w:bCs/>
          <w:color w:val="000000" w:themeColor="text1"/>
          <w:szCs w:val="24"/>
        </w:rPr>
      </w:pPr>
    </w:p>
    <w:p w14:paraId="07B76F09" w14:textId="77777777" w:rsidR="00F616FB" w:rsidRDefault="00F616FB" w:rsidP="00F616FB">
      <w:pPr>
        <w:pStyle w:val="ListParagraph"/>
        <w:spacing w:after="0" w:line="360" w:lineRule="auto"/>
        <w:ind w:left="567" w:hanging="283"/>
        <w:jc w:val="both"/>
        <w:rPr>
          <w:rFonts w:asciiTheme="minorHAnsi" w:eastAsia="Arial" w:hAnsiTheme="minorHAnsi" w:cstheme="minorHAnsi"/>
          <w:b/>
          <w:bCs/>
          <w:color w:val="000000" w:themeColor="text1"/>
          <w:szCs w:val="24"/>
        </w:rPr>
      </w:pPr>
    </w:p>
    <w:p w14:paraId="232B6F8F" w14:textId="77777777" w:rsidR="00F616FB" w:rsidRDefault="00F616FB" w:rsidP="00F616FB">
      <w:pPr>
        <w:pStyle w:val="ListParagraph"/>
        <w:spacing w:after="0" w:line="360" w:lineRule="auto"/>
        <w:ind w:left="567" w:hanging="283"/>
        <w:jc w:val="both"/>
        <w:rPr>
          <w:rFonts w:asciiTheme="minorHAnsi" w:eastAsia="Arial" w:hAnsiTheme="minorHAnsi" w:cstheme="minorHAnsi"/>
          <w:b/>
          <w:bCs/>
          <w:color w:val="000000" w:themeColor="text1"/>
          <w:szCs w:val="24"/>
        </w:rPr>
      </w:pPr>
    </w:p>
    <w:p w14:paraId="071D03C6" w14:textId="77777777" w:rsidR="00F616FB" w:rsidRPr="00CA68C8" w:rsidRDefault="00F616FB" w:rsidP="00CA68C8">
      <w:pPr>
        <w:spacing w:line="360" w:lineRule="auto"/>
        <w:jc w:val="both"/>
        <w:rPr>
          <w:rFonts w:asciiTheme="minorHAnsi" w:eastAsia="Arial" w:hAnsiTheme="minorHAnsi" w:cstheme="minorHAnsi"/>
          <w:b/>
          <w:bCs/>
          <w:color w:val="000000" w:themeColor="text1"/>
        </w:rPr>
      </w:pPr>
    </w:p>
    <w:p w14:paraId="7F266D1C" w14:textId="4E640ECC" w:rsidR="00F616FB" w:rsidRDefault="0082580C" w:rsidP="00F616FB">
      <w:pPr>
        <w:pStyle w:val="ListParagraph"/>
        <w:spacing w:after="0" w:line="360" w:lineRule="auto"/>
        <w:ind w:left="567"/>
        <w:jc w:val="both"/>
        <w:rPr>
          <w:rFonts w:asciiTheme="minorHAnsi" w:eastAsia="Arial" w:hAnsiTheme="minorHAnsi" w:cstheme="minorHAnsi"/>
          <w:b/>
          <w:bCs/>
          <w:color w:val="000000" w:themeColor="text1"/>
          <w:szCs w:val="24"/>
        </w:rPr>
      </w:pPr>
      <w:r>
        <w:rPr>
          <w:rFonts w:asciiTheme="minorHAnsi" w:eastAsia="Arial" w:hAnsiTheme="minorHAnsi" w:cstheme="minorHAnsi"/>
          <w:b/>
          <w:bCs/>
          <w:color w:val="000000" w:themeColor="text1"/>
          <w:sz w:val="24"/>
          <w:szCs w:val="24"/>
        </w:rPr>
        <w:t xml:space="preserve">6.1.5 </w:t>
      </w:r>
      <w:r w:rsidR="00F616FB" w:rsidRPr="00FB7994">
        <w:rPr>
          <w:rFonts w:asciiTheme="minorHAnsi" w:eastAsia="Arial" w:hAnsiTheme="minorHAnsi" w:cstheme="minorHAnsi"/>
          <w:b/>
          <w:bCs/>
          <w:color w:val="000000" w:themeColor="text1"/>
          <w:sz w:val="24"/>
          <w:szCs w:val="24"/>
        </w:rPr>
        <w:t>Universal Telescopic Rod &amp; Detachable Discharge Clamp</w:t>
      </w:r>
    </w:p>
    <w:p w14:paraId="0034D57E" w14:textId="58E79EEE" w:rsidR="00F616FB" w:rsidRPr="00593FBC" w:rsidRDefault="00F616FB" w:rsidP="00F616FB">
      <w:pPr>
        <w:pStyle w:val="ListParagraph"/>
        <w:spacing w:after="0" w:line="360" w:lineRule="auto"/>
        <w:ind w:left="567"/>
        <w:jc w:val="both"/>
        <w:rPr>
          <w:rFonts w:asciiTheme="minorHAnsi" w:eastAsia="Arial" w:hAnsiTheme="minorHAnsi" w:cstheme="minorHAnsi"/>
          <w:color w:val="000000" w:themeColor="text1"/>
          <w:sz w:val="24"/>
          <w:szCs w:val="24"/>
        </w:rPr>
      </w:pPr>
      <w:r>
        <w:rPr>
          <w:rFonts w:asciiTheme="minorHAnsi" w:eastAsia="Arial" w:hAnsiTheme="minorHAnsi" w:cstheme="minorHAnsi"/>
          <w:color w:val="000000" w:themeColor="text1"/>
          <w:sz w:val="20"/>
        </w:rPr>
        <w:t xml:space="preserve"> </w:t>
      </w:r>
      <w:r w:rsidRPr="00DE1F62">
        <w:rPr>
          <w:rFonts w:asciiTheme="minorHAnsi" w:eastAsia="Arial" w:hAnsiTheme="minorHAnsi" w:cstheme="minorHAnsi"/>
          <w:color w:val="000000" w:themeColor="text1"/>
          <w:szCs w:val="24"/>
        </w:rPr>
        <w:t xml:space="preserve">In “as-is” methodology, field staff use to carry 7 nos. of rods (6 discharge rod+1 neon tester rod) for creation of safety zone &amp; making both side earthing. Team face difficulty in carrying 7 Nos. long discharge rods &amp; neon tester. It is also very unsafe to carry on bike. Instead of these, we developed a special type of self-locking spring-controlled clamp which can be connected/disconnected in overhead bare conductor through “push &amp; pull” mechanism with the usage of a single operating rod from the ground level. Hence, team need to carry 6 nos. of these clamps &amp; a single operation rod </w:t>
      </w:r>
      <w:r w:rsidR="008C0C54">
        <w:rPr>
          <w:rFonts w:asciiTheme="minorHAnsi" w:eastAsia="Arial" w:hAnsiTheme="minorHAnsi" w:cstheme="minorHAnsi"/>
          <w:color w:val="000000" w:themeColor="text1"/>
          <w:szCs w:val="24"/>
        </w:rPr>
        <w:t>for creation of safety zone. 3</w:t>
      </w:r>
      <w:r w:rsidRPr="00DE1F62">
        <w:rPr>
          <w:rFonts w:asciiTheme="minorHAnsi" w:eastAsia="Arial" w:hAnsiTheme="minorHAnsi" w:cstheme="minorHAnsi"/>
          <w:color w:val="000000" w:themeColor="text1"/>
          <w:szCs w:val="24"/>
        </w:rPr>
        <w:t>500</w:t>
      </w:r>
      <w:r>
        <w:rPr>
          <w:rFonts w:asciiTheme="minorHAnsi" w:eastAsia="Arial" w:hAnsiTheme="minorHAnsi" w:cstheme="minorHAnsi"/>
          <w:color w:val="000000" w:themeColor="text1"/>
          <w:szCs w:val="24"/>
        </w:rPr>
        <w:t xml:space="preserve"> </w:t>
      </w:r>
      <w:r w:rsidRPr="00DE1F62">
        <w:rPr>
          <w:rFonts w:asciiTheme="minorHAnsi" w:eastAsia="Arial" w:hAnsiTheme="minorHAnsi" w:cstheme="minorHAnsi"/>
          <w:color w:val="000000" w:themeColor="text1"/>
          <w:szCs w:val="24"/>
        </w:rPr>
        <w:t>clamps already procured</w:t>
      </w:r>
      <w:r w:rsidRPr="00593FBC">
        <w:rPr>
          <w:rFonts w:asciiTheme="minorHAnsi" w:eastAsia="Arial" w:hAnsiTheme="minorHAnsi" w:cstheme="minorHAnsi"/>
          <w:color w:val="000000" w:themeColor="text1"/>
          <w:sz w:val="24"/>
          <w:szCs w:val="24"/>
        </w:rPr>
        <w:t>.</w:t>
      </w:r>
    </w:p>
    <w:p w14:paraId="05EF023E" w14:textId="77777777" w:rsidR="00F616FB" w:rsidRPr="00593FBC" w:rsidRDefault="00F616FB" w:rsidP="00F616FB">
      <w:pPr>
        <w:spacing w:line="360" w:lineRule="auto"/>
        <w:ind w:firstLine="284"/>
        <w:rPr>
          <w:rFonts w:asciiTheme="minorHAnsi" w:hAnsiTheme="minorHAnsi" w:cstheme="minorHAnsi"/>
        </w:rPr>
      </w:pPr>
      <w:r w:rsidRPr="00593FBC">
        <w:rPr>
          <w:rFonts w:asciiTheme="minorHAnsi" w:hAnsiTheme="minorHAnsi" w:cstheme="minorHAnsi"/>
          <w:noProof/>
          <w:lang w:val="en-IN" w:eastAsia="en-IN"/>
        </w:rPr>
        <w:drawing>
          <wp:anchor distT="0" distB="0" distL="114300" distR="114300" simplePos="0" relativeHeight="252009984" behindDoc="1" locked="0" layoutInCell="1" allowOverlap="1" wp14:anchorId="421F2028" wp14:editId="6F941481">
            <wp:simplePos x="0" y="0"/>
            <wp:positionH relativeFrom="margin">
              <wp:posOffset>4271010</wp:posOffset>
            </wp:positionH>
            <wp:positionV relativeFrom="paragraph">
              <wp:posOffset>349885</wp:posOffset>
            </wp:positionV>
            <wp:extent cx="1571625" cy="2038350"/>
            <wp:effectExtent l="76200" t="76200" r="142875" b="133350"/>
            <wp:wrapTight wrapText="bothSides">
              <wp:wrapPolygon edited="0">
                <wp:start x="-524" y="-807"/>
                <wp:lineTo x="-1047" y="-606"/>
                <wp:lineTo x="-1047" y="22004"/>
                <wp:lineTo x="-524" y="22811"/>
                <wp:lineTo x="22778" y="22811"/>
                <wp:lineTo x="23302" y="22004"/>
                <wp:lineTo x="23302" y="2624"/>
                <wp:lineTo x="22778" y="-404"/>
                <wp:lineTo x="22778" y="-807"/>
                <wp:lineTo x="-524" y="-807"/>
              </wp:wrapPolygon>
            </wp:wrapTight>
            <wp:docPr id="213450162" name="Picture 213450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4">
                      <a:extLst>
                        <a:ext uri="{28A0092B-C50C-407E-A947-70E740481C1C}">
                          <a14:useLocalDpi xmlns:a14="http://schemas.microsoft.com/office/drawing/2010/main" val="0"/>
                        </a:ext>
                      </a:extLst>
                    </a:blip>
                    <a:stretch>
                      <a:fillRect/>
                    </a:stretch>
                  </pic:blipFill>
                  <pic:spPr>
                    <a:xfrm>
                      <a:off x="0" y="0"/>
                      <a:ext cx="1571625" cy="203835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14:sizeRelH relativeFrom="margin">
              <wp14:pctWidth>0</wp14:pctWidth>
            </wp14:sizeRelH>
            <wp14:sizeRelV relativeFrom="margin">
              <wp14:pctHeight>0</wp14:pctHeight>
            </wp14:sizeRelV>
          </wp:anchor>
        </w:drawing>
      </w:r>
      <w:r w:rsidRPr="00593FBC">
        <w:rPr>
          <w:rFonts w:asciiTheme="minorHAnsi" w:hAnsiTheme="minorHAnsi" w:cstheme="minorHAnsi"/>
          <w:noProof/>
          <w:lang w:val="en-IN" w:eastAsia="en-IN"/>
        </w:rPr>
        <w:drawing>
          <wp:anchor distT="0" distB="0" distL="114300" distR="114300" simplePos="0" relativeHeight="252012032" behindDoc="1" locked="0" layoutInCell="1" allowOverlap="1" wp14:anchorId="0081384B" wp14:editId="785949C5">
            <wp:simplePos x="0" y="0"/>
            <wp:positionH relativeFrom="column">
              <wp:posOffset>2352675</wp:posOffset>
            </wp:positionH>
            <wp:positionV relativeFrom="paragraph">
              <wp:posOffset>338455</wp:posOffset>
            </wp:positionV>
            <wp:extent cx="1695450" cy="2105025"/>
            <wp:effectExtent l="76200" t="76200" r="133350" b="142875"/>
            <wp:wrapTight wrapText="bothSides">
              <wp:wrapPolygon edited="0">
                <wp:start x="-485" y="-782"/>
                <wp:lineTo x="-971" y="-586"/>
                <wp:lineTo x="-971" y="22089"/>
                <wp:lineTo x="-485" y="22871"/>
                <wp:lineTo x="22571" y="22871"/>
                <wp:lineTo x="23056" y="21502"/>
                <wp:lineTo x="23056" y="2541"/>
                <wp:lineTo x="22571" y="-391"/>
                <wp:lineTo x="22571" y="-782"/>
                <wp:lineTo x="-485" y="-782"/>
              </wp:wrapPolygon>
            </wp:wrapTight>
            <wp:docPr id="1889096675" name="Picture 1889096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5">
                      <a:extLst>
                        <a:ext uri="{28A0092B-C50C-407E-A947-70E740481C1C}">
                          <a14:useLocalDpi xmlns:a14="http://schemas.microsoft.com/office/drawing/2010/main" val="0"/>
                        </a:ext>
                      </a:extLst>
                    </a:blip>
                    <a:stretch>
                      <a:fillRect/>
                    </a:stretch>
                  </pic:blipFill>
                  <pic:spPr>
                    <a:xfrm>
                      <a:off x="0" y="0"/>
                      <a:ext cx="1695450" cy="210502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14:sizeRelH relativeFrom="margin">
              <wp14:pctWidth>0</wp14:pctWidth>
            </wp14:sizeRelH>
            <wp14:sizeRelV relativeFrom="margin">
              <wp14:pctHeight>0</wp14:pctHeight>
            </wp14:sizeRelV>
          </wp:anchor>
        </w:drawing>
      </w:r>
      <w:r w:rsidRPr="00593FBC">
        <w:rPr>
          <w:rFonts w:asciiTheme="minorHAnsi" w:hAnsiTheme="minorHAnsi" w:cstheme="minorHAnsi"/>
          <w:noProof/>
          <w:lang w:val="en-IN" w:eastAsia="en-IN"/>
        </w:rPr>
        <w:drawing>
          <wp:anchor distT="0" distB="0" distL="114300" distR="114300" simplePos="0" relativeHeight="252011008" behindDoc="1" locked="0" layoutInCell="1" allowOverlap="1" wp14:anchorId="146FF113" wp14:editId="25801123">
            <wp:simplePos x="0" y="0"/>
            <wp:positionH relativeFrom="margin">
              <wp:posOffset>409575</wp:posOffset>
            </wp:positionH>
            <wp:positionV relativeFrom="paragraph">
              <wp:posOffset>328930</wp:posOffset>
            </wp:positionV>
            <wp:extent cx="1609725" cy="2085975"/>
            <wp:effectExtent l="76200" t="76200" r="142875" b="142875"/>
            <wp:wrapTight wrapText="bothSides">
              <wp:wrapPolygon edited="0">
                <wp:start x="-511" y="-789"/>
                <wp:lineTo x="-1022" y="-592"/>
                <wp:lineTo x="-1022" y="22093"/>
                <wp:lineTo x="-511" y="22882"/>
                <wp:lineTo x="22750" y="22882"/>
                <wp:lineTo x="23262" y="21699"/>
                <wp:lineTo x="23262" y="2564"/>
                <wp:lineTo x="22750" y="-395"/>
                <wp:lineTo x="22750" y="-789"/>
                <wp:lineTo x="-511" y="-789"/>
              </wp:wrapPolygon>
            </wp:wrapTight>
            <wp:docPr id="1931185978" name="Picture 19311859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6">
                      <a:extLst>
                        <a:ext uri="{28A0092B-C50C-407E-A947-70E740481C1C}">
                          <a14:useLocalDpi xmlns:a14="http://schemas.microsoft.com/office/drawing/2010/main" val="0"/>
                        </a:ext>
                      </a:extLst>
                    </a:blip>
                    <a:stretch>
                      <a:fillRect/>
                    </a:stretch>
                  </pic:blipFill>
                  <pic:spPr>
                    <a:xfrm>
                      <a:off x="0" y="0"/>
                      <a:ext cx="1609725" cy="208597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14:sizeRelH relativeFrom="margin">
              <wp14:pctWidth>0</wp14:pctWidth>
            </wp14:sizeRelH>
            <wp14:sizeRelV relativeFrom="margin">
              <wp14:pctHeight>0</wp14:pctHeight>
            </wp14:sizeRelV>
          </wp:anchor>
        </w:drawing>
      </w:r>
    </w:p>
    <w:p w14:paraId="1E9C1F23" w14:textId="419C3C06" w:rsidR="006B144F" w:rsidRPr="00593FBC" w:rsidRDefault="00F616FB" w:rsidP="00CA68C8">
      <w:pPr>
        <w:spacing w:line="360" w:lineRule="auto"/>
        <w:ind w:firstLine="284"/>
        <w:rPr>
          <w:rFonts w:asciiTheme="minorHAnsi" w:hAnsiTheme="minorHAnsi" w:cstheme="minorHAnsi"/>
        </w:rPr>
      </w:pPr>
      <w:r w:rsidRPr="00593FBC">
        <w:rPr>
          <w:rFonts w:asciiTheme="minorHAnsi" w:hAnsiTheme="minorHAnsi" w:cstheme="minorHAnsi"/>
        </w:rPr>
        <w:lastRenderedPageBreak/>
        <w:t xml:space="preserve">  </w:t>
      </w:r>
    </w:p>
    <w:p w14:paraId="28B36582" w14:textId="79463453" w:rsidR="00F616FB" w:rsidRDefault="0082580C" w:rsidP="00F616FB">
      <w:pPr>
        <w:spacing w:line="360" w:lineRule="auto"/>
        <w:ind w:left="567"/>
        <w:jc w:val="both"/>
        <w:rPr>
          <w:rFonts w:asciiTheme="minorHAnsi" w:eastAsia="Arial" w:hAnsiTheme="minorHAnsi" w:cstheme="minorHAnsi"/>
          <w:b/>
          <w:bCs/>
          <w:color w:val="000000" w:themeColor="text1"/>
        </w:rPr>
      </w:pPr>
      <w:r>
        <w:rPr>
          <w:rFonts w:asciiTheme="minorHAnsi" w:eastAsia="Arial" w:hAnsiTheme="minorHAnsi" w:cstheme="minorHAnsi"/>
          <w:b/>
          <w:bCs/>
          <w:color w:val="000000" w:themeColor="text1"/>
        </w:rPr>
        <w:t>6.1.6</w:t>
      </w:r>
      <w:r w:rsidR="00F616FB" w:rsidRPr="00D16ECD">
        <w:rPr>
          <w:rFonts w:asciiTheme="minorHAnsi" w:eastAsia="Arial" w:hAnsiTheme="minorHAnsi" w:cstheme="minorHAnsi"/>
          <w:b/>
          <w:bCs/>
          <w:color w:val="000000" w:themeColor="text1"/>
        </w:rPr>
        <w:t xml:space="preserve"> Helmet mounted live streaming camera</w:t>
      </w:r>
    </w:p>
    <w:p w14:paraId="0549EEC4" w14:textId="0B704375" w:rsidR="00F616FB" w:rsidRDefault="00F616FB" w:rsidP="00F616FB">
      <w:pPr>
        <w:spacing w:line="360" w:lineRule="auto"/>
        <w:ind w:left="567"/>
        <w:jc w:val="both"/>
        <w:rPr>
          <w:rFonts w:asciiTheme="minorHAnsi" w:eastAsia="Arial" w:hAnsiTheme="minorHAnsi" w:cstheme="minorHAnsi"/>
          <w:color w:val="000000" w:themeColor="text1"/>
          <w:sz w:val="22"/>
        </w:rPr>
      </w:pPr>
      <w:r w:rsidRPr="00DE1F62">
        <w:rPr>
          <w:rFonts w:asciiTheme="minorHAnsi" w:eastAsia="Arial" w:hAnsiTheme="minorHAnsi" w:cstheme="minorHAnsi"/>
          <w:color w:val="000000" w:themeColor="text1"/>
          <w:sz w:val="22"/>
        </w:rPr>
        <w:t>This innovative safety gear integrates a camera with the traditional helmet, providing real-time views of the work area. In our distribution network, this translates to improved safety for linemen. Supervisors can remotely assess situations, ensure proper procedures are followed, and identify potential dangers before they occur. Additionally, recorded footage can be used for training and incident review, further enhancing overall safety practices. 10 Nos. already</w:t>
      </w:r>
      <w:r>
        <w:rPr>
          <w:rFonts w:asciiTheme="minorHAnsi" w:eastAsia="Arial" w:hAnsiTheme="minorHAnsi" w:cstheme="minorHAnsi"/>
          <w:color w:val="000000" w:themeColor="text1"/>
          <w:sz w:val="22"/>
        </w:rPr>
        <w:t xml:space="preserve"> </w:t>
      </w:r>
      <w:r w:rsidRPr="00DE1F62">
        <w:rPr>
          <w:rFonts w:asciiTheme="minorHAnsi" w:eastAsia="Arial" w:hAnsiTheme="minorHAnsi" w:cstheme="minorHAnsi"/>
          <w:color w:val="000000" w:themeColor="text1"/>
          <w:sz w:val="22"/>
        </w:rPr>
        <w:t>procured.</w:t>
      </w:r>
    </w:p>
    <w:p w14:paraId="5875D381" w14:textId="4B0368E0" w:rsidR="006B144F" w:rsidRDefault="00CA68C8" w:rsidP="00F616FB">
      <w:pPr>
        <w:spacing w:line="360" w:lineRule="auto"/>
        <w:ind w:left="567"/>
        <w:jc w:val="both"/>
        <w:rPr>
          <w:rFonts w:asciiTheme="minorHAnsi" w:eastAsia="Arial" w:hAnsiTheme="minorHAnsi" w:cstheme="minorHAnsi"/>
          <w:color w:val="000000" w:themeColor="text1"/>
          <w:sz w:val="22"/>
        </w:rPr>
      </w:pPr>
      <w:r w:rsidRPr="00593FBC">
        <w:rPr>
          <w:rFonts w:asciiTheme="minorHAnsi" w:hAnsiTheme="minorHAnsi" w:cstheme="minorHAnsi"/>
          <w:noProof/>
          <w:lang w:val="en-IN" w:eastAsia="en-IN"/>
        </w:rPr>
        <w:drawing>
          <wp:anchor distT="0" distB="0" distL="114300" distR="114300" simplePos="0" relativeHeight="252013056" behindDoc="1" locked="0" layoutInCell="1" allowOverlap="1" wp14:anchorId="3D1E3E23" wp14:editId="5CDB3FBA">
            <wp:simplePos x="0" y="0"/>
            <wp:positionH relativeFrom="margin">
              <wp:align>right</wp:align>
            </wp:positionH>
            <wp:positionV relativeFrom="paragraph">
              <wp:posOffset>245110</wp:posOffset>
            </wp:positionV>
            <wp:extent cx="2362200" cy="1943100"/>
            <wp:effectExtent l="76200" t="76200" r="133350" b="133350"/>
            <wp:wrapTight wrapText="bothSides">
              <wp:wrapPolygon edited="0">
                <wp:start x="-348" y="-847"/>
                <wp:lineTo x="-697" y="-635"/>
                <wp:lineTo x="-697" y="22024"/>
                <wp:lineTo x="-348" y="22871"/>
                <wp:lineTo x="22297" y="22871"/>
                <wp:lineTo x="22645" y="19906"/>
                <wp:lineTo x="22645" y="2753"/>
                <wp:lineTo x="22297" y="-424"/>
                <wp:lineTo x="22297" y="-847"/>
                <wp:lineTo x="-348" y="-847"/>
              </wp:wrapPolygon>
            </wp:wrapTight>
            <wp:docPr id="381610181" name="Picture 381610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7">
                      <a:extLst>
                        <a:ext uri="{28A0092B-C50C-407E-A947-70E740481C1C}">
                          <a14:useLocalDpi xmlns:a14="http://schemas.microsoft.com/office/drawing/2010/main" val="0"/>
                        </a:ext>
                      </a:extLst>
                    </a:blip>
                    <a:stretch>
                      <a:fillRect/>
                    </a:stretch>
                  </pic:blipFill>
                  <pic:spPr>
                    <a:xfrm>
                      <a:off x="0" y="0"/>
                      <a:ext cx="2362200" cy="194310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14:sizeRelH relativeFrom="margin">
              <wp14:pctWidth>0</wp14:pctWidth>
            </wp14:sizeRelH>
            <wp14:sizeRelV relativeFrom="margin">
              <wp14:pctHeight>0</wp14:pctHeight>
            </wp14:sizeRelV>
          </wp:anchor>
        </w:drawing>
      </w:r>
      <w:r w:rsidR="006B144F" w:rsidRPr="00593FBC">
        <w:rPr>
          <w:rFonts w:asciiTheme="minorHAnsi" w:hAnsiTheme="minorHAnsi" w:cstheme="minorHAnsi"/>
          <w:noProof/>
          <w:lang w:val="en-IN" w:eastAsia="en-IN"/>
        </w:rPr>
        <w:drawing>
          <wp:anchor distT="0" distB="0" distL="114300" distR="114300" simplePos="0" relativeHeight="252023296" behindDoc="1" locked="0" layoutInCell="1" allowOverlap="1" wp14:anchorId="31AA0C31" wp14:editId="6DF5782E">
            <wp:simplePos x="0" y="0"/>
            <wp:positionH relativeFrom="column">
              <wp:posOffset>470535</wp:posOffset>
            </wp:positionH>
            <wp:positionV relativeFrom="paragraph">
              <wp:posOffset>307975</wp:posOffset>
            </wp:positionV>
            <wp:extent cx="2457450" cy="1952625"/>
            <wp:effectExtent l="76200" t="76200" r="133350" b="142875"/>
            <wp:wrapTight wrapText="bothSides">
              <wp:wrapPolygon edited="0">
                <wp:start x="-335" y="-843"/>
                <wp:lineTo x="-670" y="-632"/>
                <wp:lineTo x="-670" y="22127"/>
                <wp:lineTo x="-335" y="22970"/>
                <wp:lineTo x="22270" y="22970"/>
                <wp:lineTo x="22605" y="19809"/>
                <wp:lineTo x="22605" y="2740"/>
                <wp:lineTo x="22270" y="-421"/>
                <wp:lineTo x="22270" y="-843"/>
                <wp:lineTo x="-335" y="-843"/>
              </wp:wrapPolygon>
            </wp:wrapTight>
            <wp:docPr id="974311638" name="Picture 9743116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8">
                      <a:extLst>
                        <a:ext uri="{28A0092B-C50C-407E-A947-70E740481C1C}">
                          <a14:useLocalDpi xmlns:a14="http://schemas.microsoft.com/office/drawing/2010/main" val="0"/>
                        </a:ext>
                      </a:extLst>
                    </a:blip>
                    <a:stretch>
                      <a:fillRect/>
                    </a:stretch>
                  </pic:blipFill>
                  <pic:spPr>
                    <a:xfrm>
                      <a:off x="0" y="0"/>
                      <a:ext cx="2457450" cy="195262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14:sizeRelH relativeFrom="margin">
              <wp14:pctWidth>0</wp14:pctWidth>
            </wp14:sizeRelH>
            <wp14:sizeRelV relativeFrom="margin">
              <wp14:pctHeight>0</wp14:pctHeight>
            </wp14:sizeRelV>
          </wp:anchor>
        </w:drawing>
      </w:r>
    </w:p>
    <w:p w14:paraId="36D443C1" w14:textId="0A546801" w:rsidR="006B144F" w:rsidRDefault="006B144F" w:rsidP="00F616FB">
      <w:pPr>
        <w:spacing w:line="360" w:lineRule="auto"/>
        <w:ind w:left="426"/>
        <w:jc w:val="both"/>
        <w:rPr>
          <w:rFonts w:asciiTheme="minorHAnsi" w:eastAsia="Arial" w:hAnsiTheme="minorHAnsi" w:cstheme="minorHAnsi"/>
          <w:b/>
          <w:bCs/>
          <w:color w:val="000000" w:themeColor="text1"/>
        </w:rPr>
      </w:pPr>
    </w:p>
    <w:p w14:paraId="303EF25F" w14:textId="77777777" w:rsidR="006B144F" w:rsidRDefault="006B144F" w:rsidP="00F616FB">
      <w:pPr>
        <w:spacing w:line="360" w:lineRule="auto"/>
        <w:ind w:left="426"/>
        <w:jc w:val="both"/>
        <w:rPr>
          <w:rFonts w:asciiTheme="minorHAnsi" w:eastAsia="Arial" w:hAnsiTheme="minorHAnsi" w:cstheme="minorHAnsi"/>
          <w:b/>
          <w:bCs/>
          <w:color w:val="000000" w:themeColor="text1"/>
        </w:rPr>
      </w:pPr>
    </w:p>
    <w:p w14:paraId="5D42BE22" w14:textId="77777777" w:rsidR="0082580C" w:rsidRDefault="0082580C" w:rsidP="0082580C">
      <w:pPr>
        <w:spacing w:line="360" w:lineRule="auto"/>
        <w:jc w:val="both"/>
        <w:rPr>
          <w:rFonts w:asciiTheme="minorHAnsi" w:eastAsia="Arial" w:hAnsiTheme="minorHAnsi" w:cstheme="minorHAnsi"/>
          <w:b/>
          <w:bCs/>
          <w:color w:val="000000" w:themeColor="text1"/>
        </w:rPr>
      </w:pPr>
    </w:p>
    <w:p w14:paraId="5D51B48A" w14:textId="77777777" w:rsidR="0082580C" w:rsidRDefault="0082580C" w:rsidP="0082580C">
      <w:pPr>
        <w:spacing w:line="360" w:lineRule="auto"/>
        <w:jc w:val="both"/>
        <w:rPr>
          <w:rFonts w:asciiTheme="minorHAnsi" w:eastAsia="Arial" w:hAnsiTheme="minorHAnsi" w:cstheme="minorHAnsi"/>
          <w:b/>
          <w:bCs/>
          <w:color w:val="000000" w:themeColor="text1"/>
        </w:rPr>
      </w:pPr>
    </w:p>
    <w:p w14:paraId="54DEB0D5" w14:textId="77777777" w:rsidR="0082580C" w:rsidRDefault="0082580C" w:rsidP="0082580C">
      <w:pPr>
        <w:spacing w:line="360" w:lineRule="auto"/>
        <w:jc w:val="both"/>
        <w:rPr>
          <w:rFonts w:asciiTheme="minorHAnsi" w:eastAsia="Arial" w:hAnsiTheme="minorHAnsi" w:cstheme="minorHAnsi"/>
          <w:b/>
          <w:bCs/>
          <w:color w:val="000000" w:themeColor="text1"/>
        </w:rPr>
      </w:pPr>
    </w:p>
    <w:p w14:paraId="7CF9D902" w14:textId="77777777" w:rsidR="0082580C" w:rsidRDefault="0082580C" w:rsidP="0082580C">
      <w:pPr>
        <w:spacing w:line="360" w:lineRule="auto"/>
        <w:jc w:val="both"/>
        <w:rPr>
          <w:rFonts w:asciiTheme="minorHAnsi" w:eastAsia="Arial" w:hAnsiTheme="minorHAnsi" w:cstheme="minorHAnsi"/>
          <w:b/>
          <w:bCs/>
          <w:color w:val="000000" w:themeColor="text1"/>
        </w:rPr>
      </w:pPr>
    </w:p>
    <w:p w14:paraId="6514F48D" w14:textId="77777777" w:rsidR="0082580C" w:rsidRDefault="0082580C" w:rsidP="0082580C">
      <w:pPr>
        <w:spacing w:line="360" w:lineRule="auto"/>
        <w:jc w:val="both"/>
        <w:rPr>
          <w:rFonts w:asciiTheme="minorHAnsi" w:eastAsia="Arial" w:hAnsiTheme="minorHAnsi" w:cstheme="minorHAnsi"/>
          <w:b/>
          <w:bCs/>
          <w:color w:val="000000" w:themeColor="text1"/>
        </w:rPr>
      </w:pPr>
    </w:p>
    <w:p w14:paraId="64FE8670" w14:textId="77777777" w:rsidR="0082580C" w:rsidRDefault="0082580C" w:rsidP="0082580C">
      <w:pPr>
        <w:spacing w:line="360" w:lineRule="auto"/>
        <w:jc w:val="both"/>
        <w:rPr>
          <w:rFonts w:asciiTheme="minorHAnsi" w:eastAsia="Arial" w:hAnsiTheme="minorHAnsi" w:cstheme="minorHAnsi"/>
          <w:b/>
          <w:bCs/>
          <w:color w:val="000000" w:themeColor="text1"/>
        </w:rPr>
      </w:pPr>
    </w:p>
    <w:p w14:paraId="00599412" w14:textId="49CE3D12" w:rsidR="00F616FB" w:rsidRDefault="0082580C" w:rsidP="0082580C">
      <w:pPr>
        <w:spacing w:line="360" w:lineRule="auto"/>
        <w:jc w:val="both"/>
        <w:rPr>
          <w:rFonts w:asciiTheme="minorHAnsi" w:eastAsia="Arial" w:hAnsiTheme="minorHAnsi" w:cstheme="minorHAnsi"/>
          <w:b/>
          <w:bCs/>
          <w:color w:val="000000" w:themeColor="text1"/>
        </w:rPr>
      </w:pPr>
      <w:r>
        <w:rPr>
          <w:rFonts w:asciiTheme="minorHAnsi" w:eastAsia="Arial" w:hAnsiTheme="minorHAnsi" w:cstheme="minorHAnsi"/>
          <w:b/>
          <w:bCs/>
          <w:color w:val="000000" w:themeColor="text1"/>
        </w:rPr>
        <w:t xml:space="preserve">        6.1.7</w:t>
      </w:r>
      <w:r w:rsidR="00F616FB" w:rsidRPr="00D16ECD">
        <w:rPr>
          <w:rFonts w:asciiTheme="minorHAnsi" w:eastAsia="Arial" w:hAnsiTheme="minorHAnsi" w:cstheme="minorHAnsi"/>
          <w:b/>
          <w:bCs/>
          <w:color w:val="000000" w:themeColor="text1"/>
        </w:rPr>
        <w:t xml:space="preserve"> Portable Pole Climber</w:t>
      </w:r>
    </w:p>
    <w:p w14:paraId="0792393B" w14:textId="7A104593" w:rsidR="00F616FB" w:rsidRPr="00A80901" w:rsidRDefault="00F616FB" w:rsidP="00F616FB">
      <w:pPr>
        <w:spacing w:line="360" w:lineRule="auto"/>
        <w:ind w:left="426"/>
        <w:jc w:val="both"/>
        <w:rPr>
          <w:rFonts w:asciiTheme="minorHAnsi" w:eastAsia="Arial" w:hAnsiTheme="minorHAnsi" w:cstheme="minorHAnsi"/>
          <w:color w:val="000000" w:themeColor="text1"/>
          <w:sz w:val="22"/>
        </w:rPr>
      </w:pPr>
      <w:r w:rsidRPr="00593FBC">
        <w:rPr>
          <w:rFonts w:asciiTheme="minorHAnsi" w:hAnsiTheme="minorHAnsi" w:cstheme="minorHAnsi"/>
          <w:noProof/>
          <w:lang w:val="en-IN" w:eastAsia="en-IN"/>
        </w:rPr>
        <w:drawing>
          <wp:anchor distT="0" distB="0" distL="114300" distR="114300" simplePos="0" relativeHeight="252014080" behindDoc="1" locked="0" layoutInCell="1" allowOverlap="1" wp14:anchorId="6C93F018" wp14:editId="026EC1BB">
            <wp:simplePos x="0" y="0"/>
            <wp:positionH relativeFrom="column">
              <wp:posOffset>3429000</wp:posOffset>
            </wp:positionH>
            <wp:positionV relativeFrom="paragraph">
              <wp:posOffset>930910</wp:posOffset>
            </wp:positionV>
            <wp:extent cx="2396490" cy="2343150"/>
            <wp:effectExtent l="76200" t="76200" r="137160" b="133350"/>
            <wp:wrapTight wrapText="bothSides">
              <wp:wrapPolygon edited="0">
                <wp:start x="-343" y="-702"/>
                <wp:lineTo x="-687" y="-527"/>
                <wp:lineTo x="-687" y="21951"/>
                <wp:lineTo x="-343" y="22654"/>
                <wp:lineTo x="22321" y="22654"/>
                <wp:lineTo x="22665" y="21951"/>
                <wp:lineTo x="22665" y="2283"/>
                <wp:lineTo x="22321" y="-351"/>
                <wp:lineTo x="22321" y="-702"/>
                <wp:lineTo x="-343" y="-702"/>
              </wp:wrapPolygon>
            </wp:wrapTight>
            <wp:docPr id="1720779649" name="Picture 17207796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9">
                      <a:extLst>
                        <a:ext uri="{28A0092B-C50C-407E-A947-70E740481C1C}">
                          <a14:useLocalDpi xmlns:a14="http://schemas.microsoft.com/office/drawing/2010/main" val="0"/>
                        </a:ext>
                      </a:extLst>
                    </a:blip>
                    <a:stretch>
                      <a:fillRect/>
                    </a:stretch>
                  </pic:blipFill>
                  <pic:spPr>
                    <a:xfrm>
                      <a:off x="0" y="0"/>
                      <a:ext cx="2396490" cy="234315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14:sizeRelH relativeFrom="margin">
              <wp14:pctWidth>0</wp14:pctWidth>
            </wp14:sizeRelH>
            <wp14:sizeRelV relativeFrom="margin">
              <wp14:pctHeight>0</wp14:pctHeight>
            </wp14:sizeRelV>
          </wp:anchor>
        </w:drawing>
      </w:r>
      <w:r w:rsidRPr="00593FBC">
        <w:rPr>
          <w:rFonts w:asciiTheme="minorHAnsi" w:hAnsiTheme="minorHAnsi" w:cstheme="minorHAnsi"/>
          <w:noProof/>
          <w:lang w:val="en-IN" w:eastAsia="en-IN"/>
        </w:rPr>
        <w:drawing>
          <wp:anchor distT="0" distB="0" distL="114300" distR="114300" simplePos="0" relativeHeight="252024320" behindDoc="1" locked="0" layoutInCell="1" allowOverlap="1" wp14:anchorId="6E0AE3E5" wp14:editId="32D5B48B">
            <wp:simplePos x="0" y="0"/>
            <wp:positionH relativeFrom="column">
              <wp:posOffset>285750</wp:posOffset>
            </wp:positionH>
            <wp:positionV relativeFrom="paragraph">
              <wp:posOffset>959485</wp:posOffset>
            </wp:positionV>
            <wp:extent cx="2628900" cy="2265680"/>
            <wp:effectExtent l="76200" t="76200" r="133350" b="134620"/>
            <wp:wrapTight wrapText="bothSides">
              <wp:wrapPolygon edited="0">
                <wp:start x="-313" y="-726"/>
                <wp:lineTo x="-626" y="-545"/>
                <wp:lineTo x="-626" y="21975"/>
                <wp:lineTo x="-313" y="22702"/>
                <wp:lineTo x="22226" y="22702"/>
                <wp:lineTo x="22539" y="19978"/>
                <wp:lineTo x="22539" y="2361"/>
                <wp:lineTo x="22226" y="-363"/>
                <wp:lineTo x="22226" y="-726"/>
                <wp:lineTo x="-313" y="-726"/>
              </wp:wrapPolygon>
            </wp:wrapTight>
            <wp:docPr id="110121294" name="Picture 110121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0">
                      <a:extLst>
                        <a:ext uri="{28A0092B-C50C-407E-A947-70E740481C1C}">
                          <a14:useLocalDpi xmlns:a14="http://schemas.microsoft.com/office/drawing/2010/main" val="0"/>
                        </a:ext>
                      </a:extLst>
                    </a:blip>
                    <a:stretch>
                      <a:fillRect/>
                    </a:stretch>
                  </pic:blipFill>
                  <pic:spPr>
                    <a:xfrm>
                      <a:off x="0" y="0"/>
                      <a:ext cx="2628900" cy="226568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14:sizeRelH relativeFrom="margin">
              <wp14:pctWidth>0</wp14:pctWidth>
            </wp14:sizeRelH>
            <wp14:sizeRelV relativeFrom="margin">
              <wp14:pctHeight>0</wp14:pctHeight>
            </wp14:sizeRelV>
          </wp:anchor>
        </w:drawing>
      </w:r>
      <w:r w:rsidRPr="00A80901">
        <w:rPr>
          <w:rFonts w:asciiTheme="minorHAnsi" w:eastAsia="Arial" w:hAnsiTheme="minorHAnsi" w:cstheme="minorHAnsi"/>
          <w:color w:val="000000" w:themeColor="text1"/>
          <w:sz w:val="22"/>
        </w:rPr>
        <w:t>This is an innovative initiative for Easy climbing in pole &amp; work on sitting position with this pole climber. Ratchet type fall arrester can be attached to full body harness, Lightweight &amp;</w:t>
      </w:r>
      <w:r w:rsidR="008C0C54">
        <w:rPr>
          <w:rFonts w:asciiTheme="minorHAnsi" w:eastAsia="Arial" w:hAnsiTheme="minorHAnsi" w:cstheme="minorHAnsi"/>
          <w:color w:val="000000" w:themeColor="text1"/>
          <w:sz w:val="22"/>
        </w:rPr>
        <w:t xml:space="preserve"> Easy to carry in a backpack. 40</w:t>
      </w:r>
      <w:r w:rsidRPr="00A80901">
        <w:rPr>
          <w:rFonts w:asciiTheme="minorHAnsi" w:eastAsia="Arial" w:hAnsiTheme="minorHAnsi" w:cstheme="minorHAnsi"/>
          <w:color w:val="000000" w:themeColor="text1"/>
          <w:sz w:val="22"/>
        </w:rPr>
        <w:t>0 Numbers already procured.</w:t>
      </w:r>
    </w:p>
    <w:p w14:paraId="0FAA32E0" w14:textId="77777777" w:rsidR="00F616FB" w:rsidRPr="00593FBC" w:rsidRDefault="00F616FB" w:rsidP="00F616FB">
      <w:pPr>
        <w:spacing w:line="276" w:lineRule="auto"/>
        <w:jc w:val="both"/>
        <w:rPr>
          <w:rFonts w:asciiTheme="minorHAnsi" w:hAnsiTheme="minorHAnsi" w:cstheme="minorHAnsi"/>
        </w:rPr>
      </w:pPr>
    </w:p>
    <w:p w14:paraId="0F6E8433" w14:textId="0228AD54" w:rsidR="00F616FB" w:rsidRDefault="00F616FB" w:rsidP="00F616FB">
      <w:pPr>
        <w:spacing w:line="360" w:lineRule="auto"/>
        <w:ind w:left="567" w:hanging="426"/>
        <w:jc w:val="both"/>
        <w:rPr>
          <w:rFonts w:asciiTheme="minorHAnsi" w:eastAsia="Arial" w:hAnsiTheme="minorHAnsi" w:cstheme="minorHAnsi"/>
          <w:b/>
          <w:bCs/>
          <w:color w:val="000000" w:themeColor="text1"/>
          <w:sz w:val="22"/>
        </w:rPr>
      </w:pPr>
      <w:r>
        <w:rPr>
          <w:rFonts w:asciiTheme="minorHAnsi" w:eastAsia="Arial" w:hAnsiTheme="minorHAnsi" w:cstheme="minorHAnsi"/>
          <w:b/>
          <w:bCs/>
          <w:color w:val="000000" w:themeColor="text1"/>
          <w:sz w:val="22"/>
        </w:rPr>
        <w:t xml:space="preserve">        </w:t>
      </w:r>
      <w:r w:rsidR="0082580C">
        <w:rPr>
          <w:rFonts w:asciiTheme="minorHAnsi" w:eastAsia="Arial" w:hAnsiTheme="minorHAnsi" w:cstheme="minorHAnsi"/>
          <w:b/>
          <w:bCs/>
          <w:color w:val="000000" w:themeColor="text1"/>
        </w:rPr>
        <w:t>6.1.8</w:t>
      </w:r>
      <w:r w:rsidRPr="00D16ECD">
        <w:rPr>
          <w:rFonts w:asciiTheme="minorHAnsi" w:eastAsia="Arial" w:hAnsiTheme="minorHAnsi" w:cstheme="minorHAnsi"/>
          <w:b/>
          <w:bCs/>
          <w:color w:val="000000" w:themeColor="text1"/>
        </w:rPr>
        <w:t xml:space="preserve"> Drone Based Safety Surveillance &amp; AI Analytics</w:t>
      </w:r>
    </w:p>
    <w:p w14:paraId="1DD2520A" w14:textId="77777777" w:rsidR="00F616FB" w:rsidRPr="00A80901" w:rsidRDefault="00F616FB" w:rsidP="00F616FB">
      <w:pPr>
        <w:spacing w:line="360" w:lineRule="auto"/>
        <w:ind w:left="567" w:hanging="426"/>
        <w:jc w:val="both"/>
        <w:rPr>
          <w:rFonts w:asciiTheme="minorHAnsi" w:eastAsia="Arial" w:hAnsiTheme="minorHAnsi" w:cstheme="minorHAnsi"/>
          <w:color w:val="000000" w:themeColor="text1"/>
          <w:sz w:val="22"/>
        </w:rPr>
      </w:pPr>
      <w:r>
        <w:rPr>
          <w:rFonts w:asciiTheme="minorHAnsi" w:eastAsia="Arial" w:hAnsiTheme="minorHAnsi" w:cstheme="minorHAnsi"/>
          <w:color w:val="000000" w:themeColor="text1"/>
          <w:sz w:val="22"/>
        </w:rPr>
        <w:t xml:space="preserve">       </w:t>
      </w:r>
      <w:r w:rsidRPr="00A80901">
        <w:rPr>
          <w:rFonts w:asciiTheme="minorHAnsi" w:eastAsia="Arial" w:hAnsiTheme="minorHAnsi" w:cstheme="minorHAnsi"/>
          <w:color w:val="000000" w:themeColor="text1"/>
          <w:sz w:val="22"/>
        </w:rPr>
        <w:t xml:space="preserve"> AI software for the real time Safety analytics on the live stream of multiple drones for assessing safety practices &amp; to get immediate Safety violation alerts on the android mobile app and Web app. Any </w:t>
      </w:r>
      <w:r w:rsidRPr="00A80901">
        <w:rPr>
          <w:rFonts w:asciiTheme="minorHAnsi" w:eastAsia="Arial" w:hAnsiTheme="minorHAnsi" w:cstheme="minorHAnsi"/>
          <w:color w:val="000000" w:themeColor="text1"/>
          <w:sz w:val="22"/>
        </w:rPr>
        <w:lastRenderedPageBreak/>
        <w:t>safety violation, captured &amp; alerted, can help in taking pre-emptive action to prevent any accidents at site.</w:t>
      </w:r>
    </w:p>
    <w:p w14:paraId="28A1F9A0" w14:textId="77777777" w:rsidR="00F616FB" w:rsidRPr="00844EB5" w:rsidRDefault="00F616FB" w:rsidP="00F616FB">
      <w:pPr>
        <w:spacing w:line="276" w:lineRule="auto"/>
        <w:jc w:val="both"/>
        <w:rPr>
          <w:rFonts w:asciiTheme="minorHAnsi" w:hAnsiTheme="minorHAnsi" w:cstheme="minorHAnsi"/>
        </w:rPr>
      </w:pPr>
      <w:r w:rsidRPr="00593FBC">
        <w:rPr>
          <w:rFonts w:asciiTheme="minorHAnsi" w:hAnsiTheme="minorHAnsi" w:cstheme="minorHAnsi"/>
          <w:noProof/>
          <w:lang w:val="en-IN" w:eastAsia="en-IN"/>
        </w:rPr>
        <w:drawing>
          <wp:anchor distT="0" distB="0" distL="114300" distR="114300" simplePos="0" relativeHeight="252015104" behindDoc="0" locked="0" layoutInCell="1" allowOverlap="1" wp14:anchorId="4B7BF5B6" wp14:editId="6D8E3050">
            <wp:simplePos x="0" y="0"/>
            <wp:positionH relativeFrom="margin">
              <wp:posOffset>3286125</wp:posOffset>
            </wp:positionH>
            <wp:positionV relativeFrom="paragraph">
              <wp:posOffset>290830</wp:posOffset>
            </wp:positionV>
            <wp:extent cx="2575560" cy="2324100"/>
            <wp:effectExtent l="76200" t="76200" r="129540" b="133350"/>
            <wp:wrapSquare wrapText="bothSides"/>
            <wp:docPr id="482774190" name="Picture 482774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1">
                      <a:extLst>
                        <a:ext uri="{28A0092B-C50C-407E-A947-70E740481C1C}">
                          <a14:useLocalDpi xmlns:a14="http://schemas.microsoft.com/office/drawing/2010/main" val="0"/>
                        </a:ext>
                      </a:extLst>
                    </a:blip>
                    <a:stretch>
                      <a:fillRect/>
                    </a:stretch>
                  </pic:blipFill>
                  <pic:spPr>
                    <a:xfrm>
                      <a:off x="0" y="0"/>
                      <a:ext cx="2575560" cy="232410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14:sizeRelH relativeFrom="margin">
              <wp14:pctWidth>0</wp14:pctWidth>
            </wp14:sizeRelH>
            <wp14:sizeRelV relativeFrom="margin">
              <wp14:pctHeight>0</wp14:pctHeight>
            </wp14:sizeRelV>
          </wp:anchor>
        </w:drawing>
      </w:r>
      <w:r w:rsidRPr="00593FBC">
        <w:rPr>
          <w:rFonts w:asciiTheme="minorHAnsi" w:hAnsiTheme="minorHAnsi" w:cstheme="minorHAnsi"/>
          <w:noProof/>
          <w:lang w:val="en-IN" w:eastAsia="en-IN"/>
        </w:rPr>
        <w:drawing>
          <wp:anchor distT="0" distB="0" distL="114300" distR="114300" simplePos="0" relativeHeight="252025344" behindDoc="0" locked="0" layoutInCell="1" allowOverlap="1" wp14:anchorId="02E06E2B" wp14:editId="76EF19E5">
            <wp:simplePos x="0" y="0"/>
            <wp:positionH relativeFrom="column">
              <wp:posOffset>342900</wp:posOffset>
            </wp:positionH>
            <wp:positionV relativeFrom="paragraph">
              <wp:posOffset>281305</wp:posOffset>
            </wp:positionV>
            <wp:extent cx="2609850" cy="2343150"/>
            <wp:effectExtent l="76200" t="76200" r="133350" b="133350"/>
            <wp:wrapSquare wrapText="bothSides"/>
            <wp:docPr id="510755134" name="Picture 510755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2">
                      <a:extLst>
                        <a:ext uri="{28A0092B-C50C-407E-A947-70E740481C1C}">
                          <a14:useLocalDpi xmlns:a14="http://schemas.microsoft.com/office/drawing/2010/main" val="0"/>
                        </a:ext>
                      </a:extLst>
                    </a:blip>
                    <a:stretch>
                      <a:fillRect/>
                    </a:stretch>
                  </pic:blipFill>
                  <pic:spPr>
                    <a:xfrm>
                      <a:off x="0" y="0"/>
                      <a:ext cx="2609850" cy="234315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14:sizeRelH relativeFrom="margin">
              <wp14:pctWidth>0</wp14:pctWidth>
            </wp14:sizeRelH>
            <wp14:sizeRelV relativeFrom="margin">
              <wp14:pctHeight>0</wp14:pctHeight>
            </wp14:sizeRelV>
          </wp:anchor>
        </w:drawing>
      </w:r>
    </w:p>
    <w:p w14:paraId="68F242DB" w14:textId="77777777" w:rsidR="00F616FB" w:rsidRPr="009773F1" w:rsidRDefault="00F616FB" w:rsidP="00F616FB">
      <w:pPr>
        <w:pStyle w:val="ListParagraph"/>
        <w:spacing w:after="0" w:line="360" w:lineRule="auto"/>
        <w:ind w:left="567" w:hanging="141"/>
        <w:jc w:val="both"/>
        <w:rPr>
          <w:rFonts w:asciiTheme="minorHAnsi" w:eastAsia="Arial" w:hAnsiTheme="minorHAnsi" w:cstheme="minorHAnsi"/>
          <w:b/>
          <w:bCs/>
          <w:color w:val="000000" w:themeColor="text1"/>
        </w:rPr>
      </w:pPr>
      <w:r>
        <w:rPr>
          <w:rFonts w:asciiTheme="minorHAnsi" w:eastAsia="Arial" w:hAnsiTheme="minorHAnsi" w:cstheme="minorHAnsi"/>
          <w:b/>
          <w:bCs/>
          <w:color w:val="000000" w:themeColor="text1"/>
        </w:rPr>
        <w:t xml:space="preserve">  </w:t>
      </w:r>
    </w:p>
    <w:p w14:paraId="30FBB7F2" w14:textId="1E816EBD" w:rsidR="00F616FB" w:rsidRDefault="0082580C" w:rsidP="00F616FB">
      <w:pPr>
        <w:pStyle w:val="ListParagraph"/>
        <w:spacing w:after="0" w:line="360" w:lineRule="auto"/>
        <w:ind w:left="567" w:hanging="141"/>
        <w:jc w:val="both"/>
        <w:rPr>
          <w:rFonts w:asciiTheme="minorHAnsi" w:eastAsia="Arial" w:hAnsiTheme="minorHAnsi" w:cstheme="minorHAnsi"/>
          <w:b/>
          <w:bCs/>
          <w:color w:val="000000" w:themeColor="text1"/>
        </w:rPr>
      </w:pPr>
      <w:r>
        <w:rPr>
          <w:rFonts w:asciiTheme="minorHAnsi" w:eastAsia="Arial" w:hAnsiTheme="minorHAnsi" w:cstheme="minorHAnsi"/>
          <w:b/>
          <w:bCs/>
          <w:color w:val="000000" w:themeColor="text1"/>
          <w:sz w:val="24"/>
        </w:rPr>
        <w:t>6.1.9</w:t>
      </w:r>
      <w:r w:rsidR="00F616FB" w:rsidRPr="00C93F33">
        <w:rPr>
          <w:rFonts w:asciiTheme="minorHAnsi" w:eastAsia="Arial" w:hAnsiTheme="minorHAnsi" w:cstheme="minorHAnsi"/>
          <w:b/>
          <w:bCs/>
          <w:color w:val="000000" w:themeColor="text1"/>
          <w:sz w:val="24"/>
        </w:rPr>
        <w:t xml:space="preserve"> MO PSS NIRMAL PSS</w:t>
      </w:r>
    </w:p>
    <w:p w14:paraId="43CC7BC2" w14:textId="29AB4753" w:rsidR="00F616FB" w:rsidRDefault="00F616FB" w:rsidP="00F616FB">
      <w:pPr>
        <w:pStyle w:val="ListParagraph"/>
        <w:spacing w:after="0" w:line="360" w:lineRule="auto"/>
        <w:ind w:left="567" w:hanging="141"/>
        <w:jc w:val="both"/>
        <w:rPr>
          <w:rFonts w:asciiTheme="minorHAnsi" w:eastAsia="Arial" w:hAnsiTheme="minorHAnsi" w:cstheme="minorHAnsi"/>
          <w:b/>
          <w:bCs/>
          <w:color w:val="000000" w:themeColor="text1"/>
        </w:rPr>
      </w:pPr>
      <w:r>
        <w:rPr>
          <w:rFonts w:asciiTheme="minorHAnsi" w:eastAsia="Arial" w:hAnsiTheme="minorHAnsi" w:cstheme="minorHAnsi"/>
          <w:color w:val="000000" w:themeColor="text1"/>
          <w:szCs w:val="24"/>
        </w:rPr>
        <w:t xml:space="preserve">   </w:t>
      </w:r>
      <w:r w:rsidRPr="00A80901">
        <w:rPr>
          <w:rFonts w:asciiTheme="minorHAnsi" w:eastAsia="Arial" w:hAnsiTheme="minorHAnsi" w:cstheme="minorHAnsi"/>
          <w:color w:val="000000" w:themeColor="text1"/>
          <w:szCs w:val="24"/>
        </w:rPr>
        <w:t>This initiative was taken for Fastrack implementation of 5S journey</w:t>
      </w:r>
      <w:r>
        <w:rPr>
          <w:rFonts w:asciiTheme="minorHAnsi" w:eastAsia="Arial" w:hAnsiTheme="minorHAnsi" w:cstheme="minorHAnsi"/>
          <w:color w:val="000000" w:themeColor="text1"/>
          <w:szCs w:val="24"/>
        </w:rPr>
        <w:t xml:space="preserve"> </w:t>
      </w:r>
      <w:r w:rsidRPr="00A80901">
        <w:rPr>
          <w:rFonts w:asciiTheme="minorHAnsi" w:eastAsia="Arial" w:hAnsiTheme="minorHAnsi" w:cstheme="minorHAnsi"/>
          <w:color w:val="000000" w:themeColor="text1"/>
          <w:szCs w:val="24"/>
        </w:rPr>
        <w:t>to create a competitive environment at 33/11kv PSS</w:t>
      </w:r>
      <w:r>
        <w:rPr>
          <w:rFonts w:asciiTheme="minorHAnsi" w:eastAsia="Arial" w:hAnsiTheme="minorHAnsi" w:cstheme="minorHAnsi"/>
          <w:color w:val="000000" w:themeColor="text1"/>
          <w:szCs w:val="24"/>
        </w:rPr>
        <w:t>.</w:t>
      </w:r>
      <w:r w:rsidR="008C0C54">
        <w:rPr>
          <w:rFonts w:asciiTheme="minorHAnsi" w:eastAsia="Arial" w:hAnsiTheme="minorHAnsi" w:cstheme="minorHAnsi"/>
          <w:color w:val="000000" w:themeColor="text1"/>
          <w:szCs w:val="24"/>
        </w:rPr>
        <w:t xml:space="preserve"> Out of total base of 247 PSS, 57 </w:t>
      </w:r>
      <w:proofErr w:type="spellStart"/>
      <w:r w:rsidR="008C0C54">
        <w:rPr>
          <w:rFonts w:asciiTheme="minorHAnsi" w:eastAsia="Arial" w:hAnsiTheme="minorHAnsi" w:cstheme="minorHAnsi"/>
          <w:color w:val="000000" w:themeColor="text1"/>
          <w:szCs w:val="24"/>
        </w:rPr>
        <w:t>nos</w:t>
      </w:r>
      <w:proofErr w:type="spellEnd"/>
      <w:r w:rsidR="008C0C54">
        <w:rPr>
          <w:rFonts w:asciiTheme="minorHAnsi" w:eastAsia="Arial" w:hAnsiTheme="minorHAnsi" w:cstheme="minorHAnsi"/>
          <w:color w:val="000000" w:themeColor="text1"/>
          <w:szCs w:val="24"/>
        </w:rPr>
        <w:t xml:space="preserve"> of PSS have reached at 3S level and 82 at 2S level</w:t>
      </w:r>
    </w:p>
    <w:p w14:paraId="16B487D6" w14:textId="77777777" w:rsidR="00F616FB" w:rsidRPr="00B122CA" w:rsidRDefault="00F616FB" w:rsidP="00F616FB">
      <w:pPr>
        <w:pStyle w:val="ListParagraph"/>
        <w:spacing w:after="0" w:line="360" w:lineRule="auto"/>
        <w:ind w:left="567" w:hanging="141"/>
        <w:jc w:val="both"/>
        <w:rPr>
          <w:rFonts w:asciiTheme="minorHAnsi" w:eastAsia="Arial" w:hAnsiTheme="minorHAnsi" w:cstheme="minorHAnsi"/>
          <w:b/>
          <w:bCs/>
          <w:color w:val="000000" w:themeColor="text1"/>
        </w:rPr>
      </w:pPr>
      <w:r w:rsidRPr="00593FBC">
        <w:rPr>
          <w:rFonts w:asciiTheme="minorHAnsi" w:hAnsiTheme="minorHAnsi" w:cstheme="minorHAnsi"/>
          <w:noProof/>
          <w:lang w:val="en-IN" w:eastAsia="en-IN"/>
        </w:rPr>
        <w:drawing>
          <wp:anchor distT="0" distB="0" distL="114300" distR="114300" simplePos="0" relativeHeight="252016128" behindDoc="1" locked="0" layoutInCell="1" allowOverlap="1" wp14:anchorId="4DC161D3" wp14:editId="0ED2C155">
            <wp:simplePos x="0" y="0"/>
            <wp:positionH relativeFrom="column">
              <wp:posOffset>3286125</wp:posOffset>
            </wp:positionH>
            <wp:positionV relativeFrom="paragraph">
              <wp:posOffset>95250</wp:posOffset>
            </wp:positionV>
            <wp:extent cx="2581275" cy="2028825"/>
            <wp:effectExtent l="76200" t="76200" r="142875" b="142875"/>
            <wp:wrapTight wrapText="bothSides">
              <wp:wrapPolygon edited="0">
                <wp:start x="-319" y="-811"/>
                <wp:lineTo x="-638" y="-608"/>
                <wp:lineTo x="-638" y="22107"/>
                <wp:lineTo x="-319" y="22918"/>
                <wp:lineTo x="22317" y="22918"/>
                <wp:lineTo x="22636" y="22107"/>
                <wp:lineTo x="22636" y="2637"/>
                <wp:lineTo x="22317" y="-406"/>
                <wp:lineTo x="22317" y="-811"/>
                <wp:lineTo x="-319" y="-811"/>
              </wp:wrapPolygon>
            </wp:wrapTight>
            <wp:docPr id="92574935" name="Picture 925749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3">
                      <a:extLst>
                        <a:ext uri="{28A0092B-C50C-407E-A947-70E740481C1C}">
                          <a14:useLocalDpi xmlns:a14="http://schemas.microsoft.com/office/drawing/2010/main" val="0"/>
                        </a:ext>
                      </a:extLst>
                    </a:blip>
                    <a:stretch>
                      <a:fillRect/>
                    </a:stretch>
                  </pic:blipFill>
                  <pic:spPr>
                    <a:xfrm>
                      <a:off x="0" y="0"/>
                      <a:ext cx="2581275" cy="202882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14:sizeRelH relativeFrom="margin">
              <wp14:pctWidth>0</wp14:pctWidth>
            </wp14:sizeRelH>
            <wp14:sizeRelV relativeFrom="margin">
              <wp14:pctHeight>0</wp14:pctHeight>
            </wp14:sizeRelV>
          </wp:anchor>
        </w:drawing>
      </w:r>
      <w:r w:rsidRPr="00593FBC">
        <w:rPr>
          <w:rFonts w:asciiTheme="minorHAnsi" w:hAnsiTheme="minorHAnsi" w:cstheme="minorHAnsi"/>
          <w:noProof/>
          <w:lang w:val="en-IN" w:eastAsia="en-IN"/>
        </w:rPr>
        <w:drawing>
          <wp:anchor distT="0" distB="0" distL="114300" distR="114300" simplePos="0" relativeHeight="252026368" behindDoc="1" locked="0" layoutInCell="1" allowOverlap="1" wp14:anchorId="464FA003" wp14:editId="77BA6D86">
            <wp:simplePos x="0" y="0"/>
            <wp:positionH relativeFrom="column">
              <wp:posOffset>342900</wp:posOffset>
            </wp:positionH>
            <wp:positionV relativeFrom="paragraph">
              <wp:posOffset>89535</wp:posOffset>
            </wp:positionV>
            <wp:extent cx="2657475" cy="2095500"/>
            <wp:effectExtent l="76200" t="76200" r="142875" b="133350"/>
            <wp:wrapTight wrapText="bothSides">
              <wp:wrapPolygon edited="0">
                <wp:start x="-310" y="-785"/>
                <wp:lineTo x="-619" y="-589"/>
                <wp:lineTo x="-619" y="21993"/>
                <wp:lineTo x="-310" y="22778"/>
                <wp:lineTo x="22297" y="22778"/>
                <wp:lineTo x="22606" y="21600"/>
                <wp:lineTo x="22606" y="2553"/>
                <wp:lineTo x="22297" y="-393"/>
                <wp:lineTo x="22297" y="-785"/>
                <wp:lineTo x="-310" y="-785"/>
              </wp:wrapPolygon>
            </wp:wrapTight>
            <wp:docPr id="1972196920" name="Picture 19721969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4">
                      <a:extLst>
                        <a:ext uri="{28A0092B-C50C-407E-A947-70E740481C1C}">
                          <a14:useLocalDpi xmlns:a14="http://schemas.microsoft.com/office/drawing/2010/main" val="0"/>
                        </a:ext>
                      </a:extLst>
                    </a:blip>
                    <a:stretch>
                      <a:fillRect/>
                    </a:stretch>
                  </pic:blipFill>
                  <pic:spPr>
                    <a:xfrm>
                      <a:off x="0" y="0"/>
                      <a:ext cx="2657475" cy="209550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14:sizeRelH relativeFrom="margin">
              <wp14:pctWidth>0</wp14:pctWidth>
            </wp14:sizeRelH>
          </wp:anchor>
        </w:drawing>
      </w:r>
    </w:p>
    <w:p w14:paraId="26CBE5B9" w14:textId="28215048" w:rsidR="00F616FB" w:rsidRPr="00844EB5" w:rsidRDefault="0082580C" w:rsidP="00F616FB">
      <w:pPr>
        <w:pStyle w:val="ListParagraph"/>
        <w:spacing w:after="0"/>
        <w:ind w:left="567"/>
        <w:jc w:val="both"/>
        <w:rPr>
          <w:rFonts w:asciiTheme="minorHAnsi" w:eastAsia="Arial" w:hAnsiTheme="minorHAnsi" w:cstheme="minorHAnsi"/>
          <w:b/>
          <w:bCs/>
          <w:color w:val="000000" w:themeColor="text1"/>
          <w:sz w:val="24"/>
        </w:rPr>
      </w:pPr>
      <w:r>
        <w:rPr>
          <w:rFonts w:asciiTheme="minorHAnsi" w:eastAsia="Arial" w:hAnsiTheme="minorHAnsi" w:cstheme="minorHAnsi"/>
          <w:b/>
          <w:bCs/>
          <w:color w:val="000000" w:themeColor="text1"/>
          <w:sz w:val="24"/>
        </w:rPr>
        <w:t xml:space="preserve">6.1.10 </w:t>
      </w:r>
      <w:r w:rsidR="00F616FB" w:rsidRPr="00844EB5">
        <w:rPr>
          <w:rFonts w:asciiTheme="minorHAnsi" w:eastAsia="Arial" w:hAnsiTheme="minorHAnsi" w:cstheme="minorHAnsi"/>
          <w:b/>
          <w:bCs/>
          <w:color w:val="000000" w:themeColor="text1"/>
          <w:sz w:val="24"/>
        </w:rPr>
        <w:t>Suraksha Veer - On-the-Spot Safety Award</w:t>
      </w:r>
      <w:r w:rsidR="00F616FB">
        <w:rPr>
          <w:rFonts w:asciiTheme="minorHAnsi" w:eastAsia="Arial" w:hAnsiTheme="minorHAnsi" w:cstheme="minorHAnsi"/>
          <w:b/>
          <w:bCs/>
          <w:color w:val="000000" w:themeColor="text1"/>
          <w:sz w:val="24"/>
        </w:rPr>
        <w:t>:</w:t>
      </w:r>
    </w:p>
    <w:p w14:paraId="7738C0E5" w14:textId="77777777" w:rsidR="00F616FB" w:rsidRPr="00007E9B" w:rsidRDefault="00F616FB" w:rsidP="00F616FB">
      <w:pPr>
        <w:pStyle w:val="ListParagraph"/>
        <w:spacing w:after="0"/>
        <w:ind w:left="567"/>
        <w:jc w:val="both"/>
        <w:rPr>
          <w:rFonts w:asciiTheme="minorHAnsi" w:eastAsia="Arial" w:hAnsiTheme="minorHAnsi" w:cstheme="minorHAnsi"/>
          <w:b/>
          <w:bCs/>
          <w:color w:val="000000" w:themeColor="text1"/>
        </w:rPr>
      </w:pPr>
    </w:p>
    <w:p w14:paraId="574D1776" w14:textId="77777777" w:rsidR="00F616FB" w:rsidRPr="00007E9B" w:rsidRDefault="00F616FB" w:rsidP="00F616FB">
      <w:pPr>
        <w:spacing w:after="200" w:line="360" w:lineRule="auto"/>
        <w:ind w:left="567"/>
        <w:jc w:val="both"/>
        <w:rPr>
          <w:rFonts w:asciiTheme="minorHAnsi" w:hAnsiTheme="minorHAnsi" w:cstheme="minorHAnsi"/>
          <w:sz w:val="22"/>
          <w:szCs w:val="22"/>
        </w:rPr>
      </w:pPr>
      <w:r w:rsidRPr="00007E9B">
        <w:rPr>
          <w:rFonts w:asciiTheme="minorHAnsi" w:eastAsia="Arial" w:hAnsiTheme="minorHAnsi" w:cstheme="minorHAnsi"/>
          <w:color w:val="000000" w:themeColor="text1"/>
          <w:sz w:val="22"/>
          <w:szCs w:val="22"/>
        </w:rPr>
        <w:t>This on-site safety award will be issued by Sr. Management Team for own &amp; BA Lineman &amp; the Loyalty point is linked to Energy Bills. Loyalty bonus can be redeemed through the energy bill.</w:t>
      </w:r>
    </w:p>
    <w:p w14:paraId="4389F6E3" w14:textId="77777777" w:rsidR="00F616FB" w:rsidRPr="00593FBC" w:rsidRDefault="00F616FB" w:rsidP="00F616FB">
      <w:pPr>
        <w:spacing w:line="360" w:lineRule="auto"/>
        <w:jc w:val="both"/>
        <w:rPr>
          <w:rFonts w:asciiTheme="minorHAnsi" w:hAnsiTheme="minorHAnsi" w:cstheme="minorHAnsi"/>
        </w:rPr>
      </w:pPr>
      <w:r w:rsidRPr="00593FBC">
        <w:rPr>
          <w:rFonts w:asciiTheme="minorHAnsi" w:hAnsiTheme="minorHAnsi" w:cstheme="minorHAnsi"/>
          <w:noProof/>
          <w:lang w:val="en-IN" w:eastAsia="en-IN"/>
        </w:rPr>
        <w:lastRenderedPageBreak/>
        <w:drawing>
          <wp:anchor distT="0" distB="0" distL="114300" distR="114300" simplePos="0" relativeHeight="252029440" behindDoc="1" locked="0" layoutInCell="1" allowOverlap="1" wp14:anchorId="4608B719" wp14:editId="57651904">
            <wp:simplePos x="0" y="0"/>
            <wp:positionH relativeFrom="margin">
              <wp:posOffset>428625</wp:posOffset>
            </wp:positionH>
            <wp:positionV relativeFrom="paragraph">
              <wp:posOffset>88265</wp:posOffset>
            </wp:positionV>
            <wp:extent cx="5410200" cy="1785620"/>
            <wp:effectExtent l="76200" t="76200" r="133350" b="138430"/>
            <wp:wrapTight wrapText="bothSides">
              <wp:wrapPolygon edited="0">
                <wp:start x="-152" y="-922"/>
                <wp:lineTo x="-304" y="-691"/>
                <wp:lineTo x="-304" y="22122"/>
                <wp:lineTo x="-152" y="23044"/>
                <wp:lineTo x="21904" y="23044"/>
                <wp:lineTo x="22056" y="21661"/>
                <wp:lineTo x="22056" y="2996"/>
                <wp:lineTo x="21904" y="-461"/>
                <wp:lineTo x="21904" y="-922"/>
                <wp:lineTo x="-152" y="-922"/>
              </wp:wrapPolygon>
            </wp:wrapTight>
            <wp:docPr id="1661001030" name="Picture 16610010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5">
                      <a:extLst>
                        <a:ext uri="{28A0092B-C50C-407E-A947-70E740481C1C}">
                          <a14:useLocalDpi xmlns:a14="http://schemas.microsoft.com/office/drawing/2010/main" val="0"/>
                        </a:ext>
                      </a:extLst>
                    </a:blip>
                    <a:stretch>
                      <a:fillRect/>
                    </a:stretch>
                  </pic:blipFill>
                  <pic:spPr>
                    <a:xfrm>
                      <a:off x="0" y="0"/>
                      <a:ext cx="5410200" cy="178562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14:sizeRelH relativeFrom="margin">
              <wp14:pctWidth>0</wp14:pctWidth>
            </wp14:sizeRelH>
          </wp:anchor>
        </w:drawing>
      </w:r>
    </w:p>
    <w:p w14:paraId="1ED14752" w14:textId="77777777" w:rsidR="00F616FB" w:rsidRPr="00593FBC" w:rsidRDefault="00F616FB" w:rsidP="00F616FB">
      <w:pPr>
        <w:spacing w:line="360" w:lineRule="auto"/>
        <w:jc w:val="both"/>
        <w:rPr>
          <w:rFonts w:asciiTheme="minorHAnsi" w:hAnsiTheme="minorHAnsi" w:cstheme="minorHAnsi"/>
        </w:rPr>
      </w:pPr>
    </w:p>
    <w:p w14:paraId="5DA9DAFF" w14:textId="77777777" w:rsidR="00F616FB" w:rsidRPr="00593FBC" w:rsidRDefault="00F616FB" w:rsidP="00F616FB">
      <w:pPr>
        <w:spacing w:line="360" w:lineRule="auto"/>
        <w:jc w:val="both"/>
        <w:rPr>
          <w:rFonts w:asciiTheme="minorHAnsi" w:hAnsiTheme="minorHAnsi" w:cstheme="minorHAnsi"/>
        </w:rPr>
      </w:pPr>
    </w:p>
    <w:p w14:paraId="58434A0B" w14:textId="77777777" w:rsidR="00F616FB" w:rsidRPr="00593FBC" w:rsidRDefault="00F616FB" w:rsidP="00F616FB">
      <w:pPr>
        <w:spacing w:line="360" w:lineRule="auto"/>
        <w:jc w:val="both"/>
        <w:rPr>
          <w:rFonts w:asciiTheme="minorHAnsi" w:hAnsiTheme="minorHAnsi" w:cstheme="minorHAnsi"/>
        </w:rPr>
      </w:pPr>
    </w:p>
    <w:p w14:paraId="287C66EF" w14:textId="77777777" w:rsidR="00F616FB" w:rsidRPr="00593FBC" w:rsidRDefault="00F616FB" w:rsidP="00F616FB">
      <w:pPr>
        <w:spacing w:line="360" w:lineRule="auto"/>
        <w:jc w:val="both"/>
        <w:rPr>
          <w:rFonts w:asciiTheme="minorHAnsi" w:hAnsiTheme="minorHAnsi" w:cstheme="minorHAnsi"/>
        </w:rPr>
      </w:pPr>
    </w:p>
    <w:p w14:paraId="4785979F" w14:textId="77777777" w:rsidR="00F616FB" w:rsidRPr="00593FBC" w:rsidRDefault="00F616FB" w:rsidP="00F616FB">
      <w:pPr>
        <w:spacing w:line="360" w:lineRule="auto"/>
        <w:jc w:val="both"/>
        <w:rPr>
          <w:rFonts w:asciiTheme="minorHAnsi" w:hAnsiTheme="minorHAnsi" w:cstheme="minorHAnsi"/>
        </w:rPr>
      </w:pPr>
    </w:p>
    <w:p w14:paraId="6B167C76" w14:textId="77777777" w:rsidR="00F616FB" w:rsidRPr="00593FBC" w:rsidRDefault="00F616FB" w:rsidP="00F616FB">
      <w:pPr>
        <w:spacing w:line="360" w:lineRule="auto"/>
        <w:jc w:val="both"/>
        <w:rPr>
          <w:rFonts w:asciiTheme="minorHAnsi" w:hAnsiTheme="minorHAnsi" w:cstheme="minorHAnsi"/>
        </w:rPr>
      </w:pPr>
      <w:r w:rsidRPr="00593FBC">
        <w:rPr>
          <w:rFonts w:asciiTheme="minorHAnsi" w:hAnsiTheme="minorHAnsi" w:cstheme="minorHAnsi"/>
          <w:noProof/>
          <w:lang w:val="en-IN" w:eastAsia="en-IN"/>
        </w:rPr>
        <w:drawing>
          <wp:anchor distT="0" distB="0" distL="114300" distR="114300" simplePos="0" relativeHeight="252030464" behindDoc="1" locked="0" layoutInCell="1" allowOverlap="1" wp14:anchorId="5C7D8D9C" wp14:editId="57AE8DBC">
            <wp:simplePos x="0" y="0"/>
            <wp:positionH relativeFrom="margin">
              <wp:posOffset>381000</wp:posOffset>
            </wp:positionH>
            <wp:positionV relativeFrom="paragraph">
              <wp:posOffset>480695</wp:posOffset>
            </wp:positionV>
            <wp:extent cx="5495925" cy="1840865"/>
            <wp:effectExtent l="0" t="0" r="9525" b="6985"/>
            <wp:wrapTight wrapText="bothSides">
              <wp:wrapPolygon edited="0">
                <wp:start x="0" y="0"/>
                <wp:lineTo x="0" y="21458"/>
                <wp:lineTo x="21563" y="21458"/>
                <wp:lineTo x="21563" y="0"/>
                <wp:lineTo x="0" y="0"/>
              </wp:wrapPolygon>
            </wp:wrapTight>
            <wp:docPr id="1402358349" name="Picture 1402358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6">
                      <a:extLst>
                        <a:ext uri="{28A0092B-C50C-407E-A947-70E740481C1C}">
                          <a14:useLocalDpi xmlns:a14="http://schemas.microsoft.com/office/drawing/2010/main" val="0"/>
                        </a:ext>
                      </a:extLst>
                    </a:blip>
                    <a:stretch>
                      <a:fillRect/>
                    </a:stretch>
                  </pic:blipFill>
                  <pic:spPr>
                    <a:xfrm>
                      <a:off x="0" y="0"/>
                      <a:ext cx="5495925" cy="1840865"/>
                    </a:xfrm>
                    <a:prstGeom prst="rect">
                      <a:avLst/>
                    </a:prstGeom>
                  </pic:spPr>
                </pic:pic>
              </a:graphicData>
            </a:graphic>
            <wp14:sizeRelH relativeFrom="margin">
              <wp14:pctWidth>0</wp14:pctWidth>
            </wp14:sizeRelH>
          </wp:anchor>
        </w:drawing>
      </w:r>
    </w:p>
    <w:p w14:paraId="58B1A291" w14:textId="77777777" w:rsidR="00F616FB" w:rsidRDefault="00F616FB" w:rsidP="00F616FB">
      <w:pPr>
        <w:spacing w:line="360" w:lineRule="auto"/>
        <w:ind w:left="426"/>
        <w:jc w:val="both"/>
        <w:rPr>
          <w:rFonts w:asciiTheme="minorHAnsi" w:eastAsia="Arial" w:hAnsiTheme="minorHAnsi" w:cstheme="minorHAnsi"/>
          <w:b/>
          <w:bCs/>
          <w:color w:val="000000" w:themeColor="text1"/>
        </w:rPr>
      </w:pPr>
      <w:r>
        <w:rPr>
          <w:rFonts w:asciiTheme="minorHAnsi" w:eastAsia="Arial" w:hAnsiTheme="minorHAnsi" w:cstheme="minorHAnsi"/>
          <w:b/>
          <w:bCs/>
          <w:color w:val="000000" w:themeColor="text1"/>
        </w:rPr>
        <w:t xml:space="preserve">     </w:t>
      </w:r>
    </w:p>
    <w:p w14:paraId="16753F9D" w14:textId="77777777" w:rsidR="00F616FB" w:rsidRPr="006917BD" w:rsidRDefault="00F616FB" w:rsidP="00F616FB">
      <w:pPr>
        <w:pStyle w:val="ListParagraph"/>
        <w:spacing w:after="0" w:line="360" w:lineRule="auto"/>
        <w:ind w:left="567"/>
        <w:jc w:val="both"/>
        <w:rPr>
          <w:rFonts w:asciiTheme="minorHAnsi" w:eastAsia="Arial" w:hAnsiTheme="minorHAnsi" w:cstheme="minorHAnsi"/>
          <w:color w:val="000000" w:themeColor="text1"/>
          <w:sz w:val="24"/>
          <w:szCs w:val="24"/>
        </w:rPr>
      </w:pPr>
    </w:p>
    <w:p w14:paraId="2B16162B" w14:textId="3E08C0A6" w:rsidR="00F616FB" w:rsidRDefault="00F616FB" w:rsidP="00F616FB">
      <w:pPr>
        <w:spacing w:line="360" w:lineRule="auto"/>
        <w:ind w:left="567" w:hanging="567"/>
        <w:jc w:val="both"/>
        <w:rPr>
          <w:rFonts w:asciiTheme="minorHAnsi" w:eastAsia="Arial" w:hAnsiTheme="minorHAnsi" w:cstheme="minorHAnsi"/>
          <w:b/>
          <w:bCs/>
          <w:color w:val="000000" w:themeColor="text1"/>
        </w:rPr>
      </w:pPr>
      <w:r>
        <w:rPr>
          <w:rFonts w:asciiTheme="minorHAnsi" w:eastAsia="Arial" w:hAnsiTheme="minorHAnsi" w:cstheme="minorHAnsi"/>
          <w:b/>
          <w:bCs/>
          <w:color w:val="000000" w:themeColor="text1"/>
        </w:rPr>
        <w:t xml:space="preserve">          </w:t>
      </w:r>
      <w:r w:rsidR="0082580C">
        <w:rPr>
          <w:rFonts w:asciiTheme="minorHAnsi" w:eastAsia="Arial" w:hAnsiTheme="minorHAnsi" w:cstheme="minorHAnsi"/>
          <w:b/>
          <w:bCs/>
          <w:color w:val="000000" w:themeColor="text1"/>
        </w:rPr>
        <w:t xml:space="preserve">6.1.11 </w:t>
      </w:r>
      <w:r w:rsidRPr="000A78AC">
        <w:rPr>
          <w:rFonts w:asciiTheme="minorHAnsi" w:eastAsia="Arial" w:hAnsiTheme="minorHAnsi" w:cstheme="minorHAnsi"/>
          <w:b/>
          <w:bCs/>
          <w:color w:val="000000" w:themeColor="text1"/>
        </w:rPr>
        <w:t>Tree Free Feeder Certification</w:t>
      </w:r>
    </w:p>
    <w:p w14:paraId="095D48F0" w14:textId="77777777" w:rsidR="00F616FB" w:rsidRPr="000A78AC" w:rsidRDefault="00F616FB" w:rsidP="00F616FB">
      <w:pPr>
        <w:spacing w:line="360" w:lineRule="auto"/>
        <w:ind w:left="567" w:hanging="567"/>
        <w:jc w:val="both"/>
        <w:rPr>
          <w:rFonts w:asciiTheme="minorHAnsi" w:eastAsia="Arial" w:hAnsiTheme="minorHAnsi" w:cstheme="minorHAnsi"/>
          <w:color w:val="000000" w:themeColor="text1"/>
        </w:rPr>
      </w:pPr>
      <w:r w:rsidRPr="00593FBC">
        <w:rPr>
          <w:rFonts w:asciiTheme="minorHAnsi" w:hAnsiTheme="minorHAnsi" w:cstheme="minorHAnsi"/>
          <w:noProof/>
          <w:lang w:val="en-IN" w:eastAsia="en-IN"/>
        </w:rPr>
        <w:drawing>
          <wp:anchor distT="0" distB="0" distL="114300" distR="114300" simplePos="0" relativeHeight="252019200" behindDoc="0" locked="0" layoutInCell="1" allowOverlap="1" wp14:anchorId="68905247" wp14:editId="03B14A09">
            <wp:simplePos x="0" y="0"/>
            <wp:positionH relativeFrom="margin">
              <wp:posOffset>3429000</wp:posOffset>
            </wp:positionH>
            <wp:positionV relativeFrom="paragraph">
              <wp:posOffset>1341755</wp:posOffset>
            </wp:positionV>
            <wp:extent cx="2487295" cy="2305050"/>
            <wp:effectExtent l="76200" t="76200" r="141605" b="133350"/>
            <wp:wrapSquare wrapText="bothSides"/>
            <wp:docPr id="797103416" name="Picture 797103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7">
                      <a:extLst>
                        <a:ext uri="{28A0092B-C50C-407E-A947-70E740481C1C}">
                          <a14:useLocalDpi xmlns:a14="http://schemas.microsoft.com/office/drawing/2010/main" val="0"/>
                        </a:ext>
                      </a:extLst>
                    </a:blip>
                    <a:stretch>
                      <a:fillRect/>
                    </a:stretch>
                  </pic:blipFill>
                  <pic:spPr>
                    <a:xfrm>
                      <a:off x="0" y="0"/>
                      <a:ext cx="2487295" cy="230505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14:sizeRelH relativeFrom="margin">
              <wp14:pctWidth>0</wp14:pctWidth>
            </wp14:sizeRelH>
            <wp14:sizeRelV relativeFrom="margin">
              <wp14:pctHeight>0</wp14:pctHeight>
            </wp14:sizeRelV>
          </wp:anchor>
        </w:drawing>
      </w:r>
      <w:r w:rsidRPr="00593FBC">
        <w:rPr>
          <w:rFonts w:asciiTheme="minorHAnsi" w:hAnsiTheme="minorHAnsi" w:cstheme="minorHAnsi"/>
          <w:noProof/>
          <w:lang w:val="en-IN" w:eastAsia="en-IN"/>
        </w:rPr>
        <w:drawing>
          <wp:anchor distT="0" distB="0" distL="114300" distR="114300" simplePos="0" relativeHeight="252018176" behindDoc="0" locked="0" layoutInCell="1" allowOverlap="1" wp14:anchorId="4371DF63" wp14:editId="0293A193">
            <wp:simplePos x="0" y="0"/>
            <wp:positionH relativeFrom="margin">
              <wp:posOffset>371475</wp:posOffset>
            </wp:positionH>
            <wp:positionV relativeFrom="paragraph">
              <wp:posOffset>1350010</wp:posOffset>
            </wp:positionV>
            <wp:extent cx="2657475" cy="2294890"/>
            <wp:effectExtent l="76200" t="76200" r="142875" b="124460"/>
            <wp:wrapSquare wrapText="bothSides"/>
            <wp:docPr id="1275672532" name="Picture 12756725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8">
                      <a:extLst>
                        <a:ext uri="{28A0092B-C50C-407E-A947-70E740481C1C}">
                          <a14:useLocalDpi xmlns:a14="http://schemas.microsoft.com/office/drawing/2010/main" val="0"/>
                        </a:ext>
                      </a:extLst>
                    </a:blip>
                    <a:stretch>
                      <a:fillRect/>
                    </a:stretch>
                  </pic:blipFill>
                  <pic:spPr>
                    <a:xfrm>
                      <a:off x="0" y="0"/>
                      <a:ext cx="2657475" cy="229489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14:sizeRelH relativeFrom="margin">
              <wp14:pctWidth>0</wp14:pctWidth>
            </wp14:sizeRelH>
            <wp14:sizeRelV relativeFrom="margin">
              <wp14:pctHeight>0</wp14:pctHeight>
            </wp14:sizeRelV>
          </wp:anchor>
        </w:drawing>
      </w:r>
      <w:r>
        <w:rPr>
          <w:rFonts w:asciiTheme="minorHAnsi" w:eastAsia="Arial" w:hAnsiTheme="minorHAnsi" w:cstheme="minorHAnsi"/>
          <w:color w:val="000000" w:themeColor="text1"/>
        </w:rPr>
        <w:t xml:space="preserve">        </w:t>
      </w:r>
      <w:r w:rsidRPr="000A78AC">
        <w:rPr>
          <w:rFonts w:asciiTheme="minorHAnsi" w:eastAsia="Arial" w:hAnsiTheme="minorHAnsi" w:cstheme="minorHAnsi"/>
          <w:color w:val="000000" w:themeColor="text1"/>
        </w:rPr>
        <w:t xml:space="preserve"> </w:t>
      </w:r>
      <w:r>
        <w:rPr>
          <w:rFonts w:asciiTheme="minorHAnsi" w:eastAsia="Arial" w:hAnsiTheme="minorHAnsi" w:cstheme="minorHAnsi"/>
          <w:color w:val="000000" w:themeColor="text1"/>
        </w:rPr>
        <w:t xml:space="preserve"> </w:t>
      </w:r>
      <w:r w:rsidRPr="000A78AC">
        <w:rPr>
          <w:rFonts w:asciiTheme="minorHAnsi" w:eastAsia="Arial" w:hAnsiTheme="minorHAnsi" w:cstheme="minorHAnsi"/>
          <w:color w:val="000000" w:themeColor="text1"/>
        </w:rPr>
        <w:t>Extensive tree trimming on 11KV feeders &amp; to make the entire feeder free from tree branch touching. Same is certified as “Tree Free” by the business associates &amp; thereafter verified on sample basis by section/COS team. 72% of feeders were certified as tree free &amp; next round of tree pruning activity will be done based on set frequency.</w:t>
      </w:r>
    </w:p>
    <w:p w14:paraId="5AC3E671" w14:textId="77777777" w:rsidR="00F616FB" w:rsidRPr="00593FBC" w:rsidRDefault="00F616FB" w:rsidP="00F616FB">
      <w:pPr>
        <w:spacing w:line="257" w:lineRule="auto"/>
        <w:ind w:left="567" w:hanging="567"/>
        <w:jc w:val="both"/>
        <w:rPr>
          <w:rFonts w:asciiTheme="minorHAnsi" w:hAnsiTheme="minorHAnsi" w:cstheme="minorHAnsi"/>
        </w:rPr>
      </w:pPr>
    </w:p>
    <w:p w14:paraId="286C734A" w14:textId="77777777" w:rsidR="00F616FB" w:rsidRPr="00593FBC" w:rsidRDefault="00F616FB" w:rsidP="00F616FB">
      <w:pPr>
        <w:spacing w:line="257" w:lineRule="auto"/>
        <w:jc w:val="both"/>
        <w:rPr>
          <w:rFonts w:asciiTheme="minorHAnsi" w:hAnsiTheme="minorHAnsi" w:cstheme="minorHAnsi"/>
        </w:rPr>
      </w:pPr>
      <w:r w:rsidRPr="00593FBC">
        <w:rPr>
          <w:rFonts w:asciiTheme="minorHAnsi" w:hAnsiTheme="minorHAnsi" w:cstheme="minorHAnsi"/>
          <w:noProof/>
          <w:lang w:val="en-IN" w:eastAsia="en-IN"/>
        </w:rPr>
        <w:lastRenderedPageBreak/>
        <w:drawing>
          <wp:anchor distT="0" distB="0" distL="114300" distR="114300" simplePos="0" relativeHeight="252031488" behindDoc="1" locked="0" layoutInCell="1" allowOverlap="1" wp14:anchorId="74AA3840" wp14:editId="413CE3C4">
            <wp:simplePos x="0" y="0"/>
            <wp:positionH relativeFrom="column">
              <wp:posOffset>400050</wp:posOffset>
            </wp:positionH>
            <wp:positionV relativeFrom="paragraph">
              <wp:posOffset>5715</wp:posOffset>
            </wp:positionV>
            <wp:extent cx="2857500" cy="2695575"/>
            <wp:effectExtent l="0" t="0" r="0" b="9525"/>
            <wp:wrapTight wrapText="bothSides">
              <wp:wrapPolygon edited="0">
                <wp:start x="0" y="0"/>
                <wp:lineTo x="0" y="21524"/>
                <wp:lineTo x="21456" y="21524"/>
                <wp:lineTo x="21456" y="0"/>
                <wp:lineTo x="0" y="0"/>
              </wp:wrapPolygon>
            </wp:wrapTight>
            <wp:docPr id="2099374801" name="Picture 20993748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9">
                      <a:extLst>
                        <a:ext uri="{28A0092B-C50C-407E-A947-70E740481C1C}">
                          <a14:useLocalDpi xmlns:a14="http://schemas.microsoft.com/office/drawing/2010/main" val="0"/>
                        </a:ext>
                      </a:extLst>
                    </a:blip>
                    <a:stretch>
                      <a:fillRect/>
                    </a:stretch>
                  </pic:blipFill>
                  <pic:spPr>
                    <a:xfrm>
                      <a:off x="0" y="0"/>
                      <a:ext cx="2857500" cy="2695575"/>
                    </a:xfrm>
                    <a:prstGeom prst="rect">
                      <a:avLst/>
                    </a:prstGeom>
                  </pic:spPr>
                </pic:pic>
              </a:graphicData>
            </a:graphic>
            <wp14:sizeRelH relativeFrom="margin">
              <wp14:pctWidth>0</wp14:pctWidth>
            </wp14:sizeRelH>
            <wp14:sizeRelV relativeFrom="margin">
              <wp14:pctHeight>0</wp14:pctHeight>
            </wp14:sizeRelV>
          </wp:anchor>
        </w:drawing>
      </w:r>
      <w:r w:rsidRPr="00593FBC">
        <w:rPr>
          <w:rFonts w:asciiTheme="minorHAnsi" w:hAnsiTheme="minorHAnsi" w:cstheme="minorHAnsi"/>
          <w:noProof/>
          <w:lang w:val="en-IN" w:eastAsia="en-IN"/>
        </w:rPr>
        <w:drawing>
          <wp:anchor distT="0" distB="0" distL="114300" distR="114300" simplePos="0" relativeHeight="252020224" behindDoc="1" locked="0" layoutInCell="1" allowOverlap="1" wp14:anchorId="57FAB1FD" wp14:editId="478B244E">
            <wp:simplePos x="0" y="0"/>
            <wp:positionH relativeFrom="column">
              <wp:posOffset>3476625</wp:posOffset>
            </wp:positionH>
            <wp:positionV relativeFrom="paragraph">
              <wp:posOffset>5715</wp:posOffset>
            </wp:positionV>
            <wp:extent cx="2581275" cy="2705100"/>
            <wp:effectExtent l="0" t="0" r="9525" b="0"/>
            <wp:wrapTight wrapText="bothSides">
              <wp:wrapPolygon edited="0">
                <wp:start x="0" y="0"/>
                <wp:lineTo x="0" y="21448"/>
                <wp:lineTo x="21520" y="21448"/>
                <wp:lineTo x="21520" y="0"/>
                <wp:lineTo x="0" y="0"/>
              </wp:wrapPolygon>
            </wp:wrapTight>
            <wp:docPr id="1334437539" name="Picture 13344375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0">
                      <a:extLst>
                        <a:ext uri="{28A0092B-C50C-407E-A947-70E740481C1C}">
                          <a14:useLocalDpi xmlns:a14="http://schemas.microsoft.com/office/drawing/2010/main" val="0"/>
                        </a:ext>
                      </a:extLst>
                    </a:blip>
                    <a:stretch>
                      <a:fillRect/>
                    </a:stretch>
                  </pic:blipFill>
                  <pic:spPr>
                    <a:xfrm>
                      <a:off x="0" y="0"/>
                      <a:ext cx="2581275" cy="2705100"/>
                    </a:xfrm>
                    <a:prstGeom prst="rect">
                      <a:avLst/>
                    </a:prstGeom>
                  </pic:spPr>
                </pic:pic>
              </a:graphicData>
            </a:graphic>
            <wp14:sizeRelH relativeFrom="margin">
              <wp14:pctWidth>0</wp14:pctWidth>
            </wp14:sizeRelH>
            <wp14:sizeRelV relativeFrom="margin">
              <wp14:pctHeight>0</wp14:pctHeight>
            </wp14:sizeRelV>
          </wp:anchor>
        </w:drawing>
      </w:r>
    </w:p>
    <w:p w14:paraId="638FA97C" w14:textId="77777777" w:rsidR="00F616FB" w:rsidRDefault="00F616FB" w:rsidP="00F616FB">
      <w:pPr>
        <w:pStyle w:val="ListParagraph"/>
        <w:spacing w:after="0" w:line="360" w:lineRule="auto"/>
        <w:ind w:left="567"/>
        <w:jc w:val="both"/>
        <w:rPr>
          <w:rFonts w:asciiTheme="minorHAnsi" w:eastAsia="Arial" w:hAnsiTheme="minorHAnsi" w:cstheme="minorHAnsi"/>
          <w:b/>
          <w:bCs/>
          <w:color w:val="000000" w:themeColor="text1"/>
          <w:sz w:val="24"/>
          <w:szCs w:val="24"/>
        </w:rPr>
      </w:pPr>
    </w:p>
    <w:p w14:paraId="1965DE74" w14:textId="31F20873" w:rsidR="00F616FB" w:rsidRDefault="0082580C" w:rsidP="00F616FB">
      <w:pPr>
        <w:pStyle w:val="ListParagraph"/>
        <w:spacing w:after="0" w:line="360" w:lineRule="auto"/>
        <w:ind w:left="567"/>
        <w:jc w:val="both"/>
        <w:rPr>
          <w:rFonts w:asciiTheme="minorHAnsi" w:eastAsia="Arial" w:hAnsiTheme="minorHAnsi" w:cstheme="minorHAnsi"/>
          <w:b/>
          <w:bCs/>
          <w:color w:val="000000" w:themeColor="text1"/>
          <w:sz w:val="24"/>
          <w:szCs w:val="24"/>
        </w:rPr>
      </w:pPr>
      <w:r>
        <w:rPr>
          <w:rFonts w:asciiTheme="minorHAnsi" w:eastAsia="Arial" w:hAnsiTheme="minorHAnsi" w:cstheme="minorHAnsi"/>
          <w:b/>
          <w:bCs/>
          <w:color w:val="000000" w:themeColor="text1"/>
          <w:sz w:val="24"/>
          <w:szCs w:val="24"/>
        </w:rPr>
        <w:t xml:space="preserve">6.1.12 </w:t>
      </w:r>
      <w:r w:rsidR="00F616FB" w:rsidRPr="00593FBC">
        <w:rPr>
          <w:rFonts w:asciiTheme="minorHAnsi" w:eastAsia="Arial" w:hAnsiTheme="minorHAnsi" w:cstheme="minorHAnsi"/>
          <w:b/>
          <w:bCs/>
          <w:color w:val="000000" w:themeColor="text1"/>
          <w:sz w:val="24"/>
          <w:szCs w:val="24"/>
        </w:rPr>
        <w:t>Drone Driven Feeder Maintenance</w:t>
      </w:r>
    </w:p>
    <w:p w14:paraId="7413CAE6" w14:textId="77777777" w:rsidR="00F616FB" w:rsidRPr="00593FBC" w:rsidRDefault="00F616FB" w:rsidP="00F616FB">
      <w:pPr>
        <w:pStyle w:val="ListParagraph"/>
        <w:spacing w:after="0" w:line="360" w:lineRule="auto"/>
        <w:ind w:left="567"/>
        <w:jc w:val="both"/>
        <w:rPr>
          <w:rFonts w:asciiTheme="minorHAnsi" w:eastAsia="Arial" w:hAnsiTheme="minorHAnsi" w:cstheme="minorHAnsi"/>
          <w:color w:val="000000" w:themeColor="text1"/>
          <w:sz w:val="24"/>
          <w:szCs w:val="24"/>
        </w:rPr>
      </w:pPr>
      <w:r w:rsidRPr="00593FBC">
        <w:rPr>
          <w:rFonts w:asciiTheme="minorHAnsi" w:hAnsiTheme="minorHAnsi" w:cstheme="minorHAnsi"/>
          <w:noProof/>
          <w:lang w:val="en-IN" w:eastAsia="en-IN"/>
        </w:rPr>
        <w:drawing>
          <wp:anchor distT="0" distB="0" distL="114300" distR="114300" simplePos="0" relativeHeight="252032512" behindDoc="1" locked="0" layoutInCell="1" allowOverlap="1" wp14:anchorId="3FFCA5AB" wp14:editId="5A6C6916">
            <wp:simplePos x="0" y="0"/>
            <wp:positionH relativeFrom="margin">
              <wp:posOffset>342265</wp:posOffset>
            </wp:positionH>
            <wp:positionV relativeFrom="paragraph">
              <wp:posOffset>2731135</wp:posOffset>
            </wp:positionV>
            <wp:extent cx="2486025" cy="2085975"/>
            <wp:effectExtent l="76200" t="76200" r="142875" b="142875"/>
            <wp:wrapTight wrapText="bothSides">
              <wp:wrapPolygon edited="0">
                <wp:start x="-331" y="-789"/>
                <wp:lineTo x="-662" y="-592"/>
                <wp:lineTo x="-662" y="22093"/>
                <wp:lineTo x="-331" y="22882"/>
                <wp:lineTo x="22345" y="22882"/>
                <wp:lineTo x="22676" y="21699"/>
                <wp:lineTo x="22676" y="2564"/>
                <wp:lineTo x="22345" y="-395"/>
                <wp:lineTo x="22345" y="-789"/>
                <wp:lineTo x="-331" y="-789"/>
              </wp:wrapPolygon>
            </wp:wrapTight>
            <wp:docPr id="1568282928" name="Picture 15682829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1">
                      <a:extLst>
                        <a:ext uri="{28A0092B-C50C-407E-A947-70E740481C1C}">
                          <a14:useLocalDpi xmlns:a14="http://schemas.microsoft.com/office/drawing/2010/main" val="0"/>
                        </a:ext>
                      </a:extLst>
                    </a:blip>
                    <a:stretch>
                      <a:fillRect/>
                    </a:stretch>
                  </pic:blipFill>
                  <pic:spPr>
                    <a:xfrm>
                      <a:off x="0" y="0"/>
                      <a:ext cx="2486025" cy="208597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14:sizeRelH relativeFrom="margin">
              <wp14:pctWidth>0</wp14:pctWidth>
            </wp14:sizeRelH>
            <wp14:sizeRelV relativeFrom="margin">
              <wp14:pctHeight>0</wp14:pctHeight>
            </wp14:sizeRelV>
          </wp:anchor>
        </w:drawing>
      </w:r>
      <w:r w:rsidRPr="00593FBC">
        <w:rPr>
          <w:rFonts w:asciiTheme="minorHAnsi" w:hAnsiTheme="minorHAnsi" w:cstheme="minorHAnsi"/>
          <w:noProof/>
          <w:lang w:val="en-IN" w:eastAsia="en-IN"/>
        </w:rPr>
        <w:drawing>
          <wp:anchor distT="0" distB="0" distL="114300" distR="114300" simplePos="0" relativeHeight="252021248" behindDoc="1" locked="0" layoutInCell="1" allowOverlap="1" wp14:anchorId="0C085447" wp14:editId="3695CEC2">
            <wp:simplePos x="0" y="0"/>
            <wp:positionH relativeFrom="margin">
              <wp:posOffset>3209925</wp:posOffset>
            </wp:positionH>
            <wp:positionV relativeFrom="paragraph">
              <wp:posOffset>2722245</wp:posOffset>
            </wp:positionV>
            <wp:extent cx="2352675" cy="2066925"/>
            <wp:effectExtent l="76200" t="76200" r="142875" b="142875"/>
            <wp:wrapTight wrapText="bothSides">
              <wp:wrapPolygon edited="0">
                <wp:start x="-350" y="-796"/>
                <wp:lineTo x="-700" y="-597"/>
                <wp:lineTo x="-700" y="22098"/>
                <wp:lineTo x="-350" y="22894"/>
                <wp:lineTo x="22387" y="22894"/>
                <wp:lineTo x="22737" y="21899"/>
                <wp:lineTo x="22737" y="2588"/>
                <wp:lineTo x="22387" y="-398"/>
                <wp:lineTo x="22387" y="-796"/>
                <wp:lineTo x="-350" y="-796"/>
              </wp:wrapPolygon>
            </wp:wrapTight>
            <wp:docPr id="1238419530" name="Picture 12384195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2">
                      <a:extLst>
                        <a:ext uri="{28A0092B-C50C-407E-A947-70E740481C1C}">
                          <a14:useLocalDpi xmlns:a14="http://schemas.microsoft.com/office/drawing/2010/main" val="0"/>
                        </a:ext>
                      </a:extLst>
                    </a:blip>
                    <a:stretch>
                      <a:fillRect/>
                    </a:stretch>
                  </pic:blipFill>
                  <pic:spPr>
                    <a:xfrm>
                      <a:off x="0" y="0"/>
                      <a:ext cx="2352675" cy="206692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14:sizeRelH relativeFrom="margin">
              <wp14:pctWidth>0</wp14:pctWidth>
            </wp14:sizeRelH>
            <wp14:sizeRelV relativeFrom="margin">
              <wp14:pctHeight>0</wp14:pctHeight>
            </wp14:sizeRelV>
          </wp:anchor>
        </w:drawing>
      </w:r>
      <w:r w:rsidRPr="00593FBC">
        <w:rPr>
          <w:rFonts w:asciiTheme="minorHAnsi" w:eastAsia="Arial" w:hAnsiTheme="minorHAnsi" w:cstheme="minorHAnsi"/>
          <w:b/>
          <w:bCs/>
          <w:color w:val="000000" w:themeColor="text1"/>
          <w:sz w:val="24"/>
          <w:szCs w:val="24"/>
        </w:rPr>
        <w:t xml:space="preserve"> </w:t>
      </w:r>
      <w:r w:rsidRPr="00593FBC">
        <w:rPr>
          <w:rFonts w:asciiTheme="minorHAnsi" w:eastAsia="Arial" w:hAnsiTheme="minorHAnsi" w:cstheme="minorHAnsi"/>
          <w:color w:val="000000" w:themeColor="text1"/>
          <w:sz w:val="24"/>
          <w:szCs w:val="24"/>
        </w:rPr>
        <w:t>This drone driven feeder maintenance initiatives were taken up in 2 respect. First the aerial survey of Lines &amp; network to capture vulnerable locations in feeders in terms of damaged/broken insulators, cross arms, jumpers, sagging, tree infringement etc. &amp; the same methodology is particularly very useful for the network where the feeder is running through deep forest, inaccessible rural areas like paddy filed, water logged areas etc. Based on the aerial survey maintenance works are initiated. Secondly, the usage of drone fitted with thermal sensing camera to capture the hotspot in the network &amp; taking corrective actions there off. As on date, TPNODL has completed Aerial Survey / Thermography of 236 nos. 11kV Feeders &amp; covered approx. 2700 kms.</w:t>
      </w:r>
    </w:p>
    <w:p w14:paraId="365BD3B0" w14:textId="77777777" w:rsidR="00F616FB" w:rsidRPr="00455BE2" w:rsidRDefault="00F616FB" w:rsidP="00F616FB">
      <w:pPr>
        <w:spacing w:line="360" w:lineRule="auto"/>
        <w:jc w:val="both"/>
        <w:rPr>
          <w:rFonts w:asciiTheme="minorHAnsi" w:eastAsia="Arial" w:hAnsiTheme="minorHAnsi" w:cstheme="minorHAnsi"/>
          <w:b/>
          <w:bCs/>
          <w:color w:val="000000" w:themeColor="text1"/>
        </w:rPr>
      </w:pPr>
    </w:p>
    <w:p w14:paraId="4BB771CC" w14:textId="77777777" w:rsidR="00CA68C8" w:rsidRDefault="00F616FB" w:rsidP="00F616FB">
      <w:pPr>
        <w:pStyle w:val="ListParagraph"/>
        <w:spacing w:after="0" w:line="360" w:lineRule="auto"/>
        <w:ind w:left="567" w:hanging="851"/>
        <w:jc w:val="both"/>
        <w:rPr>
          <w:rFonts w:asciiTheme="minorHAnsi" w:eastAsia="Arial" w:hAnsiTheme="minorHAnsi" w:cstheme="minorHAnsi"/>
          <w:b/>
          <w:bCs/>
          <w:color w:val="000000" w:themeColor="text1"/>
          <w:sz w:val="24"/>
          <w:szCs w:val="24"/>
        </w:rPr>
      </w:pPr>
      <w:r>
        <w:rPr>
          <w:rFonts w:asciiTheme="minorHAnsi" w:eastAsia="Arial" w:hAnsiTheme="minorHAnsi" w:cstheme="minorHAnsi"/>
          <w:b/>
          <w:bCs/>
          <w:color w:val="000000" w:themeColor="text1"/>
          <w:sz w:val="24"/>
          <w:szCs w:val="24"/>
        </w:rPr>
        <w:t xml:space="preserve">                </w:t>
      </w:r>
    </w:p>
    <w:p w14:paraId="1E30BE3A" w14:textId="77777777" w:rsidR="00CA68C8" w:rsidRDefault="00CA68C8" w:rsidP="00F616FB">
      <w:pPr>
        <w:pStyle w:val="ListParagraph"/>
        <w:spacing w:after="0" w:line="360" w:lineRule="auto"/>
        <w:ind w:left="567" w:hanging="851"/>
        <w:jc w:val="both"/>
        <w:rPr>
          <w:rFonts w:asciiTheme="minorHAnsi" w:eastAsia="Arial" w:hAnsiTheme="minorHAnsi" w:cstheme="minorHAnsi"/>
          <w:b/>
          <w:bCs/>
          <w:color w:val="000000" w:themeColor="text1"/>
          <w:sz w:val="24"/>
          <w:szCs w:val="24"/>
        </w:rPr>
      </w:pPr>
    </w:p>
    <w:p w14:paraId="10F4126A" w14:textId="77777777" w:rsidR="00CA68C8" w:rsidRDefault="00CA68C8" w:rsidP="00F616FB">
      <w:pPr>
        <w:pStyle w:val="ListParagraph"/>
        <w:spacing w:after="0" w:line="360" w:lineRule="auto"/>
        <w:ind w:left="567" w:hanging="851"/>
        <w:jc w:val="both"/>
        <w:rPr>
          <w:rFonts w:asciiTheme="minorHAnsi" w:eastAsia="Arial" w:hAnsiTheme="minorHAnsi" w:cstheme="minorHAnsi"/>
          <w:b/>
          <w:bCs/>
          <w:color w:val="000000" w:themeColor="text1"/>
          <w:sz w:val="24"/>
          <w:szCs w:val="24"/>
        </w:rPr>
      </w:pPr>
    </w:p>
    <w:p w14:paraId="22D54A41" w14:textId="77777777" w:rsidR="00CA68C8" w:rsidRDefault="00CA68C8" w:rsidP="00F616FB">
      <w:pPr>
        <w:pStyle w:val="ListParagraph"/>
        <w:spacing w:after="0" w:line="360" w:lineRule="auto"/>
        <w:ind w:left="567" w:hanging="851"/>
        <w:jc w:val="both"/>
        <w:rPr>
          <w:rFonts w:asciiTheme="minorHAnsi" w:eastAsia="Arial" w:hAnsiTheme="minorHAnsi" w:cstheme="minorHAnsi"/>
          <w:b/>
          <w:bCs/>
          <w:color w:val="000000" w:themeColor="text1"/>
          <w:sz w:val="24"/>
          <w:szCs w:val="24"/>
        </w:rPr>
      </w:pPr>
    </w:p>
    <w:p w14:paraId="50555129" w14:textId="77777777" w:rsidR="00CA68C8" w:rsidRDefault="00CA68C8" w:rsidP="00F616FB">
      <w:pPr>
        <w:pStyle w:val="ListParagraph"/>
        <w:spacing w:after="0" w:line="360" w:lineRule="auto"/>
        <w:ind w:left="567" w:hanging="851"/>
        <w:jc w:val="both"/>
        <w:rPr>
          <w:rFonts w:asciiTheme="minorHAnsi" w:eastAsia="Arial" w:hAnsiTheme="minorHAnsi" w:cstheme="minorHAnsi"/>
          <w:b/>
          <w:bCs/>
          <w:color w:val="000000" w:themeColor="text1"/>
          <w:sz w:val="24"/>
          <w:szCs w:val="24"/>
        </w:rPr>
      </w:pPr>
    </w:p>
    <w:p w14:paraId="44783B58" w14:textId="77777777" w:rsidR="00CA68C8" w:rsidRDefault="00CA68C8" w:rsidP="00F616FB">
      <w:pPr>
        <w:pStyle w:val="ListParagraph"/>
        <w:spacing w:after="0" w:line="360" w:lineRule="auto"/>
        <w:ind w:left="567" w:hanging="851"/>
        <w:jc w:val="both"/>
        <w:rPr>
          <w:rFonts w:asciiTheme="minorHAnsi" w:eastAsia="Arial" w:hAnsiTheme="minorHAnsi" w:cstheme="minorHAnsi"/>
          <w:b/>
          <w:bCs/>
          <w:color w:val="000000" w:themeColor="text1"/>
          <w:sz w:val="24"/>
          <w:szCs w:val="24"/>
        </w:rPr>
      </w:pPr>
    </w:p>
    <w:p w14:paraId="5C486ABB" w14:textId="77777777" w:rsidR="00CA68C8" w:rsidRDefault="00CA68C8" w:rsidP="00F616FB">
      <w:pPr>
        <w:pStyle w:val="ListParagraph"/>
        <w:spacing w:after="0" w:line="360" w:lineRule="auto"/>
        <w:ind w:left="567" w:hanging="851"/>
        <w:jc w:val="both"/>
        <w:rPr>
          <w:rFonts w:asciiTheme="minorHAnsi" w:eastAsia="Arial" w:hAnsiTheme="minorHAnsi" w:cstheme="minorHAnsi"/>
          <w:b/>
          <w:bCs/>
          <w:color w:val="000000" w:themeColor="text1"/>
          <w:sz w:val="24"/>
          <w:szCs w:val="24"/>
        </w:rPr>
      </w:pPr>
    </w:p>
    <w:p w14:paraId="0E655623" w14:textId="77777777" w:rsidR="00CA68C8" w:rsidRDefault="00CA68C8" w:rsidP="00F616FB">
      <w:pPr>
        <w:pStyle w:val="ListParagraph"/>
        <w:spacing w:after="0" w:line="360" w:lineRule="auto"/>
        <w:ind w:left="567" w:hanging="851"/>
        <w:jc w:val="both"/>
        <w:rPr>
          <w:rFonts w:asciiTheme="minorHAnsi" w:eastAsia="Arial" w:hAnsiTheme="minorHAnsi" w:cstheme="minorHAnsi"/>
          <w:b/>
          <w:bCs/>
          <w:color w:val="000000" w:themeColor="text1"/>
          <w:sz w:val="24"/>
          <w:szCs w:val="24"/>
        </w:rPr>
      </w:pPr>
    </w:p>
    <w:p w14:paraId="60D32DA5" w14:textId="77777777" w:rsidR="00CA68C8" w:rsidRDefault="00CA68C8" w:rsidP="00F616FB">
      <w:pPr>
        <w:pStyle w:val="ListParagraph"/>
        <w:spacing w:after="0" w:line="360" w:lineRule="auto"/>
        <w:ind w:left="567" w:hanging="851"/>
        <w:jc w:val="both"/>
        <w:rPr>
          <w:rFonts w:asciiTheme="minorHAnsi" w:eastAsia="Arial" w:hAnsiTheme="minorHAnsi" w:cstheme="minorHAnsi"/>
          <w:b/>
          <w:bCs/>
          <w:color w:val="000000" w:themeColor="text1"/>
          <w:sz w:val="24"/>
          <w:szCs w:val="24"/>
        </w:rPr>
      </w:pPr>
    </w:p>
    <w:p w14:paraId="10F494EE" w14:textId="77777777" w:rsidR="00CA68C8" w:rsidRDefault="00CA68C8" w:rsidP="00F616FB">
      <w:pPr>
        <w:pStyle w:val="ListParagraph"/>
        <w:spacing w:after="0" w:line="360" w:lineRule="auto"/>
        <w:ind w:left="567" w:hanging="851"/>
        <w:jc w:val="both"/>
        <w:rPr>
          <w:rFonts w:asciiTheme="minorHAnsi" w:eastAsia="Arial" w:hAnsiTheme="minorHAnsi" w:cstheme="minorHAnsi"/>
          <w:b/>
          <w:bCs/>
          <w:color w:val="000000" w:themeColor="text1"/>
          <w:sz w:val="24"/>
          <w:szCs w:val="24"/>
        </w:rPr>
      </w:pPr>
    </w:p>
    <w:p w14:paraId="7BD4E3C5" w14:textId="250FC4E7" w:rsidR="00F616FB" w:rsidRDefault="00CA68C8" w:rsidP="00F616FB">
      <w:pPr>
        <w:pStyle w:val="ListParagraph"/>
        <w:spacing w:after="0" w:line="360" w:lineRule="auto"/>
        <w:ind w:left="567" w:hanging="851"/>
        <w:jc w:val="both"/>
        <w:rPr>
          <w:rFonts w:asciiTheme="minorHAnsi" w:eastAsia="Arial" w:hAnsiTheme="minorHAnsi" w:cstheme="minorHAnsi"/>
          <w:color w:val="000000" w:themeColor="text1"/>
          <w:sz w:val="24"/>
          <w:szCs w:val="24"/>
        </w:rPr>
      </w:pPr>
      <w:r>
        <w:rPr>
          <w:rFonts w:asciiTheme="minorHAnsi" w:eastAsia="Arial" w:hAnsiTheme="minorHAnsi" w:cstheme="minorHAnsi"/>
          <w:b/>
          <w:bCs/>
          <w:color w:val="000000" w:themeColor="text1"/>
          <w:sz w:val="24"/>
          <w:szCs w:val="24"/>
        </w:rPr>
        <w:lastRenderedPageBreak/>
        <w:t xml:space="preserve">              </w:t>
      </w:r>
      <w:r w:rsidR="0082580C">
        <w:rPr>
          <w:rFonts w:asciiTheme="minorHAnsi" w:eastAsia="Arial" w:hAnsiTheme="minorHAnsi" w:cstheme="minorHAnsi"/>
          <w:b/>
          <w:bCs/>
          <w:color w:val="000000" w:themeColor="text1"/>
          <w:sz w:val="24"/>
          <w:szCs w:val="24"/>
        </w:rPr>
        <w:t>6.1.13</w:t>
      </w:r>
      <w:r w:rsidR="00F616FB">
        <w:rPr>
          <w:rFonts w:asciiTheme="minorHAnsi" w:eastAsia="Arial" w:hAnsiTheme="minorHAnsi" w:cstheme="minorHAnsi"/>
          <w:b/>
          <w:bCs/>
          <w:color w:val="000000" w:themeColor="text1"/>
          <w:sz w:val="24"/>
          <w:szCs w:val="24"/>
        </w:rPr>
        <w:t xml:space="preserve"> </w:t>
      </w:r>
      <w:r w:rsidR="00F616FB" w:rsidRPr="00593FBC">
        <w:rPr>
          <w:rFonts w:asciiTheme="minorHAnsi" w:eastAsia="Arial" w:hAnsiTheme="minorHAnsi" w:cstheme="minorHAnsi"/>
          <w:b/>
          <w:bCs/>
          <w:color w:val="000000" w:themeColor="text1"/>
          <w:sz w:val="24"/>
          <w:szCs w:val="24"/>
        </w:rPr>
        <w:t>Predictive Maintenance – Ultrasound Scanning</w:t>
      </w:r>
    </w:p>
    <w:p w14:paraId="3132FECB" w14:textId="752ABE99" w:rsidR="00F616FB" w:rsidRDefault="0082580C" w:rsidP="00F616FB">
      <w:pPr>
        <w:pStyle w:val="ListParagraph"/>
        <w:spacing w:after="0" w:line="360" w:lineRule="auto"/>
        <w:ind w:left="567" w:hanging="851"/>
        <w:jc w:val="both"/>
        <w:rPr>
          <w:rFonts w:asciiTheme="minorHAnsi" w:eastAsia="Arial" w:hAnsiTheme="minorHAnsi" w:cstheme="minorHAnsi"/>
          <w:sz w:val="24"/>
          <w:szCs w:val="24"/>
        </w:rPr>
      </w:pPr>
      <w:r w:rsidRPr="00593FBC">
        <w:rPr>
          <w:rFonts w:asciiTheme="minorHAnsi" w:hAnsiTheme="minorHAnsi" w:cstheme="minorHAnsi"/>
          <w:noProof/>
          <w:lang w:val="en-IN" w:eastAsia="en-IN"/>
        </w:rPr>
        <w:drawing>
          <wp:anchor distT="0" distB="0" distL="114300" distR="114300" simplePos="0" relativeHeight="252034560" behindDoc="1" locked="0" layoutInCell="1" allowOverlap="1" wp14:anchorId="497F1A16" wp14:editId="127A02D8">
            <wp:simplePos x="0" y="0"/>
            <wp:positionH relativeFrom="column">
              <wp:posOffset>438150</wp:posOffset>
            </wp:positionH>
            <wp:positionV relativeFrom="paragraph">
              <wp:posOffset>1810385</wp:posOffset>
            </wp:positionV>
            <wp:extent cx="2352675" cy="1876425"/>
            <wp:effectExtent l="76200" t="76200" r="142875" b="142875"/>
            <wp:wrapTight wrapText="bothSides">
              <wp:wrapPolygon edited="0">
                <wp:start x="-350" y="-877"/>
                <wp:lineTo x="-700" y="-658"/>
                <wp:lineTo x="-700" y="22148"/>
                <wp:lineTo x="-350" y="23025"/>
                <wp:lineTo x="22387" y="23025"/>
                <wp:lineTo x="22737" y="20613"/>
                <wp:lineTo x="22737" y="2851"/>
                <wp:lineTo x="22387" y="-439"/>
                <wp:lineTo x="22387" y="-877"/>
                <wp:lineTo x="-350" y="-877"/>
              </wp:wrapPolygon>
            </wp:wrapTight>
            <wp:docPr id="648926189" name="Picture 648926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3">
                      <a:extLst>
                        <a:ext uri="{28A0092B-C50C-407E-A947-70E740481C1C}">
                          <a14:useLocalDpi xmlns:a14="http://schemas.microsoft.com/office/drawing/2010/main" val="0"/>
                        </a:ext>
                      </a:extLst>
                    </a:blip>
                    <a:stretch>
                      <a:fillRect/>
                    </a:stretch>
                  </pic:blipFill>
                  <pic:spPr>
                    <a:xfrm>
                      <a:off x="0" y="0"/>
                      <a:ext cx="2352675" cy="187642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14:sizeRelH relativeFrom="margin">
              <wp14:pctWidth>0</wp14:pctWidth>
            </wp14:sizeRelH>
            <wp14:sizeRelV relativeFrom="margin">
              <wp14:pctHeight>0</wp14:pctHeight>
            </wp14:sizeRelV>
          </wp:anchor>
        </w:drawing>
      </w:r>
      <w:r w:rsidR="00F616FB">
        <w:rPr>
          <w:rFonts w:asciiTheme="minorHAnsi" w:eastAsia="Arial" w:hAnsiTheme="minorHAnsi" w:cstheme="minorHAnsi"/>
          <w:color w:val="000000" w:themeColor="text1"/>
          <w:sz w:val="24"/>
          <w:szCs w:val="24"/>
        </w:rPr>
        <w:t xml:space="preserve">                </w:t>
      </w:r>
      <w:r w:rsidR="00F616FB" w:rsidRPr="00593FBC">
        <w:rPr>
          <w:rFonts w:asciiTheme="minorHAnsi" w:eastAsia="Arial" w:hAnsiTheme="minorHAnsi" w:cstheme="minorHAnsi"/>
          <w:color w:val="000000" w:themeColor="text1"/>
          <w:sz w:val="24"/>
          <w:szCs w:val="24"/>
        </w:rPr>
        <w:t xml:space="preserve">Ultrasound Detection is conducted to predict the future failure through capturing the electrical discharges &amp; preventive measures are initiated to mitigate the untimely break down &amp; save the valuable assets. </w:t>
      </w:r>
      <w:r w:rsidR="00F616FB" w:rsidRPr="00593FBC">
        <w:rPr>
          <w:rFonts w:asciiTheme="minorHAnsi" w:eastAsia="Arial" w:hAnsiTheme="minorHAnsi" w:cstheme="minorHAnsi"/>
          <w:sz w:val="24"/>
          <w:szCs w:val="24"/>
        </w:rPr>
        <w:t>The objective of this Ultrasonic scanning is to identify abnormalities in the lines &amp; network which may get converted into a potential failure and taking corrective action in advance to mitigate the same. Completed for 48 No. of feeders.</w:t>
      </w:r>
    </w:p>
    <w:p w14:paraId="0C657FE6" w14:textId="03DEEED8" w:rsidR="00F616FB" w:rsidRPr="00B27E40" w:rsidRDefault="0082580C" w:rsidP="00F616FB">
      <w:pPr>
        <w:pStyle w:val="ListParagraph"/>
        <w:spacing w:after="0" w:line="360" w:lineRule="auto"/>
        <w:ind w:left="567" w:hanging="851"/>
        <w:jc w:val="both"/>
        <w:rPr>
          <w:rFonts w:asciiTheme="minorHAnsi" w:eastAsia="Arial" w:hAnsiTheme="minorHAnsi" w:cstheme="minorHAnsi"/>
          <w:sz w:val="24"/>
          <w:szCs w:val="24"/>
        </w:rPr>
      </w:pPr>
      <w:r w:rsidRPr="00593FBC">
        <w:rPr>
          <w:rFonts w:asciiTheme="minorHAnsi" w:hAnsiTheme="minorHAnsi" w:cstheme="minorHAnsi"/>
          <w:noProof/>
          <w:lang w:val="en-IN" w:eastAsia="en-IN"/>
        </w:rPr>
        <w:drawing>
          <wp:anchor distT="0" distB="0" distL="114300" distR="114300" simplePos="0" relativeHeight="252033536" behindDoc="1" locked="0" layoutInCell="1" allowOverlap="1" wp14:anchorId="2C29AD56" wp14:editId="0051A822">
            <wp:simplePos x="0" y="0"/>
            <wp:positionH relativeFrom="margin">
              <wp:posOffset>3200400</wp:posOffset>
            </wp:positionH>
            <wp:positionV relativeFrom="paragraph">
              <wp:posOffset>428625</wp:posOffset>
            </wp:positionV>
            <wp:extent cx="2400300" cy="1933575"/>
            <wp:effectExtent l="76200" t="76200" r="133350" b="142875"/>
            <wp:wrapTight wrapText="bothSides">
              <wp:wrapPolygon edited="0">
                <wp:start x="-343" y="-851"/>
                <wp:lineTo x="-686" y="-638"/>
                <wp:lineTo x="-686" y="22132"/>
                <wp:lineTo x="-343" y="22983"/>
                <wp:lineTo x="22286" y="22983"/>
                <wp:lineTo x="22629" y="20004"/>
                <wp:lineTo x="22629" y="2767"/>
                <wp:lineTo x="22286" y="-426"/>
                <wp:lineTo x="22286" y="-851"/>
                <wp:lineTo x="-343" y="-851"/>
              </wp:wrapPolygon>
            </wp:wrapTight>
            <wp:docPr id="1489516149" name="Picture 1489516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4">
                      <a:extLst>
                        <a:ext uri="{28A0092B-C50C-407E-A947-70E740481C1C}">
                          <a14:useLocalDpi xmlns:a14="http://schemas.microsoft.com/office/drawing/2010/main" val="0"/>
                        </a:ext>
                      </a:extLst>
                    </a:blip>
                    <a:stretch>
                      <a:fillRect/>
                    </a:stretch>
                  </pic:blipFill>
                  <pic:spPr>
                    <a:xfrm>
                      <a:off x="0" y="0"/>
                      <a:ext cx="2400300" cy="193357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14:sizeRelH relativeFrom="margin">
              <wp14:pctWidth>0</wp14:pctWidth>
            </wp14:sizeRelH>
            <wp14:sizeRelV relativeFrom="margin">
              <wp14:pctHeight>0</wp14:pctHeight>
            </wp14:sizeRelV>
          </wp:anchor>
        </w:drawing>
      </w:r>
    </w:p>
    <w:p w14:paraId="2CE85F57" w14:textId="23150B7E" w:rsidR="00F616FB" w:rsidRPr="00B27E40" w:rsidRDefault="0082580C" w:rsidP="00F616FB">
      <w:pPr>
        <w:autoSpaceDE w:val="0"/>
        <w:autoSpaceDN w:val="0"/>
        <w:adjustRightInd w:val="0"/>
        <w:spacing w:line="360" w:lineRule="auto"/>
        <w:ind w:firstLine="567"/>
        <w:jc w:val="both"/>
        <w:rPr>
          <w:rFonts w:asciiTheme="minorHAnsi" w:hAnsiTheme="minorHAnsi" w:cstheme="minorHAnsi"/>
          <w:b/>
          <w:szCs w:val="28"/>
        </w:rPr>
      </w:pPr>
      <w:r>
        <w:rPr>
          <w:rFonts w:asciiTheme="minorHAnsi" w:hAnsiTheme="minorHAnsi" w:cstheme="minorHAnsi"/>
          <w:b/>
          <w:szCs w:val="28"/>
        </w:rPr>
        <w:t>6.1.14</w:t>
      </w:r>
      <w:r w:rsidR="00F616FB" w:rsidRPr="00B27E40">
        <w:rPr>
          <w:rFonts w:asciiTheme="minorHAnsi" w:hAnsiTheme="minorHAnsi" w:cstheme="minorHAnsi"/>
          <w:b/>
          <w:szCs w:val="28"/>
        </w:rPr>
        <w:t xml:space="preserve"> PTR Health Indexing</w:t>
      </w:r>
    </w:p>
    <w:p w14:paraId="699E5CB4" w14:textId="77777777" w:rsidR="00F616FB" w:rsidRPr="00593FBC" w:rsidRDefault="00F616FB" w:rsidP="00F616FB">
      <w:pPr>
        <w:spacing w:after="200" w:line="360" w:lineRule="auto"/>
        <w:ind w:left="567"/>
        <w:contextualSpacing/>
        <w:jc w:val="both"/>
        <w:rPr>
          <w:rFonts w:asciiTheme="minorHAnsi" w:hAnsiTheme="minorHAnsi" w:cstheme="minorHAnsi"/>
          <w:color w:val="000000" w:themeColor="text1"/>
          <w:sz w:val="22"/>
          <w:szCs w:val="22"/>
          <w:lang w:bidi="or-IN"/>
        </w:rPr>
      </w:pPr>
      <w:r w:rsidRPr="00593FBC">
        <w:rPr>
          <w:rFonts w:asciiTheme="minorHAnsi" w:hAnsiTheme="minorHAnsi" w:cstheme="minorHAnsi"/>
          <w:color w:val="000000" w:themeColor="text1"/>
          <w:sz w:val="22"/>
          <w:szCs w:val="22"/>
          <w:lang w:bidi="or-IN"/>
        </w:rPr>
        <w:t>287 No’s PTR health card index is being prepared as per the testing conducted by STS Team. This project was initiated for Phasing out Sick PTR on the basis of THI (Transformer Health Indexing) formed &amp; repair policy where more than 25years old PTR with more than 2times repaired would be diminished.</w:t>
      </w:r>
    </w:p>
    <w:p w14:paraId="7B5745E5" w14:textId="77777777" w:rsidR="00F616FB" w:rsidRPr="00070C53" w:rsidRDefault="00F616FB" w:rsidP="00F616FB">
      <w:pPr>
        <w:spacing w:after="200" w:line="360" w:lineRule="auto"/>
        <w:ind w:left="567"/>
        <w:contextualSpacing/>
        <w:jc w:val="both"/>
        <w:rPr>
          <w:rFonts w:asciiTheme="minorHAnsi" w:hAnsiTheme="minorHAnsi" w:cstheme="minorHAnsi"/>
          <w:color w:val="000000" w:themeColor="text1"/>
          <w:sz w:val="22"/>
          <w:szCs w:val="22"/>
          <w:lang w:bidi="or-IN"/>
        </w:rPr>
      </w:pPr>
      <w:r w:rsidRPr="00593FBC">
        <w:rPr>
          <w:rFonts w:asciiTheme="minorHAnsi" w:eastAsia="Calibri" w:hAnsiTheme="minorHAnsi" w:cstheme="minorHAnsi"/>
          <w:noProof/>
          <w:color w:val="000000" w:themeColor="text1"/>
          <w:sz w:val="22"/>
          <w:szCs w:val="22"/>
          <w:lang w:val="en-IN" w:eastAsia="en-IN"/>
        </w:rPr>
        <w:drawing>
          <wp:inline distT="0" distB="0" distL="0" distR="0" wp14:anchorId="464EFA82" wp14:editId="019E5BF8">
            <wp:extent cx="5379085" cy="2171700"/>
            <wp:effectExtent l="76200" t="76200" r="126365" b="133350"/>
            <wp:docPr id="92574953"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pic:cNvPicPr>
                      <a:picLocks noChangeAspect="1"/>
                    </pic:cNvPicPr>
                  </pic:nvPicPr>
                  <pic:blipFill>
                    <a:blip r:embed="rId65">
                      <a:extLst>
                        <a:ext uri="{28A0092B-C50C-407E-A947-70E740481C1C}">
                          <a14:useLocalDpi xmlns:a14="http://schemas.microsoft.com/office/drawing/2010/main" val="0"/>
                        </a:ext>
                      </a:extLst>
                    </a:blip>
                    <a:stretch>
                      <a:fillRect/>
                    </a:stretch>
                  </pic:blipFill>
                  <pic:spPr>
                    <a:xfrm>
                      <a:off x="0" y="0"/>
                      <a:ext cx="5391997" cy="2176913"/>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6F7351AB" w14:textId="77777777" w:rsidR="00F616FB" w:rsidRPr="00593FBC" w:rsidRDefault="00F616FB" w:rsidP="00F616FB">
      <w:pPr>
        <w:spacing w:line="360" w:lineRule="auto"/>
        <w:jc w:val="both"/>
        <w:rPr>
          <w:rFonts w:asciiTheme="minorHAnsi" w:hAnsiTheme="minorHAnsi" w:cstheme="minorHAnsi"/>
          <w:b/>
          <w:color w:val="000000" w:themeColor="text1"/>
          <w:sz w:val="22"/>
          <w:szCs w:val="22"/>
          <w:lang w:bidi="or-IN"/>
        </w:rPr>
      </w:pPr>
    </w:p>
    <w:p w14:paraId="6E306656" w14:textId="77777777" w:rsidR="00CA68C8" w:rsidRDefault="00CA68C8" w:rsidP="00F616FB">
      <w:pPr>
        <w:spacing w:line="360" w:lineRule="auto"/>
        <w:ind w:firstLine="567"/>
        <w:jc w:val="both"/>
        <w:rPr>
          <w:rFonts w:asciiTheme="minorHAnsi" w:hAnsiTheme="minorHAnsi" w:cstheme="minorHAnsi"/>
          <w:b/>
          <w:szCs w:val="28"/>
        </w:rPr>
      </w:pPr>
    </w:p>
    <w:p w14:paraId="2323E3FF" w14:textId="77777777" w:rsidR="00CA68C8" w:rsidRDefault="00CA68C8" w:rsidP="00F616FB">
      <w:pPr>
        <w:spacing w:line="360" w:lineRule="auto"/>
        <w:ind w:firstLine="567"/>
        <w:jc w:val="both"/>
        <w:rPr>
          <w:rFonts w:asciiTheme="minorHAnsi" w:hAnsiTheme="minorHAnsi" w:cstheme="minorHAnsi"/>
          <w:b/>
          <w:szCs w:val="28"/>
        </w:rPr>
      </w:pPr>
    </w:p>
    <w:p w14:paraId="7F3879E2" w14:textId="77777777" w:rsidR="00CA68C8" w:rsidRDefault="00CA68C8" w:rsidP="00F616FB">
      <w:pPr>
        <w:spacing w:line="360" w:lineRule="auto"/>
        <w:ind w:firstLine="567"/>
        <w:jc w:val="both"/>
        <w:rPr>
          <w:rFonts w:asciiTheme="minorHAnsi" w:hAnsiTheme="minorHAnsi" w:cstheme="minorHAnsi"/>
          <w:b/>
          <w:szCs w:val="28"/>
        </w:rPr>
      </w:pPr>
    </w:p>
    <w:p w14:paraId="3610F499" w14:textId="507297B2" w:rsidR="00F616FB" w:rsidRPr="00B27E40" w:rsidRDefault="0082580C" w:rsidP="00F616FB">
      <w:pPr>
        <w:spacing w:line="360" w:lineRule="auto"/>
        <w:ind w:firstLine="567"/>
        <w:jc w:val="both"/>
        <w:rPr>
          <w:rFonts w:asciiTheme="minorHAnsi" w:hAnsiTheme="minorHAnsi" w:cstheme="minorHAnsi"/>
          <w:b/>
          <w:szCs w:val="28"/>
        </w:rPr>
      </w:pPr>
      <w:r>
        <w:rPr>
          <w:rFonts w:asciiTheme="minorHAnsi" w:hAnsiTheme="minorHAnsi" w:cstheme="minorHAnsi"/>
          <w:b/>
          <w:szCs w:val="28"/>
        </w:rPr>
        <w:lastRenderedPageBreak/>
        <w:t>6.1.15</w:t>
      </w:r>
      <w:r w:rsidR="00F616FB" w:rsidRPr="00B27E40">
        <w:rPr>
          <w:rFonts w:asciiTheme="minorHAnsi" w:hAnsiTheme="minorHAnsi" w:cstheme="minorHAnsi"/>
          <w:b/>
          <w:szCs w:val="28"/>
        </w:rPr>
        <w:t xml:space="preserve"> 11KV Voltage Regulator</w:t>
      </w:r>
    </w:p>
    <w:p w14:paraId="43846594" w14:textId="77777777" w:rsidR="00F616FB" w:rsidRPr="00593FBC" w:rsidRDefault="00F616FB" w:rsidP="00F616FB">
      <w:pPr>
        <w:shd w:val="clear" w:color="auto" w:fill="FFFFFF"/>
        <w:spacing w:line="360" w:lineRule="auto"/>
        <w:ind w:left="567"/>
        <w:jc w:val="both"/>
        <w:rPr>
          <w:rFonts w:asciiTheme="minorHAnsi" w:hAnsiTheme="minorHAnsi" w:cstheme="minorHAnsi"/>
          <w:color w:val="000000" w:themeColor="text1"/>
          <w:sz w:val="22"/>
          <w:szCs w:val="22"/>
          <w:lang w:bidi="or-IN"/>
        </w:rPr>
      </w:pPr>
      <w:r w:rsidRPr="00593FBC">
        <w:rPr>
          <w:rFonts w:asciiTheme="minorHAnsi" w:hAnsiTheme="minorHAnsi" w:cstheme="minorHAnsi"/>
          <w:color w:val="000000" w:themeColor="text1"/>
          <w:sz w:val="22"/>
          <w:szCs w:val="22"/>
          <w:lang w:bidi="or-IN"/>
        </w:rPr>
        <w:t xml:space="preserve">11KV voltage regulators are explored to improve the Voltage Level particularly for the feeders where very low voltage issues are reported. 2 Nos. of these Voltage Regulators were procured at initial phase for pilot installation, out of which: </w:t>
      </w:r>
    </w:p>
    <w:p w14:paraId="4939A9FE" w14:textId="77777777" w:rsidR="00F616FB" w:rsidRPr="00593FBC" w:rsidRDefault="00F616FB" w:rsidP="00F616FB">
      <w:pPr>
        <w:shd w:val="clear" w:color="auto" w:fill="FFFFFF"/>
        <w:spacing w:line="360" w:lineRule="auto"/>
        <w:ind w:left="567"/>
        <w:rPr>
          <w:rFonts w:asciiTheme="minorHAnsi" w:hAnsiTheme="minorHAnsi" w:cstheme="minorHAnsi"/>
          <w:color w:val="000000" w:themeColor="text1"/>
          <w:sz w:val="22"/>
          <w:szCs w:val="22"/>
          <w:lang w:bidi="or-IN"/>
        </w:rPr>
      </w:pPr>
      <w:r w:rsidRPr="00593FBC">
        <w:rPr>
          <w:rFonts w:asciiTheme="minorHAnsi" w:hAnsiTheme="minorHAnsi" w:cstheme="minorHAnsi"/>
          <w:color w:val="000000" w:themeColor="text1"/>
          <w:sz w:val="22"/>
          <w:szCs w:val="22"/>
          <w:lang w:bidi="or-IN"/>
        </w:rPr>
        <w:t xml:space="preserve"> </w:t>
      </w:r>
    </w:p>
    <w:p w14:paraId="443B5D33" w14:textId="77777777" w:rsidR="00F616FB" w:rsidRPr="00593FBC" w:rsidRDefault="00F616FB" w:rsidP="00AB536C">
      <w:pPr>
        <w:numPr>
          <w:ilvl w:val="0"/>
          <w:numId w:val="15"/>
        </w:numPr>
        <w:shd w:val="clear" w:color="auto" w:fill="FFFFFF"/>
        <w:spacing w:after="200" w:line="360" w:lineRule="auto"/>
        <w:ind w:hanging="153"/>
        <w:contextualSpacing/>
        <w:rPr>
          <w:rFonts w:asciiTheme="minorHAnsi" w:eastAsia="Calibri" w:hAnsiTheme="minorHAnsi" w:cstheme="minorHAnsi"/>
          <w:color w:val="000000" w:themeColor="text1"/>
          <w:sz w:val="22"/>
          <w:szCs w:val="22"/>
          <w:lang w:bidi="or-IN"/>
        </w:rPr>
      </w:pPr>
      <w:r w:rsidRPr="00593FBC">
        <w:rPr>
          <w:rFonts w:asciiTheme="minorHAnsi" w:hAnsiTheme="minorHAnsi" w:cstheme="minorHAnsi"/>
          <w:color w:val="000000" w:themeColor="text1"/>
          <w:sz w:val="22"/>
          <w:szCs w:val="22"/>
          <w:lang w:bidi="or-IN"/>
        </w:rPr>
        <w:t xml:space="preserve">1 No. was successfully installed at 11KV </w:t>
      </w:r>
      <w:proofErr w:type="spellStart"/>
      <w:r w:rsidRPr="00593FBC">
        <w:rPr>
          <w:rFonts w:asciiTheme="minorHAnsi" w:hAnsiTheme="minorHAnsi" w:cstheme="minorHAnsi"/>
          <w:color w:val="000000" w:themeColor="text1"/>
          <w:sz w:val="22"/>
          <w:szCs w:val="22"/>
          <w:lang w:bidi="or-IN"/>
        </w:rPr>
        <w:t>Dosinga</w:t>
      </w:r>
      <w:proofErr w:type="spellEnd"/>
      <w:r w:rsidRPr="00593FBC">
        <w:rPr>
          <w:rFonts w:asciiTheme="minorHAnsi" w:hAnsiTheme="minorHAnsi" w:cstheme="minorHAnsi"/>
          <w:color w:val="000000" w:themeColor="text1"/>
          <w:sz w:val="22"/>
          <w:szCs w:val="22"/>
          <w:lang w:bidi="or-IN"/>
        </w:rPr>
        <w:t xml:space="preserve"> Overhead feeder of </w:t>
      </w:r>
      <w:proofErr w:type="spellStart"/>
      <w:r w:rsidRPr="00593FBC">
        <w:rPr>
          <w:rFonts w:asciiTheme="minorHAnsi" w:hAnsiTheme="minorHAnsi" w:cstheme="minorHAnsi"/>
          <w:color w:val="000000" w:themeColor="text1"/>
          <w:sz w:val="22"/>
          <w:szCs w:val="22"/>
          <w:lang w:bidi="or-IN"/>
        </w:rPr>
        <w:t>Dha</w:t>
      </w:r>
      <w:r w:rsidRPr="00593FBC">
        <w:rPr>
          <w:rFonts w:asciiTheme="minorHAnsi" w:eastAsia="Calibri" w:hAnsiTheme="minorHAnsi" w:cstheme="minorHAnsi"/>
          <w:color w:val="000000" w:themeColor="text1"/>
          <w:sz w:val="22"/>
          <w:szCs w:val="22"/>
          <w:lang w:bidi="or-IN"/>
        </w:rPr>
        <w:t>mara</w:t>
      </w:r>
      <w:proofErr w:type="spellEnd"/>
      <w:r w:rsidRPr="00593FBC">
        <w:rPr>
          <w:rFonts w:asciiTheme="minorHAnsi" w:eastAsia="Calibri" w:hAnsiTheme="minorHAnsi" w:cstheme="minorHAnsi"/>
          <w:color w:val="000000" w:themeColor="text1"/>
          <w:sz w:val="22"/>
          <w:szCs w:val="22"/>
          <w:lang w:bidi="or-IN"/>
        </w:rPr>
        <w:t xml:space="preserve"> PSS at Bali </w:t>
      </w:r>
      <w:proofErr w:type="spellStart"/>
      <w:r w:rsidRPr="00593FBC">
        <w:rPr>
          <w:rFonts w:asciiTheme="minorHAnsi" w:eastAsia="Calibri" w:hAnsiTheme="minorHAnsi" w:cstheme="minorHAnsi"/>
          <w:color w:val="000000" w:themeColor="text1"/>
          <w:sz w:val="22"/>
          <w:szCs w:val="22"/>
          <w:lang w:bidi="or-IN"/>
        </w:rPr>
        <w:t>Sahi</w:t>
      </w:r>
      <w:proofErr w:type="spellEnd"/>
      <w:r w:rsidRPr="00593FBC">
        <w:rPr>
          <w:rFonts w:asciiTheme="minorHAnsi" w:eastAsia="Calibri" w:hAnsiTheme="minorHAnsi" w:cstheme="minorHAnsi"/>
          <w:color w:val="000000" w:themeColor="text1"/>
          <w:sz w:val="22"/>
          <w:szCs w:val="22"/>
          <w:lang w:bidi="or-IN"/>
        </w:rPr>
        <w:t xml:space="preserve"> location. </w:t>
      </w:r>
    </w:p>
    <w:p w14:paraId="4526D717" w14:textId="7A9B3CF3" w:rsidR="00F616FB" w:rsidRDefault="00F616FB" w:rsidP="00CA68C8">
      <w:pPr>
        <w:numPr>
          <w:ilvl w:val="0"/>
          <w:numId w:val="15"/>
        </w:numPr>
        <w:shd w:val="clear" w:color="auto" w:fill="FFFFFF"/>
        <w:spacing w:after="200" w:line="360" w:lineRule="auto"/>
        <w:ind w:hanging="153"/>
        <w:contextualSpacing/>
        <w:rPr>
          <w:rFonts w:asciiTheme="minorHAnsi" w:eastAsia="Calibri" w:hAnsiTheme="minorHAnsi" w:cstheme="minorHAnsi"/>
          <w:color w:val="000000" w:themeColor="text1"/>
          <w:sz w:val="22"/>
          <w:szCs w:val="22"/>
          <w:lang w:bidi="or-IN"/>
        </w:rPr>
      </w:pPr>
      <w:r w:rsidRPr="00593FBC">
        <w:rPr>
          <w:rFonts w:asciiTheme="minorHAnsi" w:eastAsia="Calibri" w:hAnsiTheme="minorHAnsi" w:cstheme="minorHAnsi"/>
          <w:color w:val="000000" w:themeColor="text1"/>
          <w:sz w:val="22"/>
          <w:szCs w:val="22"/>
          <w:lang w:bidi="or-IN"/>
        </w:rPr>
        <w:t xml:space="preserve">The 2nd Voltage Regulator was installed and commissioned on 24th March’2023 at </w:t>
      </w:r>
      <w:proofErr w:type="spellStart"/>
      <w:r w:rsidRPr="00593FBC">
        <w:rPr>
          <w:rFonts w:asciiTheme="minorHAnsi" w:eastAsia="Calibri" w:hAnsiTheme="minorHAnsi" w:cstheme="minorHAnsi"/>
          <w:color w:val="000000" w:themeColor="text1"/>
          <w:sz w:val="22"/>
          <w:szCs w:val="22"/>
          <w:lang w:bidi="or-IN"/>
        </w:rPr>
        <w:t>Pokhoria</w:t>
      </w:r>
      <w:proofErr w:type="spellEnd"/>
      <w:r w:rsidRPr="00593FBC">
        <w:rPr>
          <w:rFonts w:asciiTheme="minorHAnsi" w:eastAsia="Calibri" w:hAnsiTheme="minorHAnsi" w:cstheme="minorHAnsi"/>
          <w:color w:val="000000" w:themeColor="text1"/>
          <w:sz w:val="22"/>
          <w:szCs w:val="22"/>
          <w:lang w:bidi="or-IN"/>
        </w:rPr>
        <w:t xml:space="preserve">, under </w:t>
      </w:r>
      <w:proofErr w:type="spellStart"/>
      <w:r w:rsidRPr="00593FBC">
        <w:rPr>
          <w:rFonts w:asciiTheme="minorHAnsi" w:eastAsia="Calibri" w:hAnsiTheme="minorHAnsi" w:cstheme="minorHAnsi"/>
          <w:color w:val="000000" w:themeColor="text1"/>
          <w:sz w:val="22"/>
          <w:szCs w:val="22"/>
          <w:lang w:bidi="or-IN"/>
        </w:rPr>
        <w:t>Jharadihi</w:t>
      </w:r>
      <w:proofErr w:type="spellEnd"/>
      <w:r w:rsidRPr="00593FBC">
        <w:rPr>
          <w:rFonts w:asciiTheme="minorHAnsi" w:eastAsia="Calibri" w:hAnsiTheme="minorHAnsi" w:cstheme="minorHAnsi"/>
          <w:color w:val="000000" w:themeColor="text1"/>
          <w:sz w:val="22"/>
          <w:szCs w:val="22"/>
          <w:lang w:bidi="or-IN"/>
        </w:rPr>
        <w:t xml:space="preserve"> Feeder, ESO </w:t>
      </w:r>
      <w:proofErr w:type="spellStart"/>
      <w:r w:rsidRPr="00593FBC">
        <w:rPr>
          <w:rFonts w:asciiTheme="minorHAnsi" w:eastAsia="Calibri" w:hAnsiTheme="minorHAnsi" w:cstheme="minorHAnsi"/>
          <w:color w:val="000000" w:themeColor="text1"/>
          <w:sz w:val="22"/>
          <w:szCs w:val="22"/>
          <w:lang w:bidi="or-IN"/>
        </w:rPr>
        <w:t>Bahalda</w:t>
      </w:r>
      <w:proofErr w:type="spellEnd"/>
      <w:r w:rsidRPr="00593FBC">
        <w:rPr>
          <w:rFonts w:asciiTheme="minorHAnsi" w:eastAsia="Calibri" w:hAnsiTheme="minorHAnsi" w:cstheme="minorHAnsi"/>
          <w:color w:val="000000" w:themeColor="text1"/>
          <w:sz w:val="22"/>
          <w:szCs w:val="22"/>
          <w:lang w:bidi="or-IN"/>
        </w:rPr>
        <w:t xml:space="preserve">, </w:t>
      </w:r>
      <w:proofErr w:type="spellStart"/>
      <w:r w:rsidRPr="00593FBC">
        <w:rPr>
          <w:rFonts w:asciiTheme="minorHAnsi" w:eastAsia="Calibri" w:hAnsiTheme="minorHAnsi" w:cstheme="minorHAnsi"/>
          <w:color w:val="000000" w:themeColor="text1"/>
          <w:sz w:val="22"/>
          <w:szCs w:val="22"/>
          <w:lang w:bidi="or-IN"/>
        </w:rPr>
        <w:t>Rairangpur</w:t>
      </w:r>
      <w:proofErr w:type="spellEnd"/>
      <w:r w:rsidRPr="00593FBC">
        <w:rPr>
          <w:rFonts w:asciiTheme="minorHAnsi" w:eastAsia="Calibri" w:hAnsiTheme="minorHAnsi" w:cstheme="minorHAnsi"/>
          <w:color w:val="000000" w:themeColor="text1"/>
          <w:sz w:val="22"/>
          <w:szCs w:val="22"/>
          <w:lang w:bidi="or-IN"/>
        </w:rPr>
        <w:t xml:space="preserve">. </w:t>
      </w:r>
    </w:p>
    <w:p w14:paraId="307E361B" w14:textId="77777777" w:rsidR="00CA68C8" w:rsidRPr="00CA68C8" w:rsidRDefault="00CA68C8" w:rsidP="00CA68C8">
      <w:pPr>
        <w:shd w:val="clear" w:color="auto" w:fill="FFFFFF"/>
        <w:spacing w:after="200" w:line="360" w:lineRule="auto"/>
        <w:ind w:left="720"/>
        <w:contextualSpacing/>
        <w:rPr>
          <w:rFonts w:asciiTheme="minorHAnsi" w:eastAsia="Calibri" w:hAnsiTheme="minorHAnsi" w:cstheme="minorHAnsi"/>
          <w:color w:val="000000" w:themeColor="text1"/>
          <w:sz w:val="22"/>
          <w:szCs w:val="22"/>
          <w:lang w:bidi="or-IN"/>
        </w:rPr>
      </w:pPr>
    </w:p>
    <w:p w14:paraId="7E165548" w14:textId="77777777" w:rsidR="00F616FB" w:rsidRPr="00593FBC" w:rsidRDefault="00F616FB" w:rsidP="00F616FB">
      <w:pPr>
        <w:shd w:val="clear" w:color="auto" w:fill="FFFFFF"/>
        <w:spacing w:line="360" w:lineRule="auto"/>
        <w:ind w:left="567"/>
        <w:jc w:val="both"/>
        <w:rPr>
          <w:rFonts w:asciiTheme="minorHAnsi" w:hAnsiTheme="minorHAnsi" w:cstheme="minorHAnsi"/>
          <w:color w:val="000000" w:themeColor="text1"/>
          <w:sz w:val="22"/>
          <w:szCs w:val="22"/>
          <w:lang w:bidi="or-IN"/>
        </w:rPr>
      </w:pPr>
      <w:r w:rsidRPr="00593FBC">
        <w:rPr>
          <w:rFonts w:asciiTheme="minorHAnsi" w:hAnsiTheme="minorHAnsi" w:cstheme="minorHAnsi"/>
          <w:color w:val="000000" w:themeColor="text1"/>
          <w:sz w:val="22"/>
          <w:szCs w:val="22"/>
          <w:lang w:bidi="or-IN"/>
        </w:rPr>
        <w:t xml:space="preserve">The installation has helped to improve the power quality, as the voltage at the receiving end is maintained constant amidst varying demand, increasing the longevity of all load equipment. </w:t>
      </w:r>
    </w:p>
    <w:p w14:paraId="39D2B9BF" w14:textId="7168CD46" w:rsidR="00F616FB" w:rsidRPr="00593FBC" w:rsidRDefault="00F616FB" w:rsidP="00F616FB">
      <w:pPr>
        <w:shd w:val="clear" w:color="auto" w:fill="FFFFFF"/>
        <w:spacing w:line="360" w:lineRule="auto"/>
        <w:ind w:left="720"/>
        <w:jc w:val="both"/>
        <w:rPr>
          <w:rFonts w:asciiTheme="minorHAnsi" w:hAnsiTheme="minorHAnsi" w:cstheme="minorHAnsi"/>
          <w:color w:val="000000" w:themeColor="text1"/>
          <w:sz w:val="22"/>
          <w:szCs w:val="22"/>
          <w:lang w:bidi="or-IN"/>
        </w:rPr>
      </w:pPr>
    </w:p>
    <w:p w14:paraId="642CA156" w14:textId="5A874211" w:rsidR="00F616FB" w:rsidRPr="006917BD" w:rsidRDefault="006B144F" w:rsidP="00F616FB">
      <w:pPr>
        <w:spacing w:after="200" w:line="360" w:lineRule="auto"/>
        <w:contextualSpacing/>
        <w:jc w:val="both"/>
        <w:rPr>
          <w:rFonts w:asciiTheme="minorHAnsi" w:hAnsiTheme="minorHAnsi" w:cstheme="minorHAnsi"/>
          <w:color w:val="000000" w:themeColor="text1"/>
          <w:sz w:val="22"/>
          <w:szCs w:val="22"/>
          <w:lang w:bidi="or-IN"/>
        </w:rPr>
      </w:pPr>
      <w:r w:rsidRPr="00593FBC">
        <w:rPr>
          <w:rFonts w:asciiTheme="minorHAnsi" w:hAnsiTheme="minorHAnsi" w:cstheme="minorHAnsi"/>
          <w:noProof/>
          <w:color w:val="000000" w:themeColor="text1"/>
          <w:sz w:val="22"/>
          <w:szCs w:val="22"/>
          <w:lang w:val="en-IN" w:eastAsia="en-IN"/>
        </w:rPr>
        <w:drawing>
          <wp:anchor distT="0" distB="0" distL="114300" distR="114300" simplePos="0" relativeHeight="252001792" behindDoc="1" locked="0" layoutInCell="1" allowOverlap="1" wp14:anchorId="27CFF9FA" wp14:editId="31150025">
            <wp:simplePos x="0" y="0"/>
            <wp:positionH relativeFrom="column">
              <wp:posOffset>571500</wp:posOffset>
            </wp:positionH>
            <wp:positionV relativeFrom="paragraph">
              <wp:posOffset>88900</wp:posOffset>
            </wp:positionV>
            <wp:extent cx="2324735" cy="2044460"/>
            <wp:effectExtent l="76200" t="76200" r="132715" b="127635"/>
            <wp:wrapTight wrapText="bothSides">
              <wp:wrapPolygon edited="0">
                <wp:start x="-354" y="-805"/>
                <wp:lineTo x="-708" y="-604"/>
                <wp:lineTo x="-708" y="21942"/>
                <wp:lineTo x="-354" y="22747"/>
                <wp:lineTo x="22302" y="22747"/>
                <wp:lineTo x="22656" y="21942"/>
                <wp:lineTo x="22656" y="2617"/>
                <wp:lineTo x="22302" y="-403"/>
                <wp:lineTo x="22302" y="-805"/>
                <wp:lineTo x="-354" y="-805"/>
              </wp:wrapPolygon>
            </wp:wrapTight>
            <wp:docPr id="7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pic:cNvPicPr>
                      <a:picLocks noChangeAspect="1"/>
                    </pic:cNvPicPr>
                  </pic:nvPicPr>
                  <pic:blipFill>
                    <a:blip r:embed="rId66"/>
                    <a:stretch>
                      <a:fillRect/>
                    </a:stretch>
                  </pic:blipFill>
                  <pic:spPr>
                    <a:xfrm>
                      <a:off x="0" y="0"/>
                      <a:ext cx="2324735" cy="204446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14:sizeRelH relativeFrom="margin">
              <wp14:pctWidth>0</wp14:pctWidth>
            </wp14:sizeRelH>
            <wp14:sizeRelV relativeFrom="margin">
              <wp14:pctHeight>0</wp14:pctHeight>
            </wp14:sizeRelV>
          </wp:anchor>
        </w:drawing>
      </w:r>
      <w:r w:rsidRPr="00593FBC">
        <w:rPr>
          <w:rFonts w:asciiTheme="minorHAnsi" w:hAnsiTheme="minorHAnsi" w:cstheme="minorHAnsi"/>
          <w:noProof/>
          <w:color w:val="000000" w:themeColor="text1"/>
          <w:sz w:val="22"/>
          <w:szCs w:val="22"/>
          <w:lang w:val="en-IN" w:eastAsia="en-IN"/>
        </w:rPr>
        <w:drawing>
          <wp:anchor distT="0" distB="0" distL="114300" distR="114300" simplePos="0" relativeHeight="252000768" behindDoc="1" locked="0" layoutInCell="1" allowOverlap="1" wp14:anchorId="4B2BA6E8" wp14:editId="176F060C">
            <wp:simplePos x="0" y="0"/>
            <wp:positionH relativeFrom="margin">
              <wp:posOffset>3429000</wp:posOffset>
            </wp:positionH>
            <wp:positionV relativeFrom="paragraph">
              <wp:posOffset>88900</wp:posOffset>
            </wp:positionV>
            <wp:extent cx="2357120" cy="2015490"/>
            <wp:effectExtent l="76200" t="76200" r="138430" b="137160"/>
            <wp:wrapTight wrapText="bothSides">
              <wp:wrapPolygon edited="0">
                <wp:start x="-349" y="-817"/>
                <wp:lineTo x="-698" y="-612"/>
                <wp:lineTo x="-698" y="22049"/>
                <wp:lineTo x="-349" y="22866"/>
                <wp:lineTo x="22345" y="22866"/>
                <wp:lineTo x="22694" y="22253"/>
                <wp:lineTo x="22694" y="2654"/>
                <wp:lineTo x="22345" y="-408"/>
                <wp:lineTo x="22345" y="-817"/>
                <wp:lineTo x="-349" y="-817"/>
              </wp:wrapPolygon>
            </wp:wrapTight>
            <wp:docPr id="9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pic:cNvPicPr>
                      <a:picLocks noChangeAspect="1"/>
                    </pic:cNvPicPr>
                  </pic:nvPicPr>
                  <pic:blipFill>
                    <a:blip r:embed="rId67"/>
                    <a:stretch>
                      <a:fillRect/>
                    </a:stretch>
                  </pic:blipFill>
                  <pic:spPr>
                    <a:xfrm>
                      <a:off x="0" y="0"/>
                      <a:ext cx="2357120" cy="201549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14:sizeRelH relativeFrom="margin">
              <wp14:pctWidth>0</wp14:pctWidth>
            </wp14:sizeRelH>
            <wp14:sizeRelV relativeFrom="margin">
              <wp14:pctHeight>0</wp14:pctHeight>
            </wp14:sizeRelV>
          </wp:anchor>
        </w:drawing>
      </w:r>
    </w:p>
    <w:p w14:paraId="1F364EFD" w14:textId="77777777" w:rsidR="00F616FB" w:rsidRDefault="00F616FB" w:rsidP="00F616FB">
      <w:pPr>
        <w:pStyle w:val="ListParagraph"/>
        <w:spacing w:after="0" w:line="360" w:lineRule="auto"/>
        <w:ind w:left="709" w:hanging="142"/>
        <w:rPr>
          <w:rFonts w:asciiTheme="minorHAnsi" w:eastAsia="Arial" w:hAnsiTheme="minorHAnsi" w:cstheme="minorHAnsi"/>
          <w:b/>
          <w:bCs/>
          <w:color w:val="000000" w:themeColor="text1"/>
          <w:sz w:val="24"/>
          <w:szCs w:val="24"/>
        </w:rPr>
      </w:pPr>
    </w:p>
    <w:p w14:paraId="615EFC53" w14:textId="2EB6CE0E" w:rsidR="00F616FB" w:rsidRDefault="00F616FB" w:rsidP="00F616FB">
      <w:pPr>
        <w:spacing w:line="257" w:lineRule="auto"/>
        <w:rPr>
          <w:rFonts w:asciiTheme="minorHAnsi" w:eastAsia="Arial" w:hAnsiTheme="minorHAnsi" w:cstheme="minorHAnsi"/>
          <w:b/>
          <w:bCs/>
          <w:color w:val="000000" w:themeColor="text1"/>
        </w:rPr>
      </w:pPr>
    </w:p>
    <w:p w14:paraId="360BB106" w14:textId="77777777" w:rsidR="008C0C54" w:rsidRPr="005851DF" w:rsidRDefault="008C0C54" w:rsidP="00F616FB">
      <w:pPr>
        <w:spacing w:line="257" w:lineRule="auto"/>
        <w:rPr>
          <w:rFonts w:asciiTheme="minorHAnsi" w:eastAsia="Arial" w:hAnsiTheme="minorHAnsi" w:cstheme="minorHAnsi"/>
          <w:b/>
          <w:bCs/>
          <w:color w:val="000000" w:themeColor="text1"/>
        </w:rPr>
      </w:pPr>
    </w:p>
    <w:p w14:paraId="4C96360A" w14:textId="77777777" w:rsidR="008C0C54" w:rsidRDefault="00F616FB" w:rsidP="00F616FB">
      <w:pPr>
        <w:pStyle w:val="ListParagraph"/>
        <w:spacing w:after="0" w:line="360" w:lineRule="auto"/>
        <w:ind w:left="709" w:hanging="993"/>
        <w:rPr>
          <w:rFonts w:asciiTheme="minorHAnsi" w:eastAsia="Arial" w:hAnsiTheme="minorHAnsi" w:cstheme="minorHAnsi"/>
          <w:b/>
          <w:bCs/>
          <w:color w:val="000000" w:themeColor="text1"/>
          <w:sz w:val="24"/>
          <w:szCs w:val="24"/>
        </w:rPr>
      </w:pPr>
      <w:r>
        <w:rPr>
          <w:rFonts w:asciiTheme="minorHAnsi" w:eastAsia="Arial" w:hAnsiTheme="minorHAnsi" w:cstheme="minorHAnsi"/>
          <w:b/>
          <w:bCs/>
          <w:color w:val="000000" w:themeColor="text1"/>
          <w:sz w:val="24"/>
          <w:szCs w:val="24"/>
        </w:rPr>
        <w:t xml:space="preserve">                 </w:t>
      </w:r>
    </w:p>
    <w:p w14:paraId="3D2647E8" w14:textId="77777777" w:rsidR="008C0C54" w:rsidRDefault="008C0C54" w:rsidP="00F616FB">
      <w:pPr>
        <w:pStyle w:val="ListParagraph"/>
        <w:spacing w:after="0" w:line="360" w:lineRule="auto"/>
        <w:ind w:left="709" w:hanging="993"/>
        <w:rPr>
          <w:rFonts w:asciiTheme="minorHAnsi" w:eastAsia="Arial" w:hAnsiTheme="minorHAnsi" w:cstheme="minorHAnsi"/>
          <w:b/>
          <w:bCs/>
          <w:color w:val="000000" w:themeColor="text1"/>
          <w:sz w:val="24"/>
          <w:szCs w:val="24"/>
        </w:rPr>
      </w:pPr>
    </w:p>
    <w:p w14:paraId="0A99D176" w14:textId="77777777" w:rsidR="008C0C54" w:rsidRDefault="008C0C54" w:rsidP="00F616FB">
      <w:pPr>
        <w:pStyle w:val="ListParagraph"/>
        <w:spacing w:after="0" w:line="360" w:lineRule="auto"/>
        <w:ind w:left="709" w:hanging="993"/>
        <w:rPr>
          <w:rFonts w:asciiTheme="minorHAnsi" w:eastAsia="Arial" w:hAnsiTheme="minorHAnsi" w:cstheme="minorHAnsi"/>
          <w:b/>
          <w:bCs/>
          <w:color w:val="000000" w:themeColor="text1"/>
          <w:sz w:val="24"/>
          <w:szCs w:val="24"/>
        </w:rPr>
      </w:pPr>
    </w:p>
    <w:p w14:paraId="190F7D4D" w14:textId="77777777" w:rsidR="008C0C54" w:rsidRDefault="008C0C54" w:rsidP="00F616FB">
      <w:pPr>
        <w:pStyle w:val="ListParagraph"/>
        <w:spacing w:after="0" w:line="360" w:lineRule="auto"/>
        <w:ind w:left="709" w:hanging="993"/>
        <w:rPr>
          <w:rFonts w:asciiTheme="minorHAnsi" w:eastAsia="Arial" w:hAnsiTheme="minorHAnsi" w:cstheme="minorHAnsi"/>
          <w:b/>
          <w:bCs/>
          <w:color w:val="000000" w:themeColor="text1"/>
          <w:sz w:val="24"/>
          <w:szCs w:val="24"/>
        </w:rPr>
      </w:pPr>
    </w:p>
    <w:p w14:paraId="2B1D5AD5" w14:textId="53E7EA57" w:rsidR="008C0C54" w:rsidRPr="0082580C" w:rsidRDefault="0082580C" w:rsidP="0082580C">
      <w:pPr>
        <w:pStyle w:val="paragraph"/>
        <w:spacing w:before="0" w:beforeAutospacing="0" w:after="0" w:afterAutospacing="0" w:line="360" w:lineRule="auto"/>
        <w:ind w:left="720"/>
        <w:jc w:val="both"/>
        <w:textAlignment w:val="baseline"/>
        <w:rPr>
          <w:rFonts w:asciiTheme="minorHAnsi" w:hAnsiTheme="minorHAnsi" w:cstheme="minorHAnsi"/>
          <w:b/>
          <w:color w:val="000000" w:themeColor="text1"/>
          <w:szCs w:val="22"/>
        </w:rPr>
      </w:pPr>
      <w:r w:rsidRPr="0082580C">
        <w:rPr>
          <w:rFonts w:asciiTheme="minorHAnsi" w:eastAsia="Arial" w:hAnsiTheme="minorHAnsi" w:cstheme="minorHAnsi"/>
          <w:b/>
          <w:bCs/>
          <w:color w:val="000000" w:themeColor="text1"/>
          <w:szCs w:val="22"/>
        </w:rPr>
        <w:t>6.1.16</w:t>
      </w:r>
      <w:r w:rsidR="008C0C54" w:rsidRPr="0082580C">
        <w:rPr>
          <w:rFonts w:asciiTheme="minorHAnsi" w:eastAsia="Arial" w:hAnsiTheme="minorHAnsi" w:cstheme="minorHAnsi"/>
          <w:b/>
          <w:bCs/>
          <w:color w:val="000000" w:themeColor="text1"/>
          <w:szCs w:val="22"/>
        </w:rPr>
        <w:t xml:space="preserve"> </w:t>
      </w:r>
      <w:r w:rsidR="008C0C54" w:rsidRPr="0082580C">
        <w:rPr>
          <w:rFonts w:asciiTheme="minorHAnsi" w:hAnsiTheme="minorHAnsi" w:cstheme="minorHAnsi"/>
          <w:b/>
          <w:color w:val="000000" w:themeColor="text1"/>
          <w:szCs w:val="22"/>
        </w:rPr>
        <w:t>Deployment of Ring-Main System (N-1 redundancy) for 33 KV network: </w:t>
      </w:r>
    </w:p>
    <w:p w14:paraId="45AF23CC" w14:textId="77777777" w:rsidR="00C67FB1" w:rsidRPr="00C67FB1" w:rsidRDefault="00C67FB1" w:rsidP="0082580C">
      <w:pPr>
        <w:pStyle w:val="paragraph"/>
        <w:spacing w:before="0" w:beforeAutospacing="0" w:after="0" w:afterAutospacing="0" w:line="360" w:lineRule="auto"/>
        <w:ind w:left="720"/>
        <w:jc w:val="both"/>
        <w:textAlignment w:val="baseline"/>
        <w:rPr>
          <w:rFonts w:asciiTheme="minorHAnsi" w:hAnsiTheme="minorHAnsi" w:cstheme="minorHAnsi"/>
          <w:color w:val="000000" w:themeColor="text1"/>
          <w:sz w:val="22"/>
          <w:szCs w:val="22"/>
        </w:rPr>
      </w:pPr>
    </w:p>
    <w:p w14:paraId="2032665D" w14:textId="31B702CE" w:rsidR="008C0C54" w:rsidRPr="00C67FB1" w:rsidRDefault="008C0C54" w:rsidP="0082580C">
      <w:pPr>
        <w:pStyle w:val="paragraph"/>
        <w:spacing w:before="0" w:beforeAutospacing="0" w:after="0" w:afterAutospacing="0" w:line="360" w:lineRule="auto"/>
        <w:ind w:left="720"/>
        <w:jc w:val="both"/>
        <w:textAlignment w:val="baseline"/>
        <w:rPr>
          <w:rFonts w:asciiTheme="minorHAnsi" w:hAnsiTheme="minorHAnsi" w:cstheme="minorHAnsi"/>
          <w:color w:val="000000" w:themeColor="text1"/>
          <w:sz w:val="22"/>
          <w:szCs w:val="22"/>
        </w:rPr>
      </w:pPr>
      <w:r w:rsidRPr="00C67FB1">
        <w:rPr>
          <w:rFonts w:asciiTheme="minorHAnsi" w:hAnsiTheme="minorHAnsi" w:cstheme="minorHAnsi"/>
          <w:color w:val="000000" w:themeColor="text1"/>
          <w:sz w:val="22"/>
          <w:szCs w:val="22"/>
        </w:rPr>
        <w:t>Most of the 33kv network at the time of takeover in 2021 was observed to be installed &amp; running under radial mode of operation. In absence of ring network/availability of 2nd source, any feeder outage/Breakdown used to result in shutdown to all the consumers connected to that feeder. To overcome the said network deficiency, the concept of Ring Main System has been introduced at 33 KV network by means of providing additional source to a network using 33kv RMU’s &amp; additional outlets from OPTCL grid. The progress made in this regard over the last 3 years is depicted in the table below. </w:t>
      </w:r>
    </w:p>
    <w:p w14:paraId="54F36BDB" w14:textId="765308F1" w:rsidR="008C0C54" w:rsidRDefault="008C0C54" w:rsidP="0082580C">
      <w:pPr>
        <w:pStyle w:val="paragraph"/>
        <w:spacing w:before="0" w:beforeAutospacing="0" w:after="0" w:afterAutospacing="0" w:line="360" w:lineRule="auto"/>
        <w:ind w:left="720"/>
        <w:textAlignment w:val="baseline"/>
        <w:rPr>
          <w:rStyle w:val="eop"/>
          <w:rFonts w:ascii="Calibri" w:hAnsi="Calibri" w:cs="Calibri"/>
          <w:sz w:val="22"/>
          <w:szCs w:val="22"/>
        </w:rPr>
      </w:pPr>
    </w:p>
    <w:p w14:paraId="6A8AFDE2" w14:textId="713ABC83" w:rsidR="00CA68C8" w:rsidRDefault="00CA68C8" w:rsidP="008C0C54">
      <w:pPr>
        <w:pStyle w:val="paragraph"/>
        <w:spacing w:before="0" w:beforeAutospacing="0" w:after="0" w:afterAutospacing="0"/>
        <w:ind w:left="720"/>
        <w:textAlignment w:val="baseline"/>
        <w:rPr>
          <w:rStyle w:val="eop"/>
          <w:rFonts w:ascii="Calibri" w:hAnsi="Calibri" w:cs="Calibri"/>
          <w:sz w:val="22"/>
          <w:szCs w:val="22"/>
        </w:rPr>
      </w:pPr>
    </w:p>
    <w:p w14:paraId="755EDFA1" w14:textId="53B60F02" w:rsidR="00CA68C8" w:rsidRDefault="00CA68C8" w:rsidP="008C0C54">
      <w:pPr>
        <w:pStyle w:val="paragraph"/>
        <w:spacing w:before="0" w:beforeAutospacing="0" w:after="0" w:afterAutospacing="0"/>
        <w:ind w:left="720"/>
        <w:textAlignment w:val="baseline"/>
        <w:rPr>
          <w:rStyle w:val="eop"/>
          <w:rFonts w:ascii="Calibri" w:hAnsi="Calibri" w:cs="Calibri"/>
          <w:sz w:val="22"/>
          <w:szCs w:val="22"/>
        </w:rPr>
      </w:pPr>
    </w:p>
    <w:p w14:paraId="0A6AB2BF" w14:textId="3A57F5E5" w:rsidR="00CA68C8" w:rsidRDefault="00CA68C8" w:rsidP="008C0C54">
      <w:pPr>
        <w:pStyle w:val="paragraph"/>
        <w:spacing w:before="0" w:beforeAutospacing="0" w:after="0" w:afterAutospacing="0"/>
        <w:ind w:left="720"/>
        <w:textAlignment w:val="baseline"/>
        <w:rPr>
          <w:rStyle w:val="eop"/>
          <w:rFonts w:ascii="Calibri" w:hAnsi="Calibri" w:cs="Calibri"/>
          <w:sz w:val="22"/>
          <w:szCs w:val="22"/>
        </w:rPr>
      </w:pPr>
    </w:p>
    <w:p w14:paraId="5B8127FC" w14:textId="77777777" w:rsidR="00CA68C8" w:rsidRDefault="00CA68C8" w:rsidP="008C0C54">
      <w:pPr>
        <w:pStyle w:val="paragraph"/>
        <w:spacing w:before="0" w:beforeAutospacing="0" w:after="0" w:afterAutospacing="0"/>
        <w:ind w:left="720"/>
        <w:textAlignment w:val="baseline"/>
        <w:rPr>
          <w:rStyle w:val="eop"/>
          <w:rFonts w:ascii="Calibri" w:hAnsi="Calibri" w:cs="Calibri"/>
          <w:sz w:val="22"/>
          <w:szCs w:val="22"/>
        </w:rPr>
      </w:pPr>
    </w:p>
    <w:p w14:paraId="7711ED48" w14:textId="3997F9F2" w:rsidR="008C0C54" w:rsidRDefault="008C0C54" w:rsidP="008C0C54">
      <w:pPr>
        <w:pStyle w:val="paragraph"/>
        <w:spacing w:before="0" w:beforeAutospacing="0" w:after="0" w:afterAutospacing="0"/>
        <w:ind w:left="720"/>
        <w:textAlignment w:val="baseline"/>
        <w:rPr>
          <w:rFonts w:ascii="Segoe UI" w:hAnsi="Segoe UI" w:cs="Segoe UI"/>
          <w:sz w:val="18"/>
          <w:szCs w:val="18"/>
        </w:rPr>
      </w:pPr>
      <w:r>
        <w:rPr>
          <w:rFonts w:ascii="Segoe UI" w:hAnsi="Segoe UI" w:cs="Segoe UI"/>
          <w:noProof/>
          <w:sz w:val="18"/>
          <w:szCs w:val="18"/>
          <w:lang w:val="en-IN" w:eastAsia="en-IN" w:bidi="ar-SA"/>
        </w:rPr>
        <w:drawing>
          <wp:inline distT="0" distB="0" distL="0" distR="0" wp14:anchorId="6C725724" wp14:editId="7C7A1C47">
            <wp:extent cx="5599475" cy="2602008"/>
            <wp:effectExtent l="76200" t="76200" r="134620" b="141605"/>
            <wp:docPr id="212922773" name="Picture 212922773" descr="C:\Users\malancha.ghose\AppData\Local\Microsoft\Windows\INetCache\Content.MSO\8F5FDD73.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 descr="C:\Users\malancha.ghose\AppData\Local\Microsoft\Windows\INetCache\Content.MSO\8F5FDD73.tmp"/>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5637375" cy="261962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r>
        <w:rPr>
          <w:rFonts w:ascii="Calibri" w:hAnsi="Calibri" w:cs="Calibri"/>
          <w:color w:val="000000"/>
          <w:sz w:val="22"/>
          <w:szCs w:val="22"/>
          <w:shd w:val="clear" w:color="auto" w:fill="FFFFFF"/>
        </w:rPr>
        <w:br/>
      </w:r>
    </w:p>
    <w:p w14:paraId="118F1378" w14:textId="7365D30E" w:rsidR="008C0C54" w:rsidRDefault="008C0C54" w:rsidP="00F616FB">
      <w:pPr>
        <w:pStyle w:val="ListParagraph"/>
        <w:spacing w:after="0" w:line="360" w:lineRule="auto"/>
        <w:ind w:left="709" w:hanging="993"/>
        <w:rPr>
          <w:rFonts w:asciiTheme="minorHAnsi" w:eastAsia="Arial" w:hAnsiTheme="minorHAnsi" w:cstheme="minorHAnsi"/>
          <w:b/>
          <w:bCs/>
          <w:color w:val="000000" w:themeColor="text1"/>
          <w:sz w:val="24"/>
          <w:szCs w:val="24"/>
        </w:rPr>
      </w:pPr>
    </w:p>
    <w:p w14:paraId="1402D7F1" w14:textId="50302964" w:rsidR="00F616FB" w:rsidRDefault="008C0C54" w:rsidP="00F616FB">
      <w:pPr>
        <w:pStyle w:val="ListParagraph"/>
        <w:spacing w:after="0" w:line="360" w:lineRule="auto"/>
        <w:ind w:left="709" w:hanging="993"/>
        <w:rPr>
          <w:rFonts w:asciiTheme="minorHAnsi" w:eastAsia="Arial" w:hAnsiTheme="minorHAnsi" w:cstheme="minorHAnsi"/>
          <w:b/>
          <w:bCs/>
          <w:color w:val="000000" w:themeColor="text1"/>
          <w:sz w:val="24"/>
          <w:szCs w:val="24"/>
        </w:rPr>
      </w:pPr>
      <w:r>
        <w:rPr>
          <w:rFonts w:asciiTheme="minorHAnsi" w:eastAsia="Arial" w:hAnsiTheme="minorHAnsi" w:cstheme="minorHAnsi"/>
          <w:b/>
          <w:bCs/>
          <w:color w:val="000000" w:themeColor="text1"/>
          <w:sz w:val="24"/>
          <w:szCs w:val="24"/>
        </w:rPr>
        <w:t xml:space="preserve">      </w:t>
      </w:r>
      <w:r w:rsidR="0082580C">
        <w:rPr>
          <w:rFonts w:asciiTheme="minorHAnsi" w:eastAsia="Arial" w:hAnsiTheme="minorHAnsi" w:cstheme="minorHAnsi"/>
          <w:b/>
          <w:bCs/>
          <w:color w:val="000000" w:themeColor="text1"/>
          <w:sz w:val="24"/>
          <w:szCs w:val="24"/>
        </w:rPr>
        <w:t xml:space="preserve">          6.1.17</w:t>
      </w:r>
      <w:r w:rsidR="00F616FB" w:rsidRPr="005851DF">
        <w:rPr>
          <w:rFonts w:asciiTheme="minorHAnsi" w:eastAsia="Arial" w:hAnsiTheme="minorHAnsi" w:cstheme="minorHAnsi"/>
          <w:b/>
          <w:bCs/>
          <w:color w:val="000000" w:themeColor="text1"/>
          <w:sz w:val="24"/>
          <w:szCs w:val="24"/>
        </w:rPr>
        <w:t xml:space="preserve"> Town City Islanding Concept</w:t>
      </w:r>
    </w:p>
    <w:p w14:paraId="4C22FF95" w14:textId="77777777" w:rsidR="00F616FB" w:rsidRPr="005851DF" w:rsidRDefault="00F616FB" w:rsidP="00F616FB">
      <w:pPr>
        <w:pStyle w:val="ListParagraph"/>
        <w:spacing w:after="0" w:line="360" w:lineRule="auto"/>
        <w:ind w:left="709" w:hanging="993"/>
        <w:rPr>
          <w:rFonts w:asciiTheme="minorHAnsi" w:eastAsia="Arial" w:hAnsiTheme="minorHAnsi" w:cstheme="minorHAnsi"/>
          <w:color w:val="000000" w:themeColor="text1"/>
          <w:szCs w:val="24"/>
        </w:rPr>
      </w:pPr>
      <w:r>
        <w:rPr>
          <w:rFonts w:asciiTheme="minorHAnsi" w:eastAsia="Arial" w:hAnsiTheme="minorHAnsi" w:cstheme="minorHAnsi"/>
          <w:color w:val="000000" w:themeColor="text1"/>
          <w:sz w:val="24"/>
          <w:szCs w:val="24"/>
        </w:rPr>
        <w:t xml:space="preserve">                </w:t>
      </w:r>
      <w:r w:rsidRPr="005851DF">
        <w:rPr>
          <w:rFonts w:asciiTheme="minorHAnsi" w:eastAsia="Arial" w:hAnsiTheme="minorHAnsi" w:cstheme="minorHAnsi"/>
          <w:color w:val="000000" w:themeColor="text1"/>
          <w:sz w:val="24"/>
          <w:szCs w:val="24"/>
        </w:rPr>
        <w:t xml:space="preserve"> </w:t>
      </w:r>
      <w:r w:rsidRPr="005851DF">
        <w:rPr>
          <w:rFonts w:asciiTheme="minorHAnsi" w:eastAsia="Arial" w:hAnsiTheme="minorHAnsi" w:cstheme="minorHAnsi"/>
          <w:color w:val="000000" w:themeColor="text1"/>
          <w:szCs w:val="24"/>
        </w:rPr>
        <w:t>Islanding capacity of town area in case of any fault in Rural area within the same feeder</w:t>
      </w:r>
    </w:p>
    <w:p w14:paraId="75B3D875" w14:textId="77777777" w:rsidR="00F616FB" w:rsidRPr="005851DF" w:rsidRDefault="00F616FB" w:rsidP="00AB536C">
      <w:pPr>
        <w:pStyle w:val="ListParagraph"/>
        <w:numPr>
          <w:ilvl w:val="0"/>
          <w:numId w:val="22"/>
        </w:numPr>
        <w:spacing w:after="0" w:line="360" w:lineRule="auto"/>
        <w:ind w:left="851" w:firstLine="0"/>
        <w:rPr>
          <w:rFonts w:asciiTheme="minorHAnsi" w:eastAsia="Arial" w:hAnsiTheme="minorHAnsi" w:cstheme="minorHAnsi"/>
          <w:color w:val="000000" w:themeColor="text1"/>
          <w:szCs w:val="24"/>
        </w:rPr>
      </w:pPr>
      <w:r w:rsidRPr="005851DF">
        <w:rPr>
          <w:rFonts w:asciiTheme="minorHAnsi" w:eastAsia="Arial" w:hAnsiTheme="minorHAnsi" w:cstheme="minorHAnsi"/>
          <w:color w:val="000000" w:themeColor="text1"/>
          <w:szCs w:val="24"/>
        </w:rPr>
        <w:t xml:space="preserve">Installation of RMU/ </w:t>
      </w:r>
      <w:proofErr w:type="spellStart"/>
      <w:r w:rsidRPr="005851DF">
        <w:rPr>
          <w:rFonts w:asciiTheme="minorHAnsi" w:eastAsia="Arial" w:hAnsiTheme="minorHAnsi" w:cstheme="minorHAnsi"/>
          <w:color w:val="000000" w:themeColor="text1"/>
          <w:szCs w:val="24"/>
        </w:rPr>
        <w:t>Autorecloser</w:t>
      </w:r>
      <w:proofErr w:type="spellEnd"/>
      <w:r w:rsidRPr="005851DF">
        <w:rPr>
          <w:rFonts w:asciiTheme="minorHAnsi" w:eastAsia="Arial" w:hAnsiTheme="minorHAnsi" w:cstheme="minorHAnsi"/>
          <w:color w:val="000000" w:themeColor="text1"/>
          <w:szCs w:val="24"/>
        </w:rPr>
        <w:t xml:space="preserve"> in feeder at the boundary of Urban &amp; Rural area</w:t>
      </w:r>
    </w:p>
    <w:p w14:paraId="0F83FED6" w14:textId="77777777" w:rsidR="00F616FB" w:rsidRPr="005851DF" w:rsidRDefault="00F616FB" w:rsidP="00AB536C">
      <w:pPr>
        <w:pStyle w:val="ListParagraph"/>
        <w:numPr>
          <w:ilvl w:val="0"/>
          <w:numId w:val="22"/>
        </w:numPr>
        <w:spacing w:after="0" w:line="360" w:lineRule="auto"/>
        <w:ind w:left="851" w:firstLine="0"/>
        <w:rPr>
          <w:rFonts w:asciiTheme="minorHAnsi" w:eastAsia="Arial" w:hAnsiTheme="minorHAnsi" w:cstheme="minorHAnsi"/>
          <w:color w:val="000000" w:themeColor="text1"/>
          <w:szCs w:val="24"/>
        </w:rPr>
      </w:pPr>
      <w:r w:rsidRPr="005851DF">
        <w:rPr>
          <w:rFonts w:asciiTheme="minorHAnsi" w:eastAsia="Arial" w:hAnsiTheme="minorHAnsi" w:cstheme="minorHAnsi"/>
          <w:color w:val="000000" w:themeColor="text1"/>
          <w:szCs w:val="24"/>
        </w:rPr>
        <w:t>Urban area will remain unaffected during fault in rural belt</w:t>
      </w:r>
    </w:p>
    <w:p w14:paraId="55D414CF" w14:textId="77777777" w:rsidR="00F616FB" w:rsidRPr="005851DF" w:rsidRDefault="00F616FB" w:rsidP="00AB536C">
      <w:pPr>
        <w:pStyle w:val="ListParagraph"/>
        <w:numPr>
          <w:ilvl w:val="0"/>
          <w:numId w:val="22"/>
        </w:numPr>
        <w:spacing w:after="0" w:line="360" w:lineRule="auto"/>
        <w:ind w:left="851" w:firstLine="0"/>
        <w:rPr>
          <w:rFonts w:asciiTheme="minorHAnsi" w:eastAsia="Arial" w:hAnsiTheme="minorHAnsi" w:cstheme="minorHAnsi"/>
          <w:color w:val="000000" w:themeColor="text1"/>
          <w:szCs w:val="24"/>
        </w:rPr>
      </w:pPr>
      <w:r w:rsidRPr="005851DF">
        <w:rPr>
          <w:rFonts w:asciiTheme="minorHAnsi" w:eastAsia="Arial" w:hAnsiTheme="minorHAnsi" w:cstheme="minorHAnsi"/>
          <w:color w:val="000000" w:themeColor="text1"/>
          <w:szCs w:val="24"/>
        </w:rPr>
        <w:t xml:space="preserve">Fault restoration will be faster for rural belt too </w:t>
      </w:r>
    </w:p>
    <w:p w14:paraId="442F2476" w14:textId="6A1E51C1" w:rsidR="00F616FB" w:rsidRDefault="00F616FB" w:rsidP="00AB536C">
      <w:pPr>
        <w:pStyle w:val="ListParagraph"/>
        <w:numPr>
          <w:ilvl w:val="0"/>
          <w:numId w:val="22"/>
        </w:numPr>
        <w:spacing w:after="0" w:line="360" w:lineRule="auto"/>
        <w:ind w:left="851" w:firstLine="0"/>
        <w:rPr>
          <w:rFonts w:asciiTheme="minorHAnsi" w:eastAsia="Arial" w:hAnsiTheme="minorHAnsi" w:cstheme="minorHAnsi"/>
          <w:color w:val="000000" w:themeColor="text1"/>
          <w:szCs w:val="24"/>
        </w:rPr>
      </w:pPr>
      <w:r w:rsidRPr="00593FBC">
        <w:rPr>
          <w:rFonts w:asciiTheme="minorHAnsi" w:hAnsiTheme="minorHAnsi" w:cstheme="minorHAnsi"/>
          <w:noProof/>
          <w:lang w:val="en-IN" w:eastAsia="en-IN"/>
        </w:rPr>
        <w:drawing>
          <wp:anchor distT="0" distB="0" distL="114300" distR="114300" simplePos="0" relativeHeight="252037632" behindDoc="1" locked="0" layoutInCell="1" allowOverlap="1" wp14:anchorId="37C4CB63" wp14:editId="740EBB1B">
            <wp:simplePos x="0" y="0"/>
            <wp:positionH relativeFrom="margin">
              <wp:posOffset>666750</wp:posOffset>
            </wp:positionH>
            <wp:positionV relativeFrom="paragraph">
              <wp:posOffset>401320</wp:posOffset>
            </wp:positionV>
            <wp:extent cx="5372100" cy="2781300"/>
            <wp:effectExtent l="76200" t="76200" r="133350" b="133350"/>
            <wp:wrapTight wrapText="bothSides">
              <wp:wrapPolygon edited="0">
                <wp:start x="-153" y="-592"/>
                <wp:lineTo x="-306" y="-444"/>
                <wp:lineTo x="-306" y="21896"/>
                <wp:lineTo x="-153" y="22488"/>
                <wp:lineTo x="21906" y="22488"/>
                <wp:lineTo x="22060" y="21008"/>
                <wp:lineTo x="22060" y="1923"/>
                <wp:lineTo x="21906" y="-296"/>
                <wp:lineTo x="21906" y="-592"/>
                <wp:lineTo x="-153" y="-592"/>
              </wp:wrapPolygon>
            </wp:wrapTight>
            <wp:docPr id="1939525940" name="Picture 19395259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9">
                      <a:extLst>
                        <a:ext uri="{28A0092B-C50C-407E-A947-70E740481C1C}">
                          <a14:useLocalDpi xmlns:a14="http://schemas.microsoft.com/office/drawing/2010/main" val="0"/>
                        </a:ext>
                      </a:extLst>
                    </a:blip>
                    <a:stretch>
                      <a:fillRect/>
                    </a:stretch>
                  </pic:blipFill>
                  <pic:spPr>
                    <a:xfrm>
                      <a:off x="0" y="0"/>
                      <a:ext cx="5372100" cy="278130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14:sizeRelH relativeFrom="margin">
              <wp14:pctWidth>0</wp14:pctWidth>
            </wp14:sizeRelH>
            <wp14:sizeRelV relativeFrom="margin">
              <wp14:pctHeight>0</wp14:pctHeight>
            </wp14:sizeRelV>
          </wp:anchor>
        </w:drawing>
      </w:r>
      <w:r w:rsidRPr="005851DF">
        <w:rPr>
          <w:rFonts w:asciiTheme="minorHAnsi" w:eastAsia="Arial" w:hAnsiTheme="minorHAnsi" w:cstheme="minorHAnsi"/>
          <w:color w:val="000000" w:themeColor="text1"/>
          <w:szCs w:val="24"/>
        </w:rPr>
        <w:t>16 town considered, one in each division.</w:t>
      </w:r>
    </w:p>
    <w:p w14:paraId="7311FF1B" w14:textId="1275BC36" w:rsidR="008C0C54" w:rsidRPr="0025136B" w:rsidRDefault="008C0C54" w:rsidP="0082580C">
      <w:pPr>
        <w:pStyle w:val="paragraph"/>
        <w:spacing w:before="0" w:beforeAutospacing="0" w:after="0" w:afterAutospacing="0" w:line="360" w:lineRule="auto"/>
        <w:ind w:left="720"/>
        <w:jc w:val="both"/>
        <w:textAlignment w:val="baseline"/>
        <w:rPr>
          <w:rStyle w:val="eop"/>
          <w:rFonts w:ascii="Calibri" w:hAnsi="Calibri" w:cs="Calibri"/>
          <w:sz w:val="22"/>
          <w:szCs w:val="22"/>
          <w:lang w:eastAsia="en-IN"/>
        </w:rPr>
      </w:pPr>
      <w:r w:rsidRPr="0025136B">
        <w:rPr>
          <w:rFonts w:asciiTheme="minorHAnsi" w:eastAsia="Arial" w:hAnsiTheme="minorHAnsi" w:cstheme="minorHAnsi"/>
          <w:color w:val="000000" w:themeColor="text1"/>
          <w:sz w:val="22"/>
          <w:szCs w:val="22"/>
          <w:lang w:bidi="ar-SA"/>
        </w:rPr>
        <w:t xml:space="preserve">The concept of “Trip Free Town” is introduced wherein specific town area is selected for drastic improvement in reliability performance. </w:t>
      </w:r>
      <w:proofErr w:type="spellStart"/>
      <w:r w:rsidRPr="0025136B">
        <w:rPr>
          <w:rFonts w:asciiTheme="minorHAnsi" w:eastAsia="Arial" w:hAnsiTheme="minorHAnsi" w:cstheme="minorHAnsi"/>
          <w:color w:val="000000" w:themeColor="text1"/>
          <w:sz w:val="22"/>
          <w:szCs w:val="22"/>
          <w:lang w:bidi="ar-SA"/>
        </w:rPr>
        <w:t>Balasore</w:t>
      </w:r>
      <w:proofErr w:type="spellEnd"/>
      <w:r w:rsidRPr="0025136B">
        <w:rPr>
          <w:rFonts w:asciiTheme="minorHAnsi" w:eastAsia="Arial" w:hAnsiTheme="minorHAnsi" w:cstheme="minorHAnsi"/>
          <w:color w:val="000000" w:themeColor="text1"/>
          <w:sz w:val="22"/>
          <w:szCs w:val="22"/>
          <w:lang w:bidi="ar-SA"/>
        </w:rPr>
        <w:t xml:space="preserve"> town is taken as 1st pilot project under this concept wherein N-1 provision at 33 KV and 11 KV network is considered along with 100 % LT side </w:t>
      </w:r>
      <w:r w:rsidRPr="0025136B">
        <w:rPr>
          <w:rFonts w:asciiTheme="minorHAnsi" w:eastAsia="Arial" w:hAnsiTheme="minorHAnsi" w:cstheme="minorHAnsi"/>
          <w:color w:val="000000" w:themeColor="text1"/>
          <w:sz w:val="22"/>
          <w:szCs w:val="22"/>
          <w:lang w:bidi="ar-SA"/>
        </w:rPr>
        <w:lastRenderedPageBreak/>
        <w:t xml:space="preserve">protection will be targeted. 5-year load growth of </w:t>
      </w:r>
      <w:proofErr w:type="spellStart"/>
      <w:r w:rsidRPr="0025136B">
        <w:rPr>
          <w:rFonts w:asciiTheme="minorHAnsi" w:eastAsia="Arial" w:hAnsiTheme="minorHAnsi" w:cstheme="minorHAnsi"/>
          <w:color w:val="000000" w:themeColor="text1"/>
          <w:sz w:val="22"/>
          <w:szCs w:val="22"/>
          <w:lang w:bidi="ar-SA"/>
        </w:rPr>
        <w:t>Balasore</w:t>
      </w:r>
      <w:proofErr w:type="spellEnd"/>
      <w:r w:rsidRPr="0025136B">
        <w:rPr>
          <w:rFonts w:asciiTheme="minorHAnsi" w:eastAsia="Arial" w:hAnsiTheme="minorHAnsi" w:cstheme="minorHAnsi"/>
          <w:color w:val="000000" w:themeColor="text1"/>
          <w:sz w:val="22"/>
          <w:szCs w:val="22"/>
          <w:lang w:bidi="ar-SA"/>
        </w:rPr>
        <w:t xml:space="preserve"> town is considered while designing the Network elements. Total cost of the project” Trip Free </w:t>
      </w:r>
      <w:proofErr w:type="spellStart"/>
      <w:r w:rsidRPr="0025136B">
        <w:rPr>
          <w:rFonts w:asciiTheme="minorHAnsi" w:eastAsia="Arial" w:hAnsiTheme="minorHAnsi" w:cstheme="minorHAnsi"/>
          <w:color w:val="000000" w:themeColor="text1"/>
          <w:sz w:val="22"/>
          <w:szCs w:val="22"/>
          <w:lang w:bidi="ar-SA"/>
        </w:rPr>
        <w:t>Balasore</w:t>
      </w:r>
      <w:proofErr w:type="spellEnd"/>
      <w:r w:rsidRPr="0025136B">
        <w:rPr>
          <w:rFonts w:asciiTheme="minorHAnsi" w:eastAsia="Arial" w:hAnsiTheme="minorHAnsi" w:cstheme="minorHAnsi"/>
          <w:color w:val="000000" w:themeColor="text1"/>
          <w:sz w:val="22"/>
          <w:szCs w:val="22"/>
          <w:lang w:bidi="ar-SA"/>
        </w:rPr>
        <w:t>” is estimated at approx. 300 crores &amp; is expected to span over 3 years. In 1st phase of about 70 crores is taken up in the FY-25. For balance phases, provision in the upcoming DPRs (for FY-26 &amp; FY-27)</w:t>
      </w:r>
      <w:r w:rsidR="0025136B" w:rsidRPr="0025136B">
        <w:rPr>
          <w:rFonts w:asciiTheme="minorHAnsi" w:eastAsia="Arial" w:hAnsiTheme="minorHAnsi" w:cstheme="minorHAnsi"/>
          <w:color w:val="000000" w:themeColor="text1"/>
          <w:sz w:val="22"/>
          <w:szCs w:val="22"/>
          <w:lang w:bidi="ar-SA"/>
        </w:rPr>
        <w:t xml:space="preserve"> </w:t>
      </w:r>
      <w:r w:rsidRPr="0025136B">
        <w:rPr>
          <w:rFonts w:asciiTheme="minorHAnsi" w:eastAsia="Arial" w:hAnsiTheme="minorHAnsi" w:cstheme="minorHAnsi"/>
          <w:color w:val="000000" w:themeColor="text1"/>
          <w:sz w:val="22"/>
          <w:szCs w:val="22"/>
          <w:lang w:bidi="ar-SA"/>
        </w:rPr>
        <w:t>in the upcoming DPR will be put up to honorable OERC for approval. </w:t>
      </w:r>
    </w:p>
    <w:p w14:paraId="57B37ED4" w14:textId="77777777" w:rsidR="00CA68C8" w:rsidRDefault="00CA68C8" w:rsidP="0082580C">
      <w:pPr>
        <w:pStyle w:val="paragraph"/>
        <w:spacing w:before="0" w:beforeAutospacing="0" w:after="0" w:afterAutospacing="0" w:line="360" w:lineRule="auto"/>
        <w:ind w:left="360"/>
        <w:textAlignment w:val="baseline"/>
        <w:rPr>
          <w:rFonts w:ascii="Calibri" w:hAnsi="Calibri" w:cs="Calibri"/>
          <w:sz w:val="22"/>
          <w:szCs w:val="22"/>
          <w:lang w:eastAsia="en-IN"/>
        </w:rPr>
      </w:pPr>
    </w:p>
    <w:p w14:paraId="1474A1AD" w14:textId="133302C0" w:rsidR="008C0C54" w:rsidRDefault="008C0C54" w:rsidP="008C0C54">
      <w:pPr>
        <w:pStyle w:val="paragraph"/>
        <w:spacing w:before="0" w:beforeAutospacing="0" w:after="0" w:afterAutospacing="0"/>
        <w:ind w:left="840"/>
        <w:textAlignment w:val="baseline"/>
        <w:rPr>
          <w:rStyle w:val="eop"/>
          <w:rFonts w:ascii="Calibri" w:hAnsi="Calibri" w:cs="Calibri"/>
          <w:sz w:val="22"/>
          <w:szCs w:val="22"/>
        </w:rPr>
      </w:pPr>
      <w:r>
        <w:rPr>
          <w:rFonts w:asciiTheme="minorHAnsi" w:eastAsia="Arial" w:hAnsiTheme="minorHAnsi" w:cstheme="minorHAnsi"/>
          <w:noProof/>
          <w:color w:val="000000" w:themeColor="text1"/>
          <w:sz w:val="22"/>
          <w:lang w:val="en-IN" w:eastAsia="en-IN" w:bidi="ar-SA"/>
        </w:rPr>
        <w:drawing>
          <wp:inline distT="0" distB="0" distL="0" distR="0" wp14:anchorId="048098BD" wp14:editId="4D5C9CFB">
            <wp:extent cx="5553075" cy="3061335"/>
            <wp:effectExtent l="76200" t="76200" r="142875" b="139065"/>
            <wp:docPr id="212922775" name="Picture 212922775" descr="C:\Users\malancha.ghose\AppData\Local\Microsoft\Windows\INetCache\Content.MSO\E01FEAF9.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 descr="C:\Users\malancha.ghose\AppData\Local\Microsoft\Windows\INetCache\Content.MSO\E01FEAF9.tmp"/>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5593196" cy="3083453"/>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r>
        <w:rPr>
          <w:rStyle w:val="eop"/>
          <w:rFonts w:ascii="Calibri" w:hAnsi="Calibri" w:cs="Calibri"/>
          <w:sz w:val="22"/>
          <w:szCs w:val="22"/>
        </w:rPr>
        <w:t> </w:t>
      </w:r>
    </w:p>
    <w:p w14:paraId="26FD2F2E" w14:textId="77777777" w:rsidR="00CA68C8" w:rsidRDefault="00CA68C8" w:rsidP="008C0C54">
      <w:pPr>
        <w:pStyle w:val="paragraph"/>
        <w:spacing w:before="0" w:beforeAutospacing="0" w:after="0" w:afterAutospacing="0"/>
        <w:ind w:left="840"/>
        <w:textAlignment w:val="baseline"/>
        <w:rPr>
          <w:rFonts w:ascii="Segoe UI" w:hAnsi="Segoe UI" w:cs="Segoe UI"/>
          <w:sz w:val="18"/>
          <w:szCs w:val="18"/>
        </w:rPr>
      </w:pPr>
    </w:p>
    <w:p w14:paraId="7FF16C8F" w14:textId="784C8BC9" w:rsidR="008C0C54" w:rsidRPr="0025136B" w:rsidRDefault="008C0C54" w:rsidP="0025136B">
      <w:pPr>
        <w:pStyle w:val="paragraph"/>
        <w:spacing w:before="0" w:beforeAutospacing="0" w:after="0" w:afterAutospacing="0"/>
        <w:ind w:left="840"/>
        <w:textAlignment w:val="baseline"/>
        <w:rPr>
          <w:rFonts w:ascii="Calibri" w:hAnsi="Calibri" w:cs="Calibri"/>
          <w:sz w:val="22"/>
          <w:szCs w:val="22"/>
        </w:rPr>
      </w:pPr>
      <w:r>
        <w:rPr>
          <w:rFonts w:asciiTheme="minorHAnsi" w:eastAsia="Arial" w:hAnsiTheme="minorHAnsi" w:cstheme="minorHAnsi"/>
          <w:noProof/>
          <w:color w:val="000000" w:themeColor="text1"/>
          <w:sz w:val="22"/>
          <w:lang w:val="en-IN" w:eastAsia="en-IN" w:bidi="ar-SA"/>
        </w:rPr>
        <w:drawing>
          <wp:inline distT="0" distB="0" distL="0" distR="0" wp14:anchorId="54704B9F" wp14:editId="08A4EF14">
            <wp:extent cx="5541542" cy="3123956"/>
            <wp:effectExtent l="76200" t="76200" r="135890" b="133985"/>
            <wp:docPr id="212922774" name="Picture 212922774" descr="C:\Users\malancha.ghose\AppData\Local\Microsoft\Windows\INetCache\Content.MSO\3315006F.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 descr="C:\Users\malancha.ghose\AppData\Local\Microsoft\Windows\INetCache\Content.MSO\3315006F.tmp"/>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5574519" cy="3142546"/>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6BDEA474" w14:textId="77777777" w:rsidR="008C0C54" w:rsidRDefault="008C0C54" w:rsidP="008C0C54">
      <w:pPr>
        <w:pStyle w:val="paragraph"/>
        <w:spacing w:before="0" w:beforeAutospacing="0" w:after="0" w:afterAutospacing="0"/>
        <w:ind w:left="555"/>
        <w:jc w:val="both"/>
        <w:textAlignment w:val="baseline"/>
        <w:rPr>
          <w:rFonts w:ascii="Segoe UI" w:hAnsi="Segoe UI" w:cs="Segoe UI"/>
          <w:sz w:val="18"/>
          <w:szCs w:val="18"/>
        </w:rPr>
      </w:pPr>
      <w:r>
        <w:rPr>
          <w:rStyle w:val="eop"/>
          <w:rFonts w:ascii="Calibri" w:hAnsi="Calibri" w:cs="Calibri"/>
          <w:color w:val="000000"/>
        </w:rPr>
        <w:t> </w:t>
      </w:r>
    </w:p>
    <w:p w14:paraId="26C76D31" w14:textId="77777777" w:rsidR="000408AB" w:rsidRDefault="000408AB" w:rsidP="000408AB">
      <w:pPr>
        <w:pStyle w:val="paragraph"/>
        <w:shd w:val="clear" w:color="auto" w:fill="FFFFFF" w:themeFill="background1"/>
        <w:spacing w:before="0" w:beforeAutospacing="0" w:after="0" w:afterAutospacing="0"/>
        <w:ind w:left="360"/>
        <w:jc w:val="both"/>
        <w:textAlignment w:val="baseline"/>
        <w:rPr>
          <w:rFonts w:asciiTheme="minorHAnsi" w:eastAsia="Arial" w:hAnsiTheme="minorHAnsi" w:cstheme="minorHAnsi"/>
          <w:color w:val="000000" w:themeColor="text1"/>
          <w:sz w:val="22"/>
          <w:szCs w:val="22"/>
          <w:lang w:bidi="ar-SA"/>
        </w:rPr>
      </w:pPr>
      <w:r>
        <w:rPr>
          <w:rFonts w:asciiTheme="minorHAnsi" w:eastAsia="Arial" w:hAnsiTheme="minorHAnsi" w:cstheme="minorHAnsi"/>
          <w:color w:val="000000" w:themeColor="text1"/>
          <w:sz w:val="22"/>
          <w:szCs w:val="22"/>
          <w:lang w:bidi="ar-SA"/>
        </w:rPr>
        <w:t xml:space="preserve">      </w:t>
      </w:r>
    </w:p>
    <w:p w14:paraId="07437439" w14:textId="27F548D0" w:rsidR="00B2218D" w:rsidRDefault="000408AB" w:rsidP="000408AB">
      <w:pPr>
        <w:pStyle w:val="paragraph"/>
        <w:shd w:val="clear" w:color="auto" w:fill="FFFFFF" w:themeFill="background1"/>
        <w:spacing w:before="0" w:beforeAutospacing="0" w:after="0" w:afterAutospacing="0"/>
        <w:ind w:left="360"/>
        <w:jc w:val="both"/>
        <w:textAlignment w:val="baseline"/>
        <w:rPr>
          <w:rFonts w:asciiTheme="minorHAnsi" w:eastAsia="Arial" w:hAnsiTheme="minorHAnsi" w:cstheme="minorHAnsi"/>
          <w:b/>
          <w:color w:val="000000" w:themeColor="text1"/>
          <w:szCs w:val="22"/>
          <w:lang w:bidi="ar-SA"/>
        </w:rPr>
      </w:pPr>
      <w:r w:rsidRPr="000408AB">
        <w:rPr>
          <w:rFonts w:asciiTheme="minorHAnsi" w:eastAsia="Arial" w:hAnsiTheme="minorHAnsi" w:cstheme="minorHAnsi"/>
          <w:b/>
          <w:color w:val="000000" w:themeColor="text1"/>
          <w:szCs w:val="22"/>
          <w:lang w:bidi="ar-SA"/>
        </w:rPr>
        <w:lastRenderedPageBreak/>
        <w:t xml:space="preserve">      6.1.18 </w:t>
      </w:r>
      <w:r w:rsidR="00B2218D" w:rsidRPr="000408AB">
        <w:rPr>
          <w:rFonts w:asciiTheme="minorHAnsi" w:eastAsia="Arial" w:hAnsiTheme="minorHAnsi" w:cstheme="minorHAnsi"/>
          <w:b/>
          <w:color w:val="000000" w:themeColor="text1"/>
          <w:szCs w:val="22"/>
          <w:lang w:bidi="ar-SA"/>
        </w:rPr>
        <w:t>Establishment of Hands-On Technical Training (HOTT) </w:t>
      </w:r>
    </w:p>
    <w:p w14:paraId="07F70971" w14:textId="77777777" w:rsidR="000408AB" w:rsidRPr="000408AB" w:rsidRDefault="000408AB" w:rsidP="000408AB">
      <w:pPr>
        <w:pStyle w:val="paragraph"/>
        <w:shd w:val="clear" w:color="auto" w:fill="FFFFFF" w:themeFill="background1"/>
        <w:spacing w:before="0" w:beforeAutospacing="0" w:after="0" w:afterAutospacing="0"/>
        <w:ind w:left="360"/>
        <w:jc w:val="both"/>
        <w:textAlignment w:val="baseline"/>
        <w:rPr>
          <w:rFonts w:asciiTheme="minorHAnsi" w:eastAsia="Arial" w:hAnsiTheme="minorHAnsi" w:cstheme="minorHAnsi"/>
          <w:b/>
          <w:color w:val="000000" w:themeColor="text1"/>
          <w:szCs w:val="22"/>
          <w:lang w:bidi="ar-SA"/>
        </w:rPr>
      </w:pPr>
    </w:p>
    <w:p w14:paraId="41CE6C60" w14:textId="67024C64" w:rsidR="00B2218D" w:rsidRPr="0025136B" w:rsidRDefault="000408AB" w:rsidP="000408AB">
      <w:pPr>
        <w:pStyle w:val="paragraph"/>
        <w:shd w:val="clear" w:color="auto" w:fill="FFFFFF" w:themeFill="background1"/>
        <w:spacing w:before="0" w:beforeAutospacing="0" w:after="0" w:afterAutospacing="0" w:line="360" w:lineRule="auto"/>
        <w:ind w:left="720"/>
        <w:jc w:val="both"/>
        <w:textAlignment w:val="baseline"/>
        <w:rPr>
          <w:rFonts w:asciiTheme="minorHAnsi" w:eastAsia="Arial" w:hAnsiTheme="minorHAnsi" w:cstheme="minorHAnsi"/>
          <w:color w:val="000000" w:themeColor="text1"/>
          <w:sz w:val="22"/>
          <w:szCs w:val="22"/>
          <w:lang w:bidi="ar-SA"/>
        </w:rPr>
      </w:pPr>
      <w:r>
        <w:rPr>
          <w:rFonts w:asciiTheme="minorHAnsi" w:eastAsia="Arial" w:hAnsiTheme="minorHAnsi" w:cstheme="minorHAnsi"/>
          <w:noProof/>
          <w:color w:val="000000" w:themeColor="text1"/>
          <w:sz w:val="22"/>
          <w:lang w:val="en-IN" w:eastAsia="en-IN" w:bidi="ar-SA"/>
        </w:rPr>
        <w:drawing>
          <wp:anchor distT="0" distB="0" distL="114300" distR="114300" simplePos="0" relativeHeight="252205568" behindDoc="0" locked="0" layoutInCell="1" allowOverlap="1" wp14:anchorId="3ACA45FF" wp14:editId="1D2E2A7D">
            <wp:simplePos x="0" y="0"/>
            <wp:positionH relativeFrom="column">
              <wp:posOffset>451485</wp:posOffset>
            </wp:positionH>
            <wp:positionV relativeFrom="paragraph">
              <wp:posOffset>1408430</wp:posOffset>
            </wp:positionV>
            <wp:extent cx="2514600" cy="1809750"/>
            <wp:effectExtent l="76200" t="76200" r="133350" b="133350"/>
            <wp:wrapSquare wrapText="bothSides"/>
            <wp:docPr id="212922777" name="Picture 212922777" descr="C:\Users\malancha.ghose\AppData\Local\Microsoft\Windows\INetCache\Content.MSO\56669355.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 descr="C:\Users\malancha.ghose\AppData\Local\Microsoft\Windows\INetCache\Content.MSO\56669355.tmp"/>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2514600" cy="180975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14:sizeRelH relativeFrom="margin">
              <wp14:pctWidth>0</wp14:pctWidth>
            </wp14:sizeRelH>
            <wp14:sizeRelV relativeFrom="margin">
              <wp14:pctHeight>0</wp14:pctHeight>
            </wp14:sizeRelV>
          </wp:anchor>
        </w:drawing>
      </w:r>
      <w:r>
        <w:rPr>
          <w:rFonts w:asciiTheme="minorHAnsi" w:eastAsia="Arial" w:hAnsiTheme="minorHAnsi" w:cstheme="minorHAnsi"/>
          <w:noProof/>
          <w:color w:val="000000" w:themeColor="text1"/>
          <w:sz w:val="22"/>
          <w:lang w:val="en-IN" w:eastAsia="en-IN" w:bidi="ar-SA"/>
        </w:rPr>
        <w:drawing>
          <wp:anchor distT="0" distB="0" distL="114300" distR="114300" simplePos="0" relativeHeight="252206592" behindDoc="0" locked="0" layoutInCell="1" allowOverlap="1" wp14:anchorId="7CEC108A" wp14:editId="47E92DA3">
            <wp:simplePos x="0" y="0"/>
            <wp:positionH relativeFrom="column">
              <wp:posOffset>3327400</wp:posOffset>
            </wp:positionH>
            <wp:positionV relativeFrom="paragraph">
              <wp:posOffset>1456055</wp:posOffset>
            </wp:positionV>
            <wp:extent cx="2695575" cy="1752600"/>
            <wp:effectExtent l="76200" t="76200" r="142875" b="133350"/>
            <wp:wrapSquare wrapText="bothSides"/>
            <wp:docPr id="212922776" name="Picture 212922776" descr="C:\Users\malancha.ghose\AppData\Local\Microsoft\Windows\INetCache\Content.MSO\C45B352B.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 descr="C:\Users\malancha.ghose\AppData\Local\Microsoft\Windows\INetCache\Content.MSO\C45B352B.tmp"/>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2695575" cy="175260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14:sizeRelH relativeFrom="margin">
              <wp14:pctWidth>0</wp14:pctWidth>
            </wp14:sizeRelH>
            <wp14:sizeRelV relativeFrom="margin">
              <wp14:pctHeight>0</wp14:pctHeight>
            </wp14:sizeRelV>
          </wp:anchor>
        </w:drawing>
      </w:r>
      <w:r w:rsidR="00B2218D" w:rsidRPr="0025136B">
        <w:rPr>
          <w:rFonts w:asciiTheme="minorHAnsi" w:eastAsia="Arial" w:hAnsiTheme="minorHAnsi" w:cstheme="minorHAnsi"/>
          <w:color w:val="000000" w:themeColor="text1"/>
          <w:sz w:val="22"/>
          <w:szCs w:val="22"/>
          <w:lang w:bidi="ar-SA"/>
        </w:rPr>
        <w:t>To enhance the technical skillset of operating staff in routine operation activities as well as in handling new technology equipment such as RMU, Auto-</w:t>
      </w:r>
      <w:proofErr w:type="spellStart"/>
      <w:r w:rsidR="00B2218D" w:rsidRPr="0025136B">
        <w:rPr>
          <w:rFonts w:asciiTheme="minorHAnsi" w:eastAsia="Arial" w:hAnsiTheme="minorHAnsi" w:cstheme="minorHAnsi"/>
          <w:color w:val="000000" w:themeColor="text1"/>
          <w:sz w:val="22"/>
          <w:szCs w:val="22"/>
          <w:lang w:bidi="ar-SA"/>
        </w:rPr>
        <w:t>reclosure</w:t>
      </w:r>
      <w:proofErr w:type="spellEnd"/>
      <w:r w:rsidR="00B2218D" w:rsidRPr="0025136B">
        <w:rPr>
          <w:rFonts w:asciiTheme="minorHAnsi" w:eastAsia="Arial" w:hAnsiTheme="minorHAnsi" w:cstheme="minorHAnsi"/>
          <w:color w:val="000000" w:themeColor="text1"/>
          <w:sz w:val="22"/>
          <w:szCs w:val="22"/>
          <w:lang w:bidi="ar-SA"/>
        </w:rPr>
        <w:t xml:space="preserve"> etc. HOTT centers at 3 Circles have been established and made operational (</w:t>
      </w:r>
      <w:proofErr w:type="spellStart"/>
      <w:r w:rsidR="00B2218D" w:rsidRPr="0025136B">
        <w:rPr>
          <w:rFonts w:asciiTheme="minorHAnsi" w:eastAsia="Arial" w:hAnsiTheme="minorHAnsi" w:cstheme="minorHAnsi"/>
          <w:color w:val="000000" w:themeColor="text1"/>
          <w:sz w:val="22"/>
          <w:szCs w:val="22"/>
          <w:lang w:bidi="ar-SA"/>
        </w:rPr>
        <w:t>Balasore</w:t>
      </w:r>
      <w:proofErr w:type="spellEnd"/>
      <w:r w:rsidR="00B2218D" w:rsidRPr="0025136B">
        <w:rPr>
          <w:rFonts w:asciiTheme="minorHAnsi" w:eastAsia="Arial" w:hAnsiTheme="minorHAnsi" w:cstheme="minorHAnsi"/>
          <w:color w:val="000000" w:themeColor="text1"/>
          <w:sz w:val="22"/>
          <w:szCs w:val="22"/>
          <w:lang w:bidi="ar-SA"/>
        </w:rPr>
        <w:t xml:space="preserve">, </w:t>
      </w:r>
      <w:proofErr w:type="spellStart"/>
      <w:r w:rsidR="00B2218D" w:rsidRPr="0025136B">
        <w:rPr>
          <w:rFonts w:asciiTheme="minorHAnsi" w:eastAsia="Arial" w:hAnsiTheme="minorHAnsi" w:cstheme="minorHAnsi"/>
          <w:color w:val="000000" w:themeColor="text1"/>
          <w:sz w:val="22"/>
          <w:szCs w:val="22"/>
          <w:lang w:bidi="ar-SA"/>
        </w:rPr>
        <w:t>Baripada</w:t>
      </w:r>
      <w:proofErr w:type="spellEnd"/>
      <w:r w:rsidR="00B2218D" w:rsidRPr="0025136B">
        <w:rPr>
          <w:rFonts w:asciiTheme="minorHAnsi" w:eastAsia="Arial" w:hAnsiTheme="minorHAnsi" w:cstheme="minorHAnsi"/>
          <w:color w:val="000000" w:themeColor="text1"/>
          <w:sz w:val="22"/>
          <w:szCs w:val="22"/>
          <w:lang w:bidi="ar-SA"/>
        </w:rPr>
        <w:t xml:space="preserve"> &amp; </w:t>
      </w:r>
      <w:proofErr w:type="spellStart"/>
      <w:r w:rsidR="00B2218D" w:rsidRPr="0025136B">
        <w:rPr>
          <w:rFonts w:asciiTheme="minorHAnsi" w:eastAsia="Arial" w:hAnsiTheme="minorHAnsi" w:cstheme="minorHAnsi"/>
          <w:color w:val="000000" w:themeColor="text1"/>
          <w:sz w:val="22"/>
          <w:szCs w:val="22"/>
          <w:lang w:bidi="ar-SA"/>
        </w:rPr>
        <w:t>Jajpur</w:t>
      </w:r>
      <w:proofErr w:type="spellEnd"/>
      <w:r w:rsidR="00B2218D" w:rsidRPr="0025136B">
        <w:rPr>
          <w:rFonts w:asciiTheme="minorHAnsi" w:eastAsia="Arial" w:hAnsiTheme="minorHAnsi" w:cstheme="minorHAnsi"/>
          <w:color w:val="000000" w:themeColor="text1"/>
          <w:sz w:val="22"/>
          <w:szCs w:val="22"/>
          <w:lang w:bidi="ar-SA"/>
        </w:rPr>
        <w:t>). Training session to BA lineman &amp; ITI students is already taken up through HOTT &amp; 648 </w:t>
      </w:r>
      <w:proofErr w:type="spellStart"/>
      <w:r w:rsidR="00B2218D" w:rsidRPr="0025136B">
        <w:rPr>
          <w:rFonts w:asciiTheme="minorHAnsi" w:eastAsia="Arial" w:hAnsiTheme="minorHAnsi" w:cstheme="minorHAnsi"/>
          <w:color w:val="000000" w:themeColor="text1"/>
          <w:sz w:val="22"/>
          <w:szCs w:val="22"/>
          <w:lang w:bidi="ar-SA"/>
        </w:rPr>
        <w:t>nos</w:t>
      </w:r>
      <w:proofErr w:type="spellEnd"/>
      <w:r w:rsidR="00B2218D" w:rsidRPr="0025136B">
        <w:rPr>
          <w:rFonts w:asciiTheme="minorHAnsi" w:eastAsia="Arial" w:hAnsiTheme="minorHAnsi" w:cstheme="minorHAnsi"/>
          <w:color w:val="000000" w:themeColor="text1"/>
          <w:sz w:val="22"/>
          <w:szCs w:val="22"/>
          <w:lang w:bidi="ar-SA"/>
        </w:rPr>
        <w:t xml:space="preserve"> of participants have completed the training </w:t>
      </w:r>
    </w:p>
    <w:p w14:paraId="28333B92" w14:textId="0A1A0A79" w:rsidR="008C0C54" w:rsidRPr="000408AB" w:rsidRDefault="00B2218D" w:rsidP="000408AB">
      <w:pPr>
        <w:pStyle w:val="paragraph"/>
        <w:shd w:val="clear" w:color="auto" w:fill="FFFFFF" w:themeFill="background1"/>
        <w:spacing w:before="0" w:beforeAutospacing="0" w:after="0" w:afterAutospacing="0" w:line="360" w:lineRule="auto"/>
        <w:ind w:left="720"/>
        <w:textAlignment w:val="baseline"/>
        <w:rPr>
          <w:rFonts w:ascii="Calibri" w:hAnsi="Calibri" w:cs="Calibri"/>
        </w:rPr>
      </w:pPr>
      <w:r w:rsidRPr="00C67FB1">
        <w:rPr>
          <w:rStyle w:val="eop"/>
          <w:rFonts w:ascii="Calibri" w:hAnsi="Calibri" w:cs="Calibri"/>
        </w:rPr>
        <w:t> </w:t>
      </w:r>
    </w:p>
    <w:p w14:paraId="5F96A5D9" w14:textId="638313ED" w:rsidR="00F616FB" w:rsidRDefault="000408AB" w:rsidP="00F616FB">
      <w:pPr>
        <w:spacing w:line="360" w:lineRule="auto"/>
        <w:ind w:left="567"/>
        <w:jc w:val="both"/>
        <w:rPr>
          <w:rFonts w:asciiTheme="minorHAnsi" w:eastAsia="Arial" w:hAnsiTheme="minorHAnsi" w:cstheme="minorHAnsi"/>
          <w:b/>
          <w:bCs/>
          <w:color w:val="000000" w:themeColor="text1"/>
        </w:rPr>
      </w:pPr>
      <w:r>
        <w:rPr>
          <w:rFonts w:asciiTheme="minorHAnsi" w:eastAsia="Arial" w:hAnsiTheme="minorHAnsi" w:cstheme="minorHAnsi"/>
          <w:b/>
          <w:bCs/>
          <w:color w:val="000000" w:themeColor="text1"/>
        </w:rPr>
        <w:t xml:space="preserve">6.1.19 </w:t>
      </w:r>
      <w:r w:rsidR="00F616FB" w:rsidRPr="00593FBC">
        <w:rPr>
          <w:rFonts w:asciiTheme="minorHAnsi" w:eastAsia="Arial" w:hAnsiTheme="minorHAnsi" w:cstheme="minorHAnsi"/>
          <w:b/>
          <w:bCs/>
          <w:color w:val="000000" w:themeColor="text1"/>
        </w:rPr>
        <w:t>Satellite PSCC</w:t>
      </w:r>
    </w:p>
    <w:p w14:paraId="31654DA6" w14:textId="77777777" w:rsidR="00F616FB" w:rsidRPr="0025136B" w:rsidRDefault="00F616FB" w:rsidP="00F616FB">
      <w:pPr>
        <w:spacing w:line="360" w:lineRule="auto"/>
        <w:ind w:left="567"/>
        <w:jc w:val="both"/>
        <w:rPr>
          <w:rFonts w:asciiTheme="minorHAnsi" w:hAnsiTheme="minorHAnsi" w:cstheme="minorHAnsi"/>
          <w:sz w:val="22"/>
          <w:szCs w:val="22"/>
        </w:rPr>
      </w:pPr>
      <w:r w:rsidRPr="0025136B">
        <w:rPr>
          <w:rFonts w:asciiTheme="minorHAnsi" w:eastAsia="Arial" w:hAnsiTheme="minorHAnsi" w:cstheme="minorHAnsi"/>
          <w:color w:val="000000" w:themeColor="text1"/>
          <w:sz w:val="22"/>
          <w:szCs w:val="22"/>
        </w:rPr>
        <w:t xml:space="preserve">In addition to main PSCC at </w:t>
      </w:r>
      <w:proofErr w:type="spellStart"/>
      <w:r w:rsidRPr="0025136B">
        <w:rPr>
          <w:rFonts w:asciiTheme="minorHAnsi" w:eastAsia="Arial" w:hAnsiTheme="minorHAnsi" w:cstheme="minorHAnsi"/>
          <w:color w:val="000000" w:themeColor="text1"/>
          <w:sz w:val="22"/>
          <w:szCs w:val="22"/>
        </w:rPr>
        <w:t>Kalimata</w:t>
      </w:r>
      <w:proofErr w:type="spellEnd"/>
      <w:r w:rsidRPr="0025136B">
        <w:rPr>
          <w:rFonts w:asciiTheme="minorHAnsi" w:eastAsia="Arial" w:hAnsiTheme="minorHAnsi" w:cstheme="minorHAnsi"/>
          <w:color w:val="000000" w:themeColor="text1"/>
          <w:sz w:val="22"/>
          <w:szCs w:val="22"/>
        </w:rPr>
        <w:t xml:space="preserve"> Mandir, we have taken initiative to set up satellite PSCC at each division to ensure safety of 11kV hand-trips taken for LT work as well as in view of faster response &amp; communication between PSCC &amp; filed crew to cater vast areas across TPNODL. Set up in all16 divisions</w:t>
      </w:r>
    </w:p>
    <w:p w14:paraId="1660AEA7" w14:textId="77777777" w:rsidR="00F616FB" w:rsidRPr="00593FBC" w:rsidRDefault="00F616FB" w:rsidP="00F616FB">
      <w:pPr>
        <w:spacing w:line="360" w:lineRule="auto"/>
        <w:rPr>
          <w:rFonts w:asciiTheme="minorHAnsi" w:eastAsia="Arial" w:hAnsiTheme="minorHAnsi" w:cstheme="minorHAnsi"/>
          <w:color w:val="000000" w:themeColor="text1"/>
        </w:rPr>
      </w:pPr>
      <w:r w:rsidRPr="00593FBC">
        <w:rPr>
          <w:rFonts w:asciiTheme="minorHAnsi" w:hAnsiTheme="minorHAnsi" w:cstheme="minorHAnsi"/>
          <w:noProof/>
          <w:lang w:val="en-IN" w:eastAsia="en-IN"/>
        </w:rPr>
        <w:drawing>
          <wp:anchor distT="0" distB="0" distL="114300" distR="114300" simplePos="0" relativeHeight="252027392" behindDoc="1" locked="0" layoutInCell="1" allowOverlap="1" wp14:anchorId="16B0DC5E" wp14:editId="7C79E523">
            <wp:simplePos x="0" y="0"/>
            <wp:positionH relativeFrom="margin">
              <wp:posOffset>3385185</wp:posOffset>
            </wp:positionH>
            <wp:positionV relativeFrom="paragraph">
              <wp:posOffset>323850</wp:posOffset>
            </wp:positionV>
            <wp:extent cx="2625090" cy="2187575"/>
            <wp:effectExtent l="76200" t="76200" r="137160" b="136525"/>
            <wp:wrapTight wrapText="bothSides">
              <wp:wrapPolygon edited="0">
                <wp:start x="-313" y="-752"/>
                <wp:lineTo x="-627" y="-564"/>
                <wp:lineTo x="-627" y="22008"/>
                <wp:lineTo x="-313" y="22760"/>
                <wp:lineTo x="22258" y="22760"/>
                <wp:lineTo x="22572" y="20691"/>
                <wp:lineTo x="22572" y="2445"/>
                <wp:lineTo x="22258" y="-376"/>
                <wp:lineTo x="22258" y="-752"/>
                <wp:lineTo x="-313" y="-752"/>
              </wp:wrapPolygon>
            </wp:wrapTight>
            <wp:docPr id="842847905" name="Picture 8428479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4">
                      <a:extLst>
                        <a:ext uri="{28A0092B-C50C-407E-A947-70E740481C1C}">
                          <a14:useLocalDpi xmlns:a14="http://schemas.microsoft.com/office/drawing/2010/main" val="0"/>
                        </a:ext>
                      </a:extLst>
                    </a:blip>
                    <a:stretch>
                      <a:fillRect/>
                    </a:stretch>
                  </pic:blipFill>
                  <pic:spPr>
                    <a:xfrm>
                      <a:off x="0" y="0"/>
                      <a:ext cx="2625090" cy="218757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14:sizeRelH relativeFrom="margin">
              <wp14:pctWidth>0</wp14:pctWidth>
            </wp14:sizeRelH>
            <wp14:sizeRelV relativeFrom="margin">
              <wp14:pctHeight>0</wp14:pctHeight>
            </wp14:sizeRelV>
          </wp:anchor>
        </w:drawing>
      </w:r>
      <w:r w:rsidRPr="00593FBC">
        <w:rPr>
          <w:rFonts w:asciiTheme="minorHAnsi" w:hAnsiTheme="minorHAnsi" w:cstheme="minorHAnsi"/>
          <w:noProof/>
          <w:lang w:val="en-IN" w:eastAsia="en-IN"/>
        </w:rPr>
        <w:drawing>
          <wp:anchor distT="0" distB="0" distL="114300" distR="114300" simplePos="0" relativeHeight="252038656" behindDoc="1" locked="0" layoutInCell="1" allowOverlap="1" wp14:anchorId="75D0635A" wp14:editId="56807984">
            <wp:simplePos x="0" y="0"/>
            <wp:positionH relativeFrom="column">
              <wp:posOffset>371475</wp:posOffset>
            </wp:positionH>
            <wp:positionV relativeFrom="paragraph">
              <wp:posOffset>302895</wp:posOffset>
            </wp:positionV>
            <wp:extent cx="2695575" cy="2206625"/>
            <wp:effectExtent l="76200" t="76200" r="142875" b="136525"/>
            <wp:wrapTight wrapText="bothSides">
              <wp:wrapPolygon edited="0">
                <wp:start x="-305" y="-746"/>
                <wp:lineTo x="-611" y="-559"/>
                <wp:lineTo x="-611" y="22004"/>
                <wp:lineTo x="-305" y="22750"/>
                <wp:lineTo x="22287" y="22750"/>
                <wp:lineTo x="22592" y="20512"/>
                <wp:lineTo x="22592" y="2424"/>
                <wp:lineTo x="22287" y="-373"/>
                <wp:lineTo x="22287" y="-746"/>
                <wp:lineTo x="-305" y="-746"/>
              </wp:wrapPolygon>
            </wp:wrapTight>
            <wp:docPr id="2137346473" name="Picture 2137346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5">
                      <a:extLst>
                        <a:ext uri="{28A0092B-C50C-407E-A947-70E740481C1C}">
                          <a14:useLocalDpi xmlns:a14="http://schemas.microsoft.com/office/drawing/2010/main" val="0"/>
                        </a:ext>
                      </a:extLst>
                    </a:blip>
                    <a:stretch>
                      <a:fillRect/>
                    </a:stretch>
                  </pic:blipFill>
                  <pic:spPr>
                    <a:xfrm>
                      <a:off x="0" y="0"/>
                      <a:ext cx="2695575" cy="220662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14:sizeRelH relativeFrom="margin">
              <wp14:pctWidth>0</wp14:pctWidth>
            </wp14:sizeRelH>
          </wp:anchor>
        </w:drawing>
      </w:r>
    </w:p>
    <w:p w14:paraId="489F4BF2" w14:textId="6B5869B2" w:rsidR="00F616FB" w:rsidRDefault="00F616FB" w:rsidP="0025136B">
      <w:pPr>
        <w:spacing w:line="360" w:lineRule="auto"/>
        <w:jc w:val="both"/>
        <w:rPr>
          <w:rFonts w:asciiTheme="minorHAnsi" w:eastAsia="Arial" w:hAnsiTheme="minorHAnsi" w:cstheme="minorHAnsi"/>
          <w:b/>
          <w:bCs/>
          <w:color w:val="000000" w:themeColor="text1"/>
        </w:rPr>
      </w:pPr>
    </w:p>
    <w:p w14:paraId="39DBC6C7" w14:textId="3F659689" w:rsidR="000408AB" w:rsidRDefault="000408AB" w:rsidP="0025136B">
      <w:pPr>
        <w:spacing w:line="360" w:lineRule="auto"/>
        <w:jc w:val="both"/>
        <w:rPr>
          <w:rFonts w:asciiTheme="minorHAnsi" w:eastAsia="Arial" w:hAnsiTheme="minorHAnsi" w:cstheme="minorHAnsi"/>
          <w:b/>
          <w:bCs/>
          <w:color w:val="000000" w:themeColor="text1"/>
        </w:rPr>
      </w:pPr>
    </w:p>
    <w:p w14:paraId="374CE23B" w14:textId="77777777" w:rsidR="000408AB" w:rsidRPr="0025136B" w:rsidRDefault="000408AB" w:rsidP="0025136B">
      <w:pPr>
        <w:spacing w:line="360" w:lineRule="auto"/>
        <w:jc w:val="both"/>
        <w:rPr>
          <w:rFonts w:asciiTheme="minorHAnsi" w:eastAsia="Arial" w:hAnsiTheme="minorHAnsi" w:cstheme="minorHAnsi"/>
          <w:b/>
          <w:bCs/>
          <w:color w:val="000000" w:themeColor="text1"/>
        </w:rPr>
      </w:pPr>
    </w:p>
    <w:p w14:paraId="0643A7BF" w14:textId="70094A26" w:rsidR="0025136B" w:rsidRDefault="000408AB" w:rsidP="0025136B">
      <w:pPr>
        <w:pStyle w:val="ListParagraph"/>
        <w:spacing w:after="0" w:line="360" w:lineRule="auto"/>
        <w:ind w:left="567"/>
        <w:jc w:val="both"/>
        <w:rPr>
          <w:rFonts w:asciiTheme="minorHAnsi" w:eastAsia="Arial" w:hAnsiTheme="minorHAnsi" w:cstheme="minorHAnsi"/>
          <w:b/>
          <w:bCs/>
          <w:color w:val="000000" w:themeColor="text1"/>
          <w:sz w:val="24"/>
          <w:szCs w:val="24"/>
        </w:rPr>
      </w:pPr>
      <w:r>
        <w:rPr>
          <w:rFonts w:asciiTheme="minorHAnsi" w:eastAsia="Arial" w:hAnsiTheme="minorHAnsi" w:cstheme="minorHAnsi"/>
          <w:b/>
          <w:bCs/>
          <w:color w:val="000000" w:themeColor="text1"/>
          <w:sz w:val="24"/>
          <w:szCs w:val="24"/>
        </w:rPr>
        <w:lastRenderedPageBreak/>
        <w:t>6.1.20</w:t>
      </w:r>
      <w:r w:rsidR="00F616FB">
        <w:rPr>
          <w:rFonts w:asciiTheme="minorHAnsi" w:eastAsia="Arial" w:hAnsiTheme="minorHAnsi" w:cstheme="minorHAnsi"/>
          <w:b/>
          <w:bCs/>
          <w:color w:val="000000" w:themeColor="text1"/>
          <w:sz w:val="24"/>
          <w:szCs w:val="24"/>
        </w:rPr>
        <w:t xml:space="preserve"> </w:t>
      </w:r>
      <w:r w:rsidR="00F616FB" w:rsidRPr="00593FBC">
        <w:rPr>
          <w:rFonts w:asciiTheme="minorHAnsi" w:eastAsia="Arial" w:hAnsiTheme="minorHAnsi" w:cstheme="minorHAnsi"/>
          <w:b/>
          <w:bCs/>
          <w:color w:val="000000" w:themeColor="text1"/>
          <w:sz w:val="24"/>
          <w:szCs w:val="24"/>
        </w:rPr>
        <w:t>Power Cable Fault Locator</w:t>
      </w:r>
    </w:p>
    <w:p w14:paraId="5D412CF2" w14:textId="1C1BB48B" w:rsidR="00F616FB" w:rsidRPr="0025136B" w:rsidRDefault="00F616FB" w:rsidP="0025136B">
      <w:pPr>
        <w:pStyle w:val="ListParagraph"/>
        <w:spacing w:after="0" w:line="360" w:lineRule="auto"/>
        <w:ind w:left="567"/>
        <w:jc w:val="both"/>
        <w:rPr>
          <w:rFonts w:asciiTheme="minorHAnsi" w:eastAsia="Arial" w:hAnsiTheme="minorHAnsi" w:cstheme="minorHAnsi"/>
          <w:b/>
          <w:bCs/>
          <w:color w:val="000000" w:themeColor="text1"/>
          <w:sz w:val="24"/>
          <w:szCs w:val="24"/>
        </w:rPr>
      </w:pPr>
      <w:r w:rsidRPr="0025136B">
        <w:rPr>
          <w:rFonts w:asciiTheme="minorHAnsi" w:eastAsia="Arial" w:hAnsiTheme="minorHAnsi" w:cstheme="minorHAnsi"/>
          <w:color w:val="000000" w:themeColor="text1"/>
          <w:szCs w:val="24"/>
        </w:rPr>
        <w:t xml:space="preserve">TPNODL purchased the latest version of mobile Underground Power Cable Fault Locator system, </w:t>
      </w:r>
      <w:r w:rsidRPr="0025136B">
        <w:rPr>
          <w:rFonts w:asciiTheme="minorHAnsi" w:eastAsia="Tahoma" w:hAnsiTheme="minorHAnsi" w:cstheme="minorHAnsi"/>
          <w:szCs w:val="24"/>
        </w:rPr>
        <w:t xml:space="preserve">deployed for cable testing, fault location, cable route tracing &amp; identification activities of underground network for all </w:t>
      </w:r>
      <w:r w:rsidRPr="0025136B">
        <w:rPr>
          <w:rFonts w:asciiTheme="minorHAnsi" w:eastAsia="Tahoma" w:hAnsiTheme="minorHAnsi" w:cstheme="minorHAnsi"/>
          <w:color w:val="000000" w:themeColor="text1"/>
          <w:szCs w:val="24"/>
        </w:rPr>
        <w:t xml:space="preserve">critical &amp; inaccessible underground cable </w:t>
      </w:r>
      <w:r w:rsidRPr="0025136B">
        <w:rPr>
          <w:rFonts w:asciiTheme="minorHAnsi" w:eastAsia="Tahoma" w:hAnsiTheme="minorHAnsi" w:cstheme="minorHAnsi"/>
          <w:szCs w:val="24"/>
        </w:rPr>
        <w:t xml:space="preserve">sections across TPNODL Earlier there was no such Cable Fault Locator System resulting to very high down time for any cable fault and many cables sections are lying unattended/idle/faulty since more than 5+ years.  This Fault locator system has enabled us to locate the cable fault with minimum possible timeline which in turn will help in faster restoration </w:t>
      </w:r>
      <w:r w:rsidRPr="0025136B">
        <w:rPr>
          <w:rFonts w:asciiTheme="minorHAnsi" w:eastAsia="Tahoma" w:hAnsiTheme="minorHAnsi" w:cstheme="minorHAnsi"/>
          <w:color w:val="000000" w:themeColor="text1"/>
          <w:szCs w:val="24"/>
        </w:rPr>
        <w:t xml:space="preserve">&amp; reliability improvement. </w:t>
      </w:r>
      <w:r w:rsidRPr="0025136B">
        <w:rPr>
          <w:rFonts w:asciiTheme="minorHAnsi" w:eastAsia="Arial" w:hAnsiTheme="minorHAnsi" w:cstheme="minorHAnsi"/>
          <w:color w:val="000000" w:themeColor="text1"/>
          <w:szCs w:val="24"/>
        </w:rPr>
        <w:t xml:space="preserve">We have already </w:t>
      </w:r>
      <w:r w:rsidRPr="0025136B">
        <w:rPr>
          <w:rFonts w:asciiTheme="minorHAnsi" w:eastAsia="Tahoma" w:hAnsiTheme="minorHAnsi" w:cstheme="minorHAnsi"/>
          <w:color w:val="000000" w:themeColor="text1"/>
          <w:szCs w:val="24"/>
        </w:rPr>
        <w:t>attended around 160+ faulty cable sections. Service extended to esteemed customer like IOCL.</w:t>
      </w:r>
    </w:p>
    <w:p w14:paraId="28661B07" w14:textId="142BAA9D" w:rsidR="00F616FB" w:rsidRPr="00593FBC" w:rsidRDefault="000408AB" w:rsidP="00F616FB">
      <w:pPr>
        <w:spacing w:line="360" w:lineRule="auto"/>
        <w:rPr>
          <w:rFonts w:asciiTheme="minorHAnsi" w:hAnsiTheme="minorHAnsi" w:cstheme="minorHAnsi"/>
        </w:rPr>
      </w:pPr>
      <w:r w:rsidRPr="00593FBC">
        <w:rPr>
          <w:rFonts w:asciiTheme="minorHAnsi" w:hAnsiTheme="minorHAnsi" w:cstheme="minorHAnsi"/>
          <w:noProof/>
          <w:lang w:val="en-IN" w:eastAsia="en-IN"/>
        </w:rPr>
        <w:drawing>
          <wp:anchor distT="0" distB="0" distL="114300" distR="114300" simplePos="0" relativeHeight="252039680" behindDoc="1" locked="0" layoutInCell="1" allowOverlap="1" wp14:anchorId="03B58216" wp14:editId="58627E1A">
            <wp:simplePos x="0" y="0"/>
            <wp:positionH relativeFrom="margin">
              <wp:posOffset>3385185</wp:posOffset>
            </wp:positionH>
            <wp:positionV relativeFrom="paragraph">
              <wp:posOffset>83820</wp:posOffset>
            </wp:positionV>
            <wp:extent cx="2447925" cy="1876425"/>
            <wp:effectExtent l="76200" t="76200" r="142875" b="142875"/>
            <wp:wrapTight wrapText="bothSides">
              <wp:wrapPolygon edited="0">
                <wp:start x="-336" y="-877"/>
                <wp:lineTo x="-672" y="-658"/>
                <wp:lineTo x="-672" y="22148"/>
                <wp:lineTo x="-336" y="23025"/>
                <wp:lineTo x="22356" y="23025"/>
                <wp:lineTo x="22693" y="20613"/>
                <wp:lineTo x="22693" y="2851"/>
                <wp:lineTo x="22356" y="-439"/>
                <wp:lineTo x="22356" y="-877"/>
                <wp:lineTo x="-336" y="-877"/>
              </wp:wrapPolygon>
            </wp:wrapTight>
            <wp:docPr id="908075960" name="Picture 9080759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6">
                      <a:extLst>
                        <a:ext uri="{28A0092B-C50C-407E-A947-70E740481C1C}">
                          <a14:useLocalDpi xmlns:a14="http://schemas.microsoft.com/office/drawing/2010/main" val="0"/>
                        </a:ext>
                      </a:extLst>
                    </a:blip>
                    <a:stretch>
                      <a:fillRect/>
                    </a:stretch>
                  </pic:blipFill>
                  <pic:spPr>
                    <a:xfrm>
                      <a:off x="0" y="0"/>
                      <a:ext cx="2447925" cy="187642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14:sizeRelH relativeFrom="margin">
              <wp14:pctWidth>0</wp14:pctWidth>
            </wp14:sizeRelH>
            <wp14:sizeRelV relativeFrom="margin">
              <wp14:pctHeight>0</wp14:pctHeight>
            </wp14:sizeRelV>
          </wp:anchor>
        </w:drawing>
      </w:r>
      <w:r w:rsidRPr="00593FBC">
        <w:rPr>
          <w:noProof/>
          <w:lang w:val="en-IN" w:eastAsia="en-IN"/>
        </w:rPr>
        <w:drawing>
          <wp:anchor distT="0" distB="0" distL="114300" distR="114300" simplePos="0" relativeHeight="252040704" behindDoc="1" locked="0" layoutInCell="1" allowOverlap="1" wp14:anchorId="19C2A6AE" wp14:editId="6E299714">
            <wp:simplePos x="0" y="0"/>
            <wp:positionH relativeFrom="page">
              <wp:posOffset>1160145</wp:posOffset>
            </wp:positionH>
            <wp:positionV relativeFrom="page">
              <wp:posOffset>3148965</wp:posOffset>
            </wp:positionV>
            <wp:extent cx="2486025" cy="1943100"/>
            <wp:effectExtent l="76200" t="76200" r="142875" b="133350"/>
            <wp:wrapTight wrapText="bothSides">
              <wp:wrapPolygon edited="0">
                <wp:start x="-331" y="-847"/>
                <wp:lineTo x="-662" y="-635"/>
                <wp:lineTo x="-662" y="22024"/>
                <wp:lineTo x="-331" y="22871"/>
                <wp:lineTo x="22345" y="22871"/>
                <wp:lineTo x="22676" y="19906"/>
                <wp:lineTo x="22676" y="2753"/>
                <wp:lineTo x="22345" y="-424"/>
                <wp:lineTo x="22345" y="-847"/>
                <wp:lineTo x="-331" y="-847"/>
              </wp:wrapPolygon>
            </wp:wrapTight>
            <wp:docPr id="1554683135" name="Picture 1554683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7">
                      <a:extLst>
                        <a:ext uri="{28A0092B-C50C-407E-A947-70E740481C1C}">
                          <a14:useLocalDpi xmlns:a14="http://schemas.microsoft.com/office/drawing/2010/main" val="0"/>
                        </a:ext>
                      </a:extLst>
                    </a:blip>
                    <a:stretch>
                      <a:fillRect/>
                    </a:stretch>
                  </pic:blipFill>
                  <pic:spPr>
                    <a:xfrm>
                      <a:off x="0" y="0"/>
                      <a:ext cx="2486025" cy="194310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14:sizeRelH relativeFrom="margin">
              <wp14:pctWidth>0</wp14:pctWidth>
            </wp14:sizeRelH>
            <wp14:sizeRelV relativeFrom="margin">
              <wp14:pctHeight>0</wp14:pctHeight>
            </wp14:sizeRelV>
          </wp:anchor>
        </w:drawing>
      </w:r>
    </w:p>
    <w:p w14:paraId="7027B095" w14:textId="515D26C0" w:rsidR="00F616FB" w:rsidRPr="00593FBC" w:rsidRDefault="00F616FB" w:rsidP="00F616FB">
      <w:pPr>
        <w:spacing w:line="360" w:lineRule="auto"/>
        <w:rPr>
          <w:rFonts w:asciiTheme="minorHAnsi" w:hAnsiTheme="minorHAnsi" w:cstheme="minorHAnsi"/>
        </w:rPr>
      </w:pPr>
    </w:p>
    <w:p w14:paraId="3DAE4A8D" w14:textId="77777777" w:rsidR="00F616FB" w:rsidRDefault="00F616FB" w:rsidP="00F616FB">
      <w:pPr>
        <w:pStyle w:val="ListParagraph"/>
        <w:spacing w:after="0" w:line="257" w:lineRule="auto"/>
        <w:ind w:left="-284"/>
        <w:rPr>
          <w:rFonts w:asciiTheme="minorHAnsi" w:eastAsia="Arial" w:hAnsiTheme="minorHAnsi" w:cstheme="minorHAnsi"/>
          <w:b/>
          <w:bCs/>
          <w:color w:val="000000" w:themeColor="text1"/>
          <w:sz w:val="24"/>
          <w:szCs w:val="24"/>
        </w:rPr>
      </w:pPr>
    </w:p>
    <w:p w14:paraId="626ED7F7" w14:textId="77777777" w:rsidR="00F616FB" w:rsidRDefault="00F616FB" w:rsidP="00F616FB">
      <w:pPr>
        <w:pStyle w:val="ListParagraph"/>
        <w:spacing w:after="0" w:line="257" w:lineRule="auto"/>
        <w:ind w:left="-284"/>
        <w:rPr>
          <w:rFonts w:asciiTheme="minorHAnsi" w:eastAsia="Arial" w:hAnsiTheme="minorHAnsi" w:cstheme="minorHAnsi"/>
          <w:b/>
          <w:bCs/>
          <w:color w:val="000000" w:themeColor="text1"/>
          <w:sz w:val="24"/>
          <w:szCs w:val="24"/>
        </w:rPr>
      </w:pPr>
    </w:p>
    <w:p w14:paraId="51600947" w14:textId="77777777" w:rsidR="00F616FB" w:rsidRDefault="00F616FB" w:rsidP="00F616FB">
      <w:pPr>
        <w:pStyle w:val="ListParagraph"/>
        <w:spacing w:after="0" w:line="257" w:lineRule="auto"/>
        <w:ind w:left="-284"/>
        <w:rPr>
          <w:rFonts w:asciiTheme="minorHAnsi" w:eastAsia="Arial" w:hAnsiTheme="minorHAnsi" w:cstheme="minorHAnsi"/>
          <w:b/>
          <w:bCs/>
          <w:color w:val="000000" w:themeColor="text1"/>
          <w:sz w:val="24"/>
          <w:szCs w:val="24"/>
        </w:rPr>
      </w:pPr>
    </w:p>
    <w:p w14:paraId="6C50CDDE" w14:textId="77777777" w:rsidR="00F616FB" w:rsidRDefault="00F616FB" w:rsidP="00F616FB">
      <w:pPr>
        <w:pStyle w:val="ListParagraph"/>
        <w:spacing w:after="0" w:line="257" w:lineRule="auto"/>
        <w:ind w:left="-284"/>
        <w:rPr>
          <w:rFonts w:asciiTheme="minorHAnsi" w:eastAsia="Arial" w:hAnsiTheme="minorHAnsi" w:cstheme="minorHAnsi"/>
          <w:b/>
          <w:bCs/>
          <w:color w:val="000000" w:themeColor="text1"/>
          <w:sz w:val="24"/>
          <w:szCs w:val="24"/>
        </w:rPr>
      </w:pPr>
    </w:p>
    <w:p w14:paraId="72F6BF1F" w14:textId="77777777" w:rsidR="00F616FB" w:rsidRDefault="00F616FB" w:rsidP="00F616FB">
      <w:pPr>
        <w:pStyle w:val="ListParagraph"/>
        <w:spacing w:after="0" w:line="257" w:lineRule="auto"/>
        <w:ind w:left="-284"/>
        <w:rPr>
          <w:rFonts w:asciiTheme="minorHAnsi" w:eastAsia="Arial" w:hAnsiTheme="minorHAnsi" w:cstheme="minorHAnsi"/>
          <w:b/>
          <w:bCs/>
          <w:color w:val="000000" w:themeColor="text1"/>
          <w:sz w:val="24"/>
          <w:szCs w:val="24"/>
        </w:rPr>
      </w:pPr>
    </w:p>
    <w:p w14:paraId="7F0F03AA" w14:textId="77777777" w:rsidR="00F616FB" w:rsidRDefault="00F616FB" w:rsidP="00F616FB">
      <w:pPr>
        <w:pStyle w:val="ListParagraph"/>
        <w:spacing w:after="0" w:line="257" w:lineRule="auto"/>
        <w:ind w:left="-284"/>
        <w:rPr>
          <w:rFonts w:asciiTheme="minorHAnsi" w:eastAsia="Arial" w:hAnsiTheme="minorHAnsi" w:cstheme="minorHAnsi"/>
          <w:b/>
          <w:bCs/>
          <w:color w:val="000000" w:themeColor="text1"/>
          <w:sz w:val="24"/>
          <w:szCs w:val="24"/>
        </w:rPr>
      </w:pPr>
    </w:p>
    <w:p w14:paraId="7E0C9740" w14:textId="77777777" w:rsidR="00F616FB" w:rsidRDefault="00F616FB" w:rsidP="00F616FB">
      <w:pPr>
        <w:pStyle w:val="ListParagraph"/>
        <w:spacing w:after="0" w:line="257" w:lineRule="auto"/>
        <w:ind w:left="-284"/>
        <w:rPr>
          <w:rFonts w:asciiTheme="minorHAnsi" w:eastAsia="Arial" w:hAnsiTheme="minorHAnsi" w:cstheme="minorHAnsi"/>
          <w:b/>
          <w:bCs/>
          <w:color w:val="000000" w:themeColor="text1"/>
          <w:sz w:val="24"/>
          <w:szCs w:val="24"/>
        </w:rPr>
      </w:pPr>
    </w:p>
    <w:p w14:paraId="44137440" w14:textId="77777777" w:rsidR="00F616FB" w:rsidRDefault="00F616FB" w:rsidP="00F616FB">
      <w:pPr>
        <w:pStyle w:val="ListParagraph"/>
        <w:spacing w:after="0" w:line="257" w:lineRule="auto"/>
        <w:ind w:left="-284"/>
        <w:rPr>
          <w:rFonts w:asciiTheme="minorHAnsi" w:eastAsia="Arial" w:hAnsiTheme="minorHAnsi" w:cstheme="minorHAnsi"/>
          <w:b/>
          <w:bCs/>
          <w:color w:val="000000" w:themeColor="text1"/>
          <w:sz w:val="24"/>
          <w:szCs w:val="24"/>
        </w:rPr>
      </w:pPr>
    </w:p>
    <w:p w14:paraId="63271E8A" w14:textId="77777777" w:rsidR="0025136B" w:rsidRDefault="0025136B" w:rsidP="00F616FB">
      <w:pPr>
        <w:pStyle w:val="ListParagraph"/>
        <w:spacing w:after="0" w:line="360" w:lineRule="auto"/>
        <w:ind w:left="567"/>
        <w:jc w:val="both"/>
        <w:rPr>
          <w:rFonts w:asciiTheme="minorHAnsi" w:eastAsia="Arial" w:hAnsiTheme="minorHAnsi" w:cstheme="minorHAnsi"/>
          <w:b/>
          <w:bCs/>
          <w:color w:val="000000" w:themeColor="text1"/>
          <w:sz w:val="24"/>
          <w:szCs w:val="24"/>
        </w:rPr>
      </w:pPr>
    </w:p>
    <w:p w14:paraId="395F9AC9" w14:textId="1824B165" w:rsidR="00F616FB" w:rsidRDefault="000408AB" w:rsidP="00F616FB">
      <w:pPr>
        <w:pStyle w:val="ListParagraph"/>
        <w:spacing w:after="0" w:line="360" w:lineRule="auto"/>
        <w:ind w:left="567"/>
        <w:jc w:val="both"/>
        <w:rPr>
          <w:rFonts w:asciiTheme="minorHAnsi" w:eastAsia="Arial" w:hAnsiTheme="minorHAnsi" w:cstheme="minorHAnsi"/>
          <w:b/>
          <w:bCs/>
          <w:color w:val="000000" w:themeColor="text1"/>
          <w:sz w:val="24"/>
          <w:szCs w:val="24"/>
        </w:rPr>
      </w:pPr>
      <w:r>
        <w:rPr>
          <w:rFonts w:asciiTheme="minorHAnsi" w:eastAsia="Arial" w:hAnsiTheme="minorHAnsi" w:cstheme="minorHAnsi"/>
          <w:b/>
          <w:bCs/>
          <w:color w:val="000000" w:themeColor="text1"/>
          <w:sz w:val="24"/>
          <w:szCs w:val="24"/>
        </w:rPr>
        <w:t>6.1.21</w:t>
      </w:r>
      <w:r w:rsidR="00F616FB" w:rsidRPr="00593FBC">
        <w:rPr>
          <w:rFonts w:asciiTheme="minorHAnsi" w:eastAsia="Arial" w:hAnsiTheme="minorHAnsi" w:cstheme="minorHAnsi"/>
          <w:b/>
          <w:bCs/>
          <w:color w:val="000000" w:themeColor="text1"/>
          <w:sz w:val="24"/>
          <w:szCs w:val="24"/>
        </w:rPr>
        <w:t>Tower Wagon</w:t>
      </w:r>
    </w:p>
    <w:p w14:paraId="23C1DB33" w14:textId="6ECB76E3" w:rsidR="00F616FB" w:rsidRPr="00593FBC" w:rsidRDefault="00F616FB" w:rsidP="00F616FB">
      <w:pPr>
        <w:pStyle w:val="ListParagraph"/>
        <w:spacing w:after="0" w:line="360" w:lineRule="auto"/>
        <w:ind w:left="567"/>
        <w:jc w:val="both"/>
        <w:rPr>
          <w:rFonts w:asciiTheme="minorHAnsi" w:eastAsia="Arial" w:hAnsiTheme="minorHAnsi" w:cstheme="minorHAnsi"/>
          <w:color w:val="000000" w:themeColor="text1"/>
          <w:sz w:val="24"/>
          <w:szCs w:val="24"/>
        </w:rPr>
      </w:pPr>
      <w:r w:rsidRPr="00593FBC">
        <w:rPr>
          <w:rFonts w:asciiTheme="minorHAnsi" w:eastAsia="Arial" w:hAnsiTheme="minorHAnsi" w:cstheme="minorHAnsi"/>
          <w:color w:val="000000" w:themeColor="text1"/>
          <w:sz w:val="24"/>
          <w:szCs w:val="24"/>
        </w:rPr>
        <w:t>TPNODL have purchased 3 nos. tower wagon &amp; deployed on filed for Effective Tree trimming &amp; maintenance activities on height in a safe manner particularly on 13m long Joist pole.</w:t>
      </w:r>
    </w:p>
    <w:p w14:paraId="5F03069F" w14:textId="77777777" w:rsidR="00F616FB" w:rsidRPr="00593FBC" w:rsidRDefault="00F616FB" w:rsidP="00F616FB">
      <w:pPr>
        <w:spacing w:line="360" w:lineRule="auto"/>
        <w:rPr>
          <w:rFonts w:asciiTheme="minorHAnsi" w:hAnsiTheme="minorHAnsi" w:cstheme="minorHAnsi"/>
        </w:rPr>
      </w:pPr>
      <w:r w:rsidRPr="00593FBC">
        <w:rPr>
          <w:rFonts w:asciiTheme="minorHAnsi" w:hAnsiTheme="minorHAnsi" w:cstheme="minorHAnsi"/>
          <w:noProof/>
          <w:lang w:val="en-IN" w:eastAsia="en-IN"/>
        </w:rPr>
        <w:drawing>
          <wp:anchor distT="0" distB="0" distL="114300" distR="114300" simplePos="0" relativeHeight="252042752" behindDoc="1" locked="0" layoutInCell="1" allowOverlap="1" wp14:anchorId="36EF71A8" wp14:editId="1AE80B1B">
            <wp:simplePos x="0" y="0"/>
            <wp:positionH relativeFrom="column">
              <wp:posOffset>381000</wp:posOffset>
            </wp:positionH>
            <wp:positionV relativeFrom="paragraph">
              <wp:posOffset>267970</wp:posOffset>
            </wp:positionV>
            <wp:extent cx="2686050" cy="2938145"/>
            <wp:effectExtent l="0" t="0" r="0" b="0"/>
            <wp:wrapTight wrapText="bothSides">
              <wp:wrapPolygon edited="0">
                <wp:start x="0" y="0"/>
                <wp:lineTo x="0" y="21427"/>
                <wp:lineTo x="21447" y="21427"/>
                <wp:lineTo x="21447" y="0"/>
                <wp:lineTo x="0" y="0"/>
              </wp:wrapPolygon>
            </wp:wrapTight>
            <wp:docPr id="303578610" name="Picture 3035786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8">
                      <a:extLst>
                        <a:ext uri="{28A0092B-C50C-407E-A947-70E740481C1C}">
                          <a14:useLocalDpi xmlns:a14="http://schemas.microsoft.com/office/drawing/2010/main" val="0"/>
                        </a:ext>
                      </a:extLst>
                    </a:blip>
                    <a:stretch>
                      <a:fillRect/>
                    </a:stretch>
                  </pic:blipFill>
                  <pic:spPr>
                    <a:xfrm>
                      <a:off x="0" y="0"/>
                      <a:ext cx="2686050" cy="2938145"/>
                    </a:xfrm>
                    <a:prstGeom prst="rect">
                      <a:avLst/>
                    </a:prstGeom>
                  </pic:spPr>
                </pic:pic>
              </a:graphicData>
            </a:graphic>
          </wp:anchor>
        </w:drawing>
      </w:r>
    </w:p>
    <w:p w14:paraId="1221EC76" w14:textId="77777777" w:rsidR="00F616FB" w:rsidRPr="00593FBC" w:rsidRDefault="00F616FB" w:rsidP="00F616FB">
      <w:pPr>
        <w:spacing w:line="360" w:lineRule="auto"/>
        <w:rPr>
          <w:rFonts w:asciiTheme="minorHAnsi" w:hAnsiTheme="minorHAnsi" w:cstheme="minorHAnsi"/>
        </w:rPr>
      </w:pPr>
      <w:r w:rsidRPr="00593FBC">
        <w:rPr>
          <w:rFonts w:asciiTheme="minorHAnsi" w:hAnsiTheme="minorHAnsi" w:cstheme="minorHAnsi"/>
          <w:noProof/>
          <w:lang w:val="en-IN" w:eastAsia="en-IN"/>
        </w:rPr>
        <w:drawing>
          <wp:anchor distT="0" distB="0" distL="114300" distR="114300" simplePos="0" relativeHeight="252041728" behindDoc="1" locked="0" layoutInCell="1" allowOverlap="1" wp14:anchorId="52FED2D0" wp14:editId="14EA64C2">
            <wp:simplePos x="0" y="0"/>
            <wp:positionH relativeFrom="margin">
              <wp:posOffset>3381375</wp:posOffset>
            </wp:positionH>
            <wp:positionV relativeFrom="paragraph">
              <wp:posOffset>7620</wp:posOffset>
            </wp:positionV>
            <wp:extent cx="2600325" cy="2895600"/>
            <wp:effectExtent l="0" t="0" r="9525" b="0"/>
            <wp:wrapTight wrapText="bothSides">
              <wp:wrapPolygon edited="0">
                <wp:start x="0" y="0"/>
                <wp:lineTo x="0" y="21458"/>
                <wp:lineTo x="21521" y="21458"/>
                <wp:lineTo x="21521" y="0"/>
                <wp:lineTo x="0" y="0"/>
              </wp:wrapPolygon>
            </wp:wrapTight>
            <wp:docPr id="1492323131" name="Picture 1492323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9">
                      <a:extLst>
                        <a:ext uri="{28A0092B-C50C-407E-A947-70E740481C1C}">
                          <a14:useLocalDpi xmlns:a14="http://schemas.microsoft.com/office/drawing/2010/main" val="0"/>
                        </a:ext>
                      </a:extLst>
                    </a:blip>
                    <a:stretch>
                      <a:fillRect/>
                    </a:stretch>
                  </pic:blipFill>
                  <pic:spPr>
                    <a:xfrm>
                      <a:off x="0" y="0"/>
                      <a:ext cx="2600325" cy="2895600"/>
                    </a:xfrm>
                    <a:prstGeom prst="rect">
                      <a:avLst/>
                    </a:prstGeom>
                  </pic:spPr>
                </pic:pic>
              </a:graphicData>
            </a:graphic>
            <wp14:sizeRelH relativeFrom="margin">
              <wp14:pctWidth>0</wp14:pctWidth>
            </wp14:sizeRelH>
            <wp14:sizeRelV relativeFrom="margin">
              <wp14:pctHeight>0</wp14:pctHeight>
            </wp14:sizeRelV>
          </wp:anchor>
        </w:drawing>
      </w:r>
    </w:p>
    <w:p w14:paraId="3A793785" w14:textId="77777777" w:rsidR="00F616FB" w:rsidRPr="00593FBC" w:rsidRDefault="00F616FB" w:rsidP="00F616FB">
      <w:pPr>
        <w:spacing w:line="360" w:lineRule="auto"/>
        <w:rPr>
          <w:rFonts w:asciiTheme="minorHAnsi" w:hAnsiTheme="minorHAnsi" w:cstheme="minorHAnsi"/>
        </w:rPr>
      </w:pPr>
    </w:p>
    <w:p w14:paraId="5753BC30" w14:textId="77777777" w:rsidR="00F616FB" w:rsidRDefault="00F616FB" w:rsidP="00F616FB">
      <w:pPr>
        <w:pStyle w:val="ListParagraph"/>
        <w:spacing w:after="0" w:line="257" w:lineRule="auto"/>
        <w:ind w:left="-284"/>
        <w:rPr>
          <w:rFonts w:asciiTheme="minorHAnsi" w:eastAsia="Arial" w:hAnsiTheme="minorHAnsi" w:cstheme="minorHAnsi"/>
          <w:b/>
          <w:bCs/>
          <w:color w:val="000000" w:themeColor="text1"/>
          <w:sz w:val="24"/>
          <w:szCs w:val="24"/>
        </w:rPr>
      </w:pPr>
    </w:p>
    <w:p w14:paraId="4267533B" w14:textId="77777777" w:rsidR="00F616FB" w:rsidRDefault="00F616FB" w:rsidP="00F616FB">
      <w:pPr>
        <w:pStyle w:val="ListParagraph"/>
        <w:spacing w:after="0" w:line="257" w:lineRule="auto"/>
        <w:ind w:left="567"/>
        <w:jc w:val="both"/>
        <w:rPr>
          <w:rFonts w:asciiTheme="minorHAnsi" w:eastAsia="Arial" w:hAnsiTheme="minorHAnsi" w:cstheme="minorHAnsi"/>
          <w:b/>
          <w:bCs/>
          <w:color w:val="000000" w:themeColor="text1"/>
          <w:sz w:val="24"/>
          <w:szCs w:val="24"/>
        </w:rPr>
      </w:pPr>
    </w:p>
    <w:p w14:paraId="05E4D804" w14:textId="14A797EC" w:rsidR="00F616FB" w:rsidRDefault="00F616FB" w:rsidP="00F616FB">
      <w:pPr>
        <w:pStyle w:val="ListParagraph"/>
        <w:spacing w:after="0" w:line="257" w:lineRule="auto"/>
        <w:ind w:left="-284"/>
        <w:rPr>
          <w:rFonts w:asciiTheme="minorHAnsi" w:eastAsia="Arial" w:hAnsiTheme="minorHAnsi" w:cstheme="minorHAnsi"/>
          <w:b/>
          <w:bCs/>
          <w:color w:val="000000" w:themeColor="text1"/>
          <w:sz w:val="24"/>
          <w:szCs w:val="24"/>
        </w:rPr>
      </w:pPr>
    </w:p>
    <w:p w14:paraId="46C81177" w14:textId="2087582B" w:rsidR="0025136B" w:rsidRPr="0025136B" w:rsidRDefault="000408AB" w:rsidP="0025136B">
      <w:pPr>
        <w:pStyle w:val="ListParagraph"/>
        <w:spacing w:after="0" w:line="360" w:lineRule="auto"/>
        <w:ind w:left="709"/>
        <w:jc w:val="both"/>
        <w:rPr>
          <w:rFonts w:asciiTheme="minorHAnsi" w:eastAsia="Arial" w:hAnsiTheme="minorHAnsi" w:cstheme="minorHAnsi"/>
          <w:b/>
          <w:bCs/>
          <w:color w:val="000000" w:themeColor="text1"/>
          <w:sz w:val="24"/>
          <w:szCs w:val="24"/>
        </w:rPr>
      </w:pPr>
      <w:r>
        <w:rPr>
          <w:rFonts w:asciiTheme="minorHAnsi" w:eastAsia="Arial" w:hAnsiTheme="minorHAnsi" w:cstheme="minorHAnsi"/>
          <w:b/>
          <w:bCs/>
          <w:color w:val="000000" w:themeColor="text1"/>
          <w:sz w:val="24"/>
          <w:szCs w:val="24"/>
        </w:rPr>
        <w:t>6.1.22</w:t>
      </w:r>
      <w:r w:rsidR="00F616FB">
        <w:rPr>
          <w:rFonts w:asciiTheme="minorHAnsi" w:eastAsia="Arial" w:hAnsiTheme="minorHAnsi" w:cstheme="minorHAnsi"/>
          <w:b/>
          <w:bCs/>
          <w:color w:val="000000" w:themeColor="text1"/>
          <w:sz w:val="24"/>
          <w:szCs w:val="24"/>
        </w:rPr>
        <w:t xml:space="preserve"> </w:t>
      </w:r>
      <w:r w:rsidR="00F616FB" w:rsidRPr="00593FBC">
        <w:rPr>
          <w:rFonts w:asciiTheme="minorHAnsi" w:eastAsia="Arial" w:hAnsiTheme="minorHAnsi" w:cstheme="minorHAnsi"/>
          <w:b/>
          <w:bCs/>
          <w:color w:val="000000" w:themeColor="text1"/>
          <w:sz w:val="24"/>
          <w:szCs w:val="24"/>
        </w:rPr>
        <w:t>Tower at River Crossing</w:t>
      </w:r>
    </w:p>
    <w:p w14:paraId="26F6932A" w14:textId="36A5C9A6" w:rsidR="00F616FB" w:rsidRPr="00593FBC" w:rsidRDefault="00F616FB" w:rsidP="00F616FB">
      <w:pPr>
        <w:pStyle w:val="ListParagraph"/>
        <w:spacing w:after="0" w:line="360" w:lineRule="auto"/>
        <w:ind w:left="709"/>
        <w:jc w:val="both"/>
        <w:rPr>
          <w:rFonts w:asciiTheme="minorHAnsi" w:eastAsia="Arial" w:hAnsiTheme="minorHAnsi" w:cstheme="minorHAnsi"/>
          <w:color w:val="000000" w:themeColor="text1"/>
          <w:sz w:val="24"/>
          <w:szCs w:val="24"/>
        </w:rPr>
      </w:pPr>
      <w:r w:rsidRPr="00593FBC">
        <w:rPr>
          <w:rFonts w:asciiTheme="minorHAnsi" w:eastAsia="Arial" w:hAnsiTheme="minorHAnsi" w:cstheme="minorHAnsi"/>
          <w:color w:val="000000" w:themeColor="text1"/>
          <w:sz w:val="24"/>
          <w:szCs w:val="24"/>
        </w:rPr>
        <w:t>Erection of PC+6 towers on both side of the river for 33KV Line overcoming the geographical barriers of line emerged in river water during flood like situation &amp; thus, ensure uninterrupted power supply to communities during flood. Completed for 3 Nos. of river &amp; 2 Nos. in progress</w:t>
      </w:r>
    </w:p>
    <w:p w14:paraId="5C788940" w14:textId="175C48F3" w:rsidR="00F616FB" w:rsidRPr="00593FBC" w:rsidRDefault="00F616FB" w:rsidP="00F616FB">
      <w:pPr>
        <w:spacing w:line="360" w:lineRule="auto"/>
        <w:rPr>
          <w:rFonts w:asciiTheme="minorHAnsi" w:hAnsiTheme="minorHAnsi" w:cstheme="minorHAnsi"/>
        </w:rPr>
      </w:pPr>
      <w:r w:rsidRPr="00593FBC">
        <w:rPr>
          <w:rFonts w:asciiTheme="minorHAnsi" w:hAnsiTheme="minorHAnsi" w:cstheme="minorHAnsi"/>
          <w:noProof/>
          <w:lang w:val="en-IN" w:eastAsia="en-IN"/>
        </w:rPr>
        <w:drawing>
          <wp:anchor distT="0" distB="0" distL="114300" distR="114300" simplePos="0" relativeHeight="252046848" behindDoc="1" locked="0" layoutInCell="1" allowOverlap="1" wp14:anchorId="61FE6B7A" wp14:editId="76D1EFF2">
            <wp:simplePos x="0" y="0"/>
            <wp:positionH relativeFrom="margin">
              <wp:posOffset>3533775</wp:posOffset>
            </wp:positionH>
            <wp:positionV relativeFrom="paragraph">
              <wp:posOffset>137160</wp:posOffset>
            </wp:positionV>
            <wp:extent cx="2247900" cy="2543175"/>
            <wp:effectExtent l="0" t="0" r="0" b="9525"/>
            <wp:wrapTight wrapText="bothSides">
              <wp:wrapPolygon edited="0">
                <wp:start x="0" y="0"/>
                <wp:lineTo x="0" y="21519"/>
                <wp:lineTo x="21417" y="21519"/>
                <wp:lineTo x="21417" y="0"/>
                <wp:lineTo x="0" y="0"/>
              </wp:wrapPolygon>
            </wp:wrapTight>
            <wp:docPr id="780169816" name="Picture 7801698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0">
                      <a:extLst>
                        <a:ext uri="{28A0092B-C50C-407E-A947-70E740481C1C}">
                          <a14:useLocalDpi xmlns:a14="http://schemas.microsoft.com/office/drawing/2010/main" val="0"/>
                        </a:ext>
                      </a:extLst>
                    </a:blip>
                    <a:stretch>
                      <a:fillRect/>
                    </a:stretch>
                  </pic:blipFill>
                  <pic:spPr>
                    <a:xfrm>
                      <a:off x="0" y="0"/>
                      <a:ext cx="2247900" cy="2543175"/>
                    </a:xfrm>
                    <a:prstGeom prst="rect">
                      <a:avLst/>
                    </a:prstGeom>
                  </pic:spPr>
                </pic:pic>
              </a:graphicData>
            </a:graphic>
            <wp14:sizeRelH relativeFrom="margin">
              <wp14:pctWidth>0</wp14:pctWidth>
            </wp14:sizeRelH>
            <wp14:sizeRelV relativeFrom="margin">
              <wp14:pctHeight>0</wp14:pctHeight>
            </wp14:sizeRelV>
          </wp:anchor>
        </w:drawing>
      </w:r>
      <w:r w:rsidRPr="00593FBC">
        <w:rPr>
          <w:rFonts w:asciiTheme="minorHAnsi" w:hAnsiTheme="minorHAnsi" w:cstheme="minorHAnsi"/>
          <w:noProof/>
          <w:lang w:val="en-IN" w:eastAsia="en-IN"/>
        </w:rPr>
        <w:drawing>
          <wp:anchor distT="0" distB="0" distL="114300" distR="114300" simplePos="0" relativeHeight="252045824" behindDoc="1" locked="0" layoutInCell="1" allowOverlap="1" wp14:anchorId="2FDEABAE" wp14:editId="0C6CF679">
            <wp:simplePos x="0" y="0"/>
            <wp:positionH relativeFrom="column">
              <wp:posOffset>438150</wp:posOffset>
            </wp:positionH>
            <wp:positionV relativeFrom="paragraph">
              <wp:posOffset>127635</wp:posOffset>
            </wp:positionV>
            <wp:extent cx="2962275" cy="2578100"/>
            <wp:effectExtent l="0" t="0" r="9525" b="0"/>
            <wp:wrapTight wrapText="bothSides">
              <wp:wrapPolygon edited="0">
                <wp:start x="0" y="0"/>
                <wp:lineTo x="0" y="21387"/>
                <wp:lineTo x="21531" y="21387"/>
                <wp:lineTo x="21531" y="0"/>
                <wp:lineTo x="0" y="0"/>
              </wp:wrapPolygon>
            </wp:wrapTight>
            <wp:docPr id="660423275" name="Picture 660423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1">
                      <a:extLst>
                        <a:ext uri="{28A0092B-C50C-407E-A947-70E740481C1C}">
                          <a14:useLocalDpi xmlns:a14="http://schemas.microsoft.com/office/drawing/2010/main" val="0"/>
                        </a:ext>
                      </a:extLst>
                    </a:blip>
                    <a:stretch>
                      <a:fillRect/>
                    </a:stretch>
                  </pic:blipFill>
                  <pic:spPr>
                    <a:xfrm>
                      <a:off x="0" y="0"/>
                      <a:ext cx="2962275" cy="2578100"/>
                    </a:xfrm>
                    <a:prstGeom prst="rect">
                      <a:avLst/>
                    </a:prstGeom>
                  </pic:spPr>
                </pic:pic>
              </a:graphicData>
            </a:graphic>
            <wp14:sizeRelH relativeFrom="margin">
              <wp14:pctWidth>0</wp14:pctWidth>
            </wp14:sizeRelH>
          </wp:anchor>
        </w:drawing>
      </w:r>
    </w:p>
    <w:p w14:paraId="173631AC" w14:textId="77777777" w:rsidR="00F616FB" w:rsidRPr="00593FBC" w:rsidRDefault="00F616FB" w:rsidP="00F616FB">
      <w:pPr>
        <w:spacing w:line="360" w:lineRule="auto"/>
        <w:rPr>
          <w:rFonts w:asciiTheme="minorHAnsi" w:hAnsiTheme="minorHAnsi" w:cstheme="minorHAnsi"/>
        </w:rPr>
      </w:pPr>
    </w:p>
    <w:p w14:paraId="151C49A9" w14:textId="10F65862" w:rsidR="00F616FB" w:rsidRPr="00593FBC" w:rsidRDefault="00F616FB" w:rsidP="00F616FB">
      <w:pPr>
        <w:spacing w:line="360" w:lineRule="auto"/>
        <w:rPr>
          <w:rFonts w:asciiTheme="minorHAnsi" w:hAnsiTheme="minorHAnsi" w:cstheme="minorHAnsi"/>
        </w:rPr>
      </w:pPr>
    </w:p>
    <w:p w14:paraId="79429861" w14:textId="1985DFB6" w:rsidR="00F616FB" w:rsidRPr="00593FBC" w:rsidRDefault="00F616FB" w:rsidP="00F616FB">
      <w:pPr>
        <w:spacing w:line="360" w:lineRule="auto"/>
        <w:rPr>
          <w:rFonts w:asciiTheme="minorHAnsi" w:hAnsiTheme="minorHAnsi" w:cstheme="minorHAnsi"/>
        </w:rPr>
      </w:pPr>
    </w:p>
    <w:p w14:paraId="0ADCC617" w14:textId="07106A4A" w:rsidR="00F616FB" w:rsidRPr="00593FBC" w:rsidRDefault="00F616FB" w:rsidP="00F616FB">
      <w:pPr>
        <w:spacing w:line="360" w:lineRule="auto"/>
        <w:rPr>
          <w:rFonts w:asciiTheme="minorHAnsi" w:hAnsiTheme="minorHAnsi" w:cstheme="minorHAnsi"/>
        </w:rPr>
      </w:pPr>
    </w:p>
    <w:p w14:paraId="52A815C7" w14:textId="31C0927D" w:rsidR="00F616FB" w:rsidRPr="00593FBC" w:rsidRDefault="00F616FB" w:rsidP="00F616FB">
      <w:pPr>
        <w:spacing w:line="360" w:lineRule="auto"/>
        <w:rPr>
          <w:rFonts w:asciiTheme="minorHAnsi" w:hAnsiTheme="minorHAnsi" w:cstheme="minorHAnsi"/>
        </w:rPr>
      </w:pPr>
    </w:p>
    <w:p w14:paraId="155860B1" w14:textId="77777777" w:rsidR="00F616FB" w:rsidRDefault="00F616FB" w:rsidP="00F616FB">
      <w:pPr>
        <w:pStyle w:val="ListParagraph"/>
        <w:spacing w:after="0" w:line="257" w:lineRule="auto"/>
        <w:ind w:left="-284"/>
        <w:rPr>
          <w:rFonts w:asciiTheme="minorHAnsi" w:eastAsia="Arial" w:hAnsiTheme="minorHAnsi" w:cstheme="minorHAnsi"/>
          <w:b/>
          <w:bCs/>
          <w:color w:val="000000" w:themeColor="text1"/>
          <w:sz w:val="24"/>
          <w:szCs w:val="24"/>
        </w:rPr>
      </w:pPr>
    </w:p>
    <w:p w14:paraId="7A822144" w14:textId="01466F96" w:rsidR="00F616FB" w:rsidRDefault="00F616FB" w:rsidP="00F616FB">
      <w:pPr>
        <w:pStyle w:val="ListParagraph"/>
        <w:spacing w:after="0" w:line="257" w:lineRule="auto"/>
        <w:ind w:left="-284"/>
        <w:rPr>
          <w:rFonts w:asciiTheme="minorHAnsi" w:eastAsia="Arial" w:hAnsiTheme="minorHAnsi" w:cstheme="minorHAnsi"/>
          <w:b/>
          <w:bCs/>
          <w:color w:val="000000" w:themeColor="text1"/>
          <w:sz w:val="24"/>
          <w:szCs w:val="24"/>
        </w:rPr>
      </w:pPr>
    </w:p>
    <w:p w14:paraId="6D432C08" w14:textId="534BEC3F" w:rsidR="00F616FB" w:rsidRDefault="00F616FB" w:rsidP="00F616FB">
      <w:pPr>
        <w:pStyle w:val="ListParagraph"/>
        <w:spacing w:after="0" w:line="257" w:lineRule="auto"/>
        <w:ind w:left="-284"/>
        <w:rPr>
          <w:rFonts w:asciiTheme="minorHAnsi" w:eastAsia="Arial" w:hAnsiTheme="minorHAnsi" w:cstheme="minorHAnsi"/>
          <w:b/>
          <w:bCs/>
          <w:color w:val="000000" w:themeColor="text1"/>
          <w:sz w:val="24"/>
          <w:szCs w:val="24"/>
        </w:rPr>
      </w:pPr>
    </w:p>
    <w:p w14:paraId="44FD1256" w14:textId="77777777" w:rsidR="00F616FB" w:rsidRDefault="00F616FB" w:rsidP="00F616FB">
      <w:pPr>
        <w:pStyle w:val="ListParagraph"/>
        <w:spacing w:after="0" w:line="257" w:lineRule="auto"/>
        <w:ind w:left="-284"/>
        <w:rPr>
          <w:rFonts w:asciiTheme="minorHAnsi" w:eastAsia="Arial" w:hAnsiTheme="minorHAnsi" w:cstheme="minorHAnsi"/>
          <w:b/>
          <w:bCs/>
          <w:color w:val="000000" w:themeColor="text1"/>
          <w:sz w:val="24"/>
          <w:szCs w:val="24"/>
        </w:rPr>
      </w:pPr>
    </w:p>
    <w:p w14:paraId="3BB54895" w14:textId="57BA9615" w:rsidR="00F616FB" w:rsidRDefault="00F616FB" w:rsidP="00F616FB">
      <w:pPr>
        <w:pStyle w:val="ListParagraph"/>
        <w:spacing w:after="0" w:line="257" w:lineRule="auto"/>
        <w:ind w:left="-284"/>
        <w:rPr>
          <w:rFonts w:asciiTheme="minorHAnsi" w:eastAsia="Arial" w:hAnsiTheme="minorHAnsi" w:cstheme="minorHAnsi"/>
          <w:b/>
          <w:bCs/>
          <w:color w:val="000000" w:themeColor="text1"/>
          <w:sz w:val="24"/>
          <w:szCs w:val="24"/>
        </w:rPr>
      </w:pPr>
    </w:p>
    <w:p w14:paraId="34AE3FB7" w14:textId="6D59038F" w:rsidR="00F616FB" w:rsidRDefault="00F616FB" w:rsidP="00F616FB">
      <w:pPr>
        <w:pStyle w:val="ListParagraph"/>
        <w:spacing w:after="0" w:line="257" w:lineRule="auto"/>
        <w:ind w:left="-284"/>
        <w:rPr>
          <w:rFonts w:asciiTheme="minorHAnsi" w:eastAsia="Arial" w:hAnsiTheme="minorHAnsi" w:cstheme="minorHAnsi"/>
          <w:b/>
          <w:bCs/>
          <w:color w:val="000000" w:themeColor="text1"/>
          <w:sz w:val="24"/>
          <w:szCs w:val="24"/>
        </w:rPr>
      </w:pPr>
    </w:p>
    <w:p w14:paraId="1BCF232E" w14:textId="77777777" w:rsidR="00F616FB" w:rsidRDefault="00F616FB" w:rsidP="00F616FB">
      <w:pPr>
        <w:pStyle w:val="ListParagraph"/>
        <w:spacing w:after="0" w:line="257" w:lineRule="auto"/>
        <w:ind w:left="-284"/>
        <w:rPr>
          <w:rFonts w:asciiTheme="minorHAnsi" w:eastAsia="Arial" w:hAnsiTheme="minorHAnsi" w:cstheme="minorHAnsi"/>
          <w:b/>
          <w:bCs/>
          <w:color w:val="000000" w:themeColor="text1"/>
          <w:sz w:val="24"/>
          <w:szCs w:val="24"/>
        </w:rPr>
      </w:pPr>
    </w:p>
    <w:p w14:paraId="77870A97" w14:textId="1A0199A1" w:rsidR="0025136B" w:rsidRPr="0025136B" w:rsidRDefault="000408AB" w:rsidP="0025136B">
      <w:pPr>
        <w:pStyle w:val="ListParagraph"/>
        <w:spacing w:after="0" w:line="360" w:lineRule="auto"/>
        <w:ind w:left="709"/>
        <w:jc w:val="both"/>
        <w:rPr>
          <w:rFonts w:asciiTheme="minorHAnsi" w:eastAsia="Arial" w:hAnsiTheme="minorHAnsi" w:cstheme="minorHAnsi"/>
          <w:b/>
          <w:bCs/>
          <w:color w:val="000000" w:themeColor="text1"/>
          <w:sz w:val="24"/>
          <w:szCs w:val="24"/>
        </w:rPr>
      </w:pPr>
      <w:r>
        <w:rPr>
          <w:rFonts w:asciiTheme="minorHAnsi" w:eastAsia="Arial" w:hAnsiTheme="minorHAnsi" w:cstheme="minorHAnsi"/>
          <w:b/>
          <w:bCs/>
          <w:color w:val="000000" w:themeColor="text1"/>
          <w:sz w:val="24"/>
          <w:szCs w:val="24"/>
        </w:rPr>
        <w:t>6.1.23</w:t>
      </w:r>
      <w:r w:rsidR="00F616FB">
        <w:rPr>
          <w:rFonts w:asciiTheme="minorHAnsi" w:eastAsia="Arial" w:hAnsiTheme="minorHAnsi" w:cstheme="minorHAnsi"/>
          <w:b/>
          <w:bCs/>
          <w:color w:val="000000" w:themeColor="text1"/>
          <w:sz w:val="24"/>
          <w:szCs w:val="24"/>
        </w:rPr>
        <w:t xml:space="preserve"> </w:t>
      </w:r>
      <w:r w:rsidR="00F616FB" w:rsidRPr="00593FBC">
        <w:rPr>
          <w:rFonts w:asciiTheme="minorHAnsi" w:eastAsia="Arial" w:hAnsiTheme="minorHAnsi" w:cstheme="minorHAnsi"/>
          <w:b/>
          <w:bCs/>
          <w:color w:val="000000" w:themeColor="text1"/>
          <w:sz w:val="24"/>
          <w:szCs w:val="24"/>
        </w:rPr>
        <w:t>Mobile Transformer Trolley</w:t>
      </w:r>
    </w:p>
    <w:p w14:paraId="11D2EC42" w14:textId="68B1F6F3" w:rsidR="00F616FB" w:rsidRPr="000408AB" w:rsidRDefault="000408AB" w:rsidP="000408AB">
      <w:pPr>
        <w:pStyle w:val="ListParagraph"/>
        <w:spacing w:after="0" w:line="360" w:lineRule="auto"/>
        <w:ind w:left="709"/>
        <w:jc w:val="both"/>
        <w:rPr>
          <w:rFonts w:asciiTheme="minorHAnsi" w:eastAsia="Arial" w:hAnsiTheme="minorHAnsi" w:cstheme="minorHAnsi"/>
          <w:color w:val="000000" w:themeColor="text1"/>
          <w:szCs w:val="24"/>
        </w:rPr>
      </w:pPr>
      <w:r w:rsidRPr="00593FBC">
        <w:rPr>
          <w:rFonts w:asciiTheme="minorHAnsi" w:hAnsiTheme="minorHAnsi" w:cstheme="minorHAnsi"/>
          <w:noProof/>
          <w:lang w:val="en-IN" w:eastAsia="en-IN"/>
        </w:rPr>
        <w:drawing>
          <wp:anchor distT="0" distB="0" distL="114300" distR="114300" simplePos="0" relativeHeight="252047872" behindDoc="1" locked="0" layoutInCell="1" allowOverlap="1" wp14:anchorId="1A956576" wp14:editId="35BC2E2F">
            <wp:simplePos x="0" y="0"/>
            <wp:positionH relativeFrom="column">
              <wp:posOffset>413385</wp:posOffset>
            </wp:positionH>
            <wp:positionV relativeFrom="paragraph">
              <wp:posOffset>1582420</wp:posOffset>
            </wp:positionV>
            <wp:extent cx="2867025" cy="2228850"/>
            <wp:effectExtent l="0" t="0" r="9525" b="0"/>
            <wp:wrapTight wrapText="bothSides">
              <wp:wrapPolygon edited="0">
                <wp:start x="0" y="0"/>
                <wp:lineTo x="0" y="21415"/>
                <wp:lineTo x="21528" y="21415"/>
                <wp:lineTo x="21528" y="0"/>
                <wp:lineTo x="0" y="0"/>
              </wp:wrapPolygon>
            </wp:wrapTight>
            <wp:docPr id="1390448327" name="Picture 1390448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2">
                      <a:extLst>
                        <a:ext uri="{28A0092B-C50C-407E-A947-70E740481C1C}">
                          <a14:useLocalDpi xmlns:a14="http://schemas.microsoft.com/office/drawing/2010/main" val="0"/>
                        </a:ext>
                      </a:extLst>
                    </a:blip>
                    <a:stretch>
                      <a:fillRect/>
                    </a:stretch>
                  </pic:blipFill>
                  <pic:spPr>
                    <a:xfrm>
                      <a:off x="0" y="0"/>
                      <a:ext cx="2867025" cy="2228850"/>
                    </a:xfrm>
                    <a:prstGeom prst="rect">
                      <a:avLst/>
                    </a:prstGeom>
                  </pic:spPr>
                </pic:pic>
              </a:graphicData>
            </a:graphic>
            <wp14:sizeRelH relativeFrom="margin">
              <wp14:pctWidth>0</wp14:pctWidth>
            </wp14:sizeRelH>
            <wp14:sizeRelV relativeFrom="margin">
              <wp14:pctHeight>0</wp14:pctHeight>
            </wp14:sizeRelV>
          </wp:anchor>
        </w:drawing>
      </w:r>
      <w:r w:rsidRPr="00593FBC">
        <w:rPr>
          <w:rFonts w:asciiTheme="minorHAnsi" w:hAnsiTheme="minorHAnsi" w:cstheme="minorHAnsi"/>
          <w:noProof/>
          <w:lang w:val="en-IN" w:eastAsia="en-IN"/>
        </w:rPr>
        <w:drawing>
          <wp:anchor distT="0" distB="0" distL="114300" distR="114300" simplePos="0" relativeHeight="252048896" behindDoc="1" locked="0" layoutInCell="1" allowOverlap="1" wp14:anchorId="4B3845A4" wp14:editId="7AD49B6F">
            <wp:simplePos x="0" y="0"/>
            <wp:positionH relativeFrom="margin">
              <wp:posOffset>3785235</wp:posOffset>
            </wp:positionH>
            <wp:positionV relativeFrom="paragraph">
              <wp:posOffset>1572260</wp:posOffset>
            </wp:positionV>
            <wp:extent cx="2247900" cy="2238375"/>
            <wp:effectExtent l="0" t="0" r="0" b="9525"/>
            <wp:wrapTight wrapText="bothSides">
              <wp:wrapPolygon edited="0">
                <wp:start x="0" y="0"/>
                <wp:lineTo x="0" y="21508"/>
                <wp:lineTo x="21417" y="21508"/>
                <wp:lineTo x="21417" y="0"/>
                <wp:lineTo x="0" y="0"/>
              </wp:wrapPolygon>
            </wp:wrapTight>
            <wp:docPr id="1014964259" name="Picture 1014964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3">
                      <a:extLst>
                        <a:ext uri="{28A0092B-C50C-407E-A947-70E740481C1C}">
                          <a14:useLocalDpi xmlns:a14="http://schemas.microsoft.com/office/drawing/2010/main" val="0"/>
                        </a:ext>
                      </a:extLst>
                    </a:blip>
                    <a:stretch>
                      <a:fillRect/>
                    </a:stretch>
                  </pic:blipFill>
                  <pic:spPr>
                    <a:xfrm>
                      <a:off x="0" y="0"/>
                      <a:ext cx="2247900" cy="2238375"/>
                    </a:xfrm>
                    <a:prstGeom prst="rect">
                      <a:avLst/>
                    </a:prstGeom>
                  </pic:spPr>
                </pic:pic>
              </a:graphicData>
            </a:graphic>
            <wp14:sizeRelH relativeFrom="margin">
              <wp14:pctWidth>0</wp14:pctWidth>
            </wp14:sizeRelH>
            <wp14:sizeRelV relativeFrom="margin">
              <wp14:pctHeight>0</wp14:pctHeight>
            </wp14:sizeRelV>
          </wp:anchor>
        </w:drawing>
      </w:r>
      <w:r w:rsidR="00F616FB" w:rsidRPr="00593FBC">
        <w:rPr>
          <w:rFonts w:asciiTheme="minorHAnsi" w:eastAsia="Arial" w:hAnsiTheme="minorHAnsi" w:cstheme="minorHAnsi"/>
          <w:b/>
          <w:bCs/>
          <w:color w:val="000000" w:themeColor="text1"/>
          <w:sz w:val="24"/>
          <w:szCs w:val="24"/>
        </w:rPr>
        <w:t xml:space="preserve"> </w:t>
      </w:r>
      <w:r w:rsidR="00F616FB" w:rsidRPr="009E1ADD">
        <w:rPr>
          <w:rFonts w:asciiTheme="minorHAnsi" w:eastAsia="Arial" w:hAnsiTheme="minorHAnsi" w:cstheme="minorHAnsi"/>
          <w:color w:val="000000" w:themeColor="text1"/>
          <w:szCs w:val="24"/>
        </w:rPr>
        <w:t xml:space="preserve">We have introduced &amp; started utilizing “TROLLEY MOUNTED Distribution Transformer” for the first time in our operational area. This mobile trolley is consisting of 400KVA Transformer &amp; 800A LT Air Circuit Breaker fitted on Trolley. Thus, this is a transformer with LT side protection on wheel. This will surely help in reducing the downtime during DTR failure &amp; uninterrupted supply for the consumers during longer outages for maintenance of project work. 9 Nos. of this Mobile Trolley </w:t>
      </w:r>
      <w:r w:rsidR="00F616FB" w:rsidRPr="009E1ADD">
        <w:rPr>
          <w:rFonts w:asciiTheme="minorHAnsi" w:eastAsia="Arial" w:hAnsiTheme="minorHAnsi" w:cstheme="minorHAnsi"/>
          <w:color w:val="000000" w:themeColor="text1"/>
          <w:szCs w:val="24"/>
        </w:rPr>
        <w:lastRenderedPageBreak/>
        <w:t>were already procured. 1 No. of trolley in each of the 5 circles along with additional ones at few critical locations.</w:t>
      </w:r>
    </w:p>
    <w:p w14:paraId="63BE697B" w14:textId="77777777" w:rsidR="00F616FB" w:rsidRDefault="00F616FB" w:rsidP="00F616FB">
      <w:pPr>
        <w:pStyle w:val="ListParagraph"/>
        <w:spacing w:line="360" w:lineRule="auto"/>
        <w:ind w:left="567"/>
        <w:jc w:val="both"/>
        <w:rPr>
          <w:rFonts w:asciiTheme="minorHAnsi" w:eastAsia="Arial" w:hAnsiTheme="minorHAnsi" w:cstheme="minorHAnsi"/>
          <w:b/>
          <w:bCs/>
          <w:color w:val="000000" w:themeColor="text1"/>
          <w:sz w:val="24"/>
          <w:szCs w:val="24"/>
        </w:rPr>
      </w:pPr>
    </w:p>
    <w:p w14:paraId="1AE174CB" w14:textId="4989FF5E" w:rsidR="00F616FB" w:rsidRDefault="00F616FB" w:rsidP="00F616FB">
      <w:pPr>
        <w:pStyle w:val="ListParagraph"/>
        <w:spacing w:line="360" w:lineRule="auto"/>
        <w:ind w:left="567"/>
        <w:jc w:val="both"/>
        <w:rPr>
          <w:rFonts w:asciiTheme="minorHAnsi" w:eastAsia="Arial" w:hAnsiTheme="minorHAnsi" w:cstheme="minorHAnsi"/>
          <w:b/>
          <w:bCs/>
          <w:color w:val="000000" w:themeColor="text1"/>
          <w:sz w:val="24"/>
          <w:szCs w:val="24"/>
        </w:rPr>
      </w:pPr>
      <w:r w:rsidRPr="00593FBC">
        <w:rPr>
          <w:rFonts w:asciiTheme="minorHAnsi" w:hAnsiTheme="minorHAnsi" w:cstheme="minorHAnsi"/>
          <w:noProof/>
          <w:lang w:val="en-IN" w:eastAsia="en-IN"/>
        </w:rPr>
        <w:drawing>
          <wp:anchor distT="0" distB="0" distL="114300" distR="114300" simplePos="0" relativeHeight="252050944" behindDoc="1" locked="0" layoutInCell="1" allowOverlap="1" wp14:anchorId="7DF463FB" wp14:editId="23AC992F">
            <wp:simplePos x="0" y="0"/>
            <wp:positionH relativeFrom="column">
              <wp:posOffset>4248150</wp:posOffset>
            </wp:positionH>
            <wp:positionV relativeFrom="paragraph">
              <wp:posOffset>4191000</wp:posOffset>
            </wp:positionV>
            <wp:extent cx="1771650" cy="2838450"/>
            <wp:effectExtent l="76200" t="76200" r="133350" b="133350"/>
            <wp:wrapTight wrapText="bothSides">
              <wp:wrapPolygon edited="0">
                <wp:start x="-465" y="-580"/>
                <wp:lineTo x="-929" y="-435"/>
                <wp:lineTo x="-929" y="21890"/>
                <wp:lineTo x="-465" y="22470"/>
                <wp:lineTo x="22529" y="22470"/>
                <wp:lineTo x="22994" y="20585"/>
                <wp:lineTo x="22994" y="1885"/>
                <wp:lineTo x="22529" y="-290"/>
                <wp:lineTo x="22529" y="-580"/>
                <wp:lineTo x="-465" y="-580"/>
              </wp:wrapPolygon>
            </wp:wrapTight>
            <wp:docPr id="1681840810" name="Picture 16818408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4">
                      <a:extLst>
                        <a:ext uri="{28A0092B-C50C-407E-A947-70E740481C1C}">
                          <a14:useLocalDpi xmlns:a14="http://schemas.microsoft.com/office/drawing/2010/main" val="0"/>
                        </a:ext>
                      </a:extLst>
                    </a:blip>
                    <a:stretch>
                      <a:fillRect/>
                    </a:stretch>
                  </pic:blipFill>
                  <pic:spPr>
                    <a:xfrm>
                      <a:off x="0" y="0"/>
                      <a:ext cx="1771650" cy="283845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14:sizeRelH relativeFrom="margin">
              <wp14:pctWidth>0</wp14:pctWidth>
            </wp14:sizeRelH>
            <wp14:sizeRelV relativeFrom="margin">
              <wp14:pctHeight>0</wp14:pctHeight>
            </wp14:sizeRelV>
          </wp:anchor>
        </w:drawing>
      </w:r>
      <w:r w:rsidRPr="00593FBC">
        <w:rPr>
          <w:rFonts w:asciiTheme="minorHAnsi" w:hAnsiTheme="minorHAnsi" w:cstheme="minorHAnsi"/>
          <w:noProof/>
          <w:lang w:val="en-IN" w:eastAsia="en-IN"/>
        </w:rPr>
        <w:drawing>
          <wp:anchor distT="0" distB="0" distL="114300" distR="114300" simplePos="0" relativeHeight="252051968" behindDoc="1" locked="0" layoutInCell="1" allowOverlap="1" wp14:anchorId="2F7D6370" wp14:editId="785C7E79">
            <wp:simplePos x="0" y="0"/>
            <wp:positionH relativeFrom="column">
              <wp:posOffset>2362200</wp:posOffset>
            </wp:positionH>
            <wp:positionV relativeFrom="paragraph">
              <wp:posOffset>4181475</wp:posOffset>
            </wp:positionV>
            <wp:extent cx="1695450" cy="2895600"/>
            <wp:effectExtent l="76200" t="76200" r="133350" b="133350"/>
            <wp:wrapTight wrapText="bothSides">
              <wp:wrapPolygon edited="0">
                <wp:start x="-485" y="-568"/>
                <wp:lineTo x="-971" y="-426"/>
                <wp:lineTo x="-971" y="21884"/>
                <wp:lineTo x="-485" y="22453"/>
                <wp:lineTo x="22571" y="22453"/>
                <wp:lineTo x="22571" y="22311"/>
                <wp:lineTo x="23056" y="20179"/>
                <wp:lineTo x="23056" y="1847"/>
                <wp:lineTo x="22571" y="-284"/>
                <wp:lineTo x="22571" y="-568"/>
                <wp:lineTo x="-485" y="-568"/>
              </wp:wrapPolygon>
            </wp:wrapTight>
            <wp:docPr id="1429611182" name="Picture 1429611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5">
                      <a:extLst>
                        <a:ext uri="{28A0092B-C50C-407E-A947-70E740481C1C}">
                          <a14:useLocalDpi xmlns:a14="http://schemas.microsoft.com/office/drawing/2010/main" val="0"/>
                        </a:ext>
                      </a:extLst>
                    </a:blip>
                    <a:stretch>
                      <a:fillRect/>
                    </a:stretch>
                  </pic:blipFill>
                  <pic:spPr>
                    <a:xfrm>
                      <a:off x="0" y="0"/>
                      <a:ext cx="1695450" cy="289560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14:sizeRelV relativeFrom="margin">
              <wp14:pctHeight>0</wp14:pctHeight>
            </wp14:sizeRelV>
          </wp:anchor>
        </w:drawing>
      </w:r>
      <w:r w:rsidRPr="00593FBC">
        <w:rPr>
          <w:rFonts w:asciiTheme="minorHAnsi" w:hAnsiTheme="minorHAnsi" w:cstheme="minorHAnsi"/>
          <w:noProof/>
          <w:lang w:val="en-IN" w:eastAsia="en-IN"/>
        </w:rPr>
        <w:drawing>
          <wp:anchor distT="0" distB="0" distL="114300" distR="114300" simplePos="0" relativeHeight="252049920" behindDoc="1" locked="0" layoutInCell="1" allowOverlap="1" wp14:anchorId="0F6CF068" wp14:editId="614F706A">
            <wp:simplePos x="0" y="0"/>
            <wp:positionH relativeFrom="column">
              <wp:posOffset>314325</wp:posOffset>
            </wp:positionH>
            <wp:positionV relativeFrom="paragraph">
              <wp:posOffset>4181475</wp:posOffset>
            </wp:positionV>
            <wp:extent cx="1914525" cy="2896021"/>
            <wp:effectExtent l="76200" t="76200" r="123825" b="133350"/>
            <wp:wrapTight wrapText="bothSides">
              <wp:wrapPolygon edited="0">
                <wp:start x="-430" y="-568"/>
                <wp:lineTo x="-860" y="-426"/>
                <wp:lineTo x="-860" y="21884"/>
                <wp:lineTo x="-430" y="22453"/>
                <wp:lineTo x="22352" y="22453"/>
                <wp:lineTo x="22352" y="22311"/>
                <wp:lineTo x="22782" y="20179"/>
                <wp:lineTo x="22782" y="1847"/>
                <wp:lineTo x="22352" y="-284"/>
                <wp:lineTo x="22352" y="-568"/>
                <wp:lineTo x="-430" y="-568"/>
              </wp:wrapPolygon>
            </wp:wrapTight>
            <wp:docPr id="1616387732" name="Picture 16163877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6">
                      <a:extLst>
                        <a:ext uri="{28A0092B-C50C-407E-A947-70E740481C1C}">
                          <a14:useLocalDpi xmlns:a14="http://schemas.microsoft.com/office/drawing/2010/main" val="0"/>
                        </a:ext>
                      </a:extLst>
                    </a:blip>
                    <a:stretch>
                      <a:fillRect/>
                    </a:stretch>
                  </pic:blipFill>
                  <pic:spPr>
                    <a:xfrm>
                      <a:off x="0" y="0"/>
                      <a:ext cx="1914525" cy="2896021"/>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anchor>
        </w:drawing>
      </w:r>
      <w:r w:rsidR="000408AB">
        <w:rPr>
          <w:rFonts w:asciiTheme="minorHAnsi" w:eastAsia="Arial" w:hAnsiTheme="minorHAnsi" w:cstheme="minorHAnsi"/>
          <w:b/>
          <w:bCs/>
          <w:color w:val="000000" w:themeColor="text1"/>
          <w:sz w:val="24"/>
          <w:szCs w:val="24"/>
        </w:rPr>
        <w:t xml:space="preserve">6.1.24 </w:t>
      </w:r>
      <w:r w:rsidRPr="00593FBC">
        <w:rPr>
          <w:rFonts w:asciiTheme="minorHAnsi" w:eastAsia="Arial" w:hAnsiTheme="minorHAnsi" w:cstheme="minorHAnsi"/>
          <w:b/>
          <w:bCs/>
          <w:color w:val="000000" w:themeColor="text1"/>
          <w:sz w:val="24"/>
          <w:szCs w:val="24"/>
        </w:rPr>
        <w:t>FCC App</w:t>
      </w:r>
    </w:p>
    <w:p w14:paraId="564A52CE" w14:textId="5F28B606" w:rsidR="00F616FB" w:rsidRDefault="00F616FB" w:rsidP="00F616FB">
      <w:pPr>
        <w:pStyle w:val="ListParagraph"/>
        <w:spacing w:line="360" w:lineRule="auto"/>
        <w:ind w:left="567"/>
        <w:jc w:val="both"/>
        <w:rPr>
          <w:rFonts w:asciiTheme="minorHAnsi" w:eastAsia="Arial" w:hAnsiTheme="minorHAnsi" w:cstheme="minorHAnsi"/>
          <w:color w:val="000000" w:themeColor="text1"/>
        </w:rPr>
      </w:pPr>
      <w:r w:rsidRPr="002A2189">
        <w:rPr>
          <w:rFonts w:asciiTheme="minorHAnsi" w:eastAsia="Arial" w:hAnsiTheme="minorHAnsi" w:cstheme="minorHAnsi"/>
          <w:b/>
          <w:bCs/>
          <w:color w:val="000000" w:themeColor="text1"/>
          <w:szCs w:val="24"/>
        </w:rPr>
        <w:t xml:space="preserve"> </w:t>
      </w:r>
      <w:r w:rsidRPr="002A2189">
        <w:rPr>
          <w:rFonts w:asciiTheme="minorHAnsi" w:eastAsia="Arial" w:hAnsiTheme="minorHAnsi" w:cstheme="minorHAnsi"/>
          <w:color w:val="000000" w:themeColor="text1"/>
          <w:szCs w:val="24"/>
        </w:rPr>
        <w:t xml:space="preserve">We have introduced the FCC App which is a mobile application to resolve the No Power Supply Complaints in an effective &amp; efficient manner. The Consumer complaints will directly be forwarded to the Area Lineman through the Call Centre Executive or Customer Care </w:t>
      </w:r>
      <w:proofErr w:type="spellStart"/>
      <w:r w:rsidRPr="002A2189">
        <w:rPr>
          <w:rFonts w:asciiTheme="minorHAnsi" w:eastAsia="Arial" w:hAnsiTheme="minorHAnsi" w:cstheme="minorHAnsi"/>
          <w:color w:val="000000" w:themeColor="text1"/>
          <w:szCs w:val="24"/>
        </w:rPr>
        <w:t>Centres</w:t>
      </w:r>
      <w:proofErr w:type="spellEnd"/>
      <w:r w:rsidRPr="002A2189">
        <w:rPr>
          <w:rFonts w:asciiTheme="minorHAnsi" w:eastAsia="Arial" w:hAnsiTheme="minorHAnsi" w:cstheme="minorHAnsi"/>
          <w:color w:val="000000" w:themeColor="text1"/>
          <w:szCs w:val="24"/>
        </w:rPr>
        <w:t xml:space="preserve"> in this application which will be reflected in a mobile phone of the lineman. The Area Lineman will be able to acknowledge the Calls as per availability &amp; close the complaints, post completion of the work. The calls can also be easily transferred from one FCC Camps to another or from one section to another in case of high call volume to one lineman. Section Manager &amp; Area Lineman will be able identify and track each complaint i.e. call landing time, attending time, closure time etc. This Application will also help the Section Managers to closely control &amp; monitor the complaints thereby enabling us to reduce the downtime and providing faster response to our valuable consumers. We have also provided Samsung Galaxy A-13 mobile phone &amp; SIM card to our lineman for usage of this application. Currently around 72% of No </w:t>
      </w:r>
      <w:r w:rsidRPr="002A2189">
        <w:rPr>
          <w:rFonts w:asciiTheme="minorHAnsi" w:eastAsia="Arial" w:hAnsiTheme="minorHAnsi" w:cstheme="minorHAnsi"/>
          <w:color w:val="000000" w:themeColor="text1"/>
        </w:rPr>
        <w:t>supply complaint management are routed &amp; closed through FCC app across the organization.</w:t>
      </w:r>
    </w:p>
    <w:p w14:paraId="37DBEAE8" w14:textId="7443CB28" w:rsidR="008B50CF" w:rsidRDefault="008B50CF" w:rsidP="00F616FB">
      <w:pPr>
        <w:pStyle w:val="ListParagraph"/>
        <w:spacing w:line="360" w:lineRule="auto"/>
        <w:ind w:left="567"/>
        <w:jc w:val="both"/>
        <w:rPr>
          <w:rFonts w:asciiTheme="minorHAnsi" w:eastAsia="Arial" w:hAnsiTheme="minorHAnsi" w:cstheme="minorHAnsi"/>
          <w:color w:val="000000" w:themeColor="text1"/>
        </w:rPr>
      </w:pPr>
    </w:p>
    <w:p w14:paraId="5A199AA8" w14:textId="3DD27739" w:rsidR="008B50CF" w:rsidRDefault="008B50CF" w:rsidP="008B50CF">
      <w:pPr>
        <w:ind w:left="426"/>
      </w:pPr>
    </w:p>
    <w:p w14:paraId="4E349F9F" w14:textId="53DC6F67" w:rsidR="0025136B" w:rsidRDefault="0025136B" w:rsidP="008B50CF">
      <w:pPr>
        <w:ind w:left="426"/>
      </w:pPr>
    </w:p>
    <w:p w14:paraId="4AAA97B0" w14:textId="0D8A098A" w:rsidR="0025136B" w:rsidRDefault="0025136B" w:rsidP="008B50CF">
      <w:pPr>
        <w:ind w:left="426"/>
      </w:pPr>
    </w:p>
    <w:p w14:paraId="039CBB5E" w14:textId="2ECCBC86" w:rsidR="0025136B" w:rsidRDefault="0025136B" w:rsidP="008B50CF">
      <w:pPr>
        <w:ind w:left="426"/>
      </w:pPr>
    </w:p>
    <w:p w14:paraId="234EF8DF" w14:textId="0D38F12C" w:rsidR="008B50CF" w:rsidRPr="00EF24C0" w:rsidRDefault="00EF24C0" w:rsidP="008B50CF">
      <w:pPr>
        <w:rPr>
          <w:rFonts w:asciiTheme="minorHAnsi" w:hAnsiTheme="minorHAnsi" w:cs="Calibri"/>
          <w:b/>
          <w:sz w:val="28"/>
          <w:szCs w:val="28"/>
        </w:rPr>
      </w:pPr>
      <w:r w:rsidRPr="00EF24C0">
        <w:rPr>
          <w:rFonts w:asciiTheme="minorHAnsi" w:hAnsiTheme="minorHAnsi"/>
          <w:b/>
          <w:sz w:val="28"/>
          <w:szCs w:val="28"/>
        </w:rPr>
        <w:lastRenderedPageBreak/>
        <w:t xml:space="preserve">       6.2</w:t>
      </w:r>
      <w:r w:rsidR="008B50CF" w:rsidRPr="00EF24C0">
        <w:rPr>
          <w:rFonts w:asciiTheme="minorHAnsi" w:hAnsiTheme="minorHAnsi" w:cs="Calibri"/>
          <w:b/>
          <w:sz w:val="28"/>
          <w:szCs w:val="28"/>
        </w:rPr>
        <w:t xml:space="preserve"> Improvement through CAPEX:</w:t>
      </w:r>
    </w:p>
    <w:p w14:paraId="27AE54AF" w14:textId="77777777" w:rsidR="008B50CF" w:rsidRDefault="008B50CF" w:rsidP="008B50CF">
      <w:pPr>
        <w:ind w:left="567"/>
        <w:rPr>
          <w:rFonts w:ascii="Calibri" w:hAnsi="Calibri" w:cs="Calibri"/>
          <w:b/>
          <w:sz w:val="14"/>
          <w:szCs w:val="22"/>
        </w:rPr>
      </w:pPr>
    </w:p>
    <w:p w14:paraId="65F396F6" w14:textId="77777777" w:rsidR="008B50CF" w:rsidRPr="005F3180" w:rsidRDefault="008B50CF" w:rsidP="008B50CF">
      <w:pPr>
        <w:ind w:left="567"/>
        <w:rPr>
          <w:rFonts w:ascii="Calibri" w:hAnsi="Calibri" w:cs="Calibri"/>
          <w:sz w:val="22"/>
          <w:szCs w:val="22"/>
        </w:rPr>
      </w:pPr>
      <w:r w:rsidRPr="005F3180">
        <w:rPr>
          <w:rFonts w:ascii="Calibri" w:hAnsi="Calibri" w:cs="Calibri"/>
          <w:sz w:val="22"/>
          <w:szCs w:val="22"/>
        </w:rPr>
        <w:t xml:space="preserve">The scheme wise outcome of Capital Investment has been </w:t>
      </w:r>
      <w:r>
        <w:rPr>
          <w:rFonts w:ascii="Calibri" w:hAnsi="Calibri" w:cs="Calibri"/>
          <w:sz w:val="22"/>
          <w:szCs w:val="22"/>
        </w:rPr>
        <w:t xml:space="preserve">quantified and </w:t>
      </w:r>
      <w:r w:rsidRPr="005F3180">
        <w:rPr>
          <w:rFonts w:ascii="Calibri" w:hAnsi="Calibri" w:cs="Calibri"/>
          <w:sz w:val="22"/>
          <w:szCs w:val="22"/>
        </w:rPr>
        <w:t xml:space="preserve">furnished in the below table: </w:t>
      </w:r>
    </w:p>
    <w:p w14:paraId="4CF34FF5" w14:textId="77777777" w:rsidR="008B50CF" w:rsidRDefault="008B50CF" w:rsidP="008B50CF">
      <w:pPr>
        <w:ind w:left="567"/>
        <w:rPr>
          <w:rFonts w:ascii="Calibri" w:hAnsi="Calibri" w:cs="Calibri"/>
          <w:b/>
          <w:sz w:val="28"/>
          <w:szCs w:val="22"/>
        </w:rPr>
      </w:pPr>
    </w:p>
    <w:p w14:paraId="2D4F35C2" w14:textId="64E7D5FF" w:rsidR="008B50CF" w:rsidRPr="005F3180" w:rsidRDefault="008B50CF" w:rsidP="008B50CF">
      <w:pPr>
        <w:ind w:left="567"/>
        <w:rPr>
          <w:rFonts w:ascii="Calibri" w:hAnsi="Calibri" w:cs="Calibri"/>
          <w:b/>
          <w:szCs w:val="22"/>
        </w:rPr>
      </w:pPr>
      <w:r w:rsidRPr="005F3180">
        <w:rPr>
          <w:rFonts w:ascii="Calibri" w:hAnsi="Calibri" w:cs="Calibri"/>
          <w:b/>
          <w:szCs w:val="22"/>
        </w:rPr>
        <w:t>6.</w:t>
      </w:r>
      <w:r w:rsidR="00EF24C0">
        <w:rPr>
          <w:rFonts w:ascii="Calibri" w:hAnsi="Calibri" w:cs="Calibri"/>
          <w:b/>
          <w:szCs w:val="22"/>
        </w:rPr>
        <w:t>2.1</w:t>
      </w:r>
      <w:r w:rsidRPr="005F3180">
        <w:rPr>
          <w:rFonts w:ascii="Calibri" w:hAnsi="Calibri" w:cs="Calibri"/>
          <w:b/>
          <w:szCs w:val="22"/>
        </w:rPr>
        <w:t xml:space="preserve"> Statutory &amp; Safety</w:t>
      </w:r>
      <w:r>
        <w:rPr>
          <w:rFonts w:ascii="Calibri" w:hAnsi="Calibri" w:cs="Calibri"/>
          <w:b/>
          <w:szCs w:val="22"/>
        </w:rPr>
        <w:t>:</w:t>
      </w:r>
    </w:p>
    <w:p w14:paraId="52CE1F74" w14:textId="77777777" w:rsidR="008B50CF" w:rsidRPr="001C1983" w:rsidRDefault="008B50CF" w:rsidP="008B50CF">
      <w:pPr>
        <w:rPr>
          <w:rFonts w:ascii="Calibri" w:hAnsi="Calibri" w:cs="Calibri"/>
          <w:b/>
          <w:sz w:val="18"/>
          <w:szCs w:val="22"/>
        </w:rPr>
      </w:pPr>
    </w:p>
    <w:tbl>
      <w:tblPr>
        <w:tblStyle w:val="TableGrid2"/>
        <w:tblW w:w="9214" w:type="dxa"/>
        <w:tblInd w:w="562" w:type="dxa"/>
        <w:tblLook w:val="04A0" w:firstRow="1" w:lastRow="0" w:firstColumn="1" w:lastColumn="0" w:noHBand="0" w:noVBand="1"/>
      </w:tblPr>
      <w:tblGrid>
        <w:gridCol w:w="2552"/>
        <w:gridCol w:w="2606"/>
        <w:gridCol w:w="4056"/>
      </w:tblGrid>
      <w:tr w:rsidR="008B50CF" w:rsidRPr="00D6050D" w14:paraId="4B3870AC" w14:textId="77777777" w:rsidTr="00A35221">
        <w:trPr>
          <w:trHeight w:val="253"/>
        </w:trPr>
        <w:tc>
          <w:tcPr>
            <w:tcW w:w="2552" w:type="dxa"/>
            <w:shd w:val="clear" w:color="auto" w:fill="95B3D7" w:themeFill="accent1" w:themeFillTint="99"/>
          </w:tcPr>
          <w:p w14:paraId="48998606" w14:textId="77777777" w:rsidR="008B50CF" w:rsidRPr="00D6050D" w:rsidRDefault="008B50CF" w:rsidP="00A35221">
            <w:pPr>
              <w:jc w:val="center"/>
              <w:rPr>
                <w:rFonts w:ascii="Calibri" w:hAnsi="Calibri" w:cs="Calibri"/>
                <w:b/>
                <w:sz w:val="22"/>
                <w:szCs w:val="22"/>
              </w:rPr>
            </w:pPr>
            <w:r w:rsidRPr="00D6050D">
              <w:rPr>
                <w:rFonts w:ascii="Calibri" w:hAnsi="Calibri" w:cs="Calibri"/>
                <w:b/>
                <w:sz w:val="22"/>
                <w:szCs w:val="22"/>
              </w:rPr>
              <w:t>Initiatives</w:t>
            </w:r>
          </w:p>
        </w:tc>
        <w:tc>
          <w:tcPr>
            <w:tcW w:w="6662" w:type="dxa"/>
            <w:gridSpan w:val="2"/>
            <w:shd w:val="clear" w:color="auto" w:fill="95B3D7" w:themeFill="accent1" w:themeFillTint="99"/>
          </w:tcPr>
          <w:p w14:paraId="44B768B3" w14:textId="77777777" w:rsidR="008B50CF" w:rsidRPr="00D6050D" w:rsidRDefault="008B50CF" w:rsidP="00A35221">
            <w:pPr>
              <w:jc w:val="center"/>
              <w:rPr>
                <w:rFonts w:ascii="Calibri" w:hAnsi="Calibri" w:cs="Calibri"/>
                <w:sz w:val="22"/>
                <w:szCs w:val="22"/>
              </w:rPr>
            </w:pPr>
            <w:r w:rsidRPr="00D6050D">
              <w:rPr>
                <w:rFonts w:ascii="Calibri" w:hAnsi="Calibri" w:cs="Calibri"/>
                <w:b/>
                <w:sz w:val="22"/>
                <w:szCs w:val="22"/>
              </w:rPr>
              <w:t>Outcome</w:t>
            </w:r>
          </w:p>
        </w:tc>
      </w:tr>
      <w:tr w:rsidR="008B50CF" w:rsidRPr="00D6050D" w14:paraId="1F531E9A" w14:textId="77777777" w:rsidTr="00A35221">
        <w:trPr>
          <w:trHeight w:val="3056"/>
        </w:trPr>
        <w:tc>
          <w:tcPr>
            <w:tcW w:w="2552" w:type="dxa"/>
            <w:vAlign w:val="center"/>
          </w:tcPr>
          <w:p w14:paraId="4F474190" w14:textId="77777777" w:rsidR="008B50CF" w:rsidRPr="007D265E" w:rsidRDefault="008B50CF" w:rsidP="00A35221">
            <w:pPr>
              <w:rPr>
                <w:rFonts w:ascii="Calibri" w:hAnsi="Calibri" w:cs="Calibri"/>
                <w:bCs/>
                <w:sz w:val="22"/>
                <w:szCs w:val="22"/>
              </w:rPr>
            </w:pPr>
            <w:r w:rsidRPr="007D265E">
              <w:rPr>
                <w:rFonts w:ascii="Calibri" w:hAnsi="Calibri" w:cs="Calibri"/>
                <w:bCs/>
                <w:sz w:val="22"/>
                <w:szCs w:val="22"/>
              </w:rPr>
              <w:t xml:space="preserve">Fencing of Distribution -substations - Target 2945 </w:t>
            </w:r>
          </w:p>
          <w:p w14:paraId="7BAB0B4C" w14:textId="77777777" w:rsidR="008B50CF" w:rsidRPr="007D265E" w:rsidRDefault="008B50CF" w:rsidP="00A35221">
            <w:pPr>
              <w:rPr>
                <w:rFonts w:ascii="Calibri" w:hAnsi="Calibri" w:cs="Calibri"/>
                <w:bCs/>
                <w:sz w:val="22"/>
                <w:szCs w:val="22"/>
              </w:rPr>
            </w:pPr>
          </w:p>
          <w:p w14:paraId="6BDD6894" w14:textId="77777777" w:rsidR="008B50CF" w:rsidRPr="007D265E" w:rsidRDefault="008B50CF" w:rsidP="00A35221">
            <w:pPr>
              <w:rPr>
                <w:rFonts w:ascii="Calibri" w:hAnsi="Calibri" w:cs="Calibri"/>
                <w:sz w:val="22"/>
                <w:szCs w:val="22"/>
              </w:rPr>
            </w:pPr>
            <w:r w:rsidRPr="007D265E">
              <w:rPr>
                <w:rFonts w:ascii="Calibri" w:hAnsi="Calibri" w:cs="Calibri"/>
                <w:bCs/>
                <w:sz w:val="22"/>
                <w:szCs w:val="22"/>
              </w:rPr>
              <w:t>Boundary wall of Primary substation - Target 121</w:t>
            </w:r>
          </w:p>
          <w:p w14:paraId="2801ED47" w14:textId="77777777" w:rsidR="008B50CF" w:rsidRPr="007D265E" w:rsidRDefault="008B50CF" w:rsidP="00A35221">
            <w:pPr>
              <w:rPr>
                <w:rFonts w:ascii="Calibri" w:hAnsi="Calibri" w:cs="Calibri"/>
                <w:sz w:val="22"/>
                <w:szCs w:val="22"/>
              </w:rPr>
            </w:pPr>
          </w:p>
        </w:tc>
        <w:tc>
          <w:tcPr>
            <w:tcW w:w="2606" w:type="dxa"/>
            <w:vAlign w:val="center"/>
          </w:tcPr>
          <w:p w14:paraId="6CF88BD7" w14:textId="77777777" w:rsidR="008B50CF" w:rsidRPr="007D265E" w:rsidRDefault="008B50CF" w:rsidP="00A35221">
            <w:pPr>
              <w:shd w:val="clear" w:color="auto" w:fill="FFFFFF" w:themeFill="background1"/>
              <w:rPr>
                <w:rFonts w:ascii="Calibri" w:hAnsi="Calibri" w:cs="Calibri"/>
                <w:bCs/>
                <w:sz w:val="22"/>
                <w:szCs w:val="22"/>
              </w:rPr>
            </w:pPr>
            <w:r w:rsidRPr="007D265E">
              <w:rPr>
                <w:rFonts w:ascii="Calibri" w:hAnsi="Calibri" w:cs="Calibri"/>
                <w:bCs/>
                <w:sz w:val="22"/>
                <w:szCs w:val="22"/>
              </w:rPr>
              <w:t>-DSS Fencing: 2476 nos. completed</w:t>
            </w:r>
          </w:p>
          <w:p w14:paraId="1619A926" w14:textId="77777777" w:rsidR="008B50CF" w:rsidRPr="007D265E" w:rsidRDefault="008B50CF" w:rsidP="00A35221">
            <w:pPr>
              <w:shd w:val="clear" w:color="auto" w:fill="FFFFFF" w:themeFill="background1"/>
              <w:rPr>
                <w:rFonts w:ascii="Calibri" w:hAnsi="Calibri" w:cs="Calibri"/>
                <w:bCs/>
                <w:sz w:val="22"/>
                <w:szCs w:val="22"/>
              </w:rPr>
            </w:pPr>
          </w:p>
          <w:p w14:paraId="717ADBF6" w14:textId="77777777" w:rsidR="008B50CF" w:rsidRPr="007D265E" w:rsidRDefault="008B50CF" w:rsidP="00A35221">
            <w:pPr>
              <w:shd w:val="clear" w:color="auto" w:fill="FFFFFF" w:themeFill="background1"/>
              <w:rPr>
                <w:rFonts w:ascii="Calibri" w:hAnsi="Calibri" w:cs="Calibri"/>
                <w:bCs/>
                <w:sz w:val="22"/>
                <w:szCs w:val="22"/>
              </w:rPr>
            </w:pPr>
            <w:r w:rsidRPr="007D265E">
              <w:rPr>
                <w:rFonts w:ascii="Calibri" w:hAnsi="Calibri" w:cs="Calibri"/>
                <w:bCs/>
                <w:sz w:val="22"/>
                <w:szCs w:val="22"/>
              </w:rPr>
              <w:t>-PSS Boundary wall: 112 (20312) running meter</w:t>
            </w:r>
          </w:p>
          <w:p w14:paraId="11555F4F" w14:textId="77777777" w:rsidR="008B50CF" w:rsidRPr="007D265E" w:rsidRDefault="008B50CF" w:rsidP="00A35221">
            <w:pPr>
              <w:pStyle w:val="NormalWeb"/>
              <w:shd w:val="clear" w:color="auto" w:fill="FFFFFF" w:themeFill="background1"/>
              <w:rPr>
                <w:rFonts w:ascii="Calibri" w:hAnsi="Calibri" w:cs="Calibri"/>
                <w:color w:val="FF0000"/>
                <w:sz w:val="22"/>
                <w:szCs w:val="22"/>
              </w:rPr>
            </w:pPr>
            <w:r w:rsidRPr="007D265E">
              <w:rPr>
                <w:rFonts w:ascii="Calibri" w:hAnsi="Calibri" w:cs="Calibri"/>
                <w:bCs/>
                <w:sz w:val="22"/>
                <w:szCs w:val="22"/>
              </w:rPr>
              <w:t>-To Provide Comprehensive Safety and technical training 3 No HOTT Completed, 2 WIP</w:t>
            </w:r>
          </w:p>
        </w:tc>
        <w:tc>
          <w:tcPr>
            <w:tcW w:w="4056" w:type="dxa"/>
          </w:tcPr>
          <w:p w14:paraId="133625C1" w14:textId="77777777" w:rsidR="008B50CF" w:rsidRPr="001C1983" w:rsidRDefault="008B50CF" w:rsidP="00A35221">
            <w:pPr>
              <w:pStyle w:val="NormalWeb"/>
            </w:pPr>
            <w:r>
              <w:rPr>
                <w:noProof/>
                <w:lang w:val="en-IN" w:eastAsia="en-IN"/>
              </w:rPr>
              <w:drawing>
                <wp:anchor distT="0" distB="0" distL="114300" distR="114300" simplePos="0" relativeHeight="252201472" behindDoc="0" locked="0" layoutInCell="1" allowOverlap="1" wp14:anchorId="5651B8D9" wp14:editId="182D2DD5">
                  <wp:simplePos x="0" y="0"/>
                  <wp:positionH relativeFrom="margin">
                    <wp:posOffset>79375</wp:posOffset>
                  </wp:positionH>
                  <wp:positionV relativeFrom="margin">
                    <wp:posOffset>170180</wp:posOffset>
                  </wp:positionV>
                  <wp:extent cx="2230120" cy="1530350"/>
                  <wp:effectExtent l="76200" t="76200" r="132080" b="127000"/>
                  <wp:wrapSquare wrapText="bothSides"/>
                  <wp:docPr id="42" name="Picture 42" descr="C:\Users\SANJU~1.LOD\AppData\Local\Temp\Rar$DIa14536.49492\Kantabani PSS Boundary wall.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SANJU~1.LOD\AppData\Local\Temp\Rar$DIa14536.49492\Kantabani PSS Boundary wall.jpeg"/>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2230120" cy="153035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14:sizeRelH relativeFrom="margin">
                    <wp14:pctWidth>0</wp14:pctWidth>
                  </wp14:sizeRelH>
                  <wp14:sizeRelV relativeFrom="margin">
                    <wp14:pctHeight>0</wp14:pctHeight>
                  </wp14:sizeRelV>
                </wp:anchor>
              </w:drawing>
            </w:r>
          </w:p>
        </w:tc>
      </w:tr>
      <w:tr w:rsidR="008B50CF" w:rsidRPr="00D6050D" w14:paraId="1305BF7E" w14:textId="77777777" w:rsidTr="00A35221">
        <w:trPr>
          <w:trHeight w:val="3285"/>
        </w:trPr>
        <w:tc>
          <w:tcPr>
            <w:tcW w:w="2552" w:type="dxa"/>
            <w:vAlign w:val="center"/>
          </w:tcPr>
          <w:p w14:paraId="52C9CA58" w14:textId="77777777" w:rsidR="008B50CF" w:rsidRPr="00D6050D" w:rsidRDefault="008B50CF" w:rsidP="00A35221">
            <w:pPr>
              <w:rPr>
                <w:rFonts w:ascii="Calibri" w:hAnsi="Calibri" w:cs="Calibri"/>
                <w:sz w:val="22"/>
                <w:szCs w:val="22"/>
              </w:rPr>
            </w:pPr>
            <w:r w:rsidRPr="00D6050D">
              <w:rPr>
                <w:rFonts w:ascii="Calibri" w:hAnsi="Calibri" w:cs="Calibri"/>
                <w:sz w:val="22"/>
                <w:szCs w:val="22"/>
              </w:rPr>
              <w:t>Development of Training infrastructure for Safety (Practice Yard) in each division</w:t>
            </w:r>
          </w:p>
        </w:tc>
        <w:tc>
          <w:tcPr>
            <w:tcW w:w="2606" w:type="dxa"/>
            <w:vAlign w:val="center"/>
          </w:tcPr>
          <w:p w14:paraId="226467FD" w14:textId="77777777" w:rsidR="008B50CF" w:rsidRPr="007B4A3D" w:rsidRDefault="008B50CF" w:rsidP="00A35221">
            <w:pPr>
              <w:rPr>
                <w:rFonts w:ascii="Calibri" w:hAnsi="Calibri" w:cs="Calibri"/>
                <w:color w:val="000000" w:themeColor="text1"/>
                <w:sz w:val="22"/>
                <w:szCs w:val="22"/>
              </w:rPr>
            </w:pPr>
            <w:r w:rsidRPr="007B4A3D">
              <w:rPr>
                <w:rFonts w:ascii="Calibri" w:hAnsi="Calibri" w:cs="Calibri"/>
                <w:color w:val="000000" w:themeColor="text1"/>
                <w:sz w:val="22"/>
                <w:szCs w:val="22"/>
              </w:rPr>
              <w:t>Safety Practice Yard: Developed for all 16 Div.</w:t>
            </w:r>
          </w:p>
          <w:p w14:paraId="00F61C79" w14:textId="77777777" w:rsidR="008B50CF" w:rsidRPr="007B4A3D" w:rsidRDefault="008B50CF" w:rsidP="00A35221">
            <w:pPr>
              <w:rPr>
                <w:rFonts w:ascii="Calibri" w:hAnsi="Calibri" w:cs="Calibri"/>
                <w:color w:val="000000" w:themeColor="text1"/>
                <w:sz w:val="22"/>
                <w:szCs w:val="22"/>
              </w:rPr>
            </w:pPr>
            <w:r w:rsidRPr="007B4A3D">
              <w:rPr>
                <w:rFonts w:ascii="Calibri" w:hAnsi="Calibri" w:cs="Calibri"/>
                <w:color w:val="000000" w:themeColor="text1"/>
                <w:sz w:val="22"/>
                <w:szCs w:val="22"/>
              </w:rPr>
              <w:t>-Safety Training: 74,046own/ BA employees</w:t>
            </w:r>
          </w:p>
          <w:p w14:paraId="7CAEECF9" w14:textId="77777777" w:rsidR="008B50CF" w:rsidRPr="00D6050D" w:rsidRDefault="008B50CF" w:rsidP="00A35221">
            <w:pPr>
              <w:rPr>
                <w:rFonts w:ascii="Calibri" w:hAnsi="Calibri" w:cs="Calibri"/>
                <w:sz w:val="22"/>
                <w:szCs w:val="22"/>
              </w:rPr>
            </w:pPr>
            <w:r w:rsidRPr="007B4A3D">
              <w:rPr>
                <w:rFonts w:ascii="Calibri" w:hAnsi="Calibri" w:cs="Calibri"/>
                <w:color w:val="000000" w:themeColor="text1"/>
                <w:sz w:val="22"/>
                <w:szCs w:val="22"/>
              </w:rPr>
              <w:t>-Competency assessment: 3882 BA employees</w:t>
            </w:r>
          </w:p>
        </w:tc>
        <w:tc>
          <w:tcPr>
            <w:tcW w:w="4056" w:type="dxa"/>
          </w:tcPr>
          <w:p w14:paraId="5DC6144D" w14:textId="77777777" w:rsidR="008B50CF" w:rsidRPr="00D6050D" w:rsidRDefault="008B50CF" w:rsidP="00A35221">
            <w:pPr>
              <w:pStyle w:val="NormalWeb"/>
              <w:rPr>
                <w:rFonts w:ascii="Calibri" w:hAnsi="Calibri" w:cs="Calibri"/>
                <w:sz w:val="22"/>
                <w:szCs w:val="22"/>
              </w:rPr>
            </w:pPr>
            <w:r>
              <w:rPr>
                <w:noProof/>
                <w:lang w:val="en-IN" w:eastAsia="en-IN"/>
              </w:rPr>
              <w:drawing>
                <wp:inline distT="0" distB="0" distL="0" distR="0" wp14:anchorId="1844056B" wp14:editId="0490A6D4">
                  <wp:extent cx="2281555" cy="1644015"/>
                  <wp:effectExtent l="0" t="0" r="4445" b="0"/>
                  <wp:docPr id="1310458085"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pic:cNvPicPr/>
                        </pic:nvPicPr>
                        <pic:blipFill>
                          <a:blip r:embed="rId88">
                            <a:extLst>
                              <a:ext uri="{28A0092B-C50C-407E-A947-70E740481C1C}">
                                <a14:useLocalDpi xmlns:a14="http://schemas.microsoft.com/office/drawing/2010/main" val="0"/>
                              </a:ext>
                            </a:extLst>
                          </a:blip>
                          <a:stretch>
                            <a:fillRect/>
                          </a:stretch>
                        </pic:blipFill>
                        <pic:spPr bwMode="auto">
                          <a:xfrm>
                            <a:off x="0" y="0"/>
                            <a:ext cx="2281555" cy="1644015"/>
                          </a:xfrm>
                          <a:prstGeom prst="rect">
                            <a:avLst/>
                          </a:prstGeom>
                          <a:noFill/>
                        </pic:spPr>
                      </pic:pic>
                    </a:graphicData>
                  </a:graphic>
                </wp:inline>
              </w:drawing>
            </w:r>
          </w:p>
        </w:tc>
      </w:tr>
      <w:tr w:rsidR="008B50CF" w:rsidRPr="00D6050D" w14:paraId="078F54EA" w14:textId="77777777" w:rsidTr="00A35221">
        <w:trPr>
          <w:trHeight w:val="2266"/>
        </w:trPr>
        <w:tc>
          <w:tcPr>
            <w:tcW w:w="2552" w:type="dxa"/>
            <w:vAlign w:val="center"/>
          </w:tcPr>
          <w:p w14:paraId="5E8FFF5E" w14:textId="77777777" w:rsidR="008B50CF" w:rsidRPr="00D6050D" w:rsidRDefault="008B50CF" w:rsidP="00A35221">
            <w:pPr>
              <w:rPr>
                <w:rFonts w:ascii="Calibri" w:hAnsi="Calibri" w:cs="Calibri"/>
                <w:sz w:val="22"/>
                <w:szCs w:val="22"/>
              </w:rPr>
            </w:pPr>
            <w:r w:rsidRPr="00D6050D">
              <w:rPr>
                <w:rFonts w:ascii="Calibri" w:hAnsi="Calibri" w:cs="Calibri"/>
                <w:bCs/>
                <w:sz w:val="22"/>
                <w:szCs w:val="22"/>
              </w:rPr>
              <w:t xml:space="preserve">Establishing in-house Meter Testing Lab </w:t>
            </w:r>
          </w:p>
          <w:p w14:paraId="554494A3" w14:textId="77777777" w:rsidR="008B50CF" w:rsidRPr="00D6050D" w:rsidRDefault="008B50CF" w:rsidP="00A35221">
            <w:pPr>
              <w:rPr>
                <w:rFonts w:ascii="Calibri" w:hAnsi="Calibri" w:cs="Calibri"/>
                <w:sz w:val="22"/>
                <w:szCs w:val="22"/>
              </w:rPr>
            </w:pPr>
          </w:p>
        </w:tc>
        <w:tc>
          <w:tcPr>
            <w:tcW w:w="2606" w:type="dxa"/>
            <w:vAlign w:val="center"/>
          </w:tcPr>
          <w:p w14:paraId="430702BD" w14:textId="77777777" w:rsidR="008B50CF" w:rsidRPr="007D265E" w:rsidRDefault="008B50CF" w:rsidP="00A35221">
            <w:pPr>
              <w:rPr>
                <w:rFonts w:ascii="Calibri" w:hAnsi="Calibri" w:cs="Calibri"/>
                <w:bCs/>
                <w:sz w:val="22"/>
                <w:szCs w:val="22"/>
                <w:lang w:val="en-IN"/>
              </w:rPr>
            </w:pPr>
            <w:r w:rsidRPr="007D265E">
              <w:rPr>
                <w:rFonts w:ascii="Calibri" w:hAnsi="Calibri" w:cs="Calibri"/>
                <w:bCs/>
                <w:sz w:val="22"/>
                <w:szCs w:val="22"/>
                <w:lang w:val="en-IN"/>
              </w:rPr>
              <w:t xml:space="preserve">Meter Testing Lab. commissioned: 2nos. of 1ph &amp; 1no. of 3ph test benches </w:t>
            </w:r>
          </w:p>
          <w:p w14:paraId="7F00D81C" w14:textId="77777777" w:rsidR="008B50CF" w:rsidRPr="007D265E" w:rsidRDefault="008B50CF" w:rsidP="00A35221">
            <w:pPr>
              <w:rPr>
                <w:rFonts w:ascii="Calibri" w:hAnsi="Calibri" w:cs="Calibri"/>
                <w:bCs/>
                <w:sz w:val="22"/>
                <w:szCs w:val="22"/>
                <w:lang w:val="en-IN"/>
              </w:rPr>
            </w:pPr>
            <w:r w:rsidRPr="007D265E">
              <w:rPr>
                <w:rFonts w:ascii="Calibri" w:hAnsi="Calibri" w:cs="Calibri"/>
                <w:bCs/>
                <w:sz w:val="22"/>
                <w:szCs w:val="22"/>
                <w:lang w:val="en-IN"/>
              </w:rPr>
              <w:t>-No. of Meter tested: 20,428</w:t>
            </w:r>
          </w:p>
          <w:p w14:paraId="5E6FA700" w14:textId="77777777" w:rsidR="008B50CF" w:rsidRPr="007D265E" w:rsidRDefault="008B50CF" w:rsidP="00A35221">
            <w:pPr>
              <w:rPr>
                <w:rFonts w:ascii="Calibri" w:hAnsi="Calibri" w:cs="Calibri"/>
                <w:color w:val="000000" w:themeColor="text1"/>
                <w:sz w:val="22"/>
                <w:szCs w:val="22"/>
              </w:rPr>
            </w:pPr>
            <w:r w:rsidRPr="007D265E">
              <w:rPr>
                <w:rFonts w:ascii="Calibri" w:hAnsi="Calibri" w:cs="Calibri"/>
                <w:bCs/>
                <w:sz w:val="22"/>
                <w:szCs w:val="22"/>
                <w:lang w:val="en-IN"/>
              </w:rPr>
              <w:t>-In process of NABL accreditation (Consultant hired).</w:t>
            </w:r>
          </w:p>
        </w:tc>
        <w:tc>
          <w:tcPr>
            <w:tcW w:w="4056" w:type="dxa"/>
          </w:tcPr>
          <w:p w14:paraId="7C669C83" w14:textId="77777777" w:rsidR="008B50CF" w:rsidRPr="00F0141A" w:rsidRDefault="008B50CF" w:rsidP="00A35221">
            <w:pPr>
              <w:pStyle w:val="NormalWeb"/>
            </w:pPr>
            <w:r>
              <w:rPr>
                <w:noProof/>
                <w:lang w:val="en-IN" w:eastAsia="en-IN"/>
              </w:rPr>
              <w:drawing>
                <wp:anchor distT="0" distB="0" distL="114300" distR="114300" simplePos="0" relativeHeight="252202496" behindDoc="0" locked="0" layoutInCell="1" allowOverlap="1" wp14:anchorId="3C5CB509" wp14:editId="4B99DF94">
                  <wp:simplePos x="0" y="0"/>
                  <wp:positionH relativeFrom="margin">
                    <wp:posOffset>111125</wp:posOffset>
                  </wp:positionH>
                  <wp:positionV relativeFrom="margin">
                    <wp:posOffset>123190</wp:posOffset>
                  </wp:positionV>
                  <wp:extent cx="2133850" cy="1486968"/>
                  <wp:effectExtent l="76200" t="76200" r="114300" b="113665"/>
                  <wp:wrapSquare wrapText="bothSides"/>
                  <wp:docPr id="212922809" name="Picture 212922809" descr="C:\Users\SANJU~1.LOD\AppData\Local\Temp\Rar$DIa14536.20471\MRT Lab (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SANJU~1.LOD\AppData\Local\Temp\Rar$DIa14536.20471\MRT Lab (1).jpeg"/>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2133850" cy="1486968"/>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14:sizeRelH relativeFrom="margin">
                    <wp14:pctWidth>0</wp14:pctWidth>
                  </wp14:sizeRelH>
                  <wp14:sizeRelV relativeFrom="margin">
                    <wp14:pctHeight>0</wp14:pctHeight>
                  </wp14:sizeRelV>
                </wp:anchor>
              </w:drawing>
            </w:r>
          </w:p>
        </w:tc>
      </w:tr>
      <w:tr w:rsidR="008B50CF" w:rsidRPr="00D6050D" w14:paraId="17C80AF7" w14:textId="77777777" w:rsidTr="00A35221">
        <w:trPr>
          <w:trHeight w:val="984"/>
        </w:trPr>
        <w:tc>
          <w:tcPr>
            <w:tcW w:w="2552" w:type="dxa"/>
            <w:vAlign w:val="center"/>
          </w:tcPr>
          <w:p w14:paraId="20B94A49" w14:textId="77777777" w:rsidR="008B50CF" w:rsidRPr="00D6050D" w:rsidRDefault="008B50CF" w:rsidP="00A35221">
            <w:pPr>
              <w:rPr>
                <w:rFonts w:ascii="Calibri" w:hAnsi="Calibri" w:cs="Calibri"/>
                <w:sz w:val="22"/>
                <w:szCs w:val="22"/>
              </w:rPr>
            </w:pPr>
            <w:r w:rsidRPr="00D6050D">
              <w:rPr>
                <w:rFonts w:ascii="Calibri" w:hAnsi="Calibri" w:cs="Calibri"/>
                <w:sz w:val="22"/>
                <w:szCs w:val="22"/>
              </w:rPr>
              <w:lastRenderedPageBreak/>
              <w:t>Life enhancement of network and maintaining safe horizontal / vertical clearances</w:t>
            </w:r>
          </w:p>
        </w:tc>
        <w:tc>
          <w:tcPr>
            <w:tcW w:w="2606" w:type="dxa"/>
            <w:vAlign w:val="center"/>
          </w:tcPr>
          <w:p w14:paraId="7F638B9D" w14:textId="77777777" w:rsidR="008B50CF" w:rsidRPr="007D265E" w:rsidRDefault="008B50CF" w:rsidP="00A35221">
            <w:pPr>
              <w:rPr>
                <w:rFonts w:ascii="Calibri" w:hAnsi="Calibri" w:cs="Calibri"/>
                <w:sz w:val="22"/>
                <w:szCs w:val="22"/>
              </w:rPr>
            </w:pPr>
            <w:r w:rsidRPr="007D265E">
              <w:rPr>
                <w:rFonts w:ascii="Calibri" w:hAnsi="Calibri" w:cs="Calibri"/>
                <w:bCs/>
                <w:sz w:val="22"/>
                <w:szCs w:val="22"/>
                <w:lang w:val="en-IN"/>
              </w:rPr>
              <w:t>Interposing Pole:  2152/2940 nos.</w:t>
            </w:r>
          </w:p>
        </w:tc>
        <w:tc>
          <w:tcPr>
            <w:tcW w:w="4056" w:type="dxa"/>
          </w:tcPr>
          <w:p w14:paraId="28EFEF9C" w14:textId="77777777" w:rsidR="008B50CF" w:rsidRDefault="008B50CF" w:rsidP="00A35221">
            <w:pPr>
              <w:pStyle w:val="NormalWeb"/>
            </w:pPr>
            <w:r>
              <w:rPr>
                <w:noProof/>
                <w:lang w:val="en-IN" w:eastAsia="en-IN"/>
              </w:rPr>
              <w:drawing>
                <wp:inline distT="0" distB="0" distL="0" distR="0" wp14:anchorId="69230B47" wp14:editId="00748CD2">
                  <wp:extent cx="2171700" cy="1626646"/>
                  <wp:effectExtent l="38100" t="38100" r="38100" b="38100"/>
                  <wp:docPr id="2080718932" name="Picture 20807189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0" cstate="print">
                            <a:extLst>
                              <a:ext uri="{28A0092B-C50C-407E-A947-70E740481C1C}">
                                <a14:useLocalDpi xmlns:a14="http://schemas.microsoft.com/office/drawing/2010/main" val="0"/>
                              </a:ext>
                            </a:extLst>
                          </a:blip>
                          <a:stretch>
                            <a:fillRect/>
                          </a:stretch>
                        </pic:blipFill>
                        <pic:spPr>
                          <a:xfrm>
                            <a:off x="0" y="0"/>
                            <a:ext cx="2171700" cy="1626646"/>
                          </a:xfrm>
                          <a:prstGeom prst="rect">
                            <a:avLst/>
                          </a:prstGeom>
                          <a:ln w="38100">
                            <a:solidFill>
                              <a:schemeClr val="tx1"/>
                            </a:solidFill>
                            <a:prstDash val="solid"/>
                          </a:ln>
                        </pic:spPr>
                      </pic:pic>
                    </a:graphicData>
                  </a:graphic>
                </wp:inline>
              </w:drawing>
            </w:r>
          </w:p>
        </w:tc>
      </w:tr>
      <w:tr w:rsidR="008B50CF" w:rsidRPr="00D6050D" w14:paraId="507529FF" w14:textId="77777777" w:rsidTr="00A35221">
        <w:trPr>
          <w:trHeight w:val="2722"/>
        </w:trPr>
        <w:tc>
          <w:tcPr>
            <w:tcW w:w="2552" w:type="dxa"/>
            <w:vAlign w:val="center"/>
          </w:tcPr>
          <w:p w14:paraId="705970A8" w14:textId="77777777" w:rsidR="008B50CF" w:rsidRPr="00D6050D" w:rsidRDefault="008B50CF" w:rsidP="00A35221">
            <w:pPr>
              <w:rPr>
                <w:rFonts w:ascii="Calibri" w:hAnsi="Calibri" w:cs="Calibri"/>
                <w:sz w:val="22"/>
                <w:szCs w:val="22"/>
              </w:rPr>
            </w:pPr>
            <w:r w:rsidRPr="00D6050D">
              <w:rPr>
                <w:rFonts w:ascii="Calibri" w:hAnsi="Calibri" w:cs="Calibri"/>
                <w:bCs/>
                <w:sz w:val="22"/>
                <w:szCs w:val="22"/>
              </w:rPr>
              <w:t>Critical Safety &amp; Testing equipment's for providing safe environment to workforce</w:t>
            </w:r>
          </w:p>
          <w:p w14:paraId="3243CF73" w14:textId="77777777" w:rsidR="008B50CF" w:rsidRPr="00D6050D" w:rsidRDefault="008B50CF" w:rsidP="00A35221">
            <w:pPr>
              <w:rPr>
                <w:rFonts w:ascii="Calibri" w:hAnsi="Calibri" w:cs="Calibri"/>
                <w:sz w:val="22"/>
                <w:szCs w:val="22"/>
              </w:rPr>
            </w:pPr>
          </w:p>
        </w:tc>
        <w:tc>
          <w:tcPr>
            <w:tcW w:w="2606" w:type="dxa"/>
            <w:vAlign w:val="center"/>
          </w:tcPr>
          <w:p w14:paraId="6E7A3056" w14:textId="77777777" w:rsidR="008B50CF" w:rsidRPr="007B4A3D" w:rsidRDefault="008B50CF" w:rsidP="00A35221">
            <w:pPr>
              <w:rPr>
                <w:rFonts w:ascii="Calibri" w:hAnsi="Calibri" w:cs="Calibri"/>
                <w:sz w:val="22"/>
                <w:szCs w:val="22"/>
              </w:rPr>
            </w:pPr>
            <w:r w:rsidRPr="007B4A3D">
              <w:rPr>
                <w:rFonts w:ascii="Calibri" w:hAnsi="Calibri" w:cs="Calibri"/>
                <w:sz w:val="22"/>
                <w:szCs w:val="22"/>
              </w:rPr>
              <w:t>Discharge Rod: 4400 nos.</w:t>
            </w:r>
          </w:p>
          <w:p w14:paraId="609D50F8" w14:textId="77777777" w:rsidR="008B50CF" w:rsidRPr="007B4A3D" w:rsidRDefault="008B50CF" w:rsidP="00A35221">
            <w:pPr>
              <w:rPr>
                <w:rFonts w:ascii="Calibri" w:hAnsi="Calibri" w:cs="Calibri"/>
                <w:sz w:val="22"/>
                <w:szCs w:val="22"/>
              </w:rPr>
            </w:pPr>
            <w:r w:rsidRPr="007B4A3D">
              <w:rPr>
                <w:rFonts w:ascii="Calibri" w:hAnsi="Calibri" w:cs="Calibri"/>
                <w:sz w:val="22"/>
                <w:szCs w:val="22"/>
              </w:rPr>
              <w:t>Neon Tester: 400 nos.</w:t>
            </w:r>
          </w:p>
          <w:p w14:paraId="0E383282" w14:textId="77777777" w:rsidR="008B50CF" w:rsidRPr="007B4A3D" w:rsidRDefault="008B50CF" w:rsidP="00A35221">
            <w:pPr>
              <w:rPr>
                <w:rFonts w:ascii="Calibri" w:hAnsi="Calibri" w:cs="Calibri"/>
                <w:sz w:val="22"/>
                <w:szCs w:val="22"/>
              </w:rPr>
            </w:pPr>
            <w:r w:rsidRPr="007B4A3D">
              <w:rPr>
                <w:rFonts w:ascii="Calibri" w:hAnsi="Calibri" w:cs="Calibri"/>
                <w:sz w:val="22"/>
                <w:szCs w:val="22"/>
              </w:rPr>
              <w:t>Ladder: 300 nos.</w:t>
            </w:r>
            <w:r w:rsidRPr="007B4A3D">
              <w:rPr>
                <w:rFonts w:cs="Calibri"/>
                <w:noProof/>
                <w:sz w:val="20"/>
                <w:szCs w:val="20"/>
                <w:lang w:val="en-IN"/>
              </w:rPr>
              <w:t xml:space="preserve"> </w:t>
            </w:r>
          </w:p>
          <w:p w14:paraId="1CF654BC" w14:textId="77777777" w:rsidR="008B50CF" w:rsidRPr="00D6050D" w:rsidRDefault="008B50CF" w:rsidP="00A35221">
            <w:pPr>
              <w:rPr>
                <w:rFonts w:ascii="Calibri" w:hAnsi="Calibri" w:cs="Calibri"/>
                <w:sz w:val="22"/>
                <w:szCs w:val="22"/>
              </w:rPr>
            </w:pPr>
            <w:r w:rsidRPr="007B4A3D">
              <w:rPr>
                <w:rFonts w:ascii="Calibri" w:hAnsi="Calibri" w:cs="Calibri"/>
                <w:sz w:val="22"/>
                <w:szCs w:val="22"/>
              </w:rPr>
              <w:t>Fire Extinguisher: 1870 nos.</w:t>
            </w:r>
          </w:p>
        </w:tc>
        <w:tc>
          <w:tcPr>
            <w:tcW w:w="4056" w:type="dxa"/>
          </w:tcPr>
          <w:p w14:paraId="311D69EB" w14:textId="77777777" w:rsidR="008B50CF" w:rsidRPr="00D6050D" w:rsidRDefault="008B50CF" w:rsidP="00A35221">
            <w:pPr>
              <w:rPr>
                <w:rFonts w:ascii="Calibri" w:hAnsi="Calibri" w:cs="Calibri"/>
                <w:b/>
                <w:bCs/>
                <w:sz w:val="22"/>
                <w:szCs w:val="22"/>
              </w:rPr>
            </w:pPr>
            <w:r>
              <w:rPr>
                <w:noProof/>
                <w:lang w:val="en-IN" w:eastAsia="en-IN"/>
              </w:rPr>
              <w:drawing>
                <wp:inline distT="0" distB="0" distL="0" distR="0" wp14:anchorId="124B0898" wp14:editId="63955A74">
                  <wp:extent cx="1828165" cy="1543050"/>
                  <wp:effectExtent l="76200" t="76200" r="133985" b="133350"/>
                  <wp:docPr id="1505308147" name="Picture 3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4"/>
                          <pic:cNvPicPr/>
                        </pic:nvPicPr>
                        <pic:blipFill>
                          <a:blip r:embed="rId91">
                            <a:extLst>
                              <a:ext uri="{FF2B5EF4-FFF2-40B4-BE49-F238E27FC236}">
                                <a16:creationId xmlns="" xmlns:o="urn:schemas-microsoft-com:office:office" xmlns:v="urn:schemas-microsoft-com:vml" xmlns:w10="urn:schemas-microsoft-com:office:word" xmlns:w="http://schemas.openxmlformats.org/wordprocessingml/2006/main" xmlns:c="http://schemas.openxmlformats.org/drawingml/2006/chart" xmlns:a14="http://schemas.microsoft.com/office/drawing/2010/main" xmlns:a16="http://schemas.microsoft.com/office/drawing/2014/main" id="{0A7911C0-D65E-4A25-92C6-5A5C4C577F3E}"/>
                              </a:ext>
                            </a:extLst>
                          </a:blip>
                          <a:stretch>
                            <a:fillRect/>
                          </a:stretch>
                        </pic:blipFill>
                        <pic:spPr>
                          <a:xfrm>
                            <a:off x="0" y="0"/>
                            <a:ext cx="1828165" cy="154305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tc>
      </w:tr>
    </w:tbl>
    <w:p w14:paraId="39D8FC5F" w14:textId="77777777" w:rsidR="008B50CF" w:rsidRPr="00D6050D" w:rsidRDefault="008B50CF" w:rsidP="008B50CF">
      <w:pPr>
        <w:rPr>
          <w:rFonts w:ascii="Calibri" w:hAnsi="Calibri" w:cs="Calibri"/>
          <w:sz w:val="22"/>
          <w:szCs w:val="22"/>
        </w:rPr>
      </w:pPr>
    </w:p>
    <w:p w14:paraId="54568F18" w14:textId="2B3E1F4C" w:rsidR="008B50CF" w:rsidRPr="00D6050D" w:rsidRDefault="008B50CF" w:rsidP="008B50CF">
      <w:pPr>
        <w:ind w:left="567" w:hanging="141"/>
        <w:rPr>
          <w:rFonts w:ascii="Calibri" w:hAnsi="Calibri" w:cs="Calibri"/>
          <w:b/>
          <w:sz w:val="28"/>
          <w:szCs w:val="22"/>
        </w:rPr>
      </w:pPr>
      <w:r>
        <w:rPr>
          <w:rFonts w:ascii="Calibri" w:hAnsi="Calibri" w:cs="Calibri"/>
          <w:b/>
          <w:sz w:val="28"/>
          <w:szCs w:val="22"/>
        </w:rPr>
        <w:t xml:space="preserve"> </w:t>
      </w:r>
      <w:r w:rsidRPr="005F3180">
        <w:rPr>
          <w:rFonts w:ascii="Calibri" w:hAnsi="Calibri" w:cs="Calibri"/>
          <w:b/>
          <w:szCs w:val="22"/>
        </w:rPr>
        <w:t>6.</w:t>
      </w:r>
      <w:r w:rsidR="00EF24C0">
        <w:rPr>
          <w:rFonts w:ascii="Calibri" w:hAnsi="Calibri" w:cs="Calibri"/>
          <w:b/>
          <w:szCs w:val="22"/>
        </w:rPr>
        <w:t>2.2</w:t>
      </w:r>
      <w:r w:rsidRPr="005F3180">
        <w:rPr>
          <w:rFonts w:ascii="Calibri" w:hAnsi="Calibri" w:cs="Calibri"/>
          <w:b/>
          <w:szCs w:val="22"/>
        </w:rPr>
        <w:t xml:space="preserve"> Loss Reduction:</w:t>
      </w:r>
    </w:p>
    <w:p w14:paraId="17BC699B" w14:textId="77777777" w:rsidR="008B50CF" w:rsidRPr="00D6050D" w:rsidRDefault="008B50CF" w:rsidP="008B50CF">
      <w:pPr>
        <w:rPr>
          <w:rFonts w:ascii="Calibri" w:hAnsi="Calibri" w:cs="Calibri"/>
          <w:b/>
          <w:sz w:val="22"/>
          <w:szCs w:val="22"/>
        </w:rPr>
      </w:pPr>
    </w:p>
    <w:tbl>
      <w:tblPr>
        <w:tblStyle w:val="TableGrid2"/>
        <w:tblW w:w="9072" w:type="dxa"/>
        <w:tblInd w:w="562" w:type="dxa"/>
        <w:tblLook w:val="04A0" w:firstRow="1" w:lastRow="0" w:firstColumn="1" w:lastColumn="0" w:noHBand="0" w:noVBand="1"/>
      </w:tblPr>
      <w:tblGrid>
        <w:gridCol w:w="2694"/>
        <w:gridCol w:w="2835"/>
        <w:gridCol w:w="3543"/>
      </w:tblGrid>
      <w:tr w:rsidR="008B50CF" w:rsidRPr="00D6050D" w14:paraId="1728DA58" w14:textId="77777777" w:rsidTr="00A35221">
        <w:tc>
          <w:tcPr>
            <w:tcW w:w="2694" w:type="dxa"/>
            <w:shd w:val="clear" w:color="auto" w:fill="95B3D7" w:themeFill="accent1" w:themeFillTint="99"/>
          </w:tcPr>
          <w:p w14:paraId="322C29A3" w14:textId="77777777" w:rsidR="008B50CF" w:rsidRPr="00D6050D" w:rsidRDefault="008B50CF" w:rsidP="00A35221">
            <w:pPr>
              <w:jc w:val="center"/>
              <w:rPr>
                <w:rFonts w:ascii="Calibri" w:hAnsi="Calibri" w:cs="Calibri"/>
                <w:b/>
                <w:sz w:val="22"/>
                <w:szCs w:val="22"/>
              </w:rPr>
            </w:pPr>
            <w:r w:rsidRPr="00D6050D">
              <w:rPr>
                <w:rFonts w:ascii="Calibri" w:hAnsi="Calibri" w:cs="Calibri"/>
                <w:b/>
                <w:sz w:val="22"/>
                <w:szCs w:val="22"/>
              </w:rPr>
              <w:t>Initiatives</w:t>
            </w:r>
          </w:p>
        </w:tc>
        <w:tc>
          <w:tcPr>
            <w:tcW w:w="6378" w:type="dxa"/>
            <w:gridSpan w:val="2"/>
            <w:shd w:val="clear" w:color="auto" w:fill="95B3D7" w:themeFill="accent1" w:themeFillTint="99"/>
          </w:tcPr>
          <w:p w14:paraId="6346333F" w14:textId="77777777" w:rsidR="008B50CF" w:rsidRPr="00D6050D" w:rsidRDefault="008B50CF" w:rsidP="00A35221">
            <w:pPr>
              <w:jc w:val="center"/>
              <w:rPr>
                <w:rFonts w:ascii="Calibri" w:hAnsi="Calibri" w:cs="Calibri"/>
                <w:b/>
                <w:sz w:val="22"/>
                <w:szCs w:val="22"/>
              </w:rPr>
            </w:pPr>
            <w:r w:rsidRPr="00D6050D">
              <w:rPr>
                <w:rFonts w:ascii="Calibri" w:hAnsi="Calibri" w:cs="Calibri"/>
                <w:b/>
                <w:sz w:val="22"/>
                <w:szCs w:val="22"/>
              </w:rPr>
              <w:t>Outcome</w:t>
            </w:r>
          </w:p>
        </w:tc>
      </w:tr>
      <w:tr w:rsidR="008B50CF" w:rsidRPr="00D6050D" w14:paraId="3A96B134" w14:textId="77777777" w:rsidTr="00A35221">
        <w:tc>
          <w:tcPr>
            <w:tcW w:w="2694" w:type="dxa"/>
            <w:vAlign w:val="center"/>
          </w:tcPr>
          <w:p w14:paraId="154D2F5F" w14:textId="77777777" w:rsidR="008B50CF" w:rsidRPr="00D6050D" w:rsidRDefault="008B50CF" w:rsidP="00A35221">
            <w:pPr>
              <w:rPr>
                <w:rFonts w:ascii="Calibri" w:hAnsi="Calibri" w:cs="Calibri"/>
                <w:b/>
                <w:sz w:val="22"/>
                <w:szCs w:val="22"/>
                <w:u w:val="single"/>
              </w:rPr>
            </w:pPr>
            <w:r w:rsidRPr="00D6050D">
              <w:rPr>
                <w:rFonts w:ascii="Calibri" w:hAnsi="Calibri" w:cs="Calibri"/>
                <w:b/>
                <w:sz w:val="22"/>
                <w:szCs w:val="22"/>
                <w:u w:val="single"/>
              </w:rPr>
              <w:t xml:space="preserve">Pilferage proofing of LT line </w:t>
            </w:r>
          </w:p>
          <w:p w14:paraId="4D1F1B57" w14:textId="77777777" w:rsidR="008B50CF" w:rsidRPr="00D6050D" w:rsidRDefault="008B50CF" w:rsidP="00A35221">
            <w:pPr>
              <w:rPr>
                <w:rFonts w:ascii="Calibri" w:hAnsi="Calibri" w:cs="Calibri"/>
                <w:sz w:val="22"/>
                <w:szCs w:val="22"/>
              </w:rPr>
            </w:pPr>
            <w:r w:rsidRPr="00D6050D">
              <w:rPr>
                <w:rFonts w:ascii="Calibri" w:hAnsi="Calibri" w:cs="Calibri"/>
                <w:sz w:val="22"/>
                <w:szCs w:val="22"/>
              </w:rPr>
              <w:t>-Conversion of LT Bare</w:t>
            </w:r>
          </w:p>
          <w:p w14:paraId="3D68AB8D" w14:textId="77777777" w:rsidR="008B50CF" w:rsidRPr="00D6050D" w:rsidRDefault="008B50CF" w:rsidP="00A35221">
            <w:pPr>
              <w:rPr>
                <w:rFonts w:ascii="Calibri" w:hAnsi="Calibri" w:cs="Calibri"/>
                <w:sz w:val="22"/>
                <w:szCs w:val="22"/>
              </w:rPr>
            </w:pPr>
            <w:r w:rsidRPr="00D6050D">
              <w:rPr>
                <w:rFonts w:ascii="Calibri" w:hAnsi="Calibri" w:cs="Calibri"/>
                <w:sz w:val="22"/>
                <w:szCs w:val="22"/>
              </w:rPr>
              <w:t>-Conductor to LTAB cable:</w:t>
            </w:r>
          </w:p>
          <w:p w14:paraId="738A1CFB" w14:textId="77777777" w:rsidR="008B50CF" w:rsidRPr="00D6050D" w:rsidRDefault="008B50CF" w:rsidP="00A35221">
            <w:pPr>
              <w:rPr>
                <w:rFonts w:ascii="Calibri" w:hAnsi="Calibri" w:cs="Calibri"/>
                <w:b/>
                <w:sz w:val="22"/>
                <w:szCs w:val="22"/>
              </w:rPr>
            </w:pPr>
            <w:r w:rsidRPr="00D6050D">
              <w:rPr>
                <w:rFonts w:ascii="Calibri" w:hAnsi="Calibri" w:cs="Calibri"/>
                <w:sz w:val="22"/>
                <w:szCs w:val="22"/>
              </w:rPr>
              <w:t>-Target – 683.25 km</w:t>
            </w:r>
          </w:p>
        </w:tc>
        <w:tc>
          <w:tcPr>
            <w:tcW w:w="2835" w:type="dxa"/>
            <w:vAlign w:val="center"/>
          </w:tcPr>
          <w:p w14:paraId="1486C472" w14:textId="77777777" w:rsidR="008B50CF" w:rsidRPr="007D265E" w:rsidRDefault="008B50CF" w:rsidP="00A35221">
            <w:pPr>
              <w:rPr>
                <w:rFonts w:ascii="Calibri" w:hAnsi="Calibri" w:cs="Calibri"/>
                <w:sz w:val="22"/>
                <w:szCs w:val="22"/>
              </w:rPr>
            </w:pPr>
            <w:r w:rsidRPr="007D265E">
              <w:rPr>
                <w:rFonts w:ascii="Calibri" w:hAnsi="Calibri" w:cs="Calibri"/>
                <w:sz w:val="22"/>
                <w:szCs w:val="22"/>
              </w:rPr>
              <w:t>-LT Bare to LTAB cable: 827.12 km</w:t>
            </w:r>
          </w:p>
          <w:p w14:paraId="112AF540" w14:textId="77777777" w:rsidR="008B50CF" w:rsidRPr="007D265E" w:rsidRDefault="008B50CF" w:rsidP="00A35221">
            <w:pPr>
              <w:rPr>
                <w:rFonts w:ascii="Calibri" w:hAnsi="Calibri" w:cs="Calibri"/>
                <w:sz w:val="22"/>
                <w:szCs w:val="22"/>
              </w:rPr>
            </w:pPr>
            <w:r w:rsidRPr="007D265E">
              <w:rPr>
                <w:rFonts w:ascii="Calibri" w:hAnsi="Calibri" w:cs="Calibri"/>
                <w:sz w:val="22"/>
                <w:szCs w:val="22"/>
              </w:rPr>
              <w:t>-Reduction in hooking, voltage improvement,</w:t>
            </w:r>
          </w:p>
          <w:p w14:paraId="380F55B1" w14:textId="77777777" w:rsidR="008B50CF" w:rsidRPr="00D6050D" w:rsidRDefault="008B50CF" w:rsidP="00A35221">
            <w:pPr>
              <w:rPr>
                <w:rFonts w:ascii="Calibri" w:hAnsi="Calibri" w:cs="Calibri"/>
                <w:sz w:val="22"/>
                <w:szCs w:val="22"/>
              </w:rPr>
            </w:pPr>
            <w:r w:rsidRPr="007D265E">
              <w:rPr>
                <w:rFonts w:ascii="Calibri" w:hAnsi="Calibri" w:cs="Calibri"/>
                <w:sz w:val="22"/>
                <w:szCs w:val="22"/>
              </w:rPr>
              <w:t>avoidance of conductor snapping</w:t>
            </w:r>
          </w:p>
        </w:tc>
        <w:tc>
          <w:tcPr>
            <w:tcW w:w="3543" w:type="dxa"/>
          </w:tcPr>
          <w:p w14:paraId="3F573F0B" w14:textId="77777777" w:rsidR="008B50CF" w:rsidRPr="00521274" w:rsidRDefault="008B50CF" w:rsidP="00A35221">
            <w:pPr>
              <w:rPr>
                <w:rFonts w:ascii="Calibri" w:hAnsi="Calibri" w:cs="Calibri"/>
                <w:b/>
                <w:sz w:val="14"/>
                <w:szCs w:val="14"/>
              </w:rPr>
            </w:pPr>
          </w:p>
          <w:p w14:paraId="111A5760" w14:textId="77777777" w:rsidR="008B50CF" w:rsidRPr="00521274" w:rsidRDefault="008B50CF" w:rsidP="00A35221">
            <w:r>
              <w:rPr>
                <w:noProof/>
                <w:lang w:val="en-IN" w:eastAsia="en-IN"/>
              </w:rPr>
              <w:drawing>
                <wp:inline distT="0" distB="0" distL="0" distR="0" wp14:anchorId="73BBF20F" wp14:editId="0C4230C6">
                  <wp:extent cx="1828800" cy="2105025"/>
                  <wp:effectExtent l="38100" t="38100" r="38100" b="38100"/>
                  <wp:docPr id="1941159964" name="Picture 19411599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2" cstate="print">
                            <a:extLst>
                              <a:ext uri="{28A0092B-C50C-407E-A947-70E740481C1C}">
                                <a14:useLocalDpi xmlns:a14="http://schemas.microsoft.com/office/drawing/2010/main" val="0"/>
                              </a:ext>
                            </a:extLst>
                          </a:blip>
                          <a:stretch>
                            <a:fillRect/>
                          </a:stretch>
                        </pic:blipFill>
                        <pic:spPr>
                          <a:xfrm>
                            <a:off x="0" y="0"/>
                            <a:ext cx="1828800" cy="2105025"/>
                          </a:xfrm>
                          <a:prstGeom prst="rect">
                            <a:avLst/>
                          </a:prstGeom>
                          <a:ln w="38100">
                            <a:solidFill>
                              <a:schemeClr val="tx1"/>
                            </a:solidFill>
                            <a:prstDash val="solid"/>
                          </a:ln>
                        </pic:spPr>
                      </pic:pic>
                    </a:graphicData>
                  </a:graphic>
                </wp:inline>
              </w:drawing>
            </w:r>
          </w:p>
        </w:tc>
      </w:tr>
      <w:tr w:rsidR="008B50CF" w:rsidRPr="00D6050D" w14:paraId="6A9E7FC8" w14:textId="77777777" w:rsidTr="00A35221">
        <w:tc>
          <w:tcPr>
            <w:tcW w:w="2694" w:type="dxa"/>
            <w:vAlign w:val="center"/>
          </w:tcPr>
          <w:p w14:paraId="4218DBA0" w14:textId="77777777" w:rsidR="008B50CF" w:rsidRPr="00D6050D" w:rsidRDefault="008B50CF" w:rsidP="00A35221">
            <w:pPr>
              <w:rPr>
                <w:rFonts w:ascii="Calibri" w:hAnsi="Calibri" w:cs="Calibri"/>
                <w:b/>
                <w:sz w:val="22"/>
                <w:szCs w:val="22"/>
              </w:rPr>
            </w:pPr>
            <w:r w:rsidRPr="00D6050D">
              <w:rPr>
                <w:rFonts w:ascii="Calibri" w:hAnsi="Calibri" w:cs="Calibri"/>
                <w:b/>
                <w:bCs/>
                <w:sz w:val="22"/>
                <w:szCs w:val="22"/>
                <w:u w:val="single"/>
              </w:rPr>
              <w:t>Infrastructure for Energy Audit</w:t>
            </w:r>
          </w:p>
          <w:p w14:paraId="4EAE6AC2" w14:textId="77777777" w:rsidR="008B50CF" w:rsidRPr="00E27B1F" w:rsidRDefault="008B50CF" w:rsidP="00A35221">
            <w:pPr>
              <w:rPr>
                <w:rFonts w:ascii="Calibri" w:hAnsi="Calibri" w:cs="Calibri"/>
                <w:bCs/>
                <w:sz w:val="22"/>
                <w:szCs w:val="22"/>
              </w:rPr>
            </w:pPr>
            <w:r w:rsidRPr="00E27B1F">
              <w:rPr>
                <w:rFonts w:ascii="Calibri" w:hAnsi="Calibri" w:cs="Calibri"/>
                <w:bCs/>
                <w:sz w:val="22"/>
                <w:szCs w:val="22"/>
              </w:rPr>
              <w:t>-100% metering at 33kV exchange level 125 nos.</w:t>
            </w:r>
          </w:p>
          <w:p w14:paraId="144261F5" w14:textId="77777777" w:rsidR="008B50CF" w:rsidRPr="00E27B1F" w:rsidRDefault="008B50CF" w:rsidP="00A35221">
            <w:pPr>
              <w:rPr>
                <w:rFonts w:ascii="Calibri" w:hAnsi="Calibri" w:cs="Calibri"/>
                <w:bCs/>
                <w:sz w:val="22"/>
                <w:szCs w:val="22"/>
              </w:rPr>
            </w:pPr>
            <w:r w:rsidRPr="00E27B1F">
              <w:rPr>
                <w:rFonts w:ascii="Calibri" w:hAnsi="Calibri" w:cs="Calibri"/>
                <w:bCs/>
                <w:sz w:val="22"/>
                <w:szCs w:val="22"/>
              </w:rPr>
              <w:t>-100% metering for 853 11kV feeders</w:t>
            </w:r>
          </w:p>
          <w:p w14:paraId="51B4A070" w14:textId="77777777" w:rsidR="008B50CF" w:rsidRPr="00E27B1F" w:rsidRDefault="008B50CF" w:rsidP="00A35221">
            <w:pPr>
              <w:rPr>
                <w:rFonts w:ascii="Calibri" w:hAnsi="Calibri" w:cs="Calibri"/>
                <w:bCs/>
                <w:sz w:val="22"/>
                <w:szCs w:val="22"/>
              </w:rPr>
            </w:pPr>
            <w:r w:rsidRPr="00E27B1F">
              <w:rPr>
                <w:rFonts w:ascii="Calibri" w:hAnsi="Calibri" w:cs="Calibri"/>
                <w:bCs/>
                <w:sz w:val="22"/>
                <w:szCs w:val="22"/>
              </w:rPr>
              <w:t>-100% AMR – Target: 1306</w:t>
            </w:r>
          </w:p>
          <w:p w14:paraId="197BB784" w14:textId="77777777" w:rsidR="008B50CF" w:rsidRPr="00E27B1F" w:rsidRDefault="008B50CF" w:rsidP="00A35221">
            <w:pPr>
              <w:rPr>
                <w:rFonts w:ascii="Calibri" w:hAnsi="Calibri" w:cs="Calibri"/>
                <w:bCs/>
                <w:sz w:val="22"/>
                <w:szCs w:val="22"/>
              </w:rPr>
            </w:pPr>
            <w:r w:rsidRPr="00E27B1F">
              <w:rPr>
                <w:rFonts w:ascii="Calibri" w:hAnsi="Calibri" w:cs="Calibri"/>
                <w:bCs/>
                <w:sz w:val="22"/>
                <w:szCs w:val="22"/>
              </w:rPr>
              <w:t>-Smart Meter install on DT – Target: 17163</w:t>
            </w:r>
          </w:p>
          <w:p w14:paraId="3A3BF9BA" w14:textId="77777777" w:rsidR="008B50CF" w:rsidRPr="00D6050D" w:rsidRDefault="008B50CF" w:rsidP="00A35221">
            <w:pPr>
              <w:rPr>
                <w:rFonts w:ascii="Calibri" w:hAnsi="Calibri" w:cs="Calibri"/>
                <w:b/>
                <w:sz w:val="22"/>
                <w:szCs w:val="22"/>
              </w:rPr>
            </w:pPr>
          </w:p>
        </w:tc>
        <w:tc>
          <w:tcPr>
            <w:tcW w:w="2835" w:type="dxa"/>
            <w:vAlign w:val="center"/>
          </w:tcPr>
          <w:p w14:paraId="29E825F2" w14:textId="77777777" w:rsidR="008B50CF" w:rsidRPr="007D265E" w:rsidRDefault="008B50CF" w:rsidP="00A35221">
            <w:pPr>
              <w:rPr>
                <w:rFonts w:ascii="Calibri" w:hAnsi="Calibri" w:cs="Calibri"/>
                <w:bCs/>
                <w:sz w:val="22"/>
                <w:szCs w:val="22"/>
              </w:rPr>
            </w:pPr>
            <w:r w:rsidRPr="007D265E">
              <w:rPr>
                <w:rFonts w:ascii="Calibri" w:hAnsi="Calibri" w:cs="Calibri"/>
                <w:bCs/>
                <w:sz w:val="22"/>
                <w:szCs w:val="22"/>
              </w:rPr>
              <w:t>-AMR Meter Installed: 1,306 nos.</w:t>
            </w:r>
          </w:p>
          <w:p w14:paraId="4A04726E" w14:textId="77777777" w:rsidR="008B50CF" w:rsidRPr="007D265E" w:rsidRDefault="008B50CF" w:rsidP="00A35221">
            <w:pPr>
              <w:rPr>
                <w:rFonts w:ascii="Calibri" w:hAnsi="Calibri" w:cs="Calibri"/>
                <w:bCs/>
                <w:sz w:val="22"/>
                <w:szCs w:val="22"/>
              </w:rPr>
            </w:pPr>
            <w:r w:rsidRPr="007D265E">
              <w:rPr>
                <w:rFonts w:ascii="Calibri" w:hAnsi="Calibri" w:cs="Calibri"/>
                <w:bCs/>
                <w:sz w:val="22"/>
                <w:szCs w:val="22"/>
              </w:rPr>
              <w:t>- DT Smart Meter: 10,467 nos. (above 63 KVA)</w:t>
            </w:r>
          </w:p>
          <w:p w14:paraId="27A6C4AC" w14:textId="77777777" w:rsidR="008B50CF" w:rsidRPr="007D265E" w:rsidRDefault="008B50CF" w:rsidP="00A35221">
            <w:pPr>
              <w:rPr>
                <w:rFonts w:ascii="Calibri" w:hAnsi="Calibri" w:cs="Calibri"/>
                <w:bCs/>
                <w:sz w:val="22"/>
                <w:szCs w:val="22"/>
              </w:rPr>
            </w:pPr>
            <w:r w:rsidRPr="007D265E">
              <w:rPr>
                <w:rFonts w:ascii="Calibri" w:hAnsi="Calibri" w:cs="Calibri"/>
                <w:bCs/>
                <w:sz w:val="22"/>
                <w:szCs w:val="22"/>
              </w:rPr>
              <w:t xml:space="preserve">-Accurate Energy Accounting &amp; AT&amp;C loss assessment up to Section &amp; DTR level </w:t>
            </w:r>
          </w:p>
          <w:p w14:paraId="43D3C4BD" w14:textId="77777777" w:rsidR="008B50CF" w:rsidRPr="007D265E" w:rsidRDefault="008B50CF" w:rsidP="00A35221">
            <w:pPr>
              <w:rPr>
                <w:rFonts w:ascii="Calibri" w:hAnsi="Calibri" w:cs="Calibri"/>
                <w:b/>
                <w:sz w:val="22"/>
                <w:szCs w:val="22"/>
              </w:rPr>
            </w:pPr>
            <w:r w:rsidRPr="007D265E">
              <w:rPr>
                <w:rFonts w:ascii="Calibri" w:hAnsi="Calibri" w:cs="Calibri"/>
                <w:bCs/>
                <w:sz w:val="22"/>
                <w:szCs w:val="22"/>
              </w:rPr>
              <w:t>-Identification of High Loss pockets</w:t>
            </w:r>
          </w:p>
        </w:tc>
        <w:tc>
          <w:tcPr>
            <w:tcW w:w="3543" w:type="dxa"/>
            <w:vMerge w:val="restart"/>
          </w:tcPr>
          <w:p w14:paraId="2E2F60BA" w14:textId="77777777" w:rsidR="008B50CF" w:rsidRPr="00D6050D" w:rsidRDefault="008B50CF" w:rsidP="00A35221">
            <w:pPr>
              <w:rPr>
                <w:rFonts w:ascii="Calibri" w:hAnsi="Calibri" w:cs="Calibri"/>
                <w:b/>
                <w:bCs/>
                <w:sz w:val="22"/>
                <w:szCs w:val="22"/>
              </w:rPr>
            </w:pPr>
            <w:r>
              <w:rPr>
                <w:noProof/>
                <w:lang w:val="en-IN" w:eastAsia="en-IN"/>
              </w:rPr>
              <w:drawing>
                <wp:inline distT="0" distB="0" distL="0" distR="0" wp14:anchorId="6255D134" wp14:editId="1147975A">
                  <wp:extent cx="2069820" cy="1748601"/>
                  <wp:effectExtent l="0" t="228600" r="0" b="271145"/>
                  <wp:docPr id="111838308" name="Picture 3" descr="image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pic:nvPicPr>
                        <pic:blipFill>
                          <a:blip r:embed="rId93">
                            <a:extLst>
                              <a:ext uri="{28A0092B-C50C-407E-A947-70E740481C1C}">
                                <a14:useLocalDpi xmlns:a14="http://schemas.microsoft.com/office/drawing/2010/main" val="0"/>
                              </a:ext>
                            </a:extLst>
                          </a:blip>
                          <a:srcRect/>
                          <a:stretch>
                            <a:fillRect/>
                          </a:stretch>
                        </pic:blipFill>
                        <pic:spPr bwMode="auto">
                          <a:xfrm rot="16200000">
                            <a:off x="0" y="0"/>
                            <a:ext cx="2069820" cy="1748601"/>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a:extLst>
                            <a:ext uri="{909E8E84-426E-40DD-AFC4-6F175D3DCCD1}">
                              <a14:hiddenFill xmlns:a14="http://schemas.microsoft.com/office/drawing/2010/main">
                                <a:solidFill>
                                  <a:srgbClr val="FFFFFF"/>
                                </a:solidFill>
                              </a14:hiddenFill>
                            </a:ext>
                          </a:extLst>
                        </pic:spPr>
                      </pic:pic>
                    </a:graphicData>
                  </a:graphic>
                </wp:inline>
              </w:drawing>
            </w:r>
          </w:p>
        </w:tc>
      </w:tr>
      <w:tr w:rsidR="008B50CF" w:rsidRPr="00D6050D" w14:paraId="6A0DF9CD" w14:textId="77777777" w:rsidTr="00A35221">
        <w:trPr>
          <w:trHeight w:val="2312"/>
        </w:trPr>
        <w:tc>
          <w:tcPr>
            <w:tcW w:w="2694" w:type="dxa"/>
            <w:vAlign w:val="center"/>
          </w:tcPr>
          <w:p w14:paraId="5D990F0B" w14:textId="77777777" w:rsidR="008B50CF" w:rsidRPr="00D6050D" w:rsidRDefault="008B50CF" w:rsidP="00A35221">
            <w:pPr>
              <w:rPr>
                <w:rFonts w:ascii="Calibri" w:hAnsi="Calibri" w:cs="Calibri"/>
                <w:b/>
                <w:sz w:val="22"/>
                <w:szCs w:val="22"/>
              </w:rPr>
            </w:pPr>
            <w:r w:rsidRPr="00D6050D">
              <w:rPr>
                <w:rFonts w:ascii="Calibri" w:hAnsi="Calibri" w:cs="Calibri"/>
                <w:b/>
                <w:bCs/>
                <w:sz w:val="22"/>
                <w:szCs w:val="22"/>
                <w:u w:val="single"/>
              </w:rPr>
              <w:lastRenderedPageBreak/>
              <w:t>Meter testing equipment</w:t>
            </w:r>
          </w:p>
          <w:p w14:paraId="53E30EB5" w14:textId="77777777" w:rsidR="008B50CF" w:rsidRPr="00D6050D" w:rsidRDefault="008B50CF" w:rsidP="00A35221">
            <w:pPr>
              <w:rPr>
                <w:rFonts w:ascii="Calibri" w:hAnsi="Calibri" w:cs="Calibri"/>
                <w:sz w:val="22"/>
                <w:szCs w:val="22"/>
              </w:rPr>
            </w:pPr>
            <w:r w:rsidRPr="00D6050D">
              <w:rPr>
                <w:rFonts w:ascii="Calibri" w:hAnsi="Calibri" w:cs="Calibri"/>
                <w:bCs/>
                <w:sz w:val="22"/>
                <w:szCs w:val="22"/>
              </w:rPr>
              <w:t>-To check consumer meter on site</w:t>
            </w:r>
          </w:p>
          <w:p w14:paraId="48B81D4E" w14:textId="77777777" w:rsidR="008B50CF" w:rsidRPr="00D6050D" w:rsidRDefault="008B50CF" w:rsidP="00A35221">
            <w:pPr>
              <w:rPr>
                <w:rFonts w:ascii="Calibri" w:hAnsi="Calibri" w:cs="Calibri"/>
                <w:sz w:val="22"/>
                <w:szCs w:val="22"/>
              </w:rPr>
            </w:pPr>
            <w:r w:rsidRPr="00D6050D">
              <w:rPr>
                <w:rFonts w:ascii="Calibri" w:hAnsi="Calibri" w:cs="Calibri"/>
                <w:bCs/>
                <w:sz w:val="22"/>
                <w:szCs w:val="22"/>
              </w:rPr>
              <w:t>-To resolve meter related complaints</w:t>
            </w:r>
          </w:p>
          <w:p w14:paraId="5A491439" w14:textId="77777777" w:rsidR="008B50CF" w:rsidRPr="00D20B13" w:rsidRDefault="008B50CF" w:rsidP="00A35221">
            <w:pPr>
              <w:rPr>
                <w:rFonts w:ascii="Calibri" w:hAnsi="Calibri" w:cs="Calibri"/>
                <w:sz w:val="22"/>
                <w:szCs w:val="22"/>
              </w:rPr>
            </w:pPr>
            <w:r w:rsidRPr="00D6050D">
              <w:rPr>
                <w:rFonts w:ascii="Calibri" w:hAnsi="Calibri" w:cs="Calibri"/>
                <w:bCs/>
                <w:sz w:val="22"/>
                <w:szCs w:val="22"/>
              </w:rPr>
              <w:t>-To avoid human error in meter reading</w:t>
            </w:r>
          </w:p>
        </w:tc>
        <w:tc>
          <w:tcPr>
            <w:tcW w:w="2835" w:type="dxa"/>
            <w:vAlign w:val="center"/>
          </w:tcPr>
          <w:p w14:paraId="4099B536" w14:textId="77777777" w:rsidR="008B50CF" w:rsidRPr="007D265E" w:rsidRDefault="008B50CF" w:rsidP="00A35221">
            <w:pPr>
              <w:rPr>
                <w:rFonts w:ascii="Calibri" w:hAnsi="Calibri" w:cs="Calibri"/>
                <w:bCs/>
                <w:sz w:val="22"/>
                <w:szCs w:val="22"/>
              </w:rPr>
            </w:pPr>
            <w:r w:rsidRPr="007D265E">
              <w:rPr>
                <w:rFonts w:ascii="Calibri" w:hAnsi="Calibri" w:cs="Calibri"/>
                <w:bCs/>
                <w:sz w:val="22"/>
                <w:szCs w:val="22"/>
              </w:rPr>
              <w:t>-Clamp-on Meter: 130 Nos.</w:t>
            </w:r>
          </w:p>
          <w:p w14:paraId="63C99EAC" w14:textId="77777777" w:rsidR="008B50CF" w:rsidRPr="007D265E" w:rsidRDefault="008B50CF" w:rsidP="00A35221">
            <w:pPr>
              <w:rPr>
                <w:rFonts w:ascii="Calibri" w:hAnsi="Calibri" w:cs="Calibri"/>
                <w:bCs/>
                <w:sz w:val="22"/>
                <w:szCs w:val="22"/>
              </w:rPr>
            </w:pPr>
            <w:r w:rsidRPr="007D265E">
              <w:rPr>
                <w:rFonts w:ascii="Calibri" w:hAnsi="Calibri" w:cs="Calibri"/>
                <w:bCs/>
                <w:sz w:val="22"/>
                <w:szCs w:val="22"/>
              </w:rPr>
              <w:t>-Accuracy Check Meter: 108 Nos.</w:t>
            </w:r>
          </w:p>
          <w:p w14:paraId="48D92651" w14:textId="77777777" w:rsidR="008B50CF" w:rsidRPr="007D265E" w:rsidRDefault="008B50CF" w:rsidP="00A35221">
            <w:pPr>
              <w:rPr>
                <w:rFonts w:ascii="Calibri" w:hAnsi="Calibri" w:cs="Calibri"/>
                <w:bCs/>
                <w:sz w:val="22"/>
                <w:szCs w:val="22"/>
              </w:rPr>
            </w:pPr>
            <w:r w:rsidRPr="007D265E">
              <w:rPr>
                <w:rFonts w:ascii="Calibri" w:hAnsi="Calibri" w:cs="Calibri"/>
                <w:bCs/>
                <w:sz w:val="22"/>
                <w:szCs w:val="22"/>
              </w:rPr>
              <w:t xml:space="preserve">-CT/PT testing kit: 06 Nos. </w:t>
            </w:r>
          </w:p>
          <w:p w14:paraId="4D9FD89A" w14:textId="77777777" w:rsidR="008B50CF" w:rsidRPr="00D6050D" w:rsidRDefault="008B50CF" w:rsidP="00A35221">
            <w:pPr>
              <w:rPr>
                <w:rFonts w:ascii="Calibri" w:hAnsi="Calibri" w:cs="Calibri"/>
                <w:b/>
                <w:sz w:val="22"/>
                <w:szCs w:val="22"/>
              </w:rPr>
            </w:pPr>
            <w:r w:rsidRPr="007D265E">
              <w:rPr>
                <w:rFonts w:ascii="Calibri" w:hAnsi="Calibri" w:cs="Calibri"/>
                <w:bCs/>
                <w:sz w:val="22"/>
                <w:szCs w:val="22"/>
              </w:rPr>
              <w:t>-Meter Reading Instruments: 160 Nos.</w:t>
            </w:r>
          </w:p>
        </w:tc>
        <w:tc>
          <w:tcPr>
            <w:tcW w:w="3543" w:type="dxa"/>
            <w:vMerge/>
          </w:tcPr>
          <w:p w14:paraId="08456A5C" w14:textId="77777777" w:rsidR="008B50CF" w:rsidRPr="00D6050D" w:rsidRDefault="008B50CF" w:rsidP="00A35221">
            <w:pPr>
              <w:rPr>
                <w:rFonts w:ascii="Calibri" w:hAnsi="Calibri" w:cs="Calibri"/>
                <w:b/>
                <w:sz w:val="22"/>
                <w:szCs w:val="22"/>
              </w:rPr>
            </w:pPr>
          </w:p>
        </w:tc>
      </w:tr>
      <w:tr w:rsidR="008B50CF" w:rsidRPr="00D6050D" w14:paraId="0B83337F" w14:textId="77777777" w:rsidTr="00A35221">
        <w:trPr>
          <w:trHeight w:val="2801"/>
        </w:trPr>
        <w:tc>
          <w:tcPr>
            <w:tcW w:w="2694" w:type="dxa"/>
            <w:vAlign w:val="center"/>
          </w:tcPr>
          <w:p w14:paraId="35351806" w14:textId="77777777" w:rsidR="008B50CF" w:rsidRPr="00D6050D" w:rsidRDefault="008B50CF" w:rsidP="00A35221">
            <w:pPr>
              <w:rPr>
                <w:rFonts w:ascii="Calibri" w:hAnsi="Calibri" w:cs="Calibri"/>
                <w:b/>
                <w:sz w:val="22"/>
                <w:szCs w:val="22"/>
              </w:rPr>
            </w:pPr>
            <w:r w:rsidRPr="00D6050D">
              <w:rPr>
                <w:rFonts w:ascii="Calibri" w:hAnsi="Calibri" w:cs="Calibri"/>
                <w:b/>
                <w:bCs/>
                <w:sz w:val="22"/>
                <w:szCs w:val="22"/>
                <w:u w:val="single"/>
              </w:rPr>
              <w:t>Health Checkup of Substations</w:t>
            </w:r>
          </w:p>
          <w:p w14:paraId="50E75CE5" w14:textId="77777777" w:rsidR="008B50CF" w:rsidRPr="00D6050D" w:rsidRDefault="008B50CF" w:rsidP="00A35221">
            <w:pPr>
              <w:rPr>
                <w:rFonts w:ascii="Calibri" w:hAnsi="Calibri" w:cs="Calibri"/>
                <w:sz w:val="22"/>
                <w:szCs w:val="22"/>
              </w:rPr>
            </w:pPr>
            <w:r w:rsidRPr="00D6050D">
              <w:rPr>
                <w:rFonts w:ascii="Calibri" w:hAnsi="Calibri" w:cs="Calibri"/>
                <w:bCs/>
                <w:sz w:val="22"/>
                <w:szCs w:val="22"/>
              </w:rPr>
              <w:t>Primary Sub-station diagnosis tool kits</w:t>
            </w:r>
          </w:p>
          <w:p w14:paraId="56E3984E" w14:textId="77777777" w:rsidR="008B50CF" w:rsidRPr="00D6050D" w:rsidRDefault="008B50CF" w:rsidP="00A35221">
            <w:pPr>
              <w:rPr>
                <w:rFonts w:ascii="Calibri" w:hAnsi="Calibri" w:cs="Calibri"/>
                <w:b/>
                <w:sz w:val="22"/>
                <w:szCs w:val="22"/>
              </w:rPr>
            </w:pPr>
          </w:p>
        </w:tc>
        <w:tc>
          <w:tcPr>
            <w:tcW w:w="2835" w:type="dxa"/>
            <w:vAlign w:val="center"/>
          </w:tcPr>
          <w:p w14:paraId="7456BD60" w14:textId="77777777" w:rsidR="008B50CF" w:rsidRPr="007D265E" w:rsidRDefault="008B50CF" w:rsidP="00A35221">
            <w:pPr>
              <w:rPr>
                <w:rFonts w:ascii="Calibri" w:hAnsi="Calibri" w:cs="Calibri"/>
                <w:bCs/>
                <w:sz w:val="22"/>
                <w:szCs w:val="22"/>
              </w:rPr>
            </w:pPr>
            <w:r w:rsidRPr="007D265E">
              <w:rPr>
                <w:rFonts w:ascii="Calibri" w:hAnsi="Calibri" w:cs="Calibri"/>
                <w:bCs/>
                <w:sz w:val="22"/>
                <w:szCs w:val="22"/>
              </w:rPr>
              <w:t>-DG analyzer: 03 nos.</w:t>
            </w:r>
          </w:p>
          <w:p w14:paraId="3EAC124C" w14:textId="77777777" w:rsidR="008B50CF" w:rsidRPr="007D265E" w:rsidRDefault="008B50CF" w:rsidP="00A35221">
            <w:pPr>
              <w:rPr>
                <w:rFonts w:ascii="Calibri" w:hAnsi="Calibri" w:cs="Calibri"/>
                <w:bCs/>
                <w:sz w:val="22"/>
                <w:szCs w:val="22"/>
              </w:rPr>
            </w:pPr>
            <w:r w:rsidRPr="007D265E">
              <w:rPr>
                <w:rFonts w:ascii="Calibri" w:hAnsi="Calibri" w:cs="Calibri"/>
                <w:bCs/>
                <w:sz w:val="22"/>
                <w:szCs w:val="22"/>
              </w:rPr>
              <w:t>-Partial Discharge Camera: 08 nos.</w:t>
            </w:r>
          </w:p>
          <w:p w14:paraId="6A46C25A" w14:textId="77777777" w:rsidR="008B50CF" w:rsidRPr="007D265E" w:rsidRDefault="008B50CF" w:rsidP="00A35221">
            <w:pPr>
              <w:rPr>
                <w:rFonts w:ascii="Calibri" w:hAnsi="Calibri" w:cs="Calibri"/>
                <w:bCs/>
                <w:sz w:val="22"/>
                <w:szCs w:val="22"/>
              </w:rPr>
            </w:pPr>
            <w:r w:rsidRPr="007D265E">
              <w:rPr>
                <w:rFonts w:ascii="Calibri" w:hAnsi="Calibri" w:cs="Calibri"/>
                <w:bCs/>
                <w:sz w:val="22"/>
                <w:szCs w:val="22"/>
              </w:rPr>
              <w:t>-Tan-Delta Test Kit: 03 nos.</w:t>
            </w:r>
          </w:p>
          <w:p w14:paraId="379AE13F" w14:textId="77777777" w:rsidR="008B50CF" w:rsidRPr="007D265E" w:rsidRDefault="008B50CF" w:rsidP="00A35221">
            <w:pPr>
              <w:rPr>
                <w:rFonts w:ascii="Calibri" w:hAnsi="Calibri" w:cs="Calibri"/>
                <w:bCs/>
                <w:sz w:val="22"/>
                <w:szCs w:val="22"/>
              </w:rPr>
            </w:pPr>
            <w:r w:rsidRPr="007D265E">
              <w:rPr>
                <w:rFonts w:ascii="Calibri" w:hAnsi="Calibri" w:cs="Calibri"/>
                <w:bCs/>
                <w:sz w:val="22"/>
                <w:szCs w:val="22"/>
              </w:rPr>
              <w:t>-CT/PT analyzer: 05 nos.</w:t>
            </w:r>
          </w:p>
          <w:p w14:paraId="4BBFEC9A" w14:textId="77777777" w:rsidR="008B50CF" w:rsidRPr="00D6050D" w:rsidRDefault="008B50CF" w:rsidP="00A35221">
            <w:pPr>
              <w:rPr>
                <w:rFonts w:ascii="Calibri" w:hAnsi="Calibri" w:cs="Calibri"/>
                <w:b/>
                <w:sz w:val="22"/>
                <w:szCs w:val="22"/>
              </w:rPr>
            </w:pPr>
            <w:r w:rsidRPr="007D265E">
              <w:rPr>
                <w:rFonts w:ascii="Calibri" w:hAnsi="Calibri" w:cs="Calibri"/>
                <w:bCs/>
                <w:sz w:val="22"/>
                <w:szCs w:val="22"/>
              </w:rPr>
              <w:t>PQ analyzer: 02 nos.</w:t>
            </w:r>
          </w:p>
        </w:tc>
        <w:tc>
          <w:tcPr>
            <w:tcW w:w="3543" w:type="dxa"/>
          </w:tcPr>
          <w:p w14:paraId="1CE4AB10" w14:textId="77777777" w:rsidR="008B50CF" w:rsidRPr="00D6050D" w:rsidRDefault="008B50CF" w:rsidP="00A35221">
            <w:pPr>
              <w:rPr>
                <w:rFonts w:ascii="Calibri" w:hAnsi="Calibri" w:cs="Calibri"/>
                <w:b/>
                <w:sz w:val="22"/>
                <w:szCs w:val="22"/>
              </w:rPr>
            </w:pPr>
            <w:r w:rsidRPr="00D6050D">
              <w:rPr>
                <w:rFonts w:cs="Calibri"/>
                <w:b/>
                <w:noProof/>
                <w:sz w:val="20"/>
                <w:szCs w:val="20"/>
                <w:lang w:val="en-IN" w:eastAsia="en-IN"/>
              </w:rPr>
              <w:drawing>
                <wp:anchor distT="0" distB="0" distL="114300" distR="114300" simplePos="0" relativeHeight="252192256" behindDoc="1" locked="0" layoutInCell="1" allowOverlap="1" wp14:anchorId="02861AE9" wp14:editId="6DC30D7F">
                  <wp:simplePos x="0" y="0"/>
                  <wp:positionH relativeFrom="column">
                    <wp:posOffset>130175</wp:posOffset>
                  </wp:positionH>
                  <wp:positionV relativeFrom="paragraph">
                    <wp:posOffset>76200</wp:posOffset>
                  </wp:positionV>
                  <wp:extent cx="1861185" cy="1913255"/>
                  <wp:effectExtent l="76200" t="76200" r="139065" b="125095"/>
                  <wp:wrapTight wrapText="bothSides">
                    <wp:wrapPolygon edited="0">
                      <wp:start x="-442" y="-860"/>
                      <wp:lineTo x="-884" y="-645"/>
                      <wp:lineTo x="-884" y="21937"/>
                      <wp:lineTo x="-442" y="22797"/>
                      <wp:lineTo x="22551" y="22797"/>
                      <wp:lineTo x="22993" y="20216"/>
                      <wp:lineTo x="22993" y="2796"/>
                      <wp:lineTo x="22551" y="-430"/>
                      <wp:lineTo x="22551" y="-860"/>
                      <wp:lineTo x="-442" y="-860"/>
                    </wp:wrapPolygon>
                  </wp:wrapTight>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1861185" cy="191325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14:sizeRelH relativeFrom="margin">
                    <wp14:pctWidth>0</wp14:pctWidth>
                  </wp14:sizeRelH>
                  <wp14:sizeRelV relativeFrom="margin">
                    <wp14:pctHeight>0</wp14:pctHeight>
                  </wp14:sizeRelV>
                </wp:anchor>
              </w:drawing>
            </w:r>
          </w:p>
        </w:tc>
      </w:tr>
    </w:tbl>
    <w:p w14:paraId="435B48D5" w14:textId="77777777" w:rsidR="008B50CF" w:rsidRPr="00D6050D" w:rsidRDefault="008B50CF" w:rsidP="008B50CF">
      <w:pPr>
        <w:rPr>
          <w:rFonts w:ascii="Calibri" w:hAnsi="Calibri" w:cs="Calibri"/>
          <w:b/>
          <w:sz w:val="22"/>
          <w:szCs w:val="22"/>
        </w:rPr>
      </w:pPr>
    </w:p>
    <w:p w14:paraId="2005E7FA" w14:textId="77777777" w:rsidR="008B50CF" w:rsidRPr="00D6050D" w:rsidRDefault="008B50CF" w:rsidP="008B50CF">
      <w:pPr>
        <w:rPr>
          <w:rFonts w:ascii="Calibri" w:hAnsi="Calibri" w:cs="Calibri"/>
          <w:b/>
          <w:sz w:val="22"/>
          <w:szCs w:val="22"/>
        </w:rPr>
      </w:pPr>
    </w:p>
    <w:p w14:paraId="1DA11812" w14:textId="74FEA644" w:rsidR="008B50CF" w:rsidRPr="005F3180" w:rsidRDefault="008B50CF" w:rsidP="008B50CF">
      <w:pPr>
        <w:rPr>
          <w:rFonts w:ascii="Calibri" w:hAnsi="Calibri" w:cs="Calibri"/>
          <w:b/>
          <w:szCs w:val="22"/>
        </w:rPr>
      </w:pPr>
      <w:r>
        <w:rPr>
          <w:rFonts w:ascii="Calibri" w:hAnsi="Calibri" w:cs="Calibri"/>
          <w:b/>
          <w:sz w:val="28"/>
          <w:szCs w:val="22"/>
        </w:rPr>
        <w:t xml:space="preserve">        </w:t>
      </w:r>
      <w:r w:rsidRPr="005F3180">
        <w:rPr>
          <w:rFonts w:ascii="Calibri" w:hAnsi="Calibri" w:cs="Calibri"/>
          <w:b/>
          <w:szCs w:val="22"/>
        </w:rPr>
        <w:t>6.</w:t>
      </w:r>
      <w:r w:rsidR="00EF24C0">
        <w:rPr>
          <w:rFonts w:ascii="Calibri" w:hAnsi="Calibri" w:cs="Calibri"/>
          <w:b/>
          <w:szCs w:val="22"/>
        </w:rPr>
        <w:t>2.3</w:t>
      </w:r>
      <w:r w:rsidRPr="005F3180">
        <w:rPr>
          <w:rFonts w:ascii="Calibri" w:hAnsi="Calibri" w:cs="Calibri"/>
          <w:b/>
          <w:szCs w:val="22"/>
        </w:rPr>
        <w:t xml:space="preserve"> Reliability:</w:t>
      </w:r>
    </w:p>
    <w:p w14:paraId="4825317F" w14:textId="77777777" w:rsidR="008B50CF" w:rsidRPr="00003E11" w:rsidRDefault="008B50CF" w:rsidP="008B50CF">
      <w:pPr>
        <w:rPr>
          <w:rFonts w:ascii="Calibri" w:hAnsi="Calibri" w:cs="Calibri"/>
          <w:b/>
          <w:sz w:val="12"/>
          <w:szCs w:val="22"/>
        </w:rPr>
      </w:pPr>
    </w:p>
    <w:tbl>
      <w:tblPr>
        <w:tblStyle w:val="TableGrid2"/>
        <w:tblpPr w:leftFromText="180" w:rightFromText="180" w:vertAnchor="text" w:horzAnchor="margin" w:tblpX="562" w:tblpY="108"/>
        <w:tblW w:w="9067" w:type="dxa"/>
        <w:tblLook w:val="04A0" w:firstRow="1" w:lastRow="0" w:firstColumn="1" w:lastColumn="0" w:noHBand="0" w:noVBand="1"/>
      </w:tblPr>
      <w:tblGrid>
        <w:gridCol w:w="2689"/>
        <w:gridCol w:w="2906"/>
        <w:gridCol w:w="3472"/>
      </w:tblGrid>
      <w:tr w:rsidR="008B50CF" w:rsidRPr="00D6050D" w14:paraId="05276667" w14:textId="77777777" w:rsidTr="00A35221">
        <w:tc>
          <w:tcPr>
            <w:tcW w:w="2689" w:type="dxa"/>
            <w:shd w:val="clear" w:color="auto" w:fill="95B3D7" w:themeFill="accent1" w:themeFillTint="99"/>
          </w:tcPr>
          <w:p w14:paraId="55E8AF80" w14:textId="77777777" w:rsidR="008B50CF" w:rsidRPr="00D6050D" w:rsidRDefault="008B50CF" w:rsidP="00A35221">
            <w:pPr>
              <w:jc w:val="center"/>
              <w:rPr>
                <w:rFonts w:ascii="Calibri" w:hAnsi="Calibri" w:cs="Calibri"/>
                <w:b/>
                <w:bCs/>
                <w:sz w:val="22"/>
                <w:szCs w:val="22"/>
                <w:u w:val="single"/>
              </w:rPr>
            </w:pPr>
            <w:r w:rsidRPr="00D6050D">
              <w:rPr>
                <w:rFonts w:ascii="Calibri" w:hAnsi="Calibri" w:cs="Calibri"/>
                <w:b/>
                <w:sz w:val="22"/>
                <w:szCs w:val="22"/>
              </w:rPr>
              <w:t>Initiatives</w:t>
            </w:r>
          </w:p>
        </w:tc>
        <w:tc>
          <w:tcPr>
            <w:tcW w:w="6378" w:type="dxa"/>
            <w:gridSpan w:val="2"/>
            <w:shd w:val="clear" w:color="auto" w:fill="95B3D7" w:themeFill="accent1" w:themeFillTint="99"/>
          </w:tcPr>
          <w:p w14:paraId="5AA19D96" w14:textId="77777777" w:rsidR="008B50CF" w:rsidRPr="00D6050D" w:rsidRDefault="008B50CF" w:rsidP="00A35221">
            <w:pPr>
              <w:jc w:val="center"/>
              <w:rPr>
                <w:rFonts w:ascii="Calibri" w:hAnsi="Calibri" w:cs="Calibri"/>
                <w:b/>
                <w:sz w:val="22"/>
                <w:szCs w:val="22"/>
              </w:rPr>
            </w:pPr>
            <w:r w:rsidRPr="00D6050D">
              <w:rPr>
                <w:rFonts w:ascii="Calibri" w:hAnsi="Calibri" w:cs="Calibri"/>
                <w:b/>
                <w:sz w:val="22"/>
                <w:szCs w:val="22"/>
              </w:rPr>
              <w:t>Outcome</w:t>
            </w:r>
          </w:p>
        </w:tc>
      </w:tr>
      <w:tr w:rsidR="008B50CF" w:rsidRPr="00D6050D" w14:paraId="15801E21" w14:textId="77777777" w:rsidTr="00A35221">
        <w:tc>
          <w:tcPr>
            <w:tcW w:w="2689" w:type="dxa"/>
            <w:vAlign w:val="center"/>
          </w:tcPr>
          <w:p w14:paraId="539027E7" w14:textId="77777777" w:rsidR="008B50CF" w:rsidRPr="00D6050D" w:rsidRDefault="008B50CF" w:rsidP="00A35221">
            <w:pPr>
              <w:rPr>
                <w:rFonts w:ascii="Calibri" w:hAnsi="Calibri" w:cs="Calibri"/>
                <w:b/>
                <w:sz w:val="22"/>
                <w:szCs w:val="22"/>
                <w:u w:val="single"/>
              </w:rPr>
            </w:pPr>
            <w:r w:rsidRPr="00D6050D">
              <w:rPr>
                <w:rFonts w:ascii="Calibri" w:hAnsi="Calibri" w:cs="Calibri"/>
                <w:b/>
                <w:bCs/>
                <w:sz w:val="22"/>
                <w:szCs w:val="22"/>
                <w:u w:val="single"/>
              </w:rPr>
              <w:t>Network Protection</w:t>
            </w:r>
          </w:p>
          <w:p w14:paraId="5C57A262" w14:textId="77777777" w:rsidR="008B50CF" w:rsidRPr="00D6050D" w:rsidRDefault="008B50CF" w:rsidP="00A35221">
            <w:pPr>
              <w:rPr>
                <w:rFonts w:ascii="Calibri" w:hAnsi="Calibri" w:cs="Calibri"/>
                <w:b/>
                <w:sz w:val="22"/>
                <w:szCs w:val="22"/>
              </w:rPr>
            </w:pPr>
          </w:p>
          <w:p w14:paraId="28FD5ECC" w14:textId="77777777" w:rsidR="008B50CF" w:rsidRPr="00D6050D" w:rsidRDefault="008B50CF" w:rsidP="00A35221">
            <w:pPr>
              <w:rPr>
                <w:rFonts w:ascii="Calibri" w:hAnsi="Calibri" w:cs="Calibri"/>
                <w:b/>
                <w:sz w:val="22"/>
                <w:szCs w:val="22"/>
              </w:rPr>
            </w:pPr>
            <w:r w:rsidRPr="00D6050D">
              <w:rPr>
                <w:rFonts w:ascii="Calibri" w:hAnsi="Calibri" w:cs="Calibri"/>
                <w:b/>
                <w:sz w:val="22"/>
                <w:szCs w:val="22"/>
              </w:rPr>
              <w:t>A) Mitigation of non-functional/without VCBs</w:t>
            </w:r>
          </w:p>
          <w:p w14:paraId="1B2A7FBE" w14:textId="77777777" w:rsidR="008B50CF" w:rsidRPr="00D6050D" w:rsidRDefault="008B50CF" w:rsidP="00A35221">
            <w:pPr>
              <w:rPr>
                <w:rFonts w:ascii="Calibri" w:hAnsi="Calibri" w:cs="Calibri"/>
                <w:sz w:val="22"/>
                <w:szCs w:val="22"/>
              </w:rPr>
            </w:pPr>
            <w:r w:rsidRPr="00D6050D">
              <w:rPr>
                <w:rFonts w:ascii="Calibri" w:hAnsi="Calibri" w:cs="Calibri"/>
                <w:sz w:val="22"/>
                <w:szCs w:val="22"/>
              </w:rPr>
              <w:t xml:space="preserve"> - Zero transformer without breaker protection</w:t>
            </w:r>
          </w:p>
          <w:p w14:paraId="48736860" w14:textId="77777777" w:rsidR="008B50CF" w:rsidRPr="00D6050D" w:rsidRDefault="008B50CF" w:rsidP="00A35221">
            <w:pPr>
              <w:rPr>
                <w:rFonts w:ascii="Calibri" w:hAnsi="Calibri" w:cs="Calibri"/>
                <w:b/>
                <w:sz w:val="22"/>
                <w:szCs w:val="22"/>
              </w:rPr>
            </w:pPr>
            <w:r w:rsidRPr="00D6050D">
              <w:rPr>
                <w:rFonts w:ascii="Calibri" w:hAnsi="Calibri" w:cs="Calibri"/>
                <w:b/>
                <w:sz w:val="22"/>
                <w:szCs w:val="22"/>
              </w:rPr>
              <w:t>B) Primary S/</w:t>
            </w:r>
            <w:proofErr w:type="spellStart"/>
            <w:r w:rsidRPr="00D6050D">
              <w:rPr>
                <w:rFonts w:ascii="Calibri" w:hAnsi="Calibri" w:cs="Calibri"/>
                <w:b/>
                <w:sz w:val="22"/>
                <w:szCs w:val="22"/>
              </w:rPr>
              <w:t>Stn</w:t>
            </w:r>
            <w:proofErr w:type="spellEnd"/>
            <w:r w:rsidRPr="00D6050D">
              <w:rPr>
                <w:rFonts w:ascii="Calibri" w:hAnsi="Calibri" w:cs="Calibri"/>
                <w:b/>
                <w:sz w:val="22"/>
                <w:szCs w:val="22"/>
              </w:rPr>
              <w:t xml:space="preserve"> elements</w:t>
            </w:r>
          </w:p>
          <w:p w14:paraId="0E78083D" w14:textId="77777777" w:rsidR="008B50CF" w:rsidRPr="00D6050D" w:rsidRDefault="008B50CF" w:rsidP="00A35221">
            <w:pPr>
              <w:rPr>
                <w:rFonts w:ascii="Calibri" w:hAnsi="Calibri" w:cs="Calibri"/>
                <w:sz w:val="22"/>
                <w:szCs w:val="22"/>
              </w:rPr>
            </w:pPr>
            <w:r w:rsidRPr="00D6050D">
              <w:rPr>
                <w:rFonts w:ascii="Calibri" w:hAnsi="Calibri" w:cs="Calibri"/>
                <w:sz w:val="22"/>
                <w:szCs w:val="22"/>
              </w:rPr>
              <w:t>Reduction of Power Transformer outages</w:t>
            </w:r>
          </w:p>
          <w:p w14:paraId="2DE0CC13" w14:textId="77777777" w:rsidR="008B50CF" w:rsidRPr="00D6050D" w:rsidRDefault="008B50CF" w:rsidP="00A35221">
            <w:pPr>
              <w:rPr>
                <w:rFonts w:ascii="Calibri" w:hAnsi="Calibri" w:cs="Calibri"/>
                <w:b/>
                <w:sz w:val="22"/>
                <w:szCs w:val="22"/>
              </w:rPr>
            </w:pPr>
            <w:r w:rsidRPr="00D6050D">
              <w:rPr>
                <w:rFonts w:ascii="Calibri" w:hAnsi="Calibri" w:cs="Calibri"/>
                <w:b/>
                <w:sz w:val="22"/>
                <w:szCs w:val="22"/>
              </w:rPr>
              <w:t>C) Dist. transformer protection arrangement</w:t>
            </w:r>
          </w:p>
          <w:p w14:paraId="2401CC6C" w14:textId="77777777" w:rsidR="008B50CF" w:rsidRPr="00D6050D" w:rsidRDefault="008B50CF" w:rsidP="00A35221">
            <w:pPr>
              <w:rPr>
                <w:rFonts w:ascii="Calibri" w:hAnsi="Calibri" w:cs="Calibri"/>
                <w:sz w:val="22"/>
                <w:szCs w:val="22"/>
              </w:rPr>
            </w:pPr>
            <w:r w:rsidRPr="00D6050D">
              <w:rPr>
                <w:rFonts w:ascii="Calibri" w:hAnsi="Calibri" w:cs="Calibri"/>
                <w:sz w:val="22"/>
                <w:szCs w:val="22"/>
              </w:rPr>
              <w:t>- Reduction of unwanted 11kV outages due to LV faults &amp; transformer burning</w:t>
            </w:r>
          </w:p>
          <w:p w14:paraId="740C04B4" w14:textId="77777777" w:rsidR="008B50CF" w:rsidRPr="00D6050D" w:rsidRDefault="008B50CF" w:rsidP="00A35221">
            <w:pPr>
              <w:rPr>
                <w:rFonts w:ascii="Calibri" w:hAnsi="Calibri" w:cs="Calibri"/>
                <w:b/>
                <w:sz w:val="22"/>
                <w:szCs w:val="22"/>
              </w:rPr>
            </w:pPr>
            <w:r w:rsidRPr="00D6050D">
              <w:rPr>
                <w:rFonts w:ascii="Calibri" w:hAnsi="Calibri" w:cs="Calibri"/>
                <w:b/>
                <w:sz w:val="22"/>
                <w:szCs w:val="22"/>
              </w:rPr>
              <w:t>D) Line Protection</w:t>
            </w:r>
          </w:p>
          <w:p w14:paraId="0C1D5372" w14:textId="77777777" w:rsidR="008B50CF" w:rsidRPr="00D6050D" w:rsidRDefault="008B50CF" w:rsidP="00A35221">
            <w:pPr>
              <w:rPr>
                <w:rFonts w:ascii="Calibri" w:hAnsi="Calibri" w:cs="Calibri"/>
                <w:sz w:val="22"/>
                <w:szCs w:val="22"/>
              </w:rPr>
            </w:pPr>
            <w:r w:rsidRPr="00D6050D">
              <w:rPr>
                <w:rFonts w:ascii="Calibri" w:hAnsi="Calibri" w:cs="Calibri"/>
                <w:sz w:val="22"/>
                <w:szCs w:val="22"/>
              </w:rPr>
              <w:t xml:space="preserve">-Installation of </w:t>
            </w:r>
            <w:proofErr w:type="spellStart"/>
            <w:r w:rsidRPr="00D6050D">
              <w:rPr>
                <w:rFonts w:ascii="Calibri" w:hAnsi="Calibri" w:cs="Calibri"/>
                <w:sz w:val="22"/>
                <w:szCs w:val="22"/>
              </w:rPr>
              <w:t>Autoreclosure</w:t>
            </w:r>
            <w:proofErr w:type="spellEnd"/>
            <w:r w:rsidRPr="00D6050D">
              <w:rPr>
                <w:rFonts w:ascii="Calibri" w:hAnsi="Calibri" w:cs="Calibri"/>
                <w:sz w:val="22"/>
                <w:szCs w:val="22"/>
              </w:rPr>
              <w:t xml:space="preserve">, Ring Main </w:t>
            </w:r>
            <w:r w:rsidRPr="00D6050D">
              <w:rPr>
                <w:rFonts w:ascii="Calibri" w:hAnsi="Calibri" w:cs="Calibri"/>
                <w:sz w:val="22"/>
                <w:szCs w:val="22"/>
              </w:rPr>
              <w:lastRenderedPageBreak/>
              <w:t>Unit, Fault Passage Indicator, Lightning Arrestor,</w:t>
            </w:r>
          </w:p>
          <w:p w14:paraId="5C16FF2C" w14:textId="77777777" w:rsidR="008B50CF" w:rsidRPr="00D6050D" w:rsidRDefault="008B50CF" w:rsidP="00A35221">
            <w:pPr>
              <w:rPr>
                <w:rFonts w:ascii="Calibri" w:hAnsi="Calibri" w:cs="Calibri"/>
                <w:sz w:val="22"/>
                <w:szCs w:val="22"/>
              </w:rPr>
            </w:pPr>
            <w:r w:rsidRPr="00D6050D">
              <w:rPr>
                <w:rFonts w:ascii="Calibri" w:hAnsi="Calibri" w:cs="Calibri"/>
                <w:sz w:val="22"/>
                <w:szCs w:val="22"/>
              </w:rPr>
              <w:t>Faster restoration/ isolation of faulty feeders, Town/city islanding. Disaster prone network.</w:t>
            </w:r>
          </w:p>
        </w:tc>
        <w:tc>
          <w:tcPr>
            <w:tcW w:w="2906" w:type="dxa"/>
            <w:shd w:val="clear" w:color="auto" w:fill="FFFFFF" w:themeFill="background1"/>
            <w:vAlign w:val="center"/>
          </w:tcPr>
          <w:p w14:paraId="7948351D" w14:textId="77777777" w:rsidR="008B50CF" w:rsidRPr="007D265E" w:rsidRDefault="008B50CF" w:rsidP="00A35221">
            <w:pPr>
              <w:rPr>
                <w:rFonts w:ascii="Calibri" w:hAnsi="Calibri" w:cs="Calibri"/>
                <w:sz w:val="22"/>
                <w:szCs w:val="22"/>
              </w:rPr>
            </w:pPr>
            <w:r w:rsidRPr="007D265E">
              <w:rPr>
                <w:rFonts w:ascii="Calibri" w:hAnsi="Calibri" w:cs="Calibri"/>
                <w:sz w:val="22"/>
                <w:szCs w:val="22"/>
              </w:rPr>
              <w:lastRenderedPageBreak/>
              <w:t>A)  33kV Breaker: 100 Nos.</w:t>
            </w:r>
          </w:p>
          <w:p w14:paraId="622A9C95" w14:textId="77777777" w:rsidR="008B50CF" w:rsidRPr="007D265E" w:rsidRDefault="008B50CF" w:rsidP="00A35221">
            <w:pPr>
              <w:rPr>
                <w:rFonts w:ascii="Calibri" w:hAnsi="Calibri" w:cs="Calibri"/>
                <w:sz w:val="22"/>
                <w:szCs w:val="22"/>
              </w:rPr>
            </w:pPr>
            <w:r w:rsidRPr="007D265E">
              <w:rPr>
                <w:rFonts w:ascii="Calibri" w:hAnsi="Calibri" w:cs="Calibri"/>
                <w:sz w:val="22"/>
                <w:szCs w:val="22"/>
              </w:rPr>
              <w:t>- 11kV Breaker: 136 Nos.</w:t>
            </w:r>
          </w:p>
          <w:p w14:paraId="17C5F47F" w14:textId="77777777" w:rsidR="008B50CF" w:rsidRPr="007D265E" w:rsidRDefault="008B50CF" w:rsidP="00A35221">
            <w:pPr>
              <w:rPr>
                <w:rFonts w:ascii="Calibri" w:hAnsi="Calibri" w:cs="Calibri"/>
                <w:sz w:val="22"/>
                <w:szCs w:val="22"/>
              </w:rPr>
            </w:pPr>
            <w:r w:rsidRPr="007D265E">
              <w:rPr>
                <w:rFonts w:ascii="Calibri" w:hAnsi="Calibri" w:cs="Calibri"/>
                <w:sz w:val="22"/>
                <w:szCs w:val="22"/>
              </w:rPr>
              <w:t xml:space="preserve"> - PTR with at least one side protected by VCBs.</w:t>
            </w:r>
          </w:p>
          <w:p w14:paraId="204162FD" w14:textId="77777777" w:rsidR="008B50CF" w:rsidRPr="007D265E" w:rsidRDefault="008B50CF" w:rsidP="00A35221">
            <w:pPr>
              <w:rPr>
                <w:rFonts w:ascii="Calibri" w:hAnsi="Calibri" w:cs="Calibri"/>
                <w:sz w:val="22"/>
                <w:szCs w:val="22"/>
              </w:rPr>
            </w:pPr>
          </w:p>
          <w:p w14:paraId="077F35E4" w14:textId="77777777" w:rsidR="008B50CF" w:rsidRPr="007D265E" w:rsidRDefault="008B50CF" w:rsidP="00A35221">
            <w:pPr>
              <w:rPr>
                <w:rFonts w:ascii="Calibri" w:hAnsi="Calibri" w:cs="Calibri"/>
                <w:sz w:val="22"/>
                <w:szCs w:val="22"/>
              </w:rPr>
            </w:pPr>
            <w:r w:rsidRPr="007D265E">
              <w:rPr>
                <w:rFonts w:ascii="Calibri" w:hAnsi="Calibri" w:cs="Calibri"/>
                <w:sz w:val="22"/>
                <w:szCs w:val="22"/>
              </w:rPr>
              <w:t>B)  Installation of Relay-420, RTU-68, CR Panel-202</w:t>
            </w:r>
          </w:p>
          <w:p w14:paraId="36432539" w14:textId="77777777" w:rsidR="008B50CF" w:rsidRPr="007D265E" w:rsidRDefault="008B50CF" w:rsidP="00A35221">
            <w:pPr>
              <w:rPr>
                <w:rFonts w:ascii="Calibri" w:hAnsi="Calibri" w:cs="Calibri"/>
                <w:sz w:val="22"/>
                <w:szCs w:val="22"/>
              </w:rPr>
            </w:pPr>
            <w:r w:rsidRPr="007D265E">
              <w:rPr>
                <w:rFonts w:ascii="Calibri" w:hAnsi="Calibri" w:cs="Calibri"/>
                <w:sz w:val="22"/>
                <w:szCs w:val="22"/>
              </w:rPr>
              <w:t>-Battery Bank – 58 &amp; Battery Charger – 66.</w:t>
            </w:r>
          </w:p>
          <w:p w14:paraId="48F7DACA" w14:textId="77777777" w:rsidR="008B50CF" w:rsidRPr="007D265E" w:rsidRDefault="008B50CF" w:rsidP="00A35221">
            <w:pPr>
              <w:rPr>
                <w:rFonts w:ascii="Calibri" w:hAnsi="Calibri" w:cs="Calibri"/>
                <w:sz w:val="22"/>
                <w:szCs w:val="22"/>
              </w:rPr>
            </w:pPr>
          </w:p>
          <w:p w14:paraId="6791647A" w14:textId="77777777" w:rsidR="008B50CF" w:rsidRPr="007D265E" w:rsidRDefault="008B50CF" w:rsidP="00A35221">
            <w:pPr>
              <w:rPr>
                <w:rFonts w:ascii="Calibri" w:hAnsi="Calibri" w:cs="Calibri"/>
                <w:sz w:val="22"/>
                <w:szCs w:val="22"/>
              </w:rPr>
            </w:pPr>
            <w:r w:rsidRPr="007D265E">
              <w:rPr>
                <w:rFonts w:ascii="Calibri" w:hAnsi="Calibri" w:cs="Calibri"/>
                <w:sz w:val="22"/>
                <w:szCs w:val="22"/>
              </w:rPr>
              <w:t>C)  LT Air Circuit Breaker for &gt;250kVA: 860 (72%)</w:t>
            </w:r>
          </w:p>
          <w:p w14:paraId="4FC88824" w14:textId="77777777" w:rsidR="008B50CF" w:rsidRPr="007D265E" w:rsidRDefault="008B50CF" w:rsidP="00A35221">
            <w:pPr>
              <w:rPr>
                <w:rFonts w:ascii="Calibri" w:hAnsi="Calibri" w:cs="Calibri"/>
                <w:sz w:val="22"/>
                <w:szCs w:val="22"/>
              </w:rPr>
            </w:pPr>
            <w:r w:rsidRPr="007D265E">
              <w:rPr>
                <w:rFonts w:ascii="Calibri" w:hAnsi="Calibri" w:cs="Calibri"/>
                <w:sz w:val="22"/>
                <w:szCs w:val="22"/>
              </w:rPr>
              <w:t xml:space="preserve"> -MCCB for &gt;63kVA </w:t>
            </w:r>
            <w:proofErr w:type="spellStart"/>
            <w:r w:rsidRPr="007D265E">
              <w:rPr>
                <w:rFonts w:ascii="Calibri" w:hAnsi="Calibri" w:cs="Calibri"/>
                <w:sz w:val="22"/>
                <w:szCs w:val="22"/>
              </w:rPr>
              <w:t>upto</w:t>
            </w:r>
            <w:proofErr w:type="spellEnd"/>
            <w:r w:rsidRPr="007D265E">
              <w:rPr>
                <w:rFonts w:ascii="Calibri" w:hAnsi="Calibri" w:cs="Calibri"/>
                <w:sz w:val="22"/>
                <w:szCs w:val="22"/>
              </w:rPr>
              <w:t xml:space="preserve"> 200 kVA: 1243 (33%)</w:t>
            </w:r>
          </w:p>
          <w:p w14:paraId="5B1BB587" w14:textId="77777777" w:rsidR="008B50CF" w:rsidRPr="007D265E" w:rsidRDefault="008B50CF" w:rsidP="00A35221">
            <w:pPr>
              <w:rPr>
                <w:rFonts w:ascii="Calibri" w:hAnsi="Calibri" w:cs="Calibri"/>
                <w:sz w:val="22"/>
                <w:szCs w:val="22"/>
              </w:rPr>
            </w:pPr>
            <w:r w:rsidRPr="007D265E">
              <w:rPr>
                <w:rFonts w:ascii="Calibri" w:hAnsi="Calibri" w:cs="Calibri"/>
                <w:sz w:val="22"/>
                <w:szCs w:val="22"/>
              </w:rPr>
              <w:t xml:space="preserve"> -Kit-</w:t>
            </w:r>
            <w:proofErr w:type="spellStart"/>
            <w:r w:rsidRPr="007D265E">
              <w:rPr>
                <w:rFonts w:ascii="Calibri" w:hAnsi="Calibri" w:cs="Calibri"/>
                <w:sz w:val="22"/>
                <w:szCs w:val="22"/>
              </w:rPr>
              <w:t>kat</w:t>
            </w:r>
            <w:proofErr w:type="spellEnd"/>
            <w:r w:rsidRPr="007D265E">
              <w:rPr>
                <w:rFonts w:ascii="Calibri" w:hAnsi="Calibri" w:cs="Calibri"/>
                <w:sz w:val="22"/>
                <w:szCs w:val="22"/>
              </w:rPr>
              <w:t xml:space="preserve"> fuse </w:t>
            </w:r>
            <w:proofErr w:type="spellStart"/>
            <w:r w:rsidRPr="007D265E">
              <w:rPr>
                <w:rFonts w:ascii="Calibri" w:hAnsi="Calibri" w:cs="Calibri"/>
                <w:sz w:val="22"/>
                <w:szCs w:val="22"/>
              </w:rPr>
              <w:t>upto</w:t>
            </w:r>
            <w:proofErr w:type="spellEnd"/>
            <w:r w:rsidRPr="007D265E">
              <w:rPr>
                <w:rFonts w:ascii="Calibri" w:hAnsi="Calibri" w:cs="Calibri"/>
                <w:sz w:val="22"/>
                <w:szCs w:val="22"/>
              </w:rPr>
              <w:t xml:space="preserve"> 63 kVA: 8227 (18%)</w:t>
            </w:r>
          </w:p>
          <w:p w14:paraId="510FDDD3" w14:textId="77777777" w:rsidR="008B50CF" w:rsidRPr="007D265E" w:rsidRDefault="008B50CF" w:rsidP="00A35221">
            <w:pPr>
              <w:rPr>
                <w:rFonts w:ascii="Calibri" w:hAnsi="Calibri" w:cs="Calibri"/>
                <w:sz w:val="22"/>
                <w:szCs w:val="22"/>
              </w:rPr>
            </w:pPr>
            <w:r w:rsidRPr="007D265E">
              <w:rPr>
                <w:rFonts w:ascii="Calibri" w:hAnsi="Calibri" w:cs="Calibri"/>
                <w:sz w:val="22"/>
                <w:szCs w:val="22"/>
              </w:rPr>
              <w:t xml:space="preserve"> -AB Switch: 1939 (41%).; Lightning Arrestor: 4564(48%) </w:t>
            </w:r>
          </w:p>
          <w:p w14:paraId="68BDC310" w14:textId="77777777" w:rsidR="008B50CF" w:rsidRPr="007D265E" w:rsidRDefault="008B50CF" w:rsidP="00A35221">
            <w:pPr>
              <w:rPr>
                <w:rFonts w:ascii="Calibri" w:hAnsi="Calibri" w:cs="Calibri"/>
                <w:sz w:val="22"/>
                <w:szCs w:val="22"/>
                <w:lang w:val="pt-BR"/>
              </w:rPr>
            </w:pPr>
            <w:r w:rsidRPr="0E3E11BB">
              <w:rPr>
                <w:rFonts w:ascii="Calibri" w:hAnsi="Calibri" w:cs="Calibri"/>
                <w:sz w:val="22"/>
                <w:szCs w:val="22"/>
                <w:lang w:val="pt-BR"/>
              </w:rPr>
              <w:lastRenderedPageBreak/>
              <w:t>D)  Autoreclosure/ RMUs:  AR-130 Nos, RMU-175 Nos installed</w:t>
            </w:r>
          </w:p>
          <w:p w14:paraId="52F12DBB" w14:textId="77777777" w:rsidR="008B50CF" w:rsidRPr="007D265E" w:rsidRDefault="008B50CF" w:rsidP="00A35221">
            <w:pPr>
              <w:rPr>
                <w:rFonts w:ascii="Calibri" w:hAnsi="Calibri" w:cs="Calibri"/>
                <w:sz w:val="22"/>
                <w:szCs w:val="22"/>
              </w:rPr>
            </w:pPr>
            <w:r w:rsidRPr="007D265E">
              <w:rPr>
                <w:rFonts w:ascii="Calibri" w:hAnsi="Calibri" w:cs="Calibri"/>
                <w:sz w:val="22"/>
                <w:szCs w:val="22"/>
              </w:rPr>
              <w:t xml:space="preserve">- Fault Passage Indicator: 1845/2505 nos. target  </w:t>
            </w:r>
          </w:p>
          <w:p w14:paraId="09742E83" w14:textId="77777777" w:rsidR="008B50CF" w:rsidRPr="007D265E" w:rsidRDefault="008B50CF" w:rsidP="00A35221">
            <w:pPr>
              <w:rPr>
                <w:rFonts w:ascii="Calibri" w:hAnsi="Calibri" w:cs="Calibri"/>
                <w:sz w:val="22"/>
                <w:szCs w:val="22"/>
              </w:rPr>
            </w:pPr>
            <w:r w:rsidRPr="007D265E">
              <w:rPr>
                <w:rFonts w:ascii="Calibri" w:hAnsi="Calibri" w:cs="Calibri"/>
                <w:sz w:val="22"/>
                <w:szCs w:val="22"/>
              </w:rPr>
              <w:t>- Lightning Arrestor: 1650/1800 nos. target</w:t>
            </w:r>
          </w:p>
        </w:tc>
        <w:tc>
          <w:tcPr>
            <w:tcW w:w="3472" w:type="dxa"/>
          </w:tcPr>
          <w:p w14:paraId="49290752" w14:textId="77777777" w:rsidR="008B50CF" w:rsidRDefault="008B50CF" w:rsidP="00A35221">
            <w:pPr>
              <w:rPr>
                <w:rFonts w:ascii="Calibri" w:hAnsi="Calibri" w:cs="Calibri"/>
                <w:b/>
                <w:sz w:val="22"/>
                <w:szCs w:val="22"/>
              </w:rPr>
            </w:pPr>
          </w:p>
          <w:p w14:paraId="460AA350" w14:textId="77777777" w:rsidR="008B50CF" w:rsidRDefault="008B50CF" w:rsidP="00A35221">
            <w:pPr>
              <w:rPr>
                <w:rFonts w:ascii="Calibri" w:hAnsi="Calibri" w:cs="Calibri"/>
                <w:b/>
                <w:sz w:val="22"/>
                <w:szCs w:val="22"/>
              </w:rPr>
            </w:pPr>
            <w:r w:rsidRPr="00F37708">
              <w:rPr>
                <w:rFonts w:ascii="Calibri" w:hAnsi="Calibri" w:cs="Calibri"/>
                <w:b/>
                <w:noProof/>
                <w:sz w:val="22"/>
                <w:szCs w:val="22"/>
                <w:lang w:val="en-IN" w:eastAsia="en-IN"/>
              </w:rPr>
              <w:drawing>
                <wp:inline distT="0" distB="0" distL="0" distR="0" wp14:anchorId="6EE9AB76" wp14:editId="1563B50C">
                  <wp:extent cx="1713865" cy="1876425"/>
                  <wp:effectExtent l="76200" t="76200" r="133985" b="142875"/>
                  <wp:docPr id="212922813" name="Picture 13">
                    <a:extLst xmlns:a="http://schemas.openxmlformats.org/drawingml/2006/main">
                      <a:ext uri="{FF2B5EF4-FFF2-40B4-BE49-F238E27FC236}">
                        <a16:creationId xmlns:a16="http://schemas.microsoft.com/office/drawing/2014/main" id="{7BBF1B7C-779D-4AF2-858E-E45C5B4F75C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3">
                            <a:extLst>
                              <a:ext uri="{FF2B5EF4-FFF2-40B4-BE49-F238E27FC236}">
                                <a16:creationId xmlns:a16="http://schemas.microsoft.com/office/drawing/2014/main" id="{7BBF1B7C-779D-4AF2-858E-E45C5B4F75CC}"/>
                              </a:ext>
                            </a:extLst>
                          </pic:cNvPr>
                          <pic:cNvPicPr>
                            <a:picLocks noChangeAspect="1"/>
                          </pic:cNvPicPr>
                        </pic:nvPicPr>
                        <pic:blipFill rotWithShape="1">
                          <a:blip r:embed="rId95" cstate="email">
                            <a:extLst>
                              <a:ext uri="{28A0092B-C50C-407E-A947-70E740481C1C}">
                                <a14:useLocalDpi xmlns:a14="http://schemas.microsoft.com/office/drawing/2010/main"/>
                              </a:ext>
                            </a:extLst>
                          </a:blip>
                          <a:srcRect/>
                          <a:stretch/>
                        </pic:blipFill>
                        <pic:spPr>
                          <a:xfrm>
                            <a:off x="0" y="0"/>
                            <a:ext cx="1735898" cy="1900548"/>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21281BB1" w14:textId="77777777" w:rsidR="008B50CF" w:rsidRDefault="008B50CF" w:rsidP="00A35221">
            <w:pPr>
              <w:rPr>
                <w:rFonts w:ascii="Calibri" w:hAnsi="Calibri" w:cs="Calibri"/>
                <w:b/>
                <w:sz w:val="22"/>
                <w:szCs w:val="22"/>
              </w:rPr>
            </w:pPr>
          </w:p>
          <w:p w14:paraId="1ABB10CC" w14:textId="77777777" w:rsidR="008B50CF" w:rsidRPr="00D6050D" w:rsidRDefault="008B50CF" w:rsidP="00A35221">
            <w:pPr>
              <w:rPr>
                <w:rFonts w:ascii="Calibri" w:hAnsi="Calibri" w:cs="Calibri"/>
                <w:b/>
                <w:sz w:val="22"/>
                <w:szCs w:val="22"/>
              </w:rPr>
            </w:pPr>
            <w:r w:rsidRPr="00521274">
              <w:rPr>
                <w:rFonts w:ascii="Calibri" w:hAnsi="Calibri" w:cs="Calibri"/>
                <w:b/>
                <w:noProof/>
                <w:sz w:val="22"/>
                <w:szCs w:val="22"/>
                <w:lang w:val="en-IN" w:eastAsia="en-IN"/>
              </w:rPr>
              <w:lastRenderedPageBreak/>
              <w:drawing>
                <wp:inline distT="0" distB="0" distL="0" distR="0" wp14:anchorId="2D25457B" wp14:editId="09E75B66">
                  <wp:extent cx="1762125" cy="1743075"/>
                  <wp:effectExtent l="76200" t="76200" r="142875" b="142875"/>
                  <wp:docPr id="212922815" name="Picture 3">
                    <a:extLst xmlns:a="http://schemas.openxmlformats.org/drawingml/2006/main">
                      <a:ext uri="{FF2B5EF4-FFF2-40B4-BE49-F238E27FC236}">
                        <a16:creationId xmlns:a16="http://schemas.microsoft.com/office/drawing/2014/main" id="{479A34DB-CC14-45B7-B001-BD778B3F84E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479A34DB-CC14-45B7-B001-BD778B3F84EF}"/>
                              </a:ext>
                            </a:extLst>
                          </pic:cNvPr>
                          <pic:cNvPicPr>
                            <a:picLocks noChangeAspect="1"/>
                          </pic:cNvPicPr>
                        </pic:nvPicPr>
                        <pic:blipFill rotWithShape="1">
                          <a:blip r:embed="rId96" cstate="email">
                            <a:extLst>
                              <a:ext uri="{28A0092B-C50C-407E-A947-70E740481C1C}">
                                <a14:useLocalDpi xmlns:a14="http://schemas.microsoft.com/office/drawing/2010/main"/>
                              </a:ext>
                            </a:extLst>
                          </a:blip>
                          <a:srcRect l="23011" t="4763" b="9971"/>
                          <a:stretch/>
                        </pic:blipFill>
                        <pic:spPr bwMode="auto">
                          <a:xfrm>
                            <a:off x="0" y="0"/>
                            <a:ext cx="1778243" cy="1759019"/>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a:extLst>
                            <a:ext uri="{53640926-AAD7-44D8-BBD7-CCE9431645EC}">
                              <a14:shadowObscured xmlns:a14="http://schemas.microsoft.com/office/drawing/2010/main"/>
                            </a:ext>
                          </a:extLst>
                        </pic:spPr>
                      </pic:pic>
                    </a:graphicData>
                  </a:graphic>
                </wp:inline>
              </w:drawing>
            </w:r>
          </w:p>
        </w:tc>
      </w:tr>
      <w:tr w:rsidR="008B50CF" w:rsidRPr="00D6050D" w14:paraId="4BE9FA08" w14:textId="77777777" w:rsidTr="00A35221">
        <w:trPr>
          <w:trHeight w:val="2343"/>
        </w:trPr>
        <w:tc>
          <w:tcPr>
            <w:tcW w:w="2689" w:type="dxa"/>
            <w:vAlign w:val="center"/>
          </w:tcPr>
          <w:p w14:paraId="6F109E6B" w14:textId="77777777" w:rsidR="008B50CF" w:rsidRPr="00D6050D" w:rsidRDefault="008B50CF" w:rsidP="00A35221">
            <w:pPr>
              <w:rPr>
                <w:rFonts w:ascii="Calibri" w:hAnsi="Calibri" w:cs="Calibri"/>
                <w:b/>
                <w:sz w:val="22"/>
                <w:szCs w:val="22"/>
                <w:u w:val="single"/>
              </w:rPr>
            </w:pPr>
            <w:r w:rsidRPr="00D6050D">
              <w:rPr>
                <w:rFonts w:ascii="Calibri" w:hAnsi="Calibri" w:cs="Calibri"/>
                <w:b/>
                <w:bCs/>
                <w:sz w:val="22"/>
                <w:szCs w:val="22"/>
                <w:u w:val="single"/>
              </w:rPr>
              <w:lastRenderedPageBreak/>
              <w:t>Network Refurbishment</w:t>
            </w:r>
          </w:p>
          <w:p w14:paraId="6B9A652E" w14:textId="77777777" w:rsidR="008B50CF" w:rsidRPr="00D6050D" w:rsidRDefault="008B50CF" w:rsidP="00A35221">
            <w:pPr>
              <w:rPr>
                <w:rFonts w:ascii="Calibri" w:hAnsi="Calibri" w:cs="Calibri"/>
                <w:b/>
                <w:sz w:val="22"/>
                <w:szCs w:val="22"/>
              </w:rPr>
            </w:pPr>
          </w:p>
          <w:p w14:paraId="1D288EB9" w14:textId="77777777" w:rsidR="008B50CF" w:rsidRPr="00D6050D" w:rsidRDefault="008B50CF" w:rsidP="00A35221">
            <w:pPr>
              <w:rPr>
                <w:rFonts w:ascii="Calibri" w:hAnsi="Calibri" w:cs="Calibri"/>
                <w:sz w:val="22"/>
                <w:szCs w:val="22"/>
              </w:rPr>
            </w:pPr>
            <w:r w:rsidRPr="00D6050D">
              <w:rPr>
                <w:rFonts w:ascii="Calibri" w:hAnsi="Calibri" w:cs="Calibri"/>
                <w:sz w:val="22"/>
                <w:szCs w:val="22"/>
              </w:rPr>
              <w:t>A) 33kV &amp; 11kV line conductor upgradation</w:t>
            </w:r>
          </w:p>
          <w:p w14:paraId="37F8102C" w14:textId="77777777" w:rsidR="008B50CF" w:rsidRPr="00D6050D" w:rsidRDefault="008B50CF" w:rsidP="00A35221">
            <w:pPr>
              <w:rPr>
                <w:rFonts w:ascii="Calibri" w:hAnsi="Calibri" w:cs="Calibri"/>
                <w:sz w:val="22"/>
                <w:szCs w:val="22"/>
              </w:rPr>
            </w:pPr>
            <w:r w:rsidRPr="00D6050D">
              <w:rPr>
                <w:rFonts w:ascii="Calibri" w:hAnsi="Calibri" w:cs="Calibri"/>
                <w:sz w:val="22"/>
                <w:szCs w:val="22"/>
              </w:rPr>
              <w:t>B) Distribution Substation refurbishment/ revamp</w:t>
            </w:r>
          </w:p>
          <w:p w14:paraId="42912DF8" w14:textId="77777777" w:rsidR="008B50CF" w:rsidRPr="00D6050D" w:rsidRDefault="008B50CF" w:rsidP="00A35221">
            <w:pPr>
              <w:rPr>
                <w:rFonts w:ascii="Calibri" w:hAnsi="Calibri" w:cs="Calibri"/>
                <w:sz w:val="22"/>
                <w:szCs w:val="22"/>
              </w:rPr>
            </w:pPr>
            <w:r w:rsidRPr="00D6050D">
              <w:rPr>
                <w:rFonts w:ascii="Calibri" w:hAnsi="Calibri" w:cs="Calibri"/>
                <w:sz w:val="22"/>
                <w:szCs w:val="22"/>
              </w:rPr>
              <w:t>HT/LT protection, Fencing, LA.</w:t>
            </w:r>
          </w:p>
          <w:p w14:paraId="569D4F98" w14:textId="77777777" w:rsidR="008B50CF" w:rsidRPr="00D6050D" w:rsidRDefault="008B50CF" w:rsidP="00A35221">
            <w:pPr>
              <w:rPr>
                <w:rFonts w:ascii="Calibri" w:hAnsi="Calibri" w:cs="Calibri"/>
                <w:b/>
                <w:sz w:val="22"/>
                <w:szCs w:val="22"/>
              </w:rPr>
            </w:pPr>
            <w:r w:rsidRPr="00D6050D">
              <w:rPr>
                <w:rFonts w:ascii="Calibri" w:hAnsi="Calibri" w:cs="Calibri"/>
                <w:sz w:val="22"/>
                <w:szCs w:val="22"/>
              </w:rPr>
              <w:t>- Mobile Transformer Trolley</w:t>
            </w:r>
          </w:p>
        </w:tc>
        <w:tc>
          <w:tcPr>
            <w:tcW w:w="2906" w:type="dxa"/>
            <w:shd w:val="clear" w:color="auto" w:fill="FFFFFF" w:themeFill="background1"/>
            <w:vAlign w:val="center"/>
          </w:tcPr>
          <w:p w14:paraId="6C036584" w14:textId="77777777" w:rsidR="008B50CF" w:rsidRPr="007D265E" w:rsidRDefault="008B50CF" w:rsidP="00A35221">
            <w:pPr>
              <w:rPr>
                <w:rFonts w:ascii="Calibri" w:hAnsi="Calibri" w:cs="Calibri"/>
                <w:sz w:val="22"/>
                <w:szCs w:val="22"/>
              </w:rPr>
            </w:pPr>
            <w:r w:rsidRPr="007D265E">
              <w:rPr>
                <w:rFonts w:ascii="Calibri" w:hAnsi="Calibri" w:cs="Calibri"/>
                <w:sz w:val="22"/>
                <w:szCs w:val="22"/>
              </w:rPr>
              <w:t xml:space="preserve">A) 33kV refurbishment: 263km (133 </w:t>
            </w:r>
            <w:proofErr w:type="spellStart"/>
            <w:r w:rsidRPr="007D265E">
              <w:rPr>
                <w:rFonts w:ascii="Calibri" w:hAnsi="Calibri" w:cs="Calibri"/>
                <w:sz w:val="22"/>
                <w:szCs w:val="22"/>
              </w:rPr>
              <w:t>Ckm</w:t>
            </w:r>
            <w:proofErr w:type="spellEnd"/>
            <w:r w:rsidRPr="007D265E">
              <w:rPr>
                <w:rFonts w:ascii="Calibri" w:hAnsi="Calibri" w:cs="Calibri"/>
                <w:sz w:val="22"/>
                <w:szCs w:val="22"/>
              </w:rPr>
              <w:t xml:space="preserve"> Achieved)</w:t>
            </w:r>
          </w:p>
          <w:p w14:paraId="595A56FD" w14:textId="77777777" w:rsidR="008B50CF" w:rsidRPr="007D265E" w:rsidRDefault="008B50CF" w:rsidP="00A35221">
            <w:pPr>
              <w:rPr>
                <w:rFonts w:ascii="Calibri" w:hAnsi="Calibri" w:cs="Calibri"/>
                <w:sz w:val="22"/>
                <w:szCs w:val="22"/>
              </w:rPr>
            </w:pPr>
            <w:r w:rsidRPr="007D265E">
              <w:rPr>
                <w:rFonts w:ascii="Calibri" w:hAnsi="Calibri" w:cs="Calibri"/>
                <w:sz w:val="22"/>
                <w:szCs w:val="22"/>
              </w:rPr>
              <w:t>11kV refurbishment: 325</w:t>
            </w:r>
            <w:proofErr w:type="gramStart"/>
            <w:r w:rsidRPr="007D265E">
              <w:rPr>
                <w:rFonts w:ascii="Calibri" w:hAnsi="Calibri" w:cs="Calibri"/>
                <w:sz w:val="22"/>
                <w:szCs w:val="22"/>
              </w:rPr>
              <w:t>km(</w:t>
            </w:r>
            <w:proofErr w:type="gramEnd"/>
            <w:r w:rsidRPr="007D265E">
              <w:rPr>
                <w:rFonts w:ascii="Calibri" w:hAnsi="Calibri" w:cs="Calibri"/>
                <w:sz w:val="22"/>
                <w:szCs w:val="22"/>
              </w:rPr>
              <w:t xml:space="preserve">460.46 </w:t>
            </w:r>
            <w:proofErr w:type="spellStart"/>
            <w:r w:rsidRPr="007D265E">
              <w:rPr>
                <w:rFonts w:ascii="Calibri" w:hAnsi="Calibri" w:cs="Calibri"/>
                <w:sz w:val="22"/>
                <w:szCs w:val="22"/>
              </w:rPr>
              <w:t>Ckm</w:t>
            </w:r>
            <w:proofErr w:type="spellEnd"/>
            <w:r w:rsidRPr="007D265E">
              <w:rPr>
                <w:rFonts w:ascii="Calibri" w:hAnsi="Calibri" w:cs="Calibri"/>
                <w:sz w:val="22"/>
                <w:szCs w:val="22"/>
              </w:rPr>
              <w:t xml:space="preserve"> Achieved)</w:t>
            </w:r>
          </w:p>
          <w:p w14:paraId="79C8003F" w14:textId="77777777" w:rsidR="008B50CF" w:rsidRPr="007D265E" w:rsidRDefault="008B50CF" w:rsidP="00A35221">
            <w:pPr>
              <w:rPr>
                <w:rFonts w:ascii="Calibri" w:hAnsi="Calibri" w:cs="Calibri"/>
                <w:sz w:val="22"/>
                <w:szCs w:val="22"/>
              </w:rPr>
            </w:pPr>
            <w:r w:rsidRPr="007D265E">
              <w:rPr>
                <w:rFonts w:ascii="Calibri" w:hAnsi="Calibri" w:cs="Calibri"/>
                <w:sz w:val="22"/>
                <w:szCs w:val="22"/>
              </w:rPr>
              <w:t>B)  DSS Refurbished: 170/406 nos. target (289 Nos Achieved)</w:t>
            </w:r>
          </w:p>
          <w:p w14:paraId="08BE7703" w14:textId="77777777" w:rsidR="008B50CF" w:rsidRPr="007D265E" w:rsidRDefault="008B50CF" w:rsidP="00A35221">
            <w:pPr>
              <w:rPr>
                <w:rFonts w:ascii="Calibri" w:hAnsi="Calibri" w:cs="Calibri"/>
                <w:b/>
                <w:sz w:val="22"/>
                <w:szCs w:val="22"/>
              </w:rPr>
            </w:pPr>
            <w:r w:rsidRPr="007D265E">
              <w:rPr>
                <w:rFonts w:ascii="Calibri" w:hAnsi="Calibri" w:cs="Calibri"/>
                <w:sz w:val="22"/>
                <w:szCs w:val="22"/>
              </w:rPr>
              <w:t>Mobile DTR: 09/09 nos. target</w:t>
            </w:r>
          </w:p>
        </w:tc>
        <w:tc>
          <w:tcPr>
            <w:tcW w:w="3472" w:type="dxa"/>
          </w:tcPr>
          <w:p w14:paraId="0DE866F7" w14:textId="77777777" w:rsidR="008B50CF" w:rsidRPr="0043768A" w:rsidRDefault="008B50CF" w:rsidP="00A35221">
            <w:pPr>
              <w:rPr>
                <w:rFonts w:ascii="Calibri" w:hAnsi="Calibri" w:cs="Calibri"/>
                <w:b/>
                <w:sz w:val="14"/>
                <w:szCs w:val="14"/>
              </w:rPr>
            </w:pPr>
          </w:p>
          <w:p w14:paraId="27C2C00A" w14:textId="77777777" w:rsidR="008B50CF" w:rsidRDefault="008B50CF" w:rsidP="00A35221">
            <w:pPr>
              <w:rPr>
                <w:rFonts w:ascii="Calibri" w:hAnsi="Calibri" w:cs="Calibri"/>
                <w:b/>
                <w:sz w:val="22"/>
                <w:szCs w:val="22"/>
              </w:rPr>
            </w:pPr>
            <w:r w:rsidRPr="0043768A">
              <w:rPr>
                <w:rFonts w:ascii="Calibri" w:hAnsi="Calibri" w:cs="Calibri"/>
                <w:b/>
                <w:noProof/>
                <w:sz w:val="22"/>
                <w:szCs w:val="22"/>
                <w:lang w:val="en-IN" w:eastAsia="en-IN"/>
              </w:rPr>
              <w:drawing>
                <wp:inline distT="0" distB="0" distL="0" distR="0" wp14:anchorId="0BAA181F" wp14:editId="176C1C5B">
                  <wp:extent cx="1714500" cy="1333500"/>
                  <wp:effectExtent l="76200" t="76200" r="133350" b="133350"/>
                  <wp:docPr id="92574912" name="Picture 44" descr="C:\Users\Sasanka.Tripathy\AppData\Local\Microsoft\Windows\INetCache\Content.Outlook\PV8C8T4X\IMG-20230804-WA0011.jpg">
                    <a:extLst xmlns:a="http://schemas.openxmlformats.org/drawingml/2006/main">
                      <a:ext uri="{FF2B5EF4-FFF2-40B4-BE49-F238E27FC236}">
                        <a16:creationId xmlns:a16="http://schemas.microsoft.com/office/drawing/2014/main" id="{F3176C34-9B11-4640-8971-FC32E0A8F36B}"/>
                      </a:ext>
                    </a:extLst>
                  </wp:docPr>
                  <wp:cNvGraphicFramePr/>
                  <a:graphic xmlns:a="http://schemas.openxmlformats.org/drawingml/2006/main">
                    <a:graphicData uri="http://schemas.openxmlformats.org/drawingml/2006/picture">
                      <pic:pic xmlns:pic="http://schemas.openxmlformats.org/drawingml/2006/picture">
                        <pic:nvPicPr>
                          <pic:cNvPr id="45" name="Picture 44" descr="C:\Users\Sasanka.Tripathy\AppData\Local\Microsoft\Windows\INetCache\Content.Outlook\PV8C8T4X\IMG-20230804-WA0011.jpg">
                            <a:extLst>
                              <a:ext uri="{FF2B5EF4-FFF2-40B4-BE49-F238E27FC236}">
                                <a16:creationId xmlns:a16="http://schemas.microsoft.com/office/drawing/2014/main" id="{F3176C34-9B11-4640-8971-FC32E0A8F36B}"/>
                              </a:ext>
                            </a:extLst>
                          </pic:cNvPr>
                          <pic:cNvPicPr/>
                        </pic:nvPicPr>
                        <pic:blipFill rotWithShape="1">
                          <a:blip r:embed="rId97" cstate="email">
                            <a:extLst>
                              <a:ext uri="{28A0092B-C50C-407E-A947-70E740481C1C}">
                                <a14:useLocalDpi xmlns:a14="http://schemas.microsoft.com/office/drawing/2010/main"/>
                              </a:ext>
                            </a:extLst>
                          </a:blip>
                          <a:srcRect/>
                          <a:stretch/>
                        </pic:blipFill>
                        <pic:spPr bwMode="auto">
                          <a:xfrm>
                            <a:off x="0" y="0"/>
                            <a:ext cx="1715012" cy="1333898"/>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754DFCD9" w14:textId="77777777" w:rsidR="008B50CF" w:rsidRPr="0043768A" w:rsidRDefault="008B50CF" w:rsidP="00A35221">
            <w:pPr>
              <w:rPr>
                <w:rFonts w:ascii="Calibri" w:hAnsi="Calibri" w:cs="Calibri"/>
                <w:b/>
                <w:sz w:val="10"/>
                <w:szCs w:val="10"/>
              </w:rPr>
            </w:pPr>
          </w:p>
        </w:tc>
      </w:tr>
      <w:tr w:rsidR="008B50CF" w:rsidRPr="00D6050D" w14:paraId="4712001F" w14:textId="77777777" w:rsidTr="00A35221">
        <w:trPr>
          <w:trHeight w:val="3364"/>
        </w:trPr>
        <w:tc>
          <w:tcPr>
            <w:tcW w:w="2689" w:type="dxa"/>
            <w:vAlign w:val="center"/>
          </w:tcPr>
          <w:p w14:paraId="6A29DFA4" w14:textId="77777777" w:rsidR="008B50CF" w:rsidRPr="00D6050D" w:rsidRDefault="008B50CF" w:rsidP="00A35221">
            <w:pPr>
              <w:rPr>
                <w:rFonts w:ascii="Calibri" w:hAnsi="Calibri" w:cs="Calibri"/>
                <w:b/>
                <w:sz w:val="22"/>
                <w:szCs w:val="22"/>
                <w:u w:val="single"/>
              </w:rPr>
            </w:pPr>
            <w:r w:rsidRPr="00D6050D">
              <w:rPr>
                <w:rFonts w:ascii="Calibri" w:hAnsi="Calibri" w:cs="Calibri"/>
                <w:b/>
                <w:bCs/>
                <w:sz w:val="22"/>
                <w:szCs w:val="22"/>
                <w:u w:val="single"/>
              </w:rPr>
              <w:t>N-1 redundancy</w:t>
            </w:r>
          </w:p>
          <w:p w14:paraId="63759581" w14:textId="77777777" w:rsidR="008B50CF" w:rsidRPr="00D6050D" w:rsidRDefault="008B50CF" w:rsidP="00A35221">
            <w:pPr>
              <w:rPr>
                <w:rFonts w:ascii="Calibri" w:hAnsi="Calibri" w:cs="Calibri"/>
                <w:sz w:val="22"/>
                <w:szCs w:val="22"/>
              </w:rPr>
            </w:pPr>
            <w:r w:rsidRPr="00D6050D">
              <w:rPr>
                <w:rFonts w:ascii="Calibri" w:hAnsi="Calibri" w:cs="Calibri"/>
                <w:bCs/>
                <w:sz w:val="22"/>
                <w:szCs w:val="22"/>
              </w:rPr>
              <w:t>A) N-1 redundancy at PSS level</w:t>
            </w:r>
          </w:p>
          <w:p w14:paraId="30F56A87" w14:textId="77777777" w:rsidR="008B50CF" w:rsidRPr="00D6050D" w:rsidRDefault="008B50CF" w:rsidP="00A35221">
            <w:pPr>
              <w:rPr>
                <w:rFonts w:ascii="Calibri" w:hAnsi="Calibri" w:cs="Calibri"/>
                <w:sz w:val="22"/>
                <w:szCs w:val="22"/>
              </w:rPr>
            </w:pPr>
            <w:r w:rsidRPr="00D6050D">
              <w:rPr>
                <w:rFonts w:ascii="Calibri" w:hAnsi="Calibri" w:cs="Calibri"/>
                <w:bCs/>
                <w:sz w:val="22"/>
                <w:szCs w:val="22"/>
              </w:rPr>
              <w:t xml:space="preserve">-Only 7 PSS having N-1 redundancy </w:t>
            </w:r>
          </w:p>
          <w:p w14:paraId="52048FC3" w14:textId="77777777" w:rsidR="008B50CF" w:rsidRPr="00D6050D" w:rsidRDefault="008B50CF" w:rsidP="00A35221">
            <w:pPr>
              <w:rPr>
                <w:rFonts w:ascii="Calibri" w:hAnsi="Calibri" w:cs="Calibri"/>
                <w:sz w:val="22"/>
                <w:szCs w:val="22"/>
              </w:rPr>
            </w:pPr>
            <w:r w:rsidRPr="00D6050D">
              <w:rPr>
                <w:rFonts w:ascii="Calibri" w:hAnsi="Calibri" w:cs="Calibri"/>
                <w:bCs/>
                <w:sz w:val="22"/>
                <w:szCs w:val="22"/>
              </w:rPr>
              <w:t>B)  N-1 redundancy at PTR level</w:t>
            </w:r>
          </w:p>
          <w:p w14:paraId="140C1A10" w14:textId="77777777" w:rsidR="008B50CF" w:rsidRPr="00D6050D" w:rsidRDefault="008B50CF" w:rsidP="00A35221">
            <w:pPr>
              <w:rPr>
                <w:rFonts w:ascii="Calibri" w:hAnsi="Calibri" w:cs="Calibri"/>
                <w:sz w:val="22"/>
                <w:szCs w:val="22"/>
              </w:rPr>
            </w:pPr>
            <w:r w:rsidRPr="00D6050D">
              <w:rPr>
                <w:rFonts w:ascii="Calibri" w:hAnsi="Calibri" w:cs="Calibri"/>
                <w:bCs/>
                <w:sz w:val="22"/>
                <w:szCs w:val="22"/>
              </w:rPr>
              <w:t>-17 PSS having single PTR- non</w:t>
            </w:r>
            <w:r>
              <w:rPr>
                <w:rFonts w:ascii="Calibri" w:hAnsi="Calibri" w:cs="Calibri"/>
                <w:bCs/>
                <w:sz w:val="22"/>
                <w:szCs w:val="22"/>
              </w:rPr>
              <w:t>-</w:t>
            </w:r>
            <w:r w:rsidRPr="00D6050D">
              <w:rPr>
                <w:rFonts w:ascii="Calibri" w:hAnsi="Calibri" w:cs="Calibri"/>
                <w:bCs/>
                <w:sz w:val="22"/>
                <w:szCs w:val="22"/>
              </w:rPr>
              <w:t>compliance to N-1 criteria.</w:t>
            </w:r>
          </w:p>
          <w:p w14:paraId="2F5092B5" w14:textId="77777777" w:rsidR="008B50CF" w:rsidRPr="00D6050D" w:rsidRDefault="008B50CF" w:rsidP="00A35221">
            <w:pPr>
              <w:rPr>
                <w:rFonts w:ascii="Calibri" w:hAnsi="Calibri" w:cs="Calibri"/>
                <w:b/>
                <w:sz w:val="22"/>
                <w:szCs w:val="22"/>
              </w:rPr>
            </w:pPr>
          </w:p>
        </w:tc>
        <w:tc>
          <w:tcPr>
            <w:tcW w:w="2906" w:type="dxa"/>
            <w:vAlign w:val="center"/>
          </w:tcPr>
          <w:p w14:paraId="4118FAC0" w14:textId="77777777" w:rsidR="008B50CF" w:rsidRPr="007D265E" w:rsidRDefault="008B50CF" w:rsidP="00A35221">
            <w:pPr>
              <w:rPr>
                <w:rFonts w:ascii="Calibri" w:hAnsi="Calibri" w:cs="Calibri"/>
                <w:sz w:val="22"/>
                <w:szCs w:val="22"/>
              </w:rPr>
            </w:pPr>
            <w:r w:rsidRPr="007D265E">
              <w:rPr>
                <w:rFonts w:ascii="Calibri" w:hAnsi="Calibri" w:cs="Calibri"/>
                <w:sz w:val="22"/>
                <w:szCs w:val="22"/>
              </w:rPr>
              <w:t>A) N-1 redundancy available: 28/98 PSS target</w:t>
            </w:r>
          </w:p>
          <w:p w14:paraId="76587F26" w14:textId="77777777" w:rsidR="008B50CF" w:rsidRPr="007D265E" w:rsidRDefault="008B50CF" w:rsidP="00A35221">
            <w:pPr>
              <w:rPr>
                <w:rFonts w:ascii="Calibri" w:hAnsi="Calibri" w:cs="Calibri"/>
                <w:sz w:val="22"/>
                <w:szCs w:val="22"/>
              </w:rPr>
            </w:pPr>
            <w:r w:rsidRPr="007D265E">
              <w:rPr>
                <w:rFonts w:ascii="Calibri" w:hAnsi="Calibri" w:cs="Calibri"/>
                <w:sz w:val="22"/>
                <w:szCs w:val="22"/>
              </w:rPr>
              <w:t>-Provision for backup restoration in fault/ disaster condition</w:t>
            </w:r>
          </w:p>
          <w:p w14:paraId="3C12C81F" w14:textId="77777777" w:rsidR="008B50CF" w:rsidRPr="007D265E" w:rsidRDefault="008B50CF" w:rsidP="00A35221">
            <w:pPr>
              <w:rPr>
                <w:rFonts w:ascii="Calibri" w:hAnsi="Calibri" w:cs="Calibri"/>
                <w:b/>
                <w:sz w:val="22"/>
                <w:szCs w:val="22"/>
              </w:rPr>
            </w:pPr>
            <w:r w:rsidRPr="007D265E">
              <w:rPr>
                <w:rFonts w:ascii="Calibri" w:hAnsi="Calibri" w:cs="Calibri"/>
                <w:sz w:val="22"/>
                <w:szCs w:val="22"/>
              </w:rPr>
              <w:t>B) Additional 15 New 5MVA PTR installed to ensure N-1 redundancy</w:t>
            </w:r>
          </w:p>
        </w:tc>
        <w:tc>
          <w:tcPr>
            <w:tcW w:w="3472" w:type="dxa"/>
          </w:tcPr>
          <w:p w14:paraId="379415B8" w14:textId="77777777" w:rsidR="008B50CF" w:rsidRPr="00D6050D" w:rsidRDefault="008B50CF" w:rsidP="00A35221">
            <w:pPr>
              <w:rPr>
                <w:rFonts w:ascii="Calibri" w:hAnsi="Calibri" w:cs="Calibri"/>
                <w:b/>
                <w:sz w:val="22"/>
                <w:szCs w:val="22"/>
              </w:rPr>
            </w:pPr>
            <w:r w:rsidRPr="00C41CF1">
              <w:rPr>
                <w:rFonts w:ascii="Calibri" w:hAnsi="Calibri" w:cs="Calibri"/>
                <w:b/>
                <w:noProof/>
                <w:sz w:val="22"/>
                <w:szCs w:val="22"/>
                <w:lang w:val="en-IN" w:eastAsia="en-IN"/>
              </w:rPr>
              <w:drawing>
                <wp:inline distT="0" distB="0" distL="0" distR="0" wp14:anchorId="2988804A" wp14:editId="74AE5751">
                  <wp:extent cx="1771015" cy="1885950"/>
                  <wp:effectExtent l="76200" t="76200" r="133985" b="133350"/>
                  <wp:docPr id="92574913" name="Picture 925749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8"/>
                          <a:stretch>
                            <a:fillRect/>
                          </a:stretch>
                        </pic:blipFill>
                        <pic:spPr>
                          <a:xfrm>
                            <a:off x="0" y="0"/>
                            <a:ext cx="1787257" cy="1903246"/>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tc>
      </w:tr>
    </w:tbl>
    <w:p w14:paraId="189B7BA8" w14:textId="77777777" w:rsidR="008B50CF" w:rsidRDefault="008B50CF" w:rsidP="008B50CF">
      <w:pPr>
        <w:rPr>
          <w:rFonts w:ascii="Calibri" w:hAnsi="Calibri" w:cs="Calibri"/>
          <w:b/>
          <w:sz w:val="28"/>
          <w:szCs w:val="22"/>
        </w:rPr>
      </w:pPr>
    </w:p>
    <w:p w14:paraId="1FE3A012" w14:textId="77777777" w:rsidR="008B50CF" w:rsidRDefault="008B50CF" w:rsidP="008B50CF">
      <w:pPr>
        <w:ind w:left="426" w:hanging="426"/>
        <w:rPr>
          <w:rFonts w:ascii="Calibri" w:hAnsi="Calibri" w:cs="Calibri"/>
          <w:b/>
          <w:sz w:val="28"/>
          <w:szCs w:val="22"/>
        </w:rPr>
      </w:pPr>
      <w:r>
        <w:rPr>
          <w:rFonts w:ascii="Calibri" w:hAnsi="Calibri" w:cs="Calibri"/>
          <w:b/>
          <w:sz w:val="28"/>
          <w:szCs w:val="22"/>
        </w:rPr>
        <w:t xml:space="preserve">       </w:t>
      </w:r>
    </w:p>
    <w:p w14:paraId="7A808350" w14:textId="77777777" w:rsidR="008B50CF" w:rsidRDefault="008B50CF" w:rsidP="008B50CF">
      <w:pPr>
        <w:ind w:left="426" w:hanging="426"/>
        <w:rPr>
          <w:rFonts w:ascii="Calibri" w:hAnsi="Calibri" w:cs="Calibri"/>
          <w:b/>
          <w:bCs/>
        </w:rPr>
      </w:pPr>
      <w:r w:rsidRPr="0E3E11BB">
        <w:rPr>
          <w:rFonts w:ascii="Calibri" w:hAnsi="Calibri" w:cs="Calibri"/>
          <w:b/>
          <w:bCs/>
        </w:rPr>
        <w:t xml:space="preserve"> </w:t>
      </w:r>
    </w:p>
    <w:p w14:paraId="0AB7A807" w14:textId="77777777" w:rsidR="0025136B" w:rsidRDefault="008B50CF" w:rsidP="008B50CF">
      <w:pPr>
        <w:ind w:left="426"/>
        <w:rPr>
          <w:rFonts w:ascii="Calibri" w:hAnsi="Calibri" w:cs="Calibri"/>
          <w:b/>
          <w:szCs w:val="22"/>
        </w:rPr>
      </w:pPr>
      <w:r>
        <w:rPr>
          <w:rFonts w:ascii="Calibri" w:hAnsi="Calibri" w:cs="Calibri"/>
          <w:b/>
          <w:szCs w:val="22"/>
        </w:rPr>
        <w:t xml:space="preserve"> </w:t>
      </w:r>
    </w:p>
    <w:p w14:paraId="2F3A9DC8" w14:textId="3FE018F3" w:rsidR="008B50CF" w:rsidRDefault="008B50CF" w:rsidP="008B50CF">
      <w:pPr>
        <w:ind w:left="426"/>
        <w:rPr>
          <w:rFonts w:ascii="Calibri" w:hAnsi="Calibri" w:cs="Calibri"/>
          <w:b/>
          <w:sz w:val="28"/>
          <w:szCs w:val="22"/>
        </w:rPr>
      </w:pPr>
      <w:r>
        <w:rPr>
          <w:rFonts w:ascii="Calibri" w:hAnsi="Calibri" w:cs="Calibri"/>
          <w:b/>
          <w:szCs w:val="22"/>
        </w:rPr>
        <w:t xml:space="preserve"> </w:t>
      </w:r>
      <w:r w:rsidRPr="005F3180">
        <w:rPr>
          <w:rFonts w:ascii="Calibri" w:hAnsi="Calibri" w:cs="Calibri"/>
          <w:b/>
          <w:szCs w:val="22"/>
        </w:rPr>
        <w:t>6.</w:t>
      </w:r>
      <w:r w:rsidR="00EF24C0">
        <w:rPr>
          <w:rFonts w:ascii="Calibri" w:hAnsi="Calibri" w:cs="Calibri"/>
          <w:b/>
          <w:szCs w:val="22"/>
        </w:rPr>
        <w:t>2.4</w:t>
      </w:r>
      <w:r w:rsidRPr="005F3180">
        <w:rPr>
          <w:rFonts w:ascii="Calibri" w:hAnsi="Calibri" w:cs="Calibri"/>
          <w:b/>
          <w:szCs w:val="22"/>
        </w:rPr>
        <w:t xml:space="preserve"> Load Growth:</w:t>
      </w:r>
    </w:p>
    <w:p w14:paraId="76C3D619" w14:textId="77777777" w:rsidR="008B50CF" w:rsidRPr="00D6050D" w:rsidRDefault="008B50CF" w:rsidP="008B50CF">
      <w:pPr>
        <w:rPr>
          <w:rFonts w:ascii="Calibri" w:hAnsi="Calibri" w:cs="Calibri"/>
          <w:b/>
          <w:sz w:val="22"/>
          <w:szCs w:val="22"/>
        </w:rPr>
      </w:pPr>
    </w:p>
    <w:tbl>
      <w:tblPr>
        <w:tblStyle w:val="TableGrid2"/>
        <w:tblW w:w="9128" w:type="dxa"/>
        <w:tblInd w:w="562" w:type="dxa"/>
        <w:tblLook w:val="04A0" w:firstRow="1" w:lastRow="0" w:firstColumn="1" w:lastColumn="0" w:noHBand="0" w:noVBand="1"/>
      </w:tblPr>
      <w:tblGrid>
        <w:gridCol w:w="2616"/>
        <w:gridCol w:w="2876"/>
        <w:gridCol w:w="3636"/>
      </w:tblGrid>
      <w:tr w:rsidR="008B50CF" w:rsidRPr="00D6050D" w14:paraId="1BB7EE3A" w14:textId="77777777" w:rsidTr="00A35221">
        <w:trPr>
          <w:trHeight w:val="337"/>
        </w:trPr>
        <w:tc>
          <w:tcPr>
            <w:tcW w:w="2694" w:type="dxa"/>
            <w:shd w:val="clear" w:color="auto" w:fill="95B3D7" w:themeFill="accent1" w:themeFillTint="99"/>
          </w:tcPr>
          <w:p w14:paraId="51F9721F" w14:textId="77777777" w:rsidR="008B50CF" w:rsidRPr="00D6050D" w:rsidRDefault="008B50CF" w:rsidP="00A35221">
            <w:pPr>
              <w:jc w:val="center"/>
              <w:rPr>
                <w:rFonts w:ascii="Calibri" w:hAnsi="Calibri" w:cs="Calibri"/>
                <w:b/>
                <w:sz w:val="22"/>
                <w:szCs w:val="22"/>
              </w:rPr>
            </w:pPr>
            <w:r w:rsidRPr="00D6050D">
              <w:rPr>
                <w:rFonts w:ascii="Calibri" w:hAnsi="Calibri" w:cs="Calibri"/>
                <w:b/>
                <w:sz w:val="22"/>
                <w:szCs w:val="22"/>
              </w:rPr>
              <w:t>Initiatives</w:t>
            </w:r>
          </w:p>
        </w:tc>
        <w:tc>
          <w:tcPr>
            <w:tcW w:w="6434" w:type="dxa"/>
            <w:gridSpan w:val="2"/>
            <w:shd w:val="clear" w:color="auto" w:fill="95B3D7" w:themeFill="accent1" w:themeFillTint="99"/>
          </w:tcPr>
          <w:p w14:paraId="699BDE9C" w14:textId="77777777" w:rsidR="008B50CF" w:rsidRPr="00D6050D" w:rsidRDefault="008B50CF" w:rsidP="00A35221">
            <w:pPr>
              <w:jc w:val="center"/>
              <w:rPr>
                <w:rFonts w:ascii="Calibri" w:hAnsi="Calibri" w:cs="Calibri"/>
                <w:b/>
                <w:sz w:val="22"/>
                <w:szCs w:val="22"/>
              </w:rPr>
            </w:pPr>
            <w:r w:rsidRPr="00D6050D">
              <w:rPr>
                <w:rFonts w:ascii="Calibri" w:hAnsi="Calibri" w:cs="Calibri"/>
                <w:b/>
                <w:sz w:val="22"/>
                <w:szCs w:val="22"/>
              </w:rPr>
              <w:t>Outcome</w:t>
            </w:r>
          </w:p>
        </w:tc>
      </w:tr>
      <w:tr w:rsidR="008B50CF" w:rsidRPr="00D6050D" w14:paraId="3DA759B1" w14:textId="77777777" w:rsidTr="00A35221">
        <w:trPr>
          <w:trHeight w:val="2759"/>
        </w:trPr>
        <w:tc>
          <w:tcPr>
            <w:tcW w:w="2694" w:type="dxa"/>
            <w:vAlign w:val="center"/>
          </w:tcPr>
          <w:p w14:paraId="7A3ADB98" w14:textId="77777777" w:rsidR="008B50CF" w:rsidRPr="00D6050D" w:rsidRDefault="008B50CF" w:rsidP="00A35221">
            <w:pPr>
              <w:rPr>
                <w:rFonts w:ascii="Calibri" w:hAnsi="Calibri" w:cs="Calibri"/>
                <w:b/>
                <w:sz w:val="22"/>
                <w:szCs w:val="22"/>
                <w:u w:val="single"/>
              </w:rPr>
            </w:pPr>
            <w:r w:rsidRPr="00D6050D">
              <w:rPr>
                <w:rFonts w:ascii="Calibri" w:hAnsi="Calibri" w:cs="Calibri"/>
                <w:b/>
                <w:sz w:val="22"/>
                <w:szCs w:val="22"/>
                <w:u w:val="single"/>
              </w:rPr>
              <w:t>Reduction of Transformer Overloading</w:t>
            </w:r>
          </w:p>
          <w:p w14:paraId="3F073CB9" w14:textId="77777777" w:rsidR="008B50CF" w:rsidRPr="00D6050D" w:rsidRDefault="008B50CF" w:rsidP="00A35221">
            <w:pPr>
              <w:rPr>
                <w:rFonts w:ascii="Calibri" w:hAnsi="Calibri" w:cs="Calibri"/>
                <w:b/>
                <w:sz w:val="22"/>
                <w:szCs w:val="22"/>
                <w:u w:val="single"/>
              </w:rPr>
            </w:pPr>
          </w:p>
          <w:p w14:paraId="13B14B45" w14:textId="77777777" w:rsidR="008B50CF" w:rsidRPr="00D6050D" w:rsidRDefault="008B50CF" w:rsidP="00A35221">
            <w:pPr>
              <w:rPr>
                <w:rFonts w:ascii="Calibri" w:hAnsi="Calibri" w:cs="Calibri"/>
                <w:sz w:val="22"/>
                <w:szCs w:val="22"/>
              </w:rPr>
            </w:pPr>
            <w:r w:rsidRPr="00D6050D">
              <w:rPr>
                <w:rFonts w:ascii="Calibri" w:hAnsi="Calibri" w:cs="Calibri"/>
                <w:sz w:val="22"/>
                <w:szCs w:val="22"/>
              </w:rPr>
              <w:t>No PTR above 80% of loading</w:t>
            </w:r>
          </w:p>
          <w:p w14:paraId="13A1432D" w14:textId="77777777" w:rsidR="008B50CF" w:rsidRPr="00D6050D" w:rsidRDefault="008B50CF" w:rsidP="00A35221">
            <w:pPr>
              <w:rPr>
                <w:rFonts w:ascii="Calibri" w:hAnsi="Calibri" w:cs="Calibri"/>
                <w:sz w:val="22"/>
                <w:szCs w:val="22"/>
              </w:rPr>
            </w:pPr>
            <w:r w:rsidRPr="00D6050D">
              <w:rPr>
                <w:rFonts w:ascii="Calibri" w:hAnsi="Calibri" w:cs="Calibri"/>
                <w:sz w:val="22"/>
                <w:szCs w:val="22"/>
              </w:rPr>
              <w:t xml:space="preserve">- 39 </w:t>
            </w:r>
            <w:proofErr w:type="spellStart"/>
            <w:r w:rsidRPr="00D6050D">
              <w:rPr>
                <w:rFonts w:ascii="Calibri" w:hAnsi="Calibri" w:cs="Calibri"/>
                <w:sz w:val="22"/>
                <w:szCs w:val="22"/>
              </w:rPr>
              <w:t>nos</w:t>
            </w:r>
            <w:proofErr w:type="spellEnd"/>
            <w:r w:rsidRPr="00D6050D">
              <w:rPr>
                <w:rFonts w:ascii="Calibri" w:hAnsi="Calibri" w:cs="Calibri"/>
                <w:sz w:val="22"/>
                <w:szCs w:val="22"/>
              </w:rPr>
              <w:t xml:space="preserve"> of PTRs were loaded beyond 80%</w:t>
            </w:r>
          </w:p>
          <w:p w14:paraId="2C9AD62A" w14:textId="77777777" w:rsidR="008B50CF" w:rsidRPr="00D6050D" w:rsidRDefault="008B50CF" w:rsidP="00A35221">
            <w:pPr>
              <w:rPr>
                <w:rFonts w:ascii="Calibri" w:hAnsi="Calibri" w:cs="Calibri"/>
                <w:b/>
                <w:sz w:val="22"/>
                <w:szCs w:val="22"/>
                <w:u w:val="single"/>
              </w:rPr>
            </w:pPr>
          </w:p>
        </w:tc>
        <w:tc>
          <w:tcPr>
            <w:tcW w:w="2972" w:type="dxa"/>
            <w:vAlign w:val="center"/>
          </w:tcPr>
          <w:p w14:paraId="4B16C14E" w14:textId="77777777" w:rsidR="008B50CF" w:rsidRPr="007D265E" w:rsidRDefault="008B50CF" w:rsidP="00A35221">
            <w:pPr>
              <w:rPr>
                <w:rFonts w:ascii="Calibri" w:hAnsi="Calibri" w:cs="Calibri"/>
                <w:sz w:val="22"/>
                <w:szCs w:val="22"/>
              </w:rPr>
            </w:pPr>
            <w:r w:rsidRPr="007D265E">
              <w:rPr>
                <w:rFonts w:ascii="Calibri" w:hAnsi="Calibri" w:cs="Calibri"/>
                <w:sz w:val="22"/>
                <w:szCs w:val="22"/>
              </w:rPr>
              <w:t>21 nos. New 8MVA PTRs installed to augment 8 &amp; 5 MVA, cascaded to augment 3.15MVA, cascaded to augment 1.6MVA</w:t>
            </w:r>
          </w:p>
          <w:p w14:paraId="4302A214" w14:textId="77777777" w:rsidR="008B50CF" w:rsidRPr="00D6050D" w:rsidRDefault="008B50CF" w:rsidP="00A35221">
            <w:pPr>
              <w:rPr>
                <w:rFonts w:ascii="Calibri" w:hAnsi="Calibri" w:cs="Calibri"/>
                <w:b/>
                <w:sz w:val="22"/>
                <w:szCs w:val="22"/>
              </w:rPr>
            </w:pPr>
            <w:r w:rsidRPr="007D265E">
              <w:rPr>
                <w:rFonts w:ascii="Calibri" w:hAnsi="Calibri" w:cs="Calibri"/>
                <w:sz w:val="22"/>
                <w:szCs w:val="22"/>
              </w:rPr>
              <w:t>- Loading of 36 PTR reduced below 80%</w:t>
            </w:r>
          </w:p>
        </w:tc>
        <w:tc>
          <w:tcPr>
            <w:tcW w:w="3462" w:type="dxa"/>
          </w:tcPr>
          <w:p w14:paraId="5710C3D0" w14:textId="77777777" w:rsidR="008B50CF" w:rsidRPr="0044572B" w:rsidRDefault="008B50CF" w:rsidP="00A35221">
            <w:pPr>
              <w:rPr>
                <w:rFonts w:ascii="Calibri" w:hAnsi="Calibri" w:cs="Calibri"/>
                <w:b/>
                <w:sz w:val="10"/>
                <w:szCs w:val="10"/>
              </w:rPr>
            </w:pPr>
          </w:p>
          <w:p w14:paraId="3934E7A4" w14:textId="77777777" w:rsidR="008B50CF" w:rsidRPr="0044572B" w:rsidRDefault="008B50CF" w:rsidP="00A35221">
            <w:pPr>
              <w:rPr>
                <w:rFonts w:ascii="Calibri" w:hAnsi="Calibri" w:cs="Calibri"/>
                <w:b/>
                <w:sz w:val="18"/>
                <w:szCs w:val="18"/>
              </w:rPr>
            </w:pPr>
            <w:r>
              <w:rPr>
                <w:noProof/>
                <w:lang w:val="en-IN" w:eastAsia="en-IN"/>
              </w:rPr>
              <w:drawing>
                <wp:inline distT="0" distB="0" distL="0" distR="0" wp14:anchorId="5F58C6B8" wp14:editId="6BCC6A44">
                  <wp:extent cx="1828800" cy="1409700"/>
                  <wp:effectExtent l="76200" t="76200" r="133350" b="133350"/>
                  <wp:docPr id="92574914" name="Picture 925749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rotWithShape="1">
                          <a:blip r:embed="rId99" cstate="print">
                            <a:extLst>
                              <a:ext uri="{28A0092B-C50C-407E-A947-70E740481C1C}">
                                <a14:useLocalDpi xmlns:a14="http://schemas.microsoft.com/office/drawing/2010/main" val="0"/>
                              </a:ext>
                            </a:extLst>
                          </a:blip>
                          <a:srcRect l="20228" t="2779" r="21162" b="19886"/>
                          <a:stretch/>
                        </pic:blipFill>
                        <pic:spPr bwMode="auto">
                          <a:xfrm>
                            <a:off x="0" y="0"/>
                            <a:ext cx="1843818" cy="1421276"/>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a:extLst>
                            <a:ext uri="{53640926-AAD7-44D8-BBD7-CCE9431645EC}">
                              <a14:shadowObscured xmlns:a14="http://schemas.microsoft.com/office/drawing/2010/main"/>
                            </a:ext>
                          </a:extLst>
                        </pic:spPr>
                      </pic:pic>
                    </a:graphicData>
                  </a:graphic>
                </wp:inline>
              </w:drawing>
            </w:r>
          </w:p>
        </w:tc>
      </w:tr>
      <w:tr w:rsidR="008B50CF" w:rsidRPr="00D6050D" w14:paraId="162508D5" w14:textId="77777777" w:rsidTr="00A35221">
        <w:trPr>
          <w:trHeight w:val="1962"/>
        </w:trPr>
        <w:tc>
          <w:tcPr>
            <w:tcW w:w="2694" w:type="dxa"/>
            <w:vAlign w:val="center"/>
          </w:tcPr>
          <w:p w14:paraId="5828B058" w14:textId="77777777" w:rsidR="008B50CF" w:rsidRPr="00D6050D" w:rsidRDefault="008B50CF" w:rsidP="00A35221">
            <w:pPr>
              <w:rPr>
                <w:rFonts w:ascii="Calibri" w:hAnsi="Calibri" w:cs="Calibri"/>
                <w:b/>
                <w:sz w:val="22"/>
                <w:szCs w:val="22"/>
                <w:u w:val="single"/>
              </w:rPr>
            </w:pPr>
            <w:r w:rsidRPr="00D6050D">
              <w:rPr>
                <w:rFonts w:ascii="Calibri" w:hAnsi="Calibri" w:cs="Calibri"/>
                <w:b/>
                <w:bCs/>
                <w:sz w:val="22"/>
                <w:szCs w:val="22"/>
                <w:u w:val="single"/>
              </w:rPr>
              <w:lastRenderedPageBreak/>
              <w:t>Length Reduction of long feeders</w:t>
            </w:r>
          </w:p>
          <w:p w14:paraId="2C020007" w14:textId="77777777" w:rsidR="008B50CF" w:rsidRPr="00003E11" w:rsidRDefault="008B50CF" w:rsidP="00A35221">
            <w:pPr>
              <w:rPr>
                <w:rFonts w:ascii="Calibri" w:hAnsi="Calibri" w:cs="Calibri"/>
                <w:b/>
                <w:sz w:val="8"/>
                <w:szCs w:val="22"/>
              </w:rPr>
            </w:pPr>
          </w:p>
          <w:p w14:paraId="63C7E123" w14:textId="77777777" w:rsidR="008B50CF" w:rsidRPr="00D6050D" w:rsidRDefault="008B50CF" w:rsidP="00A35221">
            <w:pPr>
              <w:rPr>
                <w:rFonts w:ascii="Calibri" w:hAnsi="Calibri" w:cs="Calibri"/>
                <w:sz w:val="22"/>
                <w:szCs w:val="22"/>
              </w:rPr>
            </w:pPr>
            <w:r>
              <w:rPr>
                <w:rFonts w:ascii="Calibri" w:hAnsi="Calibri" w:cs="Calibri"/>
                <w:sz w:val="22"/>
                <w:szCs w:val="22"/>
              </w:rPr>
              <w:t>-33kV lines &gt; 50 km length: 17</w:t>
            </w:r>
            <w:r w:rsidRPr="00D6050D">
              <w:rPr>
                <w:rFonts w:ascii="Calibri" w:hAnsi="Calibri" w:cs="Calibri"/>
                <w:sz w:val="22"/>
                <w:szCs w:val="22"/>
              </w:rPr>
              <w:t xml:space="preserve"> identified</w:t>
            </w:r>
          </w:p>
          <w:p w14:paraId="0614D854" w14:textId="77777777" w:rsidR="008B50CF" w:rsidRPr="00D6050D" w:rsidRDefault="008B50CF" w:rsidP="00A35221">
            <w:pPr>
              <w:rPr>
                <w:rFonts w:ascii="Calibri" w:hAnsi="Calibri" w:cs="Calibri"/>
                <w:b/>
                <w:sz w:val="22"/>
                <w:szCs w:val="22"/>
              </w:rPr>
            </w:pPr>
            <w:r>
              <w:rPr>
                <w:rFonts w:ascii="Calibri" w:hAnsi="Calibri" w:cs="Calibri"/>
                <w:sz w:val="22"/>
                <w:szCs w:val="22"/>
              </w:rPr>
              <w:t>-11kV lines &gt; 100 km length: 54</w:t>
            </w:r>
            <w:r w:rsidRPr="00D6050D">
              <w:rPr>
                <w:rFonts w:ascii="Calibri" w:hAnsi="Calibri" w:cs="Calibri"/>
                <w:sz w:val="22"/>
                <w:szCs w:val="22"/>
              </w:rPr>
              <w:t xml:space="preserve"> identified</w:t>
            </w:r>
          </w:p>
        </w:tc>
        <w:tc>
          <w:tcPr>
            <w:tcW w:w="2972" w:type="dxa"/>
            <w:vAlign w:val="center"/>
          </w:tcPr>
          <w:p w14:paraId="68BBD578" w14:textId="77777777" w:rsidR="008B50CF" w:rsidRPr="007D265E" w:rsidRDefault="008B50CF" w:rsidP="00A35221">
            <w:pPr>
              <w:rPr>
                <w:rFonts w:ascii="Calibri" w:hAnsi="Calibri" w:cs="Calibri"/>
                <w:sz w:val="22"/>
                <w:szCs w:val="22"/>
              </w:rPr>
            </w:pPr>
            <w:r w:rsidRPr="007D265E">
              <w:rPr>
                <w:rFonts w:ascii="Calibri" w:hAnsi="Calibri" w:cs="Calibri"/>
                <w:sz w:val="22"/>
                <w:szCs w:val="22"/>
              </w:rPr>
              <w:t>-33 kV line: WIP-9, YTS-8.</w:t>
            </w:r>
          </w:p>
          <w:p w14:paraId="08F95D53" w14:textId="77777777" w:rsidR="008B50CF" w:rsidRPr="007D265E" w:rsidRDefault="008B50CF" w:rsidP="00A35221">
            <w:pPr>
              <w:rPr>
                <w:rFonts w:ascii="Calibri" w:hAnsi="Calibri" w:cs="Calibri"/>
                <w:color w:val="FF0000"/>
                <w:sz w:val="22"/>
                <w:szCs w:val="22"/>
              </w:rPr>
            </w:pPr>
          </w:p>
          <w:p w14:paraId="617DEEE0" w14:textId="77777777" w:rsidR="008B50CF" w:rsidRPr="007D265E" w:rsidRDefault="008B50CF" w:rsidP="00A35221">
            <w:pPr>
              <w:rPr>
                <w:rFonts w:ascii="Calibri" w:hAnsi="Calibri" w:cs="Calibri"/>
                <w:b/>
                <w:sz w:val="22"/>
                <w:szCs w:val="22"/>
              </w:rPr>
            </w:pPr>
            <w:r w:rsidRPr="007D265E">
              <w:rPr>
                <w:rFonts w:ascii="Calibri" w:hAnsi="Calibri" w:cs="Calibri"/>
                <w:sz w:val="22"/>
                <w:szCs w:val="22"/>
              </w:rPr>
              <w:t>-11 kV lines: Completed-10, WIP-7, YTS-37.</w:t>
            </w:r>
          </w:p>
        </w:tc>
        <w:tc>
          <w:tcPr>
            <w:tcW w:w="3636" w:type="dxa"/>
          </w:tcPr>
          <w:p w14:paraId="3741EA48" w14:textId="77777777" w:rsidR="008B50CF" w:rsidRPr="00444D59" w:rsidRDefault="008B50CF" w:rsidP="00A35221">
            <w:pPr>
              <w:rPr>
                <w:rFonts w:ascii="Calibri" w:hAnsi="Calibri" w:cs="Calibri"/>
                <w:b/>
                <w:sz w:val="8"/>
                <w:szCs w:val="8"/>
              </w:rPr>
            </w:pPr>
          </w:p>
          <w:p w14:paraId="76C59D00" w14:textId="77777777" w:rsidR="008B50CF" w:rsidRDefault="008B50CF" w:rsidP="00A35221">
            <w:pPr>
              <w:rPr>
                <w:rFonts w:ascii="Calibri" w:hAnsi="Calibri" w:cs="Calibri"/>
                <w:b/>
                <w:bCs/>
                <w:sz w:val="22"/>
                <w:szCs w:val="22"/>
              </w:rPr>
            </w:pPr>
            <w:r w:rsidRPr="00521274">
              <w:rPr>
                <w:rFonts w:ascii="Calibri" w:hAnsi="Calibri" w:cs="Calibri"/>
                <w:b/>
                <w:noProof/>
                <w:sz w:val="22"/>
                <w:szCs w:val="22"/>
                <w:lang w:val="en-IN" w:eastAsia="en-IN"/>
              </w:rPr>
              <w:drawing>
                <wp:inline distT="0" distB="0" distL="0" distR="0" wp14:anchorId="1C15A259" wp14:editId="0501FCB0">
                  <wp:extent cx="1963159" cy="1781175"/>
                  <wp:effectExtent l="76200" t="76200" r="132715" b="123825"/>
                  <wp:docPr id="67" name="Picture 66">
                    <a:extLst xmlns:a="http://schemas.openxmlformats.org/drawingml/2006/main">
                      <a:ext uri="{FF2B5EF4-FFF2-40B4-BE49-F238E27FC236}">
                        <a16:creationId xmlns:a16="http://schemas.microsoft.com/office/drawing/2014/main" id="{915E7129-A388-4831-9290-864618A6576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Picture 66">
                            <a:extLst>
                              <a:ext uri="{FF2B5EF4-FFF2-40B4-BE49-F238E27FC236}">
                                <a16:creationId xmlns:a16="http://schemas.microsoft.com/office/drawing/2014/main" id="{915E7129-A388-4831-9290-864618A65761}"/>
                              </a:ext>
                            </a:extLst>
                          </pic:cNvPr>
                          <pic:cNvPicPr>
                            <a:picLocks noChangeAspect="1"/>
                          </pic:cNvPicPr>
                        </pic:nvPicPr>
                        <pic:blipFill rotWithShape="1">
                          <a:blip r:embed="rId100" cstate="email">
                            <a:extLst>
                              <a:ext uri="{28A0092B-C50C-407E-A947-70E740481C1C}">
                                <a14:useLocalDpi xmlns:a14="http://schemas.microsoft.com/office/drawing/2010/main"/>
                              </a:ext>
                            </a:extLst>
                          </a:blip>
                          <a:srcRect l="16682" t="18519"/>
                          <a:stretch/>
                        </pic:blipFill>
                        <pic:spPr bwMode="auto">
                          <a:xfrm>
                            <a:off x="0" y="0"/>
                            <a:ext cx="1992086" cy="180742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a:extLst>
                            <a:ext uri="{53640926-AAD7-44D8-BBD7-CCE9431645EC}">
                              <a14:shadowObscured xmlns:a14="http://schemas.microsoft.com/office/drawing/2010/main"/>
                            </a:ext>
                          </a:extLst>
                        </pic:spPr>
                      </pic:pic>
                    </a:graphicData>
                  </a:graphic>
                </wp:inline>
              </w:drawing>
            </w:r>
          </w:p>
        </w:tc>
      </w:tr>
      <w:tr w:rsidR="008B50CF" w:rsidRPr="00D6050D" w14:paraId="2A8AD2F8" w14:textId="77777777" w:rsidTr="00A35221">
        <w:trPr>
          <w:trHeight w:val="2342"/>
        </w:trPr>
        <w:tc>
          <w:tcPr>
            <w:tcW w:w="2694" w:type="dxa"/>
            <w:vAlign w:val="center"/>
          </w:tcPr>
          <w:p w14:paraId="25D0825C" w14:textId="77777777" w:rsidR="008B50CF" w:rsidRPr="00D6050D" w:rsidRDefault="008B50CF" w:rsidP="00A35221">
            <w:pPr>
              <w:rPr>
                <w:rFonts w:ascii="Calibri" w:hAnsi="Calibri" w:cs="Calibri"/>
                <w:b/>
                <w:sz w:val="22"/>
                <w:szCs w:val="22"/>
                <w:u w:val="single"/>
              </w:rPr>
            </w:pPr>
            <w:r w:rsidRPr="00D6050D">
              <w:rPr>
                <w:rFonts w:ascii="Calibri" w:hAnsi="Calibri" w:cs="Calibri"/>
                <w:b/>
                <w:sz w:val="22"/>
                <w:szCs w:val="22"/>
                <w:u w:val="single"/>
              </w:rPr>
              <w:t>Network capacity enhancement</w:t>
            </w:r>
          </w:p>
          <w:p w14:paraId="4B25D8FD" w14:textId="77777777" w:rsidR="008B50CF" w:rsidRPr="00D6050D" w:rsidRDefault="008B50CF" w:rsidP="00A35221">
            <w:pPr>
              <w:rPr>
                <w:rFonts w:ascii="Calibri" w:hAnsi="Calibri" w:cs="Calibri"/>
                <w:b/>
                <w:sz w:val="22"/>
                <w:szCs w:val="22"/>
                <w:u w:val="single"/>
              </w:rPr>
            </w:pPr>
          </w:p>
          <w:p w14:paraId="06024C63" w14:textId="77777777" w:rsidR="008B50CF" w:rsidRPr="00D6050D" w:rsidRDefault="008B50CF" w:rsidP="00A35221">
            <w:pPr>
              <w:rPr>
                <w:rFonts w:ascii="Calibri" w:hAnsi="Calibri" w:cs="Calibri"/>
                <w:sz w:val="22"/>
                <w:szCs w:val="22"/>
              </w:rPr>
            </w:pPr>
            <w:r w:rsidRPr="00D6050D">
              <w:rPr>
                <w:rFonts w:ascii="Calibri" w:hAnsi="Calibri" w:cs="Calibri"/>
                <w:sz w:val="22"/>
                <w:szCs w:val="22"/>
              </w:rPr>
              <w:t>-DTR augmentation: Target - 689 nos.</w:t>
            </w:r>
          </w:p>
          <w:p w14:paraId="213929B7" w14:textId="77777777" w:rsidR="008B50CF" w:rsidRPr="00D6050D" w:rsidRDefault="008B50CF" w:rsidP="00A35221">
            <w:pPr>
              <w:rPr>
                <w:rFonts w:ascii="Calibri" w:hAnsi="Calibri" w:cs="Calibri"/>
                <w:b/>
                <w:sz w:val="22"/>
                <w:szCs w:val="22"/>
                <w:u w:val="single"/>
              </w:rPr>
            </w:pPr>
            <w:r w:rsidRPr="00D6050D">
              <w:rPr>
                <w:rFonts w:ascii="Calibri" w:hAnsi="Calibri" w:cs="Calibri"/>
                <w:sz w:val="22"/>
                <w:szCs w:val="22"/>
              </w:rPr>
              <w:t>-New DTR installation: Target - 245 nos.</w:t>
            </w:r>
          </w:p>
        </w:tc>
        <w:tc>
          <w:tcPr>
            <w:tcW w:w="2972" w:type="dxa"/>
            <w:vAlign w:val="center"/>
          </w:tcPr>
          <w:p w14:paraId="29020A5A" w14:textId="77777777" w:rsidR="008B50CF" w:rsidRPr="007D265E" w:rsidRDefault="008B50CF" w:rsidP="00A35221">
            <w:pPr>
              <w:rPr>
                <w:rFonts w:ascii="Calibri" w:hAnsi="Calibri" w:cs="Calibri"/>
                <w:sz w:val="22"/>
                <w:szCs w:val="22"/>
              </w:rPr>
            </w:pPr>
            <w:r w:rsidRPr="007D265E">
              <w:rPr>
                <w:rFonts w:ascii="Calibri" w:hAnsi="Calibri" w:cs="Calibri"/>
                <w:sz w:val="22"/>
                <w:szCs w:val="22"/>
              </w:rPr>
              <w:t>-DTR augmentation: 481 Nos.</w:t>
            </w:r>
            <w:r w:rsidRPr="007D265E">
              <w:rPr>
                <w:rFonts w:ascii="Calibri" w:hAnsi="Calibri" w:cs="Calibri"/>
                <w:b/>
                <w:noProof/>
                <w:sz w:val="22"/>
                <w:szCs w:val="22"/>
                <w:lang w:val="en-IN"/>
              </w:rPr>
              <w:t xml:space="preserve"> </w:t>
            </w:r>
          </w:p>
          <w:p w14:paraId="4E53F35D" w14:textId="77777777" w:rsidR="008B50CF" w:rsidRPr="007D265E" w:rsidRDefault="008B50CF" w:rsidP="00A35221">
            <w:pPr>
              <w:rPr>
                <w:rFonts w:ascii="Calibri" w:hAnsi="Calibri" w:cs="Calibri"/>
                <w:sz w:val="22"/>
                <w:szCs w:val="22"/>
              </w:rPr>
            </w:pPr>
            <w:r w:rsidRPr="007D265E">
              <w:rPr>
                <w:rFonts w:ascii="Calibri" w:hAnsi="Calibri" w:cs="Calibri"/>
                <w:sz w:val="22"/>
                <w:szCs w:val="22"/>
              </w:rPr>
              <w:t xml:space="preserve">-New DTR installation: 231 Nos. </w:t>
            </w:r>
          </w:p>
          <w:p w14:paraId="05AC1A5E" w14:textId="77777777" w:rsidR="008B50CF" w:rsidRPr="007D265E" w:rsidRDefault="008B50CF" w:rsidP="00A35221">
            <w:pPr>
              <w:rPr>
                <w:rFonts w:ascii="Calibri" w:hAnsi="Calibri" w:cs="Calibri"/>
                <w:sz w:val="22"/>
                <w:szCs w:val="22"/>
              </w:rPr>
            </w:pPr>
            <w:r w:rsidRPr="007D265E">
              <w:rPr>
                <w:rFonts w:ascii="Calibri" w:hAnsi="Calibri" w:cs="Calibri"/>
                <w:sz w:val="22"/>
                <w:szCs w:val="22"/>
              </w:rPr>
              <w:t>-Mitigate over loading of DTs</w:t>
            </w:r>
          </w:p>
          <w:p w14:paraId="367C4AFC" w14:textId="77777777" w:rsidR="008B50CF" w:rsidRPr="007D265E" w:rsidRDefault="008B50CF" w:rsidP="00A35221">
            <w:pPr>
              <w:rPr>
                <w:rFonts w:ascii="Calibri" w:hAnsi="Calibri" w:cs="Calibri"/>
                <w:sz w:val="22"/>
                <w:szCs w:val="22"/>
              </w:rPr>
            </w:pPr>
            <w:r w:rsidRPr="007D265E">
              <w:rPr>
                <w:rFonts w:ascii="Calibri" w:hAnsi="Calibri" w:cs="Calibri"/>
                <w:sz w:val="22"/>
                <w:szCs w:val="22"/>
              </w:rPr>
              <w:t xml:space="preserve">-Creation of margin for future -load growth </w:t>
            </w:r>
          </w:p>
          <w:p w14:paraId="59558049" w14:textId="77777777" w:rsidR="008B50CF" w:rsidRPr="007D265E" w:rsidRDefault="008B50CF" w:rsidP="00A35221">
            <w:pPr>
              <w:rPr>
                <w:rFonts w:ascii="Calibri" w:hAnsi="Calibri" w:cs="Calibri"/>
                <w:sz w:val="22"/>
                <w:szCs w:val="22"/>
              </w:rPr>
            </w:pPr>
            <w:r w:rsidRPr="007D265E">
              <w:rPr>
                <w:rFonts w:ascii="Calibri" w:hAnsi="Calibri" w:cs="Calibri"/>
                <w:sz w:val="22"/>
                <w:szCs w:val="22"/>
              </w:rPr>
              <w:t>-Reduced burning of DT</w:t>
            </w:r>
          </w:p>
          <w:p w14:paraId="40274916" w14:textId="77777777" w:rsidR="008B50CF" w:rsidRPr="00D6050D" w:rsidRDefault="008B50CF" w:rsidP="00A35221">
            <w:pPr>
              <w:rPr>
                <w:rFonts w:ascii="Calibri" w:hAnsi="Calibri" w:cs="Calibri"/>
                <w:b/>
                <w:sz w:val="22"/>
                <w:szCs w:val="22"/>
              </w:rPr>
            </w:pPr>
            <w:r w:rsidRPr="007D265E">
              <w:rPr>
                <w:rFonts w:ascii="Calibri" w:hAnsi="Calibri" w:cs="Calibri"/>
                <w:sz w:val="22"/>
                <w:szCs w:val="22"/>
              </w:rPr>
              <w:t>-Improve voltage</w:t>
            </w:r>
          </w:p>
        </w:tc>
        <w:tc>
          <w:tcPr>
            <w:tcW w:w="3636" w:type="dxa"/>
          </w:tcPr>
          <w:p w14:paraId="3E2B9F4B" w14:textId="77777777" w:rsidR="008B50CF" w:rsidRDefault="008B50CF" w:rsidP="00A35221">
            <w:pPr>
              <w:rPr>
                <w:rFonts w:ascii="Calibri" w:hAnsi="Calibri" w:cs="Calibri"/>
                <w:b/>
                <w:bCs/>
                <w:sz w:val="14"/>
                <w:szCs w:val="14"/>
              </w:rPr>
            </w:pPr>
            <w:r>
              <w:rPr>
                <w:noProof/>
                <w:lang w:val="en-IN" w:eastAsia="en-IN"/>
              </w:rPr>
              <w:drawing>
                <wp:inline distT="0" distB="0" distL="0" distR="0" wp14:anchorId="3847A2F0" wp14:editId="2F42911A">
                  <wp:extent cx="1770889" cy="1495425"/>
                  <wp:effectExtent l="76200" t="76200" r="134620" b="123825"/>
                  <wp:docPr id="376876152"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pic:nvPicPr>
                        <pic:blipFill>
                          <a:blip r:embed="rId101">
                            <a:extLst>
                              <a:ext uri="{FF2B5EF4-FFF2-40B4-BE49-F238E27FC236}">
                                <a16:creationId xmlns="" xmlns:o="urn:schemas-microsoft-com:office:office" xmlns:v="urn:schemas-microsoft-com:vml" xmlns:w10="urn:schemas-microsoft-com:office:word" xmlns:w="http://schemas.openxmlformats.org/wordprocessingml/2006/main" xmlns:c="http://schemas.openxmlformats.org/drawingml/2006/chart" xmlns:a14="http://schemas.microsoft.com/office/drawing/2010/main" xmlns:a16="http://schemas.microsoft.com/office/drawing/2014/main" id="{4918F8C1-6FA3-4ADA-9261-1383D445465A}"/>
                              </a:ext>
                            </a:extLst>
                          </a:blip>
                          <a:stretch>
                            <a:fillRect/>
                          </a:stretch>
                        </pic:blipFill>
                        <pic:spPr>
                          <a:xfrm>
                            <a:off x="0" y="0"/>
                            <a:ext cx="1770889" cy="149542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tc>
      </w:tr>
      <w:tr w:rsidR="008B50CF" w:rsidRPr="00D6050D" w14:paraId="4F2E0CD6" w14:textId="77777777" w:rsidTr="00A35221">
        <w:trPr>
          <w:trHeight w:val="1278"/>
        </w:trPr>
        <w:tc>
          <w:tcPr>
            <w:tcW w:w="2694" w:type="dxa"/>
            <w:vAlign w:val="center"/>
          </w:tcPr>
          <w:p w14:paraId="2ACC3BF4" w14:textId="77777777" w:rsidR="008B50CF" w:rsidRPr="00D6050D" w:rsidRDefault="008B50CF" w:rsidP="00A35221">
            <w:pPr>
              <w:rPr>
                <w:rFonts w:ascii="Calibri" w:hAnsi="Calibri" w:cs="Calibri"/>
                <w:sz w:val="22"/>
                <w:szCs w:val="22"/>
              </w:rPr>
            </w:pPr>
            <w:r w:rsidRPr="00D6050D">
              <w:rPr>
                <w:rFonts w:ascii="Calibri" w:hAnsi="Calibri" w:cs="Calibri"/>
                <w:sz w:val="22"/>
                <w:szCs w:val="22"/>
              </w:rPr>
              <w:t>Installation of New/Linking Lines of 33kV: Target - 121km &amp; 11kV: Target – 136km</w:t>
            </w:r>
          </w:p>
        </w:tc>
        <w:tc>
          <w:tcPr>
            <w:tcW w:w="2972" w:type="dxa"/>
            <w:vAlign w:val="center"/>
          </w:tcPr>
          <w:p w14:paraId="7824BA88" w14:textId="77777777" w:rsidR="008B50CF" w:rsidRPr="007D265E" w:rsidRDefault="008B50CF" w:rsidP="00A35221">
            <w:pPr>
              <w:rPr>
                <w:rFonts w:ascii="Calibri" w:hAnsi="Calibri" w:cs="Calibri"/>
                <w:sz w:val="22"/>
                <w:szCs w:val="22"/>
              </w:rPr>
            </w:pPr>
            <w:r w:rsidRPr="007D265E">
              <w:rPr>
                <w:rFonts w:ascii="Calibri" w:hAnsi="Calibri" w:cs="Calibri"/>
                <w:sz w:val="22"/>
                <w:szCs w:val="22"/>
              </w:rPr>
              <w:t xml:space="preserve">-33kV new lines: 67.83 </w:t>
            </w:r>
            <w:proofErr w:type="spellStart"/>
            <w:r w:rsidRPr="007D265E">
              <w:rPr>
                <w:rFonts w:ascii="Calibri" w:hAnsi="Calibri" w:cs="Calibri"/>
                <w:sz w:val="22"/>
                <w:szCs w:val="22"/>
              </w:rPr>
              <w:t>Ckm</w:t>
            </w:r>
            <w:proofErr w:type="spellEnd"/>
          </w:p>
          <w:p w14:paraId="3414EAC5" w14:textId="77777777" w:rsidR="008B50CF" w:rsidRPr="007D265E" w:rsidRDefault="008B50CF" w:rsidP="00A35221">
            <w:pPr>
              <w:rPr>
                <w:rFonts w:ascii="Calibri" w:hAnsi="Calibri" w:cs="Calibri"/>
                <w:sz w:val="22"/>
                <w:szCs w:val="22"/>
              </w:rPr>
            </w:pPr>
            <w:r w:rsidRPr="007D265E">
              <w:rPr>
                <w:rFonts w:ascii="Calibri" w:hAnsi="Calibri" w:cs="Calibri"/>
                <w:sz w:val="22"/>
                <w:szCs w:val="22"/>
              </w:rPr>
              <w:t xml:space="preserve">-11kV new lines: 199.77 </w:t>
            </w:r>
            <w:proofErr w:type="spellStart"/>
            <w:r w:rsidRPr="007D265E">
              <w:rPr>
                <w:rFonts w:ascii="Calibri" w:hAnsi="Calibri" w:cs="Calibri"/>
                <w:sz w:val="22"/>
                <w:szCs w:val="22"/>
              </w:rPr>
              <w:t>Ckm</w:t>
            </w:r>
            <w:proofErr w:type="spellEnd"/>
          </w:p>
          <w:p w14:paraId="217F48AE" w14:textId="77777777" w:rsidR="008B50CF" w:rsidRPr="007D265E" w:rsidRDefault="008B50CF" w:rsidP="00A35221">
            <w:pPr>
              <w:rPr>
                <w:rFonts w:ascii="Calibri" w:hAnsi="Calibri" w:cs="Calibri"/>
                <w:sz w:val="22"/>
                <w:szCs w:val="22"/>
              </w:rPr>
            </w:pPr>
            <w:r w:rsidRPr="007D265E">
              <w:rPr>
                <w:rFonts w:ascii="Calibri" w:hAnsi="Calibri" w:cs="Calibri"/>
                <w:sz w:val="22"/>
                <w:szCs w:val="22"/>
              </w:rPr>
              <w:t xml:space="preserve">-Creation of margin for future load growth </w:t>
            </w:r>
          </w:p>
          <w:p w14:paraId="2B140F22" w14:textId="77777777" w:rsidR="008B50CF" w:rsidRPr="00D6050D" w:rsidRDefault="008B50CF" w:rsidP="00A35221">
            <w:pPr>
              <w:rPr>
                <w:rFonts w:ascii="Calibri" w:hAnsi="Calibri" w:cs="Calibri"/>
                <w:b/>
                <w:sz w:val="22"/>
                <w:szCs w:val="22"/>
              </w:rPr>
            </w:pPr>
            <w:r w:rsidRPr="007D265E">
              <w:rPr>
                <w:rFonts w:ascii="Calibri" w:hAnsi="Calibri" w:cs="Calibri"/>
                <w:sz w:val="22"/>
                <w:szCs w:val="22"/>
              </w:rPr>
              <w:t>-Balancing of load between new &amp; old PSS</w:t>
            </w:r>
          </w:p>
        </w:tc>
        <w:tc>
          <w:tcPr>
            <w:tcW w:w="3462" w:type="dxa"/>
          </w:tcPr>
          <w:p w14:paraId="3B954F9D" w14:textId="77777777" w:rsidR="008B50CF" w:rsidRPr="0044572B" w:rsidRDefault="008B50CF" w:rsidP="00A35221">
            <w:pPr>
              <w:rPr>
                <w:rFonts w:ascii="Calibri" w:hAnsi="Calibri" w:cs="Calibri"/>
                <w:b/>
                <w:sz w:val="10"/>
                <w:szCs w:val="10"/>
              </w:rPr>
            </w:pPr>
          </w:p>
          <w:p w14:paraId="6A1BFFB7" w14:textId="77777777" w:rsidR="008B50CF" w:rsidRPr="00D6050D" w:rsidRDefault="008B50CF" w:rsidP="00A35221">
            <w:r>
              <w:rPr>
                <w:noProof/>
                <w:lang w:val="en-IN" w:eastAsia="en-IN"/>
              </w:rPr>
              <w:drawing>
                <wp:inline distT="0" distB="0" distL="0" distR="0" wp14:anchorId="27C569F7" wp14:editId="5B7EE233">
                  <wp:extent cx="1428766" cy="1666889"/>
                  <wp:effectExtent l="38100" t="38100" r="38100" b="38100"/>
                  <wp:docPr id="350873988" name="Picture 3508739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2" cstate="print">
                            <a:extLst>
                              <a:ext uri="{28A0092B-C50C-407E-A947-70E740481C1C}">
                                <a14:useLocalDpi xmlns:a14="http://schemas.microsoft.com/office/drawing/2010/main" val="0"/>
                              </a:ext>
                            </a:extLst>
                          </a:blip>
                          <a:srcRect l="49779" b="25550"/>
                          <a:stretch>
                            <a:fillRect/>
                          </a:stretch>
                        </pic:blipFill>
                        <pic:spPr>
                          <a:xfrm>
                            <a:off x="0" y="0"/>
                            <a:ext cx="1428766" cy="1666889"/>
                          </a:xfrm>
                          <a:prstGeom prst="rect">
                            <a:avLst/>
                          </a:prstGeom>
                          <a:ln w="38100">
                            <a:solidFill>
                              <a:schemeClr val="tx1"/>
                            </a:solidFill>
                            <a:prstDash val="solid"/>
                          </a:ln>
                        </pic:spPr>
                      </pic:pic>
                    </a:graphicData>
                  </a:graphic>
                </wp:inline>
              </w:drawing>
            </w:r>
          </w:p>
        </w:tc>
      </w:tr>
    </w:tbl>
    <w:p w14:paraId="34AF4329" w14:textId="77777777" w:rsidR="008B50CF" w:rsidRPr="00D6050D" w:rsidRDefault="008B50CF" w:rsidP="008B50CF">
      <w:pPr>
        <w:rPr>
          <w:rFonts w:ascii="Calibri" w:hAnsi="Calibri" w:cs="Calibri"/>
          <w:b/>
          <w:sz w:val="28"/>
          <w:szCs w:val="22"/>
        </w:rPr>
      </w:pPr>
    </w:p>
    <w:p w14:paraId="42B0586E" w14:textId="1EB57A83" w:rsidR="008B50CF" w:rsidRPr="00D6050D" w:rsidRDefault="008B50CF" w:rsidP="008B50CF">
      <w:pPr>
        <w:rPr>
          <w:rFonts w:ascii="Calibri" w:hAnsi="Calibri" w:cs="Calibri"/>
          <w:b/>
          <w:sz w:val="28"/>
          <w:szCs w:val="22"/>
        </w:rPr>
      </w:pPr>
      <w:r>
        <w:rPr>
          <w:rFonts w:ascii="Calibri" w:hAnsi="Calibri" w:cs="Calibri"/>
          <w:b/>
          <w:sz w:val="28"/>
          <w:szCs w:val="22"/>
        </w:rPr>
        <w:t xml:space="preserve">        </w:t>
      </w:r>
      <w:r w:rsidRPr="005F3180">
        <w:rPr>
          <w:rFonts w:ascii="Calibri" w:hAnsi="Calibri" w:cs="Calibri"/>
          <w:b/>
          <w:szCs w:val="22"/>
        </w:rPr>
        <w:t>6.</w:t>
      </w:r>
      <w:r w:rsidR="00EF24C0">
        <w:rPr>
          <w:rFonts w:ascii="Calibri" w:hAnsi="Calibri" w:cs="Calibri"/>
          <w:b/>
          <w:szCs w:val="22"/>
        </w:rPr>
        <w:t>2.5</w:t>
      </w:r>
      <w:r w:rsidRPr="005F3180">
        <w:rPr>
          <w:rFonts w:ascii="Calibri" w:hAnsi="Calibri" w:cs="Calibri"/>
          <w:b/>
          <w:szCs w:val="22"/>
        </w:rPr>
        <w:t xml:space="preserve"> Technology &amp; IT</w:t>
      </w:r>
    </w:p>
    <w:p w14:paraId="023D5A51" w14:textId="77777777" w:rsidR="008B50CF" w:rsidRPr="00D6050D" w:rsidRDefault="008B50CF" w:rsidP="008B50CF">
      <w:pPr>
        <w:rPr>
          <w:rFonts w:ascii="Calibri" w:hAnsi="Calibri" w:cs="Calibri"/>
          <w:b/>
          <w:sz w:val="28"/>
          <w:szCs w:val="22"/>
        </w:rPr>
      </w:pPr>
    </w:p>
    <w:tbl>
      <w:tblPr>
        <w:tblStyle w:val="TableGrid2"/>
        <w:tblW w:w="9214" w:type="dxa"/>
        <w:tblInd w:w="562" w:type="dxa"/>
        <w:tblLook w:val="04A0" w:firstRow="1" w:lastRow="0" w:firstColumn="1" w:lastColumn="0" w:noHBand="0" w:noVBand="1"/>
      </w:tblPr>
      <w:tblGrid>
        <w:gridCol w:w="2634"/>
        <w:gridCol w:w="2374"/>
        <w:gridCol w:w="4206"/>
      </w:tblGrid>
      <w:tr w:rsidR="008B50CF" w:rsidRPr="00D6050D" w14:paraId="28E75176" w14:textId="77777777" w:rsidTr="00A35221">
        <w:trPr>
          <w:trHeight w:val="302"/>
        </w:trPr>
        <w:tc>
          <w:tcPr>
            <w:tcW w:w="2694" w:type="dxa"/>
            <w:shd w:val="clear" w:color="auto" w:fill="95B3D7" w:themeFill="accent1" w:themeFillTint="99"/>
          </w:tcPr>
          <w:p w14:paraId="06BE8D8D" w14:textId="77777777" w:rsidR="008B50CF" w:rsidRPr="00D6050D" w:rsidRDefault="008B50CF" w:rsidP="00A35221">
            <w:pPr>
              <w:jc w:val="center"/>
              <w:rPr>
                <w:rFonts w:ascii="Calibri" w:hAnsi="Calibri" w:cs="Calibri"/>
                <w:b/>
                <w:sz w:val="22"/>
                <w:szCs w:val="22"/>
              </w:rPr>
            </w:pPr>
            <w:r w:rsidRPr="00D6050D">
              <w:rPr>
                <w:rFonts w:ascii="Calibri" w:hAnsi="Calibri" w:cs="Calibri"/>
                <w:b/>
                <w:sz w:val="22"/>
                <w:szCs w:val="22"/>
              </w:rPr>
              <w:t>Initiatives</w:t>
            </w:r>
          </w:p>
        </w:tc>
        <w:tc>
          <w:tcPr>
            <w:tcW w:w="6520" w:type="dxa"/>
            <w:gridSpan w:val="2"/>
            <w:shd w:val="clear" w:color="auto" w:fill="95B3D7" w:themeFill="accent1" w:themeFillTint="99"/>
          </w:tcPr>
          <w:p w14:paraId="57490F93" w14:textId="77777777" w:rsidR="008B50CF" w:rsidRPr="00D6050D" w:rsidRDefault="008B50CF" w:rsidP="00A35221">
            <w:pPr>
              <w:jc w:val="center"/>
              <w:rPr>
                <w:rFonts w:ascii="Calibri" w:hAnsi="Calibri" w:cs="Calibri"/>
                <w:b/>
                <w:sz w:val="22"/>
                <w:szCs w:val="22"/>
              </w:rPr>
            </w:pPr>
            <w:r w:rsidRPr="00D6050D">
              <w:rPr>
                <w:rFonts w:ascii="Calibri" w:hAnsi="Calibri" w:cs="Calibri"/>
                <w:b/>
                <w:sz w:val="22"/>
                <w:szCs w:val="22"/>
              </w:rPr>
              <w:t>Outcome</w:t>
            </w:r>
          </w:p>
        </w:tc>
      </w:tr>
      <w:tr w:rsidR="008B50CF" w:rsidRPr="00D6050D" w14:paraId="47852DAA" w14:textId="77777777" w:rsidTr="00A35221">
        <w:trPr>
          <w:trHeight w:val="2670"/>
        </w:trPr>
        <w:tc>
          <w:tcPr>
            <w:tcW w:w="2694" w:type="dxa"/>
            <w:vAlign w:val="center"/>
          </w:tcPr>
          <w:p w14:paraId="4D2CE8F8" w14:textId="77777777" w:rsidR="008B50CF" w:rsidRPr="00D6050D" w:rsidRDefault="008B50CF" w:rsidP="00A35221">
            <w:pPr>
              <w:rPr>
                <w:rFonts w:ascii="Calibri" w:hAnsi="Calibri" w:cs="Calibri"/>
                <w:sz w:val="22"/>
                <w:szCs w:val="22"/>
              </w:rPr>
            </w:pPr>
            <w:r w:rsidRPr="00D6050D">
              <w:rPr>
                <w:rFonts w:ascii="Calibri" w:hAnsi="Calibri" w:cs="Calibri"/>
                <w:sz w:val="22"/>
                <w:szCs w:val="22"/>
              </w:rPr>
              <w:t>Remote operation &amp; monitoring of PSS through SCADA system</w:t>
            </w:r>
          </w:p>
        </w:tc>
        <w:tc>
          <w:tcPr>
            <w:tcW w:w="2409" w:type="dxa"/>
            <w:vAlign w:val="center"/>
          </w:tcPr>
          <w:p w14:paraId="4EF24869" w14:textId="77777777" w:rsidR="008B50CF" w:rsidRPr="00D6050D" w:rsidRDefault="008B50CF" w:rsidP="00A35221">
            <w:pPr>
              <w:rPr>
                <w:rFonts w:ascii="Calibri" w:hAnsi="Calibri" w:cs="Calibri"/>
                <w:sz w:val="22"/>
                <w:szCs w:val="22"/>
              </w:rPr>
            </w:pPr>
            <w:r w:rsidRPr="0E3E11BB">
              <w:rPr>
                <w:rFonts w:ascii="Calibri" w:hAnsi="Calibri" w:cs="Calibri"/>
                <w:sz w:val="22"/>
                <w:szCs w:val="22"/>
              </w:rPr>
              <w:t>-PSS integrated with SCADA: 109 Nos.</w:t>
            </w:r>
          </w:p>
        </w:tc>
        <w:tc>
          <w:tcPr>
            <w:tcW w:w="4111" w:type="dxa"/>
          </w:tcPr>
          <w:p w14:paraId="3FD0C793" w14:textId="77777777" w:rsidR="008B50CF" w:rsidRPr="00D6050D" w:rsidRDefault="008B50CF" w:rsidP="00A35221">
            <w:pPr>
              <w:rPr>
                <w:rFonts w:ascii="Calibri" w:hAnsi="Calibri" w:cs="Calibri"/>
                <w:b/>
                <w:bCs/>
                <w:sz w:val="22"/>
                <w:szCs w:val="22"/>
              </w:rPr>
            </w:pPr>
            <w:r w:rsidRPr="00D6050D">
              <w:rPr>
                <w:rFonts w:cs="Calibri"/>
                <w:b/>
                <w:noProof/>
                <w:sz w:val="20"/>
                <w:szCs w:val="20"/>
                <w:lang w:val="en-IN" w:eastAsia="en-IN"/>
              </w:rPr>
              <w:drawing>
                <wp:anchor distT="0" distB="0" distL="114300" distR="114300" simplePos="0" relativeHeight="252193280" behindDoc="1" locked="0" layoutInCell="1" allowOverlap="1" wp14:anchorId="2DB8A495" wp14:editId="1F8EAABE">
                  <wp:simplePos x="0" y="0"/>
                  <wp:positionH relativeFrom="margin">
                    <wp:posOffset>115570</wp:posOffset>
                  </wp:positionH>
                  <wp:positionV relativeFrom="margin">
                    <wp:posOffset>135255</wp:posOffset>
                  </wp:positionV>
                  <wp:extent cx="2527076" cy="1682522"/>
                  <wp:effectExtent l="0" t="0" r="4445" b="0"/>
                  <wp:wrapSquare wrapText="bothSides"/>
                  <wp:docPr id="159"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2527076" cy="1682522"/>
                          </a:xfrm>
                          <a:prstGeom prst="rect">
                            <a:avLst/>
                          </a:prstGeom>
                          <a:noFill/>
                        </pic:spPr>
                      </pic:pic>
                    </a:graphicData>
                  </a:graphic>
                  <wp14:sizeRelH relativeFrom="margin">
                    <wp14:pctWidth>0</wp14:pctWidth>
                  </wp14:sizeRelH>
                  <wp14:sizeRelV relativeFrom="margin">
                    <wp14:pctHeight>0</wp14:pctHeight>
                  </wp14:sizeRelV>
                </wp:anchor>
              </w:drawing>
            </w:r>
          </w:p>
        </w:tc>
      </w:tr>
      <w:tr w:rsidR="008B50CF" w:rsidRPr="00D6050D" w14:paraId="41F9476C" w14:textId="77777777" w:rsidTr="00A35221">
        <w:trPr>
          <w:trHeight w:val="2674"/>
        </w:trPr>
        <w:tc>
          <w:tcPr>
            <w:tcW w:w="2694" w:type="dxa"/>
            <w:vAlign w:val="center"/>
          </w:tcPr>
          <w:p w14:paraId="5B35B5BD" w14:textId="77777777" w:rsidR="008B50CF" w:rsidRPr="00D6050D" w:rsidRDefault="008B50CF" w:rsidP="00A35221">
            <w:pPr>
              <w:rPr>
                <w:rFonts w:ascii="Calibri" w:hAnsi="Calibri" w:cs="Calibri"/>
                <w:b/>
                <w:sz w:val="22"/>
                <w:szCs w:val="22"/>
              </w:rPr>
            </w:pPr>
            <w:r w:rsidRPr="00D6050D">
              <w:rPr>
                <w:rFonts w:ascii="Calibri" w:hAnsi="Calibri" w:cs="Calibri"/>
                <w:b/>
                <w:sz w:val="22"/>
                <w:szCs w:val="22"/>
              </w:rPr>
              <w:lastRenderedPageBreak/>
              <w:t>GIS Implementation and Consumer Indexing for</w:t>
            </w:r>
          </w:p>
          <w:p w14:paraId="3689EB7A" w14:textId="77777777" w:rsidR="008B50CF" w:rsidRPr="00D6050D" w:rsidRDefault="008B50CF" w:rsidP="00A35221">
            <w:pPr>
              <w:rPr>
                <w:rFonts w:ascii="Calibri" w:hAnsi="Calibri" w:cs="Calibri"/>
                <w:sz w:val="22"/>
                <w:szCs w:val="22"/>
              </w:rPr>
            </w:pPr>
            <w:r w:rsidRPr="00D6050D">
              <w:rPr>
                <w:rFonts w:ascii="Calibri" w:hAnsi="Calibri" w:cs="Calibri"/>
                <w:sz w:val="22"/>
                <w:szCs w:val="22"/>
              </w:rPr>
              <w:t>-Better Asset Management</w:t>
            </w:r>
          </w:p>
          <w:p w14:paraId="641B7CA9" w14:textId="77777777" w:rsidR="008B50CF" w:rsidRPr="00D6050D" w:rsidRDefault="008B50CF" w:rsidP="00A35221">
            <w:pPr>
              <w:rPr>
                <w:rFonts w:ascii="Calibri" w:hAnsi="Calibri" w:cs="Calibri"/>
                <w:sz w:val="22"/>
                <w:szCs w:val="22"/>
              </w:rPr>
            </w:pPr>
            <w:r w:rsidRPr="00D6050D">
              <w:rPr>
                <w:rFonts w:ascii="Calibri" w:hAnsi="Calibri" w:cs="Calibri"/>
                <w:sz w:val="22"/>
                <w:szCs w:val="22"/>
              </w:rPr>
              <w:t>-Understanding the network topology</w:t>
            </w:r>
          </w:p>
          <w:p w14:paraId="0D8A5B54" w14:textId="77777777" w:rsidR="008B50CF" w:rsidRPr="00D6050D" w:rsidRDefault="008B50CF" w:rsidP="00A35221">
            <w:pPr>
              <w:rPr>
                <w:rFonts w:ascii="Calibri" w:hAnsi="Calibri" w:cs="Calibri"/>
                <w:sz w:val="22"/>
                <w:szCs w:val="22"/>
              </w:rPr>
            </w:pPr>
            <w:r w:rsidRPr="00D6050D">
              <w:rPr>
                <w:rFonts w:ascii="Calibri" w:hAnsi="Calibri" w:cs="Calibri"/>
                <w:sz w:val="22"/>
                <w:szCs w:val="22"/>
              </w:rPr>
              <w:t>-DT wise, Feeder wise accurate Energy Audit</w:t>
            </w:r>
          </w:p>
          <w:p w14:paraId="0FDE69A1" w14:textId="77777777" w:rsidR="008B50CF" w:rsidRPr="00D6050D" w:rsidRDefault="008B50CF" w:rsidP="00A35221">
            <w:pPr>
              <w:rPr>
                <w:rFonts w:ascii="Calibri" w:hAnsi="Calibri" w:cs="Calibri"/>
                <w:b/>
                <w:sz w:val="22"/>
                <w:szCs w:val="22"/>
              </w:rPr>
            </w:pPr>
            <w:r w:rsidRPr="00D6050D">
              <w:rPr>
                <w:rFonts w:ascii="Calibri" w:hAnsi="Calibri" w:cs="Calibri"/>
                <w:sz w:val="22"/>
                <w:szCs w:val="22"/>
              </w:rPr>
              <w:t>-Consumer location &amp; it</w:t>
            </w:r>
            <w:r>
              <w:rPr>
                <w:rFonts w:ascii="Calibri" w:hAnsi="Calibri" w:cs="Calibri"/>
                <w:sz w:val="22"/>
                <w:szCs w:val="22"/>
              </w:rPr>
              <w:t>s</w:t>
            </w:r>
            <w:r w:rsidRPr="00D6050D">
              <w:rPr>
                <w:rFonts w:ascii="Calibri" w:hAnsi="Calibri" w:cs="Calibri"/>
                <w:sz w:val="22"/>
                <w:szCs w:val="22"/>
              </w:rPr>
              <w:t xml:space="preserve"> connectivity</w:t>
            </w:r>
          </w:p>
        </w:tc>
        <w:tc>
          <w:tcPr>
            <w:tcW w:w="2409" w:type="dxa"/>
            <w:vAlign w:val="center"/>
          </w:tcPr>
          <w:p w14:paraId="6286FD3C" w14:textId="77777777" w:rsidR="008B50CF" w:rsidRPr="007D265E" w:rsidRDefault="008B50CF" w:rsidP="00A35221">
            <w:pPr>
              <w:rPr>
                <w:rFonts w:ascii="Calibri" w:hAnsi="Calibri" w:cs="Calibri"/>
                <w:sz w:val="22"/>
                <w:szCs w:val="22"/>
              </w:rPr>
            </w:pPr>
            <w:r w:rsidRPr="00CC1F77">
              <w:rPr>
                <w:rFonts w:ascii="Calibri" w:hAnsi="Calibri" w:cs="Calibri"/>
                <w:sz w:val="22"/>
                <w:szCs w:val="22"/>
              </w:rPr>
              <w:t>-</w:t>
            </w:r>
            <w:r w:rsidRPr="00CC1F77">
              <w:rPr>
                <w:rFonts w:ascii="Calibri" w:hAnsi="Calibri" w:cs="Calibri"/>
                <w:b/>
                <w:sz w:val="22"/>
                <w:szCs w:val="22"/>
              </w:rPr>
              <w:t>GIS mapping:</w:t>
            </w:r>
            <w:r w:rsidRPr="00CC1F77">
              <w:rPr>
                <w:rFonts w:ascii="Calibri" w:hAnsi="Calibri" w:cs="Calibri"/>
                <w:sz w:val="22"/>
                <w:szCs w:val="22"/>
              </w:rPr>
              <w:t xml:space="preserve"> </w:t>
            </w:r>
            <w:r w:rsidRPr="007D265E">
              <w:rPr>
                <w:rFonts w:ascii="Calibri" w:hAnsi="Calibri" w:cs="Calibri"/>
                <w:sz w:val="22"/>
                <w:szCs w:val="22"/>
              </w:rPr>
              <w:t>Completed all 16 Divisions</w:t>
            </w:r>
          </w:p>
          <w:p w14:paraId="6FADC607" w14:textId="77777777" w:rsidR="008B50CF" w:rsidRPr="007D265E" w:rsidRDefault="008B50CF" w:rsidP="00A35221">
            <w:pPr>
              <w:rPr>
                <w:rFonts w:ascii="Calibri" w:hAnsi="Calibri" w:cs="Calibri"/>
                <w:sz w:val="8"/>
                <w:szCs w:val="22"/>
              </w:rPr>
            </w:pPr>
          </w:p>
          <w:p w14:paraId="7892F592" w14:textId="77777777" w:rsidR="008B50CF" w:rsidRPr="007D265E" w:rsidRDefault="008B50CF" w:rsidP="00A35221">
            <w:pPr>
              <w:rPr>
                <w:rFonts w:ascii="Calibri" w:hAnsi="Calibri" w:cs="Calibri"/>
                <w:sz w:val="22"/>
                <w:szCs w:val="22"/>
              </w:rPr>
            </w:pPr>
            <w:r w:rsidRPr="007D265E">
              <w:rPr>
                <w:rFonts w:ascii="Calibri" w:hAnsi="Calibri" w:cs="Calibri"/>
                <w:sz w:val="22"/>
                <w:szCs w:val="22"/>
              </w:rPr>
              <w:t xml:space="preserve">-28765 </w:t>
            </w:r>
            <w:proofErr w:type="spellStart"/>
            <w:r w:rsidRPr="007D265E">
              <w:rPr>
                <w:rFonts w:ascii="Calibri" w:hAnsi="Calibri" w:cs="Calibri"/>
                <w:sz w:val="22"/>
                <w:szCs w:val="22"/>
              </w:rPr>
              <w:t>Sq</w:t>
            </w:r>
            <w:proofErr w:type="spellEnd"/>
            <w:r w:rsidRPr="007D265E">
              <w:rPr>
                <w:rFonts w:ascii="Calibri" w:hAnsi="Calibri" w:cs="Calibri"/>
                <w:sz w:val="22"/>
                <w:szCs w:val="22"/>
              </w:rPr>
              <w:t xml:space="preserve"> km Base map</w:t>
            </w:r>
          </w:p>
          <w:p w14:paraId="38E3EC22" w14:textId="77777777" w:rsidR="008B50CF" w:rsidRPr="007D265E" w:rsidRDefault="008B50CF" w:rsidP="00A35221">
            <w:pPr>
              <w:rPr>
                <w:rFonts w:ascii="Calibri" w:hAnsi="Calibri" w:cs="Calibri"/>
                <w:sz w:val="22"/>
                <w:szCs w:val="22"/>
              </w:rPr>
            </w:pPr>
            <w:r>
              <w:rPr>
                <w:rFonts w:ascii="Calibri" w:hAnsi="Calibri" w:cs="Calibri"/>
                <w:sz w:val="22"/>
                <w:szCs w:val="22"/>
              </w:rPr>
              <w:t xml:space="preserve"> </w:t>
            </w:r>
            <w:r w:rsidRPr="007D265E">
              <w:rPr>
                <w:rFonts w:ascii="Calibri" w:hAnsi="Calibri" w:cs="Calibri"/>
                <w:sz w:val="22"/>
                <w:szCs w:val="22"/>
              </w:rPr>
              <w:t>a.</w:t>
            </w:r>
            <w:r>
              <w:rPr>
                <w:rFonts w:ascii="Calibri" w:hAnsi="Calibri" w:cs="Calibri"/>
                <w:sz w:val="22"/>
                <w:szCs w:val="22"/>
              </w:rPr>
              <w:t>)</w:t>
            </w:r>
            <w:r w:rsidRPr="007D265E">
              <w:rPr>
                <w:rFonts w:ascii="Calibri" w:hAnsi="Calibri" w:cs="Calibri"/>
                <w:sz w:val="22"/>
                <w:szCs w:val="22"/>
              </w:rPr>
              <w:t xml:space="preserve"> 2893 </w:t>
            </w:r>
            <w:proofErr w:type="spellStart"/>
            <w:r w:rsidRPr="007D265E">
              <w:rPr>
                <w:rFonts w:ascii="Calibri" w:hAnsi="Calibri" w:cs="Calibri"/>
                <w:sz w:val="22"/>
                <w:szCs w:val="22"/>
              </w:rPr>
              <w:t>Ckm</w:t>
            </w:r>
            <w:proofErr w:type="spellEnd"/>
            <w:r w:rsidRPr="007D265E">
              <w:rPr>
                <w:rFonts w:ascii="Calibri" w:hAnsi="Calibri" w:cs="Calibri"/>
                <w:sz w:val="22"/>
                <w:szCs w:val="22"/>
              </w:rPr>
              <w:t xml:space="preserve"> EHT Lines</w:t>
            </w:r>
          </w:p>
          <w:p w14:paraId="1AE6A534" w14:textId="77777777" w:rsidR="008B50CF" w:rsidRPr="007D265E" w:rsidRDefault="008B50CF" w:rsidP="00A35221">
            <w:pPr>
              <w:rPr>
                <w:rFonts w:ascii="Calibri" w:hAnsi="Calibri" w:cs="Calibri"/>
                <w:sz w:val="22"/>
                <w:szCs w:val="22"/>
              </w:rPr>
            </w:pPr>
            <w:r w:rsidRPr="007D265E">
              <w:rPr>
                <w:rFonts w:ascii="Calibri" w:hAnsi="Calibri" w:cs="Calibri"/>
                <w:sz w:val="22"/>
                <w:szCs w:val="22"/>
              </w:rPr>
              <w:t xml:space="preserve"> b.</w:t>
            </w:r>
            <w:r>
              <w:rPr>
                <w:rFonts w:ascii="Calibri" w:hAnsi="Calibri" w:cs="Calibri"/>
                <w:sz w:val="22"/>
                <w:szCs w:val="22"/>
              </w:rPr>
              <w:t>)</w:t>
            </w:r>
            <w:r w:rsidRPr="007D265E">
              <w:rPr>
                <w:rFonts w:ascii="Calibri" w:hAnsi="Calibri" w:cs="Calibri"/>
                <w:sz w:val="22"/>
                <w:szCs w:val="22"/>
              </w:rPr>
              <w:t xml:space="preserve"> 29972 </w:t>
            </w:r>
            <w:proofErr w:type="spellStart"/>
            <w:r w:rsidRPr="007D265E">
              <w:rPr>
                <w:rFonts w:ascii="Calibri" w:hAnsi="Calibri" w:cs="Calibri"/>
                <w:sz w:val="22"/>
                <w:szCs w:val="22"/>
              </w:rPr>
              <w:t>Ckm</w:t>
            </w:r>
            <w:proofErr w:type="spellEnd"/>
            <w:r w:rsidRPr="007D265E">
              <w:rPr>
                <w:rFonts w:ascii="Calibri" w:hAnsi="Calibri" w:cs="Calibri"/>
                <w:sz w:val="22"/>
                <w:szCs w:val="22"/>
              </w:rPr>
              <w:t xml:space="preserve"> HT Lines</w:t>
            </w:r>
          </w:p>
          <w:p w14:paraId="1D5C6EFF" w14:textId="77777777" w:rsidR="008B50CF" w:rsidRPr="007D265E" w:rsidRDefault="008B50CF" w:rsidP="00A35221">
            <w:pPr>
              <w:rPr>
                <w:rFonts w:ascii="Calibri" w:hAnsi="Calibri" w:cs="Calibri"/>
                <w:sz w:val="22"/>
                <w:szCs w:val="22"/>
              </w:rPr>
            </w:pPr>
            <w:r w:rsidRPr="007D265E">
              <w:rPr>
                <w:rFonts w:ascii="Calibri" w:hAnsi="Calibri" w:cs="Calibri"/>
                <w:sz w:val="22"/>
                <w:szCs w:val="22"/>
              </w:rPr>
              <w:t xml:space="preserve"> c.</w:t>
            </w:r>
            <w:r>
              <w:rPr>
                <w:rFonts w:ascii="Calibri" w:hAnsi="Calibri" w:cs="Calibri"/>
                <w:sz w:val="22"/>
                <w:szCs w:val="22"/>
              </w:rPr>
              <w:t>)</w:t>
            </w:r>
            <w:r w:rsidRPr="007D265E">
              <w:rPr>
                <w:rFonts w:ascii="Calibri" w:hAnsi="Calibri" w:cs="Calibri"/>
                <w:sz w:val="22"/>
                <w:szCs w:val="22"/>
              </w:rPr>
              <w:t xml:space="preserve"> 48256 </w:t>
            </w:r>
            <w:proofErr w:type="spellStart"/>
            <w:r w:rsidRPr="007D265E">
              <w:rPr>
                <w:rFonts w:ascii="Calibri" w:hAnsi="Calibri" w:cs="Calibri"/>
                <w:sz w:val="22"/>
                <w:szCs w:val="22"/>
              </w:rPr>
              <w:t>Ckm</w:t>
            </w:r>
            <w:proofErr w:type="spellEnd"/>
            <w:r w:rsidRPr="007D265E">
              <w:rPr>
                <w:rFonts w:ascii="Calibri" w:hAnsi="Calibri" w:cs="Calibri"/>
                <w:sz w:val="22"/>
                <w:szCs w:val="22"/>
              </w:rPr>
              <w:t xml:space="preserve"> LT Lines</w:t>
            </w:r>
          </w:p>
          <w:p w14:paraId="7E1ADB77" w14:textId="77777777" w:rsidR="008B50CF" w:rsidRPr="009F110D" w:rsidRDefault="008B50CF" w:rsidP="00A35221">
            <w:pPr>
              <w:rPr>
                <w:rFonts w:ascii="Calibri" w:hAnsi="Calibri" w:cs="Calibri"/>
                <w:b/>
                <w:sz w:val="22"/>
                <w:szCs w:val="22"/>
                <w:highlight w:val="green"/>
              </w:rPr>
            </w:pPr>
            <w:r w:rsidRPr="007D265E">
              <w:rPr>
                <w:rFonts w:ascii="Calibri" w:hAnsi="Calibri" w:cs="Calibri"/>
                <w:sz w:val="22"/>
                <w:szCs w:val="22"/>
              </w:rPr>
              <w:t>-17.83 lacs Consumer indexing</w:t>
            </w:r>
          </w:p>
        </w:tc>
        <w:tc>
          <w:tcPr>
            <w:tcW w:w="4111" w:type="dxa"/>
            <w:vMerge w:val="restart"/>
          </w:tcPr>
          <w:p w14:paraId="67625239" w14:textId="77777777" w:rsidR="008B50CF" w:rsidRPr="00D6050D" w:rsidRDefault="008B50CF" w:rsidP="00A35221">
            <w:pPr>
              <w:rPr>
                <w:rFonts w:ascii="Calibri" w:hAnsi="Calibri" w:cs="Calibri"/>
                <w:b/>
                <w:sz w:val="22"/>
                <w:szCs w:val="22"/>
              </w:rPr>
            </w:pPr>
            <w:r w:rsidRPr="00D6050D">
              <w:rPr>
                <w:rFonts w:cs="Calibri"/>
                <w:b/>
                <w:noProof/>
                <w:sz w:val="20"/>
                <w:szCs w:val="20"/>
                <w:lang w:val="en-IN" w:eastAsia="en-IN"/>
              </w:rPr>
              <w:drawing>
                <wp:anchor distT="0" distB="0" distL="114300" distR="114300" simplePos="0" relativeHeight="252194304" behindDoc="1" locked="0" layoutInCell="1" allowOverlap="1" wp14:anchorId="3F3900DB" wp14:editId="08E2B67E">
                  <wp:simplePos x="0" y="0"/>
                  <wp:positionH relativeFrom="margin">
                    <wp:posOffset>102416</wp:posOffset>
                  </wp:positionH>
                  <wp:positionV relativeFrom="margin">
                    <wp:posOffset>95003</wp:posOffset>
                  </wp:positionV>
                  <wp:extent cx="2350135" cy="3168015"/>
                  <wp:effectExtent l="0" t="0" r="0" b="0"/>
                  <wp:wrapSquare wrapText="bothSides"/>
                  <wp:docPr id="137"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2350135" cy="3168015"/>
                          </a:xfrm>
                          <a:prstGeom prst="rect">
                            <a:avLst/>
                          </a:prstGeom>
                          <a:noFill/>
                        </pic:spPr>
                      </pic:pic>
                    </a:graphicData>
                  </a:graphic>
                  <wp14:sizeRelH relativeFrom="margin">
                    <wp14:pctWidth>0</wp14:pctWidth>
                  </wp14:sizeRelH>
                  <wp14:sizeRelV relativeFrom="margin">
                    <wp14:pctHeight>0</wp14:pctHeight>
                  </wp14:sizeRelV>
                </wp:anchor>
              </w:drawing>
            </w:r>
          </w:p>
        </w:tc>
      </w:tr>
      <w:tr w:rsidR="008B50CF" w:rsidRPr="00D6050D" w14:paraId="0E94F181" w14:textId="77777777" w:rsidTr="00A35221">
        <w:trPr>
          <w:trHeight w:val="2386"/>
        </w:trPr>
        <w:tc>
          <w:tcPr>
            <w:tcW w:w="2694" w:type="dxa"/>
            <w:vAlign w:val="center"/>
          </w:tcPr>
          <w:p w14:paraId="1335D799" w14:textId="77777777" w:rsidR="008B50CF" w:rsidRPr="00D6050D" w:rsidRDefault="008B50CF" w:rsidP="00A35221">
            <w:pPr>
              <w:rPr>
                <w:rFonts w:ascii="Calibri" w:hAnsi="Calibri" w:cs="Calibri"/>
                <w:sz w:val="22"/>
                <w:szCs w:val="22"/>
              </w:rPr>
            </w:pPr>
            <w:r w:rsidRPr="00D6050D">
              <w:rPr>
                <w:rFonts w:ascii="Calibri" w:hAnsi="Calibri" w:cs="Calibri"/>
                <w:sz w:val="22"/>
                <w:szCs w:val="22"/>
              </w:rPr>
              <w:t>Establishment of Data Center for Enterprise &amp; Customer application and Data Recovery Infra.</w:t>
            </w:r>
          </w:p>
        </w:tc>
        <w:tc>
          <w:tcPr>
            <w:tcW w:w="2409" w:type="dxa"/>
            <w:vAlign w:val="center"/>
          </w:tcPr>
          <w:p w14:paraId="139CC880" w14:textId="77777777" w:rsidR="008B50CF" w:rsidRPr="00C62DA4" w:rsidRDefault="008B50CF" w:rsidP="00A35221">
            <w:pPr>
              <w:rPr>
                <w:rFonts w:ascii="Calibri" w:hAnsi="Calibri" w:cs="Calibri"/>
                <w:sz w:val="22"/>
                <w:szCs w:val="22"/>
              </w:rPr>
            </w:pPr>
            <w:r w:rsidRPr="00C62DA4">
              <w:rPr>
                <w:rFonts w:ascii="Calibri" w:hAnsi="Calibri" w:cs="Calibri"/>
                <w:sz w:val="22"/>
                <w:szCs w:val="22"/>
              </w:rPr>
              <w:t>-All IT Infrastructure like Servers, Leaf &amp; Spine Switch along with Storage established at OPTCL Data Centre, Bhubaneshwar for smooth access of Enterprise and Customer application along with GIS, AMI and MDM.</w:t>
            </w:r>
          </w:p>
        </w:tc>
        <w:tc>
          <w:tcPr>
            <w:tcW w:w="4111" w:type="dxa"/>
            <w:vMerge/>
          </w:tcPr>
          <w:p w14:paraId="00C487A8" w14:textId="77777777" w:rsidR="008B50CF" w:rsidRPr="00D6050D" w:rsidRDefault="008B50CF" w:rsidP="00A35221">
            <w:pPr>
              <w:rPr>
                <w:rFonts w:ascii="Calibri" w:hAnsi="Calibri" w:cs="Calibri"/>
                <w:b/>
                <w:sz w:val="22"/>
                <w:szCs w:val="22"/>
              </w:rPr>
            </w:pPr>
          </w:p>
        </w:tc>
      </w:tr>
      <w:tr w:rsidR="008B50CF" w:rsidRPr="00D6050D" w14:paraId="2C373C1A" w14:textId="77777777" w:rsidTr="00A35221">
        <w:trPr>
          <w:trHeight w:val="3536"/>
        </w:trPr>
        <w:tc>
          <w:tcPr>
            <w:tcW w:w="2694" w:type="dxa"/>
            <w:vAlign w:val="center"/>
          </w:tcPr>
          <w:p w14:paraId="0301A18F" w14:textId="77777777" w:rsidR="008B50CF" w:rsidRPr="00D6050D" w:rsidRDefault="008B50CF" w:rsidP="00A35221">
            <w:pPr>
              <w:rPr>
                <w:rFonts w:ascii="Calibri" w:hAnsi="Calibri" w:cs="Calibri"/>
                <w:sz w:val="22"/>
                <w:szCs w:val="22"/>
              </w:rPr>
            </w:pPr>
            <w:r w:rsidRPr="00D6050D">
              <w:rPr>
                <w:rFonts w:ascii="Calibri" w:hAnsi="Calibri" w:cs="Calibri"/>
                <w:sz w:val="22"/>
                <w:szCs w:val="22"/>
              </w:rPr>
              <w:t>MPLS communication system for Offices &amp; PSS</w:t>
            </w:r>
          </w:p>
        </w:tc>
        <w:tc>
          <w:tcPr>
            <w:tcW w:w="2409" w:type="dxa"/>
            <w:vAlign w:val="center"/>
          </w:tcPr>
          <w:p w14:paraId="709F92B2" w14:textId="77777777" w:rsidR="008B50CF" w:rsidRPr="00CC1F77" w:rsidRDefault="008B50CF" w:rsidP="00A35221">
            <w:pPr>
              <w:rPr>
                <w:rFonts w:ascii="Calibri" w:hAnsi="Calibri" w:cs="Calibri"/>
                <w:sz w:val="22"/>
                <w:szCs w:val="22"/>
              </w:rPr>
            </w:pPr>
            <w:r w:rsidRPr="00CC1F77">
              <w:rPr>
                <w:rFonts w:ascii="Calibri" w:hAnsi="Calibri" w:cs="Calibri"/>
                <w:sz w:val="22"/>
                <w:szCs w:val="22"/>
              </w:rPr>
              <w:t>-No. of offices covered: Corporate office, Major Office (7) Circle Office (5), Division Office (16), Sub Division (41) &amp; Section (40)</w:t>
            </w:r>
          </w:p>
          <w:p w14:paraId="34CBB183" w14:textId="77777777" w:rsidR="008B50CF" w:rsidRPr="00D6050D" w:rsidRDefault="008B50CF" w:rsidP="00A35221">
            <w:pPr>
              <w:rPr>
                <w:rFonts w:ascii="Calibri" w:hAnsi="Calibri" w:cs="Calibri"/>
                <w:sz w:val="22"/>
                <w:szCs w:val="22"/>
              </w:rPr>
            </w:pPr>
            <w:r w:rsidRPr="00CC1F77">
              <w:rPr>
                <w:rFonts w:ascii="Calibri" w:hAnsi="Calibri" w:cs="Calibri"/>
                <w:sz w:val="22"/>
                <w:szCs w:val="22"/>
              </w:rPr>
              <w:t>-For OT communication MPLS connectivity has been established in 149 PSS.</w:t>
            </w:r>
          </w:p>
        </w:tc>
        <w:tc>
          <w:tcPr>
            <w:tcW w:w="4111" w:type="dxa"/>
          </w:tcPr>
          <w:p w14:paraId="0565C4B0" w14:textId="77777777" w:rsidR="008B50CF" w:rsidRPr="00D6050D" w:rsidRDefault="008B50CF" w:rsidP="00A35221">
            <w:pPr>
              <w:rPr>
                <w:rFonts w:ascii="Calibri" w:hAnsi="Calibri" w:cs="Calibri"/>
                <w:b/>
                <w:sz w:val="22"/>
                <w:szCs w:val="22"/>
              </w:rPr>
            </w:pPr>
            <w:r w:rsidRPr="00D6050D">
              <w:rPr>
                <w:rFonts w:cs="Calibri"/>
                <w:b/>
                <w:noProof/>
                <w:sz w:val="20"/>
                <w:szCs w:val="20"/>
                <w:lang w:val="en-IN" w:eastAsia="en-IN"/>
              </w:rPr>
              <w:drawing>
                <wp:anchor distT="0" distB="0" distL="114300" distR="114300" simplePos="0" relativeHeight="252195328" behindDoc="1" locked="0" layoutInCell="1" allowOverlap="1" wp14:anchorId="7C7FA695" wp14:editId="4826A5C7">
                  <wp:simplePos x="0" y="0"/>
                  <wp:positionH relativeFrom="margin">
                    <wp:posOffset>124270</wp:posOffset>
                  </wp:positionH>
                  <wp:positionV relativeFrom="margin">
                    <wp:posOffset>126365</wp:posOffset>
                  </wp:positionV>
                  <wp:extent cx="2386330" cy="2105025"/>
                  <wp:effectExtent l="0" t="0" r="0" b="9525"/>
                  <wp:wrapSquare wrapText="bothSides"/>
                  <wp:docPr id="138" name="Picture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2386330" cy="2105025"/>
                          </a:xfrm>
                          <a:prstGeom prst="rect">
                            <a:avLst/>
                          </a:prstGeom>
                          <a:noFill/>
                        </pic:spPr>
                      </pic:pic>
                    </a:graphicData>
                  </a:graphic>
                  <wp14:sizeRelH relativeFrom="margin">
                    <wp14:pctWidth>0</wp14:pctWidth>
                  </wp14:sizeRelH>
                  <wp14:sizeRelV relativeFrom="margin">
                    <wp14:pctHeight>0</wp14:pctHeight>
                  </wp14:sizeRelV>
                </wp:anchor>
              </w:drawing>
            </w:r>
          </w:p>
        </w:tc>
      </w:tr>
      <w:tr w:rsidR="008B50CF" w:rsidRPr="00D6050D" w14:paraId="6013CA46" w14:textId="77777777" w:rsidTr="00A35221">
        <w:trPr>
          <w:trHeight w:val="3581"/>
        </w:trPr>
        <w:tc>
          <w:tcPr>
            <w:tcW w:w="2694" w:type="dxa"/>
            <w:vAlign w:val="center"/>
          </w:tcPr>
          <w:p w14:paraId="5E0972B5" w14:textId="77777777" w:rsidR="008B50CF" w:rsidRPr="00D6050D" w:rsidRDefault="008B50CF" w:rsidP="00A35221">
            <w:pPr>
              <w:rPr>
                <w:rFonts w:ascii="Calibri" w:hAnsi="Calibri" w:cs="Calibri"/>
                <w:sz w:val="22"/>
                <w:szCs w:val="22"/>
              </w:rPr>
            </w:pPr>
            <w:r w:rsidRPr="00D6050D">
              <w:rPr>
                <w:rFonts w:ascii="Calibri" w:hAnsi="Calibri" w:cs="Calibri"/>
                <w:sz w:val="22"/>
                <w:szCs w:val="22"/>
              </w:rPr>
              <w:t>Cyber Security for Data Centre &amp; End User system</w:t>
            </w:r>
          </w:p>
        </w:tc>
        <w:tc>
          <w:tcPr>
            <w:tcW w:w="2409" w:type="dxa"/>
            <w:vAlign w:val="center"/>
          </w:tcPr>
          <w:p w14:paraId="2B826B9D" w14:textId="77777777" w:rsidR="008B50CF" w:rsidRPr="00CC1F77" w:rsidRDefault="008B50CF" w:rsidP="00A35221">
            <w:pPr>
              <w:rPr>
                <w:rFonts w:ascii="Calibri" w:hAnsi="Calibri" w:cs="Calibri"/>
                <w:sz w:val="22"/>
                <w:szCs w:val="22"/>
              </w:rPr>
            </w:pPr>
            <w:r w:rsidRPr="00CC1F77">
              <w:rPr>
                <w:rFonts w:ascii="Calibri" w:hAnsi="Calibri" w:cs="Calibri"/>
                <w:sz w:val="22"/>
                <w:szCs w:val="22"/>
              </w:rPr>
              <w:t>-Next Generation Firewall has been installed at Data Center along with Deep Security Anti-Virus.</w:t>
            </w:r>
          </w:p>
          <w:p w14:paraId="4567220D" w14:textId="77777777" w:rsidR="008B50CF" w:rsidRPr="00CC1F77" w:rsidRDefault="008B50CF" w:rsidP="00A35221">
            <w:pPr>
              <w:rPr>
                <w:rFonts w:ascii="Calibri" w:hAnsi="Calibri" w:cs="Calibri"/>
                <w:sz w:val="22"/>
                <w:szCs w:val="22"/>
              </w:rPr>
            </w:pPr>
            <w:r w:rsidRPr="00CC1F77">
              <w:rPr>
                <w:rFonts w:ascii="Calibri" w:hAnsi="Calibri" w:cs="Calibri"/>
                <w:sz w:val="22"/>
                <w:szCs w:val="22"/>
              </w:rPr>
              <w:t xml:space="preserve">-Active Directory along with Domain joining of all users completed for unified access. </w:t>
            </w:r>
          </w:p>
          <w:p w14:paraId="20923985" w14:textId="77777777" w:rsidR="008B50CF" w:rsidRPr="00CC1F77" w:rsidRDefault="008B50CF" w:rsidP="00A35221">
            <w:pPr>
              <w:rPr>
                <w:rFonts w:ascii="Calibri" w:hAnsi="Calibri" w:cs="Calibri"/>
                <w:sz w:val="22"/>
                <w:szCs w:val="22"/>
              </w:rPr>
            </w:pPr>
            <w:r w:rsidRPr="00CC1F77">
              <w:rPr>
                <w:rFonts w:ascii="Calibri" w:hAnsi="Calibri" w:cs="Calibri"/>
                <w:sz w:val="22"/>
                <w:szCs w:val="22"/>
              </w:rPr>
              <w:t>-For End User system anti-virus is installed in all system with proper policies.</w:t>
            </w:r>
          </w:p>
        </w:tc>
        <w:tc>
          <w:tcPr>
            <w:tcW w:w="4111" w:type="dxa"/>
          </w:tcPr>
          <w:p w14:paraId="24B57344" w14:textId="77777777" w:rsidR="008B50CF" w:rsidRPr="00D6050D" w:rsidRDefault="008B50CF" w:rsidP="00A35221">
            <w:pPr>
              <w:rPr>
                <w:rFonts w:ascii="Calibri" w:hAnsi="Calibri" w:cs="Calibri"/>
                <w:b/>
                <w:noProof/>
                <w:sz w:val="22"/>
                <w:szCs w:val="22"/>
              </w:rPr>
            </w:pPr>
            <w:r w:rsidRPr="00D6050D">
              <w:rPr>
                <w:rFonts w:cs="Calibri"/>
                <w:b/>
                <w:noProof/>
                <w:sz w:val="20"/>
                <w:szCs w:val="20"/>
                <w:lang w:val="en-IN" w:eastAsia="en-IN"/>
              </w:rPr>
              <w:drawing>
                <wp:anchor distT="0" distB="0" distL="114300" distR="114300" simplePos="0" relativeHeight="252196352" behindDoc="1" locked="0" layoutInCell="1" allowOverlap="1" wp14:anchorId="0DB2A2AE" wp14:editId="1917A975">
                  <wp:simplePos x="0" y="0"/>
                  <wp:positionH relativeFrom="margin">
                    <wp:posOffset>112832</wp:posOffset>
                  </wp:positionH>
                  <wp:positionV relativeFrom="margin">
                    <wp:posOffset>106878</wp:posOffset>
                  </wp:positionV>
                  <wp:extent cx="2327275" cy="2062480"/>
                  <wp:effectExtent l="0" t="0" r="0" b="0"/>
                  <wp:wrapSquare wrapText="bothSides"/>
                  <wp:docPr id="139" name="Picture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2327275" cy="2062480"/>
                          </a:xfrm>
                          <a:prstGeom prst="rect">
                            <a:avLst/>
                          </a:prstGeom>
                          <a:noFill/>
                        </pic:spPr>
                      </pic:pic>
                    </a:graphicData>
                  </a:graphic>
                  <wp14:sizeRelH relativeFrom="margin">
                    <wp14:pctWidth>0</wp14:pctWidth>
                  </wp14:sizeRelH>
                  <wp14:sizeRelV relativeFrom="margin">
                    <wp14:pctHeight>0</wp14:pctHeight>
                  </wp14:sizeRelV>
                </wp:anchor>
              </w:drawing>
            </w:r>
          </w:p>
        </w:tc>
      </w:tr>
      <w:tr w:rsidR="008B50CF" w:rsidRPr="00D6050D" w14:paraId="265D9FD7" w14:textId="77777777" w:rsidTr="00A35221">
        <w:trPr>
          <w:trHeight w:val="4580"/>
        </w:trPr>
        <w:tc>
          <w:tcPr>
            <w:tcW w:w="2694" w:type="dxa"/>
            <w:vAlign w:val="center"/>
          </w:tcPr>
          <w:p w14:paraId="7243BFB6" w14:textId="77777777" w:rsidR="008B50CF" w:rsidRPr="00D6050D" w:rsidRDefault="008B50CF" w:rsidP="00A35221">
            <w:pPr>
              <w:rPr>
                <w:rFonts w:ascii="Calibri" w:hAnsi="Calibri" w:cs="Calibri"/>
                <w:sz w:val="22"/>
                <w:szCs w:val="22"/>
              </w:rPr>
            </w:pPr>
            <w:r w:rsidRPr="00D6050D">
              <w:rPr>
                <w:rFonts w:ascii="Calibri" w:hAnsi="Calibri" w:cs="Calibri"/>
                <w:sz w:val="22"/>
                <w:szCs w:val="22"/>
              </w:rPr>
              <w:lastRenderedPageBreak/>
              <w:t>Launch of enterprise &amp; customer-oriented Application</w:t>
            </w:r>
          </w:p>
        </w:tc>
        <w:tc>
          <w:tcPr>
            <w:tcW w:w="2409" w:type="dxa"/>
            <w:vAlign w:val="center"/>
          </w:tcPr>
          <w:p w14:paraId="2C1E929E" w14:textId="77777777" w:rsidR="008B50CF" w:rsidRPr="00F70E7D" w:rsidRDefault="008B50CF" w:rsidP="00A35221">
            <w:pPr>
              <w:rPr>
                <w:rFonts w:ascii="Calibri" w:hAnsi="Calibri" w:cs="Calibri"/>
                <w:sz w:val="22"/>
                <w:szCs w:val="22"/>
              </w:rPr>
            </w:pPr>
            <w:r w:rsidRPr="00F70E7D">
              <w:rPr>
                <w:rFonts w:ascii="Calibri" w:hAnsi="Calibri" w:cs="Calibri"/>
                <w:sz w:val="22"/>
                <w:szCs w:val="22"/>
              </w:rPr>
              <w:t xml:space="preserve">-Enterprise Application: Suraksha </w:t>
            </w:r>
            <w:proofErr w:type="spellStart"/>
            <w:r w:rsidRPr="00F70E7D">
              <w:rPr>
                <w:rFonts w:ascii="Calibri" w:hAnsi="Calibri" w:cs="Calibri"/>
                <w:sz w:val="22"/>
                <w:szCs w:val="22"/>
              </w:rPr>
              <w:t>Prahari</w:t>
            </w:r>
            <w:proofErr w:type="spellEnd"/>
            <w:r w:rsidRPr="00F70E7D">
              <w:rPr>
                <w:rFonts w:ascii="Calibri" w:hAnsi="Calibri" w:cs="Calibri"/>
                <w:sz w:val="22"/>
                <w:szCs w:val="22"/>
              </w:rPr>
              <w:t xml:space="preserve">, Suraksha </w:t>
            </w:r>
            <w:proofErr w:type="spellStart"/>
            <w:r w:rsidRPr="00F70E7D">
              <w:rPr>
                <w:rFonts w:ascii="Calibri" w:hAnsi="Calibri" w:cs="Calibri"/>
                <w:sz w:val="22"/>
                <w:szCs w:val="22"/>
              </w:rPr>
              <w:t>Kawach</w:t>
            </w:r>
            <w:proofErr w:type="spellEnd"/>
            <w:r w:rsidRPr="00F70E7D">
              <w:rPr>
                <w:rFonts w:ascii="Calibri" w:hAnsi="Calibri" w:cs="Calibri"/>
                <w:sz w:val="22"/>
                <w:szCs w:val="22"/>
              </w:rPr>
              <w:t>, FCC App, Connect2Resolve, Achievers Portal, SANGAM, PTL App and Knowledge management portal, BAMS, Arpan and E-</w:t>
            </w:r>
            <w:proofErr w:type="spellStart"/>
            <w:r w:rsidRPr="00F70E7D">
              <w:rPr>
                <w:rFonts w:ascii="Calibri" w:hAnsi="Calibri" w:cs="Calibri"/>
                <w:sz w:val="22"/>
                <w:szCs w:val="22"/>
              </w:rPr>
              <w:t>Saathi</w:t>
            </w:r>
            <w:proofErr w:type="spellEnd"/>
          </w:p>
          <w:p w14:paraId="2BEB87A6" w14:textId="77777777" w:rsidR="008B50CF" w:rsidRPr="00F70E7D" w:rsidRDefault="008B50CF" w:rsidP="00A35221">
            <w:pPr>
              <w:rPr>
                <w:rFonts w:ascii="Calibri" w:hAnsi="Calibri" w:cs="Calibri"/>
                <w:sz w:val="22"/>
                <w:szCs w:val="22"/>
              </w:rPr>
            </w:pPr>
          </w:p>
          <w:p w14:paraId="05BFB364" w14:textId="77777777" w:rsidR="008B50CF" w:rsidRPr="00F70E7D" w:rsidRDefault="008B50CF" w:rsidP="00A35221">
            <w:pPr>
              <w:rPr>
                <w:rFonts w:ascii="Calibri" w:hAnsi="Calibri" w:cs="Calibri"/>
                <w:sz w:val="22"/>
                <w:szCs w:val="22"/>
              </w:rPr>
            </w:pPr>
            <w:r w:rsidRPr="00F70E7D">
              <w:rPr>
                <w:rFonts w:ascii="Calibri" w:hAnsi="Calibri" w:cs="Calibri"/>
                <w:sz w:val="22"/>
                <w:szCs w:val="22"/>
              </w:rPr>
              <w:t xml:space="preserve">-Customer application: E-collection, </w:t>
            </w:r>
            <w:proofErr w:type="spellStart"/>
            <w:r w:rsidRPr="00F70E7D">
              <w:rPr>
                <w:rFonts w:ascii="Calibri" w:hAnsi="Calibri" w:cs="Calibri"/>
                <w:sz w:val="22"/>
                <w:szCs w:val="22"/>
              </w:rPr>
              <w:t>Samadhan</w:t>
            </w:r>
            <w:proofErr w:type="spellEnd"/>
            <w:r w:rsidRPr="00F70E7D">
              <w:rPr>
                <w:rFonts w:ascii="Calibri" w:hAnsi="Calibri" w:cs="Calibri"/>
                <w:sz w:val="22"/>
                <w:szCs w:val="22"/>
              </w:rPr>
              <w:t xml:space="preserve"> Calculator, </w:t>
            </w:r>
            <w:proofErr w:type="spellStart"/>
            <w:r w:rsidRPr="00F70E7D">
              <w:rPr>
                <w:rFonts w:ascii="Calibri" w:hAnsi="Calibri" w:cs="Calibri"/>
                <w:sz w:val="22"/>
                <w:szCs w:val="22"/>
              </w:rPr>
              <w:t>Mera</w:t>
            </w:r>
            <w:proofErr w:type="spellEnd"/>
            <w:r w:rsidRPr="00F70E7D">
              <w:rPr>
                <w:rFonts w:ascii="Calibri" w:hAnsi="Calibri" w:cs="Calibri"/>
                <w:sz w:val="22"/>
                <w:szCs w:val="22"/>
              </w:rPr>
              <w:t xml:space="preserve"> MMG, Mo </w:t>
            </w:r>
            <w:proofErr w:type="spellStart"/>
            <w:r w:rsidRPr="00F70E7D">
              <w:rPr>
                <w:rFonts w:ascii="Calibri" w:hAnsi="Calibri" w:cs="Calibri"/>
                <w:sz w:val="22"/>
                <w:szCs w:val="22"/>
              </w:rPr>
              <w:t>Bidyut</w:t>
            </w:r>
            <w:proofErr w:type="spellEnd"/>
            <w:r w:rsidRPr="00F70E7D">
              <w:rPr>
                <w:rFonts w:ascii="Calibri" w:hAnsi="Calibri" w:cs="Calibri"/>
                <w:sz w:val="22"/>
                <w:szCs w:val="22"/>
              </w:rPr>
              <w:t xml:space="preserve">, My Tapa Power, CIS Application, DO App, </w:t>
            </w:r>
            <w:proofErr w:type="spellStart"/>
            <w:r w:rsidRPr="00F70E7D">
              <w:rPr>
                <w:rFonts w:ascii="Calibri" w:hAnsi="Calibri" w:cs="Calibri"/>
                <w:sz w:val="22"/>
                <w:szCs w:val="22"/>
              </w:rPr>
              <w:t>iCams</w:t>
            </w:r>
            <w:proofErr w:type="spellEnd"/>
          </w:p>
        </w:tc>
        <w:tc>
          <w:tcPr>
            <w:tcW w:w="4111" w:type="dxa"/>
          </w:tcPr>
          <w:p w14:paraId="2651ACC4" w14:textId="77777777" w:rsidR="008B50CF" w:rsidRPr="00D6050D" w:rsidRDefault="008B50CF" w:rsidP="00A35221">
            <w:pPr>
              <w:rPr>
                <w:rFonts w:ascii="Calibri" w:hAnsi="Calibri" w:cs="Calibri"/>
                <w:b/>
                <w:bCs/>
                <w:noProof/>
                <w:sz w:val="22"/>
                <w:szCs w:val="22"/>
              </w:rPr>
            </w:pPr>
            <w:r w:rsidRPr="00D6050D">
              <w:rPr>
                <w:rFonts w:cs="Calibri"/>
                <w:noProof/>
                <w:sz w:val="20"/>
                <w:szCs w:val="20"/>
                <w:lang w:val="en-IN" w:eastAsia="en-IN"/>
              </w:rPr>
              <w:drawing>
                <wp:anchor distT="0" distB="0" distL="114300" distR="114300" simplePos="0" relativeHeight="252197376" behindDoc="1" locked="0" layoutInCell="1" allowOverlap="1" wp14:anchorId="3BCCA27B" wp14:editId="34820C45">
                  <wp:simplePos x="0" y="0"/>
                  <wp:positionH relativeFrom="margin">
                    <wp:posOffset>106045</wp:posOffset>
                  </wp:positionH>
                  <wp:positionV relativeFrom="margin">
                    <wp:posOffset>139065</wp:posOffset>
                  </wp:positionV>
                  <wp:extent cx="2327275" cy="1581150"/>
                  <wp:effectExtent l="76200" t="76200" r="130175" b="133350"/>
                  <wp:wrapSquare wrapText="bothSides"/>
                  <wp:docPr id="160" name="Picture 14">
                    <a:extLst xmlns:a="http://schemas.openxmlformats.org/drawingml/2006/main">
                      <a:ext uri="{FF2B5EF4-FFF2-40B4-BE49-F238E27FC236}">
                        <a16:creationId xmlns:a16="http://schemas.microsoft.com/office/drawing/2014/main" id="{FF8D4C4F-DE54-404B-884A-4554266FEDA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4">
                            <a:extLst>
                              <a:ext uri="{FF2B5EF4-FFF2-40B4-BE49-F238E27FC236}">
                                <a16:creationId xmlns:a16="http://schemas.microsoft.com/office/drawing/2014/main" id="{FF8D4C4F-DE54-404B-884A-4554266FEDA8}"/>
                              </a:ext>
                            </a:extLst>
                          </pic:cNvPr>
                          <pic:cNvPicPr>
                            <a:picLocks noChangeAspect="1"/>
                          </pic:cNvPicPr>
                        </pic:nvPicPr>
                        <pic:blipFill>
                          <a:blip r:embed="rId107">
                            <a:extLst>
                              <a:ext uri="{28A0092B-C50C-407E-A947-70E740481C1C}">
                                <a14:useLocalDpi xmlns:a14="http://schemas.microsoft.com/office/drawing/2010/main" val="0"/>
                              </a:ext>
                            </a:extLst>
                          </a:blip>
                          <a:stretch>
                            <a:fillRect/>
                          </a:stretch>
                        </pic:blipFill>
                        <pic:spPr>
                          <a:xfrm>
                            <a:off x="0" y="0"/>
                            <a:ext cx="2327275" cy="158115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14:sizeRelH relativeFrom="margin">
                    <wp14:pctWidth>0</wp14:pctWidth>
                  </wp14:sizeRelH>
                  <wp14:sizeRelV relativeFrom="margin">
                    <wp14:pctHeight>0</wp14:pctHeight>
                  </wp14:sizeRelV>
                </wp:anchor>
              </w:drawing>
            </w:r>
          </w:p>
        </w:tc>
      </w:tr>
      <w:tr w:rsidR="008B50CF" w:rsidRPr="00D6050D" w14:paraId="1C5420B5" w14:textId="77777777" w:rsidTr="00A35221">
        <w:trPr>
          <w:trHeight w:val="3581"/>
        </w:trPr>
        <w:tc>
          <w:tcPr>
            <w:tcW w:w="2694" w:type="dxa"/>
            <w:vAlign w:val="center"/>
          </w:tcPr>
          <w:p w14:paraId="70C9BD44" w14:textId="77777777" w:rsidR="008B50CF" w:rsidRPr="00D6050D" w:rsidRDefault="008B50CF" w:rsidP="00A35221">
            <w:pPr>
              <w:rPr>
                <w:rFonts w:ascii="Calibri" w:hAnsi="Calibri" w:cs="Calibri"/>
                <w:sz w:val="22"/>
                <w:szCs w:val="22"/>
              </w:rPr>
            </w:pPr>
            <w:r w:rsidRPr="00D6050D">
              <w:rPr>
                <w:rFonts w:ascii="Calibri" w:hAnsi="Calibri" w:cs="Calibri"/>
                <w:sz w:val="22"/>
                <w:szCs w:val="22"/>
              </w:rPr>
              <w:t>AI/ML Analytics dash boarding on Power BI platform</w:t>
            </w:r>
          </w:p>
          <w:p w14:paraId="066EC275" w14:textId="77777777" w:rsidR="008B50CF" w:rsidRPr="00D6050D" w:rsidRDefault="008B50CF" w:rsidP="00A35221">
            <w:pPr>
              <w:rPr>
                <w:rFonts w:ascii="Calibri" w:hAnsi="Calibri" w:cs="Calibri"/>
                <w:sz w:val="22"/>
                <w:szCs w:val="22"/>
              </w:rPr>
            </w:pPr>
            <w:r w:rsidRPr="00D6050D">
              <w:rPr>
                <w:rFonts w:ascii="Calibri" w:hAnsi="Calibri" w:cs="Calibri"/>
                <w:sz w:val="22"/>
                <w:szCs w:val="22"/>
              </w:rPr>
              <w:t>Helps in taking data driven decisions improving Billing Efficiency, Collection Efficiency and AT&amp;C loss mitigation.</w:t>
            </w:r>
          </w:p>
        </w:tc>
        <w:tc>
          <w:tcPr>
            <w:tcW w:w="2409" w:type="dxa"/>
            <w:vAlign w:val="center"/>
          </w:tcPr>
          <w:p w14:paraId="6226B395" w14:textId="77777777" w:rsidR="008B50CF" w:rsidRPr="00F70E7D" w:rsidRDefault="008B50CF" w:rsidP="00A35221">
            <w:pPr>
              <w:rPr>
                <w:rFonts w:ascii="Calibri" w:hAnsi="Calibri" w:cs="Calibri"/>
                <w:sz w:val="22"/>
                <w:szCs w:val="22"/>
              </w:rPr>
            </w:pPr>
            <w:r w:rsidRPr="00F70E7D">
              <w:rPr>
                <w:rFonts w:ascii="Calibri" w:hAnsi="Calibri" w:cs="Calibri"/>
                <w:sz w:val="22"/>
                <w:szCs w:val="22"/>
              </w:rPr>
              <w:t xml:space="preserve">-Multiple dashboard prepared for Real time monitoring &amp; data analysis i.e. - </w:t>
            </w:r>
          </w:p>
          <w:p w14:paraId="01C433FF" w14:textId="77777777" w:rsidR="008B50CF" w:rsidRPr="00F70E7D" w:rsidRDefault="008B50CF" w:rsidP="00A35221">
            <w:pPr>
              <w:rPr>
                <w:rFonts w:ascii="Calibri" w:hAnsi="Calibri" w:cs="Calibri"/>
                <w:sz w:val="22"/>
                <w:szCs w:val="22"/>
              </w:rPr>
            </w:pPr>
            <w:r w:rsidRPr="00F70E7D">
              <w:rPr>
                <w:rFonts w:ascii="Calibri" w:hAnsi="Calibri" w:cs="Calibri"/>
                <w:sz w:val="22"/>
                <w:szCs w:val="22"/>
              </w:rPr>
              <w:t xml:space="preserve">-Consumer Consumption </w:t>
            </w:r>
          </w:p>
          <w:p w14:paraId="5F0B8172" w14:textId="77777777" w:rsidR="008B50CF" w:rsidRPr="00F70E7D" w:rsidRDefault="008B50CF" w:rsidP="00A35221">
            <w:pPr>
              <w:rPr>
                <w:rFonts w:ascii="Calibri" w:hAnsi="Calibri" w:cs="Calibri"/>
                <w:sz w:val="22"/>
                <w:szCs w:val="22"/>
              </w:rPr>
            </w:pPr>
            <w:r w:rsidRPr="00F70E7D">
              <w:rPr>
                <w:rFonts w:ascii="Calibri" w:hAnsi="Calibri" w:cs="Calibri"/>
                <w:sz w:val="22"/>
                <w:szCs w:val="22"/>
              </w:rPr>
              <w:t>-Provisional Bill Frequency</w:t>
            </w:r>
          </w:p>
          <w:p w14:paraId="5771DB04" w14:textId="77777777" w:rsidR="008B50CF" w:rsidRPr="00F70E7D" w:rsidRDefault="008B50CF" w:rsidP="00A35221">
            <w:pPr>
              <w:rPr>
                <w:rFonts w:ascii="Calibri" w:hAnsi="Calibri" w:cs="Calibri"/>
                <w:sz w:val="22"/>
                <w:szCs w:val="22"/>
              </w:rPr>
            </w:pPr>
            <w:r w:rsidRPr="00F70E7D">
              <w:rPr>
                <w:rFonts w:ascii="Calibri" w:hAnsi="Calibri" w:cs="Calibri"/>
                <w:sz w:val="22"/>
                <w:szCs w:val="22"/>
              </w:rPr>
              <w:t xml:space="preserve">-Predicted Payment Defaulter </w:t>
            </w:r>
          </w:p>
          <w:p w14:paraId="45EC08D0" w14:textId="77777777" w:rsidR="008B50CF" w:rsidRPr="00F70E7D" w:rsidRDefault="008B50CF" w:rsidP="00A35221">
            <w:pPr>
              <w:rPr>
                <w:rFonts w:ascii="Calibri" w:hAnsi="Calibri" w:cs="Calibri"/>
                <w:sz w:val="22"/>
                <w:szCs w:val="22"/>
              </w:rPr>
            </w:pPr>
            <w:r w:rsidRPr="00F70E7D">
              <w:rPr>
                <w:rFonts w:ascii="Calibri" w:hAnsi="Calibri" w:cs="Calibri"/>
                <w:sz w:val="22"/>
                <w:szCs w:val="22"/>
              </w:rPr>
              <w:t>-No Billed Consumer Revenue Profile</w:t>
            </w:r>
          </w:p>
          <w:p w14:paraId="0B1ADDAC" w14:textId="77777777" w:rsidR="008B50CF" w:rsidRPr="00F70E7D" w:rsidRDefault="008B50CF" w:rsidP="00A35221">
            <w:pPr>
              <w:rPr>
                <w:rFonts w:ascii="Calibri" w:hAnsi="Calibri" w:cs="Calibri"/>
                <w:sz w:val="22"/>
                <w:szCs w:val="22"/>
              </w:rPr>
            </w:pPr>
            <w:r w:rsidRPr="00F70E7D">
              <w:rPr>
                <w:rFonts w:ascii="Calibri" w:hAnsi="Calibri" w:cs="Calibri"/>
                <w:sz w:val="22"/>
                <w:szCs w:val="22"/>
              </w:rPr>
              <w:t>-Collection Analysis and Collection Efficiency</w:t>
            </w:r>
          </w:p>
        </w:tc>
        <w:tc>
          <w:tcPr>
            <w:tcW w:w="4111" w:type="dxa"/>
          </w:tcPr>
          <w:p w14:paraId="20B6B540" w14:textId="77777777" w:rsidR="008B50CF" w:rsidRPr="00D6050D" w:rsidRDefault="008B50CF" w:rsidP="00A35221">
            <w:pPr>
              <w:rPr>
                <w:rFonts w:ascii="Calibri" w:hAnsi="Calibri" w:cs="Calibri"/>
                <w:b/>
                <w:bCs/>
                <w:noProof/>
                <w:sz w:val="22"/>
                <w:szCs w:val="22"/>
              </w:rPr>
            </w:pPr>
            <w:r>
              <w:rPr>
                <w:noProof/>
                <w:lang w:val="en-IN" w:eastAsia="en-IN"/>
              </w:rPr>
              <w:drawing>
                <wp:inline distT="0" distB="0" distL="0" distR="0" wp14:anchorId="7C1D86C2" wp14:editId="13C7BC90">
                  <wp:extent cx="2350770" cy="2238375"/>
                  <wp:effectExtent l="0" t="0" r="0" b="9525"/>
                  <wp:docPr id="1015156167" name="Picture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pic:cNvPicPr/>
                        </pic:nvPicPr>
                        <pic:blipFill>
                          <a:blip r:embed="rId108">
                            <a:extLst>
                              <a:ext uri="{28A0092B-C50C-407E-A947-70E740481C1C}">
                                <a14:useLocalDpi xmlns:a14="http://schemas.microsoft.com/office/drawing/2010/main" val="0"/>
                              </a:ext>
                            </a:extLst>
                          </a:blip>
                          <a:stretch>
                            <a:fillRect/>
                          </a:stretch>
                        </pic:blipFill>
                        <pic:spPr bwMode="auto">
                          <a:xfrm>
                            <a:off x="0" y="0"/>
                            <a:ext cx="2350770" cy="2238375"/>
                          </a:xfrm>
                          <a:prstGeom prst="rect">
                            <a:avLst/>
                          </a:prstGeom>
                          <a:noFill/>
                        </pic:spPr>
                      </pic:pic>
                    </a:graphicData>
                  </a:graphic>
                </wp:inline>
              </w:drawing>
            </w:r>
          </w:p>
        </w:tc>
      </w:tr>
    </w:tbl>
    <w:p w14:paraId="62778C07" w14:textId="77777777" w:rsidR="008B50CF" w:rsidRDefault="008B50CF" w:rsidP="008B50CF">
      <w:pPr>
        <w:rPr>
          <w:rFonts w:ascii="Calibri" w:hAnsi="Calibri" w:cs="Calibri"/>
          <w:b/>
          <w:szCs w:val="22"/>
        </w:rPr>
      </w:pPr>
    </w:p>
    <w:p w14:paraId="1F43E54D" w14:textId="77777777" w:rsidR="008B50CF" w:rsidRDefault="008B50CF" w:rsidP="008B50CF">
      <w:pPr>
        <w:rPr>
          <w:rFonts w:ascii="Calibri" w:hAnsi="Calibri" w:cs="Calibri"/>
          <w:b/>
          <w:szCs w:val="22"/>
        </w:rPr>
      </w:pPr>
    </w:p>
    <w:p w14:paraId="508E1318" w14:textId="77777777" w:rsidR="0025136B" w:rsidRDefault="008B50CF" w:rsidP="008B50CF">
      <w:pPr>
        <w:rPr>
          <w:rFonts w:ascii="Calibri" w:hAnsi="Calibri" w:cs="Calibri"/>
          <w:b/>
          <w:szCs w:val="22"/>
        </w:rPr>
      </w:pPr>
      <w:r>
        <w:rPr>
          <w:rFonts w:ascii="Calibri" w:hAnsi="Calibri" w:cs="Calibri"/>
          <w:b/>
          <w:szCs w:val="22"/>
        </w:rPr>
        <w:t xml:space="preserve">         </w:t>
      </w:r>
      <w:r w:rsidRPr="00E701FA">
        <w:rPr>
          <w:rFonts w:ascii="Calibri" w:hAnsi="Calibri" w:cs="Calibri"/>
          <w:b/>
          <w:szCs w:val="22"/>
        </w:rPr>
        <w:t xml:space="preserve"> </w:t>
      </w:r>
    </w:p>
    <w:p w14:paraId="3317038D" w14:textId="77777777" w:rsidR="0025136B" w:rsidRDefault="0025136B" w:rsidP="008B50CF">
      <w:pPr>
        <w:rPr>
          <w:rFonts w:ascii="Calibri" w:hAnsi="Calibri" w:cs="Calibri"/>
          <w:b/>
          <w:szCs w:val="22"/>
        </w:rPr>
      </w:pPr>
    </w:p>
    <w:p w14:paraId="57DDCDE6" w14:textId="77777777" w:rsidR="0025136B" w:rsidRDefault="0025136B" w:rsidP="008B50CF">
      <w:pPr>
        <w:rPr>
          <w:rFonts w:ascii="Calibri" w:hAnsi="Calibri" w:cs="Calibri"/>
          <w:b/>
          <w:szCs w:val="22"/>
        </w:rPr>
      </w:pPr>
    </w:p>
    <w:p w14:paraId="338C0273" w14:textId="77777777" w:rsidR="0025136B" w:rsidRDefault="0025136B" w:rsidP="008B50CF">
      <w:pPr>
        <w:rPr>
          <w:rFonts w:ascii="Calibri" w:hAnsi="Calibri" w:cs="Calibri"/>
          <w:b/>
          <w:szCs w:val="22"/>
        </w:rPr>
      </w:pPr>
    </w:p>
    <w:p w14:paraId="3D6756CD" w14:textId="77777777" w:rsidR="0025136B" w:rsidRDefault="0025136B" w:rsidP="008B50CF">
      <w:pPr>
        <w:rPr>
          <w:rFonts w:ascii="Calibri" w:hAnsi="Calibri" w:cs="Calibri"/>
          <w:b/>
          <w:szCs w:val="22"/>
        </w:rPr>
      </w:pPr>
    </w:p>
    <w:p w14:paraId="1953C01A" w14:textId="77777777" w:rsidR="0025136B" w:rsidRDefault="0025136B" w:rsidP="008B50CF">
      <w:pPr>
        <w:rPr>
          <w:rFonts w:ascii="Calibri" w:hAnsi="Calibri" w:cs="Calibri"/>
          <w:b/>
          <w:szCs w:val="22"/>
        </w:rPr>
      </w:pPr>
    </w:p>
    <w:p w14:paraId="6253F8D9" w14:textId="77777777" w:rsidR="0025136B" w:rsidRDefault="0025136B" w:rsidP="008B50CF">
      <w:pPr>
        <w:rPr>
          <w:rFonts w:ascii="Calibri" w:hAnsi="Calibri" w:cs="Calibri"/>
          <w:b/>
          <w:szCs w:val="22"/>
        </w:rPr>
      </w:pPr>
    </w:p>
    <w:p w14:paraId="726D2134" w14:textId="77777777" w:rsidR="0025136B" w:rsidRDefault="0025136B" w:rsidP="008B50CF">
      <w:pPr>
        <w:rPr>
          <w:rFonts w:ascii="Calibri" w:hAnsi="Calibri" w:cs="Calibri"/>
          <w:b/>
          <w:szCs w:val="22"/>
        </w:rPr>
      </w:pPr>
    </w:p>
    <w:p w14:paraId="0D6AADE3" w14:textId="77777777" w:rsidR="0025136B" w:rsidRDefault="0025136B" w:rsidP="008B50CF">
      <w:pPr>
        <w:rPr>
          <w:rFonts w:ascii="Calibri" w:hAnsi="Calibri" w:cs="Calibri"/>
          <w:b/>
          <w:szCs w:val="22"/>
        </w:rPr>
      </w:pPr>
    </w:p>
    <w:p w14:paraId="477AE2F9" w14:textId="77777777" w:rsidR="0025136B" w:rsidRDefault="0025136B" w:rsidP="008B50CF">
      <w:pPr>
        <w:rPr>
          <w:rFonts w:ascii="Calibri" w:hAnsi="Calibri" w:cs="Calibri"/>
          <w:b/>
          <w:szCs w:val="22"/>
        </w:rPr>
      </w:pPr>
    </w:p>
    <w:p w14:paraId="657B426D" w14:textId="77777777" w:rsidR="0025136B" w:rsidRDefault="0025136B" w:rsidP="008B50CF">
      <w:pPr>
        <w:rPr>
          <w:rFonts w:ascii="Calibri" w:hAnsi="Calibri" w:cs="Calibri"/>
          <w:b/>
          <w:szCs w:val="22"/>
        </w:rPr>
      </w:pPr>
    </w:p>
    <w:p w14:paraId="36E48BD5" w14:textId="77777777" w:rsidR="0025136B" w:rsidRDefault="0025136B" w:rsidP="008B50CF">
      <w:pPr>
        <w:rPr>
          <w:rFonts w:ascii="Calibri" w:hAnsi="Calibri" w:cs="Calibri"/>
          <w:b/>
          <w:szCs w:val="22"/>
        </w:rPr>
      </w:pPr>
    </w:p>
    <w:p w14:paraId="2750D968" w14:textId="77777777" w:rsidR="0025136B" w:rsidRDefault="0025136B" w:rsidP="008B50CF">
      <w:pPr>
        <w:rPr>
          <w:rFonts w:ascii="Calibri" w:hAnsi="Calibri" w:cs="Calibri"/>
          <w:b/>
          <w:szCs w:val="22"/>
        </w:rPr>
      </w:pPr>
    </w:p>
    <w:p w14:paraId="2154E870" w14:textId="77777777" w:rsidR="0025136B" w:rsidRDefault="0025136B" w:rsidP="008B50CF">
      <w:pPr>
        <w:rPr>
          <w:rFonts w:ascii="Calibri" w:hAnsi="Calibri" w:cs="Calibri"/>
          <w:b/>
          <w:szCs w:val="22"/>
        </w:rPr>
      </w:pPr>
    </w:p>
    <w:p w14:paraId="4AB8732F" w14:textId="77777777" w:rsidR="0025136B" w:rsidRDefault="0025136B" w:rsidP="008B50CF">
      <w:pPr>
        <w:rPr>
          <w:rFonts w:ascii="Calibri" w:hAnsi="Calibri" w:cs="Calibri"/>
          <w:b/>
          <w:szCs w:val="22"/>
        </w:rPr>
      </w:pPr>
    </w:p>
    <w:p w14:paraId="0B98EF0F" w14:textId="77777777" w:rsidR="0025136B" w:rsidRDefault="0025136B" w:rsidP="008B50CF">
      <w:pPr>
        <w:rPr>
          <w:rFonts w:ascii="Calibri" w:hAnsi="Calibri" w:cs="Calibri"/>
          <w:b/>
          <w:szCs w:val="22"/>
        </w:rPr>
      </w:pPr>
    </w:p>
    <w:p w14:paraId="7F0D845E" w14:textId="77777777" w:rsidR="0025136B" w:rsidRDefault="0025136B" w:rsidP="008B50CF">
      <w:pPr>
        <w:rPr>
          <w:rFonts w:ascii="Calibri" w:hAnsi="Calibri" w:cs="Calibri"/>
          <w:b/>
          <w:szCs w:val="22"/>
        </w:rPr>
      </w:pPr>
    </w:p>
    <w:p w14:paraId="0AC07F03" w14:textId="6523EB04" w:rsidR="008B50CF" w:rsidRPr="00E701FA" w:rsidRDefault="00EF24C0" w:rsidP="008B50CF">
      <w:pPr>
        <w:rPr>
          <w:rFonts w:ascii="Calibri" w:hAnsi="Calibri" w:cs="Calibri"/>
          <w:b/>
          <w:szCs w:val="22"/>
        </w:rPr>
      </w:pPr>
      <w:r>
        <w:rPr>
          <w:rFonts w:ascii="Calibri" w:hAnsi="Calibri" w:cs="Calibri"/>
          <w:b/>
          <w:szCs w:val="22"/>
        </w:rPr>
        <w:lastRenderedPageBreak/>
        <w:t xml:space="preserve">         6.2.6</w:t>
      </w:r>
      <w:r w:rsidR="008B50CF" w:rsidRPr="00E701FA">
        <w:rPr>
          <w:rFonts w:ascii="Calibri" w:hAnsi="Calibri" w:cs="Calibri"/>
          <w:b/>
          <w:szCs w:val="22"/>
        </w:rPr>
        <w:t xml:space="preserve"> Civil &amp; Administration: </w:t>
      </w:r>
    </w:p>
    <w:p w14:paraId="15D546DF" w14:textId="77777777" w:rsidR="008B50CF" w:rsidRPr="00D6050D" w:rsidRDefault="008B50CF" w:rsidP="008B50CF">
      <w:pPr>
        <w:rPr>
          <w:rFonts w:ascii="Calibri" w:hAnsi="Calibri" w:cs="Calibri"/>
          <w:b/>
          <w:sz w:val="22"/>
          <w:szCs w:val="22"/>
        </w:rPr>
      </w:pPr>
    </w:p>
    <w:tbl>
      <w:tblPr>
        <w:tblStyle w:val="TableGrid2"/>
        <w:tblW w:w="8801" w:type="dxa"/>
        <w:tblInd w:w="550" w:type="dxa"/>
        <w:tblLayout w:type="fixed"/>
        <w:tblLook w:val="04A0" w:firstRow="1" w:lastRow="0" w:firstColumn="1" w:lastColumn="0" w:noHBand="0" w:noVBand="1"/>
      </w:tblPr>
      <w:tblGrid>
        <w:gridCol w:w="2479"/>
        <w:gridCol w:w="2551"/>
        <w:gridCol w:w="3771"/>
      </w:tblGrid>
      <w:tr w:rsidR="008B50CF" w:rsidRPr="00D6050D" w14:paraId="5C98AC22" w14:textId="77777777" w:rsidTr="00A35221">
        <w:trPr>
          <w:trHeight w:val="430"/>
        </w:trPr>
        <w:tc>
          <w:tcPr>
            <w:tcW w:w="2479" w:type="dxa"/>
            <w:shd w:val="clear" w:color="auto" w:fill="95B3D7" w:themeFill="accent1" w:themeFillTint="99"/>
            <w:vAlign w:val="center"/>
          </w:tcPr>
          <w:p w14:paraId="320C9601" w14:textId="77777777" w:rsidR="008B50CF" w:rsidRPr="00D6050D" w:rsidRDefault="008B50CF" w:rsidP="00A35221">
            <w:pPr>
              <w:jc w:val="center"/>
              <w:rPr>
                <w:rFonts w:ascii="Calibri" w:hAnsi="Calibri" w:cs="Calibri"/>
                <w:b/>
                <w:sz w:val="22"/>
                <w:szCs w:val="22"/>
              </w:rPr>
            </w:pPr>
            <w:r w:rsidRPr="00D6050D">
              <w:rPr>
                <w:rFonts w:ascii="Calibri" w:hAnsi="Calibri" w:cs="Calibri"/>
                <w:b/>
                <w:sz w:val="22"/>
                <w:szCs w:val="22"/>
              </w:rPr>
              <w:t>Initiatives</w:t>
            </w:r>
          </w:p>
        </w:tc>
        <w:tc>
          <w:tcPr>
            <w:tcW w:w="6322" w:type="dxa"/>
            <w:gridSpan w:val="2"/>
            <w:shd w:val="clear" w:color="auto" w:fill="95B3D7" w:themeFill="accent1" w:themeFillTint="99"/>
            <w:vAlign w:val="center"/>
          </w:tcPr>
          <w:p w14:paraId="27E378A9" w14:textId="77777777" w:rsidR="008B50CF" w:rsidRPr="00D6050D" w:rsidRDefault="008B50CF" w:rsidP="00A35221">
            <w:pPr>
              <w:jc w:val="center"/>
              <w:rPr>
                <w:rFonts w:ascii="Calibri" w:hAnsi="Calibri" w:cs="Calibri"/>
                <w:b/>
                <w:sz w:val="22"/>
                <w:szCs w:val="22"/>
              </w:rPr>
            </w:pPr>
            <w:r w:rsidRPr="00D6050D">
              <w:rPr>
                <w:rFonts w:ascii="Calibri" w:hAnsi="Calibri" w:cs="Calibri"/>
                <w:b/>
                <w:sz w:val="22"/>
                <w:szCs w:val="22"/>
              </w:rPr>
              <w:t>Outcome</w:t>
            </w:r>
          </w:p>
        </w:tc>
      </w:tr>
      <w:tr w:rsidR="008B50CF" w:rsidRPr="00D6050D" w14:paraId="31A5DFE4" w14:textId="77777777" w:rsidTr="00A35221">
        <w:trPr>
          <w:trHeight w:val="4502"/>
        </w:trPr>
        <w:tc>
          <w:tcPr>
            <w:tcW w:w="2479" w:type="dxa"/>
            <w:vAlign w:val="center"/>
          </w:tcPr>
          <w:p w14:paraId="68106BCA" w14:textId="77777777" w:rsidR="008B50CF" w:rsidRPr="00D6050D" w:rsidRDefault="008B50CF" w:rsidP="00A35221">
            <w:pPr>
              <w:rPr>
                <w:rFonts w:ascii="Calibri" w:hAnsi="Calibri" w:cs="Calibri"/>
                <w:sz w:val="22"/>
                <w:szCs w:val="22"/>
              </w:rPr>
            </w:pPr>
            <w:r w:rsidRPr="00D6050D">
              <w:rPr>
                <w:rFonts w:ascii="Calibri" w:hAnsi="Calibri" w:cs="Calibri"/>
                <w:sz w:val="22"/>
                <w:szCs w:val="22"/>
              </w:rPr>
              <w:t xml:space="preserve">-Improvement of existing office Infrastructure &amp; construction of new buildings: </w:t>
            </w:r>
          </w:p>
          <w:p w14:paraId="5904239C" w14:textId="77777777" w:rsidR="008B50CF" w:rsidRPr="00D6050D" w:rsidRDefault="008B50CF" w:rsidP="00A35221">
            <w:pPr>
              <w:rPr>
                <w:rFonts w:ascii="Calibri" w:hAnsi="Calibri" w:cs="Calibri"/>
                <w:sz w:val="22"/>
                <w:szCs w:val="22"/>
              </w:rPr>
            </w:pPr>
          </w:p>
          <w:p w14:paraId="0ED701D9" w14:textId="77777777" w:rsidR="008B50CF" w:rsidRPr="00D6050D" w:rsidRDefault="008B50CF" w:rsidP="00A35221">
            <w:pPr>
              <w:rPr>
                <w:rFonts w:ascii="Calibri" w:hAnsi="Calibri" w:cs="Calibri"/>
                <w:sz w:val="22"/>
                <w:szCs w:val="22"/>
              </w:rPr>
            </w:pPr>
            <w:r w:rsidRPr="00D6050D">
              <w:rPr>
                <w:rFonts w:ascii="Calibri" w:hAnsi="Calibri" w:cs="Calibri"/>
                <w:sz w:val="22"/>
                <w:szCs w:val="22"/>
              </w:rPr>
              <w:t>-Remodeling, Renovation, Rehabilitation existing structures and Construction of New Structures</w:t>
            </w:r>
          </w:p>
        </w:tc>
        <w:tc>
          <w:tcPr>
            <w:tcW w:w="2551" w:type="dxa"/>
            <w:vAlign w:val="center"/>
          </w:tcPr>
          <w:p w14:paraId="696EA411" w14:textId="77777777" w:rsidR="008B50CF" w:rsidRPr="00F70E7D" w:rsidRDefault="008B50CF" w:rsidP="00A35221">
            <w:pPr>
              <w:rPr>
                <w:rFonts w:ascii="Calibri" w:hAnsi="Calibri" w:cs="Calibri"/>
                <w:sz w:val="22"/>
                <w:szCs w:val="22"/>
              </w:rPr>
            </w:pPr>
            <w:r w:rsidRPr="00F70E7D">
              <w:rPr>
                <w:rFonts w:ascii="Calibri" w:hAnsi="Calibri" w:cs="Calibri"/>
                <w:sz w:val="22"/>
                <w:szCs w:val="22"/>
              </w:rPr>
              <w:t xml:space="preserve">Ergonomic work stations, improved office ambiance and hygiene at 5 Circle Offices, 16 Division Offices, 33 SDO, MRT Lab with office and </w:t>
            </w:r>
            <w:proofErr w:type="spellStart"/>
            <w:r w:rsidRPr="00F70E7D">
              <w:rPr>
                <w:rFonts w:ascii="Calibri" w:hAnsi="Calibri" w:cs="Calibri"/>
                <w:sz w:val="22"/>
                <w:szCs w:val="22"/>
              </w:rPr>
              <w:t>OpCenex</w:t>
            </w:r>
            <w:proofErr w:type="spellEnd"/>
            <w:r w:rsidRPr="00F70E7D">
              <w:rPr>
                <w:rFonts w:ascii="Calibri" w:hAnsi="Calibri" w:cs="Calibri"/>
                <w:sz w:val="22"/>
                <w:szCs w:val="22"/>
              </w:rPr>
              <w:t xml:space="preserve"> Enhanced Asset life for 123 Section Offices and 129 PSS buildings.</w:t>
            </w:r>
          </w:p>
          <w:p w14:paraId="54990FE5" w14:textId="77777777" w:rsidR="008B50CF" w:rsidRPr="00F70E7D" w:rsidRDefault="008B50CF" w:rsidP="00A35221">
            <w:pPr>
              <w:rPr>
                <w:rFonts w:ascii="Calibri" w:hAnsi="Calibri" w:cs="Calibri"/>
                <w:sz w:val="22"/>
                <w:szCs w:val="22"/>
              </w:rPr>
            </w:pPr>
          </w:p>
          <w:p w14:paraId="0F03975D" w14:textId="77777777" w:rsidR="008B50CF" w:rsidRPr="00F70E7D" w:rsidRDefault="008B50CF" w:rsidP="00A35221">
            <w:pPr>
              <w:rPr>
                <w:rFonts w:ascii="Calibri" w:hAnsi="Calibri" w:cs="Calibri"/>
                <w:sz w:val="22"/>
                <w:szCs w:val="22"/>
              </w:rPr>
            </w:pPr>
            <w:r w:rsidRPr="00F70E7D">
              <w:rPr>
                <w:rFonts w:ascii="Calibri" w:hAnsi="Calibri" w:cs="Calibri"/>
                <w:sz w:val="22"/>
                <w:szCs w:val="22"/>
              </w:rPr>
              <w:t xml:space="preserve">Work in Progress for </w:t>
            </w:r>
            <w:proofErr w:type="spellStart"/>
            <w:r w:rsidRPr="00F70E7D">
              <w:rPr>
                <w:rFonts w:ascii="Calibri" w:hAnsi="Calibri" w:cs="Calibri"/>
                <w:sz w:val="22"/>
                <w:szCs w:val="22"/>
              </w:rPr>
              <w:t>OpCenex</w:t>
            </w:r>
            <w:proofErr w:type="spellEnd"/>
            <w:r w:rsidRPr="00F70E7D">
              <w:rPr>
                <w:rFonts w:ascii="Calibri" w:hAnsi="Calibri" w:cs="Calibri"/>
                <w:sz w:val="22"/>
                <w:szCs w:val="22"/>
              </w:rPr>
              <w:t xml:space="preserve"> Extension, new Buildings at 11 Sections as 10section Office and 1 PSS Building.</w:t>
            </w:r>
          </w:p>
          <w:p w14:paraId="17D29617" w14:textId="77777777" w:rsidR="008B50CF" w:rsidRPr="00F70E7D" w:rsidRDefault="008B50CF" w:rsidP="00A35221">
            <w:pPr>
              <w:rPr>
                <w:rFonts w:ascii="Calibri" w:hAnsi="Calibri" w:cs="Calibri"/>
                <w:sz w:val="22"/>
                <w:szCs w:val="22"/>
              </w:rPr>
            </w:pPr>
          </w:p>
          <w:p w14:paraId="04D4B8E4" w14:textId="77777777" w:rsidR="008B50CF" w:rsidRPr="00F70E7D" w:rsidRDefault="008B50CF" w:rsidP="00A35221">
            <w:pPr>
              <w:rPr>
                <w:rFonts w:ascii="Calibri" w:hAnsi="Calibri" w:cs="Calibri"/>
                <w:sz w:val="22"/>
                <w:szCs w:val="22"/>
              </w:rPr>
            </w:pPr>
            <w:r w:rsidRPr="00F70E7D">
              <w:rPr>
                <w:rFonts w:ascii="Calibri" w:hAnsi="Calibri" w:cs="Calibri"/>
                <w:sz w:val="22"/>
                <w:szCs w:val="22"/>
              </w:rPr>
              <w:t xml:space="preserve">Canteen: Completed 4 </w:t>
            </w:r>
            <w:proofErr w:type="spellStart"/>
            <w:r w:rsidRPr="00F70E7D">
              <w:rPr>
                <w:rFonts w:ascii="Calibri" w:hAnsi="Calibri" w:cs="Calibri"/>
                <w:sz w:val="22"/>
                <w:szCs w:val="22"/>
              </w:rPr>
              <w:t>nos</w:t>
            </w:r>
            <w:proofErr w:type="spellEnd"/>
            <w:r w:rsidRPr="00F70E7D">
              <w:rPr>
                <w:rFonts w:ascii="Calibri" w:hAnsi="Calibri" w:cs="Calibri"/>
                <w:sz w:val="22"/>
                <w:szCs w:val="22"/>
              </w:rPr>
              <w:t xml:space="preserve">, 4 </w:t>
            </w:r>
            <w:proofErr w:type="spellStart"/>
            <w:r w:rsidRPr="00F70E7D">
              <w:rPr>
                <w:rFonts w:ascii="Calibri" w:hAnsi="Calibri" w:cs="Calibri"/>
                <w:sz w:val="22"/>
                <w:szCs w:val="22"/>
              </w:rPr>
              <w:t>nos</w:t>
            </w:r>
            <w:proofErr w:type="spellEnd"/>
            <w:r w:rsidRPr="00F70E7D">
              <w:rPr>
                <w:rFonts w:ascii="Calibri" w:hAnsi="Calibri" w:cs="Calibri"/>
                <w:sz w:val="22"/>
                <w:szCs w:val="22"/>
              </w:rPr>
              <w:t xml:space="preserve"> Work in progress.</w:t>
            </w:r>
          </w:p>
          <w:p w14:paraId="6FC5AFB5" w14:textId="77777777" w:rsidR="008B50CF" w:rsidRPr="00F70E7D" w:rsidRDefault="008B50CF" w:rsidP="00A35221">
            <w:pPr>
              <w:rPr>
                <w:rFonts w:ascii="Calibri" w:hAnsi="Calibri" w:cs="Calibri"/>
                <w:sz w:val="22"/>
                <w:szCs w:val="22"/>
              </w:rPr>
            </w:pPr>
          </w:p>
        </w:tc>
        <w:tc>
          <w:tcPr>
            <w:tcW w:w="3771" w:type="dxa"/>
          </w:tcPr>
          <w:p w14:paraId="0DF2AB64" w14:textId="77777777" w:rsidR="008B50CF" w:rsidRPr="001C1983" w:rsidRDefault="008B50CF" w:rsidP="00A35221">
            <w:pPr>
              <w:pStyle w:val="NormalWeb"/>
            </w:pPr>
            <w:r>
              <w:rPr>
                <w:noProof/>
                <w:lang w:val="en-IN" w:eastAsia="en-IN"/>
              </w:rPr>
              <w:drawing>
                <wp:anchor distT="0" distB="0" distL="114300" distR="114300" simplePos="0" relativeHeight="252200448" behindDoc="0" locked="0" layoutInCell="1" allowOverlap="1" wp14:anchorId="70998BFE" wp14:editId="4D9C8B81">
                  <wp:simplePos x="0" y="0"/>
                  <wp:positionH relativeFrom="margin">
                    <wp:posOffset>10795</wp:posOffset>
                  </wp:positionH>
                  <wp:positionV relativeFrom="margin">
                    <wp:posOffset>1941195</wp:posOffset>
                  </wp:positionV>
                  <wp:extent cx="2149772" cy="1828800"/>
                  <wp:effectExtent l="76200" t="76200" r="117475" b="114300"/>
                  <wp:wrapSquare wrapText="bothSides"/>
                  <wp:docPr id="92574916" name="Picture 92574916" descr="C:\Users\SANJU~1.LOD\AppData\Local\Temp\Rar$DIa14536.34623\OpCenEx Old Control Room (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SANJU~1.LOD\AppData\Local\Temp\Rar$DIa14536.34623\OpCenEx Old Control Room (3).jpeg"/>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2149772" cy="182880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14:sizeRelH relativeFrom="margin">
                    <wp14:pctWidth>0</wp14:pctWidth>
                  </wp14:sizeRelH>
                  <wp14:sizeRelV relativeFrom="margin">
                    <wp14:pctHeight>0</wp14:pctHeight>
                  </wp14:sizeRelV>
                </wp:anchor>
              </w:drawing>
            </w:r>
            <w:r>
              <w:rPr>
                <w:noProof/>
                <w:lang w:val="en-IN" w:eastAsia="en-IN"/>
              </w:rPr>
              <w:drawing>
                <wp:anchor distT="0" distB="0" distL="114300" distR="114300" simplePos="0" relativeHeight="252199424" behindDoc="0" locked="0" layoutInCell="1" allowOverlap="1" wp14:anchorId="09A0B400" wp14:editId="75261932">
                  <wp:simplePos x="0" y="0"/>
                  <wp:positionH relativeFrom="margin">
                    <wp:posOffset>10795</wp:posOffset>
                  </wp:positionH>
                  <wp:positionV relativeFrom="margin">
                    <wp:posOffset>76200</wp:posOffset>
                  </wp:positionV>
                  <wp:extent cx="2238375" cy="1743075"/>
                  <wp:effectExtent l="76200" t="76200" r="142875" b="142875"/>
                  <wp:wrapSquare wrapText="bothSides"/>
                  <wp:docPr id="3" name="Picture 3" descr="C:\Users\SANJU~1.LOD\AppData\Local\Temp\Rar$DIa14536.29425\HOTT Center Balasore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SANJU~1.LOD\AppData\Local\Temp\Rar$DIa14536.29425\HOTT Center Balasore (1).jpg"/>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2238375" cy="174307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14:sizeRelH relativeFrom="margin">
                    <wp14:pctWidth>0</wp14:pctWidth>
                  </wp14:sizeRelH>
                  <wp14:sizeRelV relativeFrom="margin">
                    <wp14:pctHeight>0</wp14:pctHeight>
                  </wp14:sizeRelV>
                </wp:anchor>
              </w:drawing>
            </w:r>
          </w:p>
        </w:tc>
      </w:tr>
      <w:tr w:rsidR="008B50CF" w:rsidRPr="00D6050D" w14:paraId="748CBD93" w14:textId="77777777" w:rsidTr="00A35221">
        <w:trPr>
          <w:trHeight w:val="3607"/>
        </w:trPr>
        <w:tc>
          <w:tcPr>
            <w:tcW w:w="2479" w:type="dxa"/>
            <w:vAlign w:val="center"/>
          </w:tcPr>
          <w:p w14:paraId="438AE906" w14:textId="77777777" w:rsidR="008B50CF" w:rsidRPr="00D6050D" w:rsidRDefault="008B50CF" w:rsidP="00A35221">
            <w:pPr>
              <w:rPr>
                <w:rFonts w:ascii="Calibri" w:hAnsi="Calibri" w:cs="Calibri"/>
                <w:sz w:val="22"/>
                <w:szCs w:val="22"/>
              </w:rPr>
            </w:pPr>
            <w:r w:rsidRPr="00D6050D">
              <w:rPr>
                <w:rFonts w:ascii="Calibri" w:hAnsi="Calibri" w:cs="Calibri"/>
                <w:sz w:val="22"/>
                <w:szCs w:val="22"/>
              </w:rPr>
              <w:t>-Infrastructure development/ improvement for Customers:</w:t>
            </w:r>
          </w:p>
          <w:p w14:paraId="431A51B0" w14:textId="77777777" w:rsidR="008B50CF" w:rsidRPr="00D6050D" w:rsidRDefault="008B50CF" w:rsidP="00A35221">
            <w:pPr>
              <w:rPr>
                <w:rFonts w:ascii="Calibri" w:hAnsi="Calibri" w:cs="Calibri"/>
                <w:sz w:val="22"/>
                <w:szCs w:val="22"/>
              </w:rPr>
            </w:pPr>
          </w:p>
          <w:p w14:paraId="63BCA3DA" w14:textId="77777777" w:rsidR="008B50CF" w:rsidRPr="00D6050D" w:rsidRDefault="008B50CF" w:rsidP="00A35221">
            <w:pPr>
              <w:rPr>
                <w:rFonts w:ascii="Calibri" w:hAnsi="Calibri" w:cs="Calibri"/>
                <w:sz w:val="22"/>
                <w:szCs w:val="22"/>
              </w:rPr>
            </w:pPr>
            <w:r w:rsidRPr="00D6050D">
              <w:rPr>
                <w:rFonts w:ascii="Calibri" w:hAnsi="Calibri" w:cs="Calibri"/>
                <w:sz w:val="22"/>
                <w:szCs w:val="22"/>
              </w:rPr>
              <w:t>-To improve access points and provide early resolution</w:t>
            </w:r>
          </w:p>
        </w:tc>
        <w:tc>
          <w:tcPr>
            <w:tcW w:w="2551" w:type="dxa"/>
            <w:vAlign w:val="center"/>
          </w:tcPr>
          <w:p w14:paraId="56E6D702" w14:textId="77777777" w:rsidR="008B50CF" w:rsidRPr="00F70E7D" w:rsidRDefault="008B50CF" w:rsidP="00A35221">
            <w:pPr>
              <w:rPr>
                <w:rFonts w:ascii="Calibri" w:hAnsi="Calibri" w:cs="Calibri"/>
                <w:sz w:val="22"/>
                <w:szCs w:val="22"/>
              </w:rPr>
            </w:pPr>
            <w:r w:rsidRPr="00F70E7D">
              <w:rPr>
                <w:rFonts w:ascii="Calibri" w:hAnsi="Calibri" w:cs="Calibri"/>
                <w:sz w:val="22"/>
                <w:szCs w:val="22"/>
              </w:rPr>
              <w:t xml:space="preserve">Customer Care: 16 nos. with Consumer Friendly Infra., ergonomic counters and shaded waiting zone 137 Anubhav </w:t>
            </w:r>
            <w:proofErr w:type="spellStart"/>
            <w:r w:rsidRPr="00F70E7D">
              <w:rPr>
                <w:rFonts w:ascii="Calibri" w:hAnsi="Calibri" w:cs="Calibri"/>
                <w:sz w:val="22"/>
                <w:szCs w:val="22"/>
              </w:rPr>
              <w:t>Kendras</w:t>
            </w:r>
            <w:proofErr w:type="spellEnd"/>
            <w:r w:rsidRPr="00F70E7D">
              <w:rPr>
                <w:rFonts w:ascii="Calibri" w:hAnsi="Calibri" w:cs="Calibri"/>
                <w:sz w:val="22"/>
                <w:szCs w:val="22"/>
              </w:rPr>
              <w:t xml:space="preserve"> at various GPs for easy access</w:t>
            </w:r>
          </w:p>
        </w:tc>
        <w:tc>
          <w:tcPr>
            <w:tcW w:w="3771" w:type="dxa"/>
          </w:tcPr>
          <w:p w14:paraId="70D34862" w14:textId="77777777" w:rsidR="008B50CF" w:rsidRPr="00D6050D" w:rsidRDefault="008B50CF" w:rsidP="00A35221">
            <w:pPr>
              <w:pStyle w:val="NormalWeb"/>
              <w:rPr>
                <w:rFonts w:ascii="Calibri" w:hAnsi="Calibri" w:cs="Calibri"/>
                <w:b/>
                <w:bCs/>
                <w:sz w:val="22"/>
                <w:szCs w:val="22"/>
              </w:rPr>
            </w:pPr>
            <w:r>
              <w:rPr>
                <w:noProof/>
                <w:lang w:val="en-IN" w:eastAsia="en-IN"/>
              </w:rPr>
              <w:drawing>
                <wp:anchor distT="0" distB="0" distL="114300" distR="114300" simplePos="0" relativeHeight="252198400" behindDoc="0" locked="0" layoutInCell="1" allowOverlap="1" wp14:anchorId="51A19204" wp14:editId="3E6B9139">
                  <wp:simplePos x="0" y="0"/>
                  <wp:positionH relativeFrom="margin">
                    <wp:posOffset>61595</wp:posOffset>
                  </wp:positionH>
                  <wp:positionV relativeFrom="margin">
                    <wp:posOffset>135255</wp:posOffset>
                  </wp:positionV>
                  <wp:extent cx="2203018" cy="2073275"/>
                  <wp:effectExtent l="76200" t="76200" r="121285" b="117475"/>
                  <wp:wrapSquare wrapText="bothSides"/>
                  <wp:docPr id="92574917" name="Picture 92574917" descr="C:\Users\SANJU~1.LOD\AppData\Local\Temp\Rar$DIa14536.23102\Anubhav Kendra Udala.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SANJU~1.LOD\AppData\Local\Temp\Rar$DIa14536.23102\Anubhav Kendra Udala.jpeg"/>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2203018" cy="207327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14:sizeRelH relativeFrom="margin">
                    <wp14:pctWidth>0</wp14:pctWidth>
                  </wp14:sizeRelH>
                  <wp14:sizeRelV relativeFrom="margin">
                    <wp14:pctHeight>0</wp14:pctHeight>
                  </wp14:sizeRelV>
                </wp:anchor>
              </w:drawing>
            </w:r>
          </w:p>
        </w:tc>
      </w:tr>
    </w:tbl>
    <w:p w14:paraId="67D5B0D8" w14:textId="77777777" w:rsidR="008B50CF" w:rsidRPr="002A2189" w:rsidRDefault="008B50CF" w:rsidP="00F616FB">
      <w:pPr>
        <w:pStyle w:val="ListParagraph"/>
        <w:spacing w:line="360" w:lineRule="auto"/>
        <w:ind w:left="567"/>
        <w:jc w:val="both"/>
        <w:rPr>
          <w:rFonts w:asciiTheme="minorHAnsi" w:hAnsiTheme="minorHAnsi" w:cstheme="minorHAnsi"/>
        </w:rPr>
      </w:pPr>
    </w:p>
    <w:p w14:paraId="2DE7973E" w14:textId="77777777" w:rsidR="0025136B" w:rsidRDefault="0025136B" w:rsidP="00E06740">
      <w:pPr>
        <w:pStyle w:val="ListParagraph"/>
        <w:spacing w:after="160" w:line="360" w:lineRule="auto"/>
        <w:ind w:left="-284" w:firstLine="851"/>
        <w:rPr>
          <w:rFonts w:asciiTheme="minorHAnsi" w:hAnsiTheme="minorHAnsi" w:cstheme="minorHAnsi"/>
          <w:b/>
          <w:sz w:val="28"/>
          <w:szCs w:val="28"/>
        </w:rPr>
      </w:pPr>
    </w:p>
    <w:p w14:paraId="66562C6B" w14:textId="77777777" w:rsidR="0025136B" w:rsidRDefault="0025136B" w:rsidP="00E06740">
      <w:pPr>
        <w:pStyle w:val="ListParagraph"/>
        <w:spacing w:after="160" w:line="360" w:lineRule="auto"/>
        <w:ind w:left="-284" w:firstLine="851"/>
        <w:rPr>
          <w:rFonts w:asciiTheme="minorHAnsi" w:hAnsiTheme="minorHAnsi" w:cstheme="minorHAnsi"/>
          <w:b/>
          <w:sz w:val="28"/>
          <w:szCs w:val="28"/>
        </w:rPr>
      </w:pPr>
    </w:p>
    <w:p w14:paraId="0B6211C4" w14:textId="77777777" w:rsidR="0025136B" w:rsidRDefault="0025136B" w:rsidP="00E06740">
      <w:pPr>
        <w:pStyle w:val="ListParagraph"/>
        <w:spacing w:after="160" w:line="360" w:lineRule="auto"/>
        <w:ind w:left="-284" w:firstLine="851"/>
        <w:rPr>
          <w:rFonts w:asciiTheme="minorHAnsi" w:hAnsiTheme="minorHAnsi" w:cstheme="minorHAnsi"/>
          <w:b/>
          <w:sz w:val="28"/>
          <w:szCs w:val="28"/>
        </w:rPr>
      </w:pPr>
    </w:p>
    <w:p w14:paraId="3DA4E803" w14:textId="77777777" w:rsidR="0025136B" w:rsidRDefault="0025136B" w:rsidP="00E06740">
      <w:pPr>
        <w:pStyle w:val="ListParagraph"/>
        <w:spacing w:after="160" w:line="360" w:lineRule="auto"/>
        <w:ind w:left="-284" w:firstLine="851"/>
        <w:rPr>
          <w:rFonts w:asciiTheme="minorHAnsi" w:hAnsiTheme="minorHAnsi" w:cstheme="minorHAnsi"/>
          <w:b/>
          <w:sz w:val="28"/>
          <w:szCs w:val="28"/>
        </w:rPr>
      </w:pPr>
    </w:p>
    <w:p w14:paraId="269C19CC" w14:textId="77777777" w:rsidR="0025136B" w:rsidRDefault="0025136B" w:rsidP="00E06740">
      <w:pPr>
        <w:pStyle w:val="ListParagraph"/>
        <w:spacing w:after="160" w:line="360" w:lineRule="auto"/>
        <w:ind w:left="-284" w:firstLine="851"/>
        <w:rPr>
          <w:rFonts w:asciiTheme="minorHAnsi" w:hAnsiTheme="minorHAnsi" w:cstheme="minorHAnsi"/>
          <w:b/>
          <w:sz w:val="28"/>
          <w:szCs w:val="28"/>
        </w:rPr>
      </w:pPr>
    </w:p>
    <w:p w14:paraId="40016EC3" w14:textId="4761F4F3" w:rsidR="00E06740" w:rsidRPr="000220B6" w:rsidRDefault="00EF24C0" w:rsidP="00E06740">
      <w:pPr>
        <w:pStyle w:val="ListParagraph"/>
        <w:spacing w:after="160" w:line="360" w:lineRule="auto"/>
        <w:ind w:left="-284" w:firstLine="851"/>
        <w:rPr>
          <w:rFonts w:asciiTheme="minorHAnsi" w:hAnsiTheme="minorHAnsi" w:cstheme="minorHAnsi"/>
          <w:b/>
          <w:sz w:val="28"/>
          <w:szCs w:val="28"/>
        </w:rPr>
      </w:pPr>
      <w:r>
        <w:rPr>
          <w:rFonts w:asciiTheme="minorHAnsi" w:hAnsiTheme="minorHAnsi" w:cstheme="minorHAnsi"/>
          <w:b/>
          <w:sz w:val="28"/>
          <w:szCs w:val="28"/>
        </w:rPr>
        <w:t>6.3</w:t>
      </w:r>
      <w:r w:rsidR="00E06740" w:rsidRPr="000220B6">
        <w:rPr>
          <w:rFonts w:asciiTheme="minorHAnsi" w:hAnsiTheme="minorHAnsi" w:cstheme="minorHAnsi"/>
          <w:b/>
          <w:sz w:val="28"/>
          <w:szCs w:val="28"/>
        </w:rPr>
        <w:t xml:space="preserve"> Initiatives Under Commercial</w:t>
      </w:r>
    </w:p>
    <w:p w14:paraId="1203078F" w14:textId="672AEB16" w:rsidR="00E06740" w:rsidRPr="00AE4B99" w:rsidRDefault="00F31663" w:rsidP="00E06740">
      <w:pPr>
        <w:pStyle w:val="ListParagraph"/>
        <w:spacing w:after="160" w:line="360" w:lineRule="auto"/>
        <w:ind w:left="-284" w:firstLine="851"/>
        <w:rPr>
          <w:rFonts w:asciiTheme="minorHAnsi" w:hAnsiTheme="minorHAnsi" w:cstheme="minorHAnsi"/>
          <w:b/>
          <w:sz w:val="24"/>
          <w:szCs w:val="28"/>
        </w:rPr>
      </w:pPr>
      <w:r>
        <w:rPr>
          <w:rFonts w:asciiTheme="minorHAnsi" w:hAnsiTheme="minorHAnsi" w:cstheme="minorHAnsi"/>
          <w:b/>
          <w:sz w:val="24"/>
          <w:szCs w:val="28"/>
        </w:rPr>
        <w:t>6.3.1</w:t>
      </w:r>
      <w:r w:rsidR="00E06740" w:rsidRPr="00AE4B99">
        <w:rPr>
          <w:rFonts w:asciiTheme="minorHAnsi" w:hAnsiTheme="minorHAnsi" w:cstheme="minorHAnsi"/>
          <w:b/>
          <w:sz w:val="24"/>
          <w:szCs w:val="28"/>
        </w:rPr>
        <w:t xml:space="preserve"> Highest OCR Based Billing</w:t>
      </w:r>
    </w:p>
    <w:p w14:paraId="1945AED3" w14:textId="77777777" w:rsidR="00E06740" w:rsidRPr="00BD5055" w:rsidRDefault="00E06740" w:rsidP="00E06740">
      <w:pPr>
        <w:spacing w:line="360" w:lineRule="auto"/>
        <w:ind w:left="567" w:hanging="207"/>
        <w:jc w:val="both"/>
        <w:rPr>
          <w:rFonts w:asciiTheme="minorHAnsi" w:hAnsiTheme="minorHAnsi" w:cstheme="minorHAnsi"/>
          <w:sz w:val="22"/>
          <w:szCs w:val="22"/>
        </w:rPr>
      </w:pPr>
      <w:r w:rsidRPr="00164773">
        <w:rPr>
          <w:rFonts w:asciiTheme="minorHAnsi" w:hAnsiTheme="minorHAnsi" w:cstheme="minorHAnsi"/>
          <w:noProof/>
          <w:sz w:val="22"/>
          <w:szCs w:val="22"/>
          <w:lang w:val="en-IN" w:eastAsia="en-IN"/>
        </w:rPr>
        <w:drawing>
          <wp:anchor distT="0" distB="0" distL="114300" distR="114300" simplePos="0" relativeHeight="252135936" behindDoc="1" locked="0" layoutInCell="1" allowOverlap="1" wp14:anchorId="68495BA8" wp14:editId="614E29E9">
            <wp:simplePos x="0" y="0"/>
            <wp:positionH relativeFrom="margin">
              <wp:posOffset>318770</wp:posOffset>
            </wp:positionH>
            <wp:positionV relativeFrom="paragraph">
              <wp:posOffset>1579245</wp:posOffset>
            </wp:positionV>
            <wp:extent cx="5524500" cy="2428875"/>
            <wp:effectExtent l="0" t="0" r="0" b="9525"/>
            <wp:wrapTight wrapText="bothSides">
              <wp:wrapPolygon edited="0">
                <wp:start x="0" y="0"/>
                <wp:lineTo x="0" y="21515"/>
                <wp:lineTo x="21526" y="21515"/>
                <wp:lineTo x="21526" y="0"/>
                <wp:lineTo x="0" y="0"/>
              </wp:wrapPolygon>
            </wp:wrapTight>
            <wp:docPr id="92574954" name="Chart 92574954"/>
            <wp:cNvGraphicFramePr/>
            <a:graphic xmlns:a="http://schemas.openxmlformats.org/drawingml/2006/main">
              <a:graphicData uri="http://schemas.openxmlformats.org/drawingml/2006/chart">
                <c:chart xmlns:c="http://schemas.openxmlformats.org/drawingml/2006/chart" xmlns:r="http://schemas.openxmlformats.org/officeDocument/2006/relationships" r:id="rId112"/>
              </a:graphicData>
            </a:graphic>
            <wp14:sizeRelH relativeFrom="margin">
              <wp14:pctWidth>0</wp14:pctWidth>
            </wp14:sizeRelH>
            <wp14:sizeRelV relativeFrom="margin">
              <wp14:pctHeight>0</wp14:pctHeight>
            </wp14:sizeRelV>
          </wp:anchor>
        </w:drawing>
      </w:r>
      <w:r w:rsidRPr="00BD5055">
        <w:rPr>
          <w:rFonts w:asciiTheme="minorHAnsi" w:hAnsiTheme="minorHAnsi" w:cstheme="minorHAnsi"/>
          <w:sz w:val="22"/>
          <w:szCs w:val="22"/>
        </w:rPr>
        <w:t xml:space="preserve">  </w:t>
      </w:r>
      <w:r>
        <w:rPr>
          <w:rFonts w:asciiTheme="minorHAnsi" w:hAnsiTheme="minorHAnsi" w:cstheme="minorHAnsi"/>
          <w:sz w:val="22"/>
          <w:szCs w:val="22"/>
        </w:rPr>
        <w:t xml:space="preserve">  </w:t>
      </w:r>
      <w:r w:rsidRPr="00BD5055">
        <w:rPr>
          <w:rFonts w:asciiTheme="minorHAnsi" w:hAnsiTheme="minorHAnsi" w:cstheme="minorHAnsi"/>
          <w:sz w:val="22"/>
          <w:szCs w:val="22"/>
        </w:rPr>
        <w:t xml:space="preserve"> In order to enhance the accuracy of single-phase billing</w:t>
      </w:r>
      <w:r>
        <w:rPr>
          <w:rFonts w:asciiTheme="minorHAnsi" w:hAnsiTheme="minorHAnsi" w:cstheme="minorHAnsi"/>
          <w:sz w:val="22"/>
          <w:szCs w:val="22"/>
        </w:rPr>
        <w:t>,</w:t>
      </w:r>
      <w:r w:rsidRPr="00BD5055">
        <w:rPr>
          <w:rFonts w:asciiTheme="minorHAnsi" w:hAnsiTheme="minorHAnsi" w:cstheme="minorHAnsi"/>
          <w:sz w:val="22"/>
          <w:szCs w:val="22"/>
        </w:rPr>
        <w:t xml:space="preserve"> TPNODL</w:t>
      </w:r>
      <w:r>
        <w:rPr>
          <w:rFonts w:asciiTheme="minorHAnsi" w:hAnsiTheme="minorHAnsi" w:cstheme="minorHAnsi"/>
          <w:sz w:val="22"/>
          <w:szCs w:val="22"/>
        </w:rPr>
        <w:t xml:space="preserve"> has</w:t>
      </w:r>
      <w:r w:rsidRPr="00BD5055">
        <w:rPr>
          <w:rFonts w:asciiTheme="minorHAnsi" w:hAnsiTheme="minorHAnsi" w:cstheme="minorHAnsi"/>
          <w:sz w:val="22"/>
          <w:szCs w:val="22"/>
        </w:rPr>
        <w:t xml:space="preserve"> adopted AI &amp; Optical Characteristic based meter reading in </w:t>
      </w:r>
      <w:r>
        <w:rPr>
          <w:rFonts w:asciiTheme="minorHAnsi" w:hAnsiTheme="minorHAnsi" w:cstheme="minorHAnsi"/>
          <w:sz w:val="22"/>
          <w:szCs w:val="22"/>
        </w:rPr>
        <w:t>FY23</w:t>
      </w:r>
      <w:r w:rsidRPr="00BD5055">
        <w:rPr>
          <w:rFonts w:asciiTheme="minorHAnsi" w:hAnsiTheme="minorHAnsi" w:cstheme="minorHAnsi"/>
          <w:sz w:val="22"/>
          <w:szCs w:val="22"/>
        </w:rPr>
        <w:t xml:space="preserve">. By multipronged approach like frequent training for </w:t>
      </w:r>
      <w:r>
        <w:rPr>
          <w:rFonts w:asciiTheme="minorHAnsi" w:hAnsiTheme="minorHAnsi" w:cstheme="minorHAnsi"/>
          <w:sz w:val="22"/>
          <w:szCs w:val="22"/>
        </w:rPr>
        <w:t>m</w:t>
      </w:r>
      <w:r w:rsidRPr="00BD5055">
        <w:rPr>
          <w:rFonts w:asciiTheme="minorHAnsi" w:hAnsiTheme="minorHAnsi" w:cstheme="minorHAnsi"/>
          <w:sz w:val="22"/>
          <w:szCs w:val="22"/>
        </w:rPr>
        <w:t xml:space="preserve">eter </w:t>
      </w:r>
      <w:r>
        <w:rPr>
          <w:rFonts w:asciiTheme="minorHAnsi" w:hAnsiTheme="minorHAnsi" w:cstheme="minorHAnsi"/>
          <w:sz w:val="22"/>
          <w:szCs w:val="22"/>
        </w:rPr>
        <w:t>r</w:t>
      </w:r>
      <w:r w:rsidRPr="00BD5055">
        <w:rPr>
          <w:rFonts w:asciiTheme="minorHAnsi" w:hAnsiTheme="minorHAnsi" w:cstheme="minorHAnsi"/>
          <w:sz w:val="22"/>
          <w:szCs w:val="22"/>
        </w:rPr>
        <w:t xml:space="preserve">eaders, </w:t>
      </w:r>
      <w:r>
        <w:rPr>
          <w:rFonts w:asciiTheme="minorHAnsi" w:hAnsiTheme="minorHAnsi" w:cstheme="minorHAnsi"/>
          <w:sz w:val="22"/>
          <w:szCs w:val="22"/>
        </w:rPr>
        <w:t>d</w:t>
      </w:r>
      <w:r w:rsidRPr="00BD5055">
        <w:rPr>
          <w:rFonts w:asciiTheme="minorHAnsi" w:hAnsiTheme="minorHAnsi" w:cstheme="minorHAnsi"/>
          <w:sz w:val="22"/>
          <w:szCs w:val="22"/>
        </w:rPr>
        <w:t>aily monitoring from field as well as from Corporate level have improved OCR based meter reading to 9</w:t>
      </w:r>
      <w:r>
        <w:rPr>
          <w:rFonts w:asciiTheme="minorHAnsi" w:hAnsiTheme="minorHAnsi" w:cstheme="minorHAnsi"/>
          <w:sz w:val="22"/>
          <w:szCs w:val="22"/>
        </w:rPr>
        <w:t>6</w:t>
      </w:r>
      <w:r w:rsidRPr="00BD5055">
        <w:rPr>
          <w:rFonts w:asciiTheme="minorHAnsi" w:hAnsiTheme="minorHAnsi" w:cstheme="minorHAnsi"/>
          <w:sz w:val="22"/>
          <w:szCs w:val="22"/>
        </w:rPr>
        <w:t xml:space="preserve">% at the end of the H1 of Current financial year. With this technology driven initiative we have ensured </w:t>
      </w:r>
      <w:r>
        <w:rPr>
          <w:rFonts w:asciiTheme="minorHAnsi" w:hAnsiTheme="minorHAnsi" w:cstheme="minorHAnsi"/>
          <w:sz w:val="22"/>
          <w:szCs w:val="22"/>
        </w:rPr>
        <w:t xml:space="preserve">error free billing to the </w:t>
      </w:r>
      <w:r w:rsidRPr="00BD5055">
        <w:rPr>
          <w:rFonts w:asciiTheme="minorHAnsi" w:hAnsiTheme="minorHAnsi" w:cstheme="minorHAnsi"/>
          <w:sz w:val="22"/>
          <w:szCs w:val="22"/>
        </w:rPr>
        <w:t>consumers</w:t>
      </w:r>
      <w:r>
        <w:rPr>
          <w:rFonts w:asciiTheme="minorHAnsi" w:hAnsiTheme="minorHAnsi" w:cstheme="minorHAnsi"/>
          <w:sz w:val="22"/>
          <w:szCs w:val="22"/>
        </w:rPr>
        <w:t>.</w:t>
      </w:r>
    </w:p>
    <w:p w14:paraId="21509F22" w14:textId="77777777" w:rsidR="00E06740" w:rsidRDefault="00E06740" w:rsidP="00E06740">
      <w:pPr>
        <w:spacing w:line="360" w:lineRule="auto"/>
        <w:ind w:left="567"/>
        <w:jc w:val="center"/>
        <w:rPr>
          <w:rFonts w:asciiTheme="minorHAnsi" w:eastAsia="Calibri" w:hAnsiTheme="minorHAnsi" w:cstheme="minorHAnsi"/>
          <w:b/>
          <w:sz w:val="28"/>
          <w:szCs w:val="28"/>
        </w:rPr>
      </w:pPr>
      <w:r>
        <w:rPr>
          <w:noProof/>
          <w:lang w:val="en-IN" w:eastAsia="en-IN"/>
        </w:rPr>
        <w:drawing>
          <wp:anchor distT="0" distB="0" distL="114300" distR="114300" simplePos="0" relativeHeight="252156416" behindDoc="1" locked="0" layoutInCell="1" allowOverlap="1" wp14:anchorId="0EAACB21" wp14:editId="5E90C4D2">
            <wp:simplePos x="0" y="0"/>
            <wp:positionH relativeFrom="column">
              <wp:posOffset>318770</wp:posOffset>
            </wp:positionH>
            <wp:positionV relativeFrom="paragraph">
              <wp:posOffset>2929255</wp:posOffset>
            </wp:positionV>
            <wp:extent cx="5524500" cy="2894330"/>
            <wp:effectExtent l="76200" t="76200" r="133350" b="134620"/>
            <wp:wrapTight wrapText="bothSides">
              <wp:wrapPolygon edited="0">
                <wp:start x="-149" y="-569"/>
                <wp:lineTo x="-298" y="-427"/>
                <wp:lineTo x="-298" y="21894"/>
                <wp:lineTo x="-149" y="22462"/>
                <wp:lineTo x="21898" y="22462"/>
                <wp:lineTo x="21898" y="22320"/>
                <wp:lineTo x="22047" y="20188"/>
                <wp:lineTo x="22047" y="1848"/>
                <wp:lineTo x="21898" y="-284"/>
                <wp:lineTo x="21898" y="-569"/>
                <wp:lineTo x="-149" y="-569"/>
              </wp:wrapPolygon>
            </wp:wrapTight>
            <wp:docPr id="212922769" name="Picture 2129227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13">
                      <a:extLst>
                        <a:ext uri="{28A0092B-C50C-407E-A947-70E740481C1C}">
                          <a14:useLocalDpi xmlns:a14="http://schemas.microsoft.com/office/drawing/2010/main" val="0"/>
                        </a:ext>
                      </a:extLst>
                    </a:blip>
                    <a:srcRect t="49763"/>
                    <a:stretch/>
                  </pic:blipFill>
                  <pic:spPr bwMode="auto">
                    <a:xfrm>
                      <a:off x="0" y="0"/>
                      <a:ext cx="5524500" cy="289433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a:extLst>
                      <a:ext uri="{53640926-AAD7-44D8-BBD7-CCE9431645EC}">
                        <a14:shadowObscured xmlns:a14="http://schemas.microsoft.com/office/drawing/2010/main"/>
                      </a:ext>
                    </a:extLst>
                  </pic:spPr>
                </pic:pic>
              </a:graphicData>
            </a:graphic>
            <wp14:sizeRelH relativeFrom="margin">
              <wp14:pctWidth>0</wp14:pctWidth>
            </wp14:sizeRelH>
          </wp:anchor>
        </w:drawing>
      </w:r>
    </w:p>
    <w:p w14:paraId="1AD0DA7F" w14:textId="4D967675" w:rsidR="00E06740" w:rsidRDefault="00E06740" w:rsidP="00E06740">
      <w:pPr>
        <w:spacing w:line="360" w:lineRule="auto"/>
        <w:rPr>
          <w:rFonts w:asciiTheme="minorHAnsi" w:eastAsia="Calibri" w:hAnsiTheme="minorHAnsi" w:cstheme="minorHAnsi"/>
          <w:b/>
          <w:sz w:val="28"/>
          <w:szCs w:val="28"/>
        </w:rPr>
      </w:pPr>
    </w:p>
    <w:p w14:paraId="204B4E0F" w14:textId="77777777" w:rsidR="0025136B" w:rsidRDefault="0025136B" w:rsidP="00E06740">
      <w:pPr>
        <w:spacing w:line="360" w:lineRule="auto"/>
        <w:rPr>
          <w:rFonts w:asciiTheme="minorHAnsi" w:eastAsia="Calibri" w:hAnsiTheme="minorHAnsi" w:cstheme="minorHAnsi"/>
          <w:b/>
          <w:sz w:val="28"/>
          <w:szCs w:val="28"/>
        </w:rPr>
      </w:pPr>
    </w:p>
    <w:p w14:paraId="595AFEEB" w14:textId="77777777" w:rsidR="00E06740" w:rsidRDefault="00E06740" w:rsidP="00E06740">
      <w:pPr>
        <w:spacing w:line="360" w:lineRule="auto"/>
        <w:rPr>
          <w:rFonts w:asciiTheme="minorHAnsi" w:eastAsia="Calibri" w:hAnsiTheme="minorHAnsi" w:cstheme="minorHAnsi"/>
          <w:b/>
          <w:sz w:val="28"/>
          <w:szCs w:val="28"/>
        </w:rPr>
      </w:pPr>
    </w:p>
    <w:p w14:paraId="12F273D6" w14:textId="179E048E" w:rsidR="00E06740" w:rsidRPr="002A2189" w:rsidRDefault="00E06740" w:rsidP="00E06740">
      <w:pPr>
        <w:spacing w:line="360" w:lineRule="auto"/>
        <w:ind w:firstLine="360"/>
        <w:contextualSpacing/>
        <w:rPr>
          <w:rFonts w:asciiTheme="minorHAnsi" w:eastAsia="Calibri" w:hAnsiTheme="minorHAnsi" w:cstheme="minorHAnsi"/>
          <w:b/>
          <w:sz w:val="20"/>
          <w:szCs w:val="22"/>
        </w:rPr>
      </w:pPr>
      <w:r>
        <w:rPr>
          <w:rFonts w:asciiTheme="minorHAnsi" w:eastAsia="Calibri" w:hAnsiTheme="minorHAnsi" w:cstheme="minorHAnsi"/>
          <w:b/>
          <w:szCs w:val="28"/>
        </w:rPr>
        <w:t xml:space="preserve">   </w:t>
      </w:r>
      <w:r w:rsidR="00F31663">
        <w:rPr>
          <w:rFonts w:asciiTheme="minorHAnsi" w:eastAsia="Calibri" w:hAnsiTheme="minorHAnsi" w:cstheme="minorHAnsi"/>
          <w:b/>
          <w:szCs w:val="28"/>
        </w:rPr>
        <w:t>6.3.2</w:t>
      </w:r>
      <w:r w:rsidRPr="00AE4B99">
        <w:rPr>
          <w:rFonts w:asciiTheme="minorHAnsi" w:eastAsia="Calibri" w:hAnsiTheme="minorHAnsi" w:cstheme="minorHAnsi"/>
          <w:b/>
          <w:szCs w:val="28"/>
        </w:rPr>
        <w:t xml:space="preserve"> Lowest Provisional &amp; Average Billing</w:t>
      </w:r>
    </w:p>
    <w:p w14:paraId="7A5292E2" w14:textId="77777777" w:rsidR="00E06740" w:rsidRDefault="00E06740" w:rsidP="00E06740">
      <w:pPr>
        <w:spacing w:line="360" w:lineRule="auto"/>
        <w:ind w:left="567"/>
        <w:jc w:val="both"/>
        <w:rPr>
          <w:rFonts w:asciiTheme="minorHAnsi" w:hAnsiTheme="minorHAnsi" w:cstheme="minorHAnsi"/>
          <w:sz w:val="22"/>
          <w:szCs w:val="22"/>
        </w:rPr>
      </w:pPr>
      <w:r w:rsidRPr="00BD5055">
        <w:rPr>
          <w:rFonts w:asciiTheme="minorHAnsi" w:hAnsiTheme="minorHAnsi" w:cstheme="minorHAnsi"/>
          <w:sz w:val="22"/>
          <w:szCs w:val="22"/>
        </w:rPr>
        <w:t xml:space="preserve">Rigorous training, follow-ups &amp; monitoring of meter readers performance for adhering </w:t>
      </w:r>
      <w:r>
        <w:rPr>
          <w:rFonts w:asciiTheme="minorHAnsi" w:hAnsiTheme="minorHAnsi" w:cstheme="minorHAnsi"/>
          <w:sz w:val="22"/>
          <w:szCs w:val="22"/>
        </w:rPr>
        <w:t xml:space="preserve">to </w:t>
      </w:r>
      <w:r w:rsidRPr="00BD5055">
        <w:rPr>
          <w:rFonts w:asciiTheme="minorHAnsi" w:hAnsiTheme="minorHAnsi" w:cstheme="minorHAnsi"/>
          <w:sz w:val="22"/>
          <w:szCs w:val="22"/>
        </w:rPr>
        <w:t>MRU wise meter reading</w:t>
      </w:r>
      <w:r>
        <w:rPr>
          <w:rFonts w:asciiTheme="minorHAnsi" w:hAnsiTheme="minorHAnsi" w:cstheme="minorHAnsi"/>
          <w:sz w:val="22"/>
          <w:szCs w:val="22"/>
        </w:rPr>
        <w:t xml:space="preserve"> schedule have</w:t>
      </w:r>
      <w:r w:rsidRPr="00BD5055">
        <w:rPr>
          <w:rFonts w:asciiTheme="minorHAnsi" w:hAnsiTheme="minorHAnsi" w:cstheme="minorHAnsi"/>
          <w:sz w:val="22"/>
          <w:szCs w:val="22"/>
        </w:rPr>
        <w:t xml:space="preserve"> led</w:t>
      </w:r>
      <w:r>
        <w:rPr>
          <w:rFonts w:asciiTheme="minorHAnsi" w:hAnsiTheme="minorHAnsi" w:cstheme="minorHAnsi"/>
          <w:sz w:val="22"/>
          <w:szCs w:val="22"/>
        </w:rPr>
        <w:t xml:space="preserve"> to substantial reduction in Provisional Billing to 1.41% and replacement of 2.5 lacs of defective &amp; faulty meters have contributed in reducing the Average billing to 1.78%. </w:t>
      </w:r>
      <w:r w:rsidRPr="00BD5055">
        <w:rPr>
          <w:rFonts w:asciiTheme="minorHAnsi" w:hAnsiTheme="minorHAnsi" w:cstheme="minorHAnsi"/>
          <w:sz w:val="22"/>
          <w:szCs w:val="22"/>
        </w:rPr>
        <w:t>At the end of the H1 of CFY we have achieved highest ever actual billing of 9</w:t>
      </w:r>
      <w:r>
        <w:rPr>
          <w:rFonts w:asciiTheme="minorHAnsi" w:hAnsiTheme="minorHAnsi" w:cstheme="minorHAnsi"/>
          <w:sz w:val="22"/>
          <w:szCs w:val="22"/>
        </w:rPr>
        <w:t>6.81.</w:t>
      </w:r>
      <w:r w:rsidRPr="00BD5055">
        <w:rPr>
          <w:rFonts w:asciiTheme="minorHAnsi" w:hAnsiTheme="minorHAnsi" w:cstheme="minorHAnsi"/>
          <w:sz w:val="22"/>
          <w:szCs w:val="22"/>
        </w:rPr>
        <w:t xml:space="preserve"> </w:t>
      </w:r>
    </w:p>
    <w:p w14:paraId="4CD9E681" w14:textId="2537D861" w:rsidR="00E06740" w:rsidRPr="0009234C" w:rsidRDefault="008045FA" w:rsidP="00E06740">
      <w:pPr>
        <w:spacing w:line="360" w:lineRule="auto"/>
        <w:rPr>
          <w:rFonts w:asciiTheme="minorHAnsi" w:hAnsiTheme="minorHAnsi" w:cstheme="minorHAnsi"/>
          <w:b/>
          <w:sz w:val="22"/>
          <w:szCs w:val="22"/>
        </w:rPr>
      </w:pPr>
      <w:r>
        <w:rPr>
          <w:noProof/>
          <w:lang w:val="en-IN" w:eastAsia="en-IN"/>
        </w:rPr>
        <w:drawing>
          <wp:anchor distT="0" distB="0" distL="114300" distR="114300" simplePos="0" relativeHeight="252157440" behindDoc="1" locked="0" layoutInCell="1" allowOverlap="1" wp14:anchorId="21F7E425" wp14:editId="08024BD1">
            <wp:simplePos x="0" y="0"/>
            <wp:positionH relativeFrom="margin">
              <wp:posOffset>441960</wp:posOffset>
            </wp:positionH>
            <wp:positionV relativeFrom="paragraph">
              <wp:posOffset>3953510</wp:posOffset>
            </wp:positionV>
            <wp:extent cx="5591175" cy="1943100"/>
            <wp:effectExtent l="76200" t="76200" r="142875" b="133350"/>
            <wp:wrapTight wrapText="bothSides">
              <wp:wrapPolygon edited="0">
                <wp:start x="-147" y="-847"/>
                <wp:lineTo x="-294" y="-635"/>
                <wp:lineTo x="-294" y="22024"/>
                <wp:lineTo x="-147" y="22871"/>
                <wp:lineTo x="21931" y="22871"/>
                <wp:lineTo x="22078" y="19906"/>
                <wp:lineTo x="22078" y="2753"/>
                <wp:lineTo x="21931" y="-424"/>
                <wp:lineTo x="21931" y="-847"/>
                <wp:lineTo x="-147" y="-847"/>
              </wp:wrapPolygon>
            </wp:wrapTight>
            <wp:docPr id="92574956" name="Picture 925749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5591175" cy="194310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14:sizeRelH relativeFrom="margin">
              <wp14:pctWidth>0</wp14:pctWidth>
            </wp14:sizeRelH>
            <wp14:sizeRelV relativeFrom="margin">
              <wp14:pctHeight>0</wp14:pctHeight>
            </wp14:sizeRelV>
          </wp:anchor>
        </w:drawing>
      </w:r>
      <w:r w:rsidRPr="007A42B5">
        <w:rPr>
          <w:rFonts w:asciiTheme="minorHAnsi" w:hAnsiTheme="minorHAnsi" w:cstheme="minorHAnsi"/>
          <w:noProof/>
          <w:sz w:val="22"/>
          <w:szCs w:val="22"/>
          <w:lang w:val="en-IN" w:eastAsia="en-IN"/>
        </w:rPr>
        <w:drawing>
          <wp:anchor distT="0" distB="0" distL="114300" distR="114300" simplePos="0" relativeHeight="252155392" behindDoc="1" locked="0" layoutInCell="1" allowOverlap="1" wp14:anchorId="71734D9C" wp14:editId="32BF4238">
            <wp:simplePos x="0" y="0"/>
            <wp:positionH relativeFrom="margin">
              <wp:align>right</wp:align>
            </wp:positionH>
            <wp:positionV relativeFrom="paragraph">
              <wp:posOffset>1981835</wp:posOffset>
            </wp:positionV>
            <wp:extent cx="5638800" cy="1790700"/>
            <wp:effectExtent l="0" t="0" r="0" b="0"/>
            <wp:wrapTight wrapText="bothSides">
              <wp:wrapPolygon edited="0">
                <wp:start x="0" y="0"/>
                <wp:lineTo x="0" y="21370"/>
                <wp:lineTo x="21527" y="21370"/>
                <wp:lineTo x="21527" y="0"/>
                <wp:lineTo x="0" y="0"/>
              </wp:wrapPolygon>
            </wp:wrapTight>
            <wp:docPr id="20" name="Chart 20"/>
            <wp:cNvGraphicFramePr/>
            <a:graphic xmlns:a="http://schemas.openxmlformats.org/drawingml/2006/main">
              <a:graphicData uri="http://schemas.openxmlformats.org/drawingml/2006/chart">
                <c:chart xmlns:c="http://schemas.openxmlformats.org/drawingml/2006/chart" xmlns:r="http://schemas.openxmlformats.org/officeDocument/2006/relationships" r:id="rId115"/>
              </a:graphicData>
            </a:graphic>
            <wp14:sizeRelH relativeFrom="margin">
              <wp14:pctWidth>0</wp14:pctWidth>
            </wp14:sizeRelH>
            <wp14:sizeRelV relativeFrom="margin">
              <wp14:pctHeight>0</wp14:pctHeight>
            </wp14:sizeRelV>
          </wp:anchor>
        </w:drawing>
      </w:r>
      <w:r w:rsidRPr="00164773">
        <w:rPr>
          <w:rFonts w:asciiTheme="minorHAnsi" w:hAnsiTheme="minorHAnsi" w:cstheme="minorHAnsi"/>
          <w:noProof/>
          <w:sz w:val="22"/>
          <w:szCs w:val="22"/>
          <w:lang w:val="en-IN" w:eastAsia="en-IN"/>
        </w:rPr>
        <w:drawing>
          <wp:anchor distT="0" distB="0" distL="114300" distR="114300" simplePos="0" relativeHeight="252136960" behindDoc="1" locked="0" layoutInCell="1" allowOverlap="1" wp14:anchorId="01035AC9" wp14:editId="60F916A9">
            <wp:simplePos x="0" y="0"/>
            <wp:positionH relativeFrom="margin">
              <wp:posOffset>394335</wp:posOffset>
            </wp:positionH>
            <wp:positionV relativeFrom="paragraph">
              <wp:posOffset>38735</wp:posOffset>
            </wp:positionV>
            <wp:extent cx="5629275" cy="1819275"/>
            <wp:effectExtent l="0" t="0" r="9525" b="9525"/>
            <wp:wrapTight wrapText="bothSides">
              <wp:wrapPolygon edited="0">
                <wp:start x="0" y="0"/>
                <wp:lineTo x="0" y="21487"/>
                <wp:lineTo x="21563" y="21487"/>
                <wp:lineTo x="21563" y="0"/>
                <wp:lineTo x="0" y="0"/>
              </wp:wrapPolygon>
            </wp:wrapTight>
            <wp:docPr id="92574955" name="Chart 92574955"/>
            <wp:cNvGraphicFramePr/>
            <a:graphic xmlns:a="http://schemas.openxmlformats.org/drawingml/2006/main">
              <a:graphicData uri="http://schemas.openxmlformats.org/drawingml/2006/chart">
                <c:chart xmlns:c="http://schemas.openxmlformats.org/drawingml/2006/chart" xmlns:r="http://schemas.openxmlformats.org/officeDocument/2006/relationships" r:id="rId116"/>
              </a:graphicData>
            </a:graphic>
            <wp14:sizeRelH relativeFrom="margin">
              <wp14:pctWidth>0</wp14:pctWidth>
            </wp14:sizeRelH>
            <wp14:sizeRelV relativeFrom="margin">
              <wp14:pctHeight>0</wp14:pctHeight>
            </wp14:sizeRelV>
          </wp:anchor>
        </w:drawing>
      </w:r>
    </w:p>
    <w:p w14:paraId="5E6CCD2F" w14:textId="77777777" w:rsidR="00E06740" w:rsidRDefault="00E06740" w:rsidP="00E06740">
      <w:pPr>
        <w:spacing w:line="360" w:lineRule="auto"/>
        <w:ind w:left="567"/>
        <w:contextualSpacing/>
        <w:jc w:val="center"/>
        <w:rPr>
          <w:rFonts w:asciiTheme="minorHAnsi" w:eastAsia="Calibri" w:hAnsiTheme="minorHAnsi" w:cstheme="minorHAnsi"/>
          <w:b/>
          <w:szCs w:val="28"/>
        </w:rPr>
      </w:pPr>
      <w:r>
        <w:rPr>
          <w:rFonts w:asciiTheme="minorHAnsi" w:eastAsia="Calibri" w:hAnsiTheme="minorHAnsi" w:cstheme="minorHAnsi"/>
          <w:b/>
          <w:szCs w:val="28"/>
        </w:rPr>
        <w:t>Training Camp with Meter Readers</w:t>
      </w:r>
    </w:p>
    <w:p w14:paraId="0F087A9D" w14:textId="4E538638" w:rsidR="00E06740" w:rsidRPr="00AE4B99" w:rsidRDefault="00E06740" w:rsidP="00E06740">
      <w:pPr>
        <w:spacing w:line="360" w:lineRule="auto"/>
        <w:ind w:left="567"/>
        <w:contextualSpacing/>
        <w:rPr>
          <w:rFonts w:asciiTheme="minorHAnsi" w:eastAsia="Calibri" w:hAnsiTheme="minorHAnsi" w:cstheme="minorHAnsi"/>
          <w:b/>
          <w:szCs w:val="28"/>
        </w:rPr>
      </w:pPr>
      <w:r w:rsidRPr="00AE4B99">
        <w:rPr>
          <w:rFonts w:asciiTheme="minorHAnsi" w:hAnsiTheme="minorHAnsi" w:cstheme="minorHAnsi"/>
          <w:noProof/>
          <w:sz w:val="20"/>
          <w:szCs w:val="22"/>
          <w:lang w:val="en-IN" w:eastAsia="en-IN"/>
        </w:rPr>
        <w:lastRenderedPageBreak/>
        <w:drawing>
          <wp:anchor distT="0" distB="0" distL="114300" distR="114300" simplePos="0" relativeHeight="252137984" behindDoc="1" locked="0" layoutInCell="1" allowOverlap="1" wp14:anchorId="3FB45066" wp14:editId="037D1D52">
            <wp:simplePos x="0" y="0"/>
            <wp:positionH relativeFrom="column">
              <wp:posOffset>3433445</wp:posOffset>
            </wp:positionH>
            <wp:positionV relativeFrom="paragraph">
              <wp:posOffset>94615</wp:posOffset>
            </wp:positionV>
            <wp:extent cx="2647315" cy="2266950"/>
            <wp:effectExtent l="76200" t="76200" r="133985" b="133350"/>
            <wp:wrapTight wrapText="bothSides">
              <wp:wrapPolygon edited="0">
                <wp:start x="-311" y="-726"/>
                <wp:lineTo x="-622" y="-545"/>
                <wp:lineTo x="-622" y="21963"/>
                <wp:lineTo x="-311" y="22689"/>
                <wp:lineTo x="22227" y="22689"/>
                <wp:lineTo x="22538" y="19966"/>
                <wp:lineTo x="22538" y="2360"/>
                <wp:lineTo x="22227" y="-363"/>
                <wp:lineTo x="22227" y="-726"/>
                <wp:lineTo x="-311" y="-726"/>
              </wp:wrapPolygon>
            </wp:wrapTight>
            <wp:docPr id="92574957"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34"/>
                    <pic:cNvPicPr>
                      <a:picLocks noChangeAspect="1"/>
                    </pic:cNvPicPr>
                  </pic:nvPicPr>
                  <pic:blipFill>
                    <a:blip r:embed="rId117" cstate="email">
                      <a:extLst>
                        <a:ext uri="{BEBA8EAE-BF5A-486C-A8C5-ECC9F3942E4B}">
                          <a14:imgProps xmlns:a14="http://schemas.microsoft.com/office/drawing/2010/main">
                            <a14:imgLayer r:embed="rId118">
                              <a14:imgEffect>
                                <a14:saturation sat="200000"/>
                              </a14:imgEffect>
                            </a14:imgLayer>
                          </a14:imgProps>
                        </a:ext>
                        <a:ext uri="{28A0092B-C50C-407E-A947-70E740481C1C}">
                          <a14:useLocalDpi xmlns:a14="http://schemas.microsoft.com/office/drawing/2010/main" val="0"/>
                        </a:ext>
                      </a:extLst>
                    </a:blip>
                    <a:stretch>
                      <a:fillRect/>
                    </a:stretch>
                  </pic:blipFill>
                  <pic:spPr>
                    <a:xfrm>
                      <a:off x="0" y="0"/>
                      <a:ext cx="2647315" cy="226695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14:sizeRelH relativeFrom="margin">
              <wp14:pctWidth>0</wp14:pctWidth>
            </wp14:sizeRelH>
            <wp14:sizeRelV relativeFrom="margin">
              <wp14:pctHeight>0</wp14:pctHeight>
            </wp14:sizeRelV>
          </wp:anchor>
        </w:drawing>
      </w:r>
      <w:r w:rsidR="008045FA">
        <w:rPr>
          <w:rFonts w:asciiTheme="minorHAnsi" w:eastAsia="Calibri" w:hAnsiTheme="minorHAnsi" w:cstheme="minorHAnsi"/>
          <w:b/>
          <w:szCs w:val="28"/>
        </w:rPr>
        <w:t>6.3.3</w:t>
      </w:r>
      <w:r w:rsidRPr="00AE4B99">
        <w:rPr>
          <w:rFonts w:asciiTheme="minorHAnsi" w:eastAsia="Calibri" w:hAnsiTheme="minorHAnsi" w:cstheme="minorHAnsi"/>
          <w:b/>
          <w:szCs w:val="28"/>
        </w:rPr>
        <w:t xml:space="preserve"> </w:t>
      </w:r>
      <w:r>
        <w:rPr>
          <w:rFonts w:asciiTheme="minorHAnsi" w:eastAsia="Calibri" w:hAnsiTheme="minorHAnsi" w:cstheme="minorHAnsi"/>
          <w:b/>
          <w:szCs w:val="28"/>
        </w:rPr>
        <w:t>Caring for Customers</w:t>
      </w:r>
      <w:r w:rsidRPr="00AE4B99">
        <w:rPr>
          <w:rFonts w:asciiTheme="minorHAnsi" w:eastAsia="Calibri" w:hAnsiTheme="minorHAnsi" w:cstheme="minorHAnsi"/>
          <w:b/>
          <w:szCs w:val="28"/>
        </w:rPr>
        <w:t xml:space="preserve"> </w:t>
      </w:r>
    </w:p>
    <w:p w14:paraId="53549A26" w14:textId="77777777" w:rsidR="00E06740" w:rsidRDefault="00E06740" w:rsidP="00E06740">
      <w:pPr>
        <w:spacing w:line="360" w:lineRule="auto"/>
        <w:ind w:left="567"/>
        <w:jc w:val="both"/>
        <w:rPr>
          <w:rFonts w:asciiTheme="minorHAnsi" w:hAnsiTheme="minorHAnsi" w:cstheme="minorHAnsi"/>
          <w:sz w:val="22"/>
          <w:szCs w:val="22"/>
        </w:rPr>
      </w:pPr>
      <w:r>
        <w:rPr>
          <w:rFonts w:asciiTheme="minorHAnsi" w:hAnsiTheme="minorHAnsi" w:cstheme="minorHAnsi"/>
          <w:sz w:val="22"/>
          <w:szCs w:val="22"/>
        </w:rPr>
        <w:t>Team TPNODL has implemented various customer centric approaches by introducing multiple consumer connect programs at different social levels.</w:t>
      </w:r>
    </w:p>
    <w:p w14:paraId="6FAA77B9" w14:textId="77777777" w:rsidR="00E06740" w:rsidRPr="003B421D" w:rsidRDefault="00E06740" w:rsidP="00E06740">
      <w:pPr>
        <w:spacing w:line="360" w:lineRule="auto"/>
        <w:ind w:left="567"/>
        <w:jc w:val="both"/>
        <w:rPr>
          <w:rFonts w:asciiTheme="minorHAnsi" w:hAnsiTheme="minorHAnsi" w:cstheme="minorHAnsi"/>
          <w:sz w:val="22"/>
          <w:szCs w:val="22"/>
          <w:lang w:val="en-IN"/>
        </w:rPr>
      </w:pPr>
      <w:r w:rsidRPr="003B421D">
        <w:rPr>
          <w:rFonts w:asciiTheme="minorHAnsi" w:hAnsiTheme="minorHAnsi" w:cstheme="minorHAnsi"/>
          <w:b/>
          <w:bCs/>
          <w:sz w:val="22"/>
          <w:szCs w:val="22"/>
        </w:rPr>
        <w:t>SAMBANDH: Customer Meet</w:t>
      </w:r>
    </w:p>
    <w:p w14:paraId="79BFDED4" w14:textId="77777777" w:rsidR="00E06740" w:rsidRDefault="00E06740" w:rsidP="00E06740">
      <w:pPr>
        <w:spacing w:line="360" w:lineRule="auto"/>
        <w:ind w:left="567"/>
        <w:jc w:val="both"/>
        <w:rPr>
          <w:rFonts w:asciiTheme="minorHAnsi" w:hAnsiTheme="minorHAnsi" w:cstheme="minorHAnsi"/>
          <w:sz w:val="22"/>
          <w:szCs w:val="22"/>
        </w:rPr>
      </w:pPr>
      <w:r w:rsidRPr="003B421D">
        <w:rPr>
          <w:rFonts w:asciiTheme="minorHAnsi" w:hAnsiTheme="minorHAnsi" w:cstheme="minorHAnsi"/>
          <w:sz w:val="22"/>
          <w:szCs w:val="22"/>
        </w:rPr>
        <w:t>Listening to the voice of Customers on first Wednesday of every month at C</w:t>
      </w:r>
      <w:r>
        <w:rPr>
          <w:rFonts w:asciiTheme="minorHAnsi" w:hAnsiTheme="minorHAnsi" w:cstheme="minorHAnsi"/>
          <w:sz w:val="22"/>
          <w:szCs w:val="22"/>
        </w:rPr>
        <w:t>ustomer care centers</w:t>
      </w:r>
    </w:p>
    <w:p w14:paraId="50D45723" w14:textId="77777777" w:rsidR="00E06740" w:rsidRPr="003B421D" w:rsidRDefault="00E06740" w:rsidP="00E06740">
      <w:pPr>
        <w:numPr>
          <w:ilvl w:val="0"/>
          <w:numId w:val="26"/>
        </w:numPr>
        <w:spacing w:line="360" w:lineRule="auto"/>
        <w:ind w:left="567" w:firstLine="0"/>
        <w:jc w:val="both"/>
        <w:rPr>
          <w:rFonts w:asciiTheme="minorHAnsi" w:hAnsiTheme="minorHAnsi" w:cstheme="minorHAnsi"/>
          <w:sz w:val="22"/>
          <w:szCs w:val="22"/>
          <w:lang w:val="en-IN"/>
        </w:rPr>
      </w:pPr>
      <w:r w:rsidRPr="00C267F7">
        <w:rPr>
          <w:rFonts w:asciiTheme="minorHAnsi" w:hAnsiTheme="minorHAnsi" w:cstheme="minorHAnsi"/>
          <w:bCs/>
          <w:noProof/>
          <w:sz w:val="22"/>
          <w:lang w:val="en-IN" w:eastAsia="en-IN"/>
        </w:rPr>
        <w:drawing>
          <wp:anchor distT="0" distB="0" distL="114300" distR="114300" simplePos="0" relativeHeight="252145152" behindDoc="1" locked="0" layoutInCell="1" allowOverlap="1" wp14:anchorId="71DA721B" wp14:editId="64587329">
            <wp:simplePos x="0" y="0"/>
            <wp:positionH relativeFrom="column">
              <wp:posOffset>3404870</wp:posOffset>
            </wp:positionH>
            <wp:positionV relativeFrom="paragraph">
              <wp:posOffset>226695</wp:posOffset>
            </wp:positionV>
            <wp:extent cx="2720975" cy="2657475"/>
            <wp:effectExtent l="76200" t="76200" r="136525" b="142875"/>
            <wp:wrapTight wrapText="bothSides">
              <wp:wrapPolygon edited="0">
                <wp:start x="-302" y="-619"/>
                <wp:lineTo x="-605" y="-465"/>
                <wp:lineTo x="-605" y="21832"/>
                <wp:lineTo x="-302" y="22606"/>
                <wp:lineTo x="22230" y="22606"/>
                <wp:lineTo x="22533" y="21832"/>
                <wp:lineTo x="22533" y="2013"/>
                <wp:lineTo x="22230" y="-310"/>
                <wp:lineTo x="22230" y="-619"/>
                <wp:lineTo x="-302" y="-619"/>
              </wp:wrapPolygon>
            </wp:wrapTight>
            <wp:docPr id="44"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43"/>
                    <pic:cNvPicPr>
                      <a:picLocks noChangeAspect="1"/>
                    </pic:cNvPicPr>
                  </pic:nvPicPr>
                  <pic:blipFill>
                    <a:blip r:embed="rId119" cstate="email">
                      <a:extLst>
                        <a:ext uri="{BEBA8EAE-BF5A-486C-A8C5-ECC9F3942E4B}">
                          <a14:imgProps xmlns:a14="http://schemas.microsoft.com/office/drawing/2010/main">
                            <a14:imgLayer r:embed="rId120">
                              <a14:imgEffect>
                                <a14:saturation sat="300000"/>
                              </a14:imgEffect>
                            </a14:imgLayer>
                          </a14:imgProps>
                        </a:ext>
                        <a:ext uri="{28A0092B-C50C-407E-A947-70E740481C1C}">
                          <a14:useLocalDpi xmlns:a14="http://schemas.microsoft.com/office/drawing/2010/main" val="0"/>
                        </a:ext>
                      </a:extLst>
                    </a:blip>
                    <a:stretch>
                      <a:fillRect/>
                    </a:stretch>
                  </pic:blipFill>
                  <pic:spPr>
                    <a:xfrm>
                      <a:off x="0" y="0"/>
                      <a:ext cx="2720975" cy="265747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14:sizeRelH relativeFrom="margin">
              <wp14:pctWidth>0</wp14:pctWidth>
            </wp14:sizeRelH>
            <wp14:sizeRelV relativeFrom="margin">
              <wp14:pctHeight>0</wp14:pctHeight>
            </wp14:sizeRelV>
          </wp:anchor>
        </w:drawing>
      </w:r>
      <w:r>
        <w:rPr>
          <w:rFonts w:asciiTheme="minorHAnsi" w:hAnsiTheme="minorHAnsi" w:cstheme="minorHAnsi"/>
          <w:bCs/>
          <w:sz w:val="22"/>
          <w:szCs w:val="22"/>
        </w:rPr>
        <w:t xml:space="preserve">H1 </w:t>
      </w:r>
      <w:r w:rsidRPr="003B421D">
        <w:rPr>
          <w:rFonts w:asciiTheme="minorHAnsi" w:hAnsiTheme="minorHAnsi" w:cstheme="minorHAnsi"/>
          <w:bCs/>
          <w:sz w:val="22"/>
          <w:szCs w:val="22"/>
        </w:rPr>
        <w:t xml:space="preserve">FY’25: </w:t>
      </w:r>
      <w:r>
        <w:rPr>
          <w:rFonts w:asciiTheme="minorHAnsi" w:hAnsiTheme="minorHAnsi" w:cstheme="minorHAnsi"/>
          <w:bCs/>
          <w:sz w:val="22"/>
          <w:szCs w:val="22"/>
        </w:rPr>
        <w:t>37</w:t>
      </w:r>
      <w:r w:rsidRPr="003B421D">
        <w:rPr>
          <w:rFonts w:asciiTheme="minorHAnsi" w:hAnsiTheme="minorHAnsi" w:cstheme="minorHAnsi"/>
          <w:bCs/>
          <w:sz w:val="22"/>
          <w:szCs w:val="22"/>
        </w:rPr>
        <w:t xml:space="preserve"> </w:t>
      </w:r>
      <w:r>
        <w:rPr>
          <w:rFonts w:asciiTheme="minorHAnsi" w:hAnsiTheme="minorHAnsi" w:cstheme="minorHAnsi"/>
          <w:bCs/>
          <w:sz w:val="22"/>
          <w:szCs w:val="22"/>
        </w:rPr>
        <w:t>such meets have been conducted</w:t>
      </w:r>
    </w:p>
    <w:p w14:paraId="7D1FB7BF" w14:textId="77777777" w:rsidR="00E06740" w:rsidRDefault="00E06740" w:rsidP="00E06740">
      <w:pPr>
        <w:spacing w:line="360" w:lineRule="auto"/>
        <w:ind w:left="567"/>
        <w:jc w:val="both"/>
        <w:rPr>
          <w:rFonts w:asciiTheme="minorHAnsi" w:hAnsiTheme="minorHAnsi" w:cstheme="minorHAnsi"/>
          <w:b/>
          <w:bCs/>
        </w:rPr>
      </w:pPr>
      <w:r w:rsidRPr="003B421D">
        <w:rPr>
          <w:rFonts w:asciiTheme="minorHAnsi" w:hAnsiTheme="minorHAnsi" w:cstheme="minorHAnsi"/>
          <w:b/>
          <w:bCs/>
        </w:rPr>
        <w:t>JAAGRITI: Igniting Young Minds</w:t>
      </w:r>
    </w:p>
    <w:p w14:paraId="44D91904" w14:textId="77777777" w:rsidR="00E06740" w:rsidRPr="003B421D" w:rsidRDefault="00E06740" w:rsidP="00E06740">
      <w:pPr>
        <w:spacing w:line="360" w:lineRule="auto"/>
        <w:ind w:left="567"/>
        <w:jc w:val="both"/>
        <w:rPr>
          <w:rFonts w:asciiTheme="minorHAnsi" w:hAnsiTheme="minorHAnsi" w:cstheme="minorHAnsi"/>
          <w:sz w:val="22"/>
          <w:lang w:val="en-IN"/>
        </w:rPr>
      </w:pPr>
      <w:r w:rsidRPr="003B421D">
        <w:rPr>
          <w:rFonts w:asciiTheme="minorHAnsi" w:hAnsiTheme="minorHAnsi" w:cstheme="minorHAnsi"/>
          <w:sz w:val="22"/>
        </w:rPr>
        <w:t>Learning sessions at colleges to</w:t>
      </w:r>
      <w:r>
        <w:rPr>
          <w:rFonts w:asciiTheme="minorHAnsi" w:hAnsiTheme="minorHAnsi" w:cstheme="minorHAnsi"/>
          <w:sz w:val="22"/>
        </w:rPr>
        <w:t xml:space="preserve"> ignite young minds &amp; also to sensitize them on Energy Conservation initiatives &amp; create awareness on public safety &amp; Digital services.</w:t>
      </w:r>
    </w:p>
    <w:p w14:paraId="57A18764" w14:textId="77777777" w:rsidR="00E06740" w:rsidRPr="003B421D" w:rsidRDefault="00E06740" w:rsidP="00E06740">
      <w:pPr>
        <w:numPr>
          <w:ilvl w:val="0"/>
          <w:numId w:val="27"/>
        </w:numPr>
        <w:spacing w:line="360" w:lineRule="auto"/>
        <w:ind w:left="567" w:firstLine="0"/>
        <w:jc w:val="both"/>
        <w:rPr>
          <w:rFonts w:asciiTheme="minorHAnsi" w:hAnsiTheme="minorHAnsi" w:cstheme="minorHAnsi"/>
          <w:sz w:val="22"/>
          <w:lang w:val="en-IN"/>
        </w:rPr>
      </w:pPr>
      <w:r>
        <w:rPr>
          <w:rFonts w:asciiTheme="minorHAnsi" w:hAnsiTheme="minorHAnsi" w:cstheme="minorHAnsi"/>
          <w:bCs/>
          <w:sz w:val="22"/>
        </w:rPr>
        <w:t xml:space="preserve">H1 </w:t>
      </w:r>
      <w:r w:rsidRPr="003B421D">
        <w:rPr>
          <w:rFonts w:asciiTheme="minorHAnsi" w:hAnsiTheme="minorHAnsi" w:cstheme="minorHAnsi"/>
          <w:bCs/>
          <w:sz w:val="22"/>
        </w:rPr>
        <w:t xml:space="preserve">FY’25: </w:t>
      </w:r>
      <w:r>
        <w:rPr>
          <w:rFonts w:asciiTheme="minorHAnsi" w:hAnsiTheme="minorHAnsi" w:cstheme="minorHAnsi"/>
          <w:bCs/>
          <w:sz w:val="22"/>
        </w:rPr>
        <w:t>6</w:t>
      </w:r>
      <w:r w:rsidRPr="003B421D">
        <w:rPr>
          <w:rFonts w:asciiTheme="minorHAnsi" w:hAnsiTheme="minorHAnsi" w:cstheme="minorHAnsi"/>
          <w:bCs/>
          <w:sz w:val="22"/>
        </w:rPr>
        <w:t xml:space="preserve"> </w:t>
      </w:r>
      <w:r>
        <w:rPr>
          <w:rFonts w:asciiTheme="minorHAnsi" w:hAnsiTheme="minorHAnsi" w:cstheme="minorHAnsi"/>
          <w:bCs/>
          <w:sz w:val="22"/>
          <w:szCs w:val="22"/>
        </w:rPr>
        <w:t>such sessions have been conducted</w:t>
      </w:r>
    </w:p>
    <w:p w14:paraId="6AD3F878" w14:textId="77777777" w:rsidR="00E06740" w:rsidRPr="003B421D" w:rsidRDefault="00E06740" w:rsidP="00E06740">
      <w:pPr>
        <w:spacing w:line="360" w:lineRule="auto"/>
        <w:ind w:left="567"/>
        <w:jc w:val="both"/>
        <w:rPr>
          <w:rFonts w:asciiTheme="minorHAnsi" w:hAnsiTheme="minorHAnsi" w:cstheme="minorHAnsi"/>
          <w:lang w:val="en-IN"/>
        </w:rPr>
      </w:pPr>
      <w:r w:rsidRPr="003B421D">
        <w:rPr>
          <w:rFonts w:asciiTheme="minorHAnsi" w:hAnsiTheme="minorHAnsi" w:cstheme="minorHAnsi"/>
          <w:b/>
          <w:bCs/>
        </w:rPr>
        <w:t>DISHA: Rural Outreach</w:t>
      </w:r>
    </w:p>
    <w:p w14:paraId="60EFF812" w14:textId="77777777" w:rsidR="00E06740" w:rsidRPr="003B421D" w:rsidRDefault="00E06740" w:rsidP="00E06740">
      <w:pPr>
        <w:spacing w:line="360" w:lineRule="auto"/>
        <w:ind w:left="567"/>
        <w:jc w:val="both"/>
        <w:rPr>
          <w:rFonts w:asciiTheme="minorHAnsi" w:hAnsiTheme="minorHAnsi" w:cstheme="minorHAnsi"/>
          <w:sz w:val="22"/>
          <w:lang w:val="en-IN"/>
        </w:rPr>
      </w:pPr>
      <w:r w:rsidRPr="003B421D">
        <w:rPr>
          <w:rFonts w:asciiTheme="minorHAnsi" w:hAnsiTheme="minorHAnsi" w:cstheme="minorHAnsi"/>
          <w:sz w:val="22"/>
        </w:rPr>
        <w:t>Reaching out village areas to listen and to survey on queries as well as pain areas of customers.</w:t>
      </w:r>
    </w:p>
    <w:p w14:paraId="710CBAB4" w14:textId="77777777" w:rsidR="00E06740" w:rsidRPr="009A7D82" w:rsidRDefault="00E06740" w:rsidP="00E06740">
      <w:pPr>
        <w:numPr>
          <w:ilvl w:val="0"/>
          <w:numId w:val="28"/>
        </w:numPr>
        <w:spacing w:line="360" w:lineRule="auto"/>
        <w:ind w:left="567" w:firstLine="0"/>
        <w:jc w:val="both"/>
        <w:rPr>
          <w:rFonts w:asciiTheme="minorHAnsi" w:hAnsiTheme="minorHAnsi" w:cstheme="minorHAnsi"/>
          <w:b/>
          <w:bCs/>
        </w:rPr>
      </w:pPr>
      <w:r w:rsidRPr="009A7D82">
        <w:rPr>
          <w:rFonts w:asciiTheme="minorHAnsi" w:hAnsiTheme="minorHAnsi" w:cstheme="minorHAnsi"/>
          <w:bCs/>
          <w:sz w:val="22"/>
        </w:rPr>
        <w:t xml:space="preserve">FY’25: 22 </w:t>
      </w:r>
      <w:r>
        <w:rPr>
          <w:rFonts w:asciiTheme="minorHAnsi" w:hAnsiTheme="minorHAnsi" w:cstheme="minorHAnsi"/>
          <w:bCs/>
          <w:sz w:val="22"/>
          <w:szCs w:val="22"/>
        </w:rPr>
        <w:t>such meets have been conducted</w:t>
      </w:r>
      <w:r w:rsidRPr="009A7D82">
        <w:rPr>
          <w:rFonts w:asciiTheme="minorHAnsi" w:hAnsiTheme="minorHAnsi" w:cstheme="minorHAnsi"/>
          <w:b/>
          <w:bCs/>
        </w:rPr>
        <w:t xml:space="preserve"> Energy Conservation</w:t>
      </w:r>
    </w:p>
    <w:p w14:paraId="10638860" w14:textId="77777777" w:rsidR="00E06740" w:rsidRDefault="00E06740" w:rsidP="00E06740">
      <w:pPr>
        <w:spacing w:line="360" w:lineRule="auto"/>
        <w:ind w:left="567"/>
        <w:jc w:val="both"/>
        <w:rPr>
          <w:rFonts w:asciiTheme="minorHAnsi" w:hAnsiTheme="minorHAnsi" w:cstheme="minorHAnsi"/>
          <w:sz w:val="22"/>
        </w:rPr>
      </w:pPr>
      <w:r w:rsidRPr="003B421D">
        <w:rPr>
          <w:rFonts w:asciiTheme="minorHAnsi" w:hAnsiTheme="minorHAnsi" w:cstheme="minorHAnsi"/>
          <w:sz w:val="22"/>
        </w:rPr>
        <w:t>Session on energy conservation, Electrical &amp; Road Safety at school levels to aware students about safety &amp; basics during Summer.</w:t>
      </w:r>
    </w:p>
    <w:p w14:paraId="0DA43CDA" w14:textId="61C2D4CB" w:rsidR="00E06740" w:rsidRPr="0025136B" w:rsidRDefault="00E06740" w:rsidP="0025136B">
      <w:pPr>
        <w:pStyle w:val="ListParagraph"/>
        <w:numPr>
          <w:ilvl w:val="0"/>
          <w:numId w:val="29"/>
        </w:numPr>
        <w:spacing w:line="360" w:lineRule="auto"/>
        <w:ind w:left="709"/>
        <w:jc w:val="both"/>
        <w:rPr>
          <w:rFonts w:asciiTheme="minorHAnsi" w:hAnsiTheme="minorHAnsi" w:cstheme="minorHAnsi"/>
        </w:rPr>
      </w:pPr>
      <w:r w:rsidRPr="00C267F7">
        <w:rPr>
          <w:rFonts w:asciiTheme="minorHAnsi" w:hAnsiTheme="minorHAnsi" w:cstheme="minorHAnsi"/>
          <w:noProof/>
          <w:lang w:val="en-IN" w:eastAsia="en-IN"/>
        </w:rPr>
        <w:drawing>
          <wp:anchor distT="0" distB="0" distL="114300" distR="114300" simplePos="0" relativeHeight="252147200" behindDoc="1" locked="0" layoutInCell="1" allowOverlap="1" wp14:anchorId="3046E7C1" wp14:editId="2B359442">
            <wp:simplePos x="0" y="0"/>
            <wp:positionH relativeFrom="column">
              <wp:posOffset>3557270</wp:posOffset>
            </wp:positionH>
            <wp:positionV relativeFrom="paragraph">
              <wp:posOffset>350520</wp:posOffset>
            </wp:positionV>
            <wp:extent cx="2609850" cy="2265045"/>
            <wp:effectExtent l="76200" t="76200" r="133350" b="135255"/>
            <wp:wrapTight wrapText="bothSides">
              <wp:wrapPolygon edited="0">
                <wp:start x="-315" y="-727"/>
                <wp:lineTo x="-631" y="-545"/>
                <wp:lineTo x="-631" y="21981"/>
                <wp:lineTo x="-315" y="22708"/>
                <wp:lineTo x="22231" y="22708"/>
                <wp:lineTo x="22546" y="19983"/>
                <wp:lineTo x="22546" y="2362"/>
                <wp:lineTo x="22231" y="-363"/>
                <wp:lineTo x="22231" y="-727"/>
                <wp:lineTo x="-315" y="-727"/>
              </wp:wrapPolygon>
            </wp:wrapTight>
            <wp:docPr id="45"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Picture 44"/>
                    <pic:cNvPicPr>
                      <a:picLocks noChangeAspect="1"/>
                    </pic:cNvPicPr>
                  </pic:nvPicPr>
                  <pic:blipFill>
                    <a:blip r:embed="rId121" cstate="email">
                      <a:extLst>
                        <a:ext uri="{BEBA8EAE-BF5A-486C-A8C5-ECC9F3942E4B}">
                          <a14:imgProps xmlns:a14="http://schemas.microsoft.com/office/drawing/2010/main">
                            <a14:imgLayer r:embed="rId122">
                              <a14:imgEffect>
                                <a14:saturation sat="400000"/>
                              </a14:imgEffect>
                            </a14:imgLayer>
                          </a14:imgProps>
                        </a:ext>
                        <a:ext uri="{28A0092B-C50C-407E-A947-70E740481C1C}">
                          <a14:useLocalDpi xmlns:a14="http://schemas.microsoft.com/office/drawing/2010/main" val="0"/>
                        </a:ext>
                      </a:extLst>
                    </a:blip>
                    <a:stretch>
                      <a:fillRect/>
                    </a:stretch>
                  </pic:blipFill>
                  <pic:spPr>
                    <a:xfrm>
                      <a:off x="0" y="0"/>
                      <a:ext cx="2609850" cy="226504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14:sizeRelH relativeFrom="margin">
              <wp14:pctWidth>0</wp14:pctWidth>
            </wp14:sizeRelH>
            <wp14:sizeRelV relativeFrom="margin">
              <wp14:pctHeight>0</wp14:pctHeight>
            </wp14:sizeRelV>
          </wp:anchor>
        </w:drawing>
      </w:r>
      <w:r w:rsidRPr="00C267F7">
        <w:rPr>
          <w:rFonts w:asciiTheme="minorHAnsi" w:hAnsiTheme="minorHAnsi" w:cstheme="minorHAnsi"/>
          <w:noProof/>
          <w:lang w:val="en-IN" w:eastAsia="en-IN"/>
        </w:rPr>
        <w:drawing>
          <wp:anchor distT="0" distB="0" distL="114300" distR="114300" simplePos="0" relativeHeight="252146176" behindDoc="1" locked="0" layoutInCell="1" allowOverlap="1" wp14:anchorId="418563D8" wp14:editId="35543454">
            <wp:simplePos x="0" y="0"/>
            <wp:positionH relativeFrom="column">
              <wp:posOffset>414020</wp:posOffset>
            </wp:positionH>
            <wp:positionV relativeFrom="paragraph">
              <wp:posOffset>330835</wp:posOffset>
            </wp:positionV>
            <wp:extent cx="2985770" cy="2333625"/>
            <wp:effectExtent l="76200" t="76200" r="138430" b="142875"/>
            <wp:wrapTight wrapText="bothSides">
              <wp:wrapPolygon edited="0">
                <wp:start x="-276" y="-705"/>
                <wp:lineTo x="-551" y="-529"/>
                <wp:lineTo x="-551" y="22041"/>
                <wp:lineTo x="-276" y="22746"/>
                <wp:lineTo x="22188" y="22746"/>
                <wp:lineTo x="22464" y="22041"/>
                <wp:lineTo x="22464" y="2292"/>
                <wp:lineTo x="22188" y="-353"/>
                <wp:lineTo x="22188" y="-705"/>
                <wp:lineTo x="-276" y="-705"/>
              </wp:wrapPolygon>
            </wp:wrapTight>
            <wp:docPr id="17"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34"/>
                    <pic:cNvPicPr>
                      <a:picLocks noChangeAspect="1"/>
                    </pic:cNvPicPr>
                  </pic:nvPicPr>
                  <pic:blipFill>
                    <a:blip r:embed="rId123" cstate="email">
                      <a:extLst>
                        <a:ext uri="{BEBA8EAE-BF5A-486C-A8C5-ECC9F3942E4B}">
                          <a14:imgProps xmlns:a14="http://schemas.microsoft.com/office/drawing/2010/main">
                            <a14:imgLayer r:embed="rId124">
                              <a14:imgEffect>
                                <a14:saturation sat="400000"/>
                              </a14:imgEffect>
                            </a14:imgLayer>
                          </a14:imgProps>
                        </a:ext>
                        <a:ext uri="{28A0092B-C50C-407E-A947-70E740481C1C}">
                          <a14:useLocalDpi xmlns:a14="http://schemas.microsoft.com/office/drawing/2010/main" val="0"/>
                        </a:ext>
                      </a:extLst>
                    </a:blip>
                    <a:stretch>
                      <a:fillRect/>
                    </a:stretch>
                  </pic:blipFill>
                  <pic:spPr>
                    <a:xfrm>
                      <a:off x="0" y="0"/>
                      <a:ext cx="2985770" cy="233362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14:sizeRelH relativeFrom="margin">
              <wp14:pctWidth>0</wp14:pctWidth>
            </wp14:sizeRelH>
            <wp14:sizeRelV relativeFrom="margin">
              <wp14:pctHeight>0</wp14:pctHeight>
            </wp14:sizeRelV>
          </wp:anchor>
        </w:drawing>
      </w:r>
      <w:r w:rsidRPr="003B421D">
        <w:rPr>
          <w:rFonts w:asciiTheme="minorHAnsi" w:hAnsiTheme="minorHAnsi" w:cstheme="minorHAnsi"/>
          <w:bCs/>
        </w:rPr>
        <w:t xml:space="preserve">FY’25: </w:t>
      </w:r>
      <w:r>
        <w:rPr>
          <w:rFonts w:asciiTheme="minorHAnsi" w:hAnsiTheme="minorHAnsi" w:cstheme="minorHAnsi"/>
          <w:bCs/>
        </w:rPr>
        <w:t>16</w:t>
      </w:r>
      <w:r w:rsidRPr="003B421D">
        <w:rPr>
          <w:rFonts w:asciiTheme="minorHAnsi" w:hAnsiTheme="minorHAnsi" w:cstheme="minorHAnsi"/>
          <w:bCs/>
        </w:rPr>
        <w:t xml:space="preserve"> </w:t>
      </w:r>
      <w:r>
        <w:rPr>
          <w:rFonts w:asciiTheme="minorHAnsi" w:hAnsiTheme="minorHAnsi" w:cstheme="minorHAnsi"/>
          <w:bCs/>
        </w:rPr>
        <w:t>such sessions have been conducted</w:t>
      </w:r>
    </w:p>
    <w:p w14:paraId="70BF40EC" w14:textId="4FE80FC1" w:rsidR="00E06740" w:rsidRDefault="008045FA" w:rsidP="00E06740">
      <w:pPr>
        <w:spacing w:line="360" w:lineRule="auto"/>
        <w:ind w:left="567"/>
        <w:jc w:val="both"/>
        <w:rPr>
          <w:rFonts w:asciiTheme="minorHAnsi" w:eastAsia="Calibri" w:hAnsiTheme="minorHAnsi" w:cstheme="minorHAnsi"/>
          <w:b/>
          <w:szCs w:val="28"/>
        </w:rPr>
      </w:pPr>
      <w:r>
        <w:rPr>
          <w:rFonts w:asciiTheme="minorHAnsi" w:eastAsia="Calibri" w:hAnsiTheme="minorHAnsi" w:cstheme="minorHAnsi"/>
          <w:b/>
          <w:szCs w:val="28"/>
        </w:rPr>
        <w:lastRenderedPageBreak/>
        <w:t>6.3.4</w:t>
      </w:r>
      <w:r w:rsidR="00E06740" w:rsidRPr="00AE4B99">
        <w:rPr>
          <w:rFonts w:asciiTheme="minorHAnsi" w:eastAsia="Calibri" w:hAnsiTheme="minorHAnsi" w:cstheme="minorHAnsi"/>
          <w:b/>
          <w:szCs w:val="28"/>
        </w:rPr>
        <w:t xml:space="preserve"> K</w:t>
      </w:r>
      <w:r w:rsidR="00E06740">
        <w:rPr>
          <w:rFonts w:asciiTheme="minorHAnsi" w:eastAsia="Calibri" w:hAnsiTheme="minorHAnsi" w:cstheme="minorHAnsi"/>
          <w:b/>
          <w:szCs w:val="28"/>
        </w:rPr>
        <w:t xml:space="preserve">ey </w:t>
      </w:r>
      <w:r w:rsidR="00E06740" w:rsidRPr="00AE4B99">
        <w:rPr>
          <w:rFonts w:asciiTheme="minorHAnsi" w:eastAsia="Calibri" w:hAnsiTheme="minorHAnsi" w:cstheme="minorHAnsi"/>
          <w:b/>
          <w:szCs w:val="28"/>
        </w:rPr>
        <w:t>C</w:t>
      </w:r>
      <w:r w:rsidR="00E06740">
        <w:rPr>
          <w:rFonts w:asciiTheme="minorHAnsi" w:eastAsia="Calibri" w:hAnsiTheme="minorHAnsi" w:cstheme="minorHAnsi"/>
          <w:b/>
          <w:szCs w:val="28"/>
        </w:rPr>
        <w:t>ustomer Management</w:t>
      </w:r>
    </w:p>
    <w:p w14:paraId="2072E386" w14:textId="616D1BA3" w:rsidR="00E06740" w:rsidRDefault="00E06740" w:rsidP="008045FA">
      <w:pPr>
        <w:spacing w:line="360" w:lineRule="auto"/>
        <w:ind w:left="567"/>
        <w:jc w:val="both"/>
        <w:rPr>
          <w:rFonts w:asciiTheme="minorHAnsi" w:eastAsia="Calibri" w:hAnsiTheme="minorHAnsi" w:cstheme="minorHAnsi"/>
          <w:sz w:val="22"/>
          <w:szCs w:val="28"/>
        </w:rPr>
      </w:pPr>
      <w:r w:rsidRPr="00AE4B99">
        <w:rPr>
          <w:rFonts w:asciiTheme="minorHAnsi" w:eastAsia="Calibri" w:hAnsiTheme="minorHAnsi" w:cstheme="minorHAnsi"/>
          <w:b/>
          <w:noProof/>
          <w:szCs w:val="28"/>
          <w:lang w:val="en-IN" w:eastAsia="en-IN"/>
        </w:rPr>
        <w:drawing>
          <wp:anchor distT="0" distB="0" distL="114300" distR="114300" simplePos="0" relativeHeight="252140032" behindDoc="1" locked="0" layoutInCell="1" allowOverlap="1" wp14:anchorId="7A6852B4" wp14:editId="0F39BB94">
            <wp:simplePos x="0" y="0"/>
            <wp:positionH relativeFrom="margin">
              <wp:posOffset>3233420</wp:posOffset>
            </wp:positionH>
            <wp:positionV relativeFrom="paragraph">
              <wp:posOffset>1047115</wp:posOffset>
            </wp:positionV>
            <wp:extent cx="2695575" cy="1885950"/>
            <wp:effectExtent l="76200" t="76200" r="142875" b="133350"/>
            <wp:wrapTight wrapText="bothSides">
              <wp:wrapPolygon edited="0">
                <wp:start x="-305" y="-873"/>
                <wp:lineTo x="-611" y="-655"/>
                <wp:lineTo x="-611" y="22036"/>
                <wp:lineTo x="-305" y="22909"/>
                <wp:lineTo x="22287" y="22909"/>
                <wp:lineTo x="22592" y="20509"/>
                <wp:lineTo x="22592" y="2836"/>
                <wp:lineTo x="22287" y="-436"/>
                <wp:lineTo x="22287" y="-873"/>
                <wp:lineTo x="-305" y="-873"/>
              </wp:wrapPolygon>
            </wp:wrapTight>
            <wp:docPr id="92574958" name="Picture 20">
              <a:extLst xmlns:a="http://schemas.openxmlformats.org/drawingml/2006/main">
                <a:ext uri="{FF2B5EF4-FFF2-40B4-BE49-F238E27FC236}">
                  <a16:creationId xmlns:a16="http://schemas.microsoft.com/office/drawing/2014/main" id="{E85B021D-CB45-4856-AA5A-D553D461725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0">
                      <a:extLst>
                        <a:ext uri="{FF2B5EF4-FFF2-40B4-BE49-F238E27FC236}">
                          <a16:creationId xmlns:a16="http://schemas.microsoft.com/office/drawing/2014/main" id="{E85B021D-CB45-4856-AA5A-D553D4617258}"/>
                        </a:ext>
                      </a:extLst>
                    </pic:cNvPr>
                    <pic:cNvPicPr>
                      <a:picLocks noChangeAspect="1"/>
                    </pic:cNvPicPr>
                  </pic:nvPicPr>
                  <pic:blipFill rotWithShape="1">
                    <a:blip r:embed="rId125" cstate="email">
                      <a:extLst>
                        <a:ext uri="{28A0092B-C50C-407E-A947-70E740481C1C}">
                          <a14:useLocalDpi xmlns:a14="http://schemas.microsoft.com/office/drawing/2010/main" val="0"/>
                        </a:ext>
                      </a:extLst>
                    </a:blip>
                    <a:srcRect t="13333" r="1358" b="6852"/>
                    <a:stretch/>
                  </pic:blipFill>
                  <pic:spPr>
                    <a:xfrm>
                      <a:off x="0" y="0"/>
                      <a:ext cx="2695575" cy="188595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14:sizeRelH relativeFrom="margin">
              <wp14:pctWidth>0</wp14:pctWidth>
            </wp14:sizeRelH>
            <wp14:sizeRelV relativeFrom="margin">
              <wp14:pctHeight>0</wp14:pctHeight>
            </wp14:sizeRelV>
          </wp:anchor>
        </w:drawing>
      </w:r>
      <w:r w:rsidRPr="00AE4B99">
        <w:rPr>
          <w:rFonts w:asciiTheme="minorHAnsi" w:eastAsia="Calibri" w:hAnsiTheme="minorHAnsi" w:cstheme="minorHAnsi"/>
          <w:b/>
          <w:noProof/>
          <w:szCs w:val="28"/>
          <w:lang w:val="en-IN" w:eastAsia="en-IN"/>
        </w:rPr>
        <w:drawing>
          <wp:anchor distT="0" distB="0" distL="114300" distR="114300" simplePos="0" relativeHeight="252139008" behindDoc="1" locked="0" layoutInCell="1" allowOverlap="1" wp14:anchorId="34DDDDBB" wp14:editId="3E9014EB">
            <wp:simplePos x="0" y="0"/>
            <wp:positionH relativeFrom="margin">
              <wp:posOffset>314325</wp:posOffset>
            </wp:positionH>
            <wp:positionV relativeFrom="paragraph">
              <wp:posOffset>1048385</wp:posOffset>
            </wp:positionV>
            <wp:extent cx="2657475" cy="1876425"/>
            <wp:effectExtent l="76200" t="76200" r="142875" b="142875"/>
            <wp:wrapTight wrapText="bothSides">
              <wp:wrapPolygon edited="0">
                <wp:start x="-310" y="-877"/>
                <wp:lineTo x="-619" y="-658"/>
                <wp:lineTo x="-619" y="22148"/>
                <wp:lineTo x="-310" y="23025"/>
                <wp:lineTo x="22297" y="23025"/>
                <wp:lineTo x="22606" y="20613"/>
                <wp:lineTo x="22606" y="2851"/>
                <wp:lineTo x="22297" y="-439"/>
                <wp:lineTo x="22297" y="-877"/>
                <wp:lineTo x="-310" y="-877"/>
              </wp:wrapPolygon>
            </wp:wrapTight>
            <wp:docPr id="92574959" name="Picture 18">
              <a:extLst xmlns:a="http://schemas.openxmlformats.org/drawingml/2006/main">
                <a:ext uri="{FF2B5EF4-FFF2-40B4-BE49-F238E27FC236}">
                  <a16:creationId xmlns:a16="http://schemas.microsoft.com/office/drawing/2014/main" id="{43F4DD1A-CC51-4303-8958-A32166B4181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8">
                      <a:extLst>
                        <a:ext uri="{FF2B5EF4-FFF2-40B4-BE49-F238E27FC236}">
                          <a16:creationId xmlns:a16="http://schemas.microsoft.com/office/drawing/2014/main" id="{43F4DD1A-CC51-4303-8958-A32166B41817}"/>
                        </a:ext>
                      </a:extLst>
                    </pic:cNvPr>
                    <pic:cNvPicPr>
                      <a:picLocks noChangeAspect="1"/>
                    </pic:cNvPicPr>
                  </pic:nvPicPr>
                  <pic:blipFill rotWithShape="1">
                    <a:blip r:embed="rId126" cstate="email">
                      <a:extLst>
                        <a:ext uri="{28A0092B-C50C-407E-A947-70E740481C1C}">
                          <a14:useLocalDpi xmlns:a14="http://schemas.microsoft.com/office/drawing/2010/main" val="0"/>
                        </a:ext>
                      </a:extLst>
                    </a:blip>
                    <a:srcRect l="1076" t="8682" r="1766" b="26047"/>
                    <a:stretch/>
                  </pic:blipFill>
                  <pic:spPr>
                    <a:xfrm>
                      <a:off x="0" y="0"/>
                      <a:ext cx="2657475" cy="187642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14:sizeRelH relativeFrom="margin">
              <wp14:pctWidth>0</wp14:pctWidth>
            </wp14:sizeRelH>
            <wp14:sizeRelV relativeFrom="margin">
              <wp14:pctHeight>0</wp14:pctHeight>
            </wp14:sizeRelV>
          </wp:anchor>
        </w:drawing>
      </w:r>
      <w:r w:rsidRPr="00AE4B99">
        <w:rPr>
          <w:rFonts w:asciiTheme="minorHAnsi" w:eastAsia="Calibri" w:hAnsiTheme="minorHAnsi" w:cstheme="minorHAnsi"/>
          <w:b/>
          <w:szCs w:val="28"/>
        </w:rPr>
        <w:t xml:space="preserve"> </w:t>
      </w:r>
      <w:r w:rsidRPr="00B063F6">
        <w:rPr>
          <w:rFonts w:asciiTheme="minorHAnsi" w:eastAsia="Calibri" w:hAnsiTheme="minorHAnsi" w:cstheme="minorHAnsi"/>
          <w:sz w:val="22"/>
          <w:szCs w:val="28"/>
        </w:rPr>
        <w:t xml:space="preserve">In order to </w:t>
      </w:r>
      <w:r>
        <w:rPr>
          <w:rFonts w:asciiTheme="minorHAnsi" w:eastAsia="Calibri" w:hAnsiTheme="minorHAnsi" w:cstheme="minorHAnsi"/>
          <w:sz w:val="22"/>
          <w:szCs w:val="28"/>
        </w:rPr>
        <w:t>enhance service</w:t>
      </w:r>
      <w:r w:rsidRPr="00B063F6">
        <w:rPr>
          <w:rFonts w:asciiTheme="minorHAnsi" w:eastAsia="Calibri" w:hAnsiTheme="minorHAnsi" w:cstheme="minorHAnsi"/>
          <w:sz w:val="22"/>
          <w:szCs w:val="28"/>
        </w:rPr>
        <w:t xml:space="preserve"> </w:t>
      </w:r>
      <w:r>
        <w:rPr>
          <w:rFonts w:asciiTheme="minorHAnsi" w:eastAsia="Calibri" w:hAnsiTheme="minorHAnsi" w:cstheme="minorHAnsi"/>
          <w:sz w:val="22"/>
          <w:szCs w:val="28"/>
        </w:rPr>
        <w:t>experience for KCG (HT&amp;EHT segments) customers, several initiatives have been implemented in TPNODL. Each of such accounts are managed by a dedicated Client Manager to provide a single window service. TPNODL has also introduced the formal forums i.e. Key Customer Meet, Customer visit by Senior Leadership team etc. to proactively engage with customers &amp; listening to their voices. Such VOCs have resulted into many improvement initiatives (i.e. Quality &amp; Reliability improvement of power supply for KCG Consumers, Dedicated Feeders etc.</w:t>
      </w:r>
    </w:p>
    <w:p w14:paraId="31CA2C4F" w14:textId="77777777" w:rsidR="008045FA" w:rsidRPr="008045FA" w:rsidRDefault="008045FA" w:rsidP="008045FA">
      <w:pPr>
        <w:spacing w:line="360" w:lineRule="auto"/>
        <w:ind w:left="567"/>
        <w:jc w:val="both"/>
        <w:rPr>
          <w:rFonts w:asciiTheme="minorHAnsi" w:eastAsia="Calibri" w:hAnsiTheme="minorHAnsi" w:cstheme="minorHAnsi"/>
          <w:sz w:val="22"/>
          <w:szCs w:val="28"/>
        </w:rPr>
      </w:pPr>
    </w:p>
    <w:p w14:paraId="728F5D20" w14:textId="3057E367" w:rsidR="00E06740" w:rsidRDefault="008045FA" w:rsidP="00E06740">
      <w:pPr>
        <w:spacing w:line="360" w:lineRule="auto"/>
        <w:ind w:firstLine="567"/>
        <w:contextualSpacing/>
        <w:rPr>
          <w:rFonts w:asciiTheme="minorHAnsi" w:eastAsia="Calibri" w:hAnsiTheme="minorHAnsi" w:cstheme="minorHAnsi"/>
          <w:b/>
          <w:szCs w:val="28"/>
        </w:rPr>
      </w:pPr>
      <w:r>
        <w:rPr>
          <w:rFonts w:asciiTheme="minorHAnsi" w:eastAsia="Calibri" w:hAnsiTheme="minorHAnsi" w:cstheme="minorHAnsi"/>
          <w:b/>
          <w:szCs w:val="28"/>
        </w:rPr>
        <w:t>6.3.5</w:t>
      </w:r>
      <w:r w:rsidR="00E06740" w:rsidRPr="00583572">
        <w:rPr>
          <w:rFonts w:asciiTheme="minorHAnsi" w:eastAsia="Calibri" w:hAnsiTheme="minorHAnsi" w:cstheme="minorHAnsi"/>
          <w:b/>
          <w:szCs w:val="28"/>
        </w:rPr>
        <w:t xml:space="preserve"> Project LT </w:t>
      </w:r>
      <w:proofErr w:type="spellStart"/>
      <w:r w:rsidR="00E06740" w:rsidRPr="00583572">
        <w:rPr>
          <w:rFonts w:asciiTheme="minorHAnsi" w:eastAsia="Calibri" w:hAnsiTheme="minorHAnsi" w:cstheme="minorHAnsi"/>
          <w:b/>
          <w:szCs w:val="28"/>
        </w:rPr>
        <w:t>Vijaypath</w:t>
      </w:r>
      <w:proofErr w:type="spellEnd"/>
      <w:r w:rsidR="00E06740" w:rsidRPr="00583572">
        <w:rPr>
          <w:rFonts w:asciiTheme="minorHAnsi" w:eastAsia="Calibri" w:hAnsiTheme="minorHAnsi" w:cstheme="minorHAnsi"/>
          <w:b/>
          <w:szCs w:val="28"/>
        </w:rPr>
        <w:t xml:space="preserve"> 2.O: </w:t>
      </w:r>
    </w:p>
    <w:p w14:paraId="2E1F486E" w14:textId="77777777" w:rsidR="0025136B" w:rsidRPr="00583572" w:rsidRDefault="0025136B" w:rsidP="00E06740">
      <w:pPr>
        <w:spacing w:line="360" w:lineRule="auto"/>
        <w:ind w:firstLine="567"/>
        <w:contextualSpacing/>
        <w:rPr>
          <w:rFonts w:asciiTheme="minorHAnsi" w:eastAsia="Calibri" w:hAnsiTheme="minorHAnsi" w:cstheme="minorHAnsi"/>
          <w:b/>
          <w:szCs w:val="28"/>
        </w:rPr>
      </w:pPr>
    </w:p>
    <w:p w14:paraId="00F47F7A" w14:textId="37A4D8A8" w:rsidR="00E06740" w:rsidRPr="00D40878" w:rsidRDefault="00E06740" w:rsidP="00E06740">
      <w:pPr>
        <w:autoSpaceDE w:val="0"/>
        <w:autoSpaceDN w:val="0"/>
        <w:adjustRightInd w:val="0"/>
        <w:spacing w:after="200" w:line="360" w:lineRule="auto"/>
        <w:ind w:left="567"/>
        <w:contextualSpacing/>
        <w:jc w:val="both"/>
        <w:rPr>
          <w:rFonts w:asciiTheme="minorHAnsi" w:eastAsia="Calibri" w:hAnsiTheme="minorHAnsi" w:cstheme="minorHAnsi"/>
          <w:color w:val="000000"/>
          <w:sz w:val="22"/>
          <w:szCs w:val="22"/>
        </w:rPr>
      </w:pPr>
      <w:r w:rsidRPr="00BD5055">
        <w:rPr>
          <w:rFonts w:asciiTheme="minorHAnsi" w:eastAsia="Calibri" w:hAnsiTheme="minorHAnsi" w:cstheme="minorHAnsi"/>
          <w:color w:val="000000"/>
          <w:sz w:val="22"/>
          <w:szCs w:val="22"/>
        </w:rPr>
        <w:t xml:space="preserve">Project LT </w:t>
      </w:r>
      <w:proofErr w:type="spellStart"/>
      <w:r w:rsidRPr="00BD5055">
        <w:rPr>
          <w:rFonts w:asciiTheme="minorHAnsi" w:eastAsia="Calibri" w:hAnsiTheme="minorHAnsi" w:cstheme="minorHAnsi"/>
          <w:color w:val="000000"/>
          <w:sz w:val="22"/>
          <w:szCs w:val="22"/>
        </w:rPr>
        <w:t>Vijaypath</w:t>
      </w:r>
      <w:proofErr w:type="spellEnd"/>
      <w:r w:rsidRPr="00BD5055">
        <w:rPr>
          <w:rFonts w:asciiTheme="minorHAnsi" w:eastAsia="Calibri" w:hAnsiTheme="minorHAnsi" w:cstheme="minorHAnsi"/>
          <w:color w:val="000000"/>
          <w:sz w:val="22"/>
          <w:szCs w:val="22"/>
        </w:rPr>
        <w:t xml:space="preserve"> was launched for touching consumer for resolution of their billing issues and ensuring collection of arrears along with current demand in the month of March’2</w:t>
      </w:r>
      <w:r>
        <w:rPr>
          <w:rFonts w:asciiTheme="minorHAnsi" w:eastAsia="Calibri" w:hAnsiTheme="minorHAnsi" w:cstheme="minorHAnsi"/>
          <w:color w:val="000000"/>
          <w:sz w:val="22"/>
          <w:szCs w:val="22"/>
        </w:rPr>
        <w:t>4</w:t>
      </w:r>
      <w:r w:rsidRPr="00BD5055">
        <w:rPr>
          <w:rFonts w:asciiTheme="minorHAnsi" w:eastAsia="Calibri" w:hAnsiTheme="minorHAnsi" w:cstheme="minorHAnsi"/>
          <w:color w:val="000000"/>
          <w:sz w:val="22"/>
          <w:szCs w:val="22"/>
        </w:rPr>
        <w:t>. Team TPNODL has collected more than Rs. 400 Cr.</w:t>
      </w:r>
      <w:r>
        <w:rPr>
          <w:rFonts w:asciiTheme="minorHAnsi" w:eastAsia="Calibri" w:hAnsiTheme="minorHAnsi" w:cstheme="minorHAnsi"/>
          <w:color w:val="000000"/>
          <w:sz w:val="22"/>
          <w:szCs w:val="22"/>
        </w:rPr>
        <w:t xml:space="preserve"> which have helped to</w:t>
      </w:r>
      <w:r w:rsidRPr="00BD5055">
        <w:rPr>
          <w:rFonts w:asciiTheme="minorHAnsi" w:eastAsia="Calibri" w:hAnsiTheme="minorHAnsi" w:cstheme="minorHAnsi"/>
          <w:color w:val="000000"/>
          <w:sz w:val="22"/>
          <w:szCs w:val="22"/>
        </w:rPr>
        <w:t xml:space="preserve"> achieve lowest ever AT&amp;C loss of 11.36% in the FY</w:t>
      </w:r>
      <w:r>
        <w:rPr>
          <w:rFonts w:asciiTheme="minorHAnsi" w:eastAsia="Calibri" w:hAnsiTheme="minorHAnsi" w:cstheme="minorHAnsi"/>
          <w:color w:val="000000"/>
          <w:sz w:val="22"/>
          <w:szCs w:val="22"/>
        </w:rPr>
        <w:t>24</w:t>
      </w:r>
    </w:p>
    <w:p w14:paraId="3ECB1FB2" w14:textId="4A186E63" w:rsidR="00E06740" w:rsidRDefault="0025136B" w:rsidP="00E06740">
      <w:pPr>
        <w:autoSpaceDE w:val="0"/>
        <w:autoSpaceDN w:val="0"/>
        <w:adjustRightInd w:val="0"/>
        <w:spacing w:line="360" w:lineRule="auto"/>
        <w:jc w:val="center"/>
        <w:rPr>
          <w:rFonts w:asciiTheme="minorHAnsi" w:hAnsiTheme="minorHAnsi" w:cstheme="minorHAnsi"/>
          <w:b/>
          <w:color w:val="000000"/>
          <w:sz w:val="22"/>
          <w:szCs w:val="22"/>
        </w:rPr>
      </w:pPr>
      <w:r w:rsidRPr="00583572">
        <w:rPr>
          <w:noProof/>
          <w:sz w:val="22"/>
          <w:lang w:val="en-IN" w:eastAsia="en-IN"/>
        </w:rPr>
        <w:drawing>
          <wp:anchor distT="0" distB="0" distL="114300" distR="114300" simplePos="0" relativeHeight="252143104" behindDoc="1" locked="0" layoutInCell="1" allowOverlap="1" wp14:anchorId="387F47E0" wp14:editId="2E71B093">
            <wp:simplePos x="0" y="0"/>
            <wp:positionH relativeFrom="margin">
              <wp:posOffset>470535</wp:posOffset>
            </wp:positionH>
            <wp:positionV relativeFrom="paragraph">
              <wp:posOffset>207010</wp:posOffset>
            </wp:positionV>
            <wp:extent cx="5353050" cy="2124075"/>
            <wp:effectExtent l="76200" t="76200" r="133350" b="142875"/>
            <wp:wrapTight wrapText="bothSides">
              <wp:wrapPolygon edited="0">
                <wp:start x="-154" y="-775"/>
                <wp:lineTo x="-307" y="-581"/>
                <wp:lineTo x="-307" y="22084"/>
                <wp:lineTo x="-154" y="22859"/>
                <wp:lineTo x="21907" y="22859"/>
                <wp:lineTo x="22061" y="21309"/>
                <wp:lineTo x="22061" y="2518"/>
                <wp:lineTo x="21907" y="-387"/>
                <wp:lineTo x="21907" y="-775"/>
                <wp:lineTo x="-154" y="-775"/>
              </wp:wrapPolygon>
            </wp:wrapTight>
            <wp:docPr id="92574960" name="Picture 925749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5353050" cy="212407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14:sizeRelH relativeFrom="margin">
              <wp14:pctWidth>0</wp14:pctWidth>
            </wp14:sizeRelH>
            <wp14:sizeRelV relativeFrom="margin">
              <wp14:pctHeight>0</wp14:pctHeight>
            </wp14:sizeRelV>
          </wp:anchor>
        </w:drawing>
      </w:r>
    </w:p>
    <w:p w14:paraId="118BC83C" w14:textId="77777777" w:rsidR="00E06740" w:rsidRDefault="00E06740" w:rsidP="00E06740">
      <w:pPr>
        <w:autoSpaceDE w:val="0"/>
        <w:autoSpaceDN w:val="0"/>
        <w:adjustRightInd w:val="0"/>
        <w:spacing w:line="360" w:lineRule="auto"/>
        <w:jc w:val="center"/>
        <w:rPr>
          <w:rFonts w:asciiTheme="minorHAnsi" w:hAnsiTheme="minorHAnsi" w:cstheme="minorHAnsi"/>
          <w:b/>
          <w:color w:val="000000"/>
          <w:sz w:val="22"/>
          <w:szCs w:val="22"/>
        </w:rPr>
      </w:pPr>
      <w:r>
        <w:rPr>
          <w:rFonts w:asciiTheme="minorHAnsi" w:hAnsiTheme="minorHAnsi" w:cstheme="minorHAnsi"/>
          <w:b/>
          <w:color w:val="000000"/>
          <w:sz w:val="22"/>
          <w:szCs w:val="22"/>
        </w:rPr>
        <w:t xml:space="preserve">                                      </w:t>
      </w:r>
    </w:p>
    <w:p w14:paraId="3A8D5933" w14:textId="77777777" w:rsidR="00E06740" w:rsidRDefault="00E06740" w:rsidP="00E06740">
      <w:pPr>
        <w:autoSpaceDE w:val="0"/>
        <w:autoSpaceDN w:val="0"/>
        <w:adjustRightInd w:val="0"/>
        <w:spacing w:line="360" w:lineRule="auto"/>
        <w:jc w:val="center"/>
        <w:rPr>
          <w:rFonts w:asciiTheme="minorHAnsi" w:hAnsiTheme="minorHAnsi" w:cstheme="minorHAnsi"/>
          <w:b/>
          <w:color w:val="000000"/>
          <w:sz w:val="22"/>
          <w:szCs w:val="22"/>
        </w:rPr>
      </w:pPr>
    </w:p>
    <w:p w14:paraId="5BA3C43B" w14:textId="77777777" w:rsidR="00E06740" w:rsidRPr="00583572" w:rsidRDefault="00E06740" w:rsidP="00E06740">
      <w:pPr>
        <w:autoSpaceDE w:val="0"/>
        <w:autoSpaceDN w:val="0"/>
        <w:adjustRightInd w:val="0"/>
        <w:spacing w:line="360" w:lineRule="auto"/>
        <w:jc w:val="both"/>
        <w:rPr>
          <w:rFonts w:asciiTheme="minorHAnsi" w:hAnsiTheme="minorHAnsi" w:cstheme="minorHAnsi"/>
          <w:noProof/>
          <w:sz w:val="22"/>
          <w:szCs w:val="22"/>
          <w:lang w:val="en-IN" w:eastAsia="en-IN"/>
        </w:rPr>
      </w:pPr>
      <w:r>
        <w:rPr>
          <w:noProof/>
          <w:lang w:val="en-IN" w:eastAsia="en-IN"/>
        </w:rPr>
        <w:lastRenderedPageBreak/>
        <w:drawing>
          <wp:anchor distT="0" distB="0" distL="114300" distR="114300" simplePos="0" relativeHeight="252142080" behindDoc="1" locked="0" layoutInCell="1" allowOverlap="1" wp14:anchorId="280BB1BC" wp14:editId="63AE5190">
            <wp:simplePos x="0" y="0"/>
            <wp:positionH relativeFrom="margin">
              <wp:posOffset>3090545</wp:posOffset>
            </wp:positionH>
            <wp:positionV relativeFrom="paragraph">
              <wp:posOffset>294640</wp:posOffset>
            </wp:positionV>
            <wp:extent cx="2724150" cy="2609850"/>
            <wp:effectExtent l="76200" t="76200" r="133350" b="133350"/>
            <wp:wrapTight wrapText="bothSides">
              <wp:wrapPolygon edited="0">
                <wp:start x="-302" y="-631"/>
                <wp:lineTo x="-604" y="-473"/>
                <wp:lineTo x="-604" y="21915"/>
                <wp:lineTo x="-302" y="22546"/>
                <wp:lineTo x="22204" y="22546"/>
                <wp:lineTo x="22506" y="22231"/>
                <wp:lineTo x="22506" y="2050"/>
                <wp:lineTo x="22204" y="-315"/>
                <wp:lineTo x="22204" y="-631"/>
                <wp:lineTo x="-302" y="-631"/>
              </wp:wrapPolygon>
            </wp:wrapTight>
            <wp:docPr id="92574961" name="Picture 92574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2724150" cy="260985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14:sizeRelH relativeFrom="margin">
              <wp14:pctWidth>0</wp14:pctWidth>
            </wp14:sizeRelH>
            <wp14:sizeRelV relativeFrom="margin">
              <wp14:pctHeight>0</wp14:pctHeight>
            </wp14:sizeRelV>
          </wp:anchor>
        </w:drawing>
      </w:r>
      <w:r>
        <w:rPr>
          <w:noProof/>
          <w:lang w:val="en-IN" w:eastAsia="en-IN"/>
        </w:rPr>
        <w:drawing>
          <wp:anchor distT="0" distB="0" distL="114300" distR="114300" simplePos="0" relativeHeight="252141056" behindDoc="1" locked="0" layoutInCell="1" allowOverlap="1" wp14:anchorId="317BDA1B" wp14:editId="776AFAA6">
            <wp:simplePos x="0" y="0"/>
            <wp:positionH relativeFrom="margin">
              <wp:posOffset>333375</wp:posOffset>
            </wp:positionH>
            <wp:positionV relativeFrom="paragraph">
              <wp:posOffset>285750</wp:posOffset>
            </wp:positionV>
            <wp:extent cx="2457450" cy="2619375"/>
            <wp:effectExtent l="76200" t="76200" r="133350" b="142875"/>
            <wp:wrapTight wrapText="bothSides">
              <wp:wrapPolygon edited="0">
                <wp:start x="-335" y="-628"/>
                <wp:lineTo x="-670" y="-471"/>
                <wp:lineTo x="-670" y="21993"/>
                <wp:lineTo x="-335" y="22621"/>
                <wp:lineTo x="22270" y="22621"/>
                <wp:lineTo x="22605" y="22150"/>
                <wp:lineTo x="22605" y="2042"/>
                <wp:lineTo x="22270" y="-314"/>
                <wp:lineTo x="22270" y="-628"/>
                <wp:lineTo x="-335" y="-628"/>
              </wp:wrapPolygon>
            </wp:wrapTight>
            <wp:docPr id="92574962" name="Picture 925749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2457450" cy="261937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14:sizeRelH relativeFrom="margin">
              <wp14:pctWidth>0</wp14:pctWidth>
            </wp14:sizeRelH>
            <wp14:sizeRelV relativeFrom="margin">
              <wp14:pctHeight>0</wp14:pctHeight>
            </wp14:sizeRelV>
          </wp:anchor>
        </w:drawing>
      </w:r>
    </w:p>
    <w:p w14:paraId="21C4837B" w14:textId="77777777" w:rsidR="00E06740" w:rsidRDefault="00E06740" w:rsidP="00E06740">
      <w:pPr>
        <w:spacing w:line="360" w:lineRule="auto"/>
        <w:ind w:left="567"/>
        <w:contextualSpacing/>
        <w:rPr>
          <w:rFonts w:asciiTheme="minorHAnsi" w:eastAsia="Calibri" w:hAnsiTheme="minorHAnsi" w:cstheme="minorHAnsi"/>
          <w:b/>
          <w:szCs w:val="28"/>
        </w:rPr>
      </w:pPr>
    </w:p>
    <w:p w14:paraId="0AF4BFE8" w14:textId="29396DE8" w:rsidR="00E06740" w:rsidRPr="00EA2DEA" w:rsidRDefault="008045FA" w:rsidP="00E06740">
      <w:pPr>
        <w:spacing w:line="360" w:lineRule="auto"/>
        <w:ind w:left="567"/>
        <w:contextualSpacing/>
        <w:rPr>
          <w:rFonts w:asciiTheme="minorHAnsi" w:eastAsia="Calibri" w:hAnsiTheme="minorHAnsi" w:cstheme="minorHAnsi"/>
          <w:b/>
          <w:szCs w:val="28"/>
        </w:rPr>
      </w:pPr>
      <w:r>
        <w:rPr>
          <w:rFonts w:asciiTheme="minorHAnsi" w:eastAsia="Calibri" w:hAnsiTheme="minorHAnsi" w:cstheme="minorHAnsi"/>
          <w:b/>
          <w:szCs w:val="28"/>
        </w:rPr>
        <w:t>6.3.6</w:t>
      </w:r>
      <w:r w:rsidR="00E06740" w:rsidRPr="00EA2DEA">
        <w:rPr>
          <w:rFonts w:asciiTheme="minorHAnsi" w:eastAsia="Calibri" w:hAnsiTheme="minorHAnsi" w:cstheme="minorHAnsi"/>
          <w:b/>
          <w:szCs w:val="28"/>
        </w:rPr>
        <w:t xml:space="preserve"> Focused Collection Drive</w:t>
      </w:r>
    </w:p>
    <w:p w14:paraId="6A72DFED" w14:textId="77777777" w:rsidR="00E06740" w:rsidRDefault="00E06740" w:rsidP="00E06740">
      <w:pPr>
        <w:spacing w:line="360" w:lineRule="auto"/>
        <w:ind w:left="567"/>
        <w:contextualSpacing/>
        <w:jc w:val="both"/>
        <w:rPr>
          <w:rFonts w:asciiTheme="minorHAnsi" w:hAnsiTheme="minorHAnsi" w:cstheme="minorHAnsi"/>
          <w:sz w:val="22"/>
          <w:szCs w:val="22"/>
        </w:rPr>
      </w:pPr>
      <w:r w:rsidRPr="00BD5055">
        <w:rPr>
          <w:rFonts w:asciiTheme="minorHAnsi" w:hAnsiTheme="minorHAnsi" w:cstheme="minorHAnsi"/>
          <w:sz w:val="22"/>
          <w:szCs w:val="22"/>
        </w:rPr>
        <w:t>Rigorous training, follow-ups &amp; monitoring of</w:t>
      </w:r>
      <w:r>
        <w:rPr>
          <w:rFonts w:asciiTheme="minorHAnsi" w:hAnsiTheme="minorHAnsi" w:cstheme="minorHAnsi"/>
          <w:sz w:val="22"/>
          <w:szCs w:val="22"/>
        </w:rPr>
        <w:t xml:space="preserve"> Bill Collector performance have resulted into significant increase (5% increase from H1 LFY) in unique collection coverage (91.36% at the end of H1-CFY). With this holistic approach towards improving consumer coverage, Arrear free consumer of TPNODL become more than 50% i.e. 10.45 lakh out of 19.8 lakh consumers by H1 CFY.</w:t>
      </w:r>
    </w:p>
    <w:p w14:paraId="54056D39" w14:textId="77777777" w:rsidR="00E06740" w:rsidRDefault="00E06740" w:rsidP="00E06740">
      <w:pPr>
        <w:spacing w:line="360" w:lineRule="auto"/>
        <w:ind w:firstLine="360"/>
        <w:contextualSpacing/>
        <w:rPr>
          <w:rFonts w:asciiTheme="minorHAnsi" w:eastAsia="Calibri" w:hAnsiTheme="minorHAnsi" w:cstheme="minorHAnsi"/>
          <w:b/>
          <w:sz w:val="28"/>
          <w:szCs w:val="28"/>
        </w:rPr>
      </w:pPr>
      <w:r w:rsidRPr="000D5E2D">
        <w:rPr>
          <w:rFonts w:asciiTheme="minorHAnsi" w:eastAsia="Calibri" w:hAnsiTheme="minorHAnsi" w:cstheme="minorHAnsi"/>
          <w:b/>
          <w:noProof/>
          <w:sz w:val="28"/>
          <w:szCs w:val="28"/>
          <w:lang w:val="en-IN" w:eastAsia="en-IN"/>
        </w:rPr>
        <w:drawing>
          <wp:anchor distT="0" distB="0" distL="114300" distR="114300" simplePos="0" relativeHeight="252144128" behindDoc="1" locked="0" layoutInCell="1" allowOverlap="1" wp14:anchorId="5E1E9F06" wp14:editId="227846CF">
            <wp:simplePos x="0" y="0"/>
            <wp:positionH relativeFrom="margin">
              <wp:posOffset>422910</wp:posOffset>
            </wp:positionH>
            <wp:positionV relativeFrom="paragraph">
              <wp:posOffset>67310</wp:posOffset>
            </wp:positionV>
            <wp:extent cx="5610225" cy="2295525"/>
            <wp:effectExtent l="0" t="0" r="9525" b="9525"/>
            <wp:wrapTight wrapText="bothSides">
              <wp:wrapPolygon edited="0">
                <wp:start x="0" y="0"/>
                <wp:lineTo x="0" y="21510"/>
                <wp:lineTo x="21563" y="21510"/>
                <wp:lineTo x="21563" y="0"/>
                <wp:lineTo x="0" y="0"/>
              </wp:wrapPolygon>
            </wp:wrapTight>
            <wp:docPr id="13" name="Chart 13">
              <a:extLst xmlns:a="http://schemas.openxmlformats.org/drawingml/2006/main">
                <a:ext uri="{FF2B5EF4-FFF2-40B4-BE49-F238E27FC236}">
                  <a16:creationId xmlns:a16="http://schemas.microsoft.com/office/drawing/2014/main" id="{D5FEA1CE-37B3-45E3-9393-ADDDB9761A7F}"/>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30"/>
              </a:graphicData>
            </a:graphic>
            <wp14:sizeRelH relativeFrom="margin">
              <wp14:pctWidth>0</wp14:pctWidth>
            </wp14:sizeRelH>
            <wp14:sizeRelV relativeFrom="margin">
              <wp14:pctHeight>0</wp14:pctHeight>
            </wp14:sizeRelV>
          </wp:anchor>
        </w:drawing>
      </w:r>
      <w:r w:rsidRPr="000D5E2D">
        <w:rPr>
          <w:rFonts w:asciiTheme="minorHAnsi" w:eastAsia="Calibri" w:hAnsiTheme="minorHAnsi" w:cstheme="minorHAnsi"/>
          <w:b/>
          <w:sz w:val="28"/>
          <w:szCs w:val="28"/>
        </w:rPr>
        <w:t xml:space="preserve"> </w:t>
      </w:r>
    </w:p>
    <w:p w14:paraId="6F3C13A6" w14:textId="77777777" w:rsidR="00E06740" w:rsidRDefault="00E06740" w:rsidP="00E06740">
      <w:pPr>
        <w:spacing w:line="360" w:lineRule="auto"/>
        <w:ind w:firstLine="360"/>
        <w:contextualSpacing/>
        <w:rPr>
          <w:rFonts w:asciiTheme="minorHAnsi" w:eastAsia="Calibri" w:hAnsiTheme="minorHAnsi" w:cstheme="minorHAnsi"/>
          <w:b/>
          <w:sz w:val="28"/>
          <w:szCs w:val="28"/>
        </w:rPr>
      </w:pPr>
    </w:p>
    <w:p w14:paraId="6ECAAF61" w14:textId="77777777" w:rsidR="00E06740" w:rsidRDefault="00E06740" w:rsidP="00E06740">
      <w:pPr>
        <w:spacing w:line="360" w:lineRule="auto"/>
        <w:ind w:firstLine="360"/>
        <w:contextualSpacing/>
        <w:rPr>
          <w:rFonts w:asciiTheme="minorHAnsi" w:eastAsia="Calibri" w:hAnsiTheme="minorHAnsi" w:cstheme="minorHAnsi"/>
          <w:b/>
          <w:sz w:val="28"/>
          <w:szCs w:val="28"/>
        </w:rPr>
      </w:pPr>
    </w:p>
    <w:p w14:paraId="70B7019D" w14:textId="77777777" w:rsidR="00E06740" w:rsidRDefault="00E06740" w:rsidP="00E06740">
      <w:pPr>
        <w:spacing w:line="360" w:lineRule="auto"/>
        <w:ind w:firstLine="360"/>
        <w:contextualSpacing/>
        <w:rPr>
          <w:rFonts w:asciiTheme="minorHAnsi" w:eastAsia="Calibri" w:hAnsiTheme="minorHAnsi" w:cstheme="minorHAnsi"/>
          <w:b/>
          <w:sz w:val="28"/>
          <w:szCs w:val="28"/>
        </w:rPr>
      </w:pPr>
    </w:p>
    <w:p w14:paraId="37C5DB19" w14:textId="77777777" w:rsidR="00E06740" w:rsidRDefault="00E06740" w:rsidP="00E06740">
      <w:pPr>
        <w:spacing w:line="360" w:lineRule="auto"/>
        <w:ind w:firstLine="360"/>
        <w:contextualSpacing/>
        <w:rPr>
          <w:rFonts w:asciiTheme="minorHAnsi" w:eastAsia="Calibri" w:hAnsiTheme="minorHAnsi" w:cstheme="minorHAnsi"/>
          <w:b/>
          <w:szCs w:val="28"/>
        </w:rPr>
      </w:pPr>
    </w:p>
    <w:p w14:paraId="3C7319AF" w14:textId="77777777" w:rsidR="00E06740" w:rsidRDefault="00E06740" w:rsidP="00E06740">
      <w:pPr>
        <w:spacing w:line="360" w:lineRule="auto"/>
        <w:ind w:left="567"/>
        <w:contextualSpacing/>
        <w:rPr>
          <w:rFonts w:asciiTheme="minorHAnsi" w:eastAsia="Calibri" w:hAnsiTheme="minorHAnsi" w:cstheme="minorHAnsi"/>
          <w:b/>
          <w:szCs w:val="28"/>
        </w:rPr>
      </w:pPr>
    </w:p>
    <w:p w14:paraId="26AD32FB" w14:textId="0F789CDC" w:rsidR="00E06740" w:rsidRDefault="00E06740" w:rsidP="00E06740">
      <w:pPr>
        <w:spacing w:line="360" w:lineRule="auto"/>
        <w:ind w:left="567"/>
        <w:contextualSpacing/>
        <w:rPr>
          <w:rFonts w:asciiTheme="minorHAnsi" w:eastAsia="Calibri" w:hAnsiTheme="minorHAnsi" w:cstheme="minorHAnsi"/>
          <w:b/>
          <w:szCs w:val="28"/>
        </w:rPr>
      </w:pPr>
    </w:p>
    <w:p w14:paraId="5D8989F1" w14:textId="3EEAFAF4" w:rsidR="00E06740" w:rsidRDefault="00E06740" w:rsidP="00E06740">
      <w:pPr>
        <w:spacing w:line="360" w:lineRule="auto"/>
        <w:contextualSpacing/>
        <w:rPr>
          <w:rFonts w:asciiTheme="minorHAnsi" w:eastAsia="Calibri" w:hAnsiTheme="minorHAnsi" w:cstheme="minorHAnsi"/>
          <w:b/>
          <w:szCs w:val="28"/>
        </w:rPr>
      </w:pPr>
    </w:p>
    <w:p w14:paraId="5D57F685" w14:textId="77777777" w:rsidR="0025136B" w:rsidRDefault="0025136B" w:rsidP="00E06740">
      <w:pPr>
        <w:spacing w:line="360" w:lineRule="auto"/>
        <w:ind w:left="567"/>
        <w:contextualSpacing/>
        <w:rPr>
          <w:rFonts w:asciiTheme="minorHAnsi" w:eastAsia="Calibri" w:hAnsiTheme="minorHAnsi" w:cstheme="minorHAnsi"/>
          <w:b/>
          <w:szCs w:val="28"/>
        </w:rPr>
      </w:pPr>
    </w:p>
    <w:p w14:paraId="1AC0C288" w14:textId="77777777" w:rsidR="0025136B" w:rsidRDefault="0025136B" w:rsidP="00E06740">
      <w:pPr>
        <w:spacing w:line="360" w:lineRule="auto"/>
        <w:ind w:left="567"/>
        <w:contextualSpacing/>
        <w:rPr>
          <w:rFonts w:asciiTheme="minorHAnsi" w:eastAsia="Calibri" w:hAnsiTheme="minorHAnsi" w:cstheme="minorHAnsi"/>
          <w:b/>
          <w:szCs w:val="28"/>
        </w:rPr>
      </w:pPr>
    </w:p>
    <w:p w14:paraId="6DBD45C5" w14:textId="77777777" w:rsidR="0025136B" w:rsidRDefault="0025136B" w:rsidP="00E06740">
      <w:pPr>
        <w:spacing w:line="360" w:lineRule="auto"/>
        <w:ind w:left="567"/>
        <w:contextualSpacing/>
        <w:rPr>
          <w:rFonts w:asciiTheme="minorHAnsi" w:eastAsia="Calibri" w:hAnsiTheme="minorHAnsi" w:cstheme="minorHAnsi"/>
          <w:b/>
          <w:szCs w:val="28"/>
        </w:rPr>
      </w:pPr>
    </w:p>
    <w:p w14:paraId="7E658319" w14:textId="25919555" w:rsidR="0025136B" w:rsidRDefault="008045FA" w:rsidP="008045FA">
      <w:pPr>
        <w:spacing w:line="360" w:lineRule="auto"/>
        <w:ind w:left="567"/>
        <w:contextualSpacing/>
        <w:rPr>
          <w:rFonts w:asciiTheme="minorHAnsi" w:eastAsia="Calibri" w:hAnsiTheme="minorHAnsi" w:cstheme="minorHAnsi"/>
          <w:b/>
          <w:szCs w:val="28"/>
        </w:rPr>
      </w:pPr>
      <w:r w:rsidRPr="000D5E2D">
        <w:rPr>
          <w:rFonts w:asciiTheme="minorHAnsi" w:eastAsia="Calibri" w:hAnsiTheme="minorHAnsi" w:cstheme="minorHAnsi"/>
          <w:b/>
          <w:noProof/>
          <w:sz w:val="28"/>
          <w:szCs w:val="28"/>
          <w:lang w:val="en-IN" w:eastAsia="en-IN"/>
        </w:rPr>
        <w:lastRenderedPageBreak/>
        <w:drawing>
          <wp:anchor distT="0" distB="0" distL="114300" distR="114300" simplePos="0" relativeHeight="252204544" behindDoc="1" locked="0" layoutInCell="1" allowOverlap="1" wp14:anchorId="566B3D70" wp14:editId="2121F5B2">
            <wp:simplePos x="0" y="0"/>
            <wp:positionH relativeFrom="margin">
              <wp:posOffset>320040</wp:posOffset>
            </wp:positionH>
            <wp:positionV relativeFrom="paragraph">
              <wp:posOffset>149860</wp:posOffset>
            </wp:positionV>
            <wp:extent cx="5429250" cy="2038350"/>
            <wp:effectExtent l="19050" t="19050" r="19050" b="19050"/>
            <wp:wrapTight wrapText="bothSides">
              <wp:wrapPolygon edited="0">
                <wp:start x="-76" y="-202"/>
                <wp:lineTo x="-76" y="21600"/>
                <wp:lineTo x="21600" y="21600"/>
                <wp:lineTo x="21600" y="-202"/>
                <wp:lineTo x="-76" y="-202"/>
              </wp:wrapPolygon>
            </wp:wrapTight>
            <wp:docPr id="92574963" name="Chart 92574963">
              <a:extLst xmlns:a="http://schemas.openxmlformats.org/drawingml/2006/main">
                <a:ext uri="{FF2B5EF4-FFF2-40B4-BE49-F238E27FC236}">
                  <a16:creationId xmlns:a16="http://schemas.microsoft.com/office/drawing/2014/main" id="{04D1C52A-F450-46BB-9527-E6C98FFA0A57}"/>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31"/>
              </a:graphicData>
            </a:graphic>
            <wp14:sizeRelH relativeFrom="margin">
              <wp14:pctWidth>0</wp14:pctWidth>
            </wp14:sizeRelH>
            <wp14:sizeRelV relativeFrom="margin">
              <wp14:pctHeight>0</wp14:pctHeight>
            </wp14:sizeRelV>
          </wp:anchor>
        </w:drawing>
      </w:r>
    </w:p>
    <w:p w14:paraId="007DDCB0" w14:textId="038B789B" w:rsidR="00E06740" w:rsidRPr="00EA2DEA" w:rsidRDefault="008045FA" w:rsidP="00E06740">
      <w:pPr>
        <w:spacing w:line="360" w:lineRule="auto"/>
        <w:ind w:left="567"/>
        <w:contextualSpacing/>
        <w:rPr>
          <w:rFonts w:asciiTheme="minorHAnsi" w:eastAsia="Calibri" w:hAnsiTheme="minorHAnsi" w:cstheme="minorHAnsi"/>
          <w:b/>
          <w:szCs w:val="28"/>
        </w:rPr>
      </w:pPr>
      <w:r>
        <w:rPr>
          <w:rFonts w:asciiTheme="minorHAnsi" w:eastAsia="Calibri" w:hAnsiTheme="minorHAnsi" w:cstheme="minorHAnsi"/>
          <w:b/>
          <w:szCs w:val="28"/>
        </w:rPr>
        <w:t>6.3.7</w:t>
      </w:r>
      <w:r w:rsidR="00E06740" w:rsidRPr="00EA2DEA">
        <w:rPr>
          <w:rFonts w:asciiTheme="minorHAnsi" w:eastAsia="Calibri" w:hAnsiTheme="minorHAnsi" w:cstheme="minorHAnsi"/>
          <w:b/>
          <w:szCs w:val="28"/>
        </w:rPr>
        <w:t xml:space="preserve"> Digital Collection Improvement</w:t>
      </w:r>
    </w:p>
    <w:p w14:paraId="77880242" w14:textId="6DF76223" w:rsidR="00E06740" w:rsidRPr="00DF093B" w:rsidRDefault="00E06740" w:rsidP="00E06740">
      <w:pPr>
        <w:numPr>
          <w:ilvl w:val="0"/>
          <w:numId w:val="25"/>
        </w:numPr>
        <w:spacing w:line="360" w:lineRule="auto"/>
        <w:ind w:left="567" w:firstLine="0"/>
        <w:jc w:val="both"/>
        <w:rPr>
          <w:rFonts w:asciiTheme="minorHAnsi" w:hAnsiTheme="minorHAnsi" w:cstheme="minorHAnsi"/>
          <w:sz w:val="22"/>
          <w:szCs w:val="22"/>
          <w:lang w:val="en-IN"/>
        </w:rPr>
      </w:pPr>
      <w:r w:rsidRPr="00DF093B">
        <w:rPr>
          <w:rFonts w:asciiTheme="minorHAnsi" w:hAnsiTheme="minorHAnsi" w:cstheme="minorHAnsi"/>
          <w:sz w:val="22"/>
          <w:szCs w:val="22"/>
        </w:rPr>
        <w:t>Awareness and repeated communication through SMS/ WhatsApp to arrear free consumers is increasing Digital payment through BBPS apps- Will further increased after Click to Pay/ QR Code in bill roll out</w:t>
      </w:r>
    </w:p>
    <w:p w14:paraId="37CB9244" w14:textId="77777777" w:rsidR="00E06740" w:rsidRPr="00DF093B" w:rsidRDefault="00E06740" w:rsidP="00E06740">
      <w:pPr>
        <w:numPr>
          <w:ilvl w:val="0"/>
          <w:numId w:val="25"/>
        </w:numPr>
        <w:spacing w:line="360" w:lineRule="auto"/>
        <w:ind w:left="567" w:firstLine="0"/>
        <w:jc w:val="both"/>
        <w:rPr>
          <w:rFonts w:asciiTheme="minorHAnsi" w:hAnsiTheme="minorHAnsi" w:cstheme="minorHAnsi"/>
          <w:sz w:val="22"/>
          <w:szCs w:val="22"/>
          <w:lang w:val="en-IN"/>
        </w:rPr>
      </w:pPr>
      <w:r w:rsidRPr="00DF093B">
        <w:rPr>
          <w:rFonts w:asciiTheme="minorHAnsi" w:hAnsiTheme="minorHAnsi" w:cstheme="minorHAnsi"/>
          <w:sz w:val="22"/>
          <w:szCs w:val="22"/>
        </w:rPr>
        <w:t>D2D withdrawal in semi urban sections is increasing digital payment</w:t>
      </w:r>
    </w:p>
    <w:p w14:paraId="17B71C7D" w14:textId="77777777" w:rsidR="00E06740" w:rsidRPr="00DF093B" w:rsidRDefault="00E06740" w:rsidP="00E06740">
      <w:pPr>
        <w:numPr>
          <w:ilvl w:val="0"/>
          <w:numId w:val="25"/>
        </w:numPr>
        <w:spacing w:line="360" w:lineRule="auto"/>
        <w:ind w:left="567" w:firstLine="0"/>
        <w:jc w:val="both"/>
        <w:rPr>
          <w:rFonts w:asciiTheme="minorHAnsi" w:hAnsiTheme="minorHAnsi" w:cstheme="minorHAnsi"/>
          <w:sz w:val="22"/>
          <w:szCs w:val="22"/>
          <w:lang w:val="en-IN"/>
        </w:rPr>
      </w:pPr>
      <w:r w:rsidRPr="00DF093B">
        <w:rPr>
          <w:rFonts w:asciiTheme="minorHAnsi" w:hAnsiTheme="minorHAnsi" w:cstheme="minorHAnsi"/>
          <w:sz w:val="22"/>
          <w:szCs w:val="22"/>
        </w:rPr>
        <w:t>Specific visit to sections has ensured awareness among BA workforce for Digital payment</w:t>
      </w:r>
    </w:p>
    <w:p w14:paraId="66CC9C75" w14:textId="45926A16" w:rsidR="00E06740" w:rsidRPr="00B33403" w:rsidRDefault="00E06740" w:rsidP="00E06740">
      <w:pPr>
        <w:numPr>
          <w:ilvl w:val="0"/>
          <w:numId w:val="25"/>
        </w:numPr>
        <w:spacing w:line="360" w:lineRule="auto"/>
        <w:ind w:hanging="153"/>
        <w:jc w:val="both"/>
        <w:rPr>
          <w:rFonts w:asciiTheme="minorHAnsi" w:hAnsiTheme="minorHAnsi" w:cstheme="minorHAnsi"/>
          <w:sz w:val="22"/>
          <w:szCs w:val="22"/>
          <w:lang w:val="en-IN"/>
        </w:rPr>
      </w:pPr>
      <w:r w:rsidRPr="00BD5055">
        <w:rPr>
          <w:rFonts w:asciiTheme="minorHAnsi" w:hAnsiTheme="minorHAnsi" w:cstheme="minorHAnsi"/>
          <w:noProof/>
          <w:sz w:val="22"/>
          <w:szCs w:val="22"/>
          <w:lang w:val="en-IN" w:eastAsia="en-IN"/>
        </w:rPr>
        <w:drawing>
          <wp:anchor distT="0" distB="0" distL="114300" distR="114300" simplePos="0" relativeHeight="252134912" behindDoc="1" locked="0" layoutInCell="1" allowOverlap="1" wp14:anchorId="6AB931B0" wp14:editId="5C29E62B">
            <wp:simplePos x="0" y="0"/>
            <wp:positionH relativeFrom="margin">
              <wp:posOffset>260985</wp:posOffset>
            </wp:positionH>
            <wp:positionV relativeFrom="paragraph">
              <wp:posOffset>282575</wp:posOffset>
            </wp:positionV>
            <wp:extent cx="5467350" cy="1800225"/>
            <wp:effectExtent l="76200" t="76200" r="133350" b="142875"/>
            <wp:wrapTight wrapText="bothSides">
              <wp:wrapPolygon edited="0">
                <wp:start x="-151" y="-914"/>
                <wp:lineTo x="-301" y="-686"/>
                <wp:lineTo x="-301" y="22171"/>
                <wp:lineTo x="-151" y="23086"/>
                <wp:lineTo x="21901" y="23086"/>
                <wp:lineTo x="22052" y="21486"/>
                <wp:lineTo x="22052" y="2971"/>
                <wp:lineTo x="21901" y="-457"/>
                <wp:lineTo x="21901" y="-914"/>
                <wp:lineTo x="-151" y="-914"/>
              </wp:wrapPolygon>
            </wp:wrapTight>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5467350" cy="180022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14:sizeRelH relativeFrom="margin">
              <wp14:pctWidth>0</wp14:pctWidth>
            </wp14:sizeRelH>
            <wp14:sizeRelV relativeFrom="margin">
              <wp14:pctHeight>0</wp14:pctHeight>
            </wp14:sizeRelV>
          </wp:anchor>
        </w:drawing>
      </w:r>
      <w:r w:rsidRPr="00DF093B">
        <w:rPr>
          <w:rFonts w:asciiTheme="minorHAnsi" w:hAnsiTheme="minorHAnsi" w:cstheme="minorHAnsi"/>
          <w:sz w:val="22"/>
          <w:szCs w:val="22"/>
        </w:rPr>
        <w:t xml:space="preserve">85% of the digital paid consumers have always make digital payment in last six months  </w:t>
      </w:r>
    </w:p>
    <w:p w14:paraId="529B256C" w14:textId="1CFCAB95" w:rsidR="00E06740" w:rsidRPr="00A32E51" w:rsidRDefault="008045FA" w:rsidP="00E06740">
      <w:pPr>
        <w:spacing w:line="360" w:lineRule="auto"/>
        <w:ind w:left="720"/>
        <w:jc w:val="both"/>
        <w:rPr>
          <w:rFonts w:asciiTheme="minorHAnsi" w:hAnsiTheme="minorHAnsi" w:cstheme="minorHAnsi"/>
          <w:sz w:val="22"/>
          <w:szCs w:val="22"/>
          <w:lang w:val="en-IN"/>
        </w:rPr>
      </w:pPr>
      <w:r w:rsidRPr="00FE2506">
        <w:rPr>
          <w:rFonts w:asciiTheme="minorHAnsi" w:hAnsiTheme="minorHAnsi" w:cstheme="minorHAnsi"/>
          <w:b/>
          <w:noProof/>
          <w:sz w:val="22"/>
          <w:szCs w:val="22"/>
          <w:lang w:val="en-IN" w:eastAsia="en-IN"/>
        </w:rPr>
        <w:drawing>
          <wp:anchor distT="0" distB="0" distL="114300" distR="114300" simplePos="0" relativeHeight="252150272" behindDoc="1" locked="0" layoutInCell="1" allowOverlap="1" wp14:anchorId="5A67ED18" wp14:editId="713B92B3">
            <wp:simplePos x="0" y="0"/>
            <wp:positionH relativeFrom="margin">
              <wp:align>center</wp:align>
            </wp:positionH>
            <wp:positionV relativeFrom="paragraph">
              <wp:posOffset>2277110</wp:posOffset>
            </wp:positionV>
            <wp:extent cx="5534025" cy="2257425"/>
            <wp:effectExtent l="19050" t="19050" r="9525" b="9525"/>
            <wp:wrapTight wrapText="bothSides">
              <wp:wrapPolygon edited="0">
                <wp:start x="-74" y="-182"/>
                <wp:lineTo x="-74" y="21509"/>
                <wp:lineTo x="21563" y="21509"/>
                <wp:lineTo x="21563" y="-182"/>
                <wp:lineTo x="-74" y="-182"/>
              </wp:wrapPolygon>
            </wp:wrapTight>
            <wp:docPr id="92574964" name="Chart 92574964"/>
            <wp:cNvGraphicFramePr/>
            <a:graphic xmlns:a="http://schemas.openxmlformats.org/drawingml/2006/main">
              <a:graphicData uri="http://schemas.openxmlformats.org/drawingml/2006/chart">
                <c:chart xmlns:c="http://schemas.openxmlformats.org/drawingml/2006/chart" xmlns:r="http://schemas.openxmlformats.org/officeDocument/2006/relationships" r:id="rId133"/>
              </a:graphicData>
            </a:graphic>
            <wp14:sizeRelH relativeFrom="margin">
              <wp14:pctWidth>0</wp14:pctWidth>
            </wp14:sizeRelH>
            <wp14:sizeRelV relativeFrom="margin">
              <wp14:pctHeight>0</wp14:pctHeight>
            </wp14:sizeRelV>
          </wp:anchor>
        </w:drawing>
      </w:r>
    </w:p>
    <w:p w14:paraId="24F76FCF" w14:textId="12655FF5" w:rsidR="00E06740" w:rsidRPr="00364A72" w:rsidRDefault="00032DA3" w:rsidP="00E06740">
      <w:pPr>
        <w:spacing w:line="360" w:lineRule="auto"/>
        <w:ind w:left="567"/>
        <w:contextualSpacing/>
        <w:rPr>
          <w:rFonts w:asciiTheme="minorHAnsi" w:eastAsia="Calibri" w:hAnsiTheme="minorHAnsi" w:cstheme="minorHAnsi"/>
          <w:b/>
          <w:szCs w:val="28"/>
        </w:rPr>
      </w:pPr>
      <w:r>
        <w:rPr>
          <w:rFonts w:asciiTheme="minorHAnsi" w:eastAsia="Calibri" w:hAnsiTheme="minorHAnsi" w:cstheme="minorHAnsi"/>
          <w:b/>
          <w:szCs w:val="28"/>
        </w:rPr>
        <w:lastRenderedPageBreak/>
        <w:t>6.3.8</w:t>
      </w:r>
      <w:r w:rsidR="00E06740" w:rsidRPr="00364A72">
        <w:rPr>
          <w:rFonts w:asciiTheme="minorHAnsi" w:eastAsia="Calibri" w:hAnsiTheme="minorHAnsi" w:cstheme="minorHAnsi"/>
          <w:b/>
          <w:szCs w:val="28"/>
        </w:rPr>
        <w:t xml:space="preserve"> “</w:t>
      </w:r>
      <w:proofErr w:type="spellStart"/>
      <w:r w:rsidR="00E06740" w:rsidRPr="00364A72">
        <w:rPr>
          <w:rFonts w:asciiTheme="minorHAnsi" w:eastAsia="Calibri" w:hAnsiTheme="minorHAnsi" w:cstheme="minorHAnsi"/>
          <w:b/>
          <w:szCs w:val="28"/>
        </w:rPr>
        <w:t>Apekhya</w:t>
      </w:r>
      <w:proofErr w:type="spellEnd"/>
      <w:r w:rsidR="00E06740" w:rsidRPr="00364A72">
        <w:rPr>
          <w:rFonts w:asciiTheme="minorHAnsi" w:eastAsia="Calibri" w:hAnsiTheme="minorHAnsi" w:cstheme="minorHAnsi"/>
          <w:b/>
          <w:szCs w:val="28"/>
        </w:rPr>
        <w:t xml:space="preserve"> Ru Mukti – </w:t>
      </w:r>
      <w:proofErr w:type="spellStart"/>
      <w:r w:rsidR="00E06740" w:rsidRPr="00364A72">
        <w:rPr>
          <w:rFonts w:asciiTheme="minorHAnsi" w:eastAsia="Calibri" w:hAnsiTheme="minorHAnsi" w:cstheme="minorHAnsi"/>
          <w:b/>
          <w:szCs w:val="28"/>
        </w:rPr>
        <w:t>Sanjoga</w:t>
      </w:r>
      <w:proofErr w:type="spellEnd"/>
      <w:r w:rsidR="00E06740" w:rsidRPr="00364A72">
        <w:rPr>
          <w:rFonts w:asciiTheme="minorHAnsi" w:eastAsia="Calibri" w:hAnsiTheme="minorHAnsi" w:cstheme="minorHAnsi"/>
          <w:b/>
          <w:szCs w:val="28"/>
        </w:rPr>
        <w:t xml:space="preserve"> Express”- Improvement in New Connection Turnaround Time: </w:t>
      </w:r>
    </w:p>
    <w:p w14:paraId="43892E4B" w14:textId="77777777" w:rsidR="00E06740" w:rsidRDefault="00E06740" w:rsidP="00E06740">
      <w:pPr>
        <w:spacing w:line="360" w:lineRule="auto"/>
        <w:ind w:left="567"/>
        <w:contextualSpacing/>
        <w:jc w:val="both"/>
        <w:rPr>
          <w:rFonts w:asciiTheme="minorHAnsi" w:hAnsiTheme="minorHAnsi" w:cstheme="minorHAnsi"/>
          <w:sz w:val="22"/>
          <w:szCs w:val="22"/>
        </w:rPr>
      </w:pPr>
      <w:r>
        <w:rPr>
          <w:noProof/>
          <w:lang w:val="en-IN" w:eastAsia="en-IN"/>
        </w:rPr>
        <w:drawing>
          <wp:anchor distT="0" distB="0" distL="114300" distR="114300" simplePos="0" relativeHeight="252149248" behindDoc="1" locked="0" layoutInCell="1" allowOverlap="1" wp14:anchorId="5FDF01AB" wp14:editId="094FE859">
            <wp:simplePos x="0" y="0"/>
            <wp:positionH relativeFrom="margin">
              <wp:posOffset>261620</wp:posOffset>
            </wp:positionH>
            <wp:positionV relativeFrom="paragraph">
              <wp:posOffset>5413375</wp:posOffset>
            </wp:positionV>
            <wp:extent cx="5476875" cy="2047875"/>
            <wp:effectExtent l="76200" t="76200" r="142875" b="142875"/>
            <wp:wrapSquare wrapText="bothSides"/>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5476875" cy="204787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14:sizeRelH relativeFrom="margin">
              <wp14:pctWidth>0</wp14:pctWidth>
            </wp14:sizeRelH>
            <wp14:sizeRelV relativeFrom="margin">
              <wp14:pctHeight>0</wp14:pctHeight>
            </wp14:sizeRelV>
          </wp:anchor>
        </w:drawing>
      </w:r>
      <w:r>
        <w:rPr>
          <w:noProof/>
          <w:lang w:val="en-IN" w:eastAsia="en-IN"/>
        </w:rPr>
        <w:drawing>
          <wp:anchor distT="0" distB="0" distL="114300" distR="114300" simplePos="0" relativeHeight="252151296" behindDoc="1" locked="0" layoutInCell="1" allowOverlap="1" wp14:anchorId="59914F09" wp14:editId="3691E8A8">
            <wp:simplePos x="0" y="0"/>
            <wp:positionH relativeFrom="margin">
              <wp:posOffset>3176270</wp:posOffset>
            </wp:positionH>
            <wp:positionV relativeFrom="paragraph">
              <wp:posOffset>1870075</wp:posOffset>
            </wp:positionV>
            <wp:extent cx="2533650" cy="1409700"/>
            <wp:effectExtent l="76200" t="76200" r="133350" b="133350"/>
            <wp:wrapTight wrapText="bothSides">
              <wp:wrapPolygon edited="0">
                <wp:start x="-325" y="-1168"/>
                <wp:lineTo x="-650" y="-876"/>
                <wp:lineTo x="-650" y="22184"/>
                <wp:lineTo x="-325" y="23351"/>
                <wp:lineTo x="22250" y="23351"/>
                <wp:lineTo x="22574" y="22476"/>
                <wp:lineTo x="22574" y="3795"/>
                <wp:lineTo x="22250" y="-584"/>
                <wp:lineTo x="22250" y="-1168"/>
                <wp:lineTo x="-325" y="-1168"/>
              </wp:wrapPolygon>
            </wp:wrapTight>
            <wp:docPr id="92574968" name="Picture 925749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2533650" cy="140970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14:sizeRelH relativeFrom="margin">
              <wp14:pctWidth>0</wp14:pctWidth>
            </wp14:sizeRelH>
            <wp14:sizeRelV relativeFrom="margin">
              <wp14:pctHeight>0</wp14:pctHeight>
            </wp14:sizeRelV>
          </wp:anchor>
        </w:drawing>
      </w:r>
      <w:r w:rsidRPr="00A855AC">
        <w:rPr>
          <w:noProof/>
          <w:lang w:val="en-IN" w:eastAsia="en-IN"/>
        </w:rPr>
        <w:drawing>
          <wp:anchor distT="0" distB="0" distL="114300" distR="114300" simplePos="0" relativeHeight="252148224" behindDoc="1" locked="0" layoutInCell="1" allowOverlap="1" wp14:anchorId="16974D73" wp14:editId="4582F524">
            <wp:simplePos x="0" y="0"/>
            <wp:positionH relativeFrom="column">
              <wp:posOffset>299720</wp:posOffset>
            </wp:positionH>
            <wp:positionV relativeFrom="paragraph">
              <wp:posOffset>1870075</wp:posOffset>
            </wp:positionV>
            <wp:extent cx="2495550" cy="1400175"/>
            <wp:effectExtent l="76200" t="76200" r="133350" b="142875"/>
            <wp:wrapTight wrapText="bothSides">
              <wp:wrapPolygon edited="0">
                <wp:start x="-330" y="-1176"/>
                <wp:lineTo x="-660" y="-882"/>
                <wp:lineTo x="-660" y="22335"/>
                <wp:lineTo x="-330" y="23510"/>
                <wp:lineTo x="22260" y="23510"/>
                <wp:lineTo x="22589" y="22629"/>
                <wp:lineTo x="22589" y="3820"/>
                <wp:lineTo x="22260" y="-588"/>
                <wp:lineTo x="22260" y="-1176"/>
                <wp:lineTo x="-330" y="-1176"/>
              </wp:wrapPolygon>
            </wp:wrapTight>
            <wp:docPr id="92574966" name="Picture 92574966" descr="C:\Users\subhrajit.kundu\AppData\Local\Microsoft\Windows\INetCache\Content.Outlook\YIZG1P1R\Capture.JPGCII-2N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subhrajit.kundu\AppData\Local\Microsoft\Windows\INetCache\Content.Outlook\YIZG1P1R\Capture.JPGCII-2ND.JPG"/>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2495550" cy="140017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14:sizeRelH relativeFrom="margin">
              <wp14:pctWidth>0</wp14:pctWidth>
            </wp14:sizeRelH>
            <wp14:sizeRelV relativeFrom="margin">
              <wp14:pctHeight>0</wp14:pctHeight>
            </wp14:sizeRelV>
          </wp:anchor>
        </w:drawing>
      </w:r>
      <w:r>
        <w:rPr>
          <w:noProof/>
          <w:lang w:val="en-IN" w:eastAsia="en-IN"/>
        </w:rPr>
        <w:drawing>
          <wp:anchor distT="0" distB="0" distL="114300" distR="114300" simplePos="0" relativeHeight="252153344" behindDoc="1" locked="0" layoutInCell="1" allowOverlap="1" wp14:anchorId="4C03410A" wp14:editId="33E30A1B">
            <wp:simplePos x="0" y="0"/>
            <wp:positionH relativeFrom="margin">
              <wp:posOffset>3185795</wp:posOffset>
            </wp:positionH>
            <wp:positionV relativeFrom="paragraph">
              <wp:posOffset>3451225</wp:posOffset>
            </wp:positionV>
            <wp:extent cx="2524125" cy="1733550"/>
            <wp:effectExtent l="76200" t="76200" r="142875" b="133350"/>
            <wp:wrapTight wrapText="bothSides">
              <wp:wrapPolygon edited="0">
                <wp:start x="-326" y="-949"/>
                <wp:lineTo x="-652" y="-712"/>
                <wp:lineTo x="-652" y="22075"/>
                <wp:lineTo x="-326" y="23024"/>
                <wp:lineTo x="22334" y="23024"/>
                <wp:lineTo x="22660" y="22075"/>
                <wp:lineTo x="22660" y="3086"/>
                <wp:lineTo x="22334" y="-475"/>
                <wp:lineTo x="22334" y="-949"/>
                <wp:lineTo x="-326" y="-949"/>
              </wp:wrapPolygon>
            </wp:wrapTight>
            <wp:docPr id="92574967" name="Picture 925749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2524125" cy="173355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14:sizeRelH relativeFrom="margin">
              <wp14:pctWidth>0</wp14:pctWidth>
            </wp14:sizeRelH>
            <wp14:sizeRelV relativeFrom="margin">
              <wp14:pctHeight>0</wp14:pctHeight>
            </wp14:sizeRelV>
          </wp:anchor>
        </w:drawing>
      </w:r>
      <w:r>
        <w:rPr>
          <w:noProof/>
          <w:lang w:val="en-IN" w:eastAsia="en-IN"/>
        </w:rPr>
        <w:drawing>
          <wp:anchor distT="0" distB="0" distL="114300" distR="114300" simplePos="0" relativeHeight="252152320" behindDoc="1" locked="0" layoutInCell="1" allowOverlap="1" wp14:anchorId="28076FBF" wp14:editId="4056C63B">
            <wp:simplePos x="0" y="0"/>
            <wp:positionH relativeFrom="column">
              <wp:posOffset>285750</wp:posOffset>
            </wp:positionH>
            <wp:positionV relativeFrom="paragraph">
              <wp:posOffset>3443605</wp:posOffset>
            </wp:positionV>
            <wp:extent cx="2514600" cy="1724025"/>
            <wp:effectExtent l="76200" t="76200" r="133350" b="142875"/>
            <wp:wrapTight wrapText="bothSides">
              <wp:wrapPolygon edited="0">
                <wp:start x="-327" y="-955"/>
                <wp:lineTo x="-655" y="-716"/>
                <wp:lineTo x="-655" y="22197"/>
                <wp:lineTo x="-327" y="23151"/>
                <wp:lineTo x="22255" y="23151"/>
                <wp:lineTo x="22582" y="22197"/>
                <wp:lineTo x="22582" y="3103"/>
                <wp:lineTo x="22255" y="-477"/>
                <wp:lineTo x="22255" y="-955"/>
                <wp:lineTo x="-327" y="-955"/>
              </wp:wrapPolygon>
            </wp:wrapTight>
            <wp:docPr id="92574965" name="Picture 925749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2514600" cy="172402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14:sizeRelH relativeFrom="margin">
              <wp14:pctWidth>0</wp14:pctWidth>
            </wp14:sizeRelH>
            <wp14:sizeRelV relativeFrom="margin">
              <wp14:pctHeight>0</wp14:pctHeight>
            </wp14:sizeRelV>
          </wp:anchor>
        </w:drawing>
      </w:r>
      <w:r w:rsidRPr="00205A09">
        <w:rPr>
          <w:rFonts w:asciiTheme="minorHAnsi" w:hAnsiTheme="minorHAnsi" w:cstheme="minorHAnsi"/>
          <w:sz w:val="22"/>
          <w:szCs w:val="22"/>
        </w:rPr>
        <w:t>As a customer-oriented utility company, periodical review of means and methods is essential to enhance our services to keep pace with dynamic business environment and ensure consumer experience enhanced qualitative services through innovation and process change</w:t>
      </w:r>
      <w:r>
        <w:rPr>
          <w:rFonts w:asciiTheme="minorHAnsi" w:hAnsiTheme="minorHAnsi" w:cstheme="minorHAnsi"/>
          <w:sz w:val="22"/>
          <w:szCs w:val="22"/>
        </w:rPr>
        <w:t>s.</w:t>
      </w:r>
      <w:r w:rsidRPr="00205A09">
        <w:rPr>
          <w:sz w:val="22"/>
          <w:szCs w:val="22"/>
        </w:rPr>
        <w:t xml:space="preserve"> </w:t>
      </w:r>
      <w:r w:rsidRPr="00205A09">
        <w:rPr>
          <w:rFonts w:asciiTheme="minorHAnsi" w:hAnsiTheme="minorHAnsi" w:cstheme="minorHAnsi"/>
          <w:sz w:val="22"/>
          <w:szCs w:val="22"/>
        </w:rPr>
        <w:t xml:space="preserve">By implementing such strategic </w:t>
      </w:r>
      <w:r>
        <w:rPr>
          <w:rFonts w:asciiTheme="minorHAnsi" w:hAnsiTheme="minorHAnsi" w:cstheme="minorHAnsi"/>
          <w:sz w:val="22"/>
          <w:szCs w:val="22"/>
        </w:rPr>
        <w:t xml:space="preserve">Business process </w:t>
      </w:r>
      <w:r w:rsidRPr="00205A09">
        <w:rPr>
          <w:rFonts w:asciiTheme="minorHAnsi" w:hAnsiTheme="minorHAnsi" w:cstheme="minorHAnsi"/>
          <w:sz w:val="22"/>
          <w:szCs w:val="22"/>
        </w:rPr>
        <w:t xml:space="preserve">changes in our system in phased manner, we've successfully accelerated the consumerization process and achieved a remarkable milestone in installation of energy meters (post demand notes payment) for 95% cases within 48 hours for </w:t>
      </w:r>
      <w:proofErr w:type="spellStart"/>
      <w:r w:rsidRPr="00205A09">
        <w:rPr>
          <w:rFonts w:asciiTheme="minorHAnsi" w:hAnsiTheme="minorHAnsi" w:cstheme="minorHAnsi"/>
          <w:sz w:val="22"/>
          <w:szCs w:val="22"/>
        </w:rPr>
        <w:t>Balasore</w:t>
      </w:r>
      <w:proofErr w:type="spellEnd"/>
      <w:r w:rsidRPr="00205A09">
        <w:rPr>
          <w:rFonts w:asciiTheme="minorHAnsi" w:hAnsiTheme="minorHAnsi" w:cstheme="minorHAnsi"/>
          <w:sz w:val="22"/>
          <w:szCs w:val="22"/>
        </w:rPr>
        <w:t xml:space="preserve"> circle</w:t>
      </w:r>
      <w:r>
        <w:rPr>
          <w:rFonts w:asciiTheme="minorHAnsi" w:hAnsiTheme="minorHAnsi" w:cstheme="minorHAnsi"/>
          <w:sz w:val="22"/>
          <w:szCs w:val="22"/>
        </w:rPr>
        <w:t xml:space="preserve"> (Plans to implement in other Circle in H2 FY25).</w:t>
      </w:r>
    </w:p>
    <w:p w14:paraId="00C1C1C6" w14:textId="77777777" w:rsidR="00E06740" w:rsidRPr="00046E91" w:rsidRDefault="00E06740" w:rsidP="00E06740">
      <w:pPr>
        <w:spacing w:line="360" w:lineRule="auto"/>
        <w:ind w:firstLine="360"/>
        <w:contextualSpacing/>
        <w:rPr>
          <w:rFonts w:asciiTheme="minorHAnsi" w:hAnsiTheme="minorHAnsi" w:cstheme="minorHAnsi"/>
          <w:sz w:val="22"/>
          <w:szCs w:val="22"/>
        </w:rPr>
      </w:pPr>
    </w:p>
    <w:p w14:paraId="24338A32" w14:textId="66D6BDF4" w:rsidR="00E06740" w:rsidRDefault="00E06740" w:rsidP="00E06740">
      <w:pPr>
        <w:spacing w:line="360" w:lineRule="auto"/>
        <w:rPr>
          <w:rFonts w:asciiTheme="minorHAnsi" w:hAnsiTheme="minorHAnsi" w:cstheme="minorHAnsi"/>
          <w:b/>
          <w:sz w:val="28"/>
          <w:szCs w:val="28"/>
        </w:rPr>
      </w:pPr>
      <w:r>
        <w:rPr>
          <w:rFonts w:asciiTheme="minorHAnsi" w:hAnsiTheme="minorHAnsi" w:cstheme="minorHAnsi"/>
          <w:b/>
          <w:sz w:val="28"/>
          <w:szCs w:val="28"/>
        </w:rPr>
        <w:t xml:space="preserve">         </w:t>
      </w:r>
    </w:p>
    <w:p w14:paraId="5742301A" w14:textId="77777777" w:rsidR="0025136B" w:rsidRDefault="0025136B" w:rsidP="00E06740">
      <w:pPr>
        <w:spacing w:line="360" w:lineRule="auto"/>
        <w:rPr>
          <w:rFonts w:asciiTheme="minorHAnsi" w:hAnsiTheme="minorHAnsi" w:cstheme="minorHAnsi"/>
          <w:b/>
          <w:sz w:val="28"/>
          <w:szCs w:val="28"/>
        </w:rPr>
      </w:pPr>
    </w:p>
    <w:p w14:paraId="42B5EF07" w14:textId="0B8FA9B3" w:rsidR="00F616FB" w:rsidRPr="00CD179D" w:rsidRDefault="005368D4" w:rsidP="00F616FB">
      <w:pPr>
        <w:spacing w:line="360" w:lineRule="auto"/>
        <w:rPr>
          <w:rFonts w:asciiTheme="minorHAnsi" w:hAnsiTheme="minorHAnsi" w:cstheme="minorHAnsi"/>
          <w:b/>
          <w:sz w:val="28"/>
          <w:szCs w:val="28"/>
        </w:rPr>
      </w:pPr>
      <w:r>
        <w:rPr>
          <w:rFonts w:asciiTheme="minorHAnsi" w:hAnsiTheme="minorHAnsi" w:cstheme="minorHAnsi"/>
          <w:b/>
          <w:sz w:val="28"/>
          <w:szCs w:val="28"/>
        </w:rPr>
        <w:lastRenderedPageBreak/>
        <w:t xml:space="preserve">        6.4 </w:t>
      </w:r>
      <w:r w:rsidR="00F616FB" w:rsidRPr="00CD179D">
        <w:rPr>
          <w:rFonts w:asciiTheme="minorHAnsi" w:hAnsiTheme="minorHAnsi" w:cstheme="minorHAnsi"/>
          <w:b/>
          <w:sz w:val="28"/>
          <w:szCs w:val="28"/>
        </w:rPr>
        <w:t>Initiatives Under Safety</w:t>
      </w:r>
    </w:p>
    <w:p w14:paraId="589FBFAD" w14:textId="3C638B47" w:rsidR="00F616FB" w:rsidRPr="00CD179D" w:rsidRDefault="00F616FB" w:rsidP="00F616FB">
      <w:pPr>
        <w:pStyle w:val="paragraph"/>
        <w:spacing w:before="0" w:beforeAutospacing="0" w:after="0" w:afterAutospacing="0" w:line="360" w:lineRule="auto"/>
        <w:textAlignment w:val="baseline"/>
        <w:rPr>
          <w:rFonts w:asciiTheme="minorHAnsi" w:eastAsia="Calibri" w:hAnsiTheme="minorHAnsi" w:cstheme="minorHAnsi"/>
          <w:b/>
          <w:bCs/>
          <w:color w:val="000000"/>
          <w:szCs w:val="28"/>
          <w:lang w:val="en-IN"/>
        </w:rPr>
      </w:pPr>
      <w:r w:rsidRPr="000E501B">
        <w:rPr>
          <w:rStyle w:val="normaltextrun"/>
          <w:rFonts w:asciiTheme="minorHAnsi" w:eastAsia="Calibri" w:hAnsiTheme="minorHAnsi" w:cstheme="minorHAnsi"/>
          <w:b/>
          <w:bCs/>
          <w:color w:val="000000"/>
          <w:szCs w:val="28"/>
          <w:lang w:val="en-IN"/>
        </w:rPr>
        <w:t xml:space="preserve">         </w:t>
      </w:r>
      <w:r>
        <w:rPr>
          <w:rStyle w:val="normaltextrun"/>
          <w:rFonts w:asciiTheme="minorHAnsi" w:eastAsia="Calibri" w:hAnsiTheme="minorHAnsi" w:cstheme="minorHAnsi"/>
          <w:b/>
          <w:bCs/>
          <w:color w:val="000000"/>
          <w:szCs w:val="28"/>
          <w:lang w:val="en-IN"/>
        </w:rPr>
        <w:t xml:space="preserve"> </w:t>
      </w:r>
      <w:r w:rsidR="005368D4">
        <w:rPr>
          <w:rStyle w:val="normaltextrun"/>
          <w:rFonts w:asciiTheme="minorHAnsi" w:eastAsia="Calibri" w:hAnsiTheme="minorHAnsi" w:cstheme="minorHAnsi"/>
          <w:b/>
          <w:bCs/>
          <w:color w:val="000000"/>
          <w:szCs w:val="28"/>
          <w:lang w:val="en-IN"/>
        </w:rPr>
        <w:t>6.4.1</w:t>
      </w:r>
      <w:r w:rsidRPr="000E501B">
        <w:rPr>
          <w:rStyle w:val="normaltextrun"/>
          <w:rFonts w:asciiTheme="minorHAnsi" w:eastAsia="Calibri" w:hAnsiTheme="minorHAnsi" w:cstheme="minorHAnsi"/>
          <w:b/>
          <w:bCs/>
          <w:color w:val="000000"/>
          <w:szCs w:val="28"/>
          <w:lang w:val="en-IN"/>
        </w:rPr>
        <w:t xml:space="preserve"> Initiative to </w:t>
      </w:r>
      <w:r>
        <w:rPr>
          <w:rStyle w:val="normaltextrun"/>
          <w:rFonts w:asciiTheme="minorHAnsi" w:eastAsia="Calibri" w:hAnsiTheme="minorHAnsi" w:cstheme="minorHAnsi"/>
          <w:b/>
          <w:bCs/>
          <w:color w:val="000000"/>
          <w:szCs w:val="28"/>
          <w:lang w:val="en-IN"/>
        </w:rPr>
        <w:t>B</w:t>
      </w:r>
      <w:r w:rsidRPr="000E501B">
        <w:rPr>
          <w:rStyle w:val="normaltextrun"/>
          <w:rFonts w:asciiTheme="minorHAnsi" w:eastAsia="Calibri" w:hAnsiTheme="minorHAnsi" w:cstheme="minorHAnsi"/>
          <w:b/>
          <w:bCs/>
          <w:color w:val="000000"/>
          <w:szCs w:val="28"/>
          <w:lang w:val="en-IN"/>
        </w:rPr>
        <w:t>uild Safety Culture at TPNODL</w:t>
      </w:r>
    </w:p>
    <w:p w14:paraId="03892B6A" w14:textId="77777777" w:rsidR="00F616FB" w:rsidRPr="00BD5055" w:rsidRDefault="00F616FB" w:rsidP="00F616FB">
      <w:pPr>
        <w:spacing w:line="360" w:lineRule="auto"/>
        <w:ind w:left="567"/>
        <w:jc w:val="both"/>
        <w:rPr>
          <w:rFonts w:asciiTheme="minorHAnsi" w:hAnsiTheme="minorHAnsi" w:cstheme="minorHAnsi"/>
          <w:sz w:val="22"/>
          <w:szCs w:val="22"/>
        </w:rPr>
      </w:pPr>
      <w:r w:rsidRPr="00BD5055">
        <w:rPr>
          <w:rFonts w:asciiTheme="minorHAnsi" w:hAnsiTheme="minorHAnsi" w:cstheme="minorHAnsi"/>
          <w:sz w:val="22"/>
          <w:szCs w:val="22"/>
        </w:rPr>
        <w:t>Safety is the core value of TPNODL. Senior leaders at TPNODL provides a strong and visible leadership to promote safety</w:t>
      </w:r>
      <w:r w:rsidRPr="00BD5055">
        <w:rPr>
          <w:rFonts w:asciiTheme="minorHAnsi" w:hAnsiTheme="minorHAnsi" w:cstheme="minorHAnsi"/>
          <w:spacing w:val="1"/>
          <w:sz w:val="22"/>
          <w:szCs w:val="22"/>
        </w:rPr>
        <w:t xml:space="preserve"> </w:t>
      </w:r>
      <w:r w:rsidRPr="00BD5055">
        <w:rPr>
          <w:rFonts w:asciiTheme="minorHAnsi" w:hAnsiTheme="minorHAnsi" w:cstheme="minorHAnsi"/>
          <w:sz w:val="22"/>
          <w:szCs w:val="22"/>
        </w:rPr>
        <w:t>culture necessary for the systematically managing the job at site. TPNODL has put in</w:t>
      </w:r>
      <w:r w:rsidRPr="00BD5055">
        <w:rPr>
          <w:rFonts w:asciiTheme="minorHAnsi" w:hAnsiTheme="minorHAnsi" w:cstheme="minorHAnsi"/>
          <w:spacing w:val="1"/>
          <w:sz w:val="22"/>
          <w:szCs w:val="22"/>
        </w:rPr>
        <w:t xml:space="preserve"> </w:t>
      </w:r>
      <w:r w:rsidRPr="00BD5055">
        <w:rPr>
          <w:rFonts w:asciiTheme="minorHAnsi" w:hAnsiTheme="minorHAnsi" w:cstheme="minorHAnsi"/>
          <w:sz w:val="22"/>
          <w:szCs w:val="22"/>
        </w:rPr>
        <w:t>place the Health &amp; Safety</w:t>
      </w:r>
      <w:r w:rsidRPr="00BD5055">
        <w:rPr>
          <w:rFonts w:asciiTheme="minorHAnsi" w:hAnsiTheme="minorHAnsi" w:cstheme="minorHAnsi"/>
          <w:spacing w:val="1"/>
          <w:sz w:val="22"/>
          <w:szCs w:val="22"/>
        </w:rPr>
        <w:t xml:space="preserve"> </w:t>
      </w:r>
      <w:r w:rsidRPr="00BD5055">
        <w:rPr>
          <w:rFonts w:asciiTheme="minorHAnsi" w:hAnsiTheme="minorHAnsi" w:cstheme="minorHAnsi"/>
          <w:sz w:val="22"/>
          <w:szCs w:val="22"/>
        </w:rPr>
        <w:t>Policy, Our Value-SCALE, Safety Principles and the Safety Code of Conduct</w:t>
      </w:r>
      <w:r w:rsidRPr="00BD5055">
        <w:rPr>
          <w:rFonts w:asciiTheme="minorHAnsi" w:hAnsiTheme="minorHAnsi" w:cstheme="minorHAnsi"/>
          <w:spacing w:val="1"/>
          <w:sz w:val="22"/>
          <w:szCs w:val="22"/>
        </w:rPr>
        <w:t xml:space="preserve">, which </w:t>
      </w:r>
      <w:r w:rsidRPr="00BD5055">
        <w:rPr>
          <w:rFonts w:asciiTheme="minorHAnsi" w:hAnsiTheme="minorHAnsi" w:cstheme="minorHAnsi"/>
          <w:sz w:val="22"/>
          <w:szCs w:val="22"/>
        </w:rPr>
        <w:t>are</w:t>
      </w:r>
      <w:r w:rsidRPr="00BD5055">
        <w:rPr>
          <w:rFonts w:asciiTheme="minorHAnsi" w:hAnsiTheme="minorHAnsi" w:cstheme="minorHAnsi"/>
          <w:spacing w:val="-2"/>
          <w:sz w:val="22"/>
          <w:szCs w:val="22"/>
        </w:rPr>
        <w:t xml:space="preserve"> </w:t>
      </w:r>
      <w:r w:rsidRPr="00BD5055">
        <w:rPr>
          <w:rFonts w:asciiTheme="minorHAnsi" w:hAnsiTheme="minorHAnsi" w:cstheme="minorHAnsi"/>
          <w:sz w:val="22"/>
          <w:szCs w:val="22"/>
        </w:rPr>
        <w:t>followed</w:t>
      </w:r>
      <w:r w:rsidRPr="00BD5055">
        <w:rPr>
          <w:rFonts w:asciiTheme="minorHAnsi" w:hAnsiTheme="minorHAnsi" w:cstheme="minorHAnsi"/>
          <w:spacing w:val="-1"/>
          <w:sz w:val="22"/>
          <w:szCs w:val="22"/>
        </w:rPr>
        <w:t xml:space="preserve"> </w:t>
      </w:r>
      <w:r w:rsidRPr="00BD5055">
        <w:rPr>
          <w:rFonts w:asciiTheme="minorHAnsi" w:hAnsiTheme="minorHAnsi" w:cstheme="minorHAnsi"/>
          <w:sz w:val="22"/>
          <w:szCs w:val="22"/>
        </w:rPr>
        <w:t>by all employees</w:t>
      </w:r>
      <w:r w:rsidRPr="00BD5055">
        <w:rPr>
          <w:rFonts w:asciiTheme="minorHAnsi" w:hAnsiTheme="minorHAnsi" w:cstheme="minorHAnsi"/>
          <w:spacing w:val="3"/>
          <w:sz w:val="22"/>
          <w:szCs w:val="22"/>
        </w:rPr>
        <w:t xml:space="preserve"> </w:t>
      </w:r>
      <w:r w:rsidRPr="00BD5055">
        <w:rPr>
          <w:rFonts w:asciiTheme="minorHAnsi" w:hAnsiTheme="minorHAnsi" w:cstheme="minorHAnsi"/>
          <w:sz w:val="22"/>
          <w:szCs w:val="22"/>
        </w:rPr>
        <w:t>always.</w:t>
      </w:r>
    </w:p>
    <w:p w14:paraId="405333A3" w14:textId="77777777" w:rsidR="00F616FB" w:rsidRPr="00BD5055" w:rsidRDefault="00F616FB" w:rsidP="00F616FB">
      <w:pPr>
        <w:spacing w:line="360" w:lineRule="auto"/>
        <w:ind w:left="567"/>
        <w:jc w:val="both"/>
        <w:textAlignment w:val="baseline"/>
        <w:rPr>
          <w:rFonts w:asciiTheme="minorHAnsi" w:hAnsiTheme="minorHAnsi" w:cstheme="minorHAnsi"/>
          <w:sz w:val="22"/>
          <w:szCs w:val="22"/>
        </w:rPr>
      </w:pPr>
    </w:p>
    <w:p w14:paraId="52F0BB8C" w14:textId="77777777" w:rsidR="00F616FB" w:rsidRPr="000E501B" w:rsidRDefault="00F616FB" w:rsidP="00AB536C">
      <w:pPr>
        <w:pStyle w:val="ListParagraph"/>
        <w:numPr>
          <w:ilvl w:val="0"/>
          <w:numId w:val="31"/>
        </w:numPr>
        <w:spacing w:line="360" w:lineRule="auto"/>
        <w:ind w:left="851" w:hanging="284"/>
        <w:jc w:val="both"/>
        <w:rPr>
          <w:rFonts w:asciiTheme="minorHAnsi" w:hAnsiTheme="minorHAnsi" w:cstheme="minorHAnsi"/>
          <w:bCs/>
          <w:color w:val="000000"/>
        </w:rPr>
      </w:pPr>
      <w:r w:rsidRPr="000E501B">
        <w:rPr>
          <w:rFonts w:asciiTheme="minorHAnsi" w:hAnsiTheme="minorHAnsi" w:cstheme="minorHAnsi"/>
          <w:b/>
          <w:bCs/>
          <w:color w:val="000000"/>
        </w:rPr>
        <w:t>Apex Leadership Team (ALT):</w:t>
      </w:r>
      <w:r w:rsidRPr="000E501B">
        <w:rPr>
          <w:rFonts w:asciiTheme="minorHAnsi" w:hAnsiTheme="minorHAnsi" w:cstheme="minorHAnsi"/>
          <w:bCs/>
          <w:color w:val="000000"/>
        </w:rPr>
        <w:t xml:space="preserve"> The ALT meets regularly to discuss safety-related matters, analyze trends, and identify areas for improvement. This high-level involvement demonstrates the company's commitment to safety as a strategic priority.</w:t>
      </w:r>
    </w:p>
    <w:p w14:paraId="7857C0B3" w14:textId="77777777" w:rsidR="00F616FB" w:rsidRPr="000E501B" w:rsidRDefault="00F616FB" w:rsidP="00AB536C">
      <w:pPr>
        <w:pStyle w:val="ListParagraph"/>
        <w:numPr>
          <w:ilvl w:val="0"/>
          <w:numId w:val="31"/>
        </w:numPr>
        <w:spacing w:line="360" w:lineRule="auto"/>
        <w:ind w:left="851" w:hanging="284"/>
        <w:jc w:val="both"/>
        <w:rPr>
          <w:rFonts w:asciiTheme="minorHAnsi" w:hAnsiTheme="minorHAnsi" w:cstheme="minorHAnsi"/>
          <w:bCs/>
          <w:color w:val="000000"/>
        </w:rPr>
      </w:pPr>
      <w:r w:rsidRPr="000E501B">
        <w:rPr>
          <w:rFonts w:asciiTheme="minorHAnsi" w:hAnsiTheme="minorHAnsi" w:cstheme="minorHAnsi"/>
          <w:b/>
          <w:bCs/>
          <w:color w:val="000000"/>
        </w:rPr>
        <w:t>Safety Apex Committee:</w:t>
      </w:r>
      <w:r w:rsidRPr="000E501B">
        <w:rPr>
          <w:rFonts w:asciiTheme="minorHAnsi" w:hAnsiTheme="minorHAnsi" w:cstheme="minorHAnsi"/>
          <w:bCs/>
          <w:color w:val="000000"/>
        </w:rPr>
        <w:t xml:space="preserve"> Chaired by the CEO, this committee provides oversight and guidance to the safety management system. It reviews major safety initiatives, evaluates performance, and ensures that safety remains a top priority across the organization.</w:t>
      </w:r>
    </w:p>
    <w:p w14:paraId="598880DF" w14:textId="77777777" w:rsidR="00F616FB" w:rsidRDefault="00F616FB" w:rsidP="00AB536C">
      <w:pPr>
        <w:pStyle w:val="ListParagraph"/>
        <w:numPr>
          <w:ilvl w:val="0"/>
          <w:numId w:val="31"/>
        </w:numPr>
        <w:spacing w:line="360" w:lineRule="auto"/>
        <w:ind w:left="851" w:hanging="284"/>
        <w:jc w:val="both"/>
        <w:rPr>
          <w:rFonts w:asciiTheme="minorHAnsi" w:hAnsiTheme="minorHAnsi" w:cstheme="minorHAnsi"/>
          <w:bCs/>
          <w:color w:val="000000"/>
        </w:rPr>
      </w:pPr>
      <w:r w:rsidRPr="000E501B">
        <w:rPr>
          <w:rFonts w:asciiTheme="minorHAnsi" w:hAnsiTheme="minorHAnsi" w:cstheme="minorHAnsi"/>
          <w:b/>
          <w:bCs/>
          <w:color w:val="000000"/>
        </w:rPr>
        <w:t>Circle and Division Safety Committees:</w:t>
      </w:r>
      <w:r w:rsidRPr="000E501B">
        <w:rPr>
          <w:rFonts w:asciiTheme="minorHAnsi" w:hAnsiTheme="minorHAnsi" w:cstheme="minorHAnsi"/>
          <w:bCs/>
          <w:color w:val="000000"/>
        </w:rPr>
        <w:t xml:space="preserve"> These committees, led by circle heads and division heads respectively, play a crucial role in driving safety implementation at the operational level. They oversee safety activities, conduct inspections, and address safety concerns specific to their respective areas.</w:t>
      </w:r>
    </w:p>
    <w:p w14:paraId="64C4CFF0" w14:textId="77777777" w:rsidR="00F616FB" w:rsidRPr="000E501B" w:rsidRDefault="00F616FB" w:rsidP="00AB536C">
      <w:pPr>
        <w:pStyle w:val="ListParagraph"/>
        <w:numPr>
          <w:ilvl w:val="0"/>
          <w:numId w:val="31"/>
        </w:numPr>
        <w:spacing w:line="360" w:lineRule="auto"/>
        <w:ind w:left="851" w:hanging="284"/>
        <w:jc w:val="both"/>
        <w:rPr>
          <w:rFonts w:asciiTheme="minorHAnsi" w:hAnsiTheme="minorHAnsi" w:cstheme="minorHAnsi"/>
          <w:bCs/>
          <w:color w:val="000000"/>
        </w:rPr>
      </w:pPr>
      <w:r w:rsidRPr="000E501B">
        <w:rPr>
          <w:rFonts w:asciiTheme="minorHAnsi" w:hAnsiTheme="minorHAnsi" w:cstheme="minorHAnsi"/>
          <w:b/>
          <w:bCs/>
          <w:color w:val="000000"/>
        </w:rPr>
        <w:t>Senior Leadership Team (SLT):</w:t>
      </w:r>
      <w:r w:rsidRPr="000E501B">
        <w:rPr>
          <w:rFonts w:asciiTheme="minorHAnsi" w:hAnsiTheme="minorHAnsi" w:cstheme="minorHAnsi"/>
          <w:bCs/>
          <w:color w:val="000000"/>
        </w:rPr>
        <w:t xml:space="preserve"> The SLT actively communicates the importance of safety in town hall meetings and participates in safety activities. Their involvement reinforces the company's commitment to safety and sets a positive example for employees</w:t>
      </w:r>
      <w:r w:rsidRPr="000E501B">
        <w:rPr>
          <w:lang w:val="en-IN" w:eastAsia="en-IN"/>
        </w:rPr>
        <w:t>.</w:t>
      </w:r>
    </w:p>
    <w:p w14:paraId="6D6A1DB9" w14:textId="77777777" w:rsidR="00F616FB" w:rsidRDefault="00F616FB" w:rsidP="00AB536C">
      <w:pPr>
        <w:pStyle w:val="ListParagraph"/>
        <w:numPr>
          <w:ilvl w:val="0"/>
          <w:numId w:val="31"/>
        </w:numPr>
        <w:spacing w:line="360" w:lineRule="auto"/>
        <w:ind w:left="851" w:hanging="284"/>
        <w:jc w:val="both"/>
        <w:rPr>
          <w:rFonts w:asciiTheme="minorHAnsi" w:hAnsiTheme="minorHAnsi" w:cstheme="minorHAnsi"/>
          <w:bCs/>
          <w:color w:val="000000"/>
        </w:rPr>
      </w:pPr>
      <w:r w:rsidRPr="000E501B">
        <w:rPr>
          <w:rFonts w:asciiTheme="minorHAnsi" w:hAnsiTheme="minorHAnsi" w:cstheme="minorHAnsi"/>
          <w:b/>
          <w:bCs/>
          <w:color w:val="000000"/>
        </w:rPr>
        <w:t>Safety Induction Trainings:</w:t>
      </w:r>
      <w:r w:rsidRPr="000E501B">
        <w:rPr>
          <w:rFonts w:asciiTheme="minorHAnsi" w:hAnsiTheme="minorHAnsi" w:cstheme="minorHAnsi"/>
          <w:bCs/>
          <w:color w:val="000000"/>
        </w:rPr>
        <w:t xml:space="preserve"> All new employees and business associates undergo mandatory safety induction trainings to familiarize them with the company's safety policies, procedures, and emergency response plans. These trainings provide a solid foundation for safe work practices.</w:t>
      </w:r>
    </w:p>
    <w:p w14:paraId="1B0345DC" w14:textId="77777777" w:rsidR="00F616FB" w:rsidRDefault="00F616FB" w:rsidP="00AB536C">
      <w:pPr>
        <w:pStyle w:val="ListParagraph"/>
        <w:numPr>
          <w:ilvl w:val="0"/>
          <w:numId w:val="31"/>
        </w:numPr>
        <w:spacing w:line="360" w:lineRule="auto"/>
        <w:ind w:left="851" w:hanging="284"/>
        <w:jc w:val="both"/>
        <w:rPr>
          <w:rFonts w:asciiTheme="minorHAnsi" w:hAnsiTheme="minorHAnsi" w:cstheme="minorHAnsi"/>
          <w:bCs/>
          <w:color w:val="000000"/>
        </w:rPr>
      </w:pPr>
      <w:r w:rsidRPr="000E501B">
        <w:rPr>
          <w:rFonts w:asciiTheme="minorHAnsi" w:hAnsiTheme="minorHAnsi" w:cstheme="minorHAnsi"/>
          <w:b/>
          <w:bCs/>
          <w:color w:val="000000"/>
        </w:rPr>
        <w:t>Tata Power Skill Development Institute (TPSDI):</w:t>
      </w:r>
      <w:r w:rsidRPr="000E501B">
        <w:rPr>
          <w:rFonts w:asciiTheme="minorHAnsi" w:hAnsiTheme="minorHAnsi" w:cstheme="minorHAnsi"/>
          <w:bCs/>
          <w:color w:val="000000"/>
        </w:rPr>
        <w:t xml:space="preserve"> The TPSDI offers a wide range of safety training programs tailored to the specific needs of business associate employees. These programs cover various safety topics, including hazard identification, risk assessment, emergency response, and personal protective equipment (PPE) usage.</w:t>
      </w:r>
    </w:p>
    <w:p w14:paraId="679BC1F1" w14:textId="77777777" w:rsidR="00F616FB" w:rsidRDefault="00F616FB" w:rsidP="00AB536C">
      <w:pPr>
        <w:pStyle w:val="ListParagraph"/>
        <w:numPr>
          <w:ilvl w:val="0"/>
          <w:numId w:val="31"/>
        </w:numPr>
        <w:spacing w:line="360" w:lineRule="auto"/>
        <w:ind w:left="851" w:hanging="284"/>
        <w:jc w:val="both"/>
        <w:rPr>
          <w:rFonts w:asciiTheme="minorHAnsi" w:hAnsiTheme="minorHAnsi" w:cstheme="minorHAnsi"/>
          <w:bCs/>
          <w:color w:val="000000"/>
        </w:rPr>
      </w:pPr>
      <w:r w:rsidRPr="000E501B">
        <w:rPr>
          <w:rFonts w:asciiTheme="minorHAnsi" w:hAnsiTheme="minorHAnsi" w:cstheme="minorHAnsi"/>
          <w:b/>
          <w:bCs/>
          <w:color w:val="000000"/>
        </w:rPr>
        <w:t>Practice Yards and Porta Cabins:</w:t>
      </w:r>
      <w:r w:rsidRPr="000E501B">
        <w:rPr>
          <w:rFonts w:asciiTheme="minorHAnsi" w:hAnsiTheme="minorHAnsi" w:cstheme="minorHAnsi"/>
          <w:bCs/>
          <w:color w:val="000000"/>
        </w:rPr>
        <w:t xml:space="preserve"> TPNODL has established dedicated practice yards and porta cabins at various locations to facilitate hands-on training. These facilities provide a realistic environment for employees to practice safety skills and simulate emergency situations.</w:t>
      </w:r>
    </w:p>
    <w:p w14:paraId="5D6C1D28" w14:textId="77777777" w:rsidR="00F616FB" w:rsidRDefault="00F616FB" w:rsidP="00AB536C">
      <w:pPr>
        <w:pStyle w:val="ListParagraph"/>
        <w:numPr>
          <w:ilvl w:val="0"/>
          <w:numId w:val="31"/>
        </w:numPr>
        <w:spacing w:line="360" w:lineRule="auto"/>
        <w:ind w:left="851" w:hanging="284"/>
        <w:jc w:val="both"/>
        <w:rPr>
          <w:rFonts w:asciiTheme="minorHAnsi" w:hAnsiTheme="minorHAnsi" w:cstheme="minorHAnsi"/>
          <w:bCs/>
          <w:color w:val="000000"/>
        </w:rPr>
      </w:pPr>
      <w:r w:rsidRPr="000E501B">
        <w:rPr>
          <w:rFonts w:asciiTheme="minorHAnsi" w:hAnsiTheme="minorHAnsi" w:cstheme="minorHAnsi"/>
          <w:b/>
          <w:bCs/>
          <w:color w:val="000000"/>
        </w:rPr>
        <w:t>Virtual Reality Training:</w:t>
      </w:r>
      <w:r w:rsidRPr="000E501B">
        <w:rPr>
          <w:rFonts w:asciiTheme="minorHAnsi" w:hAnsiTheme="minorHAnsi" w:cstheme="minorHAnsi"/>
          <w:bCs/>
          <w:color w:val="000000"/>
        </w:rPr>
        <w:t xml:space="preserve"> The company leverages virtual reality technology to provide immersive and engaging training experiences. Through simulated scenarios, employees can learn about safety hazards, practice emergency response procedures, and develop critical thinking skills in a safe and controlled environment.</w:t>
      </w:r>
    </w:p>
    <w:p w14:paraId="17A762DF" w14:textId="77777777" w:rsidR="00F616FB" w:rsidRDefault="00F616FB" w:rsidP="00AB536C">
      <w:pPr>
        <w:pStyle w:val="ListParagraph"/>
        <w:numPr>
          <w:ilvl w:val="0"/>
          <w:numId w:val="31"/>
        </w:numPr>
        <w:spacing w:line="360" w:lineRule="auto"/>
        <w:ind w:left="851" w:hanging="284"/>
        <w:jc w:val="both"/>
        <w:rPr>
          <w:rFonts w:asciiTheme="minorHAnsi" w:hAnsiTheme="minorHAnsi" w:cstheme="minorHAnsi"/>
          <w:bCs/>
          <w:color w:val="000000"/>
        </w:rPr>
      </w:pPr>
      <w:r w:rsidRPr="000E501B">
        <w:rPr>
          <w:rFonts w:asciiTheme="minorHAnsi" w:hAnsiTheme="minorHAnsi" w:cstheme="minorHAnsi"/>
          <w:b/>
          <w:bCs/>
          <w:color w:val="000000"/>
        </w:rPr>
        <w:lastRenderedPageBreak/>
        <w:t>Personal Protective Equipment (PPE):</w:t>
      </w:r>
      <w:r w:rsidRPr="000E501B">
        <w:rPr>
          <w:rFonts w:asciiTheme="minorHAnsi" w:hAnsiTheme="minorHAnsi" w:cstheme="minorHAnsi"/>
          <w:bCs/>
          <w:color w:val="000000"/>
        </w:rPr>
        <w:t xml:space="preserve"> TPNODL ensures that all employees and business associates have access to the necessary PPE to protect themselves from workplace hazards. The company provides regular inspections and maintenance of PPE to ensure its effectiveness and compliance with safety standards.</w:t>
      </w:r>
    </w:p>
    <w:p w14:paraId="0B88C89A" w14:textId="77777777" w:rsidR="00F616FB" w:rsidRDefault="00F616FB" w:rsidP="00AB536C">
      <w:pPr>
        <w:pStyle w:val="ListParagraph"/>
        <w:numPr>
          <w:ilvl w:val="0"/>
          <w:numId w:val="31"/>
        </w:numPr>
        <w:spacing w:line="360" w:lineRule="auto"/>
        <w:ind w:left="851" w:hanging="284"/>
        <w:jc w:val="both"/>
        <w:rPr>
          <w:rFonts w:asciiTheme="minorHAnsi" w:hAnsiTheme="minorHAnsi" w:cstheme="minorHAnsi"/>
          <w:bCs/>
          <w:color w:val="000000"/>
        </w:rPr>
      </w:pPr>
      <w:r w:rsidRPr="000E501B">
        <w:rPr>
          <w:rFonts w:asciiTheme="minorHAnsi" w:hAnsiTheme="minorHAnsi" w:cstheme="minorHAnsi"/>
          <w:b/>
          <w:bCs/>
          <w:color w:val="000000"/>
        </w:rPr>
        <w:t>Consequence Management Policy:</w:t>
      </w:r>
      <w:r w:rsidRPr="000E501B">
        <w:rPr>
          <w:rFonts w:asciiTheme="minorHAnsi" w:hAnsiTheme="minorHAnsi" w:cstheme="minorHAnsi"/>
          <w:bCs/>
          <w:color w:val="000000"/>
        </w:rPr>
        <w:t xml:space="preserve"> The company has a clear consequence management policy in place to address safety violations. This policy outlines the consequences for non-compliance with safety rules and regulations, ensuring that employees understand the importance of adhering to safety standards.</w:t>
      </w:r>
    </w:p>
    <w:p w14:paraId="19846948" w14:textId="77777777" w:rsidR="00F616FB" w:rsidRDefault="00F616FB" w:rsidP="00AB536C">
      <w:pPr>
        <w:pStyle w:val="ListParagraph"/>
        <w:numPr>
          <w:ilvl w:val="0"/>
          <w:numId w:val="31"/>
        </w:numPr>
        <w:spacing w:line="360" w:lineRule="auto"/>
        <w:ind w:left="851" w:hanging="284"/>
        <w:jc w:val="both"/>
        <w:rPr>
          <w:rFonts w:asciiTheme="minorHAnsi" w:hAnsiTheme="minorHAnsi" w:cstheme="minorHAnsi"/>
          <w:bCs/>
          <w:color w:val="000000"/>
        </w:rPr>
      </w:pPr>
      <w:r w:rsidRPr="000E501B">
        <w:rPr>
          <w:rFonts w:asciiTheme="minorHAnsi" w:hAnsiTheme="minorHAnsi" w:cstheme="minorHAnsi"/>
          <w:b/>
          <w:bCs/>
          <w:color w:val="000000"/>
        </w:rPr>
        <w:t>Regular Safety Communication:</w:t>
      </w:r>
      <w:r w:rsidRPr="000E501B">
        <w:rPr>
          <w:rFonts w:asciiTheme="minorHAnsi" w:hAnsiTheme="minorHAnsi" w:cstheme="minorHAnsi"/>
          <w:bCs/>
          <w:color w:val="000000"/>
        </w:rPr>
        <w:t xml:space="preserve"> Safety instructions are incorporated into all meetings, ensuring that safety messages are consistently delivered to employees at all levels. This reinforces the importance of safety and promotes a culture of awareness.</w:t>
      </w:r>
    </w:p>
    <w:p w14:paraId="07C79E84" w14:textId="77777777" w:rsidR="00F616FB" w:rsidRDefault="00F616FB" w:rsidP="00AB536C">
      <w:pPr>
        <w:pStyle w:val="ListParagraph"/>
        <w:numPr>
          <w:ilvl w:val="0"/>
          <w:numId w:val="31"/>
        </w:numPr>
        <w:spacing w:line="360" w:lineRule="auto"/>
        <w:ind w:left="851" w:hanging="284"/>
        <w:jc w:val="both"/>
        <w:rPr>
          <w:rFonts w:asciiTheme="minorHAnsi" w:hAnsiTheme="minorHAnsi" w:cstheme="minorHAnsi"/>
          <w:bCs/>
          <w:color w:val="000000"/>
        </w:rPr>
      </w:pPr>
      <w:r w:rsidRPr="000E501B">
        <w:rPr>
          <w:rFonts w:asciiTheme="minorHAnsi" w:hAnsiTheme="minorHAnsi" w:cstheme="minorHAnsi"/>
          <w:b/>
          <w:bCs/>
          <w:color w:val="000000"/>
        </w:rPr>
        <w:t>Safety Themes and Campaigns:</w:t>
      </w:r>
      <w:r w:rsidRPr="000E501B">
        <w:rPr>
          <w:rFonts w:asciiTheme="minorHAnsi" w:hAnsiTheme="minorHAnsi" w:cstheme="minorHAnsi"/>
          <w:bCs/>
          <w:color w:val="000000"/>
        </w:rPr>
        <w:t xml:space="preserve"> TPNODL conducts monthly safety themes and campaigns to raise awareness about specific safety hazards and promote safe work practices. These campaigns often involve engaging activities, contests, and rewards to encourage employee participation.</w:t>
      </w:r>
    </w:p>
    <w:p w14:paraId="1018D9A4" w14:textId="77777777" w:rsidR="00F616FB" w:rsidRDefault="00F616FB" w:rsidP="00AB536C">
      <w:pPr>
        <w:pStyle w:val="ListParagraph"/>
        <w:numPr>
          <w:ilvl w:val="0"/>
          <w:numId w:val="31"/>
        </w:numPr>
        <w:spacing w:line="360" w:lineRule="auto"/>
        <w:ind w:left="851" w:hanging="284"/>
        <w:jc w:val="both"/>
        <w:rPr>
          <w:rFonts w:asciiTheme="minorHAnsi" w:hAnsiTheme="minorHAnsi" w:cstheme="minorHAnsi"/>
          <w:bCs/>
          <w:color w:val="000000"/>
        </w:rPr>
      </w:pPr>
      <w:r w:rsidRPr="000E501B">
        <w:rPr>
          <w:rFonts w:asciiTheme="minorHAnsi" w:hAnsiTheme="minorHAnsi" w:cstheme="minorHAnsi"/>
          <w:b/>
          <w:bCs/>
          <w:color w:val="000000"/>
        </w:rPr>
        <w:t>Mass Awareness Programs:</w:t>
      </w:r>
      <w:r w:rsidRPr="000E501B">
        <w:rPr>
          <w:rFonts w:asciiTheme="minorHAnsi" w:hAnsiTheme="minorHAnsi" w:cstheme="minorHAnsi"/>
          <w:bCs/>
          <w:color w:val="000000"/>
        </w:rPr>
        <w:t xml:space="preserve"> During National Electrical Safety Week, Road Safety Week, and Fire Week, TPNODL organizes mass awareness programs for employees and their families. These programs include workshops, seminars, and demonstrations to educate the community about safety hazards and prevention measures.</w:t>
      </w:r>
    </w:p>
    <w:p w14:paraId="24621816" w14:textId="77777777" w:rsidR="00F616FB" w:rsidRDefault="00F616FB" w:rsidP="00AB536C">
      <w:pPr>
        <w:pStyle w:val="ListParagraph"/>
        <w:numPr>
          <w:ilvl w:val="0"/>
          <w:numId w:val="31"/>
        </w:numPr>
        <w:spacing w:line="360" w:lineRule="auto"/>
        <w:ind w:left="851" w:hanging="284"/>
        <w:jc w:val="both"/>
        <w:rPr>
          <w:rFonts w:asciiTheme="minorHAnsi" w:hAnsiTheme="minorHAnsi" w:cstheme="minorHAnsi"/>
          <w:bCs/>
          <w:color w:val="000000"/>
        </w:rPr>
      </w:pPr>
      <w:r w:rsidRPr="000E501B">
        <w:rPr>
          <w:rFonts w:asciiTheme="minorHAnsi" w:hAnsiTheme="minorHAnsi" w:cstheme="minorHAnsi"/>
          <w:b/>
          <w:bCs/>
          <w:color w:val="000000"/>
        </w:rPr>
        <w:t>Employee Empowerment:</w:t>
      </w:r>
      <w:r w:rsidRPr="000E501B">
        <w:rPr>
          <w:rFonts w:asciiTheme="minorHAnsi" w:hAnsiTheme="minorHAnsi" w:cstheme="minorHAnsi"/>
          <w:bCs/>
          <w:color w:val="000000"/>
        </w:rPr>
        <w:t xml:space="preserve"> Employees are empowered to stop any unsafe work and are encouraged to report any safety hazards or concerns. This empowers employees to take ownership of their safety and contributes to a proactive safety culture.</w:t>
      </w:r>
    </w:p>
    <w:p w14:paraId="6242BD9C" w14:textId="77777777" w:rsidR="00F616FB" w:rsidRDefault="00F616FB" w:rsidP="00AB536C">
      <w:pPr>
        <w:pStyle w:val="ListParagraph"/>
        <w:numPr>
          <w:ilvl w:val="0"/>
          <w:numId w:val="31"/>
        </w:numPr>
        <w:spacing w:line="360" w:lineRule="auto"/>
        <w:ind w:left="851" w:hanging="284"/>
        <w:jc w:val="both"/>
        <w:rPr>
          <w:rFonts w:asciiTheme="minorHAnsi" w:hAnsiTheme="minorHAnsi" w:cstheme="minorHAnsi"/>
          <w:bCs/>
          <w:color w:val="000000"/>
        </w:rPr>
      </w:pPr>
      <w:r w:rsidRPr="000E501B">
        <w:rPr>
          <w:rFonts w:asciiTheme="minorHAnsi" w:hAnsiTheme="minorHAnsi" w:cstheme="minorHAnsi"/>
          <w:b/>
          <w:bCs/>
          <w:color w:val="000000"/>
        </w:rPr>
        <w:t>Incident Reporting and Investigation:</w:t>
      </w:r>
      <w:r w:rsidRPr="000E501B">
        <w:rPr>
          <w:rFonts w:asciiTheme="minorHAnsi" w:hAnsiTheme="minorHAnsi" w:cstheme="minorHAnsi"/>
          <w:bCs/>
          <w:color w:val="000000"/>
        </w:rPr>
        <w:t xml:space="preserve"> TPNODL has a robust incident reporting system in place to promptly document and investigate all incidents. A team of experts is tasked with investigating incidents to identify root causes, implement corrective actions, and prevent similar occurrences.</w:t>
      </w:r>
    </w:p>
    <w:p w14:paraId="3570FDA9" w14:textId="77777777" w:rsidR="00F616FB" w:rsidRDefault="00F616FB" w:rsidP="00AB536C">
      <w:pPr>
        <w:pStyle w:val="ListParagraph"/>
        <w:numPr>
          <w:ilvl w:val="0"/>
          <w:numId w:val="31"/>
        </w:numPr>
        <w:spacing w:line="360" w:lineRule="auto"/>
        <w:ind w:left="851" w:hanging="284"/>
        <w:jc w:val="both"/>
        <w:rPr>
          <w:rFonts w:asciiTheme="minorHAnsi" w:hAnsiTheme="minorHAnsi" w:cstheme="minorHAnsi"/>
          <w:bCs/>
          <w:color w:val="000000"/>
        </w:rPr>
      </w:pPr>
      <w:r w:rsidRPr="000E501B">
        <w:rPr>
          <w:rFonts w:asciiTheme="minorHAnsi" w:hAnsiTheme="minorHAnsi" w:cstheme="minorHAnsi"/>
          <w:b/>
          <w:bCs/>
          <w:color w:val="000000"/>
        </w:rPr>
        <w:t>Incident Learning Sharing:</w:t>
      </w:r>
      <w:r w:rsidRPr="000E501B">
        <w:rPr>
          <w:rFonts w:asciiTheme="minorHAnsi" w:hAnsiTheme="minorHAnsi" w:cstheme="minorHAnsi"/>
          <w:bCs/>
          <w:color w:val="000000"/>
        </w:rPr>
        <w:t xml:space="preserve"> The company ensures that lessons learned from incidents are shared with all employees and business associates. This knowledge sharing helps to prevent future incidents and fosters a culture of continuous improvement.</w:t>
      </w:r>
    </w:p>
    <w:p w14:paraId="4AC01D20" w14:textId="77777777" w:rsidR="00F616FB" w:rsidRDefault="00F616FB" w:rsidP="00AB536C">
      <w:pPr>
        <w:pStyle w:val="ListParagraph"/>
        <w:numPr>
          <w:ilvl w:val="0"/>
          <w:numId w:val="31"/>
        </w:numPr>
        <w:spacing w:line="360" w:lineRule="auto"/>
        <w:ind w:left="851" w:hanging="284"/>
        <w:jc w:val="both"/>
        <w:rPr>
          <w:rFonts w:asciiTheme="minorHAnsi" w:hAnsiTheme="minorHAnsi" w:cstheme="minorHAnsi"/>
          <w:bCs/>
          <w:color w:val="000000"/>
        </w:rPr>
      </w:pPr>
      <w:r w:rsidRPr="000E501B">
        <w:rPr>
          <w:rFonts w:asciiTheme="minorHAnsi" w:hAnsiTheme="minorHAnsi" w:cstheme="minorHAnsi"/>
          <w:b/>
          <w:bCs/>
          <w:color w:val="000000"/>
        </w:rPr>
        <w:t>Practice Yards and Porta Cabins:</w:t>
      </w:r>
      <w:r w:rsidRPr="000E501B">
        <w:rPr>
          <w:rFonts w:asciiTheme="minorHAnsi" w:hAnsiTheme="minorHAnsi" w:cstheme="minorHAnsi"/>
          <w:bCs/>
          <w:color w:val="000000"/>
        </w:rPr>
        <w:t xml:space="preserve"> These facilities provide a dedicated space for business associate employees to develop their skills and practice safe work practices.</w:t>
      </w:r>
    </w:p>
    <w:p w14:paraId="472A4192" w14:textId="77777777" w:rsidR="00F616FB" w:rsidRDefault="00F616FB" w:rsidP="00AB536C">
      <w:pPr>
        <w:pStyle w:val="ListParagraph"/>
        <w:numPr>
          <w:ilvl w:val="0"/>
          <w:numId w:val="31"/>
        </w:numPr>
        <w:spacing w:line="360" w:lineRule="auto"/>
        <w:ind w:left="851" w:hanging="284"/>
        <w:jc w:val="both"/>
        <w:rPr>
          <w:rFonts w:asciiTheme="minorHAnsi" w:hAnsiTheme="minorHAnsi" w:cstheme="minorHAnsi"/>
          <w:bCs/>
          <w:color w:val="000000"/>
        </w:rPr>
      </w:pPr>
      <w:r w:rsidRPr="008A332F">
        <w:rPr>
          <w:rFonts w:asciiTheme="minorHAnsi" w:hAnsiTheme="minorHAnsi" w:cstheme="minorHAnsi"/>
          <w:b/>
          <w:bCs/>
          <w:color w:val="000000"/>
        </w:rPr>
        <w:t>Public Safety Awareness:</w:t>
      </w:r>
      <w:r w:rsidRPr="000E501B">
        <w:rPr>
          <w:rFonts w:asciiTheme="minorHAnsi" w:hAnsiTheme="minorHAnsi" w:cstheme="minorHAnsi"/>
          <w:bCs/>
          <w:color w:val="000000"/>
        </w:rPr>
        <w:t xml:space="preserve"> TPNODL actively engages with the community through mobile vehicle demonstrations, hoarding displays, and social media campaigns to raise awareness about safety hazards and promote safe practices.</w:t>
      </w:r>
    </w:p>
    <w:p w14:paraId="3B225BED" w14:textId="77777777" w:rsidR="00F616FB" w:rsidRDefault="00F616FB" w:rsidP="00AB536C">
      <w:pPr>
        <w:pStyle w:val="ListParagraph"/>
        <w:numPr>
          <w:ilvl w:val="0"/>
          <w:numId w:val="31"/>
        </w:numPr>
        <w:spacing w:line="360" w:lineRule="auto"/>
        <w:ind w:left="851" w:hanging="284"/>
        <w:jc w:val="both"/>
        <w:rPr>
          <w:rFonts w:asciiTheme="minorHAnsi" w:hAnsiTheme="minorHAnsi" w:cstheme="minorHAnsi"/>
          <w:bCs/>
          <w:color w:val="000000"/>
        </w:rPr>
      </w:pPr>
      <w:r w:rsidRPr="008A332F">
        <w:rPr>
          <w:rFonts w:asciiTheme="minorHAnsi" w:hAnsiTheme="minorHAnsi" w:cstheme="minorHAnsi"/>
          <w:b/>
          <w:bCs/>
          <w:color w:val="000000"/>
        </w:rPr>
        <w:t>Behavioral Based Safety (BBS):</w:t>
      </w:r>
      <w:r w:rsidRPr="008A332F">
        <w:rPr>
          <w:rFonts w:asciiTheme="minorHAnsi" w:hAnsiTheme="minorHAnsi" w:cstheme="minorHAnsi"/>
          <w:bCs/>
          <w:color w:val="000000"/>
        </w:rPr>
        <w:t xml:space="preserve"> The company conducts BBS training to help employees identify and address potential safety hazards through behavioral observations. BBS fosters a culture of safety awareness and encourages employees to take proactive steps to prevent incidents.</w:t>
      </w:r>
    </w:p>
    <w:p w14:paraId="302D5D6E" w14:textId="77777777" w:rsidR="00F616FB" w:rsidRDefault="00F616FB" w:rsidP="00AB536C">
      <w:pPr>
        <w:pStyle w:val="ListParagraph"/>
        <w:numPr>
          <w:ilvl w:val="0"/>
          <w:numId w:val="31"/>
        </w:numPr>
        <w:spacing w:line="360" w:lineRule="auto"/>
        <w:ind w:left="851" w:hanging="284"/>
        <w:jc w:val="both"/>
        <w:rPr>
          <w:rFonts w:asciiTheme="minorHAnsi" w:hAnsiTheme="minorHAnsi" w:cstheme="minorHAnsi"/>
          <w:bCs/>
          <w:color w:val="000000"/>
        </w:rPr>
      </w:pPr>
      <w:r w:rsidRPr="008A332F">
        <w:rPr>
          <w:rFonts w:asciiTheme="minorHAnsi" w:hAnsiTheme="minorHAnsi" w:cstheme="minorHAnsi"/>
          <w:b/>
          <w:bCs/>
          <w:color w:val="000000"/>
        </w:rPr>
        <w:lastRenderedPageBreak/>
        <w:t xml:space="preserve">Suraksha </w:t>
      </w:r>
      <w:proofErr w:type="spellStart"/>
      <w:r w:rsidRPr="008A332F">
        <w:rPr>
          <w:rFonts w:asciiTheme="minorHAnsi" w:hAnsiTheme="minorHAnsi" w:cstheme="minorHAnsi"/>
          <w:b/>
          <w:bCs/>
          <w:color w:val="000000"/>
        </w:rPr>
        <w:t>Parivar</w:t>
      </w:r>
      <w:proofErr w:type="spellEnd"/>
      <w:r w:rsidRPr="008A332F">
        <w:rPr>
          <w:rFonts w:asciiTheme="minorHAnsi" w:hAnsiTheme="minorHAnsi" w:cstheme="minorHAnsi"/>
          <w:b/>
          <w:bCs/>
          <w:color w:val="000000"/>
        </w:rPr>
        <w:t>:</w:t>
      </w:r>
      <w:r w:rsidRPr="008A332F">
        <w:rPr>
          <w:rFonts w:asciiTheme="minorHAnsi" w:hAnsiTheme="minorHAnsi" w:cstheme="minorHAnsi"/>
          <w:bCs/>
          <w:color w:val="000000"/>
        </w:rPr>
        <w:t xml:space="preserve"> This unique safety drive involves employees and their families in various safety activities, promoting a safety culture within the workplace and beyond.</w:t>
      </w:r>
    </w:p>
    <w:p w14:paraId="5765FFA1" w14:textId="77777777" w:rsidR="00F616FB" w:rsidRDefault="00F616FB" w:rsidP="00AB536C">
      <w:pPr>
        <w:pStyle w:val="ListParagraph"/>
        <w:numPr>
          <w:ilvl w:val="0"/>
          <w:numId w:val="31"/>
        </w:numPr>
        <w:spacing w:line="360" w:lineRule="auto"/>
        <w:ind w:left="851" w:hanging="284"/>
        <w:jc w:val="both"/>
        <w:rPr>
          <w:rFonts w:asciiTheme="minorHAnsi" w:hAnsiTheme="minorHAnsi" w:cstheme="minorHAnsi"/>
          <w:bCs/>
          <w:color w:val="000000"/>
        </w:rPr>
      </w:pPr>
      <w:r w:rsidRPr="008A332F">
        <w:rPr>
          <w:rFonts w:asciiTheme="minorHAnsi" w:hAnsiTheme="minorHAnsi" w:cstheme="minorHAnsi"/>
          <w:b/>
          <w:bCs/>
          <w:color w:val="000000"/>
        </w:rPr>
        <w:t xml:space="preserve">Jeevan Ki </w:t>
      </w:r>
      <w:proofErr w:type="spellStart"/>
      <w:r w:rsidRPr="008A332F">
        <w:rPr>
          <w:rFonts w:asciiTheme="minorHAnsi" w:hAnsiTheme="minorHAnsi" w:cstheme="minorHAnsi"/>
          <w:b/>
          <w:bCs/>
          <w:color w:val="000000"/>
        </w:rPr>
        <w:t>Aur</w:t>
      </w:r>
      <w:proofErr w:type="spellEnd"/>
      <w:r w:rsidRPr="008A332F">
        <w:rPr>
          <w:rFonts w:asciiTheme="minorHAnsi" w:hAnsiTheme="minorHAnsi" w:cstheme="minorHAnsi"/>
          <w:b/>
          <w:bCs/>
          <w:color w:val="000000"/>
        </w:rPr>
        <w:t>:</w:t>
      </w:r>
      <w:r w:rsidRPr="008A332F">
        <w:rPr>
          <w:rFonts w:asciiTheme="minorHAnsi" w:hAnsiTheme="minorHAnsi" w:cstheme="minorHAnsi"/>
          <w:bCs/>
          <w:color w:val="000000"/>
        </w:rPr>
        <w:t xml:space="preserve"> This initiative focuses on employee well-being and mental health, recognizing that a healthy and supportive work environment is essential for promoting safety. It includes family counseling and spiritual programs to help employees cope with stress and maintain a positive mindset.</w:t>
      </w:r>
    </w:p>
    <w:p w14:paraId="7F0CA5F1" w14:textId="77777777" w:rsidR="00F616FB" w:rsidRDefault="00F616FB" w:rsidP="00F616FB">
      <w:pPr>
        <w:spacing w:line="360" w:lineRule="auto"/>
        <w:ind w:left="851" w:hanging="142"/>
        <w:jc w:val="both"/>
        <w:rPr>
          <w:rFonts w:asciiTheme="minorHAnsi" w:eastAsia="Calibri" w:hAnsiTheme="minorHAnsi" w:cstheme="minorHAnsi"/>
          <w:bCs/>
          <w:color w:val="000000"/>
        </w:rPr>
      </w:pPr>
      <w:r>
        <w:rPr>
          <w:rFonts w:asciiTheme="minorHAnsi" w:eastAsia="Calibri" w:hAnsiTheme="minorHAnsi" w:cstheme="minorHAnsi"/>
          <w:bCs/>
          <w:color w:val="000000"/>
        </w:rPr>
        <w:t xml:space="preserve">  </w:t>
      </w:r>
      <w:r w:rsidRPr="008A332F">
        <w:rPr>
          <w:rFonts w:asciiTheme="minorHAnsi" w:eastAsia="Calibri" w:hAnsiTheme="minorHAnsi" w:cstheme="minorHAnsi"/>
          <w:bCs/>
          <w:color w:val="000000"/>
        </w:rPr>
        <w:t>By implementing these comprehensive measures, TPNODL is committed to creating a safe and healthy working environment for all its employees and business associates. The company's dedication to safety is evident in its leadership, training initiatives, safety management practices, and community engagement efforts.</w:t>
      </w:r>
    </w:p>
    <w:p w14:paraId="23470251" w14:textId="77777777" w:rsidR="00F616FB" w:rsidRPr="008A332F" w:rsidRDefault="00F616FB" w:rsidP="00F616FB">
      <w:pPr>
        <w:spacing w:line="360" w:lineRule="auto"/>
        <w:jc w:val="both"/>
        <w:rPr>
          <w:rFonts w:asciiTheme="minorHAnsi" w:eastAsia="Calibri" w:hAnsiTheme="minorHAnsi" w:cstheme="minorHAnsi"/>
          <w:bCs/>
          <w:color w:val="000000"/>
          <w:sz w:val="22"/>
        </w:rPr>
      </w:pPr>
    </w:p>
    <w:p w14:paraId="7630A953" w14:textId="4064C13A" w:rsidR="00F616FB" w:rsidRPr="008A332F" w:rsidRDefault="00F616FB" w:rsidP="00F616FB">
      <w:pPr>
        <w:spacing w:line="360" w:lineRule="auto"/>
        <w:ind w:firstLine="426"/>
        <w:jc w:val="both"/>
        <w:rPr>
          <w:rFonts w:asciiTheme="minorHAnsi" w:hAnsiTheme="minorHAnsi" w:cstheme="minorHAnsi"/>
          <w:b/>
          <w:szCs w:val="28"/>
        </w:rPr>
      </w:pPr>
      <w:r w:rsidRPr="008A332F">
        <w:rPr>
          <w:rFonts w:asciiTheme="minorHAnsi" w:hAnsiTheme="minorHAnsi" w:cstheme="minorHAnsi"/>
          <w:b/>
          <w:szCs w:val="28"/>
          <w:lang w:bidi="or-IN"/>
        </w:rPr>
        <w:t xml:space="preserve">     </w:t>
      </w:r>
      <w:r w:rsidR="00894F4D">
        <w:rPr>
          <w:rFonts w:asciiTheme="minorHAnsi" w:hAnsiTheme="minorHAnsi" w:cstheme="minorHAnsi"/>
          <w:b/>
          <w:szCs w:val="28"/>
          <w:lang w:bidi="or-IN"/>
        </w:rPr>
        <w:t>6.4.2</w:t>
      </w:r>
      <w:r w:rsidRPr="008A332F">
        <w:rPr>
          <w:rFonts w:asciiTheme="minorHAnsi" w:hAnsiTheme="minorHAnsi" w:cstheme="minorHAnsi"/>
          <w:b/>
          <w:szCs w:val="28"/>
          <w:lang w:bidi="or-IN"/>
        </w:rPr>
        <w:t xml:space="preserve"> Safety</w:t>
      </w:r>
      <w:r w:rsidRPr="008A332F">
        <w:rPr>
          <w:rFonts w:asciiTheme="minorHAnsi" w:hAnsiTheme="minorHAnsi" w:cstheme="minorHAnsi"/>
          <w:b/>
          <w:szCs w:val="28"/>
        </w:rPr>
        <w:t xml:space="preserve"> Training Centers/Yards    </w:t>
      </w:r>
    </w:p>
    <w:p w14:paraId="43DCD56E" w14:textId="1720F49A" w:rsidR="00F616FB" w:rsidRDefault="00F616FB" w:rsidP="00F616FB">
      <w:pPr>
        <w:tabs>
          <w:tab w:val="left" w:pos="5245"/>
        </w:tabs>
        <w:spacing w:line="360" w:lineRule="auto"/>
        <w:ind w:left="709"/>
        <w:jc w:val="both"/>
        <w:rPr>
          <w:rFonts w:asciiTheme="minorHAnsi" w:hAnsiTheme="minorHAnsi" w:cstheme="minorHAnsi"/>
          <w:sz w:val="22"/>
          <w:szCs w:val="22"/>
        </w:rPr>
      </w:pPr>
      <w:r w:rsidRPr="00BD5055">
        <w:rPr>
          <w:rFonts w:asciiTheme="minorHAnsi" w:hAnsiTheme="minorHAnsi" w:cstheme="minorHAnsi"/>
          <w:sz w:val="22"/>
          <w:szCs w:val="22"/>
        </w:rPr>
        <w:t xml:space="preserve">13 practice yards with porta cabins installed in across 16 divisions in 16 division TPSDI training </w:t>
      </w:r>
      <w:proofErr w:type="spellStart"/>
      <w:r w:rsidRPr="00BD5055">
        <w:rPr>
          <w:rFonts w:asciiTheme="minorHAnsi" w:hAnsiTheme="minorHAnsi" w:cstheme="minorHAnsi"/>
          <w:sz w:val="22"/>
          <w:szCs w:val="22"/>
        </w:rPr>
        <w:t>centre</w:t>
      </w:r>
      <w:proofErr w:type="spellEnd"/>
      <w:r w:rsidRPr="00BD5055">
        <w:rPr>
          <w:rFonts w:asciiTheme="minorHAnsi" w:hAnsiTheme="minorHAnsi" w:cstheme="minorHAnsi"/>
          <w:sz w:val="22"/>
          <w:szCs w:val="22"/>
        </w:rPr>
        <w:t xml:space="preserve"> is installed at CED, </w:t>
      </w:r>
      <w:proofErr w:type="spellStart"/>
      <w:r w:rsidRPr="00BD5055">
        <w:rPr>
          <w:rFonts w:asciiTheme="minorHAnsi" w:hAnsiTheme="minorHAnsi" w:cstheme="minorHAnsi"/>
          <w:sz w:val="22"/>
          <w:szCs w:val="22"/>
        </w:rPr>
        <w:t>Balasore</w:t>
      </w:r>
      <w:proofErr w:type="spellEnd"/>
      <w:r w:rsidRPr="00BD5055">
        <w:rPr>
          <w:rFonts w:asciiTheme="minorHAnsi" w:hAnsiTheme="minorHAnsi" w:cstheme="minorHAnsi"/>
          <w:sz w:val="22"/>
          <w:szCs w:val="22"/>
        </w:rPr>
        <w:t xml:space="preserve"> for L1 safety training. Safety Training conducted for (Employees/BA/Public) during FY 2</w:t>
      </w:r>
      <w:r>
        <w:rPr>
          <w:rFonts w:asciiTheme="minorHAnsi" w:hAnsiTheme="minorHAnsi" w:cstheme="minorHAnsi"/>
          <w:sz w:val="22"/>
          <w:szCs w:val="22"/>
        </w:rPr>
        <w:t>4</w:t>
      </w:r>
      <w:r w:rsidRPr="00BD5055">
        <w:rPr>
          <w:rFonts w:asciiTheme="minorHAnsi" w:hAnsiTheme="minorHAnsi" w:cstheme="minorHAnsi"/>
          <w:sz w:val="22"/>
          <w:szCs w:val="22"/>
        </w:rPr>
        <w:t xml:space="preserve"> and FY 2</w:t>
      </w:r>
      <w:r>
        <w:rPr>
          <w:rFonts w:asciiTheme="minorHAnsi" w:hAnsiTheme="minorHAnsi" w:cstheme="minorHAnsi"/>
          <w:sz w:val="22"/>
          <w:szCs w:val="22"/>
        </w:rPr>
        <w:t>5 till Aug’24</w:t>
      </w:r>
      <w:r w:rsidRPr="00BD5055">
        <w:rPr>
          <w:rFonts w:asciiTheme="minorHAnsi" w:hAnsiTheme="minorHAnsi" w:cstheme="minorHAnsi"/>
          <w:sz w:val="22"/>
          <w:szCs w:val="22"/>
        </w:rPr>
        <w:t xml:space="preserve"> are given below:</w:t>
      </w:r>
    </w:p>
    <w:p w14:paraId="66548771" w14:textId="77777777" w:rsidR="0025136B" w:rsidRPr="00BD5055" w:rsidRDefault="0025136B" w:rsidP="00F616FB">
      <w:pPr>
        <w:tabs>
          <w:tab w:val="left" w:pos="5245"/>
        </w:tabs>
        <w:spacing w:line="360" w:lineRule="auto"/>
        <w:ind w:left="709"/>
        <w:jc w:val="both"/>
        <w:rPr>
          <w:rFonts w:asciiTheme="minorHAnsi" w:hAnsiTheme="minorHAnsi" w:cstheme="minorHAnsi"/>
          <w:sz w:val="22"/>
          <w:szCs w:val="22"/>
        </w:rPr>
      </w:pPr>
    </w:p>
    <w:tbl>
      <w:tblPr>
        <w:tblpPr w:leftFromText="180" w:rightFromText="180" w:vertAnchor="text" w:horzAnchor="margin" w:tblpXSpec="right" w:tblpY="712"/>
        <w:tblW w:w="8270" w:type="dxa"/>
        <w:tblLook w:val="04A0" w:firstRow="1" w:lastRow="0" w:firstColumn="1" w:lastColumn="0" w:noHBand="0" w:noVBand="1"/>
      </w:tblPr>
      <w:tblGrid>
        <w:gridCol w:w="976"/>
        <w:gridCol w:w="4371"/>
        <w:gridCol w:w="2923"/>
      </w:tblGrid>
      <w:tr w:rsidR="0025136B" w:rsidRPr="00B76E37" w14:paraId="163B9D68" w14:textId="77777777" w:rsidTr="00894F4D">
        <w:trPr>
          <w:trHeight w:val="371"/>
        </w:trPr>
        <w:tc>
          <w:tcPr>
            <w:tcW w:w="976" w:type="dxa"/>
            <w:tcBorders>
              <w:top w:val="single" w:sz="4" w:space="0" w:color="auto"/>
              <w:left w:val="single" w:sz="4" w:space="0" w:color="auto"/>
              <w:bottom w:val="single" w:sz="4" w:space="0" w:color="auto"/>
              <w:right w:val="single" w:sz="4" w:space="0" w:color="auto"/>
            </w:tcBorders>
            <w:shd w:val="clear" w:color="auto" w:fill="4F81BD" w:themeFill="accent1"/>
            <w:vAlign w:val="center"/>
            <w:hideMark/>
          </w:tcPr>
          <w:p w14:paraId="4682B65C" w14:textId="77777777" w:rsidR="0025136B" w:rsidRPr="00B76E37" w:rsidRDefault="0025136B" w:rsidP="0025136B">
            <w:pPr>
              <w:jc w:val="center"/>
              <w:rPr>
                <w:rFonts w:ascii="Calibri" w:hAnsi="Calibri" w:cs="Calibri"/>
                <w:b/>
                <w:bCs/>
                <w:sz w:val="22"/>
                <w:szCs w:val="22"/>
                <w:lang w:val="en-IN" w:eastAsia="en-IN"/>
              </w:rPr>
            </w:pPr>
            <w:r w:rsidRPr="00B76E37">
              <w:rPr>
                <w:rFonts w:ascii="Calibri" w:hAnsi="Calibri" w:cs="Calibri"/>
                <w:b/>
                <w:bCs/>
                <w:sz w:val="22"/>
                <w:szCs w:val="22"/>
                <w:lang w:eastAsia="en-IN"/>
              </w:rPr>
              <w:t>Sr. No.</w:t>
            </w:r>
          </w:p>
        </w:tc>
        <w:tc>
          <w:tcPr>
            <w:tcW w:w="4371" w:type="dxa"/>
            <w:tcBorders>
              <w:top w:val="single" w:sz="4" w:space="0" w:color="auto"/>
              <w:left w:val="single" w:sz="4" w:space="0" w:color="auto"/>
              <w:bottom w:val="single" w:sz="4" w:space="0" w:color="auto"/>
              <w:right w:val="single" w:sz="4" w:space="0" w:color="auto"/>
            </w:tcBorders>
            <w:shd w:val="clear" w:color="auto" w:fill="4F81BD" w:themeFill="accent1"/>
            <w:vAlign w:val="center"/>
            <w:hideMark/>
          </w:tcPr>
          <w:p w14:paraId="1F9AC2B0" w14:textId="77777777" w:rsidR="0025136B" w:rsidRPr="00B76E37" w:rsidRDefault="0025136B" w:rsidP="0025136B">
            <w:pPr>
              <w:jc w:val="center"/>
              <w:rPr>
                <w:rFonts w:ascii="Calibri" w:hAnsi="Calibri" w:cs="Calibri"/>
                <w:b/>
                <w:bCs/>
                <w:sz w:val="22"/>
                <w:szCs w:val="22"/>
                <w:lang w:val="en-IN" w:eastAsia="en-IN"/>
              </w:rPr>
            </w:pPr>
            <w:r w:rsidRPr="00B76E37">
              <w:rPr>
                <w:rFonts w:ascii="Calibri" w:hAnsi="Calibri" w:cs="Calibri"/>
                <w:b/>
                <w:bCs/>
                <w:sz w:val="22"/>
                <w:szCs w:val="22"/>
                <w:lang w:eastAsia="en-IN"/>
              </w:rPr>
              <w:t>Training Details</w:t>
            </w:r>
          </w:p>
        </w:tc>
        <w:tc>
          <w:tcPr>
            <w:tcW w:w="2923" w:type="dxa"/>
            <w:tcBorders>
              <w:top w:val="single" w:sz="4" w:space="0" w:color="auto"/>
              <w:left w:val="single" w:sz="4" w:space="0" w:color="auto"/>
              <w:bottom w:val="single" w:sz="4" w:space="0" w:color="auto"/>
              <w:right w:val="single" w:sz="4" w:space="0" w:color="auto"/>
            </w:tcBorders>
            <w:shd w:val="clear" w:color="auto" w:fill="4F81BD" w:themeFill="accent1"/>
            <w:vAlign w:val="center"/>
            <w:hideMark/>
          </w:tcPr>
          <w:p w14:paraId="0F2B968F" w14:textId="77777777" w:rsidR="0025136B" w:rsidRPr="00B76E37" w:rsidRDefault="0025136B" w:rsidP="0025136B">
            <w:pPr>
              <w:jc w:val="center"/>
              <w:rPr>
                <w:rFonts w:ascii="Calibri" w:hAnsi="Calibri" w:cs="Calibri"/>
                <w:b/>
                <w:bCs/>
                <w:sz w:val="22"/>
                <w:szCs w:val="22"/>
                <w:lang w:val="en-IN" w:eastAsia="en-IN"/>
              </w:rPr>
            </w:pPr>
            <w:r w:rsidRPr="00B76E37">
              <w:rPr>
                <w:rFonts w:ascii="Calibri" w:hAnsi="Calibri" w:cs="Calibri"/>
                <w:b/>
                <w:bCs/>
                <w:sz w:val="22"/>
                <w:szCs w:val="22"/>
                <w:lang w:eastAsia="en-IN"/>
              </w:rPr>
              <w:t>No. of BA Employees Covered</w:t>
            </w:r>
          </w:p>
        </w:tc>
      </w:tr>
      <w:tr w:rsidR="0025136B" w:rsidRPr="00B76E37" w14:paraId="6D4F9AB9" w14:textId="77777777" w:rsidTr="00894F4D">
        <w:trPr>
          <w:trHeight w:val="371"/>
        </w:trPr>
        <w:tc>
          <w:tcPr>
            <w:tcW w:w="976"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08124DC4" w14:textId="77777777" w:rsidR="0025136B" w:rsidRPr="00B76E37" w:rsidRDefault="0025136B" w:rsidP="0025136B">
            <w:pPr>
              <w:jc w:val="center"/>
              <w:rPr>
                <w:rFonts w:ascii="Calibri" w:hAnsi="Calibri" w:cs="Calibri"/>
                <w:color w:val="000000"/>
                <w:sz w:val="22"/>
                <w:szCs w:val="22"/>
                <w:lang w:val="en-IN" w:eastAsia="en-IN"/>
              </w:rPr>
            </w:pPr>
            <w:r w:rsidRPr="00B76E37">
              <w:rPr>
                <w:rFonts w:ascii="Calibri" w:hAnsi="Calibri" w:cs="Calibri"/>
                <w:color w:val="000000"/>
                <w:sz w:val="22"/>
                <w:szCs w:val="22"/>
                <w:lang w:eastAsia="en-IN"/>
              </w:rPr>
              <w:t>1</w:t>
            </w:r>
          </w:p>
        </w:tc>
        <w:tc>
          <w:tcPr>
            <w:tcW w:w="4371"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413E0769" w14:textId="77777777" w:rsidR="0025136B" w:rsidRPr="00B76E37" w:rsidRDefault="0025136B" w:rsidP="0025136B">
            <w:pPr>
              <w:rPr>
                <w:rFonts w:ascii="Calibri" w:hAnsi="Calibri" w:cs="Calibri"/>
                <w:color w:val="000000"/>
                <w:sz w:val="22"/>
                <w:szCs w:val="22"/>
                <w:lang w:val="en-IN" w:eastAsia="en-IN"/>
              </w:rPr>
            </w:pPr>
            <w:r w:rsidRPr="00B76E37">
              <w:rPr>
                <w:rFonts w:ascii="Calibri" w:hAnsi="Calibri" w:cs="Calibri"/>
                <w:color w:val="000000"/>
                <w:sz w:val="22"/>
                <w:szCs w:val="22"/>
                <w:lang w:eastAsia="en-IN"/>
              </w:rPr>
              <w:t>Fire safety training</w:t>
            </w:r>
          </w:p>
        </w:tc>
        <w:tc>
          <w:tcPr>
            <w:tcW w:w="2923"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03AF0B42" w14:textId="77777777" w:rsidR="0025136B" w:rsidRPr="00B76E37" w:rsidRDefault="0025136B" w:rsidP="0025136B">
            <w:pPr>
              <w:jc w:val="center"/>
              <w:rPr>
                <w:rFonts w:ascii="Calibri" w:hAnsi="Calibri" w:cs="Calibri"/>
                <w:color w:val="000000"/>
                <w:sz w:val="22"/>
                <w:szCs w:val="22"/>
                <w:lang w:val="en-IN" w:eastAsia="en-IN"/>
              </w:rPr>
            </w:pPr>
            <w:r w:rsidRPr="00B76E37">
              <w:rPr>
                <w:rFonts w:ascii="Calibri" w:hAnsi="Calibri" w:cs="Calibri"/>
                <w:color w:val="000000"/>
                <w:sz w:val="22"/>
                <w:szCs w:val="22"/>
                <w:lang w:eastAsia="en-IN"/>
              </w:rPr>
              <w:t>2632</w:t>
            </w:r>
          </w:p>
        </w:tc>
      </w:tr>
      <w:tr w:rsidR="0025136B" w:rsidRPr="00B76E37" w14:paraId="346D2D7A" w14:textId="77777777" w:rsidTr="00894F4D">
        <w:trPr>
          <w:trHeight w:val="371"/>
        </w:trPr>
        <w:tc>
          <w:tcPr>
            <w:tcW w:w="976"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21EF8A71" w14:textId="77777777" w:rsidR="0025136B" w:rsidRPr="00B76E37" w:rsidRDefault="0025136B" w:rsidP="0025136B">
            <w:pPr>
              <w:jc w:val="center"/>
              <w:rPr>
                <w:rFonts w:ascii="Calibri" w:hAnsi="Calibri" w:cs="Calibri"/>
                <w:color w:val="000000"/>
                <w:sz w:val="22"/>
                <w:szCs w:val="22"/>
                <w:lang w:val="en-IN" w:eastAsia="en-IN"/>
              </w:rPr>
            </w:pPr>
            <w:r w:rsidRPr="00B76E37">
              <w:rPr>
                <w:rFonts w:ascii="Calibri" w:hAnsi="Calibri" w:cs="Calibri"/>
                <w:color w:val="000000"/>
                <w:sz w:val="22"/>
                <w:szCs w:val="22"/>
                <w:lang w:eastAsia="en-IN"/>
              </w:rPr>
              <w:t>2</w:t>
            </w:r>
          </w:p>
        </w:tc>
        <w:tc>
          <w:tcPr>
            <w:tcW w:w="4371"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7D9EE5CB" w14:textId="77777777" w:rsidR="0025136B" w:rsidRPr="00B76E37" w:rsidRDefault="0025136B" w:rsidP="0025136B">
            <w:pPr>
              <w:rPr>
                <w:rFonts w:ascii="Calibri" w:hAnsi="Calibri" w:cs="Calibri"/>
                <w:color w:val="000000"/>
                <w:sz w:val="22"/>
                <w:szCs w:val="22"/>
                <w:lang w:val="en-IN" w:eastAsia="en-IN"/>
              </w:rPr>
            </w:pPr>
            <w:r w:rsidRPr="00B76E37">
              <w:rPr>
                <w:rFonts w:ascii="Calibri" w:hAnsi="Calibri" w:cs="Calibri"/>
                <w:color w:val="000000"/>
                <w:sz w:val="22"/>
                <w:szCs w:val="22"/>
                <w:lang w:eastAsia="en-IN"/>
              </w:rPr>
              <w:t>Safety Awareness Session Participants</w:t>
            </w:r>
          </w:p>
        </w:tc>
        <w:tc>
          <w:tcPr>
            <w:tcW w:w="2923"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53E2874B" w14:textId="77777777" w:rsidR="0025136B" w:rsidRPr="00B76E37" w:rsidRDefault="0025136B" w:rsidP="0025136B">
            <w:pPr>
              <w:jc w:val="center"/>
              <w:rPr>
                <w:rFonts w:ascii="Calibri" w:hAnsi="Calibri" w:cs="Calibri"/>
                <w:color w:val="000000"/>
                <w:sz w:val="22"/>
                <w:szCs w:val="22"/>
                <w:lang w:val="en-IN" w:eastAsia="en-IN"/>
              </w:rPr>
            </w:pPr>
            <w:r w:rsidRPr="00B76E37">
              <w:rPr>
                <w:rFonts w:ascii="Calibri" w:hAnsi="Calibri" w:cs="Calibri"/>
                <w:color w:val="000000"/>
                <w:sz w:val="22"/>
                <w:szCs w:val="22"/>
                <w:lang w:eastAsia="en-IN"/>
              </w:rPr>
              <w:t>21842</w:t>
            </w:r>
          </w:p>
        </w:tc>
      </w:tr>
      <w:tr w:rsidR="0025136B" w:rsidRPr="00B76E37" w14:paraId="2363DCC0" w14:textId="77777777" w:rsidTr="00894F4D">
        <w:trPr>
          <w:trHeight w:val="371"/>
        </w:trPr>
        <w:tc>
          <w:tcPr>
            <w:tcW w:w="976"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5B766401" w14:textId="77777777" w:rsidR="0025136B" w:rsidRPr="00B76E37" w:rsidRDefault="0025136B" w:rsidP="0025136B">
            <w:pPr>
              <w:jc w:val="center"/>
              <w:rPr>
                <w:rFonts w:ascii="Calibri" w:hAnsi="Calibri" w:cs="Calibri"/>
                <w:color w:val="000000"/>
                <w:sz w:val="22"/>
                <w:szCs w:val="22"/>
                <w:lang w:val="en-IN" w:eastAsia="en-IN"/>
              </w:rPr>
            </w:pPr>
            <w:r w:rsidRPr="00B76E37">
              <w:rPr>
                <w:rFonts w:ascii="Calibri" w:hAnsi="Calibri" w:cs="Calibri"/>
                <w:color w:val="000000"/>
                <w:sz w:val="22"/>
                <w:szCs w:val="22"/>
                <w:lang w:eastAsia="en-IN"/>
              </w:rPr>
              <w:t>3</w:t>
            </w:r>
          </w:p>
        </w:tc>
        <w:tc>
          <w:tcPr>
            <w:tcW w:w="4371"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67E76D87" w14:textId="77777777" w:rsidR="0025136B" w:rsidRPr="00B76E37" w:rsidRDefault="0025136B" w:rsidP="0025136B">
            <w:pPr>
              <w:rPr>
                <w:rFonts w:ascii="Calibri" w:hAnsi="Calibri" w:cs="Calibri"/>
                <w:color w:val="000000"/>
                <w:sz w:val="22"/>
                <w:szCs w:val="22"/>
                <w:lang w:val="en-IN" w:eastAsia="en-IN"/>
              </w:rPr>
            </w:pPr>
            <w:r w:rsidRPr="00B76E37">
              <w:rPr>
                <w:rFonts w:ascii="Calibri" w:hAnsi="Calibri" w:cs="Calibri"/>
                <w:color w:val="000000"/>
                <w:sz w:val="22"/>
                <w:szCs w:val="22"/>
                <w:lang w:eastAsia="en-IN"/>
              </w:rPr>
              <w:t>Safety Induction Training L1 training</w:t>
            </w:r>
          </w:p>
        </w:tc>
        <w:tc>
          <w:tcPr>
            <w:tcW w:w="2923"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3461B4DA" w14:textId="77777777" w:rsidR="0025136B" w:rsidRPr="00B76E37" w:rsidRDefault="0025136B" w:rsidP="0025136B">
            <w:pPr>
              <w:jc w:val="center"/>
              <w:rPr>
                <w:rFonts w:ascii="Calibri" w:hAnsi="Calibri" w:cs="Calibri"/>
                <w:color w:val="000000"/>
                <w:sz w:val="22"/>
                <w:szCs w:val="22"/>
                <w:lang w:val="en-IN" w:eastAsia="en-IN"/>
              </w:rPr>
            </w:pPr>
            <w:r w:rsidRPr="00B76E37">
              <w:rPr>
                <w:rFonts w:ascii="Calibri" w:hAnsi="Calibri" w:cs="Calibri"/>
                <w:color w:val="000000"/>
                <w:sz w:val="22"/>
                <w:szCs w:val="22"/>
                <w:lang w:eastAsia="en-IN"/>
              </w:rPr>
              <w:t>13492</w:t>
            </w:r>
          </w:p>
        </w:tc>
      </w:tr>
      <w:tr w:rsidR="0025136B" w:rsidRPr="00B76E37" w14:paraId="763E3587" w14:textId="77777777" w:rsidTr="00894F4D">
        <w:trPr>
          <w:trHeight w:val="371"/>
        </w:trPr>
        <w:tc>
          <w:tcPr>
            <w:tcW w:w="976"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49186527" w14:textId="77777777" w:rsidR="0025136B" w:rsidRPr="00B76E37" w:rsidRDefault="0025136B" w:rsidP="0025136B">
            <w:pPr>
              <w:jc w:val="center"/>
              <w:rPr>
                <w:rFonts w:ascii="Calibri" w:hAnsi="Calibri" w:cs="Calibri"/>
                <w:color w:val="000000"/>
                <w:sz w:val="22"/>
                <w:szCs w:val="22"/>
                <w:lang w:val="en-IN" w:eastAsia="en-IN"/>
              </w:rPr>
            </w:pPr>
            <w:r w:rsidRPr="00B76E37">
              <w:rPr>
                <w:rFonts w:ascii="Calibri" w:hAnsi="Calibri" w:cs="Calibri"/>
                <w:color w:val="000000"/>
                <w:sz w:val="22"/>
                <w:szCs w:val="22"/>
                <w:lang w:eastAsia="en-IN"/>
              </w:rPr>
              <w:t>4</w:t>
            </w:r>
          </w:p>
        </w:tc>
        <w:tc>
          <w:tcPr>
            <w:tcW w:w="4371"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47ED53DF" w14:textId="77777777" w:rsidR="0025136B" w:rsidRPr="00B76E37" w:rsidRDefault="0025136B" w:rsidP="0025136B">
            <w:pPr>
              <w:rPr>
                <w:rFonts w:ascii="Calibri" w:hAnsi="Calibri" w:cs="Calibri"/>
                <w:color w:val="000000"/>
                <w:sz w:val="22"/>
                <w:szCs w:val="22"/>
                <w:lang w:val="en-IN" w:eastAsia="en-IN"/>
              </w:rPr>
            </w:pPr>
            <w:r w:rsidRPr="00B76E37">
              <w:rPr>
                <w:rFonts w:ascii="Calibri" w:hAnsi="Calibri" w:cs="Calibri"/>
                <w:color w:val="000000"/>
                <w:sz w:val="22"/>
                <w:szCs w:val="22"/>
                <w:lang w:eastAsia="en-IN"/>
              </w:rPr>
              <w:t>Safety Training for line man L2 training</w:t>
            </w:r>
          </w:p>
        </w:tc>
        <w:tc>
          <w:tcPr>
            <w:tcW w:w="2923"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76B76F85" w14:textId="77777777" w:rsidR="0025136B" w:rsidRPr="00B76E37" w:rsidRDefault="0025136B" w:rsidP="0025136B">
            <w:pPr>
              <w:jc w:val="center"/>
              <w:rPr>
                <w:rFonts w:ascii="Calibri" w:hAnsi="Calibri" w:cs="Calibri"/>
                <w:color w:val="000000"/>
                <w:sz w:val="22"/>
                <w:szCs w:val="22"/>
                <w:lang w:val="en-IN" w:eastAsia="en-IN"/>
              </w:rPr>
            </w:pPr>
            <w:r w:rsidRPr="00B76E37">
              <w:rPr>
                <w:rFonts w:ascii="Calibri" w:hAnsi="Calibri" w:cs="Calibri"/>
                <w:color w:val="000000"/>
                <w:sz w:val="22"/>
                <w:szCs w:val="22"/>
                <w:lang w:eastAsia="en-IN"/>
              </w:rPr>
              <w:t>215</w:t>
            </w:r>
          </w:p>
        </w:tc>
      </w:tr>
      <w:tr w:rsidR="0025136B" w:rsidRPr="00B76E37" w14:paraId="6DB06E55" w14:textId="77777777" w:rsidTr="00894F4D">
        <w:trPr>
          <w:trHeight w:val="371"/>
        </w:trPr>
        <w:tc>
          <w:tcPr>
            <w:tcW w:w="976"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4B9871C1" w14:textId="77777777" w:rsidR="0025136B" w:rsidRPr="00B76E37" w:rsidRDefault="0025136B" w:rsidP="0025136B">
            <w:pPr>
              <w:jc w:val="center"/>
              <w:rPr>
                <w:rFonts w:ascii="Calibri" w:hAnsi="Calibri" w:cs="Calibri"/>
                <w:color w:val="000000"/>
                <w:sz w:val="22"/>
                <w:szCs w:val="22"/>
                <w:lang w:val="en-IN" w:eastAsia="en-IN"/>
              </w:rPr>
            </w:pPr>
            <w:r w:rsidRPr="00B76E37">
              <w:rPr>
                <w:rFonts w:ascii="Calibri" w:hAnsi="Calibri" w:cs="Calibri"/>
                <w:color w:val="000000"/>
                <w:sz w:val="22"/>
                <w:szCs w:val="22"/>
                <w:lang w:eastAsia="en-IN"/>
              </w:rPr>
              <w:t>5</w:t>
            </w:r>
          </w:p>
        </w:tc>
        <w:tc>
          <w:tcPr>
            <w:tcW w:w="4371"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3250E0BE" w14:textId="77777777" w:rsidR="0025136B" w:rsidRPr="00B76E37" w:rsidRDefault="0025136B" w:rsidP="0025136B">
            <w:pPr>
              <w:rPr>
                <w:rFonts w:ascii="Calibri" w:hAnsi="Calibri" w:cs="Calibri"/>
                <w:color w:val="000000"/>
                <w:sz w:val="22"/>
                <w:szCs w:val="22"/>
                <w:lang w:val="en-IN" w:eastAsia="en-IN"/>
              </w:rPr>
            </w:pPr>
            <w:r w:rsidRPr="00B76E37">
              <w:rPr>
                <w:rFonts w:ascii="Calibri" w:hAnsi="Calibri" w:cs="Calibri"/>
                <w:color w:val="000000"/>
                <w:sz w:val="22"/>
                <w:szCs w:val="22"/>
                <w:lang w:eastAsia="en-IN"/>
              </w:rPr>
              <w:t>Safety Training for supervisor L3 training</w:t>
            </w:r>
          </w:p>
        </w:tc>
        <w:tc>
          <w:tcPr>
            <w:tcW w:w="2923"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63CA9484" w14:textId="77777777" w:rsidR="0025136B" w:rsidRPr="00B76E37" w:rsidRDefault="0025136B" w:rsidP="0025136B">
            <w:pPr>
              <w:jc w:val="center"/>
              <w:rPr>
                <w:rFonts w:ascii="Calibri" w:hAnsi="Calibri" w:cs="Calibri"/>
                <w:color w:val="000000"/>
                <w:sz w:val="22"/>
                <w:szCs w:val="22"/>
                <w:lang w:val="en-IN" w:eastAsia="en-IN"/>
              </w:rPr>
            </w:pPr>
            <w:r w:rsidRPr="00B76E37">
              <w:rPr>
                <w:rFonts w:ascii="Calibri" w:hAnsi="Calibri" w:cs="Calibri"/>
                <w:color w:val="000000"/>
                <w:sz w:val="22"/>
                <w:szCs w:val="22"/>
                <w:lang w:eastAsia="en-IN"/>
              </w:rPr>
              <w:t>63</w:t>
            </w:r>
          </w:p>
        </w:tc>
      </w:tr>
      <w:tr w:rsidR="0025136B" w:rsidRPr="00B76E37" w14:paraId="40CBFE7E" w14:textId="77777777" w:rsidTr="00894F4D">
        <w:trPr>
          <w:trHeight w:val="371"/>
        </w:trPr>
        <w:tc>
          <w:tcPr>
            <w:tcW w:w="976"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24859FAD" w14:textId="77777777" w:rsidR="0025136B" w:rsidRPr="00B76E37" w:rsidRDefault="0025136B" w:rsidP="0025136B">
            <w:pPr>
              <w:jc w:val="center"/>
              <w:rPr>
                <w:rFonts w:ascii="Calibri" w:hAnsi="Calibri" w:cs="Calibri"/>
                <w:color w:val="000000"/>
                <w:sz w:val="22"/>
                <w:szCs w:val="22"/>
                <w:lang w:val="en-IN" w:eastAsia="en-IN"/>
              </w:rPr>
            </w:pPr>
            <w:r w:rsidRPr="00B76E37">
              <w:rPr>
                <w:rFonts w:ascii="Calibri" w:hAnsi="Calibri" w:cs="Calibri"/>
                <w:color w:val="000000"/>
                <w:sz w:val="22"/>
                <w:szCs w:val="22"/>
                <w:lang w:eastAsia="en-IN"/>
              </w:rPr>
              <w:t>6</w:t>
            </w:r>
          </w:p>
        </w:tc>
        <w:tc>
          <w:tcPr>
            <w:tcW w:w="4371"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354B7FCC" w14:textId="77777777" w:rsidR="0025136B" w:rsidRPr="00B76E37" w:rsidRDefault="0025136B" w:rsidP="0025136B">
            <w:pPr>
              <w:rPr>
                <w:rFonts w:ascii="Calibri" w:hAnsi="Calibri" w:cs="Calibri"/>
                <w:color w:val="000000"/>
                <w:sz w:val="22"/>
                <w:szCs w:val="22"/>
                <w:lang w:val="en-IN" w:eastAsia="en-IN"/>
              </w:rPr>
            </w:pPr>
            <w:r w:rsidRPr="00B76E37">
              <w:rPr>
                <w:rFonts w:ascii="Calibri" w:hAnsi="Calibri" w:cs="Calibri"/>
                <w:color w:val="000000"/>
                <w:sz w:val="22"/>
                <w:szCs w:val="22"/>
                <w:lang w:eastAsia="en-IN"/>
              </w:rPr>
              <w:t>Demonstration at site for Safety Zone Creation /Work at Height /PPEs/PTW</w:t>
            </w:r>
          </w:p>
        </w:tc>
        <w:tc>
          <w:tcPr>
            <w:tcW w:w="2923"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2C7287AF" w14:textId="77777777" w:rsidR="0025136B" w:rsidRPr="00B76E37" w:rsidRDefault="0025136B" w:rsidP="0025136B">
            <w:pPr>
              <w:jc w:val="center"/>
              <w:rPr>
                <w:rFonts w:ascii="Calibri" w:hAnsi="Calibri" w:cs="Calibri"/>
                <w:color w:val="000000"/>
                <w:sz w:val="22"/>
                <w:szCs w:val="22"/>
                <w:lang w:val="en-IN" w:eastAsia="en-IN"/>
              </w:rPr>
            </w:pPr>
            <w:r w:rsidRPr="00B76E37">
              <w:rPr>
                <w:rFonts w:ascii="Calibri" w:hAnsi="Calibri" w:cs="Calibri"/>
                <w:color w:val="000000"/>
                <w:sz w:val="22"/>
                <w:szCs w:val="22"/>
                <w:lang w:eastAsia="en-IN"/>
              </w:rPr>
              <w:t>13973</w:t>
            </w:r>
          </w:p>
        </w:tc>
      </w:tr>
      <w:tr w:rsidR="0025136B" w:rsidRPr="00B76E37" w14:paraId="11D245EB" w14:textId="77777777" w:rsidTr="00894F4D">
        <w:trPr>
          <w:trHeight w:val="371"/>
        </w:trPr>
        <w:tc>
          <w:tcPr>
            <w:tcW w:w="976"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6CEF1145" w14:textId="77777777" w:rsidR="0025136B" w:rsidRPr="00B76E37" w:rsidRDefault="0025136B" w:rsidP="0025136B">
            <w:pPr>
              <w:jc w:val="center"/>
              <w:rPr>
                <w:rFonts w:ascii="Calibri" w:hAnsi="Calibri" w:cs="Calibri"/>
                <w:color w:val="000000"/>
                <w:sz w:val="22"/>
                <w:szCs w:val="22"/>
                <w:lang w:val="en-IN" w:eastAsia="en-IN"/>
              </w:rPr>
            </w:pPr>
            <w:r w:rsidRPr="00B76E37">
              <w:rPr>
                <w:rFonts w:ascii="Calibri" w:hAnsi="Calibri" w:cs="Calibri"/>
                <w:color w:val="000000"/>
                <w:sz w:val="22"/>
                <w:szCs w:val="22"/>
                <w:lang w:eastAsia="en-IN"/>
              </w:rPr>
              <w:t>7</w:t>
            </w:r>
          </w:p>
        </w:tc>
        <w:tc>
          <w:tcPr>
            <w:tcW w:w="4371"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2A767AAE" w14:textId="77777777" w:rsidR="0025136B" w:rsidRPr="00B76E37" w:rsidRDefault="0025136B" w:rsidP="0025136B">
            <w:pPr>
              <w:rPr>
                <w:rFonts w:ascii="Calibri" w:hAnsi="Calibri" w:cs="Calibri"/>
                <w:color w:val="000000"/>
                <w:sz w:val="22"/>
                <w:szCs w:val="22"/>
                <w:lang w:val="en-IN" w:eastAsia="en-IN"/>
              </w:rPr>
            </w:pPr>
            <w:r w:rsidRPr="00B76E37">
              <w:rPr>
                <w:rFonts w:ascii="Calibri" w:hAnsi="Calibri" w:cs="Calibri"/>
                <w:color w:val="000000"/>
                <w:sz w:val="22"/>
                <w:szCs w:val="22"/>
                <w:lang w:eastAsia="en-IN"/>
              </w:rPr>
              <w:t>Behavior Based Safety Training (TPNODL and BA employee)</w:t>
            </w:r>
          </w:p>
        </w:tc>
        <w:tc>
          <w:tcPr>
            <w:tcW w:w="2923"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1E4D2D5F" w14:textId="77777777" w:rsidR="0025136B" w:rsidRPr="00B76E37" w:rsidRDefault="0025136B" w:rsidP="0025136B">
            <w:pPr>
              <w:jc w:val="center"/>
              <w:rPr>
                <w:rFonts w:ascii="Calibri" w:hAnsi="Calibri" w:cs="Calibri"/>
                <w:color w:val="000000"/>
                <w:sz w:val="22"/>
                <w:szCs w:val="22"/>
                <w:lang w:val="en-IN" w:eastAsia="en-IN"/>
              </w:rPr>
            </w:pPr>
            <w:r w:rsidRPr="00B76E37">
              <w:rPr>
                <w:rFonts w:ascii="Calibri" w:hAnsi="Calibri" w:cs="Calibri"/>
                <w:color w:val="000000"/>
                <w:sz w:val="22"/>
                <w:szCs w:val="22"/>
                <w:lang w:eastAsia="en-IN"/>
              </w:rPr>
              <w:t>6953</w:t>
            </w:r>
          </w:p>
        </w:tc>
      </w:tr>
      <w:tr w:rsidR="0025136B" w:rsidRPr="00B76E37" w14:paraId="0EBD3220" w14:textId="77777777" w:rsidTr="00894F4D">
        <w:trPr>
          <w:trHeight w:val="371"/>
        </w:trPr>
        <w:tc>
          <w:tcPr>
            <w:tcW w:w="976"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4AD108E2" w14:textId="77777777" w:rsidR="0025136B" w:rsidRPr="00B76E37" w:rsidRDefault="0025136B" w:rsidP="0025136B">
            <w:pPr>
              <w:jc w:val="center"/>
              <w:rPr>
                <w:rFonts w:ascii="Calibri" w:hAnsi="Calibri" w:cs="Calibri"/>
                <w:color w:val="000000"/>
                <w:sz w:val="22"/>
                <w:szCs w:val="22"/>
                <w:lang w:val="en-IN" w:eastAsia="en-IN"/>
              </w:rPr>
            </w:pPr>
            <w:r w:rsidRPr="00B76E37">
              <w:rPr>
                <w:rFonts w:ascii="Calibri" w:hAnsi="Calibri" w:cs="Calibri"/>
                <w:color w:val="000000"/>
                <w:sz w:val="22"/>
                <w:szCs w:val="22"/>
                <w:lang w:eastAsia="en-IN"/>
              </w:rPr>
              <w:t>8</w:t>
            </w:r>
          </w:p>
        </w:tc>
        <w:tc>
          <w:tcPr>
            <w:tcW w:w="4371"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504EAF00" w14:textId="77777777" w:rsidR="0025136B" w:rsidRPr="00B76E37" w:rsidRDefault="0025136B" w:rsidP="0025136B">
            <w:pPr>
              <w:rPr>
                <w:rFonts w:ascii="Calibri" w:hAnsi="Calibri" w:cs="Calibri"/>
                <w:color w:val="000000"/>
                <w:sz w:val="22"/>
                <w:szCs w:val="22"/>
                <w:lang w:val="en-IN" w:eastAsia="en-IN"/>
              </w:rPr>
            </w:pPr>
            <w:r w:rsidRPr="00B76E37">
              <w:rPr>
                <w:rFonts w:ascii="Calibri" w:hAnsi="Calibri" w:cs="Calibri"/>
                <w:color w:val="000000"/>
                <w:sz w:val="22"/>
                <w:szCs w:val="22"/>
                <w:lang w:eastAsia="en-IN"/>
              </w:rPr>
              <w:t>TPSDI training</w:t>
            </w:r>
          </w:p>
        </w:tc>
        <w:tc>
          <w:tcPr>
            <w:tcW w:w="2923"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759C783A" w14:textId="77777777" w:rsidR="0025136B" w:rsidRPr="00B76E37" w:rsidRDefault="0025136B" w:rsidP="0025136B">
            <w:pPr>
              <w:jc w:val="center"/>
              <w:rPr>
                <w:rFonts w:ascii="Calibri" w:hAnsi="Calibri" w:cs="Calibri"/>
                <w:color w:val="000000"/>
                <w:sz w:val="22"/>
                <w:szCs w:val="22"/>
                <w:lang w:val="en-IN" w:eastAsia="en-IN"/>
              </w:rPr>
            </w:pPr>
            <w:r w:rsidRPr="00B76E37">
              <w:rPr>
                <w:rFonts w:ascii="Calibri" w:hAnsi="Calibri" w:cs="Calibri"/>
                <w:color w:val="000000"/>
                <w:sz w:val="22"/>
                <w:szCs w:val="22"/>
                <w:lang w:eastAsia="en-IN"/>
              </w:rPr>
              <w:t>954</w:t>
            </w:r>
          </w:p>
        </w:tc>
      </w:tr>
      <w:tr w:rsidR="0025136B" w:rsidRPr="00B76E37" w14:paraId="338CF63C" w14:textId="77777777" w:rsidTr="00894F4D">
        <w:trPr>
          <w:trHeight w:val="371"/>
        </w:trPr>
        <w:tc>
          <w:tcPr>
            <w:tcW w:w="976"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0B389C37" w14:textId="77777777" w:rsidR="0025136B" w:rsidRPr="00B76E37" w:rsidRDefault="0025136B" w:rsidP="0025136B">
            <w:pPr>
              <w:jc w:val="center"/>
              <w:rPr>
                <w:rFonts w:ascii="Calibri" w:hAnsi="Calibri" w:cs="Calibri"/>
                <w:color w:val="000000"/>
                <w:sz w:val="22"/>
                <w:szCs w:val="22"/>
                <w:lang w:val="en-IN" w:eastAsia="en-IN"/>
              </w:rPr>
            </w:pPr>
            <w:r w:rsidRPr="00B76E37">
              <w:rPr>
                <w:rFonts w:ascii="Calibri" w:hAnsi="Calibri" w:cs="Calibri"/>
                <w:color w:val="000000"/>
                <w:sz w:val="22"/>
                <w:szCs w:val="22"/>
                <w:lang w:eastAsia="en-IN"/>
              </w:rPr>
              <w:t>9</w:t>
            </w:r>
          </w:p>
        </w:tc>
        <w:tc>
          <w:tcPr>
            <w:tcW w:w="4371"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15CDB25D" w14:textId="77777777" w:rsidR="0025136B" w:rsidRPr="00B76E37" w:rsidRDefault="0025136B" w:rsidP="0025136B">
            <w:pPr>
              <w:rPr>
                <w:rFonts w:ascii="Calibri" w:hAnsi="Calibri" w:cs="Calibri"/>
                <w:color w:val="000000"/>
                <w:sz w:val="22"/>
                <w:szCs w:val="22"/>
                <w:lang w:val="en-IN" w:eastAsia="en-IN"/>
              </w:rPr>
            </w:pPr>
            <w:r w:rsidRPr="00B76E37">
              <w:rPr>
                <w:rFonts w:ascii="Calibri" w:hAnsi="Calibri" w:cs="Calibri"/>
                <w:color w:val="000000"/>
                <w:sz w:val="22"/>
                <w:szCs w:val="22"/>
                <w:lang w:eastAsia="en-IN"/>
              </w:rPr>
              <w:t>First Aid training</w:t>
            </w:r>
          </w:p>
        </w:tc>
        <w:tc>
          <w:tcPr>
            <w:tcW w:w="2923"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0F405F19" w14:textId="77777777" w:rsidR="0025136B" w:rsidRPr="00B76E37" w:rsidRDefault="0025136B" w:rsidP="0025136B">
            <w:pPr>
              <w:jc w:val="center"/>
              <w:rPr>
                <w:rFonts w:ascii="Calibri" w:hAnsi="Calibri" w:cs="Calibri"/>
                <w:color w:val="000000"/>
                <w:sz w:val="22"/>
                <w:szCs w:val="22"/>
                <w:lang w:val="en-IN" w:eastAsia="en-IN"/>
              </w:rPr>
            </w:pPr>
            <w:r w:rsidRPr="00B76E37">
              <w:rPr>
                <w:rFonts w:ascii="Calibri" w:hAnsi="Calibri" w:cs="Calibri"/>
                <w:color w:val="000000"/>
                <w:sz w:val="22"/>
                <w:szCs w:val="22"/>
                <w:lang w:eastAsia="en-IN"/>
              </w:rPr>
              <w:t>1491</w:t>
            </w:r>
          </w:p>
        </w:tc>
      </w:tr>
      <w:tr w:rsidR="0025136B" w:rsidRPr="00B76E37" w14:paraId="0A3CE3C5" w14:textId="77777777" w:rsidTr="00894F4D">
        <w:trPr>
          <w:trHeight w:val="371"/>
        </w:trPr>
        <w:tc>
          <w:tcPr>
            <w:tcW w:w="976" w:type="dxa"/>
            <w:tcBorders>
              <w:top w:val="single" w:sz="4" w:space="0" w:color="auto"/>
              <w:left w:val="single" w:sz="4" w:space="0" w:color="auto"/>
              <w:bottom w:val="single" w:sz="4" w:space="0" w:color="auto"/>
              <w:right w:val="single" w:sz="4" w:space="0" w:color="auto"/>
            </w:tcBorders>
            <w:shd w:val="clear" w:color="auto" w:fill="4F81BD" w:themeFill="accent1"/>
            <w:vAlign w:val="center"/>
            <w:hideMark/>
          </w:tcPr>
          <w:p w14:paraId="41CF1F75" w14:textId="77777777" w:rsidR="0025136B" w:rsidRPr="00B76E37" w:rsidRDefault="0025136B" w:rsidP="0025136B">
            <w:pPr>
              <w:jc w:val="center"/>
              <w:rPr>
                <w:rFonts w:ascii="Calibri" w:hAnsi="Calibri" w:cs="Calibri"/>
                <w:b/>
                <w:bCs/>
                <w:color w:val="000000"/>
                <w:sz w:val="22"/>
                <w:szCs w:val="22"/>
                <w:lang w:val="en-IN" w:eastAsia="en-IN"/>
              </w:rPr>
            </w:pPr>
            <w:r w:rsidRPr="00B76E37">
              <w:rPr>
                <w:rFonts w:ascii="Calibri" w:hAnsi="Calibri" w:cs="Calibri"/>
                <w:b/>
                <w:bCs/>
                <w:color w:val="000000"/>
                <w:sz w:val="22"/>
                <w:szCs w:val="22"/>
                <w:lang w:eastAsia="en-IN"/>
              </w:rPr>
              <w:t>10</w:t>
            </w:r>
          </w:p>
        </w:tc>
        <w:tc>
          <w:tcPr>
            <w:tcW w:w="4371" w:type="dxa"/>
            <w:tcBorders>
              <w:top w:val="single" w:sz="4" w:space="0" w:color="auto"/>
              <w:left w:val="single" w:sz="4" w:space="0" w:color="auto"/>
              <w:bottom w:val="single" w:sz="4" w:space="0" w:color="auto"/>
              <w:right w:val="single" w:sz="4" w:space="0" w:color="auto"/>
            </w:tcBorders>
            <w:shd w:val="clear" w:color="auto" w:fill="4F81BD" w:themeFill="accent1"/>
            <w:vAlign w:val="center"/>
            <w:hideMark/>
          </w:tcPr>
          <w:p w14:paraId="41F6A62B" w14:textId="77777777" w:rsidR="0025136B" w:rsidRPr="00B76E37" w:rsidRDefault="0025136B" w:rsidP="0025136B">
            <w:pPr>
              <w:jc w:val="both"/>
              <w:rPr>
                <w:rFonts w:ascii="Calibri" w:hAnsi="Calibri" w:cs="Calibri"/>
                <w:b/>
                <w:bCs/>
                <w:color w:val="000000"/>
                <w:sz w:val="22"/>
                <w:szCs w:val="22"/>
                <w:lang w:val="en-IN" w:eastAsia="en-IN"/>
              </w:rPr>
            </w:pPr>
            <w:r w:rsidRPr="00B76E37">
              <w:rPr>
                <w:rFonts w:ascii="Calibri" w:hAnsi="Calibri" w:cs="Calibri"/>
                <w:b/>
                <w:bCs/>
                <w:color w:val="000000"/>
                <w:sz w:val="22"/>
                <w:szCs w:val="22"/>
                <w:lang w:eastAsia="en-IN"/>
              </w:rPr>
              <w:t>Grand Total</w:t>
            </w:r>
          </w:p>
        </w:tc>
        <w:tc>
          <w:tcPr>
            <w:tcW w:w="2923" w:type="dxa"/>
            <w:tcBorders>
              <w:top w:val="single" w:sz="4" w:space="0" w:color="auto"/>
              <w:left w:val="single" w:sz="4" w:space="0" w:color="auto"/>
              <w:bottom w:val="single" w:sz="4" w:space="0" w:color="auto"/>
              <w:right w:val="single" w:sz="4" w:space="0" w:color="auto"/>
            </w:tcBorders>
            <w:shd w:val="clear" w:color="auto" w:fill="4F81BD" w:themeFill="accent1"/>
            <w:vAlign w:val="center"/>
            <w:hideMark/>
          </w:tcPr>
          <w:p w14:paraId="2E519138" w14:textId="77777777" w:rsidR="0025136B" w:rsidRPr="00B76E37" w:rsidRDefault="0025136B" w:rsidP="0025136B">
            <w:pPr>
              <w:jc w:val="center"/>
              <w:rPr>
                <w:rFonts w:ascii="Calibri" w:hAnsi="Calibri" w:cs="Calibri"/>
                <w:b/>
                <w:bCs/>
                <w:color w:val="000000"/>
                <w:sz w:val="22"/>
                <w:szCs w:val="22"/>
                <w:lang w:val="en-IN" w:eastAsia="en-IN"/>
              </w:rPr>
            </w:pPr>
            <w:r w:rsidRPr="00B76E37">
              <w:rPr>
                <w:rFonts w:ascii="Calibri" w:hAnsi="Calibri" w:cs="Calibri"/>
                <w:b/>
                <w:bCs/>
                <w:color w:val="000000"/>
                <w:sz w:val="22"/>
                <w:szCs w:val="22"/>
                <w:lang w:eastAsia="en-IN"/>
              </w:rPr>
              <w:t>61615</w:t>
            </w:r>
          </w:p>
        </w:tc>
      </w:tr>
    </w:tbl>
    <w:p w14:paraId="4748E1A2" w14:textId="5C04D300" w:rsidR="00F616FB" w:rsidRDefault="00F616FB" w:rsidP="0025136B">
      <w:pPr>
        <w:spacing w:line="360" w:lineRule="auto"/>
        <w:jc w:val="center"/>
        <w:rPr>
          <w:rFonts w:asciiTheme="minorHAnsi" w:hAnsiTheme="minorHAnsi" w:cstheme="minorHAnsi"/>
          <w:b/>
          <w:sz w:val="22"/>
          <w:szCs w:val="22"/>
        </w:rPr>
      </w:pPr>
      <w:r>
        <w:rPr>
          <w:rFonts w:asciiTheme="minorHAnsi" w:hAnsiTheme="minorHAnsi" w:cstheme="minorHAnsi"/>
          <w:b/>
          <w:sz w:val="22"/>
          <w:szCs w:val="22"/>
        </w:rPr>
        <w:t>Table-</w:t>
      </w:r>
      <w:r w:rsidR="00894F4D">
        <w:rPr>
          <w:rFonts w:asciiTheme="minorHAnsi" w:hAnsiTheme="minorHAnsi" w:cstheme="minorHAnsi"/>
          <w:b/>
          <w:sz w:val="22"/>
          <w:szCs w:val="22"/>
        </w:rPr>
        <w:t>58</w:t>
      </w:r>
      <w:r w:rsidRPr="00BD5055">
        <w:rPr>
          <w:rFonts w:asciiTheme="minorHAnsi" w:hAnsiTheme="minorHAnsi" w:cstheme="minorHAnsi"/>
          <w:b/>
          <w:sz w:val="22"/>
          <w:szCs w:val="22"/>
        </w:rPr>
        <w:t>: Details of Safety Training Conducted in FY 2023-24</w:t>
      </w:r>
    </w:p>
    <w:p w14:paraId="5204CFFA" w14:textId="77777777" w:rsidR="00F616FB" w:rsidRDefault="00F616FB" w:rsidP="00F616FB">
      <w:pPr>
        <w:spacing w:line="360" w:lineRule="auto"/>
        <w:jc w:val="center"/>
        <w:rPr>
          <w:rFonts w:asciiTheme="minorHAnsi" w:hAnsiTheme="minorHAnsi" w:cstheme="minorHAnsi"/>
          <w:b/>
          <w:sz w:val="22"/>
          <w:szCs w:val="22"/>
        </w:rPr>
      </w:pPr>
    </w:p>
    <w:p w14:paraId="1DAB98A4" w14:textId="77777777" w:rsidR="00F616FB" w:rsidRPr="00BD5055" w:rsidRDefault="00F616FB" w:rsidP="00F616FB">
      <w:pPr>
        <w:spacing w:line="360" w:lineRule="auto"/>
        <w:jc w:val="center"/>
        <w:rPr>
          <w:rFonts w:asciiTheme="minorHAnsi" w:hAnsiTheme="minorHAnsi" w:cstheme="minorHAnsi"/>
          <w:b/>
          <w:sz w:val="22"/>
          <w:szCs w:val="22"/>
        </w:rPr>
      </w:pPr>
    </w:p>
    <w:p w14:paraId="5B0B97DB" w14:textId="77777777" w:rsidR="00F616FB" w:rsidRDefault="00F616FB" w:rsidP="00F616FB">
      <w:pPr>
        <w:spacing w:line="360" w:lineRule="auto"/>
        <w:jc w:val="center"/>
        <w:rPr>
          <w:rFonts w:asciiTheme="minorHAnsi" w:hAnsiTheme="minorHAnsi" w:cstheme="minorHAnsi"/>
          <w:b/>
          <w:sz w:val="22"/>
          <w:szCs w:val="22"/>
        </w:rPr>
      </w:pPr>
    </w:p>
    <w:p w14:paraId="66CD82F3" w14:textId="77777777" w:rsidR="00F616FB" w:rsidRDefault="00F616FB" w:rsidP="00F616FB">
      <w:pPr>
        <w:spacing w:line="360" w:lineRule="auto"/>
        <w:jc w:val="center"/>
        <w:rPr>
          <w:rFonts w:asciiTheme="minorHAnsi" w:hAnsiTheme="minorHAnsi" w:cstheme="minorHAnsi"/>
          <w:b/>
          <w:sz w:val="22"/>
          <w:szCs w:val="22"/>
        </w:rPr>
      </w:pPr>
    </w:p>
    <w:p w14:paraId="75258EAC" w14:textId="77777777" w:rsidR="00F616FB" w:rsidRDefault="00F616FB" w:rsidP="00F616FB">
      <w:pPr>
        <w:spacing w:line="360" w:lineRule="auto"/>
        <w:rPr>
          <w:rFonts w:asciiTheme="minorHAnsi" w:hAnsiTheme="minorHAnsi" w:cstheme="minorHAnsi"/>
          <w:b/>
          <w:sz w:val="22"/>
          <w:szCs w:val="22"/>
        </w:rPr>
      </w:pPr>
    </w:p>
    <w:p w14:paraId="7B9F4245" w14:textId="77777777" w:rsidR="006B144F" w:rsidRDefault="006B144F" w:rsidP="00F616FB">
      <w:pPr>
        <w:spacing w:line="360" w:lineRule="auto"/>
        <w:jc w:val="center"/>
        <w:rPr>
          <w:rFonts w:asciiTheme="minorHAnsi" w:hAnsiTheme="minorHAnsi" w:cstheme="minorHAnsi"/>
          <w:b/>
          <w:sz w:val="22"/>
          <w:szCs w:val="22"/>
        </w:rPr>
      </w:pPr>
    </w:p>
    <w:p w14:paraId="4B51D509" w14:textId="77777777" w:rsidR="006B144F" w:rsidRDefault="006B144F" w:rsidP="00F616FB">
      <w:pPr>
        <w:spacing w:line="360" w:lineRule="auto"/>
        <w:jc w:val="center"/>
        <w:rPr>
          <w:rFonts w:asciiTheme="minorHAnsi" w:hAnsiTheme="minorHAnsi" w:cstheme="minorHAnsi"/>
          <w:b/>
          <w:sz w:val="22"/>
          <w:szCs w:val="22"/>
        </w:rPr>
      </w:pPr>
    </w:p>
    <w:p w14:paraId="0652050F" w14:textId="77777777" w:rsidR="006B144F" w:rsidRDefault="006B144F" w:rsidP="00F616FB">
      <w:pPr>
        <w:spacing w:line="360" w:lineRule="auto"/>
        <w:jc w:val="center"/>
        <w:rPr>
          <w:rFonts w:asciiTheme="minorHAnsi" w:hAnsiTheme="minorHAnsi" w:cstheme="minorHAnsi"/>
          <w:b/>
          <w:sz w:val="22"/>
          <w:szCs w:val="22"/>
        </w:rPr>
      </w:pPr>
    </w:p>
    <w:p w14:paraId="672846B0" w14:textId="77777777" w:rsidR="006B144F" w:rsidRDefault="006B144F" w:rsidP="00F616FB">
      <w:pPr>
        <w:spacing w:line="360" w:lineRule="auto"/>
        <w:jc w:val="center"/>
        <w:rPr>
          <w:rFonts w:asciiTheme="minorHAnsi" w:hAnsiTheme="minorHAnsi" w:cstheme="minorHAnsi"/>
          <w:b/>
          <w:sz w:val="22"/>
          <w:szCs w:val="22"/>
        </w:rPr>
      </w:pPr>
    </w:p>
    <w:p w14:paraId="4493F0C2" w14:textId="77777777" w:rsidR="006B144F" w:rsidRDefault="006B144F" w:rsidP="00F616FB">
      <w:pPr>
        <w:spacing w:line="360" w:lineRule="auto"/>
        <w:jc w:val="center"/>
        <w:rPr>
          <w:rFonts w:asciiTheme="minorHAnsi" w:hAnsiTheme="minorHAnsi" w:cstheme="minorHAnsi"/>
          <w:b/>
          <w:sz w:val="22"/>
          <w:szCs w:val="22"/>
        </w:rPr>
      </w:pPr>
    </w:p>
    <w:p w14:paraId="3B4D9CFF" w14:textId="77777777" w:rsidR="006B144F" w:rsidRDefault="006B144F" w:rsidP="00F616FB">
      <w:pPr>
        <w:spacing w:line="360" w:lineRule="auto"/>
        <w:jc w:val="center"/>
        <w:rPr>
          <w:rFonts w:asciiTheme="minorHAnsi" w:hAnsiTheme="minorHAnsi" w:cstheme="minorHAnsi"/>
          <w:b/>
          <w:sz w:val="22"/>
          <w:szCs w:val="22"/>
        </w:rPr>
      </w:pPr>
    </w:p>
    <w:p w14:paraId="4F80D901" w14:textId="5FCD66AD" w:rsidR="006B144F" w:rsidRDefault="006B144F" w:rsidP="00F616FB">
      <w:pPr>
        <w:spacing w:line="360" w:lineRule="auto"/>
        <w:jc w:val="center"/>
        <w:rPr>
          <w:rFonts w:asciiTheme="minorHAnsi" w:hAnsiTheme="minorHAnsi" w:cstheme="minorHAnsi"/>
          <w:b/>
          <w:sz w:val="22"/>
          <w:szCs w:val="22"/>
        </w:rPr>
      </w:pPr>
    </w:p>
    <w:p w14:paraId="65E8F115" w14:textId="3475A499" w:rsidR="0025136B" w:rsidRDefault="0025136B" w:rsidP="00F616FB">
      <w:pPr>
        <w:spacing w:line="360" w:lineRule="auto"/>
        <w:jc w:val="center"/>
        <w:rPr>
          <w:rFonts w:asciiTheme="minorHAnsi" w:hAnsiTheme="minorHAnsi" w:cstheme="minorHAnsi"/>
          <w:b/>
          <w:sz w:val="22"/>
          <w:szCs w:val="22"/>
        </w:rPr>
      </w:pPr>
    </w:p>
    <w:p w14:paraId="20383FA0" w14:textId="28ED9FE3" w:rsidR="0025136B" w:rsidRDefault="0025136B" w:rsidP="00F616FB">
      <w:pPr>
        <w:spacing w:line="360" w:lineRule="auto"/>
        <w:jc w:val="center"/>
        <w:rPr>
          <w:rFonts w:asciiTheme="minorHAnsi" w:hAnsiTheme="minorHAnsi" w:cstheme="minorHAnsi"/>
          <w:b/>
          <w:sz w:val="22"/>
          <w:szCs w:val="22"/>
        </w:rPr>
      </w:pPr>
    </w:p>
    <w:p w14:paraId="3F1B9B3C" w14:textId="211F297C" w:rsidR="0025136B" w:rsidRDefault="0025136B" w:rsidP="00F616FB">
      <w:pPr>
        <w:spacing w:line="360" w:lineRule="auto"/>
        <w:jc w:val="center"/>
        <w:rPr>
          <w:rFonts w:asciiTheme="minorHAnsi" w:hAnsiTheme="minorHAnsi" w:cstheme="minorHAnsi"/>
          <w:b/>
          <w:sz w:val="22"/>
          <w:szCs w:val="22"/>
        </w:rPr>
      </w:pPr>
    </w:p>
    <w:p w14:paraId="438747F9" w14:textId="37E0F1B3" w:rsidR="0025136B" w:rsidRDefault="0025136B" w:rsidP="00F616FB">
      <w:pPr>
        <w:spacing w:line="360" w:lineRule="auto"/>
        <w:jc w:val="center"/>
        <w:rPr>
          <w:rFonts w:asciiTheme="minorHAnsi" w:hAnsiTheme="minorHAnsi" w:cstheme="minorHAnsi"/>
          <w:b/>
          <w:sz w:val="22"/>
          <w:szCs w:val="22"/>
        </w:rPr>
      </w:pPr>
    </w:p>
    <w:p w14:paraId="4BA53C7D" w14:textId="77777777" w:rsidR="0025136B" w:rsidRDefault="0025136B" w:rsidP="00F616FB">
      <w:pPr>
        <w:spacing w:line="360" w:lineRule="auto"/>
        <w:jc w:val="center"/>
        <w:rPr>
          <w:rFonts w:asciiTheme="minorHAnsi" w:hAnsiTheme="minorHAnsi" w:cstheme="minorHAnsi"/>
          <w:b/>
          <w:sz w:val="22"/>
          <w:szCs w:val="22"/>
        </w:rPr>
      </w:pPr>
    </w:p>
    <w:p w14:paraId="4EE82C2D" w14:textId="77777777" w:rsidR="006B144F" w:rsidRDefault="006B144F" w:rsidP="00F616FB">
      <w:pPr>
        <w:spacing w:line="360" w:lineRule="auto"/>
        <w:jc w:val="center"/>
        <w:rPr>
          <w:rFonts w:asciiTheme="minorHAnsi" w:hAnsiTheme="minorHAnsi" w:cstheme="minorHAnsi"/>
          <w:b/>
          <w:sz w:val="22"/>
          <w:szCs w:val="22"/>
        </w:rPr>
      </w:pPr>
    </w:p>
    <w:p w14:paraId="3CDF59FD" w14:textId="6B2005A9" w:rsidR="00F616FB" w:rsidRPr="00FF3F48" w:rsidRDefault="00F616FB" w:rsidP="00F616FB">
      <w:pPr>
        <w:spacing w:line="360" w:lineRule="auto"/>
        <w:jc w:val="center"/>
        <w:rPr>
          <w:rFonts w:asciiTheme="minorHAnsi" w:hAnsiTheme="minorHAnsi" w:cstheme="minorHAnsi"/>
          <w:b/>
          <w:sz w:val="22"/>
          <w:szCs w:val="22"/>
        </w:rPr>
      </w:pPr>
      <w:r>
        <w:rPr>
          <w:rFonts w:asciiTheme="minorHAnsi" w:hAnsiTheme="minorHAnsi" w:cstheme="minorHAnsi"/>
          <w:b/>
          <w:sz w:val="22"/>
          <w:szCs w:val="22"/>
        </w:rPr>
        <w:t>Table-</w:t>
      </w:r>
      <w:r w:rsidR="00894F4D">
        <w:rPr>
          <w:rFonts w:asciiTheme="minorHAnsi" w:hAnsiTheme="minorHAnsi" w:cstheme="minorHAnsi"/>
          <w:b/>
          <w:sz w:val="22"/>
          <w:szCs w:val="22"/>
        </w:rPr>
        <w:t>59</w:t>
      </w:r>
      <w:r w:rsidRPr="00BD5055">
        <w:rPr>
          <w:rFonts w:asciiTheme="minorHAnsi" w:hAnsiTheme="minorHAnsi" w:cstheme="minorHAnsi"/>
          <w:b/>
          <w:sz w:val="22"/>
          <w:szCs w:val="22"/>
        </w:rPr>
        <w:t xml:space="preserve">: </w:t>
      </w:r>
      <w:r>
        <w:rPr>
          <w:rFonts w:asciiTheme="minorHAnsi" w:hAnsiTheme="minorHAnsi" w:cstheme="minorHAnsi"/>
          <w:b/>
          <w:sz w:val="22"/>
          <w:szCs w:val="22"/>
        </w:rPr>
        <w:t>D</w:t>
      </w:r>
      <w:r w:rsidRPr="00BD5055">
        <w:rPr>
          <w:rFonts w:asciiTheme="minorHAnsi" w:hAnsiTheme="minorHAnsi" w:cstheme="minorHAnsi"/>
          <w:b/>
          <w:sz w:val="22"/>
          <w:szCs w:val="22"/>
        </w:rPr>
        <w:t>etails of Safety Training Conducted in FY 202</w:t>
      </w:r>
      <w:r>
        <w:rPr>
          <w:rFonts w:asciiTheme="minorHAnsi" w:hAnsiTheme="minorHAnsi" w:cstheme="minorHAnsi"/>
          <w:b/>
          <w:sz w:val="22"/>
          <w:szCs w:val="22"/>
        </w:rPr>
        <w:t>4</w:t>
      </w:r>
      <w:r w:rsidRPr="00BD5055">
        <w:rPr>
          <w:rFonts w:asciiTheme="minorHAnsi" w:hAnsiTheme="minorHAnsi" w:cstheme="minorHAnsi"/>
          <w:b/>
          <w:sz w:val="22"/>
          <w:szCs w:val="22"/>
        </w:rPr>
        <w:t>-2</w:t>
      </w:r>
      <w:r>
        <w:rPr>
          <w:rFonts w:asciiTheme="minorHAnsi" w:hAnsiTheme="minorHAnsi" w:cstheme="minorHAnsi"/>
          <w:b/>
          <w:sz w:val="22"/>
          <w:szCs w:val="22"/>
        </w:rPr>
        <w:t>5</w:t>
      </w:r>
      <w:r w:rsidRPr="00BD5055">
        <w:rPr>
          <w:rFonts w:asciiTheme="minorHAnsi" w:hAnsiTheme="minorHAnsi" w:cstheme="minorHAnsi"/>
          <w:b/>
          <w:sz w:val="22"/>
          <w:szCs w:val="22"/>
        </w:rPr>
        <w:t xml:space="preserve"> </w:t>
      </w:r>
      <w:r>
        <w:rPr>
          <w:rFonts w:asciiTheme="minorHAnsi" w:hAnsiTheme="minorHAnsi" w:cstheme="minorHAnsi"/>
          <w:b/>
          <w:sz w:val="22"/>
          <w:szCs w:val="22"/>
        </w:rPr>
        <w:t>Till Aug’24</w:t>
      </w:r>
    </w:p>
    <w:tbl>
      <w:tblPr>
        <w:tblW w:w="8320" w:type="dxa"/>
        <w:tblInd w:w="846" w:type="dxa"/>
        <w:tblLook w:val="04A0" w:firstRow="1" w:lastRow="0" w:firstColumn="1" w:lastColumn="0" w:noHBand="0" w:noVBand="1"/>
      </w:tblPr>
      <w:tblGrid>
        <w:gridCol w:w="1306"/>
        <w:gridCol w:w="3751"/>
        <w:gridCol w:w="3263"/>
      </w:tblGrid>
      <w:tr w:rsidR="00F616FB" w:rsidRPr="00B76E37" w14:paraId="33A7D14E" w14:textId="77777777" w:rsidTr="006B144F">
        <w:trPr>
          <w:trHeight w:val="315"/>
        </w:trPr>
        <w:tc>
          <w:tcPr>
            <w:tcW w:w="1306" w:type="dxa"/>
            <w:tcBorders>
              <w:top w:val="single" w:sz="4" w:space="0" w:color="auto"/>
              <w:left w:val="single" w:sz="4" w:space="0" w:color="auto"/>
              <w:bottom w:val="single" w:sz="4" w:space="0" w:color="auto"/>
              <w:right w:val="single" w:sz="4" w:space="0" w:color="auto"/>
            </w:tcBorders>
            <w:shd w:val="clear" w:color="auto" w:fill="4F81BD" w:themeFill="accent1"/>
            <w:vAlign w:val="center"/>
            <w:hideMark/>
          </w:tcPr>
          <w:p w14:paraId="5F8C2257" w14:textId="77777777" w:rsidR="00F616FB" w:rsidRPr="00B76E37" w:rsidRDefault="00F616FB" w:rsidP="00F616FB">
            <w:pPr>
              <w:jc w:val="center"/>
              <w:rPr>
                <w:rFonts w:ascii="Calibri" w:hAnsi="Calibri" w:cs="Calibri"/>
                <w:b/>
                <w:bCs/>
                <w:sz w:val="22"/>
                <w:szCs w:val="22"/>
                <w:lang w:val="en-IN" w:eastAsia="en-IN"/>
              </w:rPr>
            </w:pPr>
            <w:r w:rsidRPr="00B76E37">
              <w:rPr>
                <w:rFonts w:ascii="Calibri" w:hAnsi="Calibri" w:cs="Calibri"/>
                <w:b/>
                <w:bCs/>
                <w:sz w:val="22"/>
                <w:szCs w:val="22"/>
                <w:lang w:eastAsia="en-IN"/>
              </w:rPr>
              <w:t>Sr. No.</w:t>
            </w:r>
          </w:p>
        </w:tc>
        <w:tc>
          <w:tcPr>
            <w:tcW w:w="3751" w:type="dxa"/>
            <w:tcBorders>
              <w:top w:val="single" w:sz="4" w:space="0" w:color="auto"/>
              <w:left w:val="single" w:sz="4" w:space="0" w:color="auto"/>
              <w:bottom w:val="single" w:sz="4" w:space="0" w:color="auto"/>
              <w:right w:val="single" w:sz="4" w:space="0" w:color="auto"/>
            </w:tcBorders>
            <w:shd w:val="clear" w:color="auto" w:fill="4F81BD" w:themeFill="accent1"/>
            <w:vAlign w:val="center"/>
            <w:hideMark/>
          </w:tcPr>
          <w:p w14:paraId="1E0E3EDF" w14:textId="77777777" w:rsidR="00F616FB" w:rsidRPr="00B76E37" w:rsidRDefault="00F616FB" w:rsidP="00F616FB">
            <w:pPr>
              <w:jc w:val="center"/>
              <w:rPr>
                <w:rFonts w:ascii="Calibri" w:hAnsi="Calibri" w:cs="Calibri"/>
                <w:b/>
                <w:bCs/>
                <w:sz w:val="22"/>
                <w:szCs w:val="22"/>
                <w:lang w:val="en-IN" w:eastAsia="en-IN"/>
              </w:rPr>
            </w:pPr>
            <w:r w:rsidRPr="00B76E37">
              <w:rPr>
                <w:rFonts w:ascii="Calibri" w:hAnsi="Calibri" w:cs="Calibri"/>
                <w:b/>
                <w:bCs/>
                <w:sz w:val="22"/>
                <w:szCs w:val="22"/>
                <w:lang w:eastAsia="en-IN"/>
              </w:rPr>
              <w:t>Training Details</w:t>
            </w:r>
          </w:p>
        </w:tc>
        <w:tc>
          <w:tcPr>
            <w:tcW w:w="3263" w:type="dxa"/>
            <w:tcBorders>
              <w:top w:val="single" w:sz="4" w:space="0" w:color="auto"/>
              <w:left w:val="single" w:sz="4" w:space="0" w:color="auto"/>
              <w:bottom w:val="single" w:sz="4" w:space="0" w:color="auto"/>
              <w:right w:val="single" w:sz="4" w:space="0" w:color="auto"/>
            </w:tcBorders>
            <w:shd w:val="clear" w:color="auto" w:fill="4F81BD" w:themeFill="accent1"/>
            <w:vAlign w:val="center"/>
            <w:hideMark/>
          </w:tcPr>
          <w:p w14:paraId="238EADA1" w14:textId="77777777" w:rsidR="00F616FB" w:rsidRPr="00B76E37" w:rsidRDefault="00F616FB" w:rsidP="00F616FB">
            <w:pPr>
              <w:jc w:val="center"/>
              <w:rPr>
                <w:rFonts w:ascii="Calibri" w:hAnsi="Calibri" w:cs="Calibri"/>
                <w:b/>
                <w:bCs/>
                <w:sz w:val="22"/>
                <w:szCs w:val="22"/>
                <w:lang w:val="en-IN" w:eastAsia="en-IN"/>
              </w:rPr>
            </w:pPr>
            <w:r w:rsidRPr="00B76E37">
              <w:rPr>
                <w:rFonts w:ascii="Calibri" w:hAnsi="Calibri" w:cs="Calibri"/>
                <w:b/>
                <w:bCs/>
                <w:sz w:val="22"/>
                <w:szCs w:val="22"/>
                <w:lang w:eastAsia="en-IN"/>
              </w:rPr>
              <w:t>No. of BA Employees Covered</w:t>
            </w:r>
          </w:p>
        </w:tc>
      </w:tr>
      <w:tr w:rsidR="00F616FB" w:rsidRPr="00B76E37" w14:paraId="13E7EB64" w14:textId="77777777" w:rsidTr="006B144F">
        <w:trPr>
          <w:trHeight w:val="315"/>
        </w:trPr>
        <w:tc>
          <w:tcPr>
            <w:tcW w:w="1306"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481572AE" w14:textId="77777777" w:rsidR="00F616FB" w:rsidRPr="00B76E37" w:rsidRDefault="00F616FB" w:rsidP="00F616FB">
            <w:pPr>
              <w:jc w:val="center"/>
              <w:rPr>
                <w:rFonts w:ascii="Calibri" w:hAnsi="Calibri" w:cs="Calibri"/>
                <w:color w:val="000000"/>
                <w:sz w:val="22"/>
                <w:szCs w:val="22"/>
                <w:lang w:val="en-IN" w:eastAsia="en-IN"/>
              </w:rPr>
            </w:pPr>
            <w:r w:rsidRPr="00B76E37">
              <w:rPr>
                <w:rFonts w:ascii="Calibri" w:hAnsi="Calibri" w:cs="Calibri"/>
                <w:color w:val="000000"/>
                <w:sz w:val="22"/>
                <w:szCs w:val="22"/>
                <w:lang w:eastAsia="en-IN"/>
              </w:rPr>
              <w:t>1</w:t>
            </w:r>
          </w:p>
        </w:tc>
        <w:tc>
          <w:tcPr>
            <w:tcW w:w="3751"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79DD52C7" w14:textId="77777777" w:rsidR="00F616FB" w:rsidRPr="00B76E37" w:rsidRDefault="00F616FB" w:rsidP="00F616FB">
            <w:pPr>
              <w:rPr>
                <w:rFonts w:ascii="Calibri" w:hAnsi="Calibri" w:cs="Calibri"/>
                <w:color w:val="000000"/>
                <w:sz w:val="22"/>
                <w:szCs w:val="22"/>
                <w:lang w:val="en-IN" w:eastAsia="en-IN"/>
              </w:rPr>
            </w:pPr>
            <w:r w:rsidRPr="00B76E37">
              <w:rPr>
                <w:rFonts w:ascii="Calibri" w:hAnsi="Calibri" w:cs="Calibri"/>
                <w:color w:val="000000"/>
                <w:sz w:val="22"/>
                <w:szCs w:val="22"/>
                <w:lang w:eastAsia="en-IN"/>
              </w:rPr>
              <w:t>Fire safety training</w:t>
            </w:r>
          </w:p>
        </w:tc>
        <w:tc>
          <w:tcPr>
            <w:tcW w:w="3263"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3ABD86C4" w14:textId="77777777" w:rsidR="00F616FB" w:rsidRPr="00B76E37" w:rsidRDefault="00F616FB" w:rsidP="00F616FB">
            <w:pPr>
              <w:jc w:val="center"/>
              <w:rPr>
                <w:rFonts w:ascii="Calibri" w:hAnsi="Calibri" w:cs="Calibri"/>
                <w:color w:val="000000"/>
                <w:sz w:val="22"/>
                <w:szCs w:val="22"/>
                <w:lang w:val="en-IN" w:eastAsia="en-IN"/>
              </w:rPr>
            </w:pPr>
            <w:r w:rsidRPr="00B76E37">
              <w:rPr>
                <w:rFonts w:ascii="Calibri" w:hAnsi="Calibri" w:cs="Calibri"/>
                <w:color w:val="000000"/>
                <w:sz w:val="22"/>
                <w:szCs w:val="22"/>
                <w:lang w:eastAsia="en-IN"/>
              </w:rPr>
              <w:t>612</w:t>
            </w:r>
          </w:p>
        </w:tc>
      </w:tr>
      <w:tr w:rsidR="00F616FB" w:rsidRPr="00B76E37" w14:paraId="1DEE2715" w14:textId="77777777" w:rsidTr="006B144F">
        <w:trPr>
          <w:trHeight w:val="315"/>
        </w:trPr>
        <w:tc>
          <w:tcPr>
            <w:tcW w:w="1306"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433E1B2B" w14:textId="77777777" w:rsidR="00F616FB" w:rsidRPr="00B76E37" w:rsidRDefault="00F616FB" w:rsidP="00F616FB">
            <w:pPr>
              <w:jc w:val="center"/>
              <w:rPr>
                <w:rFonts w:ascii="Calibri" w:hAnsi="Calibri" w:cs="Calibri"/>
                <w:color w:val="000000"/>
                <w:sz w:val="22"/>
                <w:szCs w:val="22"/>
                <w:lang w:val="en-IN" w:eastAsia="en-IN"/>
              </w:rPr>
            </w:pPr>
            <w:r w:rsidRPr="00B76E37">
              <w:rPr>
                <w:rFonts w:ascii="Calibri" w:hAnsi="Calibri" w:cs="Calibri"/>
                <w:color w:val="000000"/>
                <w:sz w:val="22"/>
                <w:szCs w:val="22"/>
                <w:lang w:eastAsia="en-IN"/>
              </w:rPr>
              <w:t>2</w:t>
            </w:r>
          </w:p>
        </w:tc>
        <w:tc>
          <w:tcPr>
            <w:tcW w:w="3751"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40A5112B" w14:textId="77777777" w:rsidR="00F616FB" w:rsidRPr="00B76E37" w:rsidRDefault="00F616FB" w:rsidP="00F616FB">
            <w:pPr>
              <w:rPr>
                <w:rFonts w:ascii="Calibri" w:hAnsi="Calibri" w:cs="Calibri"/>
                <w:color w:val="000000"/>
                <w:sz w:val="22"/>
                <w:szCs w:val="22"/>
                <w:lang w:val="en-IN" w:eastAsia="en-IN"/>
              </w:rPr>
            </w:pPr>
            <w:r w:rsidRPr="00B76E37">
              <w:rPr>
                <w:rFonts w:ascii="Calibri" w:hAnsi="Calibri" w:cs="Calibri"/>
                <w:color w:val="000000"/>
                <w:sz w:val="22"/>
                <w:szCs w:val="22"/>
                <w:lang w:eastAsia="en-IN"/>
              </w:rPr>
              <w:t>Safety Awareness Session Participants</w:t>
            </w:r>
          </w:p>
        </w:tc>
        <w:tc>
          <w:tcPr>
            <w:tcW w:w="3263"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17908294" w14:textId="77777777" w:rsidR="00F616FB" w:rsidRPr="00B76E37" w:rsidRDefault="00F616FB" w:rsidP="00F616FB">
            <w:pPr>
              <w:jc w:val="center"/>
              <w:rPr>
                <w:rFonts w:ascii="Calibri" w:hAnsi="Calibri" w:cs="Calibri"/>
                <w:color w:val="000000"/>
                <w:sz w:val="22"/>
                <w:szCs w:val="22"/>
                <w:lang w:val="en-IN" w:eastAsia="en-IN"/>
              </w:rPr>
            </w:pPr>
            <w:r w:rsidRPr="00B76E37">
              <w:rPr>
                <w:rFonts w:ascii="Calibri" w:hAnsi="Calibri" w:cs="Calibri"/>
                <w:color w:val="000000"/>
                <w:sz w:val="22"/>
                <w:szCs w:val="22"/>
                <w:lang w:eastAsia="en-IN"/>
              </w:rPr>
              <w:t>9862</w:t>
            </w:r>
          </w:p>
        </w:tc>
      </w:tr>
      <w:tr w:rsidR="00F616FB" w:rsidRPr="00B76E37" w14:paraId="4AB36A9E" w14:textId="77777777" w:rsidTr="006B144F">
        <w:trPr>
          <w:trHeight w:val="315"/>
        </w:trPr>
        <w:tc>
          <w:tcPr>
            <w:tcW w:w="1306"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545E16C3" w14:textId="77777777" w:rsidR="00F616FB" w:rsidRPr="00B76E37" w:rsidRDefault="00F616FB" w:rsidP="00F616FB">
            <w:pPr>
              <w:jc w:val="center"/>
              <w:rPr>
                <w:rFonts w:ascii="Calibri" w:hAnsi="Calibri" w:cs="Calibri"/>
                <w:color w:val="000000"/>
                <w:sz w:val="22"/>
                <w:szCs w:val="22"/>
                <w:lang w:val="en-IN" w:eastAsia="en-IN"/>
              </w:rPr>
            </w:pPr>
            <w:r w:rsidRPr="00B76E37">
              <w:rPr>
                <w:rFonts w:ascii="Calibri" w:hAnsi="Calibri" w:cs="Calibri"/>
                <w:color w:val="000000"/>
                <w:sz w:val="22"/>
                <w:szCs w:val="22"/>
                <w:lang w:eastAsia="en-IN"/>
              </w:rPr>
              <w:t>3</w:t>
            </w:r>
          </w:p>
        </w:tc>
        <w:tc>
          <w:tcPr>
            <w:tcW w:w="3751"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389C1147" w14:textId="77777777" w:rsidR="00F616FB" w:rsidRPr="00B76E37" w:rsidRDefault="00F616FB" w:rsidP="00F616FB">
            <w:pPr>
              <w:rPr>
                <w:rFonts w:ascii="Calibri" w:hAnsi="Calibri" w:cs="Calibri"/>
                <w:color w:val="000000"/>
                <w:sz w:val="22"/>
                <w:szCs w:val="22"/>
                <w:lang w:val="en-IN" w:eastAsia="en-IN"/>
              </w:rPr>
            </w:pPr>
            <w:r w:rsidRPr="00B76E37">
              <w:rPr>
                <w:rFonts w:ascii="Calibri" w:hAnsi="Calibri" w:cs="Calibri"/>
                <w:color w:val="000000"/>
                <w:sz w:val="22"/>
                <w:szCs w:val="22"/>
                <w:lang w:eastAsia="en-IN"/>
              </w:rPr>
              <w:t>Safety Induction Training L1 training</w:t>
            </w:r>
          </w:p>
        </w:tc>
        <w:tc>
          <w:tcPr>
            <w:tcW w:w="3263"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564FB3D9" w14:textId="77777777" w:rsidR="00F616FB" w:rsidRPr="00B76E37" w:rsidRDefault="00F616FB" w:rsidP="00F616FB">
            <w:pPr>
              <w:jc w:val="center"/>
              <w:rPr>
                <w:rFonts w:ascii="Calibri" w:hAnsi="Calibri" w:cs="Calibri"/>
                <w:color w:val="000000"/>
                <w:sz w:val="22"/>
                <w:szCs w:val="22"/>
                <w:lang w:val="en-IN" w:eastAsia="en-IN"/>
              </w:rPr>
            </w:pPr>
            <w:r w:rsidRPr="00B76E37">
              <w:rPr>
                <w:rFonts w:ascii="Calibri" w:hAnsi="Calibri" w:cs="Calibri"/>
                <w:color w:val="000000"/>
                <w:sz w:val="22"/>
                <w:szCs w:val="22"/>
                <w:lang w:eastAsia="en-IN"/>
              </w:rPr>
              <w:t>4028</w:t>
            </w:r>
          </w:p>
        </w:tc>
      </w:tr>
      <w:tr w:rsidR="00F616FB" w:rsidRPr="00B76E37" w14:paraId="2BAA0A7A" w14:textId="77777777" w:rsidTr="006B144F">
        <w:trPr>
          <w:trHeight w:val="315"/>
        </w:trPr>
        <w:tc>
          <w:tcPr>
            <w:tcW w:w="1306"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600E009E" w14:textId="77777777" w:rsidR="00F616FB" w:rsidRPr="00B76E37" w:rsidRDefault="00F616FB" w:rsidP="00F616FB">
            <w:pPr>
              <w:jc w:val="center"/>
              <w:rPr>
                <w:rFonts w:ascii="Calibri" w:hAnsi="Calibri" w:cs="Calibri"/>
                <w:color w:val="000000"/>
                <w:sz w:val="22"/>
                <w:szCs w:val="22"/>
                <w:lang w:val="en-IN" w:eastAsia="en-IN"/>
              </w:rPr>
            </w:pPr>
            <w:r w:rsidRPr="00B76E37">
              <w:rPr>
                <w:rFonts w:ascii="Calibri" w:hAnsi="Calibri" w:cs="Calibri"/>
                <w:color w:val="000000"/>
                <w:sz w:val="22"/>
                <w:szCs w:val="22"/>
                <w:lang w:eastAsia="en-IN"/>
              </w:rPr>
              <w:t>3</w:t>
            </w:r>
          </w:p>
        </w:tc>
        <w:tc>
          <w:tcPr>
            <w:tcW w:w="3751"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143AA9B5" w14:textId="77777777" w:rsidR="00F616FB" w:rsidRPr="00B76E37" w:rsidRDefault="00F616FB" w:rsidP="00F616FB">
            <w:pPr>
              <w:rPr>
                <w:rFonts w:ascii="Calibri" w:hAnsi="Calibri" w:cs="Calibri"/>
                <w:color w:val="000000"/>
                <w:sz w:val="22"/>
                <w:szCs w:val="22"/>
                <w:lang w:val="en-IN" w:eastAsia="en-IN"/>
              </w:rPr>
            </w:pPr>
            <w:r w:rsidRPr="00B76E37">
              <w:rPr>
                <w:rFonts w:ascii="Calibri" w:hAnsi="Calibri" w:cs="Calibri"/>
                <w:color w:val="000000"/>
                <w:sz w:val="22"/>
                <w:szCs w:val="22"/>
                <w:lang w:eastAsia="en-IN"/>
              </w:rPr>
              <w:t>Safety Training for line man L2 training</w:t>
            </w:r>
          </w:p>
        </w:tc>
        <w:tc>
          <w:tcPr>
            <w:tcW w:w="3263"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298D4558" w14:textId="77777777" w:rsidR="00F616FB" w:rsidRPr="00B76E37" w:rsidRDefault="00F616FB" w:rsidP="00F616FB">
            <w:pPr>
              <w:jc w:val="center"/>
              <w:rPr>
                <w:rFonts w:ascii="Calibri" w:hAnsi="Calibri" w:cs="Calibri"/>
                <w:color w:val="000000"/>
                <w:sz w:val="22"/>
                <w:szCs w:val="22"/>
                <w:lang w:val="en-IN" w:eastAsia="en-IN"/>
              </w:rPr>
            </w:pPr>
            <w:r w:rsidRPr="00B76E37">
              <w:rPr>
                <w:rFonts w:ascii="Calibri" w:hAnsi="Calibri" w:cs="Calibri"/>
                <w:color w:val="000000"/>
                <w:sz w:val="22"/>
                <w:szCs w:val="22"/>
                <w:lang w:eastAsia="en-IN"/>
              </w:rPr>
              <w:t>271</w:t>
            </w:r>
          </w:p>
        </w:tc>
      </w:tr>
      <w:tr w:rsidR="00F616FB" w:rsidRPr="00B76E37" w14:paraId="3B661441" w14:textId="77777777" w:rsidTr="006B144F">
        <w:trPr>
          <w:trHeight w:val="315"/>
        </w:trPr>
        <w:tc>
          <w:tcPr>
            <w:tcW w:w="1306"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3560A511" w14:textId="77777777" w:rsidR="00F616FB" w:rsidRPr="00B76E37" w:rsidRDefault="00F616FB" w:rsidP="00F616FB">
            <w:pPr>
              <w:jc w:val="center"/>
              <w:rPr>
                <w:rFonts w:ascii="Calibri" w:hAnsi="Calibri" w:cs="Calibri"/>
                <w:color w:val="000000"/>
                <w:sz w:val="22"/>
                <w:szCs w:val="22"/>
                <w:lang w:val="en-IN" w:eastAsia="en-IN"/>
              </w:rPr>
            </w:pPr>
            <w:r w:rsidRPr="00B76E37">
              <w:rPr>
                <w:rFonts w:ascii="Calibri" w:hAnsi="Calibri" w:cs="Calibri"/>
                <w:color w:val="000000"/>
                <w:sz w:val="22"/>
                <w:szCs w:val="22"/>
                <w:lang w:eastAsia="en-IN"/>
              </w:rPr>
              <w:t>4</w:t>
            </w:r>
          </w:p>
        </w:tc>
        <w:tc>
          <w:tcPr>
            <w:tcW w:w="3751"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57A9403C" w14:textId="77777777" w:rsidR="00F616FB" w:rsidRPr="00B76E37" w:rsidRDefault="00F616FB" w:rsidP="00F616FB">
            <w:pPr>
              <w:rPr>
                <w:rFonts w:ascii="Calibri" w:hAnsi="Calibri" w:cs="Calibri"/>
                <w:color w:val="000000"/>
                <w:sz w:val="22"/>
                <w:szCs w:val="22"/>
                <w:lang w:val="en-IN" w:eastAsia="en-IN"/>
              </w:rPr>
            </w:pPr>
            <w:r w:rsidRPr="00B76E37">
              <w:rPr>
                <w:rFonts w:ascii="Calibri" w:hAnsi="Calibri" w:cs="Calibri"/>
                <w:color w:val="000000"/>
                <w:sz w:val="22"/>
                <w:szCs w:val="22"/>
                <w:lang w:eastAsia="en-IN"/>
              </w:rPr>
              <w:t>Safety Training for supervisor L3 training</w:t>
            </w:r>
          </w:p>
        </w:tc>
        <w:tc>
          <w:tcPr>
            <w:tcW w:w="3263"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13122D71" w14:textId="77777777" w:rsidR="00F616FB" w:rsidRPr="00B76E37" w:rsidRDefault="00F616FB" w:rsidP="00F616FB">
            <w:pPr>
              <w:jc w:val="center"/>
              <w:rPr>
                <w:rFonts w:ascii="Calibri" w:hAnsi="Calibri" w:cs="Calibri"/>
                <w:color w:val="000000"/>
                <w:sz w:val="22"/>
                <w:szCs w:val="22"/>
                <w:lang w:val="en-IN" w:eastAsia="en-IN"/>
              </w:rPr>
            </w:pPr>
            <w:r w:rsidRPr="00B76E37">
              <w:rPr>
                <w:rFonts w:ascii="Calibri" w:hAnsi="Calibri" w:cs="Calibri"/>
                <w:color w:val="000000"/>
                <w:sz w:val="22"/>
                <w:szCs w:val="22"/>
                <w:lang w:eastAsia="en-IN"/>
              </w:rPr>
              <w:t>52</w:t>
            </w:r>
          </w:p>
        </w:tc>
      </w:tr>
      <w:tr w:rsidR="00F616FB" w:rsidRPr="00B76E37" w14:paraId="0E7F98AF" w14:textId="77777777" w:rsidTr="006B144F">
        <w:trPr>
          <w:trHeight w:val="315"/>
        </w:trPr>
        <w:tc>
          <w:tcPr>
            <w:tcW w:w="1306"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5623D109" w14:textId="77777777" w:rsidR="00F616FB" w:rsidRPr="00B76E37" w:rsidRDefault="00F616FB" w:rsidP="00F616FB">
            <w:pPr>
              <w:jc w:val="center"/>
              <w:rPr>
                <w:rFonts w:ascii="Calibri" w:hAnsi="Calibri" w:cs="Calibri"/>
                <w:color w:val="000000"/>
                <w:sz w:val="22"/>
                <w:szCs w:val="22"/>
                <w:lang w:val="en-IN" w:eastAsia="en-IN"/>
              </w:rPr>
            </w:pPr>
            <w:r w:rsidRPr="00B76E37">
              <w:rPr>
                <w:rFonts w:ascii="Calibri" w:hAnsi="Calibri" w:cs="Calibri"/>
                <w:color w:val="000000"/>
                <w:sz w:val="22"/>
                <w:szCs w:val="22"/>
                <w:lang w:eastAsia="en-IN"/>
              </w:rPr>
              <w:t>5</w:t>
            </w:r>
          </w:p>
        </w:tc>
        <w:tc>
          <w:tcPr>
            <w:tcW w:w="3751"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371734CA" w14:textId="77777777" w:rsidR="00F616FB" w:rsidRPr="00B76E37" w:rsidRDefault="00F616FB" w:rsidP="00F616FB">
            <w:pPr>
              <w:rPr>
                <w:rFonts w:ascii="Calibri" w:hAnsi="Calibri" w:cs="Calibri"/>
                <w:color w:val="000000"/>
                <w:sz w:val="22"/>
                <w:szCs w:val="22"/>
                <w:lang w:val="en-IN" w:eastAsia="en-IN"/>
              </w:rPr>
            </w:pPr>
            <w:r w:rsidRPr="00B76E37">
              <w:rPr>
                <w:rFonts w:ascii="Calibri" w:hAnsi="Calibri" w:cs="Calibri"/>
                <w:color w:val="000000"/>
                <w:sz w:val="22"/>
                <w:szCs w:val="22"/>
                <w:lang w:eastAsia="en-IN"/>
              </w:rPr>
              <w:t>Demonstration at site for Safety Zone Creation /Work at Height /PPEs/PTW</w:t>
            </w:r>
          </w:p>
        </w:tc>
        <w:tc>
          <w:tcPr>
            <w:tcW w:w="3263"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10510027" w14:textId="77777777" w:rsidR="00F616FB" w:rsidRPr="00B76E37" w:rsidRDefault="00F616FB" w:rsidP="00F616FB">
            <w:pPr>
              <w:jc w:val="center"/>
              <w:rPr>
                <w:rFonts w:ascii="Calibri" w:hAnsi="Calibri" w:cs="Calibri"/>
                <w:color w:val="000000"/>
                <w:sz w:val="22"/>
                <w:szCs w:val="22"/>
                <w:lang w:val="en-IN" w:eastAsia="en-IN"/>
              </w:rPr>
            </w:pPr>
            <w:r w:rsidRPr="00B76E37">
              <w:rPr>
                <w:rFonts w:ascii="Calibri" w:hAnsi="Calibri" w:cs="Calibri"/>
                <w:color w:val="000000"/>
                <w:sz w:val="22"/>
                <w:szCs w:val="22"/>
                <w:lang w:eastAsia="en-IN"/>
              </w:rPr>
              <w:t>8129</w:t>
            </w:r>
          </w:p>
        </w:tc>
      </w:tr>
      <w:tr w:rsidR="00F616FB" w:rsidRPr="00B76E37" w14:paraId="0817159D" w14:textId="77777777" w:rsidTr="006B144F">
        <w:trPr>
          <w:trHeight w:val="315"/>
        </w:trPr>
        <w:tc>
          <w:tcPr>
            <w:tcW w:w="1306"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5011341C" w14:textId="77777777" w:rsidR="00F616FB" w:rsidRPr="00B76E37" w:rsidRDefault="00F616FB" w:rsidP="00F616FB">
            <w:pPr>
              <w:jc w:val="center"/>
              <w:rPr>
                <w:rFonts w:ascii="Calibri" w:hAnsi="Calibri" w:cs="Calibri"/>
                <w:color w:val="000000"/>
                <w:sz w:val="22"/>
                <w:szCs w:val="22"/>
                <w:lang w:val="en-IN" w:eastAsia="en-IN"/>
              </w:rPr>
            </w:pPr>
            <w:r w:rsidRPr="00B76E37">
              <w:rPr>
                <w:rFonts w:ascii="Calibri" w:hAnsi="Calibri" w:cs="Calibri"/>
                <w:color w:val="000000"/>
                <w:sz w:val="22"/>
                <w:szCs w:val="22"/>
                <w:lang w:eastAsia="en-IN"/>
              </w:rPr>
              <w:t>6</w:t>
            </w:r>
          </w:p>
        </w:tc>
        <w:tc>
          <w:tcPr>
            <w:tcW w:w="3751"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3F08FB66" w14:textId="77777777" w:rsidR="00F616FB" w:rsidRPr="00B76E37" w:rsidRDefault="00F616FB" w:rsidP="00F616FB">
            <w:pPr>
              <w:rPr>
                <w:rFonts w:ascii="Calibri" w:hAnsi="Calibri" w:cs="Calibri"/>
                <w:color w:val="000000"/>
                <w:sz w:val="22"/>
                <w:szCs w:val="22"/>
                <w:lang w:val="en-IN" w:eastAsia="en-IN"/>
              </w:rPr>
            </w:pPr>
            <w:r w:rsidRPr="00B76E37">
              <w:rPr>
                <w:rFonts w:ascii="Calibri" w:hAnsi="Calibri" w:cs="Calibri"/>
                <w:color w:val="000000"/>
                <w:sz w:val="22"/>
                <w:szCs w:val="22"/>
                <w:lang w:eastAsia="en-IN"/>
              </w:rPr>
              <w:t>Behavior Based Safety Training (TPNODL and BA employee)</w:t>
            </w:r>
          </w:p>
        </w:tc>
        <w:tc>
          <w:tcPr>
            <w:tcW w:w="3263"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56A1611A" w14:textId="77777777" w:rsidR="00F616FB" w:rsidRPr="00B76E37" w:rsidRDefault="00F616FB" w:rsidP="00F616FB">
            <w:pPr>
              <w:jc w:val="center"/>
              <w:rPr>
                <w:rFonts w:ascii="Calibri" w:hAnsi="Calibri" w:cs="Calibri"/>
                <w:color w:val="000000"/>
                <w:sz w:val="22"/>
                <w:szCs w:val="22"/>
                <w:lang w:val="en-IN" w:eastAsia="en-IN"/>
              </w:rPr>
            </w:pPr>
            <w:r w:rsidRPr="00B76E37">
              <w:rPr>
                <w:rFonts w:ascii="Calibri" w:hAnsi="Calibri" w:cs="Calibri"/>
                <w:color w:val="000000"/>
                <w:sz w:val="22"/>
                <w:szCs w:val="22"/>
                <w:lang w:eastAsia="en-IN"/>
              </w:rPr>
              <w:t>1523</w:t>
            </w:r>
          </w:p>
        </w:tc>
      </w:tr>
      <w:tr w:rsidR="00F616FB" w:rsidRPr="00B76E37" w14:paraId="4098DFE3" w14:textId="77777777" w:rsidTr="006B144F">
        <w:trPr>
          <w:trHeight w:val="212"/>
        </w:trPr>
        <w:tc>
          <w:tcPr>
            <w:tcW w:w="1306"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78A4E27A" w14:textId="77777777" w:rsidR="00F616FB" w:rsidRPr="00B76E37" w:rsidRDefault="00F616FB" w:rsidP="00F616FB">
            <w:pPr>
              <w:jc w:val="center"/>
              <w:rPr>
                <w:rFonts w:ascii="Calibri" w:hAnsi="Calibri" w:cs="Calibri"/>
                <w:color w:val="000000"/>
                <w:sz w:val="22"/>
                <w:szCs w:val="22"/>
                <w:lang w:val="en-IN" w:eastAsia="en-IN"/>
              </w:rPr>
            </w:pPr>
            <w:r w:rsidRPr="00B76E37">
              <w:rPr>
                <w:rFonts w:ascii="Calibri" w:hAnsi="Calibri" w:cs="Calibri"/>
                <w:color w:val="000000"/>
                <w:sz w:val="22"/>
                <w:szCs w:val="22"/>
                <w:lang w:eastAsia="en-IN"/>
              </w:rPr>
              <w:t>7</w:t>
            </w:r>
          </w:p>
        </w:tc>
        <w:tc>
          <w:tcPr>
            <w:tcW w:w="3751"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6891563B" w14:textId="77777777" w:rsidR="00F616FB" w:rsidRPr="00B76E37" w:rsidRDefault="00F616FB" w:rsidP="00F616FB">
            <w:pPr>
              <w:rPr>
                <w:rFonts w:ascii="Calibri" w:hAnsi="Calibri" w:cs="Calibri"/>
                <w:color w:val="000000"/>
                <w:sz w:val="22"/>
                <w:szCs w:val="22"/>
                <w:lang w:val="en-IN" w:eastAsia="en-IN"/>
              </w:rPr>
            </w:pPr>
            <w:r w:rsidRPr="00B76E37">
              <w:rPr>
                <w:rFonts w:ascii="Calibri" w:hAnsi="Calibri" w:cs="Calibri"/>
                <w:color w:val="000000"/>
                <w:sz w:val="22"/>
                <w:szCs w:val="22"/>
                <w:lang w:eastAsia="en-IN"/>
              </w:rPr>
              <w:t>TPSDI training</w:t>
            </w:r>
          </w:p>
        </w:tc>
        <w:tc>
          <w:tcPr>
            <w:tcW w:w="3263"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2AA615A3" w14:textId="77777777" w:rsidR="00F616FB" w:rsidRPr="00B76E37" w:rsidRDefault="00F616FB" w:rsidP="00F616FB">
            <w:pPr>
              <w:jc w:val="center"/>
              <w:rPr>
                <w:rFonts w:ascii="Calibri" w:hAnsi="Calibri" w:cs="Calibri"/>
                <w:color w:val="000000"/>
                <w:sz w:val="22"/>
                <w:szCs w:val="22"/>
                <w:lang w:val="en-IN" w:eastAsia="en-IN"/>
              </w:rPr>
            </w:pPr>
            <w:r w:rsidRPr="00B76E37">
              <w:rPr>
                <w:rFonts w:ascii="Calibri" w:hAnsi="Calibri" w:cs="Calibri"/>
                <w:color w:val="000000"/>
                <w:sz w:val="22"/>
                <w:szCs w:val="22"/>
                <w:lang w:eastAsia="en-IN"/>
              </w:rPr>
              <w:t>881</w:t>
            </w:r>
          </w:p>
        </w:tc>
      </w:tr>
      <w:tr w:rsidR="00F616FB" w:rsidRPr="00B76E37" w14:paraId="68CBB0E8" w14:textId="77777777" w:rsidTr="006B144F">
        <w:trPr>
          <w:trHeight w:val="315"/>
        </w:trPr>
        <w:tc>
          <w:tcPr>
            <w:tcW w:w="1306"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43D1E0DB" w14:textId="77777777" w:rsidR="00F616FB" w:rsidRPr="00B76E37" w:rsidRDefault="00F616FB" w:rsidP="00F616FB">
            <w:pPr>
              <w:jc w:val="center"/>
              <w:rPr>
                <w:rFonts w:ascii="Calibri" w:hAnsi="Calibri" w:cs="Calibri"/>
                <w:color w:val="000000"/>
                <w:sz w:val="22"/>
                <w:szCs w:val="22"/>
                <w:lang w:val="en-IN" w:eastAsia="en-IN"/>
              </w:rPr>
            </w:pPr>
            <w:r w:rsidRPr="00B76E37">
              <w:rPr>
                <w:rFonts w:ascii="Calibri" w:hAnsi="Calibri" w:cs="Calibri"/>
                <w:color w:val="000000"/>
                <w:sz w:val="22"/>
                <w:szCs w:val="22"/>
                <w:lang w:eastAsia="en-IN"/>
              </w:rPr>
              <w:t>9</w:t>
            </w:r>
          </w:p>
        </w:tc>
        <w:tc>
          <w:tcPr>
            <w:tcW w:w="3751"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65ABFFC8" w14:textId="77777777" w:rsidR="00F616FB" w:rsidRPr="00B76E37" w:rsidRDefault="00F616FB" w:rsidP="00F616FB">
            <w:pPr>
              <w:rPr>
                <w:rFonts w:ascii="Calibri" w:hAnsi="Calibri" w:cs="Calibri"/>
                <w:color w:val="000000"/>
                <w:sz w:val="22"/>
                <w:szCs w:val="22"/>
                <w:lang w:val="en-IN" w:eastAsia="en-IN"/>
              </w:rPr>
            </w:pPr>
            <w:r w:rsidRPr="00B76E37">
              <w:rPr>
                <w:rFonts w:ascii="Calibri" w:hAnsi="Calibri" w:cs="Calibri"/>
                <w:color w:val="000000"/>
                <w:sz w:val="22"/>
                <w:szCs w:val="22"/>
                <w:lang w:eastAsia="en-IN"/>
              </w:rPr>
              <w:t>First Aid training</w:t>
            </w:r>
          </w:p>
        </w:tc>
        <w:tc>
          <w:tcPr>
            <w:tcW w:w="3263"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12808DC6" w14:textId="77777777" w:rsidR="00F616FB" w:rsidRPr="00B76E37" w:rsidRDefault="00F616FB" w:rsidP="00F616FB">
            <w:pPr>
              <w:jc w:val="center"/>
              <w:rPr>
                <w:rFonts w:ascii="Calibri" w:hAnsi="Calibri" w:cs="Calibri"/>
                <w:color w:val="000000"/>
                <w:sz w:val="22"/>
                <w:szCs w:val="22"/>
                <w:lang w:val="en-IN" w:eastAsia="en-IN"/>
              </w:rPr>
            </w:pPr>
            <w:r w:rsidRPr="00B76E37">
              <w:rPr>
                <w:rFonts w:ascii="Calibri" w:hAnsi="Calibri" w:cs="Calibri"/>
                <w:color w:val="000000"/>
                <w:sz w:val="22"/>
                <w:szCs w:val="22"/>
                <w:lang w:eastAsia="en-IN"/>
              </w:rPr>
              <w:t>1491</w:t>
            </w:r>
          </w:p>
        </w:tc>
      </w:tr>
      <w:tr w:rsidR="00F616FB" w:rsidRPr="00B76E37" w14:paraId="1150AD45" w14:textId="77777777" w:rsidTr="006B144F">
        <w:trPr>
          <w:trHeight w:val="315"/>
        </w:trPr>
        <w:tc>
          <w:tcPr>
            <w:tcW w:w="1306" w:type="dxa"/>
            <w:tcBorders>
              <w:top w:val="single" w:sz="4" w:space="0" w:color="auto"/>
              <w:left w:val="single" w:sz="4" w:space="0" w:color="auto"/>
              <w:bottom w:val="single" w:sz="4" w:space="0" w:color="auto"/>
              <w:right w:val="single" w:sz="4" w:space="0" w:color="auto"/>
            </w:tcBorders>
            <w:shd w:val="clear" w:color="auto" w:fill="4F81BD" w:themeFill="accent1"/>
            <w:vAlign w:val="center"/>
            <w:hideMark/>
          </w:tcPr>
          <w:p w14:paraId="694E9529" w14:textId="77777777" w:rsidR="00F616FB" w:rsidRPr="00B76E37" w:rsidRDefault="00F616FB" w:rsidP="00F616FB">
            <w:pPr>
              <w:jc w:val="center"/>
              <w:rPr>
                <w:rFonts w:ascii="Calibri" w:hAnsi="Calibri" w:cs="Calibri"/>
                <w:b/>
                <w:bCs/>
                <w:color w:val="000000"/>
                <w:sz w:val="22"/>
                <w:szCs w:val="22"/>
                <w:lang w:val="en-IN" w:eastAsia="en-IN"/>
              </w:rPr>
            </w:pPr>
            <w:r w:rsidRPr="00B76E37">
              <w:rPr>
                <w:rFonts w:ascii="Calibri" w:hAnsi="Calibri" w:cs="Calibri"/>
                <w:b/>
                <w:bCs/>
                <w:color w:val="000000"/>
                <w:sz w:val="22"/>
                <w:szCs w:val="22"/>
                <w:lang w:eastAsia="en-IN"/>
              </w:rPr>
              <w:t>10</w:t>
            </w:r>
          </w:p>
        </w:tc>
        <w:tc>
          <w:tcPr>
            <w:tcW w:w="3751" w:type="dxa"/>
            <w:tcBorders>
              <w:top w:val="single" w:sz="4" w:space="0" w:color="auto"/>
              <w:left w:val="single" w:sz="4" w:space="0" w:color="auto"/>
              <w:bottom w:val="single" w:sz="4" w:space="0" w:color="auto"/>
              <w:right w:val="single" w:sz="4" w:space="0" w:color="auto"/>
            </w:tcBorders>
            <w:shd w:val="clear" w:color="auto" w:fill="4F81BD" w:themeFill="accent1"/>
            <w:vAlign w:val="center"/>
            <w:hideMark/>
          </w:tcPr>
          <w:p w14:paraId="06BD40C8" w14:textId="77777777" w:rsidR="00F616FB" w:rsidRPr="00B76E37" w:rsidRDefault="00F616FB" w:rsidP="00F616FB">
            <w:pPr>
              <w:jc w:val="both"/>
              <w:rPr>
                <w:rFonts w:ascii="Calibri" w:hAnsi="Calibri" w:cs="Calibri"/>
                <w:b/>
                <w:bCs/>
                <w:color w:val="000000"/>
                <w:sz w:val="22"/>
                <w:szCs w:val="22"/>
                <w:lang w:val="en-IN" w:eastAsia="en-IN"/>
              </w:rPr>
            </w:pPr>
            <w:r w:rsidRPr="00B76E37">
              <w:rPr>
                <w:rFonts w:ascii="Calibri" w:hAnsi="Calibri" w:cs="Calibri"/>
                <w:b/>
                <w:bCs/>
                <w:color w:val="000000"/>
                <w:sz w:val="22"/>
                <w:szCs w:val="22"/>
                <w:lang w:eastAsia="en-IN"/>
              </w:rPr>
              <w:t>Grand Total</w:t>
            </w:r>
          </w:p>
        </w:tc>
        <w:tc>
          <w:tcPr>
            <w:tcW w:w="3263" w:type="dxa"/>
            <w:tcBorders>
              <w:top w:val="single" w:sz="4" w:space="0" w:color="auto"/>
              <w:left w:val="single" w:sz="4" w:space="0" w:color="auto"/>
              <w:bottom w:val="single" w:sz="4" w:space="0" w:color="auto"/>
              <w:right w:val="single" w:sz="4" w:space="0" w:color="auto"/>
            </w:tcBorders>
            <w:shd w:val="clear" w:color="auto" w:fill="4F81BD" w:themeFill="accent1"/>
            <w:vAlign w:val="center"/>
            <w:hideMark/>
          </w:tcPr>
          <w:p w14:paraId="256AE7F0" w14:textId="77777777" w:rsidR="00F616FB" w:rsidRPr="00B76E37" w:rsidRDefault="00F616FB" w:rsidP="00F616FB">
            <w:pPr>
              <w:jc w:val="center"/>
              <w:rPr>
                <w:rFonts w:ascii="Calibri" w:hAnsi="Calibri" w:cs="Calibri"/>
                <w:b/>
                <w:bCs/>
                <w:color w:val="000000"/>
                <w:sz w:val="22"/>
                <w:szCs w:val="22"/>
                <w:lang w:val="en-IN" w:eastAsia="en-IN"/>
              </w:rPr>
            </w:pPr>
            <w:r w:rsidRPr="00B76E37">
              <w:rPr>
                <w:rFonts w:ascii="Calibri" w:hAnsi="Calibri" w:cs="Calibri"/>
                <w:b/>
                <w:bCs/>
                <w:color w:val="000000"/>
                <w:sz w:val="22"/>
                <w:szCs w:val="22"/>
                <w:lang w:eastAsia="en-IN"/>
              </w:rPr>
              <w:t>26849</w:t>
            </w:r>
          </w:p>
        </w:tc>
      </w:tr>
    </w:tbl>
    <w:p w14:paraId="5F13E3B1" w14:textId="77777777" w:rsidR="00F616FB" w:rsidRPr="00BD5055" w:rsidRDefault="00F616FB" w:rsidP="00F616FB">
      <w:pPr>
        <w:spacing w:line="360" w:lineRule="auto"/>
        <w:jc w:val="both"/>
        <w:rPr>
          <w:rFonts w:asciiTheme="minorHAnsi" w:hAnsiTheme="minorHAnsi" w:cstheme="minorHAnsi"/>
          <w:b/>
          <w:sz w:val="22"/>
          <w:szCs w:val="22"/>
          <w:highlight w:val="cyan"/>
        </w:rPr>
      </w:pPr>
    </w:p>
    <w:p w14:paraId="1912DCE9" w14:textId="77777777" w:rsidR="00F616FB" w:rsidRDefault="00F616FB" w:rsidP="00F616FB">
      <w:pPr>
        <w:shd w:val="clear" w:color="auto" w:fill="FFFFFF" w:themeFill="background1"/>
        <w:spacing w:line="360" w:lineRule="auto"/>
        <w:ind w:left="567"/>
        <w:jc w:val="both"/>
        <w:rPr>
          <w:rFonts w:asciiTheme="minorHAnsi" w:eastAsia="Calibri" w:hAnsiTheme="minorHAnsi" w:cstheme="minorHAnsi"/>
          <w:bCs/>
          <w:color w:val="000000"/>
          <w:sz w:val="22"/>
          <w:szCs w:val="22"/>
        </w:rPr>
      </w:pPr>
      <w:r w:rsidRPr="00BD5055">
        <w:rPr>
          <w:rFonts w:asciiTheme="minorHAnsi" w:eastAsia="Calibri" w:hAnsiTheme="minorHAnsi" w:cstheme="minorHAnsi"/>
          <w:bCs/>
          <w:color w:val="000000"/>
          <w:sz w:val="22"/>
          <w:szCs w:val="22"/>
        </w:rPr>
        <w:t>Initiatives are undertaken for the reduction of Electrical Accidents (Fatal/LTI etc.) for humans and animals</w:t>
      </w:r>
      <w:r>
        <w:rPr>
          <w:rFonts w:asciiTheme="minorHAnsi" w:eastAsia="Calibri" w:hAnsiTheme="minorHAnsi" w:cstheme="minorHAnsi"/>
          <w:bCs/>
          <w:color w:val="000000"/>
          <w:sz w:val="22"/>
          <w:szCs w:val="22"/>
        </w:rPr>
        <w:t>:</w:t>
      </w:r>
    </w:p>
    <w:p w14:paraId="03B1A7CC" w14:textId="77777777" w:rsidR="00F616FB" w:rsidRPr="00F15FB6" w:rsidRDefault="00F616FB" w:rsidP="00F616FB">
      <w:pPr>
        <w:shd w:val="clear" w:color="auto" w:fill="FFFFFF" w:themeFill="background1"/>
        <w:spacing w:line="360" w:lineRule="auto"/>
        <w:ind w:left="567"/>
        <w:jc w:val="both"/>
        <w:rPr>
          <w:rFonts w:asciiTheme="minorHAnsi" w:eastAsia="Calibri" w:hAnsiTheme="minorHAnsi" w:cstheme="minorHAnsi"/>
          <w:bCs/>
          <w:color w:val="000000"/>
          <w:sz w:val="22"/>
          <w:szCs w:val="22"/>
        </w:rPr>
      </w:pPr>
    </w:p>
    <w:p w14:paraId="517EE5B8" w14:textId="1D3AC754" w:rsidR="00F616FB" w:rsidRPr="00B434FD" w:rsidRDefault="00F616FB" w:rsidP="00F616FB">
      <w:pPr>
        <w:shd w:val="clear" w:color="auto" w:fill="FFFFFF" w:themeFill="background1"/>
        <w:spacing w:line="360" w:lineRule="auto"/>
        <w:jc w:val="both"/>
        <w:rPr>
          <w:rFonts w:asciiTheme="minorHAnsi" w:eastAsia="Calibri" w:hAnsiTheme="minorHAnsi" w:cstheme="minorHAnsi"/>
          <w:bCs/>
          <w:color w:val="000000"/>
          <w:szCs w:val="28"/>
        </w:rPr>
      </w:pPr>
      <w:r>
        <w:rPr>
          <w:rFonts w:asciiTheme="minorHAnsi" w:eastAsia="Calibri" w:hAnsiTheme="minorHAnsi" w:cstheme="minorHAnsi"/>
          <w:b/>
          <w:bCs/>
          <w:color w:val="000000"/>
          <w:szCs w:val="28"/>
        </w:rPr>
        <w:t xml:space="preserve">         </w:t>
      </w:r>
      <w:r w:rsidR="00894F4D">
        <w:rPr>
          <w:rFonts w:asciiTheme="minorHAnsi" w:eastAsia="Calibri" w:hAnsiTheme="minorHAnsi" w:cstheme="minorHAnsi"/>
          <w:b/>
          <w:bCs/>
          <w:color w:val="000000"/>
          <w:szCs w:val="28"/>
        </w:rPr>
        <w:t>6.4.3</w:t>
      </w:r>
      <w:r w:rsidRPr="00B434FD">
        <w:rPr>
          <w:rFonts w:asciiTheme="minorHAnsi" w:eastAsia="Calibri" w:hAnsiTheme="minorHAnsi" w:cstheme="minorHAnsi"/>
          <w:b/>
          <w:bCs/>
          <w:color w:val="000000"/>
          <w:szCs w:val="28"/>
        </w:rPr>
        <w:t xml:space="preserve"> Step taken to </w:t>
      </w:r>
      <w:r>
        <w:rPr>
          <w:rFonts w:asciiTheme="minorHAnsi" w:eastAsia="Calibri" w:hAnsiTheme="minorHAnsi" w:cstheme="minorHAnsi"/>
          <w:b/>
          <w:bCs/>
          <w:color w:val="000000"/>
          <w:szCs w:val="28"/>
        </w:rPr>
        <w:t>R</w:t>
      </w:r>
      <w:r w:rsidRPr="00B434FD">
        <w:rPr>
          <w:rFonts w:asciiTheme="minorHAnsi" w:eastAsia="Calibri" w:hAnsiTheme="minorHAnsi" w:cstheme="minorHAnsi"/>
          <w:b/>
          <w:bCs/>
          <w:color w:val="000000"/>
          <w:szCs w:val="28"/>
        </w:rPr>
        <w:t>educe Electrical Accidents</w:t>
      </w:r>
    </w:p>
    <w:p w14:paraId="0C3FAEEB" w14:textId="77777777" w:rsidR="00F616FB" w:rsidRDefault="00F616FB" w:rsidP="00AB536C">
      <w:pPr>
        <w:pStyle w:val="Default"/>
        <w:numPr>
          <w:ilvl w:val="0"/>
          <w:numId w:val="32"/>
        </w:numPr>
        <w:spacing w:line="360" w:lineRule="auto"/>
        <w:ind w:left="851"/>
        <w:jc w:val="both"/>
        <w:rPr>
          <w:rFonts w:asciiTheme="minorHAnsi" w:eastAsia="Calibri" w:hAnsiTheme="minorHAnsi" w:cstheme="minorHAnsi"/>
          <w:bCs/>
          <w:sz w:val="22"/>
          <w:szCs w:val="22"/>
          <w:lang w:val="en-US"/>
        </w:rPr>
      </w:pPr>
      <w:r w:rsidRPr="00B434FD">
        <w:rPr>
          <w:rFonts w:asciiTheme="minorHAnsi" w:eastAsia="Calibri" w:hAnsiTheme="minorHAnsi" w:cstheme="minorHAnsi"/>
          <w:b/>
          <w:bCs/>
          <w:sz w:val="22"/>
          <w:szCs w:val="22"/>
          <w:lang w:val="en-US"/>
        </w:rPr>
        <w:t>Innovative Pole Climber:</w:t>
      </w:r>
      <w:r w:rsidRPr="00793041">
        <w:rPr>
          <w:rFonts w:asciiTheme="minorHAnsi" w:eastAsia="Calibri" w:hAnsiTheme="minorHAnsi" w:cstheme="minorHAnsi"/>
          <w:bCs/>
          <w:sz w:val="22"/>
          <w:szCs w:val="22"/>
          <w:lang w:val="en-US"/>
        </w:rPr>
        <w:t xml:space="preserve"> This tool has been deployed in three circles, significantly improving the efficiency and safety of pole climbing tasks.</w:t>
      </w:r>
      <w:r>
        <w:rPr>
          <w:rFonts w:asciiTheme="minorHAnsi" w:eastAsia="Calibri" w:hAnsiTheme="minorHAnsi" w:cstheme="minorHAnsi"/>
          <w:bCs/>
          <w:sz w:val="22"/>
          <w:szCs w:val="22"/>
          <w:lang w:val="en-US"/>
        </w:rPr>
        <w:t xml:space="preserve"> Till date 400 pole climber is being deployed.</w:t>
      </w:r>
    </w:p>
    <w:p w14:paraId="02263681" w14:textId="77777777" w:rsidR="00F616FB" w:rsidRDefault="00F616FB" w:rsidP="00AB536C">
      <w:pPr>
        <w:pStyle w:val="Default"/>
        <w:numPr>
          <w:ilvl w:val="0"/>
          <w:numId w:val="32"/>
        </w:numPr>
        <w:spacing w:line="360" w:lineRule="auto"/>
        <w:ind w:left="851"/>
        <w:jc w:val="both"/>
        <w:rPr>
          <w:rFonts w:asciiTheme="minorHAnsi" w:eastAsia="Calibri" w:hAnsiTheme="minorHAnsi" w:cstheme="minorHAnsi"/>
          <w:bCs/>
          <w:sz w:val="22"/>
          <w:szCs w:val="22"/>
          <w:lang w:val="en-US"/>
        </w:rPr>
      </w:pPr>
      <w:r w:rsidRPr="00B434FD">
        <w:rPr>
          <w:rFonts w:asciiTheme="minorHAnsi" w:eastAsia="Calibri" w:hAnsiTheme="minorHAnsi" w:cstheme="minorHAnsi"/>
          <w:b/>
          <w:bCs/>
          <w:sz w:val="22"/>
          <w:szCs w:val="22"/>
          <w:lang w:val="en-US"/>
        </w:rPr>
        <w:t>Self-Locking Spring Controlled Clamp:</w:t>
      </w:r>
      <w:r w:rsidRPr="00B434FD">
        <w:rPr>
          <w:rFonts w:asciiTheme="minorHAnsi" w:eastAsia="Calibri" w:hAnsiTheme="minorHAnsi" w:cstheme="minorHAnsi"/>
          <w:bCs/>
          <w:sz w:val="22"/>
          <w:szCs w:val="22"/>
          <w:lang w:val="en-US"/>
        </w:rPr>
        <w:t xml:space="preserve"> This clamp has been deployed across TPNODL to address the challenge of carrying discharge rods on two-wheelers.4000 discharge clamp is deployed across the Rural FCC</w:t>
      </w:r>
      <w:r>
        <w:rPr>
          <w:rFonts w:asciiTheme="minorHAnsi" w:eastAsia="Calibri" w:hAnsiTheme="minorHAnsi" w:cstheme="minorHAnsi"/>
          <w:bCs/>
          <w:sz w:val="22"/>
          <w:szCs w:val="22"/>
          <w:lang w:val="en-US"/>
        </w:rPr>
        <w:t>.</w:t>
      </w:r>
    </w:p>
    <w:p w14:paraId="0F05B122" w14:textId="77777777" w:rsidR="00F616FB" w:rsidRDefault="00F616FB" w:rsidP="00AB536C">
      <w:pPr>
        <w:pStyle w:val="Default"/>
        <w:numPr>
          <w:ilvl w:val="0"/>
          <w:numId w:val="32"/>
        </w:numPr>
        <w:spacing w:line="360" w:lineRule="auto"/>
        <w:ind w:left="851"/>
        <w:jc w:val="both"/>
        <w:rPr>
          <w:rFonts w:asciiTheme="minorHAnsi" w:eastAsia="Calibri" w:hAnsiTheme="minorHAnsi" w:cstheme="minorHAnsi"/>
          <w:bCs/>
          <w:sz w:val="22"/>
          <w:szCs w:val="22"/>
          <w:lang w:val="en-US"/>
        </w:rPr>
      </w:pPr>
      <w:r w:rsidRPr="00B434FD">
        <w:rPr>
          <w:rFonts w:asciiTheme="minorHAnsi" w:eastAsia="Calibri" w:hAnsiTheme="minorHAnsi" w:cstheme="minorHAnsi"/>
          <w:bCs/>
          <w:sz w:val="22"/>
          <w:szCs w:val="22"/>
          <w:lang w:val="en-US"/>
        </w:rPr>
        <w:t xml:space="preserve"> </w:t>
      </w:r>
      <w:r w:rsidRPr="00B434FD">
        <w:rPr>
          <w:rFonts w:asciiTheme="minorHAnsi" w:eastAsia="Calibri" w:hAnsiTheme="minorHAnsi" w:cstheme="minorHAnsi"/>
          <w:b/>
          <w:bCs/>
          <w:sz w:val="22"/>
          <w:szCs w:val="22"/>
          <w:lang w:val="en-US"/>
        </w:rPr>
        <w:t>Fall Arresters:</w:t>
      </w:r>
      <w:r w:rsidRPr="00B434FD">
        <w:rPr>
          <w:rFonts w:asciiTheme="minorHAnsi" w:eastAsia="Calibri" w:hAnsiTheme="minorHAnsi" w:cstheme="minorHAnsi"/>
          <w:bCs/>
          <w:sz w:val="22"/>
          <w:szCs w:val="22"/>
          <w:lang w:val="en-US"/>
        </w:rPr>
        <w:t xml:space="preserve"> These devices have been made mandatory for all work-at-height jobs and are deployed in all 16 divisions.</w:t>
      </w:r>
    </w:p>
    <w:p w14:paraId="686916A8" w14:textId="77777777" w:rsidR="00F616FB" w:rsidRDefault="00F616FB" w:rsidP="00AB536C">
      <w:pPr>
        <w:pStyle w:val="Default"/>
        <w:numPr>
          <w:ilvl w:val="0"/>
          <w:numId w:val="32"/>
        </w:numPr>
        <w:spacing w:line="360" w:lineRule="auto"/>
        <w:ind w:left="851"/>
        <w:jc w:val="both"/>
        <w:rPr>
          <w:rFonts w:asciiTheme="minorHAnsi" w:eastAsia="Calibri" w:hAnsiTheme="minorHAnsi" w:cstheme="minorHAnsi"/>
          <w:bCs/>
          <w:sz w:val="22"/>
          <w:szCs w:val="22"/>
          <w:lang w:val="en-US"/>
        </w:rPr>
      </w:pPr>
      <w:r w:rsidRPr="00B434FD">
        <w:rPr>
          <w:rFonts w:asciiTheme="minorHAnsi" w:eastAsia="Calibri" w:hAnsiTheme="minorHAnsi" w:cstheme="minorHAnsi"/>
          <w:b/>
          <w:bCs/>
          <w:sz w:val="22"/>
          <w:szCs w:val="22"/>
          <w:lang w:val="en-US"/>
        </w:rPr>
        <w:t>VR Training:</w:t>
      </w:r>
      <w:r w:rsidRPr="00B434FD">
        <w:rPr>
          <w:rFonts w:asciiTheme="minorHAnsi" w:eastAsia="Calibri" w:hAnsiTheme="minorHAnsi" w:cstheme="minorHAnsi"/>
          <w:bCs/>
          <w:sz w:val="22"/>
          <w:szCs w:val="22"/>
          <w:lang w:val="en-US"/>
        </w:rPr>
        <w:t xml:space="preserve"> TPNODL has started using VR training modules to simulate common fuse call activities, providing employees with a realistic and safe learning experience.</w:t>
      </w:r>
    </w:p>
    <w:p w14:paraId="22970971" w14:textId="77777777" w:rsidR="00F616FB" w:rsidRDefault="00F616FB" w:rsidP="00AB536C">
      <w:pPr>
        <w:pStyle w:val="Default"/>
        <w:numPr>
          <w:ilvl w:val="0"/>
          <w:numId w:val="32"/>
        </w:numPr>
        <w:spacing w:line="360" w:lineRule="auto"/>
        <w:ind w:left="851"/>
        <w:jc w:val="both"/>
        <w:rPr>
          <w:rFonts w:asciiTheme="minorHAnsi" w:eastAsia="Calibri" w:hAnsiTheme="minorHAnsi" w:cstheme="minorHAnsi"/>
          <w:bCs/>
          <w:sz w:val="22"/>
          <w:szCs w:val="22"/>
          <w:lang w:val="en-US"/>
        </w:rPr>
      </w:pPr>
      <w:r w:rsidRPr="00B434FD">
        <w:rPr>
          <w:rFonts w:asciiTheme="minorHAnsi" w:eastAsia="Calibri" w:hAnsiTheme="minorHAnsi" w:cstheme="minorHAnsi"/>
          <w:b/>
          <w:bCs/>
          <w:sz w:val="22"/>
          <w:szCs w:val="22"/>
          <w:lang w:val="en-US"/>
        </w:rPr>
        <w:t>Surprise Night Visits and Alcohol Detection Tests:</w:t>
      </w:r>
      <w:r w:rsidRPr="00B434FD">
        <w:rPr>
          <w:rFonts w:asciiTheme="minorHAnsi" w:eastAsia="Calibri" w:hAnsiTheme="minorHAnsi" w:cstheme="minorHAnsi"/>
          <w:bCs/>
          <w:sz w:val="22"/>
          <w:szCs w:val="22"/>
          <w:lang w:val="en-US"/>
        </w:rPr>
        <w:t xml:space="preserve"> Line managers conduct surprise night visits and alcohol detection tests to ensure compliance with safety regulations and prevent accidents caused by substance abuse.</w:t>
      </w:r>
    </w:p>
    <w:p w14:paraId="175208CC" w14:textId="77777777" w:rsidR="00F616FB" w:rsidRDefault="00F616FB" w:rsidP="00AB536C">
      <w:pPr>
        <w:pStyle w:val="Default"/>
        <w:numPr>
          <w:ilvl w:val="0"/>
          <w:numId w:val="32"/>
        </w:numPr>
        <w:spacing w:line="360" w:lineRule="auto"/>
        <w:ind w:left="851"/>
        <w:jc w:val="both"/>
        <w:rPr>
          <w:rFonts w:asciiTheme="minorHAnsi" w:eastAsia="Calibri" w:hAnsiTheme="minorHAnsi" w:cstheme="minorHAnsi"/>
          <w:bCs/>
          <w:sz w:val="22"/>
          <w:szCs w:val="22"/>
          <w:lang w:val="en-US"/>
        </w:rPr>
      </w:pPr>
      <w:r w:rsidRPr="00B434FD">
        <w:rPr>
          <w:rFonts w:asciiTheme="minorHAnsi" w:eastAsia="Calibri" w:hAnsiTheme="minorHAnsi" w:cstheme="minorHAnsi"/>
          <w:b/>
          <w:bCs/>
          <w:sz w:val="22"/>
          <w:szCs w:val="22"/>
          <w:lang w:val="en-US"/>
        </w:rPr>
        <w:t>Fire Detection and Hydrant System:</w:t>
      </w:r>
      <w:r w:rsidRPr="00B434FD">
        <w:rPr>
          <w:rFonts w:asciiTheme="minorHAnsi" w:eastAsia="Calibri" w:hAnsiTheme="minorHAnsi" w:cstheme="minorHAnsi"/>
          <w:bCs/>
          <w:sz w:val="22"/>
          <w:szCs w:val="22"/>
          <w:lang w:val="en-US"/>
        </w:rPr>
        <w:t xml:space="preserve"> A state-of-the-art fire detection and hydrant system has been installed in the </w:t>
      </w:r>
      <w:proofErr w:type="spellStart"/>
      <w:r w:rsidRPr="00B434FD">
        <w:rPr>
          <w:rFonts w:asciiTheme="minorHAnsi" w:eastAsia="Calibri" w:hAnsiTheme="minorHAnsi" w:cstheme="minorHAnsi"/>
          <w:bCs/>
          <w:sz w:val="22"/>
          <w:szCs w:val="22"/>
          <w:lang w:val="en-US"/>
        </w:rPr>
        <w:t>Balasore</w:t>
      </w:r>
      <w:proofErr w:type="spellEnd"/>
      <w:r w:rsidRPr="00B434FD">
        <w:rPr>
          <w:rFonts w:asciiTheme="minorHAnsi" w:eastAsia="Calibri" w:hAnsiTheme="minorHAnsi" w:cstheme="minorHAnsi"/>
          <w:bCs/>
          <w:sz w:val="22"/>
          <w:szCs w:val="22"/>
          <w:lang w:val="en-US"/>
        </w:rPr>
        <w:t xml:space="preserve"> store project, providing automatic fire detection and a water storage capacity of 11,200 liters.</w:t>
      </w:r>
    </w:p>
    <w:p w14:paraId="41283E4B" w14:textId="77777777" w:rsidR="00F616FB" w:rsidRDefault="00F616FB" w:rsidP="00AB536C">
      <w:pPr>
        <w:pStyle w:val="Default"/>
        <w:numPr>
          <w:ilvl w:val="0"/>
          <w:numId w:val="32"/>
        </w:numPr>
        <w:spacing w:line="360" w:lineRule="auto"/>
        <w:ind w:left="851"/>
        <w:jc w:val="both"/>
        <w:rPr>
          <w:rFonts w:asciiTheme="minorHAnsi" w:eastAsia="Calibri" w:hAnsiTheme="minorHAnsi" w:cstheme="minorHAnsi"/>
          <w:bCs/>
          <w:sz w:val="22"/>
          <w:szCs w:val="22"/>
          <w:lang w:val="en-US"/>
        </w:rPr>
      </w:pPr>
      <w:r w:rsidRPr="00B434FD">
        <w:rPr>
          <w:rFonts w:asciiTheme="minorHAnsi" w:eastAsia="Calibri" w:hAnsiTheme="minorHAnsi" w:cstheme="minorHAnsi"/>
          <w:b/>
          <w:bCs/>
          <w:sz w:val="22"/>
          <w:szCs w:val="22"/>
          <w:lang w:val="en-US"/>
        </w:rPr>
        <w:t xml:space="preserve">Suraksha </w:t>
      </w:r>
      <w:proofErr w:type="spellStart"/>
      <w:r w:rsidRPr="00B434FD">
        <w:rPr>
          <w:rFonts w:asciiTheme="minorHAnsi" w:eastAsia="Calibri" w:hAnsiTheme="minorHAnsi" w:cstheme="minorHAnsi"/>
          <w:b/>
          <w:bCs/>
          <w:sz w:val="22"/>
          <w:szCs w:val="22"/>
          <w:lang w:val="en-US"/>
        </w:rPr>
        <w:t>Sambad</w:t>
      </w:r>
      <w:proofErr w:type="spellEnd"/>
      <w:r w:rsidRPr="00B434FD">
        <w:rPr>
          <w:rFonts w:asciiTheme="minorHAnsi" w:eastAsia="Calibri" w:hAnsiTheme="minorHAnsi" w:cstheme="minorHAnsi"/>
          <w:b/>
          <w:bCs/>
          <w:sz w:val="22"/>
          <w:szCs w:val="22"/>
          <w:lang w:val="en-US"/>
        </w:rPr>
        <w:t>:</w:t>
      </w:r>
      <w:r w:rsidRPr="00B434FD">
        <w:rPr>
          <w:rFonts w:asciiTheme="minorHAnsi" w:eastAsia="Calibri" w:hAnsiTheme="minorHAnsi" w:cstheme="minorHAnsi"/>
          <w:bCs/>
          <w:sz w:val="22"/>
          <w:szCs w:val="22"/>
          <w:lang w:val="en-US"/>
        </w:rPr>
        <w:t xml:space="preserve"> This innovative program involves TPNODL engineers visiting sites to observe work practices, rectify violations, and counsel the workforce on safety procedures.</w:t>
      </w:r>
    </w:p>
    <w:p w14:paraId="3FEAA853" w14:textId="77777777" w:rsidR="00F616FB" w:rsidRDefault="00F616FB" w:rsidP="00AB536C">
      <w:pPr>
        <w:pStyle w:val="Default"/>
        <w:numPr>
          <w:ilvl w:val="0"/>
          <w:numId w:val="32"/>
        </w:numPr>
        <w:spacing w:line="360" w:lineRule="auto"/>
        <w:ind w:left="851"/>
        <w:jc w:val="both"/>
        <w:rPr>
          <w:rFonts w:asciiTheme="minorHAnsi" w:eastAsia="Calibri" w:hAnsiTheme="minorHAnsi" w:cstheme="minorHAnsi"/>
          <w:bCs/>
          <w:sz w:val="22"/>
          <w:szCs w:val="22"/>
          <w:lang w:val="en-US"/>
        </w:rPr>
      </w:pPr>
      <w:r w:rsidRPr="00B434FD">
        <w:rPr>
          <w:rFonts w:asciiTheme="minorHAnsi" w:eastAsia="Calibri" w:hAnsiTheme="minorHAnsi" w:cstheme="minorHAnsi"/>
          <w:b/>
          <w:bCs/>
          <w:sz w:val="22"/>
          <w:szCs w:val="22"/>
          <w:lang w:val="en-US"/>
        </w:rPr>
        <w:lastRenderedPageBreak/>
        <w:t xml:space="preserve">Regular Site Visits and Suraksha </w:t>
      </w:r>
      <w:proofErr w:type="spellStart"/>
      <w:r w:rsidRPr="00B434FD">
        <w:rPr>
          <w:rFonts w:asciiTheme="minorHAnsi" w:eastAsia="Calibri" w:hAnsiTheme="minorHAnsi" w:cstheme="minorHAnsi"/>
          <w:b/>
          <w:bCs/>
          <w:sz w:val="22"/>
          <w:szCs w:val="22"/>
          <w:lang w:val="en-US"/>
        </w:rPr>
        <w:t>Sambad</w:t>
      </w:r>
      <w:proofErr w:type="spellEnd"/>
      <w:r w:rsidRPr="00B434FD">
        <w:rPr>
          <w:rFonts w:asciiTheme="minorHAnsi" w:eastAsia="Calibri" w:hAnsiTheme="minorHAnsi" w:cstheme="minorHAnsi"/>
          <w:b/>
          <w:bCs/>
          <w:sz w:val="22"/>
          <w:szCs w:val="22"/>
          <w:lang w:val="en-US"/>
        </w:rPr>
        <w:t>:</w:t>
      </w:r>
      <w:r w:rsidRPr="00B434FD">
        <w:rPr>
          <w:rFonts w:asciiTheme="minorHAnsi" w:eastAsia="Calibri" w:hAnsiTheme="minorHAnsi" w:cstheme="minorHAnsi"/>
          <w:bCs/>
          <w:sz w:val="22"/>
          <w:szCs w:val="22"/>
          <w:lang w:val="en-US"/>
        </w:rPr>
        <w:t xml:space="preserve"> In FY23-24, a total of 30,876 observations were reported and 9826 Suraksha </w:t>
      </w:r>
      <w:proofErr w:type="spellStart"/>
      <w:r w:rsidRPr="00B434FD">
        <w:rPr>
          <w:rFonts w:asciiTheme="minorHAnsi" w:eastAsia="Calibri" w:hAnsiTheme="minorHAnsi" w:cstheme="minorHAnsi"/>
          <w:bCs/>
          <w:sz w:val="22"/>
          <w:szCs w:val="22"/>
          <w:lang w:val="en-US"/>
        </w:rPr>
        <w:t>Sambad</w:t>
      </w:r>
      <w:proofErr w:type="spellEnd"/>
      <w:r w:rsidRPr="00B434FD">
        <w:rPr>
          <w:rFonts w:asciiTheme="minorHAnsi" w:eastAsia="Calibri" w:hAnsiTheme="minorHAnsi" w:cstheme="minorHAnsi"/>
          <w:bCs/>
          <w:sz w:val="22"/>
          <w:szCs w:val="22"/>
          <w:lang w:val="en-US"/>
        </w:rPr>
        <w:t xml:space="preserve"> sessions were conducted in FY25 till Aug’24</w:t>
      </w:r>
    </w:p>
    <w:p w14:paraId="28485344" w14:textId="77777777" w:rsidR="00F616FB" w:rsidRDefault="00F616FB" w:rsidP="00AB536C">
      <w:pPr>
        <w:pStyle w:val="Default"/>
        <w:numPr>
          <w:ilvl w:val="0"/>
          <w:numId w:val="32"/>
        </w:numPr>
        <w:spacing w:line="360" w:lineRule="auto"/>
        <w:ind w:left="851"/>
        <w:jc w:val="both"/>
        <w:rPr>
          <w:rFonts w:asciiTheme="minorHAnsi" w:eastAsia="Calibri" w:hAnsiTheme="minorHAnsi" w:cstheme="minorHAnsi"/>
          <w:bCs/>
          <w:sz w:val="22"/>
          <w:szCs w:val="22"/>
          <w:lang w:val="en-US"/>
        </w:rPr>
      </w:pPr>
      <w:r w:rsidRPr="00B434FD">
        <w:rPr>
          <w:rFonts w:asciiTheme="minorHAnsi" w:eastAsia="Calibri" w:hAnsiTheme="minorHAnsi" w:cstheme="minorHAnsi"/>
          <w:b/>
          <w:bCs/>
          <w:sz w:val="22"/>
          <w:szCs w:val="22"/>
          <w:lang w:val="en-US"/>
        </w:rPr>
        <w:t>JSA Application:</w:t>
      </w:r>
      <w:r w:rsidRPr="00B434FD">
        <w:rPr>
          <w:rFonts w:asciiTheme="minorHAnsi" w:eastAsia="Calibri" w:hAnsiTheme="minorHAnsi" w:cstheme="minorHAnsi"/>
          <w:bCs/>
          <w:sz w:val="22"/>
          <w:szCs w:val="22"/>
          <w:lang w:val="en-US"/>
        </w:rPr>
        <w:t xml:space="preserve"> TPNODL has developed a JSA application to create, submit, and review job safety analyses for all planned outage jobs. The company plans to expand this application to cover non-outage jobs and incorporate Last Minute Risk Assessments (LMRA).</w:t>
      </w:r>
    </w:p>
    <w:p w14:paraId="79AF2CBE" w14:textId="77777777" w:rsidR="00F616FB" w:rsidRPr="00B434FD" w:rsidRDefault="00F616FB" w:rsidP="00AB536C">
      <w:pPr>
        <w:pStyle w:val="Default"/>
        <w:numPr>
          <w:ilvl w:val="0"/>
          <w:numId w:val="32"/>
        </w:numPr>
        <w:spacing w:line="360" w:lineRule="auto"/>
        <w:ind w:left="851"/>
        <w:jc w:val="both"/>
        <w:rPr>
          <w:rFonts w:asciiTheme="minorHAnsi" w:eastAsia="Calibri" w:hAnsiTheme="minorHAnsi" w:cstheme="minorHAnsi"/>
          <w:bCs/>
          <w:sz w:val="22"/>
          <w:szCs w:val="22"/>
          <w:lang w:val="en-US"/>
        </w:rPr>
      </w:pPr>
      <w:r w:rsidRPr="00B434FD">
        <w:rPr>
          <w:rFonts w:asciiTheme="minorHAnsi" w:eastAsia="Calibri" w:hAnsiTheme="minorHAnsi" w:cstheme="minorHAnsi"/>
          <w:bCs/>
          <w:sz w:val="22"/>
          <w:szCs w:val="22"/>
          <w:lang w:val="en-US"/>
        </w:rPr>
        <w:t xml:space="preserve">THSMS (Tata Health Safety Management System) audit conducted across the division level </w:t>
      </w:r>
    </w:p>
    <w:p w14:paraId="50547B72" w14:textId="77777777" w:rsidR="00F616FB" w:rsidRDefault="00F616FB" w:rsidP="00F616FB">
      <w:pPr>
        <w:spacing w:before="100" w:beforeAutospacing="1" w:after="100" w:afterAutospacing="1" w:line="360" w:lineRule="auto"/>
        <w:ind w:left="851"/>
        <w:rPr>
          <w:rFonts w:asciiTheme="minorHAnsi" w:eastAsia="Calibri" w:hAnsiTheme="minorHAnsi" w:cstheme="minorHAnsi"/>
          <w:bCs/>
          <w:color w:val="000000"/>
          <w:sz w:val="22"/>
          <w:szCs w:val="22"/>
        </w:rPr>
      </w:pPr>
      <w:r w:rsidRPr="00793041">
        <w:rPr>
          <w:rFonts w:asciiTheme="minorHAnsi" w:eastAsia="Calibri" w:hAnsiTheme="minorHAnsi" w:cstheme="minorHAnsi"/>
          <w:bCs/>
          <w:color w:val="000000"/>
          <w:sz w:val="22"/>
          <w:szCs w:val="22"/>
        </w:rPr>
        <w:t>These initiatives demonstrate TPNODL's commitment to safety and its continuous efforts to improve workplace conditions and prevent accidents.</w:t>
      </w:r>
    </w:p>
    <w:p w14:paraId="54109928" w14:textId="6521DC03" w:rsidR="00F616FB" w:rsidRDefault="00F616FB" w:rsidP="00F616FB">
      <w:pPr>
        <w:spacing w:before="100" w:beforeAutospacing="1" w:after="100" w:afterAutospacing="1" w:line="360" w:lineRule="auto"/>
        <w:rPr>
          <w:rFonts w:asciiTheme="minorHAnsi" w:eastAsia="Calibri" w:hAnsiTheme="minorHAnsi" w:cstheme="minorHAnsi"/>
          <w:b/>
          <w:bCs/>
          <w:color w:val="000000"/>
          <w:szCs w:val="28"/>
        </w:rPr>
      </w:pPr>
      <w:r>
        <w:rPr>
          <w:rFonts w:asciiTheme="minorHAnsi" w:eastAsia="Calibri" w:hAnsiTheme="minorHAnsi" w:cstheme="minorHAnsi"/>
          <w:b/>
          <w:bCs/>
          <w:color w:val="000000"/>
          <w:szCs w:val="28"/>
        </w:rPr>
        <w:t xml:space="preserve">          </w:t>
      </w:r>
      <w:r w:rsidR="00894F4D">
        <w:rPr>
          <w:rFonts w:asciiTheme="minorHAnsi" w:eastAsia="Calibri" w:hAnsiTheme="minorHAnsi" w:cstheme="minorHAnsi"/>
          <w:b/>
          <w:bCs/>
          <w:color w:val="000000"/>
          <w:szCs w:val="28"/>
        </w:rPr>
        <w:t>6.4.4</w:t>
      </w:r>
      <w:r w:rsidRPr="00B434FD">
        <w:rPr>
          <w:rFonts w:asciiTheme="minorHAnsi" w:eastAsia="Calibri" w:hAnsiTheme="minorHAnsi" w:cstheme="minorHAnsi"/>
          <w:b/>
          <w:bCs/>
          <w:color w:val="000000"/>
          <w:szCs w:val="28"/>
        </w:rPr>
        <w:t xml:space="preserve"> Process Development for Safety</w:t>
      </w:r>
    </w:p>
    <w:p w14:paraId="1BD07E15" w14:textId="77777777" w:rsidR="00F616FB" w:rsidRPr="00B434FD" w:rsidRDefault="00F616FB" w:rsidP="00AB536C">
      <w:pPr>
        <w:pStyle w:val="ListParagraph"/>
        <w:numPr>
          <w:ilvl w:val="0"/>
          <w:numId w:val="34"/>
        </w:numPr>
        <w:spacing w:before="100" w:beforeAutospacing="1" w:after="100" w:afterAutospacing="1" w:line="360" w:lineRule="auto"/>
        <w:ind w:left="851" w:hanging="425"/>
        <w:jc w:val="both"/>
        <w:rPr>
          <w:rFonts w:asciiTheme="minorHAnsi" w:hAnsiTheme="minorHAnsi" w:cstheme="minorHAnsi"/>
          <w:bCs/>
          <w:color w:val="000000"/>
          <w:sz w:val="20"/>
        </w:rPr>
      </w:pPr>
      <w:r w:rsidRPr="00B434FD">
        <w:rPr>
          <w:rFonts w:asciiTheme="minorHAnsi" w:hAnsiTheme="minorHAnsi" w:cstheme="minorHAnsi"/>
          <w:bCs/>
        </w:rPr>
        <w:t>BASCC (Business Associated Safety Code of Conduct) Tata Power engages Business Associate workforce to execute, run and maintain various operating sites and facilities across locations for various business verticals including Generation, Transmission, Distribution and Renewable must perform work in a manner consistent with Tata Power Policies, Principle, values, working standard applied to activities range from project execution, operation, and maintenance to facilities management</w:t>
      </w:r>
      <w:r>
        <w:rPr>
          <w:rFonts w:asciiTheme="minorHAnsi" w:hAnsiTheme="minorHAnsi" w:cstheme="minorHAnsi"/>
          <w:bCs/>
        </w:rPr>
        <w:t>.</w:t>
      </w:r>
      <w:r w:rsidRPr="00B434FD">
        <w:rPr>
          <w:rFonts w:asciiTheme="minorHAnsi" w:hAnsiTheme="minorHAnsi" w:cstheme="minorHAnsi"/>
          <w:bCs/>
        </w:rPr>
        <w:t xml:space="preserve"> </w:t>
      </w:r>
    </w:p>
    <w:p w14:paraId="2881AA58" w14:textId="77777777" w:rsidR="00F616FB" w:rsidRPr="00B434FD" w:rsidRDefault="00F616FB" w:rsidP="00AB536C">
      <w:pPr>
        <w:pStyle w:val="ListParagraph"/>
        <w:numPr>
          <w:ilvl w:val="0"/>
          <w:numId w:val="34"/>
        </w:numPr>
        <w:spacing w:before="100" w:beforeAutospacing="1" w:after="100" w:afterAutospacing="1" w:line="360" w:lineRule="auto"/>
        <w:ind w:left="851" w:hanging="425"/>
        <w:jc w:val="both"/>
        <w:rPr>
          <w:rFonts w:asciiTheme="minorHAnsi" w:hAnsiTheme="minorHAnsi" w:cstheme="minorHAnsi"/>
          <w:bCs/>
          <w:color w:val="000000"/>
          <w:sz w:val="20"/>
        </w:rPr>
      </w:pPr>
      <w:r w:rsidRPr="00B434FD">
        <w:rPr>
          <w:rFonts w:asciiTheme="minorHAnsi" w:hAnsiTheme="minorHAnsi" w:cstheme="minorHAnsi"/>
          <w:bCs/>
          <w:color w:val="000000"/>
        </w:rPr>
        <w:t>Job Safety Analysis -JSA prepared for all non-routine activities. Site specific JSA has been carried out at the site by Project Engineer /Section Manager and approved by immediate superior for all planned maintenance jobs. Every JSA must have the SLD showing the isolation points &amp; discharge rod locations. Joint survey and risk assessment should be carried out by visiting the worksite by Operations, Projects &amp; BA team.</w:t>
      </w:r>
    </w:p>
    <w:p w14:paraId="1170CD16" w14:textId="77777777" w:rsidR="00F616FB" w:rsidRPr="00B434FD" w:rsidRDefault="00F616FB" w:rsidP="00AB536C">
      <w:pPr>
        <w:pStyle w:val="ListParagraph"/>
        <w:numPr>
          <w:ilvl w:val="0"/>
          <w:numId w:val="34"/>
        </w:numPr>
        <w:spacing w:before="100" w:beforeAutospacing="1" w:after="100" w:afterAutospacing="1" w:line="360" w:lineRule="auto"/>
        <w:ind w:left="851" w:hanging="425"/>
        <w:jc w:val="both"/>
        <w:rPr>
          <w:rFonts w:asciiTheme="minorHAnsi" w:hAnsiTheme="minorHAnsi" w:cstheme="minorHAnsi"/>
          <w:bCs/>
          <w:color w:val="000000"/>
          <w:sz w:val="20"/>
        </w:rPr>
      </w:pPr>
      <w:r w:rsidRPr="00B434FD">
        <w:rPr>
          <w:rFonts w:asciiTheme="minorHAnsi" w:hAnsiTheme="minorHAnsi" w:cstheme="minorHAnsi"/>
          <w:bCs/>
          <w:color w:val="000000"/>
        </w:rPr>
        <w:t xml:space="preserve">Safe zoning must be ensured before work on Electrical system of HT line and system where mandatory outage is required. </w:t>
      </w:r>
    </w:p>
    <w:p w14:paraId="2F7873AD" w14:textId="77777777" w:rsidR="00F616FB" w:rsidRPr="00B434FD" w:rsidRDefault="00F616FB" w:rsidP="00AB536C">
      <w:pPr>
        <w:pStyle w:val="ListParagraph"/>
        <w:numPr>
          <w:ilvl w:val="0"/>
          <w:numId w:val="34"/>
        </w:numPr>
        <w:spacing w:before="100" w:beforeAutospacing="1" w:after="100" w:afterAutospacing="1" w:line="360" w:lineRule="auto"/>
        <w:ind w:left="851" w:hanging="425"/>
        <w:jc w:val="both"/>
        <w:rPr>
          <w:rFonts w:asciiTheme="minorHAnsi" w:hAnsiTheme="minorHAnsi" w:cstheme="minorHAnsi"/>
          <w:bCs/>
          <w:color w:val="000000"/>
          <w:sz w:val="20"/>
        </w:rPr>
      </w:pPr>
      <w:r w:rsidRPr="00B434FD">
        <w:rPr>
          <w:rFonts w:asciiTheme="minorHAnsi" w:hAnsiTheme="minorHAnsi" w:cstheme="minorHAnsi"/>
          <w:bCs/>
          <w:color w:val="000000"/>
        </w:rPr>
        <w:t xml:space="preserve">SOP for all activities shall be reviewed to include learning, extensive awareness and monitored for its implementation. </w:t>
      </w:r>
    </w:p>
    <w:p w14:paraId="3AFA6D8B" w14:textId="77777777" w:rsidR="00F616FB" w:rsidRPr="00B434FD" w:rsidRDefault="00F616FB" w:rsidP="00AB536C">
      <w:pPr>
        <w:pStyle w:val="ListParagraph"/>
        <w:numPr>
          <w:ilvl w:val="0"/>
          <w:numId w:val="34"/>
        </w:numPr>
        <w:spacing w:before="100" w:beforeAutospacing="1" w:after="100" w:afterAutospacing="1" w:line="360" w:lineRule="auto"/>
        <w:ind w:left="851" w:hanging="425"/>
        <w:jc w:val="both"/>
        <w:rPr>
          <w:rFonts w:asciiTheme="minorHAnsi" w:hAnsiTheme="minorHAnsi" w:cstheme="minorHAnsi"/>
          <w:bCs/>
          <w:color w:val="000000"/>
          <w:sz w:val="20"/>
        </w:rPr>
      </w:pPr>
      <w:r w:rsidRPr="00B434FD">
        <w:rPr>
          <w:rFonts w:asciiTheme="minorHAnsi" w:hAnsiTheme="minorHAnsi" w:cstheme="minorHAnsi"/>
          <w:bCs/>
          <w:color w:val="000000"/>
        </w:rPr>
        <w:t>Work has been carried out after ensuring the control measures at site by the site supervisor as per SOP/SMP/WI/JSA. Anticipated hazards to be discussed in toolbox talk prior to start the work.</w:t>
      </w:r>
    </w:p>
    <w:p w14:paraId="34494217" w14:textId="77777777" w:rsidR="00F616FB" w:rsidRPr="00FF3F48" w:rsidRDefault="00F616FB" w:rsidP="00AB536C">
      <w:pPr>
        <w:pStyle w:val="ListParagraph"/>
        <w:numPr>
          <w:ilvl w:val="0"/>
          <w:numId w:val="34"/>
        </w:numPr>
        <w:spacing w:before="100" w:beforeAutospacing="1" w:after="100" w:afterAutospacing="1" w:line="360" w:lineRule="auto"/>
        <w:ind w:left="851" w:hanging="425"/>
        <w:jc w:val="both"/>
        <w:rPr>
          <w:rFonts w:asciiTheme="minorHAnsi" w:hAnsiTheme="minorHAnsi" w:cstheme="minorHAnsi"/>
          <w:bCs/>
          <w:color w:val="000000"/>
          <w:sz w:val="20"/>
        </w:rPr>
      </w:pPr>
      <w:r w:rsidRPr="00B434FD">
        <w:rPr>
          <w:rFonts w:asciiTheme="minorHAnsi" w:hAnsiTheme="minorHAnsi" w:cstheme="minorHAnsi"/>
          <w:bCs/>
          <w:color w:val="000000"/>
        </w:rPr>
        <w:t xml:space="preserve">No Supervision No Work concept to be ensured. Concerned officers shall monitor the activities of Site Supervisor deployed by the BA. </w:t>
      </w:r>
    </w:p>
    <w:p w14:paraId="797948F7" w14:textId="77777777" w:rsidR="00F616FB" w:rsidRPr="00F15FB6" w:rsidRDefault="00F616FB" w:rsidP="00F616FB">
      <w:pPr>
        <w:pStyle w:val="ListParagraph"/>
        <w:spacing w:before="100" w:beforeAutospacing="1" w:after="100" w:afterAutospacing="1" w:line="360" w:lineRule="auto"/>
        <w:ind w:left="851"/>
        <w:jc w:val="both"/>
        <w:rPr>
          <w:rFonts w:asciiTheme="minorHAnsi" w:hAnsiTheme="minorHAnsi" w:cstheme="minorHAnsi"/>
          <w:bCs/>
          <w:color w:val="000000"/>
          <w:sz w:val="20"/>
        </w:rPr>
      </w:pPr>
    </w:p>
    <w:p w14:paraId="3CF1190D" w14:textId="1D0E66CC" w:rsidR="00F616FB" w:rsidRDefault="00F616FB" w:rsidP="00F616FB">
      <w:pPr>
        <w:pStyle w:val="ListParagraph"/>
        <w:spacing w:before="100" w:beforeAutospacing="1" w:after="100" w:afterAutospacing="1" w:line="360" w:lineRule="auto"/>
        <w:ind w:left="851"/>
        <w:jc w:val="both"/>
        <w:rPr>
          <w:rFonts w:asciiTheme="minorHAnsi" w:hAnsiTheme="minorHAnsi" w:cstheme="minorHAnsi"/>
          <w:bCs/>
          <w:color w:val="000000"/>
          <w:sz w:val="20"/>
        </w:rPr>
      </w:pPr>
    </w:p>
    <w:p w14:paraId="4C8A5C5A" w14:textId="7305C408" w:rsidR="0025136B" w:rsidRDefault="0025136B" w:rsidP="00F616FB">
      <w:pPr>
        <w:pStyle w:val="ListParagraph"/>
        <w:spacing w:before="100" w:beforeAutospacing="1" w:after="100" w:afterAutospacing="1" w:line="360" w:lineRule="auto"/>
        <w:ind w:left="851"/>
        <w:jc w:val="both"/>
        <w:rPr>
          <w:rFonts w:asciiTheme="minorHAnsi" w:hAnsiTheme="minorHAnsi" w:cstheme="minorHAnsi"/>
          <w:bCs/>
          <w:color w:val="000000"/>
          <w:sz w:val="20"/>
        </w:rPr>
      </w:pPr>
    </w:p>
    <w:p w14:paraId="3F3E50DB" w14:textId="54B0B567" w:rsidR="0025136B" w:rsidRDefault="0025136B" w:rsidP="00F616FB">
      <w:pPr>
        <w:pStyle w:val="ListParagraph"/>
        <w:spacing w:before="100" w:beforeAutospacing="1" w:after="100" w:afterAutospacing="1" w:line="360" w:lineRule="auto"/>
        <w:ind w:left="851"/>
        <w:jc w:val="both"/>
        <w:rPr>
          <w:rFonts w:asciiTheme="minorHAnsi" w:hAnsiTheme="minorHAnsi" w:cstheme="minorHAnsi"/>
          <w:bCs/>
          <w:color w:val="000000"/>
          <w:sz w:val="20"/>
        </w:rPr>
      </w:pPr>
    </w:p>
    <w:p w14:paraId="1A2C1413" w14:textId="280AE6B5" w:rsidR="0025136B" w:rsidRDefault="0025136B" w:rsidP="00F616FB">
      <w:pPr>
        <w:pStyle w:val="ListParagraph"/>
        <w:spacing w:before="100" w:beforeAutospacing="1" w:after="100" w:afterAutospacing="1" w:line="360" w:lineRule="auto"/>
        <w:ind w:left="851"/>
        <w:jc w:val="both"/>
        <w:rPr>
          <w:rFonts w:asciiTheme="minorHAnsi" w:hAnsiTheme="minorHAnsi" w:cstheme="minorHAnsi"/>
          <w:bCs/>
          <w:color w:val="000000"/>
          <w:sz w:val="20"/>
        </w:rPr>
      </w:pPr>
    </w:p>
    <w:p w14:paraId="4541845F" w14:textId="77777777" w:rsidR="0025136B" w:rsidRPr="00F15FB6" w:rsidRDefault="0025136B" w:rsidP="00F616FB">
      <w:pPr>
        <w:pStyle w:val="ListParagraph"/>
        <w:spacing w:before="100" w:beforeAutospacing="1" w:after="100" w:afterAutospacing="1" w:line="360" w:lineRule="auto"/>
        <w:ind w:left="851"/>
        <w:jc w:val="both"/>
        <w:rPr>
          <w:rFonts w:asciiTheme="minorHAnsi" w:hAnsiTheme="minorHAnsi" w:cstheme="minorHAnsi"/>
          <w:bCs/>
          <w:color w:val="000000"/>
          <w:sz w:val="20"/>
        </w:rPr>
      </w:pPr>
    </w:p>
    <w:p w14:paraId="085AE22A" w14:textId="69EE5001" w:rsidR="00F616FB" w:rsidRPr="00B434FD" w:rsidRDefault="00894F4D" w:rsidP="00F616FB">
      <w:pPr>
        <w:pStyle w:val="ListParagraph"/>
        <w:autoSpaceDE w:val="0"/>
        <w:autoSpaceDN w:val="0"/>
        <w:adjustRightInd w:val="0"/>
        <w:spacing w:line="360" w:lineRule="auto"/>
        <w:ind w:left="1080" w:hanging="513"/>
        <w:jc w:val="both"/>
        <w:rPr>
          <w:rFonts w:asciiTheme="minorHAnsi" w:hAnsiTheme="minorHAnsi" w:cstheme="minorHAnsi"/>
          <w:b/>
          <w:bCs/>
          <w:color w:val="000000"/>
          <w:sz w:val="24"/>
          <w:szCs w:val="28"/>
        </w:rPr>
      </w:pPr>
      <w:r>
        <w:rPr>
          <w:rFonts w:asciiTheme="minorHAnsi" w:hAnsiTheme="minorHAnsi" w:cstheme="minorHAnsi"/>
          <w:b/>
          <w:bCs/>
          <w:color w:val="000000"/>
          <w:sz w:val="24"/>
          <w:szCs w:val="28"/>
        </w:rPr>
        <w:t>6.4.5</w:t>
      </w:r>
      <w:r w:rsidR="00F616FB" w:rsidRPr="00B434FD">
        <w:rPr>
          <w:rFonts w:asciiTheme="minorHAnsi" w:hAnsiTheme="minorHAnsi" w:cstheme="minorHAnsi"/>
          <w:bCs/>
          <w:color w:val="000000"/>
          <w:sz w:val="24"/>
          <w:szCs w:val="28"/>
        </w:rPr>
        <w:t xml:space="preserve"> </w:t>
      </w:r>
      <w:r w:rsidR="00F616FB" w:rsidRPr="00B434FD">
        <w:rPr>
          <w:rFonts w:asciiTheme="minorHAnsi" w:hAnsiTheme="minorHAnsi" w:cstheme="minorHAnsi"/>
          <w:b/>
          <w:bCs/>
          <w:color w:val="000000"/>
          <w:sz w:val="24"/>
          <w:szCs w:val="28"/>
        </w:rPr>
        <w:t>Training, Capability Development and Competency Development/ Behavior   Intervention</w:t>
      </w:r>
    </w:p>
    <w:p w14:paraId="21A321F4" w14:textId="77777777" w:rsidR="00F616FB" w:rsidRDefault="00F616FB" w:rsidP="00AB536C">
      <w:pPr>
        <w:pStyle w:val="ListParagraph"/>
        <w:numPr>
          <w:ilvl w:val="0"/>
          <w:numId w:val="35"/>
        </w:numPr>
        <w:autoSpaceDE w:val="0"/>
        <w:autoSpaceDN w:val="0"/>
        <w:adjustRightInd w:val="0"/>
        <w:spacing w:line="360" w:lineRule="auto"/>
        <w:ind w:left="993" w:hanging="426"/>
        <w:jc w:val="both"/>
        <w:rPr>
          <w:rFonts w:asciiTheme="minorHAnsi" w:hAnsiTheme="minorHAnsi" w:cstheme="minorHAnsi"/>
          <w:bCs/>
          <w:color w:val="000000"/>
        </w:rPr>
      </w:pPr>
      <w:r w:rsidRPr="00B434FD">
        <w:rPr>
          <w:rFonts w:asciiTheme="minorHAnsi" w:hAnsiTheme="minorHAnsi" w:cstheme="minorHAnsi"/>
          <w:b/>
          <w:color w:val="000000"/>
        </w:rPr>
        <w:t>Hands-on Technical Training Centers (HOTT):</w:t>
      </w:r>
      <w:r w:rsidRPr="00B434FD">
        <w:rPr>
          <w:rFonts w:asciiTheme="minorHAnsi" w:hAnsiTheme="minorHAnsi" w:cstheme="minorHAnsi"/>
          <w:bCs/>
          <w:color w:val="000000"/>
        </w:rPr>
        <w:t xml:space="preserve"> The company is establishing HOTT centers across all five circles to provide practical training to employees, improving their technical capabilities.</w:t>
      </w:r>
    </w:p>
    <w:p w14:paraId="0A5A4611" w14:textId="77777777" w:rsidR="00F616FB" w:rsidRDefault="00F616FB" w:rsidP="00AB536C">
      <w:pPr>
        <w:pStyle w:val="ListParagraph"/>
        <w:numPr>
          <w:ilvl w:val="0"/>
          <w:numId w:val="35"/>
        </w:numPr>
        <w:autoSpaceDE w:val="0"/>
        <w:autoSpaceDN w:val="0"/>
        <w:adjustRightInd w:val="0"/>
        <w:spacing w:line="360" w:lineRule="auto"/>
        <w:ind w:left="993" w:hanging="426"/>
        <w:jc w:val="both"/>
        <w:rPr>
          <w:rFonts w:asciiTheme="minorHAnsi" w:hAnsiTheme="minorHAnsi" w:cstheme="minorHAnsi"/>
          <w:bCs/>
          <w:color w:val="000000"/>
        </w:rPr>
      </w:pPr>
      <w:r w:rsidRPr="009E2BD2">
        <w:rPr>
          <w:rFonts w:asciiTheme="minorHAnsi" w:hAnsiTheme="minorHAnsi" w:cstheme="minorHAnsi"/>
          <w:b/>
          <w:color w:val="000000"/>
        </w:rPr>
        <w:t>Partnerships with Government ITIs:</w:t>
      </w:r>
      <w:r w:rsidRPr="009E2BD2">
        <w:rPr>
          <w:rFonts w:asciiTheme="minorHAnsi" w:hAnsiTheme="minorHAnsi" w:cstheme="minorHAnsi"/>
          <w:bCs/>
          <w:color w:val="000000"/>
        </w:rPr>
        <w:t xml:space="preserve"> TPNODL has collaborated with government ITIs to offer classroom-based training in both technical and safety skills, ensuring a comprehensive approach to employee development.</w:t>
      </w:r>
    </w:p>
    <w:p w14:paraId="443EA509" w14:textId="77777777" w:rsidR="00F616FB" w:rsidRDefault="00F616FB" w:rsidP="00AB536C">
      <w:pPr>
        <w:pStyle w:val="ListParagraph"/>
        <w:numPr>
          <w:ilvl w:val="0"/>
          <w:numId w:val="35"/>
        </w:numPr>
        <w:autoSpaceDE w:val="0"/>
        <w:autoSpaceDN w:val="0"/>
        <w:adjustRightInd w:val="0"/>
        <w:spacing w:line="360" w:lineRule="auto"/>
        <w:ind w:left="993" w:hanging="426"/>
        <w:jc w:val="both"/>
        <w:rPr>
          <w:rFonts w:asciiTheme="minorHAnsi" w:hAnsiTheme="minorHAnsi" w:cstheme="minorHAnsi"/>
          <w:bCs/>
          <w:color w:val="000000"/>
        </w:rPr>
      </w:pPr>
      <w:r w:rsidRPr="009E2BD2">
        <w:rPr>
          <w:rFonts w:asciiTheme="minorHAnsi" w:hAnsiTheme="minorHAnsi" w:cstheme="minorHAnsi"/>
          <w:b/>
          <w:color w:val="000000"/>
        </w:rPr>
        <w:t>Mandatory SHE L1 Training:</w:t>
      </w:r>
      <w:r w:rsidRPr="009E2BD2">
        <w:rPr>
          <w:rFonts w:asciiTheme="minorHAnsi" w:hAnsiTheme="minorHAnsi" w:cstheme="minorHAnsi"/>
          <w:bCs/>
          <w:color w:val="000000"/>
        </w:rPr>
        <w:t xml:space="preserve"> All employees are required to undergo mandatory SHE L1 training, a specialized safety training module designed to equip them with essential safety knowledge and skills.</w:t>
      </w:r>
    </w:p>
    <w:p w14:paraId="324E2037" w14:textId="77777777" w:rsidR="00F616FB" w:rsidRDefault="00F616FB" w:rsidP="00AB536C">
      <w:pPr>
        <w:pStyle w:val="ListParagraph"/>
        <w:numPr>
          <w:ilvl w:val="0"/>
          <w:numId w:val="35"/>
        </w:numPr>
        <w:autoSpaceDE w:val="0"/>
        <w:autoSpaceDN w:val="0"/>
        <w:adjustRightInd w:val="0"/>
        <w:spacing w:line="360" w:lineRule="auto"/>
        <w:ind w:left="993" w:hanging="426"/>
        <w:jc w:val="both"/>
        <w:rPr>
          <w:rFonts w:asciiTheme="minorHAnsi" w:hAnsiTheme="minorHAnsi" w:cstheme="minorHAnsi"/>
          <w:bCs/>
          <w:color w:val="000000"/>
        </w:rPr>
      </w:pPr>
      <w:r w:rsidRPr="009E2BD2">
        <w:rPr>
          <w:rFonts w:asciiTheme="minorHAnsi" w:hAnsiTheme="minorHAnsi" w:cstheme="minorHAnsi"/>
          <w:b/>
          <w:color w:val="000000"/>
        </w:rPr>
        <w:t>Supervisor Training:</w:t>
      </w:r>
      <w:r w:rsidRPr="009E2BD2">
        <w:rPr>
          <w:rFonts w:asciiTheme="minorHAnsi" w:hAnsiTheme="minorHAnsi" w:cstheme="minorHAnsi"/>
          <w:bCs/>
          <w:color w:val="000000"/>
        </w:rPr>
        <w:t xml:space="preserve"> Project BA supervisors receive training on SOP preparation and reading of single line diagrams, enabling them to effectively manage safety procedures and technical aspects of their work.</w:t>
      </w:r>
    </w:p>
    <w:p w14:paraId="7A369E91" w14:textId="77777777" w:rsidR="00F616FB" w:rsidRDefault="00F616FB" w:rsidP="00AB536C">
      <w:pPr>
        <w:pStyle w:val="ListParagraph"/>
        <w:numPr>
          <w:ilvl w:val="0"/>
          <w:numId w:val="35"/>
        </w:numPr>
        <w:autoSpaceDE w:val="0"/>
        <w:autoSpaceDN w:val="0"/>
        <w:adjustRightInd w:val="0"/>
        <w:spacing w:line="360" w:lineRule="auto"/>
        <w:ind w:left="993" w:hanging="426"/>
        <w:jc w:val="both"/>
        <w:rPr>
          <w:rFonts w:asciiTheme="minorHAnsi" w:hAnsiTheme="minorHAnsi" w:cstheme="minorHAnsi"/>
          <w:bCs/>
          <w:color w:val="000000"/>
        </w:rPr>
      </w:pPr>
      <w:r w:rsidRPr="009E2BD2">
        <w:rPr>
          <w:rFonts w:asciiTheme="minorHAnsi" w:hAnsiTheme="minorHAnsi" w:cstheme="minorHAnsi"/>
          <w:b/>
          <w:color w:val="000000"/>
        </w:rPr>
        <w:t>Competency Mapping and Development:</w:t>
      </w:r>
      <w:r w:rsidRPr="009E2BD2">
        <w:rPr>
          <w:rFonts w:asciiTheme="minorHAnsi" w:hAnsiTheme="minorHAnsi" w:cstheme="minorHAnsi"/>
          <w:bCs/>
          <w:color w:val="000000"/>
        </w:rPr>
        <w:t xml:space="preserve"> TPNODL conducts competency mapping of BA supervisors to identify skill gaps and develop tailored training plans. This ensures that employees receive the necessary training to enhance their performance and contribute effectively to the organization.</w:t>
      </w:r>
    </w:p>
    <w:p w14:paraId="1C6E108C" w14:textId="77777777" w:rsidR="00F616FB" w:rsidRDefault="00F616FB" w:rsidP="00AB536C">
      <w:pPr>
        <w:pStyle w:val="ListParagraph"/>
        <w:numPr>
          <w:ilvl w:val="0"/>
          <w:numId w:val="35"/>
        </w:numPr>
        <w:autoSpaceDE w:val="0"/>
        <w:autoSpaceDN w:val="0"/>
        <w:adjustRightInd w:val="0"/>
        <w:spacing w:line="360" w:lineRule="auto"/>
        <w:ind w:left="993" w:hanging="426"/>
        <w:jc w:val="both"/>
        <w:rPr>
          <w:rFonts w:asciiTheme="minorHAnsi" w:hAnsiTheme="minorHAnsi" w:cstheme="minorHAnsi"/>
          <w:bCs/>
          <w:color w:val="000000"/>
        </w:rPr>
      </w:pPr>
      <w:r w:rsidRPr="009E2BD2">
        <w:rPr>
          <w:rFonts w:asciiTheme="minorHAnsi" w:hAnsiTheme="minorHAnsi" w:cstheme="minorHAnsi"/>
          <w:b/>
          <w:color w:val="000000"/>
        </w:rPr>
        <w:t>Behavioral Improvement:</w:t>
      </w:r>
      <w:r w:rsidRPr="009E2BD2">
        <w:rPr>
          <w:rFonts w:asciiTheme="minorHAnsi" w:hAnsiTheme="minorHAnsi" w:cstheme="minorHAnsi"/>
          <w:bCs/>
          <w:color w:val="000000"/>
        </w:rPr>
        <w:t xml:space="preserve"> The company has implemented extensive training and interventions to address unsafe behaviors and promote a culture of safety.</w:t>
      </w:r>
    </w:p>
    <w:p w14:paraId="457D85AE" w14:textId="77777777" w:rsidR="00F616FB" w:rsidRDefault="00F616FB" w:rsidP="00AB536C">
      <w:pPr>
        <w:pStyle w:val="ListParagraph"/>
        <w:numPr>
          <w:ilvl w:val="0"/>
          <w:numId w:val="35"/>
        </w:numPr>
        <w:autoSpaceDE w:val="0"/>
        <w:autoSpaceDN w:val="0"/>
        <w:adjustRightInd w:val="0"/>
        <w:spacing w:line="360" w:lineRule="auto"/>
        <w:ind w:left="993" w:hanging="426"/>
        <w:jc w:val="both"/>
        <w:rPr>
          <w:rFonts w:asciiTheme="minorHAnsi" w:hAnsiTheme="minorHAnsi" w:cstheme="minorHAnsi"/>
          <w:bCs/>
          <w:color w:val="000000"/>
        </w:rPr>
      </w:pPr>
      <w:r w:rsidRPr="009E2BD2">
        <w:rPr>
          <w:rFonts w:asciiTheme="minorHAnsi" w:hAnsiTheme="minorHAnsi" w:cstheme="minorHAnsi"/>
          <w:b/>
          <w:color w:val="000000"/>
        </w:rPr>
        <w:t>Safety Commitment Reinforcement:</w:t>
      </w:r>
      <w:r w:rsidRPr="009E2BD2">
        <w:rPr>
          <w:rFonts w:asciiTheme="minorHAnsi" w:hAnsiTheme="minorHAnsi" w:cstheme="minorHAnsi"/>
          <w:bCs/>
          <w:color w:val="000000"/>
        </w:rPr>
        <w:t xml:space="preserve"> TPNODL regularly reinforces the importance of individual safety commitments through mass meetings, ensuring that employees understand their responsibility in maintaining a safe work environment.</w:t>
      </w:r>
    </w:p>
    <w:p w14:paraId="7B7E2E3D" w14:textId="77777777" w:rsidR="00F616FB" w:rsidRDefault="00F616FB" w:rsidP="00AB536C">
      <w:pPr>
        <w:pStyle w:val="ListParagraph"/>
        <w:numPr>
          <w:ilvl w:val="0"/>
          <w:numId w:val="35"/>
        </w:numPr>
        <w:autoSpaceDE w:val="0"/>
        <w:autoSpaceDN w:val="0"/>
        <w:adjustRightInd w:val="0"/>
        <w:spacing w:line="360" w:lineRule="auto"/>
        <w:ind w:left="993" w:hanging="426"/>
        <w:jc w:val="both"/>
        <w:rPr>
          <w:rFonts w:asciiTheme="minorHAnsi" w:hAnsiTheme="minorHAnsi" w:cstheme="minorHAnsi"/>
          <w:bCs/>
          <w:color w:val="000000"/>
        </w:rPr>
      </w:pPr>
      <w:r w:rsidRPr="009E2BD2">
        <w:rPr>
          <w:rFonts w:asciiTheme="minorHAnsi" w:hAnsiTheme="minorHAnsi" w:cstheme="minorHAnsi"/>
          <w:b/>
          <w:color w:val="000000"/>
        </w:rPr>
        <w:t>Test Before Touch:</w:t>
      </w:r>
      <w:r w:rsidRPr="009E2BD2">
        <w:rPr>
          <w:rFonts w:asciiTheme="minorHAnsi" w:hAnsiTheme="minorHAnsi" w:cstheme="minorHAnsi"/>
          <w:bCs/>
          <w:color w:val="000000"/>
        </w:rPr>
        <w:t xml:space="preserve"> The company emphasizes the "Test Before Touch" concept to encourage employees to verify equipment and procedures before proceeding with any task.</w:t>
      </w:r>
    </w:p>
    <w:p w14:paraId="32C0C5AF" w14:textId="77777777" w:rsidR="00F616FB" w:rsidRDefault="00F616FB" w:rsidP="00AB536C">
      <w:pPr>
        <w:pStyle w:val="ListParagraph"/>
        <w:numPr>
          <w:ilvl w:val="0"/>
          <w:numId w:val="35"/>
        </w:numPr>
        <w:autoSpaceDE w:val="0"/>
        <w:autoSpaceDN w:val="0"/>
        <w:adjustRightInd w:val="0"/>
        <w:spacing w:line="360" w:lineRule="auto"/>
        <w:ind w:left="993" w:hanging="426"/>
        <w:jc w:val="both"/>
        <w:rPr>
          <w:rFonts w:asciiTheme="minorHAnsi" w:hAnsiTheme="minorHAnsi" w:cstheme="minorHAnsi"/>
          <w:bCs/>
          <w:color w:val="000000"/>
        </w:rPr>
      </w:pPr>
      <w:r w:rsidRPr="009E2BD2">
        <w:rPr>
          <w:rFonts w:asciiTheme="minorHAnsi" w:hAnsiTheme="minorHAnsi" w:cstheme="minorHAnsi"/>
          <w:b/>
          <w:color w:val="000000"/>
        </w:rPr>
        <w:t>Alcohol Testing:</w:t>
      </w:r>
      <w:r w:rsidRPr="009E2BD2">
        <w:rPr>
          <w:rFonts w:asciiTheme="minorHAnsi" w:hAnsiTheme="minorHAnsi" w:cstheme="minorHAnsi"/>
          <w:bCs/>
          <w:color w:val="000000"/>
        </w:rPr>
        <w:t xml:space="preserve"> Regular alcohol testing is conducted to ensure that employees are not working under the influence of alcohol, which can significantly increase the risk of accidents.</w:t>
      </w:r>
    </w:p>
    <w:p w14:paraId="286C973A" w14:textId="77777777" w:rsidR="00F616FB" w:rsidRDefault="00F616FB" w:rsidP="00AB536C">
      <w:pPr>
        <w:pStyle w:val="ListParagraph"/>
        <w:numPr>
          <w:ilvl w:val="0"/>
          <w:numId w:val="35"/>
        </w:numPr>
        <w:autoSpaceDE w:val="0"/>
        <w:autoSpaceDN w:val="0"/>
        <w:adjustRightInd w:val="0"/>
        <w:spacing w:line="360" w:lineRule="auto"/>
        <w:ind w:left="993" w:hanging="426"/>
        <w:jc w:val="both"/>
        <w:rPr>
          <w:rFonts w:asciiTheme="minorHAnsi" w:hAnsiTheme="minorHAnsi" w:cstheme="minorHAnsi"/>
          <w:bCs/>
          <w:color w:val="000000"/>
        </w:rPr>
      </w:pPr>
      <w:r w:rsidRPr="009E2BD2">
        <w:rPr>
          <w:rFonts w:asciiTheme="minorHAnsi" w:hAnsiTheme="minorHAnsi" w:cstheme="minorHAnsi"/>
          <w:b/>
          <w:color w:val="000000"/>
        </w:rPr>
        <w:t>Family Involvement:</w:t>
      </w:r>
      <w:r w:rsidRPr="009E2BD2">
        <w:rPr>
          <w:rFonts w:asciiTheme="minorHAnsi" w:hAnsiTheme="minorHAnsi" w:cstheme="minorHAnsi"/>
          <w:bCs/>
          <w:color w:val="000000"/>
        </w:rPr>
        <w:t xml:space="preserve"> TPNODL recognizes the importance of family support in promoting safety. The company conducts Suraksha </w:t>
      </w:r>
      <w:proofErr w:type="spellStart"/>
      <w:r w:rsidRPr="009E2BD2">
        <w:rPr>
          <w:rFonts w:asciiTheme="minorHAnsi" w:hAnsiTheme="minorHAnsi" w:cstheme="minorHAnsi"/>
          <w:bCs/>
          <w:color w:val="000000"/>
        </w:rPr>
        <w:t>Parivaar</w:t>
      </w:r>
      <w:proofErr w:type="spellEnd"/>
      <w:r w:rsidRPr="009E2BD2">
        <w:rPr>
          <w:rFonts w:asciiTheme="minorHAnsi" w:hAnsiTheme="minorHAnsi" w:cstheme="minorHAnsi"/>
          <w:bCs/>
          <w:color w:val="000000"/>
        </w:rPr>
        <w:t xml:space="preserve"> sessions to involve family members in safety discussions and reinforce safe practices.</w:t>
      </w:r>
    </w:p>
    <w:p w14:paraId="68F25EF0" w14:textId="0F49B388" w:rsidR="00F616FB" w:rsidRPr="0025136B" w:rsidRDefault="00F616FB" w:rsidP="00AB536C">
      <w:pPr>
        <w:pStyle w:val="ListParagraph"/>
        <w:numPr>
          <w:ilvl w:val="0"/>
          <w:numId w:val="35"/>
        </w:numPr>
        <w:autoSpaceDE w:val="0"/>
        <w:autoSpaceDN w:val="0"/>
        <w:adjustRightInd w:val="0"/>
        <w:spacing w:line="360" w:lineRule="auto"/>
        <w:ind w:left="993" w:hanging="426"/>
        <w:jc w:val="both"/>
        <w:rPr>
          <w:rFonts w:asciiTheme="minorHAnsi" w:hAnsiTheme="minorHAnsi" w:cstheme="minorHAnsi"/>
          <w:bCs/>
          <w:color w:val="000000"/>
        </w:rPr>
      </w:pPr>
      <w:r w:rsidRPr="009E2BD2">
        <w:rPr>
          <w:rFonts w:asciiTheme="minorHAnsi" w:hAnsiTheme="minorHAnsi" w:cstheme="minorHAnsi"/>
          <w:b/>
          <w:color w:val="000000"/>
        </w:rPr>
        <w:t xml:space="preserve">Hum </w:t>
      </w:r>
      <w:proofErr w:type="spellStart"/>
      <w:r w:rsidRPr="009E2BD2">
        <w:rPr>
          <w:rFonts w:asciiTheme="minorHAnsi" w:hAnsiTheme="minorHAnsi" w:cstheme="minorHAnsi"/>
          <w:b/>
          <w:color w:val="000000"/>
        </w:rPr>
        <w:t>Surkashit</w:t>
      </w:r>
      <w:proofErr w:type="spellEnd"/>
      <w:r w:rsidRPr="009E2BD2">
        <w:rPr>
          <w:rFonts w:asciiTheme="minorHAnsi" w:hAnsiTheme="minorHAnsi" w:cstheme="minorHAnsi"/>
          <w:b/>
          <w:color w:val="000000"/>
        </w:rPr>
        <w:t xml:space="preserve"> </w:t>
      </w:r>
      <w:proofErr w:type="spellStart"/>
      <w:r w:rsidRPr="009E2BD2">
        <w:rPr>
          <w:rFonts w:asciiTheme="minorHAnsi" w:hAnsiTheme="minorHAnsi" w:cstheme="minorHAnsi"/>
          <w:b/>
          <w:color w:val="000000"/>
        </w:rPr>
        <w:t>Ghar</w:t>
      </w:r>
      <w:proofErr w:type="spellEnd"/>
      <w:r w:rsidRPr="009E2BD2">
        <w:rPr>
          <w:rFonts w:asciiTheme="minorHAnsi" w:hAnsiTheme="minorHAnsi" w:cstheme="minorHAnsi"/>
          <w:b/>
          <w:color w:val="000000"/>
        </w:rPr>
        <w:t xml:space="preserve"> </w:t>
      </w:r>
      <w:proofErr w:type="spellStart"/>
      <w:proofErr w:type="gramStart"/>
      <w:r w:rsidRPr="009E2BD2">
        <w:rPr>
          <w:rFonts w:asciiTheme="minorHAnsi" w:hAnsiTheme="minorHAnsi" w:cstheme="minorHAnsi"/>
          <w:b/>
          <w:color w:val="000000"/>
        </w:rPr>
        <w:t>Surakshit</w:t>
      </w:r>
      <w:proofErr w:type="spellEnd"/>
      <w:r w:rsidRPr="009E2BD2">
        <w:rPr>
          <w:rFonts w:asciiTheme="minorHAnsi" w:hAnsiTheme="minorHAnsi" w:cstheme="minorHAnsi"/>
          <w:b/>
          <w:color w:val="000000"/>
        </w:rPr>
        <w:t>:</w:t>
      </w:r>
      <w:r w:rsidRPr="009E2BD2">
        <w:rPr>
          <w:rFonts w:asciiTheme="minorHAnsi" w:hAnsiTheme="minorHAnsi" w:cstheme="minorHAnsi"/>
          <w:bCs/>
          <w:color w:val="000000"/>
        </w:rPr>
        <w:t>-</w:t>
      </w:r>
      <w:proofErr w:type="gramEnd"/>
      <w:r w:rsidRPr="009E2BD2">
        <w:rPr>
          <w:rFonts w:asciiTheme="minorHAnsi" w:hAnsiTheme="minorHAnsi" w:cstheme="minorHAnsi"/>
          <w:bCs/>
          <w:color w:val="000000"/>
        </w:rPr>
        <w:t xml:space="preserve"> A special type of Awareness session organized in which </w:t>
      </w:r>
      <w:r w:rsidRPr="009E2BD2">
        <w:rPr>
          <w:rFonts w:asciiTheme="minorHAnsi" w:hAnsiTheme="minorHAnsi" w:cstheme="minorHAnsi"/>
          <w:color w:val="000000"/>
        </w:rPr>
        <w:t>Awareness created to the married couples.</w:t>
      </w:r>
    </w:p>
    <w:p w14:paraId="19791FDB" w14:textId="1F042981" w:rsidR="0025136B" w:rsidRDefault="0025136B" w:rsidP="0025136B">
      <w:pPr>
        <w:autoSpaceDE w:val="0"/>
        <w:autoSpaceDN w:val="0"/>
        <w:adjustRightInd w:val="0"/>
        <w:spacing w:line="360" w:lineRule="auto"/>
        <w:jc w:val="both"/>
        <w:rPr>
          <w:rFonts w:asciiTheme="minorHAnsi" w:hAnsiTheme="minorHAnsi" w:cstheme="minorHAnsi"/>
          <w:bCs/>
          <w:color w:val="000000"/>
        </w:rPr>
      </w:pPr>
    </w:p>
    <w:p w14:paraId="7DB901DE" w14:textId="3D8990D8" w:rsidR="0025136B" w:rsidRDefault="0025136B" w:rsidP="0025136B">
      <w:pPr>
        <w:autoSpaceDE w:val="0"/>
        <w:autoSpaceDN w:val="0"/>
        <w:adjustRightInd w:val="0"/>
        <w:spacing w:line="360" w:lineRule="auto"/>
        <w:jc w:val="both"/>
        <w:rPr>
          <w:rFonts w:asciiTheme="minorHAnsi" w:hAnsiTheme="minorHAnsi" w:cstheme="minorHAnsi"/>
          <w:bCs/>
          <w:color w:val="000000"/>
        </w:rPr>
      </w:pPr>
    </w:p>
    <w:p w14:paraId="35311958" w14:textId="67DF75AA" w:rsidR="00F616FB" w:rsidRPr="00894F4D" w:rsidRDefault="00894F4D" w:rsidP="00894F4D">
      <w:pPr>
        <w:autoSpaceDE w:val="0"/>
        <w:autoSpaceDN w:val="0"/>
        <w:adjustRightInd w:val="0"/>
        <w:spacing w:line="360" w:lineRule="auto"/>
        <w:jc w:val="both"/>
        <w:rPr>
          <w:rFonts w:asciiTheme="minorHAnsi" w:hAnsiTheme="minorHAnsi" w:cstheme="minorHAnsi"/>
          <w:b/>
          <w:bCs/>
          <w:color w:val="000000"/>
        </w:rPr>
      </w:pPr>
      <w:r w:rsidRPr="00894F4D">
        <w:rPr>
          <w:rFonts w:asciiTheme="minorHAnsi" w:hAnsiTheme="minorHAnsi" w:cstheme="minorHAnsi"/>
          <w:b/>
          <w:bCs/>
          <w:color w:val="000000"/>
        </w:rPr>
        <w:lastRenderedPageBreak/>
        <w:t xml:space="preserve">           6.4.6 </w:t>
      </w:r>
      <w:r w:rsidR="00F616FB" w:rsidRPr="00894F4D">
        <w:rPr>
          <w:rFonts w:asciiTheme="minorHAnsi" w:hAnsiTheme="minorHAnsi" w:cstheme="minorHAnsi"/>
          <w:b/>
          <w:bCs/>
          <w:color w:val="000000"/>
        </w:rPr>
        <w:t>Public Awareness</w:t>
      </w:r>
    </w:p>
    <w:p w14:paraId="37A61DFC" w14:textId="77777777" w:rsidR="00F616FB" w:rsidRPr="00364A72" w:rsidRDefault="00F616FB" w:rsidP="00F616FB">
      <w:pPr>
        <w:autoSpaceDE w:val="0"/>
        <w:autoSpaceDN w:val="0"/>
        <w:adjustRightInd w:val="0"/>
        <w:spacing w:line="360" w:lineRule="auto"/>
        <w:ind w:left="567" w:hanging="425"/>
        <w:jc w:val="both"/>
        <w:rPr>
          <w:rFonts w:asciiTheme="minorHAnsi" w:eastAsia="Calibri" w:hAnsiTheme="minorHAnsi" w:cstheme="minorHAnsi"/>
          <w:color w:val="000000"/>
          <w:sz w:val="22"/>
          <w:szCs w:val="22"/>
        </w:rPr>
      </w:pPr>
      <w:r>
        <w:rPr>
          <w:rFonts w:asciiTheme="minorHAnsi" w:eastAsia="Calibri" w:hAnsiTheme="minorHAnsi" w:cstheme="minorHAnsi"/>
          <w:b/>
          <w:color w:val="000000"/>
          <w:sz w:val="22"/>
          <w:szCs w:val="22"/>
        </w:rPr>
        <w:t xml:space="preserve">         </w:t>
      </w:r>
      <w:r w:rsidRPr="00364A72">
        <w:rPr>
          <w:rFonts w:asciiTheme="minorHAnsi" w:eastAsia="Calibri" w:hAnsiTheme="minorHAnsi" w:cstheme="minorHAnsi"/>
          <w:color w:val="000000"/>
          <w:sz w:val="22"/>
          <w:szCs w:val="22"/>
        </w:rPr>
        <w:t>TPNODL has implemented various initiatives to raise public awareness about electrical safety   and encourage community involvement. Key measures include:</w:t>
      </w:r>
    </w:p>
    <w:p w14:paraId="7AD91E4A" w14:textId="77777777" w:rsidR="00F616FB" w:rsidRDefault="00F616FB" w:rsidP="00F616FB">
      <w:pPr>
        <w:autoSpaceDE w:val="0"/>
        <w:autoSpaceDN w:val="0"/>
        <w:adjustRightInd w:val="0"/>
        <w:spacing w:line="360" w:lineRule="auto"/>
        <w:jc w:val="both"/>
        <w:rPr>
          <w:rFonts w:asciiTheme="minorHAnsi" w:eastAsia="Calibri" w:hAnsiTheme="minorHAnsi" w:cstheme="minorHAnsi"/>
          <w:b/>
          <w:color w:val="000000"/>
          <w:sz w:val="22"/>
          <w:szCs w:val="22"/>
        </w:rPr>
      </w:pPr>
    </w:p>
    <w:p w14:paraId="766C039A" w14:textId="77777777" w:rsidR="00F616FB" w:rsidRPr="00B434FD" w:rsidRDefault="00F616FB" w:rsidP="00AB536C">
      <w:pPr>
        <w:pStyle w:val="ListParagraph"/>
        <w:numPr>
          <w:ilvl w:val="0"/>
          <w:numId w:val="33"/>
        </w:numPr>
        <w:autoSpaceDE w:val="0"/>
        <w:autoSpaceDN w:val="0"/>
        <w:adjustRightInd w:val="0"/>
        <w:spacing w:line="360" w:lineRule="auto"/>
        <w:ind w:left="993"/>
        <w:jc w:val="both"/>
        <w:rPr>
          <w:rFonts w:asciiTheme="minorHAnsi" w:hAnsiTheme="minorHAnsi" w:cstheme="minorHAnsi"/>
          <w:b/>
          <w:color w:val="000000"/>
        </w:rPr>
      </w:pPr>
      <w:r w:rsidRPr="00B434FD">
        <w:rPr>
          <w:rFonts w:asciiTheme="minorHAnsi" w:hAnsiTheme="minorHAnsi" w:cstheme="minorHAnsi"/>
          <w:b/>
          <w:color w:val="000000"/>
        </w:rPr>
        <w:t>Safety Awareness Sessions</w:t>
      </w:r>
      <w:r w:rsidRPr="00B434FD">
        <w:rPr>
          <w:rFonts w:asciiTheme="minorHAnsi" w:hAnsiTheme="minorHAnsi" w:cstheme="minorHAnsi"/>
          <w:color w:val="000000"/>
        </w:rPr>
        <w:t>: The company has conducted safety awareness sessions at multiple fair mass gathering places and festival events to educate the public about electrical safety hazards and encourage them to report unsafe acts observed by TPNODL employees.</w:t>
      </w:r>
    </w:p>
    <w:p w14:paraId="28D31B90" w14:textId="77777777" w:rsidR="00F616FB" w:rsidRPr="00B434FD" w:rsidRDefault="00F616FB" w:rsidP="00AB536C">
      <w:pPr>
        <w:pStyle w:val="ListParagraph"/>
        <w:numPr>
          <w:ilvl w:val="0"/>
          <w:numId w:val="33"/>
        </w:numPr>
        <w:autoSpaceDE w:val="0"/>
        <w:autoSpaceDN w:val="0"/>
        <w:adjustRightInd w:val="0"/>
        <w:spacing w:line="360" w:lineRule="auto"/>
        <w:ind w:left="993"/>
        <w:jc w:val="both"/>
        <w:rPr>
          <w:rFonts w:asciiTheme="minorHAnsi" w:hAnsiTheme="minorHAnsi" w:cstheme="minorHAnsi"/>
          <w:b/>
          <w:color w:val="000000"/>
        </w:rPr>
      </w:pPr>
      <w:r w:rsidRPr="00B434FD">
        <w:rPr>
          <w:rFonts w:asciiTheme="minorHAnsi" w:hAnsiTheme="minorHAnsi" w:cstheme="minorHAnsi"/>
          <w:b/>
          <w:color w:val="000000"/>
        </w:rPr>
        <w:t xml:space="preserve">Consumer Awareness Drives: </w:t>
      </w:r>
      <w:r w:rsidRPr="00B434FD">
        <w:rPr>
          <w:rFonts w:asciiTheme="minorHAnsi" w:hAnsiTheme="minorHAnsi" w:cstheme="minorHAnsi"/>
          <w:color w:val="000000"/>
        </w:rPr>
        <w:t>TPNODL has conducted consumer awareness drives to inform the public about unsafe acts that may be performed by workmen and encourage them to report such incidents through a dedicated WhatsApp number.</w:t>
      </w:r>
    </w:p>
    <w:p w14:paraId="45D53D74" w14:textId="77777777" w:rsidR="00F616FB" w:rsidRPr="00B434FD" w:rsidRDefault="00F616FB" w:rsidP="00AB536C">
      <w:pPr>
        <w:pStyle w:val="ListParagraph"/>
        <w:numPr>
          <w:ilvl w:val="0"/>
          <w:numId w:val="33"/>
        </w:numPr>
        <w:autoSpaceDE w:val="0"/>
        <w:autoSpaceDN w:val="0"/>
        <w:adjustRightInd w:val="0"/>
        <w:spacing w:line="360" w:lineRule="auto"/>
        <w:ind w:left="993"/>
        <w:jc w:val="both"/>
        <w:rPr>
          <w:rFonts w:asciiTheme="minorHAnsi" w:hAnsiTheme="minorHAnsi" w:cstheme="minorHAnsi"/>
          <w:b/>
          <w:color w:val="000000"/>
        </w:rPr>
      </w:pPr>
      <w:r w:rsidRPr="00B434FD">
        <w:rPr>
          <w:rFonts w:asciiTheme="minorHAnsi" w:hAnsiTheme="minorHAnsi" w:cstheme="minorHAnsi"/>
          <w:b/>
          <w:color w:val="000000"/>
        </w:rPr>
        <w:t xml:space="preserve">Public Safety Awareness Rallies: </w:t>
      </w:r>
      <w:r w:rsidRPr="00B434FD">
        <w:rPr>
          <w:rFonts w:asciiTheme="minorHAnsi" w:hAnsiTheme="minorHAnsi" w:cstheme="minorHAnsi"/>
          <w:color w:val="000000"/>
        </w:rPr>
        <w:t>The company has organized 26 public safety awareness rallies to spread awareness about electrical safety best practices and encourage community participation.</w:t>
      </w:r>
    </w:p>
    <w:p w14:paraId="20A35253" w14:textId="77777777" w:rsidR="00F616FB" w:rsidRPr="00B434FD" w:rsidRDefault="00F616FB" w:rsidP="00AB536C">
      <w:pPr>
        <w:pStyle w:val="ListParagraph"/>
        <w:numPr>
          <w:ilvl w:val="0"/>
          <w:numId w:val="33"/>
        </w:numPr>
        <w:autoSpaceDE w:val="0"/>
        <w:autoSpaceDN w:val="0"/>
        <w:adjustRightInd w:val="0"/>
        <w:spacing w:line="360" w:lineRule="auto"/>
        <w:ind w:left="993"/>
        <w:jc w:val="both"/>
        <w:rPr>
          <w:rFonts w:asciiTheme="minorHAnsi" w:hAnsiTheme="minorHAnsi" w:cstheme="minorHAnsi"/>
          <w:b/>
          <w:color w:val="000000"/>
        </w:rPr>
      </w:pPr>
      <w:r w:rsidRPr="00B434FD">
        <w:rPr>
          <w:rFonts w:asciiTheme="minorHAnsi" w:hAnsiTheme="minorHAnsi" w:cstheme="minorHAnsi"/>
          <w:b/>
          <w:color w:val="000000"/>
        </w:rPr>
        <w:t xml:space="preserve">Electrical Safety Training in Schools and Colleges: </w:t>
      </w:r>
      <w:r w:rsidRPr="00B434FD">
        <w:rPr>
          <w:rFonts w:asciiTheme="minorHAnsi" w:hAnsiTheme="minorHAnsi" w:cstheme="minorHAnsi"/>
          <w:color w:val="000000"/>
        </w:rPr>
        <w:t>TPNODL has conducted 52 electrical safety awareness training sessions in schools and colleges to educate young people about electrical safety and promote safe practices.</w:t>
      </w:r>
    </w:p>
    <w:p w14:paraId="349A030F" w14:textId="77777777" w:rsidR="00F616FB" w:rsidRPr="00B434FD" w:rsidRDefault="00F616FB" w:rsidP="00AB536C">
      <w:pPr>
        <w:pStyle w:val="ListParagraph"/>
        <w:numPr>
          <w:ilvl w:val="0"/>
          <w:numId w:val="33"/>
        </w:numPr>
        <w:autoSpaceDE w:val="0"/>
        <w:autoSpaceDN w:val="0"/>
        <w:adjustRightInd w:val="0"/>
        <w:spacing w:line="360" w:lineRule="auto"/>
        <w:ind w:left="993"/>
        <w:jc w:val="both"/>
        <w:rPr>
          <w:rFonts w:asciiTheme="minorHAnsi" w:hAnsiTheme="minorHAnsi" w:cstheme="minorHAnsi"/>
          <w:b/>
          <w:color w:val="000000"/>
        </w:rPr>
      </w:pPr>
      <w:r w:rsidRPr="00B434FD">
        <w:rPr>
          <w:rFonts w:asciiTheme="minorHAnsi" w:hAnsiTheme="minorHAnsi" w:cstheme="minorHAnsi"/>
          <w:b/>
          <w:color w:val="000000"/>
        </w:rPr>
        <w:t xml:space="preserve">Public Reporting and Recognition: </w:t>
      </w:r>
      <w:r w:rsidRPr="00B434FD">
        <w:rPr>
          <w:rFonts w:asciiTheme="minorHAnsi" w:hAnsiTheme="minorHAnsi" w:cstheme="minorHAnsi"/>
          <w:color w:val="000000"/>
        </w:rPr>
        <w:t>The company has shared its WhatsApp number with the public to encourage them to report unsafe conditions or acts. TPNODL has also implemented a reward and recognition program to acknowledge and appreciate public contributions to safety.</w:t>
      </w:r>
    </w:p>
    <w:p w14:paraId="1374262D" w14:textId="77777777" w:rsidR="00F616FB" w:rsidRPr="00FF3F48" w:rsidRDefault="00F616FB" w:rsidP="00AB536C">
      <w:pPr>
        <w:pStyle w:val="ListParagraph"/>
        <w:numPr>
          <w:ilvl w:val="0"/>
          <w:numId w:val="33"/>
        </w:numPr>
        <w:autoSpaceDE w:val="0"/>
        <w:autoSpaceDN w:val="0"/>
        <w:adjustRightInd w:val="0"/>
        <w:spacing w:line="360" w:lineRule="auto"/>
        <w:ind w:left="993"/>
        <w:jc w:val="both"/>
        <w:rPr>
          <w:rFonts w:asciiTheme="minorHAnsi" w:hAnsiTheme="minorHAnsi" w:cstheme="minorHAnsi"/>
          <w:b/>
          <w:color w:val="000000"/>
        </w:rPr>
      </w:pPr>
      <w:r w:rsidRPr="00B434FD">
        <w:rPr>
          <w:rFonts w:asciiTheme="minorHAnsi" w:hAnsiTheme="minorHAnsi" w:cstheme="minorHAnsi"/>
          <w:b/>
          <w:color w:val="000000"/>
        </w:rPr>
        <w:t xml:space="preserve">Distribution of Pamphlets and Safety Materials: </w:t>
      </w:r>
      <w:r w:rsidRPr="00B434FD">
        <w:rPr>
          <w:rFonts w:asciiTheme="minorHAnsi" w:hAnsiTheme="minorHAnsi" w:cstheme="minorHAnsi"/>
          <w:color w:val="000000"/>
        </w:rPr>
        <w:t>TPNODL has distributed pamphlets and magnet safety badges to the public and displayed electrical safety awareness videos in rural areas to enhance awareness and promote safe practices</w:t>
      </w:r>
      <w:r w:rsidRPr="00B434FD">
        <w:rPr>
          <w:lang w:val="en-IN" w:eastAsia="en-IN"/>
        </w:rPr>
        <w:t>.</w:t>
      </w:r>
    </w:p>
    <w:p w14:paraId="69E94A03" w14:textId="77777777" w:rsidR="00F616FB" w:rsidRPr="00894F4D" w:rsidRDefault="00F616FB" w:rsidP="00F616FB">
      <w:pPr>
        <w:autoSpaceDE w:val="0"/>
        <w:autoSpaceDN w:val="0"/>
        <w:adjustRightInd w:val="0"/>
        <w:spacing w:line="360" w:lineRule="auto"/>
        <w:ind w:left="567"/>
        <w:jc w:val="both"/>
        <w:rPr>
          <w:rFonts w:asciiTheme="minorHAnsi" w:hAnsiTheme="minorHAnsi" w:cstheme="minorHAnsi"/>
          <w:color w:val="000000"/>
          <w:sz w:val="22"/>
          <w:szCs w:val="22"/>
        </w:rPr>
      </w:pPr>
      <w:r w:rsidRPr="00894F4D">
        <w:rPr>
          <w:rFonts w:asciiTheme="minorHAnsi" w:hAnsiTheme="minorHAnsi" w:cstheme="minorHAnsi"/>
          <w:color w:val="000000"/>
          <w:sz w:val="22"/>
          <w:szCs w:val="22"/>
        </w:rPr>
        <w:t>Hon’ble Commission has also advised DISCOM to take necessary steps to increase</w:t>
      </w:r>
      <w:r w:rsidRPr="00894F4D">
        <w:rPr>
          <w:rFonts w:asciiTheme="minorHAnsi" w:hAnsiTheme="minorHAnsi" w:cstheme="minorHAnsi"/>
          <w:b/>
          <w:color w:val="000000"/>
          <w:sz w:val="22"/>
          <w:szCs w:val="22"/>
        </w:rPr>
        <w:t xml:space="preserve"> </w:t>
      </w:r>
      <w:r w:rsidRPr="00894F4D">
        <w:rPr>
          <w:rFonts w:asciiTheme="minorHAnsi" w:hAnsiTheme="minorHAnsi" w:cstheme="minorHAnsi"/>
          <w:color w:val="000000"/>
          <w:sz w:val="22"/>
          <w:szCs w:val="22"/>
        </w:rPr>
        <w:t>public    awareness so that those public fatalities could be avoided.</w:t>
      </w:r>
    </w:p>
    <w:p w14:paraId="35C941BD" w14:textId="77777777" w:rsidR="00F616FB" w:rsidRPr="00894F4D" w:rsidRDefault="00F616FB" w:rsidP="00F616FB">
      <w:pPr>
        <w:autoSpaceDE w:val="0"/>
        <w:autoSpaceDN w:val="0"/>
        <w:adjustRightInd w:val="0"/>
        <w:spacing w:line="360" w:lineRule="auto"/>
        <w:ind w:left="567"/>
        <w:jc w:val="both"/>
        <w:rPr>
          <w:rFonts w:asciiTheme="minorHAnsi" w:hAnsiTheme="minorHAnsi" w:cstheme="minorHAnsi"/>
          <w:color w:val="000000"/>
          <w:sz w:val="22"/>
          <w:szCs w:val="22"/>
        </w:rPr>
      </w:pPr>
    </w:p>
    <w:p w14:paraId="04EBB1AD" w14:textId="77777777" w:rsidR="00F616FB" w:rsidRPr="00894F4D" w:rsidRDefault="00F616FB" w:rsidP="00F616FB">
      <w:pPr>
        <w:autoSpaceDE w:val="0"/>
        <w:autoSpaceDN w:val="0"/>
        <w:adjustRightInd w:val="0"/>
        <w:spacing w:line="360" w:lineRule="auto"/>
        <w:ind w:left="567"/>
        <w:jc w:val="both"/>
        <w:rPr>
          <w:rFonts w:asciiTheme="minorHAnsi" w:hAnsiTheme="minorHAnsi" w:cstheme="minorHAnsi"/>
          <w:color w:val="000000"/>
          <w:sz w:val="22"/>
          <w:szCs w:val="22"/>
        </w:rPr>
      </w:pPr>
      <w:r w:rsidRPr="00894F4D">
        <w:rPr>
          <w:rFonts w:asciiTheme="minorHAnsi" w:hAnsiTheme="minorHAnsi" w:cstheme="minorHAnsi"/>
          <w:color w:val="000000"/>
          <w:sz w:val="22"/>
          <w:szCs w:val="22"/>
        </w:rPr>
        <w:t xml:space="preserve">The licensee has always given priority to safety, awareness and training. Extensive awareness programs through print and electronic media, through awareness vans, </w:t>
      </w:r>
      <w:proofErr w:type="spellStart"/>
      <w:r w:rsidRPr="00894F4D">
        <w:rPr>
          <w:rFonts w:asciiTheme="minorHAnsi" w:hAnsiTheme="minorHAnsi" w:cstheme="minorHAnsi"/>
          <w:color w:val="000000"/>
          <w:sz w:val="22"/>
          <w:szCs w:val="22"/>
        </w:rPr>
        <w:t>nukkad</w:t>
      </w:r>
      <w:proofErr w:type="spellEnd"/>
      <w:r w:rsidRPr="00894F4D">
        <w:rPr>
          <w:rFonts w:asciiTheme="minorHAnsi" w:hAnsiTheme="minorHAnsi" w:cstheme="minorHAnsi"/>
          <w:color w:val="000000"/>
          <w:sz w:val="22"/>
          <w:szCs w:val="22"/>
        </w:rPr>
        <w:t xml:space="preserve"> </w:t>
      </w:r>
      <w:proofErr w:type="spellStart"/>
      <w:r w:rsidRPr="00894F4D">
        <w:rPr>
          <w:rFonts w:asciiTheme="minorHAnsi" w:hAnsiTheme="minorHAnsi" w:cstheme="minorHAnsi"/>
          <w:color w:val="000000"/>
          <w:sz w:val="22"/>
          <w:szCs w:val="22"/>
        </w:rPr>
        <w:t>nataks</w:t>
      </w:r>
      <w:proofErr w:type="spellEnd"/>
      <w:r w:rsidRPr="00894F4D">
        <w:rPr>
          <w:rFonts w:asciiTheme="minorHAnsi" w:hAnsiTheme="minorHAnsi" w:cstheme="minorHAnsi"/>
          <w:color w:val="000000"/>
          <w:sz w:val="22"/>
          <w:szCs w:val="22"/>
        </w:rPr>
        <w:t xml:space="preserve">, programs in schools, customer meets are being </w:t>
      </w:r>
      <w:proofErr w:type="spellStart"/>
      <w:r w:rsidRPr="00894F4D">
        <w:rPr>
          <w:rFonts w:asciiTheme="minorHAnsi" w:hAnsiTheme="minorHAnsi" w:cstheme="minorHAnsi"/>
          <w:color w:val="000000"/>
          <w:sz w:val="22"/>
          <w:szCs w:val="22"/>
        </w:rPr>
        <w:t>organised</w:t>
      </w:r>
      <w:proofErr w:type="spellEnd"/>
      <w:r w:rsidRPr="00894F4D">
        <w:rPr>
          <w:rFonts w:asciiTheme="minorHAnsi" w:hAnsiTheme="minorHAnsi" w:cstheme="minorHAnsi"/>
          <w:color w:val="000000"/>
          <w:sz w:val="22"/>
          <w:szCs w:val="22"/>
        </w:rPr>
        <w:t xml:space="preserve"> to increase public awareness.  For conducting those programs and facility management at the customer touch points, extra cost is being incurred. Some of the programs are as follows:</w:t>
      </w:r>
    </w:p>
    <w:p w14:paraId="610BEE4C" w14:textId="77777777" w:rsidR="00F616FB" w:rsidRPr="00894F4D" w:rsidRDefault="00F616FB" w:rsidP="00AB536C">
      <w:pPr>
        <w:pStyle w:val="ListParagraph"/>
        <w:numPr>
          <w:ilvl w:val="0"/>
          <w:numId w:val="53"/>
        </w:numPr>
        <w:autoSpaceDE w:val="0"/>
        <w:autoSpaceDN w:val="0"/>
        <w:adjustRightInd w:val="0"/>
        <w:spacing w:line="360" w:lineRule="auto"/>
        <w:ind w:left="851"/>
        <w:jc w:val="both"/>
        <w:rPr>
          <w:rFonts w:asciiTheme="minorHAnsi" w:hAnsiTheme="minorHAnsi" w:cstheme="minorHAnsi"/>
          <w:color w:val="000000"/>
        </w:rPr>
      </w:pPr>
      <w:r w:rsidRPr="00894F4D">
        <w:rPr>
          <w:rFonts w:asciiTheme="minorHAnsi" w:hAnsiTheme="minorHAnsi" w:cstheme="minorHAnsi"/>
          <w:b/>
          <w:color w:val="000000"/>
        </w:rPr>
        <w:t>E-</w:t>
      </w:r>
      <w:proofErr w:type="spellStart"/>
      <w:r w:rsidRPr="00894F4D">
        <w:rPr>
          <w:rFonts w:asciiTheme="minorHAnsi" w:hAnsiTheme="minorHAnsi" w:cstheme="minorHAnsi"/>
          <w:b/>
          <w:color w:val="000000"/>
        </w:rPr>
        <w:t>Hakathon</w:t>
      </w:r>
      <w:proofErr w:type="spellEnd"/>
      <w:r w:rsidRPr="00894F4D">
        <w:rPr>
          <w:rFonts w:asciiTheme="minorHAnsi" w:hAnsiTheme="minorHAnsi" w:cstheme="minorHAnsi"/>
          <w:b/>
          <w:color w:val="000000"/>
        </w:rPr>
        <w:t xml:space="preserve"> safety Ideation workshop Associated with Tata Sons:</w:t>
      </w:r>
      <w:r w:rsidRPr="00894F4D">
        <w:rPr>
          <w:rFonts w:asciiTheme="minorHAnsi" w:hAnsiTheme="minorHAnsi" w:cstheme="minorHAnsi"/>
          <w:color w:val="000000"/>
        </w:rPr>
        <w:t xml:space="preserve"> -it’s a journey to identify existing potential challenges in the operational safety and prioritizing them</w:t>
      </w:r>
    </w:p>
    <w:p w14:paraId="21C1B925" w14:textId="77777777" w:rsidR="00F616FB" w:rsidRPr="00894F4D" w:rsidRDefault="00F616FB" w:rsidP="00F616FB">
      <w:pPr>
        <w:pStyle w:val="ListParagraph"/>
        <w:autoSpaceDE w:val="0"/>
        <w:autoSpaceDN w:val="0"/>
        <w:adjustRightInd w:val="0"/>
        <w:spacing w:line="360" w:lineRule="auto"/>
        <w:ind w:left="851"/>
        <w:jc w:val="both"/>
        <w:rPr>
          <w:rFonts w:asciiTheme="minorHAnsi" w:hAnsiTheme="minorHAnsi" w:cstheme="minorHAnsi"/>
          <w:color w:val="000000"/>
        </w:rPr>
      </w:pPr>
    </w:p>
    <w:p w14:paraId="371AC8DC" w14:textId="2A92B4F3" w:rsidR="00F616FB" w:rsidRPr="00894F4D" w:rsidRDefault="00F616FB" w:rsidP="00F616FB">
      <w:pPr>
        <w:pStyle w:val="ListParagraph"/>
        <w:numPr>
          <w:ilvl w:val="0"/>
          <w:numId w:val="53"/>
        </w:numPr>
        <w:autoSpaceDE w:val="0"/>
        <w:autoSpaceDN w:val="0"/>
        <w:adjustRightInd w:val="0"/>
        <w:spacing w:line="360" w:lineRule="auto"/>
        <w:ind w:left="851"/>
        <w:jc w:val="both"/>
        <w:rPr>
          <w:rFonts w:asciiTheme="minorHAnsi" w:hAnsiTheme="minorHAnsi" w:cstheme="minorHAnsi"/>
          <w:color w:val="000000"/>
        </w:rPr>
      </w:pPr>
      <w:r w:rsidRPr="00894F4D">
        <w:rPr>
          <w:rFonts w:asciiTheme="minorHAnsi" w:hAnsiTheme="minorHAnsi" w:cstheme="minorHAnsi"/>
          <w:b/>
          <w:color w:val="000000"/>
        </w:rPr>
        <w:lastRenderedPageBreak/>
        <w:t xml:space="preserve">Tata Health and Safety Management System Certified Training Program (THSMS): </w:t>
      </w:r>
      <w:r w:rsidRPr="00894F4D">
        <w:rPr>
          <w:rFonts w:asciiTheme="minorHAnsi" w:hAnsiTheme="minorHAnsi" w:cstheme="minorHAnsi"/>
          <w:color w:val="000000"/>
        </w:rPr>
        <w:t xml:space="preserve">Team TPNODL adopted Tata Health and Safety Management system during FY 25. As a first step, a certified 2-day Train the Trainer program was carried out for 29 </w:t>
      </w:r>
      <w:proofErr w:type="spellStart"/>
      <w:r w:rsidRPr="00894F4D">
        <w:rPr>
          <w:rFonts w:asciiTheme="minorHAnsi" w:hAnsiTheme="minorHAnsi" w:cstheme="minorHAnsi"/>
          <w:color w:val="000000"/>
        </w:rPr>
        <w:t>nos</w:t>
      </w:r>
      <w:proofErr w:type="spellEnd"/>
      <w:r w:rsidRPr="00894F4D">
        <w:rPr>
          <w:rFonts w:asciiTheme="minorHAnsi" w:hAnsiTheme="minorHAnsi" w:cstheme="minorHAnsi"/>
          <w:color w:val="000000"/>
        </w:rPr>
        <w:t xml:space="preserve"> of employees by TBEX, Tata Group during February 24. After rigorous assessment, results declared with certification of participation, Gold, Silver and Bronze categories. The trainers then carried out 16 </w:t>
      </w:r>
      <w:proofErr w:type="spellStart"/>
      <w:r w:rsidRPr="00894F4D">
        <w:rPr>
          <w:rFonts w:asciiTheme="minorHAnsi" w:hAnsiTheme="minorHAnsi" w:cstheme="minorHAnsi"/>
          <w:color w:val="000000"/>
        </w:rPr>
        <w:t>nos</w:t>
      </w:r>
      <w:proofErr w:type="spellEnd"/>
      <w:r w:rsidRPr="00894F4D">
        <w:rPr>
          <w:rFonts w:asciiTheme="minorHAnsi" w:hAnsiTheme="minorHAnsi" w:cstheme="minorHAnsi"/>
          <w:color w:val="000000"/>
        </w:rPr>
        <w:t xml:space="preserve"> of Cross division THSMS assessment PAN TPNODL and created awareness amongst the leadership teams across divisions/circles. A Third-party assessment was also carried out through M/s ACT International nominated by Tata Power during the Q2 FY 25.</w:t>
      </w:r>
    </w:p>
    <w:p w14:paraId="19986442" w14:textId="6A4D6D9D" w:rsidR="00F616FB" w:rsidRPr="00894F4D" w:rsidRDefault="00F616FB" w:rsidP="00F616FB">
      <w:pPr>
        <w:spacing w:line="360" w:lineRule="auto"/>
        <w:jc w:val="both"/>
        <w:textAlignment w:val="baseline"/>
        <w:rPr>
          <w:rFonts w:asciiTheme="minorHAnsi" w:hAnsiTheme="minorHAnsi" w:cstheme="minorHAnsi"/>
          <w:b/>
          <w:sz w:val="22"/>
          <w:szCs w:val="22"/>
          <w:lang w:bidi="or-IN"/>
        </w:rPr>
      </w:pPr>
      <w:r w:rsidRPr="00894F4D">
        <w:rPr>
          <w:rFonts w:asciiTheme="minorHAnsi" w:hAnsiTheme="minorHAnsi" w:cstheme="minorHAnsi"/>
          <w:b/>
          <w:sz w:val="22"/>
          <w:szCs w:val="22"/>
          <w:lang w:bidi="or-IN"/>
        </w:rPr>
        <w:t xml:space="preserve">        </w:t>
      </w:r>
      <w:r w:rsidR="00894F4D">
        <w:rPr>
          <w:rFonts w:asciiTheme="minorHAnsi" w:hAnsiTheme="minorHAnsi" w:cstheme="minorHAnsi"/>
          <w:b/>
          <w:sz w:val="22"/>
          <w:szCs w:val="22"/>
          <w:lang w:bidi="or-IN"/>
        </w:rPr>
        <w:t xml:space="preserve">   </w:t>
      </w:r>
      <w:r w:rsidR="00894F4D" w:rsidRPr="00894F4D">
        <w:rPr>
          <w:rFonts w:asciiTheme="minorHAnsi" w:hAnsiTheme="minorHAnsi" w:cstheme="minorHAnsi"/>
          <w:b/>
          <w:szCs w:val="22"/>
          <w:lang w:bidi="or-IN"/>
        </w:rPr>
        <w:t xml:space="preserve">6.5 </w:t>
      </w:r>
      <w:r w:rsidRPr="00894F4D">
        <w:rPr>
          <w:rFonts w:asciiTheme="minorHAnsi" w:hAnsiTheme="minorHAnsi" w:cstheme="minorHAnsi"/>
          <w:b/>
          <w:szCs w:val="22"/>
          <w:lang w:bidi="or-IN"/>
        </w:rPr>
        <w:t>Initiatives under IT &amp; OT</w:t>
      </w:r>
    </w:p>
    <w:p w14:paraId="064B04A2" w14:textId="77777777" w:rsidR="00F616FB" w:rsidRPr="00894F4D" w:rsidRDefault="00F616FB" w:rsidP="00F616FB">
      <w:pPr>
        <w:spacing w:line="360" w:lineRule="auto"/>
        <w:ind w:left="567"/>
        <w:jc w:val="both"/>
        <w:textAlignment w:val="baseline"/>
        <w:rPr>
          <w:rFonts w:asciiTheme="minorHAnsi" w:hAnsiTheme="minorHAnsi" w:cstheme="minorHAnsi"/>
          <w:sz w:val="22"/>
          <w:szCs w:val="22"/>
          <w:lang w:bidi="or-IN"/>
        </w:rPr>
      </w:pPr>
      <w:r w:rsidRPr="00894F4D">
        <w:rPr>
          <w:rFonts w:asciiTheme="minorHAnsi" w:eastAsia="Calibri" w:hAnsiTheme="minorHAnsi" w:cstheme="minorHAnsi"/>
          <w:sz w:val="22"/>
          <w:szCs w:val="22"/>
          <w:lang w:bidi="or-IN"/>
        </w:rPr>
        <w:t>Many new initiatives from IT &amp; OT side have been taken in last three financial year i.e., FY 22 FY 23 and FY 24 and many new digital improvements and initiatives are taking place in current FY 25. To improve the reliability and quality of power, it is very much essential to strengthen IT along with Operational Technology on ADMS and management of consumers outages, integrated ADMS-GIS and data creation of pan TPNODL in GIS. Various initiatives have been taken to establish IT and OT Technologies to drive the benefits as mentioned below:</w:t>
      </w:r>
      <w:r w:rsidRPr="00894F4D">
        <w:rPr>
          <w:rFonts w:asciiTheme="minorHAnsi" w:hAnsiTheme="minorHAnsi" w:cstheme="minorHAnsi"/>
          <w:sz w:val="22"/>
          <w:szCs w:val="22"/>
          <w:lang w:bidi="or-IN"/>
        </w:rPr>
        <w:t> </w:t>
      </w:r>
    </w:p>
    <w:p w14:paraId="06FD675D" w14:textId="77777777" w:rsidR="00F616FB" w:rsidRPr="00894F4D" w:rsidRDefault="00F616FB" w:rsidP="00F616FB">
      <w:pPr>
        <w:spacing w:line="360" w:lineRule="auto"/>
        <w:ind w:left="709"/>
        <w:jc w:val="both"/>
        <w:textAlignment w:val="baseline"/>
        <w:rPr>
          <w:rFonts w:asciiTheme="minorHAnsi" w:hAnsiTheme="minorHAnsi" w:cstheme="minorHAnsi"/>
          <w:sz w:val="22"/>
          <w:szCs w:val="22"/>
          <w:lang w:bidi="or-IN"/>
        </w:rPr>
      </w:pPr>
    </w:p>
    <w:p w14:paraId="42730A37" w14:textId="77777777" w:rsidR="00F616FB" w:rsidRPr="00894F4D" w:rsidRDefault="00F616FB" w:rsidP="00AB536C">
      <w:pPr>
        <w:pStyle w:val="ListParagraph"/>
        <w:numPr>
          <w:ilvl w:val="0"/>
          <w:numId w:val="41"/>
        </w:numPr>
        <w:tabs>
          <w:tab w:val="left" w:pos="993"/>
        </w:tabs>
        <w:spacing w:line="360" w:lineRule="auto"/>
        <w:ind w:left="567" w:hanging="11"/>
        <w:jc w:val="both"/>
        <w:textAlignment w:val="baseline"/>
        <w:rPr>
          <w:rFonts w:asciiTheme="minorHAnsi" w:hAnsiTheme="minorHAnsi" w:cstheme="minorHAnsi"/>
          <w:lang w:bidi="or-IN"/>
        </w:rPr>
      </w:pPr>
      <w:r w:rsidRPr="00894F4D">
        <w:rPr>
          <w:rFonts w:asciiTheme="minorHAnsi" w:hAnsiTheme="minorHAnsi" w:cstheme="minorHAnsi"/>
          <w:lang w:bidi="or-IN"/>
        </w:rPr>
        <w:t xml:space="preserve">Development of On-premises data center for hosting various applications and </w:t>
      </w:r>
    </w:p>
    <w:p w14:paraId="525BB8FF" w14:textId="77777777" w:rsidR="00F616FB" w:rsidRPr="00894F4D" w:rsidRDefault="00F616FB" w:rsidP="00F616FB">
      <w:pPr>
        <w:pStyle w:val="ListParagraph"/>
        <w:tabs>
          <w:tab w:val="left" w:pos="993"/>
        </w:tabs>
        <w:spacing w:line="360" w:lineRule="auto"/>
        <w:ind w:left="567"/>
        <w:jc w:val="both"/>
        <w:textAlignment w:val="baseline"/>
        <w:rPr>
          <w:rFonts w:asciiTheme="minorHAnsi" w:hAnsiTheme="minorHAnsi" w:cstheme="minorHAnsi"/>
          <w:lang w:bidi="or-IN"/>
        </w:rPr>
      </w:pPr>
      <w:r w:rsidRPr="00894F4D">
        <w:rPr>
          <w:rFonts w:asciiTheme="minorHAnsi" w:hAnsiTheme="minorHAnsi" w:cstheme="minorHAnsi"/>
          <w:lang w:bidi="or-IN"/>
        </w:rPr>
        <w:t xml:space="preserve">        creation of DR center for handling any eventualities.</w:t>
      </w:r>
    </w:p>
    <w:p w14:paraId="23D4E063" w14:textId="77777777" w:rsidR="00F616FB" w:rsidRPr="00894F4D" w:rsidRDefault="00F616FB" w:rsidP="00AB536C">
      <w:pPr>
        <w:pStyle w:val="ListParagraph"/>
        <w:numPr>
          <w:ilvl w:val="0"/>
          <w:numId w:val="41"/>
        </w:numPr>
        <w:tabs>
          <w:tab w:val="left" w:pos="993"/>
          <w:tab w:val="left" w:pos="1134"/>
        </w:tabs>
        <w:spacing w:line="360" w:lineRule="auto"/>
        <w:ind w:left="567" w:hanging="11"/>
        <w:jc w:val="both"/>
        <w:textAlignment w:val="baseline"/>
        <w:rPr>
          <w:rFonts w:asciiTheme="minorHAnsi" w:hAnsiTheme="minorHAnsi" w:cstheme="minorHAnsi"/>
          <w:b/>
          <w:lang w:bidi="or-IN"/>
        </w:rPr>
      </w:pPr>
      <w:r w:rsidRPr="00894F4D">
        <w:rPr>
          <w:rFonts w:asciiTheme="minorHAnsi" w:hAnsiTheme="minorHAnsi" w:cstheme="minorHAnsi"/>
          <w:lang w:bidi="or-IN"/>
        </w:rPr>
        <w:t xml:space="preserve">Bespoke Applications for digitalization of business processes.  </w:t>
      </w:r>
    </w:p>
    <w:p w14:paraId="38B0EFF6" w14:textId="77777777" w:rsidR="00F616FB" w:rsidRPr="00894F4D" w:rsidRDefault="00F616FB" w:rsidP="00AB536C">
      <w:pPr>
        <w:pStyle w:val="ListParagraph"/>
        <w:numPr>
          <w:ilvl w:val="0"/>
          <w:numId w:val="41"/>
        </w:numPr>
        <w:tabs>
          <w:tab w:val="left" w:pos="993"/>
          <w:tab w:val="left" w:pos="1134"/>
        </w:tabs>
        <w:spacing w:line="360" w:lineRule="auto"/>
        <w:ind w:left="567" w:hanging="11"/>
        <w:jc w:val="both"/>
        <w:textAlignment w:val="baseline"/>
        <w:rPr>
          <w:rFonts w:asciiTheme="minorHAnsi" w:hAnsiTheme="minorHAnsi" w:cstheme="minorHAnsi"/>
          <w:lang w:bidi="or-IN"/>
        </w:rPr>
      </w:pPr>
      <w:r w:rsidRPr="00894F4D">
        <w:rPr>
          <w:rFonts w:asciiTheme="minorHAnsi" w:hAnsiTheme="minorHAnsi" w:cstheme="minorHAnsi"/>
          <w:lang w:bidi="or-IN"/>
        </w:rPr>
        <w:t xml:space="preserve">Mobile Applications for consumers and employees to stay connected all the </w:t>
      </w:r>
    </w:p>
    <w:p w14:paraId="76F27A78" w14:textId="77777777" w:rsidR="00F616FB" w:rsidRPr="00894F4D" w:rsidRDefault="00F616FB" w:rsidP="00F616FB">
      <w:pPr>
        <w:pStyle w:val="ListParagraph"/>
        <w:tabs>
          <w:tab w:val="left" w:pos="993"/>
        </w:tabs>
        <w:spacing w:line="360" w:lineRule="auto"/>
        <w:ind w:left="851"/>
        <w:jc w:val="both"/>
        <w:textAlignment w:val="baseline"/>
        <w:rPr>
          <w:rFonts w:asciiTheme="minorHAnsi" w:hAnsiTheme="minorHAnsi" w:cstheme="minorHAnsi"/>
          <w:lang w:bidi="or-IN"/>
        </w:rPr>
      </w:pPr>
      <w:r w:rsidRPr="00894F4D">
        <w:rPr>
          <w:rFonts w:asciiTheme="minorHAnsi" w:hAnsiTheme="minorHAnsi" w:cstheme="minorHAnsi"/>
          <w:lang w:bidi="or-IN"/>
        </w:rPr>
        <w:t xml:space="preserve">   time for faster action and response.</w:t>
      </w:r>
    </w:p>
    <w:p w14:paraId="4F514015" w14:textId="77777777" w:rsidR="00F616FB" w:rsidRPr="00894F4D" w:rsidRDefault="00F616FB" w:rsidP="00F616FB">
      <w:pPr>
        <w:spacing w:line="360" w:lineRule="auto"/>
        <w:ind w:left="567"/>
        <w:jc w:val="both"/>
        <w:textAlignment w:val="baseline"/>
        <w:rPr>
          <w:rFonts w:asciiTheme="minorHAnsi" w:hAnsiTheme="minorHAnsi" w:cstheme="minorHAnsi"/>
          <w:sz w:val="22"/>
          <w:szCs w:val="22"/>
          <w:lang w:bidi="or-IN"/>
        </w:rPr>
      </w:pPr>
      <w:r w:rsidRPr="00894F4D">
        <w:rPr>
          <w:rFonts w:asciiTheme="minorHAnsi" w:eastAsia="Calibri" w:hAnsiTheme="minorHAnsi" w:cstheme="minorHAnsi"/>
          <w:sz w:val="22"/>
          <w:szCs w:val="22"/>
          <w:lang w:bidi="or-IN"/>
        </w:rPr>
        <w:t>Apart from the above, customer service digital Platform for TPNODL, which was envisaged for consumers has been developed as mentioned below:</w:t>
      </w:r>
      <w:r w:rsidRPr="00894F4D">
        <w:rPr>
          <w:rFonts w:asciiTheme="minorHAnsi" w:hAnsiTheme="minorHAnsi" w:cstheme="minorHAnsi"/>
          <w:sz w:val="22"/>
          <w:szCs w:val="22"/>
          <w:lang w:bidi="or-IN"/>
        </w:rPr>
        <w:t> </w:t>
      </w:r>
    </w:p>
    <w:p w14:paraId="7B145472" w14:textId="77777777" w:rsidR="00F616FB" w:rsidRPr="00894F4D" w:rsidRDefault="00F616FB" w:rsidP="00F616FB">
      <w:pPr>
        <w:spacing w:line="360" w:lineRule="auto"/>
        <w:jc w:val="both"/>
        <w:textAlignment w:val="baseline"/>
        <w:rPr>
          <w:rFonts w:asciiTheme="minorHAnsi" w:hAnsiTheme="minorHAnsi" w:cstheme="minorHAnsi"/>
          <w:sz w:val="22"/>
          <w:szCs w:val="22"/>
          <w:lang w:bidi="or-IN"/>
        </w:rPr>
      </w:pPr>
    </w:p>
    <w:p w14:paraId="55F88C0E" w14:textId="77777777" w:rsidR="00F616FB" w:rsidRPr="00894F4D" w:rsidRDefault="00F616FB" w:rsidP="00AB536C">
      <w:pPr>
        <w:pStyle w:val="ListParagraph"/>
        <w:numPr>
          <w:ilvl w:val="0"/>
          <w:numId w:val="40"/>
        </w:numPr>
        <w:tabs>
          <w:tab w:val="left" w:pos="709"/>
        </w:tabs>
        <w:spacing w:line="360" w:lineRule="auto"/>
        <w:ind w:left="709" w:hanging="284"/>
        <w:jc w:val="both"/>
        <w:textAlignment w:val="baseline"/>
        <w:rPr>
          <w:rFonts w:asciiTheme="minorHAnsi" w:hAnsiTheme="minorHAnsi" w:cstheme="minorHAnsi"/>
          <w:lang w:bidi="or-IN"/>
        </w:rPr>
      </w:pPr>
      <w:r w:rsidRPr="00894F4D">
        <w:rPr>
          <w:rFonts w:asciiTheme="minorHAnsi" w:hAnsiTheme="minorHAnsi" w:cstheme="minorHAnsi"/>
          <w:b/>
          <w:lang w:bidi="or-IN"/>
        </w:rPr>
        <w:t>Payment Gateway</w:t>
      </w:r>
      <w:r w:rsidRPr="00894F4D">
        <w:rPr>
          <w:rFonts w:asciiTheme="minorHAnsi" w:hAnsiTheme="minorHAnsi" w:cstheme="minorHAnsi"/>
          <w:lang w:bidi="or-IN"/>
        </w:rPr>
        <w:t xml:space="preserve"> – A centralized proprietary payment gateway has been established which is seamlessly integrated with all collection touch points like website, mobile app, counters, partner agencies, mobile wallets into a single repository where verification and validation of payments would be done and would be posted to the billing system.</w:t>
      </w:r>
    </w:p>
    <w:p w14:paraId="3B21CBA1" w14:textId="77777777" w:rsidR="00F616FB" w:rsidRPr="00894F4D" w:rsidRDefault="00F616FB" w:rsidP="00F616FB">
      <w:pPr>
        <w:pStyle w:val="ListParagraph"/>
        <w:tabs>
          <w:tab w:val="left" w:pos="709"/>
        </w:tabs>
        <w:spacing w:line="360" w:lineRule="auto"/>
        <w:ind w:left="709"/>
        <w:jc w:val="both"/>
        <w:textAlignment w:val="baseline"/>
        <w:rPr>
          <w:rFonts w:asciiTheme="minorHAnsi" w:hAnsiTheme="minorHAnsi" w:cstheme="minorHAnsi"/>
          <w:lang w:bidi="or-IN"/>
        </w:rPr>
      </w:pPr>
    </w:p>
    <w:p w14:paraId="1A8DB176" w14:textId="77777777" w:rsidR="00F616FB" w:rsidRPr="00894F4D" w:rsidRDefault="00F616FB" w:rsidP="00AB536C">
      <w:pPr>
        <w:pStyle w:val="ListParagraph"/>
        <w:numPr>
          <w:ilvl w:val="0"/>
          <w:numId w:val="40"/>
        </w:numPr>
        <w:tabs>
          <w:tab w:val="left" w:pos="709"/>
        </w:tabs>
        <w:spacing w:line="360" w:lineRule="auto"/>
        <w:ind w:left="709" w:hanging="284"/>
        <w:jc w:val="both"/>
        <w:textAlignment w:val="baseline"/>
        <w:rPr>
          <w:rFonts w:asciiTheme="minorHAnsi" w:hAnsiTheme="minorHAnsi" w:cstheme="minorHAnsi"/>
          <w:lang w:bidi="or-IN"/>
        </w:rPr>
      </w:pPr>
      <w:r w:rsidRPr="00894F4D">
        <w:rPr>
          <w:rFonts w:asciiTheme="minorHAnsi" w:hAnsiTheme="minorHAnsi" w:cstheme="minorHAnsi"/>
          <w:b/>
          <w:lang w:bidi="or-IN"/>
        </w:rPr>
        <w:t xml:space="preserve">E-Collection App </w:t>
      </w:r>
      <w:r w:rsidRPr="00894F4D">
        <w:rPr>
          <w:rFonts w:asciiTheme="minorHAnsi" w:hAnsiTheme="minorHAnsi" w:cstheme="minorHAnsi"/>
          <w:lang w:bidi="or-IN"/>
        </w:rPr>
        <w:t>- It is the main platform for collection of Energy &amp; non-energy Payments and is integrated with all types of payments like cash, Credit/Debit card, Cheque/DD, Wallets and UPI etc. There is a Real-time Syncing with our Billing platform which facilitates acceptance of payment on real time as soon as the bill is generated and deliver message to consumer through SMS.</w:t>
      </w:r>
    </w:p>
    <w:p w14:paraId="48DDCAC4" w14:textId="77777777" w:rsidR="00F616FB" w:rsidRPr="00894F4D" w:rsidRDefault="00F616FB" w:rsidP="00F616FB">
      <w:pPr>
        <w:pStyle w:val="ListParagraph"/>
        <w:rPr>
          <w:rFonts w:asciiTheme="minorHAnsi" w:hAnsiTheme="minorHAnsi" w:cstheme="minorHAnsi"/>
          <w:b/>
          <w:lang w:bidi="or-IN"/>
        </w:rPr>
      </w:pPr>
    </w:p>
    <w:p w14:paraId="7FB8A54E" w14:textId="77777777" w:rsidR="00F616FB" w:rsidRPr="00894F4D" w:rsidRDefault="00F616FB" w:rsidP="00AB536C">
      <w:pPr>
        <w:pStyle w:val="ListParagraph"/>
        <w:numPr>
          <w:ilvl w:val="0"/>
          <w:numId w:val="40"/>
        </w:numPr>
        <w:tabs>
          <w:tab w:val="left" w:pos="709"/>
        </w:tabs>
        <w:spacing w:line="360" w:lineRule="auto"/>
        <w:ind w:left="709" w:hanging="284"/>
        <w:jc w:val="both"/>
        <w:textAlignment w:val="baseline"/>
        <w:rPr>
          <w:rFonts w:asciiTheme="minorHAnsi" w:hAnsiTheme="minorHAnsi" w:cstheme="minorHAnsi"/>
          <w:lang w:bidi="or-IN"/>
        </w:rPr>
      </w:pPr>
      <w:r w:rsidRPr="00894F4D">
        <w:rPr>
          <w:rFonts w:asciiTheme="minorHAnsi" w:hAnsiTheme="minorHAnsi" w:cstheme="minorHAnsi"/>
          <w:b/>
          <w:lang w:bidi="or-IN"/>
        </w:rPr>
        <w:lastRenderedPageBreak/>
        <w:t xml:space="preserve">Mobile App - MY TATA POWER </w:t>
      </w:r>
      <w:r w:rsidRPr="00894F4D">
        <w:rPr>
          <w:rFonts w:asciiTheme="minorHAnsi" w:hAnsiTheme="minorHAnsi" w:cstheme="minorHAnsi"/>
          <w:lang w:bidi="or-IN"/>
        </w:rPr>
        <w:t>– In the current digital world, people uses smart phone and to provide services on their mobile phone, this app has been developed to enhance our customer’s delight. This is very convenient and beneficial to consumer in the way that they can Check their Bill and payment history, process their self-meter reading and raise their complaints. Consumers can now also recharge their prepaid accounts and also their post-paid outstanding dues. Smart-metered consumers can now view their 15-min consumption, daily consumption and monthly consumption on this platform.</w:t>
      </w:r>
    </w:p>
    <w:p w14:paraId="69AA94F3" w14:textId="77777777" w:rsidR="00F616FB" w:rsidRPr="00841775" w:rsidRDefault="00F616FB" w:rsidP="00F616FB">
      <w:pPr>
        <w:pStyle w:val="ListParagraph"/>
        <w:rPr>
          <w:rFonts w:asciiTheme="minorHAnsi" w:hAnsiTheme="minorHAnsi" w:cstheme="minorHAnsi"/>
          <w:b/>
          <w:lang w:bidi="or-IN"/>
        </w:rPr>
      </w:pPr>
    </w:p>
    <w:p w14:paraId="5021129B" w14:textId="77777777" w:rsidR="00F616FB" w:rsidRDefault="00F616FB" w:rsidP="00AB536C">
      <w:pPr>
        <w:pStyle w:val="ListParagraph"/>
        <w:numPr>
          <w:ilvl w:val="0"/>
          <w:numId w:val="40"/>
        </w:numPr>
        <w:tabs>
          <w:tab w:val="left" w:pos="709"/>
        </w:tabs>
        <w:spacing w:line="360" w:lineRule="auto"/>
        <w:ind w:left="709" w:hanging="284"/>
        <w:jc w:val="both"/>
        <w:textAlignment w:val="baseline"/>
        <w:rPr>
          <w:rFonts w:asciiTheme="minorHAnsi" w:hAnsiTheme="minorHAnsi" w:cstheme="minorHAnsi"/>
          <w:lang w:bidi="or-IN"/>
        </w:rPr>
      </w:pPr>
      <w:r w:rsidRPr="00841775">
        <w:rPr>
          <w:rFonts w:asciiTheme="minorHAnsi" w:hAnsiTheme="minorHAnsi" w:cstheme="minorHAnsi"/>
          <w:b/>
          <w:lang w:bidi="or-IN"/>
        </w:rPr>
        <w:t xml:space="preserve">MMG 2.0 – </w:t>
      </w:r>
      <w:r w:rsidRPr="00841775">
        <w:rPr>
          <w:rFonts w:asciiTheme="minorHAnsi" w:hAnsiTheme="minorHAnsi" w:cstheme="minorHAnsi"/>
          <w:lang w:bidi="or-IN"/>
        </w:rPr>
        <w:t>Various field activities are carried out by our field team like installation of meters, for New Connection, meter replacement. This app facilitates the process of capturing all information on the field itself thereby providing real time update, tracking of workforce and faster services to consumers by updating the record system for correct billing.</w:t>
      </w:r>
      <w:r w:rsidRPr="00841775">
        <w:rPr>
          <w:rFonts w:asciiTheme="minorHAnsi" w:hAnsiTheme="minorHAnsi" w:cstheme="minorHAnsi"/>
          <w:b/>
          <w:lang w:bidi="or-IN"/>
        </w:rPr>
        <w:t xml:space="preserve">  </w:t>
      </w:r>
      <w:r w:rsidRPr="00841775">
        <w:rPr>
          <w:rFonts w:asciiTheme="minorHAnsi" w:hAnsiTheme="minorHAnsi" w:cstheme="minorHAnsi"/>
          <w:lang w:bidi="or-IN"/>
        </w:rPr>
        <w:t>Going forward, we will be facilitating the meter installation process through this app.</w:t>
      </w:r>
    </w:p>
    <w:p w14:paraId="1FD3A678" w14:textId="77777777" w:rsidR="00F616FB" w:rsidRPr="00841775" w:rsidRDefault="00F616FB" w:rsidP="00F616FB">
      <w:pPr>
        <w:pStyle w:val="ListParagraph"/>
        <w:rPr>
          <w:rFonts w:asciiTheme="minorHAnsi" w:hAnsiTheme="minorHAnsi" w:cstheme="minorHAnsi"/>
          <w:b/>
          <w:lang w:bidi="or-IN"/>
        </w:rPr>
      </w:pPr>
    </w:p>
    <w:p w14:paraId="15A5FB20" w14:textId="77777777" w:rsidR="00F616FB" w:rsidRDefault="00F616FB" w:rsidP="00AB536C">
      <w:pPr>
        <w:pStyle w:val="ListParagraph"/>
        <w:numPr>
          <w:ilvl w:val="0"/>
          <w:numId w:val="40"/>
        </w:numPr>
        <w:tabs>
          <w:tab w:val="left" w:pos="709"/>
        </w:tabs>
        <w:spacing w:line="360" w:lineRule="auto"/>
        <w:ind w:left="709" w:hanging="284"/>
        <w:jc w:val="both"/>
        <w:textAlignment w:val="baseline"/>
        <w:rPr>
          <w:rFonts w:asciiTheme="minorHAnsi" w:hAnsiTheme="minorHAnsi" w:cstheme="minorHAnsi"/>
          <w:lang w:bidi="or-IN"/>
        </w:rPr>
      </w:pPr>
      <w:r w:rsidRPr="00841775">
        <w:rPr>
          <w:rFonts w:asciiTheme="minorHAnsi" w:hAnsiTheme="minorHAnsi" w:cstheme="minorHAnsi"/>
          <w:b/>
          <w:lang w:bidi="or-IN"/>
        </w:rPr>
        <w:t>OCR Enabled SBM Application</w:t>
      </w:r>
      <w:r w:rsidRPr="00841775">
        <w:rPr>
          <w:rFonts w:asciiTheme="minorHAnsi" w:hAnsiTheme="minorHAnsi" w:cstheme="minorHAnsi"/>
          <w:lang w:bidi="or-IN"/>
        </w:rPr>
        <w:t xml:space="preserve"> – To achieve accurate reading and thereby billing, we have introduced OCR (Optical Character Recognition) based SBM applications to capture the meter reading and avoid any kind of manual error. With OCR, TPNODL has been able to successfully process meter readings more efficiently, leading to faster billing cycles and reduced administrative workload. This translates to improved customer service and streamlined operations. Going forward, we will be incorporating the dynamic QR code in the SBM generated bills to facilitate self-bill payment by consumer</w:t>
      </w:r>
    </w:p>
    <w:p w14:paraId="1B9FB093" w14:textId="77777777" w:rsidR="00F616FB" w:rsidRPr="00841775" w:rsidRDefault="00F616FB" w:rsidP="00F616FB">
      <w:pPr>
        <w:pStyle w:val="ListParagraph"/>
        <w:rPr>
          <w:rFonts w:asciiTheme="minorHAnsi" w:hAnsiTheme="minorHAnsi" w:cstheme="minorHAnsi"/>
          <w:b/>
          <w:lang w:bidi="or-IN"/>
        </w:rPr>
      </w:pPr>
    </w:p>
    <w:p w14:paraId="5845C8D9" w14:textId="77777777" w:rsidR="00F616FB" w:rsidRPr="00841775" w:rsidRDefault="00F616FB" w:rsidP="00AB536C">
      <w:pPr>
        <w:pStyle w:val="ListParagraph"/>
        <w:numPr>
          <w:ilvl w:val="0"/>
          <w:numId w:val="40"/>
        </w:numPr>
        <w:tabs>
          <w:tab w:val="left" w:pos="709"/>
        </w:tabs>
        <w:spacing w:line="360" w:lineRule="auto"/>
        <w:ind w:left="709" w:hanging="284"/>
        <w:jc w:val="both"/>
        <w:textAlignment w:val="baseline"/>
        <w:rPr>
          <w:rFonts w:asciiTheme="minorHAnsi" w:hAnsiTheme="minorHAnsi" w:cstheme="minorHAnsi"/>
          <w:lang w:bidi="or-IN"/>
        </w:rPr>
      </w:pPr>
      <w:r w:rsidRPr="00841775">
        <w:rPr>
          <w:rFonts w:asciiTheme="minorHAnsi" w:hAnsiTheme="minorHAnsi" w:cstheme="minorHAnsi"/>
          <w:b/>
          <w:lang w:bidi="or-IN"/>
        </w:rPr>
        <w:t>New Connections through MO BIDYUT</w:t>
      </w:r>
      <w:r w:rsidRPr="00841775">
        <w:rPr>
          <w:rFonts w:asciiTheme="minorHAnsi" w:hAnsiTheme="minorHAnsi" w:cstheme="minorHAnsi"/>
          <w:lang w:bidi="or-IN"/>
        </w:rPr>
        <w:t xml:space="preserve"> - New consumer up to 5KW can apply, track &amp; raise complain in this portal. Real time syncing available with our Billing application for smooth processing of new application. The portal is now enhanced to accept service connection requests for consumers requiring load of more than 5kW.</w:t>
      </w:r>
    </w:p>
    <w:p w14:paraId="083717AF" w14:textId="77777777" w:rsidR="00F616FB" w:rsidRPr="00841775" w:rsidRDefault="00F616FB" w:rsidP="00F616FB">
      <w:pPr>
        <w:pStyle w:val="ListParagraph"/>
        <w:rPr>
          <w:rFonts w:asciiTheme="minorHAnsi" w:hAnsiTheme="minorHAnsi" w:cstheme="minorHAnsi"/>
          <w:b/>
          <w:lang w:bidi="or-IN"/>
        </w:rPr>
      </w:pPr>
    </w:p>
    <w:p w14:paraId="449448CD" w14:textId="77777777" w:rsidR="00F616FB" w:rsidRPr="00841775" w:rsidRDefault="00F616FB" w:rsidP="00AB536C">
      <w:pPr>
        <w:pStyle w:val="ListParagraph"/>
        <w:numPr>
          <w:ilvl w:val="0"/>
          <w:numId w:val="40"/>
        </w:numPr>
        <w:tabs>
          <w:tab w:val="left" w:pos="709"/>
        </w:tabs>
        <w:spacing w:line="360" w:lineRule="auto"/>
        <w:ind w:left="709" w:hanging="284"/>
        <w:jc w:val="both"/>
        <w:textAlignment w:val="baseline"/>
        <w:rPr>
          <w:rFonts w:asciiTheme="minorHAnsi" w:hAnsiTheme="minorHAnsi" w:cstheme="minorHAnsi"/>
          <w:lang w:bidi="or-IN"/>
        </w:rPr>
      </w:pPr>
      <w:r w:rsidRPr="00841775">
        <w:rPr>
          <w:rFonts w:asciiTheme="minorHAnsi" w:hAnsiTheme="minorHAnsi" w:cstheme="minorHAnsi"/>
          <w:b/>
          <w:lang w:bidi="or-IN"/>
        </w:rPr>
        <w:t xml:space="preserve">FCC App (Fuse Call complaint APP) – </w:t>
      </w:r>
      <w:r w:rsidRPr="00841775">
        <w:rPr>
          <w:rFonts w:asciiTheme="minorHAnsi" w:hAnsiTheme="minorHAnsi" w:cstheme="minorHAnsi"/>
          <w:lang w:bidi="or-IN"/>
        </w:rPr>
        <w:t xml:space="preserve">   The launch of FCC Mobile App for TPNODL Line men has helped in providing a quick resolution of "No Power Supply" complaints by the consumer. FCC App is fully integrated with Call Centre CRM and support both English and Odia languages. The call registered at call </w:t>
      </w:r>
      <w:proofErr w:type="spellStart"/>
      <w:r w:rsidRPr="00841775">
        <w:rPr>
          <w:rFonts w:asciiTheme="minorHAnsi" w:hAnsiTheme="minorHAnsi" w:cstheme="minorHAnsi"/>
          <w:lang w:bidi="or-IN"/>
        </w:rPr>
        <w:t>centre</w:t>
      </w:r>
      <w:proofErr w:type="spellEnd"/>
      <w:r w:rsidRPr="00841775">
        <w:rPr>
          <w:rFonts w:asciiTheme="minorHAnsi" w:hAnsiTheme="minorHAnsi" w:cstheme="minorHAnsi"/>
          <w:lang w:bidi="or-IN"/>
        </w:rPr>
        <w:t xml:space="preserve"> gets auto forwarded to concerned FCC - lineman as mapped in the system</w:t>
      </w:r>
      <w:r w:rsidRPr="00841775">
        <w:rPr>
          <w:rFonts w:asciiTheme="minorHAnsi" w:hAnsiTheme="minorHAnsi" w:cstheme="minorHAnsi"/>
          <w:b/>
          <w:lang w:bidi="or-IN"/>
        </w:rPr>
        <w:t>.</w:t>
      </w:r>
    </w:p>
    <w:p w14:paraId="07B9AB1B" w14:textId="77777777" w:rsidR="00F616FB" w:rsidRPr="00841775" w:rsidRDefault="00F616FB" w:rsidP="00F616FB">
      <w:pPr>
        <w:pStyle w:val="ListParagraph"/>
        <w:rPr>
          <w:rFonts w:asciiTheme="minorHAnsi" w:hAnsiTheme="minorHAnsi" w:cstheme="minorHAnsi"/>
          <w:b/>
          <w:lang w:bidi="or-IN"/>
        </w:rPr>
      </w:pPr>
    </w:p>
    <w:p w14:paraId="78E5DAFC" w14:textId="77777777" w:rsidR="00F616FB" w:rsidRPr="00841775" w:rsidRDefault="00F616FB" w:rsidP="00AB536C">
      <w:pPr>
        <w:pStyle w:val="ListParagraph"/>
        <w:numPr>
          <w:ilvl w:val="0"/>
          <w:numId w:val="40"/>
        </w:numPr>
        <w:tabs>
          <w:tab w:val="left" w:pos="709"/>
        </w:tabs>
        <w:spacing w:line="360" w:lineRule="auto"/>
        <w:ind w:left="709" w:hanging="284"/>
        <w:jc w:val="both"/>
        <w:textAlignment w:val="baseline"/>
        <w:rPr>
          <w:rFonts w:asciiTheme="minorHAnsi" w:hAnsiTheme="minorHAnsi" w:cstheme="minorHAnsi"/>
          <w:lang w:bidi="or-IN"/>
        </w:rPr>
      </w:pPr>
      <w:r w:rsidRPr="00841775">
        <w:rPr>
          <w:rFonts w:asciiTheme="minorHAnsi" w:hAnsiTheme="minorHAnsi" w:cstheme="minorHAnsi"/>
          <w:b/>
          <w:lang w:bidi="or-IN"/>
        </w:rPr>
        <w:t>Integrated Contact Centre</w:t>
      </w:r>
      <w:r w:rsidRPr="00841775">
        <w:rPr>
          <w:rFonts w:asciiTheme="minorHAnsi" w:hAnsiTheme="minorHAnsi" w:cstheme="minorHAnsi"/>
          <w:lang w:bidi="or-IN"/>
        </w:rPr>
        <w:t xml:space="preserve"> - Customer</w:t>
      </w:r>
      <w:r w:rsidRPr="00841775">
        <w:t xml:space="preserve"> Service is an important function for any power utility and contact </w:t>
      </w:r>
      <w:proofErr w:type="spellStart"/>
      <w:r w:rsidRPr="00841775">
        <w:t>centre</w:t>
      </w:r>
      <w:proofErr w:type="spellEnd"/>
      <w:r w:rsidRPr="00841775">
        <w:t xml:space="preserve"> is very important service channels from both customer and utility perspective. Considering the importance of this function, Integrated Contact </w:t>
      </w:r>
      <w:proofErr w:type="spellStart"/>
      <w:r w:rsidRPr="00841775">
        <w:t>Centres</w:t>
      </w:r>
      <w:proofErr w:type="spellEnd"/>
      <w:r w:rsidRPr="00841775">
        <w:t xml:space="preserve"> (ICC) serving all four Odisha DISCOMs has been setup. The ICC is fully integrated with backend systems and equipped to cater </w:t>
      </w:r>
      <w:r w:rsidRPr="00841775">
        <w:lastRenderedPageBreak/>
        <w:t xml:space="preserve">inbound / outbound customer communications through multiple voice and non-voice channels including email, chat, WhatsApp, social media. A provision for automation of repetitive communication requirement such as call answering, ticketing, </w:t>
      </w:r>
      <w:proofErr w:type="spellStart"/>
      <w:r w:rsidRPr="00841775">
        <w:t>dialling</w:t>
      </w:r>
      <w:proofErr w:type="spellEnd"/>
      <w:r w:rsidRPr="00841775">
        <w:t xml:space="preserve"> and mass messaging in text, voice and email modes.</w:t>
      </w:r>
    </w:p>
    <w:p w14:paraId="250EEDE2" w14:textId="77777777" w:rsidR="00F616FB" w:rsidRPr="00841775" w:rsidRDefault="00F616FB" w:rsidP="00F616FB">
      <w:pPr>
        <w:pStyle w:val="ListParagraph"/>
        <w:rPr>
          <w:b/>
        </w:rPr>
      </w:pPr>
    </w:p>
    <w:p w14:paraId="48C8C627" w14:textId="77777777" w:rsidR="00F616FB" w:rsidRPr="00841775" w:rsidRDefault="00F616FB" w:rsidP="00AB536C">
      <w:pPr>
        <w:pStyle w:val="ListParagraph"/>
        <w:numPr>
          <w:ilvl w:val="0"/>
          <w:numId w:val="40"/>
        </w:numPr>
        <w:tabs>
          <w:tab w:val="left" w:pos="709"/>
        </w:tabs>
        <w:spacing w:line="360" w:lineRule="auto"/>
        <w:ind w:left="709" w:hanging="284"/>
        <w:jc w:val="both"/>
        <w:textAlignment w:val="baseline"/>
        <w:rPr>
          <w:rFonts w:asciiTheme="minorHAnsi" w:hAnsiTheme="minorHAnsi" w:cstheme="minorHAnsi"/>
          <w:lang w:bidi="or-IN"/>
        </w:rPr>
      </w:pPr>
      <w:r w:rsidRPr="00841775">
        <w:rPr>
          <w:b/>
        </w:rPr>
        <w:t>DO App</w:t>
      </w:r>
      <w:r w:rsidRPr="00841775">
        <w:t xml:space="preserve"> – DO (Disconnection Order) app has been launched to facilitate disconnection at site. Basic details of Consumer along with Disconnection amount can be viewed in this app. Once a physical disconnection is executed in field, the status in the app for the particular consumer can be changed. Changed status is updated in FG-CIS system online to ensure data integrity. A provision to initiate reconnection through this app will also be provided.</w:t>
      </w:r>
    </w:p>
    <w:p w14:paraId="596691D8" w14:textId="77777777" w:rsidR="00F616FB" w:rsidRPr="00841775" w:rsidRDefault="00F616FB" w:rsidP="00F616FB">
      <w:pPr>
        <w:pStyle w:val="ListParagraph"/>
        <w:rPr>
          <w:b/>
        </w:rPr>
      </w:pPr>
    </w:p>
    <w:p w14:paraId="4EF5F6D7" w14:textId="77777777" w:rsidR="00F616FB" w:rsidRPr="00841775" w:rsidRDefault="00F616FB" w:rsidP="00AB536C">
      <w:pPr>
        <w:pStyle w:val="ListParagraph"/>
        <w:numPr>
          <w:ilvl w:val="0"/>
          <w:numId w:val="40"/>
        </w:numPr>
        <w:tabs>
          <w:tab w:val="left" w:pos="709"/>
        </w:tabs>
        <w:spacing w:line="360" w:lineRule="auto"/>
        <w:ind w:left="709" w:hanging="284"/>
        <w:jc w:val="both"/>
        <w:textAlignment w:val="baseline"/>
        <w:rPr>
          <w:rFonts w:asciiTheme="minorHAnsi" w:hAnsiTheme="minorHAnsi" w:cstheme="minorHAnsi"/>
          <w:lang w:bidi="or-IN"/>
        </w:rPr>
      </w:pPr>
      <w:proofErr w:type="spellStart"/>
      <w:r w:rsidRPr="00841775">
        <w:rPr>
          <w:b/>
        </w:rPr>
        <w:t>Sigitek</w:t>
      </w:r>
      <w:proofErr w:type="spellEnd"/>
      <w:r w:rsidRPr="00841775">
        <w:rPr>
          <w:b/>
        </w:rPr>
        <w:t xml:space="preserve"> Portal</w:t>
      </w:r>
      <w:r w:rsidRPr="00841775">
        <w:t xml:space="preserve"> – The portal has been launched to facilitate invoice processing for our Business Associates. Associates can track the status of their invoice from initiation to processing of their payments on a real time basis.</w:t>
      </w:r>
    </w:p>
    <w:p w14:paraId="4D0B7B1C" w14:textId="0F0443F9" w:rsidR="00F616FB" w:rsidRPr="00841775" w:rsidRDefault="00F616FB" w:rsidP="00F616FB">
      <w:pPr>
        <w:tabs>
          <w:tab w:val="left" w:pos="426"/>
        </w:tabs>
        <w:spacing w:line="360" w:lineRule="auto"/>
        <w:ind w:left="567" w:hanging="567"/>
        <w:jc w:val="both"/>
        <w:textAlignment w:val="baseline"/>
        <w:rPr>
          <w:rFonts w:asciiTheme="minorHAnsi" w:hAnsiTheme="minorHAnsi" w:cstheme="minorHAnsi"/>
          <w:b/>
          <w:sz w:val="22"/>
          <w:szCs w:val="22"/>
          <w:lang w:bidi="or-IN"/>
        </w:rPr>
      </w:pPr>
      <w:r w:rsidRPr="00841775">
        <w:rPr>
          <w:rFonts w:asciiTheme="minorHAnsi" w:hAnsiTheme="minorHAnsi" w:cstheme="minorHAnsi"/>
          <w:b/>
          <w:sz w:val="22"/>
          <w:szCs w:val="22"/>
          <w:lang w:bidi="or-IN"/>
        </w:rPr>
        <w:t xml:space="preserve">           </w:t>
      </w:r>
      <w:r w:rsidR="00894F4D">
        <w:rPr>
          <w:rFonts w:asciiTheme="minorHAnsi" w:hAnsiTheme="minorHAnsi" w:cstheme="minorHAnsi"/>
          <w:b/>
          <w:sz w:val="22"/>
          <w:szCs w:val="22"/>
          <w:lang w:bidi="or-IN"/>
        </w:rPr>
        <w:t>6.5.1</w:t>
      </w:r>
      <w:r w:rsidRPr="00841775">
        <w:rPr>
          <w:rFonts w:asciiTheme="minorHAnsi" w:hAnsiTheme="minorHAnsi" w:cstheme="minorHAnsi"/>
          <w:b/>
          <w:sz w:val="22"/>
          <w:szCs w:val="22"/>
          <w:lang w:bidi="or-IN"/>
        </w:rPr>
        <w:t xml:space="preserve"> Initiatives in GIS</w:t>
      </w:r>
    </w:p>
    <w:p w14:paraId="4C7EB551" w14:textId="77777777" w:rsidR="00F616FB" w:rsidRDefault="00F616FB" w:rsidP="00F616FB">
      <w:pPr>
        <w:tabs>
          <w:tab w:val="left" w:pos="426"/>
        </w:tabs>
        <w:autoSpaceDE w:val="0"/>
        <w:autoSpaceDN w:val="0"/>
        <w:spacing w:line="360" w:lineRule="auto"/>
        <w:ind w:left="567" w:hanging="567"/>
        <w:jc w:val="both"/>
        <w:rPr>
          <w:rFonts w:asciiTheme="minorHAnsi" w:hAnsiTheme="minorHAnsi" w:cstheme="minorHAnsi"/>
          <w:sz w:val="22"/>
          <w:szCs w:val="22"/>
          <w:lang w:bidi="or-IN"/>
        </w:rPr>
      </w:pPr>
      <w:r>
        <w:rPr>
          <w:rFonts w:asciiTheme="minorHAnsi" w:hAnsiTheme="minorHAnsi" w:cstheme="minorHAnsi"/>
          <w:bCs/>
          <w:sz w:val="22"/>
          <w:szCs w:val="22"/>
          <w:lang w:val="en-IN" w:bidi="or-IN"/>
        </w:rPr>
        <w:t xml:space="preserve">           </w:t>
      </w:r>
      <w:r w:rsidRPr="003F77EE">
        <w:rPr>
          <w:rFonts w:asciiTheme="minorHAnsi" w:hAnsiTheme="minorHAnsi" w:cstheme="minorHAnsi"/>
          <w:bCs/>
          <w:sz w:val="22"/>
          <w:szCs w:val="22"/>
          <w:lang w:val="en-IN" w:bidi="or-IN"/>
        </w:rPr>
        <w:t>The technological framework used for gathering, organizing, processing, and visualizing geographic data is called a Geographic Information System (GIS)</w:t>
      </w:r>
      <w:r>
        <w:rPr>
          <w:rFonts w:asciiTheme="minorHAnsi" w:hAnsiTheme="minorHAnsi" w:cstheme="minorHAnsi"/>
          <w:sz w:val="22"/>
          <w:szCs w:val="22"/>
          <w:lang w:bidi="or-IN"/>
        </w:rPr>
        <w:t xml:space="preserve">. </w:t>
      </w:r>
      <w:r w:rsidRPr="00BD5055">
        <w:rPr>
          <w:rFonts w:asciiTheme="minorHAnsi" w:hAnsiTheme="minorHAnsi" w:cstheme="minorHAnsi"/>
          <w:sz w:val="22"/>
          <w:szCs w:val="22"/>
          <w:lang w:bidi="or-IN"/>
        </w:rPr>
        <w:t xml:space="preserve">GIS is foundational Technology for utility whose assets are spread geographically which covers approx. 27,500 sq. km area for TPNODL. It will help us to have a full control on the assets and further to run various applications on the GIS data which in turn, enable utility to effectively maintain and restore the electricity supply. GIS plays a key role in achieving the committed targets and moreover bring business excellence and consumer delight. We have implemented GIS software and Application for pan TPNODL area. We implemented GIS in </w:t>
      </w:r>
      <w:r>
        <w:rPr>
          <w:rFonts w:asciiTheme="minorHAnsi" w:hAnsiTheme="minorHAnsi" w:cstheme="minorHAnsi"/>
          <w:sz w:val="22"/>
          <w:szCs w:val="22"/>
          <w:lang w:bidi="or-IN"/>
        </w:rPr>
        <w:t>1</w:t>
      </w:r>
      <w:r w:rsidRPr="00BD5055">
        <w:rPr>
          <w:rFonts w:asciiTheme="minorHAnsi" w:hAnsiTheme="minorHAnsi" w:cstheme="minorHAnsi"/>
          <w:sz w:val="22"/>
          <w:szCs w:val="22"/>
          <w:lang w:bidi="or-IN"/>
        </w:rPr>
        <w:t>6 Division</w:t>
      </w:r>
      <w:r>
        <w:rPr>
          <w:rFonts w:asciiTheme="minorHAnsi" w:hAnsiTheme="minorHAnsi" w:cstheme="minorHAnsi"/>
          <w:sz w:val="22"/>
          <w:szCs w:val="22"/>
          <w:lang w:bidi="or-IN"/>
        </w:rPr>
        <w:t>s and mapped 100% network of 33kv, 11kv and LV level. Till date we have mapped 1</w:t>
      </w:r>
      <w:r w:rsidRPr="00BD5055">
        <w:rPr>
          <w:rFonts w:asciiTheme="minorHAnsi" w:hAnsiTheme="minorHAnsi" w:cstheme="minorHAnsi"/>
          <w:sz w:val="22"/>
          <w:szCs w:val="22"/>
          <w:lang w:bidi="or-IN"/>
        </w:rPr>
        <w:t>7</w:t>
      </w:r>
      <w:r>
        <w:rPr>
          <w:rFonts w:asciiTheme="minorHAnsi" w:hAnsiTheme="minorHAnsi" w:cstheme="minorHAnsi"/>
          <w:sz w:val="22"/>
          <w:szCs w:val="22"/>
          <w:lang w:bidi="or-IN"/>
        </w:rPr>
        <w:t>.83</w:t>
      </w:r>
      <w:r w:rsidRPr="00BD5055">
        <w:rPr>
          <w:rFonts w:asciiTheme="minorHAnsi" w:hAnsiTheme="minorHAnsi" w:cstheme="minorHAnsi"/>
          <w:sz w:val="22"/>
          <w:szCs w:val="22"/>
          <w:lang w:bidi="or-IN"/>
        </w:rPr>
        <w:t xml:space="preserve"> lacs c</w:t>
      </w:r>
      <w:r>
        <w:rPr>
          <w:rFonts w:asciiTheme="minorHAnsi" w:hAnsiTheme="minorHAnsi" w:cstheme="minorHAnsi"/>
          <w:sz w:val="22"/>
          <w:szCs w:val="22"/>
          <w:lang w:bidi="or-IN"/>
        </w:rPr>
        <w:t>onsumer indexing in GIS system.</w:t>
      </w:r>
    </w:p>
    <w:p w14:paraId="33FEBD97" w14:textId="77777777" w:rsidR="00F616FB" w:rsidRDefault="00F616FB" w:rsidP="00F616FB">
      <w:pPr>
        <w:tabs>
          <w:tab w:val="left" w:pos="426"/>
        </w:tabs>
        <w:autoSpaceDE w:val="0"/>
        <w:autoSpaceDN w:val="0"/>
        <w:spacing w:line="360" w:lineRule="auto"/>
        <w:ind w:left="567" w:hanging="567"/>
        <w:jc w:val="both"/>
        <w:rPr>
          <w:rFonts w:asciiTheme="minorHAnsi" w:hAnsiTheme="minorHAnsi" w:cstheme="minorHAnsi"/>
          <w:bCs/>
          <w:sz w:val="22"/>
          <w:szCs w:val="22"/>
          <w:lang w:val="en-IN" w:bidi="or-IN"/>
        </w:rPr>
      </w:pPr>
    </w:p>
    <w:p w14:paraId="4EBC298A" w14:textId="77777777" w:rsidR="00F616FB" w:rsidRPr="00891BA8" w:rsidRDefault="00F616FB" w:rsidP="00F616FB">
      <w:pPr>
        <w:tabs>
          <w:tab w:val="left" w:pos="426"/>
        </w:tabs>
        <w:autoSpaceDE w:val="0"/>
        <w:autoSpaceDN w:val="0"/>
        <w:spacing w:line="360" w:lineRule="auto"/>
        <w:ind w:left="567" w:hanging="567"/>
        <w:jc w:val="both"/>
        <w:rPr>
          <w:rFonts w:asciiTheme="minorHAnsi" w:hAnsiTheme="minorHAnsi" w:cstheme="minorHAnsi"/>
          <w:sz w:val="22"/>
          <w:szCs w:val="22"/>
          <w:lang w:bidi="or-IN"/>
        </w:rPr>
      </w:pPr>
      <w:r>
        <w:rPr>
          <w:rFonts w:asciiTheme="minorHAnsi" w:hAnsiTheme="minorHAnsi" w:cstheme="minorHAnsi"/>
          <w:bCs/>
          <w:sz w:val="22"/>
          <w:szCs w:val="22"/>
          <w:lang w:val="en-IN" w:bidi="or-IN"/>
        </w:rPr>
        <w:t xml:space="preserve">           </w:t>
      </w:r>
      <w:r w:rsidRPr="003F77EE">
        <w:rPr>
          <w:rFonts w:asciiTheme="minorHAnsi" w:hAnsiTheme="minorHAnsi" w:cstheme="minorHAnsi"/>
          <w:bCs/>
          <w:sz w:val="22"/>
          <w:szCs w:val="22"/>
          <w:lang w:val="en-IN" w:bidi="or-IN"/>
        </w:rPr>
        <w:t xml:space="preserve">GIS is </w:t>
      </w:r>
      <w:r w:rsidRPr="003F77EE">
        <w:rPr>
          <w:rFonts w:asciiTheme="minorHAnsi" w:hAnsiTheme="minorHAnsi" w:cstheme="minorHAnsi"/>
          <w:bCs/>
          <w:sz w:val="22"/>
          <w:szCs w:val="22"/>
          <w:lang w:bidi="or-IN"/>
        </w:rPr>
        <w:t xml:space="preserve">used in the electrical distribution utility sector to manage and analyze geospatial data related to the distribution network. It combines geographical data with attribute data to provide a comprehensive understanding of the network infrastructure. </w:t>
      </w:r>
    </w:p>
    <w:p w14:paraId="23926B40" w14:textId="77777777" w:rsidR="00F616FB" w:rsidRDefault="00F616FB" w:rsidP="00F616FB">
      <w:pPr>
        <w:tabs>
          <w:tab w:val="left" w:pos="284"/>
        </w:tabs>
        <w:autoSpaceDE w:val="0"/>
        <w:autoSpaceDN w:val="0"/>
        <w:spacing w:line="360" w:lineRule="auto"/>
        <w:ind w:left="993" w:hanging="567"/>
        <w:jc w:val="both"/>
        <w:rPr>
          <w:rFonts w:asciiTheme="minorHAnsi" w:hAnsiTheme="minorHAnsi" w:cstheme="minorHAnsi"/>
          <w:sz w:val="22"/>
          <w:szCs w:val="22"/>
          <w:lang w:bidi="or-IN"/>
        </w:rPr>
      </w:pPr>
    </w:p>
    <w:p w14:paraId="4329411A" w14:textId="77777777" w:rsidR="00F616FB" w:rsidRDefault="00F616FB" w:rsidP="00AB536C">
      <w:pPr>
        <w:pStyle w:val="ListParagraph"/>
        <w:numPr>
          <w:ilvl w:val="0"/>
          <w:numId w:val="42"/>
        </w:numPr>
        <w:tabs>
          <w:tab w:val="left" w:pos="284"/>
          <w:tab w:val="left" w:pos="709"/>
        </w:tabs>
        <w:autoSpaceDE w:val="0"/>
        <w:autoSpaceDN w:val="0"/>
        <w:spacing w:line="360" w:lineRule="auto"/>
        <w:ind w:left="993"/>
        <w:jc w:val="both"/>
        <w:rPr>
          <w:rFonts w:asciiTheme="minorHAnsi" w:hAnsiTheme="minorHAnsi" w:cstheme="minorHAnsi"/>
          <w:lang w:bidi="or-IN"/>
        </w:rPr>
      </w:pPr>
      <w:r w:rsidRPr="00891BA8">
        <w:rPr>
          <w:rFonts w:asciiTheme="minorHAnsi" w:hAnsiTheme="minorHAnsi" w:cstheme="minorHAnsi"/>
          <w:b/>
          <w:lang w:bidi="or-IN"/>
        </w:rPr>
        <w:t>Desktop Application</w:t>
      </w:r>
      <w:r w:rsidRPr="00891BA8">
        <w:rPr>
          <w:rFonts w:asciiTheme="minorHAnsi" w:hAnsiTheme="minorHAnsi" w:cstheme="minorHAnsi"/>
          <w:lang w:bidi="or-IN"/>
        </w:rPr>
        <w:t>: To perform backend activities like migration, mapping of assets, logical testing of data with respect to connectivity, mapping of Land-base, consumers, and building connectivity between DT’s and consumers respectively. Using this digitized data, we can perform numerous technical analysis, load loss analysis, dashboards, validation of connectivity and feasibility studies.</w:t>
      </w:r>
    </w:p>
    <w:p w14:paraId="20B36DE5" w14:textId="77777777" w:rsidR="00F616FB" w:rsidRDefault="00F616FB" w:rsidP="00F616FB">
      <w:pPr>
        <w:pStyle w:val="ListParagraph"/>
        <w:tabs>
          <w:tab w:val="left" w:pos="284"/>
          <w:tab w:val="left" w:pos="709"/>
        </w:tabs>
        <w:autoSpaceDE w:val="0"/>
        <w:autoSpaceDN w:val="0"/>
        <w:spacing w:line="360" w:lineRule="auto"/>
        <w:ind w:left="993"/>
        <w:jc w:val="both"/>
        <w:rPr>
          <w:rFonts w:asciiTheme="minorHAnsi" w:hAnsiTheme="minorHAnsi" w:cstheme="minorHAnsi"/>
          <w:lang w:bidi="or-IN"/>
        </w:rPr>
      </w:pPr>
    </w:p>
    <w:p w14:paraId="1E8BAFCD" w14:textId="77777777" w:rsidR="00F616FB" w:rsidRDefault="00F616FB" w:rsidP="00AB536C">
      <w:pPr>
        <w:pStyle w:val="ListParagraph"/>
        <w:numPr>
          <w:ilvl w:val="0"/>
          <w:numId w:val="42"/>
        </w:numPr>
        <w:tabs>
          <w:tab w:val="left" w:pos="709"/>
        </w:tabs>
        <w:autoSpaceDE w:val="0"/>
        <w:autoSpaceDN w:val="0"/>
        <w:spacing w:line="360" w:lineRule="auto"/>
        <w:ind w:left="993"/>
        <w:jc w:val="both"/>
        <w:rPr>
          <w:rFonts w:asciiTheme="minorHAnsi" w:hAnsiTheme="minorHAnsi" w:cstheme="minorHAnsi"/>
          <w:lang w:bidi="or-IN"/>
        </w:rPr>
      </w:pPr>
      <w:r w:rsidRPr="00891BA8">
        <w:rPr>
          <w:rFonts w:asciiTheme="minorHAnsi" w:hAnsiTheme="minorHAnsi" w:cstheme="minorHAnsi"/>
          <w:b/>
          <w:lang w:bidi="or-IN"/>
        </w:rPr>
        <w:lastRenderedPageBreak/>
        <w:t>WEB Application</w:t>
      </w:r>
      <w:r w:rsidRPr="00891BA8">
        <w:rPr>
          <w:rFonts w:asciiTheme="minorHAnsi" w:hAnsiTheme="minorHAnsi" w:cstheme="minorHAnsi"/>
          <w:lang w:bidi="or-IN"/>
        </w:rPr>
        <w:t>: This platform is based on online portal where using this application, users of the organization can view the data of all assets mapped in GIS as per ground scenario and can extract multiple types of reports by using customized tools such as Simple Search, Trace, Consumers Connected DT’s, Buffer etc., User can view the data and also share their inputs in discrepancies or new enhancements using Sketching Tool. Using Map Plot, user can download maps of required AOI in pdf format for reference.</w:t>
      </w:r>
    </w:p>
    <w:p w14:paraId="6FE41B7E" w14:textId="77777777" w:rsidR="00F616FB" w:rsidRDefault="00F616FB" w:rsidP="00F616FB">
      <w:pPr>
        <w:pStyle w:val="ListParagraph"/>
        <w:tabs>
          <w:tab w:val="left" w:pos="709"/>
        </w:tabs>
        <w:autoSpaceDE w:val="0"/>
        <w:autoSpaceDN w:val="0"/>
        <w:spacing w:line="360" w:lineRule="auto"/>
        <w:ind w:left="993"/>
        <w:jc w:val="both"/>
        <w:rPr>
          <w:rFonts w:asciiTheme="minorHAnsi" w:hAnsiTheme="minorHAnsi" w:cstheme="minorHAnsi"/>
          <w:lang w:bidi="or-IN"/>
        </w:rPr>
      </w:pPr>
    </w:p>
    <w:p w14:paraId="1CFFB0AE" w14:textId="77777777" w:rsidR="00F616FB" w:rsidRPr="00764317" w:rsidRDefault="00F616FB" w:rsidP="00AB536C">
      <w:pPr>
        <w:pStyle w:val="ListParagraph"/>
        <w:numPr>
          <w:ilvl w:val="0"/>
          <w:numId w:val="42"/>
        </w:numPr>
        <w:tabs>
          <w:tab w:val="left" w:pos="709"/>
        </w:tabs>
        <w:autoSpaceDE w:val="0"/>
        <w:autoSpaceDN w:val="0"/>
        <w:spacing w:line="360" w:lineRule="auto"/>
        <w:ind w:left="993"/>
        <w:jc w:val="both"/>
        <w:rPr>
          <w:rFonts w:asciiTheme="minorHAnsi" w:hAnsiTheme="minorHAnsi" w:cstheme="minorHAnsi"/>
          <w:lang w:bidi="or-IN"/>
        </w:rPr>
      </w:pPr>
      <w:r w:rsidRPr="00891BA8">
        <w:rPr>
          <w:rFonts w:asciiTheme="minorHAnsi" w:hAnsiTheme="minorHAnsi" w:cstheme="minorHAnsi"/>
          <w:b/>
          <w:lang w:bidi="or-IN"/>
        </w:rPr>
        <w:t>Mobile Application</w:t>
      </w:r>
      <w:r w:rsidRPr="00891BA8">
        <w:rPr>
          <w:rFonts w:asciiTheme="minorHAnsi" w:hAnsiTheme="minorHAnsi" w:cstheme="minorHAnsi"/>
          <w:lang w:bidi="or-IN"/>
        </w:rPr>
        <w:t xml:space="preserve"> – This application allows anyone within our organization to access the complete network easily at any time and from anywhere, thereby easing the survey, planning, and </w:t>
      </w:r>
      <w:proofErr w:type="spellStart"/>
      <w:r w:rsidRPr="00891BA8">
        <w:rPr>
          <w:rFonts w:asciiTheme="minorHAnsi" w:hAnsiTheme="minorHAnsi" w:cstheme="minorHAnsi"/>
          <w:lang w:bidi="or-IN"/>
        </w:rPr>
        <w:t>updation</w:t>
      </w:r>
      <w:proofErr w:type="spellEnd"/>
      <w:r w:rsidRPr="00891BA8">
        <w:rPr>
          <w:rFonts w:asciiTheme="minorHAnsi" w:hAnsiTheme="minorHAnsi" w:cstheme="minorHAnsi"/>
          <w:lang w:bidi="or-IN"/>
        </w:rPr>
        <w:t xml:space="preserve"> of the network. </w:t>
      </w:r>
    </w:p>
    <w:p w14:paraId="1829B916" w14:textId="58761550" w:rsidR="00F616FB" w:rsidRPr="00891BA8" w:rsidRDefault="00F616FB" w:rsidP="00F616FB">
      <w:pPr>
        <w:autoSpaceDE w:val="0"/>
        <w:autoSpaceDN w:val="0"/>
        <w:spacing w:line="360" w:lineRule="auto"/>
        <w:jc w:val="both"/>
        <w:rPr>
          <w:rFonts w:asciiTheme="minorHAnsi" w:hAnsiTheme="minorHAnsi" w:cstheme="minorHAnsi"/>
          <w:b/>
          <w:sz w:val="22"/>
          <w:szCs w:val="22"/>
          <w:lang w:val="en-IN" w:bidi="or-IN"/>
        </w:rPr>
      </w:pPr>
      <w:r>
        <w:rPr>
          <w:rFonts w:asciiTheme="minorHAnsi" w:hAnsiTheme="minorHAnsi" w:cstheme="minorHAnsi"/>
          <w:b/>
          <w:sz w:val="22"/>
          <w:szCs w:val="22"/>
          <w:lang w:val="en-IN" w:bidi="or-IN"/>
        </w:rPr>
        <w:t xml:space="preserve">           </w:t>
      </w:r>
      <w:r w:rsidR="00894F4D">
        <w:rPr>
          <w:rFonts w:asciiTheme="minorHAnsi" w:hAnsiTheme="minorHAnsi" w:cstheme="minorHAnsi"/>
          <w:b/>
          <w:sz w:val="22"/>
          <w:szCs w:val="22"/>
          <w:lang w:val="en-IN" w:bidi="or-IN"/>
        </w:rPr>
        <w:t>6.5.2</w:t>
      </w:r>
      <w:r>
        <w:rPr>
          <w:rFonts w:asciiTheme="minorHAnsi" w:hAnsiTheme="minorHAnsi" w:cstheme="minorHAnsi"/>
          <w:b/>
          <w:sz w:val="22"/>
          <w:szCs w:val="22"/>
          <w:lang w:val="en-IN" w:bidi="or-IN"/>
        </w:rPr>
        <w:t xml:space="preserve"> IT </w:t>
      </w:r>
      <w:r w:rsidRPr="007F3859">
        <w:rPr>
          <w:rFonts w:asciiTheme="minorHAnsi" w:hAnsiTheme="minorHAnsi" w:cstheme="minorHAnsi"/>
          <w:b/>
          <w:sz w:val="22"/>
          <w:szCs w:val="22"/>
          <w:lang w:val="en-IN" w:bidi="or-IN"/>
        </w:rPr>
        <w:t>Integrations</w:t>
      </w:r>
    </w:p>
    <w:p w14:paraId="13AE4B79" w14:textId="77777777" w:rsidR="00F616FB" w:rsidRDefault="00F616FB" w:rsidP="00AB536C">
      <w:pPr>
        <w:pStyle w:val="ListParagraph"/>
        <w:numPr>
          <w:ilvl w:val="0"/>
          <w:numId w:val="44"/>
        </w:numPr>
        <w:tabs>
          <w:tab w:val="left" w:pos="993"/>
          <w:tab w:val="left" w:pos="1843"/>
        </w:tabs>
        <w:autoSpaceDE w:val="0"/>
        <w:autoSpaceDN w:val="0"/>
        <w:spacing w:line="360" w:lineRule="auto"/>
        <w:ind w:left="851" w:hanging="284"/>
        <w:jc w:val="both"/>
        <w:rPr>
          <w:rFonts w:asciiTheme="minorHAnsi" w:hAnsiTheme="minorHAnsi" w:cstheme="minorHAnsi"/>
          <w:lang w:val="en-IN" w:bidi="or-IN"/>
        </w:rPr>
      </w:pPr>
      <w:r w:rsidRPr="00891BA8">
        <w:rPr>
          <w:rFonts w:asciiTheme="minorHAnsi" w:hAnsiTheme="minorHAnsi" w:cstheme="minorHAnsi"/>
          <w:b/>
          <w:lang w:val="en-IN" w:bidi="or-IN"/>
        </w:rPr>
        <w:t>UDS</w:t>
      </w:r>
      <w:r w:rsidRPr="00891BA8">
        <w:rPr>
          <w:rFonts w:asciiTheme="minorHAnsi" w:hAnsiTheme="minorHAnsi" w:cstheme="minorHAnsi"/>
          <w:lang w:val="en-IN" w:bidi="or-IN"/>
        </w:rPr>
        <w:t xml:space="preserve"> – As there are 17.8 lac consumers mapped in GIS along with respective DT’s and Feeders connectivity as per ground scenario, the same data has been integrated to UDS system, where Energy Audit will be done based on the same.</w:t>
      </w:r>
    </w:p>
    <w:p w14:paraId="20922991" w14:textId="77777777" w:rsidR="00F616FB" w:rsidRDefault="00F616FB" w:rsidP="00F616FB">
      <w:pPr>
        <w:pStyle w:val="ListParagraph"/>
        <w:tabs>
          <w:tab w:val="left" w:pos="993"/>
          <w:tab w:val="left" w:pos="1843"/>
        </w:tabs>
        <w:autoSpaceDE w:val="0"/>
        <w:autoSpaceDN w:val="0"/>
        <w:spacing w:line="360" w:lineRule="auto"/>
        <w:ind w:left="851"/>
        <w:jc w:val="both"/>
        <w:rPr>
          <w:rFonts w:asciiTheme="minorHAnsi" w:hAnsiTheme="minorHAnsi" w:cstheme="minorHAnsi"/>
          <w:lang w:val="en-IN" w:bidi="or-IN"/>
        </w:rPr>
      </w:pPr>
    </w:p>
    <w:p w14:paraId="22515387" w14:textId="77777777" w:rsidR="00F616FB" w:rsidRDefault="00F616FB" w:rsidP="00AB536C">
      <w:pPr>
        <w:pStyle w:val="ListParagraph"/>
        <w:numPr>
          <w:ilvl w:val="0"/>
          <w:numId w:val="44"/>
        </w:numPr>
        <w:tabs>
          <w:tab w:val="left" w:pos="993"/>
          <w:tab w:val="left" w:pos="1843"/>
        </w:tabs>
        <w:autoSpaceDE w:val="0"/>
        <w:autoSpaceDN w:val="0"/>
        <w:spacing w:line="360" w:lineRule="auto"/>
        <w:ind w:left="851" w:hanging="284"/>
        <w:jc w:val="both"/>
        <w:rPr>
          <w:rFonts w:asciiTheme="minorHAnsi" w:hAnsiTheme="minorHAnsi" w:cstheme="minorHAnsi"/>
          <w:lang w:val="en-IN" w:bidi="or-IN"/>
        </w:rPr>
      </w:pPr>
      <w:r w:rsidRPr="00841775">
        <w:rPr>
          <w:rFonts w:asciiTheme="minorHAnsi" w:hAnsiTheme="minorHAnsi" w:cstheme="minorHAnsi"/>
          <w:b/>
          <w:lang w:val="en-IN" w:bidi="or-IN"/>
        </w:rPr>
        <w:t>CYME</w:t>
      </w:r>
      <w:r w:rsidRPr="00841775">
        <w:rPr>
          <w:rFonts w:asciiTheme="minorHAnsi" w:hAnsiTheme="minorHAnsi" w:cstheme="minorHAnsi"/>
          <w:lang w:val="en-IN" w:bidi="or-IN"/>
        </w:rPr>
        <w:t xml:space="preserve"> – 100% Feeder wise connectivity of 33kv, 11kv and LV along all respective electric assets has been mapped in GIS along with respective attributes based on which load analysis can be performed as GIS is integrated with CYMDIST software through which NEG department will perform multiple technical analysis.</w:t>
      </w:r>
    </w:p>
    <w:p w14:paraId="24FE3032" w14:textId="77777777" w:rsidR="00F616FB" w:rsidRPr="00841775" w:rsidRDefault="00F616FB" w:rsidP="00F616FB">
      <w:pPr>
        <w:pStyle w:val="ListParagraph"/>
        <w:rPr>
          <w:rFonts w:asciiTheme="minorHAnsi" w:hAnsiTheme="minorHAnsi" w:cstheme="minorHAnsi"/>
          <w:b/>
          <w:lang w:val="en-IN" w:bidi="or-IN"/>
        </w:rPr>
      </w:pPr>
    </w:p>
    <w:p w14:paraId="3137E2A5" w14:textId="56D2CF98" w:rsidR="00F616FB" w:rsidRPr="0025136B" w:rsidRDefault="00F616FB" w:rsidP="00F616FB">
      <w:pPr>
        <w:pStyle w:val="ListParagraph"/>
        <w:numPr>
          <w:ilvl w:val="0"/>
          <w:numId w:val="44"/>
        </w:numPr>
        <w:tabs>
          <w:tab w:val="left" w:pos="993"/>
          <w:tab w:val="left" w:pos="1843"/>
        </w:tabs>
        <w:autoSpaceDE w:val="0"/>
        <w:autoSpaceDN w:val="0"/>
        <w:spacing w:line="360" w:lineRule="auto"/>
        <w:ind w:left="851" w:hanging="284"/>
        <w:jc w:val="both"/>
        <w:rPr>
          <w:rFonts w:asciiTheme="minorHAnsi" w:hAnsiTheme="minorHAnsi" w:cstheme="minorHAnsi"/>
          <w:lang w:val="en-IN" w:bidi="or-IN"/>
        </w:rPr>
      </w:pPr>
      <w:r w:rsidRPr="00841775">
        <w:rPr>
          <w:rFonts w:asciiTheme="minorHAnsi" w:hAnsiTheme="minorHAnsi" w:cstheme="minorHAnsi"/>
          <w:b/>
          <w:lang w:val="en-IN" w:bidi="or-IN"/>
        </w:rPr>
        <w:t>Enforcement</w:t>
      </w:r>
      <w:r w:rsidRPr="00841775">
        <w:rPr>
          <w:rFonts w:asciiTheme="minorHAnsi" w:hAnsiTheme="minorHAnsi" w:cstheme="minorHAnsi"/>
          <w:lang w:val="en-IN" w:bidi="or-IN"/>
        </w:rPr>
        <w:t xml:space="preserve"> – Through survey process performed by GIS, consumers found from ground where theft/hooking found or premises without meters found have been shared to enforcement team for making sure necessary action is taken against the same. Mapped booked consumers as per enforcement inputs for future reference.</w:t>
      </w:r>
    </w:p>
    <w:p w14:paraId="47FE97D4" w14:textId="705608E8" w:rsidR="00F616FB" w:rsidRPr="005B5E34" w:rsidRDefault="00F616FB" w:rsidP="00F616FB">
      <w:pPr>
        <w:tabs>
          <w:tab w:val="left" w:pos="993"/>
          <w:tab w:val="left" w:pos="1843"/>
        </w:tabs>
        <w:autoSpaceDE w:val="0"/>
        <w:autoSpaceDN w:val="0"/>
        <w:spacing w:line="360" w:lineRule="auto"/>
        <w:jc w:val="both"/>
        <w:rPr>
          <w:rFonts w:asciiTheme="minorHAnsi" w:hAnsiTheme="minorHAnsi" w:cstheme="minorHAnsi"/>
          <w:b/>
          <w:sz w:val="28"/>
          <w:szCs w:val="28"/>
          <w:lang w:bidi="or-IN"/>
        </w:rPr>
      </w:pPr>
      <w:r>
        <w:rPr>
          <w:rFonts w:asciiTheme="minorHAnsi" w:eastAsia="Calibri" w:hAnsiTheme="minorHAnsi" w:cstheme="minorHAnsi"/>
          <w:sz w:val="22"/>
          <w:szCs w:val="22"/>
          <w:lang w:val="en-IN" w:bidi="or-IN"/>
        </w:rPr>
        <w:t xml:space="preserve">           </w:t>
      </w:r>
      <w:r w:rsidR="00894F4D">
        <w:rPr>
          <w:rFonts w:asciiTheme="minorHAnsi" w:hAnsiTheme="minorHAnsi" w:cstheme="minorHAnsi"/>
          <w:b/>
          <w:sz w:val="28"/>
          <w:szCs w:val="28"/>
          <w:lang w:bidi="or-IN"/>
        </w:rPr>
        <w:t>6</w:t>
      </w:r>
      <w:r w:rsidRPr="005B5E34">
        <w:rPr>
          <w:rFonts w:asciiTheme="minorHAnsi" w:hAnsiTheme="minorHAnsi" w:cstheme="minorHAnsi"/>
          <w:b/>
          <w:sz w:val="28"/>
          <w:szCs w:val="28"/>
          <w:lang w:bidi="or-IN"/>
        </w:rPr>
        <w:t>.5.3 Initiatives under OT (Operation Technology)</w:t>
      </w:r>
    </w:p>
    <w:p w14:paraId="0D136939" w14:textId="3FAD1DE6" w:rsidR="00F616FB" w:rsidRPr="002B5930" w:rsidRDefault="00894F4D" w:rsidP="00F616FB">
      <w:pPr>
        <w:pStyle w:val="ListParagraph"/>
        <w:tabs>
          <w:tab w:val="left" w:pos="993"/>
          <w:tab w:val="left" w:pos="1843"/>
        </w:tabs>
        <w:autoSpaceDE w:val="0"/>
        <w:autoSpaceDN w:val="0"/>
        <w:spacing w:line="360" w:lineRule="auto"/>
        <w:ind w:left="567"/>
        <w:jc w:val="both"/>
        <w:rPr>
          <w:rFonts w:asciiTheme="minorHAnsi" w:hAnsiTheme="minorHAnsi" w:cstheme="minorHAnsi"/>
          <w:sz w:val="18"/>
          <w:lang w:val="en-IN" w:bidi="or-IN"/>
        </w:rPr>
      </w:pPr>
      <w:r>
        <w:rPr>
          <w:rFonts w:asciiTheme="minorHAnsi" w:hAnsiTheme="minorHAnsi" w:cstheme="minorHAnsi"/>
          <w:b/>
          <w:sz w:val="24"/>
          <w:szCs w:val="28"/>
          <w:lang w:bidi="or-IN"/>
        </w:rPr>
        <w:t>6</w:t>
      </w:r>
      <w:r w:rsidR="00F616FB" w:rsidRPr="002B5930">
        <w:rPr>
          <w:rFonts w:asciiTheme="minorHAnsi" w:hAnsiTheme="minorHAnsi" w:cstheme="minorHAnsi"/>
          <w:b/>
          <w:sz w:val="24"/>
          <w:szCs w:val="28"/>
          <w:lang w:bidi="or-IN"/>
        </w:rPr>
        <w:t>.5.3.1 SCADA &amp; ADMS Implementation:</w:t>
      </w:r>
    </w:p>
    <w:p w14:paraId="3CB874F1" w14:textId="77777777" w:rsidR="00F616FB" w:rsidRPr="00841775" w:rsidRDefault="00F616FB" w:rsidP="00AB536C">
      <w:pPr>
        <w:pStyle w:val="ListParagraph"/>
        <w:numPr>
          <w:ilvl w:val="0"/>
          <w:numId w:val="43"/>
        </w:numPr>
        <w:tabs>
          <w:tab w:val="left" w:pos="709"/>
          <w:tab w:val="left" w:pos="993"/>
        </w:tabs>
        <w:spacing w:line="360" w:lineRule="auto"/>
        <w:ind w:left="709" w:hanging="142"/>
        <w:jc w:val="both"/>
        <w:textAlignment w:val="baseline"/>
        <w:rPr>
          <w:rFonts w:asciiTheme="minorHAnsi" w:hAnsiTheme="minorHAnsi" w:cstheme="minorHAnsi"/>
          <w:lang w:bidi="or-IN"/>
        </w:rPr>
      </w:pPr>
      <w:r w:rsidRPr="002B5930">
        <w:rPr>
          <w:b/>
        </w:rPr>
        <w:t xml:space="preserve">BCC (Backup Control Centre) Setup Completion and MCC – BCC Site Switching: </w:t>
      </w:r>
      <w:r>
        <w:t>The BCC setup has been successfully completed, and currently working on full functionality. The MCC–BCC site switching mock drill, carried out in August 2024, was successfully executed.</w:t>
      </w:r>
    </w:p>
    <w:p w14:paraId="0B6B1519" w14:textId="77777777" w:rsidR="00F616FB" w:rsidRPr="0025136B" w:rsidRDefault="00F616FB" w:rsidP="0025136B">
      <w:pPr>
        <w:tabs>
          <w:tab w:val="left" w:pos="709"/>
          <w:tab w:val="left" w:pos="993"/>
        </w:tabs>
        <w:spacing w:line="360" w:lineRule="auto"/>
        <w:ind w:left="567"/>
        <w:jc w:val="both"/>
        <w:textAlignment w:val="baseline"/>
        <w:rPr>
          <w:rFonts w:asciiTheme="minorHAnsi" w:hAnsiTheme="minorHAnsi" w:cstheme="minorHAnsi"/>
          <w:lang w:bidi="or-IN"/>
        </w:rPr>
      </w:pPr>
    </w:p>
    <w:p w14:paraId="261527DE" w14:textId="77777777" w:rsidR="00F616FB" w:rsidRPr="004A0D2B" w:rsidRDefault="00F616FB" w:rsidP="00AB536C">
      <w:pPr>
        <w:pStyle w:val="ListParagraph"/>
        <w:numPr>
          <w:ilvl w:val="0"/>
          <w:numId w:val="43"/>
        </w:numPr>
        <w:tabs>
          <w:tab w:val="left" w:pos="709"/>
          <w:tab w:val="left" w:pos="993"/>
        </w:tabs>
        <w:spacing w:line="360" w:lineRule="auto"/>
        <w:ind w:left="709" w:hanging="142"/>
        <w:jc w:val="both"/>
        <w:textAlignment w:val="baseline"/>
        <w:rPr>
          <w:rFonts w:asciiTheme="minorHAnsi" w:hAnsiTheme="minorHAnsi" w:cstheme="minorHAnsi"/>
          <w:lang w:bidi="or-IN"/>
        </w:rPr>
      </w:pPr>
      <w:r w:rsidRPr="00841775">
        <w:rPr>
          <w:b/>
        </w:rPr>
        <w:t>DCC (De-centralized Control Centre) Establishment:</w:t>
      </w:r>
      <w:r>
        <w:t xml:space="preserve"> The DCC setups for </w:t>
      </w:r>
      <w:proofErr w:type="spellStart"/>
      <w:r>
        <w:t>Jajpur</w:t>
      </w:r>
      <w:proofErr w:type="spellEnd"/>
      <w:r>
        <w:t xml:space="preserve">, </w:t>
      </w:r>
      <w:proofErr w:type="spellStart"/>
      <w:r>
        <w:t>Keonjhar</w:t>
      </w:r>
      <w:proofErr w:type="spellEnd"/>
      <w:r>
        <w:t xml:space="preserve">, and </w:t>
      </w:r>
      <w:proofErr w:type="spellStart"/>
      <w:r>
        <w:t>Bhadrak</w:t>
      </w:r>
      <w:proofErr w:type="spellEnd"/>
      <w:r>
        <w:t xml:space="preserve"> have been successfully completed. All three DCCs are now operational, all the circle PSS are being controlled through the DCC/APSCC (Area Power System Control Centre).</w:t>
      </w:r>
    </w:p>
    <w:p w14:paraId="14A72394" w14:textId="77777777" w:rsidR="00F616FB" w:rsidRPr="004A0D2B" w:rsidRDefault="00F616FB" w:rsidP="00F616FB">
      <w:pPr>
        <w:pStyle w:val="ListParagraph"/>
        <w:rPr>
          <w:b/>
        </w:rPr>
      </w:pPr>
    </w:p>
    <w:p w14:paraId="6B0C9385" w14:textId="77777777" w:rsidR="00F616FB" w:rsidRPr="004A0D2B" w:rsidRDefault="00F616FB" w:rsidP="00AB536C">
      <w:pPr>
        <w:pStyle w:val="ListParagraph"/>
        <w:numPr>
          <w:ilvl w:val="0"/>
          <w:numId w:val="43"/>
        </w:numPr>
        <w:tabs>
          <w:tab w:val="left" w:pos="709"/>
          <w:tab w:val="left" w:pos="993"/>
        </w:tabs>
        <w:spacing w:line="360" w:lineRule="auto"/>
        <w:ind w:left="709" w:hanging="142"/>
        <w:jc w:val="both"/>
        <w:textAlignment w:val="baseline"/>
        <w:rPr>
          <w:rFonts w:asciiTheme="minorHAnsi" w:hAnsiTheme="minorHAnsi" w:cstheme="minorHAnsi"/>
          <w:lang w:bidi="or-IN"/>
        </w:rPr>
      </w:pPr>
      <w:r w:rsidRPr="004A0D2B">
        <w:rPr>
          <w:b/>
        </w:rPr>
        <w:t xml:space="preserve">WEB DMD </w:t>
      </w:r>
      <w:r w:rsidRPr="004A0D2B">
        <w:rPr>
          <w:rFonts w:asciiTheme="minorHAnsi" w:hAnsiTheme="minorHAnsi" w:cstheme="minorHAnsi"/>
          <w:b/>
          <w:lang w:bidi="or-IN"/>
        </w:rPr>
        <w:t>Application:</w:t>
      </w:r>
      <w:r>
        <w:t xml:space="preserve"> </w:t>
      </w:r>
      <w:r w:rsidRPr="000623BE">
        <w:t>Web based SCADA application WEBDMD has been deployed. Which helps various departments to monitor 33/11KV substation in real time.</w:t>
      </w:r>
    </w:p>
    <w:p w14:paraId="5C843C57" w14:textId="77777777" w:rsidR="00F616FB" w:rsidRPr="00764317" w:rsidRDefault="00F616FB" w:rsidP="00F616FB">
      <w:pPr>
        <w:pStyle w:val="ListParagraph"/>
        <w:rPr>
          <w:b/>
        </w:rPr>
      </w:pPr>
    </w:p>
    <w:p w14:paraId="580BCC84" w14:textId="77777777" w:rsidR="00F616FB" w:rsidRPr="00764317" w:rsidRDefault="00F616FB" w:rsidP="00AB536C">
      <w:pPr>
        <w:pStyle w:val="ListParagraph"/>
        <w:numPr>
          <w:ilvl w:val="0"/>
          <w:numId w:val="43"/>
        </w:numPr>
        <w:tabs>
          <w:tab w:val="left" w:pos="709"/>
          <w:tab w:val="left" w:pos="993"/>
        </w:tabs>
        <w:spacing w:line="360" w:lineRule="auto"/>
        <w:ind w:left="851" w:hanging="142"/>
        <w:jc w:val="both"/>
        <w:textAlignment w:val="baseline"/>
        <w:rPr>
          <w:rFonts w:asciiTheme="minorHAnsi" w:hAnsiTheme="minorHAnsi" w:cstheme="minorHAnsi"/>
          <w:lang w:bidi="or-IN"/>
        </w:rPr>
      </w:pPr>
      <w:r w:rsidRPr="00764317">
        <w:rPr>
          <w:b/>
        </w:rPr>
        <w:t>PSS and GSS SLD Integration in SCADA:</w:t>
      </w:r>
      <w:r>
        <w:t xml:space="preserve"> All existing 254 PSS and 29 GSS SLDs have been successfully mapped in SCADA. The PSC operator can now manually update field scenarios in SCADA and create a field replica in case of non-automated PSS.</w:t>
      </w:r>
    </w:p>
    <w:p w14:paraId="57B1C7E8" w14:textId="77777777" w:rsidR="00F616FB" w:rsidRDefault="00F616FB" w:rsidP="00F616FB">
      <w:pPr>
        <w:pStyle w:val="ListParagraph"/>
        <w:rPr>
          <w:rStyle w:val="Strong"/>
        </w:rPr>
      </w:pPr>
    </w:p>
    <w:p w14:paraId="5A4EF4F5" w14:textId="77777777" w:rsidR="00F616FB" w:rsidRPr="00764317" w:rsidRDefault="00F616FB" w:rsidP="00AB536C">
      <w:pPr>
        <w:pStyle w:val="ListParagraph"/>
        <w:numPr>
          <w:ilvl w:val="0"/>
          <w:numId w:val="43"/>
        </w:numPr>
        <w:tabs>
          <w:tab w:val="left" w:pos="709"/>
          <w:tab w:val="left" w:pos="993"/>
        </w:tabs>
        <w:spacing w:line="360" w:lineRule="auto"/>
        <w:ind w:left="851" w:hanging="142"/>
        <w:jc w:val="both"/>
        <w:textAlignment w:val="baseline"/>
        <w:rPr>
          <w:rFonts w:asciiTheme="minorHAnsi" w:hAnsiTheme="minorHAnsi" w:cstheme="minorHAnsi"/>
          <w:lang w:bidi="or-IN"/>
        </w:rPr>
      </w:pPr>
      <w:r>
        <w:rPr>
          <w:rStyle w:val="Strong"/>
        </w:rPr>
        <w:t>Remotely Operated PSS:</w:t>
      </w:r>
      <w:r>
        <w:t xml:space="preserve"> A total of 108 PSS are now being monitored and controlled remotely by the PSCC.</w:t>
      </w:r>
    </w:p>
    <w:p w14:paraId="22184781" w14:textId="77777777" w:rsidR="00F616FB" w:rsidRPr="00764317" w:rsidRDefault="00F616FB" w:rsidP="00F616FB">
      <w:pPr>
        <w:pStyle w:val="ListParagraph"/>
        <w:rPr>
          <w:b/>
        </w:rPr>
      </w:pPr>
    </w:p>
    <w:p w14:paraId="187BD3F1" w14:textId="77777777" w:rsidR="00F616FB" w:rsidRPr="00764317" w:rsidRDefault="00F616FB" w:rsidP="00AB536C">
      <w:pPr>
        <w:pStyle w:val="ListParagraph"/>
        <w:numPr>
          <w:ilvl w:val="0"/>
          <w:numId w:val="43"/>
        </w:numPr>
        <w:tabs>
          <w:tab w:val="left" w:pos="709"/>
          <w:tab w:val="left" w:pos="993"/>
        </w:tabs>
        <w:spacing w:line="360" w:lineRule="auto"/>
        <w:ind w:left="851" w:hanging="142"/>
        <w:jc w:val="both"/>
        <w:textAlignment w:val="baseline"/>
        <w:rPr>
          <w:rFonts w:asciiTheme="minorHAnsi" w:hAnsiTheme="minorHAnsi" w:cstheme="minorHAnsi"/>
          <w:lang w:bidi="or-IN"/>
        </w:rPr>
      </w:pPr>
      <w:r w:rsidRPr="00764317">
        <w:rPr>
          <w:b/>
        </w:rPr>
        <w:t>Permit on all PSS:</w:t>
      </w:r>
      <w:r>
        <w:t xml:space="preserve"> The operator can apply permit tags (PTW, hand trip, and caution order) to all PSS and update equipment and network details using information tag, OV tag, and notes.</w:t>
      </w:r>
    </w:p>
    <w:p w14:paraId="617E813E" w14:textId="77777777" w:rsidR="00F616FB" w:rsidRPr="00764317" w:rsidRDefault="00F616FB" w:rsidP="00F616FB">
      <w:pPr>
        <w:pStyle w:val="ListParagraph"/>
        <w:rPr>
          <w:b/>
        </w:rPr>
      </w:pPr>
    </w:p>
    <w:p w14:paraId="4D31064F" w14:textId="77777777" w:rsidR="00F616FB" w:rsidRPr="00764317" w:rsidRDefault="00F616FB" w:rsidP="00AB536C">
      <w:pPr>
        <w:pStyle w:val="ListParagraph"/>
        <w:numPr>
          <w:ilvl w:val="0"/>
          <w:numId w:val="43"/>
        </w:numPr>
        <w:tabs>
          <w:tab w:val="left" w:pos="709"/>
          <w:tab w:val="left" w:pos="993"/>
        </w:tabs>
        <w:spacing w:line="360" w:lineRule="auto"/>
        <w:ind w:left="851" w:hanging="142"/>
        <w:jc w:val="both"/>
        <w:textAlignment w:val="baseline"/>
        <w:rPr>
          <w:rFonts w:asciiTheme="minorHAnsi" w:hAnsiTheme="minorHAnsi" w:cstheme="minorHAnsi"/>
          <w:lang w:bidi="or-IN"/>
        </w:rPr>
      </w:pPr>
      <w:r w:rsidRPr="00764317">
        <w:rPr>
          <w:b/>
        </w:rPr>
        <w:t>Circle-wise Page for PTRs:</w:t>
      </w:r>
      <w:r>
        <w:t xml:space="preserve"> A circle-wise page has been created for OTI, WTI, and TAP position information for PTRs. Operators can now manually update all relevant information for PSS where data is not being received from the field.</w:t>
      </w:r>
    </w:p>
    <w:p w14:paraId="6CCBD5EB" w14:textId="7084D36C" w:rsidR="00F616FB" w:rsidRDefault="00F616FB" w:rsidP="00F616FB">
      <w:pPr>
        <w:spacing w:line="360" w:lineRule="auto"/>
        <w:jc w:val="both"/>
        <w:textAlignment w:val="baseline"/>
        <w:rPr>
          <w:rFonts w:asciiTheme="minorHAnsi" w:hAnsiTheme="minorHAnsi" w:cstheme="minorHAnsi"/>
          <w:b/>
          <w:sz w:val="28"/>
          <w:szCs w:val="28"/>
          <w:lang w:bidi="or-IN"/>
        </w:rPr>
      </w:pPr>
      <w:r>
        <w:rPr>
          <w:rFonts w:asciiTheme="minorHAnsi" w:hAnsiTheme="minorHAnsi" w:cstheme="minorHAnsi"/>
          <w:b/>
          <w:sz w:val="28"/>
          <w:szCs w:val="28"/>
          <w:lang w:bidi="or-IN"/>
        </w:rPr>
        <w:t xml:space="preserve">          </w:t>
      </w:r>
      <w:r w:rsidR="00894F4D">
        <w:rPr>
          <w:rFonts w:asciiTheme="minorHAnsi" w:hAnsiTheme="minorHAnsi" w:cstheme="minorHAnsi"/>
          <w:b/>
          <w:sz w:val="28"/>
          <w:szCs w:val="28"/>
          <w:lang w:bidi="or-IN"/>
        </w:rPr>
        <w:t>6</w:t>
      </w:r>
      <w:r>
        <w:rPr>
          <w:rFonts w:asciiTheme="minorHAnsi" w:hAnsiTheme="minorHAnsi" w:cstheme="minorHAnsi"/>
          <w:b/>
          <w:sz w:val="28"/>
          <w:szCs w:val="28"/>
          <w:lang w:bidi="or-IN"/>
        </w:rPr>
        <w:t xml:space="preserve">.5.4 </w:t>
      </w:r>
      <w:r w:rsidRPr="00764317">
        <w:rPr>
          <w:rFonts w:asciiTheme="minorHAnsi" w:hAnsiTheme="minorHAnsi" w:cstheme="minorHAnsi"/>
          <w:b/>
          <w:sz w:val="28"/>
          <w:szCs w:val="28"/>
          <w:lang w:bidi="or-IN"/>
        </w:rPr>
        <w:t>Smart Metering</w:t>
      </w:r>
    </w:p>
    <w:p w14:paraId="62DA94AD" w14:textId="1DD6A30B" w:rsidR="00F616FB" w:rsidRPr="00764317" w:rsidRDefault="00F616FB" w:rsidP="00F616FB">
      <w:pPr>
        <w:spacing w:line="360" w:lineRule="auto"/>
        <w:jc w:val="both"/>
        <w:textAlignment w:val="baseline"/>
        <w:rPr>
          <w:rFonts w:asciiTheme="minorHAnsi" w:hAnsiTheme="minorHAnsi" w:cstheme="minorHAnsi"/>
          <w:b/>
          <w:szCs w:val="28"/>
          <w:lang w:bidi="or-IN"/>
        </w:rPr>
      </w:pPr>
      <w:r w:rsidRPr="00764317">
        <w:rPr>
          <w:rFonts w:asciiTheme="minorHAnsi" w:hAnsiTheme="minorHAnsi" w:cstheme="minorHAnsi"/>
          <w:b/>
          <w:szCs w:val="26"/>
          <w:lang w:bidi="or-IN"/>
        </w:rPr>
        <w:t xml:space="preserve">         </w:t>
      </w:r>
      <w:r>
        <w:rPr>
          <w:rFonts w:asciiTheme="minorHAnsi" w:hAnsiTheme="minorHAnsi" w:cstheme="minorHAnsi"/>
          <w:b/>
          <w:szCs w:val="26"/>
          <w:lang w:bidi="or-IN"/>
        </w:rPr>
        <w:t xml:space="preserve"> </w:t>
      </w:r>
      <w:r w:rsidRPr="00764317">
        <w:rPr>
          <w:rFonts w:asciiTheme="minorHAnsi" w:hAnsiTheme="minorHAnsi" w:cstheme="minorHAnsi"/>
          <w:b/>
          <w:szCs w:val="26"/>
          <w:lang w:bidi="or-IN"/>
        </w:rPr>
        <w:t xml:space="preserve"> </w:t>
      </w:r>
      <w:r>
        <w:rPr>
          <w:rFonts w:asciiTheme="minorHAnsi" w:hAnsiTheme="minorHAnsi" w:cstheme="minorHAnsi"/>
          <w:b/>
          <w:szCs w:val="26"/>
          <w:lang w:bidi="or-IN"/>
        </w:rPr>
        <w:t xml:space="preserve"> </w:t>
      </w:r>
      <w:r w:rsidR="00894F4D">
        <w:rPr>
          <w:rFonts w:asciiTheme="minorHAnsi" w:hAnsiTheme="minorHAnsi" w:cstheme="minorHAnsi"/>
          <w:b/>
          <w:szCs w:val="26"/>
          <w:lang w:bidi="or-IN"/>
        </w:rPr>
        <w:t>6</w:t>
      </w:r>
      <w:r w:rsidRPr="00764317">
        <w:rPr>
          <w:rFonts w:asciiTheme="minorHAnsi" w:hAnsiTheme="minorHAnsi" w:cstheme="minorHAnsi"/>
          <w:b/>
          <w:szCs w:val="26"/>
          <w:lang w:bidi="or-IN"/>
        </w:rPr>
        <w:t>.5.4.1</w:t>
      </w:r>
      <w:r>
        <w:rPr>
          <w:rFonts w:asciiTheme="minorHAnsi" w:hAnsiTheme="minorHAnsi" w:cstheme="minorHAnsi"/>
          <w:b/>
          <w:szCs w:val="26"/>
          <w:lang w:bidi="or-IN"/>
        </w:rPr>
        <w:t xml:space="preserve"> </w:t>
      </w:r>
      <w:r w:rsidRPr="00764317">
        <w:rPr>
          <w:rFonts w:asciiTheme="minorHAnsi" w:hAnsiTheme="minorHAnsi" w:cstheme="minorHAnsi"/>
          <w:b/>
          <w:szCs w:val="26"/>
          <w:lang w:bidi="or-IN"/>
        </w:rPr>
        <w:t xml:space="preserve">Initiatives in </w:t>
      </w:r>
      <w:r>
        <w:rPr>
          <w:rFonts w:asciiTheme="minorHAnsi" w:hAnsiTheme="minorHAnsi" w:cstheme="minorHAnsi"/>
          <w:b/>
          <w:szCs w:val="26"/>
          <w:lang w:bidi="or-IN"/>
        </w:rPr>
        <w:t>Advance Metering Infrastructure (</w:t>
      </w:r>
      <w:r w:rsidRPr="00764317">
        <w:rPr>
          <w:rFonts w:asciiTheme="minorHAnsi" w:hAnsiTheme="minorHAnsi" w:cstheme="minorHAnsi"/>
          <w:b/>
          <w:szCs w:val="26"/>
          <w:lang w:bidi="or-IN"/>
        </w:rPr>
        <w:t>AMI</w:t>
      </w:r>
      <w:r>
        <w:rPr>
          <w:rFonts w:asciiTheme="minorHAnsi" w:hAnsiTheme="minorHAnsi" w:cstheme="minorHAnsi"/>
          <w:b/>
          <w:szCs w:val="26"/>
          <w:lang w:bidi="or-IN"/>
        </w:rPr>
        <w:t>)</w:t>
      </w:r>
    </w:p>
    <w:p w14:paraId="768697DF" w14:textId="77777777" w:rsidR="00F616FB" w:rsidRDefault="00F616FB" w:rsidP="00F616FB">
      <w:pPr>
        <w:pStyle w:val="ListParagraph"/>
        <w:spacing w:line="360" w:lineRule="auto"/>
        <w:ind w:left="709"/>
        <w:jc w:val="both"/>
        <w:textAlignment w:val="baseline"/>
      </w:pPr>
      <w:r>
        <w:t>Advanced Metering Infrastructure (AMI) solution has been deployed successfully which includes, Head End System (HES), Meter Data Management (MDM), and Smart Prepaid Module (SPM), currently managing approximately 1.7 lakh live smart meters and additional 30 thousand Smart meters are in HES inventory which are in progress</w:t>
      </w:r>
      <w:r w:rsidRPr="003E391B">
        <w:t xml:space="preserve"> </w:t>
      </w:r>
      <w:r>
        <w:t>for installation. This achievement enables features such as switching from postpaid to prepaid, bidirectional and solar meter conversions, time synchronization, and automated bill processing, including disconnection (DC) and reconnection (RC) processes. Integrated with the Customer Information System (CIS) and the MY Tata Power app, consumers can monitor their daily consumption and balance in real-time, enhancing customer engagement and streamlining energy management.</w:t>
      </w:r>
    </w:p>
    <w:p w14:paraId="247D3CDA" w14:textId="1148A50E" w:rsidR="00F616FB" w:rsidRPr="00764317" w:rsidRDefault="00F616FB" w:rsidP="00F616FB">
      <w:pPr>
        <w:spacing w:line="360" w:lineRule="auto"/>
        <w:jc w:val="both"/>
        <w:textAlignment w:val="baseline"/>
        <w:rPr>
          <w:rFonts w:asciiTheme="minorHAnsi" w:hAnsiTheme="minorHAnsi" w:cstheme="minorHAnsi"/>
          <w:b/>
          <w:lang w:val="en-IN"/>
        </w:rPr>
      </w:pPr>
      <w:r w:rsidRPr="00764317">
        <w:rPr>
          <w:rFonts w:asciiTheme="minorHAnsi" w:hAnsiTheme="minorHAnsi" w:cstheme="minorHAnsi"/>
          <w:b/>
        </w:rPr>
        <w:t xml:space="preserve">           </w:t>
      </w:r>
      <w:r w:rsidR="00894F4D">
        <w:rPr>
          <w:rFonts w:asciiTheme="minorHAnsi" w:hAnsiTheme="minorHAnsi" w:cstheme="minorHAnsi"/>
          <w:b/>
        </w:rPr>
        <w:t>6</w:t>
      </w:r>
      <w:r w:rsidRPr="00764317">
        <w:rPr>
          <w:rFonts w:asciiTheme="minorHAnsi" w:hAnsiTheme="minorHAnsi" w:cstheme="minorHAnsi"/>
          <w:b/>
        </w:rPr>
        <w:t>.5.4.2 HES System</w:t>
      </w:r>
    </w:p>
    <w:p w14:paraId="73942DF7" w14:textId="77777777" w:rsidR="00F616FB" w:rsidRPr="005B5E34" w:rsidRDefault="00F616FB" w:rsidP="00AB536C">
      <w:pPr>
        <w:pStyle w:val="ListParagraph"/>
        <w:numPr>
          <w:ilvl w:val="0"/>
          <w:numId w:val="38"/>
        </w:numPr>
        <w:tabs>
          <w:tab w:val="left" w:pos="851"/>
        </w:tabs>
        <w:spacing w:line="360" w:lineRule="auto"/>
        <w:ind w:left="709" w:hanging="142"/>
        <w:jc w:val="both"/>
        <w:textAlignment w:val="baseline"/>
        <w:rPr>
          <w:b/>
        </w:rPr>
      </w:pPr>
      <w:r w:rsidRPr="00C16FF4">
        <w:rPr>
          <w:b/>
        </w:rPr>
        <w:t>Integration of Multiple OEM Smart Meters with HES</w:t>
      </w:r>
      <w:r>
        <w:rPr>
          <w:b/>
        </w:rPr>
        <w:t xml:space="preserve"> </w:t>
      </w:r>
      <w:r w:rsidRPr="00C16FF4">
        <w:t xml:space="preserve">– </w:t>
      </w:r>
      <w:r>
        <w:t xml:space="preserve">Successfully integrated three-phase HPL smart meters, along with single-phase and three-phase Genus smart meters, and single-phase </w:t>
      </w:r>
      <w:proofErr w:type="spellStart"/>
      <w:r>
        <w:t>Linkwell</w:t>
      </w:r>
      <w:proofErr w:type="spellEnd"/>
      <w:r>
        <w:t xml:space="preserve"> meters into the Schneider HES system, which now successfully operates four different OEM smart meters.</w:t>
      </w:r>
    </w:p>
    <w:p w14:paraId="16B45478" w14:textId="77777777" w:rsidR="00F616FB" w:rsidRPr="00764317" w:rsidRDefault="00F616FB" w:rsidP="00F616FB">
      <w:pPr>
        <w:pStyle w:val="ListParagraph"/>
        <w:tabs>
          <w:tab w:val="left" w:pos="851"/>
        </w:tabs>
        <w:spacing w:line="360" w:lineRule="auto"/>
        <w:ind w:left="709"/>
        <w:jc w:val="both"/>
        <w:textAlignment w:val="baseline"/>
        <w:rPr>
          <w:b/>
        </w:rPr>
      </w:pPr>
    </w:p>
    <w:p w14:paraId="1F193D43" w14:textId="77777777" w:rsidR="00F616FB" w:rsidRPr="00764317" w:rsidRDefault="00F616FB" w:rsidP="00AB536C">
      <w:pPr>
        <w:pStyle w:val="ListParagraph"/>
        <w:numPr>
          <w:ilvl w:val="0"/>
          <w:numId w:val="38"/>
        </w:numPr>
        <w:tabs>
          <w:tab w:val="left" w:pos="851"/>
        </w:tabs>
        <w:spacing w:line="360" w:lineRule="auto"/>
        <w:ind w:left="709" w:hanging="142"/>
        <w:jc w:val="both"/>
        <w:textAlignment w:val="baseline"/>
        <w:rPr>
          <w:b/>
        </w:rPr>
      </w:pPr>
      <w:r w:rsidRPr="00764317">
        <w:rPr>
          <w:b/>
        </w:rPr>
        <w:lastRenderedPageBreak/>
        <w:t>Integration of JIO SIM based Smart Meters with HES System</w:t>
      </w:r>
      <w:r w:rsidRPr="00764317">
        <w:rPr>
          <w:b/>
          <w:bCs/>
        </w:rPr>
        <w:t xml:space="preserve">: </w:t>
      </w:r>
      <w:r>
        <w:t>Smart meters with JIO SIMs have been successfully integrated into the HES system using an MPLS backhaul communication network. Currently, the SEIPL HES system supports two NSP providers: JIO and Airtel.</w:t>
      </w:r>
      <w:r w:rsidRPr="00B6604A">
        <w:t xml:space="preserve"> </w:t>
      </w:r>
      <w:r>
        <w:t>Maintained approximately 94% communication efficiency for smart meters, supported by weekly reports that help sustain this performance and identify opportunities for future improvement.</w:t>
      </w:r>
    </w:p>
    <w:p w14:paraId="264FF9A0" w14:textId="77777777" w:rsidR="00F616FB" w:rsidRPr="00764317" w:rsidRDefault="00F616FB" w:rsidP="00F616FB">
      <w:pPr>
        <w:pStyle w:val="ListParagraph"/>
        <w:tabs>
          <w:tab w:val="left" w:pos="851"/>
        </w:tabs>
        <w:spacing w:line="360" w:lineRule="auto"/>
        <w:ind w:left="709"/>
        <w:jc w:val="both"/>
        <w:textAlignment w:val="baseline"/>
        <w:rPr>
          <w:b/>
        </w:rPr>
      </w:pPr>
    </w:p>
    <w:p w14:paraId="65283123" w14:textId="77777777" w:rsidR="00F616FB" w:rsidRPr="00B608F9" w:rsidRDefault="00F616FB" w:rsidP="00AB536C">
      <w:pPr>
        <w:pStyle w:val="ListParagraph"/>
        <w:numPr>
          <w:ilvl w:val="0"/>
          <w:numId w:val="38"/>
        </w:numPr>
        <w:tabs>
          <w:tab w:val="left" w:pos="851"/>
        </w:tabs>
        <w:spacing w:line="360" w:lineRule="auto"/>
        <w:ind w:left="709" w:hanging="142"/>
        <w:jc w:val="both"/>
        <w:textAlignment w:val="baseline"/>
        <w:rPr>
          <w:b/>
        </w:rPr>
      </w:pPr>
      <w:r>
        <w:t>Successfully tested and implemented a new Time-of-Day (TOD) tariff slot at the 23k smart meter from the HES, compliant with OERC guidelines.</w:t>
      </w:r>
    </w:p>
    <w:p w14:paraId="51F1E687" w14:textId="719F23BB" w:rsidR="00F616FB" w:rsidRPr="00326791" w:rsidRDefault="00F616FB" w:rsidP="00F616FB">
      <w:pPr>
        <w:spacing w:line="360" w:lineRule="auto"/>
        <w:ind w:left="567"/>
        <w:jc w:val="both"/>
        <w:textAlignment w:val="baseline"/>
        <w:rPr>
          <w:rFonts w:asciiTheme="minorHAnsi" w:hAnsiTheme="minorHAnsi" w:cstheme="minorHAnsi"/>
          <w:b/>
          <w:lang w:val="en-IN"/>
        </w:rPr>
      </w:pPr>
      <w:r>
        <w:rPr>
          <w:rFonts w:asciiTheme="minorHAnsi" w:hAnsiTheme="minorHAnsi" w:cstheme="minorHAnsi"/>
          <w:b/>
          <w:lang w:val="en-IN"/>
        </w:rPr>
        <w:t xml:space="preserve"> </w:t>
      </w:r>
      <w:r w:rsidR="00894F4D">
        <w:rPr>
          <w:rFonts w:asciiTheme="minorHAnsi" w:hAnsiTheme="minorHAnsi" w:cstheme="minorHAnsi"/>
          <w:b/>
          <w:lang w:val="en-IN"/>
        </w:rPr>
        <w:t>6</w:t>
      </w:r>
      <w:r w:rsidRPr="00326791">
        <w:rPr>
          <w:rFonts w:asciiTheme="minorHAnsi" w:hAnsiTheme="minorHAnsi" w:cstheme="minorHAnsi"/>
          <w:b/>
          <w:lang w:val="en-IN"/>
        </w:rPr>
        <w:t>.5.</w:t>
      </w:r>
      <w:r>
        <w:rPr>
          <w:rFonts w:asciiTheme="minorHAnsi" w:hAnsiTheme="minorHAnsi" w:cstheme="minorHAnsi"/>
          <w:b/>
          <w:lang w:val="en-IN"/>
        </w:rPr>
        <w:t xml:space="preserve">4.3 </w:t>
      </w:r>
      <w:r w:rsidRPr="00326791">
        <w:rPr>
          <w:rFonts w:asciiTheme="minorHAnsi" w:hAnsiTheme="minorHAnsi" w:cstheme="minorHAnsi"/>
          <w:b/>
          <w:lang w:val="en-IN"/>
        </w:rPr>
        <w:t xml:space="preserve">AMR System Integration with </w:t>
      </w:r>
      <w:proofErr w:type="gramStart"/>
      <w:r w:rsidRPr="00326791">
        <w:rPr>
          <w:rFonts w:asciiTheme="minorHAnsi" w:hAnsiTheme="minorHAnsi" w:cstheme="minorHAnsi"/>
          <w:b/>
          <w:lang w:val="en-IN"/>
        </w:rPr>
        <w:t>other</w:t>
      </w:r>
      <w:proofErr w:type="gramEnd"/>
      <w:r w:rsidRPr="00326791">
        <w:rPr>
          <w:rFonts w:asciiTheme="minorHAnsi" w:hAnsiTheme="minorHAnsi" w:cstheme="minorHAnsi"/>
          <w:b/>
          <w:lang w:val="en-IN"/>
        </w:rPr>
        <w:t xml:space="preserve"> AMI System/NFMS/CIS:</w:t>
      </w:r>
    </w:p>
    <w:p w14:paraId="4825A894" w14:textId="77777777" w:rsidR="00F616FB" w:rsidRDefault="00F616FB" w:rsidP="00AB536C">
      <w:pPr>
        <w:pStyle w:val="ListParagraph"/>
        <w:numPr>
          <w:ilvl w:val="0"/>
          <w:numId w:val="37"/>
        </w:numPr>
        <w:tabs>
          <w:tab w:val="left" w:pos="993"/>
        </w:tabs>
        <w:spacing w:line="360" w:lineRule="auto"/>
        <w:ind w:left="709" w:firstLine="0"/>
        <w:jc w:val="both"/>
      </w:pPr>
      <w:r w:rsidRPr="00A256D3">
        <w:rPr>
          <w:b/>
        </w:rPr>
        <w:t>AMR System integration with MDM</w:t>
      </w:r>
      <w:r w:rsidRPr="00A256D3">
        <w:t xml:space="preserve"> – Effectively integrated various profile data of AMR/Modem meters with the MDM system, enabling users to view both smart meter and non-smart</w:t>
      </w:r>
      <w:r>
        <w:t xml:space="preserve"> DLMS</w:t>
      </w:r>
      <w:r w:rsidRPr="00A256D3">
        <w:t xml:space="preserve"> meter data within a single application.</w:t>
      </w:r>
    </w:p>
    <w:p w14:paraId="67C0FFF1" w14:textId="77777777" w:rsidR="00F616FB" w:rsidRDefault="00F616FB" w:rsidP="00F616FB">
      <w:pPr>
        <w:pStyle w:val="ListParagraph"/>
        <w:tabs>
          <w:tab w:val="left" w:pos="993"/>
        </w:tabs>
        <w:spacing w:line="360" w:lineRule="auto"/>
        <w:ind w:left="709"/>
        <w:jc w:val="both"/>
      </w:pPr>
    </w:p>
    <w:p w14:paraId="7227BA02" w14:textId="77777777" w:rsidR="00F616FB" w:rsidRDefault="00F616FB" w:rsidP="00AB536C">
      <w:pPr>
        <w:pStyle w:val="ListParagraph"/>
        <w:numPr>
          <w:ilvl w:val="0"/>
          <w:numId w:val="37"/>
        </w:numPr>
        <w:tabs>
          <w:tab w:val="left" w:pos="993"/>
        </w:tabs>
        <w:spacing w:line="360" w:lineRule="auto"/>
        <w:ind w:left="709" w:firstLine="0"/>
        <w:jc w:val="both"/>
      </w:pPr>
      <w:r w:rsidRPr="005B5E34">
        <w:rPr>
          <w:b/>
        </w:rPr>
        <w:t>Automation of AMR-Based HT Meter Billing with CIS System</w:t>
      </w:r>
      <w:r w:rsidRPr="00A256D3">
        <w:t xml:space="preserve">: </w:t>
      </w:r>
      <w:r>
        <w:t>N</w:t>
      </w:r>
      <w:r w:rsidRPr="00A256D3">
        <w:t xml:space="preserve">ecessary </w:t>
      </w:r>
      <w:r>
        <w:t>incorporation</w:t>
      </w:r>
      <w:r w:rsidRPr="00A256D3">
        <w:t xml:space="preserve"> </w:t>
      </w:r>
      <w:r>
        <w:t xml:space="preserve">has been made </w:t>
      </w:r>
      <w:r w:rsidRPr="00A256D3">
        <w:t>in the Meter Data Management (MDM) and Consumer Information System (CIS) to automate AMR meter billing. This enhancement streamlines operations, improves accuracy, and reduces manual intervention for consumers.</w:t>
      </w:r>
    </w:p>
    <w:p w14:paraId="7917C96C" w14:textId="77777777" w:rsidR="00F616FB" w:rsidRPr="005B5E34" w:rsidRDefault="00F616FB" w:rsidP="00F616FB">
      <w:pPr>
        <w:pStyle w:val="ListParagraph"/>
        <w:rPr>
          <w:b/>
        </w:rPr>
      </w:pPr>
    </w:p>
    <w:p w14:paraId="20972740" w14:textId="77777777" w:rsidR="00F616FB" w:rsidRDefault="00F616FB" w:rsidP="00AB536C">
      <w:pPr>
        <w:pStyle w:val="ListParagraph"/>
        <w:numPr>
          <w:ilvl w:val="0"/>
          <w:numId w:val="37"/>
        </w:numPr>
        <w:tabs>
          <w:tab w:val="left" w:pos="993"/>
        </w:tabs>
        <w:spacing w:line="360" w:lineRule="auto"/>
        <w:ind w:left="709" w:firstLine="0"/>
        <w:jc w:val="both"/>
      </w:pPr>
      <w:r w:rsidRPr="005B5E34">
        <w:rPr>
          <w:b/>
        </w:rPr>
        <w:t>MDM integrated with NFMS</w:t>
      </w:r>
      <w:r w:rsidRPr="00A256D3">
        <w:t xml:space="preserve">: Meter Data Management (MDM) system </w:t>
      </w:r>
      <w:r>
        <w:t xml:space="preserve">has been integrated </w:t>
      </w:r>
      <w:r w:rsidRPr="00A256D3">
        <w:t>with the National Feeder Monitoring System (NFMS), allowing for the incorporation of AMR-based feeder meter data for load surveys. This integration enhances data integrity and aids in effective load monitoring.</w:t>
      </w:r>
    </w:p>
    <w:p w14:paraId="61C99532" w14:textId="5D98B10D" w:rsidR="00F616FB" w:rsidRPr="005B5E34" w:rsidRDefault="00894F4D" w:rsidP="00F616FB">
      <w:pPr>
        <w:spacing w:line="360" w:lineRule="auto"/>
        <w:ind w:left="709"/>
        <w:rPr>
          <w:rFonts w:asciiTheme="minorHAnsi" w:hAnsiTheme="minorHAnsi" w:cstheme="minorHAnsi"/>
          <w:b/>
        </w:rPr>
      </w:pPr>
      <w:r>
        <w:rPr>
          <w:rFonts w:asciiTheme="minorHAnsi" w:hAnsiTheme="minorHAnsi" w:cstheme="minorHAnsi"/>
          <w:b/>
        </w:rPr>
        <w:t>6</w:t>
      </w:r>
      <w:r w:rsidR="00F616FB" w:rsidRPr="005B5E34">
        <w:rPr>
          <w:rFonts w:asciiTheme="minorHAnsi" w:hAnsiTheme="minorHAnsi" w:cstheme="minorHAnsi"/>
          <w:b/>
        </w:rPr>
        <w:t>.5.4.4</w:t>
      </w:r>
      <w:r w:rsidR="00F616FB">
        <w:rPr>
          <w:rFonts w:asciiTheme="minorHAnsi" w:hAnsiTheme="minorHAnsi" w:cstheme="minorHAnsi"/>
          <w:b/>
        </w:rPr>
        <w:t xml:space="preserve"> </w:t>
      </w:r>
      <w:r w:rsidR="00F616FB" w:rsidRPr="005B5E34">
        <w:rPr>
          <w:rFonts w:asciiTheme="minorHAnsi" w:hAnsiTheme="minorHAnsi" w:cstheme="minorHAnsi"/>
          <w:b/>
        </w:rPr>
        <w:t>MDM Integration with CIS System</w:t>
      </w:r>
    </w:p>
    <w:p w14:paraId="0D6D7BEE" w14:textId="77777777" w:rsidR="00F616FB" w:rsidRPr="005B5E34" w:rsidRDefault="00F616FB" w:rsidP="00AB536C">
      <w:pPr>
        <w:pStyle w:val="ListParagraph"/>
        <w:numPr>
          <w:ilvl w:val="0"/>
          <w:numId w:val="39"/>
        </w:numPr>
        <w:tabs>
          <w:tab w:val="left" w:pos="993"/>
        </w:tabs>
        <w:spacing w:line="360" w:lineRule="auto"/>
        <w:ind w:left="709" w:firstLine="0"/>
        <w:jc w:val="both"/>
        <w:rPr>
          <w:b/>
        </w:rPr>
      </w:pPr>
      <w:r w:rsidRPr="00A256D3">
        <w:rPr>
          <w:b/>
        </w:rPr>
        <w:t xml:space="preserve">CIS and MDM Integration for Remote Disconnection/Reconnection - </w:t>
      </w:r>
      <w:r w:rsidRPr="00A256D3">
        <w:t xml:space="preserve">Meter Data Management (MDM) system </w:t>
      </w:r>
      <w:r>
        <w:t xml:space="preserve">is also </w:t>
      </w:r>
      <w:r w:rsidRPr="00A256D3">
        <w:t xml:space="preserve">integrated </w:t>
      </w:r>
      <w:r>
        <w:t xml:space="preserve">&amp; </w:t>
      </w:r>
      <w:r w:rsidRPr="00A256D3">
        <w:t xml:space="preserve">tested successfully </w:t>
      </w:r>
      <w:r>
        <w:t>with</w:t>
      </w:r>
      <w:r w:rsidRPr="00A256D3">
        <w:t xml:space="preserve"> Consumer Information System (CIS) </w:t>
      </w:r>
      <w:r>
        <w:t>for</w:t>
      </w:r>
      <w:r w:rsidRPr="00A256D3">
        <w:t xml:space="preserve"> enabling remote disconnection and reconnection capabilities for postpaid smart meters. This achievement optimizes service management, enhances operational efficiency, and facilitates automatic reconnection of meters once consumers settle their arrears.</w:t>
      </w:r>
    </w:p>
    <w:p w14:paraId="3C3807FE" w14:textId="77777777" w:rsidR="00F616FB" w:rsidRPr="005B5E34" w:rsidRDefault="00F616FB" w:rsidP="00F616FB">
      <w:pPr>
        <w:pStyle w:val="ListParagraph"/>
        <w:tabs>
          <w:tab w:val="left" w:pos="993"/>
        </w:tabs>
        <w:spacing w:line="360" w:lineRule="auto"/>
        <w:ind w:left="709"/>
        <w:jc w:val="both"/>
        <w:rPr>
          <w:b/>
        </w:rPr>
      </w:pPr>
    </w:p>
    <w:p w14:paraId="684C9887" w14:textId="6A07A8F9" w:rsidR="00F616FB" w:rsidRPr="0025136B" w:rsidRDefault="00F616FB" w:rsidP="00F616FB">
      <w:pPr>
        <w:pStyle w:val="ListParagraph"/>
        <w:numPr>
          <w:ilvl w:val="0"/>
          <w:numId w:val="39"/>
        </w:numPr>
        <w:tabs>
          <w:tab w:val="left" w:pos="993"/>
        </w:tabs>
        <w:spacing w:line="360" w:lineRule="auto"/>
        <w:ind w:left="709" w:firstLine="0"/>
        <w:jc w:val="both"/>
        <w:rPr>
          <w:b/>
        </w:rPr>
      </w:pPr>
      <w:r w:rsidRPr="005B5E34">
        <w:rPr>
          <w:b/>
        </w:rPr>
        <w:t>Consumer Master Sync Implementation</w:t>
      </w:r>
      <w:r w:rsidRPr="005B5E34">
        <w:rPr>
          <w:rStyle w:val="ui-provider"/>
        </w:rPr>
        <w:t xml:space="preserve"> - </w:t>
      </w:r>
      <w:r w:rsidRPr="005B5E34">
        <w:t>Successfully tested the master sync between our Consumer Information System (CIS) and Meter Data Management System (MDMS), facilitating seamless integration of essential consumer attributes. This enhancement will support our business users in various operational aspects.</w:t>
      </w:r>
    </w:p>
    <w:p w14:paraId="5D844EE7" w14:textId="6C11FBA4" w:rsidR="00F616FB" w:rsidRDefault="00F616FB" w:rsidP="00F616FB">
      <w:pPr>
        <w:spacing w:line="360" w:lineRule="auto"/>
        <w:jc w:val="both"/>
        <w:textAlignment w:val="baseline"/>
        <w:rPr>
          <w:rFonts w:asciiTheme="minorHAnsi" w:hAnsiTheme="minorHAnsi" w:cstheme="minorHAnsi"/>
          <w:b/>
          <w:sz w:val="28"/>
          <w:szCs w:val="22"/>
          <w:lang w:bidi="or-IN"/>
        </w:rPr>
      </w:pPr>
      <w:r>
        <w:rPr>
          <w:rFonts w:asciiTheme="minorHAnsi" w:hAnsiTheme="minorHAnsi" w:cstheme="minorHAnsi"/>
          <w:b/>
          <w:sz w:val="28"/>
          <w:szCs w:val="22"/>
          <w:lang w:bidi="or-IN"/>
        </w:rPr>
        <w:lastRenderedPageBreak/>
        <w:t xml:space="preserve">        </w:t>
      </w:r>
      <w:r w:rsidR="00894F4D">
        <w:rPr>
          <w:rFonts w:asciiTheme="minorHAnsi" w:hAnsiTheme="minorHAnsi" w:cstheme="minorHAnsi"/>
          <w:b/>
          <w:sz w:val="28"/>
          <w:szCs w:val="22"/>
          <w:lang w:bidi="or-IN"/>
        </w:rPr>
        <w:t>6</w:t>
      </w:r>
      <w:r w:rsidRPr="00BA6AE7">
        <w:rPr>
          <w:rFonts w:asciiTheme="minorHAnsi" w:hAnsiTheme="minorHAnsi" w:cstheme="minorHAnsi"/>
          <w:b/>
          <w:sz w:val="28"/>
          <w:szCs w:val="22"/>
          <w:lang w:bidi="or-IN"/>
        </w:rPr>
        <w:t xml:space="preserve">.6 Initiatives </w:t>
      </w:r>
      <w:r>
        <w:rPr>
          <w:rFonts w:asciiTheme="minorHAnsi" w:hAnsiTheme="minorHAnsi" w:cstheme="minorHAnsi"/>
          <w:b/>
          <w:sz w:val="28"/>
          <w:szCs w:val="22"/>
          <w:lang w:bidi="or-IN"/>
        </w:rPr>
        <w:t>u</w:t>
      </w:r>
      <w:r w:rsidRPr="00BA6AE7">
        <w:rPr>
          <w:rFonts w:asciiTheme="minorHAnsi" w:hAnsiTheme="minorHAnsi" w:cstheme="minorHAnsi"/>
          <w:b/>
          <w:sz w:val="28"/>
          <w:szCs w:val="22"/>
          <w:lang w:bidi="or-IN"/>
        </w:rPr>
        <w:t>nder HR</w:t>
      </w:r>
    </w:p>
    <w:p w14:paraId="37D3E848" w14:textId="77777777" w:rsidR="00F616FB" w:rsidRPr="00E513BB" w:rsidRDefault="00F616FB" w:rsidP="00F616FB">
      <w:pPr>
        <w:spacing w:line="360" w:lineRule="auto"/>
        <w:ind w:left="567"/>
        <w:jc w:val="both"/>
        <w:textAlignment w:val="baseline"/>
        <w:rPr>
          <w:rFonts w:asciiTheme="minorHAnsi" w:hAnsiTheme="minorHAnsi" w:cstheme="minorHAnsi"/>
          <w:b/>
          <w:sz w:val="28"/>
          <w:szCs w:val="22"/>
          <w:lang w:bidi="or-IN"/>
        </w:rPr>
      </w:pPr>
      <w:r w:rsidRPr="0012161D">
        <w:rPr>
          <w:rFonts w:asciiTheme="minorHAnsi" w:hAnsiTheme="minorHAnsi" w:cstheme="minorHAnsi"/>
          <w:color w:val="000000"/>
          <w:sz w:val="22"/>
          <w:szCs w:val="22"/>
          <w:lang w:bidi="or-IN"/>
        </w:rPr>
        <w:t xml:space="preserve">Managing a workforce of about 3000 on roll employees and about 13,000 business associate’s employees requires a robust technological infrastructure as well as the introduction of software to ensure seamless integration and to support the fast-paced work environment was needed. Accordingly, SAP was introduced during the formative years and gradually many inhouse software such as </w:t>
      </w:r>
      <w:proofErr w:type="spellStart"/>
      <w:r w:rsidRPr="0012161D">
        <w:rPr>
          <w:rFonts w:asciiTheme="minorHAnsi" w:hAnsiTheme="minorHAnsi" w:cstheme="minorHAnsi"/>
          <w:color w:val="000000"/>
          <w:sz w:val="22"/>
          <w:szCs w:val="22"/>
          <w:lang w:bidi="or-IN"/>
        </w:rPr>
        <w:t>Legatrix</w:t>
      </w:r>
      <w:proofErr w:type="spellEnd"/>
      <w:r w:rsidRPr="0012161D">
        <w:rPr>
          <w:rFonts w:asciiTheme="minorHAnsi" w:hAnsiTheme="minorHAnsi" w:cstheme="minorHAnsi"/>
          <w:color w:val="000000"/>
          <w:sz w:val="22"/>
          <w:szCs w:val="22"/>
          <w:lang w:bidi="or-IN"/>
        </w:rPr>
        <w:t xml:space="preserve">, </w:t>
      </w:r>
      <w:proofErr w:type="spellStart"/>
      <w:r w:rsidRPr="0012161D">
        <w:rPr>
          <w:rFonts w:asciiTheme="minorHAnsi" w:hAnsiTheme="minorHAnsi" w:cstheme="minorHAnsi"/>
          <w:color w:val="000000"/>
          <w:sz w:val="22"/>
          <w:szCs w:val="22"/>
          <w:lang w:bidi="or-IN"/>
        </w:rPr>
        <w:t>Aagaman</w:t>
      </w:r>
      <w:proofErr w:type="spellEnd"/>
      <w:r w:rsidRPr="0012161D">
        <w:rPr>
          <w:rFonts w:asciiTheme="minorHAnsi" w:hAnsiTheme="minorHAnsi" w:cstheme="minorHAnsi"/>
          <w:color w:val="000000"/>
          <w:sz w:val="22"/>
          <w:szCs w:val="22"/>
          <w:lang w:bidi="or-IN"/>
        </w:rPr>
        <w:t>, Connect to Resolve, Achievers Portal, BAMS, ICAM, GRC were introduced from time to time to ensure monitoring &amp; capturing of biometric attendance, ensuring business associate compliances, recruitment &amp; onboarding, payroll processing etc.</w:t>
      </w:r>
    </w:p>
    <w:p w14:paraId="5782EF5E" w14:textId="77777777" w:rsidR="00F616FB" w:rsidRDefault="00F616FB" w:rsidP="00F616FB">
      <w:pPr>
        <w:spacing w:before="100" w:beforeAutospacing="1" w:after="100" w:afterAutospacing="1" w:line="360" w:lineRule="auto"/>
        <w:ind w:left="567"/>
        <w:jc w:val="both"/>
        <w:rPr>
          <w:rFonts w:asciiTheme="minorHAnsi" w:hAnsiTheme="minorHAnsi" w:cstheme="minorHAnsi"/>
          <w:color w:val="000000"/>
          <w:sz w:val="22"/>
          <w:szCs w:val="22"/>
        </w:rPr>
      </w:pPr>
      <w:r w:rsidRPr="0012161D">
        <w:rPr>
          <w:rFonts w:asciiTheme="minorHAnsi" w:hAnsiTheme="minorHAnsi" w:cstheme="minorHAnsi"/>
          <w:color w:val="000000"/>
          <w:sz w:val="22"/>
          <w:szCs w:val="22"/>
        </w:rPr>
        <w:t xml:space="preserve">Customer Centricity being the core of service-driven business the Customer Service Call Centers, Anubhav Kendra at Panchayat level, Fuse call Centers has been made operational to serve till the last rung of consumers in the remotest of areas. The establishment of </w:t>
      </w:r>
      <w:proofErr w:type="spellStart"/>
      <w:r w:rsidRPr="0012161D">
        <w:rPr>
          <w:rFonts w:asciiTheme="minorHAnsi" w:hAnsiTheme="minorHAnsi" w:cstheme="minorHAnsi"/>
          <w:color w:val="000000"/>
          <w:sz w:val="22"/>
          <w:szCs w:val="22"/>
        </w:rPr>
        <w:t>OpCenEx</w:t>
      </w:r>
      <w:proofErr w:type="spellEnd"/>
      <w:r w:rsidRPr="0012161D">
        <w:rPr>
          <w:rFonts w:asciiTheme="minorHAnsi" w:hAnsiTheme="minorHAnsi" w:cstheme="minorHAnsi"/>
          <w:color w:val="000000"/>
          <w:sz w:val="22"/>
          <w:szCs w:val="22"/>
        </w:rPr>
        <w:t xml:space="preserve"> (Operational Centre of Excellence), </w:t>
      </w:r>
      <w:proofErr w:type="spellStart"/>
      <w:r w:rsidRPr="0012161D">
        <w:rPr>
          <w:rFonts w:asciiTheme="minorHAnsi" w:hAnsiTheme="minorHAnsi" w:cstheme="minorHAnsi"/>
          <w:color w:val="000000"/>
          <w:sz w:val="22"/>
          <w:szCs w:val="22"/>
        </w:rPr>
        <w:t>ComCenEX</w:t>
      </w:r>
      <w:proofErr w:type="spellEnd"/>
      <w:r w:rsidRPr="0012161D">
        <w:rPr>
          <w:rFonts w:asciiTheme="minorHAnsi" w:hAnsiTheme="minorHAnsi" w:cstheme="minorHAnsi"/>
          <w:color w:val="000000"/>
          <w:sz w:val="22"/>
          <w:szCs w:val="22"/>
        </w:rPr>
        <w:t xml:space="preserve"> (Commercial Centre of Excellence), PSC Teams has further strengthened our commitment to bring the desired excellence in network operation and customer service. The latest addition has been the introduction of APSC (Area PSC) in Circles along with the last year addition of Centre for Maintenance and Engineering at Udyog Bhawan which will further contribute to provide better services.</w:t>
      </w:r>
    </w:p>
    <w:p w14:paraId="5525C17D" w14:textId="77777777" w:rsidR="00F616FB" w:rsidRDefault="00F616FB" w:rsidP="00F616FB">
      <w:pPr>
        <w:spacing w:before="100" w:beforeAutospacing="1" w:after="100" w:afterAutospacing="1" w:line="360" w:lineRule="auto"/>
        <w:ind w:left="567"/>
        <w:jc w:val="both"/>
        <w:rPr>
          <w:rFonts w:asciiTheme="minorHAnsi" w:hAnsiTheme="minorHAnsi" w:cstheme="minorHAnsi"/>
          <w:color w:val="000000"/>
          <w:sz w:val="22"/>
          <w:szCs w:val="22"/>
        </w:rPr>
      </w:pPr>
      <w:r w:rsidRPr="0012161D">
        <w:rPr>
          <w:rFonts w:asciiTheme="minorHAnsi" w:hAnsiTheme="minorHAnsi" w:cstheme="minorHAnsi"/>
          <w:color w:val="000000"/>
          <w:sz w:val="22"/>
          <w:szCs w:val="22"/>
        </w:rPr>
        <w:t>In today’s technology driven era and cut-throat competition to provide reliable services the continuous up-gradation of competency is the key success factor in this continuously changing business environment and technological revolution. It has been the endeavor of TPNODL to adopt to new and cutting-edge technological adoption considering changes in business philosophy and changing organizational structure.</w:t>
      </w:r>
    </w:p>
    <w:p w14:paraId="247CB82C" w14:textId="77777777" w:rsidR="00F616FB" w:rsidRDefault="00F616FB" w:rsidP="00F616FB">
      <w:pPr>
        <w:spacing w:before="100" w:beforeAutospacing="1" w:after="100" w:afterAutospacing="1" w:line="360" w:lineRule="auto"/>
        <w:ind w:left="567"/>
        <w:jc w:val="both"/>
        <w:rPr>
          <w:rFonts w:asciiTheme="minorHAnsi" w:hAnsiTheme="minorHAnsi" w:cstheme="minorHAnsi"/>
          <w:color w:val="000000"/>
          <w:sz w:val="22"/>
          <w:szCs w:val="22"/>
        </w:rPr>
      </w:pPr>
      <w:r w:rsidRPr="0012161D">
        <w:rPr>
          <w:rFonts w:asciiTheme="minorHAnsi" w:hAnsiTheme="minorHAnsi" w:cstheme="minorHAnsi"/>
          <w:color w:val="000000"/>
          <w:sz w:val="22"/>
          <w:szCs w:val="22"/>
        </w:rPr>
        <w:t xml:space="preserve">To drive the adoption of technology, improvements in processes etc. Learning &amp; Development need assessment is being conducted across all positions and in certain areas innovative and new training program are designed and delivered through in-house development of training &amp; HOTT center. Each year the newly joined Executives are being made to visit Tata Power (Delhi or Mumbai) under our Training Program to learn about the best practices which can be implemented at TPNODL. Use of online e-learning training module is being constantly encouraged across all category of employees to develop additional skill sets. Online e-learning module initially covers mostly </w:t>
      </w:r>
      <w:r>
        <w:rPr>
          <w:rFonts w:asciiTheme="minorHAnsi" w:hAnsiTheme="minorHAnsi" w:cstheme="minorHAnsi"/>
          <w:color w:val="000000"/>
          <w:sz w:val="22"/>
          <w:szCs w:val="22"/>
        </w:rPr>
        <w:t>B</w:t>
      </w:r>
      <w:r w:rsidRPr="0012161D">
        <w:rPr>
          <w:rFonts w:asciiTheme="minorHAnsi" w:hAnsiTheme="minorHAnsi" w:cstheme="minorHAnsi"/>
          <w:color w:val="000000"/>
          <w:sz w:val="22"/>
          <w:szCs w:val="22"/>
        </w:rPr>
        <w:t>ehavioral training, Safety, Ethics, etc. while technical training are being imparted through training centers.</w:t>
      </w:r>
    </w:p>
    <w:p w14:paraId="5FB228B4" w14:textId="77777777" w:rsidR="00F616FB" w:rsidRDefault="00F616FB" w:rsidP="00F616FB">
      <w:pPr>
        <w:spacing w:before="100" w:beforeAutospacing="1" w:after="100" w:afterAutospacing="1" w:line="360" w:lineRule="auto"/>
        <w:ind w:left="567"/>
        <w:jc w:val="both"/>
        <w:rPr>
          <w:rFonts w:asciiTheme="minorHAnsi" w:hAnsiTheme="minorHAnsi" w:cstheme="minorHAnsi"/>
          <w:color w:val="000000"/>
          <w:sz w:val="22"/>
          <w:szCs w:val="22"/>
        </w:rPr>
      </w:pPr>
      <w:r w:rsidRPr="0012161D">
        <w:rPr>
          <w:rFonts w:asciiTheme="minorHAnsi" w:hAnsiTheme="minorHAnsi" w:cstheme="minorHAnsi"/>
          <w:color w:val="000000"/>
          <w:sz w:val="22"/>
          <w:szCs w:val="22"/>
        </w:rPr>
        <w:t xml:space="preserve">Considering diverse employee demography, capability development strategy at TPNODL has been customized keeping in mind changing business demands. Various types of training </w:t>
      </w:r>
      <w:proofErr w:type="gramStart"/>
      <w:r w:rsidRPr="0012161D">
        <w:rPr>
          <w:rFonts w:asciiTheme="minorHAnsi" w:hAnsiTheme="minorHAnsi" w:cstheme="minorHAnsi"/>
          <w:color w:val="000000"/>
          <w:sz w:val="22"/>
          <w:szCs w:val="22"/>
        </w:rPr>
        <w:t>is</w:t>
      </w:r>
      <w:proofErr w:type="gramEnd"/>
      <w:r w:rsidRPr="0012161D">
        <w:rPr>
          <w:rFonts w:asciiTheme="minorHAnsi" w:hAnsiTheme="minorHAnsi" w:cstheme="minorHAnsi"/>
          <w:color w:val="000000"/>
          <w:sz w:val="22"/>
          <w:szCs w:val="22"/>
        </w:rPr>
        <w:t xml:space="preserve"> being finalized based on leadership discussions.</w:t>
      </w:r>
    </w:p>
    <w:p w14:paraId="50D06E7C" w14:textId="77777777" w:rsidR="00F616FB" w:rsidRPr="0012161D" w:rsidRDefault="00F616FB" w:rsidP="00F616FB">
      <w:pPr>
        <w:spacing w:before="100" w:beforeAutospacing="1" w:after="100" w:afterAutospacing="1" w:line="360" w:lineRule="auto"/>
        <w:ind w:left="567"/>
        <w:jc w:val="both"/>
        <w:rPr>
          <w:rFonts w:asciiTheme="minorHAnsi" w:hAnsiTheme="minorHAnsi" w:cstheme="minorHAnsi"/>
          <w:color w:val="000000"/>
          <w:sz w:val="22"/>
          <w:szCs w:val="22"/>
        </w:rPr>
      </w:pPr>
      <w:r w:rsidRPr="0012161D">
        <w:rPr>
          <w:rFonts w:asciiTheme="minorHAnsi" w:hAnsiTheme="minorHAnsi" w:cstheme="minorHAnsi"/>
          <w:color w:val="000000"/>
          <w:sz w:val="22"/>
          <w:szCs w:val="22"/>
        </w:rPr>
        <w:lastRenderedPageBreak/>
        <w:t xml:space="preserve">During last three years, TPNODL has continuously taken steps not only to improve the knowledge of employees but also to update them with the latest technologies by imparting training which is highly appreciated. In continuation to the last year initiatives, this year also steps have been taken focusing on Diversity &amp; Inclusion through various Women empowerment &amp; Leadership development programs, health &amp; wellness, upskilling for the development and professional growth of employees. New Initiatives have been taken in the area of 5S, </w:t>
      </w:r>
      <w:proofErr w:type="spellStart"/>
      <w:r w:rsidRPr="0012161D">
        <w:rPr>
          <w:rFonts w:asciiTheme="minorHAnsi" w:hAnsiTheme="minorHAnsi" w:cstheme="minorHAnsi"/>
          <w:color w:val="000000"/>
          <w:sz w:val="22"/>
          <w:szCs w:val="22"/>
        </w:rPr>
        <w:t>Surakasha</w:t>
      </w:r>
      <w:proofErr w:type="spellEnd"/>
      <w:r>
        <w:rPr>
          <w:rFonts w:asciiTheme="minorHAnsi" w:hAnsiTheme="minorHAnsi" w:cstheme="minorHAnsi"/>
          <w:color w:val="000000"/>
          <w:sz w:val="22"/>
          <w:szCs w:val="22"/>
        </w:rPr>
        <w:t xml:space="preserve"> </w:t>
      </w:r>
      <w:proofErr w:type="spellStart"/>
      <w:r w:rsidRPr="0012161D">
        <w:rPr>
          <w:rFonts w:asciiTheme="minorHAnsi" w:hAnsiTheme="minorHAnsi" w:cstheme="minorHAnsi"/>
          <w:color w:val="000000"/>
          <w:sz w:val="22"/>
          <w:szCs w:val="22"/>
        </w:rPr>
        <w:t>Sambad</w:t>
      </w:r>
      <w:proofErr w:type="spellEnd"/>
      <w:r w:rsidRPr="0012161D">
        <w:rPr>
          <w:rFonts w:asciiTheme="minorHAnsi" w:hAnsiTheme="minorHAnsi" w:cstheme="minorHAnsi"/>
          <w:color w:val="000000"/>
          <w:sz w:val="22"/>
          <w:szCs w:val="22"/>
        </w:rPr>
        <w:t>, WLL (Women in Leadership League) etc. Following are the new programs taken up during the FY 2024-25:</w:t>
      </w:r>
    </w:p>
    <w:p w14:paraId="672B76DE" w14:textId="77777777" w:rsidR="00F616FB" w:rsidRDefault="00F616FB" w:rsidP="00AB536C">
      <w:pPr>
        <w:pStyle w:val="ListParagraph"/>
        <w:numPr>
          <w:ilvl w:val="0"/>
          <w:numId w:val="36"/>
        </w:numPr>
        <w:spacing w:line="360" w:lineRule="auto"/>
        <w:ind w:left="851" w:hanging="425"/>
        <w:jc w:val="both"/>
        <w:rPr>
          <w:rFonts w:asciiTheme="minorHAnsi" w:hAnsiTheme="minorHAnsi" w:cstheme="minorHAnsi"/>
        </w:rPr>
      </w:pPr>
      <w:r w:rsidRPr="0012161D">
        <w:rPr>
          <w:rFonts w:asciiTheme="minorHAnsi" w:eastAsia="Times New Roman" w:hAnsiTheme="minorHAnsi" w:cstheme="minorHAnsi"/>
          <w:b/>
          <w:color w:val="000000"/>
          <w:lang w:eastAsia="en-IN"/>
        </w:rPr>
        <w:t xml:space="preserve">She Leads &amp; She Rises: </w:t>
      </w:r>
      <w:r w:rsidRPr="0012161D">
        <w:rPr>
          <w:rFonts w:asciiTheme="minorHAnsi" w:hAnsiTheme="minorHAnsi" w:cstheme="minorHAnsi"/>
        </w:rPr>
        <w:t>The goal of this training for women employees is to empower them with knowledge in areas such as Technology and Digital Literacy, Women in Leadership, Personal Development, Financial Independence, and Health and Wellness.</w:t>
      </w:r>
    </w:p>
    <w:p w14:paraId="097C0B1A" w14:textId="77777777" w:rsidR="00F616FB" w:rsidRDefault="00F616FB" w:rsidP="00F616FB">
      <w:pPr>
        <w:pStyle w:val="ListParagraph"/>
        <w:spacing w:line="360" w:lineRule="auto"/>
        <w:ind w:left="851"/>
        <w:jc w:val="both"/>
        <w:rPr>
          <w:rFonts w:asciiTheme="minorHAnsi" w:hAnsiTheme="minorHAnsi" w:cstheme="minorHAnsi"/>
        </w:rPr>
      </w:pPr>
    </w:p>
    <w:p w14:paraId="76C29FDC" w14:textId="77777777" w:rsidR="00F616FB" w:rsidRDefault="00F616FB" w:rsidP="00AB536C">
      <w:pPr>
        <w:pStyle w:val="ListParagraph"/>
        <w:numPr>
          <w:ilvl w:val="0"/>
          <w:numId w:val="36"/>
        </w:numPr>
        <w:spacing w:line="360" w:lineRule="auto"/>
        <w:ind w:left="851" w:hanging="425"/>
        <w:jc w:val="both"/>
        <w:rPr>
          <w:rFonts w:asciiTheme="minorHAnsi" w:hAnsiTheme="minorHAnsi" w:cstheme="minorHAnsi"/>
        </w:rPr>
      </w:pPr>
      <w:r w:rsidRPr="008216AD">
        <w:rPr>
          <w:rFonts w:asciiTheme="minorHAnsi" w:eastAsia="Times New Roman" w:hAnsiTheme="minorHAnsi" w:cstheme="minorHAnsi"/>
          <w:b/>
          <w:color w:val="000000"/>
          <w:lang w:eastAsia="en-IN"/>
        </w:rPr>
        <w:t>Gender &amp; Social Inclusion:</w:t>
      </w:r>
      <w:r w:rsidRPr="008216AD">
        <w:rPr>
          <w:rFonts w:asciiTheme="minorHAnsi" w:hAnsiTheme="minorHAnsi" w:cstheme="minorHAnsi"/>
        </w:rPr>
        <w:t xml:space="preserve"> Gender and Social Inclusion (GESI) training helps people understand and promote equal opportunities and treatment for all people, regardless of their gender, background, or identity. To bring equality &amp; equity in our workplace &amp; promote each performing person to be encouraged.</w:t>
      </w:r>
    </w:p>
    <w:p w14:paraId="237BBCB3" w14:textId="77777777" w:rsidR="00F616FB" w:rsidRPr="0026195F" w:rsidRDefault="00F616FB" w:rsidP="00F616FB">
      <w:pPr>
        <w:pStyle w:val="ListParagraph"/>
        <w:ind w:left="851"/>
        <w:rPr>
          <w:rFonts w:asciiTheme="minorHAnsi" w:eastAsia="Times New Roman" w:hAnsiTheme="minorHAnsi" w:cstheme="minorHAnsi"/>
          <w:b/>
          <w:color w:val="000000"/>
          <w:lang w:eastAsia="en-IN"/>
        </w:rPr>
      </w:pPr>
    </w:p>
    <w:p w14:paraId="5D02E994" w14:textId="77777777" w:rsidR="00F616FB" w:rsidRDefault="00F616FB" w:rsidP="00AB536C">
      <w:pPr>
        <w:pStyle w:val="ListParagraph"/>
        <w:numPr>
          <w:ilvl w:val="0"/>
          <w:numId w:val="36"/>
        </w:numPr>
        <w:spacing w:line="360" w:lineRule="auto"/>
        <w:ind w:left="851" w:hanging="425"/>
        <w:jc w:val="both"/>
        <w:rPr>
          <w:rFonts w:asciiTheme="minorHAnsi" w:hAnsiTheme="minorHAnsi" w:cstheme="minorHAnsi"/>
        </w:rPr>
      </w:pPr>
      <w:r w:rsidRPr="0026195F">
        <w:rPr>
          <w:rFonts w:asciiTheme="minorHAnsi" w:eastAsia="Times New Roman" w:hAnsiTheme="minorHAnsi" w:cstheme="minorHAnsi"/>
          <w:b/>
          <w:color w:val="000000"/>
          <w:lang w:eastAsia="en-IN"/>
        </w:rPr>
        <w:t xml:space="preserve">E-Learning Portal: </w:t>
      </w:r>
      <w:r w:rsidRPr="0026195F">
        <w:rPr>
          <w:rFonts w:asciiTheme="minorHAnsi" w:hAnsiTheme="minorHAnsi" w:cstheme="minorHAnsi"/>
        </w:rPr>
        <w:t xml:space="preserve">The objective of implementing an e-learning platform i.e. LinkedIn, </w:t>
      </w:r>
      <w:proofErr w:type="spellStart"/>
      <w:r w:rsidRPr="0026195F">
        <w:rPr>
          <w:rFonts w:asciiTheme="minorHAnsi" w:hAnsiTheme="minorHAnsi" w:cstheme="minorHAnsi"/>
        </w:rPr>
        <w:t>Quodeck</w:t>
      </w:r>
      <w:proofErr w:type="spellEnd"/>
      <w:r w:rsidRPr="0026195F">
        <w:rPr>
          <w:rFonts w:asciiTheme="minorHAnsi" w:hAnsiTheme="minorHAnsi" w:cstheme="minorHAnsi"/>
        </w:rPr>
        <w:t xml:space="preserve"> &amp; Coursera for employees is multifaceted, aiming to enhance individual and organizational growth.</w:t>
      </w:r>
      <w:r w:rsidRPr="0026195F">
        <w:rPr>
          <w:rFonts w:asciiTheme="minorHAnsi" w:hAnsiTheme="minorHAnsi" w:cstheme="minorHAnsi"/>
          <w:color w:val="374151"/>
          <w:shd w:val="clear" w:color="auto" w:fill="F7F7F8"/>
        </w:rPr>
        <w:t xml:space="preserve"> </w:t>
      </w:r>
      <w:r w:rsidRPr="0026195F">
        <w:rPr>
          <w:rFonts w:asciiTheme="minorHAnsi" w:hAnsiTheme="minorHAnsi" w:cstheme="minorHAnsi"/>
        </w:rPr>
        <w:t>Provide employees with access to a diverse range of courses and training modules to continuously develop and upgrade their skills. Foster a culture of lifelong learning, ensuring that employees stay relevant in a rapidly evolving business landscape.</w:t>
      </w:r>
    </w:p>
    <w:p w14:paraId="53C7C8B4" w14:textId="77777777" w:rsidR="00F616FB" w:rsidRPr="0026195F" w:rsidRDefault="00F616FB" w:rsidP="00F616FB">
      <w:pPr>
        <w:pStyle w:val="ListParagraph"/>
        <w:ind w:left="851"/>
        <w:rPr>
          <w:rFonts w:asciiTheme="minorHAnsi" w:eastAsia="Times New Roman" w:hAnsiTheme="minorHAnsi" w:cstheme="minorHAnsi"/>
          <w:b/>
          <w:color w:val="000000"/>
          <w:lang w:eastAsia="en-IN"/>
        </w:rPr>
      </w:pPr>
    </w:p>
    <w:p w14:paraId="326B777C" w14:textId="77777777" w:rsidR="00F616FB" w:rsidRDefault="00F616FB" w:rsidP="00AB536C">
      <w:pPr>
        <w:pStyle w:val="ListParagraph"/>
        <w:numPr>
          <w:ilvl w:val="0"/>
          <w:numId w:val="36"/>
        </w:numPr>
        <w:spacing w:line="360" w:lineRule="auto"/>
        <w:ind w:left="851" w:hanging="425"/>
        <w:jc w:val="both"/>
        <w:rPr>
          <w:rFonts w:asciiTheme="minorHAnsi" w:hAnsiTheme="minorHAnsi" w:cstheme="minorHAnsi"/>
        </w:rPr>
      </w:pPr>
      <w:r w:rsidRPr="0026195F">
        <w:rPr>
          <w:rFonts w:asciiTheme="minorHAnsi" w:eastAsia="Times New Roman" w:hAnsiTheme="minorHAnsi" w:cstheme="minorHAnsi"/>
          <w:b/>
          <w:color w:val="000000"/>
          <w:lang w:eastAsia="en-IN"/>
        </w:rPr>
        <w:t>Business Etiquettes:</w:t>
      </w:r>
      <w:r w:rsidRPr="0026195F">
        <w:rPr>
          <w:rFonts w:asciiTheme="minorHAnsi" w:eastAsiaTheme="minorHAnsi" w:hAnsiTheme="minorHAnsi" w:cstheme="minorHAnsi"/>
          <w:lang w:val="en-IN"/>
        </w:rPr>
        <w:t xml:space="preserve"> </w:t>
      </w:r>
      <w:r w:rsidRPr="0026195F">
        <w:rPr>
          <w:rFonts w:asciiTheme="minorHAnsi" w:hAnsiTheme="minorHAnsi" w:cstheme="minorHAnsi"/>
        </w:rPr>
        <w:t>Principle of Business etiquettes, Basic Error in Mail &amp; presentations, managing interaction, Email Writing, creating professional workplace environment, listening skill, Presentation &amp; communication Skills for Junior level employees.</w:t>
      </w:r>
    </w:p>
    <w:p w14:paraId="5FD39E92" w14:textId="77777777" w:rsidR="00F616FB" w:rsidRPr="0026195F" w:rsidRDefault="00F616FB" w:rsidP="00F616FB">
      <w:pPr>
        <w:pStyle w:val="ListParagraph"/>
        <w:ind w:left="851"/>
        <w:rPr>
          <w:rFonts w:asciiTheme="minorHAnsi" w:eastAsia="Times New Roman" w:hAnsiTheme="minorHAnsi" w:cstheme="minorHAnsi"/>
          <w:b/>
          <w:color w:val="000000"/>
          <w:lang w:eastAsia="en-IN"/>
        </w:rPr>
      </w:pPr>
    </w:p>
    <w:p w14:paraId="54772EAA" w14:textId="77777777" w:rsidR="00F616FB" w:rsidRDefault="00F616FB" w:rsidP="00AB536C">
      <w:pPr>
        <w:pStyle w:val="ListParagraph"/>
        <w:numPr>
          <w:ilvl w:val="0"/>
          <w:numId w:val="36"/>
        </w:numPr>
        <w:spacing w:line="360" w:lineRule="auto"/>
        <w:ind w:left="851" w:hanging="425"/>
        <w:jc w:val="both"/>
        <w:rPr>
          <w:rFonts w:asciiTheme="minorHAnsi" w:hAnsiTheme="minorHAnsi" w:cstheme="minorHAnsi"/>
        </w:rPr>
      </w:pPr>
      <w:r w:rsidRPr="0026195F">
        <w:rPr>
          <w:rFonts w:asciiTheme="minorHAnsi" w:eastAsia="Times New Roman" w:hAnsiTheme="minorHAnsi" w:cstheme="minorHAnsi"/>
          <w:b/>
          <w:color w:val="000000"/>
          <w:lang w:eastAsia="en-IN"/>
        </w:rPr>
        <w:t>Tech-Skill Program:</w:t>
      </w:r>
      <w:r w:rsidRPr="0026195F">
        <w:rPr>
          <w:rFonts w:asciiTheme="minorHAnsi" w:hAnsiTheme="minorHAnsi" w:cstheme="minorHAnsi"/>
          <w:b/>
        </w:rPr>
        <w:t xml:space="preserve"> </w:t>
      </w:r>
      <w:r w:rsidRPr="0026195F">
        <w:rPr>
          <w:rFonts w:asciiTheme="minorHAnsi" w:hAnsiTheme="minorHAnsi" w:cstheme="minorHAnsi"/>
        </w:rPr>
        <w:t xml:space="preserve">Under this program all Executive employees are imparted with Microsoft Office Suits like Advance Excel, Microsoft Word, Power Point along with email antiquates.   </w:t>
      </w:r>
    </w:p>
    <w:p w14:paraId="7B46119C" w14:textId="77777777" w:rsidR="00F616FB" w:rsidRPr="0026195F" w:rsidRDefault="00F616FB" w:rsidP="00F616FB">
      <w:pPr>
        <w:pStyle w:val="ListParagraph"/>
        <w:ind w:left="851"/>
        <w:rPr>
          <w:rFonts w:asciiTheme="minorHAnsi" w:eastAsia="Times New Roman" w:hAnsiTheme="minorHAnsi" w:cstheme="minorHAnsi"/>
          <w:b/>
          <w:color w:val="000000"/>
          <w:lang w:eastAsia="en-IN"/>
        </w:rPr>
      </w:pPr>
    </w:p>
    <w:p w14:paraId="4A1E966A" w14:textId="77777777" w:rsidR="00F616FB" w:rsidRDefault="00F616FB" w:rsidP="00AB536C">
      <w:pPr>
        <w:pStyle w:val="ListParagraph"/>
        <w:numPr>
          <w:ilvl w:val="0"/>
          <w:numId w:val="36"/>
        </w:numPr>
        <w:spacing w:line="360" w:lineRule="auto"/>
        <w:ind w:left="851" w:hanging="425"/>
        <w:jc w:val="both"/>
        <w:rPr>
          <w:rFonts w:asciiTheme="minorHAnsi" w:hAnsiTheme="minorHAnsi" w:cstheme="minorHAnsi"/>
        </w:rPr>
      </w:pPr>
      <w:r w:rsidRPr="0026195F">
        <w:rPr>
          <w:rFonts w:asciiTheme="minorHAnsi" w:eastAsia="Times New Roman" w:hAnsiTheme="minorHAnsi" w:cstheme="minorHAnsi"/>
          <w:b/>
          <w:color w:val="000000"/>
          <w:lang w:eastAsia="en-IN"/>
        </w:rPr>
        <w:t xml:space="preserve">5S Training: </w:t>
      </w:r>
      <w:r w:rsidRPr="0026195F">
        <w:rPr>
          <w:rFonts w:asciiTheme="minorHAnsi" w:hAnsiTheme="minorHAnsi" w:cstheme="minorHAnsi"/>
        </w:rPr>
        <w:t xml:space="preserve">Enhance overall workplace efficiency by instilling the principles of Sort, Set in Order, Shine, Standardize, and Sustain (5S), leading to streamlined processes and reduced waste. Increase employee productivity through organized workspaces, minimizing the time spent searching for tools, materials, or information. Create a safer work environment by eliminating clutter, reducing the risk of accidents, and promoting a culture of safety and awareness. Identify and eliminate unnecessary items and processes, resulting in cost savings through reduced </w:t>
      </w:r>
      <w:r w:rsidRPr="0026195F">
        <w:rPr>
          <w:rFonts w:asciiTheme="minorHAnsi" w:hAnsiTheme="minorHAnsi" w:cstheme="minorHAnsi"/>
        </w:rPr>
        <w:lastRenderedPageBreak/>
        <w:t xml:space="preserve">material usage, improved resource allocation, and minimized downtime. Empower employees to take ownership of their workspaces, fostering a sense of responsibility, pride, and engagement in maintaining a clean and organized environment. </w:t>
      </w:r>
    </w:p>
    <w:p w14:paraId="127D4D62" w14:textId="77777777" w:rsidR="00F616FB" w:rsidRPr="00D24442" w:rsidRDefault="00F616FB" w:rsidP="00F616FB">
      <w:pPr>
        <w:pStyle w:val="ListParagraph"/>
        <w:ind w:left="851"/>
        <w:rPr>
          <w:rFonts w:asciiTheme="minorHAnsi" w:eastAsia="Times New Roman" w:hAnsiTheme="minorHAnsi" w:cstheme="minorHAnsi"/>
          <w:b/>
          <w:color w:val="000000"/>
          <w:lang w:eastAsia="en-IN"/>
        </w:rPr>
      </w:pPr>
    </w:p>
    <w:p w14:paraId="6C0E5927" w14:textId="77777777" w:rsidR="00F616FB" w:rsidRDefault="00F616FB" w:rsidP="00AB536C">
      <w:pPr>
        <w:pStyle w:val="ListParagraph"/>
        <w:numPr>
          <w:ilvl w:val="0"/>
          <w:numId w:val="36"/>
        </w:numPr>
        <w:spacing w:line="360" w:lineRule="auto"/>
        <w:ind w:left="851" w:hanging="425"/>
        <w:jc w:val="both"/>
        <w:rPr>
          <w:rFonts w:asciiTheme="minorHAnsi" w:hAnsiTheme="minorHAnsi" w:cstheme="minorHAnsi"/>
        </w:rPr>
      </w:pPr>
      <w:r w:rsidRPr="00D24442">
        <w:rPr>
          <w:rFonts w:asciiTheme="minorHAnsi" w:eastAsia="Times New Roman" w:hAnsiTheme="minorHAnsi" w:cstheme="minorHAnsi"/>
          <w:b/>
          <w:color w:val="000000"/>
          <w:lang w:eastAsia="en-IN"/>
        </w:rPr>
        <w:t>Code of Conduct and Prevention of Sexual Harassment (POSH):</w:t>
      </w:r>
      <w:r w:rsidRPr="00D24442">
        <w:rPr>
          <w:rFonts w:asciiTheme="minorHAnsi" w:hAnsiTheme="minorHAnsi" w:cstheme="minorHAnsi"/>
        </w:rPr>
        <w:t xml:space="preserve"> </w:t>
      </w:r>
      <w:proofErr w:type="spellStart"/>
      <w:r w:rsidRPr="00D24442">
        <w:rPr>
          <w:rFonts w:asciiTheme="minorHAnsi" w:hAnsiTheme="minorHAnsi" w:cstheme="minorHAnsi"/>
        </w:rPr>
        <w:t>Instil</w:t>
      </w:r>
      <w:proofErr w:type="spellEnd"/>
      <w:r w:rsidRPr="00D24442">
        <w:rPr>
          <w:rFonts w:asciiTheme="minorHAnsi" w:hAnsiTheme="minorHAnsi" w:cstheme="minorHAnsi"/>
        </w:rPr>
        <w:t xml:space="preserve"> a deep understanding of ethical principles outlined in the Code of Conduct (TCOC), ensuring that employees are well-versed in the company's commitment to integrity, honesty, and transparency. Ensure that employees comprehend and adhere to the legal and regulatory requirements outlined in the TCOC, fostering a culture of compliance and responsible business practices. Educate employees about what constitutes sexual harassment, ensuring a clear understanding of unacceptable behavior and its impact on individuals and the workplace. Cultivate a workplace culture that rejects all forms of sexual harassment, promoting respect, dignity, and inclusivity for all employees. </w:t>
      </w:r>
    </w:p>
    <w:p w14:paraId="7D7F21FA" w14:textId="77777777" w:rsidR="00F616FB" w:rsidRPr="00D24442" w:rsidRDefault="00F616FB" w:rsidP="00F616FB">
      <w:pPr>
        <w:pStyle w:val="ListParagraph"/>
        <w:ind w:left="851"/>
        <w:rPr>
          <w:rFonts w:asciiTheme="minorHAnsi" w:eastAsia="Times New Roman" w:hAnsiTheme="minorHAnsi" w:cstheme="minorHAnsi"/>
          <w:b/>
          <w:color w:val="000000"/>
          <w:lang w:eastAsia="en-IN"/>
        </w:rPr>
      </w:pPr>
    </w:p>
    <w:p w14:paraId="11477AEB" w14:textId="77777777" w:rsidR="00F616FB" w:rsidRDefault="00F616FB" w:rsidP="00AB536C">
      <w:pPr>
        <w:pStyle w:val="ListParagraph"/>
        <w:numPr>
          <w:ilvl w:val="0"/>
          <w:numId w:val="36"/>
        </w:numPr>
        <w:spacing w:line="360" w:lineRule="auto"/>
        <w:ind w:left="851" w:hanging="425"/>
        <w:jc w:val="both"/>
        <w:rPr>
          <w:rFonts w:asciiTheme="minorHAnsi" w:hAnsiTheme="minorHAnsi" w:cstheme="minorHAnsi"/>
        </w:rPr>
      </w:pPr>
      <w:r w:rsidRPr="00D24442">
        <w:rPr>
          <w:rFonts w:asciiTheme="minorHAnsi" w:eastAsia="Times New Roman" w:hAnsiTheme="minorHAnsi" w:cstheme="minorHAnsi"/>
          <w:b/>
          <w:color w:val="000000"/>
          <w:lang w:eastAsia="en-IN"/>
        </w:rPr>
        <w:t>Felt Leadership Training:</w:t>
      </w:r>
      <w:r w:rsidRPr="00D24442">
        <w:rPr>
          <w:rFonts w:asciiTheme="minorHAnsi" w:hAnsiTheme="minorHAnsi" w:cstheme="minorHAnsi"/>
          <w:b/>
        </w:rPr>
        <w:t xml:space="preserve"> </w:t>
      </w:r>
      <w:r w:rsidRPr="00D24442">
        <w:rPr>
          <w:rFonts w:asciiTheme="minorHAnsi" w:hAnsiTheme="minorHAnsi" w:cstheme="minorHAnsi"/>
        </w:rPr>
        <w:t>Along with our regular employees, our organization also focuses on safety of our Business Associates. For this a Felt Leadership Training programs has been designed &amp; are being conducted across the organization.</w:t>
      </w:r>
    </w:p>
    <w:p w14:paraId="7E435006" w14:textId="77777777" w:rsidR="00F616FB" w:rsidRPr="00D24442" w:rsidRDefault="00F616FB" w:rsidP="00F616FB">
      <w:pPr>
        <w:pStyle w:val="ListParagraph"/>
        <w:ind w:left="851"/>
        <w:rPr>
          <w:rFonts w:asciiTheme="minorHAnsi" w:eastAsia="Times New Roman" w:hAnsiTheme="minorHAnsi" w:cstheme="minorHAnsi"/>
          <w:b/>
          <w:color w:val="000000"/>
          <w:lang w:eastAsia="en-IN"/>
        </w:rPr>
      </w:pPr>
    </w:p>
    <w:p w14:paraId="77620165" w14:textId="77777777" w:rsidR="00F616FB" w:rsidRDefault="00F616FB" w:rsidP="00AB536C">
      <w:pPr>
        <w:pStyle w:val="ListParagraph"/>
        <w:numPr>
          <w:ilvl w:val="0"/>
          <w:numId w:val="36"/>
        </w:numPr>
        <w:spacing w:line="360" w:lineRule="auto"/>
        <w:ind w:left="851" w:hanging="425"/>
        <w:jc w:val="both"/>
        <w:rPr>
          <w:rFonts w:asciiTheme="minorHAnsi" w:hAnsiTheme="minorHAnsi" w:cstheme="minorHAnsi"/>
        </w:rPr>
      </w:pPr>
      <w:r w:rsidRPr="00D24442">
        <w:rPr>
          <w:rFonts w:asciiTheme="minorHAnsi" w:eastAsia="Times New Roman" w:hAnsiTheme="minorHAnsi" w:cstheme="minorHAnsi"/>
          <w:b/>
          <w:color w:val="000000"/>
          <w:lang w:eastAsia="en-IN"/>
        </w:rPr>
        <w:t>Managerial Effectiveness</w:t>
      </w:r>
      <w:r w:rsidRPr="00D24442">
        <w:rPr>
          <w:rFonts w:asciiTheme="minorHAnsi" w:hAnsiTheme="minorHAnsi" w:cstheme="minorHAnsi"/>
          <w:b/>
        </w:rPr>
        <w:t>:</w:t>
      </w:r>
      <w:r w:rsidRPr="00D24442">
        <w:rPr>
          <w:rFonts w:asciiTheme="minorHAnsi" w:hAnsiTheme="minorHAnsi" w:cstheme="minorHAnsi"/>
        </w:rPr>
        <w:t xml:space="preserve"> Self-awareness (Understand your strengths, weaknesses, emotions, and the impact they have on others.), Managing self (Stay composed, adaptable, and maintain a positive attitude, especially in challenging situations), Motivating Self (Cultivate an inner drive to achieve goals and inspire excellence.), Empathy (Actively listen to your team members and understand their emotions, perspectives, and needs.), Social skills (Build and maintain strong relationships with your team and other stakeholders.) &amp; how to manage a team by passion, understanding by resolving conflicts. This is for all the managerial level employees.</w:t>
      </w:r>
    </w:p>
    <w:p w14:paraId="05DC6C6B" w14:textId="77777777" w:rsidR="00F616FB" w:rsidRPr="00D24442" w:rsidRDefault="00F616FB" w:rsidP="00F616FB">
      <w:pPr>
        <w:pStyle w:val="ListParagraph"/>
        <w:ind w:left="851"/>
        <w:rPr>
          <w:rFonts w:asciiTheme="minorHAnsi" w:eastAsia="Times New Roman" w:hAnsiTheme="minorHAnsi" w:cstheme="minorHAnsi"/>
          <w:b/>
          <w:color w:val="000000"/>
          <w:lang w:eastAsia="en-IN"/>
        </w:rPr>
      </w:pPr>
    </w:p>
    <w:p w14:paraId="7437E78F" w14:textId="77777777" w:rsidR="00F616FB" w:rsidRDefault="00F616FB" w:rsidP="00AB536C">
      <w:pPr>
        <w:pStyle w:val="ListParagraph"/>
        <w:numPr>
          <w:ilvl w:val="0"/>
          <w:numId w:val="36"/>
        </w:numPr>
        <w:spacing w:line="360" w:lineRule="auto"/>
        <w:ind w:left="851" w:hanging="425"/>
        <w:jc w:val="both"/>
        <w:rPr>
          <w:rFonts w:asciiTheme="minorHAnsi" w:hAnsiTheme="minorHAnsi" w:cstheme="minorHAnsi"/>
        </w:rPr>
      </w:pPr>
      <w:r w:rsidRPr="00D24442">
        <w:rPr>
          <w:rFonts w:asciiTheme="minorHAnsi" w:eastAsia="Times New Roman" w:hAnsiTheme="minorHAnsi" w:cstheme="minorHAnsi"/>
          <w:b/>
          <w:color w:val="000000"/>
          <w:lang w:eastAsia="en-IN"/>
        </w:rPr>
        <w:t>Customer Centricity:</w:t>
      </w:r>
      <w:r w:rsidRPr="00D24442">
        <w:rPr>
          <w:rFonts w:asciiTheme="minorHAnsi" w:hAnsiTheme="minorHAnsi" w:cstheme="minorHAnsi"/>
        </w:rPr>
        <w:t xml:space="preserve"> As a service-oriented organization, our primary focus is on effectively addressing the needs of both external and internal stakeholders. To achieve this, we have organized targeted training programs that cover key areas such as Emotional Intelligence (EI) and Emotional Quotient (EQ), handling difficult customers, being assertive in challenging situations, and understanding customers' needs. These initiatives aim to enhance our efficiency and ultimately drive higher levels of customer satisfaction.</w:t>
      </w:r>
    </w:p>
    <w:p w14:paraId="1FBB5CFA" w14:textId="77777777" w:rsidR="00F616FB" w:rsidRPr="00D24442" w:rsidRDefault="00F616FB" w:rsidP="00F616FB">
      <w:pPr>
        <w:pStyle w:val="ListParagraph"/>
        <w:ind w:left="851"/>
        <w:rPr>
          <w:rFonts w:asciiTheme="minorHAnsi" w:eastAsia="Times New Roman" w:hAnsiTheme="minorHAnsi" w:cstheme="minorHAnsi"/>
          <w:b/>
          <w:color w:val="000000"/>
          <w:lang w:eastAsia="en-IN"/>
        </w:rPr>
      </w:pPr>
    </w:p>
    <w:p w14:paraId="4FE52FA9" w14:textId="3C1430EB" w:rsidR="00F616FB" w:rsidRPr="00894F4D" w:rsidRDefault="00F616FB" w:rsidP="00894F4D">
      <w:pPr>
        <w:pStyle w:val="ListParagraph"/>
        <w:numPr>
          <w:ilvl w:val="0"/>
          <w:numId w:val="36"/>
        </w:numPr>
        <w:spacing w:line="360" w:lineRule="auto"/>
        <w:ind w:left="851" w:hanging="425"/>
        <w:jc w:val="both"/>
        <w:rPr>
          <w:rFonts w:asciiTheme="minorHAnsi" w:hAnsiTheme="minorHAnsi" w:cstheme="minorHAnsi"/>
        </w:rPr>
      </w:pPr>
      <w:r w:rsidRPr="00D24442">
        <w:rPr>
          <w:rFonts w:asciiTheme="minorHAnsi" w:eastAsia="Times New Roman" w:hAnsiTheme="minorHAnsi" w:cstheme="minorHAnsi"/>
          <w:b/>
          <w:color w:val="000000"/>
          <w:lang w:eastAsia="en-IN"/>
        </w:rPr>
        <w:t>Technical Trainings:</w:t>
      </w:r>
      <w:r w:rsidRPr="00D24442">
        <w:rPr>
          <w:rFonts w:asciiTheme="minorHAnsi" w:hAnsiTheme="minorHAnsi" w:cstheme="minorHAnsi"/>
        </w:rPr>
        <w:t xml:space="preserve"> We have selected experts, based on their experience and performance, to lead various operational training programs such as Switchgear Maintenance, RMU, FPI, Auto Reclosers, SCADA &amp; Smart Meters, Electrical Protection Systems, and Transformers. In addition to </w:t>
      </w:r>
      <w:r w:rsidRPr="00D24442">
        <w:rPr>
          <w:rFonts w:asciiTheme="minorHAnsi" w:hAnsiTheme="minorHAnsi" w:cstheme="minorHAnsi"/>
        </w:rPr>
        <w:lastRenderedPageBreak/>
        <w:t>enhancing our in-house trainers, we are also fostering stronger team bonding throughout the process.</w:t>
      </w:r>
    </w:p>
    <w:p w14:paraId="26623FA3" w14:textId="0B8202B3" w:rsidR="00F616FB" w:rsidRPr="00B33F00" w:rsidRDefault="00F616FB" w:rsidP="00F616FB">
      <w:pPr>
        <w:spacing w:line="360" w:lineRule="auto"/>
        <w:ind w:left="567" w:hanging="141"/>
        <w:jc w:val="both"/>
        <w:textAlignment w:val="baseline"/>
        <w:rPr>
          <w:rFonts w:asciiTheme="minorHAnsi" w:hAnsiTheme="minorHAnsi" w:cstheme="minorHAnsi"/>
          <w:szCs w:val="22"/>
          <w:lang w:bidi="or-IN"/>
        </w:rPr>
      </w:pPr>
      <w:r w:rsidRPr="00B33F00">
        <w:rPr>
          <w:rFonts w:asciiTheme="minorHAnsi" w:hAnsiTheme="minorHAnsi" w:cstheme="minorHAnsi"/>
          <w:b/>
          <w:bCs/>
          <w:szCs w:val="22"/>
          <w:lang w:bidi="or-IN"/>
        </w:rPr>
        <w:t xml:space="preserve">  </w:t>
      </w:r>
      <w:r w:rsidR="00894F4D">
        <w:rPr>
          <w:rFonts w:asciiTheme="minorHAnsi" w:hAnsiTheme="minorHAnsi" w:cstheme="minorHAnsi"/>
          <w:b/>
          <w:bCs/>
          <w:szCs w:val="22"/>
          <w:lang w:bidi="or-IN"/>
        </w:rPr>
        <w:t>6</w:t>
      </w:r>
      <w:r w:rsidRPr="00B33F00">
        <w:rPr>
          <w:rFonts w:asciiTheme="minorHAnsi" w:hAnsiTheme="minorHAnsi" w:cstheme="minorHAnsi"/>
          <w:b/>
          <w:bCs/>
          <w:szCs w:val="22"/>
          <w:lang w:bidi="or-IN"/>
        </w:rPr>
        <w:t>.6.</w:t>
      </w:r>
      <w:r>
        <w:rPr>
          <w:rFonts w:asciiTheme="minorHAnsi" w:hAnsiTheme="minorHAnsi" w:cstheme="minorHAnsi"/>
          <w:b/>
          <w:bCs/>
          <w:szCs w:val="22"/>
          <w:lang w:bidi="or-IN"/>
        </w:rPr>
        <w:t>1</w:t>
      </w:r>
      <w:r w:rsidRPr="00B33F00">
        <w:rPr>
          <w:rFonts w:asciiTheme="minorHAnsi" w:hAnsiTheme="minorHAnsi" w:cstheme="minorHAnsi"/>
          <w:b/>
          <w:bCs/>
          <w:szCs w:val="22"/>
          <w:lang w:bidi="or-IN"/>
        </w:rPr>
        <w:t xml:space="preserve"> Volunteering</w:t>
      </w:r>
    </w:p>
    <w:p w14:paraId="22301081" w14:textId="77777777" w:rsidR="00F616FB" w:rsidRDefault="00F616FB" w:rsidP="00F616FB">
      <w:pPr>
        <w:spacing w:line="360" w:lineRule="auto"/>
        <w:ind w:left="567" w:hanging="141"/>
        <w:jc w:val="both"/>
        <w:textAlignment w:val="baseline"/>
        <w:rPr>
          <w:rFonts w:asciiTheme="minorHAnsi" w:hAnsiTheme="minorHAnsi" w:cstheme="minorHAnsi"/>
          <w:sz w:val="22"/>
          <w:szCs w:val="22"/>
          <w:lang w:bidi="or-IN"/>
        </w:rPr>
      </w:pPr>
      <w:r>
        <w:rPr>
          <w:rFonts w:asciiTheme="minorHAnsi" w:hAnsiTheme="minorHAnsi" w:cstheme="minorHAnsi"/>
          <w:sz w:val="22"/>
          <w:szCs w:val="22"/>
          <w:lang w:bidi="or-IN"/>
        </w:rPr>
        <w:t xml:space="preserve">  </w:t>
      </w:r>
      <w:r w:rsidRPr="0012161D">
        <w:rPr>
          <w:rFonts w:asciiTheme="minorHAnsi" w:hAnsiTheme="minorHAnsi" w:cstheme="minorHAnsi"/>
          <w:sz w:val="22"/>
          <w:szCs w:val="22"/>
          <w:lang w:bidi="or-IN"/>
        </w:rPr>
        <w:t>Care for community is one of the core values of Tata Power and TPNODL also wish to initiate various community service-related initiatives in areas of education, health, livelihood, women empowerment etc. These initiatives will give opportunity to employees to contribute to society. The Tata Volunteering Week (TVW) is a biannual event that unites Tata Volunteers worldwide in small acts of volunteering, celebrated in March &amp; September. This year 1091 employees actively participated in 23 different events collectively contributing approximately 3263 hours to deliver a range of activities which included tree plantation in schools and communities, cleanliness drives, visit to old age homes and orphanages, spending time with individuals with disabilities, blood donation camps, career counseling sessions etc. The volunteers were from the junior-most level to the senior most with each of them contributing towards the cause of society.</w:t>
      </w:r>
    </w:p>
    <w:p w14:paraId="28F5F8DC" w14:textId="77777777" w:rsidR="00F616FB" w:rsidRDefault="00F616FB" w:rsidP="00F616FB">
      <w:pPr>
        <w:spacing w:line="360" w:lineRule="auto"/>
        <w:ind w:left="720"/>
        <w:jc w:val="both"/>
        <w:textAlignment w:val="baseline"/>
        <w:rPr>
          <w:rFonts w:asciiTheme="minorHAnsi" w:hAnsiTheme="minorHAnsi" w:cstheme="minorHAnsi"/>
          <w:b/>
          <w:bCs/>
          <w:sz w:val="22"/>
          <w:szCs w:val="22"/>
          <w:lang w:bidi="or-IN"/>
        </w:rPr>
      </w:pPr>
    </w:p>
    <w:p w14:paraId="7F58DB25" w14:textId="6C9837DF" w:rsidR="00F616FB" w:rsidRPr="00B33F00" w:rsidRDefault="00894F4D" w:rsidP="00F616FB">
      <w:pPr>
        <w:spacing w:line="360" w:lineRule="auto"/>
        <w:ind w:left="567"/>
        <w:jc w:val="both"/>
        <w:textAlignment w:val="baseline"/>
        <w:rPr>
          <w:rFonts w:asciiTheme="minorHAnsi" w:hAnsiTheme="minorHAnsi" w:cstheme="minorHAnsi"/>
          <w:szCs w:val="22"/>
          <w:lang w:bidi="or-IN"/>
        </w:rPr>
      </w:pPr>
      <w:r>
        <w:rPr>
          <w:rFonts w:asciiTheme="minorHAnsi" w:hAnsiTheme="minorHAnsi" w:cstheme="minorHAnsi"/>
          <w:b/>
          <w:bCs/>
          <w:szCs w:val="22"/>
          <w:lang w:bidi="or-IN"/>
        </w:rPr>
        <w:t>6</w:t>
      </w:r>
      <w:r w:rsidR="00F616FB" w:rsidRPr="00B33F00">
        <w:rPr>
          <w:rFonts w:asciiTheme="minorHAnsi" w:hAnsiTheme="minorHAnsi" w:cstheme="minorHAnsi"/>
          <w:b/>
          <w:bCs/>
          <w:szCs w:val="22"/>
          <w:lang w:bidi="or-IN"/>
        </w:rPr>
        <w:t>.6.</w:t>
      </w:r>
      <w:r w:rsidR="00F616FB">
        <w:rPr>
          <w:rFonts w:asciiTheme="minorHAnsi" w:hAnsiTheme="minorHAnsi" w:cstheme="minorHAnsi"/>
          <w:b/>
          <w:bCs/>
          <w:szCs w:val="22"/>
          <w:lang w:bidi="or-IN"/>
        </w:rPr>
        <w:t>2</w:t>
      </w:r>
      <w:r w:rsidR="00F616FB" w:rsidRPr="00B33F00">
        <w:rPr>
          <w:rFonts w:asciiTheme="minorHAnsi" w:hAnsiTheme="minorHAnsi" w:cstheme="minorHAnsi"/>
          <w:b/>
          <w:bCs/>
          <w:szCs w:val="22"/>
          <w:lang w:bidi="or-IN"/>
        </w:rPr>
        <w:t xml:space="preserve"> Employee Engagement</w:t>
      </w:r>
    </w:p>
    <w:p w14:paraId="0EDC28BC" w14:textId="77777777" w:rsidR="00F616FB" w:rsidRPr="00746822" w:rsidRDefault="00F616FB" w:rsidP="00F616FB">
      <w:pPr>
        <w:spacing w:line="360" w:lineRule="auto"/>
        <w:ind w:left="567"/>
        <w:jc w:val="both"/>
        <w:textAlignment w:val="baseline"/>
        <w:rPr>
          <w:rFonts w:asciiTheme="minorHAnsi" w:hAnsiTheme="minorHAnsi" w:cstheme="minorHAnsi"/>
          <w:sz w:val="22"/>
          <w:szCs w:val="22"/>
          <w:lang w:bidi="or-IN"/>
        </w:rPr>
      </w:pPr>
      <w:r w:rsidRPr="0012161D">
        <w:rPr>
          <w:rFonts w:asciiTheme="minorHAnsi" w:hAnsiTheme="minorHAnsi" w:cstheme="minorHAnsi"/>
          <w:sz w:val="22"/>
          <w:szCs w:val="22"/>
        </w:rPr>
        <w:t xml:space="preserve">Fostering a supportive workplace and maximizing employee potential are essential strategic strengths of Tata Power. Therefore, TPNODL is dedicated to cultivating a work environment that elevates employee and associate engagement to exemplary levels. TPNODL plans to implement an engagement framework and roll out various initiatives to ensure all employees operate at peak engagement. Each year, an engagement calendar is prepared, featuring a wide range of programs designed to actively involve employees, business partners, and their families. Like in previous years, TPNODL organized celebrations for Vishwakarma, Ganesh, Diwali, and Durga Puja, alongside creative competitions like drawing, painting, and </w:t>
      </w:r>
      <w:proofErr w:type="spellStart"/>
      <w:r w:rsidRPr="0012161D">
        <w:rPr>
          <w:rFonts w:asciiTheme="minorHAnsi" w:hAnsiTheme="minorHAnsi" w:cstheme="minorHAnsi"/>
          <w:sz w:val="22"/>
          <w:szCs w:val="22"/>
        </w:rPr>
        <w:t>diya</w:t>
      </w:r>
      <w:proofErr w:type="spellEnd"/>
      <w:r w:rsidRPr="0012161D">
        <w:rPr>
          <w:rFonts w:asciiTheme="minorHAnsi" w:hAnsiTheme="minorHAnsi" w:cstheme="minorHAnsi"/>
          <w:sz w:val="22"/>
          <w:szCs w:val="22"/>
        </w:rPr>
        <w:t>-making, which saw enthusiastic participation from employees. For the very time TPNODL organized a mega event “U</w:t>
      </w:r>
      <w:r>
        <w:rPr>
          <w:rFonts w:asciiTheme="minorHAnsi" w:hAnsiTheme="minorHAnsi" w:cstheme="minorHAnsi"/>
          <w:sz w:val="22"/>
          <w:szCs w:val="22"/>
        </w:rPr>
        <w:t>LLAS</w:t>
      </w:r>
      <w:r w:rsidRPr="0012161D">
        <w:rPr>
          <w:rFonts w:asciiTheme="minorHAnsi" w:hAnsiTheme="minorHAnsi" w:cstheme="minorHAnsi"/>
          <w:sz w:val="22"/>
          <w:szCs w:val="22"/>
        </w:rPr>
        <w:t>” in line with Tata Power cultural tradition of bring the employees and families together for a fun-filled entertainment and celebrating the hard work and success. Recently, carrom and chess tournaments were concluded for employees, and Ethnic Day was celebrated with much enthusiasm. Going forward, many more activities are planned, including a family picnic, cricket matches, and other events that bring together employees and their families and create a culture of Diversity &amp; Inclusion.</w:t>
      </w:r>
    </w:p>
    <w:p w14:paraId="2F136560" w14:textId="77777777" w:rsidR="00F616FB" w:rsidRPr="0012161D" w:rsidRDefault="00F616FB" w:rsidP="00F616FB">
      <w:pPr>
        <w:spacing w:line="360" w:lineRule="auto"/>
        <w:ind w:left="720"/>
        <w:jc w:val="both"/>
        <w:textAlignment w:val="baseline"/>
        <w:rPr>
          <w:rFonts w:asciiTheme="minorHAnsi" w:hAnsiTheme="minorHAnsi" w:cstheme="minorHAnsi"/>
          <w:sz w:val="22"/>
          <w:szCs w:val="22"/>
          <w:lang w:bidi="or-IN"/>
        </w:rPr>
      </w:pPr>
    </w:p>
    <w:p w14:paraId="7F35BEFD" w14:textId="77777777" w:rsidR="00894F4D" w:rsidRDefault="00894F4D" w:rsidP="00F616FB">
      <w:pPr>
        <w:spacing w:line="360" w:lineRule="auto"/>
        <w:ind w:left="720"/>
        <w:jc w:val="center"/>
        <w:textAlignment w:val="baseline"/>
        <w:rPr>
          <w:rFonts w:asciiTheme="minorHAnsi" w:hAnsiTheme="minorHAnsi" w:cstheme="minorHAnsi"/>
          <w:b/>
          <w:sz w:val="22"/>
          <w:szCs w:val="22"/>
          <w:lang w:bidi="or-IN"/>
        </w:rPr>
      </w:pPr>
    </w:p>
    <w:p w14:paraId="58EFFADF" w14:textId="77777777" w:rsidR="00894F4D" w:rsidRDefault="00894F4D" w:rsidP="00F616FB">
      <w:pPr>
        <w:spacing w:line="360" w:lineRule="auto"/>
        <w:ind w:left="720"/>
        <w:jc w:val="center"/>
        <w:textAlignment w:val="baseline"/>
        <w:rPr>
          <w:rFonts w:asciiTheme="minorHAnsi" w:hAnsiTheme="minorHAnsi" w:cstheme="minorHAnsi"/>
          <w:b/>
          <w:sz w:val="22"/>
          <w:szCs w:val="22"/>
          <w:lang w:bidi="or-IN"/>
        </w:rPr>
      </w:pPr>
    </w:p>
    <w:p w14:paraId="60730AF5" w14:textId="77777777" w:rsidR="00894F4D" w:rsidRDefault="00894F4D" w:rsidP="00F616FB">
      <w:pPr>
        <w:spacing w:line="360" w:lineRule="auto"/>
        <w:ind w:left="720"/>
        <w:jc w:val="center"/>
        <w:textAlignment w:val="baseline"/>
        <w:rPr>
          <w:rFonts w:asciiTheme="minorHAnsi" w:hAnsiTheme="minorHAnsi" w:cstheme="minorHAnsi"/>
          <w:b/>
          <w:sz w:val="22"/>
          <w:szCs w:val="22"/>
          <w:lang w:bidi="or-IN"/>
        </w:rPr>
      </w:pPr>
    </w:p>
    <w:p w14:paraId="7AB886CC" w14:textId="77777777" w:rsidR="00894F4D" w:rsidRDefault="00894F4D" w:rsidP="00F616FB">
      <w:pPr>
        <w:spacing w:line="360" w:lineRule="auto"/>
        <w:ind w:left="720"/>
        <w:jc w:val="center"/>
        <w:textAlignment w:val="baseline"/>
        <w:rPr>
          <w:rFonts w:asciiTheme="minorHAnsi" w:hAnsiTheme="minorHAnsi" w:cstheme="minorHAnsi"/>
          <w:b/>
          <w:sz w:val="22"/>
          <w:szCs w:val="22"/>
          <w:lang w:bidi="or-IN"/>
        </w:rPr>
      </w:pPr>
    </w:p>
    <w:p w14:paraId="1624ECBE" w14:textId="38785097" w:rsidR="00F616FB" w:rsidRPr="0012161D" w:rsidRDefault="00F616FB" w:rsidP="00F616FB">
      <w:pPr>
        <w:spacing w:line="360" w:lineRule="auto"/>
        <w:ind w:left="720"/>
        <w:jc w:val="center"/>
        <w:textAlignment w:val="baseline"/>
        <w:rPr>
          <w:rFonts w:asciiTheme="minorHAnsi" w:hAnsiTheme="minorHAnsi" w:cstheme="minorHAnsi"/>
          <w:b/>
          <w:sz w:val="22"/>
          <w:szCs w:val="22"/>
          <w:lang w:bidi="or-IN"/>
        </w:rPr>
      </w:pPr>
      <w:r w:rsidRPr="0012161D">
        <w:rPr>
          <w:rFonts w:asciiTheme="minorHAnsi" w:hAnsiTheme="minorHAnsi" w:cstheme="minorHAnsi"/>
          <w:b/>
          <w:sz w:val="22"/>
          <w:szCs w:val="22"/>
          <w:lang w:bidi="or-IN"/>
        </w:rPr>
        <w:lastRenderedPageBreak/>
        <w:t>Engagement Event Count for last Two (02) FYs</w:t>
      </w:r>
    </w:p>
    <w:p w14:paraId="219AF8D6" w14:textId="77777777" w:rsidR="00F616FB" w:rsidRDefault="00F616FB" w:rsidP="00F616FB">
      <w:pPr>
        <w:spacing w:line="360" w:lineRule="auto"/>
        <w:ind w:left="720"/>
        <w:jc w:val="both"/>
        <w:textAlignment w:val="baseline"/>
      </w:pPr>
      <w:r w:rsidRPr="00746822">
        <w:rPr>
          <w:noProof/>
          <w:lang w:val="en-IN" w:eastAsia="en-IN"/>
        </w:rPr>
        <w:drawing>
          <wp:inline distT="0" distB="0" distL="0" distR="0" wp14:anchorId="3C0C43BD" wp14:editId="3D8F73FD">
            <wp:extent cx="5562600" cy="2438400"/>
            <wp:effectExtent l="0" t="0" r="0" b="0"/>
            <wp:docPr id="92574969" name="Chart 92574969">
              <a:extLst xmlns:a="http://schemas.openxmlformats.org/drawingml/2006/main">
                <a:ext uri="{FF2B5EF4-FFF2-40B4-BE49-F238E27FC236}">
                  <a16:creationId xmlns:a16="http://schemas.microsoft.com/office/drawing/2014/main" id="{00000000-0008-0000-00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39"/>
              </a:graphicData>
            </a:graphic>
          </wp:inline>
        </w:drawing>
      </w:r>
    </w:p>
    <w:p w14:paraId="5148EBFA" w14:textId="77777777" w:rsidR="00F616FB" w:rsidRDefault="00F616FB" w:rsidP="00F616FB">
      <w:pPr>
        <w:spacing w:line="360" w:lineRule="auto"/>
        <w:ind w:left="720"/>
        <w:jc w:val="both"/>
        <w:textAlignment w:val="baseline"/>
      </w:pPr>
    </w:p>
    <w:p w14:paraId="7591C589" w14:textId="77777777" w:rsidR="00F616FB" w:rsidRPr="009F7F42" w:rsidRDefault="00F616FB" w:rsidP="00F616FB">
      <w:pPr>
        <w:rPr>
          <w:rFonts w:asciiTheme="minorHAnsi" w:hAnsiTheme="minorHAnsi" w:cstheme="minorHAnsi"/>
          <w:lang w:bidi="or-IN"/>
        </w:rPr>
      </w:pPr>
    </w:p>
    <w:p w14:paraId="7454124D" w14:textId="77777777" w:rsidR="00F616FB" w:rsidRDefault="00F616FB" w:rsidP="00F616FB">
      <w:pPr>
        <w:rPr>
          <w:rFonts w:asciiTheme="minorHAnsi" w:hAnsiTheme="minorHAnsi" w:cstheme="minorHAnsi"/>
          <w:lang w:bidi="or-IN"/>
        </w:rPr>
      </w:pPr>
    </w:p>
    <w:p w14:paraId="584F05CA" w14:textId="73EC3CC2" w:rsidR="00F616FB" w:rsidRPr="00AB5874" w:rsidRDefault="00894F4D" w:rsidP="00F616FB">
      <w:pPr>
        <w:spacing w:line="360" w:lineRule="auto"/>
        <w:ind w:firstLine="567"/>
        <w:jc w:val="both"/>
        <w:textAlignment w:val="baseline"/>
        <w:rPr>
          <w:rFonts w:asciiTheme="minorHAnsi" w:hAnsiTheme="minorHAnsi" w:cstheme="minorHAnsi"/>
          <w:b/>
          <w:szCs w:val="28"/>
          <w:lang w:bidi="or-IN"/>
        </w:rPr>
      </w:pPr>
      <w:r>
        <w:rPr>
          <w:rFonts w:asciiTheme="minorHAnsi" w:hAnsiTheme="minorHAnsi" w:cstheme="minorHAnsi"/>
          <w:b/>
          <w:szCs w:val="28"/>
          <w:lang w:bidi="or-IN"/>
        </w:rPr>
        <w:t>6</w:t>
      </w:r>
      <w:r w:rsidR="00F616FB" w:rsidRPr="00AB5874">
        <w:rPr>
          <w:rFonts w:asciiTheme="minorHAnsi" w:hAnsiTheme="minorHAnsi" w:cstheme="minorHAnsi"/>
          <w:b/>
          <w:szCs w:val="28"/>
          <w:lang w:bidi="or-IN"/>
        </w:rPr>
        <w:t>.6.1</w:t>
      </w:r>
      <w:r>
        <w:rPr>
          <w:rFonts w:asciiTheme="minorHAnsi" w:hAnsiTheme="minorHAnsi" w:cstheme="minorHAnsi"/>
          <w:b/>
          <w:szCs w:val="28"/>
          <w:lang w:bidi="or-IN"/>
        </w:rPr>
        <w:t>3</w:t>
      </w:r>
      <w:r w:rsidR="00F616FB" w:rsidRPr="00AB5874">
        <w:rPr>
          <w:rFonts w:asciiTheme="minorHAnsi" w:hAnsiTheme="minorHAnsi" w:cstheme="minorHAnsi"/>
          <w:b/>
          <w:szCs w:val="28"/>
          <w:lang w:bidi="or-IN"/>
        </w:rPr>
        <w:t xml:space="preserve"> Employee Training Plan</w:t>
      </w:r>
    </w:p>
    <w:p w14:paraId="6A9DECEC" w14:textId="77777777" w:rsidR="00F616FB" w:rsidRPr="00BD5055" w:rsidRDefault="00F616FB" w:rsidP="00F616FB">
      <w:pPr>
        <w:spacing w:line="360" w:lineRule="auto"/>
        <w:ind w:left="567"/>
        <w:jc w:val="both"/>
        <w:textAlignment w:val="baseline"/>
        <w:rPr>
          <w:rFonts w:asciiTheme="minorHAnsi" w:hAnsiTheme="minorHAnsi" w:cstheme="minorHAnsi"/>
          <w:sz w:val="22"/>
          <w:szCs w:val="22"/>
          <w:lang w:bidi="or-IN"/>
        </w:rPr>
      </w:pPr>
      <w:r w:rsidRPr="00BD5055">
        <w:rPr>
          <w:rFonts w:asciiTheme="minorHAnsi" w:hAnsiTheme="minorHAnsi" w:cstheme="minorHAnsi"/>
          <w:sz w:val="22"/>
          <w:szCs w:val="22"/>
          <w:lang w:bidi="or-IN"/>
        </w:rPr>
        <w:t xml:space="preserve"> Employee Training</w:t>
      </w:r>
      <w:r>
        <w:rPr>
          <w:rFonts w:asciiTheme="minorHAnsi" w:hAnsiTheme="minorHAnsi" w:cstheme="minorHAnsi"/>
          <w:sz w:val="22"/>
          <w:szCs w:val="22"/>
          <w:lang w:bidi="or-IN"/>
        </w:rPr>
        <w:t xml:space="preserve"> conducted up to H1 FY 2024-25 and</w:t>
      </w:r>
      <w:r w:rsidRPr="00BD5055">
        <w:rPr>
          <w:rFonts w:asciiTheme="minorHAnsi" w:hAnsiTheme="minorHAnsi" w:cstheme="minorHAnsi"/>
          <w:sz w:val="22"/>
          <w:szCs w:val="22"/>
          <w:lang w:bidi="or-IN"/>
        </w:rPr>
        <w:t xml:space="preserve"> Plan for the FY 202</w:t>
      </w:r>
      <w:r>
        <w:rPr>
          <w:rFonts w:asciiTheme="minorHAnsi" w:hAnsiTheme="minorHAnsi" w:cstheme="minorHAnsi"/>
          <w:sz w:val="22"/>
          <w:szCs w:val="22"/>
          <w:lang w:bidi="or-IN"/>
        </w:rPr>
        <w:t>5</w:t>
      </w:r>
      <w:r w:rsidRPr="00BD5055">
        <w:rPr>
          <w:rFonts w:asciiTheme="minorHAnsi" w:hAnsiTheme="minorHAnsi" w:cstheme="minorHAnsi"/>
          <w:sz w:val="22"/>
          <w:szCs w:val="22"/>
          <w:lang w:bidi="or-IN"/>
        </w:rPr>
        <w:t>-2</w:t>
      </w:r>
      <w:r>
        <w:rPr>
          <w:rFonts w:asciiTheme="minorHAnsi" w:hAnsiTheme="minorHAnsi" w:cstheme="minorHAnsi"/>
          <w:sz w:val="22"/>
          <w:szCs w:val="22"/>
          <w:lang w:bidi="or-IN"/>
        </w:rPr>
        <w:t>6</w:t>
      </w:r>
      <w:r w:rsidRPr="00BD5055">
        <w:rPr>
          <w:rFonts w:asciiTheme="minorHAnsi" w:hAnsiTheme="minorHAnsi" w:cstheme="minorHAnsi"/>
          <w:sz w:val="22"/>
          <w:szCs w:val="22"/>
          <w:lang w:bidi="or-IN"/>
        </w:rPr>
        <w:t xml:space="preserve"> has been </w:t>
      </w:r>
      <w:r>
        <w:rPr>
          <w:rFonts w:asciiTheme="minorHAnsi" w:hAnsiTheme="minorHAnsi" w:cstheme="minorHAnsi"/>
          <w:sz w:val="22"/>
          <w:szCs w:val="22"/>
          <w:lang w:bidi="or-IN"/>
        </w:rPr>
        <w:t xml:space="preserve">  </w:t>
      </w:r>
      <w:r w:rsidRPr="00BD5055">
        <w:rPr>
          <w:rFonts w:asciiTheme="minorHAnsi" w:hAnsiTheme="minorHAnsi" w:cstheme="minorHAnsi"/>
          <w:sz w:val="22"/>
          <w:szCs w:val="22"/>
          <w:lang w:bidi="or-IN"/>
        </w:rPr>
        <w:t>depicted in the below table:</w:t>
      </w:r>
    </w:p>
    <w:p w14:paraId="47971212" w14:textId="77777777" w:rsidR="00F616FB" w:rsidRDefault="00F616FB" w:rsidP="00F616FB">
      <w:pPr>
        <w:ind w:firstLine="567"/>
        <w:jc w:val="center"/>
        <w:rPr>
          <w:rFonts w:asciiTheme="minorHAnsi" w:hAnsiTheme="minorHAnsi" w:cstheme="minorHAnsi"/>
          <w:b/>
          <w:sz w:val="22"/>
          <w:lang w:bidi="or-IN"/>
        </w:rPr>
      </w:pPr>
    </w:p>
    <w:p w14:paraId="099D0B71" w14:textId="689AAE43" w:rsidR="00F616FB" w:rsidRDefault="0025136B" w:rsidP="00F616FB">
      <w:pPr>
        <w:jc w:val="center"/>
        <w:rPr>
          <w:rFonts w:asciiTheme="minorHAnsi" w:hAnsiTheme="minorHAnsi" w:cstheme="minorHAnsi"/>
          <w:b/>
          <w:sz w:val="22"/>
          <w:lang w:bidi="or-IN"/>
        </w:rPr>
      </w:pPr>
      <w:r>
        <w:rPr>
          <w:rFonts w:asciiTheme="minorHAnsi" w:hAnsiTheme="minorHAnsi" w:cstheme="minorHAnsi"/>
          <w:b/>
          <w:sz w:val="22"/>
          <w:lang w:bidi="or-IN"/>
        </w:rPr>
        <w:t xml:space="preserve">                           </w:t>
      </w:r>
      <w:r w:rsidR="00F616FB" w:rsidRPr="003C125A">
        <w:rPr>
          <w:rFonts w:asciiTheme="minorHAnsi" w:hAnsiTheme="minorHAnsi" w:cstheme="minorHAnsi"/>
          <w:b/>
          <w:sz w:val="22"/>
          <w:lang w:bidi="or-IN"/>
        </w:rPr>
        <w:t>Table</w:t>
      </w:r>
      <w:r>
        <w:rPr>
          <w:rFonts w:asciiTheme="minorHAnsi" w:hAnsiTheme="minorHAnsi" w:cstheme="minorHAnsi"/>
          <w:b/>
          <w:sz w:val="22"/>
          <w:lang w:bidi="or-IN"/>
        </w:rPr>
        <w:t xml:space="preserve"> No.</w:t>
      </w:r>
      <w:r w:rsidR="00F616FB" w:rsidRPr="003C125A">
        <w:rPr>
          <w:rFonts w:asciiTheme="minorHAnsi" w:hAnsiTheme="minorHAnsi" w:cstheme="minorHAnsi"/>
          <w:b/>
          <w:sz w:val="22"/>
          <w:lang w:bidi="or-IN"/>
        </w:rPr>
        <w:t>-</w:t>
      </w:r>
      <w:proofErr w:type="gramStart"/>
      <w:r>
        <w:rPr>
          <w:rFonts w:asciiTheme="minorHAnsi" w:hAnsiTheme="minorHAnsi" w:cstheme="minorHAnsi"/>
          <w:b/>
          <w:sz w:val="22"/>
          <w:lang w:bidi="or-IN"/>
        </w:rPr>
        <w:t>6</w:t>
      </w:r>
      <w:r w:rsidR="00894F4D">
        <w:rPr>
          <w:rFonts w:asciiTheme="minorHAnsi" w:hAnsiTheme="minorHAnsi" w:cstheme="minorHAnsi"/>
          <w:b/>
          <w:sz w:val="22"/>
          <w:lang w:bidi="or-IN"/>
        </w:rPr>
        <w:t>0</w:t>
      </w:r>
      <w:r>
        <w:rPr>
          <w:rFonts w:asciiTheme="minorHAnsi" w:hAnsiTheme="minorHAnsi" w:cstheme="minorHAnsi"/>
          <w:b/>
          <w:sz w:val="22"/>
          <w:lang w:bidi="or-IN"/>
        </w:rPr>
        <w:t xml:space="preserve"> </w:t>
      </w:r>
      <w:r w:rsidR="00F616FB" w:rsidRPr="003C125A">
        <w:rPr>
          <w:rFonts w:asciiTheme="minorHAnsi" w:hAnsiTheme="minorHAnsi" w:cstheme="minorHAnsi"/>
          <w:b/>
          <w:sz w:val="22"/>
          <w:lang w:bidi="or-IN"/>
        </w:rPr>
        <w:t>:</w:t>
      </w:r>
      <w:proofErr w:type="gramEnd"/>
      <w:r>
        <w:rPr>
          <w:rFonts w:asciiTheme="minorHAnsi" w:hAnsiTheme="minorHAnsi" w:cstheme="minorHAnsi"/>
          <w:b/>
          <w:sz w:val="22"/>
          <w:lang w:bidi="or-IN"/>
        </w:rPr>
        <w:t>-</w:t>
      </w:r>
      <w:r w:rsidR="00F616FB" w:rsidRPr="003C125A">
        <w:rPr>
          <w:rFonts w:asciiTheme="minorHAnsi" w:hAnsiTheme="minorHAnsi" w:cstheme="minorHAnsi"/>
          <w:b/>
          <w:sz w:val="22"/>
          <w:lang w:bidi="or-IN"/>
        </w:rPr>
        <w:t xml:space="preserve"> Training Conducted up to H1 FY 202</w:t>
      </w:r>
      <w:r w:rsidR="00F616FB">
        <w:rPr>
          <w:rFonts w:asciiTheme="minorHAnsi" w:hAnsiTheme="minorHAnsi" w:cstheme="minorHAnsi"/>
          <w:b/>
          <w:sz w:val="22"/>
          <w:lang w:bidi="or-IN"/>
        </w:rPr>
        <w:t>4</w:t>
      </w:r>
      <w:r w:rsidR="00F616FB" w:rsidRPr="003C125A">
        <w:rPr>
          <w:rFonts w:asciiTheme="minorHAnsi" w:hAnsiTheme="minorHAnsi" w:cstheme="minorHAnsi"/>
          <w:b/>
          <w:sz w:val="22"/>
          <w:lang w:bidi="or-IN"/>
        </w:rPr>
        <w:t>-2</w:t>
      </w:r>
      <w:r w:rsidR="00F616FB">
        <w:rPr>
          <w:rFonts w:asciiTheme="minorHAnsi" w:hAnsiTheme="minorHAnsi" w:cstheme="minorHAnsi"/>
          <w:b/>
          <w:sz w:val="22"/>
          <w:lang w:bidi="or-IN"/>
        </w:rPr>
        <w:t>5</w:t>
      </w:r>
    </w:p>
    <w:p w14:paraId="68CCABCA" w14:textId="77777777" w:rsidR="00F616FB" w:rsidRPr="003C125A" w:rsidRDefault="00F616FB" w:rsidP="00F616FB">
      <w:pPr>
        <w:jc w:val="center"/>
        <w:rPr>
          <w:rFonts w:asciiTheme="minorHAnsi" w:hAnsiTheme="minorHAnsi" w:cstheme="minorHAnsi"/>
          <w:b/>
          <w:sz w:val="22"/>
          <w:lang w:bidi="or-IN"/>
        </w:rPr>
      </w:pPr>
    </w:p>
    <w:tbl>
      <w:tblPr>
        <w:tblpPr w:leftFromText="180" w:rightFromText="180" w:bottomFromText="115" w:vertAnchor="text" w:horzAnchor="page" w:tblpX="2011" w:tblpY="1"/>
        <w:tblW w:w="87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653"/>
        <w:gridCol w:w="2250"/>
        <w:gridCol w:w="1853"/>
      </w:tblGrid>
      <w:tr w:rsidR="00F616FB" w:rsidRPr="00417757" w14:paraId="7A79C703" w14:textId="77777777" w:rsidTr="00F616FB">
        <w:trPr>
          <w:trHeight w:val="232"/>
        </w:trPr>
        <w:tc>
          <w:tcPr>
            <w:tcW w:w="4653" w:type="dxa"/>
            <w:vMerge w:val="restart"/>
            <w:shd w:val="clear" w:color="auto" w:fill="95B3D7" w:themeFill="accent1" w:themeFillTint="99"/>
            <w:tcMar>
              <w:top w:w="0" w:type="dxa"/>
              <w:left w:w="108" w:type="dxa"/>
              <w:bottom w:w="0" w:type="dxa"/>
              <w:right w:w="108" w:type="dxa"/>
            </w:tcMar>
            <w:vAlign w:val="center"/>
            <w:hideMark/>
          </w:tcPr>
          <w:p w14:paraId="0EE75800" w14:textId="77777777" w:rsidR="00F616FB" w:rsidRPr="00417757" w:rsidRDefault="00F616FB" w:rsidP="00F616FB">
            <w:pPr>
              <w:spacing w:line="360" w:lineRule="auto"/>
              <w:jc w:val="center"/>
              <w:rPr>
                <w:rFonts w:asciiTheme="minorHAnsi" w:hAnsiTheme="minorHAnsi" w:cstheme="minorHAnsi"/>
                <w:b/>
                <w:bCs/>
                <w:color w:val="000000"/>
                <w:sz w:val="22"/>
                <w:szCs w:val="22"/>
                <w:lang w:eastAsia="en-IN"/>
              </w:rPr>
            </w:pPr>
            <w:r w:rsidRPr="00417757">
              <w:rPr>
                <w:rFonts w:asciiTheme="minorHAnsi" w:hAnsiTheme="minorHAnsi" w:cstheme="minorHAnsi"/>
                <w:b/>
                <w:bCs/>
                <w:color w:val="000000"/>
                <w:sz w:val="22"/>
                <w:szCs w:val="22"/>
                <w:lang w:eastAsia="en-IN"/>
              </w:rPr>
              <w:t>Types of Training</w:t>
            </w:r>
          </w:p>
        </w:tc>
        <w:tc>
          <w:tcPr>
            <w:tcW w:w="4103" w:type="dxa"/>
            <w:gridSpan w:val="2"/>
            <w:shd w:val="clear" w:color="auto" w:fill="95B3D7" w:themeFill="accent1" w:themeFillTint="99"/>
            <w:tcMar>
              <w:top w:w="0" w:type="dxa"/>
              <w:left w:w="108" w:type="dxa"/>
              <w:bottom w:w="0" w:type="dxa"/>
              <w:right w:w="108" w:type="dxa"/>
            </w:tcMar>
            <w:vAlign w:val="center"/>
            <w:hideMark/>
          </w:tcPr>
          <w:p w14:paraId="5C27B5E4" w14:textId="77777777" w:rsidR="00F616FB" w:rsidRPr="00417757" w:rsidRDefault="00F616FB" w:rsidP="00F616FB">
            <w:pPr>
              <w:spacing w:line="360" w:lineRule="auto"/>
              <w:jc w:val="center"/>
              <w:rPr>
                <w:rFonts w:asciiTheme="minorHAnsi" w:hAnsiTheme="minorHAnsi" w:cstheme="minorHAnsi"/>
                <w:b/>
                <w:bCs/>
                <w:color w:val="000000"/>
                <w:sz w:val="22"/>
                <w:szCs w:val="22"/>
                <w:lang w:eastAsia="en-IN"/>
              </w:rPr>
            </w:pPr>
            <w:r w:rsidRPr="00417757">
              <w:rPr>
                <w:rFonts w:asciiTheme="minorHAnsi" w:hAnsiTheme="minorHAnsi" w:cstheme="minorHAnsi"/>
                <w:b/>
                <w:bCs/>
                <w:color w:val="000000"/>
                <w:sz w:val="22"/>
                <w:szCs w:val="22"/>
                <w:lang w:eastAsia="en-IN"/>
              </w:rPr>
              <w:t>FY 2024-25 H1</w:t>
            </w:r>
          </w:p>
        </w:tc>
      </w:tr>
      <w:tr w:rsidR="00F616FB" w:rsidRPr="00417757" w14:paraId="2675A119" w14:textId="77777777" w:rsidTr="00F616FB">
        <w:trPr>
          <w:trHeight w:val="232"/>
        </w:trPr>
        <w:tc>
          <w:tcPr>
            <w:tcW w:w="4653" w:type="dxa"/>
            <w:vMerge/>
            <w:shd w:val="clear" w:color="auto" w:fill="95B3D7" w:themeFill="accent1" w:themeFillTint="99"/>
            <w:vAlign w:val="center"/>
            <w:hideMark/>
          </w:tcPr>
          <w:p w14:paraId="2CD4C077" w14:textId="77777777" w:rsidR="00F616FB" w:rsidRPr="00417757" w:rsidRDefault="00F616FB" w:rsidP="00F616FB">
            <w:pPr>
              <w:jc w:val="center"/>
              <w:rPr>
                <w:rFonts w:asciiTheme="minorHAnsi" w:hAnsiTheme="minorHAnsi" w:cstheme="minorHAnsi"/>
                <w:b/>
                <w:bCs/>
                <w:color w:val="000000"/>
                <w:sz w:val="22"/>
                <w:szCs w:val="22"/>
                <w:lang w:eastAsia="en-IN"/>
              </w:rPr>
            </w:pPr>
          </w:p>
        </w:tc>
        <w:tc>
          <w:tcPr>
            <w:tcW w:w="2250" w:type="dxa"/>
            <w:shd w:val="clear" w:color="auto" w:fill="95B3D7" w:themeFill="accent1" w:themeFillTint="99"/>
            <w:tcMar>
              <w:top w:w="0" w:type="dxa"/>
              <w:left w:w="108" w:type="dxa"/>
              <w:bottom w:w="0" w:type="dxa"/>
              <w:right w:w="108" w:type="dxa"/>
            </w:tcMar>
            <w:vAlign w:val="center"/>
            <w:hideMark/>
          </w:tcPr>
          <w:p w14:paraId="78E8712A" w14:textId="77777777" w:rsidR="00F616FB" w:rsidRPr="00417757" w:rsidRDefault="00F616FB" w:rsidP="00F616FB">
            <w:pPr>
              <w:spacing w:line="360" w:lineRule="auto"/>
              <w:jc w:val="center"/>
              <w:rPr>
                <w:rFonts w:asciiTheme="minorHAnsi" w:hAnsiTheme="minorHAnsi" w:cstheme="minorHAnsi"/>
                <w:b/>
                <w:bCs/>
                <w:color w:val="000000"/>
                <w:sz w:val="22"/>
                <w:szCs w:val="22"/>
                <w:lang w:eastAsia="en-IN"/>
              </w:rPr>
            </w:pPr>
            <w:r w:rsidRPr="00417757">
              <w:rPr>
                <w:rFonts w:asciiTheme="minorHAnsi" w:hAnsiTheme="minorHAnsi" w:cstheme="minorHAnsi"/>
                <w:b/>
                <w:bCs/>
                <w:color w:val="000000"/>
                <w:sz w:val="22"/>
                <w:szCs w:val="22"/>
                <w:lang w:eastAsia="en-IN"/>
              </w:rPr>
              <w:t>Batches</w:t>
            </w:r>
          </w:p>
        </w:tc>
        <w:tc>
          <w:tcPr>
            <w:tcW w:w="1853" w:type="dxa"/>
            <w:shd w:val="clear" w:color="auto" w:fill="95B3D7" w:themeFill="accent1" w:themeFillTint="99"/>
            <w:tcMar>
              <w:top w:w="0" w:type="dxa"/>
              <w:left w:w="108" w:type="dxa"/>
              <w:bottom w:w="0" w:type="dxa"/>
              <w:right w:w="108" w:type="dxa"/>
            </w:tcMar>
            <w:vAlign w:val="center"/>
            <w:hideMark/>
          </w:tcPr>
          <w:p w14:paraId="084A5398" w14:textId="77777777" w:rsidR="00F616FB" w:rsidRPr="00417757" w:rsidRDefault="00F616FB" w:rsidP="00F616FB">
            <w:pPr>
              <w:spacing w:line="360" w:lineRule="auto"/>
              <w:jc w:val="center"/>
              <w:rPr>
                <w:rFonts w:asciiTheme="minorHAnsi" w:hAnsiTheme="minorHAnsi" w:cstheme="minorHAnsi"/>
                <w:b/>
                <w:bCs/>
                <w:color w:val="000000"/>
                <w:sz w:val="22"/>
                <w:szCs w:val="22"/>
                <w:lang w:eastAsia="en-IN"/>
              </w:rPr>
            </w:pPr>
            <w:r w:rsidRPr="00417757">
              <w:rPr>
                <w:rFonts w:asciiTheme="minorHAnsi" w:hAnsiTheme="minorHAnsi" w:cstheme="minorHAnsi"/>
                <w:b/>
                <w:bCs/>
                <w:color w:val="000000"/>
                <w:sz w:val="22"/>
                <w:szCs w:val="22"/>
                <w:lang w:eastAsia="en-IN"/>
              </w:rPr>
              <w:t>% Coverage</w:t>
            </w:r>
          </w:p>
        </w:tc>
      </w:tr>
      <w:tr w:rsidR="00F616FB" w:rsidRPr="00417757" w14:paraId="64A53410" w14:textId="77777777" w:rsidTr="00F616FB">
        <w:trPr>
          <w:trHeight w:val="232"/>
        </w:trPr>
        <w:tc>
          <w:tcPr>
            <w:tcW w:w="4653" w:type="dxa"/>
            <w:tcMar>
              <w:top w:w="0" w:type="dxa"/>
              <w:left w:w="108" w:type="dxa"/>
              <w:bottom w:w="0" w:type="dxa"/>
              <w:right w:w="108" w:type="dxa"/>
            </w:tcMar>
            <w:vAlign w:val="center"/>
            <w:hideMark/>
          </w:tcPr>
          <w:p w14:paraId="09B1FC60" w14:textId="77777777" w:rsidR="00F616FB" w:rsidRPr="00417757" w:rsidRDefault="00F616FB" w:rsidP="00F616FB">
            <w:pPr>
              <w:spacing w:line="360" w:lineRule="auto"/>
              <w:rPr>
                <w:rFonts w:asciiTheme="minorHAnsi" w:hAnsiTheme="minorHAnsi" w:cstheme="minorHAnsi"/>
                <w:color w:val="000000"/>
                <w:sz w:val="22"/>
                <w:szCs w:val="22"/>
                <w:lang w:eastAsia="en-IN"/>
              </w:rPr>
            </w:pPr>
            <w:proofErr w:type="spellStart"/>
            <w:r w:rsidRPr="00417757">
              <w:rPr>
                <w:rFonts w:asciiTheme="minorHAnsi" w:hAnsiTheme="minorHAnsi" w:cstheme="minorHAnsi"/>
                <w:color w:val="000000"/>
                <w:sz w:val="22"/>
                <w:szCs w:val="22"/>
                <w:lang w:eastAsia="en-IN"/>
              </w:rPr>
              <w:t>Pehchaan</w:t>
            </w:r>
            <w:proofErr w:type="spellEnd"/>
            <w:r w:rsidRPr="00417757">
              <w:rPr>
                <w:rFonts w:asciiTheme="minorHAnsi" w:hAnsiTheme="minorHAnsi" w:cstheme="minorHAnsi"/>
                <w:color w:val="000000"/>
                <w:sz w:val="22"/>
                <w:szCs w:val="22"/>
                <w:lang w:eastAsia="en-IN"/>
              </w:rPr>
              <w:t xml:space="preserve"> (Induction)</w:t>
            </w:r>
          </w:p>
        </w:tc>
        <w:tc>
          <w:tcPr>
            <w:tcW w:w="2250" w:type="dxa"/>
            <w:tcMar>
              <w:top w:w="0" w:type="dxa"/>
              <w:left w:w="108" w:type="dxa"/>
              <w:bottom w:w="0" w:type="dxa"/>
              <w:right w:w="108" w:type="dxa"/>
            </w:tcMar>
            <w:vAlign w:val="center"/>
            <w:hideMark/>
          </w:tcPr>
          <w:p w14:paraId="0C2B9C83" w14:textId="77777777" w:rsidR="00F616FB" w:rsidRPr="00417757" w:rsidRDefault="00F616FB" w:rsidP="00F616FB">
            <w:pPr>
              <w:spacing w:line="360" w:lineRule="auto"/>
              <w:jc w:val="center"/>
              <w:rPr>
                <w:rFonts w:asciiTheme="minorHAnsi" w:hAnsiTheme="minorHAnsi" w:cstheme="minorHAnsi"/>
                <w:color w:val="000000"/>
                <w:sz w:val="22"/>
                <w:szCs w:val="22"/>
                <w:lang w:eastAsia="en-IN"/>
              </w:rPr>
            </w:pPr>
            <w:r w:rsidRPr="00417757">
              <w:rPr>
                <w:rFonts w:asciiTheme="minorHAnsi" w:hAnsiTheme="minorHAnsi" w:cstheme="minorHAnsi"/>
                <w:color w:val="000000"/>
                <w:sz w:val="22"/>
                <w:szCs w:val="22"/>
                <w:lang w:eastAsia="en-IN"/>
              </w:rPr>
              <w:t>8 Batches</w:t>
            </w:r>
          </w:p>
        </w:tc>
        <w:tc>
          <w:tcPr>
            <w:tcW w:w="1853" w:type="dxa"/>
            <w:tcMar>
              <w:top w:w="0" w:type="dxa"/>
              <w:left w:w="108" w:type="dxa"/>
              <w:bottom w:w="0" w:type="dxa"/>
              <w:right w:w="108" w:type="dxa"/>
            </w:tcMar>
            <w:vAlign w:val="center"/>
            <w:hideMark/>
          </w:tcPr>
          <w:p w14:paraId="001FF275" w14:textId="77777777" w:rsidR="00F616FB" w:rsidRPr="00417757" w:rsidRDefault="00F616FB" w:rsidP="00F616FB">
            <w:pPr>
              <w:spacing w:line="360" w:lineRule="auto"/>
              <w:jc w:val="center"/>
              <w:rPr>
                <w:rFonts w:asciiTheme="minorHAnsi" w:hAnsiTheme="minorHAnsi" w:cstheme="minorHAnsi"/>
                <w:color w:val="000000"/>
                <w:sz w:val="22"/>
                <w:szCs w:val="22"/>
                <w:lang w:eastAsia="en-IN"/>
              </w:rPr>
            </w:pPr>
            <w:r w:rsidRPr="00417757">
              <w:rPr>
                <w:rFonts w:asciiTheme="minorHAnsi" w:hAnsiTheme="minorHAnsi" w:cstheme="minorHAnsi"/>
                <w:color w:val="000000"/>
                <w:sz w:val="22"/>
                <w:szCs w:val="22"/>
                <w:lang w:eastAsia="en-IN"/>
              </w:rPr>
              <w:t>100%</w:t>
            </w:r>
          </w:p>
        </w:tc>
      </w:tr>
      <w:tr w:rsidR="00F616FB" w:rsidRPr="00417757" w14:paraId="153DE200" w14:textId="77777777" w:rsidTr="00F616FB">
        <w:trPr>
          <w:trHeight w:val="232"/>
        </w:trPr>
        <w:tc>
          <w:tcPr>
            <w:tcW w:w="4653" w:type="dxa"/>
            <w:tcMar>
              <w:top w:w="0" w:type="dxa"/>
              <w:left w:w="108" w:type="dxa"/>
              <w:bottom w:w="0" w:type="dxa"/>
              <w:right w:w="108" w:type="dxa"/>
            </w:tcMar>
            <w:vAlign w:val="center"/>
            <w:hideMark/>
          </w:tcPr>
          <w:p w14:paraId="30CB478B" w14:textId="77777777" w:rsidR="00F616FB" w:rsidRPr="00417757" w:rsidRDefault="00F616FB" w:rsidP="00F616FB">
            <w:pPr>
              <w:spacing w:line="360" w:lineRule="auto"/>
              <w:rPr>
                <w:rFonts w:asciiTheme="minorHAnsi" w:hAnsiTheme="minorHAnsi" w:cstheme="minorHAnsi"/>
                <w:color w:val="000000"/>
                <w:sz w:val="22"/>
                <w:szCs w:val="22"/>
                <w:lang w:eastAsia="en-IN"/>
              </w:rPr>
            </w:pPr>
            <w:proofErr w:type="spellStart"/>
            <w:r w:rsidRPr="00417757">
              <w:rPr>
                <w:rFonts w:asciiTheme="minorHAnsi" w:hAnsiTheme="minorHAnsi" w:cstheme="minorHAnsi"/>
                <w:color w:val="000000"/>
                <w:sz w:val="22"/>
                <w:szCs w:val="22"/>
                <w:lang w:eastAsia="en-IN"/>
              </w:rPr>
              <w:t>Pratigya</w:t>
            </w:r>
            <w:proofErr w:type="spellEnd"/>
            <w:r w:rsidRPr="00417757">
              <w:rPr>
                <w:rFonts w:asciiTheme="minorHAnsi" w:hAnsiTheme="minorHAnsi" w:cstheme="minorHAnsi"/>
                <w:color w:val="000000"/>
                <w:sz w:val="22"/>
                <w:szCs w:val="22"/>
                <w:lang w:eastAsia="en-IN"/>
              </w:rPr>
              <w:t xml:space="preserve"> (Positivity &amp; Motivation Program)</w:t>
            </w:r>
          </w:p>
        </w:tc>
        <w:tc>
          <w:tcPr>
            <w:tcW w:w="2250" w:type="dxa"/>
            <w:tcMar>
              <w:top w:w="0" w:type="dxa"/>
              <w:left w:w="108" w:type="dxa"/>
              <w:bottom w:w="0" w:type="dxa"/>
              <w:right w:w="108" w:type="dxa"/>
            </w:tcMar>
            <w:vAlign w:val="center"/>
            <w:hideMark/>
          </w:tcPr>
          <w:p w14:paraId="01847FC8" w14:textId="77777777" w:rsidR="00F616FB" w:rsidRPr="00417757" w:rsidRDefault="00F616FB" w:rsidP="00F616FB">
            <w:pPr>
              <w:spacing w:line="360" w:lineRule="auto"/>
              <w:jc w:val="center"/>
              <w:rPr>
                <w:rFonts w:asciiTheme="minorHAnsi" w:hAnsiTheme="minorHAnsi" w:cstheme="minorHAnsi"/>
                <w:color w:val="000000"/>
                <w:sz w:val="22"/>
                <w:szCs w:val="22"/>
                <w:lang w:eastAsia="en-IN"/>
              </w:rPr>
            </w:pPr>
            <w:r w:rsidRPr="00417757">
              <w:rPr>
                <w:rFonts w:asciiTheme="minorHAnsi" w:hAnsiTheme="minorHAnsi" w:cstheme="minorHAnsi"/>
                <w:color w:val="000000"/>
                <w:sz w:val="22"/>
                <w:szCs w:val="22"/>
                <w:lang w:eastAsia="en-IN"/>
              </w:rPr>
              <w:t>12 Batches</w:t>
            </w:r>
          </w:p>
        </w:tc>
        <w:tc>
          <w:tcPr>
            <w:tcW w:w="1853" w:type="dxa"/>
            <w:tcMar>
              <w:top w:w="0" w:type="dxa"/>
              <w:left w:w="108" w:type="dxa"/>
              <w:bottom w:w="0" w:type="dxa"/>
              <w:right w:w="108" w:type="dxa"/>
            </w:tcMar>
            <w:vAlign w:val="center"/>
            <w:hideMark/>
          </w:tcPr>
          <w:p w14:paraId="5326DECB" w14:textId="77777777" w:rsidR="00F616FB" w:rsidRPr="00417757" w:rsidRDefault="00F616FB" w:rsidP="00F616FB">
            <w:pPr>
              <w:spacing w:line="360" w:lineRule="auto"/>
              <w:jc w:val="center"/>
              <w:rPr>
                <w:rFonts w:asciiTheme="minorHAnsi" w:hAnsiTheme="minorHAnsi" w:cstheme="minorHAnsi"/>
                <w:color w:val="000000"/>
                <w:sz w:val="22"/>
                <w:szCs w:val="22"/>
                <w:lang w:eastAsia="en-IN"/>
              </w:rPr>
            </w:pPr>
            <w:r w:rsidRPr="00417757">
              <w:rPr>
                <w:rFonts w:asciiTheme="minorHAnsi" w:hAnsiTheme="minorHAnsi" w:cstheme="minorHAnsi"/>
                <w:color w:val="000000"/>
                <w:sz w:val="22"/>
                <w:szCs w:val="22"/>
                <w:lang w:eastAsia="en-IN"/>
              </w:rPr>
              <w:t>85%</w:t>
            </w:r>
          </w:p>
        </w:tc>
      </w:tr>
      <w:tr w:rsidR="00F616FB" w:rsidRPr="00417757" w14:paraId="579B54F4" w14:textId="77777777" w:rsidTr="00F616FB">
        <w:trPr>
          <w:trHeight w:val="343"/>
        </w:trPr>
        <w:tc>
          <w:tcPr>
            <w:tcW w:w="4653" w:type="dxa"/>
            <w:tcMar>
              <w:top w:w="0" w:type="dxa"/>
              <w:left w:w="108" w:type="dxa"/>
              <w:bottom w:w="0" w:type="dxa"/>
              <w:right w:w="108" w:type="dxa"/>
            </w:tcMar>
            <w:vAlign w:val="center"/>
            <w:hideMark/>
          </w:tcPr>
          <w:p w14:paraId="0213C730" w14:textId="77777777" w:rsidR="00F616FB" w:rsidRPr="00417757" w:rsidRDefault="00F616FB" w:rsidP="00F616FB">
            <w:pPr>
              <w:spacing w:line="360" w:lineRule="auto"/>
              <w:rPr>
                <w:rFonts w:asciiTheme="minorHAnsi" w:hAnsiTheme="minorHAnsi" w:cstheme="minorHAnsi"/>
                <w:color w:val="000000"/>
                <w:sz w:val="22"/>
                <w:szCs w:val="22"/>
                <w:lang w:eastAsia="en-IN"/>
              </w:rPr>
            </w:pPr>
            <w:proofErr w:type="spellStart"/>
            <w:r w:rsidRPr="00417757">
              <w:rPr>
                <w:rFonts w:asciiTheme="minorHAnsi" w:hAnsiTheme="minorHAnsi" w:cstheme="minorHAnsi"/>
                <w:color w:val="000000"/>
                <w:sz w:val="22"/>
                <w:szCs w:val="22"/>
                <w:lang w:eastAsia="en-IN"/>
              </w:rPr>
              <w:t>Prarambh</w:t>
            </w:r>
            <w:proofErr w:type="spellEnd"/>
            <w:r w:rsidRPr="00417757">
              <w:rPr>
                <w:rFonts w:asciiTheme="minorHAnsi" w:hAnsiTheme="minorHAnsi" w:cstheme="minorHAnsi"/>
                <w:color w:val="000000"/>
                <w:sz w:val="22"/>
                <w:szCs w:val="22"/>
                <w:lang w:eastAsia="en-IN"/>
              </w:rPr>
              <w:t xml:space="preserve"> (Senior Leadership Development Program)</w:t>
            </w:r>
          </w:p>
        </w:tc>
        <w:tc>
          <w:tcPr>
            <w:tcW w:w="2250" w:type="dxa"/>
            <w:tcMar>
              <w:top w:w="0" w:type="dxa"/>
              <w:left w:w="108" w:type="dxa"/>
              <w:bottom w:w="0" w:type="dxa"/>
              <w:right w:w="108" w:type="dxa"/>
            </w:tcMar>
            <w:vAlign w:val="center"/>
            <w:hideMark/>
          </w:tcPr>
          <w:p w14:paraId="4BCD1DDB" w14:textId="77777777" w:rsidR="00F616FB" w:rsidRPr="00417757" w:rsidRDefault="00F616FB" w:rsidP="00F616FB">
            <w:pPr>
              <w:spacing w:line="360" w:lineRule="auto"/>
              <w:jc w:val="center"/>
              <w:rPr>
                <w:rFonts w:asciiTheme="minorHAnsi" w:hAnsiTheme="minorHAnsi" w:cstheme="minorHAnsi"/>
                <w:color w:val="000000"/>
                <w:sz w:val="22"/>
                <w:szCs w:val="22"/>
                <w:lang w:eastAsia="en-IN"/>
              </w:rPr>
            </w:pPr>
            <w:r w:rsidRPr="00417757">
              <w:rPr>
                <w:rFonts w:asciiTheme="minorHAnsi" w:hAnsiTheme="minorHAnsi" w:cstheme="minorHAnsi"/>
                <w:color w:val="000000"/>
                <w:sz w:val="22"/>
                <w:szCs w:val="22"/>
                <w:lang w:eastAsia="en-IN"/>
              </w:rPr>
              <w:t>1 Batch</w:t>
            </w:r>
          </w:p>
        </w:tc>
        <w:tc>
          <w:tcPr>
            <w:tcW w:w="1853" w:type="dxa"/>
            <w:tcMar>
              <w:top w:w="0" w:type="dxa"/>
              <w:left w:w="108" w:type="dxa"/>
              <w:bottom w:w="0" w:type="dxa"/>
              <w:right w:w="108" w:type="dxa"/>
            </w:tcMar>
            <w:vAlign w:val="center"/>
            <w:hideMark/>
          </w:tcPr>
          <w:p w14:paraId="16FF34DA" w14:textId="77777777" w:rsidR="00F616FB" w:rsidRPr="00417757" w:rsidRDefault="00F616FB" w:rsidP="00F616FB">
            <w:pPr>
              <w:spacing w:line="360" w:lineRule="auto"/>
              <w:jc w:val="center"/>
              <w:rPr>
                <w:rFonts w:asciiTheme="minorHAnsi" w:hAnsiTheme="minorHAnsi" w:cstheme="minorHAnsi"/>
                <w:color w:val="000000"/>
                <w:sz w:val="22"/>
                <w:szCs w:val="22"/>
                <w:lang w:eastAsia="en-IN"/>
              </w:rPr>
            </w:pPr>
            <w:r w:rsidRPr="00417757">
              <w:rPr>
                <w:rFonts w:asciiTheme="minorHAnsi" w:hAnsiTheme="minorHAnsi" w:cstheme="minorHAnsi"/>
                <w:color w:val="000000"/>
                <w:sz w:val="22"/>
                <w:szCs w:val="22"/>
                <w:lang w:eastAsia="en-IN"/>
              </w:rPr>
              <w:t>50%</w:t>
            </w:r>
          </w:p>
        </w:tc>
      </w:tr>
      <w:tr w:rsidR="00F616FB" w:rsidRPr="00417757" w14:paraId="3AB9171A" w14:textId="77777777" w:rsidTr="00F616FB">
        <w:trPr>
          <w:trHeight w:val="343"/>
        </w:trPr>
        <w:tc>
          <w:tcPr>
            <w:tcW w:w="4653" w:type="dxa"/>
            <w:tcMar>
              <w:top w:w="0" w:type="dxa"/>
              <w:left w:w="108" w:type="dxa"/>
              <w:bottom w:w="0" w:type="dxa"/>
              <w:right w:w="108" w:type="dxa"/>
            </w:tcMar>
            <w:vAlign w:val="center"/>
            <w:hideMark/>
          </w:tcPr>
          <w:p w14:paraId="7D16F299" w14:textId="77777777" w:rsidR="00F616FB" w:rsidRPr="00417757" w:rsidRDefault="00F616FB" w:rsidP="00F616FB">
            <w:pPr>
              <w:spacing w:line="360" w:lineRule="auto"/>
              <w:rPr>
                <w:rFonts w:asciiTheme="minorHAnsi" w:hAnsiTheme="minorHAnsi" w:cstheme="minorHAnsi"/>
                <w:color w:val="000000"/>
                <w:sz w:val="22"/>
                <w:szCs w:val="22"/>
                <w:lang w:eastAsia="en-IN"/>
              </w:rPr>
            </w:pPr>
            <w:proofErr w:type="spellStart"/>
            <w:r w:rsidRPr="00417757">
              <w:rPr>
                <w:rFonts w:asciiTheme="minorHAnsi" w:hAnsiTheme="minorHAnsi" w:cstheme="minorHAnsi"/>
                <w:color w:val="000000"/>
                <w:sz w:val="22"/>
                <w:szCs w:val="22"/>
                <w:lang w:eastAsia="en-IN"/>
              </w:rPr>
              <w:t>Prarambh</w:t>
            </w:r>
            <w:proofErr w:type="spellEnd"/>
            <w:r w:rsidRPr="00417757">
              <w:rPr>
                <w:rFonts w:asciiTheme="minorHAnsi" w:hAnsiTheme="minorHAnsi" w:cstheme="minorHAnsi"/>
                <w:color w:val="000000"/>
                <w:sz w:val="22"/>
                <w:szCs w:val="22"/>
                <w:lang w:eastAsia="en-IN"/>
              </w:rPr>
              <w:t xml:space="preserve"> (Middle Level Leadership Development Program)</w:t>
            </w:r>
          </w:p>
        </w:tc>
        <w:tc>
          <w:tcPr>
            <w:tcW w:w="2250" w:type="dxa"/>
            <w:tcMar>
              <w:top w:w="0" w:type="dxa"/>
              <w:left w:w="108" w:type="dxa"/>
              <w:bottom w:w="0" w:type="dxa"/>
              <w:right w:w="108" w:type="dxa"/>
            </w:tcMar>
            <w:vAlign w:val="center"/>
            <w:hideMark/>
          </w:tcPr>
          <w:p w14:paraId="7465CF3D" w14:textId="77777777" w:rsidR="00F616FB" w:rsidRPr="00417757" w:rsidRDefault="00F616FB" w:rsidP="00F616FB">
            <w:pPr>
              <w:spacing w:line="360" w:lineRule="auto"/>
              <w:jc w:val="center"/>
              <w:rPr>
                <w:rFonts w:asciiTheme="minorHAnsi" w:hAnsiTheme="minorHAnsi" w:cstheme="minorHAnsi"/>
                <w:color w:val="000000"/>
                <w:sz w:val="22"/>
                <w:szCs w:val="22"/>
                <w:lang w:eastAsia="en-IN"/>
              </w:rPr>
            </w:pPr>
            <w:r w:rsidRPr="00417757">
              <w:rPr>
                <w:rFonts w:asciiTheme="minorHAnsi" w:hAnsiTheme="minorHAnsi" w:cstheme="minorHAnsi"/>
                <w:color w:val="000000"/>
                <w:sz w:val="22"/>
                <w:szCs w:val="22"/>
                <w:lang w:eastAsia="en-IN"/>
              </w:rPr>
              <w:t>10 Batches</w:t>
            </w:r>
          </w:p>
        </w:tc>
        <w:tc>
          <w:tcPr>
            <w:tcW w:w="1853" w:type="dxa"/>
            <w:tcMar>
              <w:top w:w="0" w:type="dxa"/>
              <w:left w:w="108" w:type="dxa"/>
              <w:bottom w:w="0" w:type="dxa"/>
              <w:right w:w="108" w:type="dxa"/>
            </w:tcMar>
            <w:vAlign w:val="center"/>
            <w:hideMark/>
          </w:tcPr>
          <w:p w14:paraId="00CC5A83" w14:textId="77777777" w:rsidR="00F616FB" w:rsidRPr="00417757" w:rsidRDefault="00F616FB" w:rsidP="00F616FB">
            <w:pPr>
              <w:spacing w:line="360" w:lineRule="auto"/>
              <w:jc w:val="center"/>
              <w:rPr>
                <w:rFonts w:asciiTheme="minorHAnsi" w:hAnsiTheme="minorHAnsi" w:cstheme="minorHAnsi"/>
                <w:color w:val="000000"/>
                <w:sz w:val="22"/>
                <w:szCs w:val="22"/>
                <w:lang w:eastAsia="en-IN"/>
              </w:rPr>
            </w:pPr>
            <w:r w:rsidRPr="00417757">
              <w:rPr>
                <w:rFonts w:asciiTheme="minorHAnsi" w:hAnsiTheme="minorHAnsi" w:cstheme="minorHAnsi"/>
                <w:color w:val="000000"/>
                <w:sz w:val="22"/>
                <w:szCs w:val="22"/>
                <w:lang w:eastAsia="en-IN"/>
              </w:rPr>
              <w:t>100%</w:t>
            </w:r>
          </w:p>
        </w:tc>
      </w:tr>
      <w:tr w:rsidR="00F616FB" w:rsidRPr="00417757" w14:paraId="78643CCF" w14:textId="77777777" w:rsidTr="00F616FB">
        <w:trPr>
          <w:trHeight w:val="343"/>
        </w:trPr>
        <w:tc>
          <w:tcPr>
            <w:tcW w:w="4653" w:type="dxa"/>
            <w:tcMar>
              <w:top w:w="0" w:type="dxa"/>
              <w:left w:w="108" w:type="dxa"/>
              <w:bottom w:w="0" w:type="dxa"/>
              <w:right w:w="108" w:type="dxa"/>
            </w:tcMar>
            <w:vAlign w:val="center"/>
            <w:hideMark/>
          </w:tcPr>
          <w:p w14:paraId="69B80D2C" w14:textId="77777777" w:rsidR="00F616FB" w:rsidRPr="00417757" w:rsidRDefault="00F616FB" w:rsidP="00F616FB">
            <w:pPr>
              <w:spacing w:line="360" w:lineRule="auto"/>
              <w:rPr>
                <w:rFonts w:asciiTheme="minorHAnsi" w:hAnsiTheme="minorHAnsi" w:cstheme="minorHAnsi"/>
                <w:color w:val="000000"/>
                <w:sz w:val="22"/>
                <w:szCs w:val="22"/>
                <w:lang w:eastAsia="en-IN"/>
              </w:rPr>
            </w:pPr>
            <w:proofErr w:type="spellStart"/>
            <w:r w:rsidRPr="00417757">
              <w:rPr>
                <w:rFonts w:asciiTheme="minorHAnsi" w:hAnsiTheme="minorHAnsi" w:cstheme="minorHAnsi"/>
                <w:color w:val="000000"/>
                <w:sz w:val="22"/>
                <w:szCs w:val="22"/>
                <w:lang w:eastAsia="en-IN"/>
              </w:rPr>
              <w:t>Prarambh</w:t>
            </w:r>
            <w:proofErr w:type="spellEnd"/>
            <w:r w:rsidRPr="00417757">
              <w:rPr>
                <w:rFonts w:asciiTheme="minorHAnsi" w:hAnsiTheme="minorHAnsi" w:cstheme="minorHAnsi"/>
                <w:color w:val="000000"/>
                <w:sz w:val="22"/>
                <w:szCs w:val="22"/>
                <w:lang w:eastAsia="en-IN"/>
              </w:rPr>
              <w:t xml:space="preserve"> (Executive Level Leadership Development Program)</w:t>
            </w:r>
          </w:p>
        </w:tc>
        <w:tc>
          <w:tcPr>
            <w:tcW w:w="2250" w:type="dxa"/>
            <w:tcMar>
              <w:top w:w="0" w:type="dxa"/>
              <w:left w:w="108" w:type="dxa"/>
              <w:bottom w:w="0" w:type="dxa"/>
              <w:right w:w="108" w:type="dxa"/>
            </w:tcMar>
            <w:vAlign w:val="center"/>
            <w:hideMark/>
          </w:tcPr>
          <w:p w14:paraId="54DE3649" w14:textId="77777777" w:rsidR="00F616FB" w:rsidRPr="00417757" w:rsidRDefault="00F616FB" w:rsidP="00F616FB">
            <w:pPr>
              <w:spacing w:line="360" w:lineRule="auto"/>
              <w:jc w:val="center"/>
              <w:rPr>
                <w:rFonts w:asciiTheme="minorHAnsi" w:hAnsiTheme="minorHAnsi" w:cstheme="minorHAnsi"/>
                <w:color w:val="000000"/>
                <w:sz w:val="22"/>
                <w:szCs w:val="22"/>
                <w:lang w:eastAsia="en-IN"/>
              </w:rPr>
            </w:pPr>
            <w:r w:rsidRPr="00417757">
              <w:rPr>
                <w:rFonts w:asciiTheme="minorHAnsi" w:hAnsiTheme="minorHAnsi" w:cstheme="minorHAnsi"/>
                <w:color w:val="000000"/>
                <w:sz w:val="22"/>
                <w:szCs w:val="22"/>
                <w:lang w:eastAsia="en-IN"/>
              </w:rPr>
              <w:t>20 Batches</w:t>
            </w:r>
          </w:p>
        </w:tc>
        <w:tc>
          <w:tcPr>
            <w:tcW w:w="1853" w:type="dxa"/>
            <w:tcMar>
              <w:top w:w="0" w:type="dxa"/>
              <w:left w:w="108" w:type="dxa"/>
              <w:bottom w:w="0" w:type="dxa"/>
              <w:right w:w="108" w:type="dxa"/>
            </w:tcMar>
            <w:vAlign w:val="center"/>
            <w:hideMark/>
          </w:tcPr>
          <w:p w14:paraId="6BD57E89" w14:textId="77777777" w:rsidR="00F616FB" w:rsidRPr="00417757" w:rsidRDefault="00F616FB" w:rsidP="00F616FB">
            <w:pPr>
              <w:spacing w:line="360" w:lineRule="auto"/>
              <w:jc w:val="center"/>
              <w:rPr>
                <w:rFonts w:asciiTheme="minorHAnsi" w:hAnsiTheme="minorHAnsi" w:cstheme="minorHAnsi"/>
                <w:color w:val="000000"/>
                <w:sz w:val="22"/>
                <w:szCs w:val="22"/>
                <w:lang w:eastAsia="en-IN"/>
              </w:rPr>
            </w:pPr>
            <w:r w:rsidRPr="00417757">
              <w:rPr>
                <w:rFonts w:asciiTheme="minorHAnsi" w:hAnsiTheme="minorHAnsi" w:cstheme="minorHAnsi"/>
                <w:color w:val="000000"/>
                <w:sz w:val="22"/>
                <w:szCs w:val="22"/>
                <w:lang w:eastAsia="en-IN"/>
              </w:rPr>
              <w:t>100%</w:t>
            </w:r>
          </w:p>
        </w:tc>
      </w:tr>
      <w:tr w:rsidR="00F616FB" w:rsidRPr="00417757" w14:paraId="603588C7" w14:textId="77777777" w:rsidTr="00F616FB">
        <w:trPr>
          <w:trHeight w:val="232"/>
        </w:trPr>
        <w:tc>
          <w:tcPr>
            <w:tcW w:w="4653" w:type="dxa"/>
            <w:tcMar>
              <w:top w:w="0" w:type="dxa"/>
              <w:left w:w="108" w:type="dxa"/>
              <w:bottom w:w="0" w:type="dxa"/>
              <w:right w:w="108" w:type="dxa"/>
            </w:tcMar>
            <w:vAlign w:val="center"/>
            <w:hideMark/>
          </w:tcPr>
          <w:p w14:paraId="387DD8E5" w14:textId="77777777" w:rsidR="00F616FB" w:rsidRPr="00417757" w:rsidRDefault="00F616FB" w:rsidP="00F616FB">
            <w:pPr>
              <w:spacing w:line="360" w:lineRule="auto"/>
              <w:rPr>
                <w:rFonts w:asciiTheme="minorHAnsi" w:hAnsiTheme="minorHAnsi" w:cstheme="minorHAnsi"/>
                <w:color w:val="000000"/>
                <w:sz w:val="22"/>
                <w:szCs w:val="22"/>
                <w:lang w:eastAsia="en-IN"/>
              </w:rPr>
            </w:pPr>
            <w:proofErr w:type="spellStart"/>
            <w:r w:rsidRPr="00417757">
              <w:rPr>
                <w:rFonts w:asciiTheme="minorHAnsi" w:hAnsiTheme="minorHAnsi" w:cstheme="minorHAnsi"/>
                <w:color w:val="000000"/>
                <w:sz w:val="22"/>
                <w:szCs w:val="22"/>
                <w:lang w:eastAsia="en-IN"/>
              </w:rPr>
              <w:t>Prayaas</w:t>
            </w:r>
            <w:proofErr w:type="spellEnd"/>
            <w:r w:rsidRPr="00417757">
              <w:rPr>
                <w:rFonts w:asciiTheme="minorHAnsi" w:hAnsiTheme="minorHAnsi" w:cstheme="minorHAnsi"/>
                <w:color w:val="000000"/>
                <w:sz w:val="22"/>
                <w:szCs w:val="22"/>
                <w:lang w:eastAsia="en-IN"/>
              </w:rPr>
              <w:t xml:space="preserve"> (Customer Centric Program)</w:t>
            </w:r>
          </w:p>
        </w:tc>
        <w:tc>
          <w:tcPr>
            <w:tcW w:w="2250" w:type="dxa"/>
            <w:tcMar>
              <w:top w:w="0" w:type="dxa"/>
              <w:left w:w="108" w:type="dxa"/>
              <w:bottom w:w="0" w:type="dxa"/>
              <w:right w:w="108" w:type="dxa"/>
            </w:tcMar>
            <w:vAlign w:val="center"/>
            <w:hideMark/>
          </w:tcPr>
          <w:p w14:paraId="4EF6A13B" w14:textId="77777777" w:rsidR="00F616FB" w:rsidRPr="00417757" w:rsidRDefault="00F616FB" w:rsidP="00F616FB">
            <w:pPr>
              <w:spacing w:line="360" w:lineRule="auto"/>
              <w:jc w:val="center"/>
              <w:rPr>
                <w:rFonts w:asciiTheme="minorHAnsi" w:hAnsiTheme="minorHAnsi" w:cstheme="minorHAnsi"/>
                <w:color w:val="000000"/>
                <w:sz w:val="22"/>
                <w:szCs w:val="22"/>
                <w:lang w:eastAsia="en-IN"/>
              </w:rPr>
            </w:pPr>
            <w:r w:rsidRPr="00417757">
              <w:rPr>
                <w:rFonts w:asciiTheme="minorHAnsi" w:hAnsiTheme="minorHAnsi" w:cstheme="minorHAnsi"/>
                <w:color w:val="000000"/>
                <w:sz w:val="22"/>
                <w:szCs w:val="22"/>
                <w:lang w:eastAsia="en-IN"/>
              </w:rPr>
              <w:t>2 Batches</w:t>
            </w:r>
          </w:p>
        </w:tc>
        <w:tc>
          <w:tcPr>
            <w:tcW w:w="1853" w:type="dxa"/>
            <w:tcMar>
              <w:top w:w="0" w:type="dxa"/>
              <w:left w:w="108" w:type="dxa"/>
              <w:bottom w:w="0" w:type="dxa"/>
              <w:right w:w="108" w:type="dxa"/>
            </w:tcMar>
            <w:vAlign w:val="center"/>
            <w:hideMark/>
          </w:tcPr>
          <w:p w14:paraId="66943EAE" w14:textId="77777777" w:rsidR="00F616FB" w:rsidRPr="00417757" w:rsidRDefault="00F616FB" w:rsidP="00F616FB">
            <w:pPr>
              <w:spacing w:line="360" w:lineRule="auto"/>
              <w:jc w:val="center"/>
              <w:rPr>
                <w:rFonts w:asciiTheme="minorHAnsi" w:hAnsiTheme="minorHAnsi" w:cstheme="minorHAnsi"/>
                <w:color w:val="000000"/>
                <w:sz w:val="22"/>
                <w:szCs w:val="22"/>
                <w:lang w:eastAsia="en-IN"/>
              </w:rPr>
            </w:pPr>
            <w:r w:rsidRPr="00417757">
              <w:rPr>
                <w:rFonts w:asciiTheme="minorHAnsi" w:hAnsiTheme="minorHAnsi" w:cstheme="minorHAnsi"/>
                <w:color w:val="000000"/>
                <w:sz w:val="22"/>
                <w:szCs w:val="22"/>
                <w:lang w:eastAsia="en-IN"/>
              </w:rPr>
              <w:t>100%</w:t>
            </w:r>
          </w:p>
        </w:tc>
      </w:tr>
      <w:tr w:rsidR="00F616FB" w:rsidRPr="00417757" w14:paraId="4F957BC9" w14:textId="77777777" w:rsidTr="00F616FB">
        <w:trPr>
          <w:trHeight w:val="343"/>
        </w:trPr>
        <w:tc>
          <w:tcPr>
            <w:tcW w:w="4653" w:type="dxa"/>
            <w:tcMar>
              <w:top w:w="0" w:type="dxa"/>
              <w:left w:w="108" w:type="dxa"/>
              <w:bottom w:w="0" w:type="dxa"/>
              <w:right w:w="108" w:type="dxa"/>
            </w:tcMar>
            <w:vAlign w:val="center"/>
            <w:hideMark/>
          </w:tcPr>
          <w:p w14:paraId="00CD25E5" w14:textId="77777777" w:rsidR="00F616FB" w:rsidRPr="00417757" w:rsidRDefault="00F616FB" w:rsidP="00F616FB">
            <w:pPr>
              <w:spacing w:line="360" w:lineRule="auto"/>
              <w:rPr>
                <w:rFonts w:asciiTheme="minorHAnsi" w:hAnsiTheme="minorHAnsi" w:cstheme="minorHAnsi"/>
                <w:color w:val="000000"/>
                <w:sz w:val="22"/>
                <w:szCs w:val="22"/>
                <w:lang w:eastAsia="en-IN"/>
              </w:rPr>
            </w:pPr>
            <w:proofErr w:type="spellStart"/>
            <w:r w:rsidRPr="00417757">
              <w:rPr>
                <w:rFonts w:asciiTheme="minorHAnsi" w:hAnsiTheme="minorHAnsi" w:cstheme="minorHAnsi"/>
                <w:color w:val="000000"/>
                <w:sz w:val="22"/>
                <w:szCs w:val="22"/>
                <w:lang w:eastAsia="en-IN"/>
              </w:rPr>
              <w:t>Prerna</w:t>
            </w:r>
            <w:proofErr w:type="spellEnd"/>
            <w:r w:rsidRPr="00417757">
              <w:rPr>
                <w:rFonts w:asciiTheme="minorHAnsi" w:hAnsiTheme="minorHAnsi" w:cstheme="minorHAnsi"/>
                <w:color w:val="000000"/>
                <w:sz w:val="22"/>
                <w:szCs w:val="22"/>
                <w:lang w:eastAsia="en-IN"/>
              </w:rPr>
              <w:t xml:space="preserve"> (Best Practice Visit)</w:t>
            </w:r>
          </w:p>
        </w:tc>
        <w:tc>
          <w:tcPr>
            <w:tcW w:w="2250" w:type="dxa"/>
            <w:tcMar>
              <w:top w:w="0" w:type="dxa"/>
              <w:left w:w="108" w:type="dxa"/>
              <w:bottom w:w="0" w:type="dxa"/>
              <w:right w:w="108" w:type="dxa"/>
            </w:tcMar>
            <w:vAlign w:val="center"/>
            <w:hideMark/>
          </w:tcPr>
          <w:p w14:paraId="59336F5F" w14:textId="77777777" w:rsidR="00F616FB" w:rsidRPr="00417757" w:rsidRDefault="00F616FB" w:rsidP="00F616FB">
            <w:pPr>
              <w:jc w:val="center"/>
              <w:rPr>
                <w:rFonts w:asciiTheme="minorHAnsi" w:hAnsiTheme="minorHAnsi" w:cstheme="minorHAnsi"/>
                <w:color w:val="000000"/>
                <w:sz w:val="22"/>
                <w:szCs w:val="22"/>
                <w:lang w:eastAsia="en-IN"/>
              </w:rPr>
            </w:pPr>
            <w:r w:rsidRPr="00417757">
              <w:rPr>
                <w:rFonts w:asciiTheme="minorHAnsi" w:hAnsiTheme="minorHAnsi" w:cstheme="minorHAnsi"/>
                <w:color w:val="000000"/>
                <w:sz w:val="22"/>
                <w:szCs w:val="22"/>
                <w:lang w:eastAsia="en-IN"/>
              </w:rPr>
              <w:t>9 Batches</w:t>
            </w:r>
          </w:p>
        </w:tc>
        <w:tc>
          <w:tcPr>
            <w:tcW w:w="1853" w:type="dxa"/>
            <w:tcMar>
              <w:top w:w="0" w:type="dxa"/>
              <w:left w:w="108" w:type="dxa"/>
              <w:bottom w:w="0" w:type="dxa"/>
              <w:right w:w="108" w:type="dxa"/>
            </w:tcMar>
            <w:vAlign w:val="center"/>
            <w:hideMark/>
          </w:tcPr>
          <w:p w14:paraId="25447DA9" w14:textId="77777777" w:rsidR="00F616FB" w:rsidRPr="00417757" w:rsidRDefault="00F616FB" w:rsidP="00F616FB">
            <w:pPr>
              <w:spacing w:line="360" w:lineRule="auto"/>
              <w:jc w:val="center"/>
              <w:rPr>
                <w:rFonts w:asciiTheme="minorHAnsi" w:hAnsiTheme="minorHAnsi" w:cstheme="minorHAnsi"/>
                <w:color w:val="000000"/>
                <w:sz w:val="22"/>
                <w:szCs w:val="22"/>
                <w:lang w:eastAsia="en-IN"/>
              </w:rPr>
            </w:pPr>
            <w:r w:rsidRPr="00417757">
              <w:rPr>
                <w:rFonts w:asciiTheme="minorHAnsi" w:hAnsiTheme="minorHAnsi" w:cstheme="minorHAnsi"/>
                <w:color w:val="000000"/>
                <w:sz w:val="22"/>
                <w:szCs w:val="22"/>
                <w:lang w:eastAsia="en-IN"/>
              </w:rPr>
              <w:t xml:space="preserve">20% </w:t>
            </w:r>
            <w:r>
              <w:rPr>
                <w:rFonts w:asciiTheme="minorHAnsi" w:hAnsiTheme="minorHAnsi" w:cstheme="minorHAnsi"/>
                <w:color w:val="000000"/>
                <w:sz w:val="22"/>
                <w:szCs w:val="22"/>
                <w:lang w:eastAsia="en-IN"/>
              </w:rPr>
              <w:t>o</w:t>
            </w:r>
            <w:r w:rsidRPr="00417757">
              <w:rPr>
                <w:rFonts w:asciiTheme="minorHAnsi" w:hAnsiTheme="minorHAnsi" w:cstheme="minorHAnsi"/>
                <w:color w:val="000000"/>
                <w:sz w:val="22"/>
                <w:szCs w:val="22"/>
                <w:lang w:eastAsia="en-IN"/>
              </w:rPr>
              <w:t>f total Executives</w:t>
            </w:r>
          </w:p>
        </w:tc>
      </w:tr>
      <w:tr w:rsidR="00F616FB" w:rsidRPr="00417757" w14:paraId="2A9D2081" w14:textId="77777777" w:rsidTr="00F616FB">
        <w:trPr>
          <w:trHeight w:val="232"/>
        </w:trPr>
        <w:tc>
          <w:tcPr>
            <w:tcW w:w="4653" w:type="dxa"/>
            <w:tcMar>
              <w:top w:w="0" w:type="dxa"/>
              <w:left w:w="108" w:type="dxa"/>
              <w:bottom w:w="0" w:type="dxa"/>
              <w:right w:w="108" w:type="dxa"/>
            </w:tcMar>
            <w:vAlign w:val="center"/>
            <w:hideMark/>
          </w:tcPr>
          <w:p w14:paraId="34BA9B1F" w14:textId="77777777" w:rsidR="00F616FB" w:rsidRPr="00417757" w:rsidRDefault="00F616FB" w:rsidP="00F616FB">
            <w:pPr>
              <w:spacing w:line="360" w:lineRule="auto"/>
              <w:rPr>
                <w:rFonts w:asciiTheme="minorHAnsi" w:hAnsiTheme="minorHAnsi" w:cstheme="minorHAnsi"/>
                <w:color w:val="000000"/>
                <w:sz w:val="22"/>
                <w:szCs w:val="22"/>
                <w:lang w:eastAsia="en-IN"/>
              </w:rPr>
            </w:pPr>
            <w:proofErr w:type="spellStart"/>
            <w:r w:rsidRPr="00417757">
              <w:rPr>
                <w:rFonts w:asciiTheme="minorHAnsi" w:hAnsiTheme="minorHAnsi" w:cstheme="minorHAnsi"/>
                <w:color w:val="000000"/>
                <w:sz w:val="22"/>
                <w:szCs w:val="22"/>
                <w:lang w:eastAsia="en-IN"/>
              </w:rPr>
              <w:t>Gyankosh</w:t>
            </w:r>
            <w:proofErr w:type="spellEnd"/>
            <w:r w:rsidRPr="00417757">
              <w:rPr>
                <w:rFonts w:asciiTheme="minorHAnsi" w:hAnsiTheme="minorHAnsi" w:cstheme="minorHAnsi"/>
                <w:color w:val="000000"/>
                <w:sz w:val="22"/>
                <w:szCs w:val="22"/>
                <w:lang w:eastAsia="en-IN"/>
              </w:rPr>
              <w:t>-LinkedIn</w:t>
            </w:r>
          </w:p>
        </w:tc>
        <w:tc>
          <w:tcPr>
            <w:tcW w:w="2250" w:type="dxa"/>
            <w:tcMar>
              <w:top w:w="0" w:type="dxa"/>
              <w:left w:w="108" w:type="dxa"/>
              <w:bottom w:w="0" w:type="dxa"/>
              <w:right w:w="108" w:type="dxa"/>
            </w:tcMar>
            <w:vAlign w:val="center"/>
            <w:hideMark/>
          </w:tcPr>
          <w:p w14:paraId="75DDCA93" w14:textId="77777777" w:rsidR="00F616FB" w:rsidRPr="00417757" w:rsidRDefault="00F616FB" w:rsidP="00F616FB">
            <w:pPr>
              <w:jc w:val="center"/>
              <w:rPr>
                <w:rFonts w:asciiTheme="minorHAnsi" w:hAnsiTheme="minorHAnsi" w:cstheme="minorHAnsi"/>
                <w:color w:val="000000"/>
                <w:sz w:val="22"/>
                <w:szCs w:val="22"/>
                <w:lang w:eastAsia="en-IN"/>
              </w:rPr>
            </w:pPr>
          </w:p>
        </w:tc>
        <w:tc>
          <w:tcPr>
            <w:tcW w:w="1853" w:type="dxa"/>
            <w:tcMar>
              <w:top w:w="0" w:type="dxa"/>
              <w:left w:w="108" w:type="dxa"/>
              <w:bottom w:w="0" w:type="dxa"/>
              <w:right w:w="108" w:type="dxa"/>
            </w:tcMar>
            <w:vAlign w:val="center"/>
            <w:hideMark/>
          </w:tcPr>
          <w:p w14:paraId="58B17332" w14:textId="77777777" w:rsidR="00F616FB" w:rsidRPr="00417757" w:rsidRDefault="00F616FB" w:rsidP="00F616FB">
            <w:pPr>
              <w:spacing w:line="360" w:lineRule="auto"/>
              <w:jc w:val="center"/>
              <w:rPr>
                <w:rFonts w:asciiTheme="minorHAnsi" w:hAnsiTheme="minorHAnsi" w:cstheme="minorHAnsi"/>
                <w:color w:val="000000"/>
                <w:sz w:val="22"/>
                <w:szCs w:val="22"/>
                <w:lang w:eastAsia="en-IN"/>
              </w:rPr>
            </w:pPr>
            <w:r w:rsidRPr="00417757">
              <w:rPr>
                <w:rFonts w:asciiTheme="minorHAnsi" w:hAnsiTheme="minorHAnsi" w:cstheme="minorHAnsi"/>
                <w:color w:val="000000"/>
                <w:sz w:val="22"/>
                <w:szCs w:val="22"/>
                <w:lang w:eastAsia="en-IN"/>
              </w:rPr>
              <w:t>100%</w:t>
            </w:r>
          </w:p>
        </w:tc>
      </w:tr>
      <w:tr w:rsidR="00F616FB" w:rsidRPr="00417757" w14:paraId="1F44D8E5" w14:textId="77777777" w:rsidTr="00F616FB">
        <w:trPr>
          <w:trHeight w:val="232"/>
        </w:trPr>
        <w:tc>
          <w:tcPr>
            <w:tcW w:w="4653" w:type="dxa"/>
            <w:tcMar>
              <w:top w:w="0" w:type="dxa"/>
              <w:left w:w="108" w:type="dxa"/>
              <w:bottom w:w="0" w:type="dxa"/>
              <w:right w:w="108" w:type="dxa"/>
            </w:tcMar>
            <w:vAlign w:val="center"/>
            <w:hideMark/>
          </w:tcPr>
          <w:p w14:paraId="68F4B872" w14:textId="77777777" w:rsidR="00F616FB" w:rsidRPr="00417757" w:rsidRDefault="00F616FB" w:rsidP="00F616FB">
            <w:pPr>
              <w:spacing w:line="360" w:lineRule="auto"/>
              <w:rPr>
                <w:rFonts w:asciiTheme="minorHAnsi" w:hAnsiTheme="minorHAnsi" w:cstheme="minorHAnsi"/>
                <w:color w:val="000000"/>
                <w:sz w:val="22"/>
                <w:szCs w:val="22"/>
                <w:lang w:eastAsia="en-IN"/>
              </w:rPr>
            </w:pPr>
            <w:r w:rsidRPr="00417757">
              <w:rPr>
                <w:rFonts w:asciiTheme="minorHAnsi" w:hAnsiTheme="minorHAnsi" w:cstheme="minorHAnsi"/>
                <w:color w:val="000000"/>
                <w:sz w:val="22"/>
                <w:szCs w:val="22"/>
                <w:lang w:eastAsia="en-IN"/>
              </w:rPr>
              <w:t>Safety Training Programs</w:t>
            </w:r>
          </w:p>
        </w:tc>
        <w:tc>
          <w:tcPr>
            <w:tcW w:w="2250" w:type="dxa"/>
            <w:tcMar>
              <w:top w:w="0" w:type="dxa"/>
              <w:left w:w="108" w:type="dxa"/>
              <w:bottom w:w="0" w:type="dxa"/>
              <w:right w:w="108" w:type="dxa"/>
            </w:tcMar>
            <w:vAlign w:val="center"/>
            <w:hideMark/>
          </w:tcPr>
          <w:p w14:paraId="0F54E77A" w14:textId="77777777" w:rsidR="00F616FB" w:rsidRPr="00417757" w:rsidRDefault="00F616FB" w:rsidP="00F616FB">
            <w:pPr>
              <w:spacing w:line="360" w:lineRule="auto"/>
              <w:jc w:val="center"/>
              <w:rPr>
                <w:rFonts w:asciiTheme="minorHAnsi" w:hAnsiTheme="minorHAnsi" w:cstheme="minorHAnsi"/>
                <w:color w:val="000000"/>
                <w:sz w:val="22"/>
                <w:szCs w:val="22"/>
                <w:lang w:eastAsia="en-IN"/>
              </w:rPr>
            </w:pPr>
            <w:r w:rsidRPr="00417757">
              <w:rPr>
                <w:rFonts w:asciiTheme="minorHAnsi" w:hAnsiTheme="minorHAnsi" w:cstheme="minorHAnsi"/>
                <w:color w:val="000000"/>
                <w:sz w:val="22"/>
                <w:szCs w:val="22"/>
                <w:lang w:eastAsia="en-IN"/>
              </w:rPr>
              <w:t xml:space="preserve">22 </w:t>
            </w:r>
            <w:r>
              <w:rPr>
                <w:rFonts w:asciiTheme="minorHAnsi" w:hAnsiTheme="minorHAnsi" w:cstheme="minorHAnsi"/>
                <w:color w:val="000000"/>
                <w:sz w:val="22"/>
                <w:szCs w:val="22"/>
                <w:lang w:eastAsia="en-IN"/>
              </w:rPr>
              <w:t>B</w:t>
            </w:r>
            <w:r w:rsidRPr="00417757">
              <w:rPr>
                <w:rFonts w:asciiTheme="minorHAnsi" w:hAnsiTheme="minorHAnsi" w:cstheme="minorHAnsi"/>
                <w:color w:val="000000"/>
                <w:sz w:val="22"/>
                <w:szCs w:val="22"/>
                <w:lang w:eastAsia="en-IN"/>
              </w:rPr>
              <w:t>atches</w:t>
            </w:r>
          </w:p>
        </w:tc>
        <w:tc>
          <w:tcPr>
            <w:tcW w:w="1853" w:type="dxa"/>
            <w:tcMar>
              <w:top w:w="0" w:type="dxa"/>
              <w:left w:w="108" w:type="dxa"/>
              <w:bottom w:w="0" w:type="dxa"/>
              <w:right w:w="108" w:type="dxa"/>
            </w:tcMar>
            <w:vAlign w:val="center"/>
            <w:hideMark/>
          </w:tcPr>
          <w:p w14:paraId="4740E2AD" w14:textId="77777777" w:rsidR="00F616FB" w:rsidRPr="00417757" w:rsidRDefault="00F616FB" w:rsidP="00F616FB">
            <w:pPr>
              <w:spacing w:line="360" w:lineRule="auto"/>
              <w:jc w:val="center"/>
              <w:rPr>
                <w:rFonts w:asciiTheme="minorHAnsi" w:hAnsiTheme="minorHAnsi" w:cstheme="minorHAnsi"/>
                <w:color w:val="000000"/>
                <w:sz w:val="22"/>
                <w:szCs w:val="22"/>
                <w:lang w:eastAsia="en-IN"/>
              </w:rPr>
            </w:pPr>
            <w:r w:rsidRPr="00417757">
              <w:rPr>
                <w:rFonts w:asciiTheme="minorHAnsi" w:hAnsiTheme="minorHAnsi" w:cstheme="minorHAnsi"/>
                <w:color w:val="000000"/>
                <w:sz w:val="22"/>
                <w:szCs w:val="22"/>
                <w:lang w:eastAsia="en-IN"/>
              </w:rPr>
              <w:t>100%</w:t>
            </w:r>
          </w:p>
        </w:tc>
      </w:tr>
      <w:tr w:rsidR="00F616FB" w:rsidRPr="00417757" w14:paraId="1A9F1003" w14:textId="77777777" w:rsidTr="00F616FB">
        <w:trPr>
          <w:trHeight w:val="232"/>
        </w:trPr>
        <w:tc>
          <w:tcPr>
            <w:tcW w:w="4653" w:type="dxa"/>
            <w:tcMar>
              <w:top w:w="0" w:type="dxa"/>
              <w:left w:w="108" w:type="dxa"/>
              <w:bottom w:w="0" w:type="dxa"/>
              <w:right w:w="108" w:type="dxa"/>
            </w:tcMar>
            <w:vAlign w:val="center"/>
            <w:hideMark/>
          </w:tcPr>
          <w:p w14:paraId="2F419F10" w14:textId="77777777" w:rsidR="00F616FB" w:rsidRPr="00417757" w:rsidRDefault="00F616FB" w:rsidP="00F616FB">
            <w:pPr>
              <w:spacing w:line="360" w:lineRule="auto"/>
              <w:rPr>
                <w:rFonts w:asciiTheme="minorHAnsi" w:hAnsiTheme="minorHAnsi" w:cstheme="minorHAnsi"/>
                <w:color w:val="000000"/>
                <w:sz w:val="22"/>
                <w:szCs w:val="22"/>
                <w:lang w:eastAsia="en-IN"/>
              </w:rPr>
            </w:pPr>
            <w:r w:rsidRPr="00417757">
              <w:rPr>
                <w:rFonts w:asciiTheme="minorHAnsi" w:hAnsiTheme="minorHAnsi" w:cstheme="minorHAnsi"/>
                <w:color w:val="000000"/>
                <w:sz w:val="22"/>
                <w:szCs w:val="22"/>
                <w:lang w:eastAsia="en-IN"/>
              </w:rPr>
              <w:t>Safety Training Programs (BA)</w:t>
            </w:r>
          </w:p>
        </w:tc>
        <w:tc>
          <w:tcPr>
            <w:tcW w:w="2250" w:type="dxa"/>
            <w:tcMar>
              <w:top w:w="0" w:type="dxa"/>
              <w:left w:w="108" w:type="dxa"/>
              <w:bottom w:w="0" w:type="dxa"/>
              <w:right w:w="108" w:type="dxa"/>
            </w:tcMar>
            <w:vAlign w:val="center"/>
            <w:hideMark/>
          </w:tcPr>
          <w:p w14:paraId="037FE270" w14:textId="77777777" w:rsidR="00F616FB" w:rsidRPr="00417757" w:rsidRDefault="00F616FB" w:rsidP="00F616FB">
            <w:pPr>
              <w:spacing w:line="360" w:lineRule="auto"/>
              <w:jc w:val="center"/>
              <w:rPr>
                <w:rFonts w:asciiTheme="minorHAnsi" w:hAnsiTheme="minorHAnsi" w:cstheme="minorHAnsi"/>
                <w:color w:val="000000"/>
                <w:sz w:val="22"/>
                <w:szCs w:val="22"/>
                <w:lang w:eastAsia="en-IN"/>
              </w:rPr>
            </w:pPr>
            <w:r w:rsidRPr="00417757">
              <w:rPr>
                <w:rFonts w:asciiTheme="minorHAnsi" w:hAnsiTheme="minorHAnsi" w:cstheme="minorHAnsi"/>
                <w:color w:val="000000"/>
                <w:sz w:val="22"/>
                <w:szCs w:val="22"/>
                <w:lang w:eastAsia="en-IN"/>
              </w:rPr>
              <w:t>22 Batches</w:t>
            </w:r>
          </w:p>
        </w:tc>
        <w:tc>
          <w:tcPr>
            <w:tcW w:w="1853" w:type="dxa"/>
            <w:tcMar>
              <w:top w:w="0" w:type="dxa"/>
              <w:left w:w="108" w:type="dxa"/>
              <w:bottom w:w="0" w:type="dxa"/>
              <w:right w:w="108" w:type="dxa"/>
            </w:tcMar>
            <w:vAlign w:val="center"/>
            <w:hideMark/>
          </w:tcPr>
          <w:p w14:paraId="5C1E89F3" w14:textId="77777777" w:rsidR="00F616FB" w:rsidRPr="00417757" w:rsidRDefault="00F616FB" w:rsidP="00F616FB">
            <w:pPr>
              <w:spacing w:line="360" w:lineRule="auto"/>
              <w:jc w:val="center"/>
              <w:rPr>
                <w:rFonts w:asciiTheme="minorHAnsi" w:hAnsiTheme="minorHAnsi" w:cstheme="minorHAnsi"/>
                <w:color w:val="000000"/>
                <w:sz w:val="22"/>
                <w:szCs w:val="22"/>
                <w:lang w:eastAsia="en-IN"/>
              </w:rPr>
            </w:pPr>
            <w:r w:rsidRPr="00417757">
              <w:rPr>
                <w:rFonts w:asciiTheme="minorHAnsi" w:hAnsiTheme="minorHAnsi" w:cstheme="minorHAnsi"/>
                <w:color w:val="000000"/>
                <w:sz w:val="22"/>
                <w:szCs w:val="22"/>
                <w:lang w:eastAsia="en-IN"/>
              </w:rPr>
              <w:t>100%</w:t>
            </w:r>
          </w:p>
        </w:tc>
      </w:tr>
      <w:tr w:rsidR="00F616FB" w:rsidRPr="00417757" w14:paraId="3D633823" w14:textId="77777777" w:rsidTr="00F616FB">
        <w:trPr>
          <w:trHeight w:val="232"/>
        </w:trPr>
        <w:tc>
          <w:tcPr>
            <w:tcW w:w="4653" w:type="dxa"/>
            <w:tcMar>
              <w:top w:w="0" w:type="dxa"/>
              <w:left w:w="108" w:type="dxa"/>
              <w:bottom w:w="0" w:type="dxa"/>
              <w:right w:w="108" w:type="dxa"/>
            </w:tcMar>
            <w:vAlign w:val="center"/>
            <w:hideMark/>
          </w:tcPr>
          <w:p w14:paraId="633609AC" w14:textId="77777777" w:rsidR="00F616FB" w:rsidRPr="00417757" w:rsidRDefault="00F616FB" w:rsidP="00F616FB">
            <w:pPr>
              <w:spacing w:line="360" w:lineRule="auto"/>
              <w:rPr>
                <w:rFonts w:asciiTheme="minorHAnsi" w:hAnsiTheme="minorHAnsi" w:cstheme="minorHAnsi"/>
                <w:color w:val="000000"/>
                <w:sz w:val="22"/>
                <w:szCs w:val="22"/>
                <w:lang w:eastAsia="en-IN"/>
              </w:rPr>
            </w:pPr>
            <w:r w:rsidRPr="00417757">
              <w:rPr>
                <w:rFonts w:asciiTheme="minorHAnsi" w:hAnsiTheme="minorHAnsi" w:cstheme="minorHAnsi"/>
                <w:color w:val="000000"/>
                <w:sz w:val="22"/>
                <w:szCs w:val="22"/>
                <w:lang w:eastAsia="en-IN"/>
              </w:rPr>
              <w:lastRenderedPageBreak/>
              <w:t>Women Empowerment Programs</w:t>
            </w:r>
          </w:p>
        </w:tc>
        <w:tc>
          <w:tcPr>
            <w:tcW w:w="2250" w:type="dxa"/>
            <w:tcMar>
              <w:top w:w="0" w:type="dxa"/>
              <w:left w:w="108" w:type="dxa"/>
              <w:bottom w:w="0" w:type="dxa"/>
              <w:right w:w="108" w:type="dxa"/>
            </w:tcMar>
            <w:vAlign w:val="center"/>
            <w:hideMark/>
          </w:tcPr>
          <w:p w14:paraId="2B1DE95F" w14:textId="77777777" w:rsidR="00F616FB" w:rsidRPr="00417757" w:rsidRDefault="00F616FB" w:rsidP="00F616FB">
            <w:pPr>
              <w:spacing w:line="360" w:lineRule="auto"/>
              <w:jc w:val="center"/>
              <w:rPr>
                <w:rFonts w:asciiTheme="minorHAnsi" w:hAnsiTheme="minorHAnsi" w:cstheme="minorHAnsi"/>
                <w:color w:val="000000"/>
                <w:sz w:val="22"/>
                <w:szCs w:val="22"/>
                <w:lang w:eastAsia="en-IN"/>
              </w:rPr>
            </w:pPr>
            <w:r w:rsidRPr="00417757">
              <w:rPr>
                <w:rFonts w:asciiTheme="minorHAnsi" w:hAnsiTheme="minorHAnsi" w:cstheme="minorHAnsi"/>
                <w:color w:val="000000"/>
                <w:sz w:val="22"/>
                <w:szCs w:val="22"/>
                <w:lang w:eastAsia="en-IN"/>
              </w:rPr>
              <w:t>9 Batches</w:t>
            </w:r>
          </w:p>
        </w:tc>
        <w:tc>
          <w:tcPr>
            <w:tcW w:w="1853" w:type="dxa"/>
            <w:tcMar>
              <w:top w:w="0" w:type="dxa"/>
              <w:left w:w="108" w:type="dxa"/>
              <w:bottom w:w="0" w:type="dxa"/>
              <w:right w:w="108" w:type="dxa"/>
            </w:tcMar>
            <w:vAlign w:val="center"/>
            <w:hideMark/>
          </w:tcPr>
          <w:p w14:paraId="358EABD7" w14:textId="77777777" w:rsidR="00F616FB" w:rsidRPr="00417757" w:rsidRDefault="00F616FB" w:rsidP="00F616FB">
            <w:pPr>
              <w:spacing w:line="360" w:lineRule="auto"/>
              <w:jc w:val="center"/>
              <w:rPr>
                <w:rFonts w:asciiTheme="minorHAnsi" w:hAnsiTheme="minorHAnsi" w:cstheme="minorHAnsi"/>
                <w:color w:val="000000"/>
                <w:sz w:val="22"/>
                <w:szCs w:val="22"/>
                <w:lang w:eastAsia="en-IN"/>
              </w:rPr>
            </w:pPr>
            <w:r w:rsidRPr="00417757">
              <w:rPr>
                <w:rFonts w:asciiTheme="minorHAnsi" w:hAnsiTheme="minorHAnsi" w:cstheme="minorHAnsi"/>
                <w:color w:val="000000"/>
                <w:sz w:val="22"/>
                <w:szCs w:val="22"/>
                <w:lang w:eastAsia="en-IN"/>
              </w:rPr>
              <w:t>100%</w:t>
            </w:r>
          </w:p>
        </w:tc>
      </w:tr>
      <w:tr w:rsidR="00F616FB" w:rsidRPr="00417757" w14:paraId="6A9165B0" w14:textId="77777777" w:rsidTr="00F616FB">
        <w:trPr>
          <w:trHeight w:val="232"/>
        </w:trPr>
        <w:tc>
          <w:tcPr>
            <w:tcW w:w="4653" w:type="dxa"/>
            <w:tcMar>
              <w:top w:w="0" w:type="dxa"/>
              <w:left w:w="108" w:type="dxa"/>
              <w:bottom w:w="0" w:type="dxa"/>
              <w:right w:w="108" w:type="dxa"/>
            </w:tcMar>
            <w:vAlign w:val="center"/>
            <w:hideMark/>
          </w:tcPr>
          <w:p w14:paraId="226D792C" w14:textId="77777777" w:rsidR="00F616FB" w:rsidRPr="00417757" w:rsidRDefault="00F616FB" w:rsidP="00F616FB">
            <w:pPr>
              <w:spacing w:line="360" w:lineRule="auto"/>
              <w:rPr>
                <w:rFonts w:asciiTheme="minorHAnsi" w:hAnsiTheme="minorHAnsi" w:cstheme="minorHAnsi"/>
                <w:color w:val="000000"/>
                <w:sz w:val="22"/>
                <w:szCs w:val="22"/>
                <w:lang w:eastAsia="en-IN"/>
              </w:rPr>
            </w:pPr>
            <w:r w:rsidRPr="00417757">
              <w:rPr>
                <w:rFonts w:asciiTheme="minorHAnsi" w:hAnsiTheme="minorHAnsi" w:cstheme="minorHAnsi"/>
                <w:color w:val="000000"/>
                <w:sz w:val="22"/>
                <w:szCs w:val="22"/>
                <w:lang w:eastAsia="en-IN"/>
              </w:rPr>
              <w:t>Health -Power Talk</w:t>
            </w:r>
          </w:p>
        </w:tc>
        <w:tc>
          <w:tcPr>
            <w:tcW w:w="2250" w:type="dxa"/>
            <w:tcMar>
              <w:top w:w="0" w:type="dxa"/>
              <w:left w:w="108" w:type="dxa"/>
              <w:bottom w:w="0" w:type="dxa"/>
              <w:right w:w="108" w:type="dxa"/>
            </w:tcMar>
            <w:vAlign w:val="center"/>
            <w:hideMark/>
          </w:tcPr>
          <w:p w14:paraId="5CCE5A62" w14:textId="77777777" w:rsidR="00F616FB" w:rsidRPr="00417757" w:rsidRDefault="00F616FB" w:rsidP="00F616FB">
            <w:pPr>
              <w:spacing w:line="360" w:lineRule="auto"/>
              <w:jc w:val="center"/>
              <w:rPr>
                <w:rFonts w:asciiTheme="minorHAnsi" w:hAnsiTheme="minorHAnsi" w:cstheme="minorHAnsi"/>
                <w:color w:val="000000"/>
                <w:sz w:val="22"/>
                <w:szCs w:val="22"/>
                <w:lang w:eastAsia="en-IN"/>
              </w:rPr>
            </w:pPr>
            <w:r w:rsidRPr="00417757">
              <w:rPr>
                <w:rFonts w:asciiTheme="minorHAnsi" w:hAnsiTheme="minorHAnsi" w:cstheme="minorHAnsi"/>
                <w:color w:val="000000"/>
                <w:sz w:val="22"/>
                <w:szCs w:val="22"/>
                <w:lang w:eastAsia="en-IN"/>
              </w:rPr>
              <w:t>10 Batches</w:t>
            </w:r>
          </w:p>
        </w:tc>
        <w:tc>
          <w:tcPr>
            <w:tcW w:w="1853" w:type="dxa"/>
            <w:tcMar>
              <w:top w:w="0" w:type="dxa"/>
              <w:left w:w="108" w:type="dxa"/>
              <w:bottom w:w="0" w:type="dxa"/>
              <w:right w:w="108" w:type="dxa"/>
            </w:tcMar>
            <w:vAlign w:val="center"/>
            <w:hideMark/>
          </w:tcPr>
          <w:p w14:paraId="736E53CA" w14:textId="77777777" w:rsidR="00F616FB" w:rsidRPr="00417757" w:rsidRDefault="00F616FB" w:rsidP="00F616FB">
            <w:pPr>
              <w:spacing w:line="360" w:lineRule="auto"/>
              <w:jc w:val="center"/>
              <w:rPr>
                <w:rFonts w:asciiTheme="minorHAnsi" w:hAnsiTheme="minorHAnsi" w:cstheme="minorHAnsi"/>
                <w:color w:val="000000"/>
                <w:sz w:val="22"/>
                <w:szCs w:val="22"/>
                <w:lang w:eastAsia="en-IN"/>
              </w:rPr>
            </w:pPr>
            <w:r w:rsidRPr="00417757">
              <w:rPr>
                <w:rFonts w:asciiTheme="minorHAnsi" w:hAnsiTheme="minorHAnsi" w:cstheme="minorHAnsi"/>
                <w:color w:val="000000"/>
                <w:sz w:val="22"/>
                <w:szCs w:val="22"/>
                <w:lang w:eastAsia="en-IN"/>
              </w:rPr>
              <w:t>For All Emp</w:t>
            </w:r>
          </w:p>
        </w:tc>
      </w:tr>
      <w:tr w:rsidR="00F616FB" w:rsidRPr="00417757" w14:paraId="32FD396A" w14:textId="77777777" w:rsidTr="00F616FB">
        <w:trPr>
          <w:trHeight w:val="232"/>
        </w:trPr>
        <w:tc>
          <w:tcPr>
            <w:tcW w:w="4653" w:type="dxa"/>
            <w:tcMar>
              <w:top w:w="0" w:type="dxa"/>
              <w:left w:w="108" w:type="dxa"/>
              <w:bottom w:w="0" w:type="dxa"/>
              <w:right w:w="108" w:type="dxa"/>
            </w:tcMar>
            <w:vAlign w:val="center"/>
            <w:hideMark/>
          </w:tcPr>
          <w:p w14:paraId="66F71423" w14:textId="77777777" w:rsidR="00F616FB" w:rsidRPr="00417757" w:rsidRDefault="00F616FB" w:rsidP="00F616FB">
            <w:pPr>
              <w:spacing w:line="360" w:lineRule="auto"/>
              <w:rPr>
                <w:rFonts w:asciiTheme="minorHAnsi" w:hAnsiTheme="minorHAnsi" w:cstheme="minorHAnsi"/>
                <w:color w:val="000000"/>
                <w:sz w:val="22"/>
                <w:szCs w:val="22"/>
                <w:lang w:eastAsia="en-IN"/>
              </w:rPr>
            </w:pPr>
            <w:r w:rsidRPr="00417757">
              <w:rPr>
                <w:rFonts w:asciiTheme="minorHAnsi" w:hAnsiTheme="minorHAnsi" w:cstheme="minorHAnsi"/>
                <w:color w:val="000000"/>
                <w:sz w:val="22"/>
                <w:szCs w:val="22"/>
                <w:lang w:eastAsia="en-IN"/>
              </w:rPr>
              <w:t>Functional Training</w:t>
            </w:r>
          </w:p>
        </w:tc>
        <w:tc>
          <w:tcPr>
            <w:tcW w:w="2250" w:type="dxa"/>
            <w:tcMar>
              <w:top w:w="0" w:type="dxa"/>
              <w:left w:w="108" w:type="dxa"/>
              <w:bottom w:w="0" w:type="dxa"/>
              <w:right w:w="108" w:type="dxa"/>
            </w:tcMar>
            <w:vAlign w:val="center"/>
            <w:hideMark/>
          </w:tcPr>
          <w:p w14:paraId="2FCC5E94" w14:textId="77777777" w:rsidR="00F616FB" w:rsidRPr="00417757" w:rsidRDefault="00F616FB" w:rsidP="00F616FB">
            <w:pPr>
              <w:spacing w:line="360" w:lineRule="auto"/>
              <w:jc w:val="center"/>
              <w:rPr>
                <w:rFonts w:asciiTheme="minorHAnsi" w:hAnsiTheme="minorHAnsi" w:cstheme="minorHAnsi"/>
                <w:color w:val="000000"/>
                <w:sz w:val="22"/>
                <w:szCs w:val="22"/>
                <w:lang w:eastAsia="en-IN"/>
              </w:rPr>
            </w:pPr>
            <w:r w:rsidRPr="00417757">
              <w:rPr>
                <w:rFonts w:asciiTheme="minorHAnsi" w:hAnsiTheme="minorHAnsi" w:cstheme="minorHAnsi"/>
                <w:color w:val="000000"/>
                <w:sz w:val="22"/>
                <w:szCs w:val="22"/>
                <w:lang w:eastAsia="en-IN"/>
              </w:rPr>
              <w:t xml:space="preserve">20 </w:t>
            </w:r>
            <w:r>
              <w:rPr>
                <w:rFonts w:asciiTheme="minorHAnsi" w:hAnsiTheme="minorHAnsi" w:cstheme="minorHAnsi"/>
                <w:color w:val="000000"/>
                <w:sz w:val="22"/>
                <w:szCs w:val="22"/>
                <w:lang w:eastAsia="en-IN"/>
              </w:rPr>
              <w:t>B</w:t>
            </w:r>
            <w:r w:rsidRPr="00417757">
              <w:rPr>
                <w:rFonts w:asciiTheme="minorHAnsi" w:hAnsiTheme="minorHAnsi" w:cstheme="minorHAnsi"/>
                <w:color w:val="000000"/>
                <w:sz w:val="22"/>
                <w:szCs w:val="22"/>
                <w:lang w:eastAsia="en-IN"/>
              </w:rPr>
              <w:t>atches</w:t>
            </w:r>
          </w:p>
        </w:tc>
        <w:tc>
          <w:tcPr>
            <w:tcW w:w="1853" w:type="dxa"/>
            <w:tcMar>
              <w:top w:w="0" w:type="dxa"/>
              <w:left w:w="108" w:type="dxa"/>
              <w:bottom w:w="0" w:type="dxa"/>
              <w:right w:w="108" w:type="dxa"/>
            </w:tcMar>
            <w:vAlign w:val="center"/>
            <w:hideMark/>
          </w:tcPr>
          <w:p w14:paraId="4E5521C4" w14:textId="77777777" w:rsidR="00F616FB" w:rsidRPr="00417757" w:rsidRDefault="00F616FB" w:rsidP="00F616FB">
            <w:pPr>
              <w:spacing w:line="360" w:lineRule="auto"/>
              <w:jc w:val="center"/>
              <w:rPr>
                <w:rFonts w:asciiTheme="minorHAnsi" w:hAnsiTheme="minorHAnsi" w:cstheme="minorHAnsi"/>
                <w:color w:val="000000"/>
                <w:sz w:val="22"/>
                <w:szCs w:val="22"/>
                <w:lang w:eastAsia="en-IN"/>
              </w:rPr>
            </w:pPr>
            <w:r w:rsidRPr="00417757">
              <w:rPr>
                <w:rFonts w:asciiTheme="minorHAnsi" w:hAnsiTheme="minorHAnsi" w:cstheme="minorHAnsi"/>
                <w:color w:val="000000"/>
                <w:sz w:val="22"/>
                <w:szCs w:val="22"/>
                <w:lang w:eastAsia="en-IN"/>
              </w:rPr>
              <w:t>100%</w:t>
            </w:r>
          </w:p>
        </w:tc>
      </w:tr>
      <w:tr w:rsidR="00F616FB" w:rsidRPr="00417757" w14:paraId="1AF1B649" w14:textId="77777777" w:rsidTr="00F616FB">
        <w:trPr>
          <w:trHeight w:val="232"/>
        </w:trPr>
        <w:tc>
          <w:tcPr>
            <w:tcW w:w="4653" w:type="dxa"/>
            <w:tcMar>
              <w:top w:w="0" w:type="dxa"/>
              <w:left w:w="108" w:type="dxa"/>
              <w:bottom w:w="0" w:type="dxa"/>
              <w:right w:w="108" w:type="dxa"/>
            </w:tcMar>
            <w:vAlign w:val="center"/>
            <w:hideMark/>
          </w:tcPr>
          <w:p w14:paraId="37906FD9" w14:textId="77777777" w:rsidR="00F616FB" w:rsidRPr="00417757" w:rsidRDefault="00F616FB" w:rsidP="00F616FB">
            <w:pPr>
              <w:spacing w:line="360" w:lineRule="auto"/>
              <w:rPr>
                <w:rFonts w:asciiTheme="minorHAnsi" w:hAnsiTheme="minorHAnsi" w:cstheme="minorHAnsi"/>
                <w:color w:val="000000"/>
                <w:sz w:val="22"/>
                <w:szCs w:val="22"/>
                <w:lang w:eastAsia="en-IN"/>
              </w:rPr>
            </w:pPr>
            <w:proofErr w:type="spellStart"/>
            <w:r w:rsidRPr="00417757">
              <w:rPr>
                <w:rFonts w:asciiTheme="minorHAnsi" w:hAnsiTheme="minorHAnsi" w:cstheme="minorHAnsi"/>
                <w:color w:val="000000"/>
                <w:sz w:val="22"/>
                <w:szCs w:val="22"/>
                <w:lang w:eastAsia="en-IN"/>
              </w:rPr>
              <w:t>Behavioural</w:t>
            </w:r>
            <w:proofErr w:type="spellEnd"/>
            <w:r w:rsidRPr="00417757">
              <w:rPr>
                <w:rFonts w:asciiTheme="minorHAnsi" w:hAnsiTheme="minorHAnsi" w:cstheme="minorHAnsi"/>
                <w:color w:val="000000"/>
                <w:sz w:val="22"/>
                <w:szCs w:val="22"/>
                <w:lang w:eastAsia="en-IN"/>
              </w:rPr>
              <w:t xml:space="preserve"> Training</w:t>
            </w:r>
          </w:p>
        </w:tc>
        <w:tc>
          <w:tcPr>
            <w:tcW w:w="2250" w:type="dxa"/>
            <w:tcMar>
              <w:top w:w="0" w:type="dxa"/>
              <w:left w:w="108" w:type="dxa"/>
              <w:bottom w:w="0" w:type="dxa"/>
              <w:right w:w="108" w:type="dxa"/>
            </w:tcMar>
            <w:vAlign w:val="center"/>
            <w:hideMark/>
          </w:tcPr>
          <w:p w14:paraId="3B1FB797" w14:textId="77777777" w:rsidR="00F616FB" w:rsidRPr="00417757" w:rsidRDefault="00F616FB" w:rsidP="00F616FB">
            <w:pPr>
              <w:spacing w:line="360" w:lineRule="auto"/>
              <w:jc w:val="center"/>
              <w:rPr>
                <w:rFonts w:asciiTheme="minorHAnsi" w:hAnsiTheme="minorHAnsi" w:cstheme="minorHAnsi"/>
                <w:color w:val="000000"/>
                <w:sz w:val="22"/>
                <w:szCs w:val="22"/>
                <w:lang w:eastAsia="en-IN"/>
              </w:rPr>
            </w:pPr>
            <w:r w:rsidRPr="00417757">
              <w:rPr>
                <w:rFonts w:asciiTheme="minorHAnsi" w:hAnsiTheme="minorHAnsi" w:cstheme="minorHAnsi"/>
                <w:color w:val="000000"/>
                <w:sz w:val="22"/>
                <w:szCs w:val="22"/>
                <w:lang w:eastAsia="en-IN"/>
              </w:rPr>
              <w:t xml:space="preserve">18 </w:t>
            </w:r>
            <w:r>
              <w:rPr>
                <w:rFonts w:asciiTheme="minorHAnsi" w:hAnsiTheme="minorHAnsi" w:cstheme="minorHAnsi"/>
                <w:color w:val="000000"/>
                <w:sz w:val="22"/>
                <w:szCs w:val="22"/>
                <w:lang w:eastAsia="en-IN"/>
              </w:rPr>
              <w:t>B</w:t>
            </w:r>
            <w:r w:rsidRPr="00417757">
              <w:rPr>
                <w:rFonts w:asciiTheme="minorHAnsi" w:hAnsiTheme="minorHAnsi" w:cstheme="minorHAnsi"/>
                <w:color w:val="000000"/>
                <w:sz w:val="22"/>
                <w:szCs w:val="22"/>
                <w:lang w:eastAsia="en-IN"/>
              </w:rPr>
              <w:t>atches</w:t>
            </w:r>
          </w:p>
        </w:tc>
        <w:tc>
          <w:tcPr>
            <w:tcW w:w="1853" w:type="dxa"/>
            <w:tcMar>
              <w:top w:w="0" w:type="dxa"/>
              <w:left w:w="108" w:type="dxa"/>
              <w:bottom w:w="0" w:type="dxa"/>
              <w:right w:w="108" w:type="dxa"/>
            </w:tcMar>
            <w:vAlign w:val="center"/>
            <w:hideMark/>
          </w:tcPr>
          <w:p w14:paraId="4AD2FAF0" w14:textId="77777777" w:rsidR="00F616FB" w:rsidRPr="00417757" w:rsidRDefault="00F616FB" w:rsidP="00F616FB">
            <w:pPr>
              <w:spacing w:line="360" w:lineRule="auto"/>
              <w:jc w:val="center"/>
              <w:rPr>
                <w:rFonts w:asciiTheme="minorHAnsi" w:hAnsiTheme="minorHAnsi" w:cstheme="minorHAnsi"/>
                <w:color w:val="000000"/>
                <w:sz w:val="22"/>
                <w:szCs w:val="22"/>
                <w:lang w:eastAsia="en-IN"/>
              </w:rPr>
            </w:pPr>
            <w:r w:rsidRPr="00417757">
              <w:rPr>
                <w:rFonts w:asciiTheme="minorHAnsi" w:hAnsiTheme="minorHAnsi" w:cstheme="minorHAnsi"/>
                <w:color w:val="000000"/>
                <w:sz w:val="22"/>
                <w:szCs w:val="22"/>
                <w:lang w:eastAsia="en-IN"/>
              </w:rPr>
              <w:t>85%</w:t>
            </w:r>
          </w:p>
        </w:tc>
      </w:tr>
      <w:tr w:rsidR="00F616FB" w:rsidRPr="00417757" w14:paraId="0C0A6E3F" w14:textId="77777777" w:rsidTr="00F616FB">
        <w:trPr>
          <w:trHeight w:val="232"/>
        </w:trPr>
        <w:tc>
          <w:tcPr>
            <w:tcW w:w="4653" w:type="dxa"/>
            <w:tcMar>
              <w:top w:w="0" w:type="dxa"/>
              <w:left w:w="108" w:type="dxa"/>
              <w:bottom w:w="0" w:type="dxa"/>
              <w:right w:w="108" w:type="dxa"/>
            </w:tcMar>
            <w:vAlign w:val="center"/>
            <w:hideMark/>
          </w:tcPr>
          <w:p w14:paraId="45EAD3FA" w14:textId="77777777" w:rsidR="00F616FB" w:rsidRPr="00417757" w:rsidRDefault="00F616FB" w:rsidP="00F616FB">
            <w:pPr>
              <w:spacing w:line="360" w:lineRule="auto"/>
              <w:rPr>
                <w:rFonts w:asciiTheme="minorHAnsi" w:hAnsiTheme="minorHAnsi" w:cstheme="minorHAnsi"/>
                <w:color w:val="000000"/>
                <w:sz w:val="22"/>
                <w:szCs w:val="22"/>
                <w:lang w:eastAsia="en-IN"/>
              </w:rPr>
            </w:pPr>
            <w:proofErr w:type="spellStart"/>
            <w:r w:rsidRPr="00417757">
              <w:rPr>
                <w:rFonts w:asciiTheme="minorHAnsi" w:hAnsiTheme="minorHAnsi" w:cstheme="minorHAnsi"/>
                <w:color w:val="000000"/>
                <w:sz w:val="22"/>
                <w:szCs w:val="22"/>
                <w:lang w:eastAsia="en-IN"/>
              </w:rPr>
              <w:t>Organisational</w:t>
            </w:r>
            <w:proofErr w:type="spellEnd"/>
            <w:r w:rsidRPr="00417757">
              <w:rPr>
                <w:rFonts w:asciiTheme="minorHAnsi" w:hAnsiTheme="minorHAnsi" w:cstheme="minorHAnsi"/>
                <w:color w:val="000000"/>
                <w:sz w:val="22"/>
                <w:szCs w:val="22"/>
                <w:lang w:eastAsia="en-IN"/>
              </w:rPr>
              <w:t xml:space="preserve"> Training</w:t>
            </w:r>
          </w:p>
        </w:tc>
        <w:tc>
          <w:tcPr>
            <w:tcW w:w="2250" w:type="dxa"/>
            <w:tcMar>
              <w:top w:w="0" w:type="dxa"/>
              <w:left w:w="108" w:type="dxa"/>
              <w:bottom w:w="0" w:type="dxa"/>
              <w:right w:w="108" w:type="dxa"/>
            </w:tcMar>
            <w:vAlign w:val="center"/>
            <w:hideMark/>
          </w:tcPr>
          <w:p w14:paraId="5CD30645" w14:textId="77777777" w:rsidR="00F616FB" w:rsidRPr="00417757" w:rsidRDefault="00F616FB" w:rsidP="00F616FB">
            <w:pPr>
              <w:spacing w:line="360" w:lineRule="auto"/>
              <w:jc w:val="center"/>
              <w:rPr>
                <w:rFonts w:asciiTheme="minorHAnsi" w:hAnsiTheme="minorHAnsi" w:cstheme="minorHAnsi"/>
                <w:color w:val="000000"/>
                <w:sz w:val="22"/>
                <w:szCs w:val="22"/>
                <w:lang w:eastAsia="en-IN"/>
              </w:rPr>
            </w:pPr>
            <w:r w:rsidRPr="00417757">
              <w:rPr>
                <w:rFonts w:asciiTheme="minorHAnsi" w:hAnsiTheme="minorHAnsi" w:cstheme="minorHAnsi"/>
                <w:color w:val="000000"/>
                <w:sz w:val="22"/>
                <w:szCs w:val="22"/>
                <w:lang w:eastAsia="en-IN"/>
              </w:rPr>
              <w:t xml:space="preserve">12 </w:t>
            </w:r>
            <w:r>
              <w:rPr>
                <w:rFonts w:asciiTheme="minorHAnsi" w:hAnsiTheme="minorHAnsi" w:cstheme="minorHAnsi"/>
                <w:color w:val="000000"/>
                <w:sz w:val="22"/>
                <w:szCs w:val="22"/>
                <w:lang w:eastAsia="en-IN"/>
              </w:rPr>
              <w:t>B</w:t>
            </w:r>
            <w:r w:rsidRPr="00417757">
              <w:rPr>
                <w:rFonts w:asciiTheme="minorHAnsi" w:hAnsiTheme="minorHAnsi" w:cstheme="minorHAnsi"/>
                <w:color w:val="000000"/>
                <w:sz w:val="22"/>
                <w:szCs w:val="22"/>
                <w:lang w:eastAsia="en-IN"/>
              </w:rPr>
              <w:t>atches</w:t>
            </w:r>
          </w:p>
        </w:tc>
        <w:tc>
          <w:tcPr>
            <w:tcW w:w="1853" w:type="dxa"/>
            <w:tcMar>
              <w:top w:w="0" w:type="dxa"/>
              <w:left w:w="108" w:type="dxa"/>
              <w:bottom w:w="0" w:type="dxa"/>
              <w:right w:w="108" w:type="dxa"/>
            </w:tcMar>
            <w:vAlign w:val="center"/>
            <w:hideMark/>
          </w:tcPr>
          <w:p w14:paraId="26A466DA" w14:textId="77777777" w:rsidR="00F616FB" w:rsidRPr="00417757" w:rsidRDefault="00F616FB" w:rsidP="00F616FB">
            <w:pPr>
              <w:spacing w:line="360" w:lineRule="auto"/>
              <w:jc w:val="center"/>
              <w:rPr>
                <w:rFonts w:asciiTheme="minorHAnsi" w:hAnsiTheme="minorHAnsi" w:cstheme="minorHAnsi"/>
                <w:color w:val="000000"/>
                <w:sz w:val="22"/>
                <w:szCs w:val="22"/>
                <w:lang w:eastAsia="en-IN"/>
              </w:rPr>
            </w:pPr>
            <w:r w:rsidRPr="00417757">
              <w:rPr>
                <w:rFonts w:asciiTheme="minorHAnsi" w:hAnsiTheme="minorHAnsi" w:cstheme="minorHAnsi"/>
                <w:color w:val="000000"/>
                <w:sz w:val="22"/>
                <w:szCs w:val="22"/>
                <w:lang w:eastAsia="en-IN"/>
              </w:rPr>
              <w:t>100%</w:t>
            </w:r>
          </w:p>
        </w:tc>
      </w:tr>
      <w:tr w:rsidR="00F616FB" w:rsidRPr="00417757" w14:paraId="3D41E5F2" w14:textId="77777777" w:rsidTr="00F616FB">
        <w:trPr>
          <w:trHeight w:val="343"/>
        </w:trPr>
        <w:tc>
          <w:tcPr>
            <w:tcW w:w="4653" w:type="dxa"/>
            <w:tcMar>
              <w:top w:w="0" w:type="dxa"/>
              <w:left w:w="108" w:type="dxa"/>
              <w:bottom w:w="0" w:type="dxa"/>
              <w:right w:w="108" w:type="dxa"/>
            </w:tcMar>
            <w:vAlign w:val="center"/>
            <w:hideMark/>
          </w:tcPr>
          <w:p w14:paraId="07343172" w14:textId="77777777" w:rsidR="00F616FB" w:rsidRPr="00417757" w:rsidRDefault="00F616FB" w:rsidP="00F616FB">
            <w:pPr>
              <w:spacing w:line="360" w:lineRule="auto"/>
              <w:rPr>
                <w:rFonts w:asciiTheme="minorHAnsi" w:hAnsiTheme="minorHAnsi" w:cstheme="minorHAnsi"/>
                <w:color w:val="000000"/>
                <w:sz w:val="22"/>
                <w:szCs w:val="22"/>
                <w:lang w:eastAsia="en-IN"/>
              </w:rPr>
            </w:pPr>
            <w:r w:rsidRPr="00417757">
              <w:rPr>
                <w:rFonts w:asciiTheme="minorHAnsi" w:hAnsiTheme="minorHAnsi" w:cstheme="minorHAnsi"/>
                <w:color w:val="000000"/>
                <w:sz w:val="22"/>
                <w:szCs w:val="22"/>
                <w:lang w:eastAsia="en-IN"/>
              </w:rPr>
              <w:t>SAP GRC Modules &amp; IT applications</w:t>
            </w:r>
          </w:p>
        </w:tc>
        <w:tc>
          <w:tcPr>
            <w:tcW w:w="2250" w:type="dxa"/>
            <w:tcMar>
              <w:top w:w="0" w:type="dxa"/>
              <w:left w:w="108" w:type="dxa"/>
              <w:bottom w:w="0" w:type="dxa"/>
              <w:right w:w="108" w:type="dxa"/>
            </w:tcMar>
            <w:vAlign w:val="center"/>
            <w:hideMark/>
          </w:tcPr>
          <w:p w14:paraId="78598B9F" w14:textId="77777777" w:rsidR="00F616FB" w:rsidRPr="00417757" w:rsidRDefault="00F616FB" w:rsidP="00F616FB">
            <w:pPr>
              <w:spacing w:line="360" w:lineRule="auto"/>
              <w:jc w:val="center"/>
              <w:rPr>
                <w:rFonts w:asciiTheme="minorHAnsi" w:hAnsiTheme="minorHAnsi" w:cstheme="minorHAnsi"/>
                <w:color w:val="000000"/>
                <w:sz w:val="22"/>
                <w:szCs w:val="22"/>
                <w:lang w:eastAsia="en-IN"/>
              </w:rPr>
            </w:pPr>
            <w:r w:rsidRPr="00417757">
              <w:rPr>
                <w:rFonts w:asciiTheme="minorHAnsi" w:hAnsiTheme="minorHAnsi" w:cstheme="minorHAnsi"/>
                <w:color w:val="000000"/>
                <w:sz w:val="22"/>
                <w:szCs w:val="22"/>
                <w:lang w:eastAsia="en-IN"/>
              </w:rPr>
              <w:t>30 Batches</w:t>
            </w:r>
          </w:p>
        </w:tc>
        <w:tc>
          <w:tcPr>
            <w:tcW w:w="1853" w:type="dxa"/>
            <w:tcMar>
              <w:top w:w="0" w:type="dxa"/>
              <w:left w:w="108" w:type="dxa"/>
              <w:bottom w:w="0" w:type="dxa"/>
              <w:right w:w="108" w:type="dxa"/>
            </w:tcMar>
            <w:vAlign w:val="center"/>
            <w:hideMark/>
          </w:tcPr>
          <w:p w14:paraId="1E4E4F38" w14:textId="77777777" w:rsidR="00F616FB" w:rsidRPr="00417757" w:rsidRDefault="00F616FB" w:rsidP="00F616FB">
            <w:pPr>
              <w:jc w:val="center"/>
              <w:rPr>
                <w:rFonts w:asciiTheme="minorHAnsi" w:hAnsiTheme="minorHAnsi" w:cstheme="minorHAnsi"/>
                <w:color w:val="000000"/>
                <w:sz w:val="22"/>
                <w:szCs w:val="22"/>
                <w:lang w:eastAsia="en-IN"/>
              </w:rPr>
            </w:pPr>
            <w:r w:rsidRPr="00417757">
              <w:rPr>
                <w:rFonts w:asciiTheme="minorHAnsi" w:hAnsiTheme="minorHAnsi" w:cstheme="minorHAnsi"/>
                <w:color w:val="000000"/>
                <w:sz w:val="22"/>
                <w:szCs w:val="22"/>
                <w:lang w:eastAsia="en-IN"/>
              </w:rPr>
              <w:t>100%</w:t>
            </w:r>
          </w:p>
        </w:tc>
      </w:tr>
      <w:tr w:rsidR="00F616FB" w:rsidRPr="00417757" w14:paraId="6E55EDB8" w14:textId="77777777" w:rsidTr="00F616FB">
        <w:trPr>
          <w:trHeight w:val="281"/>
        </w:trPr>
        <w:tc>
          <w:tcPr>
            <w:tcW w:w="4653" w:type="dxa"/>
            <w:tcMar>
              <w:top w:w="0" w:type="dxa"/>
              <w:left w:w="108" w:type="dxa"/>
              <w:bottom w:w="0" w:type="dxa"/>
              <w:right w:w="108" w:type="dxa"/>
            </w:tcMar>
            <w:vAlign w:val="center"/>
            <w:hideMark/>
          </w:tcPr>
          <w:p w14:paraId="241F3D26" w14:textId="77777777" w:rsidR="00F616FB" w:rsidRPr="00417757" w:rsidRDefault="00F616FB" w:rsidP="00F616FB">
            <w:pPr>
              <w:spacing w:line="360" w:lineRule="auto"/>
              <w:rPr>
                <w:rFonts w:asciiTheme="minorHAnsi" w:hAnsiTheme="minorHAnsi" w:cstheme="minorHAnsi"/>
                <w:color w:val="000000"/>
                <w:sz w:val="22"/>
                <w:szCs w:val="22"/>
                <w:lang w:eastAsia="en-IN"/>
              </w:rPr>
            </w:pPr>
            <w:r w:rsidRPr="00417757">
              <w:rPr>
                <w:rFonts w:asciiTheme="minorHAnsi" w:hAnsiTheme="minorHAnsi" w:cstheme="minorHAnsi"/>
                <w:color w:val="000000"/>
                <w:sz w:val="22"/>
                <w:szCs w:val="22"/>
                <w:lang w:eastAsia="en-IN"/>
              </w:rPr>
              <w:t>Tech Skills (MS Office Suit)</w:t>
            </w:r>
          </w:p>
        </w:tc>
        <w:tc>
          <w:tcPr>
            <w:tcW w:w="2250" w:type="dxa"/>
            <w:tcMar>
              <w:top w:w="0" w:type="dxa"/>
              <w:left w:w="108" w:type="dxa"/>
              <w:bottom w:w="0" w:type="dxa"/>
              <w:right w:w="108" w:type="dxa"/>
            </w:tcMar>
            <w:vAlign w:val="center"/>
            <w:hideMark/>
          </w:tcPr>
          <w:p w14:paraId="5D79922D" w14:textId="77777777" w:rsidR="00F616FB" w:rsidRPr="00417757" w:rsidRDefault="00F616FB" w:rsidP="00F616FB">
            <w:pPr>
              <w:spacing w:line="360" w:lineRule="auto"/>
              <w:jc w:val="center"/>
              <w:rPr>
                <w:rFonts w:asciiTheme="minorHAnsi" w:hAnsiTheme="minorHAnsi" w:cstheme="minorHAnsi"/>
                <w:color w:val="000000"/>
                <w:sz w:val="22"/>
                <w:szCs w:val="22"/>
                <w:lang w:eastAsia="en-IN"/>
              </w:rPr>
            </w:pPr>
            <w:r w:rsidRPr="00417757">
              <w:rPr>
                <w:rFonts w:asciiTheme="minorHAnsi" w:hAnsiTheme="minorHAnsi" w:cstheme="minorHAnsi"/>
                <w:color w:val="000000"/>
                <w:sz w:val="22"/>
                <w:szCs w:val="22"/>
                <w:lang w:eastAsia="en-IN"/>
              </w:rPr>
              <w:t>26 Batches</w:t>
            </w:r>
          </w:p>
        </w:tc>
        <w:tc>
          <w:tcPr>
            <w:tcW w:w="1853" w:type="dxa"/>
            <w:tcMar>
              <w:top w:w="0" w:type="dxa"/>
              <w:left w:w="108" w:type="dxa"/>
              <w:bottom w:w="0" w:type="dxa"/>
              <w:right w:w="108" w:type="dxa"/>
            </w:tcMar>
            <w:vAlign w:val="center"/>
            <w:hideMark/>
          </w:tcPr>
          <w:p w14:paraId="1BE9AB1B" w14:textId="77777777" w:rsidR="00F616FB" w:rsidRPr="00417757" w:rsidRDefault="00F616FB" w:rsidP="00F616FB">
            <w:pPr>
              <w:spacing w:line="360" w:lineRule="auto"/>
              <w:jc w:val="center"/>
              <w:rPr>
                <w:rFonts w:asciiTheme="minorHAnsi" w:hAnsiTheme="minorHAnsi" w:cstheme="minorHAnsi"/>
                <w:color w:val="000000"/>
                <w:sz w:val="22"/>
                <w:szCs w:val="22"/>
                <w:lang w:eastAsia="en-IN"/>
              </w:rPr>
            </w:pPr>
            <w:r w:rsidRPr="00417757">
              <w:rPr>
                <w:rFonts w:asciiTheme="minorHAnsi" w:hAnsiTheme="minorHAnsi" w:cstheme="minorHAnsi"/>
                <w:color w:val="000000"/>
                <w:sz w:val="22"/>
                <w:szCs w:val="22"/>
                <w:lang w:eastAsia="en-IN"/>
              </w:rPr>
              <w:t xml:space="preserve">100% </w:t>
            </w:r>
            <w:r>
              <w:rPr>
                <w:rFonts w:asciiTheme="minorHAnsi" w:hAnsiTheme="minorHAnsi" w:cstheme="minorHAnsi"/>
                <w:color w:val="000000"/>
                <w:sz w:val="22"/>
                <w:szCs w:val="22"/>
                <w:lang w:eastAsia="en-IN"/>
              </w:rPr>
              <w:t>as</w:t>
            </w:r>
            <w:r w:rsidRPr="00417757">
              <w:rPr>
                <w:rFonts w:asciiTheme="minorHAnsi" w:hAnsiTheme="minorHAnsi" w:cstheme="minorHAnsi"/>
                <w:color w:val="000000"/>
                <w:sz w:val="22"/>
                <w:szCs w:val="22"/>
                <w:lang w:eastAsia="en-IN"/>
              </w:rPr>
              <w:t xml:space="preserve"> per TNI</w:t>
            </w:r>
          </w:p>
        </w:tc>
      </w:tr>
      <w:tr w:rsidR="00F616FB" w:rsidRPr="00417757" w14:paraId="5BEE552E" w14:textId="77777777" w:rsidTr="00F616FB">
        <w:trPr>
          <w:trHeight w:val="232"/>
        </w:trPr>
        <w:tc>
          <w:tcPr>
            <w:tcW w:w="4653" w:type="dxa"/>
            <w:tcMar>
              <w:top w:w="0" w:type="dxa"/>
              <w:left w:w="108" w:type="dxa"/>
              <w:bottom w:w="0" w:type="dxa"/>
              <w:right w:w="108" w:type="dxa"/>
            </w:tcMar>
            <w:vAlign w:val="center"/>
            <w:hideMark/>
          </w:tcPr>
          <w:p w14:paraId="718D8D8C" w14:textId="77777777" w:rsidR="00F616FB" w:rsidRPr="00417757" w:rsidRDefault="00F616FB" w:rsidP="00F616FB">
            <w:pPr>
              <w:spacing w:line="360" w:lineRule="auto"/>
              <w:rPr>
                <w:rFonts w:asciiTheme="minorHAnsi" w:hAnsiTheme="minorHAnsi" w:cstheme="minorHAnsi"/>
                <w:color w:val="000000"/>
                <w:sz w:val="22"/>
                <w:szCs w:val="22"/>
                <w:lang w:eastAsia="en-IN"/>
              </w:rPr>
            </w:pPr>
            <w:r w:rsidRPr="00417757">
              <w:rPr>
                <w:rFonts w:asciiTheme="minorHAnsi" w:hAnsiTheme="minorHAnsi" w:cstheme="minorHAnsi"/>
                <w:color w:val="000000"/>
                <w:sz w:val="22"/>
                <w:szCs w:val="22"/>
                <w:lang w:eastAsia="en-IN"/>
              </w:rPr>
              <w:t>Mentor Mentee Program</w:t>
            </w:r>
          </w:p>
        </w:tc>
        <w:tc>
          <w:tcPr>
            <w:tcW w:w="2250" w:type="dxa"/>
            <w:tcMar>
              <w:top w:w="0" w:type="dxa"/>
              <w:left w:w="108" w:type="dxa"/>
              <w:bottom w:w="0" w:type="dxa"/>
              <w:right w:w="108" w:type="dxa"/>
            </w:tcMar>
            <w:vAlign w:val="center"/>
            <w:hideMark/>
          </w:tcPr>
          <w:p w14:paraId="5E7C2EAA" w14:textId="77777777" w:rsidR="00F616FB" w:rsidRPr="00417757" w:rsidRDefault="00F616FB" w:rsidP="00F616FB">
            <w:pPr>
              <w:spacing w:line="360" w:lineRule="auto"/>
              <w:jc w:val="center"/>
              <w:rPr>
                <w:rFonts w:asciiTheme="minorHAnsi" w:hAnsiTheme="minorHAnsi" w:cstheme="minorHAnsi"/>
                <w:color w:val="000000"/>
                <w:sz w:val="22"/>
                <w:szCs w:val="22"/>
                <w:lang w:eastAsia="en-IN"/>
              </w:rPr>
            </w:pPr>
            <w:r w:rsidRPr="00417757">
              <w:rPr>
                <w:rFonts w:asciiTheme="minorHAnsi" w:hAnsiTheme="minorHAnsi" w:cstheme="minorHAnsi"/>
                <w:color w:val="000000"/>
                <w:sz w:val="22"/>
                <w:szCs w:val="22"/>
                <w:lang w:eastAsia="en-IN"/>
              </w:rPr>
              <w:t xml:space="preserve">10 </w:t>
            </w:r>
            <w:r>
              <w:rPr>
                <w:rFonts w:asciiTheme="minorHAnsi" w:hAnsiTheme="minorHAnsi" w:cstheme="minorHAnsi"/>
                <w:color w:val="000000"/>
                <w:sz w:val="22"/>
                <w:szCs w:val="22"/>
                <w:lang w:eastAsia="en-IN"/>
              </w:rPr>
              <w:t>G</w:t>
            </w:r>
            <w:r w:rsidRPr="00417757">
              <w:rPr>
                <w:rFonts w:asciiTheme="minorHAnsi" w:hAnsiTheme="minorHAnsi" w:cstheme="minorHAnsi"/>
                <w:color w:val="000000"/>
                <w:sz w:val="22"/>
                <w:szCs w:val="22"/>
                <w:lang w:eastAsia="en-IN"/>
              </w:rPr>
              <w:t>roup</w:t>
            </w:r>
          </w:p>
        </w:tc>
        <w:tc>
          <w:tcPr>
            <w:tcW w:w="1853" w:type="dxa"/>
            <w:tcMar>
              <w:top w:w="0" w:type="dxa"/>
              <w:left w:w="108" w:type="dxa"/>
              <w:bottom w:w="0" w:type="dxa"/>
              <w:right w:w="108" w:type="dxa"/>
            </w:tcMar>
            <w:vAlign w:val="center"/>
            <w:hideMark/>
          </w:tcPr>
          <w:p w14:paraId="5D1724DF" w14:textId="77777777" w:rsidR="00F616FB" w:rsidRPr="00417757" w:rsidRDefault="00F616FB" w:rsidP="00F616FB">
            <w:pPr>
              <w:rPr>
                <w:rFonts w:asciiTheme="minorHAnsi" w:hAnsiTheme="minorHAnsi" w:cstheme="minorHAnsi"/>
                <w:color w:val="000000"/>
                <w:sz w:val="22"/>
                <w:szCs w:val="22"/>
                <w:lang w:eastAsia="en-IN"/>
              </w:rPr>
            </w:pPr>
          </w:p>
        </w:tc>
      </w:tr>
      <w:tr w:rsidR="00F616FB" w:rsidRPr="00417757" w14:paraId="472155AB" w14:textId="77777777" w:rsidTr="00F616FB">
        <w:trPr>
          <w:trHeight w:val="232"/>
        </w:trPr>
        <w:tc>
          <w:tcPr>
            <w:tcW w:w="4653" w:type="dxa"/>
            <w:tcMar>
              <w:top w:w="0" w:type="dxa"/>
              <w:left w:w="108" w:type="dxa"/>
              <w:bottom w:w="0" w:type="dxa"/>
              <w:right w:w="108" w:type="dxa"/>
            </w:tcMar>
            <w:vAlign w:val="center"/>
            <w:hideMark/>
          </w:tcPr>
          <w:p w14:paraId="61469B34" w14:textId="77777777" w:rsidR="00F616FB" w:rsidRPr="00417757" w:rsidRDefault="00F616FB" w:rsidP="00F616FB">
            <w:pPr>
              <w:spacing w:line="360" w:lineRule="auto"/>
              <w:rPr>
                <w:rFonts w:asciiTheme="minorHAnsi" w:hAnsiTheme="minorHAnsi" w:cstheme="minorHAnsi"/>
                <w:color w:val="000000"/>
                <w:sz w:val="22"/>
                <w:szCs w:val="22"/>
                <w:lang w:eastAsia="en-IN"/>
              </w:rPr>
            </w:pPr>
            <w:r w:rsidRPr="00417757">
              <w:rPr>
                <w:rFonts w:asciiTheme="minorHAnsi" w:hAnsiTheme="minorHAnsi" w:cstheme="minorHAnsi"/>
                <w:color w:val="000000"/>
                <w:sz w:val="22"/>
                <w:szCs w:val="22"/>
                <w:lang w:eastAsia="en-IN"/>
              </w:rPr>
              <w:t>Train the Trainer (Internal Trainer certification)</w:t>
            </w:r>
          </w:p>
        </w:tc>
        <w:tc>
          <w:tcPr>
            <w:tcW w:w="2250" w:type="dxa"/>
            <w:tcMar>
              <w:top w:w="0" w:type="dxa"/>
              <w:left w:w="108" w:type="dxa"/>
              <w:bottom w:w="0" w:type="dxa"/>
              <w:right w:w="108" w:type="dxa"/>
            </w:tcMar>
            <w:vAlign w:val="center"/>
            <w:hideMark/>
          </w:tcPr>
          <w:p w14:paraId="6CBCFD65" w14:textId="77777777" w:rsidR="00F616FB" w:rsidRPr="00417757" w:rsidRDefault="00F616FB" w:rsidP="00F616FB">
            <w:pPr>
              <w:spacing w:line="360" w:lineRule="auto"/>
              <w:jc w:val="center"/>
              <w:rPr>
                <w:rFonts w:asciiTheme="minorHAnsi" w:hAnsiTheme="minorHAnsi" w:cstheme="minorHAnsi"/>
                <w:color w:val="000000"/>
                <w:sz w:val="22"/>
                <w:szCs w:val="22"/>
                <w:lang w:eastAsia="en-IN"/>
              </w:rPr>
            </w:pPr>
            <w:r w:rsidRPr="00417757">
              <w:rPr>
                <w:rFonts w:asciiTheme="minorHAnsi" w:hAnsiTheme="minorHAnsi" w:cstheme="minorHAnsi"/>
                <w:color w:val="000000"/>
                <w:sz w:val="22"/>
                <w:szCs w:val="22"/>
                <w:lang w:eastAsia="en-IN"/>
              </w:rPr>
              <w:t xml:space="preserve">135 </w:t>
            </w:r>
            <w:r>
              <w:rPr>
                <w:rFonts w:asciiTheme="minorHAnsi" w:hAnsiTheme="minorHAnsi" w:cstheme="minorHAnsi"/>
                <w:color w:val="000000"/>
                <w:sz w:val="22"/>
                <w:szCs w:val="22"/>
                <w:lang w:eastAsia="en-IN"/>
              </w:rPr>
              <w:t>N</w:t>
            </w:r>
            <w:r w:rsidRPr="00417757">
              <w:rPr>
                <w:rFonts w:asciiTheme="minorHAnsi" w:hAnsiTheme="minorHAnsi" w:cstheme="minorHAnsi"/>
                <w:color w:val="000000"/>
                <w:sz w:val="22"/>
                <w:szCs w:val="22"/>
                <w:lang w:eastAsia="en-IN"/>
              </w:rPr>
              <w:t>os Emp</w:t>
            </w:r>
          </w:p>
        </w:tc>
        <w:tc>
          <w:tcPr>
            <w:tcW w:w="1853" w:type="dxa"/>
            <w:tcMar>
              <w:top w:w="0" w:type="dxa"/>
              <w:left w:w="108" w:type="dxa"/>
              <w:bottom w:w="0" w:type="dxa"/>
              <w:right w:w="108" w:type="dxa"/>
            </w:tcMar>
            <w:vAlign w:val="center"/>
            <w:hideMark/>
          </w:tcPr>
          <w:p w14:paraId="2951EDED" w14:textId="77777777" w:rsidR="00F616FB" w:rsidRPr="00417757" w:rsidRDefault="00F616FB" w:rsidP="00F616FB">
            <w:pPr>
              <w:rPr>
                <w:rFonts w:asciiTheme="minorHAnsi" w:hAnsiTheme="minorHAnsi" w:cstheme="minorHAnsi"/>
                <w:color w:val="000000"/>
                <w:sz w:val="22"/>
                <w:szCs w:val="22"/>
                <w:lang w:eastAsia="en-IN"/>
              </w:rPr>
            </w:pPr>
          </w:p>
        </w:tc>
      </w:tr>
      <w:tr w:rsidR="00F616FB" w:rsidRPr="00417757" w14:paraId="008B70CE" w14:textId="77777777" w:rsidTr="00F616FB">
        <w:trPr>
          <w:trHeight w:val="232"/>
        </w:trPr>
        <w:tc>
          <w:tcPr>
            <w:tcW w:w="4653" w:type="dxa"/>
            <w:tcMar>
              <w:top w:w="0" w:type="dxa"/>
              <w:left w:w="108" w:type="dxa"/>
              <w:bottom w:w="0" w:type="dxa"/>
              <w:right w:w="108" w:type="dxa"/>
            </w:tcMar>
            <w:vAlign w:val="center"/>
          </w:tcPr>
          <w:p w14:paraId="64E06047" w14:textId="77777777" w:rsidR="00F616FB" w:rsidRPr="00417757" w:rsidRDefault="00F616FB" w:rsidP="00F616FB">
            <w:pPr>
              <w:spacing w:line="360" w:lineRule="auto"/>
              <w:rPr>
                <w:rFonts w:asciiTheme="minorHAnsi" w:hAnsiTheme="minorHAnsi" w:cstheme="minorHAnsi"/>
                <w:color w:val="000000"/>
                <w:sz w:val="22"/>
                <w:szCs w:val="22"/>
                <w:lang w:eastAsia="en-IN"/>
              </w:rPr>
            </w:pPr>
            <w:r w:rsidRPr="00417757">
              <w:rPr>
                <w:rFonts w:asciiTheme="minorHAnsi" w:hAnsiTheme="minorHAnsi" w:cstheme="minorHAnsi"/>
                <w:color w:val="000000"/>
                <w:sz w:val="22"/>
                <w:szCs w:val="22"/>
                <w:lang w:eastAsia="en-IN"/>
              </w:rPr>
              <w:t>Inhouse Technical Training</w:t>
            </w:r>
          </w:p>
        </w:tc>
        <w:tc>
          <w:tcPr>
            <w:tcW w:w="2250" w:type="dxa"/>
            <w:tcMar>
              <w:top w:w="0" w:type="dxa"/>
              <w:left w:w="108" w:type="dxa"/>
              <w:bottom w:w="0" w:type="dxa"/>
              <w:right w:w="108" w:type="dxa"/>
            </w:tcMar>
            <w:vAlign w:val="center"/>
          </w:tcPr>
          <w:p w14:paraId="0EDA77DC" w14:textId="77777777" w:rsidR="00F616FB" w:rsidRPr="00417757" w:rsidRDefault="00F616FB" w:rsidP="00F616FB">
            <w:pPr>
              <w:spacing w:line="360" w:lineRule="auto"/>
              <w:jc w:val="center"/>
              <w:rPr>
                <w:rFonts w:asciiTheme="minorHAnsi" w:hAnsiTheme="minorHAnsi" w:cstheme="minorHAnsi"/>
                <w:color w:val="000000"/>
                <w:sz w:val="22"/>
                <w:szCs w:val="22"/>
                <w:lang w:eastAsia="en-IN"/>
              </w:rPr>
            </w:pPr>
            <w:r w:rsidRPr="00417757">
              <w:rPr>
                <w:rFonts w:asciiTheme="minorHAnsi" w:hAnsiTheme="minorHAnsi" w:cstheme="minorHAnsi"/>
                <w:color w:val="000000"/>
                <w:sz w:val="22"/>
                <w:szCs w:val="22"/>
                <w:lang w:eastAsia="en-IN"/>
              </w:rPr>
              <w:t>5 Batches</w:t>
            </w:r>
          </w:p>
        </w:tc>
        <w:tc>
          <w:tcPr>
            <w:tcW w:w="1853" w:type="dxa"/>
            <w:tcMar>
              <w:top w:w="0" w:type="dxa"/>
              <w:left w:w="108" w:type="dxa"/>
              <w:bottom w:w="0" w:type="dxa"/>
              <w:right w:w="108" w:type="dxa"/>
            </w:tcMar>
            <w:vAlign w:val="center"/>
          </w:tcPr>
          <w:p w14:paraId="6E34F442" w14:textId="77777777" w:rsidR="00F616FB" w:rsidRPr="00417757" w:rsidRDefault="00F616FB" w:rsidP="00F616FB">
            <w:pPr>
              <w:jc w:val="center"/>
              <w:rPr>
                <w:rFonts w:asciiTheme="minorHAnsi" w:hAnsiTheme="minorHAnsi" w:cstheme="minorHAnsi"/>
                <w:color w:val="000000"/>
                <w:sz w:val="22"/>
                <w:szCs w:val="22"/>
                <w:lang w:eastAsia="en-IN"/>
              </w:rPr>
            </w:pPr>
            <w:r w:rsidRPr="00417757">
              <w:rPr>
                <w:rFonts w:asciiTheme="minorHAnsi" w:hAnsiTheme="minorHAnsi" w:cstheme="minorHAnsi"/>
                <w:color w:val="000000"/>
                <w:sz w:val="22"/>
                <w:szCs w:val="22"/>
                <w:lang w:eastAsia="en-IN"/>
              </w:rPr>
              <w:t>100%</w:t>
            </w:r>
          </w:p>
        </w:tc>
      </w:tr>
      <w:tr w:rsidR="00F616FB" w:rsidRPr="00417757" w14:paraId="13C7F884" w14:textId="77777777" w:rsidTr="00F616FB">
        <w:trPr>
          <w:trHeight w:val="232"/>
        </w:trPr>
        <w:tc>
          <w:tcPr>
            <w:tcW w:w="4653" w:type="dxa"/>
            <w:tcMar>
              <w:top w:w="0" w:type="dxa"/>
              <w:left w:w="108" w:type="dxa"/>
              <w:bottom w:w="0" w:type="dxa"/>
              <w:right w:w="108" w:type="dxa"/>
            </w:tcMar>
            <w:vAlign w:val="center"/>
          </w:tcPr>
          <w:p w14:paraId="007346D0" w14:textId="77777777" w:rsidR="00F616FB" w:rsidRPr="00417757" w:rsidRDefault="00F616FB" w:rsidP="00F616FB">
            <w:pPr>
              <w:spacing w:line="360" w:lineRule="auto"/>
              <w:rPr>
                <w:rFonts w:asciiTheme="minorHAnsi" w:hAnsiTheme="minorHAnsi" w:cstheme="minorHAnsi"/>
                <w:color w:val="000000"/>
                <w:sz w:val="22"/>
                <w:szCs w:val="22"/>
                <w:lang w:eastAsia="en-IN"/>
              </w:rPr>
            </w:pPr>
            <w:r w:rsidRPr="00417757">
              <w:rPr>
                <w:rFonts w:asciiTheme="minorHAnsi" w:hAnsiTheme="minorHAnsi" w:cstheme="minorHAnsi"/>
                <w:color w:val="000000"/>
                <w:sz w:val="22"/>
                <w:szCs w:val="22"/>
                <w:lang w:eastAsia="en-IN"/>
              </w:rPr>
              <w:t>TPSDI</w:t>
            </w:r>
          </w:p>
        </w:tc>
        <w:tc>
          <w:tcPr>
            <w:tcW w:w="2250" w:type="dxa"/>
            <w:tcMar>
              <w:top w:w="0" w:type="dxa"/>
              <w:left w:w="108" w:type="dxa"/>
              <w:bottom w:w="0" w:type="dxa"/>
              <w:right w:w="108" w:type="dxa"/>
            </w:tcMar>
            <w:vAlign w:val="center"/>
          </w:tcPr>
          <w:p w14:paraId="617040F9" w14:textId="77777777" w:rsidR="00F616FB" w:rsidRPr="00417757" w:rsidRDefault="00F616FB" w:rsidP="00F616FB">
            <w:pPr>
              <w:spacing w:line="360" w:lineRule="auto"/>
              <w:jc w:val="center"/>
              <w:rPr>
                <w:rFonts w:asciiTheme="minorHAnsi" w:hAnsiTheme="minorHAnsi" w:cstheme="minorHAnsi"/>
                <w:color w:val="000000"/>
                <w:sz w:val="22"/>
                <w:szCs w:val="22"/>
                <w:lang w:eastAsia="en-IN"/>
              </w:rPr>
            </w:pPr>
            <w:r w:rsidRPr="00417757">
              <w:rPr>
                <w:rFonts w:asciiTheme="minorHAnsi" w:hAnsiTheme="minorHAnsi" w:cstheme="minorHAnsi"/>
                <w:color w:val="000000"/>
                <w:sz w:val="22"/>
                <w:szCs w:val="22"/>
                <w:lang w:eastAsia="en-IN"/>
              </w:rPr>
              <w:t>3 Batches</w:t>
            </w:r>
          </w:p>
        </w:tc>
        <w:tc>
          <w:tcPr>
            <w:tcW w:w="1853" w:type="dxa"/>
            <w:tcMar>
              <w:top w:w="0" w:type="dxa"/>
              <w:left w:w="108" w:type="dxa"/>
              <w:bottom w:w="0" w:type="dxa"/>
              <w:right w:w="108" w:type="dxa"/>
            </w:tcMar>
            <w:vAlign w:val="center"/>
          </w:tcPr>
          <w:p w14:paraId="2A798AA0" w14:textId="77777777" w:rsidR="00F616FB" w:rsidRPr="00417757" w:rsidRDefault="00F616FB" w:rsidP="00F616FB">
            <w:pPr>
              <w:jc w:val="center"/>
              <w:rPr>
                <w:rFonts w:asciiTheme="minorHAnsi" w:hAnsiTheme="minorHAnsi" w:cstheme="minorHAnsi"/>
                <w:color w:val="000000"/>
                <w:sz w:val="22"/>
                <w:szCs w:val="22"/>
                <w:lang w:eastAsia="en-IN"/>
              </w:rPr>
            </w:pPr>
            <w:r w:rsidRPr="00417757">
              <w:rPr>
                <w:rFonts w:asciiTheme="minorHAnsi" w:hAnsiTheme="minorHAnsi" w:cstheme="minorHAnsi"/>
                <w:color w:val="000000"/>
                <w:sz w:val="22"/>
                <w:szCs w:val="22"/>
                <w:lang w:eastAsia="en-IN"/>
              </w:rPr>
              <w:t>100%</w:t>
            </w:r>
          </w:p>
        </w:tc>
      </w:tr>
      <w:tr w:rsidR="00F616FB" w:rsidRPr="00417757" w14:paraId="7E49F8D7" w14:textId="77777777" w:rsidTr="00F616FB">
        <w:trPr>
          <w:trHeight w:val="232"/>
        </w:trPr>
        <w:tc>
          <w:tcPr>
            <w:tcW w:w="4653" w:type="dxa"/>
            <w:tcMar>
              <w:top w:w="0" w:type="dxa"/>
              <w:left w:w="108" w:type="dxa"/>
              <w:bottom w:w="0" w:type="dxa"/>
              <w:right w:w="108" w:type="dxa"/>
            </w:tcMar>
            <w:vAlign w:val="center"/>
          </w:tcPr>
          <w:p w14:paraId="79959201" w14:textId="77777777" w:rsidR="00F616FB" w:rsidRPr="00417757" w:rsidRDefault="00F616FB" w:rsidP="00F616FB">
            <w:pPr>
              <w:spacing w:line="360" w:lineRule="auto"/>
              <w:rPr>
                <w:rFonts w:asciiTheme="minorHAnsi" w:hAnsiTheme="minorHAnsi" w:cstheme="minorHAnsi"/>
                <w:color w:val="000000"/>
                <w:sz w:val="22"/>
                <w:szCs w:val="22"/>
                <w:lang w:eastAsia="en-IN"/>
              </w:rPr>
            </w:pPr>
            <w:r w:rsidRPr="00417757">
              <w:rPr>
                <w:rFonts w:asciiTheme="minorHAnsi" w:hAnsiTheme="minorHAnsi" w:cstheme="minorHAnsi"/>
                <w:color w:val="000000"/>
                <w:sz w:val="22"/>
                <w:szCs w:val="22"/>
                <w:lang w:eastAsia="en-IN"/>
              </w:rPr>
              <w:t>Art of Living</w:t>
            </w:r>
          </w:p>
        </w:tc>
        <w:tc>
          <w:tcPr>
            <w:tcW w:w="2250" w:type="dxa"/>
            <w:tcMar>
              <w:top w:w="0" w:type="dxa"/>
              <w:left w:w="108" w:type="dxa"/>
              <w:bottom w:w="0" w:type="dxa"/>
              <w:right w:w="108" w:type="dxa"/>
            </w:tcMar>
            <w:vAlign w:val="center"/>
          </w:tcPr>
          <w:p w14:paraId="7A0F1716" w14:textId="77777777" w:rsidR="00F616FB" w:rsidRPr="00417757" w:rsidRDefault="00F616FB" w:rsidP="00F616FB">
            <w:pPr>
              <w:spacing w:line="360" w:lineRule="auto"/>
              <w:jc w:val="center"/>
              <w:rPr>
                <w:rFonts w:asciiTheme="minorHAnsi" w:hAnsiTheme="minorHAnsi" w:cstheme="minorHAnsi"/>
                <w:color w:val="000000"/>
                <w:sz w:val="22"/>
                <w:szCs w:val="22"/>
                <w:lang w:eastAsia="en-IN"/>
              </w:rPr>
            </w:pPr>
            <w:r w:rsidRPr="00417757">
              <w:rPr>
                <w:rFonts w:asciiTheme="minorHAnsi" w:hAnsiTheme="minorHAnsi" w:cstheme="minorHAnsi"/>
                <w:color w:val="000000"/>
                <w:sz w:val="22"/>
                <w:szCs w:val="22"/>
                <w:lang w:eastAsia="en-IN"/>
              </w:rPr>
              <w:t>1 Batch</w:t>
            </w:r>
          </w:p>
        </w:tc>
        <w:tc>
          <w:tcPr>
            <w:tcW w:w="1853" w:type="dxa"/>
            <w:tcMar>
              <w:top w:w="0" w:type="dxa"/>
              <w:left w:w="108" w:type="dxa"/>
              <w:bottom w:w="0" w:type="dxa"/>
              <w:right w:w="108" w:type="dxa"/>
            </w:tcMar>
            <w:vAlign w:val="center"/>
          </w:tcPr>
          <w:p w14:paraId="2FF5A865" w14:textId="77777777" w:rsidR="00F616FB" w:rsidRPr="00417757" w:rsidRDefault="00F616FB" w:rsidP="00F616FB">
            <w:pPr>
              <w:jc w:val="center"/>
              <w:rPr>
                <w:rFonts w:asciiTheme="minorHAnsi" w:hAnsiTheme="minorHAnsi" w:cstheme="minorHAnsi"/>
                <w:color w:val="000000"/>
                <w:sz w:val="22"/>
                <w:szCs w:val="22"/>
                <w:lang w:eastAsia="en-IN"/>
              </w:rPr>
            </w:pPr>
            <w:r w:rsidRPr="00417757">
              <w:rPr>
                <w:rFonts w:asciiTheme="minorHAnsi" w:hAnsiTheme="minorHAnsi" w:cstheme="minorHAnsi"/>
                <w:color w:val="000000"/>
                <w:sz w:val="22"/>
                <w:szCs w:val="22"/>
                <w:lang w:eastAsia="en-IN"/>
              </w:rPr>
              <w:t>50%</w:t>
            </w:r>
          </w:p>
        </w:tc>
      </w:tr>
    </w:tbl>
    <w:p w14:paraId="76DC3B40" w14:textId="77777777" w:rsidR="00F616FB" w:rsidRPr="009F7F42" w:rsidRDefault="00F616FB" w:rsidP="00F616FB">
      <w:pPr>
        <w:rPr>
          <w:rFonts w:asciiTheme="minorHAnsi" w:hAnsiTheme="minorHAnsi" w:cstheme="minorHAnsi"/>
          <w:lang w:bidi="or-IN"/>
        </w:rPr>
      </w:pPr>
    </w:p>
    <w:p w14:paraId="79D9FCDC" w14:textId="77777777" w:rsidR="00F616FB" w:rsidRDefault="00F616FB" w:rsidP="00F616FB">
      <w:pPr>
        <w:rPr>
          <w:rFonts w:asciiTheme="minorHAnsi" w:hAnsiTheme="minorHAnsi" w:cstheme="minorHAnsi"/>
          <w:lang w:bidi="or-IN"/>
        </w:rPr>
      </w:pPr>
    </w:p>
    <w:p w14:paraId="264F478A" w14:textId="77777777" w:rsidR="0025136B" w:rsidRDefault="0025136B" w:rsidP="00F616FB">
      <w:pPr>
        <w:ind w:firstLine="720"/>
        <w:jc w:val="center"/>
        <w:rPr>
          <w:rFonts w:asciiTheme="minorHAnsi" w:hAnsiTheme="minorHAnsi" w:cstheme="minorHAnsi"/>
          <w:b/>
          <w:sz w:val="22"/>
          <w:lang w:bidi="or-IN"/>
        </w:rPr>
      </w:pPr>
    </w:p>
    <w:p w14:paraId="3AC67271" w14:textId="041B83B7" w:rsidR="00F616FB" w:rsidRPr="003C125A" w:rsidRDefault="00F616FB" w:rsidP="00F616FB">
      <w:pPr>
        <w:ind w:firstLine="720"/>
        <w:jc w:val="center"/>
        <w:rPr>
          <w:rFonts w:asciiTheme="minorHAnsi" w:hAnsiTheme="minorHAnsi" w:cstheme="minorHAnsi"/>
          <w:b/>
          <w:sz w:val="22"/>
          <w:lang w:bidi="or-IN"/>
        </w:rPr>
      </w:pPr>
      <w:r w:rsidRPr="003C125A">
        <w:rPr>
          <w:rFonts w:asciiTheme="minorHAnsi" w:hAnsiTheme="minorHAnsi" w:cstheme="minorHAnsi"/>
          <w:b/>
          <w:sz w:val="22"/>
          <w:lang w:bidi="or-IN"/>
        </w:rPr>
        <w:t>Table</w:t>
      </w:r>
      <w:r w:rsidR="0025136B">
        <w:rPr>
          <w:rFonts w:asciiTheme="minorHAnsi" w:hAnsiTheme="minorHAnsi" w:cstheme="minorHAnsi"/>
          <w:b/>
          <w:sz w:val="22"/>
          <w:lang w:bidi="or-IN"/>
        </w:rPr>
        <w:t xml:space="preserve"> No.</w:t>
      </w:r>
      <w:r w:rsidRPr="003C125A">
        <w:rPr>
          <w:rFonts w:asciiTheme="minorHAnsi" w:hAnsiTheme="minorHAnsi" w:cstheme="minorHAnsi"/>
          <w:b/>
          <w:sz w:val="22"/>
          <w:lang w:bidi="or-IN"/>
        </w:rPr>
        <w:t>-</w:t>
      </w:r>
      <w:proofErr w:type="gramStart"/>
      <w:r w:rsidR="0025136B">
        <w:rPr>
          <w:rFonts w:asciiTheme="minorHAnsi" w:hAnsiTheme="minorHAnsi" w:cstheme="minorHAnsi"/>
          <w:b/>
          <w:sz w:val="22"/>
          <w:lang w:bidi="or-IN"/>
        </w:rPr>
        <w:t>6</w:t>
      </w:r>
      <w:r w:rsidR="00894F4D">
        <w:rPr>
          <w:rFonts w:asciiTheme="minorHAnsi" w:hAnsiTheme="minorHAnsi" w:cstheme="minorHAnsi"/>
          <w:b/>
          <w:sz w:val="22"/>
          <w:lang w:bidi="or-IN"/>
        </w:rPr>
        <w:t>1</w:t>
      </w:r>
      <w:r w:rsidRPr="003C125A">
        <w:rPr>
          <w:rFonts w:asciiTheme="minorHAnsi" w:hAnsiTheme="minorHAnsi" w:cstheme="minorHAnsi"/>
          <w:b/>
          <w:sz w:val="22"/>
          <w:lang w:bidi="or-IN"/>
        </w:rPr>
        <w:t>:</w:t>
      </w:r>
      <w:r w:rsidR="0025136B">
        <w:rPr>
          <w:rFonts w:asciiTheme="minorHAnsi" w:hAnsiTheme="minorHAnsi" w:cstheme="minorHAnsi"/>
          <w:b/>
          <w:sz w:val="22"/>
          <w:lang w:bidi="or-IN"/>
        </w:rPr>
        <w:t>-</w:t>
      </w:r>
      <w:proofErr w:type="gramEnd"/>
      <w:r w:rsidRPr="003C125A">
        <w:rPr>
          <w:rFonts w:asciiTheme="minorHAnsi" w:hAnsiTheme="minorHAnsi" w:cstheme="minorHAnsi"/>
          <w:b/>
          <w:sz w:val="22"/>
          <w:lang w:bidi="or-IN"/>
        </w:rPr>
        <w:t xml:space="preserve"> Trai</w:t>
      </w:r>
      <w:r>
        <w:rPr>
          <w:rFonts w:asciiTheme="minorHAnsi" w:hAnsiTheme="minorHAnsi" w:cstheme="minorHAnsi"/>
          <w:b/>
          <w:sz w:val="22"/>
          <w:lang w:bidi="or-IN"/>
        </w:rPr>
        <w:t>n</w:t>
      </w:r>
      <w:r w:rsidRPr="003C125A">
        <w:rPr>
          <w:rFonts w:asciiTheme="minorHAnsi" w:hAnsiTheme="minorHAnsi" w:cstheme="minorHAnsi"/>
          <w:b/>
          <w:sz w:val="22"/>
          <w:lang w:bidi="or-IN"/>
        </w:rPr>
        <w:t>ing Plan for FY 2025-26</w:t>
      </w:r>
    </w:p>
    <w:p w14:paraId="6A212FE4" w14:textId="77777777" w:rsidR="00F616FB" w:rsidRPr="003C125A" w:rsidRDefault="00F616FB" w:rsidP="00F616FB">
      <w:pPr>
        <w:ind w:firstLine="720"/>
        <w:jc w:val="center"/>
        <w:rPr>
          <w:rFonts w:asciiTheme="minorHAnsi" w:hAnsiTheme="minorHAnsi" w:cstheme="minorHAnsi"/>
          <w:b/>
          <w:lang w:bidi="or-IN"/>
        </w:rPr>
      </w:pPr>
    </w:p>
    <w:tbl>
      <w:tblPr>
        <w:tblpPr w:leftFromText="180" w:rightFromText="180" w:bottomFromText="115" w:vertAnchor="text" w:horzAnchor="page" w:tblpX="1966" w:tblpY="30"/>
        <w:tblW w:w="87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5240"/>
        <w:gridCol w:w="1686"/>
        <w:gridCol w:w="1862"/>
      </w:tblGrid>
      <w:tr w:rsidR="00F616FB" w:rsidRPr="00143D62" w14:paraId="7694D1F1" w14:textId="77777777" w:rsidTr="00F616FB">
        <w:trPr>
          <w:trHeight w:val="264"/>
        </w:trPr>
        <w:tc>
          <w:tcPr>
            <w:tcW w:w="5240" w:type="dxa"/>
            <w:vMerge w:val="restart"/>
            <w:shd w:val="clear" w:color="auto" w:fill="95B3D7" w:themeFill="accent1" w:themeFillTint="99"/>
            <w:tcMar>
              <w:top w:w="0" w:type="dxa"/>
              <w:left w:w="108" w:type="dxa"/>
              <w:bottom w:w="0" w:type="dxa"/>
              <w:right w:w="108" w:type="dxa"/>
            </w:tcMar>
            <w:vAlign w:val="center"/>
            <w:hideMark/>
          </w:tcPr>
          <w:p w14:paraId="16372BAD" w14:textId="77777777" w:rsidR="00F616FB" w:rsidRPr="00143D62" w:rsidRDefault="00F616FB" w:rsidP="00F616FB">
            <w:pPr>
              <w:spacing w:line="360" w:lineRule="auto"/>
              <w:jc w:val="center"/>
              <w:rPr>
                <w:rFonts w:asciiTheme="minorHAnsi" w:hAnsiTheme="minorHAnsi" w:cstheme="minorHAnsi"/>
                <w:b/>
                <w:bCs/>
                <w:color w:val="000000"/>
                <w:sz w:val="22"/>
                <w:szCs w:val="22"/>
                <w:lang w:eastAsia="en-IN"/>
              </w:rPr>
            </w:pPr>
            <w:r w:rsidRPr="00143D62">
              <w:rPr>
                <w:rFonts w:asciiTheme="minorHAnsi" w:hAnsiTheme="minorHAnsi" w:cstheme="minorHAnsi"/>
                <w:b/>
                <w:bCs/>
                <w:color w:val="000000"/>
                <w:sz w:val="22"/>
                <w:szCs w:val="22"/>
                <w:lang w:eastAsia="en-IN"/>
              </w:rPr>
              <w:t>Types of Training</w:t>
            </w:r>
          </w:p>
        </w:tc>
        <w:tc>
          <w:tcPr>
            <w:tcW w:w="3548" w:type="dxa"/>
            <w:gridSpan w:val="2"/>
            <w:shd w:val="clear" w:color="auto" w:fill="95B3D7" w:themeFill="accent1" w:themeFillTint="99"/>
            <w:tcMar>
              <w:top w:w="0" w:type="dxa"/>
              <w:left w:w="108" w:type="dxa"/>
              <w:bottom w:w="0" w:type="dxa"/>
              <w:right w:w="108" w:type="dxa"/>
            </w:tcMar>
            <w:vAlign w:val="center"/>
            <w:hideMark/>
          </w:tcPr>
          <w:p w14:paraId="5D934A43" w14:textId="77777777" w:rsidR="00F616FB" w:rsidRPr="00143D62" w:rsidRDefault="00F616FB" w:rsidP="00F616FB">
            <w:pPr>
              <w:spacing w:line="360" w:lineRule="auto"/>
              <w:jc w:val="center"/>
              <w:rPr>
                <w:rFonts w:asciiTheme="minorHAnsi" w:hAnsiTheme="minorHAnsi" w:cstheme="minorHAnsi"/>
                <w:b/>
                <w:bCs/>
                <w:color w:val="000000"/>
                <w:sz w:val="22"/>
                <w:szCs w:val="22"/>
                <w:lang w:eastAsia="en-IN"/>
              </w:rPr>
            </w:pPr>
            <w:r w:rsidRPr="00143D62">
              <w:rPr>
                <w:rFonts w:asciiTheme="minorHAnsi" w:hAnsiTheme="minorHAnsi" w:cstheme="minorHAnsi"/>
                <w:b/>
                <w:bCs/>
                <w:color w:val="000000"/>
                <w:sz w:val="22"/>
                <w:szCs w:val="22"/>
                <w:lang w:eastAsia="en-IN"/>
              </w:rPr>
              <w:t>FY 2025-26</w:t>
            </w:r>
          </w:p>
        </w:tc>
      </w:tr>
      <w:tr w:rsidR="00F616FB" w:rsidRPr="00143D62" w14:paraId="77311B13" w14:textId="77777777" w:rsidTr="00F616FB">
        <w:trPr>
          <w:trHeight w:val="264"/>
        </w:trPr>
        <w:tc>
          <w:tcPr>
            <w:tcW w:w="5240" w:type="dxa"/>
            <w:vMerge/>
            <w:shd w:val="clear" w:color="auto" w:fill="95B3D7" w:themeFill="accent1" w:themeFillTint="99"/>
            <w:vAlign w:val="center"/>
            <w:hideMark/>
          </w:tcPr>
          <w:p w14:paraId="4646F014" w14:textId="77777777" w:rsidR="00F616FB" w:rsidRPr="00143D62" w:rsidRDefault="00F616FB" w:rsidP="00F616FB">
            <w:pPr>
              <w:jc w:val="center"/>
              <w:rPr>
                <w:rFonts w:asciiTheme="minorHAnsi" w:hAnsiTheme="minorHAnsi" w:cstheme="minorHAnsi"/>
                <w:b/>
                <w:bCs/>
                <w:color w:val="000000"/>
                <w:sz w:val="22"/>
                <w:szCs w:val="22"/>
                <w:lang w:eastAsia="en-IN"/>
              </w:rPr>
            </w:pPr>
          </w:p>
        </w:tc>
        <w:tc>
          <w:tcPr>
            <w:tcW w:w="1686" w:type="dxa"/>
            <w:shd w:val="clear" w:color="auto" w:fill="95B3D7" w:themeFill="accent1" w:themeFillTint="99"/>
            <w:tcMar>
              <w:top w:w="0" w:type="dxa"/>
              <w:left w:w="108" w:type="dxa"/>
              <w:bottom w:w="0" w:type="dxa"/>
              <w:right w:w="108" w:type="dxa"/>
            </w:tcMar>
            <w:vAlign w:val="center"/>
            <w:hideMark/>
          </w:tcPr>
          <w:p w14:paraId="2A750DE7" w14:textId="77777777" w:rsidR="00F616FB" w:rsidRPr="00143D62" w:rsidRDefault="00F616FB" w:rsidP="00F616FB">
            <w:pPr>
              <w:spacing w:line="360" w:lineRule="auto"/>
              <w:jc w:val="center"/>
              <w:rPr>
                <w:rFonts w:asciiTheme="minorHAnsi" w:hAnsiTheme="minorHAnsi" w:cstheme="minorHAnsi"/>
                <w:b/>
                <w:bCs/>
                <w:color w:val="000000"/>
                <w:sz w:val="22"/>
                <w:szCs w:val="22"/>
                <w:lang w:eastAsia="en-IN"/>
              </w:rPr>
            </w:pPr>
            <w:r w:rsidRPr="00143D62">
              <w:rPr>
                <w:rFonts w:asciiTheme="minorHAnsi" w:hAnsiTheme="minorHAnsi" w:cstheme="minorHAnsi"/>
                <w:b/>
                <w:bCs/>
                <w:color w:val="000000"/>
                <w:sz w:val="22"/>
                <w:szCs w:val="22"/>
                <w:lang w:eastAsia="en-IN"/>
              </w:rPr>
              <w:t>Batches</w:t>
            </w:r>
          </w:p>
        </w:tc>
        <w:tc>
          <w:tcPr>
            <w:tcW w:w="1862" w:type="dxa"/>
            <w:shd w:val="clear" w:color="auto" w:fill="95B3D7" w:themeFill="accent1" w:themeFillTint="99"/>
            <w:tcMar>
              <w:top w:w="0" w:type="dxa"/>
              <w:left w:w="108" w:type="dxa"/>
              <w:bottom w:w="0" w:type="dxa"/>
              <w:right w:w="108" w:type="dxa"/>
            </w:tcMar>
            <w:vAlign w:val="center"/>
            <w:hideMark/>
          </w:tcPr>
          <w:p w14:paraId="67A31A34" w14:textId="77777777" w:rsidR="00F616FB" w:rsidRPr="00143D62" w:rsidRDefault="00F616FB" w:rsidP="00F616FB">
            <w:pPr>
              <w:spacing w:line="360" w:lineRule="auto"/>
              <w:jc w:val="center"/>
              <w:rPr>
                <w:rFonts w:asciiTheme="minorHAnsi" w:hAnsiTheme="minorHAnsi" w:cstheme="minorHAnsi"/>
                <w:b/>
                <w:bCs/>
                <w:color w:val="000000"/>
                <w:sz w:val="22"/>
                <w:szCs w:val="22"/>
                <w:lang w:eastAsia="en-IN"/>
              </w:rPr>
            </w:pPr>
            <w:r w:rsidRPr="00143D62">
              <w:rPr>
                <w:rFonts w:asciiTheme="minorHAnsi" w:hAnsiTheme="minorHAnsi" w:cstheme="minorHAnsi"/>
                <w:b/>
                <w:bCs/>
                <w:color w:val="000000"/>
                <w:sz w:val="22"/>
                <w:szCs w:val="22"/>
                <w:lang w:eastAsia="en-IN"/>
              </w:rPr>
              <w:t>% Coverage</w:t>
            </w:r>
          </w:p>
        </w:tc>
      </w:tr>
      <w:tr w:rsidR="00F616FB" w:rsidRPr="00143D62" w14:paraId="6CDDE5C4" w14:textId="77777777" w:rsidTr="00F616FB">
        <w:trPr>
          <w:trHeight w:val="264"/>
        </w:trPr>
        <w:tc>
          <w:tcPr>
            <w:tcW w:w="5240" w:type="dxa"/>
            <w:tcMar>
              <w:top w:w="0" w:type="dxa"/>
              <w:left w:w="108" w:type="dxa"/>
              <w:bottom w:w="0" w:type="dxa"/>
              <w:right w:w="108" w:type="dxa"/>
            </w:tcMar>
            <w:vAlign w:val="center"/>
            <w:hideMark/>
          </w:tcPr>
          <w:p w14:paraId="31E88E1B" w14:textId="77777777" w:rsidR="00F616FB" w:rsidRPr="00143D62" w:rsidRDefault="00F616FB" w:rsidP="00F616FB">
            <w:pPr>
              <w:spacing w:line="360" w:lineRule="auto"/>
              <w:rPr>
                <w:rFonts w:asciiTheme="minorHAnsi" w:hAnsiTheme="minorHAnsi" w:cstheme="minorHAnsi"/>
                <w:color w:val="000000"/>
                <w:sz w:val="22"/>
                <w:szCs w:val="22"/>
                <w:lang w:eastAsia="en-IN"/>
              </w:rPr>
            </w:pPr>
            <w:proofErr w:type="spellStart"/>
            <w:r w:rsidRPr="00143D62">
              <w:rPr>
                <w:rFonts w:asciiTheme="minorHAnsi" w:hAnsiTheme="minorHAnsi" w:cstheme="minorHAnsi"/>
                <w:color w:val="000000"/>
                <w:sz w:val="22"/>
                <w:szCs w:val="22"/>
                <w:lang w:eastAsia="en-IN"/>
              </w:rPr>
              <w:t>Pehchaan</w:t>
            </w:r>
            <w:proofErr w:type="spellEnd"/>
            <w:r w:rsidRPr="00143D62">
              <w:rPr>
                <w:rFonts w:asciiTheme="minorHAnsi" w:hAnsiTheme="minorHAnsi" w:cstheme="minorHAnsi"/>
                <w:color w:val="000000"/>
                <w:sz w:val="22"/>
                <w:szCs w:val="22"/>
                <w:lang w:eastAsia="en-IN"/>
              </w:rPr>
              <w:t xml:space="preserve"> (Induction)</w:t>
            </w:r>
          </w:p>
        </w:tc>
        <w:tc>
          <w:tcPr>
            <w:tcW w:w="1686" w:type="dxa"/>
            <w:tcMar>
              <w:top w:w="0" w:type="dxa"/>
              <w:left w:w="108" w:type="dxa"/>
              <w:bottom w:w="0" w:type="dxa"/>
              <w:right w:w="108" w:type="dxa"/>
            </w:tcMar>
            <w:vAlign w:val="center"/>
            <w:hideMark/>
          </w:tcPr>
          <w:p w14:paraId="41A0725B" w14:textId="77777777" w:rsidR="00F616FB" w:rsidRPr="00143D62" w:rsidRDefault="00F616FB" w:rsidP="00F616FB">
            <w:pPr>
              <w:spacing w:line="360" w:lineRule="auto"/>
              <w:jc w:val="center"/>
              <w:rPr>
                <w:rFonts w:asciiTheme="minorHAnsi" w:hAnsiTheme="minorHAnsi" w:cstheme="minorHAnsi"/>
                <w:color w:val="000000"/>
                <w:sz w:val="22"/>
                <w:szCs w:val="22"/>
                <w:lang w:eastAsia="en-IN"/>
              </w:rPr>
            </w:pPr>
            <w:r>
              <w:rPr>
                <w:rFonts w:asciiTheme="minorHAnsi" w:hAnsiTheme="minorHAnsi" w:cstheme="minorHAnsi"/>
                <w:color w:val="000000"/>
                <w:sz w:val="22"/>
                <w:szCs w:val="22"/>
                <w:lang w:eastAsia="en-IN"/>
              </w:rPr>
              <w:t>6</w:t>
            </w:r>
            <w:r w:rsidRPr="00143D62">
              <w:rPr>
                <w:rFonts w:asciiTheme="minorHAnsi" w:hAnsiTheme="minorHAnsi" w:cstheme="minorHAnsi"/>
                <w:color w:val="000000"/>
                <w:sz w:val="22"/>
                <w:szCs w:val="22"/>
                <w:lang w:eastAsia="en-IN"/>
              </w:rPr>
              <w:t xml:space="preserve"> Batches</w:t>
            </w:r>
          </w:p>
        </w:tc>
        <w:tc>
          <w:tcPr>
            <w:tcW w:w="1862" w:type="dxa"/>
            <w:tcMar>
              <w:top w:w="0" w:type="dxa"/>
              <w:left w:w="108" w:type="dxa"/>
              <w:bottom w:w="0" w:type="dxa"/>
              <w:right w:w="108" w:type="dxa"/>
            </w:tcMar>
            <w:vAlign w:val="center"/>
            <w:hideMark/>
          </w:tcPr>
          <w:p w14:paraId="434FF103" w14:textId="77777777" w:rsidR="00F616FB" w:rsidRPr="00143D62" w:rsidRDefault="00F616FB" w:rsidP="00F616FB">
            <w:pPr>
              <w:spacing w:line="360" w:lineRule="auto"/>
              <w:jc w:val="center"/>
              <w:rPr>
                <w:rFonts w:asciiTheme="minorHAnsi" w:hAnsiTheme="minorHAnsi" w:cstheme="minorHAnsi"/>
                <w:color w:val="000000"/>
                <w:sz w:val="22"/>
                <w:szCs w:val="22"/>
                <w:lang w:eastAsia="en-IN"/>
              </w:rPr>
            </w:pPr>
            <w:r w:rsidRPr="00143D62">
              <w:rPr>
                <w:rFonts w:asciiTheme="minorHAnsi" w:hAnsiTheme="minorHAnsi" w:cstheme="minorHAnsi"/>
                <w:color w:val="000000"/>
                <w:sz w:val="22"/>
                <w:szCs w:val="22"/>
                <w:lang w:eastAsia="en-IN"/>
              </w:rPr>
              <w:t>100%</w:t>
            </w:r>
          </w:p>
        </w:tc>
      </w:tr>
      <w:tr w:rsidR="00F616FB" w:rsidRPr="00143D62" w14:paraId="6026E84D" w14:textId="77777777" w:rsidTr="00F616FB">
        <w:trPr>
          <w:trHeight w:val="264"/>
        </w:trPr>
        <w:tc>
          <w:tcPr>
            <w:tcW w:w="5240" w:type="dxa"/>
            <w:tcMar>
              <w:top w:w="0" w:type="dxa"/>
              <w:left w:w="108" w:type="dxa"/>
              <w:bottom w:w="0" w:type="dxa"/>
              <w:right w:w="108" w:type="dxa"/>
            </w:tcMar>
            <w:vAlign w:val="center"/>
            <w:hideMark/>
          </w:tcPr>
          <w:p w14:paraId="17C47CB4" w14:textId="77777777" w:rsidR="00F616FB" w:rsidRPr="00143D62" w:rsidRDefault="00F616FB" w:rsidP="00F616FB">
            <w:pPr>
              <w:spacing w:line="360" w:lineRule="auto"/>
              <w:rPr>
                <w:rFonts w:asciiTheme="minorHAnsi" w:hAnsiTheme="minorHAnsi" w:cstheme="minorHAnsi"/>
                <w:color w:val="000000"/>
                <w:sz w:val="22"/>
                <w:szCs w:val="22"/>
                <w:lang w:eastAsia="en-IN"/>
              </w:rPr>
            </w:pPr>
            <w:proofErr w:type="spellStart"/>
            <w:r w:rsidRPr="00143D62">
              <w:rPr>
                <w:rFonts w:asciiTheme="minorHAnsi" w:hAnsiTheme="minorHAnsi" w:cstheme="minorHAnsi"/>
                <w:color w:val="000000"/>
                <w:sz w:val="22"/>
                <w:szCs w:val="22"/>
                <w:lang w:eastAsia="en-IN"/>
              </w:rPr>
              <w:t>Pratigya</w:t>
            </w:r>
            <w:proofErr w:type="spellEnd"/>
            <w:r w:rsidRPr="00143D62">
              <w:rPr>
                <w:rFonts w:asciiTheme="minorHAnsi" w:hAnsiTheme="minorHAnsi" w:cstheme="minorHAnsi"/>
                <w:color w:val="000000"/>
                <w:sz w:val="22"/>
                <w:szCs w:val="22"/>
                <w:lang w:eastAsia="en-IN"/>
              </w:rPr>
              <w:t xml:space="preserve"> (Developing an ethical work culture)</w:t>
            </w:r>
          </w:p>
        </w:tc>
        <w:tc>
          <w:tcPr>
            <w:tcW w:w="1686" w:type="dxa"/>
            <w:tcMar>
              <w:top w:w="0" w:type="dxa"/>
              <w:left w:w="108" w:type="dxa"/>
              <w:bottom w:w="0" w:type="dxa"/>
              <w:right w:w="108" w:type="dxa"/>
            </w:tcMar>
            <w:vAlign w:val="center"/>
            <w:hideMark/>
          </w:tcPr>
          <w:p w14:paraId="67F0B977" w14:textId="77777777" w:rsidR="00F616FB" w:rsidRPr="00143D62" w:rsidRDefault="00F616FB" w:rsidP="00F616FB">
            <w:pPr>
              <w:spacing w:line="360" w:lineRule="auto"/>
              <w:jc w:val="center"/>
              <w:rPr>
                <w:rFonts w:asciiTheme="minorHAnsi" w:hAnsiTheme="minorHAnsi" w:cstheme="minorHAnsi"/>
                <w:color w:val="000000"/>
                <w:sz w:val="22"/>
                <w:szCs w:val="22"/>
                <w:lang w:eastAsia="en-IN"/>
              </w:rPr>
            </w:pPr>
            <w:r w:rsidRPr="00143D62">
              <w:rPr>
                <w:rFonts w:asciiTheme="minorHAnsi" w:hAnsiTheme="minorHAnsi" w:cstheme="minorHAnsi"/>
                <w:color w:val="000000"/>
                <w:sz w:val="22"/>
                <w:szCs w:val="22"/>
                <w:lang w:eastAsia="en-IN"/>
              </w:rPr>
              <w:t>30 Batches</w:t>
            </w:r>
          </w:p>
        </w:tc>
        <w:tc>
          <w:tcPr>
            <w:tcW w:w="1862" w:type="dxa"/>
            <w:tcMar>
              <w:top w:w="0" w:type="dxa"/>
              <w:left w:w="108" w:type="dxa"/>
              <w:bottom w:w="0" w:type="dxa"/>
              <w:right w:w="108" w:type="dxa"/>
            </w:tcMar>
            <w:vAlign w:val="center"/>
            <w:hideMark/>
          </w:tcPr>
          <w:p w14:paraId="1907ED4A" w14:textId="77777777" w:rsidR="00F616FB" w:rsidRPr="00143D62" w:rsidRDefault="00F616FB" w:rsidP="00F616FB">
            <w:pPr>
              <w:spacing w:line="360" w:lineRule="auto"/>
              <w:jc w:val="center"/>
              <w:rPr>
                <w:rFonts w:asciiTheme="minorHAnsi" w:hAnsiTheme="minorHAnsi" w:cstheme="minorHAnsi"/>
                <w:color w:val="000000"/>
                <w:sz w:val="22"/>
                <w:szCs w:val="22"/>
                <w:lang w:eastAsia="en-IN"/>
              </w:rPr>
            </w:pPr>
            <w:r w:rsidRPr="00143D62">
              <w:rPr>
                <w:rFonts w:asciiTheme="minorHAnsi" w:hAnsiTheme="minorHAnsi" w:cstheme="minorHAnsi"/>
                <w:color w:val="000000"/>
                <w:sz w:val="22"/>
                <w:szCs w:val="22"/>
                <w:lang w:eastAsia="en-IN"/>
              </w:rPr>
              <w:t>80%</w:t>
            </w:r>
          </w:p>
        </w:tc>
      </w:tr>
      <w:tr w:rsidR="00F616FB" w:rsidRPr="00143D62" w14:paraId="34857729" w14:textId="77777777" w:rsidTr="00F616FB">
        <w:trPr>
          <w:trHeight w:val="392"/>
        </w:trPr>
        <w:tc>
          <w:tcPr>
            <w:tcW w:w="5240" w:type="dxa"/>
            <w:tcMar>
              <w:top w:w="0" w:type="dxa"/>
              <w:left w:w="108" w:type="dxa"/>
              <w:bottom w:w="0" w:type="dxa"/>
              <w:right w:w="108" w:type="dxa"/>
            </w:tcMar>
            <w:vAlign w:val="center"/>
            <w:hideMark/>
          </w:tcPr>
          <w:p w14:paraId="4FAAC98F" w14:textId="77777777" w:rsidR="00F616FB" w:rsidRPr="00143D62" w:rsidRDefault="00F616FB" w:rsidP="00F616FB">
            <w:pPr>
              <w:spacing w:line="360" w:lineRule="auto"/>
              <w:rPr>
                <w:rFonts w:asciiTheme="minorHAnsi" w:hAnsiTheme="minorHAnsi" w:cstheme="minorHAnsi"/>
                <w:color w:val="000000"/>
                <w:sz w:val="22"/>
                <w:szCs w:val="22"/>
                <w:lang w:eastAsia="en-IN"/>
              </w:rPr>
            </w:pPr>
            <w:proofErr w:type="spellStart"/>
            <w:r w:rsidRPr="00143D62">
              <w:rPr>
                <w:rFonts w:asciiTheme="minorHAnsi" w:hAnsiTheme="minorHAnsi" w:cstheme="minorHAnsi"/>
                <w:color w:val="000000"/>
                <w:sz w:val="22"/>
                <w:szCs w:val="22"/>
                <w:lang w:eastAsia="en-IN"/>
              </w:rPr>
              <w:t>Prarambh</w:t>
            </w:r>
            <w:proofErr w:type="spellEnd"/>
            <w:r w:rsidRPr="00143D62">
              <w:rPr>
                <w:rFonts w:asciiTheme="minorHAnsi" w:hAnsiTheme="minorHAnsi" w:cstheme="minorHAnsi"/>
                <w:color w:val="000000"/>
                <w:sz w:val="22"/>
                <w:szCs w:val="22"/>
                <w:lang w:eastAsia="en-IN"/>
              </w:rPr>
              <w:t xml:space="preserve"> (Senior Leadership Development Program)</w:t>
            </w:r>
          </w:p>
        </w:tc>
        <w:tc>
          <w:tcPr>
            <w:tcW w:w="1686" w:type="dxa"/>
            <w:tcMar>
              <w:top w:w="0" w:type="dxa"/>
              <w:left w:w="108" w:type="dxa"/>
              <w:bottom w:w="0" w:type="dxa"/>
              <w:right w:w="108" w:type="dxa"/>
            </w:tcMar>
            <w:vAlign w:val="center"/>
            <w:hideMark/>
          </w:tcPr>
          <w:p w14:paraId="660348E4" w14:textId="77777777" w:rsidR="00F616FB" w:rsidRPr="00143D62" w:rsidRDefault="00F616FB" w:rsidP="00F616FB">
            <w:pPr>
              <w:spacing w:line="360" w:lineRule="auto"/>
              <w:jc w:val="center"/>
              <w:rPr>
                <w:rFonts w:asciiTheme="minorHAnsi" w:hAnsiTheme="minorHAnsi" w:cstheme="minorHAnsi"/>
                <w:color w:val="000000"/>
                <w:sz w:val="22"/>
                <w:szCs w:val="22"/>
                <w:lang w:eastAsia="en-IN"/>
              </w:rPr>
            </w:pPr>
            <w:r w:rsidRPr="00143D62">
              <w:rPr>
                <w:rFonts w:asciiTheme="minorHAnsi" w:hAnsiTheme="minorHAnsi" w:cstheme="minorHAnsi"/>
                <w:color w:val="000000"/>
                <w:sz w:val="22"/>
                <w:szCs w:val="22"/>
                <w:lang w:eastAsia="en-IN"/>
              </w:rPr>
              <w:t>2 Batches</w:t>
            </w:r>
          </w:p>
        </w:tc>
        <w:tc>
          <w:tcPr>
            <w:tcW w:w="1862" w:type="dxa"/>
            <w:tcMar>
              <w:top w:w="0" w:type="dxa"/>
              <w:left w:w="108" w:type="dxa"/>
              <w:bottom w:w="0" w:type="dxa"/>
              <w:right w:w="108" w:type="dxa"/>
            </w:tcMar>
            <w:vAlign w:val="center"/>
            <w:hideMark/>
          </w:tcPr>
          <w:p w14:paraId="271039C8" w14:textId="77777777" w:rsidR="00F616FB" w:rsidRPr="00143D62" w:rsidRDefault="00F616FB" w:rsidP="00F616FB">
            <w:pPr>
              <w:spacing w:line="360" w:lineRule="auto"/>
              <w:jc w:val="center"/>
              <w:rPr>
                <w:rFonts w:asciiTheme="minorHAnsi" w:hAnsiTheme="minorHAnsi" w:cstheme="minorHAnsi"/>
                <w:color w:val="000000"/>
                <w:sz w:val="22"/>
                <w:szCs w:val="22"/>
                <w:lang w:eastAsia="en-IN"/>
              </w:rPr>
            </w:pPr>
            <w:r w:rsidRPr="00143D62">
              <w:rPr>
                <w:rFonts w:asciiTheme="minorHAnsi" w:hAnsiTheme="minorHAnsi" w:cstheme="minorHAnsi"/>
                <w:color w:val="000000"/>
                <w:sz w:val="22"/>
                <w:szCs w:val="22"/>
                <w:lang w:eastAsia="en-IN"/>
              </w:rPr>
              <w:t>100%</w:t>
            </w:r>
          </w:p>
        </w:tc>
      </w:tr>
      <w:tr w:rsidR="00F616FB" w:rsidRPr="00143D62" w14:paraId="2D477FD0" w14:textId="77777777" w:rsidTr="00F616FB">
        <w:trPr>
          <w:trHeight w:val="392"/>
        </w:trPr>
        <w:tc>
          <w:tcPr>
            <w:tcW w:w="5240" w:type="dxa"/>
            <w:tcMar>
              <w:top w:w="0" w:type="dxa"/>
              <w:left w:w="108" w:type="dxa"/>
              <w:bottom w:w="0" w:type="dxa"/>
              <w:right w:w="108" w:type="dxa"/>
            </w:tcMar>
            <w:vAlign w:val="center"/>
            <w:hideMark/>
          </w:tcPr>
          <w:p w14:paraId="7F394100" w14:textId="77777777" w:rsidR="00F616FB" w:rsidRPr="00143D62" w:rsidRDefault="00F616FB" w:rsidP="00F616FB">
            <w:pPr>
              <w:spacing w:line="360" w:lineRule="auto"/>
              <w:rPr>
                <w:rFonts w:asciiTheme="minorHAnsi" w:hAnsiTheme="minorHAnsi" w:cstheme="minorHAnsi"/>
                <w:color w:val="000000"/>
                <w:sz w:val="22"/>
                <w:szCs w:val="22"/>
                <w:lang w:eastAsia="en-IN"/>
              </w:rPr>
            </w:pPr>
            <w:proofErr w:type="spellStart"/>
            <w:r w:rsidRPr="00143D62">
              <w:rPr>
                <w:rFonts w:asciiTheme="minorHAnsi" w:hAnsiTheme="minorHAnsi" w:cstheme="minorHAnsi"/>
                <w:color w:val="000000"/>
                <w:sz w:val="22"/>
                <w:szCs w:val="22"/>
                <w:lang w:eastAsia="en-IN"/>
              </w:rPr>
              <w:t>Prarambh</w:t>
            </w:r>
            <w:proofErr w:type="spellEnd"/>
            <w:r w:rsidRPr="00143D62">
              <w:rPr>
                <w:rFonts w:asciiTheme="minorHAnsi" w:hAnsiTheme="minorHAnsi" w:cstheme="minorHAnsi"/>
                <w:color w:val="000000"/>
                <w:sz w:val="22"/>
                <w:szCs w:val="22"/>
                <w:lang w:eastAsia="en-IN"/>
              </w:rPr>
              <w:t xml:space="preserve"> (Middle Level Leadership Development Program)</w:t>
            </w:r>
          </w:p>
        </w:tc>
        <w:tc>
          <w:tcPr>
            <w:tcW w:w="1686" w:type="dxa"/>
            <w:tcMar>
              <w:top w:w="0" w:type="dxa"/>
              <w:left w:w="108" w:type="dxa"/>
              <w:bottom w:w="0" w:type="dxa"/>
              <w:right w:w="108" w:type="dxa"/>
            </w:tcMar>
            <w:vAlign w:val="center"/>
            <w:hideMark/>
          </w:tcPr>
          <w:p w14:paraId="527F866C" w14:textId="77777777" w:rsidR="00F616FB" w:rsidRPr="00143D62" w:rsidRDefault="00F616FB" w:rsidP="00F616FB">
            <w:pPr>
              <w:spacing w:line="360" w:lineRule="auto"/>
              <w:jc w:val="center"/>
              <w:rPr>
                <w:rFonts w:asciiTheme="minorHAnsi" w:hAnsiTheme="minorHAnsi" w:cstheme="minorHAnsi"/>
                <w:color w:val="000000"/>
                <w:sz w:val="22"/>
                <w:szCs w:val="22"/>
                <w:lang w:eastAsia="en-IN"/>
              </w:rPr>
            </w:pPr>
            <w:r w:rsidRPr="00143D62">
              <w:rPr>
                <w:rFonts w:asciiTheme="minorHAnsi" w:hAnsiTheme="minorHAnsi" w:cstheme="minorHAnsi"/>
                <w:color w:val="000000"/>
                <w:sz w:val="22"/>
                <w:szCs w:val="22"/>
                <w:lang w:eastAsia="en-IN"/>
              </w:rPr>
              <w:t>5 Batches</w:t>
            </w:r>
          </w:p>
        </w:tc>
        <w:tc>
          <w:tcPr>
            <w:tcW w:w="1862" w:type="dxa"/>
            <w:tcMar>
              <w:top w:w="0" w:type="dxa"/>
              <w:left w:w="108" w:type="dxa"/>
              <w:bottom w:w="0" w:type="dxa"/>
              <w:right w:w="108" w:type="dxa"/>
            </w:tcMar>
            <w:vAlign w:val="center"/>
            <w:hideMark/>
          </w:tcPr>
          <w:p w14:paraId="0154CCF5" w14:textId="77777777" w:rsidR="00F616FB" w:rsidRPr="00143D62" w:rsidRDefault="00F616FB" w:rsidP="00F616FB">
            <w:pPr>
              <w:spacing w:line="360" w:lineRule="auto"/>
              <w:jc w:val="center"/>
              <w:rPr>
                <w:rFonts w:asciiTheme="minorHAnsi" w:hAnsiTheme="minorHAnsi" w:cstheme="minorHAnsi"/>
                <w:color w:val="000000"/>
                <w:sz w:val="22"/>
                <w:szCs w:val="22"/>
                <w:lang w:eastAsia="en-IN"/>
              </w:rPr>
            </w:pPr>
            <w:r w:rsidRPr="00143D62">
              <w:rPr>
                <w:rFonts w:asciiTheme="minorHAnsi" w:hAnsiTheme="minorHAnsi" w:cstheme="minorHAnsi"/>
                <w:color w:val="000000"/>
                <w:sz w:val="22"/>
                <w:szCs w:val="22"/>
                <w:lang w:eastAsia="en-IN"/>
              </w:rPr>
              <w:t>100%</w:t>
            </w:r>
          </w:p>
        </w:tc>
      </w:tr>
      <w:tr w:rsidR="00F616FB" w:rsidRPr="00143D62" w14:paraId="4502347E" w14:textId="77777777" w:rsidTr="00F616FB">
        <w:trPr>
          <w:trHeight w:val="392"/>
        </w:trPr>
        <w:tc>
          <w:tcPr>
            <w:tcW w:w="5240" w:type="dxa"/>
            <w:tcMar>
              <w:top w:w="0" w:type="dxa"/>
              <w:left w:w="108" w:type="dxa"/>
              <w:bottom w:w="0" w:type="dxa"/>
              <w:right w:w="108" w:type="dxa"/>
            </w:tcMar>
            <w:vAlign w:val="center"/>
            <w:hideMark/>
          </w:tcPr>
          <w:p w14:paraId="2AFF19DE" w14:textId="77777777" w:rsidR="00F616FB" w:rsidRPr="00143D62" w:rsidRDefault="00F616FB" w:rsidP="00F616FB">
            <w:pPr>
              <w:spacing w:line="360" w:lineRule="auto"/>
              <w:rPr>
                <w:rFonts w:asciiTheme="minorHAnsi" w:hAnsiTheme="minorHAnsi" w:cstheme="minorHAnsi"/>
                <w:color w:val="000000"/>
                <w:sz w:val="22"/>
                <w:szCs w:val="22"/>
                <w:lang w:eastAsia="en-IN"/>
              </w:rPr>
            </w:pPr>
            <w:proofErr w:type="spellStart"/>
            <w:r w:rsidRPr="00143D62">
              <w:rPr>
                <w:rFonts w:asciiTheme="minorHAnsi" w:hAnsiTheme="minorHAnsi" w:cstheme="minorHAnsi"/>
                <w:color w:val="000000"/>
                <w:sz w:val="22"/>
                <w:szCs w:val="22"/>
                <w:lang w:eastAsia="en-IN"/>
              </w:rPr>
              <w:t>Prarambh</w:t>
            </w:r>
            <w:proofErr w:type="spellEnd"/>
            <w:r w:rsidRPr="00143D62">
              <w:rPr>
                <w:rFonts w:asciiTheme="minorHAnsi" w:hAnsiTheme="minorHAnsi" w:cstheme="minorHAnsi"/>
                <w:color w:val="000000"/>
                <w:sz w:val="22"/>
                <w:szCs w:val="22"/>
                <w:lang w:eastAsia="en-IN"/>
              </w:rPr>
              <w:t xml:space="preserve"> (Executive Level Leadership Development Program)</w:t>
            </w:r>
          </w:p>
        </w:tc>
        <w:tc>
          <w:tcPr>
            <w:tcW w:w="1686" w:type="dxa"/>
            <w:tcMar>
              <w:top w:w="0" w:type="dxa"/>
              <w:left w:w="108" w:type="dxa"/>
              <w:bottom w:w="0" w:type="dxa"/>
              <w:right w:w="108" w:type="dxa"/>
            </w:tcMar>
            <w:vAlign w:val="center"/>
            <w:hideMark/>
          </w:tcPr>
          <w:p w14:paraId="17902DAF" w14:textId="77777777" w:rsidR="00F616FB" w:rsidRPr="00143D62" w:rsidRDefault="00F616FB" w:rsidP="00F616FB">
            <w:pPr>
              <w:spacing w:line="360" w:lineRule="auto"/>
              <w:jc w:val="center"/>
              <w:rPr>
                <w:rFonts w:asciiTheme="minorHAnsi" w:hAnsiTheme="minorHAnsi" w:cstheme="minorHAnsi"/>
                <w:color w:val="000000"/>
                <w:sz w:val="22"/>
                <w:szCs w:val="22"/>
                <w:lang w:eastAsia="en-IN"/>
              </w:rPr>
            </w:pPr>
            <w:r w:rsidRPr="00143D62">
              <w:rPr>
                <w:rFonts w:asciiTheme="minorHAnsi" w:hAnsiTheme="minorHAnsi" w:cstheme="minorHAnsi"/>
                <w:color w:val="000000"/>
                <w:sz w:val="22"/>
                <w:szCs w:val="22"/>
                <w:lang w:eastAsia="en-IN"/>
              </w:rPr>
              <w:t>10 Batches</w:t>
            </w:r>
          </w:p>
        </w:tc>
        <w:tc>
          <w:tcPr>
            <w:tcW w:w="1862" w:type="dxa"/>
            <w:tcMar>
              <w:top w:w="0" w:type="dxa"/>
              <w:left w:w="108" w:type="dxa"/>
              <w:bottom w:w="0" w:type="dxa"/>
              <w:right w:w="108" w:type="dxa"/>
            </w:tcMar>
            <w:vAlign w:val="center"/>
            <w:hideMark/>
          </w:tcPr>
          <w:p w14:paraId="11354E1C" w14:textId="77777777" w:rsidR="00F616FB" w:rsidRPr="00143D62" w:rsidRDefault="00F616FB" w:rsidP="00F616FB">
            <w:pPr>
              <w:spacing w:line="360" w:lineRule="auto"/>
              <w:jc w:val="center"/>
              <w:rPr>
                <w:rFonts w:asciiTheme="minorHAnsi" w:hAnsiTheme="minorHAnsi" w:cstheme="minorHAnsi"/>
                <w:color w:val="000000"/>
                <w:sz w:val="22"/>
                <w:szCs w:val="22"/>
                <w:lang w:eastAsia="en-IN"/>
              </w:rPr>
            </w:pPr>
            <w:r w:rsidRPr="00143D62">
              <w:rPr>
                <w:rFonts w:asciiTheme="minorHAnsi" w:hAnsiTheme="minorHAnsi" w:cstheme="minorHAnsi"/>
                <w:color w:val="000000"/>
                <w:sz w:val="22"/>
                <w:szCs w:val="22"/>
                <w:lang w:eastAsia="en-IN"/>
              </w:rPr>
              <w:t>100%</w:t>
            </w:r>
          </w:p>
        </w:tc>
      </w:tr>
      <w:tr w:rsidR="00F616FB" w:rsidRPr="00143D62" w14:paraId="7309B3E4" w14:textId="77777777" w:rsidTr="00F616FB">
        <w:trPr>
          <w:trHeight w:val="264"/>
        </w:trPr>
        <w:tc>
          <w:tcPr>
            <w:tcW w:w="5240" w:type="dxa"/>
            <w:tcMar>
              <w:top w:w="0" w:type="dxa"/>
              <w:left w:w="108" w:type="dxa"/>
              <w:bottom w:w="0" w:type="dxa"/>
              <w:right w:w="108" w:type="dxa"/>
            </w:tcMar>
            <w:vAlign w:val="center"/>
            <w:hideMark/>
          </w:tcPr>
          <w:p w14:paraId="00A49D55" w14:textId="77777777" w:rsidR="00F616FB" w:rsidRPr="00143D62" w:rsidRDefault="00F616FB" w:rsidP="00F616FB">
            <w:pPr>
              <w:spacing w:line="360" w:lineRule="auto"/>
              <w:rPr>
                <w:rFonts w:asciiTheme="minorHAnsi" w:hAnsiTheme="minorHAnsi" w:cstheme="minorHAnsi"/>
                <w:color w:val="000000"/>
                <w:sz w:val="22"/>
                <w:szCs w:val="22"/>
                <w:lang w:eastAsia="en-IN"/>
              </w:rPr>
            </w:pPr>
            <w:proofErr w:type="spellStart"/>
            <w:r w:rsidRPr="00143D62">
              <w:rPr>
                <w:rFonts w:asciiTheme="minorHAnsi" w:hAnsiTheme="minorHAnsi" w:cstheme="minorHAnsi"/>
                <w:color w:val="000000"/>
                <w:sz w:val="22"/>
                <w:szCs w:val="22"/>
                <w:lang w:eastAsia="en-IN"/>
              </w:rPr>
              <w:t>Prayaas</w:t>
            </w:r>
            <w:proofErr w:type="spellEnd"/>
            <w:r w:rsidRPr="00143D62">
              <w:rPr>
                <w:rFonts w:asciiTheme="minorHAnsi" w:hAnsiTheme="minorHAnsi" w:cstheme="minorHAnsi"/>
                <w:color w:val="000000"/>
                <w:sz w:val="22"/>
                <w:szCs w:val="22"/>
                <w:lang w:eastAsia="en-IN"/>
              </w:rPr>
              <w:t xml:space="preserve"> (Service Excellence-Customer Interaction cycle)</w:t>
            </w:r>
          </w:p>
        </w:tc>
        <w:tc>
          <w:tcPr>
            <w:tcW w:w="1686" w:type="dxa"/>
            <w:tcMar>
              <w:top w:w="0" w:type="dxa"/>
              <w:left w:w="108" w:type="dxa"/>
              <w:bottom w:w="0" w:type="dxa"/>
              <w:right w:w="108" w:type="dxa"/>
            </w:tcMar>
            <w:vAlign w:val="center"/>
            <w:hideMark/>
          </w:tcPr>
          <w:p w14:paraId="46346FB0" w14:textId="77777777" w:rsidR="00F616FB" w:rsidRPr="00143D62" w:rsidRDefault="00F616FB" w:rsidP="00F616FB">
            <w:pPr>
              <w:spacing w:line="360" w:lineRule="auto"/>
              <w:jc w:val="center"/>
              <w:rPr>
                <w:rFonts w:asciiTheme="minorHAnsi" w:hAnsiTheme="minorHAnsi" w:cstheme="minorHAnsi"/>
                <w:color w:val="000000"/>
                <w:sz w:val="22"/>
                <w:szCs w:val="22"/>
                <w:lang w:eastAsia="en-IN"/>
              </w:rPr>
            </w:pPr>
            <w:r w:rsidRPr="00143D62">
              <w:rPr>
                <w:rFonts w:asciiTheme="minorHAnsi" w:hAnsiTheme="minorHAnsi" w:cstheme="minorHAnsi"/>
                <w:color w:val="000000"/>
                <w:sz w:val="22"/>
                <w:szCs w:val="22"/>
                <w:lang w:eastAsia="en-IN"/>
              </w:rPr>
              <w:t>3 Batches</w:t>
            </w:r>
          </w:p>
        </w:tc>
        <w:tc>
          <w:tcPr>
            <w:tcW w:w="1862" w:type="dxa"/>
            <w:tcMar>
              <w:top w:w="0" w:type="dxa"/>
              <w:left w:w="108" w:type="dxa"/>
              <w:bottom w:w="0" w:type="dxa"/>
              <w:right w:w="108" w:type="dxa"/>
            </w:tcMar>
            <w:vAlign w:val="center"/>
            <w:hideMark/>
          </w:tcPr>
          <w:p w14:paraId="64AD9A6A" w14:textId="77777777" w:rsidR="00F616FB" w:rsidRPr="00143D62" w:rsidRDefault="00F616FB" w:rsidP="00F616FB">
            <w:pPr>
              <w:spacing w:line="360" w:lineRule="auto"/>
              <w:jc w:val="center"/>
              <w:rPr>
                <w:rFonts w:asciiTheme="minorHAnsi" w:hAnsiTheme="minorHAnsi" w:cstheme="minorHAnsi"/>
                <w:color w:val="000000"/>
                <w:sz w:val="22"/>
                <w:szCs w:val="22"/>
                <w:lang w:eastAsia="en-IN"/>
              </w:rPr>
            </w:pPr>
            <w:r w:rsidRPr="00143D62">
              <w:rPr>
                <w:rFonts w:asciiTheme="minorHAnsi" w:hAnsiTheme="minorHAnsi" w:cstheme="minorHAnsi"/>
                <w:color w:val="000000"/>
                <w:sz w:val="22"/>
                <w:szCs w:val="22"/>
                <w:lang w:eastAsia="en-IN"/>
              </w:rPr>
              <w:t>100%</w:t>
            </w:r>
          </w:p>
        </w:tc>
      </w:tr>
      <w:tr w:rsidR="00F616FB" w:rsidRPr="00143D62" w14:paraId="2A7FB5D1" w14:textId="77777777" w:rsidTr="00F616FB">
        <w:trPr>
          <w:trHeight w:val="392"/>
        </w:trPr>
        <w:tc>
          <w:tcPr>
            <w:tcW w:w="5240" w:type="dxa"/>
            <w:tcMar>
              <w:top w:w="0" w:type="dxa"/>
              <w:left w:w="108" w:type="dxa"/>
              <w:bottom w:w="0" w:type="dxa"/>
              <w:right w:w="108" w:type="dxa"/>
            </w:tcMar>
            <w:vAlign w:val="center"/>
            <w:hideMark/>
          </w:tcPr>
          <w:p w14:paraId="5647146F" w14:textId="77777777" w:rsidR="00F616FB" w:rsidRPr="00143D62" w:rsidRDefault="00F616FB" w:rsidP="00F616FB">
            <w:pPr>
              <w:spacing w:line="360" w:lineRule="auto"/>
              <w:rPr>
                <w:rFonts w:asciiTheme="minorHAnsi" w:hAnsiTheme="minorHAnsi" w:cstheme="minorHAnsi"/>
                <w:color w:val="000000"/>
                <w:sz w:val="22"/>
                <w:szCs w:val="22"/>
                <w:lang w:eastAsia="en-IN"/>
              </w:rPr>
            </w:pPr>
            <w:proofErr w:type="spellStart"/>
            <w:r w:rsidRPr="00143D62">
              <w:rPr>
                <w:rFonts w:asciiTheme="minorHAnsi" w:hAnsiTheme="minorHAnsi" w:cstheme="minorHAnsi"/>
                <w:color w:val="000000"/>
                <w:sz w:val="22"/>
                <w:szCs w:val="22"/>
                <w:lang w:eastAsia="en-IN"/>
              </w:rPr>
              <w:t>Prerna</w:t>
            </w:r>
            <w:proofErr w:type="spellEnd"/>
            <w:r w:rsidRPr="00143D62">
              <w:rPr>
                <w:rFonts w:asciiTheme="minorHAnsi" w:hAnsiTheme="minorHAnsi" w:cstheme="minorHAnsi"/>
                <w:color w:val="000000"/>
                <w:sz w:val="22"/>
                <w:szCs w:val="22"/>
                <w:lang w:eastAsia="en-IN"/>
              </w:rPr>
              <w:t xml:space="preserve"> (Best Practice Visit)</w:t>
            </w:r>
          </w:p>
        </w:tc>
        <w:tc>
          <w:tcPr>
            <w:tcW w:w="1686" w:type="dxa"/>
            <w:tcMar>
              <w:top w:w="0" w:type="dxa"/>
              <w:left w:w="108" w:type="dxa"/>
              <w:bottom w:w="0" w:type="dxa"/>
              <w:right w:w="108" w:type="dxa"/>
            </w:tcMar>
            <w:vAlign w:val="center"/>
            <w:hideMark/>
          </w:tcPr>
          <w:p w14:paraId="7FE7C1A9" w14:textId="77777777" w:rsidR="00F616FB" w:rsidRPr="00143D62" w:rsidRDefault="00F616FB" w:rsidP="00F616FB">
            <w:pPr>
              <w:rPr>
                <w:rFonts w:asciiTheme="minorHAnsi" w:hAnsiTheme="minorHAnsi" w:cstheme="minorHAnsi"/>
                <w:color w:val="000000"/>
                <w:sz w:val="22"/>
                <w:szCs w:val="22"/>
                <w:lang w:eastAsia="en-IN"/>
              </w:rPr>
            </w:pPr>
            <w:r w:rsidRPr="00143D62">
              <w:rPr>
                <w:rFonts w:asciiTheme="minorHAnsi" w:hAnsiTheme="minorHAnsi" w:cstheme="minorHAnsi"/>
                <w:color w:val="000000"/>
                <w:sz w:val="22"/>
                <w:szCs w:val="22"/>
                <w:lang w:eastAsia="en-IN"/>
              </w:rPr>
              <w:t xml:space="preserve">    10 Batches</w:t>
            </w:r>
          </w:p>
        </w:tc>
        <w:tc>
          <w:tcPr>
            <w:tcW w:w="1862" w:type="dxa"/>
            <w:tcMar>
              <w:top w:w="0" w:type="dxa"/>
              <w:left w:w="108" w:type="dxa"/>
              <w:bottom w:w="0" w:type="dxa"/>
              <w:right w:w="108" w:type="dxa"/>
            </w:tcMar>
            <w:vAlign w:val="center"/>
            <w:hideMark/>
          </w:tcPr>
          <w:p w14:paraId="78FD5A57" w14:textId="77777777" w:rsidR="00F616FB" w:rsidRPr="00143D62" w:rsidRDefault="00F616FB" w:rsidP="00F616FB">
            <w:pPr>
              <w:spacing w:line="360" w:lineRule="auto"/>
              <w:jc w:val="center"/>
              <w:rPr>
                <w:rFonts w:asciiTheme="minorHAnsi" w:hAnsiTheme="minorHAnsi" w:cstheme="minorHAnsi"/>
                <w:color w:val="000000"/>
                <w:sz w:val="22"/>
                <w:szCs w:val="22"/>
                <w:lang w:eastAsia="en-IN"/>
              </w:rPr>
            </w:pPr>
            <w:r w:rsidRPr="00143D62">
              <w:rPr>
                <w:rFonts w:asciiTheme="minorHAnsi" w:hAnsiTheme="minorHAnsi" w:cstheme="minorHAnsi"/>
                <w:color w:val="000000"/>
                <w:sz w:val="22"/>
                <w:szCs w:val="22"/>
                <w:lang w:eastAsia="en-IN"/>
              </w:rPr>
              <w:t xml:space="preserve">10% </w:t>
            </w:r>
            <w:r>
              <w:rPr>
                <w:rFonts w:asciiTheme="minorHAnsi" w:hAnsiTheme="minorHAnsi" w:cstheme="minorHAnsi"/>
                <w:color w:val="000000"/>
                <w:sz w:val="22"/>
                <w:szCs w:val="22"/>
                <w:lang w:eastAsia="en-IN"/>
              </w:rPr>
              <w:t>o</w:t>
            </w:r>
            <w:r w:rsidRPr="00143D62">
              <w:rPr>
                <w:rFonts w:asciiTheme="minorHAnsi" w:hAnsiTheme="minorHAnsi" w:cstheme="minorHAnsi"/>
                <w:color w:val="000000"/>
                <w:sz w:val="22"/>
                <w:szCs w:val="22"/>
                <w:lang w:eastAsia="en-IN"/>
              </w:rPr>
              <w:t>f total Executives</w:t>
            </w:r>
          </w:p>
        </w:tc>
      </w:tr>
      <w:tr w:rsidR="00F616FB" w:rsidRPr="00143D62" w14:paraId="7195F9D7" w14:textId="77777777" w:rsidTr="00F616FB">
        <w:trPr>
          <w:trHeight w:val="264"/>
        </w:trPr>
        <w:tc>
          <w:tcPr>
            <w:tcW w:w="5240" w:type="dxa"/>
            <w:tcMar>
              <w:top w:w="0" w:type="dxa"/>
              <w:left w:w="108" w:type="dxa"/>
              <w:bottom w:w="0" w:type="dxa"/>
              <w:right w:w="108" w:type="dxa"/>
            </w:tcMar>
            <w:vAlign w:val="center"/>
            <w:hideMark/>
          </w:tcPr>
          <w:p w14:paraId="006ED04C" w14:textId="77777777" w:rsidR="00F616FB" w:rsidRPr="00143D62" w:rsidRDefault="00F616FB" w:rsidP="00F616FB">
            <w:pPr>
              <w:spacing w:line="360" w:lineRule="auto"/>
              <w:rPr>
                <w:rFonts w:asciiTheme="minorHAnsi" w:hAnsiTheme="minorHAnsi" w:cstheme="minorHAnsi"/>
                <w:color w:val="000000"/>
                <w:sz w:val="22"/>
                <w:szCs w:val="22"/>
                <w:lang w:eastAsia="en-IN"/>
              </w:rPr>
            </w:pPr>
            <w:proofErr w:type="spellStart"/>
            <w:r w:rsidRPr="00143D62">
              <w:rPr>
                <w:rFonts w:asciiTheme="minorHAnsi" w:hAnsiTheme="minorHAnsi" w:cstheme="minorHAnsi"/>
                <w:color w:val="000000"/>
                <w:sz w:val="22"/>
                <w:szCs w:val="22"/>
                <w:lang w:eastAsia="en-IN"/>
              </w:rPr>
              <w:t>Gyankosh</w:t>
            </w:r>
            <w:proofErr w:type="spellEnd"/>
            <w:r w:rsidRPr="00143D62">
              <w:rPr>
                <w:rFonts w:asciiTheme="minorHAnsi" w:hAnsiTheme="minorHAnsi" w:cstheme="minorHAnsi"/>
                <w:color w:val="000000"/>
                <w:sz w:val="22"/>
                <w:szCs w:val="22"/>
                <w:lang w:eastAsia="en-IN"/>
              </w:rPr>
              <w:t xml:space="preserve"> (Online Portal)</w:t>
            </w:r>
          </w:p>
        </w:tc>
        <w:tc>
          <w:tcPr>
            <w:tcW w:w="1686" w:type="dxa"/>
            <w:tcMar>
              <w:top w:w="0" w:type="dxa"/>
              <w:left w:w="108" w:type="dxa"/>
              <w:bottom w:w="0" w:type="dxa"/>
              <w:right w:w="108" w:type="dxa"/>
            </w:tcMar>
            <w:vAlign w:val="center"/>
            <w:hideMark/>
          </w:tcPr>
          <w:p w14:paraId="36399E05" w14:textId="77777777" w:rsidR="00F616FB" w:rsidRPr="00143D62" w:rsidRDefault="00F616FB" w:rsidP="00F616FB">
            <w:pPr>
              <w:rPr>
                <w:rFonts w:asciiTheme="minorHAnsi" w:hAnsiTheme="minorHAnsi" w:cstheme="minorHAnsi"/>
                <w:color w:val="000000"/>
                <w:sz w:val="22"/>
                <w:szCs w:val="22"/>
                <w:lang w:eastAsia="en-IN"/>
              </w:rPr>
            </w:pPr>
          </w:p>
        </w:tc>
        <w:tc>
          <w:tcPr>
            <w:tcW w:w="1862" w:type="dxa"/>
            <w:tcMar>
              <w:top w:w="0" w:type="dxa"/>
              <w:left w:w="108" w:type="dxa"/>
              <w:bottom w:w="0" w:type="dxa"/>
              <w:right w:w="108" w:type="dxa"/>
            </w:tcMar>
            <w:vAlign w:val="center"/>
            <w:hideMark/>
          </w:tcPr>
          <w:p w14:paraId="5B6FF850" w14:textId="77777777" w:rsidR="00F616FB" w:rsidRPr="00143D62" w:rsidRDefault="00F616FB" w:rsidP="00F616FB">
            <w:pPr>
              <w:spacing w:line="360" w:lineRule="auto"/>
              <w:jc w:val="center"/>
              <w:rPr>
                <w:rFonts w:asciiTheme="minorHAnsi" w:hAnsiTheme="minorHAnsi" w:cstheme="minorHAnsi"/>
                <w:color w:val="000000"/>
                <w:sz w:val="22"/>
                <w:szCs w:val="22"/>
                <w:lang w:eastAsia="en-IN"/>
              </w:rPr>
            </w:pPr>
            <w:r w:rsidRPr="00143D62">
              <w:rPr>
                <w:rFonts w:asciiTheme="minorHAnsi" w:hAnsiTheme="minorHAnsi" w:cstheme="minorHAnsi"/>
                <w:color w:val="000000"/>
                <w:sz w:val="22"/>
                <w:szCs w:val="22"/>
                <w:lang w:eastAsia="en-IN"/>
              </w:rPr>
              <w:t>100%</w:t>
            </w:r>
          </w:p>
        </w:tc>
      </w:tr>
      <w:tr w:rsidR="00F616FB" w:rsidRPr="00143D62" w14:paraId="6EF61E29" w14:textId="77777777" w:rsidTr="00F616FB">
        <w:trPr>
          <w:trHeight w:val="264"/>
        </w:trPr>
        <w:tc>
          <w:tcPr>
            <w:tcW w:w="5240" w:type="dxa"/>
            <w:tcMar>
              <w:top w:w="0" w:type="dxa"/>
              <w:left w:w="108" w:type="dxa"/>
              <w:bottom w:w="0" w:type="dxa"/>
              <w:right w:w="108" w:type="dxa"/>
            </w:tcMar>
            <w:vAlign w:val="center"/>
            <w:hideMark/>
          </w:tcPr>
          <w:p w14:paraId="219E92B6" w14:textId="77777777" w:rsidR="00F616FB" w:rsidRPr="00143D62" w:rsidRDefault="00F616FB" w:rsidP="00F616FB">
            <w:pPr>
              <w:spacing w:line="360" w:lineRule="auto"/>
              <w:rPr>
                <w:rFonts w:asciiTheme="minorHAnsi" w:hAnsiTheme="minorHAnsi" w:cstheme="minorHAnsi"/>
                <w:color w:val="000000"/>
                <w:sz w:val="22"/>
                <w:szCs w:val="22"/>
                <w:lang w:eastAsia="en-IN"/>
              </w:rPr>
            </w:pPr>
            <w:r w:rsidRPr="00143D62">
              <w:rPr>
                <w:rFonts w:asciiTheme="minorHAnsi" w:hAnsiTheme="minorHAnsi" w:cstheme="minorHAnsi"/>
                <w:color w:val="000000"/>
                <w:sz w:val="22"/>
                <w:szCs w:val="22"/>
                <w:lang w:eastAsia="en-IN"/>
              </w:rPr>
              <w:t>Safety Training Programs (Executive)</w:t>
            </w:r>
          </w:p>
        </w:tc>
        <w:tc>
          <w:tcPr>
            <w:tcW w:w="1686" w:type="dxa"/>
            <w:tcMar>
              <w:top w:w="0" w:type="dxa"/>
              <w:left w:w="108" w:type="dxa"/>
              <w:bottom w:w="0" w:type="dxa"/>
              <w:right w:w="108" w:type="dxa"/>
            </w:tcMar>
            <w:vAlign w:val="center"/>
            <w:hideMark/>
          </w:tcPr>
          <w:p w14:paraId="5B6F0F48" w14:textId="77777777" w:rsidR="00F616FB" w:rsidRPr="00143D62" w:rsidRDefault="00F616FB" w:rsidP="00F616FB">
            <w:pPr>
              <w:spacing w:line="360" w:lineRule="auto"/>
              <w:jc w:val="center"/>
              <w:rPr>
                <w:rFonts w:asciiTheme="minorHAnsi" w:hAnsiTheme="minorHAnsi" w:cstheme="minorHAnsi"/>
                <w:color w:val="000000"/>
                <w:sz w:val="22"/>
                <w:szCs w:val="22"/>
                <w:lang w:eastAsia="en-IN"/>
              </w:rPr>
            </w:pPr>
            <w:r w:rsidRPr="00143D62">
              <w:rPr>
                <w:rFonts w:asciiTheme="minorHAnsi" w:hAnsiTheme="minorHAnsi" w:cstheme="minorHAnsi"/>
                <w:color w:val="000000"/>
                <w:sz w:val="22"/>
                <w:szCs w:val="22"/>
                <w:lang w:eastAsia="en-IN"/>
              </w:rPr>
              <w:t xml:space="preserve">25 </w:t>
            </w:r>
            <w:r>
              <w:rPr>
                <w:rFonts w:asciiTheme="minorHAnsi" w:hAnsiTheme="minorHAnsi" w:cstheme="minorHAnsi"/>
                <w:color w:val="000000"/>
                <w:sz w:val="22"/>
                <w:szCs w:val="22"/>
                <w:lang w:eastAsia="en-IN"/>
              </w:rPr>
              <w:t>B</w:t>
            </w:r>
            <w:r w:rsidRPr="00143D62">
              <w:rPr>
                <w:rFonts w:asciiTheme="minorHAnsi" w:hAnsiTheme="minorHAnsi" w:cstheme="minorHAnsi"/>
                <w:color w:val="000000"/>
                <w:sz w:val="22"/>
                <w:szCs w:val="22"/>
                <w:lang w:eastAsia="en-IN"/>
              </w:rPr>
              <w:t>atches</w:t>
            </w:r>
          </w:p>
        </w:tc>
        <w:tc>
          <w:tcPr>
            <w:tcW w:w="1862" w:type="dxa"/>
            <w:tcMar>
              <w:top w:w="0" w:type="dxa"/>
              <w:left w:w="108" w:type="dxa"/>
              <w:bottom w:w="0" w:type="dxa"/>
              <w:right w:w="108" w:type="dxa"/>
            </w:tcMar>
            <w:vAlign w:val="center"/>
            <w:hideMark/>
          </w:tcPr>
          <w:p w14:paraId="4EAA1BB7" w14:textId="77777777" w:rsidR="00F616FB" w:rsidRPr="00143D62" w:rsidRDefault="00F616FB" w:rsidP="00F616FB">
            <w:pPr>
              <w:spacing w:line="360" w:lineRule="auto"/>
              <w:jc w:val="center"/>
              <w:rPr>
                <w:rFonts w:asciiTheme="minorHAnsi" w:hAnsiTheme="minorHAnsi" w:cstheme="minorHAnsi"/>
                <w:color w:val="000000"/>
                <w:sz w:val="22"/>
                <w:szCs w:val="22"/>
                <w:lang w:eastAsia="en-IN"/>
              </w:rPr>
            </w:pPr>
            <w:r w:rsidRPr="00143D62">
              <w:rPr>
                <w:rFonts w:asciiTheme="minorHAnsi" w:hAnsiTheme="minorHAnsi" w:cstheme="minorHAnsi"/>
                <w:color w:val="000000"/>
                <w:sz w:val="22"/>
                <w:szCs w:val="22"/>
                <w:lang w:eastAsia="en-IN"/>
              </w:rPr>
              <w:t>100%</w:t>
            </w:r>
          </w:p>
        </w:tc>
      </w:tr>
      <w:tr w:rsidR="00F616FB" w:rsidRPr="00143D62" w14:paraId="4B35DA21" w14:textId="77777777" w:rsidTr="00F616FB">
        <w:trPr>
          <w:trHeight w:val="264"/>
        </w:trPr>
        <w:tc>
          <w:tcPr>
            <w:tcW w:w="5240" w:type="dxa"/>
            <w:tcMar>
              <w:top w:w="0" w:type="dxa"/>
              <w:left w:w="108" w:type="dxa"/>
              <w:bottom w:w="0" w:type="dxa"/>
              <w:right w:w="108" w:type="dxa"/>
            </w:tcMar>
            <w:vAlign w:val="center"/>
            <w:hideMark/>
          </w:tcPr>
          <w:p w14:paraId="72EFED33" w14:textId="77777777" w:rsidR="00F616FB" w:rsidRPr="00143D62" w:rsidRDefault="00F616FB" w:rsidP="00F616FB">
            <w:pPr>
              <w:spacing w:line="360" w:lineRule="auto"/>
              <w:rPr>
                <w:rFonts w:asciiTheme="minorHAnsi" w:hAnsiTheme="minorHAnsi" w:cstheme="minorHAnsi"/>
                <w:color w:val="000000"/>
                <w:sz w:val="22"/>
                <w:szCs w:val="22"/>
                <w:lang w:eastAsia="en-IN"/>
              </w:rPr>
            </w:pPr>
            <w:r w:rsidRPr="00143D62">
              <w:rPr>
                <w:rFonts w:asciiTheme="minorHAnsi" w:hAnsiTheme="minorHAnsi" w:cstheme="minorHAnsi"/>
                <w:color w:val="000000"/>
                <w:sz w:val="22"/>
                <w:szCs w:val="22"/>
                <w:lang w:eastAsia="en-IN"/>
              </w:rPr>
              <w:t>Safety Training Programs (BA)</w:t>
            </w:r>
          </w:p>
        </w:tc>
        <w:tc>
          <w:tcPr>
            <w:tcW w:w="1686" w:type="dxa"/>
            <w:tcMar>
              <w:top w:w="0" w:type="dxa"/>
              <w:left w:w="108" w:type="dxa"/>
              <w:bottom w:w="0" w:type="dxa"/>
              <w:right w:w="108" w:type="dxa"/>
            </w:tcMar>
            <w:vAlign w:val="center"/>
            <w:hideMark/>
          </w:tcPr>
          <w:p w14:paraId="796BA35A" w14:textId="77777777" w:rsidR="00F616FB" w:rsidRPr="00143D62" w:rsidRDefault="00F616FB" w:rsidP="00F616FB">
            <w:pPr>
              <w:spacing w:line="360" w:lineRule="auto"/>
              <w:jc w:val="center"/>
              <w:rPr>
                <w:rFonts w:asciiTheme="minorHAnsi" w:hAnsiTheme="minorHAnsi" w:cstheme="minorHAnsi"/>
                <w:color w:val="000000"/>
                <w:sz w:val="22"/>
                <w:szCs w:val="22"/>
                <w:lang w:eastAsia="en-IN"/>
              </w:rPr>
            </w:pPr>
            <w:r w:rsidRPr="00143D62">
              <w:rPr>
                <w:rFonts w:asciiTheme="minorHAnsi" w:hAnsiTheme="minorHAnsi" w:cstheme="minorHAnsi"/>
                <w:color w:val="000000"/>
                <w:sz w:val="22"/>
                <w:szCs w:val="22"/>
                <w:lang w:eastAsia="en-IN"/>
              </w:rPr>
              <w:t>15 Batches</w:t>
            </w:r>
          </w:p>
        </w:tc>
        <w:tc>
          <w:tcPr>
            <w:tcW w:w="1862" w:type="dxa"/>
            <w:tcMar>
              <w:top w:w="0" w:type="dxa"/>
              <w:left w:w="108" w:type="dxa"/>
              <w:bottom w:w="0" w:type="dxa"/>
              <w:right w:w="108" w:type="dxa"/>
            </w:tcMar>
            <w:vAlign w:val="center"/>
            <w:hideMark/>
          </w:tcPr>
          <w:p w14:paraId="3166AE34" w14:textId="77777777" w:rsidR="00F616FB" w:rsidRPr="00143D62" w:rsidRDefault="00F616FB" w:rsidP="00F616FB">
            <w:pPr>
              <w:spacing w:line="360" w:lineRule="auto"/>
              <w:jc w:val="center"/>
              <w:rPr>
                <w:rFonts w:asciiTheme="minorHAnsi" w:hAnsiTheme="minorHAnsi" w:cstheme="minorHAnsi"/>
                <w:color w:val="000000"/>
                <w:sz w:val="22"/>
                <w:szCs w:val="22"/>
                <w:lang w:eastAsia="en-IN"/>
              </w:rPr>
            </w:pPr>
            <w:r w:rsidRPr="00143D62">
              <w:rPr>
                <w:rFonts w:asciiTheme="minorHAnsi" w:hAnsiTheme="minorHAnsi" w:cstheme="minorHAnsi"/>
                <w:color w:val="000000"/>
                <w:sz w:val="22"/>
                <w:szCs w:val="22"/>
                <w:lang w:eastAsia="en-IN"/>
              </w:rPr>
              <w:t>50%</w:t>
            </w:r>
          </w:p>
        </w:tc>
      </w:tr>
      <w:tr w:rsidR="00F616FB" w:rsidRPr="00143D62" w14:paraId="3A294349" w14:textId="77777777" w:rsidTr="00F616FB">
        <w:trPr>
          <w:trHeight w:val="264"/>
        </w:trPr>
        <w:tc>
          <w:tcPr>
            <w:tcW w:w="5240" w:type="dxa"/>
            <w:tcMar>
              <w:top w:w="0" w:type="dxa"/>
              <w:left w:w="108" w:type="dxa"/>
              <w:bottom w:w="0" w:type="dxa"/>
              <w:right w:w="108" w:type="dxa"/>
            </w:tcMar>
            <w:vAlign w:val="center"/>
            <w:hideMark/>
          </w:tcPr>
          <w:p w14:paraId="6BFE0AA3" w14:textId="77777777" w:rsidR="00F616FB" w:rsidRPr="00143D62" w:rsidRDefault="00F616FB" w:rsidP="00F616FB">
            <w:pPr>
              <w:spacing w:line="360" w:lineRule="auto"/>
              <w:rPr>
                <w:rFonts w:asciiTheme="minorHAnsi" w:hAnsiTheme="minorHAnsi" w:cstheme="minorHAnsi"/>
                <w:color w:val="000000"/>
                <w:sz w:val="22"/>
                <w:szCs w:val="22"/>
                <w:lang w:eastAsia="en-IN"/>
              </w:rPr>
            </w:pPr>
            <w:r w:rsidRPr="00143D62">
              <w:rPr>
                <w:rFonts w:asciiTheme="minorHAnsi" w:hAnsiTheme="minorHAnsi" w:cstheme="minorHAnsi"/>
                <w:color w:val="000000"/>
                <w:sz w:val="22"/>
                <w:szCs w:val="22"/>
                <w:lang w:eastAsia="en-IN"/>
              </w:rPr>
              <w:t>Women Empowerment Programs</w:t>
            </w:r>
          </w:p>
        </w:tc>
        <w:tc>
          <w:tcPr>
            <w:tcW w:w="1686" w:type="dxa"/>
            <w:tcMar>
              <w:top w:w="0" w:type="dxa"/>
              <w:left w:w="108" w:type="dxa"/>
              <w:bottom w:w="0" w:type="dxa"/>
              <w:right w:w="108" w:type="dxa"/>
            </w:tcMar>
            <w:vAlign w:val="center"/>
            <w:hideMark/>
          </w:tcPr>
          <w:p w14:paraId="0BEB0994" w14:textId="77777777" w:rsidR="00F616FB" w:rsidRPr="00143D62" w:rsidRDefault="00F616FB" w:rsidP="00F616FB">
            <w:pPr>
              <w:spacing w:line="360" w:lineRule="auto"/>
              <w:jc w:val="center"/>
              <w:rPr>
                <w:rFonts w:asciiTheme="minorHAnsi" w:hAnsiTheme="minorHAnsi" w:cstheme="minorHAnsi"/>
                <w:color w:val="000000"/>
                <w:sz w:val="22"/>
                <w:szCs w:val="22"/>
                <w:lang w:eastAsia="en-IN"/>
              </w:rPr>
            </w:pPr>
            <w:r w:rsidRPr="00143D62">
              <w:rPr>
                <w:rFonts w:asciiTheme="minorHAnsi" w:hAnsiTheme="minorHAnsi" w:cstheme="minorHAnsi"/>
                <w:color w:val="000000"/>
                <w:sz w:val="22"/>
                <w:szCs w:val="22"/>
                <w:lang w:eastAsia="en-IN"/>
              </w:rPr>
              <w:t>5 Batches</w:t>
            </w:r>
          </w:p>
        </w:tc>
        <w:tc>
          <w:tcPr>
            <w:tcW w:w="1862" w:type="dxa"/>
            <w:tcMar>
              <w:top w:w="0" w:type="dxa"/>
              <w:left w:w="108" w:type="dxa"/>
              <w:bottom w:w="0" w:type="dxa"/>
              <w:right w:w="108" w:type="dxa"/>
            </w:tcMar>
            <w:vAlign w:val="center"/>
            <w:hideMark/>
          </w:tcPr>
          <w:p w14:paraId="52DB17B4" w14:textId="77777777" w:rsidR="00F616FB" w:rsidRPr="00143D62" w:rsidRDefault="00F616FB" w:rsidP="00F616FB">
            <w:pPr>
              <w:spacing w:line="360" w:lineRule="auto"/>
              <w:jc w:val="center"/>
              <w:rPr>
                <w:rFonts w:asciiTheme="minorHAnsi" w:hAnsiTheme="minorHAnsi" w:cstheme="minorHAnsi"/>
                <w:color w:val="000000"/>
                <w:sz w:val="22"/>
                <w:szCs w:val="22"/>
                <w:lang w:eastAsia="en-IN"/>
              </w:rPr>
            </w:pPr>
            <w:r w:rsidRPr="00143D62">
              <w:rPr>
                <w:rFonts w:asciiTheme="minorHAnsi" w:hAnsiTheme="minorHAnsi" w:cstheme="minorHAnsi"/>
                <w:color w:val="000000"/>
                <w:sz w:val="22"/>
                <w:szCs w:val="22"/>
                <w:lang w:eastAsia="en-IN"/>
              </w:rPr>
              <w:t>100%</w:t>
            </w:r>
          </w:p>
        </w:tc>
      </w:tr>
      <w:tr w:rsidR="00F616FB" w:rsidRPr="00143D62" w14:paraId="60F9308D" w14:textId="77777777" w:rsidTr="00F616FB">
        <w:trPr>
          <w:trHeight w:val="264"/>
        </w:trPr>
        <w:tc>
          <w:tcPr>
            <w:tcW w:w="5240" w:type="dxa"/>
            <w:tcMar>
              <w:top w:w="0" w:type="dxa"/>
              <w:left w:w="108" w:type="dxa"/>
              <w:bottom w:w="0" w:type="dxa"/>
              <w:right w:w="108" w:type="dxa"/>
            </w:tcMar>
            <w:vAlign w:val="center"/>
            <w:hideMark/>
          </w:tcPr>
          <w:p w14:paraId="5C071AC3" w14:textId="77777777" w:rsidR="00F616FB" w:rsidRPr="00143D62" w:rsidRDefault="00F616FB" w:rsidP="00F616FB">
            <w:pPr>
              <w:spacing w:line="360" w:lineRule="auto"/>
              <w:rPr>
                <w:rFonts w:asciiTheme="minorHAnsi" w:hAnsiTheme="minorHAnsi" w:cstheme="minorHAnsi"/>
                <w:color w:val="000000"/>
                <w:sz w:val="22"/>
                <w:szCs w:val="22"/>
                <w:lang w:eastAsia="en-IN"/>
              </w:rPr>
            </w:pPr>
            <w:r w:rsidRPr="00143D62">
              <w:rPr>
                <w:rFonts w:asciiTheme="minorHAnsi" w:hAnsiTheme="minorHAnsi" w:cstheme="minorHAnsi"/>
                <w:color w:val="000000"/>
                <w:sz w:val="22"/>
                <w:szCs w:val="22"/>
                <w:lang w:eastAsia="en-IN"/>
              </w:rPr>
              <w:t>Internal Capability Building (TTT)</w:t>
            </w:r>
          </w:p>
        </w:tc>
        <w:tc>
          <w:tcPr>
            <w:tcW w:w="1686" w:type="dxa"/>
            <w:tcMar>
              <w:top w:w="0" w:type="dxa"/>
              <w:left w:w="108" w:type="dxa"/>
              <w:bottom w:w="0" w:type="dxa"/>
              <w:right w:w="108" w:type="dxa"/>
            </w:tcMar>
            <w:vAlign w:val="center"/>
            <w:hideMark/>
          </w:tcPr>
          <w:p w14:paraId="179AA37A" w14:textId="77777777" w:rsidR="00F616FB" w:rsidRPr="00143D62" w:rsidRDefault="00F616FB" w:rsidP="00F616FB">
            <w:pPr>
              <w:spacing w:line="360" w:lineRule="auto"/>
              <w:jc w:val="center"/>
              <w:rPr>
                <w:rFonts w:asciiTheme="minorHAnsi" w:hAnsiTheme="minorHAnsi" w:cstheme="minorHAnsi"/>
                <w:color w:val="000000"/>
                <w:sz w:val="22"/>
                <w:szCs w:val="22"/>
                <w:lang w:eastAsia="en-IN"/>
              </w:rPr>
            </w:pPr>
            <w:r w:rsidRPr="00143D62">
              <w:rPr>
                <w:rFonts w:asciiTheme="minorHAnsi" w:hAnsiTheme="minorHAnsi" w:cstheme="minorHAnsi"/>
                <w:color w:val="000000"/>
                <w:sz w:val="22"/>
                <w:szCs w:val="22"/>
                <w:lang w:eastAsia="en-IN"/>
              </w:rPr>
              <w:t>2 Batches</w:t>
            </w:r>
          </w:p>
        </w:tc>
        <w:tc>
          <w:tcPr>
            <w:tcW w:w="1862" w:type="dxa"/>
            <w:tcMar>
              <w:top w:w="0" w:type="dxa"/>
              <w:left w:w="108" w:type="dxa"/>
              <w:bottom w:w="0" w:type="dxa"/>
              <w:right w:w="108" w:type="dxa"/>
            </w:tcMar>
            <w:vAlign w:val="center"/>
            <w:hideMark/>
          </w:tcPr>
          <w:p w14:paraId="227E43BB" w14:textId="77777777" w:rsidR="00F616FB" w:rsidRPr="00143D62" w:rsidRDefault="00F616FB" w:rsidP="00F616FB">
            <w:pPr>
              <w:spacing w:line="360" w:lineRule="auto"/>
              <w:jc w:val="center"/>
              <w:rPr>
                <w:rFonts w:asciiTheme="minorHAnsi" w:hAnsiTheme="minorHAnsi" w:cstheme="minorHAnsi"/>
                <w:color w:val="000000"/>
                <w:sz w:val="22"/>
                <w:szCs w:val="22"/>
                <w:lang w:eastAsia="en-IN"/>
              </w:rPr>
            </w:pPr>
            <w:r w:rsidRPr="00143D62">
              <w:rPr>
                <w:rFonts w:asciiTheme="minorHAnsi" w:hAnsiTheme="minorHAnsi" w:cstheme="minorHAnsi"/>
                <w:color w:val="000000"/>
                <w:sz w:val="22"/>
                <w:szCs w:val="22"/>
                <w:lang w:eastAsia="en-IN"/>
              </w:rPr>
              <w:t>For Non-Executives</w:t>
            </w:r>
          </w:p>
        </w:tc>
      </w:tr>
      <w:tr w:rsidR="00F616FB" w:rsidRPr="00143D62" w14:paraId="366DDCCC" w14:textId="77777777" w:rsidTr="00F616FB">
        <w:trPr>
          <w:trHeight w:val="264"/>
        </w:trPr>
        <w:tc>
          <w:tcPr>
            <w:tcW w:w="5240" w:type="dxa"/>
            <w:tcMar>
              <w:top w:w="0" w:type="dxa"/>
              <w:left w:w="108" w:type="dxa"/>
              <w:bottom w:w="0" w:type="dxa"/>
              <w:right w:w="108" w:type="dxa"/>
            </w:tcMar>
            <w:vAlign w:val="center"/>
            <w:hideMark/>
          </w:tcPr>
          <w:p w14:paraId="52C88656" w14:textId="77777777" w:rsidR="00F616FB" w:rsidRPr="00143D62" w:rsidRDefault="00F616FB" w:rsidP="00F616FB">
            <w:pPr>
              <w:spacing w:line="360" w:lineRule="auto"/>
              <w:rPr>
                <w:rFonts w:asciiTheme="minorHAnsi" w:hAnsiTheme="minorHAnsi" w:cstheme="minorHAnsi"/>
                <w:color w:val="000000"/>
                <w:sz w:val="22"/>
                <w:szCs w:val="22"/>
                <w:lang w:eastAsia="en-IN"/>
              </w:rPr>
            </w:pPr>
            <w:r w:rsidRPr="00143D62">
              <w:rPr>
                <w:rFonts w:asciiTheme="minorHAnsi" w:hAnsiTheme="minorHAnsi" w:cstheme="minorHAnsi"/>
                <w:color w:val="000000"/>
                <w:sz w:val="22"/>
                <w:szCs w:val="22"/>
                <w:lang w:eastAsia="en-IN"/>
              </w:rPr>
              <w:t>Functional Training</w:t>
            </w:r>
          </w:p>
        </w:tc>
        <w:tc>
          <w:tcPr>
            <w:tcW w:w="1686" w:type="dxa"/>
            <w:tcMar>
              <w:top w:w="0" w:type="dxa"/>
              <w:left w:w="108" w:type="dxa"/>
              <w:bottom w:w="0" w:type="dxa"/>
              <w:right w:w="108" w:type="dxa"/>
            </w:tcMar>
            <w:vAlign w:val="center"/>
            <w:hideMark/>
          </w:tcPr>
          <w:p w14:paraId="71D66768" w14:textId="77777777" w:rsidR="00F616FB" w:rsidRPr="00143D62" w:rsidRDefault="00F616FB" w:rsidP="00F616FB">
            <w:pPr>
              <w:spacing w:line="360" w:lineRule="auto"/>
              <w:jc w:val="center"/>
              <w:rPr>
                <w:rFonts w:asciiTheme="minorHAnsi" w:hAnsiTheme="minorHAnsi" w:cstheme="minorHAnsi"/>
                <w:color w:val="000000"/>
                <w:sz w:val="22"/>
                <w:szCs w:val="22"/>
                <w:lang w:eastAsia="en-IN"/>
              </w:rPr>
            </w:pPr>
            <w:r w:rsidRPr="00143D62">
              <w:rPr>
                <w:rFonts w:asciiTheme="minorHAnsi" w:hAnsiTheme="minorHAnsi" w:cstheme="minorHAnsi"/>
                <w:color w:val="000000"/>
                <w:sz w:val="22"/>
                <w:szCs w:val="22"/>
                <w:lang w:eastAsia="en-IN"/>
              </w:rPr>
              <w:t xml:space="preserve">10 </w:t>
            </w:r>
            <w:r>
              <w:rPr>
                <w:rFonts w:asciiTheme="minorHAnsi" w:hAnsiTheme="minorHAnsi" w:cstheme="minorHAnsi"/>
                <w:color w:val="000000"/>
                <w:sz w:val="22"/>
                <w:szCs w:val="22"/>
                <w:lang w:eastAsia="en-IN"/>
              </w:rPr>
              <w:t>B</w:t>
            </w:r>
            <w:r w:rsidRPr="00143D62">
              <w:rPr>
                <w:rFonts w:asciiTheme="minorHAnsi" w:hAnsiTheme="minorHAnsi" w:cstheme="minorHAnsi"/>
                <w:color w:val="000000"/>
                <w:sz w:val="22"/>
                <w:szCs w:val="22"/>
                <w:lang w:eastAsia="en-IN"/>
              </w:rPr>
              <w:t>atches</w:t>
            </w:r>
          </w:p>
        </w:tc>
        <w:tc>
          <w:tcPr>
            <w:tcW w:w="1862" w:type="dxa"/>
            <w:tcMar>
              <w:top w:w="0" w:type="dxa"/>
              <w:left w:w="108" w:type="dxa"/>
              <w:bottom w:w="0" w:type="dxa"/>
              <w:right w:w="108" w:type="dxa"/>
            </w:tcMar>
            <w:vAlign w:val="center"/>
            <w:hideMark/>
          </w:tcPr>
          <w:p w14:paraId="4949FCA3" w14:textId="77777777" w:rsidR="00F616FB" w:rsidRPr="00143D62" w:rsidRDefault="00F616FB" w:rsidP="00F616FB">
            <w:pPr>
              <w:spacing w:line="360" w:lineRule="auto"/>
              <w:jc w:val="center"/>
              <w:rPr>
                <w:rFonts w:asciiTheme="minorHAnsi" w:hAnsiTheme="minorHAnsi" w:cstheme="minorHAnsi"/>
                <w:color w:val="000000"/>
                <w:sz w:val="22"/>
                <w:szCs w:val="22"/>
                <w:lang w:eastAsia="en-IN"/>
              </w:rPr>
            </w:pPr>
            <w:r w:rsidRPr="00143D62">
              <w:rPr>
                <w:rFonts w:asciiTheme="minorHAnsi" w:hAnsiTheme="minorHAnsi" w:cstheme="minorHAnsi"/>
                <w:color w:val="000000"/>
                <w:sz w:val="22"/>
                <w:szCs w:val="22"/>
                <w:lang w:eastAsia="en-IN"/>
              </w:rPr>
              <w:t>100%</w:t>
            </w:r>
          </w:p>
        </w:tc>
      </w:tr>
      <w:tr w:rsidR="00F616FB" w:rsidRPr="00143D62" w14:paraId="56559D19" w14:textId="77777777" w:rsidTr="00F616FB">
        <w:trPr>
          <w:trHeight w:val="264"/>
        </w:trPr>
        <w:tc>
          <w:tcPr>
            <w:tcW w:w="5240" w:type="dxa"/>
            <w:tcMar>
              <w:top w:w="0" w:type="dxa"/>
              <w:left w:w="108" w:type="dxa"/>
              <w:bottom w:w="0" w:type="dxa"/>
              <w:right w:w="108" w:type="dxa"/>
            </w:tcMar>
            <w:vAlign w:val="center"/>
            <w:hideMark/>
          </w:tcPr>
          <w:p w14:paraId="2FBC40F2" w14:textId="77777777" w:rsidR="00F616FB" w:rsidRPr="00143D62" w:rsidRDefault="00F616FB" w:rsidP="00F616FB">
            <w:pPr>
              <w:spacing w:line="360" w:lineRule="auto"/>
              <w:rPr>
                <w:rFonts w:asciiTheme="minorHAnsi" w:hAnsiTheme="minorHAnsi" w:cstheme="minorHAnsi"/>
                <w:color w:val="000000"/>
                <w:sz w:val="22"/>
                <w:szCs w:val="22"/>
                <w:lang w:eastAsia="en-IN"/>
              </w:rPr>
            </w:pPr>
            <w:proofErr w:type="spellStart"/>
            <w:r w:rsidRPr="00143D62">
              <w:rPr>
                <w:rFonts w:asciiTheme="minorHAnsi" w:hAnsiTheme="minorHAnsi" w:cstheme="minorHAnsi"/>
                <w:color w:val="000000"/>
                <w:sz w:val="22"/>
                <w:szCs w:val="22"/>
                <w:lang w:eastAsia="en-IN"/>
              </w:rPr>
              <w:lastRenderedPageBreak/>
              <w:t>Behavioural</w:t>
            </w:r>
            <w:proofErr w:type="spellEnd"/>
            <w:r w:rsidRPr="00143D62">
              <w:rPr>
                <w:rFonts w:asciiTheme="minorHAnsi" w:hAnsiTheme="minorHAnsi" w:cstheme="minorHAnsi"/>
                <w:color w:val="000000"/>
                <w:sz w:val="22"/>
                <w:szCs w:val="22"/>
                <w:lang w:eastAsia="en-IN"/>
              </w:rPr>
              <w:t xml:space="preserve"> Training</w:t>
            </w:r>
          </w:p>
        </w:tc>
        <w:tc>
          <w:tcPr>
            <w:tcW w:w="1686" w:type="dxa"/>
            <w:tcMar>
              <w:top w:w="0" w:type="dxa"/>
              <w:left w:w="108" w:type="dxa"/>
              <w:bottom w:w="0" w:type="dxa"/>
              <w:right w:w="108" w:type="dxa"/>
            </w:tcMar>
            <w:vAlign w:val="center"/>
            <w:hideMark/>
          </w:tcPr>
          <w:p w14:paraId="64145EA6" w14:textId="77777777" w:rsidR="00F616FB" w:rsidRPr="00143D62" w:rsidRDefault="00F616FB" w:rsidP="00F616FB">
            <w:pPr>
              <w:spacing w:line="360" w:lineRule="auto"/>
              <w:jc w:val="center"/>
              <w:rPr>
                <w:rFonts w:asciiTheme="minorHAnsi" w:hAnsiTheme="minorHAnsi" w:cstheme="minorHAnsi"/>
                <w:color w:val="000000"/>
                <w:sz w:val="22"/>
                <w:szCs w:val="22"/>
                <w:lang w:eastAsia="en-IN"/>
              </w:rPr>
            </w:pPr>
            <w:r w:rsidRPr="00143D62">
              <w:rPr>
                <w:rFonts w:asciiTheme="minorHAnsi" w:hAnsiTheme="minorHAnsi" w:cstheme="minorHAnsi"/>
                <w:color w:val="000000"/>
                <w:sz w:val="22"/>
                <w:szCs w:val="22"/>
                <w:lang w:eastAsia="en-IN"/>
              </w:rPr>
              <w:t xml:space="preserve">30 </w:t>
            </w:r>
            <w:r>
              <w:rPr>
                <w:rFonts w:asciiTheme="minorHAnsi" w:hAnsiTheme="minorHAnsi" w:cstheme="minorHAnsi"/>
                <w:color w:val="000000"/>
                <w:sz w:val="22"/>
                <w:szCs w:val="22"/>
                <w:lang w:eastAsia="en-IN"/>
              </w:rPr>
              <w:t>B</w:t>
            </w:r>
            <w:r w:rsidRPr="00143D62">
              <w:rPr>
                <w:rFonts w:asciiTheme="minorHAnsi" w:hAnsiTheme="minorHAnsi" w:cstheme="minorHAnsi"/>
                <w:color w:val="000000"/>
                <w:sz w:val="22"/>
                <w:szCs w:val="22"/>
                <w:lang w:eastAsia="en-IN"/>
              </w:rPr>
              <w:t>atches</w:t>
            </w:r>
          </w:p>
        </w:tc>
        <w:tc>
          <w:tcPr>
            <w:tcW w:w="1862" w:type="dxa"/>
            <w:tcMar>
              <w:top w:w="0" w:type="dxa"/>
              <w:left w:w="108" w:type="dxa"/>
              <w:bottom w:w="0" w:type="dxa"/>
              <w:right w:w="108" w:type="dxa"/>
            </w:tcMar>
            <w:vAlign w:val="center"/>
            <w:hideMark/>
          </w:tcPr>
          <w:p w14:paraId="7C80053B" w14:textId="77777777" w:rsidR="00F616FB" w:rsidRPr="00143D62" w:rsidRDefault="00F616FB" w:rsidP="00F616FB">
            <w:pPr>
              <w:spacing w:line="360" w:lineRule="auto"/>
              <w:jc w:val="center"/>
              <w:rPr>
                <w:rFonts w:asciiTheme="minorHAnsi" w:hAnsiTheme="minorHAnsi" w:cstheme="minorHAnsi"/>
                <w:color w:val="000000"/>
                <w:sz w:val="22"/>
                <w:szCs w:val="22"/>
                <w:lang w:eastAsia="en-IN"/>
              </w:rPr>
            </w:pPr>
            <w:r w:rsidRPr="00143D62">
              <w:rPr>
                <w:rFonts w:asciiTheme="minorHAnsi" w:hAnsiTheme="minorHAnsi" w:cstheme="minorHAnsi"/>
                <w:color w:val="000000"/>
                <w:sz w:val="22"/>
                <w:szCs w:val="22"/>
                <w:lang w:eastAsia="en-IN"/>
              </w:rPr>
              <w:t>85%</w:t>
            </w:r>
          </w:p>
        </w:tc>
      </w:tr>
      <w:tr w:rsidR="00F616FB" w:rsidRPr="00143D62" w14:paraId="47875226" w14:textId="77777777" w:rsidTr="00F616FB">
        <w:trPr>
          <w:trHeight w:val="264"/>
        </w:trPr>
        <w:tc>
          <w:tcPr>
            <w:tcW w:w="5240" w:type="dxa"/>
            <w:tcMar>
              <w:top w:w="0" w:type="dxa"/>
              <w:left w:w="108" w:type="dxa"/>
              <w:bottom w:w="0" w:type="dxa"/>
              <w:right w:w="108" w:type="dxa"/>
            </w:tcMar>
            <w:vAlign w:val="center"/>
            <w:hideMark/>
          </w:tcPr>
          <w:p w14:paraId="2D789AE1" w14:textId="77777777" w:rsidR="00F616FB" w:rsidRPr="00143D62" w:rsidRDefault="00F616FB" w:rsidP="00F616FB">
            <w:pPr>
              <w:spacing w:line="360" w:lineRule="auto"/>
              <w:rPr>
                <w:rFonts w:asciiTheme="minorHAnsi" w:hAnsiTheme="minorHAnsi" w:cstheme="minorHAnsi"/>
                <w:color w:val="000000"/>
                <w:sz w:val="22"/>
                <w:szCs w:val="22"/>
                <w:lang w:eastAsia="en-IN"/>
              </w:rPr>
            </w:pPr>
            <w:proofErr w:type="spellStart"/>
            <w:r w:rsidRPr="00143D62">
              <w:rPr>
                <w:rFonts w:asciiTheme="minorHAnsi" w:hAnsiTheme="minorHAnsi" w:cstheme="minorHAnsi"/>
                <w:color w:val="000000"/>
                <w:sz w:val="22"/>
                <w:szCs w:val="22"/>
                <w:lang w:eastAsia="en-IN"/>
              </w:rPr>
              <w:t>Organisational</w:t>
            </w:r>
            <w:proofErr w:type="spellEnd"/>
            <w:r w:rsidRPr="00143D62">
              <w:rPr>
                <w:rFonts w:asciiTheme="minorHAnsi" w:hAnsiTheme="minorHAnsi" w:cstheme="minorHAnsi"/>
                <w:color w:val="000000"/>
                <w:sz w:val="22"/>
                <w:szCs w:val="22"/>
                <w:lang w:eastAsia="en-IN"/>
              </w:rPr>
              <w:t xml:space="preserve"> Training</w:t>
            </w:r>
          </w:p>
        </w:tc>
        <w:tc>
          <w:tcPr>
            <w:tcW w:w="1686" w:type="dxa"/>
            <w:tcMar>
              <w:top w:w="0" w:type="dxa"/>
              <w:left w:w="108" w:type="dxa"/>
              <w:bottom w:w="0" w:type="dxa"/>
              <w:right w:w="108" w:type="dxa"/>
            </w:tcMar>
            <w:vAlign w:val="center"/>
            <w:hideMark/>
          </w:tcPr>
          <w:p w14:paraId="06DA7891" w14:textId="77777777" w:rsidR="00F616FB" w:rsidRPr="00143D62" w:rsidRDefault="00F616FB" w:rsidP="00F616FB">
            <w:pPr>
              <w:spacing w:line="360" w:lineRule="auto"/>
              <w:jc w:val="center"/>
              <w:rPr>
                <w:rFonts w:asciiTheme="minorHAnsi" w:hAnsiTheme="minorHAnsi" w:cstheme="minorHAnsi"/>
                <w:color w:val="000000"/>
                <w:sz w:val="22"/>
                <w:szCs w:val="22"/>
                <w:lang w:eastAsia="en-IN"/>
              </w:rPr>
            </w:pPr>
            <w:r w:rsidRPr="00143D62">
              <w:rPr>
                <w:rFonts w:asciiTheme="minorHAnsi" w:hAnsiTheme="minorHAnsi" w:cstheme="minorHAnsi"/>
                <w:color w:val="000000"/>
                <w:sz w:val="22"/>
                <w:szCs w:val="22"/>
                <w:lang w:eastAsia="en-IN"/>
              </w:rPr>
              <w:t xml:space="preserve">2 </w:t>
            </w:r>
            <w:r>
              <w:rPr>
                <w:rFonts w:asciiTheme="minorHAnsi" w:hAnsiTheme="minorHAnsi" w:cstheme="minorHAnsi"/>
                <w:color w:val="000000"/>
                <w:sz w:val="22"/>
                <w:szCs w:val="22"/>
                <w:lang w:eastAsia="en-IN"/>
              </w:rPr>
              <w:t>B</w:t>
            </w:r>
            <w:r w:rsidRPr="00143D62">
              <w:rPr>
                <w:rFonts w:asciiTheme="minorHAnsi" w:hAnsiTheme="minorHAnsi" w:cstheme="minorHAnsi"/>
                <w:color w:val="000000"/>
                <w:sz w:val="22"/>
                <w:szCs w:val="22"/>
                <w:lang w:eastAsia="en-IN"/>
              </w:rPr>
              <w:t>atches</w:t>
            </w:r>
          </w:p>
        </w:tc>
        <w:tc>
          <w:tcPr>
            <w:tcW w:w="1862" w:type="dxa"/>
            <w:tcMar>
              <w:top w:w="0" w:type="dxa"/>
              <w:left w:w="108" w:type="dxa"/>
              <w:bottom w:w="0" w:type="dxa"/>
              <w:right w:w="108" w:type="dxa"/>
            </w:tcMar>
            <w:vAlign w:val="center"/>
            <w:hideMark/>
          </w:tcPr>
          <w:p w14:paraId="06500974" w14:textId="77777777" w:rsidR="00F616FB" w:rsidRPr="00143D62" w:rsidRDefault="00F616FB" w:rsidP="00F616FB">
            <w:pPr>
              <w:spacing w:line="360" w:lineRule="auto"/>
              <w:jc w:val="center"/>
              <w:rPr>
                <w:rFonts w:asciiTheme="minorHAnsi" w:hAnsiTheme="minorHAnsi" w:cstheme="minorHAnsi"/>
                <w:color w:val="000000"/>
                <w:sz w:val="22"/>
                <w:szCs w:val="22"/>
                <w:lang w:eastAsia="en-IN"/>
              </w:rPr>
            </w:pPr>
            <w:r w:rsidRPr="00143D62">
              <w:rPr>
                <w:rFonts w:asciiTheme="minorHAnsi" w:hAnsiTheme="minorHAnsi" w:cstheme="minorHAnsi"/>
                <w:color w:val="000000"/>
                <w:sz w:val="22"/>
                <w:szCs w:val="22"/>
                <w:lang w:eastAsia="en-IN"/>
              </w:rPr>
              <w:t>85%</w:t>
            </w:r>
          </w:p>
        </w:tc>
      </w:tr>
      <w:tr w:rsidR="00F616FB" w:rsidRPr="00143D62" w14:paraId="010BCB13" w14:textId="77777777" w:rsidTr="00F616FB">
        <w:trPr>
          <w:trHeight w:val="392"/>
        </w:trPr>
        <w:tc>
          <w:tcPr>
            <w:tcW w:w="5240" w:type="dxa"/>
            <w:tcMar>
              <w:top w:w="0" w:type="dxa"/>
              <w:left w:w="108" w:type="dxa"/>
              <w:bottom w:w="0" w:type="dxa"/>
              <w:right w:w="108" w:type="dxa"/>
            </w:tcMar>
            <w:vAlign w:val="center"/>
            <w:hideMark/>
          </w:tcPr>
          <w:p w14:paraId="2D675FB0" w14:textId="77777777" w:rsidR="00F616FB" w:rsidRPr="00143D62" w:rsidRDefault="00F616FB" w:rsidP="00F616FB">
            <w:pPr>
              <w:spacing w:line="360" w:lineRule="auto"/>
              <w:rPr>
                <w:rFonts w:asciiTheme="minorHAnsi" w:hAnsiTheme="minorHAnsi" w:cstheme="minorHAnsi"/>
                <w:color w:val="000000"/>
                <w:sz w:val="22"/>
                <w:szCs w:val="22"/>
                <w:lang w:eastAsia="en-IN"/>
              </w:rPr>
            </w:pPr>
            <w:r w:rsidRPr="00143D62">
              <w:rPr>
                <w:rFonts w:asciiTheme="minorHAnsi" w:hAnsiTheme="minorHAnsi" w:cstheme="minorHAnsi"/>
                <w:color w:val="000000"/>
                <w:sz w:val="22"/>
                <w:szCs w:val="22"/>
                <w:lang w:eastAsia="en-IN"/>
              </w:rPr>
              <w:t>SAP GRC Modules, IT related applications</w:t>
            </w:r>
          </w:p>
        </w:tc>
        <w:tc>
          <w:tcPr>
            <w:tcW w:w="1686" w:type="dxa"/>
            <w:tcMar>
              <w:top w:w="0" w:type="dxa"/>
              <w:left w:w="108" w:type="dxa"/>
              <w:bottom w:w="0" w:type="dxa"/>
              <w:right w:w="108" w:type="dxa"/>
            </w:tcMar>
            <w:vAlign w:val="center"/>
            <w:hideMark/>
          </w:tcPr>
          <w:p w14:paraId="71CE9B48" w14:textId="77777777" w:rsidR="00F616FB" w:rsidRPr="00143D62" w:rsidRDefault="00F616FB" w:rsidP="00F616FB">
            <w:pPr>
              <w:spacing w:line="360" w:lineRule="auto"/>
              <w:jc w:val="center"/>
              <w:rPr>
                <w:rFonts w:asciiTheme="minorHAnsi" w:hAnsiTheme="minorHAnsi" w:cstheme="minorHAnsi"/>
                <w:color w:val="000000"/>
                <w:sz w:val="22"/>
                <w:szCs w:val="22"/>
                <w:lang w:eastAsia="en-IN"/>
              </w:rPr>
            </w:pPr>
            <w:r w:rsidRPr="00143D62">
              <w:rPr>
                <w:rFonts w:asciiTheme="minorHAnsi" w:hAnsiTheme="minorHAnsi" w:cstheme="minorHAnsi"/>
                <w:color w:val="000000"/>
                <w:sz w:val="22"/>
                <w:szCs w:val="22"/>
                <w:lang w:eastAsia="en-IN"/>
              </w:rPr>
              <w:t>As per Requirement</w:t>
            </w:r>
          </w:p>
        </w:tc>
        <w:tc>
          <w:tcPr>
            <w:tcW w:w="1862" w:type="dxa"/>
            <w:tcMar>
              <w:top w:w="0" w:type="dxa"/>
              <w:left w:w="108" w:type="dxa"/>
              <w:bottom w:w="0" w:type="dxa"/>
              <w:right w:w="108" w:type="dxa"/>
            </w:tcMar>
            <w:vAlign w:val="center"/>
            <w:hideMark/>
          </w:tcPr>
          <w:p w14:paraId="1E2809C7" w14:textId="77777777" w:rsidR="00F616FB" w:rsidRPr="00143D62" w:rsidRDefault="00F616FB" w:rsidP="00F616FB">
            <w:pPr>
              <w:rPr>
                <w:rFonts w:asciiTheme="minorHAnsi" w:hAnsiTheme="minorHAnsi" w:cstheme="minorHAnsi"/>
                <w:color w:val="000000"/>
                <w:sz w:val="22"/>
                <w:szCs w:val="22"/>
                <w:lang w:eastAsia="en-IN"/>
              </w:rPr>
            </w:pPr>
          </w:p>
        </w:tc>
      </w:tr>
      <w:tr w:rsidR="00F616FB" w:rsidRPr="00143D62" w14:paraId="08E54639" w14:textId="77777777" w:rsidTr="00F616FB">
        <w:trPr>
          <w:trHeight w:val="290"/>
        </w:trPr>
        <w:tc>
          <w:tcPr>
            <w:tcW w:w="5240" w:type="dxa"/>
            <w:tcMar>
              <w:top w:w="0" w:type="dxa"/>
              <w:left w:w="108" w:type="dxa"/>
              <w:bottom w:w="0" w:type="dxa"/>
              <w:right w:w="108" w:type="dxa"/>
            </w:tcMar>
            <w:vAlign w:val="center"/>
            <w:hideMark/>
          </w:tcPr>
          <w:p w14:paraId="3C7A38B9" w14:textId="77777777" w:rsidR="00F616FB" w:rsidRPr="00143D62" w:rsidRDefault="00F616FB" w:rsidP="00F616FB">
            <w:pPr>
              <w:spacing w:line="360" w:lineRule="auto"/>
              <w:rPr>
                <w:rFonts w:asciiTheme="minorHAnsi" w:hAnsiTheme="minorHAnsi" w:cstheme="minorHAnsi"/>
                <w:color w:val="000000"/>
                <w:sz w:val="22"/>
                <w:szCs w:val="22"/>
                <w:lang w:eastAsia="en-IN"/>
              </w:rPr>
            </w:pPr>
            <w:r w:rsidRPr="00143D62">
              <w:rPr>
                <w:rFonts w:asciiTheme="minorHAnsi" w:hAnsiTheme="minorHAnsi" w:cstheme="minorHAnsi"/>
                <w:color w:val="000000"/>
                <w:sz w:val="22"/>
                <w:szCs w:val="22"/>
                <w:lang w:eastAsia="en-IN"/>
              </w:rPr>
              <w:t>Power BI</w:t>
            </w:r>
          </w:p>
        </w:tc>
        <w:tc>
          <w:tcPr>
            <w:tcW w:w="1686" w:type="dxa"/>
            <w:tcMar>
              <w:top w:w="0" w:type="dxa"/>
              <w:left w:w="108" w:type="dxa"/>
              <w:bottom w:w="0" w:type="dxa"/>
              <w:right w:w="108" w:type="dxa"/>
            </w:tcMar>
            <w:vAlign w:val="center"/>
            <w:hideMark/>
          </w:tcPr>
          <w:p w14:paraId="37DEDA1D" w14:textId="77777777" w:rsidR="00F616FB" w:rsidRPr="00143D62" w:rsidRDefault="00F616FB" w:rsidP="00F616FB">
            <w:pPr>
              <w:spacing w:line="360" w:lineRule="auto"/>
              <w:jc w:val="center"/>
              <w:rPr>
                <w:rFonts w:asciiTheme="minorHAnsi" w:hAnsiTheme="minorHAnsi" w:cstheme="minorHAnsi"/>
                <w:color w:val="000000"/>
                <w:sz w:val="22"/>
                <w:szCs w:val="22"/>
                <w:lang w:eastAsia="en-IN"/>
              </w:rPr>
            </w:pPr>
            <w:r w:rsidRPr="00143D62">
              <w:rPr>
                <w:rFonts w:asciiTheme="minorHAnsi" w:hAnsiTheme="minorHAnsi" w:cstheme="minorHAnsi"/>
                <w:color w:val="000000"/>
                <w:sz w:val="22"/>
                <w:szCs w:val="22"/>
                <w:lang w:eastAsia="en-IN"/>
              </w:rPr>
              <w:t>5 Batches</w:t>
            </w:r>
          </w:p>
        </w:tc>
        <w:tc>
          <w:tcPr>
            <w:tcW w:w="1862" w:type="dxa"/>
            <w:tcMar>
              <w:top w:w="0" w:type="dxa"/>
              <w:left w:w="108" w:type="dxa"/>
              <w:bottom w:w="0" w:type="dxa"/>
              <w:right w:w="108" w:type="dxa"/>
            </w:tcMar>
            <w:vAlign w:val="center"/>
            <w:hideMark/>
          </w:tcPr>
          <w:p w14:paraId="7B6265B8" w14:textId="77777777" w:rsidR="00F616FB" w:rsidRPr="00143D62" w:rsidRDefault="00F616FB" w:rsidP="00F616FB">
            <w:pPr>
              <w:spacing w:line="360" w:lineRule="auto"/>
              <w:jc w:val="center"/>
              <w:rPr>
                <w:rFonts w:asciiTheme="minorHAnsi" w:hAnsiTheme="minorHAnsi" w:cstheme="minorHAnsi"/>
                <w:color w:val="000000"/>
                <w:sz w:val="22"/>
                <w:szCs w:val="22"/>
                <w:lang w:eastAsia="en-IN"/>
              </w:rPr>
            </w:pPr>
            <w:r w:rsidRPr="00143D62">
              <w:rPr>
                <w:rFonts w:asciiTheme="minorHAnsi" w:hAnsiTheme="minorHAnsi" w:cstheme="minorHAnsi"/>
                <w:color w:val="000000"/>
                <w:sz w:val="22"/>
                <w:szCs w:val="22"/>
                <w:lang w:eastAsia="en-IN"/>
              </w:rPr>
              <w:t>5% All Executives</w:t>
            </w:r>
          </w:p>
        </w:tc>
      </w:tr>
      <w:tr w:rsidR="00F616FB" w:rsidRPr="00143D62" w14:paraId="099A1633" w14:textId="77777777" w:rsidTr="00F616FB">
        <w:trPr>
          <w:trHeight w:val="264"/>
        </w:trPr>
        <w:tc>
          <w:tcPr>
            <w:tcW w:w="5240" w:type="dxa"/>
            <w:tcMar>
              <w:top w:w="0" w:type="dxa"/>
              <w:left w:w="108" w:type="dxa"/>
              <w:bottom w:w="0" w:type="dxa"/>
              <w:right w:w="108" w:type="dxa"/>
            </w:tcMar>
            <w:vAlign w:val="center"/>
            <w:hideMark/>
          </w:tcPr>
          <w:p w14:paraId="5EC3AE47" w14:textId="77777777" w:rsidR="00F616FB" w:rsidRPr="00143D62" w:rsidRDefault="00F616FB" w:rsidP="00F616FB">
            <w:pPr>
              <w:spacing w:line="360" w:lineRule="auto"/>
              <w:rPr>
                <w:rFonts w:asciiTheme="minorHAnsi" w:hAnsiTheme="minorHAnsi" w:cstheme="minorHAnsi"/>
                <w:color w:val="000000"/>
                <w:sz w:val="22"/>
                <w:szCs w:val="22"/>
                <w:lang w:eastAsia="en-IN"/>
              </w:rPr>
            </w:pPr>
            <w:r w:rsidRPr="00143D62">
              <w:rPr>
                <w:rFonts w:asciiTheme="minorHAnsi" w:hAnsiTheme="minorHAnsi" w:cstheme="minorHAnsi"/>
                <w:color w:val="000000"/>
                <w:sz w:val="22"/>
                <w:szCs w:val="22"/>
                <w:lang w:eastAsia="en-IN"/>
              </w:rPr>
              <w:t>Mentor Mentee Program</w:t>
            </w:r>
          </w:p>
        </w:tc>
        <w:tc>
          <w:tcPr>
            <w:tcW w:w="1686" w:type="dxa"/>
            <w:tcMar>
              <w:top w:w="0" w:type="dxa"/>
              <w:left w:w="108" w:type="dxa"/>
              <w:bottom w:w="0" w:type="dxa"/>
              <w:right w:w="108" w:type="dxa"/>
            </w:tcMar>
            <w:vAlign w:val="center"/>
            <w:hideMark/>
          </w:tcPr>
          <w:p w14:paraId="1401D521" w14:textId="77777777" w:rsidR="00F616FB" w:rsidRPr="00143D62" w:rsidRDefault="00F616FB" w:rsidP="00F616FB">
            <w:pPr>
              <w:spacing w:line="360" w:lineRule="auto"/>
              <w:jc w:val="center"/>
              <w:rPr>
                <w:rFonts w:asciiTheme="minorHAnsi" w:hAnsiTheme="minorHAnsi" w:cstheme="minorHAnsi"/>
                <w:color w:val="000000"/>
                <w:sz w:val="22"/>
                <w:szCs w:val="22"/>
                <w:lang w:eastAsia="en-IN"/>
              </w:rPr>
            </w:pPr>
            <w:r w:rsidRPr="00143D62">
              <w:rPr>
                <w:rFonts w:asciiTheme="minorHAnsi" w:hAnsiTheme="minorHAnsi" w:cstheme="minorHAnsi"/>
                <w:color w:val="000000"/>
                <w:sz w:val="22"/>
                <w:szCs w:val="22"/>
                <w:lang w:eastAsia="en-IN"/>
              </w:rPr>
              <w:t xml:space="preserve">10 </w:t>
            </w:r>
            <w:r>
              <w:rPr>
                <w:rFonts w:asciiTheme="minorHAnsi" w:hAnsiTheme="minorHAnsi" w:cstheme="minorHAnsi"/>
                <w:color w:val="000000"/>
                <w:sz w:val="22"/>
                <w:szCs w:val="22"/>
                <w:lang w:eastAsia="en-IN"/>
              </w:rPr>
              <w:t>G</w:t>
            </w:r>
            <w:r w:rsidRPr="00143D62">
              <w:rPr>
                <w:rFonts w:asciiTheme="minorHAnsi" w:hAnsiTheme="minorHAnsi" w:cstheme="minorHAnsi"/>
                <w:color w:val="000000"/>
                <w:sz w:val="22"/>
                <w:szCs w:val="22"/>
                <w:lang w:eastAsia="en-IN"/>
              </w:rPr>
              <w:t>roup</w:t>
            </w:r>
          </w:p>
        </w:tc>
        <w:tc>
          <w:tcPr>
            <w:tcW w:w="1862" w:type="dxa"/>
            <w:tcMar>
              <w:top w:w="0" w:type="dxa"/>
              <w:left w:w="108" w:type="dxa"/>
              <w:bottom w:w="0" w:type="dxa"/>
              <w:right w:w="108" w:type="dxa"/>
            </w:tcMar>
            <w:vAlign w:val="center"/>
            <w:hideMark/>
          </w:tcPr>
          <w:p w14:paraId="255A05B7" w14:textId="77777777" w:rsidR="00F616FB" w:rsidRPr="00143D62" w:rsidRDefault="00F616FB" w:rsidP="00F616FB">
            <w:pPr>
              <w:rPr>
                <w:rFonts w:asciiTheme="minorHAnsi" w:hAnsiTheme="minorHAnsi" w:cstheme="minorHAnsi"/>
                <w:color w:val="000000"/>
                <w:sz w:val="22"/>
                <w:szCs w:val="22"/>
                <w:lang w:eastAsia="en-IN"/>
              </w:rPr>
            </w:pPr>
          </w:p>
        </w:tc>
      </w:tr>
      <w:tr w:rsidR="00F616FB" w:rsidRPr="00143D62" w14:paraId="565C77D9" w14:textId="77777777" w:rsidTr="00F616FB">
        <w:trPr>
          <w:trHeight w:val="264"/>
        </w:trPr>
        <w:tc>
          <w:tcPr>
            <w:tcW w:w="5240" w:type="dxa"/>
            <w:tcMar>
              <w:top w:w="0" w:type="dxa"/>
              <w:left w:w="108" w:type="dxa"/>
              <w:bottom w:w="0" w:type="dxa"/>
              <w:right w:w="108" w:type="dxa"/>
            </w:tcMar>
            <w:vAlign w:val="center"/>
            <w:hideMark/>
          </w:tcPr>
          <w:p w14:paraId="77525866" w14:textId="77777777" w:rsidR="00F616FB" w:rsidRPr="00143D62" w:rsidRDefault="00F616FB" w:rsidP="00F616FB">
            <w:pPr>
              <w:spacing w:line="360" w:lineRule="auto"/>
              <w:rPr>
                <w:rFonts w:asciiTheme="minorHAnsi" w:hAnsiTheme="minorHAnsi" w:cstheme="minorHAnsi"/>
                <w:color w:val="000000"/>
                <w:sz w:val="22"/>
                <w:szCs w:val="22"/>
                <w:lang w:eastAsia="en-IN"/>
              </w:rPr>
            </w:pPr>
            <w:r w:rsidRPr="00143D62">
              <w:rPr>
                <w:rFonts w:asciiTheme="minorHAnsi" w:hAnsiTheme="minorHAnsi" w:cstheme="minorHAnsi"/>
                <w:color w:val="000000"/>
                <w:sz w:val="22"/>
                <w:szCs w:val="22"/>
                <w:lang w:eastAsia="en-IN"/>
              </w:rPr>
              <w:t xml:space="preserve">Train the Trainer (Internal Trainer </w:t>
            </w:r>
            <w:r>
              <w:rPr>
                <w:rFonts w:asciiTheme="minorHAnsi" w:hAnsiTheme="minorHAnsi" w:cstheme="minorHAnsi"/>
                <w:color w:val="000000"/>
                <w:sz w:val="22"/>
                <w:szCs w:val="22"/>
                <w:lang w:eastAsia="en-IN"/>
              </w:rPr>
              <w:t>C</w:t>
            </w:r>
            <w:r w:rsidRPr="00143D62">
              <w:rPr>
                <w:rFonts w:asciiTheme="minorHAnsi" w:hAnsiTheme="minorHAnsi" w:cstheme="minorHAnsi"/>
                <w:color w:val="000000"/>
                <w:sz w:val="22"/>
                <w:szCs w:val="22"/>
                <w:lang w:eastAsia="en-IN"/>
              </w:rPr>
              <w:t>ertification)</w:t>
            </w:r>
          </w:p>
        </w:tc>
        <w:tc>
          <w:tcPr>
            <w:tcW w:w="1686" w:type="dxa"/>
            <w:tcMar>
              <w:top w:w="0" w:type="dxa"/>
              <w:left w:w="108" w:type="dxa"/>
              <w:bottom w:w="0" w:type="dxa"/>
              <w:right w:w="108" w:type="dxa"/>
            </w:tcMar>
            <w:vAlign w:val="center"/>
            <w:hideMark/>
          </w:tcPr>
          <w:p w14:paraId="2D1631E6" w14:textId="77777777" w:rsidR="00F616FB" w:rsidRPr="00143D62" w:rsidRDefault="00F616FB" w:rsidP="00F616FB">
            <w:pPr>
              <w:spacing w:line="360" w:lineRule="auto"/>
              <w:jc w:val="center"/>
              <w:rPr>
                <w:rFonts w:asciiTheme="minorHAnsi" w:hAnsiTheme="minorHAnsi" w:cstheme="minorHAnsi"/>
                <w:color w:val="000000"/>
                <w:sz w:val="22"/>
                <w:szCs w:val="22"/>
                <w:lang w:eastAsia="en-IN"/>
              </w:rPr>
            </w:pPr>
            <w:r w:rsidRPr="00143D62">
              <w:rPr>
                <w:rFonts w:asciiTheme="minorHAnsi" w:hAnsiTheme="minorHAnsi" w:cstheme="minorHAnsi"/>
                <w:color w:val="000000"/>
                <w:sz w:val="22"/>
                <w:szCs w:val="22"/>
                <w:lang w:eastAsia="en-IN"/>
              </w:rPr>
              <w:t xml:space="preserve">30 </w:t>
            </w:r>
            <w:r>
              <w:rPr>
                <w:rFonts w:asciiTheme="minorHAnsi" w:hAnsiTheme="minorHAnsi" w:cstheme="minorHAnsi"/>
                <w:color w:val="000000"/>
                <w:sz w:val="22"/>
                <w:szCs w:val="22"/>
                <w:lang w:eastAsia="en-IN"/>
              </w:rPr>
              <w:t>N</w:t>
            </w:r>
            <w:r w:rsidRPr="00143D62">
              <w:rPr>
                <w:rFonts w:asciiTheme="minorHAnsi" w:hAnsiTheme="minorHAnsi" w:cstheme="minorHAnsi"/>
                <w:color w:val="000000"/>
                <w:sz w:val="22"/>
                <w:szCs w:val="22"/>
                <w:lang w:eastAsia="en-IN"/>
              </w:rPr>
              <w:t>os Emp</w:t>
            </w:r>
            <w:r>
              <w:rPr>
                <w:rFonts w:asciiTheme="minorHAnsi" w:hAnsiTheme="minorHAnsi" w:cstheme="minorHAnsi"/>
                <w:color w:val="000000"/>
                <w:sz w:val="22"/>
                <w:szCs w:val="22"/>
                <w:lang w:eastAsia="en-IN"/>
              </w:rPr>
              <w:t>.</w:t>
            </w:r>
          </w:p>
        </w:tc>
        <w:tc>
          <w:tcPr>
            <w:tcW w:w="1862" w:type="dxa"/>
            <w:tcMar>
              <w:top w:w="0" w:type="dxa"/>
              <w:left w:w="108" w:type="dxa"/>
              <w:bottom w:w="0" w:type="dxa"/>
              <w:right w:w="108" w:type="dxa"/>
            </w:tcMar>
            <w:vAlign w:val="center"/>
            <w:hideMark/>
          </w:tcPr>
          <w:p w14:paraId="47850D4F" w14:textId="77777777" w:rsidR="00F616FB" w:rsidRPr="00143D62" w:rsidRDefault="00F616FB" w:rsidP="00F616FB">
            <w:pPr>
              <w:rPr>
                <w:rFonts w:asciiTheme="minorHAnsi" w:hAnsiTheme="minorHAnsi" w:cstheme="minorHAnsi"/>
                <w:color w:val="000000"/>
                <w:sz w:val="22"/>
                <w:szCs w:val="22"/>
                <w:lang w:eastAsia="en-IN"/>
              </w:rPr>
            </w:pPr>
          </w:p>
        </w:tc>
      </w:tr>
    </w:tbl>
    <w:p w14:paraId="346EAC1B" w14:textId="77777777" w:rsidR="00F616FB" w:rsidRDefault="00F616FB" w:rsidP="00F616FB">
      <w:pPr>
        <w:rPr>
          <w:rFonts w:asciiTheme="minorHAnsi" w:hAnsiTheme="minorHAnsi" w:cstheme="minorHAnsi"/>
          <w:lang w:bidi="or-IN"/>
        </w:rPr>
      </w:pPr>
    </w:p>
    <w:p w14:paraId="14CD4D58" w14:textId="77777777" w:rsidR="00F616FB" w:rsidRDefault="00F616FB" w:rsidP="00F616FB">
      <w:pPr>
        <w:rPr>
          <w:rFonts w:asciiTheme="minorHAnsi" w:hAnsiTheme="minorHAnsi" w:cstheme="minorHAnsi"/>
          <w:lang w:bidi="or-IN"/>
        </w:rPr>
      </w:pPr>
    </w:p>
    <w:p w14:paraId="231CF207" w14:textId="77777777" w:rsidR="00F616FB" w:rsidRDefault="00F616FB" w:rsidP="00F616FB">
      <w:pPr>
        <w:rPr>
          <w:rFonts w:asciiTheme="minorHAnsi" w:hAnsiTheme="minorHAnsi" w:cstheme="minorHAnsi"/>
          <w:lang w:bidi="or-IN"/>
        </w:rPr>
      </w:pPr>
    </w:p>
    <w:p w14:paraId="287DADD8" w14:textId="77777777" w:rsidR="00F616FB" w:rsidRDefault="00F616FB" w:rsidP="00F616FB">
      <w:pPr>
        <w:rPr>
          <w:rFonts w:asciiTheme="minorHAnsi" w:hAnsiTheme="minorHAnsi" w:cstheme="minorHAnsi"/>
          <w:lang w:bidi="or-IN"/>
        </w:rPr>
      </w:pPr>
    </w:p>
    <w:p w14:paraId="7882ECE4" w14:textId="77777777" w:rsidR="00F616FB" w:rsidRDefault="00F616FB" w:rsidP="00F616FB">
      <w:pPr>
        <w:rPr>
          <w:rFonts w:asciiTheme="minorHAnsi" w:hAnsiTheme="minorHAnsi" w:cstheme="minorHAnsi"/>
          <w:lang w:bidi="or-IN"/>
        </w:rPr>
      </w:pPr>
    </w:p>
    <w:p w14:paraId="51C6D439" w14:textId="77777777" w:rsidR="00F616FB" w:rsidRDefault="00F616FB" w:rsidP="00F616FB">
      <w:pPr>
        <w:rPr>
          <w:rFonts w:asciiTheme="minorHAnsi" w:hAnsiTheme="minorHAnsi" w:cstheme="minorHAnsi"/>
          <w:lang w:bidi="or-IN"/>
        </w:rPr>
      </w:pPr>
    </w:p>
    <w:p w14:paraId="53C8700A" w14:textId="77777777" w:rsidR="00F616FB" w:rsidRDefault="00F616FB" w:rsidP="00F616FB">
      <w:pPr>
        <w:rPr>
          <w:rFonts w:asciiTheme="minorHAnsi" w:hAnsiTheme="minorHAnsi" w:cstheme="minorHAnsi"/>
          <w:lang w:bidi="or-IN"/>
        </w:rPr>
      </w:pPr>
    </w:p>
    <w:p w14:paraId="4B7F0799" w14:textId="77777777" w:rsidR="00F616FB" w:rsidRDefault="00F616FB" w:rsidP="00F616FB">
      <w:pPr>
        <w:rPr>
          <w:rFonts w:asciiTheme="minorHAnsi" w:hAnsiTheme="minorHAnsi" w:cstheme="minorHAnsi"/>
          <w:lang w:bidi="or-IN"/>
        </w:rPr>
      </w:pPr>
    </w:p>
    <w:p w14:paraId="0946625D" w14:textId="77777777" w:rsidR="006B144F" w:rsidRDefault="00F616FB" w:rsidP="00F616FB">
      <w:pPr>
        <w:rPr>
          <w:rFonts w:asciiTheme="minorHAnsi" w:hAnsiTheme="minorHAnsi" w:cstheme="minorHAnsi"/>
          <w:b/>
          <w:sz w:val="27"/>
          <w:szCs w:val="27"/>
        </w:rPr>
      </w:pPr>
      <w:r w:rsidRPr="008B3A69">
        <w:rPr>
          <w:rFonts w:asciiTheme="minorHAnsi" w:hAnsiTheme="minorHAnsi" w:cstheme="minorHAnsi"/>
          <w:b/>
          <w:sz w:val="27"/>
          <w:szCs w:val="27"/>
        </w:rPr>
        <w:t xml:space="preserve">         </w:t>
      </w:r>
    </w:p>
    <w:p w14:paraId="46A10D58" w14:textId="77777777" w:rsidR="006B144F" w:rsidRDefault="006B144F" w:rsidP="00F616FB">
      <w:pPr>
        <w:rPr>
          <w:rFonts w:asciiTheme="minorHAnsi" w:hAnsiTheme="minorHAnsi" w:cstheme="minorHAnsi"/>
          <w:b/>
          <w:sz w:val="27"/>
          <w:szCs w:val="27"/>
        </w:rPr>
      </w:pPr>
    </w:p>
    <w:p w14:paraId="60EBFAE2" w14:textId="77777777" w:rsidR="006B144F" w:rsidRDefault="006B144F" w:rsidP="00F616FB">
      <w:pPr>
        <w:rPr>
          <w:rFonts w:asciiTheme="minorHAnsi" w:hAnsiTheme="minorHAnsi" w:cstheme="minorHAnsi"/>
          <w:b/>
          <w:sz w:val="27"/>
          <w:szCs w:val="27"/>
        </w:rPr>
      </w:pPr>
    </w:p>
    <w:p w14:paraId="6283455F" w14:textId="532CE930" w:rsidR="00E06740" w:rsidRDefault="006B144F" w:rsidP="00F616FB">
      <w:pPr>
        <w:rPr>
          <w:rFonts w:asciiTheme="minorHAnsi" w:hAnsiTheme="minorHAnsi" w:cstheme="minorHAnsi"/>
          <w:b/>
          <w:sz w:val="27"/>
          <w:szCs w:val="27"/>
        </w:rPr>
      </w:pPr>
      <w:r>
        <w:rPr>
          <w:rFonts w:asciiTheme="minorHAnsi" w:hAnsiTheme="minorHAnsi" w:cstheme="minorHAnsi"/>
          <w:b/>
          <w:sz w:val="27"/>
          <w:szCs w:val="27"/>
        </w:rPr>
        <w:t xml:space="preserve">     </w:t>
      </w:r>
    </w:p>
    <w:p w14:paraId="3A5FCEE0" w14:textId="33620A2B" w:rsidR="00E06740" w:rsidRPr="008B3A69" w:rsidRDefault="00E06740" w:rsidP="00E06740">
      <w:pPr>
        <w:rPr>
          <w:rFonts w:asciiTheme="minorHAnsi" w:hAnsiTheme="minorHAnsi" w:cstheme="minorHAnsi"/>
          <w:b/>
          <w:sz w:val="27"/>
          <w:szCs w:val="27"/>
        </w:rPr>
      </w:pPr>
      <w:r w:rsidRPr="008B3A69">
        <w:rPr>
          <w:rFonts w:asciiTheme="minorHAnsi" w:hAnsiTheme="minorHAnsi" w:cstheme="minorHAnsi"/>
          <w:b/>
          <w:sz w:val="27"/>
          <w:szCs w:val="27"/>
        </w:rPr>
        <w:t xml:space="preserve">         </w:t>
      </w:r>
      <w:r w:rsidR="00894F4D">
        <w:rPr>
          <w:rFonts w:asciiTheme="minorHAnsi" w:hAnsiTheme="minorHAnsi" w:cstheme="minorHAnsi"/>
          <w:b/>
          <w:sz w:val="27"/>
          <w:szCs w:val="27"/>
        </w:rPr>
        <w:t>6</w:t>
      </w:r>
      <w:r w:rsidRPr="008B3A69">
        <w:rPr>
          <w:rFonts w:asciiTheme="minorHAnsi" w:hAnsiTheme="minorHAnsi" w:cstheme="minorHAnsi"/>
          <w:b/>
          <w:sz w:val="27"/>
          <w:szCs w:val="27"/>
        </w:rPr>
        <w:t>.7</w:t>
      </w:r>
      <w:r w:rsidRPr="008B3A69">
        <w:rPr>
          <w:b/>
          <w:sz w:val="27"/>
          <w:szCs w:val="27"/>
        </w:rPr>
        <w:t xml:space="preserve"> </w:t>
      </w:r>
      <w:r w:rsidRPr="008B3A69">
        <w:rPr>
          <w:rFonts w:asciiTheme="minorHAnsi" w:hAnsiTheme="minorHAnsi" w:cstheme="minorHAnsi"/>
          <w:b/>
          <w:sz w:val="27"/>
          <w:szCs w:val="27"/>
        </w:rPr>
        <w:t xml:space="preserve">Transformative CSR Initiatives by TPNODL: Empowering Communities </w:t>
      </w:r>
    </w:p>
    <w:p w14:paraId="08902BF0" w14:textId="77777777" w:rsidR="00E06740" w:rsidRDefault="00E06740" w:rsidP="00E06740">
      <w:pPr>
        <w:rPr>
          <w:rFonts w:asciiTheme="minorHAnsi" w:hAnsiTheme="minorHAnsi" w:cstheme="minorHAnsi"/>
          <w:lang w:bidi="or-IN"/>
        </w:rPr>
      </w:pPr>
    </w:p>
    <w:p w14:paraId="1DF25162" w14:textId="77777777" w:rsidR="00E06740" w:rsidRPr="00B3073B" w:rsidRDefault="00E06740" w:rsidP="00E06740">
      <w:pPr>
        <w:autoSpaceDE w:val="0"/>
        <w:autoSpaceDN w:val="0"/>
        <w:adjustRightInd w:val="0"/>
        <w:spacing w:line="360" w:lineRule="auto"/>
        <w:ind w:left="567"/>
        <w:jc w:val="both"/>
        <w:rPr>
          <w:rFonts w:asciiTheme="minorHAnsi" w:hAnsiTheme="minorHAnsi" w:cstheme="minorHAnsi"/>
          <w:sz w:val="22"/>
        </w:rPr>
      </w:pPr>
      <w:r w:rsidRPr="00B3073B">
        <w:rPr>
          <w:rFonts w:asciiTheme="minorHAnsi" w:hAnsiTheme="minorHAnsi" w:cstheme="minorHAnsi"/>
          <w:sz w:val="22"/>
        </w:rPr>
        <w:t xml:space="preserve">The Tata culture of giving back to the society flows from the tradition of nation building and community development, the seeds of which were sowed more than a century back by </w:t>
      </w:r>
      <w:proofErr w:type="spellStart"/>
      <w:r w:rsidRPr="00B3073B">
        <w:rPr>
          <w:rFonts w:asciiTheme="minorHAnsi" w:hAnsiTheme="minorHAnsi" w:cstheme="minorHAnsi"/>
          <w:sz w:val="22"/>
        </w:rPr>
        <w:t>Jamse</w:t>
      </w:r>
      <w:r>
        <w:rPr>
          <w:rFonts w:asciiTheme="minorHAnsi" w:hAnsiTheme="minorHAnsi" w:cstheme="minorHAnsi"/>
          <w:sz w:val="22"/>
        </w:rPr>
        <w:t>d</w:t>
      </w:r>
      <w:r w:rsidRPr="00B3073B">
        <w:rPr>
          <w:rFonts w:asciiTheme="minorHAnsi" w:hAnsiTheme="minorHAnsi" w:cstheme="minorHAnsi"/>
          <w:sz w:val="22"/>
        </w:rPr>
        <w:t>ji</w:t>
      </w:r>
      <w:proofErr w:type="spellEnd"/>
      <w:r w:rsidRPr="00B3073B">
        <w:rPr>
          <w:rFonts w:asciiTheme="minorHAnsi" w:hAnsiTheme="minorHAnsi" w:cstheme="minorHAnsi"/>
          <w:sz w:val="22"/>
        </w:rPr>
        <w:t xml:space="preserve"> Tata, the founder of the group. Carrying forward this legacy of contributing to the society, we always place Corporate Social Responsibility at the heart of everything we do.</w:t>
      </w:r>
    </w:p>
    <w:p w14:paraId="7428E31B" w14:textId="77777777" w:rsidR="00E06740" w:rsidRPr="00B3073B" w:rsidRDefault="00E06740" w:rsidP="00E06740">
      <w:pPr>
        <w:autoSpaceDE w:val="0"/>
        <w:autoSpaceDN w:val="0"/>
        <w:adjustRightInd w:val="0"/>
        <w:spacing w:line="360" w:lineRule="auto"/>
        <w:ind w:left="567" w:firstLine="567"/>
        <w:jc w:val="both"/>
        <w:rPr>
          <w:rFonts w:asciiTheme="minorHAnsi" w:hAnsiTheme="minorHAnsi" w:cstheme="minorHAnsi"/>
          <w:sz w:val="22"/>
        </w:rPr>
      </w:pPr>
    </w:p>
    <w:p w14:paraId="5F9D8016" w14:textId="77777777" w:rsidR="00E06740" w:rsidRDefault="00E06740" w:rsidP="00E06740">
      <w:pPr>
        <w:autoSpaceDE w:val="0"/>
        <w:autoSpaceDN w:val="0"/>
        <w:adjustRightInd w:val="0"/>
        <w:spacing w:line="360" w:lineRule="auto"/>
        <w:ind w:left="567"/>
        <w:jc w:val="both"/>
        <w:rPr>
          <w:rFonts w:asciiTheme="minorHAnsi" w:hAnsiTheme="minorHAnsi" w:cstheme="minorHAnsi"/>
          <w:sz w:val="22"/>
        </w:rPr>
      </w:pPr>
      <w:r w:rsidRPr="00B3073B">
        <w:rPr>
          <w:rFonts w:asciiTheme="minorHAnsi" w:hAnsiTheme="minorHAnsi" w:cstheme="minorHAnsi"/>
          <w:sz w:val="22"/>
        </w:rPr>
        <w:t xml:space="preserve">TPNODL are involved in a wide range of development activities to make a positive impact on the society and the community. TPNODL’s CSR activities relates </w:t>
      </w:r>
      <w:r>
        <w:rPr>
          <w:rFonts w:asciiTheme="minorHAnsi" w:hAnsiTheme="minorHAnsi" w:cstheme="minorHAnsi"/>
          <w:sz w:val="22"/>
        </w:rPr>
        <w:t xml:space="preserve">to </w:t>
      </w:r>
      <w:r w:rsidRPr="00B3073B">
        <w:rPr>
          <w:rFonts w:asciiTheme="minorHAnsi" w:hAnsiTheme="minorHAnsi" w:cstheme="minorHAnsi"/>
          <w:sz w:val="22"/>
        </w:rPr>
        <w:t xml:space="preserve">areas of </w:t>
      </w:r>
      <w:r w:rsidRPr="00B3073B">
        <w:rPr>
          <w:rFonts w:asciiTheme="minorHAnsi" w:hAnsiTheme="minorHAnsi" w:cstheme="minorHAnsi"/>
          <w:b/>
          <w:sz w:val="22"/>
        </w:rPr>
        <w:t>Employability &amp; employment, Entrepreneurship, Education and Essential services</w:t>
      </w:r>
      <w:r w:rsidRPr="00B3073B">
        <w:rPr>
          <w:rFonts w:asciiTheme="minorHAnsi" w:hAnsiTheme="minorHAnsi" w:cstheme="minorHAnsi"/>
          <w:sz w:val="22"/>
        </w:rPr>
        <w:t xml:space="preserve"> for those that need it the most</w:t>
      </w:r>
      <w:r>
        <w:rPr>
          <w:rFonts w:asciiTheme="minorHAnsi" w:hAnsiTheme="minorHAnsi" w:cstheme="minorHAnsi"/>
          <w:sz w:val="22"/>
        </w:rPr>
        <w:t xml:space="preserve">. </w:t>
      </w:r>
    </w:p>
    <w:p w14:paraId="3847C0CE" w14:textId="77777777" w:rsidR="00E06740" w:rsidRDefault="00E06740" w:rsidP="00E06740">
      <w:pPr>
        <w:rPr>
          <w:b/>
        </w:rPr>
      </w:pPr>
      <w:r>
        <w:rPr>
          <w:b/>
        </w:rPr>
        <w:t xml:space="preserve">          </w:t>
      </w:r>
    </w:p>
    <w:p w14:paraId="33BC7F7F" w14:textId="630CD735" w:rsidR="00E06740" w:rsidRPr="00AF1DB3" w:rsidRDefault="00AF1DB3" w:rsidP="00E06740">
      <w:pPr>
        <w:ind w:left="567"/>
        <w:rPr>
          <w:b/>
        </w:rPr>
      </w:pPr>
      <w:r w:rsidRPr="00AF1DB3">
        <w:rPr>
          <w:rFonts w:asciiTheme="minorHAnsi" w:hAnsiTheme="minorHAnsi" w:cstheme="minorHAnsi"/>
          <w:b/>
        </w:rPr>
        <w:t>6</w:t>
      </w:r>
      <w:r w:rsidR="00E06740" w:rsidRPr="00AF1DB3">
        <w:rPr>
          <w:rFonts w:asciiTheme="minorHAnsi" w:hAnsiTheme="minorHAnsi" w:cstheme="minorHAnsi"/>
          <w:b/>
        </w:rPr>
        <w:t>.7.1 Enhancing Employability and Facilitating Employment Opportunities</w:t>
      </w:r>
    </w:p>
    <w:p w14:paraId="6173EAC0" w14:textId="77777777" w:rsidR="00E06740" w:rsidRDefault="00E06740" w:rsidP="00E06740">
      <w:pPr>
        <w:pStyle w:val="NormalWeb"/>
        <w:spacing w:line="360" w:lineRule="auto"/>
        <w:ind w:left="567"/>
        <w:jc w:val="both"/>
        <w:rPr>
          <w:rFonts w:asciiTheme="minorHAnsi" w:hAnsiTheme="minorHAnsi" w:cstheme="minorHAnsi"/>
          <w:sz w:val="22"/>
        </w:rPr>
      </w:pPr>
      <w:r w:rsidRPr="00B3073B">
        <w:rPr>
          <w:rFonts w:asciiTheme="minorHAnsi" w:hAnsiTheme="minorHAnsi" w:cstheme="minorHAnsi"/>
          <w:noProof/>
          <w:sz w:val="22"/>
        </w:rPr>
        <w:drawing>
          <wp:anchor distT="0" distB="0" distL="114300" distR="114300" simplePos="0" relativeHeight="252160512" behindDoc="1" locked="0" layoutInCell="1" allowOverlap="1" wp14:anchorId="69D9E601" wp14:editId="6759B649">
            <wp:simplePos x="0" y="0"/>
            <wp:positionH relativeFrom="column">
              <wp:posOffset>3857625</wp:posOffset>
            </wp:positionH>
            <wp:positionV relativeFrom="paragraph">
              <wp:posOffset>2574290</wp:posOffset>
            </wp:positionV>
            <wp:extent cx="2333625" cy="1743075"/>
            <wp:effectExtent l="76200" t="76200" r="142875" b="142875"/>
            <wp:wrapTight wrapText="bothSides">
              <wp:wrapPolygon edited="0">
                <wp:start x="-353" y="-944"/>
                <wp:lineTo x="-705" y="-708"/>
                <wp:lineTo x="-705" y="21954"/>
                <wp:lineTo x="-353" y="23134"/>
                <wp:lineTo x="22393" y="23134"/>
                <wp:lineTo x="22746" y="21954"/>
                <wp:lineTo x="22746" y="3069"/>
                <wp:lineTo x="22393" y="-472"/>
                <wp:lineTo x="22393" y="-944"/>
                <wp:lineTo x="-353" y="-944"/>
              </wp:wrapPolygon>
            </wp:wrapTight>
            <wp:docPr id="212922757"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0"/>
                    <pic:cNvPicPr>
                      <a:picLocks noChangeAspect="1"/>
                    </pic:cNvPicPr>
                  </pic:nvPicPr>
                  <pic:blipFill>
                    <a:blip r:embed="rId140" cstate="print">
                      <a:extLst>
                        <a:ext uri="{28A0092B-C50C-407E-A947-70E740481C1C}">
                          <a14:useLocalDpi xmlns:a14="http://schemas.microsoft.com/office/drawing/2010/main" val="0"/>
                        </a:ext>
                      </a:extLst>
                    </a:blip>
                    <a:stretch>
                      <a:fillRect/>
                    </a:stretch>
                  </pic:blipFill>
                  <pic:spPr>
                    <a:xfrm>
                      <a:off x="0" y="0"/>
                      <a:ext cx="2333625" cy="174307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14:sizeRelH relativeFrom="margin">
              <wp14:pctWidth>0</wp14:pctWidth>
            </wp14:sizeRelH>
            <wp14:sizeRelV relativeFrom="margin">
              <wp14:pctHeight>0</wp14:pctHeight>
            </wp14:sizeRelV>
          </wp:anchor>
        </w:drawing>
      </w:r>
      <w:r w:rsidRPr="00B3073B">
        <w:rPr>
          <w:rFonts w:asciiTheme="minorHAnsi" w:hAnsiTheme="minorHAnsi" w:cstheme="minorHAnsi"/>
          <w:b/>
          <w:noProof/>
        </w:rPr>
        <w:drawing>
          <wp:anchor distT="0" distB="0" distL="114300" distR="114300" simplePos="0" relativeHeight="252159488" behindDoc="1" locked="0" layoutInCell="1" allowOverlap="1" wp14:anchorId="77B30D5F" wp14:editId="2B14E335">
            <wp:simplePos x="0" y="0"/>
            <wp:positionH relativeFrom="column">
              <wp:posOffset>3867150</wp:posOffset>
            </wp:positionH>
            <wp:positionV relativeFrom="paragraph">
              <wp:posOffset>270510</wp:posOffset>
            </wp:positionV>
            <wp:extent cx="2276475" cy="2028825"/>
            <wp:effectExtent l="76200" t="76200" r="142875" b="142875"/>
            <wp:wrapTight wrapText="bothSides">
              <wp:wrapPolygon edited="0">
                <wp:start x="-362" y="-811"/>
                <wp:lineTo x="-723" y="-608"/>
                <wp:lineTo x="-723" y="22107"/>
                <wp:lineTo x="-362" y="22918"/>
                <wp:lineTo x="22413" y="22918"/>
                <wp:lineTo x="22775" y="22107"/>
                <wp:lineTo x="22775" y="2637"/>
                <wp:lineTo x="22413" y="-406"/>
                <wp:lineTo x="22413" y="-811"/>
                <wp:lineTo x="-362" y="-811"/>
              </wp:wrapPolygon>
            </wp:wrapTight>
            <wp:docPr id="212922755" name="Picture 212922755" descr="D:\OneDrive - TP Northern Odisha Distribution Limited\Desktop\KEONJHAR ACTIVITY\VTC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OneDrive - TP Northern Odisha Distribution Limited\Desktop\KEONJHAR ACTIVITY\VTC1.jpeg"/>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2276475" cy="202882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14:sizeRelH relativeFrom="margin">
              <wp14:pctWidth>0</wp14:pctWidth>
            </wp14:sizeRelH>
            <wp14:sizeRelV relativeFrom="margin">
              <wp14:pctHeight>0</wp14:pctHeight>
            </wp14:sizeRelV>
          </wp:anchor>
        </w:drawing>
      </w:r>
      <w:r w:rsidRPr="00B3073B">
        <w:rPr>
          <w:rFonts w:asciiTheme="minorHAnsi" w:hAnsiTheme="minorHAnsi" w:cstheme="minorHAnsi"/>
          <w:sz w:val="22"/>
        </w:rPr>
        <w:t xml:space="preserve"> Within the domain of employability and employment, our steadfast commitment is exemplified through the establishment of four Vocational Training Centers strategically located in </w:t>
      </w:r>
      <w:proofErr w:type="spellStart"/>
      <w:r w:rsidRPr="00B3073B">
        <w:rPr>
          <w:rFonts w:asciiTheme="minorHAnsi" w:hAnsiTheme="minorHAnsi" w:cstheme="minorHAnsi"/>
          <w:sz w:val="22"/>
        </w:rPr>
        <w:t>Chadeipahadi</w:t>
      </w:r>
      <w:proofErr w:type="spellEnd"/>
      <w:r w:rsidRPr="00B3073B">
        <w:rPr>
          <w:rFonts w:asciiTheme="minorHAnsi" w:hAnsiTheme="minorHAnsi" w:cstheme="minorHAnsi"/>
          <w:sz w:val="22"/>
        </w:rPr>
        <w:t xml:space="preserve"> and </w:t>
      </w:r>
      <w:proofErr w:type="spellStart"/>
      <w:r w:rsidRPr="00B3073B">
        <w:rPr>
          <w:rFonts w:asciiTheme="minorHAnsi" w:hAnsiTheme="minorHAnsi" w:cstheme="minorHAnsi"/>
          <w:sz w:val="22"/>
        </w:rPr>
        <w:t>Rairangpur</w:t>
      </w:r>
      <w:proofErr w:type="spellEnd"/>
      <w:r w:rsidRPr="00B3073B">
        <w:rPr>
          <w:rFonts w:asciiTheme="minorHAnsi" w:hAnsiTheme="minorHAnsi" w:cstheme="minorHAnsi"/>
          <w:sz w:val="22"/>
        </w:rPr>
        <w:t xml:space="preserve"> (BARIPADA CIRCLE), </w:t>
      </w:r>
      <w:proofErr w:type="spellStart"/>
      <w:r w:rsidRPr="00B3073B">
        <w:rPr>
          <w:rFonts w:asciiTheme="minorHAnsi" w:hAnsiTheme="minorHAnsi" w:cstheme="minorHAnsi"/>
          <w:sz w:val="22"/>
        </w:rPr>
        <w:t>Balasore</w:t>
      </w:r>
      <w:proofErr w:type="spellEnd"/>
      <w:r w:rsidRPr="00B3073B">
        <w:rPr>
          <w:rFonts w:asciiTheme="minorHAnsi" w:hAnsiTheme="minorHAnsi" w:cstheme="minorHAnsi"/>
          <w:sz w:val="22"/>
        </w:rPr>
        <w:t xml:space="preserve"> (BALASORE CIRCLE), and Kapasi (JAJPUR CIRCLE). Additionally, newly established Vocational Training Center (VTC) in </w:t>
      </w:r>
      <w:proofErr w:type="spellStart"/>
      <w:r w:rsidRPr="00B3073B">
        <w:rPr>
          <w:rFonts w:asciiTheme="minorHAnsi" w:hAnsiTheme="minorHAnsi" w:cstheme="minorHAnsi"/>
          <w:sz w:val="22"/>
        </w:rPr>
        <w:t>Turumunga</w:t>
      </w:r>
      <w:proofErr w:type="spellEnd"/>
      <w:r w:rsidRPr="00B3073B">
        <w:rPr>
          <w:rFonts w:asciiTheme="minorHAnsi" w:hAnsiTheme="minorHAnsi" w:cstheme="minorHAnsi"/>
          <w:sz w:val="22"/>
        </w:rPr>
        <w:t xml:space="preserve">, under the </w:t>
      </w:r>
      <w:proofErr w:type="spellStart"/>
      <w:r w:rsidRPr="00B3073B">
        <w:rPr>
          <w:rFonts w:asciiTheme="minorHAnsi" w:hAnsiTheme="minorHAnsi" w:cstheme="minorHAnsi"/>
          <w:sz w:val="22"/>
        </w:rPr>
        <w:t>Keonjhar</w:t>
      </w:r>
      <w:proofErr w:type="spellEnd"/>
      <w:r w:rsidRPr="00B3073B">
        <w:rPr>
          <w:rFonts w:asciiTheme="minorHAnsi" w:hAnsiTheme="minorHAnsi" w:cstheme="minorHAnsi"/>
          <w:sz w:val="22"/>
        </w:rPr>
        <w:t xml:space="preserve"> Circle, is ready to commence its first batch of training programs. </w:t>
      </w:r>
    </w:p>
    <w:p w14:paraId="3701A9C2" w14:textId="77777777" w:rsidR="00E06740" w:rsidRPr="00B3073B" w:rsidRDefault="00E06740" w:rsidP="0025136B">
      <w:pPr>
        <w:spacing w:line="360" w:lineRule="auto"/>
        <w:ind w:left="709" w:hanging="142"/>
        <w:jc w:val="both"/>
        <w:rPr>
          <w:rFonts w:asciiTheme="minorHAnsi" w:hAnsiTheme="minorHAnsi" w:cstheme="minorHAnsi"/>
          <w:sz w:val="22"/>
        </w:rPr>
      </w:pPr>
      <w:r w:rsidRPr="00B3073B">
        <w:rPr>
          <w:rFonts w:asciiTheme="minorHAnsi" w:hAnsiTheme="minorHAnsi" w:cstheme="minorHAnsi"/>
          <w:sz w:val="22"/>
        </w:rPr>
        <w:t xml:space="preserve">The primary objective of these Vocational Training Centers (VTCs) is to impart essential skills to the local youth and women, fostering their professional growth through comprehensive training programs. Our VTCs provide an </w:t>
      </w:r>
      <w:r w:rsidRPr="00B3073B">
        <w:rPr>
          <w:rFonts w:asciiTheme="minorHAnsi" w:hAnsiTheme="minorHAnsi" w:cstheme="minorHAnsi"/>
          <w:sz w:val="22"/>
        </w:rPr>
        <w:lastRenderedPageBreak/>
        <w:t>array of free courses encompassing stitching and tailoring, computer skills, beautician courses, spoken English, and specialized employability training in collaboration with TCS.</w:t>
      </w:r>
    </w:p>
    <w:p w14:paraId="55DA416E" w14:textId="77777777" w:rsidR="00E06740" w:rsidRPr="00B3073B" w:rsidRDefault="00E06740" w:rsidP="00E06740">
      <w:pPr>
        <w:spacing w:line="360" w:lineRule="auto"/>
        <w:ind w:left="709"/>
        <w:jc w:val="both"/>
        <w:rPr>
          <w:rFonts w:asciiTheme="minorHAnsi" w:hAnsiTheme="minorHAnsi" w:cstheme="minorHAnsi"/>
          <w:sz w:val="22"/>
        </w:rPr>
      </w:pPr>
      <w:r w:rsidRPr="00B3073B">
        <w:rPr>
          <w:rFonts w:asciiTheme="minorHAnsi" w:hAnsiTheme="minorHAnsi" w:cstheme="minorHAnsi"/>
          <w:sz w:val="22"/>
        </w:rPr>
        <w:t xml:space="preserve">The certifications awarded upon completion of these courses hold significant merit, being endorsed by both the National Skill Development Corporation (NSDC) and Skill India. This ensures that the skills acquired by our beneficiaries are recognized and valued on a national </w:t>
      </w:r>
      <w:r>
        <w:rPr>
          <w:rFonts w:asciiTheme="minorHAnsi" w:hAnsiTheme="minorHAnsi" w:cstheme="minorHAnsi"/>
          <w:sz w:val="22"/>
        </w:rPr>
        <w:t>level</w:t>
      </w:r>
      <w:r w:rsidRPr="00B3073B">
        <w:rPr>
          <w:rFonts w:asciiTheme="minorHAnsi" w:hAnsiTheme="minorHAnsi" w:cstheme="minorHAnsi"/>
          <w:sz w:val="22"/>
        </w:rPr>
        <w:t>.</w:t>
      </w:r>
    </w:p>
    <w:p w14:paraId="310CFD84" w14:textId="77777777" w:rsidR="00E06740" w:rsidRDefault="00E06740" w:rsidP="00E06740">
      <w:pPr>
        <w:ind w:left="709"/>
        <w:jc w:val="both"/>
        <w:rPr>
          <w:b/>
          <w:i/>
        </w:rPr>
      </w:pPr>
    </w:p>
    <w:p w14:paraId="5A6681A6" w14:textId="77777777" w:rsidR="00E06740" w:rsidRPr="00B03700" w:rsidRDefault="00E06740" w:rsidP="00E06740">
      <w:pPr>
        <w:spacing w:line="360" w:lineRule="auto"/>
        <w:ind w:left="709"/>
        <w:jc w:val="both"/>
        <w:rPr>
          <w:rFonts w:asciiTheme="minorHAnsi" w:hAnsiTheme="minorHAnsi" w:cstheme="minorHAnsi"/>
          <w:sz w:val="22"/>
        </w:rPr>
      </w:pPr>
      <w:r w:rsidRPr="00B03700">
        <w:rPr>
          <w:rFonts w:asciiTheme="minorHAnsi" w:hAnsiTheme="minorHAnsi" w:cstheme="minorHAnsi"/>
          <w:sz w:val="22"/>
        </w:rPr>
        <w:t xml:space="preserve">The impact of our initiatives is tangible, with 24 candidates selected by TCS post-training, now contributing to the workforce in TCS, Kolkata. In total, we have imparted employability training to Over 2000 unemployed youth and girls, with ongoing training for 802 individuals across all four VTCs. </w:t>
      </w:r>
      <w:r>
        <w:rPr>
          <w:rFonts w:asciiTheme="minorHAnsi" w:hAnsiTheme="minorHAnsi" w:cstheme="minorHAnsi"/>
          <w:sz w:val="22"/>
        </w:rPr>
        <w:t>O</w:t>
      </w:r>
      <w:r w:rsidRPr="00B03700">
        <w:rPr>
          <w:rFonts w:asciiTheme="minorHAnsi" w:hAnsiTheme="minorHAnsi" w:cstheme="minorHAnsi"/>
          <w:sz w:val="22"/>
        </w:rPr>
        <w:t>ur efforts have resulted in the placement of 670+ candidates (33%) in esteemed organizations such as TCS, Bajaj Finance, Balaji Finance, DIC, Odisha Police, and various other companies.</w:t>
      </w:r>
    </w:p>
    <w:p w14:paraId="2988AF33" w14:textId="77777777" w:rsidR="00E06740" w:rsidRDefault="00E06740" w:rsidP="00E06740">
      <w:pPr>
        <w:spacing w:line="360" w:lineRule="auto"/>
        <w:ind w:left="709"/>
        <w:jc w:val="both"/>
        <w:rPr>
          <w:rFonts w:asciiTheme="minorHAnsi" w:hAnsiTheme="minorHAnsi" w:cstheme="minorHAnsi"/>
          <w:sz w:val="22"/>
        </w:rPr>
      </w:pPr>
      <w:r w:rsidRPr="00B03700">
        <w:rPr>
          <w:rFonts w:asciiTheme="minorHAnsi" w:hAnsiTheme="minorHAnsi" w:cstheme="minorHAnsi"/>
          <w:sz w:val="22"/>
        </w:rPr>
        <w:t>As part of our broader CSR interventions for citizen welfare, specific initiatives are tailored to address the unique needs of communities</w:t>
      </w:r>
      <w:r>
        <w:rPr>
          <w:rFonts w:asciiTheme="minorHAnsi" w:hAnsiTheme="minorHAnsi" w:cstheme="minorHAnsi"/>
          <w:sz w:val="22"/>
        </w:rPr>
        <w:t xml:space="preserve">. </w:t>
      </w:r>
      <w:r w:rsidRPr="00B03700">
        <w:rPr>
          <w:rFonts w:asciiTheme="minorHAnsi" w:hAnsiTheme="minorHAnsi" w:cstheme="minorHAnsi"/>
          <w:sz w:val="22"/>
        </w:rPr>
        <w:t xml:space="preserve">collaboration with the </w:t>
      </w:r>
      <w:proofErr w:type="spellStart"/>
      <w:r w:rsidRPr="00B03700">
        <w:rPr>
          <w:rFonts w:asciiTheme="minorHAnsi" w:hAnsiTheme="minorHAnsi" w:cstheme="minorHAnsi"/>
          <w:sz w:val="22"/>
        </w:rPr>
        <w:t>Gorumahisani</w:t>
      </w:r>
      <w:proofErr w:type="spellEnd"/>
      <w:r w:rsidRPr="00B03700">
        <w:rPr>
          <w:rFonts w:asciiTheme="minorHAnsi" w:hAnsiTheme="minorHAnsi" w:cstheme="minorHAnsi"/>
          <w:sz w:val="22"/>
        </w:rPr>
        <w:t xml:space="preserve"> Iron College extends to diverse programs, including Employability Training in partnership with TCS, Solar Panel Repairing and Maintenance, Tailoring &amp; Embroidery, Sal Leaf Plate Making &amp; Marketing, and a comprehensive Livelihood </w:t>
      </w:r>
      <w:proofErr w:type="spellStart"/>
      <w:r w:rsidRPr="00B03700">
        <w:rPr>
          <w:rFonts w:asciiTheme="minorHAnsi" w:hAnsiTheme="minorHAnsi" w:cstheme="minorHAnsi"/>
          <w:sz w:val="22"/>
        </w:rPr>
        <w:t>Programme</w:t>
      </w:r>
      <w:proofErr w:type="spellEnd"/>
      <w:r w:rsidRPr="00B03700">
        <w:rPr>
          <w:rFonts w:asciiTheme="minorHAnsi" w:hAnsiTheme="minorHAnsi" w:cstheme="minorHAnsi"/>
          <w:sz w:val="22"/>
        </w:rPr>
        <w:t xml:space="preserve"> for Farmers. </w:t>
      </w:r>
    </w:p>
    <w:p w14:paraId="7BB5EE99" w14:textId="77777777" w:rsidR="00E06740" w:rsidRPr="00B03700" w:rsidRDefault="00E06740" w:rsidP="00E06740">
      <w:pPr>
        <w:spacing w:line="360" w:lineRule="auto"/>
        <w:ind w:left="709"/>
        <w:jc w:val="both"/>
        <w:rPr>
          <w:rFonts w:asciiTheme="minorHAnsi" w:hAnsiTheme="minorHAnsi" w:cstheme="minorHAnsi"/>
          <w:sz w:val="22"/>
        </w:rPr>
      </w:pPr>
    </w:p>
    <w:p w14:paraId="0D8F50D5" w14:textId="77777777" w:rsidR="00E06740" w:rsidRPr="00B03700" w:rsidRDefault="00E06740" w:rsidP="00E06740">
      <w:pPr>
        <w:spacing w:line="360" w:lineRule="auto"/>
        <w:ind w:left="709"/>
        <w:jc w:val="both"/>
        <w:rPr>
          <w:rFonts w:asciiTheme="minorHAnsi" w:hAnsiTheme="minorHAnsi" w:cstheme="minorHAnsi"/>
          <w:sz w:val="22"/>
        </w:rPr>
      </w:pPr>
      <w:r w:rsidRPr="00B03700">
        <w:rPr>
          <w:rFonts w:asciiTheme="minorHAnsi" w:hAnsiTheme="minorHAnsi" w:cstheme="minorHAnsi"/>
          <w:sz w:val="22"/>
        </w:rPr>
        <w:t xml:space="preserve">This multifaceted approach aims to empower individuals across various sectors, contributing to the holistic development of the community. </w:t>
      </w:r>
      <w:r w:rsidRPr="00B03700">
        <w:rPr>
          <w:rFonts w:asciiTheme="minorHAnsi" w:hAnsiTheme="minorHAnsi" w:cstheme="minorHAnsi"/>
        </w:rPr>
        <w:t xml:space="preserve">Notably, in the </w:t>
      </w:r>
      <w:proofErr w:type="spellStart"/>
      <w:r w:rsidRPr="00B03700">
        <w:rPr>
          <w:rFonts w:asciiTheme="minorHAnsi" w:hAnsiTheme="minorHAnsi" w:cstheme="minorHAnsi"/>
        </w:rPr>
        <w:t>Gorumahisani</w:t>
      </w:r>
      <w:proofErr w:type="spellEnd"/>
      <w:r w:rsidRPr="00B03700">
        <w:rPr>
          <w:rFonts w:asciiTheme="minorHAnsi" w:hAnsiTheme="minorHAnsi" w:cstheme="minorHAnsi"/>
        </w:rPr>
        <w:t xml:space="preserve"> and </w:t>
      </w:r>
      <w:proofErr w:type="spellStart"/>
      <w:r w:rsidRPr="00B03700">
        <w:rPr>
          <w:rFonts w:asciiTheme="minorHAnsi" w:hAnsiTheme="minorHAnsi" w:cstheme="minorHAnsi"/>
        </w:rPr>
        <w:t>Chadeipahadi</w:t>
      </w:r>
      <w:proofErr w:type="spellEnd"/>
      <w:r w:rsidRPr="00B03700">
        <w:rPr>
          <w:rFonts w:asciiTheme="minorHAnsi" w:hAnsiTheme="minorHAnsi" w:cstheme="minorHAnsi"/>
        </w:rPr>
        <w:t xml:space="preserve"> areas in </w:t>
      </w:r>
      <w:proofErr w:type="spellStart"/>
      <w:r w:rsidRPr="00B03700">
        <w:rPr>
          <w:rFonts w:asciiTheme="minorHAnsi" w:hAnsiTheme="minorHAnsi" w:cstheme="minorHAnsi"/>
        </w:rPr>
        <w:t>Rairangpur</w:t>
      </w:r>
      <w:proofErr w:type="spellEnd"/>
      <w:r w:rsidRPr="00B03700">
        <w:rPr>
          <w:rFonts w:asciiTheme="minorHAnsi" w:hAnsiTheme="minorHAnsi" w:cstheme="minorHAnsi"/>
        </w:rPr>
        <w:t>,</w:t>
      </w:r>
    </w:p>
    <w:p w14:paraId="4E1CA88F" w14:textId="77777777" w:rsidR="00E06740" w:rsidRPr="00B03700" w:rsidRDefault="00E06740" w:rsidP="00E06740">
      <w:pPr>
        <w:spacing w:line="360" w:lineRule="auto"/>
        <w:jc w:val="both"/>
        <w:rPr>
          <w:rFonts w:asciiTheme="minorHAnsi" w:hAnsiTheme="minorHAnsi" w:cstheme="minorHAnsi"/>
          <w:sz w:val="22"/>
        </w:rPr>
      </w:pPr>
      <w:r w:rsidRPr="00B03700">
        <w:rPr>
          <w:rFonts w:asciiTheme="minorHAnsi" w:eastAsia="Calibri" w:hAnsiTheme="minorHAnsi" w:cstheme="minorHAnsi"/>
          <w:noProof/>
          <w:lang w:val="en-IN" w:eastAsia="en-IN"/>
        </w:rPr>
        <w:drawing>
          <wp:anchor distT="0" distB="0" distL="114300" distR="114300" simplePos="0" relativeHeight="252162560" behindDoc="1" locked="0" layoutInCell="1" allowOverlap="1" wp14:anchorId="5B5D3F18" wp14:editId="234A6991">
            <wp:simplePos x="0" y="0"/>
            <wp:positionH relativeFrom="column">
              <wp:posOffset>3352800</wp:posOffset>
            </wp:positionH>
            <wp:positionV relativeFrom="paragraph">
              <wp:posOffset>177800</wp:posOffset>
            </wp:positionV>
            <wp:extent cx="2590800" cy="1952625"/>
            <wp:effectExtent l="76200" t="76200" r="133350" b="142875"/>
            <wp:wrapTight wrapText="bothSides">
              <wp:wrapPolygon edited="0">
                <wp:start x="-318" y="-843"/>
                <wp:lineTo x="-635" y="-632"/>
                <wp:lineTo x="-635" y="22127"/>
                <wp:lineTo x="-318" y="22970"/>
                <wp:lineTo x="22235" y="22970"/>
                <wp:lineTo x="22553" y="19809"/>
                <wp:lineTo x="22553" y="2740"/>
                <wp:lineTo x="22235" y="-421"/>
                <wp:lineTo x="22235" y="-843"/>
                <wp:lineTo x="-318" y="-843"/>
              </wp:wrapPolygon>
            </wp:wrapTight>
            <wp:docPr id="40" name="object 40"/>
            <wp:cNvGraphicFramePr/>
            <a:graphic xmlns:a="http://schemas.openxmlformats.org/drawingml/2006/main">
              <a:graphicData uri="http://schemas.openxmlformats.org/drawingml/2006/picture">
                <pic:pic xmlns:pic="http://schemas.openxmlformats.org/drawingml/2006/picture">
                  <pic:nvPicPr>
                    <pic:cNvPr id="40" name="object 40"/>
                    <pic:cNvPicPr/>
                  </pic:nvPicPr>
                  <pic:blipFill>
                    <a:blip r:embed="rId142" cstate="print">
                      <a:extLst>
                        <a:ext uri="{28A0092B-C50C-407E-A947-70E740481C1C}">
                          <a14:useLocalDpi xmlns:a14="http://schemas.microsoft.com/office/drawing/2010/main" val="0"/>
                        </a:ext>
                      </a:extLst>
                    </a:blip>
                    <a:stretch>
                      <a:fillRect/>
                    </a:stretch>
                  </pic:blipFill>
                  <pic:spPr>
                    <a:xfrm>
                      <a:off x="0" y="0"/>
                      <a:ext cx="2590800" cy="195262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14:sizeRelH relativeFrom="margin">
              <wp14:pctWidth>0</wp14:pctWidth>
            </wp14:sizeRelH>
            <wp14:sizeRelV relativeFrom="margin">
              <wp14:pctHeight>0</wp14:pctHeight>
            </wp14:sizeRelV>
          </wp:anchor>
        </w:drawing>
      </w:r>
      <w:r>
        <w:rPr>
          <w:b/>
          <w:noProof/>
          <w:lang w:val="en-IN" w:eastAsia="en-IN"/>
        </w:rPr>
        <w:drawing>
          <wp:anchor distT="0" distB="0" distL="114300" distR="114300" simplePos="0" relativeHeight="252161536" behindDoc="1" locked="0" layoutInCell="1" allowOverlap="1" wp14:anchorId="78C09E17" wp14:editId="107DBDF6">
            <wp:simplePos x="0" y="0"/>
            <wp:positionH relativeFrom="margin">
              <wp:posOffset>447675</wp:posOffset>
            </wp:positionH>
            <wp:positionV relativeFrom="paragraph">
              <wp:posOffset>167005</wp:posOffset>
            </wp:positionV>
            <wp:extent cx="2543175" cy="1952625"/>
            <wp:effectExtent l="76200" t="76200" r="142875" b="142875"/>
            <wp:wrapSquare wrapText="bothSides"/>
            <wp:docPr id="212922758" name="Picture 2129227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Disposable Plates .jpg"/>
                    <pic:cNvPicPr/>
                  </pic:nvPicPr>
                  <pic:blipFill>
                    <a:blip r:embed="rId143" cstate="print">
                      <a:extLst>
                        <a:ext uri="{28A0092B-C50C-407E-A947-70E740481C1C}">
                          <a14:useLocalDpi xmlns:a14="http://schemas.microsoft.com/office/drawing/2010/main" val="0"/>
                        </a:ext>
                      </a:extLst>
                    </a:blip>
                    <a:stretch>
                      <a:fillRect/>
                    </a:stretch>
                  </pic:blipFill>
                  <pic:spPr>
                    <a:xfrm>
                      <a:off x="0" y="0"/>
                      <a:ext cx="2543175" cy="195262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14:sizeRelH relativeFrom="margin">
              <wp14:pctWidth>0</wp14:pctWidth>
            </wp14:sizeRelH>
            <wp14:sizeRelV relativeFrom="margin">
              <wp14:pctHeight>0</wp14:pctHeight>
            </wp14:sizeRelV>
          </wp:anchor>
        </w:drawing>
      </w:r>
    </w:p>
    <w:p w14:paraId="3C7B6418" w14:textId="77777777" w:rsidR="00E06740" w:rsidRDefault="00E06740" w:rsidP="00E06740">
      <w:pPr>
        <w:spacing w:line="360" w:lineRule="auto"/>
        <w:ind w:left="709" w:hanging="425"/>
        <w:jc w:val="both"/>
        <w:rPr>
          <w:rFonts w:asciiTheme="minorHAnsi" w:hAnsiTheme="minorHAnsi" w:cstheme="minorHAnsi"/>
          <w:b/>
          <w:sz w:val="28"/>
        </w:rPr>
      </w:pPr>
      <w:r w:rsidRPr="00721BA1">
        <w:rPr>
          <w:rFonts w:asciiTheme="minorHAnsi" w:hAnsiTheme="minorHAnsi" w:cstheme="minorHAnsi"/>
          <w:b/>
          <w:sz w:val="28"/>
        </w:rPr>
        <w:t xml:space="preserve">             </w:t>
      </w:r>
      <w:r>
        <w:rPr>
          <w:rFonts w:asciiTheme="minorHAnsi" w:hAnsiTheme="minorHAnsi" w:cstheme="minorHAnsi"/>
          <w:b/>
          <w:sz w:val="28"/>
        </w:rPr>
        <w:t xml:space="preserve">             </w:t>
      </w:r>
    </w:p>
    <w:p w14:paraId="64BBC701" w14:textId="77777777" w:rsidR="00E06740" w:rsidRDefault="00E06740" w:rsidP="00E06740">
      <w:pPr>
        <w:spacing w:line="360" w:lineRule="auto"/>
        <w:ind w:left="709" w:hanging="425"/>
        <w:jc w:val="both"/>
        <w:rPr>
          <w:rFonts w:asciiTheme="minorHAnsi" w:hAnsiTheme="minorHAnsi" w:cstheme="minorHAnsi"/>
          <w:b/>
          <w:sz w:val="28"/>
        </w:rPr>
      </w:pPr>
    </w:p>
    <w:p w14:paraId="12CE6CD9" w14:textId="77777777" w:rsidR="00E06740" w:rsidRDefault="00E06740" w:rsidP="00E06740">
      <w:pPr>
        <w:spacing w:line="360" w:lineRule="auto"/>
        <w:ind w:left="709" w:hanging="425"/>
        <w:jc w:val="both"/>
        <w:rPr>
          <w:rFonts w:asciiTheme="minorHAnsi" w:hAnsiTheme="minorHAnsi" w:cstheme="minorHAnsi"/>
          <w:b/>
          <w:sz w:val="28"/>
        </w:rPr>
      </w:pPr>
    </w:p>
    <w:p w14:paraId="14328180" w14:textId="77777777" w:rsidR="00E06740" w:rsidRDefault="00E06740" w:rsidP="00E06740">
      <w:pPr>
        <w:spacing w:line="360" w:lineRule="auto"/>
        <w:ind w:left="709" w:hanging="425"/>
        <w:jc w:val="both"/>
        <w:rPr>
          <w:rFonts w:asciiTheme="minorHAnsi" w:hAnsiTheme="minorHAnsi" w:cstheme="minorHAnsi"/>
          <w:b/>
          <w:sz w:val="28"/>
        </w:rPr>
      </w:pPr>
    </w:p>
    <w:p w14:paraId="709EB59B" w14:textId="77777777" w:rsidR="00E06740" w:rsidRDefault="00E06740" w:rsidP="00E06740">
      <w:pPr>
        <w:spacing w:line="360" w:lineRule="auto"/>
        <w:ind w:left="709" w:hanging="425"/>
        <w:jc w:val="both"/>
        <w:rPr>
          <w:rFonts w:asciiTheme="minorHAnsi" w:hAnsiTheme="minorHAnsi" w:cstheme="minorHAnsi"/>
          <w:b/>
          <w:sz w:val="28"/>
        </w:rPr>
      </w:pPr>
    </w:p>
    <w:p w14:paraId="13A9FEA9" w14:textId="77777777" w:rsidR="00E06740" w:rsidRDefault="00E06740" w:rsidP="00E06740">
      <w:pPr>
        <w:spacing w:line="360" w:lineRule="auto"/>
        <w:ind w:left="709" w:hanging="425"/>
        <w:jc w:val="both"/>
        <w:rPr>
          <w:rFonts w:asciiTheme="minorHAnsi" w:hAnsiTheme="minorHAnsi" w:cstheme="minorHAnsi"/>
          <w:b/>
          <w:sz w:val="28"/>
        </w:rPr>
      </w:pPr>
    </w:p>
    <w:p w14:paraId="7B9B5CE7" w14:textId="77777777" w:rsidR="00E06740" w:rsidRDefault="00E06740" w:rsidP="00E06740">
      <w:pPr>
        <w:spacing w:line="360" w:lineRule="auto"/>
        <w:ind w:left="709" w:hanging="425"/>
        <w:jc w:val="both"/>
        <w:rPr>
          <w:rFonts w:asciiTheme="minorHAnsi" w:hAnsiTheme="minorHAnsi" w:cstheme="minorHAnsi"/>
          <w:b/>
          <w:sz w:val="28"/>
        </w:rPr>
      </w:pPr>
    </w:p>
    <w:p w14:paraId="1247FD03" w14:textId="77777777" w:rsidR="00E06740" w:rsidRDefault="00E06740" w:rsidP="00E06740">
      <w:pPr>
        <w:spacing w:line="360" w:lineRule="auto"/>
        <w:ind w:left="709" w:hanging="425"/>
        <w:jc w:val="both"/>
        <w:rPr>
          <w:rFonts w:asciiTheme="minorHAnsi" w:hAnsiTheme="minorHAnsi" w:cstheme="minorHAnsi"/>
          <w:b/>
          <w:sz w:val="28"/>
        </w:rPr>
      </w:pPr>
    </w:p>
    <w:p w14:paraId="6EC20F90" w14:textId="4A99AF5F" w:rsidR="00E06740" w:rsidRDefault="00E06740" w:rsidP="00E06740">
      <w:pPr>
        <w:spacing w:line="360" w:lineRule="auto"/>
        <w:ind w:left="709" w:hanging="425"/>
        <w:jc w:val="both"/>
        <w:rPr>
          <w:rFonts w:asciiTheme="minorHAnsi" w:hAnsiTheme="minorHAnsi" w:cstheme="minorHAnsi"/>
          <w:b/>
          <w:sz w:val="28"/>
        </w:rPr>
      </w:pPr>
    </w:p>
    <w:p w14:paraId="04E9BEC9" w14:textId="77777777" w:rsidR="0025136B" w:rsidRDefault="0025136B" w:rsidP="00E06740">
      <w:pPr>
        <w:spacing w:line="360" w:lineRule="auto"/>
        <w:ind w:left="709" w:hanging="425"/>
        <w:jc w:val="both"/>
        <w:rPr>
          <w:rFonts w:asciiTheme="minorHAnsi" w:hAnsiTheme="minorHAnsi" w:cstheme="minorHAnsi"/>
          <w:b/>
          <w:sz w:val="28"/>
        </w:rPr>
      </w:pPr>
    </w:p>
    <w:p w14:paraId="25DBFF59" w14:textId="3558814C" w:rsidR="00E06740" w:rsidRPr="00721BA1" w:rsidRDefault="00E06740" w:rsidP="00E06740">
      <w:pPr>
        <w:spacing w:line="360" w:lineRule="auto"/>
        <w:ind w:left="709" w:hanging="425"/>
        <w:jc w:val="both"/>
        <w:rPr>
          <w:rFonts w:asciiTheme="minorHAnsi" w:hAnsiTheme="minorHAnsi" w:cstheme="minorHAnsi"/>
          <w:b/>
          <w:sz w:val="28"/>
        </w:rPr>
      </w:pPr>
      <w:r>
        <w:rPr>
          <w:rFonts w:asciiTheme="minorHAnsi" w:hAnsiTheme="minorHAnsi" w:cstheme="minorHAnsi"/>
          <w:b/>
          <w:sz w:val="28"/>
        </w:rPr>
        <w:lastRenderedPageBreak/>
        <w:t xml:space="preserve">      </w:t>
      </w:r>
      <w:r w:rsidR="00AF1DB3" w:rsidRPr="00AF1DB3">
        <w:rPr>
          <w:rFonts w:asciiTheme="minorHAnsi" w:hAnsiTheme="minorHAnsi" w:cstheme="minorHAnsi"/>
          <w:b/>
        </w:rPr>
        <w:t>6</w:t>
      </w:r>
      <w:r w:rsidRPr="00AF1DB3">
        <w:rPr>
          <w:rFonts w:asciiTheme="minorHAnsi" w:hAnsiTheme="minorHAnsi" w:cstheme="minorHAnsi"/>
          <w:b/>
        </w:rPr>
        <w:t>.7.2 Entrepreneurship Empowerment</w:t>
      </w:r>
    </w:p>
    <w:p w14:paraId="03DFD2E0" w14:textId="77777777" w:rsidR="00E06740" w:rsidRPr="00B03700" w:rsidRDefault="00E06740" w:rsidP="00E06740">
      <w:pPr>
        <w:spacing w:line="360" w:lineRule="auto"/>
        <w:ind w:left="709"/>
        <w:jc w:val="both"/>
        <w:rPr>
          <w:rFonts w:asciiTheme="minorHAnsi" w:hAnsiTheme="minorHAnsi" w:cstheme="minorHAnsi"/>
          <w:sz w:val="22"/>
        </w:rPr>
      </w:pPr>
      <w:r w:rsidRPr="00B03700">
        <w:rPr>
          <w:rFonts w:eastAsia="Calibri"/>
          <w:noProof/>
          <w:lang w:val="en-IN" w:eastAsia="en-IN"/>
        </w:rPr>
        <w:drawing>
          <wp:anchor distT="0" distB="0" distL="114300" distR="114300" simplePos="0" relativeHeight="252163584" behindDoc="1" locked="0" layoutInCell="1" allowOverlap="1" wp14:anchorId="42ED4588" wp14:editId="239150F8">
            <wp:simplePos x="0" y="0"/>
            <wp:positionH relativeFrom="column">
              <wp:posOffset>428625</wp:posOffset>
            </wp:positionH>
            <wp:positionV relativeFrom="paragraph">
              <wp:posOffset>1711960</wp:posOffset>
            </wp:positionV>
            <wp:extent cx="2543175" cy="1958340"/>
            <wp:effectExtent l="76200" t="76200" r="142875" b="137160"/>
            <wp:wrapTight wrapText="bothSides">
              <wp:wrapPolygon edited="0">
                <wp:start x="-324" y="-840"/>
                <wp:lineTo x="-647" y="-630"/>
                <wp:lineTo x="-647" y="22062"/>
                <wp:lineTo x="-324" y="22903"/>
                <wp:lineTo x="22328" y="22903"/>
                <wp:lineTo x="22652" y="19751"/>
                <wp:lineTo x="22652" y="2732"/>
                <wp:lineTo x="22328" y="-420"/>
                <wp:lineTo x="22328" y="-840"/>
                <wp:lineTo x="-324" y="-840"/>
              </wp:wrapPolygon>
            </wp:wrapTight>
            <wp:docPr id="212922771" name="Content Placeholder 4"/>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38" name="Content Placeholder 4"/>
                    <pic:cNvPicPr>
                      <a:picLocks noGrp="1" noChangeAspect="1"/>
                    </pic:cNvPicPr>
                  </pic:nvPicPr>
                  <pic:blipFill>
                    <a:blip r:embed="rId144" cstate="print">
                      <a:extLst>
                        <a:ext uri="{28A0092B-C50C-407E-A947-70E740481C1C}">
                          <a14:useLocalDpi xmlns:a14="http://schemas.microsoft.com/office/drawing/2010/main" val="0"/>
                        </a:ext>
                      </a:extLst>
                    </a:blip>
                    <a:stretch>
                      <a:fillRect/>
                    </a:stretch>
                  </pic:blipFill>
                  <pic:spPr>
                    <a:xfrm>
                      <a:off x="0" y="0"/>
                      <a:ext cx="2543175" cy="195834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14:sizeRelH relativeFrom="margin">
              <wp14:pctWidth>0</wp14:pctWidth>
            </wp14:sizeRelH>
            <wp14:sizeRelV relativeFrom="margin">
              <wp14:pctHeight>0</wp14:pctHeight>
            </wp14:sizeRelV>
          </wp:anchor>
        </w:drawing>
      </w:r>
      <w:r w:rsidRPr="00B03700">
        <w:rPr>
          <w:rFonts w:eastAsia="Calibri"/>
          <w:noProof/>
          <w:lang w:val="en-IN" w:eastAsia="en-IN"/>
        </w:rPr>
        <w:drawing>
          <wp:anchor distT="0" distB="0" distL="114300" distR="114300" simplePos="0" relativeHeight="252164608" behindDoc="1" locked="0" layoutInCell="1" allowOverlap="1" wp14:anchorId="18DBF66A" wp14:editId="4988FC73">
            <wp:simplePos x="0" y="0"/>
            <wp:positionH relativeFrom="column">
              <wp:posOffset>3333750</wp:posOffset>
            </wp:positionH>
            <wp:positionV relativeFrom="paragraph">
              <wp:posOffset>1759585</wp:posOffset>
            </wp:positionV>
            <wp:extent cx="2476500" cy="1910715"/>
            <wp:effectExtent l="95250" t="95250" r="95250" b="89535"/>
            <wp:wrapTight wrapText="bothSides">
              <wp:wrapPolygon edited="0">
                <wp:start x="-831" y="-1077"/>
                <wp:lineTo x="-831" y="22397"/>
                <wp:lineTo x="22265" y="22397"/>
                <wp:lineTo x="22265" y="-1077"/>
                <wp:lineTo x="-831" y="-1077"/>
              </wp:wrapPolygon>
            </wp:wrapTight>
            <wp:docPr id="212922759" name="Content Placeholder 8"/>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40" name="Content Placeholder 8"/>
                    <pic:cNvPicPr>
                      <a:picLocks noGrp="1" noChangeAspect="1"/>
                    </pic:cNvPicPr>
                  </pic:nvPicPr>
                  <pic:blipFill>
                    <a:blip r:embed="rId145" cstate="print">
                      <a:extLst>
                        <a:ext uri="{28A0092B-C50C-407E-A947-70E740481C1C}">
                          <a14:useLocalDpi xmlns:a14="http://schemas.microsoft.com/office/drawing/2010/main" val="0"/>
                        </a:ext>
                      </a:extLst>
                    </a:blip>
                    <a:stretch>
                      <a:fillRect/>
                    </a:stretch>
                  </pic:blipFill>
                  <pic:spPr>
                    <a:xfrm>
                      <a:off x="0" y="0"/>
                      <a:ext cx="2476500" cy="1910715"/>
                    </a:xfrm>
                    <a:prstGeom prst="rect">
                      <a:avLst/>
                    </a:prstGeom>
                    <a:ln w="88900" cap="sq" cmpd="thickThin">
                      <a:solidFill>
                        <a:srgbClr val="000000"/>
                      </a:solidFill>
                      <a:prstDash val="solid"/>
                      <a:miter lim="800000"/>
                    </a:ln>
                    <a:effectLst>
                      <a:innerShdw blurRad="76200">
                        <a:srgbClr val="000000"/>
                      </a:innerShdw>
                    </a:effectLst>
                  </pic:spPr>
                </pic:pic>
              </a:graphicData>
            </a:graphic>
            <wp14:sizeRelH relativeFrom="margin">
              <wp14:pctWidth>0</wp14:pctWidth>
            </wp14:sizeRelH>
            <wp14:sizeRelV relativeFrom="margin">
              <wp14:pctHeight>0</wp14:pctHeight>
            </wp14:sizeRelV>
          </wp:anchor>
        </w:drawing>
      </w:r>
      <w:r w:rsidRPr="00B03700">
        <w:rPr>
          <w:rFonts w:asciiTheme="minorHAnsi" w:hAnsiTheme="minorHAnsi" w:cstheme="minorHAnsi"/>
          <w:sz w:val="22"/>
        </w:rPr>
        <w:t xml:space="preserve">Within the realm of entrepreneurship, our commitment extends to fostering opportunities for Women Self Help Groups (WSHG) in the </w:t>
      </w:r>
      <w:r>
        <w:rPr>
          <w:rFonts w:asciiTheme="minorHAnsi" w:hAnsiTheme="minorHAnsi" w:cstheme="minorHAnsi"/>
          <w:sz w:val="22"/>
        </w:rPr>
        <w:t>areas</w:t>
      </w:r>
      <w:r w:rsidRPr="00B03700">
        <w:rPr>
          <w:rFonts w:asciiTheme="minorHAnsi" w:hAnsiTheme="minorHAnsi" w:cstheme="minorHAnsi"/>
          <w:sz w:val="22"/>
        </w:rPr>
        <w:t xml:space="preserve"> of Metering, Billing &amp; Collection (MBC). This initiative operates in alignment with the comprehensive guidelines outlined by the Energy Department and Mission Shakti, under the Government of Odisha. Our engagement with WSHGs transcends MBC, encompassing a diverse array of Income Generation activities.</w:t>
      </w:r>
    </w:p>
    <w:p w14:paraId="3CA9912D" w14:textId="77777777" w:rsidR="00E06740" w:rsidRPr="00B3073B" w:rsidRDefault="00E06740" w:rsidP="00E06740">
      <w:pPr>
        <w:spacing w:line="360" w:lineRule="auto"/>
        <w:ind w:left="567"/>
        <w:rPr>
          <w:rFonts w:asciiTheme="minorHAnsi" w:hAnsiTheme="minorHAnsi" w:cstheme="minorHAnsi"/>
          <w:sz w:val="22"/>
          <w:lang w:bidi="or-IN"/>
        </w:rPr>
      </w:pPr>
    </w:p>
    <w:p w14:paraId="50332EDB" w14:textId="77777777" w:rsidR="00E06740" w:rsidRDefault="00E06740" w:rsidP="00E06740">
      <w:pPr>
        <w:spacing w:line="360" w:lineRule="auto"/>
        <w:ind w:left="567"/>
        <w:jc w:val="both"/>
        <w:rPr>
          <w:rFonts w:asciiTheme="minorHAnsi" w:hAnsiTheme="minorHAnsi" w:cstheme="minorHAnsi"/>
          <w:sz w:val="22"/>
          <w:szCs w:val="22"/>
        </w:rPr>
      </w:pPr>
      <w:r w:rsidRPr="00180A75">
        <w:rPr>
          <w:rFonts w:asciiTheme="minorHAnsi" w:hAnsiTheme="minorHAnsi" w:cstheme="minorHAnsi"/>
          <w:sz w:val="22"/>
          <w:szCs w:val="22"/>
          <w:lang w:bidi="or-IN"/>
        </w:rPr>
        <w:t>To ensure the optimal performance and skill set of our women members in MBC, we actively organize training and capacity-building programs.</w:t>
      </w:r>
      <w:r>
        <w:rPr>
          <w:rFonts w:asciiTheme="minorHAnsi" w:hAnsiTheme="minorHAnsi" w:cstheme="minorHAnsi"/>
          <w:sz w:val="22"/>
          <w:szCs w:val="22"/>
          <w:lang w:bidi="or-IN"/>
        </w:rPr>
        <w:t xml:space="preserve"> </w:t>
      </w:r>
      <w:r w:rsidRPr="00180A75">
        <w:rPr>
          <w:rFonts w:asciiTheme="minorHAnsi" w:hAnsiTheme="minorHAnsi" w:cstheme="minorHAnsi"/>
          <w:sz w:val="22"/>
          <w:szCs w:val="22"/>
        </w:rPr>
        <w:t>These initiatives are strategically implemented to enhance the proficiency of WSHGs, thereby fortifying their capabilities in MBC operations</w:t>
      </w:r>
      <w:r>
        <w:rPr>
          <w:rFonts w:asciiTheme="minorHAnsi" w:hAnsiTheme="minorHAnsi" w:cstheme="minorHAnsi"/>
          <w:sz w:val="22"/>
          <w:szCs w:val="22"/>
        </w:rPr>
        <w:t>.</w:t>
      </w:r>
    </w:p>
    <w:p w14:paraId="56997AA6" w14:textId="77777777" w:rsidR="00E06740" w:rsidRDefault="00E06740" w:rsidP="00E06740">
      <w:pPr>
        <w:spacing w:line="360" w:lineRule="auto"/>
        <w:ind w:left="567"/>
        <w:jc w:val="both"/>
        <w:rPr>
          <w:rFonts w:asciiTheme="minorHAnsi" w:hAnsiTheme="minorHAnsi" w:cstheme="minorHAnsi"/>
          <w:sz w:val="22"/>
          <w:szCs w:val="22"/>
        </w:rPr>
      </w:pPr>
      <w:r w:rsidRPr="00180A75">
        <w:rPr>
          <w:rFonts w:asciiTheme="minorHAnsi" w:hAnsiTheme="minorHAnsi" w:cstheme="minorHAnsi"/>
          <w:sz w:val="22"/>
          <w:szCs w:val="22"/>
        </w:rPr>
        <w:t xml:space="preserve">Thus far, our impact has been significant, with 307 WSHGs actively participating in these initiatives, leading to direct employment for 614 women. The tangible outcomes are reflected in the monthly incomes of individuals, ranging between 8000 to 12000. </w:t>
      </w:r>
    </w:p>
    <w:p w14:paraId="59030C24" w14:textId="77777777" w:rsidR="00E06740" w:rsidRPr="00180A75" w:rsidRDefault="00E06740" w:rsidP="00E06740">
      <w:pPr>
        <w:spacing w:line="360" w:lineRule="auto"/>
        <w:ind w:left="567"/>
        <w:jc w:val="both"/>
        <w:rPr>
          <w:rFonts w:asciiTheme="minorHAnsi" w:hAnsiTheme="minorHAnsi" w:cstheme="minorHAnsi"/>
          <w:sz w:val="22"/>
          <w:szCs w:val="22"/>
        </w:rPr>
      </w:pPr>
    </w:p>
    <w:p w14:paraId="283F5F43" w14:textId="1648CE62" w:rsidR="00E06740" w:rsidRPr="0025136B" w:rsidRDefault="00E06740" w:rsidP="0025136B">
      <w:pPr>
        <w:spacing w:line="360" w:lineRule="auto"/>
        <w:ind w:left="567"/>
        <w:jc w:val="both"/>
        <w:rPr>
          <w:rFonts w:asciiTheme="minorHAnsi" w:hAnsiTheme="minorHAnsi" w:cstheme="minorHAnsi"/>
          <w:sz w:val="22"/>
          <w:szCs w:val="22"/>
        </w:rPr>
      </w:pPr>
      <w:r w:rsidRPr="00180A75">
        <w:rPr>
          <w:rFonts w:asciiTheme="minorHAnsi" w:hAnsiTheme="minorHAnsi" w:cstheme="minorHAnsi"/>
          <w:sz w:val="22"/>
          <w:szCs w:val="22"/>
        </w:rPr>
        <w:t>Importantly, our approach not only uplifts the directly engaged members but also indirectly benefits non-employed WSHG members. This is achieved through a structured mechanism wherein those involved in MBC activities are obligated to contribute 10% of their monthly income to the collective well-being of the group, reinforcing a sense of shared prosperity</w:t>
      </w:r>
      <w:r>
        <w:rPr>
          <w:rFonts w:asciiTheme="minorHAnsi" w:hAnsiTheme="minorHAnsi" w:cstheme="minorHAnsi"/>
          <w:sz w:val="22"/>
          <w:szCs w:val="22"/>
        </w:rPr>
        <w:t>.</w:t>
      </w:r>
    </w:p>
    <w:p w14:paraId="223647DC" w14:textId="02224346" w:rsidR="00E06740" w:rsidRDefault="00E06740" w:rsidP="0025136B">
      <w:pPr>
        <w:spacing w:line="360" w:lineRule="auto"/>
        <w:jc w:val="both"/>
        <w:rPr>
          <w:rFonts w:asciiTheme="minorHAnsi" w:hAnsiTheme="minorHAnsi" w:cstheme="minorHAnsi"/>
          <w:b/>
          <w:sz w:val="28"/>
          <w:szCs w:val="28"/>
        </w:rPr>
      </w:pPr>
    </w:p>
    <w:p w14:paraId="777B7459" w14:textId="562B62B5" w:rsidR="0025136B" w:rsidRDefault="0025136B" w:rsidP="0025136B">
      <w:pPr>
        <w:spacing w:line="360" w:lineRule="auto"/>
        <w:jc w:val="both"/>
        <w:rPr>
          <w:rFonts w:asciiTheme="minorHAnsi" w:hAnsiTheme="minorHAnsi" w:cstheme="minorHAnsi"/>
          <w:b/>
          <w:sz w:val="28"/>
          <w:szCs w:val="28"/>
        </w:rPr>
      </w:pPr>
    </w:p>
    <w:p w14:paraId="5976AB92" w14:textId="38A0D682" w:rsidR="0025136B" w:rsidRDefault="0025136B" w:rsidP="0025136B">
      <w:pPr>
        <w:spacing w:line="360" w:lineRule="auto"/>
        <w:jc w:val="both"/>
        <w:rPr>
          <w:rFonts w:asciiTheme="minorHAnsi" w:hAnsiTheme="minorHAnsi" w:cstheme="minorHAnsi"/>
          <w:b/>
          <w:sz w:val="28"/>
          <w:szCs w:val="28"/>
        </w:rPr>
      </w:pPr>
    </w:p>
    <w:p w14:paraId="0D52043C" w14:textId="1E791E75" w:rsidR="0025136B" w:rsidRDefault="0025136B" w:rsidP="0025136B">
      <w:pPr>
        <w:spacing w:line="360" w:lineRule="auto"/>
        <w:jc w:val="both"/>
        <w:rPr>
          <w:rFonts w:asciiTheme="minorHAnsi" w:hAnsiTheme="minorHAnsi" w:cstheme="minorHAnsi"/>
          <w:b/>
          <w:sz w:val="28"/>
          <w:szCs w:val="28"/>
        </w:rPr>
      </w:pPr>
    </w:p>
    <w:p w14:paraId="27922BDF" w14:textId="2DA9DAC9" w:rsidR="0025136B" w:rsidRDefault="0025136B" w:rsidP="0025136B">
      <w:pPr>
        <w:spacing w:line="360" w:lineRule="auto"/>
        <w:jc w:val="both"/>
        <w:rPr>
          <w:rFonts w:asciiTheme="minorHAnsi" w:hAnsiTheme="minorHAnsi" w:cstheme="minorHAnsi"/>
          <w:b/>
          <w:sz w:val="28"/>
          <w:szCs w:val="28"/>
        </w:rPr>
      </w:pPr>
    </w:p>
    <w:p w14:paraId="683B2383" w14:textId="77777777" w:rsidR="0025136B" w:rsidRDefault="0025136B" w:rsidP="0025136B">
      <w:pPr>
        <w:spacing w:line="360" w:lineRule="auto"/>
        <w:jc w:val="both"/>
        <w:rPr>
          <w:rFonts w:asciiTheme="minorHAnsi" w:hAnsiTheme="minorHAnsi" w:cstheme="minorHAnsi"/>
          <w:b/>
          <w:sz w:val="28"/>
          <w:szCs w:val="28"/>
        </w:rPr>
      </w:pPr>
    </w:p>
    <w:p w14:paraId="176F9772" w14:textId="1372337D" w:rsidR="00E06740" w:rsidRPr="00AF1DB3" w:rsidRDefault="00AF1DB3" w:rsidP="00E06740">
      <w:pPr>
        <w:spacing w:line="360" w:lineRule="auto"/>
        <w:ind w:left="567"/>
        <w:jc w:val="both"/>
        <w:rPr>
          <w:rFonts w:asciiTheme="minorHAnsi" w:hAnsiTheme="minorHAnsi" w:cstheme="minorHAnsi"/>
          <w:b/>
          <w:szCs w:val="28"/>
        </w:rPr>
      </w:pPr>
      <w:r w:rsidRPr="00AF1DB3">
        <w:rPr>
          <w:rFonts w:asciiTheme="minorHAnsi" w:hAnsiTheme="minorHAnsi" w:cstheme="minorHAnsi"/>
          <w:b/>
          <w:szCs w:val="28"/>
        </w:rPr>
        <w:lastRenderedPageBreak/>
        <w:t>6</w:t>
      </w:r>
      <w:r w:rsidR="00E06740" w:rsidRPr="00AF1DB3">
        <w:rPr>
          <w:rFonts w:asciiTheme="minorHAnsi" w:hAnsiTheme="minorHAnsi" w:cstheme="minorHAnsi"/>
          <w:b/>
          <w:szCs w:val="28"/>
        </w:rPr>
        <w:t>.7.3 Empowering through Education Initiatives</w:t>
      </w:r>
    </w:p>
    <w:p w14:paraId="2F119FB2" w14:textId="4044C263" w:rsidR="00E06740" w:rsidRPr="00721BA1" w:rsidRDefault="00E06740" w:rsidP="00E06740">
      <w:pPr>
        <w:spacing w:line="360" w:lineRule="auto"/>
        <w:ind w:left="567"/>
        <w:jc w:val="both"/>
        <w:rPr>
          <w:rFonts w:asciiTheme="minorHAnsi" w:hAnsiTheme="minorHAnsi" w:cstheme="minorHAnsi"/>
          <w:sz w:val="22"/>
          <w:szCs w:val="22"/>
        </w:rPr>
      </w:pPr>
      <w:r w:rsidRPr="00721BA1">
        <w:rPr>
          <w:rFonts w:asciiTheme="minorHAnsi" w:hAnsiTheme="minorHAnsi" w:cstheme="minorHAnsi"/>
          <w:noProof/>
          <w:lang w:val="en-IN" w:eastAsia="en-IN"/>
        </w:rPr>
        <w:drawing>
          <wp:anchor distT="0" distB="0" distL="114300" distR="114300" simplePos="0" relativeHeight="252165632" behindDoc="1" locked="0" layoutInCell="1" allowOverlap="1" wp14:anchorId="2749AD9B" wp14:editId="5095E761">
            <wp:simplePos x="0" y="0"/>
            <wp:positionH relativeFrom="column">
              <wp:posOffset>3324225</wp:posOffset>
            </wp:positionH>
            <wp:positionV relativeFrom="paragraph">
              <wp:posOffset>245745</wp:posOffset>
            </wp:positionV>
            <wp:extent cx="2714625" cy="2457450"/>
            <wp:effectExtent l="76200" t="76200" r="142875" b="133350"/>
            <wp:wrapTight wrapText="bothSides">
              <wp:wrapPolygon edited="0">
                <wp:start x="-303" y="-670"/>
                <wp:lineTo x="-606" y="-502"/>
                <wp:lineTo x="-606" y="21935"/>
                <wp:lineTo x="-303" y="22605"/>
                <wp:lineTo x="22282" y="22605"/>
                <wp:lineTo x="22585" y="21098"/>
                <wp:lineTo x="22585" y="2177"/>
                <wp:lineTo x="22282" y="-335"/>
                <wp:lineTo x="22282" y="-670"/>
                <wp:lineTo x="-303" y="-670"/>
              </wp:wrapPolygon>
            </wp:wrapTight>
            <wp:docPr id="212922760" name="Picture 212922760" descr="D:\OneDrive - TP Northern Odisha Distribution Limited\Desktop\KEONJHAR ACTIVITY\WLC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OneDrive - TP Northern Odisha Distribution Limited\Desktop\KEONJHAR ACTIVITY\WLC1.jpeg"/>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2714625" cy="245745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14:sizeRelH relativeFrom="margin">
              <wp14:pctWidth>0</wp14:pctWidth>
            </wp14:sizeRelH>
            <wp14:sizeRelV relativeFrom="margin">
              <wp14:pctHeight>0</wp14:pctHeight>
            </wp14:sizeRelV>
          </wp:anchor>
        </w:drawing>
      </w:r>
      <w:r w:rsidR="00AF1DB3">
        <w:rPr>
          <w:rFonts w:asciiTheme="minorHAnsi" w:hAnsiTheme="minorHAnsi" w:cstheme="minorHAnsi"/>
          <w:b/>
        </w:rPr>
        <w:t>6</w:t>
      </w:r>
      <w:r w:rsidRPr="00721BA1">
        <w:rPr>
          <w:rFonts w:asciiTheme="minorHAnsi" w:hAnsiTheme="minorHAnsi" w:cstheme="minorHAnsi"/>
          <w:b/>
        </w:rPr>
        <w:t>.7.3.1 Women Literacy Program</w:t>
      </w:r>
    </w:p>
    <w:p w14:paraId="52283ABE" w14:textId="77777777" w:rsidR="00E06740" w:rsidRDefault="00E06740" w:rsidP="00E06740">
      <w:pPr>
        <w:spacing w:line="360" w:lineRule="auto"/>
        <w:ind w:left="567"/>
        <w:jc w:val="both"/>
        <w:rPr>
          <w:rFonts w:asciiTheme="minorHAnsi" w:hAnsiTheme="minorHAnsi" w:cstheme="minorHAnsi"/>
          <w:sz w:val="22"/>
          <w:szCs w:val="22"/>
        </w:rPr>
      </w:pPr>
      <w:r w:rsidRPr="00180A75">
        <w:rPr>
          <w:rFonts w:asciiTheme="minorHAnsi" w:hAnsiTheme="minorHAnsi" w:cstheme="minorHAnsi"/>
          <w:sz w:val="22"/>
          <w:szCs w:val="22"/>
        </w:rPr>
        <w:t xml:space="preserve">In our commitment to education, we've established 40 Women Literacy Centers in the slums of </w:t>
      </w:r>
      <w:proofErr w:type="spellStart"/>
      <w:r w:rsidRPr="00180A75">
        <w:rPr>
          <w:rFonts w:asciiTheme="minorHAnsi" w:hAnsiTheme="minorHAnsi" w:cstheme="minorHAnsi"/>
          <w:sz w:val="22"/>
          <w:szCs w:val="22"/>
        </w:rPr>
        <w:t>Balasore</w:t>
      </w:r>
      <w:proofErr w:type="spellEnd"/>
      <w:r w:rsidRPr="00180A75">
        <w:rPr>
          <w:rFonts w:asciiTheme="minorHAnsi" w:hAnsiTheme="minorHAnsi" w:cstheme="minorHAnsi"/>
          <w:sz w:val="22"/>
          <w:szCs w:val="22"/>
        </w:rPr>
        <w:t xml:space="preserve">, Mayurbhanj and </w:t>
      </w:r>
      <w:proofErr w:type="spellStart"/>
      <w:r w:rsidRPr="00180A75">
        <w:rPr>
          <w:rFonts w:asciiTheme="minorHAnsi" w:hAnsiTheme="minorHAnsi" w:cstheme="minorHAnsi"/>
          <w:sz w:val="22"/>
          <w:szCs w:val="22"/>
        </w:rPr>
        <w:t>Keonjhar</w:t>
      </w:r>
      <w:proofErr w:type="spellEnd"/>
      <w:r w:rsidRPr="00180A75">
        <w:rPr>
          <w:rFonts w:asciiTheme="minorHAnsi" w:hAnsiTheme="minorHAnsi" w:cstheme="minorHAnsi"/>
          <w:sz w:val="22"/>
          <w:szCs w:val="22"/>
        </w:rPr>
        <w:t>, benefiting a total of 1600 women from marginalized communities with essential functional literacy skills. Our collaboration with TCS extends to providing free Odia learning software and incorporating digital and financial literacy modules into the curriculum, ensuring a comprehensive educational experience</w:t>
      </w:r>
      <w:r>
        <w:rPr>
          <w:rFonts w:asciiTheme="minorHAnsi" w:hAnsiTheme="minorHAnsi" w:cstheme="minorHAnsi"/>
          <w:sz w:val="22"/>
          <w:szCs w:val="22"/>
        </w:rPr>
        <w:t>.</w:t>
      </w:r>
    </w:p>
    <w:p w14:paraId="6C626503" w14:textId="77777777" w:rsidR="00E06740" w:rsidRPr="00180A75" w:rsidRDefault="00E06740" w:rsidP="00E06740">
      <w:pPr>
        <w:spacing w:line="360" w:lineRule="auto"/>
        <w:ind w:left="567"/>
        <w:jc w:val="both"/>
        <w:rPr>
          <w:rFonts w:asciiTheme="minorHAnsi" w:hAnsiTheme="minorHAnsi" w:cstheme="minorHAnsi"/>
          <w:sz w:val="22"/>
          <w:szCs w:val="22"/>
        </w:rPr>
      </w:pPr>
    </w:p>
    <w:p w14:paraId="15CA03B4" w14:textId="09561F66" w:rsidR="00E06740" w:rsidRPr="00721BA1" w:rsidRDefault="00AF1DB3" w:rsidP="00E06740">
      <w:pPr>
        <w:spacing w:line="360" w:lineRule="auto"/>
        <w:ind w:left="567"/>
        <w:jc w:val="both"/>
        <w:rPr>
          <w:rFonts w:asciiTheme="minorHAnsi" w:hAnsiTheme="minorHAnsi" w:cstheme="minorHAnsi"/>
          <w:b/>
        </w:rPr>
      </w:pPr>
      <w:r>
        <w:rPr>
          <w:rFonts w:asciiTheme="minorHAnsi" w:hAnsiTheme="minorHAnsi" w:cstheme="minorHAnsi"/>
          <w:b/>
        </w:rPr>
        <w:t>6</w:t>
      </w:r>
      <w:r w:rsidR="00E06740" w:rsidRPr="00721BA1">
        <w:rPr>
          <w:rFonts w:asciiTheme="minorHAnsi" w:hAnsiTheme="minorHAnsi" w:cstheme="minorHAnsi"/>
          <w:b/>
        </w:rPr>
        <w:t>.7.</w:t>
      </w:r>
      <w:r w:rsidR="00E06740">
        <w:rPr>
          <w:rFonts w:asciiTheme="minorHAnsi" w:hAnsiTheme="minorHAnsi" w:cstheme="minorHAnsi"/>
          <w:b/>
        </w:rPr>
        <w:t>3.2</w:t>
      </w:r>
      <w:r w:rsidR="00E06740" w:rsidRPr="00721BA1">
        <w:rPr>
          <w:rFonts w:asciiTheme="minorHAnsi" w:hAnsiTheme="minorHAnsi" w:cstheme="minorHAnsi"/>
          <w:b/>
        </w:rPr>
        <w:t xml:space="preserve"> Digital Literacy Program</w:t>
      </w:r>
      <w:r w:rsidR="00E06740" w:rsidRPr="00180A75">
        <w:rPr>
          <w:rFonts w:asciiTheme="minorHAnsi" w:hAnsiTheme="minorHAnsi" w:cstheme="minorHAnsi"/>
          <w:b/>
        </w:rPr>
        <w:t xml:space="preserve"> </w:t>
      </w:r>
      <w:r w:rsidR="00E06740" w:rsidRPr="00180A75">
        <w:rPr>
          <w:rFonts w:eastAsia="Calibri"/>
          <w:noProof/>
          <w:lang w:val="en-IN" w:eastAsia="en-IN"/>
        </w:rPr>
        <w:drawing>
          <wp:anchor distT="0" distB="0" distL="114300" distR="114300" simplePos="0" relativeHeight="252166656" behindDoc="1" locked="0" layoutInCell="1" allowOverlap="1" wp14:anchorId="21DA4670" wp14:editId="4DCCF421">
            <wp:simplePos x="0" y="0"/>
            <wp:positionH relativeFrom="margin">
              <wp:posOffset>3219450</wp:posOffset>
            </wp:positionH>
            <wp:positionV relativeFrom="paragraph">
              <wp:posOffset>83820</wp:posOffset>
            </wp:positionV>
            <wp:extent cx="2856865" cy="2790825"/>
            <wp:effectExtent l="76200" t="76200" r="133985" b="142875"/>
            <wp:wrapTight wrapText="bothSides">
              <wp:wrapPolygon edited="0">
                <wp:start x="-288" y="-590"/>
                <wp:lineTo x="-576" y="-442"/>
                <wp:lineTo x="-576" y="21969"/>
                <wp:lineTo x="-288" y="22558"/>
                <wp:lineTo x="22181" y="22558"/>
                <wp:lineTo x="22469" y="20937"/>
                <wp:lineTo x="22469" y="1917"/>
                <wp:lineTo x="22181" y="-295"/>
                <wp:lineTo x="22181" y="-590"/>
                <wp:lineTo x="-288" y="-590"/>
              </wp:wrapPolygon>
            </wp:wrapTight>
            <wp:docPr id="212922762"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4"/>
                    <pic:cNvPicPr>
                      <a:picLocks noChangeAspect="1"/>
                    </pic:cNvPicPr>
                  </pic:nvPicPr>
                  <pic:blipFill>
                    <a:blip r:embed="rId147" cstate="print">
                      <a:extLst>
                        <a:ext uri="{28A0092B-C50C-407E-A947-70E740481C1C}">
                          <a14:useLocalDpi xmlns:a14="http://schemas.microsoft.com/office/drawing/2010/main" val="0"/>
                        </a:ext>
                      </a:extLst>
                    </a:blip>
                    <a:stretch>
                      <a:fillRect/>
                    </a:stretch>
                  </pic:blipFill>
                  <pic:spPr>
                    <a:xfrm>
                      <a:off x="0" y="0"/>
                      <a:ext cx="2856865" cy="279082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14:sizeRelH relativeFrom="margin">
              <wp14:pctWidth>0</wp14:pctWidth>
            </wp14:sizeRelH>
            <wp14:sizeRelV relativeFrom="margin">
              <wp14:pctHeight>0</wp14:pctHeight>
            </wp14:sizeRelV>
          </wp:anchor>
        </w:drawing>
      </w:r>
      <w:r w:rsidR="00E06740" w:rsidRPr="00180A75">
        <w:rPr>
          <w:rFonts w:asciiTheme="minorHAnsi" w:hAnsiTheme="minorHAnsi" w:cstheme="minorHAnsi"/>
          <w:sz w:val="22"/>
          <w:szCs w:val="22"/>
        </w:rPr>
        <w:t xml:space="preserve">Our Digital Literacy Program serves as a beacon for empowerment, providing alternative livelihood opportunities to Women Self Help Group (WSHG) and unemployed youth in JAJPUR, BALASORE, and BHADRAK CIRCLE. </w:t>
      </w:r>
    </w:p>
    <w:p w14:paraId="01FCBB2E" w14:textId="77777777" w:rsidR="00E06740" w:rsidRPr="00180A75" w:rsidRDefault="00E06740" w:rsidP="00E06740">
      <w:pPr>
        <w:spacing w:line="360" w:lineRule="auto"/>
        <w:ind w:left="567"/>
        <w:jc w:val="both"/>
        <w:rPr>
          <w:rFonts w:asciiTheme="minorHAnsi" w:hAnsiTheme="minorHAnsi" w:cstheme="minorHAnsi"/>
          <w:sz w:val="22"/>
          <w:szCs w:val="22"/>
        </w:rPr>
      </w:pPr>
      <w:r w:rsidRPr="00180A75">
        <w:rPr>
          <w:rFonts w:asciiTheme="minorHAnsi" w:hAnsiTheme="minorHAnsi" w:cstheme="minorHAnsi"/>
          <w:sz w:val="22"/>
          <w:szCs w:val="22"/>
        </w:rPr>
        <w:t xml:space="preserve">With over 650 volunteers trained, reaching more than 1,00,000 citizens. This program not only facilitates digital payments but also promotes awareness about digital literacy, all while endorsing the </w:t>
      </w:r>
      <w:proofErr w:type="spellStart"/>
      <w:r w:rsidRPr="00180A75">
        <w:rPr>
          <w:rFonts w:asciiTheme="minorHAnsi" w:hAnsiTheme="minorHAnsi" w:cstheme="minorHAnsi"/>
          <w:sz w:val="22"/>
          <w:szCs w:val="22"/>
        </w:rPr>
        <w:t>MyTataPower</w:t>
      </w:r>
      <w:proofErr w:type="spellEnd"/>
      <w:r w:rsidRPr="00180A75">
        <w:rPr>
          <w:rFonts w:asciiTheme="minorHAnsi" w:hAnsiTheme="minorHAnsi" w:cstheme="minorHAnsi"/>
          <w:sz w:val="22"/>
          <w:szCs w:val="22"/>
        </w:rPr>
        <w:t xml:space="preserve"> app, facilitating over 50,000 </w:t>
      </w:r>
      <w:r>
        <w:rPr>
          <w:rFonts w:asciiTheme="minorHAnsi" w:hAnsiTheme="minorHAnsi" w:cstheme="minorHAnsi"/>
          <w:sz w:val="22"/>
          <w:szCs w:val="22"/>
        </w:rPr>
        <w:t xml:space="preserve">digital </w:t>
      </w:r>
      <w:r w:rsidRPr="00180A75">
        <w:rPr>
          <w:rFonts w:asciiTheme="minorHAnsi" w:hAnsiTheme="minorHAnsi" w:cstheme="minorHAnsi"/>
          <w:sz w:val="22"/>
          <w:szCs w:val="22"/>
        </w:rPr>
        <w:t>payments.</w:t>
      </w:r>
    </w:p>
    <w:p w14:paraId="57A57C52" w14:textId="24048F4C" w:rsidR="00E06740" w:rsidRPr="00721BA1" w:rsidRDefault="00E06740" w:rsidP="00E06740">
      <w:pPr>
        <w:spacing w:line="360" w:lineRule="auto"/>
        <w:ind w:left="567"/>
        <w:jc w:val="both"/>
        <w:rPr>
          <w:rFonts w:asciiTheme="minorHAnsi" w:hAnsiTheme="minorHAnsi" w:cstheme="minorHAnsi"/>
          <w:b/>
          <w:szCs w:val="22"/>
          <w:lang w:bidi="or-IN"/>
        </w:rPr>
      </w:pPr>
      <w:r w:rsidRPr="00721BA1">
        <w:rPr>
          <w:rFonts w:eastAsia="Calibri"/>
          <w:noProof/>
          <w:lang w:val="en-IN" w:eastAsia="en-IN"/>
        </w:rPr>
        <w:drawing>
          <wp:anchor distT="0" distB="0" distL="114300" distR="114300" simplePos="0" relativeHeight="252167680" behindDoc="1" locked="0" layoutInCell="1" allowOverlap="1" wp14:anchorId="4ABE6DBB" wp14:editId="06846D50">
            <wp:simplePos x="0" y="0"/>
            <wp:positionH relativeFrom="column">
              <wp:posOffset>3276600</wp:posOffset>
            </wp:positionH>
            <wp:positionV relativeFrom="paragraph">
              <wp:posOffset>228600</wp:posOffset>
            </wp:positionV>
            <wp:extent cx="2863215" cy="1981200"/>
            <wp:effectExtent l="76200" t="76200" r="127635" b="133350"/>
            <wp:wrapTight wrapText="bothSides">
              <wp:wrapPolygon edited="0">
                <wp:start x="-287" y="-831"/>
                <wp:lineTo x="-575" y="-623"/>
                <wp:lineTo x="-575" y="22015"/>
                <wp:lineTo x="-287" y="22846"/>
                <wp:lineTo x="22132" y="22846"/>
                <wp:lineTo x="22132" y="22638"/>
                <wp:lineTo x="22419" y="19523"/>
                <wp:lineTo x="22419" y="2700"/>
                <wp:lineTo x="22132" y="-415"/>
                <wp:lineTo x="22132" y="-831"/>
                <wp:lineTo x="-287" y="-831"/>
              </wp:wrapPolygon>
            </wp:wrapTight>
            <wp:docPr id="212922772" name="Content Placeholder 10"/>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33" name="Content Placeholder 10"/>
                    <pic:cNvPicPr>
                      <a:picLocks noGrp="1" noChangeAspect="1"/>
                    </pic:cNvPicPr>
                  </pic:nvPicPr>
                  <pic:blipFill>
                    <a:blip r:embed="rId148" cstate="print">
                      <a:extLst>
                        <a:ext uri="{28A0092B-C50C-407E-A947-70E740481C1C}">
                          <a14:useLocalDpi xmlns:a14="http://schemas.microsoft.com/office/drawing/2010/main" val="0"/>
                        </a:ext>
                      </a:extLst>
                    </a:blip>
                    <a:stretch>
                      <a:fillRect/>
                    </a:stretch>
                  </pic:blipFill>
                  <pic:spPr>
                    <a:xfrm>
                      <a:off x="0" y="0"/>
                      <a:ext cx="2863215" cy="198120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14:sizeRelH relativeFrom="margin">
              <wp14:pctWidth>0</wp14:pctWidth>
            </wp14:sizeRelH>
            <wp14:sizeRelV relativeFrom="margin">
              <wp14:pctHeight>0</wp14:pctHeight>
            </wp14:sizeRelV>
          </wp:anchor>
        </w:drawing>
      </w:r>
      <w:r w:rsidR="00AF1DB3">
        <w:rPr>
          <w:rFonts w:asciiTheme="minorHAnsi" w:hAnsiTheme="minorHAnsi" w:cstheme="minorHAnsi"/>
          <w:b/>
          <w:szCs w:val="22"/>
          <w:lang w:bidi="or-IN"/>
        </w:rPr>
        <w:t>6</w:t>
      </w:r>
      <w:r w:rsidRPr="00721BA1">
        <w:rPr>
          <w:rFonts w:asciiTheme="minorHAnsi" w:hAnsiTheme="minorHAnsi" w:cstheme="minorHAnsi"/>
          <w:b/>
          <w:szCs w:val="22"/>
          <w:lang w:bidi="or-IN"/>
        </w:rPr>
        <w:t xml:space="preserve">.7.3.3 Club </w:t>
      </w:r>
      <w:proofErr w:type="spellStart"/>
      <w:r w:rsidRPr="00721BA1">
        <w:rPr>
          <w:rFonts w:asciiTheme="minorHAnsi" w:hAnsiTheme="minorHAnsi" w:cstheme="minorHAnsi"/>
          <w:b/>
          <w:szCs w:val="22"/>
          <w:lang w:bidi="or-IN"/>
        </w:rPr>
        <w:t>Enerji</w:t>
      </w:r>
      <w:proofErr w:type="spellEnd"/>
      <w:r w:rsidRPr="00721BA1">
        <w:rPr>
          <w:rFonts w:asciiTheme="minorHAnsi" w:hAnsiTheme="minorHAnsi" w:cstheme="minorHAnsi"/>
          <w:b/>
          <w:szCs w:val="22"/>
          <w:lang w:bidi="or-IN"/>
        </w:rPr>
        <w:t xml:space="preserve"> </w:t>
      </w:r>
      <w:proofErr w:type="spellStart"/>
      <w:r w:rsidRPr="00721BA1">
        <w:rPr>
          <w:rFonts w:asciiTheme="minorHAnsi" w:hAnsiTheme="minorHAnsi" w:cstheme="minorHAnsi"/>
          <w:b/>
          <w:szCs w:val="22"/>
          <w:lang w:bidi="or-IN"/>
        </w:rPr>
        <w:t>Programme</w:t>
      </w:r>
      <w:proofErr w:type="spellEnd"/>
    </w:p>
    <w:p w14:paraId="029F40DE" w14:textId="77777777" w:rsidR="00E06740" w:rsidRDefault="00E06740" w:rsidP="00E06740">
      <w:pPr>
        <w:spacing w:line="360" w:lineRule="auto"/>
        <w:ind w:left="567"/>
        <w:jc w:val="both"/>
        <w:rPr>
          <w:rFonts w:eastAsia="Calibri"/>
          <w:noProof/>
          <w:lang w:val="en-IN" w:eastAsia="en-IN"/>
        </w:rPr>
      </w:pPr>
      <w:r w:rsidRPr="00721BA1">
        <w:rPr>
          <w:rFonts w:asciiTheme="minorHAnsi" w:hAnsiTheme="minorHAnsi" w:cstheme="minorHAnsi"/>
          <w:sz w:val="22"/>
          <w:szCs w:val="22"/>
          <w:lang w:bidi="or-IN"/>
        </w:rPr>
        <w:t xml:space="preserve">Under the banner of Club </w:t>
      </w:r>
      <w:proofErr w:type="spellStart"/>
      <w:r w:rsidRPr="00721BA1">
        <w:rPr>
          <w:rFonts w:asciiTheme="minorHAnsi" w:hAnsiTheme="minorHAnsi" w:cstheme="minorHAnsi"/>
          <w:sz w:val="22"/>
          <w:szCs w:val="22"/>
          <w:lang w:bidi="or-IN"/>
        </w:rPr>
        <w:t>Enerji</w:t>
      </w:r>
      <w:proofErr w:type="spellEnd"/>
      <w:r w:rsidRPr="00721BA1">
        <w:rPr>
          <w:rFonts w:asciiTheme="minorHAnsi" w:hAnsiTheme="minorHAnsi" w:cstheme="minorHAnsi"/>
          <w:sz w:val="22"/>
          <w:szCs w:val="22"/>
          <w:lang w:bidi="or-IN"/>
        </w:rPr>
        <w:t xml:space="preserve">, we focus on energy conservation and environmental awareness in 125 schools across all five districts. Our initiatives have educated over 40,000 students on energy conservation practices, with the noteworthy achievement of five students selected to participate in the National </w:t>
      </w:r>
      <w:proofErr w:type="spellStart"/>
      <w:r w:rsidRPr="00721BA1">
        <w:rPr>
          <w:rFonts w:asciiTheme="minorHAnsi" w:hAnsiTheme="minorHAnsi" w:cstheme="minorHAnsi"/>
          <w:sz w:val="22"/>
          <w:szCs w:val="22"/>
          <w:lang w:bidi="or-IN"/>
        </w:rPr>
        <w:t>Urja</w:t>
      </w:r>
      <w:proofErr w:type="spellEnd"/>
      <w:r w:rsidRPr="00721BA1">
        <w:rPr>
          <w:rFonts w:asciiTheme="minorHAnsi" w:hAnsiTheme="minorHAnsi" w:cstheme="minorHAnsi"/>
          <w:sz w:val="22"/>
          <w:szCs w:val="22"/>
          <w:lang w:bidi="or-IN"/>
        </w:rPr>
        <w:t xml:space="preserve"> Mela in New Delhi.</w:t>
      </w:r>
      <w:r w:rsidRPr="00721BA1">
        <w:rPr>
          <w:rFonts w:eastAsia="Calibri"/>
          <w:noProof/>
          <w:lang w:val="en-IN" w:eastAsia="en-IN"/>
        </w:rPr>
        <w:t xml:space="preserve"> </w:t>
      </w:r>
    </w:p>
    <w:p w14:paraId="32883E6B" w14:textId="77777777" w:rsidR="00E06740" w:rsidRDefault="00E06740" w:rsidP="00E06740">
      <w:pPr>
        <w:spacing w:line="360" w:lineRule="auto"/>
        <w:ind w:left="567"/>
        <w:jc w:val="both"/>
        <w:rPr>
          <w:rFonts w:asciiTheme="minorHAnsi" w:hAnsiTheme="minorHAnsi" w:cstheme="minorHAnsi"/>
          <w:sz w:val="22"/>
          <w:szCs w:val="22"/>
          <w:lang w:bidi="or-IN"/>
        </w:rPr>
      </w:pPr>
    </w:p>
    <w:p w14:paraId="2FCF6A70" w14:textId="61C2A1B7" w:rsidR="00E06740" w:rsidRPr="00721BA1" w:rsidRDefault="00AF1DB3" w:rsidP="00E06740">
      <w:pPr>
        <w:spacing w:line="360" w:lineRule="auto"/>
        <w:ind w:left="567"/>
        <w:jc w:val="both"/>
        <w:rPr>
          <w:rFonts w:asciiTheme="minorHAnsi" w:hAnsiTheme="minorHAnsi" w:cstheme="minorHAnsi"/>
          <w:b/>
          <w:szCs w:val="22"/>
          <w:lang w:bidi="or-IN"/>
        </w:rPr>
      </w:pPr>
      <w:r>
        <w:rPr>
          <w:rFonts w:asciiTheme="minorHAnsi" w:hAnsiTheme="minorHAnsi" w:cstheme="minorHAnsi"/>
          <w:b/>
          <w:szCs w:val="22"/>
          <w:lang w:bidi="or-IN"/>
        </w:rPr>
        <w:lastRenderedPageBreak/>
        <w:t>6</w:t>
      </w:r>
      <w:r w:rsidR="00E06740" w:rsidRPr="00721BA1">
        <w:rPr>
          <w:rFonts w:asciiTheme="minorHAnsi" w:hAnsiTheme="minorHAnsi" w:cstheme="minorHAnsi"/>
          <w:b/>
          <w:szCs w:val="22"/>
          <w:lang w:bidi="or-IN"/>
        </w:rPr>
        <w:t xml:space="preserve">.7.3.4 Coaching Classes </w:t>
      </w:r>
      <w:proofErr w:type="spellStart"/>
      <w:r w:rsidR="00E06740" w:rsidRPr="00721BA1">
        <w:rPr>
          <w:rFonts w:asciiTheme="minorHAnsi" w:hAnsiTheme="minorHAnsi" w:cstheme="minorHAnsi"/>
          <w:b/>
          <w:szCs w:val="22"/>
          <w:lang w:bidi="or-IN"/>
        </w:rPr>
        <w:t>Programme</w:t>
      </w:r>
      <w:proofErr w:type="spellEnd"/>
    </w:p>
    <w:p w14:paraId="433313D1" w14:textId="77777777" w:rsidR="00E06740" w:rsidRPr="00721BA1" w:rsidRDefault="00E06740" w:rsidP="00E06740">
      <w:pPr>
        <w:spacing w:line="360" w:lineRule="auto"/>
        <w:ind w:left="567"/>
        <w:jc w:val="both"/>
        <w:rPr>
          <w:rFonts w:asciiTheme="minorHAnsi" w:hAnsiTheme="minorHAnsi" w:cstheme="minorHAnsi"/>
          <w:sz w:val="22"/>
          <w:szCs w:val="22"/>
          <w:lang w:bidi="or-IN"/>
        </w:rPr>
      </w:pPr>
      <w:r w:rsidRPr="00721BA1">
        <w:rPr>
          <w:rFonts w:eastAsia="Calibri"/>
          <w:noProof/>
          <w:lang w:val="en-IN" w:eastAsia="en-IN"/>
        </w:rPr>
        <w:drawing>
          <wp:anchor distT="0" distB="0" distL="114300" distR="114300" simplePos="0" relativeHeight="252168704" behindDoc="1" locked="0" layoutInCell="1" allowOverlap="1" wp14:anchorId="21624964" wp14:editId="52A64510">
            <wp:simplePos x="0" y="0"/>
            <wp:positionH relativeFrom="margin">
              <wp:posOffset>3381375</wp:posOffset>
            </wp:positionH>
            <wp:positionV relativeFrom="paragraph">
              <wp:posOffset>27305</wp:posOffset>
            </wp:positionV>
            <wp:extent cx="2476500" cy="2066925"/>
            <wp:effectExtent l="76200" t="76200" r="133350" b="142875"/>
            <wp:wrapTight wrapText="bothSides">
              <wp:wrapPolygon edited="0">
                <wp:start x="-332" y="-796"/>
                <wp:lineTo x="-665" y="-597"/>
                <wp:lineTo x="-665" y="22098"/>
                <wp:lineTo x="-332" y="22894"/>
                <wp:lineTo x="22265" y="22894"/>
                <wp:lineTo x="22597" y="21899"/>
                <wp:lineTo x="22597" y="2588"/>
                <wp:lineTo x="22265" y="-398"/>
                <wp:lineTo x="22265" y="-796"/>
                <wp:lineTo x="-332" y="-796"/>
              </wp:wrapPolygon>
            </wp:wrapTight>
            <wp:docPr id="212922763" name="Picture 212922763" descr="D:\OneDrive - TP Northern Odisha Distribution Limited\Desktop\MISCELLANEOUS\TPNODL_DOCUMENTARY_2024\photos\Coaching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OneDrive - TP Northern Odisha Distribution Limited\Desktop\MISCELLANEOUS\TPNODL_DOCUMENTARY_2024\photos\Coaching3.png"/>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2476500" cy="206692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14:sizeRelH relativeFrom="margin">
              <wp14:pctWidth>0</wp14:pctWidth>
            </wp14:sizeRelH>
            <wp14:sizeRelV relativeFrom="margin">
              <wp14:pctHeight>0</wp14:pctHeight>
            </wp14:sizeRelV>
          </wp:anchor>
        </w:drawing>
      </w:r>
      <w:r w:rsidRPr="00721BA1">
        <w:rPr>
          <w:rFonts w:asciiTheme="minorHAnsi" w:hAnsiTheme="minorHAnsi" w:cstheme="minorHAnsi"/>
          <w:sz w:val="22"/>
          <w:szCs w:val="22"/>
          <w:lang w:bidi="or-IN"/>
        </w:rPr>
        <w:t xml:space="preserve">Our Coaching </w:t>
      </w:r>
      <w:proofErr w:type="spellStart"/>
      <w:r w:rsidRPr="00721BA1">
        <w:rPr>
          <w:rFonts w:asciiTheme="minorHAnsi" w:hAnsiTheme="minorHAnsi" w:cstheme="minorHAnsi"/>
          <w:sz w:val="22"/>
          <w:szCs w:val="22"/>
          <w:lang w:bidi="or-IN"/>
        </w:rPr>
        <w:t>Centres</w:t>
      </w:r>
      <w:proofErr w:type="spellEnd"/>
      <w:r w:rsidRPr="00721BA1">
        <w:rPr>
          <w:rFonts w:asciiTheme="minorHAnsi" w:hAnsiTheme="minorHAnsi" w:cstheme="minorHAnsi"/>
          <w:sz w:val="22"/>
          <w:szCs w:val="22"/>
          <w:lang w:bidi="or-IN"/>
        </w:rPr>
        <w:t xml:space="preserve">, operational in JAJPUR and BHADRAK CIRCLE, play a pivotal role in providing academic coaching to underprivileged students from Government Middle Schools and High Schools. </w:t>
      </w:r>
    </w:p>
    <w:p w14:paraId="198C1D8F" w14:textId="77777777" w:rsidR="00E06740" w:rsidRPr="00721BA1" w:rsidRDefault="00E06740" w:rsidP="00E06740">
      <w:pPr>
        <w:spacing w:line="360" w:lineRule="auto"/>
        <w:ind w:left="567"/>
        <w:jc w:val="both"/>
        <w:rPr>
          <w:rFonts w:asciiTheme="minorHAnsi" w:hAnsiTheme="minorHAnsi" w:cstheme="minorHAnsi"/>
          <w:sz w:val="22"/>
          <w:szCs w:val="22"/>
          <w:lang w:bidi="or-IN"/>
        </w:rPr>
      </w:pPr>
      <w:r w:rsidRPr="00721BA1">
        <w:rPr>
          <w:rFonts w:asciiTheme="minorHAnsi" w:hAnsiTheme="minorHAnsi" w:cstheme="minorHAnsi"/>
          <w:sz w:val="22"/>
          <w:szCs w:val="22"/>
          <w:lang w:bidi="or-IN"/>
        </w:rPr>
        <w:t xml:space="preserve">More than 1200 Already get benefitted from This Initiatives while over 1000 students are currently enrolled in these centers, where subjects like Mathematics, English, and Science are taught. </w:t>
      </w:r>
    </w:p>
    <w:p w14:paraId="2F56A841" w14:textId="77777777" w:rsidR="00E06740" w:rsidRDefault="00E06740" w:rsidP="00E06740">
      <w:pPr>
        <w:spacing w:line="360" w:lineRule="auto"/>
        <w:ind w:left="567"/>
        <w:jc w:val="both"/>
        <w:rPr>
          <w:rFonts w:asciiTheme="minorHAnsi" w:hAnsiTheme="minorHAnsi" w:cstheme="minorHAnsi"/>
          <w:sz w:val="22"/>
          <w:szCs w:val="22"/>
          <w:lang w:bidi="or-IN"/>
        </w:rPr>
      </w:pPr>
    </w:p>
    <w:p w14:paraId="2A818D06" w14:textId="77777777" w:rsidR="00E06740" w:rsidRDefault="00E06740" w:rsidP="00E06740">
      <w:pPr>
        <w:spacing w:line="360" w:lineRule="auto"/>
        <w:ind w:left="567"/>
        <w:jc w:val="both"/>
        <w:rPr>
          <w:rFonts w:asciiTheme="minorHAnsi" w:hAnsiTheme="minorHAnsi" w:cstheme="minorHAnsi"/>
          <w:sz w:val="22"/>
          <w:szCs w:val="22"/>
          <w:lang w:bidi="or-IN"/>
        </w:rPr>
      </w:pPr>
      <w:r w:rsidRPr="00721BA1">
        <w:rPr>
          <w:rFonts w:asciiTheme="minorHAnsi" w:hAnsiTheme="minorHAnsi" w:cstheme="minorHAnsi"/>
          <w:sz w:val="22"/>
          <w:szCs w:val="22"/>
          <w:lang w:bidi="or-IN"/>
        </w:rPr>
        <w:t>The coaching sessions are strategically conducted both before and after school hours within the Government School Campus, ensuring accessibility and convenience for the students. This holistic approach aims to uplift and empower the future generations through quality education.</w:t>
      </w:r>
    </w:p>
    <w:p w14:paraId="470BD6A0" w14:textId="77777777" w:rsidR="00E06740" w:rsidRDefault="00E06740" w:rsidP="00E06740">
      <w:pPr>
        <w:spacing w:line="360" w:lineRule="auto"/>
        <w:ind w:left="567"/>
        <w:jc w:val="both"/>
        <w:rPr>
          <w:b/>
          <w:sz w:val="32"/>
          <w:highlight w:val="yellow"/>
        </w:rPr>
      </w:pPr>
    </w:p>
    <w:p w14:paraId="2C35A1DA" w14:textId="07DCAF29" w:rsidR="00E06740" w:rsidRPr="00721BA1" w:rsidRDefault="00AF1DB3" w:rsidP="00E06740">
      <w:pPr>
        <w:spacing w:line="360" w:lineRule="auto"/>
        <w:ind w:left="567"/>
        <w:jc w:val="both"/>
        <w:rPr>
          <w:rFonts w:asciiTheme="minorHAnsi" w:hAnsiTheme="minorHAnsi" w:cstheme="minorHAnsi"/>
          <w:b/>
          <w:sz w:val="28"/>
        </w:rPr>
      </w:pPr>
      <w:r>
        <w:rPr>
          <w:rFonts w:asciiTheme="minorHAnsi" w:hAnsiTheme="minorHAnsi" w:cstheme="minorHAnsi"/>
          <w:b/>
          <w:sz w:val="28"/>
        </w:rPr>
        <w:t>6</w:t>
      </w:r>
      <w:r w:rsidR="00E06740" w:rsidRPr="00721BA1">
        <w:rPr>
          <w:rFonts w:asciiTheme="minorHAnsi" w:hAnsiTheme="minorHAnsi" w:cstheme="minorHAnsi"/>
          <w:b/>
          <w:sz w:val="28"/>
        </w:rPr>
        <w:t>.7.4 Providing Essential Services and Fostering Social Impact</w:t>
      </w:r>
    </w:p>
    <w:p w14:paraId="208EE6FD" w14:textId="77777777" w:rsidR="00E06740" w:rsidRDefault="00E06740" w:rsidP="00E06740">
      <w:pPr>
        <w:spacing w:line="360" w:lineRule="auto"/>
        <w:ind w:left="567"/>
        <w:jc w:val="both"/>
        <w:rPr>
          <w:rFonts w:asciiTheme="minorHAnsi" w:hAnsiTheme="minorHAnsi" w:cstheme="minorHAnsi"/>
          <w:b/>
        </w:rPr>
      </w:pPr>
      <w:r w:rsidRPr="00721BA1">
        <w:rPr>
          <w:rFonts w:asciiTheme="minorHAnsi" w:hAnsiTheme="minorHAnsi" w:cstheme="minorHAnsi"/>
          <w:b/>
        </w:rPr>
        <w:t>7.7.4.1 Essential Services</w:t>
      </w:r>
    </w:p>
    <w:p w14:paraId="254033A1" w14:textId="77777777" w:rsidR="00E06740" w:rsidRPr="00D47D2A" w:rsidRDefault="00E06740" w:rsidP="00E06740">
      <w:pPr>
        <w:spacing w:line="360" w:lineRule="auto"/>
        <w:ind w:left="567"/>
        <w:jc w:val="both"/>
        <w:rPr>
          <w:rFonts w:asciiTheme="minorHAnsi" w:hAnsiTheme="minorHAnsi" w:cstheme="minorHAnsi"/>
          <w:sz w:val="22"/>
        </w:rPr>
      </w:pPr>
      <w:r w:rsidRPr="00D47D2A">
        <w:rPr>
          <w:rFonts w:asciiTheme="minorHAnsi" w:hAnsiTheme="minorHAnsi" w:cstheme="minorHAnsi"/>
          <w:sz w:val="22"/>
          <w:szCs w:val="22"/>
        </w:rPr>
        <w:t>Within the realm of essential services, our focus extends to organizing health camps in the remote pockets of rural areas, ensuring that basic health services are readily accessible to the doorstep of the rural community. A standout initiative by TPNODL is our unwavering commitment to providing free health services to those in need. Operating across five</w:t>
      </w:r>
      <w:r w:rsidRPr="00D47D2A">
        <w:rPr>
          <w:sz w:val="22"/>
        </w:rPr>
        <w:t xml:space="preserve"> </w:t>
      </w:r>
      <w:r w:rsidRPr="00D47D2A">
        <w:rPr>
          <w:rFonts w:asciiTheme="minorHAnsi" w:hAnsiTheme="minorHAnsi" w:cstheme="minorHAnsi"/>
          <w:sz w:val="22"/>
        </w:rPr>
        <w:t xml:space="preserve">different circles, our Five Mobile Health Dispensary (MHD) Teams are equipped with ambulances doctors, pharmacists, and nurses. </w:t>
      </w:r>
    </w:p>
    <w:p w14:paraId="2B09786A" w14:textId="77777777" w:rsidR="00E06740" w:rsidRPr="00D47D2A" w:rsidRDefault="00E06740" w:rsidP="00E06740">
      <w:pPr>
        <w:spacing w:line="360" w:lineRule="auto"/>
        <w:ind w:left="567"/>
        <w:jc w:val="both"/>
        <w:rPr>
          <w:rFonts w:asciiTheme="minorHAnsi" w:hAnsiTheme="minorHAnsi" w:cstheme="minorHAnsi"/>
        </w:rPr>
      </w:pPr>
      <w:r w:rsidRPr="00D47D2A">
        <w:rPr>
          <w:rFonts w:asciiTheme="minorHAnsi" w:hAnsiTheme="minorHAnsi" w:cstheme="minorHAnsi"/>
          <w:noProof/>
          <w:sz w:val="22"/>
          <w:szCs w:val="22"/>
          <w:lang w:val="en-IN" w:eastAsia="en-IN"/>
        </w:rPr>
        <w:drawing>
          <wp:anchor distT="0" distB="0" distL="114300" distR="114300" simplePos="0" relativeHeight="252170752" behindDoc="1" locked="0" layoutInCell="1" allowOverlap="1" wp14:anchorId="4FB45872" wp14:editId="54B1DAE4">
            <wp:simplePos x="0" y="0"/>
            <wp:positionH relativeFrom="margin">
              <wp:posOffset>333375</wp:posOffset>
            </wp:positionH>
            <wp:positionV relativeFrom="paragraph">
              <wp:posOffset>374650</wp:posOffset>
            </wp:positionV>
            <wp:extent cx="2571750" cy="1990725"/>
            <wp:effectExtent l="76200" t="76200" r="133350" b="142875"/>
            <wp:wrapTight wrapText="bothSides">
              <wp:wrapPolygon edited="0">
                <wp:start x="-320" y="-827"/>
                <wp:lineTo x="-640" y="-620"/>
                <wp:lineTo x="-640" y="22117"/>
                <wp:lineTo x="-320" y="22944"/>
                <wp:lineTo x="22240" y="22944"/>
                <wp:lineTo x="22560" y="22530"/>
                <wp:lineTo x="22560" y="2687"/>
                <wp:lineTo x="22240" y="-413"/>
                <wp:lineTo x="22240" y="-827"/>
                <wp:lineTo x="-320" y="-827"/>
              </wp:wrapPolygon>
            </wp:wrapTight>
            <wp:docPr id="212922764" name="Picture 212922764" descr="D:\OneDrive - TP Northern Odisha Distribution Limited\Desktop\KEONJHAR ACTIVITY\MHU 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D:\OneDrive - TP Northern Odisha Distribution Limited\Desktop\KEONJHAR ACTIVITY\MHU 3.jpeg"/>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2571750" cy="199072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14:sizeRelH relativeFrom="margin">
              <wp14:pctWidth>0</wp14:pctWidth>
            </wp14:sizeRelH>
            <wp14:sizeRelV relativeFrom="margin">
              <wp14:pctHeight>0</wp14:pctHeight>
            </wp14:sizeRelV>
          </wp:anchor>
        </w:drawing>
      </w:r>
      <w:r>
        <w:rPr>
          <w:noProof/>
          <w:lang w:val="en-IN" w:eastAsia="en-IN"/>
        </w:rPr>
        <w:drawing>
          <wp:anchor distT="0" distB="0" distL="114300" distR="114300" simplePos="0" relativeHeight="252169728" behindDoc="1" locked="0" layoutInCell="1" allowOverlap="1" wp14:anchorId="46272FA0" wp14:editId="685ADBF3">
            <wp:simplePos x="0" y="0"/>
            <wp:positionH relativeFrom="margin">
              <wp:align>right</wp:align>
            </wp:positionH>
            <wp:positionV relativeFrom="paragraph">
              <wp:posOffset>384175</wp:posOffset>
            </wp:positionV>
            <wp:extent cx="2413000" cy="1981200"/>
            <wp:effectExtent l="76200" t="76200" r="139700" b="133350"/>
            <wp:wrapTight wrapText="bothSides">
              <wp:wrapPolygon edited="0">
                <wp:start x="-341" y="-831"/>
                <wp:lineTo x="-682" y="-623"/>
                <wp:lineTo x="-682" y="22015"/>
                <wp:lineTo x="-341" y="22846"/>
                <wp:lineTo x="22339" y="22846"/>
                <wp:lineTo x="22339" y="22638"/>
                <wp:lineTo x="22680" y="19523"/>
                <wp:lineTo x="22680" y="2700"/>
                <wp:lineTo x="22339" y="-415"/>
                <wp:lineTo x="22339" y="-831"/>
                <wp:lineTo x="-341" y="-831"/>
              </wp:wrapPolygon>
            </wp:wrapTight>
            <wp:docPr id="212922765" name="Picture 212922765" descr="D:\OneDrive - TP Northern Odisha Distribution Limited\Desktop\KEONJHAR ACTIVITY\MHU 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OneDrive - TP Northern Odisha Distribution Limited\Desktop\KEONJHAR ACTIVITY\MHU 4.jpeg"/>
                    <pic:cNvPicPr>
                      <a:picLocks noChangeAspect="1" noChangeArrowheads="1"/>
                    </pic:cNvPicPr>
                  </pic:nvPicPr>
                  <pic:blipFill rotWithShape="1">
                    <a:blip r:embed="rId151" cstate="print">
                      <a:extLst>
                        <a:ext uri="{28A0092B-C50C-407E-A947-70E740481C1C}">
                          <a14:useLocalDpi xmlns:a14="http://schemas.microsoft.com/office/drawing/2010/main" val="0"/>
                        </a:ext>
                      </a:extLst>
                    </a:blip>
                    <a:srcRect b="24170"/>
                    <a:stretch/>
                  </pic:blipFill>
                  <pic:spPr bwMode="auto">
                    <a:xfrm>
                      <a:off x="0" y="0"/>
                      <a:ext cx="2413000" cy="198120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D47D2A">
        <w:rPr>
          <w:rFonts w:asciiTheme="minorHAnsi" w:hAnsiTheme="minorHAnsi" w:cstheme="minorHAnsi"/>
        </w:rPr>
        <w:t xml:space="preserve"> </w:t>
      </w:r>
    </w:p>
    <w:p w14:paraId="255D3494" w14:textId="77777777" w:rsidR="00E06740" w:rsidRPr="00D47D2A" w:rsidRDefault="00E06740" w:rsidP="00E06740">
      <w:pPr>
        <w:spacing w:line="360" w:lineRule="auto"/>
        <w:ind w:left="567"/>
        <w:jc w:val="both"/>
        <w:rPr>
          <w:rFonts w:asciiTheme="minorHAnsi" w:hAnsiTheme="minorHAnsi" w:cstheme="minorHAnsi"/>
          <w:sz w:val="22"/>
          <w:szCs w:val="22"/>
        </w:rPr>
      </w:pPr>
      <w:r w:rsidRPr="00D47D2A">
        <w:rPr>
          <w:rFonts w:asciiTheme="minorHAnsi" w:hAnsiTheme="minorHAnsi" w:cstheme="minorHAnsi"/>
          <w:sz w:val="22"/>
          <w:szCs w:val="22"/>
        </w:rPr>
        <w:lastRenderedPageBreak/>
        <w:t>These dedicated teams work tirelessly, touching the lives of over 100 patients each day, totaling a</w:t>
      </w:r>
      <w:r>
        <w:rPr>
          <w:rFonts w:asciiTheme="minorHAnsi" w:hAnsiTheme="minorHAnsi" w:cstheme="minorHAnsi"/>
          <w:sz w:val="22"/>
          <w:szCs w:val="22"/>
        </w:rPr>
        <w:t>round</w:t>
      </w:r>
      <w:r w:rsidRPr="00D47D2A">
        <w:rPr>
          <w:rFonts w:asciiTheme="minorHAnsi" w:hAnsiTheme="minorHAnsi" w:cstheme="minorHAnsi"/>
          <w:sz w:val="22"/>
          <w:szCs w:val="22"/>
        </w:rPr>
        <w:t xml:space="preserve"> 2500 patients per month. The impact is profound, with almost 2.4 Lakh beneficiaries directly get benefitted from the services rendered by our Mobile Health Units (MHU). </w:t>
      </w:r>
    </w:p>
    <w:p w14:paraId="03B6E2D8" w14:textId="77777777" w:rsidR="00E06740" w:rsidRPr="00D47D2A" w:rsidRDefault="00E06740" w:rsidP="00E06740">
      <w:pPr>
        <w:spacing w:line="360" w:lineRule="auto"/>
        <w:ind w:left="567"/>
        <w:jc w:val="both"/>
        <w:rPr>
          <w:rFonts w:asciiTheme="minorHAnsi" w:hAnsiTheme="minorHAnsi" w:cstheme="minorHAnsi"/>
          <w:sz w:val="22"/>
          <w:szCs w:val="22"/>
        </w:rPr>
      </w:pPr>
      <w:r w:rsidRPr="00D47D2A">
        <w:rPr>
          <w:rFonts w:asciiTheme="minorHAnsi" w:hAnsiTheme="minorHAnsi" w:cstheme="minorHAnsi"/>
          <w:sz w:val="22"/>
          <w:szCs w:val="22"/>
        </w:rPr>
        <w:t xml:space="preserve"> </w:t>
      </w:r>
    </w:p>
    <w:p w14:paraId="1A291A1D" w14:textId="77777777" w:rsidR="00E06740" w:rsidRDefault="00E06740" w:rsidP="00E06740">
      <w:pPr>
        <w:spacing w:line="360" w:lineRule="auto"/>
        <w:ind w:left="567"/>
        <w:jc w:val="both"/>
        <w:rPr>
          <w:rFonts w:asciiTheme="minorHAnsi" w:hAnsiTheme="minorHAnsi" w:cstheme="minorHAnsi"/>
          <w:sz w:val="22"/>
          <w:szCs w:val="22"/>
        </w:rPr>
      </w:pPr>
      <w:r w:rsidRPr="00D47D2A">
        <w:rPr>
          <w:rFonts w:asciiTheme="minorHAnsi" w:hAnsiTheme="minorHAnsi" w:cstheme="minorHAnsi"/>
          <w:sz w:val="22"/>
          <w:szCs w:val="22"/>
        </w:rPr>
        <w:t>Beyond medical assistance, our commitment extends to community engagement through awareness campaigns on various health and sanitation issues. Actively engaging with communities, we educate them on preventative measures, fostering a culture of overall well-being.</w:t>
      </w:r>
    </w:p>
    <w:p w14:paraId="35DB935E" w14:textId="77777777" w:rsidR="00E06740" w:rsidRPr="00C119EB" w:rsidRDefault="00E06740" w:rsidP="00E06740">
      <w:pPr>
        <w:spacing w:line="360" w:lineRule="auto"/>
        <w:ind w:left="567"/>
        <w:jc w:val="both"/>
        <w:rPr>
          <w:rFonts w:asciiTheme="minorHAnsi" w:hAnsiTheme="minorHAnsi" w:cstheme="minorHAnsi"/>
          <w:sz w:val="22"/>
          <w:szCs w:val="22"/>
        </w:rPr>
      </w:pPr>
    </w:p>
    <w:p w14:paraId="43B145E7" w14:textId="658ABA8C" w:rsidR="00E06740" w:rsidRPr="009F4306" w:rsidRDefault="00AF1DB3" w:rsidP="00E06740">
      <w:pPr>
        <w:spacing w:line="360" w:lineRule="auto"/>
        <w:ind w:left="567"/>
        <w:jc w:val="both"/>
        <w:rPr>
          <w:rFonts w:asciiTheme="minorHAnsi" w:hAnsiTheme="minorHAnsi" w:cstheme="minorHAnsi"/>
          <w:b/>
          <w:szCs w:val="22"/>
        </w:rPr>
      </w:pPr>
      <w:r>
        <w:rPr>
          <w:rFonts w:asciiTheme="minorHAnsi" w:hAnsiTheme="minorHAnsi" w:cstheme="minorHAnsi"/>
          <w:b/>
          <w:szCs w:val="22"/>
        </w:rPr>
        <w:t>6</w:t>
      </w:r>
      <w:r w:rsidR="00E06740" w:rsidRPr="009F4306">
        <w:rPr>
          <w:rFonts w:asciiTheme="minorHAnsi" w:hAnsiTheme="minorHAnsi" w:cstheme="minorHAnsi"/>
          <w:b/>
          <w:szCs w:val="22"/>
        </w:rPr>
        <w:t>.7.4.2 Employee Volunteering</w:t>
      </w:r>
    </w:p>
    <w:p w14:paraId="02D39713" w14:textId="77777777" w:rsidR="00E06740" w:rsidRDefault="00E06740" w:rsidP="00E06740">
      <w:pPr>
        <w:spacing w:line="360" w:lineRule="auto"/>
        <w:ind w:left="567"/>
        <w:jc w:val="both"/>
        <w:rPr>
          <w:rFonts w:asciiTheme="minorHAnsi" w:hAnsiTheme="minorHAnsi" w:cstheme="minorHAnsi"/>
          <w:sz w:val="22"/>
          <w:szCs w:val="22"/>
        </w:rPr>
      </w:pPr>
      <w:r w:rsidRPr="00D47D2A">
        <w:rPr>
          <w:rFonts w:asciiTheme="minorHAnsi" w:hAnsiTheme="minorHAnsi" w:cstheme="minorHAnsi"/>
          <w:sz w:val="22"/>
          <w:szCs w:val="22"/>
        </w:rPr>
        <w:t xml:space="preserve">A cornerstone of our CSR efforts lies in the innovative Employee Volunteering </w:t>
      </w:r>
      <w:proofErr w:type="spellStart"/>
      <w:r w:rsidRPr="00D47D2A">
        <w:rPr>
          <w:rFonts w:asciiTheme="minorHAnsi" w:hAnsiTheme="minorHAnsi" w:cstheme="minorHAnsi"/>
          <w:sz w:val="22"/>
          <w:szCs w:val="22"/>
        </w:rPr>
        <w:t>Programme</w:t>
      </w:r>
      <w:proofErr w:type="spellEnd"/>
      <w:r w:rsidRPr="00D47D2A">
        <w:rPr>
          <w:rFonts w:asciiTheme="minorHAnsi" w:hAnsiTheme="minorHAnsi" w:cstheme="minorHAnsi"/>
          <w:sz w:val="22"/>
          <w:szCs w:val="22"/>
        </w:rPr>
        <w:t xml:space="preserve">, a testament to our dedication to creating a positive impact on society. Our employees actively participate in various CSR activities, including Tata Volunteering Week, Company initiative volunteering and </w:t>
      </w:r>
      <w:proofErr w:type="spellStart"/>
      <w:r w:rsidRPr="00D47D2A">
        <w:rPr>
          <w:rFonts w:asciiTheme="minorHAnsi" w:hAnsiTheme="minorHAnsi" w:cstheme="minorHAnsi"/>
          <w:sz w:val="22"/>
          <w:szCs w:val="22"/>
        </w:rPr>
        <w:t>ProEngage</w:t>
      </w:r>
      <w:proofErr w:type="spellEnd"/>
      <w:r w:rsidRPr="00D47D2A">
        <w:rPr>
          <w:rFonts w:asciiTheme="minorHAnsi" w:hAnsiTheme="minorHAnsi" w:cstheme="minorHAnsi"/>
          <w:sz w:val="22"/>
          <w:szCs w:val="22"/>
        </w:rPr>
        <w:t>.</w:t>
      </w:r>
    </w:p>
    <w:p w14:paraId="0A575373" w14:textId="77777777" w:rsidR="00E06740" w:rsidRPr="00D47D2A" w:rsidRDefault="00E06740" w:rsidP="00E06740">
      <w:pPr>
        <w:spacing w:line="360" w:lineRule="auto"/>
        <w:ind w:left="567"/>
        <w:jc w:val="both"/>
        <w:rPr>
          <w:rFonts w:asciiTheme="minorHAnsi" w:hAnsiTheme="minorHAnsi" w:cstheme="minorHAnsi"/>
          <w:sz w:val="22"/>
          <w:szCs w:val="22"/>
        </w:rPr>
      </w:pPr>
    </w:p>
    <w:p w14:paraId="53292850" w14:textId="77777777" w:rsidR="00E06740" w:rsidRPr="00D47D2A" w:rsidRDefault="00E06740" w:rsidP="00E06740">
      <w:pPr>
        <w:spacing w:line="360" w:lineRule="auto"/>
        <w:ind w:left="567"/>
        <w:jc w:val="both"/>
        <w:rPr>
          <w:rFonts w:asciiTheme="minorHAnsi" w:hAnsiTheme="minorHAnsi" w:cstheme="minorHAnsi"/>
          <w:sz w:val="22"/>
          <w:szCs w:val="22"/>
        </w:rPr>
      </w:pPr>
      <w:r w:rsidRPr="00D47D2A">
        <w:rPr>
          <w:rFonts w:asciiTheme="minorHAnsi" w:hAnsiTheme="minorHAnsi" w:cstheme="minorHAnsi"/>
          <w:sz w:val="22"/>
          <w:szCs w:val="22"/>
        </w:rPr>
        <w:t>Twice a year, during the months of March and September, we channel the collective energy of our workforce into Tata Volunteering Week. This platform witnesses the impressive participation of over 5500 employees, collectively contributing almost 2000+ hours to volunteering work.</w:t>
      </w:r>
    </w:p>
    <w:p w14:paraId="6CFC651C" w14:textId="77777777" w:rsidR="00E06740" w:rsidRPr="00D47D2A" w:rsidRDefault="00E06740" w:rsidP="00E06740">
      <w:pPr>
        <w:spacing w:line="360" w:lineRule="auto"/>
        <w:ind w:left="567"/>
        <w:jc w:val="both"/>
        <w:rPr>
          <w:rFonts w:asciiTheme="minorHAnsi" w:hAnsiTheme="minorHAnsi" w:cstheme="minorHAnsi"/>
          <w:b/>
          <w:sz w:val="22"/>
          <w:szCs w:val="22"/>
        </w:rPr>
      </w:pPr>
    </w:p>
    <w:p w14:paraId="29BFCED8" w14:textId="77777777" w:rsidR="00E06740" w:rsidRPr="00D47D2A" w:rsidRDefault="00E06740" w:rsidP="00E06740">
      <w:pPr>
        <w:spacing w:line="360" w:lineRule="auto"/>
        <w:ind w:left="567"/>
        <w:jc w:val="both"/>
        <w:rPr>
          <w:rFonts w:asciiTheme="minorHAnsi" w:hAnsiTheme="minorHAnsi" w:cstheme="minorHAnsi"/>
          <w:sz w:val="22"/>
          <w:szCs w:val="22"/>
        </w:rPr>
      </w:pPr>
      <w:r w:rsidRPr="00D47D2A">
        <w:rPr>
          <w:rFonts w:asciiTheme="minorHAnsi" w:hAnsiTheme="minorHAnsi" w:cstheme="minorHAnsi"/>
          <w:sz w:val="22"/>
          <w:szCs w:val="22"/>
        </w:rPr>
        <w:t>Their efforts span diverse initiatives, including plantation drives, energy conservation programs in schools and colleges, visits to old age homes and orphanages, participation in sanitation programs, road rallies, and city clean-up events.</w:t>
      </w:r>
    </w:p>
    <w:p w14:paraId="3E6F0F0F" w14:textId="77777777" w:rsidR="00E06740" w:rsidRDefault="00E06740" w:rsidP="00E06740">
      <w:pPr>
        <w:spacing w:line="360" w:lineRule="auto"/>
        <w:ind w:left="567"/>
        <w:jc w:val="both"/>
        <w:rPr>
          <w:rFonts w:asciiTheme="minorHAnsi" w:hAnsiTheme="minorHAnsi" w:cstheme="minorHAnsi"/>
          <w:sz w:val="22"/>
          <w:szCs w:val="22"/>
        </w:rPr>
      </w:pPr>
      <w:r w:rsidRPr="00D47D2A">
        <w:rPr>
          <w:rFonts w:asciiTheme="minorHAnsi" w:hAnsiTheme="minorHAnsi" w:cstheme="minorHAnsi"/>
          <w:sz w:val="22"/>
          <w:szCs w:val="22"/>
        </w:rPr>
        <w:t xml:space="preserve"> </w:t>
      </w:r>
      <w:r>
        <w:rPr>
          <w:rFonts w:asciiTheme="minorHAnsi" w:hAnsiTheme="minorHAnsi" w:cstheme="minorHAnsi"/>
          <w:noProof/>
          <w:sz w:val="22"/>
          <w:szCs w:val="22"/>
          <w:lang w:val="en-IN" w:eastAsia="en-IN"/>
        </w:rPr>
        <w:drawing>
          <wp:anchor distT="0" distB="0" distL="114300" distR="114300" simplePos="0" relativeHeight="252171776" behindDoc="1" locked="0" layoutInCell="1" allowOverlap="1" wp14:anchorId="00B4D66B" wp14:editId="349271E2">
            <wp:simplePos x="0" y="0"/>
            <wp:positionH relativeFrom="column">
              <wp:posOffset>419100</wp:posOffset>
            </wp:positionH>
            <wp:positionV relativeFrom="paragraph">
              <wp:posOffset>1114425</wp:posOffset>
            </wp:positionV>
            <wp:extent cx="2495550" cy="1933575"/>
            <wp:effectExtent l="76200" t="76200" r="133350" b="142875"/>
            <wp:wrapTight wrapText="bothSides">
              <wp:wrapPolygon edited="0">
                <wp:start x="-330" y="-851"/>
                <wp:lineTo x="-660" y="-638"/>
                <wp:lineTo x="-660" y="22132"/>
                <wp:lineTo x="-330" y="22983"/>
                <wp:lineTo x="22260" y="22983"/>
                <wp:lineTo x="22589" y="20004"/>
                <wp:lineTo x="22589" y="2767"/>
                <wp:lineTo x="22260" y="-426"/>
                <wp:lineTo x="22260" y="-851"/>
                <wp:lineTo x="-330" y="-851"/>
              </wp:wrapPolygon>
            </wp:wrapTight>
            <wp:docPr id="212922766" name="Picture 2129227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2">
                      <a:extLst>
                        <a:ext uri="{28A0092B-C50C-407E-A947-70E740481C1C}">
                          <a14:useLocalDpi xmlns:a14="http://schemas.microsoft.com/office/drawing/2010/main" val="0"/>
                        </a:ext>
                      </a:extLst>
                    </a:blip>
                    <a:srcRect/>
                    <a:stretch>
                      <a:fillRect/>
                    </a:stretch>
                  </pic:blipFill>
                  <pic:spPr bwMode="auto">
                    <a:xfrm>
                      <a:off x="0" y="0"/>
                      <a:ext cx="2495550" cy="193357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14:sizeRelH relativeFrom="margin">
              <wp14:pctWidth>0</wp14:pctWidth>
            </wp14:sizeRelH>
            <wp14:sizeRelV relativeFrom="margin">
              <wp14:pctHeight>0</wp14:pctHeight>
            </wp14:sizeRelV>
          </wp:anchor>
        </w:drawing>
      </w:r>
      <w:r w:rsidRPr="00D47D2A">
        <w:rPr>
          <w:rFonts w:ascii="Calibri" w:eastAsia="Calibri" w:hAnsi="Calibri"/>
          <w:noProof/>
          <w:sz w:val="22"/>
          <w:szCs w:val="22"/>
          <w:lang w:val="en-IN" w:eastAsia="en-IN"/>
        </w:rPr>
        <w:drawing>
          <wp:anchor distT="0" distB="0" distL="114300" distR="114300" simplePos="0" relativeHeight="252172800" behindDoc="1" locked="0" layoutInCell="1" allowOverlap="1" wp14:anchorId="7127A89E" wp14:editId="197C9F9D">
            <wp:simplePos x="0" y="0"/>
            <wp:positionH relativeFrom="column">
              <wp:posOffset>3228975</wp:posOffset>
            </wp:positionH>
            <wp:positionV relativeFrom="paragraph">
              <wp:posOffset>1104900</wp:posOffset>
            </wp:positionV>
            <wp:extent cx="2495550" cy="1952625"/>
            <wp:effectExtent l="76200" t="76200" r="133350" b="142875"/>
            <wp:wrapTight wrapText="bothSides">
              <wp:wrapPolygon edited="0">
                <wp:start x="-330" y="-843"/>
                <wp:lineTo x="-660" y="-632"/>
                <wp:lineTo x="-660" y="22127"/>
                <wp:lineTo x="-330" y="22970"/>
                <wp:lineTo x="22260" y="22970"/>
                <wp:lineTo x="22589" y="19809"/>
                <wp:lineTo x="22589" y="2740"/>
                <wp:lineTo x="22260" y="-421"/>
                <wp:lineTo x="22260" y="-843"/>
                <wp:lineTo x="-330" y="-843"/>
              </wp:wrapPolygon>
            </wp:wrapTight>
            <wp:docPr id="212922767" name="Picture 212922767" descr="C:\Users\himansu.nayak\Downloads\WhatsApp Image 2024-11-05 at 22.40.4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himansu.nayak\Downloads\WhatsApp Image 2024-11-05 at 22.40.48.jpeg"/>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2495550" cy="195262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14:sizeRelH relativeFrom="margin">
              <wp14:pctWidth>0</wp14:pctWidth>
            </wp14:sizeRelH>
            <wp14:sizeRelV relativeFrom="margin">
              <wp14:pctHeight>0</wp14:pctHeight>
            </wp14:sizeRelV>
          </wp:anchor>
        </w:drawing>
      </w:r>
      <w:r w:rsidRPr="00D47D2A">
        <w:rPr>
          <w:rFonts w:asciiTheme="minorHAnsi" w:hAnsiTheme="minorHAnsi" w:cstheme="minorHAnsi"/>
          <w:sz w:val="22"/>
          <w:szCs w:val="22"/>
        </w:rPr>
        <w:t xml:space="preserve">The Employee Volunteering </w:t>
      </w:r>
      <w:proofErr w:type="spellStart"/>
      <w:r w:rsidRPr="00D47D2A">
        <w:rPr>
          <w:rFonts w:asciiTheme="minorHAnsi" w:hAnsiTheme="minorHAnsi" w:cstheme="minorHAnsi"/>
          <w:sz w:val="22"/>
          <w:szCs w:val="22"/>
        </w:rPr>
        <w:t>Programme</w:t>
      </w:r>
      <w:proofErr w:type="spellEnd"/>
      <w:r w:rsidRPr="00D47D2A">
        <w:rPr>
          <w:rFonts w:asciiTheme="minorHAnsi" w:hAnsiTheme="minorHAnsi" w:cstheme="minorHAnsi"/>
          <w:sz w:val="22"/>
          <w:szCs w:val="22"/>
        </w:rPr>
        <w:t xml:space="preserve"> goes beyond benefiting the communities touched by these activities; it enriches the lives of our employees. Despite their demanding schedules, TPNODL employees willingly dedicate their time to contribute to the well-being of society, embodying our commitment to social responsibility and community welfare.</w:t>
      </w:r>
    </w:p>
    <w:p w14:paraId="45A17D14" w14:textId="77777777" w:rsidR="00E06740" w:rsidRDefault="00E06740" w:rsidP="00E06740">
      <w:pPr>
        <w:spacing w:line="360" w:lineRule="auto"/>
        <w:ind w:left="567"/>
        <w:jc w:val="both"/>
        <w:rPr>
          <w:rFonts w:asciiTheme="minorHAnsi" w:hAnsiTheme="minorHAnsi" w:cstheme="minorHAnsi"/>
          <w:sz w:val="22"/>
          <w:szCs w:val="22"/>
        </w:rPr>
      </w:pPr>
    </w:p>
    <w:p w14:paraId="5F483ECE" w14:textId="77777777" w:rsidR="00E06740" w:rsidRDefault="00E06740" w:rsidP="00E06740">
      <w:pPr>
        <w:spacing w:line="360" w:lineRule="auto"/>
        <w:ind w:left="567"/>
        <w:jc w:val="both"/>
        <w:rPr>
          <w:rFonts w:asciiTheme="minorHAnsi" w:hAnsiTheme="minorHAnsi" w:cstheme="minorHAnsi"/>
          <w:sz w:val="22"/>
          <w:szCs w:val="22"/>
        </w:rPr>
      </w:pPr>
      <w:r w:rsidRPr="00D47D2A">
        <w:rPr>
          <w:rFonts w:asciiTheme="minorHAnsi" w:hAnsiTheme="minorHAnsi" w:cstheme="minorHAnsi"/>
          <w:sz w:val="22"/>
          <w:szCs w:val="22"/>
        </w:rPr>
        <w:lastRenderedPageBreak/>
        <w:t>TPNODL's comprehensive CSR initiatives demonstrate a commitment to holistic community development, emphasizing education, employability, and essential services, all while actively involving its employees in creating a positive impact on society.</w:t>
      </w:r>
      <w:r>
        <w:rPr>
          <w:rFonts w:asciiTheme="minorHAnsi" w:hAnsiTheme="minorHAnsi" w:cstheme="minorHAnsi"/>
          <w:sz w:val="22"/>
          <w:szCs w:val="22"/>
        </w:rPr>
        <w:t xml:space="preserve"> </w:t>
      </w:r>
    </w:p>
    <w:p w14:paraId="719E5D2B" w14:textId="77777777" w:rsidR="00E06740" w:rsidRDefault="00E06740" w:rsidP="00E06740">
      <w:pPr>
        <w:spacing w:line="360" w:lineRule="auto"/>
        <w:ind w:left="567"/>
        <w:jc w:val="both"/>
        <w:rPr>
          <w:rFonts w:asciiTheme="minorHAnsi" w:hAnsiTheme="minorHAnsi" w:cstheme="minorHAnsi"/>
          <w:sz w:val="22"/>
          <w:szCs w:val="22"/>
        </w:rPr>
      </w:pPr>
    </w:p>
    <w:p w14:paraId="3228FF60" w14:textId="3FCE5845" w:rsidR="00E06740" w:rsidRPr="0025136B" w:rsidRDefault="00E06740" w:rsidP="0025136B">
      <w:pPr>
        <w:spacing w:line="360" w:lineRule="auto"/>
        <w:ind w:left="567"/>
        <w:jc w:val="both"/>
        <w:rPr>
          <w:rFonts w:asciiTheme="minorHAnsi" w:hAnsiTheme="minorHAnsi" w:cstheme="minorHAnsi"/>
          <w:sz w:val="22"/>
          <w:szCs w:val="22"/>
        </w:rPr>
      </w:pPr>
      <w:r>
        <w:rPr>
          <w:rFonts w:asciiTheme="minorHAnsi" w:hAnsiTheme="minorHAnsi" w:cstheme="minorHAnsi"/>
          <w:sz w:val="22"/>
          <w:szCs w:val="22"/>
        </w:rPr>
        <w:t>In the ensuing year,</w:t>
      </w:r>
      <w:r w:rsidR="00DA52DA">
        <w:rPr>
          <w:rFonts w:asciiTheme="minorHAnsi" w:hAnsiTheme="minorHAnsi" w:cstheme="minorHAnsi"/>
          <w:sz w:val="22"/>
          <w:szCs w:val="22"/>
        </w:rPr>
        <w:t xml:space="preserve"> </w:t>
      </w:r>
      <w:r>
        <w:rPr>
          <w:rFonts w:asciiTheme="minorHAnsi" w:hAnsiTheme="minorHAnsi" w:cstheme="minorHAnsi"/>
          <w:sz w:val="22"/>
          <w:szCs w:val="22"/>
        </w:rPr>
        <w:t>TPNODL will continue to focus on strengthening the areas mentioned above and also carve out new areas of social responsibility within 4E pillars of CSR theme in order to create positive impact in the lives of people we serve.</w:t>
      </w:r>
    </w:p>
    <w:p w14:paraId="55F4A074" w14:textId="77777777" w:rsidR="00F616FB" w:rsidRDefault="00F616FB" w:rsidP="00C40DE9">
      <w:pPr>
        <w:spacing w:line="360" w:lineRule="auto"/>
        <w:ind w:left="567"/>
        <w:jc w:val="both"/>
        <w:rPr>
          <w:rFonts w:asciiTheme="minorHAnsi" w:hAnsiTheme="minorHAnsi" w:cstheme="minorHAnsi"/>
          <w:bCs/>
          <w:sz w:val="22"/>
          <w:szCs w:val="22"/>
          <w:shd w:val="clear" w:color="auto" w:fill="FFFFFF"/>
        </w:rPr>
      </w:pPr>
    </w:p>
    <w:p w14:paraId="009FE4F3" w14:textId="185CE480" w:rsidR="003F328B" w:rsidRPr="00153204" w:rsidRDefault="004F5983" w:rsidP="002334A3">
      <w:pPr>
        <w:autoSpaceDE w:val="0"/>
        <w:autoSpaceDN w:val="0"/>
        <w:adjustRightInd w:val="0"/>
        <w:spacing w:line="360" w:lineRule="auto"/>
        <w:ind w:left="567"/>
        <w:jc w:val="both"/>
        <w:rPr>
          <w:rFonts w:asciiTheme="minorHAnsi" w:hAnsiTheme="minorHAnsi" w:cstheme="minorHAnsi"/>
          <w:sz w:val="22"/>
          <w:szCs w:val="22"/>
        </w:rPr>
      </w:pPr>
      <w:bookmarkStart w:id="3" w:name="_bookmark23"/>
      <w:bookmarkStart w:id="4" w:name="_bookmark27"/>
      <w:bookmarkStart w:id="5" w:name="_bookmark33"/>
      <w:bookmarkStart w:id="6" w:name="_bookmark34"/>
      <w:bookmarkStart w:id="7" w:name="_bookmark35"/>
      <w:bookmarkStart w:id="8" w:name="_bookmark36"/>
      <w:bookmarkEnd w:id="3"/>
      <w:bookmarkEnd w:id="4"/>
      <w:bookmarkEnd w:id="5"/>
      <w:bookmarkEnd w:id="6"/>
      <w:bookmarkEnd w:id="7"/>
      <w:bookmarkEnd w:id="8"/>
      <w:r w:rsidRPr="00153204">
        <w:rPr>
          <w:rFonts w:asciiTheme="minorHAnsi" w:hAnsiTheme="minorHAnsi" w:cstheme="minorHAnsi"/>
          <w:noProof/>
          <w:sz w:val="22"/>
          <w:szCs w:val="22"/>
          <w:lang w:val="en-IN" w:eastAsia="en-IN"/>
        </w:rPr>
        <mc:AlternateContent>
          <mc:Choice Requires="wps">
            <w:drawing>
              <wp:anchor distT="0" distB="0" distL="114300" distR="114300" simplePos="0" relativeHeight="251552256" behindDoc="0" locked="0" layoutInCell="1" allowOverlap="1" wp14:anchorId="474103DE" wp14:editId="2194E829">
                <wp:simplePos x="0" y="0"/>
                <wp:positionH relativeFrom="margin">
                  <wp:posOffset>327660</wp:posOffset>
                </wp:positionH>
                <wp:positionV relativeFrom="paragraph">
                  <wp:posOffset>19684</wp:posOffset>
                </wp:positionV>
                <wp:extent cx="5451787" cy="314325"/>
                <wp:effectExtent l="0" t="0" r="15875" b="28575"/>
                <wp:wrapNone/>
                <wp:docPr id="15" name="Rectangle 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451787" cy="314325"/>
                        </a:xfrm>
                        <a:prstGeom prst="rect">
                          <a:avLst/>
                        </a:prstGeom>
                        <a:solidFill>
                          <a:schemeClr val="tx2">
                            <a:lumMod val="20000"/>
                            <a:lumOff val="80000"/>
                          </a:schemeClr>
                        </a:solidFill>
                        <a:ln w="9525">
                          <a:solidFill>
                            <a:srgbClr val="000000"/>
                          </a:solidFill>
                          <a:miter lim="800000"/>
                          <a:headEnd/>
                          <a:tailEnd/>
                        </a:ln>
                      </wps:spPr>
                      <wps:txbx>
                        <w:txbxContent>
                          <w:p w14:paraId="5CD05C6A" w14:textId="02445A68" w:rsidR="00535B24" w:rsidRPr="00531EE6" w:rsidRDefault="00535B24" w:rsidP="0079561C">
                            <w:pPr>
                              <w:rPr>
                                <w:rFonts w:asciiTheme="minorHAnsi" w:hAnsiTheme="minorHAnsi" w:cstheme="minorHAnsi"/>
                                <w:b/>
                                <w:sz w:val="28"/>
                                <w:szCs w:val="28"/>
                                <w:lang w:val="en-IN"/>
                              </w:rPr>
                            </w:pPr>
                            <w:r w:rsidRPr="00531EE6">
                              <w:rPr>
                                <w:rFonts w:asciiTheme="minorHAnsi" w:hAnsiTheme="minorHAnsi" w:cstheme="minorHAnsi"/>
                                <w:b/>
                                <w:sz w:val="28"/>
                                <w:szCs w:val="28"/>
                                <w:lang w:val="en-IN"/>
                              </w:rPr>
                              <w:t xml:space="preserve"> </w:t>
                            </w:r>
                            <w:r>
                              <w:rPr>
                                <w:rFonts w:asciiTheme="minorHAnsi" w:hAnsiTheme="minorHAnsi" w:cstheme="minorHAnsi"/>
                                <w:b/>
                                <w:sz w:val="28"/>
                                <w:szCs w:val="28"/>
                                <w:lang w:val="en-IN"/>
                              </w:rPr>
                              <w:t>7</w:t>
                            </w:r>
                            <w:r w:rsidRPr="00531EE6">
                              <w:rPr>
                                <w:rFonts w:asciiTheme="minorHAnsi" w:hAnsiTheme="minorHAnsi" w:cstheme="minorHAnsi"/>
                                <w:b/>
                                <w:sz w:val="28"/>
                                <w:szCs w:val="28"/>
                                <w:lang w:val="en-IN"/>
                              </w:rPr>
                              <w:t>. Allocation of Wheeling and Retail Supply Cost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74103DE" id="_x0000_s1044" style="position:absolute;left:0;text-align:left;margin-left:25.8pt;margin-top:1.55pt;width:429.25pt;height:24.75pt;z-index:25155225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" fillcolor="#c6d9f1 [671]">
                <v:textbox>
                  <w:txbxContent>
                    <w:p w14:paraId="5CD05C6A" w14:textId="02445A68" w:rsidR="00535B24" w:rsidRPr="00531EE6" w:rsidRDefault="00535B24" w:rsidP="0079561C">
                      <w:pPr>
                        <w:rPr>
                          <w:rFonts w:asciiTheme="minorHAnsi" w:hAnsiTheme="minorHAnsi" w:cstheme="minorHAnsi"/>
                          <w:b/>
                          <w:sz w:val="28"/>
                          <w:szCs w:val="28"/>
                          <w:lang w:val="en-IN"/>
                        </w:rPr>
                      </w:pPr>
                      <w:r w:rsidRPr="00531EE6">
                        <w:rPr>
                          <w:rFonts w:asciiTheme="minorHAnsi" w:hAnsiTheme="minorHAnsi" w:cstheme="minorHAnsi"/>
                          <w:b/>
                          <w:sz w:val="28"/>
                          <w:szCs w:val="28"/>
                          <w:lang w:val="en-IN"/>
                        </w:rPr>
                        <w:t xml:space="preserve"> </w:t>
                      </w:r>
                      <w:r>
                        <w:rPr>
                          <w:rFonts w:asciiTheme="minorHAnsi" w:hAnsiTheme="minorHAnsi" w:cstheme="minorHAnsi"/>
                          <w:b/>
                          <w:sz w:val="28"/>
                          <w:szCs w:val="28"/>
                          <w:lang w:val="en-IN"/>
                        </w:rPr>
                        <w:t>7</w:t>
                      </w:r>
                      <w:r w:rsidRPr="00531EE6">
                        <w:rPr>
                          <w:rFonts w:asciiTheme="minorHAnsi" w:hAnsiTheme="minorHAnsi" w:cstheme="minorHAnsi"/>
                          <w:b/>
                          <w:sz w:val="28"/>
                          <w:szCs w:val="28"/>
                          <w:lang w:val="en-IN"/>
                        </w:rPr>
                        <w:t>. Allocation of Wheeling and Retail Supply Cost</w:t>
                      </w:r>
                    </w:p>
                  </w:txbxContent>
                </v:textbox>
                <w10:wrap anchorx="margin"/>
              </v:rect>
            </w:pict>
          </mc:Fallback>
        </mc:AlternateContent>
      </w:r>
    </w:p>
    <w:p w14:paraId="3C8965E6" w14:textId="77777777" w:rsidR="003F328B" w:rsidRPr="00153204" w:rsidRDefault="003F328B" w:rsidP="002334A3">
      <w:pPr>
        <w:autoSpaceDE w:val="0"/>
        <w:autoSpaceDN w:val="0"/>
        <w:adjustRightInd w:val="0"/>
        <w:spacing w:line="360" w:lineRule="auto"/>
        <w:ind w:left="567"/>
        <w:jc w:val="both"/>
        <w:rPr>
          <w:rFonts w:asciiTheme="minorHAnsi" w:hAnsiTheme="minorHAnsi" w:cstheme="minorHAnsi"/>
          <w:sz w:val="22"/>
          <w:szCs w:val="22"/>
        </w:rPr>
      </w:pPr>
    </w:p>
    <w:p w14:paraId="41ADF211" w14:textId="4D609EA1" w:rsidR="008A29FA" w:rsidRDefault="00A2410B" w:rsidP="002334A3">
      <w:pPr>
        <w:autoSpaceDE w:val="0"/>
        <w:autoSpaceDN w:val="0"/>
        <w:adjustRightInd w:val="0"/>
        <w:spacing w:line="360" w:lineRule="auto"/>
        <w:ind w:left="567"/>
        <w:jc w:val="both"/>
        <w:rPr>
          <w:rFonts w:asciiTheme="minorHAnsi" w:hAnsiTheme="minorHAnsi" w:cstheme="minorHAnsi"/>
          <w:sz w:val="22"/>
          <w:szCs w:val="22"/>
        </w:rPr>
      </w:pPr>
      <w:r w:rsidRPr="00153204">
        <w:rPr>
          <w:rFonts w:asciiTheme="minorHAnsi" w:hAnsiTheme="minorHAnsi" w:cstheme="minorHAnsi"/>
          <w:sz w:val="22"/>
          <w:szCs w:val="22"/>
        </w:rPr>
        <w:t xml:space="preserve">As per OERC (Determination of Wheeling and Retail </w:t>
      </w:r>
      <w:r w:rsidR="00537AD6" w:rsidRPr="00153204">
        <w:rPr>
          <w:rFonts w:asciiTheme="minorHAnsi" w:hAnsiTheme="minorHAnsi" w:cstheme="minorHAnsi"/>
          <w:sz w:val="22"/>
          <w:szCs w:val="22"/>
        </w:rPr>
        <w:t>Supply Tariff</w:t>
      </w:r>
      <w:r w:rsidRPr="00153204">
        <w:rPr>
          <w:rFonts w:asciiTheme="minorHAnsi" w:hAnsiTheme="minorHAnsi" w:cstheme="minorHAnsi"/>
          <w:sz w:val="22"/>
          <w:szCs w:val="22"/>
        </w:rPr>
        <w:t xml:space="preserve">) Regulation,2022, the distribution licensee shall segregate the accounts of the Licensed business into </w:t>
      </w:r>
      <w:r w:rsidR="008A29FA" w:rsidRPr="00153204">
        <w:rPr>
          <w:rFonts w:asciiTheme="minorHAnsi" w:hAnsiTheme="minorHAnsi" w:cstheme="minorHAnsi"/>
          <w:sz w:val="22"/>
          <w:szCs w:val="22"/>
        </w:rPr>
        <w:t xml:space="preserve">Wheeling business and Retail Supply Business within one year of notification of the regulation and till the time the Distribution licensee submits audited and certified separate accounts for Wheeling Business and Retail Supply </w:t>
      </w:r>
      <w:proofErr w:type="gramStart"/>
      <w:r w:rsidR="008A29FA" w:rsidRPr="00153204">
        <w:rPr>
          <w:rFonts w:asciiTheme="minorHAnsi" w:hAnsiTheme="minorHAnsi" w:cstheme="minorHAnsi"/>
          <w:sz w:val="22"/>
          <w:szCs w:val="22"/>
        </w:rPr>
        <w:t>Business ,</w:t>
      </w:r>
      <w:proofErr w:type="gramEnd"/>
      <w:r w:rsidR="008A29FA" w:rsidRPr="00153204">
        <w:rPr>
          <w:rFonts w:asciiTheme="minorHAnsi" w:hAnsiTheme="minorHAnsi" w:cstheme="minorHAnsi"/>
          <w:sz w:val="22"/>
          <w:szCs w:val="22"/>
        </w:rPr>
        <w:t xml:space="preserve"> the allocation matrix provided under regulation 2.5.2 shall be applicable.</w:t>
      </w:r>
    </w:p>
    <w:p w14:paraId="5CF85C1E" w14:textId="77777777" w:rsidR="000F5F53" w:rsidRPr="00153204" w:rsidRDefault="000F5F53" w:rsidP="002334A3">
      <w:pPr>
        <w:autoSpaceDE w:val="0"/>
        <w:autoSpaceDN w:val="0"/>
        <w:adjustRightInd w:val="0"/>
        <w:spacing w:line="360" w:lineRule="auto"/>
        <w:ind w:left="567"/>
        <w:jc w:val="both"/>
        <w:rPr>
          <w:rFonts w:asciiTheme="minorHAnsi" w:hAnsiTheme="minorHAnsi" w:cstheme="minorHAnsi"/>
          <w:sz w:val="22"/>
          <w:szCs w:val="22"/>
        </w:rPr>
      </w:pPr>
    </w:p>
    <w:p w14:paraId="2E904BF5" w14:textId="43C41170" w:rsidR="003F328B" w:rsidRPr="00153204" w:rsidRDefault="0079561C" w:rsidP="004E29EB">
      <w:pPr>
        <w:autoSpaceDE w:val="0"/>
        <w:autoSpaceDN w:val="0"/>
        <w:adjustRightInd w:val="0"/>
        <w:spacing w:line="360" w:lineRule="auto"/>
        <w:ind w:left="567"/>
        <w:jc w:val="both"/>
        <w:rPr>
          <w:rFonts w:asciiTheme="minorHAnsi" w:hAnsiTheme="minorHAnsi" w:cstheme="minorHAnsi"/>
          <w:sz w:val="22"/>
          <w:szCs w:val="22"/>
        </w:rPr>
      </w:pPr>
      <w:r w:rsidRPr="00153204">
        <w:rPr>
          <w:rFonts w:asciiTheme="minorHAnsi" w:hAnsiTheme="minorHAnsi" w:cstheme="minorHAnsi"/>
          <w:sz w:val="22"/>
          <w:szCs w:val="22"/>
        </w:rPr>
        <w:t xml:space="preserve">In line with the </w:t>
      </w:r>
      <w:r w:rsidR="008A29FA" w:rsidRPr="00153204">
        <w:rPr>
          <w:rFonts w:asciiTheme="minorHAnsi" w:hAnsiTheme="minorHAnsi" w:cstheme="minorHAnsi"/>
          <w:sz w:val="22"/>
          <w:szCs w:val="22"/>
        </w:rPr>
        <w:t>Regulation 2.5.1 and 2.5.2 of the Tariff Regulation,</w:t>
      </w:r>
      <w:r w:rsidRPr="00153204">
        <w:rPr>
          <w:rFonts w:asciiTheme="minorHAnsi" w:hAnsiTheme="minorHAnsi" w:cstheme="minorHAnsi"/>
          <w:sz w:val="22"/>
          <w:szCs w:val="22"/>
        </w:rPr>
        <w:t xml:space="preserve"> the DISCOM </w:t>
      </w:r>
      <w:r w:rsidR="008A29FA" w:rsidRPr="00153204">
        <w:rPr>
          <w:rFonts w:asciiTheme="minorHAnsi" w:hAnsiTheme="minorHAnsi" w:cstheme="minorHAnsi"/>
          <w:sz w:val="22"/>
          <w:szCs w:val="22"/>
        </w:rPr>
        <w:t xml:space="preserve">has </w:t>
      </w:r>
      <w:r w:rsidRPr="00153204">
        <w:rPr>
          <w:rFonts w:asciiTheme="minorHAnsi" w:hAnsiTheme="minorHAnsi" w:cstheme="minorHAnsi"/>
          <w:sz w:val="22"/>
          <w:szCs w:val="22"/>
        </w:rPr>
        <w:t>prepare</w:t>
      </w:r>
      <w:r w:rsidR="008A29FA" w:rsidRPr="00153204">
        <w:rPr>
          <w:rFonts w:asciiTheme="minorHAnsi" w:hAnsiTheme="minorHAnsi" w:cstheme="minorHAnsi"/>
          <w:sz w:val="22"/>
          <w:szCs w:val="22"/>
        </w:rPr>
        <w:t>d</w:t>
      </w:r>
      <w:r w:rsidRPr="00153204">
        <w:rPr>
          <w:rFonts w:asciiTheme="minorHAnsi" w:hAnsiTheme="minorHAnsi" w:cstheme="minorHAnsi"/>
          <w:sz w:val="22"/>
          <w:szCs w:val="22"/>
        </w:rPr>
        <w:t xml:space="preserve"> an allocation </w:t>
      </w:r>
      <w:proofErr w:type="gramStart"/>
      <w:r w:rsidRPr="00153204">
        <w:rPr>
          <w:rFonts w:asciiTheme="minorHAnsi" w:hAnsiTheme="minorHAnsi" w:cstheme="minorHAnsi"/>
          <w:sz w:val="22"/>
          <w:szCs w:val="22"/>
        </w:rPr>
        <w:t>statement  apportion</w:t>
      </w:r>
      <w:r w:rsidR="008A29FA" w:rsidRPr="00153204">
        <w:rPr>
          <w:rFonts w:asciiTheme="minorHAnsi" w:hAnsiTheme="minorHAnsi" w:cstheme="minorHAnsi"/>
          <w:sz w:val="22"/>
          <w:szCs w:val="22"/>
        </w:rPr>
        <w:t>ing</w:t>
      </w:r>
      <w:proofErr w:type="gramEnd"/>
      <w:r w:rsidR="008A29FA" w:rsidRPr="00153204">
        <w:rPr>
          <w:rFonts w:asciiTheme="minorHAnsi" w:hAnsiTheme="minorHAnsi" w:cstheme="minorHAnsi"/>
          <w:sz w:val="22"/>
          <w:szCs w:val="22"/>
        </w:rPr>
        <w:t xml:space="preserve"> </w:t>
      </w:r>
      <w:r w:rsidRPr="00153204">
        <w:rPr>
          <w:rFonts w:asciiTheme="minorHAnsi" w:hAnsiTheme="minorHAnsi" w:cstheme="minorHAnsi"/>
          <w:sz w:val="22"/>
          <w:szCs w:val="22"/>
        </w:rPr>
        <w:t xml:space="preserve"> cost and revenues to </w:t>
      </w:r>
      <w:r w:rsidR="008A29FA" w:rsidRPr="00153204">
        <w:rPr>
          <w:rFonts w:asciiTheme="minorHAnsi" w:hAnsiTheme="minorHAnsi" w:cstheme="minorHAnsi"/>
          <w:sz w:val="22"/>
          <w:szCs w:val="22"/>
        </w:rPr>
        <w:t>W</w:t>
      </w:r>
      <w:r w:rsidRPr="00153204">
        <w:rPr>
          <w:rFonts w:asciiTheme="minorHAnsi" w:hAnsiTheme="minorHAnsi" w:cstheme="minorHAnsi"/>
          <w:sz w:val="22"/>
          <w:szCs w:val="22"/>
        </w:rPr>
        <w:t>heeling and Retail supply business and submit</w:t>
      </w:r>
      <w:r w:rsidR="008A29FA" w:rsidRPr="00153204">
        <w:rPr>
          <w:rFonts w:asciiTheme="minorHAnsi" w:hAnsiTheme="minorHAnsi" w:cstheme="minorHAnsi"/>
          <w:sz w:val="22"/>
          <w:szCs w:val="22"/>
        </w:rPr>
        <w:t>s</w:t>
      </w:r>
      <w:r w:rsidRPr="00153204">
        <w:rPr>
          <w:rFonts w:asciiTheme="minorHAnsi" w:hAnsiTheme="minorHAnsi" w:cstheme="minorHAnsi"/>
          <w:sz w:val="22"/>
          <w:szCs w:val="22"/>
        </w:rPr>
        <w:t xml:space="preserve"> it for kind approval of Hon’ble Commission.</w:t>
      </w:r>
    </w:p>
    <w:p w14:paraId="796572E0" w14:textId="77777777" w:rsidR="0025136B" w:rsidRDefault="0025136B" w:rsidP="00FC34B9">
      <w:pPr>
        <w:autoSpaceDE w:val="0"/>
        <w:autoSpaceDN w:val="0"/>
        <w:adjustRightInd w:val="0"/>
        <w:spacing w:line="360" w:lineRule="auto"/>
        <w:rPr>
          <w:rStyle w:val="normaltextrun"/>
          <w:rFonts w:asciiTheme="minorHAnsi" w:hAnsiTheme="minorHAnsi" w:cstheme="minorHAnsi"/>
          <w:b/>
          <w:color w:val="000000" w:themeColor="text1"/>
          <w:sz w:val="22"/>
          <w:szCs w:val="22"/>
          <w:lang w:val="en-IN" w:bidi="or-IN"/>
        </w:rPr>
      </w:pPr>
    </w:p>
    <w:p w14:paraId="61C57F91" w14:textId="2267D1B3" w:rsidR="0079561C" w:rsidRDefault="00BA472B" w:rsidP="002334A3">
      <w:pPr>
        <w:autoSpaceDE w:val="0"/>
        <w:autoSpaceDN w:val="0"/>
        <w:adjustRightInd w:val="0"/>
        <w:spacing w:line="360" w:lineRule="auto"/>
        <w:ind w:left="567"/>
        <w:jc w:val="center"/>
        <w:rPr>
          <w:rFonts w:asciiTheme="minorHAnsi" w:hAnsiTheme="minorHAnsi" w:cstheme="minorHAnsi"/>
          <w:b/>
          <w:sz w:val="22"/>
          <w:szCs w:val="22"/>
        </w:rPr>
      </w:pPr>
      <w:r w:rsidRPr="00153204">
        <w:rPr>
          <w:rStyle w:val="normaltextrun"/>
          <w:rFonts w:asciiTheme="minorHAnsi" w:hAnsiTheme="minorHAnsi" w:cstheme="minorHAnsi"/>
          <w:b/>
          <w:color w:val="000000" w:themeColor="text1"/>
          <w:sz w:val="22"/>
          <w:szCs w:val="22"/>
          <w:lang w:val="en-IN" w:bidi="or-IN"/>
        </w:rPr>
        <w:t>Table-6</w:t>
      </w:r>
      <w:r w:rsidR="00FC34B9">
        <w:rPr>
          <w:rStyle w:val="normaltextrun"/>
          <w:rFonts w:asciiTheme="minorHAnsi" w:hAnsiTheme="minorHAnsi" w:cstheme="minorHAnsi"/>
          <w:b/>
          <w:color w:val="000000" w:themeColor="text1"/>
          <w:sz w:val="22"/>
          <w:szCs w:val="22"/>
          <w:lang w:val="en-IN" w:bidi="or-IN"/>
        </w:rPr>
        <w:t>2</w:t>
      </w:r>
      <w:r w:rsidR="00922F23" w:rsidRPr="00153204">
        <w:rPr>
          <w:rStyle w:val="normaltextrun"/>
          <w:rFonts w:asciiTheme="minorHAnsi" w:hAnsiTheme="minorHAnsi" w:cstheme="minorHAnsi"/>
          <w:b/>
          <w:color w:val="000000" w:themeColor="text1"/>
          <w:sz w:val="22"/>
          <w:szCs w:val="22"/>
          <w:lang w:val="en-IN" w:bidi="or-IN"/>
        </w:rPr>
        <w:t xml:space="preserve">: </w:t>
      </w:r>
      <w:r w:rsidR="00AD0771" w:rsidRPr="00153204">
        <w:rPr>
          <w:rFonts w:asciiTheme="minorHAnsi" w:hAnsiTheme="minorHAnsi" w:cstheme="minorHAnsi"/>
          <w:b/>
          <w:sz w:val="22"/>
          <w:szCs w:val="22"/>
        </w:rPr>
        <w:t>Statement of A</w:t>
      </w:r>
      <w:r w:rsidR="0079561C" w:rsidRPr="00153204">
        <w:rPr>
          <w:rFonts w:asciiTheme="minorHAnsi" w:hAnsiTheme="minorHAnsi" w:cstheme="minorHAnsi"/>
          <w:b/>
          <w:sz w:val="22"/>
          <w:szCs w:val="22"/>
        </w:rPr>
        <w:t>ll</w:t>
      </w:r>
      <w:r w:rsidR="00AD0771" w:rsidRPr="00153204">
        <w:rPr>
          <w:rFonts w:asciiTheme="minorHAnsi" w:hAnsiTheme="minorHAnsi" w:cstheme="minorHAnsi"/>
          <w:b/>
          <w:sz w:val="22"/>
          <w:szCs w:val="22"/>
        </w:rPr>
        <w:t>ocation of Wheeling and Retail S</w:t>
      </w:r>
      <w:r w:rsidR="0079561C" w:rsidRPr="00153204">
        <w:rPr>
          <w:rFonts w:asciiTheme="minorHAnsi" w:hAnsiTheme="minorHAnsi" w:cstheme="minorHAnsi"/>
          <w:b/>
          <w:sz w:val="22"/>
          <w:szCs w:val="22"/>
        </w:rPr>
        <w:t>upply Cost</w:t>
      </w:r>
    </w:p>
    <w:p w14:paraId="03E48AE2" w14:textId="33C8AF00" w:rsidR="00FC34B9" w:rsidRDefault="00FC34B9" w:rsidP="002334A3">
      <w:pPr>
        <w:autoSpaceDE w:val="0"/>
        <w:autoSpaceDN w:val="0"/>
        <w:adjustRightInd w:val="0"/>
        <w:spacing w:line="360" w:lineRule="auto"/>
        <w:ind w:left="567"/>
        <w:jc w:val="center"/>
        <w:rPr>
          <w:rFonts w:asciiTheme="minorHAnsi" w:hAnsiTheme="minorHAnsi" w:cstheme="minorHAnsi"/>
          <w:b/>
          <w:sz w:val="22"/>
          <w:szCs w:val="22"/>
        </w:rPr>
      </w:pPr>
      <w:r>
        <w:rPr>
          <w:rStyle w:val="normaltextrun"/>
          <w:rFonts w:asciiTheme="minorHAnsi" w:hAnsiTheme="minorHAnsi" w:cstheme="minorHAnsi"/>
          <w:b/>
          <w:color w:val="000000" w:themeColor="text1"/>
          <w:sz w:val="22"/>
          <w:szCs w:val="22"/>
          <w:lang w:val="en-IN" w:bidi="or-IN"/>
        </w:rPr>
        <w:t xml:space="preserve">                                                                                                                                                         (Rs.</w:t>
      </w:r>
      <w:r>
        <w:rPr>
          <w:rFonts w:asciiTheme="minorHAnsi" w:hAnsiTheme="minorHAnsi" w:cstheme="minorHAnsi"/>
          <w:b/>
          <w:sz w:val="22"/>
          <w:szCs w:val="22"/>
        </w:rPr>
        <w:t xml:space="preserve"> In Lacs)</w:t>
      </w:r>
    </w:p>
    <w:tbl>
      <w:tblPr>
        <w:tblW w:w="9897" w:type="dxa"/>
        <w:tblInd w:w="-5" w:type="dxa"/>
        <w:tblLook w:val="04A0" w:firstRow="1" w:lastRow="0" w:firstColumn="1" w:lastColumn="0" w:noHBand="0" w:noVBand="1"/>
      </w:tblPr>
      <w:tblGrid>
        <w:gridCol w:w="557"/>
        <w:gridCol w:w="1705"/>
        <w:gridCol w:w="1236"/>
        <w:gridCol w:w="1846"/>
        <w:gridCol w:w="1877"/>
        <w:gridCol w:w="1322"/>
        <w:gridCol w:w="1354"/>
      </w:tblGrid>
      <w:tr w:rsidR="00FC34B9" w14:paraId="4707ADC9" w14:textId="77777777" w:rsidTr="00FC34B9">
        <w:trPr>
          <w:trHeight w:val="1025"/>
        </w:trPr>
        <w:tc>
          <w:tcPr>
            <w:tcW w:w="0" w:type="auto"/>
            <w:tcBorders>
              <w:top w:val="single" w:sz="4" w:space="0" w:color="auto"/>
              <w:left w:val="single" w:sz="4" w:space="0" w:color="auto"/>
              <w:bottom w:val="single" w:sz="4" w:space="0" w:color="auto"/>
              <w:right w:val="single" w:sz="4" w:space="0" w:color="auto"/>
            </w:tcBorders>
            <w:shd w:val="clear" w:color="000000" w:fill="95B3D7"/>
            <w:vAlign w:val="center"/>
            <w:hideMark/>
          </w:tcPr>
          <w:p w14:paraId="16EF72CD" w14:textId="77777777" w:rsidR="00FC34B9" w:rsidRDefault="00FC34B9">
            <w:pPr>
              <w:jc w:val="center"/>
              <w:rPr>
                <w:rFonts w:ascii="Calibri" w:hAnsi="Calibri" w:cs="Arial"/>
                <w:b/>
                <w:bCs/>
                <w:color w:val="000000"/>
                <w:sz w:val="22"/>
                <w:szCs w:val="22"/>
                <w:lang w:val="en-IN" w:eastAsia="en-IN"/>
              </w:rPr>
            </w:pPr>
            <w:proofErr w:type="spellStart"/>
            <w:r>
              <w:rPr>
                <w:rFonts w:ascii="Calibri" w:hAnsi="Calibri" w:cs="Arial"/>
                <w:b/>
                <w:bCs/>
                <w:color w:val="000000"/>
                <w:sz w:val="22"/>
                <w:szCs w:val="22"/>
              </w:rPr>
              <w:t>Sl</w:t>
            </w:r>
            <w:proofErr w:type="spellEnd"/>
            <w:r>
              <w:rPr>
                <w:rFonts w:ascii="Calibri" w:hAnsi="Calibri" w:cs="Arial"/>
                <w:b/>
                <w:bCs/>
                <w:color w:val="000000"/>
                <w:sz w:val="22"/>
                <w:szCs w:val="22"/>
              </w:rPr>
              <w:t xml:space="preserve"> No.</w:t>
            </w:r>
          </w:p>
        </w:tc>
        <w:tc>
          <w:tcPr>
            <w:tcW w:w="0" w:type="auto"/>
            <w:tcBorders>
              <w:top w:val="single" w:sz="4" w:space="0" w:color="auto"/>
              <w:left w:val="nil"/>
              <w:bottom w:val="single" w:sz="4" w:space="0" w:color="auto"/>
              <w:right w:val="single" w:sz="4" w:space="0" w:color="auto"/>
            </w:tcBorders>
            <w:shd w:val="clear" w:color="000000" w:fill="95B3D7"/>
            <w:vAlign w:val="center"/>
            <w:hideMark/>
          </w:tcPr>
          <w:p w14:paraId="7B13D8B8" w14:textId="77777777" w:rsidR="00FC34B9" w:rsidRDefault="00FC34B9">
            <w:pPr>
              <w:jc w:val="center"/>
              <w:rPr>
                <w:rFonts w:ascii="Calibri" w:hAnsi="Calibri" w:cs="Arial"/>
                <w:b/>
                <w:bCs/>
                <w:color w:val="000000"/>
                <w:sz w:val="22"/>
                <w:szCs w:val="22"/>
              </w:rPr>
            </w:pPr>
            <w:r>
              <w:rPr>
                <w:rFonts w:ascii="Calibri" w:hAnsi="Calibri" w:cs="Arial"/>
                <w:b/>
                <w:bCs/>
                <w:color w:val="000000"/>
                <w:sz w:val="22"/>
                <w:szCs w:val="22"/>
              </w:rPr>
              <w:t>Cost/Income Component</w:t>
            </w:r>
          </w:p>
        </w:tc>
        <w:tc>
          <w:tcPr>
            <w:tcW w:w="0" w:type="auto"/>
            <w:tcBorders>
              <w:top w:val="single" w:sz="4" w:space="0" w:color="auto"/>
              <w:left w:val="nil"/>
              <w:bottom w:val="single" w:sz="4" w:space="0" w:color="auto"/>
              <w:right w:val="single" w:sz="4" w:space="0" w:color="auto"/>
            </w:tcBorders>
            <w:shd w:val="clear" w:color="000000" w:fill="95B3D7"/>
            <w:vAlign w:val="center"/>
            <w:hideMark/>
          </w:tcPr>
          <w:p w14:paraId="436DF82A" w14:textId="77777777" w:rsidR="00FC34B9" w:rsidRDefault="00FC34B9">
            <w:pPr>
              <w:jc w:val="center"/>
              <w:rPr>
                <w:rFonts w:ascii="Calibri" w:hAnsi="Calibri" w:cs="Arial"/>
                <w:b/>
                <w:bCs/>
                <w:color w:val="000000"/>
                <w:sz w:val="22"/>
                <w:szCs w:val="22"/>
              </w:rPr>
            </w:pPr>
            <w:r>
              <w:rPr>
                <w:rFonts w:ascii="Calibri" w:hAnsi="Calibri" w:cs="Arial"/>
                <w:b/>
                <w:bCs/>
                <w:color w:val="000000"/>
                <w:sz w:val="22"/>
                <w:szCs w:val="22"/>
              </w:rPr>
              <w:t xml:space="preserve">ARR for Ensuing FY </w:t>
            </w:r>
          </w:p>
        </w:tc>
        <w:tc>
          <w:tcPr>
            <w:tcW w:w="0" w:type="auto"/>
            <w:tcBorders>
              <w:top w:val="single" w:sz="4" w:space="0" w:color="auto"/>
              <w:left w:val="nil"/>
              <w:bottom w:val="single" w:sz="4" w:space="0" w:color="auto"/>
              <w:right w:val="single" w:sz="4" w:space="0" w:color="auto"/>
            </w:tcBorders>
            <w:shd w:val="clear" w:color="000000" w:fill="95B3D7"/>
            <w:vAlign w:val="center"/>
            <w:hideMark/>
          </w:tcPr>
          <w:p w14:paraId="6CD63DB2" w14:textId="77777777" w:rsidR="00FC34B9" w:rsidRDefault="00FC34B9">
            <w:pPr>
              <w:jc w:val="center"/>
              <w:rPr>
                <w:rFonts w:ascii="Calibri" w:hAnsi="Calibri" w:cs="Arial"/>
                <w:b/>
                <w:bCs/>
                <w:color w:val="000000"/>
                <w:sz w:val="22"/>
                <w:szCs w:val="22"/>
              </w:rPr>
            </w:pPr>
            <w:r>
              <w:rPr>
                <w:rFonts w:ascii="Calibri" w:hAnsi="Calibri" w:cs="Arial"/>
                <w:b/>
                <w:bCs/>
                <w:color w:val="000000"/>
                <w:sz w:val="22"/>
                <w:szCs w:val="22"/>
              </w:rPr>
              <w:t>Assumption Ratio for consideration in Wheeling Business</w:t>
            </w:r>
          </w:p>
        </w:tc>
        <w:tc>
          <w:tcPr>
            <w:tcW w:w="0" w:type="auto"/>
            <w:tcBorders>
              <w:top w:val="single" w:sz="4" w:space="0" w:color="auto"/>
              <w:left w:val="nil"/>
              <w:bottom w:val="single" w:sz="4" w:space="0" w:color="auto"/>
              <w:right w:val="single" w:sz="4" w:space="0" w:color="auto"/>
            </w:tcBorders>
            <w:shd w:val="clear" w:color="000000" w:fill="95B3D7"/>
            <w:vAlign w:val="center"/>
            <w:hideMark/>
          </w:tcPr>
          <w:p w14:paraId="7209B8B7" w14:textId="77777777" w:rsidR="00FC34B9" w:rsidRDefault="00FC34B9">
            <w:pPr>
              <w:jc w:val="center"/>
              <w:rPr>
                <w:rFonts w:ascii="Calibri" w:hAnsi="Calibri" w:cs="Arial"/>
                <w:b/>
                <w:bCs/>
                <w:color w:val="000000"/>
                <w:sz w:val="22"/>
                <w:szCs w:val="22"/>
              </w:rPr>
            </w:pPr>
            <w:r>
              <w:rPr>
                <w:rFonts w:ascii="Calibri" w:hAnsi="Calibri" w:cs="Arial"/>
                <w:b/>
                <w:bCs/>
                <w:color w:val="000000"/>
                <w:sz w:val="22"/>
                <w:szCs w:val="22"/>
              </w:rPr>
              <w:t>Assumption Ratio for consideration in Retail Supply Business</w:t>
            </w:r>
          </w:p>
        </w:tc>
        <w:tc>
          <w:tcPr>
            <w:tcW w:w="0" w:type="auto"/>
            <w:tcBorders>
              <w:top w:val="single" w:sz="4" w:space="0" w:color="auto"/>
              <w:left w:val="nil"/>
              <w:bottom w:val="single" w:sz="4" w:space="0" w:color="auto"/>
              <w:right w:val="single" w:sz="4" w:space="0" w:color="auto"/>
            </w:tcBorders>
            <w:shd w:val="clear" w:color="000000" w:fill="95B3D7"/>
            <w:vAlign w:val="center"/>
            <w:hideMark/>
          </w:tcPr>
          <w:p w14:paraId="7A0049C6" w14:textId="77777777" w:rsidR="00FC34B9" w:rsidRDefault="00FC34B9">
            <w:pPr>
              <w:jc w:val="center"/>
              <w:rPr>
                <w:rFonts w:ascii="Calibri" w:hAnsi="Calibri" w:cs="Arial"/>
                <w:b/>
                <w:bCs/>
                <w:color w:val="000000"/>
                <w:sz w:val="22"/>
                <w:szCs w:val="22"/>
              </w:rPr>
            </w:pPr>
            <w:r>
              <w:rPr>
                <w:rFonts w:ascii="Calibri" w:hAnsi="Calibri" w:cs="Arial"/>
                <w:b/>
                <w:bCs/>
                <w:color w:val="000000"/>
                <w:sz w:val="22"/>
                <w:szCs w:val="22"/>
              </w:rPr>
              <w:t>Wheeling cost for Ensuing FY</w:t>
            </w:r>
          </w:p>
        </w:tc>
        <w:tc>
          <w:tcPr>
            <w:tcW w:w="0" w:type="auto"/>
            <w:tcBorders>
              <w:top w:val="single" w:sz="4" w:space="0" w:color="auto"/>
              <w:left w:val="nil"/>
              <w:bottom w:val="single" w:sz="4" w:space="0" w:color="auto"/>
              <w:right w:val="single" w:sz="4" w:space="0" w:color="auto"/>
            </w:tcBorders>
            <w:shd w:val="clear" w:color="000000" w:fill="95B3D7"/>
            <w:vAlign w:val="center"/>
            <w:hideMark/>
          </w:tcPr>
          <w:p w14:paraId="781B3686" w14:textId="77777777" w:rsidR="00FC34B9" w:rsidRDefault="00FC34B9">
            <w:pPr>
              <w:jc w:val="center"/>
              <w:rPr>
                <w:rFonts w:ascii="Calibri" w:hAnsi="Calibri" w:cs="Arial"/>
                <w:b/>
                <w:bCs/>
                <w:color w:val="000000"/>
                <w:sz w:val="22"/>
                <w:szCs w:val="22"/>
              </w:rPr>
            </w:pPr>
            <w:r>
              <w:rPr>
                <w:rFonts w:ascii="Calibri" w:hAnsi="Calibri" w:cs="Arial"/>
                <w:b/>
                <w:bCs/>
                <w:color w:val="000000"/>
                <w:sz w:val="22"/>
                <w:szCs w:val="22"/>
              </w:rPr>
              <w:t xml:space="preserve">Retail supply Cost for Ensuing FY </w:t>
            </w:r>
          </w:p>
        </w:tc>
      </w:tr>
      <w:tr w:rsidR="00FC34B9" w14:paraId="680C0144" w14:textId="77777777" w:rsidTr="00FC34B9">
        <w:trPr>
          <w:trHeight w:val="174"/>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CA2E2A5" w14:textId="77777777" w:rsidR="00FC34B9" w:rsidRDefault="00FC34B9">
            <w:pPr>
              <w:jc w:val="center"/>
              <w:rPr>
                <w:rFonts w:ascii="Arial" w:hAnsi="Arial" w:cs="Arial"/>
                <w:sz w:val="20"/>
                <w:szCs w:val="20"/>
              </w:rPr>
            </w:pPr>
            <w:r>
              <w:rPr>
                <w:rFonts w:ascii="Arial" w:hAnsi="Arial" w:cs="Arial"/>
                <w:sz w:val="20"/>
                <w:szCs w:val="20"/>
              </w:rPr>
              <w:t>1</w:t>
            </w:r>
          </w:p>
        </w:tc>
        <w:tc>
          <w:tcPr>
            <w:tcW w:w="0" w:type="auto"/>
            <w:tcBorders>
              <w:top w:val="nil"/>
              <w:left w:val="nil"/>
              <w:bottom w:val="single" w:sz="4" w:space="0" w:color="auto"/>
              <w:right w:val="single" w:sz="4" w:space="0" w:color="auto"/>
            </w:tcBorders>
            <w:shd w:val="clear" w:color="auto" w:fill="auto"/>
            <w:vAlign w:val="center"/>
            <w:hideMark/>
          </w:tcPr>
          <w:p w14:paraId="5FDD99A0" w14:textId="77777777" w:rsidR="00FC34B9" w:rsidRDefault="00FC34B9">
            <w:pPr>
              <w:rPr>
                <w:rFonts w:ascii="Arial" w:hAnsi="Arial" w:cs="Arial"/>
                <w:sz w:val="20"/>
                <w:szCs w:val="20"/>
              </w:rPr>
            </w:pPr>
            <w:r>
              <w:rPr>
                <w:rFonts w:ascii="Arial" w:hAnsi="Arial" w:cs="Arial"/>
                <w:sz w:val="20"/>
                <w:szCs w:val="20"/>
              </w:rPr>
              <w:t>Cost of Power</w:t>
            </w:r>
          </w:p>
        </w:tc>
        <w:tc>
          <w:tcPr>
            <w:tcW w:w="0" w:type="auto"/>
            <w:tcBorders>
              <w:top w:val="nil"/>
              <w:left w:val="nil"/>
              <w:bottom w:val="single" w:sz="4" w:space="0" w:color="auto"/>
              <w:right w:val="single" w:sz="4" w:space="0" w:color="auto"/>
            </w:tcBorders>
            <w:shd w:val="clear" w:color="auto" w:fill="auto"/>
            <w:noWrap/>
            <w:vAlign w:val="bottom"/>
            <w:hideMark/>
          </w:tcPr>
          <w:p w14:paraId="535B661E" w14:textId="77777777" w:rsidR="00FC34B9" w:rsidRDefault="00FC34B9" w:rsidP="00FC34B9">
            <w:pPr>
              <w:jc w:val="center"/>
              <w:rPr>
                <w:rFonts w:ascii="Arial" w:hAnsi="Arial" w:cs="Arial"/>
                <w:sz w:val="20"/>
                <w:szCs w:val="20"/>
              </w:rPr>
            </w:pPr>
            <w:r>
              <w:rPr>
                <w:rFonts w:ascii="Arial" w:hAnsi="Arial" w:cs="Arial"/>
                <w:sz w:val="20"/>
                <w:szCs w:val="20"/>
              </w:rPr>
              <w:t>305157.16</w:t>
            </w:r>
          </w:p>
        </w:tc>
        <w:tc>
          <w:tcPr>
            <w:tcW w:w="0" w:type="auto"/>
            <w:tcBorders>
              <w:top w:val="nil"/>
              <w:left w:val="nil"/>
              <w:bottom w:val="single" w:sz="4" w:space="0" w:color="auto"/>
              <w:right w:val="single" w:sz="4" w:space="0" w:color="auto"/>
            </w:tcBorders>
            <w:shd w:val="clear" w:color="auto" w:fill="auto"/>
            <w:vAlign w:val="bottom"/>
            <w:hideMark/>
          </w:tcPr>
          <w:p w14:paraId="74696250" w14:textId="77777777" w:rsidR="00FC34B9" w:rsidRDefault="00FC34B9" w:rsidP="00AA2867">
            <w:pPr>
              <w:spacing w:line="360" w:lineRule="auto"/>
              <w:jc w:val="center"/>
              <w:rPr>
                <w:rFonts w:ascii="Arial" w:hAnsi="Arial" w:cs="Arial"/>
                <w:sz w:val="20"/>
                <w:szCs w:val="20"/>
              </w:rPr>
            </w:pPr>
            <w:r>
              <w:rPr>
                <w:rFonts w:ascii="Arial" w:hAnsi="Arial" w:cs="Arial"/>
                <w:sz w:val="20"/>
                <w:szCs w:val="20"/>
              </w:rPr>
              <w:t>0%</w:t>
            </w:r>
          </w:p>
        </w:tc>
        <w:tc>
          <w:tcPr>
            <w:tcW w:w="0" w:type="auto"/>
            <w:tcBorders>
              <w:top w:val="nil"/>
              <w:left w:val="nil"/>
              <w:bottom w:val="single" w:sz="4" w:space="0" w:color="auto"/>
              <w:right w:val="single" w:sz="4" w:space="0" w:color="auto"/>
            </w:tcBorders>
            <w:shd w:val="clear" w:color="auto" w:fill="auto"/>
            <w:vAlign w:val="bottom"/>
            <w:hideMark/>
          </w:tcPr>
          <w:p w14:paraId="09ED99F7" w14:textId="77777777" w:rsidR="00FC34B9" w:rsidRDefault="00FC34B9" w:rsidP="00AA2867">
            <w:pPr>
              <w:spacing w:line="360" w:lineRule="auto"/>
              <w:jc w:val="center"/>
              <w:rPr>
                <w:rFonts w:ascii="Arial" w:hAnsi="Arial" w:cs="Arial"/>
                <w:sz w:val="20"/>
                <w:szCs w:val="20"/>
              </w:rPr>
            </w:pPr>
            <w:r>
              <w:rPr>
                <w:rFonts w:ascii="Arial" w:hAnsi="Arial" w:cs="Arial"/>
                <w:sz w:val="20"/>
                <w:szCs w:val="20"/>
              </w:rPr>
              <w:t>100%</w:t>
            </w:r>
          </w:p>
        </w:tc>
        <w:tc>
          <w:tcPr>
            <w:tcW w:w="0" w:type="auto"/>
            <w:tcBorders>
              <w:top w:val="nil"/>
              <w:left w:val="nil"/>
              <w:bottom w:val="single" w:sz="4" w:space="0" w:color="auto"/>
              <w:right w:val="single" w:sz="4" w:space="0" w:color="auto"/>
            </w:tcBorders>
            <w:shd w:val="clear" w:color="auto" w:fill="auto"/>
            <w:vAlign w:val="bottom"/>
            <w:hideMark/>
          </w:tcPr>
          <w:p w14:paraId="7B3858CA" w14:textId="77777777" w:rsidR="00FC34B9" w:rsidRDefault="00FC34B9" w:rsidP="00AA2867">
            <w:pPr>
              <w:spacing w:line="360" w:lineRule="auto"/>
              <w:jc w:val="center"/>
              <w:rPr>
                <w:rFonts w:ascii="Arial" w:hAnsi="Arial" w:cs="Arial"/>
                <w:sz w:val="20"/>
                <w:szCs w:val="20"/>
              </w:rPr>
            </w:pPr>
            <w:r>
              <w:rPr>
                <w:rFonts w:ascii="Arial" w:hAnsi="Arial" w:cs="Arial"/>
                <w:sz w:val="20"/>
                <w:szCs w:val="20"/>
              </w:rPr>
              <w:t>0.00</w:t>
            </w:r>
          </w:p>
        </w:tc>
        <w:tc>
          <w:tcPr>
            <w:tcW w:w="0" w:type="auto"/>
            <w:tcBorders>
              <w:top w:val="nil"/>
              <w:left w:val="nil"/>
              <w:bottom w:val="single" w:sz="4" w:space="0" w:color="auto"/>
              <w:right w:val="single" w:sz="4" w:space="0" w:color="auto"/>
            </w:tcBorders>
            <w:shd w:val="clear" w:color="auto" w:fill="auto"/>
            <w:vAlign w:val="bottom"/>
            <w:hideMark/>
          </w:tcPr>
          <w:p w14:paraId="3BB34933" w14:textId="77777777" w:rsidR="00FC34B9" w:rsidRDefault="00FC34B9" w:rsidP="00AA2867">
            <w:pPr>
              <w:spacing w:line="360" w:lineRule="auto"/>
              <w:jc w:val="center"/>
              <w:rPr>
                <w:rFonts w:ascii="Arial" w:hAnsi="Arial" w:cs="Arial"/>
                <w:sz w:val="20"/>
                <w:szCs w:val="20"/>
              </w:rPr>
            </w:pPr>
            <w:r>
              <w:rPr>
                <w:rFonts w:ascii="Arial" w:hAnsi="Arial" w:cs="Arial"/>
                <w:sz w:val="20"/>
                <w:szCs w:val="20"/>
              </w:rPr>
              <w:t>305157.16</w:t>
            </w:r>
          </w:p>
        </w:tc>
      </w:tr>
      <w:tr w:rsidR="00FC34B9" w14:paraId="63F51033" w14:textId="77777777" w:rsidTr="00FC34B9">
        <w:trPr>
          <w:trHeight w:val="174"/>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F998271" w14:textId="77777777" w:rsidR="00FC34B9" w:rsidRDefault="00FC34B9">
            <w:pPr>
              <w:jc w:val="center"/>
              <w:rPr>
                <w:rFonts w:ascii="Arial" w:hAnsi="Arial" w:cs="Arial"/>
                <w:sz w:val="20"/>
                <w:szCs w:val="20"/>
              </w:rPr>
            </w:pPr>
            <w:r>
              <w:rPr>
                <w:rFonts w:ascii="Arial" w:hAnsi="Arial" w:cs="Arial"/>
                <w:sz w:val="20"/>
                <w:szCs w:val="20"/>
              </w:rPr>
              <w:t>2</w:t>
            </w:r>
          </w:p>
        </w:tc>
        <w:tc>
          <w:tcPr>
            <w:tcW w:w="0" w:type="auto"/>
            <w:tcBorders>
              <w:top w:val="nil"/>
              <w:left w:val="nil"/>
              <w:bottom w:val="single" w:sz="4" w:space="0" w:color="auto"/>
              <w:right w:val="single" w:sz="4" w:space="0" w:color="auto"/>
            </w:tcBorders>
            <w:shd w:val="clear" w:color="auto" w:fill="auto"/>
            <w:vAlign w:val="center"/>
            <w:hideMark/>
          </w:tcPr>
          <w:p w14:paraId="2F2E02BE" w14:textId="77777777" w:rsidR="00FC34B9" w:rsidRDefault="00FC34B9">
            <w:pPr>
              <w:rPr>
                <w:rFonts w:ascii="Arial" w:hAnsi="Arial" w:cs="Arial"/>
                <w:sz w:val="20"/>
                <w:szCs w:val="20"/>
              </w:rPr>
            </w:pPr>
            <w:r>
              <w:rPr>
                <w:rFonts w:ascii="Arial" w:hAnsi="Arial" w:cs="Arial"/>
                <w:sz w:val="20"/>
                <w:szCs w:val="20"/>
              </w:rPr>
              <w:t>Transmission Charges</w:t>
            </w:r>
          </w:p>
        </w:tc>
        <w:tc>
          <w:tcPr>
            <w:tcW w:w="0" w:type="auto"/>
            <w:tcBorders>
              <w:top w:val="nil"/>
              <w:left w:val="nil"/>
              <w:bottom w:val="single" w:sz="4" w:space="0" w:color="auto"/>
              <w:right w:val="single" w:sz="4" w:space="0" w:color="auto"/>
            </w:tcBorders>
            <w:shd w:val="clear" w:color="auto" w:fill="auto"/>
            <w:noWrap/>
            <w:vAlign w:val="bottom"/>
            <w:hideMark/>
          </w:tcPr>
          <w:p w14:paraId="132BF6C3" w14:textId="77777777" w:rsidR="00FC34B9" w:rsidRDefault="00FC34B9" w:rsidP="00FC34B9">
            <w:pPr>
              <w:jc w:val="center"/>
              <w:rPr>
                <w:rFonts w:ascii="Arial" w:hAnsi="Arial" w:cs="Arial"/>
                <w:sz w:val="20"/>
                <w:szCs w:val="20"/>
              </w:rPr>
            </w:pPr>
            <w:r>
              <w:rPr>
                <w:rFonts w:ascii="Arial" w:hAnsi="Arial" w:cs="Arial"/>
                <w:sz w:val="20"/>
                <w:szCs w:val="20"/>
              </w:rPr>
              <w:t>20925.06</w:t>
            </w:r>
          </w:p>
        </w:tc>
        <w:tc>
          <w:tcPr>
            <w:tcW w:w="0" w:type="auto"/>
            <w:tcBorders>
              <w:top w:val="nil"/>
              <w:left w:val="nil"/>
              <w:bottom w:val="single" w:sz="4" w:space="0" w:color="auto"/>
              <w:right w:val="single" w:sz="4" w:space="0" w:color="auto"/>
            </w:tcBorders>
            <w:shd w:val="clear" w:color="auto" w:fill="auto"/>
            <w:vAlign w:val="bottom"/>
            <w:hideMark/>
          </w:tcPr>
          <w:p w14:paraId="18A6521C" w14:textId="77777777" w:rsidR="00FC34B9" w:rsidRDefault="00FC34B9" w:rsidP="00AA2867">
            <w:pPr>
              <w:spacing w:line="360" w:lineRule="auto"/>
              <w:jc w:val="center"/>
              <w:rPr>
                <w:rFonts w:ascii="Arial" w:hAnsi="Arial" w:cs="Arial"/>
                <w:sz w:val="20"/>
                <w:szCs w:val="20"/>
              </w:rPr>
            </w:pPr>
            <w:r>
              <w:rPr>
                <w:rFonts w:ascii="Arial" w:hAnsi="Arial" w:cs="Arial"/>
                <w:sz w:val="20"/>
                <w:szCs w:val="20"/>
              </w:rPr>
              <w:t>0%</w:t>
            </w:r>
          </w:p>
        </w:tc>
        <w:tc>
          <w:tcPr>
            <w:tcW w:w="0" w:type="auto"/>
            <w:tcBorders>
              <w:top w:val="nil"/>
              <w:left w:val="nil"/>
              <w:bottom w:val="single" w:sz="4" w:space="0" w:color="auto"/>
              <w:right w:val="single" w:sz="4" w:space="0" w:color="auto"/>
            </w:tcBorders>
            <w:shd w:val="clear" w:color="auto" w:fill="auto"/>
            <w:vAlign w:val="bottom"/>
            <w:hideMark/>
          </w:tcPr>
          <w:p w14:paraId="3FA8C9A6" w14:textId="77777777" w:rsidR="00FC34B9" w:rsidRDefault="00FC34B9" w:rsidP="00AA2867">
            <w:pPr>
              <w:spacing w:line="360" w:lineRule="auto"/>
              <w:jc w:val="center"/>
              <w:rPr>
                <w:rFonts w:ascii="Arial" w:hAnsi="Arial" w:cs="Arial"/>
                <w:sz w:val="20"/>
                <w:szCs w:val="20"/>
              </w:rPr>
            </w:pPr>
            <w:r>
              <w:rPr>
                <w:rFonts w:ascii="Arial" w:hAnsi="Arial" w:cs="Arial"/>
                <w:sz w:val="20"/>
                <w:szCs w:val="20"/>
              </w:rPr>
              <w:t>100%</w:t>
            </w:r>
          </w:p>
        </w:tc>
        <w:tc>
          <w:tcPr>
            <w:tcW w:w="0" w:type="auto"/>
            <w:tcBorders>
              <w:top w:val="nil"/>
              <w:left w:val="nil"/>
              <w:bottom w:val="single" w:sz="4" w:space="0" w:color="auto"/>
              <w:right w:val="single" w:sz="4" w:space="0" w:color="auto"/>
            </w:tcBorders>
            <w:shd w:val="clear" w:color="auto" w:fill="auto"/>
            <w:vAlign w:val="bottom"/>
            <w:hideMark/>
          </w:tcPr>
          <w:p w14:paraId="494CB81A" w14:textId="77777777" w:rsidR="00FC34B9" w:rsidRDefault="00FC34B9" w:rsidP="00AA2867">
            <w:pPr>
              <w:spacing w:line="360" w:lineRule="auto"/>
              <w:jc w:val="center"/>
              <w:rPr>
                <w:rFonts w:ascii="Arial" w:hAnsi="Arial" w:cs="Arial"/>
                <w:sz w:val="20"/>
                <w:szCs w:val="20"/>
              </w:rPr>
            </w:pPr>
            <w:r>
              <w:rPr>
                <w:rFonts w:ascii="Arial" w:hAnsi="Arial" w:cs="Arial"/>
                <w:sz w:val="20"/>
                <w:szCs w:val="20"/>
              </w:rPr>
              <w:t>0.00</w:t>
            </w:r>
          </w:p>
        </w:tc>
        <w:tc>
          <w:tcPr>
            <w:tcW w:w="0" w:type="auto"/>
            <w:tcBorders>
              <w:top w:val="nil"/>
              <w:left w:val="nil"/>
              <w:bottom w:val="single" w:sz="4" w:space="0" w:color="auto"/>
              <w:right w:val="single" w:sz="4" w:space="0" w:color="auto"/>
            </w:tcBorders>
            <w:shd w:val="clear" w:color="auto" w:fill="auto"/>
            <w:vAlign w:val="bottom"/>
            <w:hideMark/>
          </w:tcPr>
          <w:p w14:paraId="1F3F8C46" w14:textId="77777777" w:rsidR="00FC34B9" w:rsidRDefault="00FC34B9" w:rsidP="00AA2867">
            <w:pPr>
              <w:spacing w:line="360" w:lineRule="auto"/>
              <w:jc w:val="center"/>
              <w:rPr>
                <w:rFonts w:ascii="Arial" w:hAnsi="Arial" w:cs="Arial"/>
                <w:sz w:val="20"/>
                <w:szCs w:val="20"/>
              </w:rPr>
            </w:pPr>
            <w:r>
              <w:rPr>
                <w:rFonts w:ascii="Arial" w:hAnsi="Arial" w:cs="Arial"/>
                <w:sz w:val="20"/>
                <w:szCs w:val="20"/>
              </w:rPr>
              <w:t>20925.06</w:t>
            </w:r>
          </w:p>
        </w:tc>
      </w:tr>
      <w:tr w:rsidR="00FC34B9" w14:paraId="52AE014E" w14:textId="77777777" w:rsidTr="00FC34B9">
        <w:trPr>
          <w:trHeight w:val="174"/>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B7B6C43" w14:textId="77777777" w:rsidR="00FC34B9" w:rsidRDefault="00FC34B9">
            <w:pPr>
              <w:jc w:val="center"/>
              <w:rPr>
                <w:rFonts w:ascii="Arial" w:hAnsi="Arial" w:cs="Arial"/>
                <w:sz w:val="20"/>
                <w:szCs w:val="20"/>
              </w:rPr>
            </w:pPr>
            <w:r>
              <w:rPr>
                <w:rFonts w:ascii="Arial" w:hAnsi="Arial" w:cs="Arial"/>
                <w:sz w:val="20"/>
                <w:szCs w:val="20"/>
              </w:rPr>
              <w:t>3</w:t>
            </w:r>
          </w:p>
        </w:tc>
        <w:tc>
          <w:tcPr>
            <w:tcW w:w="0" w:type="auto"/>
            <w:tcBorders>
              <w:top w:val="nil"/>
              <w:left w:val="nil"/>
              <w:bottom w:val="single" w:sz="4" w:space="0" w:color="auto"/>
              <w:right w:val="single" w:sz="4" w:space="0" w:color="auto"/>
            </w:tcBorders>
            <w:shd w:val="clear" w:color="auto" w:fill="auto"/>
            <w:vAlign w:val="center"/>
            <w:hideMark/>
          </w:tcPr>
          <w:p w14:paraId="58F52A38" w14:textId="77777777" w:rsidR="00FC34B9" w:rsidRDefault="00FC34B9">
            <w:pPr>
              <w:rPr>
                <w:rFonts w:ascii="Arial" w:hAnsi="Arial" w:cs="Arial"/>
                <w:sz w:val="20"/>
                <w:szCs w:val="20"/>
              </w:rPr>
            </w:pPr>
            <w:r>
              <w:rPr>
                <w:rFonts w:ascii="Arial" w:hAnsi="Arial" w:cs="Arial"/>
                <w:sz w:val="20"/>
                <w:szCs w:val="20"/>
              </w:rPr>
              <w:t>SLDC Charges</w:t>
            </w:r>
          </w:p>
        </w:tc>
        <w:tc>
          <w:tcPr>
            <w:tcW w:w="0" w:type="auto"/>
            <w:tcBorders>
              <w:top w:val="nil"/>
              <w:left w:val="nil"/>
              <w:bottom w:val="single" w:sz="4" w:space="0" w:color="auto"/>
              <w:right w:val="single" w:sz="4" w:space="0" w:color="auto"/>
            </w:tcBorders>
            <w:shd w:val="clear" w:color="auto" w:fill="auto"/>
            <w:noWrap/>
            <w:vAlign w:val="bottom"/>
            <w:hideMark/>
          </w:tcPr>
          <w:p w14:paraId="5061850D" w14:textId="77777777" w:rsidR="00FC34B9" w:rsidRDefault="00FC34B9" w:rsidP="00FC34B9">
            <w:pPr>
              <w:jc w:val="center"/>
              <w:rPr>
                <w:rFonts w:ascii="Arial" w:hAnsi="Arial" w:cs="Arial"/>
                <w:sz w:val="20"/>
                <w:szCs w:val="20"/>
              </w:rPr>
            </w:pPr>
            <w:r>
              <w:rPr>
                <w:rFonts w:ascii="Arial" w:hAnsi="Arial" w:cs="Arial"/>
                <w:sz w:val="20"/>
                <w:szCs w:val="20"/>
              </w:rPr>
              <w:t>160.00</w:t>
            </w:r>
          </w:p>
        </w:tc>
        <w:tc>
          <w:tcPr>
            <w:tcW w:w="0" w:type="auto"/>
            <w:tcBorders>
              <w:top w:val="nil"/>
              <w:left w:val="nil"/>
              <w:bottom w:val="single" w:sz="4" w:space="0" w:color="auto"/>
              <w:right w:val="single" w:sz="4" w:space="0" w:color="auto"/>
            </w:tcBorders>
            <w:shd w:val="clear" w:color="auto" w:fill="auto"/>
            <w:vAlign w:val="bottom"/>
            <w:hideMark/>
          </w:tcPr>
          <w:p w14:paraId="483A3457" w14:textId="77777777" w:rsidR="00FC34B9" w:rsidRDefault="00FC34B9" w:rsidP="00AA2867">
            <w:pPr>
              <w:spacing w:line="360" w:lineRule="auto"/>
              <w:jc w:val="center"/>
              <w:rPr>
                <w:rFonts w:ascii="Arial" w:hAnsi="Arial" w:cs="Arial"/>
                <w:sz w:val="20"/>
                <w:szCs w:val="20"/>
              </w:rPr>
            </w:pPr>
            <w:r>
              <w:rPr>
                <w:rFonts w:ascii="Arial" w:hAnsi="Arial" w:cs="Arial"/>
                <w:sz w:val="20"/>
                <w:szCs w:val="20"/>
              </w:rPr>
              <w:t>0%</w:t>
            </w:r>
          </w:p>
        </w:tc>
        <w:tc>
          <w:tcPr>
            <w:tcW w:w="0" w:type="auto"/>
            <w:tcBorders>
              <w:top w:val="nil"/>
              <w:left w:val="nil"/>
              <w:bottom w:val="single" w:sz="4" w:space="0" w:color="auto"/>
              <w:right w:val="single" w:sz="4" w:space="0" w:color="auto"/>
            </w:tcBorders>
            <w:shd w:val="clear" w:color="auto" w:fill="auto"/>
            <w:vAlign w:val="bottom"/>
            <w:hideMark/>
          </w:tcPr>
          <w:p w14:paraId="7BF6C7AA" w14:textId="77777777" w:rsidR="00FC34B9" w:rsidRDefault="00FC34B9" w:rsidP="00AA2867">
            <w:pPr>
              <w:spacing w:line="360" w:lineRule="auto"/>
              <w:jc w:val="center"/>
              <w:rPr>
                <w:rFonts w:ascii="Arial" w:hAnsi="Arial" w:cs="Arial"/>
                <w:sz w:val="20"/>
                <w:szCs w:val="20"/>
              </w:rPr>
            </w:pPr>
            <w:r>
              <w:rPr>
                <w:rFonts w:ascii="Arial" w:hAnsi="Arial" w:cs="Arial"/>
                <w:sz w:val="20"/>
                <w:szCs w:val="20"/>
              </w:rPr>
              <w:t>100%</w:t>
            </w:r>
          </w:p>
        </w:tc>
        <w:tc>
          <w:tcPr>
            <w:tcW w:w="0" w:type="auto"/>
            <w:tcBorders>
              <w:top w:val="nil"/>
              <w:left w:val="nil"/>
              <w:bottom w:val="single" w:sz="4" w:space="0" w:color="auto"/>
              <w:right w:val="single" w:sz="4" w:space="0" w:color="auto"/>
            </w:tcBorders>
            <w:shd w:val="clear" w:color="auto" w:fill="auto"/>
            <w:vAlign w:val="bottom"/>
            <w:hideMark/>
          </w:tcPr>
          <w:p w14:paraId="4556D1B3" w14:textId="77777777" w:rsidR="00FC34B9" w:rsidRDefault="00FC34B9" w:rsidP="00AA2867">
            <w:pPr>
              <w:spacing w:line="360" w:lineRule="auto"/>
              <w:jc w:val="center"/>
              <w:rPr>
                <w:rFonts w:ascii="Arial" w:hAnsi="Arial" w:cs="Arial"/>
                <w:sz w:val="20"/>
                <w:szCs w:val="20"/>
              </w:rPr>
            </w:pPr>
            <w:r>
              <w:rPr>
                <w:rFonts w:ascii="Arial" w:hAnsi="Arial" w:cs="Arial"/>
                <w:sz w:val="20"/>
                <w:szCs w:val="20"/>
              </w:rPr>
              <w:t>0.00</w:t>
            </w:r>
          </w:p>
        </w:tc>
        <w:tc>
          <w:tcPr>
            <w:tcW w:w="0" w:type="auto"/>
            <w:tcBorders>
              <w:top w:val="nil"/>
              <w:left w:val="nil"/>
              <w:bottom w:val="single" w:sz="4" w:space="0" w:color="auto"/>
              <w:right w:val="single" w:sz="4" w:space="0" w:color="auto"/>
            </w:tcBorders>
            <w:shd w:val="clear" w:color="auto" w:fill="auto"/>
            <w:vAlign w:val="bottom"/>
            <w:hideMark/>
          </w:tcPr>
          <w:p w14:paraId="2EB78D21" w14:textId="77777777" w:rsidR="00FC34B9" w:rsidRDefault="00FC34B9" w:rsidP="00AA2867">
            <w:pPr>
              <w:spacing w:line="360" w:lineRule="auto"/>
              <w:jc w:val="center"/>
              <w:rPr>
                <w:rFonts w:ascii="Arial" w:hAnsi="Arial" w:cs="Arial"/>
                <w:sz w:val="20"/>
                <w:szCs w:val="20"/>
              </w:rPr>
            </w:pPr>
            <w:r>
              <w:rPr>
                <w:rFonts w:ascii="Arial" w:hAnsi="Arial" w:cs="Arial"/>
                <w:sz w:val="20"/>
                <w:szCs w:val="20"/>
              </w:rPr>
              <w:t>160.00</w:t>
            </w:r>
          </w:p>
        </w:tc>
      </w:tr>
      <w:tr w:rsidR="00FC34B9" w14:paraId="33010312" w14:textId="77777777" w:rsidTr="00FC34B9">
        <w:trPr>
          <w:trHeight w:val="174"/>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874F0C3" w14:textId="77777777" w:rsidR="00FC34B9" w:rsidRDefault="00FC34B9">
            <w:pPr>
              <w:jc w:val="center"/>
              <w:rPr>
                <w:rFonts w:ascii="Arial" w:hAnsi="Arial" w:cs="Arial"/>
                <w:sz w:val="20"/>
                <w:szCs w:val="20"/>
              </w:rPr>
            </w:pPr>
            <w:r>
              <w:rPr>
                <w:rFonts w:ascii="Arial" w:hAnsi="Arial" w:cs="Arial"/>
                <w:sz w:val="20"/>
                <w:szCs w:val="20"/>
              </w:rPr>
              <w:t> </w:t>
            </w:r>
          </w:p>
        </w:tc>
        <w:tc>
          <w:tcPr>
            <w:tcW w:w="0" w:type="auto"/>
            <w:tcBorders>
              <w:top w:val="nil"/>
              <w:left w:val="nil"/>
              <w:bottom w:val="single" w:sz="4" w:space="0" w:color="auto"/>
              <w:right w:val="single" w:sz="4" w:space="0" w:color="auto"/>
            </w:tcBorders>
            <w:shd w:val="clear" w:color="auto" w:fill="auto"/>
            <w:vAlign w:val="center"/>
            <w:hideMark/>
          </w:tcPr>
          <w:p w14:paraId="39456A77" w14:textId="77777777" w:rsidR="00FC34B9" w:rsidRDefault="00FC34B9">
            <w:pPr>
              <w:rPr>
                <w:rFonts w:ascii="Arial" w:hAnsi="Arial" w:cs="Arial"/>
                <w:b/>
                <w:bCs/>
                <w:sz w:val="20"/>
                <w:szCs w:val="20"/>
              </w:rPr>
            </w:pPr>
            <w:r>
              <w:rPr>
                <w:rFonts w:ascii="Arial" w:hAnsi="Arial" w:cs="Arial"/>
                <w:b/>
                <w:bCs/>
                <w:sz w:val="20"/>
                <w:szCs w:val="20"/>
              </w:rPr>
              <w:t>Total power purchase cost *</w:t>
            </w:r>
          </w:p>
        </w:tc>
        <w:tc>
          <w:tcPr>
            <w:tcW w:w="0" w:type="auto"/>
            <w:tcBorders>
              <w:top w:val="nil"/>
              <w:left w:val="nil"/>
              <w:bottom w:val="single" w:sz="4" w:space="0" w:color="auto"/>
              <w:right w:val="single" w:sz="4" w:space="0" w:color="auto"/>
            </w:tcBorders>
            <w:shd w:val="clear" w:color="auto" w:fill="auto"/>
            <w:noWrap/>
            <w:vAlign w:val="bottom"/>
            <w:hideMark/>
          </w:tcPr>
          <w:p w14:paraId="37123A5D" w14:textId="77777777" w:rsidR="00FC34B9" w:rsidRDefault="00FC34B9" w:rsidP="00AA2867">
            <w:pPr>
              <w:spacing w:line="360" w:lineRule="auto"/>
              <w:rPr>
                <w:rFonts w:ascii="Arial" w:hAnsi="Arial" w:cs="Arial"/>
                <w:sz w:val="20"/>
                <w:szCs w:val="20"/>
              </w:rPr>
            </w:pPr>
            <w:r>
              <w:rPr>
                <w:rFonts w:ascii="Arial" w:hAnsi="Arial" w:cs="Arial"/>
                <w:sz w:val="20"/>
                <w:szCs w:val="20"/>
              </w:rPr>
              <w:t>326242.22</w:t>
            </w:r>
          </w:p>
        </w:tc>
        <w:tc>
          <w:tcPr>
            <w:tcW w:w="0" w:type="auto"/>
            <w:tcBorders>
              <w:top w:val="nil"/>
              <w:left w:val="nil"/>
              <w:bottom w:val="single" w:sz="4" w:space="0" w:color="auto"/>
              <w:right w:val="single" w:sz="4" w:space="0" w:color="auto"/>
            </w:tcBorders>
            <w:shd w:val="clear" w:color="auto" w:fill="auto"/>
            <w:vAlign w:val="center"/>
            <w:hideMark/>
          </w:tcPr>
          <w:p w14:paraId="5155C12C" w14:textId="2E2979A8" w:rsidR="00FC34B9" w:rsidRDefault="00AA2867" w:rsidP="00AA2867">
            <w:pPr>
              <w:spacing w:line="360" w:lineRule="auto"/>
              <w:jc w:val="center"/>
              <w:rPr>
                <w:rFonts w:ascii="Arial" w:hAnsi="Arial" w:cs="Arial"/>
                <w:sz w:val="20"/>
                <w:szCs w:val="20"/>
              </w:rPr>
            </w:pPr>
            <w:r>
              <w:rPr>
                <w:rFonts w:ascii="Arial" w:hAnsi="Arial" w:cs="Arial"/>
                <w:sz w:val="20"/>
                <w:szCs w:val="20"/>
              </w:rPr>
              <w:t>-</w:t>
            </w:r>
          </w:p>
        </w:tc>
        <w:tc>
          <w:tcPr>
            <w:tcW w:w="0" w:type="auto"/>
            <w:tcBorders>
              <w:top w:val="nil"/>
              <w:left w:val="nil"/>
              <w:bottom w:val="single" w:sz="4" w:space="0" w:color="auto"/>
              <w:right w:val="single" w:sz="4" w:space="0" w:color="auto"/>
            </w:tcBorders>
            <w:shd w:val="clear" w:color="auto" w:fill="auto"/>
            <w:vAlign w:val="center"/>
            <w:hideMark/>
          </w:tcPr>
          <w:p w14:paraId="61E0A872" w14:textId="082CF9B3" w:rsidR="00FC34B9" w:rsidRDefault="00AA2867" w:rsidP="00AA2867">
            <w:pPr>
              <w:spacing w:line="360" w:lineRule="auto"/>
              <w:jc w:val="center"/>
              <w:rPr>
                <w:rFonts w:ascii="Arial" w:hAnsi="Arial" w:cs="Arial"/>
                <w:sz w:val="20"/>
                <w:szCs w:val="20"/>
              </w:rPr>
            </w:pPr>
            <w:r>
              <w:rPr>
                <w:rFonts w:ascii="Arial" w:hAnsi="Arial" w:cs="Arial"/>
                <w:sz w:val="20"/>
                <w:szCs w:val="20"/>
              </w:rPr>
              <w:t>-</w:t>
            </w:r>
          </w:p>
        </w:tc>
        <w:tc>
          <w:tcPr>
            <w:tcW w:w="0" w:type="auto"/>
            <w:tcBorders>
              <w:top w:val="nil"/>
              <w:left w:val="nil"/>
              <w:bottom w:val="single" w:sz="4" w:space="0" w:color="auto"/>
              <w:right w:val="single" w:sz="4" w:space="0" w:color="auto"/>
            </w:tcBorders>
            <w:shd w:val="clear" w:color="auto" w:fill="auto"/>
            <w:vAlign w:val="center"/>
            <w:hideMark/>
          </w:tcPr>
          <w:p w14:paraId="02AB1A19" w14:textId="77777777" w:rsidR="00FC34B9" w:rsidRDefault="00FC34B9" w:rsidP="00AA2867">
            <w:pPr>
              <w:spacing w:line="360" w:lineRule="auto"/>
              <w:jc w:val="center"/>
              <w:rPr>
                <w:rFonts w:ascii="Arial" w:hAnsi="Arial" w:cs="Arial"/>
                <w:b/>
                <w:bCs/>
                <w:sz w:val="20"/>
                <w:szCs w:val="20"/>
              </w:rPr>
            </w:pPr>
            <w:r>
              <w:rPr>
                <w:rFonts w:ascii="Arial" w:hAnsi="Arial" w:cs="Arial"/>
                <w:b/>
                <w:bCs/>
                <w:sz w:val="20"/>
                <w:szCs w:val="20"/>
              </w:rPr>
              <w:t>0.00</w:t>
            </w:r>
          </w:p>
        </w:tc>
        <w:tc>
          <w:tcPr>
            <w:tcW w:w="0" w:type="auto"/>
            <w:tcBorders>
              <w:top w:val="nil"/>
              <w:left w:val="nil"/>
              <w:bottom w:val="single" w:sz="4" w:space="0" w:color="auto"/>
              <w:right w:val="single" w:sz="4" w:space="0" w:color="auto"/>
            </w:tcBorders>
            <w:shd w:val="clear" w:color="auto" w:fill="auto"/>
            <w:vAlign w:val="center"/>
            <w:hideMark/>
          </w:tcPr>
          <w:p w14:paraId="7914EE25" w14:textId="77777777" w:rsidR="00FC34B9" w:rsidRDefault="00FC34B9" w:rsidP="00AA2867">
            <w:pPr>
              <w:spacing w:line="360" w:lineRule="auto"/>
              <w:jc w:val="center"/>
              <w:rPr>
                <w:rFonts w:ascii="Arial" w:hAnsi="Arial" w:cs="Arial"/>
                <w:b/>
                <w:bCs/>
                <w:sz w:val="20"/>
                <w:szCs w:val="20"/>
              </w:rPr>
            </w:pPr>
            <w:r>
              <w:rPr>
                <w:rFonts w:ascii="Arial" w:hAnsi="Arial" w:cs="Arial"/>
                <w:b/>
                <w:bCs/>
                <w:sz w:val="20"/>
                <w:szCs w:val="20"/>
              </w:rPr>
              <w:t>326242.22</w:t>
            </w:r>
          </w:p>
        </w:tc>
      </w:tr>
      <w:tr w:rsidR="00FC34B9" w14:paraId="062E1FAC" w14:textId="77777777" w:rsidTr="00FC34B9">
        <w:trPr>
          <w:trHeight w:val="20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8DF9D3C" w14:textId="77777777" w:rsidR="00FC34B9" w:rsidRDefault="00FC34B9">
            <w:pPr>
              <w:jc w:val="center"/>
              <w:rPr>
                <w:rFonts w:ascii="Arial" w:hAnsi="Arial" w:cs="Arial"/>
                <w:sz w:val="20"/>
                <w:szCs w:val="20"/>
              </w:rPr>
            </w:pPr>
            <w:r>
              <w:rPr>
                <w:rFonts w:ascii="Arial" w:hAnsi="Arial" w:cs="Arial"/>
                <w:sz w:val="20"/>
                <w:szCs w:val="20"/>
              </w:rPr>
              <w:t> </w:t>
            </w:r>
          </w:p>
        </w:tc>
        <w:tc>
          <w:tcPr>
            <w:tcW w:w="0" w:type="auto"/>
            <w:tcBorders>
              <w:top w:val="nil"/>
              <w:left w:val="nil"/>
              <w:bottom w:val="single" w:sz="4" w:space="0" w:color="auto"/>
              <w:right w:val="single" w:sz="4" w:space="0" w:color="auto"/>
            </w:tcBorders>
            <w:shd w:val="clear" w:color="auto" w:fill="auto"/>
            <w:vAlign w:val="center"/>
            <w:hideMark/>
          </w:tcPr>
          <w:p w14:paraId="459FDC84" w14:textId="77777777" w:rsidR="00FC34B9" w:rsidRDefault="00FC34B9">
            <w:pPr>
              <w:rPr>
                <w:rFonts w:ascii="Calibri" w:hAnsi="Calibri" w:cs="Arial"/>
                <w:b/>
                <w:bCs/>
                <w:color w:val="000000"/>
                <w:sz w:val="22"/>
                <w:szCs w:val="22"/>
              </w:rPr>
            </w:pPr>
            <w:r>
              <w:rPr>
                <w:rFonts w:ascii="Calibri" w:hAnsi="Calibri" w:cs="Arial"/>
                <w:b/>
                <w:bCs/>
                <w:color w:val="000000"/>
                <w:sz w:val="22"/>
                <w:szCs w:val="22"/>
              </w:rPr>
              <w:t>O&amp;M</w:t>
            </w:r>
          </w:p>
        </w:tc>
        <w:tc>
          <w:tcPr>
            <w:tcW w:w="0" w:type="auto"/>
            <w:tcBorders>
              <w:top w:val="nil"/>
              <w:left w:val="nil"/>
              <w:bottom w:val="single" w:sz="4" w:space="0" w:color="auto"/>
              <w:right w:val="single" w:sz="4" w:space="0" w:color="auto"/>
            </w:tcBorders>
            <w:shd w:val="clear" w:color="auto" w:fill="auto"/>
            <w:noWrap/>
            <w:vAlign w:val="bottom"/>
            <w:hideMark/>
          </w:tcPr>
          <w:p w14:paraId="20DB8600" w14:textId="77777777" w:rsidR="00FC34B9" w:rsidRDefault="00FC34B9" w:rsidP="00FC34B9">
            <w:pPr>
              <w:jc w:val="center"/>
              <w:rPr>
                <w:rFonts w:ascii="Arial" w:hAnsi="Arial" w:cs="Arial"/>
                <w:sz w:val="20"/>
                <w:szCs w:val="20"/>
              </w:rPr>
            </w:pPr>
            <w:r>
              <w:rPr>
                <w:rFonts w:ascii="Arial" w:hAnsi="Arial" w:cs="Arial"/>
                <w:sz w:val="20"/>
                <w:szCs w:val="20"/>
              </w:rPr>
              <w:t>0.00</w:t>
            </w:r>
          </w:p>
        </w:tc>
        <w:tc>
          <w:tcPr>
            <w:tcW w:w="0" w:type="auto"/>
            <w:tcBorders>
              <w:top w:val="nil"/>
              <w:left w:val="nil"/>
              <w:bottom w:val="single" w:sz="4" w:space="0" w:color="auto"/>
              <w:right w:val="single" w:sz="4" w:space="0" w:color="auto"/>
            </w:tcBorders>
            <w:shd w:val="clear" w:color="auto" w:fill="auto"/>
            <w:vAlign w:val="bottom"/>
            <w:hideMark/>
          </w:tcPr>
          <w:p w14:paraId="20B083DF" w14:textId="13B2C4B1" w:rsidR="00FC34B9" w:rsidRDefault="00FC34B9" w:rsidP="00AA2867">
            <w:pPr>
              <w:spacing w:line="360" w:lineRule="auto"/>
              <w:jc w:val="center"/>
              <w:rPr>
                <w:rFonts w:ascii="Arial" w:hAnsi="Arial" w:cs="Arial"/>
                <w:sz w:val="20"/>
                <w:szCs w:val="20"/>
              </w:rPr>
            </w:pPr>
          </w:p>
        </w:tc>
        <w:tc>
          <w:tcPr>
            <w:tcW w:w="0" w:type="auto"/>
            <w:tcBorders>
              <w:top w:val="nil"/>
              <w:left w:val="nil"/>
              <w:bottom w:val="single" w:sz="4" w:space="0" w:color="auto"/>
              <w:right w:val="single" w:sz="4" w:space="0" w:color="auto"/>
            </w:tcBorders>
            <w:shd w:val="clear" w:color="auto" w:fill="auto"/>
            <w:vAlign w:val="bottom"/>
            <w:hideMark/>
          </w:tcPr>
          <w:p w14:paraId="2EBFBBA2" w14:textId="4C307651" w:rsidR="00FC34B9" w:rsidRDefault="00FC34B9" w:rsidP="00AA2867">
            <w:pPr>
              <w:spacing w:line="360" w:lineRule="auto"/>
              <w:jc w:val="center"/>
              <w:rPr>
                <w:rFonts w:ascii="Arial" w:hAnsi="Arial" w:cs="Arial"/>
                <w:sz w:val="20"/>
                <w:szCs w:val="20"/>
              </w:rPr>
            </w:pPr>
          </w:p>
        </w:tc>
        <w:tc>
          <w:tcPr>
            <w:tcW w:w="0" w:type="auto"/>
            <w:tcBorders>
              <w:top w:val="nil"/>
              <w:left w:val="nil"/>
              <w:bottom w:val="single" w:sz="4" w:space="0" w:color="auto"/>
              <w:right w:val="single" w:sz="4" w:space="0" w:color="auto"/>
            </w:tcBorders>
            <w:shd w:val="clear" w:color="auto" w:fill="auto"/>
            <w:vAlign w:val="bottom"/>
            <w:hideMark/>
          </w:tcPr>
          <w:p w14:paraId="0C8E037B" w14:textId="7A37EE38" w:rsidR="00FC34B9" w:rsidRDefault="00FC34B9" w:rsidP="00AA2867">
            <w:pPr>
              <w:spacing w:line="360" w:lineRule="auto"/>
              <w:jc w:val="center"/>
              <w:rPr>
                <w:rFonts w:ascii="Calibri" w:hAnsi="Calibri" w:cs="Arial"/>
                <w:b/>
                <w:bCs/>
                <w:color w:val="000000"/>
                <w:sz w:val="22"/>
                <w:szCs w:val="22"/>
              </w:rPr>
            </w:pPr>
          </w:p>
        </w:tc>
        <w:tc>
          <w:tcPr>
            <w:tcW w:w="0" w:type="auto"/>
            <w:tcBorders>
              <w:top w:val="nil"/>
              <w:left w:val="nil"/>
              <w:bottom w:val="single" w:sz="4" w:space="0" w:color="auto"/>
              <w:right w:val="single" w:sz="4" w:space="0" w:color="auto"/>
            </w:tcBorders>
            <w:shd w:val="clear" w:color="auto" w:fill="auto"/>
            <w:vAlign w:val="bottom"/>
            <w:hideMark/>
          </w:tcPr>
          <w:p w14:paraId="3F28400E" w14:textId="4EBAD0A8" w:rsidR="00FC34B9" w:rsidRDefault="00FC34B9" w:rsidP="00AA2867">
            <w:pPr>
              <w:spacing w:line="360" w:lineRule="auto"/>
              <w:jc w:val="center"/>
              <w:rPr>
                <w:rFonts w:ascii="Calibri" w:hAnsi="Calibri" w:cs="Arial"/>
                <w:b/>
                <w:bCs/>
                <w:color w:val="000000"/>
                <w:sz w:val="22"/>
                <w:szCs w:val="22"/>
              </w:rPr>
            </w:pPr>
          </w:p>
        </w:tc>
      </w:tr>
      <w:tr w:rsidR="00FC34B9" w14:paraId="3E33116F" w14:textId="77777777" w:rsidTr="00FC34B9">
        <w:trPr>
          <w:trHeight w:val="174"/>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281C102" w14:textId="77777777" w:rsidR="00FC34B9" w:rsidRDefault="00FC34B9">
            <w:pPr>
              <w:jc w:val="center"/>
              <w:rPr>
                <w:rFonts w:ascii="Arial" w:hAnsi="Arial" w:cs="Arial"/>
                <w:sz w:val="20"/>
                <w:szCs w:val="20"/>
              </w:rPr>
            </w:pPr>
            <w:r>
              <w:rPr>
                <w:rFonts w:ascii="Arial" w:hAnsi="Arial" w:cs="Arial"/>
                <w:sz w:val="20"/>
                <w:szCs w:val="20"/>
              </w:rPr>
              <w:t>4</w:t>
            </w:r>
          </w:p>
        </w:tc>
        <w:tc>
          <w:tcPr>
            <w:tcW w:w="0" w:type="auto"/>
            <w:tcBorders>
              <w:top w:val="nil"/>
              <w:left w:val="nil"/>
              <w:bottom w:val="single" w:sz="4" w:space="0" w:color="auto"/>
              <w:right w:val="single" w:sz="4" w:space="0" w:color="auto"/>
            </w:tcBorders>
            <w:shd w:val="clear" w:color="auto" w:fill="auto"/>
            <w:vAlign w:val="center"/>
            <w:hideMark/>
          </w:tcPr>
          <w:p w14:paraId="36D6340E" w14:textId="77777777" w:rsidR="00FC34B9" w:rsidRDefault="00FC34B9">
            <w:pPr>
              <w:rPr>
                <w:rFonts w:ascii="Arial" w:hAnsi="Arial" w:cs="Arial"/>
                <w:sz w:val="20"/>
                <w:szCs w:val="20"/>
              </w:rPr>
            </w:pPr>
            <w:r>
              <w:rPr>
                <w:rFonts w:ascii="Arial" w:hAnsi="Arial" w:cs="Arial"/>
                <w:sz w:val="20"/>
                <w:szCs w:val="20"/>
              </w:rPr>
              <w:t>Employee Cost</w:t>
            </w:r>
          </w:p>
        </w:tc>
        <w:tc>
          <w:tcPr>
            <w:tcW w:w="0" w:type="auto"/>
            <w:tcBorders>
              <w:top w:val="nil"/>
              <w:left w:val="nil"/>
              <w:bottom w:val="single" w:sz="4" w:space="0" w:color="auto"/>
              <w:right w:val="single" w:sz="4" w:space="0" w:color="auto"/>
            </w:tcBorders>
            <w:shd w:val="clear" w:color="auto" w:fill="auto"/>
            <w:noWrap/>
            <w:vAlign w:val="bottom"/>
            <w:hideMark/>
          </w:tcPr>
          <w:p w14:paraId="5297DE1E" w14:textId="77777777" w:rsidR="00FC34B9" w:rsidRDefault="00FC34B9" w:rsidP="00FC34B9">
            <w:pPr>
              <w:jc w:val="center"/>
              <w:rPr>
                <w:rFonts w:ascii="Arial" w:hAnsi="Arial" w:cs="Arial"/>
                <w:sz w:val="20"/>
                <w:szCs w:val="20"/>
              </w:rPr>
            </w:pPr>
            <w:r>
              <w:rPr>
                <w:rFonts w:ascii="Arial" w:hAnsi="Arial" w:cs="Arial"/>
                <w:sz w:val="20"/>
                <w:szCs w:val="20"/>
              </w:rPr>
              <w:t>54318.40</w:t>
            </w:r>
          </w:p>
        </w:tc>
        <w:tc>
          <w:tcPr>
            <w:tcW w:w="0" w:type="auto"/>
            <w:tcBorders>
              <w:top w:val="nil"/>
              <w:left w:val="nil"/>
              <w:bottom w:val="single" w:sz="4" w:space="0" w:color="auto"/>
              <w:right w:val="single" w:sz="4" w:space="0" w:color="auto"/>
            </w:tcBorders>
            <w:shd w:val="clear" w:color="auto" w:fill="auto"/>
            <w:vAlign w:val="bottom"/>
            <w:hideMark/>
          </w:tcPr>
          <w:p w14:paraId="2731075B" w14:textId="77777777" w:rsidR="00FC34B9" w:rsidRDefault="00FC34B9" w:rsidP="00AA2867">
            <w:pPr>
              <w:spacing w:line="360" w:lineRule="auto"/>
              <w:jc w:val="center"/>
              <w:rPr>
                <w:rFonts w:ascii="Arial" w:hAnsi="Arial" w:cs="Arial"/>
                <w:sz w:val="20"/>
                <w:szCs w:val="20"/>
              </w:rPr>
            </w:pPr>
            <w:r>
              <w:rPr>
                <w:rFonts w:ascii="Arial" w:hAnsi="Arial" w:cs="Arial"/>
                <w:sz w:val="20"/>
                <w:szCs w:val="20"/>
              </w:rPr>
              <w:t>60%</w:t>
            </w:r>
          </w:p>
        </w:tc>
        <w:tc>
          <w:tcPr>
            <w:tcW w:w="0" w:type="auto"/>
            <w:tcBorders>
              <w:top w:val="nil"/>
              <w:left w:val="nil"/>
              <w:bottom w:val="single" w:sz="4" w:space="0" w:color="auto"/>
              <w:right w:val="single" w:sz="4" w:space="0" w:color="auto"/>
            </w:tcBorders>
            <w:shd w:val="clear" w:color="auto" w:fill="auto"/>
            <w:vAlign w:val="bottom"/>
            <w:hideMark/>
          </w:tcPr>
          <w:p w14:paraId="1EF3FB76" w14:textId="77777777" w:rsidR="00FC34B9" w:rsidRDefault="00FC34B9" w:rsidP="00AA2867">
            <w:pPr>
              <w:spacing w:line="360" w:lineRule="auto"/>
              <w:jc w:val="center"/>
              <w:rPr>
                <w:rFonts w:ascii="Arial" w:hAnsi="Arial" w:cs="Arial"/>
                <w:sz w:val="20"/>
                <w:szCs w:val="20"/>
              </w:rPr>
            </w:pPr>
            <w:r>
              <w:rPr>
                <w:rFonts w:ascii="Arial" w:hAnsi="Arial" w:cs="Arial"/>
                <w:sz w:val="20"/>
                <w:szCs w:val="20"/>
              </w:rPr>
              <w:t>40%</w:t>
            </w:r>
          </w:p>
        </w:tc>
        <w:tc>
          <w:tcPr>
            <w:tcW w:w="0" w:type="auto"/>
            <w:tcBorders>
              <w:top w:val="nil"/>
              <w:left w:val="nil"/>
              <w:bottom w:val="single" w:sz="4" w:space="0" w:color="auto"/>
              <w:right w:val="single" w:sz="4" w:space="0" w:color="auto"/>
            </w:tcBorders>
            <w:shd w:val="clear" w:color="auto" w:fill="auto"/>
            <w:vAlign w:val="bottom"/>
            <w:hideMark/>
          </w:tcPr>
          <w:p w14:paraId="1102A9B3" w14:textId="77777777" w:rsidR="00FC34B9" w:rsidRDefault="00FC34B9" w:rsidP="00AA2867">
            <w:pPr>
              <w:spacing w:line="360" w:lineRule="auto"/>
              <w:jc w:val="center"/>
              <w:rPr>
                <w:rFonts w:ascii="Arial" w:hAnsi="Arial" w:cs="Arial"/>
                <w:sz w:val="20"/>
                <w:szCs w:val="20"/>
              </w:rPr>
            </w:pPr>
            <w:r>
              <w:rPr>
                <w:rFonts w:ascii="Arial" w:hAnsi="Arial" w:cs="Arial"/>
                <w:sz w:val="20"/>
                <w:szCs w:val="20"/>
              </w:rPr>
              <w:t>32591.04</w:t>
            </w:r>
          </w:p>
        </w:tc>
        <w:tc>
          <w:tcPr>
            <w:tcW w:w="0" w:type="auto"/>
            <w:tcBorders>
              <w:top w:val="nil"/>
              <w:left w:val="nil"/>
              <w:bottom w:val="single" w:sz="4" w:space="0" w:color="auto"/>
              <w:right w:val="single" w:sz="4" w:space="0" w:color="auto"/>
            </w:tcBorders>
            <w:shd w:val="clear" w:color="auto" w:fill="auto"/>
            <w:vAlign w:val="bottom"/>
            <w:hideMark/>
          </w:tcPr>
          <w:p w14:paraId="2E34E49C" w14:textId="77777777" w:rsidR="00FC34B9" w:rsidRDefault="00FC34B9" w:rsidP="00AA2867">
            <w:pPr>
              <w:spacing w:line="360" w:lineRule="auto"/>
              <w:jc w:val="center"/>
              <w:rPr>
                <w:rFonts w:ascii="Arial" w:hAnsi="Arial" w:cs="Arial"/>
                <w:sz w:val="20"/>
                <w:szCs w:val="20"/>
              </w:rPr>
            </w:pPr>
            <w:r>
              <w:rPr>
                <w:rFonts w:ascii="Arial" w:hAnsi="Arial" w:cs="Arial"/>
                <w:sz w:val="20"/>
                <w:szCs w:val="20"/>
              </w:rPr>
              <w:t>21727.36</w:t>
            </w:r>
          </w:p>
        </w:tc>
      </w:tr>
      <w:tr w:rsidR="00FC34B9" w14:paraId="3F176EED" w14:textId="77777777" w:rsidTr="00FC34B9">
        <w:trPr>
          <w:trHeight w:val="174"/>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830A438" w14:textId="77777777" w:rsidR="00FC34B9" w:rsidRDefault="00FC34B9">
            <w:pPr>
              <w:jc w:val="center"/>
              <w:rPr>
                <w:rFonts w:ascii="Arial" w:hAnsi="Arial" w:cs="Arial"/>
                <w:sz w:val="20"/>
                <w:szCs w:val="20"/>
              </w:rPr>
            </w:pPr>
            <w:r>
              <w:rPr>
                <w:rFonts w:ascii="Arial" w:hAnsi="Arial" w:cs="Arial"/>
                <w:sz w:val="20"/>
                <w:szCs w:val="20"/>
              </w:rPr>
              <w:t>5</w:t>
            </w:r>
          </w:p>
        </w:tc>
        <w:tc>
          <w:tcPr>
            <w:tcW w:w="0" w:type="auto"/>
            <w:tcBorders>
              <w:top w:val="nil"/>
              <w:left w:val="nil"/>
              <w:bottom w:val="single" w:sz="4" w:space="0" w:color="auto"/>
              <w:right w:val="single" w:sz="4" w:space="0" w:color="auto"/>
            </w:tcBorders>
            <w:shd w:val="clear" w:color="auto" w:fill="auto"/>
            <w:vAlign w:val="center"/>
            <w:hideMark/>
          </w:tcPr>
          <w:p w14:paraId="0D18CA78" w14:textId="77777777" w:rsidR="00FC34B9" w:rsidRDefault="00FC34B9">
            <w:pPr>
              <w:rPr>
                <w:rFonts w:ascii="Arial" w:hAnsi="Arial" w:cs="Arial"/>
                <w:sz w:val="20"/>
                <w:szCs w:val="20"/>
              </w:rPr>
            </w:pPr>
            <w:r>
              <w:rPr>
                <w:rFonts w:ascii="Arial" w:hAnsi="Arial" w:cs="Arial"/>
                <w:sz w:val="20"/>
                <w:szCs w:val="20"/>
              </w:rPr>
              <w:t>Repair &amp; Maintenance Cost</w:t>
            </w:r>
          </w:p>
        </w:tc>
        <w:tc>
          <w:tcPr>
            <w:tcW w:w="0" w:type="auto"/>
            <w:tcBorders>
              <w:top w:val="nil"/>
              <w:left w:val="nil"/>
              <w:bottom w:val="single" w:sz="4" w:space="0" w:color="auto"/>
              <w:right w:val="single" w:sz="4" w:space="0" w:color="auto"/>
            </w:tcBorders>
            <w:shd w:val="clear" w:color="auto" w:fill="auto"/>
            <w:noWrap/>
            <w:vAlign w:val="bottom"/>
            <w:hideMark/>
          </w:tcPr>
          <w:p w14:paraId="0B1C1412" w14:textId="77777777" w:rsidR="00FC34B9" w:rsidRDefault="00FC34B9" w:rsidP="00FC34B9">
            <w:pPr>
              <w:jc w:val="center"/>
              <w:rPr>
                <w:rFonts w:ascii="Arial" w:hAnsi="Arial" w:cs="Arial"/>
                <w:sz w:val="20"/>
                <w:szCs w:val="20"/>
              </w:rPr>
            </w:pPr>
            <w:r>
              <w:rPr>
                <w:rFonts w:ascii="Arial" w:hAnsi="Arial" w:cs="Arial"/>
                <w:sz w:val="20"/>
                <w:szCs w:val="20"/>
              </w:rPr>
              <w:t>28869.85</w:t>
            </w:r>
          </w:p>
        </w:tc>
        <w:tc>
          <w:tcPr>
            <w:tcW w:w="0" w:type="auto"/>
            <w:tcBorders>
              <w:top w:val="nil"/>
              <w:left w:val="nil"/>
              <w:bottom w:val="single" w:sz="4" w:space="0" w:color="auto"/>
              <w:right w:val="single" w:sz="4" w:space="0" w:color="auto"/>
            </w:tcBorders>
            <w:shd w:val="clear" w:color="auto" w:fill="auto"/>
            <w:vAlign w:val="bottom"/>
            <w:hideMark/>
          </w:tcPr>
          <w:p w14:paraId="4F3AAC0A" w14:textId="77777777" w:rsidR="00FC34B9" w:rsidRDefault="00FC34B9" w:rsidP="00AA2867">
            <w:pPr>
              <w:spacing w:line="360" w:lineRule="auto"/>
              <w:jc w:val="center"/>
              <w:rPr>
                <w:rFonts w:ascii="Arial" w:hAnsi="Arial" w:cs="Arial"/>
                <w:sz w:val="20"/>
                <w:szCs w:val="20"/>
              </w:rPr>
            </w:pPr>
            <w:r>
              <w:rPr>
                <w:rFonts w:ascii="Arial" w:hAnsi="Arial" w:cs="Arial"/>
                <w:sz w:val="20"/>
                <w:szCs w:val="20"/>
              </w:rPr>
              <w:t>90%</w:t>
            </w:r>
          </w:p>
        </w:tc>
        <w:tc>
          <w:tcPr>
            <w:tcW w:w="0" w:type="auto"/>
            <w:tcBorders>
              <w:top w:val="nil"/>
              <w:left w:val="nil"/>
              <w:bottom w:val="single" w:sz="4" w:space="0" w:color="auto"/>
              <w:right w:val="single" w:sz="4" w:space="0" w:color="auto"/>
            </w:tcBorders>
            <w:shd w:val="clear" w:color="auto" w:fill="auto"/>
            <w:vAlign w:val="bottom"/>
            <w:hideMark/>
          </w:tcPr>
          <w:p w14:paraId="18E6C9A3" w14:textId="77777777" w:rsidR="00FC34B9" w:rsidRDefault="00FC34B9" w:rsidP="00AA2867">
            <w:pPr>
              <w:spacing w:line="360" w:lineRule="auto"/>
              <w:jc w:val="center"/>
              <w:rPr>
                <w:rFonts w:ascii="Arial" w:hAnsi="Arial" w:cs="Arial"/>
                <w:sz w:val="20"/>
                <w:szCs w:val="20"/>
              </w:rPr>
            </w:pPr>
            <w:r>
              <w:rPr>
                <w:rFonts w:ascii="Arial" w:hAnsi="Arial" w:cs="Arial"/>
                <w:sz w:val="20"/>
                <w:szCs w:val="20"/>
              </w:rPr>
              <w:t>10%</w:t>
            </w:r>
          </w:p>
        </w:tc>
        <w:tc>
          <w:tcPr>
            <w:tcW w:w="0" w:type="auto"/>
            <w:tcBorders>
              <w:top w:val="nil"/>
              <w:left w:val="nil"/>
              <w:bottom w:val="single" w:sz="4" w:space="0" w:color="auto"/>
              <w:right w:val="single" w:sz="4" w:space="0" w:color="auto"/>
            </w:tcBorders>
            <w:shd w:val="clear" w:color="auto" w:fill="auto"/>
            <w:vAlign w:val="bottom"/>
            <w:hideMark/>
          </w:tcPr>
          <w:p w14:paraId="68D2290F" w14:textId="77777777" w:rsidR="00FC34B9" w:rsidRDefault="00FC34B9" w:rsidP="00AA2867">
            <w:pPr>
              <w:spacing w:line="360" w:lineRule="auto"/>
              <w:jc w:val="center"/>
              <w:rPr>
                <w:rFonts w:ascii="Arial" w:hAnsi="Arial" w:cs="Arial"/>
                <w:sz w:val="20"/>
                <w:szCs w:val="20"/>
              </w:rPr>
            </w:pPr>
            <w:r>
              <w:rPr>
                <w:rFonts w:ascii="Arial" w:hAnsi="Arial" w:cs="Arial"/>
                <w:sz w:val="20"/>
                <w:szCs w:val="20"/>
              </w:rPr>
              <w:t>25982.87</w:t>
            </w:r>
          </w:p>
        </w:tc>
        <w:tc>
          <w:tcPr>
            <w:tcW w:w="0" w:type="auto"/>
            <w:tcBorders>
              <w:top w:val="nil"/>
              <w:left w:val="nil"/>
              <w:bottom w:val="single" w:sz="4" w:space="0" w:color="auto"/>
              <w:right w:val="single" w:sz="4" w:space="0" w:color="auto"/>
            </w:tcBorders>
            <w:shd w:val="clear" w:color="auto" w:fill="auto"/>
            <w:vAlign w:val="bottom"/>
            <w:hideMark/>
          </w:tcPr>
          <w:p w14:paraId="617E2327" w14:textId="77777777" w:rsidR="00FC34B9" w:rsidRDefault="00FC34B9" w:rsidP="00AA2867">
            <w:pPr>
              <w:spacing w:line="360" w:lineRule="auto"/>
              <w:jc w:val="center"/>
              <w:rPr>
                <w:rFonts w:ascii="Arial" w:hAnsi="Arial" w:cs="Arial"/>
                <w:sz w:val="20"/>
                <w:szCs w:val="20"/>
              </w:rPr>
            </w:pPr>
            <w:r>
              <w:rPr>
                <w:rFonts w:ascii="Arial" w:hAnsi="Arial" w:cs="Arial"/>
                <w:sz w:val="20"/>
                <w:szCs w:val="20"/>
              </w:rPr>
              <w:t>2886.99</w:t>
            </w:r>
          </w:p>
        </w:tc>
      </w:tr>
      <w:tr w:rsidR="00FC34B9" w14:paraId="514EC0CC" w14:textId="77777777" w:rsidTr="00FC34B9">
        <w:trPr>
          <w:trHeight w:val="34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1075930" w14:textId="77777777" w:rsidR="00FC34B9" w:rsidRDefault="00FC34B9">
            <w:pPr>
              <w:jc w:val="center"/>
              <w:rPr>
                <w:rFonts w:ascii="Arial" w:hAnsi="Arial" w:cs="Arial"/>
                <w:sz w:val="20"/>
                <w:szCs w:val="20"/>
              </w:rPr>
            </w:pPr>
            <w:r>
              <w:rPr>
                <w:rFonts w:ascii="Arial" w:hAnsi="Arial" w:cs="Arial"/>
                <w:sz w:val="20"/>
                <w:szCs w:val="20"/>
              </w:rPr>
              <w:t>6</w:t>
            </w:r>
          </w:p>
        </w:tc>
        <w:tc>
          <w:tcPr>
            <w:tcW w:w="0" w:type="auto"/>
            <w:tcBorders>
              <w:top w:val="nil"/>
              <w:left w:val="nil"/>
              <w:bottom w:val="single" w:sz="4" w:space="0" w:color="auto"/>
              <w:right w:val="single" w:sz="4" w:space="0" w:color="auto"/>
            </w:tcBorders>
            <w:shd w:val="clear" w:color="auto" w:fill="auto"/>
            <w:vAlign w:val="center"/>
            <w:hideMark/>
          </w:tcPr>
          <w:p w14:paraId="11F526CF" w14:textId="77777777" w:rsidR="00FC34B9" w:rsidRDefault="00FC34B9">
            <w:pPr>
              <w:rPr>
                <w:rFonts w:ascii="Arial" w:hAnsi="Arial" w:cs="Arial"/>
                <w:sz w:val="20"/>
                <w:szCs w:val="20"/>
              </w:rPr>
            </w:pPr>
            <w:r>
              <w:rPr>
                <w:rFonts w:ascii="Arial" w:hAnsi="Arial" w:cs="Arial"/>
                <w:sz w:val="20"/>
                <w:szCs w:val="20"/>
              </w:rPr>
              <w:t>Administrative &amp; General Expenses</w:t>
            </w:r>
          </w:p>
        </w:tc>
        <w:tc>
          <w:tcPr>
            <w:tcW w:w="0" w:type="auto"/>
            <w:tcBorders>
              <w:top w:val="nil"/>
              <w:left w:val="nil"/>
              <w:bottom w:val="single" w:sz="4" w:space="0" w:color="auto"/>
              <w:right w:val="single" w:sz="4" w:space="0" w:color="auto"/>
            </w:tcBorders>
            <w:shd w:val="clear" w:color="auto" w:fill="auto"/>
            <w:noWrap/>
            <w:vAlign w:val="bottom"/>
            <w:hideMark/>
          </w:tcPr>
          <w:p w14:paraId="04DE98AA" w14:textId="77777777" w:rsidR="00FC34B9" w:rsidRDefault="00FC34B9" w:rsidP="00FC34B9">
            <w:pPr>
              <w:jc w:val="center"/>
              <w:rPr>
                <w:rFonts w:ascii="Arial" w:hAnsi="Arial" w:cs="Arial"/>
                <w:sz w:val="20"/>
                <w:szCs w:val="20"/>
              </w:rPr>
            </w:pPr>
            <w:r>
              <w:rPr>
                <w:rFonts w:ascii="Arial" w:hAnsi="Arial" w:cs="Arial"/>
                <w:sz w:val="20"/>
                <w:szCs w:val="20"/>
              </w:rPr>
              <w:t>18681.83</w:t>
            </w:r>
          </w:p>
        </w:tc>
        <w:tc>
          <w:tcPr>
            <w:tcW w:w="0" w:type="auto"/>
            <w:tcBorders>
              <w:top w:val="nil"/>
              <w:left w:val="nil"/>
              <w:bottom w:val="single" w:sz="4" w:space="0" w:color="auto"/>
              <w:right w:val="single" w:sz="4" w:space="0" w:color="auto"/>
            </w:tcBorders>
            <w:shd w:val="clear" w:color="auto" w:fill="auto"/>
            <w:vAlign w:val="center"/>
            <w:hideMark/>
          </w:tcPr>
          <w:p w14:paraId="6A9358FB" w14:textId="77777777" w:rsidR="00FC34B9" w:rsidRDefault="00FC34B9" w:rsidP="00AA2867">
            <w:pPr>
              <w:spacing w:line="360" w:lineRule="auto"/>
              <w:jc w:val="center"/>
              <w:rPr>
                <w:rFonts w:ascii="Arial" w:hAnsi="Arial" w:cs="Arial"/>
                <w:sz w:val="20"/>
                <w:szCs w:val="20"/>
              </w:rPr>
            </w:pPr>
            <w:r>
              <w:rPr>
                <w:rFonts w:ascii="Arial" w:hAnsi="Arial" w:cs="Arial"/>
                <w:sz w:val="20"/>
                <w:szCs w:val="20"/>
              </w:rPr>
              <w:t>50%</w:t>
            </w:r>
          </w:p>
        </w:tc>
        <w:tc>
          <w:tcPr>
            <w:tcW w:w="0" w:type="auto"/>
            <w:tcBorders>
              <w:top w:val="nil"/>
              <w:left w:val="nil"/>
              <w:bottom w:val="single" w:sz="4" w:space="0" w:color="auto"/>
              <w:right w:val="single" w:sz="4" w:space="0" w:color="auto"/>
            </w:tcBorders>
            <w:shd w:val="clear" w:color="auto" w:fill="auto"/>
            <w:vAlign w:val="center"/>
            <w:hideMark/>
          </w:tcPr>
          <w:p w14:paraId="31C9859D" w14:textId="77777777" w:rsidR="00FC34B9" w:rsidRDefault="00FC34B9" w:rsidP="00AA2867">
            <w:pPr>
              <w:spacing w:line="360" w:lineRule="auto"/>
              <w:jc w:val="center"/>
              <w:rPr>
                <w:rFonts w:ascii="Arial" w:hAnsi="Arial" w:cs="Arial"/>
                <w:sz w:val="20"/>
                <w:szCs w:val="20"/>
              </w:rPr>
            </w:pPr>
            <w:r>
              <w:rPr>
                <w:rFonts w:ascii="Arial" w:hAnsi="Arial" w:cs="Arial"/>
                <w:sz w:val="20"/>
                <w:szCs w:val="20"/>
              </w:rPr>
              <w:t>50%</w:t>
            </w:r>
          </w:p>
        </w:tc>
        <w:tc>
          <w:tcPr>
            <w:tcW w:w="0" w:type="auto"/>
            <w:tcBorders>
              <w:top w:val="nil"/>
              <w:left w:val="nil"/>
              <w:bottom w:val="single" w:sz="4" w:space="0" w:color="auto"/>
              <w:right w:val="single" w:sz="4" w:space="0" w:color="auto"/>
            </w:tcBorders>
            <w:shd w:val="clear" w:color="auto" w:fill="auto"/>
            <w:vAlign w:val="center"/>
            <w:hideMark/>
          </w:tcPr>
          <w:p w14:paraId="1B17B3E6" w14:textId="77777777" w:rsidR="00FC34B9" w:rsidRDefault="00FC34B9" w:rsidP="00AA2867">
            <w:pPr>
              <w:spacing w:line="360" w:lineRule="auto"/>
              <w:jc w:val="center"/>
              <w:rPr>
                <w:rFonts w:ascii="Arial" w:hAnsi="Arial" w:cs="Arial"/>
                <w:sz w:val="20"/>
                <w:szCs w:val="20"/>
              </w:rPr>
            </w:pPr>
            <w:r>
              <w:rPr>
                <w:rFonts w:ascii="Arial" w:hAnsi="Arial" w:cs="Arial"/>
                <w:sz w:val="20"/>
                <w:szCs w:val="20"/>
              </w:rPr>
              <w:t>9340.91</w:t>
            </w:r>
          </w:p>
        </w:tc>
        <w:tc>
          <w:tcPr>
            <w:tcW w:w="0" w:type="auto"/>
            <w:tcBorders>
              <w:top w:val="nil"/>
              <w:left w:val="nil"/>
              <w:bottom w:val="single" w:sz="4" w:space="0" w:color="auto"/>
              <w:right w:val="single" w:sz="4" w:space="0" w:color="auto"/>
            </w:tcBorders>
            <w:shd w:val="clear" w:color="auto" w:fill="auto"/>
            <w:vAlign w:val="bottom"/>
            <w:hideMark/>
          </w:tcPr>
          <w:p w14:paraId="775D4C8D" w14:textId="77777777" w:rsidR="00FC34B9" w:rsidRDefault="00FC34B9" w:rsidP="00AA2867">
            <w:pPr>
              <w:spacing w:line="360" w:lineRule="auto"/>
              <w:jc w:val="center"/>
              <w:rPr>
                <w:rFonts w:ascii="Arial" w:hAnsi="Arial" w:cs="Arial"/>
                <w:sz w:val="20"/>
                <w:szCs w:val="20"/>
              </w:rPr>
            </w:pPr>
            <w:r>
              <w:rPr>
                <w:rFonts w:ascii="Arial" w:hAnsi="Arial" w:cs="Arial"/>
                <w:sz w:val="20"/>
                <w:szCs w:val="20"/>
              </w:rPr>
              <w:t>9340.91</w:t>
            </w:r>
          </w:p>
        </w:tc>
      </w:tr>
      <w:tr w:rsidR="00FC34B9" w14:paraId="44E3ACEB" w14:textId="77777777" w:rsidTr="00FC34B9">
        <w:trPr>
          <w:trHeight w:val="34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5472A73" w14:textId="77777777" w:rsidR="00FC34B9" w:rsidRDefault="00FC34B9">
            <w:pPr>
              <w:jc w:val="center"/>
              <w:rPr>
                <w:rFonts w:ascii="Arial" w:hAnsi="Arial" w:cs="Arial"/>
                <w:sz w:val="20"/>
                <w:szCs w:val="20"/>
              </w:rPr>
            </w:pPr>
            <w:r>
              <w:rPr>
                <w:rFonts w:ascii="Arial" w:hAnsi="Arial" w:cs="Arial"/>
                <w:sz w:val="20"/>
                <w:szCs w:val="20"/>
              </w:rPr>
              <w:lastRenderedPageBreak/>
              <w:t>7</w:t>
            </w:r>
          </w:p>
        </w:tc>
        <w:tc>
          <w:tcPr>
            <w:tcW w:w="0" w:type="auto"/>
            <w:tcBorders>
              <w:top w:val="nil"/>
              <w:left w:val="nil"/>
              <w:bottom w:val="single" w:sz="4" w:space="0" w:color="auto"/>
              <w:right w:val="single" w:sz="4" w:space="0" w:color="auto"/>
            </w:tcBorders>
            <w:shd w:val="clear" w:color="auto" w:fill="auto"/>
            <w:vAlign w:val="center"/>
            <w:hideMark/>
          </w:tcPr>
          <w:p w14:paraId="26345D8A" w14:textId="77777777" w:rsidR="00FC34B9" w:rsidRDefault="00FC34B9">
            <w:pPr>
              <w:rPr>
                <w:rFonts w:ascii="Arial" w:hAnsi="Arial" w:cs="Arial"/>
                <w:sz w:val="20"/>
                <w:szCs w:val="20"/>
              </w:rPr>
            </w:pPr>
            <w:r>
              <w:rPr>
                <w:rFonts w:ascii="Arial" w:hAnsi="Arial" w:cs="Arial"/>
                <w:sz w:val="20"/>
                <w:szCs w:val="20"/>
              </w:rPr>
              <w:t>Bad &amp; Doubtful Debt including Rebate</w:t>
            </w:r>
          </w:p>
        </w:tc>
        <w:tc>
          <w:tcPr>
            <w:tcW w:w="0" w:type="auto"/>
            <w:tcBorders>
              <w:top w:val="nil"/>
              <w:left w:val="nil"/>
              <w:bottom w:val="single" w:sz="4" w:space="0" w:color="auto"/>
              <w:right w:val="single" w:sz="4" w:space="0" w:color="auto"/>
            </w:tcBorders>
            <w:shd w:val="clear" w:color="auto" w:fill="auto"/>
            <w:noWrap/>
            <w:vAlign w:val="bottom"/>
            <w:hideMark/>
          </w:tcPr>
          <w:p w14:paraId="41F52FDB" w14:textId="77777777" w:rsidR="00FC34B9" w:rsidRDefault="00FC34B9" w:rsidP="00FC34B9">
            <w:pPr>
              <w:jc w:val="center"/>
              <w:rPr>
                <w:rFonts w:ascii="Arial" w:hAnsi="Arial" w:cs="Arial"/>
                <w:sz w:val="20"/>
                <w:szCs w:val="20"/>
              </w:rPr>
            </w:pPr>
            <w:r>
              <w:rPr>
                <w:rFonts w:ascii="Arial" w:hAnsi="Arial" w:cs="Arial"/>
                <w:sz w:val="20"/>
                <w:szCs w:val="20"/>
              </w:rPr>
              <w:t>4499.33</w:t>
            </w:r>
          </w:p>
        </w:tc>
        <w:tc>
          <w:tcPr>
            <w:tcW w:w="0" w:type="auto"/>
            <w:tcBorders>
              <w:top w:val="nil"/>
              <w:left w:val="nil"/>
              <w:bottom w:val="single" w:sz="4" w:space="0" w:color="auto"/>
              <w:right w:val="single" w:sz="4" w:space="0" w:color="auto"/>
            </w:tcBorders>
            <w:shd w:val="clear" w:color="auto" w:fill="auto"/>
            <w:vAlign w:val="center"/>
            <w:hideMark/>
          </w:tcPr>
          <w:p w14:paraId="7639AB4A" w14:textId="77777777" w:rsidR="00FC34B9" w:rsidRDefault="00FC34B9" w:rsidP="00AA2867">
            <w:pPr>
              <w:spacing w:line="360" w:lineRule="auto"/>
              <w:jc w:val="center"/>
              <w:rPr>
                <w:rFonts w:ascii="Arial" w:hAnsi="Arial" w:cs="Arial"/>
                <w:sz w:val="20"/>
                <w:szCs w:val="20"/>
              </w:rPr>
            </w:pPr>
            <w:r>
              <w:rPr>
                <w:rFonts w:ascii="Arial" w:hAnsi="Arial" w:cs="Arial"/>
                <w:sz w:val="20"/>
                <w:szCs w:val="20"/>
              </w:rPr>
              <w:t>0%</w:t>
            </w:r>
          </w:p>
        </w:tc>
        <w:tc>
          <w:tcPr>
            <w:tcW w:w="0" w:type="auto"/>
            <w:tcBorders>
              <w:top w:val="nil"/>
              <w:left w:val="nil"/>
              <w:bottom w:val="single" w:sz="4" w:space="0" w:color="auto"/>
              <w:right w:val="single" w:sz="4" w:space="0" w:color="auto"/>
            </w:tcBorders>
            <w:shd w:val="clear" w:color="auto" w:fill="auto"/>
            <w:vAlign w:val="center"/>
            <w:hideMark/>
          </w:tcPr>
          <w:p w14:paraId="1D6D21B5" w14:textId="77777777" w:rsidR="00FC34B9" w:rsidRDefault="00FC34B9" w:rsidP="00AA2867">
            <w:pPr>
              <w:spacing w:line="360" w:lineRule="auto"/>
              <w:jc w:val="center"/>
              <w:rPr>
                <w:rFonts w:ascii="Arial" w:hAnsi="Arial" w:cs="Arial"/>
                <w:sz w:val="20"/>
                <w:szCs w:val="20"/>
              </w:rPr>
            </w:pPr>
            <w:r>
              <w:rPr>
                <w:rFonts w:ascii="Arial" w:hAnsi="Arial" w:cs="Arial"/>
                <w:sz w:val="20"/>
                <w:szCs w:val="20"/>
              </w:rPr>
              <w:t>100%</w:t>
            </w:r>
          </w:p>
        </w:tc>
        <w:tc>
          <w:tcPr>
            <w:tcW w:w="0" w:type="auto"/>
            <w:tcBorders>
              <w:top w:val="nil"/>
              <w:left w:val="nil"/>
              <w:bottom w:val="single" w:sz="4" w:space="0" w:color="auto"/>
              <w:right w:val="single" w:sz="4" w:space="0" w:color="auto"/>
            </w:tcBorders>
            <w:shd w:val="clear" w:color="auto" w:fill="auto"/>
            <w:vAlign w:val="center"/>
            <w:hideMark/>
          </w:tcPr>
          <w:p w14:paraId="7EB2DEE9" w14:textId="77777777" w:rsidR="00FC34B9" w:rsidRDefault="00FC34B9" w:rsidP="00AA2867">
            <w:pPr>
              <w:spacing w:line="360" w:lineRule="auto"/>
              <w:jc w:val="center"/>
              <w:rPr>
                <w:rFonts w:ascii="Arial" w:hAnsi="Arial" w:cs="Arial"/>
                <w:sz w:val="20"/>
                <w:szCs w:val="20"/>
              </w:rPr>
            </w:pPr>
            <w:r>
              <w:rPr>
                <w:rFonts w:ascii="Arial" w:hAnsi="Arial" w:cs="Arial"/>
                <w:sz w:val="20"/>
                <w:szCs w:val="20"/>
              </w:rPr>
              <w:t>0.00</w:t>
            </w:r>
          </w:p>
        </w:tc>
        <w:tc>
          <w:tcPr>
            <w:tcW w:w="0" w:type="auto"/>
            <w:tcBorders>
              <w:top w:val="nil"/>
              <w:left w:val="nil"/>
              <w:bottom w:val="single" w:sz="4" w:space="0" w:color="auto"/>
              <w:right w:val="single" w:sz="4" w:space="0" w:color="auto"/>
            </w:tcBorders>
            <w:shd w:val="clear" w:color="auto" w:fill="auto"/>
            <w:vAlign w:val="bottom"/>
            <w:hideMark/>
          </w:tcPr>
          <w:p w14:paraId="2F1E9FC2" w14:textId="77777777" w:rsidR="00FC34B9" w:rsidRDefault="00FC34B9" w:rsidP="00AA2867">
            <w:pPr>
              <w:spacing w:line="360" w:lineRule="auto"/>
              <w:jc w:val="center"/>
              <w:rPr>
                <w:rFonts w:ascii="Arial" w:hAnsi="Arial" w:cs="Arial"/>
                <w:sz w:val="20"/>
                <w:szCs w:val="20"/>
              </w:rPr>
            </w:pPr>
            <w:r>
              <w:rPr>
                <w:rFonts w:ascii="Arial" w:hAnsi="Arial" w:cs="Arial"/>
                <w:sz w:val="20"/>
                <w:szCs w:val="20"/>
              </w:rPr>
              <w:t>4499.33</w:t>
            </w:r>
          </w:p>
        </w:tc>
      </w:tr>
      <w:tr w:rsidR="00FC34B9" w14:paraId="5C20A77B" w14:textId="77777777" w:rsidTr="00FC34B9">
        <w:trPr>
          <w:trHeight w:val="174"/>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D6D8C3C" w14:textId="77777777" w:rsidR="00FC34B9" w:rsidRDefault="00FC34B9">
            <w:pPr>
              <w:jc w:val="center"/>
              <w:rPr>
                <w:rFonts w:ascii="Arial" w:hAnsi="Arial" w:cs="Arial"/>
                <w:sz w:val="20"/>
                <w:szCs w:val="20"/>
              </w:rPr>
            </w:pPr>
            <w:r>
              <w:rPr>
                <w:rFonts w:ascii="Arial" w:hAnsi="Arial" w:cs="Arial"/>
                <w:sz w:val="20"/>
                <w:szCs w:val="20"/>
              </w:rPr>
              <w:t>8</w:t>
            </w:r>
          </w:p>
        </w:tc>
        <w:tc>
          <w:tcPr>
            <w:tcW w:w="0" w:type="auto"/>
            <w:tcBorders>
              <w:top w:val="nil"/>
              <w:left w:val="nil"/>
              <w:bottom w:val="single" w:sz="4" w:space="0" w:color="auto"/>
              <w:right w:val="single" w:sz="4" w:space="0" w:color="auto"/>
            </w:tcBorders>
            <w:shd w:val="clear" w:color="auto" w:fill="auto"/>
            <w:vAlign w:val="center"/>
            <w:hideMark/>
          </w:tcPr>
          <w:p w14:paraId="1EA9C3F9" w14:textId="77777777" w:rsidR="00FC34B9" w:rsidRDefault="00FC34B9">
            <w:pPr>
              <w:rPr>
                <w:rFonts w:ascii="Arial" w:hAnsi="Arial" w:cs="Arial"/>
                <w:sz w:val="20"/>
                <w:szCs w:val="20"/>
              </w:rPr>
            </w:pPr>
            <w:r>
              <w:rPr>
                <w:rFonts w:ascii="Arial" w:hAnsi="Arial" w:cs="Arial"/>
                <w:sz w:val="20"/>
                <w:szCs w:val="20"/>
              </w:rPr>
              <w:t>Depreciation</w:t>
            </w:r>
          </w:p>
        </w:tc>
        <w:tc>
          <w:tcPr>
            <w:tcW w:w="0" w:type="auto"/>
            <w:tcBorders>
              <w:top w:val="nil"/>
              <w:left w:val="nil"/>
              <w:bottom w:val="single" w:sz="4" w:space="0" w:color="auto"/>
              <w:right w:val="single" w:sz="4" w:space="0" w:color="auto"/>
            </w:tcBorders>
            <w:shd w:val="clear" w:color="auto" w:fill="auto"/>
            <w:noWrap/>
            <w:vAlign w:val="bottom"/>
            <w:hideMark/>
          </w:tcPr>
          <w:p w14:paraId="71CFE9C4" w14:textId="77777777" w:rsidR="00FC34B9" w:rsidRDefault="00FC34B9" w:rsidP="00FC34B9">
            <w:pPr>
              <w:jc w:val="center"/>
              <w:rPr>
                <w:rFonts w:ascii="Arial" w:hAnsi="Arial" w:cs="Arial"/>
                <w:sz w:val="20"/>
                <w:szCs w:val="20"/>
              </w:rPr>
            </w:pPr>
            <w:r>
              <w:rPr>
                <w:rFonts w:ascii="Arial" w:hAnsi="Arial" w:cs="Arial"/>
                <w:sz w:val="20"/>
                <w:szCs w:val="20"/>
              </w:rPr>
              <w:t>12730.07</w:t>
            </w:r>
          </w:p>
        </w:tc>
        <w:tc>
          <w:tcPr>
            <w:tcW w:w="0" w:type="auto"/>
            <w:tcBorders>
              <w:top w:val="nil"/>
              <w:left w:val="nil"/>
              <w:bottom w:val="single" w:sz="4" w:space="0" w:color="auto"/>
              <w:right w:val="single" w:sz="4" w:space="0" w:color="auto"/>
            </w:tcBorders>
            <w:shd w:val="clear" w:color="auto" w:fill="auto"/>
            <w:vAlign w:val="bottom"/>
            <w:hideMark/>
          </w:tcPr>
          <w:p w14:paraId="5047FAE4" w14:textId="77777777" w:rsidR="00FC34B9" w:rsidRDefault="00FC34B9" w:rsidP="00AA2867">
            <w:pPr>
              <w:spacing w:line="360" w:lineRule="auto"/>
              <w:jc w:val="center"/>
              <w:rPr>
                <w:rFonts w:ascii="Arial" w:hAnsi="Arial" w:cs="Arial"/>
                <w:sz w:val="20"/>
                <w:szCs w:val="20"/>
              </w:rPr>
            </w:pPr>
            <w:r>
              <w:rPr>
                <w:rFonts w:ascii="Arial" w:hAnsi="Arial" w:cs="Arial"/>
                <w:sz w:val="20"/>
                <w:szCs w:val="20"/>
              </w:rPr>
              <w:t>90%</w:t>
            </w:r>
          </w:p>
        </w:tc>
        <w:tc>
          <w:tcPr>
            <w:tcW w:w="0" w:type="auto"/>
            <w:tcBorders>
              <w:top w:val="nil"/>
              <w:left w:val="nil"/>
              <w:bottom w:val="single" w:sz="4" w:space="0" w:color="auto"/>
              <w:right w:val="single" w:sz="4" w:space="0" w:color="auto"/>
            </w:tcBorders>
            <w:shd w:val="clear" w:color="auto" w:fill="auto"/>
            <w:vAlign w:val="bottom"/>
            <w:hideMark/>
          </w:tcPr>
          <w:p w14:paraId="7470CBE0" w14:textId="77777777" w:rsidR="00FC34B9" w:rsidRDefault="00FC34B9" w:rsidP="00AA2867">
            <w:pPr>
              <w:spacing w:line="360" w:lineRule="auto"/>
              <w:jc w:val="center"/>
              <w:rPr>
                <w:rFonts w:ascii="Arial" w:hAnsi="Arial" w:cs="Arial"/>
                <w:sz w:val="20"/>
                <w:szCs w:val="20"/>
              </w:rPr>
            </w:pPr>
            <w:r>
              <w:rPr>
                <w:rFonts w:ascii="Arial" w:hAnsi="Arial" w:cs="Arial"/>
                <w:sz w:val="20"/>
                <w:szCs w:val="20"/>
              </w:rPr>
              <w:t>10%</w:t>
            </w:r>
          </w:p>
        </w:tc>
        <w:tc>
          <w:tcPr>
            <w:tcW w:w="0" w:type="auto"/>
            <w:tcBorders>
              <w:top w:val="nil"/>
              <w:left w:val="nil"/>
              <w:bottom w:val="single" w:sz="4" w:space="0" w:color="auto"/>
              <w:right w:val="single" w:sz="4" w:space="0" w:color="auto"/>
            </w:tcBorders>
            <w:shd w:val="clear" w:color="auto" w:fill="auto"/>
            <w:vAlign w:val="bottom"/>
            <w:hideMark/>
          </w:tcPr>
          <w:p w14:paraId="264A426B" w14:textId="77777777" w:rsidR="00FC34B9" w:rsidRDefault="00FC34B9" w:rsidP="00AA2867">
            <w:pPr>
              <w:spacing w:line="360" w:lineRule="auto"/>
              <w:jc w:val="center"/>
              <w:rPr>
                <w:rFonts w:ascii="Arial" w:hAnsi="Arial" w:cs="Arial"/>
                <w:sz w:val="20"/>
                <w:szCs w:val="20"/>
              </w:rPr>
            </w:pPr>
            <w:r>
              <w:rPr>
                <w:rFonts w:ascii="Arial" w:hAnsi="Arial" w:cs="Arial"/>
                <w:sz w:val="20"/>
                <w:szCs w:val="20"/>
              </w:rPr>
              <w:t>11457.07</w:t>
            </w:r>
          </w:p>
        </w:tc>
        <w:tc>
          <w:tcPr>
            <w:tcW w:w="0" w:type="auto"/>
            <w:tcBorders>
              <w:top w:val="nil"/>
              <w:left w:val="nil"/>
              <w:bottom w:val="single" w:sz="4" w:space="0" w:color="auto"/>
              <w:right w:val="single" w:sz="4" w:space="0" w:color="auto"/>
            </w:tcBorders>
            <w:shd w:val="clear" w:color="auto" w:fill="auto"/>
            <w:vAlign w:val="bottom"/>
            <w:hideMark/>
          </w:tcPr>
          <w:p w14:paraId="09E2C809" w14:textId="77777777" w:rsidR="00FC34B9" w:rsidRDefault="00FC34B9" w:rsidP="00AA2867">
            <w:pPr>
              <w:spacing w:line="360" w:lineRule="auto"/>
              <w:jc w:val="center"/>
              <w:rPr>
                <w:rFonts w:ascii="Arial" w:hAnsi="Arial" w:cs="Arial"/>
                <w:sz w:val="20"/>
                <w:szCs w:val="20"/>
              </w:rPr>
            </w:pPr>
            <w:r>
              <w:rPr>
                <w:rFonts w:ascii="Arial" w:hAnsi="Arial" w:cs="Arial"/>
                <w:sz w:val="20"/>
                <w:szCs w:val="20"/>
              </w:rPr>
              <w:t>1273.01</w:t>
            </w:r>
          </w:p>
        </w:tc>
      </w:tr>
      <w:tr w:rsidR="00FC34B9" w14:paraId="1649B655" w14:textId="77777777" w:rsidTr="00FC34B9">
        <w:trPr>
          <w:trHeight w:val="20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BC60BF2" w14:textId="77777777" w:rsidR="00FC34B9" w:rsidRDefault="00FC34B9">
            <w:pPr>
              <w:jc w:val="center"/>
              <w:rPr>
                <w:rFonts w:ascii="Arial" w:hAnsi="Arial" w:cs="Arial"/>
                <w:sz w:val="20"/>
                <w:szCs w:val="20"/>
              </w:rPr>
            </w:pPr>
            <w:r>
              <w:rPr>
                <w:rFonts w:ascii="Arial" w:hAnsi="Arial" w:cs="Arial"/>
                <w:sz w:val="20"/>
                <w:szCs w:val="20"/>
              </w:rPr>
              <w:t> </w:t>
            </w:r>
          </w:p>
        </w:tc>
        <w:tc>
          <w:tcPr>
            <w:tcW w:w="0" w:type="auto"/>
            <w:tcBorders>
              <w:top w:val="nil"/>
              <w:left w:val="nil"/>
              <w:bottom w:val="single" w:sz="4" w:space="0" w:color="auto"/>
              <w:right w:val="single" w:sz="4" w:space="0" w:color="auto"/>
            </w:tcBorders>
            <w:shd w:val="clear" w:color="auto" w:fill="auto"/>
            <w:vAlign w:val="center"/>
            <w:hideMark/>
          </w:tcPr>
          <w:p w14:paraId="27C54331" w14:textId="77777777" w:rsidR="00FC34B9" w:rsidRDefault="00FC34B9">
            <w:pPr>
              <w:rPr>
                <w:rFonts w:ascii="Calibri" w:hAnsi="Calibri" w:cs="Arial"/>
                <w:b/>
                <w:bCs/>
                <w:color w:val="000000"/>
                <w:sz w:val="22"/>
                <w:szCs w:val="22"/>
              </w:rPr>
            </w:pPr>
            <w:r>
              <w:rPr>
                <w:rFonts w:ascii="Calibri" w:hAnsi="Calibri" w:cs="Arial"/>
                <w:b/>
                <w:bCs/>
                <w:color w:val="000000"/>
                <w:sz w:val="22"/>
                <w:szCs w:val="22"/>
              </w:rPr>
              <w:t>Interest on Loans</w:t>
            </w:r>
          </w:p>
        </w:tc>
        <w:tc>
          <w:tcPr>
            <w:tcW w:w="0" w:type="auto"/>
            <w:tcBorders>
              <w:top w:val="nil"/>
              <w:left w:val="nil"/>
              <w:bottom w:val="single" w:sz="4" w:space="0" w:color="auto"/>
              <w:right w:val="single" w:sz="4" w:space="0" w:color="auto"/>
            </w:tcBorders>
            <w:shd w:val="clear" w:color="auto" w:fill="auto"/>
            <w:noWrap/>
            <w:vAlign w:val="bottom"/>
            <w:hideMark/>
          </w:tcPr>
          <w:p w14:paraId="55AF8771" w14:textId="77777777" w:rsidR="00FC34B9" w:rsidRDefault="00FC34B9" w:rsidP="00FC34B9">
            <w:pPr>
              <w:jc w:val="center"/>
              <w:rPr>
                <w:rFonts w:ascii="Arial" w:hAnsi="Arial" w:cs="Arial"/>
                <w:sz w:val="20"/>
                <w:szCs w:val="20"/>
              </w:rPr>
            </w:pPr>
            <w:r>
              <w:rPr>
                <w:rFonts w:ascii="Arial" w:hAnsi="Arial" w:cs="Arial"/>
                <w:sz w:val="20"/>
                <w:szCs w:val="20"/>
              </w:rPr>
              <w:t>0.00</w:t>
            </w:r>
          </w:p>
        </w:tc>
        <w:tc>
          <w:tcPr>
            <w:tcW w:w="0" w:type="auto"/>
            <w:tcBorders>
              <w:top w:val="nil"/>
              <w:left w:val="nil"/>
              <w:bottom w:val="single" w:sz="4" w:space="0" w:color="auto"/>
              <w:right w:val="single" w:sz="4" w:space="0" w:color="auto"/>
            </w:tcBorders>
            <w:shd w:val="clear" w:color="auto" w:fill="auto"/>
            <w:vAlign w:val="bottom"/>
            <w:hideMark/>
          </w:tcPr>
          <w:p w14:paraId="49EBCF52" w14:textId="6FE38FAD" w:rsidR="00FC34B9" w:rsidRDefault="00FC34B9" w:rsidP="00AA2867">
            <w:pPr>
              <w:spacing w:line="360" w:lineRule="auto"/>
              <w:jc w:val="center"/>
              <w:rPr>
                <w:rFonts w:ascii="Arial" w:hAnsi="Arial" w:cs="Arial"/>
                <w:sz w:val="20"/>
                <w:szCs w:val="20"/>
              </w:rPr>
            </w:pPr>
          </w:p>
        </w:tc>
        <w:tc>
          <w:tcPr>
            <w:tcW w:w="0" w:type="auto"/>
            <w:tcBorders>
              <w:top w:val="nil"/>
              <w:left w:val="nil"/>
              <w:bottom w:val="single" w:sz="4" w:space="0" w:color="auto"/>
              <w:right w:val="single" w:sz="4" w:space="0" w:color="auto"/>
            </w:tcBorders>
            <w:shd w:val="clear" w:color="auto" w:fill="auto"/>
            <w:vAlign w:val="bottom"/>
            <w:hideMark/>
          </w:tcPr>
          <w:p w14:paraId="767D4B63" w14:textId="080BC71A" w:rsidR="00FC34B9" w:rsidRDefault="00FC34B9" w:rsidP="00AA2867">
            <w:pPr>
              <w:spacing w:line="360" w:lineRule="auto"/>
              <w:jc w:val="center"/>
              <w:rPr>
                <w:rFonts w:ascii="Arial" w:hAnsi="Arial" w:cs="Arial"/>
                <w:sz w:val="20"/>
                <w:szCs w:val="20"/>
              </w:rPr>
            </w:pPr>
          </w:p>
        </w:tc>
        <w:tc>
          <w:tcPr>
            <w:tcW w:w="0" w:type="auto"/>
            <w:tcBorders>
              <w:top w:val="nil"/>
              <w:left w:val="nil"/>
              <w:bottom w:val="single" w:sz="4" w:space="0" w:color="auto"/>
              <w:right w:val="single" w:sz="4" w:space="0" w:color="auto"/>
            </w:tcBorders>
            <w:shd w:val="clear" w:color="auto" w:fill="auto"/>
            <w:vAlign w:val="bottom"/>
            <w:hideMark/>
          </w:tcPr>
          <w:p w14:paraId="3FC2038F" w14:textId="46E1EF9C" w:rsidR="00FC34B9" w:rsidRDefault="00FC34B9" w:rsidP="00AA2867">
            <w:pPr>
              <w:spacing w:line="360" w:lineRule="auto"/>
              <w:jc w:val="center"/>
              <w:rPr>
                <w:rFonts w:ascii="Calibri" w:hAnsi="Calibri" w:cs="Arial"/>
                <w:b/>
                <w:bCs/>
                <w:color w:val="000000"/>
                <w:sz w:val="22"/>
                <w:szCs w:val="22"/>
              </w:rPr>
            </w:pPr>
          </w:p>
        </w:tc>
        <w:tc>
          <w:tcPr>
            <w:tcW w:w="0" w:type="auto"/>
            <w:tcBorders>
              <w:top w:val="nil"/>
              <w:left w:val="nil"/>
              <w:bottom w:val="single" w:sz="4" w:space="0" w:color="auto"/>
              <w:right w:val="single" w:sz="4" w:space="0" w:color="auto"/>
            </w:tcBorders>
            <w:shd w:val="clear" w:color="auto" w:fill="auto"/>
            <w:vAlign w:val="bottom"/>
            <w:hideMark/>
          </w:tcPr>
          <w:p w14:paraId="110F62B0" w14:textId="77777777" w:rsidR="00FC34B9" w:rsidRDefault="00FC34B9" w:rsidP="00AA2867">
            <w:pPr>
              <w:spacing w:line="360" w:lineRule="auto"/>
              <w:jc w:val="center"/>
              <w:rPr>
                <w:rFonts w:ascii="Arial" w:hAnsi="Arial" w:cs="Arial"/>
                <w:sz w:val="20"/>
                <w:szCs w:val="20"/>
              </w:rPr>
            </w:pPr>
            <w:r>
              <w:rPr>
                <w:rFonts w:ascii="Arial" w:hAnsi="Arial" w:cs="Arial"/>
                <w:sz w:val="20"/>
                <w:szCs w:val="20"/>
              </w:rPr>
              <w:t>0.00</w:t>
            </w:r>
          </w:p>
        </w:tc>
      </w:tr>
      <w:tr w:rsidR="00FC34B9" w14:paraId="165BED67" w14:textId="77777777" w:rsidTr="00FC34B9">
        <w:trPr>
          <w:trHeight w:val="174"/>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4E49DCB" w14:textId="77777777" w:rsidR="00FC34B9" w:rsidRDefault="00FC34B9">
            <w:pPr>
              <w:jc w:val="center"/>
              <w:rPr>
                <w:rFonts w:ascii="Arial" w:hAnsi="Arial" w:cs="Arial"/>
                <w:sz w:val="20"/>
                <w:szCs w:val="20"/>
              </w:rPr>
            </w:pPr>
            <w:r>
              <w:rPr>
                <w:rFonts w:ascii="Arial" w:hAnsi="Arial" w:cs="Arial"/>
                <w:sz w:val="20"/>
                <w:szCs w:val="20"/>
              </w:rPr>
              <w:t>9</w:t>
            </w:r>
          </w:p>
        </w:tc>
        <w:tc>
          <w:tcPr>
            <w:tcW w:w="0" w:type="auto"/>
            <w:tcBorders>
              <w:top w:val="nil"/>
              <w:left w:val="nil"/>
              <w:bottom w:val="single" w:sz="4" w:space="0" w:color="auto"/>
              <w:right w:val="single" w:sz="4" w:space="0" w:color="auto"/>
            </w:tcBorders>
            <w:shd w:val="clear" w:color="auto" w:fill="auto"/>
            <w:vAlign w:val="center"/>
            <w:hideMark/>
          </w:tcPr>
          <w:p w14:paraId="71863016" w14:textId="77777777" w:rsidR="00FC34B9" w:rsidRDefault="00FC34B9">
            <w:pPr>
              <w:rPr>
                <w:rFonts w:ascii="Arial" w:hAnsi="Arial" w:cs="Arial"/>
                <w:sz w:val="20"/>
                <w:szCs w:val="20"/>
              </w:rPr>
            </w:pPr>
            <w:r>
              <w:rPr>
                <w:rFonts w:ascii="Arial" w:hAnsi="Arial" w:cs="Arial"/>
                <w:sz w:val="20"/>
                <w:szCs w:val="20"/>
              </w:rPr>
              <w:t>for Capital loan</w:t>
            </w:r>
          </w:p>
        </w:tc>
        <w:tc>
          <w:tcPr>
            <w:tcW w:w="0" w:type="auto"/>
            <w:tcBorders>
              <w:top w:val="nil"/>
              <w:left w:val="nil"/>
              <w:bottom w:val="single" w:sz="4" w:space="0" w:color="auto"/>
              <w:right w:val="single" w:sz="4" w:space="0" w:color="auto"/>
            </w:tcBorders>
            <w:shd w:val="clear" w:color="auto" w:fill="auto"/>
            <w:noWrap/>
            <w:vAlign w:val="bottom"/>
            <w:hideMark/>
          </w:tcPr>
          <w:p w14:paraId="43EFB6CD" w14:textId="77777777" w:rsidR="00FC34B9" w:rsidRDefault="00FC34B9" w:rsidP="00FC34B9">
            <w:pPr>
              <w:jc w:val="center"/>
              <w:rPr>
                <w:rFonts w:ascii="Arial" w:hAnsi="Arial" w:cs="Arial"/>
                <w:sz w:val="20"/>
                <w:szCs w:val="20"/>
              </w:rPr>
            </w:pPr>
            <w:r>
              <w:rPr>
                <w:rFonts w:ascii="Arial" w:hAnsi="Arial" w:cs="Arial"/>
                <w:sz w:val="20"/>
                <w:szCs w:val="20"/>
              </w:rPr>
              <w:t>8477.52</w:t>
            </w:r>
          </w:p>
        </w:tc>
        <w:tc>
          <w:tcPr>
            <w:tcW w:w="0" w:type="auto"/>
            <w:tcBorders>
              <w:top w:val="nil"/>
              <w:left w:val="nil"/>
              <w:bottom w:val="single" w:sz="4" w:space="0" w:color="auto"/>
              <w:right w:val="single" w:sz="4" w:space="0" w:color="auto"/>
            </w:tcBorders>
            <w:shd w:val="clear" w:color="auto" w:fill="auto"/>
            <w:vAlign w:val="bottom"/>
            <w:hideMark/>
          </w:tcPr>
          <w:p w14:paraId="5E44A539" w14:textId="77777777" w:rsidR="00FC34B9" w:rsidRDefault="00FC34B9" w:rsidP="00AA2867">
            <w:pPr>
              <w:spacing w:line="360" w:lineRule="auto"/>
              <w:jc w:val="center"/>
              <w:rPr>
                <w:rFonts w:ascii="Arial" w:hAnsi="Arial" w:cs="Arial"/>
                <w:sz w:val="20"/>
                <w:szCs w:val="20"/>
              </w:rPr>
            </w:pPr>
            <w:r>
              <w:rPr>
                <w:rFonts w:ascii="Arial" w:hAnsi="Arial" w:cs="Arial"/>
                <w:sz w:val="20"/>
                <w:szCs w:val="20"/>
              </w:rPr>
              <w:t>90%</w:t>
            </w:r>
          </w:p>
        </w:tc>
        <w:tc>
          <w:tcPr>
            <w:tcW w:w="0" w:type="auto"/>
            <w:tcBorders>
              <w:top w:val="nil"/>
              <w:left w:val="nil"/>
              <w:bottom w:val="single" w:sz="4" w:space="0" w:color="auto"/>
              <w:right w:val="single" w:sz="4" w:space="0" w:color="auto"/>
            </w:tcBorders>
            <w:shd w:val="clear" w:color="auto" w:fill="auto"/>
            <w:vAlign w:val="bottom"/>
            <w:hideMark/>
          </w:tcPr>
          <w:p w14:paraId="0A8351E1" w14:textId="77777777" w:rsidR="00FC34B9" w:rsidRDefault="00FC34B9" w:rsidP="00AA2867">
            <w:pPr>
              <w:spacing w:line="360" w:lineRule="auto"/>
              <w:jc w:val="center"/>
              <w:rPr>
                <w:rFonts w:ascii="Arial" w:hAnsi="Arial" w:cs="Arial"/>
                <w:sz w:val="20"/>
                <w:szCs w:val="20"/>
              </w:rPr>
            </w:pPr>
            <w:r>
              <w:rPr>
                <w:rFonts w:ascii="Arial" w:hAnsi="Arial" w:cs="Arial"/>
                <w:sz w:val="20"/>
                <w:szCs w:val="20"/>
              </w:rPr>
              <w:t>10%</w:t>
            </w:r>
          </w:p>
        </w:tc>
        <w:tc>
          <w:tcPr>
            <w:tcW w:w="0" w:type="auto"/>
            <w:tcBorders>
              <w:top w:val="nil"/>
              <w:left w:val="nil"/>
              <w:bottom w:val="single" w:sz="4" w:space="0" w:color="auto"/>
              <w:right w:val="single" w:sz="4" w:space="0" w:color="auto"/>
            </w:tcBorders>
            <w:shd w:val="clear" w:color="auto" w:fill="auto"/>
            <w:vAlign w:val="bottom"/>
            <w:hideMark/>
          </w:tcPr>
          <w:p w14:paraId="6AE8D3DE" w14:textId="77777777" w:rsidR="00FC34B9" w:rsidRDefault="00FC34B9" w:rsidP="00AA2867">
            <w:pPr>
              <w:spacing w:line="360" w:lineRule="auto"/>
              <w:jc w:val="center"/>
              <w:rPr>
                <w:rFonts w:ascii="Arial" w:hAnsi="Arial" w:cs="Arial"/>
                <w:sz w:val="20"/>
                <w:szCs w:val="20"/>
              </w:rPr>
            </w:pPr>
            <w:r>
              <w:rPr>
                <w:rFonts w:ascii="Arial" w:hAnsi="Arial" w:cs="Arial"/>
                <w:sz w:val="20"/>
                <w:szCs w:val="20"/>
              </w:rPr>
              <w:t>7629.76</w:t>
            </w:r>
          </w:p>
        </w:tc>
        <w:tc>
          <w:tcPr>
            <w:tcW w:w="0" w:type="auto"/>
            <w:tcBorders>
              <w:top w:val="nil"/>
              <w:left w:val="nil"/>
              <w:bottom w:val="single" w:sz="4" w:space="0" w:color="auto"/>
              <w:right w:val="single" w:sz="4" w:space="0" w:color="auto"/>
            </w:tcBorders>
            <w:shd w:val="clear" w:color="auto" w:fill="auto"/>
            <w:vAlign w:val="bottom"/>
            <w:hideMark/>
          </w:tcPr>
          <w:p w14:paraId="0114CF28" w14:textId="77777777" w:rsidR="00FC34B9" w:rsidRDefault="00FC34B9" w:rsidP="00AA2867">
            <w:pPr>
              <w:spacing w:line="360" w:lineRule="auto"/>
              <w:jc w:val="center"/>
              <w:rPr>
                <w:rFonts w:ascii="Arial" w:hAnsi="Arial" w:cs="Arial"/>
                <w:sz w:val="20"/>
                <w:szCs w:val="20"/>
              </w:rPr>
            </w:pPr>
            <w:r>
              <w:rPr>
                <w:rFonts w:ascii="Arial" w:hAnsi="Arial" w:cs="Arial"/>
                <w:sz w:val="20"/>
                <w:szCs w:val="20"/>
              </w:rPr>
              <w:t>847.75</w:t>
            </w:r>
          </w:p>
        </w:tc>
      </w:tr>
      <w:tr w:rsidR="00FC34B9" w14:paraId="7C8A5D33" w14:textId="77777777" w:rsidTr="00FC34B9">
        <w:trPr>
          <w:trHeight w:val="174"/>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FAF40EA" w14:textId="77777777" w:rsidR="00FC34B9" w:rsidRDefault="00FC34B9">
            <w:pPr>
              <w:jc w:val="center"/>
              <w:rPr>
                <w:rFonts w:ascii="Arial" w:hAnsi="Arial" w:cs="Arial"/>
                <w:sz w:val="20"/>
                <w:szCs w:val="20"/>
              </w:rPr>
            </w:pPr>
            <w:r>
              <w:rPr>
                <w:rFonts w:ascii="Arial" w:hAnsi="Arial" w:cs="Arial"/>
                <w:sz w:val="20"/>
                <w:szCs w:val="20"/>
              </w:rPr>
              <w:t>10</w:t>
            </w:r>
          </w:p>
        </w:tc>
        <w:tc>
          <w:tcPr>
            <w:tcW w:w="0" w:type="auto"/>
            <w:tcBorders>
              <w:top w:val="nil"/>
              <w:left w:val="nil"/>
              <w:bottom w:val="single" w:sz="4" w:space="0" w:color="auto"/>
              <w:right w:val="single" w:sz="4" w:space="0" w:color="auto"/>
            </w:tcBorders>
            <w:shd w:val="clear" w:color="auto" w:fill="auto"/>
            <w:vAlign w:val="center"/>
            <w:hideMark/>
          </w:tcPr>
          <w:p w14:paraId="615A34B3" w14:textId="77777777" w:rsidR="00FC34B9" w:rsidRDefault="00FC34B9">
            <w:pPr>
              <w:rPr>
                <w:rFonts w:ascii="Arial" w:hAnsi="Arial" w:cs="Arial"/>
                <w:sz w:val="20"/>
                <w:szCs w:val="20"/>
              </w:rPr>
            </w:pPr>
            <w:r>
              <w:rPr>
                <w:rFonts w:ascii="Arial" w:hAnsi="Arial" w:cs="Arial"/>
                <w:sz w:val="20"/>
                <w:szCs w:val="20"/>
              </w:rPr>
              <w:t>for Working capital</w:t>
            </w:r>
          </w:p>
        </w:tc>
        <w:tc>
          <w:tcPr>
            <w:tcW w:w="0" w:type="auto"/>
            <w:tcBorders>
              <w:top w:val="nil"/>
              <w:left w:val="nil"/>
              <w:bottom w:val="single" w:sz="4" w:space="0" w:color="auto"/>
              <w:right w:val="single" w:sz="4" w:space="0" w:color="auto"/>
            </w:tcBorders>
            <w:shd w:val="clear" w:color="auto" w:fill="auto"/>
            <w:noWrap/>
            <w:vAlign w:val="bottom"/>
            <w:hideMark/>
          </w:tcPr>
          <w:p w14:paraId="5CA49789" w14:textId="77777777" w:rsidR="00FC34B9" w:rsidRDefault="00FC34B9" w:rsidP="00FC34B9">
            <w:pPr>
              <w:jc w:val="center"/>
              <w:rPr>
                <w:rFonts w:ascii="Arial" w:hAnsi="Arial" w:cs="Arial"/>
                <w:sz w:val="20"/>
                <w:szCs w:val="20"/>
              </w:rPr>
            </w:pPr>
            <w:r>
              <w:rPr>
                <w:rFonts w:ascii="Arial" w:hAnsi="Arial" w:cs="Arial"/>
                <w:sz w:val="20"/>
                <w:szCs w:val="20"/>
              </w:rPr>
              <w:t>3391.33</w:t>
            </w:r>
          </w:p>
        </w:tc>
        <w:tc>
          <w:tcPr>
            <w:tcW w:w="0" w:type="auto"/>
            <w:tcBorders>
              <w:top w:val="nil"/>
              <w:left w:val="nil"/>
              <w:bottom w:val="single" w:sz="4" w:space="0" w:color="auto"/>
              <w:right w:val="single" w:sz="4" w:space="0" w:color="auto"/>
            </w:tcBorders>
            <w:shd w:val="clear" w:color="auto" w:fill="auto"/>
            <w:vAlign w:val="bottom"/>
            <w:hideMark/>
          </w:tcPr>
          <w:p w14:paraId="31563AD0" w14:textId="77777777" w:rsidR="00FC34B9" w:rsidRDefault="00FC34B9" w:rsidP="00AA2867">
            <w:pPr>
              <w:spacing w:line="360" w:lineRule="auto"/>
              <w:jc w:val="center"/>
              <w:rPr>
                <w:rFonts w:ascii="Arial" w:hAnsi="Arial" w:cs="Arial"/>
                <w:sz w:val="20"/>
                <w:szCs w:val="20"/>
              </w:rPr>
            </w:pPr>
            <w:r>
              <w:rPr>
                <w:rFonts w:ascii="Arial" w:hAnsi="Arial" w:cs="Arial"/>
                <w:sz w:val="20"/>
                <w:szCs w:val="20"/>
              </w:rPr>
              <w:t>10%</w:t>
            </w:r>
          </w:p>
        </w:tc>
        <w:tc>
          <w:tcPr>
            <w:tcW w:w="0" w:type="auto"/>
            <w:tcBorders>
              <w:top w:val="nil"/>
              <w:left w:val="nil"/>
              <w:bottom w:val="single" w:sz="4" w:space="0" w:color="auto"/>
              <w:right w:val="single" w:sz="4" w:space="0" w:color="auto"/>
            </w:tcBorders>
            <w:shd w:val="clear" w:color="auto" w:fill="auto"/>
            <w:vAlign w:val="bottom"/>
            <w:hideMark/>
          </w:tcPr>
          <w:p w14:paraId="541B0172" w14:textId="77777777" w:rsidR="00FC34B9" w:rsidRDefault="00FC34B9" w:rsidP="00AA2867">
            <w:pPr>
              <w:spacing w:line="360" w:lineRule="auto"/>
              <w:jc w:val="center"/>
              <w:rPr>
                <w:rFonts w:ascii="Arial" w:hAnsi="Arial" w:cs="Arial"/>
                <w:sz w:val="20"/>
                <w:szCs w:val="20"/>
              </w:rPr>
            </w:pPr>
            <w:r>
              <w:rPr>
                <w:rFonts w:ascii="Arial" w:hAnsi="Arial" w:cs="Arial"/>
                <w:sz w:val="20"/>
                <w:szCs w:val="20"/>
              </w:rPr>
              <w:t>90%</w:t>
            </w:r>
          </w:p>
        </w:tc>
        <w:tc>
          <w:tcPr>
            <w:tcW w:w="0" w:type="auto"/>
            <w:tcBorders>
              <w:top w:val="nil"/>
              <w:left w:val="nil"/>
              <w:bottom w:val="single" w:sz="4" w:space="0" w:color="auto"/>
              <w:right w:val="single" w:sz="4" w:space="0" w:color="auto"/>
            </w:tcBorders>
            <w:shd w:val="clear" w:color="auto" w:fill="auto"/>
            <w:vAlign w:val="bottom"/>
            <w:hideMark/>
          </w:tcPr>
          <w:p w14:paraId="2B1361FC" w14:textId="77777777" w:rsidR="00FC34B9" w:rsidRDefault="00FC34B9" w:rsidP="00AA2867">
            <w:pPr>
              <w:spacing w:line="360" w:lineRule="auto"/>
              <w:jc w:val="center"/>
              <w:rPr>
                <w:rFonts w:ascii="Arial" w:hAnsi="Arial" w:cs="Arial"/>
                <w:sz w:val="20"/>
                <w:szCs w:val="20"/>
              </w:rPr>
            </w:pPr>
            <w:r>
              <w:rPr>
                <w:rFonts w:ascii="Arial" w:hAnsi="Arial" w:cs="Arial"/>
                <w:sz w:val="20"/>
                <w:szCs w:val="20"/>
              </w:rPr>
              <w:t>339.13</w:t>
            </w:r>
          </w:p>
        </w:tc>
        <w:tc>
          <w:tcPr>
            <w:tcW w:w="0" w:type="auto"/>
            <w:tcBorders>
              <w:top w:val="nil"/>
              <w:left w:val="nil"/>
              <w:bottom w:val="single" w:sz="4" w:space="0" w:color="auto"/>
              <w:right w:val="single" w:sz="4" w:space="0" w:color="auto"/>
            </w:tcBorders>
            <w:shd w:val="clear" w:color="auto" w:fill="auto"/>
            <w:vAlign w:val="bottom"/>
            <w:hideMark/>
          </w:tcPr>
          <w:p w14:paraId="21A2C5C8" w14:textId="77777777" w:rsidR="00FC34B9" w:rsidRDefault="00FC34B9" w:rsidP="00AA2867">
            <w:pPr>
              <w:spacing w:line="360" w:lineRule="auto"/>
              <w:jc w:val="center"/>
              <w:rPr>
                <w:rFonts w:ascii="Arial" w:hAnsi="Arial" w:cs="Arial"/>
                <w:sz w:val="20"/>
                <w:szCs w:val="20"/>
              </w:rPr>
            </w:pPr>
            <w:r>
              <w:rPr>
                <w:rFonts w:ascii="Arial" w:hAnsi="Arial" w:cs="Arial"/>
                <w:sz w:val="20"/>
                <w:szCs w:val="20"/>
              </w:rPr>
              <w:t>3052.20</w:t>
            </w:r>
          </w:p>
        </w:tc>
      </w:tr>
      <w:tr w:rsidR="00FC34B9" w14:paraId="74DE7874" w14:textId="77777777" w:rsidTr="00FC34B9">
        <w:trPr>
          <w:trHeight w:val="174"/>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3265BAC" w14:textId="77777777" w:rsidR="00FC34B9" w:rsidRDefault="00FC34B9">
            <w:pPr>
              <w:jc w:val="center"/>
              <w:rPr>
                <w:rFonts w:ascii="Arial" w:hAnsi="Arial" w:cs="Arial"/>
                <w:sz w:val="20"/>
                <w:szCs w:val="20"/>
              </w:rPr>
            </w:pPr>
            <w:r>
              <w:rPr>
                <w:rFonts w:ascii="Arial" w:hAnsi="Arial" w:cs="Arial"/>
                <w:sz w:val="20"/>
                <w:szCs w:val="20"/>
              </w:rPr>
              <w:t>11</w:t>
            </w:r>
          </w:p>
        </w:tc>
        <w:tc>
          <w:tcPr>
            <w:tcW w:w="0" w:type="auto"/>
            <w:tcBorders>
              <w:top w:val="nil"/>
              <w:left w:val="nil"/>
              <w:bottom w:val="single" w:sz="4" w:space="0" w:color="auto"/>
              <w:right w:val="single" w:sz="4" w:space="0" w:color="auto"/>
            </w:tcBorders>
            <w:shd w:val="clear" w:color="auto" w:fill="auto"/>
            <w:vAlign w:val="center"/>
            <w:hideMark/>
          </w:tcPr>
          <w:p w14:paraId="5197AFEC" w14:textId="77777777" w:rsidR="00FC34B9" w:rsidRDefault="00FC34B9">
            <w:pPr>
              <w:rPr>
                <w:rFonts w:ascii="Arial" w:hAnsi="Arial" w:cs="Arial"/>
                <w:sz w:val="20"/>
                <w:szCs w:val="20"/>
              </w:rPr>
            </w:pPr>
            <w:r>
              <w:rPr>
                <w:rFonts w:ascii="Arial" w:hAnsi="Arial" w:cs="Arial"/>
                <w:sz w:val="20"/>
                <w:szCs w:val="20"/>
              </w:rPr>
              <w:t>Interest on Security Deposits</w:t>
            </w:r>
          </w:p>
        </w:tc>
        <w:tc>
          <w:tcPr>
            <w:tcW w:w="0" w:type="auto"/>
            <w:tcBorders>
              <w:top w:val="nil"/>
              <w:left w:val="nil"/>
              <w:bottom w:val="single" w:sz="4" w:space="0" w:color="auto"/>
              <w:right w:val="single" w:sz="4" w:space="0" w:color="auto"/>
            </w:tcBorders>
            <w:shd w:val="clear" w:color="auto" w:fill="auto"/>
            <w:noWrap/>
            <w:vAlign w:val="bottom"/>
            <w:hideMark/>
          </w:tcPr>
          <w:p w14:paraId="4344D3CA" w14:textId="77777777" w:rsidR="00FC34B9" w:rsidRDefault="00FC34B9" w:rsidP="00FC34B9">
            <w:pPr>
              <w:jc w:val="center"/>
              <w:rPr>
                <w:rFonts w:ascii="Arial" w:hAnsi="Arial" w:cs="Arial"/>
                <w:sz w:val="20"/>
                <w:szCs w:val="20"/>
              </w:rPr>
            </w:pPr>
            <w:r>
              <w:rPr>
                <w:rFonts w:ascii="Arial" w:hAnsi="Arial" w:cs="Arial"/>
                <w:sz w:val="20"/>
                <w:szCs w:val="20"/>
              </w:rPr>
              <w:t>6368.41</w:t>
            </w:r>
          </w:p>
        </w:tc>
        <w:tc>
          <w:tcPr>
            <w:tcW w:w="0" w:type="auto"/>
            <w:tcBorders>
              <w:top w:val="nil"/>
              <w:left w:val="nil"/>
              <w:bottom w:val="single" w:sz="4" w:space="0" w:color="auto"/>
              <w:right w:val="single" w:sz="4" w:space="0" w:color="auto"/>
            </w:tcBorders>
            <w:shd w:val="clear" w:color="auto" w:fill="auto"/>
            <w:vAlign w:val="center"/>
            <w:hideMark/>
          </w:tcPr>
          <w:p w14:paraId="427DCB2B" w14:textId="77777777" w:rsidR="00FC34B9" w:rsidRDefault="00FC34B9" w:rsidP="00AA2867">
            <w:pPr>
              <w:spacing w:line="360" w:lineRule="auto"/>
              <w:jc w:val="center"/>
              <w:rPr>
                <w:rFonts w:ascii="Arial" w:hAnsi="Arial" w:cs="Arial"/>
                <w:sz w:val="20"/>
                <w:szCs w:val="20"/>
              </w:rPr>
            </w:pPr>
            <w:r>
              <w:rPr>
                <w:rFonts w:ascii="Arial" w:hAnsi="Arial" w:cs="Arial"/>
                <w:sz w:val="20"/>
                <w:szCs w:val="20"/>
              </w:rPr>
              <w:t>0%</w:t>
            </w:r>
          </w:p>
        </w:tc>
        <w:tc>
          <w:tcPr>
            <w:tcW w:w="0" w:type="auto"/>
            <w:tcBorders>
              <w:top w:val="nil"/>
              <w:left w:val="nil"/>
              <w:bottom w:val="single" w:sz="4" w:space="0" w:color="auto"/>
              <w:right w:val="single" w:sz="4" w:space="0" w:color="auto"/>
            </w:tcBorders>
            <w:shd w:val="clear" w:color="auto" w:fill="auto"/>
            <w:vAlign w:val="center"/>
            <w:hideMark/>
          </w:tcPr>
          <w:p w14:paraId="6EE801D7" w14:textId="77777777" w:rsidR="00FC34B9" w:rsidRDefault="00FC34B9" w:rsidP="00AA2867">
            <w:pPr>
              <w:spacing w:line="360" w:lineRule="auto"/>
              <w:jc w:val="center"/>
              <w:rPr>
                <w:rFonts w:ascii="Arial" w:hAnsi="Arial" w:cs="Arial"/>
                <w:sz w:val="20"/>
                <w:szCs w:val="20"/>
              </w:rPr>
            </w:pPr>
            <w:r>
              <w:rPr>
                <w:rFonts w:ascii="Arial" w:hAnsi="Arial" w:cs="Arial"/>
                <w:sz w:val="20"/>
                <w:szCs w:val="20"/>
              </w:rPr>
              <w:t>100%</w:t>
            </w:r>
          </w:p>
        </w:tc>
        <w:tc>
          <w:tcPr>
            <w:tcW w:w="0" w:type="auto"/>
            <w:tcBorders>
              <w:top w:val="nil"/>
              <w:left w:val="nil"/>
              <w:bottom w:val="single" w:sz="4" w:space="0" w:color="auto"/>
              <w:right w:val="single" w:sz="4" w:space="0" w:color="auto"/>
            </w:tcBorders>
            <w:shd w:val="clear" w:color="auto" w:fill="auto"/>
            <w:vAlign w:val="center"/>
            <w:hideMark/>
          </w:tcPr>
          <w:p w14:paraId="559B9169" w14:textId="77777777" w:rsidR="00FC34B9" w:rsidRDefault="00FC34B9" w:rsidP="00AA2867">
            <w:pPr>
              <w:spacing w:line="360" w:lineRule="auto"/>
              <w:jc w:val="center"/>
              <w:rPr>
                <w:rFonts w:ascii="Arial" w:hAnsi="Arial" w:cs="Arial"/>
                <w:sz w:val="20"/>
                <w:szCs w:val="20"/>
              </w:rPr>
            </w:pPr>
            <w:r>
              <w:rPr>
                <w:rFonts w:ascii="Arial" w:hAnsi="Arial" w:cs="Arial"/>
                <w:sz w:val="20"/>
                <w:szCs w:val="20"/>
              </w:rPr>
              <w:t>0.00</w:t>
            </w:r>
          </w:p>
        </w:tc>
        <w:tc>
          <w:tcPr>
            <w:tcW w:w="0" w:type="auto"/>
            <w:tcBorders>
              <w:top w:val="nil"/>
              <w:left w:val="nil"/>
              <w:bottom w:val="single" w:sz="4" w:space="0" w:color="auto"/>
              <w:right w:val="single" w:sz="4" w:space="0" w:color="auto"/>
            </w:tcBorders>
            <w:shd w:val="clear" w:color="auto" w:fill="auto"/>
            <w:vAlign w:val="bottom"/>
            <w:hideMark/>
          </w:tcPr>
          <w:p w14:paraId="4C26502C" w14:textId="77777777" w:rsidR="00FC34B9" w:rsidRDefault="00FC34B9" w:rsidP="00AA2867">
            <w:pPr>
              <w:spacing w:line="360" w:lineRule="auto"/>
              <w:jc w:val="center"/>
              <w:rPr>
                <w:rFonts w:ascii="Arial" w:hAnsi="Arial" w:cs="Arial"/>
                <w:sz w:val="20"/>
                <w:szCs w:val="20"/>
              </w:rPr>
            </w:pPr>
            <w:r>
              <w:rPr>
                <w:rFonts w:ascii="Arial" w:hAnsi="Arial" w:cs="Arial"/>
                <w:sz w:val="20"/>
                <w:szCs w:val="20"/>
              </w:rPr>
              <w:t>6368.41</w:t>
            </w:r>
          </w:p>
        </w:tc>
      </w:tr>
      <w:tr w:rsidR="00FC34B9" w14:paraId="6939AC50" w14:textId="77777777" w:rsidTr="00FC34B9">
        <w:trPr>
          <w:trHeight w:val="174"/>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5BFFD7E" w14:textId="77777777" w:rsidR="00FC34B9" w:rsidRDefault="00FC34B9">
            <w:pPr>
              <w:jc w:val="center"/>
              <w:rPr>
                <w:rFonts w:ascii="Arial" w:hAnsi="Arial" w:cs="Arial"/>
                <w:sz w:val="20"/>
                <w:szCs w:val="20"/>
              </w:rPr>
            </w:pPr>
            <w:r>
              <w:rPr>
                <w:rFonts w:ascii="Arial" w:hAnsi="Arial" w:cs="Arial"/>
                <w:sz w:val="20"/>
                <w:szCs w:val="20"/>
              </w:rPr>
              <w:t>12</w:t>
            </w:r>
          </w:p>
        </w:tc>
        <w:tc>
          <w:tcPr>
            <w:tcW w:w="0" w:type="auto"/>
            <w:tcBorders>
              <w:top w:val="nil"/>
              <w:left w:val="nil"/>
              <w:bottom w:val="single" w:sz="4" w:space="0" w:color="auto"/>
              <w:right w:val="single" w:sz="4" w:space="0" w:color="auto"/>
            </w:tcBorders>
            <w:shd w:val="clear" w:color="auto" w:fill="auto"/>
            <w:vAlign w:val="center"/>
            <w:hideMark/>
          </w:tcPr>
          <w:p w14:paraId="016C8E4A" w14:textId="77777777" w:rsidR="00FC34B9" w:rsidRDefault="00FC34B9">
            <w:pPr>
              <w:rPr>
                <w:rFonts w:ascii="Arial" w:hAnsi="Arial" w:cs="Arial"/>
                <w:sz w:val="20"/>
                <w:szCs w:val="20"/>
              </w:rPr>
            </w:pPr>
            <w:r>
              <w:rPr>
                <w:rFonts w:ascii="Arial" w:hAnsi="Arial" w:cs="Arial"/>
                <w:sz w:val="20"/>
                <w:szCs w:val="20"/>
              </w:rPr>
              <w:t>Return on Equity</w:t>
            </w:r>
          </w:p>
        </w:tc>
        <w:tc>
          <w:tcPr>
            <w:tcW w:w="0" w:type="auto"/>
            <w:tcBorders>
              <w:top w:val="nil"/>
              <w:left w:val="nil"/>
              <w:bottom w:val="single" w:sz="4" w:space="0" w:color="auto"/>
              <w:right w:val="single" w:sz="4" w:space="0" w:color="auto"/>
            </w:tcBorders>
            <w:shd w:val="clear" w:color="auto" w:fill="auto"/>
            <w:noWrap/>
            <w:vAlign w:val="bottom"/>
            <w:hideMark/>
          </w:tcPr>
          <w:p w14:paraId="3C9B533F" w14:textId="77777777" w:rsidR="00FC34B9" w:rsidRDefault="00FC34B9" w:rsidP="00FC34B9">
            <w:pPr>
              <w:jc w:val="center"/>
              <w:rPr>
                <w:rFonts w:ascii="Arial" w:hAnsi="Arial" w:cs="Arial"/>
                <w:sz w:val="20"/>
                <w:szCs w:val="20"/>
              </w:rPr>
            </w:pPr>
            <w:r>
              <w:rPr>
                <w:rFonts w:ascii="Arial" w:hAnsi="Arial" w:cs="Arial"/>
                <w:sz w:val="20"/>
                <w:szCs w:val="20"/>
              </w:rPr>
              <w:t>12779.53</w:t>
            </w:r>
          </w:p>
        </w:tc>
        <w:tc>
          <w:tcPr>
            <w:tcW w:w="0" w:type="auto"/>
            <w:tcBorders>
              <w:top w:val="nil"/>
              <w:left w:val="nil"/>
              <w:bottom w:val="single" w:sz="4" w:space="0" w:color="auto"/>
              <w:right w:val="single" w:sz="4" w:space="0" w:color="auto"/>
            </w:tcBorders>
            <w:shd w:val="clear" w:color="auto" w:fill="auto"/>
            <w:vAlign w:val="bottom"/>
            <w:hideMark/>
          </w:tcPr>
          <w:p w14:paraId="2DD571BA" w14:textId="77777777" w:rsidR="00FC34B9" w:rsidRDefault="00FC34B9" w:rsidP="00AA2867">
            <w:pPr>
              <w:spacing w:line="360" w:lineRule="auto"/>
              <w:jc w:val="center"/>
              <w:rPr>
                <w:rFonts w:ascii="Arial" w:hAnsi="Arial" w:cs="Arial"/>
                <w:sz w:val="20"/>
                <w:szCs w:val="20"/>
              </w:rPr>
            </w:pPr>
            <w:r>
              <w:rPr>
                <w:rFonts w:ascii="Arial" w:hAnsi="Arial" w:cs="Arial"/>
                <w:sz w:val="20"/>
                <w:szCs w:val="20"/>
              </w:rPr>
              <w:t>90%</w:t>
            </w:r>
          </w:p>
        </w:tc>
        <w:tc>
          <w:tcPr>
            <w:tcW w:w="0" w:type="auto"/>
            <w:tcBorders>
              <w:top w:val="nil"/>
              <w:left w:val="nil"/>
              <w:bottom w:val="single" w:sz="4" w:space="0" w:color="auto"/>
              <w:right w:val="single" w:sz="4" w:space="0" w:color="auto"/>
            </w:tcBorders>
            <w:shd w:val="clear" w:color="auto" w:fill="auto"/>
            <w:vAlign w:val="bottom"/>
            <w:hideMark/>
          </w:tcPr>
          <w:p w14:paraId="7078C9B4" w14:textId="77777777" w:rsidR="00FC34B9" w:rsidRDefault="00FC34B9" w:rsidP="00AA2867">
            <w:pPr>
              <w:spacing w:line="360" w:lineRule="auto"/>
              <w:jc w:val="center"/>
              <w:rPr>
                <w:rFonts w:ascii="Arial" w:hAnsi="Arial" w:cs="Arial"/>
                <w:sz w:val="20"/>
                <w:szCs w:val="20"/>
              </w:rPr>
            </w:pPr>
            <w:r>
              <w:rPr>
                <w:rFonts w:ascii="Arial" w:hAnsi="Arial" w:cs="Arial"/>
                <w:sz w:val="20"/>
                <w:szCs w:val="20"/>
              </w:rPr>
              <w:t>10%</w:t>
            </w:r>
          </w:p>
        </w:tc>
        <w:tc>
          <w:tcPr>
            <w:tcW w:w="0" w:type="auto"/>
            <w:tcBorders>
              <w:top w:val="nil"/>
              <w:left w:val="nil"/>
              <w:bottom w:val="single" w:sz="4" w:space="0" w:color="auto"/>
              <w:right w:val="single" w:sz="4" w:space="0" w:color="auto"/>
            </w:tcBorders>
            <w:shd w:val="clear" w:color="auto" w:fill="auto"/>
            <w:vAlign w:val="bottom"/>
            <w:hideMark/>
          </w:tcPr>
          <w:p w14:paraId="64DEF620" w14:textId="77777777" w:rsidR="00FC34B9" w:rsidRDefault="00FC34B9" w:rsidP="00AA2867">
            <w:pPr>
              <w:spacing w:line="360" w:lineRule="auto"/>
              <w:jc w:val="center"/>
              <w:rPr>
                <w:rFonts w:ascii="Arial" w:hAnsi="Arial" w:cs="Arial"/>
                <w:sz w:val="20"/>
                <w:szCs w:val="20"/>
              </w:rPr>
            </w:pPr>
            <w:r>
              <w:rPr>
                <w:rFonts w:ascii="Arial" w:hAnsi="Arial" w:cs="Arial"/>
                <w:sz w:val="20"/>
                <w:szCs w:val="20"/>
              </w:rPr>
              <w:t>11501.57</w:t>
            </w:r>
          </w:p>
        </w:tc>
        <w:tc>
          <w:tcPr>
            <w:tcW w:w="0" w:type="auto"/>
            <w:tcBorders>
              <w:top w:val="nil"/>
              <w:left w:val="nil"/>
              <w:bottom w:val="single" w:sz="4" w:space="0" w:color="auto"/>
              <w:right w:val="single" w:sz="4" w:space="0" w:color="auto"/>
            </w:tcBorders>
            <w:shd w:val="clear" w:color="auto" w:fill="auto"/>
            <w:vAlign w:val="bottom"/>
            <w:hideMark/>
          </w:tcPr>
          <w:p w14:paraId="58950DA7" w14:textId="77777777" w:rsidR="00FC34B9" w:rsidRDefault="00FC34B9" w:rsidP="00AA2867">
            <w:pPr>
              <w:spacing w:line="360" w:lineRule="auto"/>
              <w:jc w:val="center"/>
              <w:rPr>
                <w:rFonts w:ascii="Arial" w:hAnsi="Arial" w:cs="Arial"/>
                <w:sz w:val="20"/>
                <w:szCs w:val="20"/>
              </w:rPr>
            </w:pPr>
            <w:r>
              <w:rPr>
                <w:rFonts w:ascii="Arial" w:hAnsi="Arial" w:cs="Arial"/>
                <w:sz w:val="20"/>
                <w:szCs w:val="20"/>
              </w:rPr>
              <w:t>1277.95</w:t>
            </w:r>
          </w:p>
        </w:tc>
      </w:tr>
      <w:tr w:rsidR="00FC34B9" w14:paraId="34114E70" w14:textId="77777777" w:rsidTr="00FC34B9">
        <w:trPr>
          <w:trHeight w:val="174"/>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4946170" w14:textId="77777777" w:rsidR="00FC34B9" w:rsidRDefault="00FC34B9">
            <w:pPr>
              <w:jc w:val="center"/>
              <w:rPr>
                <w:rFonts w:ascii="Arial" w:hAnsi="Arial" w:cs="Arial"/>
                <w:sz w:val="20"/>
                <w:szCs w:val="20"/>
              </w:rPr>
            </w:pPr>
            <w:r>
              <w:rPr>
                <w:rFonts w:ascii="Arial" w:hAnsi="Arial" w:cs="Arial"/>
                <w:sz w:val="20"/>
                <w:szCs w:val="20"/>
              </w:rPr>
              <w:t>13</w:t>
            </w:r>
          </w:p>
        </w:tc>
        <w:tc>
          <w:tcPr>
            <w:tcW w:w="0" w:type="auto"/>
            <w:tcBorders>
              <w:top w:val="nil"/>
              <w:left w:val="nil"/>
              <w:bottom w:val="single" w:sz="4" w:space="0" w:color="auto"/>
              <w:right w:val="single" w:sz="4" w:space="0" w:color="auto"/>
            </w:tcBorders>
            <w:shd w:val="clear" w:color="auto" w:fill="auto"/>
            <w:vAlign w:val="center"/>
            <w:hideMark/>
          </w:tcPr>
          <w:p w14:paraId="2B6AE081" w14:textId="77777777" w:rsidR="00FC34B9" w:rsidRDefault="00FC34B9">
            <w:pPr>
              <w:rPr>
                <w:rFonts w:ascii="Arial" w:hAnsi="Arial" w:cs="Arial"/>
                <w:sz w:val="20"/>
                <w:szCs w:val="20"/>
              </w:rPr>
            </w:pPr>
            <w:r>
              <w:rPr>
                <w:rFonts w:ascii="Arial" w:hAnsi="Arial" w:cs="Arial"/>
                <w:sz w:val="20"/>
                <w:szCs w:val="20"/>
              </w:rPr>
              <w:t xml:space="preserve">Tax on </w:t>
            </w:r>
            <w:proofErr w:type="spellStart"/>
            <w:r>
              <w:rPr>
                <w:rFonts w:ascii="Arial" w:hAnsi="Arial" w:cs="Arial"/>
                <w:sz w:val="20"/>
                <w:szCs w:val="20"/>
              </w:rPr>
              <w:t>RoE</w:t>
            </w:r>
            <w:proofErr w:type="spellEnd"/>
          </w:p>
        </w:tc>
        <w:tc>
          <w:tcPr>
            <w:tcW w:w="0" w:type="auto"/>
            <w:tcBorders>
              <w:top w:val="nil"/>
              <w:left w:val="nil"/>
              <w:bottom w:val="single" w:sz="4" w:space="0" w:color="auto"/>
              <w:right w:val="single" w:sz="4" w:space="0" w:color="auto"/>
            </w:tcBorders>
            <w:shd w:val="clear" w:color="auto" w:fill="auto"/>
            <w:noWrap/>
            <w:vAlign w:val="bottom"/>
            <w:hideMark/>
          </w:tcPr>
          <w:p w14:paraId="3E336E09" w14:textId="77777777" w:rsidR="00FC34B9" w:rsidRDefault="00FC34B9" w:rsidP="00FC34B9">
            <w:pPr>
              <w:jc w:val="center"/>
              <w:rPr>
                <w:rFonts w:ascii="Arial" w:hAnsi="Arial" w:cs="Arial"/>
                <w:sz w:val="20"/>
                <w:szCs w:val="20"/>
              </w:rPr>
            </w:pPr>
            <w:r>
              <w:rPr>
                <w:rFonts w:ascii="Arial" w:hAnsi="Arial" w:cs="Arial"/>
                <w:sz w:val="20"/>
                <w:szCs w:val="20"/>
              </w:rPr>
              <w:t>4298.55</w:t>
            </w:r>
          </w:p>
        </w:tc>
        <w:tc>
          <w:tcPr>
            <w:tcW w:w="0" w:type="auto"/>
            <w:tcBorders>
              <w:top w:val="nil"/>
              <w:left w:val="nil"/>
              <w:bottom w:val="single" w:sz="4" w:space="0" w:color="auto"/>
              <w:right w:val="single" w:sz="4" w:space="0" w:color="auto"/>
            </w:tcBorders>
            <w:shd w:val="clear" w:color="auto" w:fill="auto"/>
            <w:vAlign w:val="bottom"/>
            <w:hideMark/>
          </w:tcPr>
          <w:p w14:paraId="56111973" w14:textId="77777777" w:rsidR="00FC34B9" w:rsidRDefault="00FC34B9" w:rsidP="00AA2867">
            <w:pPr>
              <w:spacing w:line="360" w:lineRule="auto"/>
              <w:jc w:val="center"/>
              <w:rPr>
                <w:rFonts w:ascii="Arial" w:hAnsi="Arial" w:cs="Arial"/>
                <w:sz w:val="20"/>
                <w:szCs w:val="20"/>
              </w:rPr>
            </w:pPr>
            <w:r>
              <w:rPr>
                <w:rFonts w:ascii="Arial" w:hAnsi="Arial" w:cs="Arial"/>
                <w:sz w:val="20"/>
                <w:szCs w:val="20"/>
              </w:rPr>
              <w:t>90%</w:t>
            </w:r>
          </w:p>
        </w:tc>
        <w:tc>
          <w:tcPr>
            <w:tcW w:w="0" w:type="auto"/>
            <w:tcBorders>
              <w:top w:val="nil"/>
              <w:left w:val="nil"/>
              <w:bottom w:val="single" w:sz="4" w:space="0" w:color="auto"/>
              <w:right w:val="single" w:sz="4" w:space="0" w:color="auto"/>
            </w:tcBorders>
            <w:shd w:val="clear" w:color="auto" w:fill="auto"/>
            <w:vAlign w:val="bottom"/>
            <w:hideMark/>
          </w:tcPr>
          <w:p w14:paraId="690A23DF" w14:textId="77777777" w:rsidR="00FC34B9" w:rsidRDefault="00FC34B9" w:rsidP="00AA2867">
            <w:pPr>
              <w:spacing w:line="360" w:lineRule="auto"/>
              <w:jc w:val="center"/>
              <w:rPr>
                <w:rFonts w:ascii="Arial" w:hAnsi="Arial" w:cs="Arial"/>
                <w:sz w:val="20"/>
                <w:szCs w:val="20"/>
              </w:rPr>
            </w:pPr>
            <w:r>
              <w:rPr>
                <w:rFonts w:ascii="Arial" w:hAnsi="Arial" w:cs="Arial"/>
                <w:sz w:val="20"/>
                <w:szCs w:val="20"/>
              </w:rPr>
              <w:t>10%</w:t>
            </w:r>
          </w:p>
        </w:tc>
        <w:tc>
          <w:tcPr>
            <w:tcW w:w="0" w:type="auto"/>
            <w:tcBorders>
              <w:top w:val="nil"/>
              <w:left w:val="nil"/>
              <w:bottom w:val="single" w:sz="4" w:space="0" w:color="auto"/>
              <w:right w:val="single" w:sz="4" w:space="0" w:color="auto"/>
            </w:tcBorders>
            <w:shd w:val="clear" w:color="auto" w:fill="auto"/>
            <w:vAlign w:val="bottom"/>
            <w:hideMark/>
          </w:tcPr>
          <w:p w14:paraId="450F0CB6" w14:textId="77777777" w:rsidR="00FC34B9" w:rsidRDefault="00FC34B9" w:rsidP="00AA2867">
            <w:pPr>
              <w:spacing w:line="360" w:lineRule="auto"/>
              <w:jc w:val="center"/>
              <w:rPr>
                <w:rFonts w:ascii="Arial" w:hAnsi="Arial" w:cs="Arial"/>
                <w:sz w:val="20"/>
                <w:szCs w:val="20"/>
              </w:rPr>
            </w:pPr>
            <w:r>
              <w:rPr>
                <w:rFonts w:ascii="Arial" w:hAnsi="Arial" w:cs="Arial"/>
                <w:sz w:val="20"/>
                <w:szCs w:val="20"/>
              </w:rPr>
              <w:t>3868.70</w:t>
            </w:r>
          </w:p>
        </w:tc>
        <w:tc>
          <w:tcPr>
            <w:tcW w:w="0" w:type="auto"/>
            <w:tcBorders>
              <w:top w:val="nil"/>
              <w:left w:val="nil"/>
              <w:bottom w:val="single" w:sz="4" w:space="0" w:color="auto"/>
              <w:right w:val="single" w:sz="4" w:space="0" w:color="auto"/>
            </w:tcBorders>
            <w:shd w:val="clear" w:color="auto" w:fill="auto"/>
            <w:vAlign w:val="bottom"/>
            <w:hideMark/>
          </w:tcPr>
          <w:p w14:paraId="6D676EC4" w14:textId="77777777" w:rsidR="00FC34B9" w:rsidRDefault="00FC34B9" w:rsidP="00AA2867">
            <w:pPr>
              <w:spacing w:line="360" w:lineRule="auto"/>
              <w:jc w:val="center"/>
              <w:rPr>
                <w:rFonts w:ascii="Arial" w:hAnsi="Arial" w:cs="Arial"/>
                <w:sz w:val="20"/>
                <w:szCs w:val="20"/>
              </w:rPr>
            </w:pPr>
            <w:r>
              <w:rPr>
                <w:rFonts w:ascii="Arial" w:hAnsi="Arial" w:cs="Arial"/>
                <w:sz w:val="20"/>
                <w:szCs w:val="20"/>
              </w:rPr>
              <w:t>429.86</w:t>
            </w:r>
          </w:p>
        </w:tc>
      </w:tr>
      <w:tr w:rsidR="00FC34B9" w14:paraId="52892517" w14:textId="77777777" w:rsidTr="00FC34B9">
        <w:trPr>
          <w:trHeight w:val="20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6FAF4A2" w14:textId="77777777" w:rsidR="00FC34B9" w:rsidRDefault="00FC34B9">
            <w:pPr>
              <w:jc w:val="center"/>
              <w:rPr>
                <w:rFonts w:ascii="Arial" w:hAnsi="Arial" w:cs="Arial"/>
                <w:sz w:val="20"/>
                <w:szCs w:val="20"/>
              </w:rPr>
            </w:pPr>
            <w:r>
              <w:rPr>
                <w:rFonts w:ascii="Arial" w:hAnsi="Arial" w:cs="Arial"/>
                <w:sz w:val="20"/>
                <w:szCs w:val="20"/>
              </w:rPr>
              <w:t> </w:t>
            </w:r>
          </w:p>
        </w:tc>
        <w:tc>
          <w:tcPr>
            <w:tcW w:w="0" w:type="auto"/>
            <w:tcBorders>
              <w:top w:val="nil"/>
              <w:left w:val="nil"/>
              <w:bottom w:val="single" w:sz="4" w:space="0" w:color="auto"/>
              <w:right w:val="single" w:sz="4" w:space="0" w:color="auto"/>
            </w:tcBorders>
            <w:shd w:val="clear" w:color="auto" w:fill="auto"/>
            <w:vAlign w:val="center"/>
            <w:hideMark/>
          </w:tcPr>
          <w:p w14:paraId="3487AB71" w14:textId="77777777" w:rsidR="00FC34B9" w:rsidRDefault="00FC34B9">
            <w:pPr>
              <w:rPr>
                <w:rFonts w:ascii="Calibri" w:hAnsi="Calibri" w:cs="Arial"/>
                <w:b/>
                <w:bCs/>
                <w:color w:val="000000"/>
                <w:sz w:val="22"/>
                <w:szCs w:val="22"/>
              </w:rPr>
            </w:pPr>
            <w:r>
              <w:rPr>
                <w:rFonts w:ascii="Calibri" w:hAnsi="Calibri" w:cs="Arial"/>
                <w:b/>
                <w:bCs/>
                <w:color w:val="000000"/>
                <w:sz w:val="22"/>
                <w:szCs w:val="22"/>
              </w:rPr>
              <w:t>Special Appropriation</w:t>
            </w:r>
          </w:p>
        </w:tc>
        <w:tc>
          <w:tcPr>
            <w:tcW w:w="0" w:type="auto"/>
            <w:tcBorders>
              <w:top w:val="nil"/>
              <w:left w:val="nil"/>
              <w:bottom w:val="single" w:sz="4" w:space="0" w:color="auto"/>
              <w:right w:val="single" w:sz="4" w:space="0" w:color="auto"/>
            </w:tcBorders>
            <w:shd w:val="clear" w:color="auto" w:fill="auto"/>
            <w:noWrap/>
            <w:vAlign w:val="bottom"/>
            <w:hideMark/>
          </w:tcPr>
          <w:p w14:paraId="53C8D78E" w14:textId="77777777" w:rsidR="00FC34B9" w:rsidRDefault="00FC34B9" w:rsidP="00FC34B9">
            <w:pPr>
              <w:jc w:val="center"/>
              <w:rPr>
                <w:rFonts w:ascii="Arial" w:hAnsi="Arial" w:cs="Arial"/>
                <w:sz w:val="20"/>
                <w:szCs w:val="20"/>
              </w:rPr>
            </w:pPr>
            <w:r>
              <w:rPr>
                <w:rFonts w:ascii="Arial" w:hAnsi="Arial" w:cs="Arial"/>
                <w:sz w:val="20"/>
                <w:szCs w:val="20"/>
              </w:rPr>
              <w:t>0.00</w:t>
            </w:r>
          </w:p>
        </w:tc>
        <w:tc>
          <w:tcPr>
            <w:tcW w:w="0" w:type="auto"/>
            <w:tcBorders>
              <w:top w:val="nil"/>
              <w:left w:val="nil"/>
              <w:bottom w:val="single" w:sz="4" w:space="0" w:color="auto"/>
              <w:right w:val="single" w:sz="4" w:space="0" w:color="auto"/>
            </w:tcBorders>
            <w:shd w:val="clear" w:color="auto" w:fill="auto"/>
            <w:vAlign w:val="bottom"/>
            <w:hideMark/>
          </w:tcPr>
          <w:p w14:paraId="5B0243B1" w14:textId="64B2123B" w:rsidR="00FC34B9" w:rsidRDefault="00FC34B9" w:rsidP="00AA2867">
            <w:pPr>
              <w:spacing w:line="360" w:lineRule="auto"/>
              <w:jc w:val="center"/>
              <w:rPr>
                <w:rFonts w:ascii="Arial" w:hAnsi="Arial" w:cs="Arial"/>
                <w:sz w:val="20"/>
                <w:szCs w:val="20"/>
              </w:rPr>
            </w:pPr>
          </w:p>
        </w:tc>
        <w:tc>
          <w:tcPr>
            <w:tcW w:w="0" w:type="auto"/>
            <w:tcBorders>
              <w:top w:val="nil"/>
              <w:left w:val="nil"/>
              <w:bottom w:val="single" w:sz="4" w:space="0" w:color="auto"/>
              <w:right w:val="single" w:sz="4" w:space="0" w:color="auto"/>
            </w:tcBorders>
            <w:shd w:val="clear" w:color="auto" w:fill="auto"/>
            <w:vAlign w:val="bottom"/>
            <w:hideMark/>
          </w:tcPr>
          <w:p w14:paraId="00EBC6BB" w14:textId="1E72441E" w:rsidR="00FC34B9" w:rsidRDefault="00FC34B9" w:rsidP="00AA2867">
            <w:pPr>
              <w:spacing w:line="360" w:lineRule="auto"/>
              <w:jc w:val="center"/>
              <w:rPr>
                <w:rFonts w:ascii="Arial" w:hAnsi="Arial" w:cs="Arial"/>
                <w:sz w:val="20"/>
                <w:szCs w:val="20"/>
              </w:rPr>
            </w:pPr>
          </w:p>
        </w:tc>
        <w:tc>
          <w:tcPr>
            <w:tcW w:w="0" w:type="auto"/>
            <w:tcBorders>
              <w:top w:val="nil"/>
              <w:left w:val="nil"/>
              <w:bottom w:val="single" w:sz="4" w:space="0" w:color="auto"/>
              <w:right w:val="single" w:sz="4" w:space="0" w:color="auto"/>
            </w:tcBorders>
            <w:shd w:val="clear" w:color="auto" w:fill="auto"/>
            <w:vAlign w:val="bottom"/>
            <w:hideMark/>
          </w:tcPr>
          <w:p w14:paraId="703396D9" w14:textId="20ABEED8" w:rsidR="00FC34B9" w:rsidRDefault="00FC34B9" w:rsidP="00AA2867">
            <w:pPr>
              <w:spacing w:line="360" w:lineRule="auto"/>
              <w:jc w:val="center"/>
              <w:rPr>
                <w:rFonts w:ascii="Calibri" w:hAnsi="Calibri" w:cs="Arial"/>
                <w:b/>
                <w:bCs/>
                <w:color w:val="000000"/>
                <w:sz w:val="22"/>
                <w:szCs w:val="22"/>
              </w:rPr>
            </w:pPr>
          </w:p>
        </w:tc>
        <w:tc>
          <w:tcPr>
            <w:tcW w:w="0" w:type="auto"/>
            <w:tcBorders>
              <w:top w:val="nil"/>
              <w:left w:val="nil"/>
              <w:bottom w:val="single" w:sz="4" w:space="0" w:color="auto"/>
              <w:right w:val="single" w:sz="4" w:space="0" w:color="auto"/>
            </w:tcBorders>
            <w:shd w:val="clear" w:color="auto" w:fill="auto"/>
            <w:vAlign w:val="bottom"/>
            <w:hideMark/>
          </w:tcPr>
          <w:p w14:paraId="062EF567" w14:textId="77777777" w:rsidR="00FC34B9" w:rsidRDefault="00FC34B9" w:rsidP="00AA2867">
            <w:pPr>
              <w:spacing w:line="360" w:lineRule="auto"/>
              <w:jc w:val="center"/>
              <w:rPr>
                <w:rFonts w:ascii="Arial" w:hAnsi="Arial" w:cs="Arial"/>
                <w:sz w:val="20"/>
                <w:szCs w:val="20"/>
              </w:rPr>
            </w:pPr>
            <w:r>
              <w:rPr>
                <w:rFonts w:ascii="Arial" w:hAnsi="Arial" w:cs="Arial"/>
                <w:sz w:val="20"/>
                <w:szCs w:val="20"/>
              </w:rPr>
              <w:t>0.00</w:t>
            </w:r>
          </w:p>
        </w:tc>
      </w:tr>
      <w:tr w:rsidR="00FC34B9" w14:paraId="121FDB47" w14:textId="77777777" w:rsidTr="00FC34B9">
        <w:trPr>
          <w:trHeight w:val="174"/>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260D7CB" w14:textId="77777777" w:rsidR="00FC34B9" w:rsidRDefault="00FC34B9">
            <w:pPr>
              <w:jc w:val="center"/>
              <w:rPr>
                <w:rFonts w:ascii="Arial" w:hAnsi="Arial" w:cs="Arial"/>
                <w:sz w:val="20"/>
                <w:szCs w:val="20"/>
              </w:rPr>
            </w:pPr>
            <w:r>
              <w:rPr>
                <w:rFonts w:ascii="Arial" w:hAnsi="Arial" w:cs="Arial"/>
                <w:sz w:val="20"/>
                <w:szCs w:val="20"/>
              </w:rPr>
              <w:t>14</w:t>
            </w:r>
          </w:p>
        </w:tc>
        <w:tc>
          <w:tcPr>
            <w:tcW w:w="0" w:type="auto"/>
            <w:tcBorders>
              <w:top w:val="nil"/>
              <w:left w:val="nil"/>
              <w:bottom w:val="single" w:sz="4" w:space="0" w:color="auto"/>
              <w:right w:val="single" w:sz="4" w:space="0" w:color="auto"/>
            </w:tcBorders>
            <w:shd w:val="clear" w:color="auto" w:fill="auto"/>
            <w:vAlign w:val="center"/>
            <w:hideMark/>
          </w:tcPr>
          <w:p w14:paraId="08436AEE" w14:textId="77777777" w:rsidR="00FC34B9" w:rsidRDefault="00FC34B9">
            <w:pPr>
              <w:rPr>
                <w:rFonts w:ascii="Arial" w:hAnsi="Arial" w:cs="Arial"/>
                <w:sz w:val="20"/>
                <w:szCs w:val="20"/>
              </w:rPr>
            </w:pPr>
            <w:r>
              <w:rPr>
                <w:rFonts w:ascii="Arial" w:hAnsi="Arial" w:cs="Arial"/>
                <w:sz w:val="20"/>
                <w:szCs w:val="20"/>
              </w:rPr>
              <w:t>Carrying Cost</w:t>
            </w:r>
          </w:p>
        </w:tc>
        <w:tc>
          <w:tcPr>
            <w:tcW w:w="0" w:type="auto"/>
            <w:tcBorders>
              <w:top w:val="nil"/>
              <w:left w:val="nil"/>
              <w:bottom w:val="single" w:sz="4" w:space="0" w:color="auto"/>
              <w:right w:val="single" w:sz="4" w:space="0" w:color="auto"/>
            </w:tcBorders>
            <w:shd w:val="clear" w:color="auto" w:fill="auto"/>
            <w:noWrap/>
            <w:vAlign w:val="bottom"/>
            <w:hideMark/>
          </w:tcPr>
          <w:p w14:paraId="1D69DA65" w14:textId="77777777" w:rsidR="00FC34B9" w:rsidRDefault="00FC34B9" w:rsidP="00FC34B9">
            <w:pPr>
              <w:jc w:val="center"/>
              <w:rPr>
                <w:rFonts w:ascii="Arial" w:hAnsi="Arial" w:cs="Arial"/>
                <w:sz w:val="20"/>
                <w:szCs w:val="20"/>
              </w:rPr>
            </w:pPr>
            <w:r>
              <w:rPr>
                <w:rFonts w:ascii="Arial" w:hAnsi="Arial" w:cs="Arial"/>
                <w:sz w:val="20"/>
                <w:szCs w:val="20"/>
              </w:rPr>
              <w:t>2555.39</w:t>
            </w:r>
          </w:p>
        </w:tc>
        <w:tc>
          <w:tcPr>
            <w:tcW w:w="0" w:type="auto"/>
            <w:tcBorders>
              <w:top w:val="nil"/>
              <w:left w:val="nil"/>
              <w:bottom w:val="single" w:sz="4" w:space="0" w:color="auto"/>
              <w:right w:val="single" w:sz="4" w:space="0" w:color="auto"/>
            </w:tcBorders>
            <w:shd w:val="clear" w:color="auto" w:fill="auto"/>
            <w:vAlign w:val="bottom"/>
            <w:hideMark/>
          </w:tcPr>
          <w:p w14:paraId="00EC156F" w14:textId="77777777" w:rsidR="00FC34B9" w:rsidRDefault="00FC34B9" w:rsidP="00AA2867">
            <w:pPr>
              <w:spacing w:line="360" w:lineRule="auto"/>
              <w:jc w:val="center"/>
              <w:rPr>
                <w:rFonts w:ascii="Arial" w:hAnsi="Arial" w:cs="Arial"/>
                <w:sz w:val="20"/>
                <w:szCs w:val="20"/>
              </w:rPr>
            </w:pPr>
            <w:r>
              <w:rPr>
                <w:rFonts w:ascii="Arial" w:hAnsi="Arial" w:cs="Arial"/>
                <w:sz w:val="20"/>
                <w:szCs w:val="20"/>
              </w:rPr>
              <w:t>25%</w:t>
            </w:r>
          </w:p>
        </w:tc>
        <w:tc>
          <w:tcPr>
            <w:tcW w:w="0" w:type="auto"/>
            <w:tcBorders>
              <w:top w:val="nil"/>
              <w:left w:val="nil"/>
              <w:bottom w:val="single" w:sz="4" w:space="0" w:color="auto"/>
              <w:right w:val="single" w:sz="4" w:space="0" w:color="auto"/>
            </w:tcBorders>
            <w:shd w:val="clear" w:color="auto" w:fill="auto"/>
            <w:vAlign w:val="bottom"/>
            <w:hideMark/>
          </w:tcPr>
          <w:p w14:paraId="7BFEF466" w14:textId="77777777" w:rsidR="00FC34B9" w:rsidRDefault="00FC34B9" w:rsidP="00AA2867">
            <w:pPr>
              <w:spacing w:line="360" w:lineRule="auto"/>
              <w:jc w:val="center"/>
              <w:rPr>
                <w:rFonts w:ascii="Arial" w:hAnsi="Arial" w:cs="Arial"/>
                <w:sz w:val="20"/>
                <w:szCs w:val="20"/>
              </w:rPr>
            </w:pPr>
            <w:r>
              <w:rPr>
                <w:rFonts w:ascii="Arial" w:hAnsi="Arial" w:cs="Arial"/>
                <w:sz w:val="20"/>
                <w:szCs w:val="20"/>
              </w:rPr>
              <w:t>75%</w:t>
            </w:r>
          </w:p>
        </w:tc>
        <w:tc>
          <w:tcPr>
            <w:tcW w:w="0" w:type="auto"/>
            <w:tcBorders>
              <w:top w:val="nil"/>
              <w:left w:val="nil"/>
              <w:bottom w:val="single" w:sz="4" w:space="0" w:color="auto"/>
              <w:right w:val="single" w:sz="4" w:space="0" w:color="auto"/>
            </w:tcBorders>
            <w:shd w:val="clear" w:color="auto" w:fill="auto"/>
            <w:vAlign w:val="bottom"/>
            <w:hideMark/>
          </w:tcPr>
          <w:p w14:paraId="7EF2EC48" w14:textId="77777777" w:rsidR="00FC34B9" w:rsidRDefault="00FC34B9" w:rsidP="00AA2867">
            <w:pPr>
              <w:spacing w:line="360" w:lineRule="auto"/>
              <w:jc w:val="center"/>
              <w:rPr>
                <w:rFonts w:ascii="Arial" w:hAnsi="Arial" w:cs="Arial"/>
                <w:sz w:val="20"/>
                <w:szCs w:val="20"/>
              </w:rPr>
            </w:pPr>
            <w:r>
              <w:rPr>
                <w:rFonts w:ascii="Arial" w:hAnsi="Arial" w:cs="Arial"/>
                <w:sz w:val="20"/>
                <w:szCs w:val="20"/>
              </w:rPr>
              <w:t>638.85</w:t>
            </w:r>
          </w:p>
        </w:tc>
        <w:tc>
          <w:tcPr>
            <w:tcW w:w="0" w:type="auto"/>
            <w:tcBorders>
              <w:top w:val="nil"/>
              <w:left w:val="nil"/>
              <w:bottom w:val="single" w:sz="4" w:space="0" w:color="auto"/>
              <w:right w:val="single" w:sz="4" w:space="0" w:color="auto"/>
            </w:tcBorders>
            <w:shd w:val="clear" w:color="auto" w:fill="auto"/>
            <w:vAlign w:val="bottom"/>
            <w:hideMark/>
          </w:tcPr>
          <w:p w14:paraId="485F7BDE" w14:textId="77777777" w:rsidR="00FC34B9" w:rsidRDefault="00FC34B9" w:rsidP="00AA2867">
            <w:pPr>
              <w:spacing w:line="360" w:lineRule="auto"/>
              <w:jc w:val="center"/>
              <w:rPr>
                <w:rFonts w:ascii="Arial" w:hAnsi="Arial" w:cs="Arial"/>
                <w:sz w:val="20"/>
                <w:szCs w:val="20"/>
              </w:rPr>
            </w:pPr>
            <w:r>
              <w:rPr>
                <w:rFonts w:ascii="Arial" w:hAnsi="Arial" w:cs="Arial"/>
                <w:sz w:val="20"/>
                <w:szCs w:val="20"/>
              </w:rPr>
              <w:t>1916.54</w:t>
            </w:r>
          </w:p>
        </w:tc>
      </w:tr>
      <w:tr w:rsidR="00FC34B9" w14:paraId="080CE5C0" w14:textId="77777777" w:rsidTr="00FC34B9">
        <w:trPr>
          <w:trHeight w:val="34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B2BEE49" w14:textId="77777777" w:rsidR="00FC34B9" w:rsidRDefault="00FC34B9">
            <w:pPr>
              <w:jc w:val="center"/>
              <w:rPr>
                <w:rFonts w:ascii="Arial" w:hAnsi="Arial" w:cs="Arial"/>
                <w:sz w:val="20"/>
                <w:szCs w:val="20"/>
              </w:rPr>
            </w:pPr>
            <w:r>
              <w:rPr>
                <w:rFonts w:ascii="Arial" w:hAnsi="Arial" w:cs="Arial"/>
                <w:sz w:val="20"/>
                <w:szCs w:val="20"/>
              </w:rPr>
              <w:t>15</w:t>
            </w:r>
          </w:p>
        </w:tc>
        <w:tc>
          <w:tcPr>
            <w:tcW w:w="0" w:type="auto"/>
            <w:tcBorders>
              <w:top w:val="nil"/>
              <w:left w:val="nil"/>
              <w:bottom w:val="single" w:sz="4" w:space="0" w:color="auto"/>
              <w:right w:val="single" w:sz="4" w:space="0" w:color="auto"/>
            </w:tcBorders>
            <w:shd w:val="clear" w:color="auto" w:fill="auto"/>
            <w:vAlign w:val="center"/>
            <w:hideMark/>
          </w:tcPr>
          <w:p w14:paraId="0F6148E7" w14:textId="77777777" w:rsidR="00FC34B9" w:rsidRDefault="00FC34B9">
            <w:pPr>
              <w:rPr>
                <w:rFonts w:ascii="Arial" w:hAnsi="Arial" w:cs="Arial"/>
                <w:sz w:val="20"/>
                <w:szCs w:val="20"/>
              </w:rPr>
            </w:pPr>
            <w:r>
              <w:rPr>
                <w:rFonts w:ascii="Arial" w:hAnsi="Arial" w:cs="Arial"/>
                <w:sz w:val="20"/>
                <w:szCs w:val="20"/>
              </w:rPr>
              <w:t>True Up of Current year GAP 1/3rd</w:t>
            </w:r>
          </w:p>
        </w:tc>
        <w:tc>
          <w:tcPr>
            <w:tcW w:w="0" w:type="auto"/>
            <w:tcBorders>
              <w:top w:val="nil"/>
              <w:left w:val="nil"/>
              <w:bottom w:val="single" w:sz="4" w:space="0" w:color="auto"/>
              <w:right w:val="single" w:sz="4" w:space="0" w:color="auto"/>
            </w:tcBorders>
            <w:shd w:val="clear" w:color="auto" w:fill="auto"/>
            <w:noWrap/>
            <w:vAlign w:val="bottom"/>
            <w:hideMark/>
          </w:tcPr>
          <w:p w14:paraId="22368C6D" w14:textId="77777777" w:rsidR="00FC34B9" w:rsidRDefault="00FC34B9" w:rsidP="00FC34B9">
            <w:pPr>
              <w:jc w:val="center"/>
              <w:rPr>
                <w:rFonts w:ascii="Arial" w:hAnsi="Arial" w:cs="Arial"/>
                <w:sz w:val="20"/>
                <w:szCs w:val="20"/>
              </w:rPr>
            </w:pPr>
            <w:r>
              <w:rPr>
                <w:rFonts w:ascii="Arial" w:hAnsi="Arial" w:cs="Arial"/>
                <w:sz w:val="20"/>
                <w:szCs w:val="20"/>
              </w:rPr>
              <w:t>0.00</w:t>
            </w:r>
          </w:p>
        </w:tc>
        <w:tc>
          <w:tcPr>
            <w:tcW w:w="0" w:type="auto"/>
            <w:tcBorders>
              <w:top w:val="nil"/>
              <w:left w:val="nil"/>
              <w:bottom w:val="single" w:sz="4" w:space="0" w:color="auto"/>
              <w:right w:val="single" w:sz="4" w:space="0" w:color="auto"/>
            </w:tcBorders>
            <w:shd w:val="clear" w:color="auto" w:fill="auto"/>
            <w:vAlign w:val="bottom"/>
            <w:hideMark/>
          </w:tcPr>
          <w:p w14:paraId="21B60884" w14:textId="77777777" w:rsidR="00FC34B9" w:rsidRDefault="00FC34B9" w:rsidP="00AA2867">
            <w:pPr>
              <w:spacing w:line="360" w:lineRule="auto"/>
              <w:jc w:val="center"/>
              <w:rPr>
                <w:rFonts w:ascii="Arial" w:hAnsi="Arial" w:cs="Arial"/>
                <w:sz w:val="20"/>
                <w:szCs w:val="20"/>
              </w:rPr>
            </w:pPr>
            <w:r>
              <w:rPr>
                <w:rFonts w:ascii="Arial" w:hAnsi="Arial" w:cs="Arial"/>
                <w:sz w:val="20"/>
                <w:szCs w:val="20"/>
              </w:rPr>
              <w:t>25%</w:t>
            </w:r>
          </w:p>
        </w:tc>
        <w:tc>
          <w:tcPr>
            <w:tcW w:w="0" w:type="auto"/>
            <w:tcBorders>
              <w:top w:val="nil"/>
              <w:left w:val="nil"/>
              <w:bottom w:val="single" w:sz="4" w:space="0" w:color="auto"/>
              <w:right w:val="single" w:sz="4" w:space="0" w:color="auto"/>
            </w:tcBorders>
            <w:shd w:val="clear" w:color="auto" w:fill="auto"/>
            <w:vAlign w:val="bottom"/>
            <w:hideMark/>
          </w:tcPr>
          <w:p w14:paraId="5F717E67" w14:textId="77777777" w:rsidR="00FC34B9" w:rsidRDefault="00FC34B9" w:rsidP="00AA2867">
            <w:pPr>
              <w:spacing w:line="360" w:lineRule="auto"/>
              <w:jc w:val="center"/>
              <w:rPr>
                <w:rFonts w:ascii="Arial" w:hAnsi="Arial" w:cs="Arial"/>
                <w:sz w:val="20"/>
                <w:szCs w:val="20"/>
              </w:rPr>
            </w:pPr>
            <w:r>
              <w:rPr>
                <w:rFonts w:ascii="Arial" w:hAnsi="Arial" w:cs="Arial"/>
                <w:sz w:val="20"/>
                <w:szCs w:val="20"/>
              </w:rPr>
              <w:t>75%</w:t>
            </w:r>
          </w:p>
        </w:tc>
        <w:tc>
          <w:tcPr>
            <w:tcW w:w="0" w:type="auto"/>
            <w:tcBorders>
              <w:top w:val="nil"/>
              <w:left w:val="nil"/>
              <w:bottom w:val="single" w:sz="4" w:space="0" w:color="auto"/>
              <w:right w:val="single" w:sz="4" w:space="0" w:color="auto"/>
            </w:tcBorders>
            <w:shd w:val="clear" w:color="auto" w:fill="auto"/>
            <w:vAlign w:val="bottom"/>
            <w:hideMark/>
          </w:tcPr>
          <w:p w14:paraId="200B1614" w14:textId="77777777" w:rsidR="00FC34B9" w:rsidRDefault="00FC34B9" w:rsidP="00AA2867">
            <w:pPr>
              <w:spacing w:line="360" w:lineRule="auto"/>
              <w:jc w:val="center"/>
              <w:rPr>
                <w:rFonts w:ascii="Arial" w:hAnsi="Arial" w:cs="Arial"/>
                <w:sz w:val="20"/>
                <w:szCs w:val="20"/>
              </w:rPr>
            </w:pPr>
            <w:r>
              <w:rPr>
                <w:rFonts w:ascii="Arial" w:hAnsi="Arial" w:cs="Arial"/>
                <w:sz w:val="20"/>
                <w:szCs w:val="20"/>
              </w:rPr>
              <w:t>0.00</w:t>
            </w:r>
          </w:p>
        </w:tc>
        <w:tc>
          <w:tcPr>
            <w:tcW w:w="0" w:type="auto"/>
            <w:tcBorders>
              <w:top w:val="nil"/>
              <w:left w:val="nil"/>
              <w:bottom w:val="single" w:sz="4" w:space="0" w:color="auto"/>
              <w:right w:val="single" w:sz="4" w:space="0" w:color="auto"/>
            </w:tcBorders>
            <w:shd w:val="clear" w:color="auto" w:fill="auto"/>
            <w:vAlign w:val="bottom"/>
            <w:hideMark/>
          </w:tcPr>
          <w:p w14:paraId="645ABCE1" w14:textId="77777777" w:rsidR="00FC34B9" w:rsidRDefault="00FC34B9" w:rsidP="00AA2867">
            <w:pPr>
              <w:spacing w:line="360" w:lineRule="auto"/>
              <w:jc w:val="center"/>
              <w:rPr>
                <w:rFonts w:ascii="Arial" w:hAnsi="Arial" w:cs="Arial"/>
                <w:sz w:val="20"/>
                <w:szCs w:val="20"/>
              </w:rPr>
            </w:pPr>
            <w:r>
              <w:rPr>
                <w:rFonts w:ascii="Arial" w:hAnsi="Arial" w:cs="Arial"/>
                <w:sz w:val="20"/>
                <w:szCs w:val="20"/>
              </w:rPr>
              <w:t>0.00</w:t>
            </w:r>
          </w:p>
        </w:tc>
      </w:tr>
      <w:tr w:rsidR="00FC34B9" w14:paraId="3DE55C47" w14:textId="77777777" w:rsidTr="00FC34B9">
        <w:trPr>
          <w:trHeight w:val="348"/>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1D69A57" w14:textId="77777777" w:rsidR="00FC34B9" w:rsidRDefault="00FC34B9">
            <w:pPr>
              <w:jc w:val="center"/>
              <w:rPr>
                <w:rFonts w:ascii="Arial" w:hAnsi="Arial" w:cs="Arial"/>
                <w:sz w:val="20"/>
                <w:szCs w:val="20"/>
              </w:rPr>
            </w:pPr>
            <w:r>
              <w:rPr>
                <w:rFonts w:ascii="Arial" w:hAnsi="Arial" w:cs="Arial"/>
                <w:sz w:val="20"/>
                <w:szCs w:val="20"/>
              </w:rPr>
              <w:t>16</w:t>
            </w:r>
          </w:p>
        </w:tc>
        <w:tc>
          <w:tcPr>
            <w:tcW w:w="0" w:type="auto"/>
            <w:tcBorders>
              <w:top w:val="nil"/>
              <w:left w:val="nil"/>
              <w:bottom w:val="single" w:sz="4" w:space="0" w:color="auto"/>
              <w:right w:val="single" w:sz="4" w:space="0" w:color="auto"/>
            </w:tcBorders>
            <w:shd w:val="clear" w:color="auto" w:fill="auto"/>
            <w:vAlign w:val="center"/>
            <w:hideMark/>
          </w:tcPr>
          <w:p w14:paraId="50EBE029" w14:textId="77777777" w:rsidR="00FC34B9" w:rsidRDefault="00FC34B9">
            <w:pPr>
              <w:rPr>
                <w:rFonts w:ascii="Arial" w:hAnsi="Arial" w:cs="Arial"/>
                <w:sz w:val="20"/>
                <w:szCs w:val="20"/>
              </w:rPr>
            </w:pPr>
            <w:r>
              <w:rPr>
                <w:rFonts w:ascii="Arial" w:hAnsi="Arial" w:cs="Arial"/>
                <w:sz w:val="20"/>
                <w:szCs w:val="20"/>
              </w:rPr>
              <w:t>Other, if any-</w:t>
            </w:r>
            <w:proofErr w:type="spellStart"/>
            <w:r>
              <w:rPr>
                <w:rFonts w:ascii="Arial" w:hAnsi="Arial" w:cs="Arial"/>
                <w:sz w:val="20"/>
                <w:szCs w:val="20"/>
              </w:rPr>
              <w:t>Contigency</w:t>
            </w:r>
            <w:proofErr w:type="spellEnd"/>
            <w:r>
              <w:rPr>
                <w:rFonts w:ascii="Arial" w:hAnsi="Arial" w:cs="Arial"/>
                <w:sz w:val="20"/>
                <w:szCs w:val="20"/>
              </w:rPr>
              <w:t xml:space="preserve"> Reserve</w:t>
            </w:r>
          </w:p>
        </w:tc>
        <w:tc>
          <w:tcPr>
            <w:tcW w:w="0" w:type="auto"/>
            <w:tcBorders>
              <w:top w:val="nil"/>
              <w:left w:val="nil"/>
              <w:bottom w:val="single" w:sz="4" w:space="0" w:color="auto"/>
              <w:right w:val="single" w:sz="4" w:space="0" w:color="auto"/>
            </w:tcBorders>
            <w:shd w:val="clear" w:color="auto" w:fill="auto"/>
            <w:noWrap/>
            <w:vAlign w:val="bottom"/>
            <w:hideMark/>
          </w:tcPr>
          <w:p w14:paraId="040355BF" w14:textId="77777777" w:rsidR="00FC34B9" w:rsidRDefault="00FC34B9" w:rsidP="00FC34B9">
            <w:pPr>
              <w:jc w:val="center"/>
              <w:rPr>
                <w:rFonts w:ascii="Arial" w:hAnsi="Arial" w:cs="Arial"/>
                <w:sz w:val="20"/>
                <w:szCs w:val="20"/>
              </w:rPr>
            </w:pPr>
            <w:r>
              <w:rPr>
                <w:rFonts w:ascii="Arial" w:hAnsi="Arial" w:cs="Arial"/>
                <w:sz w:val="20"/>
                <w:szCs w:val="20"/>
              </w:rPr>
              <w:t>0.00</w:t>
            </w:r>
          </w:p>
        </w:tc>
        <w:tc>
          <w:tcPr>
            <w:tcW w:w="0" w:type="auto"/>
            <w:tcBorders>
              <w:top w:val="nil"/>
              <w:left w:val="nil"/>
              <w:bottom w:val="single" w:sz="4" w:space="0" w:color="auto"/>
              <w:right w:val="single" w:sz="4" w:space="0" w:color="auto"/>
            </w:tcBorders>
            <w:shd w:val="clear" w:color="auto" w:fill="auto"/>
            <w:vAlign w:val="bottom"/>
            <w:hideMark/>
          </w:tcPr>
          <w:p w14:paraId="0EFD337E" w14:textId="77777777" w:rsidR="00FC34B9" w:rsidRDefault="00FC34B9" w:rsidP="00AA2867">
            <w:pPr>
              <w:spacing w:line="360" w:lineRule="auto"/>
              <w:jc w:val="center"/>
              <w:rPr>
                <w:rFonts w:ascii="Arial" w:hAnsi="Arial" w:cs="Arial"/>
                <w:sz w:val="20"/>
                <w:szCs w:val="20"/>
              </w:rPr>
            </w:pPr>
            <w:r>
              <w:rPr>
                <w:rFonts w:ascii="Arial" w:hAnsi="Arial" w:cs="Arial"/>
                <w:sz w:val="20"/>
                <w:szCs w:val="20"/>
              </w:rPr>
              <w:t>100%</w:t>
            </w:r>
          </w:p>
        </w:tc>
        <w:tc>
          <w:tcPr>
            <w:tcW w:w="0" w:type="auto"/>
            <w:tcBorders>
              <w:top w:val="nil"/>
              <w:left w:val="nil"/>
              <w:bottom w:val="single" w:sz="4" w:space="0" w:color="auto"/>
              <w:right w:val="single" w:sz="4" w:space="0" w:color="auto"/>
            </w:tcBorders>
            <w:shd w:val="clear" w:color="auto" w:fill="auto"/>
            <w:vAlign w:val="bottom"/>
            <w:hideMark/>
          </w:tcPr>
          <w:p w14:paraId="22AD179B" w14:textId="77777777" w:rsidR="00FC34B9" w:rsidRDefault="00FC34B9" w:rsidP="00AA2867">
            <w:pPr>
              <w:spacing w:line="360" w:lineRule="auto"/>
              <w:jc w:val="center"/>
              <w:rPr>
                <w:rFonts w:ascii="Arial" w:hAnsi="Arial" w:cs="Arial"/>
                <w:sz w:val="20"/>
                <w:szCs w:val="20"/>
              </w:rPr>
            </w:pPr>
            <w:r>
              <w:rPr>
                <w:rFonts w:ascii="Arial" w:hAnsi="Arial" w:cs="Arial"/>
                <w:sz w:val="20"/>
                <w:szCs w:val="20"/>
              </w:rPr>
              <w:t>0%</w:t>
            </w:r>
          </w:p>
        </w:tc>
        <w:tc>
          <w:tcPr>
            <w:tcW w:w="0" w:type="auto"/>
            <w:tcBorders>
              <w:top w:val="nil"/>
              <w:left w:val="nil"/>
              <w:bottom w:val="single" w:sz="4" w:space="0" w:color="auto"/>
              <w:right w:val="single" w:sz="4" w:space="0" w:color="auto"/>
            </w:tcBorders>
            <w:shd w:val="clear" w:color="auto" w:fill="auto"/>
            <w:vAlign w:val="bottom"/>
            <w:hideMark/>
          </w:tcPr>
          <w:p w14:paraId="656F5CF0" w14:textId="77777777" w:rsidR="00FC34B9" w:rsidRDefault="00FC34B9" w:rsidP="00AA2867">
            <w:pPr>
              <w:spacing w:line="360" w:lineRule="auto"/>
              <w:jc w:val="center"/>
              <w:rPr>
                <w:rFonts w:ascii="Arial" w:hAnsi="Arial" w:cs="Arial"/>
                <w:sz w:val="20"/>
                <w:szCs w:val="20"/>
              </w:rPr>
            </w:pPr>
            <w:r>
              <w:rPr>
                <w:rFonts w:ascii="Arial" w:hAnsi="Arial" w:cs="Arial"/>
                <w:sz w:val="20"/>
                <w:szCs w:val="20"/>
              </w:rPr>
              <w:t>0.00</w:t>
            </w:r>
          </w:p>
        </w:tc>
        <w:tc>
          <w:tcPr>
            <w:tcW w:w="0" w:type="auto"/>
            <w:tcBorders>
              <w:top w:val="nil"/>
              <w:left w:val="nil"/>
              <w:bottom w:val="single" w:sz="4" w:space="0" w:color="auto"/>
              <w:right w:val="single" w:sz="4" w:space="0" w:color="auto"/>
            </w:tcBorders>
            <w:shd w:val="clear" w:color="auto" w:fill="auto"/>
            <w:vAlign w:val="bottom"/>
            <w:hideMark/>
          </w:tcPr>
          <w:p w14:paraId="7C4D55E6" w14:textId="77777777" w:rsidR="00FC34B9" w:rsidRDefault="00FC34B9" w:rsidP="00AA2867">
            <w:pPr>
              <w:spacing w:line="360" w:lineRule="auto"/>
              <w:jc w:val="center"/>
              <w:rPr>
                <w:rFonts w:ascii="Arial" w:hAnsi="Arial" w:cs="Arial"/>
                <w:sz w:val="20"/>
                <w:szCs w:val="20"/>
              </w:rPr>
            </w:pPr>
            <w:r>
              <w:rPr>
                <w:rFonts w:ascii="Arial" w:hAnsi="Arial" w:cs="Arial"/>
                <w:sz w:val="20"/>
                <w:szCs w:val="20"/>
              </w:rPr>
              <w:t>0.00</w:t>
            </w:r>
          </w:p>
        </w:tc>
      </w:tr>
      <w:tr w:rsidR="00FC34B9" w14:paraId="3E9B4F4E" w14:textId="77777777" w:rsidTr="00FC34B9">
        <w:trPr>
          <w:trHeight w:val="174"/>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311F639" w14:textId="38AFF2D7" w:rsidR="00FC34B9" w:rsidRDefault="00FC34B9">
            <w:pPr>
              <w:jc w:val="center"/>
              <w:rPr>
                <w:rFonts w:ascii="Arial" w:hAnsi="Arial" w:cs="Arial"/>
                <w:sz w:val="20"/>
                <w:szCs w:val="20"/>
              </w:rPr>
            </w:pPr>
            <w:r>
              <w:rPr>
                <w:rFonts w:ascii="Arial" w:hAnsi="Arial" w:cs="Arial"/>
                <w:sz w:val="20"/>
                <w:szCs w:val="20"/>
              </w:rPr>
              <w:t> 17</w:t>
            </w:r>
          </w:p>
        </w:tc>
        <w:tc>
          <w:tcPr>
            <w:tcW w:w="0" w:type="auto"/>
            <w:tcBorders>
              <w:top w:val="nil"/>
              <w:left w:val="nil"/>
              <w:bottom w:val="single" w:sz="4" w:space="0" w:color="auto"/>
              <w:right w:val="single" w:sz="4" w:space="0" w:color="auto"/>
            </w:tcBorders>
            <w:shd w:val="clear" w:color="auto" w:fill="auto"/>
            <w:vAlign w:val="center"/>
            <w:hideMark/>
          </w:tcPr>
          <w:p w14:paraId="031FA7CD" w14:textId="77777777" w:rsidR="00FC34B9" w:rsidRDefault="00FC34B9">
            <w:pPr>
              <w:jc w:val="right"/>
              <w:rPr>
                <w:rFonts w:ascii="Arial" w:hAnsi="Arial" w:cs="Arial"/>
                <w:b/>
                <w:bCs/>
                <w:sz w:val="20"/>
                <w:szCs w:val="20"/>
              </w:rPr>
            </w:pPr>
            <w:r>
              <w:rPr>
                <w:rFonts w:ascii="Arial" w:hAnsi="Arial" w:cs="Arial"/>
                <w:b/>
                <w:bCs/>
                <w:sz w:val="20"/>
                <w:szCs w:val="20"/>
              </w:rPr>
              <w:t>Grand Total</w:t>
            </w:r>
          </w:p>
        </w:tc>
        <w:tc>
          <w:tcPr>
            <w:tcW w:w="0" w:type="auto"/>
            <w:tcBorders>
              <w:top w:val="nil"/>
              <w:left w:val="nil"/>
              <w:bottom w:val="single" w:sz="4" w:space="0" w:color="auto"/>
              <w:right w:val="single" w:sz="4" w:space="0" w:color="auto"/>
            </w:tcBorders>
            <w:shd w:val="clear" w:color="auto" w:fill="auto"/>
            <w:noWrap/>
            <w:vAlign w:val="bottom"/>
            <w:hideMark/>
          </w:tcPr>
          <w:p w14:paraId="707514B3" w14:textId="77777777" w:rsidR="00FC34B9" w:rsidRDefault="00FC34B9" w:rsidP="00FC34B9">
            <w:pPr>
              <w:jc w:val="center"/>
              <w:rPr>
                <w:rFonts w:ascii="Arial" w:hAnsi="Arial" w:cs="Arial"/>
                <w:sz w:val="20"/>
                <w:szCs w:val="20"/>
              </w:rPr>
            </w:pPr>
            <w:r>
              <w:rPr>
                <w:rFonts w:ascii="Arial" w:hAnsi="Arial" w:cs="Arial"/>
                <w:sz w:val="20"/>
                <w:szCs w:val="20"/>
              </w:rPr>
              <w:t>483212.42</w:t>
            </w:r>
          </w:p>
        </w:tc>
        <w:tc>
          <w:tcPr>
            <w:tcW w:w="0" w:type="auto"/>
            <w:tcBorders>
              <w:top w:val="nil"/>
              <w:left w:val="nil"/>
              <w:bottom w:val="single" w:sz="4" w:space="0" w:color="auto"/>
              <w:right w:val="single" w:sz="4" w:space="0" w:color="auto"/>
            </w:tcBorders>
            <w:shd w:val="clear" w:color="auto" w:fill="auto"/>
            <w:vAlign w:val="bottom"/>
            <w:hideMark/>
          </w:tcPr>
          <w:p w14:paraId="56A7FDD5" w14:textId="7EF693EE" w:rsidR="00FC34B9" w:rsidRDefault="00FC34B9" w:rsidP="00AA2867">
            <w:pPr>
              <w:spacing w:line="360" w:lineRule="auto"/>
              <w:jc w:val="center"/>
              <w:rPr>
                <w:rFonts w:ascii="Arial" w:hAnsi="Arial" w:cs="Arial"/>
                <w:sz w:val="20"/>
                <w:szCs w:val="20"/>
              </w:rPr>
            </w:pPr>
          </w:p>
        </w:tc>
        <w:tc>
          <w:tcPr>
            <w:tcW w:w="0" w:type="auto"/>
            <w:tcBorders>
              <w:top w:val="nil"/>
              <w:left w:val="nil"/>
              <w:bottom w:val="single" w:sz="4" w:space="0" w:color="auto"/>
              <w:right w:val="single" w:sz="4" w:space="0" w:color="auto"/>
            </w:tcBorders>
            <w:shd w:val="clear" w:color="auto" w:fill="auto"/>
            <w:vAlign w:val="bottom"/>
            <w:hideMark/>
          </w:tcPr>
          <w:p w14:paraId="05C1A707" w14:textId="54960BE5" w:rsidR="00FC34B9" w:rsidRDefault="00FC34B9" w:rsidP="00AA2867">
            <w:pPr>
              <w:spacing w:line="360" w:lineRule="auto"/>
              <w:jc w:val="center"/>
              <w:rPr>
                <w:rFonts w:ascii="Arial" w:hAnsi="Arial" w:cs="Arial"/>
                <w:sz w:val="20"/>
                <w:szCs w:val="20"/>
              </w:rPr>
            </w:pPr>
          </w:p>
        </w:tc>
        <w:tc>
          <w:tcPr>
            <w:tcW w:w="0" w:type="auto"/>
            <w:tcBorders>
              <w:top w:val="nil"/>
              <w:left w:val="nil"/>
              <w:bottom w:val="single" w:sz="4" w:space="0" w:color="auto"/>
              <w:right w:val="single" w:sz="4" w:space="0" w:color="auto"/>
            </w:tcBorders>
            <w:shd w:val="clear" w:color="auto" w:fill="auto"/>
            <w:vAlign w:val="bottom"/>
            <w:hideMark/>
          </w:tcPr>
          <w:p w14:paraId="7131786E" w14:textId="77777777" w:rsidR="00FC34B9" w:rsidRDefault="00FC34B9" w:rsidP="00AA2867">
            <w:pPr>
              <w:spacing w:line="360" w:lineRule="auto"/>
              <w:jc w:val="center"/>
              <w:rPr>
                <w:rFonts w:ascii="Arial" w:hAnsi="Arial" w:cs="Arial"/>
                <w:b/>
                <w:bCs/>
                <w:sz w:val="20"/>
                <w:szCs w:val="20"/>
              </w:rPr>
            </w:pPr>
            <w:r>
              <w:rPr>
                <w:rFonts w:ascii="Arial" w:hAnsi="Arial" w:cs="Arial"/>
                <w:b/>
                <w:bCs/>
                <w:sz w:val="20"/>
                <w:szCs w:val="20"/>
              </w:rPr>
              <w:t>103349.90</w:t>
            </w:r>
          </w:p>
        </w:tc>
        <w:tc>
          <w:tcPr>
            <w:tcW w:w="0" w:type="auto"/>
            <w:tcBorders>
              <w:top w:val="nil"/>
              <w:left w:val="nil"/>
              <w:bottom w:val="single" w:sz="4" w:space="0" w:color="auto"/>
              <w:right w:val="single" w:sz="4" w:space="0" w:color="auto"/>
            </w:tcBorders>
            <w:shd w:val="clear" w:color="auto" w:fill="auto"/>
            <w:vAlign w:val="bottom"/>
            <w:hideMark/>
          </w:tcPr>
          <w:p w14:paraId="11E5F958" w14:textId="77777777" w:rsidR="00FC34B9" w:rsidRDefault="00FC34B9" w:rsidP="00AA2867">
            <w:pPr>
              <w:spacing w:line="360" w:lineRule="auto"/>
              <w:jc w:val="center"/>
              <w:rPr>
                <w:rFonts w:ascii="Arial" w:hAnsi="Arial" w:cs="Arial"/>
                <w:b/>
                <w:bCs/>
                <w:sz w:val="20"/>
                <w:szCs w:val="20"/>
              </w:rPr>
            </w:pPr>
            <w:r>
              <w:rPr>
                <w:rFonts w:ascii="Arial" w:hAnsi="Arial" w:cs="Arial"/>
                <w:b/>
                <w:bCs/>
                <w:sz w:val="20"/>
                <w:szCs w:val="20"/>
              </w:rPr>
              <w:t>379862.52</w:t>
            </w:r>
          </w:p>
        </w:tc>
      </w:tr>
      <w:tr w:rsidR="00FC34B9" w14:paraId="164E939F" w14:textId="77777777" w:rsidTr="00FC34B9">
        <w:trPr>
          <w:trHeight w:val="174"/>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58692C3B" w14:textId="1FF6AF52" w:rsidR="00FC34B9" w:rsidRDefault="00FC34B9">
            <w:pPr>
              <w:jc w:val="center"/>
              <w:rPr>
                <w:rFonts w:ascii="Arial" w:hAnsi="Arial" w:cs="Arial"/>
                <w:b/>
                <w:bCs/>
                <w:sz w:val="20"/>
                <w:szCs w:val="20"/>
              </w:rPr>
            </w:pPr>
            <w:r>
              <w:rPr>
                <w:rFonts w:ascii="Arial" w:hAnsi="Arial" w:cs="Arial"/>
                <w:b/>
                <w:bCs/>
                <w:sz w:val="20"/>
                <w:szCs w:val="20"/>
              </w:rPr>
              <w:t>18</w:t>
            </w:r>
          </w:p>
        </w:tc>
        <w:tc>
          <w:tcPr>
            <w:tcW w:w="0" w:type="auto"/>
            <w:tcBorders>
              <w:top w:val="nil"/>
              <w:left w:val="nil"/>
              <w:bottom w:val="single" w:sz="4" w:space="0" w:color="auto"/>
              <w:right w:val="single" w:sz="4" w:space="0" w:color="auto"/>
            </w:tcBorders>
            <w:shd w:val="clear" w:color="auto" w:fill="auto"/>
            <w:vAlign w:val="bottom"/>
            <w:hideMark/>
          </w:tcPr>
          <w:p w14:paraId="55D2AD0C" w14:textId="77777777" w:rsidR="00FC34B9" w:rsidRDefault="00FC34B9">
            <w:pPr>
              <w:rPr>
                <w:rFonts w:ascii="Arial" w:hAnsi="Arial" w:cs="Arial"/>
                <w:b/>
                <w:bCs/>
                <w:sz w:val="20"/>
                <w:szCs w:val="20"/>
              </w:rPr>
            </w:pPr>
            <w:r>
              <w:rPr>
                <w:rFonts w:ascii="Arial" w:hAnsi="Arial" w:cs="Arial"/>
                <w:b/>
                <w:bCs/>
                <w:sz w:val="20"/>
                <w:szCs w:val="20"/>
              </w:rPr>
              <w:t>Total Misc. Receipts</w:t>
            </w:r>
          </w:p>
        </w:tc>
        <w:tc>
          <w:tcPr>
            <w:tcW w:w="0" w:type="auto"/>
            <w:tcBorders>
              <w:top w:val="nil"/>
              <w:left w:val="nil"/>
              <w:bottom w:val="single" w:sz="4" w:space="0" w:color="auto"/>
              <w:right w:val="single" w:sz="4" w:space="0" w:color="auto"/>
            </w:tcBorders>
            <w:shd w:val="clear" w:color="auto" w:fill="auto"/>
            <w:noWrap/>
            <w:vAlign w:val="bottom"/>
            <w:hideMark/>
          </w:tcPr>
          <w:p w14:paraId="0E45887E" w14:textId="77777777" w:rsidR="00FC34B9" w:rsidRDefault="00FC34B9" w:rsidP="00FC34B9">
            <w:pPr>
              <w:jc w:val="center"/>
              <w:rPr>
                <w:rFonts w:ascii="Arial" w:hAnsi="Arial" w:cs="Arial"/>
                <w:sz w:val="20"/>
                <w:szCs w:val="20"/>
              </w:rPr>
            </w:pPr>
            <w:r>
              <w:rPr>
                <w:rFonts w:ascii="Arial" w:hAnsi="Arial" w:cs="Arial"/>
                <w:sz w:val="20"/>
                <w:szCs w:val="20"/>
              </w:rPr>
              <w:t>18168.91</w:t>
            </w:r>
          </w:p>
        </w:tc>
        <w:tc>
          <w:tcPr>
            <w:tcW w:w="0" w:type="auto"/>
            <w:tcBorders>
              <w:top w:val="nil"/>
              <w:left w:val="nil"/>
              <w:bottom w:val="single" w:sz="4" w:space="0" w:color="auto"/>
              <w:right w:val="single" w:sz="4" w:space="0" w:color="auto"/>
            </w:tcBorders>
            <w:shd w:val="clear" w:color="auto" w:fill="auto"/>
            <w:noWrap/>
            <w:vAlign w:val="bottom"/>
            <w:hideMark/>
          </w:tcPr>
          <w:p w14:paraId="1C92092A" w14:textId="77777777" w:rsidR="00FC34B9" w:rsidRDefault="00FC34B9" w:rsidP="00AA2867">
            <w:pPr>
              <w:spacing w:line="360" w:lineRule="auto"/>
              <w:jc w:val="center"/>
              <w:rPr>
                <w:rFonts w:ascii="Arial" w:hAnsi="Arial" w:cs="Arial"/>
                <w:b/>
                <w:bCs/>
                <w:sz w:val="20"/>
                <w:szCs w:val="20"/>
              </w:rPr>
            </w:pPr>
            <w:r>
              <w:rPr>
                <w:rFonts w:ascii="Arial" w:hAnsi="Arial" w:cs="Arial"/>
                <w:b/>
                <w:bCs/>
                <w:sz w:val="20"/>
                <w:szCs w:val="20"/>
              </w:rPr>
              <w:t>10%</w:t>
            </w:r>
          </w:p>
        </w:tc>
        <w:tc>
          <w:tcPr>
            <w:tcW w:w="0" w:type="auto"/>
            <w:tcBorders>
              <w:top w:val="nil"/>
              <w:left w:val="nil"/>
              <w:bottom w:val="single" w:sz="4" w:space="0" w:color="auto"/>
              <w:right w:val="single" w:sz="4" w:space="0" w:color="auto"/>
            </w:tcBorders>
            <w:shd w:val="clear" w:color="auto" w:fill="auto"/>
            <w:noWrap/>
            <w:vAlign w:val="bottom"/>
            <w:hideMark/>
          </w:tcPr>
          <w:p w14:paraId="29765D5C" w14:textId="77777777" w:rsidR="00FC34B9" w:rsidRDefault="00FC34B9" w:rsidP="00AA2867">
            <w:pPr>
              <w:spacing w:line="360" w:lineRule="auto"/>
              <w:jc w:val="center"/>
              <w:rPr>
                <w:rFonts w:ascii="Arial" w:hAnsi="Arial" w:cs="Arial"/>
                <w:b/>
                <w:bCs/>
                <w:sz w:val="20"/>
                <w:szCs w:val="20"/>
              </w:rPr>
            </w:pPr>
            <w:r>
              <w:rPr>
                <w:rFonts w:ascii="Arial" w:hAnsi="Arial" w:cs="Arial"/>
                <w:b/>
                <w:bCs/>
                <w:sz w:val="20"/>
                <w:szCs w:val="20"/>
              </w:rPr>
              <w:t>90%</w:t>
            </w:r>
          </w:p>
        </w:tc>
        <w:tc>
          <w:tcPr>
            <w:tcW w:w="0" w:type="auto"/>
            <w:tcBorders>
              <w:top w:val="nil"/>
              <w:left w:val="nil"/>
              <w:bottom w:val="single" w:sz="4" w:space="0" w:color="auto"/>
              <w:right w:val="single" w:sz="4" w:space="0" w:color="auto"/>
            </w:tcBorders>
            <w:shd w:val="clear" w:color="auto" w:fill="auto"/>
            <w:noWrap/>
            <w:vAlign w:val="bottom"/>
            <w:hideMark/>
          </w:tcPr>
          <w:p w14:paraId="3CE868BD" w14:textId="77777777" w:rsidR="00FC34B9" w:rsidRDefault="00FC34B9" w:rsidP="00AA2867">
            <w:pPr>
              <w:spacing w:line="360" w:lineRule="auto"/>
              <w:jc w:val="center"/>
              <w:rPr>
                <w:rFonts w:ascii="Arial" w:hAnsi="Arial" w:cs="Arial"/>
                <w:b/>
                <w:bCs/>
                <w:sz w:val="20"/>
                <w:szCs w:val="20"/>
              </w:rPr>
            </w:pPr>
            <w:r>
              <w:rPr>
                <w:rFonts w:ascii="Arial" w:hAnsi="Arial" w:cs="Arial"/>
                <w:b/>
                <w:bCs/>
                <w:sz w:val="20"/>
                <w:szCs w:val="20"/>
              </w:rPr>
              <w:t>1816.89</w:t>
            </w:r>
          </w:p>
        </w:tc>
        <w:tc>
          <w:tcPr>
            <w:tcW w:w="0" w:type="auto"/>
            <w:tcBorders>
              <w:top w:val="nil"/>
              <w:left w:val="nil"/>
              <w:bottom w:val="single" w:sz="4" w:space="0" w:color="auto"/>
              <w:right w:val="single" w:sz="4" w:space="0" w:color="auto"/>
            </w:tcBorders>
            <w:shd w:val="clear" w:color="auto" w:fill="auto"/>
            <w:noWrap/>
            <w:vAlign w:val="bottom"/>
            <w:hideMark/>
          </w:tcPr>
          <w:p w14:paraId="3B06FE17" w14:textId="77777777" w:rsidR="00FC34B9" w:rsidRDefault="00FC34B9" w:rsidP="00AA2867">
            <w:pPr>
              <w:spacing w:line="360" w:lineRule="auto"/>
              <w:jc w:val="center"/>
              <w:rPr>
                <w:rFonts w:ascii="Arial" w:hAnsi="Arial" w:cs="Arial"/>
                <w:b/>
                <w:bCs/>
                <w:sz w:val="20"/>
                <w:szCs w:val="20"/>
              </w:rPr>
            </w:pPr>
            <w:r>
              <w:rPr>
                <w:rFonts w:ascii="Arial" w:hAnsi="Arial" w:cs="Arial"/>
                <w:b/>
                <w:bCs/>
                <w:sz w:val="20"/>
                <w:szCs w:val="20"/>
              </w:rPr>
              <w:t>16352.02</w:t>
            </w:r>
          </w:p>
        </w:tc>
      </w:tr>
      <w:tr w:rsidR="00FC34B9" w14:paraId="72CF302D" w14:textId="77777777" w:rsidTr="00FC34B9">
        <w:trPr>
          <w:trHeight w:val="174"/>
        </w:trPr>
        <w:tc>
          <w:tcPr>
            <w:tcW w:w="0" w:type="auto"/>
            <w:tcBorders>
              <w:top w:val="nil"/>
              <w:left w:val="single" w:sz="4" w:space="0" w:color="auto"/>
              <w:bottom w:val="single" w:sz="4" w:space="0" w:color="auto"/>
              <w:right w:val="single" w:sz="4" w:space="0" w:color="auto"/>
            </w:tcBorders>
            <w:shd w:val="clear" w:color="000000" w:fill="95B3D7"/>
            <w:vAlign w:val="bottom"/>
            <w:hideMark/>
          </w:tcPr>
          <w:p w14:paraId="5F81F761" w14:textId="02663AD0" w:rsidR="00FC34B9" w:rsidRDefault="00FC34B9">
            <w:pPr>
              <w:jc w:val="center"/>
              <w:rPr>
                <w:rFonts w:ascii="Arial" w:hAnsi="Arial" w:cs="Arial"/>
                <w:b/>
                <w:bCs/>
                <w:sz w:val="20"/>
                <w:szCs w:val="20"/>
              </w:rPr>
            </w:pPr>
            <w:r>
              <w:rPr>
                <w:rFonts w:ascii="Arial" w:hAnsi="Arial" w:cs="Arial"/>
                <w:b/>
                <w:bCs/>
                <w:sz w:val="20"/>
                <w:szCs w:val="20"/>
              </w:rPr>
              <w:t>19</w:t>
            </w:r>
          </w:p>
        </w:tc>
        <w:tc>
          <w:tcPr>
            <w:tcW w:w="0" w:type="auto"/>
            <w:tcBorders>
              <w:top w:val="nil"/>
              <w:left w:val="nil"/>
              <w:bottom w:val="single" w:sz="4" w:space="0" w:color="auto"/>
              <w:right w:val="single" w:sz="4" w:space="0" w:color="auto"/>
            </w:tcBorders>
            <w:shd w:val="clear" w:color="000000" w:fill="95B3D7"/>
            <w:vAlign w:val="bottom"/>
            <w:hideMark/>
          </w:tcPr>
          <w:p w14:paraId="17FC1C0F" w14:textId="77777777" w:rsidR="00FC34B9" w:rsidRDefault="00FC34B9">
            <w:pPr>
              <w:rPr>
                <w:rFonts w:ascii="Arial" w:hAnsi="Arial" w:cs="Arial"/>
                <w:b/>
                <w:bCs/>
                <w:sz w:val="20"/>
                <w:szCs w:val="20"/>
              </w:rPr>
            </w:pPr>
            <w:r>
              <w:rPr>
                <w:rFonts w:ascii="Arial" w:hAnsi="Arial" w:cs="Arial"/>
                <w:b/>
                <w:bCs/>
                <w:sz w:val="20"/>
                <w:szCs w:val="20"/>
              </w:rPr>
              <w:t>Total Revenue Requirement</w:t>
            </w:r>
          </w:p>
        </w:tc>
        <w:tc>
          <w:tcPr>
            <w:tcW w:w="0" w:type="auto"/>
            <w:tcBorders>
              <w:top w:val="nil"/>
              <w:left w:val="nil"/>
              <w:bottom w:val="single" w:sz="4" w:space="0" w:color="auto"/>
              <w:right w:val="single" w:sz="4" w:space="0" w:color="auto"/>
            </w:tcBorders>
            <w:shd w:val="clear" w:color="000000" w:fill="95B3D7"/>
            <w:noWrap/>
            <w:vAlign w:val="center"/>
            <w:hideMark/>
          </w:tcPr>
          <w:p w14:paraId="3DCD1A6E" w14:textId="77777777" w:rsidR="00FC34B9" w:rsidRDefault="00FC34B9" w:rsidP="00FC34B9">
            <w:pPr>
              <w:jc w:val="center"/>
              <w:rPr>
                <w:rFonts w:ascii="Arial" w:hAnsi="Arial" w:cs="Arial"/>
                <w:b/>
                <w:bCs/>
                <w:sz w:val="20"/>
                <w:szCs w:val="20"/>
              </w:rPr>
            </w:pPr>
            <w:r>
              <w:rPr>
                <w:rFonts w:ascii="Arial" w:hAnsi="Arial" w:cs="Arial"/>
                <w:b/>
                <w:bCs/>
                <w:sz w:val="20"/>
                <w:szCs w:val="20"/>
              </w:rPr>
              <w:t>465043.51</w:t>
            </w:r>
          </w:p>
        </w:tc>
        <w:tc>
          <w:tcPr>
            <w:tcW w:w="0" w:type="auto"/>
            <w:tcBorders>
              <w:top w:val="nil"/>
              <w:left w:val="nil"/>
              <w:bottom w:val="single" w:sz="4" w:space="0" w:color="auto"/>
              <w:right w:val="single" w:sz="4" w:space="0" w:color="auto"/>
            </w:tcBorders>
            <w:shd w:val="clear" w:color="000000" w:fill="95B3D7"/>
            <w:noWrap/>
            <w:vAlign w:val="center"/>
            <w:hideMark/>
          </w:tcPr>
          <w:p w14:paraId="007BC389" w14:textId="534EB654" w:rsidR="00FC34B9" w:rsidRDefault="00FC34B9" w:rsidP="00AA2867">
            <w:pPr>
              <w:spacing w:line="360" w:lineRule="auto"/>
              <w:jc w:val="center"/>
              <w:rPr>
                <w:rFonts w:ascii="Arial" w:hAnsi="Arial" w:cs="Arial"/>
                <w:b/>
                <w:bCs/>
                <w:sz w:val="20"/>
                <w:szCs w:val="20"/>
              </w:rPr>
            </w:pPr>
          </w:p>
        </w:tc>
        <w:tc>
          <w:tcPr>
            <w:tcW w:w="0" w:type="auto"/>
            <w:tcBorders>
              <w:top w:val="nil"/>
              <w:left w:val="nil"/>
              <w:bottom w:val="single" w:sz="4" w:space="0" w:color="auto"/>
              <w:right w:val="single" w:sz="4" w:space="0" w:color="auto"/>
            </w:tcBorders>
            <w:shd w:val="clear" w:color="000000" w:fill="95B3D7"/>
            <w:noWrap/>
            <w:vAlign w:val="center"/>
            <w:hideMark/>
          </w:tcPr>
          <w:p w14:paraId="2708FC85" w14:textId="0DB59BC5" w:rsidR="00FC34B9" w:rsidRDefault="00FC34B9" w:rsidP="00AA2867">
            <w:pPr>
              <w:spacing w:line="360" w:lineRule="auto"/>
              <w:jc w:val="center"/>
              <w:rPr>
                <w:rFonts w:ascii="Arial" w:hAnsi="Arial" w:cs="Arial"/>
                <w:b/>
                <w:bCs/>
                <w:sz w:val="20"/>
                <w:szCs w:val="20"/>
              </w:rPr>
            </w:pPr>
          </w:p>
        </w:tc>
        <w:tc>
          <w:tcPr>
            <w:tcW w:w="0" w:type="auto"/>
            <w:tcBorders>
              <w:top w:val="nil"/>
              <w:left w:val="nil"/>
              <w:bottom w:val="single" w:sz="4" w:space="0" w:color="auto"/>
              <w:right w:val="single" w:sz="4" w:space="0" w:color="auto"/>
            </w:tcBorders>
            <w:shd w:val="clear" w:color="000000" w:fill="95B3D7"/>
            <w:noWrap/>
            <w:vAlign w:val="center"/>
            <w:hideMark/>
          </w:tcPr>
          <w:p w14:paraId="1ECC3211" w14:textId="77777777" w:rsidR="00FC34B9" w:rsidRDefault="00FC34B9" w:rsidP="00AA2867">
            <w:pPr>
              <w:spacing w:line="360" w:lineRule="auto"/>
              <w:jc w:val="center"/>
              <w:rPr>
                <w:rFonts w:ascii="Arial" w:hAnsi="Arial" w:cs="Arial"/>
                <w:b/>
                <w:bCs/>
                <w:sz w:val="20"/>
                <w:szCs w:val="20"/>
              </w:rPr>
            </w:pPr>
            <w:r>
              <w:rPr>
                <w:rFonts w:ascii="Arial" w:hAnsi="Arial" w:cs="Arial"/>
                <w:b/>
                <w:bCs/>
                <w:sz w:val="20"/>
                <w:szCs w:val="20"/>
              </w:rPr>
              <w:t>101533.01</w:t>
            </w:r>
          </w:p>
        </w:tc>
        <w:tc>
          <w:tcPr>
            <w:tcW w:w="0" w:type="auto"/>
            <w:tcBorders>
              <w:top w:val="nil"/>
              <w:left w:val="nil"/>
              <w:bottom w:val="single" w:sz="4" w:space="0" w:color="auto"/>
              <w:right w:val="single" w:sz="4" w:space="0" w:color="auto"/>
            </w:tcBorders>
            <w:shd w:val="clear" w:color="000000" w:fill="95B3D7"/>
            <w:noWrap/>
            <w:vAlign w:val="center"/>
            <w:hideMark/>
          </w:tcPr>
          <w:p w14:paraId="1AA97A8D" w14:textId="77777777" w:rsidR="00FC34B9" w:rsidRDefault="00FC34B9" w:rsidP="00AA2867">
            <w:pPr>
              <w:spacing w:line="360" w:lineRule="auto"/>
              <w:jc w:val="center"/>
              <w:rPr>
                <w:rFonts w:ascii="Arial" w:hAnsi="Arial" w:cs="Arial"/>
                <w:b/>
                <w:bCs/>
                <w:sz w:val="20"/>
                <w:szCs w:val="20"/>
              </w:rPr>
            </w:pPr>
            <w:r>
              <w:rPr>
                <w:rFonts w:ascii="Arial" w:hAnsi="Arial" w:cs="Arial"/>
                <w:b/>
                <w:bCs/>
                <w:sz w:val="20"/>
                <w:szCs w:val="20"/>
              </w:rPr>
              <w:t>363510.50</w:t>
            </w:r>
          </w:p>
        </w:tc>
      </w:tr>
      <w:tr w:rsidR="00FC34B9" w14:paraId="466469B3" w14:textId="77777777" w:rsidTr="00FC34B9">
        <w:trPr>
          <w:trHeight w:val="389"/>
        </w:trPr>
        <w:tc>
          <w:tcPr>
            <w:tcW w:w="0" w:type="auto"/>
            <w:gridSpan w:val="7"/>
            <w:tcBorders>
              <w:top w:val="single" w:sz="4" w:space="0" w:color="auto"/>
              <w:left w:val="single" w:sz="4" w:space="0" w:color="auto"/>
              <w:bottom w:val="single" w:sz="4" w:space="0" w:color="auto"/>
              <w:right w:val="single" w:sz="4" w:space="0" w:color="000000"/>
            </w:tcBorders>
            <w:shd w:val="clear" w:color="auto" w:fill="auto"/>
            <w:vAlign w:val="center"/>
            <w:hideMark/>
          </w:tcPr>
          <w:p w14:paraId="11781258" w14:textId="77777777" w:rsidR="00FC34B9" w:rsidRDefault="00FC34B9">
            <w:pPr>
              <w:rPr>
                <w:rFonts w:ascii="Arial" w:hAnsi="Arial" w:cs="Arial"/>
                <w:b/>
                <w:bCs/>
                <w:sz w:val="18"/>
                <w:szCs w:val="18"/>
              </w:rPr>
            </w:pPr>
            <w:r>
              <w:rPr>
                <w:rFonts w:ascii="Arial" w:hAnsi="Arial" w:cs="Arial"/>
                <w:b/>
                <w:bCs/>
                <w:sz w:val="18"/>
                <w:szCs w:val="18"/>
              </w:rPr>
              <w:t>* Allocation of power purchase cost towards wheeling has been made considering 8 % loss on input after effecting EHT Sales</w:t>
            </w:r>
          </w:p>
        </w:tc>
      </w:tr>
    </w:tbl>
    <w:p w14:paraId="793880FD" w14:textId="2DDFABA2" w:rsidR="0091099C" w:rsidRDefault="0091099C" w:rsidP="0091099C">
      <w:pPr>
        <w:autoSpaceDE w:val="0"/>
        <w:autoSpaceDN w:val="0"/>
        <w:adjustRightInd w:val="0"/>
        <w:spacing w:line="360" w:lineRule="auto"/>
        <w:ind w:left="567"/>
        <w:rPr>
          <w:rFonts w:asciiTheme="minorHAnsi" w:hAnsiTheme="minorHAnsi" w:cstheme="minorHAnsi"/>
          <w:b/>
          <w:sz w:val="22"/>
          <w:szCs w:val="22"/>
        </w:rPr>
      </w:pPr>
    </w:p>
    <w:p w14:paraId="1F45FB99" w14:textId="5AD1DCA5" w:rsidR="004954F9" w:rsidRDefault="004954F9" w:rsidP="002334A3">
      <w:pPr>
        <w:autoSpaceDE w:val="0"/>
        <w:autoSpaceDN w:val="0"/>
        <w:adjustRightInd w:val="0"/>
        <w:spacing w:line="360" w:lineRule="auto"/>
        <w:jc w:val="both"/>
        <w:rPr>
          <w:rFonts w:asciiTheme="minorHAnsi" w:hAnsiTheme="minorHAnsi" w:cstheme="minorHAnsi"/>
          <w:b/>
          <w:sz w:val="22"/>
          <w:szCs w:val="22"/>
        </w:rPr>
      </w:pPr>
    </w:p>
    <w:p w14:paraId="400A8B65" w14:textId="1E774DED" w:rsidR="004954F9" w:rsidRPr="00153204" w:rsidRDefault="00751DC0" w:rsidP="002334A3">
      <w:pPr>
        <w:autoSpaceDE w:val="0"/>
        <w:autoSpaceDN w:val="0"/>
        <w:adjustRightInd w:val="0"/>
        <w:spacing w:line="360" w:lineRule="auto"/>
        <w:jc w:val="both"/>
        <w:rPr>
          <w:rFonts w:asciiTheme="minorHAnsi" w:hAnsiTheme="minorHAnsi" w:cstheme="minorHAnsi"/>
          <w:b/>
          <w:sz w:val="22"/>
          <w:szCs w:val="22"/>
        </w:rPr>
      </w:pPr>
      <w:r w:rsidRPr="006043CF">
        <w:rPr>
          <w:rFonts w:asciiTheme="minorHAnsi" w:hAnsiTheme="minorHAnsi" w:cstheme="minorHAnsi"/>
          <w:b/>
          <w:noProof/>
          <w:sz w:val="22"/>
          <w:szCs w:val="22"/>
          <w:lang w:val="en-IN" w:eastAsia="en-IN"/>
        </w:rPr>
        <mc:AlternateContent>
          <mc:Choice Requires="wps">
            <w:drawing>
              <wp:anchor distT="0" distB="0" distL="114300" distR="114300" simplePos="0" relativeHeight="251626496" behindDoc="0" locked="0" layoutInCell="1" allowOverlap="1" wp14:anchorId="693697FB" wp14:editId="2687664B">
                <wp:simplePos x="0" y="0"/>
                <wp:positionH relativeFrom="margin">
                  <wp:align>right</wp:align>
                </wp:positionH>
                <wp:positionV relativeFrom="paragraph">
                  <wp:posOffset>7620</wp:posOffset>
                </wp:positionV>
                <wp:extent cx="5543550" cy="401934"/>
                <wp:effectExtent l="0" t="0" r="19050" b="17780"/>
                <wp:wrapNone/>
                <wp:docPr id="16" name="Rectangle 1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543550" cy="401934"/>
                        </a:xfrm>
                        <a:prstGeom prst="rect">
                          <a:avLst/>
                        </a:prstGeom>
                        <a:solidFill>
                          <a:srgbClr val="1F497D">
                            <a:lumMod val="20000"/>
                            <a:lumOff val="80000"/>
                          </a:srgbClr>
                        </a:solidFill>
                        <a:ln w="9525">
                          <a:solidFill>
                            <a:srgbClr val="000000"/>
                          </a:solidFill>
                          <a:miter lim="800000"/>
                          <a:headEnd/>
                          <a:tailEnd/>
                        </a:ln>
                      </wps:spPr>
                      <wps:txbx>
                        <w:txbxContent>
                          <w:p w14:paraId="5D42B9F7" w14:textId="75C19918" w:rsidR="00535B24" w:rsidRPr="00531EE6" w:rsidRDefault="00535B24" w:rsidP="00363FB6">
                            <w:pPr>
                              <w:rPr>
                                <w:rFonts w:asciiTheme="minorHAnsi" w:hAnsiTheme="minorHAnsi" w:cstheme="minorHAnsi"/>
                                <w:b/>
                                <w:sz w:val="28"/>
                                <w:szCs w:val="28"/>
                                <w:lang w:val="en-IN"/>
                              </w:rPr>
                            </w:pPr>
                            <w:r>
                              <w:rPr>
                                <w:rFonts w:asciiTheme="minorHAnsi" w:hAnsiTheme="minorHAnsi" w:cstheme="minorHAnsi"/>
                                <w:b/>
                                <w:sz w:val="28"/>
                                <w:szCs w:val="28"/>
                                <w:lang w:val="en-IN"/>
                              </w:rPr>
                              <w:t>8</w:t>
                            </w:r>
                            <w:r w:rsidRPr="00531EE6">
                              <w:rPr>
                                <w:rFonts w:asciiTheme="minorHAnsi" w:hAnsiTheme="minorHAnsi" w:cstheme="minorHAnsi"/>
                                <w:b/>
                                <w:sz w:val="28"/>
                                <w:szCs w:val="28"/>
                                <w:lang w:val="en-IN"/>
                              </w:rPr>
                              <w:t xml:space="preserve">. </w:t>
                            </w:r>
                            <w:r>
                              <w:rPr>
                                <w:rFonts w:asciiTheme="minorHAnsi" w:eastAsia="Calibri" w:hAnsiTheme="minorHAnsi" w:cstheme="minorHAnsi"/>
                                <w:b/>
                                <w:sz w:val="28"/>
                                <w:szCs w:val="28"/>
                              </w:rPr>
                              <w:t xml:space="preserve">Compliance to Directives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93697FB" id="Rectangle 11" o:spid="_x0000_s1045" style="position:absolute;left:0;text-align:left;margin-left:385.3pt;margin-top:.6pt;width:436.5pt;height:31.65pt;z-index:251626496;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" fillcolor="#c6d9f1">
                <v:textbox>
                  <w:txbxContent>
                    <w:p w14:paraId="5D42B9F7" w14:textId="75C19918" w:rsidR="00535B24" w:rsidRPr="00531EE6" w:rsidRDefault="00535B24" w:rsidP="00363FB6">
                      <w:pPr>
                        <w:rPr>
                          <w:rFonts w:asciiTheme="minorHAnsi" w:hAnsiTheme="minorHAnsi" w:cstheme="minorHAnsi"/>
                          <w:b/>
                          <w:sz w:val="28"/>
                          <w:szCs w:val="28"/>
                          <w:lang w:val="en-IN"/>
                        </w:rPr>
                      </w:pPr>
                      <w:r>
                        <w:rPr>
                          <w:rFonts w:asciiTheme="minorHAnsi" w:hAnsiTheme="minorHAnsi" w:cstheme="minorHAnsi"/>
                          <w:b/>
                          <w:sz w:val="28"/>
                          <w:szCs w:val="28"/>
                          <w:lang w:val="en-IN"/>
                        </w:rPr>
                        <w:t>8</w:t>
                      </w:r>
                      <w:r w:rsidRPr="00531EE6">
                        <w:rPr>
                          <w:rFonts w:asciiTheme="minorHAnsi" w:hAnsiTheme="minorHAnsi" w:cstheme="minorHAnsi"/>
                          <w:b/>
                          <w:sz w:val="28"/>
                          <w:szCs w:val="28"/>
                          <w:lang w:val="en-IN"/>
                        </w:rPr>
                        <w:t xml:space="preserve">. </w:t>
                      </w:r>
                      <w:r>
                        <w:rPr>
                          <w:rFonts w:asciiTheme="minorHAnsi" w:eastAsia="Calibri" w:hAnsiTheme="minorHAnsi" w:cstheme="minorHAnsi"/>
                          <w:b/>
                          <w:sz w:val="28"/>
                          <w:szCs w:val="28"/>
                        </w:rPr>
                        <w:t xml:space="preserve">Compliance to Directives  </w:t>
                      </w:r>
                    </w:p>
                  </w:txbxContent>
                </v:textbox>
                <w10:wrap anchorx="margin"/>
              </v:rect>
            </w:pict>
          </mc:Fallback>
        </mc:AlternateContent>
      </w:r>
    </w:p>
    <w:p w14:paraId="0BBA5E3E" w14:textId="166CD402" w:rsidR="00C11FC0" w:rsidRPr="006043CF" w:rsidRDefault="00C11FC0" w:rsidP="00C11FC0">
      <w:pPr>
        <w:spacing w:line="276" w:lineRule="auto"/>
        <w:jc w:val="both"/>
        <w:rPr>
          <w:rFonts w:asciiTheme="minorHAnsi" w:hAnsiTheme="minorHAnsi" w:cstheme="minorHAnsi"/>
          <w:sz w:val="22"/>
          <w:szCs w:val="22"/>
        </w:rPr>
      </w:pPr>
    </w:p>
    <w:p w14:paraId="54E1AF40" w14:textId="77777777" w:rsidR="002C573F" w:rsidRPr="00236E38" w:rsidRDefault="002C573F" w:rsidP="00236E38">
      <w:pPr>
        <w:spacing w:line="360" w:lineRule="auto"/>
        <w:jc w:val="both"/>
        <w:rPr>
          <w:rFonts w:asciiTheme="minorHAnsi" w:hAnsiTheme="minorHAnsi" w:cstheme="minorHAnsi"/>
          <w:sz w:val="22"/>
          <w:szCs w:val="22"/>
        </w:rPr>
      </w:pPr>
    </w:p>
    <w:p w14:paraId="680E1AC1" w14:textId="707C20F4" w:rsidR="00BB6BFE" w:rsidRPr="00236E38" w:rsidRDefault="00BB6BFE" w:rsidP="00D95ECC">
      <w:pPr>
        <w:spacing w:line="360" w:lineRule="auto"/>
        <w:ind w:left="851"/>
        <w:jc w:val="both"/>
        <w:rPr>
          <w:rFonts w:asciiTheme="minorHAnsi" w:hAnsiTheme="minorHAnsi" w:cstheme="minorHAnsi"/>
          <w:sz w:val="22"/>
          <w:szCs w:val="22"/>
        </w:rPr>
      </w:pPr>
      <w:r w:rsidRPr="00236E38">
        <w:rPr>
          <w:rFonts w:asciiTheme="minorHAnsi" w:hAnsiTheme="minorHAnsi" w:cstheme="minorHAnsi"/>
          <w:sz w:val="22"/>
          <w:szCs w:val="22"/>
        </w:rPr>
        <w:t>In compliance to the directions given under RST order FY 2024-25, the licensee ha</w:t>
      </w:r>
      <w:r w:rsidR="002C573F" w:rsidRPr="00236E38">
        <w:rPr>
          <w:rFonts w:asciiTheme="minorHAnsi" w:hAnsiTheme="minorHAnsi" w:cstheme="minorHAnsi"/>
          <w:sz w:val="22"/>
          <w:szCs w:val="22"/>
        </w:rPr>
        <w:t>d</w:t>
      </w:r>
      <w:r w:rsidRPr="00236E38">
        <w:rPr>
          <w:rFonts w:asciiTheme="minorHAnsi" w:hAnsiTheme="minorHAnsi" w:cstheme="minorHAnsi"/>
          <w:sz w:val="22"/>
          <w:szCs w:val="22"/>
        </w:rPr>
        <w:t xml:space="preserve"> submitted pointwise compliance vide letter no</w:t>
      </w:r>
      <w:r w:rsidR="002C573F" w:rsidRPr="00236E38">
        <w:rPr>
          <w:rFonts w:asciiTheme="minorHAnsi" w:hAnsiTheme="minorHAnsi" w:cstheme="minorHAnsi"/>
          <w:sz w:val="22"/>
          <w:szCs w:val="22"/>
        </w:rPr>
        <w:t xml:space="preserve">. TPNODL/Regulatory/2024/4208 dated 29.6.2024 </w:t>
      </w:r>
      <w:r w:rsidRPr="00236E38">
        <w:rPr>
          <w:rFonts w:asciiTheme="minorHAnsi" w:hAnsiTheme="minorHAnsi" w:cstheme="minorHAnsi"/>
          <w:sz w:val="22"/>
          <w:szCs w:val="22"/>
        </w:rPr>
        <w:t>for kind perusal of Hon’ble Commission.</w:t>
      </w:r>
      <w:r w:rsidR="002C573F" w:rsidRPr="00236E38">
        <w:rPr>
          <w:rFonts w:asciiTheme="minorHAnsi" w:hAnsiTheme="minorHAnsi" w:cstheme="minorHAnsi"/>
          <w:sz w:val="22"/>
          <w:szCs w:val="22"/>
        </w:rPr>
        <w:t xml:space="preserve"> </w:t>
      </w:r>
      <w:r w:rsidR="006043CF" w:rsidRPr="00236E38">
        <w:rPr>
          <w:rFonts w:asciiTheme="minorHAnsi" w:hAnsiTheme="minorHAnsi" w:cstheme="minorHAnsi"/>
          <w:sz w:val="22"/>
          <w:szCs w:val="22"/>
        </w:rPr>
        <w:t>Pointwise compliances to the directions are furnished hereunder:</w:t>
      </w:r>
    </w:p>
    <w:p w14:paraId="5F61E2E0" w14:textId="7BADA031" w:rsidR="00BB6BFE" w:rsidRPr="00236E38" w:rsidRDefault="00D95ECC" w:rsidP="00236E38">
      <w:pPr>
        <w:spacing w:line="360" w:lineRule="auto"/>
        <w:jc w:val="both"/>
        <w:rPr>
          <w:rFonts w:asciiTheme="minorHAnsi" w:hAnsiTheme="minorHAnsi" w:cstheme="minorHAnsi"/>
          <w:sz w:val="22"/>
          <w:szCs w:val="22"/>
        </w:rPr>
      </w:pPr>
      <w:r w:rsidRPr="00236E38">
        <w:rPr>
          <w:rFonts w:asciiTheme="minorHAnsi" w:hAnsiTheme="minorHAnsi" w:cstheme="minorHAnsi"/>
          <w:bCs/>
          <w:noProof/>
          <w:color w:val="000000"/>
          <w:sz w:val="22"/>
          <w:szCs w:val="22"/>
          <w:lang w:val="en-IN" w:eastAsia="en-IN"/>
        </w:rPr>
        <mc:AlternateContent>
          <mc:Choice Requires="wps">
            <w:drawing>
              <wp:anchor distT="0" distB="0" distL="114300" distR="114300" simplePos="0" relativeHeight="251933184" behindDoc="0" locked="0" layoutInCell="1" allowOverlap="1" wp14:anchorId="01059325" wp14:editId="71A372CB">
                <wp:simplePos x="0" y="0"/>
                <wp:positionH relativeFrom="margin">
                  <wp:posOffset>537210</wp:posOffset>
                </wp:positionH>
                <wp:positionV relativeFrom="paragraph">
                  <wp:posOffset>170815</wp:posOffset>
                </wp:positionV>
                <wp:extent cx="5553075" cy="244548"/>
                <wp:effectExtent l="57150" t="38100" r="85725" b="98425"/>
                <wp:wrapNone/>
                <wp:docPr id="212922785" name="Rectangle 212922785"/>
                <wp:cNvGraphicFramePr/>
                <a:graphic xmlns:a="http://schemas.openxmlformats.org/drawingml/2006/main">
                  <a:graphicData uri="http://schemas.microsoft.com/office/word/2010/wordprocessingShape">
                    <wps:wsp>
                      <wps:cNvSpPr/>
                      <wps:spPr>
                        <a:xfrm>
                          <a:off x="0" y="0"/>
                          <a:ext cx="5553075" cy="244548"/>
                        </a:xfrm>
                        <a:prstGeom prst="rect">
                          <a:avLst/>
                        </a:prstGeom>
                        <a:solidFill>
                          <a:schemeClr val="accent1">
                            <a:lumMod val="60000"/>
                            <a:lumOff val="40000"/>
                          </a:schemeClr>
                        </a:solidFill>
                      </wps:spPr>
                      <wps:style>
                        <a:lnRef idx="1">
                          <a:schemeClr val="accent3"/>
                        </a:lnRef>
                        <a:fillRef idx="2">
                          <a:schemeClr val="accent3"/>
                        </a:fillRef>
                        <a:effectRef idx="1">
                          <a:schemeClr val="accent3"/>
                        </a:effectRef>
                        <a:fontRef idx="minor">
                          <a:schemeClr val="dk1"/>
                        </a:fontRef>
                      </wps:style>
                      <wps:txbx>
                        <w:txbxContent>
                          <w:p w14:paraId="72E6EB3B" w14:textId="77777777" w:rsidR="00535B24" w:rsidRPr="00174CF6" w:rsidRDefault="00535B24" w:rsidP="00AB536C">
                            <w:pPr>
                              <w:pStyle w:val="ListParagraph"/>
                              <w:numPr>
                                <w:ilvl w:val="0"/>
                                <w:numId w:val="48"/>
                              </w:numPr>
                              <w:spacing w:after="160"/>
                              <w:ind w:left="284" w:hanging="284"/>
                              <w:rPr>
                                <w:rFonts w:cstheme="minorHAnsi"/>
                                <w:b/>
                                <w:bCs/>
                                <w:color w:val="000000"/>
                                <w:u w:val="single"/>
                                <w:lang w:eastAsia="en-IN"/>
                              </w:rPr>
                            </w:pPr>
                            <w:r>
                              <w:rPr>
                                <w:rFonts w:cstheme="minorHAnsi"/>
                                <w:b/>
                                <w:bCs/>
                                <w:color w:val="000000"/>
                                <w:u w:val="single"/>
                                <w:lang w:eastAsia="en-IN"/>
                              </w:rPr>
                              <w:t xml:space="preserve">Direction under </w:t>
                            </w:r>
                            <w:r w:rsidRPr="00174CF6">
                              <w:rPr>
                                <w:rFonts w:cstheme="minorHAnsi"/>
                                <w:b/>
                                <w:bCs/>
                                <w:color w:val="000000"/>
                                <w:u w:val="single"/>
                                <w:lang w:eastAsia="en-IN"/>
                              </w:rPr>
                              <w:t>Para 260</w:t>
                            </w:r>
                            <w:r>
                              <w:rPr>
                                <w:rFonts w:cstheme="minorHAnsi"/>
                                <w:b/>
                                <w:bCs/>
                                <w:color w:val="000000"/>
                                <w:u w:val="single"/>
                                <w:lang w:eastAsia="en-IN"/>
                              </w:rPr>
                              <w:t xml:space="preserve"> (a)</w:t>
                            </w:r>
                          </w:p>
                          <w:p w14:paraId="1FDB281A" w14:textId="77777777" w:rsidR="00535B24" w:rsidRDefault="00535B24" w:rsidP="00BB6BFE">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1059325" id="Rectangle 212922785" o:spid="_x0000_s1046" style="position:absolute;left:0;text-align:left;margin-left:42.3pt;margin-top:13.45pt;width:437.25pt;height:19.25pt;z-index:25193318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" fillcolor="#95b3d7 [1940]" strokecolor="#94b64e [3046]">
                <v:shadow on="t" color="black" opacity="24903f" origin=",.5" offset="0,.55556mm"/>
                <v:textbox>
                  <w:txbxContent>
                    <w:p w14:paraId="72E6EB3B" w14:textId="77777777" w:rsidR="00535B24" w:rsidRPr="00174CF6" w:rsidRDefault="00535B24" w:rsidP="00AB536C">
                      <w:pPr>
                        <w:pStyle w:val="ListParagraph"/>
                        <w:numPr>
                          <w:ilvl w:val="0"/>
                          <w:numId w:val="48"/>
                        </w:numPr>
                        <w:spacing w:after="160"/>
                        <w:ind w:left="284" w:hanging="284"/>
                        <w:rPr>
                          <w:rFonts w:cstheme="minorHAnsi"/>
                          <w:b/>
                          <w:bCs/>
                          <w:color w:val="000000"/>
                          <w:u w:val="single"/>
                          <w:lang w:eastAsia="en-IN"/>
                        </w:rPr>
                      </w:pPr>
                      <w:r>
                        <w:rPr>
                          <w:rFonts w:cstheme="minorHAnsi"/>
                          <w:b/>
                          <w:bCs/>
                          <w:color w:val="000000"/>
                          <w:u w:val="single"/>
                          <w:lang w:eastAsia="en-IN"/>
                        </w:rPr>
                        <w:t xml:space="preserve">Direction under </w:t>
                      </w:r>
                      <w:r w:rsidRPr="00174CF6">
                        <w:rPr>
                          <w:rFonts w:cstheme="minorHAnsi"/>
                          <w:b/>
                          <w:bCs/>
                          <w:color w:val="000000"/>
                          <w:u w:val="single"/>
                          <w:lang w:eastAsia="en-IN"/>
                        </w:rPr>
                        <w:t>Para 260</w:t>
                      </w:r>
                      <w:r>
                        <w:rPr>
                          <w:rFonts w:cstheme="minorHAnsi"/>
                          <w:b/>
                          <w:bCs/>
                          <w:color w:val="000000"/>
                          <w:u w:val="single"/>
                          <w:lang w:eastAsia="en-IN"/>
                        </w:rPr>
                        <w:t xml:space="preserve"> (a)</w:t>
                      </w:r>
                    </w:p>
                    <w:p w14:paraId="1FDB281A" w14:textId="77777777" w:rsidR="00535B24" w:rsidRDefault="00535B24" w:rsidP="00BB6BFE">
                      <w:pPr>
                        <w:jc w:val="center"/>
                      </w:pPr>
                    </w:p>
                  </w:txbxContent>
                </v:textbox>
                <w10:wrap anchorx="margin"/>
              </v:rect>
            </w:pict>
          </mc:Fallback>
        </mc:AlternateContent>
      </w:r>
    </w:p>
    <w:p w14:paraId="55A26D5A" w14:textId="4082F995" w:rsidR="00E90E82" w:rsidRPr="00236E38" w:rsidRDefault="00E90E82" w:rsidP="00236E38">
      <w:pPr>
        <w:autoSpaceDE w:val="0"/>
        <w:autoSpaceDN w:val="0"/>
        <w:adjustRightInd w:val="0"/>
        <w:spacing w:line="360" w:lineRule="auto"/>
        <w:jc w:val="both"/>
        <w:rPr>
          <w:rFonts w:asciiTheme="minorHAnsi" w:hAnsiTheme="minorHAnsi" w:cstheme="minorHAnsi"/>
          <w:b/>
          <w:sz w:val="22"/>
          <w:szCs w:val="22"/>
        </w:rPr>
      </w:pPr>
    </w:p>
    <w:p w14:paraId="6EE0F9F5" w14:textId="77777777" w:rsidR="00BB6BFE" w:rsidRPr="00236E38" w:rsidRDefault="00BB6BFE" w:rsidP="00D95ECC">
      <w:pPr>
        <w:spacing w:line="360" w:lineRule="auto"/>
        <w:rPr>
          <w:rFonts w:asciiTheme="minorHAnsi" w:hAnsiTheme="minorHAnsi" w:cstheme="minorHAnsi"/>
          <w:bCs/>
          <w:color w:val="000000"/>
          <w:sz w:val="22"/>
          <w:szCs w:val="22"/>
          <w:lang w:eastAsia="en-IN"/>
        </w:rPr>
      </w:pPr>
    </w:p>
    <w:p w14:paraId="4A0BE77B" w14:textId="5FBF0290" w:rsidR="00BB6BFE" w:rsidRPr="00D95ECC" w:rsidRDefault="00BB6BFE" w:rsidP="002B5470">
      <w:pPr>
        <w:spacing w:line="360" w:lineRule="auto"/>
        <w:ind w:left="851"/>
        <w:jc w:val="both"/>
        <w:rPr>
          <w:rFonts w:asciiTheme="minorHAnsi" w:hAnsiTheme="minorHAnsi" w:cstheme="minorHAnsi"/>
          <w:sz w:val="22"/>
          <w:szCs w:val="22"/>
        </w:rPr>
      </w:pPr>
      <w:r w:rsidRPr="00236E38">
        <w:rPr>
          <w:rFonts w:asciiTheme="minorHAnsi" w:hAnsiTheme="minorHAnsi" w:cstheme="minorHAnsi"/>
          <w:bCs/>
          <w:color w:val="000000"/>
          <w:sz w:val="22"/>
          <w:szCs w:val="22"/>
          <w:lang w:eastAsia="en-IN"/>
        </w:rPr>
        <w:t xml:space="preserve">All DISCOMs are directed: </w:t>
      </w:r>
      <w:r w:rsidRPr="00236E38">
        <w:rPr>
          <w:rFonts w:asciiTheme="minorHAnsi" w:hAnsiTheme="minorHAnsi" w:cstheme="minorHAnsi"/>
          <w:color w:val="000000"/>
          <w:sz w:val="22"/>
          <w:szCs w:val="22"/>
          <w:lang w:eastAsia="en-IN"/>
        </w:rPr>
        <w:t>to provide the norms for engaging the outsourcing personnel through Business associates, details of number of outsourcing personnel at each division &amp; circle level and works/responsibilities assigned to them within 30th June, 2024.</w:t>
      </w:r>
    </w:p>
    <w:p w14:paraId="45BC4056" w14:textId="77777777" w:rsidR="00BB6BFE" w:rsidRPr="00236E38" w:rsidRDefault="00BB6BFE" w:rsidP="00D95ECC">
      <w:pPr>
        <w:spacing w:line="360" w:lineRule="auto"/>
        <w:ind w:left="851"/>
        <w:rPr>
          <w:rFonts w:asciiTheme="minorHAnsi" w:hAnsiTheme="minorHAnsi" w:cstheme="minorHAnsi"/>
          <w:b/>
          <w:color w:val="000000"/>
          <w:sz w:val="22"/>
          <w:szCs w:val="22"/>
          <w:u w:val="single"/>
          <w:lang w:eastAsia="en-IN"/>
        </w:rPr>
      </w:pPr>
      <w:r w:rsidRPr="00236E38">
        <w:rPr>
          <w:rFonts w:asciiTheme="minorHAnsi" w:hAnsiTheme="minorHAnsi" w:cstheme="minorHAnsi"/>
          <w:b/>
          <w:color w:val="000000"/>
          <w:sz w:val="22"/>
          <w:szCs w:val="22"/>
          <w:u w:val="single"/>
          <w:lang w:eastAsia="en-IN"/>
        </w:rPr>
        <w:t>Compliance:</w:t>
      </w:r>
    </w:p>
    <w:p w14:paraId="1BB6421D" w14:textId="77777777" w:rsidR="002B5470" w:rsidRDefault="00BB6BFE" w:rsidP="00D95ECC">
      <w:pPr>
        <w:pStyle w:val="ListParagraph"/>
        <w:spacing w:line="360" w:lineRule="auto"/>
        <w:ind w:left="851"/>
        <w:jc w:val="both"/>
        <w:rPr>
          <w:rFonts w:asciiTheme="minorHAnsi" w:hAnsiTheme="minorHAnsi" w:cstheme="minorHAnsi"/>
          <w:bCs/>
        </w:rPr>
      </w:pPr>
      <w:r w:rsidRPr="00236E38">
        <w:rPr>
          <w:rFonts w:asciiTheme="minorHAnsi" w:hAnsiTheme="minorHAnsi" w:cstheme="minorHAnsi"/>
          <w:bCs/>
        </w:rPr>
        <w:lastRenderedPageBreak/>
        <w:t xml:space="preserve">Hon’ble Commission has issued distribution license to TPNODL with some assigned performance </w:t>
      </w:r>
    </w:p>
    <w:p w14:paraId="3AA9D141" w14:textId="77777777" w:rsidR="002B5470" w:rsidRDefault="00BB6BFE" w:rsidP="002B5470">
      <w:pPr>
        <w:pStyle w:val="ListParagraph"/>
        <w:spacing w:line="360" w:lineRule="auto"/>
        <w:ind w:left="567"/>
        <w:jc w:val="both"/>
        <w:rPr>
          <w:rFonts w:asciiTheme="minorHAnsi" w:hAnsiTheme="minorHAnsi" w:cstheme="minorHAnsi"/>
          <w:lang w:val="en-GB"/>
        </w:rPr>
      </w:pPr>
      <w:r w:rsidRPr="00236E38">
        <w:rPr>
          <w:rFonts w:asciiTheme="minorHAnsi" w:hAnsiTheme="minorHAnsi" w:cstheme="minorHAnsi"/>
          <w:bCs/>
        </w:rPr>
        <w:t xml:space="preserve">targets to be met within the stipulated timelines. TPNODL started operation with effect from 1.4.2021 in compliance to Vesting Order of Hon’ble Commission. After takeover, keeping in view the operational requirements, TPNODL has engaged various new agencies from September, 2021 for undertaking meter reading, spot billing and collection activities in every pocket of distribution area. Various collection mechanisms have also been engaged to collect the monthly revenue. </w:t>
      </w:r>
      <w:r w:rsidRPr="00236E38">
        <w:rPr>
          <w:rFonts w:asciiTheme="minorHAnsi" w:hAnsiTheme="minorHAnsi" w:cstheme="minorHAnsi"/>
          <w:lang w:val="en-GB"/>
        </w:rPr>
        <w:t>Keeping in view the critical need to drastically reduce the AT&amp;C Losses and achieve the target set by Hon’ble Commission, special emphasis was required to improve the billing and collection efficiencies.    The licensee has put in place new MBC contract, through reengineering   of contract and modality for separated meter reading-billing and collection to increase the consumer coverage. Billing coverage has increased from 73.13</w:t>
      </w:r>
      <w:proofErr w:type="gramStart"/>
      <w:r w:rsidRPr="00236E38">
        <w:rPr>
          <w:rFonts w:asciiTheme="minorHAnsi" w:hAnsiTheme="minorHAnsi" w:cstheme="minorHAnsi"/>
          <w:lang w:val="en-GB"/>
        </w:rPr>
        <w:t>%  in</w:t>
      </w:r>
      <w:proofErr w:type="gramEnd"/>
      <w:r w:rsidRPr="00236E38">
        <w:rPr>
          <w:rFonts w:asciiTheme="minorHAnsi" w:hAnsiTheme="minorHAnsi" w:cstheme="minorHAnsi"/>
          <w:lang w:val="en-GB"/>
        </w:rPr>
        <w:t xml:space="preserve"> FY 22 to 98.59%  at the end of FY24 and monthly collection coverage from 31% to 82.81%. Percentage of provisional bills have been brought down from 41.70% to 1.27%. </w:t>
      </w:r>
    </w:p>
    <w:p w14:paraId="40A5AA63" w14:textId="6EBBEE17" w:rsidR="00BB6BFE" w:rsidRPr="002B5470" w:rsidRDefault="00BB6BFE" w:rsidP="002B5470">
      <w:pPr>
        <w:pStyle w:val="ListParagraph"/>
        <w:spacing w:line="360" w:lineRule="auto"/>
        <w:ind w:left="567"/>
        <w:jc w:val="both"/>
        <w:rPr>
          <w:rFonts w:asciiTheme="minorHAnsi" w:hAnsiTheme="minorHAnsi" w:cstheme="minorHAnsi"/>
          <w:lang w:val="en-GB"/>
        </w:rPr>
      </w:pPr>
      <w:r w:rsidRPr="002B5470">
        <w:rPr>
          <w:rFonts w:asciiTheme="minorHAnsi" w:hAnsiTheme="minorHAnsi" w:cstheme="minorHAnsi"/>
          <w:color w:val="000000"/>
          <w:lang w:eastAsia="en-IN"/>
        </w:rPr>
        <w:t>The norms adopted by the licensee for engaging the outsourced personnel through Business Associates for meter reading are furnished in the following table.</w:t>
      </w:r>
    </w:p>
    <w:tbl>
      <w:tblPr>
        <w:tblpPr w:leftFromText="180" w:rightFromText="180" w:vertAnchor="page" w:horzAnchor="margin" w:tblpXSpec="right" w:tblpY="1681"/>
        <w:tblW w:w="0" w:type="auto"/>
        <w:tblLook w:val="04A0" w:firstRow="1" w:lastRow="0" w:firstColumn="1" w:lastColumn="0" w:noHBand="0" w:noVBand="1"/>
      </w:tblPr>
      <w:tblGrid>
        <w:gridCol w:w="1291"/>
        <w:gridCol w:w="1438"/>
        <w:gridCol w:w="1740"/>
        <w:gridCol w:w="1433"/>
        <w:gridCol w:w="1508"/>
        <w:gridCol w:w="1485"/>
      </w:tblGrid>
      <w:tr w:rsidR="00BB6BFE" w:rsidRPr="00236E38" w14:paraId="78E52531" w14:textId="77777777" w:rsidTr="00CE3EEE">
        <w:trPr>
          <w:trHeight w:val="446"/>
        </w:trPr>
        <w:tc>
          <w:tcPr>
            <w:tcW w:w="0" w:type="auto"/>
            <w:gridSpan w:val="6"/>
            <w:tcBorders>
              <w:top w:val="nil"/>
              <w:left w:val="nil"/>
              <w:bottom w:val="nil"/>
              <w:right w:val="nil"/>
            </w:tcBorders>
            <w:shd w:val="clear" w:color="auto" w:fill="auto"/>
            <w:vAlign w:val="center"/>
            <w:hideMark/>
          </w:tcPr>
          <w:p w14:paraId="2E867FE4" w14:textId="7459983C" w:rsidR="00BB6BFE" w:rsidRPr="00236E38" w:rsidRDefault="00CD105A" w:rsidP="00CE3EEE">
            <w:pPr>
              <w:spacing w:line="360" w:lineRule="auto"/>
              <w:jc w:val="center"/>
              <w:rPr>
                <w:rFonts w:asciiTheme="minorHAnsi" w:hAnsiTheme="minorHAnsi" w:cstheme="minorHAnsi"/>
                <w:b/>
                <w:bCs/>
                <w:color w:val="000000"/>
                <w:sz w:val="22"/>
                <w:szCs w:val="22"/>
                <w:lang w:eastAsia="en-IN"/>
              </w:rPr>
            </w:pPr>
            <w:r>
              <w:rPr>
                <w:rFonts w:asciiTheme="minorHAnsi" w:hAnsiTheme="minorHAnsi" w:cstheme="minorHAnsi"/>
                <w:b/>
                <w:bCs/>
                <w:color w:val="000000"/>
                <w:sz w:val="22"/>
                <w:szCs w:val="22"/>
                <w:lang w:eastAsia="en-IN"/>
              </w:rPr>
              <w:t xml:space="preserve">Table </w:t>
            </w:r>
            <w:proofErr w:type="gramStart"/>
            <w:r>
              <w:rPr>
                <w:rFonts w:asciiTheme="minorHAnsi" w:hAnsiTheme="minorHAnsi" w:cstheme="minorHAnsi"/>
                <w:b/>
                <w:bCs/>
                <w:color w:val="000000"/>
                <w:sz w:val="22"/>
                <w:szCs w:val="22"/>
                <w:lang w:eastAsia="en-IN"/>
              </w:rPr>
              <w:t>No.:-</w:t>
            </w:r>
            <w:proofErr w:type="gramEnd"/>
            <w:r>
              <w:rPr>
                <w:rFonts w:asciiTheme="minorHAnsi" w:hAnsiTheme="minorHAnsi" w:cstheme="minorHAnsi"/>
                <w:b/>
                <w:bCs/>
                <w:color w:val="000000"/>
                <w:sz w:val="22"/>
                <w:szCs w:val="22"/>
                <w:lang w:eastAsia="en-IN"/>
              </w:rPr>
              <w:t>6</w:t>
            </w:r>
            <w:r w:rsidR="002B5470">
              <w:rPr>
                <w:rFonts w:asciiTheme="minorHAnsi" w:hAnsiTheme="minorHAnsi" w:cstheme="minorHAnsi"/>
                <w:b/>
                <w:bCs/>
                <w:color w:val="000000"/>
                <w:sz w:val="22"/>
                <w:szCs w:val="22"/>
                <w:lang w:eastAsia="en-IN"/>
              </w:rPr>
              <w:t>3</w:t>
            </w:r>
            <w:r>
              <w:rPr>
                <w:rFonts w:asciiTheme="minorHAnsi" w:hAnsiTheme="minorHAnsi" w:cstheme="minorHAnsi"/>
                <w:b/>
                <w:bCs/>
                <w:color w:val="000000"/>
                <w:sz w:val="22"/>
                <w:szCs w:val="22"/>
                <w:lang w:eastAsia="en-IN"/>
              </w:rPr>
              <w:t xml:space="preserve"> </w:t>
            </w:r>
            <w:r w:rsidR="00BB6BFE" w:rsidRPr="00236E38">
              <w:rPr>
                <w:rFonts w:asciiTheme="minorHAnsi" w:hAnsiTheme="minorHAnsi" w:cstheme="minorHAnsi"/>
                <w:b/>
                <w:bCs/>
                <w:color w:val="000000"/>
                <w:sz w:val="22"/>
                <w:szCs w:val="22"/>
                <w:lang w:eastAsia="en-IN"/>
              </w:rPr>
              <w:t xml:space="preserve">Assessment for BA manpower for Meter Reading  </w:t>
            </w:r>
          </w:p>
        </w:tc>
      </w:tr>
      <w:tr w:rsidR="00D95ECC" w:rsidRPr="00236E38" w14:paraId="5350840B" w14:textId="77777777" w:rsidTr="00CE3EEE">
        <w:trPr>
          <w:trHeight w:val="535"/>
        </w:trPr>
        <w:tc>
          <w:tcPr>
            <w:tcW w:w="0" w:type="auto"/>
            <w:tcBorders>
              <w:top w:val="single" w:sz="4" w:space="0" w:color="auto"/>
              <w:left w:val="single" w:sz="4" w:space="0" w:color="auto"/>
              <w:bottom w:val="single" w:sz="4" w:space="0" w:color="auto"/>
              <w:right w:val="single" w:sz="4" w:space="0" w:color="auto"/>
            </w:tcBorders>
            <w:shd w:val="clear" w:color="auto" w:fill="8DB3E2" w:themeFill="text2" w:themeFillTint="66"/>
            <w:vAlign w:val="center"/>
            <w:hideMark/>
          </w:tcPr>
          <w:p w14:paraId="09D0C110" w14:textId="77777777" w:rsidR="00BB6BFE" w:rsidRPr="00D95ECC" w:rsidRDefault="00BB6BFE" w:rsidP="00CE3EEE">
            <w:pPr>
              <w:spacing w:line="360" w:lineRule="auto"/>
              <w:jc w:val="center"/>
              <w:rPr>
                <w:rFonts w:asciiTheme="minorHAnsi" w:hAnsiTheme="minorHAnsi" w:cstheme="minorHAnsi"/>
                <w:b/>
                <w:bCs/>
                <w:sz w:val="22"/>
                <w:szCs w:val="22"/>
                <w:lang w:eastAsia="en-IN"/>
              </w:rPr>
            </w:pPr>
            <w:r w:rsidRPr="00D95ECC">
              <w:rPr>
                <w:rFonts w:asciiTheme="minorHAnsi" w:hAnsiTheme="minorHAnsi" w:cstheme="minorHAnsi"/>
                <w:b/>
                <w:bCs/>
                <w:sz w:val="22"/>
                <w:szCs w:val="22"/>
                <w:lang w:eastAsia="en-IN"/>
              </w:rPr>
              <w:t>Section Nos</w:t>
            </w:r>
          </w:p>
        </w:tc>
        <w:tc>
          <w:tcPr>
            <w:tcW w:w="0" w:type="auto"/>
            <w:tcBorders>
              <w:top w:val="single" w:sz="4" w:space="0" w:color="auto"/>
              <w:left w:val="nil"/>
              <w:bottom w:val="single" w:sz="4" w:space="0" w:color="auto"/>
              <w:right w:val="single" w:sz="4" w:space="0" w:color="auto"/>
            </w:tcBorders>
            <w:shd w:val="clear" w:color="auto" w:fill="8DB3E2" w:themeFill="text2" w:themeFillTint="66"/>
            <w:vAlign w:val="center"/>
            <w:hideMark/>
          </w:tcPr>
          <w:p w14:paraId="288B4AD2" w14:textId="77777777" w:rsidR="00BB6BFE" w:rsidRPr="00D95ECC" w:rsidRDefault="00BB6BFE" w:rsidP="00CE3EEE">
            <w:pPr>
              <w:spacing w:line="360" w:lineRule="auto"/>
              <w:jc w:val="center"/>
              <w:rPr>
                <w:rFonts w:asciiTheme="minorHAnsi" w:hAnsiTheme="minorHAnsi" w:cstheme="minorHAnsi"/>
                <w:b/>
                <w:bCs/>
                <w:sz w:val="22"/>
                <w:szCs w:val="22"/>
                <w:lang w:eastAsia="en-IN"/>
              </w:rPr>
            </w:pPr>
            <w:r w:rsidRPr="00D95ECC">
              <w:rPr>
                <w:rFonts w:asciiTheme="minorHAnsi" w:hAnsiTheme="minorHAnsi" w:cstheme="minorHAnsi"/>
                <w:b/>
                <w:bCs/>
                <w:sz w:val="22"/>
                <w:szCs w:val="22"/>
                <w:lang w:eastAsia="en-IN"/>
              </w:rPr>
              <w:t>Section type</w:t>
            </w:r>
          </w:p>
        </w:tc>
        <w:tc>
          <w:tcPr>
            <w:tcW w:w="0" w:type="auto"/>
            <w:tcBorders>
              <w:top w:val="single" w:sz="4" w:space="0" w:color="auto"/>
              <w:left w:val="nil"/>
              <w:bottom w:val="single" w:sz="4" w:space="0" w:color="auto"/>
              <w:right w:val="single" w:sz="4" w:space="0" w:color="auto"/>
            </w:tcBorders>
            <w:shd w:val="clear" w:color="auto" w:fill="8DB3E2" w:themeFill="text2" w:themeFillTint="66"/>
            <w:vAlign w:val="center"/>
            <w:hideMark/>
          </w:tcPr>
          <w:p w14:paraId="02C22320" w14:textId="77777777" w:rsidR="00BB6BFE" w:rsidRPr="00D95ECC" w:rsidRDefault="00BB6BFE" w:rsidP="00CE3EEE">
            <w:pPr>
              <w:spacing w:line="360" w:lineRule="auto"/>
              <w:jc w:val="center"/>
              <w:rPr>
                <w:rFonts w:asciiTheme="minorHAnsi" w:hAnsiTheme="minorHAnsi" w:cstheme="minorHAnsi"/>
                <w:b/>
                <w:bCs/>
                <w:sz w:val="22"/>
                <w:szCs w:val="22"/>
                <w:lang w:eastAsia="en-IN"/>
              </w:rPr>
            </w:pPr>
            <w:r w:rsidRPr="00D95ECC">
              <w:rPr>
                <w:rFonts w:asciiTheme="minorHAnsi" w:hAnsiTheme="minorHAnsi" w:cstheme="minorHAnsi"/>
                <w:b/>
                <w:bCs/>
                <w:sz w:val="22"/>
                <w:szCs w:val="22"/>
                <w:lang w:eastAsia="en-IN"/>
              </w:rPr>
              <w:t xml:space="preserve">Consumer Count </w:t>
            </w:r>
          </w:p>
        </w:tc>
        <w:tc>
          <w:tcPr>
            <w:tcW w:w="0" w:type="auto"/>
            <w:tcBorders>
              <w:top w:val="single" w:sz="4" w:space="0" w:color="auto"/>
              <w:left w:val="nil"/>
              <w:bottom w:val="single" w:sz="4" w:space="0" w:color="auto"/>
              <w:right w:val="single" w:sz="4" w:space="0" w:color="auto"/>
            </w:tcBorders>
            <w:shd w:val="clear" w:color="auto" w:fill="8DB3E2" w:themeFill="text2" w:themeFillTint="66"/>
            <w:vAlign w:val="center"/>
            <w:hideMark/>
          </w:tcPr>
          <w:p w14:paraId="6CCA2504" w14:textId="77777777" w:rsidR="00BB6BFE" w:rsidRPr="00D95ECC" w:rsidRDefault="00BB6BFE" w:rsidP="00CE3EEE">
            <w:pPr>
              <w:spacing w:line="360" w:lineRule="auto"/>
              <w:jc w:val="center"/>
              <w:rPr>
                <w:rFonts w:asciiTheme="minorHAnsi" w:hAnsiTheme="minorHAnsi" w:cstheme="minorHAnsi"/>
                <w:b/>
                <w:bCs/>
                <w:sz w:val="22"/>
                <w:szCs w:val="22"/>
                <w:lang w:eastAsia="en-IN"/>
              </w:rPr>
            </w:pPr>
            <w:r w:rsidRPr="00D95ECC">
              <w:rPr>
                <w:rFonts w:asciiTheme="minorHAnsi" w:hAnsiTheme="minorHAnsi" w:cstheme="minorHAnsi"/>
                <w:b/>
                <w:bCs/>
                <w:sz w:val="22"/>
                <w:szCs w:val="22"/>
                <w:lang w:eastAsia="en-IN"/>
              </w:rPr>
              <w:t>Coordinator</w:t>
            </w:r>
          </w:p>
        </w:tc>
        <w:tc>
          <w:tcPr>
            <w:tcW w:w="0" w:type="auto"/>
            <w:tcBorders>
              <w:top w:val="single" w:sz="4" w:space="0" w:color="auto"/>
              <w:left w:val="nil"/>
              <w:bottom w:val="single" w:sz="4" w:space="0" w:color="auto"/>
              <w:right w:val="single" w:sz="4" w:space="0" w:color="auto"/>
            </w:tcBorders>
            <w:shd w:val="clear" w:color="auto" w:fill="8DB3E2" w:themeFill="text2" w:themeFillTint="66"/>
            <w:vAlign w:val="center"/>
            <w:hideMark/>
          </w:tcPr>
          <w:p w14:paraId="21FAF29C" w14:textId="77777777" w:rsidR="00BB6BFE" w:rsidRPr="00D95ECC" w:rsidRDefault="00BB6BFE" w:rsidP="00CE3EEE">
            <w:pPr>
              <w:spacing w:line="360" w:lineRule="auto"/>
              <w:jc w:val="center"/>
              <w:rPr>
                <w:rFonts w:asciiTheme="minorHAnsi" w:hAnsiTheme="minorHAnsi" w:cstheme="minorHAnsi"/>
                <w:b/>
                <w:bCs/>
                <w:sz w:val="22"/>
                <w:szCs w:val="22"/>
                <w:lang w:eastAsia="en-IN"/>
              </w:rPr>
            </w:pPr>
            <w:r w:rsidRPr="00D95ECC">
              <w:rPr>
                <w:rFonts w:asciiTheme="minorHAnsi" w:hAnsiTheme="minorHAnsi" w:cstheme="minorHAnsi"/>
                <w:b/>
                <w:bCs/>
                <w:sz w:val="22"/>
                <w:szCs w:val="22"/>
                <w:lang w:eastAsia="en-IN"/>
              </w:rPr>
              <w:t>Supervisor</w:t>
            </w:r>
          </w:p>
        </w:tc>
        <w:tc>
          <w:tcPr>
            <w:tcW w:w="0" w:type="auto"/>
            <w:tcBorders>
              <w:top w:val="single" w:sz="4" w:space="0" w:color="auto"/>
              <w:left w:val="nil"/>
              <w:bottom w:val="single" w:sz="4" w:space="0" w:color="auto"/>
              <w:right w:val="single" w:sz="4" w:space="0" w:color="auto"/>
            </w:tcBorders>
            <w:shd w:val="clear" w:color="auto" w:fill="8DB3E2" w:themeFill="text2" w:themeFillTint="66"/>
            <w:vAlign w:val="center"/>
            <w:hideMark/>
          </w:tcPr>
          <w:p w14:paraId="333A014C" w14:textId="77777777" w:rsidR="00BB6BFE" w:rsidRPr="00D95ECC" w:rsidRDefault="00BB6BFE" w:rsidP="00CE3EEE">
            <w:pPr>
              <w:spacing w:line="360" w:lineRule="auto"/>
              <w:jc w:val="center"/>
              <w:rPr>
                <w:rFonts w:asciiTheme="minorHAnsi" w:hAnsiTheme="minorHAnsi" w:cstheme="minorHAnsi"/>
                <w:b/>
                <w:bCs/>
                <w:sz w:val="22"/>
                <w:szCs w:val="22"/>
                <w:lang w:eastAsia="en-IN"/>
              </w:rPr>
            </w:pPr>
            <w:r w:rsidRPr="00D95ECC">
              <w:rPr>
                <w:rFonts w:asciiTheme="minorHAnsi" w:hAnsiTheme="minorHAnsi" w:cstheme="minorHAnsi"/>
                <w:b/>
                <w:bCs/>
                <w:sz w:val="22"/>
                <w:szCs w:val="22"/>
                <w:lang w:eastAsia="en-IN"/>
              </w:rPr>
              <w:t xml:space="preserve">Meter Reader </w:t>
            </w:r>
          </w:p>
        </w:tc>
      </w:tr>
      <w:tr w:rsidR="00BB6BFE" w:rsidRPr="00236E38" w14:paraId="0BB3AE0A" w14:textId="77777777" w:rsidTr="00CE3EEE">
        <w:trPr>
          <w:trHeight w:val="267"/>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2E6861E" w14:textId="77777777" w:rsidR="00BB6BFE" w:rsidRPr="00236E38" w:rsidRDefault="00BB6BFE" w:rsidP="00CE3EEE">
            <w:pPr>
              <w:spacing w:line="360" w:lineRule="auto"/>
              <w:jc w:val="center"/>
              <w:rPr>
                <w:rFonts w:asciiTheme="minorHAnsi" w:hAnsiTheme="minorHAnsi" w:cstheme="minorHAnsi"/>
                <w:color w:val="000000"/>
                <w:sz w:val="22"/>
                <w:szCs w:val="22"/>
                <w:lang w:eastAsia="en-IN"/>
              </w:rPr>
            </w:pPr>
            <w:r w:rsidRPr="00236E38">
              <w:rPr>
                <w:rFonts w:asciiTheme="minorHAnsi" w:hAnsiTheme="minorHAnsi" w:cstheme="minorHAnsi"/>
                <w:color w:val="000000"/>
                <w:sz w:val="22"/>
                <w:szCs w:val="22"/>
                <w:lang w:eastAsia="en-IN"/>
              </w:rPr>
              <w:t>20</w:t>
            </w:r>
          </w:p>
        </w:tc>
        <w:tc>
          <w:tcPr>
            <w:tcW w:w="0" w:type="auto"/>
            <w:tcBorders>
              <w:top w:val="nil"/>
              <w:left w:val="nil"/>
              <w:bottom w:val="single" w:sz="4" w:space="0" w:color="auto"/>
              <w:right w:val="single" w:sz="4" w:space="0" w:color="auto"/>
            </w:tcBorders>
            <w:shd w:val="clear" w:color="auto" w:fill="auto"/>
            <w:vAlign w:val="center"/>
            <w:hideMark/>
          </w:tcPr>
          <w:p w14:paraId="70B40ADB" w14:textId="77777777" w:rsidR="00BB6BFE" w:rsidRPr="00236E38" w:rsidRDefault="00BB6BFE" w:rsidP="00CE3EEE">
            <w:pPr>
              <w:spacing w:line="360" w:lineRule="auto"/>
              <w:jc w:val="center"/>
              <w:rPr>
                <w:rFonts w:asciiTheme="minorHAnsi" w:hAnsiTheme="minorHAnsi" w:cstheme="minorHAnsi"/>
                <w:color w:val="000000"/>
                <w:sz w:val="22"/>
                <w:szCs w:val="22"/>
                <w:lang w:eastAsia="en-IN"/>
              </w:rPr>
            </w:pPr>
            <w:r w:rsidRPr="00236E38">
              <w:rPr>
                <w:rFonts w:asciiTheme="minorHAnsi" w:hAnsiTheme="minorHAnsi" w:cstheme="minorHAnsi"/>
                <w:color w:val="000000"/>
                <w:sz w:val="22"/>
                <w:szCs w:val="22"/>
                <w:lang w:eastAsia="en-IN"/>
              </w:rPr>
              <w:t>Urban</w:t>
            </w:r>
          </w:p>
        </w:tc>
        <w:tc>
          <w:tcPr>
            <w:tcW w:w="0" w:type="auto"/>
            <w:tcBorders>
              <w:top w:val="nil"/>
              <w:left w:val="nil"/>
              <w:bottom w:val="single" w:sz="4" w:space="0" w:color="auto"/>
              <w:right w:val="single" w:sz="4" w:space="0" w:color="auto"/>
            </w:tcBorders>
            <w:shd w:val="clear" w:color="auto" w:fill="auto"/>
            <w:vAlign w:val="center"/>
            <w:hideMark/>
          </w:tcPr>
          <w:p w14:paraId="46116B38" w14:textId="77777777" w:rsidR="00BB6BFE" w:rsidRPr="00236E38" w:rsidRDefault="00BB6BFE" w:rsidP="00CE3EEE">
            <w:pPr>
              <w:spacing w:line="360" w:lineRule="auto"/>
              <w:jc w:val="center"/>
              <w:rPr>
                <w:rFonts w:asciiTheme="minorHAnsi" w:hAnsiTheme="minorHAnsi" w:cstheme="minorHAnsi"/>
                <w:color w:val="000000"/>
                <w:sz w:val="22"/>
                <w:szCs w:val="22"/>
                <w:lang w:eastAsia="en-IN"/>
              </w:rPr>
            </w:pPr>
            <w:r w:rsidRPr="00236E38">
              <w:rPr>
                <w:rFonts w:asciiTheme="minorHAnsi" w:hAnsiTheme="minorHAnsi" w:cstheme="minorHAnsi"/>
                <w:color w:val="000000"/>
                <w:sz w:val="22"/>
                <w:szCs w:val="22"/>
                <w:lang w:eastAsia="en-IN"/>
              </w:rPr>
              <w:t>184020</w:t>
            </w:r>
          </w:p>
        </w:tc>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254B2055" w14:textId="77777777" w:rsidR="00BB6BFE" w:rsidRPr="00236E38" w:rsidRDefault="00BB6BFE" w:rsidP="00CE3EEE">
            <w:pPr>
              <w:spacing w:line="360" w:lineRule="auto"/>
              <w:jc w:val="center"/>
              <w:rPr>
                <w:rFonts w:asciiTheme="minorHAnsi" w:hAnsiTheme="minorHAnsi" w:cstheme="minorHAnsi"/>
                <w:color w:val="000000"/>
                <w:sz w:val="22"/>
                <w:szCs w:val="22"/>
                <w:lang w:eastAsia="en-IN"/>
              </w:rPr>
            </w:pPr>
            <w:r w:rsidRPr="00236E38">
              <w:rPr>
                <w:rFonts w:asciiTheme="minorHAnsi" w:hAnsiTheme="minorHAnsi" w:cstheme="minorHAnsi"/>
                <w:color w:val="000000"/>
                <w:sz w:val="22"/>
                <w:szCs w:val="22"/>
                <w:lang w:eastAsia="en-IN"/>
              </w:rPr>
              <w:t>1 per Division</w:t>
            </w:r>
          </w:p>
        </w:tc>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4E242050" w14:textId="77777777" w:rsidR="00BB6BFE" w:rsidRPr="00236E38" w:rsidRDefault="00BB6BFE" w:rsidP="00CE3EEE">
            <w:pPr>
              <w:spacing w:line="360" w:lineRule="auto"/>
              <w:jc w:val="center"/>
              <w:rPr>
                <w:rFonts w:asciiTheme="minorHAnsi" w:hAnsiTheme="minorHAnsi" w:cstheme="minorHAnsi"/>
                <w:color w:val="000000"/>
                <w:sz w:val="22"/>
                <w:szCs w:val="22"/>
                <w:lang w:eastAsia="en-IN"/>
              </w:rPr>
            </w:pPr>
            <w:r w:rsidRPr="00236E38">
              <w:rPr>
                <w:rFonts w:asciiTheme="minorHAnsi" w:hAnsiTheme="minorHAnsi" w:cstheme="minorHAnsi"/>
                <w:color w:val="000000"/>
                <w:sz w:val="22"/>
                <w:szCs w:val="22"/>
                <w:lang w:eastAsia="en-IN"/>
              </w:rPr>
              <w:t>1 for 2 Section</w:t>
            </w:r>
          </w:p>
        </w:tc>
        <w:tc>
          <w:tcPr>
            <w:tcW w:w="0" w:type="auto"/>
            <w:tcBorders>
              <w:top w:val="nil"/>
              <w:left w:val="nil"/>
              <w:bottom w:val="single" w:sz="4" w:space="0" w:color="auto"/>
              <w:right w:val="single" w:sz="4" w:space="0" w:color="auto"/>
            </w:tcBorders>
            <w:shd w:val="clear" w:color="auto" w:fill="auto"/>
            <w:vAlign w:val="center"/>
            <w:hideMark/>
          </w:tcPr>
          <w:p w14:paraId="5AF8892F" w14:textId="77777777" w:rsidR="00BB6BFE" w:rsidRPr="00236E38" w:rsidRDefault="00BB6BFE" w:rsidP="00CE3EEE">
            <w:pPr>
              <w:spacing w:line="360" w:lineRule="auto"/>
              <w:jc w:val="center"/>
              <w:rPr>
                <w:rFonts w:asciiTheme="minorHAnsi" w:hAnsiTheme="minorHAnsi" w:cstheme="minorHAnsi"/>
                <w:color w:val="000000"/>
                <w:sz w:val="22"/>
                <w:szCs w:val="22"/>
                <w:lang w:eastAsia="en-IN"/>
              </w:rPr>
            </w:pPr>
            <w:r w:rsidRPr="00236E38">
              <w:rPr>
                <w:rFonts w:asciiTheme="minorHAnsi" w:hAnsiTheme="minorHAnsi" w:cstheme="minorHAnsi"/>
                <w:color w:val="000000"/>
                <w:sz w:val="22"/>
                <w:szCs w:val="22"/>
                <w:lang w:eastAsia="en-IN"/>
              </w:rPr>
              <w:t>5 per Section</w:t>
            </w:r>
          </w:p>
        </w:tc>
      </w:tr>
      <w:tr w:rsidR="00BB6BFE" w:rsidRPr="00236E38" w14:paraId="507A7A5F" w14:textId="77777777" w:rsidTr="00CE3EEE">
        <w:trPr>
          <w:trHeight w:val="267"/>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7286092" w14:textId="77777777" w:rsidR="00BB6BFE" w:rsidRPr="00236E38" w:rsidRDefault="00BB6BFE" w:rsidP="00CE3EEE">
            <w:pPr>
              <w:spacing w:line="360" w:lineRule="auto"/>
              <w:jc w:val="center"/>
              <w:rPr>
                <w:rFonts w:asciiTheme="minorHAnsi" w:hAnsiTheme="minorHAnsi" w:cstheme="minorHAnsi"/>
                <w:color w:val="000000"/>
                <w:sz w:val="22"/>
                <w:szCs w:val="22"/>
                <w:lang w:eastAsia="en-IN"/>
              </w:rPr>
            </w:pPr>
            <w:r w:rsidRPr="00236E38">
              <w:rPr>
                <w:rFonts w:asciiTheme="minorHAnsi" w:hAnsiTheme="minorHAnsi" w:cstheme="minorHAnsi"/>
                <w:color w:val="000000"/>
                <w:sz w:val="22"/>
                <w:szCs w:val="22"/>
                <w:lang w:eastAsia="en-IN"/>
              </w:rPr>
              <w:t>10</w:t>
            </w:r>
          </w:p>
        </w:tc>
        <w:tc>
          <w:tcPr>
            <w:tcW w:w="0" w:type="auto"/>
            <w:tcBorders>
              <w:top w:val="nil"/>
              <w:left w:val="nil"/>
              <w:bottom w:val="single" w:sz="4" w:space="0" w:color="auto"/>
              <w:right w:val="single" w:sz="4" w:space="0" w:color="auto"/>
            </w:tcBorders>
            <w:shd w:val="clear" w:color="auto" w:fill="auto"/>
            <w:vAlign w:val="center"/>
            <w:hideMark/>
          </w:tcPr>
          <w:p w14:paraId="330D7797" w14:textId="77777777" w:rsidR="00BB6BFE" w:rsidRPr="00236E38" w:rsidRDefault="00BB6BFE" w:rsidP="00CE3EEE">
            <w:pPr>
              <w:spacing w:line="360" w:lineRule="auto"/>
              <w:jc w:val="center"/>
              <w:rPr>
                <w:rFonts w:asciiTheme="minorHAnsi" w:hAnsiTheme="minorHAnsi" w:cstheme="minorHAnsi"/>
                <w:color w:val="000000"/>
                <w:sz w:val="22"/>
                <w:szCs w:val="22"/>
                <w:lang w:eastAsia="en-IN"/>
              </w:rPr>
            </w:pPr>
            <w:r w:rsidRPr="00236E38">
              <w:rPr>
                <w:rFonts w:asciiTheme="minorHAnsi" w:hAnsiTheme="minorHAnsi" w:cstheme="minorHAnsi"/>
                <w:color w:val="000000"/>
                <w:sz w:val="22"/>
                <w:szCs w:val="22"/>
                <w:lang w:eastAsia="en-IN"/>
              </w:rPr>
              <w:t xml:space="preserve">Semi Urban </w:t>
            </w:r>
          </w:p>
        </w:tc>
        <w:tc>
          <w:tcPr>
            <w:tcW w:w="0" w:type="auto"/>
            <w:tcBorders>
              <w:top w:val="nil"/>
              <w:left w:val="nil"/>
              <w:bottom w:val="single" w:sz="4" w:space="0" w:color="auto"/>
              <w:right w:val="single" w:sz="4" w:space="0" w:color="auto"/>
            </w:tcBorders>
            <w:shd w:val="clear" w:color="auto" w:fill="auto"/>
            <w:vAlign w:val="center"/>
            <w:hideMark/>
          </w:tcPr>
          <w:p w14:paraId="26B19853" w14:textId="77777777" w:rsidR="00BB6BFE" w:rsidRPr="00236E38" w:rsidRDefault="00BB6BFE" w:rsidP="00CE3EEE">
            <w:pPr>
              <w:spacing w:line="360" w:lineRule="auto"/>
              <w:jc w:val="center"/>
              <w:rPr>
                <w:rFonts w:asciiTheme="minorHAnsi" w:hAnsiTheme="minorHAnsi" w:cstheme="minorHAnsi"/>
                <w:color w:val="000000"/>
                <w:sz w:val="22"/>
                <w:szCs w:val="22"/>
                <w:lang w:eastAsia="en-IN"/>
              </w:rPr>
            </w:pPr>
            <w:r w:rsidRPr="00236E38">
              <w:rPr>
                <w:rFonts w:asciiTheme="minorHAnsi" w:hAnsiTheme="minorHAnsi" w:cstheme="minorHAnsi"/>
                <w:color w:val="000000"/>
                <w:sz w:val="22"/>
                <w:szCs w:val="22"/>
                <w:lang w:eastAsia="en-IN"/>
              </w:rPr>
              <w:t>138481</w:t>
            </w:r>
          </w:p>
        </w:tc>
        <w:tc>
          <w:tcPr>
            <w:tcW w:w="0" w:type="auto"/>
            <w:vMerge/>
            <w:tcBorders>
              <w:top w:val="nil"/>
              <w:left w:val="single" w:sz="4" w:space="0" w:color="auto"/>
              <w:bottom w:val="single" w:sz="4" w:space="0" w:color="auto"/>
              <w:right w:val="single" w:sz="4" w:space="0" w:color="auto"/>
            </w:tcBorders>
            <w:vAlign w:val="center"/>
            <w:hideMark/>
          </w:tcPr>
          <w:p w14:paraId="062D7209" w14:textId="77777777" w:rsidR="00BB6BFE" w:rsidRPr="00236E38" w:rsidRDefault="00BB6BFE" w:rsidP="00CE3EEE">
            <w:pPr>
              <w:spacing w:line="360" w:lineRule="auto"/>
              <w:rPr>
                <w:rFonts w:asciiTheme="minorHAnsi" w:hAnsiTheme="minorHAnsi" w:cstheme="minorHAnsi"/>
                <w:color w:val="000000"/>
                <w:sz w:val="22"/>
                <w:szCs w:val="22"/>
                <w:lang w:eastAsia="en-IN"/>
              </w:rPr>
            </w:pPr>
          </w:p>
        </w:tc>
        <w:tc>
          <w:tcPr>
            <w:tcW w:w="0" w:type="auto"/>
            <w:vMerge/>
            <w:tcBorders>
              <w:top w:val="nil"/>
              <w:left w:val="single" w:sz="4" w:space="0" w:color="auto"/>
              <w:bottom w:val="single" w:sz="4" w:space="0" w:color="auto"/>
              <w:right w:val="single" w:sz="4" w:space="0" w:color="auto"/>
            </w:tcBorders>
            <w:vAlign w:val="center"/>
            <w:hideMark/>
          </w:tcPr>
          <w:p w14:paraId="187C7A7F" w14:textId="77777777" w:rsidR="00BB6BFE" w:rsidRPr="00236E38" w:rsidRDefault="00BB6BFE" w:rsidP="00CE3EEE">
            <w:pPr>
              <w:spacing w:line="360" w:lineRule="auto"/>
              <w:rPr>
                <w:rFonts w:asciiTheme="minorHAnsi" w:hAnsiTheme="minorHAnsi" w:cstheme="minorHAnsi"/>
                <w:color w:val="000000"/>
                <w:sz w:val="22"/>
                <w:szCs w:val="22"/>
                <w:lang w:eastAsia="en-IN"/>
              </w:rPr>
            </w:pPr>
          </w:p>
        </w:tc>
        <w:tc>
          <w:tcPr>
            <w:tcW w:w="0" w:type="auto"/>
            <w:tcBorders>
              <w:top w:val="nil"/>
              <w:left w:val="nil"/>
              <w:bottom w:val="single" w:sz="4" w:space="0" w:color="auto"/>
              <w:right w:val="single" w:sz="4" w:space="0" w:color="auto"/>
            </w:tcBorders>
            <w:shd w:val="clear" w:color="auto" w:fill="auto"/>
            <w:vAlign w:val="center"/>
            <w:hideMark/>
          </w:tcPr>
          <w:p w14:paraId="7A740897" w14:textId="77777777" w:rsidR="00BB6BFE" w:rsidRPr="00236E38" w:rsidRDefault="00BB6BFE" w:rsidP="00CE3EEE">
            <w:pPr>
              <w:spacing w:line="360" w:lineRule="auto"/>
              <w:jc w:val="center"/>
              <w:rPr>
                <w:rFonts w:asciiTheme="minorHAnsi" w:hAnsiTheme="minorHAnsi" w:cstheme="minorHAnsi"/>
                <w:color w:val="000000"/>
                <w:sz w:val="22"/>
                <w:szCs w:val="22"/>
                <w:lang w:eastAsia="en-IN"/>
              </w:rPr>
            </w:pPr>
            <w:r w:rsidRPr="00236E38">
              <w:rPr>
                <w:rFonts w:asciiTheme="minorHAnsi" w:hAnsiTheme="minorHAnsi" w:cstheme="minorHAnsi"/>
                <w:color w:val="000000"/>
                <w:sz w:val="22"/>
                <w:szCs w:val="22"/>
                <w:lang w:eastAsia="en-IN"/>
              </w:rPr>
              <w:t>8 per Section</w:t>
            </w:r>
          </w:p>
        </w:tc>
      </w:tr>
      <w:tr w:rsidR="00BB6BFE" w:rsidRPr="00236E38" w14:paraId="35DD6803" w14:textId="77777777" w:rsidTr="00CE3EEE">
        <w:trPr>
          <w:trHeight w:val="267"/>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5B56F8C" w14:textId="77777777" w:rsidR="00BB6BFE" w:rsidRPr="00236E38" w:rsidRDefault="00BB6BFE" w:rsidP="00CE3EEE">
            <w:pPr>
              <w:spacing w:line="360" w:lineRule="auto"/>
              <w:jc w:val="center"/>
              <w:rPr>
                <w:rFonts w:asciiTheme="minorHAnsi" w:hAnsiTheme="minorHAnsi" w:cstheme="minorHAnsi"/>
                <w:color w:val="000000"/>
                <w:sz w:val="22"/>
                <w:szCs w:val="22"/>
                <w:lang w:eastAsia="en-IN"/>
              </w:rPr>
            </w:pPr>
            <w:r w:rsidRPr="00236E38">
              <w:rPr>
                <w:rFonts w:asciiTheme="minorHAnsi" w:hAnsiTheme="minorHAnsi" w:cstheme="minorHAnsi"/>
                <w:color w:val="000000"/>
                <w:sz w:val="22"/>
                <w:szCs w:val="22"/>
                <w:lang w:eastAsia="en-IN"/>
              </w:rPr>
              <w:t>91</w:t>
            </w:r>
          </w:p>
        </w:tc>
        <w:tc>
          <w:tcPr>
            <w:tcW w:w="0" w:type="auto"/>
            <w:tcBorders>
              <w:top w:val="nil"/>
              <w:left w:val="nil"/>
              <w:bottom w:val="single" w:sz="4" w:space="0" w:color="auto"/>
              <w:right w:val="single" w:sz="4" w:space="0" w:color="auto"/>
            </w:tcBorders>
            <w:shd w:val="clear" w:color="auto" w:fill="auto"/>
            <w:vAlign w:val="center"/>
            <w:hideMark/>
          </w:tcPr>
          <w:p w14:paraId="1C8509F4" w14:textId="77777777" w:rsidR="00BB6BFE" w:rsidRPr="00236E38" w:rsidRDefault="00BB6BFE" w:rsidP="00CE3EEE">
            <w:pPr>
              <w:spacing w:line="360" w:lineRule="auto"/>
              <w:jc w:val="center"/>
              <w:rPr>
                <w:rFonts w:asciiTheme="minorHAnsi" w:hAnsiTheme="minorHAnsi" w:cstheme="minorHAnsi"/>
                <w:color w:val="000000"/>
                <w:sz w:val="22"/>
                <w:szCs w:val="22"/>
                <w:lang w:eastAsia="en-IN"/>
              </w:rPr>
            </w:pPr>
            <w:r w:rsidRPr="00236E38">
              <w:rPr>
                <w:rFonts w:asciiTheme="minorHAnsi" w:hAnsiTheme="minorHAnsi" w:cstheme="minorHAnsi"/>
                <w:color w:val="000000"/>
                <w:sz w:val="22"/>
                <w:szCs w:val="22"/>
                <w:lang w:eastAsia="en-IN"/>
              </w:rPr>
              <w:t>Rural</w:t>
            </w:r>
          </w:p>
        </w:tc>
        <w:tc>
          <w:tcPr>
            <w:tcW w:w="0" w:type="auto"/>
            <w:tcBorders>
              <w:top w:val="nil"/>
              <w:left w:val="nil"/>
              <w:bottom w:val="single" w:sz="4" w:space="0" w:color="auto"/>
              <w:right w:val="single" w:sz="4" w:space="0" w:color="auto"/>
            </w:tcBorders>
            <w:shd w:val="clear" w:color="auto" w:fill="auto"/>
            <w:vAlign w:val="center"/>
            <w:hideMark/>
          </w:tcPr>
          <w:p w14:paraId="36DBA30B" w14:textId="77777777" w:rsidR="00BB6BFE" w:rsidRPr="00236E38" w:rsidRDefault="00BB6BFE" w:rsidP="00CE3EEE">
            <w:pPr>
              <w:spacing w:line="360" w:lineRule="auto"/>
              <w:jc w:val="center"/>
              <w:rPr>
                <w:rFonts w:asciiTheme="minorHAnsi" w:hAnsiTheme="minorHAnsi" w:cstheme="minorHAnsi"/>
                <w:color w:val="000000"/>
                <w:sz w:val="22"/>
                <w:szCs w:val="22"/>
                <w:lang w:eastAsia="en-IN"/>
              </w:rPr>
            </w:pPr>
            <w:r w:rsidRPr="00236E38">
              <w:rPr>
                <w:rFonts w:asciiTheme="minorHAnsi" w:hAnsiTheme="minorHAnsi" w:cstheme="minorHAnsi"/>
                <w:color w:val="000000"/>
                <w:sz w:val="22"/>
                <w:szCs w:val="22"/>
                <w:lang w:eastAsia="en-IN"/>
              </w:rPr>
              <w:t>1109840</w:t>
            </w:r>
          </w:p>
        </w:tc>
        <w:tc>
          <w:tcPr>
            <w:tcW w:w="0" w:type="auto"/>
            <w:vMerge/>
            <w:tcBorders>
              <w:top w:val="nil"/>
              <w:left w:val="single" w:sz="4" w:space="0" w:color="auto"/>
              <w:bottom w:val="single" w:sz="4" w:space="0" w:color="auto"/>
              <w:right w:val="single" w:sz="4" w:space="0" w:color="auto"/>
            </w:tcBorders>
            <w:vAlign w:val="center"/>
            <w:hideMark/>
          </w:tcPr>
          <w:p w14:paraId="230AA8D3" w14:textId="77777777" w:rsidR="00BB6BFE" w:rsidRPr="00236E38" w:rsidRDefault="00BB6BFE" w:rsidP="00CE3EEE">
            <w:pPr>
              <w:spacing w:line="360" w:lineRule="auto"/>
              <w:rPr>
                <w:rFonts w:asciiTheme="minorHAnsi" w:hAnsiTheme="minorHAnsi" w:cstheme="minorHAnsi"/>
                <w:color w:val="000000"/>
                <w:sz w:val="22"/>
                <w:szCs w:val="22"/>
                <w:lang w:eastAsia="en-IN"/>
              </w:rPr>
            </w:pPr>
          </w:p>
        </w:tc>
        <w:tc>
          <w:tcPr>
            <w:tcW w:w="0" w:type="auto"/>
            <w:vMerge/>
            <w:tcBorders>
              <w:top w:val="nil"/>
              <w:left w:val="single" w:sz="4" w:space="0" w:color="auto"/>
              <w:bottom w:val="single" w:sz="4" w:space="0" w:color="auto"/>
              <w:right w:val="single" w:sz="4" w:space="0" w:color="auto"/>
            </w:tcBorders>
            <w:vAlign w:val="center"/>
            <w:hideMark/>
          </w:tcPr>
          <w:p w14:paraId="6AFB7998" w14:textId="77777777" w:rsidR="00BB6BFE" w:rsidRPr="00236E38" w:rsidRDefault="00BB6BFE" w:rsidP="00CE3EEE">
            <w:pPr>
              <w:spacing w:line="360" w:lineRule="auto"/>
              <w:rPr>
                <w:rFonts w:asciiTheme="minorHAnsi" w:hAnsiTheme="minorHAnsi" w:cstheme="minorHAnsi"/>
                <w:color w:val="000000"/>
                <w:sz w:val="22"/>
                <w:szCs w:val="22"/>
                <w:lang w:eastAsia="en-IN"/>
              </w:rPr>
            </w:pPr>
          </w:p>
        </w:tc>
        <w:tc>
          <w:tcPr>
            <w:tcW w:w="0" w:type="auto"/>
            <w:tcBorders>
              <w:top w:val="nil"/>
              <w:left w:val="nil"/>
              <w:bottom w:val="single" w:sz="4" w:space="0" w:color="auto"/>
              <w:right w:val="single" w:sz="4" w:space="0" w:color="auto"/>
            </w:tcBorders>
            <w:shd w:val="clear" w:color="auto" w:fill="auto"/>
            <w:vAlign w:val="center"/>
            <w:hideMark/>
          </w:tcPr>
          <w:p w14:paraId="4C74BF58" w14:textId="77777777" w:rsidR="00BB6BFE" w:rsidRPr="00236E38" w:rsidRDefault="00BB6BFE" w:rsidP="00CE3EEE">
            <w:pPr>
              <w:spacing w:line="360" w:lineRule="auto"/>
              <w:jc w:val="center"/>
              <w:rPr>
                <w:rFonts w:asciiTheme="minorHAnsi" w:hAnsiTheme="minorHAnsi" w:cstheme="minorHAnsi"/>
                <w:color w:val="000000"/>
                <w:sz w:val="22"/>
                <w:szCs w:val="22"/>
                <w:lang w:eastAsia="en-IN"/>
              </w:rPr>
            </w:pPr>
            <w:r w:rsidRPr="00236E38">
              <w:rPr>
                <w:rFonts w:asciiTheme="minorHAnsi" w:hAnsiTheme="minorHAnsi" w:cstheme="minorHAnsi"/>
                <w:color w:val="000000"/>
                <w:sz w:val="22"/>
                <w:szCs w:val="22"/>
                <w:lang w:eastAsia="en-IN"/>
              </w:rPr>
              <w:t>8 per Section</w:t>
            </w:r>
          </w:p>
        </w:tc>
      </w:tr>
      <w:tr w:rsidR="00BB6BFE" w:rsidRPr="00236E38" w14:paraId="528C0A11" w14:textId="77777777" w:rsidTr="00CE3EEE">
        <w:trPr>
          <w:trHeight w:val="53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9EC1B27" w14:textId="77777777" w:rsidR="00BB6BFE" w:rsidRPr="00236E38" w:rsidRDefault="00BB6BFE" w:rsidP="00CE3EEE">
            <w:pPr>
              <w:spacing w:line="360" w:lineRule="auto"/>
              <w:jc w:val="center"/>
              <w:rPr>
                <w:rFonts w:asciiTheme="minorHAnsi" w:hAnsiTheme="minorHAnsi" w:cstheme="minorHAnsi"/>
                <w:color w:val="000000"/>
                <w:sz w:val="22"/>
                <w:szCs w:val="22"/>
                <w:lang w:eastAsia="en-IN"/>
              </w:rPr>
            </w:pPr>
            <w:r w:rsidRPr="00236E38">
              <w:rPr>
                <w:rFonts w:asciiTheme="minorHAnsi" w:hAnsiTheme="minorHAnsi" w:cstheme="minorHAnsi"/>
                <w:color w:val="000000"/>
                <w:sz w:val="22"/>
                <w:szCs w:val="22"/>
                <w:lang w:eastAsia="en-IN"/>
              </w:rPr>
              <w:t>38</w:t>
            </w:r>
          </w:p>
        </w:tc>
        <w:tc>
          <w:tcPr>
            <w:tcW w:w="0" w:type="auto"/>
            <w:tcBorders>
              <w:top w:val="nil"/>
              <w:left w:val="nil"/>
              <w:bottom w:val="single" w:sz="4" w:space="0" w:color="auto"/>
              <w:right w:val="single" w:sz="4" w:space="0" w:color="auto"/>
            </w:tcBorders>
            <w:shd w:val="clear" w:color="auto" w:fill="auto"/>
            <w:vAlign w:val="center"/>
            <w:hideMark/>
          </w:tcPr>
          <w:p w14:paraId="41DA5566" w14:textId="77777777" w:rsidR="00BB6BFE" w:rsidRPr="00236E38" w:rsidRDefault="00BB6BFE" w:rsidP="00CE3EEE">
            <w:pPr>
              <w:spacing w:line="360" w:lineRule="auto"/>
              <w:jc w:val="center"/>
              <w:rPr>
                <w:rFonts w:asciiTheme="minorHAnsi" w:hAnsiTheme="minorHAnsi" w:cstheme="minorHAnsi"/>
                <w:color w:val="000000"/>
                <w:sz w:val="22"/>
                <w:szCs w:val="22"/>
                <w:lang w:eastAsia="en-IN"/>
              </w:rPr>
            </w:pPr>
            <w:r w:rsidRPr="00236E38">
              <w:rPr>
                <w:rFonts w:asciiTheme="minorHAnsi" w:hAnsiTheme="minorHAnsi" w:cstheme="minorHAnsi"/>
                <w:color w:val="000000"/>
                <w:sz w:val="22"/>
                <w:szCs w:val="22"/>
                <w:lang w:eastAsia="en-IN"/>
              </w:rPr>
              <w:t>Remote Rural</w:t>
            </w:r>
          </w:p>
        </w:tc>
        <w:tc>
          <w:tcPr>
            <w:tcW w:w="0" w:type="auto"/>
            <w:tcBorders>
              <w:top w:val="nil"/>
              <w:left w:val="nil"/>
              <w:bottom w:val="single" w:sz="4" w:space="0" w:color="auto"/>
              <w:right w:val="single" w:sz="4" w:space="0" w:color="auto"/>
            </w:tcBorders>
            <w:shd w:val="clear" w:color="auto" w:fill="auto"/>
            <w:vAlign w:val="center"/>
            <w:hideMark/>
          </w:tcPr>
          <w:p w14:paraId="700B06AA" w14:textId="77777777" w:rsidR="00BB6BFE" w:rsidRPr="00236E38" w:rsidRDefault="00BB6BFE" w:rsidP="00CE3EEE">
            <w:pPr>
              <w:spacing w:line="360" w:lineRule="auto"/>
              <w:jc w:val="center"/>
              <w:rPr>
                <w:rFonts w:asciiTheme="minorHAnsi" w:hAnsiTheme="minorHAnsi" w:cstheme="minorHAnsi"/>
                <w:color w:val="000000"/>
                <w:sz w:val="22"/>
                <w:szCs w:val="22"/>
                <w:lang w:eastAsia="en-IN"/>
              </w:rPr>
            </w:pPr>
            <w:r w:rsidRPr="00236E38">
              <w:rPr>
                <w:rFonts w:asciiTheme="minorHAnsi" w:hAnsiTheme="minorHAnsi" w:cstheme="minorHAnsi"/>
                <w:color w:val="000000"/>
                <w:sz w:val="22"/>
                <w:szCs w:val="22"/>
                <w:lang w:eastAsia="en-IN"/>
              </w:rPr>
              <w:t>402883</w:t>
            </w:r>
          </w:p>
        </w:tc>
        <w:tc>
          <w:tcPr>
            <w:tcW w:w="0" w:type="auto"/>
            <w:vMerge/>
            <w:tcBorders>
              <w:top w:val="nil"/>
              <w:left w:val="single" w:sz="4" w:space="0" w:color="auto"/>
              <w:bottom w:val="single" w:sz="4" w:space="0" w:color="auto"/>
              <w:right w:val="single" w:sz="4" w:space="0" w:color="auto"/>
            </w:tcBorders>
            <w:vAlign w:val="center"/>
            <w:hideMark/>
          </w:tcPr>
          <w:p w14:paraId="720B9513" w14:textId="77777777" w:rsidR="00BB6BFE" w:rsidRPr="00236E38" w:rsidRDefault="00BB6BFE" w:rsidP="00CE3EEE">
            <w:pPr>
              <w:spacing w:line="360" w:lineRule="auto"/>
              <w:rPr>
                <w:rFonts w:asciiTheme="minorHAnsi" w:hAnsiTheme="minorHAnsi" w:cstheme="minorHAnsi"/>
                <w:color w:val="000000"/>
                <w:sz w:val="22"/>
                <w:szCs w:val="22"/>
                <w:lang w:eastAsia="en-IN"/>
              </w:rPr>
            </w:pPr>
          </w:p>
        </w:tc>
        <w:tc>
          <w:tcPr>
            <w:tcW w:w="0" w:type="auto"/>
            <w:vMerge/>
            <w:tcBorders>
              <w:top w:val="nil"/>
              <w:left w:val="single" w:sz="4" w:space="0" w:color="auto"/>
              <w:bottom w:val="single" w:sz="4" w:space="0" w:color="auto"/>
              <w:right w:val="single" w:sz="4" w:space="0" w:color="auto"/>
            </w:tcBorders>
            <w:vAlign w:val="center"/>
            <w:hideMark/>
          </w:tcPr>
          <w:p w14:paraId="4162FAB4" w14:textId="77777777" w:rsidR="00BB6BFE" w:rsidRPr="00236E38" w:rsidRDefault="00BB6BFE" w:rsidP="00CE3EEE">
            <w:pPr>
              <w:spacing w:line="360" w:lineRule="auto"/>
              <w:rPr>
                <w:rFonts w:asciiTheme="minorHAnsi" w:hAnsiTheme="minorHAnsi" w:cstheme="minorHAnsi"/>
                <w:color w:val="000000"/>
                <w:sz w:val="22"/>
                <w:szCs w:val="22"/>
                <w:lang w:eastAsia="en-IN"/>
              </w:rPr>
            </w:pPr>
          </w:p>
        </w:tc>
        <w:tc>
          <w:tcPr>
            <w:tcW w:w="0" w:type="auto"/>
            <w:tcBorders>
              <w:top w:val="nil"/>
              <w:left w:val="nil"/>
              <w:bottom w:val="single" w:sz="4" w:space="0" w:color="auto"/>
              <w:right w:val="single" w:sz="4" w:space="0" w:color="auto"/>
            </w:tcBorders>
            <w:shd w:val="clear" w:color="auto" w:fill="auto"/>
            <w:vAlign w:val="center"/>
            <w:hideMark/>
          </w:tcPr>
          <w:p w14:paraId="0D38AE86" w14:textId="77777777" w:rsidR="00BB6BFE" w:rsidRPr="00236E38" w:rsidRDefault="00BB6BFE" w:rsidP="00CE3EEE">
            <w:pPr>
              <w:spacing w:line="360" w:lineRule="auto"/>
              <w:jc w:val="center"/>
              <w:rPr>
                <w:rFonts w:asciiTheme="minorHAnsi" w:hAnsiTheme="minorHAnsi" w:cstheme="minorHAnsi"/>
                <w:color w:val="000000"/>
                <w:sz w:val="22"/>
                <w:szCs w:val="22"/>
                <w:lang w:eastAsia="en-IN"/>
              </w:rPr>
            </w:pPr>
            <w:r w:rsidRPr="00236E38">
              <w:rPr>
                <w:rFonts w:asciiTheme="minorHAnsi" w:hAnsiTheme="minorHAnsi" w:cstheme="minorHAnsi"/>
                <w:color w:val="000000"/>
                <w:sz w:val="22"/>
                <w:szCs w:val="22"/>
                <w:lang w:eastAsia="en-IN"/>
              </w:rPr>
              <w:t>8 per Section</w:t>
            </w:r>
          </w:p>
        </w:tc>
      </w:tr>
      <w:tr w:rsidR="00BB6BFE" w:rsidRPr="00236E38" w14:paraId="65F666E5" w14:textId="77777777" w:rsidTr="00CE3EEE">
        <w:trPr>
          <w:trHeight w:val="331"/>
        </w:trPr>
        <w:tc>
          <w:tcPr>
            <w:tcW w:w="0" w:type="auto"/>
            <w:gridSpan w:val="6"/>
            <w:tcBorders>
              <w:top w:val="single" w:sz="4" w:space="0" w:color="auto"/>
              <w:left w:val="single" w:sz="4" w:space="0" w:color="auto"/>
              <w:bottom w:val="single" w:sz="4" w:space="0" w:color="auto"/>
              <w:right w:val="single" w:sz="4" w:space="0" w:color="auto"/>
            </w:tcBorders>
            <w:shd w:val="clear" w:color="auto" w:fill="8DB3E2" w:themeFill="text2" w:themeFillTint="66"/>
            <w:vAlign w:val="center"/>
            <w:hideMark/>
          </w:tcPr>
          <w:p w14:paraId="616B21A3" w14:textId="77777777" w:rsidR="00BB6BFE" w:rsidRPr="00236E38" w:rsidRDefault="00BB6BFE" w:rsidP="00CE3EEE">
            <w:pPr>
              <w:spacing w:line="360" w:lineRule="auto"/>
              <w:jc w:val="center"/>
              <w:rPr>
                <w:rFonts w:asciiTheme="minorHAnsi" w:hAnsiTheme="minorHAnsi" w:cstheme="minorHAnsi"/>
                <w:b/>
                <w:bCs/>
                <w:color w:val="FFFFFF"/>
                <w:sz w:val="22"/>
                <w:szCs w:val="22"/>
                <w:lang w:eastAsia="en-IN"/>
              </w:rPr>
            </w:pPr>
            <w:r w:rsidRPr="00D95ECC">
              <w:rPr>
                <w:rFonts w:asciiTheme="minorHAnsi" w:hAnsiTheme="minorHAnsi" w:cstheme="minorHAnsi"/>
                <w:b/>
                <w:bCs/>
                <w:sz w:val="22"/>
                <w:szCs w:val="22"/>
                <w:lang w:eastAsia="en-IN"/>
              </w:rPr>
              <w:t>16 Division Coordinator, 75 Supervisor, 1254 Meter Readers</w:t>
            </w:r>
          </w:p>
        </w:tc>
      </w:tr>
    </w:tbl>
    <w:p w14:paraId="1A05DC2C" w14:textId="77777777" w:rsidR="00CE3EEE" w:rsidRDefault="00CE3EEE" w:rsidP="002B5470">
      <w:pPr>
        <w:spacing w:line="360" w:lineRule="auto"/>
        <w:ind w:right="-46"/>
        <w:jc w:val="both"/>
        <w:rPr>
          <w:rFonts w:asciiTheme="minorHAnsi" w:hAnsiTheme="minorHAnsi" w:cstheme="minorHAnsi"/>
          <w:color w:val="000000"/>
          <w:sz w:val="22"/>
          <w:szCs w:val="22"/>
          <w:lang w:eastAsia="en-IN"/>
        </w:rPr>
      </w:pPr>
    </w:p>
    <w:p w14:paraId="0EC6A907" w14:textId="323E45BB" w:rsidR="00BB6BFE" w:rsidRPr="00236E38" w:rsidRDefault="00BB6BFE" w:rsidP="00236E38">
      <w:pPr>
        <w:spacing w:line="360" w:lineRule="auto"/>
        <w:ind w:left="567" w:right="-46"/>
        <w:jc w:val="both"/>
        <w:rPr>
          <w:rFonts w:asciiTheme="minorHAnsi" w:hAnsiTheme="minorHAnsi" w:cstheme="minorHAnsi"/>
          <w:color w:val="000000"/>
          <w:sz w:val="22"/>
          <w:szCs w:val="22"/>
          <w:lang w:eastAsia="en-IN"/>
        </w:rPr>
      </w:pPr>
      <w:r w:rsidRPr="00236E38">
        <w:rPr>
          <w:rFonts w:asciiTheme="minorHAnsi" w:hAnsiTheme="minorHAnsi" w:cstheme="minorHAnsi"/>
          <w:color w:val="000000"/>
          <w:sz w:val="22"/>
          <w:szCs w:val="22"/>
          <w:lang w:eastAsia="en-IN"/>
        </w:rPr>
        <w:t xml:space="preserve">In 20 urban sections with consumer count 1,84,020, five-meter readers per section have been engaged.  For balance 10 Semi-Urban sections, 91nos. of Rural sections </w:t>
      </w:r>
      <w:proofErr w:type="gramStart"/>
      <w:r w:rsidRPr="00236E38">
        <w:rPr>
          <w:rFonts w:asciiTheme="minorHAnsi" w:hAnsiTheme="minorHAnsi" w:cstheme="minorHAnsi"/>
          <w:color w:val="000000"/>
          <w:sz w:val="22"/>
          <w:szCs w:val="22"/>
          <w:lang w:eastAsia="en-IN"/>
        </w:rPr>
        <w:t>and  38</w:t>
      </w:r>
      <w:proofErr w:type="gramEnd"/>
      <w:r w:rsidRPr="00236E38">
        <w:rPr>
          <w:rFonts w:asciiTheme="minorHAnsi" w:hAnsiTheme="minorHAnsi" w:cstheme="minorHAnsi"/>
          <w:color w:val="000000"/>
          <w:sz w:val="22"/>
          <w:szCs w:val="22"/>
          <w:lang w:eastAsia="en-IN"/>
        </w:rPr>
        <w:t xml:space="preserve">  remote rural  sections, eight meter reader per section have been engaged. One supervisor for two sections and one </w:t>
      </w:r>
      <w:proofErr w:type="spellStart"/>
      <w:r w:rsidRPr="00236E38">
        <w:rPr>
          <w:rFonts w:asciiTheme="minorHAnsi" w:hAnsiTheme="minorHAnsi" w:cstheme="minorHAnsi"/>
          <w:color w:val="000000"/>
          <w:sz w:val="22"/>
          <w:szCs w:val="22"/>
          <w:lang w:eastAsia="en-IN"/>
        </w:rPr>
        <w:t>co-ordinator</w:t>
      </w:r>
      <w:proofErr w:type="spellEnd"/>
      <w:r w:rsidRPr="00236E38">
        <w:rPr>
          <w:rFonts w:asciiTheme="minorHAnsi" w:hAnsiTheme="minorHAnsi" w:cstheme="minorHAnsi"/>
          <w:color w:val="000000"/>
          <w:sz w:val="22"/>
          <w:szCs w:val="22"/>
          <w:lang w:eastAsia="en-IN"/>
        </w:rPr>
        <w:t xml:space="preserve"> per division have been engaged though Meter Reading and Billing contract. Section wise numbers detailed in the above table.  </w:t>
      </w:r>
    </w:p>
    <w:p w14:paraId="764F2E28" w14:textId="77777777" w:rsidR="00BB6BFE" w:rsidRPr="00236E38" w:rsidRDefault="00BB6BFE" w:rsidP="00236E38">
      <w:pPr>
        <w:spacing w:line="360" w:lineRule="auto"/>
        <w:ind w:left="567" w:right="-46"/>
        <w:rPr>
          <w:rFonts w:asciiTheme="minorHAnsi" w:hAnsiTheme="minorHAnsi" w:cstheme="minorHAnsi"/>
          <w:color w:val="000000"/>
          <w:sz w:val="22"/>
          <w:szCs w:val="22"/>
          <w:lang w:eastAsia="en-IN"/>
        </w:rPr>
      </w:pPr>
    </w:p>
    <w:p w14:paraId="56AAB2B6" w14:textId="1FCD8FD8" w:rsidR="00BB6BFE" w:rsidRDefault="00BB6BFE" w:rsidP="00236E38">
      <w:pPr>
        <w:spacing w:line="360" w:lineRule="auto"/>
        <w:ind w:left="567" w:right="-46"/>
        <w:rPr>
          <w:rFonts w:asciiTheme="minorHAnsi" w:hAnsiTheme="minorHAnsi" w:cstheme="minorHAnsi"/>
          <w:color w:val="000000"/>
          <w:sz w:val="22"/>
          <w:szCs w:val="22"/>
          <w:lang w:eastAsia="en-IN"/>
        </w:rPr>
      </w:pPr>
      <w:r w:rsidRPr="00236E38">
        <w:rPr>
          <w:rFonts w:asciiTheme="minorHAnsi" w:hAnsiTheme="minorHAnsi" w:cstheme="minorHAnsi"/>
          <w:color w:val="000000"/>
          <w:sz w:val="22"/>
          <w:szCs w:val="22"/>
          <w:lang w:eastAsia="en-IN"/>
        </w:rPr>
        <w:t>Similarly, for collection activities the numbers of bill collectors have been deployed keeping in view the consumer density/ demography of the section. Detailed norms adopted by the licensee furnished in the following table.</w:t>
      </w:r>
    </w:p>
    <w:p w14:paraId="2C141428" w14:textId="77777777" w:rsidR="002B5470" w:rsidRPr="00236E38" w:rsidRDefault="002B5470" w:rsidP="00236E38">
      <w:pPr>
        <w:spacing w:line="360" w:lineRule="auto"/>
        <w:ind w:left="567" w:right="-46"/>
        <w:rPr>
          <w:rFonts w:asciiTheme="minorHAnsi" w:hAnsiTheme="minorHAnsi" w:cstheme="minorHAnsi"/>
          <w:color w:val="000000"/>
          <w:sz w:val="22"/>
          <w:szCs w:val="22"/>
          <w:lang w:eastAsia="en-IN"/>
        </w:rPr>
      </w:pPr>
    </w:p>
    <w:tbl>
      <w:tblPr>
        <w:tblpPr w:leftFromText="180" w:rightFromText="180" w:vertAnchor="text" w:horzAnchor="margin" w:tblpX="426" w:tblpY="350"/>
        <w:tblW w:w="9639" w:type="dxa"/>
        <w:tblLook w:val="04A0" w:firstRow="1" w:lastRow="0" w:firstColumn="1" w:lastColumn="0" w:noHBand="0" w:noVBand="1"/>
      </w:tblPr>
      <w:tblGrid>
        <w:gridCol w:w="992"/>
        <w:gridCol w:w="1276"/>
        <w:gridCol w:w="1657"/>
        <w:gridCol w:w="1319"/>
        <w:gridCol w:w="1232"/>
        <w:gridCol w:w="1700"/>
        <w:gridCol w:w="1463"/>
      </w:tblGrid>
      <w:tr w:rsidR="00BB6BFE" w:rsidRPr="00236E38" w14:paraId="4C22156F" w14:textId="77777777" w:rsidTr="00CE3EEE">
        <w:trPr>
          <w:trHeight w:val="337"/>
        </w:trPr>
        <w:tc>
          <w:tcPr>
            <w:tcW w:w="9639" w:type="dxa"/>
            <w:gridSpan w:val="7"/>
            <w:tcBorders>
              <w:top w:val="nil"/>
              <w:left w:val="nil"/>
              <w:bottom w:val="single" w:sz="4" w:space="0" w:color="auto"/>
              <w:right w:val="nil"/>
            </w:tcBorders>
            <w:shd w:val="clear" w:color="auto" w:fill="auto"/>
            <w:noWrap/>
            <w:vAlign w:val="center"/>
            <w:hideMark/>
          </w:tcPr>
          <w:p w14:paraId="6D96C575" w14:textId="1A649BBC" w:rsidR="00BB6BFE" w:rsidRPr="00236E38" w:rsidRDefault="00CD105A" w:rsidP="00CE3EEE">
            <w:pPr>
              <w:spacing w:line="360" w:lineRule="auto"/>
              <w:jc w:val="center"/>
              <w:rPr>
                <w:rFonts w:asciiTheme="minorHAnsi" w:hAnsiTheme="minorHAnsi" w:cstheme="minorHAnsi"/>
                <w:b/>
                <w:bCs/>
                <w:color w:val="000000"/>
                <w:sz w:val="22"/>
                <w:szCs w:val="22"/>
                <w:lang w:eastAsia="en-IN"/>
              </w:rPr>
            </w:pPr>
            <w:r>
              <w:rPr>
                <w:rFonts w:asciiTheme="minorHAnsi" w:hAnsiTheme="minorHAnsi" w:cstheme="minorHAnsi"/>
                <w:b/>
                <w:bCs/>
                <w:color w:val="000000"/>
                <w:sz w:val="22"/>
                <w:szCs w:val="22"/>
                <w:lang w:eastAsia="en-IN"/>
              </w:rPr>
              <w:lastRenderedPageBreak/>
              <w:t>Table</w:t>
            </w:r>
            <w:r w:rsidR="002B5470">
              <w:rPr>
                <w:rFonts w:asciiTheme="minorHAnsi" w:hAnsiTheme="minorHAnsi" w:cstheme="minorHAnsi"/>
                <w:b/>
                <w:bCs/>
                <w:color w:val="000000"/>
                <w:sz w:val="22"/>
                <w:szCs w:val="22"/>
                <w:lang w:eastAsia="en-IN"/>
              </w:rPr>
              <w:t>-64</w:t>
            </w:r>
            <w:r>
              <w:rPr>
                <w:rFonts w:asciiTheme="minorHAnsi" w:hAnsiTheme="minorHAnsi" w:cstheme="minorHAnsi"/>
                <w:b/>
                <w:bCs/>
                <w:color w:val="000000"/>
                <w:sz w:val="22"/>
                <w:szCs w:val="22"/>
                <w:lang w:eastAsia="en-IN"/>
              </w:rPr>
              <w:t xml:space="preserve"> </w:t>
            </w:r>
            <w:r w:rsidR="00BB6BFE" w:rsidRPr="00236E38">
              <w:rPr>
                <w:rFonts w:asciiTheme="minorHAnsi" w:hAnsiTheme="minorHAnsi" w:cstheme="minorHAnsi"/>
                <w:b/>
                <w:bCs/>
                <w:color w:val="000000"/>
                <w:sz w:val="22"/>
                <w:szCs w:val="22"/>
                <w:lang w:eastAsia="en-IN"/>
              </w:rPr>
              <w:t>Assessment of BA Employees for Collection activities</w:t>
            </w:r>
          </w:p>
        </w:tc>
      </w:tr>
      <w:tr w:rsidR="00CE3EEE" w:rsidRPr="00236E38" w14:paraId="202BAE26" w14:textId="77777777" w:rsidTr="00CE3EEE">
        <w:trPr>
          <w:trHeight w:val="442"/>
        </w:trPr>
        <w:tc>
          <w:tcPr>
            <w:tcW w:w="992" w:type="dxa"/>
            <w:tcBorders>
              <w:top w:val="nil"/>
              <w:left w:val="single" w:sz="4" w:space="0" w:color="auto"/>
              <w:bottom w:val="single" w:sz="4" w:space="0" w:color="auto"/>
              <w:right w:val="single" w:sz="4" w:space="0" w:color="auto"/>
            </w:tcBorders>
            <w:shd w:val="clear" w:color="auto" w:fill="8DB3E2" w:themeFill="text2" w:themeFillTint="66"/>
            <w:vAlign w:val="center"/>
            <w:hideMark/>
          </w:tcPr>
          <w:p w14:paraId="529D2DF2" w14:textId="77777777" w:rsidR="00BB6BFE" w:rsidRPr="00CE3EEE" w:rsidRDefault="00BB6BFE" w:rsidP="00CE3EEE">
            <w:pPr>
              <w:spacing w:line="360" w:lineRule="auto"/>
              <w:jc w:val="center"/>
              <w:rPr>
                <w:rFonts w:asciiTheme="minorHAnsi" w:hAnsiTheme="minorHAnsi" w:cstheme="minorHAnsi"/>
                <w:b/>
                <w:bCs/>
                <w:sz w:val="22"/>
                <w:szCs w:val="22"/>
                <w:lang w:eastAsia="en-IN"/>
              </w:rPr>
            </w:pPr>
            <w:r w:rsidRPr="00CE3EEE">
              <w:rPr>
                <w:rFonts w:asciiTheme="minorHAnsi" w:hAnsiTheme="minorHAnsi" w:cstheme="minorHAnsi"/>
                <w:b/>
                <w:bCs/>
                <w:sz w:val="22"/>
                <w:szCs w:val="22"/>
                <w:lang w:eastAsia="en-IN"/>
              </w:rPr>
              <w:t>Section Nos</w:t>
            </w:r>
          </w:p>
        </w:tc>
        <w:tc>
          <w:tcPr>
            <w:tcW w:w="1276" w:type="dxa"/>
            <w:tcBorders>
              <w:top w:val="nil"/>
              <w:left w:val="nil"/>
              <w:bottom w:val="single" w:sz="4" w:space="0" w:color="auto"/>
              <w:right w:val="single" w:sz="4" w:space="0" w:color="auto"/>
            </w:tcBorders>
            <w:shd w:val="clear" w:color="auto" w:fill="8DB3E2" w:themeFill="text2" w:themeFillTint="66"/>
            <w:vAlign w:val="center"/>
            <w:hideMark/>
          </w:tcPr>
          <w:p w14:paraId="72F888F5" w14:textId="77777777" w:rsidR="00BB6BFE" w:rsidRPr="00CE3EEE" w:rsidRDefault="00BB6BFE" w:rsidP="00CE3EEE">
            <w:pPr>
              <w:spacing w:line="360" w:lineRule="auto"/>
              <w:jc w:val="center"/>
              <w:rPr>
                <w:rFonts w:asciiTheme="minorHAnsi" w:hAnsiTheme="minorHAnsi" w:cstheme="minorHAnsi"/>
                <w:b/>
                <w:bCs/>
                <w:sz w:val="22"/>
                <w:szCs w:val="22"/>
                <w:lang w:eastAsia="en-IN"/>
              </w:rPr>
            </w:pPr>
            <w:r w:rsidRPr="00CE3EEE">
              <w:rPr>
                <w:rFonts w:asciiTheme="minorHAnsi" w:hAnsiTheme="minorHAnsi" w:cstheme="minorHAnsi"/>
                <w:b/>
                <w:bCs/>
                <w:sz w:val="22"/>
                <w:szCs w:val="22"/>
                <w:lang w:eastAsia="en-IN"/>
              </w:rPr>
              <w:t>Section type</w:t>
            </w:r>
          </w:p>
        </w:tc>
        <w:tc>
          <w:tcPr>
            <w:tcW w:w="1657" w:type="dxa"/>
            <w:tcBorders>
              <w:top w:val="nil"/>
              <w:left w:val="nil"/>
              <w:bottom w:val="single" w:sz="4" w:space="0" w:color="auto"/>
              <w:right w:val="single" w:sz="4" w:space="0" w:color="auto"/>
            </w:tcBorders>
            <w:shd w:val="clear" w:color="auto" w:fill="8DB3E2" w:themeFill="text2" w:themeFillTint="66"/>
            <w:vAlign w:val="center"/>
            <w:hideMark/>
          </w:tcPr>
          <w:p w14:paraId="43AB1C5C" w14:textId="77777777" w:rsidR="00BB6BFE" w:rsidRPr="00CE3EEE" w:rsidRDefault="00BB6BFE" w:rsidP="00CE3EEE">
            <w:pPr>
              <w:spacing w:line="360" w:lineRule="auto"/>
              <w:jc w:val="center"/>
              <w:rPr>
                <w:rFonts w:asciiTheme="minorHAnsi" w:hAnsiTheme="minorHAnsi" w:cstheme="minorHAnsi"/>
                <w:b/>
                <w:bCs/>
                <w:sz w:val="22"/>
                <w:szCs w:val="22"/>
                <w:lang w:eastAsia="en-IN"/>
              </w:rPr>
            </w:pPr>
            <w:r w:rsidRPr="00CE3EEE">
              <w:rPr>
                <w:rFonts w:asciiTheme="minorHAnsi" w:hAnsiTheme="minorHAnsi" w:cstheme="minorHAnsi"/>
                <w:b/>
                <w:bCs/>
                <w:sz w:val="22"/>
                <w:szCs w:val="22"/>
                <w:lang w:eastAsia="en-IN"/>
              </w:rPr>
              <w:t xml:space="preserve">Consumer Count </w:t>
            </w:r>
          </w:p>
        </w:tc>
        <w:tc>
          <w:tcPr>
            <w:tcW w:w="1319" w:type="dxa"/>
            <w:tcBorders>
              <w:top w:val="nil"/>
              <w:left w:val="nil"/>
              <w:bottom w:val="single" w:sz="4" w:space="0" w:color="auto"/>
              <w:right w:val="single" w:sz="4" w:space="0" w:color="auto"/>
            </w:tcBorders>
            <w:shd w:val="clear" w:color="auto" w:fill="8DB3E2" w:themeFill="text2" w:themeFillTint="66"/>
            <w:vAlign w:val="center"/>
            <w:hideMark/>
          </w:tcPr>
          <w:p w14:paraId="166BCAEB" w14:textId="77777777" w:rsidR="00BB6BFE" w:rsidRPr="00CE3EEE" w:rsidRDefault="00BB6BFE" w:rsidP="00CE3EEE">
            <w:pPr>
              <w:spacing w:line="360" w:lineRule="auto"/>
              <w:jc w:val="center"/>
              <w:rPr>
                <w:rFonts w:asciiTheme="minorHAnsi" w:hAnsiTheme="minorHAnsi" w:cstheme="minorHAnsi"/>
                <w:b/>
                <w:bCs/>
                <w:sz w:val="22"/>
                <w:szCs w:val="22"/>
                <w:lang w:eastAsia="en-IN"/>
              </w:rPr>
            </w:pPr>
            <w:r w:rsidRPr="00CE3EEE">
              <w:rPr>
                <w:rFonts w:asciiTheme="minorHAnsi" w:hAnsiTheme="minorHAnsi" w:cstheme="minorHAnsi"/>
                <w:b/>
                <w:bCs/>
                <w:sz w:val="22"/>
                <w:szCs w:val="22"/>
                <w:lang w:eastAsia="en-IN"/>
              </w:rPr>
              <w:t>Coordinator</w:t>
            </w:r>
          </w:p>
        </w:tc>
        <w:tc>
          <w:tcPr>
            <w:tcW w:w="1232" w:type="dxa"/>
            <w:tcBorders>
              <w:top w:val="nil"/>
              <w:left w:val="nil"/>
              <w:bottom w:val="single" w:sz="4" w:space="0" w:color="auto"/>
              <w:right w:val="single" w:sz="4" w:space="0" w:color="auto"/>
            </w:tcBorders>
            <w:shd w:val="clear" w:color="auto" w:fill="8DB3E2" w:themeFill="text2" w:themeFillTint="66"/>
            <w:vAlign w:val="center"/>
            <w:hideMark/>
          </w:tcPr>
          <w:p w14:paraId="40545683" w14:textId="77777777" w:rsidR="00BB6BFE" w:rsidRPr="00CE3EEE" w:rsidRDefault="00BB6BFE" w:rsidP="00CE3EEE">
            <w:pPr>
              <w:spacing w:line="360" w:lineRule="auto"/>
              <w:jc w:val="center"/>
              <w:rPr>
                <w:rFonts w:asciiTheme="minorHAnsi" w:hAnsiTheme="minorHAnsi" w:cstheme="minorHAnsi"/>
                <w:b/>
                <w:bCs/>
                <w:sz w:val="22"/>
                <w:szCs w:val="22"/>
                <w:lang w:eastAsia="en-IN"/>
              </w:rPr>
            </w:pPr>
            <w:r w:rsidRPr="00CE3EEE">
              <w:rPr>
                <w:rFonts w:asciiTheme="minorHAnsi" w:hAnsiTheme="minorHAnsi" w:cstheme="minorHAnsi"/>
                <w:b/>
                <w:bCs/>
                <w:sz w:val="22"/>
                <w:szCs w:val="22"/>
                <w:lang w:eastAsia="en-IN"/>
              </w:rPr>
              <w:t>Supervisor</w:t>
            </w:r>
          </w:p>
        </w:tc>
        <w:tc>
          <w:tcPr>
            <w:tcW w:w="1700" w:type="dxa"/>
            <w:tcBorders>
              <w:top w:val="nil"/>
              <w:left w:val="nil"/>
              <w:bottom w:val="single" w:sz="4" w:space="0" w:color="auto"/>
              <w:right w:val="single" w:sz="4" w:space="0" w:color="auto"/>
            </w:tcBorders>
            <w:shd w:val="clear" w:color="auto" w:fill="8DB3E2" w:themeFill="text2" w:themeFillTint="66"/>
            <w:vAlign w:val="center"/>
            <w:hideMark/>
          </w:tcPr>
          <w:p w14:paraId="7E87C1D1" w14:textId="77777777" w:rsidR="00BB6BFE" w:rsidRPr="00CE3EEE" w:rsidRDefault="00BB6BFE" w:rsidP="00CE3EEE">
            <w:pPr>
              <w:spacing w:line="360" w:lineRule="auto"/>
              <w:jc w:val="center"/>
              <w:rPr>
                <w:rFonts w:asciiTheme="minorHAnsi" w:hAnsiTheme="minorHAnsi" w:cstheme="minorHAnsi"/>
                <w:b/>
                <w:bCs/>
                <w:sz w:val="22"/>
                <w:szCs w:val="22"/>
                <w:lang w:eastAsia="en-IN"/>
              </w:rPr>
            </w:pPr>
            <w:r w:rsidRPr="00CE3EEE">
              <w:rPr>
                <w:rFonts w:asciiTheme="minorHAnsi" w:hAnsiTheme="minorHAnsi" w:cstheme="minorHAnsi"/>
                <w:b/>
                <w:bCs/>
                <w:sz w:val="22"/>
                <w:szCs w:val="22"/>
                <w:lang w:eastAsia="en-IN"/>
              </w:rPr>
              <w:t>Disconnection Squad</w:t>
            </w:r>
          </w:p>
        </w:tc>
        <w:tc>
          <w:tcPr>
            <w:tcW w:w="1463" w:type="dxa"/>
            <w:tcBorders>
              <w:top w:val="nil"/>
              <w:left w:val="nil"/>
              <w:bottom w:val="single" w:sz="4" w:space="0" w:color="auto"/>
              <w:right w:val="single" w:sz="4" w:space="0" w:color="auto"/>
            </w:tcBorders>
            <w:shd w:val="clear" w:color="auto" w:fill="8DB3E2" w:themeFill="text2" w:themeFillTint="66"/>
            <w:vAlign w:val="center"/>
            <w:hideMark/>
          </w:tcPr>
          <w:p w14:paraId="39237426" w14:textId="77777777" w:rsidR="00BB6BFE" w:rsidRPr="00CE3EEE" w:rsidRDefault="00BB6BFE" w:rsidP="00CE3EEE">
            <w:pPr>
              <w:spacing w:line="360" w:lineRule="auto"/>
              <w:jc w:val="center"/>
              <w:rPr>
                <w:rFonts w:asciiTheme="minorHAnsi" w:hAnsiTheme="minorHAnsi" w:cstheme="minorHAnsi"/>
                <w:b/>
                <w:bCs/>
                <w:sz w:val="22"/>
                <w:szCs w:val="22"/>
                <w:lang w:eastAsia="en-IN"/>
              </w:rPr>
            </w:pPr>
            <w:r w:rsidRPr="00CE3EEE">
              <w:rPr>
                <w:rFonts w:asciiTheme="minorHAnsi" w:hAnsiTheme="minorHAnsi" w:cstheme="minorHAnsi"/>
                <w:b/>
                <w:bCs/>
                <w:sz w:val="22"/>
                <w:szCs w:val="22"/>
                <w:lang w:eastAsia="en-IN"/>
              </w:rPr>
              <w:t xml:space="preserve">Bill Collector </w:t>
            </w:r>
          </w:p>
        </w:tc>
      </w:tr>
      <w:tr w:rsidR="00CE3EEE" w:rsidRPr="00236E38" w14:paraId="230EA62C" w14:textId="77777777" w:rsidTr="00CE3EEE">
        <w:trPr>
          <w:trHeight w:val="220"/>
        </w:trPr>
        <w:tc>
          <w:tcPr>
            <w:tcW w:w="992" w:type="dxa"/>
            <w:tcBorders>
              <w:top w:val="nil"/>
              <w:left w:val="single" w:sz="4" w:space="0" w:color="auto"/>
              <w:bottom w:val="single" w:sz="4" w:space="0" w:color="auto"/>
              <w:right w:val="single" w:sz="4" w:space="0" w:color="auto"/>
            </w:tcBorders>
            <w:shd w:val="clear" w:color="000000" w:fill="FFFFFF"/>
            <w:vAlign w:val="center"/>
            <w:hideMark/>
          </w:tcPr>
          <w:p w14:paraId="46C4A133" w14:textId="77777777" w:rsidR="00BB6BFE" w:rsidRPr="00236E38" w:rsidRDefault="00BB6BFE" w:rsidP="00CE3EEE">
            <w:pPr>
              <w:spacing w:line="360" w:lineRule="auto"/>
              <w:jc w:val="center"/>
              <w:rPr>
                <w:rFonts w:asciiTheme="minorHAnsi" w:hAnsiTheme="minorHAnsi" w:cstheme="minorHAnsi"/>
                <w:color w:val="000000"/>
                <w:sz w:val="22"/>
                <w:szCs w:val="22"/>
                <w:lang w:eastAsia="en-IN"/>
              </w:rPr>
            </w:pPr>
            <w:r w:rsidRPr="00236E38">
              <w:rPr>
                <w:rFonts w:asciiTheme="minorHAnsi" w:hAnsiTheme="minorHAnsi" w:cstheme="minorHAnsi"/>
                <w:color w:val="000000"/>
                <w:sz w:val="22"/>
                <w:szCs w:val="22"/>
                <w:lang w:eastAsia="en-IN"/>
              </w:rPr>
              <w:t>20</w:t>
            </w:r>
          </w:p>
        </w:tc>
        <w:tc>
          <w:tcPr>
            <w:tcW w:w="1276" w:type="dxa"/>
            <w:tcBorders>
              <w:top w:val="nil"/>
              <w:left w:val="nil"/>
              <w:bottom w:val="single" w:sz="4" w:space="0" w:color="auto"/>
              <w:right w:val="single" w:sz="4" w:space="0" w:color="auto"/>
            </w:tcBorders>
            <w:shd w:val="clear" w:color="000000" w:fill="FFFFFF"/>
            <w:vAlign w:val="center"/>
            <w:hideMark/>
          </w:tcPr>
          <w:p w14:paraId="0069009E" w14:textId="77777777" w:rsidR="00BB6BFE" w:rsidRPr="00236E38" w:rsidRDefault="00BB6BFE" w:rsidP="00CE3EEE">
            <w:pPr>
              <w:spacing w:line="360" w:lineRule="auto"/>
              <w:jc w:val="center"/>
              <w:rPr>
                <w:rFonts w:asciiTheme="minorHAnsi" w:hAnsiTheme="minorHAnsi" w:cstheme="minorHAnsi"/>
                <w:color w:val="000000"/>
                <w:sz w:val="22"/>
                <w:szCs w:val="22"/>
                <w:lang w:eastAsia="en-IN"/>
              </w:rPr>
            </w:pPr>
            <w:r w:rsidRPr="00236E38">
              <w:rPr>
                <w:rFonts w:asciiTheme="minorHAnsi" w:hAnsiTheme="minorHAnsi" w:cstheme="minorHAnsi"/>
                <w:color w:val="000000"/>
                <w:sz w:val="22"/>
                <w:szCs w:val="22"/>
                <w:lang w:eastAsia="en-IN"/>
              </w:rPr>
              <w:t>Urban</w:t>
            </w:r>
          </w:p>
        </w:tc>
        <w:tc>
          <w:tcPr>
            <w:tcW w:w="1657" w:type="dxa"/>
            <w:tcBorders>
              <w:top w:val="nil"/>
              <w:left w:val="nil"/>
              <w:bottom w:val="single" w:sz="4" w:space="0" w:color="auto"/>
              <w:right w:val="single" w:sz="4" w:space="0" w:color="auto"/>
            </w:tcBorders>
            <w:shd w:val="clear" w:color="000000" w:fill="FFFFFF"/>
            <w:vAlign w:val="center"/>
            <w:hideMark/>
          </w:tcPr>
          <w:p w14:paraId="57494DC4" w14:textId="77777777" w:rsidR="00BB6BFE" w:rsidRPr="00236E38" w:rsidRDefault="00BB6BFE" w:rsidP="00CE3EEE">
            <w:pPr>
              <w:spacing w:line="360" w:lineRule="auto"/>
              <w:jc w:val="center"/>
              <w:rPr>
                <w:rFonts w:asciiTheme="minorHAnsi" w:hAnsiTheme="minorHAnsi" w:cstheme="minorHAnsi"/>
                <w:color w:val="000000"/>
                <w:sz w:val="22"/>
                <w:szCs w:val="22"/>
                <w:lang w:eastAsia="en-IN"/>
              </w:rPr>
            </w:pPr>
            <w:r w:rsidRPr="00236E38">
              <w:rPr>
                <w:rFonts w:asciiTheme="minorHAnsi" w:hAnsiTheme="minorHAnsi" w:cstheme="minorHAnsi"/>
                <w:color w:val="000000"/>
                <w:sz w:val="22"/>
                <w:szCs w:val="22"/>
                <w:lang w:eastAsia="en-IN"/>
              </w:rPr>
              <w:t>184020</w:t>
            </w:r>
          </w:p>
        </w:tc>
        <w:tc>
          <w:tcPr>
            <w:tcW w:w="1319" w:type="dxa"/>
            <w:vMerge w:val="restart"/>
            <w:tcBorders>
              <w:top w:val="nil"/>
              <w:left w:val="single" w:sz="4" w:space="0" w:color="auto"/>
              <w:bottom w:val="single" w:sz="4" w:space="0" w:color="auto"/>
              <w:right w:val="single" w:sz="4" w:space="0" w:color="auto"/>
            </w:tcBorders>
            <w:shd w:val="clear" w:color="000000" w:fill="FFFFFF"/>
            <w:vAlign w:val="center"/>
            <w:hideMark/>
          </w:tcPr>
          <w:p w14:paraId="32394407" w14:textId="77777777" w:rsidR="00BB6BFE" w:rsidRPr="00236E38" w:rsidRDefault="00BB6BFE" w:rsidP="00CE3EEE">
            <w:pPr>
              <w:spacing w:line="360" w:lineRule="auto"/>
              <w:jc w:val="center"/>
              <w:rPr>
                <w:rFonts w:asciiTheme="minorHAnsi" w:hAnsiTheme="minorHAnsi" w:cstheme="minorHAnsi"/>
                <w:color w:val="000000"/>
                <w:sz w:val="22"/>
                <w:szCs w:val="22"/>
                <w:lang w:eastAsia="en-IN"/>
              </w:rPr>
            </w:pPr>
            <w:r w:rsidRPr="00236E38">
              <w:rPr>
                <w:rFonts w:asciiTheme="minorHAnsi" w:hAnsiTheme="minorHAnsi" w:cstheme="minorHAnsi"/>
                <w:color w:val="000000"/>
                <w:sz w:val="22"/>
                <w:szCs w:val="22"/>
                <w:lang w:eastAsia="en-IN"/>
              </w:rPr>
              <w:t>1 per Division</w:t>
            </w:r>
          </w:p>
        </w:tc>
        <w:tc>
          <w:tcPr>
            <w:tcW w:w="1232" w:type="dxa"/>
            <w:vMerge w:val="restart"/>
            <w:tcBorders>
              <w:top w:val="nil"/>
              <w:left w:val="single" w:sz="4" w:space="0" w:color="auto"/>
              <w:bottom w:val="single" w:sz="4" w:space="0" w:color="auto"/>
              <w:right w:val="single" w:sz="4" w:space="0" w:color="auto"/>
            </w:tcBorders>
            <w:shd w:val="clear" w:color="000000" w:fill="FFFFFF"/>
            <w:vAlign w:val="center"/>
            <w:hideMark/>
          </w:tcPr>
          <w:p w14:paraId="59F39104" w14:textId="77777777" w:rsidR="00BB6BFE" w:rsidRPr="00236E38" w:rsidRDefault="00BB6BFE" w:rsidP="00CE3EEE">
            <w:pPr>
              <w:spacing w:line="360" w:lineRule="auto"/>
              <w:jc w:val="center"/>
              <w:rPr>
                <w:rFonts w:asciiTheme="minorHAnsi" w:hAnsiTheme="minorHAnsi" w:cstheme="minorHAnsi"/>
                <w:color w:val="000000"/>
                <w:sz w:val="22"/>
                <w:szCs w:val="22"/>
                <w:lang w:eastAsia="en-IN"/>
              </w:rPr>
            </w:pPr>
            <w:r w:rsidRPr="00236E38">
              <w:rPr>
                <w:rFonts w:asciiTheme="minorHAnsi" w:hAnsiTheme="minorHAnsi" w:cstheme="minorHAnsi"/>
                <w:color w:val="000000"/>
                <w:sz w:val="22"/>
                <w:szCs w:val="22"/>
                <w:lang w:eastAsia="en-IN"/>
              </w:rPr>
              <w:t>1 for 2 Section</w:t>
            </w:r>
          </w:p>
        </w:tc>
        <w:tc>
          <w:tcPr>
            <w:tcW w:w="1700" w:type="dxa"/>
            <w:vMerge w:val="restart"/>
            <w:tcBorders>
              <w:top w:val="nil"/>
              <w:left w:val="single" w:sz="4" w:space="0" w:color="auto"/>
              <w:bottom w:val="single" w:sz="4" w:space="0" w:color="auto"/>
              <w:right w:val="single" w:sz="4" w:space="0" w:color="auto"/>
            </w:tcBorders>
            <w:shd w:val="clear" w:color="000000" w:fill="FFFFFF"/>
            <w:vAlign w:val="center"/>
            <w:hideMark/>
          </w:tcPr>
          <w:p w14:paraId="700F2370" w14:textId="77777777" w:rsidR="00BB6BFE" w:rsidRPr="00236E38" w:rsidRDefault="00BB6BFE" w:rsidP="00CE3EEE">
            <w:pPr>
              <w:spacing w:line="360" w:lineRule="auto"/>
              <w:jc w:val="center"/>
              <w:rPr>
                <w:rFonts w:asciiTheme="minorHAnsi" w:hAnsiTheme="minorHAnsi" w:cstheme="minorHAnsi"/>
                <w:color w:val="000000"/>
                <w:sz w:val="22"/>
                <w:szCs w:val="22"/>
                <w:lang w:eastAsia="en-IN"/>
              </w:rPr>
            </w:pPr>
            <w:r w:rsidRPr="00236E38">
              <w:rPr>
                <w:rFonts w:asciiTheme="minorHAnsi" w:hAnsiTheme="minorHAnsi" w:cstheme="minorHAnsi"/>
                <w:color w:val="000000"/>
                <w:sz w:val="22"/>
                <w:szCs w:val="22"/>
                <w:lang w:eastAsia="en-IN"/>
              </w:rPr>
              <w:t>1 Skilled LM +1 Helper per Section</w:t>
            </w:r>
          </w:p>
        </w:tc>
        <w:tc>
          <w:tcPr>
            <w:tcW w:w="1463" w:type="dxa"/>
            <w:tcBorders>
              <w:top w:val="nil"/>
              <w:left w:val="nil"/>
              <w:bottom w:val="single" w:sz="4" w:space="0" w:color="auto"/>
              <w:right w:val="single" w:sz="4" w:space="0" w:color="auto"/>
            </w:tcBorders>
            <w:shd w:val="clear" w:color="000000" w:fill="FFFFFF"/>
            <w:vAlign w:val="center"/>
            <w:hideMark/>
          </w:tcPr>
          <w:p w14:paraId="0FCF697D" w14:textId="77777777" w:rsidR="00BB6BFE" w:rsidRPr="00236E38" w:rsidRDefault="00BB6BFE" w:rsidP="00CE3EEE">
            <w:pPr>
              <w:spacing w:line="360" w:lineRule="auto"/>
              <w:jc w:val="center"/>
              <w:rPr>
                <w:rFonts w:asciiTheme="minorHAnsi" w:hAnsiTheme="minorHAnsi" w:cstheme="minorHAnsi"/>
                <w:color w:val="000000"/>
                <w:sz w:val="22"/>
                <w:szCs w:val="22"/>
                <w:lang w:eastAsia="en-IN"/>
              </w:rPr>
            </w:pPr>
            <w:r w:rsidRPr="00236E38">
              <w:rPr>
                <w:rFonts w:asciiTheme="minorHAnsi" w:hAnsiTheme="minorHAnsi" w:cstheme="minorHAnsi"/>
                <w:color w:val="000000"/>
                <w:sz w:val="22"/>
                <w:szCs w:val="22"/>
                <w:lang w:eastAsia="en-IN"/>
              </w:rPr>
              <w:t>4 per Section</w:t>
            </w:r>
          </w:p>
        </w:tc>
      </w:tr>
      <w:tr w:rsidR="00CE3EEE" w:rsidRPr="00236E38" w14:paraId="667354DB" w14:textId="77777777" w:rsidTr="00CE3EEE">
        <w:trPr>
          <w:trHeight w:val="220"/>
        </w:trPr>
        <w:tc>
          <w:tcPr>
            <w:tcW w:w="992" w:type="dxa"/>
            <w:tcBorders>
              <w:top w:val="nil"/>
              <w:left w:val="single" w:sz="4" w:space="0" w:color="auto"/>
              <w:bottom w:val="single" w:sz="4" w:space="0" w:color="auto"/>
              <w:right w:val="single" w:sz="4" w:space="0" w:color="auto"/>
            </w:tcBorders>
            <w:shd w:val="clear" w:color="000000" w:fill="FFFFFF"/>
            <w:vAlign w:val="center"/>
            <w:hideMark/>
          </w:tcPr>
          <w:p w14:paraId="04099D96" w14:textId="77777777" w:rsidR="00BB6BFE" w:rsidRPr="00236E38" w:rsidRDefault="00BB6BFE" w:rsidP="00CE3EEE">
            <w:pPr>
              <w:spacing w:line="360" w:lineRule="auto"/>
              <w:jc w:val="center"/>
              <w:rPr>
                <w:rFonts w:asciiTheme="minorHAnsi" w:hAnsiTheme="minorHAnsi" w:cstheme="minorHAnsi"/>
                <w:color w:val="000000"/>
                <w:sz w:val="22"/>
                <w:szCs w:val="22"/>
                <w:lang w:eastAsia="en-IN"/>
              </w:rPr>
            </w:pPr>
            <w:r w:rsidRPr="00236E38">
              <w:rPr>
                <w:rFonts w:asciiTheme="minorHAnsi" w:hAnsiTheme="minorHAnsi" w:cstheme="minorHAnsi"/>
                <w:color w:val="000000"/>
                <w:sz w:val="22"/>
                <w:szCs w:val="22"/>
                <w:lang w:eastAsia="en-IN"/>
              </w:rPr>
              <w:t>10</w:t>
            </w:r>
          </w:p>
        </w:tc>
        <w:tc>
          <w:tcPr>
            <w:tcW w:w="1276" w:type="dxa"/>
            <w:tcBorders>
              <w:top w:val="nil"/>
              <w:left w:val="nil"/>
              <w:bottom w:val="single" w:sz="4" w:space="0" w:color="auto"/>
              <w:right w:val="single" w:sz="4" w:space="0" w:color="auto"/>
            </w:tcBorders>
            <w:shd w:val="clear" w:color="000000" w:fill="FFFFFF"/>
            <w:vAlign w:val="center"/>
            <w:hideMark/>
          </w:tcPr>
          <w:p w14:paraId="7FEF2E6C" w14:textId="77777777" w:rsidR="00BB6BFE" w:rsidRPr="00236E38" w:rsidRDefault="00BB6BFE" w:rsidP="00CE3EEE">
            <w:pPr>
              <w:spacing w:line="360" w:lineRule="auto"/>
              <w:jc w:val="center"/>
              <w:rPr>
                <w:rFonts w:asciiTheme="minorHAnsi" w:hAnsiTheme="minorHAnsi" w:cstheme="minorHAnsi"/>
                <w:color w:val="000000"/>
                <w:sz w:val="22"/>
                <w:szCs w:val="22"/>
                <w:lang w:eastAsia="en-IN"/>
              </w:rPr>
            </w:pPr>
            <w:r w:rsidRPr="00236E38">
              <w:rPr>
                <w:rFonts w:asciiTheme="minorHAnsi" w:hAnsiTheme="minorHAnsi" w:cstheme="minorHAnsi"/>
                <w:color w:val="000000"/>
                <w:sz w:val="22"/>
                <w:szCs w:val="22"/>
                <w:lang w:eastAsia="en-IN"/>
              </w:rPr>
              <w:t xml:space="preserve">Semi Urban </w:t>
            </w:r>
          </w:p>
        </w:tc>
        <w:tc>
          <w:tcPr>
            <w:tcW w:w="1657" w:type="dxa"/>
            <w:tcBorders>
              <w:top w:val="nil"/>
              <w:left w:val="nil"/>
              <w:bottom w:val="single" w:sz="4" w:space="0" w:color="auto"/>
              <w:right w:val="single" w:sz="4" w:space="0" w:color="auto"/>
            </w:tcBorders>
            <w:shd w:val="clear" w:color="000000" w:fill="FFFFFF"/>
            <w:vAlign w:val="center"/>
            <w:hideMark/>
          </w:tcPr>
          <w:p w14:paraId="15D4E883" w14:textId="77777777" w:rsidR="00BB6BFE" w:rsidRPr="00236E38" w:rsidRDefault="00BB6BFE" w:rsidP="00CE3EEE">
            <w:pPr>
              <w:spacing w:line="360" w:lineRule="auto"/>
              <w:jc w:val="center"/>
              <w:rPr>
                <w:rFonts w:asciiTheme="minorHAnsi" w:hAnsiTheme="minorHAnsi" w:cstheme="minorHAnsi"/>
                <w:color w:val="000000"/>
                <w:sz w:val="22"/>
                <w:szCs w:val="22"/>
                <w:lang w:eastAsia="en-IN"/>
              </w:rPr>
            </w:pPr>
            <w:r w:rsidRPr="00236E38">
              <w:rPr>
                <w:rFonts w:asciiTheme="minorHAnsi" w:hAnsiTheme="minorHAnsi" w:cstheme="minorHAnsi"/>
                <w:color w:val="000000"/>
                <w:sz w:val="22"/>
                <w:szCs w:val="22"/>
                <w:lang w:eastAsia="en-IN"/>
              </w:rPr>
              <w:t>138481</w:t>
            </w:r>
          </w:p>
        </w:tc>
        <w:tc>
          <w:tcPr>
            <w:tcW w:w="1319" w:type="dxa"/>
            <w:vMerge/>
            <w:tcBorders>
              <w:top w:val="nil"/>
              <w:left w:val="single" w:sz="4" w:space="0" w:color="auto"/>
              <w:bottom w:val="single" w:sz="4" w:space="0" w:color="auto"/>
              <w:right w:val="single" w:sz="4" w:space="0" w:color="auto"/>
            </w:tcBorders>
            <w:vAlign w:val="center"/>
            <w:hideMark/>
          </w:tcPr>
          <w:p w14:paraId="23E8A60F" w14:textId="77777777" w:rsidR="00BB6BFE" w:rsidRPr="00236E38" w:rsidRDefault="00BB6BFE" w:rsidP="00CE3EEE">
            <w:pPr>
              <w:spacing w:line="360" w:lineRule="auto"/>
              <w:rPr>
                <w:rFonts w:asciiTheme="minorHAnsi" w:hAnsiTheme="minorHAnsi" w:cstheme="minorHAnsi"/>
                <w:color w:val="000000"/>
                <w:sz w:val="22"/>
                <w:szCs w:val="22"/>
                <w:lang w:eastAsia="en-IN"/>
              </w:rPr>
            </w:pPr>
          </w:p>
        </w:tc>
        <w:tc>
          <w:tcPr>
            <w:tcW w:w="1232" w:type="dxa"/>
            <w:vMerge/>
            <w:tcBorders>
              <w:top w:val="nil"/>
              <w:left w:val="single" w:sz="4" w:space="0" w:color="auto"/>
              <w:bottom w:val="single" w:sz="4" w:space="0" w:color="auto"/>
              <w:right w:val="single" w:sz="4" w:space="0" w:color="auto"/>
            </w:tcBorders>
            <w:vAlign w:val="center"/>
            <w:hideMark/>
          </w:tcPr>
          <w:p w14:paraId="2F375754" w14:textId="77777777" w:rsidR="00BB6BFE" w:rsidRPr="00236E38" w:rsidRDefault="00BB6BFE" w:rsidP="00CE3EEE">
            <w:pPr>
              <w:spacing w:line="360" w:lineRule="auto"/>
              <w:rPr>
                <w:rFonts w:asciiTheme="minorHAnsi" w:hAnsiTheme="minorHAnsi" w:cstheme="minorHAnsi"/>
                <w:color w:val="000000"/>
                <w:sz w:val="22"/>
                <w:szCs w:val="22"/>
                <w:lang w:eastAsia="en-IN"/>
              </w:rPr>
            </w:pPr>
          </w:p>
        </w:tc>
        <w:tc>
          <w:tcPr>
            <w:tcW w:w="1700" w:type="dxa"/>
            <w:vMerge/>
            <w:tcBorders>
              <w:top w:val="nil"/>
              <w:left w:val="single" w:sz="4" w:space="0" w:color="auto"/>
              <w:bottom w:val="single" w:sz="4" w:space="0" w:color="auto"/>
              <w:right w:val="single" w:sz="4" w:space="0" w:color="auto"/>
            </w:tcBorders>
            <w:vAlign w:val="center"/>
            <w:hideMark/>
          </w:tcPr>
          <w:p w14:paraId="791E0F19" w14:textId="77777777" w:rsidR="00BB6BFE" w:rsidRPr="00236E38" w:rsidRDefault="00BB6BFE" w:rsidP="00CE3EEE">
            <w:pPr>
              <w:spacing w:line="360" w:lineRule="auto"/>
              <w:rPr>
                <w:rFonts w:asciiTheme="minorHAnsi" w:hAnsiTheme="minorHAnsi" w:cstheme="minorHAnsi"/>
                <w:color w:val="000000"/>
                <w:sz w:val="22"/>
                <w:szCs w:val="22"/>
                <w:lang w:eastAsia="en-IN"/>
              </w:rPr>
            </w:pPr>
          </w:p>
        </w:tc>
        <w:tc>
          <w:tcPr>
            <w:tcW w:w="1463" w:type="dxa"/>
            <w:tcBorders>
              <w:top w:val="nil"/>
              <w:left w:val="nil"/>
              <w:bottom w:val="single" w:sz="4" w:space="0" w:color="auto"/>
              <w:right w:val="single" w:sz="4" w:space="0" w:color="auto"/>
            </w:tcBorders>
            <w:shd w:val="clear" w:color="000000" w:fill="FFFFFF"/>
            <w:vAlign w:val="center"/>
            <w:hideMark/>
          </w:tcPr>
          <w:p w14:paraId="11362D44" w14:textId="77777777" w:rsidR="00BB6BFE" w:rsidRPr="00236E38" w:rsidRDefault="00BB6BFE" w:rsidP="00CE3EEE">
            <w:pPr>
              <w:spacing w:line="360" w:lineRule="auto"/>
              <w:jc w:val="center"/>
              <w:rPr>
                <w:rFonts w:asciiTheme="minorHAnsi" w:hAnsiTheme="minorHAnsi" w:cstheme="minorHAnsi"/>
                <w:color w:val="000000"/>
                <w:sz w:val="22"/>
                <w:szCs w:val="22"/>
                <w:lang w:eastAsia="en-IN"/>
              </w:rPr>
            </w:pPr>
            <w:r w:rsidRPr="00236E38">
              <w:rPr>
                <w:rFonts w:asciiTheme="minorHAnsi" w:hAnsiTheme="minorHAnsi" w:cstheme="minorHAnsi"/>
                <w:color w:val="000000"/>
                <w:sz w:val="22"/>
                <w:szCs w:val="22"/>
                <w:lang w:eastAsia="en-IN"/>
              </w:rPr>
              <w:t>6 per Section</w:t>
            </w:r>
          </w:p>
        </w:tc>
      </w:tr>
      <w:tr w:rsidR="00CE3EEE" w:rsidRPr="00236E38" w14:paraId="4A32F960" w14:textId="77777777" w:rsidTr="00CE3EEE">
        <w:trPr>
          <w:trHeight w:val="220"/>
        </w:trPr>
        <w:tc>
          <w:tcPr>
            <w:tcW w:w="992" w:type="dxa"/>
            <w:tcBorders>
              <w:top w:val="nil"/>
              <w:left w:val="single" w:sz="4" w:space="0" w:color="auto"/>
              <w:bottom w:val="single" w:sz="4" w:space="0" w:color="auto"/>
              <w:right w:val="single" w:sz="4" w:space="0" w:color="auto"/>
            </w:tcBorders>
            <w:shd w:val="clear" w:color="000000" w:fill="FFFFFF"/>
            <w:vAlign w:val="center"/>
            <w:hideMark/>
          </w:tcPr>
          <w:p w14:paraId="718B3683" w14:textId="77777777" w:rsidR="00BB6BFE" w:rsidRPr="00236E38" w:rsidRDefault="00BB6BFE" w:rsidP="00CE3EEE">
            <w:pPr>
              <w:spacing w:line="360" w:lineRule="auto"/>
              <w:jc w:val="center"/>
              <w:rPr>
                <w:rFonts w:asciiTheme="minorHAnsi" w:hAnsiTheme="minorHAnsi" w:cstheme="minorHAnsi"/>
                <w:color w:val="000000"/>
                <w:sz w:val="22"/>
                <w:szCs w:val="22"/>
                <w:lang w:eastAsia="en-IN"/>
              </w:rPr>
            </w:pPr>
            <w:r w:rsidRPr="00236E38">
              <w:rPr>
                <w:rFonts w:asciiTheme="minorHAnsi" w:hAnsiTheme="minorHAnsi" w:cstheme="minorHAnsi"/>
                <w:color w:val="000000"/>
                <w:sz w:val="22"/>
                <w:szCs w:val="22"/>
                <w:lang w:eastAsia="en-IN"/>
              </w:rPr>
              <w:t>91</w:t>
            </w:r>
          </w:p>
        </w:tc>
        <w:tc>
          <w:tcPr>
            <w:tcW w:w="1276" w:type="dxa"/>
            <w:tcBorders>
              <w:top w:val="nil"/>
              <w:left w:val="nil"/>
              <w:bottom w:val="single" w:sz="4" w:space="0" w:color="auto"/>
              <w:right w:val="single" w:sz="4" w:space="0" w:color="auto"/>
            </w:tcBorders>
            <w:shd w:val="clear" w:color="000000" w:fill="FFFFFF"/>
            <w:vAlign w:val="center"/>
            <w:hideMark/>
          </w:tcPr>
          <w:p w14:paraId="04B74172" w14:textId="77777777" w:rsidR="00BB6BFE" w:rsidRPr="00236E38" w:rsidRDefault="00BB6BFE" w:rsidP="00CE3EEE">
            <w:pPr>
              <w:spacing w:line="360" w:lineRule="auto"/>
              <w:jc w:val="center"/>
              <w:rPr>
                <w:rFonts w:asciiTheme="minorHAnsi" w:hAnsiTheme="minorHAnsi" w:cstheme="minorHAnsi"/>
                <w:color w:val="000000"/>
                <w:sz w:val="22"/>
                <w:szCs w:val="22"/>
                <w:lang w:eastAsia="en-IN"/>
              </w:rPr>
            </w:pPr>
            <w:r w:rsidRPr="00236E38">
              <w:rPr>
                <w:rFonts w:asciiTheme="minorHAnsi" w:hAnsiTheme="minorHAnsi" w:cstheme="minorHAnsi"/>
                <w:color w:val="000000"/>
                <w:sz w:val="22"/>
                <w:szCs w:val="22"/>
                <w:lang w:eastAsia="en-IN"/>
              </w:rPr>
              <w:t>Rural</w:t>
            </w:r>
          </w:p>
        </w:tc>
        <w:tc>
          <w:tcPr>
            <w:tcW w:w="1657" w:type="dxa"/>
            <w:tcBorders>
              <w:top w:val="nil"/>
              <w:left w:val="nil"/>
              <w:bottom w:val="single" w:sz="4" w:space="0" w:color="auto"/>
              <w:right w:val="single" w:sz="4" w:space="0" w:color="auto"/>
            </w:tcBorders>
            <w:shd w:val="clear" w:color="000000" w:fill="FFFFFF"/>
            <w:vAlign w:val="center"/>
            <w:hideMark/>
          </w:tcPr>
          <w:p w14:paraId="05565DA7" w14:textId="77777777" w:rsidR="00BB6BFE" w:rsidRPr="00236E38" w:rsidRDefault="00BB6BFE" w:rsidP="00CE3EEE">
            <w:pPr>
              <w:spacing w:line="360" w:lineRule="auto"/>
              <w:jc w:val="center"/>
              <w:rPr>
                <w:rFonts w:asciiTheme="minorHAnsi" w:hAnsiTheme="minorHAnsi" w:cstheme="minorHAnsi"/>
                <w:color w:val="000000"/>
                <w:sz w:val="22"/>
                <w:szCs w:val="22"/>
                <w:lang w:eastAsia="en-IN"/>
              </w:rPr>
            </w:pPr>
            <w:r w:rsidRPr="00236E38">
              <w:rPr>
                <w:rFonts w:asciiTheme="minorHAnsi" w:hAnsiTheme="minorHAnsi" w:cstheme="minorHAnsi"/>
                <w:color w:val="000000"/>
                <w:sz w:val="22"/>
                <w:szCs w:val="22"/>
                <w:lang w:eastAsia="en-IN"/>
              </w:rPr>
              <w:t>1109840</w:t>
            </w:r>
          </w:p>
        </w:tc>
        <w:tc>
          <w:tcPr>
            <w:tcW w:w="1319" w:type="dxa"/>
            <w:vMerge/>
            <w:tcBorders>
              <w:top w:val="nil"/>
              <w:left w:val="single" w:sz="4" w:space="0" w:color="auto"/>
              <w:bottom w:val="single" w:sz="4" w:space="0" w:color="auto"/>
              <w:right w:val="single" w:sz="4" w:space="0" w:color="auto"/>
            </w:tcBorders>
            <w:vAlign w:val="center"/>
            <w:hideMark/>
          </w:tcPr>
          <w:p w14:paraId="5D537BB9" w14:textId="77777777" w:rsidR="00BB6BFE" w:rsidRPr="00236E38" w:rsidRDefault="00BB6BFE" w:rsidP="00CE3EEE">
            <w:pPr>
              <w:spacing w:line="360" w:lineRule="auto"/>
              <w:rPr>
                <w:rFonts w:asciiTheme="minorHAnsi" w:hAnsiTheme="minorHAnsi" w:cstheme="minorHAnsi"/>
                <w:color w:val="000000"/>
                <w:sz w:val="22"/>
                <w:szCs w:val="22"/>
                <w:lang w:eastAsia="en-IN"/>
              </w:rPr>
            </w:pPr>
          </w:p>
        </w:tc>
        <w:tc>
          <w:tcPr>
            <w:tcW w:w="1232" w:type="dxa"/>
            <w:vMerge/>
            <w:tcBorders>
              <w:top w:val="nil"/>
              <w:left w:val="single" w:sz="4" w:space="0" w:color="auto"/>
              <w:bottom w:val="single" w:sz="4" w:space="0" w:color="auto"/>
              <w:right w:val="single" w:sz="4" w:space="0" w:color="auto"/>
            </w:tcBorders>
            <w:vAlign w:val="center"/>
            <w:hideMark/>
          </w:tcPr>
          <w:p w14:paraId="66BE60EA" w14:textId="77777777" w:rsidR="00BB6BFE" w:rsidRPr="00236E38" w:rsidRDefault="00BB6BFE" w:rsidP="00CE3EEE">
            <w:pPr>
              <w:spacing w:line="360" w:lineRule="auto"/>
              <w:rPr>
                <w:rFonts w:asciiTheme="minorHAnsi" w:hAnsiTheme="minorHAnsi" w:cstheme="minorHAnsi"/>
                <w:color w:val="000000"/>
                <w:sz w:val="22"/>
                <w:szCs w:val="22"/>
                <w:lang w:eastAsia="en-IN"/>
              </w:rPr>
            </w:pPr>
          </w:p>
        </w:tc>
        <w:tc>
          <w:tcPr>
            <w:tcW w:w="1700" w:type="dxa"/>
            <w:vMerge/>
            <w:tcBorders>
              <w:top w:val="nil"/>
              <w:left w:val="single" w:sz="4" w:space="0" w:color="auto"/>
              <w:bottom w:val="single" w:sz="4" w:space="0" w:color="auto"/>
              <w:right w:val="single" w:sz="4" w:space="0" w:color="auto"/>
            </w:tcBorders>
            <w:vAlign w:val="center"/>
            <w:hideMark/>
          </w:tcPr>
          <w:p w14:paraId="3098E2C0" w14:textId="77777777" w:rsidR="00BB6BFE" w:rsidRPr="00236E38" w:rsidRDefault="00BB6BFE" w:rsidP="00CE3EEE">
            <w:pPr>
              <w:spacing w:line="360" w:lineRule="auto"/>
              <w:rPr>
                <w:rFonts w:asciiTheme="minorHAnsi" w:hAnsiTheme="minorHAnsi" w:cstheme="minorHAnsi"/>
                <w:color w:val="000000"/>
                <w:sz w:val="22"/>
                <w:szCs w:val="22"/>
                <w:lang w:eastAsia="en-IN"/>
              </w:rPr>
            </w:pPr>
          </w:p>
        </w:tc>
        <w:tc>
          <w:tcPr>
            <w:tcW w:w="1463" w:type="dxa"/>
            <w:tcBorders>
              <w:top w:val="nil"/>
              <w:left w:val="nil"/>
              <w:bottom w:val="single" w:sz="4" w:space="0" w:color="auto"/>
              <w:right w:val="single" w:sz="4" w:space="0" w:color="auto"/>
            </w:tcBorders>
            <w:shd w:val="clear" w:color="000000" w:fill="FFFFFF"/>
            <w:vAlign w:val="center"/>
            <w:hideMark/>
          </w:tcPr>
          <w:p w14:paraId="743FAF3F" w14:textId="77777777" w:rsidR="00BB6BFE" w:rsidRPr="00236E38" w:rsidRDefault="00BB6BFE" w:rsidP="00CE3EEE">
            <w:pPr>
              <w:spacing w:line="360" w:lineRule="auto"/>
              <w:jc w:val="center"/>
              <w:rPr>
                <w:rFonts w:asciiTheme="minorHAnsi" w:hAnsiTheme="minorHAnsi" w:cstheme="minorHAnsi"/>
                <w:color w:val="000000"/>
                <w:sz w:val="22"/>
                <w:szCs w:val="22"/>
                <w:lang w:eastAsia="en-IN"/>
              </w:rPr>
            </w:pPr>
            <w:r w:rsidRPr="00236E38">
              <w:rPr>
                <w:rFonts w:asciiTheme="minorHAnsi" w:hAnsiTheme="minorHAnsi" w:cstheme="minorHAnsi"/>
                <w:color w:val="000000"/>
                <w:sz w:val="22"/>
                <w:szCs w:val="22"/>
                <w:lang w:eastAsia="en-IN"/>
              </w:rPr>
              <w:t>7 per Section</w:t>
            </w:r>
          </w:p>
        </w:tc>
      </w:tr>
      <w:tr w:rsidR="00CE3EEE" w:rsidRPr="00236E38" w14:paraId="3CAE61CD" w14:textId="77777777" w:rsidTr="00CE3EEE">
        <w:trPr>
          <w:trHeight w:val="220"/>
        </w:trPr>
        <w:tc>
          <w:tcPr>
            <w:tcW w:w="992" w:type="dxa"/>
            <w:tcBorders>
              <w:top w:val="nil"/>
              <w:left w:val="single" w:sz="4" w:space="0" w:color="auto"/>
              <w:bottom w:val="single" w:sz="4" w:space="0" w:color="auto"/>
              <w:right w:val="single" w:sz="4" w:space="0" w:color="auto"/>
            </w:tcBorders>
            <w:shd w:val="clear" w:color="000000" w:fill="FFFFFF"/>
            <w:vAlign w:val="center"/>
            <w:hideMark/>
          </w:tcPr>
          <w:p w14:paraId="2095AA86" w14:textId="77777777" w:rsidR="00BB6BFE" w:rsidRPr="00236E38" w:rsidRDefault="00BB6BFE" w:rsidP="00CE3EEE">
            <w:pPr>
              <w:spacing w:line="360" w:lineRule="auto"/>
              <w:jc w:val="center"/>
              <w:rPr>
                <w:rFonts w:asciiTheme="minorHAnsi" w:hAnsiTheme="minorHAnsi" w:cstheme="minorHAnsi"/>
                <w:color w:val="000000"/>
                <w:sz w:val="22"/>
                <w:szCs w:val="22"/>
                <w:lang w:eastAsia="en-IN"/>
              </w:rPr>
            </w:pPr>
            <w:r w:rsidRPr="00236E38">
              <w:rPr>
                <w:rFonts w:asciiTheme="minorHAnsi" w:hAnsiTheme="minorHAnsi" w:cstheme="minorHAnsi"/>
                <w:color w:val="000000"/>
                <w:sz w:val="22"/>
                <w:szCs w:val="22"/>
                <w:lang w:eastAsia="en-IN"/>
              </w:rPr>
              <w:t>38</w:t>
            </w:r>
          </w:p>
        </w:tc>
        <w:tc>
          <w:tcPr>
            <w:tcW w:w="1276" w:type="dxa"/>
            <w:tcBorders>
              <w:top w:val="nil"/>
              <w:left w:val="nil"/>
              <w:bottom w:val="single" w:sz="4" w:space="0" w:color="auto"/>
              <w:right w:val="single" w:sz="4" w:space="0" w:color="auto"/>
            </w:tcBorders>
            <w:shd w:val="clear" w:color="000000" w:fill="FFFFFF"/>
            <w:vAlign w:val="center"/>
            <w:hideMark/>
          </w:tcPr>
          <w:p w14:paraId="28BB9792" w14:textId="77777777" w:rsidR="00BB6BFE" w:rsidRPr="00236E38" w:rsidRDefault="00BB6BFE" w:rsidP="00CE3EEE">
            <w:pPr>
              <w:spacing w:line="360" w:lineRule="auto"/>
              <w:jc w:val="center"/>
              <w:rPr>
                <w:rFonts w:asciiTheme="minorHAnsi" w:hAnsiTheme="minorHAnsi" w:cstheme="minorHAnsi"/>
                <w:color w:val="000000"/>
                <w:sz w:val="22"/>
                <w:szCs w:val="22"/>
                <w:lang w:eastAsia="en-IN"/>
              </w:rPr>
            </w:pPr>
            <w:r w:rsidRPr="00236E38">
              <w:rPr>
                <w:rFonts w:asciiTheme="minorHAnsi" w:hAnsiTheme="minorHAnsi" w:cstheme="minorHAnsi"/>
                <w:color w:val="000000"/>
                <w:sz w:val="22"/>
                <w:szCs w:val="22"/>
                <w:lang w:eastAsia="en-IN"/>
              </w:rPr>
              <w:t>Remote Rural</w:t>
            </w:r>
          </w:p>
        </w:tc>
        <w:tc>
          <w:tcPr>
            <w:tcW w:w="1657" w:type="dxa"/>
            <w:tcBorders>
              <w:top w:val="nil"/>
              <w:left w:val="nil"/>
              <w:bottom w:val="single" w:sz="4" w:space="0" w:color="auto"/>
              <w:right w:val="single" w:sz="4" w:space="0" w:color="auto"/>
            </w:tcBorders>
            <w:shd w:val="clear" w:color="000000" w:fill="FFFFFF"/>
            <w:vAlign w:val="center"/>
            <w:hideMark/>
          </w:tcPr>
          <w:p w14:paraId="3FB27B0E" w14:textId="77777777" w:rsidR="00BB6BFE" w:rsidRPr="00236E38" w:rsidRDefault="00BB6BFE" w:rsidP="00CE3EEE">
            <w:pPr>
              <w:spacing w:line="360" w:lineRule="auto"/>
              <w:jc w:val="center"/>
              <w:rPr>
                <w:rFonts w:asciiTheme="minorHAnsi" w:hAnsiTheme="minorHAnsi" w:cstheme="minorHAnsi"/>
                <w:color w:val="000000"/>
                <w:sz w:val="22"/>
                <w:szCs w:val="22"/>
                <w:lang w:eastAsia="en-IN"/>
              </w:rPr>
            </w:pPr>
            <w:r w:rsidRPr="00236E38">
              <w:rPr>
                <w:rFonts w:asciiTheme="minorHAnsi" w:hAnsiTheme="minorHAnsi" w:cstheme="minorHAnsi"/>
                <w:color w:val="000000"/>
                <w:sz w:val="22"/>
                <w:szCs w:val="22"/>
                <w:lang w:eastAsia="en-IN"/>
              </w:rPr>
              <w:t>402883</w:t>
            </w:r>
          </w:p>
        </w:tc>
        <w:tc>
          <w:tcPr>
            <w:tcW w:w="1319" w:type="dxa"/>
            <w:vMerge/>
            <w:tcBorders>
              <w:top w:val="nil"/>
              <w:left w:val="single" w:sz="4" w:space="0" w:color="auto"/>
              <w:bottom w:val="single" w:sz="4" w:space="0" w:color="auto"/>
              <w:right w:val="single" w:sz="4" w:space="0" w:color="auto"/>
            </w:tcBorders>
            <w:vAlign w:val="center"/>
            <w:hideMark/>
          </w:tcPr>
          <w:p w14:paraId="3D2798B6" w14:textId="77777777" w:rsidR="00BB6BFE" w:rsidRPr="00236E38" w:rsidRDefault="00BB6BFE" w:rsidP="00CE3EEE">
            <w:pPr>
              <w:spacing w:line="360" w:lineRule="auto"/>
              <w:rPr>
                <w:rFonts w:asciiTheme="minorHAnsi" w:hAnsiTheme="minorHAnsi" w:cstheme="minorHAnsi"/>
                <w:color w:val="000000"/>
                <w:sz w:val="22"/>
                <w:szCs w:val="22"/>
                <w:lang w:eastAsia="en-IN"/>
              </w:rPr>
            </w:pPr>
          </w:p>
        </w:tc>
        <w:tc>
          <w:tcPr>
            <w:tcW w:w="1232" w:type="dxa"/>
            <w:vMerge/>
            <w:tcBorders>
              <w:top w:val="nil"/>
              <w:left w:val="single" w:sz="4" w:space="0" w:color="auto"/>
              <w:bottom w:val="single" w:sz="4" w:space="0" w:color="auto"/>
              <w:right w:val="single" w:sz="4" w:space="0" w:color="auto"/>
            </w:tcBorders>
            <w:vAlign w:val="center"/>
            <w:hideMark/>
          </w:tcPr>
          <w:p w14:paraId="331A42AD" w14:textId="77777777" w:rsidR="00BB6BFE" w:rsidRPr="00236E38" w:rsidRDefault="00BB6BFE" w:rsidP="00CE3EEE">
            <w:pPr>
              <w:spacing w:line="360" w:lineRule="auto"/>
              <w:rPr>
                <w:rFonts w:asciiTheme="minorHAnsi" w:hAnsiTheme="minorHAnsi" w:cstheme="minorHAnsi"/>
                <w:color w:val="000000"/>
                <w:sz w:val="22"/>
                <w:szCs w:val="22"/>
                <w:lang w:eastAsia="en-IN"/>
              </w:rPr>
            </w:pPr>
          </w:p>
        </w:tc>
        <w:tc>
          <w:tcPr>
            <w:tcW w:w="1700" w:type="dxa"/>
            <w:vMerge/>
            <w:tcBorders>
              <w:top w:val="nil"/>
              <w:left w:val="single" w:sz="4" w:space="0" w:color="auto"/>
              <w:bottom w:val="single" w:sz="4" w:space="0" w:color="auto"/>
              <w:right w:val="single" w:sz="4" w:space="0" w:color="auto"/>
            </w:tcBorders>
            <w:vAlign w:val="center"/>
            <w:hideMark/>
          </w:tcPr>
          <w:p w14:paraId="117CC868" w14:textId="77777777" w:rsidR="00BB6BFE" w:rsidRPr="00236E38" w:rsidRDefault="00BB6BFE" w:rsidP="00CE3EEE">
            <w:pPr>
              <w:spacing w:line="360" w:lineRule="auto"/>
              <w:rPr>
                <w:rFonts w:asciiTheme="minorHAnsi" w:hAnsiTheme="minorHAnsi" w:cstheme="minorHAnsi"/>
                <w:color w:val="000000"/>
                <w:sz w:val="22"/>
                <w:szCs w:val="22"/>
                <w:lang w:eastAsia="en-IN"/>
              </w:rPr>
            </w:pPr>
          </w:p>
        </w:tc>
        <w:tc>
          <w:tcPr>
            <w:tcW w:w="1463" w:type="dxa"/>
            <w:tcBorders>
              <w:top w:val="nil"/>
              <w:left w:val="nil"/>
              <w:bottom w:val="single" w:sz="4" w:space="0" w:color="auto"/>
              <w:right w:val="single" w:sz="4" w:space="0" w:color="auto"/>
            </w:tcBorders>
            <w:shd w:val="clear" w:color="000000" w:fill="FFFFFF"/>
            <w:vAlign w:val="center"/>
            <w:hideMark/>
          </w:tcPr>
          <w:p w14:paraId="7B210449" w14:textId="77777777" w:rsidR="00BB6BFE" w:rsidRPr="00236E38" w:rsidRDefault="00BB6BFE" w:rsidP="00CE3EEE">
            <w:pPr>
              <w:spacing w:line="360" w:lineRule="auto"/>
              <w:jc w:val="center"/>
              <w:rPr>
                <w:rFonts w:asciiTheme="minorHAnsi" w:hAnsiTheme="minorHAnsi" w:cstheme="minorHAnsi"/>
                <w:color w:val="000000"/>
                <w:sz w:val="22"/>
                <w:szCs w:val="22"/>
                <w:lang w:eastAsia="en-IN"/>
              </w:rPr>
            </w:pPr>
            <w:r w:rsidRPr="00236E38">
              <w:rPr>
                <w:rFonts w:asciiTheme="minorHAnsi" w:hAnsiTheme="minorHAnsi" w:cstheme="minorHAnsi"/>
                <w:color w:val="000000"/>
                <w:sz w:val="22"/>
                <w:szCs w:val="22"/>
                <w:lang w:eastAsia="en-IN"/>
              </w:rPr>
              <w:t>13 per Section</w:t>
            </w:r>
          </w:p>
        </w:tc>
      </w:tr>
      <w:tr w:rsidR="00BB6BFE" w:rsidRPr="00236E38" w14:paraId="316B1565" w14:textId="77777777" w:rsidTr="00CE3EEE">
        <w:trPr>
          <w:trHeight w:val="421"/>
        </w:trPr>
        <w:tc>
          <w:tcPr>
            <w:tcW w:w="9639" w:type="dxa"/>
            <w:gridSpan w:val="7"/>
            <w:tcBorders>
              <w:top w:val="single" w:sz="4" w:space="0" w:color="auto"/>
              <w:left w:val="single" w:sz="4" w:space="0" w:color="auto"/>
              <w:bottom w:val="single" w:sz="4" w:space="0" w:color="auto"/>
              <w:right w:val="single" w:sz="4" w:space="0" w:color="auto"/>
            </w:tcBorders>
            <w:shd w:val="clear" w:color="auto" w:fill="8DB3E2" w:themeFill="text2" w:themeFillTint="66"/>
            <w:vAlign w:val="center"/>
            <w:hideMark/>
          </w:tcPr>
          <w:p w14:paraId="08EAC3ED" w14:textId="77777777" w:rsidR="00BB6BFE" w:rsidRPr="00236E38" w:rsidRDefault="00BB6BFE" w:rsidP="00CE3EEE">
            <w:pPr>
              <w:spacing w:line="360" w:lineRule="auto"/>
              <w:jc w:val="center"/>
              <w:rPr>
                <w:rFonts w:asciiTheme="minorHAnsi" w:hAnsiTheme="minorHAnsi" w:cstheme="minorHAnsi"/>
                <w:b/>
                <w:color w:val="FFFFFF"/>
                <w:sz w:val="22"/>
                <w:szCs w:val="22"/>
                <w:lang w:eastAsia="en-IN"/>
              </w:rPr>
            </w:pPr>
            <w:r w:rsidRPr="00CE3EEE">
              <w:rPr>
                <w:rFonts w:asciiTheme="minorHAnsi" w:hAnsiTheme="minorHAnsi" w:cstheme="minorHAnsi"/>
                <w:b/>
                <w:sz w:val="22"/>
                <w:szCs w:val="22"/>
                <w:lang w:eastAsia="en-IN"/>
              </w:rPr>
              <w:t>Total 16 Division Coordinator, 81 Supervisor, 159 skilled LM &amp; 159 Helper, 1235 Bill collector</w:t>
            </w:r>
          </w:p>
        </w:tc>
      </w:tr>
    </w:tbl>
    <w:p w14:paraId="7420834D" w14:textId="77777777" w:rsidR="00BB6BFE" w:rsidRPr="00236E38" w:rsidRDefault="00BB6BFE" w:rsidP="00236E38">
      <w:pPr>
        <w:spacing w:line="360" w:lineRule="auto"/>
        <w:rPr>
          <w:rFonts w:asciiTheme="minorHAnsi" w:hAnsiTheme="minorHAnsi" w:cstheme="minorHAnsi"/>
          <w:color w:val="000000"/>
          <w:sz w:val="22"/>
          <w:szCs w:val="22"/>
          <w:lang w:eastAsia="en-IN"/>
        </w:rPr>
      </w:pPr>
    </w:p>
    <w:p w14:paraId="1E5A2958" w14:textId="77777777" w:rsidR="00BB6BFE" w:rsidRPr="00236E38" w:rsidRDefault="00BB6BFE" w:rsidP="00236E38">
      <w:pPr>
        <w:spacing w:line="360" w:lineRule="auto"/>
        <w:rPr>
          <w:rFonts w:asciiTheme="minorHAnsi" w:hAnsiTheme="minorHAnsi" w:cstheme="minorHAnsi"/>
          <w:b/>
          <w:color w:val="000000"/>
          <w:sz w:val="22"/>
          <w:szCs w:val="22"/>
          <w:lang w:eastAsia="en-IN"/>
        </w:rPr>
      </w:pPr>
    </w:p>
    <w:p w14:paraId="03F0DEED" w14:textId="77777777" w:rsidR="00BB6BFE" w:rsidRPr="00236E38" w:rsidRDefault="00BB6BFE" w:rsidP="00CE3EEE">
      <w:pPr>
        <w:pStyle w:val="paragraph"/>
        <w:spacing w:before="0" w:beforeAutospacing="0" w:after="0" w:afterAutospacing="0" w:line="360" w:lineRule="auto"/>
        <w:ind w:left="709"/>
        <w:jc w:val="both"/>
        <w:textAlignment w:val="baseline"/>
        <w:rPr>
          <w:rFonts w:asciiTheme="minorHAnsi" w:hAnsiTheme="minorHAnsi" w:cstheme="minorHAnsi"/>
          <w:sz w:val="22"/>
          <w:szCs w:val="22"/>
        </w:rPr>
      </w:pPr>
      <w:r w:rsidRPr="00236E38">
        <w:rPr>
          <w:rStyle w:val="normaltextrun"/>
          <w:rFonts w:asciiTheme="minorHAnsi" w:hAnsiTheme="minorHAnsi" w:cstheme="minorHAnsi"/>
          <w:sz w:val="22"/>
          <w:szCs w:val="22"/>
        </w:rPr>
        <w:t>It is pertinent to mention that, the entire network right from 33KV feeders to LT consumers were previously owned and maintained only by the Junior Manager (O&amp;M) along with his team comprising of limited number of Lineman A/B/C, Helper, and Jr. Technician posted in respective sections. E&amp;MR section was extending support to section staff for maintenance of 33/11KV primary substations. As sufficient manpower was not available, only limited corrective maintenance and restoration of power supply was in place.</w:t>
      </w:r>
      <w:r w:rsidRPr="00236E38">
        <w:rPr>
          <w:rStyle w:val="eop"/>
          <w:rFonts w:asciiTheme="minorHAnsi" w:hAnsiTheme="minorHAnsi" w:cstheme="minorHAnsi"/>
          <w:sz w:val="22"/>
          <w:szCs w:val="22"/>
        </w:rPr>
        <w:t> </w:t>
      </w:r>
    </w:p>
    <w:p w14:paraId="4AA4E84A" w14:textId="77777777" w:rsidR="00BB6BFE" w:rsidRPr="00236E38" w:rsidRDefault="00BB6BFE" w:rsidP="00CE3EEE">
      <w:pPr>
        <w:pStyle w:val="Heading1"/>
        <w:spacing w:line="360" w:lineRule="auto"/>
        <w:ind w:left="709"/>
        <w:jc w:val="both"/>
        <w:rPr>
          <w:rFonts w:asciiTheme="minorHAnsi" w:hAnsiTheme="minorHAnsi" w:cstheme="minorHAnsi"/>
          <w:b w:val="0"/>
          <w:sz w:val="22"/>
          <w:szCs w:val="22"/>
        </w:rPr>
      </w:pPr>
      <w:r w:rsidRPr="00236E38">
        <w:rPr>
          <w:rFonts w:asciiTheme="minorHAnsi" w:hAnsiTheme="minorHAnsi" w:cstheme="minorHAnsi"/>
          <w:b w:val="0"/>
          <w:sz w:val="22"/>
          <w:szCs w:val="22"/>
        </w:rPr>
        <w:t>To address the above issues and for proper maintenance of network, separate AMC has been introduced post takeover of TPNODL for 33KV and 11KV maintenance to create a culture of preventive maintenance.</w:t>
      </w:r>
    </w:p>
    <w:p w14:paraId="33702F95" w14:textId="77777777" w:rsidR="00BB6BFE" w:rsidRPr="00236E38" w:rsidRDefault="00BB6BFE" w:rsidP="00CE3EEE">
      <w:pPr>
        <w:pStyle w:val="paragraph"/>
        <w:spacing w:before="0" w:beforeAutospacing="0" w:after="0" w:afterAutospacing="0" w:line="360" w:lineRule="auto"/>
        <w:ind w:left="709"/>
        <w:jc w:val="both"/>
        <w:textAlignment w:val="baseline"/>
        <w:rPr>
          <w:rStyle w:val="normaltextrun"/>
          <w:rFonts w:asciiTheme="minorHAnsi" w:hAnsiTheme="minorHAnsi" w:cstheme="minorHAnsi"/>
          <w:sz w:val="22"/>
          <w:szCs w:val="22"/>
        </w:rPr>
      </w:pPr>
      <w:r w:rsidRPr="00236E38">
        <w:rPr>
          <w:rStyle w:val="normaltextrun"/>
          <w:rFonts w:asciiTheme="minorHAnsi" w:hAnsiTheme="minorHAnsi" w:cstheme="minorHAnsi"/>
          <w:sz w:val="22"/>
          <w:szCs w:val="22"/>
        </w:rPr>
        <w:t>Annual maintenance contracts for 33 kV network have been established with expert market agencies for all 5 circles. The Performance Based Maintenance Contract also includes 24X7 Breakdowns Crews for restoration of 33KV &amp; 11KV feeders and substation equipment. Besides, preventive maintenance activities are being performed as per the maintenance plan and schedule prepared by TPNODL using the SAP PM system.</w:t>
      </w:r>
    </w:p>
    <w:p w14:paraId="71DE32A7" w14:textId="77777777" w:rsidR="00BB6BFE" w:rsidRPr="00236E38" w:rsidRDefault="00BB6BFE" w:rsidP="00CE3EEE">
      <w:pPr>
        <w:spacing w:line="360" w:lineRule="auto"/>
        <w:ind w:left="709"/>
        <w:jc w:val="both"/>
        <w:rPr>
          <w:rFonts w:asciiTheme="minorHAnsi" w:hAnsiTheme="minorHAnsi" w:cstheme="minorHAnsi"/>
          <w:color w:val="000000"/>
          <w:sz w:val="22"/>
          <w:szCs w:val="22"/>
          <w:lang w:eastAsia="en-IN"/>
        </w:rPr>
      </w:pPr>
    </w:p>
    <w:p w14:paraId="744A3477" w14:textId="20B744F4" w:rsidR="00BB6BFE" w:rsidRDefault="00BB6BFE" w:rsidP="00CE3EEE">
      <w:pPr>
        <w:spacing w:line="360" w:lineRule="auto"/>
        <w:ind w:left="709"/>
        <w:jc w:val="both"/>
        <w:rPr>
          <w:rFonts w:asciiTheme="minorHAnsi" w:hAnsiTheme="minorHAnsi" w:cstheme="minorHAnsi"/>
          <w:color w:val="000000"/>
          <w:sz w:val="22"/>
          <w:szCs w:val="22"/>
          <w:lang w:eastAsia="en-IN"/>
        </w:rPr>
      </w:pPr>
      <w:r w:rsidRPr="00236E38">
        <w:rPr>
          <w:rFonts w:asciiTheme="minorHAnsi" w:hAnsiTheme="minorHAnsi" w:cstheme="minorHAnsi"/>
          <w:color w:val="000000"/>
          <w:sz w:val="22"/>
          <w:szCs w:val="22"/>
          <w:lang w:eastAsia="en-IN"/>
        </w:rPr>
        <w:t xml:space="preserve">The norm adopted by the licensee for deployment of outsourced manpower for O&amp;M activities for all the sections, 711 Fuse Call </w:t>
      </w:r>
      <w:proofErr w:type="spellStart"/>
      <w:r w:rsidRPr="00236E38">
        <w:rPr>
          <w:rFonts w:asciiTheme="minorHAnsi" w:hAnsiTheme="minorHAnsi" w:cstheme="minorHAnsi"/>
          <w:color w:val="000000"/>
          <w:sz w:val="22"/>
          <w:szCs w:val="22"/>
          <w:lang w:eastAsia="en-IN"/>
        </w:rPr>
        <w:t>Centres</w:t>
      </w:r>
      <w:proofErr w:type="spellEnd"/>
      <w:r w:rsidRPr="00236E38">
        <w:rPr>
          <w:rFonts w:asciiTheme="minorHAnsi" w:hAnsiTheme="minorHAnsi" w:cstheme="minorHAnsi"/>
          <w:color w:val="000000"/>
          <w:sz w:val="22"/>
          <w:szCs w:val="22"/>
          <w:lang w:eastAsia="en-IN"/>
        </w:rPr>
        <w:t xml:space="preserve"> and for deployment in the division and Circle level to attend all operational issues within the PA timeline are detailed in the following table.</w:t>
      </w:r>
    </w:p>
    <w:p w14:paraId="31DD0D52" w14:textId="0854E3FA" w:rsidR="002B5470" w:rsidRDefault="002B5470" w:rsidP="00CE3EEE">
      <w:pPr>
        <w:spacing w:line="360" w:lineRule="auto"/>
        <w:ind w:left="709"/>
        <w:jc w:val="both"/>
        <w:rPr>
          <w:rFonts w:asciiTheme="minorHAnsi" w:hAnsiTheme="minorHAnsi" w:cstheme="minorHAnsi"/>
          <w:color w:val="000000"/>
          <w:sz w:val="22"/>
          <w:szCs w:val="22"/>
          <w:lang w:eastAsia="en-IN"/>
        </w:rPr>
      </w:pPr>
    </w:p>
    <w:p w14:paraId="3BBA917D" w14:textId="7F6C2D91" w:rsidR="002B5470" w:rsidRDefault="002B5470" w:rsidP="00CE3EEE">
      <w:pPr>
        <w:spacing w:line="360" w:lineRule="auto"/>
        <w:ind w:left="709"/>
        <w:jc w:val="both"/>
        <w:rPr>
          <w:rFonts w:asciiTheme="minorHAnsi" w:hAnsiTheme="minorHAnsi" w:cstheme="minorHAnsi"/>
          <w:color w:val="000000"/>
          <w:sz w:val="22"/>
          <w:szCs w:val="22"/>
          <w:lang w:eastAsia="en-IN"/>
        </w:rPr>
      </w:pPr>
    </w:p>
    <w:p w14:paraId="741D069D" w14:textId="1893A774" w:rsidR="002B5470" w:rsidRDefault="002B5470" w:rsidP="00CE3EEE">
      <w:pPr>
        <w:spacing w:line="360" w:lineRule="auto"/>
        <w:ind w:left="709"/>
        <w:jc w:val="both"/>
        <w:rPr>
          <w:rFonts w:asciiTheme="minorHAnsi" w:hAnsiTheme="minorHAnsi" w:cstheme="minorHAnsi"/>
          <w:color w:val="000000"/>
          <w:sz w:val="22"/>
          <w:szCs w:val="22"/>
          <w:lang w:eastAsia="en-IN"/>
        </w:rPr>
      </w:pPr>
    </w:p>
    <w:p w14:paraId="738BCEB3" w14:textId="77777777" w:rsidR="002B5470" w:rsidRPr="00236E38" w:rsidRDefault="002B5470" w:rsidP="00CE3EEE">
      <w:pPr>
        <w:spacing w:line="360" w:lineRule="auto"/>
        <w:ind w:left="709"/>
        <w:jc w:val="both"/>
        <w:rPr>
          <w:rFonts w:asciiTheme="minorHAnsi" w:hAnsiTheme="minorHAnsi" w:cstheme="minorHAnsi"/>
          <w:color w:val="000000"/>
          <w:sz w:val="22"/>
          <w:szCs w:val="22"/>
          <w:lang w:eastAsia="en-IN"/>
        </w:rPr>
      </w:pPr>
    </w:p>
    <w:p w14:paraId="759AAA88" w14:textId="77777777" w:rsidR="00BB6BFE" w:rsidRPr="00236E38" w:rsidRDefault="00BB6BFE" w:rsidP="00236E38">
      <w:pPr>
        <w:spacing w:line="360" w:lineRule="auto"/>
        <w:jc w:val="both"/>
        <w:rPr>
          <w:rFonts w:asciiTheme="minorHAnsi" w:hAnsiTheme="minorHAnsi" w:cstheme="minorHAnsi"/>
          <w:color w:val="000000"/>
          <w:sz w:val="22"/>
          <w:szCs w:val="22"/>
          <w:lang w:eastAsia="en-IN"/>
        </w:rPr>
      </w:pPr>
    </w:p>
    <w:tbl>
      <w:tblPr>
        <w:tblW w:w="0" w:type="auto"/>
        <w:tblLook w:val="04A0" w:firstRow="1" w:lastRow="0" w:firstColumn="1" w:lastColumn="0" w:noHBand="0" w:noVBand="1"/>
      </w:tblPr>
      <w:tblGrid>
        <w:gridCol w:w="927"/>
        <w:gridCol w:w="1188"/>
        <w:gridCol w:w="2039"/>
        <w:gridCol w:w="1826"/>
        <w:gridCol w:w="2294"/>
        <w:gridCol w:w="1224"/>
      </w:tblGrid>
      <w:tr w:rsidR="00BB6BFE" w:rsidRPr="00236E38" w14:paraId="46067025" w14:textId="77777777" w:rsidTr="00CE3EEE">
        <w:trPr>
          <w:trHeight w:val="746"/>
        </w:trPr>
        <w:tc>
          <w:tcPr>
            <w:tcW w:w="0" w:type="auto"/>
            <w:gridSpan w:val="6"/>
            <w:tcBorders>
              <w:top w:val="nil"/>
              <w:left w:val="nil"/>
              <w:bottom w:val="single" w:sz="4" w:space="0" w:color="auto"/>
              <w:right w:val="nil"/>
            </w:tcBorders>
            <w:shd w:val="clear" w:color="auto" w:fill="auto"/>
            <w:vAlign w:val="center"/>
            <w:hideMark/>
          </w:tcPr>
          <w:p w14:paraId="498D1FB6" w14:textId="597372F0" w:rsidR="00BB6BFE" w:rsidRPr="00236E38" w:rsidRDefault="00CD105A" w:rsidP="00236E38">
            <w:pPr>
              <w:spacing w:line="360" w:lineRule="auto"/>
              <w:jc w:val="center"/>
              <w:rPr>
                <w:rFonts w:asciiTheme="minorHAnsi" w:hAnsiTheme="minorHAnsi" w:cstheme="minorHAnsi"/>
                <w:b/>
                <w:color w:val="000000"/>
                <w:sz w:val="22"/>
                <w:szCs w:val="22"/>
                <w:lang w:eastAsia="en-IN"/>
              </w:rPr>
            </w:pPr>
            <w:r>
              <w:rPr>
                <w:rFonts w:asciiTheme="minorHAnsi" w:hAnsiTheme="minorHAnsi" w:cstheme="minorHAnsi"/>
                <w:b/>
                <w:color w:val="000000"/>
                <w:sz w:val="22"/>
                <w:szCs w:val="22"/>
                <w:lang w:eastAsia="en-IN"/>
              </w:rPr>
              <w:lastRenderedPageBreak/>
              <w:t>Table</w:t>
            </w:r>
            <w:r w:rsidR="002B5470">
              <w:rPr>
                <w:rFonts w:asciiTheme="minorHAnsi" w:hAnsiTheme="minorHAnsi" w:cstheme="minorHAnsi"/>
                <w:b/>
                <w:color w:val="000000"/>
                <w:sz w:val="22"/>
                <w:szCs w:val="22"/>
                <w:lang w:eastAsia="en-IN"/>
              </w:rPr>
              <w:t xml:space="preserve">-65 </w:t>
            </w:r>
            <w:r w:rsidR="00BB6BFE" w:rsidRPr="00236E38">
              <w:rPr>
                <w:rFonts w:asciiTheme="minorHAnsi" w:hAnsiTheme="minorHAnsi" w:cstheme="minorHAnsi"/>
                <w:b/>
                <w:color w:val="000000"/>
                <w:sz w:val="22"/>
                <w:szCs w:val="22"/>
                <w:lang w:eastAsia="en-IN"/>
              </w:rPr>
              <w:t xml:space="preserve">Assessment for BA manpower for O&amp;M activities for Total 44 Nos of Urban Sections &amp; 115 </w:t>
            </w:r>
            <w:proofErr w:type="spellStart"/>
            <w:r w:rsidR="00BB6BFE" w:rsidRPr="00236E38">
              <w:rPr>
                <w:rFonts w:asciiTheme="minorHAnsi" w:hAnsiTheme="minorHAnsi" w:cstheme="minorHAnsi"/>
                <w:b/>
                <w:color w:val="000000"/>
                <w:sz w:val="22"/>
                <w:szCs w:val="22"/>
                <w:lang w:eastAsia="en-IN"/>
              </w:rPr>
              <w:t>nos</w:t>
            </w:r>
            <w:proofErr w:type="spellEnd"/>
            <w:r w:rsidR="00BB6BFE" w:rsidRPr="00236E38">
              <w:rPr>
                <w:rFonts w:asciiTheme="minorHAnsi" w:hAnsiTheme="minorHAnsi" w:cstheme="minorHAnsi"/>
                <w:b/>
                <w:color w:val="000000"/>
                <w:sz w:val="22"/>
                <w:szCs w:val="22"/>
                <w:lang w:eastAsia="en-IN"/>
              </w:rPr>
              <w:t xml:space="preserve"> of Rural Section, 84 Urban FCC &amp; 627 Rural FCC, 5 Circles, 16 Division </w:t>
            </w:r>
          </w:p>
        </w:tc>
      </w:tr>
      <w:tr w:rsidR="00BB6BFE" w:rsidRPr="00236E38" w14:paraId="4592E693" w14:textId="77777777" w:rsidTr="00CE3EEE">
        <w:trPr>
          <w:trHeight w:val="1218"/>
        </w:trPr>
        <w:tc>
          <w:tcPr>
            <w:tcW w:w="0" w:type="auto"/>
            <w:tcBorders>
              <w:top w:val="nil"/>
              <w:left w:val="single" w:sz="4" w:space="0" w:color="auto"/>
              <w:bottom w:val="single" w:sz="4" w:space="0" w:color="auto"/>
              <w:right w:val="single" w:sz="4" w:space="0" w:color="auto"/>
            </w:tcBorders>
            <w:shd w:val="clear" w:color="auto" w:fill="8DB3E2" w:themeFill="text2" w:themeFillTint="66"/>
            <w:vAlign w:val="center"/>
            <w:hideMark/>
          </w:tcPr>
          <w:p w14:paraId="00090BEB" w14:textId="77777777" w:rsidR="00BB6BFE" w:rsidRPr="00CE3EEE" w:rsidRDefault="00BB6BFE" w:rsidP="00236E38">
            <w:pPr>
              <w:spacing w:line="360" w:lineRule="auto"/>
              <w:jc w:val="center"/>
              <w:rPr>
                <w:rFonts w:asciiTheme="minorHAnsi" w:hAnsiTheme="minorHAnsi" w:cstheme="minorHAnsi"/>
                <w:b/>
                <w:bCs/>
                <w:color w:val="000000" w:themeColor="text1"/>
                <w:sz w:val="22"/>
                <w:szCs w:val="22"/>
                <w:lang w:eastAsia="en-IN"/>
              </w:rPr>
            </w:pPr>
            <w:r w:rsidRPr="00CE3EEE">
              <w:rPr>
                <w:rFonts w:asciiTheme="minorHAnsi" w:hAnsiTheme="minorHAnsi" w:cstheme="minorHAnsi"/>
                <w:b/>
                <w:bCs/>
                <w:color w:val="000000" w:themeColor="text1"/>
                <w:sz w:val="22"/>
                <w:szCs w:val="22"/>
                <w:lang w:eastAsia="en-IN"/>
              </w:rPr>
              <w:t>Section Type</w:t>
            </w:r>
          </w:p>
        </w:tc>
        <w:tc>
          <w:tcPr>
            <w:tcW w:w="0" w:type="auto"/>
            <w:tcBorders>
              <w:top w:val="nil"/>
              <w:left w:val="nil"/>
              <w:bottom w:val="single" w:sz="4" w:space="0" w:color="auto"/>
              <w:right w:val="single" w:sz="4" w:space="0" w:color="auto"/>
            </w:tcBorders>
            <w:shd w:val="clear" w:color="auto" w:fill="8DB3E2" w:themeFill="text2" w:themeFillTint="66"/>
            <w:vAlign w:val="center"/>
            <w:hideMark/>
          </w:tcPr>
          <w:p w14:paraId="761AECFE" w14:textId="77777777" w:rsidR="00BB6BFE" w:rsidRPr="00CE3EEE" w:rsidRDefault="00BB6BFE" w:rsidP="00236E38">
            <w:pPr>
              <w:spacing w:line="360" w:lineRule="auto"/>
              <w:jc w:val="center"/>
              <w:rPr>
                <w:rFonts w:asciiTheme="minorHAnsi" w:hAnsiTheme="minorHAnsi" w:cstheme="minorHAnsi"/>
                <w:b/>
                <w:bCs/>
                <w:color w:val="000000" w:themeColor="text1"/>
                <w:sz w:val="22"/>
                <w:szCs w:val="22"/>
                <w:lang w:eastAsia="en-IN"/>
              </w:rPr>
            </w:pPr>
            <w:r w:rsidRPr="00CE3EEE">
              <w:rPr>
                <w:rFonts w:asciiTheme="minorHAnsi" w:hAnsiTheme="minorHAnsi" w:cstheme="minorHAnsi"/>
                <w:b/>
                <w:bCs/>
                <w:color w:val="000000" w:themeColor="text1"/>
                <w:sz w:val="22"/>
                <w:szCs w:val="22"/>
                <w:lang w:eastAsia="en-IN"/>
              </w:rPr>
              <w:t>Supervisor</w:t>
            </w:r>
          </w:p>
        </w:tc>
        <w:tc>
          <w:tcPr>
            <w:tcW w:w="0" w:type="auto"/>
            <w:tcBorders>
              <w:top w:val="nil"/>
              <w:left w:val="nil"/>
              <w:bottom w:val="single" w:sz="4" w:space="0" w:color="auto"/>
              <w:right w:val="single" w:sz="4" w:space="0" w:color="auto"/>
            </w:tcBorders>
            <w:shd w:val="clear" w:color="auto" w:fill="8DB3E2" w:themeFill="text2" w:themeFillTint="66"/>
            <w:vAlign w:val="center"/>
            <w:hideMark/>
          </w:tcPr>
          <w:p w14:paraId="0202B614" w14:textId="77777777" w:rsidR="00BB6BFE" w:rsidRPr="00CE3EEE" w:rsidRDefault="00BB6BFE" w:rsidP="00236E38">
            <w:pPr>
              <w:spacing w:line="360" w:lineRule="auto"/>
              <w:jc w:val="center"/>
              <w:rPr>
                <w:rFonts w:asciiTheme="minorHAnsi" w:hAnsiTheme="minorHAnsi" w:cstheme="minorHAnsi"/>
                <w:b/>
                <w:bCs/>
                <w:color w:val="000000" w:themeColor="text1"/>
                <w:sz w:val="22"/>
                <w:szCs w:val="22"/>
                <w:lang w:eastAsia="en-IN"/>
              </w:rPr>
            </w:pPr>
            <w:r w:rsidRPr="00CE3EEE">
              <w:rPr>
                <w:rFonts w:asciiTheme="minorHAnsi" w:hAnsiTheme="minorHAnsi" w:cstheme="minorHAnsi"/>
                <w:b/>
                <w:bCs/>
                <w:color w:val="000000" w:themeColor="text1"/>
                <w:sz w:val="22"/>
                <w:szCs w:val="22"/>
                <w:lang w:eastAsia="en-IN"/>
              </w:rPr>
              <w:t>Fuse Call Centre (FCC) Manning -for LT No Current Complaints</w:t>
            </w:r>
          </w:p>
        </w:tc>
        <w:tc>
          <w:tcPr>
            <w:tcW w:w="0" w:type="auto"/>
            <w:tcBorders>
              <w:top w:val="nil"/>
              <w:left w:val="nil"/>
              <w:bottom w:val="single" w:sz="4" w:space="0" w:color="auto"/>
              <w:right w:val="single" w:sz="4" w:space="0" w:color="auto"/>
            </w:tcBorders>
            <w:shd w:val="clear" w:color="auto" w:fill="8DB3E2" w:themeFill="text2" w:themeFillTint="66"/>
            <w:vAlign w:val="center"/>
            <w:hideMark/>
          </w:tcPr>
          <w:p w14:paraId="3D0FCA73" w14:textId="77777777" w:rsidR="00BB6BFE" w:rsidRPr="00CE3EEE" w:rsidRDefault="00BB6BFE" w:rsidP="00236E38">
            <w:pPr>
              <w:spacing w:line="360" w:lineRule="auto"/>
              <w:jc w:val="center"/>
              <w:rPr>
                <w:rFonts w:asciiTheme="minorHAnsi" w:hAnsiTheme="minorHAnsi" w:cstheme="minorHAnsi"/>
                <w:b/>
                <w:bCs/>
                <w:color w:val="000000" w:themeColor="text1"/>
                <w:sz w:val="22"/>
                <w:szCs w:val="22"/>
                <w:lang w:eastAsia="en-IN"/>
              </w:rPr>
            </w:pPr>
            <w:r w:rsidRPr="00CE3EEE">
              <w:rPr>
                <w:rFonts w:asciiTheme="minorHAnsi" w:hAnsiTheme="minorHAnsi" w:cstheme="minorHAnsi"/>
                <w:b/>
                <w:bCs/>
                <w:color w:val="000000" w:themeColor="text1"/>
                <w:sz w:val="22"/>
                <w:szCs w:val="22"/>
                <w:lang w:eastAsia="en-IN"/>
              </w:rPr>
              <w:t>Maintenance Gang -For Preventive Maintenance of DT &amp; 11kV Network</w:t>
            </w:r>
          </w:p>
        </w:tc>
        <w:tc>
          <w:tcPr>
            <w:tcW w:w="0" w:type="auto"/>
            <w:tcBorders>
              <w:top w:val="nil"/>
              <w:left w:val="nil"/>
              <w:bottom w:val="single" w:sz="4" w:space="0" w:color="auto"/>
              <w:right w:val="single" w:sz="4" w:space="0" w:color="auto"/>
            </w:tcBorders>
            <w:shd w:val="clear" w:color="auto" w:fill="8DB3E2" w:themeFill="text2" w:themeFillTint="66"/>
            <w:vAlign w:val="center"/>
            <w:hideMark/>
          </w:tcPr>
          <w:p w14:paraId="21D66590" w14:textId="77777777" w:rsidR="00BB6BFE" w:rsidRPr="00CE3EEE" w:rsidRDefault="00BB6BFE" w:rsidP="00236E38">
            <w:pPr>
              <w:spacing w:line="360" w:lineRule="auto"/>
              <w:jc w:val="center"/>
              <w:rPr>
                <w:rFonts w:asciiTheme="minorHAnsi" w:hAnsiTheme="minorHAnsi" w:cstheme="minorHAnsi"/>
                <w:b/>
                <w:bCs/>
                <w:color w:val="000000" w:themeColor="text1"/>
                <w:sz w:val="22"/>
                <w:szCs w:val="22"/>
                <w:lang w:eastAsia="en-IN"/>
              </w:rPr>
            </w:pPr>
            <w:r w:rsidRPr="00CE3EEE">
              <w:rPr>
                <w:rFonts w:asciiTheme="minorHAnsi" w:hAnsiTheme="minorHAnsi" w:cstheme="minorHAnsi"/>
                <w:b/>
                <w:bCs/>
                <w:color w:val="000000" w:themeColor="text1"/>
                <w:sz w:val="22"/>
                <w:szCs w:val="22"/>
                <w:lang w:eastAsia="en-IN"/>
              </w:rPr>
              <w:t>Breakdown Gang - For attending 11kV &amp; LT Breakdown</w:t>
            </w:r>
          </w:p>
        </w:tc>
        <w:tc>
          <w:tcPr>
            <w:tcW w:w="0" w:type="auto"/>
            <w:tcBorders>
              <w:top w:val="nil"/>
              <w:left w:val="nil"/>
              <w:bottom w:val="single" w:sz="4" w:space="0" w:color="auto"/>
              <w:right w:val="single" w:sz="4" w:space="0" w:color="auto"/>
            </w:tcBorders>
            <w:shd w:val="clear" w:color="auto" w:fill="8DB3E2" w:themeFill="text2" w:themeFillTint="66"/>
            <w:vAlign w:val="center"/>
            <w:hideMark/>
          </w:tcPr>
          <w:p w14:paraId="3903103E" w14:textId="77777777" w:rsidR="00BB6BFE" w:rsidRPr="00CE3EEE" w:rsidRDefault="00BB6BFE" w:rsidP="00236E38">
            <w:pPr>
              <w:spacing w:line="360" w:lineRule="auto"/>
              <w:jc w:val="center"/>
              <w:rPr>
                <w:rFonts w:asciiTheme="minorHAnsi" w:hAnsiTheme="minorHAnsi" w:cstheme="minorHAnsi"/>
                <w:b/>
                <w:bCs/>
                <w:color w:val="000000" w:themeColor="text1"/>
                <w:sz w:val="22"/>
                <w:szCs w:val="22"/>
                <w:lang w:eastAsia="en-IN"/>
              </w:rPr>
            </w:pPr>
            <w:r w:rsidRPr="00CE3EEE">
              <w:rPr>
                <w:rFonts w:asciiTheme="minorHAnsi" w:hAnsiTheme="minorHAnsi" w:cstheme="minorHAnsi"/>
                <w:b/>
                <w:bCs/>
                <w:color w:val="000000" w:themeColor="text1"/>
                <w:sz w:val="22"/>
                <w:szCs w:val="22"/>
                <w:lang w:eastAsia="en-IN"/>
              </w:rPr>
              <w:t>Customer Service Executive</w:t>
            </w:r>
          </w:p>
        </w:tc>
      </w:tr>
      <w:tr w:rsidR="00BB6BFE" w:rsidRPr="00236E38" w14:paraId="08A2A230" w14:textId="77777777" w:rsidTr="00CE3EEE">
        <w:trPr>
          <w:trHeight w:val="959"/>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FA47D41" w14:textId="77777777" w:rsidR="00BB6BFE" w:rsidRPr="00236E38" w:rsidRDefault="00BB6BFE" w:rsidP="00236E38">
            <w:pPr>
              <w:spacing w:line="360" w:lineRule="auto"/>
              <w:jc w:val="center"/>
              <w:rPr>
                <w:rFonts w:asciiTheme="minorHAnsi" w:hAnsiTheme="minorHAnsi" w:cstheme="minorHAnsi"/>
                <w:color w:val="000000"/>
                <w:sz w:val="22"/>
                <w:szCs w:val="22"/>
                <w:lang w:eastAsia="en-IN"/>
              </w:rPr>
            </w:pPr>
            <w:r w:rsidRPr="00236E38">
              <w:rPr>
                <w:rFonts w:asciiTheme="minorHAnsi" w:hAnsiTheme="minorHAnsi" w:cstheme="minorHAnsi"/>
                <w:color w:val="000000"/>
                <w:sz w:val="22"/>
                <w:szCs w:val="22"/>
                <w:lang w:eastAsia="en-IN"/>
              </w:rPr>
              <w:t>Urban</w:t>
            </w:r>
          </w:p>
        </w:tc>
        <w:tc>
          <w:tcPr>
            <w:tcW w:w="0" w:type="auto"/>
            <w:tcBorders>
              <w:top w:val="nil"/>
              <w:left w:val="nil"/>
              <w:bottom w:val="single" w:sz="4" w:space="0" w:color="auto"/>
              <w:right w:val="single" w:sz="4" w:space="0" w:color="auto"/>
            </w:tcBorders>
            <w:shd w:val="clear" w:color="auto" w:fill="auto"/>
            <w:vAlign w:val="center"/>
            <w:hideMark/>
          </w:tcPr>
          <w:p w14:paraId="5465F703" w14:textId="77777777" w:rsidR="00BB6BFE" w:rsidRPr="00236E38" w:rsidRDefault="00BB6BFE" w:rsidP="00236E38">
            <w:pPr>
              <w:spacing w:line="360" w:lineRule="auto"/>
              <w:jc w:val="center"/>
              <w:rPr>
                <w:rFonts w:asciiTheme="minorHAnsi" w:hAnsiTheme="minorHAnsi" w:cstheme="minorHAnsi"/>
                <w:color w:val="000000"/>
                <w:sz w:val="22"/>
                <w:szCs w:val="22"/>
                <w:lang w:eastAsia="en-IN"/>
              </w:rPr>
            </w:pPr>
            <w:r w:rsidRPr="00236E38">
              <w:rPr>
                <w:rFonts w:asciiTheme="minorHAnsi" w:hAnsiTheme="minorHAnsi" w:cstheme="minorHAnsi"/>
                <w:color w:val="000000"/>
                <w:sz w:val="22"/>
                <w:szCs w:val="22"/>
                <w:lang w:eastAsia="en-IN"/>
              </w:rPr>
              <w:t>1/ Section</w:t>
            </w:r>
          </w:p>
        </w:tc>
        <w:tc>
          <w:tcPr>
            <w:tcW w:w="0" w:type="auto"/>
            <w:tcBorders>
              <w:top w:val="nil"/>
              <w:left w:val="nil"/>
              <w:bottom w:val="single" w:sz="4" w:space="0" w:color="auto"/>
              <w:right w:val="single" w:sz="4" w:space="0" w:color="auto"/>
            </w:tcBorders>
            <w:shd w:val="clear" w:color="auto" w:fill="auto"/>
            <w:vAlign w:val="center"/>
            <w:hideMark/>
          </w:tcPr>
          <w:p w14:paraId="66C2041B" w14:textId="77777777" w:rsidR="00BB6BFE" w:rsidRPr="00236E38" w:rsidRDefault="00BB6BFE" w:rsidP="00236E38">
            <w:pPr>
              <w:spacing w:line="360" w:lineRule="auto"/>
              <w:jc w:val="center"/>
              <w:rPr>
                <w:rFonts w:asciiTheme="minorHAnsi" w:hAnsiTheme="minorHAnsi" w:cstheme="minorHAnsi"/>
                <w:color w:val="000000"/>
                <w:sz w:val="22"/>
                <w:szCs w:val="22"/>
                <w:lang w:eastAsia="en-IN"/>
              </w:rPr>
            </w:pPr>
            <w:r w:rsidRPr="00236E38">
              <w:rPr>
                <w:rFonts w:asciiTheme="minorHAnsi" w:hAnsiTheme="minorHAnsi" w:cstheme="minorHAnsi"/>
                <w:color w:val="000000"/>
                <w:sz w:val="22"/>
                <w:szCs w:val="22"/>
                <w:lang w:eastAsia="en-IN"/>
              </w:rPr>
              <w:t xml:space="preserve">1 </w:t>
            </w:r>
            <w:proofErr w:type="spellStart"/>
            <w:r w:rsidRPr="00236E38">
              <w:rPr>
                <w:rFonts w:asciiTheme="minorHAnsi" w:hAnsiTheme="minorHAnsi" w:cstheme="minorHAnsi"/>
                <w:color w:val="000000"/>
                <w:sz w:val="22"/>
                <w:szCs w:val="22"/>
                <w:lang w:eastAsia="en-IN"/>
              </w:rPr>
              <w:t>SkLM</w:t>
            </w:r>
            <w:proofErr w:type="spellEnd"/>
            <w:r w:rsidRPr="00236E38">
              <w:rPr>
                <w:rFonts w:asciiTheme="minorHAnsi" w:hAnsiTheme="minorHAnsi" w:cstheme="minorHAnsi"/>
                <w:color w:val="000000"/>
                <w:sz w:val="22"/>
                <w:szCs w:val="22"/>
                <w:lang w:eastAsia="en-IN"/>
              </w:rPr>
              <w:t xml:space="preserve"> + 1 Helper/Shift/FCC in 3 Shift</w:t>
            </w:r>
          </w:p>
        </w:tc>
        <w:tc>
          <w:tcPr>
            <w:tcW w:w="0" w:type="auto"/>
            <w:tcBorders>
              <w:top w:val="nil"/>
              <w:left w:val="nil"/>
              <w:bottom w:val="single" w:sz="4" w:space="0" w:color="auto"/>
              <w:right w:val="single" w:sz="4" w:space="0" w:color="auto"/>
            </w:tcBorders>
            <w:shd w:val="clear" w:color="auto" w:fill="auto"/>
            <w:vAlign w:val="center"/>
            <w:hideMark/>
          </w:tcPr>
          <w:p w14:paraId="3C246DBB" w14:textId="77777777" w:rsidR="00BB6BFE" w:rsidRPr="00236E38" w:rsidRDefault="00BB6BFE" w:rsidP="00236E38">
            <w:pPr>
              <w:spacing w:line="360" w:lineRule="auto"/>
              <w:jc w:val="center"/>
              <w:rPr>
                <w:rFonts w:asciiTheme="minorHAnsi" w:hAnsiTheme="minorHAnsi" w:cstheme="minorHAnsi"/>
                <w:color w:val="000000"/>
                <w:sz w:val="22"/>
                <w:szCs w:val="22"/>
                <w:lang w:eastAsia="en-IN"/>
              </w:rPr>
            </w:pPr>
            <w:r w:rsidRPr="00236E38">
              <w:rPr>
                <w:rFonts w:asciiTheme="minorHAnsi" w:hAnsiTheme="minorHAnsi" w:cstheme="minorHAnsi"/>
                <w:color w:val="000000"/>
                <w:sz w:val="22"/>
                <w:szCs w:val="22"/>
                <w:lang w:eastAsia="en-IN"/>
              </w:rPr>
              <w:t xml:space="preserve">3 </w:t>
            </w:r>
            <w:proofErr w:type="spellStart"/>
            <w:r w:rsidRPr="00236E38">
              <w:rPr>
                <w:rFonts w:asciiTheme="minorHAnsi" w:hAnsiTheme="minorHAnsi" w:cstheme="minorHAnsi"/>
                <w:color w:val="000000"/>
                <w:sz w:val="22"/>
                <w:szCs w:val="22"/>
                <w:lang w:eastAsia="en-IN"/>
              </w:rPr>
              <w:t>SkLM</w:t>
            </w:r>
            <w:proofErr w:type="spellEnd"/>
            <w:r w:rsidRPr="00236E38">
              <w:rPr>
                <w:rFonts w:asciiTheme="minorHAnsi" w:hAnsiTheme="minorHAnsi" w:cstheme="minorHAnsi"/>
                <w:color w:val="000000"/>
                <w:sz w:val="22"/>
                <w:szCs w:val="22"/>
                <w:lang w:eastAsia="en-IN"/>
              </w:rPr>
              <w:t xml:space="preserve"> + 3 Helpers/ Section</w:t>
            </w:r>
          </w:p>
        </w:tc>
        <w:tc>
          <w:tcPr>
            <w:tcW w:w="0" w:type="auto"/>
            <w:tcBorders>
              <w:top w:val="nil"/>
              <w:left w:val="nil"/>
              <w:bottom w:val="single" w:sz="4" w:space="0" w:color="auto"/>
              <w:right w:val="single" w:sz="4" w:space="0" w:color="auto"/>
            </w:tcBorders>
            <w:shd w:val="clear" w:color="auto" w:fill="auto"/>
            <w:vAlign w:val="center"/>
            <w:hideMark/>
          </w:tcPr>
          <w:p w14:paraId="5C926451" w14:textId="77777777" w:rsidR="00BB6BFE" w:rsidRPr="00236E38" w:rsidRDefault="00BB6BFE" w:rsidP="00236E38">
            <w:pPr>
              <w:spacing w:line="360" w:lineRule="auto"/>
              <w:jc w:val="center"/>
              <w:rPr>
                <w:rFonts w:asciiTheme="minorHAnsi" w:hAnsiTheme="minorHAnsi" w:cstheme="minorHAnsi"/>
                <w:color w:val="000000"/>
                <w:sz w:val="22"/>
                <w:szCs w:val="22"/>
                <w:lang w:eastAsia="en-IN"/>
              </w:rPr>
            </w:pPr>
            <w:r w:rsidRPr="00236E38">
              <w:rPr>
                <w:rFonts w:asciiTheme="minorHAnsi" w:hAnsiTheme="minorHAnsi" w:cstheme="minorHAnsi"/>
                <w:color w:val="000000"/>
                <w:sz w:val="22"/>
                <w:szCs w:val="22"/>
                <w:lang w:eastAsia="en-IN"/>
              </w:rPr>
              <w:t xml:space="preserve">1 </w:t>
            </w:r>
            <w:proofErr w:type="spellStart"/>
            <w:r w:rsidRPr="00236E38">
              <w:rPr>
                <w:rFonts w:asciiTheme="minorHAnsi" w:hAnsiTheme="minorHAnsi" w:cstheme="minorHAnsi"/>
                <w:color w:val="000000"/>
                <w:sz w:val="22"/>
                <w:szCs w:val="22"/>
                <w:lang w:eastAsia="en-IN"/>
              </w:rPr>
              <w:t>SkLM</w:t>
            </w:r>
            <w:proofErr w:type="spellEnd"/>
            <w:r w:rsidRPr="00236E38">
              <w:rPr>
                <w:rFonts w:asciiTheme="minorHAnsi" w:hAnsiTheme="minorHAnsi" w:cstheme="minorHAnsi"/>
                <w:color w:val="000000"/>
                <w:sz w:val="22"/>
                <w:szCs w:val="22"/>
                <w:lang w:eastAsia="en-IN"/>
              </w:rPr>
              <w:t xml:space="preserve"> + 1 Helper/Shift/Section in 3 Shifts</w:t>
            </w:r>
          </w:p>
        </w:tc>
        <w:tc>
          <w:tcPr>
            <w:tcW w:w="0" w:type="auto"/>
            <w:tcBorders>
              <w:top w:val="nil"/>
              <w:left w:val="nil"/>
              <w:bottom w:val="single" w:sz="4" w:space="0" w:color="auto"/>
              <w:right w:val="single" w:sz="4" w:space="0" w:color="auto"/>
            </w:tcBorders>
            <w:shd w:val="clear" w:color="auto" w:fill="auto"/>
            <w:vAlign w:val="center"/>
            <w:hideMark/>
          </w:tcPr>
          <w:p w14:paraId="771F58E8" w14:textId="77777777" w:rsidR="00BB6BFE" w:rsidRPr="00236E38" w:rsidRDefault="00BB6BFE" w:rsidP="00236E38">
            <w:pPr>
              <w:spacing w:line="360" w:lineRule="auto"/>
              <w:jc w:val="center"/>
              <w:rPr>
                <w:rFonts w:asciiTheme="minorHAnsi" w:hAnsiTheme="minorHAnsi" w:cstheme="minorHAnsi"/>
                <w:color w:val="000000"/>
                <w:sz w:val="22"/>
                <w:szCs w:val="22"/>
                <w:lang w:eastAsia="en-IN"/>
              </w:rPr>
            </w:pPr>
            <w:r w:rsidRPr="00236E38">
              <w:rPr>
                <w:rFonts w:asciiTheme="minorHAnsi" w:hAnsiTheme="minorHAnsi" w:cstheme="minorHAnsi"/>
                <w:color w:val="000000"/>
                <w:sz w:val="22"/>
                <w:szCs w:val="22"/>
                <w:lang w:eastAsia="en-IN"/>
              </w:rPr>
              <w:t>1/ Shift/ Section in 3 Shifts</w:t>
            </w:r>
          </w:p>
        </w:tc>
      </w:tr>
      <w:tr w:rsidR="00BB6BFE" w:rsidRPr="00236E38" w14:paraId="76F8AF70" w14:textId="77777777" w:rsidTr="00CE3EEE">
        <w:trPr>
          <w:trHeight w:val="959"/>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234C01C" w14:textId="77777777" w:rsidR="00BB6BFE" w:rsidRPr="00236E38" w:rsidRDefault="00BB6BFE" w:rsidP="00236E38">
            <w:pPr>
              <w:spacing w:line="360" w:lineRule="auto"/>
              <w:jc w:val="center"/>
              <w:rPr>
                <w:rFonts w:asciiTheme="minorHAnsi" w:hAnsiTheme="minorHAnsi" w:cstheme="minorHAnsi"/>
                <w:color w:val="000000"/>
                <w:sz w:val="22"/>
                <w:szCs w:val="22"/>
                <w:lang w:eastAsia="en-IN"/>
              </w:rPr>
            </w:pPr>
            <w:r w:rsidRPr="00236E38">
              <w:rPr>
                <w:rFonts w:asciiTheme="minorHAnsi" w:hAnsiTheme="minorHAnsi" w:cstheme="minorHAnsi"/>
                <w:color w:val="000000"/>
                <w:sz w:val="22"/>
                <w:szCs w:val="22"/>
                <w:lang w:eastAsia="en-IN"/>
              </w:rPr>
              <w:t>Rural</w:t>
            </w:r>
          </w:p>
        </w:tc>
        <w:tc>
          <w:tcPr>
            <w:tcW w:w="0" w:type="auto"/>
            <w:tcBorders>
              <w:top w:val="nil"/>
              <w:left w:val="nil"/>
              <w:bottom w:val="single" w:sz="4" w:space="0" w:color="auto"/>
              <w:right w:val="single" w:sz="4" w:space="0" w:color="auto"/>
            </w:tcBorders>
            <w:shd w:val="clear" w:color="auto" w:fill="auto"/>
            <w:vAlign w:val="center"/>
            <w:hideMark/>
          </w:tcPr>
          <w:p w14:paraId="1CBAE69D" w14:textId="77777777" w:rsidR="00BB6BFE" w:rsidRPr="00236E38" w:rsidRDefault="00BB6BFE" w:rsidP="00236E38">
            <w:pPr>
              <w:spacing w:line="360" w:lineRule="auto"/>
              <w:jc w:val="center"/>
              <w:rPr>
                <w:rFonts w:asciiTheme="minorHAnsi" w:hAnsiTheme="minorHAnsi" w:cstheme="minorHAnsi"/>
                <w:color w:val="000000"/>
                <w:sz w:val="22"/>
                <w:szCs w:val="22"/>
                <w:lang w:eastAsia="en-IN"/>
              </w:rPr>
            </w:pPr>
            <w:r w:rsidRPr="00236E38">
              <w:rPr>
                <w:rFonts w:asciiTheme="minorHAnsi" w:hAnsiTheme="minorHAnsi" w:cstheme="minorHAnsi"/>
                <w:color w:val="000000"/>
                <w:sz w:val="22"/>
                <w:szCs w:val="22"/>
                <w:lang w:eastAsia="en-IN"/>
              </w:rPr>
              <w:t>1/ Section</w:t>
            </w:r>
          </w:p>
        </w:tc>
        <w:tc>
          <w:tcPr>
            <w:tcW w:w="0" w:type="auto"/>
            <w:tcBorders>
              <w:top w:val="nil"/>
              <w:left w:val="nil"/>
              <w:bottom w:val="single" w:sz="4" w:space="0" w:color="auto"/>
              <w:right w:val="single" w:sz="4" w:space="0" w:color="auto"/>
            </w:tcBorders>
            <w:shd w:val="clear" w:color="auto" w:fill="auto"/>
            <w:vAlign w:val="center"/>
            <w:hideMark/>
          </w:tcPr>
          <w:p w14:paraId="492DD2DA" w14:textId="77777777" w:rsidR="00BB6BFE" w:rsidRPr="00236E38" w:rsidRDefault="00BB6BFE" w:rsidP="00236E38">
            <w:pPr>
              <w:spacing w:line="360" w:lineRule="auto"/>
              <w:jc w:val="center"/>
              <w:rPr>
                <w:rFonts w:asciiTheme="minorHAnsi" w:hAnsiTheme="minorHAnsi" w:cstheme="minorHAnsi"/>
                <w:color w:val="000000"/>
                <w:sz w:val="22"/>
                <w:szCs w:val="22"/>
                <w:lang w:eastAsia="en-IN"/>
              </w:rPr>
            </w:pPr>
            <w:r w:rsidRPr="00236E38">
              <w:rPr>
                <w:rFonts w:asciiTheme="minorHAnsi" w:hAnsiTheme="minorHAnsi" w:cstheme="minorHAnsi"/>
                <w:color w:val="000000"/>
                <w:sz w:val="22"/>
                <w:szCs w:val="22"/>
                <w:lang w:eastAsia="en-IN"/>
              </w:rPr>
              <w:t xml:space="preserve">1 </w:t>
            </w:r>
            <w:proofErr w:type="spellStart"/>
            <w:r w:rsidRPr="00236E38">
              <w:rPr>
                <w:rFonts w:asciiTheme="minorHAnsi" w:hAnsiTheme="minorHAnsi" w:cstheme="minorHAnsi"/>
                <w:color w:val="000000"/>
                <w:sz w:val="22"/>
                <w:szCs w:val="22"/>
                <w:lang w:eastAsia="en-IN"/>
              </w:rPr>
              <w:t>SkLM</w:t>
            </w:r>
            <w:proofErr w:type="spellEnd"/>
            <w:r w:rsidRPr="00236E38">
              <w:rPr>
                <w:rFonts w:asciiTheme="minorHAnsi" w:hAnsiTheme="minorHAnsi" w:cstheme="minorHAnsi"/>
                <w:color w:val="000000"/>
                <w:sz w:val="22"/>
                <w:szCs w:val="22"/>
                <w:lang w:eastAsia="en-IN"/>
              </w:rPr>
              <w:t xml:space="preserve"> + 1 Helper/Shift/FCC in 2 Shift</w:t>
            </w:r>
          </w:p>
        </w:tc>
        <w:tc>
          <w:tcPr>
            <w:tcW w:w="0" w:type="auto"/>
            <w:tcBorders>
              <w:top w:val="nil"/>
              <w:left w:val="nil"/>
              <w:bottom w:val="single" w:sz="4" w:space="0" w:color="auto"/>
              <w:right w:val="single" w:sz="4" w:space="0" w:color="auto"/>
            </w:tcBorders>
            <w:shd w:val="clear" w:color="auto" w:fill="auto"/>
            <w:vAlign w:val="center"/>
            <w:hideMark/>
          </w:tcPr>
          <w:p w14:paraId="7DFEC969" w14:textId="77777777" w:rsidR="00BB6BFE" w:rsidRPr="00236E38" w:rsidRDefault="00BB6BFE" w:rsidP="00236E38">
            <w:pPr>
              <w:spacing w:line="360" w:lineRule="auto"/>
              <w:jc w:val="center"/>
              <w:rPr>
                <w:rFonts w:asciiTheme="minorHAnsi" w:hAnsiTheme="minorHAnsi" w:cstheme="minorHAnsi"/>
                <w:color w:val="000000"/>
                <w:sz w:val="22"/>
                <w:szCs w:val="22"/>
                <w:lang w:eastAsia="en-IN"/>
              </w:rPr>
            </w:pPr>
            <w:r w:rsidRPr="00236E38">
              <w:rPr>
                <w:rFonts w:asciiTheme="minorHAnsi" w:hAnsiTheme="minorHAnsi" w:cstheme="minorHAnsi"/>
                <w:color w:val="000000"/>
                <w:sz w:val="22"/>
                <w:szCs w:val="22"/>
                <w:lang w:eastAsia="en-IN"/>
              </w:rPr>
              <w:t xml:space="preserve">3 </w:t>
            </w:r>
            <w:proofErr w:type="spellStart"/>
            <w:r w:rsidRPr="00236E38">
              <w:rPr>
                <w:rFonts w:asciiTheme="minorHAnsi" w:hAnsiTheme="minorHAnsi" w:cstheme="minorHAnsi"/>
                <w:color w:val="000000"/>
                <w:sz w:val="22"/>
                <w:szCs w:val="22"/>
                <w:lang w:eastAsia="en-IN"/>
              </w:rPr>
              <w:t>SkLM</w:t>
            </w:r>
            <w:proofErr w:type="spellEnd"/>
            <w:r w:rsidRPr="00236E38">
              <w:rPr>
                <w:rFonts w:asciiTheme="minorHAnsi" w:hAnsiTheme="minorHAnsi" w:cstheme="minorHAnsi"/>
                <w:color w:val="000000"/>
                <w:sz w:val="22"/>
                <w:szCs w:val="22"/>
                <w:lang w:eastAsia="en-IN"/>
              </w:rPr>
              <w:t xml:space="preserve"> + 3 Helpers/ Section</w:t>
            </w:r>
          </w:p>
        </w:tc>
        <w:tc>
          <w:tcPr>
            <w:tcW w:w="0" w:type="auto"/>
            <w:tcBorders>
              <w:top w:val="nil"/>
              <w:left w:val="nil"/>
              <w:bottom w:val="single" w:sz="4" w:space="0" w:color="auto"/>
              <w:right w:val="single" w:sz="4" w:space="0" w:color="auto"/>
            </w:tcBorders>
            <w:shd w:val="clear" w:color="auto" w:fill="auto"/>
            <w:vAlign w:val="center"/>
            <w:hideMark/>
          </w:tcPr>
          <w:p w14:paraId="3281C7A4" w14:textId="77777777" w:rsidR="00BB6BFE" w:rsidRPr="00236E38" w:rsidRDefault="00BB6BFE" w:rsidP="00236E38">
            <w:pPr>
              <w:spacing w:line="360" w:lineRule="auto"/>
              <w:jc w:val="center"/>
              <w:rPr>
                <w:rFonts w:asciiTheme="minorHAnsi" w:hAnsiTheme="minorHAnsi" w:cstheme="minorHAnsi"/>
                <w:color w:val="000000"/>
                <w:sz w:val="22"/>
                <w:szCs w:val="22"/>
                <w:lang w:eastAsia="en-IN"/>
              </w:rPr>
            </w:pPr>
            <w:r w:rsidRPr="00236E38">
              <w:rPr>
                <w:rFonts w:asciiTheme="minorHAnsi" w:hAnsiTheme="minorHAnsi" w:cstheme="minorHAnsi"/>
                <w:color w:val="000000"/>
                <w:sz w:val="22"/>
                <w:szCs w:val="22"/>
                <w:lang w:eastAsia="en-IN"/>
              </w:rPr>
              <w:t xml:space="preserve">1 </w:t>
            </w:r>
            <w:proofErr w:type="spellStart"/>
            <w:r w:rsidRPr="00236E38">
              <w:rPr>
                <w:rFonts w:asciiTheme="minorHAnsi" w:hAnsiTheme="minorHAnsi" w:cstheme="minorHAnsi"/>
                <w:color w:val="000000"/>
                <w:sz w:val="22"/>
                <w:szCs w:val="22"/>
                <w:lang w:eastAsia="en-IN"/>
              </w:rPr>
              <w:t>SkLM</w:t>
            </w:r>
            <w:proofErr w:type="spellEnd"/>
            <w:r w:rsidRPr="00236E38">
              <w:rPr>
                <w:rFonts w:asciiTheme="minorHAnsi" w:hAnsiTheme="minorHAnsi" w:cstheme="minorHAnsi"/>
                <w:color w:val="000000"/>
                <w:sz w:val="22"/>
                <w:szCs w:val="22"/>
                <w:lang w:eastAsia="en-IN"/>
              </w:rPr>
              <w:t xml:space="preserve"> + 1 Helper/Shift/Section in 2 Shifts</w:t>
            </w:r>
          </w:p>
        </w:tc>
        <w:tc>
          <w:tcPr>
            <w:tcW w:w="0" w:type="auto"/>
            <w:tcBorders>
              <w:top w:val="nil"/>
              <w:left w:val="nil"/>
              <w:bottom w:val="single" w:sz="4" w:space="0" w:color="auto"/>
              <w:right w:val="single" w:sz="4" w:space="0" w:color="auto"/>
            </w:tcBorders>
            <w:shd w:val="clear" w:color="auto" w:fill="auto"/>
            <w:vAlign w:val="center"/>
            <w:hideMark/>
          </w:tcPr>
          <w:p w14:paraId="37D4BA37" w14:textId="77777777" w:rsidR="00BB6BFE" w:rsidRPr="00236E38" w:rsidRDefault="00BB6BFE" w:rsidP="00236E38">
            <w:pPr>
              <w:spacing w:line="360" w:lineRule="auto"/>
              <w:jc w:val="center"/>
              <w:rPr>
                <w:rFonts w:asciiTheme="minorHAnsi" w:hAnsiTheme="minorHAnsi" w:cstheme="minorHAnsi"/>
                <w:color w:val="000000"/>
                <w:sz w:val="22"/>
                <w:szCs w:val="22"/>
                <w:lang w:eastAsia="en-IN"/>
              </w:rPr>
            </w:pPr>
            <w:r w:rsidRPr="00236E38">
              <w:rPr>
                <w:rFonts w:asciiTheme="minorHAnsi" w:hAnsiTheme="minorHAnsi" w:cstheme="minorHAnsi"/>
                <w:color w:val="000000"/>
                <w:sz w:val="22"/>
                <w:szCs w:val="22"/>
                <w:lang w:eastAsia="en-IN"/>
              </w:rPr>
              <w:t>1/ Shift/ Section in 2 Shifts</w:t>
            </w:r>
          </w:p>
        </w:tc>
      </w:tr>
      <w:tr w:rsidR="00BB6BFE" w:rsidRPr="00236E38" w14:paraId="70C0F2A1" w14:textId="77777777" w:rsidTr="00CE3EEE">
        <w:trPr>
          <w:trHeight w:val="535"/>
        </w:trPr>
        <w:tc>
          <w:tcPr>
            <w:tcW w:w="0" w:type="auto"/>
            <w:gridSpan w:val="6"/>
            <w:tcBorders>
              <w:top w:val="single" w:sz="4" w:space="0" w:color="auto"/>
              <w:left w:val="single" w:sz="4" w:space="0" w:color="auto"/>
              <w:bottom w:val="single" w:sz="4" w:space="0" w:color="auto"/>
              <w:right w:val="single" w:sz="4" w:space="0" w:color="auto"/>
            </w:tcBorders>
            <w:shd w:val="clear" w:color="auto" w:fill="8DB3E2" w:themeFill="text2" w:themeFillTint="66"/>
            <w:vAlign w:val="center"/>
            <w:hideMark/>
          </w:tcPr>
          <w:p w14:paraId="3D6F4543" w14:textId="77777777" w:rsidR="00BB6BFE" w:rsidRPr="00236E38" w:rsidRDefault="00BB6BFE" w:rsidP="00236E38">
            <w:pPr>
              <w:spacing w:line="360" w:lineRule="auto"/>
              <w:jc w:val="center"/>
              <w:rPr>
                <w:rFonts w:asciiTheme="minorHAnsi" w:hAnsiTheme="minorHAnsi" w:cstheme="minorHAnsi"/>
                <w:b/>
                <w:bCs/>
                <w:color w:val="FFFFFF"/>
                <w:sz w:val="22"/>
                <w:szCs w:val="22"/>
                <w:lang w:eastAsia="en-IN"/>
              </w:rPr>
            </w:pPr>
            <w:r w:rsidRPr="00CE3EEE">
              <w:rPr>
                <w:rFonts w:asciiTheme="minorHAnsi" w:hAnsiTheme="minorHAnsi" w:cstheme="minorHAnsi"/>
                <w:b/>
                <w:bCs/>
                <w:color w:val="000000" w:themeColor="text1"/>
                <w:sz w:val="22"/>
                <w:szCs w:val="22"/>
                <w:lang w:eastAsia="en-IN"/>
              </w:rPr>
              <w:t>Total 159 BA Supervisors, 2367 Skilled Lineman, 2367 Helpers and 362 Customer Service Executives</w:t>
            </w:r>
          </w:p>
        </w:tc>
      </w:tr>
    </w:tbl>
    <w:p w14:paraId="3528FBC8" w14:textId="77777777" w:rsidR="00BB6BFE" w:rsidRPr="00236E38" w:rsidRDefault="00BB6BFE" w:rsidP="00236E38">
      <w:pPr>
        <w:spacing w:line="360" w:lineRule="auto"/>
        <w:rPr>
          <w:rFonts w:asciiTheme="minorHAnsi" w:hAnsiTheme="minorHAnsi" w:cstheme="minorHAnsi"/>
          <w:b/>
          <w:color w:val="000000"/>
          <w:sz w:val="22"/>
          <w:szCs w:val="22"/>
          <w:lang w:eastAsia="en-IN"/>
        </w:rPr>
      </w:pPr>
    </w:p>
    <w:tbl>
      <w:tblPr>
        <w:tblW w:w="9783" w:type="dxa"/>
        <w:tblInd w:w="-5" w:type="dxa"/>
        <w:tblLook w:val="0600" w:firstRow="0" w:lastRow="0" w:firstColumn="0" w:lastColumn="0" w:noHBand="1" w:noVBand="1"/>
      </w:tblPr>
      <w:tblGrid>
        <w:gridCol w:w="1117"/>
        <w:gridCol w:w="1776"/>
        <w:gridCol w:w="2236"/>
        <w:gridCol w:w="2369"/>
        <w:gridCol w:w="2285"/>
      </w:tblGrid>
      <w:tr w:rsidR="00BB6BFE" w:rsidRPr="00236E38" w14:paraId="3B99ED2B" w14:textId="77777777" w:rsidTr="00CE3EEE">
        <w:trPr>
          <w:trHeight w:val="1404"/>
        </w:trPr>
        <w:tc>
          <w:tcPr>
            <w:tcW w:w="1117" w:type="dxa"/>
            <w:tcBorders>
              <w:top w:val="single" w:sz="4" w:space="0" w:color="auto"/>
              <w:left w:val="single" w:sz="4" w:space="0" w:color="auto"/>
              <w:bottom w:val="single" w:sz="4" w:space="0" w:color="auto"/>
              <w:right w:val="single" w:sz="4" w:space="0" w:color="auto"/>
            </w:tcBorders>
            <w:shd w:val="clear" w:color="auto" w:fill="8DB3E2" w:themeFill="text2" w:themeFillTint="66"/>
            <w:vAlign w:val="center"/>
            <w:hideMark/>
          </w:tcPr>
          <w:p w14:paraId="004FF3B6" w14:textId="77777777" w:rsidR="00BB6BFE" w:rsidRPr="00CE3EEE" w:rsidRDefault="00BB6BFE" w:rsidP="00236E38">
            <w:pPr>
              <w:spacing w:line="360" w:lineRule="auto"/>
              <w:jc w:val="center"/>
              <w:rPr>
                <w:rFonts w:asciiTheme="minorHAnsi" w:hAnsiTheme="minorHAnsi" w:cstheme="minorHAnsi"/>
                <w:b/>
                <w:bCs/>
                <w:color w:val="000000" w:themeColor="text1"/>
                <w:sz w:val="22"/>
                <w:szCs w:val="22"/>
                <w:lang w:eastAsia="en-IN"/>
              </w:rPr>
            </w:pPr>
            <w:r w:rsidRPr="00CE3EEE">
              <w:rPr>
                <w:rFonts w:asciiTheme="minorHAnsi" w:hAnsiTheme="minorHAnsi" w:cstheme="minorHAnsi"/>
                <w:b/>
                <w:bCs/>
                <w:color w:val="000000" w:themeColor="text1"/>
                <w:sz w:val="22"/>
                <w:szCs w:val="22"/>
                <w:lang w:eastAsia="en-IN"/>
              </w:rPr>
              <w:t>Location</w:t>
            </w:r>
          </w:p>
        </w:tc>
        <w:tc>
          <w:tcPr>
            <w:tcW w:w="1776" w:type="dxa"/>
            <w:tcBorders>
              <w:top w:val="single" w:sz="4" w:space="0" w:color="auto"/>
              <w:left w:val="nil"/>
              <w:bottom w:val="single" w:sz="4" w:space="0" w:color="auto"/>
              <w:right w:val="single" w:sz="4" w:space="0" w:color="auto"/>
            </w:tcBorders>
            <w:shd w:val="clear" w:color="auto" w:fill="8DB3E2" w:themeFill="text2" w:themeFillTint="66"/>
            <w:vAlign w:val="center"/>
            <w:hideMark/>
          </w:tcPr>
          <w:p w14:paraId="16454E9B" w14:textId="77777777" w:rsidR="00BB6BFE" w:rsidRPr="00CE3EEE" w:rsidRDefault="00BB6BFE" w:rsidP="00236E38">
            <w:pPr>
              <w:spacing w:line="360" w:lineRule="auto"/>
              <w:jc w:val="center"/>
              <w:rPr>
                <w:rFonts w:asciiTheme="minorHAnsi" w:hAnsiTheme="minorHAnsi" w:cstheme="minorHAnsi"/>
                <w:b/>
                <w:bCs/>
                <w:color w:val="000000" w:themeColor="text1"/>
                <w:sz w:val="22"/>
                <w:szCs w:val="22"/>
                <w:lang w:eastAsia="en-IN"/>
              </w:rPr>
            </w:pPr>
            <w:r w:rsidRPr="00CE3EEE">
              <w:rPr>
                <w:rFonts w:asciiTheme="minorHAnsi" w:hAnsiTheme="minorHAnsi" w:cstheme="minorHAnsi"/>
                <w:b/>
                <w:bCs/>
                <w:color w:val="000000" w:themeColor="text1"/>
                <w:sz w:val="22"/>
                <w:szCs w:val="22"/>
                <w:lang w:eastAsia="en-IN"/>
              </w:rPr>
              <w:t>Supervisor</w:t>
            </w:r>
          </w:p>
        </w:tc>
        <w:tc>
          <w:tcPr>
            <w:tcW w:w="2236" w:type="dxa"/>
            <w:tcBorders>
              <w:top w:val="single" w:sz="4" w:space="0" w:color="auto"/>
              <w:left w:val="nil"/>
              <w:bottom w:val="single" w:sz="4" w:space="0" w:color="auto"/>
              <w:right w:val="single" w:sz="4" w:space="0" w:color="auto"/>
            </w:tcBorders>
            <w:shd w:val="clear" w:color="auto" w:fill="8DB3E2" w:themeFill="text2" w:themeFillTint="66"/>
            <w:vAlign w:val="center"/>
            <w:hideMark/>
          </w:tcPr>
          <w:p w14:paraId="7BE560B4" w14:textId="77777777" w:rsidR="00BB6BFE" w:rsidRPr="00CE3EEE" w:rsidRDefault="00BB6BFE" w:rsidP="00236E38">
            <w:pPr>
              <w:spacing w:line="360" w:lineRule="auto"/>
              <w:jc w:val="center"/>
              <w:rPr>
                <w:rFonts w:asciiTheme="minorHAnsi" w:hAnsiTheme="minorHAnsi" w:cstheme="minorHAnsi"/>
                <w:b/>
                <w:bCs/>
                <w:color w:val="000000" w:themeColor="text1"/>
                <w:sz w:val="22"/>
                <w:szCs w:val="22"/>
                <w:lang w:eastAsia="en-IN"/>
              </w:rPr>
            </w:pPr>
            <w:r w:rsidRPr="00CE3EEE">
              <w:rPr>
                <w:rFonts w:asciiTheme="minorHAnsi" w:hAnsiTheme="minorHAnsi" w:cstheme="minorHAnsi"/>
                <w:b/>
                <w:bCs/>
                <w:color w:val="000000" w:themeColor="text1"/>
                <w:sz w:val="22"/>
                <w:szCs w:val="22"/>
                <w:lang w:eastAsia="en-IN"/>
              </w:rPr>
              <w:t>PSS Operator</w:t>
            </w:r>
          </w:p>
        </w:tc>
        <w:tc>
          <w:tcPr>
            <w:tcW w:w="2369" w:type="dxa"/>
            <w:tcBorders>
              <w:top w:val="single" w:sz="4" w:space="0" w:color="auto"/>
              <w:left w:val="nil"/>
              <w:bottom w:val="single" w:sz="4" w:space="0" w:color="auto"/>
              <w:right w:val="single" w:sz="4" w:space="0" w:color="auto"/>
            </w:tcBorders>
            <w:shd w:val="clear" w:color="auto" w:fill="8DB3E2" w:themeFill="text2" w:themeFillTint="66"/>
            <w:vAlign w:val="center"/>
            <w:hideMark/>
          </w:tcPr>
          <w:p w14:paraId="29BBE424" w14:textId="77777777" w:rsidR="00BB6BFE" w:rsidRPr="00CE3EEE" w:rsidRDefault="00BB6BFE" w:rsidP="00236E38">
            <w:pPr>
              <w:spacing w:line="360" w:lineRule="auto"/>
              <w:jc w:val="center"/>
              <w:rPr>
                <w:rFonts w:asciiTheme="minorHAnsi" w:hAnsiTheme="minorHAnsi" w:cstheme="minorHAnsi"/>
                <w:b/>
                <w:bCs/>
                <w:color w:val="000000" w:themeColor="text1"/>
                <w:sz w:val="22"/>
                <w:szCs w:val="22"/>
                <w:lang w:eastAsia="en-IN"/>
              </w:rPr>
            </w:pPr>
            <w:r w:rsidRPr="00CE3EEE">
              <w:rPr>
                <w:rFonts w:asciiTheme="minorHAnsi" w:hAnsiTheme="minorHAnsi" w:cstheme="minorHAnsi"/>
                <w:b/>
                <w:bCs/>
                <w:color w:val="000000" w:themeColor="text1"/>
                <w:sz w:val="22"/>
                <w:szCs w:val="22"/>
                <w:lang w:eastAsia="en-IN"/>
              </w:rPr>
              <w:t>Maintenance Gang - For Preventive Maintenance of 33kV Network</w:t>
            </w:r>
          </w:p>
        </w:tc>
        <w:tc>
          <w:tcPr>
            <w:tcW w:w="2285" w:type="dxa"/>
            <w:tcBorders>
              <w:top w:val="single" w:sz="4" w:space="0" w:color="auto"/>
              <w:left w:val="nil"/>
              <w:bottom w:val="single" w:sz="4" w:space="0" w:color="auto"/>
              <w:right w:val="single" w:sz="4" w:space="0" w:color="auto"/>
            </w:tcBorders>
            <w:shd w:val="clear" w:color="auto" w:fill="8DB3E2" w:themeFill="text2" w:themeFillTint="66"/>
            <w:vAlign w:val="center"/>
            <w:hideMark/>
          </w:tcPr>
          <w:p w14:paraId="282C03C9" w14:textId="77777777" w:rsidR="00BB6BFE" w:rsidRPr="00CE3EEE" w:rsidRDefault="00BB6BFE" w:rsidP="00236E38">
            <w:pPr>
              <w:spacing w:line="360" w:lineRule="auto"/>
              <w:jc w:val="center"/>
              <w:rPr>
                <w:rFonts w:asciiTheme="minorHAnsi" w:hAnsiTheme="minorHAnsi" w:cstheme="minorHAnsi"/>
                <w:b/>
                <w:bCs/>
                <w:color w:val="000000" w:themeColor="text1"/>
                <w:sz w:val="22"/>
                <w:szCs w:val="22"/>
                <w:lang w:eastAsia="en-IN"/>
              </w:rPr>
            </w:pPr>
            <w:r w:rsidRPr="00CE3EEE">
              <w:rPr>
                <w:rFonts w:asciiTheme="minorHAnsi" w:hAnsiTheme="minorHAnsi" w:cstheme="minorHAnsi"/>
                <w:b/>
                <w:bCs/>
                <w:color w:val="000000" w:themeColor="text1"/>
                <w:sz w:val="22"/>
                <w:szCs w:val="22"/>
                <w:lang w:eastAsia="en-IN"/>
              </w:rPr>
              <w:t>Breakdown Gang - For attending 33kV Breakdown</w:t>
            </w:r>
          </w:p>
        </w:tc>
      </w:tr>
      <w:tr w:rsidR="00BB6BFE" w:rsidRPr="00236E38" w14:paraId="1D85CD38" w14:textId="77777777" w:rsidTr="00CE3EEE">
        <w:trPr>
          <w:trHeight w:val="1110"/>
        </w:trPr>
        <w:tc>
          <w:tcPr>
            <w:tcW w:w="1117" w:type="dxa"/>
            <w:vMerge w:val="restart"/>
            <w:tcBorders>
              <w:top w:val="nil"/>
              <w:left w:val="single" w:sz="4" w:space="0" w:color="auto"/>
              <w:bottom w:val="single" w:sz="4" w:space="0" w:color="auto"/>
              <w:right w:val="single" w:sz="4" w:space="0" w:color="auto"/>
            </w:tcBorders>
            <w:shd w:val="clear" w:color="auto" w:fill="auto"/>
            <w:vAlign w:val="center"/>
            <w:hideMark/>
          </w:tcPr>
          <w:p w14:paraId="1B2C5879" w14:textId="77777777" w:rsidR="00BB6BFE" w:rsidRPr="00236E38" w:rsidRDefault="00BB6BFE" w:rsidP="00236E38">
            <w:pPr>
              <w:spacing w:line="360" w:lineRule="auto"/>
              <w:jc w:val="center"/>
              <w:rPr>
                <w:rFonts w:asciiTheme="minorHAnsi" w:hAnsiTheme="minorHAnsi" w:cstheme="minorHAnsi"/>
                <w:color w:val="000000"/>
                <w:sz w:val="22"/>
                <w:szCs w:val="22"/>
                <w:lang w:eastAsia="en-IN"/>
              </w:rPr>
            </w:pPr>
            <w:r w:rsidRPr="00236E38">
              <w:rPr>
                <w:rFonts w:asciiTheme="minorHAnsi" w:hAnsiTheme="minorHAnsi" w:cstheme="minorHAnsi"/>
                <w:color w:val="000000"/>
                <w:sz w:val="22"/>
                <w:szCs w:val="22"/>
                <w:lang w:eastAsia="en-IN"/>
              </w:rPr>
              <w:t>Circle</w:t>
            </w:r>
          </w:p>
        </w:tc>
        <w:tc>
          <w:tcPr>
            <w:tcW w:w="1776" w:type="dxa"/>
            <w:vMerge w:val="restart"/>
            <w:tcBorders>
              <w:top w:val="nil"/>
              <w:left w:val="single" w:sz="4" w:space="0" w:color="auto"/>
              <w:bottom w:val="single" w:sz="4" w:space="0" w:color="auto"/>
              <w:right w:val="single" w:sz="4" w:space="0" w:color="auto"/>
            </w:tcBorders>
            <w:shd w:val="clear" w:color="auto" w:fill="auto"/>
            <w:vAlign w:val="center"/>
            <w:hideMark/>
          </w:tcPr>
          <w:p w14:paraId="0F4AE93C" w14:textId="77777777" w:rsidR="00BB6BFE" w:rsidRPr="00236E38" w:rsidRDefault="00BB6BFE" w:rsidP="00236E38">
            <w:pPr>
              <w:spacing w:line="360" w:lineRule="auto"/>
              <w:jc w:val="center"/>
              <w:rPr>
                <w:rFonts w:asciiTheme="minorHAnsi" w:hAnsiTheme="minorHAnsi" w:cstheme="minorHAnsi"/>
                <w:color w:val="000000"/>
                <w:sz w:val="22"/>
                <w:szCs w:val="22"/>
                <w:lang w:eastAsia="en-IN"/>
              </w:rPr>
            </w:pPr>
            <w:r w:rsidRPr="00236E38">
              <w:rPr>
                <w:rFonts w:asciiTheme="minorHAnsi" w:hAnsiTheme="minorHAnsi" w:cstheme="minorHAnsi"/>
                <w:color w:val="000000"/>
                <w:sz w:val="22"/>
                <w:szCs w:val="22"/>
                <w:lang w:eastAsia="en-IN"/>
              </w:rPr>
              <w:t>Nil</w:t>
            </w:r>
          </w:p>
        </w:tc>
        <w:tc>
          <w:tcPr>
            <w:tcW w:w="2236" w:type="dxa"/>
            <w:vMerge w:val="restart"/>
            <w:tcBorders>
              <w:top w:val="nil"/>
              <w:left w:val="single" w:sz="4" w:space="0" w:color="auto"/>
              <w:bottom w:val="single" w:sz="4" w:space="0" w:color="auto"/>
              <w:right w:val="single" w:sz="4" w:space="0" w:color="auto"/>
            </w:tcBorders>
            <w:shd w:val="clear" w:color="auto" w:fill="auto"/>
            <w:vAlign w:val="center"/>
            <w:hideMark/>
          </w:tcPr>
          <w:p w14:paraId="47E25D04" w14:textId="77777777" w:rsidR="00BB6BFE" w:rsidRPr="00236E38" w:rsidRDefault="00BB6BFE" w:rsidP="00236E38">
            <w:pPr>
              <w:spacing w:line="360" w:lineRule="auto"/>
              <w:jc w:val="center"/>
              <w:rPr>
                <w:rFonts w:asciiTheme="minorHAnsi" w:hAnsiTheme="minorHAnsi" w:cstheme="minorHAnsi"/>
                <w:color w:val="000000"/>
                <w:sz w:val="22"/>
                <w:szCs w:val="22"/>
                <w:lang w:eastAsia="en-IN"/>
              </w:rPr>
            </w:pPr>
            <w:r w:rsidRPr="00236E38">
              <w:rPr>
                <w:rFonts w:asciiTheme="minorHAnsi" w:hAnsiTheme="minorHAnsi" w:cstheme="minorHAnsi"/>
                <w:color w:val="000000"/>
                <w:sz w:val="22"/>
                <w:szCs w:val="22"/>
                <w:lang w:eastAsia="en-IN"/>
              </w:rPr>
              <w:t xml:space="preserve">1 </w:t>
            </w:r>
            <w:proofErr w:type="spellStart"/>
            <w:r w:rsidRPr="00236E38">
              <w:rPr>
                <w:rFonts w:asciiTheme="minorHAnsi" w:hAnsiTheme="minorHAnsi" w:cstheme="minorHAnsi"/>
                <w:color w:val="000000"/>
                <w:sz w:val="22"/>
                <w:szCs w:val="22"/>
                <w:lang w:eastAsia="en-IN"/>
              </w:rPr>
              <w:t>SkLM</w:t>
            </w:r>
            <w:proofErr w:type="spellEnd"/>
            <w:r w:rsidRPr="00236E38">
              <w:rPr>
                <w:rFonts w:asciiTheme="minorHAnsi" w:hAnsiTheme="minorHAnsi" w:cstheme="minorHAnsi"/>
                <w:color w:val="000000"/>
                <w:sz w:val="22"/>
                <w:szCs w:val="22"/>
                <w:lang w:eastAsia="en-IN"/>
              </w:rPr>
              <w:t xml:space="preserve"> + 1 Helper/Shift/PSS in 3 Shift</w:t>
            </w:r>
          </w:p>
        </w:tc>
        <w:tc>
          <w:tcPr>
            <w:tcW w:w="2369" w:type="dxa"/>
            <w:tcBorders>
              <w:top w:val="nil"/>
              <w:left w:val="nil"/>
              <w:bottom w:val="single" w:sz="4" w:space="0" w:color="auto"/>
              <w:right w:val="single" w:sz="4" w:space="0" w:color="auto"/>
            </w:tcBorders>
            <w:shd w:val="clear" w:color="auto" w:fill="auto"/>
            <w:vAlign w:val="center"/>
            <w:hideMark/>
          </w:tcPr>
          <w:p w14:paraId="52174176" w14:textId="77777777" w:rsidR="00BB6BFE" w:rsidRPr="00236E38" w:rsidRDefault="00BB6BFE" w:rsidP="00236E38">
            <w:pPr>
              <w:spacing w:line="360" w:lineRule="auto"/>
              <w:jc w:val="center"/>
              <w:rPr>
                <w:rFonts w:asciiTheme="minorHAnsi" w:hAnsiTheme="minorHAnsi" w:cstheme="minorHAnsi"/>
                <w:color w:val="000000"/>
                <w:sz w:val="22"/>
                <w:szCs w:val="22"/>
                <w:lang w:eastAsia="en-IN"/>
              </w:rPr>
            </w:pPr>
            <w:r w:rsidRPr="00236E38">
              <w:rPr>
                <w:rFonts w:asciiTheme="minorHAnsi" w:hAnsiTheme="minorHAnsi" w:cstheme="minorHAnsi"/>
                <w:color w:val="000000"/>
                <w:sz w:val="22"/>
                <w:szCs w:val="22"/>
                <w:lang w:eastAsia="en-IN"/>
              </w:rPr>
              <w:t>Nil</w:t>
            </w:r>
          </w:p>
        </w:tc>
        <w:tc>
          <w:tcPr>
            <w:tcW w:w="2285" w:type="dxa"/>
            <w:tcBorders>
              <w:top w:val="nil"/>
              <w:left w:val="nil"/>
              <w:bottom w:val="single" w:sz="4" w:space="0" w:color="auto"/>
              <w:right w:val="single" w:sz="4" w:space="0" w:color="auto"/>
            </w:tcBorders>
            <w:shd w:val="clear" w:color="auto" w:fill="auto"/>
            <w:vAlign w:val="center"/>
            <w:hideMark/>
          </w:tcPr>
          <w:p w14:paraId="613731FE" w14:textId="77777777" w:rsidR="00BB6BFE" w:rsidRPr="00236E38" w:rsidRDefault="00BB6BFE" w:rsidP="00236E38">
            <w:pPr>
              <w:spacing w:line="360" w:lineRule="auto"/>
              <w:jc w:val="center"/>
              <w:rPr>
                <w:rFonts w:asciiTheme="minorHAnsi" w:hAnsiTheme="minorHAnsi" w:cstheme="minorHAnsi"/>
                <w:color w:val="000000"/>
                <w:sz w:val="22"/>
                <w:szCs w:val="22"/>
                <w:lang w:eastAsia="en-IN"/>
              </w:rPr>
            </w:pPr>
            <w:r w:rsidRPr="00236E38">
              <w:rPr>
                <w:rFonts w:asciiTheme="minorHAnsi" w:hAnsiTheme="minorHAnsi" w:cstheme="minorHAnsi"/>
                <w:color w:val="000000"/>
                <w:sz w:val="22"/>
                <w:szCs w:val="22"/>
                <w:lang w:eastAsia="en-IN"/>
              </w:rPr>
              <w:t xml:space="preserve">2 </w:t>
            </w:r>
            <w:proofErr w:type="spellStart"/>
            <w:r w:rsidRPr="00236E38">
              <w:rPr>
                <w:rFonts w:asciiTheme="minorHAnsi" w:hAnsiTheme="minorHAnsi" w:cstheme="minorHAnsi"/>
                <w:color w:val="000000"/>
                <w:sz w:val="22"/>
                <w:szCs w:val="22"/>
                <w:lang w:eastAsia="en-IN"/>
              </w:rPr>
              <w:t>SkLM</w:t>
            </w:r>
            <w:proofErr w:type="spellEnd"/>
            <w:r w:rsidRPr="00236E38">
              <w:rPr>
                <w:rFonts w:asciiTheme="minorHAnsi" w:hAnsiTheme="minorHAnsi" w:cstheme="minorHAnsi"/>
                <w:color w:val="000000"/>
                <w:sz w:val="22"/>
                <w:szCs w:val="22"/>
                <w:lang w:eastAsia="en-IN"/>
              </w:rPr>
              <w:t xml:space="preserve"> + 1 Helpers/ Circle/Shift</w:t>
            </w:r>
          </w:p>
        </w:tc>
      </w:tr>
      <w:tr w:rsidR="00BB6BFE" w:rsidRPr="00236E38" w14:paraId="33ED3168" w14:textId="77777777" w:rsidTr="00CE3EEE">
        <w:trPr>
          <w:trHeight w:val="479"/>
        </w:trPr>
        <w:tc>
          <w:tcPr>
            <w:tcW w:w="1117" w:type="dxa"/>
            <w:vMerge/>
            <w:tcBorders>
              <w:top w:val="nil"/>
              <w:left w:val="single" w:sz="4" w:space="0" w:color="auto"/>
              <w:bottom w:val="single" w:sz="4" w:space="0" w:color="auto"/>
              <w:right w:val="single" w:sz="4" w:space="0" w:color="auto"/>
            </w:tcBorders>
            <w:vAlign w:val="center"/>
            <w:hideMark/>
          </w:tcPr>
          <w:p w14:paraId="311E9F0F" w14:textId="77777777" w:rsidR="00BB6BFE" w:rsidRPr="00236E38" w:rsidRDefault="00BB6BFE" w:rsidP="00236E38">
            <w:pPr>
              <w:spacing w:line="360" w:lineRule="auto"/>
              <w:rPr>
                <w:rFonts w:asciiTheme="minorHAnsi" w:hAnsiTheme="minorHAnsi" w:cstheme="minorHAnsi"/>
                <w:color w:val="000000"/>
                <w:sz w:val="22"/>
                <w:szCs w:val="22"/>
                <w:lang w:eastAsia="en-IN"/>
              </w:rPr>
            </w:pPr>
          </w:p>
        </w:tc>
        <w:tc>
          <w:tcPr>
            <w:tcW w:w="1776" w:type="dxa"/>
            <w:vMerge/>
            <w:tcBorders>
              <w:top w:val="nil"/>
              <w:left w:val="single" w:sz="4" w:space="0" w:color="auto"/>
              <w:bottom w:val="single" w:sz="4" w:space="0" w:color="auto"/>
              <w:right w:val="single" w:sz="4" w:space="0" w:color="auto"/>
            </w:tcBorders>
            <w:vAlign w:val="center"/>
            <w:hideMark/>
          </w:tcPr>
          <w:p w14:paraId="7EC8C163" w14:textId="77777777" w:rsidR="00BB6BFE" w:rsidRPr="00236E38" w:rsidRDefault="00BB6BFE" w:rsidP="00236E38">
            <w:pPr>
              <w:spacing w:line="360" w:lineRule="auto"/>
              <w:rPr>
                <w:rFonts w:asciiTheme="minorHAnsi" w:hAnsiTheme="minorHAnsi" w:cstheme="minorHAnsi"/>
                <w:color w:val="000000"/>
                <w:sz w:val="22"/>
                <w:szCs w:val="22"/>
                <w:lang w:eastAsia="en-IN"/>
              </w:rPr>
            </w:pPr>
          </w:p>
        </w:tc>
        <w:tc>
          <w:tcPr>
            <w:tcW w:w="2236" w:type="dxa"/>
            <w:vMerge/>
            <w:tcBorders>
              <w:top w:val="nil"/>
              <w:left w:val="single" w:sz="4" w:space="0" w:color="auto"/>
              <w:bottom w:val="single" w:sz="4" w:space="0" w:color="auto"/>
              <w:right w:val="single" w:sz="4" w:space="0" w:color="auto"/>
            </w:tcBorders>
            <w:vAlign w:val="center"/>
            <w:hideMark/>
          </w:tcPr>
          <w:p w14:paraId="76AFE2FB" w14:textId="77777777" w:rsidR="00BB6BFE" w:rsidRPr="00236E38" w:rsidRDefault="00BB6BFE" w:rsidP="00236E38">
            <w:pPr>
              <w:spacing w:line="360" w:lineRule="auto"/>
              <w:rPr>
                <w:rFonts w:asciiTheme="minorHAnsi" w:hAnsiTheme="minorHAnsi" w:cstheme="minorHAnsi"/>
                <w:color w:val="000000"/>
                <w:sz w:val="22"/>
                <w:szCs w:val="22"/>
                <w:lang w:eastAsia="en-IN"/>
              </w:rPr>
            </w:pPr>
          </w:p>
        </w:tc>
        <w:tc>
          <w:tcPr>
            <w:tcW w:w="2369" w:type="dxa"/>
            <w:vMerge w:val="restart"/>
            <w:tcBorders>
              <w:top w:val="nil"/>
              <w:left w:val="single" w:sz="4" w:space="0" w:color="auto"/>
              <w:bottom w:val="single" w:sz="4" w:space="0" w:color="auto"/>
              <w:right w:val="single" w:sz="4" w:space="0" w:color="auto"/>
            </w:tcBorders>
            <w:shd w:val="clear" w:color="auto" w:fill="auto"/>
            <w:vAlign w:val="center"/>
            <w:hideMark/>
          </w:tcPr>
          <w:p w14:paraId="54A3A64D" w14:textId="77777777" w:rsidR="00BB6BFE" w:rsidRPr="00236E38" w:rsidRDefault="00BB6BFE" w:rsidP="00236E38">
            <w:pPr>
              <w:spacing w:line="360" w:lineRule="auto"/>
              <w:jc w:val="center"/>
              <w:rPr>
                <w:rFonts w:asciiTheme="minorHAnsi" w:hAnsiTheme="minorHAnsi" w:cstheme="minorHAnsi"/>
                <w:color w:val="000000"/>
                <w:sz w:val="22"/>
                <w:szCs w:val="22"/>
                <w:lang w:eastAsia="en-IN"/>
              </w:rPr>
            </w:pPr>
            <w:r w:rsidRPr="00236E38">
              <w:rPr>
                <w:rFonts w:asciiTheme="minorHAnsi" w:hAnsiTheme="minorHAnsi" w:cstheme="minorHAnsi"/>
                <w:color w:val="000000"/>
                <w:sz w:val="22"/>
                <w:szCs w:val="22"/>
                <w:lang w:eastAsia="en-IN"/>
              </w:rPr>
              <w:t xml:space="preserve">4 </w:t>
            </w:r>
            <w:proofErr w:type="spellStart"/>
            <w:r w:rsidRPr="00236E38">
              <w:rPr>
                <w:rFonts w:asciiTheme="minorHAnsi" w:hAnsiTheme="minorHAnsi" w:cstheme="minorHAnsi"/>
                <w:color w:val="000000"/>
                <w:sz w:val="22"/>
                <w:szCs w:val="22"/>
                <w:lang w:eastAsia="en-IN"/>
              </w:rPr>
              <w:t>SkLM</w:t>
            </w:r>
            <w:proofErr w:type="spellEnd"/>
            <w:r w:rsidRPr="00236E38">
              <w:rPr>
                <w:rFonts w:asciiTheme="minorHAnsi" w:hAnsiTheme="minorHAnsi" w:cstheme="minorHAnsi"/>
                <w:color w:val="000000"/>
                <w:sz w:val="22"/>
                <w:szCs w:val="22"/>
                <w:lang w:eastAsia="en-IN"/>
              </w:rPr>
              <w:t xml:space="preserve"> + 3 Helper/Division</w:t>
            </w:r>
          </w:p>
        </w:tc>
        <w:tc>
          <w:tcPr>
            <w:tcW w:w="2285" w:type="dxa"/>
            <w:vMerge w:val="restart"/>
            <w:tcBorders>
              <w:top w:val="nil"/>
              <w:left w:val="single" w:sz="4" w:space="0" w:color="auto"/>
              <w:bottom w:val="single" w:sz="4" w:space="0" w:color="auto"/>
              <w:right w:val="single" w:sz="4" w:space="0" w:color="auto"/>
            </w:tcBorders>
            <w:shd w:val="clear" w:color="auto" w:fill="auto"/>
            <w:vAlign w:val="center"/>
            <w:hideMark/>
          </w:tcPr>
          <w:p w14:paraId="252FC033" w14:textId="77777777" w:rsidR="00BB6BFE" w:rsidRPr="00236E38" w:rsidRDefault="00BB6BFE" w:rsidP="00236E38">
            <w:pPr>
              <w:spacing w:line="360" w:lineRule="auto"/>
              <w:jc w:val="center"/>
              <w:rPr>
                <w:rFonts w:asciiTheme="minorHAnsi" w:hAnsiTheme="minorHAnsi" w:cstheme="minorHAnsi"/>
                <w:color w:val="000000"/>
                <w:sz w:val="22"/>
                <w:szCs w:val="22"/>
                <w:lang w:eastAsia="en-IN"/>
              </w:rPr>
            </w:pPr>
            <w:r w:rsidRPr="00236E38">
              <w:rPr>
                <w:rFonts w:asciiTheme="minorHAnsi" w:hAnsiTheme="minorHAnsi" w:cstheme="minorHAnsi"/>
                <w:color w:val="000000"/>
                <w:sz w:val="22"/>
                <w:szCs w:val="22"/>
                <w:lang w:eastAsia="en-IN"/>
              </w:rPr>
              <w:t>Nil</w:t>
            </w:r>
          </w:p>
        </w:tc>
      </w:tr>
      <w:tr w:rsidR="00BB6BFE" w:rsidRPr="00236E38" w14:paraId="227AA4B5" w14:textId="77777777" w:rsidTr="00CE3EEE">
        <w:trPr>
          <w:trHeight w:val="548"/>
        </w:trPr>
        <w:tc>
          <w:tcPr>
            <w:tcW w:w="1117" w:type="dxa"/>
            <w:tcBorders>
              <w:top w:val="nil"/>
              <w:left w:val="single" w:sz="4" w:space="0" w:color="auto"/>
              <w:bottom w:val="single" w:sz="4" w:space="0" w:color="auto"/>
              <w:right w:val="single" w:sz="4" w:space="0" w:color="auto"/>
            </w:tcBorders>
            <w:shd w:val="clear" w:color="auto" w:fill="auto"/>
            <w:vAlign w:val="center"/>
            <w:hideMark/>
          </w:tcPr>
          <w:p w14:paraId="2D8D2432" w14:textId="77777777" w:rsidR="00BB6BFE" w:rsidRPr="00236E38" w:rsidRDefault="00BB6BFE" w:rsidP="00236E38">
            <w:pPr>
              <w:spacing w:line="360" w:lineRule="auto"/>
              <w:jc w:val="center"/>
              <w:rPr>
                <w:rFonts w:asciiTheme="minorHAnsi" w:hAnsiTheme="minorHAnsi" w:cstheme="minorHAnsi"/>
                <w:color w:val="000000"/>
                <w:sz w:val="22"/>
                <w:szCs w:val="22"/>
                <w:lang w:eastAsia="en-IN"/>
              </w:rPr>
            </w:pPr>
            <w:r w:rsidRPr="00236E38">
              <w:rPr>
                <w:rFonts w:asciiTheme="minorHAnsi" w:hAnsiTheme="minorHAnsi" w:cstheme="minorHAnsi"/>
                <w:color w:val="000000"/>
                <w:sz w:val="22"/>
                <w:szCs w:val="22"/>
                <w:lang w:eastAsia="en-IN"/>
              </w:rPr>
              <w:t>Division</w:t>
            </w:r>
          </w:p>
        </w:tc>
        <w:tc>
          <w:tcPr>
            <w:tcW w:w="1776" w:type="dxa"/>
            <w:tcBorders>
              <w:top w:val="nil"/>
              <w:left w:val="nil"/>
              <w:bottom w:val="single" w:sz="4" w:space="0" w:color="auto"/>
              <w:right w:val="single" w:sz="4" w:space="0" w:color="auto"/>
            </w:tcBorders>
            <w:shd w:val="clear" w:color="auto" w:fill="auto"/>
            <w:vAlign w:val="center"/>
            <w:hideMark/>
          </w:tcPr>
          <w:p w14:paraId="1AB25B99" w14:textId="77777777" w:rsidR="00BB6BFE" w:rsidRPr="00236E38" w:rsidRDefault="00BB6BFE" w:rsidP="00236E38">
            <w:pPr>
              <w:spacing w:line="360" w:lineRule="auto"/>
              <w:jc w:val="center"/>
              <w:rPr>
                <w:rFonts w:asciiTheme="minorHAnsi" w:hAnsiTheme="minorHAnsi" w:cstheme="minorHAnsi"/>
                <w:color w:val="000000"/>
                <w:sz w:val="22"/>
                <w:szCs w:val="22"/>
                <w:lang w:eastAsia="en-IN"/>
              </w:rPr>
            </w:pPr>
            <w:r w:rsidRPr="00236E38">
              <w:rPr>
                <w:rFonts w:asciiTheme="minorHAnsi" w:hAnsiTheme="minorHAnsi" w:cstheme="minorHAnsi"/>
                <w:color w:val="000000"/>
                <w:sz w:val="22"/>
                <w:szCs w:val="22"/>
                <w:lang w:eastAsia="en-IN"/>
              </w:rPr>
              <w:t>1/Division</w:t>
            </w:r>
          </w:p>
        </w:tc>
        <w:tc>
          <w:tcPr>
            <w:tcW w:w="2236" w:type="dxa"/>
            <w:vMerge/>
            <w:tcBorders>
              <w:top w:val="nil"/>
              <w:left w:val="single" w:sz="4" w:space="0" w:color="auto"/>
              <w:bottom w:val="single" w:sz="4" w:space="0" w:color="auto"/>
              <w:right w:val="single" w:sz="4" w:space="0" w:color="auto"/>
            </w:tcBorders>
            <w:vAlign w:val="center"/>
            <w:hideMark/>
          </w:tcPr>
          <w:p w14:paraId="4770B05B" w14:textId="77777777" w:rsidR="00BB6BFE" w:rsidRPr="00236E38" w:rsidRDefault="00BB6BFE" w:rsidP="00236E38">
            <w:pPr>
              <w:spacing w:line="360" w:lineRule="auto"/>
              <w:rPr>
                <w:rFonts w:asciiTheme="minorHAnsi" w:hAnsiTheme="minorHAnsi" w:cstheme="minorHAnsi"/>
                <w:color w:val="000000"/>
                <w:sz w:val="22"/>
                <w:szCs w:val="22"/>
                <w:lang w:eastAsia="en-IN"/>
              </w:rPr>
            </w:pPr>
          </w:p>
        </w:tc>
        <w:tc>
          <w:tcPr>
            <w:tcW w:w="2369" w:type="dxa"/>
            <w:vMerge/>
            <w:tcBorders>
              <w:top w:val="nil"/>
              <w:left w:val="single" w:sz="4" w:space="0" w:color="auto"/>
              <w:bottom w:val="single" w:sz="4" w:space="0" w:color="auto"/>
              <w:right w:val="single" w:sz="4" w:space="0" w:color="auto"/>
            </w:tcBorders>
            <w:vAlign w:val="center"/>
            <w:hideMark/>
          </w:tcPr>
          <w:p w14:paraId="492A809B" w14:textId="77777777" w:rsidR="00BB6BFE" w:rsidRPr="00236E38" w:rsidRDefault="00BB6BFE" w:rsidP="00236E38">
            <w:pPr>
              <w:spacing w:line="360" w:lineRule="auto"/>
              <w:rPr>
                <w:rFonts w:asciiTheme="minorHAnsi" w:hAnsiTheme="minorHAnsi" w:cstheme="minorHAnsi"/>
                <w:color w:val="000000"/>
                <w:sz w:val="22"/>
                <w:szCs w:val="22"/>
                <w:lang w:eastAsia="en-IN"/>
              </w:rPr>
            </w:pPr>
          </w:p>
        </w:tc>
        <w:tc>
          <w:tcPr>
            <w:tcW w:w="2285" w:type="dxa"/>
            <w:vMerge/>
            <w:tcBorders>
              <w:top w:val="nil"/>
              <w:left w:val="single" w:sz="4" w:space="0" w:color="auto"/>
              <w:bottom w:val="single" w:sz="4" w:space="0" w:color="auto"/>
              <w:right w:val="single" w:sz="4" w:space="0" w:color="auto"/>
            </w:tcBorders>
            <w:vAlign w:val="center"/>
            <w:hideMark/>
          </w:tcPr>
          <w:p w14:paraId="7E948336" w14:textId="77777777" w:rsidR="00BB6BFE" w:rsidRPr="00236E38" w:rsidRDefault="00BB6BFE" w:rsidP="00236E38">
            <w:pPr>
              <w:spacing w:line="360" w:lineRule="auto"/>
              <w:rPr>
                <w:rFonts w:asciiTheme="minorHAnsi" w:hAnsiTheme="minorHAnsi" w:cstheme="minorHAnsi"/>
                <w:color w:val="000000"/>
                <w:sz w:val="22"/>
                <w:szCs w:val="22"/>
                <w:lang w:eastAsia="en-IN"/>
              </w:rPr>
            </w:pPr>
          </w:p>
        </w:tc>
      </w:tr>
      <w:tr w:rsidR="00BB6BFE" w:rsidRPr="00236E38" w14:paraId="5CC50284" w14:textId="77777777" w:rsidTr="00CE3EEE">
        <w:trPr>
          <w:trHeight w:val="416"/>
        </w:trPr>
        <w:tc>
          <w:tcPr>
            <w:tcW w:w="9783" w:type="dxa"/>
            <w:gridSpan w:val="5"/>
            <w:tcBorders>
              <w:top w:val="single" w:sz="4" w:space="0" w:color="auto"/>
              <w:left w:val="single" w:sz="4" w:space="0" w:color="auto"/>
              <w:bottom w:val="single" w:sz="4" w:space="0" w:color="auto"/>
              <w:right w:val="single" w:sz="4" w:space="0" w:color="auto"/>
            </w:tcBorders>
            <w:shd w:val="clear" w:color="auto" w:fill="8DB3E2" w:themeFill="text2" w:themeFillTint="66"/>
            <w:vAlign w:val="center"/>
            <w:hideMark/>
          </w:tcPr>
          <w:p w14:paraId="560D716B" w14:textId="77777777" w:rsidR="00BB6BFE" w:rsidRPr="00236E38" w:rsidRDefault="00BB6BFE" w:rsidP="00236E38">
            <w:pPr>
              <w:spacing w:line="360" w:lineRule="auto"/>
              <w:jc w:val="center"/>
              <w:rPr>
                <w:rFonts w:asciiTheme="minorHAnsi" w:hAnsiTheme="minorHAnsi" w:cstheme="minorHAnsi"/>
                <w:b/>
                <w:bCs/>
                <w:color w:val="FFFFFF"/>
                <w:sz w:val="22"/>
                <w:szCs w:val="22"/>
                <w:lang w:eastAsia="en-IN"/>
              </w:rPr>
            </w:pPr>
            <w:r w:rsidRPr="00CE3EEE">
              <w:rPr>
                <w:rFonts w:asciiTheme="minorHAnsi" w:hAnsiTheme="minorHAnsi" w:cstheme="minorHAnsi"/>
                <w:b/>
                <w:bCs/>
                <w:color w:val="000000" w:themeColor="text1"/>
                <w:sz w:val="22"/>
                <w:szCs w:val="22"/>
                <w:lang w:eastAsia="en-IN"/>
              </w:rPr>
              <w:t xml:space="preserve">Total 16 BA Supervisors, 1056 Skilled Lineman, 783 Helpers </w:t>
            </w:r>
          </w:p>
        </w:tc>
      </w:tr>
    </w:tbl>
    <w:p w14:paraId="0CFE6A55" w14:textId="77777777" w:rsidR="00BB6BFE" w:rsidRPr="00236E38" w:rsidRDefault="00BB6BFE" w:rsidP="00236E38">
      <w:pPr>
        <w:spacing w:line="360" w:lineRule="auto"/>
        <w:rPr>
          <w:rFonts w:asciiTheme="minorHAnsi" w:hAnsiTheme="minorHAnsi" w:cstheme="minorHAnsi"/>
          <w:b/>
          <w:color w:val="000000"/>
          <w:sz w:val="22"/>
          <w:szCs w:val="22"/>
          <w:lang w:eastAsia="en-IN"/>
        </w:rPr>
      </w:pPr>
    </w:p>
    <w:p w14:paraId="1741F355" w14:textId="77777777" w:rsidR="00BB6BFE" w:rsidRPr="00236E38" w:rsidRDefault="00BB6BFE" w:rsidP="00236E38">
      <w:pPr>
        <w:spacing w:line="360" w:lineRule="auto"/>
        <w:rPr>
          <w:rFonts w:asciiTheme="minorHAnsi" w:hAnsiTheme="minorHAnsi" w:cstheme="minorHAnsi"/>
          <w:b/>
          <w:color w:val="000000"/>
          <w:sz w:val="22"/>
          <w:szCs w:val="22"/>
          <w:lang w:eastAsia="en-IN"/>
        </w:rPr>
      </w:pPr>
      <w:r w:rsidRPr="00236E38">
        <w:rPr>
          <w:rFonts w:asciiTheme="minorHAnsi" w:hAnsiTheme="minorHAnsi" w:cstheme="minorHAnsi"/>
          <w:b/>
          <w:noProof/>
          <w:color w:val="000000"/>
          <w:sz w:val="22"/>
          <w:szCs w:val="22"/>
          <w:lang w:val="en-IN" w:eastAsia="en-IN"/>
        </w:rPr>
        <mc:AlternateContent>
          <mc:Choice Requires="wps">
            <w:drawing>
              <wp:anchor distT="0" distB="0" distL="114300" distR="114300" simplePos="0" relativeHeight="251934208" behindDoc="0" locked="0" layoutInCell="1" allowOverlap="1" wp14:anchorId="3C035008" wp14:editId="3E95E9C5">
                <wp:simplePos x="0" y="0"/>
                <wp:positionH relativeFrom="column">
                  <wp:posOffset>327661</wp:posOffset>
                </wp:positionH>
                <wp:positionV relativeFrom="paragraph">
                  <wp:posOffset>52070</wp:posOffset>
                </wp:positionV>
                <wp:extent cx="5829300" cy="350874"/>
                <wp:effectExtent l="57150" t="38100" r="76200" b="87630"/>
                <wp:wrapNone/>
                <wp:docPr id="212922786" name="Rectangle 212922786"/>
                <wp:cNvGraphicFramePr/>
                <a:graphic xmlns:a="http://schemas.openxmlformats.org/drawingml/2006/main">
                  <a:graphicData uri="http://schemas.microsoft.com/office/word/2010/wordprocessingShape">
                    <wps:wsp>
                      <wps:cNvSpPr/>
                      <wps:spPr>
                        <a:xfrm>
                          <a:off x="0" y="0"/>
                          <a:ext cx="5829300" cy="350874"/>
                        </a:xfrm>
                        <a:prstGeom prst="rect">
                          <a:avLst/>
                        </a:prstGeom>
                        <a:solidFill>
                          <a:schemeClr val="accent1">
                            <a:lumMod val="40000"/>
                            <a:lumOff val="60000"/>
                          </a:schemeClr>
                        </a:solidFill>
                      </wps:spPr>
                      <wps:style>
                        <a:lnRef idx="1">
                          <a:schemeClr val="accent3"/>
                        </a:lnRef>
                        <a:fillRef idx="2">
                          <a:schemeClr val="accent3"/>
                        </a:fillRef>
                        <a:effectRef idx="1">
                          <a:schemeClr val="accent3"/>
                        </a:effectRef>
                        <a:fontRef idx="minor">
                          <a:schemeClr val="dk1"/>
                        </a:fontRef>
                      </wps:style>
                      <wps:txbx>
                        <w:txbxContent>
                          <w:p w14:paraId="359E360D" w14:textId="77777777" w:rsidR="00535B24" w:rsidRPr="00174CF6" w:rsidRDefault="00535B24" w:rsidP="00AB536C">
                            <w:pPr>
                              <w:pStyle w:val="ListParagraph"/>
                              <w:numPr>
                                <w:ilvl w:val="0"/>
                                <w:numId w:val="49"/>
                              </w:numPr>
                              <w:spacing w:after="160" w:line="259" w:lineRule="auto"/>
                              <w:rPr>
                                <w:rFonts w:cstheme="minorHAnsi"/>
                                <w:b/>
                                <w:color w:val="000000"/>
                                <w:u w:val="single"/>
                                <w:lang w:eastAsia="en-IN"/>
                              </w:rPr>
                            </w:pPr>
                            <w:r w:rsidRPr="00174CF6">
                              <w:rPr>
                                <w:rFonts w:cstheme="minorHAnsi"/>
                                <w:b/>
                                <w:color w:val="000000"/>
                                <w:u w:val="single"/>
                                <w:lang w:eastAsia="en-IN"/>
                              </w:rPr>
                              <w:t xml:space="preserve">Direction under para 260 (b)  </w:t>
                            </w:r>
                          </w:p>
                          <w:p w14:paraId="118C6AF1" w14:textId="77777777" w:rsidR="00535B24" w:rsidRDefault="00535B24" w:rsidP="00BB6BFE">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3C035008" id="Rectangle 212922786" o:spid="_x0000_s1047" style="position:absolute;margin-left:25.8pt;margin-top:4.1pt;width:459pt;height:27.65pt;z-index:25193420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" fillcolor="#b8cce4 [1300]" strokecolor="#94b64e [3046]">
                <v:shadow on="t" color="black" opacity="24903f" origin=",.5" offset="0,.55556mm"/>
                <v:textbox>
                  <w:txbxContent>
                    <w:p w14:paraId="359E360D" w14:textId="77777777" w:rsidR="00535B24" w:rsidRPr="00174CF6" w:rsidRDefault="00535B24" w:rsidP="00AB536C">
                      <w:pPr>
                        <w:pStyle w:val="ListParagraph"/>
                        <w:numPr>
                          <w:ilvl w:val="0"/>
                          <w:numId w:val="49"/>
                        </w:numPr>
                        <w:spacing w:after="160" w:line="259" w:lineRule="auto"/>
                        <w:rPr>
                          <w:rFonts w:cstheme="minorHAnsi"/>
                          <w:b/>
                          <w:color w:val="000000"/>
                          <w:u w:val="single"/>
                          <w:lang w:eastAsia="en-IN"/>
                        </w:rPr>
                      </w:pPr>
                      <w:r w:rsidRPr="00174CF6">
                        <w:rPr>
                          <w:rFonts w:cstheme="minorHAnsi"/>
                          <w:b/>
                          <w:color w:val="000000"/>
                          <w:u w:val="single"/>
                          <w:lang w:eastAsia="en-IN"/>
                        </w:rPr>
                        <w:t xml:space="preserve">Direction under para 260 (b)  </w:t>
                      </w:r>
                    </w:p>
                    <w:p w14:paraId="118C6AF1" w14:textId="77777777" w:rsidR="00535B24" w:rsidRDefault="00535B24" w:rsidP="00BB6BFE">
                      <w:pPr>
                        <w:jc w:val="center"/>
                      </w:pPr>
                    </w:p>
                  </w:txbxContent>
                </v:textbox>
              </v:rect>
            </w:pict>
          </mc:Fallback>
        </mc:AlternateContent>
      </w:r>
    </w:p>
    <w:p w14:paraId="5820BD0C" w14:textId="77777777" w:rsidR="00BB6BFE" w:rsidRPr="00236E38" w:rsidRDefault="00BB6BFE" w:rsidP="00236E38">
      <w:pPr>
        <w:spacing w:line="360" w:lineRule="auto"/>
        <w:rPr>
          <w:rFonts w:asciiTheme="minorHAnsi" w:hAnsiTheme="minorHAnsi" w:cstheme="minorHAnsi"/>
          <w:b/>
          <w:color w:val="000000"/>
          <w:sz w:val="22"/>
          <w:szCs w:val="22"/>
          <w:lang w:eastAsia="en-IN"/>
        </w:rPr>
      </w:pPr>
    </w:p>
    <w:p w14:paraId="7FAF2203" w14:textId="3AD429C0" w:rsidR="00BB6BFE" w:rsidRPr="00CE3EEE" w:rsidRDefault="00CE3EEE" w:rsidP="00CE3EEE">
      <w:pPr>
        <w:spacing w:line="360" w:lineRule="auto"/>
        <w:rPr>
          <w:rFonts w:asciiTheme="minorHAnsi" w:hAnsiTheme="minorHAnsi" w:cstheme="minorHAnsi"/>
          <w:color w:val="000000"/>
          <w:lang w:eastAsia="en-IN"/>
        </w:rPr>
      </w:pPr>
      <w:r w:rsidRPr="00CE3EEE">
        <w:rPr>
          <w:rFonts w:asciiTheme="minorHAnsi" w:eastAsia="Calibri" w:hAnsiTheme="minorHAnsi" w:cstheme="minorHAnsi"/>
          <w:b/>
          <w:color w:val="000000"/>
          <w:sz w:val="22"/>
          <w:szCs w:val="22"/>
          <w:lang w:eastAsia="en-IN"/>
        </w:rPr>
        <w:t xml:space="preserve">             </w:t>
      </w:r>
      <w:r w:rsidR="00BB6BFE" w:rsidRPr="00CE3EEE">
        <w:rPr>
          <w:rFonts w:asciiTheme="minorHAnsi" w:hAnsiTheme="minorHAnsi" w:cstheme="minorHAnsi"/>
          <w:color w:val="000000"/>
          <w:lang w:eastAsia="en-IN"/>
        </w:rPr>
        <w:t>To carry out Energy audit for assessing LT &amp; HT loss</w:t>
      </w:r>
    </w:p>
    <w:p w14:paraId="7CB8B7DC" w14:textId="77777777" w:rsidR="00BB6BFE" w:rsidRPr="00236E38" w:rsidRDefault="00BB6BFE" w:rsidP="00236E38">
      <w:pPr>
        <w:spacing w:line="360" w:lineRule="auto"/>
        <w:ind w:hanging="142"/>
        <w:rPr>
          <w:rFonts w:asciiTheme="minorHAnsi" w:hAnsiTheme="minorHAnsi" w:cstheme="minorHAnsi"/>
          <w:b/>
          <w:color w:val="000000"/>
          <w:sz w:val="22"/>
          <w:szCs w:val="22"/>
          <w:lang w:eastAsia="en-IN"/>
        </w:rPr>
      </w:pPr>
    </w:p>
    <w:p w14:paraId="55726CFB" w14:textId="77777777" w:rsidR="00BB6BFE" w:rsidRPr="00236E38" w:rsidRDefault="00BB6BFE" w:rsidP="00CE3EEE">
      <w:pPr>
        <w:spacing w:line="360" w:lineRule="auto"/>
        <w:ind w:left="709"/>
        <w:rPr>
          <w:rFonts w:asciiTheme="minorHAnsi" w:hAnsiTheme="minorHAnsi" w:cstheme="minorHAnsi"/>
          <w:b/>
          <w:color w:val="000000"/>
          <w:sz w:val="22"/>
          <w:szCs w:val="22"/>
          <w:u w:val="single"/>
          <w:lang w:eastAsia="en-IN"/>
        </w:rPr>
      </w:pPr>
      <w:r w:rsidRPr="00236E38">
        <w:rPr>
          <w:rFonts w:asciiTheme="minorHAnsi" w:hAnsiTheme="minorHAnsi" w:cstheme="minorHAnsi"/>
          <w:b/>
          <w:color w:val="000000"/>
          <w:sz w:val="22"/>
          <w:szCs w:val="22"/>
          <w:u w:val="single"/>
          <w:lang w:eastAsia="en-IN"/>
        </w:rPr>
        <w:t>Compliance:</w:t>
      </w:r>
    </w:p>
    <w:p w14:paraId="0F942FC4" w14:textId="77777777" w:rsidR="00396F36" w:rsidRPr="00B52232" w:rsidRDefault="00396F36" w:rsidP="00396F36">
      <w:pPr>
        <w:spacing w:line="360" w:lineRule="auto"/>
        <w:ind w:left="567"/>
        <w:jc w:val="both"/>
        <w:rPr>
          <w:rFonts w:asciiTheme="minorHAnsi" w:hAnsiTheme="minorHAnsi" w:cstheme="minorHAnsi"/>
          <w:sz w:val="22"/>
          <w:szCs w:val="22"/>
        </w:rPr>
      </w:pPr>
      <w:r w:rsidRPr="00B52232">
        <w:rPr>
          <w:rFonts w:asciiTheme="minorHAnsi" w:hAnsiTheme="minorHAnsi" w:cstheme="minorHAnsi"/>
          <w:sz w:val="22"/>
          <w:szCs w:val="22"/>
        </w:rPr>
        <w:t xml:space="preserve">Energy audit is considered as the key focus area by the TPNODL. In order to ensure precise </w:t>
      </w:r>
      <w:r>
        <w:rPr>
          <w:rFonts w:asciiTheme="minorHAnsi" w:hAnsiTheme="minorHAnsi" w:cstheme="minorHAnsi"/>
          <w:sz w:val="22"/>
          <w:szCs w:val="22"/>
        </w:rPr>
        <w:t xml:space="preserve">and timely </w:t>
      </w:r>
      <w:r w:rsidRPr="00B52232">
        <w:rPr>
          <w:rFonts w:asciiTheme="minorHAnsi" w:hAnsiTheme="minorHAnsi" w:cstheme="minorHAnsi"/>
          <w:sz w:val="22"/>
          <w:szCs w:val="22"/>
        </w:rPr>
        <w:t xml:space="preserve">energy consumption measurement at various voltage levels, several initiatives have been </w:t>
      </w:r>
      <w:r w:rsidRPr="00B52232">
        <w:rPr>
          <w:rFonts w:asciiTheme="minorHAnsi" w:hAnsiTheme="minorHAnsi" w:cstheme="minorHAnsi"/>
          <w:sz w:val="22"/>
          <w:szCs w:val="22"/>
        </w:rPr>
        <w:lastRenderedPageBreak/>
        <w:t xml:space="preserve">implemented to establish robust metering infrastructure. </w:t>
      </w:r>
      <w:r w:rsidRPr="00DA67C4">
        <w:rPr>
          <w:rFonts w:asciiTheme="minorHAnsi" w:hAnsiTheme="minorHAnsi" w:cstheme="minorHAnsi"/>
          <w:sz w:val="22"/>
          <w:szCs w:val="22"/>
        </w:rPr>
        <w:t>With this objective, all the defective /faulty meters along with non-DLMS meters are replaced with DLMS meters at all the 33 kV and 11 kV Voltage level in PSS and ensured 100% metering for energy consumption measurement</w:t>
      </w:r>
      <w:r w:rsidRPr="00B52232">
        <w:rPr>
          <w:rFonts w:asciiTheme="minorHAnsi" w:hAnsiTheme="minorHAnsi" w:cstheme="minorHAnsi"/>
          <w:sz w:val="22"/>
          <w:szCs w:val="22"/>
        </w:rPr>
        <w:t xml:space="preserve">. TPNODL has placed a strong focus for the installation/replacement of CT and PT units in the PSS to ensure reliable voltage and current source for the metering. All these 33 kV and 11 kV feeder meters are equipped with AMRs for accurate and remotely capturing of the energy consumption on monthly basis. Furthermore, the energy audit is extended up to the DT level by installation of smart meters for the DTs with capacity </w:t>
      </w:r>
      <w:r>
        <w:rPr>
          <w:rFonts w:asciiTheme="minorHAnsi" w:hAnsiTheme="minorHAnsi" w:cstheme="minorHAnsi"/>
          <w:sz w:val="22"/>
          <w:szCs w:val="22"/>
        </w:rPr>
        <w:t>100 KVA and above</w:t>
      </w:r>
      <w:r w:rsidRPr="00B52232">
        <w:rPr>
          <w:rFonts w:asciiTheme="minorHAnsi" w:hAnsiTheme="minorHAnsi" w:cstheme="minorHAnsi"/>
          <w:sz w:val="22"/>
          <w:szCs w:val="22"/>
        </w:rPr>
        <w:t xml:space="preserve">. </w:t>
      </w:r>
    </w:p>
    <w:p w14:paraId="42F91DE3" w14:textId="77777777" w:rsidR="00396F36" w:rsidRPr="00B52232" w:rsidRDefault="00396F36" w:rsidP="00396F36">
      <w:pPr>
        <w:spacing w:line="360" w:lineRule="auto"/>
        <w:ind w:left="567" w:firstLine="426"/>
        <w:jc w:val="both"/>
        <w:rPr>
          <w:rFonts w:asciiTheme="minorHAnsi" w:hAnsiTheme="minorHAnsi" w:cstheme="minorHAnsi"/>
          <w:sz w:val="22"/>
          <w:szCs w:val="22"/>
        </w:rPr>
      </w:pPr>
    </w:p>
    <w:p w14:paraId="69FC6355" w14:textId="77777777" w:rsidR="00396F36" w:rsidRPr="00B52232" w:rsidRDefault="00396F36" w:rsidP="00396F36">
      <w:pPr>
        <w:spacing w:line="360" w:lineRule="auto"/>
        <w:ind w:left="567"/>
        <w:jc w:val="both"/>
        <w:rPr>
          <w:rFonts w:asciiTheme="minorHAnsi" w:hAnsiTheme="minorHAnsi" w:cstheme="minorHAnsi"/>
          <w:sz w:val="22"/>
          <w:szCs w:val="22"/>
        </w:rPr>
      </w:pPr>
      <w:r w:rsidRPr="00B52232">
        <w:rPr>
          <w:rFonts w:asciiTheme="minorHAnsi" w:hAnsiTheme="minorHAnsi" w:cstheme="minorHAnsi"/>
          <w:sz w:val="22"/>
          <w:szCs w:val="22"/>
        </w:rPr>
        <w:t>These initiatives have enabled TPNODL to conduct energy audits across various voltage levels in accordance with the directives and notifications of the Gazette of India for Energy Audits and relevant guidelines published by the Bureau of Energy Efficiency (BEE).</w:t>
      </w:r>
    </w:p>
    <w:p w14:paraId="127B93DD" w14:textId="77777777" w:rsidR="00396F36" w:rsidRPr="00B52232" w:rsidRDefault="00396F36" w:rsidP="00396F36">
      <w:pPr>
        <w:spacing w:line="360" w:lineRule="auto"/>
        <w:ind w:left="567"/>
        <w:jc w:val="both"/>
        <w:rPr>
          <w:rFonts w:asciiTheme="minorHAnsi" w:hAnsiTheme="minorHAnsi" w:cstheme="minorHAnsi"/>
          <w:sz w:val="22"/>
          <w:szCs w:val="22"/>
        </w:rPr>
      </w:pPr>
    </w:p>
    <w:p w14:paraId="29E452EA" w14:textId="77777777" w:rsidR="00396F36" w:rsidRPr="00B52232" w:rsidRDefault="00396F36" w:rsidP="00396F36">
      <w:pPr>
        <w:spacing w:line="360" w:lineRule="auto"/>
        <w:ind w:left="567"/>
        <w:jc w:val="both"/>
        <w:rPr>
          <w:rFonts w:asciiTheme="minorHAnsi" w:hAnsiTheme="minorHAnsi" w:cstheme="minorHAnsi"/>
          <w:sz w:val="22"/>
          <w:szCs w:val="22"/>
        </w:rPr>
      </w:pPr>
      <w:r w:rsidRPr="00B52232">
        <w:rPr>
          <w:rFonts w:asciiTheme="minorHAnsi" w:hAnsiTheme="minorHAnsi" w:cstheme="minorHAnsi"/>
          <w:sz w:val="22"/>
          <w:szCs w:val="22"/>
        </w:rPr>
        <w:t xml:space="preserve">The various Key Energy Audit initiatives taken by </w:t>
      </w:r>
      <w:r>
        <w:rPr>
          <w:rFonts w:asciiTheme="minorHAnsi" w:hAnsiTheme="minorHAnsi" w:cstheme="minorHAnsi"/>
          <w:sz w:val="22"/>
          <w:szCs w:val="22"/>
        </w:rPr>
        <w:t>TPNODL are</w:t>
      </w:r>
      <w:r w:rsidRPr="00B52232">
        <w:rPr>
          <w:rFonts w:asciiTheme="minorHAnsi" w:hAnsiTheme="minorHAnsi" w:cstheme="minorHAnsi"/>
          <w:sz w:val="22"/>
          <w:szCs w:val="22"/>
        </w:rPr>
        <w:t xml:space="preserve"> as follows</w:t>
      </w:r>
    </w:p>
    <w:p w14:paraId="7915169B" w14:textId="77777777" w:rsidR="00AD0CB1" w:rsidRDefault="00AD0CB1" w:rsidP="00CE3EEE">
      <w:pPr>
        <w:spacing w:line="360" w:lineRule="auto"/>
        <w:ind w:left="709"/>
        <w:jc w:val="both"/>
        <w:rPr>
          <w:rFonts w:asciiTheme="minorHAnsi" w:hAnsiTheme="minorHAnsi" w:cstheme="minorHAnsi"/>
          <w:b/>
          <w:sz w:val="22"/>
          <w:szCs w:val="22"/>
        </w:rPr>
      </w:pPr>
    </w:p>
    <w:p w14:paraId="57169E9D" w14:textId="77777777" w:rsidR="00396F36" w:rsidRPr="004B0973" w:rsidRDefault="00396F36" w:rsidP="00396F36">
      <w:pPr>
        <w:tabs>
          <w:tab w:val="left" w:pos="567"/>
        </w:tabs>
        <w:spacing w:line="360" w:lineRule="auto"/>
        <w:ind w:left="567"/>
        <w:jc w:val="both"/>
        <w:rPr>
          <w:rFonts w:asciiTheme="minorHAnsi" w:hAnsiTheme="minorHAnsi" w:cstheme="minorHAnsi"/>
          <w:b/>
          <w:szCs w:val="22"/>
        </w:rPr>
      </w:pPr>
      <w:r w:rsidRPr="004B0973">
        <w:rPr>
          <w:rFonts w:asciiTheme="minorHAnsi" w:hAnsiTheme="minorHAnsi" w:cstheme="minorHAnsi"/>
          <w:b/>
          <w:szCs w:val="22"/>
        </w:rPr>
        <w:t>100% Exchange Level Metering at OPTCL GSS</w:t>
      </w:r>
    </w:p>
    <w:p w14:paraId="19CFC454" w14:textId="77777777" w:rsidR="00396F36" w:rsidRPr="00B52232" w:rsidRDefault="00396F36" w:rsidP="00396F36">
      <w:pPr>
        <w:tabs>
          <w:tab w:val="left" w:pos="567"/>
        </w:tabs>
        <w:spacing w:line="360" w:lineRule="auto"/>
        <w:ind w:left="567"/>
        <w:jc w:val="both"/>
        <w:rPr>
          <w:rFonts w:asciiTheme="minorHAnsi" w:hAnsiTheme="minorHAnsi" w:cstheme="minorHAnsi"/>
          <w:sz w:val="22"/>
          <w:szCs w:val="22"/>
        </w:rPr>
      </w:pPr>
      <w:r w:rsidRPr="00B52232">
        <w:rPr>
          <w:rFonts w:asciiTheme="minorHAnsi" w:hAnsiTheme="minorHAnsi" w:cstheme="minorHAnsi"/>
          <w:sz w:val="22"/>
          <w:szCs w:val="22"/>
        </w:rPr>
        <w:t>The energy meters installed at the exchange points, i.e. 123 Nos. of 33 kV feeders (Including 33 kV dedicated consumers) emanating from the OPTCL GSS, are metered and their energy is monthly accounted</w:t>
      </w:r>
      <w:r>
        <w:rPr>
          <w:rFonts w:asciiTheme="minorHAnsi" w:hAnsiTheme="minorHAnsi" w:cstheme="minorHAnsi"/>
          <w:sz w:val="22"/>
          <w:szCs w:val="22"/>
        </w:rPr>
        <w:t xml:space="preserve"> for</w:t>
      </w:r>
      <w:r w:rsidRPr="00B52232">
        <w:rPr>
          <w:rFonts w:asciiTheme="minorHAnsi" w:hAnsiTheme="minorHAnsi" w:cstheme="minorHAnsi"/>
          <w:sz w:val="22"/>
          <w:szCs w:val="22"/>
        </w:rPr>
        <w:t xml:space="preserve">. To ensure 100% energy accounting at the exchange level, a dedicated metering rectification drive was undertaken to </w:t>
      </w:r>
      <w:r>
        <w:rPr>
          <w:rFonts w:asciiTheme="minorHAnsi" w:hAnsiTheme="minorHAnsi" w:cstheme="minorHAnsi"/>
          <w:sz w:val="22"/>
          <w:szCs w:val="22"/>
        </w:rPr>
        <w:t xml:space="preserve">ensured resolution of </w:t>
      </w:r>
      <w:r w:rsidRPr="00B52232">
        <w:rPr>
          <w:rFonts w:asciiTheme="minorHAnsi" w:hAnsiTheme="minorHAnsi" w:cstheme="minorHAnsi"/>
          <w:sz w:val="22"/>
          <w:szCs w:val="22"/>
        </w:rPr>
        <w:t xml:space="preserve">any discrepancies in the metering process. This involved checking </w:t>
      </w:r>
      <w:r>
        <w:rPr>
          <w:rFonts w:asciiTheme="minorHAnsi" w:hAnsiTheme="minorHAnsi" w:cstheme="minorHAnsi"/>
          <w:sz w:val="22"/>
          <w:szCs w:val="22"/>
        </w:rPr>
        <w:t xml:space="preserve">of </w:t>
      </w:r>
      <w:r w:rsidRPr="00B52232">
        <w:rPr>
          <w:rFonts w:asciiTheme="minorHAnsi" w:hAnsiTheme="minorHAnsi" w:cstheme="minorHAnsi"/>
          <w:sz w:val="22"/>
          <w:szCs w:val="22"/>
        </w:rPr>
        <w:t>all the meters for wiring issues, meter connections, and replacing any old or defective meters.</w:t>
      </w:r>
    </w:p>
    <w:p w14:paraId="2A4419E4" w14:textId="2BDAE6F6" w:rsidR="00396F36" w:rsidRPr="00B52232" w:rsidRDefault="00BB6BFE" w:rsidP="00396F36">
      <w:pPr>
        <w:spacing w:line="360" w:lineRule="auto"/>
        <w:ind w:left="284"/>
        <w:jc w:val="both"/>
        <w:rPr>
          <w:rFonts w:asciiTheme="minorHAnsi" w:hAnsiTheme="minorHAnsi" w:cstheme="minorHAnsi"/>
          <w:b/>
          <w:sz w:val="22"/>
          <w:szCs w:val="22"/>
        </w:rPr>
      </w:pPr>
      <w:r w:rsidRPr="00236E38">
        <w:rPr>
          <w:rFonts w:asciiTheme="minorHAnsi" w:hAnsiTheme="minorHAnsi" w:cstheme="minorHAnsi"/>
          <w:b/>
          <w:sz w:val="22"/>
          <w:szCs w:val="22"/>
        </w:rPr>
        <w:t xml:space="preserve">                   </w:t>
      </w:r>
      <w:r w:rsidR="00CD105A">
        <w:rPr>
          <w:rFonts w:asciiTheme="minorHAnsi" w:hAnsiTheme="minorHAnsi" w:cstheme="minorHAnsi"/>
          <w:b/>
          <w:sz w:val="22"/>
          <w:szCs w:val="22"/>
        </w:rPr>
        <w:t>Table No.-</w:t>
      </w:r>
      <w:r w:rsidR="002B5470">
        <w:rPr>
          <w:rFonts w:asciiTheme="minorHAnsi" w:hAnsiTheme="minorHAnsi" w:cstheme="minorHAnsi"/>
          <w:b/>
          <w:sz w:val="22"/>
          <w:szCs w:val="22"/>
        </w:rPr>
        <w:t>66</w:t>
      </w:r>
      <w:r w:rsidR="00396F36" w:rsidRPr="00B52232">
        <w:rPr>
          <w:rFonts w:asciiTheme="minorHAnsi" w:hAnsiTheme="minorHAnsi" w:cstheme="minorHAnsi"/>
          <w:b/>
          <w:sz w:val="22"/>
          <w:szCs w:val="22"/>
        </w:rPr>
        <w:t xml:space="preserve">   The status of 33 kV TPNODL Feeder metering at OPTCL GSS is as follows</w:t>
      </w:r>
    </w:p>
    <w:tbl>
      <w:tblPr>
        <w:tblW w:w="8845" w:type="dxa"/>
        <w:tblInd w:w="5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600" w:firstRow="0" w:lastRow="0" w:firstColumn="0" w:lastColumn="0" w:noHBand="1" w:noVBand="1"/>
      </w:tblPr>
      <w:tblGrid>
        <w:gridCol w:w="1377"/>
        <w:gridCol w:w="2824"/>
        <w:gridCol w:w="2457"/>
        <w:gridCol w:w="2187"/>
      </w:tblGrid>
      <w:tr w:rsidR="00396F36" w:rsidRPr="00783495" w14:paraId="76F42E2E" w14:textId="77777777" w:rsidTr="008C0C54">
        <w:trPr>
          <w:trHeight w:val="342"/>
        </w:trPr>
        <w:tc>
          <w:tcPr>
            <w:tcW w:w="1377" w:type="dxa"/>
            <w:shd w:val="clear" w:color="auto" w:fill="95B3D7" w:themeFill="accent1" w:themeFillTint="99"/>
            <w:vAlign w:val="center"/>
            <w:hideMark/>
          </w:tcPr>
          <w:p w14:paraId="468BBF3B" w14:textId="77777777" w:rsidR="00396F36" w:rsidRPr="00783495" w:rsidRDefault="00396F36" w:rsidP="008C0C54">
            <w:pPr>
              <w:spacing w:line="360" w:lineRule="auto"/>
              <w:ind w:left="284"/>
              <w:jc w:val="center"/>
              <w:rPr>
                <w:rFonts w:asciiTheme="minorHAnsi" w:hAnsiTheme="minorHAnsi" w:cstheme="minorHAnsi"/>
                <w:b/>
                <w:bCs/>
                <w:sz w:val="22"/>
                <w:szCs w:val="22"/>
                <w:lang w:eastAsia="en-IN"/>
              </w:rPr>
            </w:pPr>
            <w:r w:rsidRPr="00783495">
              <w:rPr>
                <w:rFonts w:asciiTheme="minorHAnsi" w:hAnsiTheme="minorHAnsi" w:cstheme="minorHAnsi"/>
                <w:b/>
                <w:bCs/>
                <w:sz w:val="22"/>
                <w:szCs w:val="22"/>
                <w:lang w:eastAsia="en-IN"/>
              </w:rPr>
              <w:t>Circle</w:t>
            </w:r>
          </w:p>
        </w:tc>
        <w:tc>
          <w:tcPr>
            <w:tcW w:w="2824" w:type="dxa"/>
            <w:shd w:val="clear" w:color="auto" w:fill="95B3D7" w:themeFill="accent1" w:themeFillTint="99"/>
            <w:vAlign w:val="center"/>
            <w:hideMark/>
          </w:tcPr>
          <w:p w14:paraId="7A340A01" w14:textId="77777777" w:rsidR="00396F36" w:rsidRPr="00783495" w:rsidRDefault="00396F36" w:rsidP="008C0C54">
            <w:pPr>
              <w:spacing w:line="360" w:lineRule="auto"/>
              <w:ind w:left="284"/>
              <w:jc w:val="center"/>
              <w:rPr>
                <w:rFonts w:asciiTheme="minorHAnsi" w:hAnsiTheme="minorHAnsi" w:cstheme="minorHAnsi"/>
                <w:b/>
                <w:bCs/>
                <w:sz w:val="22"/>
                <w:szCs w:val="22"/>
                <w:lang w:eastAsia="en-IN"/>
              </w:rPr>
            </w:pPr>
            <w:r w:rsidRPr="00783495">
              <w:rPr>
                <w:rFonts w:asciiTheme="minorHAnsi" w:hAnsiTheme="minorHAnsi" w:cstheme="minorHAnsi"/>
                <w:b/>
                <w:bCs/>
                <w:sz w:val="22"/>
                <w:szCs w:val="22"/>
                <w:lang w:eastAsia="en-IN"/>
              </w:rPr>
              <w:t xml:space="preserve">TPNODL 33 kV Feeders </w:t>
            </w:r>
          </w:p>
          <w:p w14:paraId="3970C4D2" w14:textId="77777777" w:rsidR="00396F36" w:rsidRPr="00783495" w:rsidRDefault="00396F36" w:rsidP="008C0C54">
            <w:pPr>
              <w:spacing w:line="360" w:lineRule="auto"/>
              <w:ind w:left="284"/>
              <w:jc w:val="center"/>
              <w:rPr>
                <w:rFonts w:asciiTheme="minorHAnsi" w:hAnsiTheme="minorHAnsi" w:cstheme="minorHAnsi"/>
                <w:b/>
                <w:bCs/>
                <w:sz w:val="22"/>
                <w:szCs w:val="22"/>
                <w:lang w:eastAsia="en-IN"/>
              </w:rPr>
            </w:pPr>
            <w:r w:rsidRPr="00783495">
              <w:rPr>
                <w:rFonts w:asciiTheme="minorHAnsi" w:hAnsiTheme="minorHAnsi" w:cstheme="minorHAnsi"/>
                <w:b/>
                <w:bCs/>
                <w:sz w:val="22"/>
                <w:szCs w:val="22"/>
                <w:lang w:eastAsia="en-IN"/>
              </w:rPr>
              <w:t>(at OPTCL GSS)</w:t>
            </w:r>
          </w:p>
        </w:tc>
        <w:tc>
          <w:tcPr>
            <w:tcW w:w="2457" w:type="dxa"/>
            <w:shd w:val="clear" w:color="auto" w:fill="95B3D7" w:themeFill="accent1" w:themeFillTint="99"/>
            <w:vAlign w:val="center"/>
            <w:hideMark/>
          </w:tcPr>
          <w:p w14:paraId="363B7AE4" w14:textId="77777777" w:rsidR="00396F36" w:rsidRPr="00783495" w:rsidRDefault="00396F36" w:rsidP="008C0C54">
            <w:pPr>
              <w:spacing w:line="360" w:lineRule="auto"/>
              <w:ind w:left="284"/>
              <w:jc w:val="center"/>
              <w:rPr>
                <w:rFonts w:asciiTheme="minorHAnsi" w:hAnsiTheme="minorHAnsi" w:cstheme="minorHAnsi"/>
                <w:b/>
                <w:bCs/>
                <w:sz w:val="22"/>
                <w:szCs w:val="22"/>
                <w:lang w:eastAsia="en-IN"/>
              </w:rPr>
            </w:pPr>
            <w:r w:rsidRPr="00783495">
              <w:rPr>
                <w:rFonts w:asciiTheme="minorHAnsi" w:hAnsiTheme="minorHAnsi" w:cstheme="minorHAnsi"/>
                <w:b/>
                <w:bCs/>
                <w:sz w:val="22"/>
                <w:szCs w:val="22"/>
                <w:lang w:eastAsia="en-IN"/>
              </w:rPr>
              <w:t>33 kV Feeder with Metering</w:t>
            </w:r>
          </w:p>
        </w:tc>
        <w:tc>
          <w:tcPr>
            <w:tcW w:w="2187" w:type="dxa"/>
            <w:shd w:val="clear" w:color="auto" w:fill="95B3D7" w:themeFill="accent1" w:themeFillTint="99"/>
            <w:vAlign w:val="center"/>
            <w:hideMark/>
          </w:tcPr>
          <w:p w14:paraId="22E64510" w14:textId="77777777" w:rsidR="00396F36" w:rsidRPr="00783495" w:rsidRDefault="00396F36" w:rsidP="008C0C54">
            <w:pPr>
              <w:spacing w:line="360" w:lineRule="auto"/>
              <w:ind w:left="284"/>
              <w:jc w:val="center"/>
              <w:rPr>
                <w:rFonts w:asciiTheme="minorHAnsi" w:hAnsiTheme="minorHAnsi" w:cstheme="minorHAnsi"/>
                <w:b/>
                <w:bCs/>
                <w:sz w:val="22"/>
                <w:szCs w:val="22"/>
                <w:lang w:eastAsia="en-IN"/>
              </w:rPr>
            </w:pPr>
            <w:r w:rsidRPr="00783495">
              <w:rPr>
                <w:rFonts w:asciiTheme="minorHAnsi" w:hAnsiTheme="minorHAnsi" w:cstheme="minorHAnsi"/>
                <w:b/>
                <w:bCs/>
                <w:sz w:val="22"/>
                <w:szCs w:val="22"/>
                <w:lang w:eastAsia="en-IN"/>
              </w:rPr>
              <w:t xml:space="preserve">% Metering </w:t>
            </w:r>
          </w:p>
        </w:tc>
      </w:tr>
      <w:tr w:rsidR="00396F36" w:rsidRPr="00B52232" w14:paraId="101FAB0E" w14:textId="77777777" w:rsidTr="008C0C54">
        <w:trPr>
          <w:trHeight w:val="380"/>
        </w:trPr>
        <w:tc>
          <w:tcPr>
            <w:tcW w:w="1377" w:type="dxa"/>
            <w:shd w:val="clear" w:color="auto" w:fill="auto"/>
            <w:vAlign w:val="center"/>
            <w:hideMark/>
          </w:tcPr>
          <w:p w14:paraId="109CA3D5" w14:textId="77777777" w:rsidR="00396F36" w:rsidRPr="00B52232" w:rsidRDefault="00396F36" w:rsidP="008C0C54">
            <w:pPr>
              <w:spacing w:line="360" w:lineRule="auto"/>
              <w:ind w:left="284"/>
              <w:jc w:val="center"/>
              <w:rPr>
                <w:rFonts w:asciiTheme="minorHAnsi" w:hAnsiTheme="minorHAnsi" w:cstheme="minorHAnsi"/>
                <w:sz w:val="22"/>
                <w:szCs w:val="22"/>
                <w:lang w:eastAsia="en-IN"/>
              </w:rPr>
            </w:pPr>
            <w:proofErr w:type="spellStart"/>
            <w:r w:rsidRPr="00B52232">
              <w:rPr>
                <w:rFonts w:asciiTheme="minorHAnsi" w:hAnsiTheme="minorHAnsi" w:cstheme="minorHAnsi"/>
                <w:sz w:val="22"/>
                <w:szCs w:val="22"/>
                <w:lang w:eastAsia="en-IN"/>
              </w:rPr>
              <w:t>Balasore</w:t>
            </w:r>
            <w:proofErr w:type="spellEnd"/>
          </w:p>
        </w:tc>
        <w:tc>
          <w:tcPr>
            <w:tcW w:w="2824" w:type="dxa"/>
            <w:shd w:val="clear" w:color="auto" w:fill="auto"/>
            <w:vAlign w:val="center"/>
            <w:hideMark/>
          </w:tcPr>
          <w:p w14:paraId="6445E570" w14:textId="77777777" w:rsidR="00396F36" w:rsidRPr="00B52232" w:rsidRDefault="00396F36" w:rsidP="008C0C54">
            <w:pPr>
              <w:spacing w:line="360" w:lineRule="auto"/>
              <w:ind w:left="284"/>
              <w:jc w:val="center"/>
              <w:rPr>
                <w:rFonts w:asciiTheme="minorHAnsi" w:hAnsiTheme="minorHAnsi" w:cstheme="minorHAnsi"/>
                <w:bCs/>
                <w:sz w:val="22"/>
                <w:szCs w:val="22"/>
              </w:rPr>
            </w:pPr>
            <w:r w:rsidRPr="00B52232">
              <w:rPr>
                <w:rFonts w:asciiTheme="minorHAnsi" w:eastAsiaTheme="minorEastAsia" w:hAnsiTheme="minorHAnsi" w:cstheme="minorHAnsi"/>
                <w:color w:val="000000" w:themeColor="text1"/>
                <w:kern w:val="24"/>
                <w:sz w:val="22"/>
                <w:szCs w:val="22"/>
              </w:rPr>
              <w:t>32</w:t>
            </w:r>
          </w:p>
        </w:tc>
        <w:tc>
          <w:tcPr>
            <w:tcW w:w="2457" w:type="dxa"/>
            <w:shd w:val="clear" w:color="auto" w:fill="auto"/>
            <w:vAlign w:val="center"/>
            <w:hideMark/>
          </w:tcPr>
          <w:p w14:paraId="687FE954" w14:textId="77777777" w:rsidR="00396F36" w:rsidRPr="00B52232" w:rsidRDefault="00396F36" w:rsidP="008C0C54">
            <w:pPr>
              <w:spacing w:line="360" w:lineRule="auto"/>
              <w:ind w:left="284"/>
              <w:jc w:val="center"/>
              <w:rPr>
                <w:rFonts w:asciiTheme="minorHAnsi" w:hAnsiTheme="minorHAnsi" w:cstheme="minorHAnsi"/>
                <w:bCs/>
                <w:sz w:val="22"/>
                <w:szCs w:val="22"/>
              </w:rPr>
            </w:pPr>
            <w:r w:rsidRPr="00B52232">
              <w:rPr>
                <w:rFonts w:asciiTheme="minorHAnsi" w:eastAsiaTheme="minorEastAsia" w:hAnsiTheme="minorHAnsi" w:cstheme="minorHAnsi"/>
                <w:color w:val="000000" w:themeColor="text1"/>
                <w:kern w:val="24"/>
                <w:sz w:val="22"/>
                <w:szCs w:val="22"/>
              </w:rPr>
              <w:t>32</w:t>
            </w:r>
          </w:p>
        </w:tc>
        <w:tc>
          <w:tcPr>
            <w:tcW w:w="2187" w:type="dxa"/>
            <w:shd w:val="clear" w:color="auto" w:fill="auto"/>
            <w:vAlign w:val="center"/>
            <w:hideMark/>
          </w:tcPr>
          <w:p w14:paraId="0E272E16" w14:textId="77777777" w:rsidR="00396F36" w:rsidRPr="00B52232" w:rsidRDefault="00396F36" w:rsidP="008C0C54">
            <w:pPr>
              <w:spacing w:line="360" w:lineRule="auto"/>
              <w:ind w:left="284"/>
              <w:jc w:val="center"/>
              <w:rPr>
                <w:rFonts w:asciiTheme="minorHAnsi" w:hAnsiTheme="minorHAnsi" w:cstheme="minorHAnsi"/>
                <w:sz w:val="22"/>
                <w:szCs w:val="22"/>
                <w:lang w:eastAsia="en-IN"/>
              </w:rPr>
            </w:pPr>
            <w:r w:rsidRPr="00B52232">
              <w:rPr>
                <w:rFonts w:asciiTheme="minorHAnsi" w:eastAsiaTheme="minorEastAsia" w:hAnsiTheme="minorHAnsi" w:cstheme="minorHAnsi"/>
                <w:color w:val="000000" w:themeColor="text1"/>
                <w:kern w:val="24"/>
                <w:sz w:val="22"/>
                <w:szCs w:val="22"/>
              </w:rPr>
              <w:t>100%</w:t>
            </w:r>
          </w:p>
        </w:tc>
      </w:tr>
      <w:tr w:rsidR="00396F36" w:rsidRPr="00B52232" w14:paraId="1404C11B" w14:textId="77777777" w:rsidTr="008C0C54">
        <w:trPr>
          <w:trHeight w:val="380"/>
        </w:trPr>
        <w:tc>
          <w:tcPr>
            <w:tcW w:w="1377" w:type="dxa"/>
            <w:shd w:val="clear" w:color="auto" w:fill="auto"/>
            <w:vAlign w:val="center"/>
            <w:hideMark/>
          </w:tcPr>
          <w:p w14:paraId="29F2003E" w14:textId="77777777" w:rsidR="00396F36" w:rsidRPr="00B52232" w:rsidRDefault="00396F36" w:rsidP="008C0C54">
            <w:pPr>
              <w:spacing w:line="360" w:lineRule="auto"/>
              <w:ind w:left="284"/>
              <w:jc w:val="center"/>
              <w:rPr>
                <w:rFonts w:asciiTheme="minorHAnsi" w:hAnsiTheme="minorHAnsi" w:cstheme="minorHAnsi"/>
                <w:sz w:val="22"/>
                <w:szCs w:val="22"/>
                <w:lang w:eastAsia="en-IN"/>
              </w:rPr>
            </w:pPr>
            <w:proofErr w:type="spellStart"/>
            <w:r w:rsidRPr="00B52232">
              <w:rPr>
                <w:rFonts w:asciiTheme="minorHAnsi" w:hAnsiTheme="minorHAnsi" w:cstheme="minorHAnsi"/>
                <w:sz w:val="22"/>
                <w:szCs w:val="22"/>
                <w:lang w:eastAsia="en-IN"/>
              </w:rPr>
              <w:t>Baripada</w:t>
            </w:r>
            <w:proofErr w:type="spellEnd"/>
          </w:p>
        </w:tc>
        <w:tc>
          <w:tcPr>
            <w:tcW w:w="2824" w:type="dxa"/>
            <w:shd w:val="clear" w:color="auto" w:fill="auto"/>
            <w:vAlign w:val="center"/>
            <w:hideMark/>
          </w:tcPr>
          <w:p w14:paraId="4400214A" w14:textId="77777777" w:rsidR="00396F36" w:rsidRPr="00B52232" w:rsidRDefault="00396F36" w:rsidP="008C0C54">
            <w:pPr>
              <w:spacing w:line="360" w:lineRule="auto"/>
              <w:ind w:left="284"/>
              <w:jc w:val="center"/>
              <w:rPr>
                <w:rFonts w:asciiTheme="minorHAnsi" w:hAnsiTheme="minorHAnsi" w:cstheme="minorHAnsi"/>
                <w:bCs/>
                <w:sz w:val="22"/>
                <w:szCs w:val="22"/>
              </w:rPr>
            </w:pPr>
            <w:r w:rsidRPr="00B52232">
              <w:rPr>
                <w:rFonts w:asciiTheme="minorHAnsi" w:eastAsiaTheme="minorEastAsia" w:hAnsiTheme="minorHAnsi" w:cstheme="minorHAnsi"/>
                <w:color w:val="000000" w:themeColor="text1"/>
                <w:kern w:val="24"/>
                <w:sz w:val="22"/>
                <w:szCs w:val="22"/>
              </w:rPr>
              <w:t>26</w:t>
            </w:r>
          </w:p>
        </w:tc>
        <w:tc>
          <w:tcPr>
            <w:tcW w:w="2457" w:type="dxa"/>
            <w:shd w:val="clear" w:color="auto" w:fill="auto"/>
            <w:vAlign w:val="center"/>
            <w:hideMark/>
          </w:tcPr>
          <w:p w14:paraId="5409FAC2" w14:textId="77777777" w:rsidR="00396F36" w:rsidRPr="00B52232" w:rsidRDefault="00396F36" w:rsidP="008C0C54">
            <w:pPr>
              <w:spacing w:line="360" w:lineRule="auto"/>
              <w:ind w:left="284"/>
              <w:jc w:val="center"/>
              <w:rPr>
                <w:rFonts w:asciiTheme="minorHAnsi" w:hAnsiTheme="minorHAnsi" w:cstheme="minorHAnsi"/>
                <w:bCs/>
                <w:sz w:val="22"/>
                <w:szCs w:val="22"/>
              </w:rPr>
            </w:pPr>
            <w:r w:rsidRPr="00B52232">
              <w:rPr>
                <w:rFonts w:asciiTheme="minorHAnsi" w:eastAsiaTheme="minorEastAsia" w:hAnsiTheme="minorHAnsi" w:cstheme="minorHAnsi"/>
                <w:color w:val="000000" w:themeColor="text1"/>
                <w:kern w:val="24"/>
                <w:sz w:val="22"/>
                <w:szCs w:val="22"/>
              </w:rPr>
              <w:t>26</w:t>
            </w:r>
          </w:p>
        </w:tc>
        <w:tc>
          <w:tcPr>
            <w:tcW w:w="2187" w:type="dxa"/>
            <w:shd w:val="clear" w:color="auto" w:fill="auto"/>
            <w:vAlign w:val="center"/>
            <w:hideMark/>
          </w:tcPr>
          <w:p w14:paraId="1DE5CD61" w14:textId="77777777" w:rsidR="00396F36" w:rsidRPr="00B52232" w:rsidRDefault="00396F36" w:rsidP="008C0C54">
            <w:pPr>
              <w:spacing w:line="360" w:lineRule="auto"/>
              <w:ind w:left="284"/>
              <w:jc w:val="center"/>
              <w:rPr>
                <w:rFonts w:asciiTheme="minorHAnsi" w:hAnsiTheme="minorHAnsi" w:cstheme="minorHAnsi"/>
                <w:sz w:val="22"/>
                <w:szCs w:val="22"/>
                <w:lang w:eastAsia="en-IN"/>
              </w:rPr>
            </w:pPr>
            <w:r w:rsidRPr="00B52232">
              <w:rPr>
                <w:rFonts w:asciiTheme="minorHAnsi" w:eastAsiaTheme="minorEastAsia" w:hAnsiTheme="minorHAnsi" w:cstheme="minorHAnsi"/>
                <w:color w:val="000000" w:themeColor="text1"/>
                <w:kern w:val="24"/>
                <w:sz w:val="22"/>
                <w:szCs w:val="22"/>
              </w:rPr>
              <w:t>100%</w:t>
            </w:r>
          </w:p>
        </w:tc>
      </w:tr>
      <w:tr w:rsidR="00396F36" w:rsidRPr="00B52232" w14:paraId="51444D33" w14:textId="77777777" w:rsidTr="008C0C54">
        <w:trPr>
          <w:trHeight w:val="380"/>
        </w:trPr>
        <w:tc>
          <w:tcPr>
            <w:tcW w:w="1377" w:type="dxa"/>
            <w:shd w:val="clear" w:color="auto" w:fill="auto"/>
            <w:vAlign w:val="center"/>
            <w:hideMark/>
          </w:tcPr>
          <w:p w14:paraId="1570EB7F" w14:textId="77777777" w:rsidR="00396F36" w:rsidRPr="00B52232" w:rsidRDefault="00396F36" w:rsidP="008C0C54">
            <w:pPr>
              <w:spacing w:line="360" w:lineRule="auto"/>
              <w:ind w:left="284"/>
              <w:jc w:val="center"/>
              <w:rPr>
                <w:rFonts w:asciiTheme="minorHAnsi" w:hAnsiTheme="minorHAnsi" w:cstheme="minorHAnsi"/>
                <w:sz w:val="22"/>
                <w:szCs w:val="22"/>
                <w:lang w:eastAsia="en-IN"/>
              </w:rPr>
            </w:pPr>
            <w:proofErr w:type="spellStart"/>
            <w:r w:rsidRPr="00B52232">
              <w:rPr>
                <w:rFonts w:asciiTheme="minorHAnsi" w:hAnsiTheme="minorHAnsi" w:cstheme="minorHAnsi"/>
                <w:sz w:val="22"/>
                <w:szCs w:val="22"/>
                <w:lang w:eastAsia="en-IN"/>
              </w:rPr>
              <w:t>Bhadrak</w:t>
            </w:r>
            <w:proofErr w:type="spellEnd"/>
          </w:p>
        </w:tc>
        <w:tc>
          <w:tcPr>
            <w:tcW w:w="2824" w:type="dxa"/>
            <w:shd w:val="clear" w:color="auto" w:fill="auto"/>
            <w:vAlign w:val="center"/>
            <w:hideMark/>
          </w:tcPr>
          <w:p w14:paraId="280733F1" w14:textId="77777777" w:rsidR="00396F36" w:rsidRPr="00B52232" w:rsidRDefault="00396F36" w:rsidP="008C0C54">
            <w:pPr>
              <w:spacing w:line="360" w:lineRule="auto"/>
              <w:ind w:left="284"/>
              <w:jc w:val="center"/>
              <w:rPr>
                <w:rFonts w:asciiTheme="minorHAnsi" w:hAnsiTheme="minorHAnsi" w:cstheme="minorHAnsi"/>
                <w:bCs/>
                <w:sz w:val="22"/>
                <w:szCs w:val="22"/>
              </w:rPr>
            </w:pPr>
            <w:r w:rsidRPr="00B52232">
              <w:rPr>
                <w:rFonts w:asciiTheme="minorHAnsi" w:eastAsiaTheme="minorEastAsia" w:hAnsiTheme="minorHAnsi" w:cstheme="minorHAnsi"/>
                <w:color w:val="000000" w:themeColor="text1"/>
                <w:kern w:val="24"/>
                <w:sz w:val="22"/>
                <w:szCs w:val="22"/>
              </w:rPr>
              <w:t>13</w:t>
            </w:r>
          </w:p>
        </w:tc>
        <w:tc>
          <w:tcPr>
            <w:tcW w:w="2457" w:type="dxa"/>
            <w:shd w:val="clear" w:color="auto" w:fill="auto"/>
            <w:vAlign w:val="center"/>
            <w:hideMark/>
          </w:tcPr>
          <w:p w14:paraId="37605EFF" w14:textId="77777777" w:rsidR="00396F36" w:rsidRPr="00B52232" w:rsidRDefault="00396F36" w:rsidP="008C0C54">
            <w:pPr>
              <w:spacing w:line="360" w:lineRule="auto"/>
              <w:ind w:left="284"/>
              <w:jc w:val="center"/>
              <w:rPr>
                <w:rFonts w:asciiTheme="minorHAnsi" w:hAnsiTheme="minorHAnsi" w:cstheme="minorHAnsi"/>
                <w:bCs/>
                <w:sz w:val="22"/>
                <w:szCs w:val="22"/>
              </w:rPr>
            </w:pPr>
            <w:r w:rsidRPr="00B52232">
              <w:rPr>
                <w:rFonts w:asciiTheme="minorHAnsi" w:eastAsiaTheme="minorEastAsia" w:hAnsiTheme="minorHAnsi" w:cstheme="minorHAnsi"/>
                <w:color w:val="000000" w:themeColor="text1"/>
                <w:kern w:val="24"/>
                <w:sz w:val="22"/>
                <w:szCs w:val="22"/>
              </w:rPr>
              <w:t>13</w:t>
            </w:r>
          </w:p>
        </w:tc>
        <w:tc>
          <w:tcPr>
            <w:tcW w:w="2187" w:type="dxa"/>
            <w:shd w:val="clear" w:color="auto" w:fill="auto"/>
            <w:vAlign w:val="center"/>
            <w:hideMark/>
          </w:tcPr>
          <w:p w14:paraId="07292A31" w14:textId="77777777" w:rsidR="00396F36" w:rsidRPr="00B52232" w:rsidRDefault="00396F36" w:rsidP="008C0C54">
            <w:pPr>
              <w:spacing w:line="360" w:lineRule="auto"/>
              <w:ind w:left="284"/>
              <w:jc w:val="center"/>
              <w:rPr>
                <w:rFonts w:asciiTheme="minorHAnsi" w:hAnsiTheme="minorHAnsi" w:cstheme="minorHAnsi"/>
                <w:sz w:val="22"/>
                <w:szCs w:val="22"/>
                <w:lang w:eastAsia="en-IN"/>
              </w:rPr>
            </w:pPr>
            <w:r w:rsidRPr="00B52232">
              <w:rPr>
                <w:rFonts w:asciiTheme="minorHAnsi" w:eastAsiaTheme="minorEastAsia" w:hAnsiTheme="minorHAnsi" w:cstheme="minorHAnsi"/>
                <w:color w:val="000000" w:themeColor="text1"/>
                <w:kern w:val="24"/>
                <w:sz w:val="22"/>
                <w:szCs w:val="22"/>
              </w:rPr>
              <w:t>100%</w:t>
            </w:r>
          </w:p>
        </w:tc>
      </w:tr>
      <w:tr w:rsidR="00396F36" w:rsidRPr="00B52232" w14:paraId="073360D5" w14:textId="77777777" w:rsidTr="008C0C54">
        <w:trPr>
          <w:trHeight w:val="380"/>
        </w:trPr>
        <w:tc>
          <w:tcPr>
            <w:tcW w:w="1377" w:type="dxa"/>
            <w:shd w:val="clear" w:color="auto" w:fill="auto"/>
            <w:vAlign w:val="center"/>
            <w:hideMark/>
          </w:tcPr>
          <w:p w14:paraId="44528E98" w14:textId="77777777" w:rsidR="00396F36" w:rsidRPr="00B52232" w:rsidRDefault="00396F36" w:rsidP="008C0C54">
            <w:pPr>
              <w:spacing w:line="360" w:lineRule="auto"/>
              <w:ind w:left="284"/>
              <w:jc w:val="center"/>
              <w:rPr>
                <w:rFonts w:asciiTheme="minorHAnsi" w:hAnsiTheme="minorHAnsi" w:cstheme="minorHAnsi"/>
                <w:sz w:val="22"/>
                <w:szCs w:val="22"/>
                <w:lang w:eastAsia="en-IN"/>
              </w:rPr>
            </w:pPr>
            <w:proofErr w:type="spellStart"/>
            <w:r w:rsidRPr="00B52232">
              <w:rPr>
                <w:rFonts w:asciiTheme="minorHAnsi" w:hAnsiTheme="minorHAnsi" w:cstheme="minorHAnsi"/>
                <w:sz w:val="22"/>
                <w:szCs w:val="22"/>
                <w:lang w:eastAsia="en-IN"/>
              </w:rPr>
              <w:t>Jajpur</w:t>
            </w:r>
            <w:proofErr w:type="spellEnd"/>
          </w:p>
        </w:tc>
        <w:tc>
          <w:tcPr>
            <w:tcW w:w="2824" w:type="dxa"/>
            <w:shd w:val="clear" w:color="auto" w:fill="auto"/>
            <w:vAlign w:val="center"/>
            <w:hideMark/>
          </w:tcPr>
          <w:p w14:paraId="2E353ABB" w14:textId="77777777" w:rsidR="00396F36" w:rsidRPr="00B52232" w:rsidRDefault="00396F36" w:rsidP="008C0C54">
            <w:pPr>
              <w:spacing w:line="360" w:lineRule="auto"/>
              <w:ind w:left="284"/>
              <w:jc w:val="center"/>
              <w:rPr>
                <w:rFonts w:asciiTheme="minorHAnsi" w:hAnsiTheme="minorHAnsi" w:cstheme="minorHAnsi"/>
                <w:bCs/>
                <w:sz w:val="22"/>
                <w:szCs w:val="22"/>
              </w:rPr>
            </w:pPr>
            <w:r w:rsidRPr="00B52232">
              <w:rPr>
                <w:rFonts w:asciiTheme="minorHAnsi" w:eastAsiaTheme="minorEastAsia" w:hAnsiTheme="minorHAnsi" w:cstheme="minorHAnsi"/>
                <w:color w:val="000000" w:themeColor="text1"/>
                <w:kern w:val="24"/>
                <w:sz w:val="22"/>
                <w:szCs w:val="22"/>
              </w:rPr>
              <w:t>22</w:t>
            </w:r>
          </w:p>
        </w:tc>
        <w:tc>
          <w:tcPr>
            <w:tcW w:w="2457" w:type="dxa"/>
            <w:shd w:val="clear" w:color="auto" w:fill="auto"/>
            <w:vAlign w:val="center"/>
            <w:hideMark/>
          </w:tcPr>
          <w:p w14:paraId="4B1AE5C9" w14:textId="77777777" w:rsidR="00396F36" w:rsidRPr="00B52232" w:rsidRDefault="00396F36" w:rsidP="008C0C54">
            <w:pPr>
              <w:spacing w:line="360" w:lineRule="auto"/>
              <w:ind w:left="284"/>
              <w:jc w:val="center"/>
              <w:rPr>
                <w:rFonts w:asciiTheme="minorHAnsi" w:hAnsiTheme="minorHAnsi" w:cstheme="minorHAnsi"/>
                <w:bCs/>
                <w:sz w:val="22"/>
                <w:szCs w:val="22"/>
              </w:rPr>
            </w:pPr>
            <w:r w:rsidRPr="00B52232">
              <w:rPr>
                <w:rFonts w:asciiTheme="minorHAnsi" w:eastAsiaTheme="minorEastAsia" w:hAnsiTheme="minorHAnsi" w:cstheme="minorHAnsi"/>
                <w:color w:val="000000" w:themeColor="text1"/>
                <w:kern w:val="24"/>
                <w:sz w:val="22"/>
                <w:szCs w:val="22"/>
              </w:rPr>
              <w:t>22</w:t>
            </w:r>
          </w:p>
        </w:tc>
        <w:tc>
          <w:tcPr>
            <w:tcW w:w="2187" w:type="dxa"/>
            <w:shd w:val="clear" w:color="auto" w:fill="auto"/>
            <w:vAlign w:val="center"/>
            <w:hideMark/>
          </w:tcPr>
          <w:p w14:paraId="61EE1F4B" w14:textId="77777777" w:rsidR="00396F36" w:rsidRPr="00B52232" w:rsidRDefault="00396F36" w:rsidP="008C0C54">
            <w:pPr>
              <w:spacing w:line="360" w:lineRule="auto"/>
              <w:ind w:left="284"/>
              <w:jc w:val="center"/>
              <w:rPr>
                <w:rFonts w:asciiTheme="minorHAnsi" w:hAnsiTheme="minorHAnsi" w:cstheme="minorHAnsi"/>
                <w:sz w:val="22"/>
                <w:szCs w:val="22"/>
                <w:lang w:eastAsia="en-IN"/>
              </w:rPr>
            </w:pPr>
            <w:r w:rsidRPr="00B52232">
              <w:rPr>
                <w:rFonts w:asciiTheme="minorHAnsi" w:eastAsiaTheme="minorEastAsia" w:hAnsiTheme="minorHAnsi" w:cstheme="minorHAnsi"/>
                <w:color w:val="000000" w:themeColor="text1"/>
                <w:kern w:val="24"/>
                <w:sz w:val="22"/>
                <w:szCs w:val="22"/>
              </w:rPr>
              <w:t>100%</w:t>
            </w:r>
          </w:p>
        </w:tc>
      </w:tr>
      <w:tr w:rsidR="00396F36" w:rsidRPr="00B52232" w14:paraId="02F608F5" w14:textId="77777777" w:rsidTr="008C0C54">
        <w:trPr>
          <w:trHeight w:val="380"/>
        </w:trPr>
        <w:tc>
          <w:tcPr>
            <w:tcW w:w="1377" w:type="dxa"/>
            <w:shd w:val="clear" w:color="auto" w:fill="auto"/>
            <w:vAlign w:val="center"/>
            <w:hideMark/>
          </w:tcPr>
          <w:p w14:paraId="59168406" w14:textId="77777777" w:rsidR="00396F36" w:rsidRPr="00B52232" w:rsidRDefault="00396F36" w:rsidP="008C0C54">
            <w:pPr>
              <w:spacing w:line="360" w:lineRule="auto"/>
              <w:ind w:left="284"/>
              <w:jc w:val="center"/>
              <w:rPr>
                <w:rFonts w:asciiTheme="minorHAnsi" w:hAnsiTheme="minorHAnsi" w:cstheme="minorHAnsi"/>
                <w:sz w:val="22"/>
                <w:szCs w:val="22"/>
                <w:lang w:eastAsia="en-IN"/>
              </w:rPr>
            </w:pPr>
            <w:proofErr w:type="spellStart"/>
            <w:r w:rsidRPr="00B52232">
              <w:rPr>
                <w:rFonts w:asciiTheme="minorHAnsi" w:hAnsiTheme="minorHAnsi" w:cstheme="minorHAnsi"/>
                <w:sz w:val="22"/>
                <w:szCs w:val="22"/>
                <w:lang w:eastAsia="en-IN"/>
              </w:rPr>
              <w:t>Keonjhar</w:t>
            </w:r>
            <w:proofErr w:type="spellEnd"/>
          </w:p>
        </w:tc>
        <w:tc>
          <w:tcPr>
            <w:tcW w:w="2824" w:type="dxa"/>
            <w:shd w:val="clear" w:color="auto" w:fill="auto"/>
            <w:vAlign w:val="center"/>
            <w:hideMark/>
          </w:tcPr>
          <w:p w14:paraId="4FD3C04E" w14:textId="77777777" w:rsidR="00396F36" w:rsidRPr="00B52232" w:rsidRDefault="00396F36" w:rsidP="008C0C54">
            <w:pPr>
              <w:spacing w:line="360" w:lineRule="auto"/>
              <w:ind w:left="284"/>
              <w:jc w:val="center"/>
              <w:rPr>
                <w:rFonts w:asciiTheme="minorHAnsi" w:hAnsiTheme="minorHAnsi" w:cstheme="minorHAnsi"/>
                <w:bCs/>
                <w:sz w:val="22"/>
                <w:szCs w:val="22"/>
              </w:rPr>
            </w:pPr>
            <w:r w:rsidRPr="00B52232">
              <w:rPr>
                <w:rFonts w:asciiTheme="minorHAnsi" w:eastAsiaTheme="minorEastAsia" w:hAnsiTheme="minorHAnsi" w:cstheme="minorHAnsi"/>
                <w:color w:val="000000" w:themeColor="text1"/>
                <w:kern w:val="24"/>
                <w:sz w:val="22"/>
                <w:szCs w:val="22"/>
              </w:rPr>
              <w:t>30</w:t>
            </w:r>
          </w:p>
        </w:tc>
        <w:tc>
          <w:tcPr>
            <w:tcW w:w="2457" w:type="dxa"/>
            <w:shd w:val="clear" w:color="auto" w:fill="auto"/>
            <w:vAlign w:val="center"/>
            <w:hideMark/>
          </w:tcPr>
          <w:p w14:paraId="09856048" w14:textId="77777777" w:rsidR="00396F36" w:rsidRPr="00B52232" w:rsidRDefault="00396F36" w:rsidP="008C0C54">
            <w:pPr>
              <w:spacing w:line="360" w:lineRule="auto"/>
              <w:ind w:left="284"/>
              <w:jc w:val="center"/>
              <w:rPr>
                <w:rFonts w:asciiTheme="minorHAnsi" w:hAnsiTheme="minorHAnsi" w:cstheme="minorHAnsi"/>
                <w:bCs/>
                <w:sz w:val="22"/>
                <w:szCs w:val="22"/>
              </w:rPr>
            </w:pPr>
            <w:r w:rsidRPr="00B52232">
              <w:rPr>
                <w:rFonts w:asciiTheme="minorHAnsi" w:eastAsiaTheme="minorEastAsia" w:hAnsiTheme="minorHAnsi" w:cstheme="minorHAnsi"/>
                <w:color w:val="000000" w:themeColor="text1"/>
                <w:kern w:val="24"/>
                <w:sz w:val="22"/>
                <w:szCs w:val="22"/>
              </w:rPr>
              <w:t>30</w:t>
            </w:r>
          </w:p>
        </w:tc>
        <w:tc>
          <w:tcPr>
            <w:tcW w:w="2187" w:type="dxa"/>
            <w:shd w:val="clear" w:color="auto" w:fill="auto"/>
            <w:vAlign w:val="center"/>
            <w:hideMark/>
          </w:tcPr>
          <w:p w14:paraId="5CCB6BDE" w14:textId="77777777" w:rsidR="00396F36" w:rsidRPr="00B52232" w:rsidRDefault="00396F36" w:rsidP="008C0C54">
            <w:pPr>
              <w:spacing w:line="360" w:lineRule="auto"/>
              <w:ind w:left="284"/>
              <w:jc w:val="center"/>
              <w:rPr>
                <w:rFonts w:asciiTheme="minorHAnsi" w:hAnsiTheme="minorHAnsi" w:cstheme="minorHAnsi"/>
                <w:sz w:val="22"/>
                <w:szCs w:val="22"/>
                <w:lang w:eastAsia="en-IN"/>
              </w:rPr>
            </w:pPr>
            <w:r w:rsidRPr="00B52232">
              <w:rPr>
                <w:rFonts w:asciiTheme="minorHAnsi" w:eastAsiaTheme="minorEastAsia" w:hAnsiTheme="minorHAnsi" w:cstheme="minorHAnsi"/>
                <w:color w:val="000000" w:themeColor="text1"/>
                <w:kern w:val="24"/>
                <w:sz w:val="22"/>
                <w:szCs w:val="22"/>
              </w:rPr>
              <w:t>100%</w:t>
            </w:r>
          </w:p>
        </w:tc>
      </w:tr>
      <w:tr w:rsidR="00396F36" w:rsidRPr="00783495" w14:paraId="4CC466D9" w14:textId="77777777" w:rsidTr="008C0C54">
        <w:trPr>
          <w:trHeight w:val="380"/>
        </w:trPr>
        <w:tc>
          <w:tcPr>
            <w:tcW w:w="1377" w:type="dxa"/>
            <w:shd w:val="clear" w:color="auto" w:fill="95B3D7" w:themeFill="accent1" w:themeFillTint="99"/>
            <w:vAlign w:val="center"/>
            <w:hideMark/>
          </w:tcPr>
          <w:p w14:paraId="33C2424C" w14:textId="77777777" w:rsidR="00396F36" w:rsidRPr="00783495" w:rsidRDefault="00396F36" w:rsidP="008C0C54">
            <w:pPr>
              <w:spacing w:line="360" w:lineRule="auto"/>
              <w:ind w:left="284"/>
              <w:jc w:val="center"/>
              <w:rPr>
                <w:rFonts w:asciiTheme="minorHAnsi" w:hAnsiTheme="minorHAnsi" w:cstheme="minorHAnsi"/>
                <w:b/>
                <w:sz w:val="22"/>
                <w:szCs w:val="22"/>
                <w:lang w:eastAsia="en-IN"/>
              </w:rPr>
            </w:pPr>
            <w:r w:rsidRPr="00783495">
              <w:rPr>
                <w:rFonts w:asciiTheme="minorHAnsi" w:hAnsiTheme="minorHAnsi" w:cstheme="minorHAnsi"/>
                <w:b/>
                <w:sz w:val="22"/>
                <w:szCs w:val="22"/>
                <w:lang w:eastAsia="en-IN"/>
              </w:rPr>
              <w:t>Total</w:t>
            </w:r>
          </w:p>
        </w:tc>
        <w:tc>
          <w:tcPr>
            <w:tcW w:w="2824" w:type="dxa"/>
            <w:shd w:val="clear" w:color="auto" w:fill="95B3D7" w:themeFill="accent1" w:themeFillTint="99"/>
            <w:vAlign w:val="center"/>
            <w:hideMark/>
          </w:tcPr>
          <w:p w14:paraId="3E76264B" w14:textId="77777777" w:rsidR="00396F36" w:rsidRPr="00783495" w:rsidRDefault="00396F36" w:rsidP="008C0C54">
            <w:pPr>
              <w:spacing w:line="360" w:lineRule="auto"/>
              <w:ind w:left="284"/>
              <w:jc w:val="center"/>
              <w:rPr>
                <w:rFonts w:asciiTheme="minorHAnsi" w:hAnsiTheme="minorHAnsi" w:cstheme="minorHAnsi"/>
                <w:b/>
                <w:sz w:val="22"/>
                <w:szCs w:val="22"/>
                <w:lang w:eastAsia="en-IN"/>
              </w:rPr>
            </w:pPr>
            <w:r w:rsidRPr="00783495">
              <w:rPr>
                <w:rFonts w:asciiTheme="minorHAnsi" w:eastAsiaTheme="minorEastAsia" w:hAnsiTheme="minorHAnsi" w:cstheme="minorHAnsi"/>
                <w:b/>
                <w:bCs/>
                <w:kern w:val="24"/>
                <w:sz w:val="22"/>
                <w:szCs w:val="22"/>
              </w:rPr>
              <w:t>123</w:t>
            </w:r>
          </w:p>
        </w:tc>
        <w:tc>
          <w:tcPr>
            <w:tcW w:w="2457" w:type="dxa"/>
            <w:shd w:val="clear" w:color="auto" w:fill="95B3D7" w:themeFill="accent1" w:themeFillTint="99"/>
            <w:vAlign w:val="center"/>
            <w:hideMark/>
          </w:tcPr>
          <w:p w14:paraId="55A7DD11" w14:textId="77777777" w:rsidR="00396F36" w:rsidRPr="00783495" w:rsidRDefault="00396F36" w:rsidP="008C0C54">
            <w:pPr>
              <w:spacing w:line="360" w:lineRule="auto"/>
              <w:ind w:left="284"/>
              <w:jc w:val="center"/>
              <w:rPr>
                <w:rFonts w:asciiTheme="minorHAnsi" w:hAnsiTheme="minorHAnsi" w:cstheme="minorHAnsi"/>
                <w:b/>
                <w:sz w:val="22"/>
                <w:szCs w:val="22"/>
                <w:lang w:eastAsia="en-IN"/>
              </w:rPr>
            </w:pPr>
            <w:r w:rsidRPr="00783495">
              <w:rPr>
                <w:rFonts w:asciiTheme="minorHAnsi" w:eastAsiaTheme="minorEastAsia" w:hAnsiTheme="minorHAnsi" w:cstheme="minorHAnsi"/>
                <w:b/>
                <w:bCs/>
                <w:kern w:val="24"/>
                <w:sz w:val="22"/>
                <w:szCs w:val="22"/>
              </w:rPr>
              <w:t>123</w:t>
            </w:r>
          </w:p>
        </w:tc>
        <w:tc>
          <w:tcPr>
            <w:tcW w:w="2187" w:type="dxa"/>
            <w:shd w:val="clear" w:color="auto" w:fill="95B3D7" w:themeFill="accent1" w:themeFillTint="99"/>
            <w:vAlign w:val="center"/>
            <w:hideMark/>
          </w:tcPr>
          <w:p w14:paraId="23D8BC81" w14:textId="77777777" w:rsidR="00396F36" w:rsidRPr="00783495" w:rsidRDefault="00396F36" w:rsidP="008C0C54">
            <w:pPr>
              <w:spacing w:line="360" w:lineRule="auto"/>
              <w:ind w:left="284"/>
              <w:jc w:val="center"/>
              <w:rPr>
                <w:rFonts w:asciiTheme="minorHAnsi" w:hAnsiTheme="minorHAnsi" w:cstheme="minorHAnsi"/>
                <w:b/>
                <w:sz w:val="22"/>
                <w:szCs w:val="22"/>
                <w:lang w:eastAsia="en-IN"/>
              </w:rPr>
            </w:pPr>
            <w:r w:rsidRPr="00783495">
              <w:rPr>
                <w:rFonts w:asciiTheme="minorHAnsi" w:eastAsiaTheme="minorEastAsia" w:hAnsiTheme="minorHAnsi" w:cstheme="minorHAnsi"/>
                <w:b/>
                <w:bCs/>
                <w:kern w:val="24"/>
                <w:sz w:val="22"/>
                <w:szCs w:val="22"/>
              </w:rPr>
              <w:t>100%</w:t>
            </w:r>
          </w:p>
        </w:tc>
      </w:tr>
    </w:tbl>
    <w:p w14:paraId="4330DD16" w14:textId="2B252ACD" w:rsidR="00BB6BFE" w:rsidRPr="00236E38" w:rsidRDefault="00BB6BFE" w:rsidP="00396F36">
      <w:pPr>
        <w:spacing w:line="360" w:lineRule="auto"/>
        <w:ind w:left="360"/>
        <w:jc w:val="both"/>
        <w:rPr>
          <w:rFonts w:asciiTheme="minorHAnsi" w:hAnsiTheme="minorHAnsi" w:cstheme="minorHAnsi"/>
          <w:sz w:val="22"/>
          <w:szCs w:val="22"/>
        </w:rPr>
      </w:pPr>
    </w:p>
    <w:p w14:paraId="2ADDAA8C" w14:textId="77777777" w:rsidR="00396F36" w:rsidRPr="00B52232" w:rsidRDefault="00396F36" w:rsidP="00396F36">
      <w:pPr>
        <w:spacing w:line="360" w:lineRule="auto"/>
        <w:ind w:left="567"/>
        <w:jc w:val="both"/>
        <w:rPr>
          <w:rFonts w:asciiTheme="minorHAnsi" w:hAnsiTheme="minorHAnsi" w:cstheme="minorHAnsi"/>
          <w:sz w:val="22"/>
          <w:szCs w:val="22"/>
        </w:rPr>
      </w:pPr>
      <w:r w:rsidRPr="00B52232">
        <w:rPr>
          <w:rFonts w:asciiTheme="minorHAnsi" w:hAnsiTheme="minorHAnsi" w:cstheme="minorHAnsi"/>
          <w:sz w:val="22"/>
          <w:szCs w:val="22"/>
        </w:rPr>
        <w:t>To ensure accurate energy accounting at the point of energy exchange, a monthly energy audit is performed. This audit involves analyzing the raw data files from each meter and comparing them with the data from OTPCL-installed energy meters. This process helps to identify any</w:t>
      </w:r>
      <w:r>
        <w:rPr>
          <w:rFonts w:asciiTheme="minorHAnsi" w:hAnsiTheme="minorHAnsi" w:cstheme="minorHAnsi"/>
          <w:sz w:val="22"/>
          <w:szCs w:val="22"/>
        </w:rPr>
        <w:t xml:space="preserve"> </w:t>
      </w:r>
      <w:r w:rsidRPr="00B52232">
        <w:rPr>
          <w:rFonts w:asciiTheme="minorHAnsi" w:hAnsiTheme="minorHAnsi" w:cstheme="minorHAnsi"/>
          <w:sz w:val="22"/>
          <w:szCs w:val="22"/>
        </w:rPr>
        <w:t xml:space="preserve">discrepancies </w:t>
      </w:r>
      <w:r w:rsidRPr="00B52232">
        <w:rPr>
          <w:rFonts w:asciiTheme="minorHAnsi" w:hAnsiTheme="minorHAnsi" w:cstheme="minorHAnsi"/>
          <w:sz w:val="22"/>
          <w:szCs w:val="22"/>
        </w:rPr>
        <w:lastRenderedPageBreak/>
        <w:t>or disputes in energy consumption accounting, ensuring timely payment of Bulk Power Purchase Invoices without delays.</w:t>
      </w:r>
    </w:p>
    <w:p w14:paraId="0A14F553" w14:textId="77777777" w:rsidR="00BB6BFE" w:rsidRPr="00236E38" w:rsidRDefault="00BB6BFE" w:rsidP="00AD0CB1">
      <w:pPr>
        <w:spacing w:line="360" w:lineRule="auto"/>
        <w:ind w:left="709" w:hanging="425"/>
        <w:jc w:val="both"/>
        <w:rPr>
          <w:rFonts w:asciiTheme="minorHAnsi" w:hAnsiTheme="minorHAnsi" w:cstheme="minorHAnsi"/>
          <w:sz w:val="22"/>
          <w:szCs w:val="22"/>
        </w:rPr>
      </w:pPr>
    </w:p>
    <w:p w14:paraId="61143616" w14:textId="1EC025FA" w:rsidR="00BB6BFE" w:rsidRPr="00236E38" w:rsidRDefault="00BB6BFE" w:rsidP="00AD0CB1">
      <w:pPr>
        <w:spacing w:line="360" w:lineRule="auto"/>
        <w:ind w:left="709" w:hanging="425"/>
        <w:jc w:val="both"/>
        <w:rPr>
          <w:rFonts w:asciiTheme="minorHAnsi" w:hAnsiTheme="minorHAnsi" w:cstheme="minorHAnsi"/>
          <w:b/>
          <w:sz w:val="22"/>
          <w:szCs w:val="22"/>
          <w:lang w:bidi="or-IN"/>
        </w:rPr>
      </w:pPr>
      <w:r w:rsidRPr="00236E38">
        <w:rPr>
          <w:rFonts w:asciiTheme="minorHAnsi" w:hAnsiTheme="minorHAnsi" w:cstheme="minorHAnsi"/>
          <w:b/>
          <w:sz w:val="22"/>
          <w:szCs w:val="22"/>
          <w:lang w:bidi="or-IN"/>
        </w:rPr>
        <w:t xml:space="preserve">      </w:t>
      </w:r>
      <w:r w:rsidR="00AD0CB1">
        <w:rPr>
          <w:rFonts w:asciiTheme="minorHAnsi" w:hAnsiTheme="minorHAnsi" w:cstheme="minorHAnsi"/>
          <w:b/>
          <w:sz w:val="22"/>
          <w:szCs w:val="22"/>
          <w:lang w:bidi="or-IN"/>
        </w:rPr>
        <w:t xml:space="preserve">  </w:t>
      </w:r>
      <w:r w:rsidRPr="00236E38">
        <w:rPr>
          <w:rFonts w:asciiTheme="minorHAnsi" w:hAnsiTheme="minorHAnsi" w:cstheme="minorHAnsi"/>
          <w:b/>
          <w:sz w:val="22"/>
          <w:szCs w:val="22"/>
          <w:lang w:bidi="or-IN"/>
        </w:rPr>
        <w:t>100 % metering for 33 kV and 11 kV Feeder at TPNODL PSS</w:t>
      </w:r>
    </w:p>
    <w:p w14:paraId="5F6BC807" w14:textId="21A37782" w:rsidR="00BB6BFE" w:rsidRPr="00236E38" w:rsidRDefault="00BB6BFE" w:rsidP="00AD0CB1">
      <w:pPr>
        <w:spacing w:line="360" w:lineRule="auto"/>
        <w:ind w:left="709" w:hanging="425"/>
        <w:jc w:val="both"/>
        <w:rPr>
          <w:rFonts w:asciiTheme="minorHAnsi" w:hAnsiTheme="minorHAnsi" w:cstheme="minorHAnsi"/>
          <w:sz w:val="22"/>
          <w:szCs w:val="22"/>
        </w:rPr>
      </w:pPr>
      <w:r w:rsidRPr="00236E38">
        <w:rPr>
          <w:rFonts w:asciiTheme="minorHAnsi" w:hAnsiTheme="minorHAnsi" w:cstheme="minorHAnsi"/>
          <w:sz w:val="22"/>
          <w:szCs w:val="22"/>
        </w:rPr>
        <w:t xml:space="preserve">        In order to ensure accurate energy measurement at various nodes of PSS level, the utility has made significant efforts to revive the 33 kV and 11 kV feeder metering at the PSS. To achieve this, a dedicate project initiated including the 828 Feeder meter replacement, installation/revival of 723 Line PTs and CTs to replace burnt and faulty metering units, shifting of meters to panels inside PSS, rectification of unsafe wiring and connections, and mapping of complete energy flow of feeders for audit purposes. The Initiatives were taken to establish robust and accurate energy measurement infrastructure. </w:t>
      </w:r>
    </w:p>
    <w:p w14:paraId="44E58CCF" w14:textId="77777777" w:rsidR="00BB6BFE" w:rsidRPr="00236E38" w:rsidRDefault="00BB6BFE" w:rsidP="00AD0CB1">
      <w:pPr>
        <w:spacing w:line="360" w:lineRule="auto"/>
        <w:ind w:left="709" w:hanging="425"/>
        <w:jc w:val="both"/>
        <w:rPr>
          <w:rFonts w:asciiTheme="minorHAnsi" w:hAnsiTheme="minorHAnsi" w:cstheme="minorHAnsi"/>
          <w:sz w:val="22"/>
          <w:szCs w:val="22"/>
        </w:rPr>
      </w:pPr>
    </w:p>
    <w:p w14:paraId="3557B9FD" w14:textId="2E4AE285" w:rsidR="00BB6BFE" w:rsidRPr="00236E38" w:rsidRDefault="00BB6BFE" w:rsidP="00AD0CB1">
      <w:pPr>
        <w:spacing w:line="360" w:lineRule="auto"/>
        <w:ind w:left="709" w:hanging="425"/>
        <w:jc w:val="both"/>
        <w:rPr>
          <w:rFonts w:asciiTheme="minorHAnsi" w:hAnsiTheme="minorHAnsi" w:cstheme="minorHAnsi"/>
          <w:sz w:val="22"/>
          <w:szCs w:val="22"/>
          <w:lang w:bidi="or-IN"/>
        </w:rPr>
      </w:pPr>
      <w:r w:rsidRPr="00236E38">
        <w:rPr>
          <w:rFonts w:asciiTheme="minorHAnsi" w:hAnsiTheme="minorHAnsi" w:cstheme="minorHAnsi"/>
          <w:sz w:val="22"/>
          <w:szCs w:val="22"/>
          <w:lang w:bidi="or-IN"/>
        </w:rPr>
        <w:t xml:space="preserve">     </w:t>
      </w:r>
      <w:r w:rsidR="00AD0CB1">
        <w:rPr>
          <w:rFonts w:asciiTheme="minorHAnsi" w:hAnsiTheme="minorHAnsi" w:cstheme="minorHAnsi"/>
          <w:sz w:val="22"/>
          <w:szCs w:val="22"/>
          <w:lang w:bidi="or-IN"/>
        </w:rPr>
        <w:t xml:space="preserve">   </w:t>
      </w:r>
      <w:r w:rsidRPr="00236E38">
        <w:rPr>
          <w:rFonts w:asciiTheme="minorHAnsi" w:hAnsiTheme="minorHAnsi" w:cstheme="minorHAnsi"/>
          <w:sz w:val="22"/>
          <w:szCs w:val="22"/>
          <w:lang w:bidi="or-IN"/>
        </w:rPr>
        <w:t xml:space="preserve"> With the aforesaid initiative’s efforts, </w:t>
      </w:r>
      <w:r w:rsidRPr="00236E38">
        <w:rPr>
          <w:rFonts w:asciiTheme="minorHAnsi" w:hAnsiTheme="minorHAnsi" w:cstheme="minorHAnsi"/>
          <w:b/>
          <w:sz w:val="22"/>
          <w:szCs w:val="22"/>
          <w:lang w:bidi="or-IN"/>
        </w:rPr>
        <w:t xml:space="preserve">100 % of 33 kV and 11 kV Feeder metering is achieved. </w:t>
      </w:r>
      <w:r w:rsidRPr="00236E38">
        <w:rPr>
          <w:rFonts w:asciiTheme="minorHAnsi" w:hAnsiTheme="minorHAnsi" w:cstheme="minorHAnsi"/>
          <w:sz w:val="22"/>
          <w:szCs w:val="22"/>
          <w:lang w:bidi="or-IN"/>
        </w:rPr>
        <w:t xml:space="preserve">This has facilitated the audit of technical losses of network as well as identify the 11-kV high loss-making feeders to initiate loss reduction activities. </w:t>
      </w:r>
    </w:p>
    <w:p w14:paraId="0187021F" w14:textId="1147E30A" w:rsidR="00BB6BFE" w:rsidRPr="00236E38" w:rsidRDefault="00BB6BFE" w:rsidP="00AD0CB1">
      <w:pPr>
        <w:spacing w:line="360" w:lineRule="auto"/>
        <w:ind w:left="709" w:hanging="425"/>
        <w:jc w:val="both"/>
        <w:rPr>
          <w:rFonts w:asciiTheme="minorHAnsi" w:hAnsiTheme="minorHAnsi" w:cstheme="minorHAnsi"/>
          <w:b/>
          <w:sz w:val="22"/>
          <w:szCs w:val="22"/>
          <w:lang w:bidi="or-IN"/>
        </w:rPr>
      </w:pPr>
      <w:r w:rsidRPr="00236E38">
        <w:rPr>
          <w:rFonts w:asciiTheme="minorHAnsi" w:hAnsiTheme="minorHAnsi" w:cstheme="minorHAnsi"/>
          <w:b/>
          <w:sz w:val="22"/>
          <w:szCs w:val="22"/>
          <w:lang w:bidi="or-IN"/>
        </w:rPr>
        <w:t xml:space="preserve">       </w:t>
      </w:r>
      <w:r w:rsidR="00AD0CB1">
        <w:rPr>
          <w:rFonts w:asciiTheme="minorHAnsi" w:hAnsiTheme="minorHAnsi" w:cstheme="minorHAnsi"/>
          <w:b/>
          <w:sz w:val="22"/>
          <w:szCs w:val="22"/>
          <w:lang w:bidi="or-IN"/>
        </w:rPr>
        <w:t xml:space="preserve">   </w:t>
      </w:r>
      <w:r w:rsidRPr="00236E38">
        <w:rPr>
          <w:rFonts w:asciiTheme="minorHAnsi" w:hAnsiTheme="minorHAnsi" w:cstheme="minorHAnsi"/>
          <w:b/>
          <w:sz w:val="22"/>
          <w:szCs w:val="22"/>
          <w:lang w:bidi="or-IN"/>
        </w:rPr>
        <w:t>The Circle wise current status of metering is as follows</w:t>
      </w:r>
    </w:p>
    <w:p w14:paraId="3368FF42" w14:textId="69286450" w:rsidR="00BB6BFE" w:rsidRPr="00236E38" w:rsidRDefault="002B5470" w:rsidP="002B5470">
      <w:pPr>
        <w:spacing w:line="360" w:lineRule="auto"/>
        <w:ind w:left="710"/>
        <w:contextualSpacing/>
        <w:jc w:val="both"/>
        <w:rPr>
          <w:rFonts w:asciiTheme="minorHAnsi" w:eastAsia="Calibri" w:hAnsiTheme="minorHAnsi" w:cstheme="minorHAnsi"/>
          <w:b/>
          <w:sz w:val="22"/>
          <w:szCs w:val="22"/>
          <w:lang w:bidi="or-IN"/>
        </w:rPr>
      </w:pPr>
      <w:r>
        <w:rPr>
          <w:rFonts w:asciiTheme="minorHAnsi" w:eastAsia="Calibri" w:hAnsiTheme="minorHAnsi" w:cstheme="minorHAnsi"/>
          <w:b/>
          <w:sz w:val="22"/>
          <w:szCs w:val="22"/>
          <w:lang w:bidi="or-IN"/>
        </w:rPr>
        <w:t xml:space="preserve">                                                 A. </w:t>
      </w:r>
      <w:r w:rsidR="00BB6BFE" w:rsidRPr="00236E38">
        <w:rPr>
          <w:rFonts w:asciiTheme="minorHAnsi" w:eastAsia="Calibri" w:hAnsiTheme="minorHAnsi" w:cstheme="minorHAnsi"/>
          <w:b/>
          <w:sz w:val="22"/>
          <w:szCs w:val="22"/>
          <w:lang w:bidi="or-IN"/>
        </w:rPr>
        <w:t>100% metering for the 11 kV Feeders</w:t>
      </w:r>
    </w:p>
    <w:tbl>
      <w:tblPr>
        <w:tblW w:w="8381" w:type="dxa"/>
        <w:tblInd w:w="9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562"/>
        <w:gridCol w:w="2246"/>
        <w:gridCol w:w="1966"/>
        <w:gridCol w:w="2607"/>
      </w:tblGrid>
      <w:tr w:rsidR="00BB6BFE" w:rsidRPr="00236E38" w14:paraId="63DD08C2" w14:textId="77777777" w:rsidTr="00AD0CB1">
        <w:trPr>
          <w:trHeight w:val="241"/>
        </w:trPr>
        <w:tc>
          <w:tcPr>
            <w:tcW w:w="1562" w:type="dxa"/>
            <w:vMerge w:val="restart"/>
            <w:shd w:val="clear" w:color="auto" w:fill="8DB3E2" w:themeFill="text2" w:themeFillTint="66"/>
            <w:tcMar>
              <w:top w:w="15" w:type="dxa"/>
              <w:left w:w="15" w:type="dxa"/>
              <w:bottom w:w="0" w:type="dxa"/>
              <w:right w:w="15" w:type="dxa"/>
            </w:tcMar>
            <w:vAlign w:val="center"/>
            <w:hideMark/>
          </w:tcPr>
          <w:p w14:paraId="5E154FF5" w14:textId="77777777" w:rsidR="00BB6BFE" w:rsidRPr="00AD0CB1" w:rsidRDefault="00BB6BFE" w:rsidP="00236E38">
            <w:pPr>
              <w:spacing w:line="360" w:lineRule="auto"/>
              <w:jc w:val="center"/>
              <w:textAlignment w:val="center"/>
              <w:rPr>
                <w:rFonts w:asciiTheme="minorHAnsi" w:hAnsiTheme="minorHAnsi" w:cstheme="minorHAnsi"/>
                <w:color w:val="000000" w:themeColor="text1"/>
                <w:sz w:val="22"/>
                <w:szCs w:val="22"/>
                <w:lang w:eastAsia="en-IN"/>
              </w:rPr>
            </w:pPr>
            <w:r w:rsidRPr="00AD0CB1">
              <w:rPr>
                <w:rFonts w:asciiTheme="minorHAnsi" w:hAnsiTheme="minorHAnsi" w:cstheme="minorHAnsi"/>
                <w:b/>
                <w:bCs/>
                <w:color w:val="000000" w:themeColor="text1"/>
                <w:kern w:val="24"/>
                <w:sz w:val="22"/>
                <w:szCs w:val="22"/>
                <w:lang w:eastAsia="en-IN"/>
              </w:rPr>
              <w:t>Circle</w:t>
            </w:r>
          </w:p>
        </w:tc>
        <w:tc>
          <w:tcPr>
            <w:tcW w:w="6819" w:type="dxa"/>
            <w:gridSpan w:val="3"/>
            <w:shd w:val="clear" w:color="auto" w:fill="8DB3E2" w:themeFill="text2" w:themeFillTint="66"/>
            <w:tcMar>
              <w:top w:w="15" w:type="dxa"/>
              <w:left w:w="15" w:type="dxa"/>
              <w:bottom w:w="0" w:type="dxa"/>
              <w:right w:w="15" w:type="dxa"/>
            </w:tcMar>
            <w:vAlign w:val="center"/>
            <w:hideMark/>
          </w:tcPr>
          <w:p w14:paraId="72A94C32" w14:textId="77777777" w:rsidR="00BB6BFE" w:rsidRPr="00AD0CB1" w:rsidRDefault="00BB6BFE" w:rsidP="00236E38">
            <w:pPr>
              <w:spacing w:line="360" w:lineRule="auto"/>
              <w:jc w:val="center"/>
              <w:textAlignment w:val="center"/>
              <w:rPr>
                <w:rFonts w:asciiTheme="minorHAnsi" w:hAnsiTheme="minorHAnsi" w:cstheme="minorHAnsi"/>
                <w:color w:val="000000" w:themeColor="text1"/>
                <w:sz w:val="22"/>
                <w:szCs w:val="22"/>
                <w:lang w:eastAsia="en-IN"/>
              </w:rPr>
            </w:pPr>
            <w:r w:rsidRPr="00AD0CB1">
              <w:rPr>
                <w:rFonts w:asciiTheme="minorHAnsi" w:hAnsiTheme="minorHAnsi" w:cstheme="minorHAnsi"/>
                <w:b/>
                <w:bCs/>
                <w:color w:val="000000" w:themeColor="text1"/>
                <w:kern w:val="24"/>
                <w:sz w:val="22"/>
                <w:szCs w:val="22"/>
                <w:lang w:eastAsia="en-IN"/>
              </w:rPr>
              <w:t>11 kV Feeders</w:t>
            </w:r>
          </w:p>
        </w:tc>
      </w:tr>
      <w:tr w:rsidR="00BB6BFE" w:rsidRPr="00236E38" w14:paraId="046EFB05" w14:textId="77777777" w:rsidTr="00AD0CB1">
        <w:trPr>
          <w:trHeight w:val="241"/>
        </w:trPr>
        <w:tc>
          <w:tcPr>
            <w:tcW w:w="1562" w:type="dxa"/>
            <w:vMerge/>
            <w:shd w:val="clear" w:color="auto" w:fill="8DB3E2" w:themeFill="text2" w:themeFillTint="66"/>
            <w:vAlign w:val="center"/>
            <w:hideMark/>
          </w:tcPr>
          <w:p w14:paraId="31A5D837" w14:textId="77777777" w:rsidR="00BB6BFE" w:rsidRPr="00AD0CB1" w:rsidRDefault="00BB6BFE" w:rsidP="00236E38">
            <w:pPr>
              <w:spacing w:line="360" w:lineRule="auto"/>
              <w:rPr>
                <w:rFonts w:asciiTheme="minorHAnsi" w:hAnsiTheme="minorHAnsi" w:cstheme="minorHAnsi"/>
                <w:color w:val="000000" w:themeColor="text1"/>
                <w:sz w:val="22"/>
                <w:szCs w:val="22"/>
                <w:lang w:eastAsia="en-IN"/>
              </w:rPr>
            </w:pPr>
          </w:p>
        </w:tc>
        <w:tc>
          <w:tcPr>
            <w:tcW w:w="2246" w:type="dxa"/>
            <w:shd w:val="clear" w:color="auto" w:fill="8DB3E2" w:themeFill="text2" w:themeFillTint="66"/>
            <w:tcMar>
              <w:top w:w="15" w:type="dxa"/>
              <w:left w:w="15" w:type="dxa"/>
              <w:bottom w:w="0" w:type="dxa"/>
              <w:right w:w="15" w:type="dxa"/>
            </w:tcMar>
            <w:vAlign w:val="center"/>
            <w:hideMark/>
          </w:tcPr>
          <w:p w14:paraId="4264725F" w14:textId="77777777" w:rsidR="00BB6BFE" w:rsidRPr="00AD0CB1" w:rsidRDefault="00BB6BFE" w:rsidP="00236E38">
            <w:pPr>
              <w:spacing w:line="360" w:lineRule="auto"/>
              <w:jc w:val="center"/>
              <w:textAlignment w:val="center"/>
              <w:rPr>
                <w:rFonts w:asciiTheme="minorHAnsi" w:hAnsiTheme="minorHAnsi" w:cstheme="minorHAnsi"/>
                <w:color w:val="000000" w:themeColor="text1"/>
                <w:sz w:val="22"/>
                <w:szCs w:val="22"/>
                <w:lang w:eastAsia="en-IN"/>
              </w:rPr>
            </w:pPr>
            <w:r w:rsidRPr="00AD0CB1">
              <w:rPr>
                <w:rFonts w:asciiTheme="minorHAnsi" w:hAnsiTheme="minorHAnsi" w:cstheme="minorHAnsi"/>
                <w:b/>
                <w:bCs/>
                <w:color w:val="000000" w:themeColor="text1"/>
                <w:kern w:val="24"/>
                <w:sz w:val="22"/>
                <w:szCs w:val="22"/>
                <w:lang w:eastAsia="en-IN"/>
              </w:rPr>
              <w:t>Total 11 kV Feeders</w:t>
            </w:r>
          </w:p>
        </w:tc>
        <w:tc>
          <w:tcPr>
            <w:tcW w:w="1966" w:type="dxa"/>
            <w:shd w:val="clear" w:color="auto" w:fill="8DB3E2" w:themeFill="text2" w:themeFillTint="66"/>
            <w:tcMar>
              <w:top w:w="15" w:type="dxa"/>
              <w:left w:w="15" w:type="dxa"/>
              <w:bottom w:w="0" w:type="dxa"/>
              <w:right w:w="15" w:type="dxa"/>
            </w:tcMar>
            <w:vAlign w:val="center"/>
            <w:hideMark/>
          </w:tcPr>
          <w:p w14:paraId="22848FCA" w14:textId="77777777" w:rsidR="00BB6BFE" w:rsidRPr="00AD0CB1" w:rsidRDefault="00BB6BFE" w:rsidP="00236E38">
            <w:pPr>
              <w:spacing w:line="360" w:lineRule="auto"/>
              <w:jc w:val="center"/>
              <w:textAlignment w:val="center"/>
              <w:rPr>
                <w:rFonts w:asciiTheme="minorHAnsi" w:hAnsiTheme="minorHAnsi" w:cstheme="minorHAnsi"/>
                <w:color w:val="000000" w:themeColor="text1"/>
                <w:sz w:val="22"/>
                <w:szCs w:val="22"/>
                <w:lang w:eastAsia="en-IN"/>
              </w:rPr>
            </w:pPr>
            <w:r w:rsidRPr="00AD0CB1">
              <w:rPr>
                <w:rFonts w:asciiTheme="minorHAnsi" w:hAnsiTheme="minorHAnsi" w:cstheme="minorHAnsi"/>
                <w:b/>
                <w:bCs/>
                <w:color w:val="000000" w:themeColor="text1"/>
                <w:kern w:val="24"/>
                <w:sz w:val="22"/>
                <w:szCs w:val="22"/>
                <w:lang w:eastAsia="en-IN"/>
              </w:rPr>
              <w:t xml:space="preserve">Feeder Metering </w:t>
            </w:r>
          </w:p>
        </w:tc>
        <w:tc>
          <w:tcPr>
            <w:tcW w:w="2607" w:type="dxa"/>
            <w:shd w:val="clear" w:color="auto" w:fill="8DB3E2" w:themeFill="text2" w:themeFillTint="66"/>
            <w:tcMar>
              <w:top w:w="15" w:type="dxa"/>
              <w:left w:w="15" w:type="dxa"/>
              <w:bottom w:w="0" w:type="dxa"/>
              <w:right w:w="15" w:type="dxa"/>
            </w:tcMar>
            <w:vAlign w:val="center"/>
            <w:hideMark/>
          </w:tcPr>
          <w:p w14:paraId="528CF3BA" w14:textId="77777777" w:rsidR="00BB6BFE" w:rsidRPr="00AD0CB1" w:rsidRDefault="00BB6BFE" w:rsidP="00236E38">
            <w:pPr>
              <w:spacing w:line="360" w:lineRule="auto"/>
              <w:jc w:val="center"/>
              <w:textAlignment w:val="center"/>
              <w:rPr>
                <w:rFonts w:asciiTheme="minorHAnsi" w:hAnsiTheme="minorHAnsi" w:cstheme="minorHAnsi"/>
                <w:color w:val="000000" w:themeColor="text1"/>
                <w:sz w:val="22"/>
                <w:szCs w:val="22"/>
                <w:lang w:eastAsia="en-IN"/>
              </w:rPr>
            </w:pPr>
            <w:r w:rsidRPr="00AD0CB1">
              <w:rPr>
                <w:rFonts w:asciiTheme="minorHAnsi" w:hAnsiTheme="minorHAnsi" w:cstheme="minorHAnsi"/>
                <w:b/>
                <w:bCs/>
                <w:color w:val="000000" w:themeColor="text1"/>
                <w:kern w:val="24"/>
                <w:sz w:val="22"/>
                <w:szCs w:val="22"/>
                <w:lang w:eastAsia="en-IN"/>
              </w:rPr>
              <w:t>% Completion</w:t>
            </w:r>
          </w:p>
        </w:tc>
      </w:tr>
      <w:tr w:rsidR="00BB6BFE" w:rsidRPr="00236E38" w14:paraId="1007A107" w14:textId="77777777" w:rsidTr="00AD0CB1">
        <w:trPr>
          <w:trHeight w:val="241"/>
        </w:trPr>
        <w:tc>
          <w:tcPr>
            <w:tcW w:w="1562" w:type="dxa"/>
            <w:shd w:val="clear" w:color="auto" w:fill="auto"/>
            <w:tcMar>
              <w:top w:w="15" w:type="dxa"/>
              <w:left w:w="15" w:type="dxa"/>
              <w:bottom w:w="0" w:type="dxa"/>
              <w:right w:w="15" w:type="dxa"/>
            </w:tcMar>
            <w:vAlign w:val="center"/>
            <w:hideMark/>
          </w:tcPr>
          <w:p w14:paraId="30A09721" w14:textId="77777777" w:rsidR="00BB6BFE" w:rsidRPr="00236E38" w:rsidRDefault="00BB6BFE" w:rsidP="00236E38">
            <w:pPr>
              <w:spacing w:line="360" w:lineRule="auto"/>
              <w:jc w:val="center"/>
              <w:textAlignment w:val="center"/>
              <w:rPr>
                <w:rFonts w:asciiTheme="minorHAnsi" w:hAnsiTheme="minorHAnsi" w:cstheme="minorHAnsi"/>
                <w:sz w:val="22"/>
                <w:szCs w:val="22"/>
                <w:lang w:eastAsia="en-IN"/>
              </w:rPr>
            </w:pPr>
            <w:proofErr w:type="spellStart"/>
            <w:r w:rsidRPr="00236E38">
              <w:rPr>
                <w:rFonts w:asciiTheme="minorHAnsi" w:hAnsiTheme="minorHAnsi" w:cstheme="minorHAnsi"/>
                <w:b/>
                <w:bCs/>
                <w:color w:val="000000"/>
                <w:kern w:val="24"/>
                <w:sz w:val="22"/>
                <w:szCs w:val="22"/>
                <w:lang w:eastAsia="en-IN"/>
              </w:rPr>
              <w:t>Balasore</w:t>
            </w:r>
            <w:proofErr w:type="spellEnd"/>
          </w:p>
        </w:tc>
        <w:tc>
          <w:tcPr>
            <w:tcW w:w="2246" w:type="dxa"/>
            <w:shd w:val="clear" w:color="auto" w:fill="auto"/>
            <w:tcMar>
              <w:top w:w="15" w:type="dxa"/>
              <w:left w:w="15" w:type="dxa"/>
              <w:bottom w:w="0" w:type="dxa"/>
              <w:right w:w="15" w:type="dxa"/>
            </w:tcMar>
            <w:vAlign w:val="center"/>
            <w:hideMark/>
          </w:tcPr>
          <w:p w14:paraId="1BD29C31" w14:textId="77777777" w:rsidR="00BB6BFE" w:rsidRPr="00236E38" w:rsidRDefault="00BB6BFE" w:rsidP="00236E38">
            <w:pPr>
              <w:spacing w:line="360" w:lineRule="auto"/>
              <w:jc w:val="center"/>
              <w:textAlignment w:val="center"/>
              <w:rPr>
                <w:rFonts w:asciiTheme="minorHAnsi" w:hAnsiTheme="minorHAnsi" w:cstheme="minorHAnsi"/>
                <w:sz w:val="22"/>
                <w:szCs w:val="22"/>
                <w:lang w:eastAsia="en-IN"/>
              </w:rPr>
            </w:pPr>
            <w:r w:rsidRPr="00236E38">
              <w:rPr>
                <w:rFonts w:asciiTheme="minorHAnsi" w:eastAsiaTheme="minorEastAsia" w:hAnsiTheme="minorHAnsi" w:cstheme="minorHAnsi"/>
                <w:color w:val="000000" w:themeColor="text1"/>
                <w:kern w:val="24"/>
                <w:sz w:val="22"/>
                <w:szCs w:val="22"/>
              </w:rPr>
              <w:t>231</w:t>
            </w:r>
          </w:p>
        </w:tc>
        <w:tc>
          <w:tcPr>
            <w:tcW w:w="1966" w:type="dxa"/>
            <w:shd w:val="clear" w:color="auto" w:fill="auto"/>
            <w:tcMar>
              <w:top w:w="15" w:type="dxa"/>
              <w:left w:w="15" w:type="dxa"/>
              <w:bottom w:w="0" w:type="dxa"/>
              <w:right w:w="15" w:type="dxa"/>
            </w:tcMar>
            <w:vAlign w:val="center"/>
            <w:hideMark/>
          </w:tcPr>
          <w:p w14:paraId="79BEB70C" w14:textId="77777777" w:rsidR="00BB6BFE" w:rsidRPr="00236E38" w:rsidRDefault="00BB6BFE" w:rsidP="00236E38">
            <w:pPr>
              <w:spacing w:line="360" w:lineRule="auto"/>
              <w:jc w:val="center"/>
              <w:textAlignment w:val="center"/>
              <w:rPr>
                <w:rFonts w:asciiTheme="minorHAnsi" w:hAnsiTheme="minorHAnsi" w:cstheme="minorHAnsi"/>
                <w:sz w:val="22"/>
                <w:szCs w:val="22"/>
                <w:lang w:eastAsia="en-IN"/>
              </w:rPr>
            </w:pPr>
            <w:r w:rsidRPr="00236E38">
              <w:rPr>
                <w:rFonts w:asciiTheme="minorHAnsi" w:eastAsiaTheme="minorEastAsia" w:hAnsiTheme="minorHAnsi" w:cstheme="minorHAnsi"/>
                <w:color w:val="000000" w:themeColor="text1"/>
                <w:kern w:val="24"/>
                <w:sz w:val="22"/>
                <w:szCs w:val="22"/>
              </w:rPr>
              <w:t>231</w:t>
            </w:r>
          </w:p>
        </w:tc>
        <w:tc>
          <w:tcPr>
            <w:tcW w:w="2607" w:type="dxa"/>
            <w:shd w:val="clear" w:color="auto" w:fill="FFFFFF" w:themeFill="background1"/>
            <w:tcMar>
              <w:top w:w="15" w:type="dxa"/>
              <w:left w:w="15" w:type="dxa"/>
              <w:bottom w:w="0" w:type="dxa"/>
              <w:right w:w="15" w:type="dxa"/>
            </w:tcMar>
            <w:vAlign w:val="center"/>
            <w:hideMark/>
          </w:tcPr>
          <w:p w14:paraId="248150DB" w14:textId="77777777" w:rsidR="00BB6BFE" w:rsidRPr="00236E38" w:rsidRDefault="00BB6BFE" w:rsidP="00236E38">
            <w:pPr>
              <w:spacing w:line="360" w:lineRule="auto"/>
              <w:jc w:val="center"/>
              <w:textAlignment w:val="center"/>
              <w:rPr>
                <w:rFonts w:asciiTheme="minorHAnsi" w:hAnsiTheme="minorHAnsi" w:cstheme="minorHAnsi"/>
                <w:sz w:val="22"/>
                <w:szCs w:val="22"/>
                <w:lang w:eastAsia="en-IN"/>
              </w:rPr>
            </w:pPr>
            <w:r w:rsidRPr="00236E38">
              <w:rPr>
                <w:rFonts w:asciiTheme="minorHAnsi" w:hAnsiTheme="minorHAnsi" w:cstheme="minorHAnsi"/>
                <w:color w:val="000000"/>
                <w:kern w:val="24"/>
                <w:sz w:val="22"/>
                <w:szCs w:val="22"/>
                <w:lang w:eastAsia="en-IN"/>
              </w:rPr>
              <w:t>100%</w:t>
            </w:r>
          </w:p>
        </w:tc>
      </w:tr>
      <w:tr w:rsidR="00BB6BFE" w:rsidRPr="00236E38" w14:paraId="1ADB5B5F" w14:textId="77777777" w:rsidTr="00AD0CB1">
        <w:trPr>
          <w:trHeight w:val="241"/>
        </w:trPr>
        <w:tc>
          <w:tcPr>
            <w:tcW w:w="1562" w:type="dxa"/>
            <w:shd w:val="clear" w:color="auto" w:fill="auto"/>
            <w:tcMar>
              <w:top w:w="15" w:type="dxa"/>
              <w:left w:w="15" w:type="dxa"/>
              <w:bottom w:w="0" w:type="dxa"/>
              <w:right w:w="15" w:type="dxa"/>
            </w:tcMar>
            <w:vAlign w:val="center"/>
            <w:hideMark/>
          </w:tcPr>
          <w:p w14:paraId="0FB93741" w14:textId="77777777" w:rsidR="00BB6BFE" w:rsidRPr="00236E38" w:rsidRDefault="00BB6BFE" w:rsidP="00236E38">
            <w:pPr>
              <w:spacing w:line="360" w:lineRule="auto"/>
              <w:jc w:val="center"/>
              <w:textAlignment w:val="center"/>
              <w:rPr>
                <w:rFonts w:asciiTheme="minorHAnsi" w:hAnsiTheme="minorHAnsi" w:cstheme="minorHAnsi"/>
                <w:sz w:val="22"/>
                <w:szCs w:val="22"/>
                <w:lang w:eastAsia="en-IN"/>
              </w:rPr>
            </w:pPr>
            <w:proofErr w:type="spellStart"/>
            <w:r w:rsidRPr="00236E38">
              <w:rPr>
                <w:rFonts w:asciiTheme="minorHAnsi" w:hAnsiTheme="minorHAnsi" w:cstheme="minorHAnsi"/>
                <w:b/>
                <w:bCs/>
                <w:color w:val="000000"/>
                <w:kern w:val="24"/>
                <w:sz w:val="22"/>
                <w:szCs w:val="22"/>
                <w:lang w:eastAsia="en-IN"/>
              </w:rPr>
              <w:t>Baripada</w:t>
            </w:r>
            <w:proofErr w:type="spellEnd"/>
          </w:p>
        </w:tc>
        <w:tc>
          <w:tcPr>
            <w:tcW w:w="2246" w:type="dxa"/>
            <w:shd w:val="clear" w:color="auto" w:fill="auto"/>
            <w:tcMar>
              <w:top w:w="15" w:type="dxa"/>
              <w:left w:w="15" w:type="dxa"/>
              <w:bottom w:w="0" w:type="dxa"/>
              <w:right w:w="15" w:type="dxa"/>
            </w:tcMar>
            <w:vAlign w:val="center"/>
            <w:hideMark/>
          </w:tcPr>
          <w:p w14:paraId="4F896472" w14:textId="77777777" w:rsidR="00BB6BFE" w:rsidRPr="00236E38" w:rsidRDefault="00BB6BFE" w:rsidP="00236E38">
            <w:pPr>
              <w:spacing w:line="360" w:lineRule="auto"/>
              <w:jc w:val="center"/>
              <w:textAlignment w:val="center"/>
              <w:rPr>
                <w:rFonts w:asciiTheme="minorHAnsi" w:hAnsiTheme="minorHAnsi" w:cstheme="minorHAnsi"/>
                <w:sz w:val="22"/>
                <w:szCs w:val="22"/>
                <w:lang w:eastAsia="en-IN"/>
              </w:rPr>
            </w:pPr>
            <w:r w:rsidRPr="00236E38">
              <w:rPr>
                <w:rFonts w:asciiTheme="minorHAnsi" w:eastAsiaTheme="minorEastAsia" w:hAnsiTheme="minorHAnsi" w:cstheme="minorHAnsi"/>
                <w:color w:val="000000" w:themeColor="text1"/>
                <w:kern w:val="24"/>
                <w:sz w:val="22"/>
                <w:szCs w:val="22"/>
              </w:rPr>
              <w:t>191</w:t>
            </w:r>
          </w:p>
        </w:tc>
        <w:tc>
          <w:tcPr>
            <w:tcW w:w="1966" w:type="dxa"/>
            <w:shd w:val="clear" w:color="auto" w:fill="auto"/>
            <w:tcMar>
              <w:top w:w="15" w:type="dxa"/>
              <w:left w:w="15" w:type="dxa"/>
              <w:bottom w:w="0" w:type="dxa"/>
              <w:right w:w="15" w:type="dxa"/>
            </w:tcMar>
            <w:vAlign w:val="center"/>
            <w:hideMark/>
          </w:tcPr>
          <w:p w14:paraId="64DF4D37" w14:textId="77777777" w:rsidR="00BB6BFE" w:rsidRPr="00236E38" w:rsidRDefault="00BB6BFE" w:rsidP="00236E38">
            <w:pPr>
              <w:spacing w:line="360" w:lineRule="auto"/>
              <w:jc w:val="center"/>
              <w:textAlignment w:val="center"/>
              <w:rPr>
                <w:rFonts w:asciiTheme="minorHAnsi" w:hAnsiTheme="minorHAnsi" w:cstheme="minorHAnsi"/>
                <w:sz w:val="22"/>
                <w:szCs w:val="22"/>
                <w:lang w:eastAsia="en-IN"/>
              </w:rPr>
            </w:pPr>
            <w:r w:rsidRPr="00236E38">
              <w:rPr>
                <w:rFonts w:asciiTheme="minorHAnsi" w:eastAsiaTheme="minorEastAsia" w:hAnsiTheme="minorHAnsi" w:cstheme="minorHAnsi"/>
                <w:color w:val="000000" w:themeColor="text1"/>
                <w:kern w:val="24"/>
                <w:sz w:val="22"/>
                <w:szCs w:val="22"/>
              </w:rPr>
              <w:t>191</w:t>
            </w:r>
          </w:p>
        </w:tc>
        <w:tc>
          <w:tcPr>
            <w:tcW w:w="2607" w:type="dxa"/>
            <w:shd w:val="clear" w:color="auto" w:fill="FFFFFF" w:themeFill="background1"/>
            <w:tcMar>
              <w:top w:w="15" w:type="dxa"/>
              <w:left w:w="15" w:type="dxa"/>
              <w:bottom w:w="0" w:type="dxa"/>
              <w:right w:w="15" w:type="dxa"/>
            </w:tcMar>
            <w:vAlign w:val="center"/>
            <w:hideMark/>
          </w:tcPr>
          <w:p w14:paraId="65A23515" w14:textId="77777777" w:rsidR="00BB6BFE" w:rsidRPr="00236E38" w:rsidRDefault="00BB6BFE" w:rsidP="00236E38">
            <w:pPr>
              <w:spacing w:line="360" w:lineRule="auto"/>
              <w:jc w:val="center"/>
              <w:textAlignment w:val="center"/>
              <w:rPr>
                <w:rFonts w:asciiTheme="minorHAnsi" w:hAnsiTheme="minorHAnsi" w:cstheme="minorHAnsi"/>
                <w:sz w:val="22"/>
                <w:szCs w:val="22"/>
                <w:lang w:eastAsia="en-IN"/>
              </w:rPr>
            </w:pPr>
            <w:r w:rsidRPr="00236E38">
              <w:rPr>
                <w:rFonts w:asciiTheme="minorHAnsi" w:hAnsiTheme="minorHAnsi" w:cstheme="minorHAnsi"/>
                <w:color w:val="000000"/>
                <w:kern w:val="24"/>
                <w:sz w:val="22"/>
                <w:szCs w:val="22"/>
                <w:lang w:eastAsia="en-IN"/>
              </w:rPr>
              <w:t>100%</w:t>
            </w:r>
          </w:p>
        </w:tc>
      </w:tr>
      <w:tr w:rsidR="00BB6BFE" w:rsidRPr="00236E38" w14:paraId="0EA69784" w14:textId="77777777" w:rsidTr="00AD0CB1">
        <w:trPr>
          <w:trHeight w:val="241"/>
        </w:trPr>
        <w:tc>
          <w:tcPr>
            <w:tcW w:w="1562" w:type="dxa"/>
            <w:shd w:val="clear" w:color="auto" w:fill="auto"/>
            <w:tcMar>
              <w:top w:w="15" w:type="dxa"/>
              <w:left w:w="15" w:type="dxa"/>
              <w:bottom w:w="0" w:type="dxa"/>
              <w:right w:w="15" w:type="dxa"/>
            </w:tcMar>
            <w:vAlign w:val="center"/>
            <w:hideMark/>
          </w:tcPr>
          <w:p w14:paraId="6C4CFED6" w14:textId="77777777" w:rsidR="00BB6BFE" w:rsidRPr="00236E38" w:rsidRDefault="00BB6BFE" w:rsidP="00236E38">
            <w:pPr>
              <w:spacing w:line="360" w:lineRule="auto"/>
              <w:jc w:val="center"/>
              <w:textAlignment w:val="center"/>
              <w:rPr>
                <w:rFonts w:asciiTheme="minorHAnsi" w:hAnsiTheme="minorHAnsi" w:cstheme="minorHAnsi"/>
                <w:sz w:val="22"/>
                <w:szCs w:val="22"/>
                <w:lang w:eastAsia="en-IN"/>
              </w:rPr>
            </w:pPr>
            <w:proofErr w:type="spellStart"/>
            <w:r w:rsidRPr="00236E38">
              <w:rPr>
                <w:rFonts w:asciiTheme="minorHAnsi" w:hAnsiTheme="minorHAnsi" w:cstheme="minorHAnsi"/>
                <w:b/>
                <w:bCs/>
                <w:color w:val="000000"/>
                <w:kern w:val="24"/>
                <w:sz w:val="22"/>
                <w:szCs w:val="22"/>
                <w:lang w:eastAsia="en-IN"/>
              </w:rPr>
              <w:t>Bhadrak</w:t>
            </w:r>
            <w:proofErr w:type="spellEnd"/>
          </w:p>
        </w:tc>
        <w:tc>
          <w:tcPr>
            <w:tcW w:w="2246" w:type="dxa"/>
            <w:shd w:val="clear" w:color="auto" w:fill="auto"/>
            <w:tcMar>
              <w:top w:w="15" w:type="dxa"/>
              <w:left w:w="15" w:type="dxa"/>
              <w:bottom w:w="0" w:type="dxa"/>
              <w:right w:w="15" w:type="dxa"/>
            </w:tcMar>
            <w:vAlign w:val="center"/>
            <w:hideMark/>
          </w:tcPr>
          <w:p w14:paraId="60D941D7" w14:textId="77777777" w:rsidR="00BB6BFE" w:rsidRPr="00236E38" w:rsidRDefault="00BB6BFE" w:rsidP="00236E38">
            <w:pPr>
              <w:spacing w:line="360" w:lineRule="auto"/>
              <w:jc w:val="center"/>
              <w:textAlignment w:val="center"/>
              <w:rPr>
                <w:rFonts w:asciiTheme="minorHAnsi" w:hAnsiTheme="minorHAnsi" w:cstheme="minorHAnsi"/>
                <w:sz w:val="22"/>
                <w:szCs w:val="22"/>
                <w:lang w:eastAsia="en-IN"/>
              </w:rPr>
            </w:pPr>
            <w:r w:rsidRPr="00236E38">
              <w:rPr>
                <w:rFonts w:asciiTheme="minorHAnsi" w:eastAsiaTheme="minorEastAsia" w:hAnsiTheme="minorHAnsi" w:cstheme="minorHAnsi"/>
                <w:color w:val="000000" w:themeColor="text1"/>
                <w:kern w:val="24"/>
                <w:sz w:val="22"/>
                <w:szCs w:val="22"/>
              </w:rPr>
              <w:t>129</w:t>
            </w:r>
          </w:p>
        </w:tc>
        <w:tc>
          <w:tcPr>
            <w:tcW w:w="1966" w:type="dxa"/>
            <w:shd w:val="clear" w:color="auto" w:fill="auto"/>
            <w:tcMar>
              <w:top w:w="15" w:type="dxa"/>
              <w:left w:w="15" w:type="dxa"/>
              <w:bottom w:w="0" w:type="dxa"/>
              <w:right w:w="15" w:type="dxa"/>
            </w:tcMar>
            <w:vAlign w:val="center"/>
            <w:hideMark/>
          </w:tcPr>
          <w:p w14:paraId="09BFB6BE" w14:textId="77777777" w:rsidR="00BB6BFE" w:rsidRPr="00236E38" w:rsidRDefault="00BB6BFE" w:rsidP="00236E38">
            <w:pPr>
              <w:spacing w:line="360" w:lineRule="auto"/>
              <w:jc w:val="center"/>
              <w:textAlignment w:val="center"/>
              <w:rPr>
                <w:rFonts w:asciiTheme="minorHAnsi" w:hAnsiTheme="minorHAnsi" w:cstheme="minorHAnsi"/>
                <w:sz w:val="22"/>
                <w:szCs w:val="22"/>
                <w:lang w:eastAsia="en-IN"/>
              </w:rPr>
            </w:pPr>
            <w:r w:rsidRPr="00236E38">
              <w:rPr>
                <w:rFonts w:asciiTheme="minorHAnsi" w:eastAsiaTheme="minorEastAsia" w:hAnsiTheme="minorHAnsi" w:cstheme="minorHAnsi"/>
                <w:color w:val="000000" w:themeColor="text1"/>
                <w:kern w:val="24"/>
                <w:sz w:val="22"/>
                <w:szCs w:val="22"/>
              </w:rPr>
              <w:t>129</w:t>
            </w:r>
          </w:p>
        </w:tc>
        <w:tc>
          <w:tcPr>
            <w:tcW w:w="2607" w:type="dxa"/>
            <w:shd w:val="clear" w:color="auto" w:fill="FFFFFF" w:themeFill="background1"/>
            <w:tcMar>
              <w:top w:w="15" w:type="dxa"/>
              <w:left w:w="15" w:type="dxa"/>
              <w:bottom w:w="0" w:type="dxa"/>
              <w:right w:w="15" w:type="dxa"/>
            </w:tcMar>
            <w:vAlign w:val="center"/>
            <w:hideMark/>
          </w:tcPr>
          <w:p w14:paraId="1AD23E23" w14:textId="77777777" w:rsidR="00BB6BFE" w:rsidRPr="00236E38" w:rsidRDefault="00BB6BFE" w:rsidP="00236E38">
            <w:pPr>
              <w:spacing w:line="360" w:lineRule="auto"/>
              <w:jc w:val="center"/>
              <w:textAlignment w:val="center"/>
              <w:rPr>
                <w:rFonts w:asciiTheme="minorHAnsi" w:hAnsiTheme="minorHAnsi" w:cstheme="minorHAnsi"/>
                <w:sz w:val="22"/>
                <w:szCs w:val="22"/>
                <w:lang w:eastAsia="en-IN"/>
              </w:rPr>
            </w:pPr>
            <w:r w:rsidRPr="00236E38">
              <w:rPr>
                <w:rFonts w:asciiTheme="minorHAnsi" w:hAnsiTheme="minorHAnsi" w:cstheme="minorHAnsi"/>
                <w:color w:val="000000"/>
                <w:kern w:val="24"/>
                <w:sz w:val="22"/>
                <w:szCs w:val="22"/>
                <w:lang w:eastAsia="en-IN"/>
              </w:rPr>
              <w:t>100%</w:t>
            </w:r>
          </w:p>
        </w:tc>
      </w:tr>
      <w:tr w:rsidR="00BB6BFE" w:rsidRPr="00236E38" w14:paraId="070A3515" w14:textId="77777777" w:rsidTr="00AD0CB1">
        <w:trPr>
          <w:trHeight w:val="241"/>
        </w:trPr>
        <w:tc>
          <w:tcPr>
            <w:tcW w:w="1562" w:type="dxa"/>
            <w:shd w:val="clear" w:color="auto" w:fill="auto"/>
            <w:tcMar>
              <w:top w:w="15" w:type="dxa"/>
              <w:left w:w="15" w:type="dxa"/>
              <w:bottom w:w="0" w:type="dxa"/>
              <w:right w:w="15" w:type="dxa"/>
            </w:tcMar>
            <w:vAlign w:val="center"/>
            <w:hideMark/>
          </w:tcPr>
          <w:p w14:paraId="280F4B6B" w14:textId="77777777" w:rsidR="00BB6BFE" w:rsidRPr="00236E38" w:rsidRDefault="00BB6BFE" w:rsidP="00236E38">
            <w:pPr>
              <w:spacing w:line="360" w:lineRule="auto"/>
              <w:jc w:val="center"/>
              <w:textAlignment w:val="center"/>
              <w:rPr>
                <w:rFonts w:asciiTheme="minorHAnsi" w:hAnsiTheme="minorHAnsi" w:cstheme="minorHAnsi"/>
                <w:sz w:val="22"/>
                <w:szCs w:val="22"/>
                <w:lang w:eastAsia="en-IN"/>
              </w:rPr>
            </w:pPr>
            <w:proofErr w:type="spellStart"/>
            <w:r w:rsidRPr="00236E38">
              <w:rPr>
                <w:rFonts w:asciiTheme="minorHAnsi" w:hAnsiTheme="minorHAnsi" w:cstheme="minorHAnsi"/>
                <w:b/>
                <w:bCs/>
                <w:color w:val="000000"/>
                <w:kern w:val="24"/>
                <w:sz w:val="22"/>
                <w:szCs w:val="22"/>
                <w:lang w:eastAsia="en-IN"/>
              </w:rPr>
              <w:t>Jajpur</w:t>
            </w:r>
            <w:proofErr w:type="spellEnd"/>
          </w:p>
        </w:tc>
        <w:tc>
          <w:tcPr>
            <w:tcW w:w="2246" w:type="dxa"/>
            <w:shd w:val="clear" w:color="auto" w:fill="auto"/>
            <w:tcMar>
              <w:top w:w="15" w:type="dxa"/>
              <w:left w:w="15" w:type="dxa"/>
              <w:bottom w:w="0" w:type="dxa"/>
              <w:right w:w="15" w:type="dxa"/>
            </w:tcMar>
            <w:vAlign w:val="center"/>
            <w:hideMark/>
          </w:tcPr>
          <w:p w14:paraId="6DCCFEA4" w14:textId="77777777" w:rsidR="00BB6BFE" w:rsidRPr="00236E38" w:rsidRDefault="00BB6BFE" w:rsidP="00236E38">
            <w:pPr>
              <w:spacing w:line="360" w:lineRule="auto"/>
              <w:jc w:val="center"/>
              <w:textAlignment w:val="center"/>
              <w:rPr>
                <w:rFonts w:asciiTheme="minorHAnsi" w:hAnsiTheme="minorHAnsi" w:cstheme="minorHAnsi"/>
                <w:sz w:val="22"/>
                <w:szCs w:val="22"/>
                <w:lang w:eastAsia="en-IN"/>
              </w:rPr>
            </w:pPr>
            <w:r w:rsidRPr="00236E38">
              <w:rPr>
                <w:rFonts w:asciiTheme="minorHAnsi" w:eastAsiaTheme="minorEastAsia" w:hAnsiTheme="minorHAnsi" w:cstheme="minorHAnsi"/>
                <w:color w:val="000000" w:themeColor="text1"/>
                <w:kern w:val="24"/>
                <w:sz w:val="22"/>
                <w:szCs w:val="22"/>
              </w:rPr>
              <w:t>133</w:t>
            </w:r>
          </w:p>
        </w:tc>
        <w:tc>
          <w:tcPr>
            <w:tcW w:w="1966" w:type="dxa"/>
            <w:shd w:val="clear" w:color="auto" w:fill="auto"/>
            <w:tcMar>
              <w:top w:w="15" w:type="dxa"/>
              <w:left w:w="15" w:type="dxa"/>
              <w:bottom w:w="0" w:type="dxa"/>
              <w:right w:w="15" w:type="dxa"/>
            </w:tcMar>
            <w:vAlign w:val="center"/>
            <w:hideMark/>
          </w:tcPr>
          <w:p w14:paraId="6C51D150" w14:textId="77777777" w:rsidR="00BB6BFE" w:rsidRPr="00236E38" w:rsidRDefault="00BB6BFE" w:rsidP="00236E38">
            <w:pPr>
              <w:spacing w:line="360" w:lineRule="auto"/>
              <w:jc w:val="center"/>
              <w:textAlignment w:val="center"/>
              <w:rPr>
                <w:rFonts w:asciiTheme="minorHAnsi" w:hAnsiTheme="minorHAnsi" w:cstheme="minorHAnsi"/>
                <w:sz w:val="22"/>
                <w:szCs w:val="22"/>
                <w:lang w:eastAsia="en-IN"/>
              </w:rPr>
            </w:pPr>
            <w:r w:rsidRPr="00236E38">
              <w:rPr>
                <w:rFonts w:asciiTheme="minorHAnsi" w:eastAsiaTheme="minorEastAsia" w:hAnsiTheme="minorHAnsi" w:cstheme="minorHAnsi"/>
                <w:color w:val="000000" w:themeColor="text1"/>
                <w:kern w:val="24"/>
                <w:sz w:val="22"/>
                <w:szCs w:val="22"/>
              </w:rPr>
              <w:t>133</w:t>
            </w:r>
          </w:p>
        </w:tc>
        <w:tc>
          <w:tcPr>
            <w:tcW w:w="2607" w:type="dxa"/>
            <w:shd w:val="clear" w:color="auto" w:fill="FFFFFF" w:themeFill="background1"/>
            <w:tcMar>
              <w:top w:w="15" w:type="dxa"/>
              <w:left w:w="15" w:type="dxa"/>
              <w:bottom w:w="0" w:type="dxa"/>
              <w:right w:w="15" w:type="dxa"/>
            </w:tcMar>
            <w:vAlign w:val="center"/>
            <w:hideMark/>
          </w:tcPr>
          <w:p w14:paraId="19D7CE18" w14:textId="77777777" w:rsidR="00BB6BFE" w:rsidRPr="00236E38" w:rsidRDefault="00BB6BFE" w:rsidP="00236E38">
            <w:pPr>
              <w:spacing w:line="360" w:lineRule="auto"/>
              <w:jc w:val="center"/>
              <w:textAlignment w:val="center"/>
              <w:rPr>
                <w:rFonts w:asciiTheme="minorHAnsi" w:hAnsiTheme="minorHAnsi" w:cstheme="minorHAnsi"/>
                <w:sz w:val="22"/>
                <w:szCs w:val="22"/>
                <w:lang w:eastAsia="en-IN"/>
              </w:rPr>
            </w:pPr>
            <w:r w:rsidRPr="00236E38">
              <w:rPr>
                <w:rFonts w:asciiTheme="minorHAnsi" w:hAnsiTheme="minorHAnsi" w:cstheme="minorHAnsi"/>
                <w:color w:val="000000"/>
                <w:kern w:val="24"/>
                <w:sz w:val="22"/>
                <w:szCs w:val="22"/>
                <w:lang w:eastAsia="en-IN"/>
              </w:rPr>
              <w:t>100%</w:t>
            </w:r>
          </w:p>
        </w:tc>
      </w:tr>
      <w:tr w:rsidR="00BB6BFE" w:rsidRPr="00236E38" w14:paraId="078031B8" w14:textId="77777777" w:rsidTr="00AD0CB1">
        <w:trPr>
          <w:trHeight w:val="241"/>
        </w:trPr>
        <w:tc>
          <w:tcPr>
            <w:tcW w:w="1562" w:type="dxa"/>
            <w:shd w:val="clear" w:color="auto" w:fill="auto"/>
            <w:tcMar>
              <w:top w:w="15" w:type="dxa"/>
              <w:left w:w="15" w:type="dxa"/>
              <w:bottom w:w="0" w:type="dxa"/>
              <w:right w:w="15" w:type="dxa"/>
            </w:tcMar>
            <w:vAlign w:val="center"/>
            <w:hideMark/>
          </w:tcPr>
          <w:p w14:paraId="2DA3093F" w14:textId="77777777" w:rsidR="00BB6BFE" w:rsidRPr="00236E38" w:rsidRDefault="00BB6BFE" w:rsidP="00236E38">
            <w:pPr>
              <w:spacing w:line="360" w:lineRule="auto"/>
              <w:jc w:val="center"/>
              <w:textAlignment w:val="center"/>
              <w:rPr>
                <w:rFonts w:asciiTheme="minorHAnsi" w:hAnsiTheme="minorHAnsi" w:cstheme="minorHAnsi"/>
                <w:sz w:val="22"/>
                <w:szCs w:val="22"/>
                <w:lang w:eastAsia="en-IN"/>
              </w:rPr>
            </w:pPr>
            <w:proofErr w:type="spellStart"/>
            <w:r w:rsidRPr="00236E38">
              <w:rPr>
                <w:rFonts w:asciiTheme="minorHAnsi" w:hAnsiTheme="minorHAnsi" w:cstheme="minorHAnsi"/>
                <w:b/>
                <w:bCs/>
                <w:color w:val="000000"/>
                <w:kern w:val="24"/>
                <w:sz w:val="22"/>
                <w:szCs w:val="22"/>
                <w:lang w:eastAsia="en-IN"/>
              </w:rPr>
              <w:t>Keonjhar</w:t>
            </w:r>
            <w:proofErr w:type="spellEnd"/>
          </w:p>
        </w:tc>
        <w:tc>
          <w:tcPr>
            <w:tcW w:w="2246" w:type="dxa"/>
            <w:shd w:val="clear" w:color="auto" w:fill="auto"/>
            <w:tcMar>
              <w:top w:w="15" w:type="dxa"/>
              <w:left w:w="15" w:type="dxa"/>
              <w:bottom w:w="0" w:type="dxa"/>
              <w:right w:w="15" w:type="dxa"/>
            </w:tcMar>
            <w:vAlign w:val="center"/>
            <w:hideMark/>
          </w:tcPr>
          <w:p w14:paraId="62A68C94" w14:textId="77777777" w:rsidR="00BB6BFE" w:rsidRPr="00236E38" w:rsidRDefault="00BB6BFE" w:rsidP="00236E38">
            <w:pPr>
              <w:spacing w:line="360" w:lineRule="auto"/>
              <w:jc w:val="center"/>
              <w:textAlignment w:val="center"/>
              <w:rPr>
                <w:rFonts w:asciiTheme="minorHAnsi" w:hAnsiTheme="minorHAnsi" w:cstheme="minorHAnsi"/>
                <w:sz w:val="22"/>
                <w:szCs w:val="22"/>
                <w:lang w:eastAsia="en-IN"/>
              </w:rPr>
            </w:pPr>
            <w:r w:rsidRPr="00236E38">
              <w:rPr>
                <w:rFonts w:asciiTheme="minorHAnsi" w:eastAsiaTheme="minorEastAsia" w:hAnsiTheme="minorHAnsi" w:cstheme="minorHAnsi"/>
                <w:color w:val="000000" w:themeColor="text1"/>
                <w:kern w:val="24"/>
                <w:sz w:val="22"/>
                <w:szCs w:val="22"/>
              </w:rPr>
              <w:t>169</w:t>
            </w:r>
          </w:p>
        </w:tc>
        <w:tc>
          <w:tcPr>
            <w:tcW w:w="1966" w:type="dxa"/>
            <w:shd w:val="clear" w:color="auto" w:fill="auto"/>
            <w:tcMar>
              <w:top w:w="15" w:type="dxa"/>
              <w:left w:w="15" w:type="dxa"/>
              <w:bottom w:w="0" w:type="dxa"/>
              <w:right w:w="15" w:type="dxa"/>
            </w:tcMar>
            <w:vAlign w:val="center"/>
            <w:hideMark/>
          </w:tcPr>
          <w:p w14:paraId="2A6BE9AD" w14:textId="77777777" w:rsidR="00BB6BFE" w:rsidRPr="00236E38" w:rsidRDefault="00BB6BFE" w:rsidP="00236E38">
            <w:pPr>
              <w:spacing w:line="360" w:lineRule="auto"/>
              <w:jc w:val="center"/>
              <w:textAlignment w:val="center"/>
              <w:rPr>
                <w:rFonts w:asciiTheme="minorHAnsi" w:hAnsiTheme="minorHAnsi" w:cstheme="minorHAnsi"/>
                <w:sz w:val="22"/>
                <w:szCs w:val="22"/>
                <w:lang w:eastAsia="en-IN"/>
              </w:rPr>
            </w:pPr>
            <w:r w:rsidRPr="00236E38">
              <w:rPr>
                <w:rFonts w:asciiTheme="minorHAnsi" w:eastAsiaTheme="minorEastAsia" w:hAnsiTheme="minorHAnsi" w:cstheme="minorHAnsi"/>
                <w:color w:val="000000" w:themeColor="text1"/>
                <w:kern w:val="24"/>
                <w:sz w:val="22"/>
                <w:szCs w:val="22"/>
              </w:rPr>
              <w:t>169</w:t>
            </w:r>
          </w:p>
        </w:tc>
        <w:tc>
          <w:tcPr>
            <w:tcW w:w="2607" w:type="dxa"/>
            <w:shd w:val="clear" w:color="auto" w:fill="FFFFFF" w:themeFill="background1"/>
            <w:tcMar>
              <w:top w:w="15" w:type="dxa"/>
              <w:left w:w="15" w:type="dxa"/>
              <w:bottom w:w="0" w:type="dxa"/>
              <w:right w:w="15" w:type="dxa"/>
            </w:tcMar>
            <w:vAlign w:val="center"/>
            <w:hideMark/>
          </w:tcPr>
          <w:p w14:paraId="08F05882" w14:textId="77777777" w:rsidR="00BB6BFE" w:rsidRPr="00236E38" w:rsidRDefault="00BB6BFE" w:rsidP="00236E38">
            <w:pPr>
              <w:spacing w:line="360" w:lineRule="auto"/>
              <w:jc w:val="center"/>
              <w:textAlignment w:val="center"/>
              <w:rPr>
                <w:rFonts w:asciiTheme="minorHAnsi" w:hAnsiTheme="minorHAnsi" w:cstheme="minorHAnsi"/>
                <w:sz w:val="22"/>
                <w:szCs w:val="22"/>
                <w:lang w:eastAsia="en-IN"/>
              </w:rPr>
            </w:pPr>
            <w:r w:rsidRPr="00236E38">
              <w:rPr>
                <w:rFonts w:asciiTheme="minorHAnsi" w:hAnsiTheme="minorHAnsi" w:cstheme="minorHAnsi"/>
                <w:color w:val="000000"/>
                <w:kern w:val="24"/>
                <w:sz w:val="22"/>
                <w:szCs w:val="22"/>
                <w:lang w:eastAsia="en-IN"/>
              </w:rPr>
              <w:t>100%</w:t>
            </w:r>
          </w:p>
        </w:tc>
      </w:tr>
      <w:tr w:rsidR="00BB6BFE" w:rsidRPr="00236E38" w14:paraId="007C64E5" w14:textId="77777777" w:rsidTr="00AD0CB1">
        <w:trPr>
          <w:trHeight w:val="241"/>
        </w:trPr>
        <w:tc>
          <w:tcPr>
            <w:tcW w:w="1562" w:type="dxa"/>
            <w:shd w:val="clear" w:color="auto" w:fill="8DB3E2" w:themeFill="text2" w:themeFillTint="66"/>
            <w:tcMar>
              <w:top w:w="15" w:type="dxa"/>
              <w:left w:w="15" w:type="dxa"/>
              <w:bottom w:w="0" w:type="dxa"/>
              <w:right w:w="15" w:type="dxa"/>
            </w:tcMar>
            <w:vAlign w:val="center"/>
            <w:hideMark/>
          </w:tcPr>
          <w:p w14:paraId="5C00260D" w14:textId="77777777" w:rsidR="00BB6BFE" w:rsidRPr="00AD0CB1" w:rsidRDefault="00BB6BFE" w:rsidP="00236E38">
            <w:pPr>
              <w:spacing w:line="360" w:lineRule="auto"/>
              <w:jc w:val="center"/>
              <w:textAlignment w:val="center"/>
              <w:rPr>
                <w:rFonts w:asciiTheme="minorHAnsi" w:hAnsiTheme="minorHAnsi" w:cstheme="minorHAnsi"/>
                <w:color w:val="000000" w:themeColor="text1"/>
                <w:sz w:val="22"/>
                <w:szCs w:val="22"/>
                <w:lang w:eastAsia="en-IN"/>
              </w:rPr>
            </w:pPr>
            <w:r w:rsidRPr="00AD0CB1">
              <w:rPr>
                <w:rFonts w:asciiTheme="minorHAnsi" w:hAnsiTheme="minorHAnsi" w:cstheme="minorHAnsi"/>
                <w:b/>
                <w:bCs/>
                <w:color w:val="000000" w:themeColor="text1"/>
                <w:kern w:val="24"/>
                <w:sz w:val="22"/>
                <w:szCs w:val="22"/>
                <w:lang w:eastAsia="en-IN"/>
              </w:rPr>
              <w:t>Total</w:t>
            </w:r>
          </w:p>
        </w:tc>
        <w:tc>
          <w:tcPr>
            <w:tcW w:w="2246" w:type="dxa"/>
            <w:shd w:val="clear" w:color="auto" w:fill="8DB3E2" w:themeFill="text2" w:themeFillTint="66"/>
            <w:tcMar>
              <w:top w:w="15" w:type="dxa"/>
              <w:left w:w="15" w:type="dxa"/>
              <w:bottom w:w="0" w:type="dxa"/>
              <w:right w:w="15" w:type="dxa"/>
            </w:tcMar>
            <w:vAlign w:val="center"/>
            <w:hideMark/>
          </w:tcPr>
          <w:p w14:paraId="0CC0A222" w14:textId="77777777" w:rsidR="00BB6BFE" w:rsidRPr="00AD0CB1" w:rsidRDefault="00BB6BFE" w:rsidP="00236E38">
            <w:pPr>
              <w:spacing w:line="360" w:lineRule="auto"/>
              <w:jc w:val="center"/>
              <w:textAlignment w:val="center"/>
              <w:rPr>
                <w:rFonts w:asciiTheme="minorHAnsi" w:hAnsiTheme="minorHAnsi" w:cstheme="minorHAnsi"/>
                <w:color w:val="000000" w:themeColor="text1"/>
                <w:sz w:val="22"/>
                <w:szCs w:val="22"/>
                <w:lang w:eastAsia="en-IN"/>
              </w:rPr>
            </w:pPr>
            <w:r w:rsidRPr="00AD0CB1">
              <w:rPr>
                <w:rFonts w:asciiTheme="minorHAnsi" w:eastAsiaTheme="minorEastAsia" w:hAnsiTheme="minorHAnsi" w:cstheme="minorHAnsi"/>
                <w:b/>
                <w:bCs/>
                <w:color w:val="000000" w:themeColor="text1"/>
                <w:kern w:val="24"/>
                <w:sz w:val="22"/>
                <w:szCs w:val="22"/>
              </w:rPr>
              <w:t>853</w:t>
            </w:r>
          </w:p>
        </w:tc>
        <w:tc>
          <w:tcPr>
            <w:tcW w:w="1966" w:type="dxa"/>
            <w:shd w:val="clear" w:color="auto" w:fill="8DB3E2" w:themeFill="text2" w:themeFillTint="66"/>
            <w:tcMar>
              <w:top w:w="15" w:type="dxa"/>
              <w:left w:w="15" w:type="dxa"/>
              <w:bottom w:w="0" w:type="dxa"/>
              <w:right w:w="15" w:type="dxa"/>
            </w:tcMar>
            <w:vAlign w:val="center"/>
            <w:hideMark/>
          </w:tcPr>
          <w:p w14:paraId="5518AAEC" w14:textId="77777777" w:rsidR="00BB6BFE" w:rsidRPr="00AD0CB1" w:rsidRDefault="00BB6BFE" w:rsidP="00236E38">
            <w:pPr>
              <w:spacing w:line="360" w:lineRule="auto"/>
              <w:jc w:val="center"/>
              <w:textAlignment w:val="center"/>
              <w:rPr>
                <w:rFonts w:asciiTheme="minorHAnsi" w:hAnsiTheme="minorHAnsi" w:cstheme="minorHAnsi"/>
                <w:color w:val="000000" w:themeColor="text1"/>
                <w:sz w:val="22"/>
                <w:szCs w:val="22"/>
                <w:lang w:eastAsia="en-IN"/>
              </w:rPr>
            </w:pPr>
            <w:r w:rsidRPr="00AD0CB1">
              <w:rPr>
                <w:rFonts w:asciiTheme="minorHAnsi" w:eastAsiaTheme="minorEastAsia" w:hAnsiTheme="minorHAnsi" w:cstheme="minorHAnsi"/>
                <w:b/>
                <w:bCs/>
                <w:color w:val="000000" w:themeColor="text1"/>
                <w:kern w:val="24"/>
                <w:sz w:val="22"/>
                <w:szCs w:val="22"/>
              </w:rPr>
              <w:t>853</w:t>
            </w:r>
          </w:p>
        </w:tc>
        <w:tc>
          <w:tcPr>
            <w:tcW w:w="2607" w:type="dxa"/>
            <w:shd w:val="clear" w:color="auto" w:fill="8DB3E2" w:themeFill="text2" w:themeFillTint="66"/>
            <w:tcMar>
              <w:top w:w="15" w:type="dxa"/>
              <w:left w:w="15" w:type="dxa"/>
              <w:bottom w:w="0" w:type="dxa"/>
              <w:right w:w="15" w:type="dxa"/>
            </w:tcMar>
            <w:vAlign w:val="center"/>
            <w:hideMark/>
          </w:tcPr>
          <w:p w14:paraId="2E61FEE5" w14:textId="77777777" w:rsidR="00BB6BFE" w:rsidRPr="00AD0CB1" w:rsidRDefault="00BB6BFE" w:rsidP="00236E38">
            <w:pPr>
              <w:spacing w:line="360" w:lineRule="auto"/>
              <w:jc w:val="center"/>
              <w:textAlignment w:val="center"/>
              <w:rPr>
                <w:rFonts w:asciiTheme="minorHAnsi" w:hAnsiTheme="minorHAnsi" w:cstheme="minorHAnsi"/>
                <w:color w:val="000000" w:themeColor="text1"/>
                <w:sz w:val="22"/>
                <w:szCs w:val="22"/>
                <w:lang w:eastAsia="en-IN"/>
              </w:rPr>
            </w:pPr>
            <w:r w:rsidRPr="00AD0CB1">
              <w:rPr>
                <w:rFonts w:asciiTheme="minorHAnsi" w:hAnsiTheme="minorHAnsi" w:cstheme="minorHAnsi"/>
                <w:b/>
                <w:bCs/>
                <w:color w:val="000000" w:themeColor="text1"/>
                <w:kern w:val="24"/>
                <w:sz w:val="22"/>
                <w:szCs w:val="22"/>
                <w:lang w:eastAsia="en-IN"/>
              </w:rPr>
              <w:t>100%</w:t>
            </w:r>
          </w:p>
        </w:tc>
      </w:tr>
    </w:tbl>
    <w:p w14:paraId="3F376687" w14:textId="77777777" w:rsidR="00BB6BFE" w:rsidRPr="00236E38" w:rsidRDefault="00BB6BFE" w:rsidP="00236E38">
      <w:pPr>
        <w:spacing w:line="360" w:lineRule="auto"/>
        <w:jc w:val="both"/>
        <w:rPr>
          <w:rFonts w:asciiTheme="minorHAnsi" w:hAnsiTheme="minorHAnsi" w:cstheme="minorHAnsi"/>
          <w:b/>
          <w:sz w:val="22"/>
          <w:szCs w:val="22"/>
          <w:lang w:bidi="or-IN"/>
        </w:rPr>
      </w:pPr>
    </w:p>
    <w:p w14:paraId="4B6531DE" w14:textId="4840D4B6" w:rsidR="00BB6BFE" w:rsidRPr="00236E38" w:rsidRDefault="002B5470" w:rsidP="002B5470">
      <w:pPr>
        <w:spacing w:line="360" w:lineRule="auto"/>
        <w:ind w:left="1070"/>
        <w:contextualSpacing/>
        <w:jc w:val="both"/>
        <w:rPr>
          <w:rFonts w:asciiTheme="minorHAnsi" w:eastAsia="Calibri" w:hAnsiTheme="minorHAnsi" w:cstheme="minorHAnsi"/>
          <w:b/>
          <w:sz w:val="22"/>
          <w:szCs w:val="22"/>
          <w:lang w:bidi="or-IN"/>
        </w:rPr>
      </w:pPr>
      <w:r>
        <w:rPr>
          <w:rFonts w:asciiTheme="minorHAnsi" w:eastAsia="Calibri" w:hAnsiTheme="minorHAnsi" w:cstheme="minorHAnsi"/>
          <w:b/>
          <w:sz w:val="22"/>
          <w:szCs w:val="22"/>
          <w:lang w:bidi="or-IN"/>
        </w:rPr>
        <w:t xml:space="preserve">                                           B. </w:t>
      </w:r>
      <w:r w:rsidR="00BB6BFE" w:rsidRPr="00236E38">
        <w:rPr>
          <w:rFonts w:asciiTheme="minorHAnsi" w:eastAsia="Calibri" w:hAnsiTheme="minorHAnsi" w:cstheme="minorHAnsi"/>
          <w:b/>
          <w:sz w:val="22"/>
          <w:szCs w:val="22"/>
          <w:lang w:bidi="or-IN"/>
        </w:rPr>
        <w:t xml:space="preserve">100 % Metering for the 33 kV Feeders PSS I/C Feeders </w:t>
      </w:r>
    </w:p>
    <w:tbl>
      <w:tblPr>
        <w:tblW w:w="8358" w:type="dxa"/>
        <w:tblInd w:w="9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093"/>
        <w:gridCol w:w="2772"/>
        <w:gridCol w:w="1663"/>
        <w:gridCol w:w="2830"/>
      </w:tblGrid>
      <w:tr w:rsidR="00BB6BFE" w:rsidRPr="00236E38" w14:paraId="26616BD7" w14:textId="77777777" w:rsidTr="002B5470">
        <w:trPr>
          <w:trHeight w:val="417"/>
        </w:trPr>
        <w:tc>
          <w:tcPr>
            <w:tcW w:w="1093" w:type="dxa"/>
            <w:vMerge w:val="restart"/>
            <w:shd w:val="clear" w:color="auto" w:fill="8DB3E2" w:themeFill="text2" w:themeFillTint="66"/>
            <w:tcMar>
              <w:top w:w="15" w:type="dxa"/>
              <w:left w:w="15" w:type="dxa"/>
              <w:bottom w:w="0" w:type="dxa"/>
              <w:right w:w="15" w:type="dxa"/>
            </w:tcMar>
            <w:vAlign w:val="center"/>
            <w:hideMark/>
          </w:tcPr>
          <w:p w14:paraId="0436FB60" w14:textId="77777777" w:rsidR="00BB6BFE" w:rsidRPr="00AD0CB1" w:rsidRDefault="00BB6BFE" w:rsidP="00236E38">
            <w:pPr>
              <w:spacing w:line="360" w:lineRule="auto"/>
              <w:jc w:val="center"/>
              <w:textAlignment w:val="center"/>
              <w:rPr>
                <w:rFonts w:asciiTheme="minorHAnsi" w:hAnsiTheme="minorHAnsi" w:cstheme="minorHAnsi"/>
                <w:color w:val="000000" w:themeColor="text1"/>
                <w:sz w:val="22"/>
                <w:szCs w:val="22"/>
                <w:lang w:eastAsia="en-IN"/>
              </w:rPr>
            </w:pPr>
            <w:r w:rsidRPr="00AD0CB1">
              <w:rPr>
                <w:rFonts w:asciiTheme="minorHAnsi" w:hAnsiTheme="minorHAnsi" w:cstheme="minorHAnsi"/>
                <w:b/>
                <w:bCs/>
                <w:color w:val="000000" w:themeColor="text1"/>
                <w:kern w:val="24"/>
                <w:sz w:val="22"/>
                <w:szCs w:val="22"/>
                <w:lang w:eastAsia="en-IN"/>
              </w:rPr>
              <w:t>Circle</w:t>
            </w:r>
          </w:p>
        </w:tc>
        <w:tc>
          <w:tcPr>
            <w:tcW w:w="7265" w:type="dxa"/>
            <w:gridSpan w:val="3"/>
            <w:shd w:val="clear" w:color="auto" w:fill="8DB3E2" w:themeFill="text2" w:themeFillTint="66"/>
            <w:tcMar>
              <w:top w:w="15" w:type="dxa"/>
              <w:left w:w="15" w:type="dxa"/>
              <w:bottom w:w="0" w:type="dxa"/>
              <w:right w:w="15" w:type="dxa"/>
            </w:tcMar>
            <w:vAlign w:val="center"/>
            <w:hideMark/>
          </w:tcPr>
          <w:p w14:paraId="4C5650AA" w14:textId="77777777" w:rsidR="00BB6BFE" w:rsidRPr="00AD0CB1" w:rsidRDefault="00BB6BFE" w:rsidP="00236E38">
            <w:pPr>
              <w:spacing w:line="360" w:lineRule="auto"/>
              <w:jc w:val="center"/>
              <w:textAlignment w:val="center"/>
              <w:rPr>
                <w:rFonts w:asciiTheme="minorHAnsi" w:hAnsiTheme="minorHAnsi" w:cstheme="minorHAnsi"/>
                <w:color w:val="000000" w:themeColor="text1"/>
                <w:sz w:val="22"/>
                <w:szCs w:val="22"/>
                <w:lang w:eastAsia="en-IN"/>
              </w:rPr>
            </w:pPr>
            <w:r w:rsidRPr="00AD0CB1">
              <w:rPr>
                <w:rFonts w:asciiTheme="minorHAnsi" w:hAnsiTheme="minorHAnsi" w:cstheme="minorHAnsi"/>
                <w:b/>
                <w:bCs/>
                <w:color w:val="000000" w:themeColor="text1"/>
                <w:kern w:val="24"/>
                <w:sz w:val="22"/>
                <w:szCs w:val="22"/>
                <w:lang w:eastAsia="en-IN"/>
              </w:rPr>
              <w:t>33 kV PSS Feeders</w:t>
            </w:r>
          </w:p>
        </w:tc>
      </w:tr>
      <w:tr w:rsidR="00BB6BFE" w:rsidRPr="00236E38" w14:paraId="150A61A5" w14:textId="77777777" w:rsidTr="002B5470">
        <w:trPr>
          <w:trHeight w:val="417"/>
        </w:trPr>
        <w:tc>
          <w:tcPr>
            <w:tcW w:w="1093" w:type="dxa"/>
            <w:vMerge/>
            <w:shd w:val="clear" w:color="auto" w:fill="8DB3E2" w:themeFill="text2" w:themeFillTint="66"/>
            <w:vAlign w:val="center"/>
            <w:hideMark/>
          </w:tcPr>
          <w:p w14:paraId="0272E808" w14:textId="77777777" w:rsidR="00BB6BFE" w:rsidRPr="00AD0CB1" w:rsidRDefault="00BB6BFE" w:rsidP="00236E38">
            <w:pPr>
              <w:spacing w:line="360" w:lineRule="auto"/>
              <w:rPr>
                <w:rFonts w:asciiTheme="minorHAnsi" w:hAnsiTheme="minorHAnsi" w:cstheme="minorHAnsi"/>
                <w:color w:val="000000" w:themeColor="text1"/>
                <w:sz w:val="22"/>
                <w:szCs w:val="22"/>
                <w:lang w:eastAsia="en-IN"/>
              </w:rPr>
            </w:pPr>
          </w:p>
        </w:tc>
        <w:tc>
          <w:tcPr>
            <w:tcW w:w="2772" w:type="dxa"/>
            <w:shd w:val="clear" w:color="auto" w:fill="8DB3E2" w:themeFill="text2" w:themeFillTint="66"/>
            <w:tcMar>
              <w:top w:w="15" w:type="dxa"/>
              <w:left w:w="15" w:type="dxa"/>
              <w:bottom w:w="0" w:type="dxa"/>
              <w:right w:w="15" w:type="dxa"/>
            </w:tcMar>
            <w:vAlign w:val="center"/>
            <w:hideMark/>
          </w:tcPr>
          <w:p w14:paraId="0D3C34FB" w14:textId="77777777" w:rsidR="00BB6BFE" w:rsidRPr="00AD0CB1" w:rsidRDefault="00BB6BFE" w:rsidP="00236E38">
            <w:pPr>
              <w:spacing w:line="360" w:lineRule="auto"/>
              <w:jc w:val="center"/>
              <w:textAlignment w:val="center"/>
              <w:rPr>
                <w:rFonts w:asciiTheme="minorHAnsi" w:hAnsiTheme="minorHAnsi" w:cstheme="minorHAnsi"/>
                <w:color w:val="000000" w:themeColor="text1"/>
                <w:sz w:val="22"/>
                <w:szCs w:val="22"/>
                <w:lang w:eastAsia="en-IN"/>
              </w:rPr>
            </w:pPr>
            <w:r w:rsidRPr="00AD0CB1">
              <w:rPr>
                <w:rFonts w:asciiTheme="minorHAnsi" w:hAnsiTheme="minorHAnsi" w:cstheme="minorHAnsi"/>
                <w:b/>
                <w:bCs/>
                <w:color w:val="000000" w:themeColor="text1"/>
                <w:kern w:val="24"/>
                <w:sz w:val="22"/>
                <w:szCs w:val="22"/>
                <w:lang w:eastAsia="en-IN"/>
              </w:rPr>
              <w:t>Total 33kV Feeders</w:t>
            </w:r>
          </w:p>
        </w:tc>
        <w:tc>
          <w:tcPr>
            <w:tcW w:w="1663" w:type="dxa"/>
            <w:shd w:val="clear" w:color="auto" w:fill="8DB3E2" w:themeFill="text2" w:themeFillTint="66"/>
            <w:tcMar>
              <w:top w:w="15" w:type="dxa"/>
              <w:left w:w="15" w:type="dxa"/>
              <w:bottom w:w="0" w:type="dxa"/>
              <w:right w:w="15" w:type="dxa"/>
            </w:tcMar>
            <w:vAlign w:val="center"/>
            <w:hideMark/>
          </w:tcPr>
          <w:p w14:paraId="59C92BE5" w14:textId="77777777" w:rsidR="00BB6BFE" w:rsidRPr="00AD0CB1" w:rsidRDefault="00BB6BFE" w:rsidP="00236E38">
            <w:pPr>
              <w:spacing w:line="360" w:lineRule="auto"/>
              <w:jc w:val="center"/>
              <w:textAlignment w:val="center"/>
              <w:rPr>
                <w:rFonts w:asciiTheme="minorHAnsi" w:hAnsiTheme="minorHAnsi" w:cstheme="minorHAnsi"/>
                <w:color w:val="000000" w:themeColor="text1"/>
                <w:sz w:val="22"/>
                <w:szCs w:val="22"/>
                <w:lang w:eastAsia="en-IN"/>
              </w:rPr>
            </w:pPr>
            <w:r w:rsidRPr="00AD0CB1">
              <w:rPr>
                <w:rFonts w:asciiTheme="minorHAnsi" w:hAnsiTheme="minorHAnsi" w:cstheme="minorHAnsi"/>
                <w:b/>
                <w:bCs/>
                <w:color w:val="000000" w:themeColor="text1"/>
                <w:kern w:val="24"/>
                <w:sz w:val="22"/>
                <w:szCs w:val="22"/>
                <w:lang w:eastAsia="en-IN"/>
              </w:rPr>
              <w:t>Feeder Metering</w:t>
            </w:r>
          </w:p>
        </w:tc>
        <w:tc>
          <w:tcPr>
            <w:tcW w:w="2830" w:type="dxa"/>
            <w:shd w:val="clear" w:color="auto" w:fill="8DB3E2" w:themeFill="text2" w:themeFillTint="66"/>
            <w:tcMar>
              <w:top w:w="15" w:type="dxa"/>
              <w:left w:w="15" w:type="dxa"/>
              <w:bottom w:w="0" w:type="dxa"/>
              <w:right w:w="15" w:type="dxa"/>
            </w:tcMar>
            <w:vAlign w:val="center"/>
            <w:hideMark/>
          </w:tcPr>
          <w:p w14:paraId="15A5CF32" w14:textId="77777777" w:rsidR="00BB6BFE" w:rsidRPr="00AD0CB1" w:rsidRDefault="00BB6BFE" w:rsidP="00236E38">
            <w:pPr>
              <w:spacing w:line="360" w:lineRule="auto"/>
              <w:jc w:val="center"/>
              <w:textAlignment w:val="center"/>
              <w:rPr>
                <w:rFonts w:asciiTheme="minorHAnsi" w:hAnsiTheme="minorHAnsi" w:cstheme="minorHAnsi"/>
                <w:color w:val="000000" w:themeColor="text1"/>
                <w:sz w:val="22"/>
                <w:szCs w:val="22"/>
                <w:lang w:eastAsia="en-IN"/>
              </w:rPr>
            </w:pPr>
            <w:r w:rsidRPr="00AD0CB1">
              <w:rPr>
                <w:rFonts w:asciiTheme="minorHAnsi" w:hAnsiTheme="minorHAnsi" w:cstheme="minorHAnsi"/>
                <w:b/>
                <w:bCs/>
                <w:color w:val="000000" w:themeColor="text1"/>
                <w:kern w:val="24"/>
                <w:sz w:val="22"/>
                <w:szCs w:val="22"/>
                <w:lang w:eastAsia="en-IN"/>
              </w:rPr>
              <w:t>% Completion</w:t>
            </w:r>
          </w:p>
        </w:tc>
      </w:tr>
      <w:tr w:rsidR="00BB6BFE" w:rsidRPr="00236E38" w14:paraId="35611CA7" w14:textId="77777777" w:rsidTr="002B5470">
        <w:trPr>
          <w:trHeight w:val="417"/>
        </w:trPr>
        <w:tc>
          <w:tcPr>
            <w:tcW w:w="1093" w:type="dxa"/>
            <w:shd w:val="clear" w:color="auto" w:fill="FFFFFF" w:themeFill="background1"/>
            <w:tcMar>
              <w:top w:w="15" w:type="dxa"/>
              <w:left w:w="15" w:type="dxa"/>
              <w:bottom w:w="0" w:type="dxa"/>
              <w:right w:w="15" w:type="dxa"/>
            </w:tcMar>
            <w:vAlign w:val="center"/>
            <w:hideMark/>
          </w:tcPr>
          <w:p w14:paraId="4A50BE6C" w14:textId="77777777" w:rsidR="00BB6BFE" w:rsidRPr="00236E38" w:rsidRDefault="00BB6BFE" w:rsidP="00236E38">
            <w:pPr>
              <w:spacing w:line="360" w:lineRule="auto"/>
              <w:jc w:val="center"/>
              <w:textAlignment w:val="center"/>
              <w:rPr>
                <w:rFonts w:asciiTheme="minorHAnsi" w:hAnsiTheme="minorHAnsi" w:cstheme="minorHAnsi"/>
                <w:sz w:val="22"/>
                <w:szCs w:val="22"/>
                <w:lang w:eastAsia="en-IN"/>
              </w:rPr>
            </w:pPr>
            <w:proofErr w:type="spellStart"/>
            <w:r w:rsidRPr="00236E38">
              <w:rPr>
                <w:rFonts w:asciiTheme="minorHAnsi" w:hAnsiTheme="minorHAnsi" w:cstheme="minorHAnsi"/>
                <w:b/>
                <w:bCs/>
                <w:color w:val="000000"/>
                <w:kern w:val="24"/>
                <w:sz w:val="22"/>
                <w:szCs w:val="22"/>
                <w:lang w:eastAsia="en-IN"/>
              </w:rPr>
              <w:t>Balasore</w:t>
            </w:r>
            <w:proofErr w:type="spellEnd"/>
          </w:p>
        </w:tc>
        <w:tc>
          <w:tcPr>
            <w:tcW w:w="2772" w:type="dxa"/>
            <w:shd w:val="clear" w:color="auto" w:fill="FFFFFF" w:themeFill="background1"/>
            <w:tcMar>
              <w:top w:w="15" w:type="dxa"/>
              <w:left w:w="15" w:type="dxa"/>
              <w:bottom w:w="0" w:type="dxa"/>
              <w:right w:w="15" w:type="dxa"/>
            </w:tcMar>
            <w:vAlign w:val="center"/>
            <w:hideMark/>
          </w:tcPr>
          <w:p w14:paraId="16A61A04" w14:textId="77777777" w:rsidR="00BB6BFE" w:rsidRPr="00236E38" w:rsidRDefault="00BB6BFE" w:rsidP="00236E38">
            <w:pPr>
              <w:spacing w:line="360" w:lineRule="auto"/>
              <w:jc w:val="center"/>
              <w:textAlignment w:val="center"/>
              <w:rPr>
                <w:rFonts w:asciiTheme="minorHAnsi" w:hAnsiTheme="minorHAnsi" w:cstheme="minorHAnsi"/>
                <w:sz w:val="22"/>
                <w:szCs w:val="22"/>
                <w:lang w:eastAsia="en-IN"/>
              </w:rPr>
            </w:pPr>
            <w:r w:rsidRPr="00236E38">
              <w:rPr>
                <w:rFonts w:asciiTheme="minorHAnsi" w:hAnsiTheme="minorHAnsi" w:cstheme="minorHAnsi"/>
                <w:color w:val="000000" w:themeColor="text1"/>
                <w:kern w:val="24"/>
                <w:sz w:val="22"/>
                <w:szCs w:val="22"/>
              </w:rPr>
              <w:t>69</w:t>
            </w:r>
          </w:p>
        </w:tc>
        <w:tc>
          <w:tcPr>
            <w:tcW w:w="1663" w:type="dxa"/>
            <w:shd w:val="clear" w:color="auto" w:fill="FFFFFF" w:themeFill="background1"/>
            <w:tcMar>
              <w:top w:w="15" w:type="dxa"/>
              <w:left w:w="15" w:type="dxa"/>
              <w:bottom w:w="0" w:type="dxa"/>
              <w:right w:w="15" w:type="dxa"/>
            </w:tcMar>
            <w:vAlign w:val="center"/>
            <w:hideMark/>
          </w:tcPr>
          <w:p w14:paraId="7D40CAB0" w14:textId="77777777" w:rsidR="00BB6BFE" w:rsidRPr="00236E38" w:rsidRDefault="00BB6BFE" w:rsidP="00236E38">
            <w:pPr>
              <w:spacing w:line="360" w:lineRule="auto"/>
              <w:jc w:val="center"/>
              <w:textAlignment w:val="center"/>
              <w:rPr>
                <w:rFonts w:asciiTheme="minorHAnsi" w:hAnsiTheme="minorHAnsi" w:cstheme="minorHAnsi"/>
                <w:sz w:val="22"/>
                <w:szCs w:val="22"/>
                <w:lang w:eastAsia="en-IN"/>
              </w:rPr>
            </w:pPr>
            <w:r w:rsidRPr="00236E38">
              <w:rPr>
                <w:rFonts w:asciiTheme="minorHAnsi" w:hAnsiTheme="minorHAnsi" w:cstheme="minorHAnsi"/>
                <w:color w:val="000000" w:themeColor="text1"/>
                <w:kern w:val="24"/>
                <w:sz w:val="22"/>
                <w:szCs w:val="22"/>
              </w:rPr>
              <w:t>69</w:t>
            </w:r>
          </w:p>
        </w:tc>
        <w:tc>
          <w:tcPr>
            <w:tcW w:w="2830" w:type="dxa"/>
            <w:shd w:val="clear" w:color="auto" w:fill="FFFFFF" w:themeFill="background1"/>
            <w:tcMar>
              <w:top w:w="15" w:type="dxa"/>
              <w:left w:w="15" w:type="dxa"/>
              <w:bottom w:w="0" w:type="dxa"/>
              <w:right w:w="15" w:type="dxa"/>
            </w:tcMar>
            <w:vAlign w:val="center"/>
            <w:hideMark/>
          </w:tcPr>
          <w:p w14:paraId="39ACCDD4" w14:textId="77777777" w:rsidR="00BB6BFE" w:rsidRPr="00236E38" w:rsidRDefault="00BB6BFE" w:rsidP="00236E38">
            <w:pPr>
              <w:spacing w:line="360" w:lineRule="auto"/>
              <w:jc w:val="center"/>
              <w:textAlignment w:val="center"/>
              <w:rPr>
                <w:rFonts w:asciiTheme="minorHAnsi" w:hAnsiTheme="minorHAnsi" w:cstheme="minorHAnsi"/>
                <w:sz w:val="22"/>
                <w:szCs w:val="22"/>
                <w:lang w:eastAsia="en-IN"/>
              </w:rPr>
            </w:pPr>
            <w:r w:rsidRPr="00236E38">
              <w:rPr>
                <w:rFonts w:asciiTheme="minorHAnsi" w:hAnsiTheme="minorHAnsi" w:cstheme="minorHAnsi"/>
                <w:color w:val="000000"/>
                <w:kern w:val="24"/>
                <w:sz w:val="22"/>
                <w:szCs w:val="22"/>
                <w:lang w:eastAsia="en-IN"/>
              </w:rPr>
              <w:t>100%</w:t>
            </w:r>
          </w:p>
        </w:tc>
      </w:tr>
      <w:tr w:rsidR="00BB6BFE" w:rsidRPr="00236E38" w14:paraId="012E98D8" w14:textId="77777777" w:rsidTr="002B5470">
        <w:trPr>
          <w:trHeight w:val="417"/>
        </w:trPr>
        <w:tc>
          <w:tcPr>
            <w:tcW w:w="1093" w:type="dxa"/>
            <w:shd w:val="clear" w:color="auto" w:fill="FFFFFF" w:themeFill="background1"/>
            <w:tcMar>
              <w:top w:w="15" w:type="dxa"/>
              <w:left w:w="15" w:type="dxa"/>
              <w:bottom w:w="0" w:type="dxa"/>
              <w:right w:w="15" w:type="dxa"/>
            </w:tcMar>
            <w:vAlign w:val="center"/>
            <w:hideMark/>
          </w:tcPr>
          <w:p w14:paraId="6994F5F4" w14:textId="77777777" w:rsidR="00BB6BFE" w:rsidRPr="00236E38" w:rsidRDefault="00BB6BFE" w:rsidP="00236E38">
            <w:pPr>
              <w:spacing w:line="360" w:lineRule="auto"/>
              <w:jc w:val="center"/>
              <w:textAlignment w:val="center"/>
              <w:rPr>
                <w:rFonts w:asciiTheme="minorHAnsi" w:hAnsiTheme="minorHAnsi" w:cstheme="minorHAnsi"/>
                <w:sz w:val="22"/>
                <w:szCs w:val="22"/>
                <w:lang w:eastAsia="en-IN"/>
              </w:rPr>
            </w:pPr>
            <w:proofErr w:type="spellStart"/>
            <w:r w:rsidRPr="00236E38">
              <w:rPr>
                <w:rFonts w:asciiTheme="minorHAnsi" w:hAnsiTheme="minorHAnsi" w:cstheme="minorHAnsi"/>
                <w:b/>
                <w:bCs/>
                <w:color w:val="000000"/>
                <w:kern w:val="24"/>
                <w:sz w:val="22"/>
                <w:szCs w:val="22"/>
                <w:lang w:eastAsia="en-IN"/>
              </w:rPr>
              <w:t>Baripada</w:t>
            </w:r>
            <w:proofErr w:type="spellEnd"/>
          </w:p>
        </w:tc>
        <w:tc>
          <w:tcPr>
            <w:tcW w:w="2772" w:type="dxa"/>
            <w:shd w:val="clear" w:color="auto" w:fill="FFFFFF" w:themeFill="background1"/>
            <w:tcMar>
              <w:top w:w="15" w:type="dxa"/>
              <w:left w:w="15" w:type="dxa"/>
              <w:bottom w:w="0" w:type="dxa"/>
              <w:right w:w="15" w:type="dxa"/>
            </w:tcMar>
            <w:vAlign w:val="center"/>
            <w:hideMark/>
          </w:tcPr>
          <w:p w14:paraId="12AC6FD4" w14:textId="77777777" w:rsidR="00BB6BFE" w:rsidRPr="00236E38" w:rsidRDefault="00BB6BFE" w:rsidP="00236E38">
            <w:pPr>
              <w:spacing w:line="360" w:lineRule="auto"/>
              <w:jc w:val="center"/>
              <w:textAlignment w:val="center"/>
              <w:rPr>
                <w:rFonts w:asciiTheme="minorHAnsi" w:hAnsiTheme="minorHAnsi" w:cstheme="minorHAnsi"/>
                <w:sz w:val="22"/>
                <w:szCs w:val="22"/>
                <w:lang w:eastAsia="en-IN"/>
              </w:rPr>
            </w:pPr>
            <w:r w:rsidRPr="00236E38">
              <w:rPr>
                <w:rFonts w:asciiTheme="minorHAnsi" w:hAnsiTheme="minorHAnsi" w:cstheme="minorHAnsi"/>
                <w:color w:val="000000" w:themeColor="text1"/>
                <w:kern w:val="24"/>
                <w:sz w:val="22"/>
                <w:szCs w:val="22"/>
              </w:rPr>
              <w:t>54</w:t>
            </w:r>
          </w:p>
        </w:tc>
        <w:tc>
          <w:tcPr>
            <w:tcW w:w="1663" w:type="dxa"/>
            <w:shd w:val="clear" w:color="auto" w:fill="FFFFFF" w:themeFill="background1"/>
            <w:tcMar>
              <w:top w:w="15" w:type="dxa"/>
              <w:left w:w="15" w:type="dxa"/>
              <w:bottom w:w="0" w:type="dxa"/>
              <w:right w:w="15" w:type="dxa"/>
            </w:tcMar>
            <w:vAlign w:val="center"/>
            <w:hideMark/>
          </w:tcPr>
          <w:p w14:paraId="7C4AD7DA" w14:textId="77777777" w:rsidR="00BB6BFE" w:rsidRPr="00236E38" w:rsidRDefault="00BB6BFE" w:rsidP="00236E38">
            <w:pPr>
              <w:spacing w:line="360" w:lineRule="auto"/>
              <w:jc w:val="center"/>
              <w:textAlignment w:val="center"/>
              <w:rPr>
                <w:rFonts w:asciiTheme="minorHAnsi" w:hAnsiTheme="minorHAnsi" w:cstheme="minorHAnsi"/>
                <w:sz w:val="22"/>
                <w:szCs w:val="22"/>
                <w:lang w:eastAsia="en-IN"/>
              </w:rPr>
            </w:pPr>
            <w:r w:rsidRPr="00236E38">
              <w:rPr>
                <w:rFonts w:asciiTheme="minorHAnsi" w:hAnsiTheme="minorHAnsi" w:cstheme="minorHAnsi"/>
                <w:color w:val="000000" w:themeColor="text1"/>
                <w:kern w:val="24"/>
                <w:sz w:val="22"/>
                <w:szCs w:val="22"/>
              </w:rPr>
              <w:t>54</w:t>
            </w:r>
          </w:p>
        </w:tc>
        <w:tc>
          <w:tcPr>
            <w:tcW w:w="2830" w:type="dxa"/>
            <w:shd w:val="clear" w:color="auto" w:fill="FFFFFF" w:themeFill="background1"/>
            <w:tcMar>
              <w:top w:w="15" w:type="dxa"/>
              <w:left w:w="15" w:type="dxa"/>
              <w:bottom w:w="0" w:type="dxa"/>
              <w:right w:w="15" w:type="dxa"/>
            </w:tcMar>
            <w:vAlign w:val="center"/>
            <w:hideMark/>
          </w:tcPr>
          <w:p w14:paraId="5E47BD1B" w14:textId="77777777" w:rsidR="00BB6BFE" w:rsidRPr="00236E38" w:rsidRDefault="00BB6BFE" w:rsidP="00236E38">
            <w:pPr>
              <w:spacing w:line="360" w:lineRule="auto"/>
              <w:jc w:val="center"/>
              <w:textAlignment w:val="center"/>
              <w:rPr>
                <w:rFonts w:asciiTheme="minorHAnsi" w:hAnsiTheme="minorHAnsi" w:cstheme="minorHAnsi"/>
                <w:sz w:val="22"/>
                <w:szCs w:val="22"/>
                <w:lang w:eastAsia="en-IN"/>
              </w:rPr>
            </w:pPr>
            <w:r w:rsidRPr="00236E38">
              <w:rPr>
                <w:rFonts w:asciiTheme="minorHAnsi" w:hAnsiTheme="minorHAnsi" w:cstheme="minorHAnsi"/>
                <w:color w:val="000000"/>
                <w:kern w:val="24"/>
                <w:sz w:val="22"/>
                <w:szCs w:val="22"/>
                <w:lang w:eastAsia="en-IN"/>
              </w:rPr>
              <w:t>100%</w:t>
            </w:r>
          </w:p>
        </w:tc>
      </w:tr>
      <w:tr w:rsidR="00BB6BFE" w:rsidRPr="00236E38" w14:paraId="7C019502" w14:textId="77777777" w:rsidTr="002B5470">
        <w:trPr>
          <w:trHeight w:val="417"/>
        </w:trPr>
        <w:tc>
          <w:tcPr>
            <w:tcW w:w="1093" w:type="dxa"/>
            <w:shd w:val="clear" w:color="auto" w:fill="FFFFFF" w:themeFill="background1"/>
            <w:tcMar>
              <w:top w:w="15" w:type="dxa"/>
              <w:left w:w="15" w:type="dxa"/>
              <w:bottom w:w="0" w:type="dxa"/>
              <w:right w:w="15" w:type="dxa"/>
            </w:tcMar>
            <w:vAlign w:val="center"/>
            <w:hideMark/>
          </w:tcPr>
          <w:p w14:paraId="73AA3663" w14:textId="77777777" w:rsidR="00BB6BFE" w:rsidRPr="00236E38" w:rsidRDefault="00BB6BFE" w:rsidP="00236E38">
            <w:pPr>
              <w:spacing w:line="360" w:lineRule="auto"/>
              <w:jc w:val="center"/>
              <w:textAlignment w:val="center"/>
              <w:rPr>
                <w:rFonts w:asciiTheme="minorHAnsi" w:hAnsiTheme="minorHAnsi" w:cstheme="minorHAnsi"/>
                <w:sz w:val="22"/>
                <w:szCs w:val="22"/>
                <w:lang w:eastAsia="en-IN"/>
              </w:rPr>
            </w:pPr>
            <w:proofErr w:type="spellStart"/>
            <w:r w:rsidRPr="00236E38">
              <w:rPr>
                <w:rFonts w:asciiTheme="minorHAnsi" w:hAnsiTheme="minorHAnsi" w:cstheme="minorHAnsi"/>
                <w:b/>
                <w:bCs/>
                <w:color w:val="000000"/>
                <w:kern w:val="24"/>
                <w:sz w:val="22"/>
                <w:szCs w:val="22"/>
                <w:lang w:eastAsia="en-IN"/>
              </w:rPr>
              <w:t>Bhadrak</w:t>
            </w:r>
            <w:proofErr w:type="spellEnd"/>
          </w:p>
        </w:tc>
        <w:tc>
          <w:tcPr>
            <w:tcW w:w="2772" w:type="dxa"/>
            <w:shd w:val="clear" w:color="auto" w:fill="FFFFFF" w:themeFill="background1"/>
            <w:tcMar>
              <w:top w:w="15" w:type="dxa"/>
              <w:left w:w="15" w:type="dxa"/>
              <w:bottom w:w="0" w:type="dxa"/>
              <w:right w:w="15" w:type="dxa"/>
            </w:tcMar>
            <w:vAlign w:val="center"/>
            <w:hideMark/>
          </w:tcPr>
          <w:p w14:paraId="63F55C57" w14:textId="77777777" w:rsidR="00BB6BFE" w:rsidRPr="00236E38" w:rsidRDefault="00BB6BFE" w:rsidP="00236E38">
            <w:pPr>
              <w:spacing w:line="360" w:lineRule="auto"/>
              <w:jc w:val="center"/>
              <w:textAlignment w:val="center"/>
              <w:rPr>
                <w:rFonts w:asciiTheme="minorHAnsi" w:hAnsiTheme="minorHAnsi" w:cstheme="minorHAnsi"/>
                <w:sz w:val="22"/>
                <w:szCs w:val="22"/>
                <w:lang w:eastAsia="en-IN"/>
              </w:rPr>
            </w:pPr>
            <w:r w:rsidRPr="00236E38">
              <w:rPr>
                <w:rFonts w:asciiTheme="minorHAnsi" w:hAnsiTheme="minorHAnsi" w:cstheme="minorHAnsi"/>
                <w:color w:val="000000" w:themeColor="text1"/>
                <w:kern w:val="24"/>
                <w:sz w:val="22"/>
                <w:szCs w:val="22"/>
              </w:rPr>
              <w:t>35</w:t>
            </w:r>
          </w:p>
        </w:tc>
        <w:tc>
          <w:tcPr>
            <w:tcW w:w="1663" w:type="dxa"/>
            <w:shd w:val="clear" w:color="auto" w:fill="FFFFFF" w:themeFill="background1"/>
            <w:tcMar>
              <w:top w:w="15" w:type="dxa"/>
              <w:left w:w="15" w:type="dxa"/>
              <w:bottom w:w="0" w:type="dxa"/>
              <w:right w:w="15" w:type="dxa"/>
            </w:tcMar>
            <w:vAlign w:val="center"/>
            <w:hideMark/>
          </w:tcPr>
          <w:p w14:paraId="56E45C08" w14:textId="77777777" w:rsidR="00BB6BFE" w:rsidRPr="00236E38" w:rsidRDefault="00BB6BFE" w:rsidP="00236E38">
            <w:pPr>
              <w:spacing w:line="360" w:lineRule="auto"/>
              <w:jc w:val="center"/>
              <w:textAlignment w:val="center"/>
              <w:rPr>
                <w:rFonts w:asciiTheme="minorHAnsi" w:hAnsiTheme="minorHAnsi" w:cstheme="minorHAnsi"/>
                <w:sz w:val="22"/>
                <w:szCs w:val="22"/>
                <w:lang w:eastAsia="en-IN"/>
              </w:rPr>
            </w:pPr>
            <w:r w:rsidRPr="00236E38">
              <w:rPr>
                <w:rFonts w:asciiTheme="minorHAnsi" w:hAnsiTheme="minorHAnsi" w:cstheme="minorHAnsi"/>
                <w:color w:val="000000" w:themeColor="text1"/>
                <w:kern w:val="24"/>
                <w:sz w:val="22"/>
                <w:szCs w:val="22"/>
              </w:rPr>
              <w:t>35</w:t>
            </w:r>
          </w:p>
        </w:tc>
        <w:tc>
          <w:tcPr>
            <w:tcW w:w="2830" w:type="dxa"/>
            <w:shd w:val="clear" w:color="auto" w:fill="FFFFFF" w:themeFill="background1"/>
            <w:tcMar>
              <w:top w:w="15" w:type="dxa"/>
              <w:left w:w="15" w:type="dxa"/>
              <w:bottom w:w="0" w:type="dxa"/>
              <w:right w:w="15" w:type="dxa"/>
            </w:tcMar>
            <w:vAlign w:val="center"/>
            <w:hideMark/>
          </w:tcPr>
          <w:p w14:paraId="11AB845D" w14:textId="77777777" w:rsidR="00BB6BFE" w:rsidRPr="00236E38" w:rsidRDefault="00BB6BFE" w:rsidP="00236E38">
            <w:pPr>
              <w:spacing w:line="360" w:lineRule="auto"/>
              <w:jc w:val="center"/>
              <w:textAlignment w:val="center"/>
              <w:rPr>
                <w:rFonts w:asciiTheme="minorHAnsi" w:hAnsiTheme="minorHAnsi" w:cstheme="minorHAnsi"/>
                <w:sz w:val="22"/>
                <w:szCs w:val="22"/>
                <w:lang w:eastAsia="en-IN"/>
              </w:rPr>
            </w:pPr>
            <w:r w:rsidRPr="00236E38">
              <w:rPr>
                <w:rFonts w:asciiTheme="minorHAnsi" w:hAnsiTheme="minorHAnsi" w:cstheme="minorHAnsi"/>
                <w:color w:val="000000"/>
                <w:kern w:val="24"/>
                <w:sz w:val="22"/>
                <w:szCs w:val="22"/>
                <w:lang w:eastAsia="en-IN"/>
              </w:rPr>
              <w:t>100%</w:t>
            </w:r>
          </w:p>
        </w:tc>
      </w:tr>
      <w:tr w:rsidR="00BB6BFE" w:rsidRPr="00236E38" w14:paraId="2C785AEA" w14:textId="77777777" w:rsidTr="002B5470">
        <w:trPr>
          <w:trHeight w:val="417"/>
        </w:trPr>
        <w:tc>
          <w:tcPr>
            <w:tcW w:w="1093" w:type="dxa"/>
            <w:shd w:val="clear" w:color="auto" w:fill="FFFFFF" w:themeFill="background1"/>
            <w:tcMar>
              <w:top w:w="15" w:type="dxa"/>
              <w:left w:w="15" w:type="dxa"/>
              <w:bottom w:w="0" w:type="dxa"/>
              <w:right w:w="15" w:type="dxa"/>
            </w:tcMar>
            <w:vAlign w:val="center"/>
            <w:hideMark/>
          </w:tcPr>
          <w:p w14:paraId="63BE7AE4" w14:textId="77777777" w:rsidR="00BB6BFE" w:rsidRPr="00236E38" w:rsidRDefault="00BB6BFE" w:rsidP="00236E38">
            <w:pPr>
              <w:spacing w:line="360" w:lineRule="auto"/>
              <w:jc w:val="center"/>
              <w:textAlignment w:val="center"/>
              <w:rPr>
                <w:rFonts w:asciiTheme="minorHAnsi" w:hAnsiTheme="minorHAnsi" w:cstheme="minorHAnsi"/>
                <w:sz w:val="22"/>
                <w:szCs w:val="22"/>
                <w:lang w:eastAsia="en-IN"/>
              </w:rPr>
            </w:pPr>
            <w:proofErr w:type="spellStart"/>
            <w:r w:rsidRPr="00236E38">
              <w:rPr>
                <w:rFonts w:asciiTheme="minorHAnsi" w:hAnsiTheme="minorHAnsi" w:cstheme="minorHAnsi"/>
                <w:b/>
                <w:bCs/>
                <w:color w:val="000000"/>
                <w:kern w:val="24"/>
                <w:sz w:val="22"/>
                <w:szCs w:val="22"/>
                <w:lang w:eastAsia="en-IN"/>
              </w:rPr>
              <w:t>Jajpur</w:t>
            </w:r>
            <w:proofErr w:type="spellEnd"/>
          </w:p>
        </w:tc>
        <w:tc>
          <w:tcPr>
            <w:tcW w:w="2772" w:type="dxa"/>
            <w:shd w:val="clear" w:color="auto" w:fill="FFFFFF" w:themeFill="background1"/>
            <w:tcMar>
              <w:top w:w="15" w:type="dxa"/>
              <w:left w:w="15" w:type="dxa"/>
              <w:bottom w:w="0" w:type="dxa"/>
              <w:right w:w="15" w:type="dxa"/>
            </w:tcMar>
            <w:vAlign w:val="center"/>
            <w:hideMark/>
          </w:tcPr>
          <w:p w14:paraId="1D7D5EC3" w14:textId="77777777" w:rsidR="00BB6BFE" w:rsidRPr="00236E38" w:rsidRDefault="00BB6BFE" w:rsidP="00236E38">
            <w:pPr>
              <w:spacing w:line="360" w:lineRule="auto"/>
              <w:jc w:val="center"/>
              <w:textAlignment w:val="center"/>
              <w:rPr>
                <w:rFonts w:asciiTheme="minorHAnsi" w:hAnsiTheme="minorHAnsi" w:cstheme="minorHAnsi"/>
                <w:sz w:val="22"/>
                <w:szCs w:val="22"/>
                <w:lang w:eastAsia="en-IN"/>
              </w:rPr>
            </w:pPr>
            <w:r w:rsidRPr="00236E38">
              <w:rPr>
                <w:rFonts w:asciiTheme="minorHAnsi" w:eastAsiaTheme="minorEastAsia" w:hAnsiTheme="minorHAnsi" w:cstheme="minorHAnsi"/>
                <w:color w:val="000000" w:themeColor="text1"/>
                <w:kern w:val="24"/>
                <w:sz w:val="22"/>
                <w:szCs w:val="22"/>
              </w:rPr>
              <w:t>41</w:t>
            </w:r>
          </w:p>
        </w:tc>
        <w:tc>
          <w:tcPr>
            <w:tcW w:w="1663" w:type="dxa"/>
            <w:shd w:val="clear" w:color="auto" w:fill="FFFFFF" w:themeFill="background1"/>
            <w:tcMar>
              <w:top w:w="15" w:type="dxa"/>
              <w:left w:w="15" w:type="dxa"/>
              <w:bottom w:w="0" w:type="dxa"/>
              <w:right w:w="15" w:type="dxa"/>
            </w:tcMar>
            <w:vAlign w:val="center"/>
            <w:hideMark/>
          </w:tcPr>
          <w:p w14:paraId="6DA921D3" w14:textId="77777777" w:rsidR="00BB6BFE" w:rsidRPr="00236E38" w:rsidRDefault="00BB6BFE" w:rsidP="00236E38">
            <w:pPr>
              <w:spacing w:line="360" w:lineRule="auto"/>
              <w:jc w:val="center"/>
              <w:textAlignment w:val="center"/>
              <w:rPr>
                <w:rFonts w:asciiTheme="minorHAnsi" w:hAnsiTheme="minorHAnsi" w:cstheme="minorHAnsi"/>
                <w:sz w:val="22"/>
                <w:szCs w:val="22"/>
                <w:lang w:eastAsia="en-IN"/>
              </w:rPr>
            </w:pPr>
            <w:r w:rsidRPr="00236E38">
              <w:rPr>
                <w:rFonts w:asciiTheme="minorHAnsi" w:eastAsiaTheme="minorEastAsia" w:hAnsiTheme="minorHAnsi" w:cstheme="minorHAnsi"/>
                <w:color w:val="000000" w:themeColor="text1"/>
                <w:kern w:val="24"/>
                <w:sz w:val="22"/>
                <w:szCs w:val="22"/>
              </w:rPr>
              <w:t>41</w:t>
            </w:r>
          </w:p>
        </w:tc>
        <w:tc>
          <w:tcPr>
            <w:tcW w:w="2830" w:type="dxa"/>
            <w:shd w:val="clear" w:color="auto" w:fill="FFFFFF" w:themeFill="background1"/>
            <w:tcMar>
              <w:top w:w="15" w:type="dxa"/>
              <w:left w:w="15" w:type="dxa"/>
              <w:bottom w:w="0" w:type="dxa"/>
              <w:right w:w="15" w:type="dxa"/>
            </w:tcMar>
            <w:vAlign w:val="center"/>
            <w:hideMark/>
          </w:tcPr>
          <w:p w14:paraId="0C838455" w14:textId="77777777" w:rsidR="00BB6BFE" w:rsidRPr="00236E38" w:rsidRDefault="00BB6BFE" w:rsidP="00236E38">
            <w:pPr>
              <w:spacing w:line="360" w:lineRule="auto"/>
              <w:jc w:val="center"/>
              <w:textAlignment w:val="center"/>
              <w:rPr>
                <w:rFonts w:asciiTheme="minorHAnsi" w:hAnsiTheme="minorHAnsi" w:cstheme="minorHAnsi"/>
                <w:sz w:val="22"/>
                <w:szCs w:val="22"/>
                <w:lang w:eastAsia="en-IN"/>
              </w:rPr>
            </w:pPr>
            <w:r w:rsidRPr="00236E38">
              <w:rPr>
                <w:rFonts w:asciiTheme="minorHAnsi" w:hAnsiTheme="minorHAnsi" w:cstheme="minorHAnsi"/>
                <w:color w:val="000000"/>
                <w:kern w:val="24"/>
                <w:sz w:val="22"/>
                <w:szCs w:val="22"/>
                <w:lang w:eastAsia="en-IN"/>
              </w:rPr>
              <w:t>100%</w:t>
            </w:r>
          </w:p>
        </w:tc>
      </w:tr>
      <w:tr w:rsidR="00BB6BFE" w:rsidRPr="00236E38" w14:paraId="2108DA0B" w14:textId="77777777" w:rsidTr="002B5470">
        <w:trPr>
          <w:trHeight w:val="417"/>
        </w:trPr>
        <w:tc>
          <w:tcPr>
            <w:tcW w:w="1093" w:type="dxa"/>
            <w:shd w:val="clear" w:color="auto" w:fill="FFFFFF" w:themeFill="background1"/>
            <w:tcMar>
              <w:top w:w="15" w:type="dxa"/>
              <w:left w:w="15" w:type="dxa"/>
              <w:bottom w:w="0" w:type="dxa"/>
              <w:right w:w="15" w:type="dxa"/>
            </w:tcMar>
            <w:vAlign w:val="center"/>
            <w:hideMark/>
          </w:tcPr>
          <w:p w14:paraId="20449907" w14:textId="77777777" w:rsidR="00BB6BFE" w:rsidRPr="00236E38" w:rsidRDefault="00BB6BFE" w:rsidP="00236E38">
            <w:pPr>
              <w:spacing w:line="360" w:lineRule="auto"/>
              <w:jc w:val="center"/>
              <w:textAlignment w:val="center"/>
              <w:rPr>
                <w:rFonts w:asciiTheme="minorHAnsi" w:hAnsiTheme="minorHAnsi" w:cstheme="minorHAnsi"/>
                <w:sz w:val="22"/>
                <w:szCs w:val="22"/>
                <w:lang w:eastAsia="en-IN"/>
              </w:rPr>
            </w:pPr>
            <w:proofErr w:type="spellStart"/>
            <w:r w:rsidRPr="00236E38">
              <w:rPr>
                <w:rFonts w:asciiTheme="minorHAnsi" w:hAnsiTheme="minorHAnsi" w:cstheme="minorHAnsi"/>
                <w:b/>
                <w:bCs/>
                <w:color w:val="000000"/>
                <w:kern w:val="24"/>
                <w:sz w:val="22"/>
                <w:szCs w:val="22"/>
                <w:lang w:eastAsia="en-IN"/>
              </w:rPr>
              <w:lastRenderedPageBreak/>
              <w:t>Keonjhar</w:t>
            </w:r>
            <w:proofErr w:type="spellEnd"/>
          </w:p>
        </w:tc>
        <w:tc>
          <w:tcPr>
            <w:tcW w:w="2772" w:type="dxa"/>
            <w:shd w:val="clear" w:color="auto" w:fill="FFFFFF" w:themeFill="background1"/>
            <w:tcMar>
              <w:top w:w="15" w:type="dxa"/>
              <w:left w:w="15" w:type="dxa"/>
              <w:bottom w:w="0" w:type="dxa"/>
              <w:right w:w="15" w:type="dxa"/>
            </w:tcMar>
            <w:vAlign w:val="center"/>
            <w:hideMark/>
          </w:tcPr>
          <w:p w14:paraId="02AF691B" w14:textId="77777777" w:rsidR="00BB6BFE" w:rsidRPr="00236E38" w:rsidRDefault="00BB6BFE" w:rsidP="00236E38">
            <w:pPr>
              <w:spacing w:line="360" w:lineRule="auto"/>
              <w:jc w:val="center"/>
              <w:textAlignment w:val="center"/>
              <w:rPr>
                <w:rFonts w:asciiTheme="minorHAnsi" w:hAnsiTheme="minorHAnsi" w:cstheme="minorHAnsi"/>
                <w:sz w:val="22"/>
                <w:szCs w:val="22"/>
                <w:lang w:eastAsia="en-IN"/>
              </w:rPr>
            </w:pPr>
            <w:r w:rsidRPr="00236E38">
              <w:rPr>
                <w:rFonts w:asciiTheme="minorHAnsi" w:eastAsiaTheme="minorEastAsia" w:hAnsiTheme="minorHAnsi" w:cstheme="minorHAnsi"/>
                <w:color w:val="000000" w:themeColor="text1"/>
                <w:kern w:val="24"/>
                <w:sz w:val="22"/>
                <w:szCs w:val="22"/>
              </w:rPr>
              <w:t>48</w:t>
            </w:r>
          </w:p>
        </w:tc>
        <w:tc>
          <w:tcPr>
            <w:tcW w:w="1663" w:type="dxa"/>
            <w:shd w:val="clear" w:color="auto" w:fill="FFFFFF" w:themeFill="background1"/>
            <w:tcMar>
              <w:top w:w="15" w:type="dxa"/>
              <w:left w:w="15" w:type="dxa"/>
              <w:bottom w:w="0" w:type="dxa"/>
              <w:right w:w="15" w:type="dxa"/>
            </w:tcMar>
            <w:vAlign w:val="center"/>
            <w:hideMark/>
          </w:tcPr>
          <w:p w14:paraId="1E5FCFD5" w14:textId="77777777" w:rsidR="00BB6BFE" w:rsidRPr="00236E38" w:rsidRDefault="00BB6BFE" w:rsidP="00236E38">
            <w:pPr>
              <w:spacing w:line="360" w:lineRule="auto"/>
              <w:jc w:val="center"/>
              <w:textAlignment w:val="center"/>
              <w:rPr>
                <w:rFonts w:asciiTheme="minorHAnsi" w:hAnsiTheme="minorHAnsi" w:cstheme="minorHAnsi"/>
                <w:sz w:val="22"/>
                <w:szCs w:val="22"/>
                <w:lang w:eastAsia="en-IN"/>
              </w:rPr>
            </w:pPr>
            <w:r w:rsidRPr="00236E38">
              <w:rPr>
                <w:rFonts w:asciiTheme="minorHAnsi" w:eastAsiaTheme="minorEastAsia" w:hAnsiTheme="minorHAnsi" w:cstheme="minorHAnsi"/>
                <w:color w:val="000000" w:themeColor="text1"/>
                <w:kern w:val="24"/>
                <w:sz w:val="22"/>
                <w:szCs w:val="22"/>
              </w:rPr>
              <w:t>48</w:t>
            </w:r>
          </w:p>
        </w:tc>
        <w:tc>
          <w:tcPr>
            <w:tcW w:w="2830" w:type="dxa"/>
            <w:shd w:val="clear" w:color="auto" w:fill="FFFFFF" w:themeFill="background1"/>
            <w:tcMar>
              <w:top w:w="15" w:type="dxa"/>
              <w:left w:w="15" w:type="dxa"/>
              <w:bottom w:w="0" w:type="dxa"/>
              <w:right w:w="15" w:type="dxa"/>
            </w:tcMar>
            <w:vAlign w:val="center"/>
            <w:hideMark/>
          </w:tcPr>
          <w:p w14:paraId="5CB4D980" w14:textId="77777777" w:rsidR="00BB6BFE" w:rsidRPr="00236E38" w:rsidRDefault="00BB6BFE" w:rsidP="00236E38">
            <w:pPr>
              <w:spacing w:line="360" w:lineRule="auto"/>
              <w:jc w:val="center"/>
              <w:textAlignment w:val="center"/>
              <w:rPr>
                <w:rFonts w:asciiTheme="minorHAnsi" w:hAnsiTheme="minorHAnsi" w:cstheme="minorHAnsi"/>
                <w:sz w:val="22"/>
                <w:szCs w:val="22"/>
                <w:lang w:eastAsia="en-IN"/>
              </w:rPr>
            </w:pPr>
            <w:r w:rsidRPr="00236E38">
              <w:rPr>
                <w:rFonts w:asciiTheme="minorHAnsi" w:hAnsiTheme="minorHAnsi" w:cstheme="minorHAnsi"/>
                <w:color w:val="000000"/>
                <w:kern w:val="24"/>
                <w:sz w:val="22"/>
                <w:szCs w:val="22"/>
                <w:lang w:eastAsia="en-IN"/>
              </w:rPr>
              <w:t>100%</w:t>
            </w:r>
          </w:p>
        </w:tc>
      </w:tr>
      <w:tr w:rsidR="00BB6BFE" w:rsidRPr="00236E38" w14:paraId="79F1AC8D" w14:textId="77777777" w:rsidTr="002B5470">
        <w:trPr>
          <w:trHeight w:val="417"/>
        </w:trPr>
        <w:tc>
          <w:tcPr>
            <w:tcW w:w="1093" w:type="dxa"/>
            <w:shd w:val="clear" w:color="auto" w:fill="8DB3E2" w:themeFill="text2" w:themeFillTint="66"/>
            <w:tcMar>
              <w:top w:w="15" w:type="dxa"/>
              <w:left w:w="15" w:type="dxa"/>
              <w:bottom w:w="0" w:type="dxa"/>
              <w:right w:w="15" w:type="dxa"/>
            </w:tcMar>
            <w:vAlign w:val="center"/>
            <w:hideMark/>
          </w:tcPr>
          <w:p w14:paraId="6BA1A9F7" w14:textId="77777777" w:rsidR="00BB6BFE" w:rsidRPr="00AD0CB1" w:rsidRDefault="00BB6BFE" w:rsidP="00236E38">
            <w:pPr>
              <w:spacing w:line="360" w:lineRule="auto"/>
              <w:jc w:val="center"/>
              <w:textAlignment w:val="center"/>
              <w:rPr>
                <w:rFonts w:asciiTheme="minorHAnsi" w:hAnsiTheme="minorHAnsi" w:cstheme="minorHAnsi"/>
                <w:color w:val="000000" w:themeColor="text1"/>
                <w:sz w:val="22"/>
                <w:szCs w:val="22"/>
                <w:lang w:eastAsia="en-IN"/>
              </w:rPr>
            </w:pPr>
            <w:r w:rsidRPr="00AD0CB1">
              <w:rPr>
                <w:rFonts w:asciiTheme="minorHAnsi" w:hAnsiTheme="minorHAnsi" w:cstheme="minorHAnsi"/>
                <w:b/>
                <w:bCs/>
                <w:color w:val="000000" w:themeColor="text1"/>
                <w:kern w:val="24"/>
                <w:sz w:val="22"/>
                <w:szCs w:val="22"/>
                <w:lang w:eastAsia="en-IN"/>
              </w:rPr>
              <w:t>Total</w:t>
            </w:r>
          </w:p>
        </w:tc>
        <w:tc>
          <w:tcPr>
            <w:tcW w:w="2772" w:type="dxa"/>
            <w:shd w:val="clear" w:color="auto" w:fill="8DB3E2" w:themeFill="text2" w:themeFillTint="66"/>
            <w:tcMar>
              <w:top w:w="15" w:type="dxa"/>
              <w:left w:w="15" w:type="dxa"/>
              <w:bottom w:w="0" w:type="dxa"/>
              <w:right w:w="15" w:type="dxa"/>
            </w:tcMar>
            <w:vAlign w:val="center"/>
            <w:hideMark/>
          </w:tcPr>
          <w:p w14:paraId="34025DFF" w14:textId="77777777" w:rsidR="00BB6BFE" w:rsidRPr="00AD0CB1" w:rsidRDefault="00BB6BFE" w:rsidP="00236E38">
            <w:pPr>
              <w:spacing w:line="360" w:lineRule="auto"/>
              <w:jc w:val="center"/>
              <w:textAlignment w:val="center"/>
              <w:rPr>
                <w:rFonts w:asciiTheme="minorHAnsi" w:hAnsiTheme="minorHAnsi" w:cstheme="minorHAnsi"/>
                <w:color w:val="000000" w:themeColor="text1"/>
                <w:sz w:val="22"/>
                <w:szCs w:val="22"/>
                <w:lang w:eastAsia="en-IN"/>
              </w:rPr>
            </w:pPr>
            <w:r w:rsidRPr="00AD0CB1">
              <w:rPr>
                <w:rFonts w:asciiTheme="minorHAnsi" w:hAnsiTheme="minorHAnsi" w:cstheme="minorHAnsi"/>
                <w:b/>
                <w:bCs/>
                <w:color w:val="000000" w:themeColor="text1"/>
                <w:kern w:val="24"/>
                <w:sz w:val="22"/>
                <w:szCs w:val="22"/>
              </w:rPr>
              <w:t>247</w:t>
            </w:r>
          </w:p>
        </w:tc>
        <w:tc>
          <w:tcPr>
            <w:tcW w:w="1663" w:type="dxa"/>
            <w:shd w:val="clear" w:color="auto" w:fill="8DB3E2" w:themeFill="text2" w:themeFillTint="66"/>
            <w:tcMar>
              <w:top w:w="15" w:type="dxa"/>
              <w:left w:w="15" w:type="dxa"/>
              <w:bottom w:w="0" w:type="dxa"/>
              <w:right w:w="15" w:type="dxa"/>
            </w:tcMar>
            <w:vAlign w:val="center"/>
            <w:hideMark/>
          </w:tcPr>
          <w:p w14:paraId="59DCBD74" w14:textId="77777777" w:rsidR="00BB6BFE" w:rsidRPr="00AD0CB1" w:rsidRDefault="00BB6BFE" w:rsidP="00236E38">
            <w:pPr>
              <w:spacing w:line="360" w:lineRule="auto"/>
              <w:jc w:val="center"/>
              <w:textAlignment w:val="center"/>
              <w:rPr>
                <w:rFonts w:asciiTheme="minorHAnsi" w:hAnsiTheme="minorHAnsi" w:cstheme="minorHAnsi"/>
                <w:color w:val="000000" w:themeColor="text1"/>
                <w:sz w:val="22"/>
                <w:szCs w:val="22"/>
                <w:lang w:eastAsia="en-IN"/>
              </w:rPr>
            </w:pPr>
            <w:r w:rsidRPr="00AD0CB1">
              <w:rPr>
                <w:rFonts w:asciiTheme="minorHAnsi" w:hAnsiTheme="minorHAnsi" w:cstheme="minorHAnsi"/>
                <w:b/>
                <w:bCs/>
                <w:color w:val="000000" w:themeColor="text1"/>
                <w:kern w:val="24"/>
                <w:sz w:val="22"/>
                <w:szCs w:val="22"/>
              </w:rPr>
              <w:t>247</w:t>
            </w:r>
          </w:p>
        </w:tc>
        <w:tc>
          <w:tcPr>
            <w:tcW w:w="2830" w:type="dxa"/>
            <w:shd w:val="clear" w:color="auto" w:fill="8DB3E2" w:themeFill="text2" w:themeFillTint="66"/>
            <w:tcMar>
              <w:top w:w="15" w:type="dxa"/>
              <w:left w:w="15" w:type="dxa"/>
              <w:bottom w:w="0" w:type="dxa"/>
              <w:right w:w="15" w:type="dxa"/>
            </w:tcMar>
            <w:vAlign w:val="center"/>
            <w:hideMark/>
          </w:tcPr>
          <w:p w14:paraId="045CDF5D" w14:textId="77777777" w:rsidR="00BB6BFE" w:rsidRPr="00AD0CB1" w:rsidRDefault="00BB6BFE" w:rsidP="00236E38">
            <w:pPr>
              <w:spacing w:line="360" w:lineRule="auto"/>
              <w:jc w:val="center"/>
              <w:textAlignment w:val="center"/>
              <w:rPr>
                <w:rFonts w:asciiTheme="minorHAnsi" w:hAnsiTheme="minorHAnsi" w:cstheme="minorHAnsi"/>
                <w:color w:val="000000" w:themeColor="text1"/>
                <w:sz w:val="22"/>
                <w:szCs w:val="22"/>
                <w:lang w:eastAsia="en-IN"/>
              </w:rPr>
            </w:pPr>
            <w:r w:rsidRPr="00AD0CB1">
              <w:rPr>
                <w:rFonts w:asciiTheme="minorHAnsi" w:hAnsiTheme="minorHAnsi" w:cstheme="minorHAnsi"/>
                <w:b/>
                <w:bCs/>
                <w:color w:val="000000" w:themeColor="text1"/>
                <w:kern w:val="24"/>
                <w:sz w:val="22"/>
                <w:szCs w:val="22"/>
                <w:lang w:eastAsia="en-IN"/>
              </w:rPr>
              <w:t>100%</w:t>
            </w:r>
          </w:p>
        </w:tc>
      </w:tr>
    </w:tbl>
    <w:p w14:paraId="47759F26" w14:textId="77777777" w:rsidR="00BB6BFE" w:rsidRPr="00236E38" w:rsidRDefault="00BB6BFE" w:rsidP="00236E38">
      <w:pPr>
        <w:spacing w:line="360" w:lineRule="auto"/>
        <w:jc w:val="both"/>
        <w:rPr>
          <w:rFonts w:asciiTheme="minorHAnsi" w:hAnsiTheme="minorHAnsi" w:cstheme="minorHAnsi"/>
          <w:b/>
          <w:sz w:val="22"/>
          <w:szCs w:val="22"/>
          <w:lang w:bidi="or-IN"/>
        </w:rPr>
      </w:pPr>
    </w:p>
    <w:p w14:paraId="06674D73" w14:textId="3348C07B" w:rsidR="00BB6BFE" w:rsidRPr="00236E38" w:rsidRDefault="00AD0CB1" w:rsidP="00AD0CB1">
      <w:pPr>
        <w:spacing w:line="360" w:lineRule="auto"/>
        <w:jc w:val="both"/>
        <w:rPr>
          <w:rFonts w:asciiTheme="minorHAnsi" w:hAnsiTheme="minorHAnsi" w:cstheme="minorHAnsi"/>
          <w:b/>
          <w:sz w:val="22"/>
          <w:szCs w:val="22"/>
          <w:lang w:bidi="or-IN"/>
        </w:rPr>
      </w:pPr>
      <w:r>
        <w:rPr>
          <w:rFonts w:asciiTheme="minorHAnsi" w:hAnsiTheme="minorHAnsi" w:cstheme="minorHAnsi"/>
          <w:b/>
          <w:sz w:val="22"/>
          <w:szCs w:val="22"/>
          <w:lang w:bidi="or-IN"/>
        </w:rPr>
        <w:t xml:space="preserve">              </w:t>
      </w:r>
      <w:r w:rsidR="00BB6BFE" w:rsidRPr="00236E38">
        <w:rPr>
          <w:rFonts w:asciiTheme="minorHAnsi" w:hAnsiTheme="minorHAnsi" w:cstheme="minorHAnsi"/>
          <w:b/>
          <w:sz w:val="22"/>
          <w:szCs w:val="22"/>
          <w:lang w:bidi="or-IN"/>
        </w:rPr>
        <w:t>100% AMR Installation for 33 kV and 11 kV Feeders</w:t>
      </w:r>
    </w:p>
    <w:p w14:paraId="4412E3AF" w14:textId="547602CD" w:rsidR="00BB6BFE" w:rsidRPr="00236E38" w:rsidRDefault="00BB6BFE" w:rsidP="00AD0CB1">
      <w:pPr>
        <w:spacing w:line="360" w:lineRule="auto"/>
        <w:ind w:left="709"/>
        <w:jc w:val="both"/>
        <w:rPr>
          <w:rFonts w:asciiTheme="minorHAnsi" w:hAnsiTheme="minorHAnsi" w:cstheme="minorHAnsi"/>
          <w:sz w:val="22"/>
          <w:szCs w:val="22"/>
          <w:lang w:bidi="or-IN"/>
        </w:rPr>
      </w:pPr>
      <w:r w:rsidRPr="00236E38">
        <w:rPr>
          <w:rFonts w:asciiTheme="minorHAnsi" w:hAnsiTheme="minorHAnsi" w:cstheme="minorHAnsi"/>
          <w:sz w:val="22"/>
          <w:szCs w:val="22"/>
          <w:lang w:bidi="or-IN"/>
        </w:rPr>
        <w:t xml:space="preserve">TPNODL has implemented the initiative for the AMR installation for all the 11 kV and 33 kV feeders, at the PSS in order to capture the meter data remotely without manual intervention, so that timely and accurate energy accounting can be carried out by the organization. With this initiative, </w:t>
      </w:r>
      <w:r w:rsidR="00396F36" w:rsidRPr="00B52232">
        <w:rPr>
          <w:rFonts w:asciiTheme="minorHAnsi" w:hAnsiTheme="minorHAnsi" w:cstheme="minorHAnsi"/>
          <w:sz w:val="22"/>
          <w:szCs w:val="22"/>
          <w:lang w:bidi="or-IN"/>
        </w:rPr>
        <w:t xml:space="preserve">1800 </w:t>
      </w:r>
      <w:r w:rsidRPr="00236E38">
        <w:rPr>
          <w:rFonts w:asciiTheme="minorHAnsi" w:hAnsiTheme="minorHAnsi" w:cstheme="minorHAnsi"/>
          <w:sz w:val="22"/>
          <w:szCs w:val="22"/>
          <w:lang w:bidi="or-IN"/>
        </w:rPr>
        <w:t xml:space="preserve">modems have been installed to fetch the accurate energy data in time bound manner. Some modems also installed for the HT and EHT consumer so that meter readings along with complete load survey can be captured remotely This has substantially curtailed the cycle time for energy meter data collection. </w:t>
      </w:r>
    </w:p>
    <w:p w14:paraId="5DD54738" w14:textId="77777777" w:rsidR="00AD0CB1" w:rsidRPr="00236E38" w:rsidRDefault="00AD0CB1" w:rsidP="002B5470">
      <w:pPr>
        <w:spacing w:line="360" w:lineRule="auto"/>
        <w:jc w:val="both"/>
        <w:rPr>
          <w:rFonts w:asciiTheme="minorHAnsi" w:hAnsiTheme="minorHAnsi" w:cstheme="minorHAnsi"/>
          <w:sz w:val="22"/>
          <w:szCs w:val="22"/>
          <w:lang w:bidi="or-IN"/>
        </w:rPr>
      </w:pPr>
    </w:p>
    <w:p w14:paraId="20627081" w14:textId="41FE75F4" w:rsidR="00BB6BFE" w:rsidRPr="00236E38" w:rsidRDefault="00CD105A" w:rsidP="00236E38">
      <w:pPr>
        <w:spacing w:line="360" w:lineRule="auto"/>
        <w:jc w:val="center"/>
        <w:rPr>
          <w:rFonts w:asciiTheme="minorHAnsi" w:hAnsiTheme="minorHAnsi" w:cstheme="minorHAnsi"/>
          <w:b/>
          <w:sz w:val="22"/>
          <w:szCs w:val="22"/>
          <w:lang w:bidi="or-IN"/>
        </w:rPr>
      </w:pPr>
      <w:r>
        <w:rPr>
          <w:rFonts w:asciiTheme="minorHAnsi" w:hAnsiTheme="minorHAnsi" w:cstheme="minorHAnsi"/>
          <w:b/>
          <w:sz w:val="22"/>
          <w:szCs w:val="22"/>
          <w:lang w:bidi="or-IN"/>
        </w:rPr>
        <w:t>Table -</w:t>
      </w:r>
      <w:r w:rsidR="002B5470">
        <w:rPr>
          <w:rFonts w:asciiTheme="minorHAnsi" w:hAnsiTheme="minorHAnsi" w:cstheme="minorHAnsi"/>
          <w:b/>
          <w:sz w:val="22"/>
          <w:szCs w:val="22"/>
          <w:lang w:bidi="or-IN"/>
        </w:rPr>
        <w:t xml:space="preserve">67 </w:t>
      </w:r>
      <w:r w:rsidR="002B5470" w:rsidRPr="00236E38">
        <w:rPr>
          <w:rFonts w:asciiTheme="minorHAnsi" w:hAnsiTheme="minorHAnsi" w:cstheme="minorHAnsi"/>
          <w:b/>
          <w:sz w:val="22"/>
          <w:szCs w:val="22"/>
          <w:lang w:bidi="or-IN"/>
        </w:rPr>
        <w:t>Status</w:t>
      </w:r>
      <w:r w:rsidR="00BB6BFE" w:rsidRPr="00236E38">
        <w:rPr>
          <w:rFonts w:asciiTheme="minorHAnsi" w:hAnsiTheme="minorHAnsi" w:cstheme="minorHAnsi"/>
          <w:b/>
          <w:sz w:val="22"/>
          <w:szCs w:val="22"/>
          <w:lang w:bidi="or-IN"/>
        </w:rPr>
        <w:t xml:space="preserve"> of AMR Installation</w:t>
      </w:r>
    </w:p>
    <w:tbl>
      <w:tblPr>
        <w:tblW w:w="8696" w:type="dxa"/>
        <w:tblInd w:w="8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155"/>
        <w:gridCol w:w="1206"/>
        <w:gridCol w:w="1146"/>
        <w:gridCol w:w="1374"/>
        <w:gridCol w:w="1355"/>
        <w:gridCol w:w="1296"/>
        <w:gridCol w:w="1164"/>
      </w:tblGrid>
      <w:tr w:rsidR="00BB6BFE" w:rsidRPr="00236E38" w14:paraId="6BEFF54C" w14:textId="77777777" w:rsidTr="00A77722">
        <w:trPr>
          <w:trHeight w:val="397"/>
        </w:trPr>
        <w:tc>
          <w:tcPr>
            <w:tcW w:w="1155" w:type="dxa"/>
            <w:vMerge w:val="restart"/>
            <w:shd w:val="clear" w:color="auto" w:fill="8DB3E2" w:themeFill="text2" w:themeFillTint="66"/>
            <w:tcMar>
              <w:top w:w="15" w:type="dxa"/>
              <w:left w:w="15" w:type="dxa"/>
              <w:bottom w:w="0" w:type="dxa"/>
              <w:right w:w="15" w:type="dxa"/>
            </w:tcMar>
            <w:vAlign w:val="center"/>
            <w:hideMark/>
          </w:tcPr>
          <w:p w14:paraId="7B82C141" w14:textId="77777777" w:rsidR="00BB6BFE" w:rsidRPr="00AD0CB1" w:rsidRDefault="00BB6BFE" w:rsidP="00236E38">
            <w:pPr>
              <w:spacing w:line="360" w:lineRule="auto"/>
              <w:jc w:val="center"/>
              <w:textAlignment w:val="center"/>
              <w:rPr>
                <w:rFonts w:asciiTheme="minorHAnsi" w:hAnsiTheme="minorHAnsi" w:cstheme="minorHAnsi"/>
                <w:color w:val="000000" w:themeColor="text1"/>
                <w:sz w:val="22"/>
                <w:szCs w:val="22"/>
                <w:lang w:eastAsia="en-IN"/>
              </w:rPr>
            </w:pPr>
            <w:r w:rsidRPr="00AD0CB1">
              <w:rPr>
                <w:rFonts w:asciiTheme="minorHAnsi" w:hAnsiTheme="minorHAnsi" w:cstheme="minorHAnsi"/>
                <w:b/>
                <w:bCs/>
                <w:color w:val="000000" w:themeColor="text1"/>
                <w:kern w:val="24"/>
                <w:sz w:val="22"/>
                <w:szCs w:val="22"/>
                <w:lang w:eastAsia="en-IN"/>
              </w:rPr>
              <w:t>Circle</w:t>
            </w:r>
          </w:p>
        </w:tc>
        <w:tc>
          <w:tcPr>
            <w:tcW w:w="3726" w:type="dxa"/>
            <w:gridSpan w:val="3"/>
            <w:shd w:val="clear" w:color="auto" w:fill="8DB3E2" w:themeFill="text2" w:themeFillTint="66"/>
            <w:tcMar>
              <w:top w:w="15" w:type="dxa"/>
              <w:left w:w="15" w:type="dxa"/>
              <w:bottom w:w="0" w:type="dxa"/>
              <w:right w:w="15" w:type="dxa"/>
            </w:tcMar>
            <w:vAlign w:val="center"/>
            <w:hideMark/>
          </w:tcPr>
          <w:p w14:paraId="623CC3E3" w14:textId="77777777" w:rsidR="00BB6BFE" w:rsidRPr="00AD0CB1" w:rsidRDefault="00BB6BFE" w:rsidP="00236E38">
            <w:pPr>
              <w:spacing w:line="360" w:lineRule="auto"/>
              <w:jc w:val="center"/>
              <w:textAlignment w:val="center"/>
              <w:rPr>
                <w:rFonts w:asciiTheme="minorHAnsi" w:hAnsiTheme="minorHAnsi" w:cstheme="minorHAnsi"/>
                <w:color w:val="000000" w:themeColor="text1"/>
                <w:sz w:val="22"/>
                <w:szCs w:val="22"/>
                <w:lang w:eastAsia="en-IN"/>
              </w:rPr>
            </w:pPr>
            <w:r w:rsidRPr="00AD0CB1">
              <w:rPr>
                <w:rFonts w:asciiTheme="minorHAnsi" w:hAnsiTheme="minorHAnsi" w:cstheme="minorHAnsi"/>
                <w:b/>
                <w:bCs/>
                <w:color w:val="000000" w:themeColor="text1"/>
                <w:kern w:val="24"/>
                <w:sz w:val="22"/>
                <w:szCs w:val="22"/>
                <w:lang w:eastAsia="en-IN"/>
              </w:rPr>
              <w:t>11 kV Feeders</w:t>
            </w:r>
          </w:p>
        </w:tc>
        <w:tc>
          <w:tcPr>
            <w:tcW w:w="3815" w:type="dxa"/>
            <w:gridSpan w:val="3"/>
            <w:shd w:val="clear" w:color="auto" w:fill="8DB3E2" w:themeFill="text2" w:themeFillTint="66"/>
            <w:tcMar>
              <w:top w:w="15" w:type="dxa"/>
              <w:left w:w="15" w:type="dxa"/>
              <w:bottom w:w="0" w:type="dxa"/>
              <w:right w:w="15" w:type="dxa"/>
            </w:tcMar>
            <w:vAlign w:val="center"/>
            <w:hideMark/>
          </w:tcPr>
          <w:p w14:paraId="5033BD3F" w14:textId="77777777" w:rsidR="00BB6BFE" w:rsidRPr="00AD0CB1" w:rsidRDefault="00BB6BFE" w:rsidP="00236E38">
            <w:pPr>
              <w:spacing w:line="360" w:lineRule="auto"/>
              <w:jc w:val="center"/>
              <w:textAlignment w:val="center"/>
              <w:rPr>
                <w:rFonts w:asciiTheme="minorHAnsi" w:hAnsiTheme="minorHAnsi" w:cstheme="minorHAnsi"/>
                <w:color w:val="000000" w:themeColor="text1"/>
                <w:sz w:val="22"/>
                <w:szCs w:val="22"/>
                <w:lang w:eastAsia="en-IN"/>
              </w:rPr>
            </w:pPr>
            <w:r w:rsidRPr="00AD0CB1">
              <w:rPr>
                <w:rFonts w:asciiTheme="minorHAnsi" w:hAnsiTheme="minorHAnsi" w:cstheme="minorHAnsi"/>
                <w:b/>
                <w:bCs/>
                <w:color w:val="000000" w:themeColor="text1"/>
                <w:kern w:val="24"/>
                <w:sz w:val="22"/>
                <w:szCs w:val="22"/>
                <w:lang w:eastAsia="en-IN"/>
              </w:rPr>
              <w:t>33 kV PSS Feeders</w:t>
            </w:r>
          </w:p>
        </w:tc>
      </w:tr>
      <w:tr w:rsidR="00BB6BFE" w:rsidRPr="00236E38" w14:paraId="4A5BD937" w14:textId="77777777" w:rsidTr="00A77722">
        <w:trPr>
          <w:trHeight w:val="397"/>
        </w:trPr>
        <w:tc>
          <w:tcPr>
            <w:tcW w:w="1155" w:type="dxa"/>
            <w:vMerge/>
            <w:shd w:val="clear" w:color="auto" w:fill="8DB3E2" w:themeFill="text2" w:themeFillTint="66"/>
            <w:vAlign w:val="center"/>
            <w:hideMark/>
          </w:tcPr>
          <w:p w14:paraId="6FA25586" w14:textId="77777777" w:rsidR="00BB6BFE" w:rsidRPr="00AD0CB1" w:rsidRDefault="00BB6BFE" w:rsidP="00236E38">
            <w:pPr>
              <w:spacing w:line="360" w:lineRule="auto"/>
              <w:rPr>
                <w:rFonts w:asciiTheme="minorHAnsi" w:hAnsiTheme="minorHAnsi" w:cstheme="minorHAnsi"/>
                <w:color w:val="000000" w:themeColor="text1"/>
                <w:sz w:val="22"/>
                <w:szCs w:val="22"/>
                <w:lang w:eastAsia="en-IN"/>
              </w:rPr>
            </w:pPr>
          </w:p>
        </w:tc>
        <w:tc>
          <w:tcPr>
            <w:tcW w:w="1206" w:type="dxa"/>
            <w:shd w:val="clear" w:color="auto" w:fill="8DB3E2" w:themeFill="text2" w:themeFillTint="66"/>
            <w:tcMar>
              <w:top w:w="15" w:type="dxa"/>
              <w:left w:w="15" w:type="dxa"/>
              <w:bottom w:w="0" w:type="dxa"/>
              <w:right w:w="15" w:type="dxa"/>
            </w:tcMar>
            <w:vAlign w:val="center"/>
            <w:hideMark/>
          </w:tcPr>
          <w:p w14:paraId="41B7EBB1" w14:textId="77777777" w:rsidR="00BB6BFE" w:rsidRPr="00AD0CB1" w:rsidRDefault="00BB6BFE" w:rsidP="00236E38">
            <w:pPr>
              <w:spacing w:line="360" w:lineRule="auto"/>
              <w:jc w:val="center"/>
              <w:textAlignment w:val="center"/>
              <w:rPr>
                <w:rFonts w:asciiTheme="minorHAnsi" w:hAnsiTheme="minorHAnsi" w:cstheme="minorHAnsi"/>
                <w:color w:val="000000" w:themeColor="text1"/>
                <w:sz w:val="22"/>
                <w:szCs w:val="22"/>
                <w:lang w:eastAsia="en-IN"/>
              </w:rPr>
            </w:pPr>
            <w:r w:rsidRPr="00AD0CB1">
              <w:rPr>
                <w:rFonts w:asciiTheme="minorHAnsi" w:hAnsiTheme="minorHAnsi" w:cstheme="minorHAnsi"/>
                <w:b/>
                <w:bCs/>
                <w:color w:val="000000" w:themeColor="text1"/>
                <w:kern w:val="24"/>
                <w:sz w:val="22"/>
                <w:szCs w:val="22"/>
                <w:lang w:eastAsia="en-IN"/>
              </w:rPr>
              <w:t>Total 11 kV Feeders</w:t>
            </w:r>
          </w:p>
        </w:tc>
        <w:tc>
          <w:tcPr>
            <w:tcW w:w="1146" w:type="dxa"/>
            <w:shd w:val="clear" w:color="auto" w:fill="8DB3E2" w:themeFill="text2" w:themeFillTint="66"/>
            <w:tcMar>
              <w:top w:w="15" w:type="dxa"/>
              <w:left w:w="15" w:type="dxa"/>
              <w:bottom w:w="0" w:type="dxa"/>
              <w:right w:w="15" w:type="dxa"/>
            </w:tcMar>
            <w:vAlign w:val="center"/>
            <w:hideMark/>
          </w:tcPr>
          <w:p w14:paraId="47D9C270" w14:textId="77777777" w:rsidR="00BB6BFE" w:rsidRPr="00AD0CB1" w:rsidRDefault="00BB6BFE" w:rsidP="00236E38">
            <w:pPr>
              <w:spacing w:line="360" w:lineRule="auto"/>
              <w:jc w:val="center"/>
              <w:textAlignment w:val="center"/>
              <w:rPr>
                <w:rFonts w:asciiTheme="minorHAnsi" w:hAnsiTheme="minorHAnsi" w:cstheme="minorHAnsi"/>
                <w:color w:val="000000" w:themeColor="text1"/>
                <w:sz w:val="22"/>
                <w:szCs w:val="22"/>
                <w:lang w:eastAsia="en-IN"/>
              </w:rPr>
            </w:pPr>
            <w:r w:rsidRPr="00AD0CB1">
              <w:rPr>
                <w:rFonts w:asciiTheme="minorHAnsi" w:hAnsiTheme="minorHAnsi" w:cstheme="minorHAnsi"/>
                <w:b/>
                <w:bCs/>
                <w:color w:val="000000" w:themeColor="text1"/>
                <w:kern w:val="24"/>
                <w:sz w:val="22"/>
                <w:szCs w:val="22"/>
                <w:lang w:eastAsia="en-IN"/>
              </w:rPr>
              <w:t>AMR Installed</w:t>
            </w:r>
          </w:p>
        </w:tc>
        <w:tc>
          <w:tcPr>
            <w:tcW w:w="1372" w:type="dxa"/>
            <w:shd w:val="clear" w:color="auto" w:fill="8DB3E2" w:themeFill="text2" w:themeFillTint="66"/>
            <w:tcMar>
              <w:top w:w="15" w:type="dxa"/>
              <w:left w:w="15" w:type="dxa"/>
              <w:bottom w:w="0" w:type="dxa"/>
              <w:right w:w="15" w:type="dxa"/>
            </w:tcMar>
            <w:vAlign w:val="center"/>
            <w:hideMark/>
          </w:tcPr>
          <w:p w14:paraId="08051410" w14:textId="77777777" w:rsidR="00BB6BFE" w:rsidRPr="00AD0CB1" w:rsidRDefault="00BB6BFE" w:rsidP="00236E38">
            <w:pPr>
              <w:spacing w:line="360" w:lineRule="auto"/>
              <w:jc w:val="center"/>
              <w:textAlignment w:val="center"/>
              <w:rPr>
                <w:rFonts w:asciiTheme="minorHAnsi" w:hAnsiTheme="minorHAnsi" w:cstheme="minorHAnsi"/>
                <w:color w:val="000000" w:themeColor="text1"/>
                <w:sz w:val="22"/>
                <w:szCs w:val="22"/>
                <w:lang w:eastAsia="en-IN"/>
              </w:rPr>
            </w:pPr>
            <w:r w:rsidRPr="00AD0CB1">
              <w:rPr>
                <w:rFonts w:asciiTheme="minorHAnsi" w:hAnsiTheme="minorHAnsi" w:cstheme="minorHAnsi"/>
                <w:b/>
                <w:bCs/>
                <w:color w:val="000000" w:themeColor="text1"/>
                <w:kern w:val="24"/>
                <w:sz w:val="22"/>
                <w:szCs w:val="22"/>
                <w:lang w:eastAsia="en-IN"/>
              </w:rPr>
              <w:t>% Completion</w:t>
            </w:r>
          </w:p>
        </w:tc>
        <w:tc>
          <w:tcPr>
            <w:tcW w:w="1355" w:type="dxa"/>
            <w:shd w:val="clear" w:color="auto" w:fill="8DB3E2" w:themeFill="text2" w:themeFillTint="66"/>
            <w:tcMar>
              <w:top w:w="15" w:type="dxa"/>
              <w:left w:w="15" w:type="dxa"/>
              <w:bottom w:w="0" w:type="dxa"/>
              <w:right w:w="15" w:type="dxa"/>
            </w:tcMar>
            <w:vAlign w:val="center"/>
            <w:hideMark/>
          </w:tcPr>
          <w:p w14:paraId="45DF6754" w14:textId="77777777" w:rsidR="00BB6BFE" w:rsidRPr="00AD0CB1" w:rsidRDefault="00BB6BFE" w:rsidP="00236E38">
            <w:pPr>
              <w:spacing w:line="360" w:lineRule="auto"/>
              <w:jc w:val="center"/>
              <w:textAlignment w:val="center"/>
              <w:rPr>
                <w:rFonts w:asciiTheme="minorHAnsi" w:hAnsiTheme="minorHAnsi" w:cstheme="minorHAnsi"/>
                <w:color w:val="000000" w:themeColor="text1"/>
                <w:sz w:val="22"/>
                <w:szCs w:val="22"/>
                <w:lang w:eastAsia="en-IN"/>
              </w:rPr>
            </w:pPr>
            <w:r w:rsidRPr="00AD0CB1">
              <w:rPr>
                <w:rFonts w:asciiTheme="minorHAnsi" w:hAnsiTheme="minorHAnsi" w:cstheme="minorHAnsi"/>
                <w:b/>
                <w:bCs/>
                <w:color w:val="000000" w:themeColor="text1"/>
                <w:kern w:val="24"/>
                <w:sz w:val="22"/>
                <w:szCs w:val="22"/>
                <w:lang w:eastAsia="en-IN"/>
              </w:rPr>
              <w:t>Total 33kV Feeders</w:t>
            </w:r>
          </w:p>
        </w:tc>
        <w:tc>
          <w:tcPr>
            <w:tcW w:w="1296" w:type="dxa"/>
            <w:shd w:val="clear" w:color="auto" w:fill="8DB3E2" w:themeFill="text2" w:themeFillTint="66"/>
            <w:tcMar>
              <w:top w:w="15" w:type="dxa"/>
              <w:left w:w="15" w:type="dxa"/>
              <w:bottom w:w="0" w:type="dxa"/>
              <w:right w:w="15" w:type="dxa"/>
            </w:tcMar>
            <w:vAlign w:val="center"/>
            <w:hideMark/>
          </w:tcPr>
          <w:p w14:paraId="268BE03A" w14:textId="77777777" w:rsidR="00BB6BFE" w:rsidRPr="00AD0CB1" w:rsidRDefault="00BB6BFE" w:rsidP="00236E38">
            <w:pPr>
              <w:spacing w:line="360" w:lineRule="auto"/>
              <w:jc w:val="center"/>
              <w:textAlignment w:val="center"/>
              <w:rPr>
                <w:rFonts w:asciiTheme="minorHAnsi" w:hAnsiTheme="minorHAnsi" w:cstheme="minorHAnsi"/>
                <w:color w:val="000000" w:themeColor="text1"/>
                <w:sz w:val="22"/>
                <w:szCs w:val="22"/>
                <w:lang w:eastAsia="en-IN"/>
              </w:rPr>
            </w:pPr>
            <w:r w:rsidRPr="00AD0CB1">
              <w:rPr>
                <w:rFonts w:asciiTheme="minorHAnsi" w:hAnsiTheme="minorHAnsi" w:cstheme="minorHAnsi"/>
                <w:b/>
                <w:bCs/>
                <w:color w:val="000000" w:themeColor="text1"/>
                <w:kern w:val="24"/>
                <w:sz w:val="22"/>
                <w:szCs w:val="22"/>
                <w:lang w:eastAsia="en-IN"/>
              </w:rPr>
              <w:t>AMR Installed</w:t>
            </w:r>
          </w:p>
        </w:tc>
        <w:tc>
          <w:tcPr>
            <w:tcW w:w="1163" w:type="dxa"/>
            <w:shd w:val="clear" w:color="auto" w:fill="8DB3E2" w:themeFill="text2" w:themeFillTint="66"/>
            <w:tcMar>
              <w:top w:w="15" w:type="dxa"/>
              <w:left w:w="15" w:type="dxa"/>
              <w:bottom w:w="0" w:type="dxa"/>
              <w:right w:w="15" w:type="dxa"/>
            </w:tcMar>
            <w:vAlign w:val="center"/>
            <w:hideMark/>
          </w:tcPr>
          <w:p w14:paraId="5F25DB53" w14:textId="77777777" w:rsidR="00BB6BFE" w:rsidRPr="00AD0CB1" w:rsidRDefault="00BB6BFE" w:rsidP="00236E38">
            <w:pPr>
              <w:spacing w:line="360" w:lineRule="auto"/>
              <w:jc w:val="center"/>
              <w:textAlignment w:val="center"/>
              <w:rPr>
                <w:rFonts w:asciiTheme="minorHAnsi" w:hAnsiTheme="minorHAnsi" w:cstheme="minorHAnsi"/>
                <w:color w:val="000000" w:themeColor="text1"/>
                <w:sz w:val="22"/>
                <w:szCs w:val="22"/>
                <w:lang w:eastAsia="en-IN"/>
              </w:rPr>
            </w:pPr>
            <w:r w:rsidRPr="00AD0CB1">
              <w:rPr>
                <w:rFonts w:asciiTheme="minorHAnsi" w:hAnsiTheme="minorHAnsi" w:cstheme="minorHAnsi"/>
                <w:b/>
                <w:bCs/>
                <w:color w:val="000000" w:themeColor="text1"/>
                <w:kern w:val="24"/>
                <w:sz w:val="22"/>
                <w:szCs w:val="22"/>
                <w:lang w:eastAsia="en-IN"/>
              </w:rPr>
              <w:t>% Completion</w:t>
            </w:r>
          </w:p>
        </w:tc>
      </w:tr>
      <w:tr w:rsidR="00BB6BFE" w:rsidRPr="00236E38" w14:paraId="2C493D90" w14:textId="77777777" w:rsidTr="00A77722">
        <w:trPr>
          <w:trHeight w:val="397"/>
        </w:trPr>
        <w:tc>
          <w:tcPr>
            <w:tcW w:w="1155" w:type="dxa"/>
            <w:shd w:val="clear" w:color="auto" w:fill="auto"/>
            <w:tcMar>
              <w:top w:w="15" w:type="dxa"/>
              <w:left w:w="15" w:type="dxa"/>
              <w:bottom w:w="0" w:type="dxa"/>
              <w:right w:w="15" w:type="dxa"/>
            </w:tcMar>
            <w:vAlign w:val="center"/>
            <w:hideMark/>
          </w:tcPr>
          <w:p w14:paraId="40A8F98F" w14:textId="77777777" w:rsidR="00BB6BFE" w:rsidRPr="00236E38" w:rsidRDefault="00BB6BFE" w:rsidP="00236E38">
            <w:pPr>
              <w:spacing w:line="360" w:lineRule="auto"/>
              <w:jc w:val="center"/>
              <w:textAlignment w:val="center"/>
              <w:rPr>
                <w:rFonts w:asciiTheme="minorHAnsi" w:hAnsiTheme="minorHAnsi" w:cstheme="minorHAnsi"/>
                <w:sz w:val="22"/>
                <w:szCs w:val="22"/>
                <w:lang w:eastAsia="en-IN"/>
              </w:rPr>
            </w:pPr>
            <w:proofErr w:type="spellStart"/>
            <w:r w:rsidRPr="00236E38">
              <w:rPr>
                <w:rFonts w:asciiTheme="minorHAnsi" w:hAnsiTheme="minorHAnsi" w:cstheme="minorHAnsi"/>
                <w:b/>
                <w:bCs/>
                <w:color w:val="000000"/>
                <w:kern w:val="24"/>
                <w:sz w:val="22"/>
                <w:szCs w:val="22"/>
                <w:lang w:eastAsia="en-IN"/>
              </w:rPr>
              <w:t>Balasore</w:t>
            </w:r>
            <w:proofErr w:type="spellEnd"/>
          </w:p>
        </w:tc>
        <w:tc>
          <w:tcPr>
            <w:tcW w:w="1206" w:type="dxa"/>
            <w:shd w:val="clear" w:color="auto" w:fill="auto"/>
            <w:tcMar>
              <w:top w:w="15" w:type="dxa"/>
              <w:left w:w="15" w:type="dxa"/>
              <w:bottom w:w="0" w:type="dxa"/>
              <w:right w:w="15" w:type="dxa"/>
            </w:tcMar>
            <w:vAlign w:val="center"/>
            <w:hideMark/>
          </w:tcPr>
          <w:p w14:paraId="2D7AAFFA" w14:textId="77777777" w:rsidR="00BB6BFE" w:rsidRPr="00236E38" w:rsidRDefault="00BB6BFE" w:rsidP="00236E38">
            <w:pPr>
              <w:spacing w:line="360" w:lineRule="auto"/>
              <w:jc w:val="center"/>
              <w:textAlignment w:val="center"/>
              <w:rPr>
                <w:rFonts w:asciiTheme="minorHAnsi" w:hAnsiTheme="minorHAnsi" w:cstheme="minorHAnsi"/>
                <w:sz w:val="22"/>
                <w:szCs w:val="22"/>
                <w:lang w:eastAsia="en-IN"/>
              </w:rPr>
            </w:pPr>
            <w:r w:rsidRPr="00236E38">
              <w:rPr>
                <w:rFonts w:asciiTheme="minorHAnsi" w:eastAsiaTheme="minorEastAsia" w:hAnsiTheme="minorHAnsi" w:cstheme="minorHAnsi"/>
                <w:color w:val="000000" w:themeColor="text1"/>
                <w:kern w:val="24"/>
                <w:sz w:val="22"/>
                <w:szCs w:val="22"/>
              </w:rPr>
              <w:t>231</w:t>
            </w:r>
          </w:p>
        </w:tc>
        <w:tc>
          <w:tcPr>
            <w:tcW w:w="1146" w:type="dxa"/>
            <w:shd w:val="clear" w:color="auto" w:fill="auto"/>
            <w:tcMar>
              <w:top w:w="15" w:type="dxa"/>
              <w:left w:w="15" w:type="dxa"/>
              <w:bottom w:w="0" w:type="dxa"/>
              <w:right w:w="15" w:type="dxa"/>
            </w:tcMar>
            <w:vAlign w:val="center"/>
            <w:hideMark/>
          </w:tcPr>
          <w:p w14:paraId="56BDD92B" w14:textId="77777777" w:rsidR="00BB6BFE" w:rsidRPr="00236E38" w:rsidRDefault="00BB6BFE" w:rsidP="00236E38">
            <w:pPr>
              <w:spacing w:line="360" w:lineRule="auto"/>
              <w:jc w:val="center"/>
              <w:textAlignment w:val="center"/>
              <w:rPr>
                <w:rFonts w:asciiTheme="minorHAnsi" w:hAnsiTheme="minorHAnsi" w:cstheme="minorHAnsi"/>
                <w:sz w:val="22"/>
                <w:szCs w:val="22"/>
                <w:lang w:eastAsia="en-IN"/>
              </w:rPr>
            </w:pPr>
            <w:r w:rsidRPr="00236E38">
              <w:rPr>
                <w:rFonts w:asciiTheme="minorHAnsi" w:eastAsiaTheme="minorEastAsia" w:hAnsiTheme="minorHAnsi" w:cstheme="minorHAnsi"/>
                <w:color w:val="000000" w:themeColor="text1"/>
                <w:kern w:val="24"/>
                <w:sz w:val="22"/>
                <w:szCs w:val="22"/>
              </w:rPr>
              <w:t>231</w:t>
            </w:r>
          </w:p>
        </w:tc>
        <w:tc>
          <w:tcPr>
            <w:tcW w:w="1372" w:type="dxa"/>
            <w:shd w:val="clear" w:color="auto" w:fill="FFFFFF" w:themeFill="background1"/>
            <w:tcMar>
              <w:top w:w="15" w:type="dxa"/>
              <w:left w:w="15" w:type="dxa"/>
              <w:bottom w:w="0" w:type="dxa"/>
              <w:right w:w="15" w:type="dxa"/>
            </w:tcMar>
            <w:vAlign w:val="center"/>
            <w:hideMark/>
          </w:tcPr>
          <w:p w14:paraId="4C412E2C" w14:textId="77777777" w:rsidR="00BB6BFE" w:rsidRPr="00236E38" w:rsidRDefault="00BB6BFE" w:rsidP="00236E38">
            <w:pPr>
              <w:spacing w:line="360" w:lineRule="auto"/>
              <w:jc w:val="center"/>
              <w:textAlignment w:val="center"/>
              <w:rPr>
                <w:rFonts w:asciiTheme="minorHAnsi" w:hAnsiTheme="minorHAnsi" w:cstheme="minorHAnsi"/>
                <w:sz w:val="22"/>
                <w:szCs w:val="22"/>
                <w:lang w:eastAsia="en-IN"/>
              </w:rPr>
            </w:pPr>
            <w:r w:rsidRPr="00236E38">
              <w:rPr>
                <w:rFonts w:asciiTheme="minorHAnsi" w:hAnsiTheme="minorHAnsi" w:cstheme="minorHAnsi"/>
                <w:color w:val="000000"/>
                <w:kern w:val="24"/>
                <w:sz w:val="22"/>
                <w:szCs w:val="22"/>
                <w:lang w:eastAsia="en-IN"/>
              </w:rPr>
              <w:t>100%</w:t>
            </w:r>
          </w:p>
        </w:tc>
        <w:tc>
          <w:tcPr>
            <w:tcW w:w="1355" w:type="dxa"/>
            <w:shd w:val="clear" w:color="auto" w:fill="FFFFFF" w:themeFill="background1"/>
            <w:tcMar>
              <w:top w:w="15" w:type="dxa"/>
              <w:left w:w="15" w:type="dxa"/>
              <w:bottom w:w="0" w:type="dxa"/>
              <w:right w:w="15" w:type="dxa"/>
            </w:tcMar>
            <w:vAlign w:val="center"/>
            <w:hideMark/>
          </w:tcPr>
          <w:p w14:paraId="7B9528DE" w14:textId="77777777" w:rsidR="00BB6BFE" w:rsidRPr="00236E38" w:rsidRDefault="00BB6BFE" w:rsidP="00236E38">
            <w:pPr>
              <w:spacing w:line="360" w:lineRule="auto"/>
              <w:jc w:val="center"/>
              <w:textAlignment w:val="center"/>
              <w:rPr>
                <w:rFonts w:asciiTheme="minorHAnsi" w:hAnsiTheme="minorHAnsi" w:cstheme="minorHAnsi"/>
                <w:sz w:val="22"/>
                <w:szCs w:val="22"/>
                <w:lang w:eastAsia="en-IN"/>
              </w:rPr>
            </w:pPr>
            <w:r w:rsidRPr="00236E38">
              <w:rPr>
                <w:rFonts w:asciiTheme="minorHAnsi" w:hAnsiTheme="minorHAnsi" w:cstheme="minorHAnsi"/>
                <w:color w:val="000000" w:themeColor="text1"/>
                <w:kern w:val="24"/>
                <w:sz w:val="22"/>
                <w:szCs w:val="22"/>
              </w:rPr>
              <w:t>69</w:t>
            </w:r>
          </w:p>
        </w:tc>
        <w:tc>
          <w:tcPr>
            <w:tcW w:w="1296" w:type="dxa"/>
            <w:shd w:val="clear" w:color="auto" w:fill="FFFFFF" w:themeFill="background1"/>
            <w:tcMar>
              <w:top w:w="15" w:type="dxa"/>
              <w:left w:w="15" w:type="dxa"/>
              <w:bottom w:w="0" w:type="dxa"/>
              <w:right w:w="15" w:type="dxa"/>
            </w:tcMar>
            <w:vAlign w:val="center"/>
            <w:hideMark/>
          </w:tcPr>
          <w:p w14:paraId="244DD984" w14:textId="77777777" w:rsidR="00BB6BFE" w:rsidRPr="00236E38" w:rsidRDefault="00BB6BFE" w:rsidP="00236E38">
            <w:pPr>
              <w:spacing w:line="360" w:lineRule="auto"/>
              <w:jc w:val="center"/>
              <w:textAlignment w:val="center"/>
              <w:rPr>
                <w:rFonts w:asciiTheme="minorHAnsi" w:hAnsiTheme="minorHAnsi" w:cstheme="minorHAnsi"/>
                <w:sz w:val="22"/>
                <w:szCs w:val="22"/>
                <w:lang w:eastAsia="en-IN"/>
              </w:rPr>
            </w:pPr>
            <w:r w:rsidRPr="00236E38">
              <w:rPr>
                <w:rFonts w:asciiTheme="minorHAnsi" w:hAnsiTheme="minorHAnsi" w:cstheme="minorHAnsi"/>
                <w:color w:val="000000" w:themeColor="text1"/>
                <w:kern w:val="24"/>
                <w:sz w:val="22"/>
                <w:szCs w:val="22"/>
              </w:rPr>
              <w:t>69</w:t>
            </w:r>
          </w:p>
        </w:tc>
        <w:tc>
          <w:tcPr>
            <w:tcW w:w="1163" w:type="dxa"/>
            <w:shd w:val="clear" w:color="auto" w:fill="FFFFFF" w:themeFill="background1"/>
            <w:tcMar>
              <w:top w:w="15" w:type="dxa"/>
              <w:left w:w="15" w:type="dxa"/>
              <w:bottom w:w="0" w:type="dxa"/>
              <w:right w:w="15" w:type="dxa"/>
            </w:tcMar>
            <w:vAlign w:val="center"/>
            <w:hideMark/>
          </w:tcPr>
          <w:p w14:paraId="599E6303" w14:textId="77777777" w:rsidR="00BB6BFE" w:rsidRPr="00236E38" w:rsidRDefault="00BB6BFE" w:rsidP="00236E38">
            <w:pPr>
              <w:spacing w:line="360" w:lineRule="auto"/>
              <w:jc w:val="center"/>
              <w:textAlignment w:val="center"/>
              <w:rPr>
                <w:rFonts w:asciiTheme="minorHAnsi" w:hAnsiTheme="minorHAnsi" w:cstheme="minorHAnsi"/>
                <w:sz w:val="22"/>
                <w:szCs w:val="22"/>
                <w:lang w:eastAsia="en-IN"/>
              </w:rPr>
            </w:pPr>
            <w:r w:rsidRPr="00236E38">
              <w:rPr>
                <w:rFonts w:asciiTheme="minorHAnsi" w:hAnsiTheme="minorHAnsi" w:cstheme="minorHAnsi"/>
                <w:color w:val="000000"/>
                <w:kern w:val="24"/>
                <w:sz w:val="22"/>
                <w:szCs w:val="22"/>
                <w:lang w:eastAsia="en-IN"/>
              </w:rPr>
              <w:t>100%</w:t>
            </w:r>
          </w:p>
        </w:tc>
      </w:tr>
      <w:tr w:rsidR="00BB6BFE" w:rsidRPr="00236E38" w14:paraId="78EDA0B1" w14:textId="77777777" w:rsidTr="00A77722">
        <w:trPr>
          <w:trHeight w:val="397"/>
        </w:trPr>
        <w:tc>
          <w:tcPr>
            <w:tcW w:w="1155" w:type="dxa"/>
            <w:shd w:val="clear" w:color="auto" w:fill="auto"/>
            <w:tcMar>
              <w:top w:w="15" w:type="dxa"/>
              <w:left w:w="15" w:type="dxa"/>
              <w:bottom w:w="0" w:type="dxa"/>
              <w:right w:w="15" w:type="dxa"/>
            </w:tcMar>
            <w:vAlign w:val="center"/>
            <w:hideMark/>
          </w:tcPr>
          <w:p w14:paraId="10CB7E21" w14:textId="77777777" w:rsidR="00BB6BFE" w:rsidRPr="00236E38" w:rsidRDefault="00BB6BFE" w:rsidP="00236E38">
            <w:pPr>
              <w:spacing w:line="360" w:lineRule="auto"/>
              <w:jc w:val="center"/>
              <w:textAlignment w:val="center"/>
              <w:rPr>
                <w:rFonts w:asciiTheme="minorHAnsi" w:hAnsiTheme="minorHAnsi" w:cstheme="minorHAnsi"/>
                <w:sz w:val="22"/>
                <w:szCs w:val="22"/>
                <w:lang w:eastAsia="en-IN"/>
              </w:rPr>
            </w:pPr>
            <w:proofErr w:type="spellStart"/>
            <w:r w:rsidRPr="00236E38">
              <w:rPr>
                <w:rFonts w:asciiTheme="minorHAnsi" w:hAnsiTheme="minorHAnsi" w:cstheme="minorHAnsi"/>
                <w:b/>
                <w:bCs/>
                <w:color w:val="000000"/>
                <w:kern w:val="24"/>
                <w:sz w:val="22"/>
                <w:szCs w:val="22"/>
                <w:lang w:eastAsia="en-IN"/>
              </w:rPr>
              <w:t>Baripada</w:t>
            </w:r>
            <w:proofErr w:type="spellEnd"/>
          </w:p>
        </w:tc>
        <w:tc>
          <w:tcPr>
            <w:tcW w:w="1206" w:type="dxa"/>
            <w:shd w:val="clear" w:color="auto" w:fill="auto"/>
            <w:tcMar>
              <w:top w:w="15" w:type="dxa"/>
              <w:left w:w="15" w:type="dxa"/>
              <w:bottom w:w="0" w:type="dxa"/>
              <w:right w:w="15" w:type="dxa"/>
            </w:tcMar>
            <w:vAlign w:val="center"/>
            <w:hideMark/>
          </w:tcPr>
          <w:p w14:paraId="69B27008" w14:textId="77777777" w:rsidR="00BB6BFE" w:rsidRPr="00236E38" w:rsidRDefault="00BB6BFE" w:rsidP="00236E38">
            <w:pPr>
              <w:spacing w:line="360" w:lineRule="auto"/>
              <w:jc w:val="center"/>
              <w:textAlignment w:val="center"/>
              <w:rPr>
                <w:rFonts w:asciiTheme="minorHAnsi" w:hAnsiTheme="minorHAnsi" w:cstheme="minorHAnsi"/>
                <w:sz w:val="22"/>
                <w:szCs w:val="22"/>
                <w:lang w:eastAsia="en-IN"/>
              </w:rPr>
            </w:pPr>
            <w:r w:rsidRPr="00236E38">
              <w:rPr>
                <w:rFonts w:asciiTheme="minorHAnsi" w:eastAsiaTheme="minorEastAsia" w:hAnsiTheme="minorHAnsi" w:cstheme="minorHAnsi"/>
                <w:color w:val="000000" w:themeColor="text1"/>
                <w:kern w:val="24"/>
                <w:sz w:val="22"/>
                <w:szCs w:val="22"/>
              </w:rPr>
              <w:t>191</w:t>
            </w:r>
          </w:p>
        </w:tc>
        <w:tc>
          <w:tcPr>
            <w:tcW w:w="1146" w:type="dxa"/>
            <w:shd w:val="clear" w:color="auto" w:fill="auto"/>
            <w:tcMar>
              <w:top w:w="15" w:type="dxa"/>
              <w:left w:w="15" w:type="dxa"/>
              <w:bottom w:w="0" w:type="dxa"/>
              <w:right w:w="15" w:type="dxa"/>
            </w:tcMar>
            <w:vAlign w:val="center"/>
            <w:hideMark/>
          </w:tcPr>
          <w:p w14:paraId="7D80DE03" w14:textId="77777777" w:rsidR="00BB6BFE" w:rsidRPr="00236E38" w:rsidRDefault="00BB6BFE" w:rsidP="00236E38">
            <w:pPr>
              <w:spacing w:line="360" w:lineRule="auto"/>
              <w:jc w:val="center"/>
              <w:textAlignment w:val="center"/>
              <w:rPr>
                <w:rFonts w:asciiTheme="minorHAnsi" w:hAnsiTheme="minorHAnsi" w:cstheme="minorHAnsi"/>
                <w:sz w:val="22"/>
                <w:szCs w:val="22"/>
                <w:lang w:eastAsia="en-IN"/>
              </w:rPr>
            </w:pPr>
            <w:r w:rsidRPr="00236E38">
              <w:rPr>
                <w:rFonts w:asciiTheme="minorHAnsi" w:eastAsiaTheme="minorEastAsia" w:hAnsiTheme="minorHAnsi" w:cstheme="minorHAnsi"/>
                <w:color w:val="000000" w:themeColor="text1"/>
                <w:kern w:val="24"/>
                <w:sz w:val="22"/>
                <w:szCs w:val="22"/>
              </w:rPr>
              <w:t>191</w:t>
            </w:r>
          </w:p>
        </w:tc>
        <w:tc>
          <w:tcPr>
            <w:tcW w:w="1372" w:type="dxa"/>
            <w:shd w:val="clear" w:color="auto" w:fill="FFFFFF" w:themeFill="background1"/>
            <w:tcMar>
              <w:top w:w="15" w:type="dxa"/>
              <w:left w:w="15" w:type="dxa"/>
              <w:bottom w:w="0" w:type="dxa"/>
              <w:right w:w="15" w:type="dxa"/>
            </w:tcMar>
            <w:vAlign w:val="center"/>
            <w:hideMark/>
          </w:tcPr>
          <w:p w14:paraId="53D203A3" w14:textId="77777777" w:rsidR="00BB6BFE" w:rsidRPr="00236E38" w:rsidRDefault="00BB6BFE" w:rsidP="00236E38">
            <w:pPr>
              <w:spacing w:line="360" w:lineRule="auto"/>
              <w:jc w:val="center"/>
              <w:textAlignment w:val="center"/>
              <w:rPr>
                <w:rFonts w:asciiTheme="minorHAnsi" w:hAnsiTheme="minorHAnsi" w:cstheme="minorHAnsi"/>
                <w:sz w:val="22"/>
                <w:szCs w:val="22"/>
                <w:lang w:eastAsia="en-IN"/>
              </w:rPr>
            </w:pPr>
            <w:r w:rsidRPr="00236E38">
              <w:rPr>
                <w:rFonts w:asciiTheme="minorHAnsi" w:hAnsiTheme="minorHAnsi" w:cstheme="minorHAnsi"/>
                <w:color w:val="000000"/>
                <w:kern w:val="24"/>
                <w:sz w:val="22"/>
                <w:szCs w:val="22"/>
                <w:lang w:eastAsia="en-IN"/>
              </w:rPr>
              <w:t>100%</w:t>
            </w:r>
          </w:p>
        </w:tc>
        <w:tc>
          <w:tcPr>
            <w:tcW w:w="1355" w:type="dxa"/>
            <w:shd w:val="clear" w:color="auto" w:fill="FFFFFF" w:themeFill="background1"/>
            <w:tcMar>
              <w:top w:w="15" w:type="dxa"/>
              <w:left w:w="15" w:type="dxa"/>
              <w:bottom w:w="0" w:type="dxa"/>
              <w:right w:w="15" w:type="dxa"/>
            </w:tcMar>
            <w:vAlign w:val="center"/>
            <w:hideMark/>
          </w:tcPr>
          <w:p w14:paraId="3AE26972" w14:textId="77777777" w:rsidR="00BB6BFE" w:rsidRPr="00236E38" w:rsidRDefault="00BB6BFE" w:rsidP="00236E38">
            <w:pPr>
              <w:spacing w:line="360" w:lineRule="auto"/>
              <w:jc w:val="center"/>
              <w:textAlignment w:val="center"/>
              <w:rPr>
                <w:rFonts w:asciiTheme="minorHAnsi" w:hAnsiTheme="minorHAnsi" w:cstheme="minorHAnsi"/>
                <w:sz w:val="22"/>
                <w:szCs w:val="22"/>
                <w:lang w:eastAsia="en-IN"/>
              </w:rPr>
            </w:pPr>
            <w:r w:rsidRPr="00236E38">
              <w:rPr>
                <w:rFonts w:asciiTheme="minorHAnsi" w:hAnsiTheme="minorHAnsi" w:cstheme="minorHAnsi"/>
                <w:color w:val="000000" w:themeColor="text1"/>
                <w:kern w:val="24"/>
                <w:sz w:val="22"/>
                <w:szCs w:val="22"/>
              </w:rPr>
              <w:t>54</w:t>
            </w:r>
          </w:p>
        </w:tc>
        <w:tc>
          <w:tcPr>
            <w:tcW w:w="1296" w:type="dxa"/>
            <w:shd w:val="clear" w:color="auto" w:fill="FFFFFF" w:themeFill="background1"/>
            <w:tcMar>
              <w:top w:w="15" w:type="dxa"/>
              <w:left w:w="15" w:type="dxa"/>
              <w:bottom w:w="0" w:type="dxa"/>
              <w:right w:w="15" w:type="dxa"/>
            </w:tcMar>
            <w:vAlign w:val="center"/>
            <w:hideMark/>
          </w:tcPr>
          <w:p w14:paraId="1AF3FD1A" w14:textId="77777777" w:rsidR="00BB6BFE" w:rsidRPr="00236E38" w:rsidRDefault="00BB6BFE" w:rsidP="00236E38">
            <w:pPr>
              <w:spacing w:line="360" w:lineRule="auto"/>
              <w:jc w:val="center"/>
              <w:textAlignment w:val="center"/>
              <w:rPr>
                <w:rFonts w:asciiTheme="minorHAnsi" w:hAnsiTheme="minorHAnsi" w:cstheme="minorHAnsi"/>
                <w:sz w:val="22"/>
                <w:szCs w:val="22"/>
                <w:lang w:eastAsia="en-IN"/>
              </w:rPr>
            </w:pPr>
            <w:r w:rsidRPr="00236E38">
              <w:rPr>
                <w:rFonts w:asciiTheme="minorHAnsi" w:hAnsiTheme="minorHAnsi" w:cstheme="minorHAnsi"/>
                <w:color w:val="000000" w:themeColor="text1"/>
                <w:kern w:val="24"/>
                <w:sz w:val="22"/>
                <w:szCs w:val="22"/>
              </w:rPr>
              <w:t>54</w:t>
            </w:r>
          </w:p>
        </w:tc>
        <w:tc>
          <w:tcPr>
            <w:tcW w:w="1163" w:type="dxa"/>
            <w:shd w:val="clear" w:color="auto" w:fill="FFFFFF" w:themeFill="background1"/>
            <w:tcMar>
              <w:top w:w="15" w:type="dxa"/>
              <w:left w:w="15" w:type="dxa"/>
              <w:bottom w:w="0" w:type="dxa"/>
              <w:right w:w="15" w:type="dxa"/>
            </w:tcMar>
            <w:vAlign w:val="center"/>
            <w:hideMark/>
          </w:tcPr>
          <w:p w14:paraId="1D419B40" w14:textId="77777777" w:rsidR="00BB6BFE" w:rsidRPr="00236E38" w:rsidRDefault="00BB6BFE" w:rsidP="00236E38">
            <w:pPr>
              <w:spacing w:line="360" w:lineRule="auto"/>
              <w:jc w:val="center"/>
              <w:textAlignment w:val="center"/>
              <w:rPr>
                <w:rFonts w:asciiTheme="minorHAnsi" w:hAnsiTheme="minorHAnsi" w:cstheme="minorHAnsi"/>
                <w:sz w:val="22"/>
                <w:szCs w:val="22"/>
                <w:lang w:eastAsia="en-IN"/>
              </w:rPr>
            </w:pPr>
            <w:r w:rsidRPr="00236E38">
              <w:rPr>
                <w:rFonts w:asciiTheme="minorHAnsi" w:hAnsiTheme="minorHAnsi" w:cstheme="minorHAnsi"/>
                <w:color w:val="000000"/>
                <w:kern w:val="24"/>
                <w:sz w:val="22"/>
                <w:szCs w:val="22"/>
                <w:lang w:eastAsia="en-IN"/>
              </w:rPr>
              <w:t>100%</w:t>
            </w:r>
          </w:p>
        </w:tc>
      </w:tr>
      <w:tr w:rsidR="00BB6BFE" w:rsidRPr="00236E38" w14:paraId="44F7EDF5" w14:textId="77777777" w:rsidTr="00A77722">
        <w:trPr>
          <w:trHeight w:val="397"/>
        </w:trPr>
        <w:tc>
          <w:tcPr>
            <w:tcW w:w="1155" w:type="dxa"/>
            <w:shd w:val="clear" w:color="auto" w:fill="auto"/>
            <w:tcMar>
              <w:top w:w="15" w:type="dxa"/>
              <w:left w:w="15" w:type="dxa"/>
              <w:bottom w:w="0" w:type="dxa"/>
              <w:right w:w="15" w:type="dxa"/>
            </w:tcMar>
            <w:vAlign w:val="center"/>
            <w:hideMark/>
          </w:tcPr>
          <w:p w14:paraId="4F3A9A37" w14:textId="77777777" w:rsidR="00BB6BFE" w:rsidRPr="00236E38" w:rsidRDefault="00BB6BFE" w:rsidP="00236E38">
            <w:pPr>
              <w:spacing w:line="360" w:lineRule="auto"/>
              <w:jc w:val="center"/>
              <w:textAlignment w:val="center"/>
              <w:rPr>
                <w:rFonts w:asciiTheme="minorHAnsi" w:hAnsiTheme="minorHAnsi" w:cstheme="minorHAnsi"/>
                <w:sz w:val="22"/>
                <w:szCs w:val="22"/>
                <w:lang w:eastAsia="en-IN"/>
              </w:rPr>
            </w:pPr>
            <w:proofErr w:type="spellStart"/>
            <w:r w:rsidRPr="00236E38">
              <w:rPr>
                <w:rFonts w:asciiTheme="minorHAnsi" w:hAnsiTheme="minorHAnsi" w:cstheme="minorHAnsi"/>
                <w:b/>
                <w:bCs/>
                <w:color w:val="000000"/>
                <w:kern w:val="24"/>
                <w:sz w:val="22"/>
                <w:szCs w:val="22"/>
                <w:lang w:eastAsia="en-IN"/>
              </w:rPr>
              <w:t>Bhadrak</w:t>
            </w:r>
            <w:proofErr w:type="spellEnd"/>
          </w:p>
        </w:tc>
        <w:tc>
          <w:tcPr>
            <w:tcW w:w="1206" w:type="dxa"/>
            <w:shd w:val="clear" w:color="auto" w:fill="auto"/>
            <w:tcMar>
              <w:top w:w="15" w:type="dxa"/>
              <w:left w:w="15" w:type="dxa"/>
              <w:bottom w:w="0" w:type="dxa"/>
              <w:right w:w="15" w:type="dxa"/>
            </w:tcMar>
            <w:vAlign w:val="center"/>
            <w:hideMark/>
          </w:tcPr>
          <w:p w14:paraId="163B09D3" w14:textId="77777777" w:rsidR="00BB6BFE" w:rsidRPr="00236E38" w:rsidRDefault="00BB6BFE" w:rsidP="00236E38">
            <w:pPr>
              <w:spacing w:line="360" w:lineRule="auto"/>
              <w:jc w:val="center"/>
              <w:textAlignment w:val="center"/>
              <w:rPr>
                <w:rFonts w:asciiTheme="minorHAnsi" w:hAnsiTheme="minorHAnsi" w:cstheme="minorHAnsi"/>
                <w:sz w:val="22"/>
                <w:szCs w:val="22"/>
                <w:lang w:eastAsia="en-IN"/>
              </w:rPr>
            </w:pPr>
            <w:r w:rsidRPr="00236E38">
              <w:rPr>
                <w:rFonts w:asciiTheme="minorHAnsi" w:eastAsiaTheme="minorEastAsia" w:hAnsiTheme="minorHAnsi" w:cstheme="minorHAnsi"/>
                <w:color w:val="000000" w:themeColor="text1"/>
                <w:kern w:val="24"/>
                <w:sz w:val="22"/>
                <w:szCs w:val="22"/>
              </w:rPr>
              <w:t>129</w:t>
            </w:r>
          </w:p>
        </w:tc>
        <w:tc>
          <w:tcPr>
            <w:tcW w:w="1146" w:type="dxa"/>
            <w:shd w:val="clear" w:color="auto" w:fill="auto"/>
            <w:tcMar>
              <w:top w:w="15" w:type="dxa"/>
              <w:left w:w="15" w:type="dxa"/>
              <w:bottom w:w="0" w:type="dxa"/>
              <w:right w:w="15" w:type="dxa"/>
            </w:tcMar>
            <w:vAlign w:val="center"/>
            <w:hideMark/>
          </w:tcPr>
          <w:p w14:paraId="71F48EF5" w14:textId="77777777" w:rsidR="00BB6BFE" w:rsidRPr="00236E38" w:rsidRDefault="00BB6BFE" w:rsidP="00236E38">
            <w:pPr>
              <w:spacing w:line="360" w:lineRule="auto"/>
              <w:jc w:val="center"/>
              <w:textAlignment w:val="center"/>
              <w:rPr>
                <w:rFonts w:asciiTheme="minorHAnsi" w:hAnsiTheme="minorHAnsi" w:cstheme="minorHAnsi"/>
                <w:sz w:val="22"/>
                <w:szCs w:val="22"/>
                <w:lang w:eastAsia="en-IN"/>
              </w:rPr>
            </w:pPr>
            <w:r w:rsidRPr="00236E38">
              <w:rPr>
                <w:rFonts w:asciiTheme="minorHAnsi" w:eastAsiaTheme="minorEastAsia" w:hAnsiTheme="minorHAnsi" w:cstheme="minorHAnsi"/>
                <w:color w:val="000000" w:themeColor="text1"/>
                <w:kern w:val="24"/>
                <w:sz w:val="22"/>
                <w:szCs w:val="22"/>
              </w:rPr>
              <w:t>129</w:t>
            </w:r>
          </w:p>
        </w:tc>
        <w:tc>
          <w:tcPr>
            <w:tcW w:w="1372" w:type="dxa"/>
            <w:shd w:val="clear" w:color="auto" w:fill="FFFFFF" w:themeFill="background1"/>
            <w:tcMar>
              <w:top w:w="15" w:type="dxa"/>
              <w:left w:w="15" w:type="dxa"/>
              <w:bottom w:w="0" w:type="dxa"/>
              <w:right w:w="15" w:type="dxa"/>
            </w:tcMar>
            <w:vAlign w:val="center"/>
            <w:hideMark/>
          </w:tcPr>
          <w:p w14:paraId="4E1D4CC2" w14:textId="77777777" w:rsidR="00BB6BFE" w:rsidRPr="00236E38" w:rsidRDefault="00BB6BFE" w:rsidP="00236E38">
            <w:pPr>
              <w:spacing w:line="360" w:lineRule="auto"/>
              <w:jc w:val="center"/>
              <w:textAlignment w:val="center"/>
              <w:rPr>
                <w:rFonts w:asciiTheme="minorHAnsi" w:hAnsiTheme="minorHAnsi" w:cstheme="minorHAnsi"/>
                <w:sz w:val="22"/>
                <w:szCs w:val="22"/>
                <w:lang w:eastAsia="en-IN"/>
              </w:rPr>
            </w:pPr>
            <w:r w:rsidRPr="00236E38">
              <w:rPr>
                <w:rFonts w:asciiTheme="minorHAnsi" w:hAnsiTheme="minorHAnsi" w:cstheme="minorHAnsi"/>
                <w:color w:val="000000"/>
                <w:kern w:val="24"/>
                <w:sz w:val="22"/>
                <w:szCs w:val="22"/>
                <w:lang w:eastAsia="en-IN"/>
              </w:rPr>
              <w:t>100%</w:t>
            </w:r>
          </w:p>
        </w:tc>
        <w:tc>
          <w:tcPr>
            <w:tcW w:w="1355" w:type="dxa"/>
            <w:shd w:val="clear" w:color="auto" w:fill="FFFFFF" w:themeFill="background1"/>
            <w:tcMar>
              <w:top w:w="15" w:type="dxa"/>
              <w:left w:w="15" w:type="dxa"/>
              <w:bottom w:w="0" w:type="dxa"/>
              <w:right w:w="15" w:type="dxa"/>
            </w:tcMar>
            <w:vAlign w:val="center"/>
            <w:hideMark/>
          </w:tcPr>
          <w:p w14:paraId="55167CC7" w14:textId="77777777" w:rsidR="00BB6BFE" w:rsidRPr="00236E38" w:rsidRDefault="00BB6BFE" w:rsidP="00236E38">
            <w:pPr>
              <w:spacing w:line="360" w:lineRule="auto"/>
              <w:jc w:val="center"/>
              <w:textAlignment w:val="center"/>
              <w:rPr>
                <w:rFonts w:asciiTheme="minorHAnsi" w:hAnsiTheme="minorHAnsi" w:cstheme="minorHAnsi"/>
                <w:sz w:val="22"/>
                <w:szCs w:val="22"/>
                <w:lang w:eastAsia="en-IN"/>
              </w:rPr>
            </w:pPr>
            <w:r w:rsidRPr="00236E38">
              <w:rPr>
                <w:rFonts w:asciiTheme="minorHAnsi" w:hAnsiTheme="minorHAnsi" w:cstheme="minorHAnsi"/>
                <w:color w:val="000000" w:themeColor="text1"/>
                <w:kern w:val="24"/>
                <w:sz w:val="22"/>
                <w:szCs w:val="22"/>
              </w:rPr>
              <w:t>35</w:t>
            </w:r>
          </w:p>
        </w:tc>
        <w:tc>
          <w:tcPr>
            <w:tcW w:w="1296" w:type="dxa"/>
            <w:shd w:val="clear" w:color="auto" w:fill="FFFFFF" w:themeFill="background1"/>
            <w:tcMar>
              <w:top w:w="15" w:type="dxa"/>
              <w:left w:w="15" w:type="dxa"/>
              <w:bottom w:w="0" w:type="dxa"/>
              <w:right w:w="15" w:type="dxa"/>
            </w:tcMar>
            <w:vAlign w:val="center"/>
            <w:hideMark/>
          </w:tcPr>
          <w:p w14:paraId="5ABDB103" w14:textId="77777777" w:rsidR="00BB6BFE" w:rsidRPr="00236E38" w:rsidRDefault="00BB6BFE" w:rsidP="00236E38">
            <w:pPr>
              <w:spacing w:line="360" w:lineRule="auto"/>
              <w:jc w:val="center"/>
              <w:textAlignment w:val="center"/>
              <w:rPr>
                <w:rFonts w:asciiTheme="minorHAnsi" w:hAnsiTheme="minorHAnsi" w:cstheme="minorHAnsi"/>
                <w:sz w:val="22"/>
                <w:szCs w:val="22"/>
                <w:lang w:eastAsia="en-IN"/>
              </w:rPr>
            </w:pPr>
            <w:r w:rsidRPr="00236E38">
              <w:rPr>
                <w:rFonts w:asciiTheme="minorHAnsi" w:hAnsiTheme="minorHAnsi" w:cstheme="minorHAnsi"/>
                <w:color w:val="000000" w:themeColor="text1"/>
                <w:kern w:val="24"/>
                <w:sz w:val="22"/>
                <w:szCs w:val="22"/>
              </w:rPr>
              <w:t>35</w:t>
            </w:r>
          </w:p>
        </w:tc>
        <w:tc>
          <w:tcPr>
            <w:tcW w:w="1163" w:type="dxa"/>
            <w:shd w:val="clear" w:color="auto" w:fill="FFFFFF" w:themeFill="background1"/>
            <w:tcMar>
              <w:top w:w="15" w:type="dxa"/>
              <w:left w:w="15" w:type="dxa"/>
              <w:bottom w:w="0" w:type="dxa"/>
              <w:right w:w="15" w:type="dxa"/>
            </w:tcMar>
            <w:vAlign w:val="center"/>
            <w:hideMark/>
          </w:tcPr>
          <w:p w14:paraId="3A3CAE4F" w14:textId="77777777" w:rsidR="00BB6BFE" w:rsidRPr="00236E38" w:rsidRDefault="00BB6BFE" w:rsidP="00236E38">
            <w:pPr>
              <w:spacing w:line="360" w:lineRule="auto"/>
              <w:jc w:val="center"/>
              <w:textAlignment w:val="center"/>
              <w:rPr>
                <w:rFonts w:asciiTheme="minorHAnsi" w:hAnsiTheme="minorHAnsi" w:cstheme="minorHAnsi"/>
                <w:sz w:val="22"/>
                <w:szCs w:val="22"/>
                <w:lang w:eastAsia="en-IN"/>
              </w:rPr>
            </w:pPr>
            <w:r w:rsidRPr="00236E38">
              <w:rPr>
                <w:rFonts w:asciiTheme="minorHAnsi" w:hAnsiTheme="minorHAnsi" w:cstheme="minorHAnsi"/>
                <w:color w:val="000000"/>
                <w:kern w:val="24"/>
                <w:sz w:val="22"/>
                <w:szCs w:val="22"/>
                <w:lang w:eastAsia="en-IN"/>
              </w:rPr>
              <w:t>100%</w:t>
            </w:r>
          </w:p>
        </w:tc>
      </w:tr>
      <w:tr w:rsidR="00BB6BFE" w:rsidRPr="00236E38" w14:paraId="405E0F33" w14:textId="77777777" w:rsidTr="00A77722">
        <w:trPr>
          <w:trHeight w:val="397"/>
        </w:trPr>
        <w:tc>
          <w:tcPr>
            <w:tcW w:w="1155" w:type="dxa"/>
            <w:shd w:val="clear" w:color="auto" w:fill="auto"/>
            <w:tcMar>
              <w:top w:w="15" w:type="dxa"/>
              <w:left w:w="15" w:type="dxa"/>
              <w:bottom w:w="0" w:type="dxa"/>
              <w:right w:w="15" w:type="dxa"/>
            </w:tcMar>
            <w:vAlign w:val="center"/>
            <w:hideMark/>
          </w:tcPr>
          <w:p w14:paraId="7670A100" w14:textId="77777777" w:rsidR="00BB6BFE" w:rsidRPr="00236E38" w:rsidRDefault="00BB6BFE" w:rsidP="00236E38">
            <w:pPr>
              <w:spacing w:line="360" w:lineRule="auto"/>
              <w:jc w:val="center"/>
              <w:textAlignment w:val="center"/>
              <w:rPr>
                <w:rFonts w:asciiTheme="minorHAnsi" w:hAnsiTheme="minorHAnsi" w:cstheme="minorHAnsi"/>
                <w:sz w:val="22"/>
                <w:szCs w:val="22"/>
                <w:lang w:eastAsia="en-IN"/>
              </w:rPr>
            </w:pPr>
            <w:proofErr w:type="spellStart"/>
            <w:r w:rsidRPr="00236E38">
              <w:rPr>
                <w:rFonts w:asciiTheme="minorHAnsi" w:hAnsiTheme="minorHAnsi" w:cstheme="minorHAnsi"/>
                <w:b/>
                <w:bCs/>
                <w:color w:val="000000"/>
                <w:kern w:val="24"/>
                <w:sz w:val="22"/>
                <w:szCs w:val="22"/>
                <w:lang w:eastAsia="en-IN"/>
              </w:rPr>
              <w:t>Jajpur</w:t>
            </w:r>
            <w:proofErr w:type="spellEnd"/>
          </w:p>
        </w:tc>
        <w:tc>
          <w:tcPr>
            <w:tcW w:w="1206" w:type="dxa"/>
            <w:shd w:val="clear" w:color="auto" w:fill="auto"/>
            <w:tcMar>
              <w:top w:w="15" w:type="dxa"/>
              <w:left w:w="15" w:type="dxa"/>
              <w:bottom w:w="0" w:type="dxa"/>
              <w:right w:w="15" w:type="dxa"/>
            </w:tcMar>
            <w:vAlign w:val="center"/>
            <w:hideMark/>
          </w:tcPr>
          <w:p w14:paraId="59DD6466" w14:textId="77777777" w:rsidR="00BB6BFE" w:rsidRPr="00236E38" w:rsidRDefault="00BB6BFE" w:rsidP="00236E38">
            <w:pPr>
              <w:spacing w:line="360" w:lineRule="auto"/>
              <w:jc w:val="center"/>
              <w:textAlignment w:val="center"/>
              <w:rPr>
                <w:rFonts w:asciiTheme="minorHAnsi" w:hAnsiTheme="minorHAnsi" w:cstheme="minorHAnsi"/>
                <w:sz w:val="22"/>
                <w:szCs w:val="22"/>
                <w:lang w:eastAsia="en-IN"/>
              </w:rPr>
            </w:pPr>
            <w:r w:rsidRPr="00236E38">
              <w:rPr>
                <w:rFonts w:asciiTheme="minorHAnsi" w:eastAsiaTheme="minorEastAsia" w:hAnsiTheme="minorHAnsi" w:cstheme="minorHAnsi"/>
                <w:color w:val="000000" w:themeColor="text1"/>
                <w:kern w:val="24"/>
                <w:sz w:val="22"/>
                <w:szCs w:val="22"/>
              </w:rPr>
              <w:t>133</w:t>
            </w:r>
          </w:p>
        </w:tc>
        <w:tc>
          <w:tcPr>
            <w:tcW w:w="1146" w:type="dxa"/>
            <w:shd w:val="clear" w:color="auto" w:fill="auto"/>
            <w:tcMar>
              <w:top w:w="15" w:type="dxa"/>
              <w:left w:w="15" w:type="dxa"/>
              <w:bottom w:w="0" w:type="dxa"/>
              <w:right w:w="15" w:type="dxa"/>
            </w:tcMar>
            <w:vAlign w:val="center"/>
            <w:hideMark/>
          </w:tcPr>
          <w:p w14:paraId="1D61905F" w14:textId="77777777" w:rsidR="00BB6BFE" w:rsidRPr="00236E38" w:rsidRDefault="00BB6BFE" w:rsidP="00236E38">
            <w:pPr>
              <w:spacing w:line="360" w:lineRule="auto"/>
              <w:jc w:val="center"/>
              <w:textAlignment w:val="center"/>
              <w:rPr>
                <w:rFonts w:asciiTheme="minorHAnsi" w:hAnsiTheme="minorHAnsi" w:cstheme="minorHAnsi"/>
                <w:sz w:val="22"/>
                <w:szCs w:val="22"/>
                <w:lang w:eastAsia="en-IN"/>
              </w:rPr>
            </w:pPr>
            <w:r w:rsidRPr="00236E38">
              <w:rPr>
                <w:rFonts w:asciiTheme="minorHAnsi" w:eastAsiaTheme="minorEastAsia" w:hAnsiTheme="minorHAnsi" w:cstheme="minorHAnsi"/>
                <w:color w:val="000000" w:themeColor="text1"/>
                <w:kern w:val="24"/>
                <w:sz w:val="22"/>
                <w:szCs w:val="22"/>
              </w:rPr>
              <w:t>133</w:t>
            </w:r>
          </w:p>
        </w:tc>
        <w:tc>
          <w:tcPr>
            <w:tcW w:w="1372" w:type="dxa"/>
            <w:shd w:val="clear" w:color="auto" w:fill="FFFFFF" w:themeFill="background1"/>
            <w:tcMar>
              <w:top w:w="15" w:type="dxa"/>
              <w:left w:w="15" w:type="dxa"/>
              <w:bottom w:w="0" w:type="dxa"/>
              <w:right w:w="15" w:type="dxa"/>
            </w:tcMar>
            <w:vAlign w:val="center"/>
            <w:hideMark/>
          </w:tcPr>
          <w:p w14:paraId="42EC54E5" w14:textId="77777777" w:rsidR="00BB6BFE" w:rsidRPr="00236E38" w:rsidRDefault="00BB6BFE" w:rsidP="00236E38">
            <w:pPr>
              <w:spacing w:line="360" w:lineRule="auto"/>
              <w:jc w:val="center"/>
              <w:textAlignment w:val="center"/>
              <w:rPr>
                <w:rFonts w:asciiTheme="minorHAnsi" w:hAnsiTheme="minorHAnsi" w:cstheme="minorHAnsi"/>
                <w:sz w:val="22"/>
                <w:szCs w:val="22"/>
                <w:lang w:eastAsia="en-IN"/>
              </w:rPr>
            </w:pPr>
            <w:r w:rsidRPr="00236E38">
              <w:rPr>
                <w:rFonts w:asciiTheme="minorHAnsi" w:hAnsiTheme="minorHAnsi" w:cstheme="minorHAnsi"/>
                <w:color w:val="000000"/>
                <w:kern w:val="24"/>
                <w:sz w:val="22"/>
                <w:szCs w:val="22"/>
                <w:lang w:eastAsia="en-IN"/>
              </w:rPr>
              <w:t>100%</w:t>
            </w:r>
          </w:p>
        </w:tc>
        <w:tc>
          <w:tcPr>
            <w:tcW w:w="1355" w:type="dxa"/>
            <w:shd w:val="clear" w:color="auto" w:fill="FFFFFF" w:themeFill="background1"/>
            <w:tcMar>
              <w:top w:w="15" w:type="dxa"/>
              <w:left w:w="15" w:type="dxa"/>
              <w:bottom w:w="0" w:type="dxa"/>
              <w:right w:w="15" w:type="dxa"/>
            </w:tcMar>
            <w:vAlign w:val="center"/>
            <w:hideMark/>
          </w:tcPr>
          <w:p w14:paraId="7F819A7F" w14:textId="77777777" w:rsidR="00BB6BFE" w:rsidRPr="00236E38" w:rsidRDefault="00BB6BFE" w:rsidP="00236E38">
            <w:pPr>
              <w:spacing w:line="360" w:lineRule="auto"/>
              <w:jc w:val="center"/>
              <w:textAlignment w:val="center"/>
              <w:rPr>
                <w:rFonts w:asciiTheme="minorHAnsi" w:hAnsiTheme="minorHAnsi" w:cstheme="minorHAnsi"/>
                <w:sz w:val="22"/>
                <w:szCs w:val="22"/>
                <w:lang w:eastAsia="en-IN"/>
              </w:rPr>
            </w:pPr>
            <w:r w:rsidRPr="00236E38">
              <w:rPr>
                <w:rFonts w:asciiTheme="minorHAnsi" w:eastAsiaTheme="minorEastAsia" w:hAnsiTheme="minorHAnsi" w:cstheme="minorHAnsi"/>
                <w:color w:val="000000" w:themeColor="text1"/>
                <w:kern w:val="24"/>
                <w:sz w:val="22"/>
                <w:szCs w:val="22"/>
              </w:rPr>
              <w:t>41</w:t>
            </w:r>
          </w:p>
        </w:tc>
        <w:tc>
          <w:tcPr>
            <w:tcW w:w="1296" w:type="dxa"/>
            <w:shd w:val="clear" w:color="auto" w:fill="FFFFFF" w:themeFill="background1"/>
            <w:tcMar>
              <w:top w:w="15" w:type="dxa"/>
              <w:left w:w="15" w:type="dxa"/>
              <w:bottom w:w="0" w:type="dxa"/>
              <w:right w:w="15" w:type="dxa"/>
            </w:tcMar>
            <w:vAlign w:val="center"/>
            <w:hideMark/>
          </w:tcPr>
          <w:p w14:paraId="2A10FB04" w14:textId="77777777" w:rsidR="00BB6BFE" w:rsidRPr="00236E38" w:rsidRDefault="00BB6BFE" w:rsidP="00236E38">
            <w:pPr>
              <w:spacing w:line="360" w:lineRule="auto"/>
              <w:jc w:val="center"/>
              <w:textAlignment w:val="center"/>
              <w:rPr>
                <w:rFonts w:asciiTheme="minorHAnsi" w:hAnsiTheme="minorHAnsi" w:cstheme="minorHAnsi"/>
                <w:sz w:val="22"/>
                <w:szCs w:val="22"/>
                <w:lang w:eastAsia="en-IN"/>
              </w:rPr>
            </w:pPr>
            <w:r w:rsidRPr="00236E38">
              <w:rPr>
                <w:rFonts w:asciiTheme="minorHAnsi" w:eastAsiaTheme="minorEastAsia" w:hAnsiTheme="minorHAnsi" w:cstheme="minorHAnsi"/>
                <w:color w:val="000000" w:themeColor="text1"/>
                <w:kern w:val="24"/>
                <w:sz w:val="22"/>
                <w:szCs w:val="22"/>
              </w:rPr>
              <w:t>41</w:t>
            </w:r>
          </w:p>
        </w:tc>
        <w:tc>
          <w:tcPr>
            <w:tcW w:w="1163" w:type="dxa"/>
            <w:shd w:val="clear" w:color="auto" w:fill="FFFFFF" w:themeFill="background1"/>
            <w:tcMar>
              <w:top w:w="15" w:type="dxa"/>
              <w:left w:w="15" w:type="dxa"/>
              <w:bottom w:w="0" w:type="dxa"/>
              <w:right w:w="15" w:type="dxa"/>
            </w:tcMar>
            <w:vAlign w:val="center"/>
            <w:hideMark/>
          </w:tcPr>
          <w:p w14:paraId="687A8C1C" w14:textId="77777777" w:rsidR="00BB6BFE" w:rsidRPr="00236E38" w:rsidRDefault="00BB6BFE" w:rsidP="00236E38">
            <w:pPr>
              <w:spacing w:line="360" w:lineRule="auto"/>
              <w:jc w:val="center"/>
              <w:textAlignment w:val="center"/>
              <w:rPr>
                <w:rFonts w:asciiTheme="minorHAnsi" w:hAnsiTheme="minorHAnsi" w:cstheme="minorHAnsi"/>
                <w:sz w:val="22"/>
                <w:szCs w:val="22"/>
                <w:lang w:eastAsia="en-IN"/>
              </w:rPr>
            </w:pPr>
            <w:r w:rsidRPr="00236E38">
              <w:rPr>
                <w:rFonts w:asciiTheme="minorHAnsi" w:hAnsiTheme="minorHAnsi" w:cstheme="minorHAnsi"/>
                <w:color w:val="000000"/>
                <w:kern w:val="24"/>
                <w:sz w:val="22"/>
                <w:szCs w:val="22"/>
                <w:lang w:eastAsia="en-IN"/>
              </w:rPr>
              <w:t>100%</w:t>
            </w:r>
          </w:p>
        </w:tc>
      </w:tr>
      <w:tr w:rsidR="00BB6BFE" w:rsidRPr="00236E38" w14:paraId="70B0AE93" w14:textId="77777777" w:rsidTr="00A77722">
        <w:trPr>
          <w:trHeight w:val="397"/>
        </w:trPr>
        <w:tc>
          <w:tcPr>
            <w:tcW w:w="1155" w:type="dxa"/>
            <w:shd w:val="clear" w:color="auto" w:fill="auto"/>
            <w:tcMar>
              <w:top w:w="15" w:type="dxa"/>
              <w:left w:w="15" w:type="dxa"/>
              <w:bottom w:w="0" w:type="dxa"/>
              <w:right w:w="15" w:type="dxa"/>
            </w:tcMar>
            <w:vAlign w:val="center"/>
            <w:hideMark/>
          </w:tcPr>
          <w:p w14:paraId="7379E91F" w14:textId="77777777" w:rsidR="00BB6BFE" w:rsidRPr="00236E38" w:rsidRDefault="00BB6BFE" w:rsidP="00236E38">
            <w:pPr>
              <w:spacing w:line="360" w:lineRule="auto"/>
              <w:jc w:val="center"/>
              <w:textAlignment w:val="center"/>
              <w:rPr>
                <w:rFonts w:asciiTheme="minorHAnsi" w:hAnsiTheme="minorHAnsi" w:cstheme="minorHAnsi"/>
                <w:sz w:val="22"/>
                <w:szCs w:val="22"/>
                <w:lang w:eastAsia="en-IN"/>
              </w:rPr>
            </w:pPr>
            <w:proofErr w:type="spellStart"/>
            <w:r w:rsidRPr="00236E38">
              <w:rPr>
                <w:rFonts w:asciiTheme="minorHAnsi" w:hAnsiTheme="minorHAnsi" w:cstheme="minorHAnsi"/>
                <w:b/>
                <w:bCs/>
                <w:color w:val="000000"/>
                <w:kern w:val="24"/>
                <w:sz w:val="22"/>
                <w:szCs w:val="22"/>
                <w:lang w:eastAsia="en-IN"/>
              </w:rPr>
              <w:t>Keonjhar</w:t>
            </w:r>
            <w:proofErr w:type="spellEnd"/>
          </w:p>
        </w:tc>
        <w:tc>
          <w:tcPr>
            <w:tcW w:w="1206" w:type="dxa"/>
            <w:shd w:val="clear" w:color="auto" w:fill="auto"/>
            <w:tcMar>
              <w:top w:w="15" w:type="dxa"/>
              <w:left w:w="15" w:type="dxa"/>
              <w:bottom w:w="0" w:type="dxa"/>
              <w:right w:w="15" w:type="dxa"/>
            </w:tcMar>
            <w:vAlign w:val="center"/>
            <w:hideMark/>
          </w:tcPr>
          <w:p w14:paraId="26F1430C" w14:textId="77777777" w:rsidR="00BB6BFE" w:rsidRPr="00236E38" w:rsidRDefault="00BB6BFE" w:rsidP="00236E38">
            <w:pPr>
              <w:spacing w:line="360" w:lineRule="auto"/>
              <w:jc w:val="center"/>
              <w:textAlignment w:val="center"/>
              <w:rPr>
                <w:rFonts w:asciiTheme="minorHAnsi" w:hAnsiTheme="minorHAnsi" w:cstheme="minorHAnsi"/>
                <w:sz w:val="22"/>
                <w:szCs w:val="22"/>
                <w:lang w:eastAsia="en-IN"/>
              </w:rPr>
            </w:pPr>
            <w:r w:rsidRPr="00236E38">
              <w:rPr>
                <w:rFonts w:asciiTheme="minorHAnsi" w:eastAsiaTheme="minorEastAsia" w:hAnsiTheme="minorHAnsi" w:cstheme="minorHAnsi"/>
                <w:color w:val="000000" w:themeColor="text1"/>
                <w:kern w:val="24"/>
                <w:sz w:val="22"/>
                <w:szCs w:val="22"/>
              </w:rPr>
              <w:t>169</w:t>
            </w:r>
          </w:p>
        </w:tc>
        <w:tc>
          <w:tcPr>
            <w:tcW w:w="1146" w:type="dxa"/>
            <w:shd w:val="clear" w:color="auto" w:fill="auto"/>
            <w:tcMar>
              <w:top w:w="15" w:type="dxa"/>
              <w:left w:w="15" w:type="dxa"/>
              <w:bottom w:w="0" w:type="dxa"/>
              <w:right w:w="15" w:type="dxa"/>
            </w:tcMar>
            <w:vAlign w:val="center"/>
            <w:hideMark/>
          </w:tcPr>
          <w:p w14:paraId="10A5F5B5" w14:textId="77777777" w:rsidR="00BB6BFE" w:rsidRPr="00236E38" w:rsidRDefault="00BB6BFE" w:rsidP="00236E38">
            <w:pPr>
              <w:spacing w:line="360" w:lineRule="auto"/>
              <w:jc w:val="center"/>
              <w:textAlignment w:val="center"/>
              <w:rPr>
                <w:rFonts w:asciiTheme="minorHAnsi" w:hAnsiTheme="minorHAnsi" w:cstheme="minorHAnsi"/>
                <w:sz w:val="22"/>
                <w:szCs w:val="22"/>
                <w:lang w:eastAsia="en-IN"/>
              </w:rPr>
            </w:pPr>
            <w:r w:rsidRPr="00236E38">
              <w:rPr>
                <w:rFonts w:asciiTheme="minorHAnsi" w:eastAsiaTheme="minorEastAsia" w:hAnsiTheme="minorHAnsi" w:cstheme="minorHAnsi"/>
                <w:color w:val="000000" w:themeColor="text1"/>
                <w:kern w:val="24"/>
                <w:sz w:val="22"/>
                <w:szCs w:val="22"/>
              </w:rPr>
              <w:t>169</w:t>
            </w:r>
          </w:p>
        </w:tc>
        <w:tc>
          <w:tcPr>
            <w:tcW w:w="1372" w:type="dxa"/>
            <w:shd w:val="clear" w:color="auto" w:fill="FFFFFF" w:themeFill="background1"/>
            <w:tcMar>
              <w:top w:w="15" w:type="dxa"/>
              <w:left w:w="15" w:type="dxa"/>
              <w:bottom w:w="0" w:type="dxa"/>
              <w:right w:w="15" w:type="dxa"/>
            </w:tcMar>
            <w:vAlign w:val="center"/>
            <w:hideMark/>
          </w:tcPr>
          <w:p w14:paraId="49CFEC22" w14:textId="77777777" w:rsidR="00BB6BFE" w:rsidRPr="00236E38" w:rsidRDefault="00BB6BFE" w:rsidP="00236E38">
            <w:pPr>
              <w:spacing w:line="360" w:lineRule="auto"/>
              <w:jc w:val="center"/>
              <w:textAlignment w:val="center"/>
              <w:rPr>
                <w:rFonts w:asciiTheme="minorHAnsi" w:hAnsiTheme="minorHAnsi" w:cstheme="minorHAnsi"/>
                <w:sz w:val="22"/>
                <w:szCs w:val="22"/>
                <w:lang w:eastAsia="en-IN"/>
              </w:rPr>
            </w:pPr>
            <w:r w:rsidRPr="00236E38">
              <w:rPr>
                <w:rFonts w:asciiTheme="minorHAnsi" w:hAnsiTheme="minorHAnsi" w:cstheme="minorHAnsi"/>
                <w:color w:val="000000"/>
                <w:kern w:val="24"/>
                <w:sz w:val="22"/>
                <w:szCs w:val="22"/>
                <w:lang w:eastAsia="en-IN"/>
              </w:rPr>
              <w:t>100%</w:t>
            </w:r>
          </w:p>
        </w:tc>
        <w:tc>
          <w:tcPr>
            <w:tcW w:w="1355" w:type="dxa"/>
            <w:shd w:val="clear" w:color="auto" w:fill="FFFFFF" w:themeFill="background1"/>
            <w:tcMar>
              <w:top w:w="15" w:type="dxa"/>
              <w:left w:w="15" w:type="dxa"/>
              <w:bottom w:w="0" w:type="dxa"/>
              <w:right w:w="15" w:type="dxa"/>
            </w:tcMar>
            <w:vAlign w:val="center"/>
            <w:hideMark/>
          </w:tcPr>
          <w:p w14:paraId="48A2A3DA" w14:textId="77777777" w:rsidR="00BB6BFE" w:rsidRPr="00236E38" w:rsidRDefault="00BB6BFE" w:rsidP="00236E38">
            <w:pPr>
              <w:spacing w:line="360" w:lineRule="auto"/>
              <w:jc w:val="center"/>
              <w:textAlignment w:val="center"/>
              <w:rPr>
                <w:rFonts w:asciiTheme="minorHAnsi" w:hAnsiTheme="minorHAnsi" w:cstheme="minorHAnsi"/>
                <w:sz w:val="22"/>
                <w:szCs w:val="22"/>
                <w:lang w:eastAsia="en-IN"/>
              </w:rPr>
            </w:pPr>
            <w:r w:rsidRPr="00236E38">
              <w:rPr>
                <w:rFonts w:asciiTheme="minorHAnsi" w:eastAsiaTheme="minorEastAsia" w:hAnsiTheme="minorHAnsi" w:cstheme="minorHAnsi"/>
                <w:color w:val="000000" w:themeColor="text1"/>
                <w:kern w:val="24"/>
                <w:sz w:val="22"/>
                <w:szCs w:val="22"/>
              </w:rPr>
              <w:t>48</w:t>
            </w:r>
          </w:p>
        </w:tc>
        <w:tc>
          <w:tcPr>
            <w:tcW w:w="1296" w:type="dxa"/>
            <w:shd w:val="clear" w:color="auto" w:fill="FFFFFF" w:themeFill="background1"/>
            <w:tcMar>
              <w:top w:w="15" w:type="dxa"/>
              <w:left w:w="15" w:type="dxa"/>
              <w:bottom w:w="0" w:type="dxa"/>
              <w:right w:w="15" w:type="dxa"/>
            </w:tcMar>
            <w:vAlign w:val="center"/>
            <w:hideMark/>
          </w:tcPr>
          <w:p w14:paraId="2274B152" w14:textId="77777777" w:rsidR="00BB6BFE" w:rsidRPr="00236E38" w:rsidRDefault="00BB6BFE" w:rsidP="00236E38">
            <w:pPr>
              <w:spacing w:line="360" w:lineRule="auto"/>
              <w:jc w:val="center"/>
              <w:textAlignment w:val="center"/>
              <w:rPr>
                <w:rFonts w:asciiTheme="minorHAnsi" w:hAnsiTheme="minorHAnsi" w:cstheme="minorHAnsi"/>
                <w:sz w:val="22"/>
                <w:szCs w:val="22"/>
                <w:lang w:eastAsia="en-IN"/>
              </w:rPr>
            </w:pPr>
            <w:r w:rsidRPr="00236E38">
              <w:rPr>
                <w:rFonts w:asciiTheme="minorHAnsi" w:eastAsiaTheme="minorEastAsia" w:hAnsiTheme="minorHAnsi" w:cstheme="minorHAnsi"/>
                <w:color w:val="000000" w:themeColor="text1"/>
                <w:kern w:val="24"/>
                <w:sz w:val="22"/>
                <w:szCs w:val="22"/>
              </w:rPr>
              <w:t>48</w:t>
            </w:r>
          </w:p>
        </w:tc>
        <w:tc>
          <w:tcPr>
            <w:tcW w:w="1163" w:type="dxa"/>
            <w:shd w:val="clear" w:color="auto" w:fill="FFFFFF" w:themeFill="background1"/>
            <w:tcMar>
              <w:top w:w="15" w:type="dxa"/>
              <w:left w:w="15" w:type="dxa"/>
              <w:bottom w:w="0" w:type="dxa"/>
              <w:right w:w="15" w:type="dxa"/>
            </w:tcMar>
            <w:vAlign w:val="center"/>
            <w:hideMark/>
          </w:tcPr>
          <w:p w14:paraId="71C3696F" w14:textId="77777777" w:rsidR="00BB6BFE" w:rsidRPr="00236E38" w:rsidRDefault="00BB6BFE" w:rsidP="00236E38">
            <w:pPr>
              <w:spacing w:line="360" w:lineRule="auto"/>
              <w:jc w:val="center"/>
              <w:textAlignment w:val="center"/>
              <w:rPr>
                <w:rFonts w:asciiTheme="minorHAnsi" w:hAnsiTheme="minorHAnsi" w:cstheme="minorHAnsi"/>
                <w:sz w:val="22"/>
                <w:szCs w:val="22"/>
                <w:lang w:eastAsia="en-IN"/>
              </w:rPr>
            </w:pPr>
            <w:r w:rsidRPr="00236E38">
              <w:rPr>
                <w:rFonts w:asciiTheme="minorHAnsi" w:hAnsiTheme="minorHAnsi" w:cstheme="minorHAnsi"/>
                <w:color w:val="000000"/>
                <w:kern w:val="24"/>
                <w:sz w:val="22"/>
                <w:szCs w:val="22"/>
                <w:lang w:eastAsia="en-IN"/>
              </w:rPr>
              <w:t>100%</w:t>
            </w:r>
          </w:p>
        </w:tc>
      </w:tr>
      <w:tr w:rsidR="00BB6BFE" w:rsidRPr="00236E38" w14:paraId="4F7A7388" w14:textId="77777777" w:rsidTr="00A77722">
        <w:trPr>
          <w:trHeight w:val="397"/>
        </w:trPr>
        <w:tc>
          <w:tcPr>
            <w:tcW w:w="1155" w:type="dxa"/>
            <w:shd w:val="clear" w:color="auto" w:fill="8DB3E2" w:themeFill="text2" w:themeFillTint="66"/>
            <w:tcMar>
              <w:top w:w="15" w:type="dxa"/>
              <w:left w:w="15" w:type="dxa"/>
              <w:bottom w:w="0" w:type="dxa"/>
              <w:right w:w="15" w:type="dxa"/>
            </w:tcMar>
            <w:vAlign w:val="center"/>
            <w:hideMark/>
          </w:tcPr>
          <w:p w14:paraId="452622EE" w14:textId="77777777" w:rsidR="00BB6BFE" w:rsidRPr="00AD0CB1" w:rsidRDefault="00BB6BFE" w:rsidP="00236E38">
            <w:pPr>
              <w:spacing w:line="360" w:lineRule="auto"/>
              <w:jc w:val="center"/>
              <w:textAlignment w:val="center"/>
              <w:rPr>
                <w:rFonts w:asciiTheme="minorHAnsi" w:hAnsiTheme="minorHAnsi" w:cstheme="minorHAnsi"/>
                <w:color w:val="000000" w:themeColor="text1"/>
                <w:sz w:val="22"/>
                <w:szCs w:val="22"/>
                <w:lang w:eastAsia="en-IN"/>
              </w:rPr>
            </w:pPr>
            <w:r w:rsidRPr="00AD0CB1">
              <w:rPr>
                <w:rFonts w:asciiTheme="minorHAnsi" w:hAnsiTheme="minorHAnsi" w:cstheme="minorHAnsi"/>
                <w:b/>
                <w:bCs/>
                <w:color w:val="000000" w:themeColor="text1"/>
                <w:kern w:val="24"/>
                <w:sz w:val="22"/>
                <w:szCs w:val="22"/>
                <w:lang w:eastAsia="en-IN"/>
              </w:rPr>
              <w:t>Total</w:t>
            </w:r>
          </w:p>
        </w:tc>
        <w:tc>
          <w:tcPr>
            <w:tcW w:w="1206" w:type="dxa"/>
            <w:shd w:val="clear" w:color="auto" w:fill="8DB3E2" w:themeFill="text2" w:themeFillTint="66"/>
            <w:tcMar>
              <w:top w:w="15" w:type="dxa"/>
              <w:left w:w="15" w:type="dxa"/>
              <w:bottom w:w="0" w:type="dxa"/>
              <w:right w:w="15" w:type="dxa"/>
            </w:tcMar>
            <w:vAlign w:val="center"/>
            <w:hideMark/>
          </w:tcPr>
          <w:p w14:paraId="6316E318" w14:textId="77777777" w:rsidR="00BB6BFE" w:rsidRPr="00AD0CB1" w:rsidRDefault="00BB6BFE" w:rsidP="00236E38">
            <w:pPr>
              <w:spacing w:line="360" w:lineRule="auto"/>
              <w:jc w:val="center"/>
              <w:textAlignment w:val="center"/>
              <w:rPr>
                <w:rFonts w:asciiTheme="minorHAnsi" w:hAnsiTheme="minorHAnsi" w:cstheme="minorHAnsi"/>
                <w:color w:val="000000" w:themeColor="text1"/>
                <w:sz w:val="22"/>
                <w:szCs w:val="22"/>
                <w:lang w:eastAsia="en-IN"/>
              </w:rPr>
            </w:pPr>
            <w:r w:rsidRPr="00AD0CB1">
              <w:rPr>
                <w:rFonts w:asciiTheme="minorHAnsi" w:eastAsiaTheme="minorEastAsia" w:hAnsiTheme="minorHAnsi" w:cstheme="minorHAnsi"/>
                <w:b/>
                <w:bCs/>
                <w:color w:val="000000" w:themeColor="text1"/>
                <w:kern w:val="24"/>
                <w:sz w:val="22"/>
                <w:szCs w:val="22"/>
              </w:rPr>
              <w:t>853</w:t>
            </w:r>
          </w:p>
        </w:tc>
        <w:tc>
          <w:tcPr>
            <w:tcW w:w="1146" w:type="dxa"/>
            <w:shd w:val="clear" w:color="auto" w:fill="8DB3E2" w:themeFill="text2" w:themeFillTint="66"/>
            <w:tcMar>
              <w:top w:w="15" w:type="dxa"/>
              <w:left w:w="15" w:type="dxa"/>
              <w:bottom w:w="0" w:type="dxa"/>
              <w:right w:w="15" w:type="dxa"/>
            </w:tcMar>
            <w:vAlign w:val="center"/>
            <w:hideMark/>
          </w:tcPr>
          <w:p w14:paraId="0012F95F" w14:textId="77777777" w:rsidR="00BB6BFE" w:rsidRPr="00AD0CB1" w:rsidRDefault="00BB6BFE" w:rsidP="00236E38">
            <w:pPr>
              <w:spacing w:line="360" w:lineRule="auto"/>
              <w:jc w:val="center"/>
              <w:textAlignment w:val="center"/>
              <w:rPr>
                <w:rFonts w:asciiTheme="minorHAnsi" w:hAnsiTheme="minorHAnsi" w:cstheme="minorHAnsi"/>
                <w:color w:val="000000" w:themeColor="text1"/>
                <w:sz w:val="22"/>
                <w:szCs w:val="22"/>
                <w:lang w:eastAsia="en-IN"/>
              </w:rPr>
            </w:pPr>
            <w:r w:rsidRPr="00AD0CB1">
              <w:rPr>
                <w:rFonts w:asciiTheme="minorHAnsi" w:eastAsiaTheme="minorEastAsia" w:hAnsiTheme="minorHAnsi" w:cstheme="minorHAnsi"/>
                <w:b/>
                <w:bCs/>
                <w:color w:val="000000" w:themeColor="text1"/>
                <w:kern w:val="24"/>
                <w:sz w:val="22"/>
                <w:szCs w:val="22"/>
              </w:rPr>
              <w:t>853</w:t>
            </w:r>
          </w:p>
        </w:tc>
        <w:tc>
          <w:tcPr>
            <w:tcW w:w="1372" w:type="dxa"/>
            <w:shd w:val="clear" w:color="auto" w:fill="8DB3E2" w:themeFill="text2" w:themeFillTint="66"/>
            <w:tcMar>
              <w:top w:w="15" w:type="dxa"/>
              <w:left w:w="15" w:type="dxa"/>
              <w:bottom w:w="0" w:type="dxa"/>
              <w:right w:w="15" w:type="dxa"/>
            </w:tcMar>
            <w:vAlign w:val="center"/>
            <w:hideMark/>
          </w:tcPr>
          <w:p w14:paraId="72F56955" w14:textId="77777777" w:rsidR="00BB6BFE" w:rsidRPr="00AD0CB1" w:rsidRDefault="00BB6BFE" w:rsidP="00236E38">
            <w:pPr>
              <w:spacing w:line="360" w:lineRule="auto"/>
              <w:jc w:val="center"/>
              <w:textAlignment w:val="center"/>
              <w:rPr>
                <w:rFonts w:asciiTheme="minorHAnsi" w:hAnsiTheme="minorHAnsi" w:cstheme="minorHAnsi"/>
                <w:color w:val="000000" w:themeColor="text1"/>
                <w:sz w:val="22"/>
                <w:szCs w:val="22"/>
                <w:lang w:eastAsia="en-IN"/>
              </w:rPr>
            </w:pPr>
            <w:r w:rsidRPr="00AD0CB1">
              <w:rPr>
                <w:rFonts w:asciiTheme="minorHAnsi" w:hAnsiTheme="minorHAnsi" w:cstheme="minorHAnsi"/>
                <w:b/>
                <w:bCs/>
                <w:color w:val="000000" w:themeColor="text1"/>
                <w:kern w:val="24"/>
                <w:sz w:val="22"/>
                <w:szCs w:val="22"/>
                <w:lang w:eastAsia="en-IN"/>
              </w:rPr>
              <w:t>100%</w:t>
            </w:r>
          </w:p>
        </w:tc>
        <w:tc>
          <w:tcPr>
            <w:tcW w:w="1355" w:type="dxa"/>
            <w:shd w:val="clear" w:color="auto" w:fill="8DB3E2" w:themeFill="text2" w:themeFillTint="66"/>
            <w:tcMar>
              <w:top w:w="15" w:type="dxa"/>
              <w:left w:w="15" w:type="dxa"/>
              <w:bottom w:w="0" w:type="dxa"/>
              <w:right w:w="15" w:type="dxa"/>
            </w:tcMar>
            <w:vAlign w:val="center"/>
            <w:hideMark/>
          </w:tcPr>
          <w:p w14:paraId="4BD6C815" w14:textId="77777777" w:rsidR="00BB6BFE" w:rsidRPr="00AD0CB1" w:rsidRDefault="00BB6BFE" w:rsidP="00236E38">
            <w:pPr>
              <w:spacing w:line="360" w:lineRule="auto"/>
              <w:jc w:val="center"/>
              <w:textAlignment w:val="center"/>
              <w:rPr>
                <w:rFonts w:asciiTheme="minorHAnsi" w:hAnsiTheme="minorHAnsi" w:cstheme="minorHAnsi"/>
                <w:color w:val="000000" w:themeColor="text1"/>
                <w:sz w:val="22"/>
                <w:szCs w:val="22"/>
                <w:lang w:eastAsia="en-IN"/>
              </w:rPr>
            </w:pPr>
            <w:r w:rsidRPr="00AD0CB1">
              <w:rPr>
                <w:rFonts w:asciiTheme="minorHAnsi" w:hAnsiTheme="minorHAnsi" w:cstheme="minorHAnsi"/>
                <w:b/>
                <w:bCs/>
                <w:color w:val="000000" w:themeColor="text1"/>
                <w:kern w:val="24"/>
                <w:sz w:val="22"/>
                <w:szCs w:val="22"/>
              </w:rPr>
              <w:t>247</w:t>
            </w:r>
          </w:p>
        </w:tc>
        <w:tc>
          <w:tcPr>
            <w:tcW w:w="1296" w:type="dxa"/>
            <w:shd w:val="clear" w:color="auto" w:fill="8DB3E2" w:themeFill="text2" w:themeFillTint="66"/>
            <w:tcMar>
              <w:top w:w="15" w:type="dxa"/>
              <w:left w:w="15" w:type="dxa"/>
              <w:bottom w:w="0" w:type="dxa"/>
              <w:right w:w="15" w:type="dxa"/>
            </w:tcMar>
            <w:vAlign w:val="center"/>
            <w:hideMark/>
          </w:tcPr>
          <w:p w14:paraId="09C6ABF8" w14:textId="77777777" w:rsidR="00BB6BFE" w:rsidRPr="00AD0CB1" w:rsidRDefault="00BB6BFE" w:rsidP="00236E38">
            <w:pPr>
              <w:spacing w:line="360" w:lineRule="auto"/>
              <w:jc w:val="center"/>
              <w:textAlignment w:val="center"/>
              <w:rPr>
                <w:rFonts w:asciiTheme="minorHAnsi" w:hAnsiTheme="minorHAnsi" w:cstheme="minorHAnsi"/>
                <w:color w:val="000000" w:themeColor="text1"/>
                <w:sz w:val="22"/>
                <w:szCs w:val="22"/>
                <w:lang w:eastAsia="en-IN"/>
              </w:rPr>
            </w:pPr>
            <w:r w:rsidRPr="00AD0CB1">
              <w:rPr>
                <w:rFonts w:asciiTheme="minorHAnsi" w:hAnsiTheme="minorHAnsi" w:cstheme="minorHAnsi"/>
                <w:b/>
                <w:bCs/>
                <w:color w:val="000000" w:themeColor="text1"/>
                <w:kern w:val="24"/>
                <w:sz w:val="22"/>
                <w:szCs w:val="22"/>
              </w:rPr>
              <w:t>247</w:t>
            </w:r>
          </w:p>
        </w:tc>
        <w:tc>
          <w:tcPr>
            <w:tcW w:w="1163" w:type="dxa"/>
            <w:shd w:val="clear" w:color="auto" w:fill="8DB3E2" w:themeFill="text2" w:themeFillTint="66"/>
            <w:tcMar>
              <w:top w:w="15" w:type="dxa"/>
              <w:left w:w="15" w:type="dxa"/>
              <w:bottom w:w="0" w:type="dxa"/>
              <w:right w:w="15" w:type="dxa"/>
            </w:tcMar>
            <w:vAlign w:val="center"/>
            <w:hideMark/>
          </w:tcPr>
          <w:p w14:paraId="25BFF082" w14:textId="77777777" w:rsidR="00BB6BFE" w:rsidRPr="00AD0CB1" w:rsidRDefault="00BB6BFE" w:rsidP="00236E38">
            <w:pPr>
              <w:spacing w:line="360" w:lineRule="auto"/>
              <w:jc w:val="center"/>
              <w:textAlignment w:val="center"/>
              <w:rPr>
                <w:rFonts w:asciiTheme="minorHAnsi" w:hAnsiTheme="minorHAnsi" w:cstheme="minorHAnsi"/>
                <w:color w:val="000000" w:themeColor="text1"/>
                <w:sz w:val="22"/>
                <w:szCs w:val="22"/>
                <w:lang w:eastAsia="en-IN"/>
              </w:rPr>
            </w:pPr>
            <w:r w:rsidRPr="00AD0CB1">
              <w:rPr>
                <w:rFonts w:asciiTheme="minorHAnsi" w:hAnsiTheme="minorHAnsi" w:cstheme="minorHAnsi"/>
                <w:b/>
                <w:bCs/>
                <w:color w:val="000000" w:themeColor="text1"/>
                <w:kern w:val="24"/>
                <w:sz w:val="22"/>
                <w:szCs w:val="22"/>
                <w:lang w:eastAsia="en-IN"/>
              </w:rPr>
              <w:t>100%</w:t>
            </w:r>
          </w:p>
        </w:tc>
      </w:tr>
    </w:tbl>
    <w:p w14:paraId="27AF0D1D" w14:textId="77777777" w:rsidR="00BB6BFE" w:rsidRPr="00236E38" w:rsidRDefault="00BB6BFE" w:rsidP="00236E38">
      <w:pPr>
        <w:spacing w:line="360" w:lineRule="auto"/>
        <w:jc w:val="both"/>
        <w:rPr>
          <w:rFonts w:asciiTheme="minorHAnsi" w:hAnsiTheme="minorHAnsi" w:cstheme="minorHAnsi"/>
          <w:sz w:val="22"/>
          <w:szCs w:val="22"/>
          <w:lang w:bidi="or-IN"/>
        </w:rPr>
      </w:pPr>
    </w:p>
    <w:p w14:paraId="0196C9CF" w14:textId="77777777" w:rsidR="00BB6BFE" w:rsidRPr="00236E38" w:rsidRDefault="00BB6BFE" w:rsidP="00A77722">
      <w:pPr>
        <w:spacing w:line="360" w:lineRule="auto"/>
        <w:ind w:left="851"/>
        <w:jc w:val="both"/>
        <w:rPr>
          <w:rFonts w:asciiTheme="minorHAnsi" w:hAnsiTheme="minorHAnsi" w:cstheme="minorHAnsi"/>
          <w:sz w:val="22"/>
          <w:szCs w:val="22"/>
          <w:lang w:bidi="or-IN"/>
        </w:rPr>
      </w:pPr>
      <w:r w:rsidRPr="00236E38">
        <w:rPr>
          <w:rFonts w:asciiTheme="minorHAnsi" w:hAnsiTheme="minorHAnsi" w:cstheme="minorHAnsi"/>
          <w:sz w:val="22"/>
          <w:szCs w:val="22"/>
          <w:lang w:bidi="or-IN"/>
        </w:rPr>
        <w:t>With the AMR installation, it is feasible to monitor and collect the various others operational parameters viz peak loading, average voltage, power factor of the complete network system and plan the technical losses accordingly.</w:t>
      </w:r>
    </w:p>
    <w:p w14:paraId="10C8CD7D" w14:textId="77777777" w:rsidR="00BB6BFE" w:rsidRPr="00236E38" w:rsidRDefault="00BB6BFE" w:rsidP="00A77722">
      <w:pPr>
        <w:spacing w:line="360" w:lineRule="auto"/>
        <w:ind w:left="426"/>
        <w:jc w:val="both"/>
        <w:rPr>
          <w:rFonts w:asciiTheme="minorHAnsi" w:hAnsiTheme="minorHAnsi" w:cstheme="minorHAnsi"/>
          <w:sz w:val="22"/>
          <w:szCs w:val="22"/>
          <w:lang w:bidi="or-IN"/>
        </w:rPr>
      </w:pPr>
    </w:p>
    <w:p w14:paraId="027FEC3D" w14:textId="77777777" w:rsidR="00BB6BFE" w:rsidRPr="00236E38" w:rsidRDefault="00BB6BFE" w:rsidP="00A77722">
      <w:pPr>
        <w:spacing w:line="360" w:lineRule="auto"/>
        <w:ind w:left="851"/>
        <w:jc w:val="both"/>
        <w:rPr>
          <w:rFonts w:asciiTheme="minorHAnsi" w:hAnsiTheme="minorHAnsi" w:cstheme="minorHAnsi"/>
          <w:sz w:val="22"/>
          <w:szCs w:val="22"/>
          <w:lang w:bidi="or-IN"/>
        </w:rPr>
      </w:pPr>
      <w:r w:rsidRPr="00236E38">
        <w:rPr>
          <w:rFonts w:asciiTheme="minorHAnsi" w:hAnsiTheme="minorHAnsi" w:cstheme="minorHAnsi"/>
          <w:b/>
          <w:sz w:val="22"/>
          <w:szCs w:val="22"/>
          <w:lang w:bidi="or-IN"/>
        </w:rPr>
        <w:t>Energy Audit of the 33 kV Feeder Tree (33 kV GSS Level to 11 kV energy flow)</w:t>
      </w:r>
    </w:p>
    <w:p w14:paraId="00968524" w14:textId="77777777" w:rsidR="00BB6BFE" w:rsidRPr="00236E38" w:rsidRDefault="00BB6BFE" w:rsidP="00A77722">
      <w:pPr>
        <w:spacing w:line="360" w:lineRule="auto"/>
        <w:ind w:left="851"/>
        <w:jc w:val="both"/>
        <w:rPr>
          <w:rFonts w:asciiTheme="minorHAnsi" w:hAnsiTheme="minorHAnsi" w:cstheme="minorHAnsi"/>
          <w:sz w:val="22"/>
          <w:szCs w:val="22"/>
          <w:lang w:bidi="or-IN"/>
        </w:rPr>
      </w:pPr>
      <w:r w:rsidRPr="00236E38">
        <w:rPr>
          <w:rFonts w:asciiTheme="minorHAnsi" w:hAnsiTheme="minorHAnsi" w:cstheme="minorHAnsi"/>
          <w:sz w:val="22"/>
          <w:szCs w:val="22"/>
          <w:lang w:bidi="or-IN"/>
        </w:rPr>
        <w:t xml:space="preserve">TPNODL has achieved 100% metering performance for the 11kV and 33 kV voltage level. Energy audits have been completed to compute technical losses for the 115 Nos. of 33 kV feeders at the following levels </w:t>
      </w:r>
    </w:p>
    <w:p w14:paraId="297E6EEA" w14:textId="77777777" w:rsidR="00BB6BFE" w:rsidRPr="00236E38" w:rsidRDefault="00BB6BFE" w:rsidP="00AB536C">
      <w:pPr>
        <w:numPr>
          <w:ilvl w:val="0"/>
          <w:numId w:val="16"/>
        </w:numPr>
        <w:spacing w:line="360" w:lineRule="auto"/>
        <w:ind w:left="851" w:firstLine="0"/>
        <w:contextualSpacing/>
        <w:jc w:val="both"/>
        <w:rPr>
          <w:rFonts w:asciiTheme="minorHAnsi" w:eastAsia="Calibri" w:hAnsiTheme="minorHAnsi" w:cstheme="minorHAnsi"/>
          <w:sz w:val="22"/>
          <w:szCs w:val="22"/>
          <w:lang w:bidi="or-IN"/>
        </w:rPr>
      </w:pPr>
      <w:r w:rsidRPr="00236E38">
        <w:rPr>
          <w:rFonts w:asciiTheme="minorHAnsi" w:eastAsia="Calibri" w:hAnsiTheme="minorHAnsi" w:cstheme="minorHAnsi"/>
          <w:b/>
          <w:sz w:val="22"/>
          <w:szCs w:val="22"/>
          <w:lang w:bidi="or-IN"/>
        </w:rPr>
        <w:t>Energy Audit Level 1</w:t>
      </w:r>
      <w:r w:rsidRPr="00236E38">
        <w:rPr>
          <w:rFonts w:asciiTheme="minorHAnsi" w:eastAsia="Calibri" w:hAnsiTheme="minorHAnsi" w:cstheme="minorHAnsi"/>
          <w:sz w:val="22"/>
          <w:szCs w:val="22"/>
          <w:lang w:bidi="or-IN"/>
        </w:rPr>
        <w:t>: Energy audit carried out for all 33 kV TPNODL feeders emanating from the OPTCL GSS, i.e., computation of the 33-kV line loss up to the PSS level.</w:t>
      </w:r>
    </w:p>
    <w:p w14:paraId="7271DC01" w14:textId="77777777" w:rsidR="00BB6BFE" w:rsidRPr="00236E38" w:rsidRDefault="00BB6BFE" w:rsidP="00AB536C">
      <w:pPr>
        <w:numPr>
          <w:ilvl w:val="0"/>
          <w:numId w:val="16"/>
        </w:numPr>
        <w:spacing w:line="360" w:lineRule="auto"/>
        <w:ind w:left="851" w:firstLine="0"/>
        <w:contextualSpacing/>
        <w:jc w:val="both"/>
        <w:rPr>
          <w:rFonts w:asciiTheme="minorHAnsi" w:eastAsia="Calibri" w:hAnsiTheme="minorHAnsi" w:cstheme="minorHAnsi"/>
          <w:sz w:val="22"/>
          <w:szCs w:val="22"/>
          <w:lang w:bidi="or-IN"/>
        </w:rPr>
      </w:pPr>
      <w:r w:rsidRPr="00236E38">
        <w:rPr>
          <w:rFonts w:asciiTheme="minorHAnsi" w:eastAsia="Calibri" w:hAnsiTheme="minorHAnsi" w:cstheme="minorHAnsi"/>
          <w:b/>
          <w:sz w:val="22"/>
          <w:szCs w:val="22"/>
          <w:lang w:bidi="or-IN"/>
        </w:rPr>
        <w:lastRenderedPageBreak/>
        <w:t>Energy Audit Level 2:</w:t>
      </w:r>
      <w:r w:rsidRPr="00236E38">
        <w:rPr>
          <w:rFonts w:asciiTheme="minorHAnsi" w:eastAsia="Calibri" w:hAnsiTheme="minorHAnsi" w:cstheme="minorHAnsi"/>
          <w:sz w:val="22"/>
          <w:szCs w:val="22"/>
          <w:lang w:bidi="or-IN"/>
        </w:rPr>
        <w:t xml:space="preserve"> Energy audit carried out for 33 kV PSS (247 Nos.), i.e., computation of the energy loss between 33 kV PSS incomer to 11 kV outgoing feeders (853 Nos.)</w:t>
      </w:r>
    </w:p>
    <w:p w14:paraId="15121557" w14:textId="77777777" w:rsidR="00BB6BFE" w:rsidRPr="00236E38" w:rsidRDefault="00BB6BFE" w:rsidP="00AB536C">
      <w:pPr>
        <w:numPr>
          <w:ilvl w:val="0"/>
          <w:numId w:val="16"/>
        </w:numPr>
        <w:spacing w:line="360" w:lineRule="auto"/>
        <w:ind w:left="851" w:firstLine="0"/>
        <w:contextualSpacing/>
        <w:jc w:val="both"/>
        <w:rPr>
          <w:rFonts w:asciiTheme="minorHAnsi" w:eastAsia="Calibri" w:hAnsiTheme="minorHAnsi" w:cstheme="minorHAnsi"/>
          <w:sz w:val="22"/>
          <w:szCs w:val="22"/>
          <w:lang w:bidi="or-IN"/>
        </w:rPr>
      </w:pPr>
      <w:r w:rsidRPr="00236E38">
        <w:rPr>
          <w:rFonts w:asciiTheme="minorHAnsi" w:eastAsia="Calibri" w:hAnsiTheme="minorHAnsi" w:cstheme="minorHAnsi"/>
          <w:b/>
          <w:sz w:val="22"/>
          <w:szCs w:val="22"/>
          <w:lang w:bidi="or-IN"/>
        </w:rPr>
        <w:t>Energy Audit Level 3:</w:t>
      </w:r>
      <w:r w:rsidRPr="00236E38">
        <w:rPr>
          <w:rFonts w:asciiTheme="minorHAnsi" w:eastAsia="Calibri" w:hAnsiTheme="minorHAnsi" w:cstheme="minorHAnsi"/>
          <w:sz w:val="22"/>
          <w:szCs w:val="22"/>
          <w:lang w:bidi="or-IN"/>
        </w:rPr>
        <w:t xml:space="preserve"> Energy Audit carried out between the 33 kV (115 No.) TPNODL feeders emanating from GSS to the 11 kV Feeders (853 Nos.) falling under them i.e. computation of the energy loss between 33 kV GSS energy flow to 11 kV Outgoing feeders </w:t>
      </w:r>
    </w:p>
    <w:p w14:paraId="71C9718F" w14:textId="77777777" w:rsidR="00BB6BFE" w:rsidRPr="00236E38" w:rsidRDefault="00BB6BFE" w:rsidP="00236E38">
      <w:pPr>
        <w:spacing w:after="200" w:line="360" w:lineRule="auto"/>
        <w:ind w:left="426"/>
        <w:contextualSpacing/>
        <w:jc w:val="both"/>
        <w:rPr>
          <w:rFonts w:asciiTheme="minorHAnsi" w:eastAsia="Calibri" w:hAnsiTheme="minorHAnsi" w:cstheme="minorHAnsi"/>
          <w:sz w:val="22"/>
          <w:szCs w:val="22"/>
          <w:lang w:bidi="or-IN"/>
        </w:rPr>
      </w:pPr>
    </w:p>
    <w:p w14:paraId="5F6E9AAA" w14:textId="459E078A" w:rsidR="00BB6BFE" w:rsidRPr="00A77722" w:rsidRDefault="00BB6BFE" w:rsidP="00A77722">
      <w:pPr>
        <w:spacing w:after="200" w:line="360" w:lineRule="auto"/>
        <w:contextualSpacing/>
        <w:jc w:val="both"/>
        <w:rPr>
          <w:rFonts w:asciiTheme="minorHAnsi" w:eastAsia="Calibri" w:hAnsiTheme="minorHAnsi" w:cstheme="minorHAnsi"/>
          <w:sz w:val="22"/>
          <w:szCs w:val="22"/>
          <w:lang w:bidi="or-IN"/>
        </w:rPr>
      </w:pPr>
      <w:r w:rsidRPr="00236E38">
        <w:rPr>
          <w:rFonts w:asciiTheme="minorHAnsi" w:eastAsia="Calibri" w:hAnsiTheme="minorHAnsi" w:cstheme="minorHAnsi"/>
          <w:noProof/>
          <w:sz w:val="22"/>
          <w:szCs w:val="22"/>
          <w:lang w:val="en-IN" w:eastAsia="en-IN"/>
        </w:rPr>
        <w:drawing>
          <wp:inline distT="0" distB="0" distL="0" distR="0" wp14:anchorId="431D9AEF" wp14:editId="61CD9518">
            <wp:extent cx="6381750" cy="1666875"/>
            <wp:effectExtent l="0" t="0" r="0" b="9525"/>
            <wp:docPr id="212922793" name="Picture 212922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4"/>
                    <a:stretch>
                      <a:fillRect/>
                    </a:stretch>
                  </pic:blipFill>
                  <pic:spPr>
                    <a:xfrm>
                      <a:off x="0" y="0"/>
                      <a:ext cx="6381750" cy="1666875"/>
                    </a:xfrm>
                    <a:prstGeom prst="rect">
                      <a:avLst/>
                    </a:prstGeom>
                  </pic:spPr>
                </pic:pic>
              </a:graphicData>
            </a:graphic>
          </wp:inline>
        </w:drawing>
      </w:r>
    </w:p>
    <w:p w14:paraId="3130478C" w14:textId="77777777" w:rsidR="00BB6BFE" w:rsidRPr="00236E38" w:rsidRDefault="00BB6BFE" w:rsidP="00236E38">
      <w:pPr>
        <w:spacing w:line="360" w:lineRule="auto"/>
        <w:rPr>
          <w:rFonts w:asciiTheme="minorHAnsi" w:hAnsiTheme="minorHAnsi" w:cstheme="minorHAnsi"/>
          <w:b/>
          <w:color w:val="000000"/>
          <w:sz w:val="22"/>
          <w:szCs w:val="22"/>
          <w:lang w:eastAsia="en-IN"/>
        </w:rPr>
      </w:pPr>
      <w:r w:rsidRPr="00236E38">
        <w:rPr>
          <w:rFonts w:asciiTheme="minorHAnsi" w:hAnsiTheme="minorHAnsi" w:cstheme="minorHAnsi"/>
          <w:b/>
          <w:noProof/>
          <w:color w:val="000000"/>
          <w:sz w:val="22"/>
          <w:szCs w:val="22"/>
          <w:lang w:val="en-IN" w:eastAsia="en-IN"/>
        </w:rPr>
        <mc:AlternateContent>
          <mc:Choice Requires="wps">
            <w:drawing>
              <wp:anchor distT="0" distB="0" distL="114300" distR="114300" simplePos="0" relativeHeight="251935232" behindDoc="0" locked="0" layoutInCell="1" allowOverlap="1" wp14:anchorId="44FA2410" wp14:editId="76B0781F">
                <wp:simplePos x="0" y="0"/>
                <wp:positionH relativeFrom="column">
                  <wp:posOffset>537211</wp:posOffset>
                </wp:positionH>
                <wp:positionV relativeFrom="paragraph">
                  <wp:posOffset>218440</wp:posOffset>
                </wp:positionV>
                <wp:extent cx="5524500" cy="350875"/>
                <wp:effectExtent l="57150" t="38100" r="76200" b="87630"/>
                <wp:wrapNone/>
                <wp:docPr id="10" name="Rectangle 10"/>
                <wp:cNvGraphicFramePr/>
                <a:graphic xmlns:a="http://schemas.openxmlformats.org/drawingml/2006/main">
                  <a:graphicData uri="http://schemas.microsoft.com/office/word/2010/wordprocessingShape">
                    <wps:wsp>
                      <wps:cNvSpPr/>
                      <wps:spPr>
                        <a:xfrm>
                          <a:off x="0" y="0"/>
                          <a:ext cx="5524500" cy="350875"/>
                        </a:xfrm>
                        <a:prstGeom prst="rect">
                          <a:avLst/>
                        </a:prstGeom>
                        <a:solidFill>
                          <a:schemeClr val="accent1">
                            <a:lumMod val="60000"/>
                            <a:lumOff val="40000"/>
                          </a:schemeClr>
                        </a:solidFill>
                      </wps:spPr>
                      <wps:style>
                        <a:lnRef idx="1">
                          <a:schemeClr val="accent3"/>
                        </a:lnRef>
                        <a:fillRef idx="2">
                          <a:schemeClr val="accent3"/>
                        </a:fillRef>
                        <a:effectRef idx="1">
                          <a:schemeClr val="accent3"/>
                        </a:effectRef>
                        <a:fontRef idx="minor">
                          <a:schemeClr val="dk1"/>
                        </a:fontRef>
                      </wps:style>
                      <wps:txbx>
                        <w:txbxContent>
                          <w:p w14:paraId="40909964" w14:textId="77777777" w:rsidR="00535B24" w:rsidRPr="00A77722" w:rsidRDefault="00535B24" w:rsidP="00A77722">
                            <w:pPr>
                              <w:ind w:right="313"/>
                              <w:rPr>
                                <w:rFonts w:asciiTheme="minorHAnsi" w:hAnsiTheme="minorHAnsi" w:cs="Arial"/>
                                <w:b/>
                              </w:rPr>
                            </w:pPr>
                            <w:r w:rsidRPr="00A77722">
                              <w:rPr>
                                <w:rFonts w:asciiTheme="minorHAnsi" w:hAnsiTheme="minorHAnsi" w:cs="Arial"/>
                                <w:b/>
                              </w:rPr>
                              <w:t xml:space="preserve">3. Direction under Para </w:t>
                            </w:r>
                            <w:proofErr w:type="gramStart"/>
                            <w:r w:rsidRPr="00A77722">
                              <w:rPr>
                                <w:rFonts w:asciiTheme="minorHAnsi" w:hAnsiTheme="minorHAnsi" w:cs="Arial"/>
                                <w:b/>
                              </w:rPr>
                              <w:t>260  (</w:t>
                            </w:r>
                            <w:proofErr w:type="gramEnd"/>
                            <w:r w:rsidRPr="00A77722">
                              <w:rPr>
                                <w:rFonts w:asciiTheme="minorHAnsi" w:hAnsiTheme="minorHAnsi" w:cs="Arial"/>
                                <w:b/>
                              </w:rPr>
                              <w:t>C)</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4FA2410" id="Rectangle 10" o:spid="_x0000_s1048" style="position:absolute;margin-left:42.3pt;margin-top:17.2pt;width:435pt;height:27.65pt;z-index:251935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" fillcolor="#95b3d7 [1940]" strokecolor="#94b64e [3046]">
                <v:shadow on="t" color="black" opacity="24903f" origin=",.5" offset="0,.55556mm"/>
                <v:textbox>
                  <w:txbxContent>
                    <w:p w14:paraId="40909964" w14:textId="77777777" w:rsidR="00535B24" w:rsidRPr="00A77722" w:rsidRDefault="00535B24" w:rsidP="00A77722">
                      <w:pPr>
                        <w:ind w:right="313"/>
                        <w:rPr>
                          <w:rFonts w:asciiTheme="minorHAnsi" w:hAnsiTheme="minorHAnsi" w:cs="Arial"/>
                          <w:b/>
                        </w:rPr>
                      </w:pPr>
                      <w:r w:rsidRPr="00A77722">
                        <w:rPr>
                          <w:rFonts w:asciiTheme="minorHAnsi" w:hAnsiTheme="minorHAnsi" w:cs="Arial"/>
                          <w:b/>
                        </w:rPr>
                        <w:t xml:space="preserve">3. Direction under Para </w:t>
                      </w:r>
                      <w:proofErr w:type="gramStart"/>
                      <w:r w:rsidRPr="00A77722">
                        <w:rPr>
                          <w:rFonts w:asciiTheme="minorHAnsi" w:hAnsiTheme="minorHAnsi" w:cs="Arial"/>
                          <w:b/>
                        </w:rPr>
                        <w:t>260  (</w:t>
                      </w:r>
                      <w:proofErr w:type="gramEnd"/>
                      <w:r w:rsidRPr="00A77722">
                        <w:rPr>
                          <w:rFonts w:asciiTheme="minorHAnsi" w:hAnsiTheme="minorHAnsi" w:cs="Arial"/>
                          <w:b/>
                        </w:rPr>
                        <w:t>C)</w:t>
                      </w:r>
                    </w:p>
                  </w:txbxContent>
                </v:textbox>
              </v:rect>
            </w:pict>
          </mc:Fallback>
        </mc:AlternateContent>
      </w:r>
    </w:p>
    <w:p w14:paraId="24358CE5" w14:textId="77777777" w:rsidR="00BB6BFE" w:rsidRPr="00236E38" w:rsidRDefault="00BB6BFE" w:rsidP="00236E38">
      <w:pPr>
        <w:spacing w:line="360" w:lineRule="auto"/>
        <w:rPr>
          <w:rFonts w:asciiTheme="minorHAnsi" w:hAnsiTheme="minorHAnsi" w:cstheme="minorHAnsi"/>
          <w:b/>
          <w:color w:val="000000"/>
          <w:sz w:val="22"/>
          <w:szCs w:val="22"/>
          <w:lang w:eastAsia="en-IN"/>
        </w:rPr>
      </w:pPr>
    </w:p>
    <w:p w14:paraId="356AE829" w14:textId="77777777" w:rsidR="00BB6BFE" w:rsidRPr="00236E38" w:rsidRDefault="00BB6BFE" w:rsidP="00236E38">
      <w:pPr>
        <w:spacing w:line="360" w:lineRule="auto"/>
        <w:jc w:val="both"/>
        <w:rPr>
          <w:rFonts w:asciiTheme="minorHAnsi" w:hAnsiTheme="minorHAnsi" w:cstheme="minorHAnsi"/>
          <w:b/>
          <w:color w:val="000000"/>
          <w:sz w:val="22"/>
          <w:szCs w:val="22"/>
          <w:lang w:eastAsia="en-IN"/>
        </w:rPr>
      </w:pPr>
      <w:r w:rsidRPr="00236E38">
        <w:rPr>
          <w:rFonts w:asciiTheme="minorHAnsi" w:hAnsiTheme="minorHAnsi" w:cstheme="minorHAnsi"/>
          <w:b/>
          <w:color w:val="000000"/>
          <w:sz w:val="22"/>
          <w:szCs w:val="22"/>
          <w:lang w:eastAsia="en-IN"/>
        </w:rPr>
        <w:t xml:space="preserve"> </w:t>
      </w:r>
    </w:p>
    <w:p w14:paraId="6B77D9F1" w14:textId="77777777" w:rsidR="00BD7120" w:rsidRPr="00236E38" w:rsidRDefault="00BD7120" w:rsidP="00236E38">
      <w:pPr>
        <w:spacing w:line="360" w:lineRule="auto"/>
        <w:ind w:left="567" w:right="-330"/>
        <w:jc w:val="both"/>
        <w:rPr>
          <w:rFonts w:asciiTheme="minorHAnsi" w:hAnsiTheme="minorHAnsi" w:cstheme="minorHAnsi"/>
          <w:b/>
          <w:color w:val="000000"/>
          <w:sz w:val="22"/>
          <w:szCs w:val="22"/>
          <w:lang w:eastAsia="en-IN"/>
        </w:rPr>
      </w:pPr>
    </w:p>
    <w:p w14:paraId="615944DC" w14:textId="20655B9A" w:rsidR="00BB6BFE" w:rsidRPr="00236E38" w:rsidRDefault="00BB6BFE" w:rsidP="00A77722">
      <w:pPr>
        <w:spacing w:line="360" w:lineRule="auto"/>
        <w:ind w:left="851"/>
        <w:jc w:val="both"/>
        <w:rPr>
          <w:rFonts w:asciiTheme="minorHAnsi" w:hAnsiTheme="minorHAnsi" w:cstheme="minorHAnsi"/>
          <w:b/>
          <w:color w:val="000000"/>
          <w:sz w:val="22"/>
          <w:szCs w:val="22"/>
          <w:lang w:eastAsia="en-IN"/>
        </w:rPr>
      </w:pPr>
      <w:r w:rsidRPr="00236E38">
        <w:rPr>
          <w:rFonts w:asciiTheme="minorHAnsi" w:hAnsiTheme="minorHAnsi" w:cstheme="minorHAnsi"/>
          <w:b/>
          <w:color w:val="000000"/>
          <w:sz w:val="22"/>
          <w:szCs w:val="22"/>
          <w:lang w:eastAsia="en-IN"/>
        </w:rPr>
        <w:t>To create robust consumer data base by introducing KYC mechanism and other method to identify genuine consumer(s) &amp; eliminate bogus consumer(s).</w:t>
      </w:r>
    </w:p>
    <w:p w14:paraId="38B38F34" w14:textId="77777777" w:rsidR="00BB6BFE" w:rsidRPr="00236E38" w:rsidRDefault="00BB6BFE" w:rsidP="00A77722">
      <w:pPr>
        <w:spacing w:line="360" w:lineRule="auto"/>
        <w:ind w:left="851" w:right="-330"/>
        <w:rPr>
          <w:rFonts w:asciiTheme="minorHAnsi" w:hAnsiTheme="minorHAnsi" w:cstheme="minorHAnsi"/>
          <w:b/>
          <w:color w:val="000000"/>
          <w:sz w:val="22"/>
          <w:szCs w:val="22"/>
          <w:u w:val="single"/>
          <w:lang w:eastAsia="en-IN"/>
        </w:rPr>
      </w:pPr>
      <w:r w:rsidRPr="00236E38">
        <w:rPr>
          <w:rFonts w:asciiTheme="minorHAnsi" w:hAnsiTheme="minorHAnsi" w:cstheme="minorHAnsi"/>
          <w:b/>
          <w:color w:val="000000"/>
          <w:sz w:val="22"/>
          <w:szCs w:val="22"/>
          <w:u w:val="single"/>
          <w:lang w:eastAsia="en-IN"/>
        </w:rPr>
        <w:t>Compliance:</w:t>
      </w:r>
    </w:p>
    <w:p w14:paraId="1FF0DF52" w14:textId="706DC4D6" w:rsidR="00EA5D15" w:rsidRDefault="00EA5D15" w:rsidP="00A77722">
      <w:pPr>
        <w:spacing w:line="360" w:lineRule="auto"/>
        <w:ind w:left="851"/>
        <w:jc w:val="both"/>
        <w:rPr>
          <w:rFonts w:asciiTheme="minorHAnsi" w:hAnsiTheme="minorHAnsi" w:cstheme="minorHAnsi"/>
          <w:color w:val="000000"/>
          <w:sz w:val="22"/>
          <w:szCs w:val="22"/>
          <w:lang w:eastAsia="en-IN"/>
        </w:rPr>
      </w:pPr>
      <w:r w:rsidRPr="00EA5D15">
        <w:rPr>
          <w:rFonts w:asciiTheme="minorHAnsi" w:hAnsiTheme="minorHAnsi" w:cstheme="minorHAnsi"/>
          <w:color w:val="000000"/>
          <w:sz w:val="22"/>
          <w:szCs w:val="22"/>
          <w:lang w:eastAsia="en-IN"/>
        </w:rPr>
        <w:t xml:space="preserve">TPNODL is obligated to serve a consumer base of around 24.58 </w:t>
      </w:r>
      <w:proofErr w:type="gramStart"/>
      <w:r w:rsidRPr="00EA5D15">
        <w:rPr>
          <w:rFonts w:asciiTheme="minorHAnsi" w:hAnsiTheme="minorHAnsi" w:cstheme="minorHAnsi"/>
          <w:color w:val="000000"/>
          <w:sz w:val="22"/>
          <w:szCs w:val="22"/>
          <w:lang w:eastAsia="en-IN"/>
        </w:rPr>
        <w:t>lakhs  out</w:t>
      </w:r>
      <w:proofErr w:type="gramEnd"/>
      <w:r w:rsidRPr="00EA5D15">
        <w:rPr>
          <w:rFonts w:asciiTheme="minorHAnsi" w:hAnsiTheme="minorHAnsi" w:cstheme="minorHAnsi"/>
          <w:color w:val="000000"/>
          <w:sz w:val="22"/>
          <w:szCs w:val="22"/>
          <w:lang w:eastAsia="en-IN"/>
        </w:rPr>
        <w:t xml:space="preserve"> of which 19.54lacs are live consumers. The consumers are utilizing electricity for various purposes starting from </w:t>
      </w:r>
      <w:proofErr w:type="spellStart"/>
      <w:r w:rsidRPr="00EA5D15">
        <w:rPr>
          <w:rFonts w:asciiTheme="minorHAnsi" w:hAnsiTheme="minorHAnsi" w:cstheme="minorHAnsi"/>
          <w:color w:val="000000"/>
          <w:sz w:val="22"/>
          <w:szCs w:val="22"/>
          <w:lang w:eastAsia="en-IN"/>
        </w:rPr>
        <w:t>Kutir</w:t>
      </w:r>
      <w:proofErr w:type="spellEnd"/>
      <w:r w:rsidRPr="00EA5D15">
        <w:rPr>
          <w:rFonts w:asciiTheme="minorHAnsi" w:hAnsiTheme="minorHAnsi" w:cstheme="minorHAnsi"/>
          <w:color w:val="000000"/>
          <w:sz w:val="22"/>
          <w:szCs w:val="22"/>
          <w:lang w:eastAsia="en-IN"/>
        </w:rPr>
        <w:t xml:space="preserve"> Jyoti and agriculture consumers to Heavy Industries. Maintenance of database for each and every consumer is most vital for the licensee. At the same time identification and mapping of the consumers with reference to the distribution </w:t>
      </w:r>
      <w:proofErr w:type="gramStart"/>
      <w:r w:rsidRPr="00EA5D15">
        <w:rPr>
          <w:rFonts w:asciiTheme="minorHAnsi" w:hAnsiTheme="minorHAnsi" w:cstheme="minorHAnsi"/>
          <w:color w:val="000000"/>
          <w:sz w:val="22"/>
          <w:szCs w:val="22"/>
          <w:lang w:eastAsia="en-IN"/>
        </w:rPr>
        <w:t>network  also</w:t>
      </w:r>
      <w:proofErr w:type="gramEnd"/>
      <w:r w:rsidRPr="00EA5D15">
        <w:rPr>
          <w:rFonts w:asciiTheme="minorHAnsi" w:hAnsiTheme="minorHAnsi" w:cstheme="minorHAnsi"/>
          <w:color w:val="000000"/>
          <w:sz w:val="22"/>
          <w:szCs w:val="22"/>
          <w:lang w:eastAsia="en-IN"/>
        </w:rPr>
        <w:t xml:space="preserve"> plays a crucial role for avoiding data  </w:t>
      </w:r>
      <w:proofErr w:type="spellStart"/>
      <w:r w:rsidRPr="00EA5D15">
        <w:rPr>
          <w:rFonts w:asciiTheme="minorHAnsi" w:hAnsiTheme="minorHAnsi" w:cstheme="minorHAnsi"/>
          <w:color w:val="000000"/>
          <w:sz w:val="22"/>
          <w:szCs w:val="22"/>
          <w:lang w:eastAsia="en-IN"/>
        </w:rPr>
        <w:t>duplicacy</w:t>
      </w:r>
      <w:proofErr w:type="spellEnd"/>
      <w:r w:rsidRPr="00EA5D15">
        <w:rPr>
          <w:rFonts w:asciiTheme="minorHAnsi" w:hAnsiTheme="minorHAnsi" w:cstheme="minorHAnsi"/>
          <w:color w:val="000000"/>
          <w:sz w:val="22"/>
          <w:szCs w:val="22"/>
          <w:lang w:eastAsia="en-IN"/>
        </w:rPr>
        <w:t xml:space="preserve">   as well as  arrear accumulation.  </w:t>
      </w:r>
    </w:p>
    <w:p w14:paraId="3E253C94" w14:textId="77777777" w:rsidR="00A77722" w:rsidRPr="00EA5D15" w:rsidRDefault="00A77722" w:rsidP="00A77722">
      <w:pPr>
        <w:spacing w:line="360" w:lineRule="auto"/>
        <w:ind w:left="851"/>
        <w:jc w:val="both"/>
        <w:rPr>
          <w:rFonts w:asciiTheme="minorHAnsi" w:hAnsiTheme="minorHAnsi" w:cstheme="minorHAnsi"/>
          <w:color w:val="000000"/>
          <w:sz w:val="22"/>
          <w:szCs w:val="22"/>
          <w:lang w:val="en-IN" w:eastAsia="en-IN"/>
        </w:rPr>
      </w:pPr>
    </w:p>
    <w:p w14:paraId="76B4074E" w14:textId="77777777" w:rsidR="00EA5D15" w:rsidRPr="00EA5D15" w:rsidRDefault="00EA5D15" w:rsidP="00A77722">
      <w:pPr>
        <w:spacing w:line="360" w:lineRule="auto"/>
        <w:ind w:left="851"/>
        <w:jc w:val="both"/>
        <w:rPr>
          <w:rFonts w:asciiTheme="minorHAnsi" w:hAnsiTheme="minorHAnsi" w:cstheme="minorHAnsi"/>
          <w:sz w:val="22"/>
          <w:szCs w:val="22"/>
        </w:rPr>
      </w:pPr>
      <w:r w:rsidRPr="00EA5D15">
        <w:rPr>
          <w:rFonts w:asciiTheme="minorHAnsi" w:hAnsiTheme="minorHAnsi" w:cstheme="minorHAnsi"/>
          <w:sz w:val="22"/>
          <w:szCs w:val="22"/>
        </w:rPr>
        <w:t>T</w:t>
      </w:r>
      <w:r w:rsidRPr="00EA5D15">
        <w:rPr>
          <w:rStyle w:val="normaltextrun"/>
          <w:rFonts w:asciiTheme="minorHAnsi" w:hAnsiTheme="minorHAnsi" w:cstheme="minorHAnsi"/>
          <w:sz w:val="22"/>
          <w:szCs w:val="22"/>
        </w:rPr>
        <w:t xml:space="preserve">he mapping of 33 kV and 11 kV feeder-wise consumers has been completed for around 20 lakh consumers, including both HT and LT consumers. The </w:t>
      </w:r>
      <w:proofErr w:type="gramStart"/>
      <w:r w:rsidRPr="00EA5D15">
        <w:rPr>
          <w:rStyle w:val="normaltextrun"/>
          <w:rFonts w:asciiTheme="minorHAnsi" w:hAnsiTheme="minorHAnsi" w:cstheme="minorHAnsi"/>
          <w:sz w:val="22"/>
          <w:szCs w:val="22"/>
        </w:rPr>
        <w:t>mapping  of</w:t>
      </w:r>
      <w:proofErr w:type="gramEnd"/>
      <w:r w:rsidRPr="00EA5D15">
        <w:rPr>
          <w:rStyle w:val="normaltextrun"/>
          <w:rFonts w:asciiTheme="minorHAnsi" w:hAnsiTheme="minorHAnsi" w:cstheme="minorHAnsi"/>
          <w:sz w:val="22"/>
          <w:szCs w:val="22"/>
        </w:rPr>
        <w:t xml:space="preserve"> consumers is continuously updated in coordination with the respective circle and divisional teams . Subsequently, the consumer mapping is correlated with their metering and billing data</w:t>
      </w:r>
    </w:p>
    <w:p w14:paraId="73893637" w14:textId="3591D6E7" w:rsidR="00EA5D15" w:rsidRDefault="00EA5D15" w:rsidP="00A77722">
      <w:pPr>
        <w:spacing w:line="360" w:lineRule="auto"/>
        <w:ind w:left="851"/>
        <w:jc w:val="both"/>
        <w:rPr>
          <w:rFonts w:asciiTheme="minorHAnsi" w:hAnsiTheme="minorHAnsi" w:cstheme="minorHAnsi"/>
          <w:sz w:val="22"/>
          <w:szCs w:val="22"/>
        </w:rPr>
      </w:pPr>
      <w:r w:rsidRPr="00EA5D15">
        <w:rPr>
          <w:rFonts w:asciiTheme="minorHAnsi" w:hAnsiTheme="minorHAnsi" w:cstheme="minorHAnsi"/>
          <w:sz w:val="22"/>
          <w:szCs w:val="22"/>
        </w:rPr>
        <w:t>Further</w:t>
      </w:r>
      <w:r w:rsidRPr="00EA5D15">
        <w:rPr>
          <w:rFonts w:asciiTheme="minorHAnsi" w:hAnsiTheme="minorHAnsi" w:cstheme="minorHAnsi"/>
          <w:sz w:val="22"/>
          <w:szCs w:val="22"/>
          <w:shd w:val="clear" w:color="auto" w:fill="FFFFFF" w:themeFill="background1"/>
        </w:rPr>
        <w:t>, 15.73 lacs consumer</w:t>
      </w:r>
      <w:r w:rsidRPr="00EA5D15">
        <w:rPr>
          <w:rFonts w:asciiTheme="minorHAnsi" w:hAnsiTheme="minorHAnsi" w:cstheme="minorHAnsi"/>
          <w:sz w:val="22"/>
          <w:szCs w:val="22"/>
        </w:rPr>
        <w:t xml:space="preserve"> mobile numbers have already been linked with the consumer accounts in the data base. No new connection is being released without authenticate identity </w:t>
      </w:r>
      <w:proofErr w:type="gramStart"/>
      <w:r w:rsidRPr="00EA5D15">
        <w:rPr>
          <w:rFonts w:asciiTheme="minorHAnsi" w:hAnsiTheme="minorHAnsi" w:cstheme="minorHAnsi"/>
          <w:sz w:val="22"/>
          <w:szCs w:val="22"/>
        </w:rPr>
        <w:t>proof  and</w:t>
      </w:r>
      <w:proofErr w:type="gramEnd"/>
      <w:r w:rsidRPr="00EA5D15">
        <w:rPr>
          <w:rFonts w:asciiTheme="minorHAnsi" w:hAnsiTheme="minorHAnsi" w:cstheme="minorHAnsi"/>
          <w:sz w:val="22"/>
          <w:szCs w:val="22"/>
        </w:rPr>
        <w:t xml:space="preserve"> mobile number. </w:t>
      </w:r>
    </w:p>
    <w:p w14:paraId="36EE2D4A" w14:textId="77777777" w:rsidR="00A77722" w:rsidRPr="00EA5D15" w:rsidRDefault="00A77722" w:rsidP="00A77722">
      <w:pPr>
        <w:spacing w:line="360" w:lineRule="auto"/>
        <w:ind w:left="851"/>
        <w:jc w:val="both"/>
        <w:rPr>
          <w:rFonts w:asciiTheme="minorHAnsi" w:hAnsiTheme="minorHAnsi" w:cstheme="minorHAnsi"/>
          <w:sz w:val="22"/>
          <w:szCs w:val="22"/>
        </w:rPr>
      </w:pPr>
    </w:p>
    <w:p w14:paraId="71F1D7FC" w14:textId="4D37873A" w:rsidR="00EA5D15" w:rsidRPr="00EA5D15" w:rsidRDefault="00EA5D15" w:rsidP="00A77722">
      <w:pPr>
        <w:spacing w:line="360" w:lineRule="auto"/>
        <w:ind w:left="851"/>
        <w:jc w:val="both"/>
        <w:rPr>
          <w:rFonts w:asciiTheme="minorHAnsi" w:hAnsiTheme="minorHAnsi" w:cstheme="minorHAnsi"/>
          <w:sz w:val="22"/>
          <w:szCs w:val="22"/>
        </w:rPr>
      </w:pPr>
      <w:r w:rsidRPr="00EA5D15">
        <w:rPr>
          <w:rFonts w:asciiTheme="minorHAnsi" w:hAnsiTheme="minorHAnsi" w:cstheme="minorHAnsi"/>
          <w:sz w:val="22"/>
          <w:szCs w:val="22"/>
        </w:rPr>
        <w:lastRenderedPageBreak/>
        <w:t xml:space="preserve">For data sanitization </w:t>
      </w:r>
      <w:proofErr w:type="gramStart"/>
      <w:r w:rsidRPr="00EA5D15">
        <w:rPr>
          <w:rFonts w:asciiTheme="minorHAnsi" w:hAnsiTheme="minorHAnsi" w:cstheme="minorHAnsi"/>
          <w:sz w:val="22"/>
          <w:szCs w:val="22"/>
        </w:rPr>
        <w:t>also</w:t>
      </w:r>
      <w:proofErr w:type="gramEnd"/>
      <w:r w:rsidRPr="00EA5D15">
        <w:rPr>
          <w:rFonts w:asciiTheme="minorHAnsi" w:hAnsiTheme="minorHAnsi" w:cstheme="minorHAnsi"/>
          <w:sz w:val="22"/>
          <w:szCs w:val="22"/>
        </w:rPr>
        <w:t xml:space="preserve"> extensive structured efforts have been undertaken through site verification for identifying Ghost/Duplicate/Disconnected cases through deployment of External Agency and Internal Process strengthening. In addition, Artificial Intelligence based Optical Character Read (OCR) based meter reading are done for LT consumers for ensuring proper billing based on actual site data. Through system and </w:t>
      </w:r>
      <w:proofErr w:type="gramStart"/>
      <w:r w:rsidRPr="00EA5D15">
        <w:rPr>
          <w:rFonts w:asciiTheme="minorHAnsi" w:hAnsiTheme="minorHAnsi" w:cstheme="minorHAnsi"/>
          <w:sz w:val="22"/>
          <w:szCs w:val="22"/>
        </w:rPr>
        <w:t>site</w:t>
      </w:r>
      <w:r w:rsidR="00CD105A">
        <w:rPr>
          <w:rFonts w:asciiTheme="minorHAnsi" w:hAnsiTheme="minorHAnsi" w:cstheme="minorHAnsi"/>
          <w:sz w:val="22"/>
          <w:szCs w:val="22"/>
        </w:rPr>
        <w:t xml:space="preserve"> </w:t>
      </w:r>
      <w:r w:rsidRPr="00EA5D15">
        <w:rPr>
          <w:rFonts w:asciiTheme="minorHAnsi" w:hAnsiTheme="minorHAnsi" w:cstheme="minorHAnsi"/>
          <w:sz w:val="22"/>
          <w:szCs w:val="22"/>
        </w:rPr>
        <w:t>based</w:t>
      </w:r>
      <w:proofErr w:type="gramEnd"/>
      <w:r w:rsidRPr="00EA5D15">
        <w:rPr>
          <w:rFonts w:asciiTheme="minorHAnsi" w:hAnsiTheme="minorHAnsi" w:cstheme="minorHAnsi"/>
          <w:sz w:val="22"/>
          <w:szCs w:val="22"/>
        </w:rPr>
        <w:t xml:space="preserve"> verification 42,060 Extra Connections have been regularized. </w:t>
      </w:r>
    </w:p>
    <w:p w14:paraId="5D1CA57C" w14:textId="77777777" w:rsidR="00CC5747" w:rsidRPr="00236E38" w:rsidRDefault="00CC5747" w:rsidP="00236E38">
      <w:pPr>
        <w:spacing w:line="360" w:lineRule="auto"/>
        <w:jc w:val="both"/>
        <w:rPr>
          <w:rFonts w:asciiTheme="minorHAnsi" w:hAnsiTheme="minorHAnsi" w:cstheme="minorHAnsi"/>
          <w:sz w:val="22"/>
          <w:szCs w:val="22"/>
        </w:rPr>
      </w:pPr>
    </w:p>
    <w:p w14:paraId="2B528697" w14:textId="2F809248" w:rsidR="00BB6BFE" w:rsidRPr="00236E38" w:rsidRDefault="00BD7120" w:rsidP="00236E38">
      <w:pPr>
        <w:spacing w:line="360" w:lineRule="auto"/>
        <w:jc w:val="both"/>
        <w:rPr>
          <w:rFonts w:asciiTheme="minorHAnsi" w:hAnsiTheme="minorHAnsi" w:cstheme="minorHAnsi"/>
          <w:sz w:val="22"/>
          <w:szCs w:val="22"/>
        </w:rPr>
      </w:pPr>
      <w:r w:rsidRPr="00236E38">
        <w:rPr>
          <w:rFonts w:asciiTheme="minorHAnsi" w:hAnsiTheme="minorHAnsi" w:cstheme="minorHAnsi"/>
          <w:b/>
          <w:noProof/>
          <w:color w:val="000000"/>
          <w:sz w:val="22"/>
          <w:szCs w:val="22"/>
          <w:lang w:val="en-IN" w:eastAsia="en-IN"/>
        </w:rPr>
        <mc:AlternateContent>
          <mc:Choice Requires="wps">
            <w:drawing>
              <wp:anchor distT="0" distB="0" distL="114300" distR="114300" simplePos="0" relativeHeight="251936256" behindDoc="0" locked="0" layoutInCell="1" allowOverlap="1" wp14:anchorId="6531D1C2" wp14:editId="07A81ECA">
                <wp:simplePos x="0" y="0"/>
                <wp:positionH relativeFrom="margin">
                  <wp:posOffset>499110</wp:posOffset>
                </wp:positionH>
                <wp:positionV relativeFrom="paragraph">
                  <wp:posOffset>10795</wp:posOffset>
                </wp:positionV>
                <wp:extent cx="5591175" cy="350520"/>
                <wp:effectExtent l="0" t="0" r="28575" b="11430"/>
                <wp:wrapNone/>
                <wp:docPr id="212922787" name="Rectangle 212922787"/>
                <wp:cNvGraphicFramePr/>
                <a:graphic xmlns:a="http://schemas.openxmlformats.org/drawingml/2006/main">
                  <a:graphicData uri="http://schemas.microsoft.com/office/word/2010/wordprocessingShape">
                    <wps:wsp>
                      <wps:cNvSpPr/>
                      <wps:spPr>
                        <a:xfrm>
                          <a:off x="0" y="0"/>
                          <a:ext cx="5591175" cy="350520"/>
                        </a:xfrm>
                        <a:prstGeom prst="rect">
                          <a:avLst/>
                        </a:prstGeom>
                        <a:solidFill>
                          <a:schemeClr val="accent1">
                            <a:lumMod val="60000"/>
                            <a:lumOff val="40000"/>
                          </a:schemeClr>
                        </a:solidFill>
                        <a:ln w="6350" cap="flat" cmpd="sng" algn="ctr">
                          <a:solidFill>
                            <a:srgbClr val="A5A5A5"/>
                          </a:solidFill>
                          <a:prstDash val="solid"/>
                          <a:miter lim="800000"/>
                        </a:ln>
                        <a:effectLst/>
                      </wps:spPr>
                      <wps:txbx>
                        <w:txbxContent>
                          <w:p w14:paraId="2DFB731B" w14:textId="49D57750" w:rsidR="00535B24" w:rsidRPr="000F3309" w:rsidRDefault="00535B24" w:rsidP="00BB6BFE">
                            <w:pPr>
                              <w:rPr>
                                <w:rFonts w:asciiTheme="minorHAnsi" w:hAnsiTheme="minorHAnsi"/>
                                <w:b/>
                              </w:rPr>
                            </w:pPr>
                            <w:r w:rsidRPr="000F3309">
                              <w:rPr>
                                <w:rFonts w:asciiTheme="minorHAnsi" w:hAnsiTheme="minorHAnsi"/>
                                <w:b/>
                              </w:rPr>
                              <w:t>4. Direction under Para 260 (</w:t>
                            </w:r>
                            <w:proofErr w:type="gramStart"/>
                            <w:r w:rsidRPr="000F3309">
                              <w:rPr>
                                <w:rFonts w:asciiTheme="minorHAnsi" w:hAnsiTheme="minorHAnsi"/>
                                <w:b/>
                              </w:rPr>
                              <w:t>d )</w:t>
                            </w:r>
                            <w:proofErr w:type="gramEnd"/>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531D1C2" id="Rectangle 212922787" o:spid="_x0000_s1049" style="position:absolute;left:0;text-align:left;margin-left:39.3pt;margin-top:.85pt;width:440.25pt;height:27.6pt;z-index:25193625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" fillcolor="#95b3d7 [1940]" strokecolor="#a5a5a5" strokeweight=".5pt">
                <v:textbox>
                  <w:txbxContent>
                    <w:p w14:paraId="2DFB731B" w14:textId="49D57750" w:rsidR="00535B24" w:rsidRPr="000F3309" w:rsidRDefault="00535B24" w:rsidP="00BB6BFE">
                      <w:pPr>
                        <w:rPr>
                          <w:rFonts w:asciiTheme="minorHAnsi" w:hAnsiTheme="minorHAnsi"/>
                          <w:b/>
                        </w:rPr>
                      </w:pPr>
                      <w:r w:rsidRPr="000F3309">
                        <w:rPr>
                          <w:rFonts w:asciiTheme="minorHAnsi" w:hAnsiTheme="minorHAnsi"/>
                          <w:b/>
                        </w:rPr>
                        <w:t>4. Direction under Para 260 (</w:t>
                      </w:r>
                      <w:proofErr w:type="gramStart"/>
                      <w:r w:rsidRPr="000F3309">
                        <w:rPr>
                          <w:rFonts w:asciiTheme="minorHAnsi" w:hAnsiTheme="minorHAnsi"/>
                          <w:b/>
                        </w:rPr>
                        <w:t>d )</w:t>
                      </w:r>
                      <w:proofErr w:type="gramEnd"/>
                    </w:p>
                  </w:txbxContent>
                </v:textbox>
                <w10:wrap anchorx="margin"/>
              </v:rect>
            </w:pict>
          </mc:Fallback>
        </mc:AlternateContent>
      </w:r>
    </w:p>
    <w:p w14:paraId="224DEF77" w14:textId="48E4B307" w:rsidR="00BB6BFE" w:rsidRPr="00236E38" w:rsidRDefault="00BB6BFE" w:rsidP="00236E38">
      <w:pPr>
        <w:spacing w:line="360" w:lineRule="auto"/>
        <w:jc w:val="both"/>
        <w:rPr>
          <w:rFonts w:asciiTheme="minorHAnsi" w:hAnsiTheme="minorHAnsi" w:cstheme="minorHAnsi"/>
          <w:b/>
          <w:color w:val="000000"/>
          <w:sz w:val="22"/>
          <w:szCs w:val="22"/>
          <w:lang w:eastAsia="en-IN"/>
        </w:rPr>
      </w:pPr>
    </w:p>
    <w:p w14:paraId="31CD8529" w14:textId="77777777" w:rsidR="00BD7120" w:rsidRPr="00236E38" w:rsidRDefault="00BD7120" w:rsidP="00236E38">
      <w:pPr>
        <w:spacing w:line="360" w:lineRule="auto"/>
        <w:jc w:val="both"/>
        <w:rPr>
          <w:rFonts w:asciiTheme="minorHAnsi" w:hAnsiTheme="minorHAnsi" w:cstheme="minorHAnsi"/>
          <w:b/>
          <w:color w:val="000000"/>
          <w:sz w:val="22"/>
          <w:szCs w:val="22"/>
          <w:lang w:eastAsia="en-IN"/>
        </w:rPr>
      </w:pPr>
    </w:p>
    <w:p w14:paraId="22E86167" w14:textId="77777777" w:rsidR="00BB6BFE" w:rsidRPr="00236E38" w:rsidRDefault="00BB6BFE" w:rsidP="00CC5747">
      <w:pPr>
        <w:spacing w:line="360" w:lineRule="auto"/>
        <w:ind w:left="851"/>
        <w:jc w:val="both"/>
        <w:rPr>
          <w:rFonts w:asciiTheme="minorHAnsi" w:hAnsiTheme="minorHAnsi" w:cstheme="minorHAnsi"/>
          <w:b/>
          <w:color w:val="000000"/>
          <w:sz w:val="22"/>
          <w:szCs w:val="22"/>
          <w:lang w:eastAsia="en-IN"/>
        </w:rPr>
      </w:pPr>
      <w:r w:rsidRPr="00236E38">
        <w:rPr>
          <w:rFonts w:asciiTheme="minorHAnsi" w:hAnsiTheme="minorHAnsi" w:cstheme="minorHAnsi"/>
          <w:b/>
          <w:color w:val="000000"/>
          <w:sz w:val="22"/>
          <w:szCs w:val="22"/>
          <w:lang w:eastAsia="en-IN"/>
        </w:rPr>
        <w:t>The Distribution Licensees shall prepare 10 years Resource Adequacy Plan covering period 2024-25 to 2033-34 in accordance with Resource Adequacy guidelines in consultation with GRIDCO &amp; CEA to comply with requirements of Electricity Rules."</w:t>
      </w:r>
    </w:p>
    <w:p w14:paraId="47ED7699" w14:textId="24793689" w:rsidR="00BB6BFE" w:rsidRPr="00236E38" w:rsidRDefault="00BB6BFE" w:rsidP="00CC5747">
      <w:pPr>
        <w:spacing w:line="360" w:lineRule="auto"/>
        <w:ind w:left="851"/>
        <w:jc w:val="both"/>
        <w:rPr>
          <w:rFonts w:asciiTheme="minorHAnsi" w:hAnsiTheme="minorHAnsi" w:cstheme="minorHAnsi"/>
          <w:b/>
          <w:color w:val="000000"/>
          <w:sz w:val="22"/>
          <w:szCs w:val="22"/>
          <w:u w:val="single"/>
          <w:lang w:eastAsia="en-IN"/>
        </w:rPr>
      </w:pPr>
      <w:r w:rsidRPr="00236E38">
        <w:rPr>
          <w:rFonts w:asciiTheme="minorHAnsi" w:hAnsiTheme="minorHAnsi" w:cstheme="minorHAnsi"/>
          <w:b/>
          <w:color w:val="000000"/>
          <w:sz w:val="22"/>
          <w:szCs w:val="22"/>
          <w:u w:val="single"/>
          <w:lang w:eastAsia="en-IN"/>
        </w:rPr>
        <w:t>Compliance:</w:t>
      </w:r>
    </w:p>
    <w:p w14:paraId="592DE6BB" w14:textId="77777777" w:rsidR="00236E38" w:rsidRPr="00236E38" w:rsidRDefault="00236E38" w:rsidP="00CC5747">
      <w:pPr>
        <w:spacing w:line="360" w:lineRule="auto"/>
        <w:ind w:left="851"/>
        <w:jc w:val="both"/>
        <w:rPr>
          <w:rFonts w:asciiTheme="minorHAnsi" w:hAnsiTheme="minorHAnsi" w:cstheme="minorHAnsi"/>
          <w:b/>
          <w:color w:val="000000"/>
          <w:sz w:val="22"/>
          <w:szCs w:val="22"/>
          <w:u w:val="single"/>
          <w:lang w:eastAsia="en-IN"/>
        </w:rPr>
      </w:pPr>
    </w:p>
    <w:p w14:paraId="7BEB9EAD" w14:textId="40089C61" w:rsidR="00BB6BFE" w:rsidRPr="00EA5D15" w:rsidRDefault="00BB6BFE" w:rsidP="00CC5747">
      <w:pPr>
        <w:spacing w:line="360" w:lineRule="auto"/>
        <w:ind w:left="851"/>
        <w:jc w:val="both"/>
        <w:rPr>
          <w:rFonts w:asciiTheme="minorHAnsi" w:hAnsiTheme="minorHAnsi" w:cstheme="minorHAnsi"/>
          <w:color w:val="000000"/>
          <w:sz w:val="22"/>
          <w:szCs w:val="22"/>
          <w:lang w:eastAsia="en-IN"/>
        </w:rPr>
      </w:pPr>
      <w:r w:rsidRPr="00EA5D15">
        <w:rPr>
          <w:rFonts w:asciiTheme="minorHAnsi" w:hAnsiTheme="minorHAnsi" w:cstheme="minorHAnsi"/>
          <w:color w:val="000000"/>
          <w:sz w:val="22"/>
          <w:szCs w:val="22"/>
          <w:lang w:eastAsia="en-IN"/>
        </w:rPr>
        <w:t xml:space="preserve">In compliance to the license conditions, TPNODL is preparing demand forecast Grid substation wise and already shared with the transmission utility. Some revisions have been suggested by OPTCL and we are on the job. </w:t>
      </w:r>
    </w:p>
    <w:p w14:paraId="19333D8C" w14:textId="6A8B3942" w:rsidR="00BB6BFE" w:rsidRPr="00EA5D15" w:rsidRDefault="00BB6BFE" w:rsidP="00CC5747">
      <w:pPr>
        <w:spacing w:line="360" w:lineRule="auto"/>
        <w:ind w:left="851"/>
        <w:jc w:val="both"/>
        <w:rPr>
          <w:rFonts w:asciiTheme="minorHAnsi" w:hAnsiTheme="minorHAnsi" w:cstheme="minorHAnsi"/>
          <w:color w:val="000000"/>
          <w:sz w:val="22"/>
          <w:szCs w:val="22"/>
          <w:lang w:eastAsia="en-IN"/>
        </w:rPr>
      </w:pPr>
      <w:r w:rsidRPr="00EA5D15">
        <w:rPr>
          <w:rFonts w:asciiTheme="minorHAnsi" w:hAnsiTheme="minorHAnsi" w:cstheme="minorHAnsi"/>
          <w:color w:val="000000"/>
          <w:sz w:val="22"/>
          <w:szCs w:val="22"/>
          <w:lang w:eastAsia="en-IN"/>
        </w:rPr>
        <w:t xml:space="preserve">In coordination with OPTCL and GRIDCO and in compliance to the Resource Adequacy Guidelines </w:t>
      </w:r>
      <w:proofErr w:type="gramStart"/>
      <w:r w:rsidRPr="00EA5D15">
        <w:rPr>
          <w:rFonts w:asciiTheme="minorHAnsi" w:hAnsiTheme="minorHAnsi" w:cstheme="minorHAnsi"/>
          <w:color w:val="000000"/>
          <w:sz w:val="22"/>
          <w:szCs w:val="22"/>
          <w:lang w:eastAsia="en-IN"/>
        </w:rPr>
        <w:t>of  CEA</w:t>
      </w:r>
      <w:proofErr w:type="gramEnd"/>
      <w:r w:rsidRPr="00EA5D15">
        <w:rPr>
          <w:rFonts w:asciiTheme="minorHAnsi" w:hAnsiTheme="minorHAnsi" w:cstheme="minorHAnsi"/>
          <w:color w:val="000000"/>
          <w:sz w:val="22"/>
          <w:szCs w:val="22"/>
          <w:lang w:eastAsia="en-IN"/>
        </w:rPr>
        <w:t xml:space="preserve">, we will prepare 10 years Resource Adequacy Plan  covering the period 2024-25 </w:t>
      </w:r>
      <w:proofErr w:type="spellStart"/>
      <w:r w:rsidRPr="00EA5D15">
        <w:rPr>
          <w:rFonts w:asciiTheme="minorHAnsi" w:hAnsiTheme="minorHAnsi" w:cstheme="minorHAnsi"/>
          <w:color w:val="000000"/>
          <w:sz w:val="22"/>
          <w:szCs w:val="22"/>
          <w:lang w:eastAsia="en-IN"/>
        </w:rPr>
        <w:t>upto</w:t>
      </w:r>
      <w:proofErr w:type="spellEnd"/>
      <w:r w:rsidRPr="00EA5D15">
        <w:rPr>
          <w:rFonts w:asciiTheme="minorHAnsi" w:hAnsiTheme="minorHAnsi" w:cstheme="minorHAnsi"/>
          <w:color w:val="000000"/>
          <w:sz w:val="22"/>
          <w:szCs w:val="22"/>
          <w:lang w:eastAsia="en-IN"/>
        </w:rPr>
        <w:t xml:space="preserve"> 2033-34.</w:t>
      </w:r>
    </w:p>
    <w:p w14:paraId="7A20847F" w14:textId="33572DD4" w:rsidR="00BD7120" w:rsidRPr="00236E38" w:rsidRDefault="00BD7120" w:rsidP="00236E38">
      <w:pPr>
        <w:spacing w:line="360" w:lineRule="auto"/>
        <w:ind w:left="567" w:right="-330"/>
        <w:jc w:val="both"/>
        <w:rPr>
          <w:rFonts w:asciiTheme="minorHAnsi" w:hAnsiTheme="minorHAnsi" w:cstheme="minorHAnsi"/>
          <w:color w:val="000000"/>
          <w:sz w:val="22"/>
          <w:szCs w:val="22"/>
          <w:lang w:eastAsia="en-IN"/>
        </w:rPr>
      </w:pPr>
      <w:r w:rsidRPr="00236E38">
        <w:rPr>
          <w:rFonts w:asciiTheme="minorHAnsi" w:hAnsiTheme="minorHAnsi" w:cstheme="minorHAnsi"/>
          <w:b/>
          <w:noProof/>
          <w:color w:val="000000"/>
          <w:sz w:val="22"/>
          <w:szCs w:val="22"/>
          <w:highlight w:val="yellow"/>
          <w:lang w:val="en-IN" w:eastAsia="en-IN"/>
        </w:rPr>
        <mc:AlternateContent>
          <mc:Choice Requires="wps">
            <w:drawing>
              <wp:anchor distT="0" distB="0" distL="114300" distR="114300" simplePos="0" relativeHeight="251937280" behindDoc="0" locked="0" layoutInCell="1" allowOverlap="1" wp14:anchorId="60D93B27" wp14:editId="6BBBCAFB">
                <wp:simplePos x="0" y="0"/>
                <wp:positionH relativeFrom="margin">
                  <wp:posOffset>613410</wp:posOffset>
                </wp:positionH>
                <wp:positionV relativeFrom="paragraph">
                  <wp:posOffset>94615</wp:posOffset>
                </wp:positionV>
                <wp:extent cx="5553075" cy="350520"/>
                <wp:effectExtent l="0" t="0" r="28575" b="11430"/>
                <wp:wrapNone/>
                <wp:docPr id="212922788" name="Rectangle 212922788"/>
                <wp:cNvGraphicFramePr/>
                <a:graphic xmlns:a="http://schemas.openxmlformats.org/drawingml/2006/main">
                  <a:graphicData uri="http://schemas.microsoft.com/office/word/2010/wordprocessingShape">
                    <wps:wsp>
                      <wps:cNvSpPr/>
                      <wps:spPr>
                        <a:xfrm>
                          <a:off x="0" y="0"/>
                          <a:ext cx="5553075" cy="350520"/>
                        </a:xfrm>
                        <a:prstGeom prst="rect">
                          <a:avLst/>
                        </a:prstGeom>
                        <a:solidFill>
                          <a:schemeClr val="accent1">
                            <a:lumMod val="60000"/>
                            <a:lumOff val="40000"/>
                          </a:schemeClr>
                        </a:solidFill>
                        <a:ln w="6350" cap="flat" cmpd="sng" algn="ctr">
                          <a:solidFill>
                            <a:srgbClr val="A5A5A5"/>
                          </a:solidFill>
                          <a:prstDash val="solid"/>
                          <a:miter lim="800000"/>
                        </a:ln>
                        <a:effectLst/>
                      </wps:spPr>
                      <wps:txbx>
                        <w:txbxContent>
                          <w:p w14:paraId="7D563114" w14:textId="77777777" w:rsidR="00535B24" w:rsidRPr="00567821" w:rsidRDefault="00535B24" w:rsidP="00BB6BFE">
                            <w:pPr>
                              <w:rPr>
                                <w:rFonts w:asciiTheme="minorHAnsi" w:hAnsiTheme="minorHAnsi"/>
                                <w:b/>
                              </w:rPr>
                            </w:pPr>
                            <w:r w:rsidRPr="00567821">
                              <w:rPr>
                                <w:rFonts w:asciiTheme="minorHAnsi" w:hAnsiTheme="minorHAnsi"/>
                                <w:b/>
                              </w:rPr>
                              <w:t>5. Direction under Para 261</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0D93B27" id="Rectangle 212922788" o:spid="_x0000_s1050" style="position:absolute;left:0;text-align:left;margin-left:48.3pt;margin-top:7.45pt;width:437.25pt;height:27.6pt;z-index:2519372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" fillcolor="#95b3d7 [1940]" strokecolor="#a5a5a5" strokeweight=".5pt">
                <v:textbox>
                  <w:txbxContent>
                    <w:p w14:paraId="7D563114" w14:textId="77777777" w:rsidR="00535B24" w:rsidRPr="00567821" w:rsidRDefault="00535B24" w:rsidP="00BB6BFE">
                      <w:pPr>
                        <w:rPr>
                          <w:rFonts w:asciiTheme="minorHAnsi" w:hAnsiTheme="minorHAnsi"/>
                          <w:b/>
                        </w:rPr>
                      </w:pPr>
                      <w:r w:rsidRPr="00567821">
                        <w:rPr>
                          <w:rFonts w:asciiTheme="minorHAnsi" w:hAnsiTheme="minorHAnsi"/>
                          <w:b/>
                        </w:rPr>
                        <w:t>5. Direction under Para 261</w:t>
                      </w:r>
                    </w:p>
                  </w:txbxContent>
                </v:textbox>
                <w10:wrap anchorx="margin"/>
              </v:rect>
            </w:pict>
          </mc:Fallback>
        </mc:AlternateContent>
      </w:r>
    </w:p>
    <w:p w14:paraId="0F94D82D" w14:textId="5907DBD5" w:rsidR="00BD7120" w:rsidRDefault="00BD7120" w:rsidP="00236E38">
      <w:pPr>
        <w:spacing w:line="360" w:lineRule="auto"/>
        <w:ind w:right="-330"/>
        <w:jc w:val="both"/>
        <w:rPr>
          <w:rFonts w:asciiTheme="minorHAnsi" w:hAnsiTheme="minorHAnsi" w:cstheme="minorHAnsi"/>
          <w:b/>
          <w:color w:val="000000"/>
          <w:sz w:val="22"/>
          <w:szCs w:val="22"/>
          <w:u w:val="single"/>
          <w:lang w:eastAsia="en-IN"/>
        </w:rPr>
      </w:pPr>
    </w:p>
    <w:p w14:paraId="1D8959C4" w14:textId="77777777" w:rsidR="00BE24FE" w:rsidRPr="00236E38" w:rsidRDefault="00BE24FE" w:rsidP="00236E38">
      <w:pPr>
        <w:spacing w:line="360" w:lineRule="auto"/>
        <w:ind w:right="-330"/>
        <w:jc w:val="both"/>
        <w:rPr>
          <w:rFonts w:asciiTheme="minorHAnsi" w:hAnsiTheme="minorHAnsi" w:cstheme="minorHAnsi"/>
          <w:b/>
          <w:color w:val="000000"/>
          <w:sz w:val="22"/>
          <w:szCs w:val="22"/>
          <w:lang w:eastAsia="en-IN"/>
        </w:rPr>
      </w:pPr>
    </w:p>
    <w:p w14:paraId="4A3918A9" w14:textId="574F12E6" w:rsidR="00BB6BFE" w:rsidRPr="00236E38" w:rsidRDefault="00BB6BFE" w:rsidP="00933A33">
      <w:pPr>
        <w:spacing w:line="360" w:lineRule="auto"/>
        <w:ind w:left="993" w:right="142"/>
        <w:jc w:val="both"/>
        <w:rPr>
          <w:rFonts w:asciiTheme="minorHAnsi" w:hAnsiTheme="minorHAnsi" w:cstheme="minorHAnsi"/>
          <w:color w:val="000000"/>
          <w:sz w:val="22"/>
          <w:szCs w:val="22"/>
          <w:lang w:eastAsia="en-IN"/>
        </w:rPr>
      </w:pPr>
      <w:r w:rsidRPr="00236E38">
        <w:rPr>
          <w:rFonts w:asciiTheme="minorHAnsi" w:hAnsiTheme="minorHAnsi" w:cstheme="minorHAnsi"/>
          <w:b/>
          <w:color w:val="000000"/>
          <w:sz w:val="22"/>
          <w:szCs w:val="22"/>
          <w:lang w:eastAsia="en-IN"/>
        </w:rPr>
        <w:t>"All four (4) DISCOMs have estimated interest on long term Capital loan (debt) and Interest on Working Capital with different rate of interest varying from 8.25 % to 11.6%. The source of funding of Capital loan and rate of interest shall be submitted</w:t>
      </w:r>
      <w:r w:rsidRPr="00236E38">
        <w:rPr>
          <w:rFonts w:asciiTheme="minorHAnsi" w:hAnsiTheme="minorHAnsi" w:cstheme="minorHAnsi"/>
          <w:color w:val="000000"/>
          <w:sz w:val="22"/>
          <w:szCs w:val="22"/>
          <w:lang w:eastAsia="en-IN"/>
        </w:rPr>
        <w:t>."</w:t>
      </w:r>
    </w:p>
    <w:p w14:paraId="0B73E46A" w14:textId="77777777" w:rsidR="00BB6BFE" w:rsidRPr="00236E38" w:rsidRDefault="00BB6BFE" w:rsidP="00BE24FE">
      <w:pPr>
        <w:spacing w:line="360" w:lineRule="auto"/>
        <w:ind w:left="709" w:right="-330" w:firstLine="142"/>
        <w:rPr>
          <w:rFonts w:asciiTheme="minorHAnsi" w:hAnsiTheme="minorHAnsi" w:cstheme="minorHAnsi"/>
          <w:b/>
          <w:color w:val="000000"/>
          <w:sz w:val="22"/>
          <w:szCs w:val="22"/>
          <w:u w:val="single"/>
          <w:lang w:eastAsia="en-IN"/>
        </w:rPr>
      </w:pPr>
    </w:p>
    <w:p w14:paraId="780E61E3" w14:textId="1D600882" w:rsidR="00BB6BFE" w:rsidRPr="00236E38" w:rsidRDefault="00BB6BFE" w:rsidP="00933A33">
      <w:pPr>
        <w:spacing w:line="360" w:lineRule="auto"/>
        <w:ind w:left="993" w:right="-330"/>
        <w:rPr>
          <w:rFonts w:asciiTheme="minorHAnsi" w:hAnsiTheme="minorHAnsi" w:cstheme="minorHAnsi"/>
          <w:b/>
          <w:color w:val="000000"/>
          <w:sz w:val="22"/>
          <w:szCs w:val="22"/>
          <w:u w:val="single"/>
          <w:lang w:eastAsia="en-IN"/>
        </w:rPr>
      </w:pPr>
      <w:r w:rsidRPr="00236E38">
        <w:rPr>
          <w:rFonts w:asciiTheme="minorHAnsi" w:hAnsiTheme="minorHAnsi" w:cstheme="minorHAnsi"/>
          <w:b/>
          <w:color w:val="000000"/>
          <w:sz w:val="22"/>
          <w:szCs w:val="22"/>
          <w:u w:val="single"/>
          <w:lang w:eastAsia="en-IN"/>
        </w:rPr>
        <w:t>Compliance:</w:t>
      </w:r>
    </w:p>
    <w:p w14:paraId="08332EFC" w14:textId="77777777" w:rsidR="00236E38" w:rsidRPr="00236E38" w:rsidRDefault="00236E38" w:rsidP="00933A33">
      <w:pPr>
        <w:spacing w:line="360" w:lineRule="auto"/>
        <w:ind w:left="993" w:right="-330" w:firstLine="142"/>
        <w:rPr>
          <w:rFonts w:asciiTheme="minorHAnsi" w:hAnsiTheme="minorHAnsi" w:cstheme="minorHAnsi"/>
          <w:b/>
          <w:color w:val="000000"/>
          <w:sz w:val="22"/>
          <w:szCs w:val="22"/>
          <w:highlight w:val="yellow"/>
          <w:u w:val="single"/>
          <w:lang w:eastAsia="en-IN"/>
        </w:rPr>
      </w:pPr>
    </w:p>
    <w:p w14:paraId="3036C9D7" w14:textId="7ACD488D" w:rsidR="00BE24FE" w:rsidRDefault="00BB6BFE" w:rsidP="00933A33">
      <w:pPr>
        <w:spacing w:line="360" w:lineRule="auto"/>
        <w:ind w:left="993"/>
        <w:jc w:val="both"/>
        <w:rPr>
          <w:rFonts w:asciiTheme="minorHAnsi" w:hAnsiTheme="minorHAnsi" w:cstheme="minorHAnsi"/>
          <w:sz w:val="22"/>
          <w:szCs w:val="22"/>
        </w:rPr>
      </w:pPr>
      <w:r w:rsidRPr="00236E38">
        <w:rPr>
          <w:rFonts w:asciiTheme="minorHAnsi" w:hAnsiTheme="minorHAnsi" w:cstheme="minorHAnsi"/>
          <w:sz w:val="22"/>
          <w:szCs w:val="22"/>
        </w:rPr>
        <w:t xml:space="preserve">For availing loan, the licensee is thoroughly analyzing </w:t>
      </w:r>
      <w:r w:rsidR="00BE24FE" w:rsidRPr="00236E38">
        <w:rPr>
          <w:rFonts w:asciiTheme="minorHAnsi" w:hAnsiTheme="minorHAnsi" w:cstheme="minorHAnsi"/>
          <w:sz w:val="22"/>
          <w:szCs w:val="22"/>
        </w:rPr>
        <w:t>the quotations from several</w:t>
      </w:r>
      <w:r w:rsidRPr="00236E38">
        <w:rPr>
          <w:rFonts w:asciiTheme="minorHAnsi" w:hAnsiTheme="minorHAnsi" w:cstheme="minorHAnsi"/>
          <w:sz w:val="22"/>
          <w:szCs w:val="22"/>
        </w:rPr>
        <w:t xml:space="preserve"> </w:t>
      </w:r>
      <w:proofErr w:type="gramStart"/>
      <w:r w:rsidRPr="00236E38">
        <w:rPr>
          <w:rFonts w:asciiTheme="minorHAnsi" w:hAnsiTheme="minorHAnsi" w:cstheme="minorHAnsi"/>
          <w:sz w:val="22"/>
          <w:szCs w:val="22"/>
        </w:rPr>
        <w:t>Banks  to</w:t>
      </w:r>
      <w:proofErr w:type="gramEnd"/>
      <w:r w:rsidRPr="00236E38">
        <w:rPr>
          <w:rFonts w:asciiTheme="minorHAnsi" w:hAnsiTheme="minorHAnsi" w:cstheme="minorHAnsi"/>
          <w:sz w:val="22"/>
          <w:szCs w:val="22"/>
        </w:rPr>
        <w:t xml:space="preserve"> meet the long-term  and short term loan requirements. Basing on the terms &amp; conditions received from the banks, the Bank which quotes most competitive &amp; lowest interest rate is </w:t>
      </w:r>
      <w:r w:rsidR="00BE24FE" w:rsidRPr="00236E38">
        <w:rPr>
          <w:rFonts w:asciiTheme="minorHAnsi" w:hAnsiTheme="minorHAnsi" w:cstheme="minorHAnsi"/>
          <w:sz w:val="22"/>
          <w:szCs w:val="22"/>
        </w:rPr>
        <w:t>finalized.</w:t>
      </w:r>
    </w:p>
    <w:p w14:paraId="7272C253" w14:textId="77777777" w:rsidR="00BE24FE" w:rsidRDefault="00BE24FE" w:rsidP="00933A33">
      <w:pPr>
        <w:spacing w:line="360" w:lineRule="auto"/>
        <w:ind w:left="993"/>
        <w:jc w:val="both"/>
        <w:rPr>
          <w:rFonts w:asciiTheme="minorHAnsi" w:hAnsiTheme="minorHAnsi" w:cstheme="minorHAnsi"/>
          <w:sz w:val="22"/>
          <w:szCs w:val="22"/>
        </w:rPr>
      </w:pPr>
    </w:p>
    <w:p w14:paraId="36B423B1" w14:textId="0FA10B2F" w:rsidR="00BB6BFE" w:rsidRPr="00BE24FE" w:rsidRDefault="00BB6BFE" w:rsidP="00933A33">
      <w:pPr>
        <w:spacing w:line="360" w:lineRule="auto"/>
        <w:ind w:left="993"/>
        <w:jc w:val="both"/>
        <w:rPr>
          <w:rFonts w:asciiTheme="minorHAnsi" w:hAnsiTheme="minorHAnsi" w:cstheme="minorHAnsi"/>
          <w:sz w:val="22"/>
          <w:szCs w:val="22"/>
        </w:rPr>
      </w:pPr>
      <w:r w:rsidRPr="00236E38">
        <w:rPr>
          <w:rFonts w:asciiTheme="minorHAnsi" w:hAnsiTheme="minorHAnsi" w:cstheme="minorHAnsi"/>
          <w:color w:val="000000"/>
          <w:sz w:val="22"/>
          <w:szCs w:val="22"/>
          <w:lang w:eastAsia="en-IN"/>
        </w:rPr>
        <w:lastRenderedPageBreak/>
        <w:t xml:space="preserve">The details </w:t>
      </w:r>
      <w:r w:rsidR="006874E8" w:rsidRPr="00236E38">
        <w:rPr>
          <w:rFonts w:asciiTheme="minorHAnsi" w:hAnsiTheme="minorHAnsi" w:cstheme="minorHAnsi"/>
          <w:color w:val="000000"/>
          <w:sz w:val="22"/>
          <w:szCs w:val="22"/>
          <w:lang w:eastAsia="en-IN"/>
        </w:rPr>
        <w:t>have been furnished before Hon’ble Commission vide letter</w:t>
      </w:r>
      <w:r w:rsidR="00236E38" w:rsidRPr="00236E38">
        <w:rPr>
          <w:rFonts w:asciiTheme="minorHAnsi" w:hAnsiTheme="minorHAnsi" w:cstheme="minorHAnsi"/>
          <w:color w:val="000000"/>
          <w:sz w:val="22"/>
          <w:szCs w:val="22"/>
          <w:lang w:eastAsia="en-IN"/>
        </w:rPr>
        <w:t xml:space="preserve"> no-T</w:t>
      </w:r>
      <w:r w:rsidR="00236E38" w:rsidRPr="00236E38">
        <w:rPr>
          <w:rFonts w:asciiTheme="minorHAnsi" w:hAnsiTheme="minorHAnsi" w:cstheme="minorHAnsi"/>
          <w:sz w:val="22"/>
          <w:szCs w:val="22"/>
        </w:rPr>
        <w:t xml:space="preserve">PNODL/Regulatory/2024/4208 dated 29.6.2024 </w:t>
      </w:r>
      <w:r w:rsidR="006874E8" w:rsidRPr="00236E38">
        <w:rPr>
          <w:rFonts w:asciiTheme="minorHAnsi" w:hAnsiTheme="minorHAnsi" w:cstheme="minorHAnsi"/>
          <w:color w:val="000000"/>
          <w:sz w:val="22"/>
          <w:szCs w:val="22"/>
          <w:highlight w:val="yellow"/>
          <w:lang w:eastAsia="en-IN"/>
        </w:rPr>
        <w:t xml:space="preserve"> </w:t>
      </w:r>
      <w:r w:rsidRPr="00236E38">
        <w:rPr>
          <w:rFonts w:asciiTheme="minorHAnsi" w:hAnsiTheme="minorHAnsi" w:cstheme="minorHAnsi"/>
          <w:color w:val="000000"/>
          <w:sz w:val="22"/>
          <w:szCs w:val="22"/>
          <w:lang w:eastAsia="en-IN"/>
        </w:rPr>
        <w:t xml:space="preserve"> </w:t>
      </w:r>
    </w:p>
    <w:p w14:paraId="0F6E6EE7" w14:textId="731ECCFE" w:rsidR="00BB6BFE" w:rsidRPr="00236E38" w:rsidRDefault="00BE24FE" w:rsidP="00236E38">
      <w:pPr>
        <w:spacing w:line="360" w:lineRule="auto"/>
        <w:rPr>
          <w:rFonts w:asciiTheme="minorHAnsi" w:hAnsiTheme="minorHAnsi" w:cstheme="minorHAnsi"/>
          <w:color w:val="000000"/>
          <w:sz w:val="22"/>
          <w:szCs w:val="22"/>
          <w:lang w:eastAsia="en-IN"/>
        </w:rPr>
      </w:pPr>
      <w:r w:rsidRPr="00236E38">
        <w:rPr>
          <w:rFonts w:asciiTheme="minorHAnsi" w:hAnsiTheme="minorHAnsi" w:cstheme="minorHAnsi"/>
          <w:b/>
          <w:noProof/>
          <w:color w:val="000000"/>
          <w:sz w:val="22"/>
          <w:szCs w:val="22"/>
          <w:lang w:val="en-IN" w:eastAsia="en-IN"/>
        </w:rPr>
        <mc:AlternateContent>
          <mc:Choice Requires="wps">
            <w:drawing>
              <wp:anchor distT="0" distB="0" distL="114300" distR="114300" simplePos="0" relativeHeight="251938304" behindDoc="0" locked="0" layoutInCell="1" allowOverlap="1" wp14:anchorId="27597BCA" wp14:editId="1FED86E3">
                <wp:simplePos x="0" y="0"/>
                <wp:positionH relativeFrom="margin">
                  <wp:posOffset>603885</wp:posOffset>
                </wp:positionH>
                <wp:positionV relativeFrom="paragraph">
                  <wp:posOffset>201295</wp:posOffset>
                </wp:positionV>
                <wp:extent cx="5534025" cy="350875"/>
                <wp:effectExtent l="0" t="0" r="28575" b="11430"/>
                <wp:wrapNone/>
                <wp:docPr id="212922789" name="Rectangle 212922789"/>
                <wp:cNvGraphicFramePr/>
                <a:graphic xmlns:a="http://schemas.openxmlformats.org/drawingml/2006/main">
                  <a:graphicData uri="http://schemas.microsoft.com/office/word/2010/wordprocessingShape">
                    <wps:wsp>
                      <wps:cNvSpPr/>
                      <wps:spPr>
                        <a:xfrm>
                          <a:off x="0" y="0"/>
                          <a:ext cx="5534025" cy="350875"/>
                        </a:xfrm>
                        <a:prstGeom prst="rect">
                          <a:avLst/>
                        </a:prstGeom>
                        <a:solidFill>
                          <a:schemeClr val="accent1">
                            <a:lumMod val="60000"/>
                            <a:lumOff val="40000"/>
                          </a:schemeClr>
                        </a:solidFill>
                        <a:ln w="6350" cap="flat" cmpd="sng" algn="ctr">
                          <a:solidFill>
                            <a:srgbClr val="A5A5A5"/>
                          </a:solidFill>
                          <a:prstDash val="solid"/>
                          <a:miter lim="800000"/>
                        </a:ln>
                        <a:effectLst/>
                      </wps:spPr>
                      <wps:txbx>
                        <w:txbxContent>
                          <w:p w14:paraId="6723C60C" w14:textId="77777777" w:rsidR="00535B24" w:rsidRPr="00BE24FE" w:rsidRDefault="00535B24" w:rsidP="00BB6BFE">
                            <w:pPr>
                              <w:rPr>
                                <w:rFonts w:asciiTheme="minorHAnsi" w:hAnsiTheme="minorHAnsi"/>
                                <w:b/>
                              </w:rPr>
                            </w:pPr>
                            <w:r>
                              <w:rPr>
                                <w:b/>
                              </w:rPr>
                              <w:t>6</w:t>
                            </w:r>
                            <w:r w:rsidRPr="00BE24FE">
                              <w:rPr>
                                <w:rFonts w:asciiTheme="minorHAnsi" w:hAnsiTheme="minorHAnsi"/>
                                <w:b/>
                              </w:rPr>
                              <w:t>. Direction under Para 262</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7597BCA" id="Rectangle 212922789" o:spid="_x0000_s1051" style="position:absolute;margin-left:47.55pt;margin-top:15.85pt;width:435.75pt;height:27.65pt;z-index:25193830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" fillcolor="#95b3d7 [1940]" strokecolor="#a5a5a5" strokeweight=".5pt">
                <v:textbox>
                  <w:txbxContent>
                    <w:p w14:paraId="6723C60C" w14:textId="77777777" w:rsidR="00535B24" w:rsidRPr="00BE24FE" w:rsidRDefault="00535B24" w:rsidP="00BB6BFE">
                      <w:pPr>
                        <w:rPr>
                          <w:rFonts w:asciiTheme="minorHAnsi" w:hAnsiTheme="minorHAnsi"/>
                          <w:b/>
                        </w:rPr>
                      </w:pPr>
                      <w:r>
                        <w:rPr>
                          <w:b/>
                        </w:rPr>
                        <w:t>6</w:t>
                      </w:r>
                      <w:r w:rsidRPr="00BE24FE">
                        <w:rPr>
                          <w:rFonts w:asciiTheme="minorHAnsi" w:hAnsiTheme="minorHAnsi"/>
                          <w:b/>
                        </w:rPr>
                        <w:t>. Direction under Para 262</w:t>
                      </w:r>
                    </w:p>
                  </w:txbxContent>
                </v:textbox>
                <w10:wrap anchorx="margin"/>
              </v:rect>
            </w:pict>
          </mc:Fallback>
        </mc:AlternateContent>
      </w:r>
    </w:p>
    <w:p w14:paraId="1AA14DFD" w14:textId="0C92B462" w:rsidR="00BB6BFE" w:rsidRPr="00236E38" w:rsidRDefault="00BB6BFE" w:rsidP="00236E38">
      <w:pPr>
        <w:spacing w:line="360" w:lineRule="auto"/>
        <w:rPr>
          <w:rFonts w:asciiTheme="minorHAnsi" w:hAnsiTheme="minorHAnsi" w:cstheme="minorHAnsi"/>
          <w:sz w:val="22"/>
          <w:szCs w:val="22"/>
        </w:rPr>
      </w:pPr>
    </w:p>
    <w:p w14:paraId="51254AE9" w14:textId="77777777" w:rsidR="00BD7120" w:rsidRPr="00236E38" w:rsidRDefault="00BD7120" w:rsidP="00236E38">
      <w:pPr>
        <w:pStyle w:val="NoSpacing"/>
        <w:spacing w:line="360" w:lineRule="auto"/>
        <w:ind w:right="-330"/>
        <w:jc w:val="both"/>
        <w:rPr>
          <w:rFonts w:asciiTheme="minorHAnsi" w:hAnsiTheme="minorHAnsi" w:cstheme="minorHAnsi"/>
          <w:b/>
        </w:rPr>
      </w:pPr>
    </w:p>
    <w:p w14:paraId="75BA928D" w14:textId="44036422" w:rsidR="00BB6BFE" w:rsidRPr="00933A33" w:rsidRDefault="00BB6BFE" w:rsidP="00933A33">
      <w:pPr>
        <w:pStyle w:val="NoSpacing"/>
        <w:spacing w:line="360" w:lineRule="auto"/>
        <w:ind w:left="993"/>
        <w:jc w:val="both"/>
        <w:rPr>
          <w:rFonts w:asciiTheme="minorHAnsi" w:hAnsiTheme="minorHAnsi" w:cstheme="minorBidi"/>
          <w:bCs/>
          <w:lang w:val="en-US"/>
        </w:rPr>
      </w:pPr>
      <w:r w:rsidRPr="00933A33">
        <w:rPr>
          <w:rFonts w:asciiTheme="minorHAnsi" w:hAnsiTheme="minorHAnsi" w:cstheme="minorBidi"/>
          <w:bCs/>
          <w:lang w:val="en-US"/>
        </w:rPr>
        <w:t xml:space="preserve">"The Commission had approved additional R&amp;M of Rs. 95 </w:t>
      </w:r>
      <w:proofErr w:type="spellStart"/>
      <w:r w:rsidRPr="00933A33">
        <w:rPr>
          <w:rFonts w:asciiTheme="minorHAnsi" w:hAnsiTheme="minorHAnsi" w:cstheme="minorBidi"/>
          <w:bCs/>
          <w:lang w:val="en-US"/>
        </w:rPr>
        <w:t>Crs</w:t>
      </w:r>
      <w:proofErr w:type="spellEnd"/>
      <w:r w:rsidRPr="00933A33">
        <w:rPr>
          <w:rFonts w:asciiTheme="minorHAnsi" w:hAnsiTheme="minorHAnsi" w:cstheme="minorBidi"/>
          <w:bCs/>
          <w:lang w:val="en-US"/>
        </w:rPr>
        <w:t xml:space="preserve">. (TPWODL: Rs. 60 </w:t>
      </w:r>
      <w:proofErr w:type="spellStart"/>
      <w:r w:rsidRPr="00933A33">
        <w:rPr>
          <w:rFonts w:asciiTheme="minorHAnsi" w:hAnsiTheme="minorHAnsi" w:cstheme="minorBidi"/>
          <w:bCs/>
          <w:lang w:val="en-US"/>
        </w:rPr>
        <w:t>Crs</w:t>
      </w:r>
      <w:proofErr w:type="spellEnd"/>
      <w:r w:rsidRPr="00933A33">
        <w:rPr>
          <w:rFonts w:asciiTheme="minorHAnsi" w:hAnsiTheme="minorHAnsi" w:cstheme="minorBidi"/>
          <w:bCs/>
          <w:lang w:val="en-US"/>
        </w:rPr>
        <w:t xml:space="preserve">. &amp; TPNODL: Rs. 35 </w:t>
      </w:r>
      <w:proofErr w:type="spellStart"/>
      <w:r w:rsidRPr="00933A33">
        <w:rPr>
          <w:rFonts w:asciiTheme="minorHAnsi" w:hAnsiTheme="minorHAnsi" w:cstheme="minorBidi"/>
          <w:bCs/>
          <w:lang w:val="en-US"/>
        </w:rPr>
        <w:t>Crs</w:t>
      </w:r>
      <w:proofErr w:type="spellEnd"/>
      <w:r w:rsidRPr="00933A33">
        <w:rPr>
          <w:rFonts w:asciiTheme="minorHAnsi" w:hAnsiTheme="minorHAnsi" w:cstheme="minorBidi"/>
          <w:bCs/>
          <w:lang w:val="en-US"/>
        </w:rPr>
        <w:t xml:space="preserve">.) in ARR for FY 2023-24 for maintaining an inventory for materials which will be required for restoration of distribution network during natural disaster for all DISCOMs. This inventory will be used by other DISCOMs on transfer basis. In addition to above provision, the Commission approves Rs. 40 </w:t>
      </w:r>
      <w:proofErr w:type="spellStart"/>
      <w:r w:rsidRPr="00933A33">
        <w:rPr>
          <w:rFonts w:asciiTheme="minorHAnsi" w:hAnsiTheme="minorHAnsi" w:cstheme="minorBidi"/>
          <w:bCs/>
          <w:lang w:val="en-US"/>
        </w:rPr>
        <w:t>Crs</w:t>
      </w:r>
      <w:proofErr w:type="spellEnd"/>
      <w:r w:rsidRPr="00933A33">
        <w:rPr>
          <w:rFonts w:asciiTheme="minorHAnsi" w:hAnsiTheme="minorHAnsi" w:cstheme="minorBidi"/>
          <w:bCs/>
          <w:lang w:val="en-US"/>
        </w:rPr>
        <w:t xml:space="preserve">. (Rs. 10 </w:t>
      </w:r>
      <w:proofErr w:type="spellStart"/>
      <w:r w:rsidRPr="00933A33">
        <w:rPr>
          <w:rFonts w:asciiTheme="minorHAnsi" w:hAnsiTheme="minorHAnsi" w:cstheme="minorBidi"/>
          <w:bCs/>
          <w:lang w:val="en-US"/>
        </w:rPr>
        <w:t>Crs</w:t>
      </w:r>
      <w:proofErr w:type="spellEnd"/>
      <w:r w:rsidRPr="00933A33">
        <w:rPr>
          <w:rFonts w:asciiTheme="minorHAnsi" w:hAnsiTheme="minorHAnsi" w:cstheme="minorBidi"/>
          <w:bCs/>
          <w:lang w:val="en-US"/>
        </w:rPr>
        <w:t xml:space="preserve"> for each DISCOM) in the ARR for FY 2024-25 as Disaster Resilient Fund (a Contingency Reserve Fund) to be maintained and operated by one of the DISCOMs for fast restoration of power supply during natural disasters.</w:t>
      </w:r>
    </w:p>
    <w:p w14:paraId="11951A6B" w14:textId="77777777" w:rsidR="00BB6BFE" w:rsidRPr="00933A33" w:rsidRDefault="00BB6BFE" w:rsidP="00933A33">
      <w:pPr>
        <w:pStyle w:val="NoSpacing"/>
        <w:spacing w:line="360" w:lineRule="auto"/>
        <w:ind w:left="993" w:firstLine="141"/>
        <w:jc w:val="both"/>
        <w:rPr>
          <w:rFonts w:asciiTheme="minorHAnsi" w:hAnsiTheme="minorHAnsi" w:cstheme="minorHAnsi"/>
        </w:rPr>
      </w:pPr>
    </w:p>
    <w:p w14:paraId="202343A1" w14:textId="77777777" w:rsidR="00BB6BFE" w:rsidRPr="00933A33" w:rsidRDefault="00BB6BFE" w:rsidP="00933A33">
      <w:pPr>
        <w:pStyle w:val="NoSpacing"/>
        <w:spacing w:line="360" w:lineRule="auto"/>
        <w:ind w:left="993"/>
        <w:jc w:val="both"/>
        <w:rPr>
          <w:rFonts w:asciiTheme="minorHAnsi" w:hAnsiTheme="minorHAnsi" w:cstheme="minorBidi"/>
          <w:bCs/>
          <w:lang w:val="en-US"/>
        </w:rPr>
      </w:pPr>
      <w:r w:rsidRPr="00933A33">
        <w:rPr>
          <w:rFonts w:asciiTheme="minorHAnsi" w:hAnsiTheme="minorHAnsi" w:cstheme="minorBidi"/>
          <w:bCs/>
          <w:lang w:val="en-US"/>
        </w:rPr>
        <w:t>The details of material bank created for meeting regular O&amp;M activities and for meeting the contingency situation like cyclone shall be submitted by all DISCOMs. Considering high-cost involvement and susceptibility to damage/</w:t>
      </w:r>
      <w:proofErr w:type="spellStart"/>
      <w:r w:rsidRPr="00933A33">
        <w:rPr>
          <w:rFonts w:asciiTheme="minorHAnsi" w:hAnsiTheme="minorHAnsi" w:cstheme="minorBidi"/>
          <w:bCs/>
          <w:lang w:val="en-US"/>
        </w:rPr>
        <w:t>obsolence</w:t>
      </w:r>
      <w:proofErr w:type="spellEnd"/>
      <w:r w:rsidRPr="00933A33">
        <w:rPr>
          <w:rFonts w:asciiTheme="minorHAnsi" w:hAnsiTheme="minorHAnsi" w:cstheme="minorBidi"/>
          <w:bCs/>
          <w:lang w:val="en-US"/>
        </w:rPr>
        <w:t xml:space="preserve"> of equipment/material on storage, DISCOMs are directed to work out plan for cyclical stock build up at strategic locations along with consumption and replenishment plan for disaster mitigation. It has to be ensured that the material stock is built up ahead of expected period of cyclone and consumed on regular maintenance for optimum use of material bank so that no idle stock is maintained throughout the year under disaster mitigation."</w:t>
      </w:r>
    </w:p>
    <w:p w14:paraId="03E63948" w14:textId="77777777" w:rsidR="00BB6BFE" w:rsidRPr="00933A33" w:rsidRDefault="00BB6BFE" w:rsidP="00933A33">
      <w:pPr>
        <w:spacing w:line="360" w:lineRule="auto"/>
        <w:ind w:left="993" w:firstLine="141"/>
        <w:rPr>
          <w:rFonts w:asciiTheme="minorHAnsi" w:hAnsiTheme="minorHAnsi" w:cstheme="minorHAnsi"/>
          <w:color w:val="000000"/>
          <w:sz w:val="22"/>
          <w:szCs w:val="22"/>
          <w:u w:val="single"/>
          <w:lang w:eastAsia="en-IN"/>
        </w:rPr>
      </w:pPr>
    </w:p>
    <w:p w14:paraId="32301EB4" w14:textId="77777777" w:rsidR="00BB6BFE" w:rsidRPr="00236E38" w:rsidRDefault="00BB6BFE" w:rsidP="00235BC6">
      <w:pPr>
        <w:spacing w:line="360" w:lineRule="auto"/>
        <w:ind w:left="993"/>
        <w:rPr>
          <w:rFonts w:asciiTheme="minorHAnsi" w:hAnsiTheme="minorHAnsi" w:cstheme="minorHAnsi"/>
          <w:b/>
          <w:color w:val="000000"/>
          <w:sz w:val="22"/>
          <w:szCs w:val="22"/>
          <w:u w:val="single"/>
          <w:lang w:eastAsia="en-IN"/>
        </w:rPr>
      </w:pPr>
      <w:r w:rsidRPr="00236E38">
        <w:rPr>
          <w:rFonts w:asciiTheme="minorHAnsi" w:hAnsiTheme="minorHAnsi" w:cstheme="minorHAnsi"/>
          <w:b/>
          <w:color w:val="000000"/>
          <w:sz w:val="22"/>
          <w:szCs w:val="22"/>
          <w:u w:val="single"/>
          <w:lang w:eastAsia="en-IN"/>
        </w:rPr>
        <w:t>Compliance:</w:t>
      </w:r>
    </w:p>
    <w:p w14:paraId="7B16A4EC" w14:textId="77777777" w:rsidR="00BB6BFE" w:rsidRPr="00236E38" w:rsidRDefault="00BB6BFE" w:rsidP="00235BC6">
      <w:pPr>
        <w:spacing w:line="360" w:lineRule="auto"/>
        <w:ind w:left="993"/>
        <w:jc w:val="both"/>
        <w:rPr>
          <w:rFonts w:asciiTheme="minorHAnsi" w:hAnsiTheme="minorHAnsi" w:cstheme="minorHAnsi"/>
          <w:sz w:val="22"/>
          <w:szCs w:val="22"/>
        </w:rPr>
      </w:pPr>
      <w:r w:rsidRPr="00236E38">
        <w:rPr>
          <w:rFonts w:asciiTheme="minorHAnsi" w:hAnsiTheme="minorHAnsi" w:cstheme="minorHAnsi"/>
          <w:sz w:val="22"/>
          <w:szCs w:val="22"/>
        </w:rPr>
        <w:t>TPNODL has a comprehensive Preparedness, Disaster Response / Restoration Plan &amp; Restoration Management SOPs &amp; Strategies before &amp; after Cyclone.</w:t>
      </w:r>
    </w:p>
    <w:p w14:paraId="2EC1E127" w14:textId="77777777" w:rsidR="00BB6BFE" w:rsidRPr="00236E38" w:rsidRDefault="00BB6BFE" w:rsidP="00235BC6">
      <w:pPr>
        <w:spacing w:line="360" w:lineRule="auto"/>
        <w:ind w:left="993"/>
        <w:jc w:val="both"/>
        <w:rPr>
          <w:rFonts w:asciiTheme="minorHAnsi" w:hAnsiTheme="minorHAnsi" w:cstheme="minorHAnsi"/>
          <w:sz w:val="22"/>
          <w:szCs w:val="22"/>
        </w:rPr>
      </w:pPr>
      <w:r w:rsidRPr="00236E38">
        <w:rPr>
          <w:rFonts w:asciiTheme="minorHAnsi" w:hAnsiTheme="minorHAnsi" w:cstheme="minorHAnsi"/>
          <w:sz w:val="22"/>
          <w:szCs w:val="22"/>
        </w:rPr>
        <w:t xml:space="preserve">Preparedness: A Rolling Material Bank, funded from the annual O&amp;M budget, to ensure the availability of critical resources and equipment needed for immediate response during disasters. We conduct regular reviews of the rolling material inventory to assess its adequacy and relevance. Any necessary replenishments or updates are made based on evolving disaster management needs and technological advancements. </w:t>
      </w:r>
    </w:p>
    <w:p w14:paraId="702FEAAC" w14:textId="77777777" w:rsidR="00BB6BFE" w:rsidRPr="00236E38" w:rsidRDefault="00BB6BFE" w:rsidP="00235BC6">
      <w:pPr>
        <w:spacing w:line="360" w:lineRule="auto"/>
        <w:ind w:left="993"/>
        <w:rPr>
          <w:rFonts w:asciiTheme="minorHAnsi" w:hAnsiTheme="minorHAnsi" w:cstheme="minorHAnsi"/>
          <w:color w:val="000000"/>
          <w:sz w:val="22"/>
          <w:szCs w:val="22"/>
          <w:lang w:eastAsia="en-IN"/>
        </w:rPr>
      </w:pPr>
    </w:p>
    <w:p w14:paraId="794AB1C1" w14:textId="59FFE52F" w:rsidR="00BB6BFE" w:rsidRDefault="00BB6BFE" w:rsidP="00235BC6">
      <w:pPr>
        <w:spacing w:line="360" w:lineRule="auto"/>
        <w:ind w:left="993"/>
        <w:rPr>
          <w:rFonts w:asciiTheme="minorHAnsi" w:hAnsiTheme="minorHAnsi" w:cstheme="minorHAnsi"/>
          <w:color w:val="000000"/>
          <w:sz w:val="22"/>
          <w:szCs w:val="22"/>
          <w:lang w:eastAsia="en-IN"/>
        </w:rPr>
      </w:pPr>
      <w:r w:rsidRPr="00236E38">
        <w:rPr>
          <w:rFonts w:asciiTheme="minorHAnsi" w:hAnsiTheme="minorHAnsi" w:cstheme="minorHAnsi"/>
          <w:color w:val="000000"/>
          <w:sz w:val="22"/>
          <w:szCs w:val="22"/>
          <w:lang w:eastAsia="en-IN"/>
        </w:rPr>
        <w:t>We have identified 163 strategic locations under different divisions and pole stock as on May’24 in those locations are furnished in the following table.</w:t>
      </w:r>
    </w:p>
    <w:p w14:paraId="49082A38" w14:textId="77777777" w:rsidR="002B5470" w:rsidRPr="00236E38" w:rsidRDefault="002B5470" w:rsidP="00235BC6">
      <w:pPr>
        <w:spacing w:line="360" w:lineRule="auto"/>
        <w:ind w:left="993"/>
        <w:rPr>
          <w:rFonts w:asciiTheme="minorHAnsi" w:hAnsiTheme="minorHAnsi" w:cstheme="minorHAnsi"/>
          <w:color w:val="000000"/>
          <w:sz w:val="22"/>
          <w:szCs w:val="22"/>
          <w:lang w:eastAsia="en-IN"/>
        </w:rPr>
      </w:pPr>
    </w:p>
    <w:tbl>
      <w:tblPr>
        <w:tblW w:w="8566" w:type="dxa"/>
        <w:tblInd w:w="988" w:type="dxa"/>
        <w:tblLook w:val="04A0" w:firstRow="1" w:lastRow="0" w:firstColumn="1" w:lastColumn="0" w:noHBand="0" w:noVBand="1"/>
      </w:tblPr>
      <w:tblGrid>
        <w:gridCol w:w="2166"/>
        <w:gridCol w:w="3200"/>
        <w:gridCol w:w="3200"/>
      </w:tblGrid>
      <w:tr w:rsidR="00BB6BFE" w:rsidRPr="00236E38" w14:paraId="30724191" w14:textId="77777777" w:rsidTr="00933A33">
        <w:trPr>
          <w:trHeight w:val="313"/>
        </w:trPr>
        <w:tc>
          <w:tcPr>
            <w:tcW w:w="2166" w:type="dxa"/>
            <w:tcBorders>
              <w:top w:val="single" w:sz="4" w:space="0" w:color="auto"/>
              <w:left w:val="single" w:sz="4" w:space="0" w:color="auto"/>
              <w:bottom w:val="single" w:sz="4" w:space="0" w:color="auto"/>
              <w:right w:val="single" w:sz="4" w:space="0" w:color="auto"/>
            </w:tcBorders>
            <w:shd w:val="clear" w:color="auto" w:fill="8DB3E2" w:themeFill="text2" w:themeFillTint="66"/>
            <w:vAlign w:val="center"/>
            <w:hideMark/>
          </w:tcPr>
          <w:p w14:paraId="41924142" w14:textId="77777777" w:rsidR="00BB6BFE" w:rsidRPr="00933A33" w:rsidRDefault="00BB6BFE" w:rsidP="00236E38">
            <w:pPr>
              <w:spacing w:line="360" w:lineRule="auto"/>
              <w:jc w:val="center"/>
              <w:rPr>
                <w:rFonts w:asciiTheme="minorHAnsi" w:hAnsiTheme="minorHAnsi" w:cstheme="minorHAnsi"/>
                <w:b/>
                <w:color w:val="000000" w:themeColor="text1"/>
                <w:sz w:val="22"/>
                <w:szCs w:val="22"/>
                <w:lang w:eastAsia="en-IN"/>
              </w:rPr>
            </w:pPr>
            <w:r w:rsidRPr="00933A33">
              <w:rPr>
                <w:rFonts w:asciiTheme="minorHAnsi" w:hAnsiTheme="minorHAnsi" w:cstheme="minorHAnsi"/>
                <w:b/>
                <w:color w:val="000000" w:themeColor="text1"/>
                <w:sz w:val="22"/>
                <w:szCs w:val="22"/>
                <w:lang w:eastAsia="en-IN"/>
              </w:rPr>
              <w:lastRenderedPageBreak/>
              <w:t xml:space="preserve">Division </w:t>
            </w:r>
          </w:p>
        </w:tc>
        <w:tc>
          <w:tcPr>
            <w:tcW w:w="3200" w:type="dxa"/>
            <w:tcBorders>
              <w:top w:val="single" w:sz="4" w:space="0" w:color="auto"/>
              <w:left w:val="nil"/>
              <w:bottom w:val="single" w:sz="4" w:space="0" w:color="auto"/>
              <w:right w:val="single" w:sz="4" w:space="0" w:color="auto"/>
            </w:tcBorders>
            <w:shd w:val="clear" w:color="auto" w:fill="8DB3E2" w:themeFill="text2" w:themeFillTint="66"/>
            <w:vAlign w:val="center"/>
            <w:hideMark/>
          </w:tcPr>
          <w:p w14:paraId="22DE5C77" w14:textId="77777777" w:rsidR="00BB6BFE" w:rsidRPr="00933A33" w:rsidRDefault="00BB6BFE" w:rsidP="00236E38">
            <w:pPr>
              <w:spacing w:line="360" w:lineRule="auto"/>
              <w:jc w:val="center"/>
              <w:rPr>
                <w:rFonts w:asciiTheme="minorHAnsi" w:hAnsiTheme="minorHAnsi" w:cstheme="minorHAnsi"/>
                <w:b/>
                <w:color w:val="000000" w:themeColor="text1"/>
                <w:sz w:val="22"/>
                <w:szCs w:val="22"/>
                <w:lang w:eastAsia="en-IN"/>
              </w:rPr>
            </w:pPr>
            <w:r w:rsidRPr="00933A33">
              <w:rPr>
                <w:rFonts w:asciiTheme="minorHAnsi" w:hAnsiTheme="minorHAnsi" w:cstheme="minorHAnsi"/>
                <w:b/>
                <w:color w:val="000000" w:themeColor="text1"/>
                <w:sz w:val="22"/>
                <w:szCs w:val="22"/>
                <w:lang w:eastAsia="en-IN"/>
              </w:rPr>
              <w:t>Strategic Location</w:t>
            </w:r>
          </w:p>
        </w:tc>
        <w:tc>
          <w:tcPr>
            <w:tcW w:w="3200" w:type="dxa"/>
            <w:tcBorders>
              <w:top w:val="single" w:sz="4" w:space="0" w:color="auto"/>
              <w:left w:val="nil"/>
              <w:bottom w:val="single" w:sz="4" w:space="0" w:color="auto"/>
              <w:right w:val="single" w:sz="4" w:space="0" w:color="auto"/>
            </w:tcBorders>
            <w:shd w:val="clear" w:color="auto" w:fill="8DB3E2" w:themeFill="text2" w:themeFillTint="66"/>
            <w:vAlign w:val="center"/>
            <w:hideMark/>
          </w:tcPr>
          <w:p w14:paraId="478E12C1" w14:textId="77777777" w:rsidR="00BB6BFE" w:rsidRPr="00933A33" w:rsidRDefault="00BB6BFE" w:rsidP="00236E38">
            <w:pPr>
              <w:spacing w:line="360" w:lineRule="auto"/>
              <w:jc w:val="center"/>
              <w:rPr>
                <w:rFonts w:asciiTheme="minorHAnsi" w:hAnsiTheme="minorHAnsi" w:cstheme="minorHAnsi"/>
                <w:b/>
                <w:color w:val="000000" w:themeColor="text1"/>
                <w:sz w:val="22"/>
                <w:szCs w:val="22"/>
                <w:lang w:eastAsia="en-IN"/>
              </w:rPr>
            </w:pPr>
            <w:r w:rsidRPr="00933A33">
              <w:rPr>
                <w:rFonts w:asciiTheme="minorHAnsi" w:hAnsiTheme="minorHAnsi" w:cstheme="minorHAnsi"/>
                <w:b/>
                <w:color w:val="000000" w:themeColor="text1"/>
                <w:sz w:val="22"/>
                <w:szCs w:val="22"/>
                <w:lang w:eastAsia="en-IN"/>
              </w:rPr>
              <w:t>Pole Stock as on May’ 2024</w:t>
            </w:r>
          </w:p>
        </w:tc>
      </w:tr>
      <w:tr w:rsidR="00BB6BFE" w:rsidRPr="00236E38" w14:paraId="0BB13A0F" w14:textId="77777777" w:rsidTr="00933A33">
        <w:trPr>
          <w:trHeight w:val="175"/>
        </w:trPr>
        <w:tc>
          <w:tcPr>
            <w:tcW w:w="2166" w:type="dxa"/>
            <w:tcBorders>
              <w:top w:val="nil"/>
              <w:left w:val="single" w:sz="4" w:space="0" w:color="auto"/>
              <w:bottom w:val="single" w:sz="4" w:space="0" w:color="auto"/>
              <w:right w:val="single" w:sz="4" w:space="0" w:color="auto"/>
            </w:tcBorders>
            <w:shd w:val="clear" w:color="auto" w:fill="auto"/>
            <w:vAlign w:val="center"/>
            <w:hideMark/>
          </w:tcPr>
          <w:p w14:paraId="2A4A2E25" w14:textId="77777777" w:rsidR="00BB6BFE" w:rsidRPr="00236E38" w:rsidRDefault="00BB6BFE" w:rsidP="00236E38">
            <w:pPr>
              <w:spacing w:line="360" w:lineRule="auto"/>
              <w:jc w:val="center"/>
              <w:rPr>
                <w:rFonts w:asciiTheme="minorHAnsi" w:hAnsiTheme="minorHAnsi" w:cstheme="minorHAnsi"/>
                <w:color w:val="000000"/>
                <w:sz w:val="22"/>
                <w:szCs w:val="22"/>
                <w:lang w:eastAsia="en-IN"/>
              </w:rPr>
            </w:pPr>
            <w:r w:rsidRPr="00236E38">
              <w:rPr>
                <w:rFonts w:asciiTheme="minorHAnsi" w:hAnsiTheme="minorHAnsi" w:cstheme="minorHAnsi"/>
                <w:color w:val="000000"/>
                <w:sz w:val="22"/>
                <w:szCs w:val="22"/>
                <w:lang w:eastAsia="en-IN"/>
              </w:rPr>
              <w:t>AED, Anandpur</w:t>
            </w:r>
          </w:p>
        </w:tc>
        <w:tc>
          <w:tcPr>
            <w:tcW w:w="3200" w:type="dxa"/>
            <w:tcBorders>
              <w:top w:val="nil"/>
              <w:left w:val="nil"/>
              <w:bottom w:val="single" w:sz="4" w:space="0" w:color="auto"/>
              <w:right w:val="single" w:sz="4" w:space="0" w:color="auto"/>
            </w:tcBorders>
            <w:shd w:val="clear" w:color="auto" w:fill="auto"/>
            <w:vAlign w:val="center"/>
            <w:hideMark/>
          </w:tcPr>
          <w:p w14:paraId="7AD90C71" w14:textId="77777777" w:rsidR="00BB6BFE" w:rsidRPr="00236E38" w:rsidRDefault="00BB6BFE" w:rsidP="00236E38">
            <w:pPr>
              <w:spacing w:line="360" w:lineRule="auto"/>
              <w:jc w:val="center"/>
              <w:rPr>
                <w:rFonts w:asciiTheme="minorHAnsi" w:hAnsiTheme="minorHAnsi" w:cstheme="minorHAnsi"/>
                <w:color w:val="000000"/>
                <w:sz w:val="22"/>
                <w:szCs w:val="22"/>
                <w:lang w:eastAsia="en-IN"/>
              </w:rPr>
            </w:pPr>
            <w:r w:rsidRPr="00236E38">
              <w:rPr>
                <w:rFonts w:asciiTheme="minorHAnsi" w:hAnsiTheme="minorHAnsi" w:cstheme="minorHAnsi"/>
                <w:color w:val="000000"/>
                <w:sz w:val="22"/>
                <w:szCs w:val="22"/>
                <w:lang w:eastAsia="en-IN"/>
              </w:rPr>
              <w:t>9</w:t>
            </w:r>
          </w:p>
        </w:tc>
        <w:tc>
          <w:tcPr>
            <w:tcW w:w="3200" w:type="dxa"/>
            <w:tcBorders>
              <w:top w:val="nil"/>
              <w:left w:val="nil"/>
              <w:bottom w:val="single" w:sz="4" w:space="0" w:color="auto"/>
              <w:right w:val="single" w:sz="4" w:space="0" w:color="auto"/>
            </w:tcBorders>
            <w:shd w:val="clear" w:color="auto" w:fill="auto"/>
            <w:vAlign w:val="center"/>
            <w:hideMark/>
          </w:tcPr>
          <w:p w14:paraId="73BF446F" w14:textId="77777777" w:rsidR="00BB6BFE" w:rsidRPr="00236E38" w:rsidRDefault="00BB6BFE" w:rsidP="00236E38">
            <w:pPr>
              <w:spacing w:line="360" w:lineRule="auto"/>
              <w:jc w:val="center"/>
              <w:rPr>
                <w:rFonts w:asciiTheme="minorHAnsi" w:hAnsiTheme="minorHAnsi" w:cstheme="minorHAnsi"/>
                <w:color w:val="000000"/>
                <w:sz w:val="22"/>
                <w:szCs w:val="22"/>
                <w:lang w:eastAsia="en-IN"/>
              </w:rPr>
            </w:pPr>
            <w:r w:rsidRPr="00236E38">
              <w:rPr>
                <w:rFonts w:asciiTheme="minorHAnsi" w:hAnsiTheme="minorHAnsi" w:cstheme="minorHAnsi"/>
                <w:color w:val="000000"/>
                <w:sz w:val="22"/>
                <w:szCs w:val="22"/>
                <w:lang w:eastAsia="en-IN"/>
              </w:rPr>
              <w:t>297</w:t>
            </w:r>
          </w:p>
        </w:tc>
      </w:tr>
      <w:tr w:rsidR="00BB6BFE" w:rsidRPr="00236E38" w14:paraId="6ED8E3F8" w14:textId="77777777" w:rsidTr="00933A33">
        <w:trPr>
          <w:trHeight w:val="175"/>
        </w:trPr>
        <w:tc>
          <w:tcPr>
            <w:tcW w:w="2166" w:type="dxa"/>
            <w:tcBorders>
              <w:top w:val="nil"/>
              <w:left w:val="single" w:sz="4" w:space="0" w:color="auto"/>
              <w:bottom w:val="single" w:sz="4" w:space="0" w:color="auto"/>
              <w:right w:val="single" w:sz="4" w:space="0" w:color="auto"/>
            </w:tcBorders>
            <w:shd w:val="clear" w:color="auto" w:fill="auto"/>
            <w:vAlign w:val="center"/>
            <w:hideMark/>
          </w:tcPr>
          <w:p w14:paraId="290CFBEF" w14:textId="77777777" w:rsidR="00BB6BFE" w:rsidRPr="00236E38" w:rsidRDefault="00BB6BFE" w:rsidP="00236E38">
            <w:pPr>
              <w:spacing w:line="360" w:lineRule="auto"/>
              <w:jc w:val="center"/>
              <w:rPr>
                <w:rFonts w:asciiTheme="minorHAnsi" w:hAnsiTheme="minorHAnsi" w:cstheme="minorHAnsi"/>
                <w:color w:val="000000"/>
                <w:sz w:val="22"/>
                <w:szCs w:val="22"/>
                <w:lang w:eastAsia="en-IN"/>
              </w:rPr>
            </w:pPr>
            <w:r w:rsidRPr="00236E38">
              <w:rPr>
                <w:rFonts w:asciiTheme="minorHAnsi" w:hAnsiTheme="minorHAnsi" w:cstheme="minorHAnsi"/>
                <w:color w:val="000000"/>
                <w:sz w:val="22"/>
                <w:szCs w:val="22"/>
                <w:lang w:eastAsia="en-IN"/>
              </w:rPr>
              <w:t xml:space="preserve">KED </w:t>
            </w:r>
            <w:proofErr w:type="spellStart"/>
            <w:r w:rsidRPr="00236E38">
              <w:rPr>
                <w:rFonts w:asciiTheme="minorHAnsi" w:hAnsiTheme="minorHAnsi" w:cstheme="minorHAnsi"/>
                <w:color w:val="000000"/>
                <w:sz w:val="22"/>
                <w:szCs w:val="22"/>
                <w:lang w:eastAsia="en-IN"/>
              </w:rPr>
              <w:t>Keonjhar</w:t>
            </w:r>
            <w:proofErr w:type="spellEnd"/>
          </w:p>
        </w:tc>
        <w:tc>
          <w:tcPr>
            <w:tcW w:w="3200" w:type="dxa"/>
            <w:tcBorders>
              <w:top w:val="nil"/>
              <w:left w:val="nil"/>
              <w:bottom w:val="single" w:sz="4" w:space="0" w:color="auto"/>
              <w:right w:val="single" w:sz="4" w:space="0" w:color="auto"/>
            </w:tcBorders>
            <w:shd w:val="clear" w:color="auto" w:fill="auto"/>
            <w:vAlign w:val="center"/>
            <w:hideMark/>
          </w:tcPr>
          <w:p w14:paraId="7229D949" w14:textId="77777777" w:rsidR="00BB6BFE" w:rsidRPr="00236E38" w:rsidRDefault="00BB6BFE" w:rsidP="00236E38">
            <w:pPr>
              <w:spacing w:line="360" w:lineRule="auto"/>
              <w:jc w:val="center"/>
              <w:rPr>
                <w:rFonts w:asciiTheme="minorHAnsi" w:hAnsiTheme="minorHAnsi" w:cstheme="minorHAnsi"/>
                <w:color w:val="000000"/>
                <w:sz w:val="22"/>
                <w:szCs w:val="22"/>
                <w:lang w:eastAsia="en-IN"/>
              </w:rPr>
            </w:pPr>
            <w:r w:rsidRPr="00236E38">
              <w:rPr>
                <w:rFonts w:asciiTheme="minorHAnsi" w:hAnsiTheme="minorHAnsi" w:cstheme="minorHAnsi"/>
                <w:color w:val="000000"/>
                <w:sz w:val="22"/>
                <w:szCs w:val="22"/>
                <w:lang w:eastAsia="en-IN"/>
              </w:rPr>
              <w:t>9</w:t>
            </w:r>
          </w:p>
        </w:tc>
        <w:tc>
          <w:tcPr>
            <w:tcW w:w="3200" w:type="dxa"/>
            <w:tcBorders>
              <w:top w:val="nil"/>
              <w:left w:val="nil"/>
              <w:bottom w:val="single" w:sz="4" w:space="0" w:color="auto"/>
              <w:right w:val="single" w:sz="4" w:space="0" w:color="auto"/>
            </w:tcBorders>
            <w:shd w:val="clear" w:color="auto" w:fill="auto"/>
            <w:vAlign w:val="center"/>
            <w:hideMark/>
          </w:tcPr>
          <w:p w14:paraId="4A81C113" w14:textId="77777777" w:rsidR="00BB6BFE" w:rsidRPr="00236E38" w:rsidRDefault="00BB6BFE" w:rsidP="00236E38">
            <w:pPr>
              <w:spacing w:line="360" w:lineRule="auto"/>
              <w:jc w:val="center"/>
              <w:rPr>
                <w:rFonts w:asciiTheme="minorHAnsi" w:hAnsiTheme="minorHAnsi" w:cstheme="minorHAnsi"/>
                <w:color w:val="000000"/>
                <w:sz w:val="22"/>
                <w:szCs w:val="22"/>
                <w:lang w:eastAsia="en-IN"/>
              </w:rPr>
            </w:pPr>
            <w:r w:rsidRPr="00236E38">
              <w:rPr>
                <w:rFonts w:asciiTheme="minorHAnsi" w:hAnsiTheme="minorHAnsi" w:cstheme="minorHAnsi"/>
                <w:color w:val="000000"/>
                <w:sz w:val="22"/>
                <w:szCs w:val="22"/>
                <w:lang w:eastAsia="en-IN"/>
              </w:rPr>
              <w:t>179</w:t>
            </w:r>
          </w:p>
        </w:tc>
      </w:tr>
      <w:tr w:rsidR="00BB6BFE" w:rsidRPr="00236E38" w14:paraId="7F4E8097" w14:textId="77777777" w:rsidTr="00933A33">
        <w:trPr>
          <w:trHeight w:val="175"/>
        </w:trPr>
        <w:tc>
          <w:tcPr>
            <w:tcW w:w="2166" w:type="dxa"/>
            <w:tcBorders>
              <w:top w:val="nil"/>
              <w:left w:val="single" w:sz="4" w:space="0" w:color="auto"/>
              <w:bottom w:val="single" w:sz="4" w:space="0" w:color="auto"/>
              <w:right w:val="single" w:sz="4" w:space="0" w:color="auto"/>
            </w:tcBorders>
            <w:shd w:val="clear" w:color="auto" w:fill="auto"/>
            <w:vAlign w:val="center"/>
            <w:hideMark/>
          </w:tcPr>
          <w:p w14:paraId="11AE9AC8" w14:textId="77777777" w:rsidR="00BB6BFE" w:rsidRPr="00236E38" w:rsidRDefault="00BB6BFE" w:rsidP="00236E38">
            <w:pPr>
              <w:spacing w:line="360" w:lineRule="auto"/>
              <w:jc w:val="center"/>
              <w:rPr>
                <w:rFonts w:asciiTheme="minorHAnsi" w:hAnsiTheme="minorHAnsi" w:cstheme="minorHAnsi"/>
                <w:color w:val="000000"/>
                <w:sz w:val="22"/>
                <w:szCs w:val="22"/>
                <w:lang w:eastAsia="en-IN"/>
              </w:rPr>
            </w:pPr>
            <w:r w:rsidRPr="00236E38">
              <w:rPr>
                <w:rFonts w:asciiTheme="minorHAnsi" w:hAnsiTheme="minorHAnsi" w:cstheme="minorHAnsi"/>
                <w:color w:val="000000"/>
                <w:sz w:val="22"/>
                <w:szCs w:val="22"/>
                <w:lang w:eastAsia="en-IN"/>
              </w:rPr>
              <w:t xml:space="preserve">JED </w:t>
            </w:r>
            <w:proofErr w:type="spellStart"/>
            <w:r w:rsidRPr="00236E38">
              <w:rPr>
                <w:rFonts w:asciiTheme="minorHAnsi" w:hAnsiTheme="minorHAnsi" w:cstheme="minorHAnsi"/>
                <w:color w:val="000000"/>
                <w:sz w:val="22"/>
                <w:szCs w:val="22"/>
                <w:lang w:eastAsia="en-IN"/>
              </w:rPr>
              <w:t>Joda</w:t>
            </w:r>
            <w:proofErr w:type="spellEnd"/>
          </w:p>
        </w:tc>
        <w:tc>
          <w:tcPr>
            <w:tcW w:w="3200" w:type="dxa"/>
            <w:tcBorders>
              <w:top w:val="nil"/>
              <w:left w:val="nil"/>
              <w:bottom w:val="single" w:sz="4" w:space="0" w:color="auto"/>
              <w:right w:val="single" w:sz="4" w:space="0" w:color="auto"/>
            </w:tcBorders>
            <w:shd w:val="clear" w:color="auto" w:fill="auto"/>
            <w:vAlign w:val="center"/>
            <w:hideMark/>
          </w:tcPr>
          <w:p w14:paraId="72749D88" w14:textId="77777777" w:rsidR="00BB6BFE" w:rsidRPr="00236E38" w:rsidRDefault="00BB6BFE" w:rsidP="00236E38">
            <w:pPr>
              <w:spacing w:line="360" w:lineRule="auto"/>
              <w:jc w:val="center"/>
              <w:rPr>
                <w:rFonts w:asciiTheme="minorHAnsi" w:hAnsiTheme="minorHAnsi" w:cstheme="minorHAnsi"/>
                <w:color w:val="000000"/>
                <w:sz w:val="22"/>
                <w:szCs w:val="22"/>
                <w:lang w:eastAsia="en-IN"/>
              </w:rPr>
            </w:pPr>
            <w:r w:rsidRPr="00236E38">
              <w:rPr>
                <w:rFonts w:asciiTheme="minorHAnsi" w:hAnsiTheme="minorHAnsi" w:cstheme="minorHAnsi"/>
                <w:color w:val="000000"/>
                <w:sz w:val="22"/>
                <w:szCs w:val="22"/>
                <w:lang w:eastAsia="en-IN"/>
              </w:rPr>
              <w:t>8</w:t>
            </w:r>
          </w:p>
        </w:tc>
        <w:tc>
          <w:tcPr>
            <w:tcW w:w="3200" w:type="dxa"/>
            <w:tcBorders>
              <w:top w:val="nil"/>
              <w:left w:val="nil"/>
              <w:bottom w:val="single" w:sz="4" w:space="0" w:color="auto"/>
              <w:right w:val="single" w:sz="4" w:space="0" w:color="auto"/>
            </w:tcBorders>
            <w:shd w:val="clear" w:color="auto" w:fill="auto"/>
            <w:vAlign w:val="center"/>
            <w:hideMark/>
          </w:tcPr>
          <w:p w14:paraId="7ECC510E" w14:textId="77777777" w:rsidR="00BB6BFE" w:rsidRPr="00236E38" w:rsidRDefault="00BB6BFE" w:rsidP="00236E38">
            <w:pPr>
              <w:spacing w:line="360" w:lineRule="auto"/>
              <w:jc w:val="center"/>
              <w:rPr>
                <w:rFonts w:asciiTheme="minorHAnsi" w:hAnsiTheme="minorHAnsi" w:cstheme="minorHAnsi"/>
                <w:color w:val="000000"/>
                <w:sz w:val="22"/>
                <w:szCs w:val="22"/>
                <w:lang w:eastAsia="en-IN"/>
              </w:rPr>
            </w:pPr>
            <w:r w:rsidRPr="00236E38">
              <w:rPr>
                <w:rFonts w:asciiTheme="minorHAnsi" w:hAnsiTheme="minorHAnsi" w:cstheme="minorHAnsi"/>
                <w:color w:val="000000"/>
                <w:sz w:val="22"/>
                <w:szCs w:val="22"/>
                <w:lang w:eastAsia="en-IN"/>
              </w:rPr>
              <w:t>28</w:t>
            </w:r>
          </w:p>
        </w:tc>
      </w:tr>
      <w:tr w:rsidR="00BB6BFE" w:rsidRPr="00236E38" w14:paraId="7F8A8CA9" w14:textId="77777777" w:rsidTr="00933A33">
        <w:trPr>
          <w:trHeight w:val="175"/>
        </w:trPr>
        <w:tc>
          <w:tcPr>
            <w:tcW w:w="2166" w:type="dxa"/>
            <w:tcBorders>
              <w:top w:val="nil"/>
              <w:left w:val="single" w:sz="4" w:space="0" w:color="auto"/>
              <w:bottom w:val="single" w:sz="4" w:space="0" w:color="auto"/>
              <w:right w:val="single" w:sz="4" w:space="0" w:color="auto"/>
            </w:tcBorders>
            <w:shd w:val="clear" w:color="auto" w:fill="auto"/>
            <w:vAlign w:val="center"/>
            <w:hideMark/>
          </w:tcPr>
          <w:p w14:paraId="01A82076" w14:textId="77777777" w:rsidR="00BB6BFE" w:rsidRPr="00236E38" w:rsidRDefault="00BB6BFE" w:rsidP="00236E38">
            <w:pPr>
              <w:spacing w:line="360" w:lineRule="auto"/>
              <w:jc w:val="center"/>
              <w:rPr>
                <w:rFonts w:asciiTheme="minorHAnsi" w:hAnsiTheme="minorHAnsi" w:cstheme="minorHAnsi"/>
                <w:color w:val="000000"/>
                <w:sz w:val="22"/>
                <w:szCs w:val="22"/>
                <w:lang w:eastAsia="en-IN"/>
              </w:rPr>
            </w:pPr>
            <w:r w:rsidRPr="00236E38">
              <w:rPr>
                <w:rFonts w:asciiTheme="minorHAnsi" w:hAnsiTheme="minorHAnsi" w:cstheme="minorHAnsi"/>
                <w:color w:val="000000"/>
                <w:sz w:val="22"/>
                <w:szCs w:val="22"/>
                <w:lang w:eastAsia="en-IN"/>
              </w:rPr>
              <w:t xml:space="preserve">BED </w:t>
            </w:r>
            <w:proofErr w:type="spellStart"/>
            <w:r w:rsidRPr="00236E38">
              <w:rPr>
                <w:rFonts w:asciiTheme="minorHAnsi" w:hAnsiTheme="minorHAnsi" w:cstheme="minorHAnsi"/>
                <w:color w:val="000000"/>
                <w:sz w:val="22"/>
                <w:szCs w:val="22"/>
                <w:lang w:eastAsia="en-IN"/>
              </w:rPr>
              <w:t>Balasore</w:t>
            </w:r>
            <w:proofErr w:type="spellEnd"/>
          </w:p>
        </w:tc>
        <w:tc>
          <w:tcPr>
            <w:tcW w:w="3200" w:type="dxa"/>
            <w:tcBorders>
              <w:top w:val="nil"/>
              <w:left w:val="nil"/>
              <w:bottom w:val="single" w:sz="4" w:space="0" w:color="auto"/>
              <w:right w:val="single" w:sz="4" w:space="0" w:color="auto"/>
            </w:tcBorders>
            <w:shd w:val="clear" w:color="auto" w:fill="auto"/>
            <w:vAlign w:val="center"/>
            <w:hideMark/>
          </w:tcPr>
          <w:p w14:paraId="29F20F3B" w14:textId="77777777" w:rsidR="00BB6BFE" w:rsidRPr="00236E38" w:rsidRDefault="00BB6BFE" w:rsidP="00236E38">
            <w:pPr>
              <w:spacing w:line="360" w:lineRule="auto"/>
              <w:jc w:val="center"/>
              <w:rPr>
                <w:rFonts w:asciiTheme="minorHAnsi" w:hAnsiTheme="minorHAnsi" w:cstheme="minorHAnsi"/>
                <w:color w:val="000000"/>
                <w:sz w:val="22"/>
                <w:szCs w:val="22"/>
                <w:lang w:eastAsia="en-IN"/>
              </w:rPr>
            </w:pPr>
            <w:r w:rsidRPr="00236E38">
              <w:rPr>
                <w:rFonts w:asciiTheme="minorHAnsi" w:hAnsiTheme="minorHAnsi" w:cstheme="minorHAnsi"/>
                <w:color w:val="000000"/>
                <w:sz w:val="22"/>
                <w:szCs w:val="22"/>
                <w:lang w:eastAsia="en-IN"/>
              </w:rPr>
              <w:t>8</w:t>
            </w:r>
          </w:p>
        </w:tc>
        <w:tc>
          <w:tcPr>
            <w:tcW w:w="3200" w:type="dxa"/>
            <w:tcBorders>
              <w:top w:val="nil"/>
              <w:left w:val="nil"/>
              <w:bottom w:val="single" w:sz="4" w:space="0" w:color="auto"/>
              <w:right w:val="single" w:sz="4" w:space="0" w:color="auto"/>
            </w:tcBorders>
            <w:shd w:val="clear" w:color="auto" w:fill="auto"/>
            <w:vAlign w:val="center"/>
            <w:hideMark/>
          </w:tcPr>
          <w:p w14:paraId="463F2566" w14:textId="77777777" w:rsidR="00BB6BFE" w:rsidRPr="00236E38" w:rsidRDefault="00BB6BFE" w:rsidP="00236E38">
            <w:pPr>
              <w:spacing w:line="360" w:lineRule="auto"/>
              <w:jc w:val="center"/>
              <w:rPr>
                <w:rFonts w:asciiTheme="minorHAnsi" w:hAnsiTheme="minorHAnsi" w:cstheme="minorHAnsi"/>
                <w:color w:val="000000"/>
                <w:sz w:val="22"/>
                <w:szCs w:val="22"/>
                <w:lang w:eastAsia="en-IN"/>
              </w:rPr>
            </w:pPr>
            <w:r w:rsidRPr="00236E38">
              <w:rPr>
                <w:rFonts w:asciiTheme="minorHAnsi" w:hAnsiTheme="minorHAnsi" w:cstheme="minorHAnsi"/>
                <w:color w:val="000000"/>
                <w:sz w:val="22"/>
                <w:szCs w:val="22"/>
                <w:lang w:eastAsia="en-IN"/>
              </w:rPr>
              <w:t>300</w:t>
            </w:r>
          </w:p>
        </w:tc>
      </w:tr>
      <w:tr w:rsidR="00BB6BFE" w:rsidRPr="00236E38" w14:paraId="2B1D3427" w14:textId="77777777" w:rsidTr="00933A33">
        <w:trPr>
          <w:trHeight w:val="175"/>
        </w:trPr>
        <w:tc>
          <w:tcPr>
            <w:tcW w:w="2166" w:type="dxa"/>
            <w:tcBorders>
              <w:top w:val="nil"/>
              <w:left w:val="single" w:sz="4" w:space="0" w:color="auto"/>
              <w:bottom w:val="single" w:sz="4" w:space="0" w:color="auto"/>
              <w:right w:val="single" w:sz="4" w:space="0" w:color="auto"/>
            </w:tcBorders>
            <w:shd w:val="clear" w:color="auto" w:fill="auto"/>
            <w:vAlign w:val="center"/>
            <w:hideMark/>
          </w:tcPr>
          <w:p w14:paraId="01432663" w14:textId="77777777" w:rsidR="00BB6BFE" w:rsidRPr="00236E38" w:rsidRDefault="00BB6BFE" w:rsidP="00236E38">
            <w:pPr>
              <w:spacing w:line="360" w:lineRule="auto"/>
              <w:jc w:val="center"/>
              <w:rPr>
                <w:rFonts w:asciiTheme="minorHAnsi" w:hAnsiTheme="minorHAnsi" w:cstheme="minorHAnsi"/>
                <w:color w:val="000000"/>
                <w:sz w:val="22"/>
                <w:szCs w:val="22"/>
                <w:lang w:eastAsia="en-IN"/>
              </w:rPr>
            </w:pPr>
            <w:r w:rsidRPr="00236E38">
              <w:rPr>
                <w:rFonts w:asciiTheme="minorHAnsi" w:hAnsiTheme="minorHAnsi" w:cstheme="minorHAnsi"/>
                <w:color w:val="000000"/>
                <w:sz w:val="22"/>
                <w:szCs w:val="22"/>
                <w:lang w:eastAsia="en-IN"/>
              </w:rPr>
              <w:t xml:space="preserve">CED </w:t>
            </w:r>
            <w:proofErr w:type="spellStart"/>
            <w:r w:rsidRPr="00236E38">
              <w:rPr>
                <w:rFonts w:asciiTheme="minorHAnsi" w:hAnsiTheme="minorHAnsi" w:cstheme="minorHAnsi"/>
                <w:color w:val="000000"/>
                <w:sz w:val="22"/>
                <w:szCs w:val="22"/>
                <w:lang w:eastAsia="en-IN"/>
              </w:rPr>
              <w:t>Balasore</w:t>
            </w:r>
            <w:proofErr w:type="spellEnd"/>
          </w:p>
        </w:tc>
        <w:tc>
          <w:tcPr>
            <w:tcW w:w="3200" w:type="dxa"/>
            <w:tcBorders>
              <w:top w:val="nil"/>
              <w:left w:val="nil"/>
              <w:bottom w:val="single" w:sz="4" w:space="0" w:color="auto"/>
              <w:right w:val="single" w:sz="4" w:space="0" w:color="auto"/>
            </w:tcBorders>
            <w:shd w:val="clear" w:color="auto" w:fill="auto"/>
            <w:vAlign w:val="center"/>
            <w:hideMark/>
          </w:tcPr>
          <w:p w14:paraId="0824422A" w14:textId="77777777" w:rsidR="00BB6BFE" w:rsidRPr="00236E38" w:rsidRDefault="00BB6BFE" w:rsidP="00236E38">
            <w:pPr>
              <w:spacing w:line="360" w:lineRule="auto"/>
              <w:jc w:val="center"/>
              <w:rPr>
                <w:rFonts w:asciiTheme="minorHAnsi" w:hAnsiTheme="minorHAnsi" w:cstheme="minorHAnsi"/>
                <w:color w:val="000000"/>
                <w:sz w:val="22"/>
                <w:szCs w:val="22"/>
                <w:lang w:eastAsia="en-IN"/>
              </w:rPr>
            </w:pPr>
            <w:r w:rsidRPr="00236E38">
              <w:rPr>
                <w:rFonts w:asciiTheme="minorHAnsi" w:hAnsiTheme="minorHAnsi" w:cstheme="minorHAnsi"/>
                <w:color w:val="000000"/>
                <w:sz w:val="22"/>
                <w:szCs w:val="22"/>
                <w:lang w:eastAsia="en-IN"/>
              </w:rPr>
              <w:t>11</w:t>
            </w:r>
          </w:p>
        </w:tc>
        <w:tc>
          <w:tcPr>
            <w:tcW w:w="3200" w:type="dxa"/>
            <w:tcBorders>
              <w:top w:val="nil"/>
              <w:left w:val="nil"/>
              <w:bottom w:val="single" w:sz="4" w:space="0" w:color="auto"/>
              <w:right w:val="single" w:sz="4" w:space="0" w:color="auto"/>
            </w:tcBorders>
            <w:shd w:val="clear" w:color="auto" w:fill="auto"/>
            <w:vAlign w:val="center"/>
            <w:hideMark/>
          </w:tcPr>
          <w:p w14:paraId="720B0073" w14:textId="77777777" w:rsidR="00BB6BFE" w:rsidRPr="00236E38" w:rsidRDefault="00BB6BFE" w:rsidP="00236E38">
            <w:pPr>
              <w:spacing w:line="360" w:lineRule="auto"/>
              <w:jc w:val="center"/>
              <w:rPr>
                <w:rFonts w:asciiTheme="minorHAnsi" w:hAnsiTheme="minorHAnsi" w:cstheme="minorHAnsi"/>
                <w:color w:val="000000"/>
                <w:sz w:val="22"/>
                <w:szCs w:val="22"/>
                <w:lang w:eastAsia="en-IN"/>
              </w:rPr>
            </w:pPr>
            <w:r w:rsidRPr="00236E38">
              <w:rPr>
                <w:rFonts w:asciiTheme="minorHAnsi" w:hAnsiTheme="minorHAnsi" w:cstheme="minorHAnsi"/>
                <w:color w:val="000000"/>
                <w:sz w:val="22"/>
                <w:szCs w:val="22"/>
                <w:lang w:eastAsia="en-IN"/>
              </w:rPr>
              <w:t>407</w:t>
            </w:r>
          </w:p>
        </w:tc>
      </w:tr>
      <w:tr w:rsidR="00BB6BFE" w:rsidRPr="00236E38" w14:paraId="2B7ED1DD" w14:textId="77777777" w:rsidTr="00933A33">
        <w:trPr>
          <w:trHeight w:val="175"/>
        </w:trPr>
        <w:tc>
          <w:tcPr>
            <w:tcW w:w="2166" w:type="dxa"/>
            <w:tcBorders>
              <w:top w:val="nil"/>
              <w:left w:val="single" w:sz="4" w:space="0" w:color="auto"/>
              <w:bottom w:val="single" w:sz="4" w:space="0" w:color="auto"/>
              <w:right w:val="single" w:sz="4" w:space="0" w:color="auto"/>
            </w:tcBorders>
            <w:shd w:val="clear" w:color="auto" w:fill="auto"/>
            <w:vAlign w:val="center"/>
            <w:hideMark/>
          </w:tcPr>
          <w:p w14:paraId="1A667B7C" w14:textId="77777777" w:rsidR="00BB6BFE" w:rsidRPr="00236E38" w:rsidRDefault="00BB6BFE" w:rsidP="00236E38">
            <w:pPr>
              <w:spacing w:line="360" w:lineRule="auto"/>
              <w:jc w:val="center"/>
              <w:rPr>
                <w:rFonts w:asciiTheme="minorHAnsi" w:hAnsiTheme="minorHAnsi" w:cstheme="minorHAnsi"/>
                <w:color w:val="000000"/>
                <w:sz w:val="22"/>
                <w:szCs w:val="22"/>
                <w:lang w:eastAsia="en-IN"/>
              </w:rPr>
            </w:pPr>
            <w:r w:rsidRPr="00236E38">
              <w:rPr>
                <w:rFonts w:asciiTheme="minorHAnsi" w:hAnsiTheme="minorHAnsi" w:cstheme="minorHAnsi"/>
                <w:color w:val="000000"/>
                <w:sz w:val="22"/>
                <w:szCs w:val="22"/>
                <w:lang w:eastAsia="en-IN"/>
              </w:rPr>
              <w:t xml:space="preserve">BTED </w:t>
            </w:r>
            <w:proofErr w:type="spellStart"/>
            <w:r w:rsidRPr="00236E38">
              <w:rPr>
                <w:rFonts w:asciiTheme="minorHAnsi" w:hAnsiTheme="minorHAnsi" w:cstheme="minorHAnsi"/>
                <w:color w:val="000000"/>
                <w:sz w:val="22"/>
                <w:szCs w:val="22"/>
                <w:lang w:eastAsia="en-IN"/>
              </w:rPr>
              <w:t>Basta</w:t>
            </w:r>
            <w:proofErr w:type="spellEnd"/>
          </w:p>
        </w:tc>
        <w:tc>
          <w:tcPr>
            <w:tcW w:w="3200" w:type="dxa"/>
            <w:tcBorders>
              <w:top w:val="nil"/>
              <w:left w:val="nil"/>
              <w:bottom w:val="single" w:sz="4" w:space="0" w:color="auto"/>
              <w:right w:val="single" w:sz="4" w:space="0" w:color="auto"/>
            </w:tcBorders>
            <w:shd w:val="clear" w:color="auto" w:fill="auto"/>
            <w:vAlign w:val="center"/>
            <w:hideMark/>
          </w:tcPr>
          <w:p w14:paraId="689C0A2D" w14:textId="77777777" w:rsidR="00BB6BFE" w:rsidRPr="00236E38" w:rsidRDefault="00BB6BFE" w:rsidP="00236E38">
            <w:pPr>
              <w:spacing w:line="360" w:lineRule="auto"/>
              <w:jc w:val="center"/>
              <w:rPr>
                <w:rFonts w:asciiTheme="minorHAnsi" w:hAnsiTheme="minorHAnsi" w:cstheme="minorHAnsi"/>
                <w:color w:val="000000"/>
                <w:sz w:val="22"/>
                <w:szCs w:val="22"/>
                <w:lang w:eastAsia="en-IN"/>
              </w:rPr>
            </w:pPr>
            <w:r w:rsidRPr="00236E38">
              <w:rPr>
                <w:rFonts w:asciiTheme="minorHAnsi" w:hAnsiTheme="minorHAnsi" w:cstheme="minorHAnsi"/>
                <w:color w:val="000000"/>
                <w:sz w:val="22"/>
                <w:szCs w:val="22"/>
                <w:lang w:eastAsia="en-IN"/>
              </w:rPr>
              <w:t>6</w:t>
            </w:r>
          </w:p>
        </w:tc>
        <w:tc>
          <w:tcPr>
            <w:tcW w:w="3200" w:type="dxa"/>
            <w:tcBorders>
              <w:top w:val="nil"/>
              <w:left w:val="nil"/>
              <w:bottom w:val="single" w:sz="4" w:space="0" w:color="auto"/>
              <w:right w:val="single" w:sz="4" w:space="0" w:color="auto"/>
            </w:tcBorders>
            <w:shd w:val="clear" w:color="auto" w:fill="auto"/>
            <w:vAlign w:val="center"/>
            <w:hideMark/>
          </w:tcPr>
          <w:p w14:paraId="453F6126" w14:textId="77777777" w:rsidR="00BB6BFE" w:rsidRPr="00236E38" w:rsidRDefault="00BB6BFE" w:rsidP="00236E38">
            <w:pPr>
              <w:spacing w:line="360" w:lineRule="auto"/>
              <w:jc w:val="center"/>
              <w:rPr>
                <w:rFonts w:asciiTheme="minorHAnsi" w:hAnsiTheme="minorHAnsi" w:cstheme="minorHAnsi"/>
                <w:color w:val="000000"/>
                <w:sz w:val="22"/>
                <w:szCs w:val="22"/>
                <w:lang w:eastAsia="en-IN"/>
              </w:rPr>
            </w:pPr>
            <w:r w:rsidRPr="00236E38">
              <w:rPr>
                <w:rFonts w:asciiTheme="minorHAnsi" w:hAnsiTheme="minorHAnsi" w:cstheme="minorHAnsi"/>
                <w:color w:val="000000"/>
                <w:sz w:val="22"/>
                <w:szCs w:val="22"/>
                <w:lang w:eastAsia="en-IN"/>
              </w:rPr>
              <w:t>120</w:t>
            </w:r>
          </w:p>
        </w:tc>
      </w:tr>
      <w:tr w:rsidR="00BB6BFE" w:rsidRPr="00236E38" w14:paraId="33F7FADE" w14:textId="77777777" w:rsidTr="00933A33">
        <w:trPr>
          <w:trHeight w:val="175"/>
        </w:trPr>
        <w:tc>
          <w:tcPr>
            <w:tcW w:w="2166" w:type="dxa"/>
            <w:tcBorders>
              <w:top w:val="nil"/>
              <w:left w:val="single" w:sz="4" w:space="0" w:color="auto"/>
              <w:bottom w:val="single" w:sz="4" w:space="0" w:color="auto"/>
              <w:right w:val="single" w:sz="4" w:space="0" w:color="auto"/>
            </w:tcBorders>
            <w:shd w:val="clear" w:color="auto" w:fill="auto"/>
            <w:vAlign w:val="center"/>
            <w:hideMark/>
          </w:tcPr>
          <w:p w14:paraId="3B45C3B5" w14:textId="77777777" w:rsidR="00BB6BFE" w:rsidRPr="00236E38" w:rsidRDefault="00BB6BFE" w:rsidP="00236E38">
            <w:pPr>
              <w:spacing w:line="360" w:lineRule="auto"/>
              <w:jc w:val="center"/>
              <w:rPr>
                <w:rFonts w:asciiTheme="minorHAnsi" w:hAnsiTheme="minorHAnsi" w:cstheme="minorHAnsi"/>
                <w:color w:val="000000"/>
                <w:sz w:val="22"/>
                <w:szCs w:val="22"/>
                <w:lang w:eastAsia="en-IN"/>
              </w:rPr>
            </w:pPr>
            <w:r w:rsidRPr="00236E38">
              <w:rPr>
                <w:rFonts w:asciiTheme="minorHAnsi" w:hAnsiTheme="minorHAnsi" w:cstheme="minorHAnsi"/>
                <w:color w:val="000000"/>
                <w:sz w:val="22"/>
                <w:szCs w:val="22"/>
                <w:lang w:eastAsia="en-IN"/>
              </w:rPr>
              <w:t xml:space="preserve">SED </w:t>
            </w:r>
            <w:proofErr w:type="spellStart"/>
            <w:r w:rsidRPr="00236E38">
              <w:rPr>
                <w:rFonts w:asciiTheme="minorHAnsi" w:hAnsiTheme="minorHAnsi" w:cstheme="minorHAnsi"/>
                <w:color w:val="000000"/>
                <w:sz w:val="22"/>
                <w:szCs w:val="22"/>
                <w:lang w:eastAsia="en-IN"/>
              </w:rPr>
              <w:t>Soro</w:t>
            </w:r>
            <w:proofErr w:type="spellEnd"/>
          </w:p>
        </w:tc>
        <w:tc>
          <w:tcPr>
            <w:tcW w:w="3200" w:type="dxa"/>
            <w:tcBorders>
              <w:top w:val="nil"/>
              <w:left w:val="nil"/>
              <w:bottom w:val="single" w:sz="4" w:space="0" w:color="auto"/>
              <w:right w:val="single" w:sz="4" w:space="0" w:color="auto"/>
            </w:tcBorders>
            <w:shd w:val="clear" w:color="auto" w:fill="auto"/>
            <w:vAlign w:val="center"/>
            <w:hideMark/>
          </w:tcPr>
          <w:p w14:paraId="7E71C7F9" w14:textId="77777777" w:rsidR="00BB6BFE" w:rsidRPr="00236E38" w:rsidRDefault="00BB6BFE" w:rsidP="00236E38">
            <w:pPr>
              <w:spacing w:line="360" w:lineRule="auto"/>
              <w:jc w:val="center"/>
              <w:rPr>
                <w:rFonts w:asciiTheme="minorHAnsi" w:hAnsiTheme="minorHAnsi" w:cstheme="minorHAnsi"/>
                <w:color w:val="000000"/>
                <w:sz w:val="22"/>
                <w:szCs w:val="22"/>
                <w:lang w:eastAsia="en-IN"/>
              </w:rPr>
            </w:pPr>
            <w:r w:rsidRPr="00236E38">
              <w:rPr>
                <w:rFonts w:asciiTheme="minorHAnsi" w:hAnsiTheme="minorHAnsi" w:cstheme="minorHAnsi"/>
                <w:color w:val="000000"/>
                <w:sz w:val="22"/>
                <w:szCs w:val="22"/>
                <w:lang w:eastAsia="en-IN"/>
              </w:rPr>
              <w:t>15</w:t>
            </w:r>
          </w:p>
        </w:tc>
        <w:tc>
          <w:tcPr>
            <w:tcW w:w="3200" w:type="dxa"/>
            <w:tcBorders>
              <w:top w:val="nil"/>
              <w:left w:val="nil"/>
              <w:bottom w:val="single" w:sz="4" w:space="0" w:color="auto"/>
              <w:right w:val="single" w:sz="4" w:space="0" w:color="auto"/>
            </w:tcBorders>
            <w:shd w:val="clear" w:color="auto" w:fill="auto"/>
            <w:vAlign w:val="center"/>
            <w:hideMark/>
          </w:tcPr>
          <w:p w14:paraId="6E1197C3" w14:textId="77777777" w:rsidR="00BB6BFE" w:rsidRPr="00236E38" w:rsidRDefault="00BB6BFE" w:rsidP="00236E38">
            <w:pPr>
              <w:spacing w:line="360" w:lineRule="auto"/>
              <w:jc w:val="center"/>
              <w:rPr>
                <w:rFonts w:asciiTheme="minorHAnsi" w:hAnsiTheme="minorHAnsi" w:cstheme="minorHAnsi"/>
                <w:color w:val="000000"/>
                <w:sz w:val="22"/>
                <w:szCs w:val="22"/>
                <w:lang w:eastAsia="en-IN"/>
              </w:rPr>
            </w:pPr>
            <w:r w:rsidRPr="00236E38">
              <w:rPr>
                <w:rFonts w:asciiTheme="minorHAnsi" w:hAnsiTheme="minorHAnsi" w:cstheme="minorHAnsi"/>
                <w:color w:val="000000"/>
                <w:sz w:val="22"/>
                <w:szCs w:val="22"/>
                <w:lang w:eastAsia="en-IN"/>
              </w:rPr>
              <w:t>692</w:t>
            </w:r>
          </w:p>
        </w:tc>
      </w:tr>
      <w:tr w:rsidR="00BB6BFE" w:rsidRPr="00236E38" w14:paraId="3CFEBCE6" w14:textId="77777777" w:rsidTr="00933A33">
        <w:trPr>
          <w:trHeight w:val="175"/>
        </w:trPr>
        <w:tc>
          <w:tcPr>
            <w:tcW w:w="2166" w:type="dxa"/>
            <w:tcBorders>
              <w:top w:val="nil"/>
              <w:left w:val="single" w:sz="4" w:space="0" w:color="auto"/>
              <w:bottom w:val="single" w:sz="4" w:space="0" w:color="auto"/>
              <w:right w:val="single" w:sz="4" w:space="0" w:color="auto"/>
            </w:tcBorders>
            <w:shd w:val="clear" w:color="auto" w:fill="auto"/>
            <w:vAlign w:val="center"/>
            <w:hideMark/>
          </w:tcPr>
          <w:p w14:paraId="4B5FE732" w14:textId="77777777" w:rsidR="00BB6BFE" w:rsidRPr="00236E38" w:rsidRDefault="00BB6BFE" w:rsidP="00236E38">
            <w:pPr>
              <w:spacing w:line="360" w:lineRule="auto"/>
              <w:jc w:val="center"/>
              <w:rPr>
                <w:rFonts w:asciiTheme="minorHAnsi" w:hAnsiTheme="minorHAnsi" w:cstheme="minorHAnsi"/>
                <w:color w:val="000000"/>
                <w:sz w:val="22"/>
                <w:szCs w:val="22"/>
                <w:lang w:eastAsia="en-IN"/>
              </w:rPr>
            </w:pPr>
            <w:r w:rsidRPr="00236E38">
              <w:rPr>
                <w:rFonts w:asciiTheme="minorHAnsi" w:hAnsiTheme="minorHAnsi" w:cstheme="minorHAnsi"/>
                <w:color w:val="000000"/>
                <w:sz w:val="22"/>
                <w:szCs w:val="22"/>
                <w:lang w:eastAsia="en-IN"/>
              </w:rPr>
              <w:t xml:space="preserve">JED </w:t>
            </w:r>
            <w:proofErr w:type="spellStart"/>
            <w:r w:rsidRPr="00236E38">
              <w:rPr>
                <w:rFonts w:asciiTheme="minorHAnsi" w:hAnsiTheme="minorHAnsi" w:cstheme="minorHAnsi"/>
                <w:color w:val="000000"/>
                <w:sz w:val="22"/>
                <w:szCs w:val="22"/>
                <w:lang w:eastAsia="en-IN"/>
              </w:rPr>
              <w:t>Jaleswar</w:t>
            </w:r>
            <w:proofErr w:type="spellEnd"/>
          </w:p>
        </w:tc>
        <w:tc>
          <w:tcPr>
            <w:tcW w:w="3200" w:type="dxa"/>
            <w:tcBorders>
              <w:top w:val="nil"/>
              <w:left w:val="nil"/>
              <w:bottom w:val="single" w:sz="4" w:space="0" w:color="auto"/>
              <w:right w:val="single" w:sz="4" w:space="0" w:color="auto"/>
            </w:tcBorders>
            <w:shd w:val="clear" w:color="auto" w:fill="auto"/>
            <w:vAlign w:val="center"/>
            <w:hideMark/>
          </w:tcPr>
          <w:p w14:paraId="39354D1F" w14:textId="77777777" w:rsidR="00BB6BFE" w:rsidRPr="00236E38" w:rsidRDefault="00BB6BFE" w:rsidP="00236E38">
            <w:pPr>
              <w:spacing w:line="360" w:lineRule="auto"/>
              <w:jc w:val="center"/>
              <w:rPr>
                <w:rFonts w:asciiTheme="minorHAnsi" w:hAnsiTheme="minorHAnsi" w:cstheme="minorHAnsi"/>
                <w:color w:val="000000"/>
                <w:sz w:val="22"/>
                <w:szCs w:val="22"/>
                <w:lang w:eastAsia="en-IN"/>
              </w:rPr>
            </w:pPr>
            <w:r w:rsidRPr="00236E38">
              <w:rPr>
                <w:rFonts w:asciiTheme="minorHAnsi" w:hAnsiTheme="minorHAnsi" w:cstheme="minorHAnsi"/>
                <w:color w:val="000000"/>
                <w:sz w:val="22"/>
                <w:szCs w:val="22"/>
                <w:lang w:eastAsia="en-IN"/>
              </w:rPr>
              <w:t>9</w:t>
            </w:r>
          </w:p>
        </w:tc>
        <w:tc>
          <w:tcPr>
            <w:tcW w:w="3200" w:type="dxa"/>
            <w:tcBorders>
              <w:top w:val="nil"/>
              <w:left w:val="nil"/>
              <w:bottom w:val="single" w:sz="4" w:space="0" w:color="auto"/>
              <w:right w:val="single" w:sz="4" w:space="0" w:color="auto"/>
            </w:tcBorders>
            <w:shd w:val="clear" w:color="auto" w:fill="auto"/>
            <w:vAlign w:val="center"/>
            <w:hideMark/>
          </w:tcPr>
          <w:p w14:paraId="4CDC5D93" w14:textId="77777777" w:rsidR="00BB6BFE" w:rsidRPr="00236E38" w:rsidRDefault="00BB6BFE" w:rsidP="00236E38">
            <w:pPr>
              <w:spacing w:line="360" w:lineRule="auto"/>
              <w:jc w:val="center"/>
              <w:rPr>
                <w:rFonts w:asciiTheme="minorHAnsi" w:hAnsiTheme="minorHAnsi" w:cstheme="minorHAnsi"/>
                <w:color w:val="000000"/>
                <w:sz w:val="22"/>
                <w:szCs w:val="22"/>
                <w:lang w:eastAsia="en-IN"/>
              </w:rPr>
            </w:pPr>
            <w:r w:rsidRPr="00236E38">
              <w:rPr>
                <w:rFonts w:asciiTheme="minorHAnsi" w:hAnsiTheme="minorHAnsi" w:cstheme="minorHAnsi"/>
                <w:color w:val="000000"/>
                <w:sz w:val="22"/>
                <w:szCs w:val="22"/>
                <w:lang w:eastAsia="en-IN"/>
              </w:rPr>
              <w:t>526</w:t>
            </w:r>
          </w:p>
        </w:tc>
      </w:tr>
      <w:tr w:rsidR="00BB6BFE" w:rsidRPr="00236E38" w14:paraId="0BEDB833" w14:textId="77777777" w:rsidTr="00933A33">
        <w:trPr>
          <w:trHeight w:val="175"/>
        </w:trPr>
        <w:tc>
          <w:tcPr>
            <w:tcW w:w="2166" w:type="dxa"/>
            <w:tcBorders>
              <w:top w:val="nil"/>
              <w:left w:val="single" w:sz="4" w:space="0" w:color="auto"/>
              <w:bottom w:val="single" w:sz="4" w:space="0" w:color="auto"/>
              <w:right w:val="single" w:sz="4" w:space="0" w:color="auto"/>
            </w:tcBorders>
            <w:shd w:val="clear" w:color="auto" w:fill="auto"/>
            <w:vAlign w:val="center"/>
            <w:hideMark/>
          </w:tcPr>
          <w:p w14:paraId="13A19DFF" w14:textId="77777777" w:rsidR="00BB6BFE" w:rsidRPr="00236E38" w:rsidRDefault="00BB6BFE" w:rsidP="00236E38">
            <w:pPr>
              <w:spacing w:line="360" w:lineRule="auto"/>
              <w:jc w:val="center"/>
              <w:rPr>
                <w:rFonts w:asciiTheme="minorHAnsi" w:hAnsiTheme="minorHAnsi" w:cstheme="minorHAnsi"/>
                <w:color w:val="000000"/>
                <w:sz w:val="22"/>
                <w:szCs w:val="22"/>
                <w:lang w:eastAsia="en-IN"/>
              </w:rPr>
            </w:pPr>
            <w:r w:rsidRPr="00236E38">
              <w:rPr>
                <w:rFonts w:asciiTheme="minorHAnsi" w:hAnsiTheme="minorHAnsi" w:cstheme="minorHAnsi"/>
                <w:color w:val="000000"/>
                <w:sz w:val="22"/>
                <w:szCs w:val="22"/>
                <w:lang w:eastAsia="en-IN"/>
              </w:rPr>
              <w:t xml:space="preserve">BED </w:t>
            </w:r>
            <w:proofErr w:type="spellStart"/>
            <w:r w:rsidRPr="00236E38">
              <w:rPr>
                <w:rFonts w:asciiTheme="minorHAnsi" w:hAnsiTheme="minorHAnsi" w:cstheme="minorHAnsi"/>
                <w:color w:val="000000"/>
                <w:sz w:val="22"/>
                <w:szCs w:val="22"/>
                <w:lang w:eastAsia="en-IN"/>
              </w:rPr>
              <w:t>Baripada</w:t>
            </w:r>
            <w:proofErr w:type="spellEnd"/>
          </w:p>
        </w:tc>
        <w:tc>
          <w:tcPr>
            <w:tcW w:w="3200" w:type="dxa"/>
            <w:tcBorders>
              <w:top w:val="nil"/>
              <w:left w:val="nil"/>
              <w:bottom w:val="single" w:sz="4" w:space="0" w:color="auto"/>
              <w:right w:val="single" w:sz="4" w:space="0" w:color="auto"/>
            </w:tcBorders>
            <w:shd w:val="clear" w:color="auto" w:fill="auto"/>
            <w:vAlign w:val="center"/>
            <w:hideMark/>
          </w:tcPr>
          <w:p w14:paraId="3A36FC54" w14:textId="77777777" w:rsidR="00BB6BFE" w:rsidRPr="00236E38" w:rsidRDefault="00BB6BFE" w:rsidP="00236E38">
            <w:pPr>
              <w:spacing w:line="360" w:lineRule="auto"/>
              <w:jc w:val="center"/>
              <w:rPr>
                <w:rFonts w:asciiTheme="minorHAnsi" w:hAnsiTheme="minorHAnsi" w:cstheme="minorHAnsi"/>
                <w:color w:val="000000"/>
                <w:sz w:val="22"/>
                <w:szCs w:val="22"/>
                <w:lang w:eastAsia="en-IN"/>
              </w:rPr>
            </w:pPr>
            <w:r w:rsidRPr="00236E38">
              <w:rPr>
                <w:rFonts w:asciiTheme="minorHAnsi" w:hAnsiTheme="minorHAnsi" w:cstheme="minorHAnsi"/>
                <w:color w:val="000000"/>
                <w:sz w:val="22"/>
                <w:szCs w:val="22"/>
                <w:lang w:eastAsia="en-IN"/>
              </w:rPr>
              <w:t>17</w:t>
            </w:r>
          </w:p>
        </w:tc>
        <w:tc>
          <w:tcPr>
            <w:tcW w:w="3200" w:type="dxa"/>
            <w:tcBorders>
              <w:top w:val="nil"/>
              <w:left w:val="nil"/>
              <w:bottom w:val="single" w:sz="4" w:space="0" w:color="auto"/>
              <w:right w:val="single" w:sz="4" w:space="0" w:color="auto"/>
            </w:tcBorders>
            <w:shd w:val="clear" w:color="auto" w:fill="auto"/>
            <w:vAlign w:val="center"/>
            <w:hideMark/>
          </w:tcPr>
          <w:p w14:paraId="6A7B014C" w14:textId="77777777" w:rsidR="00BB6BFE" w:rsidRPr="00236E38" w:rsidRDefault="00BB6BFE" w:rsidP="00236E38">
            <w:pPr>
              <w:spacing w:line="360" w:lineRule="auto"/>
              <w:jc w:val="center"/>
              <w:rPr>
                <w:rFonts w:asciiTheme="minorHAnsi" w:hAnsiTheme="minorHAnsi" w:cstheme="minorHAnsi"/>
                <w:color w:val="000000"/>
                <w:sz w:val="22"/>
                <w:szCs w:val="22"/>
                <w:lang w:eastAsia="en-IN"/>
              </w:rPr>
            </w:pPr>
            <w:r w:rsidRPr="00236E38">
              <w:rPr>
                <w:rFonts w:asciiTheme="minorHAnsi" w:hAnsiTheme="minorHAnsi" w:cstheme="minorHAnsi"/>
                <w:color w:val="000000"/>
                <w:sz w:val="22"/>
                <w:szCs w:val="22"/>
                <w:lang w:eastAsia="en-IN"/>
              </w:rPr>
              <w:t>604</w:t>
            </w:r>
          </w:p>
        </w:tc>
      </w:tr>
      <w:tr w:rsidR="00BB6BFE" w:rsidRPr="00236E38" w14:paraId="0DC1A914" w14:textId="77777777" w:rsidTr="00933A33">
        <w:trPr>
          <w:trHeight w:val="175"/>
        </w:trPr>
        <w:tc>
          <w:tcPr>
            <w:tcW w:w="2166" w:type="dxa"/>
            <w:tcBorders>
              <w:top w:val="nil"/>
              <w:left w:val="single" w:sz="4" w:space="0" w:color="auto"/>
              <w:bottom w:val="single" w:sz="4" w:space="0" w:color="auto"/>
              <w:right w:val="single" w:sz="4" w:space="0" w:color="auto"/>
            </w:tcBorders>
            <w:shd w:val="clear" w:color="auto" w:fill="auto"/>
            <w:vAlign w:val="center"/>
            <w:hideMark/>
          </w:tcPr>
          <w:p w14:paraId="39C02C1C" w14:textId="77777777" w:rsidR="00BB6BFE" w:rsidRPr="00236E38" w:rsidRDefault="00BB6BFE" w:rsidP="00236E38">
            <w:pPr>
              <w:spacing w:line="360" w:lineRule="auto"/>
              <w:jc w:val="center"/>
              <w:rPr>
                <w:rFonts w:asciiTheme="minorHAnsi" w:hAnsiTheme="minorHAnsi" w:cstheme="minorHAnsi"/>
                <w:color w:val="000000"/>
                <w:sz w:val="22"/>
                <w:szCs w:val="22"/>
                <w:lang w:eastAsia="en-IN"/>
              </w:rPr>
            </w:pPr>
            <w:r w:rsidRPr="00236E38">
              <w:rPr>
                <w:rFonts w:asciiTheme="minorHAnsi" w:hAnsiTheme="minorHAnsi" w:cstheme="minorHAnsi"/>
                <w:color w:val="000000"/>
                <w:sz w:val="22"/>
                <w:szCs w:val="22"/>
                <w:lang w:eastAsia="en-IN"/>
              </w:rPr>
              <w:t xml:space="preserve">RED </w:t>
            </w:r>
            <w:proofErr w:type="spellStart"/>
            <w:r w:rsidRPr="00236E38">
              <w:rPr>
                <w:rFonts w:asciiTheme="minorHAnsi" w:hAnsiTheme="minorHAnsi" w:cstheme="minorHAnsi"/>
                <w:color w:val="000000"/>
                <w:sz w:val="22"/>
                <w:szCs w:val="22"/>
                <w:lang w:eastAsia="en-IN"/>
              </w:rPr>
              <w:t>Rairangpur</w:t>
            </w:r>
            <w:proofErr w:type="spellEnd"/>
          </w:p>
        </w:tc>
        <w:tc>
          <w:tcPr>
            <w:tcW w:w="3200" w:type="dxa"/>
            <w:tcBorders>
              <w:top w:val="nil"/>
              <w:left w:val="nil"/>
              <w:bottom w:val="single" w:sz="4" w:space="0" w:color="auto"/>
              <w:right w:val="single" w:sz="4" w:space="0" w:color="auto"/>
            </w:tcBorders>
            <w:shd w:val="clear" w:color="auto" w:fill="auto"/>
            <w:vAlign w:val="center"/>
            <w:hideMark/>
          </w:tcPr>
          <w:p w14:paraId="1C68EEC3" w14:textId="77777777" w:rsidR="00BB6BFE" w:rsidRPr="00236E38" w:rsidRDefault="00BB6BFE" w:rsidP="00236E38">
            <w:pPr>
              <w:spacing w:line="360" w:lineRule="auto"/>
              <w:jc w:val="center"/>
              <w:rPr>
                <w:rFonts w:asciiTheme="minorHAnsi" w:hAnsiTheme="minorHAnsi" w:cstheme="minorHAnsi"/>
                <w:color w:val="000000"/>
                <w:sz w:val="22"/>
                <w:szCs w:val="22"/>
                <w:lang w:eastAsia="en-IN"/>
              </w:rPr>
            </w:pPr>
            <w:r w:rsidRPr="00236E38">
              <w:rPr>
                <w:rFonts w:asciiTheme="minorHAnsi" w:hAnsiTheme="minorHAnsi" w:cstheme="minorHAnsi"/>
                <w:color w:val="000000"/>
                <w:sz w:val="22"/>
                <w:szCs w:val="22"/>
                <w:lang w:eastAsia="en-IN"/>
              </w:rPr>
              <w:t>13</w:t>
            </w:r>
          </w:p>
        </w:tc>
        <w:tc>
          <w:tcPr>
            <w:tcW w:w="3200" w:type="dxa"/>
            <w:tcBorders>
              <w:top w:val="nil"/>
              <w:left w:val="nil"/>
              <w:bottom w:val="single" w:sz="4" w:space="0" w:color="auto"/>
              <w:right w:val="single" w:sz="4" w:space="0" w:color="auto"/>
            </w:tcBorders>
            <w:shd w:val="clear" w:color="auto" w:fill="auto"/>
            <w:vAlign w:val="center"/>
            <w:hideMark/>
          </w:tcPr>
          <w:p w14:paraId="009C7859" w14:textId="77777777" w:rsidR="00BB6BFE" w:rsidRPr="00236E38" w:rsidRDefault="00BB6BFE" w:rsidP="00236E38">
            <w:pPr>
              <w:spacing w:line="360" w:lineRule="auto"/>
              <w:jc w:val="center"/>
              <w:rPr>
                <w:rFonts w:asciiTheme="minorHAnsi" w:hAnsiTheme="minorHAnsi" w:cstheme="minorHAnsi"/>
                <w:color w:val="000000"/>
                <w:sz w:val="22"/>
                <w:szCs w:val="22"/>
                <w:lang w:eastAsia="en-IN"/>
              </w:rPr>
            </w:pPr>
            <w:r w:rsidRPr="00236E38">
              <w:rPr>
                <w:rFonts w:asciiTheme="minorHAnsi" w:hAnsiTheme="minorHAnsi" w:cstheme="minorHAnsi"/>
                <w:color w:val="000000"/>
                <w:sz w:val="22"/>
                <w:szCs w:val="22"/>
                <w:lang w:eastAsia="en-IN"/>
              </w:rPr>
              <w:t>407</w:t>
            </w:r>
          </w:p>
        </w:tc>
      </w:tr>
      <w:tr w:rsidR="00BB6BFE" w:rsidRPr="00236E38" w14:paraId="6F0C5AC4" w14:textId="77777777" w:rsidTr="00933A33">
        <w:trPr>
          <w:trHeight w:val="175"/>
        </w:trPr>
        <w:tc>
          <w:tcPr>
            <w:tcW w:w="2166" w:type="dxa"/>
            <w:tcBorders>
              <w:top w:val="nil"/>
              <w:left w:val="single" w:sz="4" w:space="0" w:color="auto"/>
              <w:bottom w:val="single" w:sz="4" w:space="0" w:color="auto"/>
              <w:right w:val="single" w:sz="4" w:space="0" w:color="auto"/>
            </w:tcBorders>
            <w:shd w:val="clear" w:color="auto" w:fill="auto"/>
            <w:vAlign w:val="center"/>
            <w:hideMark/>
          </w:tcPr>
          <w:p w14:paraId="59802754" w14:textId="77777777" w:rsidR="00BB6BFE" w:rsidRPr="00236E38" w:rsidRDefault="00BB6BFE" w:rsidP="00236E38">
            <w:pPr>
              <w:spacing w:line="360" w:lineRule="auto"/>
              <w:jc w:val="center"/>
              <w:rPr>
                <w:rFonts w:asciiTheme="minorHAnsi" w:hAnsiTheme="minorHAnsi" w:cstheme="minorHAnsi"/>
                <w:color w:val="000000"/>
                <w:sz w:val="22"/>
                <w:szCs w:val="22"/>
                <w:lang w:eastAsia="en-IN"/>
              </w:rPr>
            </w:pPr>
            <w:r w:rsidRPr="00236E38">
              <w:rPr>
                <w:rFonts w:asciiTheme="minorHAnsi" w:hAnsiTheme="minorHAnsi" w:cstheme="minorHAnsi"/>
                <w:color w:val="000000"/>
                <w:sz w:val="22"/>
                <w:szCs w:val="22"/>
                <w:lang w:eastAsia="en-IN"/>
              </w:rPr>
              <w:t xml:space="preserve">UED </w:t>
            </w:r>
            <w:proofErr w:type="spellStart"/>
            <w:r w:rsidRPr="00236E38">
              <w:rPr>
                <w:rFonts w:asciiTheme="minorHAnsi" w:hAnsiTheme="minorHAnsi" w:cstheme="minorHAnsi"/>
                <w:color w:val="000000"/>
                <w:sz w:val="22"/>
                <w:szCs w:val="22"/>
                <w:lang w:eastAsia="en-IN"/>
              </w:rPr>
              <w:t>Udala</w:t>
            </w:r>
            <w:proofErr w:type="spellEnd"/>
          </w:p>
        </w:tc>
        <w:tc>
          <w:tcPr>
            <w:tcW w:w="3200" w:type="dxa"/>
            <w:tcBorders>
              <w:top w:val="nil"/>
              <w:left w:val="nil"/>
              <w:bottom w:val="single" w:sz="4" w:space="0" w:color="auto"/>
              <w:right w:val="single" w:sz="4" w:space="0" w:color="auto"/>
            </w:tcBorders>
            <w:shd w:val="clear" w:color="auto" w:fill="auto"/>
            <w:vAlign w:val="center"/>
            <w:hideMark/>
          </w:tcPr>
          <w:p w14:paraId="2471964D" w14:textId="77777777" w:rsidR="00BB6BFE" w:rsidRPr="00236E38" w:rsidRDefault="00BB6BFE" w:rsidP="00236E38">
            <w:pPr>
              <w:spacing w:line="360" w:lineRule="auto"/>
              <w:jc w:val="center"/>
              <w:rPr>
                <w:rFonts w:asciiTheme="minorHAnsi" w:hAnsiTheme="minorHAnsi" w:cstheme="minorHAnsi"/>
                <w:color w:val="000000"/>
                <w:sz w:val="22"/>
                <w:szCs w:val="22"/>
                <w:lang w:eastAsia="en-IN"/>
              </w:rPr>
            </w:pPr>
            <w:r w:rsidRPr="00236E38">
              <w:rPr>
                <w:rFonts w:asciiTheme="minorHAnsi" w:hAnsiTheme="minorHAnsi" w:cstheme="minorHAnsi"/>
                <w:color w:val="000000"/>
                <w:sz w:val="22"/>
                <w:szCs w:val="22"/>
                <w:lang w:eastAsia="en-IN"/>
              </w:rPr>
              <w:t>5</w:t>
            </w:r>
          </w:p>
        </w:tc>
        <w:tc>
          <w:tcPr>
            <w:tcW w:w="3200" w:type="dxa"/>
            <w:tcBorders>
              <w:top w:val="nil"/>
              <w:left w:val="nil"/>
              <w:bottom w:val="single" w:sz="4" w:space="0" w:color="auto"/>
              <w:right w:val="single" w:sz="4" w:space="0" w:color="auto"/>
            </w:tcBorders>
            <w:shd w:val="clear" w:color="auto" w:fill="auto"/>
            <w:vAlign w:val="center"/>
            <w:hideMark/>
          </w:tcPr>
          <w:p w14:paraId="349FBC6C" w14:textId="77777777" w:rsidR="00BB6BFE" w:rsidRPr="00236E38" w:rsidRDefault="00BB6BFE" w:rsidP="00236E38">
            <w:pPr>
              <w:spacing w:line="360" w:lineRule="auto"/>
              <w:jc w:val="center"/>
              <w:rPr>
                <w:rFonts w:asciiTheme="minorHAnsi" w:hAnsiTheme="minorHAnsi" w:cstheme="minorHAnsi"/>
                <w:color w:val="000000"/>
                <w:sz w:val="22"/>
                <w:szCs w:val="22"/>
                <w:lang w:eastAsia="en-IN"/>
              </w:rPr>
            </w:pPr>
            <w:r w:rsidRPr="00236E38">
              <w:rPr>
                <w:rFonts w:asciiTheme="minorHAnsi" w:hAnsiTheme="minorHAnsi" w:cstheme="minorHAnsi"/>
                <w:color w:val="000000"/>
                <w:sz w:val="22"/>
                <w:szCs w:val="22"/>
                <w:lang w:eastAsia="en-IN"/>
              </w:rPr>
              <w:t>70</w:t>
            </w:r>
          </w:p>
        </w:tc>
      </w:tr>
      <w:tr w:rsidR="00BB6BFE" w:rsidRPr="00236E38" w14:paraId="07CD2C0A" w14:textId="77777777" w:rsidTr="00933A33">
        <w:trPr>
          <w:trHeight w:val="175"/>
        </w:trPr>
        <w:tc>
          <w:tcPr>
            <w:tcW w:w="2166" w:type="dxa"/>
            <w:tcBorders>
              <w:top w:val="nil"/>
              <w:left w:val="single" w:sz="4" w:space="0" w:color="auto"/>
              <w:bottom w:val="single" w:sz="4" w:space="0" w:color="auto"/>
              <w:right w:val="single" w:sz="4" w:space="0" w:color="auto"/>
            </w:tcBorders>
            <w:shd w:val="clear" w:color="auto" w:fill="auto"/>
            <w:vAlign w:val="center"/>
            <w:hideMark/>
          </w:tcPr>
          <w:p w14:paraId="480301BF" w14:textId="77777777" w:rsidR="00BB6BFE" w:rsidRPr="00236E38" w:rsidRDefault="00BB6BFE" w:rsidP="00236E38">
            <w:pPr>
              <w:spacing w:line="360" w:lineRule="auto"/>
              <w:jc w:val="center"/>
              <w:rPr>
                <w:rFonts w:asciiTheme="minorHAnsi" w:hAnsiTheme="minorHAnsi" w:cstheme="minorHAnsi"/>
                <w:color w:val="000000"/>
                <w:sz w:val="22"/>
                <w:szCs w:val="22"/>
                <w:lang w:eastAsia="en-IN"/>
              </w:rPr>
            </w:pPr>
            <w:r w:rsidRPr="00236E38">
              <w:rPr>
                <w:rFonts w:asciiTheme="minorHAnsi" w:hAnsiTheme="minorHAnsi" w:cstheme="minorHAnsi"/>
                <w:color w:val="000000"/>
                <w:sz w:val="22"/>
                <w:szCs w:val="22"/>
                <w:lang w:eastAsia="en-IN"/>
              </w:rPr>
              <w:t xml:space="preserve">BNED </w:t>
            </w:r>
            <w:proofErr w:type="spellStart"/>
            <w:r w:rsidRPr="00236E38">
              <w:rPr>
                <w:rFonts w:asciiTheme="minorHAnsi" w:hAnsiTheme="minorHAnsi" w:cstheme="minorHAnsi"/>
                <w:color w:val="000000"/>
                <w:sz w:val="22"/>
                <w:szCs w:val="22"/>
                <w:lang w:eastAsia="en-IN"/>
              </w:rPr>
              <w:t>Bhadrak</w:t>
            </w:r>
            <w:proofErr w:type="spellEnd"/>
          </w:p>
        </w:tc>
        <w:tc>
          <w:tcPr>
            <w:tcW w:w="3200" w:type="dxa"/>
            <w:tcBorders>
              <w:top w:val="nil"/>
              <w:left w:val="nil"/>
              <w:bottom w:val="single" w:sz="4" w:space="0" w:color="auto"/>
              <w:right w:val="single" w:sz="4" w:space="0" w:color="auto"/>
            </w:tcBorders>
            <w:shd w:val="clear" w:color="auto" w:fill="auto"/>
            <w:vAlign w:val="center"/>
            <w:hideMark/>
          </w:tcPr>
          <w:p w14:paraId="3666CFA2" w14:textId="77777777" w:rsidR="00BB6BFE" w:rsidRPr="00236E38" w:rsidRDefault="00BB6BFE" w:rsidP="00236E38">
            <w:pPr>
              <w:spacing w:line="360" w:lineRule="auto"/>
              <w:jc w:val="center"/>
              <w:rPr>
                <w:rFonts w:asciiTheme="minorHAnsi" w:hAnsiTheme="minorHAnsi" w:cstheme="minorHAnsi"/>
                <w:color w:val="000000"/>
                <w:sz w:val="22"/>
                <w:szCs w:val="22"/>
                <w:lang w:eastAsia="en-IN"/>
              </w:rPr>
            </w:pPr>
            <w:r w:rsidRPr="00236E38">
              <w:rPr>
                <w:rFonts w:asciiTheme="minorHAnsi" w:hAnsiTheme="minorHAnsi" w:cstheme="minorHAnsi"/>
                <w:color w:val="000000"/>
                <w:sz w:val="22"/>
                <w:szCs w:val="22"/>
                <w:lang w:eastAsia="en-IN"/>
              </w:rPr>
              <w:t>16</w:t>
            </w:r>
          </w:p>
        </w:tc>
        <w:tc>
          <w:tcPr>
            <w:tcW w:w="3200" w:type="dxa"/>
            <w:tcBorders>
              <w:top w:val="nil"/>
              <w:left w:val="nil"/>
              <w:bottom w:val="single" w:sz="4" w:space="0" w:color="auto"/>
              <w:right w:val="single" w:sz="4" w:space="0" w:color="auto"/>
            </w:tcBorders>
            <w:shd w:val="clear" w:color="auto" w:fill="auto"/>
            <w:vAlign w:val="center"/>
            <w:hideMark/>
          </w:tcPr>
          <w:p w14:paraId="21384C20" w14:textId="77777777" w:rsidR="00BB6BFE" w:rsidRPr="00236E38" w:rsidRDefault="00BB6BFE" w:rsidP="00236E38">
            <w:pPr>
              <w:spacing w:line="360" w:lineRule="auto"/>
              <w:jc w:val="center"/>
              <w:rPr>
                <w:rFonts w:asciiTheme="minorHAnsi" w:hAnsiTheme="minorHAnsi" w:cstheme="minorHAnsi"/>
                <w:color w:val="000000"/>
                <w:sz w:val="22"/>
                <w:szCs w:val="22"/>
                <w:lang w:eastAsia="en-IN"/>
              </w:rPr>
            </w:pPr>
            <w:r w:rsidRPr="00236E38">
              <w:rPr>
                <w:rFonts w:asciiTheme="minorHAnsi" w:hAnsiTheme="minorHAnsi" w:cstheme="minorHAnsi"/>
                <w:color w:val="000000"/>
                <w:sz w:val="22"/>
                <w:szCs w:val="22"/>
                <w:lang w:eastAsia="en-IN"/>
              </w:rPr>
              <w:t>835</w:t>
            </w:r>
          </w:p>
        </w:tc>
      </w:tr>
      <w:tr w:rsidR="00BB6BFE" w:rsidRPr="00236E38" w14:paraId="3EED0678" w14:textId="77777777" w:rsidTr="00933A33">
        <w:trPr>
          <w:trHeight w:val="175"/>
        </w:trPr>
        <w:tc>
          <w:tcPr>
            <w:tcW w:w="2166" w:type="dxa"/>
            <w:tcBorders>
              <w:top w:val="nil"/>
              <w:left w:val="single" w:sz="4" w:space="0" w:color="auto"/>
              <w:bottom w:val="single" w:sz="4" w:space="0" w:color="auto"/>
              <w:right w:val="single" w:sz="4" w:space="0" w:color="auto"/>
            </w:tcBorders>
            <w:shd w:val="clear" w:color="auto" w:fill="auto"/>
            <w:vAlign w:val="center"/>
            <w:hideMark/>
          </w:tcPr>
          <w:p w14:paraId="651F28E3" w14:textId="77777777" w:rsidR="00BB6BFE" w:rsidRPr="00236E38" w:rsidRDefault="00BB6BFE" w:rsidP="00236E38">
            <w:pPr>
              <w:spacing w:line="360" w:lineRule="auto"/>
              <w:jc w:val="center"/>
              <w:rPr>
                <w:rFonts w:asciiTheme="minorHAnsi" w:hAnsiTheme="minorHAnsi" w:cstheme="minorHAnsi"/>
                <w:color w:val="000000"/>
                <w:sz w:val="22"/>
                <w:szCs w:val="22"/>
                <w:lang w:eastAsia="en-IN"/>
              </w:rPr>
            </w:pPr>
            <w:r w:rsidRPr="00236E38">
              <w:rPr>
                <w:rFonts w:asciiTheme="minorHAnsi" w:hAnsiTheme="minorHAnsi" w:cstheme="minorHAnsi"/>
                <w:color w:val="000000"/>
                <w:sz w:val="22"/>
                <w:szCs w:val="22"/>
                <w:lang w:eastAsia="en-IN"/>
              </w:rPr>
              <w:t xml:space="preserve">BSED </w:t>
            </w:r>
            <w:proofErr w:type="spellStart"/>
            <w:r w:rsidRPr="00236E38">
              <w:rPr>
                <w:rFonts w:asciiTheme="minorHAnsi" w:hAnsiTheme="minorHAnsi" w:cstheme="minorHAnsi"/>
                <w:color w:val="000000"/>
                <w:sz w:val="22"/>
                <w:szCs w:val="22"/>
                <w:lang w:eastAsia="en-IN"/>
              </w:rPr>
              <w:t>Bhadrak</w:t>
            </w:r>
            <w:proofErr w:type="spellEnd"/>
          </w:p>
        </w:tc>
        <w:tc>
          <w:tcPr>
            <w:tcW w:w="3200" w:type="dxa"/>
            <w:tcBorders>
              <w:top w:val="nil"/>
              <w:left w:val="nil"/>
              <w:bottom w:val="single" w:sz="4" w:space="0" w:color="auto"/>
              <w:right w:val="single" w:sz="4" w:space="0" w:color="auto"/>
            </w:tcBorders>
            <w:shd w:val="clear" w:color="auto" w:fill="auto"/>
            <w:vAlign w:val="center"/>
            <w:hideMark/>
          </w:tcPr>
          <w:p w14:paraId="77708193" w14:textId="77777777" w:rsidR="00BB6BFE" w:rsidRPr="00236E38" w:rsidRDefault="00BB6BFE" w:rsidP="00236E38">
            <w:pPr>
              <w:spacing w:line="360" w:lineRule="auto"/>
              <w:jc w:val="center"/>
              <w:rPr>
                <w:rFonts w:asciiTheme="minorHAnsi" w:hAnsiTheme="minorHAnsi" w:cstheme="minorHAnsi"/>
                <w:color w:val="000000"/>
                <w:sz w:val="22"/>
                <w:szCs w:val="22"/>
                <w:lang w:eastAsia="en-IN"/>
              </w:rPr>
            </w:pPr>
            <w:r w:rsidRPr="00236E38">
              <w:rPr>
                <w:rFonts w:asciiTheme="minorHAnsi" w:hAnsiTheme="minorHAnsi" w:cstheme="minorHAnsi"/>
                <w:color w:val="000000"/>
                <w:sz w:val="22"/>
                <w:szCs w:val="22"/>
                <w:lang w:eastAsia="en-IN"/>
              </w:rPr>
              <w:t>8</w:t>
            </w:r>
          </w:p>
        </w:tc>
        <w:tc>
          <w:tcPr>
            <w:tcW w:w="3200" w:type="dxa"/>
            <w:tcBorders>
              <w:top w:val="nil"/>
              <w:left w:val="nil"/>
              <w:bottom w:val="single" w:sz="4" w:space="0" w:color="auto"/>
              <w:right w:val="single" w:sz="4" w:space="0" w:color="auto"/>
            </w:tcBorders>
            <w:shd w:val="clear" w:color="auto" w:fill="auto"/>
            <w:vAlign w:val="center"/>
            <w:hideMark/>
          </w:tcPr>
          <w:p w14:paraId="3227E0EF" w14:textId="77777777" w:rsidR="00BB6BFE" w:rsidRPr="00236E38" w:rsidRDefault="00BB6BFE" w:rsidP="00236E38">
            <w:pPr>
              <w:spacing w:line="360" w:lineRule="auto"/>
              <w:jc w:val="center"/>
              <w:rPr>
                <w:rFonts w:asciiTheme="minorHAnsi" w:hAnsiTheme="minorHAnsi" w:cstheme="minorHAnsi"/>
                <w:color w:val="000000"/>
                <w:sz w:val="22"/>
                <w:szCs w:val="22"/>
                <w:lang w:eastAsia="en-IN"/>
              </w:rPr>
            </w:pPr>
            <w:r w:rsidRPr="00236E38">
              <w:rPr>
                <w:rFonts w:asciiTheme="minorHAnsi" w:hAnsiTheme="minorHAnsi" w:cstheme="minorHAnsi"/>
                <w:color w:val="000000"/>
                <w:sz w:val="22"/>
                <w:szCs w:val="22"/>
                <w:lang w:eastAsia="en-IN"/>
              </w:rPr>
              <w:t>377</w:t>
            </w:r>
          </w:p>
        </w:tc>
      </w:tr>
      <w:tr w:rsidR="00BB6BFE" w:rsidRPr="00236E38" w14:paraId="06354CD4" w14:textId="77777777" w:rsidTr="00933A33">
        <w:trPr>
          <w:trHeight w:val="175"/>
        </w:trPr>
        <w:tc>
          <w:tcPr>
            <w:tcW w:w="2166" w:type="dxa"/>
            <w:tcBorders>
              <w:top w:val="nil"/>
              <w:left w:val="single" w:sz="4" w:space="0" w:color="auto"/>
              <w:bottom w:val="single" w:sz="4" w:space="0" w:color="auto"/>
              <w:right w:val="single" w:sz="4" w:space="0" w:color="auto"/>
            </w:tcBorders>
            <w:shd w:val="clear" w:color="auto" w:fill="auto"/>
            <w:vAlign w:val="center"/>
            <w:hideMark/>
          </w:tcPr>
          <w:p w14:paraId="261DF4AC" w14:textId="77777777" w:rsidR="00BB6BFE" w:rsidRPr="00236E38" w:rsidRDefault="00BB6BFE" w:rsidP="00236E38">
            <w:pPr>
              <w:spacing w:line="360" w:lineRule="auto"/>
              <w:jc w:val="center"/>
              <w:rPr>
                <w:rFonts w:asciiTheme="minorHAnsi" w:hAnsiTheme="minorHAnsi" w:cstheme="minorHAnsi"/>
                <w:color w:val="000000"/>
                <w:sz w:val="22"/>
                <w:szCs w:val="22"/>
                <w:lang w:eastAsia="en-IN"/>
              </w:rPr>
            </w:pPr>
            <w:r w:rsidRPr="00236E38">
              <w:rPr>
                <w:rFonts w:asciiTheme="minorHAnsi" w:hAnsiTheme="minorHAnsi" w:cstheme="minorHAnsi"/>
                <w:color w:val="000000"/>
                <w:sz w:val="22"/>
                <w:szCs w:val="22"/>
                <w:lang w:eastAsia="en-IN"/>
              </w:rPr>
              <w:t xml:space="preserve">JRED </w:t>
            </w:r>
            <w:proofErr w:type="spellStart"/>
            <w:r w:rsidRPr="00236E38">
              <w:rPr>
                <w:rFonts w:asciiTheme="minorHAnsi" w:hAnsiTheme="minorHAnsi" w:cstheme="minorHAnsi"/>
                <w:color w:val="000000"/>
                <w:sz w:val="22"/>
                <w:szCs w:val="22"/>
                <w:lang w:eastAsia="en-IN"/>
              </w:rPr>
              <w:t>Jajpur</w:t>
            </w:r>
            <w:proofErr w:type="spellEnd"/>
            <w:r w:rsidRPr="00236E38">
              <w:rPr>
                <w:rFonts w:asciiTheme="minorHAnsi" w:hAnsiTheme="minorHAnsi" w:cstheme="minorHAnsi"/>
                <w:color w:val="000000"/>
                <w:sz w:val="22"/>
                <w:szCs w:val="22"/>
                <w:lang w:eastAsia="en-IN"/>
              </w:rPr>
              <w:t xml:space="preserve"> Road</w:t>
            </w:r>
          </w:p>
        </w:tc>
        <w:tc>
          <w:tcPr>
            <w:tcW w:w="3200" w:type="dxa"/>
            <w:tcBorders>
              <w:top w:val="nil"/>
              <w:left w:val="nil"/>
              <w:bottom w:val="single" w:sz="4" w:space="0" w:color="auto"/>
              <w:right w:val="single" w:sz="4" w:space="0" w:color="auto"/>
            </w:tcBorders>
            <w:shd w:val="clear" w:color="auto" w:fill="auto"/>
            <w:vAlign w:val="center"/>
            <w:hideMark/>
          </w:tcPr>
          <w:p w14:paraId="66404479" w14:textId="77777777" w:rsidR="00BB6BFE" w:rsidRPr="00236E38" w:rsidRDefault="00BB6BFE" w:rsidP="00236E38">
            <w:pPr>
              <w:spacing w:line="360" w:lineRule="auto"/>
              <w:jc w:val="center"/>
              <w:rPr>
                <w:rFonts w:asciiTheme="minorHAnsi" w:hAnsiTheme="minorHAnsi" w:cstheme="minorHAnsi"/>
                <w:color w:val="000000"/>
                <w:sz w:val="22"/>
                <w:szCs w:val="22"/>
                <w:lang w:eastAsia="en-IN"/>
              </w:rPr>
            </w:pPr>
            <w:r w:rsidRPr="00236E38">
              <w:rPr>
                <w:rFonts w:asciiTheme="minorHAnsi" w:hAnsiTheme="minorHAnsi" w:cstheme="minorHAnsi"/>
                <w:color w:val="000000"/>
                <w:sz w:val="22"/>
                <w:szCs w:val="22"/>
                <w:lang w:eastAsia="en-IN"/>
              </w:rPr>
              <w:t>8</w:t>
            </w:r>
          </w:p>
        </w:tc>
        <w:tc>
          <w:tcPr>
            <w:tcW w:w="3200" w:type="dxa"/>
            <w:tcBorders>
              <w:top w:val="nil"/>
              <w:left w:val="nil"/>
              <w:bottom w:val="single" w:sz="4" w:space="0" w:color="auto"/>
              <w:right w:val="single" w:sz="4" w:space="0" w:color="auto"/>
            </w:tcBorders>
            <w:shd w:val="clear" w:color="auto" w:fill="auto"/>
            <w:vAlign w:val="center"/>
            <w:hideMark/>
          </w:tcPr>
          <w:p w14:paraId="4A8FB591" w14:textId="77777777" w:rsidR="00BB6BFE" w:rsidRPr="00236E38" w:rsidRDefault="00BB6BFE" w:rsidP="00236E38">
            <w:pPr>
              <w:spacing w:line="360" w:lineRule="auto"/>
              <w:jc w:val="center"/>
              <w:rPr>
                <w:rFonts w:asciiTheme="minorHAnsi" w:hAnsiTheme="minorHAnsi" w:cstheme="minorHAnsi"/>
                <w:color w:val="000000"/>
                <w:sz w:val="22"/>
                <w:szCs w:val="22"/>
                <w:lang w:eastAsia="en-IN"/>
              </w:rPr>
            </w:pPr>
            <w:r w:rsidRPr="00236E38">
              <w:rPr>
                <w:rFonts w:asciiTheme="minorHAnsi" w:hAnsiTheme="minorHAnsi" w:cstheme="minorHAnsi"/>
                <w:color w:val="000000"/>
                <w:sz w:val="22"/>
                <w:szCs w:val="22"/>
                <w:lang w:eastAsia="en-IN"/>
              </w:rPr>
              <w:t>279</w:t>
            </w:r>
          </w:p>
        </w:tc>
      </w:tr>
      <w:tr w:rsidR="00BB6BFE" w:rsidRPr="00236E38" w14:paraId="78E5A4A8" w14:textId="77777777" w:rsidTr="00933A33">
        <w:trPr>
          <w:trHeight w:val="175"/>
        </w:trPr>
        <w:tc>
          <w:tcPr>
            <w:tcW w:w="2166" w:type="dxa"/>
            <w:tcBorders>
              <w:top w:val="nil"/>
              <w:left w:val="single" w:sz="4" w:space="0" w:color="auto"/>
              <w:bottom w:val="single" w:sz="4" w:space="0" w:color="auto"/>
              <w:right w:val="single" w:sz="4" w:space="0" w:color="auto"/>
            </w:tcBorders>
            <w:shd w:val="clear" w:color="auto" w:fill="auto"/>
            <w:vAlign w:val="center"/>
            <w:hideMark/>
          </w:tcPr>
          <w:p w14:paraId="45D109A0" w14:textId="77777777" w:rsidR="00BB6BFE" w:rsidRPr="00236E38" w:rsidRDefault="00BB6BFE" w:rsidP="00236E38">
            <w:pPr>
              <w:spacing w:line="360" w:lineRule="auto"/>
              <w:jc w:val="center"/>
              <w:rPr>
                <w:rFonts w:asciiTheme="minorHAnsi" w:hAnsiTheme="minorHAnsi" w:cstheme="minorHAnsi"/>
                <w:color w:val="000000"/>
                <w:sz w:val="22"/>
                <w:szCs w:val="22"/>
                <w:lang w:eastAsia="en-IN"/>
              </w:rPr>
            </w:pPr>
            <w:r w:rsidRPr="00236E38">
              <w:rPr>
                <w:rFonts w:asciiTheme="minorHAnsi" w:hAnsiTheme="minorHAnsi" w:cstheme="minorHAnsi"/>
                <w:color w:val="000000"/>
                <w:sz w:val="22"/>
                <w:szCs w:val="22"/>
                <w:lang w:eastAsia="en-IN"/>
              </w:rPr>
              <w:t xml:space="preserve">JTED </w:t>
            </w:r>
            <w:proofErr w:type="spellStart"/>
            <w:r w:rsidRPr="00236E38">
              <w:rPr>
                <w:rFonts w:asciiTheme="minorHAnsi" w:hAnsiTheme="minorHAnsi" w:cstheme="minorHAnsi"/>
                <w:color w:val="000000"/>
                <w:sz w:val="22"/>
                <w:szCs w:val="22"/>
                <w:lang w:eastAsia="en-IN"/>
              </w:rPr>
              <w:t>Jajpur</w:t>
            </w:r>
            <w:proofErr w:type="spellEnd"/>
            <w:r w:rsidRPr="00236E38">
              <w:rPr>
                <w:rFonts w:asciiTheme="minorHAnsi" w:hAnsiTheme="minorHAnsi" w:cstheme="minorHAnsi"/>
                <w:color w:val="000000"/>
                <w:sz w:val="22"/>
                <w:szCs w:val="22"/>
                <w:lang w:eastAsia="en-IN"/>
              </w:rPr>
              <w:t xml:space="preserve"> Town</w:t>
            </w:r>
          </w:p>
        </w:tc>
        <w:tc>
          <w:tcPr>
            <w:tcW w:w="3200" w:type="dxa"/>
            <w:tcBorders>
              <w:top w:val="nil"/>
              <w:left w:val="nil"/>
              <w:bottom w:val="single" w:sz="4" w:space="0" w:color="auto"/>
              <w:right w:val="single" w:sz="4" w:space="0" w:color="auto"/>
            </w:tcBorders>
            <w:shd w:val="clear" w:color="auto" w:fill="auto"/>
            <w:vAlign w:val="center"/>
            <w:hideMark/>
          </w:tcPr>
          <w:p w14:paraId="7F6B2A32" w14:textId="77777777" w:rsidR="00BB6BFE" w:rsidRPr="00236E38" w:rsidRDefault="00BB6BFE" w:rsidP="00236E38">
            <w:pPr>
              <w:spacing w:line="360" w:lineRule="auto"/>
              <w:jc w:val="center"/>
              <w:rPr>
                <w:rFonts w:asciiTheme="minorHAnsi" w:hAnsiTheme="minorHAnsi" w:cstheme="minorHAnsi"/>
                <w:color w:val="000000"/>
                <w:sz w:val="22"/>
                <w:szCs w:val="22"/>
                <w:lang w:eastAsia="en-IN"/>
              </w:rPr>
            </w:pPr>
            <w:r w:rsidRPr="00236E38">
              <w:rPr>
                <w:rFonts w:asciiTheme="minorHAnsi" w:hAnsiTheme="minorHAnsi" w:cstheme="minorHAnsi"/>
                <w:color w:val="000000"/>
                <w:sz w:val="22"/>
                <w:szCs w:val="22"/>
                <w:lang w:eastAsia="en-IN"/>
              </w:rPr>
              <w:t>10</w:t>
            </w:r>
          </w:p>
        </w:tc>
        <w:tc>
          <w:tcPr>
            <w:tcW w:w="3200" w:type="dxa"/>
            <w:tcBorders>
              <w:top w:val="nil"/>
              <w:left w:val="nil"/>
              <w:bottom w:val="single" w:sz="4" w:space="0" w:color="auto"/>
              <w:right w:val="single" w:sz="4" w:space="0" w:color="auto"/>
            </w:tcBorders>
            <w:shd w:val="clear" w:color="auto" w:fill="auto"/>
            <w:vAlign w:val="center"/>
            <w:hideMark/>
          </w:tcPr>
          <w:p w14:paraId="4D3EAFA8" w14:textId="77777777" w:rsidR="00BB6BFE" w:rsidRPr="00236E38" w:rsidRDefault="00BB6BFE" w:rsidP="00236E38">
            <w:pPr>
              <w:spacing w:line="360" w:lineRule="auto"/>
              <w:jc w:val="center"/>
              <w:rPr>
                <w:rFonts w:asciiTheme="minorHAnsi" w:hAnsiTheme="minorHAnsi" w:cstheme="minorHAnsi"/>
                <w:color w:val="000000"/>
                <w:sz w:val="22"/>
                <w:szCs w:val="22"/>
                <w:lang w:eastAsia="en-IN"/>
              </w:rPr>
            </w:pPr>
            <w:r w:rsidRPr="00236E38">
              <w:rPr>
                <w:rFonts w:asciiTheme="minorHAnsi" w:hAnsiTheme="minorHAnsi" w:cstheme="minorHAnsi"/>
                <w:color w:val="000000"/>
                <w:sz w:val="22"/>
                <w:szCs w:val="22"/>
                <w:lang w:eastAsia="en-IN"/>
              </w:rPr>
              <w:t>189</w:t>
            </w:r>
          </w:p>
        </w:tc>
      </w:tr>
      <w:tr w:rsidR="00BB6BFE" w:rsidRPr="00236E38" w14:paraId="5F159FD2" w14:textId="77777777" w:rsidTr="00933A33">
        <w:trPr>
          <w:trHeight w:val="175"/>
        </w:trPr>
        <w:tc>
          <w:tcPr>
            <w:tcW w:w="2166" w:type="dxa"/>
            <w:tcBorders>
              <w:top w:val="nil"/>
              <w:left w:val="single" w:sz="4" w:space="0" w:color="auto"/>
              <w:bottom w:val="single" w:sz="4" w:space="0" w:color="auto"/>
              <w:right w:val="single" w:sz="4" w:space="0" w:color="auto"/>
            </w:tcBorders>
            <w:shd w:val="clear" w:color="auto" w:fill="auto"/>
            <w:vAlign w:val="center"/>
            <w:hideMark/>
          </w:tcPr>
          <w:p w14:paraId="1CEABF10" w14:textId="77777777" w:rsidR="00BB6BFE" w:rsidRPr="00236E38" w:rsidRDefault="00BB6BFE" w:rsidP="00236E38">
            <w:pPr>
              <w:spacing w:line="360" w:lineRule="auto"/>
              <w:jc w:val="center"/>
              <w:rPr>
                <w:rFonts w:asciiTheme="minorHAnsi" w:hAnsiTheme="minorHAnsi" w:cstheme="minorHAnsi"/>
                <w:color w:val="000000"/>
                <w:sz w:val="22"/>
                <w:szCs w:val="22"/>
                <w:lang w:eastAsia="en-IN"/>
              </w:rPr>
            </w:pPr>
            <w:r w:rsidRPr="00236E38">
              <w:rPr>
                <w:rFonts w:asciiTheme="minorHAnsi" w:hAnsiTheme="minorHAnsi" w:cstheme="minorHAnsi"/>
                <w:color w:val="000000"/>
                <w:sz w:val="22"/>
                <w:szCs w:val="22"/>
                <w:lang w:eastAsia="en-IN"/>
              </w:rPr>
              <w:t xml:space="preserve">KUED, </w:t>
            </w:r>
            <w:proofErr w:type="spellStart"/>
            <w:r w:rsidRPr="00236E38">
              <w:rPr>
                <w:rFonts w:asciiTheme="minorHAnsi" w:hAnsiTheme="minorHAnsi" w:cstheme="minorHAnsi"/>
                <w:color w:val="000000"/>
                <w:sz w:val="22"/>
                <w:szCs w:val="22"/>
                <w:lang w:eastAsia="en-IN"/>
              </w:rPr>
              <w:t>Kuakhia</w:t>
            </w:r>
            <w:proofErr w:type="spellEnd"/>
          </w:p>
        </w:tc>
        <w:tc>
          <w:tcPr>
            <w:tcW w:w="3200" w:type="dxa"/>
            <w:tcBorders>
              <w:top w:val="nil"/>
              <w:left w:val="nil"/>
              <w:bottom w:val="single" w:sz="4" w:space="0" w:color="auto"/>
              <w:right w:val="single" w:sz="4" w:space="0" w:color="auto"/>
            </w:tcBorders>
            <w:shd w:val="clear" w:color="auto" w:fill="auto"/>
            <w:vAlign w:val="center"/>
            <w:hideMark/>
          </w:tcPr>
          <w:p w14:paraId="74B0905E" w14:textId="77777777" w:rsidR="00BB6BFE" w:rsidRPr="00236E38" w:rsidRDefault="00BB6BFE" w:rsidP="00236E38">
            <w:pPr>
              <w:spacing w:line="360" w:lineRule="auto"/>
              <w:jc w:val="center"/>
              <w:rPr>
                <w:rFonts w:asciiTheme="minorHAnsi" w:hAnsiTheme="minorHAnsi" w:cstheme="minorHAnsi"/>
                <w:color w:val="000000"/>
                <w:sz w:val="22"/>
                <w:szCs w:val="22"/>
                <w:lang w:eastAsia="en-IN"/>
              </w:rPr>
            </w:pPr>
            <w:r w:rsidRPr="00236E38">
              <w:rPr>
                <w:rFonts w:asciiTheme="minorHAnsi" w:hAnsiTheme="minorHAnsi" w:cstheme="minorHAnsi"/>
                <w:color w:val="000000"/>
                <w:sz w:val="22"/>
                <w:szCs w:val="22"/>
                <w:lang w:eastAsia="en-IN"/>
              </w:rPr>
              <w:t>11</w:t>
            </w:r>
          </w:p>
        </w:tc>
        <w:tc>
          <w:tcPr>
            <w:tcW w:w="3200" w:type="dxa"/>
            <w:tcBorders>
              <w:top w:val="nil"/>
              <w:left w:val="nil"/>
              <w:bottom w:val="single" w:sz="4" w:space="0" w:color="auto"/>
              <w:right w:val="single" w:sz="4" w:space="0" w:color="auto"/>
            </w:tcBorders>
            <w:shd w:val="clear" w:color="auto" w:fill="auto"/>
            <w:vAlign w:val="center"/>
            <w:hideMark/>
          </w:tcPr>
          <w:p w14:paraId="349F51E5" w14:textId="77777777" w:rsidR="00BB6BFE" w:rsidRPr="00236E38" w:rsidRDefault="00BB6BFE" w:rsidP="00236E38">
            <w:pPr>
              <w:spacing w:line="360" w:lineRule="auto"/>
              <w:jc w:val="center"/>
              <w:rPr>
                <w:rFonts w:asciiTheme="minorHAnsi" w:hAnsiTheme="minorHAnsi" w:cstheme="minorHAnsi"/>
                <w:color w:val="000000"/>
                <w:sz w:val="22"/>
                <w:szCs w:val="22"/>
                <w:lang w:eastAsia="en-IN"/>
              </w:rPr>
            </w:pPr>
            <w:r w:rsidRPr="00236E38">
              <w:rPr>
                <w:rFonts w:asciiTheme="minorHAnsi" w:hAnsiTheme="minorHAnsi" w:cstheme="minorHAnsi"/>
                <w:color w:val="000000"/>
                <w:sz w:val="22"/>
                <w:szCs w:val="22"/>
                <w:lang w:eastAsia="en-IN"/>
              </w:rPr>
              <w:t>323</w:t>
            </w:r>
          </w:p>
        </w:tc>
      </w:tr>
      <w:tr w:rsidR="00BB6BFE" w:rsidRPr="00236E38" w14:paraId="6778239A" w14:textId="77777777" w:rsidTr="00933A33">
        <w:trPr>
          <w:trHeight w:val="113"/>
        </w:trPr>
        <w:tc>
          <w:tcPr>
            <w:tcW w:w="2166" w:type="dxa"/>
            <w:tcBorders>
              <w:top w:val="nil"/>
              <w:left w:val="single" w:sz="4" w:space="0" w:color="auto"/>
              <w:bottom w:val="single" w:sz="4" w:space="0" w:color="auto"/>
              <w:right w:val="single" w:sz="4" w:space="0" w:color="auto"/>
            </w:tcBorders>
            <w:shd w:val="clear" w:color="auto" w:fill="8DB3E2" w:themeFill="text2" w:themeFillTint="66"/>
            <w:vAlign w:val="center"/>
            <w:hideMark/>
          </w:tcPr>
          <w:p w14:paraId="5BA12F20" w14:textId="77777777" w:rsidR="00BB6BFE" w:rsidRPr="00933A33" w:rsidRDefault="00BB6BFE" w:rsidP="00236E38">
            <w:pPr>
              <w:spacing w:line="360" w:lineRule="auto"/>
              <w:jc w:val="center"/>
              <w:rPr>
                <w:rFonts w:asciiTheme="minorHAnsi" w:hAnsiTheme="minorHAnsi" w:cstheme="minorHAnsi"/>
                <w:b/>
                <w:color w:val="000000" w:themeColor="text1"/>
                <w:sz w:val="22"/>
                <w:szCs w:val="22"/>
                <w:lang w:eastAsia="en-IN"/>
              </w:rPr>
            </w:pPr>
            <w:r w:rsidRPr="00933A33">
              <w:rPr>
                <w:rFonts w:asciiTheme="minorHAnsi" w:hAnsiTheme="minorHAnsi" w:cstheme="minorHAnsi"/>
                <w:b/>
                <w:color w:val="000000" w:themeColor="text1"/>
                <w:sz w:val="22"/>
                <w:szCs w:val="22"/>
                <w:lang w:eastAsia="en-IN"/>
              </w:rPr>
              <w:t>Grand Total</w:t>
            </w:r>
          </w:p>
        </w:tc>
        <w:tc>
          <w:tcPr>
            <w:tcW w:w="3200" w:type="dxa"/>
            <w:tcBorders>
              <w:top w:val="nil"/>
              <w:left w:val="nil"/>
              <w:bottom w:val="single" w:sz="4" w:space="0" w:color="auto"/>
              <w:right w:val="single" w:sz="4" w:space="0" w:color="auto"/>
            </w:tcBorders>
            <w:shd w:val="clear" w:color="auto" w:fill="8DB3E2" w:themeFill="text2" w:themeFillTint="66"/>
            <w:vAlign w:val="center"/>
            <w:hideMark/>
          </w:tcPr>
          <w:p w14:paraId="5199D7C9" w14:textId="77777777" w:rsidR="00BB6BFE" w:rsidRPr="00933A33" w:rsidRDefault="00BB6BFE" w:rsidP="00236E38">
            <w:pPr>
              <w:spacing w:line="360" w:lineRule="auto"/>
              <w:jc w:val="center"/>
              <w:rPr>
                <w:rFonts w:asciiTheme="minorHAnsi" w:hAnsiTheme="minorHAnsi" w:cstheme="minorHAnsi"/>
                <w:b/>
                <w:color w:val="000000" w:themeColor="text1"/>
                <w:sz w:val="22"/>
                <w:szCs w:val="22"/>
                <w:lang w:eastAsia="en-IN"/>
              </w:rPr>
            </w:pPr>
            <w:r w:rsidRPr="00933A33">
              <w:rPr>
                <w:rFonts w:asciiTheme="minorHAnsi" w:hAnsiTheme="minorHAnsi" w:cstheme="minorHAnsi"/>
                <w:b/>
                <w:color w:val="000000" w:themeColor="text1"/>
                <w:sz w:val="22"/>
                <w:szCs w:val="22"/>
                <w:lang w:eastAsia="en-IN"/>
              </w:rPr>
              <w:t>163</w:t>
            </w:r>
          </w:p>
        </w:tc>
        <w:tc>
          <w:tcPr>
            <w:tcW w:w="3200" w:type="dxa"/>
            <w:tcBorders>
              <w:top w:val="nil"/>
              <w:left w:val="nil"/>
              <w:bottom w:val="single" w:sz="4" w:space="0" w:color="auto"/>
              <w:right w:val="single" w:sz="4" w:space="0" w:color="auto"/>
            </w:tcBorders>
            <w:shd w:val="clear" w:color="auto" w:fill="8DB3E2" w:themeFill="text2" w:themeFillTint="66"/>
            <w:vAlign w:val="center"/>
            <w:hideMark/>
          </w:tcPr>
          <w:p w14:paraId="15F808D9" w14:textId="77777777" w:rsidR="00BB6BFE" w:rsidRPr="00933A33" w:rsidRDefault="00BB6BFE" w:rsidP="00236E38">
            <w:pPr>
              <w:spacing w:line="360" w:lineRule="auto"/>
              <w:jc w:val="center"/>
              <w:rPr>
                <w:rFonts w:asciiTheme="minorHAnsi" w:hAnsiTheme="minorHAnsi" w:cstheme="minorHAnsi"/>
                <w:b/>
                <w:color w:val="000000" w:themeColor="text1"/>
                <w:sz w:val="22"/>
                <w:szCs w:val="22"/>
                <w:lang w:eastAsia="en-IN"/>
              </w:rPr>
            </w:pPr>
            <w:r w:rsidRPr="00933A33">
              <w:rPr>
                <w:rFonts w:asciiTheme="minorHAnsi" w:hAnsiTheme="minorHAnsi" w:cstheme="minorHAnsi"/>
                <w:b/>
                <w:color w:val="000000" w:themeColor="text1"/>
                <w:sz w:val="22"/>
                <w:szCs w:val="22"/>
                <w:lang w:eastAsia="en-IN"/>
              </w:rPr>
              <w:t>5633</w:t>
            </w:r>
          </w:p>
        </w:tc>
      </w:tr>
    </w:tbl>
    <w:p w14:paraId="06FAC2AF" w14:textId="77777777" w:rsidR="00BB6BFE" w:rsidRPr="00236E38" w:rsidRDefault="00BB6BFE" w:rsidP="00236E38">
      <w:pPr>
        <w:spacing w:line="360" w:lineRule="auto"/>
        <w:jc w:val="both"/>
        <w:rPr>
          <w:rFonts w:asciiTheme="minorHAnsi" w:hAnsiTheme="minorHAnsi" w:cstheme="minorHAnsi"/>
          <w:sz w:val="22"/>
          <w:szCs w:val="22"/>
        </w:rPr>
      </w:pPr>
    </w:p>
    <w:p w14:paraId="6B05D24E" w14:textId="52C11593" w:rsidR="00236E38" w:rsidRPr="00236E38" w:rsidRDefault="00236E38" w:rsidP="00933A33">
      <w:pPr>
        <w:tabs>
          <w:tab w:val="left" w:pos="851"/>
        </w:tabs>
        <w:spacing w:line="360" w:lineRule="auto"/>
        <w:ind w:left="993"/>
        <w:jc w:val="both"/>
        <w:rPr>
          <w:rFonts w:asciiTheme="minorHAnsi" w:hAnsiTheme="minorHAnsi" w:cstheme="minorHAnsi"/>
          <w:b/>
          <w:sz w:val="22"/>
          <w:szCs w:val="22"/>
        </w:rPr>
      </w:pPr>
      <w:r w:rsidRPr="00236E38">
        <w:rPr>
          <w:rFonts w:asciiTheme="minorHAnsi" w:hAnsiTheme="minorHAnsi" w:cstheme="minorHAnsi"/>
          <w:b/>
          <w:sz w:val="22"/>
          <w:szCs w:val="22"/>
        </w:rPr>
        <w:t xml:space="preserve">Disaster </w:t>
      </w:r>
      <w:proofErr w:type="spellStart"/>
      <w:r w:rsidRPr="00236E38">
        <w:rPr>
          <w:rFonts w:asciiTheme="minorHAnsi" w:hAnsiTheme="minorHAnsi" w:cstheme="minorHAnsi"/>
          <w:b/>
          <w:sz w:val="22"/>
          <w:szCs w:val="22"/>
        </w:rPr>
        <w:t>Mitigtion</w:t>
      </w:r>
      <w:proofErr w:type="spellEnd"/>
      <w:r w:rsidRPr="00236E38">
        <w:rPr>
          <w:rFonts w:asciiTheme="minorHAnsi" w:hAnsiTheme="minorHAnsi" w:cstheme="minorHAnsi"/>
          <w:b/>
          <w:sz w:val="22"/>
          <w:szCs w:val="22"/>
        </w:rPr>
        <w:t xml:space="preserve"> SOP has </w:t>
      </w:r>
      <w:proofErr w:type="spellStart"/>
      <w:r w:rsidRPr="00236E38">
        <w:rPr>
          <w:rFonts w:asciiTheme="minorHAnsi" w:hAnsiTheme="minorHAnsi" w:cstheme="minorHAnsi"/>
          <w:b/>
          <w:sz w:val="22"/>
          <w:szCs w:val="22"/>
        </w:rPr>
        <w:t>alos</w:t>
      </w:r>
      <w:proofErr w:type="spellEnd"/>
      <w:r w:rsidRPr="00236E38">
        <w:rPr>
          <w:rFonts w:asciiTheme="minorHAnsi" w:hAnsiTheme="minorHAnsi" w:cstheme="minorHAnsi"/>
          <w:b/>
          <w:sz w:val="22"/>
          <w:szCs w:val="22"/>
        </w:rPr>
        <w:t xml:space="preserve"> been submitted before Hon’ble Commission for kind perusal.</w:t>
      </w:r>
    </w:p>
    <w:p w14:paraId="1AFE5E11" w14:textId="75A41F3A" w:rsidR="00BB6BFE" w:rsidRDefault="00BB6BFE" w:rsidP="00933A33">
      <w:pPr>
        <w:tabs>
          <w:tab w:val="left" w:pos="851"/>
        </w:tabs>
        <w:spacing w:line="360" w:lineRule="auto"/>
        <w:ind w:left="993"/>
        <w:jc w:val="both"/>
        <w:rPr>
          <w:rFonts w:asciiTheme="minorHAnsi" w:hAnsiTheme="minorHAnsi" w:cstheme="minorHAnsi"/>
          <w:b/>
          <w:sz w:val="22"/>
          <w:szCs w:val="22"/>
        </w:rPr>
      </w:pPr>
      <w:r w:rsidRPr="00236E38">
        <w:rPr>
          <w:rFonts w:asciiTheme="minorHAnsi" w:hAnsiTheme="minorHAnsi" w:cstheme="minorHAnsi"/>
          <w:b/>
          <w:sz w:val="22"/>
          <w:szCs w:val="22"/>
        </w:rPr>
        <w:t xml:space="preserve">While Hon’ble OERC has kindly allowed additional cost for keeping stock for meeting disasters, there is no mention of additional manpower required during restoration. In view of the same, it is requested that some additional O&amp;M cost may kindly be allowed for executing restoration activities post disaster situation. </w:t>
      </w:r>
    </w:p>
    <w:p w14:paraId="10892933" w14:textId="4C2601B3" w:rsidR="00BD7120" w:rsidRPr="00236E38" w:rsidRDefault="00236E38" w:rsidP="00236E38">
      <w:pPr>
        <w:spacing w:line="360" w:lineRule="auto"/>
        <w:ind w:left="426"/>
        <w:jc w:val="both"/>
        <w:rPr>
          <w:rFonts w:asciiTheme="minorHAnsi" w:hAnsiTheme="minorHAnsi" w:cstheme="minorHAnsi"/>
          <w:b/>
          <w:sz w:val="22"/>
          <w:szCs w:val="22"/>
        </w:rPr>
      </w:pPr>
      <w:r w:rsidRPr="00236E38">
        <w:rPr>
          <w:rFonts w:asciiTheme="minorHAnsi" w:hAnsiTheme="minorHAnsi" w:cstheme="minorHAnsi"/>
          <w:b/>
          <w:noProof/>
          <w:color w:val="000000"/>
          <w:sz w:val="22"/>
          <w:szCs w:val="22"/>
          <w:lang w:val="en-IN" w:eastAsia="en-IN"/>
        </w:rPr>
        <mc:AlternateContent>
          <mc:Choice Requires="wps">
            <w:drawing>
              <wp:anchor distT="0" distB="0" distL="114300" distR="114300" simplePos="0" relativeHeight="251939328" behindDoc="0" locked="0" layoutInCell="1" allowOverlap="1" wp14:anchorId="6AB43322" wp14:editId="53453022">
                <wp:simplePos x="0" y="0"/>
                <wp:positionH relativeFrom="margin">
                  <wp:posOffset>575310</wp:posOffset>
                </wp:positionH>
                <wp:positionV relativeFrom="paragraph">
                  <wp:posOffset>210820</wp:posOffset>
                </wp:positionV>
                <wp:extent cx="5438775" cy="350520"/>
                <wp:effectExtent l="0" t="0" r="28575" b="11430"/>
                <wp:wrapNone/>
                <wp:docPr id="14" name="Rectangle 14"/>
                <wp:cNvGraphicFramePr/>
                <a:graphic xmlns:a="http://schemas.openxmlformats.org/drawingml/2006/main">
                  <a:graphicData uri="http://schemas.microsoft.com/office/word/2010/wordprocessingShape">
                    <wps:wsp>
                      <wps:cNvSpPr/>
                      <wps:spPr>
                        <a:xfrm>
                          <a:off x="0" y="0"/>
                          <a:ext cx="5438775" cy="350520"/>
                        </a:xfrm>
                        <a:prstGeom prst="rect">
                          <a:avLst/>
                        </a:prstGeom>
                        <a:solidFill>
                          <a:schemeClr val="accent1">
                            <a:lumMod val="60000"/>
                            <a:lumOff val="40000"/>
                          </a:schemeClr>
                        </a:solidFill>
                        <a:ln w="6350" cap="flat" cmpd="sng" algn="ctr">
                          <a:solidFill>
                            <a:srgbClr val="A5A5A5"/>
                          </a:solidFill>
                          <a:prstDash val="solid"/>
                          <a:miter lim="800000"/>
                        </a:ln>
                        <a:effectLst/>
                      </wps:spPr>
                      <wps:txbx>
                        <w:txbxContent>
                          <w:p w14:paraId="402BB6B1" w14:textId="77777777" w:rsidR="00535B24" w:rsidRPr="00933A33" w:rsidRDefault="00535B24" w:rsidP="00BB6BFE">
                            <w:pPr>
                              <w:rPr>
                                <w:rFonts w:asciiTheme="minorHAnsi" w:hAnsiTheme="minorHAnsi"/>
                                <w:b/>
                              </w:rPr>
                            </w:pPr>
                            <w:r w:rsidRPr="00933A33">
                              <w:rPr>
                                <w:rFonts w:asciiTheme="minorHAnsi" w:hAnsiTheme="minorHAnsi"/>
                                <w:b/>
                              </w:rPr>
                              <w:t>7. Direction under Para 263</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AB43322" id="Rectangle 14" o:spid="_x0000_s1052" style="position:absolute;left:0;text-align:left;margin-left:45.3pt;margin-top:16.6pt;width:428.25pt;height:27.6pt;z-index:25193932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" fillcolor="#95b3d7 [1940]" strokecolor="#a5a5a5" strokeweight=".5pt">
                <v:textbox>
                  <w:txbxContent>
                    <w:p w14:paraId="402BB6B1" w14:textId="77777777" w:rsidR="00535B24" w:rsidRPr="00933A33" w:rsidRDefault="00535B24" w:rsidP="00BB6BFE">
                      <w:pPr>
                        <w:rPr>
                          <w:rFonts w:asciiTheme="minorHAnsi" w:hAnsiTheme="minorHAnsi"/>
                          <w:b/>
                        </w:rPr>
                      </w:pPr>
                      <w:r w:rsidRPr="00933A33">
                        <w:rPr>
                          <w:rFonts w:asciiTheme="minorHAnsi" w:hAnsiTheme="minorHAnsi"/>
                          <w:b/>
                        </w:rPr>
                        <w:t>7. Direction under Para 263</w:t>
                      </w:r>
                    </w:p>
                  </w:txbxContent>
                </v:textbox>
                <w10:wrap anchorx="margin"/>
              </v:rect>
            </w:pict>
          </mc:Fallback>
        </mc:AlternateContent>
      </w:r>
    </w:p>
    <w:p w14:paraId="55916206" w14:textId="0F1FA5BD" w:rsidR="00BB6BFE" w:rsidRPr="00236E38" w:rsidRDefault="00BB6BFE" w:rsidP="00236E38">
      <w:pPr>
        <w:spacing w:line="360" w:lineRule="auto"/>
        <w:rPr>
          <w:rFonts w:asciiTheme="minorHAnsi" w:hAnsiTheme="minorHAnsi" w:cstheme="minorHAnsi"/>
          <w:b/>
          <w:sz w:val="22"/>
          <w:szCs w:val="22"/>
          <w:u w:val="single"/>
        </w:rPr>
      </w:pPr>
    </w:p>
    <w:p w14:paraId="456A66C2" w14:textId="77777777" w:rsidR="00BB6BFE" w:rsidRPr="00236E38" w:rsidRDefault="00BB6BFE" w:rsidP="00236E38">
      <w:pPr>
        <w:spacing w:line="360" w:lineRule="auto"/>
        <w:rPr>
          <w:rFonts w:asciiTheme="minorHAnsi" w:hAnsiTheme="minorHAnsi" w:cstheme="minorHAnsi"/>
          <w:b/>
          <w:sz w:val="22"/>
          <w:szCs w:val="22"/>
          <w:u w:val="single"/>
        </w:rPr>
      </w:pPr>
    </w:p>
    <w:p w14:paraId="2B8CA806" w14:textId="77777777" w:rsidR="00BD7120" w:rsidRPr="00236E38" w:rsidRDefault="00BD7120" w:rsidP="00236E38">
      <w:pPr>
        <w:spacing w:line="360" w:lineRule="auto"/>
        <w:jc w:val="both"/>
        <w:rPr>
          <w:rFonts w:asciiTheme="minorHAnsi" w:hAnsiTheme="minorHAnsi" w:cstheme="minorHAnsi"/>
          <w:b/>
          <w:sz w:val="22"/>
          <w:szCs w:val="22"/>
        </w:rPr>
      </w:pPr>
    </w:p>
    <w:p w14:paraId="58483D36" w14:textId="5FCC2908" w:rsidR="00BB6BFE" w:rsidRPr="00236E38" w:rsidRDefault="00BB6BFE" w:rsidP="00B81422">
      <w:pPr>
        <w:spacing w:line="360" w:lineRule="auto"/>
        <w:ind w:left="851"/>
        <w:jc w:val="both"/>
        <w:rPr>
          <w:rFonts w:asciiTheme="minorHAnsi" w:hAnsiTheme="minorHAnsi" w:cstheme="minorHAnsi"/>
          <w:b/>
          <w:sz w:val="22"/>
          <w:szCs w:val="22"/>
        </w:rPr>
      </w:pPr>
      <w:r w:rsidRPr="00236E38">
        <w:rPr>
          <w:rFonts w:asciiTheme="minorHAnsi" w:hAnsiTheme="minorHAnsi" w:cstheme="minorHAnsi"/>
          <w:b/>
          <w:sz w:val="22"/>
          <w:szCs w:val="22"/>
        </w:rPr>
        <w:t>The Commission observed following numbers of fatal and non-fatal accidents (human beings and animals) during the last two financial years.</w:t>
      </w:r>
      <w:r w:rsidR="00B81422">
        <w:rPr>
          <w:rFonts w:asciiTheme="minorHAnsi" w:hAnsiTheme="minorHAnsi" w:cstheme="minorHAnsi"/>
          <w:b/>
          <w:sz w:val="22"/>
          <w:szCs w:val="22"/>
        </w:rPr>
        <w:t xml:space="preserve"> </w:t>
      </w:r>
      <w:r w:rsidRPr="00236E38">
        <w:rPr>
          <w:rFonts w:asciiTheme="minorHAnsi" w:hAnsiTheme="minorHAnsi" w:cstheme="minorHAnsi"/>
          <w:b/>
          <w:sz w:val="22"/>
          <w:szCs w:val="22"/>
        </w:rPr>
        <w:t>The number of fatal accidents is a matter of concern. The DISCOMs shall take adequate safety measures including safety awareness programs for work place safety and public safety to create an accident (fatal/non-fatal) free environment.</w:t>
      </w:r>
    </w:p>
    <w:p w14:paraId="501E78A3" w14:textId="77777777" w:rsidR="00BD7120" w:rsidRPr="00236E38" w:rsidRDefault="00BD7120" w:rsidP="00B81422">
      <w:pPr>
        <w:spacing w:line="360" w:lineRule="auto"/>
        <w:ind w:left="851"/>
        <w:rPr>
          <w:rFonts w:asciiTheme="minorHAnsi" w:hAnsiTheme="minorHAnsi" w:cstheme="minorHAnsi"/>
          <w:b/>
          <w:color w:val="000000"/>
          <w:sz w:val="22"/>
          <w:szCs w:val="22"/>
          <w:lang w:eastAsia="en-IN"/>
        </w:rPr>
      </w:pPr>
    </w:p>
    <w:p w14:paraId="076C09F1" w14:textId="1D047C3A" w:rsidR="00BB6BFE" w:rsidRPr="00236E38" w:rsidRDefault="00BB6BFE" w:rsidP="00B81422">
      <w:pPr>
        <w:spacing w:line="360" w:lineRule="auto"/>
        <w:ind w:left="851"/>
        <w:rPr>
          <w:rFonts w:asciiTheme="minorHAnsi" w:hAnsiTheme="minorHAnsi" w:cstheme="minorHAnsi"/>
          <w:b/>
          <w:color w:val="000000"/>
          <w:sz w:val="22"/>
          <w:szCs w:val="22"/>
          <w:lang w:eastAsia="en-IN"/>
        </w:rPr>
      </w:pPr>
      <w:r w:rsidRPr="00236E38">
        <w:rPr>
          <w:rFonts w:asciiTheme="minorHAnsi" w:hAnsiTheme="minorHAnsi" w:cstheme="minorHAnsi"/>
          <w:b/>
          <w:color w:val="000000"/>
          <w:sz w:val="22"/>
          <w:szCs w:val="22"/>
          <w:lang w:eastAsia="en-IN"/>
        </w:rPr>
        <w:lastRenderedPageBreak/>
        <w:t>Compliance:</w:t>
      </w:r>
    </w:p>
    <w:p w14:paraId="56C610EE" w14:textId="77777777" w:rsidR="00BB6BFE" w:rsidRPr="00236E38" w:rsidRDefault="00BB6BFE" w:rsidP="00B81422">
      <w:pPr>
        <w:spacing w:line="360" w:lineRule="auto"/>
        <w:ind w:left="851"/>
        <w:jc w:val="both"/>
        <w:rPr>
          <w:rFonts w:asciiTheme="minorHAnsi" w:hAnsiTheme="minorHAnsi" w:cstheme="minorHAnsi"/>
          <w:color w:val="000000"/>
          <w:sz w:val="22"/>
          <w:szCs w:val="22"/>
          <w:lang w:eastAsia="en-IN"/>
        </w:rPr>
      </w:pPr>
      <w:r w:rsidRPr="00236E38">
        <w:rPr>
          <w:rFonts w:asciiTheme="minorHAnsi" w:hAnsiTheme="minorHAnsi" w:cstheme="minorHAnsi"/>
          <w:color w:val="000000"/>
          <w:sz w:val="22"/>
          <w:szCs w:val="22"/>
          <w:lang w:eastAsia="en-IN"/>
        </w:rPr>
        <w:t xml:space="preserve">Out of the 45 nos. Human fatal cases that </w:t>
      </w:r>
      <w:proofErr w:type="gramStart"/>
      <w:r w:rsidRPr="00236E38">
        <w:rPr>
          <w:rFonts w:asciiTheme="minorHAnsi" w:hAnsiTheme="minorHAnsi" w:cstheme="minorHAnsi"/>
          <w:color w:val="000000"/>
          <w:sz w:val="22"/>
          <w:szCs w:val="22"/>
          <w:lang w:eastAsia="en-IN"/>
        </w:rPr>
        <w:t>occurred  in</w:t>
      </w:r>
      <w:proofErr w:type="gramEnd"/>
      <w:r w:rsidRPr="00236E38">
        <w:rPr>
          <w:rFonts w:asciiTheme="minorHAnsi" w:hAnsiTheme="minorHAnsi" w:cstheme="minorHAnsi"/>
          <w:color w:val="000000"/>
          <w:sz w:val="22"/>
          <w:szCs w:val="22"/>
          <w:lang w:eastAsia="en-IN"/>
        </w:rPr>
        <w:t xml:space="preserve"> FY 22-23, 39 </w:t>
      </w:r>
      <w:proofErr w:type="spellStart"/>
      <w:r w:rsidRPr="00236E38">
        <w:rPr>
          <w:rFonts w:asciiTheme="minorHAnsi" w:hAnsiTheme="minorHAnsi" w:cstheme="minorHAnsi"/>
          <w:color w:val="000000"/>
          <w:sz w:val="22"/>
          <w:szCs w:val="22"/>
          <w:lang w:eastAsia="en-IN"/>
        </w:rPr>
        <w:t>nos</w:t>
      </w:r>
      <w:proofErr w:type="spellEnd"/>
      <w:r w:rsidRPr="00236E38">
        <w:rPr>
          <w:rFonts w:asciiTheme="minorHAnsi" w:hAnsiTheme="minorHAnsi" w:cstheme="minorHAnsi"/>
          <w:color w:val="000000"/>
          <w:sz w:val="22"/>
          <w:szCs w:val="22"/>
          <w:lang w:eastAsia="en-IN"/>
        </w:rPr>
        <w:t xml:space="preserve"> are public fatalities . It is also pertinent to mention here that, out of 39 Public Fatal cases, 36 cases of are due to persons unauthorizedly /unconsciously coming in contact with live line.</w:t>
      </w:r>
    </w:p>
    <w:p w14:paraId="07846503" w14:textId="77777777" w:rsidR="00BB6BFE" w:rsidRPr="00236E38" w:rsidRDefault="00BB6BFE" w:rsidP="00B81422">
      <w:pPr>
        <w:spacing w:line="360" w:lineRule="auto"/>
        <w:ind w:left="851"/>
        <w:jc w:val="both"/>
        <w:rPr>
          <w:rFonts w:asciiTheme="minorHAnsi" w:hAnsiTheme="minorHAnsi" w:cstheme="minorHAnsi"/>
          <w:color w:val="000000"/>
          <w:sz w:val="22"/>
          <w:szCs w:val="22"/>
          <w:lang w:eastAsia="en-IN"/>
        </w:rPr>
      </w:pPr>
      <w:r w:rsidRPr="00236E38">
        <w:rPr>
          <w:rFonts w:asciiTheme="minorHAnsi" w:hAnsiTheme="minorHAnsi" w:cstheme="minorHAnsi"/>
          <w:color w:val="000000"/>
          <w:sz w:val="22"/>
          <w:szCs w:val="22"/>
          <w:lang w:eastAsia="en-IN"/>
        </w:rPr>
        <w:t>However, the licensee has under taken the following initiatives to inculcate awareness both amongst the employees as well as Public to prevent such incidents:</w:t>
      </w:r>
    </w:p>
    <w:p w14:paraId="7D23E2CD" w14:textId="77777777" w:rsidR="00BB6BFE" w:rsidRPr="00236E38" w:rsidRDefault="00BB6BFE" w:rsidP="00B81422">
      <w:pPr>
        <w:spacing w:line="360" w:lineRule="auto"/>
        <w:ind w:left="567"/>
        <w:jc w:val="both"/>
        <w:rPr>
          <w:rFonts w:asciiTheme="minorHAnsi" w:hAnsiTheme="minorHAnsi" w:cstheme="minorHAnsi"/>
          <w:color w:val="000000"/>
          <w:sz w:val="22"/>
          <w:szCs w:val="22"/>
          <w:lang w:eastAsia="en-IN"/>
        </w:rPr>
      </w:pPr>
      <w:r w:rsidRPr="00236E38">
        <w:rPr>
          <w:rFonts w:asciiTheme="minorHAnsi" w:hAnsiTheme="minorHAnsi" w:cstheme="minorHAnsi"/>
          <w:b/>
          <w:sz w:val="22"/>
          <w:szCs w:val="22"/>
        </w:rPr>
        <w:t xml:space="preserve">      A. Training, capability development and competency development/</w:t>
      </w:r>
      <w:proofErr w:type="spellStart"/>
      <w:r w:rsidRPr="00236E38">
        <w:rPr>
          <w:rFonts w:asciiTheme="minorHAnsi" w:hAnsiTheme="minorHAnsi" w:cstheme="minorHAnsi"/>
          <w:b/>
          <w:sz w:val="22"/>
          <w:szCs w:val="22"/>
        </w:rPr>
        <w:t>Behaviour</w:t>
      </w:r>
      <w:proofErr w:type="spellEnd"/>
      <w:r w:rsidRPr="00236E38">
        <w:rPr>
          <w:rFonts w:asciiTheme="minorHAnsi" w:hAnsiTheme="minorHAnsi" w:cstheme="minorHAnsi"/>
          <w:b/>
          <w:sz w:val="22"/>
          <w:szCs w:val="22"/>
        </w:rPr>
        <w:t xml:space="preserve"> intervention:</w:t>
      </w:r>
      <w:r w:rsidRPr="00236E38">
        <w:rPr>
          <w:rFonts w:asciiTheme="minorHAnsi" w:hAnsiTheme="minorHAnsi" w:cstheme="minorHAnsi"/>
          <w:sz w:val="22"/>
          <w:szCs w:val="22"/>
        </w:rPr>
        <w:t xml:space="preserve"> </w:t>
      </w:r>
    </w:p>
    <w:p w14:paraId="64C0D3F2" w14:textId="77777777" w:rsidR="00BB6BFE" w:rsidRPr="00236E38" w:rsidRDefault="00BB6BFE" w:rsidP="00AB536C">
      <w:pPr>
        <w:pStyle w:val="ListParagraph"/>
        <w:numPr>
          <w:ilvl w:val="0"/>
          <w:numId w:val="46"/>
        </w:numPr>
        <w:spacing w:after="160" w:line="360" w:lineRule="auto"/>
        <w:ind w:left="1276" w:hanging="709"/>
        <w:jc w:val="both"/>
        <w:rPr>
          <w:rFonts w:asciiTheme="minorHAnsi" w:hAnsiTheme="minorHAnsi" w:cstheme="minorHAnsi"/>
        </w:rPr>
      </w:pPr>
      <w:r w:rsidRPr="00236E38">
        <w:rPr>
          <w:rFonts w:asciiTheme="minorHAnsi" w:hAnsiTheme="minorHAnsi" w:cstheme="minorHAnsi"/>
        </w:rPr>
        <w:t xml:space="preserve">Total 13 practice yards with porta cabins installed across 16 divisions and Safety Trainers hired to conduct across these training </w:t>
      </w:r>
      <w:proofErr w:type="spellStart"/>
      <w:r w:rsidRPr="00236E38">
        <w:rPr>
          <w:rFonts w:asciiTheme="minorHAnsi" w:hAnsiTheme="minorHAnsi" w:cstheme="minorHAnsi"/>
        </w:rPr>
        <w:t>centre</w:t>
      </w:r>
      <w:proofErr w:type="spellEnd"/>
      <w:r w:rsidRPr="00236E38">
        <w:rPr>
          <w:rFonts w:asciiTheme="minorHAnsi" w:hAnsiTheme="minorHAnsi" w:cstheme="minorHAnsi"/>
        </w:rPr>
        <w:t xml:space="preserve"> additions to that TPSDI training </w:t>
      </w:r>
      <w:proofErr w:type="spellStart"/>
      <w:r w:rsidRPr="00236E38">
        <w:rPr>
          <w:rFonts w:asciiTheme="minorHAnsi" w:hAnsiTheme="minorHAnsi" w:cstheme="minorHAnsi"/>
        </w:rPr>
        <w:t>centre</w:t>
      </w:r>
      <w:proofErr w:type="spellEnd"/>
      <w:r w:rsidRPr="00236E38">
        <w:rPr>
          <w:rFonts w:asciiTheme="minorHAnsi" w:hAnsiTheme="minorHAnsi" w:cstheme="minorHAnsi"/>
        </w:rPr>
        <w:t xml:space="preserve"> is installed at CED, </w:t>
      </w:r>
      <w:proofErr w:type="spellStart"/>
      <w:r w:rsidRPr="00236E38">
        <w:rPr>
          <w:rFonts w:asciiTheme="minorHAnsi" w:hAnsiTheme="minorHAnsi" w:cstheme="minorHAnsi"/>
        </w:rPr>
        <w:t>Balasore</w:t>
      </w:r>
      <w:proofErr w:type="spellEnd"/>
      <w:r w:rsidRPr="00236E38">
        <w:rPr>
          <w:rFonts w:asciiTheme="minorHAnsi" w:hAnsiTheme="minorHAnsi" w:cstheme="minorHAnsi"/>
        </w:rPr>
        <w:t xml:space="preserve"> for L1, L2 &amp; L3 safety training.</w:t>
      </w:r>
    </w:p>
    <w:p w14:paraId="548FE652" w14:textId="77777777" w:rsidR="00BB6BFE" w:rsidRPr="00236E38" w:rsidRDefault="00BB6BFE" w:rsidP="00AB536C">
      <w:pPr>
        <w:pStyle w:val="Default"/>
        <w:numPr>
          <w:ilvl w:val="0"/>
          <w:numId w:val="46"/>
        </w:numPr>
        <w:spacing w:line="360" w:lineRule="auto"/>
        <w:ind w:left="1276" w:hanging="709"/>
        <w:jc w:val="both"/>
        <w:rPr>
          <w:rFonts w:asciiTheme="minorHAnsi" w:hAnsiTheme="minorHAnsi" w:cstheme="minorBidi"/>
          <w:sz w:val="22"/>
          <w:szCs w:val="22"/>
          <w:lang w:val="en-US"/>
        </w:rPr>
      </w:pPr>
      <w:r w:rsidRPr="1C7A3D4D">
        <w:rPr>
          <w:rFonts w:asciiTheme="minorHAnsi" w:hAnsiTheme="minorHAnsi" w:cstheme="minorBidi"/>
          <w:sz w:val="22"/>
          <w:szCs w:val="22"/>
          <w:lang w:val="en-US"/>
        </w:rPr>
        <w:t>All the workmen are undergoing monthly theme-based training such as Work at height, Electrical Safety, Fire Safety Etc.</w:t>
      </w:r>
    </w:p>
    <w:p w14:paraId="2F83B7D9" w14:textId="77777777" w:rsidR="00BB6BFE" w:rsidRPr="00236E38" w:rsidRDefault="00BB6BFE" w:rsidP="00AB536C">
      <w:pPr>
        <w:pStyle w:val="Default"/>
        <w:numPr>
          <w:ilvl w:val="0"/>
          <w:numId w:val="46"/>
        </w:numPr>
        <w:spacing w:line="360" w:lineRule="auto"/>
        <w:ind w:left="1276" w:hanging="709"/>
        <w:jc w:val="both"/>
        <w:rPr>
          <w:rFonts w:asciiTheme="minorHAnsi" w:hAnsiTheme="minorHAnsi" w:cstheme="minorBidi"/>
          <w:sz w:val="22"/>
          <w:szCs w:val="22"/>
          <w:lang w:val="en-US"/>
        </w:rPr>
      </w:pPr>
      <w:r w:rsidRPr="1C7A3D4D">
        <w:rPr>
          <w:rFonts w:asciiTheme="minorHAnsi" w:hAnsiTheme="minorHAnsi" w:cstheme="minorBidi"/>
          <w:sz w:val="22"/>
          <w:szCs w:val="22"/>
          <w:lang w:val="en-US"/>
        </w:rPr>
        <w:t>Fire Extinguisher demonstration conduct at each office and PSS to aware TPNODL employee as well as BA employee to use Fire extinguisher.</w:t>
      </w:r>
    </w:p>
    <w:p w14:paraId="6B30D46C" w14:textId="77777777" w:rsidR="00BB6BFE" w:rsidRPr="00236E38" w:rsidRDefault="00BB6BFE" w:rsidP="00AB536C">
      <w:pPr>
        <w:pStyle w:val="Default"/>
        <w:numPr>
          <w:ilvl w:val="0"/>
          <w:numId w:val="46"/>
        </w:numPr>
        <w:spacing w:line="360" w:lineRule="auto"/>
        <w:ind w:left="1276" w:hanging="709"/>
        <w:jc w:val="both"/>
        <w:rPr>
          <w:rFonts w:asciiTheme="minorHAnsi" w:hAnsiTheme="minorHAnsi" w:cstheme="minorHAnsi"/>
          <w:sz w:val="22"/>
          <w:szCs w:val="22"/>
        </w:rPr>
      </w:pPr>
      <w:r w:rsidRPr="00236E38">
        <w:rPr>
          <w:rFonts w:asciiTheme="minorHAnsi" w:hAnsiTheme="minorHAnsi" w:cstheme="minorHAnsi"/>
          <w:sz w:val="22"/>
          <w:szCs w:val="22"/>
        </w:rPr>
        <w:t xml:space="preserve">Basic First aid training conducted across PSS and offices </w:t>
      </w:r>
    </w:p>
    <w:p w14:paraId="4B523635" w14:textId="77777777" w:rsidR="00BB6BFE" w:rsidRPr="00236E38" w:rsidRDefault="00BB6BFE" w:rsidP="00AB536C">
      <w:pPr>
        <w:pStyle w:val="Default"/>
        <w:numPr>
          <w:ilvl w:val="0"/>
          <w:numId w:val="46"/>
        </w:numPr>
        <w:spacing w:line="360" w:lineRule="auto"/>
        <w:ind w:left="1276" w:hanging="709"/>
        <w:jc w:val="both"/>
        <w:rPr>
          <w:rFonts w:asciiTheme="minorHAnsi" w:hAnsiTheme="minorHAnsi" w:cstheme="minorBidi"/>
          <w:sz w:val="22"/>
          <w:szCs w:val="22"/>
          <w:lang w:val="en-US"/>
        </w:rPr>
      </w:pPr>
      <w:proofErr w:type="spellStart"/>
      <w:r w:rsidRPr="1C7A3D4D">
        <w:rPr>
          <w:rFonts w:asciiTheme="minorHAnsi" w:hAnsiTheme="minorHAnsi" w:cstheme="minorBidi"/>
          <w:sz w:val="22"/>
          <w:szCs w:val="22"/>
          <w:lang w:val="en-US"/>
        </w:rPr>
        <w:t>Behaviour</w:t>
      </w:r>
      <w:proofErr w:type="spellEnd"/>
      <w:r w:rsidRPr="1C7A3D4D">
        <w:rPr>
          <w:rFonts w:asciiTheme="minorHAnsi" w:hAnsiTheme="minorHAnsi" w:cstheme="minorBidi"/>
          <w:sz w:val="22"/>
          <w:szCs w:val="22"/>
          <w:lang w:val="en-US"/>
        </w:rPr>
        <w:t xml:space="preserve">-based safety training and Jeevan Ki </w:t>
      </w:r>
      <w:proofErr w:type="spellStart"/>
      <w:r w:rsidRPr="1C7A3D4D">
        <w:rPr>
          <w:rFonts w:asciiTheme="minorHAnsi" w:hAnsiTheme="minorHAnsi" w:cstheme="minorBidi"/>
          <w:sz w:val="22"/>
          <w:szCs w:val="22"/>
          <w:lang w:val="en-US"/>
        </w:rPr>
        <w:t>Aur</w:t>
      </w:r>
      <w:proofErr w:type="spellEnd"/>
      <w:r w:rsidRPr="1C7A3D4D">
        <w:rPr>
          <w:rFonts w:asciiTheme="minorHAnsi" w:hAnsiTheme="minorHAnsi" w:cstheme="minorBidi"/>
          <w:sz w:val="22"/>
          <w:szCs w:val="22"/>
          <w:lang w:val="en-US"/>
        </w:rPr>
        <w:t xml:space="preserve"> a unique </w:t>
      </w:r>
      <w:proofErr w:type="spellStart"/>
      <w:r w:rsidRPr="1C7A3D4D">
        <w:rPr>
          <w:rFonts w:asciiTheme="minorHAnsi" w:hAnsiTheme="minorHAnsi" w:cstheme="minorBidi"/>
          <w:sz w:val="22"/>
          <w:szCs w:val="22"/>
          <w:lang w:val="en-US"/>
        </w:rPr>
        <w:t>behavioural</w:t>
      </w:r>
      <w:proofErr w:type="spellEnd"/>
      <w:r w:rsidRPr="1C7A3D4D">
        <w:rPr>
          <w:rFonts w:asciiTheme="minorHAnsi" w:hAnsiTheme="minorHAnsi" w:cstheme="minorBidi"/>
          <w:sz w:val="22"/>
          <w:szCs w:val="22"/>
          <w:lang w:val="en-US"/>
        </w:rPr>
        <w:t xml:space="preserve"> based </w:t>
      </w:r>
      <w:proofErr w:type="spellStart"/>
      <w:r w:rsidRPr="1C7A3D4D">
        <w:rPr>
          <w:rFonts w:asciiTheme="minorHAnsi" w:hAnsiTheme="minorHAnsi" w:cstheme="minorBidi"/>
          <w:sz w:val="22"/>
          <w:szCs w:val="22"/>
          <w:lang w:val="en-US"/>
        </w:rPr>
        <w:t>i</w:t>
      </w:r>
      <w:proofErr w:type="spellEnd"/>
      <w:r w:rsidRPr="1C7A3D4D">
        <w:rPr>
          <w:rFonts w:asciiTheme="minorHAnsi" w:hAnsiTheme="minorHAnsi" w:cstheme="minorBidi"/>
          <w:sz w:val="22"/>
          <w:szCs w:val="22"/>
          <w:lang w:val="en-US"/>
        </w:rPr>
        <w:t xml:space="preserve"> intervention provided by M/s </w:t>
      </w:r>
      <w:proofErr w:type="spellStart"/>
      <w:r w:rsidRPr="1C7A3D4D">
        <w:rPr>
          <w:rFonts w:asciiTheme="minorHAnsi" w:hAnsiTheme="minorHAnsi" w:cstheme="minorBidi"/>
          <w:sz w:val="22"/>
          <w:szCs w:val="22"/>
          <w:lang w:val="en-US"/>
        </w:rPr>
        <w:t>Akaar</w:t>
      </w:r>
      <w:proofErr w:type="spellEnd"/>
      <w:r w:rsidRPr="1C7A3D4D">
        <w:rPr>
          <w:rFonts w:asciiTheme="minorHAnsi" w:hAnsiTheme="minorHAnsi" w:cstheme="minorBidi"/>
          <w:sz w:val="22"/>
          <w:szCs w:val="22"/>
          <w:lang w:val="en-US"/>
        </w:rPr>
        <w:t xml:space="preserve"> Empowerment across TPNODL.</w:t>
      </w:r>
    </w:p>
    <w:p w14:paraId="2BF67C93" w14:textId="77777777" w:rsidR="00BB6BFE" w:rsidRPr="00236E38" w:rsidRDefault="00BB6BFE" w:rsidP="00AB536C">
      <w:pPr>
        <w:pStyle w:val="Default"/>
        <w:numPr>
          <w:ilvl w:val="0"/>
          <w:numId w:val="46"/>
        </w:numPr>
        <w:spacing w:line="360" w:lineRule="auto"/>
        <w:ind w:left="1276" w:hanging="709"/>
        <w:jc w:val="both"/>
        <w:rPr>
          <w:rFonts w:asciiTheme="minorHAnsi" w:hAnsiTheme="minorHAnsi" w:cstheme="minorBidi"/>
          <w:sz w:val="22"/>
          <w:szCs w:val="22"/>
          <w:lang w:val="en-US"/>
        </w:rPr>
      </w:pPr>
      <w:r w:rsidRPr="1C7A3D4D">
        <w:rPr>
          <w:rFonts w:asciiTheme="minorHAnsi" w:hAnsiTheme="minorHAnsi" w:cstheme="minorBidi"/>
          <w:sz w:val="22"/>
          <w:szCs w:val="22"/>
          <w:lang w:val="en-US"/>
        </w:rPr>
        <w:t xml:space="preserve">Employee family awareness program such as “Hum </w:t>
      </w:r>
      <w:proofErr w:type="spellStart"/>
      <w:r w:rsidRPr="1C7A3D4D">
        <w:rPr>
          <w:rFonts w:asciiTheme="minorHAnsi" w:hAnsiTheme="minorHAnsi" w:cstheme="minorBidi"/>
          <w:sz w:val="22"/>
          <w:szCs w:val="22"/>
          <w:lang w:val="en-US"/>
        </w:rPr>
        <w:t>Surakshit</w:t>
      </w:r>
      <w:proofErr w:type="spellEnd"/>
      <w:r w:rsidRPr="1C7A3D4D">
        <w:rPr>
          <w:rFonts w:asciiTheme="minorHAnsi" w:hAnsiTheme="minorHAnsi" w:cstheme="minorBidi"/>
          <w:sz w:val="22"/>
          <w:szCs w:val="22"/>
          <w:lang w:val="en-US"/>
        </w:rPr>
        <w:t xml:space="preserve"> </w:t>
      </w:r>
      <w:proofErr w:type="spellStart"/>
      <w:r w:rsidRPr="1C7A3D4D">
        <w:rPr>
          <w:rFonts w:asciiTheme="minorHAnsi" w:hAnsiTheme="minorHAnsi" w:cstheme="minorBidi"/>
          <w:sz w:val="22"/>
          <w:szCs w:val="22"/>
          <w:lang w:val="en-US"/>
        </w:rPr>
        <w:t>Ghar</w:t>
      </w:r>
      <w:proofErr w:type="spellEnd"/>
      <w:r w:rsidRPr="1C7A3D4D">
        <w:rPr>
          <w:rFonts w:asciiTheme="minorHAnsi" w:hAnsiTheme="minorHAnsi" w:cstheme="minorBidi"/>
          <w:sz w:val="22"/>
          <w:szCs w:val="22"/>
          <w:lang w:val="en-US"/>
        </w:rPr>
        <w:t xml:space="preserve"> </w:t>
      </w:r>
      <w:proofErr w:type="spellStart"/>
      <w:r w:rsidRPr="1C7A3D4D">
        <w:rPr>
          <w:rFonts w:asciiTheme="minorHAnsi" w:hAnsiTheme="minorHAnsi" w:cstheme="minorBidi"/>
          <w:sz w:val="22"/>
          <w:szCs w:val="22"/>
          <w:lang w:val="en-US"/>
        </w:rPr>
        <w:t>Surakshit</w:t>
      </w:r>
      <w:proofErr w:type="spellEnd"/>
      <w:r w:rsidRPr="1C7A3D4D">
        <w:rPr>
          <w:rFonts w:asciiTheme="minorHAnsi" w:hAnsiTheme="minorHAnsi" w:cstheme="minorBidi"/>
          <w:sz w:val="22"/>
          <w:szCs w:val="22"/>
          <w:lang w:val="en-US"/>
        </w:rPr>
        <w:t xml:space="preserve">” Involvement of family members of workmen to ensure abidance of safety rules while their family members are coming back at home to reinforce safe practice adoption. </w:t>
      </w:r>
    </w:p>
    <w:p w14:paraId="2A15EDC4" w14:textId="77777777" w:rsidR="00BB6BFE" w:rsidRPr="00236E38" w:rsidRDefault="00BB6BFE" w:rsidP="00236E38">
      <w:pPr>
        <w:widowControl w:val="0"/>
        <w:autoSpaceDE w:val="0"/>
        <w:autoSpaceDN w:val="0"/>
        <w:spacing w:before="116" w:line="360" w:lineRule="auto"/>
        <w:ind w:left="1276" w:hanging="709"/>
        <w:jc w:val="both"/>
        <w:rPr>
          <w:rFonts w:asciiTheme="minorHAnsi" w:eastAsia="Trebuchet MS" w:hAnsiTheme="minorHAnsi" w:cstheme="minorHAnsi"/>
          <w:sz w:val="22"/>
          <w:szCs w:val="22"/>
        </w:rPr>
      </w:pPr>
    </w:p>
    <w:p w14:paraId="264F544B" w14:textId="77777777" w:rsidR="00BB6BFE" w:rsidRPr="00236E38" w:rsidRDefault="00BB6BFE" w:rsidP="00236E38">
      <w:pPr>
        <w:spacing w:line="360" w:lineRule="auto"/>
        <w:ind w:left="1276" w:hanging="709"/>
        <w:jc w:val="both"/>
        <w:rPr>
          <w:rFonts w:asciiTheme="minorHAnsi" w:hAnsiTheme="minorHAnsi" w:cstheme="minorHAnsi"/>
          <w:b/>
          <w:sz w:val="22"/>
          <w:szCs w:val="22"/>
        </w:rPr>
      </w:pPr>
      <w:r w:rsidRPr="00236E38">
        <w:rPr>
          <w:rFonts w:asciiTheme="minorHAnsi" w:hAnsiTheme="minorHAnsi" w:cstheme="minorHAnsi"/>
          <w:b/>
          <w:sz w:val="22"/>
          <w:szCs w:val="22"/>
        </w:rPr>
        <w:t xml:space="preserve">    B. Step change is taken to reduce accidents: -</w:t>
      </w:r>
    </w:p>
    <w:p w14:paraId="4C617DCA" w14:textId="77777777" w:rsidR="00BB6BFE" w:rsidRPr="00236E38" w:rsidRDefault="00BB6BFE" w:rsidP="00236E38">
      <w:pPr>
        <w:spacing w:line="360" w:lineRule="auto"/>
        <w:ind w:left="1276" w:hanging="709"/>
        <w:jc w:val="both"/>
        <w:rPr>
          <w:rFonts w:asciiTheme="minorHAnsi" w:hAnsiTheme="minorHAnsi" w:cstheme="minorHAnsi"/>
          <w:b/>
          <w:sz w:val="22"/>
          <w:szCs w:val="22"/>
        </w:rPr>
      </w:pPr>
    </w:p>
    <w:p w14:paraId="53237F3B" w14:textId="77777777" w:rsidR="00BB6BFE" w:rsidRPr="00236E38" w:rsidRDefault="00BB6BFE" w:rsidP="00AB536C">
      <w:pPr>
        <w:pStyle w:val="ListParagraph"/>
        <w:numPr>
          <w:ilvl w:val="0"/>
          <w:numId w:val="17"/>
        </w:numPr>
        <w:spacing w:after="0" w:line="360" w:lineRule="auto"/>
        <w:ind w:left="1276" w:hanging="709"/>
        <w:contextualSpacing w:val="0"/>
        <w:jc w:val="both"/>
        <w:rPr>
          <w:rFonts w:asciiTheme="minorHAnsi" w:hAnsiTheme="minorHAnsi" w:cstheme="minorHAnsi"/>
        </w:rPr>
      </w:pPr>
      <w:r w:rsidRPr="00236E38">
        <w:rPr>
          <w:rFonts w:asciiTheme="minorHAnsi" w:hAnsiTheme="minorHAnsi" w:cstheme="minorHAnsi"/>
          <w:b/>
          <w:bCs/>
        </w:rPr>
        <w:t xml:space="preserve">Innovative Pole climber </w:t>
      </w:r>
      <w:r w:rsidRPr="00236E38">
        <w:rPr>
          <w:rFonts w:asciiTheme="minorHAnsi" w:hAnsiTheme="minorHAnsi" w:cstheme="minorHAnsi"/>
        </w:rPr>
        <w:t xml:space="preserve">Designed pole climber and implemented in 2 circles. It is easy to carry on </w:t>
      </w:r>
      <w:proofErr w:type="gramStart"/>
      <w:r w:rsidRPr="00236E38">
        <w:rPr>
          <w:rFonts w:asciiTheme="minorHAnsi" w:hAnsiTheme="minorHAnsi" w:cstheme="minorHAnsi"/>
        </w:rPr>
        <w:t>two wheeler</w:t>
      </w:r>
      <w:proofErr w:type="gramEnd"/>
      <w:r w:rsidRPr="00236E38">
        <w:rPr>
          <w:rFonts w:asciiTheme="minorHAnsi" w:hAnsiTheme="minorHAnsi" w:cstheme="minorHAnsi"/>
        </w:rPr>
        <w:t xml:space="preserve"> and replacing ladder. Because carrying ladder on two-wheeler is difficult.</w:t>
      </w:r>
    </w:p>
    <w:p w14:paraId="13D4D3E7" w14:textId="77777777" w:rsidR="00BB6BFE" w:rsidRPr="00236E38" w:rsidRDefault="00BB6BFE" w:rsidP="00AB536C">
      <w:pPr>
        <w:pStyle w:val="ListParagraph"/>
        <w:numPr>
          <w:ilvl w:val="0"/>
          <w:numId w:val="17"/>
        </w:numPr>
        <w:spacing w:after="0" w:line="360" w:lineRule="auto"/>
        <w:ind w:left="1276" w:hanging="709"/>
        <w:contextualSpacing w:val="0"/>
        <w:jc w:val="both"/>
        <w:rPr>
          <w:rFonts w:asciiTheme="minorHAnsi" w:hAnsiTheme="minorHAnsi" w:cstheme="minorHAnsi"/>
        </w:rPr>
      </w:pPr>
      <w:r w:rsidRPr="00236E38">
        <w:rPr>
          <w:rFonts w:asciiTheme="minorHAnsi" w:hAnsiTheme="minorHAnsi" w:cstheme="minorHAnsi"/>
        </w:rPr>
        <w:t>I</w:t>
      </w:r>
      <w:r w:rsidRPr="00236E38">
        <w:rPr>
          <w:rFonts w:asciiTheme="minorHAnsi" w:hAnsiTheme="minorHAnsi" w:cstheme="minorHAnsi"/>
          <w:b/>
          <w:bCs/>
        </w:rPr>
        <w:t xml:space="preserve">nnovative Self-locking Spring Controlled clamp </w:t>
      </w:r>
      <w:r w:rsidRPr="00236E38">
        <w:rPr>
          <w:rFonts w:asciiTheme="minorHAnsi" w:hAnsiTheme="minorHAnsi" w:cstheme="minorHAnsi"/>
        </w:rPr>
        <w:t>used to overcome the problem of carrying 6 no. of discharge rods by two-wheeler.</w:t>
      </w:r>
    </w:p>
    <w:p w14:paraId="66D1F3BF" w14:textId="77777777" w:rsidR="00BB6BFE" w:rsidRPr="00236E38" w:rsidRDefault="00BB6BFE" w:rsidP="00AB536C">
      <w:pPr>
        <w:pStyle w:val="ListParagraph"/>
        <w:numPr>
          <w:ilvl w:val="0"/>
          <w:numId w:val="17"/>
        </w:numPr>
        <w:spacing w:after="0" w:line="360" w:lineRule="auto"/>
        <w:ind w:left="1276" w:hanging="709"/>
        <w:contextualSpacing w:val="0"/>
        <w:jc w:val="both"/>
        <w:rPr>
          <w:rFonts w:asciiTheme="minorHAnsi" w:hAnsiTheme="minorHAnsi" w:cstheme="minorHAnsi"/>
        </w:rPr>
      </w:pPr>
      <w:r w:rsidRPr="00236E38">
        <w:rPr>
          <w:rFonts w:asciiTheme="minorHAnsi" w:hAnsiTheme="minorHAnsi" w:cstheme="minorHAnsi"/>
          <w:b/>
          <w:bCs/>
        </w:rPr>
        <w:t xml:space="preserve">Audiovisual indicators of full body harness to detect anchoring and wearing a helmet. </w:t>
      </w:r>
      <w:r w:rsidRPr="00236E38">
        <w:rPr>
          <w:rFonts w:asciiTheme="minorHAnsi" w:hAnsiTheme="minorHAnsi" w:cstheme="minorHAnsi"/>
        </w:rPr>
        <w:t xml:space="preserve">FBH equipped with LED to visualize of anchoring hooks and wearing a helmet. The red color LED will blink while wearing the FBH and fastening the waist strap. </w:t>
      </w:r>
    </w:p>
    <w:p w14:paraId="1F80D462" w14:textId="77777777" w:rsidR="00BB6BFE" w:rsidRPr="00236E38" w:rsidRDefault="00BB6BFE" w:rsidP="00AB536C">
      <w:pPr>
        <w:pStyle w:val="ListParagraph"/>
        <w:numPr>
          <w:ilvl w:val="0"/>
          <w:numId w:val="17"/>
        </w:numPr>
        <w:spacing w:after="0" w:line="360" w:lineRule="auto"/>
        <w:ind w:left="1276" w:hanging="709"/>
        <w:contextualSpacing w:val="0"/>
        <w:jc w:val="both"/>
        <w:rPr>
          <w:rFonts w:asciiTheme="minorHAnsi" w:hAnsiTheme="minorHAnsi" w:cstheme="minorHAnsi"/>
          <w:b/>
        </w:rPr>
      </w:pPr>
      <w:r w:rsidRPr="00236E38">
        <w:rPr>
          <w:rFonts w:asciiTheme="minorHAnsi" w:hAnsiTheme="minorHAnsi" w:cstheme="minorHAnsi"/>
          <w:b/>
        </w:rPr>
        <w:t xml:space="preserve">Suraksha </w:t>
      </w:r>
      <w:proofErr w:type="spellStart"/>
      <w:proofErr w:type="gramStart"/>
      <w:r w:rsidRPr="00236E38">
        <w:rPr>
          <w:rFonts w:asciiTheme="minorHAnsi" w:hAnsiTheme="minorHAnsi" w:cstheme="minorHAnsi"/>
          <w:b/>
        </w:rPr>
        <w:t>Prahari</w:t>
      </w:r>
      <w:proofErr w:type="spellEnd"/>
      <w:r w:rsidRPr="00236E38">
        <w:rPr>
          <w:rFonts w:asciiTheme="minorHAnsi" w:hAnsiTheme="minorHAnsi" w:cstheme="minorHAnsi"/>
          <w:b/>
        </w:rPr>
        <w:t>:-</w:t>
      </w:r>
      <w:proofErr w:type="gramEnd"/>
      <w:r w:rsidRPr="00236E38">
        <w:rPr>
          <w:rFonts w:asciiTheme="minorHAnsi" w:hAnsiTheme="minorHAnsi" w:cstheme="minorHAnsi"/>
          <w:b/>
        </w:rPr>
        <w:t xml:space="preserve">  </w:t>
      </w:r>
      <w:r w:rsidRPr="00236E38">
        <w:rPr>
          <w:rFonts w:asciiTheme="minorHAnsi" w:hAnsiTheme="minorHAnsi" w:cstheme="minorHAnsi"/>
        </w:rPr>
        <w:t>Application based software to report safety observation. 32,000+ observation reported till date.</w:t>
      </w:r>
    </w:p>
    <w:p w14:paraId="2C607FF4" w14:textId="77777777" w:rsidR="00BB6BFE" w:rsidRPr="00236E38" w:rsidRDefault="00BB6BFE" w:rsidP="00AB536C">
      <w:pPr>
        <w:pStyle w:val="ListParagraph"/>
        <w:numPr>
          <w:ilvl w:val="0"/>
          <w:numId w:val="17"/>
        </w:numPr>
        <w:spacing w:after="0" w:line="360" w:lineRule="auto"/>
        <w:ind w:left="1276" w:hanging="709"/>
        <w:contextualSpacing w:val="0"/>
        <w:jc w:val="both"/>
        <w:rPr>
          <w:rFonts w:asciiTheme="minorHAnsi" w:hAnsiTheme="minorHAnsi" w:cstheme="minorHAnsi"/>
        </w:rPr>
      </w:pPr>
      <w:r w:rsidRPr="00236E38">
        <w:rPr>
          <w:rFonts w:asciiTheme="minorHAnsi" w:hAnsiTheme="minorHAnsi" w:cstheme="minorHAnsi"/>
          <w:b/>
        </w:rPr>
        <w:lastRenderedPageBreak/>
        <w:t>Drone AI</w:t>
      </w:r>
      <w:r w:rsidRPr="00236E38">
        <w:rPr>
          <w:rFonts w:asciiTheme="minorHAnsi" w:hAnsiTheme="minorHAnsi" w:cstheme="minorHAnsi"/>
        </w:rPr>
        <w:t xml:space="preserve">: - A unique approach of safety visit in which drone is use for safety site visit finding the violation with the help of AI. </w:t>
      </w:r>
    </w:p>
    <w:p w14:paraId="0D199101" w14:textId="77777777" w:rsidR="00BB6BFE" w:rsidRPr="00236E38" w:rsidRDefault="00BB6BFE" w:rsidP="00AB536C">
      <w:pPr>
        <w:pStyle w:val="ListParagraph"/>
        <w:numPr>
          <w:ilvl w:val="0"/>
          <w:numId w:val="17"/>
        </w:numPr>
        <w:spacing w:after="0" w:line="360" w:lineRule="auto"/>
        <w:ind w:left="1276" w:hanging="709"/>
        <w:contextualSpacing w:val="0"/>
        <w:jc w:val="both"/>
        <w:rPr>
          <w:rFonts w:asciiTheme="minorHAnsi" w:hAnsiTheme="minorHAnsi" w:cstheme="minorHAnsi"/>
        </w:rPr>
      </w:pPr>
      <w:r w:rsidRPr="00236E38">
        <w:rPr>
          <w:rFonts w:asciiTheme="minorHAnsi" w:hAnsiTheme="minorHAnsi" w:cstheme="minorHAnsi"/>
          <w:b/>
        </w:rPr>
        <w:t xml:space="preserve">Camera Mounted Safety Helmet: - </w:t>
      </w:r>
      <w:r w:rsidRPr="00236E38">
        <w:rPr>
          <w:rFonts w:asciiTheme="minorHAnsi" w:hAnsiTheme="minorHAnsi" w:cstheme="minorHAnsi"/>
        </w:rPr>
        <w:t>Safety helmet is integrated with a camera with the top to supervisor the worksite.</w:t>
      </w:r>
    </w:p>
    <w:p w14:paraId="28DC9347" w14:textId="77777777" w:rsidR="00BB6BFE" w:rsidRPr="00236E38" w:rsidRDefault="00BB6BFE" w:rsidP="00AB536C">
      <w:pPr>
        <w:pStyle w:val="ListParagraph"/>
        <w:numPr>
          <w:ilvl w:val="0"/>
          <w:numId w:val="17"/>
        </w:numPr>
        <w:spacing w:after="0" w:line="360" w:lineRule="auto"/>
        <w:ind w:left="1276" w:hanging="709"/>
        <w:contextualSpacing w:val="0"/>
        <w:jc w:val="both"/>
        <w:rPr>
          <w:rFonts w:asciiTheme="minorHAnsi" w:hAnsiTheme="minorHAnsi" w:cstheme="minorHAnsi"/>
        </w:rPr>
      </w:pPr>
      <w:r w:rsidRPr="00236E38">
        <w:rPr>
          <w:rFonts w:asciiTheme="minorHAnsi" w:hAnsiTheme="minorHAnsi" w:cstheme="minorHAnsi"/>
          <w:b/>
        </w:rPr>
        <w:t>JSA APP</w:t>
      </w:r>
      <w:r w:rsidRPr="00236E38">
        <w:rPr>
          <w:rFonts w:asciiTheme="minorHAnsi" w:hAnsiTheme="minorHAnsi" w:cstheme="minorHAnsi"/>
        </w:rPr>
        <w:t>: - Application based software in which JSA taken be issued, reviewed and approved</w:t>
      </w:r>
    </w:p>
    <w:p w14:paraId="310AE24F" w14:textId="77777777" w:rsidR="00BB6BFE" w:rsidRPr="00236E38" w:rsidRDefault="00BB6BFE" w:rsidP="00236E38">
      <w:pPr>
        <w:spacing w:line="360" w:lineRule="auto"/>
        <w:ind w:left="1276" w:hanging="709"/>
        <w:rPr>
          <w:rFonts w:asciiTheme="minorHAnsi" w:hAnsiTheme="minorHAnsi" w:cstheme="minorHAnsi"/>
          <w:sz w:val="22"/>
          <w:szCs w:val="22"/>
        </w:rPr>
      </w:pPr>
    </w:p>
    <w:p w14:paraId="0998D089" w14:textId="77777777" w:rsidR="00BB6BFE" w:rsidRPr="00236E38" w:rsidRDefault="00BB6BFE" w:rsidP="00236E38">
      <w:pPr>
        <w:pStyle w:val="Default"/>
        <w:spacing w:line="360" w:lineRule="auto"/>
        <w:ind w:left="1276" w:hanging="709"/>
        <w:rPr>
          <w:rFonts w:asciiTheme="minorHAnsi" w:hAnsiTheme="minorHAnsi" w:cstheme="minorHAnsi"/>
          <w:b/>
          <w:color w:val="auto"/>
          <w:sz w:val="22"/>
          <w:szCs w:val="22"/>
        </w:rPr>
      </w:pPr>
      <w:r w:rsidRPr="00236E38">
        <w:rPr>
          <w:rFonts w:asciiTheme="minorHAnsi" w:hAnsiTheme="minorHAnsi" w:cstheme="minorHAnsi"/>
          <w:b/>
          <w:color w:val="auto"/>
          <w:sz w:val="22"/>
          <w:szCs w:val="22"/>
        </w:rPr>
        <w:t xml:space="preserve">      C. Process Development: </w:t>
      </w:r>
    </w:p>
    <w:p w14:paraId="4684D775" w14:textId="77777777" w:rsidR="00BB6BFE" w:rsidRPr="00236E38" w:rsidRDefault="00BB6BFE" w:rsidP="00236E38">
      <w:pPr>
        <w:pStyle w:val="Default"/>
        <w:spacing w:line="360" w:lineRule="auto"/>
        <w:ind w:left="1276" w:hanging="709"/>
        <w:rPr>
          <w:rFonts w:asciiTheme="minorHAnsi" w:hAnsiTheme="minorHAnsi" w:cstheme="minorHAnsi"/>
          <w:sz w:val="22"/>
          <w:szCs w:val="22"/>
        </w:rPr>
      </w:pPr>
    </w:p>
    <w:p w14:paraId="714A8C7A" w14:textId="77777777" w:rsidR="00BB6BFE" w:rsidRPr="00236E38" w:rsidRDefault="00BB6BFE" w:rsidP="00AB536C">
      <w:pPr>
        <w:pStyle w:val="ListParagraph"/>
        <w:numPr>
          <w:ilvl w:val="0"/>
          <w:numId w:val="17"/>
        </w:numPr>
        <w:spacing w:after="0" w:line="360" w:lineRule="auto"/>
        <w:ind w:left="1276" w:hanging="709"/>
        <w:contextualSpacing w:val="0"/>
        <w:jc w:val="both"/>
        <w:rPr>
          <w:rFonts w:asciiTheme="minorHAnsi" w:hAnsiTheme="minorHAnsi" w:cstheme="minorHAnsi"/>
          <w:bCs/>
        </w:rPr>
      </w:pPr>
      <w:r w:rsidRPr="00236E38">
        <w:rPr>
          <w:rFonts w:asciiTheme="minorHAnsi" w:hAnsiTheme="minorHAnsi" w:cstheme="minorHAnsi"/>
          <w:bCs/>
        </w:rPr>
        <w:t>Job Safety Analysis -JSA prepared for all non-routine activities. Site specific JSA has been carried out by Project Engineer /Section Manager and approved by immediate superior for all planned maintenance jobs. Every JSA must have the SLD showing the isolation points &amp; discharge rod locations. Joint survey and risk assessment have been carried out by visiting the worksite by Operations, Projects &amp; BA teams. No PTW is released without JSA.</w:t>
      </w:r>
    </w:p>
    <w:p w14:paraId="53FC1084" w14:textId="77777777" w:rsidR="00BB6BFE" w:rsidRPr="00236E38" w:rsidRDefault="00BB6BFE" w:rsidP="00AB536C">
      <w:pPr>
        <w:pStyle w:val="ListParagraph"/>
        <w:numPr>
          <w:ilvl w:val="0"/>
          <w:numId w:val="17"/>
        </w:numPr>
        <w:spacing w:after="0" w:line="360" w:lineRule="auto"/>
        <w:ind w:left="1276" w:hanging="709"/>
        <w:contextualSpacing w:val="0"/>
        <w:jc w:val="both"/>
        <w:rPr>
          <w:rFonts w:asciiTheme="minorHAnsi" w:hAnsiTheme="minorHAnsi" w:cstheme="minorHAnsi"/>
          <w:bCs/>
        </w:rPr>
      </w:pPr>
      <w:r w:rsidRPr="00236E38">
        <w:rPr>
          <w:rFonts w:asciiTheme="minorHAnsi" w:hAnsiTheme="minorHAnsi" w:cstheme="minorHAnsi"/>
          <w:bCs/>
        </w:rPr>
        <w:t xml:space="preserve">Safe zoning is being ensured before work on Electrical system of HT line and system and transfer of PTW at site where mandatory outage is required. </w:t>
      </w:r>
    </w:p>
    <w:p w14:paraId="08127CE3" w14:textId="77777777" w:rsidR="00BB6BFE" w:rsidRPr="00236E38" w:rsidRDefault="00BB6BFE" w:rsidP="00AB536C">
      <w:pPr>
        <w:pStyle w:val="ListParagraph"/>
        <w:numPr>
          <w:ilvl w:val="0"/>
          <w:numId w:val="17"/>
        </w:numPr>
        <w:spacing w:after="0" w:line="360" w:lineRule="auto"/>
        <w:ind w:left="1276" w:hanging="709"/>
        <w:contextualSpacing w:val="0"/>
        <w:jc w:val="both"/>
        <w:rPr>
          <w:rFonts w:asciiTheme="minorHAnsi" w:hAnsiTheme="minorHAnsi" w:cstheme="minorHAnsi"/>
          <w:bCs/>
        </w:rPr>
      </w:pPr>
      <w:r w:rsidRPr="00236E38">
        <w:rPr>
          <w:rFonts w:asciiTheme="minorHAnsi" w:hAnsiTheme="minorHAnsi" w:cstheme="minorHAnsi"/>
          <w:bCs/>
        </w:rPr>
        <w:t>No Supervision No Work concept is followed. Concerned officers monitor the activities of Site Supervisors deployed by the BA.</w:t>
      </w:r>
    </w:p>
    <w:p w14:paraId="484DB747" w14:textId="77777777" w:rsidR="00BB6BFE" w:rsidRPr="00236E38" w:rsidRDefault="00BB6BFE" w:rsidP="00AB536C">
      <w:pPr>
        <w:pStyle w:val="ListParagraph"/>
        <w:numPr>
          <w:ilvl w:val="0"/>
          <w:numId w:val="17"/>
        </w:numPr>
        <w:spacing w:after="0" w:line="360" w:lineRule="auto"/>
        <w:ind w:left="1276" w:hanging="709"/>
        <w:contextualSpacing w:val="0"/>
        <w:jc w:val="both"/>
        <w:rPr>
          <w:rFonts w:asciiTheme="minorHAnsi" w:hAnsiTheme="minorHAnsi" w:cstheme="minorHAnsi"/>
          <w:bCs/>
        </w:rPr>
      </w:pPr>
      <w:r w:rsidRPr="00236E38">
        <w:rPr>
          <w:rFonts w:asciiTheme="minorHAnsi" w:hAnsiTheme="minorHAnsi" w:cstheme="minorHAnsi"/>
          <w:bCs/>
        </w:rPr>
        <w:t xml:space="preserve">Technical &amp; safety competency mapping of BA supervisors is re-assessed and training is provided in addition to training on Behavior safety. Competency mapping of Project BA supervisors is carried out with development plan. </w:t>
      </w:r>
    </w:p>
    <w:p w14:paraId="687CFC14" w14:textId="77777777" w:rsidR="00BB6BFE" w:rsidRPr="00236E38" w:rsidRDefault="00BB6BFE" w:rsidP="00AB536C">
      <w:pPr>
        <w:pStyle w:val="ListParagraph"/>
        <w:numPr>
          <w:ilvl w:val="0"/>
          <w:numId w:val="17"/>
        </w:numPr>
        <w:spacing w:after="0" w:line="360" w:lineRule="auto"/>
        <w:ind w:left="1276" w:hanging="709"/>
        <w:contextualSpacing w:val="0"/>
        <w:jc w:val="both"/>
        <w:rPr>
          <w:rFonts w:asciiTheme="minorHAnsi" w:hAnsiTheme="minorHAnsi" w:cstheme="minorHAnsi"/>
          <w:bCs/>
        </w:rPr>
      </w:pPr>
      <w:r w:rsidRPr="00236E38">
        <w:rPr>
          <w:rFonts w:asciiTheme="minorHAnsi" w:hAnsiTheme="minorHAnsi" w:cstheme="minorHAnsi"/>
          <w:bCs/>
        </w:rPr>
        <w:t xml:space="preserve">Extensive TBT is conducted to stop unsafe acts done by workers. Test Before Touch concept is reinforced by behavioral interventions. </w:t>
      </w:r>
    </w:p>
    <w:p w14:paraId="1DDF6A94" w14:textId="77777777" w:rsidR="00BB6BFE" w:rsidRPr="00236E38" w:rsidRDefault="00BB6BFE" w:rsidP="00AB536C">
      <w:pPr>
        <w:pStyle w:val="ListParagraph"/>
        <w:numPr>
          <w:ilvl w:val="0"/>
          <w:numId w:val="17"/>
        </w:numPr>
        <w:spacing w:after="0" w:line="360" w:lineRule="auto"/>
        <w:ind w:left="1276" w:hanging="709"/>
        <w:contextualSpacing w:val="0"/>
        <w:jc w:val="both"/>
        <w:rPr>
          <w:rFonts w:asciiTheme="minorHAnsi" w:hAnsiTheme="minorHAnsi" w:cstheme="minorHAnsi"/>
        </w:rPr>
      </w:pPr>
      <w:r w:rsidRPr="00236E38">
        <w:rPr>
          <w:rFonts w:asciiTheme="minorHAnsi" w:hAnsiTheme="minorHAnsi" w:cstheme="minorHAnsi"/>
          <w:bCs/>
        </w:rPr>
        <w:t>Alcohol use by workmen during work had been checked using breath analyzers</w:t>
      </w:r>
      <w:r w:rsidRPr="00236E38">
        <w:rPr>
          <w:rFonts w:asciiTheme="minorHAnsi" w:hAnsiTheme="minorHAnsi" w:cstheme="minorHAnsi"/>
        </w:rPr>
        <w:t xml:space="preserve">. </w:t>
      </w:r>
    </w:p>
    <w:p w14:paraId="1F08650B" w14:textId="77777777" w:rsidR="00BB6BFE" w:rsidRPr="00236E38" w:rsidRDefault="00BB6BFE" w:rsidP="00236E38">
      <w:pPr>
        <w:pStyle w:val="ListParagraph"/>
        <w:spacing w:after="0" w:line="360" w:lineRule="auto"/>
        <w:ind w:left="1276" w:hanging="709"/>
        <w:contextualSpacing w:val="0"/>
        <w:jc w:val="both"/>
        <w:rPr>
          <w:rFonts w:asciiTheme="minorHAnsi" w:hAnsiTheme="minorHAnsi" w:cstheme="minorHAnsi"/>
        </w:rPr>
      </w:pPr>
    </w:p>
    <w:p w14:paraId="20191018" w14:textId="77777777" w:rsidR="00BB6BFE" w:rsidRPr="00236E38" w:rsidRDefault="00BB6BFE" w:rsidP="00B81422">
      <w:pPr>
        <w:pStyle w:val="Default"/>
        <w:tabs>
          <w:tab w:val="left" w:pos="993"/>
        </w:tabs>
        <w:spacing w:line="360" w:lineRule="auto"/>
        <w:ind w:left="1276" w:hanging="283"/>
        <w:rPr>
          <w:rFonts w:asciiTheme="minorHAnsi" w:hAnsiTheme="minorHAnsi" w:cstheme="minorHAnsi"/>
          <w:b/>
          <w:color w:val="auto"/>
          <w:sz w:val="22"/>
          <w:szCs w:val="22"/>
        </w:rPr>
      </w:pPr>
      <w:r w:rsidRPr="00236E38">
        <w:rPr>
          <w:rFonts w:asciiTheme="minorHAnsi" w:hAnsiTheme="minorHAnsi" w:cstheme="minorHAnsi"/>
          <w:b/>
          <w:color w:val="auto"/>
          <w:sz w:val="22"/>
          <w:szCs w:val="22"/>
        </w:rPr>
        <w:t xml:space="preserve">    D. Public awareness: </w:t>
      </w:r>
    </w:p>
    <w:p w14:paraId="7C8B2BED" w14:textId="77777777" w:rsidR="00BB6BFE" w:rsidRPr="00236E38" w:rsidRDefault="00BB6BFE" w:rsidP="00236E38">
      <w:pPr>
        <w:pStyle w:val="Default"/>
        <w:spacing w:line="360" w:lineRule="auto"/>
        <w:ind w:left="1276" w:hanging="709"/>
        <w:rPr>
          <w:rFonts w:asciiTheme="minorHAnsi" w:hAnsiTheme="minorHAnsi" w:cstheme="minorHAnsi"/>
          <w:color w:val="auto"/>
          <w:sz w:val="22"/>
          <w:szCs w:val="22"/>
        </w:rPr>
      </w:pPr>
    </w:p>
    <w:p w14:paraId="022120AE" w14:textId="77777777" w:rsidR="00BB6BFE" w:rsidRPr="00236E38" w:rsidRDefault="00BB6BFE" w:rsidP="00AB536C">
      <w:pPr>
        <w:pStyle w:val="ListParagraph"/>
        <w:numPr>
          <w:ilvl w:val="0"/>
          <w:numId w:val="17"/>
        </w:numPr>
        <w:spacing w:after="0" w:line="360" w:lineRule="auto"/>
        <w:ind w:left="1276" w:hanging="709"/>
        <w:contextualSpacing w:val="0"/>
        <w:rPr>
          <w:rFonts w:asciiTheme="minorHAnsi" w:hAnsiTheme="minorHAnsi" w:cstheme="minorHAnsi"/>
          <w:bCs/>
        </w:rPr>
      </w:pPr>
      <w:r w:rsidRPr="00236E38">
        <w:rPr>
          <w:rFonts w:asciiTheme="minorHAnsi" w:hAnsiTheme="minorHAnsi" w:cstheme="minorHAnsi"/>
          <w:bCs/>
        </w:rPr>
        <w:t>To aware electrical safety and observation reporting a WhatsApp number is introduced in which the unsafe acts done by workman is reported.</w:t>
      </w:r>
    </w:p>
    <w:p w14:paraId="4BEF772C" w14:textId="77777777" w:rsidR="00BB6BFE" w:rsidRPr="00236E38" w:rsidRDefault="00BB6BFE" w:rsidP="00AB536C">
      <w:pPr>
        <w:pStyle w:val="ListParagraph"/>
        <w:numPr>
          <w:ilvl w:val="0"/>
          <w:numId w:val="17"/>
        </w:numPr>
        <w:spacing w:after="0" w:line="360" w:lineRule="auto"/>
        <w:ind w:left="1276" w:hanging="709"/>
        <w:contextualSpacing w:val="0"/>
        <w:rPr>
          <w:rFonts w:asciiTheme="minorHAnsi" w:hAnsiTheme="minorHAnsi" w:cstheme="minorHAnsi"/>
          <w:bCs/>
        </w:rPr>
      </w:pPr>
      <w:r w:rsidRPr="00236E38">
        <w:rPr>
          <w:rFonts w:asciiTheme="minorHAnsi" w:hAnsiTheme="minorHAnsi" w:cstheme="minorHAnsi"/>
          <w:bCs/>
        </w:rPr>
        <w:t>For the top observer in the Public reporting WhatsApp number is being rewarded by the Senior leadership Team.</w:t>
      </w:r>
    </w:p>
    <w:p w14:paraId="3CBBA329" w14:textId="77777777" w:rsidR="00BB6BFE" w:rsidRPr="00236E38" w:rsidRDefault="00BB6BFE" w:rsidP="00AB536C">
      <w:pPr>
        <w:pStyle w:val="ListParagraph"/>
        <w:numPr>
          <w:ilvl w:val="0"/>
          <w:numId w:val="17"/>
        </w:numPr>
        <w:spacing w:after="0" w:line="360" w:lineRule="auto"/>
        <w:ind w:left="1276" w:hanging="709"/>
        <w:contextualSpacing w:val="0"/>
        <w:rPr>
          <w:rFonts w:asciiTheme="minorHAnsi" w:hAnsiTheme="minorHAnsi" w:cstheme="minorHAnsi"/>
          <w:bCs/>
        </w:rPr>
      </w:pPr>
      <w:r w:rsidRPr="00236E38">
        <w:rPr>
          <w:rFonts w:asciiTheme="minorHAnsi" w:hAnsiTheme="minorHAnsi" w:cstheme="minorHAnsi"/>
          <w:bCs/>
        </w:rPr>
        <w:t xml:space="preserve">Consumer awareness drive such as </w:t>
      </w:r>
      <w:proofErr w:type="spellStart"/>
      <w:r w:rsidRPr="00236E38">
        <w:rPr>
          <w:rFonts w:asciiTheme="minorHAnsi" w:hAnsiTheme="minorHAnsi" w:cstheme="minorHAnsi"/>
          <w:bCs/>
        </w:rPr>
        <w:t>SuRaksha</w:t>
      </w:r>
      <w:proofErr w:type="spellEnd"/>
      <w:r w:rsidRPr="00236E38">
        <w:rPr>
          <w:rFonts w:asciiTheme="minorHAnsi" w:hAnsiTheme="minorHAnsi" w:cstheme="minorHAnsi"/>
          <w:bCs/>
        </w:rPr>
        <w:t xml:space="preserve"> Bandhan a unique approach to create awareness among the public about the introduced WhatsApp number. </w:t>
      </w:r>
    </w:p>
    <w:p w14:paraId="056F3404" w14:textId="77777777" w:rsidR="00BB6BFE" w:rsidRPr="00236E38" w:rsidRDefault="00BB6BFE" w:rsidP="00AB536C">
      <w:pPr>
        <w:pStyle w:val="ListParagraph"/>
        <w:numPr>
          <w:ilvl w:val="0"/>
          <w:numId w:val="17"/>
        </w:numPr>
        <w:spacing w:after="0" w:line="360" w:lineRule="auto"/>
        <w:ind w:left="1276" w:hanging="709"/>
        <w:contextualSpacing w:val="0"/>
        <w:rPr>
          <w:rFonts w:asciiTheme="minorHAnsi" w:hAnsiTheme="minorHAnsi" w:cstheme="minorHAnsi"/>
          <w:bCs/>
        </w:rPr>
      </w:pPr>
      <w:r w:rsidRPr="00236E38">
        <w:rPr>
          <w:rFonts w:asciiTheme="minorHAnsi" w:hAnsiTheme="minorHAnsi" w:cstheme="minorHAnsi"/>
          <w:bCs/>
        </w:rPr>
        <w:t>56 public safety awareness rallies conducted in FY24.</w:t>
      </w:r>
    </w:p>
    <w:p w14:paraId="162B21F2" w14:textId="77777777" w:rsidR="00BB6BFE" w:rsidRPr="00236E38" w:rsidRDefault="00BB6BFE" w:rsidP="00AB536C">
      <w:pPr>
        <w:pStyle w:val="ListParagraph"/>
        <w:numPr>
          <w:ilvl w:val="0"/>
          <w:numId w:val="17"/>
        </w:numPr>
        <w:spacing w:after="0" w:line="360" w:lineRule="auto"/>
        <w:ind w:left="1276" w:hanging="709"/>
        <w:contextualSpacing w:val="0"/>
        <w:rPr>
          <w:rFonts w:asciiTheme="minorHAnsi" w:hAnsiTheme="minorHAnsi" w:cstheme="minorHAnsi"/>
          <w:bCs/>
        </w:rPr>
      </w:pPr>
      <w:r w:rsidRPr="00236E38">
        <w:rPr>
          <w:rFonts w:asciiTheme="minorHAnsi" w:hAnsiTheme="minorHAnsi" w:cstheme="minorHAnsi"/>
          <w:bCs/>
        </w:rPr>
        <w:t>112 electrical safety awareness training sessions conducted at school and college level.</w:t>
      </w:r>
    </w:p>
    <w:p w14:paraId="0FC20600" w14:textId="77777777" w:rsidR="00BB6BFE" w:rsidRPr="00236E38" w:rsidRDefault="00BB6BFE" w:rsidP="00AB536C">
      <w:pPr>
        <w:pStyle w:val="ListParagraph"/>
        <w:numPr>
          <w:ilvl w:val="0"/>
          <w:numId w:val="17"/>
        </w:numPr>
        <w:spacing w:after="0" w:line="360" w:lineRule="auto"/>
        <w:ind w:left="1276" w:hanging="709"/>
        <w:contextualSpacing w:val="0"/>
        <w:rPr>
          <w:rFonts w:asciiTheme="minorHAnsi" w:hAnsiTheme="minorHAnsi" w:cstheme="minorHAnsi"/>
          <w:bCs/>
        </w:rPr>
      </w:pPr>
      <w:r w:rsidRPr="00236E38">
        <w:rPr>
          <w:rFonts w:asciiTheme="minorHAnsi" w:hAnsiTheme="minorHAnsi" w:cstheme="minorHAnsi"/>
          <w:bCs/>
        </w:rPr>
        <w:t>Display of Public awareness video through LED van in all 5 circles.</w:t>
      </w:r>
    </w:p>
    <w:p w14:paraId="216CF39C" w14:textId="77777777" w:rsidR="00BB6BFE" w:rsidRPr="00236E38" w:rsidRDefault="00BB6BFE" w:rsidP="00AB536C">
      <w:pPr>
        <w:pStyle w:val="ListParagraph"/>
        <w:numPr>
          <w:ilvl w:val="0"/>
          <w:numId w:val="17"/>
        </w:numPr>
        <w:spacing w:after="0" w:line="360" w:lineRule="auto"/>
        <w:ind w:left="1276" w:hanging="709"/>
        <w:contextualSpacing w:val="0"/>
        <w:rPr>
          <w:rFonts w:asciiTheme="minorHAnsi" w:hAnsiTheme="minorHAnsi" w:cstheme="minorHAnsi"/>
          <w:bCs/>
        </w:rPr>
      </w:pPr>
      <w:r w:rsidRPr="00236E38">
        <w:rPr>
          <w:rFonts w:asciiTheme="minorHAnsi" w:hAnsiTheme="minorHAnsi" w:cstheme="minorHAnsi"/>
          <w:bCs/>
        </w:rPr>
        <w:lastRenderedPageBreak/>
        <w:t>Sharing WhatsApp no. to the public to report unsafe condition /act in the Festive and Fair.</w:t>
      </w:r>
    </w:p>
    <w:p w14:paraId="6BCA77B1" w14:textId="5C7DBF6F" w:rsidR="00BB6BFE" w:rsidRPr="00236E38" w:rsidRDefault="00BB6BFE" w:rsidP="00AB536C">
      <w:pPr>
        <w:pStyle w:val="ListParagraph"/>
        <w:numPr>
          <w:ilvl w:val="0"/>
          <w:numId w:val="17"/>
        </w:numPr>
        <w:spacing w:after="0" w:line="360" w:lineRule="auto"/>
        <w:ind w:left="1276" w:hanging="709"/>
        <w:contextualSpacing w:val="0"/>
        <w:rPr>
          <w:rFonts w:asciiTheme="minorHAnsi" w:hAnsiTheme="minorHAnsi" w:cstheme="minorHAnsi"/>
        </w:rPr>
      </w:pPr>
      <w:r w:rsidRPr="00236E38">
        <w:rPr>
          <w:rFonts w:asciiTheme="minorHAnsi" w:hAnsiTheme="minorHAnsi" w:cstheme="minorHAnsi"/>
          <w:bCs/>
        </w:rPr>
        <w:t>Sharing pamphlet and display electrical safety awareness video in rural areas</w:t>
      </w:r>
      <w:r w:rsidRPr="00236E38">
        <w:rPr>
          <w:rFonts w:asciiTheme="minorHAnsi" w:hAnsiTheme="minorHAnsi" w:cstheme="minorHAnsi"/>
        </w:rPr>
        <w:t>.</w:t>
      </w:r>
    </w:p>
    <w:p w14:paraId="5F25E0E3" w14:textId="5357CC83" w:rsidR="00BD7120" w:rsidRPr="00236E38" w:rsidRDefault="00BD7120" w:rsidP="00236E38">
      <w:pPr>
        <w:spacing w:line="360" w:lineRule="auto"/>
        <w:ind w:left="1276" w:hanging="709"/>
        <w:rPr>
          <w:rFonts w:asciiTheme="minorHAnsi" w:hAnsiTheme="minorHAnsi" w:cstheme="minorHAnsi"/>
          <w:sz w:val="22"/>
          <w:szCs w:val="22"/>
        </w:rPr>
      </w:pPr>
    </w:p>
    <w:p w14:paraId="3FB9F6D1" w14:textId="0D8EA049" w:rsidR="00BD7120" w:rsidRPr="00236E38" w:rsidRDefault="00B81422" w:rsidP="00236E38">
      <w:pPr>
        <w:spacing w:line="360" w:lineRule="auto"/>
        <w:rPr>
          <w:rFonts w:asciiTheme="minorHAnsi" w:hAnsiTheme="minorHAnsi" w:cstheme="minorHAnsi"/>
          <w:sz w:val="22"/>
          <w:szCs w:val="22"/>
        </w:rPr>
      </w:pPr>
      <w:r w:rsidRPr="00236E38">
        <w:rPr>
          <w:rFonts w:asciiTheme="minorHAnsi" w:hAnsiTheme="minorHAnsi" w:cstheme="minorHAnsi"/>
          <w:b/>
          <w:noProof/>
          <w:color w:val="000000"/>
          <w:sz w:val="22"/>
          <w:szCs w:val="22"/>
          <w:lang w:val="en-IN" w:eastAsia="en-IN"/>
        </w:rPr>
        <mc:AlternateContent>
          <mc:Choice Requires="wps">
            <w:drawing>
              <wp:anchor distT="0" distB="0" distL="114300" distR="114300" simplePos="0" relativeHeight="251940352" behindDoc="0" locked="0" layoutInCell="1" allowOverlap="1" wp14:anchorId="220D3D3A" wp14:editId="3AC43D67">
                <wp:simplePos x="0" y="0"/>
                <wp:positionH relativeFrom="margin">
                  <wp:posOffset>497205</wp:posOffset>
                </wp:positionH>
                <wp:positionV relativeFrom="paragraph">
                  <wp:posOffset>8255</wp:posOffset>
                </wp:positionV>
                <wp:extent cx="5619750" cy="350875"/>
                <wp:effectExtent l="0" t="0" r="19050" b="11430"/>
                <wp:wrapNone/>
                <wp:docPr id="212922790" name="Rectangle 212922790"/>
                <wp:cNvGraphicFramePr/>
                <a:graphic xmlns:a="http://schemas.openxmlformats.org/drawingml/2006/main">
                  <a:graphicData uri="http://schemas.microsoft.com/office/word/2010/wordprocessingShape">
                    <wps:wsp>
                      <wps:cNvSpPr/>
                      <wps:spPr>
                        <a:xfrm>
                          <a:off x="0" y="0"/>
                          <a:ext cx="5619750" cy="350875"/>
                        </a:xfrm>
                        <a:prstGeom prst="rect">
                          <a:avLst/>
                        </a:prstGeom>
                        <a:solidFill>
                          <a:schemeClr val="accent1">
                            <a:lumMod val="60000"/>
                            <a:lumOff val="40000"/>
                          </a:schemeClr>
                        </a:solidFill>
                        <a:ln w="6350" cap="flat" cmpd="sng" algn="ctr">
                          <a:solidFill>
                            <a:srgbClr val="A5A5A5"/>
                          </a:solidFill>
                          <a:prstDash val="solid"/>
                          <a:miter lim="800000"/>
                        </a:ln>
                        <a:effectLst/>
                      </wps:spPr>
                      <wps:txbx>
                        <w:txbxContent>
                          <w:p w14:paraId="41D18271" w14:textId="77777777" w:rsidR="00535B24" w:rsidRPr="00B81422" w:rsidRDefault="00535B24" w:rsidP="00BB6BFE">
                            <w:pPr>
                              <w:rPr>
                                <w:rFonts w:asciiTheme="minorHAnsi" w:hAnsiTheme="minorHAnsi"/>
                                <w:b/>
                              </w:rPr>
                            </w:pPr>
                            <w:r w:rsidRPr="00B81422">
                              <w:rPr>
                                <w:rFonts w:asciiTheme="minorHAnsi" w:hAnsiTheme="minorHAnsi"/>
                                <w:b/>
                              </w:rPr>
                              <w:t>8. Direction under Para 264</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20D3D3A" id="Rectangle 212922790" o:spid="_x0000_s1053" style="position:absolute;margin-left:39.15pt;margin-top:.65pt;width:442.5pt;height:27.65pt;z-index:25194035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" fillcolor="#95b3d7 [1940]" strokecolor="#a5a5a5" strokeweight=".5pt">
                <v:textbox>
                  <w:txbxContent>
                    <w:p w14:paraId="41D18271" w14:textId="77777777" w:rsidR="00535B24" w:rsidRPr="00B81422" w:rsidRDefault="00535B24" w:rsidP="00BB6BFE">
                      <w:pPr>
                        <w:rPr>
                          <w:rFonts w:asciiTheme="minorHAnsi" w:hAnsiTheme="minorHAnsi"/>
                          <w:b/>
                        </w:rPr>
                      </w:pPr>
                      <w:r w:rsidRPr="00B81422">
                        <w:rPr>
                          <w:rFonts w:asciiTheme="minorHAnsi" w:hAnsiTheme="minorHAnsi"/>
                          <w:b/>
                        </w:rPr>
                        <w:t>8. Direction under Para 264</w:t>
                      </w:r>
                    </w:p>
                  </w:txbxContent>
                </v:textbox>
                <w10:wrap anchorx="margin"/>
              </v:rect>
            </w:pict>
          </mc:Fallback>
        </mc:AlternateContent>
      </w:r>
    </w:p>
    <w:p w14:paraId="515EC134" w14:textId="3CCFDE44" w:rsidR="00BB6BFE" w:rsidRPr="00236E38" w:rsidRDefault="00BB6BFE" w:rsidP="00236E38">
      <w:pPr>
        <w:spacing w:line="360" w:lineRule="auto"/>
        <w:rPr>
          <w:rFonts w:asciiTheme="minorHAnsi" w:hAnsiTheme="minorHAnsi" w:cstheme="minorHAnsi"/>
          <w:b/>
          <w:sz w:val="22"/>
          <w:szCs w:val="22"/>
          <w:u w:val="single"/>
        </w:rPr>
      </w:pPr>
    </w:p>
    <w:p w14:paraId="593EF077" w14:textId="77777777" w:rsidR="00BB6BFE" w:rsidRPr="00236E38" w:rsidRDefault="00BB6BFE" w:rsidP="00236E38">
      <w:pPr>
        <w:spacing w:line="360" w:lineRule="auto"/>
        <w:rPr>
          <w:rFonts w:asciiTheme="minorHAnsi" w:hAnsiTheme="minorHAnsi" w:cstheme="minorHAnsi"/>
          <w:b/>
          <w:sz w:val="22"/>
          <w:szCs w:val="22"/>
          <w:u w:val="single"/>
        </w:rPr>
      </w:pPr>
    </w:p>
    <w:p w14:paraId="5E9BF433" w14:textId="0079481E" w:rsidR="00BB6BFE" w:rsidRPr="00236E38" w:rsidRDefault="00B81422" w:rsidP="00B81422">
      <w:pPr>
        <w:spacing w:line="360" w:lineRule="auto"/>
        <w:ind w:left="851" w:right="142" w:hanging="284"/>
        <w:jc w:val="both"/>
        <w:rPr>
          <w:rFonts w:asciiTheme="minorHAnsi" w:hAnsiTheme="minorHAnsi" w:cstheme="minorHAnsi"/>
          <w:sz w:val="22"/>
          <w:szCs w:val="22"/>
        </w:rPr>
      </w:pPr>
      <w:r>
        <w:rPr>
          <w:rFonts w:asciiTheme="minorHAnsi" w:hAnsiTheme="minorHAnsi" w:cstheme="minorHAnsi"/>
          <w:sz w:val="22"/>
          <w:szCs w:val="22"/>
        </w:rPr>
        <w:t xml:space="preserve">     </w:t>
      </w:r>
      <w:r w:rsidR="00BB6BFE" w:rsidRPr="00236E38">
        <w:rPr>
          <w:rFonts w:asciiTheme="minorHAnsi" w:hAnsiTheme="minorHAnsi" w:cstheme="minorHAnsi"/>
          <w:sz w:val="22"/>
          <w:szCs w:val="22"/>
        </w:rPr>
        <w:t>"Low Voltage issue is one of the major concerns of the Commission in the operation of the distribution system. All four DISCOMs are directed to provide following information at all PSS level within 30th June, 2024.</w:t>
      </w:r>
    </w:p>
    <w:p w14:paraId="1FF422BE" w14:textId="77777777" w:rsidR="00BB6BFE" w:rsidRPr="00236E38" w:rsidRDefault="00BB6BFE" w:rsidP="00AB536C">
      <w:pPr>
        <w:pStyle w:val="ListParagraph"/>
        <w:numPr>
          <w:ilvl w:val="0"/>
          <w:numId w:val="45"/>
        </w:numPr>
        <w:tabs>
          <w:tab w:val="left" w:pos="993"/>
        </w:tabs>
        <w:spacing w:after="160" w:line="360" w:lineRule="auto"/>
        <w:ind w:left="993" w:right="142" w:hanging="284"/>
        <w:jc w:val="both"/>
        <w:rPr>
          <w:rFonts w:asciiTheme="minorHAnsi" w:hAnsiTheme="minorHAnsi" w:cstheme="minorHAnsi"/>
        </w:rPr>
      </w:pPr>
      <w:r w:rsidRPr="00236E38">
        <w:rPr>
          <w:rFonts w:asciiTheme="minorHAnsi" w:hAnsiTheme="minorHAnsi" w:cstheme="minorHAnsi"/>
        </w:rPr>
        <w:t>Nominal Voltage at PSS level for 33kV system and range of voltage variation.</w:t>
      </w:r>
    </w:p>
    <w:p w14:paraId="73E5A12C" w14:textId="77777777" w:rsidR="00BB6BFE" w:rsidRPr="00236E38" w:rsidRDefault="00BB6BFE" w:rsidP="00AB536C">
      <w:pPr>
        <w:pStyle w:val="ListParagraph"/>
        <w:numPr>
          <w:ilvl w:val="0"/>
          <w:numId w:val="45"/>
        </w:numPr>
        <w:spacing w:after="160" w:line="360" w:lineRule="auto"/>
        <w:ind w:left="851" w:right="142" w:hanging="142"/>
        <w:jc w:val="both"/>
        <w:rPr>
          <w:rFonts w:asciiTheme="minorHAnsi" w:hAnsiTheme="minorHAnsi" w:cstheme="minorHAnsi"/>
        </w:rPr>
      </w:pPr>
      <w:r w:rsidRPr="00236E38">
        <w:rPr>
          <w:rFonts w:asciiTheme="minorHAnsi" w:hAnsiTheme="minorHAnsi" w:cstheme="minorHAnsi"/>
        </w:rPr>
        <w:t>Nominal Voltage at PSS level for 11 kV system and range of voltage variation.</w:t>
      </w:r>
    </w:p>
    <w:p w14:paraId="4B650022" w14:textId="77777777" w:rsidR="00BB6BFE" w:rsidRPr="00236E38" w:rsidRDefault="00BB6BFE" w:rsidP="002B5470">
      <w:pPr>
        <w:pStyle w:val="ListParagraph"/>
        <w:numPr>
          <w:ilvl w:val="0"/>
          <w:numId w:val="45"/>
        </w:numPr>
        <w:spacing w:after="160" w:line="360" w:lineRule="auto"/>
        <w:ind w:left="851" w:right="142" w:hanging="142"/>
        <w:jc w:val="both"/>
        <w:rPr>
          <w:rFonts w:asciiTheme="minorHAnsi" w:hAnsiTheme="minorHAnsi" w:cstheme="minorHAnsi"/>
        </w:rPr>
      </w:pPr>
      <w:r w:rsidRPr="00236E38">
        <w:rPr>
          <w:rFonts w:asciiTheme="minorHAnsi" w:hAnsiTheme="minorHAnsi" w:cstheme="minorHAnsi"/>
        </w:rPr>
        <w:t>Remedial measures taken to improve the Voltage profile at PSS level to keep the HT (33 kV &amp; 11 kV) voltage within permissible limit so that desirable Voltage is achieved at Consumer end."</w:t>
      </w:r>
    </w:p>
    <w:p w14:paraId="7CC2E899" w14:textId="77777777" w:rsidR="00BB6BFE" w:rsidRPr="00236E38" w:rsidRDefault="00BB6BFE" w:rsidP="00B81422">
      <w:pPr>
        <w:spacing w:line="360" w:lineRule="auto"/>
        <w:ind w:left="851" w:right="142" w:hanging="284"/>
        <w:rPr>
          <w:rFonts w:asciiTheme="minorHAnsi" w:hAnsiTheme="minorHAnsi" w:cstheme="minorHAnsi"/>
          <w:b/>
          <w:sz w:val="22"/>
          <w:szCs w:val="22"/>
          <w:u w:val="single"/>
        </w:rPr>
      </w:pPr>
    </w:p>
    <w:p w14:paraId="5C622406" w14:textId="1F6FC351" w:rsidR="00BB6BFE" w:rsidRPr="00B81422" w:rsidRDefault="00B81422" w:rsidP="00236E38">
      <w:pPr>
        <w:spacing w:line="360" w:lineRule="auto"/>
        <w:ind w:left="567"/>
        <w:rPr>
          <w:rFonts w:asciiTheme="minorHAnsi" w:hAnsiTheme="minorHAnsi" w:cstheme="minorHAnsi"/>
          <w:b/>
          <w:sz w:val="22"/>
          <w:szCs w:val="22"/>
        </w:rPr>
      </w:pPr>
      <w:r w:rsidRPr="00B81422">
        <w:rPr>
          <w:rFonts w:asciiTheme="minorHAnsi" w:hAnsiTheme="minorHAnsi" w:cstheme="minorHAnsi"/>
          <w:b/>
          <w:sz w:val="22"/>
          <w:szCs w:val="22"/>
        </w:rPr>
        <w:t xml:space="preserve">  </w:t>
      </w:r>
      <w:r w:rsidR="00BB6BFE" w:rsidRPr="00B81422">
        <w:rPr>
          <w:rFonts w:asciiTheme="minorHAnsi" w:hAnsiTheme="minorHAnsi" w:cstheme="minorHAnsi"/>
          <w:b/>
          <w:sz w:val="22"/>
          <w:szCs w:val="22"/>
        </w:rPr>
        <w:t>Compliance</w:t>
      </w:r>
    </w:p>
    <w:p w14:paraId="3C0CF07E" w14:textId="77777777" w:rsidR="00BB6BFE" w:rsidRPr="00236E38" w:rsidRDefault="00BB6BFE" w:rsidP="00236E38">
      <w:pPr>
        <w:spacing w:line="360" w:lineRule="auto"/>
        <w:ind w:left="567"/>
        <w:rPr>
          <w:rFonts w:asciiTheme="minorHAnsi" w:hAnsiTheme="minorHAnsi" w:cstheme="minorHAnsi"/>
          <w:b/>
          <w:bCs/>
          <w:color w:val="000000"/>
          <w:sz w:val="22"/>
          <w:szCs w:val="22"/>
          <w:lang w:eastAsia="en-IN"/>
        </w:rPr>
      </w:pPr>
    </w:p>
    <w:p w14:paraId="5772E458" w14:textId="26C2B1FC" w:rsidR="00BB6BFE" w:rsidRPr="00236E38" w:rsidRDefault="00BD7120" w:rsidP="00B81422">
      <w:pPr>
        <w:spacing w:line="360" w:lineRule="auto"/>
        <w:ind w:left="709"/>
        <w:rPr>
          <w:rFonts w:asciiTheme="minorHAnsi" w:hAnsiTheme="minorHAnsi" w:cstheme="minorHAnsi"/>
          <w:b/>
          <w:bCs/>
          <w:color w:val="000000"/>
          <w:sz w:val="22"/>
          <w:szCs w:val="22"/>
          <w:lang w:eastAsia="en-IN"/>
        </w:rPr>
      </w:pPr>
      <w:r w:rsidRPr="00236E38">
        <w:rPr>
          <w:rFonts w:asciiTheme="minorHAnsi" w:hAnsiTheme="minorHAnsi" w:cstheme="minorHAnsi"/>
          <w:b/>
          <w:bCs/>
          <w:color w:val="000000"/>
          <w:sz w:val="22"/>
          <w:szCs w:val="22"/>
          <w:lang w:eastAsia="en-IN"/>
        </w:rPr>
        <w:t xml:space="preserve"> </w:t>
      </w:r>
      <w:r w:rsidR="00BB6BFE" w:rsidRPr="00236E38">
        <w:rPr>
          <w:rFonts w:asciiTheme="minorHAnsi" w:hAnsiTheme="minorHAnsi" w:cstheme="minorHAnsi"/>
          <w:b/>
          <w:bCs/>
          <w:color w:val="000000"/>
          <w:sz w:val="22"/>
          <w:szCs w:val="22"/>
          <w:lang w:eastAsia="en-IN"/>
        </w:rPr>
        <w:t xml:space="preserve">As per the Meter data of April 24 the voltage variation range in the substations is as tabulated below </w:t>
      </w:r>
    </w:p>
    <w:tbl>
      <w:tblPr>
        <w:tblW w:w="9257" w:type="dxa"/>
        <w:tblInd w:w="901" w:type="dxa"/>
        <w:tblLook w:val="04A0" w:firstRow="1" w:lastRow="0" w:firstColumn="1" w:lastColumn="0" w:noHBand="0" w:noVBand="1"/>
      </w:tblPr>
      <w:tblGrid>
        <w:gridCol w:w="1588"/>
        <w:gridCol w:w="1667"/>
        <w:gridCol w:w="1668"/>
        <w:gridCol w:w="1814"/>
        <w:gridCol w:w="2520"/>
      </w:tblGrid>
      <w:tr w:rsidR="00BB6BFE" w:rsidRPr="00236E38" w14:paraId="5159FE2B" w14:textId="77777777" w:rsidTr="00B81422">
        <w:trPr>
          <w:trHeight w:val="158"/>
        </w:trPr>
        <w:tc>
          <w:tcPr>
            <w:tcW w:w="158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DAEE440" w14:textId="77777777" w:rsidR="00BB6BFE" w:rsidRPr="00236E38" w:rsidRDefault="00BB6BFE" w:rsidP="00236E38">
            <w:pPr>
              <w:spacing w:line="360" w:lineRule="auto"/>
              <w:rPr>
                <w:rFonts w:asciiTheme="minorHAnsi" w:hAnsiTheme="minorHAnsi" w:cstheme="minorHAnsi"/>
                <w:color w:val="000000"/>
                <w:sz w:val="22"/>
                <w:szCs w:val="22"/>
                <w:lang w:eastAsia="en-IN"/>
              </w:rPr>
            </w:pPr>
            <w:r w:rsidRPr="00236E38">
              <w:rPr>
                <w:rFonts w:asciiTheme="minorHAnsi" w:hAnsiTheme="minorHAnsi" w:cstheme="minorHAnsi"/>
                <w:color w:val="000000"/>
                <w:sz w:val="22"/>
                <w:szCs w:val="22"/>
                <w:lang w:eastAsia="en-IN"/>
              </w:rPr>
              <w:t xml:space="preserve">Voltage Profile </w:t>
            </w:r>
          </w:p>
        </w:tc>
        <w:tc>
          <w:tcPr>
            <w:tcW w:w="1667" w:type="dxa"/>
            <w:tcBorders>
              <w:top w:val="single" w:sz="4" w:space="0" w:color="auto"/>
              <w:left w:val="nil"/>
              <w:bottom w:val="single" w:sz="4" w:space="0" w:color="auto"/>
              <w:right w:val="single" w:sz="4" w:space="0" w:color="auto"/>
            </w:tcBorders>
            <w:shd w:val="clear" w:color="auto" w:fill="auto"/>
            <w:noWrap/>
            <w:vAlign w:val="bottom"/>
            <w:hideMark/>
          </w:tcPr>
          <w:p w14:paraId="697754BF" w14:textId="77777777" w:rsidR="00BB6BFE" w:rsidRPr="00236E38" w:rsidRDefault="00BB6BFE" w:rsidP="00236E38">
            <w:pPr>
              <w:spacing w:line="360" w:lineRule="auto"/>
              <w:jc w:val="center"/>
              <w:rPr>
                <w:rFonts w:asciiTheme="minorHAnsi" w:hAnsiTheme="minorHAnsi" w:cstheme="minorHAnsi"/>
                <w:color w:val="000000"/>
                <w:sz w:val="22"/>
                <w:szCs w:val="22"/>
                <w:lang w:eastAsia="en-IN"/>
              </w:rPr>
            </w:pPr>
            <w:r w:rsidRPr="00236E38">
              <w:rPr>
                <w:rFonts w:asciiTheme="minorHAnsi" w:hAnsiTheme="minorHAnsi" w:cstheme="minorHAnsi"/>
                <w:color w:val="000000"/>
                <w:sz w:val="22"/>
                <w:szCs w:val="22"/>
                <w:lang w:eastAsia="en-IN"/>
              </w:rPr>
              <w:t>PSS</w:t>
            </w:r>
          </w:p>
        </w:tc>
        <w:tc>
          <w:tcPr>
            <w:tcW w:w="1668" w:type="dxa"/>
            <w:tcBorders>
              <w:top w:val="nil"/>
              <w:left w:val="single" w:sz="4" w:space="0" w:color="auto"/>
              <w:bottom w:val="nil"/>
              <w:right w:val="nil"/>
            </w:tcBorders>
            <w:shd w:val="clear" w:color="auto" w:fill="auto"/>
            <w:noWrap/>
            <w:vAlign w:val="bottom"/>
            <w:hideMark/>
          </w:tcPr>
          <w:p w14:paraId="21FB1A00" w14:textId="77777777" w:rsidR="00BB6BFE" w:rsidRPr="00236E38" w:rsidRDefault="00BB6BFE" w:rsidP="00236E38">
            <w:pPr>
              <w:spacing w:line="360" w:lineRule="auto"/>
              <w:rPr>
                <w:rFonts w:asciiTheme="minorHAnsi" w:hAnsiTheme="minorHAnsi" w:cstheme="minorHAnsi"/>
                <w:color w:val="000000"/>
                <w:sz w:val="22"/>
                <w:szCs w:val="22"/>
                <w:lang w:eastAsia="en-IN"/>
              </w:rPr>
            </w:pPr>
            <w:r w:rsidRPr="00236E38">
              <w:rPr>
                <w:rFonts w:asciiTheme="minorHAnsi" w:hAnsiTheme="minorHAnsi" w:cstheme="minorHAnsi"/>
                <w:noProof/>
                <w:color w:val="000000"/>
                <w:sz w:val="22"/>
                <w:szCs w:val="22"/>
                <w:lang w:val="en-IN" w:eastAsia="en-IN"/>
              </w:rPr>
              <w:drawing>
                <wp:anchor distT="0" distB="0" distL="114300" distR="114300" simplePos="0" relativeHeight="251943424" behindDoc="0" locked="0" layoutInCell="1" allowOverlap="1" wp14:anchorId="2948EAB1" wp14:editId="03986BE6">
                  <wp:simplePos x="0" y="0"/>
                  <wp:positionH relativeFrom="column">
                    <wp:posOffset>756920</wp:posOffset>
                  </wp:positionH>
                  <wp:positionV relativeFrom="paragraph">
                    <wp:posOffset>-19050</wp:posOffset>
                  </wp:positionV>
                  <wp:extent cx="2803525" cy="1619250"/>
                  <wp:effectExtent l="0" t="0" r="15875" b="0"/>
                  <wp:wrapNone/>
                  <wp:docPr id="212922796" name="Chart 212922796"/>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55"/>
                    </a:graphicData>
                  </a:graphic>
                  <wp14:sizeRelH relativeFrom="page">
                    <wp14:pctWidth>0</wp14:pctWidth>
                  </wp14:sizeRelH>
                  <wp14:sizeRelV relativeFrom="page">
                    <wp14:pctHeight>0</wp14:pctHeight>
                  </wp14:sizeRelV>
                </wp:anchor>
              </w:drawing>
            </w:r>
          </w:p>
          <w:tbl>
            <w:tblPr>
              <w:tblW w:w="0" w:type="auto"/>
              <w:tblCellSpacing w:w="0" w:type="dxa"/>
              <w:tblCellMar>
                <w:left w:w="0" w:type="dxa"/>
                <w:right w:w="0" w:type="dxa"/>
              </w:tblCellMar>
              <w:tblLook w:val="04A0" w:firstRow="1" w:lastRow="0" w:firstColumn="1" w:lastColumn="0" w:noHBand="0" w:noVBand="1"/>
            </w:tblPr>
            <w:tblGrid>
              <w:gridCol w:w="1442"/>
            </w:tblGrid>
            <w:tr w:rsidR="00BB6BFE" w:rsidRPr="00236E38" w14:paraId="4ABE076D" w14:textId="77777777" w:rsidTr="00BB6BFE">
              <w:trPr>
                <w:trHeight w:val="158"/>
                <w:tblCellSpacing w:w="0" w:type="dxa"/>
              </w:trPr>
              <w:tc>
                <w:tcPr>
                  <w:tcW w:w="1442" w:type="dxa"/>
                  <w:tcBorders>
                    <w:top w:val="nil"/>
                    <w:left w:val="nil"/>
                    <w:bottom w:val="nil"/>
                    <w:right w:val="nil"/>
                  </w:tcBorders>
                  <w:shd w:val="clear" w:color="auto" w:fill="auto"/>
                  <w:noWrap/>
                  <w:vAlign w:val="bottom"/>
                  <w:hideMark/>
                </w:tcPr>
                <w:p w14:paraId="39213A15" w14:textId="77777777" w:rsidR="00BB6BFE" w:rsidRPr="00236E38" w:rsidRDefault="00BB6BFE" w:rsidP="00236E38">
                  <w:pPr>
                    <w:spacing w:line="360" w:lineRule="auto"/>
                    <w:rPr>
                      <w:rFonts w:asciiTheme="minorHAnsi" w:hAnsiTheme="minorHAnsi" w:cstheme="minorHAnsi"/>
                      <w:color w:val="000000"/>
                      <w:sz w:val="22"/>
                      <w:szCs w:val="22"/>
                      <w:lang w:eastAsia="en-IN"/>
                    </w:rPr>
                  </w:pPr>
                </w:p>
              </w:tc>
            </w:tr>
          </w:tbl>
          <w:p w14:paraId="772FCB98" w14:textId="77777777" w:rsidR="00BB6BFE" w:rsidRPr="00236E38" w:rsidRDefault="00BB6BFE" w:rsidP="00236E38">
            <w:pPr>
              <w:spacing w:line="360" w:lineRule="auto"/>
              <w:rPr>
                <w:rFonts w:asciiTheme="minorHAnsi" w:hAnsiTheme="minorHAnsi" w:cstheme="minorHAnsi"/>
                <w:color w:val="000000"/>
                <w:sz w:val="22"/>
                <w:szCs w:val="22"/>
                <w:lang w:eastAsia="en-IN"/>
              </w:rPr>
            </w:pPr>
          </w:p>
        </w:tc>
        <w:tc>
          <w:tcPr>
            <w:tcW w:w="1814" w:type="dxa"/>
            <w:tcBorders>
              <w:top w:val="nil"/>
              <w:left w:val="nil"/>
              <w:bottom w:val="nil"/>
              <w:right w:val="nil"/>
            </w:tcBorders>
            <w:shd w:val="clear" w:color="auto" w:fill="auto"/>
            <w:noWrap/>
            <w:vAlign w:val="bottom"/>
            <w:hideMark/>
          </w:tcPr>
          <w:p w14:paraId="7FA26EBD" w14:textId="77777777" w:rsidR="00BB6BFE" w:rsidRPr="00236E38" w:rsidRDefault="00BB6BFE" w:rsidP="00236E38">
            <w:pPr>
              <w:spacing w:line="360" w:lineRule="auto"/>
              <w:rPr>
                <w:rFonts w:asciiTheme="minorHAnsi" w:hAnsiTheme="minorHAnsi" w:cstheme="minorHAnsi"/>
                <w:sz w:val="22"/>
                <w:szCs w:val="22"/>
                <w:lang w:eastAsia="en-IN"/>
              </w:rPr>
            </w:pPr>
          </w:p>
        </w:tc>
        <w:tc>
          <w:tcPr>
            <w:tcW w:w="2520" w:type="dxa"/>
            <w:tcBorders>
              <w:top w:val="nil"/>
              <w:left w:val="nil"/>
              <w:bottom w:val="nil"/>
              <w:right w:val="nil"/>
            </w:tcBorders>
            <w:shd w:val="clear" w:color="auto" w:fill="auto"/>
            <w:noWrap/>
            <w:vAlign w:val="bottom"/>
            <w:hideMark/>
          </w:tcPr>
          <w:p w14:paraId="157F57DA" w14:textId="77777777" w:rsidR="00BB6BFE" w:rsidRPr="00236E38" w:rsidRDefault="00BB6BFE" w:rsidP="00236E38">
            <w:pPr>
              <w:spacing w:line="360" w:lineRule="auto"/>
              <w:rPr>
                <w:rFonts w:asciiTheme="minorHAnsi" w:hAnsiTheme="minorHAnsi" w:cstheme="minorHAnsi"/>
                <w:sz w:val="22"/>
                <w:szCs w:val="22"/>
                <w:lang w:eastAsia="en-IN"/>
              </w:rPr>
            </w:pPr>
          </w:p>
        </w:tc>
      </w:tr>
      <w:tr w:rsidR="00BB6BFE" w:rsidRPr="00236E38" w14:paraId="57B13375" w14:textId="77777777" w:rsidTr="00B81422">
        <w:trPr>
          <w:trHeight w:val="158"/>
        </w:trPr>
        <w:tc>
          <w:tcPr>
            <w:tcW w:w="158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4788567" w14:textId="77777777" w:rsidR="00BB6BFE" w:rsidRPr="00236E38" w:rsidRDefault="00BB6BFE" w:rsidP="00236E38">
            <w:pPr>
              <w:spacing w:line="360" w:lineRule="auto"/>
              <w:rPr>
                <w:rFonts w:asciiTheme="minorHAnsi" w:hAnsiTheme="minorHAnsi" w:cstheme="minorHAnsi"/>
                <w:color w:val="000000"/>
                <w:sz w:val="22"/>
                <w:szCs w:val="22"/>
                <w:lang w:eastAsia="en-IN"/>
              </w:rPr>
            </w:pPr>
            <w:r w:rsidRPr="00236E38">
              <w:rPr>
                <w:rFonts w:asciiTheme="minorHAnsi" w:hAnsiTheme="minorHAnsi" w:cstheme="minorHAnsi"/>
                <w:color w:val="000000"/>
                <w:sz w:val="22"/>
                <w:szCs w:val="22"/>
                <w:lang w:eastAsia="en-IN"/>
              </w:rPr>
              <w:t xml:space="preserve">Total </w:t>
            </w:r>
          </w:p>
        </w:tc>
        <w:tc>
          <w:tcPr>
            <w:tcW w:w="1667" w:type="dxa"/>
            <w:tcBorders>
              <w:top w:val="single" w:sz="4" w:space="0" w:color="auto"/>
              <w:left w:val="nil"/>
              <w:bottom w:val="single" w:sz="4" w:space="0" w:color="auto"/>
              <w:right w:val="single" w:sz="4" w:space="0" w:color="auto"/>
            </w:tcBorders>
            <w:shd w:val="clear" w:color="auto" w:fill="auto"/>
            <w:noWrap/>
            <w:vAlign w:val="bottom"/>
            <w:hideMark/>
          </w:tcPr>
          <w:p w14:paraId="1EA2625D" w14:textId="77777777" w:rsidR="00BB6BFE" w:rsidRPr="00236E38" w:rsidRDefault="00BB6BFE" w:rsidP="00236E38">
            <w:pPr>
              <w:spacing w:line="360" w:lineRule="auto"/>
              <w:jc w:val="center"/>
              <w:rPr>
                <w:rFonts w:asciiTheme="minorHAnsi" w:hAnsiTheme="minorHAnsi" w:cstheme="minorHAnsi"/>
                <w:color w:val="000000"/>
                <w:sz w:val="22"/>
                <w:szCs w:val="22"/>
                <w:lang w:eastAsia="en-IN"/>
              </w:rPr>
            </w:pPr>
            <w:r w:rsidRPr="00236E38">
              <w:rPr>
                <w:rFonts w:asciiTheme="minorHAnsi" w:hAnsiTheme="minorHAnsi" w:cstheme="minorHAnsi"/>
                <w:color w:val="000000"/>
                <w:sz w:val="22"/>
                <w:szCs w:val="22"/>
                <w:lang w:eastAsia="en-IN"/>
              </w:rPr>
              <w:t>78</w:t>
            </w:r>
          </w:p>
        </w:tc>
        <w:tc>
          <w:tcPr>
            <w:tcW w:w="1668" w:type="dxa"/>
            <w:tcBorders>
              <w:top w:val="nil"/>
              <w:left w:val="single" w:sz="4" w:space="0" w:color="auto"/>
              <w:bottom w:val="nil"/>
              <w:right w:val="nil"/>
            </w:tcBorders>
            <w:shd w:val="clear" w:color="auto" w:fill="auto"/>
            <w:noWrap/>
            <w:vAlign w:val="bottom"/>
            <w:hideMark/>
          </w:tcPr>
          <w:p w14:paraId="56A44820" w14:textId="77777777" w:rsidR="00BB6BFE" w:rsidRPr="00236E38" w:rsidRDefault="00BB6BFE" w:rsidP="00236E38">
            <w:pPr>
              <w:spacing w:line="360" w:lineRule="auto"/>
              <w:jc w:val="center"/>
              <w:rPr>
                <w:rFonts w:asciiTheme="minorHAnsi" w:hAnsiTheme="minorHAnsi" w:cstheme="minorHAnsi"/>
                <w:color w:val="000000"/>
                <w:sz w:val="22"/>
                <w:szCs w:val="22"/>
                <w:lang w:eastAsia="en-IN"/>
              </w:rPr>
            </w:pPr>
          </w:p>
        </w:tc>
        <w:tc>
          <w:tcPr>
            <w:tcW w:w="1814" w:type="dxa"/>
            <w:tcBorders>
              <w:top w:val="nil"/>
              <w:left w:val="nil"/>
              <w:bottom w:val="nil"/>
              <w:right w:val="nil"/>
            </w:tcBorders>
            <w:shd w:val="clear" w:color="auto" w:fill="auto"/>
            <w:noWrap/>
            <w:vAlign w:val="bottom"/>
            <w:hideMark/>
          </w:tcPr>
          <w:p w14:paraId="776FD242" w14:textId="77777777" w:rsidR="00BB6BFE" w:rsidRPr="00236E38" w:rsidRDefault="00BB6BFE" w:rsidP="00236E38">
            <w:pPr>
              <w:spacing w:line="360" w:lineRule="auto"/>
              <w:rPr>
                <w:rFonts w:asciiTheme="minorHAnsi" w:hAnsiTheme="minorHAnsi" w:cstheme="minorHAnsi"/>
                <w:sz w:val="22"/>
                <w:szCs w:val="22"/>
                <w:lang w:eastAsia="en-IN"/>
              </w:rPr>
            </w:pPr>
          </w:p>
        </w:tc>
        <w:tc>
          <w:tcPr>
            <w:tcW w:w="2520" w:type="dxa"/>
            <w:tcBorders>
              <w:top w:val="nil"/>
              <w:left w:val="nil"/>
              <w:bottom w:val="nil"/>
              <w:right w:val="nil"/>
            </w:tcBorders>
            <w:shd w:val="clear" w:color="auto" w:fill="auto"/>
            <w:noWrap/>
            <w:vAlign w:val="bottom"/>
            <w:hideMark/>
          </w:tcPr>
          <w:p w14:paraId="17E217A1" w14:textId="77777777" w:rsidR="00BB6BFE" w:rsidRPr="00236E38" w:rsidRDefault="00BB6BFE" w:rsidP="00236E38">
            <w:pPr>
              <w:spacing w:line="360" w:lineRule="auto"/>
              <w:rPr>
                <w:rFonts w:asciiTheme="minorHAnsi" w:hAnsiTheme="minorHAnsi" w:cstheme="minorHAnsi"/>
                <w:sz w:val="22"/>
                <w:szCs w:val="22"/>
                <w:lang w:eastAsia="en-IN"/>
              </w:rPr>
            </w:pPr>
          </w:p>
        </w:tc>
      </w:tr>
      <w:tr w:rsidR="00BB6BFE" w:rsidRPr="00236E38" w14:paraId="457957A2" w14:textId="77777777" w:rsidTr="00B81422">
        <w:trPr>
          <w:trHeight w:val="158"/>
        </w:trPr>
        <w:tc>
          <w:tcPr>
            <w:tcW w:w="158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41003A5" w14:textId="77777777" w:rsidR="00BB6BFE" w:rsidRPr="00236E38" w:rsidRDefault="00BB6BFE" w:rsidP="00236E38">
            <w:pPr>
              <w:spacing w:line="360" w:lineRule="auto"/>
              <w:rPr>
                <w:rFonts w:asciiTheme="minorHAnsi" w:hAnsiTheme="minorHAnsi" w:cstheme="minorHAnsi"/>
                <w:color w:val="000000"/>
                <w:sz w:val="22"/>
                <w:szCs w:val="22"/>
                <w:lang w:eastAsia="en-IN"/>
              </w:rPr>
            </w:pPr>
            <w:r w:rsidRPr="00236E38">
              <w:rPr>
                <w:rFonts w:asciiTheme="minorHAnsi" w:hAnsiTheme="minorHAnsi" w:cstheme="minorHAnsi"/>
                <w:color w:val="000000"/>
                <w:sz w:val="22"/>
                <w:szCs w:val="22"/>
                <w:lang w:eastAsia="en-IN"/>
              </w:rPr>
              <w:t>Normal Voltage</w:t>
            </w:r>
          </w:p>
        </w:tc>
        <w:tc>
          <w:tcPr>
            <w:tcW w:w="1667" w:type="dxa"/>
            <w:tcBorders>
              <w:top w:val="single" w:sz="4" w:space="0" w:color="auto"/>
              <w:left w:val="nil"/>
              <w:bottom w:val="single" w:sz="4" w:space="0" w:color="auto"/>
              <w:right w:val="single" w:sz="4" w:space="0" w:color="auto"/>
            </w:tcBorders>
            <w:shd w:val="clear" w:color="auto" w:fill="auto"/>
            <w:noWrap/>
            <w:vAlign w:val="bottom"/>
            <w:hideMark/>
          </w:tcPr>
          <w:p w14:paraId="35689940" w14:textId="77777777" w:rsidR="00BB6BFE" w:rsidRPr="00236E38" w:rsidRDefault="00BB6BFE" w:rsidP="00236E38">
            <w:pPr>
              <w:spacing w:line="360" w:lineRule="auto"/>
              <w:jc w:val="center"/>
              <w:rPr>
                <w:rFonts w:asciiTheme="minorHAnsi" w:hAnsiTheme="minorHAnsi" w:cstheme="minorHAnsi"/>
                <w:color w:val="000000"/>
                <w:sz w:val="22"/>
                <w:szCs w:val="22"/>
                <w:lang w:eastAsia="en-IN"/>
              </w:rPr>
            </w:pPr>
            <w:r w:rsidRPr="00236E38">
              <w:rPr>
                <w:rFonts w:asciiTheme="minorHAnsi" w:hAnsiTheme="minorHAnsi" w:cstheme="minorHAnsi"/>
                <w:color w:val="000000"/>
                <w:sz w:val="22"/>
                <w:szCs w:val="22"/>
                <w:lang w:eastAsia="en-IN"/>
              </w:rPr>
              <w:t>71</w:t>
            </w:r>
          </w:p>
        </w:tc>
        <w:tc>
          <w:tcPr>
            <w:tcW w:w="1668" w:type="dxa"/>
            <w:tcBorders>
              <w:top w:val="nil"/>
              <w:left w:val="single" w:sz="4" w:space="0" w:color="auto"/>
              <w:bottom w:val="nil"/>
              <w:right w:val="nil"/>
            </w:tcBorders>
            <w:shd w:val="clear" w:color="auto" w:fill="auto"/>
            <w:noWrap/>
            <w:vAlign w:val="bottom"/>
            <w:hideMark/>
          </w:tcPr>
          <w:p w14:paraId="08CBEA98" w14:textId="77777777" w:rsidR="00BB6BFE" w:rsidRPr="00236E38" w:rsidRDefault="00BB6BFE" w:rsidP="00236E38">
            <w:pPr>
              <w:spacing w:line="360" w:lineRule="auto"/>
              <w:jc w:val="center"/>
              <w:rPr>
                <w:rFonts w:asciiTheme="minorHAnsi" w:hAnsiTheme="minorHAnsi" w:cstheme="minorHAnsi"/>
                <w:color w:val="000000"/>
                <w:sz w:val="22"/>
                <w:szCs w:val="22"/>
                <w:lang w:eastAsia="en-IN"/>
              </w:rPr>
            </w:pPr>
          </w:p>
        </w:tc>
        <w:tc>
          <w:tcPr>
            <w:tcW w:w="1814" w:type="dxa"/>
            <w:tcBorders>
              <w:top w:val="nil"/>
              <w:left w:val="nil"/>
              <w:bottom w:val="nil"/>
              <w:right w:val="nil"/>
            </w:tcBorders>
            <w:shd w:val="clear" w:color="auto" w:fill="auto"/>
            <w:noWrap/>
            <w:vAlign w:val="bottom"/>
            <w:hideMark/>
          </w:tcPr>
          <w:p w14:paraId="11F3817E" w14:textId="77777777" w:rsidR="00BB6BFE" w:rsidRPr="00236E38" w:rsidRDefault="00BB6BFE" w:rsidP="00236E38">
            <w:pPr>
              <w:spacing w:line="360" w:lineRule="auto"/>
              <w:rPr>
                <w:rFonts w:asciiTheme="minorHAnsi" w:hAnsiTheme="minorHAnsi" w:cstheme="minorHAnsi"/>
                <w:sz w:val="22"/>
                <w:szCs w:val="22"/>
                <w:lang w:eastAsia="en-IN"/>
              </w:rPr>
            </w:pPr>
          </w:p>
        </w:tc>
        <w:tc>
          <w:tcPr>
            <w:tcW w:w="2520" w:type="dxa"/>
            <w:tcBorders>
              <w:top w:val="nil"/>
              <w:left w:val="nil"/>
              <w:bottom w:val="nil"/>
              <w:right w:val="nil"/>
            </w:tcBorders>
            <w:shd w:val="clear" w:color="auto" w:fill="auto"/>
            <w:noWrap/>
            <w:vAlign w:val="bottom"/>
            <w:hideMark/>
          </w:tcPr>
          <w:p w14:paraId="45BB820F" w14:textId="77777777" w:rsidR="00BB6BFE" w:rsidRPr="00236E38" w:rsidRDefault="00BB6BFE" w:rsidP="00236E38">
            <w:pPr>
              <w:spacing w:line="360" w:lineRule="auto"/>
              <w:rPr>
                <w:rFonts w:asciiTheme="minorHAnsi" w:hAnsiTheme="minorHAnsi" w:cstheme="minorHAnsi"/>
                <w:sz w:val="22"/>
                <w:szCs w:val="22"/>
                <w:lang w:eastAsia="en-IN"/>
              </w:rPr>
            </w:pPr>
          </w:p>
        </w:tc>
      </w:tr>
      <w:tr w:rsidR="00BB6BFE" w:rsidRPr="00236E38" w14:paraId="287DD36F" w14:textId="77777777" w:rsidTr="00B81422">
        <w:trPr>
          <w:trHeight w:val="158"/>
        </w:trPr>
        <w:tc>
          <w:tcPr>
            <w:tcW w:w="158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B23C80D" w14:textId="77777777" w:rsidR="00BB6BFE" w:rsidRPr="00236E38" w:rsidRDefault="00BB6BFE" w:rsidP="00236E38">
            <w:pPr>
              <w:spacing w:line="360" w:lineRule="auto"/>
              <w:rPr>
                <w:rFonts w:asciiTheme="minorHAnsi" w:hAnsiTheme="minorHAnsi" w:cstheme="minorHAnsi"/>
                <w:color w:val="000000"/>
                <w:sz w:val="22"/>
                <w:szCs w:val="22"/>
                <w:lang w:eastAsia="en-IN"/>
              </w:rPr>
            </w:pPr>
            <w:r w:rsidRPr="00236E38">
              <w:rPr>
                <w:rFonts w:asciiTheme="minorHAnsi" w:hAnsiTheme="minorHAnsi" w:cstheme="minorHAnsi"/>
                <w:color w:val="000000"/>
                <w:sz w:val="22"/>
                <w:szCs w:val="22"/>
                <w:lang w:eastAsia="en-IN"/>
              </w:rPr>
              <w:t>Under Voltage</w:t>
            </w:r>
          </w:p>
        </w:tc>
        <w:tc>
          <w:tcPr>
            <w:tcW w:w="1667" w:type="dxa"/>
            <w:tcBorders>
              <w:top w:val="single" w:sz="4" w:space="0" w:color="auto"/>
              <w:left w:val="nil"/>
              <w:bottom w:val="single" w:sz="4" w:space="0" w:color="auto"/>
              <w:right w:val="single" w:sz="4" w:space="0" w:color="auto"/>
            </w:tcBorders>
            <w:shd w:val="clear" w:color="auto" w:fill="auto"/>
            <w:noWrap/>
            <w:vAlign w:val="bottom"/>
            <w:hideMark/>
          </w:tcPr>
          <w:p w14:paraId="06BE91A3" w14:textId="77777777" w:rsidR="00BB6BFE" w:rsidRPr="00236E38" w:rsidRDefault="00BB6BFE" w:rsidP="00236E38">
            <w:pPr>
              <w:spacing w:line="360" w:lineRule="auto"/>
              <w:jc w:val="center"/>
              <w:rPr>
                <w:rFonts w:asciiTheme="minorHAnsi" w:hAnsiTheme="minorHAnsi" w:cstheme="minorHAnsi"/>
                <w:color w:val="000000"/>
                <w:sz w:val="22"/>
                <w:szCs w:val="22"/>
                <w:lang w:eastAsia="en-IN"/>
              </w:rPr>
            </w:pPr>
            <w:r w:rsidRPr="00236E38">
              <w:rPr>
                <w:rFonts w:asciiTheme="minorHAnsi" w:hAnsiTheme="minorHAnsi" w:cstheme="minorHAnsi"/>
                <w:color w:val="000000"/>
                <w:sz w:val="22"/>
                <w:szCs w:val="22"/>
                <w:lang w:eastAsia="en-IN"/>
              </w:rPr>
              <w:t>7</w:t>
            </w:r>
          </w:p>
        </w:tc>
        <w:tc>
          <w:tcPr>
            <w:tcW w:w="1668" w:type="dxa"/>
            <w:tcBorders>
              <w:top w:val="nil"/>
              <w:left w:val="nil"/>
              <w:right w:val="nil"/>
            </w:tcBorders>
            <w:shd w:val="clear" w:color="auto" w:fill="auto"/>
            <w:noWrap/>
            <w:vAlign w:val="bottom"/>
            <w:hideMark/>
          </w:tcPr>
          <w:p w14:paraId="57E5D7CE" w14:textId="77777777" w:rsidR="00BB6BFE" w:rsidRPr="00236E38" w:rsidRDefault="00BB6BFE" w:rsidP="00236E38">
            <w:pPr>
              <w:spacing w:line="360" w:lineRule="auto"/>
              <w:jc w:val="center"/>
              <w:rPr>
                <w:rFonts w:asciiTheme="minorHAnsi" w:hAnsiTheme="minorHAnsi" w:cstheme="minorHAnsi"/>
                <w:color w:val="000000"/>
                <w:sz w:val="22"/>
                <w:szCs w:val="22"/>
                <w:lang w:eastAsia="en-IN"/>
              </w:rPr>
            </w:pPr>
          </w:p>
        </w:tc>
        <w:tc>
          <w:tcPr>
            <w:tcW w:w="1814" w:type="dxa"/>
            <w:tcBorders>
              <w:top w:val="nil"/>
              <w:left w:val="nil"/>
              <w:right w:val="nil"/>
            </w:tcBorders>
            <w:shd w:val="clear" w:color="auto" w:fill="auto"/>
            <w:noWrap/>
            <w:vAlign w:val="bottom"/>
            <w:hideMark/>
          </w:tcPr>
          <w:p w14:paraId="2794DF84" w14:textId="77777777" w:rsidR="00BB6BFE" w:rsidRPr="00236E38" w:rsidRDefault="00BB6BFE" w:rsidP="00236E38">
            <w:pPr>
              <w:spacing w:line="360" w:lineRule="auto"/>
              <w:rPr>
                <w:rFonts w:asciiTheme="minorHAnsi" w:hAnsiTheme="minorHAnsi" w:cstheme="minorHAnsi"/>
                <w:sz w:val="22"/>
                <w:szCs w:val="22"/>
                <w:lang w:eastAsia="en-IN"/>
              </w:rPr>
            </w:pPr>
          </w:p>
        </w:tc>
        <w:tc>
          <w:tcPr>
            <w:tcW w:w="2520" w:type="dxa"/>
            <w:tcBorders>
              <w:top w:val="nil"/>
              <w:left w:val="nil"/>
              <w:right w:val="nil"/>
            </w:tcBorders>
            <w:shd w:val="clear" w:color="auto" w:fill="auto"/>
            <w:noWrap/>
            <w:vAlign w:val="bottom"/>
            <w:hideMark/>
          </w:tcPr>
          <w:p w14:paraId="154F9117" w14:textId="77777777" w:rsidR="00BB6BFE" w:rsidRPr="00236E38" w:rsidRDefault="00BB6BFE" w:rsidP="00236E38">
            <w:pPr>
              <w:spacing w:line="360" w:lineRule="auto"/>
              <w:rPr>
                <w:rFonts w:asciiTheme="minorHAnsi" w:hAnsiTheme="minorHAnsi" w:cstheme="minorHAnsi"/>
                <w:sz w:val="22"/>
                <w:szCs w:val="22"/>
                <w:lang w:eastAsia="en-IN"/>
              </w:rPr>
            </w:pPr>
          </w:p>
        </w:tc>
      </w:tr>
      <w:tr w:rsidR="00BB6BFE" w:rsidRPr="00236E38" w14:paraId="53EDF135" w14:textId="77777777" w:rsidTr="00B81422">
        <w:trPr>
          <w:trHeight w:val="158"/>
        </w:trPr>
        <w:tc>
          <w:tcPr>
            <w:tcW w:w="3255" w:type="dxa"/>
            <w:gridSpan w:val="2"/>
            <w:vMerge w:val="restart"/>
            <w:tcBorders>
              <w:top w:val="single" w:sz="4" w:space="0" w:color="auto"/>
              <w:left w:val="nil"/>
              <w:right w:val="nil"/>
            </w:tcBorders>
            <w:shd w:val="clear" w:color="auto" w:fill="auto"/>
            <w:noWrap/>
            <w:vAlign w:val="bottom"/>
            <w:hideMark/>
          </w:tcPr>
          <w:p w14:paraId="7E250603" w14:textId="77777777" w:rsidR="00BB6BFE" w:rsidRPr="002B5470" w:rsidRDefault="00BB6BFE" w:rsidP="00236E38">
            <w:pPr>
              <w:spacing w:line="360" w:lineRule="auto"/>
              <w:rPr>
                <w:rFonts w:asciiTheme="minorHAnsi" w:hAnsiTheme="minorHAnsi" w:cstheme="minorHAnsi"/>
                <w:b/>
                <w:i/>
                <w:color w:val="000000"/>
                <w:sz w:val="22"/>
                <w:szCs w:val="22"/>
                <w:lang w:eastAsia="en-IN"/>
              </w:rPr>
            </w:pPr>
            <w:r w:rsidRPr="002B5470">
              <w:rPr>
                <w:rFonts w:asciiTheme="minorHAnsi" w:hAnsiTheme="minorHAnsi" w:cstheme="minorHAnsi"/>
                <w:b/>
                <w:i/>
                <w:color w:val="000000"/>
                <w:sz w:val="22"/>
                <w:szCs w:val="22"/>
                <w:lang w:eastAsia="en-IN"/>
              </w:rPr>
              <w:t xml:space="preserve">Source: First Landing PSS </w:t>
            </w:r>
          </w:p>
        </w:tc>
        <w:tc>
          <w:tcPr>
            <w:tcW w:w="1668" w:type="dxa"/>
            <w:tcBorders>
              <w:left w:val="nil"/>
              <w:right w:val="nil"/>
            </w:tcBorders>
            <w:shd w:val="clear" w:color="auto" w:fill="auto"/>
            <w:noWrap/>
            <w:vAlign w:val="bottom"/>
            <w:hideMark/>
          </w:tcPr>
          <w:p w14:paraId="6D64A63C" w14:textId="77777777" w:rsidR="00BB6BFE" w:rsidRPr="00236E38" w:rsidRDefault="00BB6BFE" w:rsidP="00236E38">
            <w:pPr>
              <w:spacing w:line="360" w:lineRule="auto"/>
              <w:jc w:val="center"/>
              <w:rPr>
                <w:rFonts w:asciiTheme="minorHAnsi" w:hAnsiTheme="minorHAnsi" w:cstheme="minorHAnsi"/>
                <w:color w:val="000000"/>
                <w:sz w:val="22"/>
                <w:szCs w:val="22"/>
                <w:lang w:eastAsia="en-IN"/>
              </w:rPr>
            </w:pPr>
          </w:p>
        </w:tc>
        <w:tc>
          <w:tcPr>
            <w:tcW w:w="1814" w:type="dxa"/>
            <w:tcBorders>
              <w:left w:val="nil"/>
              <w:right w:val="nil"/>
            </w:tcBorders>
            <w:shd w:val="clear" w:color="auto" w:fill="auto"/>
            <w:noWrap/>
            <w:vAlign w:val="bottom"/>
            <w:hideMark/>
          </w:tcPr>
          <w:p w14:paraId="494A4375" w14:textId="77777777" w:rsidR="00BB6BFE" w:rsidRPr="00236E38" w:rsidRDefault="00BB6BFE" w:rsidP="00236E38">
            <w:pPr>
              <w:spacing w:line="360" w:lineRule="auto"/>
              <w:rPr>
                <w:rFonts w:asciiTheme="minorHAnsi" w:hAnsiTheme="minorHAnsi" w:cstheme="minorHAnsi"/>
                <w:sz w:val="22"/>
                <w:szCs w:val="22"/>
                <w:lang w:eastAsia="en-IN"/>
              </w:rPr>
            </w:pPr>
          </w:p>
        </w:tc>
        <w:tc>
          <w:tcPr>
            <w:tcW w:w="2520" w:type="dxa"/>
            <w:tcBorders>
              <w:left w:val="nil"/>
              <w:right w:val="nil"/>
            </w:tcBorders>
            <w:shd w:val="clear" w:color="auto" w:fill="auto"/>
            <w:noWrap/>
            <w:vAlign w:val="bottom"/>
            <w:hideMark/>
          </w:tcPr>
          <w:p w14:paraId="410ABC7D" w14:textId="77777777" w:rsidR="00BB6BFE" w:rsidRPr="00236E38" w:rsidRDefault="00BB6BFE" w:rsidP="00236E38">
            <w:pPr>
              <w:spacing w:line="360" w:lineRule="auto"/>
              <w:rPr>
                <w:rFonts w:asciiTheme="minorHAnsi" w:hAnsiTheme="minorHAnsi" w:cstheme="minorHAnsi"/>
                <w:sz w:val="22"/>
                <w:szCs w:val="22"/>
                <w:lang w:eastAsia="en-IN"/>
              </w:rPr>
            </w:pPr>
          </w:p>
        </w:tc>
      </w:tr>
      <w:tr w:rsidR="00BB6BFE" w:rsidRPr="00236E38" w14:paraId="58962853" w14:textId="77777777" w:rsidTr="00B81422">
        <w:trPr>
          <w:trHeight w:val="158"/>
        </w:trPr>
        <w:tc>
          <w:tcPr>
            <w:tcW w:w="3255" w:type="dxa"/>
            <w:gridSpan w:val="2"/>
            <w:vMerge/>
            <w:tcBorders>
              <w:left w:val="nil"/>
              <w:right w:val="nil"/>
            </w:tcBorders>
            <w:vAlign w:val="center"/>
            <w:hideMark/>
          </w:tcPr>
          <w:p w14:paraId="6A4B6A60" w14:textId="77777777" w:rsidR="00BB6BFE" w:rsidRPr="00236E38" w:rsidRDefault="00BB6BFE" w:rsidP="00236E38">
            <w:pPr>
              <w:spacing w:line="360" w:lineRule="auto"/>
              <w:rPr>
                <w:rFonts w:asciiTheme="minorHAnsi" w:hAnsiTheme="minorHAnsi" w:cstheme="minorHAnsi"/>
                <w:color w:val="000000"/>
                <w:sz w:val="22"/>
                <w:szCs w:val="22"/>
                <w:lang w:eastAsia="en-IN"/>
              </w:rPr>
            </w:pPr>
          </w:p>
        </w:tc>
        <w:tc>
          <w:tcPr>
            <w:tcW w:w="1668" w:type="dxa"/>
            <w:tcBorders>
              <w:left w:val="nil"/>
              <w:right w:val="nil"/>
            </w:tcBorders>
            <w:shd w:val="clear" w:color="auto" w:fill="auto"/>
            <w:noWrap/>
            <w:vAlign w:val="bottom"/>
            <w:hideMark/>
          </w:tcPr>
          <w:p w14:paraId="6A3CC2D5" w14:textId="77777777" w:rsidR="00BB6BFE" w:rsidRPr="00236E38" w:rsidRDefault="00BB6BFE" w:rsidP="00236E38">
            <w:pPr>
              <w:spacing w:line="360" w:lineRule="auto"/>
              <w:rPr>
                <w:rFonts w:asciiTheme="minorHAnsi" w:hAnsiTheme="minorHAnsi" w:cstheme="minorHAnsi"/>
                <w:sz w:val="22"/>
                <w:szCs w:val="22"/>
                <w:lang w:eastAsia="en-IN"/>
              </w:rPr>
            </w:pPr>
          </w:p>
        </w:tc>
        <w:tc>
          <w:tcPr>
            <w:tcW w:w="1814" w:type="dxa"/>
            <w:tcBorders>
              <w:left w:val="nil"/>
              <w:right w:val="nil"/>
            </w:tcBorders>
            <w:shd w:val="clear" w:color="auto" w:fill="auto"/>
            <w:noWrap/>
            <w:vAlign w:val="bottom"/>
            <w:hideMark/>
          </w:tcPr>
          <w:p w14:paraId="380B5D0A" w14:textId="77777777" w:rsidR="00BB6BFE" w:rsidRPr="00236E38" w:rsidRDefault="00BB6BFE" w:rsidP="00236E38">
            <w:pPr>
              <w:spacing w:line="360" w:lineRule="auto"/>
              <w:rPr>
                <w:rFonts w:asciiTheme="minorHAnsi" w:hAnsiTheme="minorHAnsi" w:cstheme="minorHAnsi"/>
                <w:sz w:val="22"/>
                <w:szCs w:val="22"/>
                <w:lang w:eastAsia="en-IN"/>
              </w:rPr>
            </w:pPr>
          </w:p>
        </w:tc>
        <w:tc>
          <w:tcPr>
            <w:tcW w:w="2520" w:type="dxa"/>
            <w:tcBorders>
              <w:left w:val="nil"/>
              <w:right w:val="nil"/>
            </w:tcBorders>
            <w:shd w:val="clear" w:color="auto" w:fill="auto"/>
            <w:noWrap/>
            <w:vAlign w:val="bottom"/>
            <w:hideMark/>
          </w:tcPr>
          <w:p w14:paraId="26FD258C" w14:textId="77777777" w:rsidR="00BB6BFE" w:rsidRPr="00236E38" w:rsidRDefault="00BB6BFE" w:rsidP="00236E38">
            <w:pPr>
              <w:spacing w:line="360" w:lineRule="auto"/>
              <w:rPr>
                <w:rFonts w:asciiTheme="minorHAnsi" w:hAnsiTheme="minorHAnsi" w:cstheme="minorHAnsi"/>
                <w:sz w:val="22"/>
                <w:szCs w:val="22"/>
                <w:lang w:eastAsia="en-IN"/>
              </w:rPr>
            </w:pPr>
          </w:p>
        </w:tc>
      </w:tr>
      <w:tr w:rsidR="00BB6BFE" w:rsidRPr="00236E38" w14:paraId="60408AB7" w14:textId="77777777" w:rsidTr="00B81422">
        <w:trPr>
          <w:trHeight w:val="1301"/>
        </w:trPr>
        <w:tc>
          <w:tcPr>
            <w:tcW w:w="3255" w:type="dxa"/>
            <w:gridSpan w:val="2"/>
            <w:vMerge/>
            <w:tcBorders>
              <w:left w:val="nil"/>
              <w:bottom w:val="single" w:sz="4" w:space="0" w:color="auto"/>
              <w:right w:val="nil"/>
            </w:tcBorders>
            <w:vAlign w:val="center"/>
            <w:hideMark/>
          </w:tcPr>
          <w:p w14:paraId="1395E866" w14:textId="77777777" w:rsidR="00BB6BFE" w:rsidRPr="00236E38" w:rsidRDefault="00BB6BFE" w:rsidP="00236E38">
            <w:pPr>
              <w:spacing w:line="360" w:lineRule="auto"/>
              <w:rPr>
                <w:rFonts w:asciiTheme="minorHAnsi" w:hAnsiTheme="minorHAnsi" w:cstheme="minorHAnsi"/>
                <w:color w:val="000000"/>
                <w:sz w:val="22"/>
                <w:szCs w:val="22"/>
                <w:lang w:eastAsia="en-IN"/>
              </w:rPr>
            </w:pPr>
          </w:p>
        </w:tc>
        <w:tc>
          <w:tcPr>
            <w:tcW w:w="1668" w:type="dxa"/>
            <w:tcBorders>
              <w:left w:val="nil"/>
              <w:bottom w:val="single" w:sz="4" w:space="0" w:color="auto"/>
              <w:right w:val="nil"/>
            </w:tcBorders>
            <w:shd w:val="clear" w:color="auto" w:fill="auto"/>
            <w:noWrap/>
            <w:vAlign w:val="bottom"/>
            <w:hideMark/>
          </w:tcPr>
          <w:p w14:paraId="79014846" w14:textId="77777777" w:rsidR="00BB6BFE" w:rsidRPr="00236E38" w:rsidRDefault="00BB6BFE" w:rsidP="00236E38">
            <w:pPr>
              <w:spacing w:line="360" w:lineRule="auto"/>
              <w:rPr>
                <w:rFonts w:asciiTheme="minorHAnsi" w:hAnsiTheme="minorHAnsi" w:cstheme="minorHAnsi"/>
                <w:sz w:val="22"/>
                <w:szCs w:val="22"/>
                <w:lang w:eastAsia="en-IN"/>
              </w:rPr>
            </w:pPr>
          </w:p>
        </w:tc>
        <w:tc>
          <w:tcPr>
            <w:tcW w:w="1814" w:type="dxa"/>
            <w:tcBorders>
              <w:left w:val="nil"/>
              <w:bottom w:val="single" w:sz="4" w:space="0" w:color="auto"/>
              <w:right w:val="nil"/>
            </w:tcBorders>
            <w:shd w:val="clear" w:color="auto" w:fill="auto"/>
            <w:noWrap/>
            <w:vAlign w:val="bottom"/>
            <w:hideMark/>
          </w:tcPr>
          <w:p w14:paraId="413EA09D" w14:textId="77777777" w:rsidR="00BB6BFE" w:rsidRPr="00236E38" w:rsidRDefault="00BB6BFE" w:rsidP="00236E38">
            <w:pPr>
              <w:spacing w:line="360" w:lineRule="auto"/>
              <w:rPr>
                <w:rFonts w:asciiTheme="minorHAnsi" w:hAnsiTheme="minorHAnsi" w:cstheme="minorHAnsi"/>
                <w:sz w:val="22"/>
                <w:szCs w:val="22"/>
                <w:lang w:eastAsia="en-IN"/>
              </w:rPr>
            </w:pPr>
          </w:p>
        </w:tc>
        <w:tc>
          <w:tcPr>
            <w:tcW w:w="2520" w:type="dxa"/>
            <w:tcBorders>
              <w:left w:val="nil"/>
              <w:bottom w:val="single" w:sz="4" w:space="0" w:color="auto"/>
              <w:right w:val="nil"/>
            </w:tcBorders>
            <w:shd w:val="clear" w:color="auto" w:fill="auto"/>
            <w:noWrap/>
            <w:vAlign w:val="bottom"/>
            <w:hideMark/>
          </w:tcPr>
          <w:p w14:paraId="1AA47231" w14:textId="77777777" w:rsidR="00BB6BFE" w:rsidRPr="00236E38" w:rsidRDefault="00BB6BFE" w:rsidP="00236E38">
            <w:pPr>
              <w:spacing w:line="360" w:lineRule="auto"/>
              <w:rPr>
                <w:rFonts w:asciiTheme="minorHAnsi" w:hAnsiTheme="minorHAnsi" w:cstheme="minorHAnsi"/>
                <w:sz w:val="22"/>
                <w:szCs w:val="22"/>
                <w:lang w:eastAsia="en-IN"/>
              </w:rPr>
            </w:pPr>
          </w:p>
          <w:p w14:paraId="31BD7C65" w14:textId="77777777" w:rsidR="00BB6BFE" w:rsidRPr="00236E38" w:rsidRDefault="00BB6BFE" w:rsidP="00236E38">
            <w:pPr>
              <w:spacing w:line="360" w:lineRule="auto"/>
              <w:rPr>
                <w:rFonts w:asciiTheme="minorHAnsi" w:hAnsiTheme="minorHAnsi" w:cstheme="minorHAnsi"/>
                <w:sz w:val="22"/>
                <w:szCs w:val="22"/>
                <w:lang w:eastAsia="en-IN"/>
              </w:rPr>
            </w:pPr>
          </w:p>
          <w:p w14:paraId="4D5A0A2E" w14:textId="77777777" w:rsidR="00BB6BFE" w:rsidRPr="00236E38" w:rsidRDefault="00BB6BFE" w:rsidP="00236E38">
            <w:pPr>
              <w:spacing w:line="360" w:lineRule="auto"/>
              <w:rPr>
                <w:rFonts w:asciiTheme="minorHAnsi" w:hAnsiTheme="minorHAnsi" w:cstheme="minorHAnsi"/>
                <w:sz w:val="22"/>
                <w:szCs w:val="22"/>
                <w:lang w:eastAsia="en-IN"/>
              </w:rPr>
            </w:pPr>
          </w:p>
          <w:p w14:paraId="1245583C" w14:textId="77777777" w:rsidR="00BB6BFE" w:rsidRPr="00236E38" w:rsidRDefault="00BB6BFE" w:rsidP="00236E38">
            <w:pPr>
              <w:spacing w:line="360" w:lineRule="auto"/>
              <w:rPr>
                <w:rFonts w:asciiTheme="minorHAnsi" w:hAnsiTheme="minorHAnsi" w:cstheme="minorHAnsi"/>
                <w:sz w:val="22"/>
                <w:szCs w:val="22"/>
                <w:lang w:eastAsia="en-IN"/>
              </w:rPr>
            </w:pPr>
          </w:p>
          <w:p w14:paraId="0956C141" w14:textId="77777777" w:rsidR="00BB6BFE" w:rsidRPr="00236E38" w:rsidRDefault="00BB6BFE" w:rsidP="00236E38">
            <w:pPr>
              <w:spacing w:line="360" w:lineRule="auto"/>
              <w:rPr>
                <w:rFonts w:asciiTheme="minorHAnsi" w:hAnsiTheme="minorHAnsi" w:cstheme="minorHAnsi"/>
                <w:sz w:val="22"/>
                <w:szCs w:val="22"/>
                <w:lang w:eastAsia="en-IN"/>
              </w:rPr>
            </w:pPr>
          </w:p>
        </w:tc>
      </w:tr>
      <w:tr w:rsidR="00BB6BFE" w:rsidRPr="00236E38" w14:paraId="25337ADB" w14:textId="77777777" w:rsidTr="00B81422">
        <w:trPr>
          <w:trHeight w:val="431"/>
        </w:trPr>
        <w:tc>
          <w:tcPr>
            <w:tcW w:w="9257" w:type="dxa"/>
            <w:gridSpan w:val="5"/>
            <w:tcBorders>
              <w:top w:val="single" w:sz="4" w:space="0" w:color="auto"/>
              <w:left w:val="single" w:sz="4" w:space="0" w:color="auto"/>
              <w:bottom w:val="single" w:sz="4" w:space="0" w:color="auto"/>
              <w:right w:val="single" w:sz="4" w:space="0" w:color="auto"/>
            </w:tcBorders>
            <w:shd w:val="clear" w:color="auto" w:fill="8DB3E2" w:themeFill="text2" w:themeFillTint="66"/>
            <w:vAlign w:val="center"/>
            <w:hideMark/>
          </w:tcPr>
          <w:p w14:paraId="27167FD9" w14:textId="77777777" w:rsidR="00BB6BFE" w:rsidRPr="00236E38" w:rsidRDefault="00BB6BFE" w:rsidP="00236E38">
            <w:pPr>
              <w:spacing w:line="360" w:lineRule="auto"/>
              <w:jc w:val="center"/>
              <w:rPr>
                <w:rFonts w:asciiTheme="minorHAnsi" w:hAnsiTheme="minorHAnsi" w:cstheme="minorHAnsi"/>
                <w:b/>
                <w:bCs/>
                <w:color w:val="000000"/>
                <w:sz w:val="22"/>
                <w:szCs w:val="22"/>
                <w:lang w:eastAsia="en-IN"/>
              </w:rPr>
            </w:pPr>
            <w:r w:rsidRPr="00236E38">
              <w:rPr>
                <w:rFonts w:asciiTheme="minorHAnsi" w:hAnsiTheme="minorHAnsi" w:cstheme="minorHAnsi"/>
                <w:b/>
                <w:bCs/>
                <w:color w:val="000000"/>
                <w:sz w:val="22"/>
                <w:szCs w:val="22"/>
                <w:lang w:eastAsia="en-IN"/>
              </w:rPr>
              <w:t xml:space="preserve">33kV Voltage Profile (Monthly Averages) at PSS </w:t>
            </w:r>
            <w:proofErr w:type="gramStart"/>
            <w:r w:rsidRPr="00236E38">
              <w:rPr>
                <w:rFonts w:asciiTheme="minorHAnsi" w:hAnsiTheme="minorHAnsi" w:cstheme="minorHAnsi"/>
                <w:b/>
                <w:bCs/>
                <w:color w:val="000000"/>
                <w:sz w:val="22"/>
                <w:szCs w:val="22"/>
                <w:lang w:eastAsia="en-IN"/>
              </w:rPr>
              <w:t>ends :</w:t>
            </w:r>
            <w:proofErr w:type="gramEnd"/>
            <w:r w:rsidRPr="00236E38">
              <w:rPr>
                <w:rFonts w:asciiTheme="minorHAnsi" w:hAnsiTheme="minorHAnsi" w:cstheme="minorHAnsi"/>
                <w:b/>
                <w:bCs/>
                <w:color w:val="000000"/>
                <w:sz w:val="22"/>
                <w:szCs w:val="22"/>
                <w:lang w:eastAsia="en-IN"/>
              </w:rPr>
              <w:t xml:space="preserve"> Apr, 2024</w:t>
            </w:r>
            <w:r w:rsidRPr="00236E38">
              <w:rPr>
                <w:rFonts w:asciiTheme="minorHAnsi" w:hAnsiTheme="minorHAnsi" w:cstheme="minorHAnsi"/>
                <w:b/>
                <w:bCs/>
                <w:color w:val="000000"/>
                <w:sz w:val="22"/>
                <w:szCs w:val="22"/>
                <w:lang w:eastAsia="en-IN"/>
              </w:rPr>
              <w:br/>
              <w:t>(Regulatory Limits : -9%, +6%, i.e., 30.03kV – 34.98kV)</w:t>
            </w:r>
          </w:p>
        </w:tc>
      </w:tr>
      <w:tr w:rsidR="00BB6BFE" w:rsidRPr="00236E38" w14:paraId="43788DE1" w14:textId="77777777" w:rsidTr="00B81422">
        <w:trPr>
          <w:trHeight w:val="158"/>
        </w:trPr>
        <w:tc>
          <w:tcPr>
            <w:tcW w:w="1588" w:type="dxa"/>
            <w:tcBorders>
              <w:top w:val="nil"/>
              <w:left w:val="single" w:sz="4" w:space="0" w:color="auto"/>
              <w:bottom w:val="single" w:sz="4" w:space="0" w:color="auto"/>
              <w:right w:val="single" w:sz="4" w:space="0" w:color="auto"/>
            </w:tcBorders>
            <w:shd w:val="clear" w:color="auto" w:fill="8DB3E2" w:themeFill="text2" w:themeFillTint="66"/>
            <w:noWrap/>
            <w:vAlign w:val="bottom"/>
            <w:hideMark/>
          </w:tcPr>
          <w:p w14:paraId="42FCE0ED" w14:textId="77777777" w:rsidR="00BB6BFE" w:rsidRPr="00236E38" w:rsidRDefault="00BB6BFE" w:rsidP="00236E38">
            <w:pPr>
              <w:spacing w:line="360" w:lineRule="auto"/>
              <w:rPr>
                <w:rFonts w:asciiTheme="minorHAnsi" w:hAnsiTheme="minorHAnsi" w:cstheme="minorHAnsi"/>
                <w:b/>
                <w:bCs/>
                <w:color w:val="000000"/>
                <w:sz w:val="22"/>
                <w:szCs w:val="22"/>
                <w:lang w:eastAsia="en-IN"/>
              </w:rPr>
            </w:pPr>
            <w:r w:rsidRPr="00236E38">
              <w:rPr>
                <w:rFonts w:asciiTheme="minorHAnsi" w:hAnsiTheme="minorHAnsi" w:cstheme="minorHAnsi"/>
                <w:b/>
                <w:bCs/>
                <w:color w:val="000000"/>
                <w:sz w:val="22"/>
                <w:szCs w:val="22"/>
                <w:lang w:eastAsia="en-IN"/>
              </w:rPr>
              <w:t>Circle</w:t>
            </w:r>
          </w:p>
        </w:tc>
        <w:tc>
          <w:tcPr>
            <w:tcW w:w="1667" w:type="dxa"/>
            <w:tcBorders>
              <w:top w:val="nil"/>
              <w:left w:val="nil"/>
              <w:bottom w:val="single" w:sz="4" w:space="0" w:color="auto"/>
              <w:right w:val="single" w:sz="4" w:space="0" w:color="auto"/>
            </w:tcBorders>
            <w:shd w:val="clear" w:color="auto" w:fill="8DB3E2" w:themeFill="text2" w:themeFillTint="66"/>
            <w:noWrap/>
            <w:vAlign w:val="bottom"/>
            <w:hideMark/>
          </w:tcPr>
          <w:p w14:paraId="7A4DB4DE" w14:textId="77777777" w:rsidR="00BB6BFE" w:rsidRPr="00236E38" w:rsidRDefault="00BB6BFE" w:rsidP="00236E38">
            <w:pPr>
              <w:spacing w:line="360" w:lineRule="auto"/>
              <w:rPr>
                <w:rFonts w:asciiTheme="minorHAnsi" w:hAnsiTheme="minorHAnsi" w:cstheme="minorHAnsi"/>
                <w:b/>
                <w:bCs/>
                <w:color w:val="000000"/>
                <w:sz w:val="22"/>
                <w:szCs w:val="22"/>
                <w:lang w:eastAsia="en-IN"/>
              </w:rPr>
            </w:pPr>
            <w:r w:rsidRPr="00236E38">
              <w:rPr>
                <w:rFonts w:asciiTheme="minorHAnsi" w:hAnsiTheme="minorHAnsi" w:cstheme="minorHAnsi"/>
                <w:b/>
                <w:bCs/>
                <w:color w:val="000000"/>
                <w:sz w:val="22"/>
                <w:szCs w:val="22"/>
                <w:lang w:eastAsia="en-IN"/>
              </w:rPr>
              <w:t xml:space="preserve">00 </w:t>
            </w:r>
            <w:proofErr w:type="spellStart"/>
            <w:r w:rsidRPr="00236E38">
              <w:rPr>
                <w:rFonts w:asciiTheme="minorHAnsi" w:hAnsiTheme="minorHAnsi" w:cstheme="minorHAnsi"/>
                <w:b/>
                <w:bCs/>
                <w:color w:val="000000"/>
                <w:sz w:val="22"/>
                <w:szCs w:val="22"/>
                <w:lang w:eastAsia="en-IN"/>
              </w:rPr>
              <w:t>Hrs</w:t>
            </w:r>
            <w:proofErr w:type="spellEnd"/>
            <w:r w:rsidRPr="00236E38">
              <w:rPr>
                <w:rFonts w:asciiTheme="minorHAnsi" w:hAnsiTheme="minorHAnsi" w:cstheme="minorHAnsi"/>
                <w:b/>
                <w:bCs/>
                <w:color w:val="000000"/>
                <w:sz w:val="22"/>
                <w:szCs w:val="22"/>
                <w:lang w:eastAsia="en-IN"/>
              </w:rPr>
              <w:t xml:space="preserve"> -06 </w:t>
            </w:r>
            <w:proofErr w:type="spellStart"/>
            <w:r w:rsidRPr="00236E38">
              <w:rPr>
                <w:rFonts w:asciiTheme="minorHAnsi" w:hAnsiTheme="minorHAnsi" w:cstheme="minorHAnsi"/>
                <w:b/>
                <w:bCs/>
                <w:color w:val="000000"/>
                <w:sz w:val="22"/>
                <w:szCs w:val="22"/>
                <w:lang w:eastAsia="en-IN"/>
              </w:rPr>
              <w:t>Hrs</w:t>
            </w:r>
            <w:proofErr w:type="spellEnd"/>
          </w:p>
        </w:tc>
        <w:tc>
          <w:tcPr>
            <w:tcW w:w="1668" w:type="dxa"/>
            <w:tcBorders>
              <w:top w:val="nil"/>
              <w:left w:val="nil"/>
              <w:bottom w:val="single" w:sz="4" w:space="0" w:color="auto"/>
              <w:right w:val="single" w:sz="4" w:space="0" w:color="auto"/>
            </w:tcBorders>
            <w:shd w:val="clear" w:color="auto" w:fill="8DB3E2" w:themeFill="text2" w:themeFillTint="66"/>
            <w:noWrap/>
            <w:vAlign w:val="bottom"/>
            <w:hideMark/>
          </w:tcPr>
          <w:p w14:paraId="1220A183" w14:textId="77777777" w:rsidR="00BB6BFE" w:rsidRPr="00236E38" w:rsidRDefault="00BB6BFE" w:rsidP="00236E38">
            <w:pPr>
              <w:spacing w:line="360" w:lineRule="auto"/>
              <w:rPr>
                <w:rFonts w:asciiTheme="minorHAnsi" w:hAnsiTheme="minorHAnsi" w:cstheme="minorHAnsi"/>
                <w:b/>
                <w:bCs/>
                <w:color w:val="000000"/>
                <w:sz w:val="22"/>
                <w:szCs w:val="22"/>
                <w:lang w:eastAsia="en-IN"/>
              </w:rPr>
            </w:pPr>
            <w:r w:rsidRPr="00236E38">
              <w:rPr>
                <w:rFonts w:asciiTheme="minorHAnsi" w:hAnsiTheme="minorHAnsi" w:cstheme="minorHAnsi"/>
                <w:b/>
                <w:bCs/>
                <w:color w:val="000000"/>
                <w:sz w:val="22"/>
                <w:szCs w:val="22"/>
                <w:lang w:eastAsia="en-IN"/>
              </w:rPr>
              <w:t xml:space="preserve">06 </w:t>
            </w:r>
            <w:proofErr w:type="spellStart"/>
            <w:r w:rsidRPr="00236E38">
              <w:rPr>
                <w:rFonts w:asciiTheme="minorHAnsi" w:hAnsiTheme="minorHAnsi" w:cstheme="minorHAnsi"/>
                <w:b/>
                <w:bCs/>
                <w:color w:val="000000"/>
                <w:sz w:val="22"/>
                <w:szCs w:val="22"/>
                <w:lang w:eastAsia="en-IN"/>
              </w:rPr>
              <w:t>Hrs</w:t>
            </w:r>
            <w:proofErr w:type="spellEnd"/>
            <w:r w:rsidRPr="00236E38">
              <w:rPr>
                <w:rFonts w:asciiTheme="minorHAnsi" w:hAnsiTheme="minorHAnsi" w:cstheme="minorHAnsi"/>
                <w:b/>
                <w:bCs/>
                <w:color w:val="000000"/>
                <w:sz w:val="22"/>
                <w:szCs w:val="22"/>
                <w:lang w:eastAsia="en-IN"/>
              </w:rPr>
              <w:t xml:space="preserve"> -14 </w:t>
            </w:r>
            <w:proofErr w:type="spellStart"/>
            <w:r w:rsidRPr="00236E38">
              <w:rPr>
                <w:rFonts w:asciiTheme="minorHAnsi" w:hAnsiTheme="minorHAnsi" w:cstheme="minorHAnsi"/>
                <w:b/>
                <w:bCs/>
                <w:color w:val="000000"/>
                <w:sz w:val="22"/>
                <w:szCs w:val="22"/>
                <w:lang w:eastAsia="en-IN"/>
              </w:rPr>
              <w:t>Hrs</w:t>
            </w:r>
            <w:proofErr w:type="spellEnd"/>
          </w:p>
        </w:tc>
        <w:tc>
          <w:tcPr>
            <w:tcW w:w="1814" w:type="dxa"/>
            <w:tcBorders>
              <w:top w:val="nil"/>
              <w:left w:val="nil"/>
              <w:bottom w:val="single" w:sz="4" w:space="0" w:color="auto"/>
              <w:right w:val="single" w:sz="4" w:space="0" w:color="auto"/>
            </w:tcBorders>
            <w:shd w:val="clear" w:color="auto" w:fill="8DB3E2" w:themeFill="text2" w:themeFillTint="66"/>
            <w:noWrap/>
            <w:vAlign w:val="bottom"/>
            <w:hideMark/>
          </w:tcPr>
          <w:p w14:paraId="08E0D19F" w14:textId="77777777" w:rsidR="00BB6BFE" w:rsidRPr="00236E38" w:rsidRDefault="00BB6BFE" w:rsidP="00236E38">
            <w:pPr>
              <w:spacing w:line="360" w:lineRule="auto"/>
              <w:rPr>
                <w:rFonts w:asciiTheme="minorHAnsi" w:hAnsiTheme="minorHAnsi" w:cstheme="minorHAnsi"/>
                <w:b/>
                <w:bCs/>
                <w:color w:val="000000"/>
                <w:sz w:val="22"/>
                <w:szCs w:val="22"/>
                <w:lang w:eastAsia="en-IN"/>
              </w:rPr>
            </w:pPr>
            <w:r w:rsidRPr="00236E38">
              <w:rPr>
                <w:rFonts w:asciiTheme="minorHAnsi" w:hAnsiTheme="minorHAnsi" w:cstheme="minorHAnsi"/>
                <w:b/>
                <w:bCs/>
                <w:color w:val="000000"/>
                <w:sz w:val="22"/>
                <w:szCs w:val="22"/>
                <w:lang w:eastAsia="en-IN"/>
              </w:rPr>
              <w:t xml:space="preserve">14 </w:t>
            </w:r>
            <w:proofErr w:type="spellStart"/>
            <w:r w:rsidRPr="00236E38">
              <w:rPr>
                <w:rFonts w:asciiTheme="minorHAnsi" w:hAnsiTheme="minorHAnsi" w:cstheme="minorHAnsi"/>
                <w:b/>
                <w:bCs/>
                <w:color w:val="000000"/>
                <w:sz w:val="22"/>
                <w:szCs w:val="22"/>
                <w:lang w:eastAsia="en-IN"/>
              </w:rPr>
              <w:t>Hrs</w:t>
            </w:r>
            <w:proofErr w:type="spellEnd"/>
            <w:r w:rsidRPr="00236E38">
              <w:rPr>
                <w:rFonts w:asciiTheme="minorHAnsi" w:hAnsiTheme="minorHAnsi" w:cstheme="minorHAnsi"/>
                <w:b/>
                <w:bCs/>
                <w:color w:val="000000"/>
                <w:sz w:val="22"/>
                <w:szCs w:val="22"/>
                <w:lang w:eastAsia="en-IN"/>
              </w:rPr>
              <w:t xml:space="preserve"> -18 </w:t>
            </w:r>
            <w:proofErr w:type="spellStart"/>
            <w:r w:rsidRPr="00236E38">
              <w:rPr>
                <w:rFonts w:asciiTheme="minorHAnsi" w:hAnsiTheme="minorHAnsi" w:cstheme="minorHAnsi"/>
                <w:b/>
                <w:bCs/>
                <w:color w:val="000000"/>
                <w:sz w:val="22"/>
                <w:szCs w:val="22"/>
                <w:lang w:eastAsia="en-IN"/>
              </w:rPr>
              <w:t>Hrs</w:t>
            </w:r>
            <w:proofErr w:type="spellEnd"/>
          </w:p>
        </w:tc>
        <w:tc>
          <w:tcPr>
            <w:tcW w:w="2520" w:type="dxa"/>
            <w:tcBorders>
              <w:top w:val="nil"/>
              <w:left w:val="nil"/>
              <w:bottom w:val="single" w:sz="4" w:space="0" w:color="auto"/>
              <w:right w:val="single" w:sz="4" w:space="0" w:color="auto"/>
            </w:tcBorders>
            <w:shd w:val="clear" w:color="auto" w:fill="8DB3E2" w:themeFill="text2" w:themeFillTint="66"/>
            <w:noWrap/>
            <w:vAlign w:val="bottom"/>
            <w:hideMark/>
          </w:tcPr>
          <w:p w14:paraId="33D668A0" w14:textId="77777777" w:rsidR="00BB6BFE" w:rsidRPr="00236E38" w:rsidRDefault="00BB6BFE" w:rsidP="00236E38">
            <w:pPr>
              <w:spacing w:line="360" w:lineRule="auto"/>
              <w:rPr>
                <w:rFonts w:asciiTheme="minorHAnsi" w:hAnsiTheme="minorHAnsi" w:cstheme="minorHAnsi"/>
                <w:b/>
                <w:bCs/>
                <w:color w:val="000000"/>
                <w:sz w:val="22"/>
                <w:szCs w:val="22"/>
                <w:lang w:eastAsia="en-IN"/>
              </w:rPr>
            </w:pPr>
            <w:r w:rsidRPr="00236E38">
              <w:rPr>
                <w:rFonts w:asciiTheme="minorHAnsi" w:hAnsiTheme="minorHAnsi" w:cstheme="minorHAnsi"/>
                <w:b/>
                <w:bCs/>
                <w:color w:val="000000"/>
                <w:sz w:val="22"/>
                <w:szCs w:val="22"/>
                <w:lang w:eastAsia="en-IN"/>
              </w:rPr>
              <w:t xml:space="preserve">         18 </w:t>
            </w:r>
            <w:proofErr w:type="spellStart"/>
            <w:r w:rsidRPr="00236E38">
              <w:rPr>
                <w:rFonts w:asciiTheme="minorHAnsi" w:hAnsiTheme="minorHAnsi" w:cstheme="minorHAnsi"/>
                <w:b/>
                <w:bCs/>
                <w:color w:val="000000"/>
                <w:sz w:val="22"/>
                <w:szCs w:val="22"/>
                <w:lang w:eastAsia="en-IN"/>
              </w:rPr>
              <w:t>Hrs</w:t>
            </w:r>
            <w:proofErr w:type="spellEnd"/>
            <w:r w:rsidRPr="00236E38">
              <w:rPr>
                <w:rFonts w:asciiTheme="minorHAnsi" w:hAnsiTheme="minorHAnsi" w:cstheme="minorHAnsi"/>
                <w:b/>
                <w:bCs/>
                <w:color w:val="000000"/>
                <w:sz w:val="22"/>
                <w:szCs w:val="22"/>
                <w:lang w:eastAsia="en-IN"/>
              </w:rPr>
              <w:t xml:space="preserve"> -24 </w:t>
            </w:r>
            <w:proofErr w:type="spellStart"/>
            <w:r w:rsidRPr="00236E38">
              <w:rPr>
                <w:rFonts w:asciiTheme="minorHAnsi" w:hAnsiTheme="minorHAnsi" w:cstheme="minorHAnsi"/>
                <w:b/>
                <w:bCs/>
                <w:color w:val="000000"/>
                <w:sz w:val="22"/>
                <w:szCs w:val="22"/>
                <w:lang w:eastAsia="en-IN"/>
              </w:rPr>
              <w:t>Hrs</w:t>
            </w:r>
            <w:proofErr w:type="spellEnd"/>
          </w:p>
        </w:tc>
      </w:tr>
      <w:tr w:rsidR="00BB6BFE" w:rsidRPr="00236E38" w14:paraId="77D9D2C3" w14:textId="77777777" w:rsidTr="00B81422">
        <w:trPr>
          <w:trHeight w:val="158"/>
        </w:trPr>
        <w:tc>
          <w:tcPr>
            <w:tcW w:w="1588" w:type="dxa"/>
            <w:tcBorders>
              <w:top w:val="nil"/>
              <w:left w:val="single" w:sz="4" w:space="0" w:color="auto"/>
              <w:bottom w:val="single" w:sz="4" w:space="0" w:color="auto"/>
              <w:right w:val="single" w:sz="4" w:space="0" w:color="auto"/>
            </w:tcBorders>
            <w:shd w:val="clear" w:color="auto" w:fill="auto"/>
            <w:noWrap/>
            <w:vAlign w:val="bottom"/>
            <w:hideMark/>
          </w:tcPr>
          <w:p w14:paraId="02E7BCB8" w14:textId="77777777" w:rsidR="00BB6BFE" w:rsidRPr="00236E38" w:rsidRDefault="00BB6BFE" w:rsidP="00236E38">
            <w:pPr>
              <w:spacing w:line="360" w:lineRule="auto"/>
              <w:rPr>
                <w:rFonts w:asciiTheme="minorHAnsi" w:hAnsiTheme="minorHAnsi" w:cstheme="minorHAnsi"/>
                <w:color w:val="000000"/>
                <w:sz w:val="22"/>
                <w:szCs w:val="22"/>
                <w:lang w:eastAsia="en-IN"/>
              </w:rPr>
            </w:pPr>
            <w:proofErr w:type="spellStart"/>
            <w:r w:rsidRPr="00236E38">
              <w:rPr>
                <w:rFonts w:asciiTheme="minorHAnsi" w:hAnsiTheme="minorHAnsi" w:cstheme="minorHAnsi"/>
                <w:color w:val="000000"/>
                <w:sz w:val="22"/>
                <w:szCs w:val="22"/>
                <w:lang w:eastAsia="en-IN"/>
              </w:rPr>
              <w:t>Balasore</w:t>
            </w:r>
            <w:proofErr w:type="spellEnd"/>
          </w:p>
        </w:tc>
        <w:tc>
          <w:tcPr>
            <w:tcW w:w="1667" w:type="dxa"/>
            <w:tcBorders>
              <w:top w:val="nil"/>
              <w:left w:val="nil"/>
              <w:bottom w:val="single" w:sz="4" w:space="0" w:color="auto"/>
              <w:right w:val="single" w:sz="4" w:space="0" w:color="auto"/>
            </w:tcBorders>
            <w:shd w:val="clear" w:color="auto" w:fill="auto"/>
            <w:noWrap/>
            <w:vAlign w:val="bottom"/>
            <w:hideMark/>
          </w:tcPr>
          <w:p w14:paraId="0F3F995E" w14:textId="77777777" w:rsidR="00BB6BFE" w:rsidRPr="00236E38" w:rsidRDefault="00BB6BFE" w:rsidP="00236E38">
            <w:pPr>
              <w:spacing w:line="360" w:lineRule="auto"/>
              <w:jc w:val="center"/>
              <w:rPr>
                <w:rFonts w:asciiTheme="minorHAnsi" w:hAnsiTheme="minorHAnsi" w:cstheme="minorHAnsi"/>
                <w:color w:val="000000"/>
                <w:sz w:val="22"/>
                <w:szCs w:val="22"/>
                <w:lang w:eastAsia="en-IN"/>
              </w:rPr>
            </w:pPr>
            <w:r w:rsidRPr="00236E38">
              <w:rPr>
                <w:rFonts w:asciiTheme="minorHAnsi" w:hAnsiTheme="minorHAnsi" w:cstheme="minorHAnsi"/>
                <w:color w:val="000000"/>
                <w:sz w:val="22"/>
                <w:szCs w:val="22"/>
                <w:lang w:eastAsia="en-IN"/>
              </w:rPr>
              <w:t>31976.6</w:t>
            </w:r>
          </w:p>
        </w:tc>
        <w:tc>
          <w:tcPr>
            <w:tcW w:w="1668" w:type="dxa"/>
            <w:tcBorders>
              <w:top w:val="nil"/>
              <w:left w:val="nil"/>
              <w:bottom w:val="single" w:sz="4" w:space="0" w:color="auto"/>
              <w:right w:val="single" w:sz="4" w:space="0" w:color="auto"/>
            </w:tcBorders>
            <w:shd w:val="clear" w:color="auto" w:fill="auto"/>
            <w:noWrap/>
            <w:vAlign w:val="bottom"/>
            <w:hideMark/>
          </w:tcPr>
          <w:p w14:paraId="15EB594F" w14:textId="77777777" w:rsidR="00BB6BFE" w:rsidRPr="00236E38" w:rsidRDefault="00BB6BFE" w:rsidP="00236E38">
            <w:pPr>
              <w:spacing w:line="360" w:lineRule="auto"/>
              <w:jc w:val="center"/>
              <w:rPr>
                <w:rFonts w:asciiTheme="minorHAnsi" w:hAnsiTheme="minorHAnsi" w:cstheme="minorHAnsi"/>
                <w:color w:val="000000"/>
                <w:sz w:val="22"/>
                <w:szCs w:val="22"/>
                <w:lang w:eastAsia="en-IN"/>
              </w:rPr>
            </w:pPr>
            <w:r w:rsidRPr="00236E38">
              <w:rPr>
                <w:rFonts w:asciiTheme="minorHAnsi" w:hAnsiTheme="minorHAnsi" w:cstheme="minorHAnsi"/>
                <w:color w:val="000000"/>
                <w:sz w:val="22"/>
                <w:szCs w:val="22"/>
                <w:lang w:eastAsia="en-IN"/>
              </w:rPr>
              <w:t>32267.9</w:t>
            </w:r>
          </w:p>
        </w:tc>
        <w:tc>
          <w:tcPr>
            <w:tcW w:w="1814" w:type="dxa"/>
            <w:tcBorders>
              <w:top w:val="nil"/>
              <w:left w:val="nil"/>
              <w:bottom w:val="single" w:sz="4" w:space="0" w:color="auto"/>
              <w:right w:val="single" w:sz="4" w:space="0" w:color="auto"/>
            </w:tcBorders>
            <w:shd w:val="clear" w:color="auto" w:fill="auto"/>
            <w:noWrap/>
            <w:vAlign w:val="bottom"/>
            <w:hideMark/>
          </w:tcPr>
          <w:p w14:paraId="00CDF1FC" w14:textId="77777777" w:rsidR="00BB6BFE" w:rsidRPr="00236E38" w:rsidRDefault="00BB6BFE" w:rsidP="00236E38">
            <w:pPr>
              <w:spacing w:line="360" w:lineRule="auto"/>
              <w:jc w:val="center"/>
              <w:rPr>
                <w:rFonts w:asciiTheme="minorHAnsi" w:hAnsiTheme="minorHAnsi" w:cstheme="minorHAnsi"/>
                <w:color w:val="000000"/>
                <w:sz w:val="22"/>
                <w:szCs w:val="22"/>
                <w:lang w:eastAsia="en-IN"/>
              </w:rPr>
            </w:pPr>
            <w:r w:rsidRPr="00236E38">
              <w:rPr>
                <w:rFonts w:asciiTheme="minorHAnsi" w:hAnsiTheme="minorHAnsi" w:cstheme="minorHAnsi"/>
                <w:color w:val="000000"/>
                <w:sz w:val="22"/>
                <w:szCs w:val="22"/>
                <w:lang w:eastAsia="en-IN"/>
              </w:rPr>
              <w:t>31834.6</w:t>
            </w:r>
          </w:p>
        </w:tc>
        <w:tc>
          <w:tcPr>
            <w:tcW w:w="2520" w:type="dxa"/>
            <w:tcBorders>
              <w:top w:val="nil"/>
              <w:left w:val="nil"/>
              <w:bottom w:val="single" w:sz="4" w:space="0" w:color="auto"/>
              <w:right w:val="single" w:sz="4" w:space="0" w:color="auto"/>
            </w:tcBorders>
            <w:shd w:val="clear" w:color="auto" w:fill="auto"/>
            <w:noWrap/>
            <w:vAlign w:val="bottom"/>
            <w:hideMark/>
          </w:tcPr>
          <w:p w14:paraId="77C9128E" w14:textId="77777777" w:rsidR="00BB6BFE" w:rsidRPr="00236E38" w:rsidRDefault="00BB6BFE" w:rsidP="00236E38">
            <w:pPr>
              <w:spacing w:line="360" w:lineRule="auto"/>
              <w:jc w:val="center"/>
              <w:rPr>
                <w:rFonts w:asciiTheme="minorHAnsi" w:hAnsiTheme="minorHAnsi" w:cstheme="minorHAnsi"/>
                <w:color w:val="000000"/>
                <w:sz w:val="22"/>
                <w:szCs w:val="22"/>
                <w:lang w:eastAsia="en-IN"/>
              </w:rPr>
            </w:pPr>
            <w:r w:rsidRPr="00236E38">
              <w:rPr>
                <w:rFonts w:asciiTheme="minorHAnsi" w:hAnsiTheme="minorHAnsi" w:cstheme="minorHAnsi"/>
                <w:color w:val="000000"/>
                <w:sz w:val="22"/>
                <w:szCs w:val="22"/>
                <w:lang w:eastAsia="en-IN"/>
              </w:rPr>
              <w:t>31588.3</w:t>
            </w:r>
          </w:p>
        </w:tc>
      </w:tr>
      <w:tr w:rsidR="00BB6BFE" w:rsidRPr="00236E38" w14:paraId="27FDCE38" w14:textId="77777777" w:rsidTr="00B81422">
        <w:trPr>
          <w:trHeight w:val="158"/>
        </w:trPr>
        <w:tc>
          <w:tcPr>
            <w:tcW w:w="1588" w:type="dxa"/>
            <w:tcBorders>
              <w:top w:val="nil"/>
              <w:left w:val="single" w:sz="4" w:space="0" w:color="auto"/>
              <w:bottom w:val="single" w:sz="4" w:space="0" w:color="auto"/>
              <w:right w:val="single" w:sz="4" w:space="0" w:color="auto"/>
            </w:tcBorders>
            <w:shd w:val="clear" w:color="auto" w:fill="auto"/>
            <w:noWrap/>
            <w:vAlign w:val="bottom"/>
            <w:hideMark/>
          </w:tcPr>
          <w:p w14:paraId="7A776DE9" w14:textId="77777777" w:rsidR="00BB6BFE" w:rsidRPr="00236E38" w:rsidRDefault="00BB6BFE" w:rsidP="00236E38">
            <w:pPr>
              <w:spacing w:line="360" w:lineRule="auto"/>
              <w:rPr>
                <w:rFonts w:asciiTheme="minorHAnsi" w:hAnsiTheme="minorHAnsi" w:cstheme="minorHAnsi"/>
                <w:color w:val="000000"/>
                <w:sz w:val="22"/>
                <w:szCs w:val="22"/>
                <w:lang w:eastAsia="en-IN"/>
              </w:rPr>
            </w:pPr>
            <w:r w:rsidRPr="00236E38">
              <w:rPr>
                <w:rFonts w:asciiTheme="minorHAnsi" w:hAnsiTheme="minorHAnsi" w:cstheme="minorHAnsi"/>
                <w:color w:val="000000"/>
                <w:sz w:val="22"/>
                <w:szCs w:val="22"/>
                <w:lang w:eastAsia="en-IN"/>
              </w:rPr>
              <w:t xml:space="preserve">BARIPADA </w:t>
            </w:r>
          </w:p>
        </w:tc>
        <w:tc>
          <w:tcPr>
            <w:tcW w:w="1667" w:type="dxa"/>
            <w:tcBorders>
              <w:top w:val="nil"/>
              <w:left w:val="nil"/>
              <w:bottom w:val="single" w:sz="4" w:space="0" w:color="auto"/>
              <w:right w:val="single" w:sz="4" w:space="0" w:color="auto"/>
            </w:tcBorders>
            <w:shd w:val="clear" w:color="auto" w:fill="auto"/>
            <w:noWrap/>
            <w:vAlign w:val="bottom"/>
            <w:hideMark/>
          </w:tcPr>
          <w:p w14:paraId="52C07336" w14:textId="77777777" w:rsidR="00BB6BFE" w:rsidRPr="00236E38" w:rsidRDefault="00BB6BFE" w:rsidP="00236E38">
            <w:pPr>
              <w:spacing w:line="360" w:lineRule="auto"/>
              <w:jc w:val="center"/>
              <w:rPr>
                <w:rFonts w:asciiTheme="minorHAnsi" w:hAnsiTheme="minorHAnsi" w:cstheme="minorHAnsi"/>
                <w:color w:val="000000"/>
                <w:sz w:val="22"/>
                <w:szCs w:val="22"/>
                <w:lang w:eastAsia="en-IN"/>
              </w:rPr>
            </w:pPr>
            <w:r w:rsidRPr="00236E38">
              <w:rPr>
                <w:rFonts w:asciiTheme="minorHAnsi" w:hAnsiTheme="minorHAnsi" w:cstheme="minorHAnsi"/>
                <w:color w:val="000000"/>
                <w:sz w:val="22"/>
                <w:szCs w:val="22"/>
                <w:lang w:eastAsia="en-IN"/>
              </w:rPr>
              <w:t>31456.1</w:t>
            </w:r>
          </w:p>
        </w:tc>
        <w:tc>
          <w:tcPr>
            <w:tcW w:w="1668" w:type="dxa"/>
            <w:tcBorders>
              <w:top w:val="nil"/>
              <w:left w:val="nil"/>
              <w:bottom w:val="single" w:sz="4" w:space="0" w:color="auto"/>
              <w:right w:val="single" w:sz="4" w:space="0" w:color="auto"/>
            </w:tcBorders>
            <w:shd w:val="clear" w:color="auto" w:fill="auto"/>
            <w:noWrap/>
            <w:vAlign w:val="bottom"/>
            <w:hideMark/>
          </w:tcPr>
          <w:p w14:paraId="3C10CA4A" w14:textId="77777777" w:rsidR="00BB6BFE" w:rsidRPr="00236E38" w:rsidRDefault="00BB6BFE" w:rsidP="00236E38">
            <w:pPr>
              <w:spacing w:line="360" w:lineRule="auto"/>
              <w:jc w:val="center"/>
              <w:rPr>
                <w:rFonts w:asciiTheme="minorHAnsi" w:hAnsiTheme="minorHAnsi" w:cstheme="minorHAnsi"/>
                <w:color w:val="000000"/>
                <w:sz w:val="22"/>
                <w:szCs w:val="22"/>
                <w:lang w:eastAsia="en-IN"/>
              </w:rPr>
            </w:pPr>
            <w:r w:rsidRPr="00236E38">
              <w:rPr>
                <w:rFonts w:asciiTheme="minorHAnsi" w:hAnsiTheme="minorHAnsi" w:cstheme="minorHAnsi"/>
                <w:color w:val="000000"/>
                <w:sz w:val="22"/>
                <w:szCs w:val="22"/>
                <w:lang w:eastAsia="en-IN"/>
              </w:rPr>
              <w:t>31620.5</w:t>
            </w:r>
          </w:p>
        </w:tc>
        <w:tc>
          <w:tcPr>
            <w:tcW w:w="1814" w:type="dxa"/>
            <w:tcBorders>
              <w:top w:val="nil"/>
              <w:left w:val="nil"/>
              <w:bottom w:val="single" w:sz="4" w:space="0" w:color="auto"/>
              <w:right w:val="single" w:sz="4" w:space="0" w:color="auto"/>
            </w:tcBorders>
            <w:shd w:val="clear" w:color="auto" w:fill="auto"/>
            <w:noWrap/>
            <w:vAlign w:val="bottom"/>
            <w:hideMark/>
          </w:tcPr>
          <w:p w14:paraId="6B2D5365" w14:textId="77777777" w:rsidR="00BB6BFE" w:rsidRPr="00236E38" w:rsidRDefault="00BB6BFE" w:rsidP="00236E38">
            <w:pPr>
              <w:spacing w:line="360" w:lineRule="auto"/>
              <w:jc w:val="center"/>
              <w:rPr>
                <w:rFonts w:asciiTheme="minorHAnsi" w:hAnsiTheme="minorHAnsi" w:cstheme="minorHAnsi"/>
                <w:color w:val="000000"/>
                <w:sz w:val="22"/>
                <w:szCs w:val="22"/>
                <w:lang w:eastAsia="en-IN"/>
              </w:rPr>
            </w:pPr>
            <w:r w:rsidRPr="00236E38">
              <w:rPr>
                <w:rFonts w:asciiTheme="minorHAnsi" w:hAnsiTheme="minorHAnsi" w:cstheme="minorHAnsi"/>
                <w:color w:val="000000"/>
                <w:sz w:val="22"/>
                <w:szCs w:val="22"/>
                <w:lang w:eastAsia="en-IN"/>
              </w:rPr>
              <w:t>31191.3</w:t>
            </w:r>
          </w:p>
        </w:tc>
        <w:tc>
          <w:tcPr>
            <w:tcW w:w="2520" w:type="dxa"/>
            <w:tcBorders>
              <w:top w:val="nil"/>
              <w:left w:val="nil"/>
              <w:bottom w:val="single" w:sz="4" w:space="0" w:color="auto"/>
              <w:right w:val="single" w:sz="4" w:space="0" w:color="auto"/>
            </w:tcBorders>
            <w:shd w:val="clear" w:color="auto" w:fill="auto"/>
            <w:noWrap/>
            <w:vAlign w:val="bottom"/>
            <w:hideMark/>
          </w:tcPr>
          <w:p w14:paraId="44E533B7" w14:textId="77777777" w:rsidR="00BB6BFE" w:rsidRPr="00236E38" w:rsidRDefault="00BB6BFE" w:rsidP="00236E38">
            <w:pPr>
              <w:spacing w:line="360" w:lineRule="auto"/>
              <w:jc w:val="center"/>
              <w:rPr>
                <w:rFonts w:asciiTheme="minorHAnsi" w:hAnsiTheme="minorHAnsi" w:cstheme="minorHAnsi"/>
                <w:color w:val="000000"/>
                <w:sz w:val="22"/>
                <w:szCs w:val="22"/>
                <w:lang w:eastAsia="en-IN"/>
              </w:rPr>
            </w:pPr>
            <w:r w:rsidRPr="00236E38">
              <w:rPr>
                <w:rFonts w:asciiTheme="minorHAnsi" w:hAnsiTheme="minorHAnsi" w:cstheme="minorHAnsi"/>
                <w:color w:val="000000"/>
                <w:sz w:val="22"/>
                <w:szCs w:val="22"/>
                <w:lang w:eastAsia="en-IN"/>
              </w:rPr>
              <w:t>31041.9</w:t>
            </w:r>
          </w:p>
        </w:tc>
      </w:tr>
      <w:tr w:rsidR="00BB6BFE" w:rsidRPr="00236E38" w14:paraId="1301B71C" w14:textId="77777777" w:rsidTr="00B81422">
        <w:trPr>
          <w:trHeight w:val="158"/>
        </w:trPr>
        <w:tc>
          <w:tcPr>
            <w:tcW w:w="1588" w:type="dxa"/>
            <w:tcBorders>
              <w:top w:val="nil"/>
              <w:left w:val="single" w:sz="4" w:space="0" w:color="auto"/>
              <w:bottom w:val="single" w:sz="4" w:space="0" w:color="auto"/>
              <w:right w:val="single" w:sz="4" w:space="0" w:color="auto"/>
            </w:tcBorders>
            <w:shd w:val="clear" w:color="auto" w:fill="auto"/>
            <w:noWrap/>
            <w:vAlign w:val="bottom"/>
            <w:hideMark/>
          </w:tcPr>
          <w:p w14:paraId="4EDD12E9" w14:textId="77777777" w:rsidR="00BB6BFE" w:rsidRPr="00236E38" w:rsidRDefault="00BB6BFE" w:rsidP="00236E38">
            <w:pPr>
              <w:spacing w:line="360" w:lineRule="auto"/>
              <w:rPr>
                <w:rFonts w:asciiTheme="minorHAnsi" w:hAnsiTheme="minorHAnsi" w:cstheme="minorHAnsi"/>
                <w:color w:val="000000"/>
                <w:sz w:val="22"/>
                <w:szCs w:val="22"/>
                <w:lang w:eastAsia="en-IN"/>
              </w:rPr>
            </w:pPr>
            <w:r w:rsidRPr="00236E38">
              <w:rPr>
                <w:rFonts w:asciiTheme="minorHAnsi" w:hAnsiTheme="minorHAnsi" w:cstheme="minorHAnsi"/>
                <w:color w:val="000000"/>
                <w:sz w:val="22"/>
                <w:szCs w:val="22"/>
                <w:lang w:eastAsia="en-IN"/>
              </w:rPr>
              <w:t xml:space="preserve">JAJPUR </w:t>
            </w:r>
          </w:p>
        </w:tc>
        <w:tc>
          <w:tcPr>
            <w:tcW w:w="1667" w:type="dxa"/>
            <w:tcBorders>
              <w:top w:val="nil"/>
              <w:left w:val="nil"/>
              <w:bottom w:val="single" w:sz="4" w:space="0" w:color="auto"/>
              <w:right w:val="single" w:sz="4" w:space="0" w:color="auto"/>
            </w:tcBorders>
            <w:shd w:val="clear" w:color="auto" w:fill="auto"/>
            <w:noWrap/>
            <w:vAlign w:val="bottom"/>
            <w:hideMark/>
          </w:tcPr>
          <w:p w14:paraId="122B42F3" w14:textId="77777777" w:rsidR="00BB6BFE" w:rsidRPr="00236E38" w:rsidRDefault="00BB6BFE" w:rsidP="00236E38">
            <w:pPr>
              <w:spacing w:line="360" w:lineRule="auto"/>
              <w:jc w:val="center"/>
              <w:rPr>
                <w:rFonts w:asciiTheme="minorHAnsi" w:hAnsiTheme="minorHAnsi" w:cstheme="minorHAnsi"/>
                <w:color w:val="000000"/>
                <w:sz w:val="22"/>
                <w:szCs w:val="22"/>
                <w:lang w:eastAsia="en-IN"/>
              </w:rPr>
            </w:pPr>
            <w:r w:rsidRPr="00236E38">
              <w:rPr>
                <w:rFonts w:asciiTheme="minorHAnsi" w:hAnsiTheme="minorHAnsi" w:cstheme="minorHAnsi"/>
                <w:color w:val="000000"/>
                <w:sz w:val="22"/>
                <w:szCs w:val="22"/>
                <w:lang w:eastAsia="en-IN"/>
              </w:rPr>
              <w:t>31375.7</w:t>
            </w:r>
          </w:p>
        </w:tc>
        <w:tc>
          <w:tcPr>
            <w:tcW w:w="1668" w:type="dxa"/>
            <w:tcBorders>
              <w:top w:val="nil"/>
              <w:left w:val="nil"/>
              <w:bottom w:val="single" w:sz="4" w:space="0" w:color="auto"/>
              <w:right w:val="single" w:sz="4" w:space="0" w:color="auto"/>
            </w:tcBorders>
            <w:shd w:val="clear" w:color="auto" w:fill="auto"/>
            <w:noWrap/>
            <w:vAlign w:val="bottom"/>
            <w:hideMark/>
          </w:tcPr>
          <w:p w14:paraId="20B410A3" w14:textId="77777777" w:rsidR="00BB6BFE" w:rsidRPr="00236E38" w:rsidRDefault="00BB6BFE" w:rsidP="00236E38">
            <w:pPr>
              <w:spacing w:line="360" w:lineRule="auto"/>
              <w:jc w:val="center"/>
              <w:rPr>
                <w:rFonts w:asciiTheme="minorHAnsi" w:hAnsiTheme="minorHAnsi" w:cstheme="minorHAnsi"/>
                <w:color w:val="000000"/>
                <w:sz w:val="22"/>
                <w:szCs w:val="22"/>
                <w:lang w:eastAsia="en-IN"/>
              </w:rPr>
            </w:pPr>
            <w:r w:rsidRPr="00236E38">
              <w:rPr>
                <w:rFonts w:asciiTheme="minorHAnsi" w:hAnsiTheme="minorHAnsi" w:cstheme="minorHAnsi"/>
                <w:color w:val="000000"/>
                <w:sz w:val="22"/>
                <w:szCs w:val="22"/>
                <w:lang w:eastAsia="en-IN"/>
              </w:rPr>
              <w:t>31571.4</w:t>
            </w:r>
          </w:p>
        </w:tc>
        <w:tc>
          <w:tcPr>
            <w:tcW w:w="1814" w:type="dxa"/>
            <w:tcBorders>
              <w:top w:val="nil"/>
              <w:left w:val="nil"/>
              <w:bottom w:val="single" w:sz="4" w:space="0" w:color="auto"/>
              <w:right w:val="single" w:sz="4" w:space="0" w:color="auto"/>
            </w:tcBorders>
            <w:shd w:val="clear" w:color="auto" w:fill="auto"/>
            <w:noWrap/>
            <w:vAlign w:val="bottom"/>
            <w:hideMark/>
          </w:tcPr>
          <w:p w14:paraId="36EF0512" w14:textId="77777777" w:rsidR="00BB6BFE" w:rsidRPr="00236E38" w:rsidRDefault="00BB6BFE" w:rsidP="00236E38">
            <w:pPr>
              <w:spacing w:line="360" w:lineRule="auto"/>
              <w:jc w:val="center"/>
              <w:rPr>
                <w:rFonts w:asciiTheme="minorHAnsi" w:hAnsiTheme="minorHAnsi" w:cstheme="minorHAnsi"/>
                <w:color w:val="000000"/>
                <w:sz w:val="22"/>
                <w:szCs w:val="22"/>
                <w:lang w:eastAsia="en-IN"/>
              </w:rPr>
            </w:pPr>
            <w:r w:rsidRPr="00236E38">
              <w:rPr>
                <w:rFonts w:asciiTheme="minorHAnsi" w:hAnsiTheme="minorHAnsi" w:cstheme="minorHAnsi"/>
                <w:color w:val="000000"/>
                <w:sz w:val="22"/>
                <w:szCs w:val="22"/>
                <w:lang w:eastAsia="en-IN"/>
              </w:rPr>
              <w:t>31099.4</w:t>
            </w:r>
          </w:p>
        </w:tc>
        <w:tc>
          <w:tcPr>
            <w:tcW w:w="2520" w:type="dxa"/>
            <w:tcBorders>
              <w:top w:val="nil"/>
              <w:left w:val="nil"/>
              <w:bottom w:val="single" w:sz="4" w:space="0" w:color="auto"/>
              <w:right w:val="single" w:sz="4" w:space="0" w:color="auto"/>
            </w:tcBorders>
            <w:shd w:val="clear" w:color="auto" w:fill="auto"/>
            <w:noWrap/>
            <w:vAlign w:val="bottom"/>
            <w:hideMark/>
          </w:tcPr>
          <w:p w14:paraId="0AA264CD" w14:textId="77777777" w:rsidR="00BB6BFE" w:rsidRPr="00236E38" w:rsidRDefault="00BB6BFE" w:rsidP="00236E38">
            <w:pPr>
              <w:spacing w:line="360" w:lineRule="auto"/>
              <w:jc w:val="center"/>
              <w:rPr>
                <w:rFonts w:asciiTheme="minorHAnsi" w:hAnsiTheme="minorHAnsi" w:cstheme="minorHAnsi"/>
                <w:color w:val="000000"/>
                <w:sz w:val="22"/>
                <w:szCs w:val="22"/>
                <w:lang w:eastAsia="en-IN"/>
              </w:rPr>
            </w:pPr>
            <w:r w:rsidRPr="00236E38">
              <w:rPr>
                <w:rFonts w:asciiTheme="minorHAnsi" w:hAnsiTheme="minorHAnsi" w:cstheme="minorHAnsi"/>
                <w:color w:val="000000"/>
                <w:sz w:val="22"/>
                <w:szCs w:val="22"/>
                <w:lang w:eastAsia="en-IN"/>
              </w:rPr>
              <w:t>31032.1</w:t>
            </w:r>
          </w:p>
        </w:tc>
      </w:tr>
      <w:tr w:rsidR="00BB6BFE" w:rsidRPr="00236E38" w14:paraId="14A2A4C1" w14:textId="77777777" w:rsidTr="00B81422">
        <w:trPr>
          <w:trHeight w:val="158"/>
        </w:trPr>
        <w:tc>
          <w:tcPr>
            <w:tcW w:w="1588" w:type="dxa"/>
            <w:tcBorders>
              <w:top w:val="nil"/>
              <w:left w:val="single" w:sz="4" w:space="0" w:color="auto"/>
              <w:bottom w:val="single" w:sz="4" w:space="0" w:color="auto"/>
              <w:right w:val="single" w:sz="4" w:space="0" w:color="auto"/>
            </w:tcBorders>
            <w:shd w:val="clear" w:color="auto" w:fill="auto"/>
            <w:noWrap/>
            <w:vAlign w:val="bottom"/>
            <w:hideMark/>
          </w:tcPr>
          <w:p w14:paraId="43DA6E36" w14:textId="77777777" w:rsidR="00BB6BFE" w:rsidRPr="00236E38" w:rsidRDefault="00BB6BFE" w:rsidP="00236E38">
            <w:pPr>
              <w:spacing w:line="360" w:lineRule="auto"/>
              <w:rPr>
                <w:rFonts w:asciiTheme="minorHAnsi" w:hAnsiTheme="minorHAnsi" w:cstheme="minorHAnsi"/>
                <w:color w:val="000000"/>
                <w:sz w:val="22"/>
                <w:szCs w:val="22"/>
                <w:lang w:eastAsia="en-IN"/>
              </w:rPr>
            </w:pPr>
            <w:r w:rsidRPr="00236E38">
              <w:rPr>
                <w:rFonts w:asciiTheme="minorHAnsi" w:hAnsiTheme="minorHAnsi" w:cstheme="minorHAnsi"/>
                <w:color w:val="000000"/>
                <w:sz w:val="22"/>
                <w:szCs w:val="22"/>
                <w:lang w:eastAsia="en-IN"/>
              </w:rPr>
              <w:lastRenderedPageBreak/>
              <w:t xml:space="preserve">KEONJHAR </w:t>
            </w:r>
          </w:p>
        </w:tc>
        <w:tc>
          <w:tcPr>
            <w:tcW w:w="1667" w:type="dxa"/>
            <w:tcBorders>
              <w:top w:val="nil"/>
              <w:left w:val="nil"/>
              <w:bottom w:val="single" w:sz="4" w:space="0" w:color="auto"/>
              <w:right w:val="single" w:sz="4" w:space="0" w:color="auto"/>
            </w:tcBorders>
            <w:shd w:val="clear" w:color="auto" w:fill="auto"/>
            <w:noWrap/>
            <w:vAlign w:val="bottom"/>
            <w:hideMark/>
          </w:tcPr>
          <w:p w14:paraId="2DC2DA92" w14:textId="77777777" w:rsidR="00BB6BFE" w:rsidRPr="00236E38" w:rsidRDefault="00BB6BFE" w:rsidP="00236E38">
            <w:pPr>
              <w:spacing w:line="360" w:lineRule="auto"/>
              <w:jc w:val="center"/>
              <w:rPr>
                <w:rFonts w:asciiTheme="minorHAnsi" w:hAnsiTheme="minorHAnsi" w:cstheme="minorHAnsi"/>
                <w:color w:val="000000"/>
                <w:sz w:val="22"/>
                <w:szCs w:val="22"/>
                <w:lang w:eastAsia="en-IN"/>
              </w:rPr>
            </w:pPr>
            <w:r w:rsidRPr="00236E38">
              <w:rPr>
                <w:rFonts w:asciiTheme="minorHAnsi" w:hAnsiTheme="minorHAnsi" w:cstheme="minorHAnsi"/>
                <w:color w:val="000000"/>
                <w:sz w:val="22"/>
                <w:szCs w:val="22"/>
                <w:lang w:eastAsia="en-IN"/>
              </w:rPr>
              <w:t>32152.7</w:t>
            </w:r>
          </w:p>
        </w:tc>
        <w:tc>
          <w:tcPr>
            <w:tcW w:w="1668" w:type="dxa"/>
            <w:tcBorders>
              <w:top w:val="nil"/>
              <w:left w:val="nil"/>
              <w:bottom w:val="single" w:sz="4" w:space="0" w:color="auto"/>
              <w:right w:val="single" w:sz="4" w:space="0" w:color="auto"/>
            </w:tcBorders>
            <w:shd w:val="clear" w:color="auto" w:fill="auto"/>
            <w:noWrap/>
            <w:vAlign w:val="bottom"/>
            <w:hideMark/>
          </w:tcPr>
          <w:p w14:paraId="2747DB6C" w14:textId="77777777" w:rsidR="00BB6BFE" w:rsidRPr="00236E38" w:rsidRDefault="00BB6BFE" w:rsidP="00236E38">
            <w:pPr>
              <w:spacing w:line="360" w:lineRule="auto"/>
              <w:jc w:val="center"/>
              <w:rPr>
                <w:rFonts w:asciiTheme="minorHAnsi" w:hAnsiTheme="minorHAnsi" w:cstheme="minorHAnsi"/>
                <w:color w:val="000000"/>
                <w:sz w:val="22"/>
                <w:szCs w:val="22"/>
                <w:lang w:eastAsia="en-IN"/>
              </w:rPr>
            </w:pPr>
            <w:r w:rsidRPr="00236E38">
              <w:rPr>
                <w:rFonts w:asciiTheme="minorHAnsi" w:hAnsiTheme="minorHAnsi" w:cstheme="minorHAnsi"/>
                <w:color w:val="000000"/>
                <w:sz w:val="22"/>
                <w:szCs w:val="22"/>
                <w:lang w:eastAsia="en-IN"/>
              </w:rPr>
              <w:t>32206.0</w:t>
            </w:r>
          </w:p>
        </w:tc>
        <w:tc>
          <w:tcPr>
            <w:tcW w:w="1814" w:type="dxa"/>
            <w:tcBorders>
              <w:top w:val="nil"/>
              <w:left w:val="nil"/>
              <w:bottom w:val="single" w:sz="4" w:space="0" w:color="auto"/>
              <w:right w:val="single" w:sz="4" w:space="0" w:color="auto"/>
            </w:tcBorders>
            <w:shd w:val="clear" w:color="auto" w:fill="auto"/>
            <w:noWrap/>
            <w:vAlign w:val="bottom"/>
            <w:hideMark/>
          </w:tcPr>
          <w:p w14:paraId="0AB9838C" w14:textId="77777777" w:rsidR="00BB6BFE" w:rsidRPr="00236E38" w:rsidRDefault="00BB6BFE" w:rsidP="00236E38">
            <w:pPr>
              <w:spacing w:line="360" w:lineRule="auto"/>
              <w:jc w:val="center"/>
              <w:rPr>
                <w:rFonts w:asciiTheme="minorHAnsi" w:hAnsiTheme="minorHAnsi" w:cstheme="minorHAnsi"/>
                <w:color w:val="000000"/>
                <w:sz w:val="22"/>
                <w:szCs w:val="22"/>
                <w:lang w:eastAsia="en-IN"/>
              </w:rPr>
            </w:pPr>
            <w:r w:rsidRPr="00236E38">
              <w:rPr>
                <w:rFonts w:asciiTheme="minorHAnsi" w:hAnsiTheme="minorHAnsi" w:cstheme="minorHAnsi"/>
                <w:color w:val="000000"/>
                <w:sz w:val="22"/>
                <w:szCs w:val="22"/>
                <w:lang w:eastAsia="en-IN"/>
              </w:rPr>
              <w:t>31859.4</w:t>
            </w:r>
          </w:p>
        </w:tc>
        <w:tc>
          <w:tcPr>
            <w:tcW w:w="2520" w:type="dxa"/>
            <w:tcBorders>
              <w:top w:val="nil"/>
              <w:left w:val="nil"/>
              <w:bottom w:val="single" w:sz="4" w:space="0" w:color="auto"/>
              <w:right w:val="single" w:sz="4" w:space="0" w:color="auto"/>
            </w:tcBorders>
            <w:shd w:val="clear" w:color="auto" w:fill="auto"/>
            <w:noWrap/>
            <w:vAlign w:val="bottom"/>
            <w:hideMark/>
          </w:tcPr>
          <w:p w14:paraId="09F84603" w14:textId="77777777" w:rsidR="00BB6BFE" w:rsidRPr="00236E38" w:rsidRDefault="00BB6BFE" w:rsidP="00236E38">
            <w:pPr>
              <w:spacing w:line="360" w:lineRule="auto"/>
              <w:jc w:val="center"/>
              <w:rPr>
                <w:rFonts w:asciiTheme="minorHAnsi" w:hAnsiTheme="minorHAnsi" w:cstheme="minorHAnsi"/>
                <w:color w:val="000000"/>
                <w:sz w:val="22"/>
                <w:szCs w:val="22"/>
                <w:lang w:eastAsia="en-IN"/>
              </w:rPr>
            </w:pPr>
            <w:r w:rsidRPr="00236E38">
              <w:rPr>
                <w:rFonts w:asciiTheme="minorHAnsi" w:hAnsiTheme="minorHAnsi" w:cstheme="minorHAnsi"/>
                <w:color w:val="000000"/>
                <w:sz w:val="22"/>
                <w:szCs w:val="22"/>
                <w:lang w:eastAsia="en-IN"/>
              </w:rPr>
              <w:t>31844.0</w:t>
            </w:r>
          </w:p>
        </w:tc>
      </w:tr>
      <w:tr w:rsidR="00BB6BFE" w:rsidRPr="00236E38" w14:paraId="5D407BEB" w14:textId="77777777" w:rsidTr="00B81422">
        <w:trPr>
          <w:trHeight w:val="158"/>
        </w:trPr>
        <w:tc>
          <w:tcPr>
            <w:tcW w:w="1588" w:type="dxa"/>
            <w:tcBorders>
              <w:top w:val="nil"/>
              <w:left w:val="single" w:sz="4" w:space="0" w:color="auto"/>
              <w:bottom w:val="single" w:sz="4" w:space="0" w:color="auto"/>
              <w:right w:val="single" w:sz="4" w:space="0" w:color="auto"/>
            </w:tcBorders>
            <w:shd w:val="clear" w:color="auto" w:fill="auto"/>
            <w:noWrap/>
            <w:vAlign w:val="bottom"/>
            <w:hideMark/>
          </w:tcPr>
          <w:p w14:paraId="3E97346A" w14:textId="77777777" w:rsidR="00BB6BFE" w:rsidRPr="00236E38" w:rsidRDefault="00BB6BFE" w:rsidP="00236E38">
            <w:pPr>
              <w:spacing w:line="360" w:lineRule="auto"/>
              <w:rPr>
                <w:rFonts w:asciiTheme="minorHAnsi" w:hAnsiTheme="minorHAnsi" w:cstheme="minorHAnsi"/>
                <w:color w:val="000000"/>
                <w:sz w:val="22"/>
                <w:szCs w:val="22"/>
                <w:lang w:eastAsia="en-IN"/>
              </w:rPr>
            </w:pPr>
            <w:r w:rsidRPr="00236E38">
              <w:rPr>
                <w:rFonts w:asciiTheme="minorHAnsi" w:hAnsiTheme="minorHAnsi" w:cstheme="minorHAnsi"/>
                <w:color w:val="000000"/>
                <w:sz w:val="22"/>
                <w:szCs w:val="22"/>
                <w:lang w:eastAsia="en-IN"/>
              </w:rPr>
              <w:t xml:space="preserve">TPNODL </w:t>
            </w:r>
          </w:p>
        </w:tc>
        <w:tc>
          <w:tcPr>
            <w:tcW w:w="1667" w:type="dxa"/>
            <w:tcBorders>
              <w:top w:val="nil"/>
              <w:left w:val="nil"/>
              <w:bottom w:val="single" w:sz="4" w:space="0" w:color="auto"/>
              <w:right w:val="single" w:sz="4" w:space="0" w:color="auto"/>
            </w:tcBorders>
            <w:shd w:val="clear" w:color="auto" w:fill="auto"/>
            <w:noWrap/>
            <w:vAlign w:val="bottom"/>
            <w:hideMark/>
          </w:tcPr>
          <w:p w14:paraId="49C2981B" w14:textId="77777777" w:rsidR="00BB6BFE" w:rsidRPr="00236E38" w:rsidRDefault="00BB6BFE" w:rsidP="00236E38">
            <w:pPr>
              <w:spacing w:line="360" w:lineRule="auto"/>
              <w:jc w:val="center"/>
              <w:rPr>
                <w:rFonts w:asciiTheme="minorHAnsi" w:hAnsiTheme="minorHAnsi" w:cstheme="minorHAnsi"/>
                <w:color w:val="000000"/>
                <w:sz w:val="22"/>
                <w:szCs w:val="22"/>
                <w:lang w:eastAsia="en-IN"/>
              </w:rPr>
            </w:pPr>
            <w:r w:rsidRPr="00236E38">
              <w:rPr>
                <w:rFonts w:asciiTheme="minorHAnsi" w:hAnsiTheme="minorHAnsi" w:cstheme="minorHAnsi"/>
                <w:color w:val="000000"/>
                <w:sz w:val="22"/>
                <w:szCs w:val="22"/>
                <w:lang w:eastAsia="en-IN"/>
              </w:rPr>
              <w:t>31832.3</w:t>
            </w:r>
          </w:p>
        </w:tc>
        <w:tc>
          <w:tcPr>
            <w:tcW w:w="1668" w:type="dxa"/>
            <w:tcBorders>
              <w:top w:val="nil"/>
              <w:left w:val="nil"/>
              <w:bottom w:val="single" w:sz="4" w:space="0" w:color="auto"/>
              <w:right w:val="single" w:sz="4" w:space="0" w:color="auto"/>
            </w:tcBorders>
            <w:shd w:val="clear" w:color="auto" w:fill="auto"/>
            <w:noWrap/>
            <w:vAlign w:val="bottom"/>
            <w:hideMark/>
          </w:tcPr>
          <w:p w14:paraId="4952163B" w14:textId="77777777" w:rsidR="00BB6BFE" w:rsidRPr="00236E38" w:rsidRDefault="00BB6BFE" w:rsidP="00236E38">
            <w:pPr>
              <w:spacing w:line="360" w:lineRule="auto"/>
              <w:jc w:val="center"/>
              <w:rPr>
                <w:rFonts w:asciiTheme="minorHAnsi" w:hAnsiTheme="minorHAnsi" w:cstheme="minorHAnsi"/>
                <w:color w:val="000000"/>
                <w:sz w:val="22"/>
                <w:szCs w:val="22"/>
                <w:lang w:eastAsia="en-IN"/>
              </w:rPr>
            </w:pPr>
            <w:r w:rsidRPr="00236E38">
              <w:rPr>
                <w:rFonts w:asciiTheme="minorHAnsi" w:hAnsiTheme="minorHAnsi" w:cstheme="minorHAnsi"/>
                <w:color w:val="000000"/>
                <w:sz w:val="22"/>
                <w:szCs w:val="22"/>
                <w:lang w:eastAsia="en-IN"/>
              </w:rPr>
              <w:t>32017.4</w:t>
            </w:r>
          </w:p>
        </w:tc>
        <w:tc>
          <w:tcPr>
            <w:tcW w:w="1814" w:type="dxa"/>
            <w:tcBorders>
              <w:top w:val="nil"/>
              <w:left w:val="nil"/>
              <w:bottom w:val="single" w:sz="4" w:space="0" w:color="auto"/>
              <w:right w:val="single" w:sz="4" w:space="0" w:color="auto"/>
            </w:tcBorders>
            <w:shd w:val="clear" w:color="auto" w:fill="auto"/>
            <w:noWrap/>
            <w:vAlign w:val="bottom"/>
            <w:hideMark/>
          </w:tcPr>
          <w:p w14:paraId="6D2BA7C7" w14:textId="77777777" w:rsidR="00BB6BFE" w:rsidRPr="00236E38" w:rsidRDefault="00BB6BFE" w:rsidP="00236E38">
            <w:pPr>
              <w:spacing w:line="360" w:lineRule="auto"/>
              <w:jc w:val="center"/>
              <w:rPr>
                <w:rFonts w:asciiTheme="minorHAnsi" w:hAnsiTheme="minorHAnsi" w:cstheme="minorHAnsi"/>
                <w:color w:val="000000"/>
                <w:sz w:val="22"/>
                <w:szCs w:val="22"/>
                <w:lang w:eastAsia="en-IN"/>
              </w:rPr>
            </w:pPr>
            <w:r w:rsidRPr="00236E38">
              <w:rPr>
                <w:rFonts w:asciiTheme="minorHAnsi" w:hAnsiTheme="minorHAnsi" w:cstheme="minorHAnsi"/>
                <w:color w:val="000000"/>
                <w:sz w:val="22"/>
                <w:szCs w:val="22"/>
                <w:lang w:eastAsia="en-IN"/>
              </w:rPr>
              <w:t>31599.4</w:t>
            </w:r>
          </w:p>
        </w:tc>
        <w:tc>
          <w:tcPr>
            <w:tcW w:w="2520" w:type="dxa"/>
            <w:tcBorders>
              <w:top w:val="nil"/>
              <w:left w:val="nil"/>
              <w:bottom w:val="single" w:sz="4" w:space="0" w:color="auto"/>
              <w:right w:val="single" w:sz="4" w:space="0" w:color="auto"/>
            </w:tcBorders>
            <w:shd w:val="clear" w:color="auto" w:fill="auto"/>
            <w:noWrap/>
            <w:vAlign w:val="bottom"/>
            <w:hideMark/>
          </w:tcPr>
          <w:p w14:paraId="3ED06F09" w14:textId="77777777" w:rsidR="00BB6BFE" w:rsidRPr="00236E38" w:rsidRDefault="00BB6BFE" w:rsidP="00236E38">
            <w:pPr>
              <w:spacing w:line="360" w:lineRule="auto"/>
              <w:jc w:val="center"/>
              <w:rPr>
                <w:rFonts w:asciiTheme="minorHAnsi" w:hAnsiTheme="minorHAnsi" w:cstheme="minorHAnsi"/>
                <w:color w:val="000000"/>
                <w:sz w:val="22"/>
                <w:szCs w:val="22"/>
                <w:lang w:eastAsia="en-IN"/>
              </w:rPr>
            </w:pPr>
            <w:r w:rsidRPr="00236E38">
              <w:rPr>
                <w:rFonts w:asciiTheme="minorHAnsi" w:hAnsiTheme="minorHAnsi" w:cstheme="minorHAnsi"/>
                <w:color w:val="000000"/>
                <w:sz w:val="22"/>
                <w:szCs w:val="22"/>
                <w:lang w:eastAsia="en-IN"/>
              </w:rPr>
              <w:t>31465.4</w:t>
            </w:r>
          </w:p>
        </w:tc>
      </w:tr>
    </w:tbl>
    <w:p w14:paraId="0DDEC36F" w14:textId="77777777" w:rsidR="00BB6BFE" w:rsidRPr="00236E38" w:rsidRDefault="00BB6BFE" w:rsidP="00236E38">
      <w:pPr>
        <w:spacing w:line="360" w:lineRule="auto"/>
        <w:rPr>
          <w:rFonts w:asciiTheme="minorHAnsi" w:hAnsiTheme="minorHAnsi" w:cstheme="minorHAnsi"/>
          <w:sz w:val="22"/>
          <w:szCs w:val="22"/>
        </w:rPr>
      </w:pPr>
    </w:p>
    <w:p w14:paraId="35FC43BB" w14:textId="77777777" w:rsidR="00BB6BFE" w:rsidRPr="00236E38" w:rsidRDefault="00BB6BFE" w:rsidP="001243CF">
      <w:pPr>
        <w:spacing w:line="360" w:lineRule="auto"/>
        <w:ind w:left="851"/>
        <w:rPr>
          <w:rFonts w:asciiTheme="minorHAnsi" w:hAnsiTheme="minorHAnsi" w:cstheme="minorHAnsi"/>
          <w:sz w:val="22"/>
          <w:szCs w:val="22"/>
        </w:rPr>
      </w:pPr>
      <w:r w:rsidRPr="00236E38">
        <w:rPr>
          <w:rFonts w:asciiTheme="minorHAnsi" w:hAnsiTheme="minorHAnsi" w:cstheme="minorHAnsi"/>
          <w:sz w:val="22"/>
          <w:szCs w:val="22"/>
        </w:rPr>
        <w:t xml:space="preserve">Following remedial measures have been under taken for mitigation. </w:t>
      </w:r>
    </w:p>
    <w:p w14:paraId="089EC11F" w14:textId="77777777" w:rsidR="001243CF" w:rsidRDefault="00BB6BFE" w:rsidP="00AB536C">
      <w:pPr>
        <w:pStyle w:val="ListParagraph"/>
        <w:numPr>
          <w:ilvl w:val="0"/>
          <w:numId w:val="47"/>
        </w:numPr>
        <w:spacing w:after="0" w:line="360" w:lineRule="auto"/>
        <w:ind w:left="709" w:firstLine="284"/>
        <w:rPr>
          <w:rFonts w:asciiTheme="minorHAnsi" w:hAnsiTheme="minorHAnsi" w:cstheme="minorHAnsi"/>
        </w:rPr>
      </w:pPr>
      <w:r w:rsidRPr="00236E38">
        <w:rPr>
          <w:rFonts w:asciiTheme="minorHAnsi" w:hAnsiTheme="minorHAnsi" w:cstheme="minorHAnsi"/>
        </w:rPr>
        <w:t xml:space="preserve">180.0 </w:t>
      </w:r>
      <w:proofErr w:type="spellStart"/>
      <w:r w:rsidRPr="00236E38">
        <w:rPr>
          <w:rFonts w:asciiTheme="minorHAnsi" w:hAnsiTheme="minorHAnsi" w:cstheme="minorHAnsi"/>
        </w:rPr>
        <w:t>Ckm</w:t>
      </w:r>
      <w:proofErr w:type="spellEnd"/>
      <w:r w:rsidRPr="00236E38">
        <w:rPr>
          <w:rFonts w:asciiTheme="minorHAnsi" w:hAnsiTheme="minorHAnsi" w:cstheme="minorHAnsi"/>
        </w:rPr>
        <w:t xml:space="preserve"> 33 KV conductor upgraded.</w:t>
      </w:r>
    </w:p>
    <w:p w14:paraId="7145337A" w14:textId="77777777" w:rsidR="001243CF" w:rsidRDefault="00BB6BFE" w:rsidP="00AB536C">
      <w:pPr>
        <w:pStyle w:val="ListParagraph"/>
        <w:numPr>
          <w:ilvl w:val="0"/>
          <w:numId w:val="47"/>
        </w:numPr>
        <w:spacing w:after="0" w:line="360" w:lineRule="auto"/>
        <w:ind w:left="709" w:firstLine="284"/>
        <w:rPr>
          <w:rFonts w:asciiTheme="minorHAnsi" w:hAnsiTheme="minorHAnsi" w:cstheme="minorHAnsi"/>
        </w:rPr>
      </w:pPr>
      <w:r w:rsidRPr="001243CF">
        <w:rPr>
          <w:rFonts w:asciiTheme="minorHAnsi" w:hAnsiTheme="minorHAnsi" w:cstheme="minorHAnsi"/>
        </w:rPr>
        <w:t xml:space="preserve">332.0 </w:t>
      </w:r>
      <w:proofErr w:type="spellStart"/>
      <w:r w:rsidRPr="001243CF">
        <w:rPr>
          <w:rFonts w:asciiTheme="minorHAnsi" w:hAnsiTheme="minorHAnsi" w:cstheme="minorHAnsi"/>
        </w:rPr>
        <w:t>CKm</w:t>
      </w:r>
      <w:proofErr w:type="spellEnd"/>
      <w:r w:rsidRPr="001243CF">
        <w:rPr>
          <w:rFonts w:asciiTheme="minorHAnsi" w:hAnsiTheme="minorHAnsi" w:cstheme="minorHAnsi"/>
        </w:rPr>
        <w:t xml:space="preserve"> 11 KV conductor upgraded.</w:t>
      </w:r>
    </w:p>
    <w:p w14:paraId="1D080855" w14:textId="77777777" w:rsidR="001243CF" w:rsidRDefault="00BB6BFE" w:rsidP="00AB536C">
      <w:pPr>
        <w:pStyle w:val="ListParagraph"/>
        <w:numPr>
          <w:ilvl w:val="0"/>
          <w:numId w:val="47"/>
        </w:numPr>
        <w:spacing w:after="0" w:line="360" w:lineRule="auto"/>
        <w:ind w:left="709" w:firstLine="284"/>
        <w:rPr>
          <w:rFonts w:asciiTheme="minorHAnsi" w:hAnsiTheme="minorHAnsi" w:cstheme="minorHAnsi"/>
        </w:rPr>
      </w:pPr>
      <w:r w:rsidRPr="001243CF">
        <w:rPr>
          <w:rFonts w:asciiTheme="minorHAnsi" w:hAnsiTheme="minorHAnsi" w:cstheme="minorHAnsi"/>
        </w:rPr>
        <w:t>36 Nos 33/11 KV substations have been added.</w:t>
      </w:r>
    </w:p>
    <w:p w14:paraId="10FA0256" w14:textId="77777777" w:rsidR="001243CF" w:rsidRDefault="00BB6BFE" w:rsidP="00AB536C">
      <w:pPr>
        <w:pStyle w:val="ListParagraph"/>
        <w:numPr>
          <w:ilvl w:val="0"/>
          <w:numId w:val="47"/>
        </w:numPr>
        <w:spacing w:after="0" w:line="360" w:lineRule="auto"/>
        <w:ind w:left="709" w:firstLine="284"/>
        <w:rPr>
          <w:rFonts w:asciiTheme="minorHAnsi" w:hAnsiTheme="minorHAnsi" w:cstheme="minorHAnsi"/>
        </w:rPr>
      </w:pPr>
      <w:r w:rsidRPr="001243CF">
        <w:rPr>
          <w:rFonts w:asciiTheme="minorHAnsi" w:hAnsiTheme="minorHAnsi" w:cstheme="minorHAnsi"/>
        </w:rPr>
        <w:t>18 Nos power transformers have been upgraded.</w:t>
      </w:r>
    </w:p>
    <w:p w14:paraId="2124ED82" w14:textId="77777777" w:rsidR="001243CF" w:rsidRDefault="00BB6BFE" w:rsidP="00AB536C">
      <w:pPr>
        <w:pStyle w:val="ListParagraph"/>
        <w:numPr>
          <w:ilvl w:val="0"/>
          <w:numId w:val="47"/>
        </w:numPr>
        <w:spacing w:after="0" w:line="360" w:lineRule="auto"/>
        <w:ind w:left="709" w:firstLine="284"/>
        <w:rPr>
          <w:rFonts w:asciiTheme="minorHAnsi" w:hAnsiTheme="minorHAnsi" w:cstheme="minorHAnsi"/>
        </w:rPr>
      </w:pPr>
      <w:r w:rsidRPr="001243CF">
        <w:rPr>
          <w:rFonts w:asciiTheme="minorHAnsi" w:hAnsiTheme="minorHAnsi" w:cstheme="minorHAnsi"/>
        </w:rPr>
        <w:t xml:space="preserve">15 Nos new Power transformer added on load diverted. </w:t>
      </w:r>
    </w:p>
    <w:p w14:paraId="433F9099" w14:textId="77777777" w:rsidR="001243CF" w:rsidRDefault="00BB6BFE" w:rsidP="00AB536C">
      <w:pPr>
        <w:pStyle w:val="ListParagraph"/>
        <w:numPr>
          <w:ilvl w:val="0"/>
          <w:numId w:val="47"/>
        </w:numPr>
        <w:spacing w:after="0" w:line="360" w:lineRule="auto"/>
        <w:ind w:left="709" w:firstLine="284"/>
        <w:rPr>
          <w:rFonts w:asciiTheme="minorHAnsi" w:hAnsiTheme="minorHAnsi" w:cstheme="minorHAnsi"/>
        </w:rPr>
      </w:pPr>
      <w:r w:rsidRPr="001243CF">
        <w:rPr>
          <w:rFonts w:asciiTheme="minorHAnsi" w:hAnsiTheme="minorHAnsi" w:cstheme="minorHAnsi"/>
        </w:rPr>
        <w:t>5 Nos of Voltage regulators have been installed.</w:t>
      </w:r>
    </w:p>
    <w:p w14:paraId="463F267F" w14:textId="77777777" w:rsidR="001243CF" w:rsidRDefault="00BB6BFE" w:rsidP="00AB536C">
      <w:pPr>
        <w:pStyle w:val="ListParagraph"/>
        <w:numPr>
          <w:ilvl w:val="0"/>
          <w:numId w:val="47"/>
        </w:numPr>
        <w:spacing w:after="0" w:line="360" w:lineRule="auto"/>
        <w:ind w:left="709" w:firstLine="284"/>
        <w:rPr>
          <w:rFonts w:asciiTheme="minorHAnsi" w:hAnsiTheme="minorHAnsi" w:cstheme="minorHAnsi"/>
        </w:rPr>
      </w:pPr>
      <w:r w:rsidRPr="001243CF">
        <w:rPr>
          <w:rFonts w:asciiTheme="minorHAnsi" w:hAnsiTheme="minorHAnsi" w:cstheme="minorHAnsi"/>
        </w:rPr>
        <w:t xml:space="preserve">Length of 6 </w:t>
      </w:r>
      <w:proofErr w:type="spellStart"/>
      <w:r w:rsidRPr="001243CF">
        <w:rPr>
          <w:rFonts w:asciiTheme="minorHAnsi" w:hAnsiTheme="minorHAnsi" w:cstheme="minorHAnsi"/>
        </w:rPr>
        <w:t>nos</w:t>
      </w:r>
      <w:proofErr w:type="spellEnd"/>
      <w:r w:rsidRPr="001243CF">
        <w:rPr>
          <w:rFonts w:asciiTheme="minorHAnsi" w:hAnsiTheme="minorHAnsi" w:cstheme="minorHAnsi"/>
        </w:rPr>
        <w:t xml:space="preserve"> 33 KV feeder have been reduced by adding new feed.</w:t>
      </w:r>
    </w:p>
    <w:p w14:paraId="2CBF977D" w14:textId="3EA11F6B" w:rsidR="00BB6BFE" w:rsidRPr="001243CF" w:rsidRDefault="00BB6BFE" w:rsidP="00AB536C">
      <w:pPr>
        <w:pStyle w:val="ListParagraph"/>
        <w:numPr>
          <w:ilvl w:val="0"/>
          <w:numId w:val="47"/>
        </w:numPr>
        <w:spacing w:after="0" w:line="360" w:lineRule="auto"/>
        <w:ind w:left="709" w:firstLine="284"/>
        <w:rPr>
          <w:rFonts w:asciiTheme="minorHAnsi" w:hAnsiTheme="minorHAnsi" w:cstheme="minorHAnsi"/>
        </w:rPr>
      </w:pPr>
      <w:r w:rsidRPr="001243CF">
        <w:rPr>
          <w:rFonts w:asciiTheme="minorHAnsi" w:hAnsiTheme="minorHAnsi" w:cstheme="minorHAnsi"/>
        </w:rPr>
        <w:t xml:space="preserve">Length of 10 </w:t>
      </w:r>
      <w:proofErr w:type="spellStart"/>
      <w:r w:rsidRPr="001243CF">
        <w:rPr>
          <w:rFonts w:asciiTheme="minorHAnsi" w:hAnsiTheme="minorHAnsi" w:cstheme="minorHAnsi"/>
        </w:rPr>
        <w:t>nos</w:t>
      </w:r>
      <w:proofErr w:type="spellEnd"/>
      <w:r w:rsidRPr="001243CF">
        <w:rPr>
          <w:rFonts w:asciiTheme="minorHAnsi" w:hAnsiTheme="minorHAnsi" w:cstheme="minorHAnsi"/>
        </w:rPr>
        <w:t xml:space="preserve"> 11KV feeder have been reduced by adding new feed.</w:t>
      </w:r>
    </w:p>
    <w:p w14:paraId="4D235640" w14:textId="2000F3A6" w:rsidR="00BB6BFE" w:rsidRPr="00236E38" w:rsidRDefault="001243CF" w:rsidP="00236E38">
      <w:pPr>
        <w:spacing w:line="360" w:lineRule="auto"/>
        <w:rPr>
          <w:rFonts w:asciiTheme="minorHAnsi" w:hAnsiTheme="minorHAnsi" w:cstheme="minorHAnsi"/>
          <w:sz w:val="22"/>
          <w:szCs w:val="22"/>
        </w:rPr>
      </w:pPr>
      <w:r w:rsidRPr="00236E38">
        <w:rPr>
          <w:rFonts w:asciiTheme="minorHAnsi" w:hAnsiTheme="minorHAnsi" w:cstheme="minorHAnsi"/>
          <w:b/>
          <w:noProof/>
          <w:color w:val="000000"/>
          <w:sz w:val="22"/>
          <w:szCs w:val="22"/>
          <w:lang w:val="en-IN" w:eastAsia="en-IN"/>
        </w:rPr>
        <mc:AlternateContent>
          <mc:Choice Requires="wps">
            <w:drawing>
              <wp:anchor distT="0" distB="0" distL="114300" distR="114300" simplePos="0" relativeHeight="251941376" behindDoc="0" locked="0" layoutInCell="1" allowOverlap="1" wp14:anchorId="2088CB77" wp14:editId="0B638556">
                <wp:simplePos x="0" y="0"/>
                <wp:positionH relativeFrom="margin">
                  <wp:posOffset>641985</wp:posOffset>
                </wp:positionH>
                <wp:positionV relativeFrom="paragraph">
                  <wp:posOffset>95885</wp:posOffset>
                </wp:positionV>
                <wp:extent cx="5476875" cy="350520"/>
                <wp:effectExtent l="0" t="0" r="28575" b="11430"/>
                <wp:wrapNone/>
                <wp:docPr id="212922791" name="Rectangle 212922791"/>
                <wp:cNvGraphicFramePr/>
                <a:graphic xmlns:a="http://schemas.openxmlformats.org/drawingml/2006/main">
                  <a:graphicData uri="http://schemas.microsoft.com/office/word/2010/wordprocessingShape">
                    <wps:wsp>
                      <wps:cNvSpPr/>
                      <wps:spPr>
                        <a:xfrm>
                          <a:off x="0" y="0"/>
                          <a:ext cx="5476875" cy="350520"/>
                        </a:xfrm>
                        <a:prstGeom prst="rect">
                          <a:avLst/>
                        </a:prstGeom>
                        <a:solidFill>
                          <a:schemeClr val="accent1">
                            <a:lumMod val="60000"/>
                            <a:lumOff val="40000"/>
                          </a:schemeClr>
                        </a:solidFill>
                        <a:ln w="6350" cap="flat" cmpd="sng" algn="ctr">
                          <a:solidFill>
                            <a:srgbClr val="A5A5A5"/>
                          </a:solidFill>
                          <a:prstDash val="solid"/>
                          <a:miter lim="800000"/>
                        </a:ln>
                        <a:effectLst/>
                      </wps:spPr>
                      <wps:txbx>
                        <w:txbxContent>
                          <w:p w14:paraId="37860962" w14:textId="77777777" w:rsidR="00535B24" w:rsidRPr="000A55D7" w:rsidRDefault="00535B24" w:rsidP="00BB6BFE">
                            <w:pPr>
                              <w:rPr>
                                <w:b/>
                              </w:rPr>
                            </w:pPr>
                            <w:r>
                              <w:rPr>
                                <w:b/>
                              </w:rPr>
                              <w:t xml:space="preserve">9. </w:t>
                            </w:r>
                            <w:r w:rsidRPr="00192717">
                              <w:rPr>
                                <w:rFonts w:asciiTheme="minorHAnsi" w:hAnsiTheme="minorHAnsi" w:cstheme="minorHAnsi"/>
                                <w:b/>
                              </w:rPr>
                              <w:t>Direction under Para 265</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088CB77" id="Rectangle 212922791" o:spid="_x0000_s1054" style="position:absolute;margin-left:50.55pt;margin-top:7.55pt;width:431.25pt;height:27.6pt;z-index:25194137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" fillcolor="#95b3d7 [1940]" strokecolor="#a5a5a5" strokeweight=".5pt">
                <v:textbox>
                  <w:txbxContent>
                    <w:p w14:paraId="37860962" w14:textId="77777777" w:rsidR="00535B24" w:rsidRPr="000A55D7" w:rsidRDefault="00535B24" w:rsidP="00BB6BFE">
                      <w:pPr>
                        <w:rPr>
                          <w:b/>
                        </w:rPr>
                      </w:pPr>
                      <w:r>
                        <w:rPr>
                          <w:b/>
                        </w:rPr>
                        <w:t xml:space="preserve">9. </w:t>
                      </w:r>
                      <w:r w:rsidRPr="00192717">
                        <w:rPr>
                          <w:rFonts w:asciiTheme="minorHAnsi" w:hAnsiTheme="minorHAnsi" w:cstheme="minorHAnsi"/>
                          <w:b/>
                        </w:rPr>
                        <w:t>Direction under Para 265</w:t>
                      </w:r>
                    </w:p>
                  </w:txbxContent>
                </v:textbox>
                <w10:wrap anchorx="margin"/>
              </v:rect>
            </w:pict>
          </mc:Fallback>
        </mc:AlternateContent>
      </w:r>
    </w:p>
    <w:p w14:paraId="64A1F44C" w14:textId="77777777" w:rsidR="001243CF" w:rsidRDefault="001243CF" w:rsidP="001243CF">
      <w:pPr>
        <w:spacing w:line="360" w:lineRule="auto"/>
        <w:jc w:val="both"/>
        <w:rPr>
          <w:rFonts w:asciiTheme="minorHAnsi" w:hAnsiTheme="minorHAnsi" w:cstheme="minorHAnsi"/>
          <w:sz w:val="22"/>
          <w:szCs w:val="22"/>
        </w:rPr>
      </w:pPr>
    </w:p>
    <w:p w14:paraId="31CFEAB1" w14:textId="77777777" w:rsidR="001243CF" w:rsidRDefault="001243CF" w:rsidP="001243CF">
      <w:pPr>
        <w:spacing w:line="360" w:lineRule="auto"/>
        <w:jc w:val="both"/>
        <w:rPr>
          <w:rFonts w:asciiTheme="minorHAnsi" w:hAnsiTheme="minorHAnsi" w:cstheme="minorHAnsi"/>
          <w:b/>
          <w:sz w:val="22"/>
          <w:szCs w:val="22"/>
        </w:rPr>
      </w:pPr>
    </w:p>
    <w:p w14:paraId="0868C5E9" w14:textId="34260664" w:rsidR="00BB6BFE" w:rsidRPr="00236E38" w:rsidRDefault="00BB6BFE" w:rsidP="001243CF">
      <w:pPr>
        <w:spacing w:line="360" w:lineRule="auto"/>
        <w:ind w:left="993" w:hanging="142"/>
        <w:jc w:val="both"/>
        <w:rPr>
          <w:rFonts w:asciiTheme="minorHAnsi" w:hAnsiTheme="minorHAnsi" w:cstheme="minorHAnsi"/>
          <w:b/>
          <w:sz w:val="22"/>
          <w:szCs w:val="22"/>
        </w:rPr>
      </w:pPr>
      <w:r w:rsidRPr="00236E38">
        <w:rPr>
          <w:rFonts w:asciiTheme="minorHAnsi" w:hAnsiTheme="minorHAnsi" w:cstheme="minorHAnsi"/>
          <w:b/>
          <w:sz w:val="22"/>
          <w:szCs w:val="22"/>
        </w:rPr>
        <w:t xml:space="preserve">"TPNODL has implemented standalone Solar &amp; microgrid / Distributed generation schemes in remote &amp; inaccessible areas of </w:t>
      </w:r>
      <w:proofErr w:type="spellStart"/>
      <w:r w:rsidRPr="00236E38">
        <w:rPr>
          <w:rFonts w:asciiTheme="minorHAnsi" w:hAnsiTheme="minorHAnsi" w:cstheme="minorHAnsi"/>
          <w:b/>
          <w:sz w:val="22"/>
          <w:szCs w:val="22"/>
        </w:rPr>
        <w:t>Keonjhar</w:t>
      </w:r>
      <w:proofErr w:type="spellEnd"/>
      <w:r w:rsidRPr="00236E38">
        <w:rPr>
          <w:rFonts w:asciiTheme="minorHAnsi" w:hAnsiTheme="minorHAnsi" w:cstheme="minorHAnsi"/>
          <w:b/>
          <w:sz w:val="22"/>
          <w:szCs w:val="22"/>
        </w:rPr>
        <w:t xml:space="preserve"> &amp; Mayurbhanj District funded by Government of Odisha (instead of extending unviable distribution network to such places). The Commission is inclined to include under O&amp;M expenses of such installations under CAPEX for continuation of benefit of such schemes to the Consumers of the locality even after the completion of warranty period of associated equipment / material. TPNODL may submit their proposal for approval of Commission. Any expenditure in this regard made by the Licensee shall be taken care during Truing up exercise."</w:t>
      </w:r>
    </w:p>
    <w:p w14:paraId="367D2FB8" w14:textId="77777777" w:rsidR="00BB6BFE" w:rsidRPr="00236E38" w:rsidRDefault="00BB6BFE" w:rsidP="00236E38">
      <w:pPr>
        <w:spacing w:line="360" w:lineRule="auto"/>
        <w:ind w:left="567"/>
        <w:rPr>
          <w:rFonts w:asciiTheme="minorHAnsi" w:hAnsiTheme="minorHAnsi" w:cstheme="minorHAnsi"/>
          <w:b/>
          <w:sz w:val="22"/>
          <w:szCs w:val="22"/>
          <w:u w:val="single"/>
        </w:rPr>
      </w:pPr>
    </w:p>
    <w:p w14:paraId="7B9C88E5" w14:textId="73B530C7" w:rsidR="00BB6BFE" w:rsidRPr="00236E38" w:rsidRDefault="00BB6BFE" w:rsidP="00DF7F8A">
      <w:pPr>
        <w:spacing w:line="360" w:lineRule="auto"/>
        <w:ind w:left="993"/>
        <w:jc w:val="both"/>
        <w:rPr>
          <w:rFonts w:asciiTheme="minorHAnsi" w:hAnsiTheme="minorHAnsi" w:cstheme="minorHAnsi"/>
          <w:b/>
          <w:sz w:val="22"/>
          <w:szCs w:val="22"/>
        </w:rPr>
      </w:pPr>
      <w:r w:rsidRPr="00236E38">
        <w:rPr>
          <w:rFonts w:asciiTheme="minorHAnsi" w:hAnsiTheme="minorHAnsi" w:cstheme="minorHAnsi"/>
          <w:b/>
          <w:sz w:val="22"/>
          <w:szCs w:val="22"/>
        </w:rPr>
        <w:t xml:space="preserve">Compliance: </w:t>
      </w:r>
      <w:r w:rsidRPr="00236E38">
        <w:rPr>
          <w:rFonts w:asciiTheme="minorHAnsi" w:hAnsiTheme="minorHAnsi" w:cstheme="minorHAnsi"/>
          <w:sz w:val="22"/>
          <w:szCs w:val="22"/>
        </w:rPr>
        <w:t xml:space="preserve">TPNODL has already submitted the Proposal for maintenance of Micro Grids and Standalone Solar installations before Hon’ble Commission vide letter No. TPNODL/Regulatory/2024/2457 dated 18.04.2024. </w:t>
      </w:r>
    </w:p>
    <w:p w14:paraId="798AB3CB" w14:textId="382564EC" w:rsidR="00BD7120" w:rsidRPr="00236E38" w:rsidRDefault="00DF7F8A" w:rsidP="00236E38">
      <w:pPr>
        <w:spacing w:line="360" w:lineRule="auto"/>
        <w:ind w:left="567"/>
        <w:jc w:val="both"/>
        <w:rPr>
          <w:rFonts w:asciiTheme="minorHAnsi" w:hAnsiTheme="minorHAnsi" w:cstheme="minorHAnsi"/>
          <w:sz w:val="22"/>
          <w:szCs w:val="22"/>
        </w:rPr>
      </w:pPr>
      <w:r w:rsidRPr="00236E38">
        <w:rPr>
          <w:rFonts w:asciiTheme="minorHAnsi" w:hAnsiTheme="minorHAnsi" w:cstheme="minorHAnsi"/>
          <w:b/>
          <w:noProof/>
          <w:color w:val="000000"/>
          <w:sz w:val="22"/>
          <w:szCs w:val="22"/>
          <w:lang w:val="en-IN" w:eastAsia="en-IN"/>
        </w:rPr>
        <mc:AlternateContent>
          <mc:Choice Requires="wps">
            <w:drawing>
              <wp:anchor distT="0" distB="0" distL="114300" distR="114300" simplePos="0" relativeHeight="251942400" behindDoc="0" locked="0" layoutInCell="1" allowOverlap="1" wp14:anchorId="00110A40" wp14:editId="024F438D">
                <wp:simplePos x="0" y="0"/>
                <wp:positionH relativeFrom="margin">
                  <wp:posOffset>556260</wp:posOffset>
                </wp:positionH>
                <wp:positionV relativeFrom="paragraph">
                  <wp:posOffset>259715</wp:posOffset>
                </wp:positionV>
                <wp:extent cx="5505450" cy="350875"/>
                <wp:effectExtent l="0" t="0" r="19050" b="11430"/>
                <wp:wrapNone/>
                <wp:docPr id="212922792" name="Rectangle 212922792"/>
                <wp:cNvGraphicFramePr/>
                <a:graphic xmlns:a="http://schemas.openxmlformats.org/drawingml/2006/main">
                  <a:graphicData uri="http://schemas.microsoft.com/office/word/2010/wordprocessingShape">
                    <wps:wsp>
                      <wps:cNvSpPr/>
                      <wps:spPr>
                        <a:xfrm>
                          <a:off x="0" y="0"/>
                          <a:ext cx="5505450" cy="350875"/>
                        </a:xfrm>
                        <a:prstGeom prst="rect">
                          <a:avLst/>
                        </a:prstGeom>
                        <a:solidFill>
                          <a:schemeClr val="accent1">
                            <a:lumMod val="60000"/>
                            <a:lumOff val="40000"/>
                          </a:schemeClr>
                        </a:solidFill>
                        <a:ln w="6350" cap="flat" cmpd="sng" algn="ctr">
                          <a:solidFill>
                            <a:srgbClr val="A5A5A5"/>
                          </a:solidFill>
                          <a:prstDash val="solid"/>
                          <a:miter lim="800000"/>
                        </a:ln>
                        <a:effectLst/>
                      </wps:spPr>
                      <wps:txbx>
                        <w:txbxContent>
                          <w:p w14:paraId="4C73AC73" w14:textId="77777777" w:rsidR="00535B24" w:rsidRPr="00DF7F8A" w:rsidRDefault="00535B24" w:rsidP="00BB6BFE">
                            <w:pPr>
                              <w:rPr>
                                <w:rFonts w:asciiTheme="minorHAnsi" w:hAnsiTheme="minorHAnsi" w:cstheme="minorHAnsi"/>
                                <w:b/>
                              </w:rPr>
                            </w:pPr>
                            <w:r w:rsidRPr="00DF7F8A">
                              <w:rPr>
                                <w:rFonts w:asciiTheme="minorHAnsi" w:hAnsiTheme="minorHAnsi" w:cstheme="minorHAnsi"/>
                                <w:b/>
                              </w:rPr>
                              <w:t>10.  Direction under Para 267</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0110A40" id="Rectangle 212922792" o:spid="_x0000_s1055" style="position:absolute;left:0;text-align:left;margin-left:43.8pt;margin-top:20.45pt;width:433.5pt;height:27.65pt;z-index:25194240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" fillcolor="#95b3d7 [1940]" strokecolor="#a5a5a5" strokeweight=".5pt">
                <v:textbox>
                  <w:txbxContent>
                    <w:p w14:paraId="4C73AC73" w14:textId="77777777" w:rsidR="00535B24" w:rsidRPr="00DF7F8A" w:rsidRDefault="00535B24" w:rsidP="00BB6BFE">
                      <w:pPr>
                        <w:rPr>
                          <w:rFonts w:asciiTheme="minorHAnsi" w:hAnsiTheme="minorHAnsi" w:cstheme="minorHAnsi"/>
                          <w:b/>
                        </w:rPr>
                      </w:pPr>
                      <w:r w:rsidRPr="00DF7F8A">
                        <w:rPr>
                          <w:rFonts w:asciiTheme="minorHAnsi" w:hAnsiTheme="minorHAnsi" w:cstheme="minorHAnsi"/>
                          <w:b/>
                        </w:rPr>
                        <w:t>10.  Direction under Para 267</w:t>
                      </w:r>
                    </w:p>
                  </w:txbxContent>
                </v:textbox>
                <w10:wrap anchorx="margin"/>
              </v:rect>
            </w:pict>
          </mc:Fallback>
        </mc:AlternateContent>
      </w:r>
    </w:p>
    <w:p w14:paraId="3F3CBE57" w14:textId="434B3B0E" w:rsidR="00BB6BFE" w:rsidRPr="00236E38" w:rsidRDefault="00BB6BFE" w:rsidP="00236E38">
      <w:pPr>
        <w:spacing w:line="360" w:lineRule="auto"/>
        <w:jc w:val="both"/>
        <w:rPr>
          <w:rFonts w:asciiTheme="minorHAnsi" w:hAnsiTheme="minorHAnsi" w:cstheme="minorHAnsi"/>
          <w:sz w:val="22"/>
          <w:szCs w:val="22"/>
        </w:rPr>
      </w:pPr>
    </w:p>
    <w:p w14:paraId="185EE0E8" w14:textId="77777777" w:rsidR="00BB6BFE" w:rsidRPr="00236E38" w:rsidRDefault="00BB6BFE" w:rsidP="00236E38">
      <w:pPr>
        <w:spacing w:line="360" w:lineRule="auto"/>
        <w:rPr>
          <w:rFonts w:asciiTheme="minorHAnsi" w:hAnsiTheme="minorHAnsi" w:cstheme="minorHAnsi"/>
          <w:b/>
          <w:sz w:val="22"/>
          <w:szCs w:val="22"/>
          <w:u w:val="single"/>
        </w:rPr>
      </w:pPr>
    </w:p>
    <w:p w14:paraId="74D9F50C" w14:textId="77777777" w:rsidR="00BD7120" w:rsidRPr="00236E38" w:rsidRDefault="00BD7120" w:rsidP="00236E38">
      <w:pPr>
        <w:spacing w:line="360" w:lineRule="auto"/>
        <w:jc w:val="both"/>
        <w:rPr>
          <w:rFonts w:asciiTheme="minorHAnsi" w:hAnsiTheme="minorHAnsi" w:cstheme="minorHAnsi"/>
          <w:b/>
          <w:color w:val="000000"/>
          <w:sz w:val="22"/>
          <w:szCs w:val="22"/>
          <w:lang w:eastAsia="en-IN"/>
        </w:rPr>
      </w:pPr>
    </w:p>
    <w:p w14:paraId="0AE6DAD5" w14:textId="7847C83E" w:rsidR="00BB6BFE" w:rsidRPr="00236E38" w:rsidRDefault="00BB6BFE" w:rsidP="00DF7F8A">
      <w:pPr>
        <w:spacing w:line="360" w:lineRule="auto"/>
        <w:ind w:left="993"/>
        <w:jc w:val="both"/>
        <w:rPr>
          <w:rFonts w:asciiTheme="minorHAnsi" w:hAnsiTheme="minorHAnsi" w:cstheme="minorHAnsi"/>
          <w:b/>
          <w:bCs/>
          <w:color w:val="000000"/>
          <w:sz w:val="22"/>
          <w:szCs w:val="22"/>
          <w:lang w:eastAsia="en-IN"/>
        </w:rPr>
      </w:pPr>
      <w:r w:rsidRPr="00236E38">
        <w:rPr>
          <w:rFonts w:asciiTheme="minorHAnsi" w:hAnsiTheme="minorHAnsi" w:cstheme="minorHAnsi"/>
          <w:b/>
          <w:color w:val="000000"/>
          <w:sz w:val="22"/>
          <w:szCs w:val="22"/>
          <w:lang w:eastAsia="en-IN"/>
        </w:rPr>
        <w:t xml:space="preserve">"In response to a query of an Objector, TPCODL has submitted that loss figures presented for the previous year is based on audit. TPCODL is directed to submit the actual HT loss observed in their area of operation based on the audit. Similarly, all other DISCOMs are also directed to submit their actual HT loss based on energy audit, so that Commission can use actual HT loss </w:t>
      </w:r>
      <w:r w:rsidRPr="00236E38">
        <w:rPr>
          <w:rFonts w:asciiTheme="minorHAnsi" w:hAnsiTheme="minorHAnsi" w:cstheme="minorHAnsi"/>
          <w:b/>
          <w:color w:val="000000"/>
          <w:sz w:val="22"/>
          <w:szCs w:val="22"/>
          <w:lang w:eastAsia="en-IN"/>
        </w:rPr>
        <w:lastRenderedPageBreak/>
        <w:t>in the ARR for DISCOMs.</w:t>
      </w:r>
      <w:r w:rsidRPr="00236E38">
        <w:rPr>
          <w:rFonts w:asciiTheme="minorHAnsi" w:hAnsiTheme="minorHAnsi" w:cstheme="minorHAnsi"/>
          <w:b/>
          <w:bCs/>
          <w:color w:val="000000"/>
          <w:sz w:val="22"/>
          <w:szCs w:val="22"/>
          <w:lang w:eastAsia="en-IN"/>
        </w:rPr>
        <w:t xml:space="preserve"> The DISCOMs are also directed to intimate the status of metering of Distribution Transformers (DTRs) of capacity 100 kVA &amp; above within 30th June, 2024".</w:t>
      </w:r>
    </w:p>
    <w:p w14:paraId="5565D9D8" w14:textId="77777777" w:rsidR="00BB6BFE" w:rsidRPr="00236E38" w:rsidRDefault="00BB6BFE" w:rsidP="00DF7F8A">
      <w:pPr>
        <w:spacing w:line="360" w:lineRule="auto"/>
        <w:ind w:left="993"/>
        <w:rPr>
          <w:rFonts w:asciiTheme="minorHAnsi" w:hAnsiTheme="minorHAnsi" w:cstheme="minorHAnsi"/>
          <w:b/>
          <w:color w:val="000000"/>
          <w:sz w:val="22"/>
          <w:szCs w:val="22"/>
          <w:u w:val="single"/>
          <w:lang w:eastAsia="en-IN"/>
        </w:rPr>
      </w:pPr>
    </w:p>
    <w:p w14:paraId="3F6323B6" w14:textId="77777777" w:rsidR="00BB6BFE" w:rsidRPr="00236E38" w:rsidRDefault="00BB6BFE" w:rsidP="00DF7F8A">
      <w:pPr>
        <w:spacing w:line="360" w:lineRule="auto"/>
        <w:ind w:left="993"/>
        <w:rPr>
          <w:rFonts w:asciiTheme="minorHAnsi" w:hAnsiTheme="minorHAnsi" w:cstheme="minorHAnsi"/>
          <w:color w:val="000000"/>
          <w:sz w:val="22"/>
          <w:szCs w:val="22"/>
          <w:u w:val="single"/>
          <w:lang w:eastAsia="en-IN"/>
        </w:rPr>
      </w:pPr>
      <w:r w:rsidRPr="00236E38">
        <w:rPr>
          <w:rFonts w:asciiTheme="minorHAnsi" w:hAnsiTheme="minorHAnsi" w:cstheme="minorHAnsi"/>
          <w:b/>
          <w:color w:val="000000"/>
          <w:sz w:val="22"/>
          <w:szCs w:val="22"/>
          <w:u w:val="single"/>
          <w:lang w:eastAsia="en-IN"/>
        </w:rPr>
        <w:t xml:space="preserve">Compliance </w:t>
      </w:r>
      <w:r w:rsidRPr="00236E38">
        <w:rPr>
          <w:rFonts w:asciiTheme="minorHAnsi" w:hAnsiTheme="minorHAnsi" w:cstheme="minorHAnsi"/>
          <w:color w:val="000000"/>
          <w:sz w:val="22"/>
          <w:szCs w:val="22"/>
          <w:u w:val="single"/>
          <w:lang w:eastAsia="en-IN"/>
        </w:rPr>
        <w:t xml:space="preserve">  </w:t>
      </w:r>
    </w:p>
    <w:p w14:paraId="74953749" w14:textId="6A663DAE" w:rsidR="00DF7F8A" w:rsidRPr="00CD105A" w:rsidRDefault="00BB6BFE" w:rsidP="00CD105A">
      <w:pPr>
        <w:spacing w:line="360" w:lineRule="auto"/>
        <w:ind w:left="993"/>
        <w:jc w:val="both"/>
        <w:rPr>
          <w:rFonts w:asciiTheme="minorHAnsi" w:hAnsiTheme="minorHAnsi" w:cstheme="minorHAnsi"/>
          <w:color w:val="000000"/>
          <w:sz w:val="22"/>
          <w:szCs w:val="22"/>
          <w:lang w:eastAsia="en-IN"/>
        </w:rPr>
      </w:pPr>
      <w:r w:rsidRPr="00236E38">
        <w:rPr>
          <w:rFonts w:asciiTheme="minorHAnsi" w:hAnsiTheme="minorHAnsi" w:cstheme="minorHAnsi"/>
          <w:color w:val="000000"/>
          <w:sz w:val="22"/>
          <w:szCs w:val="22"/>
          <w:lang w:eastAsia="en-IN"/>
        </w:rPr>
        <w:t>TPNODL is calculating the HT loss level up</w:t>
      </w:r>
      <w:r w:rsidR="009942AF">
        <w:rPr>
          <w:rFonts w:asciiTheme="minorHAnsi" w:hAnsiTheme="minorHAnsi" w:cstheme="minorHAnsi"/>
          <w:color w:val="000000"/>
          <w:sz w:val="22"/>
          <w:szCs w:val="22"/>
          <w:lang w:eastAsia="en-IN"/>
        </w:rPr>
        <w:t xml:space="preserve"> </w:t>
      </w:r>
      <w:r w:rsidRPr="00236E38">
        <w:rPr>
          <w:rFonts w:asciiTheme="minorHAnsi" w:hAnsiTheme="minorHAnsi" w:cstheme="minorHAnsi"/>
          <w:color w:val="000000"/>
          <w:sz w:val="22"/>
          <w:szCs w:val="22"/>
          <w:lang w:eastAsia="en-IN"/>
        </w:rPr>
        <w:t>to 11kV based upon the load flow analysis by using CYME DIST</w:t>
      </w:r>
      <w:r w:rsidRPr="00236E38">
        <w:rPr>
          <w:rFonts w:asciiTheme="minorHAnsi" w:hAnsiTheme="minorHAnsi" w:cstheme="minorHAnsi"/>
          <w:sz w:val="22"/>
          <w:szCs w:val="22"/>
          <w:lang w:eastAsia="en-IN"/>
        </w:rPr>
        <w:t>.</w:t>
      </w:r>
      <w:r w:rsidRPr="00236E38">
        <w:rPr>
          <w:rFonts w:asciiTheme="minorHAnsi" w:hAnsiTheme="minorHAnsi" w:cstheme="minorHAnsi"/>
          <w:color w:val="000000"/>
          <w:sz w:val="22"/>
          <w:szCs w:val="22"/>
          <w:lang w:eastAsia="en-IN"/>
        </w:rPr>
        <w:t xml:space="preserve"> Based upon the study carried out for the HT losses are furnished in the following table </w:t>
      </w:r>
    </w:p>
    <w:p w14:paraId="7BC0E2C4" w14:textId="77777777" w:rsidR="00BB6BFE" w:rsidRPr="00236E38" w:rsidRDefault="00BB6BFE" w:rsidP="00236E38">
      <w:pPr>
        <w:spacing w:line="360" w:lineRule="auto"/>
        <w:jc w:val="center"/>
        <w:rPr>
          <w:rFonts w:asciiTheme="minorHAnsi" w:hAnsiTheme="minorHAnsi" w:cstheme="minorHAnsi"/>
          <w:b/>
          <w:color w:val="000000"/>
          <w:sz w:val="22"/>
          <w:szCs w:val="22"/>
          <w:u w:val="single"/>
          <w:lang w:eastAsia="en-IN"/>
        </w:rPr>
      </w:pPr>
      <w:r w:rsidRPr="00236E38">
        <w:rPr>
          <w:rFonts w:asciiTheme="minorHAnsi" w:hAnsiTheme="minorHAnsi" w:cstheme="minorHAnsi"/>
          <w:b/>
          <w:color w:val="000000"/>
          <w:sz w:val="22"/>
          <w:szCs w:val="22"/>
          <w:u w:val="single"/>
          <w:lang w:eastAsia="en-IN"/>
        </w:rPr>
        <w:t>33kv Technical Loss Assessment</w:t>
      </w:r>
    </w:p>
    <w:tbl>
      <w:tblPr>
        <w:tblW w:w="9992"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617"/>
        <w:gridCol w:w="614"/>
        <w:gridCol w:w="800"/>
        <w:gridCol w:w="589"/>
        <w:gridCol w:w="442"/>
        <w:gridCol w:w="613"/>
        <w:gridCol w:w="67"/>
        <w:gridCol w:w="613"/>
        <w:gridCol w:w="799"/>
        <w:gridCol w:w="589"/>
        <w:gridCol w:w="510"/>
        <w:gridCol w:w="613"/>
        <w:gridCol w:w="67"/>
        <w:gridCol w:w="613"/>
        <w:gridCol w:w="734"/>
        <w:gridCol w:w="589"/>
        <w:gridCol w:w="510"/>
        <w:gridCol w:w="613"/>
      </w:tblGrid>
      <w:tr w:rsidR="00BB6BFE" w:rsidRPr="00100C3D" w14:paraId="0D2CDBD7" w14:textId="77777777" w:rsidTr="00100C3D">
        <w:trPr>
          <w:trHeight w:val="222"/>
        </w:trPr>
        <w:tc>
          <w:tcPr>
            <w:tcW w:w="0" w:type="auto"/>
            <w:vMerge w:val="restart"/>
            <w:shd w:val="clear" w:color="auto" w:fill="17365D" w:themeFill="text2" w:themeFillShade="BF"/>
            <w:tcMar>
              <w:top w:w="15" w:type="dxa"/>
              <w:left w:w="15" w:type="dxa"/>
              <w:bottom w:w="0" w:type="dxa"/>
              <w:right w:w="15" w:type="dxa"/>
            </w:tcMar>
            <w:vAlign w:val="center"/>
            <w:hideMark/>
          </w:tcPr>
          <w:p w14:paraId="31C88087" w14:textId="77777777" w:rsidR="00BB6BFE" w:rsidRPr="00100C3D" w:rsidRDefault="00BB6BFE" w:rsidP="00236E38">
            <w:pPr>
              <w:spacing w:line="360" w:lineRule="auto"/>
              <w:jc w:val="center"/>
              <w:textAlignment w:val="center"/>
              <w:rPr>
                <w:rFonts w:asciiTheme="minorHAnsi" w:hAnsiTheme="minorHAnsi" w:cstheme="minorHAnsi"/>
                <w:color w:val="FFFFFF" w:themeColor="background1"/>
                <w:sz w:val="16"/>
                <w:szCs w:val="22"/>
                <w:lang w:eastAsia="en-IN"/>
              </w:rPr>
            </w:pPr>
            <w:r w:rsidRPr="00100C3D">
              <w:rPr>
                <w:rFonts w:asciiTheme="minorHAnsi" w:hAnsiTheme="minorHAnsi" w:cstheme="minorHAnsi"/>
                <w:b/>
                <w:bCs/>
                <w:color w:val="FFFFFF" w:themeColor="background1"/>
                <w:kern w:val="24"/>
                <w:sz w:val="16"/>
                <w:szCs w:val="22"/>
                <w:lang w:eastAsia="en-IN"/>
              </w:rPr>
              <w:t>Circle</w:t>
            </w:r>
          </w:p>
        </w:tc>
        <w:tc>
          <w:tcPr>
            <w:tcW w:w="0" w:type="auto"/>
            <w:gridSpan w:val="5"/>
            <w:shd w:val="clear" w:color="auto" w:fill="17365D" w:themeFill="text2" w:themeFillShade="BF"/>
            <w:tcMar>
              <w:top w:w="15" w:type="dxa"/>
              <w:left w:w="15" w:type="dxa"/>
              <w:bottom w:w="0" w:type="dxa"/>
              <w:right w:w="15" w:type="dxa"/>
            </w:tcMar>
            <w:vAlign w:val="center"/>
            <w:hideMark/>
          </w:tcPr>
          <w:p w14:paraId="73F77BB4" w14:textId="77777777" w:rsidR="00BB6BFE" w:rsidRPr="00100C3D" w:rsidRDefault="00BB6BFE" w:rsidP="00236E38">
            <w:pPr>
              <w:spacing w:line="360" w:lineRule="auto"/>
              <w:jc w:val="center"/>
              <w:textAlignment w:val="center"/>
              <w:rPr>
                <w:rFonts w:asciiTheme="minorHAnsi" w:hAnsiTheme="minorHAnsi" w:cstheme="minorHAnsi"/>
                <w:color w:val="FFFFFF" w:themeColor="background1"/>
                <w:sz w:val="16"/>
                <w:szCs w:val="22"/>
                <w:lang w:eastAsia="en-IN"/>
              </w:rPr>
            </w:pPr>
            <w:r w:rsidRPr="00100C3D">
              <w:rPr>
                <w:rFonts w:asciiTheme="minorHAnsi" w:hAnsiTheme="minorHAnsi" w:cstheme="minorHAnsi"/>
                <w:b/>
                <w:bCs/>
                <w:color w:val="FFFFFF" w:themeColor="background1"/>
                <w:kern w:val="24"/>
                <w:sz w:val="16"/>
                <w:szCs w:val="22"/>
                <w:lang w:eastAsia="en-IN"/>
              </w:rPr>
              <w:t>FY 21-22</w:t>
            </w:r>
          </w:p>
        </w:tc>
        <w:tc>
          <w:tcPr>
            <w:tcW w:w="0" w:type="auto"/>
            <w:shd w:val="clear" w:color="auto" w:fill="17365D" w:themeFill="text2" w:themeFillShade="BF"/>
            <w:tcMar>
              <w:top w:w="15" w:type="dxa"/>
              <w:left w:w="15" w:type="dxa"/>
              <w:bottom w:w="0" w:type="dxa"/>
              <w:right w:w="15" w:type="dxa"/>
            </w:tcMar>
            <w:vAlign w:val="center"/>
            <w:hideMark/>
          </w:tcPr>
          <w:p w14:paraId="78519F39" w14:textId="77777777" w:rsidR="00BB6BFE" w:rsidRPr="00100C3D" w:rsidRDefault="00BB6BFE" w:rsidP="00236E38">
            <w:pPr>
              <w:spacing w:line="360" w:lineRule="auto"/>
              <w:jc w:val="center"/>
              <w:textAlignment w:val="center"/>
              <w:rPr>
                <w:rFonts w:asciiTheme="minorHAnsi" w:hAnsiTheme="minorHAnsi" w:cstheme="minorHAnsi"/>
                <w:color w:val="FFFFFF" w:themeColor="background1"/>
                <w:sz w:val="16"/>
                <w:szCs w:val="22"/>
                <w:lang w:eastAsia="en-IN"/>
              </w:rPr>
            </w:pPr>
            <w:r w:rsidRPr="00100C3D">
              <w:rPr>
                <w:rFonts w:asciiTheme="minorHAnsi" w:hAnsiTheme="minorHAnsi" w:cstheme="minorHAnsi"/>
                <w:b/>
                <w:bCs/>
                <w:color w:val="FFFFFF" w:themeColor="background1"/>
                <w:kern w:val="24"/>
                <w:sz w:val="16"/>
                <w:szCs w:val="22"/>
                <w:lang w:eastAsia="en-IN"/>
              </w:rPr>
              <w:t> </w:t>
            </w:r>
          </w:p>
        </w:tc>
        <w:tc>
          <w:tcPr>
            <w:tcW w:w="0" w:type="auto"/>
            <w:gridSpan w:val="5"/>
            <w:shd w:val="clear" w:color="auto" w:fill="17365D" w:themeFill="text2" w:themeFillShade="BF"/>
            <w:tcMar>
              <w:top w:w="15" w:type="dxa"/>
              <w:left w:w="15" w:type="dxa"/>
              <w:bottom w:w="0" w:type="dxa"/>
              <w:right w:w="15" w:type="dxa"/>
            </w:tcMar>
            <w:vAlign w:val="center"/>
            <w:hideMark/>
          </w:tcPr>
          <w:p w14:paraId="6E565134" w14:textId="77777777" w:rsidR="00BB6BFE" w:rsidRPr="00100C3D" w:rsidRDefault="00BB6BFE" w:rsidP="00236E38">
            <w:pPr>
              <w:spacing w:line="360" w:lineRule="auto"/>
              <w:jc w:val="center"/>
              <w:textAlignment w:val="center"/>
              <w:rPr>
                <w:rFonts w:asciiTheme="minorHAnsi" w:hAnsiTheme="minorHAnsi" w:cstheme="minorHAnsi"/>
                <w:color w:val="FFFFFF" w:themeColor="background1"/>
                <w:sz w:val="16"/>
                <w:szCs w:val="22"/>
                <w:lang w:eastAsia="en-IN"/>
              </w:rPr>
            </w:pPr>
            <w:r w:rsidRPr="00100C3D">
              <w:rPr>
                <w:rFonts w:asciiTheme="minorHAnsi" w:hAnsiTheme="minorHAnsi" w:cstheme="minorHAnsi"/>
                <w:b/>
                <w:bCs/>
                <w:color w:val="FFFFFF" w:themeColor="background1"/>
                <w:kern w:val="24"/>
                <w:sz w:val="16"/>
                <w:szCs w:val="22"/>
                <w:lang w:eastAsia="en-IN"/>
              </w:rPr>
              <w:t xml:space="preserve"> FY 22-23</w:t>
            </w:r>
          </w:p>
        </w:tc>
        <w:tc>
          <w:tcPr>
            <w:tcW w:w="0" w:type="auto"/>
            <w:shd w:val="clear" w:color="auto" w:fill="17365D" w:themeFill="text2" w:themeFillShade="BF"/>
            <w:tcMar>
              <w:top w:w="15" w:type="dxa"/>
              <w:left w:w="15" w:type="dxa"/>
              <w:bottom w:w="0" w:type="dxa"/>
              <w:right w:w="15" w:type="dxa"/>
            </w:tcMar>
            <w:vAlign w:val="center"/>
            <w:hideMark/>
          </w:tcPr>
          <w:p w14:paraId="00762FB5" w14:textId="77777777" w:rsidR="00BB6BFE" w:rsidRPr="00100C3D" w:rsidRDefault="00BB6BFE" w:rsidP="00236E38">
            <w:pPr>
              <w:spacing w:line="360" w:lineRule="auto"/>
              <w:jc w:val="center"/>
              <w:textAlignment w:val="center"/>
              <w:rPr>
                <w:rFonts w:asciiTheme="minorHAnsi" w:hAnsiTheme="minorHAnsi" w:cstheme="minorHAnsi"/>
                <w:color w:val="FFFFFF" w:themeColor="background1"/>
                <w:sz w:val="16"/>
                <w:szCs w:val="22"/>
                <w:lang w:eastAsia="en-IN"/>
              </w:rPr>
            </w:pPr>
            <w:r w:rsidRPr="00100C3D">
              <w:rPr>
                <w:rFonts w:asciiTheme="minorHAnsi" w:hAnsiTheme="minorHAnsi" w:cstheme="minorHAnsi"/>
                <w:b/>
                <w:bCs/>
                <w:color w:val="FFFFFF" w:themeColor="background1"/>
                <w:kern w:val="24"/>
                <w:sz w:val="16"/>
                <w:szCs w:val="22"/>
                <w:lang w:eastAsia="en-IN"/>
              </w:rPr>
              <w:t> </w:t>
            </w:r>
          </w:p>
        </w:tc>
        <w:tc>
          <w:tcPr>
            <w:tcW w:w="0" w:type="auto"/>
            <w:gridSpan w:val="5"/>
            <w:shd w:val="clear" w:color="auto" w:fill="17365D" w:themeFill="text2" w:themeFillShade="BF"/>
            <w:tcMar>
              <w:top w:w="15" w:type="dxa"/>
              <w:left w:w="15" w:type="dxa"/>
              <w:bottom w:w="0" w:type="dxa"/>
              <w:right w:w="15" w:type="dxa"/>
            </w:tcMar>
            <w:vAlign w:val="center"/>
            <w:hideMark/>
          </w:tcPr>
          <w:p w14:paraId="5110D0F3" w14:textId="77777777" w:rsidR="00BB6BFE" w:rsidRPr="00100C3D" w:rsidRDefault="00BB6BFE" w:rsidP="00236E38">
            <w:pPr>
              <w:spacing w:line="360" w:lineRule="auto"/>
              <w:jc w:val="center"/>
              <w:textAlignment w:val="center"/>
              <w:rPr>
                <w:rFonts w:asciiTheme="minorHAnsi" w:hAnsiTheme="minorHAnsi" w:cstheme="minorHAnsi"/>
                <w:color w:val="FFFFFF" w:themeColor="background1"/>
                <w:sz w:val="16"/>
                <w:szCs w:val="22"/>
                <w:lang w:eastAsia="en-IN"/>
              </w:rPr>
            </w:pPr>
            <w:r w:rsidRPr="00100C3D">
              <w:rPr>
                <w:rFonts w:asciiTheme="minorHAnsi" w:hAnsiTheme="minorHAnsi" w:cstheme="minorHAnsi"/>
                <w:b/>
                <w:bCs/>
                <w:color w:val="FFFFFF" w:themeColor="background1"/>
                <w:kern w:val="24"/>
                <w:sz w:val="16"/>
                <w:szCs w:val="22"/>
                <w:lang w:eastAsia="en-IN"/>
              </w:rPr>
              <w:t xml:space="preserve"> FY 23-24</w:t>
            </w:r>
          </w:p>
        </w:tc>
      </w:tr>
      <w:tr w:rsidR="00BB6BFE" w:rsidRPr="00100C3D" w14:paraId="692F81F8" w14:textId="77777777" w:rsidTr="00100C3D">
        <w:trPr>
          <w:trHeight w:val="628"/>
        </w:trPr>
        <w:tc>
          <w:tcPr>
            <w:tcW w:w="0" w:type="auto"/>
            <w:vMerge/>
            <w:shd w:val="clear" w:color="auto" w:fill="17365D" w:themeFill="text2" w:themeFillShade="BF"/>
            <w:vAlign w:val="center"/>
            <w:hideMark/>
          </w:tcPr>
          <w:p w14:paraId="0CFA72B8" w14:textId="77777777" w:rsidR="00BB6BFE" w:rsidRPr="00100C3D" w:rsidRDefault="00BB6BFE" w:rsidP="00236E38">
            <w:pPr>
              <w:spacing w:line="360" w:lineRule="auto"/>
              <w:rPr>
                <w:rFonts w:asciiTheme="minorHAnsi" w:hAnsiTheme="minorHAnsi" w:cstheme="minorHAnsi"/>
                <w:color w:val="FFFFFF" w:themeColor="background1"/>
                <w:sz w:val="16"/>
                <w:szCs w:val="22"/>
                <w:lang w:eastAsia="en-IN"/>
              </w:rPr>
            </w:pPr>
          </w:p>
        </w:tc>
        <w:tc>
          <w:tcPr>
            <w:tcW w:w="0" w:type="auto"/>
            <w:shd w:val="clear" w:color="auto" w:fill="17365D" w:themeFill="text2" w:themeFillShade="BF"/>
            <w:tcMar>
              <w:top w:w="15" w:type="dxa"/>
              <w:left w:w="15" w:type="dxa"/>
              <w:bottom w:w="0" w:type="dxa"/>
              <w:right w:w="15" w:type="dxa"/>
            </w:tcMar>
            <w:vAlign w:val="center"/>
            <w:hideMark/>
          </w:tcPr>
          <w:p w14:paraId="7F0FA560" w14:textId="77777777" w:rsidR="00BB6BFE" w:rsidRPr="00100C3D" w:rsidRDefault="00BB6BFE" w:rsidP="00236E38">
            <w:pPr>
              <w:spacing w:line="360" w:lineRule="auto"/>
              <w:jc w:val="center"/>
              <w:textAlignment w:val="center"/>
              <w:rPr>
                <w:rFonts w:asciiTheme="minorHAnsi" w:hAnsiTheme="minorHAnsi" w:cstheme="minorHAnsi"/>
                <w:b/>
                <w:color w:val="FFFFFF" w:themeColor="background1"/>
                <w:sz w:val="16"/>
                <w:szCs w:val="22"/>
                <w:lang w:eastAsia="en-IN"/>
              </w:rPr>
            </w:pPr>
            <w:r w:rsidRPr="00100C3D">
              <w:rPr>
                <w:rFonts w:asciiTheme="minorHAnsi" w:hAnsiTheme="minorHAnsi" w:cstheme="minorHAnsi"/>
                <w:b/>
                <w:color w:val="FFFFFF" w:themeColor="background1"/>
                <w:kern w:val="24"/>
                <w:sz w:val="16"/>
                <w:szCs w:val="22"/>
                <w:lang w:eastAsia="en-IN"/>
              </w:rPr>
              <w:t>Length (Km)</w:t>
            </w:r>
          </w:p>
        </w:tc>
        <w:tc>
          <w:tcPr>
            <w:tcW w:w="0" w:type="auto"/>
            <w:shd w:val="clear" w:color="auto" w:fill="17365D" w:themeFill="text2" w:themeFillShade="BF"/>
            <w:tcMar>
              <w:top w:w="15" w:type="dxa"/>
              <w:left w:w="15" w:type="dxa"/>
              <w:bottom w:w="0" w:type="dxa"/>
              <w:right w:w="15" w:type="dxa"/>
            </w:tcMar>
            <w:vAlign w:val="center"/>
            <w:hideMark/>
          </w:tcPr>
          <w:p w14:paraId="16485E58" w14:textId="77777777" w:rsidR="00BB6BFE" w:rsidRPr="00100C3D" w:rsidRDefault="00BB6BFE" w:rsidP="00236E38">
            <w:pPr>
              <w:spacing w:line="360" w:lineRule="auto"/>
              <w:jc w:val="center"/>
              <w:textAlignment w:val="center"/>
              <w:rPr>
                <w:rFonts w:asciiTheme="minorHAnsi" w:hAnsiTheme="minorHAnsi" w:cstheme="minorHAnsi"/>
                <w:b/>
                <w:color w:val="FFFFFF" w:themeColor="background1"/>
                <w:sz w:val="16"/>
                <w:szCs w:val="22"/>
                <w:lang w:eastAsia="en-IN"/>
              </w:rPr>
            </w:pPr>
            <w:r w:rsidRPr="00100C3D">
              <w:rPr>
                <w:rFonts w:asciiTheme="minorHAnsi" w:hAnsiTheme="minorHAnsi" w:cstheme="minorHAnsi"/>
                <w:b/>
                <w:color w:val="FFFFFF" w:themeColor="background1"/>
                <w:kern w:val="24"/>
                <w:sz w:val="16"/>
                <w:szCs w:val="22"/>
                <w:lang w:eastAsia="en-IN"/>
              </w:rPr>
              <w:t>Peak Load (KVA)</w:t>
            </w:r>
          </w:p>
        </w:tc>
        <w:tc>
          <w:tcPr>
            <w:tcW w:w="0" w:type="auto"/>
            <w:shd w:val="clear" w:color="auto" w:fill="17365D" w:themeFill="text2" w:themeFillShade="BF"/>
            <w:tcMar>
              <w:top w:w="15" w:type="dxa"/>
              <w:left w:w="15" w:type="dxa"/>
              <w:bottom w:w="0" w:type="dxa"/>
              <w:right w:w="15" w:type="dxa"/>
            </w:tcMar>
            <w:vAlign w:val="center"/>
            <w:hideMark/>
          </w:tcPr>
          <w:p w14:paraId="71582338" w14:textId="77777777" w:rsidR="00BB6BFE" w:rsidRPr="00100C3D" w:rsidRDefault="00BB6BFE" w:rsidP="00236E38">
            <w:pPr>
              <w:spacing w:line="360" w:lineRule="auto"/>
              <w:jc w:val="center"/>
              <w:textAlignment w:val="center"/>
              <w:rPr>
                <w:rFonts w:asciiTheme="minorHAnsi" w:hAnsiTheme="minorHAnsi" w:cstheme="minorHAnsi"/>
                <w:b/>
                <w:color w:val="FFFFFF" w:themeColor="background1"/>
                <w:sz w:val="16"/>
                <w:szCs w:val="22"/>
                <w:lang w:eastAsia="en-IN"/>
              </w:rPr>
            </w:pPr>
            <w:r w:rsidRPr="00100C3D">
              <w:rPr>
                <w:rFonts w:asciiTheme="minorHAnsi" w:hAnsiTheme="minorHAnsi" w:cstheme="minorHAnsi"/>
                <w:b/>
                <w:color w:val="FFFFFF" w:themeColor="background1"/>
                <w:kern w:val="24"/>
                <w:sz w:val="16"/>
                <w:szCs w:val="22"/>
                <w:lang w:eastAsia="en-IN"/>
              </w:rPr>
              <w:t>Input Mus</w:t>
            </w:r>
          </w:p>
        </w:tc>
        <w:tc>
          <w:tcPr>
            <w:tcW w:w="0" w:type="auto"/>
            <w:shd w:val="clear" w:color="auto" w:fill="17365D" w:themeFill="text2" w:themeFillShade="BF"/>
            <w:tcMar>
              <w:top w:w="15" w:type="dxa"/>
              <w:left w:w="15" w:type="dxa"/>
              <w:bottom w:w="0" w:type="dxa"/>
              <w:right w:w="15" w:type="dxa"/>
            </w:tcMar>
            <w:vAlign w:val="center"/>
            <w:hideMark/>
          </w:tcPr>
          <w:p w14:paraId="5D4BFF99" w14:textId="77777777" w:rsidR="00BB6BFE" w:rsidRPr="00100C3D" w:rsidRDefault="00BB6BFE" w:rsidP="00236E38">
            <w:pPr>
              <w:spacing w:line="360" w:lineRule="auto"/>
              <w:jc w:val="center"/>
              <w:textAlignment w:val="center"/>
              <w:rPr>
                <w:rFonts w:asciiTheme="minorHAnsi" w:hAnsiTheme="minorHAnsi" w:cstheme="minorHAnsi"/>
                <w:b/>
                <w:color w:val="FFFFFF" w:themeColor="background1"/>
                <w:sz w:val="16"/>
                <w:szCs w:val="22"/>
                <w:lang w:eastAsia="en-IN"/>
              </w:rPr>
            </w:pPr>
            <w:r w:rsidRPr="00100C3D">
              <w:rPr>
                <w:rFonts w:asciiTheme="minorHAnsi" w:hAnsiTheme="minorHAnsi" w:cstheme="minorHAnsi"/>
                <w:b/>
                <w:color w:val="FFFFFF" w:themeColor="background1"/>
                <w:kern w:val="24"/>
                <w:sz w:val="16"/>
                <w:szCs w:val="22"/>
                <w:lang w:eastAsia="en-IN"/>
              </w:rPr>
              <w:t>Loss Mus</w:t>
            </w:r>
          </w:p>
        </w:tc>
        <w:tc>
          <w:tcPr>
            <w:tcW w:w="0" w:type="auto"/>
            <w:shd w:val="clear" w:color="auto" w:fill="17365D" w:themeFill="text2" w:themeFillShade="BF"/>
            <w:tcMar>
              <w:top w:w="15" w:type="dxa"/>
              <w:left w:w="15" w:type="dxa"/>
              <w:bottom w:w="0" w:type="dxa"/>
              <w:right w:w="15" w:type="dxa"/>
            </w:tcMar>
            <w:vAlign w:val="center"/>
            <w:hideMark/>
          </w:tcPr>
          <w:p w14:paraId="47996BEB" w14:textId="77777777" w:rsidR="00BB6BFE" w:rsidRPr="00100C3D" w:rsidRDefault="00BB6BFE" w:rsidP="00236E38">
            <w:pPr>
              <w:spacing w:line="360" w:lineRule="auto"/>
              <w:jc w:val="center"/>
              <w:textAlignment w:val="center"/>
              <w:rPr>
                <w:rFonts w:asciiTheme="minorHAnsi" w:hAnsiTheme="minorHAnsi" w:cstheme="minorHAnsi"/>
                <w:b/>
                <w:color w:val="FFFFFF" w:themeColor="background1"/>
                <w:sz w:val="16"/>
                <w:szCs w:val="22"/>
                <w:lang w:eastAsia="en-IN"/>
              </w:rPr>
            </w:pPr>
            <w:r w:rsidRPr="00100C3D">
              <w:rPr>
                <w:rFonts w:asciiTheme="minorHAnsi" w:hAnsiTheme="minorHAnsi" w:cstheme="minorHAnsi"/>
                <w:b/>
                <w:color w:val="FFFFFF" w:themeColor="background1"/>
                <w:kern w:val="24"/>
                <w:sz w:val="16"/>
                <w:szCs w:val="22"/>
                <w:lang w:eastAsia="en-IN"/>
              </w:rPr>
              <w:t>Annual Loss (%)</w:t>
            </w:r>
          </w:p>
        </w:tc>
        <w:tc>
          <w:tcPr>
            <w:tcW w:w="0" w:type="auto"/>
            <w:shd w:val="clear" w:color="auto" w:fill="17365D" w:themeFill="text2" w:themeFillShade="BF"/>
            <w:tcMar>
              <w:top w:w="15" w:type="dxa"/>
              <w:left w:w="15" w:type="dxa"/>
              <w:bottom w:w="0" w:type="dxa"/>
              <w:right w:w="15" w:type="dxa"/>
            </w:tcMar>
            <w:vAlign w:val="center"/>
            <w:hideMark/>
          </w:tcPr>
          <w:p w14:paraId="63CE0051" w14:textId="77777777" w:rsidR="00BB6BFE" w:rsidRPr="00100C3D" w:rsidRDefault="00BB6BFE" w:rsidP="00236E38">
            <w:pPr>
              <w:spacing w:line="360" w:lineRule="auto"/>
              <w:jc w:val="center"/>
              <w:textAlignment w:val="center"/>
              <w:rPr>
                <w:rFonts w:asciiTheme="minorHAnsi" w:hAnsiTheme="minorHAnsi" w:cstheme="minorHAnsi"/>
                <w:b/>
                <w:color w:val="FFFFFF" w:themeColor="background1"/>
                <w:sz w:val="16"/>
                <w:szCs w:val="22"/>
                <w:lang w:eastAsia="en-IN"/>
              </w:rPr>
            </w:pPr>
            <w:r w:rsidRPr="00100C3D">
              <w:rPr>
                <w:rFonts w:asciiTheme="minorHAnsi" w:hAnsiTheme="minorHAnsi" w:cstheme="minorHAnsi"/>
                <w:b/>
                <w:color w:val="FFFFFF" w:themeColor="background1"/>
                <w:kern w:val="24"/>
                <w:sz w:val="16"/>
                <w:szCs w:val="22"/>
                <w:lang w:eastAsia="en-IN"/>
              </w:rPr>
              <w:t> </w:t>
            </w:r>
          </w:p>
        </w:tc>
        <w:tc>
          <w:tcPr>
            <w:tcW w:w="0" w:type="auto"/>
            <w:shd w:val="clear" w:color="auto" w:fill="17365D" w:themeFill="text2" w:themeFillShade="BF"/>
            <w:tcMar>
              <w:top w:w="15" w:type="dxa"/>
              <w:left w:w="15" w:type="dxa"/>
              <w:bottom w:w="0" w:type="dxa"/>
              <w:right w:w="15" w:type="dxa"/>
            </w:tcMar>
            <w:vAlign w:val="center"/>
            <w:hideMark/>
          </w:tcPr>
          <w:p w14:paraId="70EF1D7B" w14:textId="77777777" w:rsidR="00BB6BFE" w:rsidRPr="00100C3D" w:rsidRDefault="00BB6BFE" w:rsidP="00236E38">
            <w:pPr>
              <w:spacing w:line="360" w:lineRule="auto"/>
              <w:jc w:val="center"/>
              <w:textAlignment w:val="center"/>
              <w:rPr>
                <w:rFonts w:asciiTheme="minorHAnsi" w:hAnsiTheme="minorHAnsi" w:cstheme="minorHAnsi"/>
                <w:b/>
                <w:color w:val="FFFFFF" w:themeColor="background1"/>
                <w:sz w:val="16"/>
                <w:szCs w:val="22"/>
                <w:lang w:eastAsia="en-IN"/>
              </w:rPr>
            </w:pPr>
            <w:r w:rsidRPr="00100C3D">
              <w:rPr>
                <w:rFonts w:asciiTheme="minorHAnsi" w:hAnsiTheme="minorHAnsi" w:cstheme="minorHAnsi"/>
                <w:b/>
                <w:color w:val="FFFFFF" w:themeColor="background1"/>
                <w:kern w:val="24"/>
                <w:sz w:val="16"/>
                <w:szCs w:val="22"/>
                <w:lang w:eastAsia="en-IN"/>
              </w:rPr>
              <w:t>Length (Km)</w:t>
            </w:r>
          </w:p>
        </w:tc>
        <w:tc>
          <w:tcPr>
            <w:tcW w:w="0" w:type="auto"/>
            <w:shd w:val="clear" w:color="auto" w:fill="17365D" w:themeFill="text2" w:themeFillShade="BF"/>
            <w:tcMar>
              <w:top w:w="15" w:type="dxa"/>
              <w:left w:w="15" w:type="dxa"/>
              <w:bottom w:w="0" w:type="dxa"/>
              <w:right w:w="15" w:type="dxa"/>
            </w:tcMar>
            <w:vAlign w:val="center"/>
            <w:hideMark/>
          </w:tcPr>
          <w:p w14:paraId="204AF3C4" w14:textId="77777777" w:rsidR="00BB6BFE" w:rsidRPr="00100C3D" w:rsidRDefault="00BB6BFE" w:rsidP="00236E38">
            <w:pPr>
              <w:spacing w:line="360" w:lineRule="auto"/>
              <w:jc w:val="center"/>
              <w:textAlignment w:val="center"/>
              <w:rPr>
                <w:rFonts w:asciiTheme="minorHAnsi" w:hAnsiTheme="minorHAnsi" w:cstheme="minorHAnsi"/>
                <w:b/>
                <w:color w:val="FFFFFF" w:themeColor="background1"/>
                <w:sz w:val="16"/>
                <w:szCs w:val="22"/>
                <w:lang w:eastAsia="en-IN"/>
              </w:rPr>
            </w:pPr>
            <w:r w:rsidRPr="00100C3D">
              <w:rPr>
                <w:rFonts w:asciiTheme="minorHAnsi" w:hAnsiTheme="minorHAnsi" w:cstheme="minorHAnsi"/>
                <w:b/>
                <w:color w:val="FFFFFF" w:themeColor="background1"/>
                <w:kern w:val="24"/>
                <w:sz w:val="16"/>
                <w:szCs w:val="22"/>
                <w:lang w:eastAsia="en-IN"/>
              </w:rPr>
              <w:t>Peak Load (KVA)</w:t>
            </w:r>
          </w:p>
        </w:tc>
        <w:tc>
          <w:tcPr>
            <w:tcW w:w="0" w:type="auto"/>
            <w:shd w:val="clear" w:color="auto" w:fill="17365D" w:themeFill="text2" w:themeFillShade="BF"/>
            <w:tcMar>
              <w:top w:w="15" w:type="dxa"/>
              <w:left w:w="15" w:type="dxa"/>
              <w:bottom w:w="0" w:type="dxa"/>
              <w:right w:w="15" w:type="dxa"/>
            </w:tcMar>
            <w:vAlign w:val="center"/>
            <w:hideMark/>
          </w:tcPr>
          <w:p w14:paraId="7676783F" w14:textId="77777777" w:rsidR="00BB6BFE" w:rsidRPr="00100C3D" w:rsidRDefault="00BB6BFE" w:rsidP="00236E38">
            <w:pPr>
              <w:spacing w:line="360" w:lineRule="auto"/>
              <w:jc w:val="center"/>
              <w:textAlignment w:val="center"/>
              <w:rPr>
                <w:rFonts w:asciiTheme="minorHAnsi" w:hAnsiTheme="minorHAnsi" w:cstheme="minorHAnsi"/>
                <w:b/>
                <w:color w:val="FFFFFF" w:themeColor="background1"/>
                <w:sz w:val="16"/>
                <w:szCs w:val="22"/>
                <w:lang w:eastAsia="en-IN"/>
              </w:rPr>
            </w:pPr>
            <w:r w:rsidRPr="00100C3D">
              <w:rPr>
                <w:rFonts w:asciiTheme="minorHAnsi" w:hAnsiTheme="minorHAnsi" w:cstheme="minorHAnsi"/>
                <w:b/>
                <w:color w:val="FFFFFF" w:themeColor="background1"/>
                <w:kern w:val="24"/>
                <w:sz w:val="16"/>
                <w:szCs w:val="22"/>
                <w:lang w:eastAsia="en-IN"/>
              </w:rPr>
              <w:t>Input Mus</w:t>
            </w:r>
          </w:p>
        </w:tc>
        <w:tc>
          <w:tcPr>
            <w:tcW w:w="0" w:type="auto"/>
            <w:shd w:val="clear" w:color="auto" w:fill="17365D" w:themeFill="text2" w:themeFillShade="BF"/>
            <w:tcMar>
              <w:top w:w="15" w:type="dxa"/>
              <w:left w:w="15" w:type="dxa"/>
              <w:bottom w:w="0" w:type="dxa"/>
              <w:right w:w="15" w:type="dxa"/>
            </w:tcMar>
            <w:vAlign w:val="center"/>
            <w:hideMark/>
          </w:tcPr>
          <w:p w14:paraId="39F0051E" w14:textId="77777777" w:rsidR="00BB6BFE" w:rsidRPr="00100C3D" w:rsidRDefault="00BB6BFE" w:rsidP="00236E38">
            <w:pPr>
              <w:spacing w:line="360" w:lineRule="auto"/>
              <w:jc w:val="center"/>
              <w:textAlignment w:val="center"/>
              <w:rPr>
                <w:rFonts w:asciiTheme="minorHAnsi" w:hAnsiTheme="minorHAnsi" w:cstheme="minorHAnsi"/>
                <w:b/>
                <w:color w:val="FFFFFF" w:themeColor="background1"/>
                <w:sz w:val="16"/>
                <w:szCs w:val="22"/>
                <w:lang w:eastAsia="en-IN"/>
              </w:rPr>
            </w:pPr>
            <w:r w:rsidRPr="00100C3D">
              <w:rPr>
                <w:rFonts w:asciiTheme="minorHAnsi" w:hAnsiTheme="minorHAnsi" w:cstheme="minorHAnsi"/>
                <w:b/>
                <w:color w:val="FFFFFF" w:themeColor="background1"/>
                <w:kern w:val="24"/>
                <w:sz w:val="16"/>
                <w:szCs w:val="22"/>
                <w:lang w:eastAsia="en-IN"/>
              </w:rPr>
              <w:t>Loss Mus</w:t>
            </w:r>
          </w:p>
        </w:tc>
        <w:tc>
          <w:tcPr>
            <w:tcW w:w="0" w:type="auto"/>
            <w:shd w:val="clear" w:color="auto" w:fill="17365D" w:themeFill="text2" w:themeFillShade="BF"/>
            <w:tcMar>
              <w:top w:w="15" w:type="dxa"/>
              <w:left w:w="15" w:type="dxa"/>
              <w:bottom w:w="0" w:type="dxa"/>
              <w:right w:w="15" w:type="dxa"/>
            </w:tcMar>
            <w:vAlign w:val="center"/>
            <w:hideMark/>
          </w:tcPr>
          <w:p w14:paraId="48013008" w14:textId="77777777" w:rsidR="00BB6BFE" w:rsidRPr="00100C3D" w:rsidRDefault="00BB6BFE" w:rsidP="00236E38">
            <w:pPr>
              <w:spacing w:line="360" w:lineRule="auto"/>
              <w:jc w:val="center"/>
              <w:textAlignment w:val="center"/>
              <w:rPr>
                <w:rFonts w:asciiTheme="minorHAnsi" w:hAnsiTheme="minorHAnsi" w:cstheme="minorHAnsi"/>
                <w:b/>
                <w:color w:val="FFFFFF" w:themeColor="background1"/>
                <w:sz w:val="16"/>
                <w:szCs w:val="22"/>
                <w:lang w:eastAsia="en-IN"/>
              </w:rPr>
            </w:pPr>
            <w:r w:rsidRPr="00100C3D">
              <w:rPr>
                <w:rFonts w:asciiTheme="minorHAnsi" w:hAnsiTheme="minorHAnsi" w:cstheme="minorHAnsi"/>
                <w:b/>
                <w:color w:val="FFFFFF" w:themeColor="background1"/>
                <w:kern w:val="24"/>
                <w:sz w:val="16"/>
                <w:szCs w:val="22"/>
                <w:lang w:eastAsia="en-IN"/>
              </w:rPr>
              <w:t>Annual Loss (%)</w:t>
            </w:r>
          </w:p>
        </w:tc>
        <w:tc>
          <w:tcPr>
            <w:tcW w:w="0" w:type="auto"/>
            <w:shd w:val="clear" w:color="auto" w:fill="17365D" w:themeFill="text2" w:themeFillShade="BF"/>
            <w:tcMar>
              <w:top w:w="15" w:type="dxa"/>
              <w:left w:w="15" w:type="dxa"/>
              <w:bottom w:w="0" w:type="dxa"/>
              <w:right w:w="15" w:type="dxa"/>
            </w:tcMar>
            <w:vAlign w:val="center"/>
            <w:hideMark/>
          </w:tcPr>
          <w:p w14:paraId="709C7E77" w14:textId="77777777" w:rsidR="00BB6BFE" w:rsidRPr="00100C3D" w:rsidRDefault="00BB6BFE" w:rsidP="00236E38">
            <w:pPr>
              <w:spacing w:line="360" w:lineRule="auto"/>
              <w:jc w:val="center"/>
              <w:textAlignment w:val="center"/>
              <w:rPr>
                <w:rFonts w:asciiTheme="minorHAnsi" w:hAnsiTheme="minorHAnsi" w:cstheme="minorHAnsi"/>
                <w:b/>
                <w:color w:val="FFFFFF" w:themeColor="background1"/>
                <w:sz w:val="16"/>
                <w:szCs w:val="22"/>
                <w:lang w:eastAsia="en-IN"/>
              </w:rPr>
            </w:pPr>
            <w:r w:rsidRPr="00100C3D">
              <w:rPr>
                <w:rFonts w:asciiTheme="minorHAnsi" w:hAnsiTheme="minorHAnsi" w:cstheme="minorHAnsi"/>
                <w:b/>
                <w:color w:val="FFFFFF" w:themeColor="background1"/>
                <w:kern w:val="24"/>
                <w:sz w:val="16"/>
                <w:szCs w:val="22"/>
                <w:lang w:eastAsia="en-IN"/>
              </w:rPr>
              <w:t> </w:t>
            </w:r>
          </w:p>
        </w:tc>
        <w:tc>
          <w:tcPr>
            <w:tcW w:w="0" w:type="auto"/>
            <w:shd w:val="clear" w:color="auto" w:fill="17365D" w:themeFill="text2" w:themeFillShade="BF"/>
            <w:tcMar>
              <w:top w:w="15" w:type="dxa"/>
              <w:left w:w="15" w:type="dxa"/>
              <w:bottom w:w="0" w:type="dxa"/>
              <w:right w:w="15" w:type="dxa"/>
            </w:tcMar>
            <w:vAlign w:val="center"/>
            <w:hideMark/>
          </w:tcPr>
          <w:p w14:paraId="3EAC9A16" w14:textId="77777777" w:rsidR="00BB6BFE" w:rsidRPr="00100C3D" w:rsidRDefault="00BB6BFE" w:rsidP="00236E38">
            <w:pPr>
              <w:spacing w:line="360" w:lineRule="auto"/>
              <w:jc w:val="center"/>
              <w:textAlignment w:val="center"/>
              <w:rPr>
                <w:rFonts w:asciiTheme="minorHAnsi" w:hAnsiTheme="minorHAnsi" w:cstheme="minorHAnsi"/>
                <w:b/>
                <w:color w:val="FFFFFF" w:themeColor="background1"/>
                <w:sz w:val="16"/>
                <w:szCs w:val="22"/>
                <w:lang w:eastAsia="en-IN"/>
              </w:rPr>
            </w:pPr>
            <w:r w:rsidRPr="00100C3D">
              <w:rPr>
                <w:rFonts w:asciiTheme="minorHAnsi" w:hAnsiTheme="minorHAnsi" w:cstheme="minorHAnsi"/>
                <w:b/>
                <w:color w:val="FFFFFF" w:themeColor="background1"/>
                <w:kern w:val="24"/>
                <w:sz w:val="16"/>
                <w:szCs w:val="22"/>
                <w:lang w:eastAsia="en-IN"/>
              </w:rPr>
              <w:t>Length (Km)</w:t>
            </w:r>
          </w:p>
        </w:tc>
        <w:tc>
          <w:tcPr>
            <w:tcW w:w="0" w:type="auto"/>
            <w:shd w:val="clear" w:color="auto" w:fill="17365D" w:themeFill="text2" w:themeFillShade="BF"/>
            <w:tcMar>
              <w:top w:w="15" w:type="dxa"/>
              <w:left w:w="15" w:type="dxa"/>
              <w:bottom w:w="0" w:type="dxa"/>
              <w:right w:w="15" w:type="dxa"/>
            </w:tcMar>
            <w:vAlign w:val="center"/>
            <w:hideMark/>
          </w:tcPr>
          <w:p w14:paraId="7EA00565" w14:textId="77777777" w:rsidR="00BB6BFE" w:rsidRPr="00100C3D" w:rsidRDefault="00BB6BFE" w:rsidP="00236E38">
            <w:pPr>
              <w:spacing w:line="360" w:lineRule="auto"/>
              <w:jc w:val="center"/>
              <w:textAlignment w:val="center"/>
              <w:rPr>
                <w:rFonts w:asciiTheme="minorHAnsi" w:hAnsiTheme="minorHAnsi" w:cstheme="minorHAnsi"/>
                <w:b/>
                <w:color w:val="FFFFFF" w:themeColor="background1"/>
                <w:sz w:val="16"/>
                <w:szCs w:val="22"/>
                <w:lang w:eastAsia="en-IN"/>
              </w:rPr>
            </w:pPr>
            <w:r w:rsidRPr="00100C3D">
              <w:rPr>
                <w:rFonts w:asciiTheme="minorHAnsi" w:hAnsiTheme="minorHAnsi" w:cstheme="minorHAnsi"/>
                <w:b/>
                <w:color w:val="FFFFFF" w:themeColor="background1"/>
                <w:kern w:val="24"/>
                <w:sz w:val="16"/>
                <w:szCs w:val="22"/>
                <w:lang w:eastAsia="en-IN"/>
              </w:rPr>
              <w:t>Peak Load (KVA)</w:t>
            </w:r>
          </w:p>
        </w:tc>
        <w:tc>
          <w:tcPr>
            <w:tcW w:w="0" w:type="auto"/>
            <w:shd w:val="clear" w:color="auto" w:fill="17365D" w:themeFill="text2" w:themeFillShade="BF"/>
            <w:tcMar>
              <w:top w:w="15" w:type="dxa"/>
              <w:left w:w="15" w:type="dxa"/>
              <w:bottom w:w="0" w:type="dxa"/>
              <w:right w:w="15" w:type="dxa"/>
            </w:tcMar>
            <w:vAlign w:val="center"/>
            <w:hideMark/>
          </w:tcPr>
          <w:p w14:paraId="5BFBF7DD" w14:textId="77777777" w:rsidR="00BB6BFE" w:rsidRPr="00100C3D" w:rsidRDefault="00BB6BFE" w:rsidP="00236E38">
            <w:pPr>
              <w:spacing w:line="360" w:lineRule="auto"/>
              <w:jc w:val="center"/>
              <w:textAlignment w:val="center"/>
              <w:rPr>
                <w:rFonts w:asciiTheme="minorHAnsi" w:hAnsiTheme="minorHAnsi" w:cstheme="minorHAnsi"/>
                <w:b/>
                <w:color w:val="FFFFFF" w:themeColor="background1"/>
                <w:sz w:val="16"/>
                <w:szCs w:val="22"/>
                <w:lang w:eastAsia="en-IN"/>
              </w:rPr>
            </w:pPr>
            <w:r w:rsidRPr="00100C3D">
              <w:rPr>
                <w:rFonts w:asciiTheme="minorHAnsi" w:hAnsiTheme="minorHAnsi" w:cstheme="minorHAnsi"/>
                <w:b/>
                <w:color w:val="FFFFFF" w:themeColor="background1"/>
                <w:kern w:val="24"/>
                <w:sz w:val="16"/>
                <w:szCs w:val="22"/>
                <w:lang w:eastAsia="en-IN"/>
              </w:rPr>
              <w:t>Input Mus</w:t>
            </w:r>
          </w:p>
        </w:tc>
        <w:tc>
          <w:tcPr>
            <w:tcW w:w="0" w:type="auto"/>
            <w:shd w:val="clear" w:color="auto" w:fill="17365D" w:themeFill="text2" w:themeFillShade="BF"/>
            <w:tcMar>
              <w:top w:w="15" w:type="dxa"/>
              <w:left w:w="15" w:type="dxa"/>
              <w:bottom w:w="0" w:type="dxa"/>
              <w:right w:w="15" w:type="dxa"/>
            </w:tcMar>
            <w:vAlign w:val="center"/>
            <w:hideMark/>
          </w:tcPr>
          <w:p w14:paraId="6C60C302" w14:textId="77777777" w:rsidR="00BB6BFE" w:rsidRPr="00100C3D" w:rsidRDefault="00BB6BFE" w:rsidP="00236E38">
            <w:pPr>
              <w:spacing w:line="360" w:lineRule="auto"/>
              <w:jc w:val="center"/>
              <w:textAlignment w:val="center"/>
              <w:rPr>
                <w:rFonts w:asciiTheme="minorHAnsi" w:hAnsiTheme="minorHAnsi" w:cstheme="minorHAnsi"/>
                <w:b/>
                <w:color w:val="FFFFFF" w:themeColor="background1"/>
                <w:sz w:val="16"/>
                <w:szCs w:val="22"/>
                <w:lang w:eastAsia="en-IN"/>
              </w:rPr>
            </w:pPr>
            <w:r w:rsidRPr="00100C3D">
              <w:rPr>
                <w:rFonts w:asciiTheme="minorHAnsi" w:hAnsiTheme="minorHAnsi" w:cstheme="minorHAnsi"/>
                <w:b/>
                <w:color w:val="FFFFFF" w:themeColor="background1"/>
                <w:kern w:val="24"/>
                <w:sz w:val="16"/>
                <w:szCs w:val="22"/>
                <w:lang w:eastAsia="en-IN"/>
              </w:rPr>
              <w:t>Loss Mus</w:t>
            </w:r>
          </w:p>
        </w:tc>
        <w:tc>
          <w:tcPr>
            <w:tcW w:w="0" w:type="auto"/>
            <w:shd w:val="clear" w:color="auto" w:fill="17365D" w:themeFill="text2" w:themeFillShade="BF"/>
            <w:tcMar>
              <w:top w:w="15" w:type="dxa"/>
              <w:left w:w="15" w:type="dxa"/>
              <w:bottom w:w="0" w:type="dxa"/>
              <w:right w:w="15" w:type="dxa"/>
            </w:tcMar>
            <w:vAlign w:val="center"/>
            <w:hideMark/>
          </w:tcPr>
          <w:p w14:paraId="572608E1" w14:textId="77777777" w:rsidR="00BB6BFE" w:rsidRPr="00100C3D" w:rsidRDefault="00BB6BFE" w:rsidP="00236E38">
            <w:pPr>
              <w:spacing w:line="360" w:lineRule="auto"/>
              <w:jc w:val="center"/>
              <w:textAlignment w:val="center"/>
              <w:rPr>
                <w:rFonts w:asciiTheme="minorHAnsi" w:hAnsiTheme="minorHAnsi" w:cstheme="minorHAnsi"/>
                <w:b/>
                <w:color w:val="FFFFFF" w:themeColor="background1"/>
                <w:sz w:val="16"/>
                <w:szCs w:val="22"/>
                <w:lang w:eastAsia="en-IN"/>
              </w:rPr>
            </w:pPr>
            <w:r w:rsidRPr="00100C3D">
              <w:rPr>
                <w:rFonts w:asciiTheme="minorHAnsi" w:hAnsiTheme="minorHAnsi" w:cstheme="minorHAnsi"/>
                <w:b/>
                <w:color w:val="FFFFFF" w:themeColor="background1"/>
                <w:kern w:val="24"/>
                <w:sz w:val="16"/>
                <w:szCs w:val="22"/>
                <w:lang w:eastAsia="en-IN"/>
              </w:rPr>
              <w:t>Annual Loss (%)</w:t>
            </w:r>
          </w:p>
        </w:tc>
      </w:tr>
      <w:tr w:rsidR="00BB6BFE" w:rsidRPr="00100C3D" w14:paraId="1AF915C0" w14:textId="77777777" w:rsidTr="00100C3D">
        <w:trPr>
          <w:trHeight w:val="232"/>
        </w:trPr>
        <w:tc>
          <w:tcPr>
            <w:tcW w:w="0" w:type="auto"/>
            <w:shd w:val="clear" w:color="auto" w:fill="F4E9E9"/>
            <w:tcMar>
              <w:top w:w="15" w:type="dxa"/>
              <w:left w:w="15" w:type="dxa"/>
              <w:bottom w:w="0" w:type="dxa"/>
              <w:right w:w="15" w:type="dxa"/>
            </w:tcMar>
            <w:vAlign w:val="center"/>
            <w:hideMark/>
          </w:tcPr>
          <w:p w14:paraId="5E99E5F4" w14:textId="77777777" w:rsidR="00BB6BFE" w:rsidRPr="00100C3D" w:rsidRDefault="00BB6BFE" w:rsidP="00236E38">
            <w:pPr>
              <w:spacing w:line="360" w:lineRule="auto"/>
              <w:jc w:val="center"/>
              <w:textAlignment w:val="center"/>
              <w:rPr>
                <w:rFonts w:asciiTheme="minorHAnsi" w:hAnsiTheme="minorHAnsi" w:cstheme="minorHAnsi"/>
                <w:sz w:val="16"/>
                <w:szCs w:val="22"/>
                <w:lang w:eastAsia="en-IN"/>
              </w:rPr>
            </w:pPr>
            <w:proofErr w:type="spellStart"/>
            <w:r w:rsidRPr="00100C3D">
              <w:rPr>
                <w:rFonts w:asciiTheme="minorHAnsi" w:hAnsiTheme="minorHAnsi" w:cstheme="minorHAnsi"/>
                <w:color w:val="000000"/>
                <w:kern w:val="24"/>
                <w:sz w:val="16"/>
                <w:szCs w:val="22"/>
                <w:lang w:eastAsia="en-IN"/>
              </w:rPr>
              <w:t>Balasore</w:t>
            </w:r>
            <w:proofErr w:type="spellEnd"/>
          </w:p>
        </w:tc>
        <w:tc>
          <w:tcPr>
            <w:tcW w:w="0" w:type="auto"/>
            <w:shd w:val="clear" w:color="auto" w:fill="F4E9E9"/>
            <w:tcMar>
              <w:top w:w="15" w:type="dxa"/>
              <w:left w:w="15" w:type="dxa"/>
              <w:bottom w:w="0" w:type="dxa"/>
              <w:right w:w="15" w:type="dxa"/>
            </w:tcMar>
            <w:vAlign w:val="center"/>
            <w:hideMark/>
          </w:tcPr>
          <w:p w14:paraId="511799D5" w14:textId="77777777" w:rsidR="00BB6BFE" w:rsidRPr="00100C3D" w:rsidRDefault="00BB6BFE" w:rsidP="00236E38">
            <w:pPr>
              <w:spacing w:line="360" w:lineRule="auto"/>
              <w:jc w:val="center"/>
              <w:textAlignment w:val="center"/>
              <w:rPr>
                <w:rFonts w:asciiTheme="minorHAnsi" w:hAnsiTheme="minorHAnsi" w:cstheme="minorHAnsi"/>
                <w:sz w:val="16"/>
                <w:szCs w:val="22"/>
                <w:lang w:eastAsia="en-IN"/>
              </w:rPr>
            </w:pPr>
            <w:r w:rsidRPr="00100C3D">
              <w:rPr>
                <w:rFonts w:asciiTheme="minorHAnsi" w:hAnsiTheme="minorHAnsi" w:cstheme="minorHAnsi"/>
                <w:color w:val="000000"/>
                <w:kern w:val="24"/>
                <w:sz w:val="16"/>
                <w:szCs w:val="22"/>
                <w:lang w:eastAsia="en-IN"/>
              </w:rPr>
              <w:t>636.23</w:t>
            </w:r>
          </w:p>
        </w:tc>
        <w:tc>
          <w:tcPr>
            <w:tcW w:w="0" w:type="auto"/>
            <w:shd w:val="clear" w:color="auto" w:fill="F4E9E9"/>
            <w:tcMar>
              <w:top w:w="15" w:type="dxa"/>
              <w:left w:w="15" w:type="dxa"/>
              <w:bottom w:w="0" w:type="dxa"/>
              <w:right w:w="15" w:type="dxa"/>
            </w:tcMar>
            <w:vAlign w:val="center"/>
            <w:hideMark/>
          </w:tcPr>
          <w:p w14:paraId="11755234" w14:textId="77777777" w:rsidR="00BB6BFE" w:rsidRPr="00100C3D" w:rsidRDefault="00BB6BFE" w:rsidP="00236E38">
            <w:pPr>
              <w:spacing w:line="360" w:lineRule="auto"/>
              <w:jc w:val="center"/>
              <w:textAlignment w:val="center"/>
              <w:rPr>
                <w:rFonts w:asciiTheme="minorHAnsi" w:hAnsiTheme="minorHAnsi" w:cstheme="minorHAnsi"/>
                <w:sz w:val="16"/>
                <w:szCs w:val="22"/>
                <w:lang w:eastAsia="en-IN"/>
              </w:rPr>
            </w:pPr>
            <w:r w:rsidRPr="00100C3D">
              <w:rPr>
                <w:rFonts w:asciiTheme="minorHAnsi" w:hAnsiTheme="minorHAnsi" w:cstheme="minorHAnsi"/>
                <w:color w:val="000000"/>
                <w:kern w:val="24"/>
                <w:sz w:val="16"/>
                <w:szCs w:val="22"/>
                <w:lang w:eastAsia="en-IN"/>
              </w:rPr>
              <w:t>268772</w:t>
            </w:r>
          </w:p>
        </w:tc>
        <w:tc>
          <w:tcPr>
            <w:tcW w:w="0" w:type="auto"/>
            <w:shd w:val="clear" w:color="auto" w:fill="F4E9E9"/>
            <w:tcMar>
              <w:top w:w="15" w:type="dxa"/>
              <w:left w:w="15" w:type="dxa"/>
              <w:bottom w:w="0" w:type="dxa"/>
              <w:right w:w="15" w:type="dxa"/>
            </w:tcMar>
            <w:vAlign w:val="center"/>
            <w:hideMark/>
          </w:tcPr>
          <w:p w14:paraId="5CDF55DA" w14:textId="77777777" w:rsidR="00BB6BFE" w:rsidRPr="00100C3D" w:rsidRDefault="00BB6BFE" w:rsidP="00236E38">
            <w:pPr>
              <w:spacing w:line="360" w:lineRule="auto"/>
              <w:jc w:val="center"/>
              <w:textAlignment w:val="center"/>
              <w:rPr>
                <w:rFonts w:asciiTheme="minorHAnsi" w:hAnsiTheme="minorHAnsi" w:cstheme="minorHAnsi"/>
                <w:sz w:val="16"/>
                <w:szCs w:val="22"/>
                <w:lang w:eastAsia="en-IN"/>
              </w:rPr>
            </w:pPr>
            <w:r w:rsidRPr="00100C3D">
              <w:rPr>
                <w:rFonts w:asciiTheme="minorHAnsi" w:hAnsiTheme="minorHAnsi" w:cstheme="minorHAnsi"/>
                <w:color w:val="000000"/>
                <w:kern w:val="24"/>
                <w:sz w:val="16"/>
                <w:szCs w:val="22"/>
                <w:lang w:eastAsia="en-IN"/>
              </w:rPr>
              <w:t>971.03</w:t>
            </w:r>
          </w:p>
        </w:tc>
        <w:tc>
          <w:tcPr>
            <w:tcW w:w="0" w:type="auto"/>
            <w:shd w:val="clear" w:color="auto" w:fill="F4E9E9"/>
            <w:tcMar>
              <w:top w:w="15" w:type="dxa"/>
              <w:left w:w="15" w:type="dxa"/>
              <w:bottom w:w="0" w:type="dxa"/>
              <w:right w:w="15" w:type="dxa"/>
            </w:tcMar>
            <w:vAlign w:val="center"/>
            <w:hideMark/>
          </w:tcPr>
          <w:p w14:paraId="7EED788A" w14:textId="77777777" w:rsidR="00BB6BFE" w:rsidRPr="00100C3D" w:rsidRDefault="00BB6BFE" w:rsidP="00236E38">
            <w:pPr>
              <w:spacing w:line="360" w:lineRule="auto"/>
              <w:jc w:val="center"/>
              <w:textAlignment w:val="center"/>
              <w:rPr>
                <w:rFonts w:asciiTheme="minorHAnsi" w:hAnsiTheme="minorHAnsi" w:cstheme="minorHAnsi"/>
                <w:sz w:val="16"/>
                <w:szCs w:val="22"/>
                <w:lang w:eastAsia="en-IN"/>
              </w:rPr>
            </w:pPr>
            <w:r w:rsidRPr="00100C3D">
              <w:rPr>
                <w:rFonts w:asciiTheme="minorHAnsi" w:hAnsiTheme="minorHAnsi" w:cstheme="minorHAnsi"/>
                <w:color w:val="000000"/>
                <w:kern w:val="24"/>
                <w:sz w:val="16"/>
                <w:szCs w:val="22"/>
                <w:lang w:eastAsia="en-IN"/>
              </w:rPr>
              <w:t>34.88</w:t>
            </w:r>
          </w:p>
        </w:tc>
        <w:tc>
          <w:tcPr>
            <w:tcW w:w="0" w:type="auto"/>
            <w:shd w:val="clear" w:color="auto" w:fill="F4E9E9"/>
            <w:tcMar>
              <w:top w:w="15" w:type="dxa"/>
              <w:left w:w="15" w:type="dxa"/>
              <w:bottom w:w="0" w:type="dxa"/>
              <w:right w:w="15" w:type="dxa"/>
            </w:tcMar>
            <w:vAlign w:val="center"/>
            <w:hideMark/>
          </w:tcPr>
          <w:p w14:paraId="773638FF" w14:textId="77777777" w:rsidR="00BB6BFE" w:rsidRPr="00100C3D" w:rsidRDefault="00BB6BFE" w:rsidP="00236E38">
            <w:pPr>
              <w:spacing w:line="360" w:lineRule="auto"/>
              <w:jc w:val="center"/>
              <w:textAlignment w:val="center"/>
              <w:rPr>
                <w:rFonts w:asciiTheme="minorHAnsi" w:hAnsiTheme="minorHAnsi" w:cstheme="minorHAnsi"/>
                <w:sz w:val="16"/>
                <w:szCs w:val="22"/>
                <w:lang w:eastAsia="en-IN"/>
              </w:rPr>
            </w:pPr>
            <w:r w:rsidRPr="00100C3D">
              <w:rPr>
                <w:rFonts w:asciiTheme="minorHAnsi" w:hAnsiTheme="minorHAnsi" w:cstheme="minorHAnsi"/>
                <w:color w:val="000000"/>
                <w:kern w:val="24"/>
                <w:sz w:val="16"/>
                <w:szCs w:val="22"/>
                <w:lang w:eastAsia="en-IN"/>
              </w:rPr>
              <w:t>3.59</w:t>
            </w:r>
          </w:p>
        </w:tc>
        <w:tc>
          <w:tcPr>
            <w:tcW w:w="0" w:type="auto"/>
            <w:shd w:val="clear" w:color="auto" w:fill="auto"/>
            <w:tcMar>
              <w:top w:w="15" w:type="dxa"/>
              <w:left w:w="15" w:type="dxa"/>
              <w:bottom w:w="0" w:type="dxa"/>
              <w:right w:w="15" w:type="dxa"/>
            </w:tcMar>
            <w:vAlign w:val="center"/>
            <w:hideMark/>
          </w:tcPr>
          <w:p w14:paraId="76357A02" w14:textId="77777777" w:rsidR="00BB6BFE" w:rsidRPr="00100C3D" w:rsidRDefault="00BB6BFE" w:rsidP="00236E38">
            <w:pPr>
              <w:spacing w:line="360" w:lineRule="auto"/>
              <w:jc w:val="center"/>
              <w:textAlignment w:val="center"/>
              <w:rPr>
                <w:rFonts w:asciiTheme="minorHAnsi" w:hAnsiTheme="minorHAnsi" w:cstheme="minorHAnsi"/>
                <w:sz w:val="16"/>
                <w:szCs w:val="22"/>
                <w:lang w:eastAsia="en-IN"/>
              </w:rPr>
            </w:pPr>
            <w:r w:rsidRPr="00100C3D">
              <w:rPr>
                <w:rFonts w:asciiTheme="minorHAnsi" w:hAnsiTheme="minorHAnsi" w:cstheme="minorHAnsi"/>
                <w:color w:val="000000"/>
                <w:kern w:val="24"/>
                <w:sz w:val="16"/>
                <w:szCs w:val="22"/>
                <w:lang w:eastAsia="en-IN"/>
              </w:rPr>
              <w:t> </w:t>
            </w:r>
          </w:p>
        </w:tc>
        <w:tc>
          <w:tcPr>
            <w:tcW w:w="0" w:type="auto"/>
            <w:shd w:val="clear" w:color="auto" w:fill="F4E9E9"/>
            <w:tcMar>
              <w:top w:w="15" w:type="dxa"/>
              <w:left w:w="15" w:type="dxa"/>
              <w:bottom w:w="0" w:type="dxa"/>
              <w:right w:w="15" w:type="dxa"/>
            </w:tcMar>
            <w:vAlign w:val="center"/>
            <w:hideMark/>
          </w:tcPr>
          <w:p w14:paraId="7C9683CD" w14:textId="77777777" w:rsidR="00BB6BFE" w:rsidRPr="00100C3D" w:rsidRDefault="00BB6BFE" w:rsidP="00236E38">
            <w:pPr>
              <w:spacing w:line="360" w:lineRule="auto"/>
              <w:jc w:val="center"/>
              <w:textAlignment w:val="center"/>
              <w:rPr>
                <w:rFonts w:asciiTheme="minorHAnsi" w:hAnsiTheme="minorHAnsi" w:cstheme="minorHAnsi"/>
                <w:sz w:val="16"/>
                <w:szCs w:val="22"/>
                <w:lang w:eastAsia="en-IN"/>
              </w:rPr>
            </w:pPr>
            <w:r w:rsidRPr="00100C3D">
              <w:rPr>
                <w:rFonts w:asciiTheme="minorHAnsi" w:hAnsiTheme="minorHAnsi" w:cstheme="minorHAnsi"/>
                <w:color w:val="000000"/>
                <w:kern w:val="24"/>
                <w:sz w:val="16"/>
                <w:szCs w:val="22"/>
                <w:lang w:eastAsia="en-IN"/>
              </w:rPr>
              <w:t>660.28</w:t>
            </w:r>
          </w:p>
        </w:tc>
        <w:tc>
          <w:tcPr>
            <w:tcW w:w="0" w:type="auto"/>
            <w:shd w:val="clear" w:color="auto" w:fill="F4E9E9"/>
            <w:tcMar>
              <w:top w:w="15" w:type="dxa"/>
              <w:left w:w="15" w:type="dxa"/>
              <w:bottom w:w="0" w:type="dxa"/>
              <w:right w:w="15" w:type="dxa"/>
            </w:tcMar>
            <w:vAlign w:val="center"/>
            <w:hideMark/>
          </w:tcPr>
          <w:p w14:paraId="354B5106" w14:textId="77777777" w:rsidR="00BB6BFE" w:rsidRPr="00100C3D" w:rsidRDefault="00BB6BFE" w:rsidP="00236E38">
            <w:pPr>
              <w:spacing w:line="360" w:lineRule="auto"/>
              <w:jc w:val="center"/>
              <w:textAlignment w:val="center"/>
              <w:rPr>
                <w:rFonts w:asciiTheme="minorHAnsi" w:hAnsiTheme="minorHAnsi" w:cstheme="minorHAnsi"/>
                <w:sz w:val="16"/>
                <w:szCs w:val="22"/>
                <w:lang w:eastAsia="en-IN"/>
              </w:rPr>
            </w:pPr>
            <w:r w:rsidRPr="00100C3D">
              <w:rPr>
                <w:rFonts w:asciiTheme="minorHAnsi" w:hAnsiTheme="minorHAnsi" w:cstheme="minorHAnsi"/>
                <w:color w:val="000000"/>
                <w:kern w:val="24"/>
                <w:sz w:val="16"/>
                <w:szCs w:val="22"/>
                <w:lang w:eastAsia="en-IN"/>
              </w:rPr>
              <w:t>270861.03</w:t>
            </w:r>
          </w:p>
        </w:tc>
        <w:tc>
          <w:tcPr>
            <w:tcW w:w="0" w:type="auto"/>
            <w:shd w:val="clear" w:color="auto" w:fill="F4E9E9"/>
            <w:tcMar>
              <w:top w:w="15" w:type="dxa"/>
              <w:left w:w="15" w:type="dxa"/>
              <w:bottom w:w="0" w:type="dxa"/>
              <w:right w:w="15" w:type="dxa"/>
            </w:tcMar>
            <w:vAlign w:val="center"/>
            <w:hideMark/>
          </w:tcPr>
          <w:p w14:paraId="25702F45" w14:textId="77777777" w:rsidR="00BB6BFE" w:rsidRPr="00100C3D" w:rsidRDefault="00BB6BFE" w:rsidP="00236E38">
            <w:pPr>
              <w:spacing w:line="360" w:lineRule="auto"/>
              <w:jc w:val="center"/>
              <w:textAlignment w:val="center"/>
              <w:rPr>
                <w:rFonts w:asciiTheme="minorHAnsi" w:hAnsiTheme="minorHAnsi" w:cstheme="minorHAnsi"/>
                <w:sz w:val="16"/>
                <w:szCs w:val="22"/>
                <w:lang w:eastAsia="en-IN"/>
              </w:rPr>
            </w:pPr>
            <w:r w:rsidRPr="00100C3D">
              <w:rPr>
                <w:rFonts w:asciiTheme="minorHAnsi" w:hAnsiTheme="minorHAnsi" w:cstheme="minorHAnsi"/>
                <w:color w:val="000000"/>
                <w:kern w:val="24"/>
                <w:sz w:val="16"/>
                <w:szCs w:val="22"/>
                <w:lang w:eastAsia="en-IN"/>
              </w:rPr>
              <w:t>986.12</w:t>
            </w:r>
          </w:p>
        </w:tc>
        <w:tc>
          <w:tcPr>
            <w:tcW w:w="0" w:type="auto"/>
            <w:shd w:val="clear" w:color="auto" w:fill="F4E9E9"/>
            <w:tcMar>
              <w:top w:w="15" w:type="dxa"/>
              <w:left w:w="15" w:type="dxa"/>
              <w:bottom w:w="0" w:type="dxa"/>
              <w:right w:w="15" w:type="dxa"/>
            </w:tcMar>
            <w:vAlign w:val="center"/>
            <w:hideMark/>
          </w:tcPr>
          <w:p w14:paraId="5BD2269B" w14:textId="77777777" w:rsidR="00BB6BFE" w:rsidRPr="00100C3D" w:rsidRDefault="00BB6BFE" w:rsidP="00236E38">
            <w:pPr>
              <w:spacing w:line="360" w:lineRule="auto"/>
              <w:jc w:val="center"/>
              <w:textAlignment w:val="center"/>
              <w:rPr>
                <w:rFonts w:asciiTheme="minorHAnsi" w:hAnsiTheme="minorHAnsi" w:cstheme="minorHAnsi"/>
                <w:sz w:val="16"/>
                <w:szCs w:val="22"/>
                <w:lang w:eastAsia="en-IN"/>
              </w:rPr>
            </w:pPr>
            <w:r w:rsidRPr="00100C3D">
              <w:rPr>
                <w:rFonts w:asciiTheme="minorHAnsi" w:hAnsiTheme="minorHAnsi" w:cstheme="minorHAnsi"/>
                <w:color w:val="000000"/>
                <w:kern w:val="24"/>
                <w:sz w:val="16"/>
                <w:szCs w:val="22"/>
                <w:lang w:eastAsia="en-IN"/>
              </w:rPr>
              <w:t>33.73</w:t>
            </w:r>
          </w:p>
        </w:tc>
        <w:tc>
          <w:tcPr>
            <w:tcW w:w="0" w:type="auto"/>
            <w:shd w:val="clear" w:color="auto" w:fill="F4E9E9"/>
            <w:tcMar>
              <w:top w:w="15" w:type="dxa"/>
              <w:left w:w="15" w:type="dxa"/>
              <w:bottom w:w="0" w:type="dxa"/>
              <w:right w:w="15" w:type="dxa"/>
            </w:tcMar>
            <w:vAlign w:val="center"/>
            <w:hideMark/>
          </w:tcPr>
          <w:p w14:paraId="281FFF85" w14:textId="77777777" w:rsidR="00BB6BFE" w:rsidRPr="00100C3D" w:rsidRDefault="00BB6BFE" w:rsidP="00236E38">
            <w:pPr>
              <w:spacing w:line="360" w:lineRule="auto"/>
              <w:jc w:val="center"/>
              <w:textAlignment w:val="center"/>
              <w:rPr>
                <w:rFonts w:asciiTheme="minorHAnsi" w:hAnsiTheme="minorHAnsi" w:cstheme="minorHAnsi"/>
                <w:sz w:val="16"/>
                <w:szCs w:val="22"/>
                <w:lang w:eastAsia="en-IN"/>
              </w:rPr>
            </w:pPr>
            <w:r w:rsidRPr="00100C3D">
              <w:rPr>
                <w:rFonts w:asciiTheme="minorHAnsi" w:hAnsiTheme="minorHAnsi" w:cstheme="minorHAnsi"/>
                <w:color w:val="000000"/>
                <w:kern w:val="24"/>
                <w:sz w:val="16"/>
                <w:szCs w:val="22"/>
                <w:lang w:eastAsia="en-IN"/>
              </w:rPr>
              <w:t>3.42</w:t>
            </w:r>
          </w:p>
        </w:tc>
        <w:tc>
          <w:tcPr>
            <w:tcW w:w="0" w:type="auto"/>
            <w:shd w:val="clear" w:color="auto" w:fill="auto"/>
            <w:tcMar>
              <w:top w:w="15" w:type="dxa"/>
              <w:left w:w="15" w:type="dxa"/>
              <w:bottom w:w="0" w:type="dxa"/>
              <w:right w:w="15" w:type="dxa"/>
            </w:tcMar>
            <w:vAlign w:val="center"/>
            <w:hideMark/>
          </w:tcPr>
          <w:p w14:paraId="6E9A6AC7" w14:textId="77777777" w:rsidR="00BB6BFE" w:rsidRPr="00100C3D" w:rsidRDefault="00BB6BFE" w:rsidP="00236E38">
            <w:pPr>
              <w:spacing w:line="360" w:lineRule="auto"/>
              <w:jc w:val="center"/>
              <w:textAlignment w:val="center"/>
              <w:rPr>
                <w:rFonts w:asciiTheme="minorHAnsi" w:hAnsiTheme="minorHAnsi" w:cstheme="minorHAnsi"/>
                <w:sz w:val="16"/>
                <w:szCs w:val="22"/>
                <w:lang w:eastAsia="en-IN"/>
              </w:rPr>
            </w:pPr>
            <w:r w:rsidRPr="00100C3D">
              <w:rPr>
                <w:rFonts w:asciiTheme="minorHAnsi" w:hAnsiTheme="minorHAnsi" w:cstheme="minorHAnsi"/>
                <w:color w:val="000000"/>
                <w:kern w:val="24"/>
                <w:sz w:val="16"/>
                <w:szCs w:val="22"/>
                <w:lang w:eastAsia="en-IN"/>
              </w:rPr>
              <w:t> </w:t>
            </w:r>
          </w:p>
        </w:tc>
        <w:tc>
          <w:tcPr>
            <w:tcW w:w="0" w:type="auto"/>
            <w:shd w:val="clear" w:color="auto" w:fill="F4E9E9"/>
            <w:tcMar>
              <w:top w:w="15" w:type="dxa"/>
              <w:left w:w="15" w:type="dxa"/>
              <w:bottom w:w="0" w:type="dxa"/>
              <w:right w:w="15" w:type="dxa"/>
            </w:tcMar>
            <w:vAlign w:val="center"/>
            <w:hideMark/>
          </w:tcPr>
          <w:p w14:paraId="34FF4FDA" w14:textId="77777777" w:rsidR="00BB6BFE" w:rsidRPr="00100C3D" w:rsidRDefault="00BB6BFE" w:rsidP="00236E38">
            <w:pPr>
              <w:spacing w:line="360" w:lineRule="auto"/>
              <w:jc w:val="center"/>
              <w:textAlignment w:val="center"/>
              <w:rPr>
                <w:rFonts w:asciiTheme="minorHAnsi" w:hAnsiTheme="minorHAnsi" w:cstheme="minorHAnsi"/>
                <w:sz w:val="16"/>
                <w:szCs w:val="22"/>
                <w:lang w:eastAsia="en-IN"/>
              </w:rPr>
            </w:pPr>
            <w:r w:rsidRPr="00100C3D">
              <w:rPr>
                <w:rFonts w:asciiTheme="minorHAnsi" w:hAnsiTheme="minorHAnsi" w:cstheme="minorHAnsi"/>
                <w:color w:val="000000"/>
                <w:kern w:val="24"/>
                <w:sz w:val="16"/>
                <w:szCs w:val="22"/>
                <w:lang w:eastAsia="en-IN"/>
              </w:rPr>
              <w:t>684.55</w:t>
            </w:r>
          </w:p>
        </w:tc>
        <w:tc>
          <w:tcPr>
            <w:tcW w:w="0" w:type="auto"/>
            <w:shd w:val="clear" w:color="auto" w:fill="F4E9E9"/>
            <w:tcMar>
              <w:top w:w="15" w:type="dxa"/>
              <w:left w:w="15" w:type="dxa"/>
              <w:bottom w:w="0" w:type="dxa"/>
              <w:right w:w="15" w:type="dxa"/>
            </w:tcMar>
            <w:vAlign w:val="center"/>
            <w:hideMark/>
          </w:tcPr>
          <w:p w14:paraId="41A725E7" w14:textId="77777777" w:rsidR="00BB6BFE" w:rsidRPr="00100C3D" w:rsidRDefault="00BB6BFE" w:rsidP="00236E38">
            <w:pPr>
              <w:spacing w:line="360" w:lineRule="auto"/>
              <w:jc w:val="center"/>
              <w:textAlignment w:val="center"/>
              <w:rPr>
                <w:rFonts w:asciiTheme="minorHAnsi" w:hAnsiTheme="minorHAnsi" w:cstheme="minorHAnsi"/>
                <w:sz w:val="16"/>
                <w:szCs w:val="22"/>
                <w:lang w:eastAsia="en-IN"/>
              </w:rPr>
            </w:pPr>
            <w:r w:rsidRPr="00100C3D">
              <w:rPr>
                <w:rFonts w:asciiTheme="minorHAnsi" w:hAnsiTheme="minorHAnsi" w:cstheme="minorHAnsi"/>
                <w:color w:val="000000"/>
                <w:kern w:val="24"/>
                <w:sz w:val="16"/>
                <w:szCs w:val="22"/>
                <w:lang w:eastAsia="en-IN"/>
              </w:rPr>
              <w:t>297819.3</w:t>
            </w:r>
          </w:p>
        </w:tc>
        <w:tc>
          <w:tcPr>
            <w:tcW w:w="0" w:type="auto"/>
            <w:shd w:val="clear" w:color="auto" w:fill="F4E9E9"/>
            <w:tcMar>
              <w:top w:w="15" w:type="dxa"/>
              <w:left w:w="15" w:type="dxa"/>
              <w:bottom w:w="0" w:type="dxa"/>
              <w:right w:w="15" w:type="dxa"/>
            </w:tcMar>
            <w:vAlign w:val="center"/>
            <w:hideMark/>
          </w:tcPr>
          <w:p w14:paraId="4465E23D" w14:textId="77777777" w:rsidR="00BB6BFE" w:rsidRPr="00100C3D" w:rsidRDefault="00BB6BFE" w:rsidP="00236E38">
            <w:pPr>
              <w:spacing w:line="360" w:lineRule="auto"/>
              <w:jc w:val="center"/>
              <w:textAlignment w:val="center"/>
              <w:rPr>
                <w:rFonts w:asciiTheme="minorHAnsi" w:hAnsiTheme="minorHAnsi" w:cstheme="minorHAnsi"/>
                <w:sz w:val="16"/>
                <w:szCs w:val="22"/>
                <w:lang w:eastAsia="en-IN"/>
              </w:rPr>
            </w:pPr>
            <w:r w:rsidRPr="00100C3D">
              <w:rPr>
                <w:rFonts w:asciiTheme="minorHAnsi" w:hAnsiTheme="minorHAnsi" w:cstheme="minorHAnsi"/>
                <w:color w:val="000000"/>
                <w:kern w:val="24"/>
                <w:sz w:val="16"/>
                <w:szCs w:val="22"/>
                <w:lang w:eastAsia="en-IN"/>
              </w:rPr>
              <w:t>1035.9</w:t>
            </w:r>
          </w:p>
        </w:tc>
        <w:tc>
          <w:tcPr>
            <w:tcW w:w="0" w:type="auto"/>
            <w:shd w:val="clear" w:color="auto" w:fill="F4E9E9"/>
            <w:tcMar>
              <w:top w:w="15" w:type="dxa"/>
              <w:left w:w="15" w:type="dxa"/>
              <w:bottom w:w="0" w:type="dxa"/>
              <w:right w:w="15" w:type="dxa"/>
            </w:tcMar>
            <w:vAlign w:val="center"/>
            <w:hideMark/>
          </w:tcPr>
          <w:p w14:paraId="13A51767" w14:textId="77777777" w:rsidR="00BB6BFE" w:rsidRPr="00100C3D" w:rsidRDefault="00BB6BFE" w:rsidP="00236E38">
            <w:pPr>
              <w:spacing w:line="360" w:lineRule="auto"/>
              <w:jc w:val="center"/>
              <w:textAlignment w:val="center"/>
              <w:rPr>
                <w:rFonts w:asciiTheme="minorHAnsi" w:hAnsiTheme="minorHAnsi" w:cstheme="minorHAnsi"/>
                <w:sz w:val="16"/>
                <w:szCs w:val="22"/>
                <w:lang w:eastAsia="en-IN"/>
              </w:rPr>
            </w:pPr>
            <w:r w:rsidRPr="00100C3D">
              <w:rPr>
                <w:rFonts w:asciiTheme="minorHAnsi" w:hAnsiTheme="minorHAnsi" w:cstheme="minorHAnsi"/>
                <w:color w:val="000000"/>
                <w:kern w:val="24"/>
                <w:sz w:val="16"/>
                <w:szCs w:val="22"/>
                <w:lang w:eastAsia="en-IN"/>
              </w:rPr>
              <w:t>27.21</w:t>
            </w:r>
          </w:p>
        </w:tc>
        <w:tc>
          <w:tcPr>
            <w:tcW w:w="0" w:type="auto"/>
            <w:shd w:val="clear" w:color="auto" w:fill="F4E9E9"/>
            <w:tcMar>
              <w:top w:w="15" w:type="dxa"/>
              <w:left w:w="15" w:type="dxa"/>
              <w:bottom w:w="0" w:type="dxa"/>
              <w:right w:w="15" w:type="dxa"/>
            </w:tcMar>
            <w:vAlign w:val="center"/>
            <w:hideMark/>
          </w:tcPr>
          <w:p w14:paraId="3F7F8AB5" w14:textId="77777777" w:rsidR="00BB6BFE" w:rsidRPr="00100C3D" w:rsidRDefault="00BB6BFE" w:rsidP="00236E38">
            <w:pPr>
              <w:spacing w:line="360" w:lineRule="auto"/>
              <w:jc w:val="center"/>
              <w:textAlignment w:val="center"/>
              <w:rPr>
                <w:rFonts w:asciiTheme="minorHAnsi" w:hAnsiTheme="minorHAnsi" w:cstheme="minorHAnsi"/>
                <w:sz w:val="16"/>
                <w:szCs w:val="22"/>
                <w:lang w:eastAsia="en-IN"/>
              </w:rPr>
            </w:pPr>
            <w:r w:rsidRPr="00100C3D">
              <w:rPr>
                <w:rFonts w:asciiTheme="minorHAnsi" w:hAnsiTheme="minorHAnsi" w:cstheme="minorHAnsi"/>
                <w:color w:val="000000"/>
                <w:kern w:val="24"/>
                <w:sz w:val="16"/>
                <w:szCs w:val="22"/>
                <w:lang w:eastAsia="en-IN"/>
              </w:rPr>
              <w:t>2.63</w:t>
            </w:r>
          </w:p>
        </w:tc>
      </w:tr>
      <w:tr w:rsidR="00BB6BFE" w:rsidRPr="00100C3D" w14:paraId="1B2299F8" w14:textId="77777777" w:rsidTr="00100C3D">
        <w:trPr>
          <w:trHeight w:val="349"/>
        </w:trPr>
        <w:tc>
          <w:tcPr>
            <w:tcW w:w="0" w:type="auto"/>
            <w:shd w:val="clear" w:color="auto" w:fill="E8D0D0"/>
            <w:tcMar>
              <w:top w:w="15" w:type="dxa"/>
              <w:left w:w="15" w:type="dxa"/>
              <w:bottom w:w="0" w:type="dxa"/>
              <w:right w:w="15" w:type="dxa"/>
            </w:tcMar>
            <w:vAlign w:val="center"/>
            <w:hideMark/>
          </w:tcPr>
          <w:p w14:paraId="60C431FA" w14:textId="77777777" w:rsidR="00BB6BFE" w:rsidRPr="00100C3D" w:rsidRDefault="00BB6BFE" w:rsidP="00236E38">
            <w:pPr>
              <w:spacing w:line="360" w:lineRule="auto"/>
              <w:jc w:val="center"/>
              <w:textAlignment w:val="center"/>
              <w:rPr>
                <w:rFonts w:asciiTheme="minorHAnsi" w:hAnsiTheme="minorHAnsi" w:cstheme="minorHAnsi"/>
                <w:sz w:val="16"/>
                <w:szCs w:val="22"/>
                <w:lang w:eastAsia="en-IN"/>
              </w:rPr>
            </w:pPr>
            <w:proofErr w:type="spellStart"/>
            <w:r w:rsidRPr="00100C3D">
              <w:rPr>
                <w:rFonts w:asciiTheme="minorHAnsi" w:hAnsiTheme="minorHAnsi" w:cstheme="minorHAnsi"/>
                <w:color w:val="000000"/>
                <w:kern w:val="24"/>
                <w:sz w:val="16"/>
                <w:szCs w:val="22"/>
                <w:lang w:eastAsia="en-IN"/>
              </w:rPr>
              <w:t>Baripada</w:t>
            </w:r>
            <w:proofErr w:type="spellEnd"/>
          </w:p>
        </w:tc>
        <w:tc>
          <w:tcPr>
            <w:tcW w:w="0" w:type="auto"/>
            <w:shd w:val="clear" w:color="auto" w:fill="E8D0D0"/>
            <w:tcMar>
              <w:top w:w="15" w:type="dxa"/>
              <w:left w:w="15" w:type="dxa"/>
              <w:bottom w:w="0" w:type="dxa"/>
              <w:right w:w="15" w:type="dxa"/>
            </w:tcMar>
            <w:vAlign w:val="center"/>
            <w:hideMark/>
          </w:tcPr>
          <w:p w14:paraId="61BE2BBE" w14:textId="77777777" w:rsidR="00BB6BFE" w:rsidRPr="00100C3D" w:rsidRDefault="00BB6BFE" w:rsidP="00236E38">
            <w:pPr>
              <w:spacing w:line="360" w:lineRule="auto"/>
              <w:jc w:val="center"/>
              <w:textAlignment w:val="center"/>
              <w:rPr>
                <w:rFonts w:asciiTheme="minorHAnsi" w:hAnsiTheme="minorHAnsi" w:cstheme="minorHAnsi"/>
                <w:sz w:val="16"/>
                <w:szCs w:val="22"/>
                <w:lang w:eastAsia="en-IN"/>
              </w:rPr>
            </w:pPr>
            <w:r w:rsidRPr="00100C3D">
              <w:rPr>
                <w:rFonts w:asciiTheme="minorHAnsi" w:hAnsiTheme="minorHAnsi" w:cstheme="minorHAnsi"/>
                <w:color w:val="000000"/>
                <w:kern w:val="24"/>
                <w:sz w:val="16"/>
                <w:szCs w:val="22"/>
                <w:lang w:eastAsia="en-IN"/>
              </w:rPr>
              <w:t>673.21</w:t>
            </w:r>
          </w:p>
        </w:tc>
        <w:tc>
          <w:tcPr>
            <w:tcW w:w="0" w:type="auto"/>
            <w:shd w:val="clear" w:color="auto" w:fill="E8D0D0"/>
            <w:tcMar>
              <w:top w:w="15" w:type="dxa"/>
              <w:left w:w="15" w:type="dxa"/>
              <w:bottom w:w="0" w:type="dxa"/>
              <w:right w:w="15" w:type="dxa"/>
            </w:tcMar>
            <w:vAlign w:val="center"/>
            <w:hideMark/>
          </w:tcPr>
          <w:p w14:paraId="57A115C1" w14:textId="77777777" w:rsidR="00BB6BFE" w:rsidRPr="00100C3D" w:rsidRDefault="00BB6BFE" w:rsidP="00236E38">
            <w:pPr>
              <w:spacing w:line="360" w:lineRule="auto"/>
              <w:jc w:val="center"/>
              <w:textAlignment w:val="center"/>
              <w:rPr>
                <w:rFonts w:asciiTheme="minorHAnsi" w:hAnsiTheme="minorHAnsi" w:cstheme="minorHAnsi"/>
                <w:sz w:val="16"/>
                <w:szCs w:val="22"/>
                <w:lang w:eastAsia="en-IN"/>
              </w:rPr>
            </w:pPr>
            <w:r w:rsidRPr="00100C3D">
              <w:rPr>
                <w:rFonts w:asciiTheme="minorHAnsi" w:hAnsiTheme="minorHAnsi" w:cstheme="minorHAnsi"/>
                <w:color w:val="000000"/>
                <w:kern w:val="24"/>
                <w:sz w:val="16"/>
                <w:szCs w:val="22"/>
                <w:lang w:eastAsia="en-IN"/>
              </w:rPr>
              <w:t>149707.11</w:t>
            </w:r>
          </w:p>
        </w:tc>
        <w:tc>
          <w:tcPr>
            <w:tcW w:w="0" w:type="auto"/>
            <w:shd w:val="clear" w:color="auto" w:fill="E8D0D0"/>
            <w:tcMar>
              <w:top w:w="15" w:type="dxa"/>
              <w:left w:w="15" w:type="dxa"/>
              <w:bottom w:w="0" w:type="dxa"/>
              <w:right w:w="15" w:type="dxa"/>
            </w:tcMar>
            <w:vAlign w:val="center"/>
            <w:hideMark/>
          </w:tcPr>
          <w:p w14:paraId="59CC5F02" w14:textId="77777777" w:rsidR="00BB6BFE" w:rsidRPr="00100C3D" w:rsidRDefault="00BB6BFE" w:rsidP="00236E38">
            <w:pPr>
              <w:spacing w:line="360" w:lineRule="auto"/>
              <w:jc w:val="center"/>
              <w:textAlignment w:val="center"/>
              <w:rPr>
                <w:rFonts w:asciiTheme="minorHAnsi" w:hAnsiTheme="minorHAnsi" w:cstheme="minorHAnsi"/>
                <w:sz w:val="16"/>
                <w:szCs w:val="22"/>
                <w:lang w:eastAsia="en-IN"/>
              </w:rPr>
            </w:pPr>
            <w:r w:rsidRPr="00100C3D">
              <w:rPr>
                <w:rFonts w:asciiTheme="minorHAnsi" w:hAnsiTheme="minorHAnsi" w:cstheme="minorHAnsi"/>
                <w:color w:val="000000"/>
                <w:kern w:val="24"/>
                <w:sz w:val="16"/>
                <w:szCs w:val="22"/>
                <w:lang w:eastAsia="en-IN"/>
              </w:rPr>
              <w:t>652.56</w:t>
            </w:r>
          </w:p>
        </w:tc>
        <w:tc>
          <w:tcPr>
            <w:tcW w:w="0" w:type="auto"/>
            <w:shd w:val="clear" w:color="auto" w:fill="E8D0D0"/>
            <w:tcMar>
              <w:top w:w="15" w:type="dxa"/>
              <w:left w:w="15" w:type="dxa"/>
              <w:bottom w:w="0" w:type="dxa"/>
              <w:right w:w="15" w:type="dxa"/>
            </w:tcMar>
            <w:vAlign w:val="center"/>
            <w:hideMark/>
          </w:tcPr>
          <w:p w14:paraId="1065BE06" w14:textId="77777777" w:rsidR="00BB6BFE" w:rsidRPr="00100C3D" w:rsidRDefault="00BB6BFE" w:rsidP="00236E38">
            <w:pPr>
              <w:spacing w:line="360" w:lineRule="auto"/>
              <w:jc w:val="center"/>
              <w:textAlignment w:val="center"/>
              <w:rPr>
                <w:rFonts w:asciiTheme="minorHAnsi" w:hAnsiTheme="minorHAnsi" w:cstheme="minorHAnsi"/>
                <w:sz w:val="16"/>
                <w:szCs w:val="22"/>
                <w:lang w:eastAsia="en-IN"/>
              </w:rPr>
            </w:pPr>
            <w:r w:rsidRPr="00100C3D">
              <w:rPr>
                <w:rFonts w:asciiTheme="minorHAnsi" w:hAnsiTheme="minorHAnsi" w:cstheme="minorHAnsi"/>
                <w:color w:val="000000"/>
                <w:kern w:val="24"/>
                <w:sz w:val="16"/>
                <w:szCs w:val="22"/>
                <w:lang w:eastAsia="en-IN"/>
              </w:rPr>
              <w:t>29.32</w:t>
            </w:r>
          </w:p>
        </w:tc>
        <w:tc>
          <w:tcPr>
            <w:tcW w:w="0" w:type="auto"/>
            <w:shd w:val="clear" w:color="auto" w:fill="E8D0D0"/>
            <w:tcMar>
              <w:top w:w="15" w:type="dxa"/>
              <w:left w:w="15" w:type="dxa"/>
              <w:bottom w:w="0" w:type="dxa"/>
              <w:right w:w="15" w:type="dxa"/>
            </w:tcMar>
            <w:vAlign w:val="center"/>
            <w:hideMark/>
          </w:tcPr>
          <w:p w14:paraId="2A37AE0B" w14:textId="77777777" w:rsidR="00BB6BFE" w:rsidRPr="00100C3D" w:rsidRDefault="00BB6BFE" w:rsidP="00236E38">
            <w:pPr>
              <w:spacing w:line="360" w:lineRule="auto"/>
              <w:jc w:val="center"/>
              <w:textAlignment w:val="center"/>
              <w:rPr>
                <w:rFonts w:asciiTheme="minorHAnsi" w:hAnsiTheme="minorHAnsi" w:cstheme="minorHAnsi"/>
                <w:sz w:val="16"/>
                <w:szCs w:val="22"/>
                <w:lang w:eastAsia="en-IN"/>
              </w:rPr>
            </w:pPr>
            <w:r w:rsidRPr="00100C3D">
              <w:rPr>
                <w:rFonts w:asciiTheme="minorHAnsi" w:hAnsiTheme="minorHAnsi" w:cstheme="minorHAnsi"/>
                <w:color w:val="000000"/>
                <w:kern w:val="24"/>
                <w:sz w:val="16"/>
                <w:szCs w:val="22"/>
                <w:lang w:eastAsia="en-IN"/>
              </w:rPr>
              <w:t>4.49</w:t>
            </w:r>
          </w:p>
        </w:tc>
        <w:tc>
          <w:tcPr>
            <w:tcW w:w="0" w:type="auto"/>
            <w:shd w:val="clear" w:color="auto" w:fill="auto"/>
            <w:tcMar>
              <w:top w:w="15" w:type="dxa"/>
              <w:left w:w="15" w:type="dxa"/>
              <w:bottom w:w="0" w:type="dxa"/>
              <w:right w:w="15" w:type="dxa"/>
            </w:tcMar>
            <w:vAlign w:val="center"/>
            <w:hideMark/>
          </w:tcPr>
          <w:p w14:paraId="351CA8E0" w14:textId="77777777" w:rsidR="00BB6BFE" w:rsidRPr="00100C3D" w:rsidRDefault="00BB6BFE" w:rsidP="00236E38">
            <w:pPr>
              <w:spacing w:line="360" w:lineRule="auto"/>
              <w:jc w:val="center"/>
              <w:textAlignment w:val="center"/>
              <w:rPr>
                <w:rFonts w:asciiTheme="minorHAnsi" w:hAnsiTheme="minorHAnsi" w:cstheme="minorHAnsi"/>
                <w:sz w:val="16"/>
                <w:szCs w:val="22"/>
                <w:lang w:eastAsia="en-IN"/>
              </w:rPr>
            </w:pPr>
            <w:r w:rsidRPr="00100C3D">
              <w:rPr>
                <w:rFonts w:asciiTheme="minorHAnsi" w:hAnsiTheme="minorHAnsi" w:cstheme="minorHAnsi"/>
                <w:color w:val="000000"/>
                <w:kern w:val="24"/>
                <w:sz w:val="16"/>
                <w:szCs w:val="22"/>
                <w:lang w:eastAsia="en-IN"/>
              </w:rPr>
              <w:t> </w:t>
            </w:r>
          </w:p>
        </w:tc>
        <w:tc>
          <w:tcPr>
            <w:tcW w:w="0" w:type="auto"/>
            <w:shd w:val="clear" w:color="auto" w:fill="E8D0D0"/>
            <w:tcMar>
              <w:top w:w="15" w:type="dxa"/>
              <w:left w:w="15" w:type="dxa"/>
              <w:bottom w:w="0" w:type="dxa"/>
              <w:right w:w="15" w:type="dxa"/>
            </w:tcMar>
            <w:vAlign w:val="center"/>
            <w:hideMark/>
          </w:tcPr>
          <w:p w14:paraId="27875ACA" w14:textId="77777777" w:rsidR="00BB6BFE" w:rsidRPr="00100C3D" w:rsidRDefault="00BB6BFE" w:rsidP="00236E38">
            <w:pPr>
              <w:spacing w:line="360" w:lineRule="auto"/>
              <w:jc w:val="center"/>
              <w:textAlignment w:val="center"/>
              <w:rPr>
                <w:rFonts w:asciiTheme="minorHAnsi" w:hAnsiTheme="minorHAnsi" w:cstheme="minorHAnsi"/>
                <w:sz w:val="16"/>
                <w:szCs w:val="22"/>
                <w:lang w:eastAsia="en-IN"/>
              </w:rPr>
            </w:pPr>
            <w:r w:rsidRPr="00100C3D">
              <w:rPr>
                <w:rFonts w:asciiTheme="minorHAnsi" w:hAnsiTheme="minorHAnsi" w:cstheme="minorHAnsi"/>
                <w:color w:val="000000"/>
                <w:kern w:val="24"/>
                <w:sz w:val="16"/>
                <w:szCs w:val="22"/>
                <w:lang w:eastAsia="en-IN"/>
              </w:rPr>
              <w:t>696</w:t>
            </w:r>
          </w:p>
        </w:tc>
        <w:tc>
          <w:tcPr>
            <w:tcW w:w="0" w:type="auto"/>
            <w:shd w:val="clear" w:color="auto" w:fill="E8D0D0"/>
            <w:tcMar>
              <w:top w:w="15" w:type="dxa"/>
              <w:left w:w="15" w:type="dxa"/>
              <w:bottom w:w="0" w:type="dxa"/>
              <w:right w:w="15" w:type="dxa"/>
            </w:tcMar>
            <w:vAlign w:val="center"/>
            <w:hideMark/>
          </w:tcPr>
          <w:p w14:paraId="0EB2C0D1" w14:textId="77777777" w:rsidR="00BB6BFE" w:rsidRPr="00100C3D" w:rsidRDefault="00BB6BFE" w:rsidP="00236E38">
            <w:pPr>
              <w:spacing w:line="360" w:lineRule="auto"/>
              <w:jc w:val="center"/>
              <w:textAlignment w:val="center"/>
              <w:rPr>
                <w:rFonts w:asciiTheme="minorHAnsi" w:hAnsiTheme="minorHAnsi" w:cstheme="minorHAnsi"/>
                <w:sz w:val="16"/>
                <w:szCs w:val="22"/>
                <w:lang w:eastAsia="en-IN"/>
              </w:rPr>
            </w:pPr>
            <w:r w:rsidRPr="00100C3D">
              <w:rPr>
                <w:rFonts w:asciiTheme="minorHAnsi" w:hAnsiTheme="minorHAnsi" w:cstheme="minorHAnsi"/>
                <w:color w:val="000000"/>
                <w:kern w:val="24"/>
                <w:sz w:val="16"/>
                <w:szCs w:val="22"/>
                <w:lang w:eastAsia="en-IN"/>
              </w:rPr>
              <w:t>150113.27</w:t>
            </w:r>
          </w:p>
        </w:tc>
        <w:tc>
          <w:tcPr>
            <w:tcW w:w="0" w:type="auto"/>
            <w:shd w:val="clear" w:color="auto" w:fill="E8D0D0"/>
            <w:tcMar>
              <w:top w:w="15" w:type="dxa"/>
              <w:left w:w="15" w:type="dxa"/>
              <w:bottom w:w="0" w:type="dxa"/>
              <w:right w:w="15" w:type="dxa"/>
            </w:tcMar>
            <w:vAlign w:val="center"/>
            <w:hideMark/>
          </w:tcPr>
          <w:p w14:paraId="7A9BC5B3" w14:textId="77777777" w:rsidR="00BB6BFE" w:rsidRPr="00100C3D" w:rsidRDefault="00BB6BFE" w:rsidP="00236E38">
            <w:pPr>
              <w:spacing w:line="360" w:lineRule="auto"/>
              <w:jc w:val="center"/>
              <w:textAlignment w:val="center"/>
              <w:rPr>
                <w:rFonts w:asciiTheme="minorHAnsi" w:hAnsiTheme="minorHAnsi" w:cstheme="minorHAnsi"/>
                <w:sz w:val="16"/>
                <w:szCs w:val="22"/>
                <w:lang w:eastAsia="en-IN"/>
              </w:rPr>
            </w:pPr>
            <w:r w:rsidRPr="00100C3D">
              <w:rPr>
                <w:rFonts w:asciiTheme="minorHAnsi" w:hAnsiTheme="minorHAnsi" w:cstheme="minorHAnsi"/>
                <w:color w:val="000000"/>
                <w:kern w:val="24"/>
                <w:sz w:val="16"/>
                <w:szCs w:val="22"/>
                <w:lang w:eastAsia="en-IN"/>
              </w:rPr>
              <w:t>657.63</w:t>
            </w:r>
          </w:p>
        </w:tc>
        <w:tc>
          <w:tcPr>
            <w:tcW w:w="0" w:type="auto"/>
            <w:shd w:val="clear" w:color="auto" w:fill="E8D0D0"/>
            <w:tcMar>
              <w:top w:w="15" w:type="dxa"/>
              <w:left w:w="15" w:type="dxa"/>
              <w:bottom w:w="0" w:type="dxa"/>
              <w:right w:w="15" w:type="dxa"/>
            </w:tcMar>
            <w:vAlign w:val="center"/>
            <w:hideMark/>
          </w:tcPr>
          <w:p w14:paraId="44FC5193" w14:textId="77777777" w:rsidR="00BB6BFE" w:rsidRPr="00100C3D" w:rsidRDefault="00BB6BFE" w:rsidP="00236E38">
            <w:pPr>
              <w:spacing w:line="360" w:lineRule="auto"/>
              <w:jc w:val="center"/>
              <w:textAlignment w:val="center"/>
              <w:rPr>
                <w:rFonts w:asciiTheme="minorHAnsi" w:hAnsiTheme="minorHAnsi" w:cstheme="minorHAnsi"/>
                <w:sz w:val="16"/>
                <w:szCs w:val="22"/>
                <w:lang w:eastAsia="en-IN"/>
              </w:rPr>
            </w:pPr>
            <w:r w:rsidRPr="00100C3D">
              <w:rPr>
                <w:rFonts w:asciiTheme="minorHAnsi" w:hAnsiTheme="minorHAnsi" w:cstheme="minorHAnsi"/>
                <w:color w:val="000000"/>
                <w:kern w:val="24"/>
                <w:sz w:val="16"/>
                <w:szCs w:val="22"/>
                <w:lang w:eastAsia="en-IN"/>
              </w:rPr>
              <w:t>26.98</w:t>
            </w:r>
          </w:p>
        </w:tc>
        <w:tc>
          <w:tcPr>
            <w:tcW w:w="0" w:type="auto"/>
            <w:shd w:val="clear" w:color="auto" w:fill="E8D0D0"/>
            <w:tcMar>
              <w:top w:w="15" w:type="dxa"/>
              <w:left w:w="15" w:type="dxa"/>
              <w:bottom w:w="0" w:type="dxa"/>
              <w:right w:w="15" w:type="dxa"/>
            </w:tcMar>
            <w:vAlign w:val="center"/>
            <w:hideMark/>
          </w:tcPr>
          <w:p w14:paraId="1ED23D76" w14:textId="77777777" w:rsidR="00BB6BFE" w:rsidRPr="00100C3D" w:rsidRDefault="00BB6BFE" w:rsidP="00236E38">
            <w:pPr>
              <w:spacing w:line="360" w:lineRule="auto"/>
              <w:jc w:val="center"/>
              <w:textAlignment w:val="center"/>
              <w:rPr>
                <w:rFonts w:asciiTheme="minorHAnsi" w:hAnsiTheme="minorHAnsi" w:cstheme="minorHAnsi"/>
                <w:sz w:val="16"/>
                <w:szCs w:val="22"/>
                <w:lang w:eastAsia="en-IN"/>
              </w:rPr>
            </w:pPr>
            <w:r w:rsidRPr="00100C3D">
              <w:rPr>
                <w:rFonts w:asciiTheme="minorHAnsi" w:hAnsiTheme="minorHAnsi" w:cstheme="minorHAnsi"/>
                <w:color w:val="000000"/>
                <w:kern w:val="24"/>
                <w:sz w:val="16"/>
                <w:szCs w:val="22"/>
                <w:lang w:eastAsia="en-IN"/>
              </w:rPr>
              <w:t>4.1</w:t>
            </w:r>
          </w:p>
        </w:tc>
        <w:tc>
          <w:tcPr>
            <w:tcW w:w="0" w:type="auto"/>
            <w:shd w:val="clear" w:color="auto" w:fill="auto"/>
            <w:tcMar>
              <w:top w:w="15" w:type="dxa"/>
              <w:left w:w="15" w:type="dxa"/>
              <w:bottom w:w="0" w:type="dxa"/>
              <w:right w:w="15" w:type="dxa"/>
            </w:tcMar>
            <w:vAlign w:val="center"/>
            <w:hideMark/>
          </w:tcPr>
          <w:p w14:paraId="028C8F2B" w14:textId="77777777" w:rsidR="00BB6BFE" w:rsidRPr="00100C3D" w:rsidRDefault="00BB6BFE" w:rsidP="00236E38">
            <w:pPr>
              <w:spacing w:line="360" w:lineRule="auto"/>
              <w:jc w:val="center"/>
              <w:textAlignment w:val="center"/>
              <w:rPr>
                <w:rFonts w:asciiTheme="minorHAnsi" w:hAnsiTheme="minorHAnsi" w:cstheme="minorHAnsi"/>
                <w:sz w:val="16"/>
                <w:szCs w:val="22"/>
                <w:lang w:eastAsia="en-IN"/>
              </w:rPr>
            </w:pPr>
            <w:r w:rsidRPr="00100C3D">
              <w:rPr>
                <w:rFonts w:asciiTheme="minorHAnsi" w:hAnsiTheme="minorHAnsi" w:cstheme="minorHAnsi"/>
                <w:color w:val="000000"/>
                <w:kern w:val="24"/>
                <w:sz w:val="16"/>
                <w:szCs w:val="22"/>
                <w:lang w:eastAsia="en-IN"/>
              </w:rPr>
              <w:t> </w:t>
            </w:r>
          </w:p>
        </w:tc>
        <w:tc>
          <w:tcPr>
            <w:tcW w:w="0" w:type="auto"/>
            <w:shd w:val="clear" w:color="auto" w:fill="E8D0D0"/>
            <w:tcMar>
              <w:top w:w="15" w:type="dxa"/>
              <w:left w:w="15" w:type="dxa"/>
              <w:bottom w:w="0" w:type="dxa"/>
              <w:right w:w="15" w:type="dxa"/>
            </w:tcMar>
            <w:vAlign w:val="center"/>
            <w:hideMark/>
          </w:tcPr>
          <w:p w14:paraId="655D1A0B" w14:textId="77777777" w:rsidR="00BB6BFE" w:rsidRPr="00100C3D" w:rsidRDefault="00BB6BFE" w:rsidP="00236E38">
            <w:pPr>
              <w:spacing w:line="360" w:lineRule="auto"/>
              <w:jc w:val="center"/>
              <w:textAlignment w:val="center"/>
              <w:rPr>
                <w:rFonts w:asciiTheme="minorHAnsi" w:hAnsiTheme="minorHAnsi" w:cstheme="minorHAnsi"/>
                <w:sz w:val="16"/>
                <w:szCs w:val="22"/>
                <w:lang w:eastAsia="en-IN"/>
              </w:rPr>
            </w:pPr>
            <w:r w:rsidRPr="00100C3D">
              <w:rPr>
                <w:rFonts w:asciiTheme="minorHAnsi" w:hAnsiTheme="minorHAnsi" w:cstheme="minorHAnsi"/>
                <w:color w:val="000000"/>
                <w:kern w:val="24"/>
                <w:sz w:val="16"/>
                <w:szCs w:val="22"/>
                <w:lang w:eastAsia="en-IN"/>
              </w:rPr>
              <w:t>717.32</w:t>
            </w:r>
          </w:p>
        </w:tc>
        <w:tc>
          <w:tcPr>
            <w:tcW w:w="0" w:type="auto"/>
            <w:shd w:val="clear" w:color="auto" w:fill="E8D0D0"/>
            <w:tcMar>
              <w:top w:w="15" w:type="dxa"/>
              <w:left w:w="15" w:type="dxa"/>
              <w:bottom w:w="0" w:type="dxa"/>
              <w:right w:w="15" w:type="dxa"/>
            </w:tcMar>
            <w:vAlign w:val="center"/>
            <w:hideMark/>
          </w:tcPr>
          <w:p w14:paraId="3FBD0565" w14:textId="77777777" w:rsidR="00BB6BFE" w:rsidRPr="00100C3D" w:rsidRDefault="00BB6BFE" w:rsidP="00236E38">
            <w:pPr>
              <w:spacing w:line="360" w:lineRule="auto"/>
              <w:jc w:val="center"/>
              <w:textAlignment w:val="center"/>
              <w:rPr>
                <w:rFonts w:asciiTheme="minorHAnsi" w:hAnsiTheme="minorHAnsi" w:cstheme="minorHAnsi"/>
                <w:sz w:val="16"/>
                <w:szCs w:val="22"/>
                <w:lang w:eastAsia="en-IN"/>
              </w:rPr>
            </w:pPr>
            <w:r w:rsidRPr="00100C3D">
              <w:rPr>
                <w:rFonts w:asciiTheme="minorHAnsi" w:hAnsiTheme="minorHAnsi" w:cstheme="minorHAnsi"/>
                <w:color w:val="000000"/>
                <w:kern w:val="24"/>
                <w:sz w:val="16"/>
                <w:szCs w:val="22"/>
                <w:lang w:eastAsia="en-IN"/>
              </w:rPr>
              <w:t>155342.3</w:t>
            </w:r>
          </w:p>
        </w:tc>
        <w:tc>
          <w:tcPr>
            <w:tcW w:w="0" w:type="auto"/>
            <w:shd w:val="clear" w:color="auto" w:fill="E8D0D0"/>
            <w:tcMar>
              <w:top w:w="15" w:type="dxa"/>
              <w:left w:w="15" w:type="dxa"/>
              <w:bottom w:w="0" w:type="dxa"/>
              <w:right w:w="15" w:type="dxa"/>
            </w:tcMar>
            <w:vAlign w:val="center"/>
            <w:hideMark/>
          </w:tcPr>
          <w:p w14:paraId="5184C5AA" w14:textId="77777777" w:rsidR="00BB6BFE" w:rsidRPr="00100C3D" w:rsidRDefault="00BB6BFE" w:rsidP="00236E38">
            <w:pPr>
              <w:spacing w:line="360" w:lineRule="auto"/>
              <w:jc w:val="center"/>
              <w:textAlignment w:val="center"/>
              <w:rPr>
                <w:rFonts w:asciiTheme="minorHAnsi" w:hAnsiTheme="minorHAnsi" w:cstheme="minorHAnsi"/>
                <w:sz w:val="16"/>
                <w:szCs w:val="22"/>
                <w:lang w:eastAsia="en-IN"/>
              </w:rPr>
            </w:pPr>
            <w:r w:rsidRPr="00100C3D">
              <w:rPr>
                <w:rFonts w:asciiTheme="minorHAnsi" w:hAnsiTheme="minorHAnsi" w:cstheme="minorHAnsi"/>
                <w:color w:val="000000"/>
                <w:kern w:val="24"/>
                <w:sz w:val="16"/>
                <w:szCs w:val="22"/>
                <w:lang w:eastAsia="en-IN"/>
              </w:rPr>
              <w:t>665.08</w:t>
            </w:r>
          </w:p>
        </w:tc>
        <w:tc>
          <w:tcPr>
            <w:tcW w:w="0" w:type="auto"/>
            <w:shd w:val="clear" w:color="auto" w:fill="E8D0D0"/>
            <w:tcMar>
              <w:top w:w="15" w:type="dxa"/>
              <w:left w:w="15" w:type="dxa"/>
              <w:bottom w:w="0" w:type="dxa"/>
              <w:right w:w="15" w:type="dxa"/>
            </w:tcMar>
            <w:vAlign w:val="center"/>
            <w:hideMark/>
          </w:tcPr>
          <w:p w14:paraId="6D9FD9A8" w14:textId="77777777" w:rsidR="00BB6BFE" w:rsidRPr="00100C3D" w:rsidRDefault="00BB6BFE" w:rsidP="00236E38">
            <w:pPr>
              <w:spacing w:line="360" w:lineRule="auto"/>
              <w:jc w:val="center"/>
              <w:textAlignment w:val="center"/>
              <w:rPr>
                <w:rFonts w:asciiTheme="minorHAnsi" w:hAnsiTheme="minorHAnsi" w:cstheme="minorHAnsi"/>
                <w:sz w:val="16"/>
                <w:szCs w:val="22"/>
                <w:lang w:eastAsia="en-IN"/>
              </w:rPr>
            </w:pPr>
            <w:r w:rsidRPr="00100C3D">
              <w:rPr>
                <w:rFonts w:asciiTheme="minorHAnsi" w:hAnsiTheme="minorHAnsi" w:cstheme="minorHAnsi"/>
                <w:color w:val="000000"/>
                <w:kern w:val="24"/>
                <w:sz w:val="16"/>
                <w:szCs w:val="22"/>
                <w:lang w:eastAsia="en-IN"/>
              </w:rPr>
              <w:t>24.7</w:t>
            </w:r>
          </w:p>
        </w:tc>
        <w:tc>
          <w:tcPr>
            <w:tcW w:w="0" w:type="auto"/>
            <w:shd w:val="clear" w:color="auto" w:fill="E8D0D0"/>
            <w:tcMar>
              <w:top w:w="15" w:type="dxa"/>
              <w:left w:w="15" w:type="dxa"/>
              <w:bottom w:w="0" w:type="dxa"/>
              <w:right w:w="15" w:type="dxa"/>
            </w:tcMar>
            <w:vAlign w:val="center"/>
            <w:hideMark/>
          </w:tcPr>
          <w:p w14:paraId="286DE623" w14:textId="77777777" w:rsidR="00BB6BFE" w:rsidRPr="00100C3D" w:rsidRDefault="00BB6BFE" w:rsidP="00236E38">
            <w:pPr>
              <w:spacing w:line="360" w:lineRule="auto"/>
              <w:jc w:val="center"/>
              <w:textAlignment w:val="center"/>
              <w:rPr>
                <w:rFonts w:asciiTheme="minorHAnsi" w:hAnsiTheme="minorHAnsi" w:cstheme="minorHAnsi"/>
                <w:sz w:val="16"/>
                <w:szCs w:val="22"/>
                <w:lang w:eastAsia="en-IN"/>
              </w:rPr>
            </w:pPr>
            <w:r w:rsidRPr="00100C3D">
              <w:rPr>
                <w:rFonts w:asciiTheme="minorHAnsi" w:hAnsiTheme="minorHAnsi" w:cstheme="minorHAnsi"/>
                <w:color w:val="000000"/>
                <w:kern w:val="24"/>
                <w:sz w:val="16"/>
                <w:szCs w:val="22"/>
                <w:lang w:eastAsia="en-IN"/>
              </w:rPr>
              <w:t>3.7</w:t>
            </w:r>
          </w:p>
        </w:tc>
      </w:tr>
      <w:tr w:rsidR="00BB6BFE" w:rsidRPr="00100C3D" w14:paraId="2AF5DB7D" w14:textId="77777777" w:rsidTr="00100C3D">
        <w:trPr>
          <w:trHeight w:val="222"/>
        </w:trPr>
        <w:tc>
          <w:tcPr>
            <w:tcW w:w="0" w:type="auto"/>
            <w:shd w:val="clear" w:color="auto" w:fill="F4E9E9"/>
            <w:tcMar>
              <w:top w:w="15" w:type="dxa"/>
              <w:left w:w="15" w:type="dxa"/>
              <w:bottom w:w="0" w:type="dxa"/>
              <w:right w:w="15" w:type="dxa"/>
            </w:tcMar>
            <w:vAlign w:val="center"/>
            <w:hideMark/>
          </w:tcPr>
          <w:p w14:paraId="19797CFD" w14:textId="77777777" w:rsidR="00BB6BFE" w:rsidRPr="00100C3D" w:rsidRDefault="00BB6BFE" w:rsidP="00236E38">
            <w:pPr>
              <w:spacing w:line="360" w:lineRule="auto"/>
              <w:jc w:val="center"/>
              <w:textAlignment w:val="center"/>
              <w:rPr>
                <w:rFonts w:asciiTheme="minorHAnsi" w:hAnsiTheme="minorHAnsi" w:cstheme="minorHAnsi"/>
                <w:sz w:val="16"/>
                <w:szCs w:val="22"/>
                <w:lang w:eastAsia="en-IN"/>
              </w:rPr>
            </w:pPr>
            <w:proofErr w:type="spellStart"/>
            <w:r w:rsidRPr="00100C3D">
              <w:rPr>
                <w:rFonts w:asciiTheme="minorHAnsi" w:hAnsiTheme="minorHAnsi" w:cstheme="minorHAnsi"/>
                <w:color w:val="000000"/>
                <w:kern w:val="24"/>
                <w:sz w:val="16"/>
                <w:szCs w:val="22"/>
                <w:lang w:eastAsia="en-IN"/>
              </w:rPr>
              <w:t>Bhadrak</w:t>
            </w:r>
            <w:proofErr w:type="spellEnd"/>
          </w:p>
        </w:tc>
        <w:tc>
          <w:tcPr>
            <w:tcW w:w="0" w:type="auto"/>
            <w:shd w:val="clear" w:color="auto" w:fill="F4E9E9"/>
            <w:tcMar>
              <w:top w:w="15" w:type="dxa"/>
              <w:left w:w="15" w:type="dxa"/>
              <w:bottom w:w="0" w:type="dxa"/>
              <w:right w:w="15" w:type="dxa"/>
            </w:tcMar>
            <w:vAlign w:val="center"/>
            <w:hideMark/>
          </w:tcPr>
          <w:p w14:paraId="64BCAABC" w14:textId="77777777" w:rsidR="00BB6BFE" w:rsidRPr="00100C3D" w:rsidRDefault="00BB6BFE" w:rsidP="00236E38">
            <w:pPr>
              <w:spacing w:line="360" w:lineRule="auto"/>
              <w:jc w:val="center"/>
              <w:textAlignment w:val="center"/>
              <w:rPr>
                <w:rFonts w:asciiTheme="minorHAnsi" w:hAnsiTheme="minorHAnsi" w:cstheme="minorHAnsi"/>
                <w:sz w:val="16"/>
                <w:szCs w:val="22"/>
                <w:lang w:eastAsia="en-IN"/>
              </w:rPr>
            </w:pPr>
            <w:r w:rsidRPr="00100C3D">
              <w:rPr>
                <w:rFonts w:asciiTheme="minorHAnsi" w:hAnsiTheme="minorHAnsi" w:cstheme="minorHAnsi"/>
                <w:color w:val="000000"/>
                <w:kern w:val="24"/>
                <w:sz w:val="16"/>
                <w:szCs w:val="22"/>
                <w:lang w:eastAsia="en-IN"/>
              </w:rPr>
              <w:t>368</w:t>
            </w:r>
          </w:p>
        </w:tc>
        <w:tc>
          <w:tcPr>
            <w:tcW w:w="0" w:type="auto"/>
            <w:shd w:val="clear" w:color="auto" w:fill="F4E9E9"/>
            <w:tcMar>
              <w:top w:w="15" w:type="dxa"/>
              <w:left w:w="15" w:type="dxa"/>
              <w:bottom w:w="0" w:type="dxa"/>
              <w:right w:w="15" w:type="dxa"/>
            </w:tcMar>
            <w:vAlign w:val="center"/>
            <w:hideMark/>
          </w:tcPr>
          <w:p w14:paraId="34EECA4F" w14:textId="77777777" w:rsidR="00BB6BFE" w:rsidRPr="00100C3D" w:rsidRDefault="00BB6BFE" w:rsidP="00236E38">
            <w:pPr>
              <w:spacing w:line="360" w:lineRule="auto"/>
              <w:jc w:val="center"/>
              <w:textAlignment w:val="center"/>
              <w:rPr>
                <w:rFonts w:asciiTheme="minorHAnsi" w:hAnsiTheme="minorHAnsi" w:cstheme="minorHAnsi"/>
                <w:sz w:val="16"/>
                <w:szCs w:val="22"/>
                <w:lang w:eastAsia="en-IN"/>
              </w:rPr>
            </w:pPr>
            <w:r w:rsidRPr="00100C3D">
              <w:rPr>
                <w:rFonts w:asciiTheme="minorHAnsi" w:hAnsiTheme="minorHAnsi" w:cstheme="minorHAnsi"/>
                <w:color w:val="000000"/>
                <w:kern w:val="24"/>
                <w:sz w:val="16"/>
                <w:szCs w:val="22"/>
                <w:lang w:eastAsia="en-IN"/>
              </w:rPr>
              <w:t>126398.4</w:t>
            </w:r>
          </w:p>
        </w:tc>
        <w:tc>
          <w:tcPr>
            <w:tcW w:w="0" w:type="auto"/>
            <w:shd w:val="clear" w:color="auto" w:fill="F4E9E9"/>
            <w:tcMar>
              <w:top w:w="15" w:type="dxa"/>
              <w:left w:w="15" w:type="dxa"/>
              <w:bottom w:w="0" w:type="dxa"/>
              <w:right w:w="15" w:type="dxa"/>
            </w:tcMar>
            <w:vAlign w:val="center"/>
            <w:hideMark/>
          </w:tcPr>
          <w:p w14:paraId="47D414A3" w14:textId="77777777" w:rsidR="00BB6BFE" w:rsidRPr="00100C3D" w:rsidRDefault="00BB6BFE" w:rsidP="00236E38">
            <w:pPr>
              <w:spacing w:line="360" w:lineRule="auto"/>
              <w:jc w:val="center"/>
              <w:textAlignment w:val="center"/>
              <w:rPr>
                <w:rFonts w:asciiTheme="minorHAnsi" w:hAnsiTheme="minorHAnsi" w:cstheme="minorHAnsi"/>
                <w:sz w:val="16"/>
                <w:szCs w:val="22"/>
                <w:lang w:eastAsia="en-IN"/>
              </w:rPr>
            </w:pPr>
            <w:r w:rsidRPr="00100C3D">
              <w:rPr>
                <w:rFonts w:asciiTheme="minorHAnsi" w:hAnsiTheme="minorHAnsi" w:cstheme="minorHAnsi"/>
                <w:color w:val="000000"/>
                <w:kern w:val="24"/>
                <w:sz w:val="16"/>
                <w:szCs w:val="22"/>
                <w:lang w:eastAsia="en-IN"/>
              </w:rPr>
              <w:t>584.64</w:t>
            </w:r>
          </w:p>
        </w:tc>
        <w:tc>
          <w:tcPr>
            <w:tcW w:w="0" w:type="auto"/>
            <w:shd w:val="clear" w:color="auto" w:fill="F4E9E9"/>
            <w:tcMar>
              <w:top w:w="15" w:type="dxa"/>
              <w:left w:w="15" w:type="dxa"/>
              <w:bottom w:w="0" w:type="dxa"/>
              <w:right w:w="15" w:type="dxa"/>
            </w:tcMar>
            <w:vAlign w:val="center"/>
            <w:hideMark/>
          </w:tcPr>
          <w:p w14:paraId="2E28862F" w14:textId="77777777" w:rsidR="00BB6BFE" w:rsidRPr="00100C3D" w:rsidRDefault="00BB6BFE" w:rsidP="00236E38">
            <w:pPr>
              <w:spacing w:line="360" w:lineRule="auto"/>
              <w:jc w:val="center"/>
              <w:textAlignment w:val="center"/>
              <w:rPr>
                <w:rFonts w:asciiTheme="minorHAnsi" w:hAnsiTheme="minorHAnsi" w:cstheme="minorHAnsi"/>
                <w:sz w:val="16"/>
                <w:szCs w:val="22"/>
                <w:lang w:eastAsia="en-IN"/>
              </w:rPr>
            </w:pPr>
            <w:r w:rsidRPr="00100C3D">
              <w:rPr>
                <w:rFonts w:asciiTheme="minorHAnsi" w:hAnsiTheme="minorHAnsi" w:cstheme="minorHAnsi"/>
                <w:color w:val="000000"/>
                <w:kern w:val="24"/>
                <w:sz w:val="16"/>
                <w:szCs w:val="22"/>
                <w:lang w:eastAsia="en-IN"/>
              </w:rPr>
              <w:t>24.78</w:t>
            </w:r>
          </w:p>
        </w:tc>
        <w:tc>
          <w:tcPr>
            <w:tcW w:w="0" w:type="auto"/>
            <w:shd w:val="clear" w:color="auto" w:fill="F4E9E9"/>
            <w:tcMar>
              <w:top w:w="15" w:type="dxa"/>
              <w:left w:w="15" w:type="dxa"/>
              <w:bottom w:w="0" w:type="dxa"/>
              <w:right w:w="15" w:type="dxa"/>
            </w:tcMar>
            <w:vAlign w:val="center"/>
            <w:hideMark/>
          </w:tcPr>
          <w:p w14:paraId="63B09229" w14:textId="77777777" w:rsidR="00BB6BFE" w:rsidRPr="00100C3D" w:rsidRDefault="00BB6BFE" w:rsidP="00236E38">
            <w:pPr>
              <w:spacing w:line="360" w:lineRule="auto"/>
              <w:jc w:val="center"/>
              <w:textAlignment w:val="center"/>
              <w:rPr>
                <w:rFonts w:asciiTheme="minorHAnsi" w:hAnsiTheme="minorHAnsi" w:cstheme="minorHAnsi"/>
                <w:sz w:val="16"/>
                <w:szCs w:val="22"/>
                <w:lang w:eastAsia="en-IN"/>
              </w:rPr>
            </w:pPr>
            <w:r w:rsidRPr="00100C3D">
              <w:rPr>
                <w:rFonts w:asciiTheme="minorHAnsi" w:hAnsiTheme="minorHAnsi" w:cstheme="minorHAnsi"/>
                <w:color w:val="000000"/>
                <w:kern w:val="24"/>
                <w:sz w:val="16"/>
                <w:szCs w:val="22"/>
                <w:lang w:eastAsia="en-IN"/>
              </w:rPr>
              <w:t>4.24</w:t>
            </w:r>
          </w:p>
        </w:tc>
        <w:tc>
          <w:tcPr>
            <w:tcW w:w="0" w:type="auto"/>
            <w:shd w:val="clear" w:color="auto" w:fill="auto"/>
            <w:tcMar>
              <w:top w:w="15" w:type="dxa"/>
              <w:left w:w="15" w:type="dxa"/>
              <w:bottom w:w="0" w:type="dxa"/>
              <w:right w:w="15" w:type="dxa"/>
            </w:tcMar>
            <w:vAlign w:val="center"/>
            <w:hideMark/>
          </w:tcPr>
          <w:p w14:paraId="07E42DFA" w14:textId="77777777" w:rsidR="00BB6BFE" w:rsidRPr="00100C3D" w:rsidRDefault="00BB6BFE" w:rsidP="00236E38">
            <w:pPr>
              <w:spacing w:line="360" w:lineRule="auto"/>
              <w:jc w:val="center"/>
              <w:textAlignment w:val="center"/>
              <w:rPr>
                <w:rFonts w:asciiTheme="minorHAnsi" w:hAnsiTheme="minorHAnsi" w:cstheme="minorHAnsi"/>
                <w:sz w:val="16"/>
                <w:szCs w:val="22"/>
                <w:lang w:eastAsia="en-IN"/>
              </w:rPr>
            </w:pPr>
            <w:r w:rsidRPr="00100C3D">
              <w:rPr>
                <w:rFonts w:asciiTheme="minorHAnsi" w:hAnsiTheme="minorHAnsi" w:cstheme="minorHAnsi"/>
                <w:color w:val="000000"/>
                <w:kern w:val="24"/>
                <w:sz w:val="16"/>
                <w:szCs w:val="22"/>
                <w:lang w:eastAsia="en-IN"/>
              </w:rPr>
              <w:t> </w:t>
            </w:r>
          </w:p>
        </w:tc>
        <w:tc>
          <w:tcPr>
            <w:tcW w:w="0" w:type="auto"/>
            <w:shd w:val="clear" w:color="auto" w:fill="F4E9E9"/>
            <w:tcMar>
              <w:top w:w="15" w:type="dxa"/>
              <w:left w:w="15" w:type="dxa"/>
              <w:bottom w:w="0" w:type="dxa"/>
              <w:right w:w="15" w:type="dxa"/>
            </w:tcMar>
            <w:vAlign w:val="center"/>
            <w:hideMark/>
          </w:tcPr>
          <w:p w14:paraId="57C485B1" w14:textId="77777777" w:rsidR="00BB6BFE" w:rsidRPr="00100C3D" w:rsidRDefault="00BB6BFE" w:rsidP="00236E38">
            <w:pPr>
              <w:spacing w:line="360" w:lineRule="auto"/>
              <w:jc w:val="center"/>
              <w:textAlignment w:val="center"/>
              <w:rPr>
                <w:rFonts w:asciiTheme="minorHAnsi" w:hAnsiTheme="minorHAnsi" w:cstheme="minorHAnsi"/>
                <w:sz w:val="16"/>
                <w:szCs w:val="22"/>
                <w:lang w:eastAsia="en-IN"/>
              </w:rPr>
            </w:pPr>
            <w:r w:rsidRPr="00100C3D">
              <w:rPr>
                <w:rFonts w:asciiTheme="minorHAnsi" w:hAnsiTheme="minorHAnsi" w:cstheme="minorHAnsi"/>
                <w:color w:val="000000"/>
                <w:kern w:val="24"/>
                <w:sz w:val="16"/>
                <w:szCs w:val="22"/>
                <w:lang w:eastAsia="en-IN"/>
              </w:rPr>
              <w:t>376</w:t>
            </w:r>
          </w:p>
        </w:tc>
        <w:tc>
          <w:tcPr>
            <w:tcW w:w="0" w:type="auto"/>
            <w:shd w:val="clear" w:color="auto" w:fill="F4E9E9"/>
            <w:tcMar>
              <w:top w:w="15" w:type="dxa"/>
              <w:left w:w="15" w:type="dxa"/>
              <w:bottom w:w="0" w:type="dxa"/>
              <w:right w:w="15" w:type="dxa"/>
            </w:tcMar>
            <w:vAlign w:val="center"/>
            <w:hideMark/>
          </w:tcPr>
          <w:p w14:paraId="2949C825" w14:textId="77777777" w:rsidR="00BB6BFE" w:rsidRPr="00100C3D" w:rsidRDefault="00BB6BFE" w:rsidP="00236E38">
            <w:pPr>
              <w:spacing w:line="360" w:lineRule="auto"/>
              <w:jc w:val="center"/>
              <w:textAlignment w:val="center"/>
              <w:rPr>
                <w:rFonts w:asciiTheme="minorHAnsi" w:hAnsiTheme="minorHAnsi" w:cstheme="minorHAnsi"/>
                <w:sz w:val="16"/>
                <w:szCs w:val="22"/>
                <w:lang w:eastAsia="en-IN"/>
              </w:rPr>
            </w:pPr>
            <w:r w:rsidRPr="00100C3D">
              <w:rPr>
                <w:rFonts w:asciiTheme="minorHAnsi" w:hAnsiTheme="minorHAnsi" w:cstheme="minorHAnsi"/>
                <w:color w:val="000000"/>
                <w:kern w:val="24"/>
                <w:sz w:val="16"/>
                <w:szCs w:val="22"/>
                <w:lang w:eastAsia="en-IN"/>
              </w:rPr>
              <w:t>122923</w:t>
            </w:r>
          </w:p>
        </w:tc>
        <w:tc>
          <w:tcPr>
            <w:tcW w:w="0" w:type="auto"/>
            <w:shd w:val="clear" w:color="auto" w:fill="F4E9E9"/>
            <w:tcMar>
              <w:top w:w="15" w:type="dxa"/>
              <w:left w:w="15" w:type="dxa"/>
              <w:bottom w:w="0" w:type="dxa"/>
              <w:right w:w="15" w:type="dxa"/>
            </w:tcMar>
            <w:vAlign w:val="center"/>
            <w:hideMark/>
          </w:tcPr>
          <w:p w14:paraId="0E8FFC0D" w14:textId="77777777" w:rsidR="00BB6BFE" w:rsidRPr="00100C3D" w:rsidRDefault="00BB6BFE" w:rsidP="00236E38">
            <w:pPr>
              <w:spacing w:line="360" w:lineRule="auto"/>
              <w:jc w:val="center"/>
              <w:textAlignment w:val="center"/>
              <w:rPr>
                <w:rFonts w:asciiTheme="minorHAnsi" w:hAnsiTheme="minorHAnsi" w:cstheme="minorHAnsi"/>
                <w:sz w:val="16"/>
                <w:szCs w:val="22"/>
                <w:lang w:eastAsia="en-IN"/>
              </w:rPr>
            </w:pPr>
            <w:r w:rsidRPr="00100C3D">
              <w:rPr>
                <w:rFonts w:asciiTheme="minorHAnsi" w:hAnsiTheme="minorHAnsi" w:cstheme="minorHAnsi"/>
                <w:color w:val="000000"/>
                <w:kern w:val="24"/>
                <w:sz w:val="16"/>
                <w:szCs w:val="22"/>
                <w:lang w:eastAsia="en-IN"/>
              </w:rPr>
              <w:t>499.88</w:t>
            </w:r>
          </w:p>
        </w:tc>
        <w:tc>
          <w:tcPr>
            <w:tcW w:w="0" w:type="auto"/>
            <w:shd w:val="clear" w:color="auto" w:fill="F4E9E9"/>
            <w:tcMar>
              <w:top w:w="15" w:type="dxa"/>
              <w:left w:w="15" w:type="dxa"/>
              <w:bottom w:w="0" w:type="dxa"/>
              <w:right w:w="15" w:type="dxa"/>
            </w:tcMar>
            <w:vAlign w:val="center"/>
            <w:hideMark/>
          </w:tcPr>
          <w:p w14:paraId="44C53293" w14:textId="77777777" w:rsidR="00BB6BFE" w:rsidRPr="00100C3D" w:rsidRDefault="00BB6BFE" w:rsidP="00236E38">
            <w:pPr>
              <w:spacing w:line="360" w:lineRule="auto"/>
              <w:jc w:val="center"/>
              <w:textAlignment w:val="center"/>
              <w:rPr>
                <w:rFonts w:asciiTheme="minorHAnsi" w:hAnsiTheme="minorHAnsi" w:cstheme="minorHAnsi"/>
                <w:sz w:val="16"/>
                <w:szCs w:val="22"/>
                <w:lang w:eastAsia="en-IN"/>
              </w:rPr>
            </w:pPr>
            <w:r w:rsidRPr="00100C3D">
              <w:rPr>
                <w:rFonts w:asciiTheme="minorHAnsi" w:hAnsiTheme="minorHAnsi" w:cstheme="minorHAnsi"/>
                <w:color w:val="000000"/>
                <w:kern w:val="24"/>
                <w:sz w:val="16"/>
                <w:szCs w:val="22"/>
                <w:lang w:eastAsia="en-IN"/>
              </w:rPr>
              <w:t>21.52</w:t>
            </w:r>
          </w:p>
        </w:tc>
        <w:tc>
          <w:tcPr>
            <w:tcW w:w="0" w:type="auto"/>
            <w:shd w:val="clear" w:color="auto" w:fill="F4E9E9"/>
            <w:tcMar>
              <w:top w:w="15" w:type="dxa"/>
              <w:left w:w="15" w:type="dxa"/>
              <w:bottom w:w="0" w:type="dxa"/>
              <w:right w:w="15" w:type="dxa"/>
            </w:tcMar>
            <w:vAlign w:val="center"/>
            <w:hideMark/>
          </w:tcPr>
          <w:p w14:paraId="5C31FF8D" w14:textId="77777777" w:rsidR="00BB6BFE" w:rsidRPr="00100C3D" w:rsidRDefault="00BB6BFE" w:rsidP="00236E38">
            <w:pPr>
              <w:spacing w:line="360" w:lineRule="auto"/>
              <w:jc w:val="center"/>
              <w:textAlignment w:val="center"/>
              <w:rPr>
                <w:rFonts w:asciiTheme="minorHAnsi" w:hAnsiTheme="minorHAnsi" w:cstheme="minorHAnsi"/>
                <w:sz w:val="16"/>
                <w:szCs w:val="22"/>
                <w:lang w:eastAsia="en-IN"/>
              </w:rPr>
            </w:pPr>
            <w:r w:rsidRPr="00100C3D">
              <w:rPr>
                <w:rFonts w:asciiTheme="minorHAnsi" w:hAnsiTheme="minorHAnsi" w:cstheme="minorHAnsi"/>
                <w:color w:val="000000"/>
                <w:kern w:val="24"/>
                <w:sz w:val="16"/>
                <w:szCs w:val="22"/>
                <w:lang w:eastAsia="en-IN"/>
              </w:rPr>
              <w:t>4.3</w:t>
            </w:r>
          </w:p>
        </w:tc>
        <w:tc>
          <w:tcPr>
            <w:tcW w:w="0" w:type="auto"/>
            <w:shd w:val="clear" w:color="auto" w:fill="auto"/>
            <w:tcMar>
              <w:top w:w="15" w:type="dxa"/>
              <w:left w:w="15" w:type="dxa"/>
              <w:bottom w:w="0" w:type="dxa"/>
              <w:right w:w="15" w:type="dxa"/>
            </w:tcMar>
            <w:vAlign w:val="center"/>
            <w:hideMark/>
          </w:tcPr>
          <w:p w14:paraId="0525AF60" w14:textId="77777777" w:rsidR="00BB6BFE" w:rsidRPr="00100C3D" w:rsidRDefault="00BB6BFE" w:rsidP="00236E38">
            <w:pPr>
              <w:spacing w:line="360" w:lineRule="auto"/>
              <w:jc w:val="center"/>
              <w:textAlignment w:val="center"/>
              <w:rPr>
                <w:rFonts w:asciiTheme="minorHAnsi" w:hAnsiTheme="minorHAnsi" w:cstheme="minorHAnsi"/>
                <w:sz w:val="16"/>
                <w:szCs w:val="22"/>
                <w:lang w:eastAsia="en-IN"/>
              </w:rPr>
            </w:pPr>
            <w:r w:rsidRPr="00100C3D">
              <w:rPr>
                <w:rFonts w:asciiTheme="minorHAnsi" w:hAnsiTheme="minorHAnsi" w:cstheme="minorHAnsi"/>
                <w:color w:val="000000"/>
                <w:kern w:val="24"/>
                <w:sz w:val="16"/>
                <w:szCs w:val="22"/>
                <w:lang w:eastAsia="en-IN"/>
              </w:rPr>
              <w:t> </w:t>
            </w:r>
          </w:p>
        </w:tc>
        <w:tc>
          <w:tcPr>
            <w:tcW w:w="0" w:type="auto"/>
            <w:shd w:val="clear" w:color="auto" w:fill="F4E9E9"/>
            <w:tcMar>
              <w:top w:w="15" w:type="dxa"/>
              <w:left w:w="15" w:type="dxa"/>
              <w:bottom w:w="0" w:type="dxa"/>
              <w:right w:w="15" w:type="dxa"/>
            </w:tcMar>
            <w:vAlign w:val="center"/>
            <w:hideMark/>
          </w:tcPr>
          <w:p w14:paraId="11C59F9D" w14:textId="77777777" w:rsidR="00BB6BFE" w:rsidRPr="00100C3D" w:rsidRDefault="00BB6BFE" w:rsidP="00236E38">
            <w:pPr>
              <w:spacing w:line="360" w:lineRule="auto"/>
              <w:jc w:val="center"/>
              <w:textAlignment w:val="center"/>
              <w:rPr>
                <w:rFonts w:asciiTheme="minorHAnsi" w:hAnsiTheme="minorHAnsi" w:cstheme="minorHAnsi"/>
                <w:sz w:val="16"/>
                <w:szCs w:val="22"/>
                <w:lang w:eastAsia="en-IN"/>
              </w:rPr>
            </w:pPr>
            <w:r w:rsidRPr="00100C3D">
              <w:rPr>
                <w:rFonts w:asciiTheme="minorHAnsi" w:hAnsiTheme="minorHAnsi" w:cstheme="minorHAnsi"/>
                <w:color w:val="000000"/>
                <w:kern w:val="24"/>
                <w:sz w:val="16"/>
                <w:szCs w:val="22"/>
                <w:lang w:eastAsia="en-IN"/>
              </w:rPr>
              <w:t>362.86</w:t>
            </w:r>
          </w:p>
        </w:tc>
        <w:tc>
          <w:tcPr>
            <w:tcW w:w="0" w:type="auto"/>
            <w:shd w:val="clear" w:color="auto" w:fill="F4E9E9"/>
            <w:tcMar>
              <w:top w:w="15" w:type="dxa"/>
              <w:left w:w="15" w:type="dxa"/>
              <w:bottom w:w="0" w:type="dxa"/>
              <w:right w:w="15" w:type="dxa"/>
            </w:tcMar>
            <w:vAlign w:val="center"/>
            <w:hideMark/>
          </w:tcPr>
          <w:p w14:paraId="6589042D" w14:textId="77777777" w:rsidR="00BB6BFE" w:rsidRPr="00100C3D" w:rsidRDefault="00BB6BFE" w:rsidP="00236E38">
            <w:pPr>
              <w:spacing w:line="360" w:lineRule="auto"/>
              <w:jc w:val="center"/>
              <w:textAlignment w:val="center"/>
              <w:rPr>
                <w:rFonts w:asciiTheme="minorHAnsi" w:hAnsiTheme="minorHAnsi" w:cstheme="minorHAnsi"/>
                <w:sz w:val="16"/>
                <w:szCs w:val="22"/>
                <w:lang w:eastAsia="en-IN"/>
              </w:rPr>
            </w:pPr>
            <w:r w:rsidRPr="00100C3D">
              <w:rPr>
                <w:rFonts w:asciiTheme="minorHAnsi" w:hAnsiTheme="minorHAnsi" w:cstheme="minorHAnsi"/>
                <w:color w:val="000000"/>
                <w:kern w:val="24"/>
                <w:sz w:val="16"/>
                <w:szCs w:val="22"/>
                <w:lang w:eastAsia="en-IN"/>
              </w:rPr>
              <w:t>132183.5</w:t>
            </w:r>
          </w:p>
        </w:tc>
        <w:tc>
          <w:tcPr>
            <w:tcW w:w="0" w:type="auto"/>
            <w:shd w:val="clear" w:color="auto" w:fill="F4E9E9"/>
            <w:tcMar>
              <w:top w:w="15" w:type="dxa"/>
              <w:left w:w="15" w:type="dxa"/>
              <w:bottom w:w="0" w:type="dxa"/>
              <w:right w:w="15" w:type="dxa"/>
            </w:tcMar>
            <w:vAlign w:val="center"/>
            <w:hideMark/>
          </w:tcPr>
          <w:p w14:paraId="547230C0" w14:textId="77777777" w:rsidR="00BB6BFE" w:rsidRPr="00100C3D" w:rsidRDefault="00BB6BFE" w:rsidP="00236E38">
            <w:pPr>
              <w:spacing w:line="360" w:lineRule="auto"/>
              <w:jc w:val="center"/>
              <w:textAlignment w:val="center"/>
              <w:rPr>
                <w:rFonts w:asciiTheme="minorHAnsi" w:hAnsiTheme="minorHAnsi" w:cstheme="minorHAnsi"/>
                <w:sz w:val="16"/>
                <w:szCs w:val="22"/>
                <w:lang w:eastAsia="en-IN"/>
              </w:rPr>
            </w:pPr>
            <w:r w:rsidRPr="00100C3D">
              <w:rPr>
                <w:rFonts w:asciiTheme="minorHAnsi" w:hAnsiTheme="minorHAnsi" w:cstheme="minorHAnsi"/>
                <w:color w:val="000000"/>
                <w:kern w:val="24"/>
                <w:sz w:val="16"/>
                <w:szCs w:val="22"/>
                <w:lang w:eastAsia="en-IN"/>
              </w:rPr>
              <w:t>584.44</w:t>
            </w:r>
          </w:p>
        </w:tc>
        <w:tc>
          <w:tcPr>
            <w:tcW w:w="0" w:type="auto"/>
            <w:shd w:val="clear" w:color="auto" w:fill="F4E9E9"/>
            <w:tcMar>
              <w:top w:w="15" w:type="dxa"/>
              <w:left w:w="15" w:type="dxa"/>
              <w:bottom w:w="0" w:type="dxa"/>
              <w:right w:w="15" w:type="dxa"/>
            </w:tcMar>
            <w:vAlign w:val="center"/>
            <w:hideMark/>
          </w:tcPr>
          <w:p w14:paraId="3BC52000" w14:textId="77777777" w:rsidR="00BB6BFE" w:rsidRPr="00100C3D" w:rsidRDefault="00BB6BFE" w:rsidP="00236E38">
            <w:pPr>
              <w:spacing w:line="360" w:lineRule="auto"/>
              <w:jc w:val="center"/>
              <w:textAlignment w:val="center"/>
              <w:rPr>
                <w:rFonts w:asciiTheme="minorHAnsi" w:hAnsiTheme="minorHAnsi" w:cstheme="minorHAnsi"/>
                <w:sz w:val="16"/>
                <w:szCs w:val="22"/>
                <w:lang w:eastAsia="en-IN"/>
              </w:rPr>
            </w:pPr>
            <w:r w:rsidRPr="00100C3D">
              <w:rPr>
                <w:rFonts w:asciiTheme="minorHAnsi" w:hAnsiTheme="minorHAnsi" w:cstheme="minorHAnsi"/>
                <w:color w:val="000000"/>
                <w:kern w:val="24"/>
                <w:sz w:val="16"/>
                <w:szCs w:val="22"/>
                <w:lang w:eastAsia="en-IN"/>
              </w:rPr>
              <w:t>17.62</w:t>
            </w:r>
          </w:p>
        </w:tc>
        <w:tc>
          <w:tcPr>
            <w:tcW w:w="0" w:type="auto"/>
            <w:shd w:val="clear" w:color="auto" w:fill="F4E9E9"/>
            <w:tcMar>
              <w:top w:w="15" w:type="dxa"/>
              <w:left w:w="15" w:type="dxa"/>
              <w:bottom w:w="0" w:type="dxa"/>
              <w:right w:w="15" w:type="dxa"/>
            </w:tcMar>
            <w:vAlign w:val="center"/>
            <w:hideMark/>
          </w:tcPr>
          <w:p w14:paraId="14696935" w14:textId="77777777" w:rsidR="00BB6BFE" w:rsidRPr="00100C3D" w:rsidRDefault="00BB6BFE" w:rsidP="00236E38">
            <w:pPr>
              <w:spacing w:line="360" w:lineRule="auto"/>
              <w:jc w:val="center"/>
              <w:textAlignment w:val="center"/>
              <w:rPr>
                <w:rFonts w:asciiTheme="minorHAnsi" w:hAnsiTheme="minorHAnsi" w:cstheme="minorHAnsi"/>
                <w:sz w:val="16"/>
                <w:szCs w:val="22"/>
                <w:lang w:eastAsia="en-IN"/>
              </w:rPr>
            </w:pPr>
            <w:r w:rsidRPr="00100C3D">
              <w:rPr>
                <w:rFonts w:asciiTheme="minorHAnsi" w:hAnsiTheme="minorHAnsi" w:cstheme="minorHAnsi"/>
                <w:color w:val="000000"/>
                <w:kern w:val="24"/>
                <w:sz w:val="16"/>
                <w:szCs w:val="22"/>
                <w:lang w:eastAsia="en-IN"/>
              </w:rPr>
              <w:t>3.18</w:t>
            </w:r>
          </w:p>
        </w:tc>
      </w:tr>
      <w:tr w:rsidR="00BB6BFE" w:rsidRPr="00100C3D" w14:paraId="462EB695" w14:textId="77777777" w:rsidTr="00100C3D">
        <w:trPr>
          <w:trHeight w:val="222"/>
        </w:trPr>
        <w:tc>
          <w:tcPr>
            <w:tcW w:w="0" w:type="auto"/>
            <w:shd w:val="clear" w:color="auto" w:fill="E8D0D0"/>
            <w:tcMar>
              <w:top w:w="15" w:type="dxa"/>
              <w:left w:w="15" w:type="dxa"/>
              <w:bottom w:w="0" w:type="dxa"/>
              <w:right w:w="15" w:type="dxa"/>
            </w:tcMar>
            <w:vAlign w:val="center"/>
            <w:hideMark/>
          </w:tcPr>
          <w:p w14:paraId="34F21DF5" w14:textId="77777777" w:rsidR="00BB6BFE" w:rsidRPr="00100C3D" w:rsidRDefault="00BB6BFE" w:rsidP="00236E38">
            <w:pPr>
              <w:spacing w:line="360" w:lineRule="auto"/>
              <w:jc w:val="center"/>
              <w:textAlignment w:val="center"/>
              <w:rPr>
                <w:rFonts w:asciiTheme="minorHAnsi" w:hAnsiTheme="minorHAnsi" w:cstheme="minorHAnsi"/>
                <w:sz w:val="16"/>
                <w:szCs w:val="22"/>
                <w:lang w:eastAsia="en-IN"/>
              </w:rPr>
            </w:pPr>
            <w:proofErr w:type="spellStart"/>
            <w:r w:rsidRPr="00100C3D">
              <w:rPr>
                <w:rFonts w:asciiTheme="minorHAnsi" w:hAnsiTheme="minorHAnsi" w:cstheme="minorHAnsi"/>
                <w:color w:val="000000"/>
                <w:kern w:val="24"/>
                <w:sz w:val="16"/>
                <w:szCs w:val="22"/>
                <w:lang w:eastAsia="en-IN"/>
              </w:rPr>
              <w:t>Jajpur</w:t>
            </w:r>
            <w:proofErr w:type="spellEnd"/>
          </w:p>
        </w:tc>
        <w:tc>
          <w:tcPr>
            <w:tcW w:w="0" w:type="auto"/>
            <w:shd w:val="clear" w:color="auto" w:fill="E8D0D0"/>
            <w:tcMar>
              <w:top w:w="15" w:type="dxa"/>
              <w:left w:w="15" w:type="dxa"/>
              <w:bottom w:w="0" w:type="dxa"/>
              <w:right w:w="15" w:type="dxa"/>
            </w:tcMar>
            <w:vAlign w:val="center"/>
            <w:hideMark/>
          </w:tcPr>
          <w:p w14:paraId="477407C9" w14:textId="77777777" w:rsidR="00BB6BFE" w:rsidRPr="00100C3D" w:rsidRDefault="00BB6BFE" w:rsidP="00236E38">
            <w:pPr>
              <w:spacing w:line="360" w:lineRule="auto"/>
              <w:jc w:val="center"/>
              <w:textAlignment w:val="center"/>
              <w:rPr>
                <w:rFonts w:asciiTheme="minorHAnsi" w:hAnsiTheme="minorHAnsi" w:cstheme="minorHAnsi"/>
                <w:sz w:val="16"/>
                <w:szCs w:val="22"/>
                <w:lang w:eastAsia="en-IN"/>
              </w:rPr>
            </w:pPr>
            <w:r w:rsidRPr="00100C3D">
              <w:rPr>
                <w:rFonts w:asciiTheme="minorHAnsi" w:hAnsiTheme="minorHAnsi" w:cstheme="minorHAnsi"/>
                <w:color w:val="000000"/>
                <w:kern w:val="24"/>
                <w:sz w:val="16"/>
                <w:szCs w:val="22"/>
                <w:lang w:eastAsia="en-IN"/>
              </w:rPr>
              <w:t>323.22</w:t>
            </w:r>
          </w:p>
        </w:tc>
        <w:tc>
          <w:tcPr>
            <w:tcW w:w="0" w:type="auto"/>
            <w:shd w:val="clear" w:color="auto" w:fill="E8D0D0"/>
            <w:tcMar>
              <w:top w:w="15" w:type="dxa"/>
              <w:left w:w="15" w:type="dxa"/>
              <w:bottom w:w="0" w:type="dxa"/>
              <w:right w:w="15" w:type="dxa"/>
            </w:tcMar>
            <w:vAlign w:val="center"/>
            <w:hideMark/>
          </w:tcPr>
          <w:p w14:paraId="495B844F" w14:textId="77777777" w:rsidR="00BB6BFE" w:rsidRPr="00100C3D" w:rsidRDefault="00BB6BFE" w:rsidP="00236E38">
            <w:pPr>
              <w:spacing w:line="360" w:lineRule="auto"/>
              <w:jc w:val="center"/>
              <w:textAlignment w:val="center"/>
              <w:rPr>
                <w:rFonts w:asciiTheme="minorHAnsi" w:hAnsiTheme="minorHAnsi" w:cstheme="minorHAnsi"/>
                <w:sz w:val="16"/>
                <w:szCs w:val="22"/>
                <w:lang w:eastAsia="en-IN"/>
              </w:rPr>
            </w:pPr>
            <w:r w:rsidRPr="00100C3D">
              <w:rPr>
                <w:rFonts w:asciiTheme="minorHAnsi" w:hAnsiTheme="minorHAnsi" w:cstheme="minorHAnsi"/>
                <w:color w:val="000000"/>
                <w:kern w:val="24"/>
                <w:sz w:val="16"/>
                <w:szCs w:val="22"/>
                <w:lang w:eastAsia="en-IN"/>
              </w:rPr>
              <w:t>165255</w:t>
            </w:r>
          </w:p>
        </w:tc>
        <w:tc>
          <w:tcPr>
            <w:tcW w:w="0" w:type="auto"/>
            <w:shd w:val="clear" w:color="auto" w:fill="E8D0D0"/>
            <w:tcMar>
              <w:top w:w="15" w:type="dxa"/>
              <w:left w:w="15" w:type="dxa"/>
              <w:bottom w:w="0" w:type="dxa"/>
              <w:right w:w="15" w:type="dxa"/>
            </w:tcMar>
            <w:vAlign w:val="center"/>
            <w:hideMark/>
          </w:tcPr>
          <w:p w14:paraId="56EF9FD1" w14:textId="77777777" w:rsidR="00BB6BFE" w:rsidRPr="00100C3D" w:rsidRDefault="00BB6BFE" w:rsidP="00236E38">
            <w:pPr>
              <w:spacing w:line="360" w:lineRule="auto"/>
              <w:jc w:val="center"/>
              <w:textAlignment w:val="center"/>
              <w:rPr>
                <w:rFonts w:asciiTheme="minorHAnsi" w:hAnsiTheme="minorHAnsi" w:cstheme="minorHAnsi"/>
                <w:sz w:val="16"/>
                <w:szCs w:val="22"/>
                <w:lang w:eastAsia="en-IN"/>
              </w:rPr>
            </w:pPr>
            <w:r w:rsidRPr="00100C3D">
              <w:rPr>
                <w:rFonts w:asciiTheme="minorHAnsi" w:hAnsiTheme="minorHAnsi" w:cstheme="minorHAnsi"/>
                <w:color w:val="000000"/>
                <w:kern w:val="24"/>
                <w:sz w:val="16"/>
                <w:szCs w:val="22"/>
                <w:lang w:eastAsia="en-IN"/>
              </w:rPr>
              <w:t>656.06</w:t>
            </w:r>
          </w:p>
        </w:tc>
        <w:tc>
          <w:tcPr>
            <w:tcW w:w="0" w:type="auto"/>
            <w:shd w:val="clear" w:color="auto" w:fill="E8D0D0"/>
            <w:tcMar>
              <w:top w:w="15" w:type="dxa"/>
              <w:left w:w="15" w:type="dxa"/>
              <w:bottom w:w="0" w:type="dxa"/>
              <w:right w:w="15" w:type="dxa"/>
            </w:tcMar>
            <w:vAlign w:val="center"/>
            <w:hideMark/>
          </w:tcPr>
          <w:p w14:paraId="41D2FBF4" w14:textId="77777777" w:rsidR="00BB6BFE" w:rsidRPr="00100C3D" w:rsidRDefault="00BB6BFE" w:rsidP="00236E38">
            <w:pPr>
              <w:spacing w:line="360" w:lineRule="auto"/>
              <w:jc w:val="center"/>
              <w:textAlignment w:val="center"/>
              <w:rPr>
                <w:rFonts w:asciiTheme="minorHAnsi" w:hAnsiTheme="minorHAnsi" w:cstheme="minorHAnsi"/>
                <w:sz w:val="16"/>
                <w:szCs w:val="22"/>
                <w:lang w:eastAsia="en-IN"/>
              </w:rPr>
            </w:pPr>
            <w:r w:rsidRPr="00100C3D">
              <w:rPr>
                <w:rFonts w:asciiTheme="minorHAnsi" w:hAnsiTheme="minorHAnsi" w:cstheme="minorHAnsi"/>
                <w:color w:val="000000"/>
                <w:kern w:val="24"/>
                <w:sz w:val="16"/>
                <w:szCs w:val="22"/>
                <w:lang w:eastAsia="en-IN"/>
              </w:rPr>
              <w:t>30.51</w:t>
            </w:r>
          </w:p>
        </w:tc>
        <w:tc>
          <w:tcPr>
            <w:tcW w:w="0" w:type="auto"/>
            <w:shd w:val="clear" w:color="auto" w:fill="E8D0D0"/>
            <w:tcMar>
              <w:top w:w="15" w:type="dxa"/>
              <w:left w:w="15" w:type="dxa"/>
              <w:bottom w:w="0" w:type="dxa"/>
              <w:right w:w="15" w:type="dxa"/>
            </w:tcMar>
            <w:vAlign w:val="center"/>
            <w:hideMark/>
          </w:tcPr>
          <w:p w14:paraId="5618901D" w14:textId="77777777" w:rsidR="00BB6BFE" w:rsidRPr="00100C3D" w:rsidRDefault="00BB6BFE" w:rsidP="00236E38">
            <w:pPr>
              <w:spacing w:line="360" w:lineRule="auto"/>
              <w:jc w:val="center"/>
              <w:textAlignment w:val="center"/>
              <w:rPr>
                <w:rFonts w:asciiTheme="minorHAnsi" w:hAnsiTheme="minorHAnsi" w:cstheme="minorHAnsi"/>
                <w:sz w:val="16"/>
                <w:szCs w:val="22"/>
                <w:lang w:eastAsia="en-IN"/>
              </w:rPr>
            </w:pPr>
            <w:r w:rsidRPr="00100C3D">
              <w:rPr>
                <w:rFonts w:asciiTheme="minorHAnsi" w:hAnsiTheme="minorHAnsi" w:cstheme="minorHAnsi"/>
                <w:color w:val="000000"/>
                <w:kern w:val="24"/>
                <w:sz w:val="16"/>
                <w:szCs w:val="22"/>
                <w:lang w:eastAsia="en-IN"/>
              </w:rPr>
              <w:t>4.65</w:t>
            </w:r>
          </w:p>
        </w:tc>
        <w:tc>
          <w:tcPr>
            <w:tcW w:w="0" w:type="auto"/>
            <w:shd w:val="clear" w:color="auto" w:fill="auto"/>
            <w:tcMar>
              <w:top w:w="15" w:type="dxa"/>
              <w:left w:w="15" w:type="dxa"/>
              <w:bottom w:w="0" w:type="dxa"/>
              <w:right w:w="15" w:type="dxa"/>
            </w:tcMar>
            <w:vAlign w:val="center"/>
            <w:hideMark/>
          </w:tcPr>
          <w:p w14:paraId="075D8586" w14:textId="77777777" w:rsidR="00BB6BFE" w:rsidRPr="00100C3D" w:rsidRDefault="00BB6BFE" w:rsidP="00236E38">
            <w:pPr>
              <w:spacing w:line="360" w:lineRule="auto"/>
              <w:jc w:val="center"/>
              <w:textAlignment w:val="center"/>
              <w:rPr>
                <w:rFonts w:asciiTheme="minorHAnsi" w:hAnsiTheme="minorHAnsi" w:cstheme="minorHAnsi"/>
                <w:sz w:val="16"/>
                <w:szCs w:val="22"/>
                <w:lang w:eastAsia="en-IN"/>
              </w:rPr>
            </w:pPr>
            <w:r w:rsidRPr="00100C3D">
              <w:rPr>
                <w:rFonts w:asciiTheme="minorHAnsi" w:hAnsiTheme="minorHAnsi" w:cstheme="minorHAnsi"/>
                <w:color w:val="000000"/>
                <w:kern w:val="24"/>
                <w:sz w:val="16"/>
                <w:szCs w:val="22"/>
                <w:lang w:eastAsia="en-IN"/>
              </w:rPr>
              <w:t> </w:t>
            </w:r>
          </w:p>
        </w:tc>
        <w:tc>
          <w:tcPr>
            <w:tcW w:w="0" w:type="auto"/>
            <w:shd w:val="clear" w:color="auto" w:fill="E8D0D0"/>
            <w:tcMar>
              <w:top w:w="15" w:type="dxa"/>
              <w:left w:w="15" w:type="dxa"/>
              <w:bottom w:w="0" w:type="dxa"/>
              <w:right w:w="15" w:type="dxa"/>
            </w:tcMar>
            <w:vAlign w:val="center"/>
            <w:hideMark/>
          </w:tcPr>
          <w:p w14:paraId="29D8291E" w14:textId="77777777" w:rsidR="00BB6BFE" w:rsidRPr="00100C3D" w:rsidRDefault="00BB6BFE" w:rsidP="00236E38">
            <w:pPr>
              <w:spacing w:line="360" w:lineRule="auto"/>
              <w:jc w:val="center"/>
              <w:textAlignment w:val="center"/>
              <w:rPr>
                <w:rFonts w:asciiTheme="minorHAnsi" w:hAnsiTheme="minorHAnsi" w:cstheme="minorHAnsi"/>
                <w:sz w:val="16"/>
                <w:szCs w:val="22"/>
                <w:lang w:eastAsia="en-IN"/>
              </w:rPr>
            </w:pPr>
            <w:r w:rsidRPr="00100C3D">
              <w:rPr>
                <w:rFonts w:asciiTheme="minorHAnsi" w:hAnsiTheme="minorHAnsi" w:cstheme="minorHAnsi"/>
                <w:color w:val="000000"/>
                <w:kern w:val="24"/>
                <w:sz w:val="16"/>
                <w:szCs w:val="22"/>
                <w:lang w:eastAsia="en-IN"/>
              </w:rPr>
              <w:t>351.51</w:t>
            </w:r>
          </w:p>
        </w:tc>
        <w:tc>
          <w:tcPr>
            <w:tcW w:w="0" w:type="auto"/>
            <w:shd w:val="clear" w:color="auto" w:fill="E8D0D0"/>
            <w:tcMar>
              <w:top w:w="15" w:type="dxa"/>
              <w:left w:w="15" w:type="dxa"/>
              <w:bottom w:w="0" w:type="dxa"/>
              <w:right w:w="15" w:type="dxa"/>
            </w:tcMar>
            <w:vAlign w:val="center"/>
            <w:hideMark/>
          </w:tcPr>
          <w:p w14:paraId="64AE29A8" w14:textId="77777777" w:rsidR="00BB6BFE" w:rsidRPr="00100C3D" w:rsidRDefault="00BB6BFE" w:rsidP="00236E38">
            <w:pPr>
              <w:spacing w:line="360" w:lineRule="auto"/>
              <w:jc w:val="center"/>
              <w:textAlignment w:val="center"/>
              <w:rPr>
                <w:rFonts w:asciiTheme="minorHAnsi" w:hAnsiTheme="minorHAnsi" w:cstheme="minorHAnsi"/>
                <w:sz w:val="16"/>
                <w:szCs w:val="22"/>
                <w:lang w:eastAsia="en-IN"/>
              </w:rPr>
            </w:pPr>
            <w:r w:rsidRPr="00100C3D">
              <w:rPr>
                <w:rFonts w:asciiTheme="minorHAnsi" w:hAnsiTheme="minorHAnsi" w:cstheme="minorHAnsi"/>
                <w:color w:val="000000"/>
                <w:kern w:val="24"/>
                <w:sz w:val="16"/>
                <w:szCs w:val="22"/>
                <w:lang w:eastAsia="en-IN"/>
              </w:rPr>
              <w:t>178810</w:t>
            </w:r>
          </w:p>
        </w:tc>
        <w:tc>
          <w:tcPr>
            <w:tcW w:w="0" w:type="auto"/>
            <w:shd w:val="clear" w:color="auto" w:fill="E8D0D0"/>
            <w:tcMar>
              <w:top w:w="15" w:type="dxa"/>
              <w:left w:w="15" w:type="dxa"/>
              <w:bottom w:w="0" w:type="dxa"/>
              <w:right w:w="15" w:type="dxa"/>
            </w:tcMar>
            <w:vAlign w:val="center"/>
            <w:hideMark/>
          </w:tcPr>
          <w:p w14:paraId="0880EFFF" w14:textId="77777777" w:rsidR="00BB6BFE" w:rsidRPr="00100C3D" w:rsidRDefault="00BB6BFE" w:rsidP="00236E38">
            <w:pPr>
              <w:spacing w:line="360" w:lineRule="auto"/>
              <w:jc w:val="center"/>
              <w:textAlignment w:val="center"/>
              <w:rPr>
                <w:rFonts w:asciiTheme="minorHAnsi" w:hAnsiTheme="minorHAnsi" w:cstheme="minorHAnsi"/>
                <w:sz w:val="16"/>
                <w:szCs w:val="22"/>
                <w:lang w:eastAsia="en-IN"/>
              </w:rPr>
            </w:pPr>
            <w:r w:rsidRPr="00100C3D">
              <w:rPr>
                <w:rFonts w:asciiTheme="minorHAnsi" w:hAnsiTheme="minorHAnsi" w:cstheme="minorHAnsi"/>
                <w:color w:val="000000"/>
                <w:kern w:val="24"/>
                <w:sz w:val="16"/>
                <w:szCs w:val="22"/>
                <w:lang w:eastAsia="en-IN"/>
              </w:rPr>
              <w:t>706.84</w:t>
            </w:r>
          </w:p>
        </w:tc>
        <w:tc>
          <w:tcPr>
            <w:tcW w:w="0" w:type="auto"/>
            <w:shd w:val="clear" w:color="auto" w:fill="E8D0D0"/>
            <w:tcMar>
              <w:top w:w="15" w:type="dxa"/>
              <w:left w:w="15" w:type="dxa"/>
              <w:bottom w:w="0" w:type="dxa"/>
              <w:right w:w="15" w:type="dxa"/>
            </w:tcMar>
            <w:vAlign w:val="center"/>
            <w:hideMark/>
          </w:tcPr>
          <w:p w14:paraId="5583B492" w14:textId="77777777" w:rsidR="00BB6BFE" w:rsidRPr="00100C3D" w:rsidRDefault="00BB6BFE" w:rsidP="00236E38">
            <w:pPr>
              <w:spacing w:line="360" w:lineRule="auto"/>
              <w:jc w:val="center"/>
              <w:textAlignment w:val="center"/>
              <w:rPr>
                <w:rFonts w:asciiTheme="minorHAnsi" w:hAnsiTheme="minorHAnsi" w:cstheme="minorHAnsi"/>
                <w:sz w:val="16"/>
                <w:szCs w:val="22"/>
                <w:lang w:eastAsia="en-IN"/>
              </w:rPr>
            </w:pPr>
            <w:r w:rsidRPr="00100C3D">
              <w:rPr>
                <w:rFonts w:asciiTheme="minorHAnsi" w:hAnsiTheme="minorHAnsi" w:cstheme="minorHAnsi"/>
                <w:color w:val="000000"/>
                <w:kern w:val="24"/>
                <w:sz w:val="16"/>
                <w:szCs w:val="22"/>
                <w:lang w:eastAsia="en-IN"/>
              </w:rPr>
              <w:t>29.07</w:t>
            </w:r>
          </w:p>
        </w:tc>
        <w:tc>
          <w:tcPr>
            <w:tcW w:w="0" w:type="auto"/>
            <w:shd w:val="clear" w:color="auto" w:fill="E8D0D0"/>
            <w:tcMar>
              <w:top w:w="15" w:type="dxa"/>
              <w:left w:w="15" w:type="dxa"/>
              <w:bottom w:w="0" w:type="dxa"/>
              <w:right w:w="15" w:type="dxa"/>
            </w:tcMar>
            <w:vAlign w:val="center"/>
            <w:hideMark/>
          </w:tcPr>
          <w:p w14:paraId="38B321F3" w14:textId="77777777" w:rsidR="00BB6BFE" w:rsidRPr="00100C3D" w:rsidRDefault="00BB6BFE" w:rsidP="00236E38">
            <w:pPr>
              <w:spacing w:line="360" w:lineRule="auto"/>
              <w:jc w:val="center"/>
              <w:textAlignment w:val="center"/>
              <w:rPr>
                <w:rFonts w:asciiTheme="minorHAnsi" w:hAnsiTheme="minorHAnsi" w:cstheme="minorHAnsi"/>
                <w:sz w:val="16"/>
                <w:szCs w:val="22"/>
                <w:lang w:eastAsia="en-IN"/>
              </w:rPr>
            </w:pPr>
            <w:r w:rsidRPr="00100C3D">
              <w:rPr>
                <w:rFonts w:asciiTheme="minorHAnsi" w:hAnsiTheme="minorHAnsi" w:cstheme="minorHAnsi"/>
                <w:color w:val="000000"/>
                <w:kern w:val="24"/>
                <w:sz w:val="16"/>
                <w:szCs w:val="22"/>
                <w:lang w:eastAsia="en-IN"/>
              </w:rPr>
              <w:t>4.11</w:t>
            </w:r>
          </w:p>
        </w:tc>
        <w:tc>
          <w:tcPr>
            <w:tcW w:w="0" w:type="auto"/>
            <w:shd w:val="clear" w:color="auto" w:fill="auto"/>
            <w:tcMar>
              <w:top w:w="15" w:type="dxa"/>
              <w:left w:w="15" w:type="dxa"/>
              <w:bottom w:w="0" w:type="dxa"/>
              <w:right w:w="15" w:type="dxa"/>
            </w:tcMar>
            <w:vAlign w:val="center"/>
            <w:hideMark/>
          </w:tcPr>
          <w:p w14:paraId="4B2A4A1B" w14:textId="77777777" w:rsidR="00BB6BFE" w:rsidRPr="00100C3D" w:rsidRDefault="00BB6BFE" w:rsidP="00236E38">
            <w:pPr>
              <w:spacing w:line="360" w:lineRule="auto"/>
              <w:jc w:val="center"/>
              <w:textAlignment w:val="center"/>
              <w:rPr>
                <w:rFonts w:asciiTheme="minorHAnsi" w:hAnsiTheme="minorHAnsi" w:cstheme="minorHAnsi"/>
                <w:sz w:val="16"/>
                <w:szCs w:val="22"/>
                <w:lang w:eastAsia="en-IN"/>
              </w:rPr>
            </w:pPr>
            <w:r w:rsidRPr="00100C3D">
              <w:rPr>
                <w:rFonts w:asciiTheme="minorHAnsi" w:hAnsiTheme="minorHAnsi" w:cstheme="minorHAnsi"/>
                <w:color w:val="000000"/>
                <w:kern w:val="24"/>
                <w:sz w:val="16"/>
                <w:szCs w:val="22"/>
                <w:lang w:eastAsia="en-IN"/>
              </w:rPr>
              <w:t> </w:t>
            </w:r>
          </w:p>
        </w:tc>
        <w:tc>
          <w:tcPr>
            <w:tcW w:w="0" w:type="auto"/>
            <w:shd w:val="clear" w:color="auto" w:fill="E8D0D0"/>
            <w:tcMar>
              <w:top w:w="15" w:type="dxa"/>
              <w:left w:w="15" w:type="dxa"/>
              <w:bottom w:w="0" w:type="dxa"/>
              <w:right w:w="15" w:type="dxa"/>
            </w:tcMar>
            <w:vAlign w:val="center"/>
            <w:hideMark/>
          </w:tcPr>
          <w:p w14:paraId="3069DE0D" w14:textId="77777777" w:rsidR="00BB6BFE" w:rsidRPr="00100C3D" w:rsidRDefault="00BB6BFE" w:rsidP="00236E38">
            <w:pPr>
              <w:spacing w:line="360" w:lineRule="auto"/>
              <w:jc w:val="center"/>
              <w:textAlignment w:val="center"/>
              <w:rPr>
                <w:rFonts w:asciiTheme="minorHAnsi" w:hAnsiTheme="minorHAnsi" w:cstheme="minorHAnsi"/>
                <w:sz w:val="16"/>
                <w:szCs w:val="22"/>
                <w:lang w:eastAsia="en-IN"/>
              </w:rPr>
            </w:pPr>
            <w:r w:rsidRPr="00100C3D">
              <w:rPr>
                <w:rFonts w:asciiTheme="minorHAnsi" w:hAnsiTheme="minorHAnsi" w:cstheme="minorHAnsi"/>
                <w:color w:val="000000"/>
                <w:kern w:val="24"/>
                <w:sz w:val="16"/>
                <w:szCs w:val="22"/>
                <w:lang w:eastAsia="en-IN"/>
              </w:rPr>
              <w:t>351.57</w:t>
            </w:r>
          </w:p>
        </w:tc>
        <w:tc>
          <w:tcPr>
            <w:tcW w:w="0" w:type="auto"/>
            <w:shd w:val="clear" w:color="auto" w:fill="E8D0D0"/>
            <w:tcMar>
              <w:top w:w="15" w:type="dxa"/>
              <w:left w:w="15" w:type="dxa"/>
              <w:bottom w:w="0" w:type="dxa"/>
              <w:right w:w="15" w:type="dxa"/>
            </w:tcMar>
            <w:vAlign w:val="center"/>
            <w:hideMark/>
          </w:tcPr>
          <w:p w14:paraId="6878764E" w14:textId="77777777" w:rsidR="00BB6BFE" w:rsidRPr="00100C3D" w:rsidRDefault="00BB6BFE" w:rsidP="00236E38">
            <w:pPr>
              <w:spacing w:line="360" w:lineRule="auto"/>
              <w:jc w:val="center"/>
              <w:textAlignment w:val="center"/>
              <w:rPr>
                <w:rFonts w:asciiTheme="minorHAnsi" w:hAnsiTheme="minorHAnsi" w:cstheme="minorHAnsi"/>
                <w:sz w:val="16"/>
                <w:szCs w:val="22"/>
                <w:lang w:eastAsia="en-IN"/>
              </w:rPr>
            </w:pPr>
            <w:r w:rsidRPr="00100C3D">
              <w:rPr>
                <w:rFonts w:asciiTheme="minorHAnsi" w:hAnsiTheme="minorHAnsi" w:cstheme="minorHAnsi"/>
                <w:color w:val="000000"/>
                <w:kern w:val="24"/>
                <w:sz w:val="16"/>
                <w:szCs w:val="22"/>
                <w:lang w:eastAsia="en-IN"/>
              </w:rPr>
              <w:t>172851.9</w:t>
            </w:r>
          </w:p>
        </w:tc>
        <w:tc>
          <w:tcPr>
            <w:tcW w:w="0" w:type="auto"/>
            <w:shd w:val="clear" w:color="auto" w:fill="E8D0D0"/>
            <w:tcMar>
              <w:top w:w="15" w:type="dxa"/>
              <w:left w:w="15" w:type="dxa"/>
              <w:bottom w:w="0" w:type="dxa"/>
              <w:right w:w="15" w:type="dxa"/>
            </w:tcMar>
            <w:vAlign w:val="center"/>
            <w:hideMark/>
          </w:tcPr>
          <w:p w14:paraId="705F8984" w14:textId="77777777" w:rsidR="00BB6BFE" w:rsidRPr="00100C3D" w:rsidRDefault="00BB6BFE" w:rsidP="00236E38">
            <w:pPr>
              <w:spacing w:line="360" w:lineRule="auto"/>
              <w:jc w:val="center"/>
              <w:textAlignment w:val="center"/>
              <w:rPr>
                <w:rFonts w:asciiTheme="minorHAnsi" w:hAnsiTheme="minorHAnsi" w:cstheme="minorHAnsi"/>
                <w:sz w:val="16"/>
                <w:szCs w:val="22"/>
                <w:lang w:eastAsia="en-IN"/>
              </w:rPr>
            </w:pPr>
            <w:r w:rsidRPr="00100C3D">
              <w:rPr>
                <w:rFonts w:asciiTheme="minorHAnsi" w:hAnsiTheme="minorHAnsi" w:cstheme="minorHAnsi"/>
                <w:color w:val="000000"/>
                <w:kern w:val="24"/>
                <w:sz w:val="16"/>
                <w:szCs w:val="22"/>
                <w:lang w:eastAsia="en-IN"/>
              </w:rPr>
              <w:t>744.32</w:t>
            </w:r>
          </w:p>
        </w:tc>
        <w:tc>
          <w:tcPr>
            <w:tcW w:w="0" w:type="auto"/>
            <w:shd w:val="clear" w:color="auto" w:fill="E8D0D0"/>
            <w:tcMar>
              <w:top w:w="15" w:type="dxa"/>
              <w:left w:w="15" w:type="dxa"/>
              <w:bottom w:w="0" w:type="dxa"/>
              <w:right w:w="15" w:type="dxa"/>
            </w:tcMar>
            <w:vAlign w:val="center"/>
            <w:hideMark/>
          </w:tcPr>
          <w:p w14:paraId="1C2B7E79" w14:textId="77777777" w:rsidR="00BB6BFE" w:rsidRPr="00100C3D" w:rsidRDefault="00BB6BFE" w:rsidP="00236E38">
            <w:pPr>
              <w:spacing w:line="360" w:lineRule="auto"/>
              <w:jc w:val="center"/>
              <w:textAlignment w:val="center"/>
              <w:rPr>
                <w:rFonts w:asciiTheme="minorHAnsi" w:hAnsiTheme="minorHAnsi" w:cstheme="minorHAnsi"/>
                <w:sz w:val="16"/>
                <w:szCs w:val="22"/>
                <w:lang w:eastAsia="en-IN"/>
              </w:rPr>
            </w:pPr>
            <w:r w:rsidRPr="00100C3D">
              <w:rPr>
                <w:rFonts w:asciiTheme="minorHAnsi" w:hAnsiTheme="minorHAnsi" w:cstheme="minorHAnsi"/>
                <w:color w:val="000000"/>
                <w:kern w:val="24"/>
                <w:sz w:val="16"/>
                <w:szCs w:val="22"/>
                <w:lang w:eastAsia="en-IN"/>
              </w:rPr>
              <w:t>32.98</w:t>
            </w:r>
          </w:p>
        </w:tc>
        <w:tc>
          <w:tcPr>
            <w:tcW w:w="0" w:type="auto"/>
            <w:shd w:val="clear" w:color="auto" w:fill="E8D0D0"/>
            <w:tcMar>
              <w:top w:w="15" w:type="dxa"/>
              <w:left w:w="15" w:type="dxa"/>
              <w:bottom w:w="0" w:type="dxa"/>
              <w:right w:w="15" w:type="dxa"/>
            </w:tcMar>
            <w:vAlign w:val="center"/>
            <w:hideMark/>
          </w:tcPr>
          <w:p w14:paraId="4B9FA2A0" w14:textId="77777777" w:rsidR="00BB6BFE" w:rsidRPr="00100C3D" w:rsidRDefault="00BB6BFE" w:rsidP="00236E38">
            <w:pPr>
              <w:spacing w:line="360" w:lineRule="auto"/>
              <w:jc w:val="center"/>
              <w:textAlignment w:val="center"/>
              <w:rPr>
                <w:rFonts w:asciiTheme="minorHAnsi" w:hAnsiTheme="minorHAnsi" w:cstheme="minorHAnsi"/>
                <w:sz w:val="16"/>
                <w:szCs w:val="22"/>
                <w:lang w:eastAsia="en-IN"/>
              </w:rPr>
            </w:pPr>
            <w:r w:rsidRPr="00100C3D">
              <w:rPr>
                <w:rFonts w:asciiTheme="minorHAnsi" w:hAnsiTheme="minorHAnsi" w:cstheme="minorHAnsi"/>
                <w:color w:val="000000"/>
                <w:kern w:val="24"/>
                <w:sz w:val="16"/>
                <w:szCs w:val="22"/>
                <w:lang w:eastAsia="en-IN"/>
              </w:rPr>
              <w:t>4.43</w:t>
            </w:r>
          </w:p>
        </w:tc>
      </w:tr>
      <w:tr w:rsidR="00BB6BFE" w:rsidRPr="00100C3D" w14:paraId="437A21A2" w14:textId="77777777" w:rsidTr="00100C3D">
        <w:trPr>
          <w:trHeight w:val="349"/>
        </w:trPr>
        <w:tc>
          <w:tcPr>
            <w:tcW w:w="0" w:type="auto"/>
            <w:shd w:val="clear" w:color="auto" w:fill="F4E9E9"/>
            <w:tcMar>
              <w:top w:w="15" w:type="dxa"/>
              <w:left w:w="15" w:type="dxa"/>
              <w:bottom w:w="0" w:type="dxa"/>
              <w:right w:w="15" w:type="dxa"/>
            </w:tcMar>
            <w:vAlign w:val="center"/>
            <w:hideMark/>
          </w:tcPr>
          <w:p w14:paraId="091F3F89" w14:textId="77777777" w:rsidR="00BB6BFE" w:rsidRPr="00100C3D" w:rsidRDefault="00BB6BFE" w:rsidP="00236E38">
            <w:pPr>
              <w:spacing w:line="360" w:lineRule="auto"/>
              <w:jc w:val="center"/>
              <w:textAlignment w:val="center"/>
              <w:rPr>
                <w:rFonts w:asciiTheme="minorHAnsi" w:hAnsiTheme="minorHAnsi" w:cstheme="minorHAnsi"/>
                <w:sz w:val="16"/>
                <w:szCs w:val="22"/>
                <w:lang w:eastAsia="en-IN"/>
              </w:rPr>
            </w:pPr>
            <w:proofErr w:type="spellStart"/>
            <w:r w:rsidRPr="00100C3D">
              <w:rPr>
                <w:rFonts w:asciiTheme="minorHAnsi" w:hAnsiTheme="minorHAnsi" w:cstheme="minorHAnsi"/>
                <w:color w:val="000000"/>
                <w:kern w:val="24"/>
                <w:sz w:val="16"/>
                <w:szCs w:val="22"/>
                <w:lang w:eastAsia="en-IN"/>
              </w:rPr>
              <w:t>Keonjhar</w:t>
            </w:r>
            <w:proofErr w:type="spellEnd"/>
          </w:p>
        </w:tc>
        <w:tc>
          <w:tcPr>
            <w:tcW w:w="0" w:type="auto"/>
            <w:shd w:val="clear" w:color="auto" w:fill="F4E9E9"/>
            <w:tcMar>
              <w:top w:w="15" w:type="dxa"/>
              <w:left w:w="15" w:type="dxa"/>
              <w:bottom w:w="0" w:type="dxa"/>
              <w:right w:w="15" w:type="dxa"/>
            </w:tcMar>
            <w:vAlign w:val="center"/>
            <w:hideMark/>
          </w:tcPr>
          <w:p w14:paraId="0ED5103D" w14:textId="77777777" w:rsidR="00BB6BFE" w:rsidRPr="00100C3D" w:rsidRDefault="00BB6BFE" w:rsidP="00236E38">
            <w:pPr>
              <w:spacing w:line="360" w:lineRule="auto"/>
              <w:jc w:val="center"/>
              <w:textAlignment w:val="center"/>
              <w:rPr>
                <w:rFonts w:asciiTheme="minorHAnsi" w:hAnsiTheme="minorHAnsi" w:cstheme="minorHAnsi"/>
                <w:sz w:val="16"/>
                <w:szCs w:val="22"/>
                <w:lang w:eastAsia="en-IN"/>
              </w:rPr>
            </w:pPr>
            <w:r w:rsidRPr="00100C3D">
              <w:rPr>
                <w:rFonts w:asciiTheme="minorHAnsi" w:hAnsiTheme="minorHAnsi" w:cstheme="minorHAnsi"/>
                <w:color w:val="000000"/>
                <w:kern w:val="24"/>
                <w:sz w:val="16"/>
                <w:szCs w:val="22"/>
                <w:lang w:eastAsia="en-IN"/>
              </w:rPr>
              <w:t>587.36</w:t>
            </w:r>
          </w:p>
        </w:tc>
        <w:tc>
          <w:tcPr>
            <w:tcW w:w="0" w:type="auto"/>
            <w:shd w:val="clear" w:color="auto" w:fill="F4E9E9"/>
            <w:tcMar>
              <w:top w:w="15" w:type="dxa"/>
              <w:left w:w="15" w:type="dxa"/>
              <w:bottom w:w="0" w:type="dxa"/>
              <w:right w:w="15" w:type="dxa"/>
            </w:tcMar>
            <w:vAlign w:val="center"/>
            <w:hideMark/>
          </w:tcPr>
          <w:p w14:paraId="1EDCA0BF" w14:textId="77777777" w:rsidR="00BB6BFE" w:rsidRPr="00100C3D" w:rsidRDefault="00BB6BFE" w:rsidP="00236E38">
            <w:pPr>
              <w:spacing w:line="360" w:lineRule="auto"/>
              <w:jc w:val="center"/>
              <w:textAlignment w:val="center"/>
              <w:rPr>
                <w:rFonts w:asciiTheme="minorHAnsi" w:hAnsiTheme="minorHAnsi" w:cstheme="minorHAnsi"/>
                <w:sz w:val="16"/>
                <w:szCs w:val="22"/>
                <w:lang w:eastAsia="en-IN"/>
              </w:rPr>
            </w:pPr>
            <w:r w:rsidRPr="00100C3D">
              <w:rPr>
                <w:rFonts w:asciiTheme="minorHAnsi" w:hAnsiTheme="minorHAnsi" w:cstheme="minorHAnsi"/>
                <w:color w:val="000000"/>
                <w:kern w:val="24"/>
                <w:sz w:val="16"/>
                <w:szCs w:val="22"/>
                <w:lang w:eastAsia="en-IN"/>
              </w:rPr>
              <w:t>113767.76</w:t>
            </w:r>
          </w:p>
        </w:tc>
        <w:tc>
          <w:tcPr>
            <w:tcW w:w="0" w:type="auto"/>
            <w:shd w:val="clear" w:color="auto" w:fill="F4E9E9"/>
            <w:tcMar>
              <w:top w:w="15" w:type="dxa"/>
              <w:left w:w="15" w:type="dxa"/>
              <w:bottom w:w="0" w:type="dxa"/>
              <w:right w:w="15" w:type="dxa"/>
            </w:tcMar>
            <w:vAlign w:val="center"/>
            <w:hideMark/>
          </w:tcPr>
          <w:p w14:paraId="110F75CA" w14:textId="77777777" w:rsidR="00BB6BFE" w:rsidRPr="00100C3D" w:rsidRDefault="00BB6BFE" w:rsidP="00236E38">
            <w:pPr>
              <w:spacing w:line="360" w:lineRule="auto"/>
              <w:jc w:val="center"/>
              <w:textAlignment w:val="center"/>
              <w:rPr>
                <w:rFonts w:asciiTheme="minorHAnsi" w:hAnsiTheme="minorHAnsi" w:cstheme="minorHAnsi"/>
                <w:sz w:val="16"/>
                <w:szCs w:val="22"/>
                <w:lang w:eastAsia="en-IN"/>
              </w:rPr>
            </w:pPr>
            <w:r w:rsidRPr="00100C3D">
              <w:rPr>
                <w:rFonts w:asciiTheme="minorHAnsi" w:hAnsiTheme="minorHAnsi" w:cstheme="minorHAnsi"/>
                <w:color w:val="000000"/>
                <w:kern w:val="24"/>
                <w:sz w:val="16"/>
                <w:szCs w:val="22"/>
                <w:lang w:eastAsia="en-IN"/>
              </w:rPr>
              <w:t>488.39</w:t>
            </w:r>
          </w:p>
        </w:tc>
        <w:tc>
          <w:tcPr>
            <w:tcW w:w="0" w:type="auto"/>
            <w:shd w:val="clear" w:color="auto" w:fill="F4E9E9"/>
            <w:tcMar>
              <w:top w:w="15" w:type="dxa"/>
              <w:left w:w="15" w:type="dxa"/>
              <w:bottom w:w="0" w:type="dxa"/>
              <w:right w:w="15" w:type="dxa"/>
            </w:tcMar>
            <w:vAlign w:val="center"/>
            <w:hideMark/>
          </w:tcPr>
          <w:p w14:paraId="192674EA" w14:textId="77777777" w:rsidR="00BB6BFE" w:rsidRPr="00100C3D" w:rsidRDefault="00BB6BFE" w:rsidP="00236E38">
            <w:pPr>
              <w:spacing w:line="360" w:lineRule="auto"/>
              <w:jc w:val="center"/>
              <w:textAlignment w:val="center"/>
              <w:rPr>
                <w:rFonts w:asciiTheme="minorHAnsi" w:hAnsiTheme="minorHAnsi" w:cstheme="minorHAnsi"/>
                <w:sz w:val="16"/>
                <w:szCs w:val="22"/>
                <w:lang w:eastAsia="en-IN"/>
              </w:rPr>
            </w:pPr>
            <w:r w:rsidRPr="00100C3D">
              <w:rPr>
                <w:rFonts w:asciiTheme="minorHAnsi" w:hAnsiTheme="minorHAnsi" w:cstheme="minorHAnsi"/>
                <w:color w:val="000000"/>
                <w:kern w:val="24"/>
                <w:sz w:val="16"/>
                <w:szCs w:val="22"/>
                <w:lang w:eastAsia="en-IN"/>
              </w:rPr>
              <w:t>15.51</w:t>
            </w:r>
          </w:p>
        </w:tc>
        <w:tc>
          <w:tcPr>
            <w:tcW w:w="0" w:type="auto"/>
            <w:shd w:val="clear" w:color="auto" w:fill="F4E9E9"/>
            <w:tcMar>
              <w:top w:w="15" w:type="dxa"/>
              <w:left w:w="15" w:type="dxa"/>
              <w:bottom w:w="0" w:type="dxa"/>
              <w:right w:w="15" w:type="dxa"/>
            </w:tcMar>
            <w:vAlign w:val="center"/>
            <w:hideMark/>
          </w:tcPr>
          <w:p w14:paraId="73600720" w14:textId="77777777" w:rsidR="00BB6BFE" w:rsidRPr="00100C3D" w:rsidRDefault="00BB6BFE" w:rsidP="00236E38">
            <w:pPr>
              <w:spacing w:line="360" w:lineRule="auto"/>
              <w:jc w:val="center"/>
              <w:textAlignment w:val="center"/>
              <w:rPr>
                <w:rFonts w:asciiTheme="minorHAnsi" w:hAnsiTheme="minorHAnsi" w:cstheme="minorHAnsi"/>
                <w:sz w:val="16"/>
                <w:szCs w:val="22"/>
                <w:lang w:eastAsia="en-IN"/>
              </w:rPr>
            </w:pPr>
            <w:r w:rsidRPr="00100C3D">
              <w:rPr>
                <w:rFonts w:asciiTheme="minorHAnsi" w:hAnsiTheme="minorHAnsi" w:cstheme="minorHAnsi"/>
                <w:color w:val="000000"/>
                <w:kern w:val="24"/>
                <w:sz w:val="16"/>
                <w:szCs w:val="22"/>
                <w:lang w:eastAsia="en-IN"/>
              </w:rPr>
              <w:t>3.18</w:t>
            </w:r>
          </w:p>
        </w:tc>
        <w:tc>
          <w:tcPr>
            <w:tcW w:w="0" w:type="auto"/>
            <w:shd w:val="clear" w:color="auto" w:fill="auto"/>
            <w:tcMar>
              <w:top w:w="15" w:type="dxa"/>
              <w:left w:w="15" w:type="dxa"/>
              <w:bottom w:w="0" w:type="dxa"/>
              <w:right w:w="15" w:type="dxa"/>
            </w:tcMar>
            <w:vAlign w:val="center"/>
            <w:hideMark/>
          </w:tcPr>
          <w:p w14:paraId="45FE59D3" w14:textId="77777777" w:rsidR="00BB6BFE" w:rsidRPr="00100C3D" w:rsidRDefault="00BB6BFE" w:rsidP="00236E38">
            <w:pPr>
              <w:spacing w:line="360" w:lineRule="auto"/>
              <w:jc w:val="center"/>
              <w:textAlignment w:val="center"/>
              <w:rPr>
                <w:rFonts w:asciiTheme="minorHAnsi" w:hAnsiTheme="minorHAnsi" w:cstheme="minorHAnsi"/>
                <w:sz w:val="16"/>
                <w:szCs w:val="22"/>
                <w:lang w:eastAsia="en-IN"/>
              </w:rPr>
            </w:pPr>
            <w:r w:rsidRPr="00100C3D">
              <w:rPr>
                <w:rFonts w:asciiTheme="minorHAnsi" w:hAnsiTheme="minorHAnsi" w:cstheme="minorHAnsi"/>
                <w:color w:val="000000"/>
                <w:kern w:val="24"/>
                <w:sz w:val="16"/>
                <w:szCs w:val="22"/>
                <w:lang w:eastAsia="en-IN"/>
              </w:rPr>
              <w:t> </w:t>
            </w:r>
          </w:p>
        </w:tc>
        <w:tc>
          <w:tcPr>
            <w:tcW w:w="0" w:type="auto"/>
            <w:shd w:val="clear" w:color="auto" w:fill="F4E9E9"/>
            <w:tcMar>
              <w:top w:w="15" w:type="dxa"/>
              <w:left w:w="15" w:type="dxa"/>
              <w:bottom w:w="0" w:type="dxa"/>
              <w:right w:w="15" w:type="dxa"/>
            </w:tcMar>
            <w:vAlign w:val="center"/>
            <w:hideMark/>
          </w:tcPr>
          <w:p w14:paraId="49C8CF97" w14:textId="77777777" w:rsidR="00BB6BFE" w:rsidRPr="00100C3D" w:rsidRDefault="00BB6BFE" w:rsidP="00236E38">
            <w:pPr>
              <w:spacing w:line="360" w:lineRule="auto"/>
              <w:jc w:val="center"/>
              <w:textAlignment w:val="center"/>
              <w:rPr>
                <w:rFonts w:asciiTheme="minorHAnsi" w:hAnsiTheme="minorHAnsi" w:cstheme="minorHAnsi"/>
                <w:sz w:val="16"/>
                <w:szCs w:val="22"/>
                <w:lang w:eastAsia="en-IN"/>
              </w:rPr>
            </w:pPr>
            <w:r w:rsidRPr="00100C3D">
              <w:rPr>
                <w:rFonts w:asciiTheme="minorHAnsi" w:hAnsiTheme="minorHAnsi" w:cstheme="minorHAnsi"/>
                <w:color w:val="000000"/>
                <w:kern w:val="24"/>
                <w:sz w:val="16"/>
                <w:szCs w:val="22"/>
                <w:lang w:eastAsia="en-IN"/>
              </w:rPr>
              <w:t>622.16</w:t>
            </w:r>
          </w:p>
        </w:tc>
        <w:tc>
          <w:tcPr>
            <w:tcW w:w="0" w:type="auto"/>
            <w:shd w:val="clear" w:color="auto" w:fill="F4E9E9"/>
            <w:tcMar>
              <w:top w:w="15" w:type="dxa"/>
              <w:left w:w="15" w:type="dxa"/>
              <w:bottom w:w="0" w:type="dxa"/>
              <w:right w:w="15" w:type="dxa"/>
            </w:tcMar>
            <w:vAlign w:val="center"/>
            <w:hideMark/>
          </w:tcPr>
          <w:p w14:paraId="37D0A8D3" w14:textId="77777777" w:rsidR="00BB6BFE" w:rsidRPr="00100C3D" w:rsidRDefault="00BB6BFE" w:rsidP="00236E38">
            <w:pPr>
              <w:spacing w:line="360" w:lineRule="auto"/>
              <w:jc w:val="center"/>
              <w:textAlignment w:val="center"/>
              <w:rPr>
                <w:rFonts w:asciiTheme="minorHAnsi" w:hAnsiTheme="minorHAnsi" w:cstheme="minorHAnsi"/>
                <w:sz w:val="16"/>
                <w:szCs w:val="22"/>
                <w:lang w:eastAsia="en-IN"/>
              </w:rPr>
            </w:pPr>
            <w:r w:rsidRPr="00100C3D">
              <w:rPr>
                <w:rFonts w:asciiTheme="minorHAnsi" w:hAnsiTheme="minorHAnsi" w:cstheme="minorHAnsi"/>
                <w:color w:val="000000"/>
                <w:kern w:val="24"/>
                <w:sz w:val="16"/>
                <w:szCs w:val="22"/>
                <w:lang w:eastAsia="en-IN"/>
              </w:rPr>
              <w:t>116916.23</w:t>
            </w:r>
          </w:p>
        </w:tc>
        <w:tc>
          <w:tcPr>
            <w:tcW w:w="0" w:type="auto"/>
            <w:shd w:val="clear" w:color="auto" w:fill="F4E9E9"/>
            <w:tcMar>
              <w:top w:w="15" w:type="dxa"/>
              <w:left w:w="15" w:type="dxa"/>
              <w:bottom w:w="0" w:type="dxa"/>
              <w:right w:w="15" w:type="dxa"/>
            </w:tcMar>
            <w:vAlign w:val="center"/>
            <w:hideMark/>
          </w:tcPr>
          <w:p w14:paraId="5AE97FBE" w14:textId="77777777" w:rsidR="00BB6BFE" w:rsidRPr="00100C3D" w:rsidRDefault="00BB6BFE" w:rsidP="00236E38">
            <w:pPr>
              <w:spacing w:line="360" w:lineRule="auto"/>
              <w:jc w:val="center"/>
              <w:textAlignment w:val="center"/>
              <w:rPr>
                <w:rFonts w:asciiTheme="minorHAnsi" w:hAnsiTheme="minorHAnsi" w:cstheme="minorHAnsi"/>
                <w:sz w:val="16"/>
                <w:szCs w:val="22"/>
                <w:lang w:eastAsia="en-IN"/>
              </w:rPr>
            </w:pPr>
            <w:r w:rsidRPr="00100C3D">
              <w:rPr>
                <w:rFonts w:asciiTheme="minorHAnsi" w:hAnsiTheme="minorHAnsi" w:cstheme="minorHAnsi"/>
                <w:color w:val="000000"/>
                <w:kern w:val="24"/>
                <w:sz w:val="16"/>
                <w:szCs w:val="22"/>
                <w:lang w:eastAsia="en-IN"/>
              </w:rPr>
              <w:t>502.35</w:t>
            </w:r>
          </w:p>
        </w:tc>
        <w:tc>
          <w:tcPr>
            <w:tcW w:w="0" w:type="auto"/>
            <w:shd w:val="clear" w:color="auto" w:fill="F4E9E9"/>
            <w:tcMar>
              <w:top w:w="15" w:type="dxa"/>
              <w:left w:w="15" w:type="dxa"/>
              <w:bottom w:w="0" w:type="dxa"/>
              <w:right w:w="15" w:type="dxa"/>
            </w:tcMar>
            <w:vAlign w:val="center"/>
            <w:hideMark/>
          </w:tcPr>
          <w:p w14:paraId="4AD674BD" w14:textId="77777777" w:rsidR="00BB6BFE" w:rsidRPr="00100C3D" w:rsidRDefault="00BB6BFE" w:rsidP="00236E38">
            <w:pPr>
              <w:spacing w:line="360" w:lineRule="auto"/>
              <w:jc w:val="center"/>
              <w:textAlignment w:val="center"/>
              <w:rPr>
                <w:rFonts w:asciiTheme="minorHAnsi" w:hAnsiTheme="minorHAnsi" w:cstheme="minorHAnsi"/>
                <w:sz w:val="16"/>
                <w:szCs w:val="22"/>
                <w:lang w:eastAsia="en-IN"/>
              </w:rPr>
            </w:pPr>
            <w:r w:rsidRPr="00100C3D">
              <w:rPr>
                <w:rFonts w:asciiTheme="minorHAnsi" w:hAnsiTheme="minorHAnsi" w:cstheme="minorHAnsi"/>
                <w:color w:val="000000"/>
                <w:kern w:val="24"/>
                <w:sz w:val="16"/>
                <w:szCs w:val="22"/>
                <w:lang w:eastAsia="en-IN"/>
              </w:rPr>
              <w:t>13.67</w:t>
            </w:r>
          </w:p>
        </w:tc>
        <w:tc>
          <w:tcPr>
            <w:tcW w:w="0" w:type="auto"/>
            <w:shd w:val="clear" w:color="auto" w:fill="F4E9E9"/>
            <w:tcMar>
              <w:top w:w="15" w:type="dxa"/>
              <w:left w:w="15" w:type="dxa"/>
              <w:bottom w:w="0" w:type="dxa"/>
              <w:right w:w="15" w:type="dxa"/>
            </w:tcMar>
            <w:vAlign w:val="center"/>
            <w:hideMark/>
          </w:tcPr>
          <w:p w14:paraId="204952E6" w14:textId="77777777" w:rsidR="00BB6BFE" w:rsidRPr="00100C3D" w:rsidRDefault="00BB6BFE" w:rsidP="00236E38">
            <w:pPr>
              <w:spacing w:line="360" w:lineRule="auto"/>
              <w:jc w:val="center"/>
              <w:textAlignment w:val="center"/>
              <w:rPr>
                <w:rFonts w:asciiTheme="minorHAnsi" w:hAnsiTheme="minorHAnsi" w:cstheme="minorHAnsi"/>
                <w:sz w:val="16"/>
                <w:szCs w:val="22"/>
                <w:lang w:eastAsia="en-IN"/>
              </w:rPr>
            </w:pPr>
            <w:r w:rsidRPr="00100C3D">
              <w:rPr>
                <w:rFonts w:asciiTheme="minorHAnsi" w:hAnsiTheme="minorHAnsi" w:cstheme="minorHAnsi"/>
                <w:color w:val="000000"/>
                <w:kern w:val="24"/>
                <w:sz w:val="16"/>
                <w:szCs w:val="22"/>
                <w:lang w:eastAsia="en-IN"/>
              </w:rPr>
              <w:t>2.72</w:t>
            </w:r>
          </w:p>
        </w:tc>
        <w:tc>
          <w:tcPr>
            <w:tcW w:w="0" w:type="auto"/>
            <w:shd w:val="clear" w:color="auto" w:fill="auto"/>
            <w:tcMar>
              <w:top w:w="15" w:type="dxa"/>
              <w:left w:w="15" w:type="dxa"/>
              <w:bottom w:w="0" w:type="dxa"/>
              <w:right w:w="15" w:type="dxa"/>
            </w:tcMar>
            <w:vAlign w:val="center"/>
            <w:hideMark/>
          </w:tcPr>
          <w:p w14:paraId="37FE0C09" w14:textId="77777777" w:rsidR="00BB6BFE" w:rsidRPr="00100C3D" w:rsidRDefault="00BB6BFE" w:rsidP="00236E38">
            <w:pPr>
              <w:spacing w:line="360" w:lineRule="auto"/>
              <w:jc w:val="center"/>
              <w:textAlignment w:val="center"/>
              <w:rPr>
                <w:rFonts w:asciiTheme="minorHAnsi" w:hAnsiTheme="minorHAnsi" w:cstheme="minorHAnsi"/>
                <w:sz w:val="16"/>
                <w:szCs w:val="22"/>
                <w:lang w:eastAsia="en-IN"/>
              </w:rPr>
            </w:pPr>
            <w:r w:rsidRPr="00100C3D">
              <w:rPr>
                <w:rFonts w:asciiTheme="minorHAnsi" w:hAnsiTheme="minorHAnsi" w:cstheme="minorHAnsi"/>
                <w:color w:val="000000"/>
                <w:kern w:val="24"/>
                <w:sz w:val="16"/>
                <w:szCs w:val="22"/>
                <w:lang w:eastAsia="en-IN"/>
              </w:rPr>
              <w:t> </w:t>
            </w:r>
          </w:p>
        </w:tc>
        <w:tc>
          <w:tcPr>
            <w:tcW w:w="0" w:type="auto"/>
            <w:shd w:val="clear" w:color="auto" w:fill="F4E9E9"/>
            <w:tcMar>
              <w:top w:w="15" w:type="dxa"/>
              <w:left w:w="15" w:type="dxa"/>
              <w:bottom w:w="0" w:type="dxa"/>
              <w:right w:w="15" w:type="dxa"/>
            </w:tcMar>
            <w:vAlign w:val="center"/>
            <w:hideMark/>
          </w:tcPr>
          <w:p w14:paraId="28207DE0" w14:textId="77777777" w:rsidR="00BB6BFE" w:rsidRPr="00100C3D" w:rsidRDefault="00BB6BFE" w:rsidP="00236E38">
            <w:pPr>
              <w:spacing w:line="360" w:lineRule="auto"/>
              <w:jc w:val="center"/>
              <w:textAlignment w:val="center"/>
              <w:rPr>
                <w:rFonts w:asciiTheme="minorHAnsi" w:hAnsiTheme="minorHAnsi" w:cstheme="minorHAnsi"/>
                <w:sz w:val="16"/>
                <w:szCs w:val="22"/>
                <w:lang w:eastAsia="en-IN"/>
              </w:rPr>
            </w:pPr>
            <w:r w:rsidRPr="00100C3D">
              <w:rPr>
                <w:rFonts w:asciiTheme="minorHAnsi" w:hAnsiTheme="minorHAnsi" w:cstheme="minorHAnsi"/>
                <w:color w:val="000000"/>
                <w:kern w:val="24"/>
                <w:sz w:val="16"/>
                <w:szCs w:val="22"/>
                <w:lang w:eastAsia="en-IN"/>
              </w:rPr>
              <w:t>739.33</w:t>
            </w:r>
          </w:p>
        </w:tc>
        <w:tc>
          <w:tcPr>
            <w:tcW w:w="0" w:type="auto"/>
            <w:shd w:val="clear" w:color="auto" w:fill="F4E9E9"/>
            <w:tcMar>
              <w:top w:w="15" w:type="dxa"/>
              <w:left w:w="15" w:type="dxa"/>
              <w:bottom w:w="0" w:type="dxa"/>
              <w:right w:w="15" w:type="dxa"/>
            </w:tcMar>
            <w:vAlign w:val="center"/>
            <w:hideMark/>
          </w:tcPr>
          <w:p w14:paraId="0189D498" w14:textId="77777777" w:rsidR="00BB6BFE" w:rsidRPr="00100C3D" w:rsidRDefault="00BB6BFE" w:rsidP="00236E38">
            <w:pPr>
              <w:spacing w:line="360" w:lineRule="auto"/>
              <w:jc w:val="center"/>
              <w:textAlignment w:val="center"/>
              <w:rPr>
                <w:rFonts w:asciiTheme="minorHAnsi" w:hAnsiTheme="minorHAnsi" w:cstheme="minorHAnsi"/>
                <w:sz w:val="16"/>
                <w:szCs w:val="22"/>
                <w:lang w:eastAsia="en-IN"/>
              </w:rPr>
            </w:pPr>
            <w:r w:rsidRPr="00100C3D">
              <w:rPr>
                <w:rFonts w:asciiTheme="minorHAnsi" w:hAnsiTheme="minorHAnsi" w:cstheme="minorHAnsi"/>
                <w:color w:val="000000"/>
                <w:kern w:val="24"/>
                <w:sz w:val="16"/>
                <w:szCs w:val="22"/>
                <w:lang w:eastAsia="en-IN"/>
              </w:rPr>
              <w:t>144451.1</w:t>
            </w:r>
          </w:p>
        </w:tc>
        <w:tc>
          <w:tcPr>
            <w:tcW w:w="0" w:type="auto"/>
            <w:shd w:val="clear" w:color="auto" w:fill="F4E9E9"/>
            <w:tcMar>
              <w:top w:w="15" w:type="dxa"/>
              <w:left w:w="15" w:type="dxa"/>
              <w:bottom w:w="0" w:type="dxa"/>
              <w:right w:w="15" w:type="dxa"/>
            </w:tcMar>
            <w:vAlign w:val="center"/>
            <w:hideMark/>
          </w:tcPr>
          <w:p w14:paraId="1FAD7302" w14:textId="77777777" w:rsidR="00BB6BFE" w:rsidRPr="00100C3D" w:rsidRDefault="00BB6BFE" w:rsidP="00236E38">
            <w:pPr>
              <w:spacing w:line="360" w:lineRule="auto"/>
              <w:jc w:val="center"/>
              <w:textAlignment w:val="center"/>
              <w:rPr>
                <w:rFonts w:asciiTheme="minorHAnsi" w:hAnsiTheme="minorHAnsi" w:cstheme="minorHAnsi"/>
                <w:sz w:val="16"/>
                <w:szCs w:val="22"/>
                <w:lang w:eastAsia="en-IN"/>
              </w:rPr>
            </w:pPr>
            <w:r w:rsidRPr="00100C3D">
              <w:rPr>
                <w:rFonts w:asciiTheme="minorHAnsi" w:hAnsiTheme="minorHAnsi" w:cstheme="minorHAnsi"/>
                <w:color w:val="000000"/>
                <w:kern w:val="24"/>
                <w:sz w:val="16"/>
                <w:szCs w:val="22"/>
                <w:lang w:eastAsia="en-IN"/>
              </w:rPr>
              <w:t>555.11</w:t>
            </w:r>
          </w:p>
        </w:tc>
        <w:tc>
          <w:tcPr>
            <w:tcW w:w="0" w:type="auto"/>
            <w:shd w:val="clear" w:color="auto" w:fill="F4E9E9"/>
            <w:tcMar>
              <w:top w:w="15" w:type="dxa"/>
              <w:left w:w="15" w:type="dxa"/>
              <w:bottom w:w="0" w:type="dxa"/>
              <w:right w:w="15" w:type="dxa"/>
            </w:tcMar>
            <w:vAlign w:val="center"/>
            <w:hideMark/>
          </w:tcPr>
          <w:p w14:paraId="5C21D883" w14:textId="77777777" w:rsidR="00BB6BFE" w:rsidRPr="00100C3D" w:rsidRDefault="00BB6BFE" w:rsidP="00236E38">
            <w:pPr>
              <w:spacing w:line="360" w:lineRule="auto"/>
              <w:jc w:val="center"/>
              <w:textAlignment w:val="center"/>
              <w:rPr>
                <w:rFonts w:asciiTheme="minorHAnsi" w:hAnsiTheme="minorHAnsi" w:cstheme="minorHAnsi"/>
                <w:sz w:val="16"/>
                <w:szCs w:val="22"/>
                <w:lang w:eastAsia="en-IN"/>
              </w:rPr>
            </w:pPr>
            <w:r w:rsidRPr="00100C3D">
              <w:rPr>
                <w:rFonts w:asciiTheme="minorHAnsi" w:hAnsiTheme="minorHAnsi" w:cstheme="minorHAnsi"/>
                <w:color w:val="000000"/>
                <w:kern w:val="24"/>
                <w:sz w:val="16"/>
                <w:szCs w:val="22"/>
                <w:lang w:eastAsia="en-IN"/>
              </w:rPr>
              <w:t>12.97</w:t>
            </w:r>
          </w:p>
        </w:tc>
        <w:tc>
          <w:tcPr>
            <w:tcW w:w="0" w:type="auto"/>
            <w:shd w:val="clear" w:color="auto" w:fill="F4E9E9"/>
            <w:tcMar>
              <w:top w:w="15" w:type="dxa"/>
              <w:left w:w="15" w:type="dxa"/>
              <w:bottom w:w="0" w:type="dxa"/>
              <w:right w:w="15" w:type="dxa"/>
            </w:tcMar>
            <w:vAlign w:val="center"/>
            <w:hideMark/>
          </w:tcPr>
          <w:p w14:paraId="197BF531" w14:textId="77777777" w:rsidR="00BB6BFE" w:rsidRPr="00100C3D" w:rsidRDefault="00BB6BFE" w:rsidP="00236E38">
            <w:pPr>
              <w:spacing w:line="360" w:lineRule="auto"/>
              <w:jc w:val="center"/>
              <w:textAlignment w:val="center"/>
              <w:rPr>
                <w:rFonts w:asciiTheme="minorHAnsi" w:hAnsiTheme="minorHAnsi" w:cstheme="minorHAnsi"/>
                <w:sz w:val="16"/>
                <w:szCs w:val="22"/>
                <w:lang w:eastAsia="en-IN"/>
              </w:rPr>
            </w:pPr>
            <w:r w:rsidRPr="00100C3D">
              <w:rPr>
                <w:rFonts w:asciiTheme="minorHAnsi" w:hAnsiTheme="minorHAnsi" w:cstheme="minorHAnsi"/>
                <w:color w:val="000000"/>
                <w:kern w:val="24"/>
                <w:sz w:val="16"/>
                <w:szCs w:val="22"/>
                <w:lang w:eastAsia="en-IN"/>
              </w:rPr>
              <w:t>2.34</w:t>
            </w:r>
          </w:p>
        </w:tc>
      </w:tr>
      <w:tr w:rsidR="00BB6BFE" w:rsidRPr="00100C3D" w14:paraId="2CD39F8C" w14:textId="77777777" w:rsidTr="00100C3D">
        <w:trPr>
          <w:trHeight w:val="364"/>
        </w:trPr>
        <w:tc>
          <w:tcPr>
            <w:tcW w:w="0" w:type="auto"/>
            <w:shd w:val="clear" w:color="auto" w:fill="17365D" w:themeFill="text2" w:themeFillShade="BF"/>
            <w:tcMar>
              <w:top w:w="15" w:type="dxa"/>
              <w:left w:w="15" w:type="dxa"/>
              <w:bottom w:w="0" w:type="dxa"/>
              <w:right w:w="15" w:type="dxa"/>
            </w:tcMar>
            <w:vAlign w:val="center"/>
            <w:hideMark/>
          </w:tcPr>
          <w:p w14:paraId="3F690C9B" w14:textId="77777777" w:rsidR="00BB6BFE" w:rsidRPr="00100C3D" w:rsidRDefault="00BB6BFE" w:rsidP="00236E38">
            <w:pPr>
              <w:spacing w:line="360" w:lineRule="auto"/>
              <w:jc w:val="center"/>
              <w:textAlignment w:val="center"/>
              <w:rPr>
                <w:rFonts w:asciiTheme="minorHAnsi" w:hAnsiTheme="minorHAnsi" w:cstheme="minorHAnsi"/>
                <w:color w:val="FFFFFF" w:themeColor="background1"/>
                <w:sz w:val="16"/>
                <w:szCs w:val="22"/>
                <w:lang w:eastAsia="en-IN"/>
              </w:rPr>
            </w:pPr>
            <w:r w:rsidRPr="00100C3D">
              <w:rPr>
                <w:rFonts w:asciiTheme="minorHAnsi" w:hAnsiTheme="minorHAnsi" w:cstheme="minorHAnsi"/>
                <w:b/>
                <w:bCs/>
                <w:color w:val="FFFFFF" w:themeColor="background1"/>
                <w:kern w:val="24"/>
                <w:sz w:val="16"/>
                <w:szCs w:val="22"/>
                <w:lang w:eastAsia="en-IN"/>
              </w:rPr>
              <w:t>Total</w:t>
            </w:r>
          </w:p>
        </w:tc>
        <w:tc>
          <w:tcPr>
            <w:tcW w:w="0" w:type="auto"/>
            <w:shd w:val="clear" w:color="auto" w:fill="17365D" w:themeFill="text2" w:themeFillShade="BF"/>
            <w:tcMar>
              <w:top w:w="15" w:type="dxa"/>
              <w:left w:w="15" w:type="dxa"/>
              <w:bottom w:w="0" w:type="dxa"/>
              <w:right w:w="15" w:type="dxa"/>
            </w:tcMar>
            <w:vAlign w:val="center"/>
            <w:hideMark/>
          </w:tcPr>
          <w:p w14:paraId="3C157E76" w14:textId="77777777" w:rsidR="00BB6BFE" w:rsidRPr="00100C3D" w:rsidRDefault="00BB6BFE" w:rsidP="00236E38">
            <w:pPr>
              <w:spacing w:line="360" w:lineRule="auto"/>
              <w:jc w:val="center"/>
              <w:textAlignment w:val="center"/>
              <w:rPr>
                <w:rFonts w:asciiTheme="minorHAnsi" w:hAnsiTheme="minorHAnsi" w:cstheme="minorHAnsi"/>
                <w:color w:val="FFFFFF" w:themeColor="background1"/>
                <w:sz w:val="16"/>
                <w:szCs w:val="22"/>
                <w:lang w:eastAsia="en-IN"/>
              </w:rPr>
            </w:pPr>
            <w:r w:rsidRPr="00100C3D">
              <w:rPr>
                <w:rFonts w:asciiTheme="minorHAnsi" w:hAnsiTheme="minorHAnsi" w:cstheme="minorHAnsi"/>
                <w:b/>
                <w:bCs/>
                <w:color w:val="FFFFFF" w:themeColor="background1"/>
                <w:kern w:val="24"/>
                <w:sz w:val="16"/>
                <w:szCs w:val="22"/>
                <w:lang w:eastAsia="en-IN"/>
              </w:rPr>
              <w:t>2588.02</w:t>
            </w:r>
          </w:p>
        </w:tc>
        <w:tc>
          <w:tcPr>
            <w:tcW w:w="0" w:type="auto"/>
            <w:shd w:val="clear" w:color="auto" w:fill="17365D" w:themeFill="text2" w:themeFillShade="BF"/>
            <w:tcMar>
              <w:top w:w="15" w:type="dxa"/>
              <w:left w:w="15" w:type="dxa"/>
              <w:bottom w:w="0" w:type="dxa"/>
              <w:right w:w="15" w:type="dxa"/>
            </w:tcMar>
            <w:vAlign w:val="center"/>
            <w:hideMark/>
          </w:tcPr>
          <w:p w14:paraId="1FA13AC7" w14:textId="77777777" w:rsidR="00BB6BFE" w:rsidRPr="00100C3D" w:rsidRDefault="00BB6BFE" w:rsidP="00236E38">
            <w:pPr>
              <w:spacing w:line="360" w:lineRule="auto"/>
              <w:jc w:val="center"/>
              <w:textAlignment w:val="center"/>
              <w:rPr>
                <w:rFonts w:asciiTheme="minorHAnsi" w:hAnsiTheme="minorHAnsi" w:cstheme="minorHAnsi"/>
                <w:color w:val="FFFFFF" w:themeColor="background1"/>
                <w:sz w:val="16"/>
                <w:szCs w:val="22"/>
                <w:lang w:eastAsia="en-IN"/>
              </w:rPr>
            </w:pPr>
            <w:r w:rsidRPr="00100C3D">
              <w:rPr>
                <w:rFonts w:asciiTheme="minorHAnsi" w:hAnsiTheme="minorHAnsi" w:cstheme="minorHAnsi"/>
                <w:b/>
                <w:bCs/>
                <w:color w:val="FFFFFF" w:themeColor="background1"/>
                <w:kern w:val="24"/>
                <w:sz w:val="16"/>
                <w:szCs w:val="22"/>
                <w:lang w:eastAsia="en-IN"/>
              </w:rPr>
              <w:t>823900.27</w:t>
            </w:r>
          </w:p>
        </w:tc>
        <w:tc>
          <w:tcPr>
            <w:tcW w:w="0" w:type="auto"/>
            <w:shd w:val="clear" w:color="auto" w:fill="17365D" w:themeFill="text2" w:themeFillShade="BF"/>
            <w:tcMar>
              <w:top w:w="15" w:type="dxa"/>
              <w:left w:w="15" w:type="dxa"/>
              <w:bottom w:w="0" w:type="dxa"/>
              <w:right w:w="15" w:type="dxa"/>
            </w:tcMar>
            <w:vAlign w:val="center"/>
            <w:hideMark/>
          </w:tcPr>
          <w:p w14:paraId="0758A9D5" w14:textId="77777777" w:rsidR="00BB6BFE" w:rsidRPr="00100C3D" w:rsidRDefault="00BB6BFE" w:rsidP="00236E38">
            <w:pPr>
              <w:spacing w:line="360" w:lineRule="auto"/>
              <w:jc w:val="center"/>
              <w:textAlignment w:val="center"/>
              <w:rPr>
                <w:rFonts w:asciiTheme="minorHAnsi" w:hAnsiTheme="minorHAnsi" w:cstheme="minorHAnsi"/>
                <w:color w:val="FFFFFF" w:themeColor="background1"/>
                <w:sz w:val="16"/>
                <w:szCs w:val="22"/>
                <w:lang w:eastAsia="en-IN"/>
              </w:rPr>
            </w:pPr>
            <w:r w:rsidRPr="00100C3D">
              <w:rPr>
                <w:rFonts w:asciiTheme="minorHAnsi" w:hAnsiTheme="minorHAnsi" w:cstheme="minorHAnsi"/>
                <w:b/>
                <w:bCs/>
                <w:color w:val="FFFFFF" w:themeColor="background1"/>
                <w:kern w:val="24"/>
                <w:sz w:val="16"/>
                <w:szCs w:val="22"/>
                <w:lang w:eastAsia="en-IN"/>
              </w:rPr>
              <w:t>3352.68</w:t>
            </w:r>
          </w:p>
        </w:tc>
        <w:tc>
          <w:tcPr>
            <w:tcW w:w="0" w:type="auto"/>
            <w:shd w:val="clear" w:color="auto" w:fill="17365D" w:themeFill="text2" w:themeFillShade="BF"/>
            <w:tcMar>
              <w:top w:w="15" w:type="dxa"/>
              <w:left w:w="15" w:type="dxa"/>
              <w:bottom w:w="0" w:type="dxa"/>
              <w:right w:w="15" w:type="dxa"/>
            </w:tcMar>
            <w:vAlign w:val="center"/>
            <w:hideMark/>
          </w:tcPr>
          <w:p w14:paraId="6F77F311" w14:textId="77777777" w:rsidR="00BB6BFE" w:rsidRPr="00100C3D" w:rsidRDefault="00BB6BFE" w:rsidP="00236E38">
            <w:pPr>
              <w:spacing w:line="360" w:lineRule="auto"/>
              <w:jc w:val="center"/>
              <w:textAlignment w:val="center"/>
              <w:rPr>
                <w:rFonts w:asciiTheme="minorHAnsi" w:hAnsiTheme="minorHAnsi" w:cstheme="minorHAnsi"/>
                <w:color w:val="FFFFFF" w:themeColor="background1"/>
                <w:sz w:val="16"/>
                <w:szCs w:val="22"/>
                <w:lang w:eastAsia="en-IN"/>
              </w:rPr>
            </w:pPr>
            <w:r w:rsidRPr="00100C3D">
              <w:rPr>
                <w:rFonts w:asciiTheme="minorHAnsi" w:hAnsiTheme="minorHAnsi" w:cstheme="minorHAnsi"/>
                <w:b/>
                <w:bCs/>
                <w:color w:val="FFFFFF" w:themeColor="background1"/>
                <w:kern w:val="24"/>
                <w:sz w:val="16"/>
                <w:szCs w:val="22"/>
                <w:lang w:eastAsia="en-IN"/>
              </w:rPr>
              <w:t>135</w:t>
            </w:r>
          </w:p>
        </w:tc>
        <w:tc>
          <w:tcPr>
            <w:tcW w:w="0" w:type="auto"/>
            <w:shd w:val="clear" w:color="auto" w:fill="17365D" w:themeFill="text2" w:themeFillShade="BF"/>
            <w:tcMar>
              <w:top w:w="15" w:type="dxa"/>
              <w:left w:w="15" w:type="dxa"/>
              <w:bottom w:w="0" w:type="dxa"/>
              <w:right w:w="15" w:type="dxa"/>
            </w:tcMar>
            <w:vAlign w:val="center"/>
            <w:hideMark/>
          </w:tcPr>
          <w:p w14:paraId="67B4D733" w14:textId="77777777" w:rsidR="00BB6BFE" w:rsidRPr="00100C3D" w:rsidRDefault="00BB6BFE" w:rsidP="00236E38">
            <w:pPr>
              <w:spacing w:line="360" w:lineRule="auto"/>
              <w:jc w:val="center"/>
              <w:textAlignment w:val="center"/>
              <w:rPr>
                <w:rFonts w:asciiTheme="minorHAnsi" w:hAnsiTheme="minorHAnsi" w:cstheme="minorHAnsi"/>
                <w:color w:val="FFFFFF" w:themeColor="background1"/>
                <w:sz w:val="16"/>
                <w:szCs w:val="22"/>
                <w:lang w:eastAsia="en-IN"/>
              </w:rPr>
            </w:pPr>
            <w:r w:rsidRPr="00100C3D">
              <w:rPr>
                <w:rFonts w:asciiTheme="minorHAnsi" w:hAnsiTheme="minorHAnsi" w:cstheme="minorHAnsi"/>
                <w:b/>
                <w:bCs/>
                <w:color w:val="FFFFFF" w:themeColor="background1"/>
                <w:kern w:val="24"/>
                <w:sz w:val="16"/>
                <w:szCs w:val="22"/>
                <w:lang w:eastAsia="en-IN"/>
              </w:rPr>
              <w:t>4.03</w:t>
            </w:r>
          </w:p>
        </w:tc>
        <w:tc>
          <w:tcPr>
            <w:tcW w:w="0" w:type="auto"/>
            <w:shd w:val="clear" w:color="auto" w:fill="17365D" w:themeFill="text2" w:themeFillShade="BF"/>
            <w:tcMar>
              <w:top w:w="15" w:type="dxa"/>
              <w:left w:w="15" w:type="dxa"/>
              <w:bottom w:w="0" w:type="dxa"/>
              <w:right w:w="15" w:type="dxa"/>
            </w:tcMar>
            <w:vAlign w:val="center"/>
            <w:hideMark/>
          </w:tcPr>
          <w:p w14:paraId="1FB09B77" w14:textId="77777777" w:rsidR="00BB6BFE" w:rsidRPr="00100C3D" w:rsidRDefault="00BB6BFE" w:rsidP="00236E38">
            <w:pPr>
              <w:spacing w:line="360" w:lineRule="auto"/>
              <w:jc w:val="center"/>
              <w:textAlignment w:val="center"/>
              <w:rPr>
                <w:rFonts w:asciiTheme="minorHAnsi" w:hAnsiTheme="minorHAnsi" w:cstheme="minorHAnsi"/>
                <w:color w:val="FFFFFF" w:themeColor="background1"/>
                <w:sz w:val="16"/>
                <w:szCs w:val="22"/>
                <w:lang w:eastAsia="en-IN"/>
              </w:rPr>
            </w:pPr>
            <w:r w:rsidRPr="00100C3D">
              <w:rPr>
                <w:rFonts w:asciiTheme="minorHAnsi" w:hAnsiTheme="minorHAnsi" w:cstheme="minorHAnsi"/>
                <w:b/>
                <w:bCs/>
                <w:color w:val="FFFFFF" w:themeColor="background1"/>
                <w:kern w:val="24"/>
                <w:sz w:val="16"/>
                <w:szCs w:val="22"/>
                <w:lang w:eastAsia="en-IN"/>
              </w:rPr>
              <w:t> </w:t>
            </w:r>
          </w:p>
        </w:tc>
        <w:tc>
          <w:tcPr>
            <w:tcW w:w="0" w:type="auto"/>
            <w:shd w:val="clear" w:color="auto" w:fill="17365D" w:themeFill="text2" w:themeFillShade="BF"/>
            <w:tcMar>
              <w:top w:w="15" w:type="dxa"/>
              <w:left w:w="15" w:type="dxa"/>
              <w:bottom w:w="0" w:type="dxa"/>
              <w:right w:w="15" w:type="dxa"/>
            </w:tcMar>
            <w:vAlign w:val="center"/>
            <w:hideMark/>
          </w:tcPr>
          <w:p w14:paraId="5548F933" w14:textId="77777777" w:rsidR="00BB6BFE" w:rsidRPr="00100C3D" w:rsidRDefault="00BB6BFE" w:rsidP="00236E38">
            <w:pPr>
              <w:spacing w:line="360" w:lineRule="auto"/>
              <w:jc w:val="center"/>
              <w:textAlignment w:val="center"/>
              <w:rPr>
                <w:rFonts w:asciiTheme="minorHAnsi" w:hAnsiTheme="minorHAnsi" w:cstheme="minorHAnsi"/>
                <w:color w:val="FFFFFF" w:themeColor="background1"/>
                <w:sz w:val="16"/>
                <w:szCs w:val="22"/>
                <w:lang w:eastAsia="en-IN"/>
              </w:rPr>
            </w:pPr>
            <w:r w:rsidRPr="00100C3D">
              <w:rPr>
                <w:rFonts w:asciiTheme="minorHAnsi" w:hAnsiTheme="minorHAnsi" w:cstheme="minorHAnsi"/>
                <w:b/>
                <w:bCs/>
                <w:color w:val="FFFFFF" w:themeColor="background1"/>
                <w:kern w:val="24"/>
                <w:sz w:val="16"/>
                <w:szCs w:val="22"/>
                <w:lang w:eastAsia="en-IN"/>
              </w:rPr>
              <w:t>2705.95</w:t>
            </w:r>
          </w:p>
        </w:tc>
        <w:tc>
          <w:tcPr>
            <w:tcW w:w="0" w:type="auto"/>
            <w:shd w:val="clear" w:color="auto" w:fill="17365D" w:themeFill="text2" w:themeFillShade="BF"/>
            <w:tcMar>
              <w:top w:w="15" w:type="dxa"/>
              <w:left w:w="15" w:type="dxa"/>
              <w:bottom w:w="0" w:type="dxa"/>
              <w:right w:w="15" w:type="dxa"/>
            </w:tcMar>
            <w:vAlign w:val="center"/>
            <w:hideMark/>
          </w:tcPr>
          <w:p w14:paraId="6B8CF29D" w14:textId="77777777" w:rsidR="00BB6BFE" w:rsidRPr="00100C3D" w:rsidRDefault="00BB6BFE" w:rsidP="00236E38">
            <w:pPr>
              <w:spacing w:line="360" w:lineRule="auto"/>
              <w:jc w:val="center"/>
              <w:textAlignment w:val="center"/>
              <w:rPr>
                <w:rFonts w:asciiTheme="minorHAnsi" w:hAnsiTheme="minorHAnsi" w:cstheme="minorHAnsi"/>
                <w:color w:val="FFFFFF" w:themeColor="background1"/>
                <w:sz w:val="16"/>
                <w:szCs w:val="22"/>
                <w:lang w:eastAsia="en-IN"/>
              </w:rPr>
            </w:pPr>
            <w:r w:rsidRPr="00100C3D">
              <w:rPr>
                <w:rFonts w:asciiTheme="minorHAnsi" w:hAnsiTheme="minorHAnsi" w:cstheme="minorHAnsi"/>
                <w:b/>
                <w:bCs/>
                <w:color w:val="FFFFFF" w:themeColor="background1"/>
                <w:kern w:val="24"/>
                <w:sz w:val="16"/>
                <w:szCs w:val="22"/>
                <w:lang w:eastAsia="en-IN"/>
              </w:rPr>
              <w:t>839623.53</w:t>
            </w:r>
          </w:p>
        </w:tc>
        <w:tc>
          <w:tcPr>
            <w:tcW w:w="0" w:type="auto"/>
            <w:shd w:val="clear" w:color="auto" w:fill="17365D" w:themeFill="text2" w:themeFillShade="BF"/>
            <w:tcMar>
              <w:top w:w="15" w:type="dxa"/>
              <w:left w:w="15" w:type="dxa"/>
              <w:bottom w:w="0" w:type="dxa"/>
              <w:right w:w="15" w:type="dxa"/>
            </w:tcMar>
            <w:vAlign w:val="center"/>
            <w:hideMark/>
          </w:tcPr>
          <w:p w14:paraId="1944701E" w14:textId="77777777" w:rsidR="00BB6BFE" w:rsidRPr="00100C3D" w:rsidRDefault="00BB6BFE" w:rsidP="00236E38">
            <w:pPr>
              <w:spacing w:line="360" w:lineRule="auto"/>
              <w:jc w:val="center"/>
              <w:textAlignment w:val="center"/>
              <w:rPr>
                <w:rFonts w:asciiTheme="minorHAnsi" w:hAnsiTheme="minorHAnsi" w:cstheme="minorHAnsi"/>
                <w:color w:val="FFFFFF" w:themeColor="background1"/>
                <w:sz w:val="16"/>
                <w:szCs w:val="22"/>
                <w:lang w:eastAsia="en-IN"/>
              </w:rPr>
            </w:pPr>
            <w:r w:rsidRPr="00100C3D">
              <w:rPr>
                <w:rFonts w:asciiTheme="minorHAnsi" w:hAnsiTheme="minorHAnsi" w:cstheme="minorHAnsi"/>
                <w:b/>
                <w:bCs/>
                <w:color w:val="FFFFFF" w:themeColor="background1"/>
                <w:kern w:val="24"/>
                <w:sz w:val="16"/>
                <w:szCs w:val="22"/>
                <w:lang w:eastAsia="en-IN"/>
              </w:rPr>
              <w:t>3352.82</w:t>
            </w:r>
          </w:p>
        </w:tc>
        <w:tc>
          <w:tcPr>
            <w:tcW w:w="0" w:type="auto"/>
            <w:shd w:val="clear" w:color="auto" w:fill="17365D" w:themeFill="text2" w:themeFillShade="BF"/>
            <w:tcMar>
              <w:top w:w="15" w:type="dxa"/>
              <w:left w:w="15" w:type="dxa"/>
              <w:bottom w:w="0" w:type="dxa"/>
              <w:right w:w="15" w:type="dxa"/>
            </w:tcMar>
            <w:vAlign w:val="center"/>
            <w:hideMark/>
          </w:tcPr>
          <w:p w14:paraId="718DE4C5" w14:textId="77777777" w:rsidR="00BB6BFE" w:rsidRPr="00100C3D" w:rsidRDefault="00BB6BFE" w:rsidP="00236E38">
            <w:pPr>
              <w:spacing w:line="360" w:lineRule="auto"/>
              <w:jc w:val="center"/>
              <w:textAlignment w:val="center"/>
              <w:rPr>
                <w:rFonts w:asciiTheme="minorHAnsi" w:hAnsiTheme="minorHAnsi" w:cstheme="minorHAnsi"/>
                <w:color w:val="FFFFFF" w:themeColor="background1"/>
                <w:sz w:val="16"/>
                <w:szCs w:val="22"/>
                <w:lang w:eastAsia="en-IN"/>
              </w:rPr>
            </w:pPr>
            <w:r w:rsidRPr="00100C3D">
              <w:rPr>
                <w:rFonts w:asciiTheme="minorHAnsi" w:hAnsiTheme="minorHAnsi" w:cstheme="minorHAnsi"/>
                <w:b/>
                <w:bCs/>
                <w:color w:val="FFFFFF" w:themeColor="background1"/>
                <w:kern w:val="24"/>
                <w:sz w:val="16"/>
                <w:szCs w:val="22"/>
                <w:lang w:eastAsia="en-IN"/>
              </w:rPr>
              <w:t>124.97</w:t>
            </w:r>
          </w:p>
        </w:tc>
        <w:tc>
          <w:tcPr>
            <w:tcW w:w="0" w:type="auto"/>
            <w:shd w:val="clear" w:color="auto" w:fill="17365D" w:themeFill="text2" w:themeFillShade="BF"/>
            <w:tcMar>
              <w:top w:w="15" w:type="dxa"/>
              <w:left w:w="15" w:type="dxa"/>
              <w:bottom w:w="0" w:type="dxa"/>
              <w:right w:w="15" w:type="dxa"/>
            </w:tcMar>
            <w:vAlign w:val="center"/>
            <w:hideMark/>
          </w:tcPr>
          <w:p w14:paraId="6B8E4A68" w14:textId="77777777" w:rsidR="00BB6BFE" w:rsidRPr="00100C3D" w:rsidRDefault="00BB6BFE" w:rsidP="00236E38">
            <w:pPr>
              <w:spacing w:line="360" w:lineRule="auto"/>
              <w:jc w:val="center"/>
              <w:textAlignment w:val="center"/>
              <w:rPr>
                <w:rFonts w:asciiTheme="minorHAnsi" w:hAnsiTheme="minorHAnsi" w:cstheme="minorHAnsi"/>
                <w:color w:val="FFFFFF" w:themeColor="background1"/>
                <w:sz w:val="16"/>
                <w:szCs w:val="22"/>
                <w:lang w:eastAsia="en-IN"/>
              </w:rPr>
            </w:pPr>
            <w:r w:rsidRPr="00100C3D">
              <w:rPr>
                <w:rFonts w:asciiTheme="minorHAnsi" w:hAnsiTheme="minorHAnsi" w:cstheme="minorHAnsi"/>
                <w:b/>
                <w:bCs/>
                <w:color w:val="FFFFFF" w:themeColor="background1"/>
                <w:kern w:val="24"/>
                <w:sz w:val="16"/>
                <w:szCs w:val="22"/>
                <w:lang w:eastAsia="en-IN"/>
              </w:rPr>
              <w:t>3.73</w:t>
            </w:r>
          </w:p>
        </w:tc>
        <w:tc>
          <w:tcPr>
            <w:tcW w:w="0" w:type="auto"/>
            <w:shd w:val="clear" w:color="auto" w:fill="17365D" w:themeFill="text2" w:themeFillShade="BF"/>
            <w:tcMar>
              <w:top w:w="15" w:type="dxa"/>
              <w:left w:w="15" w:type="dxa"/>
              <w:bottom w:w="0" w:type="dxa"/>
              <w:right w:w="15" w:type="dxa"/>
            </w:tcMar>
            <w:vAlign w:val="center"/>
            <w:hideMark/>
          </w:tcPr>
          <w:p w14:paraId="4CC966E6" w14:textId="77777777" w:rsidR="00BB6BFE" w:rsidRPr="00100C3D" w:rsidRDefault="00BB6BFE" w:rsidP="00236E38">
            <w:pPr>
              <w:spacing w:line="360" w:lineRule="auto"/>
              <w:jc w:val="center"/>
              <w:textAlignment w:val="center"/>
              <w:rPr>
                <w:rFonts w:asciiTheme="minorHAnsi" w:hAnsiTheme="minorHAnsi" w:cstheme="minorHAnsi"/>
                <w:color w:val="FFFFFF" w:themeColor="background1"/>
                <w:sz w:val="16"/>
                <w:szCs w:val="22"/>
                <w:lang w:eastAsia="en-IN"/>
              </w:rPr>
            </w:pPr>
            <w:r w:rsidRPr="00100C3D">
              <w:rPr>
                <w:rFonts w:asciiTheme="minorHAnsi" w:hAnsiTheme="minorHAnsi" w:cstheme="minorHAnsi"/>
                <w:b/>
                <w:bCs/>
                <w:color w:val="FFFFFF" w:themeColor="background1"/>
                <w:kern w:val="24"/>
                <w:sz w:val="16"/>
                <w:szCs w:val="22"/>
                <w:lang w:eastAsia="en-IN"/>
              </w:rPr>
              <w:t> </w:t>
            </w:r>
          </w:p>
        </w:tc>
        <w:tc>
          <w:tcPr>
            <w:tcW w:w="0" w:type="auto"/>
            <w:shd w:val="clear" w:color="auto" w:fill="17365D" w:themeFill="text2" w:themeFillShade="BF"/>
            <w:tcMar>
              <w:top w:w="15" w:type="dxa"/>
              <w:left w:w="15" w:type="dxa"/>
              <w:bottom w:w="0" w:type="dxa"/>
              <w:right w:w="15" w:type="dxa"/>
            </w:tcMar>
            <w:vAlign w:val="center"/>
            <w:hideMark/>
          </w:tcPr>
          <w:p w14:paraId="657D6DC7" w14:textId="77777777" w:rsidR="00BB6BFE" w:rsidRPr="00100C3D" w:rsidRDefault="00BB6BFE" w:rsidP="00236E38">
            <w:pPr>
              <w:spacing w:line="360" w:lineRule="auto"/>
              <w:jc w:val="center"/>
              <w:textAlignment w:val="center"/>
              <w:rPr>
                <w:rFonts w:asciiTheme="minorHAnsi" w:hAnsiTheme="minorHAnsi" w:cstheme="minorHAnsi"/>
                <w:color w:val="FFFFFF" w:themeColor="background1"/>
                <w:sz w:val="16"/>
                <w:szCs w:val="22"/>
                <w:lang w:eastAsia="en-IN"/>
              </w:rPr>
            </w:pPr>
            <w:r w:rsidRPr="00100C3D">
              <w:rPr>
                <w:rFonts w:asciiTheme="minorHAnsi" w:hAnsiTheme="minorHAnsi" w:cstheme="minorHAnsi"/>
                <w:b/>
                <w:bCs/>
                <w:color w:val="FFFFFF" w:themeColor="background1"/>
                <w:kern w:val="24"/>
                <w:sz w:val="16"/>
                <w:szCs w:val="22"/>
                <w:lang w:eastAsia="en-IN"/>
              </w:rPr>
              <w:t>2855.63</w:t>
            </w:r>
          </w:p>
        </w:tc>
        <w:tc>
          <w:tcPr>
            <w:tcW w:w="0" w:type="auto"/>
            <w:shd w:val="clear" w:color="auto" w:fill="17365D" w:themeFill="text2" w:themeFillShade="BF"/>
            <w:tcMar>
              <w:top w:w="15" w:type="dxa"/>
              <w:left w:w="15" w:type="dxa"/>
              <w:bottom w:w="0" w:type="dxa"/>
              <w:right w:w="15" w:type="dxa"/>
            </w:tcMar>
            <w:vAlign w:val="center"/>
            <w:hideMark/>
          </w:tcPr>
          <w:p w14:paraId="17E95E89" w14:textId="77777777" w:rsidR="00BB6BFE" w:rsidRPr="00100C3D" w:rsidRDefault="00BB6BFE" w:rsidP="00236E38">
            <w:pPr>
              <w:spacing w:line="360" w:lineRule="auto"/>
              <w:jc w:val="center"/>
              <w:textAlignment w:val="center"/>
              <w:rPr>
                <w:rFonts w:asciiTheme="minorHAnsi" w:hAnsiTheme="minorHAnsi" w:cstheme="minorHAnsi"/>
                <w:color w:val="FFFFFF" w:themeColor="background1"/>
                <w:sz w:val="16"/>
                <w:szCs w:val="22"/>
                <w:lang w:eastAsia="en-IN"/>
              </w:rPr>
            </w:pPr>
            <w:r w:rsidRPr="00100C3D">
              <w:rPr>
                <w:rFonts w:asciiTheme="minorHAnsi" w:hAnsiTheme="minorHAnsi" w:cstheme="minorHAnsi"/>
                <w:b/>
                <w:bCs/>
                <w:color w:val="FFFFFF" w:themeColor="background1"/>
                <w:kern w:val="24"/>
                <w:sz w:val="16"/>
                <w:szCs w:val="22"/>
                <w:lang w:eastAsia="en-IN"/>
              </w:rPr>
              <w:t>902648.1</w:t>
            </w:r>
          </w:p>
        </w:tc>
        <w:tc>
          <w:tcPr>
            <w:tcW w:w="0" w:type="auto"/>
            <w:shd w:val="clear" w:color="auto" w:fill="17365D" w:themeFill="text2" w:themeFillShade="BF"/>
            <w:tcMar>
              <w:top w:w="15" w:type="dxa"/>
              <w:left w:w="15" w:type="dxa"/>
              <w:bottom w:w="0" w:type="dxa"/>
              <w:right w:w="15" w:type="dxa"/>
            </w:tcMar>
            <w:vAlign w:val="center"/>
            <w:hideMark/>
          </w:tcPr>
          <w:p w14:paraId="6EDC6F2E" w14:textId="77777777" w:rsidR="00BB6BFE" w:rsidRPr="00100C3D" w:rsidRDefault="00BB6BFE" w:rsidP="00236E38">
            <w:pPr>
              <w:spacing w:line="360" w:lineRule="auto"/>
              <w:jc w:val="center"/>
              <w:textAlignment w:val="center"/>
              <w:rPr>
                <w:rFonts w:asciiTheme="minorHAnsi" w:hAnsiTheme="minorHAnsi" w:cstheme="minorHAnsi"/>
                <w:color w:val="FFFFFF" w:themeColor="background1"/>
                <w:sz w:val="16"/>
                <w:szCs w:val="22"/>
                <w:lang w:eastAsia="en-IN"/>
              </w:rPr>
            </w:pPr>
            <w:r w:rsidRPr="00100C3D">
              <w:rPr>
                <w:rFonts w:asciiTheme="minorHAnsi" w:hAnsiTheme="minorHAnsi" w:cstheme="minorHAnsi"/>
                <w:b/>
                <w:bCs/>
                <w:color w:val="FFFFFF" w:themeColor="background1"/>
                <w:kern w:val="24"/>
                <w:sz w:val="16"/>
                <w:szCs w:val="22"/>
                <w:lang w:eastAsia="en-IN"/>
              </w:rPr>
              <w:t>3584.85</w:t>
            </w:r>
          </w:p>
        </w:tc>
        <w:tc>
          <w:tcPr>
            <w:tcW w:w="0" w:type="auto"/>
            <w:shd w:val="clear" w:color="auto" w:fill="17365D" w:themeFill="text2" w:themeFillShade="BF"/>
            <w:tcMar>
              <w:top w:w="15" w:type="dxa"/>
              <w:left w:w="15" w:type="dxa"/>
              <w:bottom w:w="0" w:type="dxa"/>
              <w:right w:w="15" w:type="dxa"/>
            </w:tcMar>
            <w:vAlign w:val="center"/>
            <w:hideMark/>
          </w:tcPr>
          <w:p w14:paraId="19A22782" w14:textId="77777777" w:rsidR="00BB6BFE" w:rsidRPr="00100C3D" w:rsidRDefault="00BB6BFE" w:rsidP="00236E38">
            <w:pPr>
              <w:spacing w:line="360" w:lineRule="auto"/>
              <w:jc w:val="center"/>
              <w:textAlignment w:val="center"/>
              <w:rPr>
                <w:rFonts w:asciiTheme="minorHAnsi" w:hAnsiTheme="minorHAnsi" w:cstheme="minorHAnsi"/>
                <w:color w:val="FFFFFF" w:themeColor="background1"/>
                <w:sz w:val="16"/>
                <w:szCs w:val="22"/>
                <w:lang w:eastAsia="en-IN"/>
              </w:rPr>
            </w:pPr>
            <w:r w:rsidRPr="00100C3D">
              <w:rPr>
                <w:rFonts w:asciiTheme="minorHAnsi" w:hAnsiTheme="minorHAnsi" w:cstheme="minorHAnsi"/>
                <w:b/>
                <w:bCs/>
                <w:color w:val="FFFFFF" w:themeColor="background1"/>
                <w:kern w:val="24"/>
                <w:sz w:val="16"/>
                <w:szCs w:val="22"/>
                <w:lang w:eastAsia="en-IN"/>
              </w:rPr>
              <w:t>115.49</w:t>
            </w:r>
          </w:p>
        </w:tc>
        <w:tc>
          <w:tcPr>
            <w:tcW w:w="0" w:type="auto"/>
            <w:shd w:val="clear" w:color="auto" w:fill="17365D" w:themeFill="text2" w:themeFillShade="BF"/>
            <w:tcMar>
              <w:top w:w="15" w:type="dxa"/>
              <w:left w:w="15" w:type="dxa"/>
              <w:bottom w:w="0" w:type="dxa"/>
              <w:right w:w="15" w:type="dxa"/>
            </w:tcMar>
            <w:vAlign w:val="center"/>
            <w:hideMark/>
          </w:tcPr>
          <w:p w14:paraId="7CD25A00" w14:textId="77777777" w:rsidR="00BB6BFE" w:rsidRPr="00100C3D" w:rsidRDefault="00BB6BFE" w:rsidP="00236E38">
            <w:pPr>
              <w:spacing w:line="360" w:lineRule="auto"/>
              <w:jc w:val="center"/>
              <w:textAlignment w:val="center"/>
              <w:rPr>
                <w:rFonts w:asciiTheme="minorHAnsi" w:hAnsiTheme="minorHAnsi" w:cstheme="minorHAnsi"/>
                <w:color w:val="FFFFFF" w:themeColor="background1"/>
                <w:sz w:val="16"/>
                <w:szCs w:val="22"/>
                <w:lang w:eastAsia="en-IN"/>
              </w:rPr>
            </w:pPr>
            <w:r w:rsidRPr="00100C3D">
              <w:rPr>
                <w:rFonts w:asciiTheme="minorHAnsi" w:hAnsiTheme="minorHAnsi" w:cstheme="minorHAnsi"/>
                <w:b/>
                <w:bCs/>
                <w:color w:val="FFFFFF" w:themeColor="background1"/>
                <w:kern w:val="24"/>
                <w:sz w:val="16"/>
                <w:szCs w:val="22"/>
                <w:lang w:eastAsia="en-IN"/>
              </w:rPr>
              <w:t>3.26</w:t>
            </w:r>
          </w:p>
        </w:tc>
      </w:tr>
    </w:tbl>
    <w:p w14:paraId="641FC459" w14:textId="62530973" w:rsidR="00BD7120" w:rsidRDefault="00BD7120" w:rsidP="00100C3D">
      <w:pPr>
        <w:spacing w:line="360" w:lineRule="auto"/>
        <w:rPr>
          <w:rFonts w:asciiTheme="minorHAnsi" w:hAnsiTheme="minorHAnsi" w:cstheme="minorHAnsi"/>
          <w:b/>
          <w:color w:val="000000"/>
          <w:sz w:val="22"/>
          <w:szCs w:val="22"/>
          <w:u w:val="single"/>
          <w:lang w:eastAsia="en-IN"/>
        </w:rPr>
      </w:pPr>
    </w:p>
    <w:p w14:paraId="269E7930" w14:textId="114877C8" w:rsidR="00100C3D" w:rsidRPr="00236E38" w:rsidRDefault="00100C3D" w:rsidP="00CD105A">
      <w:pPr>
        <w:spacing w:line="360" w:lineRule="auto"/>
        <w:jc w:val="center"/>
        <w:rPr>
          <w:rFonts w:asciiTheme="minorHAnsi" w:hAnsiTheme="minorHAnsi" w:cstheme="minorHAnsi"/>
          <w:b/>
          <w:color w:val="000000"/>
          <w:sz w:val="22"/>
          <w:szCs w:val="22"/>
          <w:u w:val="single"/>
          <w:lang w:eastAsia="en-IN"/>
        </w:rPr>
      </w:pPr>
      <w:r w:rsidRPr="00236E38">
        <w:rPr>
          <w:rFonts w:asciiTheme="minorHAnsi" w:hAnsiTheme="minorHAnsi" w:cstheme="minorHAnsi"/>
          <w:b/>
          <w:color w:val="000000"/>
          <w:sz w:val="22"/>
          <w:szCs w:val="22"/>
          <w:u w:val="single"/>
          <w:lang w:eastAsia="en-IN"/>
        </w:rPr>
        <w:t>11 kV Technical Loss Assessment</w:t>
      </w:r>
    </w:p>
    <w:tbl>
      <w:tblPr>
        <w:tblpPr w:leftFromText="180" w:rightFromText="180" w:vertAnchor="text" w:horzAnchor="margin" w:tblpY="259"/>
        <w:tblW w:w="100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617"/>
        <w:gridCol w:w="674"/>
        <w:gridCol w:w="787"/>
        <w:gridCol w:w="585"/>
        <w:gridCol w:w="505"/>
        <w:gridCol w:w="597"/>
        <w:gridCol w:w="67"/>
        <w:gridCol w:w="606"/>
        <w:gridCol w:w="787"/>
        <w:gridCol w:w="585"/>
        <w:gridCol w:w="438"/>
        <w:gridCol w:w="597"/>
        <w:gridCol w:w="67"/>
        <w:gridCol w:w="673"/>
        <w:gridCol w:w="787"/>
        <w:gridCol w:w="585"/>
        <w:gridCol w:w="505"/>
        <w:gridCol w:w="597"/>
      </w:tblGrid>
      <w:tr w:rsidR="006043CF" w:rsidRPr="00100C3D" w14:paraId="3F6821D8" w14:textId="77777777" w:rsidTr="00BB5855">
        <w:trPr>
          <w:trHeight w:val="515"/>
        </w:trPr>
        <w:tc>
          <w:tcPr>
            <w:tcW w:w="0" w:type="auto"/>
            <w:vMerge w:val="restart"/>
            <w:shd w:val="clear" w:color="auto" w:fill="17365D" w:themeFill="text2" w:themeFillShade="BF"/>
            <w:tcMar>
              <w:top w:w="15" w:type="dxa"/>
              <w:left w:w="15" w:type="dxa"/>
              <w:bottom w:w="0" w:type="dxa"/>
              <w:right w:w="15" w:type="dxa"/>
            </w:tcMar>
            <w:vAlign w:val="center"/>
            <w:hideMark/>
          </w:tcPr>
          <w:p w14:paraId="0594CCC2" w14:textId="77777777" w:rsidR="006043CF" w:rsidRPr="00100C3D" w:rsidRDefault="006043CF" w:rsidP="00236E38">
            <w:pPr>
              <w:spacing w:line="360" w:lineRule="auto"/>
              <w:jc w:val="center"/>
              <w:textAlignment w:val="center"/>
              <w:rPr>
                <w:rFonts w:asciiTheme="minorHAnsi" w:hAnsiTheme="minorHAnsi" w:cstheme="minorHAnsi"/>
                <w:b/>
                <w:color w:val="FFFFFF" w:themeColor="background1"/>
                <w:sz w:val="16"/>
                <w:szCs w:val="22"/>
                <w:lang w:eastAsia="en-IN"/>
              </w:rPr>
            </w:pPr>
            <w:r w:rsidRPr="00100C3D">
              <w:rPr>
                <w:rFonts w:asciiTheme="minorHAnsi" w:hAnsiTheme="minorHAnsi" w:cstheme="minorHAnsi"/>
                <w:b/>
                <w:bCs/>
                <w:color w:val="FFFFFF" w:themeColor="background1"/>
                <w:kern w:val="24"/>
                <w:sz w:val="16"/>
                <w:szCs w:val="22"/>
                <w:lang w:eastAsia="en-IN"/>
              </w:rPr>
              <w:t>Circle</w:t>
            </w:r>
          </w:p>
        </w:tc>
        <w:tc>
          <w:tcPr>
            <w:tcW w:w="0" w:type="auto"/>
            <w:gridSpan w:val="5"/>
            <w:shd w:val="clear" w:color="auto" w:fill="17365D" w:themeFill="text2" w:themeFillShade="BF"/>
            <w:tcMar>
              <w:top w:w="15" w:type="dxa"/>
              <w:left w:w="15" w:type="dxa"/>
              <w:bottom w:w="0" w:type="dxa"/>
              <w:right w:w="15" w:type="dxa"/>
            </w:tcMar>
            <w:vAlign w:val="center"/>
            <w:hideMark/>
          </w:tcPr>
          <w:p w14:paraId="387FF2D0" w14:textId="77777777" w:rsidR="006043CF" w:rsidRPr="00100C3D" w:rsidRDefault="006043CF" w:rsidP="00236E38">
            <w:pPr>
              <w:spacing w:line="360" w:lineRule="auto"/>
              <w:jc w:val="center"/>
              <w:textAlignment w:val="center"/>
              <w:rPr>
                <w:rFonts w:asciiTheme="minorHAnsi" w:hAnsiTheme="minorHAnsi" w:cstheme="minorHAnsi"/>
                <w:b/>
                <w:color w:val="FFFFFF" w:themeColor="background1"/>
                <w:sz w:val="16"/>
                <w:szCs w:val="22"/>
                <w:lang w:eastAsia="en-IN"/>
              </w:rPr>
            </w:pPr>
            <w:r w:rsidRPr="00100C3D">
              <w:rPr>
                <w:rFonts w:asciiTheme="minorHAnsi" w:hAnsiTheme="minorHAnsi" w:cstheme="minorHAnsi"/>
                <w:b/>
                <w:bCs/>
                <w:color w:val="FFFFFF" w:themeColor="background1"/>
                <w:kern w:val="24"/>
                <w:sz w:val="16"/>
                <w:szCs w:val="22"/>
                <w:lang w:eastAsia="en-IN"/>
              </w:rPr>
              <w:t>FY 21-22</w:t>
            </w:r>
          </w:p>
        </w:tc>
        <w:tc>
          <w:tcPr>
            <w:tcW w:w="0" w:type="auto"/>
            <w:shd w:val="clear" w:color="auto" w:fill="17365D" w:themeFill="text2" w:themeFillShade="BF"/>
            <w:tcMar>
              <w:top w:w="15" w:type="dxa"/>
              <w:left w:w="15" w:type="dxa"/>
              <w:bottom w:w="0" w:type="dxa"/>
              <w:right w:w="15" w:type="dxa"/>
            </w:tcMar>
            <w:vAlign w:val="center"/>
            <w:hideMark/>
          </w:tcPr>
          <w:p w14:paraId="1F92E237" w14:textId="77777777" w:rsidR="006043CF" w:rsidRPr="00100C3D" w:rsidRDefault="006043CF" w:rsidP="00236E38">
            <w:pPr>
              <w:spacing w:line="360" w:lineRule="auto"/>
              <w:textAlignment w:val="center"/>
              <w:rPr>
                <w:rFonts w:asciiTheme="minorHAnsi" w:hAnsiTheme="minorHAnsi" w:cstheme="minorHAnsi"/>
                <w:b/>
                <w:color w:val="FFFFFF" w:themeColor="background1"/>
                <w:sz w:val="16"/>
                <w:szCs w:val="22"/>
                <w:lang w:eastAsia="en-IN"/>
              </w:rPr>
            </w:pPr>
            <w:r w:rsidRPr="00100C3D">
              <w:rPr>
                <w:rFonts w:asciiTheme="minorHAnsi" w:hAnsiTheme="minorHAnsi" w:cstheme="minorHAnsi"/>
                <w:b/>
                <w:color w:val="FFFFFF" w:themeColor="background1"/>
                <w:kern w:val="24"/>
                <w:sz w:val="16"/>
                <w:szCs w:val="22"/>
                <w:lang w:eastAsia="en-IN"/>
              </w:rPr>
              <w:t> </w:t>
            </w:r>
          </w:p>
        </w:tc>
        <w:tc>
          <w:tcPr>
            <w:tcW w:w="0" w:type="auto"/>
            <w:gridSpan w:val="5"/>
            <w:shd w:val="clear" w:color="auto" w:fill="17365D" w:themeFill="text2" w:themeFillShade="BF"/>
            <w:tcMar>
              <w:top w:w="15" w:type="dxa"/>
              <w:left w:w="15" w:type="dxa"/>
              <w:bottom w:w="0" w:type="dxa"/>
              <w:right w:w="15" w:type="dxa"/>
            </w:tcMar>
            <w:vAlign w:val="center"/>
            <w:hideMark/>
          </w:tcPr>
          <w:p w14:paraId="60FD2AD9" w14:textId="77777777" w:rsidR="006043CF" w:rsidRPr="00100C3D" w:rsidRDefault="006043CF" w:rsidP="00236E38">
            <w:pPr>
              <w:spacing w:line="360" w:lineRule="auto"/>
              <w:jc w:val="center"/>
              <w:textAlignment w:val="center"/>
              <w:rPr>
                <w:rFonts w:asciiTheme="minorHAnsi" w:hAnsiTheme="minorHAnsi" w:cstheme="minorHAnsi"/>
                <w:b/>
                <w:color w:val="FFFFFF" w:themeColor="background1"/>
                <w:sz w:val="16"/>
                <w:szCs w:val="22"/>
                <w:lang w:eastAsia="en-IN"/>
              </w:rPr>
            </w:pPr>
            <w:r w:rsidRPr="00100C3D">
              <w:rPr>
                <w:rFonts w:asciiTheme="minorHAnsi" w:hAnsiTheme="minorHAnsi" w:cstheme="minorHAnsi"/>
                <w:b/>
                <w:bCs/>
                <w:color w:val="FFFFFF" w:themeColor="background1"/>
                <w:kern w:val="24"/>
                <w:sz w:val="16"/>
                <w:szCs w:val="22"/>
                <w:lang w:eastAsia="en-IN"/>
              </w:rPr>
              <w:t>FY 22-23</w:t>
            </w:r>
          </w:p>
        </w:tc>
        <w:tc>
          <w:tcPr>
            <w:tcW w:w="0" w:type="auto"/>
            <w:shd w:val="clear" w:color="auto" w:fill="17365D" w:themeFill="text2" w:themeFillShade="BF"/>
            <w:tcMar>
              <w:top w:w="15" w:type="dxa"/>
              <w:left w:w="15" w:type="dxa"/>
              <w:bottom w:w="0" w:type="dxa"/>
              <w:right w:w="15" w:type="dxa"/>
            </w:tcMar>
            <w:vAlign w:val="center"/>
            <w:hideMark/>
          </w:tcPr>
          <w:p w14:paraId="6B61C2FC" w14:textId="77777777" w:rsidR="006043CF" w:rsidRPr="00100C3D" w:rsidRDefault="006043CF" w:rsidP="00236E38">
            <w:pPr>
              <w:spacing w:line="360" w:lineRule="auto"/>
              <w:textAlignment w:val="center"/>
              <w:rPr>
                <w:rFonts w:asciiTheme="minorHAnsi" w:hAnsiTheme="minorHAnsi" w:cstheme="minorHAnsi"/>
                <w:b/>
                <w:color w:val="FFFFFF" w:themeColor="background1"/>
                <w:sz w:val="16"/>
                <w:szCs w:val="22"/>
                <w:lang w:eastAsia="en-IN"/>
              </w:rPr>
            </w:pPr>
            <w:r w:rsidRPr="00100C3D">
              <w:rPr>
                <w:rFonts w:asciiTheme="minorHAnsi" w:hAnsiTheme="minorHAnsi" w:cstheme="minorHAnsi"/>
                <w:b/>
                <w:color w:val="FFFFFF" w:themeColor="background1"/>
                <w:kern w:val="24"/>
                <w:sz w:val="16"/>
                <w:szCs w:val="22"/>
                <w:lang w:eastAsia="en-IN"/>
              </w:rPr>
              <w:t> </w:t>
            </w:r>
          </w:p>
        </w:tc>
        <w:tc>
          <w:tcPr>
            <w:tcW w:w="0" w:type="auto"/>
            <w:gridSpan w:val="5"/>
            <w:shd w:val="clear" w:color="auto" w:fill="17365D" w:themeFill="text2" w:themeFillShade="BF"/>
            <w:tcMar>
              <w:top w:w="15" w:type="dxa"/>
              <w:left w:w="15" w:type="dxa"/>
              <w:bottom w:w="0" w:type="dxa"/>
              <w:right w:w="15" w:type="dxa"/>
            </w:tcMar>
            <w:vAlign w:val="center"/>
            <w:hideMark/>
          </w:tcPr>
          <w:p w14:paraId="20823CED" w14:textId="77777777" w:rsidR="006043CF" w:rsidRPr="00100C3D" w:rsidRDefault="006043CF" w:rsidP="00236E38">
            <w:pPr>
              <w:spacing w:line="360" w:lineRule="auto"/>
              <w:jc w:val="center"/>
              <w:textAlignment w:val="center"/>
              <w:rPr>
                <w:rFonts w:asciiTheme="minorHAnsi" w:hAnsiTheme="minorHAnsi" w:cstheme="minorHAnsi"/>
                <w:b/>
                <w:color w:val="FFFFFF" w:themeColor="background1"/>
                <w:sz w:val="16"/>
                <w:szCs w:val="22"/>
                <w:lang w:eastAsia="en-IN"/>
              </w:rPr>
            </w:pPr>
            <w:r w:rsidRPr="00100C3D">
              <w:rPr>
                <w:rFonts w:asciiTheme="minorHAnsi" w:hAnsiTheme="minorHAnsi" w:cstheme="minorHAnsi"/>
                <w:b/>
                <w:bCs/>
                <w:color w:val="FFFFFF" w:themeColor="background1"/>
                <w:kern w:val="24"/>
                <w:sz w:val="16"/>
                <w:szCs w:val="22"/>
                <w:lang w:eastAsia="en-IN"/>
              </w:rPr>
              <w:t>FY 23-24</w:t>
            </w:r>
          </w:p>
        </w:tc>
      </w:tr>
      <w:tr w:rsidR="00100C3D" w:rsidRPr="00100C3D" w14:paraId="0434DC85" w14:textId="77777777" w:rsidTr="00BB5855">
        <w:trPr>
          <w:trHeight w:val="954"/>
        </w:trPr>
        <w:tc>
          <w:tcPr>
            <w:tcW w:w="0" w:type="auto"/>
            <w:vMerge/>
            <w:shd w:val="clear" w:color="auto" w:fill="17365D" w:themeFill="text2" w:themeFillShade="BF"/>
            <w:vAlign w:val="center"/>
            <w:hideMark/>
          </w:tcPr>
          <w:p w14:paraId="18E73BD4" w14:textId="77777777" w:rsidR="006043CF" w:rsidRPr="00100C3D" w:rsidRDefault="006043CF" w:rsidP="00236E38">
            <w:pPr>
              <w:spacing w:line="360" w:lineRule="auto"/>
              <w:rPr>
                <w:rFonts w:asciiTheme="minorHAnsi" w:hAnsiTheme="minorHAnsi" w:cstheme="minorHAnsi"/>
                <w:b/>
                <w:color w:val="FFFFFF" w:themeColor="background1"/>
                <w:sz w:val="16"/>
                <w:szCs w:val="22"/>
                <w:lang w:eastAsia="en-IN"/>
              </w:rPr>
            </w:pPr>
          </w:p>
        </w:tc>
        <w:tc>
          <w:tcPr>
            <w:tcW w:w="0" w:type="auto"/>
            <w:shd w:val="clear" w:color="auto" w:fill="17365D" w:themeFill="text2" w:themeFillShade="BF"/>
            <w:tcMar>
              <w:top w:w="15" w:type="dxa"/>
              <w:left w:w="15" w:type="dxa"/>
              <w:bottom w:w="0" w:type="dxa"/>
              <w:right w:w="15" w:type="dxa"/>
            </w:tcMar>
            <w:vAlign w:val="center"/>
            <w:hideMark/>
          </w:tcPr>
          <w:p w14:paraId="79EEFE1E" w14:textId="77777777" w:rsidR="006043CF" w:rsidRPr="00100C3D" w:rsidRDefault="006043CF" w:rsidP="00236E38">
            <w:pPr>
              <w:spacing w:line="360" w:lineRule="auto"/>
              <w:jc w:val="center"/>
              <w:textAlignment w:val="center"/>
              <w:rPr>
                <w:rFonts w:asciiTheme="minorHAnsi" w:hAnsiTheme="minorHAnsi" w:cstheme="minorHAnsi"/>
                <w:b/>
                <w:color w:val="FFFFFF" w:themeColor="background1"/>
                <w:sz w:val="16"/>
                <w:szCs w:val="22"/>
                <w:lang w:eastAsia="en-IN"/>
              </w:rPr>
            </w:pPr>
            <w:r w:rsidRPr="00100C3D">
              <w:rPr>
                <w:rFonts w:asciiTheme="minorHAnsi" w:hAnsiTheme="minorHAnsi" w:cstheme="minorHAnsi"/>
                <w:b/>
                <w:color w:val="FFFFFF" w:themeColor="background1"/>
                <w:kern w:val="24"/>
                <w:sz w:val="16"/>
                <w:szCs w:val="22"/>
                <w:lang w:eastAsia="en-IN"/>
              </w:rPr>
              <w:t>Length (Km)</w:t>
            </w:r>
          </w:p>
        </w:tc>
        <w:tc>
          <w:tcPr>
            <w:tcW w:w="0" w:type="auto"/>
            <w:shd w:val="clear" w:color="auto" w:fill="17365D" w:themeFill="text2" w:themeFillShade="BF"/>
            <w:tcMar>
              <w:top w:w="15" w:type="dxa"/>
              <w:left w:w="15" w:type="dxa"/>
              <w:bottom w:w="0" w:type="dxa"/>
              <w:right w:w="15" w:type="dxa"/>
            </w:tcMar>
            <w:vAlign w:val="center"/>
            <w:hideMark/>
          </w:tcPr>
          <w:p w14:paraId="6097B763" w14:textId="77777777" w:rsidR="006043CF" w:rsidRPr="00100C3D" w:rsidRDefault="006043CF" w:rsidP="00236E38">
            <w:pPr>
              <w:spacing w:line="360" w:lineRule="auto"/>
              <w:jc w:val="center"/>
              <w:textAlignment w:val="center"/>
              <w:rPr>
                <w:rFonts w:asciiTheme="minorHAnsi" w:hAnsiTheme="minorHAnsi" w:cstheme="minorHAnsi"/>
                <w:b/>
                <w:color w:val="FFFFFF" w:themeColor="background1"/>
                <w:sz w:val="16"/>
                <w:szCs w:val="22"/>
                <w:lang w:eastAsia="en-IN"/>
              </w:rPr>
            </w:pPr>
            <w:r w:rsidRPr="00100C3D">
              <w:rPr>
                <w:rFonts w:asciiTheme="minorHAnsi" w:hAnsiTheme="minorHAnsi" w:cstheme="minorHAnsi"/>
                <w:b/>
                <w:color w:val="FFFFFF" w:themeColor="background1"/>
                <w:kern w:val="24"/>
                <w:sz w:val="16"/>
                <w:szCs w:val="22"/>
                <w:lang w:eastAsia="en-IN"/>
              </w:rPr>
              <w:t xml:space="preserve">Peak </w:t>
            </w:r>
            <w:proofErr w:type="gramStart"/>
            <w:r w:rsidRPr="00100C3D">
              <w:rPr>
                <w:rFonts w:asciiTheme="minorHAnsi" w:hAnsiTheme="minorHAnsi" w:cstheme="minorHAnsi"/>
                <w:b/>
                <w:color w:val="FFFFFF" w:themeColor="background1"/>
                <w:kern w:val="24"/>
                <w:sz w:val="16"/>
                <w:szCs w:val="22"/>
                <w:lang w:eastAsia="en-IN"/>
              </w:rPr>
              <w:t>Load(</w:t>
            </w:r>
            <w:proofErr w:type="gramEnd"/>
            <w:r w:rsidRPr="00100C3D">
              <w:rPr>
                <w:rFonts w:asciiTheme="minorHAnsi" w:hAnsiTheme="minorHAnsi" w:cstheme="minorHAnsi"/>
                <w:b/>
                <w:color w:val="FFFFFF" w:themeColor="background1"/>
                <w:kern w:val="24"/>
                <w:sz w:val="16"/>
                <w:szCs w:val="22"/>
                <w:lang w:eastAsia="en-IN"/>
              </w:rPr>
              <w:t>KVA)</w:t>
            </w:r>
          </w:p>
        </w:tc>
        <w:tc>
          <w:tcPr>
            <w:tcW w:w="0" w:type="auto"/>
            <w:shd w:val="clear" w:color="auto" w:fill="17365D" w:themeFill="text2" w:themeFillShade="BF"/>
            <w:tcMar>
              <w:top w:w="15" w:type="dxa"/>
              <w:left w:w="15" w:type="dxa"/>
              <w:bottom w:w="0" w:type="dxa"/>
              <w:right w:w="15" w:type="dxa"/>
            </w:tcMar>
            <w:vAlign w:val="center"/>
            <w:hideMark/>
          </w:tcPr>
          <w:p w14:paraId="37633FC9" w14:textId="77777777" w:rsidR="006043CF" w:rsidRPr="00100C3D" w:rsidRDefault="006043CF" w:rsidP="00236E38">
            <w:pPr>
              <w:spacing w:line="360" w:lineRule="auto"/>
              <w:jc w:val="center"/>
              <w:textAlignment w:val="center"/>
              <w:rPr>
                <w:rFonts w:asciiTheme="minorHAnsi" w:hAnsiTheme="minorHAnsi" w:cstheme="minorHAnsi"/>
                <w:b/>
                <w:color w:val="FFFFFF" w:themeColor="background1"/>
                <w:sz w:val="16"/>
                <w:szCs w:val="22"/>
                <w:lang w:eastAsia="en-IN"/>
              </w:rPr>
            </w:pPr>
            <w:r w:rsidRPr="00100C3D">
              <w:rPr>
                <w:rFonts w:asciiTheme="minorHAnsi" w:hAnsiTheme="minorHAnsi" w:cstheme="minorHAnsi"/>
                <w:b/>
                <w:color w:val="FFFFFF" w:themeColor="background1"/>
                <w:kern w:val="24"/>
                <w:sz w:val="16"/>
                <w:szCs w:val="22"/>
                <w:lang w:eastAsia="en-IN"/>
              </w:rPr>
              <w:t>Input Mus</w:t>
            </w:r>
          </w:p>
        </w:tc>
        <w:tc>
          <w:tcPr>
            <w:tcW w:w="0" w:type="auto"/>
            <w:shd w:val="clear" w:color="auto" w:fill="17365D" w:themeFill="text2" w:themeFillShade="BF"/>
            <w:tcMar>
              <w:top w:w="15" w:type="dxa"/>
              <w:left w:w="15" w:type="dxa"/>
              <w:bottom w:w="0" w:type="dxa"/>
              <w:right w:w="15" w:type="dxa"/>
            </w:tcMar>
            <w:vAlign w:val="center"/>
            <w:hideMark/>
          </w:tcPr>
          <w:p w14:paraId="7592CE4B" w14:textId="77777777" w:rsidR="006043CF" w:rsidRPr="00100C3D" w:rsidRDefault="006043CF" w:rsidP="00236E38">
            <w:pPr>
              <w:spacing w:line="360" w:lineRule="auto"/>
              <w:jc w:val="center"/>
              <w:textAlignment w:val="center"/>
              <w:rPr>
                <w:rFonts w:asciiTheme="minorHAnsi" w:hAnsiTheme="minorHAnsi" w:cstheme="minorHAnsi"/>
                <w:b/>
                <w:color w:val="FFFFFF" w:themeColor="background1"/>
                <w:sz w:val="16"/>
                <w:szCs w:val="22"/>
                <w:lang w:eastAsia="en-IN"/>
              </w:rPr>
            </w:pPr>
            <w:r w:rsidRPr="00100C3D">
              <w:rPr>
                <w:rFonts w:asciiTheme="minorHAnsi" w:hAnsiTheme="minorHAnsi" w:cstheme="minorHAnsi"/>
                <w:b/>
                <w:color w:val="FFFFFF" w:themeColor="background1"/>
                <w:kern w:val="24"/>
                <w:sz w:val="16"/>
                <w:szCs w:val="22"/>
                <w:lang w:eastAsia="en-IN"/>
              </w:rPr>
              <w:t>Loss Mus</w:t>
            </w:r>
          </w:p>
        </w:tc>
        <w:tc>
          <w:tcPr>
            <w:tcW w:w="0" w:type="auto"/>
            <w:shd w:val="clear" w:color="auto" w:fill="17365D" w:themeFill="text2" w:themeFillShade="BF"/>
            <w:tcMar>
              <w:top w:w="15" w:type="dxa"/>
              <w:left w:w="15" w:type="dxa"/>
              <w:bottom w:w="0" w:type="dxa"/>
              <w:right w:w="15" w:type="dxa"/>
            </w:tcMar>
            <w:vAlign w:val="center"/>
            <w:hideMark/>
          </w:tcPr>
          <w:p w14:paraId="1C011001" w14:textId="77777777" w:rsidR="006043CF" w:rsidRPr="00100C3D" w:rsidRDefault="006043CF" w:rsidP="00236E38">
            <w:pPr>
              <w:spacing w:line="360" w:lineRule="auto"/>
              <w:jc w:val="center"/>
              <w:textAlignment w:val="center"/>
              <w:rPr>
                <w:rFonts w:asciiTheme="minorHAnsi" w:hAnsiTheme="minorHAnsi" w:cstheme="minorHAnsi"/>
                <w:b/>
                <w:color w:val="FFFFFF" w:themeColor="background1"/>
                <w:sz w:val="16"/>
                <w:szCs w:val="22"/>
                <w:lang w:eastAsia="en-IN"/>
              </w:rPr>
            </w:pPr>
            <w:r w:rsidRPr="00100C3D">
              <w:rPr>
                <w:rFonts w:asciiTheme="minorHAnsi" w:hAnsiTheme="minorHAnsi" w:cstheme="minorHAnsi"/>
                <w:b/>
                <w:color w:val="FFFFFF" w:themeColor="background1"/>
                <w:kern w:val="24"/>
                <w:sz w:val="16"/>
                <w:szCs w:val="22"/>
                <w:lang w:eastAsia="en-IN"/>
              </w:rPr>
              <w:t>Annual Loss (%)</w:t>
            </w:r>
          </w:p>
        </w:tc>
        <w:tc>
          <w:tcPr>
            <w:tcW w:w="0" w:type="auto"/>
            <w:shd w:val="clear" w:color="auto" w:fill="17365D" w:themeFill="text2" w:themeFillShade="BF"/>
            <w:tcMar>
              <w:top w:w="15" w:type="dxa"/>
              <w:left w:w="15" w:type="dxa"/>
              <w:bottom w:w="0" w:type="dxa"/>
              <w:right w:w="15" w:type="dxa"/>
            </w:tcMar>
            <w:vAlign w:val="center"/>
            <w:hideMark/>
          </w:tcPr>
          <w:p w14:paraId="6FCFBA78" w14:textId="77777777" w:rsidR="006043CF" w:rsidRPr="00100C3D" w:rsidRDefault="006043CF" w:rsidP="00236E38">
            <w:pPr>
              <w:spacing w:line="360" w:lineRule="auto"/>
              <w:jc w:val="center"/>
              <w:textAlignment w:val="center"/>
              <w:rPr>
                <w:rFonts w:asciiTheme="minorHAnsi" w:hAnsiTheme="minorHAnsi" w:cstheme="minorHAnsi"/>
                <w:b/>
                <w:color w:val="FFFFFF" w:themeColor="background1"/>
                <w:sz w:val="16"/>
                <w:szCs w:val="22"/>
                <w:lang w:eastAsia="en-IN"/>
              </w:rPr>
            </w:pPr>
            <w:r w:rsidRPr="00100C3D">
              <w:rPr>
                <w:rFonts w:asciiTheme="minorHAnsi" w:hAnsiTheme="minorHAnsi" w:cstheme="minorHAnsi"/>
                <w:b/>
                <w:color w:val="FFFFFF" w:themeColor="background1"/>
                <w:kern w:val="24"/>
                <w:sz w:val="16"/>
                <w:szCs w:val="22"/>
                <w:lang w:eastAsia="en-IN"/>
              </w:rPr>
              <w:t> </w:t>
            </w:r>
          </w:p>
        </w:tc>
        <w:tc>
          <w:tcPr>
            <w:tcW w:w="0" w:type="auto"/>
            <w:shd w:val="clear" w:color="auto" w:fill="17365D" w:themeFill="text2" w:themeFillShade="BF"/>
            <w:tcMar>
              <w:top w:w="15" w:type="dxa"/>
              <w:left w:w="15" w:type="dxa"/>
              <w:bottom w:w="0" w:type="dxa"/>
              <w:right w:w="15" w:type="dxa"/>
            </w:tcMar>
            <w:vAlign w:val="center"/>
            <w:hideMark/>
          </w:tcPr>
          <w:p w14:paraId="0F319212" w14:textId="77777777" w:rsidR="006043CF" w:rsidRPr="00100C3D" w:rsidRDefault="006043CF" w:rsidP="00236E38">
            <w:pPr>
              <w:spacing w:line="360" w:lineRule="auto"/>
              <w:jc w:val="center"/>
              <w:textAlignment w:val="center"/>
              <w:rPr>
                <w:rFonts w:asciiTheme="minorHAnsi" w:hAnsiTheme="minorHAnsi" w:cstheme="minorHAnsi"/>
                <w:b/>
                <w:color w:val="FFFFFF" w:themeColor="background1"/>
                <w:sz w:val="16"/>
                <w:szCs w:val="22"/>
                <w:lang w:eastAsia="en-IN"/>
              </w:rPr>
            </w:pPr>
            <w:r w:rsidRPr="00100C3D">
              <w:rPr>
                <w:rFonts w:asciiTheme="minorHAnsi" w:hAnsiTheme="minorHAnsi" w:cstheme="minorHAnsi"/>
                <w:b/>
                <w:color w:val="FFFFFF" w:themeColor="background1"/>
                <w:kern w:val="24"/>
                <w:sz w:val="16"/>
                <w:szCs w:val="22"/>
                <w:lang w:eastAsia="en-IN"/>
              </w:rPr>
              <w:t>Length (Km)</w:t>
            </w:r>
          </w:p>
        </w:tc>
        <w:tc>
          <w:tcPr>
            <w:tcW w:w="0" w:type="auto"/>
            <w:shd w:val="clear" w:color="auto" w:fill="17365D" w:themeFill="text2" w:themeFillShade="BF"/>
            <w:tcMar>
              <w:top w:w="15" w:type="dxa"/>
              <w:left w:w="15" w:type="dxa"/>
              <w:bottom w:w="0" w:type="dxa"/>
              <w:right w:w="15" w:type="dxa"/>
            </w:tcMar>
            <w:vAlign w:val="center"/>
            <w:hideMark/>
          </w:tcPr>
          <w:p w14:paraId="7BBD7568" w14:textId="77777777" w:rsidR="006043CF" w:rsidRPr="00100C3D" w:rsidRDefault="006043CF" w:rsidP="00236E38">
            <w:pPr>
              <w:spacing w:line="360" w:lineRule="auto"/>
              <w:jc w:val="center"/>
              <w:textAlignment w:val="center"/>
              <w:rPr>
                <w:rFonts w:asciiTheme="minorHAnsi" w:hAnsiTheme="minorHAnsi" w:cstheme="minorHAnsi"/>
                <w:b/>
                <w:color w:val="FFFFFF" w:themeColor="background1"/>
                <w:sz w:val="16"/>
                <w:szCs w:val="22"/>
                <w:lang w:eastAsia="en-IN"/>
              </w:rPr>
            </w:pPr>
            <w:r w:rsidRPr="00100C3D">
              <w:rPr>
                <w:rFonts w:asciiTheme="minorHAnsi" w:hAnsiTheme="minorHAnsi" w:cstheme="minorHAnsi"/>
                <w:b/>
                <w:color w:val="FFFFFF" w:themeColor="background1"/>
                <w:kern w:val="24"/>
                <w:sz w:val="16"/>
                <w:szCs w:val="22"/>
                <w:lang w:eastAsia="en-IN"/>
              </w:rPr>
              <w:t xml:space="preserve">Peak </w:t>
            </w:r>
            <w:proofErr w:type="gramStart"/>
            <w:r w:rsidRPr="00100C3D">
              <w:rPr>
                <w:rFonts w:asciiTheme="minorHAnsi" w:hAnsiTheme="minorHAnsi" w:cstheme="minorHAnsi"/>
                <w:b/>
                <w:color w:val="FFFFFF" w:themeColor="background1"/>
                <w:kern w:val="24"/>
                <w:sz w:val="16"/>
                <w:szCs w:val="22"/>
                <w:lang w:eastAsia="en-IN"/>
              </w:rPr>
              <w:t>Load(</w:t>
            </w:r>
            <w:proofErr w:type="gramEnd"/>
            <w:r w:rsidRPr="00100C3D">
              <w:rPr>
                <w:rFonts w:asciiTheme="minorHAnsi" w:hAnsiTheme="minorHAnsi" w:cstheme="minorHAnsi"/>
                <w:b/>
                <w:color w:val="FFFFFF" w:themeColor="background1"/>
                <w:kern w:val="24"/>
                <w:sz w:val="16"/>
                <w:szCs w:val="22"/>
                <w:lang w:eastAsia="en-IN"/>
              </w:rPr>
              <w:t>KVA)</w:t>
            </w:r>
          </w:p>
        </w:tc>
        <w:tc>
          <w:tcPr>
            <w:tcW w:w="0" w:type="auto"/>
            <w:shd w:val="clear" w:color="auto" w:fill="17365D" w:themeFill="text2" w:themeFillShade="BF"/>
            <w:tcMar>
              <w:top w:w="15" w:type="dxa"/>
              <w:left w:w="15" w:type="dxa"/>
              <w:bottom w:w="0" w:type="dxa"/>
              <w:right w:w="15" w:type="dxa"/>
            </w:tcMar>
            <w:vAlign w:val="center"/>
            <w:hideMark/>
          </w:tcPr>
          <w:p w14:paraId="2E4E11D1" w14:textId="77777777" w:rsidR="006043CF" w:rsidRPr="00100C3D" w:rsidRDefault="006043CF" w:rsidP="00236E38">
            <w:pPr>
              <w:spacing w:line="360" w:lineRule="auto"/>
              <w:jc w:val="center"/>
              <w:textAlignment w:val="center"/>
              <w:rPr>
                <w:rFonts w:asciiTheme="minorHAnsi" w:hAnsiTheme="minorHAnsi" w:cstheme="minorHAnsi"/>
                <w:b/>
                <w:color w:val="FFFFFF" w:themeColor="background1"/>
                <w:sz w:val="16"/>
                <w:szCs w:val="22"/>
                <w:lang w:eastAsia="en-IN"/>
              </w:rPr>
            </w:pPr>
            <w:r w:rsidRPr="00100C3D">
              <w:rPr>
                <w:rFonts w:asciiTheme="minorHAnsi" w:hAnsiTheme="minorHAnsi" w:cstheme="minorHAnsi"/>
                <w:b/>
                <w:color w:val="FFFFFF" w:themeColor="background1"/>
                <w:kern w:val="24"/>
                <w:sz w:val="16"/>
                <w:szCs w:val="22"/>
                <w:lang w:eastAsia="en-IN"/>
              </w:rPr>
              <w:t>Input Mus</w:t>
            </w:r>
          </w:p>
        </w:tc>
        <w:tc>
          <w:tcPr>
            <w:tcW w:w="0" w:type="auto"/>
            <w:shd w:val="clear" w:color="auto" w:fill="17365D" w:themeFill="text2" w:themeFillShade="BF"/>
            <w:tcMar>
              <w:top w:w="15" w:type="dxa"/>
              <w:left w:w="15" w:type="dxa"/>
              <w:bottom w:w="0" w:type="dxa"/>
              <w:right w:w="15" w:type="dxa"/>
            </w:tcMar>
            <w:vAlign w:val="center"/>
            <w:hideMark/>
          </w:tcPr>
          <w:p w14:paraId="040E3C4C" w14:textId="77777777" w:rsidR="006043CF" w:rsidRPr="00100C3D" w:rsidRDefault="006043CF" w:rsidP="00236E38">
            <w:pPr>
              <w:spacing w:line="360" w:lineRule="auto"/>
              <w:jc w:val="center"/>
              <w:textAlignment w:val="center"/>
              <w:rPr>
                <w:rFonts w:asciiTheme="minorHAnsi" w:hAnsiTheme="minorHAnsi" w:cstheme="minorHAnsi"/>
                <w:b/>
                <w:color w:val="FFFFFF" w:themeColor="background1"/>
                <w:sz w:val="16"/>
                <w:szCs w:val="22"/>
                <w:lang w:eastAsia="en-IN"/>
              </w:rPr>
            </w:pPr>
            <w:r w:rsidRPr="00100C3D">
              <w:rPr>
                <w:rFonts w:asciiTheme="minorHAnsi" w:hAnsiTheme="minorHAnsi" w:cstheme="minorHAnsi"/>
                <w:b/>
                <w:color w:val="FFFFFF" w:themeColor="background1"/>
                <w:kern w:val="24"/>
                <w:sz w:val="16"/>
                <w:szCs w:val="22"/>
                <w:lang w:eastAsia="en-IN"/>
              </w:rPr>
              <w:t>Loss Mus</w:t>
            </w:r>
          </w:p>
        </w:tc>
        <w:tc>
          <w:tcPr>
            <w:tcW w:w="0" w:type="auto"/>
            <w:shd w:val="clear" w:color="auto" w:fill="17365D" w:themeFill="text2" w:themeFillShade="BF"/>
            <w:tcMar>
              <w:top w:w="15" w:type="dxa"/>
              <w:left w:w="15" w:type="dxa"/>
              <w:bottom w:w="0" w:type="dxa"/>
              <w:right w:w="15" w:type="dxa"/>
            </w:tcMar>
            <w:vAlign w:val="center"/>
            <w:hideMark/>
          </w:tcPr>
          <w:p w14:paraId="312BDA05" w14:textId="77777777" w:rsidR="006043CF" w:rsidRPr="00100C3D" w:rsidRDefault="006043CF" w:rsidP="00236E38">
            <w:pPr>
              <w:spacing w:line="360" w:lineRule="auto"/>
              <w:jc w:val="center"/>
              <w:textAlignment w:val="center"/>
              <w:rPr>
                <w:rFonts w:asciiTheme="minorHAnsi" w:hAnsiTheme="minorHAnsi" w:cstheme="minorHAnsi"/>
                <w:b/>
                <w:color w:val="FFFFFF" w:themeColor="background1"/>
                <w:sz w:val="16"/>
                <w:szCs w:val="22"/>
                <w:lang w:eastAsia="en-IN"/>
              </w:rPr>
            </w:pPr>
            <w:r w:rsidRPr="00100C3D">
              <w:rPr>
                <w:rFonts w:asciiTheme="minorHAnsi" w:hAnsiTheme="minorHAnsi" w:cstheme="minorHAnsi"/>
                <w:b/>
                <w:color w:val="FFFFFF" w:themeColor="background1"/>
                <w:kern w:val="24"/>
                <w:sz w:val="16"/>
                <w:szCs w:val="22"/>
                <w:lang w:eastAsia="en-IN"/>
              </w:rPr>
              <w:t>Annual Loss (%)</w:t>
            </w:r>
          </w:p>
        </w:tc>
        <w:tc>
          <w:tcPr>
            <w:tcW w:w="0" w:type="auto"/>
            <w:shd w:val="clear" w:color="auto" w:fill="17365D" w:themeFill="text2" w:themeFillShade="BF"/>
            <w:tcMar>
              <w:top w:w="15" w:type="dxa"/>
              <w:left w:w="15" w:type="dxa"/>
              <w:bottom w:w="0" w:type="dxa"/>
              <w:right w:w="15" w:type="dxa"/>
            </w:tcMar>
            <w:vAlign w:val="center"/>
            <w:hideMark/>
          </w:tcPr>
          <w:p w14:paraId="7A57C44F" w14:textId="77777777" w:rsidR="006043CF" w:rsidRPr="00100C3D" w:rsidRDefault="006043CF" w:rsidP="00236E38">
            <w:pPr>
              <w:spacing w:line="360" w:lineRule="auto"/>
              <w:jc w:val="center"/>
              <w:textAlignment w:val="center"/>
              <w:rPr>
                <w:rFonts w:asciiTheme="minorHAnsi" w:hAnsiTheme="minorHAnsi" w:cstheme="minorHAnsi"/>
                <w:b/>
                <w:color w:val="FFFFFF" w:themeColor="background1"/>
                <w:sz w:val="16"/>
                <w:szCs w:val="22"/>
                <w:lang w:eastAsia="en-IN"/>
              </w:rPr>
            </w:pPr>
            <w:r w:rsidRPr="00100C3D">
              <w:rPr>
                <w:rFonts w:asciiTheme="minorHAnsi" w:hAnsiTheme="minorHAnsi" w:cstheme="minorHAnsi"/>
                <w:b/>
                <w:color w:val="FFFFFF" w:themeColor="background1"/>
                <w:kern w:val="24"/>
                <w:sz w:val="16"/>
                <w:szCs w:val="22"/>
                <w:lang w:eastAsia="en-IN"/>
              </w:rPr>
              <w:t> </w:t>
            </w:r>
          </w:p>
        </w:tc>
        <w:tc>
          <w:tcPr>
            <w:tcW w:w="0" w:type="auto"/>
            <w:shd w:val="clear" w:color="auto" w:fill="17365D" w:themeFill="text2" w:themeFillShade="BF"/>
            <w:tcMar>
              <w:top w:w="15" w:type="dxa"/>
              <w:left w:w="15" w:type="dxa"/>
              <w:bottom w:w="0" w:type="dxa"/>
              <w:right w:w="15" w:type="dxa"/>
            </w:tcMar>
            <w:vAlign w:val="center"/>
            <w:hideMark/>
          </w:tcPr>
          <w:p w14:paraId="14130A61" w14:textId="77777777" w:rsidR="006043CF" w:rsidRPr="00100C3D" w:rsidRDefault="006043CF" w:rsidP="00236E38">
            <w:pPr>
              <w:spacing w:line="360" w:lineRule="auto"/>
              <w:jc w:val="center"/>
              <w:textAlignment w:val="center"/>
              <w:rPr>
                <w:rFonts w:asciiTheme="minorHAnsi" w:hAnsiTheme="minorHAnsi" w:cstheme="minorHAnsi"/>
                <w:b/>
                <w:color w:val="FFFFFF" w:themeColor="background1"/>
                <w:sz w:val="16"/>
                <w:szCs w:val="22"/>
                <w:lang w:eastAsia="en-IN"/>
              </w:rPr>
            </w:pPr>
            <w:r w:rsidRPr="00100C3D">
              <w:rPr>
                <w:rFonts w:asciiTheme="minorHAnsi" w:hAnsiTheme="minorHAnsi" w:cstheme="minorHAnsi"/>
                <w:b/>
                <w:color w:val="FFFFFF" w:themeColor="background1"/>
                <w:kern w:val="24"/>
                <w:sz w:val="16"/>
                <w:szCs w:val="22"/>
                <w:lang w:eastAsia="en-IN"/>
              </w:rPr>
              <w:t>Length (Km)</w:t>
            </w:r>
          </w:p>
        </w:tc>
        <w:tc>
          <w:tcPr>
            <w:tcW w:w="0" w:type="auto"/>
            <w:shd w:val="clear" w:color="auto" w:fill="17365D" w:themeFill="text2" w:themeFillShade="BF"/>
            <w:tcMar>
              <w:top w:w="15" w:type="dxa"/>
              <w:left w:w="15" w:type="dxa"/>
              <w:bottom w:w="0" w:type="dxa"/>
              <w:right w:w="15" w:type="dxa"/>
            </w:tcMar>
            <w:vAlign w:val="center"/>
            <w:hideMark/>
          </w:tcPr>
          <w:p w14:paraId="3981F27F" w14:textId="77777777" w:rsidR="006043CF" w:rsidRPr="00100C3D" w:rsidRDefault="006043CF" w:rsidP="00236E38">
            <w:pPr>
              <w:spacing w:line="360" w:lineRule="auto"/>
              <w:jc w:val="center"/>
              <w:textAlignment w:val="center"/>
              <w:rPr>
                <w:rFonts w:asciiTheme="minorHAnsi" w:hAnsiTheme="minorHAnsi" w:cstheme="minorHAnsi"/>
                <w:b/>
                <w:color w:val="FFFFFF" w:themeColor="background1"/>
                <w:sz w:val="16"/>
                <w:szCs w:val="22"/>
                <w:lang w:eastAsia="en-IN"/>
              </w:rPr>
            </w:pPr>
            <w:r w:rsidRPr="00100C3D">
              <w:rPr>
                <w:rFonts w:asciiTheme="minorHAnsi" w:hAnsiTheme="minorHAnsi" w:cstheme="minorHAnsi"/>
                <w:b/>
                <w:color w:val="FFFFFF" w:themeColor="background1"/>
                <w:kern w:val="24"/>
                <w:sz w:val="16"/>
                <w:szCs w:val="22"/>
                <w:lang w:eastAsia="en-IN"/>
              </w:rPr>
              <w:t xml:space="preserve">Peak </w:t>
            </w:r>
            <w:proofErr w:type="gramStart"/>
            <w:r w:rsidRPr="00100C3D">
              <w:rPr>
                <w:rFonts w:asciiTheme="minorHAnsi" w:hAnsiTheme="minorHAnsi" w:cstheme="minorHAnsi"/>
                <w:b/>
                <w:color w:val="FFFFFF" w:themeColor="background1"/>
                <w:kern w:val="24"/>
                <w:sz w:val="16"/>
                <w:szCs w:val="22"/>
                <w:lang w:eastAsia="en-IN"/>
              </w:rPr>
              <w:t>Load(</w:t>
            </w:r>
            <w:proofErr w:type="gramEnd"/>
            <w:r w:rsidRPr="00100C3D">
              <w:rPr>
                <w:rFonts w:asciiTheme="minorHAnsi" w:hAnsiTheme="minorHAnsi" w:cstheme="minorHAnsi"/>
                <w:b/>
                <w:color w:val="FFFFFF" w:themeColor="background1"/>
                <w:kern w:val="24"/>
                <w:sz w:val="16"/>
                <w:szCs w:val="22"/>
                <w:lang w:eastAsia="en-IN"/>
              </w:rPr>
              <w:t>KVA)</w:t>
            </w:r>
          </w:p>
        </w:tc>
        <w:tc>
          <w:tcPr>
            <w:tcW w:w="0" w:type="auto"/>
            <w:shd w:val="clear" w:color="auto" w:fill="17365D" w:themeFill="text2" w:themeFillShade="BF"/>
            <w:tcMar>
              <w:top w:w="15" w:type="dxa"/>
              <w:left w:w="15" w:type="dxa"/>
              <w:bottom w:w="0" w:type="dxa"/>
              <w:right w:w="15" w:type="dxa"/>
            </w:tcMar>
            <w:vAlign w:val="center"/>
            <w:hideMark/>
          </w:tcPr>
          <w:p w14:paraId="4940C203" w14:textId="77777777" w:rsidR="006043CF" w:rsidRPr="00100C3D" w:rsidRDefault="006043CF" w:rsidP="00236E38">
            <w:pPr>
              <w:spacing w:line="360" w:lineRule="auto"/>
              <w:jc w:val="center"/>
              <w:textAlignment w:val="center"/>
              <w:rPr>
                <w:rFonts w:asciiTheme="minorHAnsi" w:hAnsiTheme="minorHAnsi" w:cstheme="minorHAnsi"/>
                <w:b/>
                <w:color w:val="FFFFFF" w:themeColor="background1"/>
                <w:sz w:val="16"/>
                <w:szCs w:val="22"/>
                <w:lang w:eastAsia="en-IN"/>
              </w:rPr>
            </w:pPr>
            <w:r w:rsidRPr="00100C3D">
              <w:rPr>
                <w:rFonts w:asciiTheme="minorHAnsi" w:hAnsiTheme="minorHAnsi" w:cstheme="minorHAnsi"/>
                <w:b/>
                <w:color w:val="FFFFFF" w:themeColor="background1"/>
                <w:kern w:val="24"/>
                <w:sz w:val="16"/>
                <w:szCs w:val="22"/>
                <w:lang w:eastAsia="en-IN"/>
              </w:rPr>
              <w:t>Input Mus</w:t>
            </w:r>
          </w:p>
        </w:tc>
        <w:tc>
          <w:tcPr>
            <w:tcW w:w="0" w:type="auto"/>
            <w:shd w:val="clear" w:color="auto" w:fill="17365D" w:themeFill="text2" w:themeFillShade="BF"/>
            <w:tcMar>
              <w:top w:w="15" w:type="dxa"/>
              <w:left w:w="15" w:type="dxa"/>
              <w:bottom w:w="0" w:type="dxa"/>
              <w:right w:w="15" w:type="dxa"/>
            </w:tcMar>
            <w:vAlign w:val="center"/>
            <w:hideMark/>
          </w:tcPr>
          <w:p w14:paraId="545FB8B1" w14:textId="77777777" w:rsidR="006043CF" w:rsidRPr="00100C3D" w:rsidRDefault="006043CF" w:rsidP="00236E38">
            <w:pPr>
              <w:spacing w:line="360" w:lineRule="auto"/>
              <w:jc w:val="center"/>
              <w:textAlignment w:val="center"/>
              <w:rPr>
                <w:rFonts w:asciiTheme="minorHAnsi" w:hAnsiTheme="minorHAnsi" w:cstheme="minorHAnsi"/>
                <w:b/>
                <w:color w:val="FFFFFF" w:themeColor="background1"/>
                <w:sz w:val="16"/>
                <w:szCs w:val="22"/>
                <w:lang w:eastAsia="en-IN"/>
              </w:rPr>
            </w:pPr>
            <w:r w:rsidRPr="00100C3D">
              <w:rPr>
                <w:rFonts w:asciiTheme="minorHAnsi" w:hAnsiTheme="minorHAnsi" w:cstheme="minorHAnsi"/>
                <w:b/>
                <w:color w:val="FFFFFF" w:themeColor="background1"/>
                <w:kern w:val="24"/>
                <w:sz w:val="16"/>
                <w:szCs w:val="22"/>
                <w:lang w:eastAsia="en-IN"/>
              </w:rPr>
              <w:t>Loss Mus</w:t>
            </w:r>
          </w:p>
        </w:tc>
        <w:tc>
          <w:tcPr>
            <w:tcW w:w="0" w:type="auto"/>
            <w:shd w:val="clear" w:color="auto" w:fill="17365D" w:themeFill="text2" w:themeFillShade="BF"/>
            <w:tcMar>
              <w:top w:w="15" w:type="dxa"/>
              <w:left w:w="15" w:type="dxa"/>
              <w:bottom w:w="0" w:type="dxa"/>
              <w:right w:w="15" w:type="dxa"/>
            </w:tcMar>
            <w:vAlign w:val="center"/>
            <w:hideMark/>
          </w:tcPr>
          <w:p w14:paraId="773D42B4" w14:textId="77777777" w:rsidR="006043CF" w:rsidRPr="00100C3D" w:rsidRDefault="006043CF" w:rsidP="00236E38">
            <w:pPr>
              <w:spacing w:line="360" w:lineRule="auto"/>
              <w:jc w:val="center"/>
              <w:textAlignment w:val="center"/>
              <w:rPr>
                <w:rFonts w:asciiTheme="minorHAnsi" w:hAnsiTheme="minorHAnsi" w:cstheme="minorHAnsi"/>
                <w:b/>
                <w:color w:val="FFFFFF" w:themeColor="background1"/>
                <w:sz w:val="16"/>
                <w:szCs w:val="22"/>
                <w:lang w:eastAsia="en-IN"/>
              </w:rPr>
            </w:pPr>
            <w:r w:rsidRPr="00100C3D">
              <w:rPr>
                <w:rFonts w:asciiTheme="minorHAnsi" w:hAnsiTheme="minorHAnsi" w:cstheme="minorHAnsi"/>
                <w:b/>
                <w:color w:val="FFFFFF" w:themeColor="background1"/>
                <w:kern w:val="24"/>
                <w:sz w:val="16"/>
                <w:szCs w:val="22"/>
                <w:lang w:eastAsia="en-IN"/>
              </w:rPr>
              <w:t>Annual Loss (%)</w:t>
            </w:r>
          </w:p>
        </w:tc>
      </w:tr>
      <w:tr w:rsidR="00100C3D" w:rsidRPr="00100C3D" w14:paraId="3FFBBC23" w14:textId="77777777" w:rsidTr="00BB5855">
        <w:trPr>
          <w:trHeight w:val="354"/>
        </w:trPr>
        <w:tc>
          <w:tcPr>
            <w:tcW w:w="0" w:type="auto"/>
            <w:shd w:val="clear" w:color="auto" w:fill="EDEAF0"/>
            <w:tcMar>
              <w:top w:w="15" w:type="dxa"/>
              <w:left w:w="15" w:type="dxa"/>
              <w:bottom w:w="0" w:type="dxa"/>
              <w:right w:w="15" w:type="dxa"/>
            </w:tcMar>
            <w:vAlign w:val="center"/>
            <w:hideMark/>
          </w:tcPr>
          <w:p w14:paraId="7AFC87CB" w14:textId="77777777" w:rsidR="006043CF" w:rsidRPr="00100C3D" w:rsidRDefault="006043CF" w:rsidP="00236E38">
            <w:pPr>
              <w:spacing w:line="360" w:lineRule="auto"/>
              <w:jc w:val="center"/>
              <w:textAlignment w:val="center"/>
              <w:rPr>
                <w:rFonts w:asciiTheme="minorHAnsi" w:hAnsiTheme="minorHAnsi" w:cstheme="minorHAnsi"/>
                <w:sz w:val="16"/>
                <w:szCs w:val="22"/>
                <w:lang w:eastAsia="en-IN"/>
              </w:rPr>
            </w:pPr>
            <w:proofErr w:type="spellStart"/>
            <w:r w:rsidRPr="00100C3D">
              <w:rPr>
                <w:rFonts w:asciiTheme="minorHAnsi" w:hAnsiTheme="minorHAnsi" w:cstheme="minorHAnsi"/>
                <w:color w:val="000000"/>
                <w:kern w:val="24"/>
                <w:sz w:val="16"/>
                <w:szCs w:val="22"/>
                <w:lang w:eastAsia="en-IN"/>
              </w:rPr>
              <w:t>Balasore</w:t>
            </w:r>
            <w:proofErr w:type="spellEnd"/>
          </w:p>
        </w:tc>
        <w:tc>
          <w:tcPr>
            <w:tcW w:w="0" w:type="auto"/>
            <w:shd w:val="clear" w:color="auto" w:fill="EDEAF0"/>
            <w:tcMar>
              <w:top w:w="15" w:type="dxa"/>
              <w:left w:w="15" w:type="dxa"/>
              <w:bottom w:w="0" w:type="dxa"/>
              <w:right w:w="15" w:type="dxa"/>
            </w:tcMar>
            <w:vAlign w:val="center"/>
            <w:hideMark/>
          </w:tcPr>
          <w:p w14:paraId="44F280C4" w14:textId="77777777" w:rsidR="006043CF" w:rsidRPr="00100C3D" w:rsidRDefault="006043CF" w:rsidP="00236E38">
            <w:pPr>
              <w:spacing w:line="360" w:lineRule="auto"/>
              <w:jc w:val="center"/>
              <w:textAlignment w:val="center"/>
              <w:rPr>
                <w:rFonts w:asciiTheme="minorHAnsi" w:hAnsiTheme="minorHAnsi" w:cstheme="minorHAnsi"/>
                <w:sz w:val="16"/>
                <w:szCs w:val="22"/>
                <w:lang w:eastAsia="en-IN"/>
              </w:rPr>
            </w:pPr>
            <w:r w:rsidRPr="00100C3D">
              <w:rPr>
                <w:rFonts w:asciiTheme="minorHAnsi" w:hAnsiTheme="minorHAnsi" w:cstheme="minorHAnsi"/>
                <w:color w:val="000000"/>
                <w:kern w:val="24"/>
                <w:sz w:val="16"/>
                <w:szCs w:val="22"/>
                <w:lang w:eastAsia="en-IN"/>
              </w:rPr>
              <w:t>7326.27</w:t>
            </w:r>
          </w:p>
        </w:tc>
        <w:tc>
          <w:tcPr>
            <w:tcW w:w="0" w:type="auto"/>
            <w:shd w:val="clear" w:color="auto" w:fill="EDEAF0"/>
            <w:tcMar>
              <w:top w:w="15" w:type="dxa"/>
              <w:left w:w="15" w:type="dxa"/>
              <w:bottom w:w="0" w:type="dxa"/>
              <w:right w:w="15" w:type="dxa"/>
            </w:tcMar>
            <w:vAlign w:val="center"/>
            <w:hideMark/>
          </w:tcPr>
          <w:p w14:paraId="2642A929" w14:textId="77777777" w:rsidR="006043CF" w:rsidRPr="00100C3D" w:rsidRDefault="006043CF" w:rsidP="00236E38">
            <w:pPr>
              <w:spacing w:line="360" w:lineRule="auto"/>
              <w:jc w:val="center"/>
              <w:textAlignment w:val="center"/>
              <w:rPr>
                <w:rFonts w:asciiTheme="minorHAnsi" w:hAnsiTheme="minorHAnsi" w:cstheme="minorHAnsi"/>
                <w:sz w:val="16"/>
                <w:szCs w:val="22"/>
                <w:lang w:eastAsia="en-IN"/>
              </w:rPr>
            </w:pPr>
            <w:r w:rsidRPr="00100C3D">
              <w:rPr>
                <w:rFonts w:asciiTheme="minorHAnsi" w:hAnsiTheme="minorHAnsi" w:cstheme="minorHAnsi"/>
                <w:color w:val="000000"/>
                <w:kern w:val="24"/>
                <w:sz w:val="16"/>
                <w:szCs w:val="22"/>
                <w:lang w:eastAsia="en-IN"/>
              </w:rPr>
              <w:t>250441.52</w:t>
            </w:r>
          </w:p>
        </w:tc>
        <w:tc>
          <w:tcPr>
            <w:tcW w:w="0" w:type="auto"/>
            <w:shd w:val="clear" w:color="auto" w:fill="EDEAF0"/>
            <w:tcMar>
              <w:top w:w="15" w:type="dxa"/>
              <w:left w:w="15" w:type="dxa"/>
              <w:bottom w:w="0" w:type="dxa"/>
              <w:right w:w="15" w:type="dxa"/>
            </w:tcMar>
            <w:vAlign w:val="center"/>
            <w:hideMark/>
          </w:tcPr>
          <w:p w14:paraId="66604815" w14:textId="77777777" w:rsidR="006043CF" w:rsidRPr="00100C3D" w:rsidRDefault="006043CF" w:rsidP="00236E38">
            <w:pPr>
              <w:spacing w:line="360" w:lineRule="auto"/>
              <w:jc w:val="center"/>
              <w:textAlignment w:val="center"/>
              <w:rPr>
                <w:rFonts w:asciiTheme="minorHAnsi" w:hAnsiTheme="minorHAnsi" w:cstheme="minorHAnsi"/>
                <w:sz w:val="16"/>
                <w:szCs w:val="22"/>
                <w:lang w:eastAsia="en-IN"/>
              </w:rPr>
            </w:pPr>
            <w:r w:rsidRPr="00100C3D">
              <w:rPr>
                <w:rFonts w:asciiTheme="minorHAnsi" w:hAnsiTheme="minorHAnsi" w:cstheme="minorHAnsi"/>
                <w:color w:val="000000"/>
                <w:kern w:val="24"/>
                <w:sz w:val="16"/>
                <w:szCs w:val="22"/>
                <w:lang w:eastAsia="en-IN"/>
              </w:rPr>
              <w:t>751</w:t>
            </w:r>
          </w:p>
        </w:tc>
        <w:tc>
          <w:tcPr>
            <w:tcW w:w="0" w:type="auto"/>
            <w:shd w:val="clear" w:color="auto" w:fill="EDEAF0"/>
            <w:tcMar>
              <w:top w:w="15" w:type="dxa"/>
              <w:left w:w="15" w:type="dxa"/>
              <w:bottom w:w="0" w:type="dxa"/>
              <w:right w:w="15" w:type="dxa"/>
            </w:tcMar>
            <w:vAlign w:val="center"/>
            <w:hideMark/>
          </w:tcPr>
          <w:p w14:paraId="16BA44B1" w14:textId="77777777" w:rsidR="006043CF" w:rsidRPr="00100C3D" w:rsidRDefault="006043CF" w:rsidP="00236E38">
            <w:pPr>
              <w:spacing w:line="360" w:lineRule="auto"/>
              <w:jc w:val="center"/>
              <w:textAlignment w:val="center"/>
              <w:rPr>
                <w:rFonts w:asciiTheme="minorHAnsi" w:hAnsiTheme="minorHAnsi" w:cstheme="minorHAnsi"/>
                <w:sz w:val="16"/>
                <w:szCs w:val="22"/>
                <w:lang w:eastAsia="en-IN"/>
              </w:rPr>
            </w:pPr>
            <w:r w:rsidRPr="00100C3D">
              <w:rPr>
                <w:rFonts w:asciiTheme="minorHAnsi" w:hAnsiTheme="minorHAnsi" w:cstheme="minorHAnsi"/>
                <w:color w:val="000000"/>
                <w:kern w:val="24"/>
                <w:sz w:val="16"/>
                <w:szCs w:val="22"/>
                <w:lang w:eastAsia="en-IN"/>
              </w:rPr>
              <w:t>46.99</w:t>
            </w:r>
          </w:p>
        </w:tc>
        <w:tc>
          <w:tcPr>
            <w:tcW w:w="0" w:type="auto"/>
            <w:shd w:val="clear" w:color="auto" w:fill="EDEAF0"/>
            <w:tcMar>
              <w:top w:w="15" w:type="dxa"/>
              <w:left w:w="15" w:type="dxa"/>
              <w:bottom w:w="0" w:type="dxa"/>
              <w:right w:w="15" w:type="dxa"/>
            </w:tcMar>
            <w:vAlign w:val="center"/>
            <w:hideMark/>
          </w:tcPr>
          <w:p w14:paraId="02EA05D5" w14:textId="77777777" w:rsidR="006043CF" w:rsidRPr="00100C3D" w:rsidRDefault="006043CF" w:rsidP="00236E38">
            <w:pPr>
              <w:spacing w:line="360" w:lineRule="auto"/>
              <w:jc w:val="center"/>
              <w:textAlignment w:val="center"/>
              <w:rPr>
                <w:rFonts w:asciiTheme="minorHAnsi" w:hAnsiTheme="minorHAnsi" w:cstheme="minorHAnsi"/>
                <w:sz w:val="16"/>
                <w:szCs w:val="22"/>
                <w:lang w:eastAsia="en-IN"/>
              </w:rPr>
            </w:pPr>
            <w:r w:rsidRPr="00100C3D">
              <w:rPr>
                <w:rFonts w:asciiTheme="minorHAnsi" w:hAnsiTheme="minorHAnsi" w:cstheme="minorHAnsi"/>
                <w:color w:val="000000"/>
                <w:kern w:val="24"/>
                <w:sz w:val="16"/>
                <w:szCs w:val="22"/>
                <w:lang w:eastAsia="en-IN"/>
              </w:rPr>
              <w:t>6.26</w:t>
            </w:r>
          </w:p>
        </w:tc>
        <w:tc>
          <w:tcPr>
            <w:tcW w:w="0" w:type="auto"/>
            <w:shd w:val="clear" w:color="auto" w:fill="auto"/>
            <w:tcMar>
              <w:top w:w="15" w:type="dxa"/>
              <w:left w:w="15" w:type="dxa"/>
              <w:bottom w:w="0" w:type="dxa"/>
              <w:right w:w="15" w:type="dxa"/>
            </w:tcMar>
            <w:vAlign w:val="center"/>
            <w:hideMark/>
          </w:tcPr>
          <w:p w14:paraId="66EE7373" w14:textId="77777777" w:rsidR="006043CF" w:rsidRPr="00100C3D" w:rsidRDefault="006043CF" w:rsidP="00236E38">
            <w:pPr>
              <w:spacing w:line="360" w:lineRule="auto"/>
              <w:jc w:val="center"/>
              <w:textAlignment w:val="center"/>
              <w:rPr>
                <w:rFonts w:asciiTheme="minorHAnsi" w:hAnsiTheme="minorHAnsi" w:cstheme="minorHAnsi"/>
                <w:sz w:val="16"/>
                <w:szCs w:val="22"/>
                <w:lang w:eastAsia="en-IN"/>
              </w:rPr>
            </w:pPr>
            <w:r w:rsidRPr="00100C3D">
              <w:rPr>
                <w:rFonts w:asciiTheme="minorHAnsi" w:hAnsiTheme="minorHAnsi" w:cstheme="minorHAnsi"/>
                <w:color w:val="000000"/>
                <w:kern w:val="24"/>
                <w:sz w:val="16"/>
                <w:szCs w:val="22"/>
                <w:lang w:eastAsia="en-IN"/>
              </w:rPr>
              <w:t> </w:t>
            </w:r>
          </w:p>
        </w:tc>
        <w:tc>
          <w:tcPr>
            <w:tcW w:w="0" w:type="auto"/>
            <w:shd w:val="clear" w:color="auto" w:fill="EDEAF0"/>
            <w:tcMar>
              <w:top w:w="15" w:type="dxa"/>
              <w:left w:w="15" w:type="dxa"/>
              <w:bottom w:w="0" w:type="dxa"/>
              <w:right w:w="15" w:type="dxa"/>
            </w:tcMar>
            <w:vAlign w:val="center"/>
            <w:hideMark/>
          </w:tcPr>
          <w:p w14:paraId="64CFF006" w14:textId="77777777" w:rsidR="006043CF" w:rsidRPr="00100C3D" w:rsidRDefault="006043CF" w:rsidP="00236E38">
            <w:pPr>
              <w:spacing w:line="360" w:lineRule="auto"/>
              <w:jc w:val="center"/>
              <w:textAlignment w:val="center"/>
              <w:rPr>
                <w:rFonts w:asciiTheme="minorHAnsi" w:hAnsiTheme="minorHAnsi" w:cstheme="minorHAnsi"/>
                <w:sz w:val="16"/>
                <w:szCs w:val="22"/>
                <w:lang w:eastAsia="en-IN"/>
              </w:rPr>
            </w:pPr>
            <w:r w:rsidRPr="00100C3D">
              <w:rPr>
                <w:rFonts w:asciiTheme="minorHAnsi" w:hAnsiTheme="minorHAnsi" w:cstheme="minorHAnsi"/>
                <w:color w:val="000000"/>
                <w:kern w:val="24"/>
                <w:sz w:val="16"/>
                <w:szCs w:val="22"/>
                <w:lang w:eastAsia="en-IN"/>
              </w:rPr>
              <w:t>7429.59</w:t>
            </w:r>
          </w:p>
        </w:tc>
        <w:tc>
          <w:tcPr>
            <w:tcW w:w="0" w:type="auto"/>
            <w:shd w:val="clear" w:color="auto" w:fill="EDEAF0"/>
            <w:tcMar>
              <w:top w:w="15" w:type="dxa"/>
              <w:left w:w="15" w:type="dxa"/>
              <w:bottom w:w="0" w:type="dxa"/>
              <w:right w:w="15" w:type="dxa"/>
            </w:tcMar>
            <w:vAlign w:val="center"/>
            <w:hideMark/>
          </w:tcPr>
          <w:p w14:paraId="18380095" w14:textId="77777777" w:rsidR="006043CF" w:rsidRPr="00100C3D" w:rsidRDefault="006043CF" w:rsidP="00236E38">
            <w:pPr>
              <w:spacing w:line="360" w:lineRule="auto"/>
              <w:jc w:val="center"/>
              <w:textAlignment w:val="center"/>
              <w:rPr>
                <w:rFonts w:asciiTheme="minorHAnsi" w:hAnsiTheme="minorHAnsi" w:cstheme="minorHAnsi"/>
                <w:sz w:val="16"/>
                <w:szCs w:val="22"/>
                <w:lang w:eastAsia="en-IN"/>
              </w:rPr>
            </w:pPr>
            <w:r w:rsidRPr="00100C3D">
              <w:rPr>
                <w:rFonts w:asciiTheme="minorHAnsi" w:hAnsiTheme="minorHAnsi" w:cstheme="minorHAnsi"/>
                <w:color w:val="000000"/>
                <w:kern w:val="24"/>
                <w:sz w:val="16"/>
                <w:szCs w:val="22"/>
                <w:lang w:eastAsia="en-IN"/>
              </w:rPr>
              <w:t>260857.7</w:t>
            </w:r>
          </w:p>
        </w:tc>
        <w:tc>
          <w:tcPr>
            <w:tcW w:w="0" w:type="auto"/>
            <w:shd w:val="clear" w:color="auto" w:fill="EDEAF0"/>
            <w:tcMar>
              <w:top w:w="15" w:type="dxa"/>
              <w:left w:w="15" w:type="dxa"/>
              <w:bottom w:w="0" w:type="dxa"/>
              <w:right w:w="15" w:type="dxa"/>
            </w:tcMar>
            <w:vAlign w:val="center"/>
            <w:hideMark/>
          </w:tcPr>
          <w:p w14:paraId="377B04E8" w14:textId="77777777" w:rsidR="006043CF" w:rsidRPr="00100C3D" w:rsidRDefault="006043CF" w:rsidP="00236E38">
            <w:pPr>
              <w:spacing w:line="360" w:lineRule="auto"/>
              <w:jc w:val="center"/>
              <w:textAlignment w:val="center"/>
              <w:rPr>
                <w:rFonts w:asciiTheme="minorHAnsi" w:hAnsiTheme="minorHAnsi" w:cstheme="minorHAnsi"/>
                <w:sz w:val="16"/>
                <w:szCs w:val="22"/>
                <w:lang w:eastAsia="en-IN"/>
              </w:rPr>
            </w:pPr>
            <w:r w:rsidRPr="00100C3D">
              <w:rPr>
                <w:rFonts w:asciiTheme="minorHAnsi" w:hAnsiTheme="minorHAnsi" w:cstheme="minorHAnsi"/>
                <w:color w:val="000000"/>
                <w:kern w:val="24"/>
                <w:sz w:val="16"/>
                <w:szCs w:val="22"/>
                <w:lang w:eastAsia="en-IN"/>
              </w:rPr>
              <w:t>1035.73</w:t>
            </w:r>
          </w:p>
        </w:tc>
        <w:tc>
          <w:tcPr>
            <w:tcW w:w="0" w:type="auto"/>
            <w:shd w:val="clear" w:color="auto" w:fill="EDEAF0"/>
            <w:tcMar>
              <w:top w:w="15" w:type="dxa"/>
              <w:left w:w="15" w:type="dxa"/>
              <w:bottom w:w="0" w:type="dxa"/>
              <w:right w:w="15" w:type="dxa"/>
            </w:tcMar>
            <w:vAlign w:val="center"/>
            <w:hideMark/>
          </w:tcPr>
          <w:p w14:paraId="05781BA4" w14:textId="77777777" w:rsidR="006043CF" w:rsidRPr="00100C3D" w:rsidRDefault="006043CF" w:rsidP="00236E38">
            <w:pPr>
              <w:spacing w:line="360" w:lineRule="auto"/>
              <w:jc w:val="center"/>
              <w:textAlignment w:val="center"/>
              <w:rPr>
                <w:rFonts w:asciiTheme="minorHAnsi" w:hAnsiTheme="minorHAnsi" w:cstheme="minorHAnsi"/>
                <w:sz w:val="16"/>
                <w:szCs w:val="22"/>
                <w:lang w:eastAsia="en-IN"/>
              </w:rPr>
            </w:pPr>
            <w:r w:rsidRPr="00100C3D">
              <w:rPr>
                <w:rFonts w:asciiTheme="minorHAnsi" w:hAnsiTheme="minorHAnsi" w:cstheme="minorHAnsi"/>
                <w:color w:val="000000"/>
                <w:kern w:val="24"/>
                <w:sz w:val="16"/>
                <w:szCs w:val="22"/>
                <w:lang w:eastAsia="en-IN"/>
              </w:rPr>
              <w:t>45.74</w:t>
            </w:r>
          </w:p>
        </w:tc>
        <w:tc>
          <w:tcPr>
            <w:tcW w:w="0" w:type="auto"/>
            <w:shd w:val="clear" w:color="auto" w:fill="EDEAF0"/>
            <w:tcMar>
              <w:top w:w="15" w:type="dxa"/>
              <w:left w:w="15" w:type="dxa"/>
              <w:bottom w:w="0" w:type="dxa"/>
              <w:right w:w="15" w:type="dxa"/>
            </w:tcMar>
            <w:vAlign w:val="center"/>
            <w:hideMark/>
          </w:tcPr>
          <w:p w14:paraId="6BC91082" w14:textId="77777777" w:rsidR="006043CF" w:rsidRPr="00100C3D" w:rsidRDefault="006043CF" w:rsidP="00236E38">
            <w:pPr>
              <w:spacing w:line="360" w:lineRule="auto"/>
              <w:jc w:val="center"/>
              <w:textAlignment w:val="center"/>
              <w:rPr>
                <w:rFonts w:asciiTheme="minorHAnsi" w:hAnsiTheme="minorHAnsi" w:cstheme="minorHAnsi"/>
                <w:sz w:val="16"/>
                <w:szCs w:val="22"/>
                <w:lang w:eastAsia="en-IN"/>
              </w:rPr>
            </w:pPr>
            <w:r w:rsidRPr="00100C3D">
              <w:rPr>
                <w:rFonts w:asciiTheme="minorHAnsi" w:hAnsiTheme="minorHAnsi" w:cstheme="minorHAnsi"/>
                <w:color w:val="000000"/>
                <w:kern w:val="24"/>
                <w:sz w:val="16"/>
                <w:szCs w:val="22"/>
                <w:lang w:eastAsia="en-IN"/>
              </w:rPr>
              <w:t>4.42</w:t>
            </w:r>
          </w:p>
        </w:tc>
        <w:tc>
          <w:tcPr>
            <w:tcW w:w="0" w:type="auto"/>
            <w:shd w:val="clear" w:color="auto" w:fill="auto"/>
            <w:tcMar>
              <w:top w:w="15" w:type="dxa"/>
              <w:left w:w="15" w:type="dxa"/>
              <w:bottom w:w="0" w:type="dxa"/>
              <w:right w:w="15" w:type="dxa"/>
            </w:tcMar>
            <w:vAlign w:val="center"/>
            <w:hideMark/>
          </w:tcPr>
          <w:p w14:paraId="1B8B3255" w14:textId="77777777" w:rsidR="006043CF" w:rsidRPr="00100C3D" w:rsidRDefault="006043CF" w:rsidP="00236E38">
            <w:pPr>
              <w:spacing w:line="360" w:lineRule="auto"/>
              <w:jc w:val="center"/>
              <w:textAlignment w:val="center"/>
              <w:rPr>
                <w:rFonts w:asciiTheme="minorHAnsi" w:hAnsiTheme="minorHAnsi" w:cstheme="minorHAnsi"/>
                <w:sz w:val="16"/>
                <w:szCs w:val="22"/>
                <w:lang w:eastAsia="en-IN"/>
              </w:rPr>
            </w:pPr>
            <w:r w:rsidRPr="00100C3D">
              <w:rPr>
                <w:rFonts w:asciiTheme="minorHAnsi" w:hAnsiTheme="minorHAnsi" w:cstheme="minorHAnsi"/>
                <w:color w:val="000000"/>
                <w:kern w:val="24"/>
                <w:sz w:val="16"/>
                <w:szCs w:val="22"/>
                <w:lang w:eastAsia="en-IN"/>
              </w:rPr>
              <w:t> </w:t>
            </w:r>
          </w:p>
        </w:tc>
        <w:tc>
          <w:tcPr>
            <w:tcW w:w="0" w:type="auto"/>
            <w:shd w:val="clear" w:color="auto" w:fill="EDEAF0"/>
            <w:tcMar>
              <w:top w:w="15" w:type="dxa"/>
              <w:left w:w="15" w:type="dxa"/>
              <w:bottom w:w="0" w:type="dxa"/>
              <w:right w:w="15" w:type="dxa"/>
            </w:tcMar>
            <w:vAlign w:val="center"/>
            <w:hideMark/>
          </w:tcPr>
          <w:p w14:paraId="461697F5" w14:textId="77777777" w:rsidR="006043CF" w:rsidRPr="00100C3D" w:rsidRDefault="006043CF" w:rsidP="00236E38">
            <w:pPr>
              <w:spacing w:line="360" w:lineRule="auto"/>
              <w:jc w:val="center"/>
              <w:textAlignment w:val="center"/>
              <w:rPr>
                <w:rFonts w:asciiTheme="minorHAnsi" w:hAnsiTheme="minorHAnsi" w:cstheme="minorHAnsi"/>
                <w:sz w:val="16"/>
                <w:szCs w:val="22"/>
                <w:lang w:eastAsia="en-IN"/>
              </w:rPr>
            </w:pPr>
            <w:r w:rsidRPr="00100C3D">
              <w:rPr>
                <w:rFonts w:asciiTheme="minorHAnsi" w:hAnsiTheme="minorHAnsi" w:cstheme="minorHAnsi"/>
                <w:color w:val="000000"/>
                <w:kern w:val="24"/>
                <w:sz w:val="16"/>
                <w:szCs w:val="22"/>
                <w:lang w:eastAsia="en-IN"/>
              </w:rPr>
              <w:t>7446.4</w:t>
            </w:r>
          </w:p>
        </w:tc>
        <w:tc>
          <w:tcPr>
            <w:tcW w:w="0" w:type="auto"/>
            <w:shd w:val="clear" w:color="auto" w:fill="EDEAF0"/>
            <w:tcMar>
              <w:top w:w="15" w:type="dxa"/>
              <w:left w:w="15" w:type="dxa"/>
              <w:bottom w:w="0" w:type="dxa"/>
              <w:right w:w="15" w:type="dxa"/>
            </w:tcMar>
            <w:vAlign w:val="center"/>
            <w:hideMark/>
          </w:tcPr>
          <w:p w14:paraId="6BD06ADE" w14:textId="77777777" w:rsidR="006043CF" w:rsidRPr="00100C3D" w:rsidRDefault="006043CF" w:rsidP="00236E38">
            <w:pPr>
              <w:spacing w:line="360" w:lineRule="auto"/>
              <w:jc w:val="center"/>
              <w:textAlignment w:val="center"/>
              <w:rPr>
                <w:rFonts w:asciiTheme="minorHAnsi" w:hAnsiTheme="minorHAnsi" w:cstheme="minorHAnsi"/>
                <w:sz w:val="16"/>
                <w:szCs w:val="22"/>
                <w:lang w:eastAsia="en-IN"/>
              </w:rPr>
            </w:pPr>
            <w:r w:rsidRPr="00100C3D">
              <w:rPr>
                <w:rFonts w:asciiTheme="minorHAnsi" w:hAnsiTheme="minorHAnsi" w:cstheme="minorHAnsi"/>
                <w:color w:val="000000"/>
                <w:kern w:val="24"/>
                <w:sz w:val="16"/>
                <w:szCs w:val="22"/>
                <w:lang w:eastAsia="en-IN"/>
              </w:rPr>
              <w:t>310961</w:t>
            </w:r>
          </w:p>
        </w:tc>
        <w:tc>
          <w:tcPr>
            <w:tcW w:w="0" w:type="auto"/>
            <w:shd w:val="clear" w:color="auto" w:fill="EDEAF0"/>
            <w:tcMar>
              <w:top w:w="15" w:type="dxa"/>
              <w:left w:w="15" w:type="dxa"/>
              <w:bottom w:w="0" w:type="dxa"/>
              <w:right w:w="15" w:type="dxa"/>
            </w:tcMar>
            <w:vAlign w:val="center"/>
            <w:hideMark/>
          </w:tcPr>
          <w:p w14:paraId="35A0B0D3" w14:textId="77777777" w:rsidR="006043CF" w:rsidRPr="00100C3D" w:rsidRDefault="006043CF" w:rsidP="00236E38">
            <w:pPr>
              <w:spacing w:line="360" w:lineRule="auto"/>
              <w:jc w:val="center"/>
              <w:textAlignment w:val="center"/>
              <w:rPr>
                <w:rFonts w:asciiTheme="minorHAnsi" w:hAnsiTheme="minorHAnsi" w:cstheme="minorHAnsi"/>
                <w:sz w:val="16"/>
                <w:szCs w:val="22"/>
                <w:lang w:eastAsia="en-IN"/>
              </w:rPr>
            </w:pPr>
            <w:r w:rsidRPr="00100C3D">
              <w:rPr>
                <w:rFonts w:asciiTheme="minorHAnsi" w:hAnsiTheme="minorHAnsi" w:cstheme="minorHAnsi"/>
                <w:color w:val="000000"/>
                <w:kern w:val="24"/>
                <w:sz w:val="16"/>
                <w:szCs w:val="22"/>
                <w:lang w:eastAsia="en-IN"/>
              </w:rPr>
              <w:t>1226.4</w:t>
            </w:r>
          </w:p>
        </w:tc>
        <w:tc>
          <w:tcPr>
            <w:tcW w:w="0" w:type="auto"/>
            <w:shd w:val="clear" w:color="auto" w:fill="EDEAF0"/>
            <w:tcMar>
              <w:top w:w="15" w:type="dxa"/>
              <w:left w:w="15" w:type="dxa"/>
              <w:bottom w:w="0" w:type="dxa"/>
              <w:right w:w="15" w:type="dxa"/>
            </w:tcMar>
            <w:vAlign w:val="center"/>
            <w:hideMark/>
          </w:tcPr>
          <w:p w14:paraId="70AC50F6" w14:textId="77777777" w:rsidR="006043CF" w:rsidRPr="00100C3D" w:rsidRDefault="006043CF" w:rsidP="00236E38">
            <w:pPr>
              <w:spacing w:line="360" w:lineRule="auto"/>
              <w:jc w:val="center"/>
              <w:textAlignment w:val="center"/>
              <w:rPr>
                <w:rFonts w:asciiTheme="minorHAnsi" w:hAnsiTheme="minorHAnsi" w:cstheme="minorHAnsi"/>
                <w:sz w:val="16"/>
                <w:szCs w:val="22"/>
                <w:lang w:eastAsia="en-IN"/>
              </w:rPr>
            </w:pPr>
            <w:r w:rsidRPr="00100C3D">
              <w:rPr>
                <w:rFonts w:asciiTheme="minorHAnsi" w:hAnsiTheme="minorHAnsi" w:cstheme="minorHAnsi"/>
                <w:color w:val="000000"/>
                <w:kern w:val="24"/>
                <w:sz w:val="16"/>
                <w:szCs w:val="22"/>
                <w:lang w:eastAsia="en-IN"/>
              </w:rPr>
              <w:t>53.26</w:t>
            </w:r>
          </w:p>
        </w:tc>
        <w:tc>
          <w:tcPr>
            <w:tcW w:w="0" w:type="auto"/>
            <w:shd w:val="clear" w:color="auto" w:fill="EDEAF0"/>
            <w:tcMar>
              <w:top w:w="15" w:type="dxa"/>
              <w:left w:w="15" w:type="dxa"/>
              <w:bottom w:w="0" w:type="dxa"/>
              <w:right w:w="15" w:type="dxa"/>
            </w:tcMar>
            <w:vAlign w:val="center"/>
            <w:hideMark/>
          </w:tcPr>
          <w:p w14:paraId="1DAAE40E" w14:textId="77777777" w:rsidR="006043CF" w:rsidRPr="00100C3D" w:rsidRDefault="006043CF" w:rsidP="00236E38">
            <w:pPr>
              <w:spacing w:line="360" w:lineRule="auto"/>
              <w:jc w:val="center"/>
              <w:textAlignment w:val="center"/>
              <w:rPr>
                <w:rFonts w:asciiTheme="minorHAnsi" w:hAnsiTheme="minorHAnsi" w:cstheme="minorHAnsi"/>
                <w:sz w:val="16"/>
                <w:szCs w:val="22"/>
                <w:lang w:eastAsia="en-IN"/>
              </w:rPr>
            </w:pPr>
            <w:r w:rsidRPr="00100C3D">
              <w:rPr>
                <w:rFonts w:asciiTheme="minorHAnsi" w:hAnsiTheme="minorHAnsi" w:cstheme="minorHAnsi"/>
                <w:color w:val="000000"/>
                <w:kern w:val="24"/>
                <w:sz w:val="16"/>
                <w:szCs w:val="22"/>
                <w:lang w:eastAsia="en-IN"/>
              </w:rPr>
              <w:t>4.34</w:t>
            </w:r>
          </w:p>
        </w:tc>
      </w:tr>
      <w:tr w:rsidR="00100C3D" w:rsidRPr="00100C3D" w14:paraId="01110834" w14:textId="77777777" w:rsidTr="00BB5855">
        <w:trPr>
          <w:trHeight w:val="338"/>
        </w:trPr>
        <w:tc>
          <w:tcPr>
            <w:tcW w:w="0" w:type="auto"/>
            <w:shd w:val="clear" w:color="auto" w:fill="D8D3E0"/>
            <w:tcMar>
              <w:top w:w="15" w:type="dxa"/>
              <w:left w:w="15" w:type="dxa"/>
              <w:bottom w:w="0" w:type="dxa"/>
              <w:right w:w="15" w:type="dxa"/>
            </w:tcMar>
            <w:vAlign w:val="center"/>
            <w:hideMark/>
          </w:tcPr>
          <w:p w14:paraId="376D5665" w14:textId="77777777" w:rsidR="006043CF" w:rsidRPr="00100C3D" w:rsidRDefault="006043CF" w:rsidP="00236E38">
            <w:pPr>
              <w:spacing w:line="360" w:lineRule="auto"/>
              <w:jc w:val="center"/>
              <w:textAlignment w:val="center"/>
              <w:rPr>
                <w:rFonts w:asciiTheme="minorHAnsi" w:hAnsiTheme="minorHAnsi" w:cstheme="minorHAnsi"/>
                <w:sz w:val="16"/>
                <w:szCs w:val="22"/>
                <w:lang w:eastAsia="en-IN"/>
              </w:rPr>
            </w:pPr>
            <w:proofErr w:type="spellStart"/>
            <w:r w:rsidRPr="00100C3D">
              <w:rPr>
                <w:rFonts w:asciiTheme="minorHAnsi" w:hAnsiTheme="minorHAnsi" w:cstheme="minorHAnsi"/>
                <w:color w:val="000000"/>
                <w:kern w:val="24"/>
                <w:sz w:val="16"/>
                <w:szCs w:val="22"/>
                <w:lang w:eastAsia="en-IN"/>
              </w:rPr>
              <w:t>Baripada</w:t>
            </w:r>
            <w:proofErr w:type="spellEnd"/>
          </w:p>
        </w:tc>
        <w:tc>
          <w:tcPr>
            <w:tcW w:w="0" w:type="auto"/>
            <w:shd w:val="clear" w:color="auto" w:fill="D8D3E0"/>
            <w:tcMar>
              <w:top w:w="15" w:type="dxa"/>
              <w:left w:w="15" w:type="dxa"/>
              <w:bottom w:w="0" w:type="dxa"/>
              <w:right w:w="15" w:type="dxa"/>
            </w:tcMar>
            <w:vAlign w:val="center"/>
            <w:hideMark/>
          </w:tcPr>
          <w:p w14:paraId="789825B2" w14:textId="77777777" w:rsidR="006043CF" w:rsidRPr="00100C3D" w:rsidRDefault="006043CF" w:rsidP="00236E38">
            <w:pPr>
              <w:spacing w:line="360" w:lineRule="auto"/>
              <w:jc w:val="center"/>
              <w:textAlignment w:val="center"/>
              <w:rPr>
                <w:rFonts w:asciiTheme="minorHAnsi" w:hAnsiTheme="minorHAnsi" w:cstheme="minorHAnsi"/>
                <w:sz w:val="16"/>
                <w:szCs w:val="22"/>
                <w:lang w:eastAsia="en-IN"/>
              </w:rPr>
            </w:pPr>
            <w:r w:rsidRPr="00100C3D">
              <w:rPr>
                <w:rFonts w:asciiTheme="minorHAnsi" w:hAnsiTheme="minorHAnsi" w:cstheme="minorHAnsi"/>
                <w:color w:val="000000"/>
                <w:kern w:val="24"/>
                <w:sz w:val="16"/>
                <w:szCs w:val="22"/>
                <w:lang w:eastAsia="en-IN"/>
              </w:rPr>
              <w:t>10489</w:t>
            </w:r>
          </w:p>
        </w:tc>
        <w:tc>
          <w:tcPr>
            <w:tcW w:w="0" w:type="auto"/>
            <w:shd w:val="clear" w:color="auto" w:fill="D8D3E0"/>
            <w:tcMar>
              <w:top w:w="15" w:type="dxa"/>
              <w:left w:w="15" w:type="dxa"/>
              <w:bottom w:w="0" w:type="dxa"/>
              <w:right w:w="15" w:type="dxa"/>
            </w:tcMar>
            <w:vAlign w:val="center"/>
            <w:hideMark/>
          </w:tcPr>
          <w:p w14:paraId="7FEB2907" w14:textId="77777777" w:rsidR="006043CF" w:rsidRPr="00100C3D" w:rsidRDefault="006043CF" w:rsidP="00236E38">
            <w:pPr>
              <w:spacing w:line="360" w:lineRule="auto"/>
              <w:jc w:val="center"/>
              <w:textAlignment w:val="center"/>
              <w:rPr>
                <w:rFonts w:asciiTheme="minorHAnsi" w:hAnsiTheme="minorHAnsi" w:cstheme="minorHAnsi"/>
                <w:sz w:val="16"/>
                <w:szCs w:val="22"/>
                <w:lang w:eastAsia="en-IN"/>
              </w:rPr>
            </w:pPr>
            <w:r w:rsidRPr="00100C3D">
              <w:rPr>
                <w:rFonts w:asciiTheme="minorHAnsi" w:hAnsiTheme="minorHAnsi" w:cstheme="minorHAnsi"/>
                <w:color w:val="000000"/>
                <w:kern w:val="24"/>
                <w:sz w:val="16"/>
                <w:szCs w:val="22"/>
                <w:lang w:eastAsia="en-IN"/>
              </w:rPr>
              <w:t>175209</w:t>
            </w:r>
          </w:p>
        </w:tc>
        <w:tc>
          <w:tcPr>
            <w:tcW w:w="0" w:type="auto"/>
            <w:shd w:val="clear" w:color="auto" w:fill="D8D3E0"/>
            <w:tcMar>
              <w:top w:w="15" w:type="dxa"/>
              <w:left w:w="15" w:type="dxa"/>
              <w:bottom w:w="0" w:type="dxa"/>
              <w:right w:w="15" w:type="dxa"/>
            </w:tcMar>
            <w:vAlign w:val="center"/>
            <w:hideMark/>
          </w:tcPr>
          <w:p w14:paraId="7B91EC0C" w14:textId="77777777" w:rsidR="006043CF" w:rsidRPr="00100C3D" w:rsidRDefault="006043CF" w:rsidP="00236E38">
            <w:pPr>
              <w:spacing w:line="360" w:lineRule="auto"/>
              <w:jc w:val="center"/>
              <w:textAlignment w:val="center"/>
              <w:rPr>
                <w:rFonts w:asciiTheme="minorHAnsi" w:hAnsiTheme="minorHAnsi" w:cstheme="minorHAnsi"/>
                <w:sz w:val="16"/>
                <w:szCs w:val="22"/>
                <w:lang w:eastAsia="en-IN"/>
              </w:rPr>
            </w:pPr>
            <w:r w:rsidRPr="00100C3D">
              <w:rPr>
                <w:rFonts w:asciiTheme="minorHAnsi" w:hAnsiTheme="minorHAnsi" w:cstheme="minorHAnsi"/>
                <w:color w:val="000000"/>
                <w:kern w:val="24"/>
                <w:sz w:val="16"/>
                <w:szCs w:val="22"/>
                <w:lang w:eastAsia="en-IN"/>
              </w:rPr>
              <w:t>690.78</w:t>
            </w:r>
          </w:p>
        </w:tc>
        <w:tc>
          <w:tcPr>
            <w:tcW w:w="0" w:type="auto"/>
            <w:shd w:val="clear" w:color="auto" w:fill="D8D3E0"/>
            <w:tcMar>
              <w:top w:w="15" w:type="dxa"/>
              <w:left w:w="15" w:type="dxa"/>
              <w:bottom w:w="0" w:type="dxa"/>
              <w:right w:w="15" w:type="dxa"/>
            </w:tcMar>
            <w:vAlign w:val="center"/>
            <w:hideMark/>
          </w:tcPr>
          <w:p w14:paraId="281987F7" w14:textId="77777777" w:rsidR="006043CF" w:rsidRPr="00100C3D" w:rsidRDefault="006043CF" w:rsidP="00236E38">
            <w:pPr>
              <w:spacing w:line="360" w:lineRule="auto"/>
              <w:jc w:val="center"/>
              <w:textAlignment w:val="center"/>
              <w:rPr>
                <w:rFonts w:asciiTheme="minorHAnsi" w:hAnsiTheme="minorHAnsi" w:cstheme="minorHAnsi"/>
                <w:sz w:val="16"/>
                <w:szCs w:val="22"/>
                <w:lang w:eastAsia="en-IN"/>
              </w:rPr>
            </w:pPr>
            <w:r w:rsidRPr="00100C3D">
              <w:rPr>
                <w:rFonts w:asciiTheme="minorHAnsi" w:hAnsiTheme="minorHAnsi" w:cstheme="minorHAnsi"/>
                <w:color w:val="000000"/>
                <w:kern w:val="24"/>
                <w:sz w:val="16"/>
                <w:szCs w:val="22"/>
                <w:lang w:eastAsia="en-IN"/>
              </w:rPr>
              <w:t>31.14</w:t>
            </w:r>
          </w:p>
        </w:tc>
        <w:tc>
          <w:tcPr>
            <w:tcW w:w="0" w:type="auto"/>
            <w:shd w:val="clear" w:color="auto" w:fill="D8D3E0"/>
            <w:tcMar>
              <w:top w:w="15" w:type="dxa"/>
              <w:left w:w="15" w:type="dxa"/>
              <w:bottom w:w="0" w:type="dxa"/>
              <w:right w:w="15" w:type="dxa"/>
            </w:tcMar>
            <w:vAlign w:val="center"/>
            <w:hideMark/>
          </w:tcPr>
          <w:p w14:paraId="7681CF17" w14:textId="77777777" w:rsidR="006043CF" w:rsidRPr="00100C3D" w:rsidRDefault="006043CF" w:rsidP="00236E38">
            <w:pPr>
              <w:spacing w:line="360" w:lineRule="auto"/>
              <w:jc w:val="center"/>
              <w:textAlignment w:val="center"/>
              <w:rPr>
                <w:rFonts w:asciiTheme="minorHAnsi" w:hAnsiTheme="minorHAnsi" w:cstheme="minorHAnsi"/>
                <w:sz w:val="16"/>
                <w:szCs w:val="22"/>
                <w:lang w:eastAsia="en-IN"/>
              </w:rPr>
            </w:pPr>
            <w:r w:rsidRPr="00100C3D">
              <w:rPr>
                <w:rFonts w:asciiTheme="minorHAnsi" w:hAnsiTheme="minorHAnsi" w:cstheme="minorHAnsi"/>
                <w:color w:val="000000"/>
                <w:kern w:val="24"/>
                <w:sz w:val="16"/>
                <w:szCs w:val="22"/>
                <w:lang w:eastAsia="en-IN"/>
              </w:rPr>
              <w:t>4.51</w:t>
            </w:r>
          </w:p>
        </w:tc>
        <w:tc>
          <w:tcPr>
            <w:tcW w:w="0" w:type="auto"/>
            <w:shd w:val="clear" w:color="auto" w:fill="auto"/>
            <w:tcMar>
              <w:top w:w="15" w:type="dxa"/>
              <w:left w:w="15" w:type="dxa"/>
              <w:bottom w:w="0" w:type="dxa"/>
              <w:right w:w="15" w:type="dxa"/>
            </w:tcMar>
            <w:vAlign w:val="center"/>
            <w:hideMark/>
          </w:tcPr>
          <w:p w14:paraId="6CF2A6AE" w14:textId="77777777" w:rsidR="006043CF" w:rsidRPr="00100C3D" w:rsidRDefault="006043CF" w:rsidP="00236E38">
            <w:pPr>
              <w:spacing w:line="360" w:lineRule="auto"/>
              <w:jc w:val="center"/>
              <w:textAlignment w:val="center"/>
              <w:rPr>
                <w:rFonts w:asciiTheme="minorHAnsi" w:hAnsiTheme="minorHAnsi" w:cstheme="minorHAnsi"/>
                <w:sz w:val="16"/>
                <w:szCs w:val="22"/>
                <w:lang w:eastAsia="en-IN"/>
              </w:rPr>
            </w:pPr>
            <w:r w:rsidRPr="00100C3D">
              <w:rPr>
                <w:rFonts w:asciiTheme="minorHAnsi" w:hAnsiTheme="minorHAnsi" w:cstheme="minorHAnsi"/>
                <w:color w:val="000000"/>
                <w:kern w:val="24"/>
                <w:sz w:val="16"/>
                <w:szCs w:val="22"/>
                <w:lang w:eastAsia="en-IN"/>
              </w:rPr>
              <w:t> </w:t>
            </w:r>
          </w:p>
        </w:tc>
        <w:tc>
          <w:tcPr>
            <w:tcW w:w="0" w:type="auto"/>
            <w:shd w:val="clear" w:color="auto" w:fill="D8D3E0"/>
            <w:tcMar>
              <w:top w:w="15" w:type="dxa"/>
              <w:left w:w="15" w:type="dxa"/>
              <w:bottom w:w="0" w:type="dxa"/>
              <w:right w:w="15" w:type="dxa"/>
            </w:tcMar>
            <w:vAlign w:val="center"/>
            <w:hideMark/>
          </w:tcPr>
          <w:p w14:paraId="33F14ED5" w14:textId="77777777" w:rsidR="006043CF" w:rsidRPr="00100C3D" w:rsidRDefault="006043CF" w:rsidP="00236E38">
            <w:pPr>
              <w:spacing w:line="360" w:lineRule="auto"/>
              <w:jc w:val="center"/>
              <w:textAlignment w:val="center"/>
              <w:rPr>
                <w:rFonts w:asciiTheme="minorHAnsi" w:hAnsiTheme="minorHAnsi" w:cstheme="minorHAnsi"/>
                <w:sz w:val="16"/>
                <w:szCs w:val="22"/>
                <w:lang w:eastAsia="en-IN"/>
              </w:rPr>
            </w:pPr>
            <w:r w:rsidRPr="00100C3D">
              <w:rPr>
                <w:rFonts w:asciiTheme="minorHAnsi" w:hAnsiTheme="minorHAnsi" w:cstheme="minorHAnsi"/>
                <w:color w:val="000000"/>
                <w:kern w:val="24"/>
                <w:sz w:val="16"/>
                <w:szCs w:val="22"/>
                <w:lang w:eastAsia="en-IN"/>
              </w:rPr>
              <w:t>10419</w:t>
            </w:r>
          </w:p>
        </w:tc>
        <w:tc>
          <w:tcPr>
            <w:tcW w:w="0" w:type="auto"/>
            <w:shd w:val="clear" w:color="auto" w:fill="D8D3E0"/>
            <w:tcMar>
              <w:top w:w="15" w:type="dxa"/>
              <w:left w:w="15" w:type="dxa"/>
              <w:bottom w:w="0" w:type="dxa"/>
              <w:right w:w="15" w:type="dxa"/>
            </w:tcMar>
            <w:vAlign w:val="center"/>
            <w:hideMark/>
          </w:tcPr>
          <w:p w14:paraId="4B6A1154" w14:textId="77777777" w:rsidR="006043CF" w:rsidRPr="00100C3D" w:rsidRDefault="006043CF" w:rsidP="00236E38">
            <w:pPr>
              <w:spacing w:line="360" w:lineRule="auto"/>
              <w:jc w:val="center"/>
              <w:textAlignment w:val="center"/>
              <w:rPr>
                <w:rFonts w:asciiTheme="minorHAnsi" w:hAnsiTheme="minorHAnsi" w:cstheme="minorHAnsi"/>
                <w:sz w:val="16"/>
                <w:szCs w:val="22"/>
                <w:lang w:eastAsia="en-IN"/>
              </w:rPr>
            </w:pPr>
            <w:r w:rsidRPr="00100C3D">
              <w:rPr>
                <w:rFonts w:asciiTheme="minorHAnsi" w:hAnsiTheme="minorHAnsi" w:cstheme="minorHAnsi"/>
                <w:color w:val="000000"/>
                <w:kern w:val="24"/>
                <w:sz w:val="16"/>
                <w:szCs w:val="22"/>
                <w:lang w:eastAsia="en-IN"/>
              </w:rPr>
              <w:t>171099</w:t>
            </w:r>
          </w:p>
        </w:tc>
        <w:tc>
          <w:tcPr>
            <w:tcW w:w="0" w:type="auto"/>
            <w:shd w:val="clear" w:color="auto" w:fill="D8D3E0"/>
            <w:tcMar>
              <w:top w:w="15" w:type="dxa"/>
              <w:left w:w="15" w:type="dxa"/>
              <w:bottom w:w="0" w:type="dxa"/>
              <w:right w:w="15" w:type="dxa"/>
            </w:tcMar>
            <w:vAlign w:val="center"/>
            <w:hideMark/>
          </w:tcPr>
          <w:p w14:paraId="3F279616" w14:textId="77777777" w:rsidR="006043CF" w:rsidRPr="00100C3D" w:rsidRDefault="006043CF" w:rsidP="00236E38">
            <w:pPr>
              <w:spacing w:line="360" w:lineRule="auto"/>
              <w:jc w:val="center"/>
              <w:textAlignment w:val="center"/>
              <w:rPr>
                <w:rFonts w:asciiTheme="minorHAnsi" w:hAnsiTheme="minorHAnsi" w:cstheme="minorHAnsi"/>
                <w:sz w:val="16"/>
                <w:szCs w:val="22"/>
                <w:lang w:eastAsia="en-IN"/>
              </w:rPr>
            </w:pPr>
            <w:r w:rsidRPr="00100C3D">
              <w:rPr>
                <w:rFonts w:asciiTheme="minorHAnsi" w:hAnsiTheme="minorHAnsi" w:cstheme="minorHAnsi"/>
                <w:color w:val="000000"/>
                <w:kern w:val="24"/>
                <w:sz w:val="16"/>
                <w:szCs w:val="22"/>
                <w:lang w:eastAsia="en-IN"/>
              </w:rPr>
              <w:t>674.83</w:t>
            </w:r>
          </w:p>
        </w:tc>
        <w:tc>
          <w:tcPr>
            <w:tcW w:w="0" w:type="auto"/>
            <w:shd w:val="clear" w:color="auto" w:fill="D8D3E0"/>
            <w:tcMar>
              <w:top w:w="15" w:type="dxa"/>
              <w:left w:w="15" w:type="dxa"/>
              <w:bottom w:w="0" w:type="dxa"/>
              <w:right w:w="15" w:type="dxa"/>
            </w:tcMar>
            <w:vAlign w:val="center"/>
            <w:hideMark/>
          </w:tcPr>
          <w:p w14:paraId="6CB5AA46" w14:textId="77777777" w:rsidR="006043CF" w:rsidRPr="00100C3D" w:rsidRDefault="006043CF" w:rsidP="00236E38">
            <w:pPr>
              <w:spacing w:line="360" w:lineRule="auto"/>
              <w:jc w:val="center"/>
              <w:textAlignment w:val="center"/>
              <w:rPr>
                <w:rFonts w:asciiTheme="minorHAnsi" w:hAnsiTheme="minorHAnsi" w:cstheme="minorHAnsi"/>
                <w:sz w:val="16"/>
                <w:szCs w:val="22"/>
                <w:lang w:eastAsia="en-IN"/>
              </w:rPr>
            </w:pPr>
            <w:r w:rsidRPr="00100C3D">
              <w:rPr>
                <w:rFonts w:asciiTheme="minorHAnsi" w:hAnsiTheme="minorHAnsi" w:cstheme="minorHAnsi"/>
                <w:color w:val="000000"/>
                <w:kern w:val="24"/>
                <w:sz w:val="16"/>
                <w:szCs w:val="22"/>
                <w:lang w:eastAsia="en-IN"/>
              </w:rPr>
              <w:t>29.33</w:t>
            </w:r>
          </w:p>
        </w:tc>
        <w:tc>
          <w:tcPr>
            <w:tcW w:w="0" w:type="auto"/>
            <w:shd w:val="clear" w:color="auto" w:fill="D8D3E0"/>
            <w:tcMar>
              <w:top w:w="15" w:type="dxa"/>
              <w:left w:w="15" w:type="dxa"/>
              <w:bottom w:w="0" w:type="dxa"/>
              <w:right w:w="15" w:type="dxa"/>
            </w:tcMar>
            <w:vAlign w:val="center"/>
            <w:hideMark/>
          </w:tcPr>
          <w:p w14:paraId="105228EF" w14:textId="77777777" w:rsidR="006043CF" w:rsidRPr="00100C3D" w:rsidRDefault="006043CF" w:rsidP="00236E38">
            <w:pPr>
              <w:spacing w:line="360" w:lineRule="auto"/>
              <w:jc w:val="center"/>
              <w:textAlignment w:val="center"/>
              <w:rPr>
                <w:rFonts w:asciiTheme="minorHAnsi" w:hAnsiTheme="minorHAnsi" w:cstheme="minorHAnsi"/>
                <w:sz w:val="16"/>
                <w:szCs w:val="22"/>
                <w:lang w:eastAsia="en-IN"/>
              </w:rPr>
            </w:pPr>
            <w:r w:rsidRPr="00100C3D">
              <w:rPr>
                <w:rFonts w:asciiTheme="minorHAnsi" w:hAnsiTheme="minorHAnsi" w:cstheme="minorHAnsi"/>
                <w:color w:val="000000"/>
                <w:kern w:val="24"/>
                <w:sz w:val="16"/>
                <w:szCs w:val="22"/>
                <w:lang w:eastAsia="en-IN"/>
              </w:rPr>
              <w:t>4.3</w:t>
            </w:r>
          </w:p>
        </w:tc>
        <w:tc>
          <w:tcPr>
            <w:tcW w:w="0" w:type="auto"/>
            <w:shd w:val="clear" w:color="auto" w:fill="auto"/>
            <w:tcMar>
              <w:top w:w="15" w:type="dxa"/>
              <w:left w:w="15" w:type="dxa"/>
              <w:bottom w:w="0" w:type="dxa"/>
              <w:right w:w="15" w:type="dxa"/>
            </w:tcMar>
            <w:vAlign w:val="center"/>
            <w:hideMark/>
          </w:tcPr>
          <w:p w14:paraId="3AF902B6" w14:textId="77777777" w:rsidR="006043CF" w:rsidRPr="00100C3D" w:rsidRDefault="006043CF" w:rsidP="00236E38">
            <w:pPr>
              <w:spacing w:line="360" w:lineRule="auto"/>
              <w:jc w:val="center"/>
              <w:textAlignment w:val="center"/>
              <w:rPr>
                <w:rFonts w:asciiTheme="minorHAnsi" w:hAnsiTheme="minorHAnsi" w:cstheme="minorHAnsi"/>
                <w:sz w:val="16"/>
                <w:szCs w:val="22"/>
                <w:lang w:eastAsia="en-IN"/>
              </w:rPr>
            </w:pPr>
            <w:r w:rsidRPr="00100C3D">
              <w:rPr>
                <w:rFonts w:asciiTheme="minorHAnsi" w:hAnsiTheme="minorHAnsi" w:cstheme="minorHAnsi"/>
                <w:color w:val="000000"/>
                <w:kern w:val="24"/>
                <w:sz w:val="16"/>
                <w:szCs w:val="22"/>
                <w:lang w:eastAsia="en-IN"/>
              </w:rPr>
              <w:t> </w:t>
            </w:r>
          </w:p>
        </w:tc>
        <w:tc>
          <w:tcPr>
            <w:tcW w:w="0" w:type="auto"/>
            <w:shd w:val="clear" w:color="auto" w:fill="D8D3E0"/>
            <w:tcMar>
              <w:top w:w="15" w:type="dxa"/>
              <w:left w:w="15" w:type="dxa"/>
              <w:bottom w:w="0" w:type="dxa"/>
              <w:right w:w="15" w:type="dxa"/>
            </w:tcMar>
            <w:vAlign w:val="center"/>
            <w:hideMark/>
          </w:tcPr>
          <w:p w14:paraId="7DE9C832" w14:textId="77777777" w:rsidR="006043CF" w:rsidRPr="00100C3D" w:rsidRDefault="006043CF" w:rsidP="00236E38">
            <w:pPr>
              <w:spacing w:line="360" w:lineRule="auto"/>
              <w:jc w:val="center"/>
              <w:textAlignment w:val="center"/>
              <w:rPr>
                <w:rFonts w:asciiTheme="minorHAnsi" w:hAnsiTheme="minorHAnsi" w:cstheme="minorHAnsi"/>
                <w:sz w:val="16"/>
                <w:szCs w:val="22"/>
                <w:lang w:eastAsia="en-IN"/>
              </w:rPr>
            </w:pPr>
            <w:r w:rsidRPr="00100C3D">
              <w:rPr>
                <w:rFonts w:asciiTheme="minorHAnsi" w:hAnsiTheme="minorHAnsi" w:cstheme="minorHAnsi"/>
                <w:color w:val="000000"/>
                <w:kern w:val="24"/>
                <w:sz w:val="16"/>
                <w:szCs w:val="22"/>
                <w:lang w:eastAsia="en-IN"/>
              </w:rPr>
              <w:t>10328.75</w:t>
            </w:r>
          </w:p>
        </w:tc>
        <w:tc>
          <w:tcPr>
            <w:tcW w:w="0" w:type="auto"/>
            <w:shd w:val="clear" w:color="auto" w:fill="D8D3E0"/>
            <w:tcMar>
              <w:top w:w="15" w:type="dxa"/>
              <w:left w:w="15" w:type="dxa"/>
              <w:bottom w:w="0" w:type="dxa"/>
              <w:right w:w="15" w:type="dxa"/>
            </w:tcMar>
            <w:vAlign w:val="center"/>
            <w:hideMark/>
          </w:tcPr>
          <w:p w14:paraId="0CB21C54" w14:textId="77777777" w:rsidR="006043CF" w:rsidRPr="00100C3D" w:rsidRDefault="006043CF" w:rsidP="00236E38">
            <w:pPr>
              <w:spacing w:line="360" w:lineRule="auto"/>
              <w:jc w:val="center"/>
              <w:textAlignment w:val="center"/>
              <w:rPr>
                <w:rFonts w:asciiTheme="minorHAnsi" w:hAnsiTheme="minorHAnsi" w:cstheme="minorHAnsi"/>
                <w:sz w:val="16"/>
                <w:szCs w:val="22"/>
                <w:lang w:eastAsia="en-IN"/>
              </w:rPr>
            </w:pPr>
            <w:r w:rsidRPr="00100C3D">
              <w:rPr>
                <w:rFonts w:asciiTheme="minorHAnsi" w:hAnsiTheme="minorHAnsi" w:cstheme="minorHAnsi"/>
                <w:color w:val="000000"/>
                <w:kern w:val="24"/>
                <w:sz w:val="16"/>
                <w:szCs w:val="22"/>
                <w:lang w:eastAsia="en-IN"/>
              </w:rPr>
              <w:t>174980.9</w:t>
            </w:r>
          </w:p>
        </w:tc>
        <w:tc>
          <w:tcPr>
            <w:tcW w:w="0" w:type="auto"/>
            <w:shd w:val="clear" w:color="auto" w:fill="D8D3E0"/>
            <w:tcMar>
              <w:top w:w="15" w:type="dxa"/>
              <w:left w:w="15" w:type="dxa"/>
              <w:bottom w:w="0" w:type="dxa"/>
              <w:right w:w="15" w:type="dxa"/>
            </w:tcMar>
            <w:vAlign w:val="center"/>
            <w:hideMark/>
          </w:tcPr>
          <w:p w14:paraId="27F5873A" w14:textId="77777777" w:rsidR="006043CF" w:rsidRPr="00100C3D" w:rsidRDefault="006043CF" w:rsidP="00236E38">
            <w:pPr>
              <w:spacing w:line="360" w:lineRule="auto"/>
              <w:jc w:val="center"/>
              <w:textAlignment w:val="center"/>
              <w:rPr>
                <w:rFonts w:asciiTheme="minorHAnsi" w:hAnsiTheme="minorHAnsi" w:cstheme="minorHAnsi"/>
                <w:sz w:val="16"/>
                <w:szCs w:val="22"/>
                <w:lang w:eastAsia="en-IN"/>
              </w:rPr>
            </w:pPr>
            <w:r w:rsidRPr="00100C3D">
              <w:rPr>
                <w:rFonts w:asciiTheme="minorHAnsi" w:hAnsiTheme="minorHAnsi" w:cstheme="minorHAnsi"/>
                <w:color w:val="000000"/>
                <w:kern w:val="24"/>
                <w:sz w:val="16"/>
                <w:szCs w:val="22"/>
                <w:lang w:eastAsia="en-IN"/>
              </w:rPr>
              <w:t>736.79</w:t>
            </w:r>
          </w:p>
        </w:tc>
        <w:tc>
          <w:tcPr>
            <w:tcW w:w="0" w:type="auto"/>
            <w:shd w:val="clear" w:color="auto" w:fill="D8D3E0"/>
            <w:tcMar>
              <w:top w:w="15" w:type="dxa"/>
              <w:left w:w="15" w:type="dxa"/>
              <w:bottom w:w="0" w:type="dxa"/>
              <w:right w:w="15" w:type="dxa"/>
            </w:tcMar>
            <w:vAlign w:val="center"/>
            <w:hideMark/>
          </w:tcPr>
          <w:p w14:paraId="11518534" w14:textId="77777777" w:rsidR="006043CF" w:rsidRPr="00100C3D" w:rsidRDefault="006043CF" w:rsidP="00236E38">
            <w:pPr>
              <w:spacing w:line="360" w:lineRule="auto"/>
              <w:jc w:val="center"/>
              <w:textAlignment w:val="center"/>
              <w:rPr>
                <w:rFonts w:asciiTheme="minorHAnsi" w:hAnsiTheme="minorHAnsi" w:cstheme="minorHAnsi"/>
                <w:sz w:val="16"/>
                <w:szCs w:val="22"/>
                <w:lang w:eastAsia="en-IN"/>
              </w:rPr>
            </w:pPr>
            <w:r w:rsidRPr="00100C3D">
              <w:rPr>
                <w:rFonts w:asciiTheme="minorHAnsi" w:hAnsiTheme="minorHAnsi" w:cstheme="minorHAnsi"/>
                <w:color w:val="000000"/>
                <w:kern w:val="24"/>
                <w:sz w:val="16"/>
                <w:szCs w:val="22"/>
                <w:lang w:eastAsia="en-IN"/>
              </w:rPr>
              <w:t>30.26</w:t>
            </w:r>
          </w:p>
        </w:tc>
        <w:tc>
          <w:tcPr>
            <w:tcW w:w="0" w:type="auto"/>
            <w:shd w:val="clear" w:color="auto" w:fill="D8D3E0"/>
            <w:tcMar>
              <w:top w:w="15" w:type="dxa"/>
              <w:left w:w="15" w:type="dxa"/>
              <w:bottom w:w="0" w:type="dxa"/>
              <w:right w:w="15" w:type="dxa"/>
            </w:tcMar>
            <w:vAlign w:val="center"/>
            <w:hideMark/>
          </w:tcPr>
          <w:p w14:paraId="7F6FDA27" w14:textId="77777777" w:rsidR="006043CF" w:rsidRPr="00100C3D" w:rsidRDefault="006043CF" w:rsidP="00236E38">
            <w:pPr>
              <w:spacing w:line="360" w:lineRule="auto"/>
              <w:jc w:val="center"/>
              <w:textAlignment w:val="center"/>
              <w:rPr>
                <w:rFonts w:asciiTheme="minorHAnsi" w:hAnsiTheme="minorHAnsi" w:cstheme="minorHAnsi"/>
                <w:sz w:val="16"/>
                <w:szCs w:val="22"/>
                <w:lang w:eastAsia="en-IN"/>
              </w:rPr>
            </w:pPr>
            <w:r w:rsidRPr="00100C3D">
              <w:rPr>
                <w:rFonts w:asciiTheme="minorHAnsi" w:hAnsiTheme="minorHAnsi" w:cstheme="minorHAnsi"/>
                <w:color w:val="000000"/>
                <w:kern w:val="24"/>
                <w:sz w:val="16"/>
                <w:szCs w:val="22"/>
                <w:lang w:eastAsia="en-IN"/>
              </w:rPr>
              <w:t>4.11</w:t>
            </w:r>
          </w:p>
        </w:tc>
      </w:tr>
      <w:tr w:rsidR="00100C3D" w:rsidRPr="00100C3D" w14:paraId="602A24AD" w14:textId="77777777" w:rsidTr="00BB5855">
        <w:trPr>
          <w:trHeight w:val="338"/>
        </w:trPr>
        <w:tc>
          <w:tcPr>
            <w:tcW w:w="0" w:type="auto"/>
            <w:shd w:val="clear" w:color="auto" w:fill="EDEAF0"/>
            <w:tcMar>
              <w:top w:w="15" w:type="dxa"/>
              <w:left w:w="15" w:type="dxa"/>
              <w:bottom w:w="0" w:type="dxa"/>
              <w:right w:w="15" w:type="dxa"/>
            </w:tcMar>
            <w:vAlign w:val="center"/>
            <w:hideMark/>
          </w:tcPr>
          <w:p w14:paraId="05745416" w14:textId="77777777" w:rsidR="006043CF" w:rsidRPr="00100C3D" w:rsidRDefault="006043CF" w:rsidP="00236E38">
            <w:pPr>
              <w:spacing w:line="360" w:lineRule="auto"/>
              <w:jc w:val="center"/>
              <w:textAlignment w:val="center"/>
              <w:rPr>
                <w:rFonts w:asciiTheme="minorHAnsi" w:hAnsiTheme="minorHAnsi" w:cstheme="minorHAnsi"/>
                <w:sz w:val="16"/>
                <w:szCs w:val="22"/>
                <w:lang w:eastAsia="en-IN"/>
              </w:rPr>
            </w:pPr>
            <w:proofErr w:type="spellStart"/>
            <w:r w:rsidRPr="00100C3D">
              <w:rPr>
                <w:rFonts w:asciiTheme="minorHAnsi" w:hAnsiTheme="minorHAnsi" w:cstheme="minorHAnsi"/>
                <w:color w:val="000000"/>
                <w:kern w:val="24"/>
                <w:sz w:val="16"/>
                <w:szCs w:val="22"/>
                <w:lang w:eastAsia="en-IN"/>
              </w:rPr>
              <w:t>Bhadrak</w:t>
            </w:r>
            <w:proofErr w:type="spellEnd"/>
          </w:p>
        </w:tc>
        <w:tc>
          <w:tcPr>
            <w:tcW w:w="0" w:type="auto"/>
            <w:shd w:val="clear" w:color="auto" w:fill="EDEAF0"/>
            <w:tcMar>
              <w:top w:w="15" w:type="dxa"/>
              <w:left w:w="15" w:type="dxa"/>
              <w:bottom w:w="0" w:type="dxa"/>
              <w:right w:w="15" w:type="dxa"/>
            </w:tcMar>
            <w:vAlign w:val="center"/>
            <w:hideMark/>
          </w:tcPr>
          <w:p w14:paraId="5ACA9560" w14:textId="77777777" w:rsidR="006043CF" w:rsidRPr="00100C3D" w:rsidRDefault="006043CF" w:rsidP="00236E38">
            <w:pPr>
              <w:spacing w:line="360" w:lineRule="auto"/>
              <w:jc w:val="center"/>
              <w:textAlignment w:val="center"/>
              <w:rPr>
                <w:rFonts w:asciiTheme="minorHAnsi" w:hAnsiTheme="minorHAnsi" w:cstheme="minorHAnsi"/>
                <w:sz w:val="16"/>
                <w:szCs w:val="22"/>
                <w:lang w:eastAsia="en-IN"/>
              </w:rPr>
            </w:pPr>
            <w:r w:rsidRPr="00100C3D">
              <w:rPr>
                <w:rFonts w:asciiTheme="minorHAnsi" w:hAnsiTheme="minorHAnsi" w:cstheme="minorHAnsi"/>
                <w:color w:val="000000"/>
                <w:kern w:val="24"/>
                <w:sz w:val="16"/>
                <w:szCs w:val="22"/>
                <w:lang w:eastAsia="en-IN"/>
              </w:rPr>
              <w:t>4532.54</w:t>
            </w:r>
          </w:p>
        </w:tc>
        <w:tc>
          <w:tcPr>
            <w:tcW w:w="0" w:type="auto"/>
            <w:shd w:val="clear" w:color="auto" w:fill="EDEAF0"/>
            <w:tcMar>
              <w:top w:w="15" w:type="dxa"/>
              <w:left w:w="15" w:type="dxa"/>
              <w:bottom w:w="0" w:type="dxa"/>
              <w:right w:w="15" w:type="dxa"/>
            </w:tcMar>
            <w:vAlign w:val="center"/>
            <w:hideMark/>
          </w:tcPr>
          <w:p w14:paraId="28D170DB" w14:textId="77777777" w:rsidR="006043CF" w:rsidRPr="00100C3D" w:rsidRDefault="006043CF" w:rsidP="00236E38">
            <w:pPr>
              <w:spacing w:line="360" w:lineRule="auto"/>
              <w:jc w:val="center"/>
              <w:textAlignment w:val="center"/>
              <w:rPr>
                <w:rFonts w:asciiTheme="minorHAnsi" w:hAnsiTheme="minorHAnsi" w:cstheme="minorHAnsi"/>
                <w:sz w:val="16"/>
                <w:szCs w:val="22"/>
                <w:lang w:eastAsia="en-IN"/>
              </w:rPr>
            </w:pPr>
            <w:r w:rsidRPr="00100C3D">
              <w:rPr>
                <w:rFonts w:asciiTheme="minorHAnsi" w:hAnsiTheme="minorHAnsi" w:cstheme="minorHAnsi"/>
                <w:color w:val="000000"/>
                <w:kern w:val="24"/>
                <w:sz w:val="16"/>
                <w:szCs w:val="22"/>
                <w:lang w:eastAsia="en-IN"/>
              </w:rPr>
              <w:t>146862.41</w:t>
            </w:r>
          </w:p>
        </w:tc>
        <w:tc>
          <w:tcPr>
            <w:tcW w:w="0" w:type="auto"/>
            <w:shd w:val="clear" w:color="auto" w:fill="EDEAF0"/>
            <w:tcMar>
              <w:top w:w="15" w:type="dxa"/>
              <w:left w:w="15" w:type="dxa"/>
              <w:bottom w:w="0" w:type="dxa"/>
              <w:right w:w="15" w:type="dxa"/>
            </w:tcMar>
            <w:vAlign w:val="center"/>
            <w:hideMark/>
          </w:tcPr>
          <w:p w14:paraId="05E34825" w14:textId="77777777" w:rsidR="006043CF" w:rsidRPr="00100C3D" w:rsidRDefault="006043CF" w:rsidP="00236E38">
            <w:pPr>
              <w:spacing w:line="360" w:lineRule="auto"/>
              <w:jc w:val="center"/>
              <w:textAlignment w:val="center"/>
              <w:rPr>
                <w:rFonts w:asciiTheme="minorHAnsi" w:hAnsiTheme="minorHAnsi" w:cstheme="minorHAnsi"/>
                <w:sz w:val="16"/>
                <w:szCs w:val="22"/>
                <w:lang w:eastAsia="en-IN"/>
              </w:rPr>
            </w:pPr>
            <w:r w:rsidRPr="00100C3D">
              <w:rPr>
                <w:rFonts w:asciiTheme="minorHAnsi" w:hAnsiTheme="minorHAnsi" w:cstheme="minorHAnsi"/>
                <w:color w:val="000000"/>
                <w:kern w:val="24"/>
                <w:sz w:val="16"/>
                <w:szCs w:val="22"/>
                <w:lang w:eastAsia="en-IN"/>
              </w:rPr>
              <w:t>579.68</w:t>
            </w:r>
          </w:p>
        </w:tc>
        <w:tc>
          <w:tcPr>
            <w:tcW w:w="0" w:type="auto"/>
            <w:shd w:val="clear" w:color="auto" w:fill="EDEAF0"/>
            <w:tcMar>
              <w:top w:w="15" w:type="dxa"/>
              <w:left w:w="15" w:type="dxa"/>
              <w:bottom w:w="0" w:type="dxa"/>
              <w:right w:w="15" w:type="dxa"/>
            </w:tcMar>
            <w:vAlign w:val="center"/>
            <w:hideMark/>
          </w:tcPr>
          <w:p w14:paraId="7B536AF6" w14:textId="77777777" w:rsidR="006043CF" w:rsidRPr="00100C3D" w:rsidRDefault="006043CF" w:rsidP="00236E38">
            <w:pPr>
              <w:spacing w:line="360" w:lineRule="auto"/>
              <w:jc w:val="center"/>
              <w:textAlignment w:val="center"/>
              <w:rPr>
                <w:rFonts w:asciiTheme="minorHAnsi" w:hAnsiTheme="minorHAnsi" w:cstheme="minorHAnsi"/>
                <w:sz w:val="16"/>
                <w:szCs w:val="22"/>
                <w:lang w:eastAsia="en-IN"/>
              </w:rPr>
            </w:pPr>
            <w:r w:rsidRPr="00100C3D">
              <w:rPr>
                <w:rFonts w:asciiTheme="minorHAnsi" w:hAnsiTheme="minorHAnsi" w:cstheme="minorHAnsi"/>
                <w:color w:val="000000"/>
                <w:kern w:val="24"/>
                <w:sz w:val="16"/>
                <w:szCs w:val="22"/>
                <w:lang w:eastAsia="en-IN"/>
              </w:rPr>
              <w:t>27.03</w:t>
            </w:r>
          </w:p>
        </w:tc>
        <w:tc>
          <w:tcPr>
            <w:tcW w:w="0" w:type="auto"/>
            <w:shd w:val="clear" w:color="auto" w:fill="EDEAF0"/>
            <w:tcMar>
              <w:top w:w="15" w:type="dxa"/>
              <w:left w:w="15" w:type="dxa"/>
              <w:bottom w:w="0" w:type="dxa"/>
              <w:right w:w="15" w:type="dxa"/>
            </w:tcMar>
            <w:vAlign w:val="center"/>
            <w:hideMark/>
          </w:tcPr>
          <w:p w14:paraId="4A3B500F" w14:textId="77777777" w:rsidR="006043CF" w:rsidRPr="00100C3D" w:rsidRDefault="006043CF" w:rsidP="00236E38">
            <w:pPr>
              <w:spacing w:line="360" w:lineRule="auto"/>
              <w:jc w:val="center"/>
              <w:textAlignment w:val="center"/>
              <w:rPr>
                <w:rFonts w:asciiTheme="minorHAnsi" w:hAnsiTheme="minorHAnsi" w:cstheme="minorHAnsi"/>
                <w:sz w:val="16"/>
                <w:szCs w:val="22"/>
                <w:lang w:eastAsia="en-IN"/>
              </w:rPr>
            </w:pPr>
            <w:r w:rsidRPr="00100C3D">
              <w:rPr>
                <w:rFonts w:asciiTheme="minorHAnsi" w:hAnsiTheme="minorHAnsi" w:cstheme="minorHAnsi"/>
                <w:color w:val="000000"/>
                <w:kern w:val="24"/>
                <w:sz w:val="16"/>
                <w:szCs w:val="22"/>
                <w:lang w:eastAsia="en-IN"/>
              </w:rPr>
              <w:t>4.66</w:t>
            </w:r>
          </w:p>
        </w:tc>
        <w:tc>
          <w:tcPr>
            <w:tcW w:w="0" w:type="auto"/>
            <w:shd w:val="clear" w:color="auto" w:fill="auto"/>
            <w:tcMar>
              <w:top w:w="15" w:type="dxa"/>
              <w:left w:w="15" w:type="dxa"/>
              <w:bottom w:w="0" w:type="dxa"/>
              <w:right w:w="15" w:type="dxa"/>
            </w:tcMar>
            <w:vAlign w:val="center"/>
            <w:hideMark/>
          </w:tcPr>
          <w:p w14:paraId="607B307B" w14:textId="77777777" w:rsidR="006043CF" w:rsidRPr="00100C3D" w:rsidRDefault="006043CF" w:rsidP="00236E38">
            <w:pPr>
              <w:spacing w:line="360" w:lineRule="auto"/>
              <w:jc w:val="center"/>
              <w:textAlignment w:val="center"/>
              <w:rPr>
                <w:rFonts w:asciiTheme="minorHAnsi" w:hAnsiTheme="minorHAnsi" w:cstheme="minorHAnsi"/>
                <w:sz w:val="16"/>
                <w:szCs w:val="22"/>
                <w:lang w:eastAsia="en-IN"/>
              </w:rPr>
            </w:pPr>
            <w:r w:rsidRPr="00100C3D">
              <w:rPr>
                <w:rFonts w:asciiTheme="minorHAnsi" w:hAnsiTheme="minorHAnsi" w:cstheme="minorHAnsi"/>
                <w:color w:val="000000"/>
                <w:kern w:val="24"/>
                <w:sz w:val="16"/>
                <w:szCs w:val="22"/>
                <w:lang w:eastAsia="en-IN"/>
              </w:rPr>
              <w:t> </w:t>
            </w:r>
          </w:p>
        </w:tc>
        <w:tc>
          <w:tcPr>
            <w:tcW w:w="0" w:type="auto"/>
            <w:shd w:val="clear" w:color="auto" w:fill="EDEAF0"/>
            <w:tcMar>
              <w:top w:w="15" w:type="dxa"/>
              <w:left w:w="15" w:type="dxa"/>
              <w:bottom w:w="0" w:type="dxa"/>
              <w:right w:w="15" w:type="dxa"/>
            </w:tcMar>
            <w:vAlign w:val="center"/>
            <w:hideMark/>
          </w:tcPr>
          <w:p w14:paraId="70FFC123" w14:textId="77777777" w:rsidR="006043CF" w:rsidRPr="00100C3D" w:rsidRDefault="006043CF" w:rsidP="00236E38">
            <w:pPr>
              <w:spacing w:line="360" w:lineRule="auto"/>
              <w:jc w:val="center"/>
              <w:textAlignment w:val="center"/>
              <w:rPr>
                <w:rFonts w:asciiTheme="minorHAnsi" w:hAnsiTheme="minorHAnsi" w:cstheme="minorHAnsi"/>
                <w:sz w:val="16"/>
                <w:szCs w:val="22"/>
                <w:lang w:eastAsia="en-IN"/>
              </w:rPr>
            </w:pPr>
            <w:r w:rsidRPr="00100C3D">
              <w:rPr>
                <w:rFonts w:asciiTheme="minorHAnsi" w:hAnsiTheme="minorHAnsi" w:cstheme="minorHAnsi"/>
                <w:color w:val="000000"/>
                <w:kern w:val="24"/>
                <w:sz w:val="16"/>
                <w:szCs w:val="22"/>
                <w:lang w:eastAsia="en-IN"/>
              </w:rPr>
              <w:t>4556.08</w:t>
            </w:r>
          </w:p>
        </w:tc>
        <w:tc>
          <w:tcPr>
            <w:tcW w:w="0" w:type="auto"/>
            <w:shd w:val="clear" w:color="auto" w:fill="EDEAF0"/>
            <w:tcMar>
              <w:top w:w="15" w:type="dxa"/>
              <w:left w:w="15" w:type="dxa"/>
              <w:bottom w:w="0" w:type="dxa"/>
              <w:right w:w="15" w:type="dxa"/>
            </w:tcMar>
            <w:vAlign w:val="center"/>
            <w:hideMark/>
          </w:tcPr>
          <w:p w14:paraId="1EA14F7B" w14:textId="77777777" w:rsidR="006043CF" w:rsidRPr="00100C3D" w:rsidRDefault="006043CF" w:rsidP="00236E38">
            <w:pPr>
              <w:spacing w:line="360" w:lineRule="auto"/>
              <w:jc w:val="center"/>
              <w:textAlignment w:val="center"/>
              <w:rPr>
                <w:rFonts w:asciiTheme="minorHAnsi" w:hAnsiTheme="minorHAnsi" w:cstheme="minorHAnsi"/>
                <w:sz w:val="16"/>
                <w:szCs w:val="22"/>
                <w:lang w:eastAsia="en-IN"/>
              </w:rPr>
            </w:pPr>
            <w:r w:rsidRPr="00100C3D">
              <w:rPr>
                <w:rFonts w:asciiTheme="minorHAnsi" w:hAnsiTheme="minorHAnsi" w:cstheme="minorHAnsi"/>
                <w:color w:val="000000"/>
                <w:kern w:val="24"/>
                <w:sz w:val="16"/>
                <w:szCs w:val="22"/>
                <w:lang w:eastAsia="en-IN"/>
              </w:rPr>
              <w:t>147050.53</w:t>
            </w:r>
          </w:p>
        </w:tc>
        <w:tc>
          <w:tcPr>
            <w:tcW w:w="0" w:type="auto"/>
            <w:shd w:val="clear" w:color="auto" w:fill="EDEAF0"/>
            <w:tcMar>
              <w:top w:w="15" w:type="dxa"/>
              <w:left w:w="15" w:type="dxa"/>
              <w:bottom w:w="0" w:type="dxa"/>
              <w:right w:w="15" w:type="dxa"/>
            </w:tcMar>
            <w:vAlign w:val="center"/>
            <w:hideMark/>
          </w:tcPr>
          <w:p w14:paraId="2D72ED96" w14:textId="77777777" w:rsidR="006043CF" w:rsidRPr="00100C3D" w:rsidRDefault="006043CF" w:rsidP="00236E38">
            <w:pPr>
              <w:spacing w:line="360" w:lineRule="auto"/>
              <w:jc w:val="center"/>
              <w:textAlignment w:val="center"/>
              <w:rPr>
                <w:rFonts w:asciiTheme="minorHAnsi" w:hAnsiTheme="minorHAnsi" w:cstheme="minorHAnsi"/>
                <w:sz w:val="16"/>
                <w:szCs w:val="22"/>
                <w:lang w:eastAsia="en-IN"/>
              </w:rPr>
            </w:pPr>
            <w:r w:rsidRPr="00100C3D">
              <w:rPr>
                <w:rFonts w:asciiTheme="minorHAnsi" w:hAnsiTheme="minorHAnsi" w:cstheme="minorHAnsi"/>
                <w:color w:val="000000"/>
                <w:kern w:val="24"/>
                <w:sz w:val="16"/>
                <w:szCs w:val="22"/>
                <w:lang w:eastAsia="en-IN"/>
              </w:rPr>
              <w:t>580.93</w:t>
            </w:r>
          </w:p>
        </w:tc>
        <w:tc>
          <w:tcPr>
            <w:tcW w:w="0" w:type="auto"/>
            <w:shd w:val="clear" w:color="auto" w:fill="EDEAF0"/>
            <w:tcMar>
              <w:top w:w="15" w:type="dxa"/>
              <w:left w:w="15" w:type="dxa"/>
              <w:bottom w:w="0" w:type="dxa"/>
              <w:right w:w="15" w:type="dxa"/>
            </w:tcMar>
            <w:vAlign w:val="center"/>
            <w:hideMark/>
          </w:tcPr>
          <w:p w14:paraId="2D116D68" w14:textId="77777777" w:rsidR="006043CF" w:rsidRPr="00100C3D" w:rsidRDefault="006043CF" w:rsidP="00236E38">
            <w:pPr>
              <w:spacing w:line="360" w:lineRule="auto"/>
              <w:jc w:val="center"/>
              <w:textAlignment w:val="center"/>
              <w:rPr>
                <w:rFonts w:asciiTheme="minorHAnsi" w:hAnsiTheme="minorHAnsi" w:cstheme="minorHAnsi"/>
                <w:sz w:val="16"/>
                <w:szCs w:val="22"/>
                <w:lang w:eastAsia="en-IN"/>
              </w:rPr>
            </w:pPr>
            <w:r w:rsidRPr="00100C3D">
              <w:rPr>
                <w:rFonts w:asciiTheme="minorHAnsi" w:hAnsiTheme="minorHAnsi" w:cstheme="minorHAnsi"/>
                <w:color w:val="000000"/>
                <w:kern w:val="24"/>
                <w:sz w:val="16"/>
                <w:szCs w:val="22"/>
                <w:lang w:eastAsia="en-IN"/>
              </w:rPr>
              <w:t>25.09</w:t>
            </w:r>
          </w:p>
        </w:tc>
        <w:tc>
          <w:tcPr>
            <w:tcW w:w="0" w:type="auto"/>
            <w:shd w:val="clear" w:color="auto" w:fill="EDEAF0"/>
            <w:tcMar>
              <w:top w:w="15" w:type="dxa"/>
              <w:left w:w="15" w:type="dxa"/>
              <w:bottom w:w="0" w:type="dxa"/>
              <w:right w:w="15" w:type="dxa"/>
            </w:tcMar>
            <w:vAlign w:val="center"/>
            <w:hideMark/>
          </w:tcPr>
          <w:p w14:paraId="109F076D" w14:textId="77777777" w:rsidR="006043CF" w:rsidRPr="00100C3D" w:rsidRDefault="006043CF" w:rsidP="00236E38">
            <w:pPr>
              <w:spacing w:line="360" w:lineRule="auto"/>
              <w:jc w:val="center"/>
              <w:textAlignment w:val="center"/>
              <w:rPr>
                <w:rFonts w:asciiTheme="minorHAnsi" w:hAnsiTheme="minorHAnsi" w:cstheme="minorHAnsi"/>
                <w:sz w:val="16"/>
                <w:szCs w:val="22"/>
                <w:lang w:eastAsia="en-IN"/>
              </w:rPr>
            </w:pPr>
            <w:r w:rsidRPr="00100C3D">
              <w:rPr>
                <w:rFonts w:asciiTheme="minorHAnsi" w:hAnsiTheme="minorHAnsi" w:cstheme="minorHAnsi"/>
                <w:color w:val="000000"/>
                <w:kern w:val="24"/>
                <w:sz w:val="16"/>
                <w:szCs w:val="22"/>
                <w:lang w:eastAsia="en-IN"/>
              </w:rPr>
              <w:t>4.32</w:t>
            </w:r>
          </w:p>
        </w:tc>
        <w:tc>
          <w:tcPr>
            <w:tcW w:w="0" w:type="auto"/>
            <w:shd w:val="clear" w:color="auto" w:fill="auto"/>
            <w:tcMar>
              <w:top w:w="15" w:type="dxa"/>
              <w:left w:w="15" w:type="dxa"/>
              <w:bottom w:w="0" w:type="dxa"/>
              <w:right w:w="15" w:type="dxa"/>
            </w:tcMar>
            <w:vAlign w:val="center"/>
            <w:hideMark/>
          </w:tcPr>
          <w:p w14:paraId="3FEC8F81" w14:textId="77777777" w:rsidR="006043CF" w:rsidRPr="00100C3D" w:rsidRDefault="006043CF" w:rsidP="00236E38">
            <w:pPr>
              <w:spacing w:line="360" w:lineRule="auto"/>
              <w:jc w:val="center"/>
              <w:textAlignment w:val="center"/>
              <w:rPr>
                <w:rFonts w:asciiTheme="minorHAnsi" w:hAnsiTheme="minorHAnsi" w:cstheme="minorHAnsi"/>
                <w:sz w:val="16"/>
                <w:szCs w:val="22"/>
                <w:lang w:eastAsia="en-IN"/>
              </w:rPr>
            </w:pPr>
            <w:r w:rsidRPr="00100C3D">
              <w:rPr>
                <w:rFonts w:asciiTheme="minorHAnsi" w:hAnsiTheme="minorHAnsi" w:cstheme="minorHAnsi"/>
                <w:color w:val="000000"/>
                <w:kern w:val="24"/>
                <w:sz w:val="16"/>
                <w:szCs w:val="22"/>
                <w:lang w:eastAsia="en-IN"/>
              </w:rPr>
              <w:t> </w:t>
            </w:r>
          </w:p>
        </w:tc>
        <w:tc>
          <w:tcPr>
            <w:tcW w:w="0" w:type="auto"/>
            <w:shd w:val="clear" w:color="auto" w:fill="EDEAF0"/>
            <w:tcMar>
              <w:top w:w="15" w:type="dxa"/>
              <w:left w:w="15" w:type="dxa"/>
              <w:bottom w:w="0" w:type="dxa"/>
              <w:right w:w="15" w:type="dxa"/>
            </w:tcMar>
            <w:vAlign w:val="center"/>
            <w:hideMark/>
          </w:tcPr>
          <w:p w14:paraId="714A1676" w14:textId="77777777" w:rsidR="006043CF" w:rsidRPr="00100C3D" w:rsidRDefault="006043CF" w:rsidP="00236E38">
            <w:pPr>
              <w:spacing w:line="360" w:lineRule="auto"/>
              <w:jc w:val="center"/>
              <w:textAlignment w:val="center"/>
              <w:rPr>
                <w:rFonts w:asciiTheme="minorHAnsi" w:hAnsiTheme="minorHAnsi" w:cstheme="minorHAnsi"/>
                <w:sz w:val="16"/>
                <w:szCs w:val="22"/>
                <w:lang w:eastAsia="en-IN"/>
              </w:rPr>
            </w:pPr>
            <w:r w:rsidRPr="00100C3D">
              <w:rPr>
                <w:rFonts w:asciiTheme="minorHAnsi" w:hAnsiTheme="minorHAnsi" w:cstheme="minorHAnsi"/>
                <w:color w:val="000000"/>
                <w:kern w:val="24"/>
                <w:sz w:val="16"/>
                <w:szCs w:val="22"/>
                <w:lang w:eastAsia="en-IN"/>
              </w:rPr>
              <w:t>4611.33</w:t>
            </w:r>
          </w:p>
        </w:tc>
        <w:tc>
          <w:tcPr>
            <w:tcW w:w="0" w:type="auto"/>
            <w:shd w:val="clear" w:color="auto" w:fill="EDEAF0"/>
            <w:tcMar>
              <w:top w:w="15" w:type="dxa"/>
              <w:left w:w="15" w:type="dxa"/>
              <w:bottom w:w="0" w:type="dxa"/>
              <w:right w:w="15" w:type="dxa"/>
            </w:tcMar>
            <w:vAlign w:val="center"/>
            <w:hideMark/>
          </w:tcPr>
          <w:p w14:paraId="424C9B76" w14:textId="77777777" w:rsidR="006043CF" w:rsidRPr="00100C3D" w:rsidRDefault="006043CF" w:rsidP="00236E38">
            <w:pPr>
              <w:spacing w:line="360" w:lineRule="auto"/>
              <w:jc w:val="center"/>
              <w:textAlignment w:val="center"/>
              <w:rPr>
                <w:rFonts w:asciiTheme="minorHAnsi" w:hAnsiTheme="minorHAnsi" w:cstheme="minorHAnsi"/>
                <w:sz w:val="16"/>
                <w:szCs w:val="22"/>
                <w:lang w:eastAsia="en-IN"/>
              </w:rPr>
            </w:pPr>
            <w:r w:rsidRPr="00100C3D">
              <w:rPr>
                <w:rFonts w:asciiTheme="minorHAnsi" w:hAnsiTheme="minorHAnsi" w:cstheme="minorHAnsi"/>
                <w:color w:val="000000"/>
                <w:kern w:val="24"/>
                <w:sz w:val="16"/>
                <w:szCs w:val="22"/>
                <w:lang w:eastAsia="en-IN"/>
              </w:rPr>
              <w:t>171444.1</w:t>
            </w:r>
          </w:p>
        </w:tc>
        <w:tc>
          <w:tcPr>
            <w:tcW w:w="0" w:type="auto"/>
            <w:shd w:val="clear" w:color="auto" w:fill="EDEAF0"/>
            <w:tcMar>
              <w:top w:w="15" w:type="dxa"/>
              <w:left w:w="15" w:type="dxa"/>
              <w:bottom w:w="0" w:type="dxa"/>
              <w:right w:w="15" w:type="dxa"/>
            </w:tcMar>
            <w:vAlign w:val="center"/>
            <w:hideMark/>
          </w:tcPr>
          <w:p w14:paraId="0FF4DB9B" w14:textId="77777777" w:rsidR="006043CF" w:rsidRPr="00100C3D" w:rsidRDefault="006043CF" w:rsidP="00236E38">
            <w:pPr>
              <w:spacing w:line="360" w:lineRule="auto"/>
              <w:jc w:val="center"/>
              <w:textAlignment w:val="center"/>
              <w:rPr>
                <w:rFonts w:asciiTheme="minorHAnsi" w:hAnsiTheme="minorHAnsi" w:cstheme="minorHAnsi"/>
                <w:sz w:val="16"/>
                <w:szCs w:val="22"/>
                <w:lang w:eastAsia="en-IN"/>
              </w:rPr>
            </w:pPr>
            <w:r w:rsidRPr="00100C3D">
              <w:rPr>
                <w:rFonts w:asciiTheme="minorHAnsi" w:hAnsiTheme="minorHAnsi" w:cstheme="minorHAnsi"/>
                <w:color w:val="000000"/>
                <w:kern w:val="24"/>
                <w:sz w:val="16"/>
                <w:szCs w:val="22"/>
                <w:lang w:eastAsia="en-IN"/>
              </w:rPr>
              <w:t>728.91</w:t>
            </w:r>
          </w:p>
        </w:tc>
        <w:tc>
          <w:tcPr>
            <w:tcW w:w="0" w:type="auto"/>
            <w:shd w:val="clear" w:color="auto" w:fill="EDEAF0"/>
            <w:tcMar>
              <w:top w:w="15" w:type="dxa"/>
              <w:left w:w="15" w:type="dxa"/>
              <w:bottom w:w="0" w:type="dxa"/>
              <w:right w:w="15" w:type="dxa"/>
            </w:tcMar>
            <w:vAlign w:val="center"/>
            <w:hideMark/>
          </w:tcPr>
          <w:p w14:paraId="3F9985B3" w14:textId="77777777" w:rsidR="006043CF" w:rsidRPr="00100C3D" w:rsidRDefault="006043CF" w:rsidP="00236E38">
            <w:pPr>
              <w:spacing w:line="360" w:lineRule="auto"/>
              <w:jc w:val="center"/>
              <w:textAlignment w:val="center"/>
              <w:rPr>
                <w:rFonts w:asciiTheme="minorHAnsi" w:hAnsiTheme="minorHAnsi" w:cstheme="minorHAnsi"/>
                <w:sz w:val="16"/>
                <w:szCs w:val="22"/>
                <w:lang w:eastAsia="en-IN"/>
              </w:rPr>
            </w:pPr>
            <w:r w:rsidRPr="00100C3D">
              <w:rPr>
                <w:rFonts w:asciiTheme="minorHAnsi" w:hAnsiTheme="minorHAnsi" w:cstheme="minorHAnsi"/>
                <w:color w:val="000000"/>
                <w:kern w:val="24"/>
                <w:sz w:val="16"/>
                <w:szCs w:val="22"/>
                <w:lang w:eastAsia="en-IN"/>
              </w:rPr>
              <w:t>33.6</w:t>
            </w:r>
          </w:p>
        </w:tc>
        <w:tc>
          <w:tcPr>
            <w:tcW w:w="0" w:type="auto"/>
            <w:shd w:val="clear" w:color="auto" w:fill="EDEAF0"/>
            <w:tcMar>
              <w:top w:w="15" w:type="dxa"/>
              <w:left w:w="15" w:type="dxa"/>
              <w:bottom w:w="0" w:type="dxa"/>
              <w:right w:w="15" w:type="dxa"/>
            </w:tcMar>
            <w:vAlign w:val="center"/>
            <w:hideMark/>
          </w:tcPr>
          <w:p w14:paraId="7FAB0D4C" w14:textId="77777777" w:rsidR="006043CF" w:rsidRPr="00100C3D" w:rsidRDefault="006043CF" w:rsidP="00236E38">
            <w:pPr>
              <w:spacing w:line="360" w:lineRule="auto"/>
              <w:jc w:val="center"/>
              <w:textAlignment w:val="center"/>
              <w:rPr>
                <w:rFonts w:asciiTheme="minorHAnsi" w:hAnsiTheme="minorHAnsi" w:cstheme="minorHAnsi"/>
                <w:sz w:val="16"/>
                <w:szCs w:val="22"/>
                <w:lang w:eastAsia="en-IN"/>
              </w:rPr>
            </w:pPr>
            <w:r w:rsidRPr="00100C3D">
              <w:rPr>
                <w:rFonts w:asciiTheme="minorHAnsi" w:hAnsiTheme="minorHAnsi" w:cstheme="minorHAnsi"/>
                <w:color w:val="000000"/>
                <w:kern w:val="24"/>
                <w:sz w:val="16"/>
                <w:szCs w:val="22"/>
                <w:lang w:eastAsia="en-IN"/>
              </w:rPr>
              <w:t>4.6</w:t>
            </w:r>
          </w:p>
        </w:tc>
      </w:tr>
      <w:tr w:rsidR="00100C3D" w:rsidRPr="00100C3D" w14:paraId="5A58C4AD" w14:textId="77777777" w:rsidTr="00BB5855">
        <w:trPr>
          <w:trHeight w:val="338"/>
        </w:trPr>
        <w:tc>
          <w:tcPr>
            <w:tcW w:w="0" w:type="auto"/>
            <w:shd w:val="clear" w:color="auto" w:fill="D8D3E0"/>
            <w:tcMar>
              <w:top w:w="15" w:type="dxa"/>
              <w:left w:w="15" w:type="dxa"/>
              <w:bottom w:w="0" w:type="dxa"/>
              <w:right w:w="15" w:type="dxa"/>
            </w:tcMar>
            <w:vAlign w:val="center"/>
            <w:hideMark/>
          </w:tcPr>
          <w:p w14:paraId="4BCDFBA8" w14:textId="77777777" w:rsidR="006043CF" w:rsidRPr="00100C3D" w:rsidRDefault="006043CF" w:rsidP="00236E38">
            <w:pPr>
              <w:spacing w:line="360" w:lineRule="auto"/>
              <w:jc w:val="center"/>
              <w:textAlignment w:val="center"/>
              <w:rPr>
                <w:rFonts w:asciiTheme="minorHAnsi" w:hAnsiTheme="minorHAnsi" w:cstheme="minorHAnsi"/>
                <w:sz w:val="16"/>
                <w:szCs w:val="22"/>
                <w:lang w:eastAsia="en-IN"/>
              </w:rPr>
            </w:pPr>
            <w:proofErr w:type="spellStart"/>
            <w:r w:rsidRPr="00100C3D">
              <w:rPr>
                <w:rFonts w:asciiTheme="minorHAnsi" w:hAnsiTheme="minorHAnsi" w:cstheme="minorHAnsi"/>
                <w:color w:val="000000"/>
                <w:kern w:val="24"/>
                <w:sz w:val="16"/>
                <w:szCs w:val="22"/>
                <w:lang w:eastAsia="en-IN"/>
              </w:rPr>
              <w:t>Jajpur</w:t>
            </w:r>
            <w:proofErr w:type="spellEnd"/>
          </w:p>
        </w:tc>
        <w:tc>
          <w:tcPr>
            <w:tcW w:w="0" w:type="auto"/>
            <w:shd w:val="clear" w:color="auto" w:fill="D8D3E0"/>
            <w:tcMar>
              <w:top w:w="15" w:type="dxa"/>
              <w:left w:w="15" w:type="dxa"/>
              <w:bottom w:w="0" w:type="dxa"/>
              <w:right w:w="15" w:type="dxa"/>
            </w:tcMar>
            <w:vAlign w:val="center"/>
            <w:hideMark/>
          </w:tcPr>
          <w:p w14:paraId="383C2AB5" w14:textId="77777777" w:rsidR="006043CF" w:rsidRPr="00100C3D" w:rsidRDefault="006043CF" w:rsidP="00236E38">
            <w:pPr>
              <w:spacing w:line="360" w:lineRule="auto"/>
              <w:jc w:val="center"/>
              <w:textAlignment w:val="center"/>
              <w:rPr>
                <w:rFonts w:asciiTheme="minorHAnsi" w:hAnsiTheme="minorHAnsi" w:cstheme="minorHAnsi"/>
                <w:sz w:val="16"/>
                <w:szCs w:val="22"/>
                <w:lang w:eastAsia="en-IN"/>
              </w:rPr>
            </w:pPr>
            <w:r w:rsidRPr="00100C3D">
              <w:rPr>
                <w:rFonts w:asciiTheme="minorHAnsi" w:hAnsiTheme="minorHAnsi" w:cstheme="minorHAnsi"/>
                <w:color w:val="000000"/>
                <w:kern w:val="24"/>
                <w:sz w:val="16"/>
                <w:szCs w:val="22"/>
                <w:lang w:eastAsia="en-IN"/>
              </w:rPr>
              <w:t>3124.51</w:t>
            </w:r>
          </w:p>
        </w:tc>
        <w:tc>
          <w:tcPr>
            <w:tcW w:w="0" w:type="auto"/>
            <w:shd w:val="clear" w:color="auto" w:fill="D8D3E0"/>
            <w:tcMar>
              <w:top w:w="15" w:type="dxa"/>
              <w:left w:w="15" w:type="dxa"/>
              <w:bottom w:w="0" w:type="dxa"/>
              <w:right w:w="15" w:type="dxa"/>
            </w:tcMar>
            <w:vAlign w:val="center"/>
            <w:hideMark/>
          </w:tcPr>
          <w:p w14:paraId="773F30F3" w14:textId="77777777" w:rsidR="006043CF" w:rsidRPr="00100C3D" w:rsidRDefault="006043CF" w:rsidP="00236E38">
            <w:pPr>
              <w:spacing w:line="360" w:lineRule="auto"/>
              <w:jc w:val="center"/>
              <w:textAlignment w:val="center"/>
              <w:rPr>
                <w:rFonts w:asciiTheme="minorHAnsi" w:hAnsiTheme="minorHAnsi" w:cstheme="minorHAnsi"/>
                <w:sz w:val="16"/>
                <w:szCs w:val="22"/>
                <w:lang w:eastAsia="en-IN"/>
              </w:rPr>
            </w:pPr>
            <w:r w:rsidRPr="00100C3D">
              <w:rPr>
                <w:rFonts w:asciiTheme="minorHAnsi" w:hAnsiTheme="minorHAnsi" w:cstheme="minorHAnsi"/>
                <w:color w:val="000000"/>
                <w:kern w:val="24"/>
                <w:sz w:val="16"/>
                <w:szCs w:val="22"/>
                <w:lang w:eastAsia="en-IN"/>
              </w:rPr>
              <w:t>177025.53</w:t>
            </w:r>
          </w:p>
        </w:tc>
        <w:tc>
          <w:tcPr>
            <w:tcW w:w="0" w:type="auto"/>
            <w:shd w:val="clear" w:color="auto" w:fill="D8D3E0"/>
            <w:tcMar>
              <w:top w:w="15" w:type="dxa"/>
              <w:left w:w="15" w:type="dxa"/>
              <w:bottom w:w="0" w:type="dxa"/>
              <w:right w:w="15" w:type="dxa"/>
            </w:tcMar>
            <w:vAlign w:val="center"/>
            <w:hideMark/>
          </w:tcPr>
          <w:p w14:paraId="4E45DA41" w14:textId="77777777" w:rsidR="006043CF" w:rsidRPr="00100C3D" w:rsidRDefault="006043CF" w:rsidP="00236E38">
            <w:pPr>
              <w:spacing w:line="360" w:lineRule="auto"/>
              <w:jc w:val="center"/>
              <w:textAlignment w:val="center"/>
              <w:rPr>
                <w:rFonts w:asciiTheme="minorHAnsi" w:hAnsiTheme="minorHAnsi" w:cstheme="minorHAnsi"/>
                <w:sz w:val="16"/>
                <w:szCs w:val="22"/>
                <w:lang w:eastAsia="en-IN"/>
              </w:rPr>
            </w:pPr>
            <w:r w:rsidRPr="00100C3D">
              <w:rPr>
                <w:rFonts w:asciiTheme="minorHAnsi" w:hAnsiTheme="minorHAnsi" w:cstheme="minorHAnsi"/>
                <w:color w:val="000000"/>
                <w:kern w:val="24"/>
                <w:sz w:val="16"/>
                <w:szCs w:val="22"/>
                <w:lang w:eastAsia="en-IN"/>
              </w:rPr>
              <w:t>564.5</w:t>
            </w:r>
          </w:p>
        </w:tc>
        <w:tc>
          <w:tcPr>
            <w:tcW w:w="0" w:type="auto"/>
            <w:shd w:val="clear" w:color="auto" w:fill="D8D3E0"/>
            <w:tcMar>
              <w:top w:w="15" w:type="dxa"/>
              <w:left w:w="15" w:type="dxa"/>
              <w:bottom w:w="0" w:type="dxa"/>
              <w:right w:w="15" w:type="dxa"/>
            </w:tcMar>
            <w:vAlign w:val="center"/>
            <w:hideMark/>
          </w:tcPr>
          <w:p w14:paraId="68D2D2BE" w14:textId="77777777" w:rsidR="006043CF" w:rsidRPr="00100C3D" w:rsidRDefault="006043CF" w:rsidP="00236E38">
            <w:pPr>
              <w:spacing w:line="360" w:lineRule="auto"/>
              <w:jc w:val="center"/>
              <w:textAlignment w:val="center"/>
              <w:rPr>
                <w:rFonts w:asciiTheme="minorHAnsi" w:hAnsiTheme="minorHAnsi" w:cstheme="minorHAnsi"/>
                <w:sz w:val="16"/>
                <w:szCs w:val="22"/>
                <w:lang w:eastAsia="en-IN"/>
              </w:rPr>
            </w:pPr>
            <w:r w:rsidRPr="00100C3D">
              <w:rPr>
                <w:rFonts w:asciiTheme="minorHAnsi" w:hAnsiTheme="minorHAnsi" w:cstheme="minorHAnsi"/>
                <w:color w:val="000000"/>
                <w:kern w:val="24"/>
                <w:sz w:val="16"/>
                <w:szCs w:val="22"/>
                <w:lang w:eastAsia="en-IN"/>
              </w:rPr>
              <w:t>22.43</w:t>
            </w:r>
          </w:p>
        </w:tc>
        <w:tc>
          <w:tcPr>
            <w:tcW w:w="0" w:type="auto"/>
            <w:shd w:val="clear" w:color="auto" w:fill="D8D3E0"/>
            <w:tcMar>
              <w:top w:w="15" w:type="dxa"/>
              <w:left w:w="15" w:type="dxa"/>
              <w:bottom w:w="0" w:type="dxa"/>
              <w:right w:w="15" w:type="dxa"/>
            </w:tcMar>
            <w:vAlign w:val="center"/>
            <w:hideMark/>
          </w:tcPr>
          <w:p w14:paraId="7AEBA8C6" w14:textId="77777777" w:rsidR="006043CF" w:rsidRPr="00100C3D" w:rsidRDefault="006043CF" w:rsidP="00236E38">
            <w:pPr>
              <w:spacing w:line="360" w:lineRule="auto"/>
              <w:jc w:val="center"/>
              <w:textAlignment w:val="center"/>
              <w:rPr>
                <w:rFonts w:asciiTheme="minorHAnsi" w:hAnsiTheme="minorHAnsi" w:cstheme="minorHAnsi"/>
                <w:sz w:val="16"/>
                <w:szCs w:val="22"/>
                <w:lang w:eastAsia="en-IN"/>
              </w:rPr>
            </w:pPr>
            <w:r w:rsidRPr="00100C3D">
              <w:rPr>
                <w:rFonts w:asciiTheme="minorHAnsi" w:hAnsiTheme="minorHAnsi" w:cstheme="minorHAnsi"/>
                <w:color w:val="000000"/>
                <w:kern w:val="24"/>
                <w:sz w:val="16"/>
                <w:szCs w:val="22"/>
                <w:lang w:eastAsia="en-IN"/>
              </w:rPr>
              <w:t>3.97</w:t>
            </w:r>
          </w:p>
        </w:tc>
        <w:tc>
          <w:tcPr>
            <w:tcW w:w="0" w:type="auto"/>
            <w:shd w:val="clear" w:color="auto" w:fill="auto"/>
            <w:tcMar>
              <w:top w:w="15" w:type="dxa"/>
              <w:left w:w="15" w:type="dxa"/>
              <w:bottom w:w="0" w:type="dxa"/>
              <w:right w:w="15" w:type="dxa"/>
            </w:tcMar>
            <w:vAlign w:val="center"/>
            <w:hideMark/>
          </w:tcPr>
          <w:p w14:paraId="3DB6A765" w14:textId="77777777" w:rsidR="006043CF" w:rsidRPr="00100C3D" w:rsidRDefault="006043CF" w:rsidP="00236E38">
            <w:pPr>
              <w:spacing w:line="360" w:lineRule="auto"/>
              <w:jc w:val="center"/>
              <w:textAlignment w:val="center"/>
              <w:rPr>
                <w:rFonts w:asciiTheme="minorHAnsi" w:hAnsiTheme="minorHAnsi" w:cstheme="minorHAnsi"/>
                <w:sz w:val="16"/>
                <w:szCs w:val="22"/>
                <w:lang w:eastAsia="en-IN"/>
              </w:rPr>
            </w:pPr>
            <w:r w:rsidRPr="00100C3D">
              <w:rPr>
                <w:rFonts w:asciiTheme="minorHAnsi" w:hAnsiTheme="minorHAnsi" w:cstheme="minorHAnsi"/>
                <w:color w:val="000000"/>
                <w:kern w:val="24"/>
                <w:sz w:val="16"/>
                <w:szCs w:val="22"/>
                <w:lang w:eastAsia="en-IN"/>
              </w:rPr>
              <w:t> </w:t>
            </w:r>
          </w:p>
        </w:tc>
        <w:tc>
          <w:tcPr>
            <w:tcW w:w="0" w:type="auto"/>
            <w:shd w:val="clear" w:color="auto" w:fill="D8D3E0"/>
            <w:tcMar>
              <w:top w:w="15" w:type="dxa"/>
              <w:left w:w="15" w:type="dxa"/>
              <w:bottom w:w="0" w:type="dxa"/>
              <w:right w:w="15" w:type="dxa"/>
            </w:tcMar>
            <w:vAlign w:val="center"/>
            <w:hideMark/>
          </w:tcPr>
          <w:p w14:paraId="2340A416" w14:textId="77777777" w:rsidR="006043CF" w:rsidRPr="00100C3D" w:rsidRDefault="006043CF" w:rsidP="00236E38">
            <w:pPr>
              <w:spacing w:line="360" w:lineRule="auto"/>
              <w:jc w:val="center"/>
              <w:textAlignment w:val="center"/>
              <w:rPr>
                <w:rFonts w:asciiTheme="minorHAnsi" w:hAnsiTheme="minorHAnsi" w:cstheme="minorHAnsi"/>
                <w:sz w:val="16"/>
                <w:szCs w:val="22"/>
                <w:lang w:eastAsia="en-IN"/>
              </w:rPr>
            </w:pPr>
            <w:r w:rsidRPr="00100C3D">
              <w:rPr>
                <w:rFonts w:asciiTheme="minorHAnsi" w:hAnsiTheme="minorHAnsi" w:cstheme="minorHAnsi"/>
                <w:color w:val="000000"/>
                <w:kern w:val="24"/>
                <w:sz w:val="16"/>
                <w:szCs w:val="22"/>
                <w:lang w:eastAsia="en-IN"/>
              </w:rPr>
              <w:t>3131.72</w:t>
            </w:r>
          </w:p>
        </w:tc>
        <w:tc>
          <w:tcPr>
            <w:tcW w:w="0" w:type="auto"/>
            <w:shd w:val="clear" w:color="auto" w:fill="D8D3E0"/>
            <w:tcMar>
              <w:top w:w="15" w:type="dxa"/>
              <w:left w:w="15" w:type="dxa"/>
              <w:bottom w:w="0" w:type="dxa"/>
              <w:right w:w="15" w:type="dxa"/>
            </w:tcMar>
            <w:vAlign w:val="center"/>
            <w:hideMark/>
          </w:tcPr>
          <w:p w14:paraId="01E3A408" w14:textId="77777777" w:rsidR="006043CF" w:rsidRPr="00100C3D" w:rsidRDefault="006043CF" w:rsidP="00236E38">
            <w:pPr>
              <w:spacing w:line="360" w:lineRule="auto"/>
              <w:jc w:val="center"/>
              <w:textAlignment w:val="center"/>
              <w:rPr>
                <w:rFonts w:asciiTheme="minorHAnsi" w:hAnsiTheme="minorHAnsi" w:cstheme="minorHAnsi"/>
                <w:sz w:val="16"/>
                <w:szCs w:val="22"/>
                <w:lang w:eastAsia="en-IN"/>
              </w:rPr>
            </w:pPr>
            <w:r w:rsidRPr="00100C3D">
              <w:rPr>
                <w:rFonts w:asciiTheme="minorHAnsi" w:hAnsiTheme="minorHAnsi" w:cstheme="minorHAnsi"/>
                <w:color w:val="000000"/>
                <w:kern w:val="24"/>
                <w:sz w:val="16"/>
                <w:szCs w:val="22"/>
                <w:lang w:eastAsia="en-IN"/>
              </w:rPr>
              <w:t>179218.95</w:t>
            </w:r>
          </w:p>
        </w:tc>
        <w:tc>
          <w:tcPr>
            <w:tcW w:w="0" w:type="auto"/>
            <w:shd w:val="clear" w:color="auto" w:fill="D8D3E0"/>
            <w:tcMar>
              <w:top w:w="15" w:type="dxa"/>
              <w:left w:w="15" w:type="dxa"/>
              <w:bottom w:w="0" w:type="dxa"/>
              <w:right w:w="15" w:type="dxa"/>
            </w:tcMar>
            <w:vAlign w:val="center"/>
            <w:hideMark/>
          </w:tcPr>
          <w:p w14:paraId="151877B0" w14:textId="77777777" w:rsidR="006043CF" w:rsidRPr="00100C3D" w:rsidRDefault="006043CF" w:rsidP="00236E38">
            <w:pPr>
              <w:spacing w:line="360" w:lineRule="auto"/>
              <w:jc w:val="center"/>
              <w:textAlignment w:val="center"/>
              <w:rPr>
                <w:rFonts w:asciiTheme="minorHAnsi" w:hAnsiTheme="minorHAnsi" w:cstheme="minorHAnsi"/>
                <w:sz w:val="16"/>
                <w:szCs w:val="22"/>
                <w:lang w:eastAsia="en-IN"/>
              </w:rPr>
            </w:pPr>
            <w:r w:rsidRPr="00100C3D">
              <w:rPr>
                <w:rFonts w:asciiTheme="minorHAnsi" w:hAnsiTheme="minorHAnsi" w:cstheme="minorHAnsi"/>
                <w:color w:val="000000"/>
                <w:kern w:val="24"/>
                <w:sz w:val="16"/>
                <w:szCs w:val="22"/>
                <w:lang w:eastAsia="en-IN"/>
              </w:rPr>
              <w:t>571.87</w:t>
            </w:r>
          </w:p>
        </w:tc>
        <w:tc>
          <w:tcPr>
            <w:tcW w:w="0" w:type="auto"/>
            <w:shd w:val="clear" w:color="auto" w:fill="D8D3E0"/>
            <w:tcMar>
              <w:top w:w="15" w:type="dxa"/>
              <w:left w:w="15" w:type="dxa"/>
              <w:bottom w:w="0" w:type="dxa"/>
              <w:right w:w="15" w:type="dxa"/>
            </w:tcMar>
            <w:vAlign w:val="center"/>
            <w:hideMark/>
          </w:tcPr>
          <w:p w14:paraId="66B457EE" w14:textId="77777777" w:rsidR="006043CF" w:rsidRPr="00100C3D" w:rsidRDefault="006043CF" w:rsidP="00236E38">
            <w:pPr>
              <w:spacing w:line="360" w:lineRule="auto"/>
              <w:jc w:val="center"/>
              <w:textAlignment w:val="center"/>
              <w:rPr>
                <w:rFonts w:asciiTheme="minorHAnsi" w:hAnsiTheme="minorHAnsi" w:cstheme="minorHAnsi"/>
                <w:sz w:val="16"/>
                <w:szCs w:val="22"/>
                <w:lang w:eastAsia="en-IN"/>
              </w:rPr>
            </w:pPr>
            <w:r w:rsidRPr="00100C3D">
              <w:rPr>
                <w:rFonts w:asciiTheme="minorHAnsi" w:hAnsiTheme="minorHAnsi" w:cstheme="minorHAnsi"/>
                <w:color w:val="000000"/>
                <w:kern w:val="24"/>
                <w:sz w:val="16"/>
                <w:szCs w:val="22"/>
                <w:lang w:eastAsia="en-IN"/>
              </w:rPr>
              <w:t>24.04</w:t>
            </w:r>
          </w:p>
        </w:tc>
        <w:tc>
          <w:tcPr>
            <w:tcW w:w="0" w:type="auto"/>
            <w:shd w:val="clear" w:color="auto" w:fill="D8D3E0"/>
            <w:tcMar>
              <w:top w:w="15" w:type="dxa"/>
              <w:left w:w="15" w:type="dxa"/>
              <w:bottom w:w="0" w:type="dxa"/>
              <w:right w:w="15" w:type="dxa"/>
            </w:tcMar>
            <w:vAlign w:val="center"/>
            <w:hideMark/>
          </w:tcPr>
          <w:p w14:paraId="2F9E30C2" w14:textId="77777777" w:rsidR="006043CF" w:rsidRPr="00100C3D" w:rsidRDefault="006043CF" w:rsidP="00236E38">
            <w:pPr>
              <w:spacing w:line="360" w:lineRule="auto"/>
              <w:jc w:val="center"/>
              <w:textAlignment w:val="center"/>
              <w:rPr>
                <w:rFonts w:asciiTheme="minorHAnsi" w:hAnsiTheme="minorHAnsi" w:cstheme="minorHAnsi"/>
                <w:sz w:val="16"/>
                <w:szCs w:val="22"/>
                <w:lang w:eastAsia="en-IN"/>
              </w:rPr>
            </w:pPr>
            <w:r w:rsidRPr="00100C3D">
              <w:rPr>
                <w:rFonts w:asciiTheme="minorHAnsi" w:hAnsiTheme="minorHAnsi" w:cstheme="minorHAnsi"/>
                <w:color w:val="000000"/>
                <w:kern w:val="24"/>
                <w:sz w:val="16"/>
                <w:szCs w:val="22"/>
                <w:lang w:eastAsia="en-IN"/>
              </w:rPr>
              <w:t>4.2</w:t>
            </w:r>
          </w:p>
        </w:tc>
        <w:tc>
          <w:tcPr>
            <w:tcW w:w="0" w:type="auto"/>
            <w:shd w:val="clear" w:color="auto" w:fill="auto"/>
            <w:tcMar>
              <w:top w:w="15" w:type="dxa"/>
              <w:left w:w="15" w:type="dxa"/>
              <w:bottom w:w="0" w:type="dxa"/>
              <w:right w:w="15" w:type="dxa"/>
            </w:tcMar>
            <w:vAlign w:val="center"/>
            <w:hideMark/>
          </w:tcPr>
          <w:p w14:paraId="62C16083" w14:textId="77777777" w:rsidR="006043CF" w:rsidRPr="00100C3D" w:rsidRDefault="006043CF" w:rsidP="00236E38">
            <w:pPr>
              <w:spacing w:line="360" w:lineRule="auto"/>
              <w:jc w:val="center"/>
              <w:textAlignment w:val="center"/>
              <w:rPr>
                <w:rFonts w:asciiTheme="minorHAnsi" w:hAnsiTheme="minorHAnsi" w:cstheme="minorHAnsi"/>
                <w:sz w:val="16"/>
                <w:szCs w:val="22"/>
                <w:lang w:eastAsia="en-IN"/>
              </w:rPr>
            </w:pPr>
            <w:r w:rsidRPr="00100C3D">
              <w:rPr>
                <w:rFonts w:asciiTheme="minorHAnsi" w:hAnsiTheme="minorHAnsi" w:cstheme="minorHAnsi"/>
                <w:color w:val="000000"/>
                <w:kern w:val="24"/>
                <w:sz w:val="16"/>
                <w:szCs w:val="22"/>
                <w:lang w:eastAsia="en-IN"/>
              </w:rPr>
              <w:t> </w:t>
            </w:r>
          </w:p>
        </w:tc>
        <w:tc>
          <w:tcPr>
            <w:tcW w:w="0" w:type="auto"/>
            <w:shd w:val="clear" w:color="auto" w:fill="D8D3E0"/>
            <w:tcMar>
              <w:top w:w="15" w:type="dxa"/>
              <w:left w:w="15" w:type="dxa"/>
              <w:bottom w:w="0" w:type="dxa"/>
              <w:right w:w="15" w:type="dxa"/>
            </w:tcMar>
            <w:vAlign w:val="center"/>
            <w:hideMark/>
          </w:tcPr>
          <w:p w14:paraId="2FA059DB" w14:textId="77777777" w:rsidR="006043CF" w:rsidRPr="00100C3D" w:rsidRDefault="006043CF" w:rsidP="00236E38">
            <w:pPr>
              <w:spacing w:line="360" w:lineRule="auto"/>
              <w:jc w:val="center"/>
              <w:textAlignment w:val="center"/>
              <w:rPr>
                <w:rFonts w:asciiTheme="minorHAnsi" w:hAnsiTheme="minorHAnsi" w:cstheme="minorHAnsi"/>
                <w:sz w:val="16"/>
                <w:szCs w:val="22"/>
                <w:lang w:eastAsia="en-IN"/>
              </w:rPr>
            </w:pPr>
            <w:r w:rsidRPr="00100C3D">
              <w:rPr>
                <w:rFonts w:asciiTheme="minorHAnsi" w:hAnsiTheme="minorHAnsi" w:cstheme="minorHAnsi"/>
                <w:color w:val="000000"/>
                <w:kern w:val="24"/>
                <w:sz w:val="16"/>
                <w:szCs w:val="22"/>
                <w:lang w:eastAsia="en-IN"/>
              </w:rPr>
              <w:t>3133.00</w:t>
            </w:r>
          </w:p>
        </w:tc>
        <w:tc>
          <w:tcPr>
            <w:tcW w:w="0" w:type="auto"/>
            <w:shd w:val="clear" w:color="auto" w:fill="D8D3E0"/>
            <w:tcMar>
              <w:top w:w="15" w:type="dxa"/>
              <w:left w:w="15" w:type="dxa"/>
              <w:bottom w:w="0" w:type="dxa"/>
              <w:right w:w="15" w:type="dxa"/>
            </w:tcMar>
            <w:vAlign w:val="center"/>
            <w:hideMark/>
          </w:tcPr>
          <w:p w14:paraId="35A3FF59" w14:textId="77777777" w:rsidR="006043CF" w:rsidRPr="00100C3D" w:rsidRDefault="006043CF" w:rsidP="00236E38">
            <w:pPr>
              <w:spacing w:line="360" w:lineRule="auto"/>
              <w:jc w:val="center"/>
              <w:textAlignment w:val="center"/>
              <w:rPr>
                <w:rFonts w:asciiTheme="minorHAnsi" w:hAnsiTheme="minorHAnsi" w:cstheme="minorHAnsi"/>
                <w:sz w:val="16"/>
                <w:szCs w:val="22"/>
                <w:lang w:eastAsia="en-IN"/>
              </w:rPr>
            </w:pPr>
            <w:r w:rsidRPr="00100C3D">
              <w:rPr>
                <w:rFonts w:asciiTheme="minorHAnsi" w:hAnsiTheme="minorHAnsi" w:cstheme="minorHAnsi"/>
                <w:color w:val="000000"/>
                <w:kern w:val="24"/>
                <w:sz w:val="16"/>
                <w:szCs w:val="22"/>
                <w:lang w:eastAsia="en-IN"/>
              </w:rPr>
              <w:t>173742.6</w:t>
            </w:r>
          </w:p>
        </w:tc>
        <w:tc>
          <w:tcPr>
            <w:tcW w:w="0" w:type="auto"/>
            <w:shd w:val="clear" w:color="auto" w:fill="D8D3E0"/>
            <w:tcMar>
              <w:top w:w="15" w:type="dxa"/>
              <w:left w:w="15" w:type="dxa"/>
              <w:bottom w:w="0" w:type="dxa"/>
              <w:right w:w="15" w:type="dxa"/>
            </w:tcMar>
            <w:vAlign w:val="center"/>
            <w:hideMark/>
          </w:tcPr>
          <w:p w14:paraId="6F87DC89" w14:textId="77777777" w:rsidR="006043CF" w:rsidRPr="00100C3D" w:rsidRDefault="006043CF" w:rsidP="00236E38">
            <w:pPr>
              <w:spacing w:line="360" w:lineRule="auto"/>
              <w:jc w:val="center"/>
              <w:textAlignment w:val="center"/>
              <w:rPr>
                <w:rFonts w:asciiTheme="minorHAnsi" w:hAnsiTheme="minorHAnsi" w:cstheme="minorHAnsi"/>
                <w:sz w:val="16"/>
                <w:szCs w:val="22"/>
                <w:lang w:eastAsia="en-IN"/>
              </w:rPr>
            </w:pPr>
            <w:r w:rsidRPr="00100C3D">
              <w:rPr>
                <w:rFonts w:asciiTheme="minorHAnsi" w:hAnsiTheme="minorHAnsi" w:cstheme="minorHAnsi"/>
                <w:color w:val="000000"/>
                <w:kern w:val="24"/>
                <w:sz w:val="16"/>
                <w:szCs w:val="22"/>
                <w:lang w:eastAsia="en-IN"/>
              </w:rPr>
              <w:t>594.92</w:t>
            </w:r>
          </w:p>
        </w:tc>
        <w:tc>
          <w:tcPr>
            <w:tcW w:w="0" w:type="auto"/>
            <w:shd w:val="clear" w:color="auto" w:fill="D8D3E0"/>
            <w:tcMar>
              <w:top w:w="15" w:type="dxa"/>
              <w:left w:w="15" w:type="dxa"/>
              <w:bottom w:w="0" w:type="dxa"/>
              <w:right w:w="15" w:type="dxa"/>
            </w:tcMar>
            <w:vAlign w:val="center"/>
            <w:hideMark/>
          </w:tcPr>
          <w:p w14:paraId="4A24607D" w14:textId="77777777" w:rsidR="006043CF" w:rsidRPr="00100C3D" w:rsidRDefault="006043CF" w:rsidP="00236E38">
            <w:pPr>
              <w:spacing w:line="360" w:lineRule="auto"/>
              <w:jc w:val="center"/>
              <w:textAlignment w:val="center"/>
              <w:rPr>
                <w:rFonts w:asciiTheme="minorHAnsi" w:hAnsiTheme="minorHAnsi" w:cstheme="minorHAnsi"/>
                <w:sz w:val="16"/>
                <w:szCs w:val="22"/>
                <w:lang w:eastAsia="en-IN"/>
              </w:rPr>
            </w:pPr>
            <w:r w:rsidRPr="00100C3D">
              <w:rPr>
                <w:rFonts w:asciiTheme="minorHAnsi" w:hAnsiTheme="minorHAnsi" w:cstheme="minorHAnsi"/>
                <w:color w:val="000000"/>
                <w:kern w:val="24"/>
                <w:sz w:val="16"/>
                <w:szCs w:val="22"/>
                <w:lang w:eastAsia="en-IN"/>
              </w:rPr>
              <w:t>23.9</w:t>
            </w:r>
          </w:p>
        </w:tc>
        <w:tc>
          <w:tcPr>
            <w:tcW w:w="0" w:type="auto"/>
            <w:shd w:val="clear" w:color="auto" w:fill="D8D3E0"/>
            <w:tcMar>
              <w:top w:w="15" w:type="dxa"/>
              <w:left w:w="15" w:type="dxa"/>
              <w:bottom w:w="0" w:type="dxa"/>
              <w:right w:w="15" w:type="dxa"/>
            </w:tcMar>
            <w:vAlign w:val="center"/>
            <w:hideMark/>
          </w:tcPr>
          <w:p w14:paraId="70968AD3" w14:textId="77777777" w:rsidR="006043CF" w:rsidRPr="00100C3D" w:rsidRDefault="006043CF" w:rsidP="00236E38">
            <w:pPr>
              <w:spacing w:line="360" w:lineRule="auto"/>
              <w:jc w:val="center"/>
              <w:textAlignment w:val="center"/>
              <w:rPr>
                <w:rFonts w:asciiTheme="minorHAnsi" w:hAnsiTheme="minorHAnsi" w:cstheme="minorHAnsi"/>
                <w:sz w:val="16"/>
                <w:szCs w:val="22"/>
                <w:lang w:eastAsia="en-IN"/>
              </w:rPr>
            </w:pPr>
            <w:r w:rsidRPr="00100C3D">
              <w:rPr>
                <w:rFonts w:asciiTheme="minorHAnsi" w:hAnsiTheme="minorHAnsi" w:cstheme="minorHAnsi"/>
                <w:color w:val="000000"/>
                <w:kern w:val="24"/>
                <w:sz w:val="16"/>
                <w:szCs w:val="22"/>
                <w:lang w:eastAsia="en-IN"/>
              </w:rPr>
              <w:t>4.02</w:t>
            </w:r>
          </w:p>
        </w:tc>
      </w:tr>
      <w:tr w:rsidR="00100C3D" w:rsidRPr="00100C3D" w14:paraId="208E16BD" w14:textId="77777777" w:rsidTr="00BB5855">
        <w:trPr>
          <w:trHeight w:val="338"/>
        </w:trPr>
        <w:tc>
          <w:tcPr>
            <w:tcW w:w="0" w:type="auto"/>
            <w:shd w:val="clear" w:color="auto" w:fill="EDEAF0"/>
            <w:tcMar>
              <w:top w:w="15" w:type="dxa"/>
              <w:left w:w="15" w:type="dxa"/>
              <w:bottom w:w="0" w:type="dxa"/>
              <w:right w:w="15" w:type="dxa"/>
            </w:tcMar>
            <w:vAlign w:val="center"/>
            <w:hideMark/>
          </w:tcPr>
          <w:p w14:paraId="1A7DFCCA" w14:textId="77777777" w:rsidR="006043CF" w:rsidRPr="00100C3D" w:rsidRDefault="006043CF" w:rsidP="00236E38">
            <w:pPr>
              <w:spacing w:line="360" w:lineRule="auto"/>
              <w:jc w:val="center"/>
              <w:textAlignment w:val="center"/>
              <w:rPr>
                <w:rFonts w:asciiTheme="minorHAnsi" w:hAnsiTheme="minorHAnsi" w:cstheme="minorHAnsi"/>
                <w:sz w:val="16"/>
                <w:szCs w:val="22"/>
                <w:lang w:eastAsia="en-IN"/>
              </w:rPr>
            </w:pPr>
            <w:proofErr w:type="spellStart"/>
            <w:r w:rsidRPr="00100C3D">
              <w:rPr>
                <w:rFonts w:asciiTheme="minorHAnsi" w:hAnsiTheme="minorHAnsi" w:cstheme="minorHAnsi"/>
                <w:color w:val="000000"/>
                <w:kern w:val="24"/>
                <w:sz w:val="16"/>
                <w:szCs w:val="22"/>
                <w:lang w:eastAsia="en-IN"/>
              </w:rPr>
              <w:t>Keonjhar</w:t>
            </w:r>
            <w:proofErr w:type="spellEnd"/>
          </w:p>
        </w:tc>
        <w:tc>
          <w:tcPr>
            <w:tcW w:w="0" w:type="auto"/>
            <w:shd w:val="clear" w:color="auto" w:fill="EDEAF0"/>
            <w:tcMar>
              <w:top w:w="15" w:type="dxa"/>
              <w:left w:w="15" w:type="dxa"/>
              <w:bottom w:w="0" w:type="dxa"/>
              <w:right w:w="15" w:type="dxa"/>
            </w:tcMar>
            <w:vAlign w:val="center"/>
            <w:hideMark/>
          </w:tcPr>
          <w:p w14:paraId="6E577FFC" w14:textId="77777777" w:rsidR="006043CF" w:rsidRPr="00100C3D" w:rsidRDefault="006043CF" w:rsidP="00236E38">
            <w:pPr>
              <w:spacing w:line="360" w:lineRule="auto"/>
              <w:jc w:val="center"/>
              <w:textAlignment w:val="center"/>
              <w:rPr>
                <w:rFonts w:asciiTheme="minorHAnsi" w:hAnsiTheme="minorHAnsi" w:cstheme="minorHAnsi"/>
                <w:sz w:val="16"/>
                <w:szCs w:val="22"/>
                <w:lang w:eastAsia="en-IN"/>
              </w:rPr>
            </w:pPr>
            <w:r w:rsidRPr="00100C3D">
              <w:rPr>
                <w:rFonts w:asciiTheme="minorHAnsi" w:hAnsiTheme="minorHAnsi" w:cstheme="minorHAnsi"/>
                <w:color w:val="000000"/>
                <w:kern w:val="24"/>
                <w:sz w:val="16"/>
                <w:szCs w:val="22"/>
                <w:lang w:eastAsia="en-IN"/>
              </w:rPr>
              <w:t>7049.51</w:t>
            </w:r>
          </w:p>
        </w:tc>
        <w:tc>
          <w:tcPr>
            <w:tcW w:w="0" w:type="auto"/>
            <w:shd w:val="clear" w:color="auto" w:fill="EDEAF0"/>
            <w:tcMar>
              <w:top w:w="15" w:type="dxa"/>
              <w:left w:w="15" w:type="dxa"/>
              <w:bottom w:w="0" w:type="dxa"/>
              <w:right w:w="15" w:type="dxa"/>
            </w:tcMar>
            <w:vAlign w:val="center"/>
            <w:hideMark/>
          </w:tcPr>
          <w:p w14:paraId="2DD5E600" w14:textId="77777777" w:rsidR="006043CF" w:rsidRPr="00100C3D" w:rsidRDefault="006043CF" w:rsidP="00236E38">
            <w:pPr>
              <w:spacing w:line="360" w:lineRule="auto"/>
              <w:jc w:val="center"/>
              <w:textAlignment w:val="center"/>
              <w:rPr>
                <w:rFonts w:asciiTheme="minorHAnsi" w:hAnsiTheme="minorHAnsi" w:cstheme="minorHAnsi"/>
                <w:sz w:val="16"/>
                <w:szCs w:val="22"/>
                <w:lang w:eastAsia="en-IN"/>
              </w:rPr>
            </w:pPr>
            <w:r w:rsidRPr="00100C3D">
              <w:rPr>
                <w:rFonts w:asciiTheme="minorHAnsi" w:hAnsiTheme="minorHAnsi" w:cstheme="minorHAnsi"/>
                <w:color w:val="000000"/>
                <w:kern w:val="24"/>
                <w:sz w:val="16"/>
                <w:szCs w:val="22"/>
                <w:lang w:eastAsia="en-IN"/>
              </w:rPr>
              <w:t>121737</w:t>
            </w:r>
          </w:p>
        </w:tc>
        <w:tc>
          <w:tcPr>
            <w:tcW w:w="0" w:type="auto"/>
            <w:shd w:val="clear" w:color="auto" w:fill="EDEAF0"/>
            <w:tcMar>
              <w:top w:w="15" w:type="dxa"/>
              <w:left w:w="15" w:type="dxa"/>
              <w:bottom w:w="0" w:type="dxa"/>
              <w:right w:w="15" w:type="dxa"/>
            </w:tcMar>
            <w:vAlign w:val="center"/>
            <w:hideMark/>
          </w:tcPr>
          <w:p w14:paraId="01E566CB" w14:textId="77777777" w:rsidR="006043CF" w:rsidRPr="00100C3D" w:rsidRDefault="006043CF" w:rsidP="00236E38">
            <w:pPr>
              <w:spacing w:line="360" w:lineRule="auto"/>
              <w:jc w:val="center"/>
              <w:textAlignment w:val="center"/>
              <w:rPr>
                <w:rFonts w:asciiTheme="minorHAnsi" w:hAnsiTheme="minorHAnsi" w:cstheme="minorHAnsi"/>
                <w:sz w:val="16"/>
                <w:szCs w:val="22"/>
                <w:lang w:eastAsia="en-IN"/>
              </w:rPr>
            </w:pPr>
            <w:r w:rsidRPr="00100C3D">
              <w:rPr>
                <w:rFonts w:asciiTheme="minorHAnsi" w:hAnsiTheme="minorHAnsi" w:cstheme="minorHAnsi"/>
                <w:color w:val="000000"/>
                <w:kern w:val="24"/>
                <w:sz w:val="16"/>
                <w:szCs w:val="22"/>
                <w:lang w:eastAsia="en-IN"/>
              </w:rPr>
              <w:t>488.26</w:t>
            </w:r>
          </w:p>
        </w:tc>
        <w:tc>
          <w:tcPr>
            <w:tcW w:w="0" w:type="auto"/>
            <w:shd w:val="clear" w:color="auto" w:fill="EDEAF0"/>
            <w:tcMar>
              <w:top w:w="15" w:type="dxa"/>
              <w:left w:w="15" w:type="dxa"/>
              <w:bottom w:w="0" w:type="dxa"/>
              <w:right w:w="15" w:type="dxa"/>
            </w:tcMar>
            <w:vAlign w:val="center"/>
            <w:hideMark/>
          </w:tcPr>
          <w:p w14:paraId="58A53696" w14:textId="77777777" w:rsidR="006043CF" w:rsidRPr="00100C3D" w:rsidRDefault="006043CF" w:rsidP="00236E38">
            <w:pPr>
              <w:spacing w:line="360" w:lineRule="auto"/>
              <w:jc w:val="center"/>
              <w:textAlignment w:val="center"/>
              <w:rPr>
                <w:rFonts w:asciiTheme="minorHAnsi" w:hAnsiTheme="minorHAnsi" w:cstheme="minorHAnsi"/>
                <w:sz w:val="16"/>
                <w:szCs w:val="22"/>
                <w:lang w:eastAsia="en-IN"/>
              </w:rPr>
            </w:pPr>
            <w:r w:rsidRPr="00100C3D">
              <w:rPr>
                <w:rFonts w:asciiTheme="minorHAnsi" w:hAnsiTheme="minorHAnsi" w:cstheme="minorHAnsi"/>
                <w:color w:val="000000"/>
                <w:kern w:val="24"/>
                <w:sz w:val="16"/>
                <w:szCs w:val="22"/>
                <w:lang w:eastAsia="en-IN"/>
              </w:rPr>
              <w:t>20.05</w:t>
            </w:r>
          </w:p>
        </w:tc>
        <w:tc>
          <w:tcPr>
            <w:tcW w:w="0" w:type="auto"/>
            <w:shd w:val="clear" w:color="auto" w:fill="EDEAF0"/>
            <w:tcMar>
              <w:top w:w="15" w:type="dxa"/>
              <w:left w:w="15" w:type="dxa"/>
              <w:bottom w:w="0" w:type="dxa"/>
              <w:right w:w="15" w:type="dxa"/>
            </w:tcMar>
            <w:vAlign w:val="center"/>
            <w:hideMark/>
          </w:tcPr>
          <w:p w14:paraId="552C0537" w14:textId="77777777" w:rsidR="006043CF" w:rsidRPr="00100C3D" w:rsidRDefault="006043CF" w:rsidP="00236E38">
            <w:pPr>
              <w:spacing w:line="360" w:lineRule="auto"/>
              <w:jc w:val="center"/>
              <w:textAlignment w:val="center"/>
              <w:rPr>
                <w:rFonts w:asciiTheme="minorHAnsi" w:hAnsiTheme="minorHAnsi" w:cstheme="minorHAnsi"/>
                <w:sz w:val="16"/>
                <w:szCs w:val="22"/>
                <w:lang w:eastAsia="en-IN"/>
              </w:rPr>
            </w:pPr>
            <w:r w:rsidRPr="00100C3D">
              <w:rPr>
                <w:rFonts w:asciiTheme="minorHAnsi" w:hAnsiTheme="minorHAnsi" w:cstheme="minorHAnsi"/>
                <w:color w:val="000000"/>
                <w:kern w:val="24"/>
                <w:sz w:val="16"/>
                <w:szCs w:val="22"/>
                <w:lang w:eastAsia="en-IN"/>
              </w:rPr>
              <w:t>4.11</w:t>
            </w:r>
          </w:p>
        </w:tc>
        <w:tc>
          <w:tcPr>
            <w:tcW w:w="0" w:type="auto"/>
            <w:shd w:val="clear" w:color="auto" w:fill="auto"/>
            <w:tcMar>
              <w:top w:w="15" w:type="dxa"/>
              <w:left w:w="15" w:type="dxa"/>
              <w:bottom w:w="0" w:type="dxa"/>
              <w:right w:w="15" w:type="dxa"/>
            </w:tcMar>
            <w:vAlign w:val="center"/>
            <w:hideMark/>
          </w:tcPr>
          <w:p w14:paraId="14D0EEF7" w14:textId="77777777" w:rsidR="006043CF" w:rsidRPr="00100C3D" w:rsidRDefault="006043CF" w:rsidP="00236E38">
            <w:pPr>
              <w:spacing w:line="360" w:lineRule="auto"/>
              <w:jc w:val="center"/>
              <w:textAlignment w:val="center"/>
              <w:rPr>
                <w:rFonts w:asciiTheme="minorHAnsi" w:hAnsiTheme="minorHAnsi" w:cstheme="minorHAnsi"/>
                <w:sz w:val="16"/>
                <w:szCs w:val="22"/>
                <w:lang w:eastAsia="en-IN"/>
              </w:rPr>
            </w:pPr>
            <w:r w:rsidRPr="00100C3D">
              <w:rPr>
                <w:rFonts w:asciiTheme="minorHAnsi" w:hAnsiTheme="minorHAnsi" w:cstheme="minorHAnsi"/>
                <w:color w:val="000000"/>
                <w:kern w:val="24"/>
                <w:sz w:val="16"/>
                <w:szCs w:val="22"/>
                <w:lang w:eastAsia="en-IN"/>
              </w:rPr>
              <w:t> </w:t>
            </w:r>
          </w:p>
        </w:tc>
        <w:tc>
          <w:tcPr>
            <w:tcW w:w="0" w:type="auto"/>
            <w:shd w:val="clear" w:color="auto" w:fill="EDEAF0"/>
            <w:tcMar>
              <w:top w:w="15" w:type="dxa"/>
              <w:left w:w="15" w:type="dxa"/>
              <w:bottom w:w="0" w:type="dxa"/>
              <w:right w:w="15" w:type="dxa"/>
            </w:tcMar>
            <w:vAlign w:val="center"/>
            <w:hideMark/>
          </w:tcPr>
          <w:p w14:paraId="2E6C475C" w14:textId="77777777" w:rsidR="006043CF" w:rsidRPr="00100C3D" w:rsidRDefault="006043CF" w:rsidP="00236E38">
            <w:pPr>
              <w:spacing w:line="360" w:lineRule="auto"/>
              <w:jc w:val="center"/>
              <w:textAlignment w:val="center"/>
              <w:rPr>
                <w:rFonts w:asciiTheme="minorHAnsi" w:hAnsiTheme="minorHAnsi" w:cstheme="minorHAnsi"/>
                <w:sz w:val="16"/>
                <w:szCs w:val="22"/>
                <w:lang w:eastAsia="en-IN"/>
              </w:rPr>
            </w:pPr>
            <w:r w:rsidRPr="00100C3D">
              <w:rPr>
                <w:rFonts w:asciiTheme="minorHAnsi" w:hAnsiTheme="minorHAnsi" w:cstheme="minorHAnsi"/>
                <w:color w:val="000000"/>
                <w:kern w:val="24"/>
                <w:sz w:val="16"/>
                <w:szCs w:val="22"/>
                <w:lang w:eastAsia="en-IN"/>
              </w:rPr>
              <w:t>7081</w:t>
            </w:r>
          </w:p>
        </w:tc>
        <w:tc>
          <w:tcPr>
            <w:tcW w:w="0" w:type="auto"/>
            <w:shd w:val="clear" w:color="auto" w:fill="EDEAF0"/>
            <w:tcMar>
              <w:top w:w="15" w:type="dxa"/>
              <w:left w:w="15" w:type="dxa"/>
              <w:bottom w:w="0" w:type="dxa"/>
              <w:right w:w="15" w:type="dxa"/>
            </w:tcMar>
            <w:vAlign w:val="center"/>
            <w:hideMark/>
          </w:tcPr>
          <w:p w14:paraId="0AFA4ECB" w14:textId="77777777" w:rsidR="006043CF" w:rsidRPr="00100C3D" w:rsidRDefault="006043CF" w:rsidP="00236E38">
            <w:pPr>
              <w:spacing w:line="360" w:lineRule="auto"/>
              <w:jc w:val="center"/>
              <w:textAlignment w:val="center"/>
              <w:rPr>
                <w:rFonts w:asciiTheme="minorHAnsi" w:hAnsiTheme="minorHAnsi" w:cstheme="minorHAnsi"/>
                <w:sz w:val="16"/>
                <w:szCs w:val="22"/>
                <w:lang w:eastAsia="en-IN"/>
              </w:rPr>
            </w:pPr>
            <w:r w:rsidRPr="00100C3D">
              <w:rPr>
                <w:rFonts w:asciiTheme="minorHAnsi" w:hAnsiTheme="minorHAnsi" w:cstheme="minorHAnsi"/>
                <w:color w:val="000000"/>
                <w:kern w:val="24"/>
                <w:sz w:val="16"/>
                <w:szCs w:val="22"/>
                <w:lang w:eastAsia="en-IN"/>
              </w:rPr>
              <w:t>123449</w:t>
            </w:r>
          </w:p>
        </w:tc>
        <w:tc>
          <w:tcPr>
            <w:tcW w:w="0" w:type="auto"/>
            <w:shd w:val="clear" w:color="auto" w:fill="EDEAF0"/>
            <w:tcMar>
              <w:top w:w="15" w:type="dxa"/>
              <w:left w:w="15" w:type="dxa"/>
              <w:bottom w:w="0" w:type="dxa"/>
              <w:right w:w="15" w:type="dxa"/>
            </w:tcMar>
            <w:vAlign w:val="center"/>
            <w:hideMark/>
          </w:tcPr>
          <w:p w14:paraId="3FAD8854" w14:textId="77777777" w:rsidR="006043CF" w:rsidRPr="00100C3D" w:rsidRDefault="006043CF" w:rsidP="00236E38">
            <w:pPr>
              <w:spacing w:line="360" w:lineRule="auto"/>
              <w:jc w:val="center"/>
              <w:textAlignment w:val="center"/>
              <w:rPr>
                <w:rFonts w:asciiTheme="minorHAnsi" w:hAnsiTheme="minorHAnsi" w:cstheme="minorHAnsi"/>
                <w:sz w:val="16"/>
                <w:szCs w:val="22"/>
                <w:lang w:eastAsia="en-IN"/>
              </w:rPr>
            </w:pPr>
            <w:r w:rsidRPr="00100C3D">
              <w:rPr>
                <w:rFonts w:asciiTheme="minorHAnsi" w:hAnsiTheme="minorHAnsi" w:cstheme="minorHAnsi"/>
                <w:color w:val="000000"/>
                <w:kern w:val="24"/>
                <w:sz w:val="16"/>
                <w:szCs w:val="22"/>
                <w:lang w:eastAsia="en-IN"/>
              </w:rPr>
              <w:t>503.79</w:t>
            </w:r>
          </w:p>
        </w:tc>
        <w:tc>
          <w:tcPr>
            <w:tcW w:w="0" w:type="auto"/>
            <w:shd w:val="clear" w:color="auto" w:fill="EDEAF0"/>
            <w:tcMar>
              <w:top w:w="15" w:type="dxa"/>
              <w:left w:w="15" w:type="dxa"/>
              <w:bottom w:w="0" w:type="dxa"/>
              <w:right w:w="15" w:type="dxa"/>
            </w:tcMar>
            <w:vAlign w:val="center"/>
            <w:hideMark/>
          </w:tcPr>
          <w:p w14:paraId="7F53DC66" w14:textId="77777777" w:rsidR="006043CF" w:rsidRPr="00100C3D" w:rsidRDefault="006043CF" w:rsidP="00236E38">
            <w:pPr>
              <w:spacing w:line="360" w:lineRule="auto"/>
              <w:jc w:val="center"/>
              <w:textAlignment w:val="center"/>
              <w:rPr>
                <w:rFonts w:asciiTheme="minorHAnsi" w:hAnsiTheme="minorHAnsi" w:cstheme="minorHAnsi"/>
                <w:sz w:val="16"/>
                <w:szCs w:val="22"/>
                <w:lang w:eastAsia="en-IN"/>
              </w:rPr>
            </w:pPr>
            <w:r w:rsidRPr="00100C3D">
              <w:rPr>
                <w:rFonts w:asciiTheme="minorHAnsi" w:hAnsiTheme="minorHAnsi" w:cstheme="minorHAnsi"/>
                <w:color w:val="000000"/>
                <w:kern w:val="24"/>
                <w:sz w:val="16"/>
                <w:szCs w:val="22"/>
                <w:lang w:eastAsia="en-IN"/>
              </w:rPr>
              <w:t>20.6</w:t>
            </w:r>
          </w:p>
        </w:tc>
        <w:tc>
          <w:tcPr>
            <w:tcW w:w="0" w:type="auto"/>
            <w:shd w:val="clear" w:color="auto" w:fill="EDEAF0"/>
            <w:tcMar>
              <w:top w:w="15" w:type="dxa"/>
              <w:left w:w="15" w:type="dxa"/>
              <w:bottom w:w="0" w:type="dxa"/>
              <w:right w:w="15" w:type="dxa"/>
            </w:tcMar>
            <w:vAlign w:val="center"/>
            <w:hideMark/>
          </w:tcPr>
          <w:p w14:paraId="4F3B25BF" w14:textId="77777777" w:rsidR="006043CF" w:rsidRPr="00100C3D" w:rsidRDefault="006043CF" w:rsidP="00236E38">
            <w:pPr>
              <w:spacing w:line="360" w:lineRule="auto"/>
              <w:jc w:val="center"/>
              <w:textAlignment w:val="center"/>
              <w:rPr>
                <w:rFonts w:asciiTheme="minorHAnsi" w:hAnsiTheme="minorHAnsi" w:cstheme="minorHAnsi"/>
                <w:sz w:val="16"/>
                <w:szCs w:val="22"/>
                <w:lang w:eastAsia="en-IN"/>
              </w:rPr>
            </w:pPr>
            <w:r w:rsidRPr="00100C3D">
              <w:rPr>
                <w:rFonts w:asciiTheme="minorHAnsi" w:hAnsiTheme="minorHAnsi" w:cstheme="minorHAnsi"/>
                <w:color w:val="000000"/>
                <w:kern w:val="24"/>
                <w:sz w:val="16"/>
                <w:szCs w:val="22"/>
                <w:lang w:eastAsia="en-IN"/>
              </w:rPr>
              <w:t>4.09</w:t>
            </w:r>
          </w:p>
        </w:tc>
        <w:tc>
          <w:tcPr>
            <w:tcW w:w="0" w:type="auto"/>
            <w:shd w:val="clear" w:color="auto" w:fill="auto"/>
            <w:tcMar>
              <w:top w:w="15" w:type="dxa"/>
              <w:left w:w="15" w:type="dxa"/>
              <w:bottom w:w="0" w:type="dxa"/>
              <w:right w:w="15" w:type="dxa"/>
            </w:tcMar>
            <w:vAlign w:val="center"/>
            <w:hideMark/>
          </w:tcPr>
          <w:p w14:paraId="2B23F16C" w14:textId="77777777" w:rsidR="006043CF" w:rsidRPr="00100C3D" w:rsidRDefault="006043CF" w:rsidP="00236E38">
            <w:pPr>
              <w:spacing w:line="360" w:lineRule="auto"/>
              <w:jc w:val="center"/>
              <w:textAlignment w:val="center"/>
              <w:rPr>
                <w:rFonts w:asciiTheme="minorHAnsi" w:hAnsiTheme="minorHAnsi" w:cstheme="minorHAnsi"/>
                <w:sz w:val="16"/>
                <w:szCs w:val="22"/>
                <w:lang w:eastAsia="en-IN"/>
              </w:rPr>
            </w:pPr>
            <w:r w:rsidRPr="00100C3D">
              <w:rPr>
                <w:rFonts w:asciiTheme="minorHAnsi" w:hAnsiTheme="minorHAnsi" w:cstheme="minorHAnsi"/>
                <w:color w:val="000000"/>
                <w:kern w:val="24"/>
                <w:sz w:val="16"/>
                <w:szCs w:val="22"/>
                <w:lang w:eastAsia="en-IN"/>
              </w:rPr>
              <w:t> </w:t>
            </w:r>
          </w:p>
        </w:tc>
        <w:tc>
          <w:tcPr>
            <w:tcW w:w="0" w:type="auto"/>
            <w:shd w:val="clear" w:color="auto" w:fill="EDEAF0"/>
            <w:tcMar>
              <w:top w:w="15" w:type="dxa"/>
              <w:left w:w="15" w:type="dxa"/>
              <w:bottom w:w="0" w:type="dxa"/>
              <w:right w:w="15" w:type="dxa"/>
            </w:tcMar>
            <w:vAlign w:val="center"/>
            <w:hideMark/>
          </w:tcPr>
          <w:p w14:paraId="1CF17854" w14:textId="77777777" w:rsidR="006043CF" w:rsidRPr="00100C3D" w:rsidRDefault="006043CF" w:rsidP="00236E38">
            <w:pPr>
              <w:spacing w:line="360" w:lineRule="auto"/>
              <w:jc w:val="center"/>
              <w:textAlignment w:val="center"/>
              <w:rPr>
                <w:rFonts w:asciiTheme="minorHAnsi" w:hAnsiTheme="minorHAnsi" w:cstheme="minorHAnsi"/>
                <w:sz w:val="16"/>
                <w:szCs w:val="22"/>
                <w:lang w:eastAsia="en-IN"/>
              </w:rPr>
            </w:pPr>
            <w:r w:rsidRPr="00100C3D">
              <w:rPr>
                <w:rFonts w:asciiTheme="minorHAnsi" w:hAnsiTheme="minorHAnsi" w:cstheme="minorHAnsi"/>
                <w:color w:val="000000"/>
                <w:kern w:val="24"/>
                <w:sz w:val="16"/>
                <w:szCs w:val="22"/>
                <w:lang w:eastAsia="en-IN"/>
              </w:rPr>
              <w:t>7086.18</w:t>
            </w:r>
          </w:p>
        </w:tc>
        <w:tc>
          <w:tcPr>
            <w:tcW w:w="0" w:type="auto"/>
            <w:shd w:val="clear" w:color="auto" w:fill="EDEAF0"/>
            <w:tcMar>
              <w:top w:w="15" w:type="dxa"/>
              <w:left w:w="15" w:type="dxa"/>
              <w:bottom w:w="0" w:type="dxa"/>
              <w:right w:w="15" w:type="dxa"/>
            </w:tcMar>
            <w:vAlign w:val="center"/>
            <w:hideMark/>
          </w:tcPr>
          <w:p w14:paraId="76A1FBEA" w14:textId="77777777" w:rsidR="006043CF" w:rsidRPr="00100C3D" w:rsidRDefault="006043CF" w:rsidP="00236E38">
            <w:pPr>
              <w:spacing w:line="360" w:lineRule="auto"/>
              <w:jc w:val="center"/>
              <w:textAlignment w:val="center"/>
              <w:rPr>
                <w:rFonts w:asciiTheme="minorHAnsi" w:hAnsiTheme="minorHAnsi" w:cstheme="minorHAnsi"/>
                <w:sz w:val="16"/>
                <w:szCs w:val="22"/>
                <w:lang w:eastAsia="en-IN"/>
              </w:rPr>
            </w:pPr>
            <w:r w:rsidRPr="00100C3D">
              <w:rPr>
                <w:rFonts w:asciiTheme="minorHAnsi" w:hAnsiTheme="minorHAnsi" w:cstheme="minorHAnsi"/>
                <w:color w:val="000000"/>
                <w:kern w:val="24"/>
                <w:sz w:val="16"/>
                <w:szCs w:val="22"/>
                <w:lang w:eastAsia="en-IN"/>
              </w:rPr>
              <w:t>127598</w:t>
            </w:r>
          </w:p>
        </w:tc>
        <w:tc>
          <w:tcPr>
            <w:tcW w:w="0" w:type="auto"/>
            <w:shd w:val="clear" w:color="auto" w:fill="EDEAF0"/>
            <w:tcMar>
              <w:top w:w="15" w:type="dxa"/>
              <w:left w:w="15" w:type="dxa"/>
              <w:bottom w:w="0" w:type="dxa"/>
              <w:right w:w="15" w:type="dxa"/>
            </w:tcMar>
            <w:vAlign w:val="center"/>
            <w:hideMark/>
          </w:tcPr>
          <w:p w14:paraId="3F4A3233" w14:textId="77777777" w:rsidR="006043CF" w:rsidRPr="00100C3D" w:rsidRDefault="006043CF" w:rsidP="00236E38">
            <w:pPr>
              <w:spacing w:line="360" w:lineRule="auto"/>
              <w:jc w:val="center"/>
              <w:textAlignment w:val="center"/>
              <w:rPr>
                <w:rFonts w:asciiTheme="minorHAnsi" w:hAnsiTheme="minorHAnsi" w:cstheme="minorHAnsi"/>
                <w:sz w:val="16"/>
                <w:szCs w:val="22"/>
                <w:lang w:eastAsia="en-IN"/>
              </w:rPr>
            </w:pPr>
            <w:r w:rsidRPr="00100C3D">
              <w:rPr>
                <w:rFonts w:asciiTheme="minorHAnsi" w:hAnsiTheme="minorHAnsi" w:cstheme="minorHAnsi"/>
                <w:color w:val="000000"/>
                <w:kern w:val="24"/>
                <w:sz w:val="16"/>
                <w:szCs w:val="22"/>
                <w:lang w:eastAsia="en-IN"/>
              </w:rPr>
              <w:t>507.86</w:t>
            </w:r>
          </w:p>
        </w:tc>
        <w:tc>
          <w:tcPr>
            <w:tcW w:w="0" w:type="auto"/>
            <w:shd w:val="clear" w:color="auto" w:fill="EDEAF0"/>
            <w:tcMar>
              <w:top w:w="15" w:type="dxa"/>
              <w:left w:w="15" w:type="dxa"/>
              <w:bottom w:w="0" w:type="dxa"/>
              <w:right w:w="15" w:type="dxa"/>
            </w:tcMar>
            <w:vAlign w:val="center"/>
            <w:hideMark/>
          </w:tcPr>
          <w:p w14:paraId="1C74A17A" w14:textId="77777777" w:rsidR="006043CF" w:rsidRPr="00100C3D" w:rsidRDefault="006043CF" w:rsidP="00236E38">
            <w:pPr>
              <w:spacing w:line="360" w:lineRule="auto"/>
              <w:jc w:val="center"/>
              <w:textAlignment w:val="center"/>
              <w:rPr>
                <w:rFonts w:asciiTheme="minorHAnsi" w:hAnsiTheme="minorHAnsi" w:cstheme="minorHAnsi"/>
                <w:sz w:val="16"/>
                <w:szCs w:val="22"/>
                <w:lang w:eastAsia="en-IN"/>
              </w:rPr>
            </w:pPr>
            <w:r w:rsidRPr="00100C3D">
              <w:rPr>
                <w:rFonts w:asciiTheme="minorHAnsi" w:hAnsiTheme="minorHAnsi" w:cstheme="minorHAnsi"/>
                <w:color w:val="000000"/>
                <w:kern w:val="24"/>
                <w:sz w:val="16"/>
                <w:szCs w:val="22"/>
                <w:lang w:eastAsia="en-IN"/>
              </w:rPr>
              <w:t>19.57</w:t>
            </w:r>
          </w:p>
        </w:tc>
        <w:tc>
          <w:tcPr>
            <w:tcW w:w="0" w:type="auto"/>
            <w:shd w:val="clear" w:color="auto" w:fill="EDEAF0"/>
            <w:tcMar>
              <w:top w:w="15" w:type="dxa"/>
              <w:left w:w="15" w:type="dxa"/>
              <w:bottom w:w="0" w:type="dxa"/>
              <w:right w:w="15" w:type="dxa"/>
            </w:tcMar>
            <w:vAlign w:val="center"/>
            <w:hideMark/>
          </w:tcPr>
          <w:p w14:paraId="41637BB8" w14:textId="77777777" w:rsidR="006043CF" w:rsidRPr="00100C3D" w:rsidRDefault="006043CF" w:rsidP="00236E38">
            <w:pPr>
              <w:spacing w:line="360" w:lineRule="auto"/>
              <w:jc w:val="center"/>
              <w:textAlignment w:val="center"/>
              <w:rPr>
                <w:rFonts w:asciiTheme="minorHAnsi" w:hAnsiTheme="minorHAnsi" w:cstheme="minorHAnsi"/>
                <w:sz w:val="16"/>
                <w:szCs w:val="22"/>
                <w:lang w:eastAsia="en-IN"/>
              </w:rPr>
            </w:pPr>
            <w:r w:rsidRPr="00100C3D">
              <w:rPr>
                <w:rFonts w:asciiTheme="minorHAnsi" w:hAnsiTheme="minorHAnsi" w:cstheme="minorHAnsi"/>
                <w:color w:val="000000"/>
                <w:kern w:val="24"/>
                <w:sz w:val="16"/>
                <w:szCs w:val="22"/>
                <w:lang w:eastAsia="en-IN"/>
              </w:rPr>
              <w:t>3.85</w:t>
            </w:r>
          </w:p>
        </w:tc>
      </w:tr>
      <w:tr w:rsidR="00100C3D" w:rsidRPr="00100C3D" w14:paraId="5F82A826" w14:textId="77777777" w:rsidTr="00BB5855">
        <w:trPr>
          <w:trHeight w:val="338"/>
        </w:trPr>
        <w:tc>
          <w:tcPr>
            <w:tcW w:w="0" w:type="auto"/>
            <w:shd w:val="clear" w:color="auto" w:fill="17365D" w:themeFill="text2" w:themeFillShade="BF"/>
            <w:tcMar>
              <w:top w:w="15" w:type="dxa"/>
              <w:left w:w="15" w:type="dxa"/>
              <w:bottom w:w="0" w:type="dxa"/>
              <w:right w:w="15" w:type="dxa"/>
            </w:tcMar>
            <w:vAlign w:val="center"/>
            <w:hideMark/>
          </w:tcPr>
          <w:p w14:paraId="060B22C9" w14:textId="77777777" w:rsidR="006043CF" w:rsidRPr="00100C3D" w:rsidRDefault="006043CF" w:rsidP="00236E38">
            <w:pPr>
              <w:spacing w:line="360" w:lineRule="auto"/>
              <w:jc w:val="center"/>
              <w:textAlignment w:val="center"/>
              <w:rPr>
                <w:rFonts w:asciiTheme="minorHAnsi" w:hAnsiTheme="minorHAnsi" w:cstheme="minorHAnsi"/>
                <w:color w:val="FFFFFF" w:themeColor="background1"/>
                <w:sz w:val="16"/>
                <w:szCs w:val="22"/>
                <w:lang w:eastAsia="en-IN"/>
              </w:rPr>
            </w:pPr>
            <w:r w:rsidRPr="00100C3D">
              <w:rPr>
                <w:rFonts w:asciiTheme="minorHAnsi" w:hAnsiTheme="minorHAnsi" w:cstheme="minorHAnsi"/>
                <w:b/>
                <w:bCs/>
                <w:color w:val="FFFFFF" w:themeColor="background1"/>
                <w:kern w:val="24"/>
                <w:sz w:val="16"/>
                <w:szCs w:val="22"/>
                <w:lang w:eastAsia="en-IN"/>
              </w:rPr>
              <w:t>Total</w:t>
            </w:r>
          </w:p>
        </w:tc>
        <w:tc>
          <w:tcPr>
            <w:tcW w:w="0" w:type="auto"/>
            <w:shd w:val="clear" w:color="auto" w:fill="17365D" w:themeFill="text2" w:themeFillShade="BF"/>
            <w:tcMar>
              <w:top w:w="15" w:type="dxa"/>
              <w:left w:w="15" w:type="dxa"/>
              <w:bottom w:w="0" w:type="dxa"/>
              <w:right w:w="15" w:type="dxa"/>
            </w:tcMar>
            <w:vAlign w:val="center"/>
            <w:hideMark/>
          </w:tcPr>
          <w:p w14:paraId="74422F7D" w14:textId="77777777" w:rsidR="006043CF" w:rsidRPr="00100C3D" w:rsidRDefault="006043CF" w:rsidP="00236E38">
            <w:pPr>
              <w:spacing w:line="360" w:lineRule="auto"/>
              <w:jc w:val="center"/>
              <w:textAlignment w:val="center"/>
              <w:rPr>
                <w:rFonts w:asciiTheme="minorHAnsi" w:hAnsiTheme="minorHAnsi" w:cstheme="minorHAnsi"/>
                <w:color w:val="FFFFFF" w:themeColor="background1"/>
                <w:sz w:val="16"/>
                <w:szCs w:val="22"/>
                <w:lang w:eastAsia="en-IN"/>
              </w:rPr>
            </w:pPr>
            <w:r w:rsidRPr="00100C3D">
              <w:rPr>
                <w:rFonts w:asciiTheme="minorHAnsi" w:hAnsiTheme="minorHAnsi" w:cstheme="minorHAnsi"/>
                <w:b/>
                <w:bCs/>
                <w:color w:val="FFFFFF" w:themeColor="background1"/>
                <w:kern w:val="24"/>
                <w:sz w:val="16"/>
                <w:szCs w:val="22"/>
                <w:lang w:eastAsia="en-IN"/>
              </w:rPr>
              <w:t>32521.83</w:t>
            </w:r>
          </w:p>
        </w:tc>
        <w:tc>
          <w:tcPr>
            <w:tcW w:w="0" w:type="auto"/>
            <w:shd w:val="clear" w:color="auto" w:fill="17365D" w:themeFill="text2" w:themeFillShade="BF"/>
            <w:tcMar>
              <w:top w:w="15" w:type="dxa"/>
              <w:left w:w="15" w:type="dxa"/>
              <w:bottom w:w="0" w:type="dxa"/>
              <w:right w:w="15" w:type="dxa"/>
            </w:tcMar>
            <w:vAlign w:val="center"/>
            <w:hideMark/>
          </w:tcPr>
          <w:p w14:paraId="2A24D0A3" w14:textId="77777777" w:rsidR="006043CF" w:rsidRPr="00100C3D" w:rsidRDefault="006043CF" w:rsidP="00236E38">
            <w:pPr>
              <w:spacing w:line="360" w:lineRule="auto"/>
              <w:jc w:val="center"/>
              <w:textAlignment w:val="center"/>
              <w:rPr>
                <w:rFonts w:asciiTheme="minorHAnsi" w:hAnsiTheme="minorHAnsi" w:cstheme="minorHAnsi"/>
                <w:color w:val="FFFFFF" w:themeColor="background1"/>
                <w:sz w:val="16"/>
                <w:szCs w:val="22"/>
                <w:lang w:eastAsia="en-IN"/>
              </w:rPr>
            </w:pPr>
            <w:r w:rsidRPr="00100C3D">
              <w:rPr>
                <w:rFonts w:asciiTheme="minorHAnsi" w:hAnsiTheme="minorHAnsi" w:cstheme="minorHAnsi"/>
                <w:b/>
                <w:bCs/>
                <w:color w:val="FFFFFF" w:themeColor="background1"/>
                <w:kern w:val="24"/>
                <w:sz w:val="16"/>
                <w:szCs w:val="22"/>
                <w:lang w:eastAsia="en-IN"/>
              </w:rPr>
              <w:t>871275.46</w:t>
            </w:r>
          </w:p>
        </w:tc>
        <w:tc>
          <w:tcPr>
            <w:tcW w:w="0" w:type="auto"/>
            <w:shd w:val="clear" w:color="auto" w:fill="17365D" w:themeFill="text2" w:themeFillShade="BF"/>
            <w:tcMar>
              <w:top w:w="15" w:type="dxa"/>
              <w:left w:w="15" w:type="dxa"/>
              <w:bottom w:w="0" w:type="dxa"/>
              <w:right w:w="15" w:type="dxa"/>
            </w:tcMar>
            <w:vAlign w:val="center"/>
            <w:hideMark/>
          </w:tcPr>
          <w:p w14:paraId="6164CB5D" w14:textId="77777777" w:rsidR="006043CF" w:rsidRPr="00100C3D" w:rsidRDefault="006043CF" w:rsidP="00236E38">
            <w:pPr>
              <w:spacing w:line="360" w:lineRule="auto"/>
              <w:jc w:val="center"/>
              <w:textAlignment w:val="center"/>
              <w:rPr>
                <w:rFonts w:asciiTheme="minorHAnsi" w:hAnsiTheme="minorHAnsi" w:cstheme="minorHAnsi"/>
                <w:color w:val="FFFFFF" w:themeColor="background1"/>
                <w:sz w:val="16"/>
                <w:szCs w:val="22"/>
                <w:lang w:eastAsia="en-IN"/>
              </w:rPr>
            </w:pPr>
            <w:r w:rsidRPr="00100C3D">
              <w:rPr>
                <w:rFonts w:asciiTheme="minorHAnsi" w:hAnsiTheme="minorHAnsi" w:cstheme="minorHAnsi"/>
                <w:b/>
                <w:bCs/>
                <w:color w:val="FFFFFF" w:themeColor="background1"/>
                <w:kern w:val="24"/>
                <w:sz w:val="16"/>
                <w:szCs w:val="22"/>
                <w:lang w:eastAsia="en-IN"/>
              </w:rPr>
              <w:t>3074.22</w:t>
            </w:r>
          </w:p>
        </w:tc>
        <w:tc>
          <w:tcPr>
            <w:tcW w:w="0" w:type="auto"/>
            <w:shd w:val="clear" w:color="auto" w:fill="17365D" w:themeFill="text2" w:themeFillShade="BF"/>
            <w:tcMar>
              <w:top w:w="15" w:type="dxa"/>
              <w:left w:w="15" w:type="dxa"/>
              <w:bottom w:w="0" w:type="dxa"/>
              <w:right w:w="15" w:type="dxa"/>
            </w:tcMar>
            <w:vAlign w:val="center"/>
            <w:hideMark/>
          </w:tcPr>
          <w:p w14:paraId="72DA99EE" w14:textId="77777777" w:rsidR="006043CF" w:rsidRPr="00100C3D" w:rsidRDefault="006043CF" w:rsidP="00236E38">
            <w:pPr>
              <w:spacing w:line="360" w:lineRule="auto"/>
              <w:jc w:val="center"/>
              <w:textAlignment w:val="center"/>
              <w:rPr>
                <w:rFonts w:asciiTheme="minorHAnsi" w:hAnsiTheme="minorHAnsi" w:cstheme="minorHAnsi"/>
                <w:color w:val="FFFFFF" w:themeColor="background1"/>
                <w:sz w:val="16"/>
                <w:szCs w:val="22"/>
                <w:lang w:eastAsia="en-IN"/>
              </w:rPr>
            </w:pPr>
            <w:r w:rsidRPr="00100C3D">
              <w:rPr>
                <w:rFonts w:asciiTheme="minorHAnsi" w:hAnsiTheme="minorHAnsi" w:cstheme="minorHAnsi"/>
                <w:b/>
                <w:bCs/>
                <w:color w:val="FFFFFF" w:themeColor="background1"/>
                <w:kern w:val="24"/>
                <w:sz w:val="16"/>
                <w:szCs w:val="22"/>
                <w:lang w:eastAsia="en-IN"/>
              </w:rPr>
              <w:t>147.64</w:t>
            </w:r>
          </w:p>
        </w:tc>
        <w:tc>
          <w:tcPr>
            <w:tcW w:w="0" w:type="auto"/>
            <w:shd w:val="clear" w:color="auto" w:fill="17365D" w:themeFill="text2" w:themeFillShade="BF"/>
            <w:tcMar>
              <w:top w:w="15" w:type="dxa"/>
              <w:left w:w="15" w:type="dxa"/>
              <w:bottom w:w="0" w:type="dxa"/>
              <w:right w:w="15" w:type="dxa"/>
            </w:tcMar>
            <w:vAlign w:val="center"/>
            <w:hideMark/>
          </w:tcPr>
          <w:p w14:paraId="475035EC" w14:textId="77777777" w:rsidR="006043CF" w:rsidRPr="00100C3D" w:rsidRDefault="006043CF" w:rsidP="00236E38">
            <w:pPr>
              <w:spacing w:line="360" w:lineRule="auto"/>
              <w:jc w:val="center"/>
              <w:textAlignment w:val="center"/>
              <w:rPr>
                <w:rFonts w:asciiTheme="minorHAnsi" w:hAnsiTheme="minorHAnsi" w:cstheme="minorHAnsi"/>
                <w:color w:val="FFFFFF" w:themeColor="background1"/>
                <w:sz w:val="16"/>
                <w:szCs w:val="22"/>
                <w:lang w:eastAsia="en-IN"/>
              </w:rPr>
            </w:pPr>
            <w:r w:rsidRPr="00100C3D">
              <w:rPr>
                <w:rFonts w:asciiTheme="minorHAnsi" w:hAnsiTheme="minorHAnsi" w:cstheme="minorHAnsi"/>
                <w:b/>
                <w:bCs/>
                <w:color w:val="FFFFFF" w:themeColor="background1"/>
                <w:kern w:val="24"/>
                <w:sz w:val="16"/>
                <w:szCs w:val="22"/>
                <w:lang w:eastAsia="en-IN"/>
              </w:rPr>
              <w:t>4.7</w:t>
            </w:r>
          </w:p>
        </w:tc>
        <w:tc>
          <w:tcPr>
            <w:tcW w:w="0" w:type="auto"/>
            <w:shd w:val="clear" w:color="auto" w:fill="17365D" w:themeFill="text2" w:themeFillShade="BF"/>
            <w:tcMar>
              <w:top w:w="15" w:type="dxa"/>
              <w:left w:w="15" w:type="dxa"/>
              <w:bottom w:w="0" w:type="dxa"/>
              <w:right w:w="15" w:type="dxa"/>
            </w:tcMar>
            <w:vAlign w:val="center"/>
            <w:hideMark/>
          </w:tcPr>
          <w:p w14:paraId="6B317F51" w14:textId="77777777" w:rsidR="006043CF" w:rsidRPr="00100C3D" w:rsidRDefault="006043CF" w:rsidP="00236E38">
            <w:pPr>
              <w:spacing w:line="360" w:lineRule="auto"/>
              <w:jc w:val="center"/>
              <w:textAlignment w:val="center"/>
              <w:rPr>
                <w:rFonts w:asciiTheme="minorHAnsi" w:hAnsiTheme="minorHAnsi" w:cstheme="minorHAnsi"/>
                <w:color w:val="FFFFFF" w:themeColor="background1"/>
                <w:sz w:val="16"/>
                <w:szCs w:val="22"/>
                <w:lang w:eastAsia="en-IN"/>
              </w:rPr>
            </w:pPr>
            <w:r w:rsidRPr="00100C3D">
              <w:rPr>
                <w:rFonts w:asciiTheme="minorHAnsi" w:hAnsiTheme="minorHAnsi" w:cstheme="minorHAnsi"/>
                <w:b/>
                <w:bCs/>
                <w:color w:val="FFFFFF" w:themeColor="background1"/>
                <w:kern w:val="24"/>
                <w:sz w:val="16"/>
                <w:szCs w:val="22"/>
                <w:lang w:eastAsia="en-IN"/>
              </w:rPr>
              <w:t> </w:t>
            </w:r>
          </w:p>
        </w:tc>
        <w:tc>
          <w:tcPr>
            <w:tcW w:w="0" w:type="auto"/>
            <w:shd w:val="clear" w:color="auto" w:fill="17365D" w:themeFill="text2" w:themeFillShade="BF"/>
            <w:tcMar>
              <w:top w:w="15" w:type="dxa"/>
              <w:left w:w="15" w:type="dxa"/>
              <w:bottom w:w="0" w:type="dxa"/>
              <w:right w:w="15" w:type="dxa"/>
            </w:tcMar>
            <w:vAlign w:val="center"/>
            <w:hideMark/>
          </w:tcPr>
          <w:p w14:paraId="64EE256F" w14:textId="77777777" w:rsidR="006043CF" w:rsidRPr="00100C3D" w:rsidRDefault="006043CF" w:rsidP="00236E38">
            <w:pPr>
              <w:spacing w:line="360" w:lineRule="auto"/>
              <w:jc w:val="center"/>
              <w:textAlignment w:val="center"/>
              <w:rPr>
                <w:rFonts w:asciiTheme="minorHAnsi" w:hAnsiTheme="minorHAnsi" w:cstheme="minorHAnsi"/>
                <w:color w:val="FFFFFF" w:themeColor="background1"/>
                <w:sz w:val="16"/>
                <w:szCs w:val="22"/>
                <w:lang w:eastAsia="en-IN"/>
              </w:rPr>
            </w:pPr>
            <w:r w:rsidRPr="00100C3D">
              <w:rPr>
                <w:rFonts w:asciiTheme="minorHAnsi" w:hAnsiTheme="minorHAnsi" w:cstheme="minorHAnsi"/>
                <w:b/>
                <w:bCs/>
                <w:color w:val="FFFFFF" w:themeColor="background1"/>
                <w:kern w:val="24"/>
                <w:sz w:val="16"/>
                <w:szCs w:val="22"/>
                <w:lang w:eastAsia="en-IN"/>
              </w:rPr>
              <w:t>32617.4</w:t>
            </w:r>
          </w:p>
        </w:tc>
        <w:tc>
          <w:tcPr>
            <w:tcW w:w="0" w:type="auto"/>
            <w:shd w:val="clear" w:color="auto" w:fill="17365D" w:themeFill="text2" w:themeFillShade="BF"/>
            <w:tcMar>
              <w:top w:w="15" w:type="dxa"/>
              <w:left w:w="15" w:type="dxa"/>
              <w:bottom w:w="0" w:type="dxa"/>
              <w:right w:w="15" w:type="dxa"/>
            </w:tcMar>
            <w:vAlign w:val="center"/>
            <w:hideMark/>
          </w:tcPr>
          <w:p w14:paraId="1F1EF974" w14:textId="77777777" w:rsidR="006043CF" w:rsidRPr="00100C3D" w:rsidRDefault="006043CF" w:rsidP="00236E38">
            <w:pPr>
              <w:spacing w:line="360" w:lineRule="auto"/>
              <w:jc w:val="center"/>
              <w:textAlignment w:val="center"/>
              <w:rPr>
                <w:rFonts w:asciiTheme="minorHAnsi" w:hAnsiTheme="minorHAnsi" w:cstheme="minorHAnsi"/>
                <w:color w:val="FFFFFF" w:themeColor="background1"/>
                <w:sz w:val="16"/>
                <w:szCs w:val="22"/>
                <w:lang w:eastAsia="en-IN"/>
              </w:rPr>
            </w:pPr>
            <w:r w:rsidRPr="00100C3D">
              <w:rPr>
                <w:rFonts w:asciiTheme="minorHAnsi" w:hAnsiTheme="minorHAnsi" w:cstheme="minorHAnsi"/>
                <w:b/>
                <w:bCs/>
                <w:color w:val="FFFFFF" w:themeColor="background1"/>
                <w:kern w:val="24"/>
                <w:sz w:val="16"/>
                <w:szCs w:val="22"/>
                <w:lang w:eastAsia="en-IN"/>
              </w:rPr>
              <w:t>881675.18</w:t>
            </w:r>
          </w:p>
        </w:tc>
        <w:tc>
          <w:tcPr>
            <w:tcW w:w="0" w:type="auto"/>
            <w:shd w:val="clear" w:color="auto" w:fill="17365D" w:themeFill="text2" w:themeFillShade="BF"/>
            <w:tcMar>
              <w:top w:w="15" w:type="dxa"/>
              <w:left w:w="15" w:type="dxa"/>
              <w:bottom w:w="0" w:type="dxa"/>
              <w:right w:w="15" w:type="dxa"/>
            </w:tcMar>
            <w:vAlign w:val="center"/>
            <w:hideMark/>
          </w:tcPr>
          <w:p w14:paraId="0254A0B9" w14:textId="77777777" w:rsidR="006043CF" w:rsidRPr="00100C3D" w:rsidRDefault="006043CF" w:rsidP="00236E38">
            <w:pPr>
              <w:spacing w:line="360" w:lineRule="auto"/>
              <w:jc w:val="center"/>
              <w:textAlignment w:val="center"/>
              <w:rPr>
                <w:rFonts w:asciiTheme="minorHAnsi" w:hAnsiTheme="minorHAnsi" w:cstheme="minorHAnsi"/>
                <w:color w:val="FFFFFF" w:themeColor="background1"/>
                <w:sz w:val="16"/>
                <w:szCs w:val="22"/>
                <w:lang w:eastAsia="en-IN"/>
              </w:rPr>
            </w:pPr>
            <w:r w:rsidRPr="00100C3D">
              <w:rPr>
                <w:rFonts w:asciiTheme="minorHAnsi" w:hAnsiTheme="minorHAnsi" w:cstheme="minorHAnsi"/>
                <w:b/>
                <w:bCs/>
                <w:color w:val="FFFFFF" w:themeColor="background1"/>
                <w:kern w:val="24"/>
                <w:sz w:val="16"/>
                <w:szCs w:val="22"/>
                <w:lang w:eastAsia="en-IN"/>
              </w:rPr>
              <w:t>3367.15</w:t>
            </w:r>
          </w:p>
        </w:tc>
        <w:tc>
          <w:tcPr>
            <w:tcW w:w="0" w:type="auto"/>
            <w:shd w:val="clear" w:color="auto" w:fill="17365D" w:themeFill="text2" w:themeFillShade="BF"/>
            <w:tcMar>
              <w:top w:w="15" w:type="dxa"/>
              <w:left w:w="15" w:type="dxa"/>
              <w:bottom w:w="0" w:type="dxa"/>
              <w:right w:w="15" w:type="dxa"/>
            </w:tcMar>
            <w:vAlign w:val="center"/>
            <w:hideMark/>
          </w:tcPr>
          <w:p w14:paraId="03A69AEC" w14:textId="77777777" w:rsidR="006043CF" w:rsidRPr="00100C3D" w:rsidRDefault="006043CF" w:rsidP="00236E38">
            <w:pPr>
              <w:spacing w:line="360" w:lineRule="auto"/>
              <w:jc w:val="center"/>
              <w:textAlignment w:val="center"/>
              <w:rPr>
                <w:rFonts w:asciiTheme="minorHAnsi" w:hAnsiTheme="minorHAnsi" w:cstheme="minorHAnsi"/>
                <w:color w:val="FFFFFF" w:themeColor="background1"/>
                <w:sz w:val="16"/>
                <w:szCs w:val="22"/>
                <w:lang w:eastAsia="en-IN"/>
              </w:rPr>
            </w:pPr>
            <w:r w:rsidRPr="00100C3D">
              <w:rPr>
                <w:rFonts w:asciiTheme="minorHAnsi" w:hAnsiTheme="minorHAnsi" w:cstheme="minorHAnsi"/>
                <w:b/>
                <w:bCs/>
                <w:color w:val="FFFFFF" w:themeColor="background1"/>
                <w:kern w:val="24"/>
                <w:sz w:val="16"/>
                <w:szCs w:val="22"/>
                <w:lang w:eastAsia="en-IN"/>
              </w:rPr>
              <w:t>144.8</w:t>
            </w:r>
          </w:p>
        </w:tc>
        <w:tc>
          <w:tcPr>
            <w:tcW w:w="0" w:type="auto"/>
            <w:shd w:val="clear" w:color="auto" w:fill="17365D" w:themeFill="text2" w:themeFillShade="BF"/>
            <w:tcMar>
              <w:top w:w="15" w:type="dxa"/>
              <w:left w:w="15" w:type="dxa"/>
              <w:bottom w:w="0" w:type="dxa"/>
              <w:right w:w="15" w:type="dxa"/>
            </w:tcMar>
            <w:vAlign w:val="center"/>
            <w:hideMark/>
          </w:tcPr>
          <w:p w14:paraId="29920EAE" w14:textId="77777777" w:rsidR="006043CF" w:rsidRPr="00100C3D" w:rsidRDefault="006043CF" w:rsidP="00236E38">
            <w:pPr>
              <w:spacing w:line="360" w:lineRule="auto"/>
              <w:jc w:val="center"/>
              <w:textAlignment w:val="center"/>
              <w:rPr>
                <w:rFonts w:asciiTheme="minorHAnsi" w:hAnsiTheme="minorHAnsi" w:cstheme="minorHAnsi"/>
                <w:color w:val="FFFFFF" w:themeColor="background1"/>
                <w:sz w:val="16"/>
                <w:szCs w:val="22"/>
                <w:lang w:eastAsia="en-IN"/>
              </w:rPr>
            </w:pPr>
            <w:r w:rsidRPr="00100C3D">
              <w:rPr>
                <w:rFonts w:asciiTheme="minorHAnsi" w:hAnsiTheme="minorHAnsi" w:cstheme="minorHAnsi"/>
                <w:b/>
                <w:bCs/>
                <w:color w:val="FFFFFF" w:themeColor="background1"/>
                <w:kern w:val="24"/>
                <w:sz w:val="16"/>
                <w:szCs w:val="22"/>
                <w:lang w:eastAsia="en-IN"/>
              </w:rPr>
              <w:t>4.27</w:t>
            </w:r>
          </w:p>
        </w:tc>
        <w:tc>
          <w:tcPr>
            <w:tcW w:w="0" w:type="auto"/>
            <w:shd w:val="clear" w:color="auto" w:fill="17365D" w:themeFill="text2" w:themeFillShade="BF"/>
            <w:tcMar>
              <w:top w:w="15" w:type="dxa"/>
              <w:left w:w="15" w:type="dxa"/>
              <w:bottom w:w="0" w:type="dxa"/>
              <w:right w:w="15" w:type="dxa"/>
            </w:tcMar>
            <w:vAlign w:val="center"/>
            <w:hideMark/>
          </w:tcPr>
          <w:p w14:paraId="6349E37E" w14:textId="77777777" w:rsidR="006043CF" w:rsidRPr="00100C3D" w:rsidRDefault="006043CF" w:rsidP="00236E38">
            <w:pPr>
              <w:spacing w:line="360" w:lineRule="auto"/>
              <w:jc w:val="center"/>
              <w:textAlignment w:val="center"/>
              <w:rPr>
                <w:rFonts w:asciiTheme="minorHAnsi" w:hAnsiTheme="minorHAnsi" w:cstheme="minorHAnsi"/>
                <w:color w:val="FFFFFF" w:themeColor="background1"/>
                <w:sz w:val="16"/>
                <w:szCs w:val="22"/>
                <w:lang w:eastAsia="en-IN"/>
              </w:rPr>
            </w:pPr>
            <w:r w:rsidRPr="00100C3D">
              <w:rPr>
                <w:rFonts w:asciiTheme="minorHAnsi" w:hAnsiTheme="minorHAnsi" w:cstheme="minorHAnsi"/>
                <w:b/>
                <w:bCs/>
                <w:color w:val="FFFFFF" w:themeColor="background1"/>
                <w:kern w:val="24"/>
                <w:sz w:val="16"/>
                <w:szCs w:val="22"/>
                <w:lang w:eastAsia="en-IN"/>
              </w:rPr>
              <w:t> </w:t>
            </w:r>
          </w:p>
        </w:tc>
        <w:tc>
          <w:tcPr>
            <w:tcW w:w="0" w:type="auto"/>
            <w:shd w:val="clear" w:color="auto" w:fill="17365D" w:themeFill="text2" w:themeFillShade="BF"/>
            <w:tcMar>
              <w:top w:w="15" w:type="dxa"/>
              <w:left w:w="15" w:type="dxa"/>
              <w:bottom w:w="0" w:type="dxa"/>
              <w:right w:w="15" w:type="dxa"/>
            </w:tcMar>
            <w:vAlign w:val="center"/>
            <w:hideMark/>
          </w:tcPr>
          <w:p w14:paraId="24A955DE" w14:textId="77777777" w:rsidR="006043CF" w:rsidRPr="00100C3D" w:rsidRDefault="006043CF" w:rsidP="00236E38">
            <w:pPr>
              <w:spacing w:line="360" w:lineRule="auto"/>
              <w:jc w:val="center"/>
              <w:textAlignment w:val="center"/>
              <w:rPr>
                <w:rFonts w:asciiTheme="minorHAnsi" w:hAnsiTheme="minorHAnsi" w:cstheme="minorHAnsi"/>
                <w:color w:val="FFFFFF" w:themeColor="background1"/>
                <w:sz w:val="16"/>
                <w:szCs w:val="22"/>
                <w:lang w:eastAsia="en-IN"/>
              </w:rPr>
            </w:pPr>
            <w:r w:rsidRPr="00100C3D">
              <w:rPr>
                <w:rFonts w:asciiTheme="minorHAnsi" w:hAnsiTheme="minorHAnsi" w:cstheme="minorHAnsi"/>
                <w:b/>
                <w:bCs/>
                <w:color w:val="FFFFFF" w:themeColor="background1"/>
                <w:kern w:val="24"/>
                <w:sz w:val="16"/>
                <w:szCs w:val="22"/>
                <w:lang w:eastAsia="en-IN"/>
              </w:rPr>
              <w:t>32605.66</w:t>
            </w:r>
          </w:p>
        </w:tc>
        <w:tc>
          <w:tcPr>
            <w:tcW w:w="0" w:type="auto"/>
            <w:shd w:val="clear" w:color="auto" w:fill="17365D" w:themeFill="text2" w:themeFillShade="BF"/>
            <w:tcMar>
              <w:top w:w="15" w:type="dxa"/>
              <w:left w:w="15" w:type="dxa"/>
              <w:bottom w:w="0" w:type="dxa"/>
              <w:right w:w="15" w:type="dxa"/>
            </w:tcMar>
            <w:vAlign w:val="center"/>
            <w:hideMark/>
          </w:tcPr>
          <w:p w14:paraId="0F4FF5D3" w14:textId="77777777" w:rsidR="006043CF" w:rsidRPr="00100C3D" w:rsidRDefault="006043CF" w:rsidP="00236E38">
            <w:pPr>
              <w:spacing w:line="360" w:lineRule="auto"/>
              <w:jc w:val="center"/>
              <w:textAlignment w:val="center"/>
              <w:rPr>
                <w:rFonts w:asciiTheme="minorHAnsi" w:hAnsiTheme="minorHAnsi" w:cstheme="minorHAnsi"/>
                <w:color w:val="FFFFFF" w:themeColor="background1"/>
                <w:sz w:val="16"/>
                <w:szCs w:val="22"/>
                <w:lang w:eastAsia="en-IN"/>
              </w:rPr>
            </w:pPr>
            <w:r w:rsidRPr="00100C3D">
              <w:rPr>
                <w:rFonts w:asciiTheme="minorHAnsi" w:hAnsiTheme="minorHAnsi" w:cstheme="minorHAnsi"/>
                <w:b/>
                <w:bCs/>
                <w:color w:val="FFFFFF" w:themeColor="background1"/>
                <w:kern w:val="24"/>
                <w:sz w:val="16"/>
                <w:szCs w:val="22"/>
                <w:lang w:eastAsia="en-IN"/>
              </w:rPr>
              <w:t>958726.6</w:t>
            </w:r>
          </w:p>
        </w:tc>
        <w:tc>
          <w:tcPr>
            <w:tcW w:w="0" w:type="auto"/>
            <w:shd w:val="clear" w:color="auto" w:fill="17365D" w:themeFill="text2" w:themeFillShade="BF"/>
            <w:tcMar>
              <w:top w:w="15" w:type="dxa"/>
              <w:left w:w="15" w:type="dxa"/>
              <w:bottom w:w="0" w:type="dxa"/>
              <w:right w:w="15" w:type="dxa"/>
            </w:tcMar>
            <w:vAlign w:val="center"/>
            <w:hideMark/>
          </w:tcPr>
          <w:p w14:paraId="099660C5" w14:textId="77777777" w:rsidR="006043CF" w:rsidRPr="00100C3D" w:rsidRDefault="006043CF" w:rsidP="00236E38">
            <w:pPr>
              <w:spacing w:line="360" w:lineRule="auto"/>
              <w:jc w:val="center"/>
              <w:textAlignment w:val="center"/>
              <w:rPr>
                <w:rFonts w:asciiTheme="minorHAnsi" w:hAnsiTheme="minorHAnsi" w:cstheme="minorHAnsi"/>
                <w:color w:val="FFFFFF" w:themeColor="background1"/>
                <w:sz w:val="16"/>
                <w:szCs w:val="22"/>
                <w:lang w:eastAsia="en-IN"/>
              </w:rPr>
            </w:pPr>
            <w:r w:rsidRPr="00100C3D">
              <w:rPr>
                <w:rFonts w:asciiTheme="minorHAnsi" w:hAnsiTheme="minorHAnsi" w:cstheme="minorHAnsi"/>
                <w:b/>
                <w:bCs/>
                <w:color w:val="FFFFFF" w:themeColor="background1"/>
                <w:kern w:val="24"/>
                <w:sz w:val="16"/>
                <w:szCs w:val="22"/>
                <w:lang w:eastAsia="en-IN"/>
              </w:rPr>
              <w:t>3794.88</w:t>
            </w:r>
          </w:p>
        </w:tc>
        <w:tc>
          <w:tcPr>
            <w:tcW w:w="0" w:type="auto"/>
            <w:shd w:val="clear" w:color="auto" w:fill="17365D" w:themeFill="text2" w:themeFillShade="BF"/>
            <w:tcMar>
              <w:top w:w="15" w:type="dxa"/>
              <w:left w:w="15" w:type="dxa"/>
              <w:bottom w:w="0" w:type="dxa"/>
              <w:right w:w="15" w:type="dxa"/>
            </w:tcMar>
            <w:vAlign w:val="center"/>
            <w:hideMark/>
          </w:tcPr>
          <w:p w14:paraId="690B131F" w14:textId="77777777" w:rsidR="006043CF" w:rsidRPr="00100C3D" w:rsidRDefault="006043CF" w:rsidP="00236E38">
            <w:pPr>
              <w:spacing w:line="360" w:lineRule="auto"/>
              <w:jc w:val="center"/>
              <w:textAlignment w:val="center"/>
              <w:rPr>
                <w:rFonts w:asciiTheme="minorHAnsi" w:hAnsiTheme="minorHAnsi" w:cstheme="minorHAnsi"/>
                <w:color w:val="FFFFFF" w:themeColor="background1"/>
                <w:sz w:val="16"/>
                <w:szCs w:val="22"/>
                <w:lang w:eastAsia="en-IN"/>
              </w:rPr>
            </w:pPr>
            <w:r w:rsidRPr="00100C3D">
              <w:rPr>
                <w:rFonts w:asciiTheme="minorHAnsi" w:hAnsiTheme="minorHAnsi" w:cstheme="minorHAnsi"/>
                <w:b/>
                <w:bCs/>
                <w:color w:val="FFFFFF" w:themeColor="background1"/>
                <w:kern w:val="24"/>
                <w:sz w:val="16"/>
                <w:szCs w:val="22"/>
                <w:lang w:eastAsia="en-IN"/>
              </w:rPr>
              <w:t>160.59</w:t>
            </w:r>
          </w:p>
        </w:tc>
        <w:tc>
          <w:tcPr>
            <w:tcW w:w="0" w:type="auto"/>
            <w:shd w:val="clear" w:color="auto" w:fill="17365D" w:themeFill="text2" w:themeFillShade="BF"/>
            <w:tcMar>
              <w:top w:w="15" w:type="dxa"/>
              <w:left w:w="15" w:type="dxa"/>
              <w:bottom w:w="0" w:type="dxa"/>
              <w:right w:w="15" w:type="dxa"/>
            </w:tcMar>
            <w:vAlign w:val="center"/>
            <w:hideMark/>
          </w:tcPr>
          <w:p w14:paraId="68E976E2" w14:textId="77777777" w:rsidR="006043CF" w:rsidRPr="00100C3D" w:rsidRDefault="006043CF" w:rsidP="00236E38">
            <w:pPr>
              <w:spacing w:line="360" w:lineRule="auto"/>
              <w:jc w:val="center"/>
              <w:textAlignment w:val="center"/>
              <w:rPr>
                <w:rFonts w:asciiTheme="minorHAnsi" w:hAnsiTheme="minorHAnsi" w:cstheme="minorHAnsi"/>
                <w:sz w:val="16"/>
                <w:szCs w:val="22"/>
                <w:lang w:eastAsia="en-IN"/>
              </w:rPr>
            </w:pPr>
            <w:r w:rsidRPr="00100C3D">
              <w:rPr>
                <w:rFonts w:asciiTheme="minorHAnsi" w:hAnsiTheme="minorHAnsi" w:cstheme="minorHAnsi"/>
                <w:b/>
                <w:bCs/>
                <w:color w:val="FFFFFF"/>
                <w:kern w:val="24"/>
                <w:sz w:val="16"/>
                <w:szCs w:val="22"/>
                <w:lang w:eastAsia="en-IN"/>
              </w:rPr>
              <w:t>4.18</w:t>
            </w:r>
          </w:p>
        </w:tc>
      </w:tr>
    </w:tbl>
    <w:p w14:paraId="2EB3E6E9" w14:textId="77777777" w:rsidR="00BB6BFE" w:rsidRPr="00236E38" w:rsidRDefault="00BB6BFE" w:rsidP="00236E38">
      <w:pPr>
        <w:spacing w:line="360" w:lineRule="auto"/>
        <w:rPr>
          <w:rFonts w:asciiTheme="minorHAnsi" w:hAnsiTheme="minorHAnsi" w:cstheme="minorHAnsi"/>
          <w:color w:val="000000"/>
          <w:sz w:val="22"/>
          <w:szCs w:val="22"/>
          <w:lang w:eastAsia="en-IN"/>
        </w:rPr>
      </w:pPr>
    </w:p>
    <w:p w14:paraId="11B82FF6" w14:textId="274355BD" w:rsidR="00BD7120" w:rsidRPr="002B5470" w:rsidRDefault="00DF7F8A" w:rsidP="00236E38">
      <w:pPr>
        <w:spacing w:line="360" w:lineRule="auto"/>
        <w:jc w:val="both"/>
        <w:rPr>
          <w:rStyle w:val="normaltextrun"/>
          <w:rFonts w:asciiTheme="minorHAnsi" w:hAnsiTheme="minorHAnsi" w:cstheme="minorHAnsi"/>
          <w:b/>
          <w:i/>
          <w:color w:val="000000"/>
          <w:sz w:val="22"/>
          <w:szCs w:val="22"/>
          <w:lang w:eastAsia="en-IN"/>
        </w:rPr>
      </w:pPr>
      <w:r>
        <w:rPr>
          <w:rFonts w:asciiTheme="minorHAnsi" w:hAnsiTheme="minorHAnsi" w:cstheme="minorHAnsi"/>
          <w:b/>
          <w:i/>
          <w:sz w:val="22"/>
          <w:szCs w:val="22"/>
          <w:lang w:eastAsia="en-IN"/>
        </w:rPr>
        <w:t xml:space="preserve">            </w:t>
      </w:r>
      <w:r w:rsidR="00BB6BFE" w:rsidRPr="00236E38">
        <w:rPr>
          <w:rFonts w:asciiTheme="minorHAnsi" w:hAnsiTheme="minorHAnsi" w:cstheme="minorHAnsi"/>
          <w:b/>
          <w:i/>
          <w:sz w:val="22"/>
          <w:szCs w:val="22"/>
          <w:lang w:eastAsia="en-IN"/>
        </w:rPr>
        <w:t>*Those have been vetted by NIT, Rourkela.</w:t>
      </w:r>
    </w:p>
    <w:p w14:paraId="255AB65B" w14:textId="2BD47C7A" w:rsidR="00BB6BFE" w:rsidRPr="00236E38" w:rsidRDefault="00BB6BFE" w:rsidP="00DF7F8A">
      <w:pPr>
        <w:spacing w:line="360" w:lineRule="auto"/>
        <w:ind w:left="709"/>
        <w:jc w:val="both"/>
        <w:rPr>
          <w:rStyle w:val="normaltextrun"/>
          <w:rFonts w:asciiTheme="minorHAnsi" w:hAnsiTheme="minorHAnsi" w:cstheme="minorHAnsi"/>
          <w:b/>
          <w:sz w:val="22"/>
          <w:szCs w:val="22"/>
          <w:lang w:bidi="or-IN"/>
        </w:rPr>
      </w:pPr>
      <w:r w:rsidRPr="00236E38">
        <w:rPr>
          <w:rStyle w:val="normaltextrun"/>
          <w:rFonts w:asciiTheme="minorHAnsi" w:hAnsiTheme="minorHAnsi" w:cstheme="minorHAnsi"/>
          <w:b/>
          <w:sz w:val="22"/>
          <w:szCs w:val="22"/>
          <w:lang w:bidi="or-IN"/>
        </w:rPr>
        <w:t>Smart Metering for the DTs (Capacity &gt;= 100 kVA)</w:t>
      </w:r>
    </w:p>
    <w:p w14:paraId="24127E0D" w14:textId="0CD42358" w:rsidR="00BB6BFE" w:rsidRPr="00236E38" w:rsidRDefault="00BB6BFE" w:rsidP="00DF7F8A">
      <w:pPr>
        <w:spacing w:line="360" w:lineRule="auto"/>
        <w:ind w:left="709"/>
        <w:jc w:val="both"/>
        <w:rPr>
          <w:rStyle w:val="normaltextrun"/>
          <w:rFonts w:asciiTheme="minorHAnsi" w:hAnsiTheme="minorHAnsi" w:cstheme="minorHAnsi"/>
          <w:sz w:val="22"/>
          <w:szCs w:val="22"/>
          <w:lang w:bidi="or-IN"/>
        </w:rPr>
      </w:pPr>
      <w:r w:rsidRPr="00236E38">
        <w:rPr>
          <w:rStyle w:val="normaltextrun"/>
          <w:rFonts w:asciiTheme="minorHAnsi" w:hAnsiTheme="minorHAnsi" w:cstheme="minorHAnsi"/>
          <w:sz w:val="22"/>
          <w:szCs w:val="22"/>
          <w:lang w:bidi="or-IN"/>
        </w:rPr>
        <w:t xml:space="preserve">Energy Accounting and loss identification at the DT level is one of the most important activity for steering the initiatives of AT&amp;C loss reduction. In line with that, DT metering initiated </w:t>
      </w:r>
      <w:r w:rsidR="00DF7F8A" w:rsidRPr="00236E38">
        <w:rPr>
          <w:rStyle w:val="normaltextrun"/>
          <w:rFonts w:asciiTheme="minorHAnsi" w:hAnsiTheme="minorHAnsi" w:cstheme="minorHAnsi"/>
          <w:sz w:val="22"/>
          <w:szCs w:val="22"/>
          <w:lang w:bidi="or-IN"/>
        </w:rPr>
        <w:t>by TPNODL</w:t>
      </w:r>
      <w:r w:rsidRPr="00236E38">
        <w:rPr>
          <w:rStyle w:val="normaltextrun"/>
          <w:rFonts w:asciiTheme="minorHAnsi" w:hAnsiTheme="minorHAnsi" w:cstheme="minorHAnsi"/>
          <w:sz w:val="22"/>
          <w:szCs w:val="22"/>
          <w:lang w:bidi="or-IN"/>
        </w:rPr>
        <w:t xml:space="preserve"> to ensure DT wise energy measurement. It was targeted to install the smart meters on 8202 (owned by TPNODL) DTs having capacity &gt;=100KVA. </w:t>
      </w:r>
    </w:p>
    <w:p w14:paraId="2D10FDB2" w14:textId="77777777" w:rsidR="00CD105A" w:rsidRDefault="00CD105A" w:rsidP="00236E38">
      <w:pPr>
        <w:spacing w:line="360" w:lineRule="auto"/>
        <w:ind w:left="567"/>
        <w:jc w:val="center"/>
        <w:rPr>
          <w:rStyle w:val="normaltextrun"/>
          <w:rFonts w:asciiTheme="minorHAnsi" w:hAnsiTheme="minorHAnsi" w:cstheme="minorHAnsi"/>
          <w:b/>
          <w:sz w:val="22"/>
          <w:szCs w:val="22"/>
          <w:lang w:bidi="or-IN"/>
        </w:rPr>
      </w:pPr>
    </w:p>
    <w:p w14:paraId="1895C58C" w14:textId="77777777" w:rsidR="00CD105A" w:rsidRDefault="00CD105A" w:rsidP="009027DC">
      <w:pPr>
        <w:spacing w:line="360" w:lineRule="auto"/>
        <w:rPr>
          <w:rStyle w:val="normaltextrun"/>
          <w:lang w:bidi="or-IN"/>
        </w:rPr>
      </w:pPr>
    </w:p>
    <w:p w14:paraId="747A8D04" w14:textId="0F12AD3A" w:rsidR="00BB6BFE" w:rsidRPr="00236E38" w:rsidRDefault="002B5470" w:rsidP="00236E38">
      <w:pPr>
        <w:spacing w:line="360" w:lineRule="auto"/>
        <w:ind w:left="567"/>
        <w:jc w:val="center"/>
        <w:rPr>
          <w:rStyle w:val="normaltextrun"/>
          <w:rFonts w:asciiTheme="minorHAnsi" w:hAnsiTheme="minorHAnsi" w:cstheme="minorHAnsi"/>
          <w:b/>
          <w:sz w:val="22"/>
          <w:szCs w:val="22"/>
          <w:lang w:bidi="or-IN"/>
        </w:rPr>
      </w:pPr>
      <w:r>
        <w:rPr>
          <w:rStyle w:val="normaltextrun"/>
          <w:rFonts w:asciiTheme="minorHAnsi" w:hAnsiTheme="minorHAnsi" w:cstheme="minorHAnsi"/>
          <w:b/>
          <w:sz w:val="22"/>
          <w:szCs w:val="22"/>
          <w:lang w:bidi="or-IN"/>
        </w:rPr>
        <w:t xml:space="preserve">Table-68 </w:t>
      </w:r>
      <w:r w:rsidR="00BB6BFE" w:rsidRPr="00236E38">
        <w:rPr>
          <w:rStyle w:val="normaltextrun"/>
          <w:rFonts w:asciiTheme="minorHAnsi" w:hAnsiTheme="minorHAnsi" w:cstheme="minorHAnsi"/>
          <w:b/>
          <w:sz w:val="22"/>
          <w:szCs w:val="22"/>
          <w:lang w:bidi="or-IN"/>
        </w:rPr>
        <w:t>Smart Meter Installation Status on DTs Capacity &gt;= 100 KVA</w:t>
      </w:r>
    </w:p>
    <w:tbl>
      <w:tblPr>
        <w:tblStyle w:val="TableGrid"/>
        <w:tblW w:w="8488" w:type="dxa"/>
        <w:tblInd w:w="781" w:type="dxa"/>
        <w:tblLook w:val="04A0" w:firstRow="1" w:lastRow="0" w:firstColumn="1" w:lastColumn="0" w:noHBand="0" w:noVBand="1"/>
      </w:tblPr>
      <w:tblGrid>
        <w:gridCol w:w="2122"/>
        <w:gridCol w:w="2122"/>
        <w:gridCol w:w="2122"/>
        <w:gridCol w:w="2122"/>
      </w:tblGrid>
      <w:tr w:rsidR="00BB6BFE" w:rsidRPr="00236E38" w14:paraId="76C80D50" w14:textId="77777777" w:rsidTr="00DF7F8A">
        <w:trPr>
          <w:trHeight w:val="302"/>
        </w:trPr>
        <w:tc>
          <w:tcPr>
            <w:tcW w:w="2122" w:type="dxa"/>
            <w:tcBorders>
              <w:top w:val="single" w:sz="4" w:space="0" w:color="auto"/>
              <w:left w:val="single" w:sz="4" w:space="0" w:color="auto"/>
              <w:bottom w:val="single" w:sz="4" w:space="0" w:color="auto"/>
              <w:right w:val="single" w:sz="4" w:space="0" w:color="auto"/>
            </w:tcBorders>
            <w:shd w:val="clear" w:color="auto" w:fill="95B3D7" w:themeFill="accent1" w:themeFillTint="99"/>
            <w:hideMark/>
          </w:tcPr>
          <w:p w14:paraId="1C80B98F" w14:textId="77777777" w:rsidR="00BB6BFE" w:rsidRPr="00DF7F8A" w:rsidRDefault="00BB6BFE" w:rsidP="00236E38">
            <w:pPr>
              <w:spacing w:line="360" w:lineRule="auto"/>
              <w:jc w:val="center"/>
              <w:rPr>
                <w:rStyle w:val="normaltextrun"/>
                <w:rFonts w:asciiTheme="minorHAnsi" w:hAnsiTheme="minorHAnsi" w:cstheme="minorHAnsi"/>
                <w:b/>
                <w:color w:val="000000" w:themeColor="text1"/>
                <w:sz w:val="22"/>
                <w:szCs w:val="22"/>
                <w:lang w:bidi="or-IN"/>
              </w:rPr>
            </w:pPr>
            <w:r w:rsidRPr="00DF7F8A">
              <w:rPr>
                <w:rStyle w:val="normaltextrun"/>
                <w:rFonts w:asciiTheme="minorHAnsi" w:hAnsiTheme="minorHAnsi" w:cstheme="minorHAnsi"/>
                <w:b/>
                <w:color w:val="000000" w:themeColor="text1"/>
                <w:sz w:val="22"/>
                <w:szCs w:val="22"/>
                <w:lang w:bidi="or-IN"/>
              </w:rPr>
              <w:t>Circle</w:t>
            </w:r>
          </w:p>
        </w:tc>
        <w:tc>
          <w:tcPr>
            <w:tcW w:w="2122" w:type="dxa"/>
            <w:tcBorders>
              <w:top w:val="single" w:sz="4" w:space="0" w:color="auto"/>
              <w:left w:val="single" w:sz="4" w:space="0" w:color="auto"/>
              <w:bottom w:val="single" w:sz="4" w:space="0" w:color="auto"/>
              <w:right w:val="single" w:sz="4" w:space="0" w:color="auto"/>
            </w:tcBorders>
            <w:shd w:val="clear" w:color="auto" w:fill="95B3D7" w:themeFill="accent1" w:themeFillTint="99"/>
            <w:hideMark/>
          </w:tcPr>
          <w:p w14:paraId="115B5408" w14:textId="77777777" w:rsidR="00BB6BFE" w:rsidRPr="00DF7F8A" w:rsidRDefault="00BB6BFE" w:rsidP="00236E38">
            <w:pPr>
              <w:spacing w:line="360" w:lineRule="auto"/>
              <w:jc w:val="center"/>
              <w:rPr>
                <w:rStyle w:val="normaltextrun"/>
                <w:rFonts w:asciiTheme="minorHAnsi" w:hAnsiTheme="minorHAnsi" w:cstheme="minorHAnsi"/>
                <w:b/>
                <w:color w:val="000000" w:themeColor="text1"/>
                <w:sz w:val="22"/>
                <w:szCs w:val="22"/>
                <w:lang w:bidi="or-IN"/>
              </w:rPr>
            </w:pPr>
            <w:r w:rsidRPr="00DF7F8A">
              <w:rPr>
                <w:rStyle w:val="normaltextrun"/>
                <w:rFonts w:asciiTheme="minorHAnsi" w:hAnsiTheme="minorHAnsi" w:cstheme="minorHAnsi"/>
                <w:b/>
                <w:color w:val="000000" w:themeColor="text1"/>
                <w:sz w:val="22"/>
                <w:szCs w:val="22"/>
                <w:lang w:bidi="or-IN"/>
              </w:rPr>
              <w:t>Target (Annual)</w:t>
            </w:r>
          </w:p>
        </w:tc>
        <w:tc>
          <w:tcPr>
            <w:tcW w:w="2122" w:type="dxa"/>
            <w:tcBorders>
              <w:top w:val="single" w:sz="4" w:space="0" w:color="auto"/>
              <w:left w:val="single" w:sz="4" w:space="0" w:color="auto"/>
              <w:bottom w:val="single" w:sz="4" w:space="0" w:color="auto"/>
              <w:right w:val="single" w:sz="4" w:space="0" w:color="auto"/>
            </w:tcBorders>
            <w:shd w:val="clear" w:color="auto" w:fill="95B3D7" w:themeFill="accent1" w:themeFillTint="99"/>
            <w:hideMark/>
          </w:tcPr>
          <w:p w14:paraId="77B36968" w14:textId="77777777" w:rsidR="00BB6BFE" w:rsidRPr="00DF7F8A" w:rsidRDefault="00BB6BFE" w:rsidP="00236E38">
            <w:pPr>
              <w:spacing w:line="360" w:lineRule="auto"/>
              <w:jc w:val="center"/>
              <w:rPr>
                <w:rStyle w:val="normaltextrun"/>
                <w:rFonts w:asciiTheme="minorHAnsi" w:hAnsiTheme="minorHAnsi" w:cstheme="minorHAnsi"/>
                <w:b/>
                <w:color w:val="000000" w:themeColor="text1"/>
                <w:sz w:val="22"/>
                <w:szCs w:val="22"/>
                <w:lang w:bidi="or-IN"/>
              </w:rPr>
            </w:pPr>
            <w:r w:rsidRPr="00DF7F8A">
              <w:rPr>
                <w:rStyle w:val="normaltextrun"/>
                <w:rFonts w:asciiTheme="minorHAnsi" w:hAnsiTheme="minorHAnsi" w:cstheme="minorHAnsi"/>
                <w:b/>
                <w:color w:val="000000" w:themeColor="text1"/>
                <w:sz w:val="22"/>
                <w:szCs w:val="22"/>
                <w:lang w:bidi="or-IN"/>
              </w:rPr>
              <w:t>Achievements</w:t>
            </w:r>
          </w:p>
        </w:tc>
        <w:tc>
          <w:tcPr>
            <w:tcW w:w="2122" w:type="dxa"/>
            <w:tcBorders>
              <w:top w:val="single" w:sz="4" w:space="0" w:color="auto"/>
              <w:left w:val="single" w:sz="4" w:space="0" w:color="auto"/>
              <w:bottom w:val="single" w:sz="4" w:space="0" w:color="auto"/>
              <w:right w:val="single" w:sz="4" w:space="0" w:color="auto"/>
            </w:tcBorders>
            <w:shd w:val="clear" w:color="auto" w:fill="95B3D7" w:themeFill="accent1" w:themeFillTint="99"/>
            <w:hideMark/>
          </w:tcPr>
          <w:p w14:paraId="38DFA4F5" w14:textId="77777777" w:rsidR="00BB6BFE" w:rsidRPr="00DF7F8A" w:rsidRDefault="00BB6BFE" w:rsidP="00236E38">
            <w:pPr>
              <w:spacing w:line="360" w:lineRule="auto"/>
              <w:jc w:val="center"/>
              <w:rPr>
                <w:rStyle w:val="normaltextrun"/>
                <w:rFonts w:asciiTheme="minorHAnsi" w:hAnsiTheme="minorHAnsi" w:cstheme="minorHAnsi"/>
                <w:b/>
                <w:color w:val="000000" w:themeColor="text1"/>
                <w:sz w:val="22"/>
                <w:szCs w:val="22"/>
                <w:lang w:bidi="or-IN"/>
              </w:rPr>
            </w:pPr>
            <w:r w:rsidRPr="00DF7F8A">
              <w:rPr>
                <w:rStyle w:val="normaltextrun"/>
                <w:rFonts w:asciiTheme="minorHAnsi" w:hAnsiTheme="minorHAnsi" w:cstheme="minorHAnsi"/>
                <w:b/>
                <w:color w:val="000000" w:themeColor="text1"/>
                <w:sz w:val="22"/>
                <w:szCs w:val="22"/>
                <w:lang w:bidi="or-IN"/>
              </w:rPr>
              <w:t>% Achievement</w:t>
            </w:r>
          </w:p>
        </w:tc>
      </w:tr>
      <w:tr w:rsidR="00BB6BFE" w:rsidRPr="00236E38" w14:paraId="535D0A64" w14:textId="77777777" w:rsidTr="00DF7F8A">
        <w:trPr>
          <w:trHeight w:val="291"/>
        </w:trPr>
        <w:tc>
          <w:tcPr>
            <w:tcW w:w="2122" w:type="dxa"/>
            <w:tcBorders>
              <w:top w:val="single" w:sz="4" w:space="0" w:color="auto"/>
              <w:left w:val="single" w:sz="4" w:space="0" w:color="auto"/>
              <w:bottom w:val="single" w:sz="4" w:space="0" w:color="auto"/>
              <w:right w:val="single" w:sz="4" w:space="0" w:color="auto"/>
            </w:tcBorders>
            <w:vAlign w:val="center"/>
            <w:hideMark/>
          </w:tcPr>
          <w:p w14:paraId="73B3ACBF" w14:textId="77777777" w:rsidR="00BB6BFE" w:rsidRPr="00236E38" w:rsidRDefault="00BB6BFE" w:rsidP="00236E38">
            <w:pPr>
              <w:spacing w:line="360" w:lineRule="auto"/>
              <w:jc w:val="center"/>
              <w:rPr>
                <w:rStyle w:val="normaltextrun"/>
                <w:rFonts w:asciiTheme="minorHAnsi" w:hAnsiTheme="minorHAnsi" w:cstheme="minorHAnsi"/>
                <w:sz w:val="22"/>
                <w:szCs w:val="22"/>
                <w:lang w:bidi="or-IN"/>
              </w:rPr>
            </w:pPr>
            <w:proofErr w:type="spellStart"/>
            <w:r w:rsidRPr="00236E38">
              <w:rPr>
                <w:rFonts w:asciiTheme="minorHAnsi" w:hAnsiTheme="minorHAnsi" w:cstheme="minorHAnsi"/>
                <w:b/>
                <w:bCs/>
                <w:color w:val="000000"/>
                <w:kern w:val="24"/>
                <w:sz w:val="22"/>
                <w:szCs w:val="22"/>
                <w:lang w:eastAsia="en-IN"/>
              </w:rPr>
              <w:t>Balasore</w:t>
            </w:r>
            <w:proofErr w:type="spellEnd"/>
          </w:p>
        </w:tc>
        <w:tc>
          <w:tcPr>
            <w:tcW w:w="2122" w:type="dxa"/>
            <w:tcBorders>
              <w:top w:val="single" w:sz="4" w:space="0" w:color="auto"/>
              <w:left w:val="single" w:sz="4" w:space="0" w:color="auto"/>
              <w:bottom w:val="single" w:sz="4" w:space="0" w:color="auto"/>
              <w:right w:val="single" w:sz="4" w:space="0" w:color="auto"/>
            </w:tcBorders>
            <w:hideMark/>
          </w:tcPr>
          <w:p w14:paraId="4EF710CC" w14:textId="77777777" w:rsidR="00BB6BFE" w:rsidRPr="00236E38" w:rsidRDefault="00BB6BFE" w:rsidP="00236E38">
            <w:pPr>
              <w:spacing w:line="360" w:lineRule="auto"/>
              <w:jc w:val="center"/>
              <w:rPr>
                <w:rStyle w:val="normaltextrun"/>
                <w:rFonts w:asciiTheme="minorHAnsi" w:hAnsiTheme="minorHAnsi" w:cstheme="minorHAnsi"/>
                <w:sz w:val="22"/>
                <w:szCs w:val="22"/>
                <w:lang w:bidi="or-IN"/>
              </w:rPr>
            </w:pPr>
            <w:r w:rsidRPr="00236E38">
              <w:rPr>
                <w:rStyle w:val="normaltextrun"/>
                <w:rFonts w:asciiTheme="minorHAnsi" w:hAnsiTheme="minorHAnsi" w:cstheme="minorHAnsi"/>
                <w:sz w:val="22"/>
                <w:szCs w:val="22"/>
                <w:lang w:bidi="or-IN"/>
              </w:rPr>
              <w:t>2886</w:t>
            </w:r>
          </w:p>
        </w:tc>
        <w:tc>
          <w:tcPr>
            <w:tcW w:w="2122" w:type="dxa"/>
            <w:tcBorders>
              <w:top w:val="single" w:sz="4" w:space="0" w:color="auto"/>
              <w:left w:val="single" w:sz="4" w:space="0" w:color="auto"/>
              <w:bottom w:val="single" w:sz="4" w:space="0" w:color="auto"/>
              <w:right w:val="single" w:sz="4" w:space="0" w:color="auto"/>
            </w:tcBorders>
            <w:hideMark/>
          </w:tcPr>
          <w:p w14:paraId="774C5439" w14:textId="77777777" w:rsidR="00BB6BFE" w:rsidRPr="00236E38" w:rsidRDefault="00BB6BFE" w:rsidP="00236E38">
            <w:pPr>
              <w:spacing w:line="360" w:lineRule="auto"/>
              <w:jc w:val="center"/>
              <w:rPr>
                <w:rStyle w:val="normaltextrun"/>
                <w:rFonts w:asciiTheme="minorHAnsi" w:hAnsiTheme="minorHAnsi" w:cstheme="minorHAnsi"/>
                <w:sz w:val="22"/>
                <w:szCs w:val="22"/>
                <w:lang w:bidi="or-IN"/>
              </w:rPr>
            </w:pPr>
            <w:r w:rsidRPr="00236E38">
              <w:rPr>
                <w:rStyle w:val="normaltextrun"/>
                <w:rFonts w:asciiTheme="minorHAnsi" w:hAnsiTheme="minorHAnsi" w:cstheme="minorHAnsi"/>
                <w:sz w:val="22"/>
                <w:szCs w:val="22"/>
                <w:lang w:bidi="or-IN"/>
              </w:rPr>
              <w:t>2886</w:t>
            </w:r>
          </w:p>
        </w:tc>
        <w:tc>
          <w:tcPr>
            <w:tcW w:w="2122" w:type="dxa"/>
            <w:tcBorders>
              <w:top w:val="single" w:sz="4" w:space="0" w:color="auto"/>
              <w:left w:val="single" w:sz="4" w:space="0" w:color="auto"/>
              <w:bottom w:val="single" w:sz="4" w:space="0" w:color="auto"/>
              <w:right w:val="single" w:sz="4" w:space="0" w:color="auto"/>
            </w:tcBorders>
            <w:hideMark/>
          </w:tcPr>
          <w:p w14:paraId="4648010C" w14:textId="77777777" w:rsidR="00BB6BFE" w:rsidRPr="00236E38" w:rsidRDefault="00BB6BFE" w:rsidP="00236E38">
            <w:pPr>
              <w:spacing w:line="360" w:lineRule="auto"/>
              <w:jc w:val="center"/>
              <w:rPr>
                <w:rStyle w:val="normaltextrun"/>
                <w:rFonts w:asciiTheme="minorHAnsi" w:hAnsiTheme="minorHAnsi" w:cstheme="minorHAnsi"/>
                <w:sz w:val="22"/>
                <w:szCs w:val="22"/>
                <w:lang w:bidi="or-IN"/>
              </w:rPr>
            </w:pPr>
            <w:r w:rsidRPr="00236E38">
              <w:rPr>
                <w:rStyle w:val="normaltextrun"/>
                <w:rFonts w:asciiTheme="minorHAnsi" w:hAnsiTheme="minorHAnsi" w:cstheme="minorHAnsi"/>
                <w:sz w:val="22"/>
                <w:szCs w:val="22"/>
                <w:lang w:bidi="or-IN"/>
              </w:rPr>
              <w:t>100%</w:t>
            </w:r>
          </w:p>
        </w:tc>
      </w:tr>
      <w:tr w:rsidR="00BB6BFE" w:rsidRPr="00236E38" w14:paraId="1ED4763D" w14:textId="77777777" w:rsidTr="00DF7F8A">
        <w:trPr>
          <w:trHeight w:val="302"/>
        </w:trPr>
        <w:tc>
          <w:tcPr>
            <w:tcW w:w="2122" w:type="dxa"/>
            <w:tcBorders>
              <w:top w:val="single" w:sz="4" w:space="0" w:color="auto"/>
              <w:left w:val="single" w:sz="4" w:space="0" w:color="auto"/>
              <w:bottom w:val="single" w:sz="4" w:space="0" w:color="auto"/>
              <w:right w:val="single" w:sz="4" w:space="0" w:color="auto"/>
            </w:tcBorders>
            <w:vAlign w:val="center"/>
            <w:hideMark/>
          </w:tcPr>
          <w:p w14:paraId="336480C9" w14:textId="77777777" w:rsidR="00BB6BFE" w:rsidRPr="00236E38" w:rsidRDefault="00BB6BFE" w:rsidP="00236E38">
            <w:pPr>
              <w:spacing w:line="360" w:lineRule="auto"/>
              <w:jc w:val="center"/>
              <w:rPr>
                <w:rStyle w:val="normaltextrun"/>
                <w:rFonts w:asciiTheme="minorHAnsi" w:hAnsiTheme="minorHAnsi" w:cstheme="minorHAnsi"/>
                <w:sz w:val="22"/>
                <w:szCs w:val="22"/>
                <w:lang w:bidi="or-IN"/>
              </w:rPr>
            </w:pPr>
            <w:proofErr w:type="spellStart"/>
            <w:r w:rsidRPr="00236E38">
              <w:rPr>
                <w:rFonts w:asciiTheme="minorHAnsi" w:hAnsiTheme="minorHAnsi" w:cstheme="minorHAnsi"/>
                <w:b/>
                <w:bCs/>
                <w:color w:val="000000"/>
                <w:kern w:val="24"/>
                <w:sz w:val="22"/>
                <w:szCs w:val="22"/>
                <w:lang w:eastAsia="en-IN"/>
              </w:rPr>
              <w:t>Baripada</w:t>
            </w:r>
            <w:proofErr w:type="spellEnd"/>
          </w:p>
        </w:tc>
        <w:tc>
          <w:tcPr>
            <w:tcW w:w="2122" w:type="dxa"/>
            <w:tcBorders>
              <w:top w:val="single" w:sz="4" w:space="0" w:color="auto"/>
              <w:left w:val="single" w:sz="4" w:space="0" w:color="auto"/>
              <w:bottom w:val="single" w:sz="4" w:space="0" w:color="auto"/>
              <w:right w:val="single" w:sz="4" w:space="0" w:color="auto"/>
            </w:tcBorders>
            <w:hideMark/>
          </w:tcPr>
          <w:p w14:paraId="31AD6C6C" w14:textId="77777777" w:rsidR="00BB6BFE" w:rsidRPr="00236E38" w:rsidRDefault="00BB6BFE" w:rsidP="00236E38">
            <w:pPr>
              <w:spacing w:line="360" w:lineRule="auto"/>
              <w:jc w:val="center"/>
              <w:rPr>
                <w:rStyle w:val="normaltextrun"/>
                <w:rFonts w:asciiTheme="minorHAnsi" w:hAnsiTheme="minorHAnsi" w:cstheme="minorHAnsi"/>
                <w:sz w:val="22"/>
                <w:szCs w:val="22"/>
                <w:lang w:bidi="or-IN"/>
              </w:rPr>
            </w:pPr>
            <w:r w:rsidRPr="00236E38">
              <w:rPr>
                <w:rStyle w:val="normaltextrun"/>
                <w:rFonts w:asciiTheme="minorHAnsi" w:hAnsiTheme="minorHAnsi" w:cstheme="minorHAnsi"/>
                <w:sz w:val="22"/>
                <w:szCs w:val="22"/>
                <w:lang w:bidi="or-IN"/>
              </w:rPr>
              <w:t>1240</w:t>
            </w:r>
          </w:p>
        </w:tc>
        <w:tc>
          <w:tcPr>
            <w:tcW w:w="2122" w:type="dxa"/>
            <w:tcBorders>
              <w:top w:val="single" w:sz="4" w:space="0" w:color="auto"/>
              <w:left w:val="single" w:sz="4" w:space="0" w:color="auto"/>
              <w:bottom w:val="single" w:sz="4" w:space="0" w:color="auto"/>
              <w:right w:val="single" w:sz="4" w:space="0" w:color="auto"/>
            </w:tcBorders>
            <w:hideMark/>
          </w:tcPr>
          <w:p w14:paraId="6525370F" w14:textId="77777777" w:rsidR="00BB6BFE" w:rsidRPr="00236E38" w:rsidRDefault="00BB6BFE" w:rsidP="00236E38">
            <w:pPr>
              <w:spacing w:line="360" w:lineRule="auto"/>
              <w:jc w:val="center"/>
              <w:rPr>
                <w:rStyle w:val="normaltextrun"/>
                <w:rFonts w:asciiTheme="minorHAnsi" w:hAnsiTheme="minorHAnsi" w:cstheme="minorHAnsi"/>
                <w:sz w:val="22"/>
                <w:szCs w:val="22"/>
                <w:lang w:bidi="or-IN"/>
              </w:rPr>
            </w:pPr>
            <w:r w:rsidRPr="00236E38">
              <w:rPr>
                <w:rStyle w:val="normaltextrun"/>
                <w:rFonts w:asciiTheme="minorHAnsi" w:hAnsiTheme="minorHAnsi" w:cstheme="minorHAnsi"/>
                <w:sz w:val="22"/>
                <w:szCs w:val="22"/>
                <w:lang w:bidi="or-IN"/>
              </w:rPr>
              <w:t>1240</w:t>
            </w:r>
          </w:p>
        </w:tc>
        <w:tc>
          <w:tcPr>
            <w:tcW w:w="2122" w:type="dxa"/>
            <w:tcBorders>
              <w:top w:val="single" w:sz="4" w:space="0" w:color="auto"/>
              <w:left w:val="single" w:sz="4" w:space="0" w:color="auto"/>
              <w:bottom w:val="single" w:sz="4" w:space="0" w:color="auto"/>
              <w:right w:val="single" w:sz="4" w:space="0" w:color="auto"/>
            </w:tcBorders>
            <w:hideMark/>
          </w:tcPr>
          <w:p w14:paraId="5FBE33C2" w14:textId="77777777" w:rsidR="00BB6BFE" w:rsidRPr="00236E38" w:rsidRDefault="00BB6BFE" w:rsidP="00236E38">
            <w:pPr>
              <w:spacing w:line="360" w:lineRule="auto"/>
              <w:jc w:val="center"/>
              <w:rPr>
                <w:rStyle w:val="normaltextrun"/>
                <w:rFonts w:asciiTheme="minorHAnsi" w:hAnsiTheme="minorHAnsi" w:cstheme="minorHAnsi"/>
                <w:sz w:val="22"/>
                <w:szCs w:val="22"/>
                <w:lang w:bidi="or-IN"/>
              </w:rPr>
            </w:pPr>
            <w:r w:rsidRPr="00236E38">
              <w:rPr>
                <w:rStyle w:val="normaltextrun"/>
                <w:rFonts w:asciiTheme="minorHAnsi" w:hAnsiTheme="minorHAnsi" w:cstheme="minorHAnsi"/>
                <w:sz w:val="22"/>
                <w:szCs w:val="22"/>
                <w:lang w:bidi="or-IN"/>
              </w:rPr>
              <w:t>100%</w:t>
            </w:r>
          </w:p>
        </w:tc>
      </w:tr>
      <w:tr w:rsidR="00BB6BFE" w:rsidRPr="00236E38" w14:paraId="665C6458" w14:textId="77777777" w:rsidTr="00DF7F8A">
        <w:trPr>
          <w:trHeight w:val="291"/>
        </w:trPr>
        <w:tc>
          <w:tcPr>
            <w:tcW w:w="2122" w:type="dxa"/>
            <w:tcBorders>
              <w:top w:val="single" w:sz="4" w:space="0" w:color="auto"/>
              <w:left w:val="single" w:sz="4" w:space="0" w:color="auto"/>
              <w:bottom w:val="single" w:sz="4" w:space="0" w:color="auto"/>
              <w:right w:val="single" w:sz="4" w:space="0" w:color="auto"/>
            </w:tcBorders>
            <w:vAlign w:val="center"/>
            <w:hideMark/>
          </w:tcPr>
          <w:p w14:paraId="57C8D70E" w14:textId="77777777" w:rsidR="00BB6BFE" w:rsidRPr="00236E38" w:rsidRDefault="00BB6BFE" w:rsidP="00236E38">
            <w:pPr>
              <w:spacing w:line="360" w:lineRule="auto"/>
              <w:jc w:val="center"/>
              <w:rPr>
                <w:rStyle w:val="normaltextrun"/>
                <w:rFonts w:asciiTheme="minorHAnsi" w:hAnsiTheme="minorHAnsi" w:cstheme="minorHAnsi"/>
                <w:sz w:val="22"/>
                <w:szCs w:val="22"/>
                <w:lang w:bidi="or-IN"/>
              </w:rPr>
            </w:pPr>
            <w:proofErr w:type="spellStart"/>
            <w:r w:rsidRPr="00236E38">
              <w:rPr>
                <w:rFonts w:asciiTheme="minorHAnsi" w:hAnsiTheme="minorHAnsi" w:cstheme="minorHAnsi"/>
                <w:b/>
                <w:bCs/>
                <w:color w:val="000000"/>
                <w:kern w:val="24"/>
                <w:sz w:val="22"/>
                <w:szCs w:val="22"/>
                <w:lang w:eastAsia="en-IN"/>
              </w:rPr>
              <w:t>Bhadrak</w:t>
            </w:r>
            <w:proofErr w:type="spellEnd"/>
          </w:p>
        </w:tc>
        <w:tc>
          <w:tcPr>
            <w:tcW w:w="2122" w:type="dxa"/>
            <w:tcBorders>
              <w:top w:val="single" w:sz="4" w:space="0" w:color="auto"/>
              <w:left w:val="single" w:sz="4" w:space="0" w:color="auto"/>
              <w:bottom w:val="single" w:sz="4" w:space="0" w:color="auto"/>
              <w:right w:val="single" w:sz="4" w:space="0" w:color="auto"/>
            </w:tcBorders>
            <w:hideMark/>
          </w:tcPr>
          <w:p w14:paraId="4EEF0635" w14:textId="77777777" w:rsidR="00BB6BFE" w:rsidRPr="00236E38" w:rsidRDefault="00BB6BFE" w:rsidP="00236E38">
            <w:pPr>
              <w:spacing w:line="360" w:lineRule="auto"/>
              <w:jc w:val="center"/>
              <w:rPr>
                <w:rStyle w:val="normaltextrun"/>
                <w:rFonts w:asciiTheme="minorHAnsi" w:hAnsiTheme="minorHAnsi" w:cstheme="minorHAnsi"/>
                <w:sz w:val="22"/>
                <w:szCs w:val="22"/>
                <w:lang w:bidi="or-IN"/>
              </w:rPr>
            </w:pPr>
            <w:r w:rsidRPr="00236E38">
              <w:rPr>
                <w:rStyle w:val="normaltextrun"/>
                <w:rFonts w:asciiTheme="minorHAnsi" w:hAnsiTheme="minorHAnsi" w:cstheme="minorHAnsi"/>
                <w:sz w:val="22"/>
                <w:szCs w:val="22"/>
                <w:lang w:bidi="or-IN"/>
              </w:rPr>
              <w:t>1264</w:t>
            </w:r>
          </w:p>
        </w:tc>
        <w:tc>
          <w:tcPr>
            <w:tcW w:w="2122" w:type="dxa"/>
            <w:tcBorders>
              <w:top w:val="single" w:sz="4" w:space="0" w:color="auto"/>
              <w:left w:val="single" w:sz="4" w:space="0" w:color="auto"/>
              <w:bottom w:val="single" w:sz="4" w:space="0" w:color="auto"/>
              <w:right w:val="single" w:sz="4" w:space="0" w:color="auto"/>
            </w:tcBorders>
            <w:hideMark/>
          </w:tcPr>
          <w:p w14:paraId="42CDFC17" w14:textId="77777777" w:rsidR="00BB6BFE" w:rsidRPr="00236E38" w:rsidRDefault="00BB6BFE" w:rsidP="00236E38">
            <w:pPr>
              <w:spacing w:line="360" w:lineRule="auto"/>
              <w:jc w:val="center"/>
              <w:rPr>
                <w:rStyle w:val="normaltextrun"/>
                <w:rFonts w:asciiTheme="minorHAnsi" w:hAnsiTheme="minorHAnsi" w:cstheme="minorHAnsi"/>
                <w:sz w:val="22"/>
                <w:szCs w:val="22"/>
                <w:lang w:bidi="or-IN"/>
              </w:rPr>
            </w:pPr>
            <w:r w:rsidRPr="00236E38">
              <w:rPr>
                <w:rStyle w:val="normaltextrun"/>
                <w:rFonts w:asciiTheme="minorHAnsi" w:hAnsiTheme="minorHAnsi" w:cstheme="minorHAnsi"/>
                <w:sz w:val="22"/>
                <w:szCs w:val="22"/>
                <w:lang w:bidi="or-IN"/>
              </w:rPr>
              <w:t>1264</w:t>
            </w:r>
          </w:p>
        </w:tc>
        <w:tc>
          <w:tcPr>
            <w:tcW w:w="2122" w:type="dxa"/>
            <w:tcBorders>
              <w:top w:val="single" w:sz="4" w:space="0" w:color="auto"/>
              <w:left w:val="single" w:sz="4" w:space="0" w:color="auto"/>
              <w:bottom w:val="single" w:sz="4" w:space="0" w:color="auto"/>
              <w:right w:val="single" w:sz="4" w:space="0" w:color="auto"/>
            </w:tcBorders>
            <w:hideMark/>
          </w:tcPr>
          <w:p w14:paraId="734CDA37" w14:textId="77777777" w:rsidR="00BB6BFE" w:rsidRPr="00236E38" w:rsidRDefault="00BB6BFE" w:rsidP="00236E38">
            <w:pPr>
              <w:spacing w:line="360" w:lineRule="auto"/>
              <w:jc w:val="center"/>
              <w:rPr>
                <w:rStyle w:val="normaltextrun"/>
                <w:rFonts w:asciiTheme="minorHAnsi" w:hAnsiTheme="minorHAnsi" w:cstheme="minorHAnsi"/>
                <w:sz w:val="22"/>
                <w:szCs w:val="22"/>
                <w:lang w:bidi="or-IN"/>
              </w:rPr>
            </w:pPr>
            <w:r w:rsidRPr="00236E38">
              <w:rPr>
                <w:rStyle w:val="normaltextrun"/>
                <w:rFonts w:asciiTheme="minorHAnsi" w:hAnsiTheme="minorHAnsi" w:cstheme="minorHAnsi"/>
                <w:sz w:val="22"/>
                <w:szCs w:val="22"/>
                <w:lang w:bidi="or-IN"/>
              </w:rPr>
              <w:t>100%</w:t>
            </w:r>
          </w:p>
        </w:tc>
      </w:tr>
      <w:tr w:rsidR="00BB6BFE" w:rsidRPr="00236E38" w14:paraId="0B8105D1" w14:textId="77777777" w:rsidTr="00DF7F8A">
        <w:trPr>
          <w:trHeight w:val="302"/>
        </w:trPr>
        <w:tc>
          <w:tcPr>
            <w:tcW w:w="2122" w:type="dxa"/>
            <w:tcBorders>
              <w:top w:val="single" w:sz="4" w:space="0" w:color="auto"/>
              <w:left w:val="single" w:sz="4" w:space="0" w:color="auto"/>
              <w:bottom w:val="single" w:sz="4" w:space="0" w:color="auto"/>
              <w:right w:val="single" w:sz="4" w:space="0" w:color="auto"/>
            </w:tcBorders>
            <w:vAlign w:val="center"/>
            <w:hideMark/>
          </w:tcPr>
          <w:p w14:paraId="01826142" w14:textId="77777777" w:rsidR="00BB6BFE" w:rsidRPr="00236E38" w:rsidRDefault="00BB6BFE" w:rsidP="00236E38">
            <w:pPr>
              <w:spacing w:line="360" w:lineRule="auto"/>
              <w:jc w:val="center"/>
              <w:rPr>
                <w:rStyle w:val="normaltextrun"/>
                <w:rFonts w:asciiTheme="minorHAnsi" w:hAnsiTheme="minorHAnsi" w:cstheme="minorHAnsi"/>
                <w:sz w:val="22"/>
                <w:szCs w:val="22"/>
                <w:lang w:bidi="or-IN"/>
              </w:rPr>
            </w:pPr>
            <w:proofErr w:type="spellStart"/>
            <w:r w:rsidRPr="00236E38">
              <w:rPr>
                <w:rFonts w:asciiTheme="minorHAnsi" w:hAnsiTheme="minorHAnsi" w:cstheme="minorHAnsi"/>
                <w:b/>
                <w:bCs/>
                <w:color w:val="000000"/>
                <w:kern w:val="24"/>
                <w:sz w:val="22"/>
                <w:szCs w:val="22"/>
                <w:lang w:eastAsia="en-IN"/>
              </w:rPr>
              <w:t>Jajpur</w:t>
            </w:r>
            <w:proofErr w:type="spellEnd"/>
          </w:p>
        </w:tc>
        <w:tc>
          <w:tcPr>
            <w:tcW w:w="2122" w:type="dxa"/>
            <w:tcBorders>
              <w:top w:val="single" w:sz="4" w:space="0" w:color="auto"/>
              <w:left w:val="single" w:sz="4" w:space="0" w:color="auto"/>
              <w:bottom w:val="single" w:sz="4" w:space="0" w:color="auto"/>
              <w:right w:val="single" w:sz="4" w:space="0" w:color="auto"/>
            </w:tcBorders>
            <w:hideMark/>
          </w:tcPr>
          <w:p w14:paraId="01D9D9ED" w14:textId="77777777" w:rsidR="00BB6BFE" w:rsidRPr="00236E38" w:rsidRDefault="00BB6BFE" w:rsidP="00236E38">
            <w:pPr>
              <w:spacing w:line="360" w:lineRule="auto"/>
              <w:jc w:val="center"/>
              <w:rPr>
                <w:rStyle w:val="normaltextrun"/>
                <w:rFonts w:asciiTheme="minorHAnsi" w:hAnsiTheme="minorHAnsi" w:cstheme="minorHAnsi"/>
                <w:sz w:val="22"/>
                <w:szCs w:val="22"/>
                <w:lang w:bidi="or-IN"/>
              </w:rPr>
            </w:pPr>
            <w:r w:rsidRPr="00236E38">
              <w:rPr>
                <w:rStyle w:val="normaltextrun"/>
                <w:rFonts w:asciiTheme="minorHAnsi" w:hAnsiTheme="minorHAnsi" w:cstheme="minorHAnsi"/>
                <w:sz w:val="22"/>
                <w:szCs w:val="22"/>
                <w:lang w:bidi="or-IN"/>
              </w:rPr>
              <w:t>1635</w:t>
            </w:r>
          </w:p>
        </w:tc>
        <w:tc>
          <w:tcPr>
            <w:tcW w:w="2122" w:type="dxa"/>
            <w:tcBorders>
              <w:top w:val="single" w:sz="4" w:space="0" w:color="auto"/>
              <w:left w:val="single" w:sz="4" w:space="0" w:color="auto"/>
              <w:bottom w:val="single" w:sz="4" w:space="0" w:color="auto"/>
              <w:right w:val="single" w:sz="4" w:space="0" w:color="auto"/>
            </w:tcBorders>
            <w:hideMark/>
          </w:tcPr>
          <w:p w14:paraId="1D8A0E60" w14:textId="77777777" w:rsidR="00BB6BFE" w:rsidRPr="00236E38" w:rsidRDefault="00BB6BFE" w:rsidP="00236E38">
            <w:pPr>
              <w:spacing w:line="360" w:lineRule="auto"/>
              <w:jc w:val="center"/>
              <w:rPr>
                <w:rStyle w:val="normaltextrun"/>
                <w:rFonts w:asciiTheme="minorHAnsi" w:hAnsiTheme="minorHAnsi" w:cstheme="minorHAnsi"/>
                <w:sz w:val="22"/>
                <w:szCs w:val="22"/>
                <w:lang w:bidi="or-IN"/>
              </w:rPr>
            </w:pPr>
            <w:r w:rsidRPr="00236E38">
              <w:rPr>
                <w:rStyle w:val="normaltextrun"/>
                <w:rFonts w:asciiTheme="minorHAnsi" w:hAnsiTheme="minorHAnsi" w:cstheme="minorHAnsi"/>
                <w:sz w:val="22"/>
                <w:szCs w:val="22"/>
                <w:lang w:bidi="or-IN"/>
              </w:rPr>
              <w:t>1635</w:t>
            </w:r>
          </w:p>
        </w:tc>
        <w:tc>
          <w:tcPr>
            <w:tcW w:w="2122" w:type="dxa"/>
            <w:tcBorders>
              <w:top w:val="single" w:sz="4" w:space="0" w:color="auto"/>
              <w:left w:val="single" w:sz="4" w:space="0" w:color="auto"/>
              <w:bottom w:val="single" w:sz="4" w:space="0" w:color="auto"/>
              <w:right w:val="single" w:sz="4" w:space="0" w:color="auto"/>
            </w:tcBorders>
            <w:hideMark/>
          </w:tcPr>
          <w:p w14:paraId="54563D78" w14:textId="77777777" w:rsidR="00BB6BFE" w:rsidRPr="00236E38" w:rsidRDefault="00BB6BFE" w:rsidP="00236E38">
            <w:pPr>
              <w:spacing w:line="360" w:lineRule="auto"/>
              <w:jc w:val="center"/>
              <w:rPr>
                <w:rStyle w:val="normaltextrun"/>
                <w:rFonts w:asciiTheme="minorHAnsi" w:hAnsiTheme="minorHAnsi" w:cstheme="minorHAnsi"/>
                <w:sz w:val="22"/>
                <w:szCs w:val="22"/>
                <w:lang w:bidi="or-IN"/>
              </w:rPr>
            </w:pPr>
            <w:r w:rsidRPr="00236E38">
              <w:rPr>
                <w:rStyle w:val="normaltextrun"/>
                <w:rFonts w:asciiTheme="minorHAnsi" w:hAnsiTheme="minorHAnsi" w:cstheme="minorHAnsi"/>
                <w:sz w:val="22"/>
                <w:szCs w:val="22"/>
                <w:lang w:bidi="or-IN"/>
              </w:rPr>
              <w:t>100%</w:t>
            </w:r>
          </w:p>
        </w:tc>
      </w:tr>
      <w:tr w:rsidR="00BB6BFE" w:rsidRPr="00236E38" w14:paraId="2361C242" w14:textId="77777777" w:rsidTr="00DF7F8A">
        <w:trPr>
          <w:trHeight w:val="291"/>
        </w:trPr>
        <w:tc>
          <w:tcPr>
            <w:tcW w:w="2122" w:type="dxa"/>
            <w:tcBorders>
              <w:top w:val="single" w:sz="4" w:space="0" w:color="auto"/>
              <w:left w:val="single" w:sz="4" w:space="0" w:color="auto"/>
              <w:bottom w:val="single" w:sz="4" w:space="0" w:color="auto"/>
              <w:right w:val="single" w:sz="4" w:space="0" w:color="auto"/>
            </w:tcBorders>
            <w:vAlign w:val="center"/>
            <w:hideMark/>
          </w:tcPr>
          <w:p w14:paraId="6FC8DD38" w14:textId="77777777" w:rsidR="00BB6BFE" w:rsidRPr="00236E38" w:rsidRDefault="00BB6BFE" w:rsidP="00236E38">
            <w:pPr>
              <w:spacing w:line="360" w:lineRule="auto"/>
              <w:jc w:val="center"/>
              <w:rPr>
                <w:rStyle w:val="normaltextrun"/>
                <w:rFonts w:asciiTheme="minorHAnsi" w:hAnsiTheme="minorHAnsi" w:cstheme="minorHAnsi"/>
                <w:sz w:val="22"/>
                <w:szCs w:val="22"/>
                <w:lang w:bidi="or-IN"/>
              </w:rPr>
            </w:pPr>
            <w:proofErr w:type="spellStart"/>
            <w:r w:rsidRPr="00236E38">
              <w:rPr>
                <w:rFonts w:asciiTheme="minorHAnsi" w:hAnsiTheme="minorHAnsi" w:cstheme="minorHAnsi"/>
                <w:b/>
                <w:bCs/>
                <w:color w:val="000000"/>
                <w:kern w:val="24"/>
                <w:sz w:val="22"/>
                <w:szCs w:val="22"/>
                <w:lang w:eastAsia="en-IN"/>
              </w:rPr>
              <w:t>Keonjhar</w:t>
            </w:r>
            <w:proofErr w:type="spellEnd"/>
          </w:p>
        </w:tc>
        <w:tc>
          <w:tcPr>
            <w:tcW w:w="2122" w:type="dxa"/>
            <w:tcBorders>
              <w:top w:val="single" w:sz="4" w:space="0" w:color="auto"/>
              <w:left w:val="single" w:sz="4" w:space="0" w:color="auto"/>
              <w:bottom w:val="single" w:sz="4" w:space="0" w:color="auto"/>
              <w:right w:val="single" w:sz="4" w:space="0" w:color="auto"/>
            </w:tcBorders>
            <w:hideMark/>
          </w:tcPr>
          <w:p w14:paraId="07DB9353" w14:textId="77777777" w:rsidR="00BB6BFE" w:rsidRPr="00236E38" w:rsidRDefault="00BB6BFE" w:rsidP="00236E38">
            <w:pPr>
              <w:spacing w:line="360" w:lineRule="auto"/>
              <w:jc w:val="center"/>
              <w:rPr>
                <w:rStyle w:val="normaltextrun"/>
                <w:rFonts w:asciiTheme="minorHAnsi" w:hAnsiTheme="minorHAnsi" w:cstheme="minorHAnsi"/>
                <w:sz w:val="22"/>
                <w:szCs w:val="22"/>
                <w:lang w:bidi="or-IN"/>
              </w:rPr>
            </w:pPr>
            <w:r w:rsidRPr="00236E38">
              <w:rPr>
                <w:rStyle w:val="normaltextrun"/>
                <w:rFonts w:asciiTheme="minorHAnsi" w:hAnsiTheme="minorHAnsi" w:cstheme="minorHAnsi"/>
                <w:sz w:val="22"/>
                <w:szCs w:val="22"/>
                <w:lang w:bidi="or-IN"/>
              </w:rPr>
              <w:t>1177</w:t>
            </w:r>
          </w:p>
        </w:tc>
        <w:tc>
          <w:tcPr>
            <w:tcW w:w="2122" w:type="dxa"/>
            <w:tcBorders>
              <w:top w:val="single" w:sz="4" w:space="0" w:color="auto"/>
              <w:left w:val="single" w:sz="4" w:space="0" w:color="auto"/>
              <w:bottom w:val="single" w:sz="4" w:space="0" w:color="auto"/>
              <w:right w:val="single" w:sz="4" w:space="0" w:color="auto"/>
            </w:tcBorders>
            <w:hideMark/>
          </w:tcPr>
          <w:p w14:paraId="0DAF92E0" w14:textId="77777777" w:rsidR="00BB6BFE" w:rsidRPr="00236E38" w:rsidRDefault="00BB6BFE" w:rsidP="00236E38">
            <w:pPr>
              <w:spacing w:line="360" w:lineRule="auto"/>
              <w:jc w:val="center"/>
              <w:rPr>
                <w:rStyle w:val="normaltextrun"/>
                <w:rFonts w:asciiTheme="minorHAnsi" w:hAnsiTheme="minorHAnsi" w:cstheme="minorHAnsi"/>
                <w:sz w:val="22"/>
                <w:szCs w:val="22"/>
                <w:lang w:bidi="or-IN"/>
              </w:rPr>
            </w:pPr>
            <w:r w:rsidRPr="00236E38">
              <w:rPr>
                <w:rStyle w:val="normaltextrun"/>
                <w:rFonts w:asciiTheme="minorHAnsi" w:hAnsiTheme="minorHAnsi" w:cstheme="minorHAnsi"/>
                <w:sz w:val="22"/>
                <w:szCs w:val="22"/>
                <w:lang w:bidi="or-IN"/>
              </w:rPr>
              <w:t>1177</w:t>
            </w:r>
          </w:p>
        </w:tc>
        <w:tc>
          <w:tcPr>
            <w:tcW w:w="2122" w:type="dxa"/>
            <w:tcBorders>
              <w:top w:val="single" w:sz="4" w:space="0" w:color="auto"/>
              <w:left w:val="single" w:sz="4" w:space="0" w:color="auto"/>
              <w:bottom w:val="single" w:sz="4" w:space="0" w:color="auto"/>
              <w:right w:val="single" w:sz="4" w:space="0" w:color="auto"/>
            </w:tcBorders>
            <w:hideMark/>
          </w:tcPr>
          <w:p w14:paraId="23A245F0" w14:textId="77777777" w:rsidR="00BB6BFE" w:rsidRPr="00236E38" w:rsidRDefault="00BB6BFE" w:rsidP="00236E38">
            <w:pPr>
              <w:spacing w:line="360" w:lineRule="auto"/>
              <w:jc w:val="center"/>
              <w:rPr>
                <w:rStyle w:val="normaltextrun"/>
                <w:rFonts w:asciiTheme="minorHAnsi" w:hAnsiTheme="minorHAnsi" w:cstheme="minorHAnsi"/>
                <w:sz w:val="22"/>
                <w:szCs w:val="22"/>
                <w:lang w:bidi="or-IN"/>
              </w:rPr>
            </w:pPr>
            <w:r w:rsidRPr="00236E38">
              <w:rPr>
                <w:rStyle w:val="normaltextrun"/>
                <w:rFonts w:asciiTheme="minorHAnsi" w:hAnsiTheme="minorHAnsi" w:cstheme="minorHAnsi"/>
                <w:sz w:val="22"/>
                <w:szCs w:val="22"/>
                <w:lang w:bidi="or-IN"/>
              </w:rPr>
              <w:t>100%</w:t>
            </w:r>
          </w:p>
        </w:tc>
      </w:tr>
      <w:tr w:rsidR="00BB6BFE" w:rsidRPr="00236E38" w14:paraId="6DA10A0C" w14:textId="77777777" w:rsidTr="00DF7F8A">
        <w:trPr>
          <w:trHeight w:val="291"/>
        </w:trPr>
        <w:tc>
          <w:tcPr>
            <w:tcW w:w="2122" w:type="dxa"/>
            <w:tcBorders>
              <w:top w:val="single" w:sz="4" w:space="0" w:color="auto"/>
              <w:left w:val="single" w:sz="4" w:space="0" w:color="auto"/>
              <w:bottom w:val="single" w:sz="4" w:space="0" w:color="auto"/>
              <w:right w:val="single" w:sz="4" w:space="0" w:color="auto"/>
            </w:tcBorders>
            <w:shd w:val="clear" w:color="auto" w:fill="95B3D7" w:themeFill="accent1" w:themeFillTint="99"/>
            <w:vAlign w:val="center"/>
            <w:hideMark/>
          </w:tcPr>
          <w:p w14:paraId="78662F0C" w14:textId="77777777" w:rsidR="00BB6BFE" w:rsidRPr="00DF7F8A" w:rsidRDefault="00BB6BFE" w:rsidP="00236E38">
            <w:pPr>
              <w:spacing w:line="360" w:lineRule="auto"/>
              <w:jc w:val="center"/>
              <w:rPr>
                <w:rStyle w:val="normaltextrun"/>
                <w:rFonts w:asciiTheme="minorHAnsi" w:hAnsiTheme="minorHAnsi" w:cstheme="minorHAnsi"/>
                <w:color w:val="000000" w:themeColor="text1"/>
                <w:sz w:val="22"/>
                <w:szCs w:val="22"/>
                <w:lang w:bidi="or-IN"/>
              </w:rPr>
            </w:pPr>
            <w:r w:rsidRPr="00DF7F8A">
              <w:rPr>
                <w:rFonts w:asciiTheme="minorHAnsi" w:hAnsiTheme="minorHAnsi" w:cstheme="minorHAnsi"/>
                <w:b/>
                <w:bCs/>
                <w:color w:val="000000" w:themeColor="text1"/>
                <w:kern w:val="24"/>
                <w:sz w:val="22"/>
                <w:szCs w:val="22"/>
                <w:lang w:eastAsia="en-IN"/>
              </w:rPr>
              <w:t>Total</w:t>
            </w:r>
          </w:p>
        </w:tc>
        <w:tc>
          <w:tcPr>
            <w:tcW w:w="2122" w:type="dxa"/>
            <w:tcBorders>
              <w:top w:val="single" w:sz="4" w:space="0" w:color="auto"/>
              <w:left w:val="single" w:sz="4" w:space="0" w:color="auto"/>
              <w:bottom w:val="single" w:sz="4" w:space="0" w:color="auto"/>
              <w:right w:val="single" w:sz="4" w:space="0" w:color="auto"/>
            </w:tcBorders>
            <w:shd w:val="clear" w:color="auto" w:fill="95B3D7" w:themeFill="accent1" w:themeFillTint="99"/>
            <w:hideMark/>
          </w:tcPr>
          <w:p w14:paraId="0327CDBC" w14:textId="77777777" w:rsidR="00BB6BFE" w:rsidRPr="00DF7F8A" w:rsidRDefault="00BB6BFE" w:rsidP="00236E38">
            <w:pPr>
              <w:spacing w:line="360" w:lineRule="auto"/>
              <w:jc w:val="center"/>
              <w:rPr>
                <w:rStyle w:val="normaltextrun"/>
                <w:rFonts w:asciiTheme="minorHAnsi" w:hAnsiTheme="minorHAnsi" w:cstheme="minorHAnsi"/>
                <w:b/>
                <w:color w:val="000000" w:themeColor="text1"/>
                <w:sz w:val="22"/>
                <w:szCs w:val="22"/>
                <w:lang w:bidi="or-IN"/>
              </w:rPr>
            </w:pPr>
            <w:r w:rsidRPr="00DF7F8A">
              <w:rPr>
                <w:rStyle w:val="normaltextrun"/>
                <w:rFonts w:asciiTheme="minorHAnsi" w:hAnsiTheme="minorHAnsi" w:cstheme="minorHAnsi"/>
                <w:b/>
                <w:color w:val="000000" w:themeColor="text1"/>
                <w:sz w:val="22"/>
                <w:szCs w:val="22"/>
                <w:lang w:bidi="or-IN"/>
              </w:rPr>
              <w:t>8202</w:t>
            </w:r>
          </w:p>
        </w:tc>
        <w:tc>
          <w:tcPr>
            <w:tcW w:w="2122" w:type="dxa"/>
            <w:tcBorders>
              <w:top w:val="single" w:sz="4" w:space="0" w:color="auto"/>
              <w:left w:val="single" w:sz="4" w:space="0" w:color="auto"/>
              <w:bottom w:val="single" w:sz="4" w:space="0" w:color="auto"/>
              <w:right w:val="single" w:sz="4" w:space="0" w:color="auto"/>
            </w:tcBorders>
            <w:shd w:val="clear" w:color="auto" w:fill="95B3D7" w:themeFill="accent1" w:themeFillTint="99"/>
            <w:hideMark/>
          </w:tcPr>
          <w:p w14:paraId="290C47D7" w14:textId="77777777" w:rsidR="00BB6BFE" w:rsidRPr="00DF7F8A" w:rsidRDefault="00BB6BFE" w:rsidP="00236E38">
            <w:pPr>
              <w:spacing w:line="360" w:lineRule="auto"/>
              <w:jc w:val="center"/>
              <w:rPr>
                <w:rStyle w:val="normaltextrun"/>
                <w:rFonts w:asciiTheme="minorHAnsi" w:hAnsiTheme="minorHAnsi" w:cstheme="minorHAnsi"/>
                <w:b/>
                <w:color w:val="000000" w:themeColor="text1"/>
                <w:sz w:val="22"/>
                <w:szCs w:val="22"/>
                <w:lang w:bidi="or-IN"/>
              </w:rPr>
            </w:pPr>
            <w:r w:rsidRPr="00DF7F8A">
              <w:rPr>
                <w:rStyle w:val="normaltextrun"/>
                <w:rFonts w:asciiTheme="minorHAnsi" w:hAnsiTheme="minorHAnsi" w:cstheme="minorHAnsi"/>
                <w:b/>
                <w:color w:val="000000" w:themeColor="text1"/>
                <w:sz w:val="22"/>
                <w:szCs w:val="22"/>
                <w:lang w:bidi="or-IN"/>
              </w:rPr>
              <w:t>8202</w:t>
            </w:r>
          </w:p>
        </w:tc>
        <w:tc>
          <w:tcPr>
            <w:tcW w:w="2122" w:type="dxa"/>
            <w:tcBorders>
              <w:top w:val="single" w:sz="4" w:space="0" w:color="auto"/>
              <w:left w:val="single" w:sz="4" w:space="0" w:color="auto"/>
              <w:bottom w:val="single" w:sz="4" w:space="0" w:color="auto"/>
              <w:right w:val="single" w:sz="4" w:space="0" w:color="auto"/>
            </w:tcBorders>
            <w:shd w:val="clear" w:color="auto" w:fill="95B3D7" w:themeFill="accent1" w:themeFillTint="99"/>
            <w:hideMark/>
          </w:tcPr>
          <w:p w14:paraId="572CD2D5" w14:textId="77777777" w:rsidR="00BB6BFE" w:rsidRPr="00DF7F8A" w:rsidRDefault="00BB6BFE" w:rsidP="00236E38">
            <w:pPr>
              <w:spacing w:line="360" w:lineRule="auto"/>
              <w:jc w:val="center"/>
              <w:rPr>
                <w:rStyle w:val="normaltextrun"/>
                <w:rFonts w:asciiTheme="minorHAnsi" w:hAnsiTheme="minorHAnsi" w:cstheme="minorHAnsi"/>
                <w:b/>
                <w:color w:val="000000" w:themeColor="text1"/>
                <w:sz w:val="22"/>
                <w:szCs w:val="22"/>
                <w:lang w:bidi="or-IN"/>
              </w:rPr>
            </w:pPr>
            <w:r w:rsidRPr="00DF7F8A">
              <w:rPr>
                <w:rStyle w:val="normaltextrun"/>
                <w:rFonts w:asciiTheme="minorHAnsi" w:hAnsiTheme="minorHAnsi" w:cstheme="minorHAnsi"/>
                <w:b/>
                <w:color w:val="000000" w:themeColor="text1"/>
                <w:sz w:val="22"/>
                <w:szCs w:val="22"/>
                <w:lang w:bidi="or-IN"/>
              </w:rPr>
              <w:t>100%</w:t>
            </w:r>
          </w:p>
        </w:tc>
      </w:tr>
    </w:tbl>
    <w:p w14:paraId="560B51F0" w14:textId="77777777" w:rsidR="00BB6BFE" w:rsidRPr="00236E38" w:rsidRDefault="00BB6BFE" w:rsidP="00236E38">
      <w:pPr>
        <w:spacing w:line="360" w:lineRule="auto"/>
        <w:jc w:val="both"/>
        <w:rPr>
          <w:rStyle w:val="normaltextrun"/>
          <w:rFonts w:asciiTheme="minorHAnsi" w:hAnsiTheme="minorHAnsi" w:cstheme="minorHAnsi"/>
          <w:sz w:val="22"/>
          <w:szCs w:val="22"/>
          <w:lang w:bidi="or-IN"/>
        </w:rPr>
      </w:pPr>
    </w:p>
    <w:p w14:paraId="0B534D77" w14:textId="5A8C3BF9" w:rsidR="00BB6BFE" w:rsidRDefault="00BB6BFE" w:rsidP="00DF7F8A">
      <w:pPr>
        <w:spacing w:line="360" w:lineRule="auto"/>
        <w:ind w:left="851"/>
        <w:jc w:val="both"/>
        <w:rPr>
          <w:rStyle w:val="normaltextrun"/>
          <w:rFonts w:asciiTheme="minorHAnsi" w:hAnsiTheme="minorHAnsi" w:cstheme="minorHAnsi"/>
          <w:sz w:val="22"/>
          <w:szCs w:val="22"/>
          <w:lang w:bidi="or-IN"/>
        </w:rPr>
      </w:pPr>
      <w:r w:rsidRPr="00236E38">
        <w:rPr>
          <w:rStyle w:val="normaltextrun"/>
          <w:rFonts w:asciiTheme="minorHAnsi" w:hAnsiTheme="minorHAnsi" w:cstheme="minorHAnsi"/>
          <w:sz w:val="22"/>
          <w:szCs w:val="22"/>
          <w:lang w:bidi="or-IN"/>
        </w:rPr>
        <w:t xml:space="preserve">Currently, all 8202 DTs of capacity more than 100KVA are equipped with these smart meters and integrated with MDM.  In addition to real-time data acquisition, these smart meters are </w:t>
      </w:r>
      <w:r w:rsidR="00DF7F8A" w:rsidRPr="00236E38">
        <w:rPr>
          <w:rStyle w:val="normaltextrun"/>
          <w:rFonts w:asciiTheme="minorHAnsi" w:hAnsiTheme="minorHAnsi" w:cstheme="minorHAnsi"/>
          <w:sz w:val="22"/>
          <w:szCs w:val="22"/>
          <w:lang w:bidi="or-IN"/>
        </w:rPr>
        <w:t>being used</w:t>
      </w:r>
      <w:r w:rsidRPr="00236E38">
        <w:rPr>
          <w:rStyle w:val="normaltextrun"/>
          <w:rFonts w:asciiTheme="minorHAnsi" w:hAnsiTheme="minorHAnsi" w:cstheme="minorHAnsi"/>
          <w:sz w:val="22"/>
          <w:szCs w:val="22"/>
          <w:lang w:bidi="or-IN"/>
        </w:rPr>
        <w:t xml:space="preserve"> to monitor DT parameters remotely for driving operational and commercial excellence initiatives. GIS mappings are also integrated with the smart meters of DTs in order to provide accurate energy flow mapping up to the DT level in the GIS.</w:t>
      </w:r>
    </w:p>
    <w:p w14:paraId="50E5983F" w14:textId="77777777" w:rsidR="002B5470" w:rsidRPr="00236E38" w:rsidRDefault="002B5470" w:rsidP="00DF7F8A">
      <w:pPr>
        <w:spacing w:line="360" w:lineRule="auto"/>
        <w:ind w:left="851"/>
        <w:jc w:val="both"/>
        <w:rPr>
          <w:rStyle w:val="normaltextrun"/>
          <w:rFonts w:asciiTheme="minorHAnsi" w:hAnsiTheme="minorHAnsi" w:cstheme="minorHAnsi"/>
          <w:sz w:val="22"/>
          <w:szCs w:val="22"/>
          <w:lang w:bidi="or-IN"/>
        </w:rPr>
      </w:pPr>
    </w:p>
    <w:p w14:paraId="15CF8994" w14:textId="77777777" w:rsidR="00BB6BFE" w:rsidRPr="00236E38" w:rsidRDefault="00BB6BFE" w:rsidP="00DF7F8A">
      <w:pPr>
        <w:spacing w:line="360" w:lineRule="auto"/>
        <w:ind w:left="851"/>
        <w:jc w:val="both"/>
        <w:rPr>
          <w:rStyle w:val="normaltextrun"/>
          <w:rFonts w:asciiTheme="minorHAnsi" w:hAnsiTheme="minorHAnsi" w:cstheme="minorHAnsi"/>
          <w:sz w:val="22"/>
          <w:szCs w:val="22"/>
          <w:lang w:bidi="or-IN"/>
        </w:rPr>
      </w:pPr>
      <w:r w:rsidRPr="00236E38">
        <w:rPr>
          <w:rStyle w:val="normaltextrun"/>
          <w:rFonts w:asciiTheme="minorHAnsi" w:hAnsiTheme="minorHAnsi" w:cstheme="minorHAnsi"/>
          <w:sz w:val="22"/>
          <w:szCs w:val="22"/>
          <w:lang w:bidi="or-IN"/>
        </w:rPr>
        <w:t xml:space="preserve">With this initiative, it is feasible to perform energy audit up to those DT level to identify the energy losses and formulate the loss mitigation plan.  </w:t>
      </w:r>
    </w:p>
    <w:p w14:paraId="55DDA0D8" w14:textId="77777777" w:rsidR="00BB6BFE" w:rsidRPr="00236E38" w:rsidRDefault="00BB6BFE" w:rsidP="00236E38">
      <w:pPr>
        <w:tabs>
          <w:tab w:val="left" w:pos="900"/>
          <w:tab w:val="left" w:pos="2160"/>
        </w:tabs>
        <w:spacing w:line="360" w:lineRule="auto"/>
        <w:rPr>
          <w:rFonts w:asciiTheme="minorHAnsi" w:hAnsiTheme="minorHAnsi" w:cstheme="minorHAnsi"/>
          <w:bCs/>
          <w:sz w:val="22"/>
          <w:szCs w:val="22"/>
        </w:rPr>
      </w:pPr>
    </w:p>
    <w:p w14:paraId="65E95E66" w14:textId="5DE98195" w:rsidR="00E0321D" w:rsidRDefault="00EA2886" w:rsidP="00E0321D">
      <w:pPr>
        <w:autoSpaceDE w:val="0"/>
        <w:autoSpaceDN w:val="0"/>
        <w:adjustRightInd w:val="0"/>
        <w:spacing w:line="360" w:lineRule="auto"/>
        <w:jc w:val="both"/>
        <w:rPr>
          <w:rFonts w:asciiTheme="minorHAnsi" w:hAnsiTheme="minorHAnsi" w:cstheme="minorHAnsi"/>
          <w:b/>
          <w:sz w:val="22"/>
          <w:szCs w:val="22"/>
        </w:rPr>
      </w:pPr>
      <w:r w:rsidRPr="00153204">
        <w:rPr>
          <w:rFonts w:asciiTheme="minorHAnsi" w:hAnsiTheme="minorHAnsi" w:cstheme="minorHAnsi"/>
          <w:b/>
          <w:noProof/>
          <w:sz w:val="22"/>
          <w:szCs w:val="22"/>
          <w:lang w:val="en-IN" w:eastAsia="en-IN"/>
        </w:rPr>
        <mc:AlternateContent>
          <mc:Choice Requires="wps">
            <w:drawing>
              <wp:anchor distT="0" distB="0" distL="114300" distR="114300" simplePos="0" relativeHeight="251651072" behindDoc="0" locked="0" layoutInCell="1" allowOverlap="1" wp14:anchorId="2B1C0EC0" wp14:editId="74F14F26">
                <wp:simplePos x="0" y="0"/>
                <wp:positionH relativeFrom="margin">
                  <wp:posOffset>375285</wp:posOffset>
                </wp:positionH>
                <wp:positionV relativeFrom="paragraph">
                  <wp:posOffset>9525</wp:posOffset>
                </wp:positionV>
                <wp:extent cx="5715000" cy="321945"/>
                <wp:effectExtent l="0" t="0" r="19050" b="20955"/>
                <wp:wrapNone/>
                <wp:docPr id="32" name="Rectangle 1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715000" cy="321945"/>
                        </a:xfrm>
                        <a:prstGeom prst="rect">
                          <a:avLst/>
                        </a:prstGeom>
                        <a:solidFill>
                          <a:srgbClr val="1F497D">
                            <a:lumMod val="20000"/>
                            <a:lumOff val="80000"/>
                          </a:srgbClr>
                        </a:solidFill>
                        <a:ln w="9525">
                          <a:solidFill>
                            <a:srgbClr val="000000"/>
                          </a:solidFill>
                          <a:miter lim="800000"/>
                          <a:headEnd/>
                          <a:tailEnd/>
                        </a:ln>
                      </wps:spPr>
                      <wps:txbx>
                        <w:txbxContent>
                          <w:p w14:paraId="7B3C99C4" w14:textId="559CE342" w:rsidR="00535B24" w:rsidRPr="00531EE6" w:rsidRDefault="00535B24" w:rsidP="00212D7F">
                            <w:pPr>
                              <w:rPr>
                                <w:rFonts w:asciiTheme="minorHAnsi" w:hAnsiTheme="minorHAnsi" w:cstheme="minorHAnsi"/>
                                <w:b/>
                                <w:sz w:val="28"/>
                                <w:szCs w:val="28"/>
                                <w:lang w:val="en-IN"/>
                              </w:rPr>
                            </w:pPr>
                            <w:r>
                              <w:rPr>
                                <w:rFonts w:asciiTheme="minorHAnsi" w:hAnsiTheme="minorHAnsi" w:cstheme="minorHAnsi"/>
                                <w:b/>
                                <w:sz w:val="28"/>
                                <w:szCs w:val="28"/>
                                <w:lang w:val="en-IN"/>
                              </w:rPr>
                              <w:t>9</w:t>
                            </w:r>
                            <w:r w:rsidRPr="00531EE6">
                              <w:rPr>
                                <w:rFonts w:asciiTheme="minorHAnsi" w:hAnsiTheme="minorHAnsi" w:cstheme="minorHAnsi"/>
                                <w:b/>
                                <w:sz w:val="28"/>
                                <w:szCs w:val="28"/>
                                <w:lang w:val="en-IN"/>
                              </w:rPr>
                              <w:t>. Tariff Rationalisation Measures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B1C0EC0" id="_x0000_s1056" style="position:absolute;left:0;text-align:left;margin-left:29.55pt;margin-top:.75pt;width:450pt;height:25.35pt;z-index:25165107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" fillcolor="#c6d9f1">
                <v:textbox>
                  <w:txbxContent>
                    <w:p w14:paraId="7B3C99C4" w14:textId="559CE342" w:rsidR="00535B24" w:rsidRPr="00531EE6" w:rsidRDefault="00535B24" w:rsidP="00212D7F">
                      <w:pPr>
                        <w:rPr>
                          <w:rFonts w:asciiTheme="minorHAnsi" w:hAnsiTheme="minorHAnsi" w:cstheme="minorHAnsi"/>
                          <w:b/>
                          <w:sz w:val="28"/>
                          <w:szCs w:val="28"/>
                          <w:lang w:val="en-IN"/>
                        </w:rPr>
                      </w:pPr>
                      <w:r>
                        <w:rPr>
                          <w:rFonts w:asciiTheme="minorHAnsi" w:hAnsiTheme="minorHAnsi" w:cstheme="minorHAnsi"/>
                          <w:b/>
                          <w:sz w:val="28"/>
                          <w:szCs w:val="28"/>
                          <w:lang w:val="en-IN"/>
                        </w:rPr>
                        <w:t>9</w:t>
                      </w:r>
                      <w:r w:rsidRPr="00531EE6">
                        <w:rPr>
                          <w:rFonts w:asciiTheme="minorHAnsi" w:hAnsiTheme="minorHAnsi" w:cstheme="minorHAnsi"/>
                          <w:b/>
                          <w:sz w:val="28"/>
                          <w:szCs w:val="28"/>
                          <w:lang w:val="en-IN"/>
                        </w:rPr>
                        <w:t>. Tariff Rationalisation Measures</w:t>
                      </w:r>
                    </w:p>
                  </w:txbxContent>
                </v:textbox>
                <w10:wrap anchorx="margin"/>
              </v:rect>
            </w:pict>
          </mc:Fallback>
        </mc:AlternateContent>
      </w:r>
      <w:bookmarkStart w:id="9" w:name="_Toc152180127"/>
      <w:bookmarkStart w:id="10" w:name="_Hlk120636389"/>
      <w:bookmarkStart w:id="11" w:name="_Hlk183609406"/>
    </w:p>
    <w:p w14:paraId="621D26FD" w14:textId="77777777" w:rsidR="00E0321D" w:rsidRPr="00E0321D" w:rsidRDefault="00E0321D" w:rsidP="00E0321D">
      <w:pPr>
        <w:autoSpaceDE w:val="0"/>
        <w:autoSpaceDN w:val="0"/>
        <w:adjustRightInd w:val="0"/>
        <w:spacing w:line="360" w:lineRule="auto"/>
        <w:jc w:val="both"/>
        <w:rPr>
          <w:rFonts w:asciiTheme="minorHAnsi" w:hAnsiTheme="minorHAnsi" w:cstheme="minorHAnsi"/>
          <w:b/>
          <w:sz w:val="22"/>
          <w:szCs w:val="22"/>
        </w:rPr>
      </w:pPr>
    </w:p>
    <w:p w14:paraId="5BB23E16" w14:textId="44D76704" w:rsidR="009942AF" w:rsidRPr="00E0321D" w:rsidRDefault="009942AF" w:rsidP="00E0321D">
      <w:pPr>
        <w:keepNext/>
        <w:spacing w:before="240" w:after="60" w:line="360" w:lineRule="auto"/>
        <w:ind w:left="540"/>
        <w:jc w:val="both"/>
        <w:outlineLvl w:val="0"/>
        <w:rPr>
          <w:rFonts w:ascii="Calibri" w:hAnsi="Calibri" w:cs="Calibri"/>
          <w:b/>
          <w:bCs/>
          <w:kern w:val="32"/>
        </w:rPr>
      </w:pPr>
      <w:r w:rsidRPr="009942AF">
        <w:rPr>
          <w:rFonts w:ascii="Calibri" w:hAnsi="Calibri" w:cs="Calibri"/>
          <w:b/>
          <w:bCs/>
          <w:kern w:val="32"/>
        </w:rPr>
        <w:t>9.1 Tariff Proposals and Rationalization Measures</w:t>
      </w:r>
      <w:bookmarkEnd w:id="9"/>
    </w:p>
    <w:p w14:paraId="6004AE27" w14:textId="77777777" w:rsidR="009942AF" w:rsidRPr="009942AF" w:rsidRDefault="009942AF" w:rsidP="009942AF">
      <w:pPr>
        <w:keepNext/>
        <w:spacing w:before="240" w:after="60" w:line="360" w:lineRule="auto"/>
        <w:ind w:left="567"/>
        <w:contextualSpacing/>
        <w:jc w:val="both"/>
        <w:outlineLvl w:val="0"/>
        <w:rPr>
          <w:rFonts w:ascii="Calibri" w:eastAsia="Calibri" w:hAnsi="Calibri" w:cs="Calibri"/>
          <w:sz w:val="22"/>
          <w:szCs w:val="22"/>
        </w:rPr>
      </w:pPr>
      <w:r w:rsidRPr="009942AF">
        <w:rPr>
          <w:rFonts w:ascii="Calibri" w:eastAsia="Calibri" w:hAnsi="Calibri" w:cs="Calibri"/>
          <w:sz w:val="22"/>
          <w:szCs w:val="22"/>
        </w:rPr>
        <w:t>The Hon’ble Commission has taken immense steps in introducing a number of new schemes through which all the consumers across all the licensees could be able to avail reliable power supply at affordable rate. Specifically, for industries a competitive tariff in compared to industrial tariff of adjacent States.  The licensee again proposes the continuity of this scheme along with other schemes in the coming years with certain modifications wherever required. The required modification has been suggested in the foregoing paragraphs.</w:t>
      </w:r>
    </w:p>
    <w:p w14:paraId="2E99F80B" w14:textId="77777777" w:rsidR="009942AF" w:rsidRPr="009942AF" w:rsidRDefault="009942AF" w:rsidP="009942AF">
      <w:pPr>
        <w:keepNext/>
        <w:spacing w:before="240" w:after="60" w:line="360" w:lineRule="auto"/>
        <w:ind w:left="960"/>
        <w:contextualSpacing/>
        <w:jc w:val="both"/>
        <w:outlineLvl w:val="0"/>
        <w:rPr>
          <w:rFonts w:ascii="Calibri" w:eastAsia="Calibri" w:hAnsi="Calibri" w:cs="Calibri"/>
          <w:sz w:val="22"/>
          <w:szCs w:val="22"/>
        </w:rPr>
      </w:pPr>
    </w:p>
    <w:p w14:paraId="63CD8AB9" w14:textId="77777777" w:rsidR="009942AF" w:rsidRPr="009942AF" w:rsidRDefault="009942AF" w:rsidP="009942AF">
      <w:pPr>
        <w:keepNext/>
        <w:spacing w:before="240" w:after="60" w:line="360" w:lineRule="auto"/>
        <w:ind w:left="567"/>
        <w:contextualSpacing/>
        <w:jc w:val="both"/>
        <w:outlineLvl w:val="0"/>
        <w:rPr>
          <w:rFonts w:ascii="Calibri" w:eastAsia="Calibri" w:hAnsi="Calibri" w:cs="Calibri"/>
          <w:b/>
          <w:bCs/>
          <w:kern w:val="32"/>
          <w:sz w:val="22"/>
          <w:szCs w:val="22"/>
        </w:rPr>
      </w:pPr>
      <w:r w:rsidRPr="009942AF">
        <w:rPr>
          <w:rFonts w:ascii="Calibri" w:eastAsia="Calibri" w:hAnsi="Calibri" w:cs="Calibri"/>
          <w:sz w:val="22"/>
          <w:szCs w:val="22"/>
        </w:rPr>
        <w:t xml:space="preserve">During the ensuing year the licensee is proposing certain tariff rationalization measures in the following paragraph and also request Hon’ble Commission for continuation of existing benefits as the consumer is otherwise eligible. </w:t>
      </w:r>
    </w:p>
    <w:p w14:paraId="5F4FB50B" w14:textId="77777777" w:rsidR="009942AF" w:rsidRPr="009942AF" w:rsidRDefault="009942AF" w:rsidP="009942AF">
      <w:pPr>
        <w:spacing w:line="360" w:lineRule="auto"/>
        <w:jc w:val="both"/>
        <w:rPr>
          <w:rFonts w:ascii="Calibri" w:hAnsi="Calibri" w:cs="Calibri"/>
          <w:sz w:val="22"/>
          <w:szCs w:val="22"/>
        </w:rPr>
      </w:pPr>
      <w:r w:rsidRPr="009942AF">
        <w:rPr>
          <w:rFonts w:ascii="Calibri" w:hAnsi="Calibri" w:cs="Calibri"/>
          <w:sz w:val="22"/>
          <w:szCs w:val="22"/>
        </w:rPr>
        <w:t xml:space="preserve">                   </w:t>
      </w:r>
    </w:p>
    <w:p w14:paraId="0FE15F09" w14:textId="77777777" w:rsidR="009942AF" w:rsidRPr="009942AF" w:rsidRDefault="009942AF" w:rsidP="009942AF">
      <w:pPr>
        <w:spacing w:line="360" w:lineRule="auto"/>
        <w:ind w:left="284"/>
        <w:jc w:val="both"/>
        <w:rPr>
          <w:rFonts w:ascii="Calibri" w:hAnsi="Calibri" w:cs="Calibri"/>
          <w:sz w:val="22"/>
          <w:szCs w:val="22"/>
        </w:rPr>
      </w:pPr>
      <w:r w:rsidRPr="009942AF">
        <w:rPr>
          <w:rFonts w:ascii="Calibri" w:hAnsi="Calibri" w:cs="Calibri"/>
          <w:sz w:val="22"/>
          <w:szCs w:val="22"/>
        </w:rPr>
        <w:lastRenderedPageBreak/>
        <w:t xml:space="preserve">       The Licensee requests Hon’ble Commission for Continuation:</w:t>
      </w:r>
    </w:p>
    <w:p w14:paraId="54078F4B" w14:textId="77777777" w:rsidR="009942AF" w:rsidRPr="009942AF" w:rsidRDefault="009942AF" w:rsidP="009942AF">
      <w:pPr>
        <w:keepNext/>
        <w:numPr>
          <w:ilvl w:val="0"/>
          <w:numId w:val="65"/>
        </w:numPr>
        <w:spacing w:before="240" w:after="60" w:line="360" w:lineRule="auto"/>
        <w:ind w:left="851" w:hanging="284"/>
        <w:jc w:val="both"/>
        <w:outlineLvl w:val="0"/>
        <w:rPr>
          <w:rFonts w:ascii="Calibri" w:eastAsia="Calibri" w:hAnsi="Calibri" w:cs="Calibri"/>
          <w:sz w:val="22"/>
          <w:szCs w:val="22"/>
        </w:rPr>
      </w:pPr>
      <w:bookmarkStart w:id="12" w:name="_Toc152180128"/>
      <w:r w:rsidRPr="009942AF">
        <w:rPr>
          <w:rFonts w:ascii="Calibri" w:eastAsia="Calibri" w:hAnsi="Calibri" w:cs="Calibri"/>
          <w:sz w:val="22"/>
          <w:szCs w:val="22"/>
        </w:rPr>
        <w:t>Digital rebate to 4% for LT Domestic, LT GP single phase &amp; Single-phase irrigation consumers</w:t>
      </w:r>
      <w:bookmarkEnd w:id="12"/>
    </w:p>
    <w:p w14:paraId="411124D6" w14:textId="77777777" w:rsidR="009942AF" w:rsidRPr="009942AF" w:rsidRDefault="009942AF" w:rsidP="009942AF">
      <w:pPr>
        <w:keepNext/>
        <w:numPr>
          <w:ilvl w:val="0"/>
          <w:numId w:val="65"/>
        </w:numPr>
        <w:spacing w:before="240" w:after="60" w:line="360" w:lineRule="auto"/>
        <w:ind w:left="851" w:hanging="284"/>
        <w:jc w:val="both"/>
        <w:outlineLvl w:val="0"/>
        <w:rPr>
          <w:rFonts w:ascii="Calibri" w:eastAsia="Calibri" w:hAnsi="Calibri" w:cs="Calibri"/>
          <w:sz w:val="22"/>
          <w:szCs w:val="22"/>
        </w:rPr>
      </w:pPr>
      <w:bookmarkStart w:id="13" w:name="_Toc152180129"/>
      <w:r w:rsidRPr="009942AF">
        <w:rPr>
          <w:rFonts w:ascii="Calibri" w:eastAsia="Calibri" w:hAnsi="Calibri" w:cs="Calibri"/>
          <w:sz w:val="22"/>
          <w:szCs w:val="22"/>
        </w:rPr>
        <w:t xml:space="preserve">Discount of 10 </w:t>
      </w:r>
      <w:proofErr w:type="spellStart"/>
      <w:r w:rsidRPr="009942AF">
        <w:rPr>
          <w:rFonts w:ascii="Calibri" w:eastAsia="Calibri" w:hAnsi="Calibri" w:cs="Calibri"/>
          <w:sz w:val="22"/>
          <w:szCs w:val="22"/>
        </w:rPr>
        <w:t>paise</w:t>
      </w:r>
      <w:proofErr w:type="spellEnd"/>
      <w:r w:rsidRPr="009942AF">
        <w:rPr>
          <w:rFonts w:ascii="Calibri" w:eastAsia="Calibri" w:hAnsi="Calibri" w:cs="Calibri"/>
          <w:sz w:val="22"/>
          <w:szCs w:val="22"/>
        </w:rPr>
        <w:t xml:space="preserve"> to Domestic Rural Consumers if consumed on actual meter reading</w:t>
      </w:r>
      <w:bookmarkEnd w:id="13"/>
    </w:p>
    <w:p w14:paraId="49BEF17F" w14:textId="77777777" w:rsidR="009942AF" w:rsidRPr="009942AF" w:rsidRDefault="009942AF" w:rsidP="009942AF">
      <w:pPr>
        <w:keepNext/>
        <w:numPr>
          <w:ilvl w:val="0"/>
          <w:numId w:val="65"/>
        </w:numPr>
        <w:spacing w:before="240" w:after="60" w:line="360" w:lineRule="auto"/>
        <w:ind w:left="851" w:hanging="284"/>
        <w:jc w:val="both"/>
        <w:outlineLvl w:val="0"/>
        <w:rPr>
          <w:rFonts w:ascii="Calibri" w:eastAsia="Calibri" w:hAnsi="Calibri" w:cs="Calibri"/>
          <w:sz w:val="22"/>
          <w:szCs w:val="22"/>
        </w:rPr>
      </w:pPr>
      <w:bookmarkStart w:id="14" w:name="_Toc152180130"/>
      <w:r w:rsidRPr="009942AF">
        <w:rPr>
          <w:rFonts w:ascii="Calibri" w:eastAsia="Calibri" w:hAnsi="Calibri" w:cs="Calibri"/>
          <w:sz w:val="22"/>
          <w:szCs w:val="22"/>
        </w:rPr>
        <w:t>Levy of CSS on RE power</w:t>
      </w:r>
      <w:bookmarkEnd w:id="14"/>
    </w:p>
    <w:p w14:paraId="3D43611D" w14:textId="77777777" w:rsidR="009942AF" w:rsidRPr="009942AF" w:rsidRDefault="009942AF" w:rsidP="009942AF">
      <w:pPr>
        <w:keepNext/>
        <w:numPr>
          <w:ilvl w:val="0"/>
          <w:numId w:val="65"/>
        </w:numPr>
        <w:spacing w:before="240" w:after="60" w:line="360" w:lineRule="auto"/>
        <w:ind w:left="851" w:hanging="284"/>
        <w:jc w:val="both"/>
        <w:outlineLvl w:val="0"/>
        <w:rPr>
          <w:rFonts w:ascii="Calibri" w:eastAsia="Calibri" w:hAnsi="Calibri" w:cs="Calibri"/>
          <w:b/>
          <w:bCs/>
          <w:sz w:val="22"/>
          <w:szCs w:val="22"/>
        </w:rPr>
      </w:pPr>
      <w:bookmarkStart w:id="15" w:name="_Toc152180131"/>
      <w:r w:rsidRPr="009942AF">
        <w:rPr>
          <w:rFonts w:ascii="Calibri" w:eastAsia="Calibri" w:hAnsi="Calibri" w:cs="Calibri"/>
          <w:sz w:val="22"/>
          <w:szCs w:val="22"/>
        </w:rPr>
        <w:t>Special tariff to steel industries at 33 kV level without having CGP</w:t>
      </w:r>
      <w:bookmarkEnd w:id="15"/>
    </w:p>
    <w:p w14:paraId="5CF1766A" w14:textId="77777777" w:rsidR="009942AF" w:rsidRPr="009942AF" w:rsidRDefault="009942AF" w:rsidP="009942AF">
      <w:pPr>
        <w:keepNext/>
        <w:numPr>
          <w:ilvl w:val="0"/>
          <w:numId w:val="65"/>
        </w:numPr>
        <w:spacing w:before="240" w:after="60" w:line="360" w:lineRule="auto"/>
        <w:ind w:left="851" w:hanging="284"/>
        <w:jc w:val="both"/>
        <w:outlineLvl w:val="0"/>
        <w:rPr>
          <w:rFonts w:ascii="Calibri" w:eastAsia="Calibri" w:hAnsi="Calibri" w:cs="Calibri"/>
          <w:sz w:val="22"/>
          <w:szCs w:val="22"/>
        </w:rPr>
      </w:pPr>
      <w:bookmarkStart w:id="16" w:name="_Toc152180132"/>
      <w:r w:rsidRPr="009942AF">
        <w:rPr>
          <w:rFonts w:ascii="Calibri" w:eastAsia="Calibri" w:hAnsi="Calibri" w:cs="Calibri"/>
          <w:sz w:val="22"/>
          <w:szCs w:val="22"/>
        </w:rPr>
        <w:t>Continuity of Special tariff for industries having CGP with CD up to 20 MW</w:t>
      </w:r>
      <w:bookmarkEnd w:id="16"/>
      <w:r w:rsidRPr="009942AF">
        <w:rPr>
          <w:rFonts w:ascii="Calibri" w:eastAsia="Calibri" w:hAnsi="Calibri" w:cs="Calibri"/>
          <w:sz w:val="22"/>
          <w:szCs w:val="22"/>
        </w:rPr>
        <w:t xml:space="preserve"> to avail up to double the CD without levy of over </w:t>
      </w:r>
      <w:proofErr w:type="spellStart"/>
      <w:r w:rsidRPr="009942AF">
        <w:rPr>
          <w:rFonts w:ascii="Calibri" w:eastAsia="Calibri" w:hAnsi="Calibri" w:cs="Calibri"/>
          <w:sz w:val="22"/>
          <w:szCs w:val="22"/>
        </w:rPr>
        <w:t>drawal</w:t>
      </w:r>
      <w:proofErr w:type="spellEnd"/>
      <w:r w:rsidRPr="009942AF">
        <w:rPr>
          <w:rFonts w:ascii="Calibri" w:eastAsia="Calibri" w:hAnsi="Calibri" w:cs="Calibri"/>
          <w:sz w:val="22"/>
          <w:szCs w:val="22"/>
        </w:rPr>
        <w:t xml:space="preserve"> penalty. But the licensee shall have to operate within the approved SMD in such </w:t>
      </w:r>
      <w:proofErr w:type="spellStart"/>
      <w:proofErr w:type="gramStart"/>
      <w:r w:rsidRPr="009942AF">
        <w:rPr>
          <w:rFonts w:ascii="Calibri" w:eastAsia="Calibri" w:hAnsi="Calibri" w:cs="Calibri"/>
          <w:sz w:val="22"/>
          <w:szCs w:val="22"/>
        </w:rPr>
        <w:t>cases.In</w:t>
      </w:r>
      <w:proofErr w:type="spellEnd"/>
      <w:proofErr w:type="gramEnd"/>
      <w:r w:rsidRPr="009942AF">
        <w:rPr>
          <w:rFonts w:ascii="Calibri" w:eastAsia="Calibri" w:hAnsi="Calibri" w:cs="Calibri"/>
          <w:sz w:val="22"/>
          <w:szCs w:val="22"/>
        </w:rPr>
        <w:t xml:space="preserve"> addition to this an industry availing this benefit shall not be permitted to avail the benefit of another scheme. </w:t>
      </w:r>
    </w:p>
    <w:p w14:paraId="3658BB64" w14:textId="77777777" w:rsidR="009942AF" w:rsidRPr="009942AF" w:rsidRDefault="009942AF" w:rsidP="009942AF">
      <w:pPr>
        <w:keepNext/>
        <w:numPr>
          <w:ilvl w:val="0"/>
          <w:numId w:val="65"/>
        </w:numPr>
        <w:spacing w:before="240" w:after="60" w:line="360" w:lineRule="auto"/>
        <w:ind w:left="851" w:hanging="284"/>
        <w:jc w:val="both"/>
        <w:outlineLvl w:val="0"/>
        <w:rPr>
          <w:rFonts w:ascii="Calibri" w:eastAsia="Calibri" w:hAnsi="Calibri" w:cs="Calibri"/>
          <w:sz w:val="22"/>
          <w:szCs w:val="22"/>
        </w:rPr>
      </w:pPr>
      <w:bookmarkStart w:id="17" w:name="_Toc152180133"/>
      <w:r w:rsidRPr="009942AF">
        <w:rPr>
          <w:rFonts w:ascii="Calibri" w:eastAsia="Calibri" w:hAnsi="Calibri" w:cs="Calibri"/>
          <w:sz w:val="22"/>
          <w:szCs w:val="22"/>
        </w:rPr>
        <w:t>Special tariff for Existing industries having CGP with CD &gt;20 MW with minimum offtake 80% of existing CD with TPA among GRIDCO, DISCOM &amp; Consumer with certain modifications as suggested in the proposal considering business requirement.</w:t>
      </w:r>
      <w:bookmarkEnd w:id="17"/>
    </w:p>
    <w:p w14:paraId="0519C0FA" w14:textId="77777777" w:rsidR="009942AF" w:rsidRPr="009942AF" w:rsidRDefault="009942AF" w:rsidP="009942AF">
      <w:pPr>
        <w:keepNext/>
        <w:numPr>
          <w:ilvl w:val="0"/>
          <w:numId w:val="65"/>
        </w:numPr>
        <w:spacing w:before="240" w:after="60" w:line="360" w:lineRule="auto"/>
        <w:ind w:left="851" w:hanging="284"/>
        <w:jc w:val="both"/>
        <w:outlineLvl w:val="0"/>
        <w:rPr>
          <w:rFonts w:ascii="Calibri" w:eastAsia="Calibri" w:hAnsi="Calibri" w:cs="Calibri"/>
          <w:sz w:val="22"/>
          <w:szCs w:val="22"/>
        </w:rPr>
      </w:pPr>
      <w:bookmarkStart w:id="18" w:name="_Toc152180134"/>
      <w:r w:rsidRPr="009942AF">
        <w:rPr>
          <w:rFonts w:ascii="Calibri" w:eastAsia="Calibri" w:hAnsi="Calibri" w:cs="Calibri"/>
          <w:sz w:val="22"/>
          <w:szCs w:val="22"/>
        </w:rPr>
        <w:t>Continuation Green Tariff Premium (GTP) mechanism.</w:t>
      </w:r>
      <w:bookmarkEnd w:id="18"/>
    </w:p>
    <w:p w14:paraId="480CDB89" w14:textId="77777777" w:rsidR="009942AF" w:rsidRPr="009942AF" w:rsidRDefault="009942AF" w:rsidP="009942AF">
      <w:pPr>
        <w:spacing w:line="360" w:lineRule="auto"/>
        <w:rPr>
          <w:rFonts w:ascii="Calibri" w:hAnsi="Calibri" w:cs="Calibri"/>
          <w:sz w:val="22"/>
          <w:szCs w:val="22"/>
        </w:rPr>
      </w:pPr>
    </w:p>
    <w:p w14:paraId="304EF0C2" w14:textId="4DFA3C27" w:rsidR="009942AF" w:rsidRDefault="009942AF" w:rsidP="009942AF">
      <w:pPr>
        <w:spacing w:line="360" w:lineRule="auto"/>
        <w:rPr>
          <w:rFonts w:ascii="Calibri" w:hAnsi="Calibri" w:cs="Calibri"/>
          <w:b/>
          <w:bCs/>
          <w:sz w:val="22"/>
          <w:szCs w:val="22"/>
          <w:u w:val="single"/>
        </w:rPr>
      </w:pPr>
      <w:r w:rsidRPr="009942AF">
        <w:rPr>
          <w:rFonts w:ascii="Calibri" w:hAnsi="Calibri" w:cs="Calibri"/>
          <w:b/>
          <w:bCs/>
          <w:sz w:val="22"/>
          <w:szCs w:val="22"/>
          <w:u w:val="single"/>
        </w:rPr>
        <w:t>Tariff Rationalization Measures (New Proposals as well as modification of existing where it is essential)</w:t>
      </w:r>
    </w:p>
    <w:p w14:paraId="13E28C52" w14:textId="463EDFDB" w:rsidR="00E0321D" w:rsidRDefault="00E0321D" w:rsidP="009942AF">
      <w:pPr>
        <w:spacing w:line="360" w:lineRule="auto"/>
        <w:rPr>
          <w:rFonts w:ascii="Calibri" w:hAnsi="Calibri" w:cs="Calibri"/>
          <w:b/>
          <w:bCs/>
          <w:sz w:val="22"/>
          <w:szCs w:val="22"/>
          <w:u w:val="single"/>
        </w:rPr>
      </w:pPr>
    </w:p>
    <w:p w14:paraId="4580DD5D" w14:textId="77777777" w:rsidR="00E0321D" w:rsidRPr="00E0321D" w:rsidRDefault="00E0321D" w:rsidP="00E0321D">
      <w:pPr>
        <w:keepNext/>
        <w:spacing w:before="240" w:after="60" w:line="360" w:lineRule="auto"/>
        <w:ind w:left="540"/>
        <w:contextualSpacing/>
        <w:jc w:val="both"/>
        <w:outlineLvl w:val="0"/>
        <w:rPr>
          <w:rFonts w:ascii="Calibri" w:eastAsia="Calibri" w:hAnsi="Calibri" w:cs="Calibri"/>
          <w:b/>
          <w:bCs/>
          <w:kern w:val="32"/>
          <w:szCs w:val="22"/>
        </w:rPr>
      </w:pPr>
      <w:r w:rsidRPr="00E0321D">
        <w:rPr>
          <w:rFonts w:ascii="Calibri" w:eastAsia="Calibri" w:hAnsi="Calibri" w:cs="Calibri"/>
          <w:b/>
          <w:bCs/>
          <w:kern w:val="32"/>
          <w:szCs w:val="22"/>
        </w:rPr>
        <w:t>9.2 Additional Rebate of Rs.10/ - p.m. if opted E-Bill: (modification required)</w:t>
      </w:r>
    </w:p>
    <w:p w14:paraId="751EBDD4" w14:textId="5DB98301" w:rsidR="00E0321D" w:rsidRPr="009942AF" w:rsidRDefault="00E0321D" w:rsidP="00E0321D">
      <w:pPr>
        <w:spacing w:line="360" w:lineRule="auto"/>
        <w:ind w:left="567" w:hanging="141"/>
        <w:jc w:val="both"/>
        <w:rPr>
          <w:rFonts w:ascii="Calibri" w:hAnsi="Calibri" w:cs="Calibri"/>
          <w:b/>
          <w:bCs/>
          <w:sz w:val="22"/>
          <w:szCs w:val="22"/>
          <w:u w:val="single"/>
        </w:rPr>
      </w:pPr>
      <w:r w:rsidRPr="009942AF">
        <w:rPr>
          <w:rFonts w:ascii="Calibri" w:hAnsi="Calibri" w:cs="Calibri"/>
          <w:noProof/>
          <w:sz w:val="22"/>
          <w:szCs w:val="22"/>
          <w:lang w:val="en-IN" w:eastAsia="en-IN"/>
        </w:rPr>
        <w:drawing>
          <wp:anchor distT="0" distB="0" distL="114300" distR="114300" simplePos="0" relativeHeight="252207616" behindDoc="0" locked="0" layoutInCell="1" allowOverlap="1" wp14:anchorId="55DFD246" wp14:editId="50133224">
            <wp:simplePos x="0" y="0"/>
            <wp:positionH relativeFrom="column">
              <wp:posOffset>375285</wp:posOffset>
            </wp:positionH>
            <wp:positionV relativeFrom="paragraph">
              <wp:posOffset>1113790</wp:posOffset>
            </wp:positionV>
            <wp:extent cx="5772150" cy="2362200"/>
            <wp:effectExtent l="0" t="0" r="0" b="0"/>
            <wp:wrapSquare wrapText="bothSides"/>
            <wp:docPr id="140144584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1445849" name=""/>
                    <pic:cNvPicPr/>
                  </pic:nvPicPr>
                  <pic:blipFill>
                    <a:blip r:embed="rId156">
                      <a:extLst>
                        <a:ext uri="{28A0092B-C50C-407E-A947-70E740481C1C}">
                          <a14:useLocalDpi xmlns:a14="http://schemas.microsoft.com/office/drawing/2010/main" val="0"/>
                        </a:ext>
                      </a:extLst>
                    </a:blip>
                    <a:stretch>
                      <a:fillRect/>
                    </a:stretch>
                  </pic:blipFill>
                  <pic:spPr>
                    <a:xfrm>
                      <a:off x="0" y="0"/>
                      <a:ext cx="5772150" cy="2362200"/>
                    </a:xfrm>
                    <a:prstGeom prst="rect">
                      <a:avLst/>
                    </a:prstGeom>
                  </pic:spPr>
                </pic:pic>
              </a:graphicData>
            </a:graphic>
            <wp14:sizeRelH relativeFrom="margin">
              <wp14:pctWidth>0</wp14:pctWidth>
            </wp14:sizeRelH>
            <wp14:sizeRelV relativeFrom="margin">
              <wp14:pctHeight>0</wp14:pctHeight>
            </wp14:sizeRelV>
          </wp:anchor>
        </w:drawing>
      </w:r>
      <w:r>
        <w:rPr>
          <w:rFonts w:ascii="Calibri" w:hAnsi="Calibri" w:cs="Calibri"/>
          <w:sz w:val="22"/>
          <w:szCs w:val="22"/>
        </w:rPr>
        <w:t xml:space="preserve">   </w:t>
      </w:r>
      <w:r w:rsidRPr="009942AF">
        <w:rPr>
          <w:rFonts w:ascii="Calibri" w:hAnsi="Calibri" w:cs="Calibri"/>
          <w:sz w:val="22"/>
          <w:szCs w:val="22"/>
        </w:rPr>
        <w:t>Hon’ble Commission has introduced additional rebate of Rs.10/- p.m. for the consumers who opted E-bill in the RST order dt.13.02.2024. While implementing the order some practical challenges arises</w:t>
      </w:r>
      <w:r>
        <w:rPr>
          <w:rFonts w:ascii="Calibri" w:hAnsi="Calibri" w:cs="Calibri"/>
          <w:sz w:val="22"/>
          <w:szCs w:val="22"/>
        </w:rPr>
        <w:t xml:space="preserve"> </w:t>
      </w:r>
      <w:r w:rsidRPr="009942AF">
        <w:rPr>
          <w:rFonts w:ascii="Calibri" w:hAnsi="Calibri" w:cs="Calibri"/>
          <w:sz w:val="22"/>
          <w:szCs w:val="22"/>
        </w:rPr>
        <w:t>hence TPWODL has requested Hon’ble Commission for clarification. Hon’ble Commission has also pleased enough to clarify vide their letter d</w:t>
      </w:r>
      <w:r>
        <w:rPr>
          <w:rFonts w:ascii="Calibri" w:hAnsi="Calibri" w:cs="Calibri"/>
          <w:sz w:val="22"/>
          <w:szCs w:val="22"/>
        </w:rPr>
        <w:t xml:space="preserve">ated </w:t>
      </w:r>
      <w:r w:rsidRPr="009942AF">
        <w:rPr>
          <w:rFonts w:ascii="Calibri" w:hAnsi="Calibri" w:cs="Calibri"/>
          <w:sz w:val="22"/>
          <w:szCs w:val="22"/>
        </w:rPr>
        <w:t>03.04.2024</w:t>
      </w:r>
    </w:p>
    <w:p w14:paraId="5F772215" w14:textId="4FC5B640" w:rsidR="009942AF" w:rsidRPr="009942AF" w:rsidRDefault="009942AF" w:rsidP="009942AF">
      <w:pPr>
        <w:keepNext/>
        <w:numPr>
          <w:ilvl w:val="0"/>
          <w:numId w:val="63"/>
        </w:numPr>
        <w:spacing w:before="240" w:after="60" w:line="360" w:lineRule="auto"/>
        <w:jc w:val="both"/>
        <w:outlineLvl w:val="0"/>
        <w:rPr>
          <w:rFonts w:ascii="Calibri" w:hAnsi="Calibri" w:cs="Calibri"/>
          <w:b/>
          <w:bCs/>
          <w:vanish/>
          <w:kern w:val="32"/>
          <w:sz w:val="22"/>
          <w:szCs w:val="22"/>
        </w:rPr>
      </w:pPr>
      <w:bookmarkStart w:id="19" w:name="_Toc152166764"/>
      <w:bookmarkStart w:id="20" w:name="_Toc152180135"/>
      <w:bookmarkEnd w:id="19"/>
      <w:bookmarkEnd w:id="20"/>
    </w:p>
    <w:p w14:paraId="78637723" w14:textId="77777777" w:rsidR="009942AF" w:rsidRPr="009942AF" w:rsidRDefault="009942AF" w:rsidP="009942AF">
      <w:pPr>
        <w:keepNext/>
        <w:numPr>
          <w:ilvl w:val="0"/>
          <w:numId w:val="63"/>
        </w:numPr>
        <w:spacing w:before="240" w:after="60" w:line="360" w:lineRule="auto"/>
        <w:jc w:val="both"/>
        <w:outlineLvl w:val="0"/>
        <w:rPr>
          <w:rFonts w:ascii="Calibri" w:hAnsi="Calibri" w:cs="Calibri"/>
          <w:b/>
          <w:bCs/>
          <w:vanish/>
          <w:kern w:val="32"/>
          <w:sz w:val="22"/>
          <w:szCs w:val="22"/>
        </w:rPr>
      </w:pPr>
      <w:bookmarkStart w:id="21" w:name="_Toc120649870"/>
      <w:bookmarkStart w:id="22" w:name="_Toc123927487"/>
      <w:bookmarkStart w:id="23" w:name="_Toc123992818"/>
      <w:bookmarkStart w:id="24" w:name="_Toc151481793"/>
      <w:bookmarkStart w:id="25" w:name="_Toc152069594"/>
      <w:bookmarkStart w:id="26" w:name="_Toc152161392"/>
      <w:bookmarkStart w:id="27" w:name="_Toc152166765"/>
      <w:bookmarkStart w:id="28" w:name="_Toc152180136"/>
      <w:bookmarkEnd w:id="21"/>
      <w:bookmarkEnd w:id="22"/>
      <w:bookmarkEnd w:id="23"/>
      <w:bookmarkEnd w:id="24"/>
      <w:bookmarkEnd w:id="25"/>
      <w:bookmarkEnd w:id="26"/>
      <w:bookmarkEnd w:id="27"/>
      <w:bookmarkEnd w:id="28"/>
    </w:p>
    <w:bookmarkEnd w:id="10"/>
    <w:p w14:paraId="45FD8AFB" w14:textId="5ED8B7C0" w:rsidR="009942AF" w:rsidRPr="00E0321D" w:rsidRDefault="009942AF" w:rsidP="00E0321D">
      <w:pPr>
        <w:keepNext/>
        <w:spacing w:before="240" w:after="60" w:line="360" w:lineRule="auto"/>
        <w:contextualSpacing/>
        <w:jc w:val="both"/>
        <w:outlineLvl w:val="0"/>
        <w:rPr>
          <w:rFonts w:ascii="Calibri" w:hAnsi="Calibri" w:cs="Calibri"/>
          <w:sz w:val="22"/>
          <w:szCs w:val="22"/>
        </w:rPr>
      </w:pPr>
    </w:p>
    <w:p w14:paraId="2AC99B92" w14:textId="77777777" w:rsidR="009942AF" w:rsidRPr="009942AF" w:rsidRDefault="009942AF" w:rsidP="00E0321D">
      <w:pPr>
        <w:spacing w:line="360" w:lineRule="auto"/>
        <w:ind w:left="567"/>
        <w:jc w:val="both"/>
        <w:rPr>
          <w:rFonts w:ascii="Calibri" w:hAnsi="Calibri" w:cs="Calibri"/>
          <w:sz w:val="22"/>
          <w:szCs w:val="22"/>
        </w:rPr>
      </w:pPr>
      <w:r w:rsidRPr="009942AF">
        <w:rPr>
          <w:rFonts w:ascii="Calibri" w:hAnsi="Calibri" w:cs="Calibri"/>
          <w:sz w:val="22"/>
          <w:szCs w:val="22"/>
        </w:rPr>
        <w:t>Through the above clarification Hon’ble Commission has viewed that smart meters are having inbuild facility for generation of e-bill and hence by default excluded from this benefit.</w:t>
      </w:r>
    </w:p>
    <w:p w14:paraId="13620875" w14:textId="77777777" w:rsidR="009942AF" w:rsidRPr="009942AF" w:rsidRDefault="009942AF" w:rsidP="00E0321D">
      <w:pPr>
        <w:spacing w:line="360" w:lineRule="auto"/>
        <w:ind w:left="567"/>
        <w:jc w:val="both"/>
        <w:rPr>
          <w:rFonts w:ascii="Calibri" w:hAnsi="Calibri" w:cs="Calibri"/>
          <w:sz w:val="22"/>
          <w:szCs w:val="22"/>
        </w:rPr>
      </w:pPr>
    </w:p>
    <w:p w14:paraId="32EB30DE" w14:textId="30E39794" w:rsidR="009942AF" w:rsidRDefault="009942AF" w:rsidP="00E0321D">
      <w:pPr>
        <w:spacing w:line="360" w:lineRule="auto"/>
        <w:ind w:left="567"/>
        <w:jc w:val="both"/>
        <w:rPr>
          <w:rFonts w:ascii="Calibri" w:hAnsi="Calibri" w:cs="Calibri"/>
          <w:sz w:val="22"/>
          <w:szCs w:val="22"/>
        </w:rPr>
      </w:pPr>
      <w:r w:rsidRPr="009942AF">
        <w:rPr>
          <w:rFonts w:ascii="Calibri" w:hAnsi="Calibri" w:cs="Calibri"/>
          <w:sz w:val="22"/>
          <w:szCs w:val="22"/>
        </w:rPr>
        <w:t xml:space="preserve">In the above context it is humbly submitted that the purpose of extending E-bill rebate will not suffice through the above mechanism. Because the licensee will have to ensure serving the bill to the consumer as per the mandate of the Supply Code as quoted below, which will be definitely </w:t>
      </w:r>
      <w:proofErr w:type="gramStart"/>
      <w:r w:rsidRPr="009942AF">
        <w:rPr>
          <w:rFonts w:ascii="Calibri" w:hAnsi="Calibri" w:cs="Calibri"/>
          <w:sz w:val="22"/>
          <w:szCs w:val="22"/>
        </w:rPr>
        <w:t>more costly</w:t>
      </w:r>
      <w:proofErr w:type="gramEnd"/>
      <w:r w:rsidRPr="009942AF">
        <w:rPr>
          <w:rFonts w:ascii="Calibri" w:hAnsi="Calibri" w:cs="Calibri"/>
          <w:sz w:val="22"/>
          <w:szCs w:val="22"/>
        </w:rPr>
        <w:t>. As per Regulation 147(</w:t>
      </w:r>
      <w:proofErr w:type="spellStart"/>
      <w:r w:rsidRPr="009942AF">
        <w:rPr>
          <w:rFonts w:ascii="Calibri" w:hAnsi="Calibri" w:cs="Calibri"/>
          <w:sz w:val="22"/>
          <w:szCs w:val="22"/>
        </w:rPr>
        <w:t>i</w:t>
      </w:r>
      <w:proofErr w:type="spellEnd"/>
      <w:r w:rsidRPr="009942AF">
        <w:rPr>
          <w:rFonts w:ascii="Calibri" w:hAnsi="Calibri" w:cs="Calibri"/>
          <w:sz w:val="22"/>
          <w:szCs w:val="22"/>
        </w:rPr>
        <w:t>) where smart meters are available the licensee may not require go for spot billing. But as regards to serving of bill under the regulation the supply engineer has to made sufficient provision to ensure serving the bill. As per the present Distribution (Conditions of Supply) Code, 2109 vide regulation 147(</w:t>
      </w:r>
      <w:proofErr w:type="spellStart"/>
      <w:r w:rsidRPr="009942AF">
        <w:rPr>
          <w:rFonts w:ascii="Calibri" w:hAnsi="Calibri" w:cs="Calibri"/>
          <w:sz w:val="22"/>
          <w:szCs w:val="22"/>
        </w:rPr>
        <w:t>i</w:t>
      </w:r>
      <w:proofErr w:type="spellEnd"/>
      <w:r w:rsidRPr="009942AF">
        <w:rPr>
          <w:rFonts w:ascii="Calibri" w:hAnsi="Calibri" w:cs="Calibri"/>
          <w:sz w:val="22"/>
          <w:szCs w:val="22"/>
        </w:rPr>
        <w:t>) licensees are directed serve the bill in the following manner;</w:t>
      </w:r>
    </w:p>
    <w:p w14:paraId="263AD6EB" w14:textId="77777777" w:rsidR="00E0321D" w:rsidRPr="009942AF" w:rsidRDefault="00E0321D" w:rsidP="00E0321D">
      <w:pPr>
        <w:spacing w:line="360" w:lineRule="auto"/>
        <w:ind w:left="567"/>
        <w:jc w:val="both"/>
        <w:rPr>
          <w:rFonts w:ascii="Calibri" w:hAnsi="Calibri" w:cs="Calibri"/>
          <w:sz w:val="22"/>
          <w:szCs w:val="22"/>
        </w:rPr>
      </w:pPr>
    </w:p>
    <w:p w14:paraId="03BE8F9E" w14:textId="77777777" w:rsidR="009942AF" w:rsidRPr="009942AF" w:rsidRDefault="009942AF" w:rsidP="009942AF">
      <w:pPr>
        <w:autoSpaceDE w:val="0"/>
        <w:autoSpaceDN w:val="0"/>
        <w:adjustRightInd w:val="0"/>
        <w:spacing w:line="360" w:lineRule="auto"/>
        <w:ind w:left="720"/>
        <w:jc w:val="both"/>
        <w:rPr>
          <w:rFonts w:ascii="Calibri" w:hAnsi="Calibri" w:cs="Calibri"/>
          <w:b/>
          <w:bCs/>
          <w:i/>
          <w:iCs/>
          <w:sz w:val="22"/>
          <w:szCs w:val="22"/>
          <w:lang w:val="en-IN" w:eastAsia="en-IN"/>
        </w:rPr>
      </w:pPr>
      <w:r w:rsidRPr="009942AF">
        <w:rPr>
          <w:rFonts w:ascii="Calibri" w:hAnsi="Calibri" w:cs="Calibri"/>
          <w:i/>
          <w:iCs/>
          <w:sz w:val="22"/>
          <w:szCs w:val="22"/>
          <w:lang w:val="en-IN" w:eastAsia="en-IN"/>
        </w:rPr>
        <w:t>“(</w:t>
      </w:r>
      <w:proofErr w:type="spellStart"/>
      <w:r w:rsidRPr="009942AF">
        <w:rPr>
          <w:rFonts w:ascii="Calibri" w:hAnsi="Calibri" w:cs="Calibri"/>
          <w:i/>
          <w:iCs/>
          <w:sz w:val="22"/>
          <w:szCs w:val="22"/>
          <w:lang w:val="en-IN" w:eastAsia="en-IN"/>
        </w:rPr>
        <w:t>i</w:t>
      </w:r>
      <w:proofErr w:type="spellEnd"/>
      <w:r w:rsidRPr="009942AF">
        <w:rPr>
          <w:rFonts w:ascii="Calibri" w:hAnsi="Calibri" w:cs="Calibri"/>
          <w:i/>
          <w:iCs/>
          <w:sz w:val="22"/>
          <w:szCs w:val="22"/>
          <w:lang w:val="en-IN" w:eastAsia="en-IN"/>
        </w:rPr>
        <w:t xml:space="preserve">) It would be the duty of the engineer or his authorized agent to ensure that the bills are dispatched within ten days from the end of billing cycle and records of such dispatch are duly maintained. The licensee/supplier shall send the bills to the consumers either by post or by courier or through the messenger well before the due date to avoid any inconvenience to the consumer not covered under spot billing. The licensee/supplier may </w:t>
      </w:r>
      <w:r w:rsidRPr="009942AF">
        <w:rPr>
          <w:rFonts w:ascii="Calibri" w:hAnsi="Calibri" w:cs="Calibri"/>
          <w:b/>
          <w:bCs/>
          <w:i/>
          <w:iCs/>
          <w:sz w:val="22"/>
          <w:szCs w:val="22"/>
          <w:u w:val="single"/>
          <w:lang w:val="en-IN" w:eastAsia="en-IN"/>
        </w:rPr>
        <w:t>send the information on billed amount and due date of payment to the consumers through registered E-mail ID/Mobile numbers/smart meters</w:t>
      </w:r>
      <w:r w:rsidRPr="009942AF">
        <w:rPr>
          <w:rFonts w:ascii="Calibri" w:hAnsi="Calibri" w:cs="Calibri"/>
          <w:i/>
          <w:iCs/>
          <w:sz w:val="22"/>
          <w:szCs w:val="22"/>
          <w:lang w:val="en-IN" w:eastAsia="en-IN"/>
        </w:rPr>
        <w:t xml:space="preserve">. </w:t>
      </w:r>
      <w:r w:rsidRPr="009942AF">
        <w:rPr>
          <w:rFonts w:ascii="Calibri" w:hAnsi="Calibri" w:cs="Calibri"/>
          <w:b/>
          <w:bCs/>
          <w:i/>
          <w:iCs/>
          <w:sz w:val="22"/>
          <w:szCs w:val="22"/>
          <w:u w:val="single"/>
          <w:lang w:val="en-IN" w:eastAsia="en-IN"/>
        </w:rPr>
        <w:t>The mobile number of each consumer shall be collected /recorded for sending billing SMS</w:t>
      </w:r>
      <w:r w:rsidRPr="009942AF">
        <w:rPr>
          <w:rFonts w:ascii="Calibri" w:hAnsi="Calibri" w:cs="Calibri"/>
          <w:b/>
          <w:bCs/>
          <w:i/>
          <w:iCs/>
          <w:sz w:val="22"/>
          <w:szCs w:val="22"/>
          <w:lang w:val="en-IN" w:eastAsia="en-IN"/>
        </w:rPr>
        <w:t>.” (Emphasis added)</w:t>
      </w:r>
    </w:p>
    <w:p w14:paraId="40984124" w14:textId="77777777" w:rsidR="009942AF" w:rsidRPr="009942AF" w:rsidRDefault="009942AF" w:rsidP="009942AF">
      <w:pPr>
        <w:autoSpaceDE w:val="0"/>
        <w:autoSpaceDN w:val="0"/>
        <w:adjustRightInd w:val="0"/>
        <w:spacing w:line="360" w:lineRule="auto"/>
        <w:ind w:left="720"/>
        <w:jc w:val="both"/>
        <w:rPr>
          <w:rFonts w:ascii="Calibri" w:hAnsi="Calibri" w:cs="Calibri"/>
          <w:i/>
          <w:iCs/>
          <w:sz w:val="22"/>
          <w:szCs w:val="22"/>
        </w:rPr>
      </w:pPr>
    </w:p>
    <w:p w14:paraId="2C07EA61" w14:textId="0BA5391F" w:rsidR="009942AF" w:rsidRDefault="009942AF" w:rsidP="00E0321D">
      <w:pPr>
        <w:spacing w:line="360" w:lineRule="auto"/>
        <w:ind w:left="567"/>
        <w:jc w:val="both"/>
        <w:rPr>
          <w:rFonts w:ascii="Calibri" w:hAnsi="Calibri" w:cs="Calibri"/>
          <w:sz w:val="22"/>
          <w:szCs w:val="22"/>
        </w:rPr>
      </w:pPr>
      <w:r w:rsidRPr="009942AF">
        <w:rPr>
          <w:rFonts w:ascii="Calibri" w:hAnsi="Calibri" w:cs="Calibri"/>
          <w:sz w:val="22"/>
          <w:szCs w:val="22"/>
        </w:rPr>
        <w:t xml:space="preserve">Even though, information to the extent of billed amount and due date of payment to the consumer has been mandated to send through registered E-mail Id/Mobile numbers/Smart meters </w:t>
      </w:r>
      <w:proofErr w:type="spellStart"/>
      <w:r w:rsidRPr="009942AF">
        <w:rPr>
          <w:rFonts w:ascii="Calibri" w:hAnsi="Calibri" w:cs="Calibri"/>
          <w:sz w:val="22"/>
          <w:szCs w:val="22"/>
        </w:rPr>
        <w:t>etc</w:t>
      </w:r>
      <w:proofErr w:type="spellEnd"/>
      <w:r w:rsidRPr="009942AF">
        <w:rPr>
          <w:rFonts w:ascii="Calibri" w:hAnsi="Calibri" w:cs="Calibri"/>
          <w:sz w:val="22"/>
          <w:szCs w:val="22"/>
        </w:rPr>
        <w:t xml:space="preserve"> but serving of bill to the consumer physically through courier/special messenger/spot billing has been strictly mandated. Further, the Hon’ble Commission has also directed to connect with the consumer through registered post/courier service/registered E-mail/personal service with </w:t>
      </w:r>
      <w:r w:rsidRPr="009942AF">
        <w:rPr>
          <w:rFonts w:ascii="Calibri" w:hAnsi="Calibri" w:cs="Calibri"/>
          <w:sz w:val="22"/>
          <w:szCs w:val="22"/>
          <w:lang w:val="en-IN" w:eastAsia="en-IN"/>
        </w:rPr>
        <w:t>proper acknowledgement in case of load reduction (Regulation 123) and Load Enhancement (Regulation 130)</w:t>
      </w:r>
      <w:r w:rsidRPr="009942AF">
        <w:rPr>
          <w:rFonts w:ascii="Calibri" w:hAnsi="Calibri" w:cs="Calibri"/>
          <w:sz w:val="22"/>
          <w:szCs w:val="22"/>
        </w:rPr>
        <w:t xml:space="preserve">. Therefore, considering the present lifestyle and technological advancement, the most powerful communication </w:t>
      </w:r>
      <w:proofErr w:type="gramStart"/>
      <w:r w:rsidRPr="009942AF">
        <w:rPr>
          <w:rFonts w:ascii="Calibri" w:hAnsi="Calibri" w:cs="Calibri"/>
          <w:sz w:val="22"/>
          <w:szCs w:val="22"/>
        </w:rPr>
        <w:t>are</w:t>
      </w:r>
      <w:proofErr w:type="gramEnd"/>
      <w:r w:rsidRPr="009942AF">
        <w:rPr>
          <w:rFonts w:ascii="Calibri" w:hAnsi="Calibri" w:cs="Calibri"/>
          <w:sz w:val="22"/>
          <w:szCs w:val="22"/>
        </w:rPr>
        <w:t xml:space="preserve"> email and mobile phone.</w:t>
      </w:r>
    </w:p>
    <w:p w14:paraId="5C8D0771" w14:textId="77777777" w:rsidR="00E0321D" w:rsidRPr="009942AF" w:rsidRDefault="00E0321D" w:rsidP="00E0321D">
      <w:pPr>
        <w:spacing w:line="360" w:lineRule="auto"/>
        <w:ind w:left="567"/>
        <w:jc w:val="both"/>
        <w:rPr>
          <w:rFonts w:ascii="Calibri" w:hAnsi="Calibri" w:cs="Calibri"/>
          <w:sz w:val="22"/>
          <w:szCs w:val="22"/>
          <w:lang w:val="en-IN" w:eastAsia="en-IN"/>
        </w:rPr>
      </w:pPr>
    </w:p>
    <w:p w14:paraId="46B75F15" w14:textId="77777777" w:rsidR="009942AF" w:rsidRPr="009942AF" w:rsidRDefault="009942AF" w:rsidP="00E0321D">
      <w:pPr>
        <w:spacing w:line="360" w:lineRule="auto"/>
        <w:ind w:left="567"/>
        <w:jc w:val="both"/>
        <w:rPr>
          <w:rFonts w:ascii="Calibri" w:hAnsi="Calibri" w:cs="Calibri"/>
          <w:sz w:val="22"/>
          <w:szCs w:val="22"/>
        </w:rPr>
      </w:pPr>
      <w:r w:rsidRPr="009942AF">
        <w:rPr>
          <w:rFonts w:ascii="Calibri" w:hAnsi="Calibri" w:cs="Calibri"/>
          <w:sz w:val="22"/>
          <w:szCs w:val="22"/>
        </w:rPr>
        <w:t>At present, all the licensees are spending a substantial amount on Meter Reading and Bill Distribution. In Dec-2020, the Ministry of Power (</w:t>
      </w:r>
      <w:proofErr w:type="spellStart"/>
      <w:r w:rsidRPr="009942AF">
        <w:rPr>
          <w:rFonts w:ascii="Calibri" w:hAnsi="Calibri" w:cs="Calibri"/>
          <w:sz w:val="22"/>
          <w:szCs w:val="22"/>
        </w:rPr>
        <w:t>MoP</w:t>
      </w:r>
      <w:proofErr w:type="spellEnd"/>
      <w:r w:rsidRPr="009942AF">
        <w:rPr>
          <w:rFonts w:ascii="Calibri" w:hAnsi="Calibri" w:cs="Calibri"/>
          <w:sz w:val="22"/>
          <w:szCs w:val="22"/>
        </w:rPr>
        <w:t>) has also brought guidelines for replacement static/old meters with Smart meters in phased manner. Accordingly, across the country demand for Smart meters has been increased substantially and the licensee has also started installation of Smart meters. We have already installed/replaced around 180000 with smart meters and all the new 3-</w:t>
      </w:r>
      <w:r w:rsidRPr="009942AF">
        <w:rPr>
          <w:rFonts w:ascii="Calibri" w:hAnsi="Calibri" w:cs="Calibri"/>
          <w:sz w:val="22"/>
          <w:szCs w:val="22"/>
        </w:rPr>
        <w:lastRenderedPageBreak/>
        <w:t xml:space="preserve">phase/1-phase connections are being provided with Smart Meters. So, consumers with smart meters can be served with E-bill without any additional cost. Going forward, all the consumers will be covered under Smart Meter fold. So, to promote installation of smart meters and reduction in Meter Reading and Bill Distribution Expenses, the licensee proposes </w:t>
      </w:r>
      <w:r w:rsidRPr="009942AF">
        <w:rPr>
          <w:rFonts w:ascii="Calibri" w:hAnsi="Calibri" w:cs="Calibri"/>
          <w:b/>
          <w:bCs/>
          <w:sz w:val="22"/>
          <w:szCs w:val="22"/>
        </w:rPr>
        <w:t>Rs.10/ p.m</w:t>
      </w:r>
      <w:r w:rsidRPr="009942AF">
        <w:rPr>
          <w:rFonts w:ascii="Calibri" w:hAnsi="Calibri" w:cs="Calibri"/>
          <w:sz w:val="22"/>
          <w:szCs w:val="22"/>
        </w:rPr>
        <w:t>. additional Rebate over and above all other rebate as the consumer is otherwise eligible may please be approved where a consumer desires/opt for E-bill instead of physical bill. If this is permitted, our MRBD cost will be zero where consumer is having smart meter.</w:t>
      </w:r>
    </w:p>
    <w:p w14:paraId="03C78C4A" w14:textId="69614D42" w:rsidR="009942AF" w:rsidRDefault="009942AF" w:rsidP="00E0321D">
      <w:pPr>
        <w:spacing w:line="360" w:lineRule="auto"/>
        <w:ind w:left="567"/>
        <w:jc w:val="both"/>
        <w:rPr>
          <w:rFonts w:ascii="Calibri" w:hAnsi="Calibri" w:cs="Calibri"/>
          <w:sz w:val="22"/>
          <w:szCs w:val="22"/>
        </w:rPr>
      </w:pPr>
      <w:r w:rsidRPr="009942AF">
        <w:rPr>
          <w:rFonts w:ascii="Calibri" w:hAnsi="Calibri" w:cs="Calibri"/>
          <w:sz w:val="22"/>
          <w:szCs w:val="22"/>
        </w:rPr>
        <w:t xml:space="preserve">Further, if provision of E-mail ID </w:t>
      </w:r>
      <w:r w:rsidRPr="009942AF">
        <w:rPr>
          <w:rFonts w:ascii="Calibri" w:hAnsi="Calibri" w:cs="Calibri"/>
          <w:b/>
          <w:bCs/>
          <w:sz w:val="22"/>
          <w:szCs w:val="22"/>
        </w:rPr>
        <w:t>will be mandated</w:t>
      </w:r>
      <w:r w:rsidRPr="009942AF">
        <w:rPr>
          <w:rFonts w:ascii="Calibri" w:hAnsi="Calibri" w:cs="Calibri"/>
          <w:sz w:val="22"/>
          <w:szCs w:val="22"/>
        </w:rPr>
        <w:t xml:space="preserve"> the consumer can also get many information/</w:t>
      </w:r>
      <w:proofErr w:type="gramStart"/>
      <w:r w:rsidRPr="009942AF">
        <w:rPr>
          <w:rFonts w:ascii="Calibri" w:hAnsi="Calibri" w:cs="Calibri"/>
          <w:sz w:val="22"/>
          <w:szCs w:val="22"/>
        </w:rPr>
        <w:t>communication</w:t>
      </w:r>
      <w:proofErr w:type="gramEnd"/>
      <w:r w:rsidRPr="009942AF">
        <w:rPr>
          <w:rFonts w:ascii="Calibri" w:hAnsi="Calibri" w:cs="Calibri"/>
          <w:sz w:val="22"/>
          <w:szCs w:val="22"/>
        </w:rPr>
        <w:t xml:space="preserve"> from the licensee and the benefits are as under:</w:t>
      </w:r>
    </w:p>
    <w:p w14:paraId="54DDC979" w14:textId="77777777" w:rsidR="00E0321D" w:rsidRPr="009942AF" w:rsidRDefault="00E0321D" w:rsidP="00E0321D">
      <w:pPr>
        <w:spacing w:line="360" w:lineRule="auto"/>
        <w:ind w:left="567"/>
        <w:jc w:val="both"/>
        <w:rPr>
          <w:rFonts w:ascii="Calibri" w:hAnsi="Calibri" w:cs="Calibri"/>
          <w:sz w:val="22"/>
          <w:szCs w:val="22"/>
        </w:rPr>
      </w:pPr>
    </w:p>
    <w:p w14:paraId="195D9654" w14:textId="77777777" w:rsidR="009942AF" w:rsidRPr="009942AF" w:rsidRDefault="009942AF" w:rsidP="009942AF">
      <w:pPr>
        <w:numPr>
          <w:ilvl w:val="0"/>
          <w:numId w:val="19"/>
        </w:numPr>
        <w:spacing w:after="200" w:line="360" w:lineRule="auto"/>
        <w:contextualSpacing/>
        <w:jc w:val="both"/>
        <w:rPr>
          <w:rFonts w:ascii="Calibri" w:eastAsia="Calibri" w:hAnsi="Calibri" w:cs="Calibri"/>
          <w:sz w:val="22"/>
          <w:szCs w:val="22"/>
        </w:rPr>
      </w:pPr>
      <w:r w:rsidRPr="009942AF">
        <w:rPr>
          <w:rFonts w:ascii="Calibri" w:eastAsia="Calibri" w:hAnsi="Calibri" w:cs="Calibri"/>
          <w:sz w:val="22"/>
          <w:szCs w:val="22"/>
        </w:rPr>
        <w:t>Consumer will be able to get the estimate and all timely updates in her/his mail.</w:t>
      </w:r>
    </w:p>
    <w:p w14:paraId="365CC4C5" w14:textId="77777777" w:rsidR="009942AF" w:rsidRPr="009942AF" w:rsidRDefault="009942AF" w:rsidP="009942AF">
      <w:pPr>
        <w:numPr>
          <w:ilvl w:val="0"/>
          <w:numId w:val="19"/>
        </w:numPr>
        <w:spacing w:after="200" w:line="360" w:lineRule="auto"/>
        <w:contextualSpacing/>
        <w:jc w:val="both"/>
        <w:rPr>
          <w:rFonts w:ascii="Calibri" w:eastAsia="Calibri" w:hAnsi="Calibri" w:cs="Calibri"/>
          <w:sz w:val="22"/>
          <w:szCs w:val="22"/>
        </w:rPr>
      </w:pPr>
      <w:r w:rsidRPr="009942AF">
        <w:rPr>
          <w:rFonts w:ascii="Calibri" w:eastAsia="Calibri" w:hAnsi="Calibri" w:cs="Calibri"/>
          <w:sz w:val="22"/>
          <w:szCs w:val="22"/>
        </w:rPr>
        <w:t>No involvement of hard copy, no use of paper, system will become more Eco friendly, less carbon footprint.</w:t>
      </w:r>
    </w:p>
    <w:p w14:paraId="1FF59282" w14:textId="77777777" w:rsidR="009942AF" w:rsidRPr="009942AF" w:rsidRDefault="009942AF" w:rsidP="009942AF">
      <w:pPr>
        <w:numPr>
          <w:ilvl w:val="0"/>
          <w:numId w:val="19"/>
        </w:numPr>
        <w:spacing w:after="200" w:line="360" w:lineRule="auto"/>
        <w:contextualSpacing/>
        <w:jc w:val="both"/>
        <w:rPr>
          <w:rFonts w:ascii="Calibri" w:eastAsia="Calibri" w:hAnsi="Calibri" w:cs="Calibri"/>
          <w:sz w:val="22"/>
          <w:szCs w:val="22"/>
        </w:rPr>
      </w:pPr>
      <w:r w:rsidRPr="009942AF">
        <w:rPr>
          <w:rFonts w:ascii="Calibri" w:eastAsia="Calibri" w:hAnsi="Calibri" w:cs="Calibri"/>
          <w:sz w:val="22"/>
          <w:szCs w:val="22"/>
        </w:rPr>
        <w:t>Fear of loss of physical copy shall be ruled out.</w:t>
      </w:r>
    </w:p>
    <w:p w14:paraId="2B025002" w14:textId="77777777" w:rsidR="009942AF" w:rsidRPr="009942AF" w:rsidRDefault="009942AF" w:rsidP="009942AF">
      <w:pPr>
        <w:numPr>
          <w:ilvl w:val="0"/>
          <w:numId w:val="19"/>
        </w:numPr>
        <w:spacing w:after="200" w:line="360" w:lineRule="auto"/>
        <w:contextualSpacing/>
        <w:jc w:val="both"/>
        <w:rPr>
          <w:rFonts w:ascii="Calibri" w:eastAsia="Calibri" w:hAnsi="Calibri" w:cs="Calibri"/>
          <w:sz w:val="22"/>
          <w:szCs w:val="22"/>
        </w:rPr>
      </w:pPr>
      <w:r w:rsidRPr="009942AF">
        <w:rPr>
          <w:rFonts w:ascii="Calibri" w:eastAsia="Calibri" w:hAnsi="Calibri" w:cs="Calibri"/>
          <w:sz w:val="22"/>
          <w:szCs w:val="22"/>
        </w:rPr>
        <w:t>Consumer can fetch the e-Bill details via his/her mail.</w:t>
      </w:r>
    </w:p>
    <w:p w14:paraId="12C41AD8" w14:textId="77777777" w:rsidR="009942AF" w:rsidRPr="009942AF" w:rsidRDefault="009942AF" w:rsidP="009942AF">
      <w:pPr>
        <w:numPr>
          <w:ilvl w:val="0"/>
          <w:numId w:val="19"/>
        </w:numPr>
        <w:spacing w:after="200" w:line="360" w:lineRule="auto"/>
        <w:contextualSpacing/>
        <w:jc w:val="both"/>
        <w:rPr>
          <w:rFonts w:ascii="Calibri" w:eastAsia="Calibri" w:hAnsi="Calibri" w:cs="Calibri"/>
          <w:sz w:val="22"/>
          <w:szCs w:val="22"/>
        </w:rPr>
      </w:pPr>
      <w:r w:rsidRPr="009942AF">
        <w:rPr>
          <w:rFonts w:ascii="Calibri" w:eastAsia="Calibri" w:hAnsi="Calibri" w:cs="Calibri"/>
          <w:sz w:val="22"/>
          <w:szCs w:val="22"/>
        </w:rPr>
        <w:t>No need of physical movement for customer which will enhance customer satisfaction.</w:t>
      </w:r>
    </w:p>
    <w:p w14:paraId="08469A34" w14:textId="77777777" w:rsidR="009942AF" w:rsidRPr="009942AF" w:rsidRDefault="009942AF" w:rsidP="00E0321D">
      <w:pPr>
        <w:spacing w:line="360" w:lineRule="auto"/>
        <w:ind w:left="567"/>
        <w:jc w:val="both"/>
        <w:rPr>
          <w:rFonts w:ascii="Calibri" w:hAnsi="Calibri" w:cs="Calibri"/>
          <w:sz w:val="22"/>
          <w:szCs w:val="22"/>
        </w:rPr>
      </w:pPr>
      <w:r w:rsidRPr="009942AF">
        <w:rPr>
          <w:rFonts w:ascii="Calibri" w:hAnsi="Calibri" w:cs="Calibri"/>
          <w:sz w:val="22"/>
          <w:szCs w:val="22"/>
        </w:rPr>
        <w:t>Considering the above the licensee once again request before Hon’ble Commission to consider the e- bill rebate to both the consumer who are opting it as well as consumer having smart meter also.</w:t>
      </w:r>
    </w:p>
    <w:p w14:paraId="57B81D1E" w14:textId="77777777" w:rsidR="009942AF" w:rsidRPr="009942AF" w:rsidRDefault="009942AF" w:rsidP="00E0321D">
      <w:pPr>
        <w:spacing w:after="200" w:line="360" w:lineRule="auto"/>
        <w:contextualSpacing/>
        <w:jc w:val="both"/>
        <w:rPr>
          <w:rFonts w:ascii="Calibri" w:eastAsia="Calibri" w:hAnsi="Calibri" w:cs="Calibri"/>
          <w:sz w:val="22"/>
          <w:szCs w:val="22"/>
        </w:rPr>
      </w:pPr>
    </w:p>
    <w:p w14:paraId="4D41EFF9" w14:textId="40AF59AA" w:rsidR="009942AF" w:rsidRPr="009942AF" w:rsidRDefault="009942AF" w:rsidP="009942AF">
      <w:pPr>
        <w:keepNext/>
        <w:spacing w:before="240" w:after="60" w:line="360" w:lineRule="auto"/>
        <w:ind w:left="540"/>
        <w:jc w:val="both"/>
        <w:outlineLvl w:val="0"/>
        <w:rPr>
          <w:rFonts w:ascii="Calibri" w:hAnsi="Calibri" w:cs="Calibri"/>
          <w:b/>
          <w:bCs/>
          <w:kern w:val="32"/>
        </w:rPr>
      </w:pPr>
      <w:r w:rsidRPr="009942AF">
        <w:rPr>
          <w:rFonts w:ascii="Calibri" w:hAnsi="Calibri" w:cs="Calibri"/>
          <w:b/>
          <w:bCs/>
          <w:kern w:val="32"/>
        </w:rPr>
        <w:t>9.</w:t>
      </w:r>
      <w:r w:rsidR="00E0321D">
        <w:rPr>
          <w:rFonts w:ascii="Calibri" w:hAnsi="Calibri" w:cs="Calibri"/>
          <w:b/>
          <w:bCs/>
          <w:kern w:val="32"/>
        </w:rPr>
        <w:t>3</w:t>
      </w:r>
      <w:r w:rsidRPr="009942AF">
        <w:rPr>
          <w:rFonts w:ascii="Calibri" w:hAnsi="Calibri" w:cs="Calibri"/>
          <w:b/>
          <w:bCs/>
          <w:kern w:val="32"/>
        </w:rPr>
        <w:t xml:space="preserve"> Load factor rebate to HT &amp; EHT industries</w:t>
      </w:r>
    </w:p>
    <w:p w14:paraId="75A008C2" w14:textId="4D55FA9F" w:rsidR="009942AF" w:rsidRDefault="009942AF" w:rsidP="00E0321D">
      <w:pPr>
        <w:spacing w:line="360" w:lineRule="auto"/>
        <w:ind w:left="567"/>
        <w:jc w:val="both"/>
        <w:rPr>
          <w:rFonts w:ascii="Calibri" w:hAnsi="Calibri" w:cs="Calibri"/>
          <w:sz w:val="22"/>
          <w:szCs w:val="22"/>
        </w:rPr>
      </w:pPr>
      <w:r w:rsidRPr="009942AF">
        <w:rPr>
          <w:rFonts w:ascii="Calibri" w:hAnsi="Calibri" w:cs="Calibri"/>
          <w:sz w:val="22"/>
          <w:szCs w:val="22"/>
        </w:rPr>
        <w:t xml:space="preserve">Load factor rebate to HT &amp; EHT industries are continuing since long time. As per the present mechanism the following benefit is being extended </w:t>
      </w:r>
    </w:p>
    <w:p w14:paraId="767C7927" w14:textId="77777777" w:rsidR="00E0321D" w:rsidRPr="009942AF" w:rsidRDefault="00E0321D" w:rsidP="00E0321D">
      <w:pPr>
        <w:spacing w:line="360" w:lineRule="auto"/>
        <w:ind w:left="567"/>
        <w:jc w:val="both"/>
        <w:rPr>
          <w:rFonts w:ascii="Calibri" w:hAnsi="Calibri" w:cs="Calibri"/>
          <w:sz w:val="22"/>
          <w:szCs w:val="22"/>
        </w:rPr>
      </w:pPr>
    </w:p>
    <w:tbl>
      <w:tblPr>
        <w:tblStyle w:val="TableGrid6"/>
        <w:tblpPr w:leftFromText="180" w:rightFromText="180" w:vertAnchor="text" w:horzAnchor="margin" w:tblpXSpec="center" w:tblpY="-45"/>
        <w:tblW w:w="0" w:type="auto"/>
        <w:tblLook w:val="04A0" w:firstRow="1" w:lastRow="0" w:firstColumn="1" w:lastColumn="0" w:noHBand="0" w:noVBand="1"/>
      </w:tblPr>
      <w:tblGrid>
        <w:gridCol w:w="1956"/>
        <w:gridCol w:w="1841"/>
        <w:gridCol w:w="1877"/>
      </w:tblGrid>
      <w:tr w:rsidR="009942AF" w:rsidRPr="00E0321D" w14:paraId="5AC2CF17" w14:textId="77777777" w:rsidTr="00E0321D">
        <w:tc>
          <w:tcPr>
            <w:tcW w:w="1956" w:type="dxa"/>
            <w:shd w:val="clear" w:color="auto" w:fill="95B3D7" w:themeFill="accent1" w:themeFillTint="99"/>
          </w:tcPr>
          <w:p w14:paraId="177CEA7F" w14:textId="77777777" w:rsidR="009942AF" w:rsidRPr="00E0321D" w:rsidRDefault="009942AF" w:rsidP="00E0321D">
            <w:pPr>
              <w:spacing w:line="360" w:lineRule="auto"/>
              <w:jc w:val="center"/>
              <w:rPr>
                <w:rFonts w:asciiTheme="minorHAnsi" w:hAnsiTheme="minorHAnsi" w:cstheme="minorHAnsi"/>
                <w:b/>
                <w:sz w:val="22"/>
                <w:szCs w:val="22"/>
                <w:lang w:eastAsia="en-IN"/>
              </w:rPr>
            </w:pPr>
            <w:r w:rsidRPr="00E0321D">
              <w:rPr>
                <w:rFonts w:asciiTheme="minorHAnsi" w:hAnsiTheme="minorHAnsi" w:cstheme="minorHAnsi"/>
                <w:b/>
                <w:sz w:val="22"/>
                <w:szCs w:val="22"/>
                <w:lang w:eastAsia="en-IN"/>
              </w:rPr>
              <w:t>Load Factor %</w:t>
            </w:r>
          </w:p>
        </w:tc>
        <w:tc>
          <w:tcPr>
            <w:tcW w:w="1841" w:type="dxa"/>
            <w:shd w:val="clear" w:color="auto" w:fill="95B3D7" w:themeFill="accent1" w:themeFillTint="99"/>
          </w:tcPr>
          <w:p w14:paraId="2E3CD2E5" w14:textId="77777777" w:rsidR="009942AF" w:rsidRPr="00E0321D" w:rsidRDefault="009942AF" w:rsidP="00E0321D">
            <w:pPr>
              <w:spacing w:line="360" w:lineRule="auto"/>
              <w:jc w:val="center"/>
              <w:rPr>
                <w:rFonts w:asciiTheme="minorHAnsi" w:hAnsiTheme="minorHAnsi" w:cstheme="minorHAnsi"/>
                <w:b/>
                <w:sz w:val="22"/>
                <w:szCs w:val="22"/>
                <w:lang w:eastAsia="en-IN"/>
              </w:rPr>
            </w:pPr>
            <w:r w:rsidRPr="00E0321D">
              <w:rPr>
                <w:rFonts w:asciiTheme="minorHAnsi" w:hAnsiTheme="minorHAnsi" w:cstheme="minorHAnsi"/>
                <w:b/>
                <w:sz w:val="22"/>
                <w:szCs w:val="22"/>
                <w:lang w:eastAsia="en-IN"/>
              </w:rPr>
              <w:t>HT</w:t>
            </w:r>
          </w:p>
        </w:tc>
        <w:tc>
          <w:tcPr>
            <w:tcW w:w="1877" w:type="dxa"/>
            <w:shd w:val="clear" w:color="auto" w:fill="95B3D7" w:themeFill="accent1" w:themeFillTint="99"/>
          </w:tcPr>
          <w:p w14:paraId="6E735CFA" w14:textId="77777777" w:rsidR="009942AF" w:rsidRPr="00E0321D" w:rsidRDefault="009942AF" w:rsidP="00E0321D">
            <w:pPr>
              <w:spacing w:line="360" w:lineRule="auto"/>
              <w:jc w:val="center"/>
              <w:rPr>
                <w:rFonts w:asciiTheme="minorHAnsi" w:hAnsiTheme="minorHAnsi" w:cstheme="minorHAnsi"/>
                <w:b/>
                <w:sz w:val="22"/>
                <w:szCs w:val="22"/>
                <w:lang w:eastAsia="en-IN"/>
              </w:rPr>
            </w:pPr>
            <w:r w:rsidRPr="00E0321D">
              <w:rPr>
                <w:rFonts w:asciiTheme="minorHAnsi" w:hAnsiTheme="minorHAnsi" w:cstheme="minorHAnsi"/>
                <w:b/>
                <w:sz w:val="22"/>
                <w:szCs w:val="22"/>
                <w:lang w:eastAsia="en-IN"/>
              </w:rPr>
              <w:t>EHT</w:t>
            </w:r>
          </w:p>
        </w:tc>
      </w:tr>
      <w:tr w:rsidR="009942AF" w:rsidRPr="00E0321D" w14:paraId="36B398A6" w14:textId="77777777" w:rsidTr="009942AF">
        <w:tc>
          <w:tcPr>
            <w:tcW w:w="1956" w:type="dxa"/>
          </w:tcPr>
          <w:p w14:paraId="7E8F9153" w14:textId="77777777" w:rsidR="009942AF" w:rsidRPr="00E0321D" w:rsidRDefault="009942AF" w:rsidP="009942AF">
            <w:pPr>
              <w:spacing w:line="360" w:lineRule="auto"/>
              <w:jc w:val="both"/>
              <w:rPr>
                <w:rFonts w:asciiTheme="minorHAnsi" w:hAnsiTheme="minorHAnsi" w:cstheme="minorHAnsi"/>
                <w:sz w:val="22"/>
                <w:szCs w:val="22"/>
                <w:lang w:eastAsia="en-IN"/>
              </w:rPr>
            </w:pPr>
            <w:r w:rsidRPr="00E0321D">
              <w:rPr>
                <w:rFonts w:asciiTheme="minorHAnsi" w:hAnsiTheme="minorHAnsi" w:cstheme="minorHAnsi"/>
                <w:sz w:val="22"/>
                <w:szCs w:val="22"/>
                <w:lang w:eastAsia="en-IN"/>
              </w:rPr>
              <w:t>=&lt;60%</w:t>
            </w:r>
          </w:p>
        </w:tc>
        <w:tc>
          <w:tcPr>
            <w:tcW w:w="1841" w:type="dxa"/>
          </w:tcPr>
          <w:p w14:paraId="64C7138A" w14:textId="77777777" w:rsidR="009942AF" w:rsidRPr="00E0321D" w:rsidRDefault="009942AF" w:rsidP="009942AF">
            <w:pPr>
              <w:spacing w:line="360" w:lineRule="auto"/>
              <w:jc w:val="both"/>
              <w:rPr>
                <w:rFonts w:asciiTheme="minorHAnsi" w:hAnsiTheme="minorHAnsi" w:cstheme="minorHAnsi"/>
                <w:sz w:val="22"/>
                <w:szCs w:val="22"/>
                <w:lang w:eastAsia="en-IN"/>
              </w:rPr>
            </w:pPr>
            <w:r w:rsidRPr="00E0321D">
              <w:rPr>
                <w:rFonts w:asciiTheme="minorHAnsi" w:hAnsiTheme="minorHAnsi" w:cstheme="minorHAnsi"/>
                <w:sz w:val="22"/>
                <w:szCs w:val="22"/>
                <w:lang w:eastAsia="en-IN"/>
              </w:rPr>
              <w:t>5.85</w:t>
            </w:r>
          </w:p>
        </w:tc>
        <w:tc>
          <w:tcPr>
            <w:tcW w:w="1877" w:type="dxa"/>
          </w:tcPr>
          <w:p w14:paraId="44456EAC" w14:textId="77777777" w:rsidR="009942AF" w:rsidRPr="00E0321D" w:rsidRDefault="009942AF" w:rsidP="009942AF">
            <w:pPr>
              <w:spacing w:line="360" w:lineRule="auto"/>
              <w:jc w:val="both"/>
              <w:rPr>
                <w:rFonts w:asciiTheme="minorHAnsi" w:hAnsiTheme="minorHAnsi" w:cstheme="minorHAnsi"/>
                <w:sz w:val="22"/>
                <w:szCs w:val="22"/>
                <w:lang w:eastAsia="en-IN"/>
              </w:rPr>
            </w:pPr>
            <w:r w:rsidRPr="00E0321D">
              <w:rPr>
                <w:rFonts w:asciiTheme="minorHAnsi" w:hAnsiTheme="minorHAnsi" w:cstheme="minorHAnsi"/>
                <w:sz w:val="22"/>
                <w:szCs w:val="22"/>
                <w:lang w:eastAsia="en-IN"/>
              </w:rPr>
              <w:t>5.80</w:t>
            </w:r>
          </w:p>
        </w:tc>
      </w:tr>
      <w:tr w:rsidR="009942AF" w:rsidRPr="00E0321D" w14:paraId="13C781E7" w14:textId="77777777" w:rsidTr="009942AF">
        <w:tc>
          <w:tcPr>
            <w:tcW w:w="1956" w:type="dxa"/>
          </w:tcPr>
          <w:p w14:paraId="22F3DBD1" w14:textId="77777777" w:rsidR="009942AF" w:rsidRPr="00E0321D" w:rsidRDefault="009942AF" w:rsidP="009942AF">
            <w:pPr>
              <w:spacing w:line="360" w:lineRule="auto"/>
              <w:jc w:val="both"/>
              <w:rPr>
                <w:rFonts w:asciiTheme="minorHAnsi" w:hAnsiTheme="minorHAnsi" w:cstheme="minorHAnsi"/>
                <w:sz w:val="22"/>
                <w:szCs w:val="22"/>
                <w:lang w:eastAsia="en-IN"/>
              </w:rPr>
            </w:pPr>
            <w:r w:rsidRPr="00E0321D">
              <w:rPr>
                <w:rFonts w:asciiTheme="minorHAnsi" w:hAnsiTheme="minorHAnsi" w:cstheme="minorHAnsi"/>
                <w:sz w:val="22"/>
                <w:szCs w:val="22"/>
                <w:lang w:eastAsia="en-IN"/>
              </w:rPr>
              <w:t>&gt;60%</w:t>
            </w:r>
          </w:p>
        </w:tc>
        <w:tc>
          <w:tcPr>
            <w:tcW w:w="1841" w:type="dxa"/>
          </w:tcPr>
          <w:p w14:paraId="0044ADA8" w14:textId="77777777" w:rsidR="009942AF" w:rsidRPr="00E0321D" w:rsidRDefault="009942AF" w:rsidP="009942AF">
            <w:pPr>
              <w:spacing w:line="360" w:lineRule="auto"/>
              <w:jc w:val="both"/>
              <w:rPr>
                <w:rFonts w:asciiTheme="minorHAnsi" w:hAnsiTheme="minorHAnsi" w:cstheme="minorHAnsi"/>
                <w:sz w:val="22"/>
                <w:szCs w:val="22"/>
                <w:lang w:eastAsia="en-IN"/>
              </w:rPr>
            </w:pPr>
            <w:r w:rsidRPr="00E0321D">
              <w:rPr>
                <w:rFonts w:asciiTheme="minorHAnsi" w:hAnsiTheme="minorHAnsi" w:cstheme="minorHAnsi"/>
                <w:sz w:val="22"/>
                <w:szCs w:val="22"/>
                <w:lang w:eastAsia="en-IN"/>
              </w:rPr>
              <w:t>4.75</w:t>
            </w:r>
          </w:p>
        </w:tc>
        <w:tc>
          <w:tcPr>
            <w:tcW w:w="1877" w:type="dxa"/>
          </w:tcPr>
          <w:p w14:paraId="65C6B981" w14:textId="77777777" w:rsidR="009942AF" w:rsidRPr="00E0321D" w:rsidRDefault="009942AF" w:rsidP="009942AF">
            <w:pPr>
              <w:spacing w:line="360" w:lineRule="auto"/>
              <w:jc w:val="both"/>
              <w:rPr>
                <w:rFonts w:asciiTheme="minorHAnsi" w:hAnsiTheme="minorHAnsi" w:cstheme="minorHAnsi"/>
                <w:sz w:val="22"/>
                <w:szCs w:val="22"/>
                <w:lang w:eastAsia="en-IN"/>
              </w:rPr>
            </w:pPr>
            <w:r w:rsidRPr="00E0321D">
              <w:rPr>
                <w:rFonts w:asciiTheme="minorHAnsi" w:hAnsiTheme="minorHAnsi" w:cstheme="minorHAnsi"/>
                <w:sz w:val="22"/>
                <w:szCs w:val="22"/>
                <w:lang w:eastAsia="en-IN"/>
              </w:rPr>
              <w:t>4.70</w:t>
            </w:r>
          </w:p>
        </w:tc>
      </w:tr>
    </w:tbl>
    <w:p w14:paraId="67CF3C54" w14:textId="77777777" w:rsidR="009942AF" w:rsidRPr="009942AF" w:rsidRDefault="009942AF" w:rsidP="009942AF">
      <w:pPr>
        <w:spacing w:line="360" w:lineRule="auto"/>
        <w:jc w:val="both"/>
        <w:rPr>
          <w:rFonts w:ascii="Calibri" w:hAnsi="Calibri" w:cs="Calibri"/>
          <w:sz w:val="22"/>
          <w:szCs w:val="22"/>
        </w:rPr>
      </w:pPr>
      <w:r w:rsidRPr="009942AF">
        <w:rPr>
          <w:rFonts w:ascii="Calibri" w:hAnsi="Calibri" w:cs="Calibri"/>
          <w:sz w:val="22"/>
          <w:szCs w:val="22"/>
        </w:rPr>
        <w:tab/>
      </w:r>
      <w:r w:rsidRPr="009942AF">
        <w:rPr>
          <w:rFonts w:ascii="Calibri" w:hAnsi="Calibri" w:cs="Calibri"/>
          <w:sz w:val="22"/>
          <w:szCs w:val="22"/>
        </w:rPr>
        <w:tab/>
      </w:r>
      <w:r w:rsidRPr="009942AF">
        <w:rPr>
          <w:rFonts w:ascii="Calibri" w:hAnsi="Calibri" w:cs="Calibri"/>
          <w:sz w:val="22"/>
          <w:szCs w:val="22"/>
        </w:rPr>
        <w:tab/>
      </w:r>
    </w:p>
    <w:p w14:paraId="144A5250" w14:textId="77777777" w:rsidR="009942AF" w:rsidRPr="009942AF" w:rsidRDefault="009942AF" w:rsidP="009942AF">
      <w:pPr>
        <w:spacing w:line="360" w:lineRule="auto"/>
        <w:jc w:val="both"/>
        <w:rPr>
          <w:rFonts w:ascii="Calibri" w:hAnsi="Calibri" w:cs="Calibri"/>
          <w:sz w:val="22"/>
          <w:szCs w:val="22"/>
        </w:rPr>
      </w:pPr>
    </w:p>
    <w:p w14:paraId="02447AD8" w14:textId="77777777" w:rsidR="009942AF" w:rsidRPr="009942AF" w:rsidRDefault="009942AF" w:rsidP="009942AF">
      <w:pPr>
        <w:spacing w:line="360" w:lineRule="auto"/>
        <w:jc w:val="both"/>
        <w:rPr>
          <w:rFonts w:ascii="Calibri" w:hAnsi="Calibri" w:cs="Calibri"/>
          <w:sz w:val="22"/>
          <w:szCs w:val="22"/>
        </w:rPr>
      </w:pPr>
    </w:p>
    <w:p w14:paraId="1829514A" w14:textId="77777777" w:rsidR="009942AF" w:rsidRPr="009942AF" w:rsidRDefault="009942AF" w:rsidP="009942AF">
      <w:pPr>
        <w:spacing w:line="360" w:lineRule="auto"/>
        <w:jc w:val="both"/>
        <w:rPr>
          <w:rFonts w:ascii="Calibri" w:hAnsi="Calibri" w:cs="Calibri"/>
          <w:sz w:val="22"/>
          <w:szCs w:val="22"/>
        </w:rPr>
      </w:pPr>
    </w:p>
    <w:p w14:paraId="04204CCB" w14:textId="77777777" w:rsidR="009942AF" w:rsidRPr="009942AF" w:rsidRDefault="009942AF" w:rsidP="00E0321D">
      <w:pPr>
        <w:spacing w:line="360" w:lineRule="auto"/>
        <w:ind w:left="567"/>
        <w:jc w:val="both"/>
        <w:rPr>
          <w:rFonts w:ascii="Calibri" w:hAnsi="Calibri" w:cs="Calibri"/>
          <w:sz w:val="22"/>
          <w:szCs w:val="22"/>
        </w:rPr>
      </w:pPr>
      <w:r w:rsidRPr="009942AF">
        <w:rPr>
          <w:rFonts w:ascii="Calibri" w:hAnsi="Calibri" w:cs="Calibri"/>
          <w:sz w:val="22"/>
          <w:szCs w:val="22"/>
        </w:rPr>
        <w:t>Presently, due to increases in average power purchase cost of the industries, they are pleading for enhancement of load factor incentive. Therefore, to protect the industries as well as improve industrial sales to bring equilibrium in sales mix, the licensee proposes a load factor incentive if the industry consumes more than 80% LF.</w:t>
      </w:r>
    </w:p>
    <w:p w14:paraId="662EC81C" w14:textId="77777777" w:rsidR="009942AF" w:rsidRPr="009942AF" w:rsidRDefault="009942AF" w:rsidP="00E0321D">
      <w:pPr>
        <w:spacing w:line="360" w:lineRule="auto"/>
        <w:ind w:left="567"/>
        <w:jc w:val="both"/>
        <w:rPr>
          <w:rFonts w:ascii="Calibri" w:hAnsi="Calibri" w:cs="Calibri"/>
          <w:sz w:val="22"/>
          <w:szCs w:val="22"/>
        </w:rPr>
      </w:pPr>
      <w:r w:rsidRPr="009942AF">
        <w:rPr>
          <w:rFonts w:ascii="Calibri" w:hAnsi="Calibri" w:cs="Calibri"/>
          <w:sz w:val="22"/>
          <w:szCs w:val="22"/>
        </w:rPr>
        <w:t xml:space="preserve">As per the prevailing tariff, EHT industries are eligible to get benefits of 10 </w:t>
      </w:r>
      <w:proofErr w:type="spellStart"/>
      <w:r w:rsidRPr="009942AF">
        <w:rPr>
          <w:rFonts w:ascii="Calibri" w:hAnsi="Calibri" w:cs="Calibri"/>
          <w:sz w:val="22"/>
          <w:szCs w:val="22"/>
        </w:rPr>
        <w:t>paise</w:t>
      </w:r>
      <w:proofErr w:type="spellEnd"/>
      <w:r w:rsidRPr="009942AF">
        <w:rPr>
          <w:rFonts w:ascii="Calibri" w:hAnsi="Calibri" w:cs="Calibri"/>
          <w:sz w:val="22"/>
          <w:szCs w:val="22"/>
        </w:rPr>
        <w:t xml:space="preserve"> per unit. </w:t>
      </w:r>
      <w:r w:rsidRPr="009942AF">
        <w:rPr>
          <w:rFonts w:ascii="Calibri" w:hAnsi="Calibri" w:cs="Calibri"/>
          <w:b/>
          <w:bCs/>
          <w:sz w:val="22"/>
          <w:szCs w:val="22"/>
        </w:rPr>
        <w:t xml:space="preserve">To Enhance consumption under EHT category the rebate may be increased to 20 </w:t>
      </w:r>
      <w:proofErr w:type="spellStart"/>
      <w:r w:rsidRPr="009942AF">
        <w:rPr>
          <w:rFonts w:ascii="Calibri" w:hAnsi="Calibri" w:cs="Calibri"/>
          <w:b/>
          <w:bCs/>
          <w:sz w:val="22"/>
          <w:szCs w:val="22"/>
        </w:rPr>
        <w:t>paise</w:t>
      </w:r>
      <w:proofErr w:type="spellEnd"/>
      <w:r w:rsidRPr="009942AF">
        <w:rPr>
          <w:rFonts w:ascii="Calibri" w:hAnsi="Calibri" w:cs="Calibri"/>
          <w:b/>
          <w:bCs/>
          <w:sz w:val="22"/>
          <w:szCs w:val="22"/>
        </w:rPr>
        <w:t xml:space="preserve"> per unit for the consumption beyond 80% LF.</w:t>
      </w:r>
    </w:p>
    <w:p w14:paraId="2BBFB523" w14:textId="41EDBD2A" w:rsidR="009942AF" w:rsidRPr="009942AF" w:rsidRDefault="009942AF" w:rsidP="009942AF">
      <w:pPr>
        <w:keepNext/>
        <w:spacing w:before="240" w:after="60" w:line="360" w:lineRule="auto"/>
        <w:ind w:left="540"/>
        <w:jc w:val="both"/>
        <w:outlineLvl w:val="0"/>
        <w:rPr>
          <w:rFonts w:ascii="Calibri" w:hAnsi="Calibri" w:cs="Calibri"/>
          <w:b/>
          <w:bCs/>
          <w:kern w:val="32"/>
        </w:rPr>
      </w:pPr>
      <w:r w:rsidRPr="009942AF">
        <w:rPr>
          <w:rFonts w:ascii="Calibri" w:hAnsi="Calibri" w:cs="Calibri"/>
          <w:b/>
          <w:bCs/>
          <w:kern w:val="32"/>
        </w:rPr>
        <w:lastRenderedPageBreak/>
        <w:t>9.</w:t>
      </w:r>
      <w:r w:rsidR="00F24B8B">
        <w:rPr>
          <w:rFonts w:ascii="Calibri" w:hAnsi="Calibri" w:cs="Calibri"/>
          <w:b/>
          <w:bCs/>
          <w:kern w:val="32"/>
        </w:rPr>
        <w:t>4</w:t>
      </w:r>
      <w:r w:rsidRPr="009942AF">
        <w:rPr>
          <w:rFonts w:ascii="Calibri" w:hAnsi="Calibri" w:cs="Calibri"/>
          <w:b/>
          <w:bCs/>
          <w:kern w:val="32"/>
        </w:rPr>
        <w:t xml:space="preserve"> Enhancement of </w:t>
      </w:r>
      <w:proofErr w:type="spellStart"/>
      <w:r w:rsidRPr="009942AF">
        <w:rPr>
          <w:rFonts w:ascii="Calibri" w:hAnsi="Calibri" w:cs="Calibri"/>
          <w:b/>
          <w:bCs/>
          <w:kern w:val="32"/>
        </w:rPr>
        <w:t>ToD</w:t>
      </w:r>
      <w:proofErr w:type="spellEnd"/>
      <w:r w:rsidRPr="009942AF">
        <w:rPr>
          <w:rFonts w:ascii="Calibri" w:hAnsi="Calibri" w:cs="Calibri"/>
          <w:b/>
          <w:bCs/>
          <w:kern w:val="32"/>
        </w:rPr>
        <w:t xml:space="preserve"> benefit in solar hour</w:t>
      </w:r>
    </w:p>
    <w:p w14:paraId="7494C6D2" w14:textId="77777777" w:rsidR="009942AF" w:rsidRPr="009942AF" w:rsidRDefault="009942AF" w:rsidP="00F24B8B">
      <w:pPr>
        <w:spacing w:line="360" w:lineRule="auto"/>
        <w:ind w:left="567"/>
        <w:jc w:val="both"/>
        <w:rPr>
          <w:rFonts w:ascii="Calibri" w:hAnsi="Calibri" w:cs="Calibri"/>
          <w:sz w:val="22"/>
          <w:szCs w:val="22"/>
          <w:lang w:val="en-IN"/>
        </w:rPr>
      </w:pPr>
      <w:r w:rsidRPr="009942AF">
        <w:rPr>
          <w:rFonts w:ascii="Calibri" w:hAnsi="Calibri" w:cs="Calibri"/>
          <w:sz w:val="22"/>
          <w:szCs w:val="22"/>
          <w:lang w:val="en-IN"/>
        </w:rPr>
        <w:t xml:space="preserve">The Commercial &amp; Industrial Consumers and Consumers provided with smart meters having MD &gt;10KW, are eligible to get a </w:t>
      </w:r>
      <w:proofErr w:type="spellStart"/>
      <w:r w:rsidRPr="009942AF">
        <w:rPr>
          <w:rFonts w:ascii="Calibri" w:hAnsi="Calibri" w:cs="Calibri"/>
          <w:sz w:val="22"/>
          <w:szCs w:val="22"/>
          <w:lang w:val="en-IN"/>
        </w:rPr>
        <w:t>ToD</w:t>
      </w:r>
      <w:proofErr w:type="spellEnd"/>
      <w:r w:rsidRPr="009942AF">
        <w:rPr>
          <w:rFonts w:ascii="Calibri" w:hAnsi="Calibri" w:cs="Calibri"/>
          <w:sz w:val="22"/>
          <w:szCs w:val="22"/>
          <w:lang w:val="en-IN"/>
        </w:rPr>
        <w:t xml:space="preserve"> rebate of 10 </w:t>
      </w:r>
      <w:proofErr w:type="spellStart"/>
      <w:r w:rsidRPr="009942AF">
        <w:rPr>
          <w:rFonts w:ascii="Calibri" w:hAnsi="Calibri" w:cs="Calibri"/>
          <w:sz w:val="22"/>
          <w:szCs w:val="22"/>
          <w:lang w:val="en-IN"/>
        </w:rPr>
        <w:t>paise</w:t>
      </w:r>
      <w:proofErr w:type="spellEnd"/>
      <w:r w:rsidRPr="009942AF">
        <w:rPr>
          <w:rFonts w:ascii="Calibri" w:hAnsi="Calibri" w:cs="Calibri"/>
          <w:sz w:val="22"/>
          <w:szCs w:val="22"/>
          <w:lang w:val="en-IN"/>
        </w:rPr>
        <w:t xml:space="preserve">/unit in Energy Charge during Solar Hours. The above Consumers shall pay a </w:t>
      </w:r>
      <w:proofErr w:type="spellStart"/>
      <w:r w:rsidRPr="009942AF">
        <w:rPr>
          <w:rFonts w:ascii="Calibri" w:hAnsi="Calibri" w:cs="Calibri"/>
          <w:sz w:val="22"/>
          <w:szCs w:val="22"/>
          <w:lang w:val="en-IN"/>
        </w:rPr>
        <w:t>ToD</w:t>
      </w:r>
      <w:proofErr w:type="spellEnd"/>
      <w:r w:rsidRPr="009942AF">
        <w:rPr>
          <w:rFonts w:ascii="Calibri" w:hAnsi="Calibri" w:cs="Calibri"/>
          <w:sz w:val="22"/>
          <w:szCs w:val="22"/>
          <w:lang w:val="en-IN"/>
        </w:rPr>
        <w:t xml:space="preserve"> surcharge of 20 </w:t>
      </w:r>
      <w:proofErr w:type="spellStart"/>
      <w:r w:rsidRPr="009942AF">
        <w:rPr>
          <w:rFonts w:ascii="Calibri" w:hAnsi="Calibri" w:cs="Calibri"/>
          <w:sz w:val="22"/>
          <w:szCs w:val="22"/>
          <w:lang w:val="en-IN"/>
        </w:rPr>
        <w:t>paise</w:t>
      </w:r>
      <w:proofErr w:type="spellEnd"/>
      <w:r w:rsidRPr="009942AF">
        <w:rPr>
          <w:rFonts w:ascii="Calibri" w:hAnsi="Calibri" w:cs="Calibri"/>
          <w:sz w:val="22"/>
          <w:szCs w:val="22"/>
          <w:lang w:val="en-IN"/>
        </w:rPr>
        <w:t xml:space="preserve">/unit during Peak Hours. The </w:t>
      </w:r>
      <w:proofErr w:type="spellStart"/>
      <w:r w:rsidRPr="009942AF">
        <w:rPr>
          <w:rFonts w:ascii="Calibri" w:hAnsi="Calibri" w:cs="Calibri"/>
          <w:sz w:val="22"/>
          <w:szCs w:val="22"/>
          <w:lang w:val="en-IN"/>
        </w:rPr>
        <w:t>ToD</w:t>
      </w:r>
      <w:proofErr w:type="spellEnd"/>
      <w:r w:rsidRPr="009942AF">
        <w:rPr>
          <w:rFonts w:ascii="Calibri" w:hAnsi="Calibri" w:cs="Calibri"/>
          <w:sz w:val="22"/>
          <w:szCs w:val="22"/>
          <w:lang w:val="en-IN"/>
        </w:rPr>
        <w:t xml:space="preserve"> rebate and surcharge shall not be applicable during Normal Hours. For this </w:t>
      </w:r>
      <w:proofErr w:type="gramStart"/>
      <w:r w:rsidRPr="009942AF">
        <w:rPr>
          <w:rFonts w:ascii="Calibri" w:hAnsi="Calibri" w:cs="Calibri"/>
          <w:sz w:val="22"/>
          <w:szCs w:val="22"/>
          <w:lang w:val="en-IN"/>
        </w:rPr>
        <w:t>purpose</w:t>
      </w:r>
      <w:proofErr w:type="gramEnd"/>
      <w:r w:rsidRPr="009942AF">
        <w:rPr>
          <w:rFonts w:ascii="Calibri" w:hAnsi="Calibri" w:cs="Calibri"/>
          <w:sz w:val="22"/>
          <w:szCs w:val="22"/>
          <w:lang w:val="en-IN"/>
        </w:rPr>
        <w:t xml:space="preserve"> the hours in a day have been defined as follows:</w:t>
      </w:r>
    </w:p>
    <w:p w14:paraId="0A9C4E98" w14:textId="77777777" w:rsidR="009942AF" w:rsidRPr="009942AF" w:rsidRDefault="009942AF" w:rsidP="00F24B8B">
      <w:pPr>
        <w:spacing w:line="360" w:lineRule="auto"/>
        <w:ind w:left="567"/>
        <w:jc w:val="both"/>
        <w:rPr>
          <w:rFonts w:ascii="Calibri" w:hAnsi="Calibri" w:cs="Calibri"/>
          <w:sz w:val="22"/>
          <w:szCs w:val="22"/>
          <w:lang w:val="en-IN"/>
        </w:rPr>
      </w:pPr>
      <w:r w:rsidRPr="009942AF">
        <w:rPr>
          <w:rFonts w:ascii="Calibri" w:hAnsi="Calibri" w:cs="Calibri"/>
          <w:sz w:val="22"/>
          <w:szCs w:val="22"/>
          <w:lang w:val="en-IN"/>
        </w:rPr>
        <w:t>8.00 AM to 4.00 PM - Solar Hours</w:t>
      </w:r>
    </w:p>
    <w:p w14:paraId="297FCAB4" w14:textId="77777777" w:rsidR="009942AF" w:rsidRPr="009942AF" w:rsidRDefault="009942AF" w:rsidP="00F24B8B">
      <w:pPr>
        <w:spacing w:line="360" w:lineRule="auto"/>
        <w:ind w:left="567"/>
        <w:jc w:val="both"/>
        <w:rPr>
          <w:rFonts w:ascii="Calibri" w:hAnsi="Calibri" w:cs="Calibri"/>
          <w:sz w:val="22"/>
          <w:szCs w:val="22"/>
          <w:lang w:val="en-IN"/>
        </w:rPr>
      </w:pPr>
      <w:r w:rsidRPr="009942AF">
        <w:rPr>
          <w:rFonts w:ascii="Calibri" w:hAnsi="Calibri" w:cs="Calibri"/>
          <w:sz w:val="22"/>
          <w:szCs w:val="22"/>
          <w:lang w:val="en-IN"/>
        </w:rPr>
        <w:t xml:space="preserve">After 4.00 PM </w:t>
      </w:r>
      <w:proofErr w:type="spellStart"/>
      <w:r w:rsidRPr="009942AF">
        <w:rPr>
          <w:rFonts w:ascii="Calibri" w:hAnsi="Calibri" w:cs="Calibri"/>
          <w:sz w:val="22"/>
          <w:szCs w:val="22"/>
          <w:lang w:val="en-IN"/>
        </w:rPr>
        <w:t>upto</w:t>
      </w:r>
      <w:proofErr w:type="spellEnd"/>
      <w:r w:rsidRPr="009942AF">
        <w:rPr>
          <w:rFonts w:ascii="Calibri" w:hAnsi="Calibri" w:cs="Calibri"/>
          <w:sz w:val="22"/>
          <w:szCs w:val="22"/>
          <w:lang w:val="en-IN"/>
        </w:rPr>
        <w:t xml:space="preserve"> 6.00 PM - Normal Hours</w:t>
      </w:r>
    </w:p>
    <w:p w14:paraId="269018AF" w14:textId="77777777" w:rsidR="009942AF" w:rsidRPr="009942AF" w:rsidRDefault="009942AF" w:rsidP="00F24B8B">
      <w:pPr>
        <w:spacing w:line="360" w:lineRule="auto"/>
        <w:ind w:left="567"/>
        <w:jc w:val="both"/>
        <w:rPr>
          <w:rFonts w:ascii="Calibri" w:hAnsi="Calibri" w:cs="Calibri"/>
          <w:sz w:val="22"/>
          <w:szCs w:val="22"/>
          <w:lang w:val="en-IN"/>
        </w:rPr>
      </w:pPr>
      <w:r w:rsidRPr="009942AF">
        <w:rPr>
          <w:rFonts w:ascii="Calibri" w:hAnsi="Calibri" w:cs="Calibri"/>
          <w:sz w:val="22"/>
          <w:szCs w:val="22"/>
          <w:lang w:val="en-IN"/>
        </w:rPr>
        <w:t xml:space="preserve">After 6.00 PM </w:t>
      </w:r>
      <w:proofErr w:type="spellStart"/>
      <w:r w:rsidRPr="009942AF">
        <w:rPr>
          <w:rFonts w:ascii="Calibri" w:hAnsi="Calibri" w:cs="Calibri"/>
          <w:sz w:val="22"/>
          <w:szCs w:val="22"/>
          <w:lang w:val="en-IN"/>
        </w:rPr>
        <w:t>upto</w:t>
      </w:r>
      <w:proofErr w:type="spellEnd"/>
      <w:r w:rsidRPr="009942AF">
        <w:rPr>
          <w:rFonts w:ascii="Calibri" w:hAnsi="Calibri" w:cs="Calibri"/>
          <w:sz w:val="22"/>
          <w:szCs w:val="22"/>
          <w:lang w:val="en-IN"/>
        </w:rPr>
        <w:t xml:space="preserve"> 12.00 Midnight - Peak Hours</w:t>
      </w:r>
    </w:p>
    <w:p w14:paraId="010FBB62" w14:textId="77777777" w:rsidR="009942AF" w:rsidRPr="009942AF" w:rsidRDefault="009942AF" w:rsidP="00F24B8B">
      <w:pPr>
        <w:spacing w:line="360" w:lineRule="auto"/>
        <w:ind w:left="567"/>
        <w:jc w:val="both"/>
        <w:rPr>
          <w:rFonts w:ascii="Calibri" w:hAnsi="Calibri" w:cs="Calibri"/>
          <w:sz w:val="22"/>
          <w:szCs w:val="22"/>
          <w:lang w:val="en-IN"/>
        </w:rPr>
      </w:pPr>
      <w:r w:rsidRPr="009942AF">
        <w:rPr>
          <w:rFonts w:ascii="Calibri" w:hAnsi="Calibri" w:cs="Calibri"/>
          <w:sz w:val="22"/>
          <w:szCs w:val="22"/>
          <w:lang w:val="en-IN"/>
        </w:rPr>
        <w:t xml:space="preserve">After 12.00 Midnight </w:t>
      </w:r>
      <w:proofErr w:type="spellStart"/>
      <w:r w:rsidRPr="009942AF">
        <w:rPr>
          <w:rFonts w:ascii="Calibri" w:hAnsi="Calibri" w:cs="Calibri"/>
          <w:sz w:val="22"/>
          <w:szCs w:val="22"/>
          <w:lang w:val="en-IN"/>
        </w:rPr>
        <w:t>upto</w:t>
      </w:r>
      <w:proofErr w:type="spellEnd"/>
      <w:r w:rsidRPr="009942AF">
        <w:rPr>
          <w:rFonts w:ascii="Calibri" w:hAnsi="Calibri" w:cs="Calibri"/>
          <w:sz w:val="22"/>
          <w:szCs w:val="22"/>
          <w:lang w:val="en-IN"/>
        </w:rPr>
        <w:t xml:space="preserve"> 8.00 AM next day - Normal Hours</w:t>
      </w:r>
    </w:p>
    <w:p w14:paraId="53944EDB" w14:textId="77777777" w:rsidR="009942AF" w:rsidRPr="009942AF" w:rsidRDefault="009942AF" w:rsidP="00F24B8B">
      <w:pPr>
        <w:spacing w:line="360" w:lineRule="auto"/>
        <w:ind w:left="567"/>
        <w:jc w:val="both"/>
        <w:rPr>
          <w:rFonts w:ascii="Calibri" w:hAnsi="Calibri" w:cs="Calibri"/>
          <w:sz w:val="22"/>
          <w:szCs w:val="22"/>
          <w:lang w:val="en-IN"/>
        </w:rPr>
      </w:pPr>
    </w:p>
    <w:p w14:paraId="10FA04BF" w14:textId="773D110E" w:rsidR="009942AF" w:rsidRPr="00F24B8B" w:rsidRDefault="009942AF" w:rsidP="00F24B8B">
      <w:pPr>
        <w:spacing w:line="360" w:lineRule="auto"/>
        <w:ind w:left="567"/>
        <w:jc w:val="both"/>
        <w:rPr>
          <w:rFonts w:ascii="Calibri" w:hAnsi="Calibri" w:cs="Calibri"/>
          <w:sz w:val="22"/>
          <w:szCs w:val="22"/>
          <w:lang w:val="en-IN"/>
        </w:rPr>
      </w:pPr>
      <w:r w:rsidRPr="009942AF">
        <w:rPr>
          <w:rFonts w:ascii="Calibri" w:hAnsi="Calibri" w:cs="Calibri"/>
          <w:sz w:val="22"/>
          <w:szCs w:val="22"/>
          <w:lang w:val="en-IN"/>
        </w:rPr>
        <w:t xml:space="preserve">Further, </w:t>
      </w:r>
      <w:proofErr w:type="spellStart"/>
      <w:r w:rsidRPr="009942AF">
        <w:rPr>
          <w:rFonts w:ascii="Calibri" w:hAnsi="Calibri" w:cs="Calibri"/>
          <w:sz w:val="22"/>
          <w:szCs w:val="22"/>
          <w:lang w:val="en-IN"/>
        </w:rPr>
        <w:t>overdrawal</w:t>
      </w:r>
      <w:proofErr w:type="spellEnd"/>
      <w:r w:rsidRPr="009942AF">
        <w:rPr>
          <w:rFonts w:ascii="Calibri" w:hAnsi="Calibri" w:cs="Calibri"/>
          <w:sz w:val="22"/>
          <w:szCs w:val="22"/>
          <w:lang w:val="en-IN"/>
        </w:rPr>
        <w:t xml:space="preserve"> up to 120% of the CD is permitted during Normal hours only. As explained above during solar hour power is available in GRIDCO pool which can be consumed by industries if </w:t>
      </w:r>
      <w:proofErr w:type="spellStart"/>
      <w:r w:rsidRPr="009942AF">
        <w:rPr>
          <w:rFonts w:ascii="Calibri" w:hAnsi="Calibri" w:cs="Calibri"/>
          <w:sz w:val="22"/>
          <w:szCs w:val="22"/>
          <w:lang w:val="en-IN"/>
        </w:rPr>
        <w:t>drawal</w:t>
      </w:r>
      <w:proofErr w:type="spellEnd"/>
      <w:r w:rsidRPr="009942AF">
        <w:rPr>
          <w:rFonts w:ascii="Calibri" w:hAnsi="Calibri" w:cs="Calibri"/>
          <w:sz w:val="22"/>
          <w:szCs w:val="22"/>
          <w:lang w:val="en-IN"/>
        </w:rPr>
        <w:t xml:space="preserve"> beyond CD </w:t>
      </w:r>
      <w:proofErr w:type="spellStart"/>
      <w:r w:rsidRPr="009942AF">
        <w:rPr>
          <w:rFonts w:ascii="Calibri" w:hAnsi="Calibri" w:cs="Calibri"/>
          <w:sz w:val="22"/>
          <w:szCs w:val="22"/>
          <w:lang w:val="en-IN"/>
        </w:rPr>
        <w:t>upto</w:t>
      </w:r>
      <w:proofErr w:type="spellEnd"/>
      <w:r w:rsidRPr="009942AF">
        <w:rPr>
          <w:rFonts w:ascii="Calibri" w:hAnsi="Calibri" w:cs="Calibri"/>
          <w:sz w:val="22"/>
          <w:szCs w:val="22"/>
          <w:lang w:val="en-IN"/>
        </w:rPr>
        <w:t xml:space="preserve"> 120% is permitted. Hon’ble Commission may consider this aspect in the ensuing year.</w:t>
      </w:r>
    </w:p>
    <w:p w14:paraId="6294C98F" w14:textId="5109CD81" w:rsidR="009942AF" w:rsidRPr="00F24B8B" w:rsidRDefault="006F2525" w:rsidP="009942AF">
      <w:pPr>
        <w:keepNext/>
        <w:spacing w:before="240" w:after="60" w:line="360" w:lineRule="auto"/>
        <w:ind w:left="540"/>
        <w:jc w:val="both"/>
        <w:outlineLvl w:val="0"/>
        <w:rPr>
          <w:rFonts w:ascii="Calibri" w:hAnsi="Calibri" w:cs="Calibri"/>
          <w:b/>
          <w:bCs/>
          <w:kern w:val="32"/>
          <w:szCs w:val="22"/>
        </w:rPr>
      </w:pPr>
      <w:r w:rsidRPr="00F24B8B">
        <w:rPr>
          <w:rFonts w:ascii="Calibri" w:hAnsi="Calibri" w:cs="Calibri"/>
          <w:b/>
          <w:bCs/>
          <w:kern w:val="32"/>
          <w:szCs w:val="22"/>
        </w:rPr>
        <w:t>9.5 Digital</w:t>
      </w:r>
      <w:r w:rsidR="009942AF" w:rsidRPr="00F24B8B">
        <w:rPr>
          <w:rFonts w:ascii="Calibri" w:hAnsi="Calibri" w:cs="Calibri"/>
          <w:b/>
          <w:bCs/>
          <w:kern w:val="32"/>
          <w:szCs w:val="22"/>
        </w:rPr>
        <w:t xml:space="preserve"> rebate if paid through </w:t>
      </w:r>
      <w:proofErr w:type="spellStart"/>
      <w:r w:rsidR="00F24B8B">
        <w:rPr>
          <w:rFonts w:ascii="Calibri" w:hAnsi="Calibri" w:cs="Calibri"/>
          <w:b/>
          <w:bCs/>
          <w:kern w:val="32"/>
          <w:szCs w:val="22"/>
        </w:rPr>
        <w:t>J</w:t>
      </w:r>
      <w:r w:rsidR="009942AF" w:rsidRPr="00F24B8B">
        <w:rPr>
          <w:rFonts w:ascii="Calibri" w:hAnsi="Calibri" w:cs="Calibri"/>
          <w:b/>
          <w:bCs/>
          <w:kern w:val="32"/>
          <w:szCs w:val="22"/>
        </w:rPr>
        <w:t>ansevakendra</w:t>
      </w:r>
      <w:proofErr w:type="spellEnd"/>
    </w:p>
    <w:p w14:paraId="453FBD75" w14:textId="223F763F" w:rsidR="009942AF" w:rsidRDefault="009942AF" w:rsidP="00F24B8B">
      <w:pPr>
        <w:spacing w:line="360" w:lineRule="auto"/>
        <w:ind w:left="567"/>
        <w:jc w:val="both"/>
        <w:rPr>
          <w:rFonts w:ascii="Calibri" w:hAnsi="Calibri" w:cs="Calibri"/>
          <w:sz w:val="22"/>
          <w:szCs w:val="22"/>
          <w:lang w:val="en-IN"/>
        </w:rPr>
      </w:pPr>
      <w:r w:rsidRPr="009942AF">
        <w:rPr>
          <w:rFonts w:ascii="Calibri" w:hAnsi="Calibri" w:cs="Calibri"/>
          <w:sz w:val="22"/>
          <w:szCs w:val="22"/>
        </w:rPr>
        <w:t xml:space="preserve">Hon’ble Commission has permitted </w:t>
      </w:r>
      <w:r w:rsidRPr="009942AF">
        <w:rPr>
          <w:rFonts w:ascii="Calibri" w:hAnsi="Calibri" w:cs="Calibri"/>
          <w:sz w:val="22"/>
          <w:szCs w:val="22"/>
          <w:lang w:val="en-IN"/>
        </w:rPr>
        <w:t>4% rebate on the bill to the LT domestic and single-phase general-purpose category of Consumers only over and above all other rebates, if such</w:t>
      </w:r>
      <w:r w:rsidR="00F24B8B">
        <w:rPr>
          <w:rFonts w:ascii="Calibri" w:hAnsi="Calibri" w:cs="Calibri"/>
          <w:sz w:val="22"/>
          <w:szCs w:val="22"/>
          <w:lang w:val="en-IN"/>
        </w:rPr>
        <w:t xml:space="preserve"> </w:t>
      </w:r>
      <w:r w:rsidRPr="009942AF">
        <w:rPr>
          <w:rFonts w:ascii="Calibri" w:hAnsi="Calibri" w:cs="Calibri"/>
          <w:sz w:val="22"/>
          <w:szCs w:val="22"/>
          <w:lang w:val="en-IN"/>
        </w:rPr>
        <w:t xml:space="preserve">Consumer pays the entire amount through digital mode before the due date. However, some rural, under privileged and less educated consumers are not able to pay through digital mode and always prefers to pay through cash only and some are paying through CSC, OCAC, </w:t>
      </w:r>
      <w:proofErr w:type="spellStart"/>
      <w:r w:rsidRPr="009942AF">
        <w:rPr>
          <w:rFonts w:ascii="Calibri" w:hAnsi="Calibri" w:cs="Calibri"/>
          <w:sz w:val="22"/>
          <w:szCs w:val="22"/>
          <w:lang w:val="en-IN"/>
        </w:rPr>
        <w:t>Janseva</w:t>
      </w:r>
      <w:proofErr w:type="spellEnd"/>
      <w:r w:rsidRPr="009942AF">
        <w:rPr>
          <w:rFonts w:ascii="Calibri" w:hAnsi="Calibri" w:cs="Calibri"/>
          <w:sz w:val="22"/>
          <w:szCs w:val="22"/>
          <w:lang w:val="en-IN"/>
        </w:rPr>
        <w:t xml:space="preserve"> </w:t>
      </w:r>
      <w:proofErr w:type="spellStart"/>
      <w:r w:rsidRPr="009942AF">
        <w:rPr>
          <w:rFonts w:ascii="Calibri" w:hAnsi="Calibri" w:cs="Calibri"/>
          <w:sz w:val="22"/>
          <w:szCs w:val="22"/>
          <w:lang w:val="en-IN"/>
        </w:rPr>
        <w:t>kendra</w:t>
      </w:r>
      <w:proofErr w:type="spellEnd"/>
      <w:r w:rsidRPr="009942AF">
        <w:rPr>
          <w:rFonts w:ascii="Calibri" w:hAnsi="Calibri" w:cs="Calibri"/>
          <w:sz w:val="22"/>
          <w:szCs w:val="22"/>
          <w:lang w:val="en-IN"/>
        </w:rPr>
        <w:t xml:space="preserve"> etc. In this regard licensee have already requested Hon’ble Commission for extension of rebate if they are paying through </w:t>
      </w:r>
      <w:proofErr w:type="spellStart"/>
      <w:r w:rsidRPr="009942AF">
        <w:rPr>
          <w:rFonts w:ascii="Calibri" w:hAnsi="Calibri" w:cs="Calibri"/>
          <w:sz w:val="22"/>
          <w:szCs w:val="22"/>
          <w:lang w:val="en-IN"/>
        </w:rPr>
        <w:t>Jansevakendra</w:t>
      </w:r>
      <w:proofErr w:type="spellEnd"/>
      <w:r w:rsidRPr="009942AF">
        <w:rPr>
          <w:rFonts w:ascii="Calibri" w:hAnsi="Calibri" w:cs="Calibri"/>
          <w:sz w:val="22"/>
          <w:szCs w:val="22"/>
          <w:lang w:val="en-IN"/>
        </w:rPr>
        <w:t xml:space="preserve">, </w:t>
      </w:r>
      <w:proofErr w:type="gramStart"/>
      <w:r w:rsidRPr="009942AF">
        <w:rPr>
          <w:rFonts w:ascii="Calibri" w:hAnsi="Calibri" w:cs="Calibri"/>
          <w:sz w:val="22"/>
          <w:szCs w:val="22"/>
          <w:lang w:val="en-IN"/>
        </w:rPr>
        <w:t>CSC,OCAC</w:t>
      </w:r>
      <w:proofErr w:type="gramEnd"/>
      <w:r w:rsidRPr="009942AF">
        <w:rPr>
          <w:rFonts w:ascii="Calibri" w:hAnsi="Calibri" w:cs="Calibri"/>
          <w:sz w:val="22"/>
          <w:szCs w:val="22"/>
          <w:lang w:val="en-IN"/>
        </w:rPr>
        <w:t xml:space="preserve"> etc. While approving the same through below letter Hon’ble commission has directed DISCOMs for wide publicity. </w:t>
      </w:r>
    </w:p>
    <w:p w14:paraId="77A822BA" w14:textId="77777777" w:rsidR="00F24B8B" w:rsidRPr="009942AF" w:rsidRDefault="00F24B8B" w:rsidP="00F24B8B">
      <w:pPr>
        <w:spacing w:line="360" w:lineRule="auto"/>
        <w:ind w:left="567"/>
        <w:jc w:val="both"/>
        <w:rPr>
          <w:rFonts w:ascii="Calibri" w:hAnsi="Calibri" w:cs="Calibri"/>
          <w:sz w:val="22"/>
          <w:szCs w:val="22"/>
          <w:lang w:val="en-IN"/>
        </w:rPr>
      </w:pPr>
    </w:p>
    <w:p w14:paraId="39540D38" w14:textId="77777777" w:rsidR="009942AF" w:rsidRPr="009942AF" w:rsidRDefault="009942AF" w:rsidP="00F24B8B">
      <w:pPr>
        <w:spacing w:line="360" w:lineRule="auto"/>
        <w:ind w:left="567"/>
        <w:jc w:val="both"/>
        <w:rPr>
          <w:rFonts w:ascii="Calibri" w:hAnsi="Calibri" w:cs="Calibri"/>
          <w:b/>
          <w:bCs/>
          <w:sz w:val="22"/>
          <w:szCs w:val="22"/>
        </w:rPr>
      </w:pPr>
      <w:r w:rsidRPr="009942AF">
        <w:rPr>
          <w:rFonts w:ascii="Calibri" w:hAnsi="Calibri" w:cs="Calibri"/>
          <w:b/>
          <w:bCs/>
          <w:sz w:val="22"/>
          <w:szCs w:val="22"/>
          <w:lang w:val="en-IN"/>
        </w:rPr>
        <w:t xml:space="preserve">Wide publicity will only arise if the same would be mentioned in the RST order. Therefore, Hon’ble Commission is requested to kindly consider this and may be mentioned in the RST order. </w:t>
      </w:r>
    </w:p>
    <w:p w14:paraId="688BE8DF" w14:textId="77777777" w:rsidR="009942AF" w:rsidRPr="009942AF" w:rsidRDefault="009942AF" w:rsidP="009942AF">
      <w:pPr>
        <w:rPr>
          <w:rFonts w:ascii="Calibri" w:hAnsi="Calibri" w:cs="Calibri"/>
          <w:sz w:val="22"/>
          <w:szCs w:val="22"/>
        </w:rPr>
      </w:pPr>
    </w:p>
    <w:p w14:paraId="5A719072" w14:textId="77777777" w:rsidR="009942AF" w:rsidRPr="009942AF" w:rsidRDefault="009942AF" w:rsidP="009942AF">
      <w:pPr>
        <w:rPr>
          <w:rFonts w:ascii="Calibri" w:hAnsi="Calibri" w:cs="Calibri"/>
          <w:sz w:val="22"/>
          <w:szCs w:val="22"/>
        </w:rPr>
      </w:pPr>
    </w:p>
    <w:p w14:paraId="51BF52A9" w14:textId="77777777" w:rsidR="009942AF" w:rsidRPr="009942AF" w:rsidRDefault="009942AF" w:rsidP="009942AF">
      <w:pPr>
        <w:rPr>
          <w:rFonts w:ascii="Calibri" w:hAnsi="Calibri" w:cs="Calibri"/>
          <w:sz w:val="22"/>
          <w:szCs w:val="22"/>
        </w:rPr>
      </w:pPr>
    </w:p>
    <w:p w14:paraId="33D2F0CA" w14:textId="77777777" w:rsidR="009942AF" w:rsidRPr="009942AF" w:rsidRDefault="009942AF" w:rsidP="009942AF">
      <w:pPr>
        <w:rPr>
          <w:rFonts w:ascii="Calibri" w:hAnsi="Calibri" w:cs="Calibri"/>
          <w:sz w:val="22"/>
          <w:szCs w:val="22"/>
        </w:rPr>
      </w:pPr>
    </w:p>
    <w:p w14:paraId="3E6C5597" w14:textId="77777777" w:rsidR="009942AF" w:rsidRPr="009942AF" w:rsidRDefault="009942AF" w:rsidP="009942AF">
      <w:pPr>
        <w:rPr>
          <w:rFonts w:ascii="Calibri" w:hAnsi="Calibri" w:cs="Calibri"/>
          <w:sz w:val="22"/>
          <w:szCs w:val="22"/>
        </w:rPr>
      </w:pPr>
    </w:p>
    <w:p w14:paraId="5D1C6462" w14:textId="77777777" w:rsidR="009942AF" w:rsidRPr="009942AF" w:rsidRDefault="009942AF" w:rsidP="009942AF">
      <w:pPr>
        <w:tabs>
          <w:tab w:val="left" w:pos="2064"/>
        </w:tabs>
        <w:rPr>
          <w:rFonts w:ascii="Calibri" w:hAnsi="Calibri" w:cs="Calibri"/>
          <w:sz w:val="22"/>
          <w:szCs w:val="22"/>
        </w:rPr>
      </w:pPr>
      <w:r w:rsidRPr="009942AF">
        <w:rPr>
          <w:rFonts w:ascii="Calibri" w:hAnsi="Calibri" w:cs="Calibri"/>
          <w:sz w:val="22"/>
          <w:szCs w:val="22"/>
        </w:rPr>
        <w:tab/>
      </w:r>
    </w:p>
    <w:p w14:paraId="2543FE56" w14:textId="77777777" w:rsidR="009942AF" w:rsidRPr="009942AF" w:rsidRDefault="009942AF" w:rsidP="009942AF">
      <w:pPr>
        <w:tabs>
          <w:tab w:val="left" w:pos="2064"/>
        </w:tabs>
        <w:rPr>
          <w:rFonts w:ascii="Calibri" w:hAnsi="Calibri" w:cs="Calibri"/>
          <w:sz w:val="22"/>
          <w:szCs w:val="22"/>
        </w:rPr>
      </w:pPr>
    </w:p>
    <w:p w14:paraId="3C80F0F3" w14:textId="77777777" w:rsidR="009942AF" w:rsidRPr="009942AF" w:rsidRDefault="009942AF" w:rsidP="009942AF">
      <w:pPr>
        <w:tabs>
          <w:tab w:val="left" w:pos="2064"/>
        </w:tabs>
        <w:rPr>
          <w:rFonts w:ascii="Calibri" w:hAnsi="Calibri" w:cs="Calibri"/>
          <w:sz w:val="22"/>
          <w:szCs w:val="22"/>
        </w:rPr>
      </w:pPr>
    </w:p>
    <w:p w14:paraId="39A86D99" w14:textId="77777777" w:rsidR="009942AF" w:rsidRPr="009942AF" w:rsidRDefault="009942AF" w:rsidP="009942AF">
      <w:pPr>
        <w:tabs>
          <w:tab w:val="left" w:pos="2064"/>
        </w:tabs>
        <w:rPr>
          <w:rFonts w:ascii="Calibri" w:hAnsi="Calibri" w:cs="Calibri"/>
          <w:sz w:val="22"/>
          <w:szCs w:val="22"/>
        </w:rPr>
      </w:pPr>
    </w:p>
    <w:p w14:paraId="0D815FD3" w14:textId="77777777" w:rsidR="009942AF" w:rsidRPr="009942AF" w:rsidRDefault="009942AF" w:rsidP="009942AF">
      <w:pPr>
        <w:tabs>
          <w:tab w:val="left" w:pos="2064"/>
        </w:tabs>
        <w:rPr>
          <w:rFonts w:ascii="Calibri" w:hAnsi="Calibri" w:cs="Calibri"/>
          <w:sz w:val="22"/>
          <w:szCs w:val="22"/>
        </w:rPr>
      </w:pPr>
    </w:p>
    <w:p w14:paraId="23803C3E" w14:textId="2A1B6D73" w:rsidR="009942AF" w:rsidRPr="009942AF" w:rsidRDefault="000A495D" w:rsidP="000A495D">
      <w:pPr>
        <w:tabs>
          <w:tab w:val="left" w:pos="2064"/>
        </w:tabs>
        <w:rPr>
          <w:rFonts w:ascii="Calibri" w:hAnsi="Calibri" w:cs="Calibri"/>
          <w:sz w:val="22"/>
          <w:szCs w:val="22"/>
        </w:rPr>
      </w:pPr>
      <w:r w:rsidRPr="009942AF">
        <w:rPr>
          <w:rFonts w:ascii="Calibri" w:hAnsi="Calibri" w:cs="Calibri"/>
          <w:noProof/>
          <w:sz w:val="22"/>
          <w:szCs w:val="22"/>
          <w:lang w:val="en-IN" w:eastAsia="en-IN"/>
        </w:rPr>
        <w:lastRenderedPageBreak/>
        <w:drawing>
          <wp:anchor distT="0" distB="0" distL="114300" distR="114300" simplePos="0" relativeHeight="252208640" behindDoc="0" locked="0" layoutInCell="1" allowOverlap="1" wp14:anchorId="67F0CBD5" wp14:editId="71D588DC">
            <wp:simplePos x="0" y="0"/>
            <wp:positionH relativeFrom="margin">
              <wp:posOffset>289560</wp:posOffset>
            </wp:positionH>
            <wp:positionV relativeFrom="paragraph">
              <wp:posOffset>66040</wp:posOffset>
            </wp:positionV>
            <wp:extent cx="5705475" cy="3257550"/>
            <wp:effectExtent l="0" t="0" r="9525" b="0"/>
            <wp:wrapSquare wrapText="bothSides"/>
            <wp:docPr id="123735742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7357426" name=""/>
                    <pic:cNvPicPr/>
                  </pic:nvPicPr>
                  <pic:blipFill>
                    <a:blip r:embed="rId157">
                      <a:extLst>
                        <a:ext uri="{28A0092B-C50C-407E-A947-70E740481C1C}">
                          <a14:useLocalDpi xmlns:a14="http://schemas.microsoft.com/office/drawing/2010/main" val="0"/>
                        </a:ext>
                      </a:extLst>
                    </a:blip>
                    <a:stretch>
                      <a:fillRect/>
                    </a:stretch>
                  </pic:blipFill>
                  <pic:spPr>
                    <a:xfrm>
                      <a:off x="0" y="0"/>
                      <a:ext cx="5705475" cy="3257550"/>
                    </a:xfrm>
                    <a:prstGeom prst="rect">
                      <a:avLst/>
                    </a:prstGeom>
                  </pic:spPr>
                </pic:pic>
              </a:graphicData>
            </a:graphic>
            <wp14:sizeRelH relativeFrom="margin">
              <wp14:pctWidth>0</wp14:pctWidth>
            </wp14:sizeRelH>
            <wp14:sizeRelV relativeFrom="margin">
              <wp14:pctHeight>0</wp14:pctHeight>
            </wp14:sizeRelV>
          </wp:anchor>
        </w:drawing>
      </w:r>
    </w:p>
    <w:p w14:paraId="0993C91B" w14:textId="2B7D8CDB" w:rsidR="009942AF" w:rsidRPr="009942AF" w:rsidRDefault="00A81912" w:rsidP="00A81912">
      <w:pPr>
        <w:keepNext/>
        <w:spacing w:before="240" w:after="60" w:line="360" w:lineRule="auto"/>
        <w:contextualSpacing/>
        <w:jc w:val="both"/>
        <w:outlineLvl w:val="0"/>
        <w:rPr>
          <w:rFonts w:ascii="Calibri" w:eastAsia="Calibri" w:hAnsi="Calibri" w:cs="Calibri"/>
          <w:b/>
          <w:bCs/>
          <w:kern w:val="32"/>
          <w:sz w:val="22"/>
          <w:szCs w:val="22"/>
        </w:rPr>
      </w:pPr>
      <w:r>
        <w:rPr>
          <w:rFonts w:ascii="Calibri" w:eastAsia="Calibri" w:hAnsi="Calibri" w:cs="Calibri"/>
          <w:b/>
          <w:bCs/>
          <w:kern w:val="32"/>
          <w:sz w:val="22"/>
          <w:szCs w:val="22"/>
        </w:rPr>
        <w:t xml:space="preserve">             </w:t>
      </w:r>
      <w:r w:rsidR="000A495D">
        <w:rPr>
          <w:rFonts w:ascii="Calibri" w:eastAsia="Calibri" w:hAnsi="Calibri" w:cs="Calibri"/>
          <w:b/>
          <w:bCs/>
          <w:kern w:val="32"/>
          <w:sz w:val="22"/>
          <w:szCs w:val="22"/>
        </w:rPr>
        <w:t xml:space="preserve">9.6 </w:t>
      </w:r>
      <w:proofErr w:type="spellStart"/>
      <w:r w:rsidR="009942AF" w:rsidRPr="009942AF">
        <w:rPr>
          <w:rFonts w:ascii="Calibri" w:eastAsia="Calibri" w:hAnsi="Calibri" w:cs="Calibri"/>
          <w:b/>
          <w:bCs/>
          <w:kern w:val="32"/>
          <w:sz w:val="22"/>
          <w:szCs w:val="22"/>
        </w:rPr>
        <w:t>kVAh</w:t>
      </w:r>
      <w:proofErr w:type="spellEnd"/>
      <w:r w:rsidR="009942AF" w:rsidRPr="009942AF">
        <w:rPr>
          <w:rFonts w:ascii="Calibri" w:eastAsia="Calibri" w:hAnsi="Calibri" w:cs="Calibri"/>
          <w:b/>
          <w:bCs/>
          <w:kern w:val="32"/>
          <w:sz w:val="22"/>
          <w:szCs w:val="22"/>
        </w:rPr>
        <w:t xml:space="preserve"> Billing to LT category of consumers with CD&gt;110 kVA </w:t>
      </w:r>
    </w:p>
    <w:p w14:paraId="0596B53A" w14:textId="77777777" w:rsidR="009942AF" w:rsidRPr="009942AF" w:rsidRDefault="009942AF" w:rsidP="0090250D">
      <w:pPr>
        <w:autoSpaceDE w:val="0"/>
        <w:autoSpaceDN w:val="0"/>
        <w:adjustRightInd w:val="0"/>
        <w:spacing w:after="200" w:line="360" w:lineRule="auto"/>
        <w:ind w:left="709"/>
        <w:contextualSpacing/>
        <w:jc w:val="both"/>
        <w:rPr>
          <w:rFonts w:ascii="Calibri" w:eastAsia="Calibri" w:hAnsi="Calibri" w:cs="Calibri"/>
          <w:b/>
          <w:i/>
          <w:sz w:val="22"/>
          <w:szCs w:val="22"/>
          <w:lang w:val="en-IN" w:eastAsia="en-IN"/>
        </w:rPr>
      </w:pPr>
      <w:r w:rsidRPr="009942AF">
        <w:rPr>
          <w:rFonts w:ascii="Calibri" w:hAnsi="Calibri" w:cs="Calibri"/>
          <w:sz w:val="22"/>
          <w:szCs w:val="22"/>
          <w:lang w:val="en-IN"/>
        </w:rPr>
        <w:t xml:space="preserve">Hon’ble Commission introduced </w:t>
      </w:r>
      <w:proofErr w:type="spellStart"/>
      <w:r w:rsidRPr="009942AF">
        <w:rPr>
          <w:rFonts w:ascii="Calibri" w:hAnsi="Calibri" w:cs="Calibri"/>
          <w:sz w:val="22"/>
          <w:szCs w:val="22"/>
          <w:lang w:val="en-IN"/>
        </w:rPr>
        <w:t>kVAh</w:t>
      </w:r>
      <w:proofErr w:type="spellEnd"/>
      <w:r w:rsidRPr="009942AF">
        <w:rPr>
          <w:rFonts w:ascii="Calibri" w:hAnsi="Calibri" w:cs="Calibri"/>
          <w:sz w:val="22"/>
          <w:szCs w:val="22"/>
          <w:lang w:val="en-IN"/>
        </w:rPr>
        <w:t xml:space="preserve"> billing system first time in FY 21-22 for HT &amp; EHT consumers. However, in Para </w:t>
      </w:r>
      <w:r w:rsidRPr="009942AF">
        <w:rPr>
          <w:rFonts w:ascii="Calibri" w:hAnsi="Calibri" w:cs="Calibri"/>
          <w:sz w:val="22"/>
          <w:szCs w:val="22"/>
          <w:lang w:val="en-IN"/>
        </w:rPr>
        <w:tab/>
        <w:t>482 of RST Order FY 21-22, Hon’ble Commission held that</w:t>
      </w:r>
      <w:r w:rsidRPr="009942AF">
        <w:rPr>
          <w:rFonts w:ascii="Calibri" w:eastAsia="Calibri" w:hAnsi="Calibri" w:cs="Calibri"/>
          <w:sz w:val="22"/>
          <w:szCs w:val="22"/>
        </w:rPr>
        <w:t xml:space="preserve"> “</w:t>
      </w:r>
      <w:r w:rsidRPr="009942AF">
        <w:rPr>
          <w:rFonts w:ascii="Calibri" w:eastAsia="Calibri" w:hAnsi="Calibri" w:cs="Calibri"/>
          <w:b/>
          <w:i/>
          <w:sz w:val="22"/>
          <w:szCs w:val="22"/>
          <w:lang w:val="en-IN" w:eastAsia="en-IN"/>
        </w:rPr>
        <w:t>Three Part Tariff - LT consumers with connected load 110 kVA and above shall be billed with the following charges:</w:t>
      </w:r>
    </w:p>
    <w:p w14:paraId="01B33031" w14:textId="77777777" w:rsidR="009942AF" w:rsidRPr="009942AF" w:rsidRDefault="009942AF" w:rsidP="0090250D">
      <w:pPr>
        <w:autoSpaceDE w:val="0"/>
        <w:autoSpaceDN w:val="0"/>
        <w:adjustRightInd w:val="0"/>
        <w:spacing w:after="200" w:line="360" w:lineRule="auto"/>
        <w:ind w:left="709"/>
        <w:contextualSpacing/>
        <w:jc w:val="both"/>
        <w:rPr>
          <w:rFonts w:ascii="Calibri" w:eastAsia="Calibri" w:hAnsi="Calibri" w:cs="Calibri"/>
          <w:b/>
          <w:i/>
          <w:sz w:val="22"/>
          <w:szCs w:val="22"/>
          <w:lang w:val="en-IN" w:eastAsia="en-IN"/>
        </w:rPr>
      </w:pPr>
      <w:r w:rsidRPr="009942AF">
        <w:rPr>
          <w:rFonts w:ascii="Calibri" w:eastAsia="Calibri" w:hAnsi="Calibri" w:cs="Calibri"/>
          <w:b/>
          <w:i/>
          <w:sz w:val="22"/>
          <w:szCs w:val="22"/>
          <w:lang w:val="en-IN" w:eastAsia="en-IN"/>
        </w:rPr>
        <w:t>(a) Demand Charge (</w:t>
      </w:r>
      <w:proofErr w:type="gramStart"/>
      <w:r w:rsidRPr="009942AF">
        <w:rPr>
          <w:rFonts w:ascii="Calibri" w:eastAsia="Calibri" w:hAnsi="Calibri" w:cs="Calibri"/>
          <w:b/>
          <w:i/>
          <w:sz w:val="22"/>
          <w:szCs w:val="22"/>
          <w:lang w:val="en-IN" w:eastAsia="en-IN"/>
        </w:rPr>
        <w:t>Rs./</w:t>
      </w:r>
      <w:proofErr w:type="gramEnd"/>
      <w:r w:rsidRPr="009942AF">
        <w:rPr>
          <w:rFonts w:ascii="Calibri" w:eastAsia="Calibri" w:hAnsi="Calibri" w:cs="Calibri"/>
          <w:b/>
          <w:i/>
          <w:sz w:val="22"/>
          <w:szCs w:val="22"/>
          <w:lang w:val="en-IN" w:eastAsia="en-IN"/>
        </w:rPr>
        <w:t>kVA)</w:t>
      </w:r>
    </w:p>
    <w:p w14:paraId="524C6B2B" w14:textId="77777777" w:rsidR="009942AF" w:rsidRPr="009942AF" w:rsidRDefault="009942AF" w:rsidP="0090250D">
      <w:pPr>
        <w:autoSpaceDE w:val="0"/>
        <w:autoSpaceDN w:val="0"/>
        <w:adjustRightInd w:val="0"/>
        <w:spacing w:after="200" w:line="360" w:lineRule="auto"/>
        <w:ind w:left="709"/>
        <w:contextualSpacing/>
        <w:jc w:val="both"/>
        <w:rPr>
          <w:rFonts w:ascii="Calibri" w:eastAsia="Calibri" w:hAnsi="Calibri" w:cs="Calibri"/>
          <w:b/>
          <w:i/>
          <w:sz w:val="22"/>
          <w:szCs w:val="22"/>
          <w:lang w:val="en-IN" w:eastAsia="en-IN"/>
        </w:rPr>
      </w:pPr>
      <w:r w:rsidRPr="009942AF">
        <w:rPr>
          <w:rFonts w:ascii="Calibri" w:eastAsia="Calibri" w:hAnsi="Calibri" w:cs="Calibri"/>
          <w:b/>
          <w:i/>
          <w:sz w:val="22"/>
          <w:szCs w:val="22"/>
          <w:lang w:val="en-IN" w:eastAsia="en-IN"/>
        </w:rPr>
        <w:t>(b) Energy Charge (kWh) (</w:t>
      </w:r>
      <w:proofErr w:type="spellStart"/>
      <w:r w:rsidRPr="009942AF">
        <w:rPr>
          <w:rFonts w:ascii="Calibri" w:eastAsia="Calibri" w:hAnsi="Calibri" w:cs="Calibri"/>
          <w:b/>
          <w:i/>
          <w:sz w:val="22"/>
          <w:szCs w:val="22"/>
          <w:lang w:val="en-IN" w:eastAsia="en-IN"/>
        </w:rPr>
        <w:t>Paise</w:t>
      </w:r>
      <w:proofErr w:type="spellEnd"/>
      <w:r w:rsidRPr="009942AF">
        <w:rPr>
          <w:rFonts w:ascii="Calibri" w:eastAsia="Calibri" w:hAnsi="Calibri" w:cs="Calibri"/>
          <w:b/>
          <w:i/>
          <w:sz w:val="22"/>
          <w:szCs w:val="22"/>
          <w:lang w:val="en-IN" w:eastAsia="en-IN"/>
        </w:rPr>
        <w:t>/unit)</w:t>
      </w:r>
    </w:p>
    <w:p w14:paraId="58B82045" w14:textId="77777777" w:rsidR="009942AF" w:rsidRPr="009942AF" w:rsidRDefault="009942AF" w:rsidP="0090250D">
      <w:pPr>
        <w:autoSpaceDE w:val="0"/>
        <w:autoSpaceDN w:val="0"/>
        <w:adjustRightInd w:val="0"/>
        <w:spacing w:after="200" w:line="360" w:lineRule="auto"/>
        <w:ind w:left="709"/>
        <w:contextualSpacing/>
        <w:jc w:val="both"/>
        <w:rPr>
          <w:rFonts w:ascii="Calibri" w:eastAsia="Calibri" w:hAnsi="Calibri" w:cs="Calibri"/>
          <w:b/>
          <w:i/>
          <w:sz w:val="22"/>
          <w:szCs w:val="22"/>
        </w:rPr>
      </w:pPr>
      <w:r w:rsidRPr="009942AF">
        <w:rPr>
          <w:rFonts w:ascii="Calibri" w:eastAsia="Calibri" w:hAnsi="Calibri" w:cs="Calibri"/>
          <w:b/>
          <w:i/>
          <w:sz w:val="22"/>
          <w:szCs w:val="22"/>
          <w:lang w:val="en-IN" w:eastAsia="en-IN"/>
        </w:rPr>
        <w:t>(c) Customer Service Charge (</w:t>
      </w:r>
      <w:proofErr w:type="gramStart"/>
      <w:r w:rsidRPr="009942AF">
        <w:rPr>
          <w:rFonts w:ascii="Calibri" w:eastAsia="Calibri" w:hAnsi="Calibri" w:cs="Calibri"/>
          <w:b/>
          <w:i/>
          <w:sz w:val="22"/>
          <w:szCs w:val="22"/>
          <w:lang w:val="en-IN" w:eastAsia="en-IN"/>
        </w:rPr>
        <w:t>Rs./</w:t>
      </w:r>
      <w:proofErr w:type="gramEnd"/>
      <w:r w:rsidRPr="009942AF">
        <w:rPr>
          <w:rFonts w:ascii="Calibri" w:eastAsia="Calibri" w:hAnsi="Calibri" w:cs="Calibri"/>
          <w:b/>
          <w:i/>
          <w:sz w:val="22"/>
          <w:szCs w:val="22"/>
          <w:lang w:val="en-IN" w:eastAsia="en-IN"/>
        </w:rPr>
        <w:t>Month)</w:t>
      </w:r>
      <w:r w:rsidRPr="009942AF">
        <w:rPr>
          <w:rFonts w:ascii="Calibri" w:eastAsia="Calibri" w:hAnsi="Calibri" w:cs="Calibri"/>
          <w:b/>
          <w:i/>
          <w:sz w:val="22"/>
          <w:szCs w:val="22"/>
        </w:rPr>
        <w:t xml:space="preserve"> </w:t>
      </w:r>
    </w:p>
    <w:p w14:paraId="2ABAEB22" w14:textId="77777777" w:rsidR="009942AF" w:rsidRPr="009942AF" w:rsidRDefault="009942AF" w:rsidP="0090250D">
      <w:pPr>
        <w:autoSpaceDE w:val="0"/>
        <w:autoSpaceDN w:val="0"/>
        <w:adjustRightInd w:val="0"/>
        <w:spacing w:after="200" w:line="360" w:lineRule="auto"/>
        <w:ind w:left="709"/>
        <w:contextualSpacing/>
        <w:jc w:val="both"/>
        <w:rPr>
          <w:rFonts w:ascii="Calibri" w:eastAsia="Calibri" w:hAnsi="Calibri" w:cs="Calibri"/>
          <w:sz w:val="22"/>
          <w:szCs w:val="22"/>
        </w:rPr>
      </w:pPr>
      <w:r w:rsidRPr="009942AF">
        <w:rPr>
          <w:rFonts w:ascii="Calibri" w:eastAsia="Calibri" w:hAnsi="Calibri" w:cs="Calibri"/>
          <w:sz w:val="22"/>
          <w:szCs w:val="22"/>
        </w:rPr>
        <w:t xml:space="preserve">Similarly, In FY 22-23, the applicable charges were revised as follows: </w:t>
      </w:r>
    </w:p>
    <w:p w14:paraId="5FDB38B0" w14:textId="77777777" w:rsidR="009942AF" w:rsidRPr="009942AF" w:rsidRDefault="009942AF" w:rsidP="0090250D">
      <w:pPr>
        <w:autoSpaceDE w:val="0"/>
        <w:autoSpaceDN w:val="0"/>
        <w:adjustRightInd w:val="0"/>
        <w:spacing w:after="200" w:line="360" w:lineRule="auto"/>
        <w:ind w:left="709"/>
        <w:contextualSpacing/>
        <w:jc w:val="both"/>
        <w:rPr>
          <w:rFonts w:ascii="Calibri" w:eastAsia="Calibri" w:hAnsi="Calibri" w:cs="Calibri"/>
          <w:b/>
          <w:i/>
          <w:sz w:val="22"/>
          <w:szCs w:val="22"/>
        </w:rPr>
      </w:pPr>
      <w:r w:rsidRPr="009942AF">
        <w:rPr>
          <w:rFonts w:ascii="Calibri" w:eastAsia="Calibri" w:hAnsi="Calibri" w:cs="Calibri"/>
          <w:sz w:val="22"/>
          <w:szCs w:val="22"/>
        </w:rPr>
        <w:t>“</w:t>
      </w:r>
      <w:r w:rsidRPr="009942AF">
        <w:rPr>
          <w:rFonts w:ascii="Calibri" w:eastAsia="Calibri" w:hAnsi="Calibri" w:cs="Calibri"/>
          <w:b/>
          <w:i/>
          <w:sz w:val="22"/>
          <w:szCs w:val="22"/>
        </w:rPr>
        <w:t>Para 181:</w:t>
      </w:r>
      <w:r w:rsidRPr="009942AF">
        <w:rPr>
          <w:rFonts w:ascii="Calibri" w:eastAsia="Calibri" w:hAnsi="Calibri" w:cs="Calibri"/>
          <w:sz w:val="22"/>
          <w:szCs w:val="22"/>
        </w:rPr>
        <w:t xml:space="preserve"> </w:t>
      </w:r>
      <w:r w:rsidRPr="009942AF">
        <w:rPr>
          <w:rFonts w:ascii="Calibri" w:eastAsia="Calibri" w:hAnsi="Calibri" w:cs="Calibri"/>
          <w:b/>
          <w:i/>
          <w:sz w:val="22"/>
          <w:szCs w:val="22"/>
        </w:rPr>
        <w:t>Three Part Tariff - LT consumers with connected load 110 kVA and above</w:t>
      </w:r>
    </w:p>
    <w:p w14:paraId="781AA0C2" w14:textId="77777777" w:rsidR="009942AF" w:rsidRPr="009942AF" w:rsidRDefault="009942AF" w:rsidP="0090250D">
      <w:pPr>
        <w:autoSpaceDE w:val="0"/>
        <w:autoSpaceDN w:val="0"/>
        <w:adjustRightInd w:val="0"/>
        <w:spacing w:after="200" w:line="360" w:lineRule="auto"/>
        <w:ind w:left="709"/>
        <w:contextualSpacing/>
        <w:jc w:val="both"/>
        <w:rPr>
          <w:rFonts w:ascii="Calibri" w:eastAsia="Calibri" w:hAnsi="Calibri" w:cs="Calibri"/>
          <w:b/>
          <w:i/>
          <w:sz w:val="22"/>
          <w:szCs w:val="22"/>
        </w:rPr>
      </w:pPr>
      <w:r w:rsidRPr="009942AF">
        <w:rPr>
          <w:rFonts w:ascii="Calibri" w:eastAsia="Calibri" w:hAnsi="Calibri" w:cs="Calibri"/>
          <w:b/>
          <w:i/>
          <w:sz w:val="22"/>
          <w:szCs w:val="22"/>
        </w:rPr>
        <w:t>(a) Demand Charge (</w:t>
      </w:r>
      <w:proofErr w:type="gramStart"/>
      <w:r w:rsidRPr="009942AF">
        <w:rPr>
          <w:rFonts w:ascii="Calibri" w:eastAsia="Calibri" w:hAnsi="Calibri" w:cs="Calibri"/>
          <w:b/>
          <w:i/>
          <w:sz w:val="22"/>
          <w:szCs w:val="22"/>
        </w:rPr>
        <w:t>Rs./</w:t>
      </w:r>
      <w:proofErr w:type="gramEnd"/>
      <w:r w:rsidRPr="009942AF">
        <w:rPr>
          <w:rFonts w:ascii="Calibri" w:eastAsia="Calibri" w:hAnsi="Calibri" w:cs="Calibri"/>
          <w:b/>
          <w:i/>
          <w:sz w:val="22"/>
          <w:szCs w:val="22"/>
        </w:rPr>
        <w:t>kVA)</w:t>
      </w:r>
    </w:p>
    <w:p w14:paraId="3096371A" w14:textId="77777777" w:rsidR="009942AF" w:rsidRPr="009942AF" w:rsidRDefault="009942AF" w:rsidP="0090250D">
      <w:pPr>
        <w:autoSpaceDE w:val="0"/>
        <w:autoSpaceDN w:val="0"/>
        <w:adjustRightInd w:val="0"/>
        <w:spacing w:after="200" w:line="360" w:lineRule="auto"/>
        <w:ind w:left="709"/>
        <w:contextualSpacing/>
        <w:jc w:val="both"/>
        <w:rPr>
          <w:rFonts w:ascii="Calibri" w:eastAsia="Calibri" w:hAnsi="Calibri" w:cs="Calibri"/>
          <w:b/>
          <w:i/>
          <w:sz w:val="22"/>
          <w:szCs w:val="22"/>
        </w:rPr>
      </w:pPr>
      <w:r w:rsidRPr="009942AF">
        <w:rPr>
          <w:rFonts w:ascii="Calibri" w:eastAsia="Calibri" w:hAnsi="Calibri" w:cs="Calibri"/>
          <w:b/>
          <w:i/>
          <w:sz w:val="22"/>
          <w:szCs w:val="22"/>
        </w:rPr>
        <w:t>(b) Energy Charge (</w:t>
      </w:r>
      <w:proofErr w:type="gramStart"/>
      <w:r w:rsidRPr="009942AF">
        <w:rPr>
          <w:rFonts w:ascii="Calibri" w:eastAsia="Calibri" w:hAnsi="Calibri" w:cs="Calibri"/>
          <w:b/>
          <w:i/>
          <w:sz w:val="22"/>
          <w:szCs w:val="22"/>
        </w:rPr>
        <w:t>Rs./</w:t>
      </w:r>
      <w:proofErr w:type="spellStart"/>
      <w:proofErr w:type="gramEnd"/>
      <w:r w:rsidRPr="009942AF">
        <w:rPr>
          <w:rFonts w:ascii="Calibri" w:eastAsia="Calibri" w:hAnsi="Calibri" w:cs="Calibri"/>
          <w:b/>
          <w:i/>
          <w:sz w:val="22"/>
          <w:szCs w:val="22"/>
        </w:rPr>
        <w:t>kVAh</w:t>
      </w:r>
      <w:proofErr w:type="spellEnd"/>
      <w:r w:rsidRPr="009942AF">
        <w:rPr>
          <w:rFonts w:ascii="Calibri" w:eastAsia="Calibri" w:hAnsi="Calibri" w:cs="Calibri"/>
          <w:b/>
          <w:i/>
          <w:sz w:val="22"/>
          <w:szCs w:val="22"/>
        </w:rPr>
        <w:t>)</w:t>
      </w:r>
    </w:p>
    <w:p w14:paraId="0DCCA768" w14:textId="77777777" w:rsidR="009942AF" w:rsidRPr="009942AF" w:rsidRDefault="009942AF" w:rsidP="0090250D">
      <w:pPr>
        <w:autoSpaceDE w:val="0"/>
        <w:autoSpaceDN w:val="0"/>
        <w:adjustRightInd w:val="0"/>
        <w:spacing w:after="200" w:line="360" w:lineRule="auto"/>
        <w:ind w:left="709"/>
        <w:contextualSpacing/>
        <w:jc w:val="both"/>
        <w:rPr>
          <w:rFonts w:ascii="Calibri" w:eastAsia="Calibri" w:hAnsi="Calibri" w:cs="Calibri"/>
          <w:b/>
          <w:i/>
          <w:sz w:val="22"/>
          <w:szCs w:val="22"/>
        </w:rPr>
      </w:pPr>
      <w:r w:rsidRPr="009942AF">
        <w:rPr>
          <w:rFonts w:ascii="Calibri" w:eastAsia="Calibri" w:hAnsi="Calibri" w:cs="Calibri"/>
          <w:b/>
          <w:i/>
          <w:sz w:val="22"/>
          <w:szCs w:val="22"/>
        </w:rPr>
        <w:t>(c) Customer Service Charge (</w:t>
      </w:r>
      <w:proofErr w:type="gramStart"/>
      <w:r w:rsidRPr="009942AF">
        <w:rPr>
          <w:rFonts w:ascii="Calibri" w:eastAsia="Calibri" w:hAnsi="Calibri" w:cs="Calibri"/>
          <w:b/>
          <w:i/>
          <w:sz w:val="22"/>
          <w:szCs w:val="22"/>
        </w:rPr>
        <w:t>Rs./</w:t>
      </w:r>
      <w:proofErr w:type="gramEnd"/>
      <w:r w:rsidRPr="009942AF">
        <w:rPr>
          <w:rFonts w:ascii="Calibri" w:eastAsia="Calibri" w:hAnsi="Calibri" w:cs="Calibri"/>
          <w:b/>
          <w:i/>
          <w:sz w:val="22"/>
          <w:szCs w:val="22"/>
        </w:rPr>
        <w:t>Month)”</w:t>
      </w:r>
    </w:p>
    <w:p w14:paraId="7F3EF4C7" w14:textId="77777777" w:rsidR="009942AF" w:rsidRPr="009942AF" w:rsidRDefault="009942AF" w:rsidP="0090250D">
      <w:pPr>
        <w:autoSpaceDE w:val="0"/>
        <w:autoSpaceDN w:val="0"/>
        <w:adjustRightInd w:val="0"/>
        <w:spacing w:after="200" w:line="360" w:lineRule="auto"/>
        <w:ind w:left="709"/>
        <w:contextualSpacing/>
        <w:jc w:val="both"/>
        <w:rPr>
          <w:rFonts w:ascii="Calibri" w:eastAsia="Calibri" w:hAnsi="Calibri" w:cs="Calibri"/>
          <w:b/>
          <w:i/>
          <w:sz w:val="22"/>
          <w:szCs w:val="22"/>
        </w:rPr>
      </w:pPr>
      <w:r w:rsidRPr="009942AF">
        <w:rPr>
          <w:rFonts w:ascii="Calibri" w:eastAsia="Calibri" w:hAnsi="Calibri" w:cs="Calibri"/>
          <w:sz w:val="22"/>
          <w:szCs w:val="22"/>
        </w:rPr>
        <w:t xml:space="preserve">Again, In FY 23-24, the applicable charges defined as follows: </w:t>
      </w:r>
    </w:p>
    <w:p w14:paraId="2D4178BF" w14:textId="77777777" w:rsidR="009942AF" w:rsidRPr="009942AF" w:rsidRDefault="009942AF" w:rsidP="0090250D">
      <w:pPr>
        <w:autoSpaceDE w:val="0"/>
        <w:autoSpaceDN w:val="0"/>
        <w:adjustRightInd w:val="0"/>
        <w:spacing w:after="200" w:line="360" w:lineRule="auto"/>
        <w:ind w:left="709"/>
        <w:contextualSpacing/>
        <w:jc w:val="both"/>
        <w:rPr>
          <w:rFonts w:ascii="Calibri" w:eastAsia="Calibri" w:hAnsi="Calibri" w:cs="Calibri"/>
          <w:b/>
          <w:i/>
          <w:sz w:val="22"/>
          <w:szCs w:val="22"/>
          <w:lang w:val="en-IN" w:eastAsia="en-IN"/>
        </w:rPr>
      </w:pPr>
      <w:r w:rsidRPr="009942AF">
        <w:rPr>
          <w:rFonts w:ascii="Calibri" w:eastAsia="Calibri" w:hAnsi="Calibri" w:cs="Calibri"/>
          <w:b/>
          <w:i/>
          <w:sz w:val="22"/>
          <w:szCs w:val="22"/>
        </w:rPr>
        <w:t>“Para 192:</w:t>
      </w:r>
      <w:r w:rsidRPr="009942AF">
        <w:rPr>
          <w:rFonts w:ascii="Calibri" w:eastAsia="Calibri" w:hAnsi="Calibri" w:cs="Calibri"/>
          <w:sz w:val="22"/>
          <w:szCs w:val="22"/>
        </w:rPr>
        <w:t xml:space="preserve"> </w:t>
      </w:r>
      <w:r w:rsidRPr="009942AF">
        <w:rPr>
          <w:rFonts w:ascii="Calibri" w:eastAsia="Calibri" w:hAnsi="Calibri" w:cs="Calibri"/>
          <w:b/>
          <w:i/>
          <w:sz w:val="22"/>
          <w:szCs w:val="22"/>
          <w:lang w:val="en-IN" w:eastAsia="en-IN"/>
        </w:rPr>
        <w:t>Three Part Tariff - LT consumers with connected load 110 kVA and above</w:t>
      </w:r>
    </w:p>
    <w:p w14:paraId="43C1F401" w14:textId="77777777" w:rsidR="009942AF" w:rsidRPr="009942AF" w:rsidRDefault="009942AF" w:rsidP="0090250D">
      <w:pPr>
        <w:autoSpaceDE w:val="0"/>
        <w:autoSpaceDN w:val="0"/>
        <w:adjustRightInd w:val="0"/>
        <w:spacing w:after="200" w:line="360" w:lineRule="auto"/>
        <w:ind w:left="709"/>
        <w:contextualSpacing/>
        <w:jc w:val="both"/>
        <w:rPr>
          <w:rFonts w:ascii="Calibri" w:eastAsia="Calibri" w:hAnsi="Calibri" w:cs="Calibri"/>
          <w:b/>
          <w:i/>
          <w:sz w:val="22"/>
          <w:szCs w:val="22"/>
          <w:lang w:val="en-IN" w:eastAsia="en-IN"/>
        </w:rPr>
      </w:pPr>
      <w:r w:rsidRPr="009942AF">
        <w:rPr>
          <w:rFonts w:ascii="Calibri" w:eastAsia="Calibri" w:hAnsi="Calibri" w:cs="Calibri"/>
          <w:b/>
          <w:i/>
          <w:sz w:val="22"/>
          <w:szCs w:val="22"/>
          <w:lang w:val="en-IN" w:eastAsia="en-IN"/>
        </w:rPr>
        <w:t>(a) Demand Charge (</w:t>
      </w:r>
      <w:proofErr w:type="gramStart"/>
      <w:r w:rsidRPr="009942AF">
        <w:rPr>
          <w:rFonts w:ascii="Calibri" w:eastAsia="Calibri" w:hAnsi="Calibri" w:cs="Calibri"/>
          <w:b/>
          <w:i/>
          <w:sz w:val="22"/>
          <w:szCs w:val="22"/>
          <w:lang w:val="en-IN" w:eastAsia="en-IN"/>
        </w:rPr>
        <w:t>Rs./</w:t>
      </w:r>
      <w:proofErr w:type="gramEnd"/>
      <w:r w:rsidRPr="009942AF">
        <w:rPr>
          <w:rFonts w:ascii="Calibri" w:eastAsia="Calibri" w:hAnsi="Calibri" w:cs="Calibri"/>
          <w:b/>
          <w:i/>
          <w:sz w:val="22"/>
          <w:szCs w:val="22"/>
          <w:lang w:val="en-IN" w:eastAsia="en-IN"/>
        </w:rPr>
        <w:t>kVA)</w:t>
      </w:r>
    </w:p>
    <w:p w14:paraId="02BAA22F" w14:textId="77777777" w:rsidR="009942AF" w:rsidRPr="009942AF" w:rsidRDefault="009942AF" w:rsidP="0090250D">
      <w:pPr>
        <w:autoSpaceDE w:val="0"/>
        <w:autoSpaceDN w:val="0"/>
        <w:adjustRightInd w:val="0"/>
        <w:spacing w:after="200" w:line="360" w:lineRule="auto"/>
        <w:ind w:left="709"/>
        <w:contextualSpacing/>
        <w:jc w:val="both"/>
        <w:rPr>
          <w:rFonts w:ascii="Calibri" w:eastAsia="Calibri" w:hAnsi="Calibri" w:cs="Calibri"/>
          <w:b/>
          <w:i/>
          <w:sz w:val="22"/>
          <w:szCs w:val="22"/>
          <w:lang w:val="en-IN" w:eastAsia="en-IN"/>
        </w:rPr>
      </w:pPr>
      <w:r w:rsidRPr="009942AF">
        <w:rPr>
          <w:rFonts w:ascii="Calibri" w:eastAsia="Calibri" w:hAnsi="Calibri" w:cs="Calibri"/>
          <w:b/>
          <w:i/>
          <w:sz w:val="22"/>
          <w:szCs w:val="22"/>
          <w:lang w:val="en-IN" w:eastAsia="en-IN"/>
        </w:rPr>
        <w:t>(b) Energy Charge (</w:t>
      </w:r>
      <w:proofErr w:type="gramStart"/>
      <w:r w:rsidRPr="009942AF">
        <w:rPr>
          <w:rFonts w:ascii="Calibri" w:eastAsia="Calibri" w:hAnsi="Calibri" w:cs="Calibri"/>
          <w:b/>
          <w:i/>
          <w:sz w:val="22"/>
          <w:szCs w:val="22"/>
          <w:lang w:val="en-IN" w:eastAsia="en-IN"/>
        </w:rPr>
        <w:t>Rs./</w:t>
      </w:r>
      <w:proofErr w:type="spellStart"/>
      <w:proofErr w:type="gramEnd"/>
      <w:r w:rsidRPr="009942AF">
        <w:rPr>
          <w:rFonts w:ascii="Calibri" w:eastAsia="Calibri" w:hAnsi="Calibri" w:cs="Calibri"/>
          <w:b/>
          <w:i/>
          <w:sz w:val="22"/>
          <w:szCs w:val="22"/>
          <w:lang w:val="en-IN" w:eastAsia="en-IN"/>
        </w:rPr>
        <w:t>kVAh</w:t>
      </w:r>
      <w:proofErr w:type="spellEnd"/>
      <w:r w:rsidRPr="009942AF">
        <w:rPr>
          <w:rFonts w:ascii="Calibri" w:eastAsia="Calibri" w:hAnsi="Calibri" w:cs="Calibri"/>
          <w:b/>
          <w:i/>
          <w:sz w:val="22"/>
          <w:szCs w:val="22"/>
          <w:lang w:val="en-IN" w:eastAsia="en-IN"/>
        </w:rPr>
        <w:t>)</w:t>
      </w:r>
    </w:p>
    <w:p w14:paraId="4CEC940E" w14:textId="77777777" w:rsidR="009942AF" w:rsidRPr="009942AF" w:rsidRDefault="009942AF" w:rsidP="0090250D">
      <w:pPr>
        <w:autoSpaceDE w:val="0"/>
        <w:autoSpaceDN w:val="0"/>
        <w:adjustRightInd w:val="0"/>
        <w:spacing w:after="200" w:line="360" w:lineRule="auto"/>
        <w:ind w:left="709"/>
        <w:contextualSpacing/>
        <w:jc w:val="both"/>
        <w:rPr>
          <w:rFonts w:ascii="Calibri" w:eastAsia="Calibri" w:hAnsi="Calibri" w:cs="Calibri"/>
          <w:b/>
          <w:i/>
          <w:sz w:val="22"/>
          <w:szCs w:val="22"/>
          <w:lang w:val="en-IN" w:eastAsia="en-IN"/>
        </w:rPr>
      </w:pPr>
      <w:r w:rsidRPr="009942AF">
        <w:rPr>
          <w:rFonts w:ascii="Calibri" w:eastAsia="Calibri" w:hAnsi="Calibri" w:cs="Calibri"/>
          <w:b/>
          <w:i/>
          <w:sz w:val="22"/>
          <w:szCs w:val="22"/>
          <w:lang w:val="en-IN" w:eastAsia="en-IN"/>
        </w:rPr>
        <w:t>(c) Customer Service Charge (</w:t>
      </w:r>
      <w:proofErr w:type="gramStart"/>
      <w:r w:rsidRPr="009942AF">
        <w:rPr>
          <w:rFonts w:ascii="Calibri" w:eastAsia="Calibri" w:hAnsi="Calibri" w:cs="Calibri"/>
          <w:b/>
          <w:i/>
          <w:sz w:val="22"/>
          <w:szCs w:val="22"/>
          <w:lang w:val="en-IN" w:eastAsia="en-IN"/>
        </w:rPr>
        <w:t>Rs./</w:t>
      </w:r>
      <w:proofErr w:type="gramEnd"/>
      <w:r w:rsidRPr="009942AF">
        <w:rPr>
          <w:rFonts w:ascii="Calibri" w:eastAsia="Calibri" w:hAnsi="Calibri" w:cs="Calibri"/>
          <w:b/>
          <w:i/>
          <w:sz w:val="22"/>
          <w:szCs w:val="22"/>
          <w:lang w:val="en-IN" w:eastAsia="en-IN"/>
        </w:rPr>
        <w:t>Month)”</w:t>
      </w:r>
    </w:p>
    <w:p w14:paraId="2AF8B2A8" w14:textId="77777777" w:rsidR="009942AF" w:rsidRPr="009942AF" w:rsidRDefault="009942AF" w:rsidP="009942AF">
      <w:pPr>
        <w:autoSpaceDE w:val="0"/>
        <w:autoSpaceDN w:val="0"/>
        <w:adjustRightInd w:val="0"/>
        <w:spacing w:after="200" w:line="360" w:lineRule="auto"/>
        <w:ind w:left="360"/>
        <w:contextualSpacing/>
        <w:jc w:val="both"/>
        <w:rPr>
          <w:rFonts w:ascii="Calibri" w:eastAsia="Calibri" w:hAnsi="Calibri" w:cs="Calibri"/>
          <w:b/>
          <w:i/>
          <w:sz w:val="22"/>
          <w:szCs w:val="22"/>
        </w:rPr>
      </w:pPr>
    </w:p>
    <w:p w14:paraId="21EAB225" w14:textId="4879BC01" w:rsidR="009942AF" w:rsidRPr="009942AF" w:rsidRDefault="009942AF" w:rsidP="0090250D">
      <w:pPr>
        <w:tabs>
          <w:tab w:val="left" w:pos="851"/>
        </w:tabs>
        <w:autoSpaceDE w:val="0"/>
        <w:autoSpaceDN w:val="0"/>
        <w:adjustRightInd w:val="0"/>
        <w:spacing w:after="200" w:line="360" w:lineRule="auto"/>
        <w:ind w:left="851"/>
        <w:contextualSpacing/>
        <w:jc w:val="both"/>
        <w:rPr>
          <w:rFonts w:ascii="Calibri" w:eastAsia="Calibri" w:hAnsi="Calibri" w:cs="Calibri"/>
          <w:sz w:val="22"/>
          <w:szCs w:val="22"/>
        </w:rPr>
      </w:pPr>
      <w:r w:rsidRPr="009942AF">
        <w:rPr>
          <w:rFonts w:ascii="Calibri" w:eastAsia="Calibri" w:hAnsi="Calibri" w:cs="Calibri"/>
          <w:sz w:val="22"/>
          <w:szCs w:val="22"/>
        </w:rPr>
        <w:t>Now, in FY 2</w:t>
      </w:r>
      <w:r w:rsidR="00A81912">
        <w:rPr>
          <w:rFonts w:ascii="Calibri" w:eastAsia="Calibri" w:hAnsi="Calibri" w:cs="Calibri"/>
          <w:sz w:val="22"/>
          <w:szCs w:val="22"/>
        </w:rPr>
        <w:t>02</w:t>
      </w:r>
      <w:r w:rsidRPr="009942AF">
        <w:rPr>
          <w:rFonts w:ascii="Calibri" w:eastAsia="Calibri" w:hAnsi="Calibri" w:cs="Calibri"/>
          <w:sz w:val="22"/>
          <w:szCs w:val="22"/>
        </w:rPr>
        <w:t xml:space="preserve">4-25, the current applicable charges defined for LT consumers with CD &gt;110 </w:t>
      </w:r>
      <w:proofErr w:type="gramStart"/>
      <w:r w:rsidRPr="009942AF">
        <w:rPr>
          <w:rFonts w:ascii="Calibri" w:eastAsia="Calibri" w:hAnsi="Calibri" w:cs="Calibri"/>
          <w:sz w:val="22"/>
          <w:szCs w:val="22"/>
        </w:rPr>
        <w:t>kVA  is</w:t>
      </w:r>
      <w:proofErr w:type="gramEnd"/>
      <w:r w:rsidRPr="009942AF">
        <w:rPr>
          <w:rFonts w:ascii="Calibri" w:eastAsia="Calibri" w:hAnsi="Calibri" w:cs="Calibri"/>
          <w:sz w:val="22"/>
          <w:szCs w:val="22"/>
        </w:rPr>
        <w:t xml:space="preserve"> as follows:</w:t>
      </w:r>
    </w:p>
    <w:p w14:paraId="43C10A7C" w14:textId="77777777" w:rsidR="009942AF" w:rsidRPr="009942AF" w:rsidRDefault="009942AF" w:rsidP="009942AF">
      <w:pPr>
        <w:autoSpaceDE w:val="0"/>
        <w:autoSpaceDN w:val="0"/>
        <w:adjustRightInd w:val="0"/>
        <w:spacing w:after="200" w:line="360" w:lineRule="auto"/>
        <w:ind w:left="360"/>
        <w:contextualSpacing/>
        <w:jc w:val="both"/>
        <w:rPr>
          <w:rFonts w:ascii="Calibri" w:eastAsia="Calibri" w:hAnsi="Calibri" w:cs="Calibri"/>
          <w:sz w:val="22"/>
          <w:szCs w:val="22"/>
        </w:rPr>
      </w:pPr>
    </w:p>
    <w:p w14:paraId="5FBC171A" w14:textId="77777777" w:rsidR="009942AF" w:rsidRPr="009942AF" w:rsidRDefault="009942AF" w:rsidP="0090250D">
      <w:pPr>
        <w:autoSpaceDE w:val="0"/>
        <w:autoSpaceDN w:val="0"/>
        <w:adjustRightInd w:val="0"/>
        <w:spacing w:after="200" w:line="360" w:lineRule="auto"/>
        <w:ind w:left="567"/>
        <w:contextualSpacing/>
        <w:jc w:val="both"/>
        <w:rPr>
          <w:rFonts w:ascii="Calibri" w:eastAsia="Calibri" w:hAnsi="Calibri" w:cs="Calibri"/>
          <w:b/>
          <w:i/>
          <w:sz w:val="22"/>
          <w:szCs w:val="22"/>
          <w:lang w:val="en-IN" w:eastAsia="en-IN"/>
        </w:rPr>
      </w:pPr>
      <w:r w:rsidRPr="009942AF">
        <w:rPr>
          <w:rFonts w:ascii="Calibri" w:eastAsia="Calibri" w:hAnsi="Calibri" w:cs="Calibri"/>
          <w:sz w:val="22"/>
          <w:szCs w:val="22"/>
        </w:rPr>
        <w:t>“</w:t>
      </w:r>
      <w:r w:rsidRPr="009942AF">
        <w:rPr>
          <w:rFonts w:ascii="Calibri" w:eastAsia="Calibri" w:hAnsi="Calibri" w:cs="Calibri"/>
          <w:b/>
          <w:i/>
          <w:sz w:val="22"/>
          <w:szCs w:val="22"/>
        </w:rPr>
        <w:t>Para 209:</w:t>
      </w:r>
      <w:r w:rsidRPr="009942AF">
        <w:rPr>
          <w:rFonts w:ascii="Calibri" w:eastAsia="Calibri" w:hAnsi="Calibri" w:cs="Calibri"/>
          <w:sz w:val="22"/>
          <w:szCs w:val="22"/>
        </w:rPr>
        <w:t xml:space="preserve"> </w:t>
      </w:r>
      <w:r w:rsidRPr="009942AF">
        <w:rPr>
          <w:rFonts w:ascii="Calibri" w:eastAsia="Calibri" w:hAnsi="Calibri" w:cs="Calibri"/>
          <w:b/>
          <w:i/>
          <w:sz w:val="22"/>
          <w:szCs w:val="22"/>
          <w:lang w:val="en-IN" w:eastAsia="en-IN"/>
        </w:rPr>
        <w:t>Three Part Tariff - LT Consumers with connected load 110 kVA and above</w:t>
      </w:r>
    </w:p>
    <w:p w14:paraId="4DCF3B67" w14:textId="77777777" w:rsidR="009942AF" w:rsidRPr="009942AF" w:rsidRDefault="009942AF" w:rsidP="0090250D">
      <w:pPr>
        <w:autoSpaceDE w:val="0"/>
        <w:autoSpaceDN w:val="0"/>
        <w:adjustRightInd w:val="0"/>
        <w:spacing w:after="200" w:line="360" w:lineRule="auto"/>
        <w:ind w:left="567"/>
        <w:contextualSpacing/>
        <w:jc w:val="both"/>
        <w:rPr>
          <w:rFonts w:ascii="Calibri" w:eastAsia="Calibri" w:hAnsi="Calibri" w:cs="Calibri"/>
          <w:b/>
          <w:i/>
          <w:sz w:val="22"/>
          <w:szCs w:val="22"/>
          <w:lang w:val="en-IN" w:eastAsia="en-IN"/>
        </w:rPr>
      </w:pPr>
      <w:r w:rsidRPr="009942AF">
        <w:rPr>
          <w:rFonts w:ascii="Calibri" w:eastAsia="Calibri" w:hAnsi="Calibri" w:cs="Calibri"/>
          <w:b/>
          <w:i/>
          <w:sz w:val="22"/>
          <w:szCs w:val="22"/>
          <w:lang w:val="en-IN" w:eastAsia="en-IN"/>
        </w:rPr>
        <w:t>(a) Demand Charge (</w:t>
      </w:r>
      <w:proofErr w:type="gramStart"/>
      <w:r w:rsidRPr="009942AF">
        <w:rPr>
          <w:rFonts w:ascii="Calibri" w:eastAsia="Calibri" w:hAnsi="Calibri" w:cs="Calibri"/>
          <w:b/>
          <w:i/>
          <w:sz w:val="22"/>
          <w:szCs w:val="22"/>
          <w:lang w:val="en-IN" w:eastAsia="en-IN"/>
        </w:rPr>
        <w:t>Rs./</w:t>
      </w:r>
      <w:proofErr w:type="gramEnd"/>
      <w:r w:rsidRPr="009942AF">
        <w:rPr>
          <w:rFonts w:ascii="Calibri" w:eastAsia="Calibri" w:hAnsi="Calibri" w:cs="Calibri"/>
          <w:b/>
          <w:i/>
          <w:sz w:val="22"/>
          <w:szCs w:val="22"/>
          <w:lang w:val="en-IN" w:eastAsia="en-IN"/>
        </w:rPr>
        <w:t>kVA)</w:t>
      </w:r>
    </w:p>
    <w:p w14:paraId="2226BB08" w14:textId="77777777" w:rsidR="009942AF" w:rsidRPr="009942AF" w:rsidRDefault="009942AF" w:rsidP="0090250D">
      <w:pPr>
        <w:autoSpaceDE w:val="0"/>
        <w:autoSpaceDN w:val="0"/>
        <w:adjustRightInd w:val="0"/>
        <w:spacing w:after="200" w:line="360" w:lineRule="auto"/>
        <w:ind w:left="567"/>
        <w:contextualSpacing/>
        <w:jc w:val="both"/>
        <w:rPr>
          <w:rFonts w:ascii="Calibri" w:eastAsia="Calibri" w:hAnsi="Calibri" w:cs="Calibri"/>
          <w:b/>
          <w:i/>
          <w:sz w:val="22"/>
          <w:szCs w:val="22"/>
          <w:lang w:val="en-IN" w:eastAsia="en-IN"/>
        </w:rPr>
      </w:pPr>
      <w:r w:rsidRPr="009942AF">
        <w:rPr>
          <w:rFonts w:ascii="Calibri" w:eastAsia="Calibri" w:hAnsi="Calibri" w:cs="Calibri"/>
          <w:b/>
          <w:i/>
          <w:sz w:val="22"/>
          <w:szCs w:val="22"/>
          <w:lang w:val="en-IN" w:eastAsia="en-IN"/>
        </w:rPr>
        <w:t>(b) Energy Charge (</w:t>
      </w:r>
      <w:proofErr w:type="gramStart"/>
      <w:r w:rsidRPr="009942AF">
        <w:rPr>
          <w:rFonts w:ascii="Calibri" w:eastAsia="Calibri" w:hAnsi="Calibri" w:cs="Calibri"/>
          <w:b/>
          <w:i/>
          <w:sz w:val="22"/>
          <w:szCs w:val="22"/>
          <w:lang w:val="en-IN" w:eastAsia="en-IN"/>
        </w:rPr>
        <w:t>Rs./</w:t>
      </w:r>
      <w:proofErr w:type="spellStart"/>
      <w:proofErr w:type="gramEnd"/>
      <w:r w:rsidRPr="009942AF">
        <w:rPr>
          <w:rFonts w:ascii="Calibri" w:eastAsia="Calibri" w:hAnsi="Calibri" w:cs="Calibri"/>
          <w:b/>
          <w:i/>
          <w:sz w:val="22"/>
          <w:szCs w:val="22"/>
          <w:lang w:val="en-IN" w:eastAsia="en-IN"/>
        </w:rPr>
        <w:t>kVAh</w:t>
      </w:r>
      <w:proofErr w:type="spellEnd"/>
      <w:r w:rsidRPr="009942AF">
        <w:rPr>
          <w:rFonts w:ascii="Calibri" w:eastAsia="Calibri" w:hAnsi="Calibri" w:cs="Calibri"/>
          <w:b/>
          <w:i/>
          <w:sz w:val="22"/>
          <w:szCs w:val="22"/>
          <w:lang w:val="en-IN" w:eastAsia="en-IN"/>
        </w:rPr>
        <w:t>)</w:t>
      </w:r>
    </w:p>
    <w:p w14:paraId="42E1E8DD" w14:textId="77777777" w:rsidR="009942AF" w:rsidRPr="009942AF" w:rsidRDefault="009942AF" w:rsidP="0090250D">
      <w:pPr>
        <w:autoSpaceDE w:val="0"/>
        <w:autoSpaceDN w:val="0"/>
        <w:adjustRightInd w:val="0"/>
        <w:spacing w:after="200" w:line="360" w:lineRule="auto"/>
        <w:ind w:left="567"/>
        <w:contextualSpacing/>
        <w:jc w:val="both"/>
        <w:rPr>
          <w:rFonts w:ascii="Calibri" w:eastAsia="Calibri" w:hAnsi="Calibri" w:cs="Calibri"/>
          <w:b/>
          <w:i/>
          <w:sz w:val="22"/>
          <w:szCs w:val="22"/>
          <w:lang w:val="en-IN" w:eastAsia="en-IN"/>
        </w:rPr>
      </w:pPr>
      <w:r w:rsidRPr="009942AF">
        <w:rPr>
          <w:rFonts w:ascii="Calibri" w:eastAsia="Calibri" w:hAnsi="Calibri" w:cs="Calibri"/>
          <w:b/>
          <w:i/>
          <w:sz w:val="22"/>
          <w:szCs w:val="22"/>
          <w:lang w:val="en-IN" w:eastAsia="en-IN"/>
        </w:rPr>
        <w:t>(c) Customer Service Charge (</w:t>
      </w:r>
      <w:proofErr w:type="gramStart"/>
      <w:r w:rsidRPr="009942AF">
        <w:rPr>
          <w:rFonts w:ascii="Calibri" w:eastAsia="Calibri" w:hAnsi="Calibri" w:cs="Calibri"/>
          <w:b/>
          <w:i/>
          <w:sz w:val="22"/>
          <w:szCs w:val="22"/>
          <w:lang w:val="en-IN" w:eastAsia="en-IN"/>
        </w:rPr>
        <w:t>Rs./</w:t>
      </w:r>
      <w:proofErr w:type="gramEnd"/>
      <w:r w:rsidRPr="009942AF">
        <w:rPr>
          <w:rFonts w:ascii="Calibri" w:eastAsia="Calibri" w:hAnsi="Calibri" w:cs="Calibri"/>
          <w:b/>
          <w:i/>
          <w:sz w:val="22"/>
          <w:szCs w:val="22"/>
          <w:lang w:val="en-IN" w:eastAsia="en-IN"/>
        </w:rPr>
        <w:t>Month)”</w:t>
      </w:r>
    </w:p>
    <w:p w14:paraId="6FAF40A5" w14:textId="77777777" w:rsidR="009942AF" w:rsidRPr="009942AF" w:rsidRDefault="009942AF" w:rsidP="009942AF">
      <w:pPr>
        <w:autoSpaceDE w:val="0"/>
        <w:autoSpaceDN w:val="0"/>
        <w:adjustRightInd w:val="0"/>
        <w:spacing w:after="200" w:line="360" w:lineRule="auto"/>
        <w:ind w:left="360"/>
        <w:contextualSpacing/>
        <w:jc w:val="both"/>
        <w:rPr>
          <w:rFonts w:ascii="Calibri" w:eastAsia="Calibri" w:hAnsi="Calibri" w:cs="Calibri"/>
          <w:sz w:val="22"/>
          <w:szCs w:val="22"/>
        </w:rPr>
      </w:pPr>
    </w:p>
    <w:p w14:paraId="314FFC65" w14:textId="77777777" w:rsidR="009942AF" w:rsidRPr="009942AF" w:rsidRDefault="009942AF" w:rsidP="0090250D">
      <w:pPr>
        <w:autoSpaceDE w:val="0"/>
        <w:autoSpaceDN w:val="0"/>
        <w:adjustRightInd w:val="0"/>
        <w:spacing w:after="200" w:line="360" w:lineRule="auto"/>
        <w:ind w:left="567"/>
        <w:contextualSpacing/>
        <w:jc w:val="both"/>
        <w:rPr>
          <w:rFonts w:ascii="Calibri" w:eastAsia="Calibri" w:hAnsi="Calibri" w:cs="Calibri"/>
          <w:sz w:val="22"/>
          <w:szCs w:val="22"/>
        </w:rPr>
      </w:pPr>
      <w:r w:rsidRPr="009942AF">
        <w:rPr>
          <w:rFonts w:ascii="Calibri" w:eastAsia="Calibri" w:hAnsi="Calibri" w:cs="Calibri"/>
          <w:sz w:val="22"/>
          <w:szCs w:val="22"/>
        </w:rPr>
        <w:t xml:space="preserve">At the same time, in all the aforementioned Tariff years Hon’ble Commission has notified through Annexure-B, that Energy Charges for LT consumers with CD&gt;110 kVA should be paid in </w:t>
      </w:r>
      <w:proofErr w:type="spellStart"/>
      <w:r w:rsidRPr="009942AF">
        <w:rPr>
          <w:rFonts w:ascii="Calibri" w:eastAsia="Calibri" w:hAnsi="Calibri" w:cs="Calibri"/>
          <w:sz w:val="22"/>
          <w:szCs w:val="22"/>
        </w:rPr>
        <w:t>Paise</w:t>
      </w:r>
      <w:proofErr w:type="spellEnd"/>
      <w:r w:rsidRPr="009942AF">
        <w:rPr>
          <w:rFonts w:ascii="Calibri" w:eastAsia="Calibri" w:hAnsi="Calibri" w:cs="Calibri"/>
          <w:sz w:val="22"/>
          <w:szCs w:val="22"/>
        </w:rPr>
        <w:t xml:space="preserve">/kWh. </w:t>
      </w:r>
    </w:p>
    <w:p w14:paraId="64926B4E" w14:textId="77777777" w:rsidR="009942AF" w:rsidRPr="009942AF" w:rsidRDefault="009942AF" w:rsidP="0090250D">
      <w:pPr>
        <w:autoSpaceDE w:val="0"/>
        <w:autoSpaceDN w:val="0"/>
        <w:adjustRightInd w:val="0"/>
        <w:spacing w:after="200" w:line="360" w:lineRule="auto"/>
        <w:ind w:left="567"/>
        <w:contextualSpacing/>
        <w:jc w:val="both"/>
        <w:rPr>
          <w:rFonts w:ascii="Calibri" w:eastAsia="Calibri" w:hAnsi="Calibri" w:cs="Calibri"/>
          <w:sz w:val="22"/>
          <w:szCs w:val="22"/>
        </w:rPr>
      </w:pPr>
    </w:p>
    <w:p w14:paraId="602B8D83" w14:textId="77777777" w:rsidR="009942AF" w:rsidRPr="009942AF" w:rsidRDefault="009942AF" w:rsidP="0090250D">
      <w:pPr>
        <w:autoSpaceDE w:val="0"/>
        <w:autoSpaceDN w:val="0"/>
        <w:adjustRightInd w:val="0"/>
        <w:spacing w:after="200" w:line="360" w:lineRule="auto"/>
        <w:ind w:left="567"/>
        <w:contextualSpacing/>
        <w:jc w:val="both"/>
        <w:rPr>
          <w:rFonts w:ascii="Calibri" w:eastAsia="Calibri" w:hAnsi="Calibri" w:cs="Calibri"/>
          <w:sz w:val="22"/>
          <w:szCs w:val="22"/>
        </w:rPr>
      </w:pPr>
      <w:r w:rsidRPr="009942AF">
        <w:rPr>
          <w:rFonts w:ascii="Calibri" w:eastAsia="Calibri" w:hAnsi="Calibri" w:cs="Calibri"/>
          <w:sz w:val="22"/>
          <w:szCs w:val="22"/>
        </w:rPr>
        <w:t xml:space="preserve">Similarly, in all the Tariff years from FY-22 to FY-25 vide Para Nos. 494, 193,204 and 222 respectively Hon’ble Commission has defined Energy Charges for other LT category of Consumers (where </w:t>
      </w:r>
      <w:r w:rsidRPr="009942AF">
        <w:rPr>
          <w:rFonts w:ascii="Calibri" w:eastAsia="Calibri" w:hAnsi="Calibri" w:cs="Calibri"/>
          <w:b/>
          <w:sz w:val="22"/>
          <w:szCs w:val="22"/>
        </w:rPr>
        <w:t>PWWS &gt;=110 kVA, GP &gt;= 110 kVA and Large Industries &gt;= 110 kVA</w:t>
      </w:r>
      <w:r w:rsidRPr="009942AF">
        <w:rPr>
          <w:rFonts w:ascii="Calibri" w:eastAsia="Calibri" w:hAnsi="Calibri" w:cs="Calibri"/>
          <w:sz w:val="22"/>
          <w:szCs w:val="22"/>
        </w:rPr>
        <w:t xml:space="preserve"> are included) has to pay EC on the basis of per unit.  </w:t>
      </w:r>
    </w:p>
    <w:p w14:paraId="01E0D64D" w14:textId="77777777" w:rsidR="009942AF" w:rsidRPr="009942AF" w:rsidRDefault="009942AF" w:rsidP="0090250D">
      <w:pPr>
        <w:autoSpaceDE w:val="0"/>
        <w:autoSpaceDN w:val="0"/>
        <w:adjustRightInd w:val="0"/>
        <w:spacing w:after="200" w:line="360" w:lineRule="auto"/>
        <w:ind w:left="567"/>
        <w:contextualSpacing/>
        <w:jc w:val="both"/>
        <w:rPr>
          <w:rFonts w:ascii="Calibri" w:eastAsia="Calibri" w:hAnsi="Calibri" w:cs="Calibri"/>
          <w:sz w:val="22"/>
          <w:szCs w:val="22"/>
        </w:rPr>
      </w:pPr>
    </w:p>
    <w:p w14:paraId="2989F72E" w14:textId="77777777" w:rsidR="009942AF" w:rsidRPr="009942AF" w:rsidRDefault="009942AF" w:rsidP="0090250D">
      <w:pPr>
        <w:autoSpaceDE w:val="0"/>
        <w:autoSpaceDN w:val="0"/>
        <w:adjustRightInd w:val="0"/>
        <w:spacing w:after="200" w:line="360" w:lineRule="auto"/>
        <w:ind w:left="567"/>
        <w:contextualSpacing/>
        <w:jc w:val="both"/>
        <w:rPr>
          <w:rFonts w:ascii="Calibri" w:eastAsia="Calibri" w:hAnsi="Calibri" w:cs="Calibri"/>
          <w:sz w:val="22"/>
          <w:szCs w:val="22"/>
        </w:rPr>
      </w:pPr>
      <w:r w:rsidRPr="009942AF">
        <w:rPr>
          <w:rFonts w:ascii="Calibri" w:eastAsia="Calibri" w:hAnsi="Calibri" w:cs="Calibri"/>
          <w:sz w:val="22"/>
          <w:szCs w:val="22"/>
        </w:rPr>
        <w:t xml:space="preserve">However, as per Paras 524 (FY 21-22),226 (FY 22-23),236 (FY 23-24) and 253 (FY 24-25) of the respective Tariff Orders, Hon’ble Commission has stated that in case of any ambiguity or discrepancy, the tariff reflected in Annexure-B will be considered final. </w:t>
      </w:r>
    </w:p>
    <w:p w14:paraId="2CDC63D3" w14:textId="77777777" w:rsidR="009942AF" w:rsidRPr="009942AF" w:rsidRDefault="009942AF" w:rsidP="0090250D">
      <w:pPr>
        <w:autoSpaceDE w:val="0"/>
        <w:autoSpaceDN w:val="0"/>
        <w:adjustRightInd w:val="0"/>
        <w:spacing w:after="200" w:line="360" w:lineRule="auto"/>
        <w:ind w:left="567"/>
        <w:contextualSpacing/>
        <w:jc w:val="both"/>
        <w:rPr>
          <w:rFonts w:ascii="Calibri" w:eastAsia="Calibri" w:hAnsi="Calibri" w:cs="Calibri"/>
          <w:sz w:val="22"/>
          <w:szCs w:val="22"/>
        </w:rPr>
      </w:pPr>
    </w:p>
    <w:p w14:paraId="1DEE6468" w14:textId="77777777" w:rsidR="009942AF" w:rsidRPr="009942AF" w:rsidRDefault="009942AF" w:rsidP="0090250D">
      <w:pPr>
        <w:autoSpaceDE w:val="0"/>
        <w:autoSpaceDN w:val="0"/>
        <w:adjustRightInd w:val="0"/>
        <w:spacing w:after="200" w:line="360" w:lineRule="auto"/>
        <w:ind w:left="567"/>
        <w:contextualSpacing/>
        <w:jc w:val="both"/>
        <w:rPr>
          <w:rFonts w:ascii="Calibri" w:eastAsia="Calibri" w:hAnsi="Calibri" w:cs="Calibri"/>
          <w:b/>
          <w:sz w:val="22"/>
          <w:szCs w:val="22"/>
        </w:rPr>
      </w:pPr>
      <w:r w:rsidRPr="009942AF">
        <w:rPr>
          <w:rFonts w:ascii="Calibri" w:eastAsia="Calibri" w:hAnsi="Calibri" w:cs="Calibri"/>
          <w:sz w:val="22"/>
          <w:szCs w:val="22"/>
        </w:rPr>
        <w:t xml:space="preserve">This has created confusion for the Licensees whether to bill with </w:t>
      </w:r>
      <w:r w:rsidRPr="009942AF">
        <w:rPr>
          <w:rFonts w:ascii="Calibri" w:eastAsia="Calibri" w:hAnsi="Calibri" w:cs="Calibri"/>
          <w:b/>
          <w:sz w:val="22"/>
          <w:szCs w:val="22"/>
        </w:rPr>
        <w:t xml:space="preserve">kWh or </w:t>
      </w:r>
      <w:proofErr w:type="spellStart"/>
      <w:r w:rsidRPr="009942AF">
        <w:rPr>
          <w:rFonts w:ascii="Calibri" w:eastAsia="Calibri" w:hAnsi="Calibri" w:cs="Calibri"/>
          <w:b/>
          <w:sz w:val="22"/>
          <w:szCs w:val="22"/>
        </w:rPr>
        <w:t>kVAh</w:t>
      </w:r>
      <w:proofErr w:type="spellEnd"/>
      <w:r w:rsidRPr="009942AF">
        <w:rPr>
          <w:rFonts w:ascii="Calibri" w:eastAsia="Calibri" w:hAnsi="Calibri" w:cs="Calibri"/>
          <w:sz w:val="22"/>
          <w:szCs w:val="22"/>
        </w:rPr>
        <w:t xml:space="preserve"> especially the Energy Charges applicable to </w:t>
      </w:r>
      <w:r w:rsidRPr="009942AF">
        <w:rPr>
          <w:rFonts w:ascii="Calibri" w:eastAsia="Calibri" w:hAnsi="Calibri" w:cs="Calibri"/>
          <w:b/>
          <w:sz w:val="22"/>
          <w:szCs w:val="22"/>
        </w:rPr>
        <w:t>LT consumers with a CD greater than 110 kVA.</w:t>
      </w:r>
    </w:p>
    <w:p w14:paraId="5D8E9996" w14:textId="77777777" w:rsidR="009942AF" w:rsidRPr="009942AF" w:rsidRDefault="009942AF" w:rsidP="0090250D">
      <w:pPr>
        <w:autoSpaceDE w:val="0"/>
        <w:autoSpaceDN w:val="0"/>
        <w:adjustRightInd w:val="0"/>
        <w:spacing w:after="200" w:line="360" w:lineRule="auto"/>
        <w:ind w:left="567"/>
        <w:contextualSpacing/>
        <w:jc w:val="both"/>
        <w:rPr>
          <w:rFonts w:ascii="Calibri" w:eastAsia="Calibri" w:hAnsi="Calibri" w:cs="Calibri"/>
          <w:sz w:val="22"/>
          <w:szCs w:val="22"/>
        </w:rPr>
      </w:pPr>
      <w:r w:rsidRPr="009942AF">
        <w:rPr>
          <w:rFonts w:ascii="Calibri" w:eastAsia="Calibri" w:hAnsi="Calibri" w:cs="Calibri"/>
          <w:sz w:val="22"/>
          <w:szCs w:val="22"/>
        </w:rPr>
        <w:t>Therefore, the Licensee requests Hon’ble Commission for a suitable clarification in this regard.</w:t>
      </w:r>
    </w:p>
    <w:p w14:paraId="42A6E4FC" w14:textId="77777777" w:rsidR="009942AF" w:rsidRPr="009942AF" w:rsidRDefault="009942AF" w:rsidP="009942AF">
      <w:pPr>
        <w:autoSpaceDE w:val="0"/>
        <w:autoSpaceDN w:val="0"/>
        <w:adjustRightInd w:val="0"/>
        <w:spacing w:after="200" w:line="360" w:lineRule="auto"/>
        <w:ind w:left="357"/>
        <w:contextualSpacing/>
        <w:jc w:val="both"/>
        <w:rPr>
          <w:rFonts w:ascii="Calibri" w:eastAsia="Calibri" w:hAnsi="Calibri" w:cs="Calibri"/>
          <w:sz w:val="22"/>
          <w:szCs w:val="22"/>
        </w:rPr>
      </w:pPr>
    </w:p>
    <w:p w14:paraId="17AB7B0E" w14:textId="3AEC73FC" w:rsidR="009942AF" w:rsidRPr="009942AF" w:rsidRDefault="009942AF" w:rsidP="009942AF">
      <w:pPr>
        <w:keepNext/>
        <w:spacing w:before="240" w:after="60" w:line="360" w:lineRule="auto"/>
        <w:ind w:left="540"/>
        <w:jc w:val="both"/>
        <w:outlineLvl w:val="0"/>
        <w:rPr>
          <w:rFonts w:ascii="Calibri" w:hAnsi="Calibri" w:cs="Calibri"/>
          <w:b/>
          <w:bCs/>
          <w:kern w:val="32"/>
          <w:sz w:val="22"/>
          <w:szCs w:val="22"/>
        </w:rPr>
      </w:pPr>
      <w:proofErr w:type="gramStart"/>
      <w:r w:rsidRPr="009942AF">
        <w:rPr>
          <w:rFonts w:ascii="Calibri" w:hAnsi="Calibri" w:cs="Calibri"/>
          <w:b/>
          <w:bCs/>
          <w:kern w:val="32"/>
          <w:sz w:val="22"/>
          <w:szCs w:val="22"/>
        </w:rPr>
        <w:t>9.</w:t>
      </w:r>
      <w:r w:rsidR="0090250D">
        <w:rPr>
          <w:rFonts w:ascii="Calibri" w:hAnsi="Calibri" w:cs="Calibri"/>
          <w:b/>
          <w:bCs/>
          <w:kern w:val="32"/>
          <w:sz w:val="22"/>
          <w:szCs w:val="22"/>
        </w:rPr>
        <w:t>7</w:t>
      </w:r>
      <w:r w:rsidRPr="009942AF">
        <w:rPr>
          <w:rFonts w:ascii="Calibri" w:hAnsi="Calibri" w:cs="Calibri"/>
          <w:b/>
          <w:bCs/>
          <w:kern w:val="32"/>
          <w:sz w:val="22"/>
          <w:szCs w:val="22"/>
        </w:rPr>
        <w:t xml:space="preserve">  Allocation</w:t>
      </w:r>
      <w:proofErr w:type="gramEnd"/>
      <w:r w:rsidRPr="009942AF">
        <w:rPr>
          <w:rFonts w:ascii="Calibri" w:hAnsi="Calibri" w:cs="Calibri"/>
          <w:b/>
          <w:bCs/>
          <w:kern w:val="32"/>
          <w:sz w:val="22"/>
          <w:szCs w:val="22"/>
        </w:rPr>
        <w:t xml:space="preserve"> of Green Power to </w:t>
      </w:r>
      <w:r w:rsidR="0090250D">
        <w:rPr>
          <w:rFonts w:ascii="Calibri" w:hAnsi="Calibri" w:cs="Calibri"/>
          <w:b/>
          <w:bCs/>
          <w:kern w:val="32"/>
          <w:sz w:val="22"/>
          <w:szCs w:val="22"/>
        </w:rPr>
        <w:t>I</w:t>
      </w:r>
      <w:r w:rsidRPr="009942AF">
        <w:rPr>
          <w:rFonts w:ascii="Calibri" w:hAnsi="Calibri" w:cs="Calibri"/>
          <w:b/>
          <w:bCs/>
          <w:kern w:val="32"/>
          <w:sz w:val="22"/>
          <w:szCs w:val="22"/>
        </w:rPr>
        <w:t>ndustries having CGP</w:t>
      </w:r>
    </w:p>
    <w:p w14:paraId="289C83F5" w14:textId="77777777" w:rsidR="009942AF" w:rsidRPr="009942AF" w:rsidRDefault="009942AF" w:rsidP="0090250D">
      <w:pPr>
        <w:spacing w:line="360" w:lineRule="auto"/>
        <w:ind w:left="567"/>
        <w:jc w:val="both"/>
        <w:rPr>
          <w:rFonts w:ascii="Calibri" w:hAnsi="Calibri" w:cs="Calibri"/>
          <w:sz w:val="22"/>
          <w:szCs w:val="22"/>
        </w:rPr>
      </w:pPr>
      <w:r w:rsidRPr="009942AF">
        <w:rPr>
          <w:rFonts w:ascii="Calibri" w:hAnsi="Calibri" w:cs="Calibri"/>
          <w:sz w:val="22"/>
          <w:szCs w:val="22"/>
        </w:rPr>
        <w:t xml:space="preserve">Previously in RST order RE power was permitted to CGP industries with GTP of 25 </w:t>
      </w:r>
      <w:proofErr w:type="spellStart"/>
      <w:r w:rsidRPr="009942AF">
        <w:rPr>
          <w:rFonts w:ascii="Calibri" w:hAnsi="Calibri" w:cs="Calibri"/>
          <w:sz w:val="22"/>
          <w:szCs w:val="22"/>
        </w:rPr>
        <w:t>paise</w:t>
      </w:r>
      <w:proofErr w:type="spellEnd"/>
      <w:r w:rsidRPr="009942AF">
        <w:rPr>
          <w:rFonts w:ascii="Calibri" w:hAnsi="Calibri" w:cs="Calibri"/>
          <w:sz w:val="22"/>
          <w:szCs w:val="22"/>
        </w:rPr>
        <w:t xml:space="preserve"> per unit. During FY 23-24 the DISCOM has created additional revenue of around Rs.2.78 lacs out of the same through allocating RE power. </w:t>
      </w:r>
    </w:p>
    <w:p w14:paraId="177F0681" w14:textId="77777777" w:rsidR="009942AF" w:rsidRPr="009942AF" w:rsidRDefault="009942AF" w:rsidP="0090250D">
      <w:pPr>
        <w:spacing w:line="360" w:lineRule="auto"/>
        <w:ind w:left="567"/>
        <w:jc w:val="both"/>
        <w:rPr>
          <w:rFonts w:ascii="Calibri" w:hAnsi="Calibri" w:cs="Calibri"/>
          <w:sz w:val="22"/>
          <w:szCs w:val="22"/>
        </w:rPr>
      </w:pPr>
    </w:p>
    <w:p w14:paraId="7F2934B0" w14:textId="77777777" w:rsidR="009942AF" w:rsidRPr="009942AF" w:rsidRDefault="009942AF" w:rsidP="0090250D">
      <w:pPr>
        <w:spacing w:line="360" w:lineRule="auto"/>
        <w:ind w:left="567"/>
        <w:jc w:val="both"/>
        <w:rPr>
          <w:rFonts w:ascii="Calibri" w:hAnsi="Calibri" w:cs="Calibri"/>
          <w:sz w:val="22"/>
          <w:szCs w:val="22"/>
        </w:rPr>
      </w:pPr>
      <w:r w:rsidRPr="009942AF">
        <w:rPr>
          <w:rFonts w:ascii="Calibri" w:hAnsi="Calibri" w:cs="Calibri"/>
          <w:sz w:val="22"/>
          <w:szCs w:val="22"/>
        </w:rPr>
        <w:t xml:space="preserve">Now during current year Hon’ble vide para 241 has disallowed RE power to CGP industries. But, at the same time the Hon’ble Commission in the Bulk Supply Tariff Order for FY 24-25 vide para 328 has permitted GRIDCO to allocate RE Power to the DISCOMs in proportion to their estimated total energy requirement for FY 24-25. </w:t>
      </w:r>
      <w:proofErr w:type="gramStart"/>
      <w:r w:rsidRPr="009942AF">
        <w:rPr>
          <w:rFonts w:ascii="Calibri" w:hAnsi="Calibri" w:cs="Calibri"/>
          <w:sz w:val="22"/>
          <w:szCs w:val="22"/>
        </w:rPr>
        <w:t>For  FY</w:t>
      </w:r>
      <w:proofErr w:type="gramEnd"/>
      <w:r w:rsidRPr="009942AF">
        <w:rPr>
          <w:rFonts w:ascii="Calibri" w:hAnsi="Calibri" w:cs="Calibri"/>
          <w:sz w:val="22"/>
          <w:szCs w:val="22"/>
        </w:rPr>
        <w:t xml:space="preserve"> 24-25, Renewable Energy of 3580.62 MU is available to GRIDCO, out of total power 37540 MU which is within 10%. Also, as per RST Order, 778.60 MU RE Power has been </w:t>
      </w:r>
    </w:p>
    <w:p w14:paraId="6AD73C1F" w14:textId="77777777" w:rsidR="009942AF" w:rsidRPr="009942AF" w:rsidRDefault="009942AF" w:rsidP="0090250D">
      <w:pPr>
        <w:spacing w:line="360" w:lineRule="auto"/>
        <w:ind w:left="567"/>
        <w:jc w:val="both"/>
        <w:rPr>
          <w:rFonts w:ascii="Calibri" w:hAnsi="Calibri" w:cs="Calibri"/>
          <w:sz w:val="22"/>
          <w:szCs w:val="22"/>
        </w:rPr>
      </w:pPr>
    </w:p>
    <w:p w14:paraId="5E2A5896" w14:textId="77777777" w:rsidR="009942AF" w:rsidRPr="009942AF" w:rsidRDefault="009942AF" w:rsidP="0090250D">
      <w:pPr>
        <w:spacing w:line="360" w:lineRule="auto"/>
        <w:ind w:left="567"/>
        <w:jc w:val="both"/>
        <w:rPr>
          <w:rFonts w:ascii="Calibri" w:hAnsi="Calibri" w:cs="Calibri"/>
          <w:sz w:val="22"/>
          <w:szCs w:val="22"/>
        </w:rPr>
      </w:pPr>
    </w:p>
    <w:p w14:paraId="19955EEB" w14:textId="77777777" w:rsidR="009942AF" w:rsidRPr="009942AF" w:rsidRDefault="009942AF" w:rsidP="0090250D">
      <w:pPr>
        <w:spacing w:line="360" w:lineRule="auto"/>
        <w:ind w:left="567"/>
        <w:jc w:val="both"/>
        <w:rPr>
          <w:rFonts w:ascii="Calibri" w:hAnsi="Calibri" w:cs="Calibri"/>
          <w:sz w:val="22"/>
          <w:szCs w:val="22"/>
        </w:rPr>
      </w:pPr>
      <w:r w:rsidRPr="009942AF">
        <w:rPr>
          <w:rFonts w:ascii="Calibri" w:hAnsi="Calibri" w:cs="Calibri"/>
          <w:sz w:val="22"/>
          <w:szCs w:val="22"/>
        </w:rPr>
        <w:lastRenderedPageBreak/>
        <w:t xml:space="preserve">allocated to TPNODL against its total approved input of 8163 MU. Accordingly, GRIDCO is allocating RE Power monthly to the DISCOMs on actual basis. </w:t>
      </w:r>
    </w:p>
    <w:p w14:paraId="12670A7B" w14:textId="77777777" w:rsidR="009942AF" w:rsidRPr="009942AF" w:rsidRDefault="009942AF" w:rsidP="0090250D">
      <w:pPr>
        <w:spacing w:line="360" w:lineRule="auto"/>
        <w:ind w:left="567"/>
        <w:jc w:val="both"/>
        <w:rPr>
          <w:rFonts w:ascii="Calibri" w:hAnsi="Calibri" w:cs="Calibri"/>
          <w:sz w:val="22"/>
          <w:szCs w:val="22"/>
        </w:rPr>
      </w:pPr>
    </w:p>
    <w:p w14:paraId="1609D180" w14:textId="77777777" w:rsidR="009942AF" w:rsidRPr="009942AF" w:rsidRDefault="009942AF" w:rsidP="0090250D">
      <w:pPr>
        <w:spacing w:line="360" w:lineRule="auto"/>
        <w:ind w:left="567"/>
        <w:jc w:val="both"/>
        <w:rPr>
          <w:rFonts w:ascii="Calibri" w:hAnsi="Calibri" w:cs="Calibri"/>
          <w:sz w:val="22"/>
          <w:szCs w:val="22"/>
        </w:rPr>
      </w:pPr>
      <w:r w:rsidRPr="009942AF">
        <w:rPr>
          <w:rFonts w:ascii="Calibri" w:hAnsi="Calibri" w:cs="Calibri"/>
          <w:sz w:val="22"/>
          <w:szCs w:val="22"/>
        </w:rPr>
        <w:t xml:space="preserve">Hon’ble Commission in the RST Order FY 24-25 has directed that Consumers desiring to avail 100% RE Power has to pay Green Tariff Premium (GTP) of 20 </w:t>
      </w:r>
      <w:proofErr w:type="spellStart"/>
      <w:r w:rsidRPr="009942AF">
        <w:rPr>
          <w:rFonts w:ascii="Calibri" w:hAnsi="Calibri" w:cs="Calibri"/>
          <w:sz w:val="22"/>
          <w:szCs w:val="22"/>
        </w:rPr>
        <w:t>paise</w:t>
      </w:r>
      <w:proofErr w:type="spellEnd"/>
      <w:r w:rsidRPr="009942AF">
        <w:rPr>
          <w:rFonts w:ascii="Calibri" w:hAnsi="Calibri" w:cs="Calibri"/>
          <w:sz w:val="22"/>
          <w:szCs w:val="22"/>
        </w:rPr>
        <w:t xml:space="preserve">/unit. However, this facility is not permitted to CGP Industries. Now, some of the Consumers/Industries are requesting the DISCOM to certify the quantum of RE Power included in their monthly consumption within their Contract Demand. </w:t>
      </w:r>
    </w:p>
    <w:p w14:paraId="11B6D38D" w14:textId="77777777" w:rsidR="009942AF" w:rsidRPr="009942AF" w:rsidRDefault="009942AF" w:rsidP="009942AF">
      <w:pPr>
        <w:spacing w:line="360" w:lineRule="auto"/>
        <w:ind w:left="284"/>
        <w:jc w:val="both"/>
        <w:rPr>
          <w:rFonts w:ascii="Calibri" w:hAnsi="Calibri" w:cs="Calibri"/>
          <w:sz w:val="22"/>
          <w:szCs w:val="22"/>
        </w:rPr>
      </w:pPr>
    </w:p>
    <w:p w14:paraId="2DDE769B" w14:textId="77777777" w:rsidR="009942AF" w:rsidRPr="009942AF" w:rsidRDefault="009942AF" w:rsidP="0090250D">
      <w:pPr>
        <w:spacing w:line="360" w:lineRule="auto"/>
        <w:ind w:left="567"/>
        <w:jc w:val="both"/>
        <w:rPr>
          <w:rFonts w:ascii="Calibri" w:hAnsi="Calibri" w:cs="Calibri"/>
          <w:sz w:val="22"/>
          <w:szCs w:val="22"/>
        </w:rPr>
      </w:pPr>
      <w:r w:rsidRPr="009942AF">
        <w:rPr>
          <w:rFonts w:ascii="Calibri" w:hAnsi="Calibri" w:cs="Calibri"/>
          <w:sz w:val="22"/>
          <w:szCs w:val="22"/>
        </w:rPr>
        <w:t>In view of the above, the Licensee humbly submits before Hon’ble Commission to permit the DISCOM to intimate the quantum of RE Power included in the monthly consumption of Consumer/Industries (incl. CGP) considering the actual allocation as received from GRIDCO. However, in the case of CGP Industries, the RE Power consumed monthly from DISCOM shall not be permitted for their Renewable Purchase Obligation (RPO).</w:t>
      </w:r>
    </w:p>
    <w:p w14:paraId="4A78DC7E" w14:textId="77777777" w:rsidR="009942AF" w:rsidRPr="009942AF" w:rsidRDefault="009942AF" w:rsidP="0090250D">
      <w:pPr>
        <w:spacing w:line="360" w:lineRule="auto"/>
        <w:ind w:left="567"/>
        <w:jc w:val="both"/>
        <w:rPr>
          <w:rFonts w:ascii="Calibri" w:hAnsi="Calibri" w:cs="Calibri"/>
          <w:sz w:val="22"/>
          <w:szCs w:val="22"/>
        </w:rPr>
      </w:pPr>
    </w:p>
    <w:p w14:paraId="19AFB2DB" w14:textId="77777777" w:rsidR="009942AF" w:rsidRPr="009942AF" w:rsidRDefault="009942AF" w:rsidP="0090250D">
      <w:pPr>
        <w:spacing w:line="360" w:lineRule="auto"/>
        <w:ind w:left="567"/>
        <w:jc w:val="both"/>
        <w:rPr>
          <w:rFonts w:ascii="Calibri" w:hAnsi="Calibri" w:cs="Calibri"/>
          <w:sz w:val="22"/>
          <w:szCs w:val="22"/>
        </w:rPr>
      </w:pPr>
      <w:r w:rsidRPr="009942AF">
        <w:rPr>
          <w:rFonts w:ascii="Calibri" w:hAnsi="Calibri" w:cs="Calibri"/>
          <w:sz w:val="22"/>
          <w:szCs w:val="22"/>
        </w:rPr>
        <w:t xml:space="preserve">The present GTP is 20 </w:t>
      </w:r>
      <w:proofErr w:type="spellStart"/>
      <w:r w:rsidRPr="009942AF">
        <w:rPr>
          <w:rFonts w:ascii="Calibri" w:hAnsi="Calibri" w:cs="Calibri"/>
          <w:sz w:val="22"/>
          <w:szCs w:val="22"/>
        </w:rPr>
        <w:t>paise</w:t>
      </w:r>
      <w:proofErr w:type="spellEnd"/>
      <w:r w:rsidRPr="009942AF">
        <w:rPr>
          <w:rFonts w:ascii="Calibri" w:hAnsi="Calibri" w:cs="Calibri"/>
          <w:sz w:val="22"/>
          <w:szCs w:val="22"/>
        </w:rPr>
        <w:t xml:space="preserve"> per unit for those who are consuming 100% green power. But, in the case of CGP industries as we are not allowing to claim RPO, we may allocate RE power as available with DISCOM on month-to-month basis as per actual allocation by GRIDCO with GTP of 10 </w:t>
      </w:r>
      <w:proofErr w:type="spellStart"/>
      <w:r w:rsidRPr="009942AF">
        <w:rPr>
          <w:rFonts w:ascii="Calibri" w:hAnsi="Calibri" w:cs="Calibri"/>
          <w:sz w:val="22"/>
          <w:szCs w:val="22"/>
        </w:rPr>
        <w:t>paise</w:t>
      </w:r>
      <w:proofErr w:type="spellEnd"/>
      <w:r w:rsidRPr="009942AF">
        <w:rPr>
          <w:rFonts w:ascii="Calibri" w:hAnsi="Calibri" w:cs="Calibri"/>
          <w:sz w:val="22"/>
          <w:szCs w:val="22"/>
        </w:rPr>
        <w:t xml:space="preserve"> per unit. If the green power of any DISCOM remains unsold it may be permitted to be re-allocated to the desiring DISCOM.</w:t>
      </w:r>
    </w:p>
    <w:p w14:paraId="046D3050" w14:textId="177A2735" w:rsidR="009942AF" w:rsidRPr="009942AF" w:rsidRDefault="009942AF" w:rsidP="009942AF">
      <w:pPr>
        <w:keepNext/>
        <w:spacing w:before="240" w:after="60" w:line="360" w:lineRule="auto"/>
        <w:ind w:left="540"/>
        <w:jc w:val="both"/>
        <w:outlineLvl w:val="0"/>
        <w:rPr>
          <w:rFonts w:ascii="Calibri" w:hAnsi="Calibri" w:cs="Calibri"/>
          <w:kern w:val="32"/>
          <w:sz w:val="22"/>
          <w:szCs w:val="22"/>
        </w:rPr>
      </w:pPr>
      <w:bookmarkStart w:id="29" w:name="_Toc152180141"/>
      <w:r w:rsidRPr="009942AF">
        <w:rPr>
          <w:rFonts w:ascii="Calibri" w:hAnsi="Calibri" w:cs="Calibri"/>
          <w:b/>
          <w:bCs/>
          <w:kern w:val="32"/>
          <w:sz w:val="22"/>
          <w:szCs w:val="22"/>
        </w:rPr>
        <w:t>9.</w:t>
      </w:r>
      <w:r w:rsidR="0090250D">
        <w:rPr>
          <w:rFonts w:ascii="Calibri" w:hAnsi="Calibri" w:cs="Calibri"/>
          <w:b/>
          <w:bCs/>
          <w:kern w:val="32"/>
          <w:sz w:val="22"/>
          <w:szCs w:val="22"/>
        </w:rPr>
        <w:t>8</w:t>
      </w:r>
      <w:r w:rsidRPr="009942AF">
        <w:rPr>
          <w:rFonts w:ascii="Calibri" w:hAnsi="Calibri" w:cs="Calibri"/>
          <w:b/>
          <w:bCs/>
          <w:kern w:val="32"/>
          <w:sz w:val="22"/>
          <w:szCs w:val="22"/>
        </w:rPr>
        <w:t xml:space="preserve">   Special tariff for industries those who have closed their units if reopen/starts</w:t>
      </w:r>
      <w:bookmarkEnd w:id="29"/>
    </w:p>
    <w:p w14:paraId="6BE31BBE" w14:textId="77777777" w:rsidR="009942AF" w:rsidRPr="009942AF" w:rsidRDefault="009942AF" w:rsidP="0090250D">
      <w:pPr>
        <w:spacing w:line="360" w:lineRule="auto"/>
        <w:ind w:left="567"/>
        <w:jc w:val="both"/>
        <w:rPr>
          <w:rFonts w:ascii="Calibri" w:hAnsi="Calibri" w:cs="Calibri"/>
          <w:sz w:val="22"/>
          <w:szCs w:val="22"/>
        </w:rPr>
      </w:pPr>
      <w:r w:rsidRPr="009942AF">
        <w:rPr>
          <w:rFonts w:ascii="Calibri" w:hAnsi="Calibri" w:cs="Calibri"/>
          <w:sz w:val="22"/>
          <w:szCs w:val="22"/>
        </w:rPr>
        <w:t>TPNODL has made a wide study in its area of operation and found that there are no of industries who have closed their units since long. This may be due to different reason, but resources are getting wasted because of non-operational. To start a business creating all the infrastructure is always a challenge, however, having a set up an industry can start with minimum expenditure. Specifically, with the present market condition, which is moving at a much faster pace.  If a suitable tariff structure for the closed units can be introduced, we hope some more industry can restart their units. Further, when industries run, it will create employment opportunities, GST &amp; Income Tax also contributes towards national GDP. Further operationalization of industries will help in growth of industrialization, create employment opportunity, improvement in national GDP etc.</w:t>
      </w:r>
    </w:p>
    <w:p w14:paraId="02AC2816" w14:textId="77777777" w:rsidR="009942AF" w:rsidRPr="009942AF" w:rsidRDefault="009942AF" w:rsidP="009942AF">
      <w:pPr>
        <w:numPr>
          <w:ilvl w:val="1"/>
          <w:numId w:val="60"/>
        </w:numPr>
        <w:spacing w:after="200" w:line="360" w:lineRule="auto"/>
        <w:contextualSpacing/>
        <w:jc w:val="both"/>
        <w:rPr>
          <w:rFonts w:ascii="Calibri" w:eastAsia="Calibri" w:hAnsi="Calibri" w:cs="Calibri"/>
          <w:sz w:val="22"/>
          <w:szCs w:val="22"/>
        </w:rPr>
      </w:pPr>
      <w:r w:rsidRPr="009942AF">
        <w:rPr>
          <w:rFonts w:ascii="Calibri" w:eastAsia="Calibri" w:hAnsi="Calibri" w:cs="Calibri"/>
          <w:sz w:val="22"/>
          <w:szCs w:val="22"/>
        </w:rPr>
        <w:t xml:space="preserve">The proposal is for industries those who have closed their units in complete shape prior to take over. </w:t>
      </w:r>
    </w:p>
    <w:p w14:paraId="218A8260" w14:textId="77777777" w:rsidR="009942AF" w:rsidRPr="009942AF" w:rsidRDefault="009942AF" w:rsidP="009942AF">
      <w:pPr>
        <w:numPr>
          <w:ilvl w:val="1"/>
          <w:numId w:val="60"/>
        </w:numPr>
        <w:spacing w:after="200" w:line="360" w:lineRule="auto"/>
        <w:contextualSpacing/>
        <w:jc w:val="both"/>
        <w:rPr>
          <w:rFonts w:ascii="Calibri" w:eastAsia="Calibri" w:hAnsi="Calibri" w:cs="Calibri"/>
          <w:sz w:val="22"/>
          <w:szCs w:val="22"/>
        </w:rPr>
      </w:pPr>
      <w:r w:rsidRPr="009942AF">
        <w:rPr>
          <w:rFonts w:ascii="Calibri" w:eastAsia="Calibri" w:hAnsi="Calibri" w:cs="Calibri"/>
          <w:sz w:val="22"/>
          <w:szCs w:val="22"/>
        </w:rPr>
        <w:t xml:space="preserve">Industries those who have arrear outstanding even after adjustment of SD has to clear </w:t>
      </w:r>
      <w:proofErr w:type="gramStart"/>
      <w:r w:rsidRPr="009942AF">
        <w:rPr>
          <w:rFonts w:ascii="Calibri" w:eastAsia="Calibri" w:hAnsi="Calibri" w:cs="Calibri"/>
          <w:sz w:val="22"/>
          <w:szCs w:val="22"/>
        </w:rPr>
        <w:t>it’s</w:t>
      </w:r>
      <w:proofErr w:type="gramEnd"/>
      <w:r w:rsidRPr="009942AF">
        <w:rPr>
          <w:rFonts w:ascii="Calibri" w:eastAsia="Calibri" w:hAnsi="Calibri" w:cs="Calibri"/>
          <w:sz w:val="22"/>
          <w:szCs w:val="22"/>
        </w:rPr>
        <w:t xml:space="preserve"> dues before availing the benefit.</w:t>
      </w:r>
    </w:p>
    <w:p w14:paraId="59B86110" w14:textId="77777777" w:rsidR="009942AF" w:rsidRPr="009942AF" w:rsidRDefault="009942AF" w:rsidP="009942AF">
      <w:pPr>
        <w:numPr>
          <w:ilvl w:val="1"/>
          <w:numId w:val="60"/>
        </w:numPr>
        <w:spacing w:after="200" w:line="360" w:lineRule="auto"/>
        <w:contextualSpacing/>
        <w:jc w:val="both"/>
        <w:rPr>
          <w:rFonts w:ascii="Calibri" w:eastAsia="Calibri" w:hAnsi="Calibri" w:cs="Calibri"/>
          <w:sz w:val="22"/>
          <w:szCs w:val="22"/>
        </w:rPr>
      </w:pPr>
      <w:r w:rsidRPr="009942AF">
        <w:rPr>
          <w:rFonts w:ascii="Calibri" w:eastAsia="Calibri" w:hAnsi="Calibri" w:cs="Calibri"/>
          <w:sz w:val="22"/>
          <w:szCs w:val="22"/>
        </w:rPr>
        <w:lastRenderedPageBreak/>
        <w:t>The industry has to start with the load when it was closed. No load reduction is permissible before or after availing this benefit during FY 25-26.</w:t>
      </w:r>
    </w:p>
    <w:p w14:paraId="11707889" w14:textId="77777777" w:rsidR="009942AF" w:rsidRPr="009942AF" w:rsidRDefault="009942AF" w:rsidP="009942AF">
      <w:pPr>
        <w:numPr>
          <w:ilvl w:val="1"/>
          <w:numId w:val="60"/>
        </w:numPr>
        <w:spacing w:after="200" w:line="360" w:lineRule="auto"/>
        <w:contextualSpacing/>
        <w:jc w:val="both"/>
        <w:rPr>
          <w:rFonts w:ascii="Calibri" w:eastAsia="Calibri" w:hAnsi="Calibri" w:cs="Calibri"/>
          <w:sz w:val="22"/>
          <w:szCs w:val="22"/>
        </w:rPr>
      </w:pPr>
      <w:r w:rsidRPr="009942AF">
        <w:rPr>
          <w:rFonts w:ascii="Calibri" w:eastAsia="Calibri" w:hAnsi="Calibri" w:cs="Calibri"/>
          <w:sz w:val="22"/>
          <w:szCs w:val="22"/>
        </w:rPr>
        <w:t xml:space="preserve">The incentive may be given @ 20% on entire units consumed if achieves 60% L.F. in a month. </w:t>
      </w:r>
    </w:p>
    <w:p w14:paraId="22CCCB74" w14:textId="77777777" w:rsidR="009942AF" w:rsidRPr="009942AF" w:rsidRDefault="009942AF" w:rsidP="009942AF">
      <w:pPr>
        <w:numPr>
          <w:ilvl w:val="1"/>
          <w:numId w:val="60"/>
        </w:numPr>
        <w:spacing w:after="200" w:line="360" w:lineRule="auto"/>
        <w:contextualSpacing/>
        <w:jc w:val="both"/>
        <w:rPr>
          <w:rFonts w:ascii="Calibri" w:eastAsia="Calibri" w:hAnsi="Calibri" w:cs="Calibri"/>
          <w:sz w:val="22"/>
          <w:szCs w:val="22"/>
        </w:rPr>
      </w:pPr>
      <w:r w:rsidRPr="009942AF">
        <w:rPr>
          <w:rFonts w:ascii="Calibri" w:eastAsia="Calibri" w:hAnsi="Calibri" w:cs="Calibri"/>
          <w:sz w:val="22"/>
          <w:szCs w:val="22"/>
        </w:rPr>
        <w:t>Closed Industry may be permitted at 11kV or 33kV level with minimum CD of 500 kW.</w:t>
      </w:r>
    </w:p>
    <w:p w14:paraId="25A5F703" w14:textId="77777777" w:rsidR="009942AF" w:rsidRPr="009942AF" w:rsidRDefault="009942AF" w:rsidP="009942AF">
      <w:pPr>
        <w:numPr>
          <w:ilvl w:val="1"/>
          <w:numId w:val="60"/>
        </w:numPr>
        <w:spacing w:after="200" w:line="360" w:lineRule="auto"/>
        <w:contextualSpacing/>
        <w:jc w:val="both"/>
        <w:rPr>
          <w:rFonts w:ascii="Calibri" w:eastAsia="Calibri" w:hAnsi="Calibri" w:cs="Calibri"/>
          <w:sz w:val="22"/>
          <w:szCs w:val="22"/>
        </w:rPr>
      </w:pPr>
      <w:r w:rsidRPr="009942AF">
        <w:rPr>
          <w:rFonts w:ascii="Calibri" w:eastAsia="Calibri" w:hAnsi="Calibri" w:cs="Calibri"/>
          <w:sz w:val="22"/>
          <w:szCs w:val="22"/>
        </w:rPr>
        <w:t xml:space="preserve">As this is a special scheme for the revival of the closed units it will be for the year 2025-26 only. </w:t>
      </w:r>
    </w:p>
    <w:p w14:paraId="6B01E7B5" w14:textId="77777777" w:rsidR="009942AF" w:rsidRPr="009942AF" w:rsidRDefault="009942AF" w:rsidP="009942AF">
      <w:pPr>
        <w:numPr>
          <w:ilvl w:val="1"/>
          <w:numId w:val="60"/>
        </w:numPr>
        <w:spacing w:after="200" w:line="360" w:lineRule="auto"/>
        <w:contextualSpacing/>
        <w:jc w:val="both"/>
        <w:rPr>
          <w:rFonts w:ascii="Calibri" w:eastAsia="Calibri" w:hAnsi="Calibri" w:cs="Calibri"/>
          <w:sz w:val="22"/>
          <w:szCs w:val="22"/>
        </w:rPr>
      </w:pPr>
      <w:r w:rsidRPr="009942AF">
        <w:rPr>
          <w:rFonts w:ascii="Calibri" w:eastAsia="Calibri" w:hAnsi="Calibri" w:cs="Calibri"/>
          <w:sz w:val="22"/>
          <w:szCs w:val="22"/>
        </w:rPr>
        <w:t xml:space="preserve">Because of closure of units no one benefits, including the Government of Odisha who will get electricity duty @8% on energy charges. So, this will offset the incentive largely so offered. </w:t>
      </w:r>
    </w:p>
    <w:p w14:paraId="4322FEBE" w14:textId="77777777" w:rsidR="009942AF" w:rsidRPr="009942AF" w:rsidRDefault="009942AF" w:rsidP="009942AF">
      <w:pPr>
        <w:numPr>
          <w:ilvl w:val="1"/>
          <w:numId w:val="60"/>
        </w:numPr>
        <w:spacing w:after="200" w:line="360" w:lineRule="auto"/>
        <w:contextualSpacing/>
        <w:jc w:val="both"/>
        <w:rPr>
          <w:rFonts w:ascii="Calibri" w:eastAsia="Calibri" w:hAnsi="Calibri" w:cs="Calibri"/>
          <w:sz w:val="22"/>
          <w:szCs w:val="22"/>
        </w:rPr>
      </w:pPr>
      <w:r w:rsidRPr="009942AF">
        <w:rPr>
          <w:rFonts w:ascii="Calibri" w:eastAsia="Calibri" w:hAnsi="Calibri" w:cs="Calibri"/>
          <w:sz w:val="22"/>
          <w:szCs w:val="22"/>
        </w:rPr>
        <w:t>This incentive will be over and above all other existing rebate in the tariff</w:t>
      </w:r>
    </w:p>
    <w:p w14:paraId="30939FC2" w14:textId="77777777" w:rsidR="009942AF" w:rsidRPr="009942AF" w:rsidRDefault="009942AF" w:rsidP="009942AF">
      <w:pPr>
        <w:numPr>
          <w:ilvl w:val="1"/>
          <w:numId w:val="60"/>
        </w:numPr>
        <w:spacing w:after="200" w:line="360" w:lineRule="auto"/>
        <w:contextualSpacing/>
        <w:jc w:val="both"/>
        <w:rPr>
          <w:rFonts w:ascii="Calibri" w:eastAsia="Calibri" w:hAnsi="Calibri" w:cs="Calibri"/>
          <w:sz w:val="22"/>
          <w:szCs w:val="22"/>
        </w:rPr>
      </w:pPr>
      <w:r w:rsidRPr="009942AF">
        <w:rPr>
          <w:rFonts w:ascii="Calibri" w:eastAsia="Calibri" w:hAnsi="Calibri" w:cs="Calibri"/>
          <w:sz w:val="22"/>
          <w:szCs w:val="22"/>
        </w:rPr>
        <w:t>Industries opting this benefit shall not be eligible for open access.</w:t>
      </w:r>
    </w:p>
    <w:p w14:paraId="2A649C10" w14:textId="77777777" w:rsidR="009942AF" w:rsidRPr="009942AF" w:rsidRDefault="009942AF" w:rsidP="009942AF">
      <w:pPr>
        <w:numPr>
          <w:ilvl w:val="1"/>
          <w:numId w:val="60"/>
        </w:numPr>
        <w:spacing w:after="200" w:line="360" w:lineRule="auto"/>
        <w:contextualSpacing/>
        <w:jc w:val="both"/>
        <w:rPr>
          <w:rFonts w:ascii="Calibri" w:eastAsia="Calibri" w:hAnsi="Calibri" w:cs="Calibri"/>
          <w:sz w:val="22"/>
          <w:szCs w:val="22"/>
        </w:rPr>
      </w:pPr>
      <w:r w:rsidRPr="009942AF">
        <w:rPr>
          <w:rFonts w:ascii="Calibri" w:eastAsia="Calibri" w:hAnsi="Calibri" w:cs="Calibri"/>
          <w:sz w:val="22"/>
          <w:szCs w:val="22"/>
        </w:rPr>
        <w:t xml:space="preserve">Industry availing this benefit shall not be permitted to avail benefit of another scheme. </w:t>
      </w:r>
    </w:p>
    <w:p w14:paraId="70C3C955" w14:textId="77777777" w:rsidR="009942AF" w:rsidRPr="009942AF" w:rsidRDefault="009942AF" w:rsidP="009942AF">
      <w:pPr>
        <w:spacing w:after="200" w:line="360" w:lineRule="auto"/>
        <w:ind w:left="1440"/>
        <w:contextualSpacing/>
        <w:jc w:val="both"/>
        <w:rPr>
          <w:rFonts w:ascii="Calibri" w:eastAsia="Calibri" w:hAnsi="Calibri" w:cs="Calibri"/>
          <w:sz w:val="22"/>
          <w:szCs w:val="22"/>
        </w:rPr>
      </w:pPr>
    </w:p>
    <w:p w14:paraId="220FB293" w14:textId="40588311" w:rsidR="009942AF" w:rsidRPr="009942AF" w:rsidRDefault="009942AF" w:rsidP="0090250D">
      <w:pPr>
        <w:keepNext/>
        <w:spacing w:before="240" w:after="60" w:line="360" w:lineRule="auto"/>
        <w:ind w:left="709"/>
        <w:jc w:val="both"/>
        <w:outlineLvl w:val="0"/>
        <w:rPr>
          <w:rFonts w:ascii="Calibri" w:hAnsi="Calibri" w:cs="Calibri"/>
          <w:kern w:val="32"/>
          <w:sz w:val="22"/>
          <w:szCs w:val="22"/>
        </w:rPr>
      </w:pPr>
      <w:bookmarkStart w:id="30" w:name="_Toc120649881"/>
      <w:r w:rsidRPr="009942AF">
        <w:rPr>
          <w:rFonts w:ascii="Calibri" w:hAnsi="Calibri" w:cs="Calibri"/>
          <w:b/>
          <w:bCs/>
          <w:kern w:val="32"/>
          <w:sz w:val="22"/>
          <w:szCs w:val="22"/>
        </w:rPr>
        <w:t>9.</w:t>
      </w:r>
      <w:r w:rsidR="0090250D">
        <w:rPr>
          <w:rFonts w:ascii="Calibri" w:hAnsi="Calibri" w:cs="Calibri"/>
          <w:b/>
          <w:bCs/>
          <w:kern w:val="32"/>
          <w:sz w:val="22"/>
          <w:szCs w:val="22"/>
        </w:rPr>
        <w:t>9</w:t>
      </w:r>
      <w:r w:rsidRPr="009942AF">
        <w:rPr>
          <w:rFonts w:ascii="Calibri" w:hAnsi="Calibri" w:cs="Calibri"/>
          <w:b/>
          <w:bCs/>
          <w:kern w:val="32"/>
          <w:sz w:val="22"/>
          <w:szCs w:val="22"/>
        </w:rPr>
        <w:t xml:space="preserve"> </w:t>
      </w:r>
      <w:bookmarkStart w:id="31" w:name="_Toc152180142"/>
      <w:r w:rsidRPr="009942AF">
        <w:rPr>
          <w:rFonts w:ascii="Calibri" w:hAnsi="Calibri" w:cs="Calibri"/>
          <w:b/>
          <w:bCs/>
          <w:kern w:val="32"/>
          <w:sz w:val="22"/>
          <w:szCs w:val="22"/>
        </w:rPr>
        <w:t>Special tariff for existing industries who have no CGP for drawl of additional power beyond CD of 10 MVA</w:t>
      </w:r>
      <w:bookmarkEnd w:id="30"/>
      <w:bookmarkEnd w:id="31"/>
    </w:p>
    <w:p w14:paraId="4F426C12" w14:textId="77777777" w:rsidR="009942AF" w:rsidRPr="009942AF" w:rsidRDefault="009942AF" w:rsidP="0090250D">
      <w:pPr>
        <w:spacing w:line="360" w:lineRule="auto"/>
        <w:ind w:left="709"/>
        <w:jc w:val="both"/>
        <w:rPr>
          <w:rFonts w:ascii="Calibri" w:hAnsi="Calibri" w:cs="Calibri"/>
          <w:sz w:val="22"/>
          <w:szCs w:val="22"/>
        </w:rPr>
      </w:pPr>
      <w:r w:rsidRPr="009942AF">
        <w:rPr>
          <w:rFonts w:ascii="Calibri" w:hAnsi="Calibri" w:cs="Calibri"/>
          <w:sz w:val="22"/>
          <w:szCs w:val="22"/>
        </w:rPr>
        <w:t>Upon the announcement of benefit to the extent of double the CD to the consumers who are having CGP, few of the other industries those who do not have CGP has started approaching for similar type of scheme for them so that they can utilize their existing installed capacity in full, beyond CD or may add capacity in the existing premises beyond CD if permitted. In line with special tariff for industry having CGP, a special tariff for non CGP industries connected in 33 KV level or above may kindly be considered. The scheme may be as follows:</w:t>
      </w:r>
    </w:p>
    <w:p w14:paraId="4238D0FF" w14:textId="77777777" w:rsidR="009942AF" w:rsidRPr="009942AF" w:rsidRDefault="009942AF" w:rsidP="009942AF">
      <w:pPr>
        <w:spacing w:line="360" w:lineRule="auto"/>
        <w:ind w:left="284"/>
        <w:jc w:val="both"/>
        <w:rPr>
          <w:rFonts w:ascii="Calibri" w:hAnsi="Calibri" w:cs="Calibri"/>
          <w:sz w:val="22"/>
          <w:szCs w:val="22"/>
        </w:rPr>
      </w:pPr>
    </w:p>
    <w:p w14:paraId="18B6940A" w14:textId="4A611A23" w:rsidR="009942AF" w:rsidRPr="009942AF" w:rsidRDefault="009942AF" w:rsidP="009942AF">
      <w:pPr>
        <w:numPr>
          <w:ilvl w:val="0"/>
          <w:numId w:val="62"/>
        </w:numPr>
        <w:spacing w:after="200" w:line="360" w:lineRule="auto"/>
        <w:ind w:left="1276"/>
        <w:contextualSpacing/>
        <w:jc w:val="both"/>
        <w:rPr>
          <w:rFonts w:ascii="Calibri" w:eastAsia="Calibri" w:hAnsi="Calibri" w:cs="Calibri"/>
          <w:sz w:val="22"/>
          <w:szCs w:val="22"/>
        </w:rPr>
      </w:pPr>
      <w:r w:rsidRPr="009942AF">
        <w:rPr>
          <w:rFonts w:ascii="Calibri" w:eastAsia="Calibri" w:hAnsi="Calibri" w:cs="Calibri"/>
          <w:sz w:val="22"/>
          <w:szCs w:val="22"/>
        </w:rPr>
        <w:t xml:space="preserve">The agreement shall be between the </w:t>
      </w:r>
      <w:r w:rsidR="0090250D" w:rsidRPr="009942AF">
        <w:rPr>
          <w:rFonts w:ascii="Calibri" w:eastAsia="Calibri" w:hAnsi="Calibri" w:cs="Calibri"/>
          <w:sz w:val="22"/>
          <w:szCs w:val="22"/>
        </w:rPr>
        <w:t>industry &amp;</w:t>
      </w:r>
      <w:r w:rsidRPr="009942AF">
        <w:rPr>
          <w:rFonts w:ascii="Calibri" w:eastAsia="Calibri" w:hAnsi="Calibri" w:cs="Calibri"/>
          <w:sz w:val="22"/>
          <w:szCs w:val="22"/>
        </w:rPr>
        <w:t xml:space="preserve"> concerned DISCOM.</w:t>
      </w:r>
    </w:p>
    <w:p w14:paraId="2F5A0F76" w14:textId="77777777" w:rsidR="009942AF" w:rsidRPr="009942AF" w:rsidRDefault="009942AF" w:rsidP="009942AF">
      <w:pPr>
        <w:numPr>
          <w:ilvl w:val="0"/>
          <w:numId w:val="62"/>
        </w:numPr>
        <w:spacing w:after="200" w:line="360" w:lineRule="auto"/>
        <w:ind w:left="1276"/>
        <w:contextualSpacing/>
        <w:jc w:val="both"/>
        <w:rPr>
          <w:rFonts w:ascii="Calibri" w:eastAsia="Calibri" w:hAnsi="Calibri" w:cs="Calibri"/>
          <w:sz w:val="22"/>
          <w:szCs w:val="22"/>
        </w:rPr>
      </w:pPr>
      <w:r w:rsidRPr="009942AF">
        <w:rPr>
          <w:rFonts w:ascii="Calibri" w:eastAsia="Calibri" w:hAnsi="Calibri" w:cs="Calibri"/>
          <w:sz w:val="22"/>
          <w:szCs w:val="22"/>
        </w:rPr>
        <w:t>Under 33 KV level the permissible limit of drawl is 15000 KVA, but licensee has the discretion to allow beyond the limit of 15 MVA on special ground considering the adequacy of system availability. If system does not permit then the opting industry has to augment the system of supply to higher level to avail this benefit.</w:t>
      </w:r>
    </w:p>
    <w:p w14:paraId="2D0FF4D0" w14:textId="77777777" w:rsidR="009942AF" w:rsidRPr="009942AF" w:rsidRDefault="009942AF" w:rsidP="009942AF">
      <w:pPr>
        <w:numPr>
          <w:ilvl w:val="0"/>
          <w:numId w:val="62"/>
        </w:numPr>
        <w:spacing w:after="200" w:line="360" w:lineRule="auto"/>
        <w:ind w:left="1276"/>
        <w:contextualSpacing/>
        <w:jc w:val="both"/>
        <w:rPr>
          <w:rFonts w:ascii="Calibri" w:eastAsia="Calibri" w:hAnsi="Calibri" w:cs="Calibri"/>
          <w:sz w:val="22"/>
          <w:szCs w:val="22"/>
        </w:rPr>
      </w:pPr>
      <w:r w:rsidRPr="009942AF">
        <w:rPr>
          <w:rFonts w:ascii="Calibri" w:eastAsia="Calibri" w:hAnsi="Calibri" w:cs="Calibri"/>
          <w:sz w:val="22"/>
          <w:szCs w:val="22"/>
        </w:rPr>
        <w:t>Industry interested for this scheme has to ensure minimum offtake of 85% L.F. of existing CD</w:t>
      </w:r>
    </w:p>
    <w:p w14:paraId="582FAC53" w14:textId="77777777" w:rsidR="009942AF" w:rsidRPr="009942AF" w:rsidRDefault="009942AF" w:rsidP="009942AF">
      <w:pPr>
        <w:numPr>
          <w:ilvl w:val="0"/>
          <w:numId w:val="62"/>
        </w:numPr>
        <w:spacing w:after="200" w:line="360" w:lineRule="auto"/>
        <w:ind w:left="1276"/>
        <w:contextualSpacing/>
        <w:jc w:val="both"/>
        <w:rPr>
          <w:rFonts w:ascii="Calibri" w:eastAsia="Calibri" w:hAnsi="Calibri" w:cs="Calibri"/>
          <w:sz w:val="22"/>
          <w:szCs w:val="22"/>
        </w:rPr>
      </w:pPr>
      <w:r w:rsidRPr="009942AF">
        <w:rPr>
          <w:rFonts w:ascii="Calibri" w:eastAsia="Calibri" w:hAnsi="Calibri" w:cs="Calibri"/>
          <w:sz w:val="22"/>
          <w:szCs w:val="22"/>
        </w:rPr>
        <w:t>Load reduction shall not be allowed during the financial year or those who have reduced their load have to restore before availing the scheme.</w:t>
      </w:r>
    </w:p>
    <w:p w14:paraId="37F2C10C" w14:textId="77777777" w:rsidR="009942AF" w:rsidRPr="009942AF" w:rsidRDefault="009942AF" w:rsidP="009942AF">
      <w:pPr>
        <w:numPr>
          <w:ilvl w:val="0"/>
          <w:numId w:val="62"/>
        </w:numPr>
        <w:spacing w:after="200" w:line="360" w:lineRule="auto"/>
        <w:ind w:left="1276"/>
        <w:contextualSpacing/>
        <w:jc w:val="both"/>
        <w:rPr>
          <w:rFonts w:ascii="Calibri" w:eastAsia="Calibri" w:hAnsi="Calibri" w:cs="Calibri"/>
          <w:sz w:val="22"/>
          <w:szCs w:val="22"/>
        </w:rPr>
      </w:pPr>
      <w:r w:rsidRPr="009942AF">
        <w:rPr>
          <w:rFonts w:ascii="Calibri" w:eastAsia="Calibri" w:hAnsi="Calibri" w:cs="Calibri"/>
          <w:sz w:val="22"/>
          <w:szCs w:val="22"/>
        </w:rPr>
        <w:t>The power so consumed under this agreement may be treated as surplus power of GRIDCO and this quantum shall be over and above the approved quantum in ARR including SMD.</w:t>
      </w:r>
    </w:p>
    <w:p w14:paraId="76E4BB7A" w14:textId="77777777" w:rsidR="009942AF" w:rsidRPr="009942AF" w:rsidRDefault="009942AF" w:rsidP="009942AF">
      <w:pPr>
        <w:numPr>
          <w:ilvl w:val="0"/>
          <w:numId w:val="62"/>
        </w:numPr>
        <w:spacing w:after="200" w:line="360" w:lineRule="auto"/>
        <w:ind w:left="1276"/>
        <w:contextualSpacing/>
        <w:jc w:val="both"/>
        <w:rPr>
          <w:rFonts w:ascii="Calibri" w:eastAsia="Calibri" w:hAnsi="Calibri" w:cs="Calibri"/>
          <w:sz w:val="22"/>
          <w:szCs w:val="22"/>
        </w:rPr>
      </w:pPr>
      <w:r w:rsidRPr="009942AF">
        <w:rPr>
          <w:rFonts w:ascii="Calibri" w:eastAsia="Calibri" w:hAnsi="Calibri" w:cs="Calibri"/>
          <w:sz w:val="22"/>
          <w:szCs w:val="22"/>
        </w:rPr>
        <w:t xml:space="preserve"> Interested industry has to pay a flat rate for the additional energy so consumed beyond 85% of CD.</w:t>
      </w:r>
    </w:p>
    <w:p w14:paraId="3FF93A85" w14:textId="77777777" w:rsidR="009942AF" w:rsidRPr="009942AF" w:rsidRDefault="009942AF" w:rsidP="009942AF">
      <w:pPr>
        <w:numPr>
          <w:ilvl w:val="0"/>
          <w:numId w:val="62"/>
        </w:numPr>
        <w:spacing w:after="200" w:line="360" w:lineRule="auto"/>
        <w:ind w:left="1276"/>
        <w:contextualSpacing/>
        <w:jc w:val="both"/>
        <w:rPr>
          <w:rFonts w:ascii="Calibri" w:eastAsia="Calibri" w:hAnsi="Calibri" w:cs="Calibri"/>
          <w:sz w:val="22"/>
          <w:szCs w:val="22"/>
        </w:rPr>
      </w:pPr>
      <w:r w:rsidRPr="009942AF">
        <w:rPr>
          <w:rFonts w:ascii="Calibri" w:eastAsia="Calibri" w:hAnsi="Calibri" w:cs="Calibri"/>
          <w:sz w:val="22"/>
          <w:szCs w:val="22"/>
        </w:rPr>
        <w:lastRenderedPageBreak/>
        <w:t xml:space="preserve">Consumption </w:t>
      </w:r>
      <w:proofErr w:type="spellStart"/>
      <w:r w:rsidRPr="009942AF">
        <w:rPr>
          <w:rFonts w:ascii="Calibri" w:eastAsia="Calibri" w:hAnsi="Calibri" w:cs="Calibri"/>
          <w:sz w:val="22"/>
          <w:szCs w:val="22"/>
        </w:rPr>
        <w:t>upto</w:t>
      </w:r>
      <w:proofErr w:type="spellEnd"/>
      <w:r w:rsidRPr="009942AF">
        <w:rPr>
          <w:rFonts w:ascii="Calibri" w:eastAsia="Calibri" w:hAnsi="Calibri" w:cs="Calibri"/>
          <w:sz w:val="22"/>
          <w:szCs w:val="22"/>
        </w:rPr>
        <w:t xml:space="preserve"> 85% LF shall be billed as per existing RST</w:t>
      </w:r>
    </w:p>
    <w:p w14:paraId="5746DC41" w14:textId="77777777" w:rsidR="009942AF" w:rsidRPr="009942AF" w:rsidRDefault="009942AF" w:rsidP="009942AF">
      <w:pPr>
        <w:numPr>
          <w:ilvl w:val="0"/>
          <w:numId w:val="62"/>
        </w:numPr>
        <w:spacing w:after="200" w:line="360" w:lineRule="auto"/>
        <w:ind w:left="1276"/>
        <w:contextualSpacing/>
        <w:jc w:val="both"/>
        <w:rPr>
          <w:rFonts w:ascii="Calibri" w:eastAsia="Calibri" w:hAnsi="Calibri" w:cs="Calibri"/>
          <w:sz w:val="22"/>
          <w:szCs w:val="22"/>
        </w:rPr>
      </w:pPr>
      <w:r w:rsidRPr="009942AF">
        <w:rPr>
          <w:rFonts w:ascii="Calibri" w:eastAsia="Calibri" w:hAnsi="Calibri" w:cs="Calibri"/>
          <w:sz w:val="22"/>
          <w:szCs w:val="22"/>
        </w:rPr>
        <w:t>No demand charges for the additional quantum beyond existing CD.</w:t>
      </w:r>
    </w:p>
    <w:p w14:paraId="547C7E95" w14:textId="77777777" w:rsidR="009942AF" w:rsidRPr="009942AF" w:rsidRDefault="009942AF" w:rsidP="009942AF">
      <w:pPr>
        <w:numPr>
          <w:ilvl w:val="0"/>
          <w:numId w:val="62"/>
        </w:numPr>
        <w:spacing w:after="200" w:line="360" w:lineRule="auto"/>
        <w:ind w:left="1276"/>
        <w:contextualSpacing/>
        <w:jc w:val="both"/>
        <w:rPr>
          <w:rFonts w:ascii="Calibri" w:eastAsia="Calibri" w:hAnsi="Calibri" w:cs="Calibri"/>
          <w:sz w:val="22"/>
          <w:szCs w:val="22"/>
        </w:rPr>
      </w:pPr>
      <w:r w:rsidRPr="009942AF">
        <w:rPr>
          <w:rFonts w:ascii="Calibri" w:eastAsia="Calibri" w:hAnsi="Calibri" w:cs="Calibri"/>
          <w:sz w:val="22"/>
          <w:szCs w:val="22"/>
        </w:rPr>
        <w:t>Open access shall not be permitted during this special arrangement.</w:t>
      </w:r>
    </w:p>
    <w:p w14:paraId="4710F338" w14:textId="77777777" w:rsidR="009942AF" w:rsidRPr="009942AF" w:rsidRDefault="009942AF" w:rsidP="009942AF">
      <w:pPr>
        <w:numPr>
          <w:ilvl w:val="0"/>
          <w:numId w:val="62"/>
        </w:numPr>
        <w:spacing w:after="200" w:line="360" w:lineRule="auto"/>
        <w:ind w:left="1276"/>
        <w:contextualSpacing/>
        <w:jc w:val="both"/>
        <w:rPr>
          <w:rFonts w:ascii="Calibri" w:eastAsia="Calibri" w:hAnsi="Calibri" w:cs="Calibri"/>
          <w:sz w:val="22"/>
          <w:szCs w:val="22"/>
        </w:rPr>
      </w:pPr>
      <w:r w:rsidRPr="009942AF">
        <w:rPr>
          <w:rFonts w:ascii="Calibri" w:eastAsia="Calibri" w:hAnsi="Calibri" w:cs="Calibri"/>
          <w:sz w:val="22"/>
          <w:szCs w:val="22"/>
        </w:rPr>
        <w:t>As this is a special agreement adequate Payment security mechanism shall be in place before power transaction as well as there will be no rebate on additional power. However, DPS shall be applicable if payment is not made within due date.</w:t>
      </w:r>
    </w:p>
    <w:p w14:paraId="704F840E" w14:textId="51AC75AD" w:rsidR="009942AF" w:rsidRDefault="009942AF" w:rsidP="009942AF">
      <w:pPr>
        <w:numPr>
          <w:ilvl w:val="0"/>
          <w:numId w:val="62"/>
        </w:numPr>
        <w:spacing w:after="200" w:line="360" w:lineRule="auto"/>
        <w:ind w:left="1276"/>
        <w:contextualSpacing/>
        <w:jc w:val="both"/>
        <w:rPr>
          <w:rFonts w:ascii="Calibri" w:eastAsia="Calibri" w:hAnsi="Calibri" w:cs="Calibri"/>
          <w:sz w:val="22"/>
          <w:szCs w:val="22"/>
        </w:rPr>
      </w:pPr>
      <w:r w:rsidRPr="009942AF">
        <w:rPr>
          <w:rFonts w:ascii="Calibri" w:eastAsia="Calibri" w:hAnsi="Calibri" w:cs="Calibri"/>
          <w:sz w:val="22"/>
          <w:szCs w:val="22"/>
        </w:rPr>
        <w:t>Industry availing of this benefit shall not be permitted to avail benefit of another scheme.</w:t>
      </w:r>
    </w:p>
    <w:p w14:paraId="602B53D3" w14:textId="77777777" w:rsidR="00EC1287" w:rsidRPr="009942AF" w:rsidRDefault="00EC1287" w:rsidP="00EC1287">
      <w:pPr>
        <w:spacing w:after="200" w:line="360" w:lineRule="auto"/>
        <w:ind w:left="1276"/>
        <w:contextualSpacing/>
        <w:jc w:val="both"/>
        <w:rPr>
          <w:rFonts w:ascii="Calibri" w:eastAsia="Calibri" w:hAnsi="Calibri" w:cs="Calibri"/>
          <w:sz w:val="22"/>
          <w:szCs w:val="22"/>
        </w:rPr>
      </w:pPr>
    </w:p>
    <w:p w14:paraId="358A0FB0" w14:textId="22C3EECA" w:rsidR="009942AF" w:rsidRPr="009942AF" w:rsidRDefault="00EC1287" w:rsidP="009942AF">
      <w:pPr>
        <w:keepNext/>
        <w:spacing w:before="240" w:after="60" w:line="360" w:lineRule="auto"/>
        <w:ind w:left="540"/>
        <w:jc w:val="both"/>
        <w:outlineLvl w:val="0"/>
        <w:rPr>
          <w:rFonts w:ascii="Calibri" w:hAnsi="Calibri" w:cs="Calibri"/>
          <w:b/>
          <w:bCs/>
          <w:kern w:val="32"/>
          <w:sz w:val="22"/>
          <w:szCs w:val="22"/>
        </w:rPr>
      </w:pPr>
      <w:bookmarkStart w:id="32" w:name="_Toc120649882"/>
      <w:r>
        <w:rPr>
          <w:rFonts w:ascii="Calibri" w:hAnsi="Calibri" w:cs="Calibri"/>
          <w:b/>
          <w:bCs/>
          <w:kern w:val="32"/>
          <w:sz w:val="22"/>
          <w:szCs w:val="22"/>
        </w:rPr>
        <w:t xml:space="preserve">  </w:t>
      </w:r>
      <w:r w:rsidR="009942AF" w:rsidRPr="009942AF">
        <w:rPr>
          <w:rFonts w:ascii="Calibri" w:hAnsi="Calibri" w:cs="Calibri"/>
          <w:b/>
          <w:bCs/>
          <w:kern w:val="32"/>
          <w:sz w:val="22"/>
          <w:szCs w:val="22"/>
        </w:rPr>
        <w:t>9.1</w:t>
      </w:r>
      <w:r>
        <w:rPr>
          <w:rFonts w:ascii="Calibri" w:hAnsi="Calibri" w:cs="Calibri"/>
          <w:b/>
          <w:bCs/>
          <w:kern w:val="32"/>
          <w:sz w:val="22"/>
          <w:szCs w:val="22"/>
        </w:rPr>
        <w:t>0</w:t>
      </w:r>
      <w:r w:rsidR="009942AF" w:rsidRPr="009942AF">
        <w:rPr>
          <w:rFonts w:ascii="Calibri" w:hAnsi="Calibri" w:cs="Calibri"/>
          <w:b/>
          <w:bCs/>
          <w:kern w:val="32"/>
          <w:sz w:val="22"/>
          <w:szCs w:val="22"/>
        </w:rPr>
        <w:t xml:space="preserve"> </w:t>
      </w:r>
      <w:bookmarkStart w:id="33" w:name="_Toc152180143"/>
      <w:r w:rsidR="009942AF" w:rsidRPr="009942AF">
        <w:rPr>
          <w:rFonts w:ascii="Calibri" w:hAnsi="Calibri" w:cs="Calibri"/>
          <w:b/>
          <w:bCs/>
          <w:kern w:val="32"/>
          <w:sz w:val="22"/>
          <w:szCs w:val="22"/>
        </w:rPr>
        <w:t xml:space="preserve">Special </w:t>
      </w:r>
      <w:r>
        <w:rPr>
          <w:rFonts w:ascii="Calibri" w:hAnsi="Calibri" w:cs="Calibri"/>
          <w:b/>
          <w:bCs/>
          <w:kern w:val="32"/>
          <w:sz w:val="22"/>
          <w:szCs w:val="22"/>
        </w:rPr>
        <w:t>T</w:t>
      </w:r>
      <w:r w:rsidR="009942AF" w:rsidRPr="009942AF">
        <w:rPr>
          <w:rFonts w:ascii="Calibri" w:hAnsi="Calibri" w:cs="Calibri"/>
          <w:b/>
          <w:bCs/>
          <w:kern w:val="32"/>
          <w:sz w:val="22"/>
          <w:szCs w:val="22"/>
        </w:rPr>
        <w:t xml:space="preserve">ariff for Industries for </w:t>
      </w:r>
      <w:r>
        <w:rPr>
          <w:rFonts w:ascii="Calibri" w:hAnsi="Calibri" w:cs="Calibri"/>
          <w:b/>
          <w:bCs/>
          <w:kern w:val="32"/>
          <w:sz w:val="22"/>
          <w:szCs w:val="22"/>
        </w:rPr>
        <w:t>T</w:t>
      </w:r>
      <w:r w:rsidR="009942AF" w:rsidRPr="009942AF">
        <w:rPr>
          <w:rFonts w:ascii="Calibri" w:hAnsi="Calibri" w:cs="Calibri"/>
          <w:b/>
          <w:bCs/>
          <w:kern w:val="32"/>
          <w:sz w:val="22"/>
          <w:szCs w:val="22"/>
        </w:rPr>
        <w:t xml:space="preserve">emporary </w:t>
      </w:r>
      <w:r>
        <w:rPr>
          <w:rFonts w:ascii="Calibri" w:hAnsi="Calibri" w:cs="Calibri"/>
          <w:b/>
          <w:bCs/>
          <w:kern w:val="32"/>
          <w:sz w:val="22"/>
          <w:szCs w:val="22"/>
        </w:rPr>
        <w:t>B</w:t>
      </w:r>
      <w:r w:rsidR="009942AF" w:rsidRPr="009942AF">
        <w:rPr>
          <w:rFonts w:ascii="Calibri" w:hAnsi="Calibri" w:cs="Calibri"/>
          <w:b/>
          <w:bCs/>
          <w:kern w:val="32"/>
          <w:sz w:val="22"/>
          <w:szCs w:val="22"/>
        </w:rPr>
        <w:t xml:space="preserve">usiness </w:t>
      </w:r>
      <w:r>
        <w:rPr>
          <w:rFonts w:ascii="Calibri" w:hAnsi="Calibri" w:cs="Calibri"/>
          <w:b/>
          <w:bCs/>
          <w:kern w:val="32"/>
          <w:sz w:val="22"/>
          <w:szCs w:val="22"/>
        </w:rPr>
        <w:t>R</w:t>
      </w:r>
      <w:r w:rsidR="009942AF" w:rsidRPr="009942AF">
        <w:rPr>
          <w:rFonts w:ascii="Calibri" w:hAnsi="Calibri" w:cs="Calibri"/>
          <w:b/>
          <w:bCs/>
          <w:kern w:val="32"/>
          <w:sz w:val="22"/>
          <w:szCs w:val="22"/>
        </w:rPr>
        <w:t>equirement</w:t>
      </w:r>
      <w:bookmarkEnd w:id="32"/>
      <w:bookmarkEnd w:id="33"/>
      <w:r w:rsidR="009942AF" w:rsidRPr="009942AF">
        <w:rPr>
          <w:rFonts w:ascii="Calibri" w:hAnsi="Calibri" w:cs="Calibri"/>
          <w:b/>
          <w:bCs/>
          <w:kern w:val="32"/>
          <w:sz w:val="22"/>
          <w:szCs w:val="22"/>
        </w:rPr>
        <w:t xml:space="preserve"> </w:t>
      </w:r>
    </w:p>
    <w:p w14:paraId="0C889D7F" w14:textId="77777777" w:rsidR="009942AF" w:rsidRPr="009942AF" w:rsidRDefault="009942AF" w:rsidP="00EC1287">
      <w:pPr>
        <w:spacing w:line="360" w:lineRule="auto"/>
        <w:ind w:left="709"/>
        <w:jc w:val="both"/>
        <w:rPr>
          <w:rFonts w:ascii="Calibri" w:hAnsi="Calibri" w:cs="Calibri"/>
          <w:sz w:val="22"/>
          <w:szCs w:val="22"/>
        </w:rPr>
      </w:pPr>
      <w:r w:rsidRPr="009942AF">
        <w:rPr>
          <w:rFonts w:ascii="Calibri" w:hAnsi="Calibri" w:cs="Calibri"/>
          <w:sz w:val="22"/>
          <w:szCs w:val="22"/>
        </w:rPr>
        <w:t>Hon’ble Commission in the RST order dt.13.02.24 vide para 93 has addressed this issue in the following manner</w:t>
      </w:r>
    </w:p>
    <w:p w14:paraId="700EBA58" w14:textId="77777777" w:rsidR="009942AF" w:rsidRPr="009942AF" w:rsidRDefault="009942AF" w:rsidP="00EC1287">
      <w:pPr>
        <w:spacing w:after="200" w:line="360" w:lineRule="auto"/>
        <w:ind w:left="720"/>
        <w:contextualSpacing/>
        <w:jc w:val="both"/>
        <w:rPr>
          <w:rFonts w:ascii="Calibri" w:eastAsia="Calibri" w:hAnsi="Calibri" w:cs="Calibri"/>
          <w:i/>
          <w:iCs/>
          <w:sz w:val="22"/>
          <w:szCs w:val="22"/>
          <w:lang w:val="en-IN"/>
        </w:rPr>
      </w:pPr>
      <w:r w:rsidRPr="009942AF">
        <w:rPr>
          <w:rFonts w:ascii="Calibri" w:eastAsia="Calibri" w:hAnsi="Calibri" w:cs="Calibri"/>
          <w:sz w:val="22"/>
          <w:szCs w:val="22"/>
          <w:lang w:val="en-IN"/>
        </w:rPr>
        <w:t>“</w:t>
      </w:r>
      <w:r w:rsidRPr="009942AF">
        <w:rPr>
          <w:rFonts w:ascii="Calibri" w:eastAsia="Calibri" w:hAnsi="Calibri" w:cs="Calibri"/>
          <w:i/>
          <w:iCs/>
          <w:sz w:val="22"/>
          <w:szCs w:val="22"/>
          <w:lang w:val="en-IN"/>
        </w:rPr>
        <w:t>Issue of Special Tariff for Industries for Temporary Business Requirement</w:t>
      </w:r>
    </w:p>
    <w:p w14:paraId="000FBE6E" w14:textId="77777777" w:rsidR="009942AF" w:rsidRPr="009942AF" w:rsidRDefault="009942AF" w:rsidP="00EC1287">
      <w:pPr>
        <w:spacing w:line="360" w:lineRule="auto"/>
        <w:ind w:left="851"/>
        <w:jc w:val="both"/>
        <w:rPr>
          <w:rFonts w:ascii="Calibri" w:hAnsi="Calibri" w:cs="Calibri"/>
          <w:b/>
          <w:bCs/>
          <w:sz w:val="22"/>
          <w:szCs w:val="22"/>
        </w:rPr>
      </w:pPr>
      <w:r w:rsidRPr="009942AF">
        <w:rPr>
          <w:rFonts w:ascii="Calibri" w:hAnsi="Calibri" w:cs="Calibri"/>
          <w:i/>
          <w:iCs/>
          <w:sz w:val="22"/>
          <w:szCs w:val="22"/>
          <w:lang w:val="en-IN"/>
        </w:rPr>
        <w:t xml:space="preserve">The DISCOMs have suggested for temporary increase in CD of Industries having CGP when some of the units of such CGP undergoes maintenance. This suggestion cannot be accepted in view of the </w:t>
      </w:r>
      <w:proofErr w:type="spellStart"/>
      <w:r w:rsidRPr="009942AF">
        <w:rPr>
          <w:rFonts w:ascii="Calibri" w:hAnsi="Calibri" w:cs="Calibri"/>
          <w:i/>
          <w:iCs/>
          <w:sz w:val="22"/>
          <w:szCs w:val="22"/>
          <w:lang w:val="en-IN"/>
        </w:rPr>
        <w:t>codal</w:t>
      </w:r>
      <w:proofErr w:type="spellEnd"/>
      <w:r w:rsidRPr="009942AF">
        <w:rPr>
          <w:rFonts w:ascii="Calibri" w:hAnsi="Calibri" w:cs="Calibri"/>
          <w:i/>
          <w:iCs/>
          <w:sz w:val="22"/>
          <w:szCs w:val="22"/>
          <w:lang w:val="en-IN"/>
        </w:rPr>
        <w:t xml:space="preserve"> provision for enhancement of Contract Demand under Regulation 127 of the Supply Code, 2019. Over and above, this will affect the </w:t>
      </w:r>
      <w:r w:rsidRPr="009942AF">
        <w:rPr>
          <w:rFonts w:ascii="Calibri" w:hAnsi="Calibri" w:cs="Calibri"/>
          <w:b/>
          <w:bCs/>
          <w:i/>
          <w:iCs/>
          <w:sz w:val="22"/>
          <w:szCs w:val="22"/>
          <w:lang w:val="en-IN"/>
        </w:rPr>
        <w:t>power purchase planning of DISCOMs and GRIDCO.</w:t>
      </w:r>
      <w:r w:rsidRPr="009942AF">
        <w:rPr>
          <w:rFonts w:ascii="Calibri" w:hAnsi="Calibri" w:cs="Calibri"/>
          <w:b/>
          <w:bCs/>
          <w:sz w:val="22"/>
          <w:szCs w:val="22"/>
          <w:lang w:val="en-IN"/>
        </w:rPr>
        <w:t>”</w:t>
      </w:r>
    </w:p>
    <w:p w14:paraId="77092A32" w14:textId="77777777" w:rsidR="009942AF" w:rsidRPr="009942AF" w:rsidRDefault="009942AF" w:rsidP="009942AF">
      <w:pPr>
        <w:spacing w:line="360" w:lineRule="auto"/>
        <w:ind w:left="284"/>
        <w:jc w:val="both"/>
        <w:rPr>
          <w:rFonts w:ascii="Calibri" w:hAnsi="Calibri" w:cs="Calibri"/>
          <w:sz w:val="22"/>
          <w:szCs w:val="22"/>
        </w:rPr>
      </w:pPr>
    </w:p>
    <w:p w14:paraId="35A4AEC3" w14:textId="77777777" w:rsidR="009942AF" w:rsidRPr="009942AF" w:rsidRDefault="009942AF" w:rsidP="00EC1287">
      <w:pPr>
        <w:spacing w:line="360" w:lineRule="auto"/>
        <w:ind w:left="851"/>
        <w:jc w:val="both"/>
        <w:rPr>
          <w:rFonts w:ascii="Calibri" w:hAnsi="Calibri" w:cs="Calibri"/>
          <w:sz w:val="22"/>
          <w:szCs w:val="22"/>
        </w:rPr>
      </w:pPr>
      <w:r w:rsidRPr="009942AF">
        <w:rPr>
          <w:rFonts w:ascii="Calibri" w:hAnsi="Calibri" w:cs="Calibri"/>
          <w:sz w:val="22"/>
          <w:szCs w:val="22"/>
        </w:rPr>
        <w:t>However, considering the present dynamic nature of power sector power purchase planning is not a big challenge, which can be managed with proper co-ordination between DISCOM and GRIDCO as well as with the intending consumer. Therefore, it is once again submitted before Hon’ble Commission to think upon and consideration with suitable terms and conditions.</w:t>
      </w:r>
    </w:p>
    <w:p w14:paraId="09D13401" w14:textId="77777777" w:rsidR="009942AF" w:rsidRPr="009942AF" w:rsidRDefault="009942AF" w:rsidP="009942AF">
      <w:pPr>
        <w:spacing w:line="360" w:lineRule="auto"/>
        <w:ind w:left="284"/>
        <w:jc w:val="both"/>
        <w:rPr>
          <w:rFonts w:ascii="Calibri" w:hAnsi="Calibri" w:cs="Calibri"/>
          <w:sz w:val="22"/>
          <w:szCs w:val="22"/>
        </w:rPr>
      </w:pPr>
    </w:p>
    <w:p w14:paraId="39C4B094" w14:textId="77165CBF" w:rsidR="009942AF" w:rsidRPr="009942AF" w:rsidRDefault="00EC1287" w:rsidP="00EC1287">
      <w:pPr>
        <w:spacing w:line="360" w:lineRule="auto"/>
        <w:ind w:left="567"/>
        <w:jc w:val="both"/>
        <w:rPr>
          <w:rFonts w:ascii="Calibri" w:hAnsi="Calibri" w:cs="Calibri"/>
          <w:b/>
          <w:sz w:val="22"/>
          <w:szCs w:val="22"/>
        </w:rPr>
      </w:pPr>
      <w:r>
        <w:rPr>
          <w:rFonts w:ascii="Calibri" w:hAnsi="Calibri" w:cs="Calibri"/>
          <w:b/>
          <w:sz w:val="22"/>
          <w:szCs w:val="22"/>
        </w:rPr>
        <w:t xml:space="preserve">     </w:t>
      </w:r>
      <w:r w:rsidR="009942AF" w:rsidRPr="009942AF">
        <w:rPr>
          <w:rFonts w:ascii="Calibri" w:hAnsi="Calibri" w:cs="Calibri"/>
          <w:b/>
          <w:sz w:val="22"/>
          <w:szCs w:val="22"/>
        </w:rPr>
        <w:t>Why it is suggested is being mentioned below:</w:t>
      </w:r>
    </w:p>
    <w:p w14:paraId="49B6E9AB" w14:textId="77777777" w:rsidR="009942AF" w:rsidRPr="009942AF" w:rsidRDefault="009942AF" w:rsidP="009942AF">
      <w:pPr>
        <w:spacing w:line="360" w:lineRule="auto"/>
        <w:jc w:val="both"/>
        <w:rPr>
          <w:rFonts w:ascii="Calibri" w:hAnsi="Calibri" w:cs="Calibri"/>
          <w:sz w:val="22"/>
          <w:szCs w:val="22"/>
        </w:rPr>
      </w:pPr>
    </w:p>
    <w:p w14:paraId="092F1F0A" w14:textId="77777777" w:rsidR="009942AF" w:rsidRPr="009942AF" w:rsidRDefault="009942AF" w:rsidP="00EC1287">
      <w:pPr>
        <w:spacing w:line="360" w:lineRule="auto"/>
        <w:ind w:left="851"/>
        <w:jc w:val="both"/>
        <w:rPr>
          <w:rFonts w:ascii="Calibri" w:hAnsi="Calibri" w:cs="Calibri"/>
          <w:sz w:val="22"/>
          <w:szCs w:val="22"/>
        </w:rPr>
      </w:pPr>
      <w:r w:rsidRPr="009942AF">
        <w:rPr>
          <w:rFonts w:ascii="Calibri" w:hAnsi="Calibri" w:cs="Calibri"/>
          <w:sz w:val="22"/>
          <w:szCs w:val="22"/>
        </w:rPr>
        <w:t xml:space="preserve">Under TPNODL area there are around 12 industries having their own CGP. Some of them has single unit of generation and some are having multiple units with different capacity. To maintain the generating unit’s annual maintenance is inevitable.  Similarly, some of the other industries need power intermittently to meet seasonal requirements. For such temporary outages of their CGP and short-term business need, they approach DISCOM for power for couple of months, sometimes even for less than 15 days. They are also not willing to increase their load for such short-term need as reduction of load has certain restrictions as per the prevalent regulation. </w:t>
      </w:r>
    </w:p>
    <w:p w14:paraId="6FC674E8" w14:textId="77777777" w:rsidR="009942AF" w:rsidRPr="009942AF" w:rsidRDefault="009942AF" w:rsidP="00EC1287">
      <w:pPr>
        <w:spacing w:line="360" w:lineRule="auto"/>
        <w:ind w:left="567"/>
        <w:jc w:val="both"/>
        <w:rPr>
          <w:rFonts w:ascii="Calibri" w:hAnsi="Calibri" w:cs="Calibri"/>
          <w:sz w:val="22"/>
          <w:szCs w:val="22"/>
        </w:rPr>
      </w:pPr>
    </w:p>
    <w:p w14:paraId="2B7FE3EA" w14:textId="77777777" w:rsidR="009942AF" w:rsidRPr="009942AF" w:rsidRDefault="009942AF" w:rsidP="00EC1287">
      <w:pPr>
        <w:spacing w:line="360" w:lineRule="auto"/>
        <w:ind w:left="851"/>
        <w:jc w:val="both"/>
        <w:rPr>
          <w:rFonts w:ascii="Calibri" w:hAnsi="Calibri" w:cs="Calibri"/>
          <w:sz w:val="22"/>
          <w:szCs w:val="22"/>
        </w:rPr>
      </w:pPr>
      <w:r w:rsidRPr="009942AF">
        <w:rPr>
          <w:rFonts w:ascii="Calibri" w:hAnsi="Calibri" w:cs="Calibri"/>
          <w:sz w:val="22"/>
          <w:szCs w:val="22"/>
        </w:rPr>
        <w:t xml:space="preserve">In view of the above TPNODL submits before Hon’ble Commission to approve/permit such temporary additional load beyond CD for a short period maximum up to 3 months. In that event </w:t>
      </w:r>
      <w:r w:rsidRPr="009942AF">
        <w:rPr>
          <w:rFonts w:ascii="Calibri" w:hAnsi="Calibri" w:cs="Calibri"/>
          <w:sz w:val="22"/>
          <w:szCs w:val="22"/>
        </w:rPr>
        <w:lastRenderedPageBreak/>
        <w:t xml:space="preserve">the industry has to </w:t>
      </w:r>
      <w:r w:rsidRPr="009942AF">
        <w:rPr>
          <w:rFonts w:ascii="Calibri" w:hAnsi="Calibri" w:cs="Calibri"/>
          <w:b/>
          <w:bCs/>
          <w:sz w:val="22"/>
          <w:szCs w:val="22"/>
          <w:u w:val="single"/>
        </w:rPr>
        <w:t>bear 10% higher charges on both normal Demand and energy component</w:t>
      </w:r>
      <w:r w:rsidRPr="009942AF">
        <w:rPr>
          <w:rFonts w:ascii="Calibri" w:hAnsi="Calibri" w:cs="Calibri"/>
          <w:sz w:val="22"/>
          <w:szCs w:val="22"/>
        </w:rPr>
        <w:t xml:space="preserve">. Such additional consumption will contribute towards revenue enhancement and will help to protect risk of tariff enhancement. The above temporary arrangement shall be accommodated by the licensee well within its approved/permitted SMD, without additional burden to GRIDCO.  </w:t>
      </w:r>
    </w:p>
    <w:p w14:paraId="645756C1" w14:textId="77777777" w:rsidR="009942AF" w:rsidRPr="009942AF" w:rsidRDefault="009942AF" w:rsidP="009942AF">
      <w:pPr>
        <w:spacing w:line="360" w:lineRule="auto"/>
        <w:ind w:left="284"/>
        <w:jc w:val="both"/>
        <w:rPr>
          <w:rFonts w:ascii="Calibri" w:hAnsi="Calibri" w:cs="Calibri"/>
          <w:sz w:val="22"/>
          <w:szCs w:val="22"/>
        </w:rPr>
      </w:pPr>
    </w:p>
    <w:p w14:paraId="05A826A6" w14:textId="4733C654" w:rsidR="009942AF" w:rsidRDefault="009942AF" w:rsidP="00EC1287">
      <w:pPr>
        <w:spacing w:line="360" w:lineRule="auto"/>
        <w:ind w:left="851"/>
        <w:jc w:val="both"/>
        <w:rPr>
          <w:rFonts w:ascii="Calibri" w:hAnsi="Calibri" w:cs="Calibri"/>
          <w:sz w:val="22"/>
          <w:szCs w:val="22"/>
        </w:rPr>
      </w:pPr>
      <w:r w:rsidRPr="009942AF">
        <w:rPr>
          <w:rFonts w:ascii="Calibri" w:hAnsi="Calibri" w:cs="Calibri"/>
          <w:sz w:val="22"/>
          <w:szCs w:val="22"/>
        </w:rPr>
        <w:t>It is relevant to mention that presently there are around 80 nos. of CGPs across 4 DISCOMs (excluding NALCO and IMFA) and their installed capacity is around (5808 MW+2609 MW+166.38 MW+934.5 MW) 9517.88 MW. Therefore, the requirement of power during annual maintenance of their units may be needed from DISCOM. If some type of arrangement in the tariff is created it will be a win-win situation for all the stake holders. The licensee is once again submitting herewith before Hon’ble Commission to consider the above proposal in the ensuing year ARR.</w:t>
      </w:r>
    </w:p>
    <w:p w14:paraId="284C6F4A" w14:textId="77777777" w:rsidR="00EC1287" w:rsidRPr="009942AF" w:rsidRDefault="00EC1287" w:rsidP="00EC1287">
      <w:pPr>
        <w:spacing w:line="360" w:lineRule="auto"/>
        <w:ind w:left="851"/>
        <w:jc w:val="both"/>
        <w:rPr>
          <w:rFonts w:ascii="Calibri" w:hAnsi="Calibri" w:cs="Calibri"/>
          <w:sz w:val="22"/>
          <w:szCs w:val="22"/>
        </w:rPr>
      </w:pPr>
    </w:p>
    <w:p w14:paraId="01BEA3C5" w14:textId="77777777" w:rsidR="00EC1287" w:rsidRDefault="00EC1287" w:rsidP="00EC1287">
      <w:pPr>
        <w:keepNext/>
        <w:spacing w:before="240" w:after="60" w:line="360" w:lineRule="auto"/>
        <w:contextualSpacing/>
        <w:jc w:val="both"/>
        <w:outlineLvl w:val="0"/>
        <w:rPr>
          <w:rFonts w:ascii="Calibri" w:eastAsia="Calibri" w:hAnsi="Calibri" w:cs="Calibri"/>
          <w:b/>
          <w:bCs/>
          <w:kern w:val="32"/>
          <w:sz w:val="22"/>
          <w:szCs w:val="22"/>
        </w:rPr>
      </w:pPr>
      <w:bookmarkStart w:id="34" w:name="_Toc120649887"/>
      <w:bookmarkStart w:id="35" w:name="_Toc152180144"/>
      <w:r>
        <w:rPr>
          <w:rFonts w:ascii="Calibri" w:eastAsia="Calibri" w:hAnsi="Calibri" w:cs="Calibri"/>
          <w:b/>
          <w:bCs/>
          <w:kern w:val="32"/>
          <w:sz w:val="22"/>
          <w:szCs w:val="22"/>
        </w:rPr>
        <w:t xml:space="preserve">               9.11 </w:t>
      </w:r>
      <w:r w:rsidR="009942AF" w:rsidRPr="009942AF">
        <w:rPr>
          <w:rFonts w:ascii="Calibri" w:eastAsia="Calibri" w:hAnsi="Calibri" w:cs="Calibri"/>
          <w:b/>
          <w:bCs/>
          <w:kern w:val="32"/>
          <w:sz w:val="22"/>
          <w:szCs w:val="22"/>
        </w:rPr>
        <w:t>Minimum Contract Demand for the industries having CGP</w:t>
      </w:r>
      <w:bookmarkEnd w:id="34"/>
      <w:r w:rsidR="009942AF" w:rsidRPr="009942AF">
        <w:rPr>
          <w:rFonts w:ascii="Calibri" w:eastAsia="Calibri" w:hAnsi="Calibri" w:cs="Calibri"/>
          <w:b/>
          <w:bCs/>
          <w:kern w:val="32"/>
          <w:sz w:val="22"/>
          <w:szCs w:val="22"/>
        </w:rPr>
        <w:t>.</w:t>
      </w:r>
      <w:bookmarkEnd w:id="35"/>
    </w:p>
    <w:p w14:paraId="7A104ED3" w14:textId="2B734F86" w:rsidR="009942AF" w:rsidRPr="00EC1287" w:rsidRDefault="009942AF" w:rsidP="00EC1287">
      <w:pPr>
        <w:keepNext/>
        <w:spacing w:before="240" w:after="60" w:line="360" w:lineRule="auto"/>
        <w:ind w:left="709"/>
        <w:contextualSpacing/>
        <w:jc w:val="both"/>
        <w:outlineLvl w:val="0"/>
        <w:rPr>
          <w:rFonts w:ascii="Calibri" w:eastAsia="Calibri" w:hAnsi="Calibri" w:cs="Calibri"/>
          <w:b/>
          <w:bCs/>
          <w:kern w:val="32"/>
          <w:sz w:val="22"/>
          <w:szCs w:val="22"/>
        </w:rPr>
      </w:pPr>
      <w:r w:rsidRPr="009942AF">
        <w:rPr>
          <w:rFonts w:ascii="Calibri" w:hAnsi="Calibri" w:cs="Calibri"/>
          <w:sz w:val="22"/>
          <w:szCs w:val="22"/>
        </w:rPr>
        <w:t xml:space="preserve">It is to submit that there are more than 80 CGPs across the states are connected with the Transmission &amp; Distribution network those who are primarily dependent on their own generation for their captive need. They only reserve the CD with DISCOMs and uses occasionally and some are using some extent. Most of the industries are self-dependent. Even, those who are self-dependent &amp; drawing in case of need, in such time DISCOMs SMD shoots up and sourcing of power also became immediate challenge to GRIDCO. As they are reserving a CD and hence exercising their right of </w:t>
      </w:r>
      <w:proofErr w:type="spellStart"/>
      <w:r w:rsidRPr="009942AF">
        <w:rPr>
          <w:rFonts w:ascii="Calibri" w:hAnsi="Calibri" w:cs="Calibri"/>
          <w:sz w:val="22"/>
          <w:szCs w:val="22"/>
        </w:rPr>
        <w:t>drawal</w:t>
      </w:r>
      <w:proofErr w:type="spellEnd"/>
      <w:r w:rsidRPr="009942AF">
        <w:rPr>
          <w:rFonts w:ascii="Calibri" w:hAnsi="Calibri" w:cs="Calibri"/>
          <w:sz w:val="22"/>
          <w:szCs w:val="22"/>
        </w:rPr>
        <w:t xml:space="preserve"> without any prior intimation as well as without advance planning. DISCOMs are also facing difficulties in projecting their annual input requirement properly. Comprehensively, it is now a great challenge to attend/ face their intermittent </w:t>
      </w:r>
      <w:proofErr w:type="spellStart"/>
      <w:r w:rsidRPr="009942AF">
        <w:rPr>
          <w:rFonts w:ascii="Calibri" w:hAnsi="Calibri" w:cs="Calibri"/>
          <w:sz w:val="22"/>
          <w:szCs w:val="22"/>
        </w:rPr>
        <w:t>drawal</w:t>
      </w:r>
      <w:proofErr w:type="spellEnd"/>
      <w:r w:rsidRPr="009942AF">
        <w:rPr>
          <w:rFonts w:ascii="Calibri" w:hAnsi="Calibri" w:cs="Calibri"/>
          <w:sz w:val="22"/>
          <w:szCs w:val="22"/>
        </w:rPr>
        <w:t xml:space="preserve"> behavior with present market condition.</w:t>
      </w:r>
    </w:p>
    <w:p w14:paraId="5EACFD3F" w14:textId="77777777" w:rsidR="009942AF" w:rsidRPr="009942AF" w:rsidRDefault="009942AF" w:rsidP="009942AF">
      <w:pPr>
        <w:spacing w:line="360" w:lineRule="auto"/>
        <w:ind w:left="284"/>
        <w:jc w:val="both"/>
        <w:rPr>
          <w:rFonts w:ascii="Calibri" w:hAnsi="Calibri" w:cs="Calibri"/>
          <w:sz w:val="22"/>
          <w:szCs w:val="22"/>
        </w:rPr>
      </w:pPr>
    </w:p>
    <w:p w14:paraId="2D7C38D3" w14:textId="77777777" w:rsidR="009942AF" w:rsidRPr="009942AF" w:rsidRDefault="009942AF" w:rsidP="00EC1287">
      <w:pPr>
        <w:spacing w:line="360" w:lineRule="auto"/>
        <w:ind w:left="567"/>
        <w:jc w:val="both"/>
        <w:rPr>
          <w:rFonts w:ascii="Calibri" w:hAnsi="Calibri" w:cs="Calibri"/>
          <w:sz w:val="22"/>
          <w:szCs w:val="22"/>
        </w:rPr>
      </w:pPr>
      <w:r w:rsidRPr="009942AF">
        <w:rPr>
          <w:rFonts w:ascii="Calibri" w:hAnsi="Calibri" w:cs="Calibri"/>
          <w:sz w:val="22"/>
          <w:szCs w:val="22"/>
        </w:rPr>
        <w:t xml:space="preserve">Further, the demand charges here in Odisha is very less </w:t>
      </w:r>
      <w:proofErr w:type="spellStart"/>
      <w:r w:rsidRPr="009942AF">
        <w:rPr>
          <w:rFonts w:ascii="Calibri" w:hAnsi="Calibri" w:cs="Calibri"/>
          <w:sz w:val="22"/>
          <w:szCs w:val="22"/>
        </w:rPr>
        <w:t>i.e</w:t>
      </w:r>
      <w:proofErr w:type="spellEnd"/>
      <w:r w:rsidRPr="009942AF">
        <w:rPr>
          <w:rFonts w:ascii="Calibri" w:hAnsi="Calibri" w:cs="Calibri"/>
          <w:sz w:val="22"/>
          <w:szCs w:val="22"/>
        </w:rPr>
        <w:t xml:space="preserve"> 250 per kVA per month as compared to other neighboring states like Jharkhand, Chhattisgarh, Maharashtra, Andhra Pradesh, DVC </w:t>
      </w:r>
      <w:proofErr w:type="spellStart"/>
      <w:r w:rsidRPr="009942AF">
        <w:rPr>
          <w:rFonts w:ascii="Calibri" w:hAnsi="Calibri" w:cs="Calibri"/>
          <w:sz w:val="22"/>
          <w:szCs w:val="22"/>
        </w:rPr>
        <w:t>etc</w:t>
      </w:r>
      <w:proofErr w:type="spellEnd"/>
      <w:r w:rsidRPr="009942AF">
        <w:rPr>
          <w:rFonts w:ascii="Calibri" w:hAnsi="Calibri" w:cs="Calibri"/>
          <w:sz w:val="22"/>
          <w:szCs w:val="22"/>
        </w:rPr>
        <w:t xml:space="preserve"> where it is more than Rs.350 per kVA per month. Further, it is not a choice but rather it is on installed capacity. </w:t>
      </w:r>
    </w:p>
    <w:p w14:paraId="119CAF73" w14:textId="77777777" w:rsidR="009942AF" w:rsidRPr="009942AF" w:rsidRDefault="009942AF" w:rsidP="00EC1287">
      <w:pPr>
        <w:spacing w:line="360" w:lineRule="auto"/>
        <w:ind w:left="567"/>
        <w:jc w:val="both"/>
        <w:rPr>
          <w:rFonts w:ascii="Calibri" w:hAnsi="Calibri" w:cs="Calibri"/>
          <w:sz w:val="22"/>
          <w:szCs w:val="22"/>
        </w:rPr>
      </w:pPr>
    </w:p>
    <w:p w14:paraId="43039C7A" w14:textId="77777777" w:rsidR="009942AF" w:rsidRPr="009942AF" w:rsidRDefault="009942AF" w:rsidP="00EC1287">
      <w:pPr>
        <w:spacing w:line="360" w:lineRule="auto"/>
        <w:ind w:left="567"/>
        <w:jc w:val="both"/>
        <w:rPr>
          <w:rFonts w:ascii="Calibri" w:hAnsi="Calibri" w:cs="Calibri"/>
          <w:sz w:val="22"/>
          <w:szCs w:val="22"/>
        </w:rPr>
      </w:pPr>
      <w:r w:rsidRPr="009942AF">
        <w:rPr>
          <w:rFonts w:ascii="Calibri" w:hAnsi="Calibri" w:cs="Calibri"/>
          <w:sz w:val="22"/>
          <w:szCs w:val="22"/>
        </w:rPr>
        <w:t>Now, with Humble submission it is submitted that the reason for minimum offtake is necessitated for survival of the subsidized segment of consumer’s whose tariff are being cross subsidized through others. Unless a suitable step is being introduced, tariff sustainability will be difficult.</w:t>
      </w:r>
    </w:p>
    <w:p w14:paraId="7C96DC05" w14:textId="77777777" w:rsidR="009942AF" w:rsidRPr="009942AF" w:rsidRDefault="009942AF" w:rsidP="00EC1287">
      <w:pPr>
        <w:spacing w:line="360" w:lineRule="auto"/>
        <w:ind w:left="567"/>
        <w:jc w:val="both"/>
        <w:rPr>
          <w:rFonts w:ascii="Calibri" w:hAnsi="Calibri" w:cs="Calibri"/>
          <w:sz w:val="22"/>
          <w:szCs w:val="22"/>
        </w:rPr>
      </w:pPr>
    </w:p>
    <w:p w14:paraId="428394A4" w14:textId="77777777" w:rsidR="009942AF" w:rsidRPr="009942AF" w:rsidRDefault="009942AF" w:rsidP="00EC1287">
      <w:pPr>
        <w:spacing w:line="360" w:lineRule="auto"/>
        <w:ind w:left="567"/>
        <w:jc w:val="both"/>
        <w:rPr>
          <w:rFonts w:ascii="Calibri" w:hAnsi="Calibri" w:cs="Calibri"/>
          <w:sz w:val="22"/>
          <w:szCs w:val="22"/>
        </w:rPr>
      </w:pPr>
      <w:r w:rsidRPr="009942AF">
        <w:rPr>
          <w:rFonts w:ascii="Calibri" w:hAnsi="Calibri" w:cs="Calibri"/>
          <w:sz w:val="22"/>
          <w:szCs w:val="22"/>
        </w:rPr>
        <w:t xml:space="preserve">Presently there are more than 80 industries across Odisha, those who have CGP. They have established their CGP considering their load and business requirement; while doing so they are also keeping CD with DISCOM for additional requirements or occasional requirement. As the power </w:t>
      </w:r>
      <w:r w:rsidRPr="009942AF">
        <w:rPr>
          <w:rFonts w:ascii="Calibri" w:hAnsi="Calibri" w:cs="Calibri"/>
          <w:sz w:val="22"/>
          <w:szCs w:val="22"/>
        </w:rPr>
        <w:lastRenderedPageBreak/>
        <w:t>market is moving towards different dimensions on year to basis with generation mix and has business impact commensurate with changed law, DISCOM has to equip itself to satisfy the customer as per their requirement with sustainable and affordable tariff. In this process, now it is observed that to protect the interest of industrial consumers, particularly industries, having CGP is affecting the other subsidized consumers of the State.</w:t>
      </w:r>
    </w:p>
    <w:p w14:paraId="4CEA35EA" w14:textId="77777777" w:rsidR="009942AF" w:rsidRPr="009942AF" w:rsidRDefault="009942AF" w:rsidP="00EC1287">
      <w:pPr>
        <w:spacing w:line="360" w:lineRule="auto"/>
        <w:ind w:left="567"/>
        <w:jc w:val="both"/>
        <w:rPr>
          <w:rFonts w:ascii="Calibri" w:hAnsi="Calibri" w:cs="Calibri"/>
          <w:sz w:val="22"/>
          <w:szCs w:val="22"/>
        </w:rPr>
      </w:pPr>
    </w:p>
    <w:p w14:paraId="50231FC8" w14:textId="77777777" w:rsidR="009942AF" w:rsidRPr="009942AF" w:rsidRDefault="009942AF" w:rsidP="00EC1287">
      <w:pPr>
        <w:spacing w:line="360" w:lineRule="auto"/>
        <w:ind w:left="567"/>
        <w:jc w:val="both"/>
        <w:rPr>
          <w:rFonts w:ascii="Calibri" w:hAnsi="Calibri" w:cs="Calibri"/>
          <w:sz w:val="22"/>
          <w:szCs w:val="22"/>
        </w:rPr>
      </w:pPr>
      <w:r w:rsidRPr="009942AF">
        <w:rPr>
          <w:rFonts w:ascii="Calibri" w:hAnsi="Calibri" w:cs="Calibri"/>
          <w:sz w:val="22"/>
          <w:szCs w:val="22"/>
        </w:rPr>
        <w:t xml:space="preserve">As they are synchronized with the STU or DISCOMs network keeping a CD as per their choice and drawing power as and when required particularly in peak house or when market cost is higher. Which is not only affecting DISCOM but posing an adverse impact on the power procurement plan of GRIDCO. Because of such behavior of the industry high-cost power is being sourced which could have been better procured with competitive tariff. Similarly, commensurate with their CD and </w:t>
      </w:r>
      <w:proofErr w:type="spellStart"/>
      <w:r w:rsidRPr="009942AF">
        <w:rPr>
          <w:rFonts w:ascii="Calibri" w:hAnsi="Calibri" w:cs="Calibri"/>
          <w:sz w:val="22"/>
          <w:szCs w:val="22"/>
        </w:rPr>
        <w:t>drawal</w:t>
      </w:r>
      <w:proofErr w:type="spellEnd"/>
      <w:r w:rsidRPr="009942AF">
        <w:rPr>
          <w:rFonts w:ascii="Calibri" w:hAnsi="Calibri" w:cs="Calibri"/>
          <w:sz w:val="22"/>
          <w:szCs w:val="22"/>
        </w:rPr>
        <w:t xml:space="preserve"> behavior DISCOM is planning power requirement in its ARR and load forecasting proposal, but when it comes to the actual the scenario is just reverse. Therefore, the DISCOMs input as approved by Hon’ble Commission is not maturing. In FY 23-24 Hon’ble Commission approved 7508 MU, whereas the actual became 7047 MU </w:t>
      </w:r>
      <w:proofErr w:type="spellStart"/>
      <w:r w:rsidRPr="009942AF">
        <w:rPr>
          <w:rFonts w:ascii="Calibri" w:hAnsi="Calibri" w:cs="Calibri"/>
          <w:sz w:val="22"/>
          <w:szCs w:val="22"/>
        </w:rPr>
        <w:t>i.e</w:t>
      </w:r>
      <w:proofErr w:type="spellEnd"/>
      <w:r w:rsidRPr="009942AF">
        <w:rPr>
          <w:rFonts w:ascii="Calibri" w:hAnsi="Calibri" w:cs="Calibri"/>
          <w:sz w:val="22"/>
          <w:szCs w:val="22"/>
        </w:rPr>
        <w:t xml:space="preserve"> more than 450 MU did not mature. Under this mechanism, the industry was ensuring minimum </w:t>
      </w:r>
      <w:proofErr w:type="spellStart"/>
      <w:r w:rsidRPr="009942AF">
        <w:rPr>
          <w:rFonts w:ascii="Calibri" w:hAnsi="Calibri" w:cs="Calibri"/>
          <w:sz w:val="22"/>
          <w:szCs w:val="22"/>
        </w:rPr>
        <w:t>drawal</w:t>
      </w:r>
      <w:proofErr w:type="spellEnd"/>
      <w:r w:rsidRPr="009942AF">
        <w:rPr>
          <w:rFonts w:ascii="Calibri" w:hAnsi="Calibri" w:cs="Calibri"/>
          <w:sz w:val="22"/>
          <w:szCs w:val="22"/>
        </w:rPr>
        <w:t xml:space="preserve"> of 80% which also ceases from Nov-24 onwards. </w:t>
      </w:r>
    </w:p>
    <w:p w14:paraId="6E872A53" w14:textId="77777777" w:rsidR="009942AF" w:rsidRPr="009942AF" w:rsidRDefault="009942AF" w:rsidP="00EC1287">
      <w:pPr>
        <w:spacing w:line="360" w:lineRule="auto"/>
        <w:ind w:left="567"/>
        <w:jc w:val="both"/>
        <w:rPr>
          <w:rFonts w:ascii="Calibri" w:hAnsi="Calibri" w:cs="Calibri"/>
          <w:sz w:val="22"/>
          <w:szCs w:val="22"/>
        </w:rPr>
      </w:pPr>
    </w:p>
    <w:p w14:paraId="526F96DB" w14:textId="77777777" w:rsidR="009942AF" w:rsidRPr="009942AF" w:rsidRDefault="009942AF" w:rsidP="00EC1287">
      <w:pPr>
        <w:spacing w:line="360" w:lineRule="auto"/>
        <w:ind w:left="567"/>
        <w:jc w:val="both"/>
        <w:rPr>
          <w:rFonts w:ascii="Calibri" w:hAnsi="Calibri" w:cs="Calibri"/>
          <w:sz w:val="22"/>
          <w:szCs w:val="22"/>
        </w:rPr>
      </w:pPr>
      <w:r w:rsidRPr="009942AF">
        <w:rPr>
          <w:rFonts w:ascii="Calibri" w:hAnsi="Calibri" w:cs="Calibri"/>
          <w:sz w:val="22"/>
          <w:szCs w:val="22"/>
        </w:rPr>
        <w:t xml:space="preserve">When all the DISCOMs are serving more than 95 lakhs of other category of consumers who are being under subsidized segment it is becoming unviable to sustain with higher BSP. Therefore, </w:t>
      </w:r>
      <w:proofErr w:type="spellStart"/>
      <w:r w:rsidRPr="009942AF">
        <w:rPr>
          <w:rFonts w:ascii="Calibri" w:hAnsi="Calibri" w:cs="Calibri"/>
          <w:sz w:val="22"/>
          <w:szCs w:val="22"/>
        </w:rPr>
        <w:t>Hon’be</w:t>
      </w:r>
      <w:proofErr w:type="spellEnd"/>
      <w:r w:rsidRPr="009942AF">
        <w:rPr>
          <w:rFonts w:ascii="Calibri" w:hAnsi="Calibri" w:cs="Calibri"/>
          <w:sz w:val="22"/>
          <w:szCs w:val="22"/>
        </w:rPr>
        <w:t xml:space="preserve"> Commission is requested to think upon and adopt suitable mechanism in the tariff structure for such industries to protect the power sector distribution segment in the interest of such domestic and irrigation consumers. </w:t>
      </w:r>
    </w:p>
    <w:p w14:paraId="1DFB2E32" w14:textId="77777777" w:rsidR="009942AF" w:rsidRPr="009942AF" w:rsidRDefault="009942AF" w:rsidP="00EC1287">
      <w:pPr>
        <w:spacing w:line="360" w:lineRule="auto"/>
        <w:ind w:left="567"/>
        <w:jc w:val="both"/>
        <w:rPr>
          <w:rFonts w:ascii="Calibri" w:hAnsi="Calibri" w:cs="Calibri"/>
          <w:sz w:val="22"/>
          <w:szCs w:val="22"/>
        </w:rPr>
      </w:pPr>
    </w:p>
    <w:p w14:paraId="4827F773" w14:textId="77777777" w:rsidR="009942AF" w:rsidRPr="009942AF" w:rsidRDefault="009942AF" w:rsidP="00EC1287">
      <w:pPr>
        <w:spacing w:line="360" w:lineRule="auto"/>
        <w:ind w:left="567"/>
        <w:jc w:val="both"/>
        <w:rPr>
          <w:rFonts w:ascii="Calibri" w:hAnsi="Calibri" w:cs="Calibri"/>
          <w:sz w:val="22"/>
          <w:szCs w:val="22"/>
        </w:rPr>
      </w:pPr>
      <w:r w:rsidRPr="009942AF">
        <w:rPr>
          <w:rFonts w:ascii="Calibri" w:hAnsi="Calibri" w:cs="Calibri"/>
          <w:sz w:val="22"/>
          <w:szCs w:val="22"/>
        </w:rPr>
        <w:t>Therefore, the licensee proposes the following proposal for consideration of Hon’ble Commission:</w:t>
      </w:r>
    </w:p>
    <w:p w14:paraId="404CD4F6" w14:textId="77777777" w:rsidR="009942AF" w:rsidRPr="009942AF" w:rsidRDefault="009942AF" w:rsidP="00EC1287">
      <w:pPr>
        <w:spacing w:line="360" w:lineRule="auto"/>
        <w:ind w:left="567"/>
        <w:jc w:val="both"/>
        <w:rPr>
          <w:rFonts w:ascii="Calibri" w:hAnsi="Calibri" w:cs="Calibri"/>
          <w:b/>
          <w:bCs/>
          <w:sz w:val="22"/>
          <w:szCs w:val="22"/>
        </w:rPr>
      </w:pPr>
    </w:p>
    <w:p w14:paraId="5E92C791" w14:textId="5B69AA04" w:rsidR="009942AF" w:rsidRDefault="009942AF" w:rsidP="00EC1287">
      <w:pPr>
        <w:spacing w:line="360" w:lineRule="auto"/>
        <w:ind w:left="567"/>
        <w:jc w:val="both"/>
        <w:rPr>
          <w:rFonts w:ascii="Calibri" w:hAnsi="Calibri" w:cs="Calibri"/>
          <w:b/>
          <w:bCs/>
          <w:sz w:val="22"/>
          <w:szCs w:val="22"/>
        </w:rPr>
      </w:pPr>
      <w:r w:rsidRPr="009942AF">
        <w:rPr>
          <w:rFonts w:ascii="Calibri" w:hAnsi="Calibri" w:cs="Calibri"/>
          <w:b/>
          <w:bCs/>
          <w:sz w:val="22"/>
          <w:szCs w:val="22"/>
        </w:rPr>
        <w:t>The Contract demand (CD) should not be at their choice rather it has to be minimum to the tune of highest installed capacity of the generating plant. In case of multiple generation units, the highest capacity should be considered.</w:t>
      </w:r>
    </w:p>
    <w:p w14:paraId="7FAC427A" w14:textId="77777777" w:rsidR="00EC1287" w:rsidRPr="009942AF" w:rsidRDefault="00EC1287" w:rsidP="00EC1287">
      <w:pPr>
        <w:spacing w:line="360" w:lineRule="auto"/>
        <w:ind w:left="567"/>
        <w:jc w:val="both"/>
        <w:rPr>
          <w:rFonts w:ascii="Calibri" w:hAnsi="Calibri" w:cs="Calibri"/>
          <w:sz w:val="22"/>
          <w:szCs w:val="22"/>
        </w:rPr>
      </w:pPr>
    </w:p>
    <w:p w14:paraId="3FFEFC96" w14:textId="56499223" w:rsidR="009942AF" w:rsidRPr="009942AF" w:rsidRDefault="00EC1287" w:rsidP="00EC1287">
      <w:pPr>
        <w:keepNext/>
        <w:spacing w:before="240" w:after="60" w:line="360" w:lineRule="auto"/>
        <w:contextualSpacing/>
        <w:jc w:val="both"/>
        <w:outlineLvl w:val="0"/>
        <w:rPr>
          <w:rFonts w:ascii="Calibri" w:eastAsia="Calibri" w:hAnsi="Calibri" w:cs="Calibri"/>
          <w:b/>
          <w:bCs/>
          <w:kern w:val="32"/>
          <w:sz w:val="22"/>
          <w:szCs w:val="22"/>
        </w:rPr>
      </w:pPr>
      <w:bookmarkStart w:id="36" w:name="_Toc120649889"/>
      <w:bookmarkStart w:id="37" w:name="_Toc152180145"/>
      <w:r>
        <w:rPr>
          <w:rFonts w:ascii="Calibri" w:eastAsia="Calibri" w:hAnsi="Calibri" w:cs="Calibri"/>
          <w:b/>
          <w:bCs/>
          <w:kern w:val="32"/>
          <w:sz w:val="22"/>
          <w:szCs w:val="22"/>
        </w:rPr>
        <w:t xml:space="preserve">            9.12 </w:t>
      </w:r>
      <w:r w:rsidR="009942AF" w:rsidRPr="009942AF">
        <w:rPr>
          <w:rFonts w:ascii="Calibri" w:eastAsia="Calibri" w:hAnsi="Calibri" w:cs="Calibri"/>
          <w:b/>
          <w:bCs/>
          <w:kern w:val="32"/>
          <w:sz w:val="22"/>
          <w:szCs w:val="22"/>
        </w:rPr>
        <w:t>Revision of Reconnection Charges with penalty clause</w:t>
      </w:r>
      <w:bookmarkEnd w:id="36"/>
      <w:bookmarkEnd w:id="37"/>
    </w:p>
    <w:p w14:paraId="342CEA73" w14:textId="77777777" w:rsidR="009942AF" w:rsidRPr="009942AF" w:rsidRDefault="009942AF" w:rsidP="009942AF">
      <w:pPr>
        <w:autoSpaceDE w:val="0"/>
        <w:autoSpaceDN w:val="0"/>
        <w:adjustRightInd w:val="0"/>
        <w:spacing w:line="360" w:lineRule="auto"/>
        <w:ind w:left="284"/>
        <w:jc w:val="both"/>
        <w:rPr>
          <w:rFonts w:ascii="Calibri" w:eastAsia="Calibri" w:hAnsi="Calibri" w:cs="Calibri"/>
          <w:sz w:val="22"/>
          <w:szCs w:val="22"/>
          <w:lang w:val="en-IN"/>
        </w:rPr>
      </w:pPr>
    </w:p>
    <w:p w14:paraId="3A2AFD18" w14:textId="77777777" w:rsidR="009942AF" w:rsidRPr="009942AF" w:rsidRDefault="009942AF" w:rsidP="00EC1287">
      <w:pPr>
        <w:autoSpaceDE w:val="0"/>
        <w:autoSpaceDN w:val="0"/>
        <w:adjustRightInd w:val="0"/>
        <w:spacing w:line="360" w:lineRule="auto"/>
        <w:ind w:left="709"/>
        <w:jc w:val="both"/>
        <w:rPr>
          <w:rFonts w:ascii="Calibri" w:eastAsia="Calibri" w:hAnsi="Calibri" w:cs="Calibri"/>
          <w:sz w:val="22"/>
          <w:szCs w:val="22"/>
          <w:lang w:val="en-IN"/>
        </w:rPr>
      </w:pPr>
      <w:r w:rsidRPr="009942AF">
        <w:rPr>
          <w:rFonts w:ascii="Calibri" w:eastAsia="Calibri" w:hAnsi="Calibri" w:cs="Calibri"/>
          <w:sz w:val="22"/>
          <w:szCs w:val="22"/>
          <w:lang w:val="en-IN"/>
        </w:rPr>
        <w:t>It is submitted that the reconnection charges w.e.f. 01.04.2024 is continuing since last 12 years even though BST and RST of DISCOMs have increased no of times.</w:t>
      </w:r>
    </w:p>
    <w:p w14:paraId="1E3C47DB" w14:textId="77777777" w:rsidR="009942AF" w:rsidRPr="009942AF" w:rsidRDefault="009942AF" w:rsidP="009942AF">
      <w:pPr>
        <w:autoSpaceDE w:val="0"/>
        <w:autoSpaceDN w:val="0"/>
        <w:adjustRightInd w:val="0"/>
        <w:spacing w:line="360" w:lineRule="auto"/>
        <w:ind w:left="284"/>
        <w:jc w:val="both"/>
        <w:rPr>
          <w:rFonts w:ascii="Calibri" w:eastAsia="Calibri" w:hAnsi="Calibri" w:cs="Calibri"/>
          <w:sz w:val="22"/>
          <w:szCs w:val="22"/>
          <w:lang w:val="en-IN"/>
        </w:rPr>
      </w:pPr>
    </w:p>
    <w:p w14:paraId="579FDFDE" w14:textId="77777777" w:rsidR="009942AF" w:rsidRPr="009942AF" w:rsidRDefault="009942AF" w:rsidP="00EC1287">
      <w:pPr>
        <w:autoSpaceDE w:val="0"/>
        <w:autoSpaceDN w:val="0"/>
        <w:adjustRightInd w:val="0"/>
        <w:spacing w:line="360" w:lineRule="auto"/>
        <w:jc w:val="both"/>
        <w:rPr>
          <w:rFonts w:ascii="Calibri" w:eastAsia="Calibri" w:hAnsi="Calibri" w:cs="Calibri"/>
          <w:sz w:val="22"/>
          <w:szCs w:val="22"/>
          <w:lang w:val="en-IN"/>
        </w:rPr>
      </w:pPr>
    </w:p>
    <w:p w14:paraId="2B5C2A7B" w14:textId="77777777" w:rsidR="009942AF" w:rsidRPr="009942AF" w:rsidRDefault="009942AF" w:rsidP="009942AF">
      <w:pPr>
        <w:autoSpaceDE w:val="0"/>
        <w:autoSpaceDN w:val="0"/>
        <w:adjustRightInd w:val="0"/>
        <w:spacing w:line="360" w:lineRule="auto"/>
        <w:ind w:left="284"/>
        <w:jc w:val="both"/>
        <w:rPr>
          <w:rFonts w:ascii="Calibri" w:eastAsia="Calibri" w:hAnsi="Calibri" w:cs="Calibri"/>
          <w:sz w:val="22"/>
          <w:szCs w:val="22"/>
          <w:lang w:val="en-IN"/>
        </w:rPr>
      </w:pPr>
    </w:p>
    <w:p w14:paraId="09D67A91" w14:textId="77777777" w:rsidR="009942AF" w:rsidRPr="00EC1287" w:rsidRDefault="009942AF" w:rsidP="009942AF">
      <w:pPr>
        <w:autoSpaceDE w:val="0"/>
        <w:autoSpaceDN w:val="0"/>
        <w:adjustRightInd w:val="0"/>
        <w:spacing w:line="360" w:lineRule="auto"/>
        <w:jc w:val="center"/>
        <w:rPr>
          <w:rFonts w:asciiTheme="minorHAnsi" w:eastAsia="Calibri" w:hAnsiTheme="minorHAnsi" w:cstheme="minorHAnsi"/>
          <w:b/>
          <w:bCs/>
          <w:sz w:val="22"/>
          <w:szCs w:val="22"/>
          <w:lang w:val="en-IN"/>
        </w:rPr>
      </w:pPr>
      <w:r w:rsidRPr="00EC1287">
        <w:rPr>
          <w:rFonts w:asciiTheme="minorHAnsi" w:eastAsia="Calibri" w:hAnsiTheme="minorHAnsi" w:cstheme="minorHAnsi"/>
          <w:b/>
          <w:bCs/>
          <w:sz w:val="22"/>
          <w:szCs w:val="22"/>
          <w:lang w:val="en-IN"/>
        </w:rPr>
        <w:t>Category of Consumers &amp; Applicable Rates</w:t>
      </w:r>
    </w:p>
    <w:tbl>
      <w:tblPr>
        <w:tblStyle w:val="TableGrid6"/>
        <w:tblW w:w="0" w:type="auto"/>
        <w:tblInd w:w="1167" w:type="dxa"/>
        <w:tblLook w:val="04A0" w:firstRow="1" w:lastRow="0" w:firstColumn="1" w:lastColumn="0" w:noHBand="0" w:noVBand="1"/>
      </w:tblPr>
      <w:tblGrid>
        <w:gridCol w:w="2713"/>
        <w:gridCol w:w="1275"/>
        <w:gridCol w:w="1843"/>
        <w:gridCol w:w="1467"/>
      </w:tblGrid>
      <w:tr w:rsidR="009942AF" w:rsidRPr="00EC1287" w14:paraId="76B2EFFC" w14:textId="77777777" w:rsidTr="00EC1287">
        <w:tc>
          <w:tcPr>
            <w:tcW w:w="2713" w:type="dxa"/>
            <w:shd w:val="clear" w:color="auto" w:fill="95B3D7" w:themeFill="accent1" w:themeFillTint="99"/>
            <w:vAlign w:val="center"/>
          </w:tcPr>
          <w:p w14:paraId="0428C3E7" w14:textId="77777777" w:rsidR="009942AF" w:rsidRPr="00EC1287" w:rsidRDefault="009942AF" w:rsidP="009942AF">
            <w:pPr>
              <w:autoSpaceDE w:val="0"/>
              <w:autoSpaceDN w:val="0"/>
              <w:adjustRightInd w:val="0"/>
              <w:spacing w:line="360" w:lineRule="auto"/>
              <w:rPr>
                <w:rFonts w:asciiTheme="minorHAnsi" w:eastAsiaTheme="minorHAnsi" w:hAnsiTheme="minorHAnsi" w:cstheme="minorHAnsi"/>
                <w:b/>
                <w:sz w:val="22"/>
                <w:szCs w:val="22"/>
                <w:lang w:val="en-IN" w:eastAsia="en-IN"/>
              </w:rPr>
            </w:pPr>
            <w:r w:rsidRPr="00EC1287">
              <w:rPr>
                <w:rFonts w:asciiTheme="minorHAnsi" w:eastAsiaTheme="minorHAnsi" w:hAnsiTheme="minorHAnsi" w:cstheme="minorHAnsi"/>
                <w:b/>
                <w:sz w:val="22"/>
                <w:szCs w:val="22"/>
                <w:lang w:val="en-IN" w:eastAsia="en-IN"/>
              </w:rPr>
              <w:t>Particulars</w:t>
            </w:r>
          </w:p>
        </w:tc>
        <w:tc>
          <w:tcPr>
            <w:tcW w:w="1275" w:type="dxa"/>
            <w:shd w:val="clear" w:color="auto" w:fill="95B3D7" w:themeFill="accent1" w:themeFillTint="99"/>
            <w:vAlign w:val="center"/>
          </w:tcPr>
          <w:p w14:paraId="2AF02360" w14:textId="77777777" w:rsidR="009942AF" w:rsidRPr="00EC1287" w:rsidRDefault="009942AF" w:rsidP="009942AF">
            <w:pPr>
              <w:autoSpaceDE w:val="0"/>
              <w:autoSpaceDN w:val="0"/>
              <w:adjustRightInd w:val="0"/>
              <w:spacing w:line="360" w:lineRule="auto"/>
              <w:jc w:val="center"/>
              <w:rPr>
                <w:rFonts w:asciiTheme="minorHAnsi" w:eastAsiaTheme="minorHAnsi" w:hAnsiTheme="minorHAnsi" w:cstheme="minorHAnsi"/>
                <w:b/>
                <w:bCs/>
                <w:sz w:val="22"/>
                <w:szCs w:val="22"/>
                <w:lang w:val="en-IN" w:eastAsia="en-IN"/>
              </w:rPr>
            </w:pPr>
            <w:r w:rsidRPr="00EC1287">
              <w:rPr>
                <w:rFonts w:asciiTheme="minorHAnsi" w:eastAsiaTheme="minorHAnsi" w:hAnsiTheme="minorHAnsi" w:cstheme="minorHAnsi"/>
                <w:b/>
                <w:bCs/>
                <w:sz w:val="22"/>
                <w:szCs w:val="22"/>
                <w:lang w:val="en-IN" w:eastAsia="en-IN"/>
              </w:rPr>
              <w:t>Prior to 1</w:t>
            </w:r>
            <w:r w:rsidRPr="00EC1287">
              <w:rPr>
                <w:rFonts w:asciiTheme="minorHAnsi" w:eastAsiaTheme="minorHAnsi" w:hAnsiTheme="minorHAnsi" w:cstheme="minorHAnsi"/>
                <w:b/>
                <w:bCs/>
                <w:sz w:val="22"/>
                <w:szCs w:val="22"/>
                <w:vertAlign w:val="superscript"/>
                <w:lang w:val="en-IN" w:eastAsia="en-IN"/>
              </w:rPr>
              <w:t>st</w:t>
            </w:r>
            <w:r w:rsidRPr="00EC1287">
              <w:rPr>
                <w:rFonts w:asciiTheme="minorHAnsi" w:eastAsiaTheme="minorHAnsi" w:hAnsiTheme="minorHAnsi" w:cstheme="minorHAnsi"/>
                <w:b/>
                <w:bCs/>
                <w:sz w:val="22"/>
                <w:szCs w:val="22"/>
                <w:lang w:val="en-IN" w:eastAsia="en-IN"/>
              </w:rPr>
              <w:t xml:space="preserve"> April 2012</w:t>
            </w:r>
          </w:p>
        </w:tc>
        <w:tc>
          <w:tcPr>
            <w:tcW w:w="1843" w:type="dxa"/>
            <w:shd w:val="clear" w:color="auto" w:fill="95B3D7" w:themeFill="accent1" w:themeFillTint="99"/>
            <w:vAlign w:val="center"/>
          </w:tcPr>
          <w:p w14:paraId="5989E507" w14:textId="77777777" w:rsidR="009942AF" w:rsidRPr="00EC1287" w:rsidRDefault="009942AF" w:rsidP="009942AF">
            <w:pPr>
              <w:autoSpaceDE w:val="0"/>
              <w:autoSpaceDN w:val="0"/>
              <w:adjustRightInd w:val="0"/>
              <w:spacing w:line="360" w:lineRule="auto"/>
              <w:jc w:val="center"/>
              <w:rPr>
                <w:rFonts w:asciiTheme="minorHAnsi" w:eastAsiaTheme="minorHAnsi" w:hAnsiTheme="minorHAnsi" w:cstheme="minorHAnsi"/>
                <w:sz w:val="22"/>
                <w:szCs w:val="22"/>
                <w:lang w:val="en-IN" w:eastAsia="en-IN"/>
              </w:rPr>
            </w:pPr>
            <w:r w:rsidRPr="00EC1287">
              <w:rPr>
                <w:rFonts w:asciiTheme="minorHAnsi" w:eastAsiaTheme="minorHAnsi" w:hAnsiTheme="minorHAnsi" w:cstheme="minorHAnsi"/>
                <w:b/>
                <w:bCs/>
                <w:sz w:val="22"/>
                <w:szCs w:val="22"/>
                <w:lang w:val="en-IN" w:eastAsia="en-IN"/>
              </w:rPr>
              <w:t>Continuing since 1st April 2012</w:t>
            </w:r>
          </w:p>
        </w:tc>
        <w:tc>
          <w:tcPr>
            <w:tcW w:w="1467" w:type="dxa"/>
            <w:shd w:val="clear" w:color="auto" w:fill="95B3D7" w:themeFill="accent1" w:themeFillTint="99"/>
            <w:vAlign w:val="center"/>
          </w:tcPr>
          <w:p w14:paraId="1A241E81" w14:textId="77777777" w:rsidR="009942AF" w:rsidRPr="00EC1287" w:rsidRDefault="009942AF" w:rsidP="009942AF">
            <w:pPr>
              <w:autoSpaceDE w:val="0"/>
              <w:autoSpaceDN w:val="0"/>
              <w:adjustRightInd w:val="0"/>
              <w:spacing w:line="360" w:lineRule="auto"/>
              <w:jc w:val="center"/>
              <w:rPr>
                <w:rFonts w:asciiTheme="minorHAnsi" w:eastAsiaTheme="minorHAnsi" w:hAnsiTheme="minorHAnsi" w:cstheme="minorHAnsi"/>
                <w:b/>
                <w:bCs/>
                <w:sz w:val="22"/>
                <w:szCs w:val="22"/>
                <w:lang w:val="en-IN" w:eastAsia="en-IN"/>
              </w:rPr>
            </w:pPr>
            <w:r w:rsidRPr="00EC1287">
              <w:rPr>
                <w:rFonts w:asciiTheme="minorHAnsi" w:eastAsiaTheme="minorHAnsi" w:hAnsiTheme="minorHAnsi" w:cstheme="minorHAnsi"/>
                <w:b/>
                <w:bCs/>
                <w:sz w:val="22"/>
                <w:szCs w:val="22"/>
                <w:lang w:val="en-IN" w:eastAsia="en-IN"/>
              </w:rPr>
              <w:t>Proposed Reconnection charges</w:t>
            </w:r>
          </w:p>
        </w:tc>
      </w:tr>
      <w:tr w:rsidR="009942AF" w:rsidRPr="00EC1287" w14:paraId="76F63F7C" w14:textId="77777777" w:rsidTr="009942AF">
        <w:tc>
          <w:tcPr>
            <w:tcW w:w="2713" w:type="dxa"/>
            <w:vAlign w:val="center"/>
          </w:tcPr>
          <w:p w14:paraId="49AD8E6F" w14:textId="77777777" w:rsidR="009942AF" w:rsidRPr="00EC1287" w:rsidRDefault="009942AF" w:rsidP="009942AF">
            <w:pPr>
              <w:autoSpaceDE w:val="0"/>
              <w:autoSpaceDN w:val="0"/>
              <w:adjustRightInd w:val="0"/>
              <w:spacing w:line="360" w:lineRule="auto"/>
              <w:rPr>
                <w:rFonts w:asciiTheme="minorHAnsi" w:eastAsiaTheme="minorHAnsi" w:hAnsiTheme="minorHAnsi" w:cstheme="minorHAnsi"/>
                <w:b/>
                <w:bCs/>
                <w:sz w:val="22"/>
                <w:szCs w:val="22"/>
                <w:lang w:val="en-IN" w:eastAsia="en-IN"/>
              </w:rPr>
            </w:pPr>
            <w:r w:rsidRPr="00EC1287">
              <w:rPr>
                <w:rFonts w:asciiTheme="minorHAnsi" w:eastAsiaTheme="minorHAnsi" w:hAnsiTheme="minorHAnsi" w:cstheme="minorHAnsi"/>
                <w:sz w:val="22"/>
                <w:szCs w:val="22"/>
                <w:lang w:val="en-IN" w:eastAsia="en-IN"/>
              </w:rPr>
              <w:t>LT Single Phase Domestic Consumer</w:t>
            </w:r>
          </w:p>
        </w:tc>
        <w:tc>
          <w:tcPr>
            <w:tcW w:w="1275" w:type="dxa"/>
            <w:vAlign w:val="center"/>
          </w:tcPr>
          <w:p w14:paraId="223E03C7" w14:textId="77777777" w:rsidR="009942AF" w:rsidRPr="00EC1287" w:rsidRDefault="009942AF" w:rsidP="009942AF">
            <w:pPr>
              <w:autoSpaceDE w:val="0"/>
              <w:autoSpaceDN w:val="0"/>
              <w:adjustRightInd w:val="0"/>
              <w:spacing w:line="360" w:lineRule="auto"/>
              <w:jc w:val="center"/>
              <w:rPr>
                <w:rFonts w:asciiTheme="minorHAnsi" w:eastAsiaTheme="minorHAnsi" w:hAnsiTheme="minorHAnsi" w:cstheme="minorHAnsi"/>
                <w:sz w:val="22"/>
                <w:szCs w:val="22"/>
                <w:lang w:val="en-IN" w:eastAsia="en-IN"/>
              </w:rPr>
            </w:pPr>
            <w:r w:rsidRPr="00EC1287">
              <w:rPr>
                <w:rFonts w:asciiTheme="minorHAnsi" w:eastAsiaTheme="minorHAnsi" w:hAnsiTheme="minorHAnsi" w:cstheme="minorHAnsi"/>
                <w:sz w:val="22"/>
                <w:szCs w:val="22"/>
                <w:lang w:val="en-IN" w:eastAsia="en-IN"/>
              </w:rPr>
              <w:t>Rs.75/-</w:t>
            </w:r>
          </w:p>
        </w:tc>
        <w:tc>
          <w:tcPr>
            <w:tcW w:w="1843" w:type="dxa"/>
            <w:vAlign w:val="center"/>
          </w:tcPr>
          <w:p w14:paraId="4023BFC3" w14:textId="77777777" w:rsidR="009942AF" w:rsidRPr="00EC1287" w:rsidRDefault="009942AF" w:rsidP="009942AF">
            <w:pPr>
              <w:autoSpaceDE w:val="0"/>
              <w:autoSpaceDN w:val="0"/>
              <w:adjustRightInd w:val="0"/>
              <w:spacing w:line="360" w:lineRule="auto"/>
              <w:jc w:val="center"/>
              <w:rPr>
                <w:rFonts w:asciiTheme="minorHAnsi" w:eastAsiaTheme="minorHAnsi" w:hAnsiTheme="minorHAnsi" w:cstheme="minorHAnsi"/>
                <w:sz w:val="22"/>
                <w:szCs w:val="22"/>
                <w:lang w:val="en-IN" w:eastAsia="en-IN"/>
              </w:rPr>
            </w:pPr>
            <w:r w:rsidRPr="00EC1287">
              <w:rPr>
                <w:rFonts w:asciiTheme="minorHAnsi" w:eastAsiaTheme="minorHAnsi" w:hAnsiTheme="minorHAnsi" w:cstheme="minorHAnsi"/>
                <w:sz w:val="22"/>
                <w:szCs w:val="22"/>
                <w:lang w:val="en-IN" w:eastAsia="en-IN"/>
              </w:rPr>
              <w:t>Rs.150/-</w:t>
            </w:r>
          </w:p>
        </w:tc>
        <w:tc>
          <w:tcPr>
            <w:tcW w:w="1467" w:type="dxa"/>
            <w:vAlign w:val="center"/>
          </w:tcPr>
          <w:p w14:paraId="368066D8" w14:textId="77777777" w:rsidR="009942AF" w:rsidRPr="00EC1287" w:rsidRDefault="009942AF" w:rsidP="009942AF">
            <w:pPr>
              <w:autoSpaceDE w:val="0"/>
              <w:autoSpaceDN w:val="0"/>
              <w:adjustRightInd w:val="0"/>
              <w:spacing w:line="360" w:lineRule="auto"/>
              <w:jc w:val="center"/>
              <w:rPr>
                <w:rFonts w:asciiTheme="minorHAnsi" w:eastAsiaTheme="minorHAnsi" w:hAnsiTheme="minorHAnsi" w:cstheme="minorHAnsi"/>
                <w:sz w:val="22"/>
                <w:szCs w:val="22"/>
                <w:lang w:val="en-IN" w:eastAsia="en-IN"/>
              </w:rPr>
            </w:pPr>
            <w:r w:rsidRPr="00EC1287">
              <w:rPr>
                <w:rFonts w:asciiTheme="minorHAnsi" w:eastAsiaTheme="minorHAnsi" w:hAnsiTheme="minorHAnsi" w:cstheme="minorHAnsi"/>
                <w:sz w:val="22"/>
                <w:szCs w:val="22"/>
                <w:lang w:val="en-IN" w:eastAsia="en-IN"/>
              </w:rPr>
              <w:t>Rs.500/-</w:t>
            </w:r>
          </w:p>
        </w:tc>
      </w:tr>
      <w:tr w:rsidR="009942AF" w:rsidRPr="00EC1287" w14:paraId="7AA197DB" w14:textId="77777777" w:rsidTr="009942AF">
        <w:tc>
          <w:tcPr>
            <w:tcW w:w="2713" w:type="dxa"/>
            <w:vAlign w:val="center"/>
          </w:tcPr>
          <w:p w14:paraId="5FEE8223" w14:textId="77777777" w:rsidR="009942AF" w:rsidRPr="00EC1287" w:rsidRDefault="009942AF" w:rsidP="009942AF">
            <w:pPr>
              <w:autoSpaceDE w:val="0"/>
              <w:autoSpaceDN w:val="0"/>
              <w:adjustRightInd w:val="0"/>
              <w:spacing w:line="360" w:lineRule="auto"/>
              <w:rPr>
                <w:rFonts w:asciiTheme="minorHAnsi" w:eastAsiaTheme="minorHAnsi" w:hAnsiTheme="minorHAnsi" w:cstheme="minorHAnsi"/>
                <w:b/>
                <w:bCs/>
                <w:sz w:val="22"/>
                <w:szCs w:val="22"/>
                <w:lang w:val="en-IN" w:eastAsia="en-IN"/>
              </w:rPr>
            </w:pPr>
            <w:r w:rsidRPr="00EC1287">
              <w:rPr>
                <w:rFonts w:asciiTheme="minorHAnsi" w:eastAsiaTheme="minorHAnsi" w:hAnsiTheme="minorHAnsi" w:cstheme="minorHAnsi"/>
                <w:sz w:val="22"/>
                <w:szCs w:val="22"/>
                <w:lang w:val="en-IN" w:eastAsia="en-IN"/>
              </w:rPr>
              <w:t xml:space="preserve">LT Single Phase </w:t>
            </w:r>
            <w:proofErr w:type="gramStart"/>
            <w:r w:rsidRPr="00EC1287">
              <w:rPr>
                <w:rFonts w:asciiTheme="minorHAnsi" w:eastAsiaTheme="minorHAnsi" w:hAnsiTheme="minorHAnsi" w:cstheme="minorHAnsi"/>
                <w:sz w:val="22"/>
                <w:szCs w:val="22"/>
                <w:lang w:val="en-IN" w:eastAsia="en-IN"/>
              </w:rPr>
              <w:t>other</w:t>
            </w:r>
            <w:proofErr w:type="gramEnd"/>
            <w:r w:rsidRPr="00EC1287">
              <w:rPr>
                <w:rFonts w:asciiTheme="minorHAnsi" w:eastAsiaTheme="minorHAnsi" w:hAnsiTheme="minorHAnsi" w:cstheme="minorHAnsi"/>
                <w:sz w:val="22"/>
                <w:szCs w:val="22"/>
                <w:lang w:val="en-IN" w:eastAsia="en-IN"/>
              </w:rPr>
              <w:t xml:space="preserve"> consumer</w:t>
            </w:r>
          </w:p>
        </w:tc>
        <w:tc>
          <w:tcPr>
            <w:tcW w:w="1275" w:type="dxa"/>
            <w:vAlign w:val="center"/>
          </w:tcPr>
          <w:p w14:paraId="5C036FED" w14:textId="77777777" w:rsidR="009942AF" w:rsidRPr="00EC1287" w:rsidRDefault="009942AF" w:rsidP="009942AF">
            <w:pPr>
              <w:autoSpaceDE w:val="0"/>
              <w:autoSpaceDN w:val="0"/>
              <w:adjustRightInd w:val="0"/>
              <w:spacing w:line="360" w:lineRule="auto"/>
              <w:jc w:val="center"/>
              <w:rPr>
                <w:rFonts w:asciiTheme="minorHAnsi" w:eastAsiaTheme="minorHAnsi" w:hAnsiTheme="minorHAnsi" w:cstheme="minorHAnsi"/>
                <w:b/>
                <w:bCs/>
                <w:sz w:val="22"/>
                <w:szCs w:val="22"/>
                <w:lang w:val="en-IN" w:eastAsia="en-IN"/>
              </w:rPr>
            </w:pPr>
            <w:r w:rsidRPr="00EC1287">
              <w:rPr>
                <w:rFonts w:asciiTheme="minorHAnsi" w:eastAsiaTheme="minorHAnsi" w:hAnsiTheme="minorHAnsi" w:cstheme="minorHAnsi"/>
                <w:sz w:val="22"/>
                <w:szCs w:val="22"/>
                <w:lang w:val="en-IN" w:eastAsia="en-IN"/>
              </w:rPr>
              <w:t>Rs.200/-</w:t>
            </w:r>
          </w:p>
        </w:tc>
        <w:tc>
          <w:tcPr>
            <w:tcW w:w="1843" w:type="dxa"/>
            <w:vAlign w:val="center"/>
          </w:tcPr>
          <w:p w14:paraId="0AE9B091" w14:textId="77777777" w:rsidR="009942AF" w:rsidRPr="00EC1287" w:rsidRDefault="009942AF" w:rsidP="009942AF">
            <w:pPr>
              <w:autoSpaceDE w:val="0"/>
              <w:autoSpaceDN w:val="0"/>
              <w:adjustRightInd w:val="0"/>
              <w:spacing w:line="360" w:lineRule="auto"/>
              <w:jc w:val="center"/>
              <w:rPr>
                <w:rFonts w:asciiTheme="minorHAnsi" w:eastAsiaTheme="minorHAnsi" w:hAnsiTheme="minorHAnsi" w:cstheme="minorHAnsi"/>
                <w:sz w:val="22"/>
                <w:szCs w:val="22"/>
                <w:lang w:val="en-IN" w:eastAsia="en-IN"/>
              </w:rPr>
            </w:pPr>
            <w:r w:rsidRPr="00EC1287">
              <w:rPr>
                <w:rFonts w:asciiTheme="minorHAnsi" w:eastAsiaTheme="minorHAnsi" w:hAnsiTheme="minorHAnsi" w:cstheme="minorHAnsi"/>
                <w:sz w:val="22"/>
                <w:szCs w:val="22"/>
                <w:lang w:val="en-IN" w:eastAsia="en-IN"/>
              </w:rPr>
              <w:t>Rs.400/-</w:t>
            </w:r>
          </w:p>
        </w:tc>
        <w:tc>
          <w:tcPr>
            <w:tcW w:w="1467" w:type="dxa"/>
            <w:vAlign w:val="center"/>
          </w:tcPr>
          <w:p w14:paraId="42275982" w14:textId="77777777" w:rsidR="009942AF" w:rsidRPr="00EC1287" w:rsidRDefault="009942AF" w:rsidP="009942AF">
            <w:pPr>
              <w:autoSpaceDE w:val="0"/>
              <w:autoSpaceDN w:val="0"/>
              <w:adjustRightInd w:val="0"/>
              <w:spacing w:line="360" w:lineRule="auto"/>
              <w:jc w:val="center"/>
              <w:rPr>
                <w:rFonts w:asciiTheme="minorHAnsi" w:eastAsiaTheme="minorHAnsi" w:hAnsiTheme="minorHAnsi" w:cstheme="minorHAnsi"/>
                <w:sz w:val="22"/>
                <w:szCs w:val="22"/>
                <w:lang w:val="en-IN" w:eastAsia="en-IN"/>
              </w:rPr>
            </w:pPr>
            <w:r w:rsidRPr="00EC1287">
              <w:rPr>
                <w:rFonts w:asciiTheme="minorHAnsi" w:eastAsiaTheme="minorHAnsi" w:hAnsiTheme="minorHAnsi" w:cstheme="minorHAnsi"/>
                <w:sz w:val="22"/>
                <w:szCs w:val="22"/>
                <w:lang w:val="en-IN" w:eastAsia="en-IN"/>
              </w:rPr>
              <w:t>Rs.1000/-</w:t>
            </w:r>
          </w:p>
        </w:tc>
      </w:tr>
      <w:tr w:rsidR="009942AF" w:rsidRPr="00EC1287" w14:paraId="50B3B0AE" w14:textId="77777777" w:rsidTr="009942AF">
        <w:tc>
          <w:tcPr>
            <w:tcW w:w="2713" w:type="dxa"/>
            <w:vAlign w:val="center"/>
          </w:tcPr>
          <w:p w14:paraId="244B9F47" w14:textId="77777777" w:rsidR="009942AF" w:rsidRPr="00EC1287" w:rsidRDefault="009942AF" w:rsidP="009942AF">
            <w:pPr>
              <w:autoSpaceDE w:val="0"/>
              <w:autoSpaceDN w:val="0"/>
              <w:adjustRightInd w:val="0"/>
              <w:spacing w:line="360" w:lineRule="auto"/>
              <w:rPr>
                <w:rFonts w:asciiTheme="minorHAnsi" w:eastAsiaTheme="minorHAnsi" w:hAnsiTheme="minorHAnsi" w:cstheme="minorHAnsi"/>
                <w:b/>
                <w:bCs/>
                <w:sz w:val="22"/>
                <w:szCs w:val="22"/>
                <w:lang w:val="en-IN" w:eastAsia="en-IN"/>
              </w:rPr>
            </w:pPr>
            <w:r w:rsidRPr="00EC1287">
              <w:rPr>
                <w:rFonts w:asciiTheme="minorHAnsi" w:eastAsiaTheme="minorHAnsi" w:hAnsiTheme="minorHAnsi" w:cstheme="minorHAnsi"/>
                <w:sz w:val="22"/>
                <w:szCs w:val="22"/>
                <w:lang w:val="en-IN" w:eastAsia="en-IN"/>
              </w:rPr>
              <w:t>LT 3 Phase consumers</w:t>
            </w:r>
          </w:p>
        </w:tc>
        <w:tc>
          <w:tcPr>
            <w:tcW w:w="1275" w:type="dxa"/>
            <w:vAlign w:val="center"/>
          </w:tcPr>
          <w:p w14:paraId="042A1DDF" w14:textId="77777777" w:rsidR="009942AF" w:rsidRPr="00EC1287" w:rsidRDefault="009942AF" w:rsidP="009942AF">
            <w:pPr>
              <w:autoSpaceDE w:val="0"/>
              <w:autoSpaceDN w:val="0"/>
              <w:adjustRightInd w:val="0"/>
              <w:spacing w:line="360" w:lineRule="auto"/>
              <w:jc w:val="center"/>
              <w:rPr>
                <w:rFonts w:asciiTheme="minorHAnsi" w:eastAsiaTheme="minorHAnsi" w:hAnsiTheme="minorHAnsi" w:cstheme="minorHAnsi"/>
                <w:b/>
                <w:bCs/>
                <w:sz w:val="22"/>
                <w:szCs w:val="22"/>
                <w:lang w:val="en-IN" w:eastAsia="en-IN"/>
              </w:rPr>
            </w:pPr>
            <w:r w:rsidRPr="00EC1287">
              <w:rPr>
                <w:rFonts w:asciiTheme="minorHAnsi" w:eastAsiaTheme="minorHAnsi" w:hAnsiTheme="minorHAnsi" w:cstheme="minorHAnsi"/>
                <w:sz w:val="22"/>
                <w:szCs w:val="22"/>
                <w:lang w:val="en-IN" w:eastAsia="en-IN"/>
              </w:rPr>
              <w:t>Rs.300/-</w:t>
            </w:r>
          </w:p>
        </w:tc>
        <w:tc>
          <w:tcPr>
            <w:tcW w:w="1843" w:type="dxa"/>
            <w:vAlign w:val="center"/>
          </w:tcPr>
          <w:p w14:paraId="5EC89487" w14:textId="77777777" w:rsidR="009942AF" w:rsidRPr="00EC1287" w:rsidRDefault="009942AF" w:rsidP="009942AF">
            <w:pPr>
              <w:autoSpaceDE w:val="0"/>
              <w:autoSpaceDN w:val="0"/>
              <w:adjustRightInd w:val="0"/>
              <w:spacing w:line="360" w:lineRule="auto"/>
              <w:jc w:val="center"/>
              <w:rPr>
                <w:rFonts w:asciiTheme="minorHAnsi" w:eastAsiaTheme="minorHAnsi" w:hAnsiTheme="minorHAnsi" w:cstheme="minorHAnsi"/>
                <w:sz w:val="22"/>
                <w:szCs w:val="22"/>
                <w:lang w:val="en-IN" w:eastAsia="en-IN"/>
              </w:rPr>
            </w:pPr>
            <w:r w:rsidRPr="00EC1287">
              <w:rPr>
                <w:rFonts w:asciiTheme="minorHAnsi" w:eastAsiaTheme="minorHAnsi" w:hAnsiTheme="minorHAnsi" w:cstheme="minorHAnsi"/>
                <w:sz w:val="22"/>
                <w:szCs w:val="22"/>
                <w:lang w:val="en-IN" w:eastAsia="en-IN"/>
              </w:rPr>
              <w:t>Rs.600/-</w:t>
            </w:r>
          </w:p>
        </w:tc>
        <w:tc>
          <w:tcPr>
            <w:tcW w:w="1467" w:type="dxa"/>
            <w:vAlign w:val="center"/>
          </w:tcPr>
          <w:p w14:paraId="4FF6F8CD" w14:textId="77777777" w:rsidR="009942AF" w:rsidRPr="00EC1287" w:rsidRDefault="009942AF" w:rsidP="009942AF">
            <w:pPr>
              <w:autoSpaceDE w:val="0"/>
              <w:autoSpaceDN w:val="0"/>
              <w:adjustRightInd w:val="0"/>
              <w:spacing w:line="360" w:lineRule="auto"/>
              <w:jc w:val="center"/>
              <w:rPr>
                <w:rFonts w:asciiTheme="minorHAnsi" w:eastAsiaTheme="minorHAnsi" w:hAnsiTheme="minorHAnsi" w:cstheme="minorHAnsi"/>
                <w:sz w:val="22"/>
                <w:szCs w:val="22"/>
                <w:lang w:val="en-IN" w:eastAsia="en-IN"/>
              </w:rPr>
            </w:pPr>
            <w:r w:rsidRPr="00EC1287">
              <w:rPr>
                <w:rFonts w:asciiTheme="minorHAnsi" w:eastAsiaTheme="minorHAnsi" w:hAnsiTheme="minorHAnsi" w:cstheme="minorHAnsi"/>
                <w:sz w:val="22"/>
                <w:szCs w:val="22"/>
                <w:lang w:val="en-IN" w:eastAsia="en-IN"/>
              </w:rPr>
              <w:t>Rs.1200/-</w:t>
            </w:r>
          </w:p>
        </w:tc>
      </w:tr>
      <w:tr w:rsidR="009942AF" w:rsidRPr="00EC1287" w14:paraId="2117981E" w14:textId="77777777" w:rsidTr="009942AF">
        <w:tc>
          <w:tcPr>
            <w:tcW w:w="2713" w:type="dxa"/>
            <w:vAlign w:val="center"/>
          </w:tcPr>
          <w:p w14:paraId="188DE5BF" w14:textId="77777777" w:rsidR="009942AF" w:rsidRPr="00EC1287" w:rsidRDefault="009942AF" w:rsidP="009942AF">
            <w:pPr>
              <w:autoSpaceDE w:val="0"/>
              <w:autoSpaceDN w:val="0"/>
              <w:adjustRightInd w:val="0"/>
              <w:spacing w:line="360" w:lineRule="auto"/>
              <w:rPr>
                <w:rFonts w:asciiTheme="minorHAnsi" w:eastAsiaTheme="minorHAnsi" w:hAnsiTheme="minorHAnsi" w:cstheme="minorHAnsi"/>
                <w:b/>
                <w:bCs/>
                <w:sz w:val="22"/>
                <w:szCs w:val="22"/>
                <w:lang w:val="en-IN" w:eastAsia="en-IN"/>
              </w:rPr>
            </w:pPr>
            <w:r w:rsidRPr="00EC1287">
              <w:rPr>
                <w:rFonts w:asciiTheme="minorHAnsi" w:eastAsiaTheme="minorHAnsi" w:hAnsiTheme="minorHAnsi" w:cstheme="minorHAnsi"/>
                <w:sz w:val="22"/>
                <w:szCs w:val="22"/>
                <w:lang w:val="en-IN" w:eastAsia="en-IN"/>
              </w:rPr>
              <w:t>All HT &amp; EHT consumers</w:t>
            </w:r>
          </w:p>
        </w:tc>
        <w:tc>
          <w:tcPr>
            <w:tcW w:w="1275" w:type="dxa"/>
            <w:vAlign w:val="center"/>
          </w:tcPr>
          <w:p w14:paraId="16B37E65" w14:textId="77777777" w:rsidR="009942AF" w:rsidRPr="00EC1287" w:rsidRDefault="009942AF" w:rsidP="009942AF">
            <w:pPr>
              <w:autoSpaceDE w:val="0"/>
              <w:autoSpaceDN w:val="0"/>
              <w:adjustRightInd w:val="0"/>
              <w:spacing w:line="360" w:lineRule="auto"/>
              <w:jc w:val="center"/>
              <w:rPr>
                <w:rFonts w:asciiTheme="minorHAnsi" w:eastAsiaTheme="minorHAnsi" w:hAnsiTheme="minorHAnsi" w:cstheme="minorHAnsi"/>
                <w:b/>
                <w:bCs/>
                <w:sz w:val="22"/>
                <w:szCs w:val="22"/>
                <w:lang w:val="en-IN" w:eastAsia="en-IN"/>
              </w:rPr>
            </w:pPr>
            <w:r w:rsidRPr="00EC1287">
              <w:rPr>
                <w:rFonts w:asciiTheme="minorHAnsi" w:eastAsiaTheme="minorHAnsi" w:hAnsiTheme="minorHAnsi" w:cstheme="minorHAnsi"/>
                <w:sz w:val="22"/>
                <w:szCs w:val="22"/>
                <w:lang w:val="en-IN" w:eastAsia="en-IN"/>
              </w:rPr>
              <w:t>Rs.1500/-</w:t>
            </w:r>
          </w:p>
        </w:tc>
        <w:tc>
          <w:tcPr>
            <w:tcW w:w="1843" w:type="dxa"/>
            <w:vAlign w:val="center"/>
          </w:tcPr>
          <w:p w14:paraId="7F04B065" w14:textId="77777777" w:rsidR="009942AF" w:rsidRPr="00EC1287" w:rsidRDefault="009942AF" w:rsidP="009942AF">
            <w:pPr>
              <w:autoSpaceDE w:val="0"/>
              <w:autoSpaceDN w:val="0"/>
              <w:adjustRightInd w:val="0"/>
              <w:spacing w:line="360" w:lineRule="auto"/>
              <w:jc w:val="center"/>
              <w:rPr>
                <w:rFonts w:asciiTheme="minorHAnsi" w:eastAsiaTheme="minorHAnsi" w:hAnsiTheme="minorHAnsi" w:cstheme="minorHAnsi"/>
                <w:sz w:val="22"/>
                <w:szCs w:val="22"/>
                <w:lang w:val="en-IN" w:eastAsia="en-IN"/>
              </w:rPr>
            </w:pPr>
            <w:r w:rsidRPr="00EC1287">
              <w:rPr>
                <w:rFonts w:asciiTheme="minorHAnsi" w:eastAsiaTheme="minorHAnsi" w:hAnsiTheme="minorHAnsi" w:cstheme="minorHAnsi"/>
                <w:sz w:val="22"/>
                <w:szCs w:val="22"/>
                <w:lang w:val="en-IN" w:eastAsia="en-IN"/>
              </w:rPr>
              <w:t>Rs.3000/-</w:t>
            </w:r>
          </w:p>
        </w:tc>
        <w:tc>
          <w:tcPr>
            <w:tcW w:w="1467" w:type="dxa"/>
            <w:vAlign w:val="center"/>
          </w:tcPr>
          <w:p w14:paraId="71F00C5F" w14:textId="77777777" w:rsidR="009942AF" w:rsidRPr="00EC1287" w:rsidRDefault="009942AF" w:rsidP="009942AF">
            <w:pPr>
              <w:autoSpaceDE w:val="0"/>
              <w:autoSpaceDN w:val="0"/>
              <w:adjustRightInd w:val="0"/>
              <w:spacing w:line="360" w:lineRule="auto"/>
              <w:jc w:val="center"/>
              <w:rPr>
                <w:rFonts w:asciiTheme="minorHAnsi" w:eastAsiaTheme="minorHAnsi" w:hAnsiTheme="minorHAnsi" w:cstheme="minorHAnsi"/>
                <w:sz w:val="22"/>
                <w:szCs w:val="22"/>
                <w:lang w:val="en-IN" w:eastAsia="en-IN"/>
              </w:rPr>
            </w:pPr>
            <w:r w:rsidRPr="00EC1287">
              <w:rPr>
                <w:rFonts w:asciiTheme="minorHAnsi" w:eastAsiaTheme="minorHAnsi" w:hAnsiTheme="minorHAnsi" w:cstheme="minorHAnsi"/>
                <w:sz w:val="22"/>
                <w:szCs w:val="22"/>
                <w:lang w:val="en-IN" w:eastAsia="en-IN"/>
              </w:rPr>
              <w:t>Rs.6000/-</w:t>
            </w:r>
          </w:p>
        </w:tc>
      </w:tr>
    </w:tbl>
    <w:p w14:paraId="21337744" w14:textId="77777777" w:rsidR="009942AF" w:rsidRPr="00EC1287" w:rsidRDefault="009942AF" w:rsidP="009942AF">
      <w:pPr>
        <w:autoSpaceDE w:val="0"/>
        <w:autoSpaceDN w:val="0"/>
        <w:adjustRightInd w:val="0"/>
        <w:spacing w:line="360" w:lineRule="auto"/>
        <w:jc w:val="both"/>
        <w:rPr>
          <w:rFonts w:asciiTheme="minorHAnsi" w:eastAsia="Calibri" w:hAnsiTheme="minorHAnsi" w:cstheme="minorHAnsi"/>
          <w:sz w:val="22"/>
          <w:szCs w:val="22"/>
          <w:lang w:val="en-IN"/>
        </w:rPr>
      </w:pPr>
    </w:p>
    <w:p w14:paraId="4E73204D" w14:textId="02930D9D" w:rsidR="009942AF" w:rsidRPr="009942AF" w:rsidRDefault="00EC1287" w:rsidP="00EC1287">
      <w:pPr>
        <w:autoSpaceDE w:val="0"/>
        <w:autoSpaceDN w:val="0"/>
        <w:adjustRightInd w:val="0"/>
        <w:spacing w:line="360" w:lineRule="auto"/>
        <w:ind w:left="851" w:hanging="284"/>
        <w:jc w:val="both"/>
        <w:rPr>
          <w:rFonts w:ascii="Calibri" w:eastAsia="Calibri" w:hAnsi="Calibri" w:cs="Calibri"/>
          <w:sz w:val="22"/>
          <w:szCs w:val="22"/>
          <w:lang w:val="en-IN"/>
        </w:rPr>
      </w:pPr>
      <w:r>
        <w:rPr>
          <w:rFonts w:ascii="Calibri" w:eastAsia="Calibri" w:hAnsi="Calibri" w:cs="Calibri"/>
          <w:sz w:val="22"/>
          <w:szCs w:val="22"/>
          <w:lang w:val="en-IN"/>
        </w:rPr>
        <w:t xml:space="preserve">     </w:t>
      </w:r>
      <w:r w:rsidR="009942AF" w:rsidRPr="009942AF">
        <w:rPr>
          <w:rFonts w:ascii="Calibri" w:eastAsia="Calibri" w:hAnsi="Calibri" w:cs="Calibri"/>
          <w:sz w:val="22"/>
          <w:szCs w:val="22"/>
          <w:lang w:val="en-IN"/>
        </w:rPr>
        <w:t xml:space="preserve">Now, the biggest challenge in the field even after disconnection, consumers are not willing to reconnect power supply formally but found to be reconnected again through their own means and ways. This is not only affecting business of the licensee, at the same time risk of fatal accident cannot be ruled out. It is not possible to monitor post disconnection by 24 X 7 with the available resources as well as it is not cost effective. Therefore, it is the humble submission of the licensee to put a separate stringent punishment, a separate penalty clause may be approved to create fear among such segment of consumers. </w:t>
      </w:r>
      <w:r w:rsidR="009942AF" w:rsidRPr="009942AF">
        <w:rPr>
          <w:rFonts w:ascii="Calibri" w:eastAsia="Calibri" w:hAnsi="Calibri" w:cs="Calibri"/>
          <w:b/>
          <w:bCs/>
          <w:sz w:val="22"/>
          <w:szCs w:val="22"/>
          <w:lang w:val="en-IN"/>
        </w:rPr>
        <w:t>In the event of consumer found reconnected without paying formal reconnection charges shall be imposed with 10 times of the reconnection charges, apart from other action as per law</w:t>
      </w:r>
      <w:r w:rsidR="009942AF" w:rsidRPr="009942AF">
        <w:rPr>
          <w:rFonts w:ascii="Calibri" w:eastAsia="Calibri" w:hAnsi="Calibri" w:cs="Calibri"/>
          <w:sz w:val="22"/>
          <w:szCs w:val="22"/>
          <w:lang w:val="en-IN"/>
        </w:rPr>
        <w:t xml:space="preserve">. </w:t>
      </w:r>
    </w:p>
    <w:p w14:paraId="31AB1772" w14:textId="77777777" w:rsidR="009942AF" w:rsidRPr="009942AF" w:rsidRDefault="009942AF" w:rsidP="009942AF">
      <w:pPr>
        <w:autoSpaceDE w:val="0"/>
        <w:autoSpaceDN w:val="0"/>
        <w:adjustRightInd w:val="0"/>
        <w:spacing w:line="360" w:lineRule="auto"/>
        <w:ind w:left="284"/>
        <w:jc w:val="both"/>
        <w:rPr>
          <w:rFonts w:ascii="Calibri" w:eastAsia="Calibri" w:hAnsi="Calibri" w:cs="Calibri"/>
          <w:sz w:val="22"/>
          <w:szCs w:val="22"/>
          <w:lang w:val="en-IN"/>
        </w:rPr>
      </w:pPr>
    </w:p>
    <w:p w14:paraId="0BAF325B" w14:textId="77777777" w:rsidR="009942AF" w:rsidRPr="009942AF" w:rsidRDefault="009942AF" w:rsidP="00EC1287">
      <w:pPr>
        <w:autoSpaceDE w:val="0"/>
        <w:autoSpaceDN w:val="0"/>
        <w:adjustRightInd w:val="0"/>
        <w:spacing w:line="360" w:lineRule="auto"/>
        <w:ind w:left="851"/>
        <w:jc w:val="both"/>
        <w:rPr>
          <w:rFonts w:ascii="Calibri" w:eastAsia="Calibri" w:hAnsi="Calibri" w:cs="Calibri"/>
          <w:sz w:val="22"/>
          <w:szCs w:val="22"/>
          <w:lang w:val="en-IN"/>
        </w:rPr>
      </w:pPr>
      <w:r w:rsidRPr="009942AF">
        <w:rPr>
          <w:rFonts w:ascii="Calibri" w:eastAsia="Calibri" w:hAnsi="Calibri" w:cs="Calibri"/>
          <w:sz w:val="22"/>
          <w:szCs w:val="22"/>
          <w:lang w:val="en-IN"/>
        </w:rPr>
        <w:t xml:space="preserve">In addition to above, upon reconnection if the consumer fails to clear its dues regularly and the licensee is disconnecting the consumers, in such case the consumer has to pay 5 times of the reconnection charges for each subsequent reconnection so made.  </w:t>
      </w:r>
    </w:p>
    <w:p w14:paraId="5B2B7A8A" w14:textId="2F64F2BB" w:rsidR="009942AF" w:rsidRPr="009942AF" w:rsidRDefault="00EC1287" w:rsidP="00EC1287">
      <w:pPr>
        <w:keepNext/>
        <w:spacing w:before="240" w:after="60" w:line="360" w:lineRule="auto"/>
        <w:ind w:left="426"/>
        <w:jc w:val="both"/>
        <w:outlineLvl w:val="0"/>
        <w:rPr>
          <w:rFonts w:ascii="Calibri" w:hAnsi="Calibri" w:cs="Calibri"/>
          <w:b/>
          <w:bCs/>
          <w:kern w:val="32"/>
          <w:sz w:val="22"/>
          <w:szCs w:val="22"/>
        </w:rPr>
      </w:pPr>
      <w:bookmarkStart w:id="38" w:name="_Toc120649876"/>
      <w:bookmarkStart w:id="39" w:name="_Toc152180140"/>
      <w:bookmarkStart w:id="40" w:name="_Toc120649873"/>
      <w:r>
        <w:rPr>
          <w:rFonts w:ascii="Calibri" w:hAnsi="Calibri" w:cs="Calibri"/>
          <w:b/>
          <w:bCs/>
          <w:kern w:val="32"/>
          <w:sz w:val="22"/>
          <w:szCs w:val="22"/>
        </w:rPr>
        <w:t xml:space="preserve">        9.13 </w:t>
      </w:r>
      <w:r w:rsidR="009942AF" w:rsidRPr="009942AF">
        <w:rPr>
          <w:rFonts w:ascii="Calibri" w:hAnsi="Calibri" w:cs="Calibri"/>
          <w:b/>
          <w:bCs/>
          <w:kern w:val="32"/>
          <w:sz w:val="22"/>
          <w:szCs w:val="22"/>
        </w:rPr>
        <w:t>Creation of Category for Mega lift points under EHT</w:t>
      </w:r>
      <w:bookmarkEnd w:id="38"/>
      <w:r w:rsidR="009942AF" w:rsidRPr="009942AF">
        <w:rPr>
          <w:rFonts w:ascii="Calibri" w:hAnsi="Calibri" w:cs="Calibri"/>
          <w:b/>
          <w:bCs/>
          <w:kern w:val="32"/>
          <w:sz w:val="22"/>
          <w:szCs w:val="22"/>
        </w:rPr>
        <w:t xml:space="preserve"> and applicability of Demand Charges.</w:t>
      </w:r>
      <w:bookmarkEnd w:id="39"/>
    </w:p>
    <w:p w14:paraId="2E08E3CA" w14:textId="77777777" w:rsidR="009942AF" w:rsidRPr="009942AF" w:rsidRDefault="009942AF" w:rsidP="00EC1287">
      <w:pPr>
        <w:spacing w:line="360" w:lineRule="auto"/>
        <w:ind w:left="709"/>
        <w:jc w:val="both"/>
        <w:rPr>
          <w:rFonts w:ascii="Calibri" w:hAnsi="Calibri" w:cs="Calibri"/>
          <w:sz w:val="22"/>
          <w:szCs w:val="22"/>
        </w:rPr>
      </w:pPr>
      <w:r w:rsidRPr="009942AF">
        <w:rPr>
          <w:rFonts w:ascii="Calibri" w:hAnsi="Calibri" w:cs="Calibri"/>
          <w:sz w:val="22"/>
          <w:szCs w:val="22"/>
        </w:rPr>
        <w:t>The licensee may have few consumers under mega lift in 132kV supply system. There is no such tariff category under EHT for such supply. The Hon’ble Commission in the RST order dt.13.02.2024 has notified tariff for Mega lift points in the following manner:</w:t>
      </w:r>
    </w:p>
    <w:p w14:paraId="26178630" w14:textId="77777777" w:rsidR="009942AF" w:rsidRPr="009942AF" w:rsidRDefault="009942AF" w:rsidP="009942AF">
      <w:pPr>
        <w:spacing w:line="360" w:lineRule="auto"/>
        <w:ind w:left="284"/>
        <w:jc w:val="both"/>
        <w:rPr>
          <w:rFonts w:ascii="Calibri" w:hAnsi="Calibri" w:cs="Calibri"/>
          <w:sz w:val="22"/>
          <w:szCs w:val="22"/>
        </w:rPr>
      </w:pPr>
    </w:p>
    <w:p w14:paraId="6F83B60D" w14:textId="77777777" w:rsidR="009942AF" w:rsidRPr="009942AF" w:rsidRDefault="009942AF" w:rsidP="009942AF">
      <w:pPr>
        <w:spacing w:line="360" w:lineRule="auto"/>
        <w:ind w:left="720"/>
        <w:jc w:val="both"/>
        <w:rPr>
          <w:rFonts w:ascii="Calibri" w:hAnsi="Calibri" w:cs="Calibri"/>
          <w:sz w:val="22"/>
          <w:szCs w:val="22"/>
        </w:rPr>
      </w:pPr>
      <w:r w:rsidRPr="009942AF">
        <w:rPr>
          <w:rFonts w:ascii="Calibri" w:hAnsi="Calibri" w:cs="Calibri"/>
          <w:i/>
          <w:iCs/>
          <w:sz w:val="22"/>
          <w:szCs w:val="22"/>
        </w:rPr>
        <w:t xml:space="preserve">“(xxviii)The Mega Lift consumers (who are using electricity for irrigation purpose and not covered under irrigation pumping and agriculture category of the Regulation) </w:t>
      </w:r>
      <w:r w:rsidRPr="009942AF">
        <w:rPr>
          <w:rFonts w:ascii="Calibri" w:hAnsi="Calibri" w:cs="Calibri"/>
          <w:b/>
          <w:bCs/>
          <w:i/>
          <w:iCs/>
          <w:sz w:val="22"/>
          <w:szCs w:val="22"/>
          <w:u w:val="single"/>
        </w:rPr>
        <w:t>connected either to HT or EHT system shall be treated as GP consumers and shall not pay any demand charges and shall get an additional rebate of Rs.2 per unit (</w:t>
      </w:r>
      <w:proofErr w:type="spellStart"/>
      <w:r w:rsidRPr="009942AF">
        <w:rPr>
          <w:rFonts w:ascii="Calibri" w:hAnsi="Calibri" w:cs="Calibri"/>
          <w:b/>
          <w:bCs/>
          <w:i/>
          <w:iCs/>
          <w:sz w:val="22"/>
          <w:szCs w:val="22"/>
          <w:u w:val="single"/>
        </w:rPr>
        <w:t>kVAh</w:t>
      </w:r>
      <w:proofErr w:type="spellEnd"/>
      <w:r w:rsidRPr="009942AF">
        <w:rPr>
          <w:rFonts w:ascii="Calibri" w:hAnsi="Calibri" w:cs="Calibri"/>
          <w:b/>
          <w:bCs/>
          <w:i/>
          <w:iCs/>
          <w:sz w:val="22"/>
          <w:szCs w:val="22"/>
          <w:u w:val="single"/>
        </w:rPr>
        <w:t>)</w:t>
      </w:r>
      <w:r w:rsidRPr="009942AF">
        <w:rPr>
          <w:rFonts w:ascii="Calibri" w:hAnsi="Calibri" w:cs="Calibri"/>
          <w:i/>
          <w:iCs/>
          <w:sz w:val="22"/>
          <w:szCs w:val="22"/>
        </w:rPr>
        <w:t xml:space="preserve"> on the respective energy charges</w:t>
      </w:r>
      <w:r w:rsidRPr="009942AF">
        <w:rPr>
          <w:rFonts w:ascii="Calibri" w:hAnsi="Calibri" w:cs="Calibri"/>
          <w:sz w:val="22"/>
          <w:szCs w:val="22"/>
        </w:rPr>
        <w:t xml:space="preserve">.” </w:t>
      </w:r>
      <w:r w:rsidRPr="009942AF">
        <w:rPr>
          <w:rFonts w:ascii="Calibri" w:hAnsi="Calibri" w:cs="Calibri"/>
          <w:b/>
          <w:sz w:val="22"/>
          <w:szCs w:val="22"/>
        </w:rPr>
        <w:t>(Emphasis Added)</w:t>
      </w:r>
    </w:p>
    <w:p w14:paraId="2AEC1007" w14:textId="77777777" w:rsidR="009942AF" w:rsidRPr="009942AF" w:rsidRDefault="009942AF" w:rsidP="00055335">
      <w:pPr>
        <w:spacing w:line="360" w:lineRule="auto"/>
        <w:ind w:left="567"/>
        <w:jc w:val="both"/>
        <w:rPr>
          <w:rFonts w:ascii="Calibri" w:hAnsi="Calibri" w:cs="Calibri"/>
          <w:sz w:val="22"/>
          <w:szCs w:val="22"/>
        </w:rPr>
      </w:pPr>
      <w:r w:rsidRPr="009942AF">
        <w:rPr>
          <w:rFonts w:ascii="Calibri" w:hAnsi="Calibri" w:cs="Calibri"/>
          <w:sz w:val="22"/>
          <w:szCs w:val="22"/>
        </w:rPr>
        <w:lastRenderedPageBreak/>
        <w:t>It is respectfully submitted that extending rebate of Rs.2 per unit on Energy charges may be permitted but waiver of Demand charges is a discrimination with other consumers and the licensee is heavily affected. So, it requested to kindly create separate category under EHT with demand charges of Rs.250 per kVA and energy charges under graded slab method for Mega lift points connected at HT &amp; EHT level.</w:t>
      </w:r>
    </w:p>
    <w:p w14:paraId="3D2FA766" w14:textId="77777777" w:rsidR="009942AF" w:rsidRPr="009942AF" w:rsidRDefault="009942AF" w:rsidP="00055335">
      <w:pPr>
        <w:spacing w:line="360" w:lineRule="auto"/>
        <w:ind w:left="567"/>
        <w:jc w:val="both"/>
        <w:rPr>
          <w:rFonts w:ascii="Calibri" w:hAnsi="Calibri" w:cs="Calibri"/>
          <w:sz w:val="22"/>
          <w:szCs w:val="22"/>
        </w:rPr>
      </w:pPr>
    </w:p>
    <w:p w14:paraId="6835B923" w14:textId="29A86A0D" w:rsidR="009942AF" w:rsidRPr="009942AF" w:rsidRDefault="00055335" w:rsidP="00055335">
      <w:pPr>
        <w:spacing w:after="200" w:line="360" w:lineRule="auto"/>
        <w:ind w:left="540"/>
        <w:contextualSpacing/>
        <w:rPr>
          <w:rFonts w:ascii="Calibri" w:hAnsi="Calibri" w:cs="Calibri"/>
          <w:b/>
          <w:bCs/>
          <w:kern w:val="32"/>
          <w:sz w:val="22"/>
          <w:szCs w:val="22"/>
        </w:rPr>
      </w:pPr>
      <w:r>
        <w:rPr>
          <w:rFonts w:ascii="Calibri" w:hAnsi="Calibri" w:cs="Calibri"/>
          <w:b/>
          <w:bCs/>
          <w:kern w:val="32"/>
          <w:sz w:val="22"/>
          <w:szCs w:val="22"/>
        </w:rPr>
        <w:t>9.14</w:t>
      </w:r>
      <w:r w:rsidR="009942AF" w:rsidRPr="009942AF">
        <w:rPr>
          <w:rFonts w:ascii="Calibri" w:hAnsi="Calibri" w:cs="Calibri"/>
          <w:b/>
          <w:bCs/>
          <w:kern w:val="32"/>
          <w:sz w:val="22"/>
          <w:szCs w:val="22"/>
        </w:rPr>
        <w:t xml:space="preserve"> Proposal for simplification of fixed charges </w:t>
      </w:r>
      <w:proofErr w:type="spellStart"/>
      <w:r w:rsidR="009942AF" w:rsidRPr="009942AF">
        <w:rPr>
          <w:rFonts w:ascii="Calibri" w:hAnsi="Calibri" w:cs="Calibri"/>
          <w:b/>
          <w:bCs/>
          <w:kern w:val="32"/>
          <w:sz w:val="22"/>
          <w:szCs w:val="22"/>
        </w:rPr>
        <w:t>i.e</w:t>
      </w:r>
      <w:proofErr w:type="spellEnd"/>
      <w:r w:rsidR="009942AF" w:rsidRPr="009942AF">
        <w:rPr>
          <w:rFonts w:ascii="Calibri" w:hAnsi="Calibri" w:cs="Calibri"/>
          <w:b/>
          <w:bCs/>
          <w:kern w:val="32"/>
          <w:sz w:val="22"/>
          <w:szCs w:val="22"/>
        </w:rPr>
        <w:t xml:space="preserve"> MMFC</w:t>
      </w:r>
    </w:p>
    <w:p w14:paraId="700C5FAF" w14:textId="77777777" w:rsidR="009942AF" w:rsidRPr="009942AF" w:rsidRDefault="009942AF" w:rsidP="009942AF">
      <w:pPr>
        <w:spacing w:line="360" w:lineRule="auto"/>
        <w:jc w:val="both"/>
        <w:rPr>
          <w:rFonts w:ascii="Calibri" w:hAnsi="Calibri" w:cs="Calibri"/>
          <w:sz w:val="22"/>
          <w:szCs w:val="22"/>
          <w:lang w:val="en-IN"/>
        </w:rPr>
      </w:pPr>
    </w:p>
    <w:p w14:paraId="25BFB2F6" w14:textId="77777777" w:rsidR="009942AF" w:rsidRPr="009942AF" w:rsidRDefault="009942AF" w:rsidP="00055335">
      <w:pPr>
        <w:spacing w:line="360" w:lineRule="auto"/>
        <w:ind w:left="567"/>
        <w:jc w:val="both"/>
        <w:rPr>
          <w:rFonts w:ascii="Calibri" w:hAnsi="Calibri" w:cs="Calibri"/>
          <w:sz w:val="22"/>
          <w:szCs w:val="22"/>
          <w:lang w:val="en-IN"/>
        </w:rPr>
      </w:pPr>
      <w:r w:rsidRPr="009942AF">
        <w:rPr>
          <w:rFonts w:ascii="Calibri" w:hAnsi="Calibri" w:cs="Calibri"/>
          <w:sz w:val="22"/>
          <w:szCs w:val="22"/>
        </w:rPr>
        <w:t>As per existing RST structure across the state, it is mainly 3 Part like (</w:t>
      </w:r>
      <w:proofErr w:type="spellStart"/>
      <w:r w:rsidRPr="009942AF">
        <w:rPr>
          <w:rFonts w:ascii="Calibri" w:hAnsi="Calibri" w:cs="Calibri"/>
          <w:sz w:val="22"/>
          <w:szCs w:val="22"/>
        </w:rPr>
        <w:t>i</w:t>
      </w:r>
      <w:proofErr w:type="spellEnd"/>
      <w:r w:rsidRPr="009942AF">
        <w:rPr>
          <w:rFonts w:ascii="Calibri" w:hAnsi="Calibri" w:cs="Calibri"/>
          <w:sz w:val="22"/>
          <w:szCs w:val="22"/>
        </w:rPr>
        <w:t>) Energy Charges/unit (ii) (a) Monthly Minimum fixed charges/kW for LT consumer and (b)Demand charges/kW/KVA/Month for HT &amp; EHT consumer and (iii) Customer service charges per month per consumer those who are paying Demand charges. It is not applicable to those who are paying MMFC.</w:t>
      </w:r>
    </w:p>
    <w:p w14:paraId="464160E8" w14:textId="77777777" w:rsidR="009942AF" w:rsidRPr="009942AF" w:rsidRDefault="009942AF" w:rsidP="00055335">
      <w:pPr>
        <w:spacing w:line="360" w:lineRule="auto"/>
        <w:ind w:left="567"/>
        <w:jc w:val="both"/>
        <w:rPr>
          <w:rFonts w:ascii="Calibri" w:hAnsi="Calibri" w:cs="Calibri"/>
          <w:sz w:val="22"/>
          <w:szCs w:val="22"/>
        </w:rPr>
      </w:pPr>
    </w:p>
    <w:p w14:paraId="552F8071" w14:textId="77777777" w:rsidR="009942AF" w:rsidRPr="009942AF" w:rsidRDefault="009942AF" w:rsidP="00055335">
      <w:pPr>
        <w:spacing w:line="360" w:lineRule="auto"/>
        <w:ind w:left="567"/>
        <w:jc w:val="both"/>
        <w:rPr>
          <w:rFonts w:ascii="Calibri" w:hAnsi="Calibri" w:cs="Calibri"/>
          <w:sz w:val="22"/>
          <w:szCs w:val="22"/>
          <w:lang w:val="en-IN"/>
        </w:rPr>
      </w:pPr>
      <w:r w:rsidRPr="009942AF">
        <w:rPr>
          <w:rFonts w:ascii="Calibri" w:hAnsi="Calibri" w:cs="Calibri"/>
          <w:sz w:val="22"/>
          <w:szCs w:val="22"/>
        </w:rPr>
        <w:t xml:space="preserve">Further, monthly minimum fixed charges in LT category for irrigation pumping and agriculture, allied agriculture activities, allied </w:t>
      </w:r>
      <w:proofErr w:type="spellStart"/>
      <w:r w:rsidRPr="009942AF">
        <w:rPr>
          <w:rFonts w:ascii="Calibri" w:hAnsi="Calibri" w:cs="Calibri"/>
          <w:sz w:val="22"/>
          <w:szCs w:val="22"/>
        </w:rPr>
        <w:t>Agro</w:t>
      </w:r>
      <w:proofErr w:type="spellEnd"/>
      <w:r w:rsidRPr="009942AF">
        <w:rPr>
          <w:rFonts w:ascii="Calibri" w:hAnsi="Calibri" w:cs="Calibri"/>
          <w:sz w:val="22"/>
          <w:szCs w:val="22"/>
        </w:rPr>
        <w:t xml:space="preserve"> industrial activities, public lighting, LT industrial [Small] &amp; LT industrial [Medium] is charged on different rates i.e. for 1</w:t>
      </w:r>
      <w:r w:rsidRPr="009942AF">
        <w:rPr>
          <w:rFonts w:ascii="Calibri" w:hAnsi="Calibri" w:cs="Calibri"/>
          <w:sz w:val="22"/>
          <w:szCs w:val="22"/>
          <w:vertAlign w:val="superscript"/>
        </w:rPr>
        <w:t>st</w:t>
      </w:r>
      <w:r w:rsidRPr="009942AF">
        <w:rPr>
          <w:rFonts w:ascii="Calibri" w:hAnsi="Calibri" w:cs="Calibri"/>
          <w:sz w:val="22"/>
          <w:szCs w:val="22"/>
        </w:rPr>
        <w:t xml:space="preserve"> kW @ Rs. 20-100 and subsequent additional kW/KVA or part thereof @ Rs. 10-80 depending upon the category of consumer. This seems to be complex design of levying fixed charges and needs simplification.</w:t>
      </w:r>
    </w:p>
    <w:p w14:paraId="1A5F58ED" w14:textId="77777777" w:rsidR="009942AF" w:rsidRPr="009942AF" w:rsidRDefault="009942AF" w:rsidP="00055335">
      <w:pPr>
        <w:spacing w:line="360" w:lineRule="auto"/>
        <w:ind w:left="567"/>
        <w:jc w:val="both"/>
        <w:rPr>
          <w:rFonts w:ascii="Calibri" w:hAnsi="Calibri" w:cs="Calibri"/>
          <w:sz w:val="22"/>
          <w:szCs w:val="22"/>
        </w:rPr>
      </w:pPr>
    </w:p>
    <w:p w14:paraId="56E348D3" w14:textId="77777777" w:rsidR="009942AF" w:rsidRPr="009942AF" w:rsidRDefault="009942AF" w:rsidP="00055335">
      <w:pPr>
        <w:spacing w:line="360" w:lineRule="auto"/>
        <w:ind w:left="567"/>
        <w:jc w:val="both"/>
        <w:rPr>
          <w:rFonts w:ascii="Calibri" w:hAnsi="Calibri" w:cs="Calibri"/>
          <w:sz w:val="22"/>
          <w:szCs w:val="22"/>
          <w:lang w:val="en-IN"/>
        </w:rPr>
      </w:pPr>
      <w:r w:rsidRPr="009942AF">
        <w:rPr>
          <w:rFonts w:ascii="Calibri" w:hAnsi="Calibri" w:cs="Calibri"/>
          <w:sz w:val="22"/>
          <w:szCs w:val="22"/>
        </w:rPr>
        <w:t xml:space="preserve">On overall basis, Odisha DISCOMs are recovering approximately 10% of their total revenue excluding rebate and electricity duty through demand charges/monthly minimum fixed charges. Whereas in other states these percentiles </w:t>
      </w:r>
      <w:proofErr w:type="gramStart"/>
      <w:r w:rsidRPr="009942AF">
        <w:rPr>
          <w:rFonts w:ascii="Calibri" w:hAnsi="Calibri" w:cs="Calibri"/>
          <w:sz w:val="22"/>
          <w:szCs w:val="22"/>
        </w:rPr>
        <w:t>is</w:t>
      </w:r>
      <w:proofErr w:type="gramEnd"/>
      <w:r w:rsidRPr="009942AF">
        <w:rPr>
          <w:rFonts w:ascii="Calibri" w:hAnsi="Calibri" w:cs="Calibri"/>
          <w:sz w:val="22"/>
          <w:szCs w:val="22"/>
        </w:rPr>
        <w:t xml:space="preserve"> between 15-20%. </w:t>
      </w:r>
    </w:p>
    <w:p w14:paraId="686DA07D" w14:textId="77777777" w:rsidR="009942AF" w:rsidRPr="009942AF" w:rsidRDefault="009942AF" w:rsidP="00055335">
      <w:pPr>
        <w:spacing w:line="360" w:lineRule="auto"/>
        <w:ind w:left="567"/>
        <w:jc w:val="both"/>
        <w:rPr>
          <w:rFonts w:ascii="Calibri" w:hAnsi="Calibri" w:cs="Calibri"/>
          <w:sz w:val="22"/>
          <w:szCs w:val="22"/>
        </w:rPr>
      </w:pPr>
    </w:p>
    <w:p w14:paraId="50B2D372" w14:textId="77777777" w:rsidR="009942AF" w:rsidRPr="009942AF" w:rsidRDefault="009942AF" w:rsidP="00055335">
      <w:pPr>
        <w:spacing w:line="360" w:lineRule="auto"/>
        <w:ind w:left="567"/>
        <w:jc w:val="both"/>
        <w:rPr>
          <w:rFonts w:ascii="Calibri" w:hAnsi="Calibri" w:cs="Calibri"/>
          <w:sz w:val="22"/>
          <w:szCs w:val="22"/>
          <w:lang w:val="en-IN"/>
        </w:rPr>
      </w:pPr>
      <w:r w:rsidRPr="009942AF">
        <w:rPr>
          <w:rFonts w:ascii="Calibri" w:hAnsi="Calibri" w:cs="Calibri"/>
          <w:sz w:val="22"/>
          <w:szCs w:val="22"/>
        </w:rPr>
        <w:t xml:space="preserve">It is pertinent to mention here that the entire operating cost of DISCOMs such as R&amp;M, A&amp;G, Employee cost, depreciation, financing cost, ROE </w:t>
      </w:r>
      <w:proofErr w:type="gramStart"/>
      <w:r w:rsidRPr="009942AF">
        <w:rPr>
          <w:rFonts w:ascii="Calibri" w:hAnsi="Calibri" w:cs="Calibri"/>
          <w:sz w:val="22"/>
          <w:szCs w:val="22"/>
        </w:rPr>
        <w:t>are</w:t>
      </w:r>
      <w:proofErr w:type="gramEnd"/>
      <w:r w:rsidRPr="009942AF">
        <w:rPr>
          <w:rFonts w:ascii="Calibri" w:hAnsi="Calibri" w:cs="Calibri"/>
          <w:sz w:val="22"/>
          <w:szCs w:val="22"/>
        </w:rPr>
        <w:t xml:space="preserve"> fixed almost fixed in </w:t>
      </w:r>
      <w:proofErr w:type="spellStart"/>
      <w:r w:rsidRPr="009942AF">
        <w:rPr>
          <w:rFonts w:ascii="Calibri" w:hAnsi="Calibri" w:cs="Calibri"/>
          <w:sz w:val="22"/>
          <w:szCs w:val="22"/>
        </w:rPr>
        <w:t>naturet</w:t>
      </w:r>
      <w:proofErr w:type="spellEnd"/>
      <w:r w:rsidRPr="009942AF">
        <w:rPr>
          <w:rFonts w:ascii="Calibri" w:hAnsi="Calibri" w:cs="Calibri"/>
          <w:sz w:val="22"/>
          <w:szCs w:val="22"/>
        </w:rPr>
        <w:t>. In ideal scenario, fixed cost of distribution company should be generally recovered through demand charges/monthly minimum fixed charges levied based on sanctioned load/contract demand or maximum demand of the consumer whichever is higher. Whereas in the current tariff structure the DISCOMs are recovering hardly within 10-15% of their total fixed cost through fixed charges.</w:t>
      </w:r>
    </w:p>
    <w:p w14:paraId="776695CD" w14:textId="77777777" w:rsidR="009942AF" w:rsidRPr="009942AF" w:rsidRDefault="009942AF" w:rsidP="00055335">
      <w:pPr>
        <w:spacing w:line="360" w:lineRule="auto"/>
        <w:ind w:left="567"/>
        <w:jc w:val="both"/>
        <w:rPr>
          <w:rFonts w:ascii="Calibri" w:hAnsi="Calibri" w:cs="Calibri"/>
          <w:sz w:val="22"/>
          <w:szCs w:val="22"/>
        </w:rPr>
      </w:pPr>
    </w:p>
    <w:p w14:paraId="358DCE10" w14:textId="77777777" w:rsidR="009942AF" w:rsidRPr="009942AF" w:rsidRDefault="009942AF" w:rsidP="00055335">
      <w:pPr>
        <w:spacing w:line="360" w:lineRule="auto"/>
        <w:ind w:left="567"/>
        <w:jc w:val="both"/>
        <w:rPr>
          <w:rFonts w:ascii="Calibri" w:hAnsi="Calibri" w:cs="Calibri"/>
          <w:sz w:val="22"/>
          <w:szCs w:val="22"/>
        </w:rPr>
      </w:pPr>
      <w:r w:rsidRPr="009942AF">
        <w:rPr>
          <w:rFonts w:ascii="Calibri" w:hAnsi="Calibri" w:cs="Calibri"/>
          <w:sz w:val="22"/>
          <w:szCs w:val="22"/>
        </w:rPr>
        <w:t>This design of tariff is leading to loading of all incremental costs on energy-related components of consumers and has increased the risk of any change in the sales mix.</w:t>
      </w:r>
    </w:p>
    <w:p w14:paraId="1C270791" w14:textId="77777777" w:rsidR="009942AF" w:rsidRPr="009942AF" w:rsidRDefault="009942AF" w:rsidP="00055335">
      <w:pPr>
        <w:spacing w:line="360" w:lineRule="auto"/>
        <w:ind w:left="567"/>
        <w:jc w:val="both"/>
        <w:rPr>
          <w:rFonts w:ascii="Calibri" w:hAnsi="Calibri" w:cs="Calibri"/>
          <w:sz w:val="22"/>
          <w:szCs w:val="22"/>
        </w:rPr>
      </w:pPr>
    </w:p>
    <w:p w14:paraId="205A11A8" w14:textId="77777777" w:rsidR="009942AF" w:rsidRPr="009942AF" w:rsidRDefault="009942AF" w:rsidP="00055335">
      <w:pPr>
        <w:spacing w:line="360" w:lineRule="auto"/>
        <w:ind w:left="567"/>
        <w:jc w:val="both"/>
        <w:rPr>
          <w:rFonts w:ascii="Calibri" w:hAnsi="Calibri" w:cs="Calibri"/>
          <w:sz w:val="22"/>
          <w:szCs w:val="22"/>
        </w:rPr>
      </w:pPr>
      <w:r w:rsidRPr="009942AF">
        <w:rPr>
          <w:rFonts w:ascii="Calibri" w:hAnsi="Calibri" w:cs="Calibri"/>
          <w:sz w:val="22"/>
          <w:szCs w:val="22"/>
        </w:rPr>
        <w:t xml:space="preserve">In view of above, Hon’ble Commission is requested to consider a simplification of current design for levying monthly fixed charges and rationalize the rates appropriately so that risk of change in sales </w:t>
      </w:r>
      <w:r w:rsidRPr="009942AF">
        <w:rPr>
          <w:rFonts w:ascii="Calibri" w:hAnsi="Calibri" w:cs="Calibri"/>
          <w:sz w:val="22"/>
          <w:szCs w:val="22"/>
        </w:rPr>
        <w:lastRenderedPageBreak/>
        <w:t xml:space="preserve">mix is addressed to the extent possible. Rationalization of demand charges and monthly minimum fixed </w:t>
      </w:r>
    </w:p>
    <w:p w14:paraId="3A64148D" w14:textId="77777777" w:rsidR="009942AF" w:rsidRPr="009942AF" w:rsidRDefault="009942AF" w:rsidP="00055335">
      <w:pPr>
        <w:spacing w:line="360" w:lineRule="auto"/>
        <w:ind w:left="567"/>
        <w:jc w:val="both"/>
        <w:rPr>
          <w:rFonts w:ascii="Calibri" w:hAnsi="Calibri" w:cs="Calibri"/>
          <w:sz w:val="22"/>
          <w:szCs w:val="22"/>
        </w:rPr>
      </w:pPr>
    </w:p>
    <w:p w14:paraId="2C7539BE" w14:textId="77777777" w:rsidR="009942AF" w:rsidRPr="009942AF" w:rsidRDefault="009942AF" w:rsidP="00055335">
      <w:pPr>
        <w:spacing w:line="360" w:lineRule="auto"/>
        <w:ind w:left="567"/>
        <w:jc w:val="both"/>
        <w:rPr>
          <w:rFonts w:ascii="Calibri" w:hAnsi="Calibri" w:cs="Calibri"/>
          <w:sz w:val="22"/>
          <w:szCs w:val="22"/>
          <w:lang w:val="en-IN"/>
        </w:rPr>
      </w:pPr>
      <w:r w:rsidRPr="009942AF">
        <w:rPr>
          <w:rFonts w:ascii="Calibri" w:hAnsi="Calibri" w:cs="Calibri"/>
          <w:sz w:val="22"/>
          <w:szCs w:val="22"/>
        </w:rPr>
        <w:t>charges would also disincentives consumers who found indulging in theft of electricity at the cost of regular paying consumers.</w:t>
      </w:r>
    </w:p>
    <w:p w14:paraId="283503AB" w14:textId="272CFA24" w:rsidR="009942AF" w:rsidRPr="00055335" w:rsidRDefault="00055335" w:rsidP="009942AF">
      <w:pPr>
        <w:keepNext/>
        <w:spacing w:before="240" w:after="60" w:line="360" w:lineRule="auto"/>
        <w:jc w:val="both"/>
        <w:outlineLvl w:val="0"/>
        <w:rPr>
          <w:rFonts w:ascii="Calibri" w:hAnsi="Calibri" w:cs="Calibri"/>
          <w:b/>
          <w:bCs/>
          <w:kern w:val="32"/>
          <w:sz w:val="22"/>
          <w:szCs w:val="22"/>
          <w:u w:val="single"/>
        </w:rPr>
      </w:pPr>
      <w:bookmarkStart w:id="41" w:name="_Toc152180146"/>
      <w:r>
        <w:rPr>
          <w:rFonts w:ascii="Calibri" w:hAnsi="Calibri" w:cs="Calibri"/>
          <w:b/>
          <w:bCs/>
          <w:kern w:val="32"/>
          <w:sz w:val="22"/>
          <w:szCs w:val="22"/>
        </w:rPr>
        <w:t xml:space="preserve">          </w:t>
      </w:r>
      <w:r w:rsidR="009942AF" w:rsidRPr="00055335">
        <w:rPr>
          <w:rFonts w:ascii="Calibri" w:hAnsi="Calibri" w:cs="Calibri"/>
          <w:b/>
          <w:bCs/>
          <w:kern w:val="32"/>
          <w:sz w:val="22"/>
          <w:szCs w:val="22"/>
          <w:u w:val="single"/>
        </w:rPr>
        <w:t xml:space="preserve">Other </w:t>
      </w:r>
      <w:proofErr w:type="gramStart"/>
      <w:r w:rsidR="009942AF" w:rsidRPr="00055335">
        <w:rPr>
          <w:rFonts w:ascii="Calibri" w:hAnsi="Calibri" w:cs="Calibri"/>
          <w:b/>
          <w:bCs/>
          <w:kern w:val="32"/>
          <w:sz w:val="22"/>
          <w:szCs w:val="22"/>
          <w:u w:val="single"/>
        </w:rPr>
        <w:t>Proposals</w:t>
      </w:r>
      <w:bookmarkEnd w:id="41"/>
      <w:r w:rsidR="009942AF" w:rsidRPr="00055335">
        <w:rPr>
          <w:rFonts w:ascii="Calibri" w:hAnsi="Calibri" w:cs="Calibri"/>
          <w:b/>
          <w:bCs/>
          <w:kern w:val="32"/>
          <w:sz w:val="22"/>
          <w:szCs w:val="22"/>
          <w:u w:val="single"/>
        </w:rPr>
        <w:t xml:space="preserve"> </w:t>
      </w:r>
      <w:r>
        <w:rPr>
          <w:rFonts w:ascii="Calibri" w:hAnsi="Calibri" w:cs="Calibri"/>
          <w:b/>
          <w:bCs/>
          <w:kern w:val="32"/>
          <w:sz w:val="22"/>
          <w:szCs w:val="22"/>
          <w:u w:val="single"/>
        </w:rPr>
        <w:t>:</w:t>
      </w:r>
      <w:proofErr w:type="gramEnd"/>
    </w:p>
    <w:p w14:paraId="14DA8234" w14:textId="77777777" w:rsidR="009942AF" w:rsidRPr="009942AF" w:rsidRDefault="009942AF" w:rsidP="009942AF">
      <w:pPr>
        <w:spacing w:line="360" w:lineRule="auto"/>
        <w:jc w:val="both"/>
        <w:rPr>
          <w:rFonts w:ascii="Calibri" w:hAnsi="Calibri" w:cs="Calibri"/>
          <w:sz w:val="22"/>
          <w:szCs w:val="22"/>
        </w:rPr>
      </w:pPr>
    </w:p>
    <w:p w14:paraId="1DC1B885" w14:textId="4BD2AFE6" w:rsidR="009942AF" w:rsidRPr="009942AF" w:rsidRDefault="00055335" w:rsidP="00055335">
      <w:pPr>
        <w:spacing w:after="200" w:line="360" w:lineRule="auto"/>
        <w:ind w:left="540"/>
        <w:contextualSpacing/>
        <w:rPr>
          <w:rFonts w:ascii="Calibri" w:hAnsi="Calibri" w:cs="Calibri"/>
          <w:b/>
          <w:bCs/>
          <w:kern w:val="32"/>
          <w:sz w:val="22"/>
          <w:szCs w:val="22"/>
        </w:rPr>
      </w:pPr>
      <w:r>
        <w:rPr>
          <w:rFonts w:ascii="Calibri" w:hAnsi="Calibri" w:cs="Calibri"/>
          <w:b/>
          <w:bCs/>
          <w:kern w:val="32"/>
          <w:sz w:val="22"/>
          <w:szCs w:val="22"/>
        </w:rPr>
        <w:t>9.15</w:t>
      </w:r>
      <w:r w:rsidR="009942AF" w:rsidRPr="009942AF">
        <w:rPr>
          <w:rFonts w:ascii="Calibri" w:hAnsi="Calibri" w:cs="Calibri"/>
          <w:b/>
          <w:bCs/>
          <w:kern w:val="32"/>
          <w:sz w:val="22"/>
          <w:szCs w:val="22"/>
        </w:rPr>
        <w:t xml:space="preserve"> Uniform Tariff for a specific category of Consumer as per load instead of Voltage of Supply: </w:t>
      </w:r>
    </w:p>
    <w:p w14:paraId="2BD07F90" w14:textId="77777777" w:rsidR="009942AF" w:rsidRPr="009942AF" w:rsidRDefault="009942AF" w:rsidP="00055335">
      <w:pPr>
        <w:spacing w:line="360" w:lineRule="auto"/>
        <w:ind w:left="567"/>
        <w:jc w:val="both"/>
        <w:rPr>
          <w:rFonts w:ascii="Calibri" w:hAnsi="Calibri" w:cs="Calibri"/>
          <w:sz w:val="22"/>
          <w:szCs w:val="22"/>
        </w:rPr>
      </w:pPr>
      <w:r w:rsidRPr="009942AF">
        <w:rPr>
          <w:rFonts w:ascii="Calibri" w:hAnsi="Calibri" w:cs="Calibri"/>
          <w:sz w:val="22"/>
          <w:szCs w:val="22"/>
        </w:rPr>
        <w:t>Presently few of the consumer are covered under LT &amp; HT for Tariff purposes considering their Voltage of Supply, which creates many confusions and disparity. They are as follows:</w:t>
      </w:r>
    </w:p>
    <w:tbl>
      <w:tblPr>
        <w:tblStyle w:val="TableGrid6"/>
        <w:tblpPr w:leftFromText="180" w:rightFromText="180" w:vertAnchor="text" w:horzAnchor="page" w:tblpXSpec="center" w:tblpY="411"/>
        <w:tblW w:w="9493" w:type="dxa"/>
        <w:tblLook w:val="04A0" w:firstRow="1" w:lastRow="0" w:firstColumn="1" w:lastColumn="0" w:noHBand="0" w:noVBand="1"/>
      </w:tblPr>
      <w:tblGrid>
        <w:gridCol w:w="3114"/>
        <w:gridCol w:w="2410"/>
        <w:gridCol w:w="3969"/>
      </w:tblGrid>
      <w:tr w:rsidR="009942AF" w:rsidRPr="00055335" w14:paraId="6BCEF194" w14:textId="77777777" w:rsidTr="009942AF">
        <w:tc>
          <w:tcPr>
            <w:tcW w:w="3114" w:type="dxa"/>
          </w:tcPr>
          <w:p w14:paraId="78BA8875" w14:textId="77777777" w:rsidR="009942AF" w:rsidRPr="00055335" w:rsidRDefault="009942AF" w:rsidP="009942AF">
            <w:pPr>
              <w:spacing w:line="360" w:lineRule="auto"/>
              <w:ind w:left="34"/>
              <w:jc w:val="both"/>
              <w:rPr>
                <w:rFonts w:asciiTheme="minorHAnsi" w:hAnsiTheme="minorHAnsi" w:cstheme="minorHAnsi"/>
                <w:b/>
                <w:bCs/>
                <w:sz w:val="22"/>
                <w:szCs w:val="22"/>
                <w:lang w:eastAsia="en-IN"/>
              </w:rPr>
            </w:pPr>
            <w:r w:rsidRPr="00055335">
              <w:rPr>
                <w:rFonts w:asciiTheme="minorHAnsi" w:hAnsiTheme="minorHAnsi" w:cstheme="minorHAnsi"/>
                <w:b/>
                <w:bCs/>
                <w:sz w:val="22"/>
                <w:szCs w:val="22"/>
                <w:lang w:eastAsia="en-IN"/>
              </w:rPr>
              <w:t>Category of Consumer</w:t>
            </w:r>
          </w:p>
        </w:tc>
        <w:tc>
          <w:tcPr>
            <w:tcW w:w="2410" w:type="dxa"/>
          </w:tcPr>
          <w:p w14:paraId="2711E5D8" w14:textId="77777777" w:rsidR="009942AF" w:rsidRPr="00055335" w:rsidRDefault="009942AF" w:rsidP="009942AF">
            <w:pPr>
              <w:spacing w:line="360" w:lineRule="auto"/>
              <w:jc w:val="both"/>
              <w:rPr>
                <w:rFonts w:asciiTheme="minorHAnsi" w:hAnsiTheme="minorHAnsi" w:cstheme="minorHAnsi"/>
                <w:b/>
                <w:bCs/>
                <w:sz w:val="22"/>
                <w:szCs w:val="22"/>
                <w:lang w:eastAsia="en-IN"/>
              </w:rPr>
            </w:pPr>
            <w:r w:rsidRPr="00055335">
              <w:rPr>
                <w:rFonts w:asciiTheme="minorHAnsi" w:hAnsiTheme="minorHAnsi" w:cstheme="minorHAnsi"/>
                <w:b/>
                <w:bCs/>
                <w:sz w:val="22"/>
                <w:szCs w:val="22"/>
                <w:lang w:eastAsia="en-IN"/>
              </w:rPr>
              <w:t>Voltage of Supply (LT)</w:t>
            </w:r>
          </w:p>
        </w:tc>
        <w:tc>
          <w:tcPr>
            <w:tcW w:w="3969" w:type="dxa"/>
          </w:tcPr>
          <w:p w14:paraId="74AB5453" w14:textId="77777777" w:rsidR="009942AF" w:rsidRPr="00055335" w:rsidRDefault="009942AF" w:rsidP="009942AF">
            <w:pPr>
              <w:spacing w:line="360" w:lineRule="auto"/>
              <w:jc w:val="both"/>
              <w:rPr>
                <w:rFonts w:asciiTheme="minorHAnsi" w:hAnsiTheme="minorHAnsi" w:cstheme="minorHAnsi"/>
                <w:b/>
                <w:bCs/>
                <w:sz w:val="22"/>
                <w:szCs w:val="22"/>
                <w:lang w:eastAsia="en-IN"/>
              </w:rPr>
            </w:pPr>
            <w:r w:rsidRPr="00055335">
              <w:rPr>
                <w:rFonts w:asciiTheme="minorHAnsi" w:hAnsiTheme="minorHAnsi" w:cstheme="minorHAnsi"/>
                <w:b/>
                <w:bCs/>
                <w:sz w:val="22"/>
                <w:szCs w:val="22"/>
                <w:lang w:eastAsia="en-IN"/>
              </w:rPr>
              <w:t>Voltage of Supply (HT)</w:t>
            </w:r>
          </w:p>
        </w:tc>
      </w:tr>
      <w:tr w:rsidR="009942AF" w:rsidRPr="00055335" w14:paraId="291D3395" w14:textId="77777777" w:rsidTr="009942AF">
        <w:tc>
          <w:tcPr>
            <w:tcW w:w="3114" w:type="dxa"/>
          </w:tcPr>
          <w:p w14:paraId="7D16BDA9" w14:textId="77777777" w:rsidR="009942AF" w:rsidRPr="00055335" w:rsidRDefault="009942AF" w:rsidP="009942AF">
            <w:pPr>
              <w:spacing w:line="360" w:lineRule="auto"/>
              <w:jc w:val="both"/>
              <w:rPr>
                <w:rFonts w:asciiTheme="minorHAnsi" w:hAnsiTheme="minorHAnsi" w:cstheme="minorHAnsi"/>
                <w:sz w:val="22"/>
                <w:szCs w:val="22"/>
                <w:lang w:eastAsia="en-IN"/>
              </w:rPr>
            </w:pPr>
            <w:r w:rsidRPr="00055335">
              <w:rPr>
                <w:rFonts w:asciiTheme="minorHAnsi" w:hAnsiTheme="minorHAnsi" w:cstheme="minorHAnsi"/>
                <w:sz w:val="22"/>
                <w:szCs w:val="22"/>
                <w:lang w:val="en-IN" w:eastAsia="en-IN"/>
              </w:rPr>
              <w:t>General Purpose &gt;= 110 kVA</w:t>
            </w:r>
          </w:p>
        </w:tc>
        <w:tc>
          <w:tcPr>
            <w:tcW w:w="2410" w:type="dxa"/>
          </w:tcPr>
          <w:p w14:paraId="6C77092F" w14:textId="77777777" w:rsidR="009942AF" w:rsidRPr="00055335" w:rsidRDefault="009942AF" w:rsidP="009942AF">
            <w:pPr>
              <w:spacing w:line="360" w:lineRule="auto"/>
              <w:jc w:val="both"/>
              <w:rPr>
                <w:rFonts w:asciiTheme="minorHAnsi" w:hAnsiTheme="minorHAnsi" w:cstheme="minorHAnsi"/>
                <w:sz w:val="22"/>
                <w:szCs w:val="22"/>
                <w:lang w:eastAsia="en-IN"/>
              </w:rPr>
            </w:pPr>
            <w:r w:rsidRPr="00055335">
              <w:rPr>
                <w:rFonts w:asciiTheme="minorHAnsi" w:hAnsiTheme="minorHAnsi" w:cstheme="minorHAnsi"/>
                <w:sz w:val="22"/>
                <w:szCs w:val="22"/>
                <w:lang w:eastAsia="en-IN"/>
              </w:rPr>
              <w:t>Energy Charges Rs.6.20 p/u, Demand Charges Rs.200/kW &amp; Customer Service Charges Rs.30/month</w:t>
            </w:r>
          </w:p>
        </w:tc>
        <w:tc>
          <w:tcPr>
            <w:tcW w:w="3969" w:type="dxa"/>
          </w:tcPr>
          <w:p w14:paraId="2DA8359A" w14:textId="77777777" w:rsidR="009942AF" w:rsidRPr="00055335" w:rsidRDefault="009942AF" w:rsidP="009942AF">
            <w:pPr>
              <w:spacing w:line="360" w:lineRule="auto"/>
              <w:jc w:val="both"/>
              <w:rPr>
                <w:rFonts w:asciiTheme="minorHAnsi" w:hAnsiTheme="minorHAnsi" w:cstheme="minorHAnsi"/>
                <w:sz w:val="22"/>
                <w:szCs w:val="22"/>
                <w:lang w:eastAsia="en-IN"/>
              </w:rPr>
            </w:pPr>
            <w:r w:rsidRPr="00055335">
              <w:rPr>
                <w:rFonts w:asciiTheme="minorHAnsi" w:hAnsiTheme="minorHAnsi" w:cstheme="minorHAnsi"/>
                <w:sz w:val="22"/>
                <w:szCs w:val="22"/>
                <w:lang w:eastAsia="en-IN"/>
              </w:rPr>
              <w:t>EC of Rs.5.85 p/u (up to 60% LF and Rs.4.85 p/u for &gt;60% LF consumption), DC Rs.250/kVA &amp; CS Charges Rs.250/month</w:t>
            </w:r>
          </w:p>
        </w:tc>
      </w:tr>
      <w:tr w:rsidR="009942AF" w:rsidRPr="00055335" w14:paraId="2CD0376A" w14:textId="77777777" w:rsidTr="009942AF">
        <w:tc>
          <w:tcPr>
            <w:tcW w:w="3114" w:type="dxa"/>
          </w:tcPr>
          <w:p w14:paraId="60509E6A" w14:textId="77777777" w:rsidR="009942AF" w:rsidRPr="00055335" w:rsidRDefault="009942AF" w:rsidP="009942AF">
            <w:pPr>
              <w:spacing w:line="360" w:lineRule="auto"/>
              <w:jc w:val="both"/>
              <w:rPr>
                <w:rFonts w:asciiTheme="minorHAnsi" w:hAnsiTheme="minorHAnsi" w:cstheme="minorHAnsi"/>
                <w:sz w:val="22"/>
                <w:szCs w:val="22"/>
                <w:lang w:eastAsia="en-IN"/>
              </w:rPr>
            </w:pPr>
            <w:r w:rsidRPr="00055335">
              <w:rPr>
                <w:rFonts w:asciiTheme="minorHAnsi" w:hAnsiTheme="minorHAnsi" w:cstheme="minorHAnsi"/>
                <w:sz w:val="22"/>
                <w:szCs w:val="22"/>
                <w:lang w:val="en-IN" w:eastAsia="en-IN"/>
              </w:rPr>
              <w:t>General Purpose&gt;70 kVA &lt;= 110 kVA</w:t>
            </w:r>
          </w:p>
        </w:tc>
        <w:tc>
          <w:tcPr>
            <w:tcW w:w="2410" w:type="dxa"/>
          </w:tcPr>
          <w:p w14:paraId="0FDA26B2" w14:textId="77777777" w:rsidR="009942AF" w:rsidRPr="00055335" w:rsidRDefault="009942AF" w:rsidP="009942AF">
            <w:pPr>
              <w:spacing w:line="360" w:lineRule="auto"/>
              <w:jc w:val="both"/>
              <w:rPr>
                <w:rFonts w:asciiTheme="minorHAnsi" w:hAnsiTheme="minorHAnsi" w:cstheme="minorHAnsi"/>
                <w:sz w:val="22"/>
                <w:szCs w:val="22"/>
                <w:lang w:eastAsia="en-IN"/>
              </w:rPr>
            </w:pPr>
            <w:r w:rsidRPr="00055335">
              <w:rPr>
                <w:rFonts w:asciiTheme="minorHAnsi" w:hAnsiTheme="minorHAnsi" w:cstheme="minorHAnsi"/>
                <w:sz w:val="22"/>
                <w:szCs w:val="22"/>
                <w:lang w:eastAsia="en-IN"/>
              </w:rPr>
              <w:t xml:space="preserve"> No such Tariff Category</w:t>
            </w:r>
          </w:p>
        </w:tc>
        <w:tc>
          <w:tcPr>
            <w:tcW w:w="3969" w:type="dxa"/>
          </w:tcPr>
          <w:p w14:paraId="3F0B3A81" w14:textId="77777777" w:rsidR="009942AF" w:rsidRPr="00055335" w:rsidRDefault="009942AF" w:rsidP="009942AF">
            <w:pPr>
              <w:spacing w:line="360" w:lineRule="auto"/>
              <w:jc w:val="center"/>
              <w:rPr>
                <w:rFonts w:asciiTheme="minorHAnsi" w:hAnsiTheme="minorHAnsi" w:cstheme="minorHAnsi"/>
                <w:sz w:val="22"/>
                <w:szCs w:val="22"/>
                <w:lang w:eastAsia="en-IN"/>
              </w:rPr>
            </w:pPr>
            <w:r w:rsidRPr="00055335">
              <w:rPr>
                <w:rFonts w:asciiTheme="minorHAnsi" w:hAnsiTheme="minorHAnsi" w:cstheme="minorHAnsi"/>
                <w:sz w:val="22"/>
                <w:szCs w:val="22"/>
                <w:lang w:eastAsia="en-IN"/>
              </w:rPr>
              <w:t>-do-</w:t>
            </w:r>
          </w:p>
        </w:tc>
      </w:tr>
      <w:tr w:rsidR="009942AF" w:rsidRPr="00055335" w14:paraId="1AF93BE6" w14:textId="77777777" w:rsidTr="009942AF">
        <w:tc>
          <w:tcPr>
            <w:tcW w:w="3114" w:type="dxa"/>
          </w:tcPr>
          <w:p w14:paraId="4AEA9B19" w14:textId="77777777" w:rsidR="009942AF" w:rsidRPr="00055335" w:rsidRDefault="009942AF" w:rsidP="009942AF">
            <w:pPr>
              <w:spacing w:line="360" w:lineRule="auto"/>
              <w:jc w:val="both"/>
              <w:rPr>
                <w:rFonts w:asciiTheme="minorHAnsi" w:hAnsiTheme="minorHAnsi" w:cstheme="minorHAnsi"/>
                <w:sz w:val="22"/>
                <w:szCs w:val="22"/>
                <w:lang w:val="en-IN" w:eastAsia="en-IN"/>
              </w:rPr>
            </w:pPr>
            <w:r w:rsidRPr="00055335">
              <w:rPr>
                <w:rFonts w:asciiTheme="minorHAnsi" w:hAnsiTheme="minorHAnsi" w:cstheme="minorHAnsi"/>
                <w:sz w:val="22"/>
                <w:szCs w:val="22"/>
                <w:lang w:val="en-IN" w:eastAsia="en-IN"/>
              </w:rPr>
              <w:t>Irrigation Pumping and Agriculture</w:t>
            </w:r>
          </w:p>
        </w:tc>
        <w:tc>
          <w:tcPr>
            <w:tcW w:w="2410" w:type="dxa"/>
          </w:tcPr>
          <w:p w14:paraId="254CF3C3" w14:textId="77777777" w:rsidR="009942AF" w:rsidRPr="00055335" w:rsidRDefault="009942AF" w:rsidP="009942AF">
            <w:pPr>
              <w:spacing w:line="360" w:lineRule="auto"/>
              <w:jc w:val="both"/>
              <w:rPr>
                <w:rFonts w:asciiTheme="minorHAnsi" w:hAnsiTheme="minorHAnsi" w:cstheme="minorHAnsi"/>
                <w:sz w:val="22"/>
                <w:szCs w:val="22"/>
                <w:lang w:eastAsia="en-IN"/>
              </w:rPr>
            </w:pPr>
            <w:r w:rsidRPr="00055335">
              <w:rPr>
                <w:rFonts w:asciiTheme="minorHAnsi" w:hAnsiTheme="minorHAnsi" w:cstheme="minorHAnsi"/>
                <w:sz w:val="22"/>
                <w:szCs w:val="22"/>
                <w:lang w:eastAsia="en-IN"/>
              </w:rPr>
              <w:t>Rs.1.50 p/u for EC and Rs.20 p/m MMFC</w:t>
            </w:r>
          </w:p>
        </w:tc>
        <w:tc>
          <w:tcPr>
            <w:tcW w:w="3969" w:type="dxa"/>
          </w:tcPr>
          <w:p w14:paraId="143045FA" w14:textId="77777777" w:rsidR="009942AF" w:rsidRPr="00055335" w:rsidRDefault="009942AF" w:rsidP="009942AF">
            <w:pPr>
              <w:spacing w:line="360" w:lineRule="auto"/>
              <w:jc w:val="both"/>
              <w:rPr>
                <w:rFonts w:asciiTheme="minorHAnsi" w:hAnsiTheme="minorHAnsi" w:cstheme="minorHAnsi"/>
                <w:sz w:val="22"/>
                <w:szCs w:val="22"/>
                <w:lang w:eastAsia="en-IN"/>
              </w:rPr>
            </w:pPr>
            <w:r w:rsidRPr="00055335">
              <w:rPr>
                <w:rFonts w:asciiTheme="minorHAnsi" w:hAnsiTheme="minorHAnsi" w:cstheme="minorHAnsi"/>
                <w:sz w:val="22"/>
                <w:szCs w:val="22"/>
                <w:lang w:eastAsia="en-IN"/>
              </w:rPr>
              <w:t>Rs.1.40 p/u for EC, Demand Charges Rs.250/</w:t>
            </w:r>
            <w:r w:rsidRPr="00055335">
              <w:rPr>
                <w:rFonts w:asciiTheme="minorHAnsi" w:hAnsiTheme="minorHAnsi" w:cstheme="minorHAnsi"/>
                <w:sz w:val="22"/>
                <w:szCs w:val="22"/>
                <w:lang w:val="en-IN" w:eastAsia="en-IN"/>
              </w:rPr>
              <w:t xml:space="preserve"> kVA</w:t>
            </w:r>
            <w:r w:rsidRPr="00055335">
              <w:rPr>
                <w:rFonts w:asciiTheme="minorHAnsi" w:hAnsiTheme="minorHAnsi" w:cstheme="minorHAnsi"/>
                <w:sz w:val="22"/>
                <w:szCs w:val="22"/>
                <w:lang w:eastAsia="en-IN"/>
              </w:rPr>
              <w:t xml:space="preserve"> &amp; CS Rs.30/-pm</w:t>
            </w:r>
          </w:p>
        </w:tc>
      </w:tr>
      <w:tr w:rsidR="009942AF" w:rsidRPr="00055335" w14:paraId="513006B2" w14:textId="77777777" w:rsidTr="009942AF">
        <w:tc>
          <w:tcPr>
            <w:tcW w:w="3114" w:type="dxa"/>
          </w:tcPr>
          <w:p w14:paraId="667BA33F" w14:textId="77777777" w:rsidR="009942AF" w:rsidRPr="00055335" w:rsidRDefault="009942AF" w:rsidP="009942AF">
            <w:pPr>
              <w:spacing w:line="360" w:lineRule="auto"/>
              <w:jc w:val="both"/>
              <w:rPr>
                <w:rFonts w:asciiTheme="minorHAnsi" w:hAnsiTheme="minorHAnsi" w:cstheme="minorHAnsi"/>
                <w:sz w:val="22"/>
                <w:szCs w:val="22"/>
                <w:lang w:val="en-IN" w:eastAsia="en-IN"/>
              </w:rPr>
            </w:pPr>
            <w:r w:rsidRPr="00055335">
              <w:rPr>
                <w:rFonts w:asciiTheme="minorHAnsi" w:hAnsiTheme="minorHAnsi" w:cstheme="minorHAnsi"/>
                <w:sz w:val="22"/>
                <w:szCs w:val="22"/>
                <w:lang w:val="en-IN" w:eastAsia="en-IN"/>
              </w:rPr>
              <w:t>Allied Agricultural Activities</w:t>
            </w:r>
          </w:p>
        </w:tc>
        <w:tc>
          <w:tcPr>
            <w:tcW w:w="2410" w:type="dxa"/>
          </w:tcPr>
          <w:p w14:paraId="303286AC" w14:textId="77777777" w:rsidR="009942AF" w:rsidRPr="00055335" w:rsidRDefault="009942AF" w:rsidP="009942AF">
            <w:pPr>
              <w:spacing w:line="360" w:lineRule="auto"/>
              <w:jc w:val="both"/>
              <w:rPr>
                <w:rFonts w:asciiTheme="minorHAnsi" w:hAnsiTheme="minorHAnsi" w:cstheme="minorHAnsi"/>
                <w:sz w:val="22"/>
                <w:szCs w:val="22"/>
                <w:lang w:eastAsia="en-IN"/>
              </w:rPr>
            </w:pPr>
            <w:r w:rsidRPr="00055335">
              <w:rPr>
                <w:rFonts w:asciiTheme="minorHAnsi" w:hAnsiTheme="minorHAnsi" w:cstheme="minorHAnsi"/>
                <w:sz w:val="22"/>
                <w:szCs w:val="22"/>
                <w:lang w:eastAsia="en-IN"/>
              </w:rPr>
              <w:t>Rs.1.60 p/u for EC and Rs.20 p/m MMFC</w:t>
            </w:r>
          </w:p>
        </w:tc>
        <w:tc>
          <w:tcPr>
            <w:tcW w:w="3969" w:type="dxa"/>
          </w:tcPr>
          <w:p w14:paraId="1D6545B6" w14:textId="77777777" w:rsidR="009942AF" w:rsidRPr="00055335" w:rsidRDefault="009942AF" w:rsidP="009942AF">
            <w:pPr>
              <w:spacing w:line="360" w:lineRule="auto"/>
              <w:jc w:val="both"/>
              <w:rPr>
                <w:rFonts w:asciiTheme="minorHAnsi" w:hAnsiTheme="minorHAnsi" w:cstheme="minorHAnsi"/>
                <w:sz w:val="22"/>
                <w:szCs w:val="22"/>
                <w:lang w:eastAsia="en-IN"/>
              </w:rPr>
            </w:pPr>
            <w:r w:rsidRPr="00055335">
              <w:rPr>
                <w:rFonts w:asciiTheme="minorHAnsi" w:hAnsiTheme="minorHAnsi" w:cstheme="minorHAnsi"/>
                <w:sz w:val="22"/>
                <w:szCs w:val="22"/>
                <w:lang w:eastAsia="en-IN"/>
              </w:rPr>
              <w:t>Rs.1.50 p/u for EC, Demand Charges Rs.250/</w:t>
            </w:r>
            <w:r w:rsidRPr="00055335">
              <w:rPr>
                <w:rFonts w:asciiTheme="minorHAnsi" w:hAnsiTheme="minorHAnsi" w:cstheme="minorHAnsi"/>
                <w:sz w:val="22"/>
                <w:szCs w:val="22"/>
                <w:lang w:val="en-IN" w:eastAsia="en-IN"/>
              </w:rPr>
              <w:t xml:space="preserve"> kVA</w:t>
            </w:r>
            <w:r w:rsidRPr="00055335">
              <w:rPr>
                <w:rFonts w:asciiTheme="minorHAnsi" w:hAnsiTheme="minorHAnsi" w:cstheme="minorHAnsi"/>
                <w:sz w:val="22"/>
                <w:szCs w:val="22"/>
                <w:lang w:eastAsia="en-IN"/>
              </w:rPr>
              <w:t xml:space="preserve"> &amp; CS Rs.30/-pm</w:t>
            </w:r>
          </w:p>
        </w:tc>
      </w:tr>
      <w:tr w:rsidR="009942AF" w:rsidRPr="00055335" w14:paraId="43245D9B" w14:textId="77777777" w:rsidTr="009942AF">
        <w:tc>
          <w:tcPr>
            <w:tcW w:w="3114" w:type="dxa"/>
          </w:tcPr>
          <w:p w14:paraId="3A7DC19E" w14:textId="77777777" w:rsidR="009942AF" w:rsidRPr="00055335" w:rsidRDefault="009942AF" w:rsidP="009942AF">
            <w:pPr>
              <w:spacing w:line="360" w:lineRule="auto"/>
              <w:jc w:val="both"/>
              <w:rPr>
                <w:rFonts w:asciiTheme="minorHAnsi" w:hAnsiTheme="minorHAnsi" w:cstheme="minorHAnsi"/>
                <w:sz w:val="22"/>
                <w:szCs w:val="22"/>
                <w:lang w:val="en-IN" w:eastAsia="en-IN"/>
              </w:rPr>
            </w:pPr>
            <w:r w:rsidRPr="00055335">
              <w:rPr>
                <w:rFonts w:asciiTheme="minorHAnsi" w:hAnsiTheme="minorHAnsi" w:cstheme="minorHAnsi"/>
                <w:sz w:val="22"/>
                <w:szCs w:val="22"/>
                <w:lang w:val="en-IN" w:eastAsia="en-IN"/>
              </w:rPr>
              <w:t xml:space="preserve">Allied </w:t>
            </w:r>
            <w:proofErr w:type="spellStart"/>
            <w:r w:rsidRPr="00055335">
              <w:rPr>
                <w:rFonts w:asciiTheme="minorHAnsi" w:hAnsiTheme="minorHAnsi" w:cstheme="minorHAnsi"/>
                <w:sz w:val="22"/>
                <w:szCs w:val="22"/>
                <w:lang w:val="en-IN" w:eastAsia="en-IN"/>
              </w:rPr>
              <w:t>Agro</w:t>
            </w:r>
            <w:proofErr w:type="spellEnd"/>
            <w:r w:rsidRPr="00055335">
              <w:rPr>
                <w:rFonts w:asciiTheme="minorHAnsi" w:hAnsiTheme="minorHAnsi" w:cstheme="minorHAnsi"/>
                <w:sz w:val="22"/>
                <w:szCs w:val="22"/>
                <w:lang w:val="en-IN" w:eastAsia="en-IN"/>
              </w:rPr>
              <w:t>-Industrial Activities</w:t>
            </w:r>
          </w:p>
        </w:tc>
        <w:tc>
          <w:tcPr>
            <w:tcW w:w="2410" w:type="dxa"/>
          </w:tcPr>
          <w:p w14:paraId="057993E8" w14:textId="77777777" w:rsidR="009942AF" w:rsidRPr="00055335" w:rsidRDefault="009942AF" w:rsidP="009942AF">
            <w:pPr>
              <w:spacing w:line="360" w:lineRule="auto"/>
              <w:jc w:val="both"/>
              <w:rPr>
                <w:rFonts w:asciiTheme="minorHAnsi" w:hAnsiTheme="minorHAnsi" w:cstheme="minorHAnsi"/>
                <w:sz w:val="22"/>
                <w:szCs w:val="22"/>
                <w:lang w:eastAsia="en-IN"/>
              </w:rPr>
            </w:pPr>
            <w:r w:rsidRPr="00055335">
              <w:rPr>
                <w:rFonts w:asciiTheme="minorHAnsi" w:hAnsiTheme="minorHAnsi" w:cstheme="minorHAnsi"/>
                <w:sz w:val="22"/>
                <w:szCs w:val="22"/>
                <w:lang w:eastAsia="en-IN"/>
              </w:rPr>
              <w:t>Rs.3.10 p/u for EC and Rs.80 p/m MMFC</w:t>
            </w:r>
          </w:p>
        </w:tc>
        <w:tc>
          <w:tcPr>
            <w:tcW w:w="3969" w:type="dxa"/>
          </w:tcPr>
          <w:p w14:paraId="242BE607" w14:textId="77777777" w:rsidR="009942AF" w:rsidRPr="00055335" w:rsidRDefault="009942AF" w:rsidP="009942AF">
            <w:pPr>
              <w:spacing w:line="360" w:lineRule="auto"/>
              <w:jc w:val="both"/>
              <w:rPr>
                <w:rFonts w:asciiTheme="minorHAnsi" w:hAnsiTheme="minorHAnsi" w:cstheme="minorHAnsi"/>
                <w:sz w:val="22"/>
                <w:szCs w:val="22"/>
                <w:lang w:eastAsia="en-IN"/>
              </w:rPr>
            </w:pPr>
            <w:r w:rsidRPr="00055335">
              <w:rPr>
                <w:rFonts w:asciiTheme="minorHAnsi" w:hAnsiTheme="minorHAnsi" w:cstheme="minorHAnsi"/>
                <w:sz w:val="22"/>
                <w:szCs w:val="22"/>
                <w:lang w:eastAsia="en-IN"/>
              </w:rPr>
              <w:t>Rs.3.00 p/u for EC, Demand Charges Rs.250/kVA &amp; CS Rs.50/-pm</w:t>
            </w:r>
          </w:p>
        </w:tc>
      </w:tr>
      <w:tr w:rsidR="009942AF" w:rsidRPr="00055335" w14:paraId="2A2B0088" w14:textId="77777777" w:rsidTr="009942AF">
        <w:tc>
          <w:tcPr>
            <w:tcW w:w="3114" w:type="dxa"/>
          </w:tcPr>
          <w:p w14:paraId="6527CC96" w14:textId="77777777" w:rsidR="009942AF" w:rsidRPr="00055335" w:rsidRDefault="009942AF" w:rsidP="009942AF">
            <w:pPr>
              <w:spacing w:line="360" w:lineRule="auto"/>
              <w:jc w:val="both"/>
              <w:rPr>
                <w:rFonts w:asciiTheme="minorHAnsi" w:hAnsiTheme="minorHAnsi" w:cstheme="minorHAnsi"/>
                <w:sz w:val="22"/>
                <w:szCs w:val="22"/>
                <w:lang w:val="en-IN" w:eastAsia="en-IN"/>
              </w:rPr>
            </w:pPr>
            <w:r w:rsidRPr="00055335">
              <w:rPr>
                <w:rFonts w:asciiTheme="minorHAnsi" w:hAnsiTheme="minorHAnsi" w:cstheme="minorHAnsi"/>
                <w:sz w:val="22"/>
                <w:szCs w:val="22"/>
                <w:lang w:val="en-IN" w:eastAsia="en-IN"/>
              </w:rPr>
              <w:t>PWWS&lt;110 kVA</w:t>
            </w:r>
          </w:p>
        </w:tc>
        <w:tc>
          <w:tcPr>
            <w:tcW w:w="2410" w:type="dxa"/>
          </w:tcPr>
          <w:p w14:paraId="42E0890F" w14:textId="77777777" w:rsidR="009942AF" w:rsidRPr="00055335" w:rsidRDefault="009942AF" w:rsidP="009942AF">
            <w:pPr>
              <w:spacing w:line="360" w:lineRule="auto"/>
              <w:jc w:val="both"/>
              <w:rPr>
                <w:rFonts w:asciiTheme="minorHAnsi" w:hAnsiTheme="minorHAnsi" w:cstheme="minorHAnsi"/>
                <w:sz w:val="22"/>
                <w:szCs w:val="22"/>
                <w:lang w:eastAsia="en-IN"/>
              </w:rPr>
            </w:pPr>
            <w:r w:rsidRPr="00055335">
              <w:rPr>
                <w:rFonts w:asciiTheme="minorHAnsi" w:hAnsiTheme="minorHAnsi" w:cstheme="minorHAnsi"/>
                <w:sz w:val="22"/>
                <w:szCs w:val="22"/>
                <w:lang w:eastAsia="en-IN"/>
              </w:rPr>
              <w:t>Rs.6.20 p/u EC and MMFC Rs.50/kW</w:t>
            </w:r>
          </w:p>
        </w:tc>
        <w:tc>
          <w:tcPr>
            <w:tcW w:w="3969" w:type="dxa"/>
          </w:tcPr>
          <w:p w14:paraId="3AF6D3E0" w14:textId="77777777" w:rsidR="009942AF" w:rsidRPr="00055335" w:rsidRDefault="009942AF" w:rsidP="009942AF">
            <w:pPr>
              <w:spacing w:line="360" w:lineRule="auto"/>
              <w:jc w:val="center"/>
              <w:rPr>
                <w:rFonts w:asciiTheme="minorHAnsi" w:hAnsiTheme="minorHAnsi" w:cstheme="minorHAnsi"/>
                <w:sz w:val="22"/>
                <w:szCs w:val="22"/>
                <w:lang w:eastAsia="en-IN"/>
              </w:rPr>
            </w:pPr>
            <w:r w:rsidRPr="00055335">
              <w:rPr>
                <w:rFonts w:asciiTheme="minorHAnsi" w:hAnsiTheme="minorHAnsi" w:cstheme="minorHAnsi"/>
                <w:sz w:val="22"/>
                <w:szCs w:val="22"/>
                <w:lang w:eastAsia="en-IN"/>
              </w:rPr>
              <w:t>-</w:t>
            </w:r>
          </w:p>
        </w:tc>
      </w:tr>
      <w:tr w:rsidR="009942AF" w:rsidRPr="00055335" w14:paraId="4FEBC384" w14:textId="77777777" w:rsidTr="009942AF">
        <w:tc>
          <w:tcPr>
            <w:tcW w:w="3114" w:type="dxa"/>
          </w:tcPr>
          <w:p w14:paraId="4EC0382C" w14:textId="77777777" w:rsidR="009942AF" w:rsidRPr="00055335" w:rsidRDefault="009942AF" w:rsidP="009942AF">
            <w:pPr>
              <w:spacing w:line="360" w:lineRule="auto"/>
              <w:jc w:val="both"/>
              <w:rPr>
                <w:rFonts w:asciiTheme="minorHAnsi" w:hAnsiTheme="minorHAnsi" w:cstheme="minorHAnsi"/>
                <w:sz w:val="22"/>
                <w:szCs w:val="22"/>
                <w:lang w:val="en-IN" w:eastAsia="en-IN"/>
              </w:rPr>
            </w:pPr>
            <w:r w:rsidRPr="00055335">
              <w:rPr>
                <w:rFonts w:asciiTheme="minorHAnsi" w:hAnsiTheme="minorHAnsi" w:cstheme="minorHAnsi"/>
                <w:sz w:val="22"/>
                <w:szCs w:val="22"/>
                <w:lang w:val="en-IN" w:eastAsia="en-IN"/>
              </w:rPr>
              <w:t>PWWS&gt;110 kVA</w:t>
            </w:r>
          </w:p>
        </w:tc>
        <w:tc>
          <w:tcPr>
            <w:tcW w:w="2410" w:type="dxa"/>
          </w:tcPr>
          <w:p w14:paraId="3F37D6DC" w14:textId="77777777" w:rsidR="009942AF" w:rsidRPr="00055335" w:rsidRDefault="009942AF" w:rsidP="009942AF">
            <w:pPr>
              <w:spacing w:line="360" w:lineRule="auto"/>
              <w:jc w:val="both"/>
              <w:rPr>
                <w:rFonts w:asciiTheme="minorHAnsi" w:hAnsiTheme="minorHAnsi" w:cstheme="minorHAnsi"/>
                <w:sz w:val="22"/>
                <w:szCs w:val="22"/>
                <w:lang w:eastAsia="en-IN"/>
              </w:rPr>
            </w:pPr>
            <w:r w:rsidRPr="00055335">
              <w:rPr>
                <w:rFonts w:asciiTheme="minorHAnsi" w:hAnsiTheme="minorHAnsi" w:cstheme="minorHAnsi"/>
                <w:sz w:val="22"/>
                <w:szCs w:val="22"/>
                <w:lang w:eastAsia="en-IN"/>
              </w:rPr>
              <w:t>Rs.6.20 p/u EC, Demand charges of Rs.200/kW and CS Rs.30/pm</w:t>
            </w:r>
          </w:p>
        </w:tc>
        <w:tc>
          <w:tcPr>
            <w:tcW w:w="3969" w:type="dxa"/>
          </w:tcPr>
          <w:p w14:paraId="5C3A9ED2" w14:textId="77777777" w:rsidR="009942AF" w:rsidRPr="00055335" w:rsidRDefault="009942AF" w:rsidP="009942AF">
            <w:pPr>
              <w:spacing w:line="360" w:lineRule="auto"/>
              <w:jc w:val="both"/>
              <w:rPr>
                <w:rFonts w:asciiTheme="minorHAnsi" w:hAnsiTheme="minorHAnsi" w:cstheme="minorHAnsi"/>
                <w:sz w:val="22"/>
                <w:szCs w:val="22"/>
                <w:lang w:eastAsia="en-IN"/>
              </w:rPr>
            </w:pPr>
            <w:r w:rsidRPr="00055335">
              <w:rPr>
                <w:rFonts w:asciiTheme="minorHAnsi" w:hAnsiTheme="minorHAnsi" w:cstheme="minorHAnsi"/>
                <w:sz w:val="22"/>
                <w:szCs w:val="22"/>
                <w:lang w:eastAsia="en-IN"/>
              </w:rPr>
              <w:t>EC of Rs.5.85 p/u (</w:t>
            </w:r>
            <w:proofErr w:type="spellStart"/>
            <w:r w:rsidRPr="00055335">
              <w:rPr>
                <w:rFonts w:asciiTheme="minorHAnsi" w:hAnsiTheme="minorHAnsi" w:cstheme="minorHAnsi"/>
                <w:sz w:val="22"/>
                <w:szCs w:val="22"/>
                <w:lang w:eastAsia="en-IN"/>
              </w:rPr>
              <w:t>upto</w:t>
            </w:r>
            <w:proofErr w:type="spellEnd"/>
            <w:r w:rsidRPr="00055335">
              <w:rPr>
                <w:rFonts w:asciiTheme="minorHAnsi" w:hAnsiTheme="minorHAnsi" w:cstheme="minorHAnsi"/>
                <w:sz w:val="22"/>
                <w:szCs w:val="22"/>
                <w:lang w:eastAsia="en-IN"/>
              </w:rPr>
              <w:t xml:space="preserve"> 60% LF and Rs.4.85 p/u for &gt;60% LF consumption), DC Rs.250/kVA &amp; CS Charges Rs.250/month</w:t>
            </w:r>
          </w:p>
        </w:tc>
      </w:tr>
      <w:tr w:rsidR="009942AF" w:rsidRPr="00055335" w14:paraId="79F36155" w14:textId="77777777" w:rsidTr="009942AF">
        <w:tc>
          <w:tcPr>
            <w:tcW w:w="3114" w:type="dxa"/>
          </w:tcPr>
          <w:p w14:paraId="22B88801" w14:textId="77777777" w:rsidR="009942AF" w:rsidRPr="00055335" w:rsidRDefault="009942AF" w:rsidP="009942AF">
            <w:pPr>
              <w:autoSpaceDE w:val="0"/>
              <w:autoSpaceDN w:val="0"/>
              <w:adjustRightInd w:val="0"/>
              <w:spacing w:line="360" w:lineRule="auto"/>
              <w:rPr>
                <w:rFonts w:asciiTheme="minorHAnsi" w:hAnsiTheme="minorHAnsi" w:cstheme="minorHAnsi"/>
                <w:sz w:val="22"/>
                <w:szCs w:val="22"/>
                <w:lang w:val="en-IN" w:eastAsia="en-IN"/>
              </w:rPr>
            </w:pPr>
            <w:r w:rsidRPr="00055335">
              <w:rPr>
                <w:rFonts w:asciiTheme="minorHAnsi" w:hAnsiTheme="minorHAnsi" w:cstheme="minorHAnsi"/>
                <w:sz w:val="22"/>
                <w:szCs w:val="22"/>
                <w:lang w:val="en-IN" w:eastAsia="en-IN"/>
              </w:rPr>
              <w:t>Medium Industry &gt;=22 kVA</w:t>
            </w:r>
          </w:p>
          <w:p w14:paraId="1C465B2B" w14:textId="77777777" w:rsidR="009942AF" w:rsidRPr="00055335" w:rsidRDefault="009942AF" w:rsidP="009942AF">
            <w:pPr>
              <w:autoSpaceDE w:val="0"/>
              <w:autoSpaceDN w:val="0"/>
              <w:adjustRightInd w:val="0"/>
              <w:spacing w:line="360" w:lineRule="auto"/>
              <w:rPr>
                <w:rFonts w:asciiTheme="minorHAnsi" w:hAnsiTheme="minorHAnsi" w:cstheme="minorHAnsi"/>
                <w:sz w:val="22"/>
                <w:szCs w:val="22"/>
                <w:lang w:val="en-IN" w:eastAsia="en-IN"/>
              </w:rPr>
            </w:pPr>
            <w:r w:rsidRPr="00055335">
              <w:rPr>
                <w:rFonts w:asciiTheme="minorHAnsi" w:hAnsiTheme="minorHAnsi" w:cstheme="minorHAnsi"/>
                <w:sz w:val="22"/>
                <w:szCs w:val="22"/>
                <w:lang w:val="en-IN" w:eastAsia="en-IN"/>
              </w:rPr>
              <w:t>&lt;110 kVA</w:t>
            </w:r>
          </w:p>
        </w:tc>
        <w:tc>
          <w:tcPr>
            <w:tcW w:w="2410" w:type="dxa"/>
          </w:tcPr>
          <w:p w14:paraId="52243B10" w14:textId="77777777" w:rsidR="009942AF" w:rsidRPr="00055335" w:rsidRDefault="009942AF" w:rsidP="009942AF">
            <w:pPr>
              <w:spacing w:line="360" w:lineRule="auto"/>
              <w:jc w:val="both"/>
              <w:rPr>
                <w:rFonts w:asciiTheme="minorHAnsi" w:hAnsiTheme="minorHAnsi" w:cstheme="minorHAnsi"/>
                <w:sz w:val="22"/>
                <w:szCs w:val="22"/>
                <w:lang w:eastAsia="en-IN"/>
              </w:rPr>
            </w:pPr>
            <w:r w:rsidRPr="00055335">
              <w:rPr>
                <w:rFonts w:asciiTheme="minorHAnsi" w:hAnsiTheme="minorHAnsi" w:cstheme="minorHAnsi"/>
                <w:sz w:val="22"/>
                <w:szCs w:val="22"/>
                <w:lang w:eastAsia="en-IN"/>
              </w:rPr>
              <w:t>Rs.6.20 p/u EC and MMFC Rs.100/kW</w:t>
            </w:r>
          </w:p>
        </w:tc>
        <w:tc>
          <w:tcPr>
            <w:tcW w:w="3969" w:type="dxa"/>
          </w:tcPr>
          <w:p w14:paraId="52FAC8BA" w14:textId="77777777" w:rsidR="009942AF" w:rsidRPr="00055335" w:rsidRDefault="009942AF" w:rsidP="009942AF">
            <w:pPr>
              <w:spacing w:line="360" w:lineRule="auto"/>
              <w:jc w:val="center"/>
              <w:rPr>
                <w:rFonts w:asciiTheme="minorHAnsi" w:hAnsiTheme="minorHAnsi" w:cstheme="minorHAnsi"/>
                <w:sz w:val="22"/>
                <w:szCs w:val="22"/>
                <w:lang w:eastAsia="en-IN"/>
              </w:rPr>
            </w:pPr>
            <w:r w:rsidRPr="00055335">
              <w:rPr>
                <w:rFonts w:asciiTheme="minorHAnsi" w:hAnsiTheme="minorHAnsi" w:cstheme="minorHAnsi"/>
                <w:sz w:val="22"/>
                <w:szCs w:val="22"/>
                <w:lang w:eastAsia="en-IN"/>
              </w:rPr>
              <w:t>-</w:t>
            </w:r>
          </w:p>
        </w:tc>
      </w:tr>
      <w:tr w:rsidR="009942AF" w:rsidRPr="00055335" w14:paraId="3D7DA6F1" w14:textId="77777777" w:rsidTr="009942AF">
        <w:tc>
          <w:tcPr>
            <w:tcW w:w="3114" w:type="dxa"/>
          </w:tcPr>
          <w:p w14:paraId="08E9EAF3" w14:textId="77777777" w:rsidR="009942AF" w:rsidRPr="00055335" w:rsidRDefault="009942AF" w:rsidP="009942AF">
            <w:pPr>
              <w:autoSpaceDE w:val="0"/>
              <w:autoSpaceDN w:val="0"/>
              <w:adjustRightInd w:val="0"/>
              <w:spacing w:line="360" w:lineRule="auto"/>
              <w:rPr>
                <w:rFonts w:asciiTheme="minorHAnsi" w:hAnsiTheme="minorHAnsi" w:cstheme="minorHAnsi"/>
                <w:sz w:val="22"/>
                <w:szCs w:val="22"/>
                <w:lang w:val="en-IN" w:eastAsia="en-IN"/>
              </w:rPr>
            </w:pPr>
            <w:r w:rsidRPr="00055335">
              <w:rPr>
                <w:rFonts w:asciiTheme="minorHAnsi" w:hAnsiTheme="minorHAnsi" w:cstheme="minorHAnsi"/>
                <w:sz w:val="22"/>
                <w:szCs w:val="22"/>
                <w:lang w:val="en-IN" w:eastAsia="en-IN"/>
              </w:rPr>
              <w:lastRenderedPageBreak/>
              <w:t>Medium Industry*</w:t>
            </w:r>
          </w:p>
        </w:tc>
        <w:tc>
          <w:tcPr>
            <w:tcW w:w="2410" w:type="dxa"/>
          </w:tcPr>
          <w:p w14:paraId="10E72381" w14:textId="77777777" w:rsidR="009942AF" w:rsidRPr="00055335" w:rsidRDefault="009942AF" w:rsidP="009942AF">
            <w:pPr>
              <w:spacing w:line="360" w:lineRule="auto"/>
              <w:jc w:val="center"/>
              <w:rPr>
                <w:rFonts w:asciiTheme="minorHAnsi" w:hAnsiTheme="minorHAnsi" w:cstheme="minorHAnsi"/>
                <w:sz w:val="22"/>
                <w:szCs w:val="22"/>
                <w:lang w:eastAsia="en-IN"/>
              </w:rPr>
            </w:pPr>
            <w:r w:rsidRPr="00055335">
              <w:rPr>
                <w:rFonts w:asciiTheme="minorHAnsi" w:hAnsiTheme="minorHAnsi" w:cstheme="minorHAnsi"/>
                <w:sz w:val="22"/>
                <w:szCs w:val="22"/>
                <w:lang w:eastAsia="en-IN"/>
              </w:rPr>
              <w:t>-</w:t>
            </w:r>
          </w:p>
        </w:tc>
        <w:tc>
          <w:tcPr>
            <w:tcW w:w="3969" w:type="dxa"/>
          </w:tcPr>
          <w:p w14:paraId="0E49BA52" w14:textId="77777777" w:rsidR="009942AF" w:rsidRPr="00055335" w:rsidRDefault="009942AF" w:rsidP="009942AF">
            <w:pPr>
              <w:spacing w:line="360" w:lineRule="auto"/>
              <w:jc w:val="both"/>
              <w:rPr>
                <w:rFonts w:asciiTheme="minorHAnsi" w:hAnsiTheme="minorHAnsi" w:cstheme="minorHAnsi"/>
                <w:sz w:val="22"/>
                <w:szCs w:val="22"/>
                <w:lang w:eastAsia="en-IN"/>
              </w:rPr>
            </w:pPr>
            <w:r w:rsidRPr="00055335">
              <w:rPr>
                <w:rFonts w:asciiTheme="minorHAnsi" w:hAnsiTheme="minorHAnsi" w:cstheme="minorHAnsi"/>
                <w:sz w:val="22"/>
                <w:szCs w:val="22"/>
                <w:lang w:eastAsia="en-IN"/>
              </w:rPr>
              <w:t>EC of Rs.5.85 p/u (up to 60% LF and Rs.4.85 p/u for &gt;60% LF consumption), DC Rs.150/kVA &amp; CS Charges Rs.250/month</w:t>
            </w:r>
          </w:p>
        </w:tc>
      </w:tr>
    </w:tbl>
    <w:p w14:paraId="187A4C83" w14:textId="77777777" w:rsidR="009942AF" w:rsidRPr="009942AF" w:rsidRDefault="009942AF" w:rsidP="009942AF">
      <w:pPr>
        <w:spacing w:line="360" w:lineRule="auto"/>
        <w:ind w:left="284"/>
        <w:jc w:val="both"/>
        <w:rPr>
          <w:rFonts w:ascii="Calibri" w:hAnsi="Calibri" w:cs="Calibri"/>
          <w:sz w:val="22"/>
          <w:szCs w:val="22"/>
        </w:rPr>
      </w:pPr>
    </w:p>
    <w:p w14:paraId="26D5F2B7" w14:textId="77777777" w:rsidR="009942AF" w:rsidRPr="009942AF" w:rsidRDefault="009942AF" w:rsidP="009942AF">
      <w:pPr>
        <w:spacing w:line="360" w:lineRule="auto"/>
        <w:ind w:left="284"/>
        <w:jc w:val="both"/>
        <w:rPr>
          <w:rFonts w:ascii="Calibri" w:hAnsi="Calibri" w:cs="Calibri"/>
          <w:sz w:val="22"/>
          <w:szCs w:val="22"/>
        </w:rPr>
      </w:pPr>
    </w:p>
    <w:p w14:paraId="78CD2800" w14:textId="77777777" w:rsidR="009942AF" w:rsidRPr="009942AF" w:rsidRDefault="009942AF" w:rsidP="00055335">
      <w:pPr>
        <w:spacing w:line="360" w:lineRule="auto"/>
        <w:ind w:left="567"/>
        <w:jc w:val="both"/>
        <w:rPr>
          <w:rFonts w:ascii="Calibri" w:hAnsi="Calibri" w:cs="Calibri"/>
          <w:i/>
          <w:iCs/>
          <w:sz w:val="22"/>
          <w:szCs w:val="22"/>
        </w:rPr>
      </w:pPr>
      <w:r w:rsidRPr="009942AF">
        <w:rPr>
          <w:rFonts w:ascii="Calibri" w:hAnsi="Calibri" w:cs="Calibri"/>
          <w:i/>
          <w:iCs/>
          <w:sz w:val="22"/>
          <w:szCs w:val="22"/>
        </w:rPr>
        <w:t>*No such limitation of load has been defined under HT.</w:t>
      </w:r>
    </w:p>
    <w:p w14:paraId="718479D0" w14:textId="77777777" w:rsidR="009942AF" w:rsidRPr="009942AF" w:rsidRDefault="009942AF" w:rsidP="00055335">
      <w:pPr>
        <w:spacing w:line="360" w:lineRule="auto"/>
        <w:ind w:left="567"/>
        <w:jc w:val="both"/>
        <w:rPr>
          <w:rFonts w:ascii="Calibri" w:hAnsi="Calibri" w:cs="Calibri"/>
          <w:sz w:val="22"/>
          <w:szCs w:val="22"/>
        </w:rPr>
      </w:pPr>
      <w:r w:rsidRPr="009942AF">
        <w:rPr>
          <w:rFonts w:ascii="Calibri" w:hAnsi="Calibri" w:cs="Calibri"/>
          <w:sz w:val="22"/>
          <w:szCs w:val="22"/>
        </w:rPr>
        <w:t>Even though as per existing RST, irrespective of voltage of Supply, considering type of metering (LT or HT) tariff is applicable, but in practical implementation and acceptability to consumers it is becoming more cumbersome and confusing. Therefore, to avoid confusion the DISCOM proposes that upon the consumer’s contract demand/connected load and metering type (LT or HT) tariff may be fixed instead of voltage of supply. The benefits to both licensee and consumer would be as follows:</w:t>
      </w:r>
    </w:p>
    <w:p w14:paraId="02421D79" w14:textId="77777777" w:rsidR="009942AF" w:rsidRPr="009942AF" w:rsidRDefault="009942AF" w:rsidP="00055335">
      <w:pPr>
        <w:spacing w:line="360" w:lineRule="auto"/>
        <w:ind w:left="567"/>
        <w:jc w:val="both"/>
        <w:rPr>
          <w:rFonts w:ascii="Calibri" w:hAnsi="Calibri" w:cs="Calibri"/>
          <w:sz w:val="22"/>
          <w:szCs w:val="22"/>
        </w:rPr>
      </w:pPr>
    </w:p>
    <w:p w14:paraId="3D7156A4" w14:textId="77777777" w:rsidR="009942AF" w:rsidRPr="009942AF" w:rsidRDefault="009942AF" w:rsidP="009942AF">
      <w:pPr>
        <w:numPr>
          <w:ilvl w:val="0"/>
          <w:numId w:val="59"/>
        </w:numPr>
        <w:spacing w:after="160" w:line="360" w:lineRule="auto"/>
        <w:contextualSpacing/>
        <w:jc w:val="both"/>
        <w:rPr>
          <w:rFonts w:ascii="Calibri" w:hAnsi="Calibri" w:cs="Calibri"/>
          <w:sz w:val="22"/>
          <w:szCs w:val="22"/>
        </w:rPr>
      </w:pPr>
      <w:r w:rsidRPr="009942AF">
        <w:rPr>
          <w:rFonts w:ascii="Calibri" w:hAnsi="Calibri" w:cs="Calibri"/>
          <w:sz w:val="22"/>
          <w:szCs w:val="22"/>
        </w:rPr>
        <w:t>Transformer loss can be recovered for all consumers if the meter side is HT and HT tariff for load &gt;=70 kVA.</w:t>
      </w:r>
    </w:p>
    <w:p w14:paraId="4015A773" w14:textId="77777777" w:rsidR="009942AF" w:rsidRPr="009942AF" w:rsidRDefault="009942AF" w:rsidP="009942AF">
      <w:pPr>
        <w:numPr>
          <w:ilvl w:val="0"/>
          <w:numId w:val="59"/>
        </w:numPr>
        <w:spacing w:after="160" w:line="360" w:lineRule="auto"/>
        <w:contextualSpacing/>
        <w:jc w:val="both"/>
        <w:rPr>
          <w:rFonts w:ascii="Calibri" w:eastAsia="Calibri" w:hAnsi="Calibri" w:cs="Calibri"/>
          <w:sz w:val="22"/>
          <w:szCs w:val="22"/>
        </w:rPr>
      </w:pPr>
      <w:r w:rsidRPr="009942AF">
        <w:rPr>
          <w:rFonts w:ascii="Calibri" w:eastAsia="Calibri" w:hAnsi="Calibri" w:cs="Calibri"/>
          <w:sz w:val="22"/>
          <w:szCs w:val="22"/>
        </w:rPr>
        <w:t>LT consumers (Load &lt;70 kVA) to be billed as per slab rate and transformer Loss will not be levied.</w:t>
      </w:r>
    </w:p>
    <w:p w14:paraId="19C5B767" w14:textId="77777777" w:rsidR="009942AF" w:rsidRPr="009942AF" w:rsidRDefault="009942AF" w:rsidP="009942AF">
      <w:pPr>
        <w:numPr>
          <w:ilvl w:val="0"/>
          <w:numId w:val="59"/>
        </w:numPr>
        <w:spacing w:after="160" w:line="360" w:lineRule="auto"/>
        <w:contextualSpacing/>
        <w:jc w:val="both"/>
        <w:rPr>
          <w:rFonts w:ascii="Calibri" w:eastAsia="Calibri" w:hAnsi="Calibri" w:cs="Calibri"/>
          <w:sz w:val="22"/>
          <w:szCs w:val="22"/>
        </w:rPr>
      </w:pPr>
      <w:r w:rsidRPr="009942AF">
        <w:rPr>
          <w:rFonts w:ascii="Calibri" w:eastAsia="Calibri" w:hAnsi="Calibri" w:cs="Calibri"/>
          <w:sz w:val="22"/>
          <w:szCs w:val="22"/>
        </w:rPr>
        <w:t>There may be uniformity in tariff category and Metering side.</w:t>
      </w:r>
    </w:p>
    <w:p w14:paraId="5119AEFA" w14:textId="4FE2E875" w:rsidR="009942AF" w:rsidRPr="009942AF" w:rsidRDefault="00055335" w:rsidP="00055335">
      <w:pPr>
        <w:keepNext/>
        <w:spacing w:before="240" w:after="60" w:line="360" w:lineRule="auto"/>
        <w:ind w:left="426"/>
        <w:jc w:val="both"/>
        <w:outlineLvl w:val="0"/>
        <w:rPr>
          <w:rFonts w:ascii="Calibri" w:hAnsi="Calibri" w:cs="Calibri"/>
          <w:b/>
          <w:bCs/>
          <w:kern w:val="32"/>
          <w:sz w:val="22"/>
          <w:szCs w:val="22"/>
        </w:rPr>
      </w:pPr>
      <w:bookmarkStart w:id="42" w:name="_Toc152166776"/>
      <w:bookmarkStart w:id="43" w:name="_Toc152180147"/>
      <w:bookmarkStart w:id="44" w:name="_Toc152166777"/>
      <w:bookmarkStart w:id="45" w:name="_Toc152180148"/>
      <w:bookmarkStart w:id="46" w:name="_Toc152166778"/>
      <w:bookmarkStart w:id="47" w:name="_Toc152180149"/>
      <w:bookmarkStart w:id="48" w:name="_Toc120649888"/>
      <w:bookmarkStart w:id="49" w:name="_Toc152180150"/>
      <w:bookmarkEnd w:id="42"/>
      <w:bookmarkEnd w:id="43"/>
      <w:bookmarkEnd w:id="44"/>
      <w:bookmarkEnd w:id="45"/>
      <w:bookmarkEnd w:id="46"/>
      <w:bookmarkEnd w:id="47"/>
      <w:r>
        <w:rPr>
          <w:rFonts w:ascii="Calibri" w:hAnsi="Calibri" w:cs="Calibri"/>
          <w:b/>
          <w:bCs/>
          <w:kern w:val="32"/>
          <w:sz w:val="22"/>
          <w:szCs w:val="22"/>
        </w:rPr>
        <w:t xml:space="preserve">     9.16 </w:t>
      </w:r>
      <w:r w:rsidR="009942AF" w:rsidRPr="009942AF">
        <w:rPr>
          <w:rFonts w:ascii="Calibri" w:hAnsi="Calibri" w:cs="Calibri"/>
          <w:b/>
          <w:bCs/>
          <w:kern w:val="32"/>
          <w:sz w:val="22"/>
          <w:szCs w:val="22"/>
        </w:rPr>
        <w:t>Billing with Defective Meter</w:t>
      </w:r>
      <w:bookmarkEnd w:id="48"/>
      <w:bookmarkEnd w:id="49"/>
    </w:p>
    <w:p w14:paraId="615A8E60" w14:textId="77777777" w:rsidR="009942AF" w:rsidRPr="009942AF" w:rsidRDefault="009942AF" w:rsidP="00055335">
      <w:pPr>
        <w:autoSpaceDE w:val="0"/>
        <w:autoSpaceDN w:val="0"/>
        <w:adjustRightInd w:val="0"/>
        <w:spacing w:line="360" w:lineRule="auto"/>
        <w:ind w:left="709"/>
        <w:jc w:val="both"/>
        <w:rPr>
          <w:rFonts w:ascii="Calibri" w:eastAsia="Calibri" w:hAnsi="Calibri" w:cs="Calibri"/>
          <w:sz w:val="22"/>
          <w:szCs w:val="22"/>
          <w:lang w:val="en-IN"/>
        </w:rPr>
      </w:pPr>
      <w:r w:rsidRPr="009942AF">
        <w:rPr>
          <w:rFonts w:ascii="Calibri" w:eastAsia="Calibri" w:hAnsi="Calibri" w:cs="Calibri"/>
          <w:sz w:val="22"/>
          <w:szCs w:val="22"/>
          <w:lang w:val="en-IN"/>
        </w:rPr>
        <w:t>As per existing regulation the licensee is permitted to raise provisional bill for maximum up to three months and during this time the defective meter has to be replaced with new meter. Thereafter, the provisional bill so raised shall be revised considering actual meter reading for consecutive six billing cycle. The extant regulation of OERC Distribution (Conditions of Supply) Code, 2019 is appended below:</w:t>
      </w:r>
    </w:p>
    <w:p w14:paraId="6A14E5BE" w14:textId="77777777" w:rsidR="009942AF" w:rsidRPr="009942AF" w:rsidRDefault="009942AF" w:rsidP="009942AF">
      <w:pPr>
        <w:autoSpaceDE w:val="0"/>
        <w:autoSpaceDN w:val="0"/>
        <w:adjustRightInd w:val="0"/>
        <w:spacing w:line="360" w:lineRule="auto"/>
        <w:ind w:left="720"/>
        <w:jc w:val="both"/>
        <w:rPr>
          <w:rFonts w:ascii="Calibri" w:eastAsia="Calibri" w:hAnsi="Calibri" w:cs="Calibri"/>
          <w:i/>
          <w:iCs/>
          <w:sz w:val="22"/>
          <w:szCs w:val="22"/>
          <w:lang w:val="en-IN"/>
        </w:rPr>
      </w:pPr>
    </w:p>
    <w:p w14:paraId="3EBEA74E" w14:textId="77777777" w:rsidR="009942AF" w:rsidRPr="009942AF" w:rsidRDefault="009942AF" w:rsidP="009942AF">
      <w:pPr>
        <w:autoSpaceDE w:val="0"/>
        <w:autoSpaceDN w:val="0"/>
        <w:adjustRightInd w:val="0"/>
        <w:spacing w:line="360" w:lineRule="auto"/>
        <w:ind w:left="720"/>
        <w:jc w:val="both"/>
        <w:rPr>
          <w:rFonts w:ascii="Calibri" w:eastAsia="Calibri" w:hAnsi="Calibri" w:cs="Calibri"/>
          <w:i/>
          <w:iCs/>
          <w:sz w:val="22"/>
          <w:szCs w:val="22"/>
          <w:lang w:val="en-IN"/>
        </w:rPr>
      </w:pPr>
      <w:r w:rsidRPr="009942AF">
        <w:rPr>
          <w:rFonts w:ascii="Calibri" w:eastAsia="Calibri" w:hAnsi="Calibri" w:cs="Calibri"/>
          <w:i/>
          <w:iCs/>
          <w:sz w:val="22"/>
          <w:szCs w:val="22"/>
          <w:lang w:val="en-IN"/>
        </w:rPr>
        <w:t>“155. For the period the meter remained defective or was lost, the billing shall be done on the basis of average meter reading of the past three billing cycles immediately preceding the meter being found/reported defective. These provisional charges shall be leviable for a maximum period of three months during which time the licensee/supplier/consumer is expected to have replaced the defective meter. The provisional bill shall be revised as per the average of six consecutive billing after a new meter is installed. In no case the previous bill can be revised for more than two (2) years prior to the installation of new meter.”</w:t>
      </w:r>
    </w:p>
    <w:p w14:paraId="332529C9" w14:textId="77777777" w:rsidR="009942AF" w:rsidRPr="009942AF" w:rsidRDefault="009942AF" w:rsidP="009942AF">
      <w:pPr>
        <w:autoSpaceDE w:val="0"/>
        <w:autoSpaceDN w:val="0"/>
        <w:adjustRightInd w:val="0"/>
        <w:spacing w:line="360" w:lineRule="auto"/>
        <w:ind w:left="720"/>
        <w:jc w:val="both"/>
        <w:rPr>
          <w:rFonts w:ascii="Calibri" w:eastAsia="Calibri" w:hAnsi="Calibri" w:cs="Calibri"/>
          <w:i/>
          <w:iCs/>
          <w:sz w:val="22"/>
          <w:szCs w:val="22"/>
          <w:lang w:val="en-IN"/>
        </w:rPr>
      </w:pPr>
    </w:p>
    <w:p w14:paraId="33C0E4AE" w14:textId="4ADA8CC5" w:rsidR="009942AF" w:rsidRPr="009942AF" w:rsidRDefault="00A44589" w:rsidP="00A44589">
      <w:pPr>
        <w:autoSpaceDE w:val="0"/>
        <w:autoSpaceDN w:val="0"/>
        <w:adjustRightInd w:val="0"/>
        <w:spacing w:line="360" w:lineRule="auto"/>
        <w:ind w:left="709"/>
        <w:jc w:val="both"/>
        <w:rPr>
          <w:rFonts w:ascii="Calibri" w:eastAsia="Calibri" w:hAnsi="Calibri" w:cs="Calibri"/>
          <w:sz w:val="22"/>
          <w:szCs w:val="22"/>
          <w:lang w:val="en-IN"/>
        </w:rPr>
      </w:pPr>
      <w:r>
        <w:rPr>
          <w:rFonts w:ascii="Calibri" w:eastAsia="Calibri" w:hAnsi="Calibri" w:cs="Calibri"/>
          <w:sz w:val="22"/>
          <w:szCs w:val="22"/>
          <w:lang w:val="en-IN"/>
        </w:rPr>
        <w:t xml:space="preserve"> </w:t>
      </w:r>
      <w:r w:rsidR="009942AF" w:rsidRPr="009942AF">
        <w:rPr>
          <w:rFonts w:ascii="Calibri" w:eastAsia="Calibri" w:hAnsi="Calibri" w:cs="Calibri"/>
          <w:sz w:val="22"/>
          <w:szCs w:val="22"/>
          <w:lang w:val="en-IN"/>
        </w:rPr>
        <w:t xml:space="preserve">With the above mechanism the licensee is facing the following difficulties in implementing </w:t>
      </w:r>
      <w:proofErr w:type="gramStart"/>
      <w:r w:rsidR="009942AF" w:rsidRPr="009942AF">
        <w:rPr>
          <w:rFonts w:ascii="Calibri" w:eastAsia="Calibri" w:hAnsi="Calibri" w:cs="Calibri"/>
          <w:sz w:val="22"/>
          <w:szCs w:val="22"/>
          <w:lang w:val="en-IN"/>
        </w:rPr>
        <w:t>the</w:t>
      </w:r>
      <w:r>
        <w:rPr>
          <w:rFonts w:ascii="Calibri" w:eastAsia="Calibri" w:hAnsi="Calibri" w:cs="Calibri"/>
          <w:sz w:val="22"/>
          <w:szCs w:val="22"/>
          <w:lang w:val="en-IN"/>
        </w:rPr>
        <w:t xml:space="preserve">  </w:t>
      </w:r>
      <w:r w:rsidR="009942AF" w:rsidRPr="009942AF">
        <w:rPr>
          <w:rFonts w:ascii="Calibri" w:eastAsia="Calibri" w:hAnsi="Calibri" w:cs="Calibri"/>
          <w:sz w:val="22"/>
          <w:szCs w:val="22"/>
          <w:lang w:val="en-IN"/>
        </w:rPr>
        <w:t>provision</w:t>
      </w:r>
      <w:proofErr w:type="gramEnd"/>
    </w:p>
    <w:p w14:paraId="0A11A6D4" w14:textId="77777777" w:rsidR="009942AF" w:rsidRPr="009942AF" w:rsidRDefault="009942AF" w:rsidP="009942AF">
      <w:pPr>
        <w:autoSpaceDE w:val="0"/>
        <w:autoSpaceDN w:val="0"/>
        <w:adjustRightInd w:val="0"/>
        <w:spacing w:line="360" w:lineRule="auto"/>
        <w:ind w:left="284"/>
        <w:jc w:val="both"/>
        <w:rPr>
          <w:rFonts w:ascii="Calibri" w:eastAsia="Calibri" w:hAnsi="Calibri" w:cs="Calibri"/>
          <w:sz w:val="22"/>
          <w:szCs w:val="22"/>
          <w:lang w:val="en-IN"/>
        </w:rPr>
      </w:pPr>
    </w:p>
    <w:p w14:paraId="6239CEA8" w14:textId="77777777" w:rsidR="009942AF" w:rsidRPr="009942AF" w:rsidRDefault="009942AF" w:rsidP="009942AF">
      <w:pPr>
        <w:numPr>
          <w:ilvl w:val="1"/>
          <w:numId w:val="64"/>
        </w:numPr>
        <w:autoSpaceDE w:val="0"/>
        <w:autoSpaceDN w:val="0"/>
        <w:adjustRightInd w:val="0"/>
        <w:spacing w:after="200" w:line="360" w:lineRule="auto"/>
        <w:ind w:left="1276"/>
        <w:contextualSpacing/>
        <w:jc w:val="both"/>
        <w:rPr>
          <w:rFonts w:ascii="Calibri" w:eastAsia="Calibri" w:hAnsi="Calibri" w:cs="Calibri"/>
          <w:sz w:val="22"/>
          <w:szCs w:val="22"/>
          <w:lang w:val="en-IN"/>
        </w:rPr>
      </w:pPr>
      <w:r w:rsidRPr="009942AF">
        <w:rPr>
          <w:rFonts w:ascii="Calibri" w:eastAsia="Calibri" w:hAnsi="Calibri" w:cs="Calibri"/>
          <w:sz w:val="22"/>
          <w:szCs w:val="22"/>
          <w:lang w:val="en-IN"/>
        </w:rPr>
        <w:t>Consumers are not paying even the actual bill after replacement of defective meter unless the bill is revised. The licensee is helpless even collecting the actual bill from the consumer &amp; has to wait for six consecutive billing cycle.</w:t>
      </w:r>
    </w:p>
    <w:p w14:paraId="5EB9F359" w14:textId="77777777" w:rsidR="009942AF" w:rsidRPr="009942AF" w:rsidRDefault="009942AF" w:rsidP="009942AF">
      <w:pPr>
        <w:numPr>
          <w:ilvl w:val="1"/>
          <w:numId w:val="64"/>
        </w:numPr>
        <w:autoSpaceDE w:val="0"/>
        <w:autoSpaceDN w:val="0"/>
        <w:adjustRightInd w:val="0"/>
        <w:spacing w:after="200" w:line="360" w:lineRule="auto"/>
        <w:ind w:left="1276"/>
        <w:contextualSpacing/>
        <w:jc w:val="both"/>
        <w:rPr>
          <w:rFonts w:ascii="Calibri" w:eastAsia="Calibri" w:hAnsi="Calibri" w:cs="Calibri"/>
          <w:sz w:val="22"/>
          <w:szCs w:val="22"/>
          <w:lang w:val="en-IN"/>
        </w:rPr>
      </w:pPr>
      <w:r w:rsidRPr="009942AF">
        <w:rPr>
          <w:rFonts w:ascii="Calibri" w:eastAsia="Calibri" w:hAnsi="Calibri" w:cs="Calibri"/>
          <w:sz w:val="22"/>
          <w:szCs w:val="22"/>
          <w:lang w:val="en-IN"/>
        </w:rPr>
        <w:t>In many cases consumers are desiring to revise the bill considering past actual consumption in corresponding period, but DISCOM can not violate the provision of law.</w:t>
      </w:r>
    </w:p>
    <w:p w14:paraId="1EB981E3" w14:textId="77777777" w:rsidR="009942AF" w:rsidRPr="009942AF" w:rsidRDefault="009942AF" w:rsidP="009942AF">
      <w:pPr>
        <w:numPr>
          <w:ilvl w:val="1"/>
          <w:numId w:val="64"/>
        </w:numPr>
        <w:autoSpaceDE w:val="0"/>
        <w:autoSpaceDN w:val="0"/>
        <w:adjustRightInd w:val="0"/>
        <w:spacing w:after="200" w:line="360" w:lineRule="auto"/>
        <w:ind w:left="1276"/>
        <w:contextualSpacing/>
        <w:jc w:val="both"/>
        <w:rPr>
          <w:rFonts w:ascii="Calibri" w:eastAsia="Calibri" w:hAnsi="Calibri" w:cs="Calibri"/>
          <w:sz w:val="22"/>
          <w:szCs w:val="22"/>
          <w:lang w:val="en-IN"/>
        </w:rPr>
      </w:pPr>
      <w:r w:rsidRPr="009942AF">
        <w:rPr>
          <w:rFonts w:ascii="Calibri" w:eastAsia="Calibri" w:hAnsi="Calibri" w:cs="Calibri"/>
          <w:sz w:val="22"/>
          <w:szCs w:val="22"/>
          <w:lang w:val="en-IN"/>
        </w:rPr>
        <w:t>Some are insisting for bill revision considering actual metering after one month’s consumption.</w:t>
      </w:r>
    </w:p>
    <w:p w14:paraId="4DB8B229" w14:textId="77777777" w:rsidR="009942AF" w:rsidRPr="009942AF" w:rsidRDefault="009942AF" w:rsidP="009942AF">
      <w:pPr>
        <w:numPr>
          <w:ilvl w:val="1"/>
          <w:numId w:val="64"/>
        </w:numPr>
        <w:autoSpaceDE w:val="0"/>
        <w:autoSpaceDN w:val="0"/>
        <w:adjustRightInd w:val="0"/>
        <w:spacing w:after="200" w:line="360" w:lineRule="auto"/>
        <w:ind w:left="1276"/>
        <w:contextualSpacing/>
        <w:jc w:val="both"/>
        <w:rPr>
          <w:rFonts w:ascii="Calibri" w:eastAsia="Calibri" w:hAnsi="Calibri" w:cs="Calibri"/>
          <w:sz w:val="22"/>
          <w:szCs w:val="22"/>
          <w:lang w:val="en-IN"/>
        </w:rPr>
      </w:pPr>
      <w:r w:rsidRPr="009942AF">
        <w:rPr>
          <w:rFonts w:ascii="Calibri" w:eastAsia="Calibri" w:hAnsi="Calibri" w:cs="Calibri"/>
          <w:sz w:val="22"/>
          <w:szCs w:val="22"/>
          <w:lang w:val="en-IN"/>
        </w:rPr>
        <w:t>Most of the consumers are trying to control the consumption and tempted to use through other means with an intention to reduce the billing even though they have actually used during meter defective period.</w:t>
      </w:r>
    </w:p>
    <w:p w14:paraId="4197C0C9" w14:textId="77777777" w:rsidR="009942AF" w:rsidRPr="009942AF" w:rsidRDefault="009942AF" w:rsidP="009942AF">
      <w:pPr>
        <w:autoSpaceDE w:val="0"/>
        <w:autoSpaceDN w:val="0"/>
        <w:adjustRightInd w:val="0"/>
        <w:spacing w:after="200" w:line="360" w:lineRule="auto"/>
        <w:ind w:left="1276"/>
        <w:contextualSpacing/>
        <w:jc w:val="both"/>
        <w:rPr>
          <w:rFonts w:ascii="Calibri" w:eastAsia="Calibri" w:hAnsi="Calibri" w:cs="Calibri"/>
          <w:sz w:val="22"/>
          <w:szCs w:val="22"/>
          <w:lang w:val="en-IN"/>
        </w:rPr>
      </w:pPr>
    </w:p>
    <w:p w14:paraId="75CBBC74" w14:textId="77777777" w:rsidR="009942AF" w:rsidRPr="009942AF" w:rsidRDefault="009942AF" w:rsidP="00A44589">
      <w:pPr>
        <w:autoSpaceDE w:val="0"/>
        <w:autoSpaceDN w:val="0"/>
        <w:adjustRightInd w:val="0"/>
        <w:spacing w:line="360" w:lineRule="auto"/>
        <w:ind w:left="709"/>
        <w:jc w:val="both"/>
        <w:rPr>
          <w:rFonts w:ascii="Calibri" w:eastAsia="Calibri" w:hAnsi="Calibri" w:cs="Calibri"/>
          <w:sz w:val="22"/>
          <w:szCs w:val="22"/>
          <w:lang w:val="en-IN"/>
        </w:rPr>
      </w:pPr>
      <w:r w:rsidRPr="009942AF">
        <w:rPr>
          <w:rFonts w:ascii="Calibri" w:eastAsia="Calibri" w:hAnsi="Calibri" w:cs="Calibri"/>
          <w:sz w:val="22"/>
          <w:szCs w:val="22"/>
          <w:lang w:val="en-IN"/>
        </w:rPr>
        <w:t xml:space="preserve">With the above ground reality, the DISCOM is not able to improve the collection efficiency and has to wait for six months till bill is rectified. Even after lapse of six-month when the bill is revised with upward assessment the consumer is not willing to pay such huge amount.    </w:t>
      </w:r>
    </w:p>
    <w:p w14:paraId="24099B63" w14:textId="77777777" w:rsidR="009942AF" w:rsidRPr="009942AF" w:rsidRDefault="009942AF" w:rsidP="00A44589">
      <w:pPr>
        <w:autoSpaceDE w:val="0"/>
        <w:autoSpaceDN w:val="0"/>
        <w:adjustRightInd w:val="0"/>
        <w:spacing w:line="360" w:lineRule="auto"/>
        <w:ind w:left="709"/>
        <w:jc w:val="both"/>
        <w:rPr>
          <w:rFonts w:ascii="Calibri" w:eastAsia="Calibri" w:hAnsi="Calibri" w:cs="Calibri"/>
          <w:sz w:val="22"/>
          <w:szCs w:val="22"/>
          <w:lang w:val="en-IN"/>
        </w:rPr>
      </w:pPr>
      <w:r w:rsidRPr="009942AF">
        <w:rPr>
          <w:rFonts w:ascii="Calibri" w:eastAsia="Calibri" w:hAnsi="Calibri" w:cs="Calibri"/>
          <w:sz w:val="22"/>
          <w:szCs w:val="22"/>
          <w:lang w:val="en-IN"/>
        </w:rPr>
        <w:t>The DISCOM understands the provision of prevailing regulation, however, Hon’ble Commission has the power to issue practice direction for proper billing and collection thereof till the supply code, 2019 is being amended.</w:t>
      </w:r>
    </w:p>
    <w:p w14:paraId="1F9AF883" w14:textId="77777777" w:rsidR="009942AF" w:rsidRPr="009942AF" w:rsidRDefault="009942AF" w:rsidP="00A44589">
      <w:pPr>
        <w:autoSpaceDE w:val="0"/>
        <w:autoSpaceDN w:val="0"/>
        <w:adjustRightInd w:val="0"/>
        <w:spacing w:line="360" w:lineRule="auto"/>
        <w:ind w:left="709"/>
        <w:jc w:val="both"/>
        <w:rPr>
          <w:rFonts w:ascii="Calibri" w:eastAsia="Calibri" w:hAnsi="Calibri" w:cs="Calibri"/>
          <w:sz w:val="22"/>
          <w:szCs w:val="22"/>
          <w:lang w:val="en-IN"/>
        </w:rPr>
      </w:pPr>
    </w:p>
    <w:p w14:paraId="173C8160" w14:textId="77777777" w:rsidR="009942AF" w:rsidRPr="009942AF" w:rsidRDefault="009942AF" w:rsidP="00A44589">
      <w:pPr>
        <w:autoSpaceDE w:val="0"/>
        <w:autoSpaceDN w:val="0"/>
        <w:adjustRightInd w:val="0"/>
        <w:spacing w:line="360" w:lineRule="auto"/>
        <w:ind w:left="709"/>
        <w:jc w:val="both"/>
        <w:rPr>
          <w:rFonts w:ascii="Calibri" w:eastAsia="Calibri" w:hAnsi="Calibri" w:cs="Calibri"/>
          <w:sz w:val="22"/>
          <w:szCs w:val="22"/>
          <w:lang w:val="en-IN"/>
        </w:rPr>
      </w:pPr>
      <w:r w:rsidRPr="009942AF">
        <w:rPr>
          <w:rFonts w:ascii="Calibri" w:eastAsia="Calibri" w:hAnsi="Calibri" w:cs="Calibri"/>
          <w:sz w:val="22"/>
          <w:szCs w:val="22"/>
          <w:lang w:val="en-IN"/>
        </w:rPr>
        <w:t xml:space="preserve">Therefore, the Licensee humbly submits that, a practice direction may kindly be given in the RST order FY 25-26 for revision of the provisional bill in case of defective meter, on the following </w:t>
      </w:r>
      <w:proofErr w:type="gramStart"/>
      <w:r w:rsidRPr="009942AF">
        <w:rPr>
          <w:rFonts w:ascii="Calibri" w:eastAsia="Calibri" w:hAnsi="Calibri" w:cs="Calibri"/>
          <w:sz w:val="22"/>
          <w:szCs w:val="22"/>
          <w:lang w:val="en-IN"/>
        </w:rPr>
        <w:t>alternatives:-</w:t>
      </w:r>
      <w:proofErr w:type="gramEnd"/>
    </w:p>
    <w:p w14:paraId="073BF3CE" w14:textId="77777777" w:rsidR="009942AF" w:rsidRPr="009942AF" w:rsidRDefault="009942AF" w:rsidP="009942AF">
      <w:pPr>
        <w:autoSpaceDE w:val="0"/>
        <w:autoSpaceDN w:val="0"/>
        <w:adjustRightInd w:val="0"/>
        <w:spacing w:line="360" w:lineRule="auto"/>
        <w:ind w:left="284"/>
        <w:jc w:val="both"/>
        <w:rPr>
          <w:rFonts w:ascii="Calibri" w:eastAsia="Calibri" w:hAnsi="Calibri" w:cs="Calibri"/>
          <w:sz w:val="22"/>
          <w:szCs w:val="22"/>
          <w:lang w:val="en-IN"/>
        </w:rPr>
      </w:pPr>
    </w:p>
    <w:p w14:paraId="2204D498" w14:textId="77777777" w:rsidR="009942AF" w:rsidRPr="009942AF" w:rsidRDefault="009942AF" w:rsidP="00A44589">
      <w:pPr>
        <w:numPr>
          <w:ilvl w:val="0"/>
          <w:numId w:val="68"/>
        </w:numPr>
        <w:spacing w:after="200" w:line="360" w:lineRule="auto"/>
        <w:ind w:left="851" w:hanging="153"/>
        <w:contextualSpacing/>
        <w:jc w:val="both"/>
        <w:rPr>
          <w:rFonts w:ascii="Calibri" w:eastAsia="Calibri" w:hAnsi="Calibri" w:cs="Calibri"/>
          <w:sz w:val="22"/>
          <w:szCs w:val="22"/>
          <w:lang w:val="en-IN"/>
        </w:rPr>
      </w:pPr>
      <w:r w:rsidRPr="009942AF">
        <w:rPr>
          <w:rFonts w:ascii="Calibri" w:eastAsia="Calibri" w:hAnsi="Calibri" w:cs="Calibri"/>
          <w:sz w:val="22"/>
          <w:szCs w:val="22"/>
          <w:lang w:val="en-IN"/>
        </w:rPr>
        <w:t xml:space="preserve">The consumer shall be billed on the basis of actual average consumption recorded during the corresponding period in the preceding year, excluding the provisional billing: </w:t>
      </w:r>
    </w:p>
    <w:p w14:paraId="2E5C8BE2" w14:textId="77777777" w:rsidR="009942AF" w:rsidRPr="009942AF" w:rsidRDefault="009942AF" w:rsidP="00A44589">
      <w:pPr>
        <w:spacing w:after="200" w:line="360" w:lineRule="auto"/>
        <w:ind w:left="851"/>
        <w:contextualSpacing/>
        <w:jc w:val="both"/>
        <w:rPr>
          <w:rFonts w:ascii="Calibri" w:eastAsia="Calibri" w:hAnsi="Calibri" w:cs="Calibri"/>
          <w:sz w:val="22"/>
          <w:szCs w:val="22"/>
          <w:lang w:val="en-IN"/>
        </w:rPr>
      </w:pPr>
    </w:p>
    <w:p w14:paraId="2F6F2D93" w14:textId="77777777" w:rsidR="009942AF" w:rsidRPr="009942AF" w:rsidRDefault="009942AF" w:rsidP="00A44589">
      <w:pPr>
        <w:numPr>
          <w:ilvl w:val="0"/>
          <w:numId w:val="68"/>
        </w:numPr>
        <w:spacing w:after="200" w:line="360" w:lineRule="auto"/>
        <w:ind w:left="851" w:hanging="153"/>
        <w:contextualSpacing/>
        <w:jc w:val="both"/>
        <w:rPr>
          <w:rFonts w:ascii="Calibri" w:eastAsia="Calibri" w:hAnsi="Calibri" w:cs="Calibri"/>
          <w:sz w:val="22"/>
          <w:szCs w:val="22"/>
          <w:lang w:val="en-IN"/>
        </w:rPr>
      </w:pPr>
      <w:r w:rsidRPr="009942AF">
        <w:rPr>
          <w:rFonts w:ascii="Calibri" w:eastAsia="Calibri" w:hAnsi="Calibri" w:cs="Calibri"/>
          <w:sz w:val="22"/>
          <w:szCs w:val="22"/>
          <w:lang w:val="en-IN"/>
        </w:rPr>
        <w:t xml:space="preserve">If actual consumption recorded during the corresponding period in the preceding year is either not available or partially available, the actual average consumption of past 6 (six) billing cycles immediately preceding the date of meter being detected or reported defective, excluding the provisional billing, shall be used for billing purpose: Provided further that </w:t>
      </w:r>
    </w:p>
    <w:p w14:paraId="57343D63" w14:textId="77777777" w:rsidR="009942AF" w:rsidRPr="009942AF" w:rsidRDefault="009942AF" w:rsidP="00A44589">
      <w:pPr>
        <w:ind w:left="851"/>
        <w:rPr>
          <w:rFonts w:ascii="Calibri" w:eastAsia="Calibri" w:hAnsi="Calibri" w:cs="Calibri"/>
          <w:lang w:val="en-IN"/>
        </w:rPr>
      </w:pPr>
    </w:p>
    <w:p w14:paraId="0A23E8C4" w14:textId="77777777" w:rsidR="009942AF" w:rsidRPr="009942AF" w:rsidRDefault="009942AF" w:rsidP="00A44589">
      <w:pPr>
        <w:numPr>
          <w:ilvl w:val="0"/>
          <w:numId w:val="68"/>
        </w:numPr>
        <w:spacing w:after="200" w:line="360" w:lineRule="auto"/>
        <w:ind w:left="851" w:hanging="153"/>
        <w:contextualSpacing/>
        <w:jc w:val="both"/>
        <w:rPr>
          <w:rFonts w:ascii="Calibri" w:eastAsia="Calibri" w:hAnsi="Calibri" w:cs="Calibri"/>
          <w:sz w:val="22"/>
          <w:szCs w:val="22"/>
          <w:lang w:val="en-IN"/>
        </w:rPr>
      </w:pPr>
      <w:r w:rsidRPr="009942AF">
        <w:rPr>
          <w:rFonts w:ascii="Calibri" w:eastAsia="Calibri" w:hAnsi="Calibri" w:cs="Calibri"/>
          <w:sz w:val="22"/>
          <w:szCs w:val="22"/>
          <w:lang w:val="en-IN"/>
        </w:rPr>
        <w:t>If the actual average consumption of past 6 (six) months is either not available or partially available, the average consumption for the next 3 (three) billing cycles excluding provisional billing after the installation of new meter shall be used for billing purpose.</w:t>
      </w:r>
    </w:p>
    <w:p w14:paraId="1EA56CF7" w14:textId="77777777" w:rsidR="009942AF" w:rsidRPr="009942AF" w:rsidRDefault="009942AF" w:rsidP="00A44589">
      <w:pPr>
        <w:autoSpaceDE w:val="0"/>
        <w:autoSpaceDN w:val="0"/>
        <w:adjustRightInd w:val="0"/>
        <w:spacing w:line="360" w:lineRule="auto"/>
        <w:ind w:left="851"/>
        <w:jc w:val="both"/>
        <w:rPr>
          <w:rFonts w:ascii="Calibri" w:eastAsia="Calibri" w:hAnsi="Calibri" w:cs="Calibri"/>
          <w:sz w:val="22"/>
          <w:szCs w:val="22"/>
          <w:lang w:val="en-IN"/>
        </w:rPr>
      </w:pPr>
    </w:p>
    <w:p w14:paraId="4B51F754" w14:textId="77777777" w:rsidR="009942AF" w:rsidRPr="009942AF" w:rsidRDefault="009942AF" w:rsidP="00A44589">
      <w:pPr>
        <w:autoSpaceDE w:val="0"/>
        <w:autoSpaceDN w:val="0"/>
        <w:adjustRightInd w:val="0"/>
        <w:spacing w:line="360" w:lineRule="auto"/>
        <w:ind w:left="567"/>
        <w:jc w:val="both"/>
        <w:rPr>
          <w:rFonts w:ascii="Calibri" w:eastAsia="Calibri" w:hAnsi="Calibri" w:cs="Calibri"/>
          <w:sz w:val="22"/>
          <w:szCs w:val="22"/>
          <w:lang w:val="en-IN"/>
        </w:rPr>
      </w:pPr>
      <w:r w:rsidRPr="009942AF">
        <w:rPr>
          <w:rFonts w:ascii="Calibri" w:eastAsia="Calibri" w:hAnsi="Calibri" w:cs="Calibri"/>
          <w:sz w:val="22"/>
          <w:szCs w:val="22"/>
          <w:lang w:val="en-IN"/>
        </w:rPr>
        <w:lastRenderedPageBreak/>
        <w:t>Further, bill revision of past period beyond 2 years is not permitted due to which pre-vesting period dues are held up and consumer dissatisfaction continues. Therefore, for benefit of all the stake holders a relaxation in bill revision may kindly be extended for one more year.</w:t>
      </w:r>
    </w:p>
    <w:p w14:paraId="228A22D1" w14:textId="1846D8EA" w:rsidR="009942AF" w:rsidRPr="009942AF" w:rsidRDefault="00A44589" w:rsidP="00A44589">
      <w:pPr>
        <w:keepNext/>
        <w:spacing w:before="240" w:after="60" w:line="360" w:lineRule="auto"/>
        <w:ind w:left="426"/>
        <w:jc w:val="both"/>
        <w:outlineLvl w:val="0"/>
        <w:rPr>
          <w:rFonts w:ascii="Calibri" w:hAnsi="Calibri" w:cs="Calibri"/>
          <w:b/>
          <w:bCs/>
          <w:kern w:val="32"/>
          <w:sz w:val="22"/>
          <w:szCs w:val="22"/>
        </w:rPr>
      </w:pPr>
      <w:bookmarkStart w:id="50" w:name="_Toc152180151"/>
      <w:r>
        <w:rPr>
          <w:rFonts w:ascii="Calibri" w:hAnsi="Calibri" w:cs="Calibri"/>
          <w:b/>
          <w:bCs/>
          <w:kern w:val="32"/>
          <w:sz w:val="22"/>
          <w:szCs w:val="22"/>
        </w:rPr>
        <w:t xml:space="preserve">9.17 </w:t>
      </w:r>
      <w:r w:rsidR="009942AF" w:rsidRPr="009942AF">
        <w:rPr>
          <w:rFonts w:ascii="Calibri" w:hAnsi="Calibri" w:cs="Calibri"/>
          <w:b/>
          <w:bCs/>
          <w:kern w:val="32"/>
          <w:sz w:val="22"/>
          <w:szCs w:val="22"/>
        </w:rPr>
        <w:t>Combined Application form replacing Form-I &amp; Form-II</w:t>
      </w:r>
      <w:bookmarkEnd w:id="50"/>
    </w:p>
    <w:p w14:paraId="2866627A" w14:textId="77777777" w:rsidR="009942AF" w:rsidRPr="009942AF" w:rsidRDefault="009942AF" w:rsidP="00A44589">
      <w:pPr>
        <w:spacing w:line="360" w:lineRule="auto"/>
        <w:ind w:left="426"/>
        <w:jc w:val="both"/>
        <w:rPr>
          <w:rFonts w:ascii="Calibri" w:hAnsi="Calibri" w:cs="Calibri"/>
          <w:sz w:val="22"/>
          <w:szCs w:val="22"/>
        </w:rPr>
      </w:pPr>
      <w:r w:rsidRPr="009942AF">
        <w:rPr>
          <w:rFonts w:ascii="Calibri" w:hAnsi="Calibri" w:cs="Calibri"/>
          <w:sz w:val="22"/>
          <w:szCs w:val="22"/>
        </w:rPr>
        <w:t>Presently, as per Regulation 3, a Domestic &amp; GP consumer is opting Form-I for New Service Connection / Load enhancement/ Load reduction/ Reconnection /Change of Name/ Shifting/ Temporary Supply/ Conversion of Service/ Change of consumer category and Form-II is applicable to other category of consumers to the extent of New Connection/Load Reduction/Load Enhancement/Change of Name.</w:t>
      </w:r>
    </w:p>
    <w:p w14:paraId="7ADC9EC9" w14:textId="77777777" w:rsidR="009942AF" w:rsidRPr="009942AF" w:rsidRDefault="009942AF" w:rsidP="009942AF">
      <w:pPr>
        <w:spacing w:line="360" w:lineRule="auto"/>
        <w:jc w:val="both"/>
        <w:rPr>
          <w:rFonts w:ascii="Calibri" w:hAnsi="Calibri" w:cs="Calibri"/>
          <w:sz w:val="22"/>
          <w:szCs w:val="22"/>
        </w:rPr>
      </w:pPr>
    </w:p>
    <w:p w14:paraId="7CC47542" w14:textId="727CF906" w:rsidR="009942AF" w:rsidRPr="009942AF" w:rsidRDefault="00346C91" w:rsidP="00346C91">
      <w:pPr>
        <w:spacing w:line="360" w:lineRule="auto"/>
        <w:ind w:left="426" w:hanging="142"/>
        <w:jc w:val="both"/>
        <w:rPr>
          <w:rFonts w:ascii="Calibri" w:hAnsi="Calibri" w:cs="Calibri"/>
          <w:sz w:val="22"/>
          <w:szCs w:val="22"/>
        </w:rPr>
      </w:pPr>
      <w:r>
        <w:rPr>
          <w:rFonts w:ascii="Calibri" w:hAnsi="Calibri" w:cs="Calibri"/>
          <w:sz w:val="22"/>
          <w:szCs w:val="22"/>
        </w:rPr>
        <w:t xml:space="preserve">   </w:t>
      </w:r>
      <w:r w:rsidR="009942AF" w:rsidRPr="009942AF">
        <w:rPr>
          <w:rFonts w:ascii="Calibri" w:hAnsi="Calibri" w:cs="Calibri"/>
          <w:sz w:val="22"/>
          <w:szCs w:val="22"/>
        </w:rPr>
        <w:t>With this, consumers are confused about the Application form which one they must choose (Form I or Form II). Licensee is also unable to capture the detailed information about the consumer. Hence, TPNODL proposes to introduce a single application form which is beneficial for both consumers and licensee. Even though it requires amendment of Regulation, Hon’ble Commission with discretionary power may direct/allow through practice direction to adopt a common Application Form till Regulation is amended.</w:t>
      </w:r>
    </w:p>
    <w:p w14:paraId="17D36914" w14:textId="3CA84F8B" w:rsidR="009942AF" w:rsidRPr="009942AF" w:rsidRDefault="00346C91" w:rsidP="00346C91">
      <w:pPr>
        <w:keepNext/>
        <w:spacing w:before="240" w:after="60" w:line="360" w:lineRule="auto"/>
        <w:ind w:left="426"/>
        <w:jc w:val="both"/>
        <w:outlineLvl w:val="0"/>
        <w:rPr>
          <w:rFonts w:ascii="Calibri" w:hAnsi="Calibri" w:cs="Calibri"/>
          <w:b/>
          <w:bCs/>
          <w:kern w:val="32"/>
          <w:sz w:val="22"/>
          <w:szCs w:val="22"/>
        </w:rPr>
      </w:pPr>
      <w:bookmarkStart w:id="51" w:name="_Toc152180155"/>
      <w:bookmarkEnd w:id="40"/>
      <w:r>
        <w:rPr>
          <w:rFonts w:ascii="Calibri" w:hAnsi="Calibri" w:cs="Calibri"/>
          <w:b/>
          <w:bCs/>
          <w:kern w:val="32"/>
          <w:sz w:val="22"/>
          <w:szCs w:val="22"/>
        </w:rPr>
        <w:t xml:space="preserve">9.18 </w:t>
      </w:r>
      <w:r w:rsidR="009942AF" w:rsidRPr="009942AF">
        <w:rPr>
          <w:rFonts w:ascii="Calibri" w:hAnsi="Calibri" w:cs="Calibri"/>
          <w:b/>
          <w:bCs/>
          <w:kern w:val="32"/>
          <w:sz w:val="22"/>
          <w:szCs w:val="22"/>
        </w:rPr>
        <w:t>DPS on Electricity Bills</w:t>
      </w:r>
      <w:bookmarkEnd w:id="51"/>
    </w:p>
    <w:p w14:paraId="2472E0BC" w14:textId="77777777" w:rsidR="009942AF" w:rsidRPr="009942AF" w:rsidRDefault="009942AF" w:rsidP="00346C91">
      <w:pPr>
        <w:autoSpaceDE w:val="0"/>
        <w:autoSpaceDN w:val="0"/>
        <w:adjustRightInd w:val="0"/>
        <w:spacing w:line="360" w:lineRule="auto"/>
        <w:ind w:left="426"/>
        <w:jc w:val="both"/>
        <w:rPr>
          <w:rFonts w:ascii="Calibri" w:hAnsi="Calibri" w:cs="Calibri"/>
          <w:sz w:val="22"/>
          <w:szCs w:val="22"/>
        </w:rPr>
      </w:pPr>
      <w:r w:rsidRPr="009942AF">
        <w:rPr>
          <w:rFonts w:ascii="Calibri" w:hAnsi="Calibri" w:cs="Calibri"/>
          <w:sz w:val="22"/>
          <w:szCs w:val="22"/>
        </w:rPr>
        <w:t>The Hon’ble Commission had discontinued the practice of levy of DPS on the Electricity Bills in the Tariff Order for FY 2023-24. The Extracts of the Tariff Order is as follows:</w:t>
      </w:r>
    </w:p>
    <w:p w14:paraId="6624562D" w14:textId="77777777" w:rsidR="009942AF" w:rsidRPr="009942AF" w:rsidRDefault="009942AF" w:rsidP="00346C91">
      <w:pPr>
        <w:autoSpaceDE w:val="0"/>
        <w:autoSpaceDN w:val="0"/>
        <w:adjustRightInd w:val="0"/>
        <w:spacing w:line="360" w:lineRule="auto"/>
        <w:ind w:left="426"/>
        <w:jc w:val="both"/>
        <w:rPr>
          <w:rFonts w:ascii="Calibri" w:hAnsi="Calibri" w:cs="Calibri"/>
          <w:sz w:val="22"/>
          <w:szCs w:val="22"/>
        </w:rPr>
      </w:pPr>
    </w:p>
    <w:p w14:paraId="1B0AD9F0" w14:textId="77777777" w:rsidR="009942AF" w:rsidRPr="009942AF" w:rsidRDefault="009942AF" w:rsidP="009942AF">
      <w:pPr>
        <w:autoSpaceDE w:val="0"/>
        <w:autoSpaceDN w:val="0"/>
        <w:adjustRightInd w:val="0"/>
        <w:spacing w:line="360" w:lineRule="auto"/>
        <w:ind w:left="720"/>
        <w:jc w:val="both"/>
        <w:rPr>
          <w:rFonts w:ascii="Calibri" w:hAnsi="Calibri" w:cs="Calibri"/>
          <w:i/>
          <w:iCs/>
          <w:sz w:val="22"/>
          <w:szCs w:val="22"/>
        </w:rPr>
      </w:pPr>
      <w:r w:rsidRPr="009942AF">
        <w:rPr>
          <w:rFonts w:ascii="Calibri" w:hAnsi="Calibri" w:cs="Calibri"/>
          <w:i/>
          <w:iCs/>
          <w:sz w:val="22"/>
          <w:szCs w:val="22"/>
        </w:rPr>
        <w:t>“87. The issue of levy of DPS to above categories of consumers was raised by DISCOMs during hearing. The Commission thoroughly scrutinized the issue. It is found that levy of DPS is acting as a hurdle for small consumers in resolving their disputed bills. The revenue impact of DPS for these small consumers is also not substantial. Therefore, in order to resolve bill disputes quickly, the Commission decides to abolish DPS for LT Domestic, LT General Purpose and HT Bulk Supply Domestic Consumers w.e.f. 01.04.2023.”</w:t>
      </w:r>
    </w:p>
    <w:p w14:paraId="0A577AA6" w14:textId="77777777" w:rsidR="009942AF" w:rsidRPr="009942AF" w:rsidRDefault="009942AF" w:rsidP="009942AF">
      <w:pPr>
        <w:autoSpaceDE w:val="0"/>
        <w:autoSpaceDN w:val="0"/>
        <w:adjustRightInd w:val="0"/>
        <w:spacing w:line="360" w:lineRule="auto"/>
        <w:ind w:left="720"/>
        <w:jc w:val="both"/>
        <w:rPr>
          <w:rFonts w:ascii="Calibri" w:hAnsi="Calibri" w:cs="Calibri"/>
          <w:sz w:val="22"/>
          <w:szCs w:val="22"/>
        </w:rPr>
      </w:pPr>
    </w:p>
    <w:p w14:paraId="5908D718" w14:textId="77777777" w:rsidR="009942AF" w:rsidRPr="009942AF" w:rsidRDefault="009942AF" w:rsidP="00346C91">
      <w:pPr>
        <w:autoSpaceDE w:val="0"/>
        <w:autoSpaceDN w:val="0"/>
        <w:adjustRightInd w:val="0"/>
        <w:spacing w:line="360" w:lineRule="auto"/>
        <w:ind w:left="709"/>
        <w:jc w:val="both"/>
        <w:rPr>
          <w:rFonts w:ascii="Calibri" w:hAnsi="Calibri" w:cs="Calibri"/>
          <w:sz w:val="22"/>
          <w:szCs w:val="22"/>
        </w:rPr>
      </w:pPr>
      <w:r w:rsidRPr="009942AF">
        <w:rPr>
          <w:rFonts w:ascii="Calibri" w:hAnsi="Calibri" w:cs="Calibri"/>
          <w:sz w:val="22"/>
          <w:szCs w:val="22"/>
        </w:rPr>
        <w:t>The DISCOMs have also requested in ARR of 24-25, wherein Hon’ble Commission in para 93 has addressed in following manner;</w:t>
      </w:r>
    </w:p>
    <w:p w14:paraId="433094AD" w14:textId="77777777" w:rsidR="009942AF" w:rsidRPr="009942AF" w:rsidRDefault="009942AF" w:rsidP="009942AF">
      <w:pPr>
        <w:autoSpaceDE w:val="0"/>
        <w:autoSpaceDN w:val="0"/>
        <w:adjustRightInd w:val="0"/>
        <w:spacing w:line="360" w:lineRule="auto"/>
        <w:jc w:val="both"/>
        <w:rPr>
          <w:rFonts w:ascii="Calibri" w:hAnsi="Calibri" w:cs="Calibri"/>
          <w:sz w:val="22"/>
          <w:szCs w:val="22"/>
        </w:rPr>
      </w:pPr>
    </w:p>
    <w:p w14:paraId="39C48C56" w14:textId="77777777" w:rsidR="009942AF" w:rsidRPr="009942AF" w:rsidRDefault="009942AF" w:rsidP="00346C91">
      <w:pPr>
        <w:autoSpaceDE w:val="0"/>
        <w:autoSpaceDN w:val="0"/>
        <w:adjustRightInd w:val="0"/>
        <w:spacing w:after="200" w:line="360" w:lineRule="auto"/>
        <w:ind w:left="720"/>
        <w:contextualSpacing/>
        <w:jc w:val="both"/>
        <w:rPr>
          <w:rFonts w:ascii="Calibri" w:eastAsia="Calibri" w:hAnsi="Calibri" w:cs="Calibri"/>
          <w:i/>
          <w:iCs/>
          <w:sz w:val="22"/>
          <w:szCs w:val="22"/>
          <w:lang w:val="en-IN"/>
        </w:rPr>
      </w:pPr>
      <w:r w:rsidRPr="009942AF">
        <w:rPr>
          <w:rFonts w:ascii="Calibri" w:eastAsia="Calibri" w:hAnsi="Calibri" w:cs="Calibri"/>
          <w:i/>
          <w:iCs/>
          <w:sz w:val="22"/>
          <w:szCs w:val="22"/>
          <w:lang w:val="en-IN"/>
        </w:rPr>
        <w:t>“Issue of Levy of Delay Payment Surcharge (DPS) on Electricity Bills</w:t>
      </w:r>
    </w:p>
    <w:p w14:paraId="444890C4" w14:textId="77777777" w:rsidR="009942AF" w:rsidRPr="009942AF" w:rsidRDefault="009942AF" w:rsidP="009942AF">
      <w:pPr>
        <w:autoSpaceDE w:val="0"/>
        <w:autoSpaceDN w:val="0"/>
        <w:adjustRightInd w:val="0"/>
        <w:spacing w:after="200" w:line="360" w:lineRule="auto"/>
        <w:ind w:left="720"/>
        <w:contextualSpacing/>
        <w:jc w:val="both"/>
        <w:rPr>
          <w:rFonts w:ascii="Calibri" w:eastAsia="Calibri" w:hAnsi="Calibri" w:cs="Calibri"/>
          <w:i/>
          <w:iCs/>
          <w:sz w:val="22"/>
          <w:szCs w:val="22"/>
          <w:lang w:val="en-IN"/>
        </w:rPr>
      </w:pPr>
    </w:p>
    <w:p w14:paraId="2EE67AA8" w14:textId="77777777" w:rsidR="009942AF" w:rsidRPr="009942AF" w:rsidRDefault="009942AF" w:rsidP="00346C91">
      <w:pPr>
        <w:autoSpaceDE w:val="0"/>
        <w:autoSpaceDN w:val="0"/>
        <w:adjustRightInd w:val="0"/>
        <w:spacing w:line="360" w:lineRule="auto"/>
        <w:ind w:left="567"/>
        <w:jc w:val="both"/>
        <w:rPr>
          <w:rFonts w:ascii="Calibri" w:hAnsi="Calibri" w:cs="Calibri"/>
          <w:i/>
          <w:iCs/>
          <w:sz w:val="22"/>
          <w:szCs w:val="22"/>
        </w:rPr>
      </w:pPr>
      <w:r w:rsidRPr="009942AF">
        <w:rPr>
          <w:rFonts w:ascii="Calibri" w:hAnsi="Calibri" w:cs="Calibri"/>
          <w:i/>
          <w:iCs/>
          <w:sz w:val="22"/>
          <w:szCs w:val="22"/>
          <w:lang w:val="en-IN"/>
        </w:rPr>
        <w:t xml:space="preserve">On the issue of levy of DPS on LT Domestic, LT General Purpose and HT Bulk Supply Domestic Consumers, it is clarified that, since FY 2023-24, this has been abolished. It is not out of place to </w:t>
      </w:r>
      <w:r w:rsidRPr="009942AF">
        <w:rPr>
          <w:rFonts w:ascii="Calibri" w:hAnsi="Calibri" w:cs="Calibri"/>
          <w:i/>
          <w:iCs/>
          <w:sz w:val="22"/>
          <w:szCs w:val="22"/>
          <w:lang w:val="en-IN"/>
        </w:rPr>
        <w:lastRenderedPageBreak/>
        <w:t xml:space="preserve">mention here that, levy of DPS is a deterrent for defaulting Consumers who pay the bill after lapse of one month of the due date. However, from the performance of DISCOM, it is seen that the overall collection efficiency has improved significantly. The Act empowers the DISCOMs to disconnect the supply of electricity in case of non-payment of Bills. </w:t>
      </w:r>
      <w:r w:rsidRPr="009942AF">
        <w:rPr>
          <w:rFonts w:ascii="Calibri" w:hAnsi="Calibri" w:cs="Calibri"/>
          <w:b/>
          <w:bCs/>
          <w:i/>
          <w:iCs/>
          <w:sz w:val="22"/>
          <w:szCs w:val="22"/>
          <w:lang w:val="en-IN"/>
        </w:rPr>
        <w:t>Therefore, it will not be prudent to reinforce the DPS.”</w:t>
      </w:r>
    </w:p>
    <w:p w14:paraId="5AFC557F" w14:textId="77777777" w:rsidR="009942AF" w:rsidRPr="009942AF" w:rsidRDefault="009942AF" w:rsidP="009942AF">
      <w:pPr>
        <w:autoSpaceDE w:val="0"/>
        <w:autoSpaceDN w:val="0"/>
        <w:adjustRightInd w:val="0"/>
        <w:spacing w:line="360" w:lineRule="auto"/>
        <w:jc w:val="both"/>
        <w:rPr>
          <w:rFonts w:ascii="Calibri" w:hAnsi="Calibri" w:cs="Calibri"/>
          <w:sz w:val="22"/>
          <w:szCs w:val="22"/>
        </w:rPr>
      </w:pPr>
    </w:p>
    <w:p w14:paraId="1D68DA81" w14:textId="77777777" w:rsidR="009942AF" w:rsidRPr="009942AF" w:rsidRDefault="009942AF" w:rsidP="00346C91">
      <w:pPr>
        <w:autoSpaceDE w:val="0"/>
        <w:autoSpaceDN w:val="0"/>
        <w:adjustRightInd w:val="0"/>
        <w:spacing w:line="360" w:lineRule="auto"/>
        <w:ind w:left="567"/>
        <w:jc w:val="both"/>
        <w:rPr>
          <w:rFonts w:ascii="Calibri" w:hAnsi="Calibri" w:cs="Calibri"/>
          <w:sz w:val="22"/>
          <w:szCs w:val="22"/>
        </w:rPr>
      </w:pPr>
      <w:r w:rsidRPr="009942AF">
        <w:rPr>
          <w:rFonts w:ascii="Calibri" w:hAnsi="Calibri" w:cs="Calibri"/>
          <w:sz w:val="22"/>
          <w:szCs w:val="22"/>
        </w:rPr>
        <w:t>However, rescinding the levy of DPS has resulted in willful delay in payment as there is no deterrent now available. The DPS was acting as the required deterrent and the consumers will have to pay in time. In this regard, it is assured that DPS would be applicable only on the undisputed portion. Hence when the Bill gets revised due to Disputes, the DPS would be once again computed on the Un Disputed amount. Further we also note that the consumers at times are required to pay DPS as the bill delivery is delayed. Such situation arises as the Due Date is very short of 7 days. Hence in order to address this grievance of the consumer, it may be appropriate to increase the Due Date of such consumers to 30 days. In this regard, the stand of the Hon’ble Commission in Tariff Order for FY 2022-23 is relevant and presented below:</w:t>
      </w:r>
    </w:p>
    <w:p w14:paraId="5A9359E2" w14:textId="77777777" w:rsidR="009942AF" w:rsidRPr="009942AF" w:rsidRDefault="009942AF" w:rsidP="00346C91">
      <w:pPr>
        <w:autoSpaceDE w:val="0"/>
        <w:autoSpaceDN w:val="0"/>
        <w:adjustRightInd w:val="0"/>
        <w:spacing w:line="360" w:lineRule="auto"/>
        <w:ind w:left="993"/>
        <w:jc w:val="both"/>
        <w:rPr>
          <w:rFonts w:ascii="Calibri" w:hAnsi="Calibri" w:cs="Calibri"/>
          <w:i/>
          <w:iCs/>
          <w:sz w:val="22"/>
          <w:szCs w:val="22"/>
        </w:rPr>
      </w:pPr>
      <w:r w:rsidRPr="009942AF">
        <w:rPr>
          <w:rFonts w:ascii="Calibri" w:hAnsi="Calibri" w:cs="Calibri"/>
          <w:i/>
          <w:iCs/>
          <w:sz w:val="22"/>
          <w:szCs w:val="22"/>
        </w:rPr>
        <w:t xml:space="preserve">“There is a tendency among the category of LT Domestic, General Purpose and HT Bulk Supply Domestic etc. consumers who don’t pay delayed payment surcharge to be negligent towards bill payment once the due date is over. Therefore, it is directed that LT Domestic, LT General Purpose and HT Bulk Supply Domestic consumers will get 10 </w:t>
      </w:r>
      <w:proofErr w:type="spellStart"/>
      <w:r w:rsidRPr="009942AF">
        <w:rPr>
          <w:rFonts w:ascii="Calibri" w:hAnsi="Calibri" w:cs="Calibri"/>
          <w:i/>
          <w:iCs/>
          <w:sz w:val="22"/>
          <w:szCs w:val="22"/>
        </w:rPr>
        <w:t>paise</w:t>
      </w:r>
      <w:proofErr w:type="spellEnd"/>
      <w:r w:rsidRPr="009942AF">
        <w:rPr>
          <w:rFonts w:ascii="Calibri" w:hAnsi="Calibri" w:cs="Calibri"/>
          <w:i/>
          <w:iCs/>
          <w:sz w:val="22"/>
          <w:szCs w:val="22"/>
        </w:rPr>
        <w:t>/unit rebate for prompt payment of the bill within due date. Thereafter, if the bill is paid within the next due date, there shall be no Rebate/Delayed Payment Surcharge. But if it is paid beyond the next due date then there shall be a Delayed Payment Surcharge of 1% of the billed value for each month of delay.”</w:t>
      </w:r>
    </w:p>
    <w:p w14:paraId="61EC16D4" w14:textId="77777777" w:rsidR="009942AF" w:rsidRPr="009942AF" w:rsidRDefault="009942AF" w:rsidP="009942AF">
      <w:pPr>
        <w:autoSpaceDE w:val="0"/>
        <w:autoSpaceDN w:val="0"/>
        <w:adjustRightInd w:val="0"/>
        <w:spacing w:line="360" w:lineRule="auto"/>
        <w:jc w:val="both"/>
        <w:rPr>
          <w:rFonts w:ascii="Calibri" w:hAnsi="Calibri" w:cs="Calibri"/>
          <w:sz w:val="22"/>
          <w:szCs w:val="22"/>
        </w:rPr>
      </w:pPr>
    </w:p>
    <w:p w14:paraId="3934BA27" w14:textId="77777777" w:rsidR="009942AF" w:rsidRPr="009942AF" w:rsidRDefault="009942AF" w:rsidP="00346C91">
      <w:pPr>
        <w:autoSpaceDE w:val="0"/>
        <w:autoSpaceDN w:val="0"/>
        <w:adjustRightInd w:val="0"/>
        <w:spacing w:line="360" w:lineRule="auto"/>
        <w:ind w:left="567"/>
        <w:jc w:val="both"/>
        <w:rPr>
          <w:rFonts w:ascii="Calibri" w:hAnsi="Calibri" w:cs="Calibri"/>
          <w:color w:val="000000"/>
          <w:sz w:val="22"/>
          <w:szCs w:val="22"/>
        </w:rPr>
      </w:pPr>
      <w:r w:rsidRPr="009942AF">
        <w:rPr>
          <w:rFonts w:ascii="Calibri" w:hAnsi="Calibri" w:cs="Calibri"/>
          <w:sz w:val="22"/>
          <w:szCs w:val="22"/>
        </w:rPr>
        <w:t>The Hon’ble Commission is, therefore, requested to kindly consider re-introducing the DPS for LT Domestic, LT General Purpose and HT Bulk Supply Domestic Consumers. However, the Due Date for the payment can be extended from the normal 7 days to the next due date as made applicable in the past.</w:t>
      </w:r>
      <w:r w:rsidRPr="009942AF">
        <w:rPr>
          <w:rFonts w:ascii="Calibri" w:hAnsi="Calibri" w:cs="Calibri"/>
          <w:color w:val="000000"/>
          <w:sz w:val="22"/>
          <w:szCs w:val="22"/>
        </w:rPr>
        <w:t xml:space="preserve"> But for the rebate entitlement 7 days payment may please be retain.</w:t>
      </w:r>
    </w:p>
    <w:p w14:paraId="36D63CAA" w14:textId="77777777" w:rsidR="009942AF" w:rsidRPr="009942AF" w:rsidRDefault="009942AF" w:rsidP="00346C91">
      <w:pPr>
        <w:autoSpaceDE w:val="0"/>
        <w:autoSpaceDN w:val="0"/>
        <w:adjustRightInd w:val="0"/>
        <w:spacing w:line="360" w:lineRule="auto"/>
        <w:ind w:left="567"/>
        <w:jc w:val="both"/>
        <w:rPr>
          <w:rFonts w:ascii="Calibri" w:hAnsi="Calibri" w:cs="Calibri"/>
          <w:color w:val="000000"/>
          <w:sz w:val="22"/>
          <w:szCs w:val="22"/>
        </w:rPr>
      </w:pPr>
    </w:p>
    <w:p w14:paraId="53E21F12" w14:textId="77777777" w:rsidR="009942AF" w:rsidRPr="009942AF" w:rsidRDefault="009942AF" w:rsidP="00346C91">
      <w:pPr>
        <w:autoSpaceDE w:val="0"/>
        <w:autoSpaceDN w:val="0"/>
        <w:adjustRightInd w:val="0"/>
        <w:spacing w:line="360" w:lineRule="auto"/>
        <w:ind w:left="567"/>
        <w:jc w:val="both"/>
        <w:rPr>
          <w:rFonts w:ascii="Calibri" w:hAnsi="Calibri" w:cs="Calibri"/>
          <w:color w:val="000000"/>
          <w:sz w:val="22"/>
          <w:szCs w:val="22"/>
        </w:rPr>
      </w:pPr>
      <w:r w:rsidRPr="009942AF">
        <w:rPr>
          <w:rFonts w:ascii="Calibri" w:hAnsi="Calibri" w:cs="Calibri"/>
          <w:color w:val="000000"/>
          <w:sz w:val="22"/>
          <w:szCs w:val="22"/>
        </w:rPr>
        <w:t xml:space="preserve">As of now there is no deterrent for defaulting consumers falling under such category who are not paying their electricity bills on or before due date, despite the fact that a lot of rebate mechanism exist in the Tariff Order. </w:t>
      </w:r>
      <w:proofErr w:type="spellStart"/>
      <w:r w:rsidRPr="009942AF">
        <w:rPr>
          <w:rFonts w:ascii="Calibri" w:hAnsi="Calibri" w:cs="Calibri"/>
          <w:color w:val="000000"/>
          <w:sz w:val="22"/>
          <w:szCs w:val="22"/>
        </w:rPr>
        <w:t>Discoms</w:t>
      </w:r>
      <w:proofErr w:type="spellEnd"/>
      <w:r w:rsidRPr="009942AF">
        <w:rPr>
          <w:rFonts w:ascii="Calibri" w:hAnsi="Calibri" w:cs="Calibri"/>
          <w:color w:val="000000"/>
          <w:sz w:val="22"/>
          <w:szCs w:val="22"/>
        </w:rPr>
        <w:t xml:space="preserve"> are putting lot of resources and effort into recovery of electricity dues which ultimately burdening the rest of consumers who are making timely payment to </w:t>
      </w:r>
      <w:proofErr w:type="spellStart"/>
      <w:r w:rsidRPr="009942AF">
        <w:rPr>
          <w:rFonts w:ascii="Calibri" w:hAnsi="Calibri" w:cs="Calibri"/>
          <w:color w:val="000000"/>
          <w:sz w:val="22"/>
          <w:szCs w:val="22"/>
        </w:rPr>
        <w:t>Discom</w:t>
      </w:r>
      <w:proofErr w:type="spellEnd"/>
      <w:r w:rsidRPr="009942AF">
        <w:rPr>
          <w:rFonts w:ascii="Calibri" w:hAnsi="Calibri" w:cs="Calibri"/>
          <w:color w:val="000000"/>
          <w:sz w:val="22"/>
          <w:szCs w:val="22"/>
        </w:rPr>
        <w:t>.</w:t>
      </w:r>
    </w:p>
    <w:p w14:paraId="24CEE329" w14:textId="77777777" w:rsidR="009942AF" w:rsidRPr="009942AF" w:rsidRDefault="009942AF" w:rsidP="00346C91">
      <w:pPr>
        <w:autoSpaceDE w:val="0"/>
        <w:autoSpaceDN w:val="0"/>
        <w:adjustRightInd w:val="0"/>
        <w:spacing w:line="360" w:lineRule="auto"/>
        <w:ind w:left="567"/>
        <w:jc w:val="both"/>
        <w:rPr>
          <w:rFonts w:ascii="Calibri" w:hAnsi="Calibri" w:cs="Calibri"/>
          <w:color w:val="000000"/>
          <w:sz w:val="22"/>
          <w:szCs w:val="22"/>
        </w:rPr>
      </w:pPr>
    </w:p>
    <w:p w14:paraId="2FED6BC5" w14:textId="77777777" w:rsidR="009942AF" w:rsidRPr="009942AF" w:rsidRDefault="009942AF" w:rsidP="00346C91">
      <w:pPr>
        <w:autoSpaceDE w:val="0"/>
        <w:autoSpaceDN w:val="0"/>
        <w:adjustRightInd w:val="0"/>
        <w:spacing w:line="360" w:lineRule="auto"/>
        <w:ind w:left="567"/>
        <w:jc w:val="both"/>
        <w:rPr>
          <w:rFonts w:ascii="Calibri" w:hAnsi="Calibri" w:cs="Calibri"/>
          <w:color w:val="000000"/>
          <w:sz w:val="22"/>
          <w:szCs w:val="22"/>
        </w:rPr>
      </w:pPr>
      <w:r w:rsidRPr="009942AF">
        <w:rPr>
          <w:rFonts w:ascii="Calibri" w:hAnsi="Calibri" w:cs="Calibri"/>
          <w:color w:val="000000"/>
          <w:sz w:val="22"/>
          <w:szCs w:val="22"/>
        </w:rPr>
        <w:lastRenderedPageBreak/>
        <w:t>In case of disconnection due to non-payment of electricity dues by due date such consumers are tend to illegally restore the supply or indulge in theft of electricity by means of hooking and others illegal practices which jeopardizing the interest of rest of consumers.</w:t>
      </w:r>
    </w:p>
    <w:p w14:paraId="424C302B" w14:textId="77777777" w:rsidR="009942AF" w:rsidRPr="009942AF" w:rsidRDefault="009942AF" w:rsidP="009942AF">
      <w:pPr>
        <w:autoSpaceDE w:val="0"/>
        <w:autoSpaceDN w:val="0"/>
        <w:adjustRightInd w:val="0"/>
        <w:spacing w:line="360" w:lineRule="auto"/>
        <w:ind w:left="284"/>
        <w:jc w:val="both"/>
        <w:rPr>
          <w:rFonts w:ascii="Calibri" w:hAnsi="Calibri" w:cs="Calibri"/>
          <w:color w:val="000000"/>
          <w:sz w:val="22"/>
          <w:szCs w:val="22"/>
        </w:rPr>
      </w:pPr>
    </w:p>
    <w:p w14:paraId="7FE0C605" w14:textId="77777777" w:rsidR="009942AF" w:rsidRPr="009942AF" w:rsidRDefault="009942AF" w:rsidP="00346C91">
      <w:pPr>
        <w:autoSpaceDE w:val="0"/>
        <w:autoSpaceDN w:val="0"/>
        <w:adjustRightInd w:val="0"/>
        <w:spacing w:line="360" w:lineRule="auto"/>
        <w:ind w:left="567"/>
        <w:jc w:val="both"/>
        <w:rPr>
          <w:rFonts w:ascii="Calibri" w:hAnsi="Calibri" w:cs="Calibri"/>
          <w:color w:val="000000"/>
          <w:sz w:val="22"/>
          <w:szCs w:val="22"/>
        </w:rPr>
      </w:pPr>
      <w:r w:rsidRPr="009942AF">
        <w:rPr>
          <w:rFonts w:ascii="Calibri" w:hAnsi="Calibri" w:cs="Calibri"/>
          <w:color w:val="000000"/>
          <w:sz w:val="22"/>
          <w:szCs w:val="22"/>
        </w:rPr>
        <w:t xml:space="preserve">Disconnection of electricity due to non-payment requires prior notice for 15 days which again incentivize such consumers not to pay dues on due dates. </w:t>
      </w:r>
    </w:p>
    <w:p w14:paraId="6D19BD4D" w14:textId="77777777" w:rsidR="009942AF" w:rsidRPr="009942AF" w:rsidRDefault="009942AF" w:rsidP="00346C91">
      <w:pPr>
        <w:autoSpaceDE w:val="0"/>
        <w:autoSpaceDN w:val="0"/>
        <w:adjustRightInd w:val="0"/>
        <w:spacing w:line="360" w:lineRule="auto"/>
        <w:ind w:left="567"/>
        <w:jc w:val="both"/>
        <w:rPr>
          <w:rFonts w:ascii="Calibri" w:hAnsi="Calibri" w:cs="Calibri"/>
          <w:color w:val="000000"/>
          <w:sz w:val="22"/>
          <w:szCs w:val="22"/>
        </w:rPr>
      </w:pPr>
    </w:p>
    <w:p w14:paraId="0F802D2F" w14:textId="77777777" w:rsidR="009942AF" w:rsidRPr="009942AF" w:rsidRDefault="009942AF" w:rsidP="00346C91">
      <w:pPr>
        <w:autoSpaceDE w:val="0"/>
        <w:autoSpaceDN w:val="0"/>
        <w:adjustRightInd w:val="0"/>
        <w:spacing w:line="360" w:lineRule="auto"/>
        <w:ind w:left="567"/>
        <w:jc w:val="both"/>
        <w:rPr>
          <w:rFonts w:ascii="Calibri" w:hAnsi="Calibri" w:cs="Calibri"/>
          <w:color w:val="000000"/>
          <w:sz w:val="22"/>
          <w:szCs w:val="22"/>
        </w:rPr>
      </w:pPr>
      <w:r w:rsidRPr="009942AF">
        <w:rPr>
          <w:rFonts w:ascii="Calibri" w:hAnsi="Calibri" w:cs="Calibri"/>
          <w:color w:val="000000"/>
          <w:sz w:val="22"/>
          <w:szCs w:val="22"/>
        </w:rPr>
        <w:t xml:space="preserve">In view of above it is once again requested to Hon’ble Commission that mechanism to levy DPS for delay payment of electricity dues must be introduced so that interest of other consumers </w:t>
      </w:r>
      <w:proofErr w:type="gramStart"/>
      <w:r w:rsidRPr="009942AF">
        <w:rPr>
          <w:rFonts w:ascii="Calibri" w:hAnsi="Calibri" w:cs="Calibri"/>
          <w:color w:val="000000"/>
          <w:sz w:val="22"/>
          <w:szCs w:val="22"/>
        </w:rPr>
        <w:t>are</w:t>
      </w:r>
      <w:proofErr w:type="gramEnd"/>
      <w:r w:rsidRPr="009942AF">
        <w:rPr>
          <w:rFonts w:ascii="Calibri" w:hAnsi="Calibri" w:cs="Calibri"/>
          <w:color w:val="000000"/>
          <w:sz w:val="22"/>
          <w:szCs w:val="22"/>
        </w:rPr>
        <w:t xml:space="preserve"> protected. Further, </w:t>
      </w:r>
      <w:proofErr w:type="spellStart"/>
      <w:r w:rsidRPr="009942AF">
        <w:rPr>
          <w:rFonts w:ascii="Calibri" w:hAnsi="Calibri" w:cs="Calibri"/>
          <w:color w:val="000000"/>
          <w:sz w:val="22"/>
          <w:szCs w:val="22"/>
        </w:rPr>
        <w:t>incase</w:t>
      </w:r>
      <w:proofErr w:type="spellEnd"/>
      <w:r w:rsidRPr="009942AF">
        <w:rPr>
          <w:rFonts w:ascii="Calibri" w:hAnsi="Calibri" w:cs="Calibri"/>
          <w:color w:val="000000"/>
          <w:sz w:val="22"/>
          <w:szCs w:val="22"/>
        </w:rPr>
        <w:t xml:space="preserve"> of cheque bounce the DPS must be levied from the due date to the date till it is cleared apart from other legal action as available as per negotiable Instrument Act shall be scrupulously followed.</w:t>
      </w:r>
    </w:p>
    <w:p w14:paraId="43522171" w14:textId="31C34E95" w:rsidR="009942AF" w:rsidRPr="009942AF" w:rsidRDefault="00346C91" w:rsidP="00346C91">
      <w:pPr>
        <w:keepNext/>
        <w:spacing w:before="240" w:after="60" w:line="360" w:lineRule="auto"/>
        <w:jc w:val="both"/>
        <w:outlineLvl w:val="0"/>
        <w:rPr>
          <w:rFonts w:ascii="Calibri" w:hAnsi="Calibri" w:cs="Calibri"/>
          <w:b/>
          <w:bCs/>
          <w:kern w:val="32"/>
          <w:sz w:val="22"/>
          <w:szCs w:val="22"/>
        </w:rPr>
      </w:pPr>
      <w:bookmarkStart w:id="52" w:name="_Toc152180156"/>
      <w:r>
        <w:rPr>
          <w:rFonts w:ascii="Calibri" w:hAnsi="Calibri" w:cs="Calibri"/>
          <w:b/>
          <w:bCs/>
          <w:kern w:val="32"/>
          <w:sz w:val="22"/>
          <w:szCs w:val="22"/>
        </w:rPr>
        <w:t xml:space="preserve">           9.19 </w:t>
      </w:r>
      <w:r w:rsidR="009942AF" w:rsidRPr="009942AF">
        <w:rPr>
          <w:rFonts w:ascii="Calibri" w:hAnsi="Calibri" w:cs="Calibri"/>
          <w:b/>
          <w:bCs/>
          <w:kern w:val="32"/>
          <w:sz w:val="22"/>
          <w:szCs w:val="22"/>
        </w:rPr>
        <w:t>Pro rata Billing</w:t>
      </w:r>
      <w:bookmarkEnd w:id="52"/>
    </w:p>
    <w:p w14:paraId="40D9BCD3" w14:textId="77777777" w:rsidR="009942AF" w:rsidRPr="009942AF" w:rsidRDefault="009942AF" w:rsidP="00346C91">
      <w:pPr>
        <w:keepNext/>
        <w:spacing w:before="240" w:after="60" w:line="360" w:lineRule="auto"/>
        <w:ind w:left="426"/>
        <w:jc w:val="both"/>
        <w:outlineLvl w:val="0"/>
        <w:rPr>
          <w:rFonts w:ascii="Calibri" w:hAnsi="Calibri" w:cs="Calibri"/>
          <w:bCs/>
          <w:kern w:val="32"/>
          <w:sz w:val="22"/>
          <w:szCs w:val="22"/>
        </w:rPr>
      </w:pPr>
      <w:bookmarkStart w:id="53" w:name="_Toc152166786"/>
      <w:bookmarkStart w:id="54" w:name="_Toc152180157"/>
      <w:r w:rsidRPr="009942AF">
        <w:rPr>
          <w:rFonts w:ascii="Calibri" w:hAnsi="Calibri" w:cs="Calibri"/>
          <w:bCs/>
          <w:kern w:val="32"/>
          <w:sz w:val="22"/>
          <w:szCs w:val="22"/>
        </w:rPr>
        <w:t>The attention of the Hon’ble Commission is drawn towards importance of pro-rata billing for Tariff Slab applicability in case of billing being in deviation to the monthly billing cycle. The relevant Regulation for Billing Cycle is reproduced below:</w:t>
      </w:r>
      <w:bookmarkEnd w:id="53"/>
      <w:bookmarkEnd w:id="54"/>
    </w:p>
    <w:p w14:paraId="7C2DBD25" w14:textId="77777777" w:rsidR="009942AF" w:rsidRPr="009942AF" w:rsidRDefault="009942AF" w:rsidP="009942AF">
      <w:pPr>
        <w:keepNext/>
        <w:spacing w:before="240" w:after="60" w:line="360" w:lineRule="auto"/>
        <w:ind w:left="720"/>
        <w:jc w:val="both"/>
        <w:outlineLvl w:val="0"/>
        <w:rPr>
          <w:rFonts w:ascii="Calibri" w:hAnsi="Calibri" w:cs="Calibri"/>
          <w:bCs/>
          <w:i/>
          <w:iCs/>
          <w:kern w:val="32"/>
          <w:sz w:val="22"/>
          <w:szCs w:val="22"/>
        </w:rPr>
      </w:pPr>
      <w:bookmarkStart w:id="55" w:name="_Toc152166787"/>
      <w:bookmarkStart w:id="56" w:name="_Toc152180158"/>
      <w:r w:rsidRPr="009942AF">
        <w:rPr>
          <w:rFonts w:ascii="Calibri" w:hAnsi="Calibri" w:cs="Calibri"/>
          <w:bCs/>
          <w:i/>
          <w:iCs/>
          <w:kern w:val="32"/>
          <w:sz w:val="22"/>
          <w:szCs w:val="22"/>
        </w:rPr>
        <w:t>“109(</w:t>
      </w:r>
      <w:proofErr w:type="spellStart"/>
      <w:r w:rsidRPr="009942AF">
        <w:rPr>
          <w:rFonts w:ascii="Calibri" w:hAnsi="Calibri" w:cs="Calibri"/>
          <w:bCs/>
          <w:i/>
          <w:iCs/>
          <w:kern w:val="32"/>
          <w:sz w:val="22"/>
          <w:szCs w:val="22"/>
        </w:rPr>
        <w:t>i</w:t>
      </w:r>
      <w:proofErr w:type="spellEnd"/>
      <w:r w:rsidRPr="009942AF">
        <w:rPr>
          <w:rFonts w:ascii="Calibri" w:hAnsi="Calibri" w:cs="Calibri"/>
          <w:bCs/>
          <w:i/>
          <w:iCs/>
          <w:kern w:val="32"/>
          <w:sz w:val="22"/>
          <w:szCs w:val="22"/>
        </w:rPr>
        <w:t xml:space="preserve">) The meter shall normally be read </w:t>
      </w:r>
      <w:r w:rsidRPr="009942AF">
        <w:rPr>
          <w:rFonts w:ascii="Calibri" w:hAnsi="Calibri" w:cs="Calibri"/>
          <w:b/>
          <w:i/>
          <w:iCs/>
          <w:kern w:val="32"/>
          <w:sz w:val="22"/>
          <w:szCs w:val="22"/>
        </w:rPr>
        <w:t>on fixed date ± 3 working days for monthly billing cycle</w:t>
      </w:r>
      <w:r w:rsidRPr="009942AF">
        <w:rPr>
          <w:rFonts w:ascii="Calibri" w:hAnsi="Calibri" w:cs="Calibri"/>
          <w:bCs/>
          <w:i/>
          <w:iCs/>
          <w:kern w:val="32"/>
          <w:sz w:val="22"/>
          <w:szCs w:val="22"/>
        </w:rPr>
        <w:t>. The licensee/supplier shall issue proper photo identity cards to all meter readers and meter readers shall carry the photo identity card during the course of meter reading. (</w:t>
      </w:r>
      <w:r w:rsidRPr="009942AF">
        <w:rPr>
          <w:rFonts w:ascii="Calibri" w:hAnsi="Calibri" w:cs="Calibri"/>
          <w:b/>
          <w:i/>
          <w:iCs/>
          <w:kern w:val="32"/>
          <w:sz w:val="22"/>
          <w:szCs w:val="22"/>
        </w:rPr>
        <w:t>Emphasis Supplied</w:t>
      </w:r>
      <w:r w:rsidRPr="009942AF">
        <w:rPr>
          <w:rFonts w:ascii="Calibri" w:hAnsi="Calibri" w:cs="Calibri"/>
          <w:bCs/>
          <w:i/>
          <w:iCs/>
          <w:kern w:val="32"/>
          <w:sz w:val="22"/>
          <w:szCs w:val="22"/>
        </w:rPr>
        <w:t>)”</w:t>
      </w:r>
      <w:bookmarkEnd w:id="55"/>
      <w:bookmarkEnd w:id="56"/>
    </w:p>
    <w:p w14:paraId="01BE3420" w14:textId="77777777" w:rsidR="009942AF" w:rsidRPr="009942AF" w:rsidRDefault="009942AF" w:rsidP="009942AF">
      <w:pPr>
        <w:spacing w:line="360" w:lineRule="auto"/>
        <w:rPr>
          <w:rFonts w:ascii="Calibri" w:hAnsi="Calibri" w:cs="Calibri"/>
          <w:sz w:val="22"/>
          <w:szCs w:val="22"/>
        </w:rPr>
      </w:pPr>
    </w:p>
    <w:p w14:paraId="78E25084" w14:textId="368CF7C0" w:rsidR="009942AF" w:rsidRDefault="009942AF" w:rsidP="00346C91">
      <w:pPr>
        <w:spacing w:line="360" w:lineRule="auto"/>
        <w:ind w:left="567"/>
        <w:jc w:val="both"/>
        <w:rPr>
          <w:rFonts w:ascii="Calibri" w:hAnsi="Calibri" w:cs="Calibri"/>
          <w:sz w:val="22"/>
          <w:szCs w:val="22"/>
        </w:rPr>
      </w:pPr>
      <w:r w:rsidRPr="009942AF">
        <w:rPr>
          <w:rFonts w:ascii="Calibri" w:hAnsi="Calibri" w:cs="Calibri"/>
          <w:sz w:val="22"/>
          <w:szCs w:val="22"/>
        </w:rPr>
        <w:t xml:space="preserve">While the </w:t>
      </w:r>
      <w:proofErr w:type="spellStart"/>
      <w:r w:rsidRPr="009942AF">
        <w:rPr>
          <w:rFonts w:ascii="Calibri" w:hAnsi="Calibri" w:cs="Calibri"/>
          <w:sz w:val="22"/>
          <w:szCs w:val="22"/>
        </w:rPr>
        <w:t>Discoms</w:t>
      </w:r>
      <w:proofErr w:type="spellEnd"/>
      <w:r w:rsidRPr="009942AF">
        <w:rPr>
          <w:rFonts w:ascii="Calibri" w:hAnsi="Calibri" w:cs="Calibri"/>
          <w:sz w:val="22"/>
          <w:szCs w:val="22"/>
        </w:rPr>
        <w:t xml:space="preserve"> are working towards achieving the above norm under normal conditions, the Hon’ble Commission is cognizant of the uncontrollable climatic conditions such as </w:t>
      </w:r>
      <w:proofErr w:type="spellStart"/>
      <w:r w:rsidRPr="009942AF">
        <w:rPr>
          <w:rFonts w:ascii="Calibri" w:hAnsi="Calibri" w:cs="Calibri"/>
          <w:sz w:val="22"/>
          <w:szCs w:val="22"/>
        </w:rPr>
        <w:t>Kalbaisakhi</w:t>
      </w:r>
      <w:proofErr w:type="spellEnd"/>
      <w:r w:rsidRPr="009942AF">
        <w:rPr>
          <w:rFonts w:ascii="Calibri" w:hAnsi="Calibri" w:cs="Calibri"/>
          <w:sz w:val="22"/>
          <w:szCs w:val="22"/>
        </w:rPr>
        <w:t xml:space="preserve">, monsoons and extremely high temperature during summer months which beset Odisha regularly, that effect normal meter reading billing cycles. While occurrence of such events </w:t>
      </w:r>
      <w:proofErr w:type="gramStart"/>
      <w:r w:rsidRPr="009942AF">
        <w:rPr>
          <w:rFonts w:ascii="Calibri" w:hAnsi="Calibri" w:cs="Calibri"/>
          <w:sz w:val="22"/>
          <w:szCs w:val="22"/>
        </w:rPr>
        <w:t>result</w:t>
      </w:r>
      <w:proofErr w:type="gramEnd"/>
      <w:r w:rsidRPr="009942AF">
        <w:rPr>
          <w:rFonts w:ascii="Calibri" w:hAnsi="Calibri" w:cs="Calibri"/>
          <w:sz w:val="22"/>
          <w:szCs w:val="22"/>
        </w:rPr>
        <w:t xml:space="preserve"> in extension of billing period beyond the + 3 working days for monthly billing cycle, processes are being put in place to ensure that subsequent month’s billing is done earlier than 30 + 3 days so as to ensure that over two billing cycles, the billing period is largely restored as per norms. The relevant Regulation with respect to pro-rata monthly billing is reproduced below:</w:t>
      </w:r>
    </w:p>
    <w:p w14:paraId="59095B90" w14:textId="77777777" w:rsidR="00346C91" w:rsidRPr="009942AF" w:rsidRDefault="00346C91" w:rsidP="00346C91">
      <w:pPr>
        <w:spacing w:line="360" w:lineRule="auto"/>
        <w:ind w:left="426"/>
        <w:jc w:val="both"/>
        <w:rPr>
          <w:rFonts w:ascii="Calibri" w:hAnsi="Calibri" w:cs="Calibri"/>
          <w:sz w:val="22"/>
          <w:szCs w:val="22"/>
        </w:rPr>
      </w:pPr>
    </w:p>
    <w:p w14:paraId="1D37CE32" w14:textId="77777777" w:rsidR="009942AF" w:rsidRPr="009942AF" w:rsidRDefault="009942AF" w:rsidP="009942AF">
      <w:pPr>
        <w:tabs>
          <w:tab w:val="left" w:pos="720"/>
        </w:tabs>
        <w:spacing w:line="360" w:lineRule="auto"/>
        <w:ind w:left="720"/>
        <w:jc w:val="both"/>
        <w:rPr>
          <w:rFonts w:ascii="Calibri" w:hAnsi="Calibri" w:cs="Calibri"/>
          <w:i/>
          <w:iCs/>
          <w:sz w:val="22"/>
          <w:szCs w:val="22"/>
        </w:rPr>
      </w:pPr>
      <w:r w:rsidRPr="009942AF">
        <w:rPr>
          <w:rFonts w:ascii="Calibri" w:hAnsi="Calibri" w:cs="Calibri"/>
          <w:i/>
          <w:iCs/>
          <w:sz w:val="22"/>
          <w:szCs w:val="22"/>
        </w:rPr>
        <w:t xml:space="preserve">“148. The charges payable by a consumer for supply of electrical power and other sums payable to the licensee/supplier shall be billed </w:t>
      </w:r>
      <w:r w:rsidRPr="009942AF">
        <w:rPr>
          <w:rFonts w:ascii="Calibri" w:hAnsi="Calibri" w:cs="Calibri"/>
          <w:b/>
          <w:bCs/>
          <w:i/>
          <w:iCs/>
          <w:sz w:val="22"/>
          <w:szCs w:val="22"/>
        </w:rPr>
        <w:t>on pro-rata monthly basis</w:t>
      </w:r>
      <w:r w:rsidRPr="009942AF">
        <w:rPr>
          <w:rFonts w:ascii="Calibri" w:hAnsi="Calibri" w:cs="Calibri"/>
          <w:i/>
          <w:iCs/>
          <w:sz w:val="22"/>
          <w:szCs w:val="22"/>
        </w:rPr>
        <w:t xml:space="preserve"> indicating the period for which charges have been levied. </w:t>
      </w:r>
      <w:r w:rsidRPr="009942AF">
        <w:rPr>
          <w:rFonts w:ascii="Calibri" w:hAnsi="Calibri" w:cs="Calibri"/>
          <w:b/>
          <w:bCs/>
          <w:i/>
          <w:iCs/>
          <w:sz w:val="22"/>
          <w:szCs w:val="22"/>
        </w:rPr>
        <w:t>When supply to a new consumer is commenced or an agreement is terminated on a day other than the first day of a month</w:t>
      </w:r>
      <w:r w:rsidRPr="009942AF">
        <w:rPr>
          <w:rFonts w:ascii="Calibri" w:hAnsi="Calibri" w:cs="Calibri"/>
          <w:i/>
          <w:iCs/>
          <w:sz w:val="22"/>
          <w:szCs w:val="22"/>
        </w:rPr>
        <w:t xml:space="preserve">, demand charges and other charges as </w:t>
      </w:r>
      <w:r w:rsidRPr="009942AF">
        <w:rPr>
          <w:rFonts w:ascii="Calibri" w:hAnsi="Calibri" w:cs="Calibri"/>
          <w:i/>
          <w:iCs/>
          <w:sz w:val="22"/>
          <w:szCs w:val="22"/>
        </w:rPr>
        <w:lastRenderedPageBreak/>
        <w:t>applicable under tariff notification shall be levied pro-rata for the number of days during the month for which supply shall have been given or agreement shall have been in force.”</w:t>
      </w:r>
    </w:p>
    <w:p w14:paraId="00EE107C" w14:textId="77777777" w:rsidR="009942AF" w:rsidRPr="009942AF" w:rsidRDefault="009942AF" w:rsidP="009942AF">
      <w:pPr>
        <w:spacing w:line="360" w:lineRule="auto"/>
        <w:ind w:left="720"/>
        <w:jc w:val="both"/>
        <w:rPr>
          <w:rFonts w:ascii="Calibri" w:hAnsi="Calibri" w:cs="Calibri"/>
          <w:i/>
          <w:iCs/>
          <w:sz w:val="22"/>
          <w:szCs w:val="22"/>
        </w:rPr>
      </w:pPr>
      <w:r w:rsidRPr="009942AF">
        <w:rPr>
          <w:rFonts w:ascii="Calibri" w:hAnsi="Calibri" w:cs="Calibri"/>
          <w:i/>
          <w:iCs/>
          <w:sz w:val="22"/>
          <w:szCs w:val="22"/>
        </w:rPr>
        <w:t>(</w:t>
      </w:r>
      <w:r w:rsidRPr="009942AF">
        <w:rPr>
          <w:rFonts w:ascii="Calibri" w:hAnsi="Calibri" w:cs="Calibri"/>
          <w:b/>
          <w:bCs/>
          <w:i/>
          <w:iCs/>
          <w:sz w:val="22"/>
          <w:szCs w:val="22"/>
        </w:rPr>
        <w:t>Emphasis Supplied</w:t>
      </w:r>
      <w:r w:rsidRPr="009942AF">
        <w:rPr>
          <w:rFonts w:ascii="Calibri" w:hAnsi="Calibri" w:cs="Calibri"/>
          <w:i/>
          <w:iCs/>
          <w:sz w:val="22"/>
          <w:szCs w:val="22"/>
        </w:rPr>
        <w:t>)</w:t>
      </w:r>
    </w:p>
    <w:p w14:paraId="47FB20FD" w14:textId="77777777" w:rsidR="009942AF" w:rsidRPr="009942AF" w:rsidRDefault="009942AF" w:rsidP="00346C91">
      <w:pPr>
        <w:spacing w:line="360" w:lineRule="auto"/>
        <w:ind w:left="567"/>
        <w:jc w:val="both"/>
        <w:rPr>
          <w:rFonts w:ascii="Calibri" w:hAnsi="Calibri" w:cs="Calibri"/>
          <w:sz w:val="22"/>
          <w:szCs w:val="22"/>
        </w:rPr>
      </w:pPr>
      <w:r w:rsidRPr="009942AF">
        <w:rPr>
          <w:rFonts w:ascii="Calibri" w:hAnsi="Calibri" w:cs="Calibri"/>
          <w:sz w:val="22"/>
          <w:szCs w:val="22"/>
        </w:rPr>
        <w:t xml:space="preserve">The issue of Pro-rata Billing in case of deviation of billing from 30 days billing cycle was clarified by the Hon’ble Commission vide letter dated 06.06.2022, wherein pro-rata billing was denied in all cases other than in cases of commencement or termination of supply on a day other than the first day of a month. The </w:t>
      </w:r>
      <w:proofErr w:type="spellStart"/>
      <w:r w:rsidRPr="009942AF">
        <w:rPr>
          <w:rFonts w:ascii="Calibri" w:hAnsi="Calibri" w:cs="Calibri"/>
          <w:sz w:val="22"/>
          <w:szCs w:val="22"/>
        </w:rPr>
        <w:t>Discoms</w:t>
      </w:r>
      <w:proofErr w:type="spellEnd"/>
      <w:r w:rsidRPr="009942AF">
        <w:rPr>
          <w:rFonts w:ascii="Calibri" w:hAnsi="Calibri" w:cs="Calibri"/>
          <w:sz w:val="22"/>
          <w:szCs w:val="22"/>
        </w:rPr>
        <w:t xml:space="preserve"> were further directed to follow Regulation 109 (on billing cycle period). </w:t>
      </w:r>
    </w:p>
    <w:p w14:paraId="082D6FBE" w14:textId="77777777" w:rsidR="009942AF" w:rsidRPr="009942AF" w:rsidRDefault="009942AF" w:rsidP="00346C91">
      <w:pPr>
        <w:spacing w:line="360" w:lineRule="auto"/>
        <w:ind w:left="567"/>
        <w:jc w:val="both"/>
        <w:rPr>
          <w:rFonts w:ascii="Calibri" w:hAnsi="Calibri" w:cs="Calibri"/>
          <w:sz w:val="22"/>
          <w:szCs w:val="22"/>
        </w:rPr>
      </w:pPr>
    </w:p>
    <w:p w14:paraId="52248531" w14:textId="77777777" w:rsidR="009942AF" w:rsidRPr="009942AF" w:rsidRDefault="009942AF" w:rsidP="00346C91">
      <w:pPr>
        <w:spacing w:line="360" w:lineRule="auto"/>
        <w:ind w:left="567"/>
        <w:jc w:val="both"/>
        <w:rPr>
          <w:rFonts w:ascii="Calibri" w:hAnsi="Calibri" w:cs="Calibri"/>
          <w:sz w:val="22"/>
          <w:szCs w:val="22"/>
        </w:rPr>
      </w:pPr>
      <w:r w:rsidRPr="009942AF">
        <w:rPr>
          <w:rFonts w:ascii="Calibri" w:hAnsi="Calibri" w:cs="Calibri"/>
          <w:sz w:val="22"/>
          <w:szCs w:val="22"/>
        </w:rPr>
        <w:t>Hon’ble Commission has also addressed this issue in RST order FY 24-25 vide para 93 as under;</w:t>
      </w:r>
    </w:p>
    <w:p w14:paraId="5E169957" w14:textId="77777777" w:rsidR="009942AF" w:rsidRPr="009942AF" w:rsidRDefault="009942AF" w:rsidP="00346C91">
      <w:pPr>
        <w:numPr>
          <w:ilvl w:val="0"/>
          <w:numId w:val="66"/>
        </w:numPr>
        <w:spacing w:after="200" w:line="360" w:lineRule="auto"/>
        <w:ind w:left="993"/>
        <w:contextualSpacing/>
        <w:jc w:val="both"/>
        <w:rPr>
          <w:rFonts w:ascii="Calibri" w:eastAsia="Calibri" w:hAnsi="Calibri" w:cs="Calibri"/>
          <w:i/>
          <w:iCs/>
          <w:sz w:val="22"/>
          <w:szCs w:val="22"/>
          <w:lang w:val="en-IN"/>
        </w:rPr>
      </w:pPr>
      <w:r w:rsidRPr="009942AF">
        <w:rPr>
          <w:rFonts w:ascii="Calibri" w:eastAsia="Calibri" w:hAnsi="Calibri" w:cs="Calibri"/>
          <w:i/>
          <w:iCs/>
          <w:sz w:val="22"/>
          <w:szCs w:val="22"/>
          <w:lang w:val="en-IN"/>
        </w:rPr>
        <w:t>“Introduction of pro-rata Billing</w:t>
      </w:r>
    </w:p>
    <w:p w14:paraId="24059811" w14:textId="77777777" w:rsidR="009942AF" w:rsidRPr="009942AF" w:rsidRDefault="009942AF" w:rsidP="00346C91">
      <w:pPr>
        <w:spacing w:line="360" w:lineRule="auto"/>
        <w:ind w:left="993"/>
        <w:jc w:val="both"/>
        <w:rPr>
          <w:rFonts w:ascii="Calibri" w:hAnsi="Calibri" w:cs="Calibri"/>
          <w:i/>
          <w:iCs/>
          <w:sz w:val="22"/>
          <w:szCs w:val="22"/>
          <w:lang w:val="en-IN"/>
        </w:rPr>
      </w:pPr>
      <w:r w:rsidRPr="009942AF">
        <w:rPr>
          <w:rFonts w:ascii="Calibri" w:hAnsi="Calibri" w:cs="Calibri"/>
          <w:i/>
          <w:iCs/>
          <w:sz w:val="22"/>
          <w:szCs w:val="22"/>
          <w:lang w:val="en-IN"/>
        </w:rPr>
        <w:t>The issue of introduction of pro-rata billing has been specifically clarified by the Commission in their letter No.619 dated 06.06.2022 addressed to all the DISCOMs. The Supply Code, 2019 is very specific on this matter. Unless Supply Code is amended with new procedures, pro-rata billing cannot be imposed.”</w:t>
      </w:r>
    </w:p>
    <w:p w14:paraId="05A78884" w14:textId="77777777" w:rsidR="009942AF" w:rsidRPr="009942AF" w:rsidRDefault="009942AF" w:rsidP="00346C91">
      <w:pPr>
        <w:spacing w:line="360" w:lineRule="auto"/>
        <w:ind w:left="567"/>
        <w:jc w:val="both"/>
        <w:rPr>
          <w:rFonts w:ascii="Calibri" w:hAnsi="Calibri" w:cs="Calibri"/>
          <w:sz w:val="22"/>
          <w:szCs w:val="22"/>
        </w:rPr>
      </w:pPr>
    </w:p>
    <w:p w14:paraId="072CD63F" w14:textId="77777777" w:rsidR="009942AF" w:rsidRPr="009942AF" w:rsidRDefault="009942AF" w:rsidP="00346C91">
      <w:pPr>
        <w:spacing w:line="360" w:lineRule="auto"/>
        <w:ind w:left="567"/>
        <w:jc w:val="both"/>
        <w:rPr>
          <w:rFonts w:ascii="Calibri" w:hAnsi="Calibri" w:cs="Calibri"/>
          <w:sz w:val="22"/>
          <w:szCs w:val="22"/>
        </w:rPr>
      </w:pPr>
      <w:r w:rsidRPr="009942AF">
        <w:rPr>
          <w:rFonts w:ascii="Calibri" w:hAnsi="Calibri" w:cs="Calibri"/>
          <w:sz w:val="22"/>
          <w:szCs w:val="22"/>
        </w:rPr>
        <w:t>It is once again to submit that the clarification, however has not addressed the situation where the billing, for various reasons, cannot be carried within the stipulated norms as per regulation 109 of the Supply Code,2019. The relevant extract from the above referred letter is reproduced below:</w:t>
      </w:r>
    </w:p>
    <w:p w14:paraId="5E23DB65" w14:textId="77777777" w:rsidR="009942AF" w:rsidRPr="009942AF" w:rsidRDefault="009942AF" w:rsidP="009942AF">
      <w:pPr>
        <w:spacing w:line="360" w:lineRule="auto"/>
        <w:ind w:left="720"/>
        <w:jc w:val="both"/>
        <w:rPr>
          <w:rFonts w:ascii="Calibri" w:hAnsi="Calibri" w:cs="Calibri"/>
          <w:i/>
          <w:iCs/>
          <w:sz w:val="22"/>
          <w:szCs w:val="22"/>
        </w:rPr>
      </w:pPr>
    </w:p>
    <w:p w14:paraId="20A4877D" w14:textId="77777777" w:rsidR="009942AF" w:rsidRPr="009942AF" w:rsidRDefault="009942AF" w:rsidP="009942AF">
      <w:pPr>
        <w:spacing w:line="360" w:lineRule="auto"/>
        <w:ind w:left="720"/>
        <w:jc w:val="both"/>
        <w:rPr>
          <w:rFonts w:ascii="Calibri" w:hAnsi="Calibri" w:cs="Calibri"/>
          <w:i/>
          <w:iCs/>
          <w:sz w:val="22"/>
          <w:szCs w:val="22"/>
        </w:rPr>
      </w:pPr>
      <w:r w:rsidRPr="009942AF">
        <w:rPr>
          <w:rFonts w:ascii="Calibri" w:hAnsi="Calibri" w:cs="Calibri"/>
          <w:i/>
          <w:iCs/>
          <w:sz w:val="22"/>
          <w:szCs w:val="22"/>
        </w:rPr>
        <w:t xml:space="preserve">“A harmonious reading of the Regulation 148 of the OERC Distribution (Conditions of Supply) Code, 2019 reveals that the </w:t>
      </w:r>
      <w:proofErr w:type="spellStart"/>
      <w:r w:rsidRPr="009942AF">
        <w:rPr>
          <w:rFonts w:ascii="Calibri" w:hAnsi="Calibri" w:cs="Calibri"/>
          <w:i/>
          <w:iCs/>
          <w:sz w:val="22"/>
          <w:szCs w:val="22"/>
        </w:rPr>
        <w:t>prorata</w:t>
      </w:r>
      <w:proofErr w:type="spellEnd"/>
      <w:r w:rsidRPr="009942AF">
        <w:rPr>
          <w:rFonts w:ascii="Calibri" w:hAnsi="Calibri" w:cs="Calibri"/>
          <w:i/>
          <w:iCs/>
          <w:sz w:val="22"/>
          <w:szCs w:val="22"/>
        </w:rPr>
        <w:t xml:space="preserve"> billing should be adopted only in cases when supply to a new consumer commenced or an agreement is terminated on a day other than first day of a month. </w:t>
      </w:r>
      <w:proofErr w:type="spellStart"/>
      <w:r w:rsidRPr="009942AF">
        <w:rPr>
          <w:rFonts w:ascii="Calibri" w:hAnsi="Calibri" w:cs="Calibri"/>
          <w:b/>
          <w:bCs/>
          <w:i/>
          <w:iCs/>
          <w:sz w:val="22"/>
          <w:szCs w:val="22"/>
        </w:rPr>
        <w:t>Prorata</w:t>
      </w:r>
      <w:proofErr w:type="spellEnd"/>
      <w:r w:rsidRPr="009942AF">
        <w:rPr>
          <w:rFonts w:ascii="Calibri" w:hAnsi="Calibri" w:cs="Calibri"/>
          <w:b/>
          <w:bCs/>
          <w:i/>
          <w:iCs/>
          <w:sz w:val="22"/>
          <w:szCs w:val="22"/>
        </w:rPr>
        <w:t xml:space="preserve"> billing should not be adopted in other cases including the case of spot billing</w:t>
      </w:r>
      <w:r w:rsidRPr="009942AF">
        <w:rPr>
          <w:rFonts w:ascii="Calibri" w:hAnsi="Calibri" w:cs="Calibri"/>
          <w:i/>
          <w:iCs/>
          <w:sz w:val="22"/>
          <w:szCs w:val="22"/>
        </w:rPr>
        <w:t xml:space="preserve"> as provided under Regulation 147 of the OERC Distribution (Conditions of Supply) Code, 2019. </w:t>
      </w:r>
      <w:r w:rsidRPr="009942AF">
        <w:rPr>
          <w:rFonts w:ascii="Calibri" w:hAnsi="Calibri" w:cs="Calibri"/>
          <w:b/>
          <w:bCs/>
          <w:i/>
          <w:iCs/>
          <w:sz w:val="22"/>
          <w:szCs w:val="22"/>
        </w:rPr>
        <w:t>Regulation 109 of the OERC Distribution (Conditions of Supply) Code, 2019 shall be strictly followed by DISCOMs without any deviation</w:t>
      </w:r>
      <w:r w:rsidRPr="009942AF">
        <w:rPr>
          <w:rFonts w:ascii="Calibri" w:hAnsi="Calibri" w:cs="Calibri"/>
          <w:i/>
          <w:iCs/>
          <w:sz w:val="22"/>
          <w:szCs w:val="22"/>
        </w:rPr>
        <w:t>.”</w:t>
      </w:r>
    </w:p>
    <w:p w14:paraId="62EE790F" w14:textId="77777777" w:rsidR="009942AF" w:rsidRPr="009942AF" w:rsidRDefault="009942AF" w:rsidP="009942AF">
      <w:pPr>
        <w:spacing w:line="360" w:lineRule="auto"/>
        <w:ind w:left="720"/>
        <w:jc w:val="both"/>
        <w:rPr>
          <w:rFonts w:ascii="Calibri" w:hAnsi="Calibri" w:cs="Calibri"/>
          <w:sz w:val="22"/>
          <w:szCs w:val="22"/>
        </w:rPr>
      </w:pPr>
    </w:p>
    <w:p w14:paraId="71A72C8E" w14:textId="77777777" w:rsidR="009942AF" w:rsidRPr="009942AF" w:rsidRDefault="009942AF" w:rsidP="009942AF">
      <w:pPr>
        <w:spacing w:line="360" w:lineRule="auto"/>
        <w:ind w:left="720"/>
        <w:jc w:val="both"/>
        <w:rPr>
          <w:rFonts w:ascii="Calibri" w:hAnsi="Calibri" w:cs="Calibri"/>
          <w:i/>
          <w:iCs/>
          <w:sz w:val="22"/>
          <w:szCs w:val="22"/>
        </w:rPr>
      </w:pPr>
      <w:r w:rsidRPr="009942AF">
        <w:rPr>
          <w:rFonts w:ascii="Calibri" w:hAnsi="Calibri" w:cs="Calibri"/>
          <w:sz w:val="22"/>
          <w:szCs w:val="22"/>
        </w:rPr>
        <w:t xml:space="preserve">Considering that Billing on the fixed date every month (+ 3 days) may not be feasible for reasons as explained above, it is submitted that the Hon’ble Commission may kindly consider permitting pro-rata adjustment of Slabs limits based on actual days of billing vis a vis the standard norm of 30 days </w:t>
      </w:r>
      <w:proofErr w:type="gramStart"/>
      <w:r w:rsidRPr="009942AF">
        <w:rPr>
          <w:rFonts w:ascii="Calibri" w:hAnsi="Calibri" w:cs="Calibri"/>
          <w:sz w:val="22"/>
          <w:szCs w:val="22"/>
        </w:rPr>
        <w:t>( 365</w:t>
      </w:r>
      <w:proofErr w:type="gramEnd"/>
      <w:r w:rsidRPr="009942AF">
        <w:rPr>
          <w:rFonts w:ascii="Calibri" w:hAnsi="Calibri" w:cs="Calibri"/>
          <w:sz w:val="22"/>
          <w:szCs w:val="22"/>
        </w:rPr>
        <w:t xml:space="preserve"> Days/ 12 ) to ensure that the Consumers get the full slab benefit under all actual billing period scenarios (vis a vis the norm).</w:t>
      </w:r>
    </w:p>
    <w:p w14:paraId="35654A4F" w14:textId="77777777" w:rsidR="009942AF" w:rsidRPr="009942AF" w:rsidRDefault="009942AF" w:rsidP="009942AF">
      <w:pPr>
        <w:spacing w:line="360" w:lineRule="auto"/>
        <w:ind w:left="720"/>
        <w:jc w:val="both"/>
        <w:rPr>
          <w:rFonts w:ascii="Calibri" w:hAnsi="Calibri" w:cs="Calibri"/>
          <w:sz w:val="22"/>
          <w:szCs w:val="22"/>
        </w:rPr>
      </w:pPr>
    </w:p>
    <w:p w14:paraId="09E082F5" w14:textId="77777777" w:rsidR="009942AF" w:rsidRPr="009942AF" w:rsidRDefault="009942AF" w:rsidP="009942AF">
      <w:pPr>
        <w:spacing w:line="360" w:lineRule="auto"/>
        <w:ind w:left="720"/>
        <w:jc w:val="both"/>
        <w:rPr>
          <w:rFonts w:ascii="Calibri" w:hAnsi="Calibri" w:cs="Calibri"/>
          <w:sz w:val="22"/>
          <w:szCs w:val="22"/>
        </w:rPr>
      </w:pPr>
      <w:r w:rsidRPr="009942AF">
        <w:rPr>
          <w:rFonts w:ascii="Calibri" w:hAnsi="Calibri" w:cs="Calibri"/>
          <w:sz w:val="22"/>
          <w:szCs w:val="22"/>
        </w:rPr>
        <w:lastRenderedPageBreak/>
        <w:t>An illustration to demonstrate the impact on Consumer Bill, of the tariffs applied for ‘Fixed Slabs’ irrespective of the number of days of billing vis-à-vis the same tariff being applied to ‘Pro-rata Slab’ based on actual no. of days billing’ is provided below:</w:t>
      </w:r>
    </w:p>
    <w:p w14:paraId="050CA4B5" w14:textId="0C36FB18" w:rsidR="009942AF" w:rsidRPr="009942AF" w:rsidRDefault="00346C91" w:rsidP="009942AF">
      <w:pPr>
        <w:spacing w:line="360" w:lineRule="auto"/>
        <w:ind w:left="720"/>
        <w:jc w:val="both"/>
        <w:rPr>
          <w:rFonts w:ascii="Calibri" w:hAnsi="Calibri" w:cs="Calibri"/>
          <w:i/>
          <w:iCs/>
          <w:sz w:val="22"/>
          <w:szCs w:val="22"/>
        </w:rPr>
      </w:pPr>
      <w:r w:rsidRPr="009942AF">
        <w:rPr>
          <w:rFonts w:ascii="Calibri" w:hAnsi="Calibri" w:cs="Calibri"/>
          <w:noProof/>
          <w:sz w:val="22"/>
          <w:szCs w:val="22"/>
          <w:lang w:val="en-IN" w:eastAsia="en-IN"/>
        </w:rPr>
        <w:drawing>
          <wp:inline distT="0" distB="0" distL="0" distR="0" wp14:anchorId="344B7FFE" wp14:editId="5E44DA43">
            <wp:extent cx="5848350" cy="1857375"/>
            <wp:effectExtent l="76200" t="76200" r="133350" b="142875"/>
            <wp:docPr id="1985675808" name="Picture 1" descr="A close-up of a calenda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5675808" name="Picture 1" descr="A close-up of a calendar&#10;&#10;Description automatically generated"/>
                    <pic:cNvPicPr/>
                  </pic:nvPicPr>
                  <pic:blipFill>
                    <a:blip r:embed="rId158"/>
                    <a:stretch>
                      <a:fillRect/>
                    </a:stretch>
                  </pic:blipFill>
                  <pic:spPr>
                    <a:xfrm>
                      <a:off x="0" y="0"/>
                      <a:ext cx="5848350" cy="185737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511773F7" w14:textId="023BD758" w:rsidR="009942AF" w:rsidRPr="009942AF" w:rsidRDefault="003F354D" w:rsidP="009942AF">
      <w:pPr>
        <w:spacing w:line="360" w:lineRule="auto"/>
        <w:ind w:left="720"/>
        <w:jc w:val="both"/>
        <w:rPr>
          <w:rFonts w:ascii="Calibri" w:hAnsi="Calibri" w:cs="Calibri"/>
          <w:i/>
          <w:iCs/>
          <w:sz w:val="22"/>
          <w:szCs w:val="22"/>
        </w:rPr>
      </w:pPr>
      <w:r w:rsidRPr="009942AF">
        <w:rPr>
          <w:rFonts w:ascii="Calibri" w:hAnsi="Calibri" w:cs="Calibri"/>
          <w:noProof/>
          <w:sz w:val="22"/>
          <w:szCs w:val="22"/>
          <w:lang w:val="en-IN" w:eastAsia="en-IN"/>
        </w:rPr>
        <w:drawing>
          <wp:inline distT="0" distB="0" distL="0" distR="0" wp14:anchorId="4CC0F587" wp14:editId="27AA73FF">
            <wp:extent cx="5823162" cy="4422843"/>
            <wp:effectExtent l="76200" t="76200" r="139700" b="130175"/>
            <wp:docPr id="1266971671" name="Picture 1" descr="A table with numbers an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6971671" name="Picture 1" descr="A table with numbers and text&#10;&#10;Description automatically generated"/>
                    <pic:cNvPicPr/>
                  </pic:nvPicPr>
                  <pic:blipFill>
                    <a:blip r:embed="rId159"/>
                    <a:stretch>
                      <a:fillRect/>
                    </a:stretch>
                  </pic:blipFill>
                  <pic:spPr>
                    <a:xfrm>
                      <a:off x="0" y="0"/>
                      <a:ext cx="5833765" cy="4430897"/>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0BC8BE20" w14:textId="77777777" w:rsidR="009942AF" w:rsidRPr="009942AF" w:rsidRDefault="009942AF" w:rsidP="009942AF">
      <w:pPr>
        <w:spacing w:line="360" w:lineRule="auto"/>
        <w:ind w:left="720"/>
        <w:jc w:val="both"/>
        <w:rPr>
          <w:rFonts w:ascii="Calibri" w:hAnsi="Calibri" w:cs="Calibri"/>
          <w:i/>
          <w:iCs/>
          <w:sz w:val="22"/>
          <w:szCs w:val="22"/>
        </w:rPr>
      </w:pPr>
    </w:p>
    <w:p w14:paraId="2F327A9D" w14:textId="77777777" w:rsidR="009942AF" w:rsidRPr="009942AF" w:rsidRDefault="009942AF" w:rsidP="009942AF">
      <w:pPr>
        <w:spacing w:line="360" w:lineRule="auto"/>
        <w:ind w:left="720"/>
        <w:jc w:val="both"/>
        <w:rPr>
          <w:rFonts w:ascii="Calibri" w:hAnsi="Calibri" w:cs="Calibri"/>
          <w:i/>
          <w:iCs/>
          <w:sz w:val="22"/>
          <w:szCs w:val="22"/>
        </w:rPr>
      </w:pPr>
    </w:p>
    <w:p w14:paraId="3E969A39" w14:textId="704696FC" w:rsidR="009942AF" w:rsidRPr="009942AF" w:rsidRDefault="009942AF" w:rsidP="009942AF">
      <w:pPr>
        <w:spacing w:line="360" w:lineRule="auto"/>
        <w:ind w:left="426"/>
        <w:jc w:val="both"/>
        <w:rPr>
          <w:rFonts w:ascii="Calibri" w:hAnsi="Calibri" w:cs="Calibri"/>
          <w:sz w:val="22"/>
          <w:szCs w:val="22"/>
        </w:rPr>
      </w:pPr>
    </w:p>
    <w:p w14:paraId="32A75799" w14:textId="77777777" w:rsidR="009942AF" w:rsidRPr="009942AF" w:rsidRDefault="009942AF" w:rsidP="009942AF">
      <w:pPr>
        <w:spacing w:line="360" w:lineRule="auto"/>
        <w:rPr>
          <w:rFonts w:ascii="Calibri" w:hAnsi="Calibri" w:cs="Calibri"/>
          <w:noProof/>
          <w:sz w:val="22"/>
          <w:szCs w:val="22"/>
        </w:rPr>
      </w:pPr>
    </w:p>
    <w:p w14:paraId="58D848B8" w14:textId="77777777" w:rsidR="009942AF" w:rsidRPr="009942AF" w:rsidRDefault="009942AF" w:rsidP="003F354D">
      <w:pPr>
        <w:spacing w:line="360" w:lineRule="auto"/>
        <w:ind w:left="567"/>
        <w:jc w:val="both"/>
        <w:rPr>
          <w:rFonts w:ascii="Calibri" w:hAnsi="Calibri" w:cs="Calibri"/>
          <w:sz w:val="22"/>
          <w:szCs w:val="22"/>
        </w:rPr>
      </w:pPr>
      <w:r w:rsidRPr="009942AF">
        <w:rPr>
          <w:rFonts w:ascii="Calibri" w:hAnsi="Calibri" w:cs="Calibri"/>
          <w:sz w:val="22"/>
          <w:szCs w:val="22"/>
        </w:rPr>
        <w:lastRenderedPageBreak/>
        <w:t xml:space="preserve">As can be observed from above, pro-rata billing for slab adjustment based on actual </w:t>
      </w:r>
      <w:proofErr w:type="gramStart"/>
      <w:r w:rsidRPr="009942AF">
        <w:rPr>
          <w:rFonts w:ascii="Calibri" w:hAnsi="Calibri" w:cs="Calibri"/>
          <w:sz w:val="22"/>
          <w:szCs w:val="22"/>
        </w:rPr>
        <w:t>no’s</w:t>
      </w:r>
      <w:proofErr w:type="gramEnd"/>
      <w:r w:rsidRPr="009942AF">
        <w:rPr>
          <w:rFonts w:ascii="Calibri" w:hAnsi="Calibri" w:cs="Calibri"/>
          <w:sz w:val="22"/>
          <w:szCs w:val="22"/>
        </w:rPr>
        <w:t xml:space="preserve"> of days of billing vis a vis the standard norm of 30 days is just and equitable for Consumers as it compensates the consumers for any deficit in slab benefit in a particular month (less than one month) in the subsequent month where the Billing is for more than 30 days.</w:t>
      </w:r>
    </w:p>
    <w:p w14:paraId="7C6AA743" w14:textId="77777777" w:rsidR="009942AF" w:rsidRPr="009942AF" w:rsidRDefault="009942AF" w:rsidP="003F354D">
      <w:pPr>
        <w:spacing w:line="360" w:lineRule="auto"/>
        <w:ind w:left="567"/>
        <w:jc w:val="both"/>
        <w:rPr>
          <w:rFonts w:ascii="Calibri" w:hAnsi="Calibri" w:cs="Calibri"/>
          <w:sz w:val="22"/>
          <w:szCs w:val="22"/>
        </w:rPr>
      </w:pPr>
    </w:p>
    <w:p w14:paraId="229FAF2D" w14:textId="77777777" w:rsidR="009942AF" w:rsidRPr="009942AF" w:rsidRDefault="009942AF" w:rsidP="003F354D">
      <w:pPr>
        <w:spacing w:line="360" w:lineRule="auto"/>
        <w:ind w:left="567"/>
        <w:jc w:val="both"/>
        <w:rPr>
          <w:rFonts w:ascii="Calibri" w:hAnsi="Calibri" w:cs="Calibri"/>
          <w:sz w:val="22"/>
          <w:szCs w:val="22"/>
        </w:rPr>
      </w:pPr>
      <w:r w:rsidRPr="009942AF">
        <w:rPr>
          <w:rFonts w:ascii="Calibri" w:hAnsi="Calibri" w:cs="Calibri"/>
          <w:sz w:val="22"/>
          <w:szCs w:val="22"/>
        </w:rPr>
        <w:t>It is further submitted that similar methodology of pro-rata Slab adjustment is adopted by various States.</w:t>
      </w:r>
    </w:p>
    <w:p w14:paraId="7A9B4D0B" w14:textId="77777777" w:rsidR="009942AF" w:rsidRPr="009942AF" w:rsidRDefault="009942AF" w:rsidP="003F354D">
      <w:pPr>
        <w:spacing w:line="360" w:lineRule="auto"/>
        <w:jc w:val="both"/>
        <w:rPr>
          <w:rFonts w:ascii="Calibri" w:hAnsi="Calibri" w:cs="Calibri"/>
          <w:sz w:val="22"/>
          <w:szCs w:val="22"/>
        </w:rPr>
      </w:pPr>
    </w:p>
    <w:p w14:paraId="32E791DD" w14:textId="77777777" w:rsidR="009942AF" w:rsidRPr="009942AF" w:rsidRDefault="009942AF" w:rsidP="003F354D">
      <w:pPr>
        <w:spacing w:line="360" w:lineRule="auto"/>
        <w:ind w:left="567"/>
        <w:jc w:val="both"/>
        <w:rPr>
          <w:rFonts w:ascii="Calibri" w:hAnsi="Calibri" w:cs="Calibri"/>
          <w:sz w:val="22"/>
          <w:szCs w:val="22"/>
        </w:rPr>
      </w:pPr>
      <w:r w:rsidRPr="009942AF">
        <w:rPr>
          <w:rFonts w:ascii="Calibri" w:hAnsi="Calibri" w:cs="Calibri"/>
          <w:sz w:val="22"/>
          <w:szCs w:val="22"/>
        </w:rPr>
        <w:t>In view of the above explained difficulties in ensuring billing all the time within the stipulated norms, the Hon’ble Commission is requested to permit pro-rata billing for any deviation from the billing cycle of 30 days as explained above.</w:t>
      </w:r>
    </w:p>
    <w:p w14:paraId="78D3904A" w14:textId="262417CE" w:rsidR="009942AF" w:rsidRPr="009942AF" w:rsidRDefault="003F354D" w:rsidP="003F354D">
      <w:pPr>
        <w:keepNext/>
        <w:spacing w:before="240" w:after="60" w:line="360" w:lineRule="auto"/>
        <w:ind w:left="426"/>
        <w:jc w:val="both"/>
        <w:outlineLvl w:val="0"/>
        <w:rPr>
          <w:rFonts w:ascii="Calibri" w:hAnsi="Calibri" w:cs="Calibri"/>
          <w:b/>
          <w:bCs/>
          <w:kern w:val="32"/>
          <w:sz w:val="22"/>
          <w:szCs w:val="22"/>
        </w:rPr>
      </w:pPr>
      <w:bookmarkStart w:id="57" w:name="_Toc183200746"/>
      <w:r>
        <w:rPr>
          <w:rFonts w:ascii="Calibri" w:hAnsi="Calibri" w:cs="Calibri"/>
          <w:b/>
          <w:bCs/>
          <w:kern w:val="32"/>
          <w:sz w:val="22"/>
          <w:szCs w:val="22"/>
        </w:rPr>
        <w:t xml:space="preserve">9.20 </w:t>
      </w:r>
      <w:r w:rsidR="009942AF" w:rsidRPr="009942AF">
        <w:rPr>
          <w:rFonts w:ascii="Calibri" w:hAnsi="Calibri" w:cs="Calibri"/>
          <w:b/>
          <w:bCs/>
          <w:kern w:val="32"/>
          <w:sz w:val="22"/>
          <w:szCs w:val="22"/>
        </w:rPr>
        <w:t>Installation of Smart Meter under Capex and abolition of meter rent.</w:t>
      </w:r>
      <w:bookmarkEnd w:id="57"/>
    </w:p>
    <w:p w14:paraId="6753723F" w14:textId="77777777" w:rsidR="009942AF" w:rsidRPr="009942AF" w:rsidRDefault="009942AF" w:rsidP="009942AF">
      <w:pPr>
        <w:spacing w:line="360" w:lineRule="auto"/>
        <w:jc w:val="both"/>
        <w:rPr>
          <w:rFonts w:ascii="Calibri" w:hAnsi="Calibri" w:cs="Calibri"/>
          <w:sz w:val="22"/>
          <w:szCs w:val="22"/>
        </w:rPr>
      </w:pPr>
    </w:p>
    <w:p w14:paraId="0752D566" w14:textId="77777777" w:rsidR="009942AF" w:rsidRPr="009942AF" w:rsidRDefault="009942AF" w:rsidP="003F354D">
      <w:pPr>
        <w:spacing w:line="360" w:lineRule="auto"/>
        <w:ind w:left="567"/>
        <w:jc w:val="both"/>
        <w:rPr>
          <w:rFonts w:ascii="Calibri" w:hAnsi="Calibri" w:cs="Calibri"/>
          <w:sz w:val="22"/>
          <w:szCs w:val="22"/>
        </w:rPr>
      </w:pPr>
      <w:r w:rsidRPr="009942AF">
        <w:rPr>
          <w:rFonts w:ascii="Calibri" w:hAnsi="Calibri" w:cs="Calibri"/>
          <w:sz w:val="22"/>
          <w:szCs w:val="22"/>
        </w:rPr>
        <w:t>The existing arrangement of meter cost recovery through monthly meter rent is a major impediment in installing smart meters. Even consumers who are having mechanical meters are resisting for replacement of meters because of meter rent as they conceived that replacement of meter is to get meter rent which is not the correct understanding.  Through awareness events we are trying our level best but issue is not getting solved.</w:t>
      </w:r>
    </w:p>
    <w:p w14:paraId="0FD15CDC" w14:textId="77777777" w:rsidR="009942AF" w:rsidRPr="009942AF" w:rsidRDefault="009942AF" w:rsidP="003F354D">
      <w:pPr>
        <w:spacing w:line="360" w:lineRule="auto"/>
        <w:ind w:left="567"/>
        <w:jc w:val="both"/>
        <w:rPr>
          <w:rFonts w:ascii="Calibri" w:hAnsi="Calibri" w:cs="Calibri"/>
          <w:sz w:val="22"/>
          <w:szCs w:val="22"/>
        </w:rPr>
      </w:pPr>
    </w:p>
    <w:p w14:paraId="6DE41D3D" w14:textId="77777777" w:rsidR="009942AF" w:rsidRPr="009942AF" w:rsidRDefault="009942AF" w:rsidP="003F354D">
      <w:pPr>
        <w:spacing w:line="360" w:lineRule="auto"/>
        <w:ind w:left="567"/>
        <w:jc w:val="both"/>
        <w:rPr>
          <w:rFonts w:ascii="Calibri" w:hAnsi="Calibri" w:cs="Calibri"/>
          <w:sz w:val="22"/>
          <w:szCs w:val="22"/>
        </w:rPr>
      </w:pPr>
      <w:r w:rsidRPr="009942AF">
        <w:rPr>
          <w:rFonts w:ascii="Calibri" w:hAnsi="Calibri" w:cs="Calibri"/>
          <w:sz w:val="22"/>
          <w:szCs w:val="22"/>
        </w:rPr>
        <w:t xml:space="preserve">Whereas various regulatory framework mandating that every consumer should have smart meter so that they can get information about their electricity consumption on real time basis besides the other following benefits. </w:t>
      </w:r>
    </w:p>
    <w:p w14:paraId="6342ABA3" w14:textId="77777777" w:rsidR="009942AF" w:rsidRPr="009942AF" w:rsidRDefault="009942AF" w:rsidP="003F354D">
      <w:pPr>
        <w:spacing w:line="360" w:lineRule="auto"/>
        <w:ind w:left="567"/>
        <w:rPr>
          <w:rFonts w:ascii="Calibri" w:hAnsi="Calibri" w:cs="Calibri"/>
          <w:sz w:val="22"/>
          <w:szCs w:val="22"/>
        </w:rPr>
      </w:pPr>
    </w:p>
    <w:p w14:paraId="0FBF7D6F" w14:textId="77777777" w:rsidR="009942AF" w:rsidRPr="009942AF" w:rsidRDefault="009942AF" w:rsidP="003F354D">
      <w:pPr>
        <w:numPr>
          <w:ilvl w:val="0"/>
          <w:numId w:val="52"/>
        </w:numPr>
        <w:spacing w:line="360" w:lineRule="auto"/>
        <w:ind w:hanging="294"/>
        <w:jc w:val="both"/>
        <w:rPr>
          <w:rFonts w:ascii="Calibri" w:hAnsi="Calibri" w:cs="Calibri"/>
          <w:sz w:val="22"/>
          <w:szCs w:val="22"/>
          <w:lang w:val="en-IN"/>
        </w:rPr>
      </w:pPr>
      <w:r w:rsidRPr="009942AF">
        <w:rPr>
          <w:rFonts w:ascii="Calibri" w:hAnsi="Calibri" w:cs="Calibri"/>
          <w:sz w:val="22"/>
          <w:szCs w:val="22"/>
          <w:lang w:val="en-IN"/>
        </w:rPr>
        <w:t xml:space="preserve">Smart meters will make the integration easier, thereby giving thrust to Solar Generation Initiatives of Govt. (PM-Kusum, PM-Surya </w:t>
      </w:r>
      <w:proofErr w:type="spellStart"/>
      <w:r w:rsidRPr="009942AF">
        <w:rPr>
          <w:rFonts w:ascii="Calibri" w:hAnsi="Calibri" w:cs="Calibri"/>
          <w:sz w:val="22"/>
          <w:szCs w:val="22"/>
          <w:lang w:val="en-IN"/>
        </w:rPr>
        <w:t>Ghar</w:t>
      </w:r>
      <w:proofErr w:type="spellEnd"/>
      <w:r w:rsidRPr="009942AF">
        <w:rPr>
          <w:rFonts w:ascii="Calibri" w:hAnsi="Calibri" w:cs="Calibri"/>
          <w:sz w:val="22"/>
          <w:szCs w:val="22"/>
          <w:lang w:val="en-IN"/>
        </w:rPr>
        <w:t>, Rooftop Top Solar etc.)</w:t>
      </w:r>
    </w:p>
    <w:p w14:paraId="403BD069" w14:textId="77777777" w:rsidR="009942AF" w:rsidRPr="009942AF" w:rsidRDefault="009942AF" w:rsidP="009942AF">
      <w:pPr>
        <w:numPr>
          <w:ilvl w:val="0"/>
          <w:numId w:val="52"/>
        </w:numPr>
        <w:spacing w:line="360" w:lineRule="auto"/>
        <w:jc w:val="both"/>
        <w:rPr>
          <w:rFonts w:ascii="Calibri" w:hAnsi="Calibri" w:cs="Calibri"/>
          <w:sz w:val="22"/>
          <w:szCs w:val="22"/>
          <w:lang w:val="en-IN"/>
        </w:rPr>
      </w:pPr>
      <w:r w:rsidRPr="009942AF">
        <w:rPr>
          <w:rFonts w:ascii="Calibri" w:hAnsi="Calibri" w:cs="Calibri"/>
          <w:sz w:val="22"/>
          <w:szCs w:val="22"/>
          <w:lang w:val="en-IN"/>
        </w:rPr>
        <w:t>With availability of real time data on energy usages, the consumers will be able to find areas of inefficiency and excess consumption thereby taking prompt action to reduce unwanted consumption for optimization of energy consumption.</w:t>
      </w:r>
    </w:p>
    <w:p w14:paraId="51B711C1" w14:textId="77777777" w:rsidR="009942AF" w:rsidRPr="009942AF" w:rsidRDefault="009942AF" w:rsidP="009942AF">
      <w:pPr>
        <w:numPr>
          <w:ilvl w:val="0"/>
          <w:numId w:val="52"/>
        </w:numPr>
        <w:spacing w:line="360" w:lineRule="auto"/>
        <w:jc w:val="both"/>
        <w:rPr>
          <w:rFonts w:ascii="Calibri" w:hAnsi="Calibri" w:cs="Calibri"/>
          <w:sz w:val="22"/>
          <w:szCs w:val="22"/>
          <w:lang w:val="en-IN"/>
        </w:rPr>
      </w:pPr>
      <w:r w:rsidRPr="009942AF">
        <w:rPr>
          <w:rFonts w:ascii="Calibri" w:hAnsi="Calibri" w:cs="Calibri"/>
          <w:sz w:val="22"/>
          <w:szCs w:val="22"/>
          <w:lang w:val="en-IN"/>
        </w:rPr>
        <w:t>Smart meters are much more accurate than traditional meters and without any human intervention, which means consumer will receive more accurate bills and less complaints related to billing errors</w:t>
      </w:r>
      <w:r w:rsidRPr="009942AF">
        <w:rPr>
          <w:rFonts w:ascii="Calibri" w:hAnsi="Calibri" w:cs="Calibri"/>
          <w:b/>
          <w:bCs/>
          <w:sz w:val="22"/>
          <w:szCs w:val="22"/>
          <w:lang w:val="en-IN"/>
        </w:rPr>
        <w:t>.</w:t>
      </w:r>
    </w:p>
    <w:p w14:paraId="7730E922" w14:textId="77777777" w:rsidR="009942AF" w:rsidRPr="009942AF" w:rsidRDefault="009942AF" w:rsidP="009942AF">
      <w:pPr>
        <w:numPr>
          <w:ilvl w:val="0"/>
          <w:numId w:val="52"/>
        </w:numPr>
        <w:spacing w:line="360" w:lineRule="auto"/>
        <w:jc w:val="both"/>
        <w:rPr>
          <w:rFonts w:ascii="Calibri" w:hAnsi="Calibri" w:cs="Calibri"/>
          <w:sz w:val="22"/>
          <w:szCs w:val="22"/>
          <w:lang w:val="en-IN"/>
        </w:rPr>
      </w:pPr>
      <w:r w:rsidRPr="009942AF">
        <w:rPr>
          <w:rFonts w:ascii="Calibri" w:hAnsi="Calibri" w:cs="Calibri"/>
          <w:sz w:val="22"/>
          <w:szCs w:val="22"/>
          <w:lang w:val="en-IN"/>
        </w:rPr>
        <w:t xml:space="preserve">With availability of real time data, the </w:t>
      </w:r>
      <w:proofErr w:type="spellStart"/>
      <w:r w:rsidRPr="009942AF">
        <w:rPr>
          <w:rFonts w:ascii="Calibri" w:hAnsi="Calibri" w:cs="Calibri"/>
          <w:sz w:val="22"/>
          <w:szCs w:val="22"/>
          <w:lang w:val="en-IN"/>
        </w:rPr>
        <w:t>Discoms</w:t>
      </w:r>
      <w:proofErr w:type="spellEnd"/>
      <w:r w:rsidRPr="009942AF">
        <w:rPr>
          <w:rFonts w:ascii="Calibri" w:hAnsi="Calibri" w:cs="Calibri"/>
          <w:sz w:val="22"/>
          <w:szCs w:val="22"/>
          <w:lang w:val="en-IN"/>
        </w:rPr>
        <w:t xml:space="preserve"> will be able to plan their power purchase more efficiently thereby reducing burden of excess power purchase on the consumers.</w:t>
      </w:r>
    </w:p>
    <w:p w14:paraId="2A6CBD41" w14:textId="77777777" w:rsidR="009942AF" w:rsidRPr="009942AF" w:rsidRDefault="009942AF" w:rsidP="009942AF">
      <w:pPr>
        <w:numPr>
          <w:ilvl w:val="0"/>
          <w:numId w:val="52"/>
        </w:numPr>
        <w:spacing w:line="360" w:lineRule="auto"/>
        <w:jc w:val="both"/>
        <w:rPr>
          <w:rFonts w:ascii="Calibri" w:hAnsi="Calibri" w:cs="Calibri"/>
          <w:sz w:val="22"/>
          <w:szCs w:val="22"/>
          <w:lang w:val="en-IN"/>
        </w:rPr>
      </w:pPr>
      <w:r w:rsidRPr="009942AF">
        <w:rPr>
          <w:rFonts w:ascii="Calibri" w:hAnsi="Calibri" w:cs="Calibri"/>
          <w:sz w:val="22"/>
          <w:szCs w:val="22"/>
          <w:lang w:val="en-IN"/>
        </w:rPr>
        <w:lastRenderedPageBreak/>
        <w:t>The State will be able to the meet the target set by the Central Government in the area of Smart Meter Installation.</w:t>
      </w:r>
    </w:p>
    <w:p w14:paraId="28A542DA" w14:textId="77777777" w:rsidR="009942AF" w:rsidRPr="009942AF" w:rsidRDefault="009942AF" w:rsidP="009942AF">
      <w:pPr>
        <w:numPr>
          <w:ilvl w:val="0"/>
          <w:numId w:val="52"/>
        </w:numPr>
        <w:spacing w:line="360" w:lineRule="auto"/>
        <w:jc w:val="both"/>
        <w:rPr>
          <w:rFonts w:ascii="Calibri" w:hAnsi="Calibri" w:cs="Calibri"/>
          <w:sz w:val="22"/>
          <w:szCs w:val="22"/>
          <w:lang w:val="en-IN"/>
        </w:rPr>
      </w:pPr>
      <w:r w:rsidRPr="009942AF">
        <w:rPr>
          <w:rFonts w:ascii="Calibri" w:hAnsi="Calibri" w:cs="Calibri"/>
          <w:sz w:val="22"/>
          <w:szCs w:val="22"/>
          <w:lang w:val="en-IN"/>
        </w:rPr>
        <w:t>Through IT and OT integration the interruption duration can be more accurately captured resulting in better measurement of Reliability Indices.</w:t>
      </w:r>
    </w:p>
    <w:p w14:paraId="67026FAC" w14:textId="77777777" w:rsidR="009942AF" w:rsidRPr="009942AF" w:rsidRDefault="009942AF" w:rsidP="009942AF">
      <w:pPr>
        <w:spacing w:line="360" w:lineRule="auto"/>
        <w:ind w:left="720"/>
        <w:jc w:val="both"/>
        <w:rPr>
          <w:rFonts w:ascii="Calibri" w:hAnsi="Calibri" w:cs="Calibri"/>
          <w:sz w:val="22"/>
          <w:szCs w:val="22"/>
        </w:rPr>
      </w:pPr>
    </w:p>
    <w:p w14:paraId="63830874" w14:textId="77777777" w:rsidR="009942AF" w:rsidRPr="009942AF" w:rsidRDefault="009942AF" w:rsidP="003F354D">
      <w:pPr>
        <w:tabs>
          <w:tab w:val="left" w:pos="709"/>
        </w:tabs>
        <w:spacing w:line="360" w:lineRule="auto"/>
        <w:ind w:left="567"/>
        <w:jc w:val="both"/>
        <w:rPr>
          <w:rFonts w:ascii="Calibri" w:hAnsi="Calibri" w:cs="Calibri"/>
          <w:sz w:val="22"/>
          <w:szCs w:val="22"/>
        </w:rPr>
      </w:pPr>
      <w:r w:rsidRPr="009942AF">
        <w:rPr>
          <w:rFonts w:ascii="Calibri" w:hAnsi="Calibri" w:cs="Calibri"/>
          <w:sz w:val="22"/>
          <w:szCs w:val="22"/>
        </w:rPr>
        <w:t xml:space="preserve">So, to ensure that the all consumers can avail the benefit of smart meters, the only feasible option is to install smart meter under Capex route and abolishing the existing method of recovering meter cost through meter rent. This will accrue dual benefit to the consumer. They will be relaxed from the burden </w:t>
      </w:r>
    </w:p>
    <w:p w14:paraId="34E8245B" w14:textId="77777777" w:rsidR="009942AF" w:rsidRPr="009942AF" w:rsidRDefault="009942AF" w:rsidP="003F354D">
      <w:pPr>
        <w:tabs>
          <w:tab w:val="left" w:pos="709"/>
        </w:tabs>
        <w:spacing w:line="360" w:lineRule="auto"/>
        <w:ind w:left="567"/>
        <w:jc w:val="both"/>
        <w:rPr>
          <w:rFonts w:ascii="Calibri" w:hAnsi="Calibri" w:cs="Calibri"/>
          <w:sz w:val="22"/>
          <w:szCs w:val="22"/>
        </w:rPr>
      </w:pPr>
    </w:p>
    <w:p w14:paraId="48C78535" w14:textId="77777777" w:rsidR="009942AF" w:rsidRPr="009942AF" w:rsidRDefault="009942AF" w:rsidP="003F354D">
      <w:pPr>
        <w:tabs>
          <w:tab w:val="left" w:pos="709"/>
        </w:tabs>
        <w:spacing w:line="360" w:lineRule="auto"/>
        <w:ind w:left="567"/>
        <w:jc w:val="both"/>
        <w:rPr>
          <w:rFonts w:ascii="Calibri" w:hAnsi="Calibri" w:cs="Calibri"/>
          <w:sz w:val="22"/>
          <w:szCs w:val="22"/>
        </w:rPr>
      </w:pPr>
    </w:p>
    <w:p w14:paraId="294E2D67" w14:textId="77777777" w:rsidR="009942AF" w:rsidRPr="009942AF" w:rsidRDefault="009942AF" w:rsidP="003F354D">
      <w:pPr>
        <w:tabs>
          <w:tab w:val="left" w:pos="709"/>
        </w:tabs>
        <w:spacing w:line="360" w:lineRule="auto"/>
        <w:ind w:left="567"/>
        <w:jc w:val="both"/>
        <w:rPr>
          <w:rFonts w:ascii="Calibri" w:hAnsi="Calibri" w:cs="Calibri"/>
          <w:sz w:val="22"/>
          <w:szCs w:val="22"/>
          <w:lang w:val="en-IN"/>
        </w:rPr>
      </w:pPr>
      <w:r w:rsidRPr="009942AF">
        <w:rPr>
          <w:rFonts w:ascii="Calibri" w:hAnsi="Calibri" w:cs="Calibri"/>
          <w:sz w:val="22"/>
          <w:szCs w:val="22"/>
        </w:rPr>
        <w:t>of monthly meter rent at the same time enjoy the benefit of smart meters. It is estimated that the impact of above changes in tariff would be negligible.</w:t>
      </w:r>
    </w:p>
    <w:p w14:paraId="37309884" w14:textId="77777777" w:rsidR="009942AF" w:rsidRPr="009942AF" w:rsidRDefault="009942AF" w:rsidP="003F354D">
      <w:pPr>
        <w:tabs>
          <w:tab w:val="left" w:pos="709"/>
        </w:tabs>
        <w:spacing w:line="360" w:lineRule="auto"/>
        <w:ind w:left="567"/>
        <w:jc w:val="both"/>
        <w:rPr>
          <w:rFonts w:ascii="Calibri" w:hAnsi="Calibri" w:cs="Calibri"/>
          <w:sz w:val="22"/>
          <w:szCs w:val="22"/>
        </w:rPr>
      </w:pPr>
    </w:p>
    <w:p w14:paraId="5E57E076" w14:textId="77777777" w:rsidR="009942AF" w:rsidRPr="009942AF" w:rsidRDefault="009942AF" w:rsidP="003F354D">
      <w:pPr>
        <w:tabs>
          <w:tab w:val="left" w:pos="709"/>
        </w:tabs>
        <w:spacing w:line="360" w:lineRule="auto"/>
        <w:ind w:left="567"/>
        <w:jc w:val="both"/>
        <w:rPr>
          <w:rFonts w:ascii="Calibri" w:hAnsi="Calibri" w:cs="Calibri"/>
          <w:sz w:val="22"/>
          <w:szCs w:val="22"/>
          <w:lang w:val="en-IN"/>
        </w:rPr>
      </w:pPr>
      <w:r w:rsidRPr="009942AF">
        <w:rPr>
          <w:rFonts w:ascii="Calibri" w:hAnsi="Calibri" w:cs="Calibri"/>
          <w:sz w:val="22"/>
          <w:szCs w:val="22"/>
        </w:rPr>
        <w:t xml:space="preserve">It is pertinent to mentioned here that most of the state utilities performing well in our country like in the states of Maharashtra, Gujarat, Delhi, Madhya Pradesh, Karnataka, Andhra Pradesh and Tamil Nadu   has abolished meter rent concept way back and switched to capex mode for meter cost recovery.  </w:t>
      </w:r>
      <w:proofErr w:type="gramStart"/>
      <w:r w:rsidRPr="009942AF">
        <w:rPr>
          <w:rFonts w:ascii="Calibri" w:hAnsi="Calibri" w:cs="Calibri"/>
          <w:sz w:val="22"/>
          <w:szCs w:val="22"/>
        </w:rPr>
        <w:t>So</w:t>
      </w:r>
      <w:proofErr w:type="gramEnd"/>
      <w:r w:rsidRPr="009942AF">
        <w:rPr>
          <w:rFonts w:ascii="Calibri" w:hAnsi="Calibri" w:cs="Calibri"/>
          <w:sz w:val="22"/>
          <w:szCs w:val="22"/>
        </w:rPr>
        <w:t xml:space="preserve"> it is good case to consider abolishing meter rent model in Odisha state as well. </w:t>
      </w:r>
    </w:p>
    <w:p w14:paraId="6C4AE6E8" w14:textId="77777777" w:rsidR="009942AF" w:rsidRPr="009942AF" w:rsidRDefault="009942AF" w:rsidP="003F354D">
      <w:pPr>
        <w:tabs>
          <w:tab w:val="left" w:pos="709"/>
        </w:tabs>
        <w:spacing w:line="360" w:lineRule="auto"/>
        <w:ind w:left="567"/>
        <w:jc w:val="both"/>
        <w:rPr>
          <w:rFonts w:ascii="Calibri" w:hAnsi="Calibri" w:cs="Calibri"/>
          <w:sz w:val="22"/>
          <w:szCs w:val="22"/>
        </w:rPr>
      </w:pPr>
    </w:p>
    <w:p w14:paraId="10893C88" w14:textId="77777777" w:rsidR="009942AF" w:rsidRPr="009942AF" w:rsidRDefault="009942AF" w:rsidP="003F354D">
      <w:pPr>
        <w:tabs>
          <w:tab w:val="left" w:pos="709"/>
        </w:tabs>
        <w:spacing w:line="360" w:lineRule="auto"/>
        <w:ind w:left="567"/>
        <w:jc w:val="both"/>
        <w:rPr>
          <w:rFonts w:ascii="Calibri" w:hAnsi="Calibri" w:cs="Calibri"/>
          <w:sz w:val="22"/>
          <w:szCs w:val="22"/>
        </w:rPr>
      </w:pPr>
      <w:r w:rsidRPr="009942AF">
        <w:rPr>
          <w:rFonts w:ascii="Calibri" w:hAnsi="Calibri" w:cs="Calibri"/>
          <w:sz w:val="22"/>
          <w:szCs w:val="22"/>
        </w:rPr>
        <w:t>The Hon’ble Commission has notified the OERC Distribution (Conditions of Supply) Code, 2019 in August 2019. Under regulation 97 (iv) (3), the Licensee/supplier is permitted to move on gradually towards installation/replacement of prepaid/smart/pre-paid smart meters preferably within three years. Ministry of Power, Govt. of India have issued timelines for replacement of existing meters with smart meters for all consumers as per above mentioned notification dated 17th Aug-21.</w:t>
      </w:r>
    </w:p>
    <w:p w14:paraId="7BE3F6C2" w14:textId="77777777" w:rsidR="009942AF" w:rsidRPr="009942AF" w:rsidRDefault="009942AF" w:rsidP="009942AF">
      <w:pPr>
        <w:spacing w:line="360" w:lineRule="auto"/>
        <w:jc w:val="both"/>
        <w:rPr>
          <w:rFonts w:ascii="Calibri" w:hAnsi="Calibri" w:cs="Calibri"/>
          <w:sz w:val="22"/>
          <w:szCs w:val="22"/>
        </w:rPr>
      </w:pPr>
    </w:p>
    <w:p w14:paraId="737E6A02" w14:textId="2EE5142F" w:rsidR="009942AF" w:rsidRPr="009942AF" w:rsidRDefault="009942AF" w:rsidP="003F354D">
      <w:pPr>
        <w:spacing w:line="360" w:lineRule="auto"/>
        <w:ind w:left="709"/>
        <w:jc w:val="both"/>
        <w:rPr>
          <w:rFonts w:ascii="Calibri" w:hAnsi="Calibri" w:cs="Calibri"/>
          <w:sz w:val="22"/>
          <w:szCs w:val="22"/>
        </w:rPr>
      </w:pPr>
      <w:r w:rsidRPr="009942AF">
        <w:rPr>
          <w:rFonts w:ascii="Calibri" w:hAnsi="Calibri" w:cs="Calibri"/>
          <w:sz w:val="22"/>
          <w:szCs w:val="22"/>
        </w:rPr>
        <w:t>Further, Regulation113 (v) of OERC Distributions (Conditions of Supply) Code, 2019, provides as follows:</w:t>
      </w:r>
    </w:p>
    <w:p w14:paraId="53B5C08B" w14:textId="77777777" w:rsidR="009942AF" w:rsidRPr="009942AF" w:rsidRDefault="009942AF" w:rsidP="009942AF">
      <w:pPr>
        <w:autoSpaceDE w:val="0"/>
        <w:autoSpaceDN w:val="0"/>
        <w:adjustRightInd w:val="0"/>
        <w:spacing w:line="360" w:lineRule="auto"/>
        <w:ind w:left="720"/>
        <w:jc w:val="both"/>
        <w:rPr>
          <w:rFonts w:ascii="Calibri" w:hAnsi="Calibri" w:cs="Calibri"/>
          <w:i/>
          <w:iCs/>
          <w:sz w:val="22"/>
          <w:szCs w:val="22"/>
        </w:rPr>
      </w:pPr>
      <w:r w:rsidRPr="009942AF">
        <w:rPr>
          <w:rFonts w:ascii="Calibri" w:hAnsi="Calibri" w:cs="Calibri"/>
          <w:sz w:val="22"/>
          <w:szCs w:val="22"/>
        </w:rPr>
        <w:t>“</w:t>
      </w:r>
      <w:r w:rsidRPr="009942AF">
        <w:rPr>
          <w:rFonts w:ascii="Calibri" w:hAnsi="Calibri" w:cs="Calibri"/>
          <w:i/>
          <w:iCs/>
          <w:sz w:val="22"/>
          <w:szCs w:val="22"/>
        </w:rPr>
        <w:t>In case the licensee/supplier replaces the meter due to technological up-gradation, the cost of the old correct meter already recovered through meter rent shall be deducted from the cost of new meter and the balanced amount may be recovered through meter rent on pro-rata basis “</w:t>
      </w:r>
    </w:p>
    <w:p w14:paraId="7EA86B09" w14:textId="77777777" w:rsidR="009942AF" w:rsidRPr="009942AF" w:rsidRDefault="009942AF" w:rsidP="009942AF">
      <w:pPr>
        <w:autoSpaceDE w:val="0"/>
        <w:autoSpaceDN w:val="0"/>
        <w:adjustRightInd w:val="0"/>
        <w:spacing w:line="360" w:lineRule="auto"/>
        <w:rPr>
          <w:rFonts w:ascii="Calibri" w:hAnsi="Calibri" w:cs="Calibri"/>
          <w:sz w:val="22"/>
          <w:szCs w:val="22"/>
        </w:rPr>
      </w:pPr>
    </w:p>
    <w:p w14:paraId="1E1F309B" w14:textId="01A4D855" w:rsidR="009942AF" w:rsidRDefault="003F354D" w:rsidP="009942AF">
      <w:pPr>
        <w:autoSpaceDE w:val="0"/>
        <w:autoSpaceDN w:val="0"/>
        <w:adjustRightInd w:val="0"/>
        <w:spacing w:line="360" w:lineRule="auto"/>
        <w:ind w:left="284"/>
        <w:jc w:val="both"/>
        <w:rPr>
          <w:rFonts w:ascii="Calibri" w:hAnsi="Calibri" w:cs="Calibri"/>
          <w:sz w:val="22"/>
          <w:szCs w:val="22"/>
        </w:rPr>
      </w:pPr>
      <w:r>
        <w:rPr>
          <w:rFonts w:ascii="Calibri" w:hAnsi="Calibri" w:cs="Calibri"/>
          <w:sz w:val="22"/>
          <w:szCs w:val="22"/>
        </w:rPr>
        <w:t xml:space="preserve">           </w:t>
      </w:r>
      <w:r w:rsidR="009942AF" w:rsidRPr="009942AF">
        <w:rPr>
          <w:rFonts w:ascii="Calibri" w:hAnsi="Calibri" w:cs="Calibri"/>
          <w:sz w:val="22"/>
          <w:szCs w:val="22"/>
        </w:rPr>
        <w:t>In the RST order FY 24-25, Hon’ble Commission has taken a view vide para 93</w:t>
      </w:r>
    </w:p>
    <w:p w14:paraId="2C0BD639" w14:textId="5D261C07" w:rsidR="003F354D" w:rsidRDefault="003F354D" w:rsidP="009942AF">
      <w:pPr>
        <w:autoSpaceDE w:val="0"/>
        <w:autoSpaceDN w:val="0"/>
        <w:adjustRightInd w:val="0"/>
        <w:spacing w:line="360" w:lineRule="auto"/>
        <w:ind w:left="284"/>
        <w:jc w:val="both"/>
        <w:rPr>
          <w:rFonts w:ascii="Calibri" w:hAnsi="Calibri" w:cs="Calibri"/>
          <w:sz w:val="22"/>
          <w:szCs w:val="22"/>
        </w:rPr>
      </w:pPr>
    </w:p>
    <w:p w14:paraId="1A0E1D49" w14:textId="77777777" w:rsidR="003F354D" w:rsidRPr="009942AF" w:rsidRDefault="003F354D" w:rsidP="009942AF">
      <w:pPr>
        <w:autoSpaceDE w:val="0"/>
        <w:autoSpaceDN w:val="0"/>
        <w:adjustRightInd w:val="0"/>
        <w:spacing w:line="360" w:lineRule="auto"/>
        <w:ind w:left="284"/>
        <w:jc w:val="both"/>
        <w:rPr>
          <w:rFonts w:ascii="Calibri" w:hAnsi="Calibri" w:cs="Calibri"/>
          <w:sz w:val="22"/>
          <w:szCs w:val="22"/>
        </w:rPr>
      </w:pPr>
    </w:p>
    <w:p w14:paraId="2D98795C" w14:textId="77777777" w:rsidR="009942AF" w:rsidRPr="003F354D" w:rsidRDefault="009942AF" w:rsidP="009942AF">
      <w:pPr>
        <w:autoSpaceDE w:val="0"/>
        <w:autoSpaceDN w:val="0"/>
        <w:adjustRightInd w:val="0"/>
        <w:spacing w:line="360" w:lineRule="auto"/>
        <w:ind w:left="284"/>
        <w:jc w:val="both"/>
        <w:rPr>
          <w:rFonts w:ascii="Calibri" w:hAnsi="Calibri" w:cs="Calibri"/>
          <w:b/>
          <w:i/>
          <w:sz w:val="22"/>
          <w:szCs w:val="22"/>
          <w:u w:val="single"/>
        </w:rPr>
      </w:pPr>
    </w:p>
    <w:p w14:paraId="4D748A19" w14:textId="587B25D5" w:rsidR="009942AF" w:rsidRPr="003F354D" w:rsidRDefault="003F354D" w:rsidP="003F354D">
      <w:pPr>
        <w:autoSpaceDE w:val="0"/>
        <w:autoSpaceDN w:val="0"/>
        <w:adjustRightInd w:val="0"/>
        <w:spacing w:after="200" w:line="360" w:lineRule="auto"/>
        <w:ind w:left="284"/>
        <w:contextualSpacing/>
        <w:jc w:val="both"/>
        <w:rPr>
          <w:rFonts w:ascii="Calibri" w:eastAsia="Calibri" w:hAnsi="Calibri" w:cs="Calibri"/>
          <w:b/>
          <w:i/>
          <w:iCs/>
          <w:sz w:val="22"/>
          <w:szCs w:val="22"/>
          <w:u w:val="single"/>
          <w:lang w:val="en-IN"/>
        </w:rPr>
      </w:pPr>
      <w:r w:rsidRPr="003F354D">
        <w:rPr>
          <w:rFonts w:ascii="Calibri" w:eastAsia="Calibri" w:hAnsi="Calibri" w:cs="Calibri"/>
          <w:b/>
          <w:i/>
          <w:iCs/>
          <w:sz w:val="22"/>
          <w:szCs w:val="22"/>
          <w:lang w:val="en-IN"/>
        </w:rPr>
        <w:lastRenderedPageBreak/>
        <w:t xml:space="preserve">        </w:t>
      </w:r>
      <w:r w:rsidR="009942AF" w:rsidRPr="003F354D">
        <w:rPr>
          <w:rFonts w:ascii="Calibri" w:eastAsia="Calibri" w:hAnsi="Calibri" w:cs="Calibri"/>
          <w:b/>
          <w:i/>
          <w:iCs/>
          <w:sz w:val="22"/>
          <w:szCs w:val="22"/>
          <w:u w:val="single"/>
          <w:lang w:val="en-IN"/>
        </w:rPr>
        <w:t>“Meter Cost to be recovered under CAPEX</w:t>
      </w:r>
    </w:p>
    <w:p w14:paraId="0AE2CC75" w14:textId="77777777" w:rsidR="009942AF" w:rsidRPr="009942AF" w:rsidRDefault="009942AF" w:rsidP="003F354D">
      <w:pPr>
        <w:autoSpaceDE w:val="0"/>
        <w:autoSpaceDN w:val="0"/>
        <w:adjustRightInd w:val="0"/>
        <w:spacing w:line="360" w:lineRule="auto"/>
        <w:ind w:left="567"/>
        <w:jc w:val="both"/>
        <w:rPr>
          <w:rFonts w:ascii="Calibri" w:hAnsi="Calibri" w:cs="Calibri"/>
          <w:sz w:val="22"/>
          <w:szCs w:val="22"/>
        </w:rPr>
      </w:pPr>
      <w:r w:rsidRPr="009942AF">
        <w:rPr>
          <w:rFonts w:ascii="Calibri" w:hAnsi="Calibri" w:cs="Calibri"/>
          <w:i/>
          <w:iCs/>
          <w:sz w:val="22"/>
          <w:szCs w:val="22"/>
          <w:lang w:val="en-IN"/>
        </w:rPr>
        <w:t>The Commission thoughtfully analysed the proposal. Though the proposal appears to be plausible, still it requires thorough analysis. There will be no issue as far as inclusion of meter cost in CAPEX, where the new meters will be installed. But there may be many Consumers who have already paid the meter rent in full and there may be other Consumers those who have paid the meter rent in part. In those cases, abolishing meter rent may create problem in financial adjustment. Therefore, the DISCOMs are required to file a fresh proposal by giving all the details related to meter rent, number of Consumers in different metering categories, legal implications, if any, and detail plan for implementation etc. Accordingly, the Commission will examine the proposal for recovery under CAPEX.”</w:t>
      </w:r>
    </w:p>
    <w:p w14:paraId="39CA6325" w14:textId="77777777" w:rsidR="009942AF" w:rsidRPr="009942AF" w:rsidRDefault="009942AF" w:rsidP="003F354D">
      <w:pPr>
        <w:autoSpaceDE w:val="0"/>
        <w:autoSpaceDN w:val="0"/>
        <w:adjustRightInd w:val="0"/>
        <w:spacing w:line="360" w:lineRule="auto"/>
        <w:ind w:left="567"/>
        <w:jc w:val="both"/>
        <w:rPr>
          <w:rFonts w:ascii="Calibri" w:hAnsi="Calibri" w:cs="Calibri"/>
          <w:sz w:val="22"/>
          <w:szCs w:val="22"/>
        </w:rPr>
      </w:pPr>
    </w:p>
    <w:p w14:paraId="244A5697" w14:textId="77777777" w:rsidR="009942AF" w:rsidRPr="009942AF" w:rsidRDefault="009942AF" w:rsidP="003F354D">
      <w:pPr>
        <w:autoSpaceDE w:val="0"/>
        <w:autoSpaceDN w:val="0"/>
        <w:adjustRightInd w:val="0"/>
        <w:spacing w:line="360" w:lineRule="auto"/>
        <w:ind w:left="567"/>
        <w:jc w:val="both"/>
        <w:rPr>
          <w:rFonts w:ascii="Calibri" w:hAnsi="Calibri" w:cs="Calibri"/>
          <w:sz w:val="22"/>
          <w:szCs w:val="22"/>
        </w:rPr>
      </w:pPr>
      <w:r w:rsidRPr="009942AF">
        <w:rPr>
          <w:rFonts w:ascii="Calibri" w:hAnsi="Calibri" w:cs="Calibri"/>
          <w:sz w:val="22"/>
          <w:szCs w:val="22"/>
        </w:rPr>
        <w:t>Thereafter, DISCOMs have requested through common letter and presented before Hon’ble Commission for consideration. As advised a separate application is being filed for consideration of the meter cost under CAPEX mode which may kindly be heard along with ARR.</w:t>
      </w:r>
    </w:p>
    <w:p w14:paraId="3F28B9B7" w14:textId="77777777" w:rsidR="009942AF" w:rsidRPr="009942AF" w:rsidRDefault="009942AF" w:rsidP="003F354D">
      <w:pPr>
        <w:autoSpaceDE w:val="0"/>
        <w:autoSpaceDN w:val="0"/>
        <w:adjustRightInd w:val="0"/>
        <w:spacing w:line="360" w:lineRule="auto"/>
        <w:jc w:val="both"/>
        <w:rPr>
          <w:rFonts w:ascii="Calibri" w:hAnsi="Calibri" w:cs="Calibri"/>
          <w:sz w:val="22"/>
          <w:szCs w:val="22"/>
        </w:rPr>
      </w:pPr>
    </w:p>
    <w:p w14:paraId="18697999" w14:textId="77777777" w:rsidR="009942AF" w:rsidRPr="009942AF" w:rsidRDefault="009942AF" w:rsidP="003F354D">
      <w:pPr>
        <w:autoSpaceDE w:val="0"/>
        <w:autoSpaceDN w:val="0"/>
        <w:adjustRightInd w:val="0"/>
        <w:spacing w:line="360" w:lineRule="auto"/>
        <w:ind w:left="567"/>
        <w:jc w:val="both"/>
        <w:rPr>
          <w:rFonts w:ascii="Calibri" w:hAnsi="Calibri" w:cs="Calibri"/>
          <w:sz w:val="22"/>
          <w:szCs w:val="22"/>
        </w:rPr>
      </w:pPr>
      <w:r w:rsidRPr="009942AF">
        <w:rPr>
          <w:rFonts w:ascii="Calibri" w:hAnsi="Calibri" w:cs="Calibri"/>
          <w:sz w:val="22"/>
          <w:szCs w:val="22"/>
        </w:rPr>
        <w:t xml:space="preserve">TPNODL have started installation of Smart Meter phase wise, beginning with 3 Ph category from July, 2022 and till Oct-24 more than 1.80 lakhs of smart meters </w:t>
      </w:r>
      <w:proofErr w:type="gramStart"/>
      <w:r w:rsidRPr="009942AF">
        <w:rPr>
          <w:rFonts w:ascii="Calibri" w:hAnsi="Calibri" w:cs="Calibri"/>
          <w:sz w:val="22"/>
          <w:szCs w:val="22"/>
        </w:rPr>
        <w:t>has</w:t>
      </w:r>
      <w:proofErr w:type="gramEnd"/>
      <w:r w:rsidRPr="009942AF">
        <w:rPr>
          <w:rFonts w:ascii="Calibri" w:hAnsi="Calibri" w:cs="Calibri"/>
          <w:sz w:val="22"/>
          <w:szCs w:val="22"/>
        </w:rPr>
        <w:t xml:space="preserve"> been installed.  All the new connection applications under 3 Ph category are being provided with Smart Meter only.</w:t>
      </w:r>
    </w:p>
    <w:p w14:paraId="216AAD70" w14:textId="77777777" w:rsidR="009942AF" w:rsidRPr="009942AF" w:rsidRDefault="009942AF" w:rsidP="003F354D">
      <w:pPr>
        <w:autoSpaceDE w:val="0"/>
        <w:autoSpaceDN w:val="0"/>
        <w:adjustRightInd w:val="0"/>
        <w:spacing w:line="360" w:lineRule="auto"/>
        <w:jc w:val="both"/>
        <w:rPr>
          <w:rFonts w:ascii="Calibri" w:hAnsi="Calibri" w:cs="Calibri"/>
          <w:sz w:val="22"/>
          <w:szCs w:val="22"/>
        </w:rPr>
      </w:pPr>
    </w:p>
    <w:p w14:paraId="148C66C6" w14:textId="77777777" w:rsidR="009942AF" w:rsidRPr="009942AF" w:rsidRDefault="009942AF" w:rsidP="003F354D">
      <w:pPr>
        <w:autoSpaceDE w:val="0"/>
        <w:autoSpaceDN w:val="0"/>
        <w:adjustRightInd w:val="0"/>
        <w:spacing w:line="360" w:lineRule="auto"/>
        <w:ind w:left="567"/>
        <w:jc w:val="both"/>
        <w:rPr>
          <w:rFonts w:ascii="Calibri" w:hAnsi="Calibri" w:cs="Calibri"/>
          <w:sz w:val="22"/>
          <w:szCs w:val="22"/>
        </w:rPr>
      </w:pPr>
      <w:r w:rsidRPr="009942AF">
        <w:rPr>
          <w:rFonts w:ascii="Calibri" w:hAnsi="Calibri" w:cs="Calibri"/>
          <w:sz w:val="22"/>
          <w:szCs w:val="22"/>
        </w:rPr>
        <w:t xml:space="preserve">Furthermore, due to technological obsolescence, the old meters are required to be replaced with smart meters. While doing so, the consumers are reluctant to allow the replacement because they have paid the meter rent fully or partially and in some </w:t>
      </w:r>
      <w:proofErr w:type="gramStart"/>
      <w:r w:rsidRPr="009942AF">
        <w:rPr>
          <w:rFonts w:ascii="Calibri" w:hAnsi="Calibri" w:cs="Calibri"/>
          <w:sz w:val="22"/>
          <w:szCs w:val="22"/>
        </w:rPr>
        <w:t>cases</w:t>
      </w:r>
      <w:proofErr w:type="gramEnd"/>
      <w:r w:rsidRPr="009942AF">
        <w:rPr>
          <w:rFonts w:ascii="Calibri" w:hAnsi="Calibri" w:cs="Calibri"/>
          <w:sz w:val="22"/>
          <w:szCs w:val="22"/>
        </w:rPr>
        <w:t xml:space="preserve"> they have purchased the meters. In such scenarios, recovery of meter rent through installation of smart meters is becoming more challenging now-a-days.</w:t>
      </w:r>
    </w:p>
    <w:p w14:paraId="694F7F89" w14:textId="77777777" w:rsidR="009942AF" w:rsidRPr="009942AF" w:rsidRDefault="009942AF" w:rsidP="003F354D">
      <w:pPr>
        <w:autoSpaceDE w:val="0"/>
        <w:autoSpaceDN w:val="0"/>
        <w:adjustRightInd w:val="0"/>
        <w:spacing w:line="360" w:lineRule="auto"/>
        <w:ind w:left="567"/>
        <w:jc w:val="both"/>
        <w:rPr>
          <w:rFonts w:ascii="Calibri" w:hAnsi="Calibri" w:cs="Calibri"/>
          <w:sz w:val="22"/>
          <w:szCs w:val="22"/>
        </w:rPr>
      </w:pPr>
    </w:p>
    <w:p w14:paraId="29DCA128" w14:textId="77777777" w:rsidR="009942AF" w:rsidRPr="009942AF" w:rsidRDefault="009942AF" w:rsidP="003F354D">
      <w:pPr>
        <w:autoSpaceDE w:val="0"/>
        <w:autoSpaceDN w:val="0"/>
        <w:adjustRightInd w:val="0"/>
        <w:spacing w:line="360" w:lineRule="auto"/>
        <w:ind w:left="567"/>
        <w:jc w:val="both"/>
        <w:rPr>
          <w:rFonts w:ascii="Calibri" w:hAnsi="Calibri" w:cs="Calibri"/>
          <w:sz w:val="22"/>
          <w:szCs w:val="22"/>
        </w:rPr>
      </w:pPr>
      <w:r w:rsidRPr="009942AF">
        <w:rPr>
          <w:rFonts w:ascii="Calibri" w:hAnsi="Calibri" w:cs="Calibri"/>
          <w:sz w:val="22"/>
          <w:szCs w:val="22"/>
        </w:rPr>
        <w:t>It is also submitted that, the entire new connection as well as replacement of defective meter may be permitted through Smart Meters only. The Hon’ble Commission is, therefore, requested to allow the replacement of smart meters under CAPEX instead of meter rent.</w:t>
      </w:r>
    </w:p>
    <w:p w14:paraId="101F5513" w14:textId="0104CCF6" w:rsidR="009942AF" w:rsidRPr="009942AF" w:rsidRDefault="003F354D" w:rsidP="003F354D">
      <w:pPr>
        <w:keepNext/>
        <w:spacing w:before="240" w:after="60" w:line="360" w:lineRule="auto"/>
        <w:ind w:left="426"/>
        <w:jc w:val="both"/>
        <w:outlineLvl w:val="0"/>
        <w:rPr>
          <w:rFonts w:ascii="Calibri" w:hAnsi="Calibri" w:cs="Calibri"/>
          <w:b/>
          <w:bCs/>
          <w:kern w:val="32"/>
          <w:sz w:val="22"/>
          <w:szCs w:val="22"/>
        </w:rPr>
      </w:pPr>
      <w:r>
        <w:rPr>
          <w:rFonts w:ascii="Calibri" w:hAnsi="Calibri" w:cs="Calibri"/>
          <w:b/>
          <w:bCs/>
          <w:kern w:val="32"/>
          <w:sz w:val="22"/>
          <w:szCs w:val="22"/>
        </w:rPr>
        <w:t xml:space="preserve">  9.21 </w:t>
      </w:r>
      <w:r w:rsidR="009942AF" w:rsidRPr="009942AF">
        <w:rPr>
          <w:rFonts w:ascii="Calibri" w:hAnsi="Calibri" w:cs="Calibri"/>
          <w:b/>
          <w:bCs/>
          <w:kern w:val="32"/>
          <w:sz w:val="22"/>
          <w:szCs w:val="22"/>
        </w:rPr>
        <w:t>Creation of Contingency Reserves for Assets that are not insured by Insurance Companies</w:t>
      </w:r>
    </w:p>
    <w:p w14:paraId="1D0F6FB4" w14:textId="77777777" w:rsidR="009942AF" w:rsidRPr="009942AF" w:rsidRDefault="009942AF" w:rsidP="003F354D">
      <w:pPr>
        <w:spacing w:beforeLines="100" w:before="240" w:afterLines="100" w:after="240" w:line="360" w:lineRule="auto"/>
        <w:ind w:left="567"/>
        <w:jc w:val="both"/>
        <w:rPr>
          <w:rFonts w:ascii="Calibri" w:hAnsi="Calibri" w:cs="Calibri"/>
          <w:sz w:val="22"/>
          <w:szCs w:val="22"/>
        </w:rPr>
      </w:pPr>
      <w:r w:rsidRPr="009942AF">
        <w:rPr>
          <w:rFonts w:ascii="Calibri" w:hAnsi="Calibri" w:cs="Calibri"/>
          <w:sz w:val="22"/>
          <w:szCs w:val="22"/>
        </w:rPr>
        <w:t xml:space="preserve">The </w:t>
      </w:r>
      <w:proofErr w:type="spellStart"/>
      <w:r w:rsidRPr="009942AF">
        <w:rPr>
          <w:rFonts w:ascii="Calibri" w:hAnsi="Calibri" w:cs="Calibri"/>
          <w:sz w:val="22"/>
          <w:szCs w:val="22"/>
        </w:rPr>
        <w:t>Discoms</w:t>
      </w:r>
      <w:proofErr w:type="spellEnd"/>
      <w:r w:rsidRPr="009942AF">
        <w:rPr>
          <w:rFonts w:ascii="Calibri" w:hAnsi="Calibri" w:cs="Calibri"/>
          <w:sz w:val="22"/>
          <w:szCs w:val="22"/>
        </w:rPr>
        <w:t>, as a mandatory risk mitigation measure, have been taking various insurances for fixed assets, inventory, cash, personnel, Directors &amp; Officers Liability, Third Party etc. The insurance covers are obtained in a manner to optimize on the Insurance Premium while ensuring adequate risk coverage considering the probability (i.e. likelihood) and severity (i.e. consequential impact) of a Risk event. The Hon’ble Commission has been allowing the insurance premium as part of A&amp;G Costs.</w:t>
      </w:r>
    </w:p>
    <w:p w14:paraId="743D0FE6" w14:textId="77777777" w:rsidR="009942AF" w:rsidRPr="009942AF" w:rsidRDefault="009942AF" w:rsidP="003F354D">
      <w:pPr>
        <w:spacing w:beforeLines="100" w:before="240" w:afterLines="100" w:after="240" w:line="360" w:lineRule="auto"/>
        <w:ind w:left="567"/>
        <w:jc w:val="both"/>
        <w:rPr>
          <w:rFonts w:ascii="Calibri" w:hAnsi="Calibri" w:cs="Calibri"/>
          <w:sz w:val="22"/>
          <w:szCs w:val="22"/>
        </w:rPr>
      </w:pPr>
      <w:r w:rsidRPr="009942AF">
        <w:rPr>
          <w:rFonts w:ascii="Calibri" w:hAnsi="Calibri" w:cs="Calibri"/>
          <w:sz w:val="22"/>
          <w:szCs w:val="22"/>
        </w:rPr>
        <w:lastRenderedPageBreak/>
        <w:t xml:space="preserve">It is submitted that one of the most risk prone fixed asset, viz. overhead LT / HT/ EHT Lines, remaining uninsured due to Insurance Companies not providing insurance coverage in line with the general practice followed by Insurance companies. Discussions with various insurance companies has not elicited any positive response, with the result that the Lines remain uninsured. The issue of non-availability of insurance coverage for such assets was taken up in Board meeting/ Audit Committee meeting wherein it was advised to check what alternative practices are available / followed in Power Sector. </w:t>
      </w:r>
    </w:p>
    <w:p w14:paraId="5108B654" w14:textId="31E08240" w:rsidR="009942AF" w:rsidRPr="009942AF" w:rsidRDefault="009942AF" w:rsidP="003F354D">
      <w:pPr>
        <w:spacing w:beforeLines="100" w:before="240" w:afterLines="100" w:after="240" w:line="360" w:lineRule="auto"/>
        <w:ind w:left="567"/>
        <w:jc w:val="both"/>
        <w:rPr>
          <w:rFonts w:ascii="Calibri" w:hAnsi="Calibri" w:cs="Calibri"/>
          <w:sz w:val="22"/>
          <w:szCs w:val="22"/>
        </w:rPr>
      </w:pPr>
      <w:r w:rsidRPr="009942AF">
        <w:rPr>
          <w:rFonts w:ascii="Calibri" w:hAnsi="Calibri" w:cs="Calibri"/>
          <w:sz w:val="22"/>
          <w:szCs w:val="22"/>
        </w:rPr>
        <w:t xml:space="preserve">The Utility submits that the Distribution system is more prone to natural calamities like cyclone, flood etc., which have become an annual feature given the </w:t>
      </w:r>
      <w:proofErr w:type="spellStart"/>
      <w:r w:rsidRPr="009942AF">
        <w:rPr>
          <w:rFonts w:ascii="Calibri" w:hAnsi="Calibri" w:cs="Calibri"/>
          <w:sz w:val="22"/>
          <w:szCs w:val="22"/>
        </w:rPr>
        <w:t>Phailin</w:t>
      </w:r>
      <w:proofErr w:type="spellEnd"/>
      <w:r w:rsidRPr="009942AF">
        <w:rPr>
          <w:rFonts w:ascii="Calibri" w:hAnsi="Calibri" w:cs="Calibri"/>
          <w:sz w:val="22"/>
          <w:szCs w:val="22"/>
        </w:rPr>
        <w:t xml:space="preserve">, Hud </w:t>
      </w:r>
      <w:proofErr w:type="spellStart"/>
      <w:r w:rsidRPr="009942AF">
        <w:rPr>
          <w:rFonts w:ascii="Calibri" w:hAnsi="Calibri" w:cs="Calibri"/>
          <w:sz w:val="22"/>
          <w:szCs w:val="22"/>
        </w:rPr>
        <w:t>Hud</w:t>
      </w:r>
      <w:proofErr w:type="spellEnd"/>
      <w:r w:rsidRPr="009942AF">
        <w:rPr>
          <w:rFonts w:ascii="Calibri" w:hAnsi="Calibri" w:cs="Calibri"/>
          <w:sz w:val="22"/>
          <w:szCs w:val="22"/>
        </w:rPr>
        <w:t xml:space="preserve">, DAYE, </w:t>
      </w:r>
      <w:proofErr w:type="spellStart"/>
      <w:r w:rsidRPr="009942AF">
        <w:rPr>
          <w:rFonts w:ascii="Calibri" w:hAnsi="Calibri" w:cs="Calibri"/>
          <w:sz w:val="22"/>
          <w:szCs w:val="22"/>
        </w:rPr>
        <w:t>Titili</w:t>
      </w:r>
      <w:proofErr w:type="spellEnd"/>
      <w:r w:rsidRPr="009942AF">
        <w:rPr>
          <w:rFonts w:ascii="Calibri" w:hAnsi="Calibri" w:cs="Calibri"/>
          <w:sz w:val="22"/>
          <w:szCs w:val="22"/>
        </w:rPr>
        <w:t xml:space="preserve">, FANI, AMPHAN in quick succession, for which contingency provisions should be made. </w:t>
      </w:r>
      <w:r w:rsidRPr="009942AF">
        <w:rPr>
          <w:rFonts w:ascii="Calibri" w:hAnsi="Calibri" w:cs="Calibri"/>
          <w:sz w:val="22"/>
          <w:szCs w:val="22"/>
        </w:rPr>
        <w:tab/>
      </w:r>
      <w:r w:rsidRPr="009942AF">
        <w:rPr>
          <w:rFonts w:ascii="Calibri" w:hAnsi="Calibri" w:cs="Calibri"/>
          <w:sz w:val="22"/>
          <w:szCs w:val="22"/>
        </w:rPr>
        <w:tab/>
      </w:r>
    </w:p>
    <w:p w14:paraId="56478DE7" w14:textId="77777777" w:rsidR="009942AF" w:rsidRPr="009942AF" w:rsidRDefault="009942AF" w:rsidP="003F354D">
      <w:pPr>
        <w:spacing w:beforeLines="100" w:before="240" w:afterLines="100" w:after="240" w:line="360" w:lineRule="auto"/>
        <w:ind w:left="567"/>
        <w:jc w:val="both"/>
        <w:rPr>
          <w:rFonts w:ascii="Calibri" w:hAnsi="Calibri" w:cs="Calibri"/>
          <w:sz w:val="22"/>
          <w:szCs w:val="22"/>
        </w:rPr>
      </w:pPr>
      <w:r w:rsidRPr="009942AF">
        <w:rPr>
          <w:rFonts w:ascii="Calibri" w:hAnsi="Calibri" w:cs="Calibri"/>
          <w:sz w:val="22"/>
          <w:szCs w:val="22"/>
        </w:rPr>
        <w:t xml:space="preserve">The Utility seeks reference to the National Tariff Policy, vide Clause 8.2.1 Para ‘6’ which states that, the contingency reserve should be drawn upon the prior approval of the State Commission only in the event of contingency conditions </w:t>
      </w:r>
      <w:r w:rsidRPr="009942AF">
        <w:rPr>
          <w:rFonts w:ascii="Calibri" w:hAnsi="Calibri" w:cs="Calibri"/>
          <w:sz w:val="22"/>
          <w:szCs w:val="22"/>
        </w:rPr>
        <w:tab/>
        <w:t xml:space="preserve">specified through the Regulations by the State Commission. Accordingly, </w:t>
      </w:r>
    </w:p>
    <w:p w14:paraId="121BCB82" w14:textId="77777777" w:rsidR="009942AF" w:rsidRPr="009942AF" w:rsidRDefault="009942AF" w:rsidP="003F354D">
      <w:pPr>
        <w:spacing w:beforeLines="100" w:before="240" w:afterLines="100" w:after="240" w:line="360" w:lineRule="auto"/>
        <w:ind w:left="567"/>
        <w:jc w:val="both"/>
        <w:rPr>
          <w:rFonts w:ascii="Calibri" w:hAnsi="Calibri" w:cs="Calibri"/>
          <w:sz w:val="22"/>
          <w:szCs w:val="22"/>
        </w:rPr>
      </w:pPr>
      <w:r w:rsidRPr="009942AF">
        <w:rPr>
          <w:rFonts w:ascii="Calibri" w:hAnsi="Calibri" w:cs="Calibri"/>
          <w:sz w:val="22"/>
          <w:szCs w:val="22"/>
        </w:rPr>
        <w:t xml:space="preserve">taking into consideration that, the State of Odisha is prone to natural calamities at regular intervals having witnessed in the last 100 years, 49 floods, 39 droughts and 11 cyclones, and taking into consideration the massive damage to the electrical infrastructure, it is prayed that Contingency Reserve be allowed for the Utility along with the guidelines/practice directions for use of such Contingency Reserve Fund.       </w:t>
      </w:r>
    </w:p>
    <w:p w14:paraId="4F5B05FA" w14:textId="77777777" w:rsidR="009942AF" w:rsidRPr="009942AF" w:rsidRDefault="009942AF" w:rsidP="003F354D">
      <w:pPr>
        <w:spacing w:beforeLines="100" w:before="240" w:afterLines="100" w:after="240" w:line="360" w:lineRule="auto"/>
        <w:ind w:left="567"/>
        <w:jc w:val="both"/>
        <w:rPr>
          <w:rFonts w:ascii="Calibri" w:hAnsi="Calibri" w:cs="Calibri"/>
          <w:sz w:val="22"/>
          <w:szCs w:val="22"/>
        </w:rPr>
      </w:pPr>
      <w:r w:rsidRPr="009942AF">
        <w:rPr>
          <w:rFonts w:ascii="Calibri" w:hAnsi="Calibri" w:cs="Calibri"/>
          <w:sz w:val="22"/>
          <w:szCs w:val="22"/>
        </w:rPr>
        <w:t xml:space="preserve">Accordingly, DISCOMs have also discussed this issue with M/s. </w:t>
      </w:r>
      <w:proofErr w:type="spellStart"/>
      <w:r w:rsidRPr="009942AF">
        <w:rPr>
          <w:rFonts w:ascii="Calibri" w:hAnsi="Calibri" w:cs="Calibri"/>
          <w:sz w:val="22"/>
          <w:szCs w:val="22"/>
        </w:rPr>
        <w:t>Powergrid</w:t>
      </w:r>
      <w:proofErr w:type="spellEnd"/>
      <w:r w:rsidRPr="009942AF">
        <w:rPr>
          <w:rFonts w:ascii="Calibri" w:hAnsi="Calibri" w:cs="Calibri"/>
          <w:sz w:val="22"/>
          <w:szCs w:val="22"/>
        </w:rPr>
        <w:t xml:space="preserve"> Corporation of India Ltd. the Central Transmission Utility who had also faced similar issue and came to know that CERC has kept a provision in allowing A&amp;G expenses </w:t>
      </w:r>
      <w:proofErr w:type="spellStart"/>
      <w:r w:rsidRPr="009942AF">
        <w:rPr>
          <w:rFonts w:ascii="Calibri" w:hAnsi="Calibri" w:cs="Calibri"/>
          <w:sz w:val="22"/>
          <w:szCs w:val="22"/>
        </w:rPr>
        <w:t>where</w:t>
      </w:r>
      <w:proofErr w:type="spellEnd"/>
      <w:r w:rsidRPr="009942AF">
        <w:rPr>
          <w:rFonts w:ascii="Calibri" w:hAnsi="Calibri" w:cs="Calibri"/>
          <w:sz w:val="22"/>
          <w:szCs w:val="22"/>
        </w:rPr>
        <w:t xml:space="preserve"> 0.9% of Gross Fixed asset is allowed to create self-insurance reserve to cover the risk of uninsured lines and cables. That reserve is allowed as a part of ARR and is solely at the disposal of the CERC.</w:t>
      </w:r>
    </w:p>
    <w:p w14:paraId="72013A28" w14:textId="77777777" w:rsidR="009942AF" w:rsidRPr="009942AF" w:rsidRDefault="009942AF" w:rsidP="003F354D">
      <w:pPr>
        <w:spacing w:beforeLines="100" w:before="240" w:afterLines="100" w:after="240" w:line="360" w:lineRule="auto"/>
        <w:ind w:left="567"/>
        <w:jc w:val="both"/>
        <w:rPr>
          <w:rFonts w:ascii="Calibri" w:hAnsi="Calibri" w:cs="Calibri"/>
          <w:sz w:val="22"/>
          <w:szCs w:val="22"/>
        </w:rPr>
      </w:pPr>
      <w:r w:rsidRPr="009942AF">
        <w:rPr>
          <w:rFonts w:ascii="Calibri" w:hAnsi="Calibri" w:cs="Calibri"/>
          <w:sz w:val="22"/>
          <w:szCs w:val="22"/>
        </w:rPr>
        <w:t xml:space="preserve">In line with the above provision, </w:t>
      </w:r>
      <w:proofErr w:type="gramStart"/>
      <w:r w:rsidRPr="009942AF">
        <w:rPr>
          <w:rFonts w:ascii="Calibri" w:hAnsi="Calibri" w:cs="Calibri"/>
          <w:sz w:val="22"/>
          <w:szCs w:val="22"/>
        </w:rPr>
        <w:t>PGCIL  has</w:t>
      </w:r>
      <w:proofErr w:type="gramEnd"/>
      <w:r w:rsidRPr="009942AF">
        <w:rPr>
          <w:rFonts w:ascii="Calibri" w:hAnsi="Calibri" w:cs="Calibri"/>
          <w:sz w:val="22"/>
          <w:szCs w:val="22"/>
        </w:rPr>
        <w:t xml:space="preserve"> been creating a  “Self-Insurance Reserve” to cover the risk of uninsured lines and cables for any adverse eventuality and same is accounted for by the Hon’ble Central Electricity Regulatory Commission while approving the normative O&amp;M Cost Allowance.</w:t>
      </w:r>
    </w:p>
    <w:p w14:paraId="342117C7" w14:textId="77777777" w:rsidR="009942AF" w:rsidRPr="009942AF" w:rsidRDefault="009942AF" w:rsidP="003F354D">
      <w:pPr>
        <w:spacing w:beforeLines="100" w:before="240" w:afterLines="100" w:after="240" w:line="360" w:lineRule="auto"/>
        <w:ind w:left="567"/>
        <w:jc w:val="both"/>
        <w:rPr>
          <w:rFonts w:ascii="Calibri" w:hAnsi="Calibri" w:cs="Calibri"/>
          <w:sz w:val="22"/>
          <w:szCs w:val="22"/>
        </w:rPr>
      </w:pPr>
      <w:r w:rsidRPr="009942AF">
        <w:rPr>
          <w:rFonts w:ascii="Calibri" w:hAnsi="Calibri" w:cs="Calibri"/>
          <w:sz w:val="22"/>
          <w:szCs w:val="22"/>
        </w:rPr>
        <w:t xml:space="preserve">In view of the above critical issue of overhead lines being left uninsured, we are submitting this petition seeking approval of the Hon’ble Commission for creation </w:t>
      </w:r>
      <w:proofErr w:type="gramStart"/>
      <w:r w:rsidRPr="009942AF">
        <w:rPr>
          <w:rFonts w:ascii="Calibri" w:hAnsi="Calibri" w:cs="Calibri"/>
          <w:sz w:val="22"/>
          <w:szCs w:val="22"/>
        </w:rPr>
        <w:t>of  Self</w:t>
      </w:r>
      <w:proofErr w:type="gramEnd"/>
      <w:r w:rsidRPr="009942AF">
        <w:rPr>
          <w:rFonts w:ascii="Calibri" w:hAnsi="Calibri" w:cs="Calibri"/>
          <w:sz w:val="22"/>
          <w:szCs w:val="22"/>
        </w:rPr>
        <w:t>-Insurance Reserve or Contingency Reserve for such assets which the Insurance Companies have not agreed to insure .</w:t>
      </w:r>
    </w:p>
    <w:p w14:paraId="749A01E2" w14:textId="77777777" w:rsidR="009942AF" w:rsidRPr="009942AF" w:rsidRDefault="009942AF" w:rsidP="003F354D">
      <w:pPr>
        <w:spacing w:beforeLines="100" w:before="240" w:afterLines="100" w:after="240" w:line="360" w:lineRule="auto"/>
        <w:ind w:left="567"/>
        <w:jc w:val="both"/>
        <w:rPr>
          <w:rFonts w:ascii="Calibri" w:hAnsi="Calibri" w:cs="Calibri"/>
          <w:sz w:val="22"/>
          <w:szCs w:val="22"/>
        </w:rPr>
      </w:pPr>
      <w:r w:rsidRPr="009942AF">
        <w:rPr>
          <w:rFonts w:ascii="Calibri" w:hAnsi="Calibri" w:cs="Calibri"/>
          <w:sz w:val="22"/>
          <w:szCs w:val="22"/>
        </w:rPr>
        <w:lastRenderedPageBreak/>
        <w:t xml:space="preserve">Also, the erstwhile DISCOMs namely NESCO Utility, WESCO Utility and SOUTHCO Utility have kept on proposing provision for contingency reserve @ 0.375% of Gross Fixed Assets at the beginning of the Financial Year in the ARRs for FY 2012-13 to FY 2020-21 as Investment towards Contingency Reserve relates to an emergency fund to meet the expenses towards unforeseen calamities. </w:t>
      </w:r>
    </w:p>
    <w:p w14:paraId="53473E13" w14:textId="77777777" w:rsidR="009942AF" w:rsidRPr="009942AF" w:rsidRDefault="009942AF" w:rsidP="003F354D">
      <w:pPr>
        <w:spacing w:beforeLines="100" w:before="240" w:afterLines="100" w:after="240" w:line="360" w:lineRule="auto"/>
        <w:ind w:left="567"/>
        <w:jc w:val="both"/>
        <w:rPr>
          <w:rFonts w:ascii="Calibri" w:hAnsi="Calibri" w:cs="Calibri"/>
          <w:sz w:val="22"/>
          <w:szCs w:val="22"/>
        </w:rPr>
      </w:pPr>
      <w:r w:rsidRPr="009942AF">
        <w:rPr>
          <w:rFonts w:ascii="Calibri" w:hAnsi="Calibri" w:cs="Calibri"/>
          <w:sz w:val="22"/>
          <w:szCs w:val="22"/>
        </w:rPr>
        <w:t>Further, the Hon’ble APTEL in Judgment dated November 08, 2010 in Appeal Nos. 55, 56 &amp; 57 of 2007 has held as under:</w:t>
      </w:r>
    </w:p>
    <w:p w14:paraId="6F254C38" w14:textId="77777777" w:rsidR="009942AF" w:rsidRPr="009942AF" w:rsidRDefault="009942AF" w:rsidP="009942AF">
      <w:pPr>
        <w:spacing w:after="200" w:line="360" w:lineRule="auto"/>
        <w:ind w:left="1440"/>
        <w:contextualSpacing/>
        <w:rPr>
          <w:rFonts w:ascii="Calibri" w:eastAsia="Calibri" w:hAnsi="Calibri" w:cs="Calibri"/>
          <w:i/>
          <w:iCs/>
          <w:sz w:val="22"/>
          <w:szCs w:val="22"/>
        </w:rPr>
      </w:pPr>
      <w:r w:rsidRPr="009942AF">
        <w:rPr>
          <w:rFonts w:ascii="Calibri" w:eastAsia="Calibri" w:hAnsi="Calibri" w:cs="Calibri"/>
          <w:i/>
          <w:iCs/>
          <w:sz w:val="22"/>
          <w:szCs w:val="22"/>
        </w:rPr>
        <w:t xml:space="preserve">“23 (iii) In regard to allowing the claim in respect of larger Contingency Reserve, it has to be stated that </w:t>
      </w:r>
      <w:r w:rsidRPr="009942AF">
        <w:rPr>
          <w:rFonts w:ascii="Calibri" w:eastAsia="Calibri" w:hAnsi="Calibri" w:cs="Calibri"/>
          <w:b/>
          <w:bCs/>
          <w:i/>
          <w:iCs/>
          <w:sz w:val="22"/>
          <w:szCs w:val="22"/>
          <w:u w:val="single"/>
        </w:rPr>
        <w:t>State like Orissa which is highly prone to natural calamities like cyclone and floods every now and then, the provision of Contingency Reserve to meet such contingency is quite desirable and reasonable</w:t>
      </w:r>
      <w:r w:rsidRPr="009942AF">
        <w:rPr>
          <w:rFonts w:ascii="Calibri" w:eastAsia="Calibri" w:hAnsi="Calibri" w:cs="Calibri"/>
          <w:i/>
          <w:iCs/>
          <w:sz w:val="22"/>
          <w:szCs w:val="22"/>
        </w:rPr>
        <w:t xml:space="preserve">. It may not be correct to contend that the Contingency Reserve can be allowed only when the Regulations were framed with regard to that. This contention in this regard urged by the learned Counsel for the Appellant has been rejected by this Tribunal in the earlier Judgment dated 13.12.2006 holding that </w:t>
      </w:r>
      <w:r w:rsidRPr="009942AF">
        <w:rPr>
          <w:rFonts w:ascii="Calibri" w:eastAsia="Calibri" w:hAnsi="Calibri" w:cs="Calibri"/>
          <w:b/>
          <w:bCs/>
          <w:i/>
          <w:iCs/>
          <w:sz w:val="22"/>
          <w:szCs w:val="22"/>
          <w:u w:val="single"/>
        </w:rPr>
        <w:t>it is not a condition precedent to frame Regulations in this respect while allowing the claim for Contingency Reserve</w:t>
      </w:r>
      <w:r w:rsidRPr="009942AF">
        <w:rPr>
          <w:rFonts w:ascii="Calibri" w:eastAsia="Calibri" w:hAnsi="Calibri" w:cs="Calibri"/>
          <w:i/>
          <w:iCs/>
          <w:sz w:val="22"/>
          <w:szCs w:val="22"/>
        </w:rPr>
        <w:t>.”</w:t>
      </w:r>
      <w:r w:rsidRPr="009942AF">
        <w:rPr>
          <w:rFonts w:ascii="Calibri" w:eastAsia="Calibri" w:hAnsi="Calibri" w:cs="Calibri"/>
          <w:sz w:val="22"/>
          <w:szCs w:val="22"/>
        </w:rPr>
        <w:t xml:space="preserve"> [</w:t>
      </w:r>
      <w:r w:rsidRPr="009942AF">
        <w:rPr>
          <w:rFonts w:ascii="Calibri" w:eastAsia="Calibri" w:hAnsi="Calibri" w:cs="Calibri"/>
          <w:b/>
          <w:bCs/>
          <w:sz w:val="22"/>
          <w:szCs w:val="22"/>
        </w:rPr>
        <w:t>Emphasis added</w:t>
      </w:r>
      <w:r w:rsidRPr="009942AF">
        <w:rPr>
          <w:rFonts w:ascii="Calibri" w:eastAsia="Calibri" w:hAnsi="Calibri" w:cs="Calibri"/>
          <w:sz w:val="22"/>
          <w:szCs w:val="22"/>
        </w:rPr>
        <w:t>]</w:t>
      </w:r>
    </w:p>
    <w:p w14:paraId="04EA0113" w14:textId="77777777" w:rsidR="009942AF" w:rsidRPr="009942AF" w:rsidRDefault="009942AF" w:rsidP="009942AF">
      <w:pPr>
        <w:spacing w:line="360" w:lineRule="auto"/>
        <w:rPr>
          <w:rFonts w:ascii="Calibri" w:hAnsi="Calibri" w:cs="Calibri"/>
          <w:sz w:val="22"/>
          <w:szCs w:val="22"/>
        </w:rPr>
      </w:pPr>
    </w:p>
    <w:p w14:paraId="2037EBC7" w14:textId="77777777" w:rsidR="009942AF" w:rsidRPr="009942AF" w:rsidRDefault="009942AF" w:rsidP="003F354D">
      <w:pPr>
        <w:spacing w:beforeLines="100" w:before="240" w:afterLines="100" w:after="240" w:line="360" w:lineRule="auto"/>
        <w:ind w:left="567"/>
        <w:jc w:val="both"/>
        <w:rPr>
          <w:rFonts w:ascii="Calibri" w:hAnsi="Calibri" w:cs="Calibri"/>
          <w:sz w:val="22"/>
          <w:szCs w:val="22"/>
        </w:rPr>
      </w:pPr>
      <w:r w:rsidRPr="009942AF">
        <w:rPr>
          <w:rFonts w:ascii="Calibri" w:hAnsi="Calibri" w:cs="Calibri"/>
          <w:sz w:val="22"/>
          <w:szCs w:val="22"/>
        </w:rPr>
        <w:t xml:space="preserve">Though the above Judgment was in </w:t>
      </w:r>
      <w:proofErr w:type="spellStart"/>
      <w:r w:rsidRPr="009942AF">
        <w:rPr>
          <w:rFonts w:ascii="Calibri" w:hAnsi="Calibri" w:cs="Calibri"/>
          <w:sz w:val="22"/>
          <w:szCs w:val="22"/>
        </w:rPr>
        <w:t>favour</w:t>
      </w:r>
      <w:proofErr w:type="spellEnd"/>
      <w:r w:rsidRPr="009942AF">
        <w:rPr>
          <w:rFonts w:ascii="Calibri" w:hAnsi="Calibri" w:cs="Calibri"/>
          <w:sz w:val="22"/>
          <w:szCs w:val="22"/>
        </w:rPr>
        <w:t xml:space="preserve"> of Transmission Network, similar instances can be drawn with the Distribution Licensees who maintain its fixed assets during the times of natural calamities including Cyclone, </w:t>
      </w:r>
      <w:proofErr w:type="spellStart"/>
      <w:r w:rsidRPr="009942AF">
        <w:rPr>
          <w:rFonts w:ascii="Calibri" w:hAnsi="Calibri" w:cs="Calibri"/>
          <w:sz w:val="22"/>
          <w:szCs w:val="22"/>
        </w:rPr>
        <w:t>Kalbaisakhi</w:t>
      </w:r>
      <w:proofErr w:type="spellEnd"/>
      <w:r w:rsidRPr="009942AF">
        <w:rPr>
          <w:rFonts w:ascii="Calibri" w:hAnsi="Calibri" w:cs="Calibri"/>
          <w:sz w:val="22"/>
          <w:szCs w:val="22"/>
        </w:rPr>
        <w:t>, floods etc. &amp; any other unforeseen incidents.</w:t>
      </w:r>
    </w:p>
    <w:p w14:paraId="1C5CFBC6" w14:textId="77777777" w:rsidR="009942AF" w:rsidRPr="009942AF" w:rsidRDefault="009942AF" w:rsidP="003F354D">
      <w:pPr>
        <w:spacing w:beforeLines="100" w:before="240" w:afterLines="100" w:after="240" w:line="360" w:lineRule="auto"/>
        <w:ind w:left="567"/>
        <w:jc w:val="both"/>
        <w:rPr>
          <w:rFonts w:ascii="Calibri" w:hAnsi="Calibri" w:cs="Calibri"/>
          <w:sz w:val="22"/>
          <w:szCs w:val="22"/>
        </w:rPr>
      </w:pPr>
      <w:r w:rsidRPr="009942AF">
        <w:rPr>
          <w:rFonts w:ascii="Calibri" w:hAnsi="Calibri" w:cs="Calibri"/>
          <w:sz w:val="22"/>
          <w:szCs w:val="22"/>
        </w:rPr>
        <w:t>Considering the uncovered risk, more so due to Odisha being a Coastal State and prone to natural calamities, the Audit Committee of DISCOMs has advised to explore the possibility of Self Insurance by creating an appropriate &amp; adequate reserve. Creation of such reserve basis certain norms become more relevant &amp; essential because vide Letter No. 11896 dated 03.12.2022, the Department of Energy, Govt. of Odisha, has mentioned that NDRF/ SDRF funds are not available for repair/ replacement of Assets at 33 kV level. Further, Government funds may not be available for restoration of assets owned by the Private DISCOMs.</w:t>
      </w:r>
    </w:p>
    <w:p w14:paraId="3633A389" w14:textId="77777777" w:rsidR="009942AF" w:rsidRPr="009942AF" w:rsidRDefault="009942AF" w:rsidP="003F354D">
      <w:pPr>
        <w:spacing w:beforeLines="100" w:before="240" w:afterLines="100" w:after="240" w:line="360" w:lineRule="auto"/>
        <w:ind w:left="567"/>
        <w:jc w:val="both"/>
        <w:rPr>
          <w:rFonts w:ascii="Calibri" w:hAnsi="Calibri" w:cs="Calibri"/>
          <w:sz w:val="22"/>
          <w:szCs w:val="22"/>
        </w:rPr>
      </w:pPr>
      <w:r w:rsidRPr="009942AF">
        <w:rPr>
          <w:rFonts w:ascii="Calibri" w:hAnsi="Calibri" w:cs="Calibri"/>
          <w:sz w:val="22"/>
          <w:szCs w:val="22"/>
        </w:rPr>
        <w:t xml:space="preserve">In case of any catastrophic event requiring replacement of LT/HT network in mass, if sufficient funding not available with DISCOMs and no support from Govt. of Odisha as mentioned in above letter, the DISCOMs will not be able to replace and restore the damaged network resulting major disruption in power supply to consumers. </w:t>
      </w:r>
    </w:p>
    <w:p w14:paraId="761598FB" w14:textId="77777777" w:rsidR="009942AF" w:rsidRPr="009942AF" w:rsidRDefault="009942AF" w:rsidP="003F354D">
      <w:pPr>
        <w:tabs>
          <w:tab w:val="left" w:pos="567"/>
        </w:tabs>
        <w:spacing w:beforeLines="100" w:before="240" w:afterLines="100" w:after="240" w:line="360" w:lineRule="auto"/>
        <w:ind w:left="567"/>
        <w:jc w:val="both"/>
        <w:rPr>
          <w:rFonts w:ascii="Calibri" w:hAnsi="Calibri" w:cs="Calibri"/>
          <w:sz w:val="22"/>
          <w:szCs w:val="22"/>
        </w:rPr>
      </w:pPr>
      <w:r w:rsidRPr="009942AF">
        <w:rPr>
          <w:rFonts w:ascii="Calibri" w:hAnsi="Calibri" w:cs="Calibri"/>
          <w:sz w:val="22"/>
          <w:szCs w:val="22"/>
        </w:rPr>
        <w:lastRenderedPageBreak/>
        <w:t xml:space="preserve">In view of the above, DISCOMs propose be allowed to create a Self-Insurance Reserve for such Assets which Insurance Companies are refusing to insure (viz. overhead LT, HT, EHT Lines). The contribution to the Self-Insurance reserve would be allowed as an expenditure in ARR in lieu of Insurance Premium on such Self -Insured Assets. The accumulated fund in the Self Insurance Reserve would be utilized by the </w:t>
      </w:r>
      <w:proofErr w:type="spellStart"/>
      <w:r w:rsidRPr="009942AF">
        <w:rPr>
          <w:rFonts w:ascii="Calibri" w:hAnsi="Calibri" w:cs="Calibri"/>
          <w:sz w:val="22"/>
          <w:szCs w:val="22"/>
        </w:rPr>
        <w:t>Discom</w:t>
      </w:r>
      <w:proofErr w:type="spellEnd"/>
      <w:r w:rsidRPr="009942AF">
        <w:rPr>
          <w:rFonts w:ascii="Calibri" w:hAnsi="Calibri" w:cs="Calibri"/>
          <w:sz w:val="22"/>
          <w:szCs w:val="22"/>
        </w:rPr>
        <w:t xml:space="preserve"> only for mitigating financial impact of a Force Majeure event requiring repair/ replacement of such Self-Insured Assets, with post facto approval from the Hon’ble Commission for cost incurred.     </w:t>
      </w:r>
    </w:p>
    <w:p w14:paraId="2CE78788" w14:textId="3037A188" w:rsidR="009942AF" w:rsidRPr="009942AF" w:rsidRDefault="009942AF" w:rsidP="003F354D">
      <w:pPr>
        <w:tabs>
          <w:tab w:val="left" w:pos="567"/>
        </w:tabs>
        <w:spacing w:beforeLines="100" w:before="240" w:afterLines="100" w:after="240" w:line="360" w:lineRule="auto"/>
        <w:ind w:left="567"/>
        <w:jc w:val="both"/>
        <w:rPr>
          <w:rFonts w:ascii="Calibri" w:hAnsi="Calibri" w:cs="Calibri"/>
          <w:sz w:val="22"/>
          <w:szCs w:val="22"/>
        </w:rPr>
      </w:pPr>
      <w:r w:rsidRPr="009942AF">
        <w:rPr>
          <w:rFonts w:ascii="Calibri" w:hAnsi="Calibri" w:cs="Calibri"/>
          <w:sz w:val="22"/>
          <w:szCs w:val="22"/>
        </w:rPr>
        <w:t xml:space="preserve">It is requested that the Hon’ble Commission may kindly allow a gradual buildup of the Self –Insurance Reserve for about 5 years. The Reserve build –up may be reviewed at the end of initial period, unless the Government finances such Force Majeure eventualities, in which case the review could be done on an annual basis. </w:t>
      </w:r>
    </w:p>
    <w:p w14:paraId="494748CB" w14:textId="77777777" w:rsidR="009942AF" w:rsidRPr="009942AF" w:rsidRDefault="009942AF" w:rsidP="003F354D">
      <w:pPr>
        <w:spacing w:beforeLines="100" w:before="240" w:afterLines="100" w:after="240" w:line="360" w:lineRule="auto"/>
        <w:ind w:left="567"/>
        <w:jc w:val="both"/>
        <w:rPr>
          <w:rFonts w:ascii="Calibri" w:hAnsi="Calibri" w:cs="Calibri"/>
          <w:sz w:val="22"/>
          <w:szCs w:val="22"/>
        </w:rPr>
      </w:pPr>
      <w:r w:rsidRPr="009942AF">
        <w:rPr>
          <w:rFonts w:ascii="Calibri" w:hAnsi="Calibri" w:cs="Calibri"/>
          <w:sz w:val="22"/>
          <w:szCs w:val="22"/>
        </w:rPr>
        <w:t>In case of any loss due to non-availability of insurance for lines and cables, creation of self-insurance reserve will avoid tariff shocks to consumer, service availability at war footing basis and avoidance of built-up Regulatory Assets.</w:t>
      </w:r>
    </w:p>
    <w:p w14:paraId="4702479F" w14:textId="0EE02016" w:rsidR="009942AF" w:rsidRPr="003F354D" w:rsidRDefault="009942AF" w:rsidP="003F354D">
      <w:pPr>
        <w:spacing w:line="360" w:lineRule="auto"/>
        <w:ind w:left="567"/>
        <w:rPr>
          <w:rFonts w:ascii="Calibri" w:hAnsi="Calibri" w:cs="Calibri"/>
          <w:b/>
          <w:sz w:val="22"/>
          <w:szCs w:val="22"/>
          <w:u w:val="single"/>
        </w:rPr>
      </w:pPr>
      <w:r w:rsidRPr="003F354D">
        <w:rPr>
          <w:rFonts w:ascii="Calibri" w:hAnsi="Calibri" w:cs="Calibri"/>
          <w:b/>
          <w:sz w:val="22"/>
          <w:szCs w:val="22"/>
          <w:u w:val="single"/>
        </w:rPr>
        <w:t>Regulatory Framework and practice followed by other States</w:t>
      </w:r>
    </w:p>
    <w:p w14:paraId="3D8279BA" w14:textId="77777777" w:rsidR="009942AF" w:rsidRPr="009942AF" w:rsidRDefault="009942AF" w:rsidP="003F354D">
      <w:pPr>
        <w:spacing w:line="360" w:lineRule="auto"/>
        <w:ind w:left="567"/>
        <w:jc w:val="both"/>
        <w:rPr>
          <w:rFonts w:ascii="Calibri" w:hAnsi="Calibri" w:cs="Calibri"/>
          <w:sz w:val="22"/>
          <w:szCs w:val="22"/>
        </w:rPr>
      </w:pPr>
      <w:r w:rsidRPr="009942AF">
        <w:rPr>
          <w:rFonts w:ascii="Calibri" w:hAnsi="Calibri" w:cs="Calibri"/>
          <w:sz w:val="22"/>
          <w:szCs w:val="22"/>
        </w:rPr>
        <w:t xml:space="preserve">Recognizing the above difficulty in insuring certain Assets, the Hon’ble Central Electricity Regulatory Commission (herein referred as CERC) is considering contribution to Self-Insurance Reserve as a legitimate O&amp;M expenditure while allowing Normative O&amp;M Expenditure. </w:t>
      </w:r>
    </w:p>
    <w:p w14:paraId="51849BAD" w14:textId="77777777" w:rsidR="009942AF" w:rsidRPr="009942AF" w:rsidRDefault="009942AF" w:rsidP="003F354D">
      <w:pPr>
        <w:spacing w:line="360" w:lineRule="auto"/>
        <w:ind w:left="567" w:hanging="426"/>
        <w:rPr>
          <w:rFonts w:ascii="Calibri" w:hAnsi="Calibri" w:cs="Calibri"/>
          <w:sz w:val="22"/>
          <w:szCs w:val="22"/>
        </w:rPr>
      </w:pPr>
    </w:p>
    <w:p w14:paraId="67552425" w14:textId="77777777" w:rsidR="009942AF" w:rsidRPr="009942AF" w:rsidRDefault="009942AF" w:rsidP="003F354D">
      <w:pPr>
        <w:spacing w:line="360" w:lineRule="auto"/>
        <w:ind w:left="567"/>
        <w:jc w:val="both"/>
        <w:rPr>
          <w:rFonts w:ascii="Calibri" w:hAnsi="Calibri" w:cs="Calibri"/>
          <w:sz w:val="22"/>
          <w:szCs w:val="22"/>
        </w:rPr>
      </w:pPr>
      <w:r w:rsidRPr="009942AF">
        <w:rPr>
          <w:rFonts w:ascii="Calibri" w:hAnsi="Calibri" w:cs="Calibri"/>
          <w:sz w:val="22"/>
          <w:szCs w:val="22"/>
        </w:rPr>
        <w:t>The relevant extract of the Statement of Reasons for the CERC Tariff Regulations, 2019 in this regard, is reproduced below.</w:t>
      </w:r>
    </w:p>
    <w:p w14:paraId="485899A6" w14:textId="77777777" w:rsidR="009942AF" w:rsidRPr="009942AF" w:rsidRDefault="009942AF" w:rsidP="009942AF">
      <w:pPr>
        <w:spacing w:line="360" w:lineRule="auto"/>
        <w:rPr>
          <w:rFonts w:ascii="Calibri" w:hAnsi="Calibri" w:cs="Calibri"/>
          <w:sz w:val="22"/>
          <w:szCs w:val="22"/>
        </w:rPr>
      </w:pPr>
    </w:p>
    <w:p w14:paraId="0A0B58F7" w14:textId="77777777" w:rsidR="009942AF" w:rsidRPr="009942AF" w:rsidRDefault="009942AF" w:rsidP="009942AF">
      <w:pPr>
        <w:spacing w:line="360" w:lineRule="auto"/>
        <w:ind w:left="720"/>
        <w:jc w:val="both"/>
        <w:rPr>
          <w:rFonts w:ascii="Calibri" w:hAnsi="Calibri" w:cs="Calibri"/>
          <w:sz w:val="22"/>
          <w:szCs w:val="22"/>
        </w:rPr>
      </w:pPr>
      <w:r w:rsidRPr="009942AF">
        <w:rPr>
          <w:rFonts w:ascii="Calibri" w:hAnsi="Calibri" w:cs="Calibri"/>
          <w:i/>
          <w:sz w:val="22"/>
          <w:szCs w:val="22"/>
        </w:rPr>
        <w:t>“10.7.11</w:t>
      </w:r>
      <w:r w:rsidRPr="009942AF">
        <w:rPr>
          <w:rFonts w:ascii="Calibri" w:hAnsi="Calibri" w:cs="Calibri"/>
          <w:i/>
          <w:sz w:val="22"/>
          <w:szCs w:val="22"/>
        </w:rPr>
        <w:tab/>
        <w:t xml:space="preserve">Further, the Commission has excluded the impact of self-insurance reserve and security expenses from O&amp;M expenses norms for transmission system in the draft 2019 Tariff Regulations. Based on the submissions of the stakeholders, </w:t>
      </w:r>
      <w:r w:rsidRPr="009942AF">
        <w:rPr>
          <w:rFonts w:ascii="Calibri" w:hAnsi="Calibri" w:cs="Calibri"/>
          <w:b/>
          <w:i/>
          <w:sz w:val="22"/>
          <w:szCs w:val="22"/>
        </w:rPr>
        <w:t xml:space="preserve">it is observed that self-insurance reserve is an efficient mechanism of self-funding of the asset replacement in case of any damage to transmission assets. further, there is sufficient check and balance mechanism for preventing use of such self-insurance funds for any other purpose. Therefore, the Commission has considered self-insurance reserve at 0.9% of the gross fixed asset value of AC transmission system for the purpose of arriving at the base value of O&amp;M expenses for AC transmission system. </w:t>
      </w:r>
      <w:r w:rsidRPr="009942AF">
        <w:rPr>
          <w:rFonts w:ascii="Calibri" w:hAnsi="Calibri" w:cs="Calibri"/>
          <w:i/>
          <w:sz w:val="22"/>
          <w:szCs w:val="22"/>
        </w:rPr>
        <w:t>The insurance expenses for HVDC systems, which is taken from external insurance companies has already been included while computing the O&amp;M expenses for HVDC stations.”</w:t>
      </w:r>
      <w:r w:rsidRPr="009942AF">
        <w:rPr>
          <w:rFonts w:ascii="Calibri" w:hAnsi="Calibri" w:cs="Calibri"/>
          <w:sz w:val="22"/>
          <w:szCs w:val="22"/>
        </w:rPr>
        <w:t xml:space="preserve"> </w:t>
      </w:r>
      <w:r w:rsidRPr="009942AF">
        <w:rPr>
          <w:rFonts w:ascii="Calibri" w:hAnsi="Calibri" w:cs="Calibri"/>
          <w:b/>
          <w:sz w:val="22"/>
          <w:szCs w:val="22"/>
        </w:rPr>
        <w:t>(Emphasis Supplied).</w:t>
      </w:r>
    </w:p>
    <w:p w14:paraId="70609F2B" w14:textId="77777777" w:rsidR="009942AF" w:rsidRPr="009942AF" w:rsidRDefault="009942AF" w:rsidP="009942AF">
      <w:pPr>
        <w:spacing w:line="360" w:lineRule="auto"/>
        <w:rPr>
          <w:rFonts w:ascii="Calibri" w:hAnsi="Calibri" w:cs="Calibri"/>
          <w:sz w:val="22"/>
          <w:szCs w:val="22"/>
        </w:rPr>
      </w:pPr>
    </w:p>
    <w:p w14:paraId="45C7319A" w14:textId="77777777" w:rsidR="009942AF" w:rsidRPr="009942AF" w:rsidRDefault="009942AF" w:rsidP="003F354D">
      <w:pPr>
        <w:spacing w:line="360" w:lineRule="auto"/>
        <w:ind w:left="567"/>
        <w:jc w:val="both"/>
        <w:rPr>
          <w:rFonts w:ascii="Calibri" w:hAnsi="Calibri" w:cs="Calibri"/>
          <w:sz w:val="22"/>
          <w:szCs w:val="22"/>
        </w:rPr>
      </w:pPr>
      <w:r w:rsidRPr="009942AF">
        <w:rPr>
          <w:rFonts w:ascii="Calibri" w:hAnsi="Calibri" w:cs="Calibri"/>
          <w:sz w:val="22"/>
          <w:szCs w:val="22"/>
        </w:rPr>
        <w:lastRenderedPageBreak/>
        <w:t xml:space="preserve">The Hon’ble Maharashtra Electricity Regulatory Commission is also allowing contribution to Contingency Reserve for meeting any such eventualities as part of </w:t>
      </w:r>
      <w:proofErr w:type="spellStart"/>
      <w:r w:rsidRPr="009942AF">
        <w:rPr>
          <w:rFonts w:ascii="Calibri" w:hAnsi="Calibri" w:cs="Calibri"/>
          <w:sz w:val="22"/>
          <w:szCs w:val="22"/>
        </w:rPr>
        <w:t>Discoms</w:t>
      </w:r>
      <w:proofErr w:type="spellEnd"/>
      <w:r w:rsidRPr="009942AF">
        <w:rPr>
          <w:rFonts w:ascii="Calibri" w:hAnsi="Calibri" w:cs="Calibri"/>
          <w:sz w:val="22"/>
          <w:szCs w:val="22"/>
        </w:rPr>
        <w:t xml:space="preserve"> ARR. The relevant extract of the MYT Regulations, </w:t>
      </w:r>
      <w:proofErr w:type="gramStart"/>
      <w:r w:rsidRPr="009942AF">
        <w:rPr>
          <w:rFonts w:ascii="Calibri" w:hAnsi="Calibri" w:cs="Calibri"/>
          <w:sz w:val="22"/>
          <w:szCs w:val="22"/>
        </w:rPr>
        <w:t>2019  is</w:t>
      </w:r>
      <w:proofErr w:type="gramEnd"/>
      <w:r w:rsidRPr="009942AF">
        <w:rPr>
          <w:rFonts w:ascii="Calibri" w:hAnsi="Calibri" w:cs="Calibri"/>
          <w:sz w:val="22"/>
          <w:szCs w:val="22"/>
        </w:rPr>
        <w:t xml:space="preserve"> reproduced below :</w:t>
      </w:r>
    </w:p>
    <w:p w14:paraId="05C6B9E4" w14:textId="77777777" w:rsidR="009942AF" w:rsidRPr="009942AF" w:rsidRDefault="009942AF" w:rsidP="009942AF">
      <w:pPr>
        <w:spacing w:line="360" w:lineRule="auto"/>
        <w:ind w:left="426"/>
        <w:rPr>
          <w:rFonts w:ascii="Calibri" w:hAnsi="Calibri" w:cs="Calibri"/>
          <w:sz w:val="22"/>
          <w:szCs w:val="22"/>
        </w:rPr>
      </w:pPr>
    </w:p>
    <w:p w14:paraId="33D6043F" w14:textId="77777777" w:rsidR="009942AF" w:rsidRPr="009942AF" w:rsidRDefault="009942AF" w:rsidP="009942AF">
      <w:pPr>
        <w:spacing w:line="360" w:lineRule="auto"/>
        <w:ind w:firstLine="426"/>
        <w:rPr>
          <w:rFonts w:ascii="Calibri" w:hAnsi="Calibri" w:cs="Calibri"/>
          <w:b/>
          <w:bCs/>
          <w:i/>
          <w:iCs/>
          <w:sz w:val="22"/>
          <w:szCs w:val="22"/>
          <w:u w:val="single"/>
          <w:lang w:val="en-IN"/>
        </w:rPr>
      </w:pPr>
      <w:r w:rsidRPr="009942AF">
        <w:rPr>
          <w:rFonts w:ascii="Calibri" w:hAnsi="Calibri" w:cs="Calibri"/>
          <w:sz w:val="22"/>
          <w:szCs w:val="22"/>
        </w:rPr>
        <w:t>“</w:t>
      </w:r>
      <w:r w:rsidRPr="009942AF">
        <w:rPr>
          <w:rFonts w:ascii="Calibri" w:hAnsi="Calibri" w:cs="Calibri"/>
          <w:b/>
          <w:bCs/>
          <w:i/>
          <w:iCs/>
          <w:sz w:val="22"/>
          <w:szCs w:val="22"/>
          <w:u w:val="single"/>
        </w:rPr>
        <w:t>35 Contribution to Contingency Reserves</w:t>
      </w:r>
    </w:p>
    <w:p w14:paraId="346DA301" w14:textId="77777777" w:rsidR="009942AF" w:rsidRPr="009942AF" w:rsidRDefault="009942AF" w:rsidP="009942AF">
      <w:pPr>
        <w:spacing w:line="360" w:lineRule="auto"/>
        <w:rPr>
          <w:rFonts w:ascii="Calibri" w:hAnsi="Calibri" w:cs="Calibri"/>
          <w:i/>
          <w:iCs/>
          <w:sz w:val="22"/>
          <w:szCs w:val="22"/>
        </w:rPr>
      </w:pPr>
    </w:p>
    <w:p w14:paraId="6D132717" w14:textId="77777777" w:rsidR="009942AF" w:rsidRPr="009942AF" w:rsidRDefault="009942AF" w:rsidP="003F354D">
      <w:pPr>
        <w:spacing w:line="360" w:lineRule="auto"/>
        <w:ind w:left="567"/>
        <w:jc w:val="both"/>
        <w:rPr>
          <w:rFonts w:ascii="Calibri" w:hAnsi="Calibri" w:cs="Calibri"/>
          <w:i/>
          <w:iCs/>
          <w:sz w:val="22"/>
          <w:szCs w:val="22"/>
        </w:rPr>
      </w:pPr>
      <w:r w:rsidRPr="009942AF">
        <w:rPr>
          <w:rFonts w:ascii="Calibri" w:hAnsi="Calibri" w:cs="Calibri"/>
          <w:i/>
          <w:iCs/>
          <w:sz w:val="22"/>
          <w:szCs w:val="22"/>
        </w:rPr>
        <w:t xml:space="preserve">35.1       Where the Licensee has </w:t>
      </w:r>
      <w:proofErr w:type="gramStart"/>
      <w:r w:rsidRPr="009942AF">
        <w:rPr>
          <w:rFonts w:ascii="Calibri" w:hAnsi="Calibri" w:cs="Calibri"/>
          <w:i/>
          <w:iCs/>
          <w:sz w:val="22"/>
          <w:szCs w:val="22"/>
        </w:rPr>
        <w:t>made a contribution</w:t>
      </w:r>
      <w:proofErr w:type="gramEnd"/>
      <w:r w:rsidRPr="009942AF">
        <w:rPr>
          <w:rFonts w:ascii="Calibri" w:hAnsi="Calibri" w:cs="Calibri"/>
          <w:i/>
          <w:iCs/>
          <w:sz w:val="22"/>
          <w:szCs w:val="22"/>
        </w:rPr>
        <w:t xml:space="preserve"> to the Contingency Reserve, a sum not less than 0.25 per cent and not more than 0.5 per cent of the original cost of fixed assets shall be allowed annually towards such contribution in the calculation of Aggregate Revenue Requirement:</w:t>
      </w:r>
    </w:p>
    <w:p w14:paraId="12CF935F" w14:textId="77777777" w:rsidR="009942AF" w:rsidRPr="009942AF" w:rsidRDefault="009942AF" w:rsidP="003F354D">
      <w:pPr>
        <w:spacing w:line="360" w:lineRule="auto"/>
        <w:ind w:left="567"/>
        <w:jc w:val="both"/>
        <w:rPr>
          <w:rFonts w:ascii="Calibri" w:hAnsi="Calibri" w:cs="Calibri"/>
          <w:i/>
          <w:iCs/>
          <w:sz w:val="22"/>
          <w:szCs w:val="22"/>
        </w:rPr>
      </w:pPr>
    </w:p>
    <w:p w14:paraId="40555A49" w14:textId="77777777" w:rsidR="009942AF" w:rsidRPr="009942AF" w:rsidRDefault="009942AF" w:rsidP="003F354D">
      <w:pPr>
        <w:spacing w:line="360" w:lineRule="auto"/>
        <w:ind w:left="567"/>
        <w:jc w:val="both"/>
        <w:rPr>
          <w:rFonts w:ascii="Calibri" w:hAnsi="Calibri" w:cs="Calibri"/>
          <w:i/>
          <w:iCs/>
          <w:sz w:val="22"/>
          <w:szCs w:val="22"/>
        </w:rPr>
      </w:pPr>
      <w:r w:rsidRPr="009942AF">
        <w:rPr>
          <w:rFonts w:ascii="Calibri" w:hAnsi="Calibri" w:cs="Calibri"/>
          <w:i/>
          <w:iCs/>
          <w:sz w:val="22"/>
          <w:szCs w:val="22"/>
        </w:rPr>
        <w:t>Provided that where the amount of such Contingency Reserves exceeds five (5) per cent of the original cost of fixed assets, no further contribution shall be allowed:</w:t>
      </w:r>
    </w:p>
    <w:p w14:paraId="257573E5" w14:textId="77777777" w:rsidR="009942AF" w:rsidRPr="009942AF" w:rsidRDefault="009942AF" w:rsidP="003F354D">
      <w:pPr>
        <w:spacing w:line="360" w:lineRule="auto"/>
        <w:ind w:left="567"/>
        <w:jc w:val="both"/>
        <w:rPr>
          <w:rFonts w:ascii="Calibri" w:hAnsi="Calibri" w:cs="Calibri"/>
          <w:i/>
          <w:iCs/>
          <w:sz w:val="22"/>
          <w:szCs w:val="22"/>
        </w:rPr>
      </w:pPr>
    </w:p>
    <w:p w14:paraId="25EBD5B6" w14:textId="77777777" w:rsidR="009942AF" w:rsidRPr="009942AF" w:rsidRDefault="009942AF" w:rsidP="003F354D">
      <w:pPr>
        <w:spacing w:line="360" w:lineRule="auto"/>
        <w:ind w:left="567"/>
        <w:jc w:val="both"/>
        <w:rPr>
          <w:rFonts w:ascii="Calibri" w:hAnsi="Calibri" w:cs="Calibri"/>
          <w:i/>
          <w:iCs/>
          <w:sz w:val="22"/>
          <w:szCs w:val="22"/>
        </w:rPr>
      </w:pPr>
      <w:r w:rsidRPr="009942AF">
        <w:rPr>
          <w:rFonts w:ascii="Calibri" w:hAnsi="Calibri" w:cs="Calibri"/>
          <w:i/>
          <w:iCs/>
          <w:sz w:val="22"/>
          <w:szCs w:val="22"/>
        </w:rPr>
        <w:t xml:space="preserve">Provided further that such contribution shall be invested in securities </w:t>
      </w:r>
      <w:proofErr w:type="spellStart"/>
      <w:r w:rsidRPr="009942AF">
        <w:rPr>
          <w:rFonts w:ascii="Calibri" w:hAnsi="Calibri" w:cs="Calibri"/>
          <w:i/>
          <w:iCs/>
          <w:sz w:val="22"/>
          <w:szCs w:val="22"/>
        </w:rPr>
        <w:t>authorised</w:t>
      </w:r>
      <w:proofErr w:type="spellEnd"/>
      <w:r w:rsidRPr="009942AF">
        <w:rPr>
          <w:rFonts w:ascii="Calibri" w:hAnsi="Calibri" w:cs="Calibri"/>
          <w:i/>
          <w:iCs/>
          <w:sz w:val="22"/>
          <w:szCs w:val="22"/>
        </w:rPr>
        <w:t xml:space="preserve"> under the Indian Trusts Act, 1882 within a period of six months of the close of the Year:</w:t>
      </w:r>
    </w:p>
    <w:p w14:paraId="63725F76" w14:textId="77777777" w:rsidR="009942AF" w:rsidRPr="009942AF" w:rsidRDefault="009942AF" w:rsidP="003F354D">
      <w:pPr>
        <w:spacing w:line="360" w:lineRule="auto"/>
        <w:ind w:left="567"/>
        <w:jc w:val="both"/>
        <w:rPr>
          <w:rFonts w:ascii="Calibri" w:hAnsi="Calibri" w:cs="Calibri"/>
          <w:i/>
          <w:iCs/>
          <w:sz w:val="22"/>
          <w:szCs w:val="22"/>
        </w:rPr>
      </w:pPr>
    </w:p>
    <w:p w14:paraId="35C5227C" w14:textId="77777777" w:rsidR="009942AF" w:rsidRPr="009942AF" w:rsidRDefault="009942AF" w:rsidP="003F354D">
      <w:pPr>
        <w:spacing w:line="360" w:lineRule="auto"/>
        <w:ind w:left="567"/>
        <w:jc w:val="both"/>
        <w:rPr>
          <w:rFonts w:ascii="Calibri" w:hAnsi="Calibri" w:cs="Calibri"/>
          <w:i/>
          <w:iCs/>
          <w:sz w:val="22"/>
          <w:szCs w:val="22"/>
        </w:rPr>
      </w:pPr>
      <w:r w:rsidRPr="009942AF">
        <w:rPr>
          <w:rFonts w:ascii="Calibri" w:hAnsi="Calibri" w:cs="Calibri"/>
          <w:i/>
          <w:iCs/>
          <w:sz w:val="22"/>
          <w:szCs w:val="22"/>
        </w:rPr>
        <w:t xml:space="preserve">Provided also that if the Licensee does not invest the amount of contribution to Contingency Reserves in </w:t>
      </w:r>
      <w:proofErr w:type="spellStart"/>
      <w:r w:rsidRPr="009942AF">
        <w:rPr>
          <w:rFonts w:ascii="Calibri" w:hAnsi="Calibri" w:cs="Calibri"/>
          <w:i/>
          <w:iCs/>
          <w:sz w:val="22"/>
          <w:szCs w:val="22"/>
        </w:rPr>
        <w:t>authorised</w:t>
      </w:r>
      <w:proofErr w:type="spellEnd"/>
      <w:r w:rsidRPr="009942AF">
        <w:rPr>
          <w:rFonts w:ascii="Calibri" w:hAnsi="Calibri" w:cs="Calibri"/>
          <w:i/>
          <w:iCs/>
          <w:sz w:val="22"/>
          <w:szCs w:val="22"/>
        </w:rPr>
        <w:t xml:space="preserve"> securities within a period of six months of the close of the Year, then the contribution allowed in the calculation of Aggregate Revenue Requirement shall be disallowed at the time of true-up:</w:t>
      </w:r>
    </w:p>
    <w:p w14:paraId="66C8C91C" w14:textId="77777777" w:rsidR="009942AF" w:rsidRPr="009942AF" w:rsidRDefault="009942AF" w:rsidP="003F354D">
      <w:pPr>
        <w:spacing w:line="360" w:lineRule="auto"/>
        <w:ind w:left="567"/>
        <w:jc w:val="both"/>
        <w:rPr>
          <w:rFonts w:ascii="Calibri" w:hAnsi="Calibri" w:cs="Calibri"/>
          <w:i/>
          <w:iCs/>
          <w:sz w:val="22"/>
          <w:szCs w:val="22"/>
        </w:rPr>
      </w:pPr>
    </w:p>
    <w:p w14:paraId="3FD81DC0" w14:textId="77777777" w:rsidR="009942AF" w:rsidRPr="009942AF" w:rsidRDefault="009942AF" w:rsidP="003F354D">
      <w:pPr>
        <w:spacing w:line="360" w:lineRule="auto"/>
        <w:ind w:left="567"/>
        <w:jc w:val="both"/>
        <w:rPr>
          <w:rFonts w:ascii="Calibri" w:hAnsi="Calibri" w:cs="Calibri"/>
          <w:i/>
          <w:iCs/>
          <w:sz w:val="22"/>
          <w:szCs w:val="22"/>
        </w:rPr>
      </w:pPr>
      <w:r w:rsidRPr="009942AF">
        <w:rPr>
          <w:rFonts w:ascii="Calibri" w:hAnsi="Calibri" w:cs="Calibri"/>
          <w:i/>
          <w:iCs/>
          <w:sz w:val="22"/>
          <w:szCs w:val="22"/>
        </w:rPr>
        <w:t xml:space="preserve">Provided also that if the Licensee does not invest the amount of contribution to Contingency Reserves in </w:t>
      </w:r>
      <w:proofErr w:type="spellStart"/>
      <w:r w:rsidRPr="009942AF">
        <w:rPr>
          <w:rFonts w:ascii="Calibri" w:hAnsi="Calibri" w:cs="Calibri"/>
          <w:i/>
          <w:iCs/>
          <w:sz w:val="22"/>
          <w:szCs w:val="22"/>
        </w:rPr>
        <w:t>authorised</w:t>
      </w:r>
      <w:proofErr w:type="spellEnd"/>
      <w:r w:rsidRPr="009942AF">
        <w:rPr>
          <w:rFonts w:ascii="Calibri" w:hAnsi="Calibri" w:cs="Calibri"/>
          <w:i/>
          <w:iCs/>
          <w:sz w:val="22"/>
          <w:szCs w:val="22"/>
        </w:rPr>
        <w:t xml:space="preserve"> securities for two consecutive Years, then the contribution to Contingency Reserves shall not be allowed in the calculation of Aggregate Revenue Requirement from the subsequent Year onwards.</w:t>
      </w:r>
    </w:p>
    <w:p w14:paraId="60FA1BC6" w14:textId="77777777" w:rsidR="009942AF" w:rsidRPr="009942AF" w:rsidRDefault="009942AF" w:rsidP="003F354D">
      <w:pPr>
        <w:spacing w:line="360" w:lineRule="auto"/>
        <w:ind w:left="567"/>
        <w:jc w:val="both"/>
        <w:rPr>
          <w:rFonts w:ascii="Calibri" w:hAnsi="Calibri" w:cs="Calibri"/>
          <w:i/>
          <w:iCs/>
          <w:sz w:val="22"/>
          <w:szCs w:val="22"/>
        </w:rPr>
      </w:pPr>
    </w:p>
    <w:p w14:paraId="760870A4" w14:textId="77777777" w:rsidR="009942AF" w:rsidRPr="009942AF" w:rsidRDefault="009942AF" w:rsidP="003F354D">
      <w:pPr>
        <w:spacing w:line="360" w:lineRule="auto"/>
        <w:ind w:left="567"/>
        <w:jc w:val="both"/>
        <w:rPr>
          <w:rFonts w:ascii="Calibri" w:hAnsi="Calibri" w:cs="Calibri"/>
          <w:i/>
          <w:iCs/>
          <w:sz w:val="22"/>
          <w:szCs w:val="22"/>
        </w:rPr>
      </w:pPr>
      <w:r w:rsidRPr="009942AF">
        <w:rPr>
          <w:rFonts w:ascii="Calibri" w:hAnsi="Calibri" w:cs="Calibri"/>
          <w:i/>
          <w:iCs/>
          <w:sz w:val="22"/>
          <w:szCs w:val="22"/>
        </w:rPr>
        <w:t>35.2   The Contingency Reserve shall not be drawn upon during the term of the License except to meet such charges on account of:</w:t>
      </w:r>
    </w:p>
    <w:p w14:paraId="3CD62B21" w14:textId="77777777" w:rsidR="009942AF" w:rsidRPr="009942AF" w:rsidRDefault="009942AF" w:rsidP="003F354D">
      <w:pPr>
        <w:spacing w:line="360" w:lineRule="auto"/>
        <w:ind w:left="567"/>
        <w:jc w:val="both"/>
        <w:rPr>
          <w:rFonts w:ascii="Calibri" w:hAnsi="Calibri" w:cs="Calibri"/>
          <w:i/>
          <w:iCs/>
          <w:sz w:val="22"/>
          <w:szCs w:val="22"/>
        </w:rPr>
      </w:pPr>
      <w:r w:rsidRPr="009942AF">
        <w:rPr>
          <w:rFonts w:ascii="Calibri" w:hAnsi="Calibri" w:cs="Calibri"/>
          <w:i/>
          <w:iCs/>
          <w:sz w:val="22"/>
          <w:szCs w:val="22"/>
        </w:rPr>
        <w:t>(a) Expenses or loss of profits arising out of accidents, strikes or circumstances which the management could not have prevented;</w:t>
      </w:r>
    </w:p>
    <w:p w14:paraId="7F416C06" w14:textId="77777777" w:rsidR="009942AF" w:rsidRPr="009942AF" w:rsidRDefault="009942AF" w:rsidP="003F354D">
      <w:pPr>
        <w:spacing w:line="360" w:lineRule="auto"/>
        <w:ind w:left="567"/>
        <w:jc w:val="both"/>
        <w:rPr>
          <w:rFonts w:ascii="Calibri" w:hAnsi="Calibri" w:cs="Calibri"/>
          <w:i/>
          <w:iCs/>
          <w:sz w:val="22"/>
          <w:szCs w:val="22"/>
        </w:rPr>
      </w:pPr>
      <w:r w:rsidRPr="009942AF">
        <w:rPr>
          <w:rFonts w:ascii="Calibri" w:hAnsi="Calibri" w:cs="Calibri"/>
          <w:i/>
          <w:iCs/>
          <w:sz w:val="22"/>
          <w:szCs w:val="22"/>
        </w:rPr>
        <w:t>b) Expenses on replacement or removal of plant or works other than expenses requisite for normal maintenance or renewal;</w:t>
      </w:r>
    </w:p>
    <w:p w14:paraId="0BDA169F" w14:textId="77777777" w:rsidR="009942AF" w:rsidRPr="009942AF" w:rsidRDefault="009942AF" w:rsidP="003F354D">
      <w:pPr>
        <w:spacing w:line="360" w:lineRule="auto"/>
        <w:ind w:left="567"/>
        <w:jc w:val="both"/>
        <w:rPr>
          <w:rFonts w:ascii="Calibri" w:hAnsi="Calibri" w:cs="Calibri"/>
          <w:i/>
          <w:iCs/>
          <w:sz w:val="22"/>
          <w:szCs w:val="22"/>
        </w:rPr>
      </w:pPr>
      <w:r w:rsidRPr="009942AF">
        <w:rPr>
          <w:rFonts w:ascii="Calibri" w:hAnsi="Calibri" w:cs="Calibri"/>
          <w:i/>
          <w:iCs/>
          <w:sz w:val="22"/>
          <w:szCs w:val="22"/>
        </w:rPr>
        <w:t>c)Compensation payable under any law for the time being in force and for which no other provision is made:</w:t>
      </w:r>
    </w:p>
    <w:p w14:paraId="48A28FBA" w14:textId="77777777" w:rsidR="009942AF" w:rsidRPr="009942AF" w:rsidRDefault="009942AF" w:rsidP="003F354D">
      <w:pPr>
        <w:spacing w:line="360" w:lineRule="auto"/>
        <w:ind w:left="567"/>
        <w:jc w:val="both"/>
        <w:rPr>
          <w:rFonts w:ascii="Calibri" w:hAnsi="Calibri" w:cs="Calibri"/>
          <w:i/>
          <w:iCs/>
          <w:sz w:val="22"/>
          <w:szCs w:val="22"/>
        </w:rPr>
      </w:pPr>
    </w:p>
    <w:p w14:paraId="1F70B4BB" w14:textId="77777777" w:rsidR="009942AF" w:rsidRPr="009942AF" w:rsidRDefault="009942AF" w:rsidP="003F354D">
      <w:pPr>
        <w:spacing w:line="360" w:lineRule="auto"/>
        <w:ind w:left="567"/>
        <w:jc w:val="both"/>
        <w:rPr>
          <w:rFonts w:ascii="Calibri" w:hAnsi="Calibri" w:cs="Calibri"/>
          <w:i/>
          <w:iCs/>
          <w:sz w:val="22"/>
          <w:szCs w:val="22"/>
        </w:rPr>
      </w:pPr>
      <w:r w:rsidRPr="009942AF">
        <w:rPr>
          <w:rFonts w:ascii="Calibri" w:hAnsi="Calibri" w:cs="Calibri"/>
          <w:i/>
          <w:iCs/>
          <w:sz w:val="22"/>
          <w:szCs w:val="22"/>
        </w:rPr>
        <w:lastRenderedPageBreak/>
        <w:t xml:space="preserve">Provided that the Distribution Licensee shall obtain the Commission's post-facto approval for </w:t>
      </w:r>
      <w:proofErr w:type="spellStart"/>
      <w:r w:rsidRPr="009942AF">
        <w:rPr>
          <w:rFonts w:ascii="Calibri" w:hAnsi="Calibri" w:cs="Calibri"/>
          <w:i/>
          <w:iCs/>
          <w:sz w:val="22"/>
          <w:szCs w:val="22"/>
        </w:rPr>
        <w:t>drawal</w:t>
      </w:r>
      <w:proofErr w:type="spellEnd"/>
      <w:r w:rsidRPr="009942AF">
        <w:rPr>
          <w:rFonts w:ascii="Calibri" w:hAnsi="Calibri" w:cs="Calibri"/>
          <w:i/>
          <w:iCs/>
          <w:sz w:val="22"/>
          <w:szCs w:val="22"/>
        </w:rPr>
        <w:t xml:space="preserve"> of Contingency Reserve by submitting the necessary justification for the </w:t>
      </w:r>
      <w:proofErr w:type="spellStart"/>
      <w:r w:rsidRPr="009942AF">
        <w:rPr>
          <w:rFonts w:ascii="Calibri" w:hAnsi="Calibri" w:cs="Calibri"/>
          <w:i/>
          <w:iCs/>
          <w:sz w:val="22"/>
          <w:szCs w:val="22"/>
        </w:rPr>
        <w:t>drawal</w:t>
      </w:r>
      <w:proofErr w:type="spellEnd"/>
      <w:r w:rsidRPr="009942AF">
        <w:rPr>
          <w:rFonts w:ascii="Calibri" w:hAnsi="Calibri" w:cs="Calibri"/>
          <w:i/>
          <w:iCs/>
          <w:sz w:val="22"/>
          <w:szCs w:val="22"/>
        </w:rPr>
        <w:t xml:space="preserve"> of Contingency Reserve along with documentary evidence.</w:t>
      </w:r>
    </w:p>
    <w:p w14:paraId="41D21B76" w14:textId="77777777" w:rsidR="009942AF" w:rsidRPr="009942AF" w:rsidRDefault="009942AF" w:rsidP="003F354D">
      <w:pPr>
        <w:spacing w:line="360" w:lineRule="auto"/>
        <w:ind w:left="567"/>
        <w:jc w:val="both"/>
        <w:rPr>
          <w:rFonts w:ascii="Calibri" w:hAnsi="Calibri" w:cs="Calibri"/>
          <w:i/>
          <w:iCs/>
          <w:sz w:val="22"/>
          <w:szCs w:val="22"/>
        </w:rPr>
      </w:pPr>
    </w:p>
    <w:p w14:paraId="34745A2E" w14:textId="77777777" w:rsidR="009942AF" w:rsidRPr="009942AF" w:rsidRDefault="009942AF" w:rsidP="003F354D">
      <w:pPr>
        <w:spacing w:line="360" w:lineRule="auto"/>
        <w:ind w:left="567"/>
        <w:jc w:val="both"/>
        <w:rPr>
          <w:rFonts w:ascii="Calibri" w:hAnsi="Calibri" w:cs="Calibri"/>
          <w:i/>
          <w:iCs/>
          <w:sz w:val="22"/>
          <w:szCs w:val="22"/>
        </w:rPr>
      </w:pPr>
      <w:r w:rsidRPr="009942AF">
        <w:rPr>
          <w:rFonts w:ascii="Calibri" w:hAnsi="Calibri" w:cs="Calibri"/>
          <w:i/>
          <w:iCs/>
          <w:sz w:val="22"/>
          <w:szCs w:val="22"/>
        </w:rPr>
        <w:t>35.3 No diminution in the value of Contingency Reserve as mentioned above shall be allowed to be adjusted as a part of Tariff.</w:t>
      </w:r>
    </w:p>
    <w:p w14:paraId="6EB46828" w14:textId="77777777" w:rsidR="009942AF" w:rsidRPr="009942AF" w:rsidRDefault="009942AF" w:rsidP="003F354D">
      <w:pPr>
        <w:spacing w:line="360" w:lineRule="auto"/>
        <w:ind w:left="567"/>
        <w:jc w:val="both"/>
        <w:rPr>
          <w:rFonts w:ascii="Calibri" w:hAnsi="Calibri" w:cs="Calibri"/>
          <w:sz w:val="22"/>
          <w:szCs w:val="22"/>
        </w:rPr>
      </w:pPr>
    </w:p>
    <w:p w14:paraId="1A0CB162" w14:textId="77777777" w:rsidR="009942AF" w:rsidRPr="009942AF" w:rsidRDefault="009942AF" w:rsidP="003F354D">
      <w:pPr>
        <w:spacing w:line="360" w:lineRule="auto"/>
        <w:ind w:left="567"/>
        <w:jc w:val="both"/>
        <w:rPr>
          <w:rFonts w:ascii="Calibri" w:hAnsi="Calibri" w:cs="Calibri"/>
          <w:sz w:val="22"/>
          <w:szCs w:val="22"/>
        </w:rPr>
      </w:pPr>
      <w:r w:rsidRPr="009942AF">
        <w:rPr>
          <w:rFonts w:ascii="Calibri" w:hAnsi="Calibri" w:cs="Calibri"/>
          <w:sz w:val="22"/>
          <w:szCs w:val="22"/>
        </w:rPr>
        <w:t>The relevant extract from the ‘Bihar Electricity Regulatory Commission (Multiyear Distribution Tariff) Regulations 2018’ is produced below in this regard.</w:t>
      </w:r>
    </w:p>
    <w:p w14:paraId="03C6CE2B" w14:textId="77777777" w:rsidR="009942AF" w:rsidRPr="009942AF" w:rsidRDefault="009942AF" w:rsidP="009942AF">
      <w:pPr>
        <w:spacing w:line="360" w:lineRule="auto"/>
        <w:rPr>
          <w:rFonts w:ascii="Calibri" w:hAnsi="Calibri" w:cs="Calibri"/>
          <w:sz w:val="22"/>
          <w:szCs w:val="22"/>
        </w:rPr>
      </w:pPr>
    </w:p>
    <w:p w14:paraId="7CE0073B" w14:textId="3572A01F" w:rsidR="009942AF" w:rsidRPr="009942AF" w:rsidRDefault="003F354D" w:rsidP="009942AF">
      <w:pPr>
        <w:spacing w:line="360" w:lineRule="auto"/>
        <w:jc w:val="both"/>
        <w:rPr>
          <w:rFonts w:ascii="Calibri" w:hAnsi="Calibri" w:cs="Calibri"/>
          <w:i/>
          <w:sz w:val="22"/>
          <w:szCs w:val="22"/>
        </w:rPr>
      </w:pPr>
      <w:r>
        <w:rPr>
          <w:rFonts w:ascii="Calibri" w:hAnsi="Calibri" w:cs="Calibri"/>
          <w:i/>
          <w:sz w:val="22"/>
          <w:szCs w:val="22"/>
        </w:rPr>
        <w:t xml:space="preserve">         </w:t>
      </w:r>
      <w:r w:rsidR="009942AF" w:rsidRPr="009942AF">
        <w:rPr>
          <w:rFonts w:ascii="Calibri" w:hAnsi="Calibri" w:cs="Calibri"/>
          <w:i/>
          <w:sz w:val="22"/>
          <w:szCs w:val="22"/>
        </w:rPr>
        <w:t>24. Contribution to Contingency Reserve</w:t>
      </w:r>
    </w:p>
    <w:p w14:paraId="39826ACE" w14:textId="77777777" w:rsidR="009942AF" w:rsidRPr="009942AF" w:rsidRDefault="009942AF" w:rsidP="009942AF">
      <w:pPr>
        <w:spacing w:line="360" w:lineRule="auto"/>
        <w:jc w:val="both"/>
        <w:rPr>
          <w:rFonts w:ascii="Calibri" w:hAnsi="Calibri" w:cs="Calibri"/>
          <w:i/>
          <w:sz w:val="22"/>
          <w:szCs w:val="22"/>
        </w:rPr>
      </w:pPr>
    </w:p>
    <w:p w14:paraId="5B482ACA" w14:textId="77777777" w:rsidR="009942AF" w:rsidRPr="009942AF" w:rsidRDefault="009942AF" w:rsidP="003F354D">
      <w:pPr>
        <w:spacing w:line="360" w:lineRule="auto"/>
        <w:ind w:left="567"/>
        <w:jc w:val="both"/>
        <w:rPr>
          <w:rFonts w:ascii="Calibri" w:hAnsi="Calibri" w:cs="Calibri"/>
          <w:i/>
          <w:sz w:val="22"/>
          <w:szCs w:val="22"/>
        </w:rPr>
      </w:pPr>
      <w:r w:rsidRPr="009942AF">
        <w:rPr>
          <w:rFonts w:ascii="Calibri" w:hAnsi="Calibri" w:cs="Calibri"/>
          <w:i/>
          <w:sz w:val="22"/>
          <w:szCs w:val="22"/>
        </w:rPr>
        <w:t>24.1 If the Distribution Licensee has made an appropriation to the Contingency Reserve, a sum not less than 0.25 percent and not more than 0.5 percent of the original cost of fixed assets shall be allowed annually towards such appropriation in the calculation of ARR.</w:t>
      </w:r>
    </w:p>
    <w:p w14:paraId="7A9E6BEF" w14:textId="77777777" w:rsidR="009942AF" w:rsidRPr="009942AF" w:rsidRDefault="009942AF" w:rsidP="003F354D">
      <w:pPr>
        <w:spacing w:line="360" w:lineRule="auto"/>
        <w:ind w:left="567"/>
        <w:jc w:val="both"/>
        <w:rPr>
          <w:rFonts w:ascii="Calibri" w:hAnsi="Calibri" w:cs="Calibri"/>
          <w:i/>
          <w:sz w:val="22"/>
          <w:szCs w:val="22"/>
        </w:rPr>
      </w:pPr>
    </w:p>
    <w:p w14:paraId="2A9FA6E3" w14:textId="77777777" w:rsidR="009942AF" w:rsidRPr="009942AF" w:rsidRDefault="009942AF" w:rsidP="003F354D">
      <w:pPr>
        <w:spacing w:line="360" w:lineRule="auto"/>
        <w:ind w:left="567"/>
        <w:jc w:val="both"/>
        <w:rPr>
          <w:rFonts w:ascii="Calibri" w:hAnsi="Calibri" w:cs="Calibri"/>
          <w:i/>
          <w:sz w:val="22"/>
          <w:szCs w:val="22"/>
        </w:rPr>
      </w:pPr>
      <w:r w:rsidRPr="009942AF">
        <w:rPr>
          <w:rFonts w:ascii="Calibri" w:hAnsi="Calibri" w:cs="Calibri"/>
          <w:i/>
          <w:sz w:val="22"/>
          <w:szCs w:val="22"/>
        </w:rPr>
        <w:t>Provided that where the amount of such Contingency Reserves exceeds five (5) percent of the original cost of fixed assets, no further contribution shall be allowed.</w:t>
      </w:r>
    </w:p>
    <w:p w14:paraId="49D21E11" w14:textId="77777777" w:rsidR="009942AF" w:rsidRPr="009942AF" w:rsidRDefault="009942AF" w:rsidP="003F354D">
      <w:pPr>
        <w:spacing w:line="360" w:lineRule="auto"/>
        <w:ind w:left="567"/>
        <w:jc w:val="both"/>
        <w:rPr>
          <w:rFonts w:ascii="Calibri" w:hAnsi="Calibri" w:cs="Calibri"/>
          <w:i/>
          <w:sz w:val="22"/>
          <w:szCs w:val="22"/>
        </w:rPr>
      </w:pPr>
    </w:p>
    <w:p w14:paraId="1CD85695" w14:textId="77777777" w:rsidR="009942AF" w:rsidRPr="009942AF" w:rsidRDefault="009942AF" w:rsidP="003F354D">
      <w:pPr>
        <w:spacing w:line="360" w:lineRule="auto"/>
        <w:ind w:left="567"/>
        <w:jc w:val="both"/>
        <w:rPr>
          <w:rFonts w:ascii="Calibri" w:hAnsi="Calibri" w:cs="Calibri"/>
          <w:i/>
          <w:sz w:val="22"/>
          <w:szCs w:val="22"/>
        </w:rPr>
      </w:pPr>
      <w:r w:rsidRPr="009942AF">
        <w:rPr>
          <w:rFonts w:ascii="Calibri" w:hAnsi="Calibri" w:cs="Calibri"/>
          <w:i/>
          <w:sz w:val="22"/>
          <w:szCs w:val="22"/>
        </w:rPr>
        <w:t xml:space="preserve">Provided further that such contribution shall be invested in securities </w:t>
      </w:r>
      <w:proofErr w:type="spellStart"/>
      <w:r w:rsidRPr="009942AF">
        <w:rPr>
          <w:rFonts w:ascii="Calibri" w:hAnsi="Calibri" w:cs="Calibri"/>
          <w:i/>
          <w:sz w:val="22"/>
          <w:szCs w:val="22"/>
        </w:rPr>
        <w:t>authorised</w:t>
      </w:r>
      <w:proofErr w:type="spellEnd"/>
      <w:r w:rsidRPr="009942AF">
        <w:rPr>
          <w:rFonts w:ascii="Calibri" w:hAnsi="Calibri" w:cs="Calibri"/>
          <w:i/>
          <w:sz w:val="22"/>
          <w:szCs w:val="22"/>
        </w:rPr>
        <w:t xml:space="preserve"> under the Indian Trusts Act, 1882 within a period of six months of the close of the Year </w:t>
      </w:r>
    </w:p>
    <w:p w14:paraId="327E54E4" w14:textId="77777777" w:rsidR="009942AF" w:rsidRPr="009942AF" w:rsidRDefault="009942AF" w:rsidP="003F354D">
      <w:pPr>
        <w:spacing w:line="360" w:lineRule="auto"/>
        <w:ind w:left="567"/>
        <w:jc w:val="both"/>
        <w:rPr>
          <w:rFonts w:ascii="Calibri" w:hAnsi="Calibri" w:cs="Calibri"/>
          <w:i/>
          <w:sz w:val="22"/>
          <w:szCs w:val="22"/>
        </w:rPr>
      </w:pPr>
    </w:p>
    <w:p w14:paraId="338B8299" w14:textId="77777777" w:rsidR="009942AF" w:rsidRPr="009942AF" w:rsidRDefault="009942AF" w:rsidP="003F354D">
      <w:pPr>
        <w:spacing w:line="360" w:lineRule="auto"/>
        <w:ind w:left="567"/>
        <w:jc w:val="both"/>
        <w:rPr>
          <w:rFonts w:ascii="Calibri" w:hAnsi="Calibri" w:cs="Calibri"/>
          <w:i/>
          <w:sz w:val="22"/>
          <w:szCs w:val="22"/>
        </w:rPr>
      </w:pPr>
      <w:r w:rsidRPr="009942AF">
        <w:rPr>
          <w:rFonts w:ascii="Calibri" w:hAnsi="Calibri" w:cs="Calibri"/>
          <w:i/>
          <w:sz w:val="22"/>
          <w:szCs w:val="22"/>
        </w:rPr>
        <w:t>24.2 The Contingency Reserve shall not be drawn upon during the term of the license except to meet such charges as may be approved by the Commission, such as following:</w:t>
      </w:r>
    </w:p>
    <w:p w14:paraId="0A1E0446" w14:textId="77777777" w:rsidR="009942AF" w:rsidRPr="009942AF" w:rsidRDefault="009942AF" w:rsidP="003F354D">
      <w:pPr>
        <w:spacing w:line="360" w:lineRule="auto"/>
        <w:ind w:left="567"/>
        <w:jc w:val="both"/>
        <w:rPr>
          <w:rFonts w:ascii="Calibri" w:hAnsi="Calibri" w:cs="Calibri"/>
          <w:i/>
          <w:sz w:val="22"/>
          <w:szCs w:val="22"/>
        </w:rPr>
      </w:pPr>
    </w:p>
    <w:p w14:paraId="3C9698FE" w14:textId="77777777" w:rsidR="009942AF" w:rsidRPr="009942AF" w:rsidRDefault="009942AF" w:rsidP="009942AF">
      <w:pPr>
        <w:numPr>
          <w:ilvl w:val="0"/>
          <w:numId w:val="75"/>
        </w:numPr>
        <w:spacing w:after="200" w:line="360" w:lineRule="auto"/>
        <w:contextualSpacing/>
        <w:jc w:val="both"/>
        <w:rPr>
          <w:rFonts w:ascii="Calibri" w:eastAsia="Calibri" w:hAnsi="Calibri" w:cs="Calibri"/>
          <w:i/>
          <w:sz w:val="22"/>
          <w:szCs w:val="22"/>
        </w:rPr>
      </w:pPr>
      <w:r w:rsidRPr="009942AF">
        <w:rPr>
          <w:rFonts w:ascii="Calibri" w:eastAsia="Calibri" w:hAnsi="Calibri" w:cs="Calibri"/>
          <w:i/>
          <w:sz w:val="22"/>
          <w:szCs w:val="22"/>
        </w:rPr>
        <w:t>Expenses or loss of profits arising out of accidents, strikes or circumstances which the management could not have prevented;</w:t>
      </w:r>
    </w:p>
    <w:p w14:paraId="78781E83" w14:textId="77777777" w:rsidR="009942AF" w:rsidRPr="009942AF" w:rsidRDefault="009942AF" w:rsidP="009942AF">
      <w:pPr>
        <w:numPr>
          <w:ilvl w:val="0"/>
          <w:numId w:val="75"/>
        </w:numPr>
        <w:spacing w:after="200" w:line="360" w:lineRule="auto"/>
        <w:contextualSpacing/>
        <w:jc w:val="both"/>
        <w:rPr>
          <w:rFonts w:ascii="Calibri" w:eastAsia="Calibri" w:hAnsi="Calibri" w:cs="Calibri"/>
          <w:i/>
          <w:sz w:val="22"/>
          <w:szCs w:val="22"/>
        </w:rPr>
      </w:pPr>
      <w:r w:rsidRPr="009942AF">
        <w:rPr>
          <w:rFonts w:ascii="Calibri" w:eastAsia="Calibri" w:hAnsi="Calibri" w:cs="Calibri"/>
          <w:i/>
          <w:sz w:val="22"/>
          <w:szCs w:val="22"/>
        </w:rPr>
        <w:t>Expenses on replacement or removal of plant or works other than expenses required for normal maintenance or renewal;</w:t>
      </w:r>
    </w:p>
    <w:p w14:paraId="33378A6A" w14:textId="77777777" w:rsidR="009942AF" w:rsidRPr="009942AF" w:rsidRDefault="009942AF" w:rsidP="009942AF">
      <w:pPr>
        <w:numPr>
          <w:ilvl w:val="0"/>
          <w:numId w:val="75"/>
        </w:numPr>
        <w:spacing w:after="200" w:line="360" w:lineRule="auto"/>
        <w:contextualSpacing/>
        <w:jc w:val="both"/>
        <w:rPr>
          <w:rFonts w:ascii="Calibri" w:eastAsia="Calibri" w:hAnsi="Calibri" w:cs="Calibri"/>
          <w:i/>
          <w:sz w:val="22"/>
          <w:szCs w:val="22"/>
        </w:rPr>
      </w:pPr>
      <w:r w:rsidRPr="009942AF">
        <w:rPr>
          <w:rFonts w:ascii="Calibri" w:eastAsia="Calibri" w:hAnsi="Calibri" w:cs="Calibri"/>
          <w:i/>
          <w:sz w:val="22"/>
          <w:szCs w:val="22"/>
        </w:rPr>
        <w:t>Compensation payable under any law for the time being in force and for which no other provision is made.</w:t>
      </w:r>
    </w:p>
    <w:p w14:paraId="74C5E40A" w14:textId="77777777" w:rsidR="009942AF" w:rsidRPr="009942AF" w:rsidRDefault="009942AF" w:rsidP="003F354D">
      <w:pPr>
        <w:spacing w:line="360" w:lineRule="auto"/>
        <w:ind w:left="567"/>
        <w:jc w:val="both"/>
        <w:rPr>
          <w:rFonts w:ascii="Calibri" w:hAnsi="Calibri" w:cs="Calibri"/>
          <w:i/>
        </w:rPr>
      </w:pPr>
      <w:r w:rsidRPr="009942AF">
        <w:rPr>
          <w:rFonts w:ascii="Calibri" w:hAnsi="Calibri" w:cs="Calibri"/>
          <w:i/>
        </w:rPr>
        <w:t xml:space="preserve">Provided that such </w:t>
      </w:r>
      <w:proofErr w:type="spellStart"/>
      <w:r w:rsidRPr="009942AF">
        <w:rPr>
          <w:rFonts w:ascii="Calibri" w:hAnsi="Calibri" w:cs="Calibri"/>
          <w:i/>
        </w:rPr>
        <w:t>drawal</w:t>
      </w:r>
      <w:proofErr w:type="spellEnd"/>
      <w:r w:rsidRPr="009942AF">
        <w:rPr>
          <w:rFonts w:ascii="Calibri" w:hAnsi="Calibri" w:cs="Calibri"/>
          <w:i/>
        </w:rPr>
        <w:t xml:space="preserve"> from contingency reserve shall be computed after making due adjustment for any other compensation that may have been received by the Licensee as part of an insurance cover.</w:t>
      </w:r>
    </w:p>
    <w:p w14:paraId="66CA442C" w14:textId="77777777" w:rsidR="009942AF" w:rsidRPr="009942AF" w:rsidRDefault="009942AF" w:rsidP="009942AF">
      <w:pPr>
        <w:spacing w:line="360" w:lineRule="auto"/>
        <w:ind w:left="284"/>
        <w:jc w:val="both"/>
        <w:rPr>
          <w:rFonts w:ascii="Calibri" w:hAnsi="Calibri" w:cs="Calibri"/>
          <w:i/>
          <w:sz w:val="22"/>
          <w:szCs w:val="22"/>
        </w:rPr>
      </w:pPr>
    </w:p>
    <w:p w14:paraId="78A64597" w14:textId="77777777" w:rsidR="009942AF" w:rsidRPr="009942AF" w:rsidRDefault="009942AF" w:rsidP="003F354D">
      <w:pPr>
        <w:spacing w:line="360" w:lineRule="auto"/>
        <w:ind w:left="567"/>
        <w:jc w:val="both"/>
        <w:rPr>
          <w:rFonts w:ascii="Calibri" w:hAnsi="Calibri" w:cs="Calibri"/>
          <w:i/>
        </w:rPr>
      </w:pPr>
      <w:r w:rsidRPr="009942AF">
        <w:rPr>
          <w:rFonts w:ascii="Calibri" w:hAnsi="Calibri" w:cs="Calibri"/>
          <w:i/>
          <w:sz w:val="22"/>
          <w:szCs w:val="22"/>
        </w:rPr>
        <w:lastRenderedPageBreak/>
        <w:t>2.4.3 No diminution in the value of contingency reserve as mentioned above shall be allowed to be adjusted as a part of tariff.</w:t>
      </w:r>
    </w:p>
    <w:p w14:paraId="1DC8AA7E" w14:textId="77777777" w:rsidR="009942AF" w:rsidRPr="009942AF" w:rsidRDefault="009942AF" w:rsidP="003F354D">
      <w:pPr>
        <w:spacing w:line="360" w:lineRule="auto"/>
        <w:ind w:left="567"/>
        <w:jc w:val="both"/>
        <w:rPr>
          <w:rFonts w:ascii="Calibri" w:hAnsi="Calibri" w:cs="Calibri"/>
          <w:sz w:val="22"/>
          <w:szCs w:val="22"/>
        </w:rPr>
      </w:pPr>
    </w:p>
    <w:p w14:paraId="36416855" w14:textId="77777777" w:rsidR="009942AF" w:rsidRPr="009942AF" w:rsidRDefault="009942AF" w:rsidP="003F354D">
      <w:pPr>
        <w:spacing w:line="360" w:lineRule="auto"/>
        <w:ind w:left="567"/>
        <w:jc w:val="both"/>
        <w:rPr>
          <w:rFonts w:ascii="Calibri" w:hAnsi="Calibri" w:cs="Calibri"/>
          <w:i/>
        </w:rPr>
      </w:pPr>
      <w:r w:rsidRPr="009942AF">
        <w:rPr>
          <w:rFonts w:ascii="Calibri" w:hAnsi="Calibri" w:cs="Calibri"/>
          <w:sz w:val="22"/>
          <w:szCs w:val="22"/>
        </w:rPr>
        <w:t xml:space="preserve">The relevant extract from the ‘West Bengal Electricity Regulatory Commission (Terms and Conditions of </w:t>
      </w:r>
      <w:proofErr w:type="gramStart"/>
      <w:r w:rsidRPr="009942AF">
        <w:rPr>
          <w:rFonts w:ascii="Calibri" w:hAnsi="Calibri" w:cs="Calibri"/>
          <w:sz w:val="22"/>
          <w:szCs w:val="22"/>
        </w:rPr>
        <w:t>Tariff  )</w:t>
      </w:r>
      <w:proofErr w:type="gramEnd"/>
      <w:r w:rsidRPr="009942AF">
        <w:rPr>
          <w:rFonts w:ascii="Calibri" w:hAnsi="Calibri" w:cs="Calibri"/>
          <w:sz w:val="22"/>
          <w:szCs w:val="22"/>
        </w:rPr>
        <w:t xml:space="preserve"> Regulations 2011’  is produced below in this regard.</w:t>
      </w:r>
    </w:p>
    <w:p w14:paraId="3C1DDDFA" w14:textId="77777777" w:rsidR="003F354D" w:rsidRDefault="003F354D" w:rsidP="009942AF">
      <w:pPr>
        <w:spacing w:line="360" w:lineRule="auto"/>
        <w:jc w:val="both"/>
        <w:rPr>
          <w:rFonts w:ascii="Calibri" w:hAnsi="Calibri" w:cs="Calibri"/>
          <w:sz w:val="22"/>
          <w:szCs w:val="22"/>
        </w:rPr>
      </w:pPr>
    </w:p>
    <w:p w14:paraId="1C8051ED" w14:textId="1ED06776" w:rsidR="009942AF" w:rsidRPr="009942AF" w:rsidRDefault="009942AF" w:rsidP="003F354D">
      <w:pPr>
        <w:spacing w:line="360" w:lineRule="auto"/>
        <w:ind w:left="567"/>
        <w:jc w:val="both"/>
        <w:rPr>
          <w:rFonts w:ascii="Calibri" w:hAnsi="Calibri" w:cs="Calibri"/>
          <w:i/>
          <w:sz w:val="22"/>
          <w:szCs w:val="22"/>
        </w:rPr>
      </w:pPr>
      <w:r w:rsidRPr="009942AF">
        <w:rPr>
          <w:rFonts w:ascii="Calibri" w:hAnsi="Calibri" w:cs="Calibri"/>
          <w:i/>
          <w:sz w:val="22"/>
          <w:szCs w:val="22"/>
        </w:rPr>
        <w:t>5.11 Reserve for Unforeseen Exigencies</w:t>
      </w:r>
    </w:p>
    <w:p w14:paraId="01D3B0B7" w14:textId="77777777" w:rsidR="009942AF" w:rsidRPr="009942AF" w:rsidRDefault="009942AF" w:rsidP="009942AF">
      <w:pPr>
        <w:spacing w:line="360" w:lineRule="auto"/>
        <w:jc w:val="both"/>
        <w:rPr>
          <w:rFonts w:ascii="Calibri" w:hAnsi="Calibri" w:cs="Calibri"/>
          <w:i/>
          <w:sz w:val="22"/>
          <w:szCs w:val="22"/>
        </w:rPr>
      </w:pPr>
    </w:p>
    <w:p w14:paraId="312F1820" w14:textId="77777777" w:rsidR="009942AF" w:rsidRPr="009942AF" w:rsidRDefault="009942AF" w:rsidP="003F354D">
      <w:pPr>
        <w:spacing w:line="360" w:lineRule="auto"/>
        <w:ind w:left="567"/>
        <w:jc w:val="both"/>
        <w:rPr>
          <w:rFonts w:ascii="Calibri" w:hAnsi="Calibri" w:cs="Calibri"/>
          <w:i/>
          <w:sz w:val="22"/>
          <w:szCs w:val="22"/>
        </w:rPr>
      </w:pPr>
      <w:r w:rsidRPr="009942AF">
        <w:rPr>
          <w:rFonts w:ascii="Calibri" w:hAnsi="Calibri" w:cs="Calibri"/>
          <w:i/>
          <w:sz w:val="22"/>
          <w:szCs w:val="22"/>
        </w:rPr>
        <w:t>5.11.1 The generating companies and the licensees may provide and maintain a reserve for dealing with unforeseen exigencies up to 0.25% of the value of gross fixed assets at the beginning of the year annually and the provision made for the year will be allowed in their Aggregate Revenue Requirement subject to an overall ceiling of 5% of the value of gross fixed assets at the beginning of the year. The existing amount of contingency reserve in the books of accounts of the generating companies / licensees, if any, will be considered while arriving at the overall ceiling as stated herein.</w:t>
      </w:r>
    </w:p>
    <w:p w14:paraId="76BD4D94" w14:textId="77777777" w:rsidR="009942AF" w:rsidRPr="009942AF" w:rsidRDefault="009942AF" w:rsidP="003F354D">
      <w:pPr>
        <w:spacing w:line="360" w:lineRule="auto"/>
        <w:ind w:left="567"/>
        <w:jc w:val="both"/>
        <w:rPr>
          <w:rFonts w:ascii="Calibri" w:hAnsi="Calibri" w:cs="Calibri"/>
          <w:i/>
          <w:sz w:val="22"/>
          <w:szCs w:val="22"/>
        </w:rPr>
      </w:pPr>
    </w:p>
    <w:p w14:paraId="57562252" w14:textId="77777777" w:rsidR="009942AF" w:rsidRPr="009942AF" w:rsidRDefault="009942AF" w:rsidP="003F354D">
      <w:pPr>
        <w:spacing w:line="360" w:lineRule="auto"/>
        <w:ind w:left="567"/>
        <w:jc w:val="both"/>
        <w:rPr>
          <w:rFonts w:ascii="Calibri" w:hAnsi="Calibri" w:cs="Calibri"/>
          <w:i/>
          <w:sz w:val="22"/>
          <w:szCs w:val="22"/>
        </w:rPr>
      </w:pPr>
      <w:r w:rsidRPr="009942AF">
        <w:rPr>
          <w:rFonts w:ascii="Calibri" w:hAnsi="Calibri" w:cs="Calibri"/>
          <w:i/>
          <w:sz w:val="22"/>
          <w:szCs w:val="22"/>
        </w:rPr>
        <w:t>5.11.2 For failure to comply with the provisions of the regulation 5.11.1 and 5.24.1, double the amount allowed under the head reserve for unforeseen exigencies in any tariff order of a year shall be withheld from the re-determined ARR during APR of any year.</w:t>
      </w:r>
    </w:p>
    <w:p w14:paraId="1E6F91DC" w14:textId="77777777" w:rsidR="009942AF" w:rsidRPr="009942AF" w:rsidRDefault="009942AF" w:rsidP="003F354D">
      <w:pPr>
        <w:spacing w:line="360" w:lineRule="auto"/>
        <w:ind w:left="567"/>
        <w:jc w:val="both"/>
        <w:rPr>
          <w:rFonts w:ascii="Calibri" w:hAnsi="Calibri" w:cs="Calibri"/>
          <w:sz w:val="22"/>
          <w:szCs w:val="22"/>
        </w:rPr>
      </w:pPr>
    </w:p>
    <w:p w14:paraId="393B783E" w14:textId="77777777" w:rsidR="009942AF" w:rsidRPr="009942AF" w:rsidRDefault="009942AF" w:rsidP="003F354D">
      <w:pPr>
        <w:spacing w:line="360" w:lineRule="auto"/>
        <w:ind w:left="567"/>
        <w:jc w:val="both"/>
        <w:rPr>
          <w:rFonts w:ascii="Calibri" w:hAnsi="Calibri" w:cs="Calibri"/>
          <w:i/>
          <w:sz w:val="22"/>
          <w:szCs w:val="22"/>
        </w:rPr>
      </w:pPr>
      <w:r w:rsidRPr="009942AF">
        <w:rPr>
          <w:rFonts w:ascii="Calibri" w:hAnsi="Calibri" w:cs="Calibri"/>
          <w:sz w:val="22"/>
          <w:szCs w:val="22"/>
        </w:rPr>
        <w:t>Furthermore, in the Transmission Tariff Order for FY 24-25 dated 13.02.2024, vide Para 152, the Hon’ble Commission has recorded the views/ suggestions of the Government of Odisha which is appended as under:</w:t>
      </w:r>
    </w:p>
    <w:p w14:paraId="3980BBC4" w14:textId="77777777" w:rsidR="009942AF" w:rsidRPr="009942AF" w:rsidRDefault="009942AF" w:rsidP="003F354D">
      <w:pPr>
        <w:spacing w:line="360" w:lineRule="auto"/>
        <w:ind w:left="567"/>
        <w:jc w:val="both"/>
        <w:rPr>
          <w:rFonts w:ascii="Calibri" w:hAnsi="Calibri" w:cs="Calibri"/>
          <w:i/>
          <w:iCs/>
          <w:sz w:val="22"/>
          <w:szCs w:val="22"/>
        </w:rPr>
      </w:pPr>
    </w:p>
    <w:p w14:paraId="1AB00E7F" w14:textId="77777777" w:rsidR="009942AF" w:rsidRPr="009942AF" w:rsidRDefault="009942AF" w:rsidP="003F354D">
      <w:pPr>
        <w:spacing w:line="360" w:lineRule="auto"/>
        <w:ind w:left="567"/>
        <w:jc w:val="both"/>
        <w:rPr>
          <w:rFonts w:ascii="Calibri" w:hAnsi="Calibri" w:cs="Calibri"/>
          <w:i/>
          <w:sz w:val="22"/>
          <w:szCs w:val="22"/>
        </w:rPr>
      </w:pPr>
      <w:r w:rsidRPr="009942AF">
        <w:rPr>
          <w:rFonts w:ascii="Calibri" w:hAnsi="Calibri" w:cs="Calibri"/>
          <w:i/>
          <w:iCs/>
          <w:sz w:val="22"/>
          <w:szCs w:val="22"/>
        </w:rPr>
        <w:t>“</w:t>
      </w:r>
      <w:r w:rsidRPr="009942AF">
        <w:rPr>
          <w:rFonts w:ascii="Calibri" w:hAnsi="Calibri" w:cs="Calibri"/>
          <w:b/>
          <w:bCs/>
          <w:i/>
          <w:iCs/>
          <w:sz w:val="22"/>
          <w:szCs w:val="22"/>
          <w:u w:val="single"/>
        </w:rPr>
        <w:t>Damage to Power Distribution infrastructure due to natural calamities are not covered under Insurance Schemes</w:t>
      </w:r>
      <w:r w:rsidRPr="009942AF">
        <w:rPr>
          <w:rFonts w:ascii="Calibri" w:hAnsi="Calibri" w:cs="Calibri"/>
          <w:i/>
          <w:iCs/>
          <w:sz w:val="22"/>
          <w:szCs w:val="22"/>
        </w:rPr>
        <w:t xml:space="preserve">. </w:t>
      </w:r>
      <w:r w:rsidRPr="009942AF">
        <w:rPr>
          <w:rFonts w:ascii="Calibri" w:hAnsi="Calibri" w:cs="Calibri"/>
          <w:b/>
          <w:bCs/>
          <w:i/>
          <w:iCs/>
          <w:sz w:val="22"/>
          <w:szCs w:val="22"/>
          <w:u w:val="single"/>
        </w:rPr>
        <w:t>Therefore, a “Contingency Reserve Fund”, preferably one fund for all DISCOMs need to be created to have a self-insurance fund to insure against probable damage to Distribution Network</w:t>
      </w:r>
      <w:r w:rsidRPr="009942AF">
        <w:rPr>
          <w:rFonts w:ascii="Calibri" w:hAnsi="Calibri" w:cs="Calibri"/>
          <w:i/>
          <w:iCs/>
          <w:sz w:val="22"/>
          <w:szCs w:val="22"/>
        </w:rPr>
        <w:t>. The Commission may create provisions in the ARR of DISCOMs in this regard including the administration of the “Contingency Reserve Fund” under the Commission.”</w:t>
      </w:r>
      <w:r w:rsidRPr="009942AF">
        <w:rPr>
          <w:rFonts w:ascii="Calibri" w:hAnsi="Calibri" w:cs="Calibri"/>
          <w:sz w:val="22"/>
          <w:szCs w:val="22"/>
        </w:rPr>
        <w:t xml:space="preserve"> [</w:t>
      </w:r>
      <w:r w:rsidRPr="009942AF">
        <w:rPr>
          <w:rFonts w:ascii="Calibri" w:hAnsi="Calibri" w:cs="Calibri"/>
          <w:b/>
          <w:bCs/>
          <w:sz w:val="22"/>
          <w:szCs w:val="22"/>
        </w:rPr>
        <w:t>Emphasis Supplied</w:t>
      </w:r>
      <w:r w:rsidRPr="009942AF">
        <w:rPr>
          <w:rFonts w:ascii="Calibri" w:hAnsi="Calibri" w:cs="Calibri"/>
          <w:sz w:val="22"/>
          <w:szCs w:val="22"/>
        </w:rPr>
        <w:t>]</w:t>
      </w:r>
    </w:p>
    <w:p w14:paraId="6F28CBC4" w14:textId="77777777" w:rsidR="009942AF" w:rsidRPr="009942AF" w:rsidRDefault="009942AF" w:rsidP="003F354D">
      <w:pPr>
        <w:spacing w:line="360" w:lineRule="auto"/>
        <w:ind w:left="567"/>
        <w:rPr>
          <w:rFonts w:ascii="Calibri" w:hAnsi="Calibri" w:cs="Calibri"/>
          <w:sz w:val="22"/>
          <w:szCs w:val="22"/>
        </w:rPr>
      </w:pPr>
    </w:p>
    <w:p w14:paraId="0B1E0FCC" w14:textId="77777777" w:rsidR="009942AF" w:rsidRPr="009942AF" w:rsidRDefault="009942AF" w:rsidP="003F354D">
      <w:pPr>
        <w:spacing w:line="360" w:lineRule="auto"/>
        <w:ind w:left="567"/>
        <w:jc w:val="both"/>
        <w:rPr>
          <w:rFonts w:ascii="Calibri" w:hAnsi="Calibri" w:cs="Calibri"/>
          <w:sz w:val="22"/>
          <w:szCs w:val="22"/>
        </w:rPr>
      </w:pPr>
      <w:r w:rsidRPr="009942AF">
        <w:rPr>
          <w:rFonts w:ascii="Calibri" w:hAnsi="Calibri" w:cs="Calibri"/>
          <w:sz w:val="22"/>
          <w:szCs w:val="22"/>
        </w:rPr>
        <w:t xml:space="preserve">Referring to the above practices being followed by States like Maharashtra, Bihar and West Bengal having similar probability of Natural Calamities what is prevailing in Odisha requires similar arrangement for creation of Contingency Reserve so that in case of heavy damage to uninsured network, all four Odisha </w:t>
      </w:r>
      <w:proofErr w:type="spellStart"/>
      <w:r w:rsidRPr="009942AF">
        <w:rPr>
          <w:rFonts w:ascii="Calibri" w:hAnsi="Calibri" w:cs="Calibri"/>
          <w:sz w:val="22"/>
          <w:szCs w:val="22"/>
        </w:rPr>
        <w:t>Discoms</w:t>
      </w:r>
      <w:proofErr w:type="spellEnd"/>
      <w:r w:rsidRPr="009942AF">
        <w:rPr>
          <w:rFonts w:ascii="Calibri" w:hAnsi="Calibri" w:cs="Calibri"/>
          <w:sz w:val="22"/>
          <w:szCs w:val="22"/>
        </w:rPr>
        <w:t xml:space="preserve"> can replace such damaged network without huge Tariff shock to consumers.</w:t>
      </w:r>
    </w:p>
    <w:p w14:paraId="1B50C6AD" w14:textId="77777777" w:rsidR="009942AF" w:rsidRPr="009942AF" w:rsidRDefault="009942AF" w:rsidP="009942AF">
      <w:pPr>
        <w:spacing w:line="360" w:lineRule="auto"/>
        <w:jc w:val="both"/>
        <w:rPr>
          <w:rFonts w:ascii="Calibri" w:hAnsi="Calibri" w:cs="Calibri"/>
          <w:sz w:val="22"/>
          <w:szCs w:val="22"/>
        </w:rPr>
      </w:pPr>
    </w:p>
    <w:p w14:paraId="04E28BDB" w14:textId="50384790" w:rsidR="009942AF" w:rsidRPr="009942AF" w:rsidRDefault="003F354D" w:rsidP="009942AF">
      <w:pPr>
        <w:spacing w:line="360" w:lineRule="auto"/>
        <w:jc w:val="both"/>
        <w:rPr>
          <w:rFonts w:ascii="Calibri" w:hAnsi="Calibri" w:cs="Calibri"/>
          <w:b/>
          <w:sz w:val="22"/>
          <w:szCs w:val="22"/>
        </w:rPr>
      </w:pPr>
      <w:r>
        <w:rPr>
          <w:rFonts w:ascii="Calibri" w:hAnsi="Calibri" w:cs="Calibri"/>
          <w:b/>
          <w:sz w:val="22"/>
          <w:szCs w:val="22"/>
        </w:rPr>
        <w:lastRenderedPageBreak/>
        <w:t xml:space="preserve">            </w:t>
      </w:r>
      <w:r w:rsidR="009942AF" w:rsidRPr="009942AF">
        <w:rPr>
          <w:rFonts w:ascii="Calibri" w:hAnsi="Calibri" w:cs="Calibri"/>
          <w:b/>
          <w:sz w:val="22"/>
          <w:szCs w:val="22"/>
        </w:rPr>
        <w:t>Submission</w:t>
      </w:r>
    </w:p>
    <w:p w14:paraId="021BFC19" w14:textId="77777777" w:rsidR="009942AF" w:rsidRPr="009942AF" w:rsidRDefault="009942AF" w:rsidP="009942AF">
      <w:pPr>
        <w:spacing w:line="360" w:lineRule="auto"/>
        <w:rPr>
          <w:rFonts w:ascii="Calibri" w:hAnsi="Calibri" w:cs="Calibri"/>
          <w:sz w:val="22"/>
          <w:szCs w:val="22"/>
        </w:rPr>
      </w:pPr>
    </w:p>
    <w:p w14:paraId="06A2ECA7" w14:textId="77777777" w:rsidR="009942AF" w:rsidRPr="009942AF" w:rsidRDefault="009942AF" w:rsidP="003F354D">
      <w:pPr>
        <w:spacing w:line="360" w:lineRule="auto"/>
        <w:ind w:left="567"/>
        <w:rPr>
          <w:rFonts w:ascii="Calibri" w:hAnsi="Calibri" w:cs="Calibri"/>
          <w:sz w:val="22"/>
          <w:szCs w:val="22"/>
        </w:rPr>
      </w:pPr>
      <w:r w:rsidRPr="009942AF">
        <w:rPr>
          <w:rFonts w:ascii="Calibri" w:hAnsi="Calibri" w:cs="Calibri"/>
          <w:sz w:val="22"/>
          <w:szCs w:val="22"/>
        </w:rPr>
        <w:t xml:space="preserve">Considering the uncovered risk, more so due to Odisha being a Coastal State and prone to natural calamities, our Board of Directors / Audit Committee has advised to approach this Hon’ble Commission for devising an systematic modalities </w:t>
      </w:r>
      <w:proofErr w:type="gramStart"/>
      <w:r w:rsidRPr="009942AF">
        <w:rPr>
          <w:rFonts w:ascii="Calibri" w:hAnsi="Calibri" w:cs="Calibri"/>
          <w:sz w:val="22"/>
          <w:szCs w:val="22"/>
        </w:rPr>
        <w:t>for  creation</w:t>
      </w:r>
      <w:proofErr w:type="gramEnd"/>
      <w:r w:rsidRPr="009942AF">
        <w:rPr>
          <w:rFonts w:ascii="Calibri" w:hAnsi="Calibri" w:cs="Calibri"/>
          <w:sz w:val="22"/>
          <w:szCs w:val="22"/>
        </w:rPr>
        <w:t xml:space="preserve"> of Contingency Reserve or Disaster Resilient Fund.</w:t>
      </w:r>
    </w:p>
    <w:p w14:paraId="335D8489" w14:textId="77777777" w:rsidR="009942AF" w:rsidRPr="009942AF" w:rsidRDefault="009942AF" w:rsidP="003F354D">
      <w:pPr>
        <w:spacing w:line="360" w:lineRule="auto"/>
        <w:ind w:left="567"/>
        <w:rPr>
          <w:rFonts w:ascii="Calibri" w:hAnsi="Calibri" w:cs="Calibri"/>
          <w:sz w:val="22"/>
          <w:szCs w:val="22"/>
        </w:rPr>
      </w:pPr>
    </w:p>
    <w:p w14:paraId="25B23947" w14:textId="77777777" w:rsidR="009942AF" w:rsidRPr="009942AF" w:rsidRDefault="009942AF" w:rsidP="003F354D">
      <w:pPr>
        <w:spacing w:line="360" w:lineRule="auto"/>
        <w:ind w:left="567"/>
        <w:rPr>
          <w:rFonts w:ascii="Calibri" w:hAnsi="Calibri" w:cs="Calibri"/>
          <w:sz w:val="22"/>
          <w:szCs w:val="22"/>
        </w:rPr>
      </w:pPr>
    </w:p>
    <w:p w14:paraId="414C2841" w14:textId="77777777" w:rsidR="009942AF" w:rsidRPr="009942AF" w:rsidRDefault="009942AF" w:rsidP="003F354D">
      <w:pPr>
        <w:spacing w:line="360" w:lineRule="auto"/>
        <w:ind w:left="567"/>
        <w:jc w:val="both"/>
        <w:rPr>
          <w:rFonts w:ascii="Calibri" w:hAnsi="Calibri" w:cs="Calibri"/>
          <w:sz w:val="22"/>
          <w:szCs w:val="22"/>
        </w:rPr>
      </w:pPr>
      <w:r w:rsidRPr="009942AF">
        <w:rPr>
          <w:rFonts w:ascii="Calibri" w:hAnsi="Calibri" w:cs="Calibri"/>
          <w:sz w:val="22"/>
          <w:szCs w:val="22"/>
        </w:rPr>
        <w:t xml:space="preserve">Creation of such reserve basis certain norms become more relevant, </w:t>
      </w:r>
      <w:proofErr w:type="spellStart"/>
      <w:r w:rsidRPr="009942AF">
        <w:rPr>
          <w:rFonts w:ascii="Calibri" w:hAnsi="Calibri" w:cs="Calibri"/>
          <w:sz w:val="22"/>
          <w:szCs w:val="22"/>
        </w:rPr>
        <w:t>pruduent</w:t>
      </w:r>
      <w:proofErr w:type="spellEnd"/>
      <w:r w:rsidRPr="009942AF">
        <w:rPr>
          <w:rFonts w:ascii="Calibri" w:hAnsi="Calibri" w:cs="Calibri"/>
          <w:sz w:val="22"/>
          <w:szCs w:val="22"/>
        </w:rPr>
        <w:t xml:space="preserve"> &amp; essential because vide Letter No. 11896 dated 03.12.2022, the Department of Energy, Govt. of Odisha, has mentioned that NDRF/ SDRF funds are not available for repair/ replacement of Assets at 33 kV level. Further, Government funds may not be available for restoration of assets owned by the Private </w:t>
      </w:r>
      <w:proofErr w:type="spellStart"/>
      <w:r w:rsidRPr="009942AF">
        <w:rPr>
          <w:rFonts w:ascii="Calibri" w:hAnsi="Calibri" w:cs="Calibri"/>
          <w:sz w:val="22"/>
          <w:szCs w:val="22"/>
        </w:rPr>
        <w:t>Discoms</w:t>
      </w:r>
      <w:proofErr w:type="spellEnd"/>
      <w:r w:rsidRPr="009942AF">
        <w:rPr>
          <w:rFonts w:ascii="Calibri" w:hAnsi="Calibri" w:cs="Calibri"/>
          <w:sz w:val="22"/>
          <w:szCs w:val="22"/>
        </w:rPr>
        <w:t xml:space="preserve">. </w:t>
      </w:r>
    </w:p>
    <w:p w14:paraId="21B12470" w14:textId="77777777" w:rsidR="009942AF" w:rsidRPr="009942AF" w:rsidRDefault="009942AF" w:rsidP="003F354D">
      <w:pPr>
        <w:spacing w:line="360" w:lineRule="auto"/>
        <w:ind w:left="567"/>
        <w:jc w:val="both"/>
        <w:rPr>
          <w:rFonts w:ascii="Calibri" w:hAnsi="Calibri" w:cs="Calibri"/>
          <w:sz w:val="22"/>
          <w:szCs w:val="22"/>
        </w:rPr>
      </w:pPr>
    </w:p>
    <w:p w14:paraId="23CF9E2D" w14:textId="77777777" w:rsidR="009942AF" w:rsidRPr="009942AF" w:rsidRDefault="009942AF" w:rsidP="003F354D">
      <w:pPr>
        <w:spacing w:line="360" w:lineRule="auto"/>
        <w:ind w:left="567"/>
        <w:jc w:val="both"/>
        <w:rPr>
          <w:rFonts w:ascii="Calibri" w:hAnsi="Calibri" w:cs="Calibri"/>
          <w:sz w:val="22"/>
          <w:szCs w:val="22"/>
        </w:rPr>
      </w:pPr>
      <w:r w:rsidRPr="009942AF">
        <w:rPr>
          <w:rFonts w:ascii="Calibri" w:hAnsi="Calibri" w:cs="Calibri"/>
          <w:sz w:val="22"/>
          <w:szCs w:val="22"/>
        </w:rPr>
        <w:t xml:space="preserve">In case of any catastrophic event requiring replacement of LT/HT network in mass if sufficient funding not available with </w:t>
      </w:r>
      <w:proofErr w:type="spellStart"/>
      <w:r w:rsidRPr="009942AF">
        <w:rPr>
          <w:rFonts w:ascii="Calibri" w:hAnsi="Calibri" w:cs="Calibri"/>
          <w:sz w:val="22"/>
          <w:szCs w:val="22"/>
        </w:rPr>
        <w:t>Discom</w:t>
      </w:r>
      <w:proofErr w:type="spellEnd"/>
      <w:r w:rsidRPr="009942AF">
        <w:rPr>
          <w:rFonts w:ascii="Calibri" w:hAnsi="Calibri" w:cs="Calibri"/>
          <w:sz w:val="22"/>
          <w:szCs w:val="22"/>
        </w:rPr>
        <w:t xml:space="preserve"> and no support from Govt. of Odisha as mentioned in above letter, the </w:t>
      </w:r>
      <w:proofErr w:type="spellStart"/>
      <w:r w:rsidRPr="009942AF">
        <w:rPr>
          <w:rFonts w:ascii="Calibri" w:hAnsi="Calibri" w:cs="Calibri"/>
          <w:sz w:val="22"/>
          <w:szCs w:val="22"/>
        </w:rPr>
        <w:t>Discoms</w:t>
      </w:r>
      <w:proofErr w:type="spellEnd"/>
      <w:r w:rsidRPr="009942AF">
        <w:rPr>
          <w:rFonts w:ascii="Calibri" w:hAnsi="Calibri" w:cs="Calibri"/>
          <w:sz w:val="22"/>
          <w:szCs w:val="22"/>
        </w:rPr>
        <w:t xml:space="preserve"> will not be able to replace and restore the damaged network resulting major disruption in power supply to consumers. </w:t>
      </w:r>
    </w:p>
    <w:p w14:paraId="6EF3F4BE" w14:textId="77777777" w:rsidR="009942AF" w:rsidRPr="009942AF" w:rsidRDefault="009942AF" w:rsidP="003F354D">
      <w:pPr>
        <w:spacing w:line="360" w:lineRule="auto"/>
        <w:ind w:left="567"/>
        <w:jc w:val="both"/>
        <w:rPr>
          <w:rFonts w:ascii="Calibri" w:hAnsi="Calibri" w:cs="Calibri"/>
          <w:sz w:val="22"/>
          <w:szCs w:val="22"/>
        </w:rPr>
      </w:pPr>
    </w:p>
    <w:p w14:paraId="20011968" w14:textId="77777777" w:rsidR="009942AF" w:rsidRPr="009942AF" w:rsidRDefault="009942AF" w:rsidP="003F354D">
      <w:pPr>
        <w:spacing w:line="360" w:lineRule="auto"/>
        <w:ind w:left="567"/>
        <w:jc w:val="both"/>
        <w:rPr>
          <w:rFonts w:ascii="Calibri" w:hAnsi="Calibri" w:cs="Calibri"/>
          <w:sz w:val="22"/>
          <w:szCs w:val="22"/>
        </w:rPr>
      </w:pPr>
      <w:r w:rsidRPr="009942AF">
        <w:rPr>
          <w:rFonts w:ascii="Calibri" w:hAnsi="Calibri" w:cs="Calibri"/>
          <w:sz w:val="22"/>
          <w:szCs w:val="22"/>
        </w:rPr>
        <w:t xml:space="preserve">In view of the above, we propose that the </w:t>
      </w:r>
      <w:proofErr w:type="spellStart"/>
      <w:r w:rsidRPr="009942AF">
        <w:rPr>
          <w:rFonts w:ascii="Calibri" w:hAnsi="Calibri" w:cs="Calibri"/>
          <w:sz w:val="22"/>
          <w:szCs w:val="22"/>
        </w:rPr>
        <w:t>Discoms</w:t>
      </w:r>
      <w:proofErr w:type="spellEnd"/>
      <w:r w:rsidRPr="009942AF">
        <w:rPr>
          <w:rFonts w:ascii="Calibri" w:hAnsi="Calibri" w:cs="Calibri"/>
          <w:sz w:val="22"/>
          <w:szCs w:val="22"/>
        </w:rPr>
        <w:t xml:space="preserve"> may be allowed to create a Contingency Reserve for such Assets which Insurance Companies are refusing to insure (viz. overhead LT, HT, and EHT Lines). The contribution to the Contingency reserve needs to be allowed as an additional expenditure in ARR. The accumulated fund in the Contingency Reserve would be utilized by the </w:t>
      </w:r>
      <w:proofErr w:type="spellStart"/>
      <w:r w:rsidRPr="009942AF">
        <w:rPr>
          <w:rFonts w:ascii="Calibri" w:hAnsi="Calibri" w:cs="Calibri"/>
          <w:sz w:val="22"/>
          <w:szCs w:val="22"/>
        </w:rPr>
        <w:t>Discom</w:t>
      </w:r>
      <w:proofErr w:type="spellEnd"/>
      <w:r w:rsidRPr="009942AF">
        <w:rPr>
          <w:rFonts w:ascii="Calibri" w:hAnsi="Calibri" w:cs="Calibri"/>
          <w:sz w:val="22"/>
          <w:szCs w:val="22"/>
        </w:rPr>
        <w:t xml:space="preserve"> only for mitigating financial impact of a Force Majeure event requiring major repair/ replacement of damaged assets on mass basis with post facto approval from the Hon’ble Commission for cost incurred.     </w:t>
      </w:r>
    </w:p>
    <w:p w14:paraId="65387256" w14:textId="77777777" w:rsidR="009942AF" w:rsidRPr="009942AF" w:rsidRDefault="009942AF" w:rsidP="003F354D">
      <w:pPr>
        <w:spacing w:line="360" w:lineRule="auto"/>
        <w:ind w:left="567"/>
        <w:jc w:val="both"/>
        <w:rPr>
          <w:rFonts w:ascii="Calibri" w:hAnsi="Calibri" w:cs="Calibri"/>
          <w:sz w:val="22"/>
          <w:szCs w:val="22"/>
        </w:rPr>
      </w:pPr>
    </w:p>
    <w:p w14:paraId="418738FD" w14:textId="77777777" w:rsidR="009942AF" w:rsidRPr="009942AF" w:rsidRDefault="009942AF" w:rsidP="003F354D">
      <w:pPr>
        <w:spacing w:line="360" w:lineRule="auto"/>
        <w:ind w:left="567"/>
        <w:jc w:val="both"/>
        <w:rPr>
          <w:rFonts w:ascii="Calibri" w:hAnsi="Calibri" w:cs="Calibri"/>
          <w:sz w:val="22"/>
          <w:szCs w:val="22"/>
        </w:rPr>
      </w:pPr>
      <w:r w:rsidRPr="009942AF">
        <w:rPr>
          <w:rFonts w:ascii="Calibri" w:hAnsi="Calibri" w:cs="Calibri"/>
          <w:sz w:val="22"/>
          <w:szCs w:val="22"/>
        </w:rPr>
        <w:t xml:space="preserve">It is requested that the Hon’ble Commission may kindly allow a gradual buildup of the Contingency Reserve for about 5 years. The Reserve build –up may be reviewed at the end of initial </w:t>
      </w:r>
      <w:proofErr w:type="gramStart"/>
      <w:r w:rsidRPr="009942AF">
        <w:rPr>
          <w:rFonts w:ascii="Calibri" w:hAnsi="Calibri" w:cs="Calibri"/>
          <w:sz w:val="22"/>
          <w:szCs w:val="22"/>
        </w:rPr>
        <w:t>period ,unless</w:t>
      </w:r>
      <w:proofErr w:type="gramEnd"/>
      <w:r w:rsidRPr="009942AF">
        <w:rPr>
          <w:rFonts w:ascii="Calibri" w:hAnsi="Calibri" w:cs="Calibri"/>
          <w:sz w:val="22"/>
          <w:szCs w:val="22"/>
        </w:rPr>
        <w:t xml:space="preserve"> the Government finances such Force Majeure eventualities, in which case the review could be done on an annual basis . </w:t>
      </w:r>
    </w:p>
    <w:p w14:paraId="7BA22363" w14:textId="77777777" w:rsidR="009942AF" w:rsidRPr="009942AF" w:rsidRDefault="009942AF" w:rsidP="003F354D">
      <w:pPr>
        <w:spacing w:line="360" w:lineRule="auto"/>
        <w:ind w:left="567"/>
        <w:jc w:val="both"/>
        <w:rPr>
          <w:rFonts w:ascii="Calibri" w:hAnsi="Calibri" w:cs="Calibri"/>
          <w:sz w:val="22"/>
          <w:szCs w:val="22"/>
        </w:rPr>
      </w:pPr>
    </w:p>
    <w:p w14:paraId="1634993C" w14:textId="77777777" w:rsidR="009942AF" w:rsidRPr="009942AF" w:rsidRDefault="009942AF" w:rsidP="003F354D">
      <w:pPr>
        <w:spacing w:line="360" w:lineRule="auto"/>
        <w:ind w:left="567"/>
        <w:jc w:val="both"/>
        <w:rPr>
          <w:rFonts w:ascii="Calibri" w:hAnsi="Calibri" w:cs="Calibri"/>
          <w:sz w:val="22"/>
          <w:szCs w:val="22"/>
        </w:rPr>
      </w:pPr>
      <w:r w:rsidRPr="009942AF">
        <w:rPr>
          <w:rFonts w:ascii="Calibri" w:hAnsi="Calibri" w:cs="Calibri"/>
          <w:sz w:val="22"/>
          <w:szCs w:val="22"/>
        </w:rPr>
        <w:t xml:space="preserve">In case such contingency reserves are </w:t>
      </w:r>
      <w:proofErr w:type="gramStart"/>
      <w:r w:rsidRPr="009942AF">
        <w:rPr>
          <w:rFonts w:ascii="Calibri" w:hAnsi="Calibri" w:cs="Calibri"/>
          <w:sz w:val="22"/>
          <w:szCs w:val="22"/>
        </w:rPr>
        <w:t>not  created</w:t>
      </w:r>
      <w:proofErr w:type="gramEnd"/>
      <w:r w:rsidRPr="009942AF">
        <w:rPr>
          <w:rFonts w:ascii="Calibri" w:hAnsi="Calibri" w:cs="Calibri"/>
          <w:sz w:val="22"/>
          <w:szCs w:val="22"/>
        </w:rPr>
        <w:t xml:space="preserve"> and any catastrophic event happen and Govt. funding are not provided then there will be huge tariff shock to the Consumers on account of cost of loss on retirement of assets and cost of new Assets. Creation of such contingency reserve will not only help in avoiding tariff shock and buildup of Regulatory Assets will also ensure quick restoration of supply in the event of natural calamity.</w:t>
      </w:r>
    </w:p>
    <w:p w14:paraId="7AE74778" w14:textId="77777777" w:rsidR="009942AF" w:rsidRPr="009942AF" w:rsidRDefault="009942AF" w:rsidP="003F354D">
      <w:pPr>
        <w:spacing w:line="360" w:lineRule="auto"/>
        <w:ind w:left="567"/>
        <w:jc w:val="both"/>
        <w:rPr>
          <w:rFonts w:ascii="Calibri" w:hAnsi="Calibri" w:cs="Calibri"/>
          <w:sz w:val="22"/>
          <w:szCs w:val="22"/>
        </w:rPr>
      </w:pPr>
    </w:p>
    <w:p w14:paraId="15ADBB09" w14:textId="77777777" w:rsidR="009942AF" w:rsidRPr="009942AF" w:rsidRDefault="009942AF" w:rsidP="003F354D">
      <w:pPr>
        <w:spacing w:line="360" w:lineRule="auto"/>
        <w:ind w:left="567"/>
        <w:jc w:val="both"/>
        <w:rPr>
          <w:rFonts w:ascii="Calibri" w:hAnsi="Calibri" w:cs="Calibri"/>
          <w:sz w:val="22"/>
          <w:szCs w:val="22"/>
        </w:rPr>
      </w:pPr>
      <w:r w:rsidRPr="009942AF">
        <w:rPr>
          <w:rFonts w:ascii="Calibri" w:hAnsi="Calibri" w:cs="Calibri"/>
          <w:sz w:val="22"/>
          <w:szCs w:val="22"/>
        </w:rPr>
        <w:t>Modalities for administration of Contingency Reserve may be decided by this Hon’ble Commission keeping in view the practices followed by other State Regulatory Commissions as referred above.</w:t>
      </w:r>
    </w:p>
    <w:p w14:paraId="44ED063C" w14:textId="77777777" w:rsidR="009942AF" w:rsidRPr="009942AF" w:rsidRDefault="009942AF" w:rsidP="003F354D">
      <w:pPr>
        <w:spacing w:line="360" w:lineRule="auto"/>
        <w:ind w:left="567"/>
        <w:jc w:val="both"/>
        <w:rPr>
          <w:rFonts w:ascii="Calibri" w:hAnsi="Calibri" w:cs="Calibri"/>
          <w:sz w:val="22"/>
          <w:szCs w:val="22"/>
        </w:rPr>
      </w:pPr>
    </w:p>
    <w:p w14:paraId="54150DF4" w14:textId="77777777" w:rsidR="009942AF" w:rsidRPr="009942AF" w:rsidRDefault="009942AF" w:rsidP="003F354D">
      <w:pPr>
        <w:spacing w:line="360" w:lineRule="auto"/>
        <w:ind w:left="567"/>
        <w:jc w:val="both"/>
        <w:rPr>
          <w:rFonts w:ascii="Calibri" w:hAnsi="Calibri" w:cs="Calibri"/>
          <w:sz w:val="22"/>
          <w:szCs w:val="22"/>
        </w:rPr>
      </w:pPr>
      <w:r w:rsidRPr="009942AF">
        <w:rPr>
          <w:rFonts w:ascii="Calibri" w:hAnsi="Calibri" w:cs="Calibri"/>
          <w:sz w:val="22"/>
          <w:szCs w:val="22"/>
        </w:rPr>
        <w:t>The Hon'ble Commission is requested to allow a suitable quantum towards Self Insurance/Contingency Reserves in the ARR of the Distribution Licensees in Odisha. The quantum of amount may be decided at 0.25 % of the GFA subject to a limit of 5% as stipulated in case of provisions made by the Hon’ble</w:t>
      </w:r>
    </w:p>
    <w:p w14:paraId="46C52188" w14:textId="77777777" w:rsidR="009942AF" w:rsidRPr="009942AF" w:rsidRDefault="009942AF" w:rsidP="003F354D">
      <w:pPr>
        <w:spacing w:line="360" w:lineRule="auto"/>
        <w:ind w:left="567"/>
        <w:jc w:val="both"/>
        <w:rPr>
          <w:rFonts w:ascii="Calibri" w:hAnsi="Calibri" w:cs="Calibri"/>
          <w:sz w:val="22"/>
          <w:szCs w:val="22"/>
        </w:rPr>
      </w:pPr>
    </w:p>
    <w:p w14:paraId="13A43AB9" w14:textId="77777777" w:rsidR="009942AF" w:rsidRPr="009942AF" w:rsidRDefault="009942AF" w:rsidP="003F354D">
      <w:pPr>
        <w:spacing w:line="360" w:lineRule="auto"/>
        <w:ind w:left="567"/>
        <w:jc w:val="both"/>
        <w:rPr>
          <w:rFonts w:ascii="Calibri" w:hAnsi="Calibri" w:cs="Calibri"/>
          <w:sz w:val="22"/>
          <w:szCs w:val="22"/>
        </w:rPr>
      </w:pPr>
      <w:r w:rsidRPr="009942AF">
        <w:rPr>
          <w:rFonts w:ascii="Calibri" w:hAnsi="Calibri" w:cs="Calibri"/>
          <w:sz w:val="22"/>
          <w:szCs w:val="22"/>
        </w:rPr>
        <w:t>Commissions of Bihar and West Bengal. On the basis of the GFA as on 31</w:t>
      </w:r>
      <w:r w:rsidRPr="009942AF">
        <w:rPr>
          <w:rFonts w:ascii="Calibri" w:hAnsi="Calibri" w:cs="Calibri"/>
          <w:sz w:val="22"/>
          <w:szCs w:val="22"/>
          <w:vertAlign w:val="superscript"/>
        </w:rPr>
        <w:t>st</w:t>
      </w:r>
      <w:r w:rsidRPr="009942AF">
        <w:rPr>
          <w:rFonts w:ascii="Calibri" w:hAnsi="Calibri" w:cs="Calibri"/>
          <w:sz w:val="22"/>
          <w:szCs w:val="22"/>
        </w:rPr>
        <w:t xml:space="preserve"> March 2024 for the four Distribution Licensee, the estimated amount to be approved in ARR is as worked out in the table below:</w:t>
      </w:r>
    </w:p>
    <w:tbl>
      <w:tblPr>
        <w:tblW w:w="8919" w:type="dxa"/>
        <w:tblInd w:w="567" w:type="dxa"/>
        <w:tblLook w:val="04A0" w:firstRow="1" w:lastRow="0" w:firstColumn="1" w:lastColumn="0" w:noHBand="0" w:noVBand="1"/>
      </w:tblPr>
      <w:tblGrid>
        <w:gridCol w:w="1548"/>
        <w:gridCol w:w="1134"/>
        <w:gridCol w:w="1843"/>
        <w:gridCol w:w="1559"/>
        <w:gridCol w:w="1134"/>
        <w:gridCol w:w="1701"/>
      </w:tblGrid>
      <w:tr w:rsidR="009942AF" w:rsidRPr="009942AF" w14:paraId="0749860A" w14:textId="77777777" w:rsidTr="0073098B">
        <w:trPr>
          <w:trHeight w:val="310"/>
        </w:trPr>
        <w:tc>
          <w:tcPr>
            <w:tcW w:w="1548" w:type="dxa"/>
            <w:tcBorders>
              <w:top w:val="nil"/>
              <w:left w:val="nil"/>
              <w:bottom w:val="nil"/>
              <w:right w:val="nil"/>
            </w:tcBorders>
            <w:shd w:val="clear" w:color="auto" w:fill="auto"/>
            <w:noWrap/>
            <w:vAlign w:val="bottom"/>
            <w:hideMark/>
          </w:tcPr>
          <w:p w14:paraId="1E6D764B" w14:textId="77777777" w:rsidR="009942AF" w:rsidRPr="009942AF" w:rsidRDefault="009942AF" w:rsidP="009942AF">
            <w:pPr>
              <w:spacing w:line="360" w:lineRule="auto"/>
              <w:rPr>
                <w:rFonts w:ascii="Calibri" w:hAnsi="Calibri" w:cs="Calibri"/>
                <w:sz w:val="22"/>
                <w:szCs w:val="22"/>
                <w:lang w:val="en-IN" w:eastAsia="en-IN" w:bidi="hi-IN"/>
              </w:rPr>
            </w:pPr>
          </w:p>
        </w:tc>
        <w:tc>
          <w:tcPr>
            <w:tcW w:w="1134" w:type="dxa"/>
            <w:tcBorders>
              <w:top w:val="nil"/>
              <w:left w:val="nil"/>
              <w:bottom w:val="nil"/>
              <w:right w:val="nil"/>
            </w:tcBorders>
            <w:shd w:val="clear" w:color="auto" w:fill="auto"/>
            <w:noWrap/>
            <w:vAlign w:val="bottom"/>
            <w:hideMark/>
          </w:tcPr>
          <w:p w14:paraId="685FDFBA" w14:textId="77777777" w:rsidR="009942AF" w:rsidRPr="009942AF" w:rsidRDefault="009942AF" w:rsidP="009942AF">
            <w:pPr>
              <w:spacing w:line="360" w:lineRule="auto"/>
              <w:rPr>
                <w:rFonts w:ascii="Calibri" w:hAnsi="Calibri" w:cs="Calibri"/>
                <w:sz w:val="22"/>
                <w:szCs w:val="22"/>
                <w:lang w:val="en-IN" w:eastAsia="en-IN" w:bidi="hi-IN"/>
              </w:rPr>
            </w:pPr>
          </w:p>
        </w:tc>
        <w:tc>
          <w:tcPr>
            <w:tcW w:w="1843" w:type="dxa"/>
            <w:tcBorders>
              <w:top w:val="nil"/>
              <w:left w:val="nil"/>
              <w:bottom w:val="nil"/>
              <w:right w:val="nil"/>
            </w:tcBorders>
            <w:shd w:val="clear" w:color="auto" w:fill="auto"/>
            <w:noWrap/>
            <w:vAlign w:val="bottom"/>
            <w:hideMark/>
          </w:tcPr>
          <w:p w14:paraId="4116E386" w14:textId="77777777" w:rsidR="009942AF" w:rsidRPr="009942AF" w:rsidRDefault="009942AF" w:rsidP="009942AF">
            <w:pPr>
              <w:spacing w:line="360" w:lineRule="auto"/>
              <w:rPr>
                <w:rFonts w:ascii="Calibri" w:hAnsi="Calibri" w:cs="Calibri"/>
                <w:sz w:val="22"/>
                <w:szCs w:val="22"/>
                <w:lang w:val="en-IN" w:eastAsia="en-IN" w:bidi="hi-IN"/>
              </w:rPr>
            </w:pPr>
          </w:p>
        </w:tc>
        <w:tc>
          <w:tcPr>
            <w:tcW w:w="1559" w:type="dxa"/>
            <w:tcBorders>
              <w:top w:val="nil"/>
              <w:left w:val="nil"/>
              <w:bottom w:val="nil"/>
              <w:right w:val="nil"/>
            </w:tcBorders>
            <w:shd w:val="clear" w:color="auto" w:fill="auto"/>
            <w:noWrap/>
            <w:vAlign w:val="bottom"/>
            <w:hideMark/>
          </w:tcPr>
          <w:p w14:paraId="2623564F" w14:textId="77777777" w:rsidR="009942AF" w:rsidRPr="009942AF" w:rsidRDefault="009942AF" w:rsidP="009942AF">
            <w:pPr>
              <w:spacing w:line="360" w:lineRule="auto"/>
              <w:rPr>
                <w:rFonts w:ascii="Calibri" w:hAnsi="Calibri" w:cs="Calibri"/>
                <w:sz w:val="22"/>
                <w:szCs w:val="22"/>
                <w:lang w:val="en-IN" w:eastAsia="en-IN" w:bidi="hi-IN"/>
              </w:rPr>
            </w:pPr>
          </w:p>
        </w:tc>
        <w:tc>
          <w:tcPr>
            <w:tcW w:w="1134" w:type="dxa"/>
            <w:tcBorders>
              <w:top w:val="nil"/>
              <w:left w:val="nil"/>
              <w:bottom w:val="nil"/>
              <w:right w:val="nil"/>
            </w:tcBorders>
            <w:shd w:val="clear" w:color="auto" w:fill="auto"/>
            <w:noWrap/>
            <w:vAlign w:val="bottom"/>
            <w:hideMark/>
          </w:tcPr>
          <w:p w14:paraId="34B2EB3E" w14:textId="77777777" w:rsidR="009942AF" w:rsidRPr="009942AF" w:rsidRDefault="009942AF" w:rsidP="009942AF">
            <w:pPr>
              <w:spacing w:line="360" w:lineRule="auto"/>
              <w:rPr>
                <w:rFonts w:ascii="Calibri" w:hAnsi="Calibri" w:cs="Calibri"/>
                <w:sz w:val="22"/>
                <w:szCs w:val="22"/>
                <w:lang w:val="en-IN" w:eastAsia="en-IN" w:bidi="hi-IN"/>
              </w:rPr>
            </w:pPr>
          </w:p>
        </w:tc>
        <w:tc>
          <w:tcPr>
            <w:tcW w:w="1701" w:type="dxa"/>
            <w:tcBorders>
              <w:top w:val="nil"/>
              <w:left w:val="nil"/>
              <w:bottom w:val="nil"/>
              <w:right w:val="nil"/>
            </w:tcBorders>
            <w:shd w:val="clear" w:color="auto" w:fill="auto"/>
            <w:noWrap/>
            <w:vAlign w:val="bottom"/>
            <w:hideMark/>
          </w:tcPr>
          <w:p w14:paraId="4EF77B7F" w14:textId="77777777" w:rsidR="009942AF" w:rsidRPr="009942AF" w:rsidRDefault="009942AF" w:rsidP="009942AF">
            <w:pPr>
              <w:spacing w:line="360" w:lineRule="auto"/>
              <w:jc w:val="right"/>
              <w:rPr>
                <w:rFonts w:ascii="Calibri" w:hAnsi="Calibri" w:cs="Calibri"/>
                <w:b/>
                <w:bCs/>
                <w:i/>
                <w:iCs/>
                <w:color w:val="000000"/>
                <w:sz w:val="22"/>
                <w:szCs w:val="22"/>
                <w:lang w:val="en-IN" w:eastAsia="en-IN" w:bidi="hi-IN"/>
              </w:rPr>
            </w:pPr>
            <w:r w:rsidRPr="009942AF">
              <w:rPr>
                <w:rFonts w:ascii="Calibri" w:hAnsi="Calibri" w:cs="Calibri"/>
                <w:b/>
                <w:bCs/>
                <w:i/>
                <w:iCs/>
                <w:color w:val="000000"/>
                <w:sz w:val="22"/>
                <w:szCs w:val="22"/>
                <w:lang w:val="en-IN" w:eastAsia="en-IN" w:bidi="hi-IN"/>
              </w:rPr>
              <w:t>(Rs. Cr.)</w:t>
            </w:r>
          </w:p>
        </w:tc>
      </w:tr>
      <w:tr w:rsidR="009942AF" w:rsidRPr="009942AF" w14:paraId="5EC59924" w14:textId="77777777" w:rsidTr="0073098B">
        <w:trPr>
          <w:trHeight w:val="620"/>
        </w:trPr>
        <w:tc>
          <w:tcPr>
            <w:tcW w:w="1548" w:type="dxa"/>
            <w:tcBorders>
              <w:top w:val="single" w:sz="4" w:space="0" w:color="auto"/>
              <w:left w:val="single" w:sz="4" w:space="0" w:color="auto"/>
              <w:bottom w:val="single" w:sz="4" w:space="0" w:color="auto"/>
              <w:right w:val="single" w:sz="4" w:space="0" w:color="auto"/>
            </w:tcBorders>
            <w:shd w:val="clear" w:color="auto" w:fill="95B3D7" w:themeFill="accent1" w:themeFillTint="99"/>
            <w:noWrap/>
            <w:vAlign w:val="center"/>
            <w:hideMark/>
          </w:tcPr>
          <w:p w14:paraId="2AA7EB60" w14:textId="1B5F2DE7" w:rsidR="009942AF" w:rsidRPr="009942AF" w:rsidRDefault="009942AF" w:rsidP="009942AF">
            <w:pPr>
              <w:spacing w:line="360" w:lineRule="auto"/>
              <w:jc w:val="center"/>
              <w:rPr>
                <w:rFonts w:ascii="Calibri" w:hAnsi="Calibri" w:cs="Calibri"/>
                <w:b/>
                <w:bCs/>
                <w:color w:val="000000"/>
                <w:sz w:val="22"/>
                <w:szCs w:val="22"/>
                <w:lang w:val="en-IN" w:eastAsia="en-IN" w:bidi="hi-IN"/>
              </w:rPr>
            </w:pPr>
            <w:r w:rsidRPr="009942AF">
              <w:rPr>
                <w:rFonts w:ascii="Calibri" w:hAnsi="Calibri" w:cs="Calibri"/>
                <w:b/>
                <w:bCs/>
                <w:color w:val="000000"/>
                <w:sz w:val="22"/>
                <w:szCs w:val="22"/>
                <w:lang w:val="en-IN" w:eastAsia="en-IN" w:bidi="hi-IN"/>
              </w:rPr>
              <w:t>S</w:t>
            </w:r>
            <w:r w:rsidR="0073098B">
              <w:rPr>
                <w:rFonts w:ascii="Calibri" w:hAnsi="Calibri" w:cs="Calibri"/>
                <w:b/>
                <w:bCs/>
                <w:color w:val="000000"/>
                <w:sz w:val="22"/>
                <w:szCs w:val="22"/>
                <w:lang w:val="en-IN" w:eastAsia="en-IN" w:bidi="hi-IN"/>
              </w:rPr>
              <w:t>l</w:t>
            </w:r>
            <w:r w:rsidRPr="009942AF">
              <w:rPr>
                <w:rFonts w:ascii="Calibri" w:hAnsi="Calibri" w:cs="Calibri"/>
                <w:b/>
                <w:bCs/>
                <w:color w:val="000000"/>
                <w:sz w:val="22"/>
                <w:szCs w:val="22"/>
                <w:lang w:val="en-IN" w:eastAsia="en-IN" w:bidi="hi-IN"/>
              </w:rPr>
              <w:t>. No.</w:t>
            </w:r>
          </w:p>
        </w:tc>
        <w:tc>
          <w:tcPr>
            <w:tcW w:w="1134" w:type="dxa"/>
            <w:tcBorders>
              <w:top w:val="single" w:sz="4" w:space="0" w:color="auto"/>
              <w:left w:val="nil"/>
              <w:bottom w:val="single" w:sz="4" w:space="0" w:color="auto"/>
              <w:right w:val="single" w:sz="4" w:space="0" w:color="auto"/>
            </w:tcBorders>
            <w:shd w:val="clear" w:color="auto" w:fill="95B3D7" w:themeFill="accent1" w:themeFillTint="99"/>
            <w:noWrap/>
            <w:vAlign w:val="center"/>
            <w:hideMark/>
          </w:tcPr>
          <w:p w14:paraId="06FD8F21" w14:textId="77777777" w:rsidR="009942AF" w:rsidRPr="009942AF" w:rsidRDefault="009942AF" w:rsidP="009942AF">
            <w:pPr>
              <w:spacing w:line="360" w:lineRule="auto"/>
              <w:jc w:val="center"/>
              <w:rPr>
                <w:rFonts w:ascii="Calibri" w:hAnsi="Calibri" w:cs="Calibri"/>
                <w:b/>
                <w:bCs/>
                <w:color w:val="000000"/>
                <w:sz w:val="22"/>
                <w:szCs w:val="22"/>
                <w:lang w:val="en-IN" w:eastAsia="en-IN" w:bidi="hi-IN"/>
              </w:rPr>
            </w:pPr>
            <w:r w:rsidRPr="009942AF">
              <w:rPr>
                <w:rFonts w:ascii="Calibri" w:hAnsi="Calibri" w:cs="Calibri"/>
                <w:b/>
                <w:bCs/>
                <w:color w:val="000000"/>
                <w:sz w:val="22"/>
                <w:szCs w:val="22"/>
                <w:lang w:val="en-IN" w:eastAsia="en-IN" w:bidi="hi-IN"/>
              </w:rPr>
              <w:t>DISCOM</w:t>
            </w:r>
          </w:p>
        </w:tc>
        <w:tc>
          <w:tcPr>
            <w:tcW w:w="1843" w:type="dxa"/>
            <w:tcBorders>
              <w:top w:val="single" w:sz="4" w:space="0" w:color="auto"/>
              <w:left w:val="nil"/>
              <w:bottom w:val="single" w:sz="4" w:space="0" w:color="auto"/>
              <w:right w:val="single" w:sz="4" w:space="0" w:color="auto"/>
            </w:tcBorders>
            <w:shd w:val="clear" w:color="auto" w:fill="95B3D7" w:themeFill="accent1" w:themeFillTint="99"/>
            <w:vAlign w:val="center"/>
            <w:hideMark/>
          </w:tcPr>
          <w:p w14:paraId="4868A2E1" w14:textId="77777777" w:rsidR="009942AF" w:rsidRPr="009942AF" w:rsidRDefault="009942AF" w:rsidP="009942AF">
            <w:pPr>
              <w:spacing w:line="360" w:lineRule="auto"/>
              <w:jc w:val="center"/>
              <w:rPr>
                <w:rFonts w:ascii="Calibri" w:hAnsi="Calibri" w:cs="Calibri"/>
                <w:b/>
                <w:bCs/>
                <w:color w:val="000000"/>
                <w:sz w:val="22"/>
                <w:szCs w:val="22"/>
                <w:lang w:val="en-IN" w:eastAsia="en-IN" w:bidi="hi-IN"/>
              </w:rPr>
            </w:pPr>
            <w:r w:rsidRPr="009942AF">
              <w:rPr>
                <w:rFonts w:ascii="Calibri" w:hAnsi="Calibri" w:cs="Calibri"/>
                <w:b/>
                <w:bCs/>
                <w:color w:val="000000"/>
                <w:sz w:val="22"/>
                <w:szCs w:val="22"/>
                <w:lang w:val="en-IN" w:eastAsia="en-IN"/>
              </w:rPr>
              <w:t xml:space="preserve">GFA on </w:t>
            </w:r>
            <w:proofErr w:type="spellStart"/>
            <w:r w:rsidRPr="009942AF">
              <w:rPr>
                <w:rFonts w:ascii="Calibri" w:hAnsi="Calibri" w:cs="Calibri"/>
                <w:b/>
                <w:bCs/>
                <w:color w:val="000000"/>
                <w:sz w:val="22"/>
                <w:szCs w:val="22"/>
                <w:lang w:val="en-IN" w:eastAsia="en-IN"/>
              </w:rPr>
              <w:t>Discom</w:t>
            </w:r>
            <w:proofErr w:type="spellEnd"/>
            <w:r w:rsidRPr="009942AF">
              <w:rPr>
                <w:rFonts w:ascii="Calibri" w:hAnsi="Calibri" w:cs="Calibri"/>
                <w:b/>
                <w:bCs/>
                <w:color w:val="000000"/>
                <w:sz w:val="22"/>
                <w:szCs w:val="22"/>
                <w:lang w:val="en-IN" w:eastAsia="en-IN"/>
              </w:rPr>
              <w:t xml:space="preserve"> Book as on 31.03.2024</w:t>
            </w:r>
          </w:p>
        </w:tc>
        <w:tc>
          <w:tcPr>
            <w:tcW w:w="1559" w:type="dxa"/>
            <w:tcBorders>
              <w:top w:val="single" w:sz="4" w:space="0" w:color="auto"/>
              <w:left w:val="nil"/>
              <w:bottom w:val="single" w:sz="4" w:space="0" w:color="auto"/>
              <w:right w:val="single" w:sz="4" w:space="0" w:color="auto"/>
            </w:tcBorders>
            <w:shd w:val="clear" w:color="auto" w:fill="95B3D7" w:themeFill="accent1" w:themeFillTint="99"/>
            <w:vAlign w:val="center"/>
            <w:hideMark/>
          </w:tcPr>
          <w:p w14:paraId="713D6CEC" w14:textId="77777777" w:rsidR="009942AF" w:rsidRPr="009942AF" w:rsidRDefault="009942AF" w:rsidP="009942AF">
            <w:pPr>
              <w:spacing w:line="360" w:lineRule="auto"/>
              <w:jc w:val="center"/>
              <w:rPr>
                <w:rFonts w:ascii="Calibri" w:hAnsi="Calibri" w:cs="Calibri"/>
                <w:b/>
                <w:bCs/>
                <w:color w:val="000000"/>
                <w:sz w:val="22"/>
                <w:szCs w:val="22"/>
                <w:lang w:val="en-IN" w:eastAsia="en-IN" w:bidi="hi-IN"/>
              </w:rPr>
            </w:pPr>
            <w:r w:rsidRPr="009942AF">
              <w:rPr>
                <w:rFonts w:ascii="Calibri" w:hAnsi="Calibri" w:cs="Calibri"/>
                <w:b/>
                <w:bCs/>
                <w:color w:val="000000"/>
                <w:sz w:val="22"/>
                <w:szCs w:val="22"/>
                <w:lang w:val="en-IN" w:eastAsia="en-IN"/>
              </w:rPr>
              <w:t xml:space="preserve">Government Assets (Not in </w:t>
            </w:r>
            <w:proofErr w:type="spellStart"/>
            <w:r w:rsidRPr="009942AF">
              <w:rPr>
                <w:rFonts w:ascii="Calibri" w:hAnsi="Calibri" w:cs="Calibri"/>
                <w:b/>
                <w:bCs/>
                <w:color w:val="000000"/>
                <w:sz w:val="22"/>
                <w:szCs w:val="22"/>
                <w:lang w:val="en-IN" w:eastAsia="en-IN"/>
              </w:rPr>
              <w:t>Discom</w:t>
            </w:r>
            <w:proofErr w:type="spellEnd"/>
            <w:r w:rsidRPr="009942AF">
              <w:rPr>
                <w:rFonts w:ascii="Calibri" w:hAnsi="Calibri" w:cs="Calibri"/>
                <w:b/>
                <w:bCs/>
                <w:color w:val="000000"/>
                <w:sz w:val="22"/>
                <w:szCs w:val="22"/>
                <w:lang w:val="en-IN" w:eastAsia="en-IN"/>
              </w:rPr>
              <w:t xml:space="preserve"> Books)</w:t>
            </w:r>
          </w:p>
        </w:tc>
        <w:tc>
          <w:tcPr>
            <w:tcW w:w="1134" w:type="dxa"/>
            <w:tcBorders>
              <w:top w:val="single" w:sz="4" w:space="0" w:color="auto"/>
              <w:left w:val="nil"/>
              <w:bottom w:val="single" w:sz="4" w:space="0" w:color="auto"/>
              <w:right w:val="single" w:sz="4" w:space="0" w:color="auto"/>
            </w:tcBorders>
            <w:shd w:val="clear" w:color="auto" w:fill="95B3D7" w:themeFill="accent1" w:themeFillTint="99"/>
            <w:noWrap/>
            <w:vAlign w:val="center"/>
            <w:hideMark/>
          </w:tcPr>
          <w:p w14:paraId="5C889C1C" w14:textId="77777777" w:rsidR="009942AF" w:rsidRPr="009942AF" w:rsidRDefault="009942AF" w:rsidP="009942AF">
            <w:pPr>
              <w:spacing w:line="360" w:lineRule="auto"/>
              <w:jc w:val="center"/>
              <w:rPr>
                <w:rFonts w:ascii="Calibri" w:hAnsi="Calibri" w:cs="Calibri"/>
                <w:b/>
                <w:bCs/>
                <w:color w:val="000000"/>
                <w:sz w:val="22"/>
                <w:szCs w:val="22"/>
                <w:lang w:val="en-IN" w:eastAsia="en-IN" w:bidi="hi-IN"/>
              </w:rPr>
            </w:pPr>
            <w:r w:rsidRPr="009942AF">
              <w:rPr>
                <w:rFonts w:ascii="Calibri" w:hAnsi="Calibri" w:cs="Calibri"/>
                <w:b/>
                <w:bCs/>
                <w:color w:val="000000"/>
                <w:sz w:val="22"/>
                <w:szCs w:val="22"/>
                <w:lang w:val="en-IN" w:eastAsia="en-IN"/>
              </w:rPr>
              <w:t>Total</w:t>
            </w:r>
          </w:p>
        </w:tc>
        <w:tc>
          <w:tcPr>
            <w:tcW w:w="1701" w:type="dxa"/>
            <w:tcBorders>
              <w:top w:val="single" w:sz="4" w:space="0" w:color="auto"/>
              <w:left w:val="nil"/>
              <w:bottom w:val="single" w:sz="4" w:space="0" w:color="auto"/>
              <w:right w:val="single" w:sz="4" w:space="0" w:color="auto"/>
            </w:tcBorders>
            <w:shd w:val="clear" w:color="auto" w:fill="95B3D7" w:themeFill="accent1" w:themeFillTint="99"/>
            <w:vAlign w:val="center"/>
            <w:hideMark/>
          </w:tcPr>
          <w:p w14:paraId="7FD9BA1B" w14:textId="77777777" w:rsidR="009942AF" w:rsidRPr="009942AF" w:rsidRDefault="009942AF" w:rsidP="009942AF">
            <w:pPr>
              <w:spacing w:line="360" w:lineRule="auto"/>
              <w:jc w:val="center"/>
              <w:rPr>
                <w:rFonts w:ascii="Calibri" w:hAnsi="Calibri" w:cs="Calibri"/>
                <w:b/>
                <w:bCs/>
                <w:color w:val="000000"/>
                <w:sz w:val="22"/>
                <w:szCs w:val="22"/>
                <w:lang w:val="en-IN" w:eastAsia="en-IN" w:bidi="hi-IN"/>
              </w:rPr>
            </w:pPr>
            <w:r w:rsidRPr="009942AF">
              <w:rPr>
                <w:rFonts w:ascii="Calibri" w:hAnsi="Calibri" w:cs="Calibri"/>
                <w:b/>
                <w:bCs/>
                <w:color w:val="000000"/>
                <w:sz w:val="22"/>
                <w:szCs w:val="22"/>
                <w:lang w:val="en-IN" w:eastAsia="en-IN"/>
              </w:rPr>
              <w:t>Contingency Reserve @.25%</w:t>
            </w:r>
          </w:p>
        </w:tc>
      </w:tr>
      <w:tr w:rsidR="009942AF" w:rsidRPr="009942AF" w14:paraId="7F97A8F5" w14:textId="77777777" w:rsidTr="0073098B">
        <w:trPr>
          <w:trHeight w:val="310"/>
        </w:trPr>
        <w:tc>
          <w:tcPr>
            <w:tcW w:w="1548" w:type="dxa"/>
            <w:tcBorders>
              <w:top w:val="nil"/>
              <w:left w:val="single" w:sz="4" w:space="0" w:color="auto"/>
              <w:bottom w:val="single" w:sz="4" w:space="0" w:color="auto"/>
              <w:right w:val="single" w:sz="4" w:space="0" w:color="auto"/>
            </w:tcBorders>
            <w:shd w:val="clear" w:color="auto" w:fill="auto"/>
            <w:noWrap/>
            <w:vAlign w:val="center"/>
            <w:hideMark/>
          </w:tcPr>
          <w:p w14:paraId="5D90D351" w14:textId="77777777" w:rsidR="009942AF" w:rsidRPr="009942AF" w:rsidRDefault="009942AF" w:rsidP="009942AF">
            <w:pPr>
              <w:spacing w:line="360" w:lineRule="auto"/>
              <w:jc w:val="center"/>
              <w:rPr>
                <w:rFonts w:ascii="Calibri" w:hAnsi="Calibri" w:cs="Calibri"/>
                <w:color w:val="000000"/>
                <w:sz w:val="22"/>
                <w:szCs w:val="22"/>
                <w:lang w:val="en-IN" w:eastAsia="en-IN" w:bidi="hi-IN"/>
              </w:rPr>
            </w:pPr>
            <w:r w:rsidRPr="009942AF">
              <w:rPr>
                <w:rFonts w:ascii="Calibri" w:hAnsi="Calibri" w:cs="Calibri"/>
                <w:color w:val="000000"/>
                <w:sz w:val="22"/>
                <w:szCs w:val="22"/>
                <w:lang w:val="en-IN" w:eastAsia="en-IN" w:bidi="hi-IN"/>
              </w:rPr>
              <w:t>1</w:t>
            </w:r>
          </w:p>
        </w:tc>
        <w:tc>
          <w:tcPr>
            <w:tcW w:w="1134" w:type="dxa"/>
            <w:tcBorders>
              <w:top w:val="nil"/>
              <w:left w:val="nil"/>
              <w:bottom w:val="single" w:sz="4" w:space="0" w:color="auto"/>
              <w:right w:val="single" w:sz="4" w:space="0" w:color="auto"/>
            </w:tcBorders>
            <w:shd w:val="clear" w:color="auto" w:fill="auto"/>
            <w:noWrap/>
            <w:vAlign w:val="center"/>
            <w:hideMark/>
          </w:tcPr>
          <w:p w14:paraId="1807B115" w14:textId="77777777" w:rsidR="009942AF" w:rsidRPr="009942AF" w:rsidRDefault="009942AF" w:rsidP="009942AF">
            <w:pPr>
              <w:spacing w:line="360" w:lineRule="auto"/>
              <w:jc w:val="center"/>
              <w:rPr>
                <w:rFonts w:ascii="Calibri" w:hAnsi="Calibri" w:cs="Calibri"/>
                <w:color w:val="000000"/>
                <w:sz w:val="22"/>
                <w:szCs w:val="22"/>
                <w:lang w:val="en-IN" w:eastAsia="en-IN" w:bidi="hi-IN"/>
              </w:rPr>
            </w:pPr>
            <w:r w:rsidRPr="009942AF">
              <w:rPr>
                <w:rFonts w:ascii="Calibri" w:hAnsi="Calibri" w:cs="Calibri"/>
                <w:color w:val="000000"/>
                <w:sz w:val="22"/>
                <w:szCs w:val="22"/>
                <w:lang w:val="en-IN" w:eastAsia="en-IN" w:bidi="hi-IN"/>
              </w:rPr>
              <w:t>TPCODL</w:t>
            </w:r>
          </w:p>
        </w:tc>
        <w:tc>
          <w:tcPr>
            <w:tcW w:w="1843" w:type="dxa"/>
            <w:tcBorders>
              <w:top w:val="nil"/>
              <w:left w:val="nil"/>
              <w:bottom w:val="single" w:sz="4" w:space="0" w:color="auto"/>
              <w:right w:val="single" w:sz="4" w:space="0" w:color="auto"/>
            </w:tcBorders>
            <w:shd w:val="clear" w:color="auto" w:fill="auto"/>
            <w:noWrap/>
            <w:vAlign w:val="center"/>
            <w:hideMark/>
          </w:tcPr>
          <w:p w14:paraId="7A212042" w14:textId="77777777" w:rsidR="009942AF" w:rsidRPr="009942AF" w:rsidRDefault="009942AF" w:rsidP="009942AF">
            <w:pPr>
              <w:spacing w:line="360" w:lineRule="auto"/>
              <w:jc w:val="center"/>
              <w:rPr>
                <w:rFonts w:ascii="Calibri" w:hAnsi="Calibri" w:cs="Calibri"/>
                <w:color w:val="000000"/>
                <w:sz w:val="22"/>
                <w:szCs w:val="22"/>
                <w:lang w:val="en-IN" w:eastAsia="en-IN" w:bidi="hi-IN"/>
              </w:rPr>
            </w:pPr>
            <w:r w:rsidRPr="009942AF">
              <w:rPr>
                <w:rFonts w:ascii="Calibri" w:hAnsi="Calibri" w:cs="Calibri"/>
                <w:color w:val="000000"/>
                <w:sz w:val="22"/>
                <w:szCs w:val="22"/>
                <w:lang w:val="en-IN" w:eastAsia="en-IN"/>
              </w:rPr>
              <w:t>6063</w:t>
            </w:r>
          </w:p>
        </w:tc>
        <w:tc>
          <w:tcPr>
            <w:tcW w:w="1559" w:type="dxa"/>
            <w:tcBorders>
              <w:top w:val="nil"/>
              <w:left w:val="nil"/>
              <w:bottom w:val="single" w:sz="4" w:space="0" w:color="auto"/>
              <w:right w:val="single" w:sz="4" w:space="0" w:color="auto"/>
            </w:tcBorders>
            <w:shd w:val="clear" w:color="auto" w:fill="auto"/>
            <w:noWrap/>
            <w:vAlign w:val="center"/>
            <w:hideMark/>
          </w:tcPr>
          <w:p w14:paraId="63DF7591" w14:textId="77777777" w:rsidR="009942AF" w:rsidRPr="009942AF" w:rsidRDefault="009942AF" w:rsidP="009942AF">
            <w:pPr>
              <w:spacing w:line="360" w:lineRule="auto"/>
              <w:jc w:val="center"/>
              <w:rPr>
                <w:rFonts w:ascii="Calibri" w:hAnsi="Calibri" w:cs="Calibri"/>
                <w:color w:val="000000"/>
                <w:sz w:val="22"/>
                <w:szCs w:val="22"/>
                <w:lang w:val="en-IN" w:eastAsia="en-IN" w:bidi="hi-IN"/>
              </w:rPr>
            </w:pPr>
            <w:r w:rsidRPr="009942AF">
              <w:rPr>
                <w:rFonts w:ascii="Calibri" w:hAnsi="Calibri" w:cs="Calibri"/>
                <w:color w:val="000000"/>
                <w:sz w:val="22"/>
                <w:szCs w:val="22"/>
                <w:lang w:val="en-IN" w:eastAsia="en-IN"/>
              </w:rPr>
              <w:t>2162</w:t>
            </w:r>
          </w:p>
        </w:tc>
        <w:tc>
          <w:tcPr>
            <w:tcW w:w="1134" w:type="dxa"/>
            <w:tcBorders>
              <w:top w:val="nil"/>
              <w:left w:val="nil"/>
              <w:bottom w:val="single" w:sz="4" w:space="0" w:color="auto"/>
              <w:right w:val="single" w:sz="4" w:space="0" w:color="auto"/>
            </w:tcBorders>
            <w:shd w:val="clear" w:color="auto" w:fill="auto"/>
            <w:noWrap/>
            <w:vAlign w:val="center"/>
            <w:hideMark/>
          </w:tcPr>
          <w:p w14:paraId="0EAE239B" w14:textId="77777777" w:rsidR="009942AF" w:rsidRPr="009942AF" w:rsidRDefault="009942AF" w:rsidP="009942AF">
            <w:pPr>
              <w:spacing w:line="360" w:lineRule="auto"/>
              <w:jc w:val="center"/>
              <w:rPr>
                <w:rFonts w:ascii="Calibri" w:hAnsi="Calibri" w:cs="Calibri"/>
                <w:color w:val="000000"/>
                <w:sz w:val="22"/>
                <w:szCs w:val="22"/>
                <w:lang w:val="en-IN" w:eastAsia="en-IN" w:bidi="hi-IN"/>
              </w:rPr>
            </w:pPr>
            <w:r w:rsidRPr="009942AF">
              <w:rPr>
                <w:rFonts w:ascii="Calibri" w:hAnsi="Calibri" w:cs="Calibri"/>
                <w:color w:val="000000"/>
                <w:sz w:val="22"/>
                <w:szCs w:val="22"/>
                <w:lang w:val="en-IN" w:eastAsia="en-IN"/>
              </w:rPr>
              <w:t>8225</w:t>
            </w:r>
          </w:p>
        </w:tc>
        <w:tc>
          <w:tcPr>
            <w:tcW w:w="1701" w:type="dxa"/>
            <w:tcBorders>
              <w:top w:val="nil"/>
              <w:left w:val="nil"/>
              <w:bottom w:val="single" w:sz="4" w:space="0" w:color="auto"/>
              <w:right w:val="single" w:sz="4" w:space="0" w:color="auto"/>
            </w:tcBorders>
            <w:shd w:val="clear" w:color="auto" w:fill="auto"/>
            <w:noWrap/>
            <w:vAlign w:val="center"/>
            <w:hideMark/>
          </w:tcPr>
          <w:p w14:paraId="4998A250" w14:textId="77777777" w:rsidR="009942AF" w:rsidRPr="009942AF" w:rsidRDefault="009942AF" w:rsidP="009942AF">
            <w:pPr>
              <w:spacing w:line="360" w:lineRule="auto"/>
              <w:jc w:val="center"/>
              <w:rPr>
                <w:rFonts w:ascii="Calibri" w:hAnsi="Calibri" w:cs="Calibri"/>
                <w:color w:val="000000"/>
                <w:sz w:val="22"/>
                <w:szCs w:val="22"/>
                <w:lang w:val="en-IN" w:eastAsia="en-IN" w:bidi="hi-IN"/>
              </w:rPr>
            </w:pPr>
            <w:r w:rsidRPr="009942AF">
              <w:rPr>
                <w:rFonts w:ascii="Calibri" w:hAnsi="Calibri" w:cs="Calibri"/>
                <w:color w:val="000000"/>
                <w:sz w:val="22"/>
                <w:szCs w:val="22"/>
                <w:lang w:val="en-IN" w:eastAsia="en-IN"/>
              </w:rPr>
              <w:t>20.56</w:t>
            </w:r>
          </w:p>
        </w:tc>
      </w:tr>
      <w:tr w:rsidR="009942AF" w:rsidRPr="009942AF" w14:paraId="059C36E1" w14:textId="77777777" w:rsidTr="0073098B">
        <w:trPr>
          <w:trHeight w:val="310"/>
        </w:trPr>
        <w:tc>
          <w:tcPr>
            <w:tcW w:w="1548" w:type="dxa"/>
            <w:tcBorders>
              <w:top w:val="nil"/>
              <w:left w:val="single" w:sz="4" w:space="0" w:color="auto"/>
              <w:bottom w:val="single" w:sz="4" w:space="0" w:color="auto"/>
              <w:right w:val="single" w:sz="4" w:space="0" w:color="auto"/>
            </w:tcBorders>
            <w:shd w:val="clear" w:color="auto" w:fill="auto"/>
            <w:noWrap/>
            <w:vAlign w:val="center"/>
            <w:hideMark/>
          </w:tcPr>
          <w:p w14:paraId="7839AD4C" w14:textId="77777777" w:rsidR="009942AF" w:rsidRPr="009942AF" w:rsidRDefault="009942AF" w:rsidP="009942AF">
            <w:pPr>
              <w:spacing w:line="360" w:lineRule="auto"/>
              <w:jc w:val="center"/>
              <w:rPr>
                <w:rFonts w:ascii="Calibri" w:hAnsi="Calibri" w:cs="Calibri"/>
                <w:color w:val="000000"/>
                <w:sz w:val="22"/>
                <w:szCs w:val="22"/>
                <w:lang w:val="en-IN" w:eastAsia="en-IN" w:bidi="hi-IN"/>
              </w:rPr>
            </w:pPr>
            <w:r w:rsidRPr="009942AF">
              <w:rPr>
                <w:rFonts w:ascii="Calibri" w:hAnsi="Calibri" w:cs="Calibri"/>
                <w:color w:val="000000"/>
                <w:sz w:val="22"/>
                <w:szCs w:val="22"/>
                <w:lang w:val="en-IN" w:eastAsia="en-IN" w:bidi="hi-IN"/>
              </w:rPr>
              <w:t>2</w:t>
            </w:r>
          </w:p>
        </w:tc>
        <w:tc>
          <w:tcPr>
            <w:tcW w:w="1134" w:type="dxa"/>
            <w:tcBorders>
              <w:top w:val="nil"/>
              <w:left w:val="nil"/>
              <w:bottom w:val="single" w:sz="4" w:space="0" w:color="auto"/>
              <w:right w:val="single" w:sz="4" w:space="0" w:color="auto"/>
            </w:tcBorders>
            <w:shd w:val="clear" w:color="auto" w:fill="auto"/>
            <w:noWrap/>
            <w:vAlign w:val="center"/>
            <w:hideMark/>
          </w:tcPr>
          <w:p w14:paraId="57BA24D5" w14:textId="77777777" w:rsidR="009942AF" w:rsidRPr="009942AF" w:rsidRDefault="009942AF" w:rsidP="009942AF">
            <w:pPr>
              <w:spacing w:line="360" w:lineRule="auto"/>
              <w:jc w:val="center"/>
              <w:rPr>
                <w:rFonts w:ascii="Calibri" w:hAnsi="Calibri" w:cs="Calibri"/>
                <w:color w:val="000000"/>
                <w:sz w:val="22"/>
                <w:szCs w:val="22"/>
                <w:lang w:val="en-IN" w:eastAsia="en-IN" w:bidi="hi-IN"/>
              </w:rPr>
            </w:pPr>
            <w:r w:rsidRPr="009942AF">
              <w:rPr>
                <w:rFonts w:ascii="Calibri" w:hAnsi="Calibri" w:cs="Calibri"/>
                <w:color w:val="000000"/>
                <w:sz w:val="22"/>
                <w:szCs w:val="22"/>
                <w:lang w:val="en-IN" w:eastAsia="en-IN" w:bidi="hi-IN"/>
              </w:rPr>
              <w:t>TPNODL</w:t>
            </w:r>
          </w:p>
        </w:tc>
        <w:tc>
          <w:tcPr>
            <w:tcW w:w="1843" w:type="dxa"/>
            <w:tcBorders>
              <w:top w:val="nil"/>
              <w:left w:val="nil"/>
              <w:bottom w:val="single" w:sz="4" w:space="0" w:color="auto"/>
              <w:right w:val="single" w:sz="4" w:space="0" w:color="auto"/>
            </w:tcBorders>
            <w:shd w:val="clear" w:color="auto" w:fill="auto"/>
            <w:noWrap/>
            <w:vAlign w:val="center"/>
            <w:hideMark/>
          </w:tcPr>
          <w:p w14:paraId="1B23F2B2" w14:textId="77777777" w:rsidR="009942AF" w:rsidRPr="009942AF" w:rsidRDefault="009942AF" w:rsidP="009942AF">
            <w:pPr>
              <w:spacing w:line="360" w:lineRule="auto"/>
              <w:jc w:val="center"/>
              <w:rPr>
                <w:rFonts w:ascii="Calibri" w:hAnsi="Calibri" w:cs="Calibri"/>
                <w:color w:val="000000"/>
                <w:sz w:val="22"/>
                <w:szCs w:val="22"/>
                <w:lang w:val="en-IN" w:eastAsia="en-IN" w:bidi="hi-IN"/>
              </w:rPr>
            </w:pPr>
            <w:r w:rsidRPr="009942AF">
              <w:rPr>
                <w:rFonts w:ascii="Calibri" w:hAnsi="Calibri" w:cs="Calibri"/>
                <w:color w:val="000000"/>
                <w:sz w:val="22"/>
                <w:szCs w:val="22"/>
                <w:lang w:val="en-IN" w:eastAsia="en-IN"/>
              </w:rPr>
              <w:t>4067</w:t>
            </w:r>
          </w:p>
        </w:tc>
        <w:tc>
          <w:tcPr>
            <w:tcW w:w="1559" w:type="dxa"/>
            <w:tcBorders>
              <w:top w:val="nil"/>
              <w:left w:val="nil"/>
              <w:bottom w:val="single" w:sz="4" w:space="0" w:color="auto"/>
              <w:right w:val="single" w:sz="4" w:space="0" w:color="auto"/>
            </w:tcBorders>
            <w:shd w:val="clear" w:color="auto" w:fill="auto"/>
            <w:noWrap/>
            <w:vAlign w:val="center"/>
            <w:hideMark/>
          </w:tcPr>
          <w:p w14:paraId="4D225F0B" w14:textId="77777777" w:rsidR="009942AF" w:rsidRPr="009942AF" w:rsidRDefault="009942AF" w:rsidP="009942AF">
            <w:pPr>
              <w:spacing w:line="360" w:lineRule="auto"/>
              <w:jc w:val="center"/>
              <w:rPr>
                <w:rFonts w:ascii="Calibri" w:hAnsi="Calibri" w:cs="Calibri"/>
                <w:color w:val="000000"/>
                <w:sz w:val="22"/>
                <w:szCs w:val="22"/>
                <w:lang w:val="en-IN" w:eastAsia="en-IN" w:bidi="hi-IN"/>
              </w:rPr>
            </w:pPr>
            <w:r w:rsidRPr="009942AF">
              <w:rPr>
                <w:rFonts w:ascii="Calibri" w:hAnsi="Calibri" w:cs="Calibri"/>
                <w:color w:val="000000"/>
                <w:sz w:val="22"/>
                <w:szCs w:val="22"/>
                <w:lang w:val="en-IN" w:eastAsia="en-IN"/>
              </w:rPr>
              <w:t>3152</w:t>
            </w:r>
          </w:p>
        </w:tc>
        <w:tc>
          <w:tcPr>
            <w:tcW w:w="1134" w:type="dxa"/>
            <w:tcBorders>
              <w:top w:val="nil"/>
              <w:left w:val="nil"/>
              <w:bottom w:val="single" w:sz="4" w:space="0" w:color="auto"/>
              <w:right w:val="single" w:sz="4" w:space="0" w:color="auto"/>
            </w:tcBorders>
            <w:shd w:val="clear" w:color="auto" w:fill="auto"/>
            <w:noWrap/>
            <w:vAlign w:val="center"/>
            <w:hideMark/>
          </w:tcPr>
          <w:p w14:paraId="3AA514AB" w14:textId="77777777" w:rsidR="009942AF" w:rsidRPr="009942AF" w:rsidRDefault="009942AF" w:rsidP="009942AF">
            <w:pPr>
              <w:spacing w:line="360" w:lineRule="auto"/>
              <w:jc w:val="center"/>
              <w:rPr>
                <w:rFonts w:ascii="Calibri" w:hAnsi="Calibri" w:cs="Calibri"/>
                <w:color w:val="000000"/>
                <w:sz w:val="22"/>
                <w:szCs w:val="22"/>
                <w:lang w:val="en-IN" w:eastAsia="en-IN" w:bidi="hi-IN"/>
              </w:rPr>
            </w:pPr>
            <w:r w:rsidRPr="009942AF">
              <w:rPr>
                <w:rFonts w:ascii="Calibri" w:hAnsi="Calibri" w:cs="Calibri"/>
                <w:color w:val="000000"/>
                <w:sz w:val="22"/>
                <w:szCs w:val="22"/>
                <w:lang w:val="en-IN" w:eastAsia="en-IN"/>
              </w:rPr>
              <w:t>7219</w:t>
            </w:r>
          </w:p>
        </w:tc>
        <w:tc>
          <w:tcPr>
            <w:tcW w:w="1701" w:type="dxa"/>
            <w:tcBorders>
              <w:top w:val="nil"/>
              <w:left w:val="nil"/>
              <w:bottom w:val="single" w:sz="4" w:space="0" w:color="auto"/>
              <w:right w:val="single" w:sz="4" w:space="0" w:color="auto"/>
            </w:tcBorders>
            <w:shd w:val="clear" w:color="auto" w:fill="auto"/>
            <w:noWrap/>
            <w:vAlign w:val="center"/>
            <w:hideMark/>
          </w:tcPr>
          <w:p w14:paraId="6A16BEA2" w14:textId="77777777" w:rsidR="009942AF" w:rsidRPr="009942AF" w:rsidRDefault="009942AF" w:rsidP="009942AF">
            <w:pPr>
              <w:spacing w:line="360" w:lineRule="auto"/>
              <w:jc w:val="center"/>
              <w:rPr>
                <w:rFonts w:ascii="Calibri" w:hAnsi="Calibri" w:cs="Calibri"/>
                <w:color w:val="000000"/>
                <w:sz w:val="22"/>
                <w:szCs w:val="22"/>
                <w:lang w:val="en-IN" w:eastAsia="en-IN" w:bidi="hi-IN"/>
              </w:rPr>
            </w:pPr>
            <w:r w:rsidRPr="009942AF">
              <w:rPr>
                <w:rFonts w:ascii="Calibri" w:hAnsi="Calibri" w:cs="Calibri"/>
                <w:color w:val="000000"/>
                <w:sz w:val="22"/>
                <w:szCs w:val="22"/>
                <w:lang w:val="en-IN" w:eastAsia="en-IN"/>
              </w:rPr>
              <w:t>18.05</w:t>
            </w:r>
          </w:p>
        </w:tc>
      </w:tr>
      <w:tr w:rsidR="009942AF" w:rsidRPr="009942AF" w14:paraId="0669E052" w14:textId="77777777" w:rsidTr="0073098B">
        <w:trPr>
          <w:trHeight w:val="310"/>
        </w:trPr>
        <w:tc>
          <w:tcPr>
            <w:tcW w:w="1548" w:type="dxa"/>
            <w:tcBorders>
              <w:top w:val="nil"/>
              <w:left w:val="single" w:sz="4" w:space="0" w:color="auto"/>
              <w:bottom w:val="single" w:sz="4" w:space="0" w:color="auto"/>
              <w:right w:val="single" w:sz="4" w:space="0" w:color="auto"/>
            </w:tcBorders>
            <w:shd w:val="clear" w:color="auto" w:fill="auto"/>
            <w:noWrap/>
            <w:vAlign w:val="center"/>
            <w:hideMark/>
          </w:tcPr>
          <w:p w14:paraId="54F20A0A" w14:textId="77777777" w:rsidR="009942AF" w:rsidRPr="009942AF" w:rsidRDefault="009942AF" w:rsidP="009942AF">
            <w:pPr>
              <w:spacing w:line="360" w:lineRule="auto"/>
              <w:jc w:val="center"/>
              <w:rPr>
                <w:rFonts w:ascii="Calibri" w:hAnsi="Calibri" w:cs="Calibri"/>
                <w:color w:val="000000"/>
                <w:sz w:val="22"/>
                <w:szCs w:val="22"/>
                <w:lang w:val="en-IN" w:eastAsia="en-IN" w:bidi="hi-IN"/>
              </w:rPr>
            </w:pPr>
            <w:r w:rsidRPr="009942AF">
              <w:rPr>
                <w:rFonts w:ascii="Calibri" w:hAnsi="Calibri" w:cs="Calibri"/>
                <w:color w:val="000000"/>
                <w:sz w:val="22"/>
                <w:szCs w:val="22"/>
                <w:lang w:val="en-IN" w:eastAsia="en-IN" w:bidi="hi-IN"/>
              </w:rPr>
              <w:t>3</w:t>
            </w:r>
          </w:p>
        </w:tc>
        <w:tc>
          <w:tcPr>
            <w:tcW w:w="1134" w:type="dxa"/>
            <w:tcBorders>
              <w:top w:val="nil"/>
              <w:left w:val="nil"/>
              <w:bottom w:val="single" w:sz="4" w:space="0" w:color="auto"/>
              <w:right w:val="single" w:sz="4" w:space="0" w:color="auto"/>
            </w:tcBorders>
            <w:shd w:val="clear" w:color="auto" w:fill="auto"/>
            <w:noWrap/>
            <w:vAlign w:val="center"/>
            <w:hideMark/>
          </w:tcPr>
          <w:p w14:paraId="6477F33A" w14:textId="77777777" w:rsidR="009942AF" w:rsidRPr="009942AF" w:rsidRDefault="009942AF" w:rsidP="009942AF">
            <w:pPr>
              <w:spacing w:line="360" w:lineRule="auto"/>
              <w:jc w:val="center"/>
              <w:rPr>
                <w:rFonts w:ascii="Calibri" w:hAnsi="Calibri" w:cs="Calibri"/>
                <w:color w:val="000000"/>
                <w:sz w:val="22"/>
                <w:szCs w:val="22"/>
                <w:lang w:val="en-IN" w:eastAsia="en-IN" w:bidi="hi-IN"/>
              </w:rPr>
            </w:pPr>
            <w:r w:rsidRPr="009942AF">
              <w:rPr>
                <w:rFonts w:ascii="Calibri" w:hAnsi="Calibri" w:cs="Calibri"/>
                <w:color w:val="000000"/>
                <w:sz w:val="22"/>
                <w:szCs w:val="22"/>
                <w:lang w:val="en-IN" w:eastAsia="en-IN" w:bidi="hi-IN"/>
              </w:rPr>
              <w:t>TPSODL</w:t>
            </w:r>
          </w:p>
        </w:tc>
        <w:tc>
          <w:tcPr>
            <w:tcW w:w="1843" w:type="dxa"/>
            <w:tcBorders>
              <w:top w:val="nil"/>
              <w:left w:val="nil"/>
              <w:bottom w:val="single" w:sz="4" w:space="0" w:color="auto"/>
              <w:right w:val="single" w:sz="4" w:space="0" w:color="auto"/>
            </w:tcBorders>
            <w:shd w:val="clear" w:color="auto" w:fill="auto"/>
            <w:noWrap/>
            <w:vAlign w:val="center"/>
            <w:hideMark/>
          </w:tcPr>
          <w:p w14:paraId="68BAF0DA" w14:textId="77777777" w:rsidR="009942AF" w:rsidRPr="009942AF" w:rsidRDefault="009942AF" w:rsidP="009942AF">
            <w:pPr>
              <w:spacing w:line="360" w:lineRule="auto"/>
              <w:jc w:val="center"/>
              <w:rPr>
                <w:rFonts w:ascii="Calibri" w:hAnsi="Calibri" w:cs="Calibri"/>
                <w:color w:val="000000"/>
                <w:sz w:val="22"/>
                <w:szCs w:val="22"/>
                <w:lang w:val="en-IN" w:eastAsia="en-IN" w:bidi="hi-IN"/>
              </w:rPr>
            </w:pPr>
            <w:r w:rsidRPr="009942AF">
              <w:rPr>
                <w:rFonts w:ascii="Calibri" w:hAnsi="Calibri" w:cs="Calibri"/>
                <w:color w:val="000000"/>
                <w:sz w:val="22"/>
                <w:szCs w:val="22"/>
                <w:lang w:val="en-IN" w:eastAsia="en-IN"/>
              </w:rPr>
              <w:t>2176</w:t>
            </w:r>
          </w:p>
        </w:tc>
        <w:tc>
          <w:tcPr>
            <w:tcW w:w="1559" w:type="dxa"/>
            <w:tcBorders>
              <w:top w:val="nil"/>
              <w:left w:val="nil"/>
              <w:bottom w:val="single" w:sz="4" w:space="0" w:color="auto"/>
              <w:right w:val="single" w:sz="4" w:space="0" w:color="auto"/>
            </w:tcBorders>
            <w:shd w:val="clear" w:color="auto" w:fill="auto"/>
            <w:noWrap/>
            <w:vAlign w:val="center"/>
            <w:hideMark/>
          </w:tcPr>
          <w:p w14:paraId="66B6D3E7" w14:textId="77777777" w:rsidR="009942AF" w:rsidRPr="009942AF" w:rsidRDefault="009942AF" w:rsidP="009942AF">
            <w:pPr>
              <w:spacing w:line="360" w:lineRule="auto"/>
              <w:jc w:val="center"/>
              <w:rPr>
                <w:rFonts w:ascii="Calibri" w:hAnsi="Calibri" w:cs="Calibri"/>
                <w:color w:val="000000"/>
                <w:sz w:val="22"/>
                <w:szCs w:val="22"/>
                <w:lang w:val="en-IN" w:eastAsia="en-IN" w:bidi="hi-IN"/>
              </w:rPr>
            </w:pPr>
            <w:r w:rsidRPr="009942AF">
              <w:rPr>
                <w:rFonts w:ascii="Calibri" w:hAnsi="Calibri" w:cs="Calibri"/>
                <w:color w:val="000000"/>
                <w:sz w:val="22"/>
                <w:szCs w:val="22"/>
                <w:lang w:val="en-IN" w:eastAsia="en-IN"/>
              </w:rPr>
              <w:t>3463</w:t>
            </w:r>
          </w:p>
        </w:tc>
        <w:tc>
          <w:tcPr>
            <w:tcW w:w="1134" w:type="dxa"/>
            <w:tcBorders>
              <w:top w:val="nil"/>
              <w:left w:val="nil"/>
              <w:bottom w:val="single" w:sz="4" w:space="0" w:color="auto"/>
              <w:right w:val="single" w:sz="4" w:space="0" w:color="auto"/>
            </w:tcBorders>
            <w:shd w:val="clear" w:color="auto" w:fill="auto"/>
            <w:noWrap/>
            <w:vAlign w:val="center"/>
            <w:hideMark/>
          </w:tcPr>
          <w:p w14:paraId="0EEC36AA" w14:textId="77777777" w:rsidR="009942AF" w:rsidRPr="009942AF" w:rsidRDefault="009942AF" w:rsidP="009942AF">
            <w:pPr>
              <w:spacing w:line="360" w:lineRule="auto"/>
              <w:jc w:val="center"/>
              <w:rPr>
                <w:rFonts w:ascii="Calibri" w:hAnsi="Calibri" w:cs="Calibri"/>
                <w:color w:val="000000"/>
                <w:sz w:val="22"/>
                <w:szCs w:val="22"/>
                <w:lang w:val="en-IN" w:eastAsia="en-IN" w:bidi="hi-IN"/>
              </w:rPr>
            </w:pPr>
            <w:r w:rsidRPr="009942AF">
              <w:rPr>
                <w:rFonts w:ascii="Calibri" w:hAnsi="Calibri" w:cs="Calibri"/>
                <w:color w:val="000000"/>
                <w:sz w:val="22"/>
                <w:szCs w:val="22"/>
                <w:lang w:val="en-IN" w:eastAsia="en-IN"/>
              </w:rPr>
              <w:t>5639</w:t>
            </w:r>
          </w:p>
        </w:tc>
        <w:tc>
          <w:tcPr>
            <w:tcW w:w="1701" w:type="dxa"/>
            <w:tcBorders>
              <w:top w:val="nil"/>
              <w:left w:val="nil"/>
              <w:bottom w:val="single" w:sz="4" w:space="0" w:color="auto"/>
              <w:right w:val="single" w:sz="4" w:space="0" w:color="auto"/>
            </w:tcBorders>
            <w:shd w:val="clear" w:color="auto" w:fill="auto"/>
            <w:noWrap/>
            <w:vAlign w:val="center"/>
            <w:hideMark/>
          </w:tcPr>
          <w:p w14:paraId="16F9C0E5" w14:textId="77777777" w:rsidR="009942AF" w:rsidRPr="009942AF" w:rsidRDefault="009942AF" w:rsidP="009942AF">
            <w:pPr>
              <w:spacing w:line="360" w:lineRule="auto"/>
              <w:jc w:val="center"/>
              <w:rPr>
                <w:rFonts w:ascii="Calibri" w:hAnsi="Calibri" w:cs="Calibri"/>
                <w:color w:val="000000"/>
                <w:sz w:val="22"/>
                <w:szCs w:val="22"/>
                <w:lang w:val="en-IN" w:eastAsia="en-IN" w:bidi="hi-IN"/>
              </w:rPr>
            </w:pPr>
            <w:r w:rsidRPr="009942AF">
              <w:rPr>
                <w:rFonts w:ascii="Calibri" w:hAnsi="Calibri" w:cs="Calibri"/>
                <w:color w:val="000000"/>
                <w:sz w:val="22"/>
                <w:szCs w:val="22"/>
                <w:lang w:val="en-IN" w:eastAsia="en-IN"/>
              </w:rPr>
              <w:t>14.10</w:t>
            </w:r>
          </w:p>
        </w:tc>
      </w:tr>
      <w:tr w:rsidR="009942AF" w:rsidRPr="009942AF" w14:paraId="5FFBEF19" w14:textId="77777777" w:rsidTr="0073098B">
        <w:trPr>
          <w:trHeight w:val="310"/>
        </w:trPr>
        <w:tc>
          <w:tcPr>
            <w:tcW w:w="1548" w:type="dxa"/>
            <w:tcBorders>
              <w:top w:val="nil"/>
              <w:left w:val="single" w:sz="4" w:space="0" w:color="auto"/>
              <w:bottom w:val="single" w:sz="4" w:space="0" w:color="auto"/>
              <w:right w:val="single" w:sz="4" w:space="0" w:color="auto"/>
            </w:tcBorders>
            <w:shd w:val="clear" w:color="auto" w:fill="auto"/>
            <w:noWrap/>
            <w:vAlign w:val="center"/>
            <w:hideMark/>
          </w:tcPr>
          <w:p w14:paraId="26CF5613" w14:textId="77777777" w:rsidR="009942AF" w:rsidRPr="009942AF" w:rsidRDefault="009942AF" w:rsidP="009942AF">
            <w:pPr>
              <w:spacing w:line="360" w:lineRule="auto"/>
              <w:jc w:val="center"/>
              <w:rPr>
                <w:rFonts w:ascii="Calibri" w:hAnsi="Calibri" w:cs="Calibri"/>
                <w:color w:val="000000"/>
                <w:sz w:val="22"/>
                <w:szCs w:val="22"/>
                <w:lang w:val="en-IN" w:eastAsia="en-IN" w:bidi="hi-IN"/>
              </w:rPr>
            </w:pPr>
            <w:r w:rsidRPr="009942AF">
              <w:rPr>
                <w:rFonts w:ascii="Calibri" w:hAnsi="Calibri" w:cs="Calibri"/>
                <w:color w:val="000000"/>
                <w:sz w:val="22"/>
                <w:szCs w:val="22"/>
                <w:lang w:val="en-IN" w:eastAsia="en-IN" w:bidi="hi-IN"/>
              </w:rPr>
              <w:t>4</w:t>
            </w:r>
          </w:p>
        </w:tc>
        <w:tc>
          <w:tcPr>
            <w:tcW w:w="1134" w:type="dxa"/>
            <w:tcBorders>
              <w:top w:val="nil"/>
              <w:left w:val="nil"/>
              <w:bottom w:val="single" w:sz="4" w:space="0" w:color="auto"/>
              <w:right w:val="single" w:sz="4" w:space="0" w:color="auto"/>
            </w:tcBorders>
            <w:shd w:val="clear" w:color="auto" w:fill="auto"/>
            <w:noWrap/>
            <w:vAlign w:val="center"/>
            <w:hideMark/>
          </w:tcPr>
          <w:p w14:paraId="7B25D7C9" w14:textId="77777777" w:rsidR="009942AF" w:rsidRPr="009942AF" w:rsidRDefault="009942AF" w:rsidP="009942AF">
            <w:pPr>
              <w:spacing w:line="360" w:lineRule="auto"/>
              <w:jc w:val="center"/>
              <w:rPr>
                <w:rFonts w:ascii="Calibri" w:hAnsi="Calibri" w:cs="Calibri"/>
                <w:color w:val="000000"/>
                <w:sz w:val="22"/>
                <w:szCs w:val="22"/>
                <w:lang w:val="en-IN" w:eastAsia="en-IN" w:bidi="hi-IN"/>
              </w:rPr>
            </w:pPr>
            <w:r w:rsidRPr="009942AF">
              <w:rPr>
                <w:rFonts w:ascii="Calibri" w:hAnsi="Calibri" w:cs="Calibri"/>
                <w:color w:val="000000"/>
                <w:sz w:val="22"/>
                <w:szCs w:val="22"/>
                <w:lang w:val="en-IN" w:eastAsia="en-IN" w:bidi="hi-IN"/>
              </w:rPr>
              <w:t>TPWODL</w:t>
            </w:r>
          </w:p>
        </w:tc>
        <w:tc>
          <w:tcPr>
            <w:tcW w:w="1843" w:type="dxa"/>
            <w:tcBorders>
              <w:top w:val="nil"/>
              <w:left w:val="nil"/>
              <w:bottom w:val="single" w:sz="4" w:space="0" w:color="auto"/>
              <w:right w:val="single" w:sz="4" w:space="0" w:color="auto"/>
            </w:tcBorders>
            <w:shd w:val="clear" w:color="auto" w:fill="auto"/>
            <w:noWrap/>
            <w:vAlign w:val="center"/>
            <w:hideMark/>
          </w:tcPr>
          <w:p w14:paraId="75D445C2" w14:textId="77777777" w:rsidR="009942AF" w:rsidRPr="009942AF" w:rsidRDefault="009942AF" w:rsidP="009942AF">
            <w:pPr>
              <w:spacing w:line="360" w:lineRule="auto"/>
              <w:jc w:val="center"/>
              <w:rPr>
                <w:rFonts w:ascii="Calibri" w:hAnsi="Calibri" w:cs="Calibri"/>
                <w:color w:val="000000"/>
                <w:sz w:val="22"/>
                <w:szCs w:val="22"/>
                <w:lang w:val="en-IN" w:eastAsia="en-IN" w:bidi="hi-IN"/>
              </w:rPr>
            </w:pPr>
            <w:r w:rsidRPr="009942AF">
              <w:rPr>
                <w:rFonts w:ascii="Calibri" w:hAnsi="Calibri" w:cs="Calibri"/>
                <w:color w:val="000000"/>
                <w:sz w:val="22"/>
                <w:szCs w:val="22"/>
                <w:lang w:val="en-IN" w:eastAsia="en-IN"/>
              </w:rPr>
              <w:t>3974</w:t>
            </w:r>
          </w:p>
        </w:tc>
        <w:tc>
          <w:tcPr>
            <w:tcW w:w="1559" w:type="dxa"/>
            <w:tcBorders>
              <w:top w:val="nil"/>
              <w:left w:val="nil"/>
              <w:bottom w:val="single" w:sz="4" w:space="0" w:color="auto"/>
              <w:right w:val="single" w:sz="4" w:space="0" w:color="auto"/>
            </w:tcBorders>
            <w:shd w:val="clear" w:color="auto" w:fill="auto"/>
            <w:noWrap/>
            <w:vAlign w:val="center"/>
            <w:hideMark/>
          </w:tcPr>
          <w:p w14:paraId="6B851A89" w14:textId="77777777" w:rsidR="009942AF" w:rsidRPr="009942AF" w:rsidRDefault="009942AF" w:rsidP="009942AF">
            <w:pPr>
              <w:spacing w:line="360" w:lineRule="auto"/>
              <w:jc w:val="center"/>
              <w:rPr>
                <w:rFonts w:ascii="Calibri" w:hAnsi="Calibri" w:cs="Calibri"/>
                <w:color w:val="000000"/>
                <w:sz w:val="22"/>
                <w:szCs w:val="22"/>
                <w:lang w:val="en-IN" w:eastAsia="en-IN" w:bidi="hi-IN"/>
              </w:rPr>
            </w:pPr>
            <w:r w:rsidRPr="009942AF">
              <w:rPr>
                <w:rFonts w:ascii="Calibri" w:hAnsi="Calibri" w:cs="Calibri"/>
                <w:color w:val="000000"/>
                <w:sz w:val="22"/>
                <w:szCs w:val="22"/>
                <w:lang w:val="en-IN" w:eastAsia="en-IN"/>
              </w:rPr>
              <w:t>4322</w:t>
            </w:r>
          </w:p>
        </w:tc>
        <w:tc>
          <w:tcPr>
            <w:tcW w:w="1134" w:type="dxa"/>
            <w:tcBorders>
              <w:top w:val="nil"/>
              <w:left w:val="nil"/>
              <w:bottom w:val="single" w:sz="4" w:space="0" w:color="auto"/>
              <w:right w:val="single" w:sz="4" w:space="0" w:color="auto"/>
            </w:tcBorders>
            <w:shd w:val="clear" w:color="auto" w:fill="auto"/>
            <w:noWrap/>
            <w:vAlign w:val="center"/>
            <w:hideMark/>
          </w:tcPr>
          <w:p w14:paraId="6C57EBBC" w14:textId="77777777" w:rsidR="009942AF" w:rsidRPr="009942AF" w:rsidRDefault="009942AF" w:rsidP="009942AF">
            <w:pPr>
              <w:spacing w:line="360" w:lineRule="auto"/>
              <w:jc w:val="center"/>
              <w:rPr>
                <w:rFonts w:ascii="Calibri" w:hAnsi="Calibri" w:cs="Calibri"/>
                <w:color w:val="000000"/>
                <w:sz w:val="22"/>
                <w:szCs w:val="22"/>
                <w:lang w:val="en-IN" w:eastAsia="en-IN" w:bidi="hi-IN"/>
              </w:rPr>
            </w:pPr>
            <w:r w:rsidRPr="009942AF">
              <w:rPr>
                <w:rFonts w:ascii="Calibri" w:hAnsi="Calibri" w:cs="Calibri"/>
                <w:color w:val="000000"/>
                <w:sz w:val="22"/>
                <w:szCs w:val="22"/>
                <w:lang w:val="en-IN" w:eastAsia="en-IN"/>
              </w:rPr>
              <w:t>8296</w:t>
            </w:r>
          </w:p>
        </w:tc>
        <w:tc>
          <w:tcPr>
            <w:tcW w:w="1701" w:type="dxa"/>
            <w:tcBorders>
              <w:top w:val="nil"/>
              <w:left w:val="nil"/>
              <w:bottom w:val="single" w:sz="4" w:space="0" w:color="auto"/>
              <w:right w:val="single" w:sz="4" w:space="0" w:color="auto"/>
            </w:tcBorders>
            <w:shd w:val="clear" w:color="auto" w:fill="auto"/>
            <w:noWrap/>
            <w:vAlign w:val="center"/>
            <w:hideMark/>
          </w:tcPr>
          <w:p w14:paraId="03FB6FC8" w14:textId="77777777" w:rsidR="009942AF" w:rsidRPr="009942AF" w:rsidRDefault="009942AF" w:rsidP="009942AF">
            <w:pPr>
              <w:spacing w:line="360" w:lineRule="auto"/>
              <w:jc w:val="center"/>
              <w:rPr>
                <w:rFonts w:ascii="Calibri" w:hAnsi="Calibri" w:cs="Calibri"/>
                <w:color w:val="000000"/>
                <w:sz w:val="22"/>
                <w:szCs w:val="22"/>
                <w:lang w:val="en-IN" w:eastAsia="en-IN" w:bidi="hi-IN"/>
              </w:rPr>
            </w:pPr>
            <w:r w:rsidRPr="009942AF">
              <w:rPr>
                <w:rFonts w:ascii="Calibri" w:hAnsi="Calibri" w:cs="Calibri"/>
                <w:color w:val="000000"/>
                <w:sz w:val="22"/>
                <w:szCs w:val="22"/>
                <w:lang w:val="en-IN" w:eastAsia="en-IN"/>
              </w:rPr>
              <w:t>20.74</w:t>
            </w:r>
          </w:p>
        </w:tc>
      </w:tr>
      <w:tr w:rsidR="009942AF" w:rsidRPr="009942AF" w14:paraId="413D0BA7" w14:textId="77777777" w:rsidTr="0073098B">
        <w:trPr>
          <w:trHeight w:val="310"/>
        </w:trPr>
        <w:tc>
          <w:tcPr>
            <w:tcW w:w="1548" w:type="dxa"/>
            <w:tcBorders>
              <w:top w:val="nil"/>
              <w:left w:val="single" w:sz="4" w:space="0" w:color="auto"/>
              <w:bottom w:val="single" w:sz="4" w:space="0" w:color="auto"/>
              <w:right w:val="single" w:sz="4" w:space="0" w:color="auto"/>
            </w:tcBorders>
            <w:shd w:val="clear" w:color="auto" w:fill="auto"/>
            <w:noWrap/>
            <w:vAlign w:val="center"/>
            <w:hideMark/>
          </w:tcPr>
          <w:p w14:paraId="5F1068B3" w14:textId="77777777" w:rsidR="009942AF" w:rsidRPr="009942AF" w:rsidRDefault="009942AF" w:rsidP="009942AF">
            <w:pPr>
              <w:spacing w:line="360" w:lineRule="auto"/>
              <w:jc w:val="center"/>
              <w:rPr>
                <w:rFonts w:ascii="Calibri" w:hAnsi="Calibri" w:cs="Calibri"/>
                <w:b/>
                <w:bCs/>
                <w:color w:val="000000"/>
                <w:sz w:val="22"/>
                <w:szCs w:val="22"/>
                <w:lang w:val="en-IN" w:eastAsia="en-IN" w:bidi="hi-IN"/>
              </w:rPr>
            </w:pPr>
            <w:r w:rsidRPr="009942AF">
              <w:rPr>
                <w:rFonts w:ascii="Calibri" w:hAnsi="Calibri" w:cs="Calibri"/>
                <w:b/>
                <w:bCs/>
                <w:color w:val="000000"/>
                <w:sz w:val="22"/>
                <w:szCs w:val="22"/>
                <w:lang w:val="en-IN" w:eastAsia="en-IN" w:bidi="hi-IN"/>
              </w:rPr>
              <w:t>5</w:t>
            </w:r>
          </w:p>
        </w:tc>
        <w:tc>
          <w:tcPr>
            <w:tcW w:w="1134" w:type="dxa"/>
            <w:tcBorders>
              <w:top w:val="nil"/>
              <w:left w:val="nil"/>
              <w:bottom w:val="single" w:sz="4" w:space="0" w:color="auto"/>
              <w:right w:val="single" w:sz="4" w:space="0" w:color="auto"/>
            </w:tcBorders>
            <w:shd w:val="clear" w:color="auto" w:fill="auto"/>
            <w:noWrap/>
            <w:vAlign w:val="center"/>
            <w:hideMark/>
          </w:tcPr>
          <w:p w14:paraId="138D73F8" w14:textId="77777777" w:rsidR="009942AF" w:rsidRPr="009942AF" w:rsidRDefault="009942AF" w:rsidP="009942AF">
            <w:pPr>
              <w:spacing w:line="360" w:lineRule="auto"/>
              <w:jc w:val="center"/>
              <w:rPr>
                <w:rFonts w:ascii="Calibri" w:hAnsi="Calibri" w:cs="Calibri"/>
                <w:b/>
                <w:bCs/>
                <w:color w:val="000000"/>
                <w:sz w:val="22"/>
                <w:szCs w:val="22"/>
                <w:lang w:val="en-IN" w:eastAsia="en-IN" w:bidi="hi-IN"/>
              </w:rPr>
            </w:pPr>
            <w:r w:rsidRPr="009942AF">
              <w:rPr>
                <w:rFonts w:ascii="Calibri" w:hAnsi="Calibri" w:cs="Calibri"/>
                <w:b/>
                <w:bCs/>
                <w:color w:val="000000"/>
                <w:sz w:val="22"/>
                <w:szCs w:val="22"/>
                <w:lang w:val="en-IN" w:eastAsia="en-IN" w:bidi="hi-IN"/>
              </w:rPr>
              <w:t>TOTAL</w:t>
            </w:r>
          </w:p>
        </w:tc>
        <w:tc>
          <w:tcPr>
            <w:tcW w:w="1843" w:type="dxa"/>
            <w:tcBorders>
              <w:top w:val="nil"/>
              <w:left w:val="nil"/>
              <w:bottom w:val="single" w:sz="4" w:space="0" w:color="auto"/>
              <w:right w:val="single" w:sz="4" w:space="0" w:color="auto"/>
            </w:tcBorders>
            <w:shd w:val="clear" w:color="auto" w:fill="auto"/>
            <w:noWrap/>
            <w:vAlign w:val="center"/>
            <w:hideMark/>
          </w:tcPr>
          <w:p w14:paraId="34A6BBE0" w14:textId="77777777" w:rsidR="009942AF" w:rsidRPr="009942AF" w:rsidRDefault="009942AF" w:rsidP="009942AF">
            <w:pPr>
              <w:spacing w:line="360" w:lineRule="auto"/>
              <w:jc w:val="center"/>
              <w:rPr>
                <w:rFonts w:ascii="Calibri" w:hAnsi="Calibri" w:cs="Calibri"/>
                <w:b/>
                <w:bCs/>
                <w:color w:val="000000"/>
                <w:sz w:val="22"/>
                <w:szCs w:val="22"/>
                <w:lang w:val="en-IN" w:eastAsia="en-IN" w:bidi="hi-IN"/>
              </w:rPr>
            </w:pPr>
            <w:r w:rsidRPr="009942AF">
              <w:rPr>
                <w:rFonts w:ascii="Calibri" w:hAnsi="Calibri" w:cs="Calibri"/>
                <w:b/>
                <w:bCs/>
                <w:color w:val="000000"/>
                <w:sz w:val="22"/>
                <w:szCs w:val="22"/>
                <w:lang w:val="en-IN" w:eastAsia="en-IN"/>
              </w:rPr>
              <w:t>16280</w:t>
            </w:r>
          </w:p>
        </w:tc>
        <w:tc>
          <w:tcPr>
            <w:tcW w:w="1559" w:type="dxa"/>
            <w:tcBorders>
              <w:top w:val="nil"/>
              <w:left w:val="nil"/>
              <w:bottom w:val="single" w:sz="4" w:space="0" w:color="auto"/>
              <w:right w:val="single" w:sz="4" w:space="0" w:color="auto"/>
            </w:tcBorders>
            <w:shd w:val="clear" w:color="auto" w:fill="auto"/>
            <w:noWrap/>
            <w:vAlign w:val="center"/>
            <w:hideMark/>
          </w:tcPr>
          <w:p w14:paraId="7B823E7D" w14:textId="77777777" w:rsidR="009942AF" w:rsidRPr="009942AF" w:rsidRDefault="009942AF" w:rsidP="009942AF">
            <w:pPr>
              <w:spacing w:line="360" w:lineRule="auto"/>
              <w:jc w:val="center"/>
              <w:rPr>
                <w:rFonts w:ascii="Calibri" w:hAnsi="Calibri" w:cs="Calibri"/>
                <w:b/>
                <w:bCs/>
                <w:color w:val="000000"/>
                <w:sz w:val="22"/>
                <w:szCs w:val="22"/>
                <w:lang w:val="en-IN" w:eastAsia="en-IN" w:bidi="hi-IN"/>
              </w:rPr>
            </w:pPr>
            <w:r w:rsidRPr="009942AF">
              <w:rPr>
                <w:rFonts w:ascii="Calibri" w:hAnsi="Calibri" w:cs="Calibri"/>
                <w:b/>
                <w:bCs/>
                <w:color w:val="000000"/>
                <w:sz w:val="22"/>
                <w:szCs w:val="22"/>
                <w:lang w:val="en-IN" w:eastAsia="en-IN"/>
              </w:rPr>
              <w:t>13099</w:t>
            </w:r>
          </w:p>
        </w:tc>
        <w:tc>
          <w:tcPr>
            <w:tcW w:w="1134" w:type="dxa"/>
            <w:tcBorders>
              <w:top w:val="nil"/>
              <w:left w:val="nil"/>
              <w:bottom w:val="single" w:sz="4" w:space="0" w:color="auto"/>
              <w:right w:val="single" w:sz="4" w:space="0" w:color="auto"/>
            </w:tcBorders>
            <w:shd w:val="clear" w:color="auto" w:fill="auto"/>
            <w:noWrap/>
            <w:vAlign w:val="center"/>
            <w:hideMark/>
          </w:tcPr>
          <w:p w14:paraId="4EA43181" w14:textId="77777777" w:rsidR="009942AF" w:rsidRPr="009942AF" w:rsidRDefault="009942AF" w:rsidP="009942AF">
            <w:pPr>
              <w:spacing w:line="360" w:lineRule="auto"/>
              <w:jc w:val="center"/>
              <w:rPr>
                <w:rFonts w:ascii="Calibri" w:hAnsi="Calibri" w:cs="Calibri"/>
                <w:b/>
                <w:bCs/>
                <w:color w:val="000000"/>
                <w:sz w:val="22"/>
                <w:szCs w:val="22"/>
                <w:lang w:val="en-IN" w:eastAsia="en-IN" w:bidi="hi-IN"/>
              </w:rPr>
            </w:pPr>
            <w:r w:rsidRPr="009942AF">
              <w:rPr>
                <w:rFonts w:ascii="Calibri" w:hAnsi="Calibri" w:cs="Calibri"/>
                <w:b/>
                <w:bCs/>
                <w:color w:val="000000"/>
                <w:sz w:val="22"/>
                <w:szCs w:val="22"/>
                <w:lang w:val="en-IN" w:eastAsia="en-IN"/>
              </w:rPr>
              <w:t>29379</w:t>
            </w:r>
          </w:p>
        </w:tc>
        <w:tc>
          <w:tcPr>
            <w:tcW w:w="1701" w:type="dxa"/>
            <w:tcBorders>
              <w:top w:val="nil"/>
              <w:left w:val="nil"/>
              <w:bottom w:val="single" w:sz="4" w:space="0" w:color="auto"/>
              <w:right w:val="single" w:sz="4" w:space="0" w:color="auto"/>
            </w:tcBorders>
            <w:shd w:val="clear" w:color="auto" w:fill="auto"/>
            <w:noWrap/>
            <w:vAlign w:val="center"/>
            <w:hideMark/>
          </w:tcPr>
          <w:p w14:paraId="0C0BF184" w14:textId="77777777" w:rsidR="009942AF" w:rsidRPr="009942AF" w:rsidRDefault="009942AF" w:rsidP="009942AF">
            <w:pPr>
              <w:spacing w:line="360" w:lineRule="auto"/>
              <w:jc w:val="center"/>
              <w:rPr>
                <w:rFonts w:ascii="Calibri" w:hAnsi="Calibri" w:cs="Calibri"/>
                <w:b/>
                <w:bCs/>
                <w:color w:val="000000"/>
                <w:sz w:val="22"/>
                <w:szCs w:val="22"/>
                <w:lang w:val="en-IN" w:eastAsia="en-IN" w:bidi="hi-IN"/>
              </w:rPr>
            </w:pPr>
            <w:r w:rsidRPr="009942AF">
              <w:rPr>
                <w:rFonts w:ascii="Calibri" w:hAnsi="Calibri" w:cs="Calibri"/>
                <w:b/>
                <w:bCs/>
                <w:color w:val="000000"/>
                <w:sz w:val="22"/>
                <w:szCs w:val="22"/>
                <w:lang w:val="en-IN" w:eastAsia="en-IN"/>
              </w:rPr>
              <w:t>73.45</w:t>
            </w:r>
          </w:p>
        </w:tc>
      </w:tr>
    </w:tbl>
    <w:p w14:paraId="5DF4D012" w14:textId="77777777" w:rsidR="009942AF" w:rsidRPr="009942AF" w:rsidRDefault="009942AF" w:rsidP="009942AF">
      <w:pPr>
        <w:numPr>
          <w:ilvl w:val="0"/>
          <w:numId w:val="51"/>
        </w:numPr>
        <w:spacing w:after="200" w:line="360" w:lineRule="auto"/>
        <w:contextualSpacing/>
        <w:jc w:val="center"/>
        <w:rPr>
          <w:rFonts w:ascii="Calibri" w:eastAsia="Calibri" w:hAnsi="Calibri" w:cs="Calibri"/>
          <w:sz w:val="22"/>
          <w:szCs w:val="22"/>
        </w:rPr>
      </w:pPr>
    </w:p>
    <w:p w14:paraId="736FCE77" w14:textId="12D90275" w:rsidR="009942AF" w:rsidRPr="009942AF" w:rsidRDefault="009942AF" w:rsidP="0073098B">
      <w:pPr>
        <w:spacing w:beforeLines="100" w:before="240" w:afterLines="100" w:after="240" w:line="360" w:lineRule="auto"/>
        <w:ind w:left="567"/>
        <w:jc w:val="both"/>
        <w:rPr>
          <w:rFonts w:ascii="Calibri" w:hAnsi="Calibri" w:cs="Calibri"/>
          <w:sz w:val="22"/>
          <w:szCs w:val="22"/>
        </w:rPr>
      </w:pPr>
      <w:r w:rsidRPr="009942AF">
        <w:rPr>
          <w:rFonts w:ascii="Calibri" w:hAnsi="Calibri" w:cs="Calibri"/>
          <w:sz w:val="22"/>
          <w:szCs w:val="22"/>
        </w:rPr>
        <w:t>In the humble submission of the DISCOM, the reserves would gradually build up and the same can be utilized to meet the expenses required to take care of the risks faced by the Distribution Licensee as such risks are not insured by the Insurance Company.</w:t>
      </w:r>
    </w:p>
    <w:p w14:paraId="23509F5F" w14:textId="71B04877" w:rsidR="009942AF" w:rsidRPr="009942AF" w:rsidRDefault="0073098B" w:rsidP="0073098B">
      <w:pPr>
        <w:keepNext/>
        <w:spacing w:before="240" w:after="60" w:line="360" w:lineRule="auto"/>
        <w:ind w:left="567"/>
        <w:jc w:val="both"/>
        <w:outlineLvl w:val="0"/>
        <w:rPr>
          <w:rFonts w:ascii="Calibri" w:hAnsi="Calibri" w:cs="Calibri"/>
          <w:b/>
          <w:bCs/>
          <w:kern w:val="32"/>
          <w:sz w:val="22"/>
          <w:szCs w:val="22"/>
        </w:rPr>
      </w:pPr>
      <w:r>
        <w:rPr>
          <w:rFonts w:ascii="Calibri" w:hAnsi="Calibri" w:cs="Calibri"/>
          <w:b/>
          <w:bCs/>
          <w:kern w:val="32"/>
          <w:sz w:val="22"/>
          <w:szCs w:val="22"/>
        </w:rPr>
        <w:t xml:space="preserve">9.22 </w:t>
      </w:r>
      <w:r w:rsidR="009942AF" w:rsidRPr="009942AF">
        <w:rPr>
          <w:rFonts w:ascii="Calibri" w:hAnsi="Calibri" w:cs="Calibri"/>
          <w:b/>
          <w:bCs/>
          <w:kern w:val="32"/>
          <w:sz w:val="22"/>
          <w:szCs w:val="22"/>
        </w:rPr>
        <w:t>Approval</w:t>
      </w:r>
      <w:r w:rsidR="009942AF" w:rsidRPr="009942AF">
        <w:rPr>
          <w:rFonts w:ascii="Calibri" w:eastAsia="Calibri" w:hAnsi="Calibri" w:cs="Calibri"/>
          <w:kern w:val="32"/>
          <w:sz w:val="22"/>
          <w:szCs w:val="22"/>
        </w:rPr>
        <w:t xml:space="preserve"> </w:t>
      </w:r>
      <w:r w:rsidR="009942AF" w:rsidRPr="009942AF">
        <w:rPr>
          <w:rFonts w:ascii="Calibri" w:hAnsi="Calibri" w:cs="Calibri"/>
          <w:b/>
          <w:bCs/>
          <w:kern w:val="32"/>
          <w:sz w:val="22"/>
          <w:szCs w:val="22"/>
        </w:rPr>
        <w:t>for utilization of Consumer Security Deposit (SD) for Consumer benefit through reduction of Financing Costs allowed in Tariffs.</w:t>
      </w:r>
    </w:p>
    <w:p w14:paraId="66FEC7F7" w14:textId="77777777" w:rsidR="009942AF" w:rsidRPr="009942AF" w:rsidRDefault="009942AF" w:rsidP="009942AF">
      <w:pPr>
        <w:spacing w:line="360" w:lineRule="auto"/>
        <w:rPr>
          <w:rFonts w:ascii="Calibri" w:hAnsi="Calibri" w:cs="Calibri"/>
          <w:sz w:val="22"/>
          <w:szCs w:val="22"/>
        </w:rPr>
      </w:pPr>
    </w:p>
    <w:p w14:paraId="574A415F" w14:textId="77777777" w:rsidR="009942AF" w:rsidRPr="009942AF" w:rsidRDefault="009942AF" w:rsidP="0073098B">
      <w:pPr>
        <w:spacing w:line="360" w:lineRule="auto"/>
        <w:ind w:left="567"/>
        <w:jc w:val="both"/>
        <w:rPr>
          <w:rFonts w:ascii="Calibri" w:hAnsi="Calibri" w:cs="Calibri"/>
          <w:sz w:val="22"/>
          <w:szCs w:val="22"/>
          <w:lang w:eastAsia="en-IN"/>
        </w:rPr>
      </w:pPr>
      <w:r w:rsidRPr="009942AF">
        <w:rPr>
          <w:rFonts w:ascii="Calibri" w:hAnsi="Calibri" w:cs="Calibri"/>
          <w:sz w:val="22"/>
          <w:szCs w:val="22"/>
          <w:lang w:eastAsia="en-IN"/>
        </w:rPr>
        <w:t xml:space="preserve">As part of transfer of Assets &amp; Liabilities to the TP </w:t>
      </w:r>
      <w:proofErr w:type="spellStart"/>
      <w:r w:rsidRPr="009942AF">
        <w:rPr>
          <w:rFonts w:ascii="Calibri" w:hAnsi="Calibri" w:cs="Calibri"/>
          <w:sz w:val="22"/>
          <w:szCs w:val="22"/>
          <w:lang w:eastAsia="en-IN"/>
        </w:rPr>
        <w:t>Discoms</w:t>
      </w:r>
      <w:proofErr w:type="spellEnd"/>
      <w:r w:rsidRPr="009942AF">
        <w:rPr>
          <w:rFonts w:ascii="Calibri" w:hAnsi="Calibri" w:cs="Calibri"/>
          <w:sz w:val="22"/>
          <w:szCs w:val="22"/>
          <w:lang w:eastAsia="en-IN"/>
        </w:rPr>
        <w:t xml:space="preserve"> from the erstwhile Utilities of CESU, WESCO, SOUTHCO and NESCO, entire cash and bank balance, including Fixed Deposits, as on the Effective Date have been transferred to the respective TP </w:t>
      </w:r>
      <w:proofErr w:type="spellStart"/>
      <w:r w:rsidRPr="009942AF">
        <w:rPr>
          <w:rFonts w:ascii="Calibri" w:hAnsi="Calibri" w:cs="Calibri"/>
          <w:sz w:val="22"/>
          <w:szCs w:val="22"/>
          <w:lang w:eastAsia="en-IN"/>
        </w:rPr>
        <w:t>Discoms</w:t>
      </w:r>
      <w:proofErr w:type="spellEnd"/>
      <w:r w:rsidRPr="009942AF">
        <w:rPr>
          <w:rFonts w:ascii="Calibri" w:hAnsi="Calibri" w:cs="Calibri"/>
          <w:sz w:val="22"/>
          <w:szCs w:val="22"/>
          <w:lang w:eastAsia="en-IN"/>
        </w:rPr>
        <w:t>.</w:t>
      </w:r>
    </w:p>
    <w:p w14:paraId="56BAAFE7" w14:textId="77777777" w:rsidR="009942AF" w:rsidRPr="009942AF" w:rsidRDefault="009942AF" w:rsidP="009942AF">
      <w:pPr>
        <w:spacing w:line="360" w:lineRule="auto"/>
        <w:ind w:left="360"/>
        <w:jc w:val="both"/>
        <w:rPr>
          <w:rFonts w:ascii="Calibri" w:hAnsi="Calibri" w:cs="Calibri"/>
          <w:sz w:val="22"/>
          <w:szCs w:val="22"/>
          <w:lang w:eastAsia="en-IN"/>
        </w:rPr>
      </w:pPr>
    </w:p>
    <w:p w14:paraId="52FB1B51" w14:textId="77777777" w:rsidR="009942AF" w:rsidRPr="009942AF" w:rsidRDefault="009942AF" w:rsidP="00EC0D99">
      <w:pPr>
        <w:spacing w:line="360" w:lineRule="auto"/>
        <w:ind w:left="567"/>
        <w:jc w:val="both"/>
        <w:rPr>
          <w:rFonts w:ascii="Calibri" w:hAnsi="Calibri" w:cs="Calibri"/>
          <w:sz w:val="22"/>
          <w:szCs w:val="22"/>
          <w:lang w:eastAsia="en-IN"/>
        </w:rPr>
      </w:pPr>
      <w:r w:rsidRPr="009942AF">
        <w:rPr>
          <w:rFonts w:ascii="Calibri" w:hAnsi="Calibri" w:cs="Calibri"/>
          <w:sz w:val="22"/>
          <w:szCs w:val="22"/>
          <w:lang w:eastAsia="en-IN"/>
        </w:rPr>
        <w:lastRenderedPageBreak/>
        <w:t xml:space="preserve">The Fixed Deposits towards Consumer Security Deposits (CSD) and the liabilities towards such deposits as transferred in the respective </w:t>
      </w:r>
      <w:proofErr w:type="spellStart"/>
      <w:r w:rsidRPr="009942AF">
        <w:rPr>
          <w:rFonts w:ascii="Calibri" w:hAnsi="Calibri" w:cs="Calibri"/>
          <w:sz w:val="22"/>
          <w:szCs w:val="22"/>
          <w:lang w:eastAsia="en-IN"/>
        </w:rPr>
        <w:t>Discoms</w:t>
      </w:r>
      <w:proofErr w:type="spellEnd"/>
      <w:r w:rsidRPr="009942AF">
        <w:rPr>
          <w:rFonts w:ascii="Calibri" w:hAnsi="Calibri" w:cs="Calibri"/>
          <w:sz w:val="22"/>
          <w:szCs w:val="22"/>
          <w:lang w:eastAsia="en-IN"/>
        </w:rPr>
        <w:t xml:space="preserve"> Opening Balance Sheets as per on the respective Segregation Orders are as follows:</w:t>
      </w:r>
    </w:p>
    <w:tbl>
      <w:tblPr>
        <w:tblpPr w:leftFromText="180" w:rightFromText="180" w:vertAnchor="text" w:horzAnchor="page" w:tblpX="1696" w:tblpY="277"/>
        <w:tblW w:w="93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1E0" w:firstRow="1" w:lastRow="1" w:firstColumn="1" w:lastColumn="1" w:noHBand="0" w:noVBand="0"/>
      </w:tblPr>
      <w:tblGrid>
        <w:gridCol w:w="4027"/>
        <w:gridCol w:w="993"/>
        <w:gridCol w:w="1134"/>
        <w:gridCol w:w="992"/>
        <w:gridCol w:w="1000"/>
        <w:gridCol w:w="1195"/>
      </w:tblGrid>
      <w:tr w:rsidR="00EC0D99" w:rsidRPr="009942AF" w14:paraId="73728422" w14:textId="77777777" w:rsidTr="00EC0D99">
        <w:trPr>
          <w:trHeight w:val="267"/>
        </w:trPr>
        <w:tc>
          <w:tcPr>
            <w:tcW w:w="9341" w:type="dxa"/>
            <w:gridSpan w:val="6"/>
            <w:shd w:val="clear" w:color="auto" w:fill="DDEBF7"/>
          </w:tcPr>
          <w:p w14:paraId="3654EF71" w14:textId="77777777" w:rsidR="00EC0D99" w:rsidRPr="009942AF" w:rsidRDefault="00EC0D99" w:rsidP="00EC0D99">
            <w:pPr>
              <w:widowControl w:val="0"/>
              <w:autoSpaceDE w:val="0"/>
              <w:autoSpaceDN w:val="0"/>
              <w:spacing w:line="360" w:lineRule="auto"/>
              <w:ind w:right="482"/>
              <w:jc w:val="center"/>
              <w:rPr>
                <w:rFonts w:ascii="Calibri" w:eastAsia="Arial MT" w:hAnsi="Calibri" w:cs="Calibri"/>
                <w:b/>
                <w:sz w:val="22"/>
                <w:szCs w:val="22"/>
              </w:rPr>
            </w:pPr>
            <w:r w:rsidRPr="009942AF">
              <w:rPr>
                <w:rFonts w:ascii="Calibri" w:eastAsia="Arial MT" w:hAnsi="Calibri" w:cs="Calibri"/>
                <w:b/>
                <w:sz w:val="22"/>
                <w:szCs w:val="22"/>
              </w:rPr>
              <w:t>in</w:t>
            </w:r>
            <w:r w:rsidRPr="009942AF">
              <w:rPr>
                <w:rFonts w:ascii="Calibri" w:eastAsia="Arial MT" w:hAnsi="Calibri" w:cs="Calibri"/>
                <w:b/>
                <w:spacing w:val="-4"/>
                <w:sz w:val="22"/>
                <w:szCs w:val="22"/>
              </w:rPr>
              <w:t xml:space="preserve"> </w:t>
            </w:r>
            <w:r w:rsidRPr="009942AF">
              <w:rPr>
                <w:rFonts w:ascii="Calibri" w:eastAsia="Arial MT" w:hAnsi="Calibri" w:cs="Calibri"/>
                <w:b/>
                <w:sz w:val="22"/>
                <w:szCs w:val="22"/>
              </w:rPr>
              <w:t>Rs.</w:t>
            </w:r>
            <w:r w:rsidRPr="009942AF">
              <w:rPr>
                <w:rFonts w:ascii="Calibri" w:eastAsia="Arial MT" w:hAnsi="Calibri" w:cs="Calibri"/>
                <w:b/>
                <w:spacing w:val="-2"/>
                <w:sz w:val="22"/>
                <w:szCs w:val="22"/>
              </w:rPr>
              <w:t xml:space="preserve"> Crores</w:t>
            </w:r>
          </w:p>
        </w:tc>
      </w:tr>
      <w:tr w:rsidR="00EC0D99" w:rsidRPr="009942AF" w14:paraId="7C6F7563" w14:textId="77777777" w:rsidTr="00EC0D99">
        <w:trPr>
          <w:trHeight w:val="267"/>
        </w:trPr>
        <w:tc>
          <w:tcPr>
            <w:tcW w:w="4027" w:type="dxa"/>
            <w:shd w:val="clear" w:color="auto" w:fill="DDEBF7"/>
          </w:tcPr>
          <w:p w14:paraId="0B441480" w14:textId="77777777" w:rsidR="00EC0D99" w:rsidRPr="009942AF" w:rsidRDefault="00EC0D99" w:rsidP="00EC0D99">
            <w:pPr>
              <w:widowControl w:val="0"/>
              <w:autoSpaceDE w:val="0"/>
              <w:autoSpaceDN w:val="0"/>
              <w:spacing w:line="360" w:lineRule="auto"/>
              <w:ind w:left="29"/>
              <w:jc w:val="center"/>
              <w:rPr>
                <w:rFonts w:ascii="Calibri" w:eastAsia="Arial MT" w:hAnsi="Calibri" w:cs="Calibri"/>
                <w:b/>
                <w:sz w:val="22"/>
                <w:szCs w:val="22"/>
              </w:rPr>
            </w:pPr>
            <w:r w:rsidRPr="009942AF">
              <w:rPr>
                <w:rFonts w:ascii="Calibri" w:eastAsia="Arial MT" w:hAnsi="Calibri" w:cs="Calibri"/>
                <w:b/>
                <w:spacing w:val="-2"/>
                <w:sz w:val="22"/>
                <w:szCs w:val="22"/>
              </w:rPr>
              <w:t>Particulars</w:t>
            </w:r>
          </w:p>
        </w:tc>
        <w:tc>
          <w:tcPr>
            <w:tcW w:w="993" w:type="dxa"/>
            <w:shd w:val="clear" w:color="auto" w:fill="DDEBF7"/>
          </w:tcPr>
          <w:p w14:paraId="4DD327A0" w14:textId="77777777" w:rsidR="00EC0D99" w:rsidRPr="009942AF" w:rsidRDefault="00EC0D99" w:rsidP="00EC0D99">
            <w:pPr>
              <w:widowControl w:val="0"/>
              <w:autoSpaceDE w:val="0"/>
              <w:autoSpaceDN w:val="0"/>
              <w:spacing w:line="360" w:lineRule="auto"/>
              <w:ind w:left="27"/>
              <w:jc w:val="center"/>
              <w:rPr>
                <w:rFonts w:ascii="Calibri" w:eastAsia="Arial MT" w:hAnsi="Calibri" w:cs="Calibri"/>
                <w:b/>
                <w:sz w:val="22"/>
                <w:szCs w:val="22"/>
              </w:rPr>
            </w:pPr>
            <w:r w:rsidRPr="009942AF">
              <w:rPr>
                <w:rFonts w:ascii="Calibri" w:eastAsia="Arial MT" w:hAnsi="Calibri" w:cs="Calibri"/>
                <w:b/>
                <w:spacing w:val="-2"/>
                <w:sz w:val="22"/>
                <w:szCs w:val="22"/>
              </w:rPr>
              <w:t>TPCODL</w:t>
            </w:r>
          </w:p>
        </w:tc>
        <w:tc>
          <w:tcPr>
            <w:tcW w:w="1134" w:type="dxa"/>
            <w:shd w:val="clear" w:color="auto" w:fill="DDEBF7"/>
          </w:tcPr>
          <w:p w14:paraId="38A3F6A6" w14:textId="77777777" w:rsidR="00EC0D99" w:rsidRPr="009942AF" w:rsidRDefault="00EC0D99" w:rsidP="00EC0D99">
            <w:pPr>
              <w:widowControl w:val="0"/>
              <w:autoSpaceDE w:val="0"/>
              <w:autoSpaceDN w:val="0"/>
              <w:spacing w:line="360" w:lineRule="auto"/>
              <w:ind w:left="20" w:right="-15"/>
              <w:jc w:val="center"/>
              <w:rPr>
                <w:rFonts w:ascii="Calibri" w:eastAsia="Arial MT" w:hAnsi="Calibri" w:cs="Calibri"/>
                <w:b/>
                <w:sz w:val="22"/>
                <w:szCs w:val="22"/>
              </w:rPr>
            </w:pPr>
            <w:r w:rsidRPr="009942AF">
              <w:rPr>
                <w:rFonts w:ascii="Calibri" w:eastAsia="Arial MT" w:hAnsi="Calibri" w:cs="Calibri"/>
                <w:b/>
                <w:spacing w:val="-2"/>
                <w:sz w:val="22"/>
                <w:szCs w:val="22"/>
              </w:rPr>
              <w:t>TPWODL</w:t>
            </w:r>
          </w:p>
        </w:tc>
        <w:tc>
          <w:tcPr>
            <w:tcW w:w="992" w:type="dxa"/>
            <w:shd w:val="clear" w:color="auto" w:fill="DDEBF7"/>
          </w:tcPr>
          <w:p w14:paraId="053A09C3" w14:textId="77777777" w:rsidR="00EC0D99" w:rsidRPr="009942AF" w:rsidRDefault="00EC0D99" w:rsidP="00EC0D99">
            <w:pPr>
              <w:widowControl w:val="0"/>
              <w:autoSpaceDE w:val="0"/>
              <w:autoSpaceDN w:val="0"/>
              <w:spacing w:line="360" w:lineRule="auto"/>
              <w:ind w:left="27" w:right="2"/>
              <w:jc w:val="center"/>
              <w:rPr>
                <w:rFonts w:ascii="Calibri" w:eastAsia="Arial MT" w:hAnsi="Calibri" w:cs="Calibri"/>
                <w:b/>
                <w:sz w:val="22"/>
                <w:szCs w:val="22"/>
              </w:rPr>
            </w:pPr>
            <w:r w:rsidRPr="009942AF">
              <w:rPr>
                <w:rFonts w:ascii="Calibri" w:eastAsia="Arial MT" w:hAnsi="Calibri" w:cs="Calibri"/>
                <w:b/>
                <w:spacing w:val="-2"/>
                <w:sz w:val="22"/>
                <w:szCs w:val="22"/>
              </w:rPr>
              <w:t>TPSODL</w:t>
            </w:r>
          </w:p>
        </w:tc>
        <w:tc>
          <w:tcPr>
            <w:tcW w:w="1000" w:type="dxa"/>
            <w:shd w:val="clear" w:color="auto" w:fill="DDEBF7"/>
          </w:tcPr>
          <w:p w14:paraId="1E952DF2" w14:textId="77777777" w:rsidR="00EC0D99" w:rsidRPr="009942AF" w:rsidRDefault="00EC0D99" w:rsidP="00EC0D99">
            <w:pPr>
              <w:widowControl w:val="0"/>
              <w:autoSpaceDE w:val="0"/>
              <w:autoSpaceDN w:val="0"/>
              <w:spacing w:line="360" w:lineRule="auto"/>
              <w:ind w:left="28"/>
              <w:jc w:val="center"/>
              <w:rPr>
                <w:rFonts w:ascii="Calibri" w:eastAsia="Arial MT" w:hAnsi="Calibri" w:cs="Calibri"/>
                <w:b/>
                <w:sz w:val="22"/>
                <w:szCs w:val="22"/>
              </w:rPr>
            </w:pPr>
            <w:r w:rsidRPr="009942AF">
              <w:rPr>
                <w:rFonts w:ascii="Calibri" w:eastAsia="Arial MT" w:hAnsi="Calibri" w:cs="Calibri"/>
                <w:b/>
                <w:spacing w:val="-2"/>
                <w:sz w:val="22"/>
                <w:szCs w:val="22"/>
              </w:rPr>
              <w:t>TPNODL</w:t>
            </w:r>
          </w:p>
        </w:tc>
        <w:tc>
          <w:tcPr>
            <w:tcW w:w="1195" w:type="dxa"/>
            <w:shd w:val="clear" w:color="auto" w:fill="DDEBF7"/>
          </w:tcPr>
          <w:p w14:paraId="5C1067EA" w14:textId="77777777" w:rsidR="00EC0D99" w:rsidRPr="009942AF" w:rsidRDefault="00EC0D99" w:rsidP="00EC0D99">
            <w:pPr>
              <w:widowControl w:val="0"/>
              <w:autoSpaceDE w:val="0"/>
              <w:autoSpaceDN w:val="0"/>
              <w:spacing w:line="360" w:lineRule="auto"/>
              <w:ind w:left="27" w:right="62"/>
              <w:jc w:val="center"/>
              <w:rPr>
                <w:rFonts w:ascii="Calibri" w:eastAsia="Arial MT" w:hAnsi="Calibri" w:cs="Calibri"/>
                <w:b/>
                <w:sz w:val="22"/>
                <w:szCs w:val="22"/>
              </w:rPr>
            </w:pPr>
            <w:r w:rsidRPr="009942AF">
              <w:rPr>
                <w:rFonts w:ascii="Calibri" w:eastAsia="Arial MT" w:hAnsi="Calibri" w:cs="Calibri"/>
                <w:b/>
                <w:spacing w:val="-2"/>
                <w:sz w:val="22"/>
                <w:szCs w:val="22"/>
              </w:rPr>
              <w:t>Total</w:t>
            </w:r>
          </w:p>
        </w:tc>
      </w:tr>
      <w:tr w:rsidR="00EC0D99" w:rsidRPr="009942AF" w14:paraId="34210BFA" w14:textId="77777777" w:rsidTr="00EC0D99">
        <w:trPr>
          <w:trHeight w:val="1076"/>
        </w:trPr>
        <w:tc>
          <w:tcPr>
            <w:tcW w:w="4027" w:type="dxa"/>
          </w:tcPr>
          <w:p w14:paraId="5AF7610E" w14:textId="77777777" w:rsidR="00EC0D99" w:rsidRPr="009942AF" w:rsidRDefault="00EC0D99" w:rsidP="00EC0D99">
            <w:pPr>
              <w:widowControl w:val="0"/>
              <w:autoSpaceDE w:val="0"/>
              <w:autoSpaceDN w:val="0"/>
              <w:spacing w:before="1" w:line="360" w:lineRule="auto"/>
              <w:ind w:left="66"/>
              <w:jc w:val="both"/>
              <w:rPr>
                <w:rFonts w:ascii="Calibri" w:eastAsia="Arial MT" w:hAnsi="Calibri" w:cs="Calibri"/>
                <w:b/>
                <w:sz w:val="22"/>
                <w:szCs w:val="22"/>
              </w:rPr>
            </w:pPr>
            <w:r w:rsidRPr="009942AF">
              <w:rPr>
                <w:rFonts w:ascii="Calibri" w:eastAsia="Arial MT" w:hAnsi="Calibri" w:cs="Calibri"/>
                <w:b/>
                <w:spacing w:val="-2"/>
                <w:sz w:val="22"/>
                <w:szCs w:val="22"/>
              </w:rPr>
              <w:t>Security Deposits</w:t>
            </w:r>
            <w:r w:rsidRPr="009942AF">
              <w:rPr>
                <w:rFonts w:ascii="Calibri" w:eastAsia="Arial MT" w:hAnsi="Calibri" w:cs="Calibri"/>
                <w:b/>
                <w:spacing w:val="3"/>
                <w:sz w:val="22"/>
                <w:szCs w:val="22"/>
              </w:rPr>
              <w:t xml:space="preserve"> </w:t>
            </w:r>
            <w:r w:rsidRPr="009942AF">
              <w:rPr>
                <w:rFonts w:ascii="Calibri" w:eastAsia="Arial MT" w:hAnsi="Calibri" w:cs="Calibri"/>
                <w:b/>
                <w:spacing w:val="-2"/>
                <w:sz w:val="22"/>
                <w:szCs w:val="22"/>
              </w:rPr>
              <w:t>from</w:t>
            </w:r>
            <w:r w:rsidRPr="009942AF">
              <w:rPr>
                <w:rFonts w:ascii="Calibri" w:eastAsia="Arial MT" w:hAnsi="Calibri" w:cs="Calibri"/>
                <w:b/>
                <w:spacing w:val="-9"/>
                <w:sz w:val="22"/>
                <w:szCs w:val="22"/>
              </w:rPr>
              <w:t xml:space="preserve"> </w:t>
            </w:r>
            <w:r w:rsidRPr="009942AF">
              <w:rPr>
                <w:rFonts w:ascii="Calibri" w:eastAsia="Arial MT" w:hAnsi="Calibri" w:cs="Calibri"/>
                <w:b/>
                <w:spacing w:val="-2"/>
                <w:sz w:val="22"/>
                <w:szCs w:val="22"/>
              </w:rPr>
              <w:t>Consumers</w:t>
            </w:r>
          </w:p>
          <w:p w14:paraId="5F534D4C" w14:textId="77777777" w:rsidR="00EC0D99" w:rsidRPr="009942AF" w:rsidRDefault="00EC0D99" w:rsidP="00EC0D99">
            <w:pPr>
              <w:widowControl w:val="0"/>
              <w:autoSpaceDE w:val="0"/>
              <w:autoSpaceDN w:val="0"/>
              <w:spacing w:line="360" w:lineRule="auto"/>
              <w:ind w:left="66" w:right="107"/>
              <w:jc w:val="both"/>
              <w:rPr>
                <w:rFonts w:ascii="Calibri" w:eastAsia="Arial MT" w:hAnsi="Calibri" w:cs="Calibri"/>
                <w:sz w:val="22"/>
                <w:szCs w:val="22"/>
              </w:rPr>
            </w:pPr>
            <w:r w:rsidRPr="009942AF">
              <w:rPr>
                <w:rFonts w:ascii="Calibri" w:eastAsia="Arial MT" w:hAnsi="Calibri" w:cs="Calibri"/>
                <w:sz w:val="22"/>
                <w:szCs w:val="22"/>
              </w:rPr>
              <w:t>(as appearing in the Approved Opening Balance sheet of DISCOMS</w:t>
            </w:r>
            <w:r w:rsidRPr="009942AF">
              <w:rPr>
                <w:rFonts w:ascii="Calibri" w:eastAsia="Arial MT" w:hAnsi="Calibri" w:cs="Calibri"/>
                <w:spacing w:val="40"/>
                <w:sz w:val="22"/>
                <w:szCs w:val="22"/>
              </w:rPr>
              <w:t xml:space="preserve"> </w:t>
            </w:r>
            <w:r w:rsidRPr="009942AF">
              <w:rPr>
                <w:rFonts w:ascii="Calibri" w:eastAsia="Arial MT" w:hAnsi="Calibri" w:cs="Calibri"/>
                <w:sz w:val="22"/>
                <w:szCs w:val="22"/>
              </w:rPr>
              <w:t xml:space="preserve">as on effective </w:t>
            </w:r>
            <w:r w:rsidRPr="009942AF">
              <w:rPr>
                <w:rFonts w:ascii="Calibri" w:eastAsia="Arial MT" w:hAnsi="Calibri" w:cs="Calibri"/>
                <w:spacing w:val="-2"/>
                <w:sz w:val="22"/>
                <w:szCs w:val="22"/>
              </w:rPr>
              <w:t>date)</w:t>
            </w:r>
          </w:p>
        </w:tc>
        <w:tc>
          <w:tcPr>
            <w:tcW w:w="993" w:type="dxa"/>
          </w:tcPr>
          <w:p w14:paraId="19C93614" w14:textId="77777777" w:rsidR="00EC0D99" w:rsidRPr="009942AF" w:rsidRDefault="00EC0D99" w:rsidP="00EC0D99">
            <w:pPr>
              <w:widowControl w:val="0"/>
              <w:autoSpaceDE w:val="0"/>
              <w:autoSpaceDN w:val="0"/>
              <w:spacing w:before="135" w:line="360" w:lineRule="auto"/>
              <w:jc w:val="center"/>
              <w:rPr>
                <w:rFonts w:ascii="Calibri" w:eastAsia="Arial MT" w:hAnsi="Calibri" w:cs="Calibri"/>
                <w:sz w:val="22"/>
                <w:szCs w:val="22"/>
              </w:rPr>
            </w:pPr>
          </w:p>
          <w:p w14:paraId="572C4C18" w14:textId="77777777" w:rsidR="00EC0D99" w:rsidRPr="009942AF" w:rsidRDefault="00EC0D99" w:rsidP="00EC0D99">
            <w:pPr>
              <w:widowControl w:val="0"/>
              <w:autoSpaceDE w:val="0"/>
              <w:autoSpaceDN w:val="0"/>
              <w:spacing w:line="360" w:lineRule="auto"/>
              <w:ind w:left="27"/>
              <w:jc w:val="center"/>
              <w:rPr>
                <w:rFonts w:ascii="Calibri" w:eastAsia="Arial MT" w:hAnsi="Calibri" w:cs="Calibri"/>
                <w:sz w:val="22"/>
                <w:szCs w:val="22"/>
              </w:rPr>
            </w:pPr>
            <w:r w:rsidRPr="009942AF">
              <w:rPr>
                <w:rFonts w:ascii="Calibri" w:eastAsia="Arial MT" w:hAnsi="Calibri" w:cs="Calibri"/>
                <w:spacing w:val="-2"/>
                <w:sz w:val="22"/>
                <w:szCs w:val="22"/>
              </w:rPr>
              <w:t>734.72</w:t>
            </w:r>
          </w:p>
        </w:tc>
        <w:tc>
          <w:tcPr>
            <w:tcW w:w="1134" w:type="dxa"/>
          </w:tcPr>
          <w:p w14:paraId="597022B6" w14:textId="77777777" w:rsidR="00EC0D99" w:rsidRPr="009942AF" w:rsidRDefault="00EC0D99" w:rsidP="00EC0D99">
            <w:pPr>
              <w:widowControl w:val="0"/>
              <w:autoSpaceDE w:val="0"/>
              <w:autoSpaceDN w:val="0"/>
              <w:spacing w:before="135" w:line="360" w:lineRule="auto"/>
              <w:jc w:val="center"/>
              <w:rPr>
                <w:rFonts w:ascii="Calibri" w:eastAsia="Arial MT" w:hAnsi="Calibri" w:cs="Calibri"/>
                <w:sz w:val="22"/>
                <w:szCs w:val="22"/>
              </w:rPr>
            </w:pPr>
          </w:p>
          <w:p w14:paraId="3DF092D5" w14:textId="77777777" w:rsidR="00EC0D99" w:rsidRPr="009942AF" w:rsidRDefault="00EC0D99" w:rsidP="00EC0D99">
            <w:pPr>
              <w:widowControl w:val="0"/>
              <w:autoSpaceDE w:val="0"/>
              <w:autoSpaceDN w:val="0"/>
              <w:spacing w:line="360" w:lineRule="auto"/>
              <w:ind w:left="26"/>
              <w:jc w:val="center"/>
              <w:rPr>
                <w:rFonts w:ascii="Calibri" w:eastAsia="Arial MT" w:hAnsi="Calibri" w:cs="Calibri"/>
                <w:sz w:val="22"/>
                <w:szCs w:val="22"/>
              </w:rPr>
            </w:pPr>
            <w:r w:rsidRPr="009942AF">
              <w:rPr>
                <w:rFonts w:ascii="Calibri" w:eastAsia="Arial MT" w:hAnsi="Calibri" w:cs="Calibri"/>
                <w:spacing w:val="-2"/>
                <w:sz w:val="22"/>
                <w:szCs w:val="22"/>
              </w:rPr>
              <w:t>752.94</w:t>
            </w:r>
          </w:p>
        </w:tc>
        <w:tc>
          <w:tcPr>
            <w:tcW w:w="992" w:type="dxa"/>
          </w:tcPr>
          <w:p w14:paraId="513DD2BD" w14:textId="77777777" w:rsidR="00EC0D99" w:rsidRPr="009942AF" w:rsidRDefault="00EC0D99" w:rsidP="00EC0D99">
            <w:pPr>
              <w:widowControl w:val="0"/>
              <w:autoSpaceDE w:val="0"/>
              <w:autoSpaceDN w:val="0"/>
              <w:spacing w:before="135" w:line="360" w:lineRule="auto"/>
              <w:jc w:val="center"/>
              <w:rPr>
                <w:rFonts w:ascii="Calibri" w:eastAsia="Arial MT" w:hAnsi="Calibri" w:cs="Calibri"/>
                <w:sz w:val="22"/>
                <w:szCs w:val="22"/>
              </w:rPr>
            </w:pPr>
          </w:p>
          <w:p w14:paraId="4BCA82F0" w14:textId="77777777" w:rsidR="00EC0D99" w:rsidRPr="009942AF" w:rsidRDefault="00EC0D99" w:rsidP="00EC0D99">
            <w:pPr>
              <w:widowControl w:val="0"/>
              <w:autoSpaceDE w:val="0"/>
              <w:autoSpaceDN w:val="0"/>
              <w:spacing w:line="360" w:lineRule="auto"/>
              <w:ind w:left="27"/>
              <w:jc w:val="center"/>
              <w:rPr>
                <w:rFonts w:ascii="Calibri" w:eastAsia="Arial MT" w:hAnsi="Calibri" w:cs="Calibri"/>
                <w:sz w:val="22"/>
                <w:szCs w:val="22"/>
              </w:rPr>
            </w:pPr>
            <w:r w:rsidRPr="009942AF">
              <w:rPr>
                <w:rFonts w:ascii="Calibri" w:eastAsia="Arial MT" w:hAnsi="Calibri" w:cs="Calibri"/>
                <w:spacing w:val="-2"/>
                <w:sz w:val="22"/>
                <w:szCs w:val="22"/>
              </w:rPr>
              <w:t>269.54</w:t>
            </w:r>
          </w:p>
        </w:tc>
        <w:tc>
          <w:tcPr>
            <w:tcW w:w="1000" w:type="dxa"/>
          </w:tcPr>
          <w:p w14:paraId="330E08B4" w14:textId="77777777" w:rsidR="00EC0D99" w:rsidRPr="009942AF" w:rsidRDefault="00EC0D99" w:rsidP="00EC0D99">
            <w:pPr>
              <w:widowControl w:val="0"/>
              <w:autoSpaceDE w:val="0"/>
              <w:autoSpaceDN w:val="0"/>
              <w:spacing w:before="135" w:line="360" w:lineRule="auto"/>
              <w:jc w:val="center"/>
              <w:rPr>
                <w:rFonts w:ascii="Calibri" w:eastAsia="Arial MT" w:hAnsi="Calibri" w:cs="Calibri"/>
                <w:sz w:val="22"/>
                <w:szCs w:val="22"/>
              </w:rPr>
            </w:pPr>
          </w:p>
          <w:p w14:paraId="3C70C139" w14:textId="77777777" w:rsidR="00EC0D99" w:rsidRPr="009942AF" w:rsidRDefault="00EC0D99" w:rsidP="00EC0D99">
            <w:pPr>
              <w:widowControl w:val="0"/>
              <w:autoSpaceDE w:val="0"/>
              <w:autoSpaceDN w:val="0"/>
              <w:spacing w:line="360" w:lineRule="auto"/>
              <w:ind w:left="28" w:right="1"/>
              <w:jc w:val="center"/>
              <w:rPr>
                <w:rFonts w:ascii="Calibri" w:eastAsia="Arial MT" w:hAnsi="Calibri" w:cs="Calibri"/>
                <w:sz w:val="22"/>
                <w:szCs w:val="22"/>
              </w:rPr>
            </w:pPr>
            <w:r w:rsidRPr="009942AF">
              <w:rPr>
                <w:rFonts w:ascii="Calibri" w:eastAsia="Arial MT" w:hAnsi="Calibri" w:cs="Calibri"/>
                <w:spacing w:val="-2"/>
                <w:sz w:val="22"/>
                <w:szCs w:val="22"/>
              </w:rPr>
              <w:t>596.43</w:t>
            </w:r>
          </w:p>
        </w:tc>
        <w:tc>
          <w:tcPr>
            <w:tcW w:w="1195" w:type="dxa"/>
          </w:tcPr>
          <w:p w14:paraId="4CB18DC2" w14:textId="77777777" w:rsidR="00EC0D99" w:rsidRPr="009942AF" w:rsidRDefault="00EC0D99" w:rsidP="00EC0D99">
            <w:pPr>
              <w:widowControl w:val="0"/>
              <w:autoSpaceDE w:val="0"/>
              <w:autoSpaceDN w:val="0"/>
              <w:spacing w:before="135" w:line="360" w:lineRule="auto"/>
              <w:jc w:val="center"/>
              <w:rPr>
                <w:rFonts w:ascii="Calibri" w:eastAsia="Arial MT" w:hAnsi="Calibri" w:cs="Calibri"/>
                <w:sz w:val="22"/>
                <w:szCs w:val="22"/>
              </w:rPr>
            </w:pPr>
          </w:p>
          <w:p w14:paraId="52983473" w14:textId="77777777" w:rsidR="00EC0D99" w:rsidRPr="009942AF" w:rsidRDefault="00EC0D99" w:rsidP="00EC0D99">
            <w:pPr>
              <w:widowControl w:val="0"/>
              <w:autoSpaceDE w:val="0"/>
              <w:autoSpaceDN w:val="0"/>
              <w:spacing w:line="360" w:lineRule="auto"/>
              <w:ind w:left="62" w:right="35"/>
              <w:jc w:val="center"/>
              <w:rPr>
                <w:rFonts w:ascii="Calibri" w:eastAsia="Arial MT" w:hAnsi="Calibri" w:cs="Calibri"/>
                <w:b/>
                <w:sz w:val="22"/>
                <w:szCs w:val="22"/>
              </w:rPr>
            </w:pPr>
            <w:r w:rsidRPr="009942AF">
              <w:rPr>
                <w:rFonts w:ascii="Calibri" w:eastAsia="Arial MT" w:hAnsi="Calibri" w:cs="Calibri"/>
                <w:b/>
                <w:spacing w:val="-2"/>
                <w:sz w:val="22"/>
                <w:szCs w:val="22"/>
              </w:rPr>
              <w:t>2353.63</w:t>
            </w:r>
          </w:p>
        </w:tc>
      </w:tr>
      <w:tr w:rsidR="00EC0D99" w:rsidRPr="009942AF" w14:paraId="3F81505C" w14:textId="77777777" w:rsidTr="00EC0D99">
        <w:trPr>
          <w:trHeight w:val="802"/>
        </w:trPr>
        <w:tc>
          <w:tcPr>
            <w:tcW w:w="4027" w:type="dxa"/>
          </w:tcPr>
          <w:p w14:paraId="72D53462" w14:textId="77777777" w:rsidR="00EC0D99" w:rsidRPr="009942AF" w:rsidRDefault="00EC0D99" w:rsidP="00EC0D99">
            <w:pPr>
              <w:widowControl w:val="0"/>
              <w:autoSpaceDE w:val="0"/>
              <w:autoSpaceDN w:val="0"/>
              <w:spacing w:line="360" w:lineRule="auto"/>
              <w:ind w:left="66"/>
              <w:rPr>
                <w:rFonts w:ascii="Calibri" w:eastAsia="Arial MT" w:hAnsi="Calibri" w:cs="Calibri"/>
                <w:sz w:val="22"/>
                <w:szCs w:val="22"/>
              </w:rPr>
            </w:pPr>
            <w:r w:rsidRPr="009942AF">
              <w:rPr>
                <w:rFonts w:ascii="Calibri" w:eastAsia="Arial MT" w:hAnsi="Calibri" w:cs="Calibri"/>
                <w:b/>
                <w:sz w:val="22"/>
                <w:szCs w:val="22"/>
              </w:rPr>
              <w:t>Security</w:t>
            </w:r>
            <w:r w:rsidRPr="009942AF">
              <w:rPr>
                <w:rFonts w:ascii="Calibri" w:eastAsia="Arial MT" w:hAnsi="Calibri" w:cs="Calibri"/>
                <w:b/>
                <w:spacing w:val="80"/>
                <w:sz w:val="22"/>
                <w:szCs w:val="22"/>
              </w:rPr>
              <w:t xml:space="preserve"> </w:t>
            </w:r>
            <w:r w:rsidRPr="009942AF">
              <w:rPr>
                <w:rFonts w:ascii="Calibri" w:eastAsia="Arial MT" w:hAnsi="Calibri" w:cs="Calibri"/>
                <w:b/>
                <w:sz w:val="22"/>
                <w:szCs w:val="22"/>
              </w:rPr>
              <w:t>Deposits</w:t>
            </w:r>
            <w:r w:rsidRPr="009942AF">
              <w:rPr>
                <w:rFonts w:ascii="Calibri" w:eastAsia="Arial MT" w:hAnsi="Calibri" w:cs="Calibri"/>
                <w:b/>
                <w:spacing w:val="80"/>
                <w:sz w:val="22"/>
                <w:szCs w:val="22"/>
              </w:rPr>
              <w:t xml:space="preserve"> </w:t>
            </w:r>
            <w:r w:rsidRPr="009942AF">
              <w:rPr>
                <w:rFonts w:ascii="Calibri" w:eastAsia="Arial MT" w:hAnsi="Calibri" w:cs="Calibri"/>
                <w:b/>
                <w:sz w:val="22"/>
                <w:szCs w:val="22"/>
              </w:rPr>
              <w:t>from</w:t>
            </w:r>
            <w:r w:rsidRPr="009942AF">
              <w:rPr>
                <w:rFonts w:ascii="Calibri" w:eastAsia="Arial MT" w:hAnsi="Calibri" w:cs="Calibri"/>
                <w:b/>
                <w:spacing w:val="80"/>
                <w:sz w:val="22"/>
                <w:szCs w:val="22"/>
              </w:rPr>
              <w:t xml:space="preserve"> </w:t>
            </w:r>
            <w:r w:rsidRPr="009942AF">
              <w:rPr>
                <w:rFonts w:ascii="Calibri" w:eastAsia="Arial MT" w:hAnsi="Calibri" w:cs="Calibri"/>
                <w:b/>
                <w:sz w:val="22"/>
                <w:szCs w:val="22"/>
              </w:rPr>
              <w:t>Consumer</w:t>
            </w:r>
            <w:r w:rsidRPr="009942AF">
              <w:rPr>
                <w:rFonts w:ascii="Calibri" w:eastAsia="Arial MT" w:hAnsi="Calibri" w:cs="Calibri"/>
                <w:b/>
                <w:spacing w:val="80"/>
                <w:sz w:val="22"/>
                <w:szCs w:val="22"/>
              </w:rPr>
              <w:t xml:space="preserve"> </w:t>
            </w:r>
            <w:r w:rsidRPr="009942AF">
              <w:rPr>
                <w:rFonts w:ascii="Calibri" w:eastAsia="Arial MT" w:hAnsi="Calibri" w:cs="Calibri"/>
                <w:b/>
                <w:sz w:val="22"/>
                <w:szCs w:val="22"/>
              </w:rPr>
              <w:t>as</w:t>
            </w:r>
            <w:r w:rsidRPr="009942AF">
              <w:rPr>
                <w:rFonts w:ascii="Calibri" w:eastAsia="Arial MT" w:hAnsi="Calibri" w:cs="Calibri"/>
                <w:b/>
                <w:spacing w:val="80"/>
                <w:sz w:val="22"/>
                <w:szCs w:val="22"/>
              </w:rPr>
              <w:t xml:space="preserve"> </w:t>
            </w:r>
            <w:r w:rsidRPr="009942AF">
              <w:rPr>
                <w:rFonts w:ascii="Calibri" w:eastAsia="Arial MT" w:hAnsi="Calibri" w:cs="Calibri"/>
                <w:b/>
                <w:sz w:val="22"/>
                <w:szCs w:val="22"/>
              </w:rPr>
              <w:t>per Consumer</w:t>
            </w:r>
            <w:r w:rsidRPr="009942AF">
              <w:rPr>
                <w:rFonts w:ascii="Calibri" w:eastAsia="Arial MT" w:hAnsi="Calibri" w:cs="Calibri"/>
                <w:b/>
                <w:spacing w:val="-4"/>
                <w:sz w:val="22"/>
                <w:szCs w:val="22"/>
              </w:rPr>
              <w:t xml:space="preserve"> </w:t>
            </w:r>
            <w:r w:rsidRPr="009942AF">
              <w:rPr>
                <w:rFonts w:ascii="Calibri" w:eastAsia="Arial MT" w:hAnsi="Calibri" w:cs="Calibri"/>
                <w:b/>
                <w:sz w:val="22"/>
                <w:szCs w:val="22"/>
              </w:rPr>
              <w:t>Ledger</w:t>
            </w:r>
            <w:r w:rsidRPr="009942AF">
              <w:rPr>
                <w:rFonts w:ascii="Calibri" w:eastAsia="Arial MT" w:hAnsi="Calibri" w:cs="Calibri"/>
                <w:b/>
                <w:spacing w:val="8"/>
                <w:sz w:val="22"/>
                <w:szCs w:val="22"/>
              </w:rPr>
              <w:t xml:space="preserve"> </w:t>
            </w:r>
            <w:r w:rsidRPr="009942AF">
              <w:rPr>
                <w:rFonts w:ascii="Calibri" w:eastAsia="Arial MT" w:hAnsi="Calibri" w:cs="Calibri"/>
                <w:sz w:val="22"/>
                <w:szCs w:val="22"/>
              </w:rPr>
              <w:t>(as</w:t>
            </w:r>
            <w:r w:rsidRPr="009942AF">
              <w:rPr>
                <w:rFonts w:ascii="Calibri" w:eastAsia="Arial MT" w:hAnsi="Calibri" w:cs="Calibri"/>
                <w:spacing w:val="9"/>
                <w:sz w:val="22"/>
                <w:szCs w:val="22"/>
              </w:rPr>
              <w:t xml:space="preserve"> </w:t>
            </w:r>
            <w:r w:rsidRPr="009942AF">
              <w:rPr>
                <w:rFonts w:ascii="Calibri" w:eastAsia="Arial MT" w:hAnsi="Calibri" w:cs="Calibri"/>
                <w:sz w:val="22"/>
                <w:szCs w:val="22"/>
              </w:rPr>
              <w:t>mentioned</w:t>
            </w:r>
            <w:r w:rsidRPr="009942AF">
              <w:rPr>
                <w:rFonts w:ascii="Calibri" w:eastAsia="Arial MT" w:hAnsi="Calibri" w:cs="Calibri"/>
                <w:spacing w:val="11"/>
                <w:sz w:val="22"/>
                <w:szCs w:val="22"/>
              </w:rPr>
              <w:t xml:space="preserve"> </w:t>
            </w:r>
            <w:r w:rsidRPr="009942AF">
              <w:rPr>
                <w:rFonts w:ascii="Calibri" w:eastAsia="Arial MT" w:hAnsi="Calibri" w:cs="Calibri"/>
                <w:sz w:val="22"/>
                <w:szCs w:val="22"/>
              </w:rPr>
              <w:t>in Carved</w:t>
            </w:r>
            <w:r w:rsidRPr="009942AF">
              <w:rPr>
                <w:rFonts w:ascii="Calibri" w:eastAsia="Arial MT" w:hAnsi="Calibri" w:cs="Calibri"/>
                <w:spacing w:val="-6"/>
                <w:sz w:val="22"/>
                <w:szCs w:val="22"/>
              </w:rPr>
              <w:t xml:space="preserve"> </w:t>
            </w:r>
            <w:r w:rsidRPr="009942AF">
              <w:rPr>
                <w:rFonts w:ascii="Calibri" w:eastAsia="Arial MT" w:hAnsi="Calibri" w:cs="Calibri"/>
                <w:spacing w:val="-5"/>
                <w:sz w:val="22"/>
                <w:szCs w:val="22"/>
              </w:rPr>
              <w:t xml:space="preserve">out </w:t>
            </w:r>
            <w:r w:rsidRPr="009942AF">
              <w:rPr>
                <w:rFonts w:ascii="Calibri" w:eastAsia="Arial MT" w:hAnsi="Calibri" w:cs="Calibri"/>
                <w:sz w:val="22"/>
                <w:szCs w:val="22"/>
              </w:rPr>
              <w:t>Order</w:t>
            </w:r>
            <w:r w:rsidRPr="009942AF">
              <w:rPr>
                <w:rFonts w:ascii="Calibri" w:eastAsia="Arial MT" w:hAnsi="Calibri" w:cs="Calibri"/>
                <w:spacing w:val="-13"/>
                <w:sz w:val="22"/>
                <w:szCs w:val="22"/>
              </w:rPr>
              <w:t xml:space="preserve"> </w:t>
            </w:r>
            <w:r w:rsidRPr="009942AF">
              <w:rPr>
                <w:rFonts w:ascii="Calibri" w:eastAsia="Arial MT" w:hAnsi="Calibri" w:cs="Calibri"/>
                <w:sz w:val="22"/>
                <w:szCs w:val="22"/>
              </w:rPr>
              <w:t>of</w:t>
            </w:r>
            <w:r w:rsidRPr="009942AF">
              <w:rPr>
                <w:rFonts w:ascii="Calibri" w:eastAsia="Arial MT" w:hAnsi="Calibri" w:cs="Calibri"/>
                <w:spacing w:val="-2"/>
                <w:sz w:val="22"/>
                <w:szCs w:val="22"/>
              </w:rPr>
              <w:t xml:space="preserve"> </w:t>
            </w:r>
            <w:r w:rsidRPr="009942AF">
              <w:rPr>
                <w:rFonts w:ascii="Calibri" w:eastAsia="Arial MT" w:hAnsi="Calibri" w:cs="Calibri"/>
                <w:sz w:val="22"/>
                <w:szCs w:val="22"/>
              </w:rPr>
              <w:t>respective</w:t>
            </w:r>
            <w:r w:rsidRPr="009942AF">
              <w:rPr>
                <w:rFonts w:ascii="Calibri" w:eastAsia="Arial MT" w:hAnsi="Calibri" w:cs="Calibri"/>
                <w:spacing w:val="-3"/>
                <w:sz w:val="22"/>
                <w:szCs w:val="22"/>
              </w:rPr>
              <w:t xml:space="preserve"> </w:t>
            </w:r>
            <w:r w:rsidRPr="009942AF">
              <w:rPr>
                <w:rFonts w:ascii="Calibri" w:eastAsia="Arial MT" w:hAnsi="Calibri" w:cs="Calibri"/>
                <w:spacing w:val="-2"/>
                <w:sz w:val="22"/>
                <w:szCs w:val="22"/>
              </w:rPr>
              <w:t>DISCOMs)</w:t>
            </w:r>
          </w:p>
        </w:tc>
        <w:tc>
          <w:tcPr>
            <w:tcW w:w="993" w:type="dxa"/>
          </w:tcPr>
          <w:p w14:paraId="78478723" w14:textId="77777777" w:rsidR="00EC0D99" w:rsidRPr="009942AF" w:rsidRDefault="00EC0D99" w:rsidP="00EC0D99">
            <w:pPr>
              <w:widowControl w:val="0"/>
              <w:autoSpaceDE w:val="0"/>
              <w:autoSpaceDN w:val="0"/>
              <w:spacing w:before="264" w:line="360" w:lineRule="auto"/>
              <w:ind w:left="27"/>
              <w:jc w:val="center"/>
              <w:rPr>
                <w:rFonts w:ascii="Calibri" w:eastAsia="Arial MT" w:hAnsi="Calibri" w:cs="Calibri"/>
                <w:sz w:val="22"/>
                <w:szCs w:val="22"/>
              </w:rPr>
            </w:pPr>
            <w:r w:rsidRPr="009942AF">
              <w:rPr>
                <w:rFonts w:ascii="Calibri" w:eastAsia="Arial MT" w:hAnsi="Calibri" w:cs="Calibri"/>
                <w:spacing w:val="-2"/>
                <w:sz w:val="22"/>
                <w:szCs w:val="22"/>
              </w:rPr>
              <w:t>660.33</w:t>
            </w:r>
          </w:p>
        </w:tc>
        <w:tc>
          <w:tcPr>
            <w:tcW w:w="1134" w:type="dxa"/>
          </w:tcPr>
          <w:p w14:paraId="6B184D83" w14:textId="77777777" w:rsidR="00EC0D99" w:rsidRPr="009942AF" w:rsidRDefault="00EC0D99" w:rsidP="00EC0D99">
            <w:pPr>
              <w:widowControl w:val="0"/>
              <w:autoSpaceDE w:val="0"/>
              <w:autoSpaceDN w:val="0"/>
              <w:spacing w:before="264" w:line="360" w:lineRule="auto"/>
              <w:ind w:left="26"/>
              <w:jc w:val="center"/>
              <w:rPr>
                <w:rFonts w:ascii="Calibri" w:eastAsia="Arial MT" w:hAnsi="Calibri" w:cs="Calibri"/>
                <w:sz w:val="22"/>
                <w:szCs w:val="22"/>
              </w:rPr>
            </w:pPr>
            <w:r w:rsidRPr="009942AF">
              <w:rPr>
                <w:rFonts w:ascii="Calibri" w:eastAsia="Arial MT" w:hAnsi="Calibri" w:cs="Calibri"/>
                <w:spacing w:val="-2"/>
                <w:sz w:val="22"/>
                <w:szCs w:val="22"/>
              </w:rPr>
              <w:t>760.35</w:t>
            </w:r>
          </w:p>
        </w:tc>
        <w:tc>
          <w:tcPr>
            <w:tcW w:w="992" w:type="dxa"/>
          </w:tcPr>
          <w:p w14:paraId="1E6287EA" w14:textId="77777777" w:rsidR="00EC0D99" w:rsidRPr="009942AF" w:rsidRDefault="00EC0D99" w:rsidP="00EC0D99">
            <w:pPr>
              <w:widowControl w:val="0"/>
              <w:autoSpaceDE w:val="0"/>
              <w:autoSpaceDN w:val="0"/>
              <w:spacing w:before="264" w:line="360" w:lineRule="auto"/>
              <w:ind w:left="27"/>
              <w:jc w:val="center"/>
              <w:rPr>
                <w:rFonts w:ascii="Calibri" w:eastAsia="Arial MT" w:hAnsi="Calibri" w:cs="Calibri"/>
                <w:sz w:val="22"/>
                <w:szCs w:val="22"/>
              </w:rPr>
            </w:pPr>
            <w:r w:rsidRPr="009942AF">
              <w:rPr>
                <w:rFonts w:ascii="Calibri" w:eastAsia="Arial MT" w:hAnsi="Calibri" w:cs="Calibri"/>
                <w:spacing w:val="-2"/>
                <w:sz w:val="22"/>
                <w:szCs w:val="22"/>
              </w:rPr>
              <w:t>270.14</w:t>
            </w:r>
          </w:p>
        </w:tc>
        <w:tc>
          <w:tcPr>
            <w:tcW w:w="1000" w:type="dxa"/>
          </w:tcPr>
          <w:p w14:paraId="4504D015" w14:textId="77777777" w:rsidR="00EC0D99" w:rsidRPr="009942AF" w:rsidRDefault="00EC0D99" w:rsidP="00EC0D99">
            <w:pPr>
              <w:widowControl w:val="0"/>
              <w:autoSpaceDE w:val="0"/>
              <w:autoSpaceDN w:val="0"/>
              <w:spacing w:before="264" w:line="360" w:lineRule="auto"/>
              <w:ind w:left="28" w:right="1"/>
              <w:jc w:val="center"/>
              <w:rPr>
                <w:rFonts w:ascii="Calibri" w:eastAsia="Arial MT" w:hAnsi="Calibri" w:cs="Calibri"/>
                <w:sz w:val="22"/>
                <w:szCs w:val="22"/>
              </w:rPr>
            </w:pPr>
            <w:r w:rsidRPr="009942AF">
              <w:rPr>
                <w:rFonts w:ascii="Calibri" w:eastAsia="Arial MT" w:hAnsi="Calibri" w:cs="Calibri"/>
                <w:spacing w:val="-2"/>
                <w:sz w:val="22"/>
                <w:szCs w:val="22"/>
              </w:rPr>
              <w:t>577.07</w:t>
            </w:r>
          </w:p>
        </w:tc>
        <w:tc>
          <w:tcPr>
            <w:tcW w:w="1195" w:type="dxa"/>
          </w:tcPr>
          <w:p w14:paraId="64AF98AF" w14:textId="77777777" w:rsidR="00EC0D99" w:rsidRPr="009942AF" w:rsidRDefault="00EC0D99" w:rsidP="00EC0D99">
            <w:pPr>
              <w:widowControl w:val="0"/>
              <w:autoSpaceDE w:val="0"/>
              <w:autoSpaceDN w:val="0"/>
              <w:spacing w:before="264" w:line="360" w:lineRule="auto"/>
              <w:ind w:left="62" w:right="35"/>
              <w:jc w:val="center"/>
              <w:rPr>
                <w:rFonts w:ascii="Calibri" w:eastAsia="Arial MT" w:hAnsi="Calibri" w:cs="Calibri"/>
                <w:b/>
                <w:sz w:val="22"/>
                <w:szCs w:val="22"/>
              </w:rPr>
            </w:pPr>
            <w:r w:rsidRPr="009942AF">
              <w:rPr>
                <w:rFonts w:ascii="Calibri" w:eastAsia="Arial MT" w:hAnsi="Calibri" w:cs="Calibri"/>
                <w:b/>
                <w:spacing w:val="-2"/>
                <w:sz w:val="22"/>
                <w:szCs w:val="22"/>
              </w:rPr>
              <w:t>2267.89</w:t>
            </w:r>
          </w:p>
        </w:tc>
      </w:tr>
      <w:tr w:rsidR="00EC0D99" w:rsidRPr="009942AF" w14:paraId="05744883" w14:textId="77777777" w:rsidTr="00EC0D99">
        <w:trPr>
          <w:trHeight w:val="805"/>
        </w:trPr>
        <w:tc>
          <w:tcPr>
            <w:tcW w:w="4027" w:type="dxa"/>
          </w:tcPr>
          <w:p w14:paraId="5EF4AAA5" w14:textId="77777777" w:rsidR="00EC0D99" w:rsidRPr="009942AF" w:rsidRDefault="00EC0D99" w:rsidP="00EC0D99">
            <w:pPr>
              <w:widowControl w:val="0"/>
              <w:autoSpaceDE w:val="0"/>
              <w:autoSpaceDN w:val="0"/>
              <w:spacing w:line="360" w:lineRule="auto"/>
              <w:ind w:left="66"/>
              <w:rPr>
                <w:rFonts w:ascii="Calibri" w:eastAsia="Arial MT" w:hAnsi="Calibri" w:cs="Calibri"/>
                <w:sz w:val="22"/>
                <w:szCs w:val="22"/>
              </w:rPr>
            </w:pPr>
            <w:r w:rsidRPr="009942AF">
              <w:rPr>
                <w:rFonts w:ascii="Calibri" w:eastAsia="Arial MT" w:hAnsi="Calibri" w:cs="Calibri"/>
                <w:b/>
                <w:sz w:val="22"/>
                <w:szCs w:val="22"/>
              </w:rPr>
              <w:t>Fixed</w:t>
            </w:r>
            <w:r w:rsidRPr="009942AF">
              <w:rPr>
                <w:rFonts w:ascii="Calibri" w:eastAsia="Arial MT" w:hAnsi="Calibri" w:cs="Calibri"/>
                <w:b/>
                <w:spacing w:val="80"/>
                <w:sz w:val="22"/>
                <w:szCs w:val="22"/>
              </w:rPr>
              <w:t xml:space="preserve"> </w:t>
            </w:r>
            <w:r w:rsidRPr="009942AF">
              <w:rPr>
                <w:rFonts w:ascii="Calibri" w:eastAsia="Arial MT" w:hAnsi="Calibri" w:cs="Calibri"/>
                <w:b/>
                <w:sz w:val="22"/>
                <w:szCs w:val="22"/>
              </w:rPr>
              <w:t>Deposits</w:t>
            </w:r>
            <w:r w:rsidRPr="009942AF">
              <w:rPr>
                <w:rFonts w:ascii="Calibri" w:eastAsia="Arial MT" w:hAnsi="Calibri" w:cs="Calibri"/>
                <w:b/>
                <w:spacing w:val="80"/>
                <w:sz w:val="22"/>
                <w:szCs w:val="22"/>
              </w:rPr>
              <w:t xml:space="preserve"> </w:t>
            </w:r>
            <w:r w:rsidRPr="009942AF">
              <w:rPr>
                <w:rFonts w:ascii="Calibri" w:eastAsia="Arial MT" w:hAnsi="Calibri" w:cs="Calibri"/>
                <w:sz w:val="22"/>
                <w:szCs w:val="22"/>
              </w:rPr>
              <w:t>against</w:t>
            </w:r>
            <w:r w:rsidRPr="009942AF">
              <w:rPr>
                <w:rFonts w:ascii="Calibri" w:eastAsia="Arial MT" w:hAnsi="Calibri" w:cs="Calibri"/>
                <w:spacing w:val="80"/>
                <w:sz w:val="22"/>
                <w:szCs w:val="22"/>
              </w:rPr>
              <w:t xml:space="preserve"> </w:t>
            </w:r>
            <w:r w:rsidRPr="009942AF">
              <w:rPr>
                <w:rFonts w:ascii="Calibri" w:eastAsia="Arial MT" w:hAnsi="Calibri" w:cs="Calibri"/>
                <w:sz w:val="22"/>
                <w:szCs w:val="22"/>
              </w:rPr>
              <w:t>Consumer</w:t>
            </w:r>
            <w:r w:rsidRPr="009942AF">
              <w:rPr>
                <w:rFonts w:ascii="Calibri" w:eastAsia="Arial MT" w:hAnsi="Calibri" w:cs="Calibri"/>
                <w:spacing w:val="80"/>
                <w:sz w:val="22"/>
                <w:szCs w:val="22"/>
              </w:rPr>
              <w:t xml:space="preserve"> </w:t>
            </w:r>
            <w:r w:rsidRPr="009942AF">
              <w:rPr>
                <w:rFonts w:ascii="Calibri" w:eastAsia="Arial MT" w:hAnsi="Calibri" w:cs="Calibri"/>
                <w:sz w:val="22"/>
                <w:szCs w:val="22"/>
              </w:rPr>
              <w:t>Security Deposits</w:t>
            </w:r>
            <w:r w:rsidRPr="009942AF">
              <w:rPr>
                <w:rFonts w:ascii="Calibri" w:eastAsia="Arial MT" w:hAnsi="Calibri" w:cs="Calibri"/>
                <w:spacing w:val="27"/>
                <w:sz w:val="22"/>
                <w:szCs w:val="22"/>
              </w:rPr>
              <w:t xml:space="preserve"> </w:t>
            </w:r>
            <w:r w:rsidRPr="009942AF">
              <w:rPr>
                <w:rFonts w:ascii="Calibri" w:eastAsia="Arial MT" w:hAnsi="Calibri" w:cs="Calibri"/>
                <w:sz w:val="22"/>
                <w:szCs w:val="22"/>
              </w:rPr>
              <w:t>as</w:t>
            </w:r>
            <w:r w:rsidRPr="009942AF">
              <w:rPr>
                <w:rFonts w:ascii="Calibri" w:eastAsia="Arial MT" w:hAnsi="Calibri" w:cs="Calibri"/>
                <w:spacing w:val="27"/>
                <w:sz w:val="22"/>
                <w:szCs w:val="22"/>
              </w:rPr>
              <w:t xml:space="preserve"> </w:t>
            </w:r>
            <w:r w:rsidRPr="009942AF">
              <w:rPr>
                <w:rFonts w:ascii="Calibri" w:eastAsia="Arial MT" w:hAnsi="Calibri" w:cs="Calibri"/>
                <w:sz w:val="22"/>
                <w:szCs w:val="22"/>
              </w:rPr>
              <w:t>on</w:t>
            </w:r>
            <w:r w:rsidRPr="009942AF">
              <w:rPr>
                <w:rFonts w:ascii="Calibri" w:eastAsia="Arial MT" w:hAnsi="Calibri" w:cs="Calibri"/>
                <w:spacing w:val="28"/>
                <w:sz w:val="22"/>
                <w:szCs w:val="22"/>
              </w:rPr>
              <w:t xml:space="preserve"> </w:t>
            </w:r>
            <w:r w:rsidRPr="009942AF">
              <w:rPr>
                <w:rFonts w:ascii="Calibri" w:eastAsia="Arial MT" w:hAnsi="Calibri" w:cs="Calibri"/>
                <w:sz w:val="22"/>
                <w:szCs w:val="22"/>
              </w:rPr>
              <w:t>effective</w:t>
            </w:r>
            <w:r w:rsidRPr="009942AF">
              <w:rPr>
                <w:rFonts w:ascii="Calibri" w:eastAsia="Arial MT" w:hAnsi="Calibri" w:cs="Calibri"/>
                <w:spacing w:val="46"/>
                <w:sz w:val="22"/>
                <w:szCs w:val="22"/>
              </w:rPr>
              <w:t xml:space="preserve"> </w:t>
            </w:r>
            <w:r w:rsidRPr="009942AF">
              <w:rPr>
                <w:rFonts w:ascii="Calibri" w:eastAsia="Arial MT" w:hAnsi="Calibri" w:cs="Calibri"/>
                <w:sz w:val="22"/>
                <w:szCs w:val="22"/>
              </w:rPr>
              <w:t>date</w:t>
            </w:r>
            <w:r w:rsidRPr="009942AF">
              <w:rPr>
                <w:rFonts w:ascii="Calibri" w:eastAsia="Arial MT" w:hAnsi="Calibri" w:cs="Calibri"/>
                <w:spacing w:val="17"/>
                <w:sz w:val="22"/>
                <w:szCs w:val="22"/>
              </w:rPr>
              <w:t xml:space="preserve"> </w:t>
            </w:r>
            <w:r w:rsidRPr="009942AF">
              <w:rPr>
                <w:rFonts w:ascii="Calibri" w:eastAsia="Arial MT" w:hAnsi="Calibri" w:cs="Calibri"/>
                <w:sz w:val="22"/>
                <w:szCs w:val="22"/>
              </w:rPr>
              <w:t>(as</w:t>
            </w:r>
            <w:r w:rsidRPr="009942AF">
              <w:rPr>
                <w:rFonts w:ascii="Calibri" w:eastAsia="Arial MT" w:hAnsi="Calibri" w:cs="Calibri"/>
                <w:spacing w:val="20"/>
                <w:sz w:val="22"/>
                <w:szCs w:val="22"/>
              </w:rPr>
              <w:t xml:space="preserve"> </w:t>
            </w:r>
            <w:r w:rsidRPr="009942AF">
              <w:rPr>
                <w:rFonts w:ascii="Calibri" w:eastAsia="Arial MT" w:hAnsi="Calibri" w:cs="Calibri"/>
                <w:sz w:val="22"/>
                <w:szCs w:val="22"/>
              </w:rPr>
              <w:t>provided</w:t>
            </w:r>
            <w:r w:rsidRPr="009942AF">
              <w:rPr>
                <w:rFonts w:ascii="Calibri" w:eastAsia="Arial MT" w:hAnsi="Calibri" w:cs="Calibri"/>
                <w:spacing w:val="21"/>
                <w:sz w:val="22"/>
                <w:szCs w:val="22"/>
              </w:rPr>
              <w:t xml:space="preserve"> </w:t>
            </w:r>
            <w:r w:rsidRPr="009942AF">
              <w:rPr>
                <w:rFonts w:ascii="Calibri" w:eastAsia="Arial MT" w:hAnsi="Calibri" w:cs="Calibri"/>
                <w:spacing w:val="-5"/>
                <w:sz w:val="22"/>
                <w:szCs w:val="22"/>
              </w:rPr>
              <w:t xml:space="preserve">in </w:t>
            </w:r>
            <w:r w:rsidRPr="009942AF">
              <w:rPr>
                <w:rFonts w:ascii="Calibri" w:eastAsia="Arial MT" w:hAnsi="Calibri" w:cs="Calibri"/>
                <w:sz w:val="22"/>
                <w:szCs w:val="22"/>
              </w:rPr>
              <w:t>the</w:t>
            </w:r>
            <w:r w:rsidRPr="009942AF">
              <w:rPr>
                <w:rFonts w:ascii="Calibri" w:eastAsia="Arial MT" w:hAnsi="Calibri" w:cs="Calibri"/>
                <w:spacing w:val="13"/>
                <w:sz w:val="22"/>
                <w:szCs w:val="22"/>
              </w:rPr>
              <w:t xml:space="preserve"> </w:t>
            </w:r>
            <w:r w:rsidRPr="009942AF">
              <w:rPr>
                <w:rFonts w:ascii="Calibri" w:eastAsia="Arial MT" w:hAnsi="Calibri" w:cs="Calibri"/>
                <w:sz w:val="22"/>
                <w:szCs w:val="22"/>
              </w:rPr>
              <w:t>Carved-out</w:t>
            </w:r>
            <w:r w:rsidRPr="009942AF">
              <w:rPr>
                <w:rFonts w:ascii="Calibri" w:eastAsia="Arial MT" w:hAnsi="Calibri" w:cs="Calibri"/>
                <w:spacing w:val="4"/>
                <w:sz w:val="22"/>
                <w:szCs w:val="22"/>
              </w:rPr>
              <w:t xml:space="preserve"> </w:t>
            </w:r>
            <w:r w:rsidRPr="009942AF">
              <w:rPr>
                <w:rFonts w:ascii="Calibri" w:eastAsia="Arial MT" w:hAnsi="Calibri" w:cs="Calibri"/>
                <w:spacing w:val="-2"/>
                <w:sz w:val="22"/>
                <w:szCs w:val="22"/>
              </w:rPr>
              <w:t>Order)</w:t>
            </w:r>
          </w:p>
        </w:tc>
        <w:tc>
          <w:tcPr>
            <w:tcW w:w="993" w:type="dxa"/>
          </w:tcPr>
          <w:p w14:paraId="6B4351E2" w14:textId="77777777" w:rsidR="00EC0D99" w:rsidRPr="009942AF" w:rsidRDefault="00EC0D99" w:rsidP="00EC0D99">
            <w:pPr>
              <w:widowControl w:val="0"/>
              <w:autoSpaceDE w:val="0"/>
              <w:autoSpaceDN w:val="0"/>
              <w:spacing w:before="267" w:line="360" w:lineRule="auto"/>
              <w:ind w:left="27"/>
              <w:jc w:val="center"/>
              <w:rPr>
                <w:rFonts w:ascii="Calibri" w:eastAsia="Arial MT" w:hAnsi="Calibri" w:cs="Calibri"/>
                <w:sz w:val="22"/>
                <w:szCs w:val="22"/>
              </w:rPr>
            </w:pPr>
            <w:r w:rsidRPr="009942AF">
              <w:rPr>
                <w:rFonts w:ascii="Calibri" w:eastAsia="Arial MT" w:hAnsi="Calibri" w:cs="Calibri"/>
                <w:spacing w:val="-2"/>
                <w:sz w:val="22"/>
                <w:szCs w:val="22"/>
              </w:rPr>
              <w:t>307.58</w:t>
            </w:r>
          </w:p>
        </w:tc>
        <w:tc>
          <w:tcPr>
            <w:tcW w:w="1134" w:type="dxa"/>
          </w:tcPr>
          <w:p w14:paraId="10A9320E" w14:textId="77777777" w:rsidR="00EC0D99" w:rsidRPr="009942AF" w:rsidRDefault="00EC0D99" w:rsidP="00EC0D99">
            <w:pPr>
              <w:widowControl w:val="0"/>
              <w:autoSpaceDE w:val="0"/>
              <w:autoSpaceDN w:val="0"/>
              <w:spacing w:before="267" w:line="360" w:lineRule="auto"/>
              <w:ind w:left="26"/>
              <w:jc w:val="center"/>
              <w:rPr>
                <w:rFonts w:ascii="Calibri" w:eastAsia="Arial MT" w:hAnsi="Calibri" w:cs="Calibri"/>
                <w:sz w:val="22"/>
                <w:szCs w:val="22"/>
              </w:rPr>
            </w:pPr>
            <w:r w:rsidRPr="009942AF">
              <w:rPr>
                <w:rFonts w:ascii="Calibri" w:eastAsia="Arial MT" w:hAnsi="Calibri" w:cs="Calibri"/>
                <w:spacing w:val="-2"/>
                <w:sz w:val="22"/>
                <w:szCs w:val="22"/>
              </w:rPr>
              <w:t>800.25</w:t>
            </w:r>
          </w:p>
        </w:tc>
        <w:tc>
          <w:tcPr>
            <w:tcW w:w="992" w:type="dxa"/>
          </w:tcPr>
          <w:p w14:paraId="45F20CBE" w14:textId="77777777" w:rsidR="00EC0D99" w:rsidRPr="009942AF" w:rsidRDefault="00EC0D99" w:rsidP="00EC0D99">
            <w:pPr>
              <w:widowControl w:val="0"/>
              <w:autoSpaceDE w:val="0"/>
              <w:autoSpaceDN w:val="0"/>
              <w:spacing w:before="267" w:line="360" w:lineRule="auto"/>
              <w:ind w:left="27"/>
              <w:jc w:val="center"/>
              <w:rPr>
                <w:rFonts w:ascii="Calibri" w:eastAsia="Arial MT" w:hAnsi="Calibri" w:cs="Calibri"/>
                <w:sz w:val="22"/>
                <w:szCs w:val="22"/>
              </w:rPr>
            </w:pPr>
            <w:r w:rsidRPr="009942AF">
              <w:rPr>
                <w:rFonts w:ascii="Calibri" w:eastAsia="Arial MT" w:hAnsi="Calibri" w:cs="Calibri"/>
                <w:spacing w:val="-2"/>
                <w:sz w:val="22"/>
                <w:szCs w:val="22"/>
              </w:rPr>
              <w:t>168.48</w:t>
            </w:r>
          </w:p>
        </w:tc>
        <w:tc>
          <w:tcPr>
            <w:tcW w:w="1000" w:type="dxa"/>
          </w:tcPr>
          <w:p w14:paraId="71DF9DB3" w14:textId="77777777" w:rsidR="00EC0D99" w:rsidRPr="009942AF" w:rsidRDefault="00EC0D99" w:rsidP="00EC0D99">
            <w:pPr>
              <w:widowControl w:val="0"/>
              <w:autoSpaceDE w:val="0"/>
              <w:autoSpaceDN w:val="0"/>
              <w:spacing w:before="267" w:line="360" w:lineRule="auto"/>
              <w:ind w:left="28" w:right="1"/>
              <w:jc w:val="center"/>
              <w:rPr>
                <w:rFonts w:ascii="Calibri" w:eastAsia="Arial MT" w:hAnsi="Calibri" w:cs="Calibri"/>
                <w:sz w:val="22"/>
                <w:szCs w:val="22"/>
              </w:rPr>
            </w:pPr>
            <w:r w:rsidRPr="009942AF">
              <w:rPr>
                <w:rFonts w:ascii="Calibri" w:eastAsia="Arial MT" w:hAnsi="Calibri" w:cs="Calibri"/>
                <w:spacing w:val="-2"/>
                <w:sz w:val="22"/>
                <w:szCs w:val="22"/>
              </w:rPr>
              <w:t>617.98</w:t>
            </w:r>
          </w:p>
        </w:tc>
        <w:tc>
          <w:tcPr>
            <w:tcW w:w="1195" w:type="dxa"/>
          </w:tcPr>
          <w:p w14:paraId="2AB1E393" w14:textId="77777777" w:rsidR="00EC0D99" w:rsidRPr="009942AF" w:rsidRDefault="00EC0D99" w:rsidP="00EC0D99">
            <w:pPr>
              <w:widowControl w:val="0"/>
              <w:autoSpaceDE w:val="0"/>
              <w:autoSpaceDN w:val="0"/>
              <w:spacing w:before="267" w:line="360" w:lineRule="auto"/>
              <w:ind w:left="62" w:right="35"/>
              <w:jc w:val="center"/>
              <w:rPr>
                <w:rFonts w:ascii="Calibri" w:eastAsia="Arial MT" w:hAnsi="Calibri" w:cs="Calibri"/>
                <w:b/>
                <w:sz w:val="22"/>
                <w:szCs w:val="22"/>
              </w:rPr>
            </w:pPr>
            <w:r w:rsidRPr="009942AF">
              <w:rPr>
                <w:rFonts w:ascii="Calibri" w:eastAsia="Arial MT" w:hAnsi="Calibri" w:cs="Calibri"/>
                <w:b/>
                <w:spacing w:val="-2"/>
                <w:sz w:val="22"/>
                <w:szCs w:val="22"/>
              </w:rPr>
              <w:t>1894.29</w:t>
            </w:r>
          </w:p>
        </w:tc>
      </w:tr>
    </w:tbl>
    <w:p w14:paraId="0653C992" w14:textId="77777777" w:rsidR="009942AF" w:rsidRPr="009942AF" w:rsidRDefault="009942AF" w:rsidP="009942AF">
      <w:pPr>
        <w:spacing w:after="200" w:line="360" w:lineRule="auto"/>
        <w:ind w:left="720"/>
        <w:contextualSpacing/>
        <w:rPr>
          <w:rFonts w:ascii="Calibri" w:eastAsia="Calibri" w:hAnsi="Calibri" w:cs="Calibri"/>
          <w:sz w:val="22"/>
          <w:szCs w:val="22"/>
          <w:lang w:eastAsia="en-IN"/>
        </w:rPr>
      </w:pPr>
    </w:p>
    <w:p w14:paraId="5768A308" w14:textId="77777777" w:rsidR="009942AF" w:rsidRPr="009942AF" w:rsidRDefault="009942AF" w:rsidP="009942AF">
      <w:pPr>
        <w:spacing w:after="200" w:line="360" w:lineRule="auto"/>
        <w:ind w:left="720"/>
        <w:contextualSpacing/>
        <w:rPr>
          <w:rFonts w:ascii="Calibri" w:eastAsia="Calibri" w:hAnsi="Calibri" w:cs="Calibri"/>
          <w:sz w:val="22"/>
          <w:szCs w:val="22"/>
          <w:lang w:eastAsia="en-IN"/>
        </w:rPr>
      </w:pPr>
    </w:p>
    <w:p w14:paraId="72877CA4" w14:textId="77777777" w:rsidR="009942AF" w:rsidRPr="009942AF" w:rsidRDefault="009942AF" w:rsidP="009942AF">
      <w:pPr>
        <w:spacing w:line="360" w:lineRule="auto"/>
        <w:jc w:val="both"/>
        <w:rPr>
          <w:rFonts w:ascii="Calibri" w:hAnsi="Calibri" w:cs="Calibri"/>
          <w:sz w:val="22"/>
          <w:szCs w:val="22"/>
          <w:lang w:eastAsia="en-IN"/>
        </w:rPr>
      </w:pPr>
    </w:p>
    <w:p w14:paraId="52C59C8F" w14:textId="0EBEBC82" w:rsidR="009942AF" w:rsidRPr="009942AF" w:rsidRDefault="009942AF" w:rsidP="00786CB7">
      <w:pPr>
        <w:spacing w:line="360" w:lineRule="auto"/>
        <w:ind w:left="567"/>
        <w:jc w:val="both"/>
        <w:rPr>
          <w:rFonts w:ascii="Calibri" w:hAnsi="Calibri" w:cs="Calibri"/>
          <w:sz w:val="22"/>
          <w:szCs w:val="22"/>
          <w:lang w:eastAsia="en-IN"/>
        </w:rPr>
      </w:pPr>
      <w:r w:rsidRPr="009942AF">
        <w:rPr>
          <w:rFonts w:ascii="Calibri" w:hAnsi="Calibri" w:cs="Calibri"/>
          <w:sz w:val="22"/>
          <w:szCs w:val="22"/>
          <w:lang w:eastAsia="en-IN"/>
        </w:rPr>
        <w:t xml:space="preserve">In compliance to the directions of the Hon’ble Commission in the Vesting Order which have been basically reiterated in the Segregation Order, are being fully complied by the TP </w:t>
      </w:r>
      <w:proofErr w:type="spellStart"/>
      <w:r w:rsidRPr="009942AF">
        <w:rPr>
          <w:rFonts w:ascii="Calibri" w:hAnsi="Calibri" w:cs="Calibri"/>
          <w:sz w:val="22"/>
          <w:szCs w:val="22"/>
          <w:lang w:eastAsia="en-IN"/>
        </w:rPr>
        <w:t>Discoms</w:t>
      </w:r>
      <w:proofErr w:type="spellEnd"/>
      <w:r w:rsidRPr="009942AF">
        <w:rPr>
          <w:rFonts w:ascii="Calibri" w:hAnsi="Calibri" w:cs="Calibri"/>
          <w:sz w:val="22"/>
          <w:szCs w:val="22"/>
          <w:lang w:eastAsia="en-IN"/>
        </w:rPr>
        <w:t xml:space="preserve"> as is evident from the Table below:</w:t>
      </w:r>
    </w:p>
    <w:p w14:paraId="0213F2E5" w14:textId="77777777" w:rsidR="009942AF" w:rsidRPr="009942AF" w:rsidRDefault="009942AF" w:rsidP="009942AF">
      <w:pPr>
        <w:spacing w:after="200" w:line="360" w:lineRule="auto"/>
        <w:ind w:left="720"/>
        <w:contextualSpacing/>
        <w:rPr>
          <w:rFonts w:ascii="Calibri" w:eastAsia="Calibri" w:hAnsi="Calibri" w:cs="Calibri"/>
          <w:sz w:val="22"/>
          <w:szCs w:val="22"/>
          <w:lang w:eastAsia="en-IN"/>
        </w:rPr>
      </w:pPr>
    </w:p>
    <w:p w14:paraId="5259DF9B" w14:textId="77777777" w:rsidR="009942AF" w:rsidRPr="00786CB7" w:rsidRDefault="009942AF" w:rsidP="009942AF">
      <w:pPr>
        <w:spacing w:line="360" w:lineRule="auto"/>
        <w:ind w:left="1440" w:firstLine="720"/>
        <w:jc w:val="both"/>
        <w:rPr>
          <w:rFonts w:ascii="Calibri" w:hAnsi="Calibri" w:cs="Calibri"/>
          <w:b/>
          <w:sz w:val="22"/>
          <w:szCs w:val="22"/>
          <w:u w:val="single"/>
          <w:lang w:eastAsia="en-IN"/>
        </w:rPr>
      </w:pPr>
      <w:r w:rsidRPr="00786CB7">
        <w:rPr>
          <w:rFonts w:ascii="Calibri" w:hAnsi="Calibri" w:cs="Calibri"/>
          <w:b/>
          <w:sz w:val="22"/>
          <w:szCs w:val="22"/>
          <w:u w:val="single"/>
          <w:lang w:eastAsia="en-IN"/>
        </w:rPr>
        <w:t>Status of SD of all DISCOMs as on 31.03.2024</w:t>
      </w:r>
    </w:p>
    <w:p w14:paraId="5CE421CA" w14:textId="7411DE3B" w:rsidR="009942AF" w:rsidRPr="00542D44" w:rsidRDefault="00542D44" w:rsidP="009942AF">
      <w:pPr>
        <w:spacing w:line="360" w:lineRule="auto"/>
        <w:jc w:val="both"/>
        <w:rPr>
          <w:rFonts w:ascii="Calibri" w:hAnsi="Calibri" w:cs="Calibri"/>
          <w:b/>
          <w:sz w:val="22"/>
          <w:szCs w:val="22"/>
          <w:lang w:eastAsia="en-IN"/>
        </w:rPr>
      </w:pPr>
      <w:r>
        <w:rPr>
          <w:rFonts w:ascii="Calibri" w:hAnsi="Calibri" w:cs="Calibri"/>
          <w:sz w:val="22"/>
          <w:szCs w:val="22"/>
          <w:lang w:eastAsia="en-IN"/>
        </w:rPr>
        <w:t xml:space="preserve">                                                                                                                                                                </w:t>
      </w:r>
      <w:r w:rsidRPr="00542D44">
        <w:rPr>
          <w:rFonts w:ascii="Calibri" w:hAnsi="Calibri" w:cs="Calibri"/>
          <w:b/>
          <w:sz w:val="22"/>
          <w:szCs w:val="22"/>
          <w:lang w:eastAsia="en-IN"/>
        </w:rPr>
        <w:t xml:space="preserve">(In Rs. </w:t>
      </w:r>
      <w:proofErr w:type="spellStart"/>
      <w:r w:rsidRPr="00542D44">
        <w:rPr>
          <w:rFonts w:ascii="Calibri" w:hAnsi="Calibri" w:cs="Calibri"/>
          <w:b/>
          <w:sz w:val="22"/>
          <w:szCs w:val="22"/>
          <w:lang w:eastAsia="en-IN"/>
        </w:rPr>
        <w:t>Crs</w:t>
      </w:r>
      <w:proofErr w:type="spellEnd"/>
      <w:r w:rsidRPr="00542D44">
        <w:rPr>
          <w:rFonts w:ascii="Calibri" w:hAnsi="Calibri" w:cs="Calibri"/>
          <w:b/>
          <w:sz w:val="22"/>
          <w:szCs w:val="22"/>
          <w:lang w:eastAsia="en-IN"/>
        </w:rPr>
        <w:t>)</w:t>
      </w:r>
    </w:p>
    <w:tbl>
      <w:tblPr>
        <w:tblW w:w="0" w:type="auto"/>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1E0" w:firstRow="1" w:lastRow="1" w:firstColumn="1" w:lastColumn="1" w:noHBand="0" w:noVBand="0"/>
      </w:tblPr>
      <w:tblGrid>
        <w:gridCol w:w="2231"/>
        <w:gridCol w:w="1490"/>
        <w:gridCol w:w="1646"/>
        <w:gridCol w:w="1140"/>
        <w:gridCol w:w="1537"/>
        <w:gridCol w:w="1350"/>
      </w:tblGrid>
      <w:tr w:rsidR="009942AF" w:rsidRPr="009942AF" w14:paraId="63B4118A" w14:textId="77777777" w:rsidTr="00542D44">
        <w:trPr>
          <w:trHeight w:val="262"/>
          <w:jc w:val="center"/>
        </w:trPr>
        <w:tc>
          <w:tcPr>
            <w:tcW w:w="2231" w:type="dxa"/>
            <w:tcBorders>
              <w:top w:val="single" w:sz="8" w:space="0" w:color="000000"/>
              <w:left w:val="single" w:sz="8" w:space="0" w:color="000000"/>
              <w:bottom w:val="single" w:sz="8" w:space="0" w:color="000000"/>
              <w:right w:val="single" w:sz="8" w:space="0" w:color="000000"/>
            </w:tcBorders>
            <w:shd w:val="clear" w:color="auto" w:fill="DDEBF7"/>
            <w:hideMark/>
          </w:tcPr>
          <w:p w14:paraId="47CED892" w14:textId="77777777" w:rsidR="009942AF" w:rsidRPr="009942AF" w:rsidRDefault="009942AF" w:rsidP="009942AF">
            <w:pPr>
              <w:spacing w:line="360" w:lineRule="auto"/>
              <w:jc w:val="center"/>
              <w:rPr>
                <w:rFonts w:ascii="Calibri" w:hAnsi="Calibri" w:cs="Calibri"/>
                <w:b/>
                <w:sz w:val="22"/>
                <w:szCs w:val="22"/>
                <w:lang w:eastAsia="en-IN"/>
              </w:rPr>
            </w:pPr>
            <w:r w:rsidRPr="009942AF">
              <w:rPr>
                <w:rFonts w:ascii="Calibri" w:hAnsi="Calibri" w:cs="Calibri"/>
                <w:b/>
                <w:sz w:val="22"/>
                <w:szCs w:val="22"/>
                <w:lang w:eastAsia="en-IN"/>
              </w:rPr>
              <w:t>Particulars</w:t>
            </w:r>
          </w:p>
        </w:tc>
        <w:tc>
          <w:tcPr>
            <w:tcW w:w="1490" w:type="dxa"/>
            <w:tcBorders>
              <w:top w:val="single" w:sz="8" w:space="0" w:color="000000"/>
              <w:left w:val="single" w:sz="8" w:space="0" w:color="000000"/>
              <w:bottom w:val="single" w:sz="8" w:space="0" w:color="000000"/>
              <w:right w:val="single" w:sz="8" w:space="0" w:color="000000"/>
            </w:tcBorders>
            <w:shd w:val="clear" w:color="auto" w:fill="DDEBF7"/>
            <w:hideMark/>
          </w:tcPr>
          <w:p w14:paraId="6557235E" w14:textId="77777777" w:rsidR="009942AF" w:rsidRPr="009942AF" w:rsidRDefault="009942AF" w:rsidP="009942AF">
            <w:pPr>
              <w:spacing w:line="360" w:lineRule="auto"/>
              <w:jc w:val="center"/>
              <w:rPr>
                <w:rFonts w:ascii="Calibri" w:hAnsi="Calibri" w:cs="Calibri"/>
                <w:b/>
                <w:sz w:val="22"/>
                <w:szCs w:val="22"/>
                <w:lang w:eastAsia="en-IN"/>
              </w:rPr>
            </w:pPr>
            <w:r w:rsidRPr="009942AF">
              <w:rPr>
                <w:rFonts w:ascii="Calibri" w:hAnsi="Calibri" w:cs="Calibri"/>
                <w:b/>
                <w:sz w:val="22"/>
                <w:szCs w:val="22"/>
                <w:lang w:eastAsia="en-IN"/>
              </w:rPr>
              <w:t>TPCODL</w:t>
            </w:r>
          </w:p>
        </w:tc>
        <w:tc>
          <w:tcPr>
            <w:tcW w:w="1646" w:type="dxa"/>
            <w:tcBorders>
              <w:top w:val="single" w:sz="8" w:space="0" w:color="000000"/>
              <w:left w:val="single" w:sz="8" w:space="0" w:color="000000"/>
              <w:bottom w:val="single" w:sz="8" w:space="0" w:color="000000"/>
              <w:right w:val="single" w:sz="8" w:space="0" w:color="000000"/>
            </w:tcBorders>
            <w:shd w:val="clear" w:color="auto" w:fill="DDEBF7"/>
            <w:hideMark/>
          </w:tcPr>
          <w:p w14:paraId="5AF4AE2E" w14:textId="77777777" w:rsidR="009942AF" w:rsidRPr="009942AF" w:rsidRDefault="009942AF" w:rsidP="009942AF">
            <w:pPr>
              <w:spacing w:line="360" w:lineRule="auto"/>
              <w:jc w:val="center"/>
              <w:rPr>
                <w:rFonts w:ascii="Calibri" w:hAnsi="Calibri" w:cs="Calibri"/>
                <w:b/>
                <w:sz w:val="22"/>
                <w:szCs w:val="22"/>
                <w:lang w:eastAsia="en-IN"/>
              </w:rPr>
            </w:pPr>
            <w:r w:rsidRPr="009942AF">
              <w:rPr>
                <w:rFonts w:ascii="Calibri" w:hAnsi="Calibri" w:cs="Calibri"/>
                <w:b/>
                <w:sz w:val="22"/>
                <w:szCs w:val="22"/>
                <w:lang w:eastAsia="en-IN"/>
              </w:rPr>
              <w:t>TPWODL</w:t>
            </w:r>
          </w:p>
        </w:tc>
        <w:tc>
          <w:tcPr>
            <w:tcW w:w="1140" w:type="dxa"/>
            <w:tcBorders>
              <w:top w:val="single" w:sz="8" w:space="0" w:color="000000"/>
              <w:left w:val="single" w:sz="8" w:space="0" w:color="000000"/>
              <w:bottom w:val="single" w:sz="8" w:space="0" w:color="000000"/>
              <w:right w:val="single" w:sz="8" w:space="0" w:color="000000"/>
            </w:tcBorders>
            <w:shd w:val="clear" w:color="auto" w:fill="DDEBF7"/>
            <w:hideMark/>
          </w:tcPr>
          <w:p w14:paraId="77CAFD2A" w14:textId="77777777" w:rsidR="009942AF" w:rsidRPr="009942AF" w:rsidRDefault="009942AF" w:rsidP="009942AF">
            <w:pPr>
              <w:spacing w:line="360" w:lineRule="auto"/>
              <w:jc w:val="center"/>
              <w:rPr>
                <w:rFonts w:ascii="Calibri" w:hAnsi="Calibri" w:cs="Calibri"/>
                <w:b/>
                <w:sz w:val="22"/>
                <w:szCs w:val="22"/>
                <w:lang w:eastAsia="en-IN"/>
              </w:rPr>
            </w:pPr>
            <w:r w:rsidRPr="009942AF">
              <w:rPr>
                <w:rFonts w:ascii="Calibri" w:hAnsi="Calibri" w:cs="Calibri"/>
                <w:b/>
                <w:sz w:val="22"/>
                <w:szCs w:val="22"/>
                <w:lang w:eastAsia="en-IN"/>
              </w:rPr>
              <w:t>TPSODL</w:t>
            </w:r>
          </w:p>
        </w:tc>
        <w:tc>
          <w:tcPr>
            <w:tcW w:w="1537" w:type="dxa"/>
            <w:tcBorders>
              <w:top w:val="single" w:sz="8" w:space="0" w:color="000000"/>
              <w:left w:val="single" w:sz="8" w:space="0" w:color="000000"/>
              <w:bottom w:val="single" w:sz="8" w:space="0" w:color="000000"/>
              <w:right w:val="single" w:sz="8" w:space="0" w:color="000000"/>
            </w:tcBorders>
            <w:shd w:val="clear" w:color="auto" w:fill="DDEBF7"/>
            <w:hideMark/>
          </w:tcPr>
          <w:p w14:paraId="415F2806" w14:textId="77777777" w:rsidR="009942AF" w:rsidRPr="009942AF" w:rsidRDefault="009942AF" w:rsidP="009942AF">
            <w:pPr>
              <w:spacing w:line="360" w:lineRule="auto"/>
              <w:jc w:val="center"/>
              <w:rPr>
                <w:rFonts w:ascii="Calibri" w:hAnsi="Calibri" w:cs="Calibri"/>
                <w:b/>
                <w:sz w:val="22"/>
                <w:szCs w:val="22"/>
                <w:lang w:eastAsia="en-IN"/>
              </w:rPr>
            </w:pPr>
            <w:r w:rsidRPr="009942AF">
              <w:rPr>
                <w:rFonts w:ascii="Calibri" w:hAnsi="Calibri" w:cs="Calibri"/>
                <w:b/>
                <w:sz w:val="22"/>
                <w:szCs w:val="22"/>
                <w:lang w:eastAsia="en-IN"/>
              </w:rPr>
              <w:t>TPNODL</w:t>
            </w:r>
          </w:p>
        </w:tc>
        <w:tc>
          <w:tcPr>
            <w:tcW w:w="1350" w:type="dxa"/>
            <w:tcBorders>
              <w:top w:val="single" w:sz="8" w:space="0" w:color="000000"/>
              <w:left w:val="single" w:sz="8" w:space="0" w:color="000000"/>
              <w:bottom w:val="single" w:sz="8" w:space="0" w:color="000000"/>
              <w:right w:val="single" w:sz="8" w:space="0" w:color="000000"/>
            </w:tcBorders>
            <w:shd w:val="clear" w:color="auto" w:fill="DDEBF7"/>
            <w:hideMark/>
          </w:tcPr>
          <w:p w14:paraId="7A8F3A14" w14:textId="77777777" w:rsidR="009942AF" w:rsidRPr="009942AF" w:rsidRDefault="009942AF" w:rsidP="009942AF">
            <w:pPr>
              <w:spacing w:line="360" w:lineRule="auto"/>
              <w:jc w:val="center"/>
              <w:rPr>
                <w:rFonts w:ascii="Calibri" w:hAnsi="Calibri" w:cs="Calibri"/>
                <w:b/>
                <w:sz w:val="22"/>
                <w:szCs w:val="22"/>
                <w:lang w:eastAsia="en-IN"/>
              </w:rPr>
            </w:pPr>
            <w:r w:rsidRPr="009942AF">
              <w:rPr>
                <w:rFonts w:ascii="Calibri" w:hAnsi="Calibri" w:cs="Calibri"/>
                <w:b/>
                <w:sz w:val="22"/>
                <w:szCs w:val="22"/>
                <w:lang w:eastAsia="en-IN"/>
              </w:rPr>
              <w:t>Total</w:t>
            </w:r>
          </w:p>
        </w:tc>
      </w:tr>
      <w:tr w:rsidR="009942AF" w:rsidRPr="009942AF" w14:paraId="5829512C" w14:textId="77777777" w:rsidTr="00542D44">
        <w:trPr>
          <w:trHeight w:val="543"/>
          <w:jc w:val="center"/>
        </w:trPr>
        <w:tc>
          <w:tcPr>
            <w:tcW w:w="2231" w:type="dxa"/>
            <w:tcBorders>
              <w:top w:val="single" w:sz="8" w:space="0" w:color="000000"/>
              <w:left w:val="single" w:sz="8" w:space="0" w:color="000000"/>
              <w:bottom w:val="single" w:sz="8" w:space="0" w:color="000000"/>
              <w:right w:val="single" w:sz="8" w:space="0" w:color="000000"/>
            </w:tcBorders>
            <w:hideMark/>
          </w:tcPr>
          <w:p w14:paraId="0E11DA24" w14:textId="77777777" w:rsidR="009942AF" w:rsidRPr="009942AF" w:rsidRDefault="009942AF" w:rsidP="009942AF">
            <w:pPr>
              <w:spacing w:line="360" w:lineRule="auto"/>
              <w:jc w:val="center"/>
              <w:rPr>
                <w:rFonts w:ascii="Calibri" w:hAnsi="Calibri" w:cs="Calibri"/>
                <w:b/>
                <w:sz w:val="22"/>
                <w:szCs w:val="22"/>
                <w:lang w:eastAsia="en-IN"/>
              </w:rPr>
            </w:pPr>
            <w:r w:rsidRPr="009942AF">
              <w:rPr>
                <w:rFonts w:ascii="Calibri" w:hAnsi="Calibri" w:cs="Calibri"/>
                <w:b/>
                <w:sz w:val="22"/>
                <w:szCs w:val="22"/>
                <w:lang w:eastAsia="en-IN"/>
              </w:rPr>
              <w:t>Consumer Security Deposit as on 31.03.2024</w:t>
            </w:r>
          </w:p>
        </w:tc>
        <w:tc>
          <w:tcPr>
            <w:tcW w:w="1490" w:type="dxa"/>
            <w:tcBorders>
              <w:top w:val="single" w:sz="8" w:space="0" w:color="000000"/>
              <w:left w:val="single" w:sz="8" w:space="0" w:color="000000"/>
              <w:bottom w:val="single" w:sz="8" w:space="0" w:color="000000"/>
              <w:right w:val="single" w:sz="8" w:space="0" w:color="000000"/>
            </w:tcBorders>
            <w:hideMark/>
          </w:tcPr>
          <w:p w14:paraId="5DEA45FB" w14:textId="77777777" w:rsidR="009942AF" w:rsidRPr="009942AF" w:rsidRDefault="009942AF" w:rsidP="00542D44">
            <w:pPr>
              <w:spacing w:line="480" w:lineRule="auto"/>
              <w:jc w:val="center"/>
              <w:rPr>
                <w:rFonts w:ascii="Calibri" w:hAnsi="Calibri" w:cs="Calibri"/>
                <w:sz w:val="22"/>
                <w:szCs w:val="22"/>
                <w:lang w:eastAsia="en-IN"/>
              </w:rPr>
            </w:pPr>
            <w:r w:rsidRPr="009942AF">
              <w:rPr>
                <w:rFonts w:ascii="Calibri" w:hAnsi="Calibri" w:cs="Calibri"/>
                <w:sz w:val="22"/>
                <w:szCs w:val="22"/>
                <w:lang w:eastAsia="en-IN"/>
              </w:rPr>
              <w:t>1078.70</w:t>
            </w:r>
          </w:p>
        </w:tc>
        <w:tc>
          <w:tcPr>
            <w:tcW w:w="1646" w:type="dxa"/>
            <w:tcBorders>
              <w:top w:val="single" w:sz="8" w:space="0" w:color="000000"/>
              <w:left w:val="single" w:sz="8" w:space="0" w:color="000000"/>
              <w:bottom w:val="single" w:sz="8" w:space="0" w:color="000000"/>
              <w:right w:val="single" w:sz="8" w:space="0" w:color="000000"/>
            </w:tcBorders>
            <w:hideMark/>
          </w:tcPr>
          <w:p w14:paraId="7F8BA325" w14:textId="77777777" w:rsidR="009942AF" w:rsidRPr="009942AF" w:rsidRDefault="009942AF" w:rsidP="00542D44">
            <w:pPr>
              <w:spacing w:line="480" w:lineRule="auto"/>
              <w:jc w:val="center"/>
              <w:rPr>
                <w:rFonts w:ascii="Calibri" w:hAnsi="Calibri" w:cs="Calibri"/>
                <w:sz w:val="22"/>
                <w:szCs w:val="22"/>
                <w:lang w:eastAsia="en-IN"/>
              </w:rPr>
            </w:pPr>
            <w:r w:rsidRPr="009942AF">
              <w:rPr>
                <w:rFonts w:ascii="Calibri" w:hAnsi="Calibri" w:cs="Calibri"/>
                <w:sz w:val="22"/>
                <w:szCs w:val="22"/>
                <w:lang w:eastAsia="en-IN"/>
              </w:rPr>
              <w:t>1206.43</w:t>
            </w:r>
          </w:p>
        </w:tc>
        <w:tc>
          <w:tcPr>
            <w:tcW w:w="1140" w:type="dxa"/>
            <w:tcBorders>
              <w:top w:val="single" w:sz="8" w:space="0" w:color="000000"/>
              <w:left w:val="single" w:sz="8" w:space="0" w:color="000000"/>
              <w:bottom w:val="single" w:sz="8" w:space="0" w:color="000000"/>
              <w:right w:val="single" w:sz="8" w:space="0" w:color="000000"/>
            </w:tcBorders>
            <w:hideMark/>
          </w:tcPr>
          <w:p w14:paraId="2AFEB10A" w14:textId="77777777" w:rsidR="009942AF" w:rsidRPr="009942AF" w:rsidRDefault="009942AF" w:rsidP="00542D44">
            <w:pPr>
              <w:spacing w:line="480" w:lineRule="auto"/>
              <w:jc w:val="center"/>
              <w:rPr>
                <w:rFonts w:ascii="Calibri" w:hAnsi="Calibri" w:cs="Calibri"/>
                <w:sz w:val="22"/>
                <w:szCs w:val="22"/>
                <w:lang w:eastAsia="en-IN"/>
              </w:rPr>
            </w:pPr>
            <w:r w:rsidRPr="009942AF">
              <w:rPr>
                <w:rFonts w:ascii="Calibri" w:hAnsi="Calibri" w:cs="Calibri"/>
                <w:sz w:val="22"/>
                <w:szCs w:val="22"/>
                <w:lang w:eastAsia="en-IN"/>
              </w:rPr>
              <w:t>366.26</w:t>
            </w:r>
          </w:p>
        </w:tc>
        <w:tc>
          <w:tcPr>
            <w:tcW w:w="1537" w:type="dxa"/>
            <w:tcBorders>
              <w:top w:val="single" w:sz="8" w:space="0" w:color="000000"/>
              <w:left w:val="single" w:sz="8" w:space="0" w:color="000000"/>
              <w:bottom w:val="single" w:sz="8" w:space="0" w:color="000000"/>
              <w:right w:val="single" w:sz="8" w:space="0" w:color="000000"/>
            </w:tcBorders>
            <w:hideMark/>
          </w:tcPr>
          <w:p w14:paraId="07DA8402" w14:textId="77777777" w:rsidR="009942AF" w:rsidRPr="009942AF" w:rsidRDefault="009942AF" w:rsidP="00542D44">
            <w:pPr>
              <w:spacing w:line="480" w:lineRule="auto"/>
              <w:jc w:val="center"/>
              <w:rPr>
                <w:rFonts w:ascii="Calibri" w:hAnsi="Calibri" w:cs="Calibri"/>
                <w:sz w:val="22"/>
                <w:szCs w:val="22"/>
                <w:lang w:eastAsia="en-IN"/>
              </w:rPr>
            </w:pPr>
            <w:r w:rsidRPr="009942AF">
              <w:rPr>
                <w:rFonts w:ascii="Calibri" w:hAnsi="Calibri" w:cs="Calibri"/>
                <w:sz w:val="22"/>
                <w:szCs w:val="22"/>
                <w:lang w:eastAsia="en-IN"/>
              </w:rPr>
              <w:t>883.47</w:t>
            </w:r>
          </w:p>
        </w:tc>
        <w:tc>
          <w:tcPr>
            <w:tcW w:w="1350" w:type="dxa"/>
            <w:tcBorders>
              <w:top w:val="single" w:sz="8" w:space="0" w:color="000000"/>
              <w:left w:val="single" w:sz="8" w:space="0" w:color="000000"/>
              <w:bottom w:val="single" w:sz="8" w:space="0" w:color="000000"/>
              <w:right w:val="single" w:sz="8" w:space="0" w:color="000000"/>
            </w:tcBorders>
            <w:hideMark/>
          </w:tcPr>
          <w:p w14:paraId="6506FD1E" w14:textId="77777777" w:rsidR="009942AF" w:rsidRPr="009942AF" w:rsidRDefault="009942AF" w:rsidP="00542D44">
            <w:pPr>
              <w:spacing w:line="480" w:lineRule="auto"/>
              <w:jc w:val="center"/>
              <w:rPr>
                <w:rFonts w:ascii="Calibri" w:hAnsi="Calibri" w:cs="Calibri"/>
                <w:sz w:val="22"/>
                <w:szCs w:val="22"/>
                <w:lang w:eastAsia="en-IN"/>
              </w:rPr>
            </w:pPr>
            <w:r w:rsidRPr="009942AF">
              <w:rPr>
                <w:rFonts w:ascii="Calibri" w:hAnsi="Calibri" w:cs="Calibri"/>
                <w:sz w:val="22"/>
                <w:szCs w:val="22"/>
                <w:lang w:eastAsia="en-IN"/>
              </w:rPr>
              <w:t>3534.86</w:t>
            </w:r>
          </w:p>
        </w:tc>
      </w:tr>
      <w:tr w:rsidR="009942AF" w:rsidRPr="009942AF" w14:paraId="4F98155D" w14:textId="77777777" w:rsidTr="00542D44">
        <w:trPr>
          <w:trHeight w:val="571"/>
          <w:jc w:val="center"/>
        </w:trPr>
        <w:tc>
          <w:tcPr>
            <w:tcW w:w="2231" w:type="dxa"/>
            <w:tcBorders>
              <w:top w:val="single" w:sz="8" w:space="0" w:color="000000"/>
              <w:left w:val="single" w:sz="8" w:space="0" w:color="000000"/>
              <w:bottom w:val="single" w:sz="8" w:space="0" w:color="000000"/>
              <w:right w:val="single" w:sz="8" w:space="0" w:color="000000"/>
            </w:tcBorders>
            <w:hideMark/>
          </w:tcPr>
          <w:p w14:paraId="441BE6B1" w14:textId="77777777" w:rsidR="009942AF" w:rsidRPr="009942AF" w:rsidRDefault="009942AF" w:rsidP="009942AF">
            <w:pPr>
              <w:spacing w:line="360" w:lineRule="auto"/>
              <w:jc w:val="center"/>
              <w:rPr>
                <w:rFonts w:ascii="Calibri" w:hAnsi="Calibri" w:cs="Calibri"/>
                <w:b/>
                <w:sz w:val="22"/>
                <w:szCs w:val="22"/>
                <w:lang w:eastAsia="en-IN"/>
              </w:rPr>
            </w:pPr>
            <w:r w:rsidRPr="009942AF">
              <w:rPr>
                <w:rFonts w:ascii="Calibri" w:hAnsi="Calibri" w:cs="Calibri"/>
                <w:b/>
                <w:sz w:val="22"/>
                <w:szCs w:val="22"/>
                <w:lang w:eastAsia="en-IN"/>
              </w:rPr>
              <w:t>Fixed Deposit as on 31.03.2024 (Including interest)</w:t>
            </w:r>
          </w:p>
        </w:tc>
        <w:tc>
          <w:tcPr>
            <w:tcW w:w="1490" w:type="dxa"/>
            <w:tcBorders>
              <w:top w:val="single" w:sz="8" w:space="0" w:color="000000"/>
              <w:left w:val="single" w:sz="8" w:space="0" w:color="000000"/>
              <w:bottom w:val="single" w:sz="8" w:space="0" w:color="000000"/>
              <w:right w:val="single" w:sz="8" w:space="0" w:color="000000"/>
            </w:tcBorders>
            <w:hideMark/>
          </w:tcPr>
          <w:p w14:paraId="7D6DE8BE" w14:textId="77777777" w:rsidR="009942AF" w:rsidRPr="009942AF" w:rsidRDefault="009942AF" w:rsidP="00542D44">
            <w:pPr>
              <w:spacing w:line="480" w:lineRule="auto"/>
              <w:jc w:val="center"/>
              <w:rPr>
                <w:rFonts w:ascii="Calibri" w:hAnsi="Calibri" w:cs="Calibri"/>
                <w:sz w:val="22"/>
                <w:szCs w:val="22"/>
                <w:lang w:eastAsia="en-IN"/>
              </w:rPr>
            </w:pPr>
            <w:r w:rsidRPr="009942AF">
              <w:rPr>
                <w:rFonts w:ascii="Calibri" w:hAnsi="Calibri" w:cs="Calibri"/>
                <w:sz w:val="22"/>
                <w:szCs w:val="22"/>
                <w:lang w:eastAsia="en-IN"/>
              </w:rPr>
              <w:t>1028.27</w:t>
            </w:r>
          </w:p>
        </w:tc>
        <w:tc>
          <w:tcPr>
            <w:tcW w:w="1646" w:type="dxa"/>
            <w:tcBorders>
              <w:top w:val="single" w:sz="8" w:space="0" w:color="000000"/>
              <w:left w:val="single" w:sz="8" w:space="0" w:color="000000"/>
              <w:bottom w:val="single" w:sz="8" w:space="0" w:color="000000"/>
              <w:right w:val="single" w:sz="8" w:space="0" w:color="000000"/>
            </w:tcBorders>
            <w:hideMark/>
          </w:tcPr>
          <w:p w14:paraId="7C86B60F" w14:textId="77777777" w:rsidR="009942AF" w:rsidRPr="009942AF" w:rsidRDefault="009942AF" w:rsidP="00542D44">
            <w:pPr>
              <w:spacing w:line="480" w:lineRule="auto"/>
              <w:jc w:val="center"/>
              <w:rPr>
                <w:rFonts w:ascii="Calibri" w:hAnsi="Calibri" w:cs="Calibri"/>
                <w:sz w:val="22"/>
                <w:szCs w:val="22"/>
                <w:lang w:eastAsia="en-IN"/>
              </w:rPr>
            </w:pPr>
            <w:r w:rsidRPr="009942AF">
              <w:rPr>
                <w:rFonts w:ascii="Calibri" w:hAnsi="Calibri" w:cs="Calibri"/>
                <w:sz w:val="22"/>
                <w:szCs w:val="22"/>
                <w:lang w:eastAsia="en-IN"/>
              </w:rPr>
              <w:t>1334.68</w:t>
            </w:r>
          </w:p>
        </w:tc>
        <w:tc>
          <w:tcPr>
            <w:tcW w:w="1140" w:type="dxa"/>
            <w:tcBorders>
              <w:top w:val="single" w:sz="8" w:space="0" w:color="000000"/>
              <w:left w:val="single" w:sz="8" w:space="0" w:color="000000"/>
              <w:bottom w:val="single" w:sz="8" w:space="0" w:color="000000"/>
              <w:right w:val="single" w:sz="8" w:space="0" w:color="000000"/>
            </w:tcBorders>
            <w:hideMark/>
          </w:tcPr>
          <w:p w14:paraId="57035329" w14:textId="77777777" w:rsidR="009942AF" w:rsidRPr="009942AF" w:rsidRDefault="009942AF" w:rsidP="00542D44">
            <w:pPr>
              <w:spacing w:line="480" w:lineRule="auto"/>
              <w:jc w:val="center"/>
              <w:rPr>
                <w:rFonts w:ascii="Calibri" w:hAnsi="Calibri" w:cs="Calibri"/>
                <w:sz w:val="22"/>
                <w:szCs w:val="22"/>
                <w:lang w:eastAsia="en-IN"/>
              </w:rPr>
            </w:pPr>
            <w:r w:rsidRPr="009942AF">
              <w:rPr>
                <w:rFonts w:ascii="Calibri" w:hAnsi="Calibri" w:cs="Calibri"/>
                <w:sz w:val="22"/>
                <w:szCs w:val="22"/>
                <w:lang w:eastAsia="en-IN"/>
              </w:rPr>
              <w:t>359.18</w:t>
            </w:r>
          </w:p>
        </w:tc>
        <w:tc>
          <w:tcPr>
            <w:tcW w:w="1537" w:type="dxa"/>
            <w:tcBorders>
              <w:top w:val="single" w:sz="8" w:space="0" w:color="000000"/>
              <w:left w:val="single" w:sz="8" w:space="0" w:color="000000"/>
              <w:bottom w:val="single" w:sz="8" w:space="0" w:color="000000"/>
              <w:right w:val="single" w:sz="8" w:space="0" w:color="000000"/>
            </w:tcBorders>
            <w:hideMark/>
          </w:tcPr>
          <w:p w14:paraId="359A3385" w14:textId="77777777" w:rsidR="009942AF" w:rsidRPr="009942AF" w:rsidRDefault="009942AF" w:rsidP="00542D44">
            <w:pPr>
              <w:spacing w:line="480" w:lineRule="auto"/>
              <w:jc w:val="center"/>
              <w:rPr>
                <w:rFonts w:ascii="Calibri" w:hAnsi="Calibri" w:cs="Calibri"/>
                <w:sz w:val="22"/>
                <w:szCs w:val="22"/>
                <w:lang w:eastAsia="en-IN"/>
              </w:rPr>
            </w:pPr>
            <w:r w:rsidRPr="009942AF">
              <w:rPr>
                <w:rFonts w:ascii="Calibri" w:hAnsi="Calibri" w:cs="Calibri"/>
                <w:sz w:val="22"/>
                <w:szCs w:val="22"/>
                <w:lang w:eastAsia="en-IN"/>
              </w:rPr>
              <w:t>928.02</w:t>
            </w:r>
          </w:p>
        </w:tc>
        <w:tc>
          <w:tcPr>
            <w:tcW w:w="1350" w:type="dxa"/>
            <w:tcBorders>
              <w:top w:val="single" w:sz="8" w:space="0" w:color="000000"/>
              <w:left w:val="single" w:sz="8" w:space="0" w:color="000000"/>
              <w:bottom w:val="single" w:sz="8" w:space="0" w:color="000000"/>
              <w:right w:val="single" w:sz="8" w:space="0" w:color="000000"/>
            </w:tcBorders>
            <w:hideMark/>
          </w:tcPr>
          <w:p w14:paraId="77B7572B" w14:textId="77777777" w:rsidR="009942AF" w:rsidRPr="009942AF" w:rsidRDefault="009942AF" w:rsidP="00542D44">
            <w:pPr>
              <w:spacing w:line="480" w:lineRule="auto"/>
              <w:jc w:val="center"/>
              <w:rPr>
                <w:rFonts w:ascii="Calibri" w:hAnsi="Calibri" w:cs="Calibri"/>
                <w:sz w:val="22"/>
                <w:szCs w:val="22"/>
                <w:lang w:eastAsia="en-IN"/>
              </w:rPr>
            </w:pPr>
            <w:r w:rsidRPr="009942AF">
              <w:rPr>
                <w:rFonts w:ascii="Calibri" w:hAnsi="Calibri" w:cs="Calibri"/>
                <w:sz w:val="22"/>
                <w:szCs w:val="22"/>
                <w:lang w:eastAsia="en-IN"/>
              </w:rPr>
              <w:t>3650.15</w:t>
            </w:r>
          </w:p>
        </w:tc>
      </w:tr>
    </w:tbl>
    <w:p w14:paraId="18787DA9" w14:textId="77777777" w:rsidR="009942AF" w:rsidRPr="009942AF" w:rsidRDefault="009942AF" w:rsidP="009942AF">
      <w:pPr>
        <w:spacing w:line="360" w:lineRule="auto"/>
        <w:jc w:val="both"/>
        <w:rPr>
          <w:rFonts w:ascii="Calibri" w:hAnsi="Calibri" w:cs="Calibri"/>
          <w:b/>
          <w:bCs/>
          <w:i/>
          <w:iCs/>
          <w:sz w:val="22"/>
          <w:szCs w:val="22"/>
          <w:lang w:eastAsia="en-IN"/>
        </w:rPr>
      </w:pPr>
    </w:p>
    <w:p w14:paraId="451F6B0C" w14:textId="24D3F708" w:rsidR="009942AF" w:rsidRPr="009942AF" w:rsidRDefault="009942AF" w:rsidP="00542D44">
      <w:pPr>
        <w:spacing w:line="360" w:lineRule="auto"/>
        <w:ind w:left="567"/>
        <w:jc w:val="both"/>
        <w:rPr>
          <w:rFonts w:ascii="Calibri" w:hAnsi="Calibri" w:cs="Calibri"/>
          <w:sz w:val="22"/>
          <w:szCs w:val="22"/>
          <w:lang w:eastAsia="en-IN"/>
        </w:rPr>
      </w:pPr>
      <w:r w:rsidRPr="009942AF">
        <w:rPr>
          <w:rFonts w:ascii="Calibri" w:hAnsi="Calibri" w:cs="Calibri"/>
          <w:sz w:val="22"/>
          <w:szCs w:val="22"/>
          <w:lang w:eastAsia="en-IN"/>
        </w:rPr>
        <w:t xml:space="preserve">While the Vesting Order and the Segregation Order, as mentioned in Para 3 above, stipulate that the TP </w:t>
      </w:r>
      <w:proofErr w:type="spellStart"/>
      <w:r w:rsidRPr="009942AF">
        <w:rPr>
          <w:rFonts w:ascii="Calibri" w:hAnsi="Calibri" w:cs="Calibri"/>
          <w:sz w:val="22"/>
          <w:szCs w:val="22"/>
          <w:lang w:eastAsia="en-IN"/>
        </w:rPr>
        <w:t>Discoms</w:t>
      </w:r>
      <w:proofErr w:type="spellEnd"/>
      <w:r w:rsidRPr="009942AF">
        <w:rPr>
          <w:rFonts w:ascii="Calibri" w:hAnsi="Calibri" w:cs="Calibri"/>
          <w:sz w:val="22"/>
          <w:szCs w:val="22"/>
          <w:lang w:eastAsia="en-IN"/>
        </w:rPr>
        <w:t xml:space="preserve"> shall not be allowed to liquidate the Fixed Deposits other than for the reasons they collected, we wish to make the following submissions, with respect to the same.</w:t>
      </w:r>
    </w:p>
    <w:p w14:paraId="615A8D5D" w14:textId="77777777" w:rsidR="009942AF" w:rsidRPr="009942AF" w:rsidRDefault="009942AF" w:rsidP="00542D44">
      <w:pPr>
        <w:widowControl w:val="0"/>
        <w:tabs>
          <w:tab w:val="left" w:pos="560"/>
        </w:tabs>
        <w:autoSpaceDE w:val="0"/>
        <w:autoSpaceDN w:val="0"/>
        <w:spacing w:before="119" w:line="360" w:lineRule="auto"/>
        <w:ind w:left="567" w:right="113"/>
        <w:jc w:val="both"/>
        <w:rPr>
          <w:rFonts w:ascii="Calibri" w:hAnsi="Calibri" w:cs="Calibri"/>
          <w:sz w:val="22"/>
          <w:szCs w:val="22"/>
          <w:lang w:eastAsia="en-IN"/>
        </w:rPr>
      </w:pPr>
      <w:r w:rsidRPr="009942AF">
        <w:rPr>
          <w:rFonts w:ascii="Calibri" w:hAnsi="Calibri" w:cs="Calibri"/>
          <w:sz w:val="22"/>
          <w:szCs w:val="22"/>
          <w:lang w:eastAsia="en-IN"/>
        </w:rPr>
        <w:lastRenderedPageBreak/>
        <w:t xml:space="preserve">Any Utility’s consumers are generally sticky to it, especially in a geography where there are no competing Utilities. Cases of refund of security deposit happen generally when consumers request for voluntary disconnection (migration to another location etc.), and in any case new consumers keep getting added who provide fresh Consumer Security Deposit, with the result the CSD Balance generally keeps growing, which is the case in all the TP </w:t>
      </w:r>
      <w:proofErr w:type="spellStart"/>
      <w:r w:rsidRPr="009942AF">
        <w:rPr>
          <w:rFonts w:ascii="Calibri" w:hAnsi="Calibri" w:cs="Calibri"/>
          <w:sz w:val="22"/>
          <w:szCs w:val="22"/>
          <w:lang w:eastAsia="en-IN"/>
        </w:rPr>
        <w:t>Discoms</w:t>
      </w:r>
      <w:proofErr w:type="spellEnd"/>
      <w:r w:rsidRPr="009942AF">
        <w:rPr>
          <w:rFonts w:ascii="Calibri" w:hAnsi="Calibri" w:cs="Calibri"/>
          <w:sz w:val="22"/>
          <w:szCs w:val="22"/>
          <w:lang w:eastAsia="en-IN"/>
        </w:rPr>
        <w:t xml:space="preserve"> as is evident from the CSD Balance as at 31.03.23 vis-à-vis the Balance as on the </w:t>
      </w:r>
      <w:proofErr w:type="spellStart"/>
      <w:r w:rsidRPr="009942AF">
        <w:rPr>
          <w:rFonts w:ascii="Calibri" w:hAnsi="Calibri" w:cs="Calibri"/>
          <w:sz w:val="22"/>
          <w:szCs w:val="22"/>
          <w:lang w:eastAsia="en-IN"/>
        </w:rPr>
        <w:t>Discoms</w:t>
      </w:r>
      <w:proofErr w:type="spellEnd"/>
      <w:r w:rsidRPr="009942AF">
        <w:rPr>
          <w:rFonts w:ascii="Calibri" w:hAnsi="Calibri" w:cs="Calibri"/>
          <w:sz w:val="22"/>
          <w:szCs w:val="22"/>
          <w:lang w:eastAsia="en-IN"/>
        </w:rPr>
        <w:t>’ respective Vesting Dates (Please refer the Balance in the Tables above).</w:t>
      </w:r>
    </w:p>
    <w:p w14:paraId="69EE191A" w14:textId="77777777" w:rsidR="009942AF" w:rsidRPr="009942AF" w:rsidRDefault="009942AF" w:rsidP="00542D44">
      <w:pPr>
        <w:widowControl w:val="0"/>
        <w:tabs>
          <w:tab w:val="left" w:pos="560"/>
        </w:tabs>
        <w:autoSpaceDE w:val="0"/>
        <w:autoSpaceDN w:val="0"/>
        <w:spacing w:before="119" w:line="360" w:lineRule="auto"/>
        <w:ind w:left="567" w:right="114"/>
        <w:rPr>
          <w:rFonts w:ascii="Calibri" w:eastAsia="Calibri" w:hAnsi="Calibri" w:cs="Calibri"/>
          <w:sz w:val="22"/>
          <w:szCs w:val="22"/>
          <w:lang w:eastAsia="en-IN"/>
        </w:rPr>
      </w:pPr>
    </w:p>
    <w:p w14:paraId="6E45DEFF" w14:textId="77777777" w:rsidR="009942AF" w:rsidRPr="009942AF" w:rsidRDefault="009942AF" w:rsidP="00542D44">
      <w:pPr>
        <w:widowControl w:val="0"/>
        <w:tabs>
          <w:tab w:val="left" w:pos="560"/>
        </w:tabs>
        <w:autoSpaceDE w:val="0"/>
        <w:autoSpaceDN w:val="0"/>
        <w:spacing w:before="121" w:line="360" w:lineRule="auto"/>
        <w:ind w:left="567" w:right="96"/>
        <w:jc w:val="both"/>
        <w:rPr>
          <w:rFonts w:ascii="Calibri" w:hAnsi="Calibri" w:cs="Calibri"/>
          <w:sz w:val="22"/>
          <w:szCs w:val="22"/>
          <w:lang w:eastAsia="en-IN"/>
        </w:rPr>
      </w:pPr>
      <w:r w:rsidRPr="009942AF">
        <w:rPr>
          <w:rFonts w:ascii="Calibri" w:hAnsi="Calibri" w:cs="Calibri"/>
          <w:sz w:val="22"/>
          <w:szCs w:val="22"/>
          <w:lang w:eastAsia="en-IN"/>
        </w:rPr>
        <w:t>Regulation 3.7.11 of the Odisha Electricity Regulatory Commission (Terms and Conditions for Determination of Wheeling Tariff and Retail Supply Tariff) Regulations, 2022 (hereby referred as Tariff Regulations, 2022), specify the following with respect to Interest on Consumer Security Deposit</w:t>
      </w:r>
    </w:p>
    <w:p w14:paraId="0988D3B4" w14:textId="77777777" w:rsidR="009942AF" w:rsidRPr="009942AF" w:rsidRDefault="009942AF" w:rsidP="00542D44">
      <w:pPr>
        <w:spacing w:before="119" w:line="360" w:lineRule="auto"/>
        <w:ind w:left="1280" w:right="119" w:hanging="219"/>
        <w:jc w:val="both"/>
        <w:rPr>
          <w:rFonts w:ascii="Calibri" w:hAnsi="Calibri" w:cs="Calibri"/>
          <w:i/>
          <w:sz w:val="22"/>
          <w:szCs w:val="22"/>
          <w:lang w:eastAsia="en-IN"/>
        </w:rPr>
      </w:pPr>
      <w:r w:rsidRPr="009942AF">
        <w:rPr>
          <w:rFonts w:ascii="Calibri" w:hAnsi="Calibri" w:cs="Calibri"/>
          <w:i/>
          <w:sz w:val="22"/>
          <w:szCs w:val="22"/>
          <w:lang w:eastAsia="en-IN"/>
        </w:rPr>
        <w:t>3.7.11 The Distribution Licensee(s) shall adjust interest on the amount held as security deposit (held in cash or cash equivalent) from Distribution System Users and Retail consumers at the Bank Rate as on 1stApril of the Financial Year in which the Petition is filed in their monthly bills.</w:t>
      </w:r>
    </w:p>
    <w:p w14:paraId="612E45A1" w14:textId="77777777" w:rsidR="009942AF" w:rsidRPr="009942AF" w:rsidRDefault="009942AF" w:rsidP="00542D44">
      <w:pPr>
        <w:spacing w:before="121" w:line="360" w:lineRule="auto"/>
        <w:ind w:left="1280" w:right="115" w:hanging="4"/>
        <w:jc w:val="both"/>
        <w:rPr>
          <w:rFonts w:ascii="Calibri" w:hAnsi="Calibri" w:cs="Calibri"/>
          <w:i/>
          <w:sz w:val="22"/>
          <w:szCs w:val="22"/>
          <w:lang w:eastAsia="en-IN"/>
        </w:rPr>
      </w:pPr>
      <w:r w:rsidRPr="009942AF">
        <w:rPr>
          <w:rFonts w:ascii="Calibri" w:hAnsi="Calibri" w:cs="Calibri"/>
          <w:i/>
          <w:sz w:val="22"/>
          <w:szCs w:val="22"/>
          <w:lang w:eastAsia="en-IN"/>
        </w:rPr>
        <w:t>Provided that Interest on security deposits, in excess of the above rate specified by the Commission shall be considered as non-Tariff income of the Licensees.</w:t>
      </w:r>
    </w:p>
    <w:p w14:paraId="473215E4" w14:textId="77777777" w:rsidR="009942AF" w:rsidRPr="009942AF" w:rsidRDefault="009942AF" w:rsidP="00542D44">
      <w:pPr>
        <w:spacing w:before="1" w:line="360" w:lineRule="auto"/>
        <w:ind w:left="1280" w:right="114" w:hanging="4"/>
        <w:jc w:val="both"/>
        <w:rPr>
          <w:rFonts w:ascii="Calibri" w:hAnsi="Calibri" w:cs="Calibri"/>
          <w:i/>
          <w:sz w:val="22"/>
          <w:szCs w:val="22"/>
          <w:lang w:eastAsia="en-IN"/>
        </w:rPr>
      </w:pPr>
      <w:r w:rsidRPr="009942AF">
        <w:rPr>
          <w:rFonts w:ascii="Calibri" w:hAnsi="Calibri" w:cs="Calibri"/>
          <w:i/>
          <w:sz w:val="22"/>
          <w:szCs w:val="22"/>
          <w:lang w:eastAsia="en-IN"/>
        </w:rPr>
        <w:t>Provided further that Interest on security deposits, in deficit of the above rate specified by the Commission shall be considered as Uncontrollable Cost of the Licensees and shall accordingly be allowed in their ARR.</w:t>
      </w:r>
    </w:p>
    <w:p w14:paraId="677EB4F3" w14:textId="77777777" w:rsidR="009942AF" w:rsidRPr="009942AF" w:rsidRDefault="009942AF" w:rsidP="009942AF">
      <w:pPr>
        <w:spacing w:before="1" w:line="360" w:lineRule="auto"/>
        <w:ind w:left="1280" w:right="114" w:hanging="4"/>
        <w:rPr>
          <w:rFonts w:ascii="Calibri" w:hAnsi="Calibri" w:cs="Calibri"/>
          <w:i/>
          <w:sz w:val="22"/>
          <w:szCs w:val="22"/>
          <w:lang w:eastAsia="en-IN"/>
        </w:rPr>
      </w:pPr>
    </w:p>
    <w:p w14:paraId="02F0C86A" w14:textId="77777777" w:rsidR="009942AF" w:rsidRPr="009942AF" w:rsidRDefault="009942AF" w:rsidP="009942AF">
      <w:pPr>
        <w:widowControl w:val="0"/>
        <w:tabs>
          <w:tab w:val="left" w:pos="557"/>
          <w:tab w:val="left" w:pos="560"/>
        </w:tabs>
        <w:autoSpaceDE w:val="0"/>
        <w:autoSpaceDN w:val="0"/>
        <w:spacing w:before="120" w:line="360" w:lineRule="auto"/>
        <w:ind w:left="560" w:right="378"/>
        <w:jc w:val="both"/>
        <w:rPr>
          <w:rFonts w:ascii="Calibri" w:eastAsia="Calibri" w:hAnsi="Calibri" w:cs="Calibri"/>
          <w:sz w:val="22"/>
          <w:szCs w:val="22"/>
          <w:lang w:eastAsia="en-IN"/>
        </w:rPr>
      </w:pPr>
      <w:r w:rsidRPr="009942AF">
        <w:rPr>
          <w:rFonts w:ascii="Calibri" w:eastAsia="Calibri" w:hAnsi="Calibri" w:cs="Calibri"/>
          <w:sz w:val="22"/>
          <w:szCs w:val="22"/>
          <w:lang w:eastAsia="en-IN"/>
        </w:rPr>
        <w:t xml:space="preserve">As can be seen from above, the Interest on Security Deposit paid/ adjusted to the Consumers, as well as the Interest earned on the CSD held in Fixed Deposits, is a mere pass-thru for the </w:t>
      </w:r>
      <w:proofErr w:type="spellStart"/>
      <w:r w:rsidRPr="009942AF">
        <w:rPr>
          <w:rFonts w:ascii="Calibri" w:eastAsia="Calibri" w:hAnsi="Calibri" w:cs="Calibri"/>
          <w:sz w:val="22"/>
          <w:szCs w:val="22"/>
          <w:lang w:eastAsia="en-IN"/>
        </w:rPr>
        <w:t>Discoms</w:t>
      </w:r>
      <w:proofErr w:type="spellEnd"/>
      <w:r w:rsidRPr="009942AF">
        <w:rPr>
          <w:rFonts w:ascii="Calibri" w:eastAsia="Calibri" w:hAnsi="Calibri" w:cs="Calibri"/>
          <w:sz w:val="22"/>
          <w:szCs w:val="22"/>
          <w:lang w:eastAsia="en-IN"/>
        </w:rPr>
        <w:t>.</w:t>
      </w:r>
    </w:p>
    <w:p w14:paraId="6A4540D4" w14:textId="77777777" w:rsidR="009942AF" w:rsidRPr="009942AF" w:rsidRDefault="009942AF" w:rsidP="009942AF">
      <w:pPr>
        <w:widowControl w:val="0"/>
        <w:tabs>
          <w:tab w:val="left" w:pos="560"/>
        </w:tabs>
        <w:autoSpaceDE w:val="0"/>
        <w:autoSpaceDN w:val="0"/>
        <w:spacing w:before="120" w:line="360" w:lineRule="auto"/>
        <w:ind w:left="560" w:right="378"/>
        <w:jc w:val="both"/>
        <w:rPr>
          <w:rFonts w:ascii="Calibri" w:eastAsia="Calibri" w:hAnsi="Calibri" w:cs="Calibri"/>
          <w:sz w:val="22"/>
          <w:szCs w:val="22"/>
          <w:lang w:eastAsia="en-IN"/>
        </w:rPr>
      </w:pPr>
      <w:r w:rsidRPr="009942AF">
        <w:rPr>
          <w:rFonts w:ascii="Calibri" w:eastAsia="Calibri" w:hAnsi="Calibri" w:cs="Calibri"/>
          <w:sz w:val="22"/>
          <w:szCs w:val="22"/>
          <w:lang w:eastAsia="en-IN"/>
        </w:rPr>
        <w:t>The security deposit received from consumer is put a sub-optimal use at present.</w:t>
      </w:r>
    </w:p>
    <w:p w14:paraId="7DD4F94E" w14:textId="77777777" w:rsidR="009942AF" w:rsidRPr="009942AF" w:rsidRDefault="009942AF" w:rsidP="009942AF">
      <w:pPr>
        <w:widowControl w:val="0"/>
        <w:numPr>
          <w:ilvl w:val="0"/>
          <w:numId w:val="57"/>
        </w:numPr>
        <w:tabs>
          <w:tab w:val="left" w:pos="919"/>
        </w:tabs>
        <w:autoSpaceDE w:val="0"/>
        <w:autoSpaceDN w:val="0"/>
        <w:spacing w:before="121" w:line="360" w:lineRule="auto"/>
        <w:ind w:left="1051" w:hanging="491"/>
        <w:jc w:val="both"/>
        <w:rPr>
          <w:rFonts w:ascii="Calibri" w:eastAsia="Calibri" w:hAnsi="Calibri" w:cs="Calibri"/>
          <w:sz w:val="22"/>
          <w:szCs w:val="22"/>
        </w:rPr>
      </w:pPr>
      <w:r w:rsidRPr="009942AF">
        <w:rPr>
          <w:rFonts w:ascii="Calibri" w:eastAsia="Calibri" w:hAnsi="Calibri" w:cs="Calibri"/>
          <w:sz w:val="22"/>
          <w:szCs w:val="22"/>
        </w:rPr>
        <w:t>Utility borrows towards capex and working capital requirement at commercially negotiated rates (~8%) from the scheduled commercial banks</w:t>
      </w:r>
    </w:p>
    <w:p w14:paraId="6E6D1294" w14:textId="77777777" w:rsidR="009942AF" w:rsidRPr="009942AF" w:rsidRDefault="009942AF" w:rsidP="009942AF">
      <w:pPr>
        <w:widowControl w:val="0"/>
        <w:numPr>
          <w:ilvl w:val="0"/>
          <w:numId w:val="57"/>
        </w:numPr>
        <w:tabs>
          <w:tab w:val="left" w:pos="919"/>
        </w:tabs>
        <w:autoSpaceDE w:val="0"/>
        <w:autoSpaceDN w:val="0"/>
        <w:spacing w:before="121" w:line="360" w:lineRule="auto"/>
        <w:ind w:left="920"/>
        <w:jc w:val="both"/>
        <w:rPr>
          <w:rFonts w:ascii="Calibri" w:eastAsia="Calibri" w:hAnsi="Calibri" w:cs="Calibri"/>
          <w:sz w:val="22"/>
          <w:szCs w:val="22"/>
        </w:rPr>
      </w:pPr>
      <w:r w:rsidRPr="009942AF">
        <w:rPr>
          <w:rFonts w:ascii="Calibri" w:eastAsia="Calibri" w:hAnsi="Calibri" w:cs="Calibri"/>
          <w:sz w:val="22"/>
          <w:szCs w:val="22"/>
        </w:rPr>
        <w:t>Utility</w:t>
      </w:r>
      <w:r w:rsidRPr="009942AF">
        <w:rPr>
          <w:rFonts w:ascii="Calibri" w:eastAsia="Calibri" w:hAnsi="Calibri" w:cs="Calibri"/>
          <w:spacing w:val="-2"/>
          <w:sz w:val="22"/>
          <w:szCs w:val="22"/>
        </w:rPr>
        <w:t xml:space="preserve"> </w:t>
      </w:r>
      <w:r w:rsidRPr="009942AF">
        <w:rPr>
          <w:rFonts w:ascii="Calibri" w:eastAsia="Calibri" w:hAnsi="Calibri" w:cs="Calibri"/>
          <w:sz w:val="22"/>
          <w:szCs w:val="22"/>
        </w:rPr>
        <w:t>parks</w:t>
      </w:r>
      <w:r w:rsidRPr="009942AF">
        <w:rPr>
          <w:rFonts w:ascii="Calibri" w:eastAsia="Calibri" w:hAnsi="Calibri" w:cs="Calibri"/>
          <w:spacing w:val="-3"/>
          <w:sz w:val="22"/>
          <w:szCs w:val="22"/>
        </w:rPr>
        <w:t xml:space="preserve"> </w:t>
      </w:r>
      <w:r w:rsidRPr="009942AF">
        <w:rPr>
          <w:rFonts w:ascii="Calibri" w:eastAsia="Calibri" w:hAnsi="Calibri" w:cs="Calibri"/>
          <w:sz w:val="22"/>
          <w:szCs w:val="22"/>
        </w:rPr>
        <w:t>the</w:t>
      </w:r>
      <w:r w:rsidRPr="009942AF">
        <w:rPr>
          <w:rFonts w:ascii="Calibri" w:eastAsia="Calibri" w:hAnsi="Calibri" w:cs="Calibri"/>
          <w:spacing w:val="-3"/>
          <w:sz w:val="22"/>
          <w:szCs w:val="22"/>
        </w:rPr>
        <w:t xml:space="preserve"> </w:t>
      </w:r>
      <w:r w:rsidRPr="009942AF">
        <w:rPr>
          <w:rFonts w:ascii="Calibri" w:eastAsia="Calibri" w:hAnsi="Calibri" w:cs="Calibri"/>
          <w:sz w:val="22"/>
          <w:szCs w:val="22"/>
        </w:rPr>
        <w:t>SDs</w:t>
      </w:r>
      <w:r w:rsidRPr="009942AF">
        <w:rPr>
          <w:rFonts w:ascii="Calibri" w:eastAsia="Calibri" w:hAnsi="Calibri" w:cs="Calibri"/>
          <w:spacing w:val="-3"/>
          <w:sz w:val="22"/>
          <w:szCs w:val="22"/>
        </w:rPr>
        <w:t xml:space="preserve"> </w:t>
      </w:r>
      <w:r w:rsidRPr="009942AF">
        <w:rPr>
          <w:rFonts w:ascii="Calibri" w:eastAsia="Calibri" w:hAnsi="Calibri" w:cs="Calibri"/>
          <w:sz w:val="22"/>
          <w:szCs w:val="22"/>
        </w:rPr>
        <w:t>with</w:t>
      </w:r>
      <w:r w:rsidRPr="009942AF">
        <w:rPr>
          <w:rFonts w:ascii="Calibri" w:eastAsia="Calibri" w:hAnsi="Calibri" w:cs="Calibri"/>
          <w:spacing w:val="-2"/>
          <w:sz w:val="22"/>
          <w:szCs w:val="22"/>
        </w:rPr>
        <w:t xml:space="preserve"> </w:t>
      </w:r>
      <w:r w:rsidRPr="009942AF">
        <w:rPr>
          <w:rFonts w:ascii="Calibri" w:eastAsia="Calibri" w:hAnsi="Calibri" w:cs="Calibri"/>
          <w:sz w:val="22"/>
          <w:szCs w:val="22"/>
        </w:rPr>
        <w:t>the</w:t>
      </w:r>
      <w:r w:rsidRPr="009942AF">
        <w:rPr>
          <w:rFonts w:ascii="Calibri" w:eastAsia="Calibri" w:hAnsi="Calibri" w:cs="Calibri"/>
          <w:spacing w:val="-3"/>
          <w:sz w:val="22"/>
          <w:szCs w:val="22"/>
        </w:rPr>
        <w:t xml:space="preserve"> </w:t>
      </w:r>
      <w:r w:rsidRPr="009942AF">
        <w:rPr>
          <w:rFonts w:ascii="Calibri" w:eastAsia="Calibri" w:hAnsi="Calibri" w:cs="Calibri"/>
          <w:sz w:val="22"/>
          <w:szCs w:val="22"/>
        </w:rPr>
        <w:t>same</w:t>
      </w:r>
      <w:r w:rsidRPr="009942AF">
        <w:rPr>
          <w:rFonts w:ascii="Calibri" w:eastAsia="Calibri" w:hAnsi="Calibri" w:cs="Calibri"/>
          <w:spacing w:val="-3"/>
          <w:sz w:val="22"/>
          <w:szCs w:val="22"/>
        </w:rPr>
        <w:t xml:space="preserve"> </w:t>
      </w:r>
      <w:r w:rsidRPr="009942AF">
        <w:rPr>
          <w:rFonts w:ascii="Calibri" w:eastAsia="Calibri" w:hAnsi="Calibri" w:cs="Calibri"/>
          <w:sz w:val="22"/>
          <w:szCs w:val="22"/>
        </w:rPr>
        <w:t>banks</w:t>
      </w:r>
      <w:r w:rsidRPr="009942AF">
        <w:rPr>
          <w:rFonts w:ascii="Calibri" w:eastAsia="Calibri" w:hAnsi="Calibri" w:cs="Calibri"/>
          <w:spacing w:val="-5"/>
          <w:sz w:val="22"/>
          <w:szCs w:val="22"/>
        </w:rPr>
        <w:t xml:space="preserve"> </w:t>
      </w:r>
      <w:r w:rsidRPr="009942AF">
        <w:rPr>
          <w:rFonts w:ascii="Calibri" w:eastAsia="Calibri" w:hAnsi="Calibri" w:cs="Calibri"/>
          <w:sz w:val="22"/>
          <w:szCs w:val="22"/>
        </w:rPr>
        <w:t>at</w:t>
      </w:r>
      <w:r w:rsidRPr="009942AF">
        <w:rPr>
          <w:rFonts w:ascii="Calibri" w:eastAsia="Calibri" w:hAnsi="Calibri" w:cs="Calibri"/>
          <w:spacing w:val="-2"/>
          <w:sz w:val="22"/>
          <w:szCs w:val="22"/>
        </w:rPr>
        <w:t xml:space="preserve"> </w:t>
      </w:r>
      <w:r w:rsidRPr="009942AF">
        <w:rPr>
          <w:rFonts w:ascii="Calibri" w:eastAsia="Calibri" w:hAnsi="Calibri" w:cs="Calibri"/>
          <w:sz w:val="22"/>
          <w:szCs w:val="22"/>
        </w:rPr>
        <w:t>a</w:t>
      </w:r>
      <w:r w:rsidRPr="009942AF">
        <w:rPr>
          <w:rFonts w:ascii="Calibri" w:eastAsia="Calibri" w:hAnsi="Calibri" w:cs="Calibri"/>
          <w:spacing w:val="-5"/>
          <w:sz w:val="22"/>
          <w:szCs w:val="22"/>
        </w:rPr>
        <w:t xml:space="preserve"> </w:t>
      </w:r>
      <w:r w:rsidRPr="009942AF">
        <w:rPr>
          <w:rFonts w:ascii="Calibri" w:eastAsia="Calibri" w:hAnsi="Calibri" w:cs="Calibri"/>
          <w:sz w:val="22"/>
          <w:szCs w:val="22"/>
        </w:rPr>
        <w:t>lower</w:t>
      </w:r>
      <w:r w:rsidRPr="009942AF">
        <w:rPr>
          <w:rFonts w:ascii="Calibri" w:eastAsia="Calibri" w:hAnsi="Calibri" w:cs="Calibri"/>
          <w:spacing w:val="-3"/>
          <w:sz w:val="22"/>
          <w:szCs w:val="22"/>
        </w:rPr>
        <w:t xml:space="preserve"> </w:t>
      </w:r>
      <w:r w:rsidRPr="009942AF">
        <w:rPr>
          <w:rFonts w:ascii="Calibri" w:eastAsia="Calibri" w:hAnsi="Calibri" w:cs="Calibri"/>
          <w:sz w:val="22"/>
          <w:szCs w:val="22"/>
        </w:rPr>
        <w:t>FD</w:t>
      </w:r>
      <w:r w:rsidRPr="009942AF">
        <w:rPr>
          <w:rFonts w:ascii="Calibri" w:eastAsia="Calibri" w:hAnsi="Calibri" w:cs="Calibri"/>
          <w:spacing w:val="-2"/>
          <w:sz w:val="22"/>
          <w:szCs w:val="22"/>
        </w:rPr>
        <w:t xml:space="preserve"> </w:t>
      </w:r>
      <w:r w:rsidRPr="009942AF">
        <w:rPr>
          <w:rFonts w:ascii="Calibri" w:eastAsia="Calibri" w:hAnsi="Calibri" w:cs="Calibri"/>
          <w:sz w:val="22"/>
          <w:szCs w:val="22"/>
        </w:rPr>
        <w:t>rate</w:t>
      </w:r>
      <w:r w:rsidRPr="009942AF">
        <w:rPr>
          <w:rFonts w:ascii="Calibri" w:eastAsia="Calibri" w:hAnsi="Calibri" w:cs="Calibri"/>
          <w:spacing w:val="-2"/>
          <w:sz w:val="22"/>
          <w:szCs w:val="22"/>
        </w:rPr>
        <w:t xml:space="preserve"> </w:t>
      </w:r>
      <w:r w:rsidRPr="009942AF">
        <w:rPr>
          <w:rFonts w:ascii="Calibri" w:eastAsia="Calibri" w:hAnsi="Calibri" w:cs="Calibri"/>
          <w:sz w:val="22"/>
          <w:szCs w:val="22"/>
        </w:rPr>
        <w:t>(~4-</w:t>
      </w:r>
      <w:r w:rsidRPr="009942AF">
        <w:rPr>
          <w:rFonts w:ascii="Calibri" w:eastAsia="Calibri" w:hAnsi="Calibri" w:cs="Calibri"/>
          <w:spacing w:val="-5"/>
          <w:sz w:val="22"/>
          <w:szCs w:val="22"/>
        </w:rPr>
        <w:t>6%)</w:t>
      </w:r>
    </w:p>
    <w:p w14:paraId="696EB1AC" w14:textId="77777777" w:rsidR="009942AF" w:rsidRPr="009942AF" w:rsidRDefault="009942AF" w:rsidP="009942AF">
      <w:pPr>
        <w:widowControl w:val="0"/>
        <w:numPr>
          <w:ilvl w:val="0"/>
          <w:numId w:val="57"/>
        </w:numPr>
        <w:tabs>
          <w:tab w:val="left" w:pos="919"/>
        </w:tabs>
        <w:autoSpaceDE w:val="0"/>
        <w:autoSpaceDN w:val="0"/>
        <w:spacing w:before="113" w:line="360" w:lineRule="auto"/>
        <w:ind w:left="920"/>
        <w:jc w:val="both"/>
        <w:rPr>
          <w:rFonts w:ascii="Calibri" w:eastAsia="Calibri" w:hAnsi="Calibri" w:cs="Calibri"/>
          <w:sz w:val="22"/>
          <w:szCs w:val="22"/>
        </w:rPr>
      </w:pPr>
      <w:r w:rsidRPr="009942AF">
        <w:rPr>
          <w:rFonts w:ascii="Calibri" w:eastAsia="Calibri" w:hAnsi="Calibri" w:cs="Calibri"/>
          <w:sz w:val="22"/>
          <w:szCs w:val="22"/>
        </w:rPr>
        <w:t>Impact</w:t>
      </w:r>
      <w:r w:rsidRPr="009942AF">
        <w:rPr>
          <w:rFonts w:ascii="Calibri" w:eastAsia="Calibri" w:hAnsi="Calibri" w:cs="Calibri"/>
          <w:spacing w:val="-3"/>
          <w:sz w:val="22"/>
          <w:szCs w:val="22"/>
        </w:rPr>
        <w:t xml:space="preserve"> </w:t>
      </w:r>
      <w:r w:rsidRPr="009942AF">
        <w:rPr>
          <w:rFonts w:ascii="Calibri" w:eastAsia="Calibri" w:hAnsi="Calibri" w:cs="Calibri"/>
          <w:sz w:val="22"/>
          <w:szCs w:val="22"/>
        </w:rPr>
        <w:t>for</w:t>
      </w:r>
      <w:r w:rsidRPr="009942AF">
        <w:rPr>
          <w:rFonts w:ascii="Calibri" w:eastAsia="Calibri" w:hAnsi="Calibri" w:cs="Calibri"/>
          <w:spacing w:val="-3"/>
          <w:sz w:val="22"/>
          <w:szCs w:val="22"/>
        </w:rPr>
        <w:t xml:space="preserve"> </w:t>
      </w:r>
      <w:r w:rsidRPr="009942AF">
        <w:rPr>
          <w:rFonts w:ascii="Calibri" w:eastAsia="Calibri" w:hAnsi="Calibri" w:cs="Calibri"/>
          <w:sz w:val="22"/>
          <w:szCs w:val="22"/>
        </w:rPr>
        <w:t>Utility:</w:t>
      </w:r>
      <w:r w:rsidRPr="009942AF">
        <w:rPr>
          <w:rFonts w:ascii="Calibri" w:eastAsia="Calibri" w:hAnsi="Calibri" w:cs="Calibri"/>
          <w:spacing w:val="-2"/>
          <w:sz w:val="22"/>
          <w:szCs w:val="22"/>
        </w:rPr>
        <w:t xml:space="preserve"> Neutral.</w:t>
      </w:r>
    </w:p>
    <w:p w14:paraId="56A301B4" w14:textId="77777777" w:rsidR="009942AF" w:rsidRPr="009942AF" w:rsidRDefault="009942AF" w:rsidP="009942AF">
      <w:pPr>
        <w:widowControl w:val="0"/>
        <w:numPr>
          <w:ilvl w:val="0"/>
          <w:numId w:val="57"/>
        </w:numPr>
        <w:tabs>
          <w:tab w:val="left" w:pos="919"/>
        </w:tabs>
        <w:autoSpaceDE w:val="0"/>
        <w:autoSpaceDN w:val="0"/>
        <w:spacing w:before="113" w:line="360" w:lineRule="auto"/>
        <w:ind w:left="920"/>
        <w:jc w:val="both"/>
        <w:rPr>
          <w:rFonts w:ascii="Calibri" w:eastAsia="Calibri" w:hAnsi="Calibri" w:cs="Calibri"/>
          <w:sz w:val="22"/>
          <w:szCs w:val="22"/>
        </w:rPr>
      </w:pPr>
      <w:r w:rsidRPr="009942AF">
        <w:rPr>
          <w:rFonts w:ascii="Calibri" w:eastAsia="Calibri" w:hAnsi="Calibri" w:cs="Calibri"/>
          <w:sz w:val="22"/>
          <w:szCs w:val="22"/>
        </w:rPr>
        <w:t>All</w:t>
      </w:r>
      <w:r w:rsidRPr="009942AF">
        <w:rPr>
          <w:rFonts w:ascii="Calibri" w:eastAsia="Calibri" w:hAnsi="Calibri" w:cs="Calibri"/>
          <w:spacing w:val="-5"/>
          <w:sz w:val="22"/>
          <w:szCs w:val="22"/>
        </w:rPr>
        <w:t xml:space="preserve"> </w:t>
      </w:r>
      <w:r w:rsidRPr="009942AF">
        <w:rPr>
          <w:rFonts w:ascii="Calibri" w:eastAsia="Calibri" w:hAnsi="Calibri" w:cs="Calibri"/>
          <w:sz w:val="22"/>
          <w:szCs w:val="22"/>
        </w:rPr>
        <w:t>interest</w:t>
      </w:r>
      <w:r w:rsidRPr="009942AF">
        <w:rPr>
          <w:rFonts w:ascii="Calibri" w:eastAsia="Calibri" w:hAnsi="Calibri" w:cs="Calibri"/>
          <w:spacing w:val="-4"/>
          <w:sz w:val="22"/>
          <w:szCs w:val="22"/>
        </w:rPr>
        <w:t xml:space="preserve"> </w:t>
      </w:r>
      <w:r w:rsidRPr="009942AF">
        <w:rPr>
          <w:rFonts w:ascii="Calibri" w:eastAsia="Calibri" w:hAnsi="Calibri" w:cs="Calibri"/>
          <w:sz w:val="22"/>
          <w:szCs w:val="22"/>
        </w:rPr>
        <w:t>cost</w:t>
      </w:r>
      <w:r w:rsidRPr="009942AF">
        <w:rPr>
          <w:rFonts w:ascii="Calibri" w:eastAsia="Calibri" w:hAnsi="Calibri" w:cs="Calibri"/>
          <w:spacing w:val="-5"/>
          <w:sz w:val="22"/>
          <w:szCs w:val="22"/>
        </w:rPr>
        <w:t xml:space="preserve"> </w:t>
      </w:r>
      <w:r w:rsidRPr="009942AF">
        <w:rPr>
          <w:rFonts w:ascii="Calibri" w:eastAsia="Calibri" w:hAnsi="Calibri" w:cs="Calibri"/>
          <w:sz w:val="22"/>
          <w:szCs w:val="22"/>
        </w:rPr>
        <w:t>(on</w:t>
      </w:r>
      <w:r w:rsidRPr="009942AF">
        <w:rPr>
          <w:rFonts w:ascii="Calibri" w:eastAsia="Calibri" w:hAnsi="Calibri" w:cs="Calibri"/>
          <w:spacing w:val="-5"/>
          <w:sz w:val="22"/>
          <w:szCs w:val="22"/>
        </w:rPr>
        <w:t xml:space="preserve"> </w:t>
      </w:r>
      <w:r w:rsidRPr="009942AF">
        <w:rPr>
          <w:rFonts w:ascii="Calibri" w:eastAsia="Calibri" w:hAnsi="Calibri" w:cs="Calibri"/>
          <w:sz w:val="22"/>
          <w:szCs w:val="22"/>
        </w:rPr>
        <w:t>Loans</w:t>
      </w:r>
      <w:r w:rsidRPr="009942AF">
        <w:rPr>
          <w:rFonts w:ascii="Calibri" w:eastAsia="Calibri" w:hAnsi="Calibri" w:cs="Calibri"/>
          <w:spacing w:val="-4"/>
          <w:sz w:val="22"/>
          <w:szCs w:val="22"/>
        </w:rPr>
        <w:t xml:space="preserve"> </w:t>
      </w:r>
      <w:r w:rsidRPr="009942AF">
        <w:rPr>
          <w:rFonts w:ascii="Calibri" w:eastAsia="Calibri" w:hAnsi="Calibri" w:cs="Calibri"/>
          <w:sz w:val="22"/>
          <w:szCs w:val="22"/>
        </w:rPr>
        <w:t>and</w:t>
      </w:r>
      <w:r w:rsidRPr="009942AF">
        <w:rPr>
          <w:rFonts w:ascii="Calibri" w:eastAsia="Calibri" w:hAnsi="Calibri" w:cs="Calibri"/>
          <w:spacing w:val="-4"/>
          <w:sz w:val="22"/>
          <w:szCs w:val="22"/>
        </w:rPr>
        <w:t xml:space="preserve"> </w:t>
      </w:r>
      <w:r w:rsidRPr="009942AF">
        <w:rPr>
          <w:rFonts w:ascii="Calibri" w:eastAsia="Calibri" w:hAnsi="Calibri" w:cs="Calibri"/>
          <w:sz w:val="22"/>
          <w:szCs w:val="22"/>
        </w:rPr>
        <w:t>SDs)</w:t>
      </w:r>
      <w:r w:rsidRPr="009942AF">
        <w:rPr>
          <w:rFonts w:ascii="Calibri" w:eastAsia="Calibri" w:hAnsi="Calibri" w:cs="Calibri"/>
          <w:spacing w:val="-2"/>
          <w:sz w:val="22"/>
          <w:szCs w:val="22"/>
        </w:rPr>
        <w:t xml:space="preserve"> </w:t>
      </w:r>
      <w:r w:rsidRPr="009942AF">
        <w:rPr>
          <w:rFonts w:ascii="Calibri" w:eastAsia="Calibri" w:hAnsi="Calibri" w:cs="Calibri"/>
          <w:sz w:val="22"/>
          <w:szCs w:val="22"/>
        </w:rPr>
        <w:t>are</w:t>
      </w:r>
      <w:r w:rsidRPr="009942AF">
        <w:rPr>
          <w:rFonts w:ascii="Calibri" w:eastAsia="Calibri" w:hAnsi="Calibri" w:cs="Calibri"/>
          <w:spacing w:val="-2"/>
          <w:sz w:val="22"/>
          <w:szCs w:val="22"/>
        </w:rPr>
        <w:t xml:space="preserve"> </w:t>
      </w:r>
      <w:r w:rsidRPr="009942AF">
        <w:rPr>
          <w:rFonts w:ascii="Calibri" w:eastAsia="Calibri" w:hAnsi="Calibri" w:cs="Calibri"/>
          <w:sz w:val="22"/>
          <w:szCs w:val="22"/>
        </w:rPr>
        <w:t>pass</w:t>
      </w:r>
      <w:r w:rsidRPr="009942AF">
        <w:rPr>
          <w:rFonts w:ascii="Calibri" w:eastAsia="Calibri" w:hAnsi="Calibri" w:cs="Calibri"/>
          <w:spacing w:val="-5"/>
          <w:sz w:val="22"/>
          <w:szCs w:val="22"/>
        </w:rPr>
        <w:t xml:space="preserve"> </w:t>
      </w:r>
      <w:r w:rsidRPr="009942AF">
        <w:rPr>
          <w:rFonts w:ascii="Calibri" w:eastAsia="Calibri" w:hAnsi="Calibri" w:cs="Calibri"/>
          <w:sz w:val="22"/>
          <w:szCs w:val="22"/>
        </w:rPr>
        <w:t>through</w:t>
      </w:r>
      <w:r w:rsidRPr="009942AF">
        <w:rPr>
          <w:rFonts w:ascii="Calibri" w:eastAsia="Calibri" w:hAnsi="Calibri" w:cs="Calibri"/>
          <w:spacing w:val="-3"/>
          <w:sz w:val="22"/>
          <w:szCs w:val="22"/>
        </w:rPr>
        <w:t xml:space="preserve"> </w:t>
      </w:r>
      <w:r w:rsidRPr="009942AF">
        <w:rPr>
          <w:rFonts w:ascii="Calibri" w:eastAsia="Calibri" w:hAnsi="Calibri" w:cs="Calibri"/>
          <w:sz w:val="22"/>
          <w:szCs w:val="22"/>
        </w:rPr>
        <w:t>in</w:t>
      </w:r>
      <w:r w:rsidRPr="009942AF">
        <w:rPr>
          <w:rFonts w:ascii="Calibri" w:eastAsia="Calibri" w:hAnsi="Calibri" w:cs="Calibri"/>
          <w:spacing w:val="-3"/>
          <w:sz w:val="22"/>
          <w:szCs w:val="22"/>
        </w:rPr>
        <w:t xml:space="preserve"> </w:t>
      </w:r>
      <w:r w:rsidRPr="009942AF">
        <w:rPr>
          <w:rFonts w:ascii="Calibri" w:eastAsia="Calibri" w:hAnsi="Calibri" w:cs="Calibri"/>
          <w:spacing w:val="-5"/>
          <w:sz w:val="22"/>
          <w:szCs w:val="22"/>
        </w:rPr>
        <w:t>ARR</w:t>
      </w:r>
    </w:p>
    <w:p w14:paraId="5142ED5F" w14:textId="7406B6BB" w:rsidR="009942AF" w:rsidRPr="00542D44" w:rsidRDefault="009942AF" w:rsidP="00542D44">
      <w:pPr>
        <w:widowControl w:val="0"/>
        <w:numPr>
          <w:ilvl w:val="0"/>
          <w:numId w:val="57"/>
        </w:numPr>
        <w:tabs>
          <w:tab w:val="left" w:pos="919"/>
        </w:tabs>
        <w:autoSpaceDE w:val="0"/>
        <w:autoSpaceDN w:val="0"/>
        <w:spacing w:before="120" w:line="360" w:lineRule="auto"/>
        <w:ind w:left="920"/>
        <w:jc w:val="both"/>
        <w:rPr>
          <w:rFonts w:ascii="Calibri" w:eastAsia="Calibri" w:hAnsi="Calibri" w:cs="Calibri"/>
          <w:sz w:val="22"/>
          <w:szCs w:val="22"/>
        </w:rPr>
      </w:pPr>
      <w:r w:rsidRPr="009942AF">
        <w:rPr>
          <w:rFonts w:ascii="Calibri" w:eastAsia="Calibri" w:hAnsi="Calibri" w:cs="Calibri"/>
          <w:sz w:val="22"/>
          <w:szCs w:val="22"/>
        </w:rPr>
        <w:t>Impact</w:t>
      </w:r>
      <w:r w:rsidRPr="009942AF">
        <w:rPr>
          <w:rFonts w:ascii="Calibri" w:eastAsia="Calibri" w:hAnsi="Calibri" w:cs="Calibri"/>
          <w:spacing w:val="-5"/>
          <w:sz w:val="22"/>
          <w:szCs w:val="22"/>
        </w:rPr>
        <w:t xml:space="preserve"> </w:t>
      </w:r>
      <w:r w:rsidRPr="009942AF">
        <w:rPr>
          <w:rFonts w:ascii="Calibri" w:eastAsia="Calibri" w:hAnsi="Calibri" w:cs="Calibri"/>
          <w:sz w:val="22"/>
          <w:szCs w:val="22"/>
        </w:rPr>
        <w:t>for</w:t>
      </w:r>
      <w:r w:rsidRPr="009942AF">
        <w:rPr>
          <w:rFonts w:ascii="Calibri" w:eastAsia="Calibri" w:hAnsi="Calibri" w:cs="Calibri"/>
          <w:spacing w:val="-6"/>
          <w:sz w:val="22"/>
          <w:szCs w:val="22"/>
        </w:rPr>
        <w:t xml:space="preserve"> </w:t>
      </w:r>
      <w:r w:rsidRPr="009942AF">
        <w:rPr>
          <w:rFonts w:ascii="Calibri" w:eastAsia="Calibri" w:hAnsi="Calibri" w:cs="Calibri"/>
          <w:sz w:val="22"/>
          <w:szCs w:val="22"/>
        </w:rPr>
        <w:t>Consumer:</w:t>
      </w:r>
      <w:r w:rsidRPr="009942AF">
        <w:rPr>
          <w:rFonts w:ascii="Calibri" w:eastAsia="Calibri" w:hAnsi="Calibri" w:cs="Calibri"/>
          <w:spacing w:val="-4"/>
          <w:sz w:val="22"/>
          <w:szCs w:val="22"/>
        </w:rPr>
        <w:t xml:space="preserve"> </w:t>
      </w:r>
      <w:r w:rsidRPr="009942AF">
        <w:rPr>
          <w:rFonts w:ascii="Calibri" w:eastAsia="Calibri" w:hAnsi="Calibri" w:cs="Calibri"/>
          <w:spacing w:val="-2"/>
          <w:sz w:val="22"/>
          <w:szCs w:val="22"/>
        </w:rPr>
        <w:t>Negative.</w:t>
      </w:r>
    </w:p>
    <w:p w14:paraId="0F9948D4" w14:textId="77777777" w:rsidR="009942AF" w:rsidRPr="009942AF" w:rsidRDefault="009942AF" w:rsidP="00542D44">
      <w:pPr>
        <w:spacing w:before="90" w:after="120" w:line="360" w:lineRule="auto"/>
        <w:ind w:left="920" w:right="114"/>
        <w:jc w:val="both"/>
        <w:rPr>
          <w:rFonts w:ascii="Calibri" w:hAnsi="Calibri" w:cs="Calibri"/>
          <w:i/>
          <w:sz w:val="22"/>
          <w:szCs w:val="22"/>
        </w:rPr>
      </w:pPr>
      <w:r w:rsidRPr="009942AF">
        <w:rPr>
          <w:rFonts w:ascii="Calibri" w:hAnsi="Calibri" w:cs="Calibri"/>
          <w:sz w:val="22"/>
          <w:szCs w:val="22"/>
        </w:rPr>
        <w:lastRenderedPageBreak/>
        <w:t>Consumer receives interest rate at the OERC notified interest rates (6.75% for FY 2022-23) while the Utility earns an Interest Rate</w:t>
      </w:r>
      <w:r w:rsidRPr="009942AF">
        <w:rPr>
          <w:rFonts w:ascii="Calibri" w:hAnsi="Calibri" w:cs="Calibri"/>
          <w:spacing w:val="-1"/>
          <w:sz w:val="22"/>
          <w:szCs w:val="22"/>
        </w:rPr>
        <w:t xml:space="preserve"> </w:t>
      </w:r>
      <w:r w:rsidRPr="009942AF">
        <w:rPr>
          <w:rFonts w:ascii="Calibri" w:hAnsi="Calibri" w:cs="Calibri"/>
          <w:sz w:val="22"/>
          <w:szCs w:val="22"/>
        </w:rPr>
        <w:t>of</w:t>
      </w:r>
      <w:r w:rsidRPr="009942AF">
        <w:rPr>
          <w:rFonts w:ascii="Calibri" w:hAnsi="Calibri" w:cs="Calibri"/>
          <w:spacing w:val="-1"/>
          <w:sz w:val="22"/>
          <w:szCs w:val="22"/>
        </w:rPr>
        <w:t xml:space="preserve"> </w:t>
      </w:r>
      <w:r w:rsidRPr="009942AF">
        <w:rPr>
          <w:rFonts w:ascii="Calibri" w:hAnsi="Calibri" w:cs="Calibri"/>
          <w:sz w:val="22"/>
          <w:szCs w:val="22"/>
        </w:rPr>
        <w:t>4-6% on FDs</w:t>
      </w:r>
      <w:r w:rsidRPr="009942AF">
        <w:rPr>
          <w:rFonts w:ascii="Calibri" w:hAnsi="Calibri" w:cs="Calibri"/>
          <w:spacing w:val="-1"/>
          <w:sz w:val="22"/>
          <w:szCs w:val="22"/>
        </w:rPr>
        <w:t xml:space="preserve"> </w:t>
      </w:r>
      <w:r w:rsidRPr="009942AF">
        <w:rPr>
          <w:rFonts w:ascii="Calibri" w:hAnsi="Calibri" w:cs="Calibri"/>
          <w:sz w:val="22"/>
          <w:szCs w:val="22"/>
        </w:rPr>
        <w:t>made out</w:t>
      </w:r>
      <w:r w:rsidRPr="009942AF">
        <w:rPr>
          <w:rFonts w:ascii="Calibri" w:hAnsi="Calibri" w:cs="Calibri"/>
          <w:spacing w:val="-1"/>
          <w:sz w:val="22"/>
          <w:szCs w:val="22"/>
        </w:rPr>
        <w:t xml:space="preserve"> </w:t>
      </w:r>
      <w:r w:rsidRPr="009942AF">
        <w:rPr>
          <w:rFonts w:ascii="Calibri" w:hAnsi="Calibri" w:cs="Calibri"/>
          <w:sz w:val="22"/>
          <w:szCs w:val="22"/>
        </w:rPr>
        <w:t>of the CSD received from Consumers. The difference is a pass through in ARR which adversely impacts consumer tariffs.</w:t>
      </w:r>
    </w:p>
    <w:p w14:paraId="068BB566" w14:textId="77777777" w:rsidR="009942AF" w:rsidRPr="009942AF" w:rsidRDefault="009942AF" w:rsidP="00542D44">
      <w:pPr>
        <w:spacing w:before="119" w:after="120" w:line="360" w:lineRule="auto"/>
        <w:ind w:left="920"/>
        <w:jc w:val="both"/>
        <w:rPr>
          <w:rFonts w:ascii="Calibri" w:hAnsi="Calibri" w:cs="Calibri"/>
          <w:i/>
          <w:sz w:val="22"/>
          <w:szCs w:val="22"/>
        </w:rPr>
      </w:pPr>
      <w:r w:rsidRPr="009942AF">
        <w:rPr>
          <w:rFonts w:ascii="Calibri" w:hAnsi="Calibri" w:cs="Calibri"/>
          <w:sz w:val="22"/>
          <w:szCs w:val="22"/>
        </w:rPr>
        <w:t>Interest</w:t>
      </w:r>
      <w:r w:rsidRPr="009942AF">
        <w:rPr>
          <w:rFonts w:ascii="Calibri" w:hAnsi="Calibri" w:cs="Calibri"/>
          <w:spacing w:val="-5"/>
          <w:sz w:val="22"/>
          <w:szCs w:val="22"/>
        </w:rPr>
        <w:t xml:space="preserve"> </w:t>
      </w:r>
      <w:r w:rsidRPr="009942AF">
        <w:rPr>
          <w:rFonts w:ascii="Calibri" w:hAnsi="Calibri" w:cs="Calibri"/>
          <w:sz w:val="22"/>
          <w:szCs w:val="22"/>
        </w:rPr>
        <w:t>payment</w:t>
      </w:r>
      <w:r w:rsidRPr="009942AF">
        <w:rPr>
          <w:rFonts w:ascii="Calibri" w:hAnsi="Calibri" w:cs="Calibri"/>
          <w:spacing w:val="-4"/>
          <w:sz w:val="22"/>
          <w:szCs w:val="22"/>
        </w:rPr>
        <w:t xml:space="preserve"> </w:t>
      </w:r>
      <w:r w:rsidRPr="009942AF">
        <w:rPr>
          <w:rFonts w:ascii="Calibri" w:hAnsi="Calibri" w:cs="Calibri"/>
          <w:sz w:val="22"/>
          <w:szCs w:val="22"/>
        </w:rPr>
        <w:t>on</w:t>
      </w:r>
      <w:r w:rsidRPr="009942AF">
        <w:rPr>
          <w:rFonts w:ascii="Calibri" w:hAnsi="Calibri" w:cs="Calibri"/>
          <w:spacing w:val="-5"/>
          <w:sz w:val="22"/>
          <w:szCs w:val="22"/>
        </w:rPr>
        <w:t xml:space="preserve"> </w:t>
      </w:r>
      <w:r w:rsidRPr="009942AF">
        <w:rPr>
          <w:rFonts w:ascii="Calibri" w:hAnsi="Calibri" w:cs="Calibri"/>
          <w:sz w:val="22"/>
          <w:szCs w:val="22"/>
        </w:rPr>
        <w:t>term</w:t>
      </w:r>
      <w:r w:rsidRPr="009942AF">
        <w:rPr>
          <w:rFonts w:ascii="Calibri" w:hAnsi="Calibri" w:cs="Calibri"/>
          <w:spacing w:val="-2"/>
          <w:sz w:val="22"/>
          <w:szCs w:val="22"/>
        </w:rPr>
        <w:t xml:space="preserve"> </w:t>
      </w:r>
      <w:r w:rsidRPr="009942AF">
        <w:rPr>
          <w:rFonts w:ascii="Calibri" w:hAnsi="Calibri" w:cs="Calibri"/>
          <w:sz w:val="22"/>
          <w:szCs w:val="22"/>
        </w:rPr>
        <w:t>loans</w:t>
      </w:r>
      <w:r w:rsidRPr="009942AF">
        <w:rPr>
          <w:rFonts w:ascii="Calibri" w:hAnsi="Calibri" w:cs="Calibri"/>
          <w:spacing w:val="-2"/>
          <w:sz w:val="22"/>
          <w:szCs w:val="22"/>
        </w:rPr>
        <w:t xml:space="preserve"> </w:t>
      </w:r>
      <w:r w:rsidRPr="009942AF">
        <w:rPr>
          <w:rFonts w:ascii="Calibri" w:hAnsi="Calibri" w:cs="Calibri"/>
          <w:sz w:val="22"/>
          <w:szCs w:val="22"/>
        </w:rPr>
        <w:t>by</w:t>
      </w:r>
      <w:r w:rsidRPr="009942AF">
        <w:rPr>
          <w:rFonts w:ascii="Calibri" w:hAnsi="Calibri" w:cs="Calibri"/>
          <w:spacing w:val="-4"/>
          <w:sz w:val="22"/>
          <w:szCs w:val="22"/>
        </w:rPr>
        <w:t xml:space="preserve"> </w:t>
      </w:r>
      <w:r w:rsidRPr="009942AF">
        <w:rPr>
          <w:rFonts w:ascii="Calibri" w:hAnsi="Calibri" w:cs="Calibri"/>
          <w:sz w:val="22"/>
          <w:szCs w:val="22"/>
        </w:rPr>
        <w:t>Utility</w:t>
      </w:r>
      <w:r w:rsidRPr="009942AF">
        <w:rPr>
          <w:rFonts w:ascii="Calibri" w:hAnsi="Calibri" w:cs="Calibri"/>
          <w:spacing w:val="-2"/>
          <w:sz w:val="22"/>
          <w:szCs w:val="22"/>
        </w:rPr>
        <w:t xml:space="preserve"> </w:t>
      </w:r>
      <w:r w:rsidRPr="009942AF">
        <w:rPr>
          <w:rFonts w:ascii="Calibri" w:hAnsi="Calibri" w:cs="Calibri"/>
          <w:sz w:val="22"/>
          <w:szCs w:val="22"/>
        </w:rPr>
        <w:t>at</w:t>
      </w:r>
      <w:r w:rsidRPr="009942AF">
        <w:rPr>
          <w:rFonts w:ascii="Calibri" w:hAnsi="Calibri" w:cs="Calibri"/>
          <w:spacing w:val="-4"/>
          <w:sz w:val="22"/>
          <w:szCs w:val="22"/>
        </w:rPr>
        <w:t xml:space="preserve"> </w:t>
      </w:r>
      <w:r w:rsidRPr="009942AF">
        <w:rPr>
          <w:rFonts w:ascii="Calibri" w:hAnsi="Calibri" w:cs="Calibri"/>
          <w:sz w:val="22"/>
          <w:szCs w:val="22"/>
        </w:rPr>
        <w:t>around</w:t>
      </w:r>
      <w:r w:rsidRPr="009942AF">
        <w:rPr>
          <w:rFonts w:ascii="Calibri" w:hAnsi="Calibri" w:cs="Calibri"/>
          <w:spacing w:val="-5"/>
          <w:sz w:val="22"/>
          <w:szCs w:val="22"/>
        </w:rPr>
        <w:t xml:space="preserve"> </w:t>
      </w:r>
      <w:r w:rsidRPr="009942AF">
        <w:rPr>
          <w:rFonts w:ascii="Calibri" w:hAnsi="Calibri" w:cs="Calibri"/>
          <w:sz w:val="22"/>
          <w:szCs w:val="22"/>
        </w:rPr>
        <w:t>8%</w:t>
      </w:r>
      <w:r w:rsidRPr="009942AF">
        <w:rPr>
          <w:rFonts w:ascii="Calibri" w:hAnsi="Calibri" w:cs="Calibri"/>
          <w:spacing w:val="-1"/>
          <w:sz w:val="22"/>
          <w:szCs w:val="22"/>
        </w:rPr>
        <w:t xml:space="preserve"> </w:t>
      </w:r>
      <w:r w:rsidRPr="009942AF">
        <w:rPr>
          <w:rFonts w:ascii="Calibri" w:hAnsi="Calibri" w:cs="Calibri"/>
          <w:sz w:val="22"/>
          <w:szCs w:val="22"/>
        </w:rPr>
        <w:t>is</w:t>
      </w:r>
      <w:r w:rsidRPr="009942AF">
        <w:rPr>
          <w:rFonts w:ascii="Calibri" w:hAnsi="Calibri" w:cs="Calibri"/>
          <w:spacing w:val="-2"/>
          <w:sz w:val="22"/>
          <w:szCs w:val="22"/>
        </w:rPr>
        <w:t xml:space="preserve"> </w:t>
      </w:r>
      <w:r w:rsidRPr="009942AF">
        <w:rPr>
          <w:rFonts w:ascii="Calibri" w:hAnsi="Calibri" w:cs="Calibri"/>
          <w:sz w:val="22"/>
          <w:szCs w:val="22"/>
        </w:rPr>
        <w:t>a</w:t>
      </w:r>
      <w:r w:rsidRPr="009942AF">
        <w:rPr>
          <w:rFonts w:ascii="Calibri" w:hAnsi="Calibri" w:cs="Calibri"/>
          <w:spacing w:val="-2"/>
          <w:sz w:val="22"/>
          <w:szCs w:val="22"/>
        </w:rPr>
        <w:t xml:space="preserve"> </w:t>
      </w:r>
      <w:r w:rsidRPr="009942AF">
        <w:rPr>
          <w:rFonts w:ascii="Calibri" w:hAnsi="Calibri" w:cs="Calibri"/>
          <w:sz w:val="22"/>
          <w:szCs w:val="22"/>
        </w:rPr>
        <w:t>pass</w:t>
      </w:r>
      <w:r w:rsidRPr="009942AF">
        <w:rPr>
          <w:rFonts w:ascii="Calibri" w:hAnsi="Calibri" w:cs="Calibri"/>
          <w:spacing w:val="-2"/>
          <w:sz w:val="22"/>
          <w:szCs w:val="22"/>
        </w:rPr>
        <w:t xml:space="preserve"> </w:t>
      </w:r>
      <w:r w:rsidRPr="009942AF">
        <w:rPr>
          <w:rFonts w:ascii="Calibri" w:hAnsi="Calibri" w:cs="Calibri"/>
          <w:sz w:val="22"/>
          <w:szCs w:val="22"/>
        </w:rPr>
        <w:t>through</w:t>
      </w:r>
      <w:r w:rsidRPr="009942AF">
        <w:rPr>
          <w:rFonts w:ascii="Calibri" w:hAnsi="Calibri" w:cs="Calibri"/>
          <w:spacing w:val="-3"/>
          <w:sz w:val="22"/>
          <w:szCs w:val="22"/>
        </w:rPr>
        <w:t xml:space="preserve"> </w:t>
      </w:r>
      <w:r w:rsidRPr="009942AF">
        <w:rPr>
          <w:rFonts w:ascii="Calibri" w:hAnsi="Calibri" w:cs="Calibri"/>
          <w:sz w:val="22"/>
          <w:szCs w:val="22"/>
        </w:rPr>
        <w:t>in</w:t>
      </w:r>
      <w:r w:rsidRPr="009942AF">
        <w:rPr>
          <w:rFonts w:ascii="Calibri" w:hAnsi="Calibri" w:cs="Calibri"/>
          <w:spacing w:val="-2"/>
          <w:sz w:val="22"/>
          <w:szCs w:val="22"/>
        </w:rPr>
        <w:t xml:space="preserve"> </w:t>
      </w:r>
      <w:r w:rsidRPr="009942AF">
        <w:rPr>
          <w:rFonts w:ascii="Calibri" w:hAnsi="Calibri" w:cs="Calibri"/>
          <w:spacing w:val="-4"/>
          <w:sz w:val="22"/>
          <w:szCs w:val="22"/>
        </w:rPr>
        <w:t>ARR.</w:t>
      </w:r>
    </w:p>
    <w:p w14:paraId="38BACF5D" w14:textId="77777777" w:rsidR="009942AF" w:rsidRPr="009942AF" w:rsidRDefault="009942AF" w:rsidP="00542D44">
      <w:pPr>
        <w:spacing w:before="120" w:after="120" w:line="360" w:lineRule="auto"/>
        <w:ind w:left="920" w:right="115"/>
        <w:jc w:val="both"/>
        <w:rPr>
          <w:rFonts w:ascii="Calibri" w:hAnsi="Calibri" w:cs="Calibri"/>
          <w:i/>
          <w:sz w:val="22"/>
          <w:szCs w:val="22"/>
        </w:rPr>
      </w:pPr>
      <w:r w:rsidRPr="009942AF">
        <w:rPr>
          <w:rFonts w:ascii="Calibri" w:hAnsi="Calibri" w:cs="Calibri"/>
          <w:sz w:val="22"/>
          <w:szCs w:val="22"/>
        </w:rPr>
        <w:t>As can be seen from the above, while the Utility is earning interest at 4-6% on its FDs, it is borrowing at around 8%, thereby clearly causing an additional cost burden of 2-4%.</w:t>
      </w:r>
    </w:p>
    <w:p w14:paraId="71B1FD4C" w14:textId="77777777" w:rsidR="009942AF" w:rsidRPr="009942AF" w:rsidRDefault="009942AF" w:rsidP="00542D44">
      <w:pPr>
        <w:spacing w:before="120" w:after="120" w:line="360" w:lineRule="auto"/>
        <w:ind w:left="920" w:right="115"/>
        <w:jc w:val="both"/>
        <w:rPr>
          <w:rFonts w:ascii="Calibri" w:eastAsia="Calibri" w:hAnsi="Calibri" w:cs="Calibri"/>
          <w:sz w:val="22"/>
          <w:szCs w:val="22"/>
        </w:rPr>
      </w:pPr>
    </w:p>
    <w:p w14:paraId="544F36A2" w14:textId="77777777" w:rsidR="009942AF" w:rsidRPr="009942AF" w:rsidRDefault="009942AF" w:rsidP="009942AF">
      <w:pPr>
        <w:spacing w:before="120" w:after="120" w:line="360" w:lineRule="auto"/>
        <w:ind w:left="920" w:right="115"/>
        <w:rPr>
          <w:rFonts w:ascii="Calibri" w:hAnsi="Calibri" w:cs="Calibri"/>
          <w:i/>
          <w:sz w:val="22"/>
          <w:szCs w:val="22"/>
        </w:rPr>
      </w:pPr>
      <w:r w:rsidRPr="009942AF">
        <w:rPr>
          <w:rFonts w:ascii="Calibri" w:eastAsia="Calibri" w:hAnsi="Calibri" w:cs="Calibri"/>
          <w:sz w:val="22"/>
          <w:szCs w:val="22"/>
        </w:rPr>
        <w:t>Impact for banks: Positive.</w:t>
      </w:r>
    </w:p>
    <w:p w14:paraId="7DEFBF96" w14:textId="77777777" w:rsidR="009942AF" w:rsidRPr="009942AF" w:rsidRDefault="009942AF" w:rsidP="009942AF">
      <w:pPr>
        <w:spacing w:before="114" w:after="120" w:line="360" w:lineRule="auto"/>
        <w:ind w:left="920" w:right="113"/>
        <w:rPr>
          <w:rFonts w:ascii="Calibri" w:hAnsi="Calibri" w:cs="Calibri"/>
          <w:i/>
          <w:sz w:val="22"/>
          <w:szCs w:val="22"/>
        </w:rPr>
      </w:pPr>
      <w:r w:rsidRPr="009942AF">
        <w:rPr>
          <w:rFonts w:ascii="Calibri" w:hAnsi="Calibri" w:cs="Calibri"/>
          <w:sz w:val="22"/>
          <w:szCs w:val="22"/>
        </w:rPr>
        <w:t>As</w:t>
      </w:r>
      <w:r w:rsidRPr="009942AF">
        <w:rPr>
          <w:rFonts w:ascii="Calibri" w:hAnsi="Calibri" w:cs="Calibri"/>
          <w:spacing w:val="-10"/>
          <w:sz w:val="22"/>
          <w:szCs w:val="22"/>
        </w:rPr>
        <w:t xml:space="preserve"> </w:t>
      </w:r>
      <w:r w:rsidRPr="009942AF">
        <w:rPr>
          <w:rFonts w:ascii="Calibri" w:hAnsi="Calibri" w:cs="Calibri"/>
          <w:sz w:val="22"/>
          <w:szCs w:val="22"/>
        </w:rPr>
        <w:t>is</w:t>
      </w:r>
      <w:r w:rsidRPr="009942AF">
        <w:rPr>
          <w:rFonts w:ascii="Calibri" w:hAnsi="Calibri" w:cs="Calibri"/>
          <w:spacing w:val="-9"/>
          <w:sz w:val="22"/>
          <w:szCs w:val="22"/>
        </w:rPr>
        <w:t xml:space="preserve"> </w:t>
      </w:r>
      <w:r w:rsidRPr="009942AF">
        <w:rPr>
          <w:rFonts w:ascii="Calibri" w:hAnsi="Calibri" w:cs="Calibri"/>
          <w:sz w:val="22"/>
          <w:szCs w:val="22"/>
        </w:rPr>
        <w:t>evident,</w:t>
      </w:r>
      <w:r w:rsidRPr="009942AF">
        <w:rPr>
          <w:rFonts w:ascii="Calibri" w:hAnsi="Calibri" w:cs="Calibri"/>
          <w:spacing w:val="-11"/>
          <w:sz w:val="22"/>
          <w:szCs w:val="22"/>
        </w:rPr>
        <w:t xml:space="preserve"> </w:t>
      </w:r>
      <w:r w:rsidRPr="009942AF">
        <w:rPr>
          <w:rFonts w:ascii="Calibri" w:hAnsi="Calibri" w:cs="Calibri"/>
          <w:sz w:val="22"/>
          <w:szCs w:val="22"/>
        </w:rPr>
        <w:t>only</w:t>
      </w:r>
      <w:r w:rsidRPr="009942AF">
        <w:rPr>
          <w:rFonts w:ascii="Calibri" w:hAnsi="Calibri" w:cs="Calibri"/>
          <w:spacing w:val="-8"/>
          <w:sz w:val="22"/>
          <w:szCs w:val="22"/>
        </w:rPr>
        <w:t xml:space="preserve"> </w:t>
      </w:r>
      <w:r w:rsidRPr="009942AF">
        <w:rPr>
          <w:rFonts w:ascii="Calibri" w:hAnsi="Calibri" w:cs="Calibri"/>
          <w:sz w:val="22"/>
          <w:szCs w:val="22"/>
        </w:rPr>
        <w:t>the</w:t>
      </w:r>
      <w:r w:rsidRPr="009942AF">
        <w:rPr>
          <w:rFonts w:ascii="Calibri" w:hAnsi="Calibri" w:cs="Calibri"/>
          <w:spacing w:val="-11"/>
          <w:sz w:val="22"/>
          <w:szCs w:val="22"/>
        </w:rPr>
        <w:t xml:space="preserve"> </w:t>
      </w:r>
      <w:r w:rsidRPr="009942AF">
        <w:rPr>
          <w:rFonts w:ascii="Calibri" w:hAnsi="Calibri" w:cs="Calibri"/>
          <w:sz w:val="22"/>
          <w:szCs w:val="22"/>
        </w:rPr>
        <w:t>Banks</w:t>
      </w:r>
      <w:r w:rsidRPr="009942AF">
        <w:rPr>
          <w:rFonts w:ascii="Calibri" w:hAnsi="Calibri" w:cs="Calibri"/>
          <w:spacing w:val="-9"/>
          <w:sz w:val="22"/>
          <w:szCs w:val="22"/>
        </w:rPr>
        <w:t xml:space="preserve"> </w:t>
      </w:r>
      <w:r w:rsidRPr="009942AF">
        <w:rPr>
          <w:rFonts w:ascii="Calibri" w:hAnsi="Calibri" w:cs="Calibri"/>
          <w:sz w:val="22"/>
          <w:szCs w:val="22"/>
        </w:rPr>
        <w:t>are</w:t>
      </w:r>
      <w:r w:rsidRPr="009942AF">
        <w:rPr>
          <w:rFonts w:ascii="Calibri" w:hAnsi="Calibri" w:cs="Calibri"/>
          <w:spacing w:val="-11"/>
          <w:sz w:val="22"/>
          <w:szCs w:val="22"/>
        </w:rPr>
        <w:t xml:space="preserve"> </w:t>
      </w:r>
      <w:r w:rsidRPr="009942AF">
        <w:rPr>
          <w:rFonts w:ascii="Calibri" w:hAnsi="Calibri" w:cs="Calibri"/>
          <w:sz w:val="22"/>
          <w:szCs w:val="22"/>
        </w:rPr>
        <w:t>the</w:t>
      </w:r>
      <w:r w:rsidRPr="009942AF">
        <w:rPr>
          <w:rFonts w:ascii="Calibri" w:hAnsi="Calibri" w:cs="Calibri"/>
          <w:spacing w:val="-11"/>
          <w:sz w:val="22"/>
          <w:szCs w:val="22"/>
        </w:rPr>
        <w:t xml:space="preserve"> </w:t>
      </w:r>
      <w:r w:rsidRPr="009942AF">
        <w:rPr>
          <w:rFonts w:ascii="Calibri" w:hAnsi="Calibri" w:cs="Calibri"/>
          <w:sz w:val="22"/>
          <w:szCs w:val="22"/>
        </w:rPr>
        <w:t>eventual</w:t>
      </w:r>
      <w:r w:rsidRPr="009942AF">
        <w:rPr>
          <w:rFonts w:ascii="Calibri" w:hAnsi="Calibri" w:cs="Calibri"/>
          <w:spacing w:val="-9"/>
          <w:sz w:val="22"/>
          <w:szCs w:val="22"/>
        </w:rPr>
        <w:t xml:space="preserve"> </w:t>
      </w:r>
      <w:r w:rsidRPr="009942AF">
        <w:rPr>
          <w:rFonts w:ascii="Calibri" w:hAnsi="Calibri" w:cs="Calibri"/>
          <w:sz w:val="22"/>
          <w:szCs w:val="22"/>
        </w:rPr>
        <w:t>beneficiaries</w:t>
      </w:r>
      <w:r w:rsidRPr="009942AF">
        <w:rPr>
          <w:rFonts w:ascii="Calibri" w:hAnsi="Calibri" w:cs="Calibri"/>
          <w:spacing w:val="-9"/>
          <w:sz w:val="22"/>
          <w:szCs w:val="22"/>
        </w:rPr>
        <w:t xml:space="preserve"> </w:t>
      </w:r>
      <w:r w:rsidRPr="009942AF">
        <w:rPr>
          <w:rFonts w:ascii="Calibri" w:hAnsi="Calibri" w:cs="Calibri"/>
          <w:sz w:val="22"/>
          <w:szCs w:val="22"/>
        </w:rPr>
        <w:t>as</w:t>
      </w:r>
      <w:r w:rsidRPr="009942AF">
        <w:rPr>
          <w:rFonts w:ascii="Calibri" w:hAnsi="Calibri" w:cs="Calibri"/>
          <w:spacing w:val="-12"/>
          <w:sz w:val="22"/>
          <w:szCs w:val="22"/>
        </w:rPr>
        <w:t xml:space="preserve"> </w:t>
      </w:r>
      <w:r w:rsidRPr="009942AF">
        <w:rPr>
          <w:rFonts w:ascii="Calibri" w:hAnsi="Calibri" w:cs="Calibri"/>
          <w:sz w:val="22"/>
          <w:szCs w:val="22"/>
        </w:rPr>
        <w:t>they</w:t>
      </w:r>
      <w:r w:rsidRPr="009942AF">
        <w:rPr>
          <w:rFonts w:ascii="Calibri" w:hAnsi="Calibri" w:cs="Calibri"/>
          <w:spacing w:val="-10"/>
          <w:sz w:val="22"/>
          <w:szCs w:val="22"/>
        </w:rPr>
        <w:t xml:space="preserve"> </w:t>
      </w:r>
      <w:r w:rsidRPr="009942AF">
        <w:rPr>
          <w:rFonts w:ascii="Calibri" w:hAnsi="Calibri" w:cs="Calibri"/>
          <w:sz w:val="22"/>
          <w:szCs w:val="22"/>
        </w:rPr>
        <w:t>raise</w:t>
      </w:r>
      <w:r w:rsidRPr="009942AF">
        <w:rPr>
          <w:rFonts w:ascii="Calibri" w:hAnsi="Calibri" w:cs="Calibri"/>
          <w:spacing w:val="-11"/>
          <w:sz w:val="22"/>
          <w:szCs w:val="22"/>
        </w:rPr>
        <w:t xml:space="preserve"> </w:t>
      </w:r>
      <w:r w:rsidRPr="009942AF">
        <w:rPr>
          <w:rFonts w:ascii="Calibri" w:hAnsi="Calibri" w:cs="Calibri"/>
          <w:sz w:val="22"/>
          <w:szCs w:val="22"/>
        </w:rPr>
        <w:t>deposits</w:t>
      </w:r>
      <w:r w:rsidRPr="009942AF">
        <w:rPr>
          <w:rFonts w:ascii="Calibri" w:hAnsi="Calibri" w:cs="Calibri"/>
          <w:spacing w:val="-9"/>
          <w:sz w:val="22"/>
          <w:szCs w:val="22"/>
        </w:rPr>
        <w:t xml:space="preserve"> </w:t>
      </w:r>
      <w:r w:rsidRPr="009942AF">
        <w:rPr>
          <w:rFonts w:ascii="Calibri" w:hAnsi="Calibri" w:cs="Calibri"/>
          <w:sz w:val="22"/>
          <w:szCs w:val="22"/>
        </w:rPr>
        <w:t>at</w:t>
      </w:r>
      <w:r w:rsidRPr="009942AF">
        <w:rPr>
          <w:rFonts w:ascii="Calibri" w:hAnsi="Calibri" w:cs="Calibri"/>
          <w:spacing w:val="-8"/>
          <w:sz w:val="22"/>
          <w:szCs w:val="22"/>
        </w:rPr>
        <w:t xml:space="preserve"> </w:t>
      </w:r>
      <w:r w:rsidRPr="009942AF">
        <w:rPr>
          <w:rFonts w:ascii="Calibri" w:hAnsi="Calibri" w:cs="Calibri"/>
          <w:sz w:val="22"/>
          <w:szCs w:val="22"/>
        </w:rPr>
        <w:t>4-6%</w:t>
      </w:r>
      <w:r w:rsidRPr="009942AF">
        <w:rPr>
          <w:rFonts w:ascii="Calibri" w:hAnsi="Calibri" w:cs="Calibri"/>
          <w:spacing w:val="-11"/>
          <w:sz w:val="22"/>
          <w:szCs w:val="22"/>
        </w:rPr>
        <w:t xml:space="preserve"> </w:t>
      </w:r>
      <w:r w:rsidRPr="009942AF">
        <w:rPr>
          <w:rFonts w:ascii="Calibri" w:hAnsi="Calibri" w:cs="Calibri"/>
          <w:sz w:val="22"/>
          <w:szCs w:val="22"/>
        </w:rPr>
        <w:t>and</w:t>
      </w:r>
      <w:r w:rsidRPr="009942AF">
        <w:rPr>
          <w:rFonts w:ascii="Calibri" w:hAnsi="Calibri" w:cs="Calibri"/>
          <w:spacing w:val="-10"/>
          <w:sz w:val="22"/>
          <w:szCs w:val="22"/>
        </w:rPr>
        <w:t xml:space="preserve"> </w:t>
      </w:r>
      <w:r w:rsidRPr="009942AF">
        <w:rPr>
          <w:rFonts w:ascii="Calibri" w:hAnsi="Calibri" w:cs="Calibri"/>
          <w:sz w:val="22"/>
          <w:szCs w:val="22"/>
        </w:rPr>
        <w:t>lend the</w:t>
      </w:r>
      <w:r w:rsidRPr="009942AF">
        <w:rPr>
          <w:rFonts w:ascii="Calibri" w:hAnsi="Calibri" w:cs="Calibri"/>
          <w:spacing w:val="-2"/>
          <w:sz w:val="22"/>
          <w:szCs w:val="22"/>
        </w:rPr>
        <w:t xml:space="preserve"> </w:t>
      </w:r>
      <w:r w:rsidRPr="009942AF">
        <w:rPr>
          <w:rFonts w:ascii="Calibri" w:hAnsi="Calibri" w:cs="Calibri"/>
          <w:sz w:val="22"/>
          <w:szCs w:val="22"/>
        </w:rPr>
        <w:t>same</w:t>
      </w:r>
      <w:r w:rsidRPr="009942AF">
        <w:rPr>
          <w:rFonts w:ascii="Calibri" w:hAnsi="Calibri" w:cs="Calibri"/>
          <w:spacing w:val="-4"/>
          <w:sz w:val="22"/>
          <w:szCs w:val="22"/>
        </w:rPr>
        <w:t xml:space="preserve"> </w:t>
      </w:r>
      <w:r w:rsidRPr="009942AF">
        <w:rPr>
          <w:rFonts w:ascii="Calibri" w:hAnsi="Calibri" w:cs="Calibri"/>
          <w:sz w:val="22"/>
          <w:szCs w:val="22"/>
        </w:rPr>
        <w:t>money</w:t>
      </w:r>
      <w:r w:rsidRPr="009942AF">
        <w:rPr>
          <w:rFonts w:ascii="Calibri" w:hAnsi="Calibri" w:cs="Calibri"/>
          <w:spacing w:val="-1"/>
          <w:sz w:val="22"/>
          <w:szCs w:val="22"/>
        </w:rPr>
        <w:t xml:space="preserve"> </w:t>
      </w:r>
      <w:r w:rsidRPr="009942AF">
        <w:rPr>
          <w:rFonts w:ascii="Calibri" w:hAnsi="Calibri" w:cs="Calibri"/>
          <w:sz w:val="22"/>
          <w:szCs w:val="22"/>
        </w:rPr>
        <w:t>back</w:t>
      </w:r>
      <w:r w:rsidRPr="009942AF">
        <w:rPr>
          <w:rFonts w:ascii="Calibri" w:hAnsi="Calibri" w:cs="Calibri"/>
          <w:spacing w:val="-2"/>
          <w:sz w:val="22"/>
          <w:szCs w:val="22"/>
        </w:rPr>
        <w:t xml:space="preserve"> </w:t>
      </w:r>
      <w:r w:rsidRPr="009942AF">
        <w:rPr>
          <w:rFonts w:ascii="Calibri" w:hAnsi="Calibri" w:cs="Calibri"/>
          <w:sz w:val="22"/>
          <w:szCs w:val="22"/>
        </w:rPr>
        <w:t>to</w:t>
      </w:r>
      <w:r w:rsidRPr="009942AF">
        <w:rPr>
          <w:rFonts w:ascii="Calibri" w:hAnsi="Calibri" w:cs="Calibri"/>
          <w:spacing w:val="-1"/>
          <w:sz w:val="22"/>
          <w:szCs w:val="22"/>
        </w:rPr>
        <w:t xml:space="preserve"> </w:t>
      </w:r>
      <w:r w:rsidRPr="009942AF">
        <w:rPr>
          <w:rFonts w:ascii="Calibri" w:hAnsi="Calibri" w:cs="Calibri"/>
          <w:sz w:val="22"/>
          <w:szCs w:val="22"/>
        </w:rPr>
        <w:t>the</w:t>
      </w:r>
      <w:r w:rsidRPr="009942AF">
        <w:rPr>
          <w:rFonts w:ascii="Calibri" w:hAnsi="Calibri" w:cs="Calibri"/>
          <w:spacing w:val="-2"/>
          <w:sz w:val="22"/>
          <w:szCs w:val="22"/>
        </w:rPr>
        <w:t xml:space="preserve"> </w:t>
      </w:r>
      <w:r w:rsidRPr="009942AF">
        <w:rPr>
          <w:rFonts w:ascii="Calibri" w:hAnsi="Calibri" w:cs="Calibri"/>
          <w:sz w:val="22"/>
          <w:szCs w:val="22"/>
        </w:rPr>
        <w:t>Utilities</w:t>
      </w:r>
      <w:r w:rsidRPr="009942AF">
        <w:rPr>
          <w:rFonts w:ascii="Calibri" w:hAnsi="Calibri" w:cs="Calibri"/>
          <w:spacing w:val="-2"/>
          <w:sz w:val="22"/>
          <w:szCs w:val="22"/>
        </w:rPr>
        <w:t xml:space="preserve"> </w:t>
      </w:r>
      <w:r w:rsidRPr="009942AF">
        <w:rPr>
          <w:rFonts w:ascii="Calibri" w:hAnsi="Calibri" w:cs="Calibri"/>
          <w:sz w:val="22"/>
          <w:szCs w:val="22"/>
        </w:rPr>
        <w:t>at</w:t>
      </w:r>
      <w:r w:rsidRPr="009942AF">
        <w:rPr>
          <w:rFonts w:ascii="Calibri" w:hAnsi="Calibri" w:cs="Calibri"/>
          <w:spacing w:val="-2"/>
          <w:sz w:val="22"/>
          <w:szCs w:val="22"/>
        </w:rPr>
        <w:t xml:space="preserve"> </w:t>
      </w:r>
      <w:r w:rsidRPr="009942AF">
        <w:rPr>
          <w:rFonts w:ascii="Calibri" w:hAnsi="Calibri" w:cs="Calibri"/>
          <w:sz w:val="22"/>
          <w:szCs w:val="22"/>
        </w:rPr>
        <w:t>around</w:t>
      </w:r>
      <w:r w:rsidRPr="009942AF">
        <w:rPr>
          <w:rFonts w:ascii="Calibri" w:hAnsi="Calibri" w:cs="Calibri"/>
          <w:spacing w:val="-3"/>
          <w:sz w:val="22"/>
          <w:szCs w:val="22"/>
        </w:rPr>
        <w:t xml:space="preserve"> </w:t>
      </w:r>
      <w:r w:rsidRPr="009942AF">
        <w:rPr>
          <w:rFonts w:ascii="Calibri" w:hAnsi="Calibri" w:cs="Calibri"/>
          <w:sz w:val="22"/>
          <w:szCs w:val="22"/>
        </w:rPr>
        <w:t>8%,</w:t>
      </w:r>
      <w:r w:rsidRPr="009942AF">
        <w:rPr>
          <w:rFonts w:ascii="Calibri" w:hAnsi="Calibri" w:cs="Calibri"/>
          <w:spacing w:val="-4"/>
          <w:sz w:val="22"/>
          <w:szCs w:val="22"/>
        </w:rPr>
        <w:t xml:space="preserve"> </w:t>
      </w:r>
      <w:r w:rsidRPr="009942AF">
        <w:rPr>
          <w:rFonts w:ascii="Calibri" w:hAnsi="Calibri" w:cs="Calibri"/>
          <w:sz w:val="22"/>
          <w:szCs w:val="22"/>
        </w:rPr>
        <w:t>which</w:t>
      </w:r>
      <w:r w:rsidRPr="009942AF">
        <w:rPr>
          <w:rFonts w:ascii="Calibri" w:hAnsi="Calibri" w:cs="Calibri"/>
          <w:spacing w:val="-3"/>
          <w:sz w:val="22"/>
          <w:szCs w:val="22"/>
        </w:rPr>
        <w:t xml:space="preserve"> </w:t>
      </w:r>
      <w:r w:rsidRPr="009942AF">
        <w:rPr>
          <w:rFonts w:ascii="Calibri" w:hAnsi="Calibri" w:cs="Calibri"/>
          <w:sz w:val="22"/>
          <w:szCs w:val="22"/>
        </w:rPr>
        <w:t>is</w:t>
      </w:r>
      <w:r w:rsidRPr="009942AF">
        <w:rPr>
          <w:rFonts w:ascii="Calibri" w:hAnsi="Calibri" w:cs="Calibri"/>
          <w:spacing w:val="-2"/>
          <w:sz w:val="22"/>
          <w:szCs w:val="22"/>
        </w:rPr>
        <w:t xml:space="preserve"> </w:t>
      </w:r>
      <w:r w:rsidRPr="009942AF">
        <w:rPr>
          <w:rFonts w:ascii="Calibri" w:hAnsi="Calibri" w:cs="Calibri"/>
          <w:sz w:val="22"/>
          <w:szCs w:val="22"/>
        </w:rPr>
        <w:t>loaded</w:t>
      </w:r>
      <w:r w:rsidRPr="009942AF">
        <w:rPr>
          <w:rFonts w:ascii="Calibri" w:hAnsi="Calibri" w:cs="Calibri"/>
          <w:spacing w:val="-2"/>
          <w:sz w:val="22"/>
          <w:szCs w:val="22"/>
        </w:rPr>
        <w:t xml:space="preserve"> </w:t>
      </w:r>
      <w:r w:rsidRPr="009942AF">
        <w:rPr>
          <w:rFonts w:ascii="Calibri" w:hAnsi="Calibri" w:cs="Calibri"/>
          <w:sz w:val="22"/>
          <w:szCs w:val="22"/>
        </w:rPr>
        <w:t>on consumer</w:t>
      </w:r>
      <w:r w:rsidRPr="009942AF">
        <w:rPr>
          <w:rFonts w:ascii="Calibri" w:hAnsi="Calibri" w:cs="Calibri"/>
          <w:spacing w:val="-4"/>
          <w:sz w:val="22"/>
          <w:szCs w:val="22"/>
        </w:rPr>
        <w:t xml:space="preserve"> </w:t>
      </w:r>
      <w:r w:rsidRPr="009942AF">
        <w:rPr>
          <w:rFonts w:ascii="Calibri" w:hAnsi="Calibri" w:cs="Calibri"/>
          <w:sz w:val="22"/>
          <w:szCs w:val="22"/>
        </w:rPr>
        <w:t>as</w:t>
      </w:r>
      <w:r w:rsidRPr="009942AF">
        <w:rPr>
          <w:rFonts w:ascii="Calibri" w:hAnsi="Calibri" w:cs="Calibri"/>
          <w:spacing w:val="-2"/>
          <w:sz w:val="22"/>
          <w:szCs w:val="22"/>
        </w:rPr>
        <w:t xml:space="preserve"> </w:t>
      </w:r>
      <w:r w:rsidRPr="009942AF">
        <w:rPr>
          <w:rFonts w:ascii="Calibri" w:hAnsi="Calibri" w:cs="Calibri"/>
          <w:sz w:val="22"/>
          <w:szCs w:val="22"/>
        </w:rPr>
        <w:t>interest</w:t>
      </w:r>
      <w:r w:rsidRPr="009942AF">
        <w:rPr>
          <w:rFonts w:ascii="Calibri" w:hAnsi="Calibri" w:cs="Calibri"/>
          <w:spacing w:val="-2"/>
          <w:sz w:val="22"/>
          <w:szCs w:val="22"/>
        </w:rPr>
        <w:t xml:space="preserve"> </w:t>
      </w:r>
      <w:r w:rsidRPr="009942AF">
        <w:rPr>
          <w:rFonts w:ascii="Calibri" w:hAnsi="Calibri" w:cs="Calibri"/>
          <w:sz w:val="22"/>
          <w:szCs w:val="22"/>
        </w:rPr>
        <w:t>cost in tariff.</w:t>
      </w:r>
    </w:p>
    <w:p w14:paraId="7195DC6B" w14:textId="77777777" w:rsidR="009942AF" w:rsidRPr="009942AF" w:rsidRDefault="009942AF" w:rsidP="009942AF">
      <w:pPr>
        <w:spacing w:before="114" w:after="120" w:line="360" w:lineRule="auto"/>
        <w:ind w:left="720" w:right="113"/>
        <w:rPr>
          <w:rFonts w:ascii="Calibri" w:hAnsi="Calibri" w:cs="Calibri"/>
          <w:i/>
          <w:sz w:val="22"/>
          <w:szCs w:val="22"/>
        </w:rPr>
      </w:pPr>
    </w:p>
    <w:p w14:paraId="1D35E9B0" w14:textId="34E609EB" w:rsidR="009942AF" w:rsidRPr="00542D44" w:rsidRDefault="00542D44" w:rsidP="009942AF">
      <w:pPr>
        <w:spacing w:before="114" w:after="120" w:line="360" w:lineRule="auto"/>
        <w:ind w:left="360" w:right="113"/>
        <w:rPr>
          <w:rFonts w:ascii="Calibri" w:hAnsi="Calibri" w:cs="Calibri"/>
          <w:b/>
          <w:i/>
          <w:sz w:val="22"/>
          <w:szCs w:val="22"/>
          <w:u w:val="single"/>
        </w:rPr>
      </w:pPr>
      <w:r w:rsidRPr="00542D44">
        <w:rPr>
          <w:rFonts w:ascii="Calibri" w:hAnsi="Calibri" w:cs="Calibri"/>
          <w:b/>
          <w:sz w:val="22"/>
          <w:szCs w:val="22"/>
        </w:rPr>
        <w:t xml:space="preserve">        </w:t>
      </w:r>
      <w:r w:rsidR="009942AF" w:rsidRPr="00542D44">
        <w:rPr>
          <w:rFonts w:ascii="Calibri" w:hAnsi="Calibri" w:cs="Calibri"/>
          <w:b/>
          <w:sz w:val="22"/>
          <w:szCs w:val="22"/>
          <w:u w:val="single"/>
        </w:rPr>
        <w:t>Proposal</w:t>
      </w:r>
    </w:p>
    <w:p w14:paraId="3852BF4F" w14:textId="77777777" w:rsidR="009942AF" w:rsidRPr="009942AF" w:rsidRDefault="009942AF" w:rsidP="009942AF">
      <w:pPr>
        <w:spacing w:before="114" w:after="120" w:line="360" w:lineRule="auto"/>
        <w:ind w:left="360" w:right="113"/>
        <w:rPr>
          <w:rFonts w:ascii="Calibri" w:hAnsi="Calibri" w:cs="Calibri"/>
          <w:b/>
          <w:i/>
          <w:sz w:val="22"/>
          <w:szCs w:val="22"/>
          <w:u w:val="single"/>
        </w:rPr>
      </w:pPr>
    </w:p>
    <w:p w14:paraId="59820048" w14:textId="77777777" w:rsidR="009942AF" w:rsidRPr="009942AF" w:rsidRDefault="009942AF" w:rsidP="00542D44">
      <w:pPr>
        <w:spacing w:line="360" w:lineRule="auto"/>
        <w:ind w:left="567"/>
        <w:jc w:val="both"/>
        <w:rPr>
          <w:rFonts w:ascii="Calibri" w:hAnsi="Calibri" w:cs="Calibri"/>
          <w:b/>
          <w:sz w:val="22"/>
          <w:szCs w:val="22"/>
          <w:lang w:eastAsia="en-IN"/>
        </w:rPr>
      </w:pPr>
      <w:r w:rsidRPr="009942AF">
        <w:rPr>
          <w:rFonts w:ascii="Calibri" w:hAnsi="Calibri" w:cs="Calibri"/>
          <w:sz w:val="22"/>
          <w:szCs w:val="22"/>
          <w:lang w:eastAsia="en-IN"/>
        </w:rPr>
        <w:t xml:space="preserve">Considering the significant interest rate arbitrage which is presently being borne by the Consumers through the ARR/ Tariff mechanism, it is proposed that the Utilities be permitted to </w:t>
      </w:r>
      <w:proofErr w:type="spellStart"/>
      <w:r w:rsidRPr="009942AF">
        <w:rPr>
          <w:rFonts w:ascii="Calibri" w:hAnsi="Calibri" w:cs="Calibri"/>
          <w:sz w:val="22"/>
          <w:szCs w:val="22"/>
          <w:lang w:eastAsia="en-IN"/>
        </w:rPr>
        <w:t>utilise</w:t>
      </w:r>
      <w:proofErr w:type="spellEnd"/>
      <w:r w:rsidRPr="009942AF">
        <w:rPr>
          <w:rFonts w:ascii="Calibri" w:hAnsi="Calibri" w:cs="Calibri"/>
          <w:sz w:val="22"/>
          <w:szCs w:val="22"/>
          <w:lang w:eastAsia="en-IN"/>
        </w:rPr>
        <w:t xml:space="preserve"> the Consumer Security Amount available with them in form of Fixed Deposits, in lieu of Debt for the purpose of financing planned capital expenditure / working capital. </w:t>
      </w:r>
      <w:r w:rsidRPr="009942AF">
        <w:rPr>
          <w:rFonts w:ascii="Calibri" w:hAnsi="Calibri" w:cs="Calibri"/>
          <w:b/>
          <w:sz w:val="22"/>
          <w:szCs w:val="22"/>
          <w:lang w:eastAsia="en-IN"/>
        </w:rPr>
        <w:t>It is worthwhile to point out that with roll out of Pre-paid Smart Meters, the CSD of consumers with Smart Pre-paid meters, will in any case be liquidated and treated as advance payment towards energy bills.</w:t>
      </w:r>
    </w:p>
    <w:p w14:paraId="6B51A80A" w14:textId="77777777" w:rsidR="009942AF" w:rsidRPr="009942AF" w:rsidRDefault="009942AF" w:rsidP="009942AF">
      <w:pPr>
        <w:spacing w:line="360" w:lineRule="auto"/>
        <w:rPr>
          <w:rFonts w:ascii="Calibri" w:hAnsi="Calibri" w:cs="Calibri"/>
          <w:b/>
          <w:sz w:val="22"/>
          <w:szCs w:val="22"/>
          <w:lang w:eastAsia="en-IN"/>
        </w:rPr>
      </w:pPr>
    </w:p>
    <w:p w14:paraId="36A87853" w14:textId="0FDDE6D7" w:rsidR="009942AF" w:rsidRPr="009942AF" w:rsidRDefault="00542D44" w:rsidP="00542D44">
      <w:pPr>
        <w:spacing w:before="114" w:after="120" w:line="360" w:lineRule="auto"/>
        <w:ind w:left="567" w:right="113"/>
        <w:rPr>
          <w:rFonts w:ascii="Calibri" w:hAnsi="Calibri" w:cs="Calibri"/>
          <w:b/>
          <w:i/>
          <w:sz w:val="22"/>
          <w:szCs w:val="22"/>
          <w:u w:val="single"/>
        </w:rPr>
      </w:pPr>
      <w:r>
        <w:rPr>
          <w:rFonts w:ascii="Calibri" w:hAnsi="Calibri" w:cs="Calibri"/>
          <w:b/>
          <w:sz w:val="22"/>
          <w:szCs w:val="22"/>
          <w:u w:val="single"/>
        </w:rPr>
        <w:t xml:space="preserve"> </w:t>
      </w:r>
      <w:r w:rsidR="009942AF" w:rsidRPr="009942AF">
        <w:rPr>
          <w:rFonts w:ascii="Calibri" w:hAnsi="Calibri" w:cs="Calibri"/>
          <w:b/>
          <w:sz w:val="22"/>
          <w:szCs w:val="22"/>
          <w:u w:val="single"/>
        </w:rPr>
        <w:t>Benefits</w:t>
      </w:r>
    </w:p>
    <w:p w14:paraId="781CE92E" w14:textId="77777777" w:rsidR="009942AF" w:rsidRPr="009942AF" w:rsidRDefault="009942AF" w:rsidP="009942AF">
      <w:pPr>
        <w:spacing w:line="360" w:lineRule="auto"/>
        <w:rPr>
          <w:rFonts w:ascii="Calibri" w:hAnsi="Calibri" w:cs="Calibri"/>
          <w:b/>
          <w:sz w:val="22"/>
          <w:szCs w:val="22"/>
          <w:lang w:eastAsia="en-IN"/>
        </w:rPr>
      </w:pPr>
    </w:p>
    <w:p w14:paraId="082A9289" w14:textId="77777777" w:rsidR="009942AF" w:rsidRPr="009942AF" w:rsidRDefault="009942AF" w:rsidP="00542D44">
      <w:pPr>
        <w:spacing w:line="360" w:lineRule="auto"/>
        <w:ind w:left="567"/>
        <w:jc w:val="both"/>
        <w:rPr>
          <w:rFonts w:ascii="Calibri" w:hAnsi="Calibri" w:cs="Calibri"/>
          <w:sz w:val="22"/>
          <w:szCs w:val="22"/>
          <w:lang w:eastAsia="en-IN"/>
        </w:rPr>
      </w:pPr>
      <w:r w:rsidRPr="009942AF">
        <w:rPr>
          <w:rFonts w:ascii="Calibri" w:hAnsi="Calibri" w:cs="Calibri"/>
          <w:sz w:val="22"/>
          <w:szCs w:val="22"/>
          <w:lang w:eastAsia="en-IN"/>
        </w:rPr>
        <w:t>The above proposal, in case accepted by the Hon’ble Commission, shall enable a reduction of the overall interest cost for the Utility, which in turn reduces the tariff for the end consumer.</w:t>
      </w:r>
    </w:p>
    <w:p w14:paraId="644438F5" w14:textId="77777777" w:rsidR="009942AF" w:rsidRPr="009942AF" w:rsidRDefault="009942AF" w:rsidP="00542D44">
      <w:pPr>
        <w:spacing w:line="360" w:lineRule="auto"/>
        <w:ind w:left="567"/>
        <w:jc w:val="both"/>
        <w:rPr>
          <w:rFonts w:ascii="Calibri" w:hAnsi="Calibri" w:cs="Calibri"/>
          <w:sz w:val="22"/>
          <w:szCs w:val="22"/>
          <w:lang w:eastAsia="en-IN"/>
        </w:rPr>
      </w:pPr>
    </w:p>
    <w:p w14:paraId="2849E8C5" w14:textId="77777777" w:rsidR="009942AF" w:rsidRPr="009942AF" w:rsidRDefault="009942AF" w:rsidP="00542D44">
      <w:pPr>
        <w:spacing w:line="360" w:lineRule="auto"/>
        <w:ind w:left="567"/>
        <w:jc w:val="both"/>
        <w:rPr>
          <w:rFonts w:ascii="Calibri" w:hAnsi="Calibri" w:cs="Calibri"/>
          <w:sz w:val="22"/>
          <w:szCs w:val="22"/>
          <w:lang w:eastAsia="en-IN"/>
        </w:rPr>
      </w:pPr>
      <w:r w:rsidRPr="009942AF">
        <w:rPr>
          <w:rFonts w:ascii="Calibri" w:hAnsi="Calibri" w:cs="Calibri"/>
          <w:sz w:val="22"/>
          <w:szCs w:val="22"/>
          <w:lang w:eastAsia="en-IN"/>
        </w:rPr>
        <w:t xml:space="preserve">In-line with the Regulation 2.14.2 of the Tariff Regulations, 2022 relating to sharing of Gains on Refinancing of Loans, the savings in the financing/ interest costs shall be shared, 1/3rd with Consumer as reduction in his Energy Bill, 1/3rd retained as tariff balancing reserve with the residual 1/3rd retained by the </w:t>
      </w:r>
      <w:proofErr w:type="spellStart"/>
      <w:r w:rsidRPr="009942AF">
        <w:rPr>
          <w:rFonts w:ascii="Calibri" w:hAnsi="Calibri" w:cs="Calibri"/>
          <w:sz w:val="22"/>
          <w:szCs w:val="22"/>
          <w:lang w:eastAsia="en-IN"/>
        </w:rPr>
        <w:t>Discom</w:t>
      </w:r>
      <w:proofErr w:type="spellEnd"/>
      <w:r w:rsidRPr="009942AF">
        <w:rPr>
          <w:rFonts w:ascii="Calibri" w:hAnsi="Calibri" w:cs="Calibri"/>
          <w:sz w:val="22"/>
          <w:szCs w:val="22"/>
          <w:lang w:eastAsia="en-IN"/>
        </w:rPr>
        <w:t xml:space="preserve"> as its incentive for reducing financing costs for the consumers.</w:t>
      </w:r>
    </w:p>
    <w:p w14:paraId="36739845" w14:textId="77777777" w:rsidR="009942AF" w:rsidRPr="009942AF" w:rsidRDefault="009942AF" w:rsidP="009942AF">
      <w:pPr>
        <w:spacing w:line="360" w:lineRule="auto"/>
        <w:rPr>
          <w:rFonts w:ascii="Calibri" w:hAnsi="Calibri" w:cs="Calibri"/>
          <w:sz w:val="22"/>
          <w:szCs w:val="22"/>
          <w:lang w:eastAsia="en-IN"/>
        </w:rPr>
      </w:pPr>
    </w:p>
    <w:p w14:paraId="0BA56C95" w14:textId="77777777" w:rsidR="009942AF" w:rsidRPr="00E66BA2" w:rsidRDefault="009942AF" w:rsidP="00E66BA2">
      <w:pPr>
        <w:spacing w:before="114" w:after="120" w:line="360" w:lineRule="auto"/>
        <w:ind w:left="567" w:right="113"/>
        <w:rPr>
          <w:rFonts w:ascii="Calibri" w:hAnsi="Calibri" w:cs="Calibri"/>
          <w:b/>
          <w:i/>
          <w:szCs w:val="22"/>
          <w:u w:val="single"/>
        </w:rPr>
      </w:pPr>
      <w:r w:rsidRPr="00E66BA2">
        <w:rPr>
          <w:rFonts w:ascii="Calibri" w:hAnsi="Calibri" w:cs="Calibri"/>
          <w:b/>
          <w:szCs w:val="22"/>
          <w:u w:val="single"/>
        </w:rPr>
        <w:lastRenderedPageBreak/>
        <w:t xml:space="preserve">SOP for </w:t>
      </w:r>
      <w:proofErr w:type="spellStart"/>
      <w:r w:rsidRPr="00E66BA2">
        <w:rPr>
          <w:rFonts w:ascii="Calibri" w:hAnsi="Calibri" w:cs="Calibri"/>
          <w:b/>
          <w:szCs w:val="22"/>
          <w:u w:val="single"/>
        </w:rPr>
        <w:t>utilisation</w:t>
      </w:r>
      <w:proofErr w:type="spellEnd"/>
      <w:r w:rsidRPr="00E66BA2">
        <w:rPr>
          <w:rFonts w:ascii="Calibri" w:hAnsi="Calibri" w:cs="Calibri"/>
          <w:b/>
          <w:szCs w:val="22"/>
          <w:u w:val="single"/>
        </w:rPr>
        <w:t xml:space="preserve"> Security Deposits</w:t>
      </w:r>
    </w:p>
    <w:p w14:paraId="6443379D" w14:textId="77777777" w:rsidR="009942AF" w:rsidRPr="009942AF" w:rsidRDefault="009942AF" w:rsidP="00E66BA2">
      <w:pPr>
        <w:spacing w:before="114" w:after="120" w:line="360" w:lineRule="auto"/>
        <w:ind w:left="567" w:right="113"/>
        <w:jc w:val="both"/>
        <w:rPr>
          <w:rFonts w:ascii="Calibri" w:hAnsi="Calibri" w:cs="Calibri"/>
          <w:b/>
          <w:i/>
          <w:sz w:val="22"/>
          <w:szCs w:val="22"/>
          <w:u w:val="single"/>
        </w:rPr>
      </w:pPr>
      <w:r w:rsidRPr="009942AF">
        <w:rPr>
          <w:rFonts w:ascii="Calibri" w:hAnsi="Calibri" w:cs="Calibri"/>
          <w:sz w:val="22"/>
          <w:szCs w:val="22"/>
          <w:lang w:eastAsia="en-IN"/>
        </w:rPr>
        <w:t xml:space="preserve">We appreciate the sensitivity around </w:t>
      </w:r>
      <w:proofErr w:type="spellStart"/>
      <w:r w:rsidRPr="009942AF">
        <w:rPr>
          <w:rFonts w:ascii="Calibri" w:hAnsi="Calibri" w:cs="Calibri"/>
          <w:sz w:val="22"/>
          <w:szCs w:val="22"/>
          <w:lang w:eastAsia="en-IN"/>
        </w:rPr>
        <w:t>utilisation</w:t>
      </w:r>
      <w:proofErr w:type="spellEnd"/>
      <w:r w:rsidRPr="009942AF">
        <w:rPr>
          <w:rFonts w:ascii="Calibri" w:hAnsi="Calibri" w:cs="Calibri"/>
          <w:sz w:val="22"/>
          <w:szCs w:val="22"/>
          <w:lang w:eastAsia="en-IN"/>
        </w:rPr>
        <w:t xml:space="preserve"> of Consumer Security Deposits rather than maintaining the same as Fixed Deposits.</w:t>
      </w:r>
    </w:p>
    <w:p w14:paraId="01B977AD" w14:textId="77777777" w:rsidR="009942AF" w:rsidRPr="009942AF" w:rsidRDefault="009942AF" w:rsidP="00E66BA2">
      <w:pPr>
        <w:spacing w:before="114" w:after="120" w:line="360" w:lineRule="auto"/>
        <w:ind w:left="567" w:right="113"/>
        <w:jc w:val="both"/>
        <w:rPr>
          <w:rFonts w:ascii="Calibri" w:hAnsi="Calibri" w:cs="Calibri"/>
          <w:sz w:val="22"/>
          <w:szCs w:val="22"/>
          <w:lang w:eastAsia="en-IN"/>
        </w:rPr>
      </w:pPr>
    </w:p>
    <w:p w14:paraId="4330E211" w14:textId="77777777" w:rsidR="009942AF" w:rsidRPr="009942AF" w:rsidRDefault="009942AF" w:rsidP="00E66BA2">
      <w:pPr>
        <w:spacing w:before="114" w:after="120" w:line="360" w:lineRule="auto"/>
        <w:ind w:left="567" w:right="113"/>
        <w:jc w:val="both"/>
        <w:rPr>
          <w:rFonts w:ascii="Calibri" w:hAnsi="Calibri" w:cs="Calibri"/>
          <w:b/>
          <w:i/>
          <w:sz w:val="22"/>
          <w:szCs w:val="22"/>
          <w:u w:val="single"/>
        </w:rPr>
      </w:pPr>
      <w:r w:rsidRPr="009942AF">
        <w:rPr>
          <w:rFonts w:ascii="Calibri" w:hAnsi="Calibri" w:cs="Calibri"/>
          <w:sz w:val="22"/>
          <w:szCs w:val="22"/>
          <w:lang w:eastAsia="en-IN"/>
        </w:rPr>
        <w:t>It is submitted that our Proposal, incorporating sufficient checks and balances, is a win-win for the Consumers of the Utilities. While ensuring continuity in terms of returns to Consumers (as per Rate of Return as notified by the Commission based on prevailing Bank Rates) on their Security Deposit, the proposal would not result in any enhanced risk relating to refund of CSD while allowing in a significant savings (lowering) of interest costs as part of Utilities ARR.</w:t>
      </w:r>
    </w:p>
    <w:p w14:paraId="455D8530" w14:textId="77777777" w:rsidR="009942AF" w:rsidRPr="009942AF" w:rsidRDefault="009942AF" w:rsidP="00E66BA2">
      <w:pPr>
        <w:spacing w:before="114" w:after="120" w:line="360" w:lineRule="auto"/>
        <w:ind w:left="567" w:right="113"/>
        <w:jc w:val="both"/>
        <w:rPr>
          <w:rFonts w:ascii="Calibri" w:hAnsi="Calibri" w:cs="Calibri"/>
          <w:sz w:val="22"/>
          <w:szCs w:val="22"/>
          <w:lang w:eastAsia="en-IN"/>
        </w:rPr>
      </w:pPr>
    </w:p>
    <w:p w14:paraId="2FCB5935" w14:textId="77777777" w:rsidR="009942AF" w:rsidRPr="009942AF" w:rsidRDefault="009942AF" w:rsidP="00E66BA2">
      <w:pPr>
        <w:spacing w:before="114" w:after="120" w:line="360" w:lineRule="auto"/>
        <w:ind w:left="567" w:right="113"/>
        <w:jc w:val="both"/>
        <w:rPr>
          <w:rFonts w:ascii="Calibri" w:hAnsi="Calibri" w:cs="Calibri"/>
          <w:b/>
          <w:i/>
          <w:sz w:val="22"/>
          <w:szCs w:val="22"/>
          <w:u w:val="single"/>
        </w:rPr>
      </w:pPr>
      <w:r w:rsidRPr="009942AF">
        <w:rPr>
          <w:rFonts w:ascii="Calibri" w:hAnsi="Calibri" w:cs="Calibri"/>
          <w:sz w:val="22"/>
          <w:szCs w:val="22"/>
          <w:lang w:eastAsia="en-IN"/>
        </w:rPr>
        <w:t xml:space="preserve">The CSD </w:t>
      </w:r>
      <w:proofErr w:type="spellStart"/>
      <w:r w:rsidRPr="009942AF">
        <w:rPr>
          <w:rFonts w:ascii="Calibri" w:hAnsi="Calibri" w:cs="Calibri"/>
          <w:sz w:val="22"/>
          <w:szCs w:val="22"/>
          <w:lang w:eastAsia="en-IN"/>
        </w:rPr>
        <w:t>utilisation</w:t>
      </w:r>
      <w:proofErr w:type="spellEnd"/>
      <w:r w:rsidRPr="009942AF">
        <w:rPr>
          <w:rFonts w:ascii="Calibri" w:hAnsi="Calibri" w:cs="Calibri"/>
          <w:sz w:val="22"/>
          <w:szCs w:val="22"/>
          <w:lang w:eastAsia="en-IN"/>
        </w:rPr>
        <w:t xml:space="preserve"> methodology along-with checks for prudent </w:t>
      </w:r>
      <w:proofErr w:type="spellStart"/>
      <w:r w:rsidRPr="009942AF">
        <w:rPr>
          <w:rFonts w:ascii="Calibri" w:hAnsi="Calibri" w:cs="Calibri"/>
          <w:sz w:val="22"/>
          <w:szCs w:val="22"/>
          <w:lang w:eastAsia="en-IN"/>
        </w:rPr>
        <w:t>utilisation</w:t>
      </w:r>
      <w:proofErr w:type="spellEnd"/>
      <w:r w:rsidRPr="009942AF">
        <w:rPr>
          <w:rFonts w:ascii="Calibri" w:hAnsi="Calibri" w:cs="Calibri"/>
          <w:sz w:val="22"/>
          <w:szCs w:val="22"/>
          <w:lang w:eastAsia="en-IN"/>
        </w:rPr>
        <w:t xml:space="preserve"> of the same while ensuring there is no liquidity mismatch to meet any Refund requirements, is as follows:</w:t>
      </w:r>
    </w:p>
    <w:p w14:paraId="272A06C5" w14:textId="77777777" w:rsidR="009942AF" w:rsidRPr="009942AF" w:rsidRDefault="009942AF" w:rsidP="00E66BA2">
      <w:pPr>
        <w:widowControl w:val="0"/>
        <w:numPr>
          <w:ilvl w:val="0"/>
          <w:numId w:val="58"/>
        </w:numPr>
        <w:tabs>
          <w:tab w:val="left" w:pos="920"/>
        </w:tabs>
        <w:autoSpaceDE w:val="0"/>
        <w:autoSpaceDN w:val="0"/>
        <w:spacing w:before="121" w:line="360" w:lineRule="auto"/>
        <w:ind w:right="110"/>
        <w:jc w:val="both"/>
        <w:rPr>
          <w:rFonts w:ascii="Calibri" w:eastAsia="Calibri" w:hAnsi="Calibri" w:cs="Calibri"/>
          <w:sz w:val="22"/>
          <w:szCs w:val="22"/>
        </w:rPr>
      </w:pPr>
      <w:r w:rsidRPr="009942AF">
        <w:rPr>
          <w:rFonts w:ascii="Calibri" w:eastAsia="Calibri" w:hAnsi="Calibri" w:cs="Calibri"/>
          <w:sz w:val="22"/>
          <w:szCs w:val="22"/>
        </w:rPr>
        <w:t>80-90% of the</w:t>
      </w:r>
      <w:r w:rsidRPr="009942AF">
        <w:rPr>
          <w:rFonts w:ascii="Calibri" w:eastAsia="Calibri" w:hAnsi="Calibri" w:cs="Calibri"/>
          <w:spacing w:val="-2"/>
          <w:sz w:val="22"/>
          <w:szCs w:val="22"/>
        </w:rPr>
        <w:t xml:space="preserve"> </w:t>
      </w:r>
      <w:r w:rsidRPr="009942AF">
        <w:rPr>
          <w:rFonts w:ascii="Calibri" w:eastAsia="Calibri" w:hAnsi="Calibri" w:cs="Calibri"/>
          <w:sz w:val="22"/>
          <w:szCs w:val="22"/>
        </w:rPr>
        <w:t xml:space="preserve">outstanding SDs can be </w:t>
      </w:r>
      <w:proofErr w:type="spellStart"/>
      <w:r w:rsidRPr="009942AF">
        <w:rPr>
          <w:rFonts w:ascii="Calibri" w:eastAsia="Calibri" w:hAnsi="Calibri" w:cs="Calibri"/>
          <w:sz w:val="22"/>
          <w:szCs w:val="22"/>
        </w:rPr>
        <w:t>utilised</w:t>
      </w:r>
      <w:proofErr w:type="spellEnd"/>
      <w:r w:rsidRPr="009942AF">
        <w:rPr>
          <w:rFonts w:ascii="Calibri" w:eastAsia="Calibri" w:hAnsi="Calibri" w:cs="Calibri"/>
          <w:sz w:val="22"/>
          <w:szCs w:val="22"/>
        </w:rPr>
        <w:t xml:space="preserve"> for funding capital expenditure. The balance 10%- 20% liquid</w:t>
      </w:r>
      <w:r w:rsidRPr="009942AF">
        <w:rPr>
          <w:rFonts w:ascii="Calibri" w:eastAsia="Calibri" w:hAnsi="Calibri" w:cs="Calibri"/>
          <w:spacing w:val="-3"/>
          <w:sz w:val="22"/>
          <w:szCs w:val="22"/>
        </w:rPr>
        <w:t xml:space="preserve"> </w:t>
      </w:r>
      <w:r w:rsidRPr="009942AF">
        <w:rPr>
          <w:rFonts w:ascii="Calibri" w:eastAsia="Calibri" w:hAnsi="Calibri" w:cs="Calibri"/>
          <w:sz w:val="22"/>
          <w:szCs w:val="22"/>
        </w:rPr>
        <w:t>funds</w:t>
      </w:r>
      <w:r w:rsidRPr="009942AF">
        <w:rPr>
          <w:rFonts w:ascii="Calibri" w:eastAsia="Calibri" w:hAnsi="Calibri" w:cs="Calibri"/>
          <w:spacing w:val="-1"/>
          <w:sz w:val="22"/>
          <w:szCs w:val="22"/>
        </w:rPr>
        <w:t xml:space="preserve"> </w:t>
      </w:r>
      <w:r w:rsidRPr="009942AF">
        <w:rPr>
          <w:rFonts w:ascii="Calibri" w:eastAsia="Calibri" w:hAnsi="Calibri" w:cs="Calibri"/>
          <w:sz w:val="22"/>
          <w:szCs w:val="22"/>
        </w:rPr>
        <w:t>to be</w:t>
      </w:r>
      <w:r w:rsidRPr="009942AF">
        <w:rPr>
          <w:rFonts w:ascii="Calibri" w:eastAsia="Calibri" w:hAnsi="Calibri" w:cs="Calibri"/>
          <w:spacing w:val="-3"/>
          <w:sz w:val="22"/>
          <w:szCs w:val="22"/>
        </w:rPr>
        <w:t xml:space="preserve"> </w:t>
      </w:r>
      <w:r w:rsidRPr="009942AF">
        <w:rPr>
          <w:rFonts w:ascii="Calibri" w:eastAsia="Calibri" w:hAnsi="Calibri" w:cs="Calibri"/>
          <w:sz w:val="22"/>
          <w:szCs w:val="22"/>
        </w:rPr>
        <w:t>maintained</w:t>
      </w:r>
      <w:r w:rsidRPr="009942AF">
        <w:rPr>
          <w:rFonts w:ascii="Calibri" w:eastAsia="Calibri" w:hAnsi="Calibri" w:cs="Calibri"/>
          <w:spacing w:val="-1"/>
          <w:sz w:val="22"/>
          <w:szCs w:val="22"/>
        </w:rPr>
        <w:t xml:space="preserve"> </w:t>
      </w:r>
      <w:r w:rsidRPr="009942AF">
        <w:rPr>
          <w:rFonts w:ascii="Calibri" w:eastAsia="Calibri" w:hAnsi="Calibri" w:cs="Calibri"/>
          <w:sz w:val="22"/>
          <w:szCs w:val="22"/>
        </w:rPr>
        <w:t>as</w:t>
      </w:r>
      <w:r w:rsidRPr="009942AF">
        <w:rPr>
          <w:rFonts w:ascii="Calibri" w:eastAsia="Calibri" w:hAnsi="Calibri" w:cs="Calibri"/>
          <w:spacing w:val="-1"/>
          <w:sz w:val="22"/>
          <w:szCs w:val="22"/>
        </w:rPr>
        <w:t xml:space="preserve"> </w:t>
      </w:r>
      <w:r w:rsidRPr="009942AF">
        <w:rPr>
          <w:rFonts w:ascii="Calibri" w:eastAsia="Calibri" w:hAnsi="Calibri" w:cs="Calibri"/>
          <w:sz w:val="22"/>
          <w:szCs w:val="22"/>
        </w:rPr>
        <w:t>FDs</w:t>
      </w:r>
      <w:r w:rsidRPr="009942AF">
        <w:rPr>
          <w:rFonts w:ascii="Calibri" w:eastAsia="Calibri" w:hAnsi="Calibri" w:cs="Calibri"/>
          <w:spacing w:val="-4"/>
          <w:sz w:val="22"/>
          <w:szCs w:val="22"/>
        </w:rPr>
        <w:t xml:space="preserve"> </w:t>
      </w:r>
      <w:r w:rsidRPr="009942AF">
        <w:rPr>
          <w:rFonts w:ascii="Calibri" w:eastAsia="Calibri" w:hAnsi="Calibri" w:cs="Calibri"/>
          <w:sz w:val="22"/>
          <w:szCs w:val="22"/>
        </w:rPr>
        <w:t>to</w:t>
      </w:r>
      <w:r w:rsidRPr="009942AF">
        <w:rPr>
          <w:rFonts w:ascii="Calibri" w:eastAsia="Calibri" w:hAnsi="Calibri" w:cs="Calibri"/>
          <w:spacing w:val="-2"/>
          <w:sz w:val="22"/>
          <w:szCs w:val="22"/>
        </w:rPr>
        <w:t xml:space="preserve"> </w:t>
      </w:r>
      <w:r w:rsidRPr="009942AF">
        <w:rPr>
          <w:rFonts w:ascii="Calibri" w:eastAsia="Calibri" w:hAnsi="Calibri" w:cs="Calibri"/>
          <w:sz w:val="22"/>
          <w:szCs w:val="22"/>
        </w:rPr>
        <w:t>meet</w:t>
      </w:r>
      <w:r w:rsidRPr="009942AF">
        <w:rPr>
          <w:rFonts w:ascii="Calibri" w:eastAsia="Calibri" w:hAnsi="Calibri" w:cs="Calibri"/>
          <w:spacing w:val="-1"/>
          <w:sz w:val="22"/>
          <w:szCs w:val="22"/>
        </w:rPr>
        <w:t xml:space="preserve"> </w:t>
      </w:r>
      <w:r w:rsidRPr="009942AF">
        <w:rPr>
          <w:rFonts w:ascii="Calibri" w:eastAsia="Calibri" w:hAnsi="Calibri" w:cs="Calibri"/>
          <w:sz w:val="22"/>
          <w:szCs w:val="22"/>
        </w:rPr>
        <w:t>any</w:t>
      </w:r>
      <w:r w:rsidRPr="009942AF">
        <w:rPr>
          <w:rFonts w:ascii="Calibri" w:eastAsia="Calibri" w:hAnsi="Calibri" w:cs="Calibri"/>
          <w:spacing w:val="-3"/>
          <w:sz w:val="22"/>
          <w:szCs w:val="22"/>
        </w:rPr>
        <w:t xml:space="preserve"> </w:t>
      </w:r>
      <w:r w:rsidRPr="009942AF">
        <w:rPr>
          <w:rFonts w:ascii="Calibri" w:eastAsia="Calibri" w:hAnsi="Calibri" w:cs="Calibri"/>
          <w:sz w:val="22"/>
          <w:szCs w:val="22"/>
        </w:rPr>
        <w:t>repayment</w:t>
      </w:r>
      <w:r w:rsidRPr="009942AF">
        <w:rPr>
          <w:rFonts w:ascii="Calibri" w:eastAsia="Calibri" w:hAnsi="Calibri" w:cs="Calibri"/>
          <w:spacing w:val="-3"/>
          <w:sz w:val="22"/>
          <w:szCs w:val="22"/>
        </w:rPr>
        <w:t xml:space="preserve"> </w:t>
      </w:r>
      <w:r w:rsidRPr="009942AF">
        <w:rPr>
          <w:rFonts w:ascii="Calibri" w:eastAsia="Calibri" w:hAnsi="Calibri" w:cs="Calibri"/>
          <w:sz w:val="22"/>
          <w:szCs w:val="22"/>
        </w:rPr>
        <w:t>requirement</w:t>
      </w:r>
      <w:r w:rsidRPr="009942AF">
        <w:rPr>
          <w:rFonts w:ascii="Calibri" w:eastAsia="Calibri" w:hAnsi="Calibri" w:cs="Calibri"/>
          <w:spacing w:val="-3"/>
          <w:sz w:val="22"/>
          <w:szCs w:val="22"/>
        </w:rPr>
        <w:t xml:space="preserve"> </w:t>
      </w:r>
      <w:r w:rsidRPr="009942AF">
        <w:rPr>
          <w:rFonts w:ascii="Calibri" w:eastAsia="Calibri" w:hAnsi="Calibri" w:cs="Calibri"/>
          <w:sz w:val="22"/>
          <w:szCs w:val="22"/>
        </w:rPr>
        <w:t>on</w:t>
      </w:r>
      <w:r w:rsidRPr="009942AF">
        <w:rPr>
          <w:rFonts w:ascii="Calibri" w:eastAsia="Calibri" w:hAnsi="Calibri" w:cs="Calibri"/>
          <w:spacing w:val="-2"/>
          <w:sz w:val="22"/>
          <w:szCs w:val="22"/>
        </w:rPr>
        <w:t xml:space="preserve"> </w:t>
      </w:r>
      <w:r w:rsidRPr="009942AF">
        <w:rPr>
          <w:rFonts w:ascii="Calibri" w:eastAsia="Calibri" w:hAnsi="Calibri" w:cs="Calibri"/>
          <w:sz w:val="22"/>
          <w:szCs w:val="22"/>
        </w:rPr>
        <w:t>termination</w:t>
      </w:r>
      <w:r w:rsidRPr="009942AF">
        <w:rPr>
          <w:rFonts w:ascii="Calibri" w:eastAsia="Calibri" w:hAnsi="Calibri" w:cs="Calibri"/>
          <w:spacing w:val="-4"/>
          <w:sz w:val="22"/>
          <w:szCs w:val="22"/>
        </w:rPr>
        <w:t xml:space="preserve"> </w:t>
      </w:r>
      <w:r w:rsidRPr="009942AF">
        <w:rPr>
          <w:rFonts w:ascii="Calibri" w:eastAsia="Calibri" w:hAnsi="Calibri" w:cs="Calibri"/>
          <w:sz w:val="22"/>
          <w:szCs w:val="22"/>
        </w:rPr>
        <w:t>of electricity connection.</w:t>
      </w:r>
    </w:p>
    <w:p w14:paraId="1252761B" w14:textId="77777777" w:rsidR="009942AF" w:rsidRPr="009942AF" w:rsidRDefault="009942AF" w:rsidP="00E66BA2">
      <w:pPr>
        <w:widowControl w:val="0"/>
        <w:numPr>
          <w:ilvl w:val="0"/>
          <w:numId w:val="58"/>
        </w:numPr>
        <w:tabs>
          <w:tab w:val="left" w:pos="920"/>
        </w:tabs>
        <w:autoSpaceDE w:val="0"/>
        <w:autoSpaceDN w:val="0"/>
        <w:spacing w:before="91" w:line="360" w:lineRule="auto"/>
        <w:jc w:val="both"/>
        <w:rPr>
          <w:rFonts w:ascii="Calibri" w:eastAsia="Calibri" w:hAnsi="Calibri" w:cs="Calibri"/>
          <w:sz w:val="22"/>
          <w:szCs w:val="22"/>
        </w:rPr>
      </w:pPr>
      <w:r w:rsidRPr="009942AF">
        <w:rPr>
          <w:rFonts w:ascii="Calibri" w:eastAsia="Calibri" w:hAnsi="Calibri" w:cs="Calibri"/>
          <w:sz w:val="22"/>
          <w:szCs w:val="22"/>
        </w:rPr>
        <w:t>Only</w:t>
      </w:r>
      <w:r w:rsidRPr="009942AF">
        <w:rPr>
          <w:rFonts w:ascii="Calibri" w:eastAsia="Calibri" w:hAnsi="Calibri" w:cs="Calibri"/>
          <w:spacing w:val="-5"/>
          <w:sz w:val="22"/>
          <w:szCs w:val="22"/>
        </w:rPr>
        <w:t xml:space="preserve"> </w:t>
      </w:r>
      <w:r w:rsidRPr="009942AF">
        <w:rPr>
          <w:rFonts w:ascii="Calibri" w:eastAsia="Calibri" w:hAnsi="Calibri" w:cs="Calibri"/>
          <w:sz w:val="22"/>
          <w:szCs w:val="22"/>
        </w:rPr>
        <w:t>capital</w:t>
      </w:r>
      <w:r w:rsidRPr="009942AF">
        <w:rPr>
          <w:rFonts w:ascii="Calibri" w:eastAsia="Calibri" w:hAnsi="Calibri" w:cs="Calibri"/>
          <w:spacing w:val="-6"/>
          <w:sz w:val="22"/>
          <w:szCs w:val="22"/>
        </w:rPr>
        <w:t xml:space="preserve"> </w:t>
      </w:r>
      <w:r w:rsidRPr="009942AF">
        <w:rPr>
          <w:rFonts w:ascii="Calibri" w:eastAsia="Calibri" w:hAnsi="Calibri" w:cs="Calibri"/>
          <w:sz w:val="22"/>
          <w:szCs w:val="22"/>
        </w:rPr>
        <w:t>schemes</w:t>
      </w:r>
      <w:r w:rsidRPr="009942AF">
        <w:rPr>
          <w:rFonts w:ascii="Calibri" w:eastAsia="Calibri" w:hAnsi="Calibri" w:cs="Calibri"/>
          <w:spacing w:val="-3"/>
          <w:sz w:val="22"/>
          <w:szCs w:val="22"/>
        </w:rPr>
        <w:t xml:space="preserve"> </w:t>
      </w:r>
      <w:r w:rsidRPr="009942AF">
        <w:rPr>
          <w:rFonts w:ascii="Calibri" w:eastAsia="Calibri" w:hAnsi="Calibri" w:cs="Calibri"/>
          <w:sz w:val="22"/>
          <w:szCs w:val="22"/>
        </w:rPr>
        <w:t>approved</w:t>
      </w:r>
      <w:r w:rsidRPr="009942AF">
        <w:rPr>
          <w:rFonts w:ascii="Calibri" w:eastAsia="Calibri" w:hAnsi="Calibri" w:cs="Calibri"/>
          <w:spacing w:val="-2"/>
          <w:sz w:val="22"/>
          <w:szCs w:val="22"/>
        </w:rPr>
        <w:t xml:space="preserve"> </w:t>
      </w:r>
      <w:r w:rsidRPr="009942AF">
        <w:rPr>
          <w:rFonts w:ascii="Calibri" w:eastAsia="Calibri" w:hAnsi="Calibri" w:cs="Calibri"/>
          <w:sz w:val="22"/>
          <w:szCs w:val="22"/>
        </w:rPr>
        <w:t>by</w:t>
      </w:r>
      <w:r w:rsidRPr="009942AF">
        <w:rPr>
          <w:rFonts w:ascii="Calibri" w:eastAsia="Calibri" w:hAnsi="Calibri" w:cs="Calibri"/>
          <w:spacing w:val="-5"/>
          <w:sz w:val="22"/>
          <w:szCs w:val="22"/>
        </w:rPr>
        <w:t xml:space="preserve"> </w:t>
      </w:r>
      <w:r w:rsidRPr="009942AF">
        <w:rPr>
          <w:rFonts w:ascii="Calibri" w:eastAsia="Calibri" w:hAnsi="Calibri" w:cs="Calibri"/>
          <w:sz w:val="22"/>
          <w:szCs w:val="22"/>
        </w:rPr>
        <w:t>OERC</w:t>
      </w:r>
      <w:r w:rsidRPr="009942AF">
        <w:rPr>
          <w:rFonts w:ascii="Calibri" w:eastAsia="Calibri" w:hAnsi="Calibri" w:cs="Calibri"/>
          <w:spacing w:val="-4"/>
          <w:sz w:val="22"/>
          <w:szCs w:val="22"/>
        </w:rPr>
        <w:t xml:space="preserve"> </w:t>
      </w:r>
      <w:r w:rsidRPr="009942AF">
        <w:rPr>
          <w:rFonts w:ascii="Calibri" w:eastAsia="Calibri" w:hAnsi="Calibri" w:cs="Calibri"/>
          <w:sz w:val="22"/>
          <w:szCs w:val="22"/>
        </w:rPr>
        <w:t>at</w:t>
      </w:r>
      <w:r w:rsidRPr="009942AF">
        <w:rPr>
          <w:rFonts w:ascii="Calibri" w:eastAsia="Calibri" w:hAnsi="Calibri" w:cs="Calibri"/>
          <w:spacing w:val="-3"/>
          <w:sz w:val="22"/>
          <w:szCs w:val="22"/>
        </w:rPr>
        <w:t xml:space="preserve"> </w:t>
      </w:r>
      <w:r w:rsidRPr="009942AF">
        <w:rPr>
          <w:rFonts w:ascii="Calibri" w:eastAsia="Calibri" w:hAnsi="Calibri" w:cs="Calibri"/>
          <w:sz w:val="22"/>
          <w:szCs w:val="22"/>
        </w:rPr>
        <w:t>the</w:t>
      </w:r>
      <w:r w:rsidRPr="009942AF">
        <w:rPr>
          <w:rFonts w:ascii="Calibri" w:eastAsia="Calibri" w:hAnsi="Calibri" w:cs="Calibri"/>
          <w:spacing w:val="-3"/>
          <w:sz w:val="22"/>
          <w:szCs w:val="22"/>
        </w:rPr>
        <w:t xml:space="preserve"> </w:t>
      </w:r>
      <w:r w:rsidRPr="009942AF">
        <w:rPr>
          <w:rFonts w:ascii="Calibri" w:eastAsia="Calibri" w:hAnsi="Calibri" w:cs="Calibri"/>
          <w:sz w:val="22"/>
          <w:szCs w:val="22"/>
        </w:rPr>
        <w:t>beginning</w:t>
      </w:r>
      <w:r w:rsidRPr="009942AF">
        <w:rPr>
          <w:rFonts w:ascii="Calibri" w:eastAsia="Calibri" w:hAnsi="Calibri" w:cs="Calibri"/>
          <w:spacing w:val="-4"/>
          <w:sz w:val="22"/>
          <w:szCs w:val="22"/>
        </w:rPr>
        <w:t xml:space="preserve"> </w:t>
      </w:r>
      <w:r w:rsidRPr="009942AF">
        <w:rPr>
          <w:rFonts w:ascii="Calibri" w:eastAsia="Calibri" w:hAnsi="Calibri" w:cs="Calibri"/>
          <w:sz w:val="22"/>
          <w:szCs w:val="22"/>
        </w:rPr>
        <w:t>of</w:t>
      </w:r>
      <w:r w:rsidRPr="009942AF">
        <w:rPr>
          <w:rFonts w:ascii="Calibri" w:eastAsia="Calibri" w:hAnsi="Calibri" w:cs="Calibri"/>
          <w:spacing w:val="-2"/>
          <w:sz w:val="22"/>
          <w:szCs w:val="22"/>
        </w:rPr>
        <w:t xml:space="preserve"> </w:t>
      </w:r>
      <w:r w:rsidRPr="009942AF">
        <w:rPr>
          <w:rFonts w:ascii="Calibri" w:eastAsia="Calibri" w:hAnsi="Calibri" w:cs="Calibri"/>
          <w:sz w:val="22"/>
          <w:szCs w:val="22"/>
        </w:rPr>
        <w:t>the</w:t>
      </w:r>
      <w:r w:rsidRPr="009942AF">
        <w:rPr>
          <w:rFonts w:ascii="Calibri" w:eastAsia="Calibri" w:hAnsi="Calibri" w:cs="Calibri"/>
          <w:spacing w:val="-5"/>
          <w:sz w:val="22"/>
          <w:szCs w:val="22"/>
        </w:rPr>
        <w:t xml:space="preserve"> </w:t>
      </w:r>
      <w:r w:rsidRPr="009942AF">
        <w:rPr>
          <w:rFonts w:ascii="Calibri" w:eastAsia="Calibri" w:hAnsi="Calibri" w:cs="Calibri"/>
          <w:sz w:val="22"/>
          <w:szCs w:val="22"/>
        </w:rPr>
        <w:t>year</w:t>
      </w:r>
      <w:r w:rsidRPr="009942AF">
        <w:rPr>
          <w:rFonts w:ascii="Calibri" w:eastAsia="Calibri" w:hAnsi="Calibri" w:cs="Calibri"/>
          <w:spacing w:val="-3"/>
          <w:sz w:val="22"/>
          <w:szCs w:val="22"/>
        </w:rPr>
        <w:t xml:space="preserve"> </w:t>
      </w:r>
      <w:r w:rsidRPr="009942AF">
        <w:rPr>
          <w:rFonts w:ascii="Calibri" w:eastAsia="Calibri" w:hAnsi="Calibri" w:cs="Calibri"/>
          <w:sz w:val="22"/>
          <w:szCs w:val="22"/>
        </w:rPr>
        <w:t>can</w:t>
      </w:r>
      <w:r w:rsidRPr="009942AF">
        <w:rPr>
          <w:rFonts w:ascii="Calibri" w:eastAsia="Calibri" w:hAnsi="Calibri" w:cs="Calibri"/>
          <w:spacing w:val="-2"/>
          <w:sz w:val="22"/>
          <w:szCs w:val="22"/>
        </w:rPr>
        <w:t xml:space="preserve"> </w:t>
      </w:r>
      <w:r w:rsidRPr="009942AF">
        <w:rPr>
          <w:rFonts w:ascii="Calibri" w:eastAsia="Calibri" w:hAnsi="Calibri" w:cs="Calibri"/>
          <w:sz w:val="22"/>
          <w:szCs w:val="22"/>
        </w:rPr>
        <w:t>be</w:t>
      </w:r>
      <w:r w:rsidRPr="009942AF">
        <w:rPr>
          <w:rFonts w:ascii="Calibri" w:eastAsia="Calibri" w:hAnsi="Calibri" w:cs="Calibri"/>
          <w:spacing w:val="-6"/>
          <w:sz w:val="22"/>
          <w:szCs w:val="22"/>
        </w:rPr>
        <w:t xml:space="preserve"> </w:t>
      </w:r>
      <w:r w:rsidRPr="009942AF">
        <w:rPr>
          <w:rFonts w:ascii="Calibri" w:eastAsia="Calibri" w:hAnsi="Calibri" w:cs="Calibri"/>
          <w:sz w:val="22"/>
          <w:szCs w:val="22"/>
        </w:rPr>
        <w:t>funded</w:t>
      </w:r>
      <w:r w:rsidRPr="009942AF">
        <w:rPr>
          <w:rFonts w:ascii="Calibri" w:eastAsia="Calibri" w:hAnsi="Calibri" w:cs="Calibri"/>
          <w:spacing w:val="-3"/>
          <w:sz w:val="22"/>
          <w:szCs w:val="22"/>
        </w:rPr>
        <w:t xml:space="preserve"> </w:t>
      </w:r>
      <w:r w:rsidRPr="009942AF">
        <w:rPr>
          <w:rFonts w:ascii="Calibri" w:eastAsia="Calibri" w:hAnsi="Calibri" w:cs="Calibri"/>
          <w:sz w:val="22"/>
          <w:szCs w:val="22"/>
        </w:rPr>
        <w:t>by</w:t>
      </w:r>
      <w:r w:rsidRPr="009942AF">
        <w:rPr>
          <w:rFonts w:ascii="Calibri" w:eastAsia="Calibri" w:hAnsi="Calibri" w:cs="Calibri"/>
          <w:spacing w:val="-2"/>
          <w:sz w:val="22"/>
          <w:szCs w:val="22"/>
        </w:rPr>
        <w:t xml:space="preserve"> </w:t>
      </w:r>
      <w:r w:rsidRPr="009942AF">
        <w:rPr>
          <w:rFonts w:ascii="Calibri" w:eastAsia="Calibri" w:hAnsi="Calibri" w:cs="Calibri"/>
          <w:spacing w:val="-5"/>
          <w:sz w:val="22"/>
          <w:szCs w:val="22"/>
        </w:rPr>
        <w:t>SDs</w:t>
      </w:r>
    </w:p>
    <w:p w14:paraId="0089A8AD" w14:textId="77777777" w:rsidR="009942AF" w:rsidRPr="009942AF" w:rsidRDefault="009942AF" w:rsidP="00E66BA2">
      <w:pPr>
        <w:widowControl w:val="0"/>
        <w:numPr>
          <w:ilvl w:val="0"/>
          <w:numId w:val="58"/>
        </w:numPr>
        <w:tabs>
          <w:tab w:val="left" w:pos="920"/>
        </w:tabs>
        <w:autoSpaceDE w:val="0"/>
        <w:autoSpaceDN w:val="0"/>
        <w:spacing w:before="118" w:line="360" w:lineRule="auto"/>
        <w:ind w:right="113"/>
        <w:jc w:val="both"/>
        <w:rPr>
          <w:rFonts w:ascii="Calibri" w:eastAsia="Calibri" w:hAnsi="Calibri" w:cs="Calibri"/>
          <w:sz w:val="22"/>
          <w:szCs w:val="22"/>
        </w:rPr>
      </w:pPr>
      <w:r w:rsidRPr="009942AF">
        <w:rPr>
          <w:rFonts w:ascii="Calibri" w:eastAsia="Calibri" w:hAnsi="Calibri" w:cs="Calibri"/>
          <w:sz w:val="22"/>
          <w:szCs w:val="22"/>
        </w:rPr>
        <w:t>Annual</w:t>
      </w:r>
      <w:r w:rsidRPr="009942AF">
        <w:rPr>
          <w:rFonts w:ascii="Calibri" w:eastAsia="Calibri" w:hAnsi="Calibri" w:cs="Calibri"/>
          <w:spacing w:val="29"/>
          <w:sz w:val="22"/>
          <w:szCs w:val="22"/>
        </w:rPr>
        <w:t xml:space="preserve"> </w:t>
      </w:r>
      <w:r w:rsidRPr="009942AF">
        <w:rPr>
          <w:rFonts w:ascii="Calibri" w:eastAsia="Calibri" w:hAnsi="Calibri" w:cs="Calibri"/>
          <w:sz w:val="22"/>
          <w:szCs w:val="22"/>
        </w:rPr>
        <w:t>Business</w:t>
      </w:r>
      <w:r w:rsidRPr="009942AF">
        <w:rPr>
          <w:rFonts w:ascii="Calibri" w:eastAsia="Calibri" w:hAnsi="Calibri" w:cs="Calibri"/>
          <w:spacing w:val="28"/>
          <w:sz w:val="22"/>
          <w:szCs w:val="22"/>
        </w:rPr>
        <w:t xml:space="preserve"> </w:t>
      </w:r>
      <w:r w:rsidRPr="009942AF">
        <w:rPr>
          <w:rFonts w:ascii="Calibri" w:eastAsia="Calibri" w:hAnsi="Calibri" w:cs="Calibri"/>
          <w:sz w:val="22"/>
          <w:szCs w:val="22"/>
        </w:rPr>
        <w:t>Plan</w:t>
      </w:r>
      <w:r w:rsidRPr="009942AF">
        <w:rPr>
          <w:rFonts w:ascii="Calibri" w:eastAsia="Calibri" w:hAnsi="Calibri" w:cs="Calibri"/>
          <w:spacing w:val="26"/>
          <w:sz w:val="22"/>
          <w:szCs w:val="22"/>
        </w:rPr>
        <w:t xml:space="preserve"> </w:t>
      </w:r>
      <w:r w:rsidRPr="009942AF">
        <w:rPr>
          <w:rFonts w:ascii="Calibri" w:eastAsia="Calibri" w:hAnsi="Calibri" w:cs="Calibri"/>
          <w:sz w:val="22"/>
          <w:szCs w:val="22"/>
        </w:rPr>
        <w:t>of</w:t>
      </w:r>
      <w:r w:rsidRPr="009942AF">
        <w:rPr>
          <w:rFonts w:ascii="Calibri" w:eastAsia="Calibri" w:hAnsi="Calibri" w:cs="Calibri"/>
          <w:spacing w:val="27"/>
          <w:sz w:val="22"/>
          <w:szCs w:val="22"/>
        </w:rPr>
        <w:t xml:space="preserve"> </w:t>
      </w:r>
      <w:r w:rsidRPr="009942AF">
        <w:rPr>
          <w:rFonts w:ascii="Calibri" w:eastAsia="Calibri" w:hAnsi="Calibri" w:cs="Calibri"/>
          <w:sz w:val="22"/>
          <w:szCs w:val="22"/>
        </w:rPr>
        <w:t>the</w:t>
      </w:r>
      <w:r w:rsidRPr="009942AF">
        <w:rPr>
          <w:rFonts w:ascii="Calibri" w:eastAsia="Calibri" w:hAnsi="Calibri" w:cs="Calibri"/>
          <w:spacing w:val="30"/>
          <w:sz w:val="22"/>
          <w:szCs w:val="22"/>
        </w:rPr>
        <w:t xml:space="preserve"> </w:t>
      </w:r>
      <w:r w:rsidRPr="009942AF">
        <w:rPr>
          <w:rFonts w:ascii="Calibri" w:eastAsia="Calibri" w:hAnsi="Calibri" w:cs="Calibri"/>
          <w:sz w:val="22"/>
          <w:szCs w:val="22"/>
        </w:rPr>
        <w:t>respective</w:t>
      </w:r>
      <w:r w:rsidRPr="009942AF">
        <w:rPr>
          <w:rFonts w:ascii="Calibri" w:eastAsia="Calibri" w:hAnsi="Calibri" w:cs="Calibri"/>
          <w:spacing w:val="28"/>
          <w:sz w:val="22"/>
          <w:szCs w:val="22"/>
        </w:rPr>
        <w:t xml:space="preserve"> </w:t>
      </w:r>
      <w:r w:rsidRPr="009942AF">
        <w:rPr>
          <w:rFonts w:ascii="Calibri" w:eastAsia="Calibri" w:hAnsi="Calibri" w:cs="Calibri"/>
          <w:sz w:val="22"/>
          <w:szCs w:val="22"/>
        </w:rPr>
        <w:t>utility,</w:t>
      </w:r>
      <w:r w:rsidRPr="009942AF">
        <w:rPr>
          <w:rFonts w:ascii="Calibri" w:eastAsia="Calibri" w:hAnsi="Calibri" w:cs="Calibri"/>
          <w:spacing w:val="27"/>
          <w:sz w:val="22"/>
          <w:szCs w:val="22"/>
        </w:rPr>
        <w:t xml:space="preserve"> </w:t>
      </w:r>
      <w:r w:rsidRPr="009942AF">
        <w:rPr>
          <w:rFonts w:ascii="Calibri" w:eastAsia="Calibri" w:hAnsi="Calibri" w:cs="Calibri"/>
          <w:sz w:val="22"/>
          <w:szCs w:val="22"/>
        </w:rPr>
        <w:t>approved</w:t>
      </w:r>
      <w:r w:rsidRPr="009942AF">
        <w:rPr>
          <w:rFonts w:ascii="Calibri" w:eastAsia="Calibri" w:hAnsi="Calibri" w:cs="Calibri"/>
          <w:spacing w:val="29"/>
          <w:sz w:val="22"/>
          <w:szCs w:val="22"/>
        </w:rPr>
        <w:t xml:space="preserve"> </w:t>
      </w:r>
      <w:r w:rsidRPr="009942AF">
        <w:rPr>
          <w:rFonts w:ascii="Calibri" w:eastAsia="Calibri" w:hAnsi="Calibri" w:cs="Calibri"/>
          <w:sz w:val="22"/>
          <w:szCs w:val="22"/>
        </w:rPr>
        <w:t>by</w:t>
      </w:r>
      <w:r w:rsidRPr="009942AF">
        <w:rPr>
          <w:rFonts w:ascii="Calibri" w:eastAsia="Calibri" w:hAnsi="Calibri" w:cs="Calibri"/>
          <w:spacing w:val="30"/>
          <w:sz w:val="22"/>
          <w:szCs w:val="22"/>
        </w:rPr>
        <w:t xml:space="preserve"> </w:t>
      </w:r>
      <w:r w:rsidRPr="009942AF">
        <w:rPr>
          <w:rFonts w:ascii="Calibri" w:eastAsia="Calibri" w:hAnsi="Calibri" w:cs="Calibri"/>
          <w:sz w:val="22"/>
          <w:szCs w:val="22"/>
        </w:rPr>
        <w:t>Board</w:t>
      </w:r>
      <w:r w:rsidRPr="009942AF">
        <w:rPr>
          <w:rFonts w:ascii="Calibri" w:eastAsia="Calibri" w:hAnsi="Calibri" w:cs="Calibri"/>
          <w:spacing w:val="26"/>
          <w:sz w:val="22"/>
          <w:szCs w:val="22"/>
        </w:rPr>
        <w:t xml:space="preserve"> </w:t>
      </w:r>
      <w:r w:rsidRPr="009942AF">
        <w:rPr>
          <w:rFonts w:ascii="Calibri" w:eastAsia="Calibri" w:hAnsi="Calibri" w:cs="Calibri"/>
          <w:sz w:val="22"/>
          <w:szCs w:val="22"/>
        </w:rPr>
        <w:t>of</w:t>
      </w:r>
      <w:r w:rsidRPr="009942AF">
        <w:rPr>
          <w:rFonts w:ascii="Calibri" w:eastAsia="Calibri" w:hAnsi="Calibri" w:cs="Calibri"/>
          <w:spacing w:val="24"/>
          <w:sz w:val="22"/>
          <w:szCs w:val="22"/>
        </w:rPr>
        <w:t xml:space="preserve"> </w:t>
      </w:r>
      <w:r w:rsidRPr="009942AF">
        <w:rPr>
          <w:rFonts w:ascii="Calibri" w:eastAsia="Calibri" w:hAnsi="Calibri" w:cs="Calibri"/>
          <w:sz w:val="22"/>
          <w:szCs w:val="22"/>
        </w:rPr>
        <w:t>Directors,</w:t>
      </w:r>
      <w:r w:rsidRPr="009942AF">
        <w:rPr>
          <w:rFonts w:ascii="Calibri" w:eastAsia="Calibri" w:hAnsi="Calibri" w:cs="Calibri"/>
          <w:spacing w:val="30"/>
          <w:sz w:val="22"/>
          <w:szCs w:val="22"/>
        </w:rPr>
        <w:t xml:space="preserve"> </w:t>
      </w:r>
      <w:r w:rsidRPr="009942AF">
        <w:rPr>
          <w:rFonts w:ascii="Calibri" w:eastAsia="Calibri" w:hAnsi="Calibri" w:cs="Calibri"/>
          <w:sz w:val="22"/>
          <w:szCs w:val="22"/>
        </w:rPr>
        <w:t>shall</w:t>
      </w:r>
      <w:r w:rsidRPr="009942AF">
        <w:rPr>
          <w:rFonts w:ascii="Calibri" w:eastAsia="Calibri" w:hAnsi="Calibri" w:cs="Calibri"/>
          <w:spacing w:val="27"/>
          <w:sz w:val="22"/>
          <w:szCs w:val="22"/>
        </w:rPr>
        <w:t xml:space="preserve"> </w:t>
      </w:r>
      <w:r w:rsidRPr="009942AF">
        <w:rPr>
          <w:rFonts w:ascii="Calibri" w:eastAsia="Calibri" w:hAnsi="Calibri" w:cs="Calibri"/>
          <w:sz w:val="22"/>
          <w:szCs w:val="22"/>
        </w:rPr>
        <w:t>factor</w:t>
      </w:r>
      <w:r w:rsidRPr="009942AF">
        <w:rPr>
          <w:rFonts w:ascii="Calibri" w:eastAsia="Calibri" w:hAnsi="Calibri" w:cs="Calibri"/>
          <w:spacing w:val="27"/>
          <w:sz w:val="22"/>
          <w:szCs w:val="22"/>
        </w:rPr>
        <w:t xml:space="preserve"> </w:t>
      </w:r>
      <w:r w:rsidRPr="009942AF">
        <w:rPr>
          <w:rFonts w:ascii="Calibri" w:eastAsia="Calibri" w:hAnsi="Calibri" w:cs="Calibri"/>
          <w:sz w:val="22"/>
          <w:szCs w:val="22"/>
        </w:rPr>
        <w:t>in funding</w:t>
      </w:r>
      <w:r w:rsidRPr="009942AF">
        <w:rPr>
          <w:rFonts w:ascii="Calibri" w:eastAsia="Calibri" w:hAnsi="Calibri" w:cs="Calibri"/>
          <w:spacing w:val="-10"/>
          <w:sz w:val="22"/>
          <w:szCs w:val="22"/>
        </w:rPr>
        <w:t xml:space="preserve"> </w:t>
      </w:r>
      <w:r w:rsidRPr="009942AF">
        <w:rPr>
          <w:rFonts w:ascii="Calibri" w:eastAsia="Calibri" w:hAnsi="Calibri" w:cs="Calibri"/>
          <w:sz w:val="22"/>
          <w:szCs w:val="22"/>
        </w:rPr>
        <w:t>of</w:t>
      </w:r>
      <w:r w:rsidRPr="009942AF">
        <w:rPr>
          <w:rFonts w:ascii="Calibri" w:eastAsia="Calibri" w:hAnsi="Calibri" w:cs="Calibri"/>
          <w:spacing w:val="-9"/>
          <w:sz w:val="22"/>
          <w:szCs w:val="22"/>
        </w:rPr>
        <w:t xml:space="preserve"> </w:t>
      </w:r>
      <w:r w:rsidRPr="009942AF">
        <w:rPr>
          <w:rFonts w:ascii="Calibri" w:eastAsia="Calibri" w:hAnsi="Calibri" w:cs="Calibri"/>
          <w:sz w:val="22"/>
          <w:szCs w:val="22"/>
        </w:rPr>
        <w:t>capital</w:t>
      </w:r>
      <w:r w:rsidRPr="009942AF">
        <w:rPr>
          <w:rFonts w:ascii="Calibri" w:eastAsia="Calibri" w:hAnsi="Calibri" w:cs="Calibri"/>
          <w:spacing w:val="-12"/>
          <w:sz w:val="22"/>
          <w:szCs w:val="22"/>
        </w:rPr>
        <w:t xml:space="preserve"> </w:t>
      </w:r>
      <w:r w:rsidRPr="009942AF">
        <w:rPr>
          <w:rFonts w:ascii="Calibri" w:eastAsia="Calibri" w:hAnsi="Calibri" w:cs="Calibri"/>
          <w:sz w:val="22"/>
          <w:szCs w:val="22"/>
        </w:rPr>
        <w:t>expenditure</w:t>
      </w:r>
      <w:r w:rsidRPr="009942AF">
        <w:rPr>
          <w:rFonts w:ascii="Calibri" w:eastAsia="Calibri" w:hAnsi="Calibri" w:cs="Calibri"/>
          <w:spacing w:val="-9"/>
          <w:sz w:val="22"/>
          <w:szCs w:val="22"/>
        </w:rPr>
        <w:t xml:space="preserve"> </w:t>
      </w:r>
      <w:r w:rsidRPr="009942AF">
        <w:rPr>
          <w:rFonts w:ascii="Calibri" w:eastAsia="Calibri" w:hAnsi="Calibri" w:cs="Calibri"/>
          <w:sz w:val="22"/>
          <w:szCs w:val="22"/>
        </w:rPr>
        <w:t>by</w:t>
      </w:r>
      <w:r w:rsidRPr="009942AF">
        <w:rPr>
          <w:rFonts w:ascii="Calibri" w:eastAsia="Calibri" w:hAnsi="Calibri" w:cs="Calibri"/>
          <w:spacing w:val="-8"/>
          <w:sz w:val="22"/>
          <w:szCs w:val="22"/>
        </w:rPr>
        <w:t xml:space="preserve"> </w:t>
      </w:r>
      <w:r w:rsidRPr="009942AF">
        <w:rPr>
          <w:rFonts w:ascii="Calibri" w:eastAsia="Calibri" w:hAnsi="Calibri" w:cs="Calibri"/>
          <w:sz w:val="22"/>
          <w:szCs w:val="22"/>
        </w:rPr>
        <w:t>SDs;</w:t>
      </w:r>
      <w:r w:rsidRPr="009942AF">
        <w:rPr>
          <w:rFonts w:ascii="Calibri" w:eastAsia="Calibri" w:hAnsi="Calibri" w:cs="Calibri"/>
          <w:spacing w:val="-10"/>
          <w:sz w:val="22"/>
          <w:szCs w:val="22"/>
        </w:rPr>
        <w:t xml:space="preserve"> </w:t>
      </w:r>
      <w:r w:rsidRPr="009942AF">
        <w:rPr>
          <w:rFonts w:ascii="Calibri" w:eastAsia="Calibri" w:hAnsi="Calibri" w:cs="Calibri"/>
          <w:sz w:val="22"/>
          <w:szCs w:val="22"/>
        </w:rPr>
        <w:t>to</w:t>
      </w:r>
      <w:r w:rsidRPr="009942AF">
        <w:rPr>
          <w:rFonts w:ascii="Calibri" w:eastAsia="Calibri" w:hAnsi="Calibri" w:cs="Calibri"/>
          <w:spacing w:val="-8"/>
          <w:sz w:val="22"/>
          <w:szCs w:val="22"/>
        </w:rPr>
        <w:t xml:space="preserve"> </w:t>
      </w:r>
      <w:r w:rsidRPr="009942AF">
        <w:rPr>
          <w:rFonts w:ascii="Calibri" w:eastAsia="Calibri" w:hAnsi="Calibri" w:cs="Calibri"/>
          <w:sz w:val="22"/>
          <w:szCs w:val="22"/>
        </w:rPr>
        <w:t>that</w:t>
      </w:r>
      <w:r w:rsidRPr="009942AF">
        <w:rPr>
          <w:rFonts w:ascii="Calibri" w:eastAsia="Calibri" w:hAnsi="Calibri" w:cs="Calibri"/>
          <w:spacing w:val="-8"/>
          <w:sz w:val="22"/>
          <w:szCs w:val="22"/>
        </w:rPr>
        <w:t xml:space="preserve"> </w:t>
      </w:r>
      <w:r w:rsidRPr="009942AF">
        <w:rPr>
          <w:rFonts w:ascii="Calibri" w:eastAsia="Calibri" w:hAnsi="Calibri" w:cs="Calibri"/>
          <w:sz w:val="22"/>
          <w:szCs w:val="22"/>
        </w:rPr>
        <w:t>extent</w:t>
      </w:r>
      <w:r w:rsidRPr="009942AF">
        <w:rPr>
          <w:rFonts w:ascii="Calibri" w:eastAsia="Calibri" w:hAnsi="Calibri" w:cs="Calibri"/>
          <w:spacing w:val="-8"/>
          <w:sz w:val="22"/>
          <w:szCs w:val="22"/>
        </w:rPr>
        <w:t xml:space="preserve"> </w:t>
      </w:r>
      <w:r w:rsidRPr="009942AF">
        <w:rPr>
          <w:rFonts w:ascii="Calibri" w:eastAsia="Calibri" w:hAnsi="Calibri" w:cs="Calibri"/>
          <w:sz w:val="22"/>
          <w:szCs w:val="22"/>
        </w:rPr>
        <w:t>no</w:t>
      </w:r>
      <w:r w:rsidRPr="009942AF">
        <w:rPr>
          <w:rFonts w:ascii="Calibri" w:eastAsia="Calibri" w:hAnsi="Calibri" w:cs="Calibri"/>
          <w:spacing w:val="-8"/>
          <w:sz w:val="22"/>
          <w:szCs w:val="22"/>
        </w:rPr>
        <w:t xml:space="preserve"> </w:t>
      </w:r>
      <w:r w:rsidRPr="009942AF">
        <w:rPr>
          <w:rFonts w:ascii="Calibri" w:eastAsia="Calibri" w:hAnsi="Calibri" w:cs="Calibri"/>
          <w:sz w:val="22"/>
          <w:szCs w:val="22"/>
        </w:rPr>
        <w:t>return</w:t>
      </w:r>
      <w:r w:rsidRPr="009942AF">
        <w:rPr>
          <w:rFonts w:ascii="Calibri" w:eastAsia="Calibri" w:hAnsi="Calibri" w:cs="Calibri"/>
          <w:spacing w:val="-10"/>
          <w:sz w:val="22"/>
          <w:szCs w:val="22"/>
        </w:rPr>
        <w:t xml:space="preserve"> </w:t>
      </w:r>
      <w:r w:rsidRPr="009942AF">
        <w:rPr>
          <w:rFonts w:ascii="Calibri" w:eastAsia="Calibri" w:hAnsi="Calibri" w:cs="Calibri"/>
          <w:sz w:val="22"/>
          <w:szCs w:val="22"/>
        </w:rPr>
        <w:t>/</w:t>
      </w:r>
      <w:r w:rsidRPr="009942AF">
        <w:rPr>
          <w:rFonts w:ascii="Calibri" w:eastAsia="Calibri" w:hAnsi="Calibri" w:cs="Calibri"/>
          <w:spacing w:val="-10"/>
          <w:sz w:val="22"/>
          <w:szCs w:val="22"/>
        </w:rPr>
        <w:t xml:space="preserve"> </w:t>
      </w:r>
      <w:r w:rsidRPr="009942AF">
        <w:rPr>
          <w:rFonts w:ascii="Calibri" w:eastAsia="Calibri" w:hAnsi="Calibri" w:cs="Calibri"/>
          <w:sz w:val="22"/>
          <w:szCs w:val="22"/>
        </w:rPr>
        <w:t>interest</w:t>
      </w:r>
      <w:r w:rsidRPr="009942AF">
        <w:rPr>
          <w:rFonts w:ascii="Calibri" w:eastAsia="Calibri" w:hAnsi="Calibri" w:cs="Calibri"/>
          <w:spacing w:val="-10"/>
          <w:sz w:val="22"/>
          <w:szCs w:val="22"/>
        </w:rPr>
        <w:t xml:space="preserve"> </w:t>
      </w:r>
      <w:r w:rsidRPr="009942AF">
        <w:rPr>
          <w:rFonts w:ascii="Calibri" w:eastAsia="Calibri" w:hAnsi="Calibri" w:cs="Calibri"/>
          <w:sz w:val="22"/>
          <w:szCs w:val="22"/>
        </w:rPr>
        <w:t>cost</w:t>
      </w:r>
      <w:r w:rsidRPr="009942AF">
        <w:rPr>
          <w:rFonts w:ascii="Calibri" w:eastAsia="Calibri" w:hAnsi="Calibri" w:cs="Calibri"/>
          <w:spacing w:val="-11"/>
          <w:sz w:val="22"/>
          <w:szCs w:val="22"/>
        </w:rPr>
        <w:t xml:space="preserve"> </w:t>
      </w:r>
      <w:r w:rsidRPr="009942AF">
        <w:rPr>
          <w:rFonts w:ascii="Calibri" w:eastAsia="Calibri" w:hAnsi="Calibri" w:cs="Calibri"/>
          <w:sz w:val="22"/>
          <w:szCs w:val="22"/>
        </w:rPr>
        <w:t>to</w:t>
      </w:r>
      <w:r w:rsidRPr="009942AF">
        <w:rPr>
          <w:rFonts w:ascii="Calibri" w:eastAsia="Calibri" w:hAnsi="Calibri" w:cs="Calibri"/>
          <w:spacing w:val="-10"/>
          <w:sz w:val="22"/>
          <w:szCs w:val="22"/>
        </w:rPr>
        <w:t xml:space="preserve"> </w:t>
      </w:r>
      <w:r w:rsidRPr="009942AF">
        <w:rPr>
          <w:rFonts w:ascii="Calibri" w:eastAsia="Calibri" w:hAnsi="Calibri" w:cs="Calibri"/>
          <w:sz w:val="22"/>
          <w:szCs w:val="22"/>
        </w:rPr>
        <w:t>be</w:t>
      </w:r>
      <w:r w:rsidRPr="009942AF">
        <w:rPr>
          <w:rFonts w:ascii="Calibri" w:eastAsia="Calibri" w:hAnsi="Calibri" w:cs="Calibri"/>
          <w:spacing w:val="-8"/>
          <w:sz w:val="22"/>
          <w:szCs w:val="22"/>
        </w:rPr>
        <w:t xml:space="preserve"> </w:t>
      </w:r>
      <w:r w:rsidRPr="009942AF">
        <w:rPr>
          <w:rFonts w:ascii="Calibri" w:eastAsia="Calibri" w:hAnsi="Calibri" w:cs="Calibri"/>
          <w:sz w:val="22"/>
          <w:szCs w:val="22"/>
        </w:rPr>
        <w:t>allowed</w:t>
      </w:r>
      <w:r w:rsidRPr="009942AF">
        <w:rPr>
          <w:rFonts w:ascii="Calibri" w:eastAsia="Calibri" w:hAnsi="Calibri" w:cs="Calibri"/>
          <w:spacing w:val="-12"/>
          <w:sz w:val="22"/>
          <w:szCs w:val="22"/>
        </w:rPr>
        <w:t xml:space="preserve"> </w:t>
      </w:r>
      <w:r w:rsidRPr="009942AF">
        <w:rPr>
          <w:rFonts w:ascii="Calibri" w:eastAsia="Calibri" w:hAnsi="Calibri" w:cs="Calibri"/>
          <w:sz w:val="22"/>
          <w:szCs w:val="22"/>
        </w:rPr>
        <w:t>in</w:t>
      </w:r>
      <w:r w:rsidRPr="009942AF">
        <w:rPr>
          <w:rFonts w:ascii="Calibri" w:eastAsia="Calibri" w:hAnsi="Calibri" w:cs="Calibri"/>
          <w:spacing w:val="-10"/>
          <w:sz w:val="22"/>
          <w:szCs w:val="22"/>
        </w:rPr>
        <w:t xml:space="preserve"> </w:t>
      </w:r>
      <w:r w:rsidRPr="009942AF">
        <w:rPr>
          <w:rFonts w:ascii="Calibri" w:eastAsia="Calibri" w:hAnsi="Calibri" w:cs="Calibri"/>
          <w:sz w:val="22"/>
          <w:szCs w:val="22"/>
        </w:rPr>
        <w:t>ARR</w:t>
      </w:r>
    </w:p>
    <w:p w14:paraId="3C18B789" w14:textId="77777777" w:rsidR="009942AF" w:rsidRPr="009942AF" w:rsidRDefault="009942AF" w:rsidP="00E66BA2">
      <w:pPr>
        <w:widowControl w:val="0"/>
        <w:numPr>
          <w:ilvl w:val="0"/>
          <w:numId w:val="58"/>
        </w:numPr>
        <w:tabs>
          <w:tab w:val="left" w:pos="920"/>
        </w:tabs>
        <w:autoSpaceDE w:val="0"/>
        <w:autoSpaceDN w:val="0"/>
        <w:spacing w:before="120" w:line="360" w:lineRule="auto"/>
        <w:jc w:val="both"/>
        <w:rPr>
          <w:rFonts w:ascii="Calibri" w:eastAsia="Calibri" w:hAnsi="Calibri" w:cs="Calibri"/>
          <w:sz w:val="22"/>
          <w:szCs w:val="22"/>
        </w:rPr>
      </w:pPr>
      <w:r w:rsidRPr="009942AF">
        <w:rPr>
          <w:rFonts w:ascii="Calibri" w:eastAsia="Calibri" w:hAnsi="Calibri" w:cs="Calibri"/>
          <w:sz w:val="22"/>
          <w:szCs w:val="22"/>
        </w:rPr>
        <w:t>Following</w:t>
      </w:r>
      <w:r w:rsidRPr="009942AF">
        <w:rPr>
          <w:rFonts w:ascii="Calibri" w:eastAsia="Calibri" w:hAnsi="Calibri" w:cs="Calibri"/>
          <w:spacing w:val="-4"/>
          <w:sz w:val="22"/>
          <w:szCs w:val="22"/>
        </w:rPr>
        <w:t xml:space="preserve"> </w:t>
      </w:r>
      <w:r w:rsidRPr="009942AF">
        <w:rPr>
          <w:rFonts w:ascii="Calibri" w:eastAsia="Calibri" w:hAnsi="Calibri" w:cs="Calibri"/>
          <w:sz w:val="22"/>
          <w:szCs w:val="22"/>
        </w:rPr>
        <w:t>is</w:t>
      </w:r>
      <w:r w:rsidRPr="009942AF">
        <w:rPr>
          <w:rFonts w:ascii="Calibri" w:eastAsia="Calibri" w:hAnsi="Calibri" w:cs="Calibri"/>
          <w:spacing w:val="-3"/>
          <w:sz w:val="22"/>
          <w:szCs w:val="22"/>
        </w:rPr>
        <w:t xml:space="preserve"> </w:t>
      </w:r>
      <w:r w:rsidRPr="009942AF">
        <w:rPr>
          <w:rFonts w:ascii="Calibri" w:eastAsia="Calibri" w:hAnsi="Calibri" w:cs="Calibri"/>
          <w:sz w:val="22"/>
          <w:szCs w:val="22"/>
        </w:rPr>
        <w:t>the</w:t>
      </w:r>
      <w:r w:rsidRPr="009942AF">
        <w:rPr>
          <w:rFonts w:ascii="Calibri" w:eastAsia="Calibri" w:hAnsi="Calibri" w:cs="Calibri"/>
          <w:spacing w:val="-5"/>
          <w:sz w:val="22"/>
          <w:szCs w:val="22"/>
        </w:rPr>
        <w:t xml:space="preserve"> </w:t>
      </w:r>
      <w:r w:rsidRPr="009942AF">
        <w:rPr>
          <w:rFonts w:ascii="Calibri" w:eastAsia="Calibri" w:hAnsi="Calibri" w:cs="Calibri"/>
          <w:sz w:val="22"/>
          <w:szCs w:val="22"/>
        </w:rPr>
        <w:t>Schedule</w:t>
      </w:r>
      <w:r w:rsidRPr="009942AF">
        <w:rPr>
          <w:rFonts w:ascii="Calibri" w:eastAsia="Calibri" w:hAnsi="Calibri" w:cs="Calibri"/>
          <w:spacing w:val="-4"/>
          <w:sz w:val="22"/>
          <w:szCs w:val="22"/>
        </w:rPr>
        <w:t xml:space="preserve"> </w:t>
      </w:r>
      <w:r w:rsidRPr="009942AF">
        <w:rPr>
          <w:rFonts w:ascii="Calibri" w:eastAsia="Calibri" w:hAnsi="Calibri" w:cs="Calibri"/>
          <w:sz w:val="22"/>
          <w:szCs w:val="22"/>
        </w:rPr>
        <w:t>of</w:t>
      </w:r>
      <w:r w:rsidRPr="009942AF">
        <w:rPr>
          <w:rFonts w:ascii="Calibri" w:eastAsia="Calibri" w:hAnsi="Calibri" w:cs="Calibri"/>
          <w:spacing w:val="-3"/>
          <w:sz w:val="22"/>
          <w:szCs w:val="22"/>
        </w:rPr>
        <w:t xml:space="preserve"> </w:t>
      </w:r>
      <w:r w:rsidRPr="009942AF">
        <w:rPr>
          <w:rFonts w:ascii="Calibri" w:eastAsia="Calibri" w:hAnsi="Calibri" w:cs="Calibri"/>
          <w:sz w:val="22"/>
          <w:szCs w:val="22"/>
        </w:rPr>
        <w:t>Authority</w:t>
      </w:r>
      <w:r w:rsidRPr="009942AF">
        <w:rPr>
          <w:rFonts w:ascii="Calibri" w:eastAsia="Calibri" w:hAnsi="Calibri" w:cs="Calibri"/>
          <w:spacing w:val="-3"/>
          <w:sz w:val="22"/>
          <w:szCs w:val="22"/>
        </w:rPr>
        <w:t xml:space="preserve"> </w:t>
      </w:r>
      <w:r w:rsidRPr="009942AF">
        <w:rPr>
          <w:rFonts w:ascii="Calibri" w:eastAsia="Calibri" w:hAnsi="Calibri" w:cs="Calibri"/>
          <w:sz w:val="22"/>
          <w:szCs w:val="22"/>
        </w:rPr>
        <w:t>proposed</w:t>
      </w:r>
      <w:r w:rsidRPr="009942AF">
        <w:rPr>
          <w:rFonts w:ascii="Calibri" w:eastAsia="Calibri" w:hAnsi="Calibri" w:cs="Calibri"/>
          <w:spacing w:val="-2"/>
          <w:sz w:val="22"/>
          <w:szCs w:val="22"/>
        </w:rPr>
        <w:t xml:space="preserve"> </w:t>
      </w:r>
      <w:r w:rsidRPr="009942AF">
        <w:rPr>
          <w:rFonts w:ascii="Calibri" w:eastAsia="Calibri" w:hAnsi="Calibri" w:cs="Calibri"/>
          <w:sz w:val="22"/>
          <w:szCs w:val="22"/>
        </w:rPr>
        <w:t>by</w:t>
      </w:r>
      <w:r w:rsidRPr="009942AF">
        <w:rPr>
          <w:rFonts w:ascii="Calibri" w:eastAsia="Calibri" w:hAnsi="Calibri" w:cs="Calibri"/>
          <w:spacing w:val="-5"/>
          <w:sz w:val="22"/>
          <w:szCs w:val="22"/>
        </w:rPr>
        <w:t xml:space="preserve"> </w:t>
      </w:r>
      <w:r w:rsidRPr="009942AF">
        <w:rPr>
          <w:rFonts w:ascii="Calibri" w:eastAsia="Calibri" w:hAnsi="Calibri" w:cs="Calibri"/>
          <w:sz w:val="22"/>
          <w:szCs w:val="22"/>
        </w:rPr>
        <w:t>the</w:t>
      </w:r>
      <w:r w:rsidRPr="009942AF">
        <w:rPr>
          <w:rFonts w:ascii="Calibri" w:eastAsia="Calibri" w:hAnsi="Calibri" w:cs="Calibri"/>
          <w:spacing w:val="-3"/>
          <w:sz w:val="22"/>
          <w:szCs w:val="22"/>
        </w:rPr>
        <w:t xml:space="preserve"> </w:t>
      </w:r>
      <w:r w:rsidRPr="009942AF">
        <w:rPr>
          <w:rFonts w:ascii="Calibri" w:eastAsia="Calibri" w:hAnsi="Calibri" w:cs="Calibri"/>
          <w:sz w:val="22"/>
          <w:szCs w:val="22"/>
        </w:rPr>
        <w:t>Utility</w:t>
      </w:r>
      <w:r w:rsidRPr="009942AF">
        <w:rPr>
          <w:rFonts w:ascii="Calibri" w:eastAsia="Calibri" w:hAnsi="Calibri" w:cs="Calibri"/>
          <w:spacing w:val="-3"/>
          <w:sz w:val="22"/>
          <w:szCs w:val="22"/>
        </w:rPr>
        <w:t xml:space="preserve"> </w:t>
      </w:r>
      <w:r w:rsidRPr="009942AF">
        <w:rPr>
          <w:rFonts w:ascii="Calibri" w:eastAsia="Calibri" w:hAnsi="Calibri" w:cs="Calibri"/>
          <w:sz w:val="22"/>
          <w:szCs w:val="22"/>
        </w:rPr>
        <w:t>for</w:t>
      </w:r>
      <w:r w:rsidRPr="009942AF">
        <w:rPr>
          <w:rFonts w:ascii="Calibri" w:eastAsia="Calibri" w:hAnsi="Calibri" w:cs="Calibri"/>
          <w:spacing w:val="-2"/>
          <w:sz w:val="22"/>
          <w:szCs w:val="22"/>
        </w:rPr>
        <w:t xml:space="preserve"> </w:t>
      </w:r>
      <w:r w:rsidRPr="009942AF">
        <w:rPr>
          <w:rFonts w:ascii="Calibri" w:eastAsia="Calibri" w:hAnsi="Calibri" w:cs="Calibri"/>
          <w:sz w:val="22"/>
          <w:szCs w:val="22"/>
        </w:rPr>
        <w:t>use</w:t>
      </w:r>
      <w:r w:rsidRPr="009942AF">
        <w:rPr>
          <w:rFonts w:ascii="Calibri" w:eastAsia="Calibri" w:hAnsi="Calibri" w:cs="Calibri"/>
          <w:spacing w:val="-6"/>
          <w:sz w:val="22"/>
          <w:szCs w:val="22"/>
        </w:rPr>
        <w:t xml:space="preserve"> </w:t>
      </w:r>
      <w:r w:rsidRPr="009942AF">
        <w:rPr>
          <w:rFonts w:ascii="Calibri" w:eastAsia="Calibri" w:hAnsi="Calibri" w:cs="Calibri"/>
          <w:sz w:val="22"/>
          <w:szCs w:val="22"/>
        </w:rPr>
        <w:t>of</w:t>
      </w:r>
      <w:r w:rsidRPr="009942AF">
        <w:rPr>
          <w:rFonts w:ascii="Calibri" w:eastAsia="Calibri" w:hAnsi="Calibri" w:cs="Calibri"/>
          <w:spacing w:val="-5"/>
          <w:sz w:val="22"/>
          <w:szCs w:val="22"/>
        </w:rPr>
        <w:t xml:space="preserve"> SDs</w:t>
      </w:r>
    </w:p>
    <w:p w14:paraId="1B45CF93" w14:textId="77777777" w:rsidR="009942AF" w:rsidRPr="009942AF" w:rsidRDefault="009942AF" w:rsidP="009942AF">
      <w:pPr>
        <w:widowControl w:val="0"/>
        <w:tabs>
          <w:tab w:val="left" w:pos="920"/>
        </w:tabs>
        <w:autoSpaceDE w:val="0"/>
        <w:autoSpaceDN w:val="0"/>
        <w:spacing w:before="120" w:line="360" w:lineRule="auto"/>
        <w:ind w:left="560"/>
        <w:rPr>
          <w:rFonts w:ascii="Calibri" w:eastAsia="Calibri" w:hAnsi="Calibri" w:cs="Calibri"/>
          <w:sz w:val="22"/>
          <w:szCs w:val="22"/>
        </w:rPr>
      </w:pPr>
    </w:p>
    <w:tbl>
      <w:tblPr>
        <w:tblW w:w="0" w:type="auto"/>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1E0" w:firstRow="1" w:lastRow="1" w:firstColumn="1" w:lastColumn="1" w:noHBand="0" w:noVBand="0"/>
      </w:tblPr>
      <w:tblGrid>
        <w:gridCol w:w="1623"/>
        <w:gridCol w:w="6164"/>
      </w:tblGrid>
      <w:tr w:rsidR="009942AF" w:rsidRPr="009942AF" w14:paraId="41AF30A3" w14:textId="77777777" w:rsidTr="009942AF">
        <w:trPr>
          <w:trHeight w:val="387"/>
          <w:jc w:val="center"/>
        </w:trPr>
        <w:tc>
          <w:tcPr>
            <w:tcW w:w="1623" w:type="dxa"/>
          </w:tcPr>
          <w:p w14:paraId="6039004F" w14:textId="77777777" w:rsidR="009942AF" w:rsidRPr="009942AF" w:rsidRDefault="009942AF" w:rsidP="009942AF">
            <w:pPr>
              <w:widowControl w:val="0"/>
              <w:autoSpaceDE w:val="0"/>
              <w:autoSpaceDN w:val="0"/>
              <w:spacing w:line="360" w:lineRule="auto"/>
              <w:ind w:left="107"/>
              <w:rPr>
                <w:rFonts w:ascii="Calibri" w:eastAsia="Arial MT" w:hAnsi="Calibri" w:cs="Calibri"/>
                <w:sz w:val="22"/>
                <w:szCs w:val="22"/>
              </w:rPr>
            </w:pPr>
            <w:r w:rsidRPr="009942AF">
              <w:rPr>
                <w:rFonts w:ascii="Calibri" w:eastAsia="Arial MT" w:hAnsi="Calibri" w:cs="Calibri"/>
                <w:sz w:val="22"/>
                <w:szCs w:val="22"/>
              </w:rPr>
              <w:t>Level</w:t>
            </w:r>
            <w:r w:rsidRPr="009942AF">
              <w:rPr>
                <w:rFonts w:ascii="Calibri" w:eastAsia="Arial MT" w:hAnsi="Calibri" w:cs="Calibri"/>
                <w:spacing w:val="-5"/>
                <w:sz w:val="22"/>
                <w:szCs w:val="22"/>
              </w:rPr>
              <w:t xml:space="preserve"> </w:t>
            </w:r>
            <w:r w:rsidRPr="009942AF">
              <w:rPr>
                <w:rFonts w:ascii="Calibri" w:eastAsia="Arial MT" w:hAnsi="Calibri" w:cs="Calibri"/>
                <w:spacing w:val="-12"/>
                <w:sz w:val="22"/>
                <w:szCs w:val="22"/>
              </w:rPr>
              <w:t>1</w:t>
            </w:r>
          </w:p>
        </w:tc>
        <w:tc>
          <w:tcPr>
            <w:tcW w:w="6164" w:type="dxa"/>
          </w:tcPr>
          <w:p w14:paraId="05CDC29A" w14:textId="77777777" w:rsidR="009942AF" w:rsidRPr="009942AF" w:rsidRDefault="009942AF" w:rsidP="009942AF">
            <w:pPr>
              <w:widowControl w:val="0"/>
              <w:autoSpaceDE w:val="0"/>
              <w:autoSpaceDN w:val="0"/>
              <w:spacing w:line="360" w:lineRule="auto"/>
              <w:ind w:left="107"/>
              <w:rPr>
                <w:rFonts w:ascii="Calibri" w:eastAsia="Arial MT" w:hAnsi="Calibri" w:cs="Calibri"/>
                <w:sz w:val="22"/>
                <w:szCs w:val="22"/>
              </w:rPr>
            </w:pPr>
            <w:r w:rsidRPr="009942AF">
              <w:rPr>
                <w:rFonts w:ascii="Calibri" w:eastAsia="Arial MT" w:hAnsi="Calibri" w:cs="Calibri"/>
                <w:sz w:val="22"/>
                <w:szCs w:val="22"/>
              </w:rPr>
              <w:t>Approval</w:t>
            </w:r>
            <w:r w:rsidRPr="009942AF">
              <w:rPr>
                <w:rFonts w:ascii="Calibri" w:eastAsia="Arial MT" w:hAnsi="Calibri" w:cs="Calibri"/>
                <w:spacing w:val="-5"/>
                <w:sz w:val="22"/>
                <w:szCs w:val="22"/>
              </w:rPr>
              <w:t xml:space="preserve"> </w:t>
            </w:r>
            <w:r w:rsidRPr="009942AF">
              <w:rPr>
                <w:rFonts w:ascii="Calibri" w:eastAsia="Arial MT" w:hAnsi="Calibri" w:cs="Calibri"/>
                <w:sz w:val="22"/>
                <w:szCs w:val="22"/>
              </w:rPr>
              <w:t>by</w:t>
            </w:r>
            <w:r w:rsidRPr="009942AF">
              <w:rPr>
                <w:rFonts w:ascii="Calibri" w:eastAsia="Arial MT" w:hAnsi="Calibri" w:cs="Calibri"/>
                <w:spacing w:val="-4"/>
                <w:sz w:val="22"/>
                <w:szCs w:val="22"/>
              </w:rPr>
              <w:t xml:space="preserve"> </w:t>
            </w:r>
            <w:r w:rsidRPr="009942AF">
              <w:rPr>
                <w:rFonts w:ascii="Calibri" w:eastAsia="Arial MT" w:hAnsi="Calibri" w:cs="Calibri"/>
                <w:spacing w:val="-5"/>
                <w:sz w:val="22"/>
                <w:szCs w:val="22"/>
              </w:rPr>
              <w:t>CFO</w:t>
            </w:r>
          </w:p>
        </w:tc>
      </w:tr>
      <w:tr w:rsidR="009942AF" w:rsidRPr="009942AF" w14:paraId="22F3B55E" w14:textId="77777777" w:rsidTr="009942AF">
        <w:trPr>
          <w:trHeight w:val="387"/>
          <w:jc w:val="center"/>
        </w:trPr>
        <w:tc>
          <w:tcPr>
            <w:tcW w:w="1623" w:type="dxa"/>
          </w:tcPr>
          <w:p w14:paraId="78E9BADF" w14:textId="77777777" w:rsidR="009942AF" w:rsidRPr="009942AF" w:rsidRDefault="009942AF" w:rsidP="009942AF">
            <w:pPr>
              <w:widowControl w:val="0"/>
              <w:autoSpaceDE w:val="0"/>
              <w:autoSpaceDN w:val="0"/>
              <w:spacing w:line="360" w:lineRule="auto"/>
              <w:ind w:left="107"/>
              <w:rPr>
                <w:rFonts w:ascii="Calibri" w:eastAsia="Arial MT" w:hAnsi="Calibri" w:cs="Calibri"/>
                <w:sz w:val="22"/>
                <w:szCs w:val="22"/>
              </w:rPr>
            </w:pPr>
            <w:r w:rsidRPr="009942AF">
              <w:rPr>
                <w:rFonts w:ascii="Calibri" w:eastAsia="Arial MT" w:hAnsi="Calibri" w:cs="Calibri"/>
                <w:sz w:val="22"/>
                <w:szCs w:val="22"/>
              </w:rPr>
              <w:t>Level</w:t>
            </w:r>
            <w:r w:rsidRPr="009942AF">
              <w:rPr>
                <w:rFonts w:ascii="Calibri" w:eastAsia="Arial MT" w:hAnsi="Calibri" w:cs="Calibri"/>
                <w:spacing w:val="-5"/>
                <w:sz w:val="22"/>
                <w:szCs w:val="22"/>
              </w:rPr>
              <w:t xml:space="preserve"> </w:t>
            </w:r>
            <w:r w:rsidRPr="009942AF">
              <w:rPr>
                <w:rFonts w:ascii="Calibri" w:eastAsia="Arial MT" w:hAnsi="Calibri" w:cs="Calibri"/>
                <w:spacing w:val="-12"/>
                <w:sz w:val="22"/>
                <w:szCs w:val="22"/>
              </w:rPr>
              <w:t>2</w:t>
            </w:r>
          </w:p>
        </w:tc>
        <w:tc>
          <w:tcPr>
            <w:tcW w:w="6164" w:type="dxa"/>
          </w:tcPr>
          <w:p w14:paraId="39B2FF2A" w14:textId="77777777" w:rsidR="009942AF" w:rsidRPr="009942AF" w:rsidRDefault="009942AF" w:rsidP="009942AF">
            <w:pPr>
              <w:widowControl w:val="0"/>
              <w:autoSpaceDE w:val="0"/>
              <w:autoSpaceDN w:val="0"/>
              <w:spacing w:before="1" w:line="360" w:lineRule="auto"/>
              <w:ind w:left="107"/>
              <w:rPr>
                <w:rFonts w:ascii="Calibri" w:eastAsia="Arial MT" w:hAnsi="Calibri" w:cs="Calibri"/>
                <w:sz w:val="22"/>
                <w:szCs w:val="22"/>
              </w:rPr>
            </w:pPr>
            <w:r w:rsidRPr="009942AF">
              <w:rPr>
                <w:rFonts w:ascii="Calibri" w:eastAsia="Arial MT" w:hAnsi="Calibri" w:cs="Calibri"/>
                <w:sz w:val="22"/>
                <w:szCs w:val="22"/>
              </w:rPr>
              <w:t>Approval</w:t>
            </w:r>
            <w:r w:rsidRPr="009942AF">
              <w:rPr>
                <w:rFonts w:ascii="Calibri" w:eastAsia="Arial MT" w:hAnsi="Calibri" w:cs="Calibri"/>
                <w:spacing w:val="-5"/>
                <w:sz w:val="22"/>
                <w:szCs w:val="22"/>
              </w:rPr>
              <w:t xml:space="preserve"> </w:t>
            </w:r>
            <w:r w:rsidRPr="009942AF">
              <w:rPr>
                <w:rFonts w:ascii="Calibri" w:eastAsia="Arial MT" w:hAnsi="Calibri" w:cs="Calibri"/>
                <w:sz w:val="22"/>
                <w:szCs w:val="22"/>
              </w:rPr>
              <w:t>by</w:t>
            </w:r>
            <w:r w:rsidRPr="009942AF">
              <w:rPr>
                <w:rFonts w:ascii="Calibri" w:eastAsia="Arial MT" w:hAnsi="Calibri" w:cs="Calibri"/>
                <w:spacing w:val="-4"/>
                <w:sz w:val="22"/>
                <w:szCs w:val="22"/>
              </w:rPr>
              <w:t xml:space="preserve"> </w:t>
            </w:r>
            <w:r w:rsidRPr="009942AF">
              <w:rPr>
                <w:rFonts w:ascii="Calibri" w:eastAsia="Arial MT" w:hAnsi="Calibri" w:cs="Calibri"/>
                <w:spacing w:val="-5"/>
                <w:sz w:val="22"/>
                <w:szCs w:val="22"/>
              </w:rPr>
              <w:t>CEO</w:t>
            </w:r>
          </w:p>
        </w:tc>
      </w:tr>
      <w:tr w:rsidR="009942AF" w:rsidRPr="009942AF" w14:paraId="59585978" w14:textId="77777777" w:rsidTr="009942AF">
        <w:trPr>
          <w:trHeight w:val="659"/>
          <w:jc w:val="center"/>
        </w:trPr>
        <w:tc>
          <w:tcPr>
            <w:tcW w:w="1623" w:type="dxa"/>
          </w:tcPr>
          <w:p w14:paraId="7A819915" w14:textId="77777777" w:rsidR="009942AF" w:rsidRPr="009942AF" w:rsidRDefault="009942AF" w:rsidP="009942AF">
            <w:pPr>
              <w:widowControl w:val="0"/>
              <w:autoSpaceDE w:val="0"/>
              <w:autoSpaceDN w:val="0"/>
              <w:spacing w:before="1" w:line="360" w:lineRule="auto"/>
              <w:ind w:left="107"/>
              <w:rPr>
                <w:rFonts w:ascii="Calibri" w:eastAsia="Arial MT" w:hAnsi="Calibri" w:cs="Calibri"/>
                <w:sz w:val="22"/>
                <w:szCs w:val="22"/>
              </w:rPr>
            </w:pPr>
            <w:r w:rsidRPr="009942AF">
              <w:rPr>
                <w:rFonts w:ascii="Calibri" w:eastAsia="Arial MT" w:hAnsi="Calibri" w:cs="Calibri"/>
                <w:sz w:val="22"/>
                <w:szCs w:val="22"/>
              </w:rPr>
              <w:t>Level</w:t>
            </w:r>
            <w:r w:rsidRPr="009942AF">
              <w:rPr>
                <w:rFonts w:ascii="Calibri" w:eastAsia="Arial MT" w:hAnsi="Calibri" w:cs="Calibri"/>
                <w:spacing w:val="-5"/>
                <w:sz w:val="22"/>
                <w:szCs w:val="22"/>
              </w:rPr>
              <w:t xml:space="preserve"> </w:t>
            </w:r>
            <w:r w:rsidRPr="009942AF">
              <w:rPr>
                <w:rFonts w:ascii="Calibri" w:eastAsia="Arial MT" w:hAnsi="Calibri" w:cs="Calibri"/>
                <w:spacing w:val="-12"/>
                <w:sz w:val="22"/>
                <w:szCs w:val="22"/>
              </w:rPr>
              <w:t>3</w:t>
            </w:r>
          </w:p>
        </w:tc>
        <w:tc>
          <w:tcPr>
            <w:tcW w:w="6164" w:type="dxa"/>
          </w:tcPr>
          <w:p w14:paraId="58DAB4D6" w14:textId="77777777" w:rsidR="009942AF" w:rsidRPr="009942AF" w:rsidRDefault="009942AF" w:rsidP="009942AF">
            <w:pPr>
              <w:widowControl w:val="0"/>
              <w:autoSpaceDE w:val="0"/>
              <w:autoSpaceDN w:val="0"/>
              <w:spacing w:before="1" w:line="360" w:lineRule="auto"/>
              <w:ind w:left="107"/>
              <w:rPr>
                <w:rFonts w:ascii="Calibri" w:eastAsia="Arial MT" w:hAnsi="Calibri" w:cs="Calibri"/>
                <w:sz w:val="22"/>
                <w:szCs w:val="22"/>
              </w:rPr>
            </w:pPr>
            <w:r w:rsidRPr="009942AF">
              <w:rPr>
                <w:rFonts w:ascii="Calibri" w:eastAsia="Arial MT" w:hAnsi="Calibri" w:cs="Calibri"/>
                <w:sz w:val="22"/>
                <w:szCs w:val="22"/>
              </w:rPr>
              <w:t>Approval by Committee of Directors constituted by the Board</w:t>
            </w:r>
            <w:r w:rsidRPr="009942AF">
              <w:rPr>
                <w:rFonts w:ascii="Calibri" w:eastAsia="Arial MT" w:hAnsi="Calibri" w:cs="Calibri"/>
                <w:spacing w:val="-6"/>
                <w:sz w:val="22"/>
                <w:szCs w:val="22"/>
              </w:rPr>
              <w:t xml:space="preserve"> </w:t>
            </w:r>
            <w:r w:rsidRPr="009942AF">
              <w:rPr>
                <w:rFonts w:ascii="Calibri" w:eastAsia="Arial MT" w:hAnsi="Calibri" w:cs="Calibri"/>
                <w:sz w:val="22"/>
                <w:szCs w:val="22"/>
              </w:rPr>
              <w:t>(comprising</w:t>
            </w:r>
            <w:r w:rsidRPr="009942AF">
              <w:rPr>
                <w:rFonts w:ascii="Calibri" w:eastAsia="Arial MT" w:hAnsi="Calibri" w:cs="Calibri"/>
                <w:spacing w:val="-5"/>
                <w:sz w:val="22"/>
                <w:szCs w:val="22"/>
              </w:rPr>
              <w:t xml:space="preserve"> </w:t>
            </w:r>
            <w:r w:rsidRPr="009942AF">
              <w:rPr>
                <w:rFonts w:ascii="Calibri" w:eastAsia="Arial MT" w:hAnsi="Calibri" w:cs="Calibri"/>
                <w:sz w:val="22"/>
                <w:szCs w:val="22"/>
              </w:rPr>
              <w:t>of</w:t>
            </w:r>
            <w:r w:rsidRPr="009942AF">
              <w:rPr>
                <w:rFonts w:ascii="Calibri" w:eastAsia="Arial MT" w:hAnsi="Calibri" w:cs="Calibri"/>
                <w:spacing w:val="-7"/>
                <w:sz w:val="22"/>
                <w:szCs w:val="22"/>
              </w:rPr>
              <w:t xml:space="preserve"> </w:t>
            </w:r>
            <w:r w:rsidRPr="009942AF">
              <w:rPr>
                <w:rFonts w:ascii="Calibri" w:eastAsia="Arial MT" w:hAnsi="Calibri" w:cs="Calibri"/>
                <w:sz w:val="22"/>
                <w:szCs w:val="22"/>
              </w:rPr>
              <w:t>Tata</w:t>
            </w:r>
            <w:r w:rsidRPr="009942AF">
              <w:rPr>
                <w:rFonts w:ascii="Calibri" w:eastAsia="Arial MT" w:hAnsi="Calibri" w:cs="Calibri"/>
                <w:spacing w:val="-6"/>
                <w:sz w:val="22"/>
                <w:szCs w:val="22"/>
              </w:rPr>
              <w:t xml:space="preserve"> </w:t>
            </w:r>
            <w:r w:rsidRPr="009942AF">
              <w:rPr>
                <w:rFonts w:ascii="Calibri" w:eastAsia="Arial MT" w:hAnsi="Calibri" w:cs="Calibri"/>
                <w:sz w:val="22"/>
                <w:szCs w:val="22"/>
              </w:rPr>
              <w:t>Power</w:t>
            </w:r>
            <w:r w:rsidRPr="009942AF">
              <w:rPr>
                <w:rFonts w:ascii="Calibri" w:eastAsia="Arial MT" w:hAnsi="Calibri" w:cs="Calibri"/>
                <w:spacing w:val="-6"/>
                <w:sz w:val="22"/>
                <w:szCs w:val="22"/>
              </w:rPr>
              <w:t xml:space="preserve"> </w:t>
            </w:r>
            <w:r w:rsidRPr="009942AF">
              <w:rPr>
                <w:rFonts w:ascii="Calibri" w:eastAsia="Arial MT" w:hAnsi="Calibri" w:cs="Calibri"/>
                <w:sz w:val="22"/>
                <w:szCs w:val="22"/>
              </w:rPr>
              <w:t>and</w:t>
            </w:r>
            <w:r w:rsidRPr="009942AF">
              <w:rPr>
                <w:rFonts w:ascii="Calibri" w:eastAsia="Arial MT" w:hAnsi="Calibri" w:cs="Calibri"/>
                <w:spacing w:val="-5"/>
                <w:sz w:val="22"/>
                <w:szCs w:val="22"/>
              </w:rPr>
              <w:t xml:space="preserve"> </w:t>
            </w:r>
            <w:r w:rsidRPr="009942AF">
              <w:rPr>
                <w:rFonts w:ascii="Calibri" w:eastAsia="Arial MT" w:hAnsi="Calibri" w:cs="Calibri"/>
                <w:sz w:val="22"/>
                <w:szCs w:val="22"/>
              </w:rPr>
              <w:t>GRIDCO</w:t>
            </w:r>
            <w:r w:rsidRPr="009942AF">
              <w:rPr>
                <w:rFonts w:ascii="Calibri" w:eastAsia="Arial MT" w:hAnsi="Calibri" w:cs="Calibri"/>
                <w:spacing w:val="-4"/>
                <w:sz w:val="22"/>
                <w:szCs w:val="22"/>
              </w:rPr>
              <w:t xml:space="preserve"> </w:t>
            </w:r>
            <w:r w:rsidRPr="009942AF">
              <w:rPr>
                <w:rFonts w:ascii="Calibri" w:eastAsia="Arial MT" w:hAnsi="Calibri" w:cs="Calibri"/>
                <w:sz w:val="22"/>
                <w:szCs w:val="22"/>
              </w:rPr>
              <w:t>directors)</w:t>
            </w:r>
          </w:p>
        </w:tc>
      </w:tr>
      <w:tr w:rsidR="009942AF" w:rsidRPr="009942AF" w14:paraId="5A3B8C46" w14:textId="77777777" w:rsidTr="009942AF">
        <w:trPr>
          <w:trHeight w:val="388"/>
          <w:jc w:val="center"/>
        </w:trPr>
        <w:tc>
          <w:tcPr>
            <w:tcW w:w="1623" w:type="dxa"/>
          </w:tcPr>
          <w:p w14:paraId="2D6D47BB" w14:textId="77777777" w:rsidR="009942AF" w:rsidRPr="009942AF" w:rsidRDefault="009942AF" w:rsidP="009942AF">
            <w:pPr>
              <w:widowControl w:val="0"/>
              <w:autoSpaceDE w:val="0"/>
              <w:autoSpaceDN w:val="0"/>
              <w:spacing w:line="360" w:lineRule="auto"/>
              <w:ind w:left="107"/>
              <w:rPr>
                <w:rFonts w:ascii="Calibri" w:eastAsia="Arial MT" w:hAnsi="Calibri" w:cs="Calibri"/>
                <w:sz w:val="22"/>
                <w:szCs w:val="22"/>
              </w:rPr>
            </w:pPr>
            <w:r w:rsidRPr="009942AF">
              <w:rPr>
                <w:rFonts w:ascii="Calibri" w:eastAsia="Arial MT" w:hAnsi="Calibri" w:cs="Calibri"/>
                <w:sz w:val="22"/>
                <w:szCs w:val="22"/>
              </w:rPr>
              <w:t>Level</w:t>
            </w:r>
            <w:r w:rsidRPr="009942AF">
              <w:rPr>
                <w:rFonts w:ascii="Calibri" w:eastAsia="Arial MT" w:hAnsi="Calibri" w:cs="Calibri"/>
                <w:spacing w:val="-5"/>
                <w:sz w:val="22"/>
                <w:szCs w:val="22"/>
              </w:rPr>
              <w:t xml:space="preserve"> </w:t>
            </w:r>
            <w:r w:rsidRPr="009942AF">
              <w:rPr>
                <w:rFonts w:ascii="Calibri" w:eastAsia="Arial MT" w:hAnsi="Calibri" w:cs="Calibri"/>
                <w:spacing w:val="-12"/>
                <w:sz w:val="22"/>
                <w:szCs w:val="22"/>
              </w:rPr>
              <w:t>4</w:t>
            </w:r>
          </w:p>
        </w:tc>
        <w:tc>
          <w:tcPr>
            <w:tcW w:w="6164" w:type="dxa"/>
          </w:tcPr>
          <w:p w14:paraId="5465A36E" w14:textId="77777777" w:rsidR="009942AF" w:rsidRPr="009942AF" w:rsidRDefault="009942AF" w:rsidP="009942AF">
            <w:pPr>
              <w:widowControl w:val="0"/>
              <w:autoSpaceDE w:val="0"/>
              <w:autoSpaceDN w:val="0"/>
              <w:spacing w:line="360" w:lineRule="auto"/>
              <w:ind w:left="107"/>
              <w:rPr>
                <w:rFonts w:ascii="Calibri" w:eastAsia="Arial MT" w:hAnsi="Calibri" w:cs="Calibri"/>
                <w:sz w:val="22"/>
                <w:szCs w:val="22"/>
              </w:rPr>
            </w:pPr>
            <w:r w:rsidRPr="009942AF">
              <w:rPr>
                <w:rFonts w:ascii="Calibri" w:eastAsia="Arial MT" w:hAnsi="Calibri" w:cs="Calibri"/>
                <w:sz w:val="22"/>
                <w:szCs w:val="22"/>
              </w:rPr>
              <w:t>Approval</w:t>
            </w:r>
            <w:r w:rsidRPr="009942AF">
              <w:rPr>
                <w:rFonts w:ascii="Calibri" w:eastAsia="Arial MT" w:hAnsi="Calibri" w:cs="Calibri"/>
                <w:spacing w:val="-7"/>
                <w:sz w:val="22"/>
                <w:szCs w:val="22"/>
              </w:rPr>
              <w:t xml:space="preserve"> </w:t>
            </w:r>
            <w:r w:rsidRPr="009942AF">
              <w:rPr>
                <w:rFonts w:ascii="Calibri" w:eastAsia="Arial MT" w:hAnsi="Calibri" w:cs="Calibri"/>
                <w:sz w:val="22"/>
                <w:szCs w:val="22"/>
              </w:rPr>
              <w:t>by</w:t>
            </w:r>
            <w:r w:rsidRPr="009942AF">
              <w:rPr>
                <w:rFonts w:ascii="Calibri" w:eastAsia="Arial MT" w:hAnsi="Calibri" w:cs="Calibri"/>
                <w:spacing w:val="-4"/>
                <w:sz w:val="22"/>
                <w:szCs w:val="22"/>
              </w:rPr>
              <w:t xml:space="preserve"> OERC</w:t>
            </w:r>
          </w:p>
        </w:tc>
      </w:tr>
    </w:tbl>
    <w:p w14:paraId="3981470D" w14:textId="77777777" w:rsidR="009942AF" w:rsidRPr="009942AF" w:rsidRDefault="009942AF" w:rsidP="009942AF">
      <w:pPr>
        <w:widowControl w:val="0"/>
        <w:numPr>
          <w:ilvl w:val="0"/>
          <w:numId w:val="58"/>
        </w:numPr>
        <w:tabs>
          <w:tab w:val="left" w:pos="920"/>
        </w:tabs>
        <w:autoSpaceDE w:val="0"/>
        <w:autoSpaceDN w:val="0"/>
        <w:spacing w:before="241" w:line="360" w:lineRule="auto"/>
        <w:ind w:right="117"/>
        <w:jc w:val="both"/>
        <w:rPr>
          <w:rFonts w:ascii="Calibri" w:eastAsia="Calibri" w:hAnsi="Calibri" w:cs="Calibri"/>
          <w:sz w:val="22"/>
          <w:szCs w:val="22"/>
        </w:rPr>
      </w:pPr>
      <w:r w:rsidRPr="009942AF">
        <w:rPr>
          <w:rFonts w:ascii="Calibri" w:eastAsia="Calibri" w:hAnsi="Calibri" w:cs="Calibri"/>
          <w:sz w:val="22"/>
          <w:szCs w:val="22"/>
        </w:rPr>
        <w:t xml:space="preserve">Half yearly statement of </w:t>
      </w:r>
      <w:proofErr w:type="spellStart"/>
      <w:r w:rsidRPr="009942AF">
        <w:rPr>
          <w:rFonts w:ascii="Calibri" w:eastAsia="Calibri" w:hAnsi="Calibri" w:cs="Calibri"/>
          <w:sz w:val="22"/>
          <w:szCs w:val="22"/>
        </w:rPr>
        <w:t>utilisation</w:t>
      </w:r>
      <w:proofErr w:type="spellEnd"/>
      <w:r w:rsidRPr="009942AF">
        <w:rPr>
          <w:rFonts w:ascii="Calibri" w:eastAsia="Calibri" w:hAnsi="Calibri" w:cs="Calibri"/>
          <w:sz w:val="22"/>
          <w:szCs w:val="22"/>
        </w:rPr>
        <w:t xml:space="preserve"> of SDs towards funding of capital expenditure, certified by statutory</w:t>
      </w:r>
      <w:r w:rsidRPr="009942AF">
        <w:rPr>
          <w:rFonts w:ascii="Calibri" w:eastAsia="Calibri" w:hAnsi="Calibri" w:cs="Calibri"/>
          <w:spacing w:val="-13"/>
          <w:sz w:val="22"/>
          <w:szCs w:val="22"/>
        </w:rPr>
        <w:t xml:space="preserve"> </w:t>
      </w:r>
      <w:r w:rsidRPr="009942AF">
        <w:rPr>
          <w:rFonts w:ascii="Calibri" w:eastAsia="Calibri" w:hAnsi="Calibri" w:cs="Calibri"/>
          <w:sz w:val="22"/>
          <w:szCs w:val="22"/>
        </w:rPr>
        <w:t>auditor,</w:t>
      </w:r>
      <w:r w:rsidRPr="009942AF">
        <w:rPr>
          <w:rFonts w:ascii="Calibri" w:eastAsia="Calibri" w:hAnsi="Calibri" w:cs="Calibri"/>
          <w:spacing w:val="-12"/>
          <w:sz w:val="22"/>
          <w:szCs w:val="22"/>
        </w:rPr>
        <w:t xml:space="preserve"> </w:t>
      </w:r>
      <w:r w:rsidRPr="009942AF">
        <w:rPr>
          <w:rFonts w:ascii="Calibri" w:eastAsia="Calibri" w:hAnsi="Calibri" w:cs="Calibri"/>
          <w:sz w:val="22"/>
          <w:szCs w:val="22"/>
        </w:rPr>
        <w:t>to</w:t>
      </w:r>
      <w:r w:rsidRPr="009942AF">
        <w:rPr>
          <w:rFonts w:ascii="Calibri" w:eastAsia="Calibri" w:hAnsi="Calibri" w:cs="Calibri"/>
          <w:spacing w:val="-13"/>
          <w:sz w:val="22"/>
          <w:szCs w:val="22"/>
        </w:rPr>
        <w:t xml:space="preserve"> </w:t>
      </w:r>
      <w:r w:rsidRPr="009942AF">
        <w:rPr>
          <w:rFonts w:ascii="Calibri" w:eastAsia="Calibri" w:hAnsi="Calibri" w:cs="Calibri"/>
          <w:sz w:val="22"/>
          <w:szCs w:val="22"/>
        </w:rPr>
        <w:t>be</w:t>
      </w:r>
      <w:r w:rsidRPr="009942AF">
        <w:rPr>
          <w:rFonts w:ascii="Calibri" w:eastAsia="Calibri" w:hAnsi="Calibri" w:cs="Calibri"/>
          <w:spacing w:val="-12"/>
          <w:sz w:val="22"/>
          <w:szCs w:val="22"/>
        </w:rPr>
        <w:t xml:space="preserve"> </w:t>
      </w:r>
      <w:r w:rsidRPr="009942AF">
        <w:rPr>
          <w:rFonts w:ascii="Calibri" w:eastAsia="Calibri" w:hAnsi="Calibri" w:cs="Calibri"/>
          <w:sz w:val="22"/>
          <w:szCs w:val="22"/>
        </w:rPr>
        <w:t>submitted</w:t>
      </w:r>
      <w:r w:rsidRPr="009942AF">
        <w:rPr>
          <w:rFonts w:ascii="Calibri" w:eastAsia="Calibri" w:hAnsi="Calibri" w:cs="Calibri"/>
          <w:spacing w:val="-13"/>
          <w:sz w:val="22"/>
          <w:szCs w:val="22"/>
        </w:rPr>
        <w:t xml:space="preserve"> </w:t>
      </w:r>
      <w:r w:rsidRPr="009942AF">
        <w:rPr>
          <w:rFonts w:ascii="Calibri" w:eastAsia="Calibri" w:hAnsi="Calibri" w:cs="Calibri"/>
          <w:sz w:val="22"/>
          <w:szCs w:val="22"/>
        </w:rPr>
        <w:t>to</w:t>
      </w:r>
      <w:r w:rsidRPr="009942AF">
        <w:rPr>
          <w:rFonts w:ascii="Calibri" w:eastAsia="Calibri" w:hAnsi="Calibri" w:cs="Calibri"/>
          <w:spacing w:val="-12"/>
          <w:sz w:val="22"/>
          <w:szCs w:val="22"/>
        </w:rPr>
        <w:t xml:space="preserve"> </w:t>
      </w:r>
      <w:r w:rsidRPr="009942AF">
        <w:rPr>
          <w:rFonts w:ascii="Calibri" w:eastAsia="Calibri" w:hAnsi="Calibri" w:cs="Calibri"/>
          <w:sz w:val="22"/>
          <w:szCs w:val="22"/>
        </w:rPr>
        <w:t>the</w:t>
      </w:r>
      <w:r w:rsidRPr="009942AF">
        <w:rPr>
          <w:rFonts w:ascii="Calibri" w:eastAsia="Calibri" w:hAnsi="Calibri" w:cs="Calibri"/>
          <w:spacing w:val="-13"/>
          <w:sz w:val="22"/>
          <w:szCs w:val="22"/>
        </w:rPr>
        <w:t xml:space="preserve"> </w:t>
      </w:r>
      <w:r w:rsidRPr="009942AF">
        <w:rPr>
          <w:rFonts w:ascii="Calibri" w:eastAsia="Calibri" w:hAnsi="Calibri" w:cs="Calibri"/>
          <w:sz w:val="22"/>
          <w:szCs w:val="22"/>
        </w:rPr>
        <w:t>Hon’ble</w:t>
      </w:r>
      <w:r w:rsidRPr="009942AF">
        <w:rPr>
          <w:rFonts w:ascii="Calibri" w:eastAsia="Calibri" w:hAnsi="Calibri" w:cs="Calibri"/>
          <w:spacing w:val="-11"/>
          <w:sz w:val="22"/>
          <w:szCs w:val="22"/>
        </w:rPr>
        <w:t xml:space="preserve"> </w:t>
      </w:r>
      <w:r w:rsidRPr="009942AF">
        <w:rPr>
          <w:rFonts w:ascii="Calibri" w:eastAsia="Calibri" w:hAnsi="Calibri" w:cs="Calibri"/>
          <w:sz w:val="22"/>
          <w:szCs w:val="22"/>
        </w:rPr>
        <w:t>Commission</w:t>
      </w:r>
      <w:r w:rsidRPr="009942AF">
        <w:rPr>
          <w:rFonts w:ascii="Calibri" w:eastAsia="Calibri" w:hAnsi="Calibri" w:cs="Calibri"/>
          <w:spacing w:val="-12"/>
          <w:sz w:val="22"/>
          <w:szCs w:val="22"/>
        </w:rPr>
        <w:t xml:space="preserve"> </w:t>
      </w:r>
      <w:r w:rsidRPr="009942AF">
        <w:rPr>
          <w:rFonts w:ascii="Calibri" w:eastAsia="Calibri" w:hAnsi="Calibri" w:cs="Calibri"/>
          <w:sz w:val="22"/>
          <w:szCs w:val="22"/>
        </w:rPr>
        <w:t>at</w:t>
      </w:r>
      <w:r w:rsidRPr="009942AF">
        <w:rPr>
          <w:rFonts w:ascii="Calibri" w:eastAsia="Calibri" w:hAnsi="Calibri" w:cs="Calibri"/>
          <w:spacing w:val="-12"/>
          <w:sz w:val="22"/>
          <w:szCs w:val="22"/>
        </w:rPr>
        <w:t xml:space="preserve"> </w:t>
      </w:r>
      <w:r w:rsidRPr="009942AF">
        <w:rPr>
          <w:rFonts w:ascii="Calibri" w:eastAsia="Calibri" w:hAnsi="Calibri" w:cs="Calibri"/>
          <w:sz w:val="22"/>
          <w:szCs w:val="22"/>
        </w:rPr>
        <w:t>the</w:t>
      </w:r>
      <w:r w:rsidRPr="009942AF">
        <w:rPr>
          <w:rFonts w:ascii="Calibri" w:eastAsia="Calibri" w:hAnsi="Calibri" w:cs="Calibri"/>
          <w:spacing w:val="-13"/>
          <w:sz w:val="22"/>
          <w:szCs w:val="22"/>
        </w:rPr>
        <w:t xml:space="preserve"> </w:t>
      </w:r>
      <w:r w:rsidRPr="009942AF">
        <w:rPr>
          <w:rFonts w:ascii="Calibri" w:eastAsia="Calibri" w:hAnsi="Calibri" w:cs="Calibri"/>
          <w:sz w:val="22"/>
          <w:szCs w:val="22"/>
        </w:rPr>
        <w:t>end</w:t>
      </w:r>
      <w:r w:rsidRPr="009942AF">
        <w:rPr>
          <w:rFonts w:ascii="Calibri" w:eastAsia="Calibri" w:hAnsi="Calibri" w:cs="Calibri"/>
          <w:spacing w:val="-12"/>
          <w:sz w:val="22"/>
          <w:szCs w:val="22"/>
        </w:rPr>
        <w:t xml:space="preserve"> </w:t>
      </w:r>
      <w:r w:rsidRPr="009942AF">
        <w:rPr>
          <w:rFonts w:ascii="Calibri" w:eastAsia="Calibri" w:hAnsi="Calibri" w:cs="Calibri"/>
          <w:sz w:val="22"/>
          <w:szCs w:val="22"/>
        </w:rPr>
        <w:t>of</w:t>
      </w:r>
      <w:r w:rsidRPr="009942AF">
        <w:rPr>
          <w:rFonts w:ascii="Calibri" w:eastAsia="Calibri" w:hAnsi="Calibri" w:cs="Calibri"/>
          <w:spacing w:val="-13"/>
          <w:sz w:val="22"/>
          <w:szCs w:val="22"/>
        </w:rPr>
        <w:t xml:space="preserve"> </w:t>
      </w:r>
      <w:r w:rsidRPr="009942AF">
        <w:rPr>
          <w:rFonts w:ascii="Calibri" w:eastAsia="Calibri" w:hAnsi="Calibri" w:cs="Calibri"/>
          <w:sz w:val="22"/>
          <w:szCs w:val="22"/>
        </w:rPr>
        <w:t>September</w:t>
      </w:r>
      <w:r w:rsidRPr="009942AF">
        <w:rPr>
          <w:rFonts w:ascii="Calibri" w:eastAsia="Calibri" w:hAnsi="Calibri" w:cs="Calibri"/>
          <w:spacing w:val="-11"/>
          <w:sz w:val="22"/>
          <w:szCs w:val="22"/>
        </w:rPr>
        <w:t xml:space="preserve"> </w:t>
      </w:r>
      <w:r w:rsidRPr="009942AF">
        <w:rPr>
          <w:rFonts w:ascii="Calibri" w:eastAsia="Calibri" w:hAnsi="Calibri" w:cs="Calibri"/>
          <w:sz w:val="22"/>
          <w:szCs w:val="22"/>
        </w:rPr>
        <w:t>and</w:t>
      </w:r>
      <w:r w:rsidRPr="009942AF">
        <w:rPr>
          <w:rFonts w:ascii="Calibri" w:eastAsia="Calibri" w:hAnsi="Calibri" w:cs="Calibri"/>
          <w:spacing w:val="-12"/>
          <w:sz w:val="22"/>
          <w:szCs w:val="22"/>
        </w:rPr>
        <w:t xml:space="preserve"> </w:t>
      </w:r>
      <w:r w:rsidRPr="009942AF">
        <w:rPr>
          <w:rFonts w:ascii="Calibri" w:eastAsia="Calibri" w:hAnsi="Calibri" w:cs="Calibri"/>
          <w:sz w:val="22"/>
          <w:szCs w:val="22"/>
        </w:rPr>
        <w:t xml:space="preserve">March </w:t>
      </w:r>
      <w:r w:rsidRPr="009942AF">
        <w:rPr>
          <w:rFonts w:ascii="Calibri" w:eastAsia="Calibri" w:hAnsi="Calibri" w:cs="Calibri"/>
          <w:spacing w:val="-2"/>
          <w:sz w:val="22"/>
          <w:szCs w:val="22"/>
        </w:rPr>
        <w:t>quarters.</w:t>
      </w:r>
    </w:p>
    <w:p w14:paraId="2F8F8D99" w14:textId="77777777" w:rsidR="009942AF" w:rsidRPr="009942AF" w:rsidRDefault="009942AF" w:rsidP="009942AF">
      <w:pPr>
        <w:widowControl w:val="0"/>
        <w:tabs>
          <w:tab w:val="left" w:pos="920"/>
        </w:tabs>
        <w:autoSpaceDE w:val="0"/>
        <w:autoSpaceDN w:val="0"/>
        <w:spacing w:before="241" w:line="360" w:lineRule="auto"/>
        <w:ind w:right="117"/>
        <w:jc w:val="both"/>
        <w:rPr>
          <w:rFonts w:ascii="Calibri" w:eastAsia="Calibri" w:hAnsi="Calibri" w:cs="Calibri"/>
          <w:sz w:val="22"/>
          <w:szCs w:val="22"/>
        </w:rPr>
      </w:pPr>
    </w:p>
    <w:p w14:paraId="4A52D97A" w14:textId="612708D3" w:rsidR="009942AF" w:rsidRPr="002A57DA" w:rsidRDefault="009942AF" w:rsidP="009942AF">
      <w:pPr>
        <w:widowControl w:val="0"/>
        <w:numPr>
          <w:ilvl w:val="0"/>
          <w:numId w:val="58"/>
        </w:numPr>
        <w:tabs>
          <w:tab w:val="left" w:pos="920"/>
        </w:tabs>
        <w:autoSpaceDE w:val="0"/>
        <w:autoSpaceDN w:val="0"/>
        <w:spacing w:before="119" w:line="360" w:lineRule="auto"/>
        <w:ind w:right="117"/>
        <w:jc w:val="both"/>
        <w:rPr>
          <w:rFonts w:ascii="Calibri" w:eastAsia="Calibri" w:hAnsi="Calibri" w:cs="Calibri"/>
          <w:sz w:val="22"/>
          <w:szCs w:val="22"/>
        </w:rPr>
      </w:pPr>
      <w:r w:rsidRPr="009942AF">
        <w:rPr>
          <w:rFonts w:ascii="Calibri" w:eastAsia="Calibri" w:hAnsi="Calibri" w:cs="Calibri"/>
          <w:sz w:val="22"/>
          <w:szCs w:val="22"/>
        </w:rPr>
        <w:lastRenderedPageBreak/>
        <w:t>Depreciation claimed on these assets to the extent not used in loan repayment will be used in refurbishing the SDs used</w:t>
      </w:r>
    </w:p>
    <w:p w14:paraId="0EB12B77" w14:textId="77777777" w:rsidR="00E66BA2" w:rsidRDefault="00E66BA2" w:rsidP="00E66BA2">
      <w:pPr>
        <w:keepNext/>
        <w:spacing w:before="240" w:after="60" w:line="360" w:lineRule="auto"/>
        <w:jc w:val="both"/>
        <w:outlineLvl w:val="0"/>
        <w:rPr>
          <w:rFonts w:ascii="Calibri" w:hAnsi="Calibri" w:cs="Calibri"/>
          <w:b/>
          <w:kern w:val="32"/>
          <w:sz w:val="22"/>
          <w:szCs w:val="22"/>
        </w:rPr>
      </w:pPr>
      <w:bookmarkStart w:id="58" w:name="_Hlk183674892"/>
      <w:r>
        <w:rPr>
          <w:rFonts w:ascii="Calibri" w:hAnsi="Calibri" w:cs="Calibri"/>
          <w:b/>
          <w:bCs/>
          <w:kern w:val="32"/>
          <w:sz w:val="22"/>
          <w:szCs w:val="22"/>
        </w:rPr>
        <w:t xml:space="preserve">              9.23 </w:t>
      </w:r>
      <w:r w:rsidR="009942AF" w:rsidRPr="009942AF">
        <w:rPr>
          <w:rFonts w:ascii="Calibri" w:hAnsi="Calibri" w:cs="Calibri"/>
          <w:b/>
          <w:bCs/>
          <w:kern w:val="32"/>
          <w:sz w:val="22"/>
          <w:szCs w:val="22"/>
        </w:rPr>
        <w:t>Realistic Assessment of Load in case of theft of electricity</w:t>
      </w:r>
      <w:bookmarkEnd w:id="58"/>
    </w:p>
    <w:p w14:paraId="02FA1730" w14:textId="05865D2D" w:rsidR="009942AF" w:rsidRPr="00E66BA2" w:rsidRDefault="009942AF" w:rsidP="00E66BA2">
      <w:pPr>
        <w:keepNext/>
        <w:spacing w:before="240" w:after="60" w:line="360" w:lineRule="auto"/>
        <w:ind w:left="709"/>
        <w:jc w:val="both"/>
        <w:outlineLvl w:val="0"/>
        <w:rPr>
          <w:rFonts w:ascii="Calibri" w:hAnsi="Calibri" w:cs="Calibri"/>
          <w:b/>
          <w:kern w:val="32"/>
          <w:sz w:val="22"/>
          <w:szCs w:val="22"/>
        </w:rPr>
      </w:pPr>
      <w:r w:rsidRPr="009942AF">
        <w:rPr>
          <w:rFonts w:ascii="Calibri" w:hAnsi="Calibri" w:cs="Calibri"/>
          <w:bCs/>
          <w:sz w:val="22"/>
          <w:szCs w:val="22"/>
        </w:rPr>
        <w:t>Even though Hon’ble Commission has provided separate guideline for assessment of unauthorized use in the regulation, however as per field condition while doing the assessment it is not practically feasible/ possible to adhere the provision. So, to lucidity the process it is the humble submission of the license, if a consumer found using electricity unauthorizedly, in such case the assessment must be made with LDF basis. In case of Domestic LF of 30%, for GP may be kept as 60% and in case of continuous process industries, assessment may be done with 100% LF. However, while doing the assessment, due procedure as per Electricity Act and Regulation shall be strictly observed.</w:t>
      </w:r>
    </w:p>
    <w:p w14:paraId="080600C5" w14:textId="318A6298" w:rsidR="009942AF" w:rsidRPr="002A57DA" w:rsidRDefault="00E66BA2" w:rsidP="002A57DA">
      <w:pPr>
        <w:keepNext/>
        <w:spacing w:before="240" w:after="60" w:line="360" w:lineRule="auto"/>
        <w:ind w:left="426"/>
        <w:jc w:val="both"/>
        <w:outlineLvl w:val="0"/>
        <w:rPr>
          <w:rFonts w:ascii="Calibri" w:hAnsi="Calibri" w:cs="Calibri"/>
          <w:b/>
          <w:bCs/>
          <w:kern w:val="32"/>
          <w:sz w:val="22"/>
          <w:szCs w:val="22"/>
        </w:rPr>
      </w:pPr>
      <w:bookmarkStart w:id="59" w:name="_Toc183200753"/>
      <w:r>
        <w:rPr>
          <w:rFonts w:ascii="Calibri" w:hAnsi="Calibri" w:cs="Calibri"/>
          <w:b/>
          <w:bCs/>
          <w:kern w:val="32"/>
          <w:sz w:val="22"/>
          <w:szCs w:val="22"/>
        </w:rPr>
        <w:t xml:space="preserve">      9.24 </w:t>
      </w:r>
      <w:r w:rsidR="009942AF" w:rsidRPr="009942AF">
        <w:rPr>
          <w:rFonts w:ascii="Calibri" w:hAnsi="Calibri" w:cs="Calibri"/>
          <w:b/>
          <w:bCs/>
          <w:kern w:val="32"/>
          <w:sz w:val="22"/>
          <w:szCs w:val="22"/>
        </w:rPr>
        <w:t>Standard Service Connection charges</w:t>
      </w:r>
      <w:bookmarkEnd w:id="59"/>
    </w:p>
    <w:p w14:paraId="69584C72" w14:textId="77777777" w:rsidR="009942AF" w:rsidRPr="009942AF" w:rsidRDefault="009942AF" w:rsidP="00E66BA2">
      <w:pPr>
        <w:spacing w:line="360" w:lineRule="auto"/>
        <w:ind w:left="567"/>
        <w:jc w:val="both"/>
        <w:rPr>
          <w:rFonts w:ascii="Calibri" w:hAnsi="Calibri" w:cs="Calibri"/>
          <w:sz w:val="22"/>
          <w:szCs w:val="22"/>
          <w:lang w:eastAsia="en-IN"/>
        </w:rPr>
      </w:pPr>
      <w:r w:rsidRPr="009942AF">
        <w:rPr>
          <w:rFonts w:ascii="Calibri" w:hAnsi="Calibri" w:cs="Calibri"/>
          <w:sz w:val="22"/>
          <w:szCs w:val="22"/>
          <w:lang w:eastAsia="en-IN"/>
        </w:rPr>
        <w:t xml:space="preserve">Regulation 22 (vi) of the Supply Code,2019 read with the Clause No. 256 of Tariff Order </w:t>
      </w:r>
      <w:proofErr w:type="spellStart"/>
      <w:r w:rsidRPr="009942AF">
        <w:rPr>
          <w:rFonts w:ascii="Calibri" w:hAnsi="Calibri" w:cs="Calibri"/>
          <w:sz w:val="22"/>
          <w:szCs w:val="22"/>
          <w:lang w:eastAsia="en-IN"/>
        </w:rPr>
        <w:t>dtd</w:t>
      </w:r>
      <w:proofErr w:type="spellEnd"/>
      <w:r w:rsidRPr="009942AF">
        <w:rPr>
          <w:rFonts w:ascii="Calibri" w:hAnsi="Calibri" w:cs="Calibri"/>
          <w:sz w:val="22"/>
          <w:szCs w:val="22"/>
          <w:lang w:eastAsia="en-IN"/>
        </w:rPr>
        <w:t xml:space="preserve">. 13/02/2024, standard service connection charges are prescribed for connection up to 5 KW. Above this limit, an estimate is required to be prepared for each case followed by various procedural activities to be done by </w:t>
      </w:r>
      <w:proofErr w:type="spellStart"/>
      <w:r w:rsidRPr="009942AF">
        <w:rPr>
          <w:rFonts w:ascii="Calibri" w:hAnsi="Calibri" w:cs="Calibri"/>
          <w:sz w:val="22"/>
          <w:szCs w:val="22"/>
          <w:lang w:eastAsia="en-IN"/>
        </w:rPr>
        <w:t>discom</w:t>
      </w:r>
      <w:proofErr w:type="spellEnd"/>
      <w:r w:rsidRPr="009942AF">
        <w:rPr>
          <w:rFonts w:ascii="Calibri" w:hAnsi="Calibri" w:cs="Calibri"/>
          <w:sz w:val="22"/>
          <w:szCs w:val="22"/>
          <w:lang w:eastAsia="en-IN"/>
        </w:rPr>
        <w:t xml:space="preserve"> and applicant consumer.  This is a major inconvenience to the applicant consumers, often this activity delays the process of getting electricity connection. </w:t>
      </w:r>
    </w:p>
    <w:p w14:paraId="7B79AB2B" w14:textId="77777777" w:rsidR="009942AF" w:rsidRPr="009942AF" w:rsidRDefault="009942AF" w:rsidP="00E66BA2">
      <w:pPr>
        <w:spacing w:line="360" w:lineRule="auto"/>
        <w:ind w:left="567"/>
        <w:rPr>
          <w:rFonts w:ascii="Calibri" w:hAnsi="Calibri" w:cs="Calibri"/>
          <w:sz w:val="22"/>
          <w:szCs w:val="22"/>
          <w:lang w:eastAsia="en-IN"/>
        </w:rPr>
      </w:pPr>
    </w:p>
    <w:p w14:paraId="05A89732" w14:textId="77777777" w:rsidR="009942AF" w:rsidRPr="009942AF" w:rsidRDefault="009942AF" w:rsidP="00E66BA2">
      <w:pPr>
        <w:spacing w:line="360" w:lineRule="auto"/>
        <w:ind w:left="567"/>
        <w:jc w:val="both"/>
        <w:rPr>
          <w:rFonts w:ascii="Calibri" w:hAnsi="Calibri" w:cs="Calibri"/>
          <w:sz w:val="22"/>
          <w:szCs w:val="22"/>
          <w:lang w:eastAsia="en-IN"/>
        </w:rPr>
      </w:pPr>
      <w:r w:rsidRPr="009942AF">
        <w:rPr>
          <w:rFonts w:ascii="Calibri" w:hAnsi="Calibri" w:cs="Calibri"/>
          <w:sz w:val="22"/>
          <w:szCs w:val="22"/>
          <w:lang w:eastAsia="en-IN"/>
        </w:rPr>
        <w:t xml:space="preserve">Ministry of Power, Govt. of India, while prescribing Electricity (Rights of Consumers) Rules 2020 vide Rule No. 4 (13) has recognized the difficulties as said in above para and notified </w:t>
      </w:r>
      <w:proofErr w:type="gramStart"/>
      <w:r w:rsidRPr="009942AF">
        <w:rPr>
          <w:rFonts w:ascii="Calibri" w:hAnsi="Calibri" w:cs="Calibri"/>
          <w:sz w:val="22"/>
          <w:szCs w:val="22"/>
          <w:lang w:eastAsia="en-IN"/>
        </w:rPr>
        <w:t>that :</w:t>
      </w:r>
      <w:proofErr w:type="gramEnd"/>
      <w:r w:rsidRPr="009942AF">
        <w:rPr>
          <w:rFonts w:ascii="Calibri" w:hAnsi="Calibri" w:cs="Calibri"/>
          <w:sz w:val="22"/>
          <w:szCs w:val="22"/>
          <w:lang w:eastAsia="en-IN"/>
        </w:rPr>
        <w:t>-</w:t>
      </w:r>
    </w:p>
    <w:p w14:paraId="2FBD1555" w14:textId="77777777" w:rsidR="009942AF" w:rsidRPr="009942AF" w:rsidRDefault="009942AF" w:rsidP="00E66BA2">
      <w:pPr>
        <w:spacing w:after="200" w:line="360" w:lineRule="auto"/>
        <w:ind w:left="567"/>
        <w:contextualSpacing/>
        <w:rPr>
          <w:rFonts w:ascii="Calibri" w:eastAsia="Calibri" w:hAnsi="Calibri" w:cs="Calibri"/>
          <w:sz w:val="22"/>
          <w:szCs w:val="22"/>
          <w:lang w:eastAsia="en-IN"/>
        </w:rPr>
      </w:pPr>
    </w:p>
    <w:p w14:paraId="03E83241" w14:textId="77777777" w:rsidR="009942AF" w:rsidRPr="00E66BA2" w:rsidRDefault="009942AF" w:rsidP="009942AF">
      <w:pPr>
        <w:autoSpaceDE w:val="0"/>
        <w:autoSpaceDN w:val="0"/>
        <w:spacing w:line="360" w:lineRule="auto"/>
        <w:ind w:left="785"/>
        <w:jc w:val="both"/>
        <w:rPr>
          <w:rFonts w:ascii="Calibri" w:hAnsi="Calibri" w:cs="Calibri"/>
          <w:i/>
          <w:sz w:val="22"/>
          <w:szCs w:val="22"/>
          <w:lang w:val="en-IN"/>
        </w:rPr>
      </w:pPr>
      <w:r w:rsidRPr="00E66BA2">
        <w:rPr>
          <w:rFonts w:ascii="Calibri" w:hAnsi="Calibri" w:cs="Calibri"/>
          <w:i/>
          <w:sz w:val="22"/>
          <w:szCs w:val="22"/>
        </w:rPr>
        <w:t>“For electrified areas up to 150 kW or such higher load as the Commission may specify the connection charges for new connection shall be fixed on the basis of the load, category of connection sought and</w:t>
      </w:r>
      <w:r w:rsidRPr="00E66BA2">
        <w:rPr>
          <w:rFonts w:ascii="Calibri" w:hAnsi="Calibri" w:cs="Calibri"/>
          <w:i/>
          <w:sz w:val="22"/>
          <w:szCs w:val="22"/>
          <w:lang w:val="en-IN"/>
        </w:rPr>
        <w:t xml:space="preserve"> </w:t>
      </w:r>
      <w:r w:rsidRPr="00E66BA2">
        <w:rPr>
          <w:rFonts w:ascii="Calibri" w:hAnsi="Calibri" w:cs="Calibri"/>
          <w:i/>
          <w:sz w:val="22"/>
          <w:szCs w:val="22"/>
        </w:rPr>
        <w:t>average cost of connection of the distribution licensee so as to avoid site inspection and estimation of</w:t>
      </w:r>
      <w:r w:rsidRPr="00E66BA2">
        <w:rPr>
          <w:rFonts w:ascii="Calibri" w:hAnsi="Calibri" w:cs="Calibri"/>
          <w:i/>
          <w:sz w:val="22"/>
          <w:szCs w:val="22"/>
          <w:lang w:val="en-IN"/>
        </w:rPr>
        <w:t xml:space="preserve"> </w:t>
      </w:r>
      <w:r w:rsidRPr="00E66BA2">
        <w:rPr>
          <w:rFonts w:ascii="Calibri" w:hAnsi="Calibri" w:cs="Calibri"/>
          <w:i/>
          <w:sz w:val="22"/>
          <w:szCs w:val="22"/>
        </w:rPr>
        <w:t>demand charges for each and every case individually. The demand charges, in such cases, may be</w:t>
      </w:r>
      <w:r w:rsidRPr="00E66BA2">
        <w:rPr>
          <w:rFonts w:ascii="Calibri" w:hAnsi="Calibri" w:cs="Calibri"/>
          <w:i/>
          <w:sz w:val="22"/>
          <w:szCs w:val="22"/>
          <w:lang w:val="en-IN"/>
        </w:rPr>
        <w:t xml:space="preserve"> </w:t>
      </w:r>
      <w:r w:rsidRPr="00E66BA2">
        <w:rPr>
          <w:rFonts w:ascii="Calibri" w:hAnsi="Calibri" w:cs="Calibri"/>
          <w:i/>
          <w:sz w:val="22"/>
          <w:szCs w:val="22"/>
        </w:rPr>
        <w:t>paid at the time of application for new connection.”</w:t>
      </w:r>
    </w:p>
    <w:p w14:paraId="7DDC88F4" w14:textId="77777777" w:rsidR="009942AF" w:rsidRPr="009942AF" w:rsidRDefault="009942AF" w:rsidP="009942AF">
      <w:pPr>
        <w:spacing w:after="200" w:line="360" w:lineRule="auto"/>
        <w:ind w:left="720"/>
        <w:contextualSpacing/>
        <w:jc w:val="both"/>
        <w:rPr>
          <w:rFonts w:ascii="Calibri" w:eastAsia="Calibri" w:hAnsi="Calibri" w:cs="Calibri"/>
          <w:sz w:val="22"/>
          <w:szCs w:val="22"/>
          <w:lang w:eastAsia="en-IN"/>
        </w:rPr>
      </w:pPr>
    </w:p>
    <w:p w14:paraId="6E7769FA" w14:textId="24F526D4" w:rsidR="009942AF" w:rsidRPr="009942AF" w:rsidRDefault="009942AF" w:rsidP="002A57DA">
      <w:pPr>
        <w:spacing w:line="360" w:lineRule="auto"/>
        <w:ind w:left="785"/>
        <w:jc w:val="both"/>
        <w:rPr>
          <w:rFonts w:ascii="Calibri" w:hAnsi="Calibri" w:cs="Calibri"/>
          <w:sz w:val="22"/>
          <w:szCs w:val="22"/>
          <w:lang w:eastAsia="en-IN"/>
        </w:rPr>
      </w:pPr>
      <w:r w:rsidRPr="009942AF">
        <w:rPr>
          <w:rFonts w:ascii="Calibri" w:hAnsi="Calibri" w:cs="Calibri"/>
          <w:sz w:val="22"/>
          <w:szCs w:val="22"/>
          <w:lang w:eastAsia="en-IN"/>
        </w:rPr>
        <w:t xml:space="preserve">Vide Letter No. TPCODL/Regulatory/2024/79/4613 </w:t>
      </w:r>
      <w:proofErr w:type="spellStart"/>
      <w:r w:rsidRPr="009942AF">
        <w:rPr>
          <w:rFonts w:ascii="Calibri" w:hAnsi="Calibri" w:cs="Calibri"/>
          <w:sz w:val="22"/>
          <w:szCs w:val="22"/>
          <w:lang w:eastAsia="en-IN"/>
        </w:rPr>
        <w:t>dtd</w:t>
      </w:r>
      <w:proofErr w:type="spellEnd"/>
      <w:r w:rsidRPr="009942AF">
        <w:rPr>
          <w:rFonts w:ascii="Calibri" w:hAnsi="Calibri" w:cs="Calibri"/>
          <w:sz w:val="22"/>
          <w:szCs w:val="22"/>
          <w:lang w:eastAsia="en-IN"/>
        </w:rPr>
        <w:t xml:space="preserve">. 6th July’2024 an proposal for standardization of service connection charges </w:t>
      </w:r>
      <w:proofErr w:type="spellStart"/>
      <w:r w:rsidRPr="009942AF">
        <w:rPr>
          <w:rFonts w:ascii="Calibri" w:hAnsi="Calibri" w:cs="Calibri"/>
          <w:sz w:val="22"/>
          <w:szCs w:val="22"/>
          <w:lang w:eastAsia="en-IN"/>
        </w:rPr>
        <w:t>upto</w:t>
      </w:r>
      <w:proofErr w:type="spellEnd"/>
      <w:r w:rsidRPr="009942AF">
        <w:rPr>
          <w:rFonts w:ascii="Calibri" w:hAnsi="Calibri" w:cs="Calibri"/>
          <w:sz w:val="22"/>
          <w:szCs w:val="22"/>
          <w:lang w:eastAsia="en-IN"/>
        </w:rPr>
        <w:t xml:space="preserve"> 150 KW 3 phase under LT category as per the following details was submitted to Hon’ble </w:t>
      </w:r>
      <w:proofErr w:type="gramStart"/>
      <w:r w:rsidRPr="009942AF">
        <w:rPr>
          <w:rFonts w:ascii="Calibri" w:hAnsi="Calibri" w:cs="Calibri"/>
          <w:sz w:val="22"/>
          <w:szCs w:val="22"/>
          <w:lang w:eastAsia="en-IN"/>
        </w:rPr>
        <w:t>Commission:-</w:t>
      </w:r>
      <w:proofErr w:type="gramEnd"/>
    </w:p>
    <w:p w14:paraId="76299653" w14:textId="77777777" w:rsidR="009942AF" w:rsidRPr="009942AF" w:rsidRDefault="009942AF" w:rsidP="009942AF">
      <w:pPr>
        <w:spacing w:after="200" w:line="360" w:lineRule="auto"/>
        <w:ind w:left="720"/>
        <w:contextualSpacing/>
        <w:jc w:val="center"/>
        <w:rPr>
          <w:rFonts w:ascii="Calibri" w:eastAsia="Calibri" w:hAnsi="Calibri" w:cs="Calibri"/>
          <w:b/>
          <w:color w:val="FF0000"/>
          <w:sz w:val="22"/>
          <w:szCs w:val="22"/>
        </w:rPr>
      </w:pPr>
      <w:bookmarkStart w:id="60" w:name="_Toc183200826"/>
      <w:r w:rsidRPr="009942AF">
        <w:rPr>
          <w:rFonts w:ascii="Calibri" w:eastAsia="Calibri" w:hAnsi="Calibri" w:cs="Calibri"/>
          <w:b/>
          <w:sz w:val="22"/>
          <w:szCs w:val="22"/>
        </w:rPr>
        <w:t>Proposed service Connection Charges</w:t>
      </w:r>
      <w:bookmarkEnd w:id="60"/>
    </w:p>
    <w:tbl>
      <w:tblPr>
        <w:tblW w:w="6548" w:type="dxa"/>
        <w:jc w:val="center"/>
        <w:tblLook w:val="04A0" w:firstRow="1" w:lastRow="0" w:firstColumn="1" w:lastColumn="0" w:noHBand="0" w:noVBand="1"/>
      </w:tblPr>
      <w:tblGrid>
        <w:gridCol w:w="2308"/>
        <w:gridCol w:w="4240"/>
      </w:tblGrid>
      <w:tr w:rsidR="009942AF" w:rsidRPr="009942AF" w14:paraId="7B757211" w14:textId="77777777" w:rsidTr="00E66BA2">
        <w:trPr>
          <w:trHeight w:val="488"/>
          <w:jc w:val="center"/>
        </w:trPr>
        <w:tc>
          <w:tcPr>
            <w:tcW w:w="2308" w:type="dxa"/>
            <w:tcBorders>
              <w:top w:val="single" w:sz="4" w:space="0" w:color="auto"/>
              <w:left w:val="single" w:sz="4" w:space="0" w:color="auto"/>
              <w:bottom w:val="single" w:sz="4" w:space="0" w:color="auto"/>
              <w:right w:val="single" w:sz="4" w:space="0" w:color="auto"/>
            </w:tcBorders>
            <w:shd w:val="clear" w:color="auto" w:fill="95B3D7" w:themeFill="accent1" w:themeFillTint="99"/>
            <w:noWrap/>
            <w:vAlign w:val="center"/>
            <w:hideMark/>
          </w:tcPr>
          <w:p w14:paraId="3478EDC2" w14:textId="77777777" w:rsidR="009942AF" w:rsidRPr="009942AF" w:rsidRDefault="009942AF" w:rsidP="009942AF">
            <w:pPr>
              <w:spacing w:line="360" w:lineRule="auto"/>
              <w:jc w:val="center"/>
              <w:rPr>
                <w:rFonts w:ascii="Calibri" w:hAnsi="Calibri" w:cs="Calibri"/>
                <w:b/>
                <w:bCs/>
                <w:color w:val="000000"/>
                <w:sz w:val="22"/>
                <w:szCs w:val="22"/>
                <w:lang w:eastAsia="en-IN"/>
              </w:rPr>
            </w:pPr>
            <w:r w:rsidRPr="009942AF">
              <w:rPr>
                <w:rFonts w:ascii="Calibri" w:hAnsi="Calibri" w:cs="Calibri"/>
                <w:b/>
                <w:bCs/>
                <w:color w:val="000000"/>
                <w:sz w:val="22"/>
                <w:szCs w:val="22"/>
                <w:lang w:eastAsia="en-IN"/>
              </w:rPr>
              <w:t>Contract Demand</w:t>
            </w:r>
          </w:p>
        </w:tc>
        <w:tc>
          <w:tcPr>
            <w:tcW w:w="4240" w:type="dxa"/>
            <w:tcBorders>
              <w:top w:val="single" w:sz="4" w:space="0" w:color="auto"/>
              <w:left w:val="nil"/>
              <w:bottom w:val="single" w:sz="4" w:space="0" w:color="auto"/>
              <w:right w:val="single" w:sz="4" w:space="0" w:color="auto"/>
            </w:tcBorders>
            <w:shd w:val="clear" w:color="auto" w:fill="95B3D7" w:themeFill="accent1" w:themeFillTint="99"/>
            <w:vAlign w:val="center"/>
            <w:hideMark/>
          </w:tcPr>
          <w:p w14:paraId="1E45EBD8" w14:textId="5DD8F246" w:rsidR="009942AF" w:rsidRPr="009942AF" w:rsidRDefault="009942AF" w:rsidP="009942AF">
            <w:pPr>
              <w:spacing w:line="360" w:lineRule="auto"/>
              <w:jc w:val="center"/>
              <w:rPr>
                <w:rFonts w:ascii="Calibri" w:hAnsi="Calibri" w:cs="Calibri"/>
                <w:b/>
                <w:bCs/>
                <w:color w:val="000000"/>
                <w:sz w:val="22"/>
                <w:szCs w:val="22"/>
                <w:lang w:eastAsia="en-IN"/>
              </w:rPr>
            </w:pPr>
            <w:r w:rsidRPr="009942AF">
              <w:rPr>
                <w:rFonts w:ascii="Calibri" w:hAnsi="Calibri" w:cs="Calibri"/>
                <w:b/>
                <w:bCs/>
                <w:color w:val="000000"/>
                <w:sz w:val="22"/>
                <w:szCs w:val="22"/>
                <w:lang w:eastAsia="en-IN"/>
              </w:rPr>
              <w:t xml:space="preserve">Service Connection Charges (excluding GST) </w:t>
            </w:r>
            <w:r w:rsidR="00E66BA2">
              <w:rPr>
                <w:rFonts w:ascii="Calibri" w:hAnsi="Calibri" w:cs="Calibri"/>
                <w:b/>
                <w:bCs/>
                <w:color w:val="000000"/>
                <w:sz w:val="22"/>
                <w:szCs w:val="22"/>
                <w:lang w:eastAsia="en-IN"/>
              </w:rPr>
              <w:t>(I</w:t>
            </w:r>
            <w:r w:rsidRPr="009942AF">
              <w:rPr>
                <w:rFonts w:ascii="Calibri" w:hAnsi="Calibri" w:cs="Calibri"/>
                <w:b/>
                <w:bCs/>
                <w:color w:val="000000"/>
                <w:sz w:val="22"/>
                <w:szCs w:val="22"/>
                <w:lang w:eastAsia="en-IN"/>
              </w:rPr>
              <w:t>n Rs.</w:t>
            </w:r>
            <w:r w:rsidR="00E66BA2">
              <w:rPr>
                <w:rFonts w:ascii="Calibri" w:hAnsi="Calibri" w:cs="Calibri"/>
                <w:b/>
                <w:bCs/>
                <w:color w:val="000000"/>
                <w:sz w:val="22"/>
                <w:szCs w:val="22"/>
                <w:lang w:eastAsia="en-IN"/>
              </w:rPr>
              <w:t>)</w:t>
            </w:r>
          </w:p>
        </w:tc>
      </w:tr>
      <w:tr w:rsidR="009942AF" w:rsidRPr="009942AF" w14:paraId="20A7133E" w14:textId="77777777" w:rsidTr="00E66BA2">
        <w:trPr>
          <w:trHeight w:val="244"/>
          <w:jc w:val="center"/>
        </w:trPr>
        <w:tc>
          <w:tcPr>
            <w:tcW w:w="2308" w:type="dxa"/>
            <w:tcBorders>
              <w:top w:val="nil"/>
              <w:left w:val="single" w:sz="4" w:space="0" w:color="auto"/>
              <w:bottom w:val="single" w:sz="4" w:space="0" w:color="auto"/>
              <w:right w:val="single" w:sz="4" w:space="0" w:color="auto"/>
            </w:tcBorders>
            <w:shd w:val="clear" w:color="auto" w:fill="auto"/>
            <w:noWrap/>
            <w:vAlign w:val="bottom"/>
            <w:hideMark/>
          </w:tcPr>
          <w:p w14:paraId="63A5E3A5" w14:textId="77777777" w:rsidR="009942AF" w:rsidRPr="009942AF" w:rsidRDefault="009942AF" w:rsidP="009942AF">
            <w:pPr>
              <w:spacing w:line="360" w:lineRule="auto"/>
              <w:rPr>
                <w:rFonts w:ascii="Calibri" w:hAnsi="Calibri" w:cs="Calibri"/>
                <w:color w:val="000000"/>
                <w:sz w:val="22"/>
                <w:szCs w:val="22"/>
                <w:lang w:eastAsia="en-IN"/>
              </w:rPr>
            </w:pPr>
            <w:proofErr w:type="spellStart"/>
            <w:r w:rsidRPr="009942AF">
              <w:rPr>
                <w:rFonts w:ascii="Calibri" w:hAnsi="Calibri" w:cs="Calibri"/>
                <w:color w:val="000000"/>
                <w:sz w:val="22"/>
                <w:szCs w:val="22"/>
                <w:lang w:eastAsia="en-IN"/>
              </w:rPr>
              <w:t>Upto</w:t>
            </w:r>
            <w:proofErr w:type="spellEnd"/>
            <w:r w:rsidRPr="009942AF">
              <w:rPr>
                <w:rFonts w:ascii="Calibri" w:hAnsi="Calibri" w:cs="Calibri"/>
                <w:color w:val="000000"/>
                <w:sz w:val="22"/>
                <w:szCs w:val="22"/>
                <w:lang w:eastAsia="en-IN"/>
              </w:rPr>
              <w:t xml:space="preserve"> 10 kW</w:t>
            </w:r>
          </w:p>
        </w:tc>
        <w:tc>
          <w:tcPr>
            <w:tcW w:w="4240" w:type="dxa"/>
            <w:tcBorders>
              <w:top w:val="nil"/>
              <w:left w:val="nil"/>
              <w:bottom w:val="single" w:sz="4" w:space="0" w:color="auto"/>
              <w:right w:val="single" w:sz="4" w:space="0" w:color="auto"/>
            </w:tcBorders>
            <w:shd w:val="clear" w:color="auto" w:fill="auto"/>
            <w:noWrap/>
            <w:vAlign w:val="bottom"/>
            <w:hideMark/>
          </w:tcPr>
          <w:p w14:paraId="6E1B1950" w14:textId="77777777" w:rsidR="009942AF" w:rsidRPr="009942AF" w:rsidRDefault="009942AF" w:rsidP="009942AF">
            <w:pPr>
              <w:spacing w:line="360" w:lineRule="auto"/>
              <w:jc w:val="center"/>
              <w:rPr>
                <w:rFonts w:ascii="Calibri" w:hAnsi="Calibri" w:cs="Calibri"/>
                <w:color w:val="000000"/>
                <w:sz w:val="22"/>
                <w:szCs w:val="22"/>
                <w:lang w:eastAsia="en-IN"/>
              </w:rPr>
            </w:pPr>
            <w:r w:rsidRPr="009942AF">
              <w:rPr>
                <w:rFonts w:ascii="Calibri" w:hAnsi="Calibri" w:cs="Calibri"/>
                <w:color w:val="000000"/>
                <w:sz w:val="22"/>
                <w:szCs w:val="22"/>
                <w:lang w:eastAsia="en-IN"/>
              </w:rPr>
              <w:t>4500</w:t>
            </w:r>
          </w:p>
        </w:tc>
      </w:tr>
      <w:tr w:rsidR="009942AF" w:rsidRPr="009942AF" w14:paraId="68A1C990" w14:textId="77777777" w:rsidTr="00E66BA2">
        <w:trPr>
          <w:trHeight w:val="244"/>
          <w:jc w:val="center"/>
        </w:trPr>
        <w:tc>
          <w:tcPr>
            <w:tcW w:w="2308" w:type="dxa"/>
            <w:tcBorders>
              <w:top w:val="nil"/>
              <w:left w:val="single" w:sz="4" w:space="0" w:color="auto"/>
              <w:bottom w:val="single" w:sz="4" w:space="0" w:color="auto"/>
              <w:right w:val="single" w:sz="4" w:space="0" w:color="auto"/>
            </w:tcBorders>
            <w:shd w:val="clear" w:color="auto" w:fill="auto"/>
            <w:noWrap/>
            <w:vAlign w:val="bottom"/>
            <w:hideMark/>
          </w:tcPr>
          <w:p w14:paraId="4499EAB2" w14:textId="77777777" w:rsidR="009942AF" w:rsidRPr="009942AF" w:rsidRDefault="009942AF" w:rsidP="009942AF">
            <w:pPr>
              <w:spacing w:line="360" w:lineRule="auto"/>
              <w:rPr>
                <w:rFonts w:ascii="Calibri" w:hAnsi="Calibri" w:cs="Calibri"/>
                <w:color w:val="000000"/>
                <w:sz w:val="22"/>
                <w:szCs w:val="22"/>
                <w:lang w:eastAsia="en-IN"/>
              </w:rPr>
            </w:pPr>
            <w:r w:rsidRPr="009942AF">
              <w:rPr>
                <w:rFonts w:ascii="Calibri" w:hAnsi="Calibri" w:cs="Calibri"/>
                <w:color w:val="000000"/>
                <w:sz w:val="22"/>
                <w:szCs w:val="22"/>
                <w:lang w:eastAsia="en-IN"/>
              </w:rPr>
              <w:lastRenderedPageBreak/>
              <w:t>11-20 kW</w:t>
            </w:r>
          </w:p>
        </w:tc>
        <w:tc>
          <w:tcPr>
            <w:tcW w:w="4240" w:type="dxa"/>
            <w:tcBorders>
              <w:top w:val="nil"/>
              <w:left w:val="nil"/>
              <w:bottom w:val="single" w:sz="4" w:space="0" w:color="auto"/>
              <w:right w:val="single" w:sz="4" w:space="0" w:color="auto"/>
            </w:tcBorders>
            <w:shd w:val="clear" w:color="auto" w:fill="auto"/>
            <w:noWrap/>
            <w:vAlign w:val="bottom"/>
            <w:hideMark/>
          </w:tcPr>
          <w:p w14:paraId="5FCD78D7" w14:textId="77777777" w:rsidR="009942AF" w:rsidRPr="009942AF" w:rsidRDefault="009942AF" w:rsidP="009942AF">
            <w:pPr>
              <w:spacing w:line="360" w:lineRule="auto"/>
              <w:jc w:val="center"/>
              <w:rPr>
                <w:rFonts w:ascii="Calibri" w:hAnsi="Calibri" w:cs="Calibri"/>
                <w:color w:val="000000"/>
                <w:sz w:val="22"/>
                <w:szCs w:val="22"/>
                <w:lang w:eastAsia="en-IN"/>
              </w:rPr>
            </w:pPr>
            <w:r w:rsidRPr="009942AF">
              <w:rPr>
                <w:rFonts w:ascii="Calibri" w:hAnsi="Calibri" w:cs="Calibri"/>
                <w:color w:val="000000"/>
                <w:sz w:val="22"/>
                <w:szCs w:val="22"/>
                <w:lang w:eastAsia="en-IN"/>
              </w:rPr>
              <w:t>7000</w:t>
            </w:r>
          </w:p>
        </w:tc>
      </w:tr>
      <w:tr w:rsidR="009942AF" w:rsidRPr="009942AF" w14:paraId="085CD2E6" w14:textId="77777777" w:rsidTr="00E66BA2">
        <w:trPr>
          <w:trHeight w:val="244"/>
          <w:jc w:val="center"/>
        </w:trPr>
        <w:tc>
          <w:tcPr>
            <w:tcW w:w="2308" w:type="dxa"/>
            <w:tcBorders>
              <w:top w:val="nil"/>
              <w:left w:val="single" w:sz="4" w:space="0" w:color="auto"/>
              <w:bottom w:val="single" w:sz="4" w:space="0" w:color="auto"/>
              <w:right w:val="single" w:sz="4" w:space="0" w:color="auto"/>
            </w:tcBorders>
            <w:shd w:val="clear" w:color="auto" w:fill="auto"/>
            <w:noWrap/>
            <w:vAlign w:val="bottom"/>
            <w:hideMark/>
          </w:tcPr>
          <w:p w14:paraId="21BE8403" w14:textId="77777777" w:rsidR="009942AF" w:rsidRPr="009942AF" w:rsidRDefault="009942AF" w:rsidP="009942AF">
            <w:pPr>
              <w:spacing w:line="360" w:lineRule="auto"/>
              <w:rPr>
                <w:rFonts w:ascii="Calibri" w:hAnsi="Calibri" w:cs="Calibri"/>
                <w:color w:val="000000"/>
                <w:sz w:val="22"/>
                <w:szCs w:val="22"/>
                <w:lang w:eastAsia="en-IN"/>
              </w:rPr>
            </w:pPr>
            <w:r w:rsidRPr="009942AF">
              <w:rPr>
                <w:rFonts w:ascii="Calibri" w:hAnsi="Calibri" w:cs="Calibri"/>
                <w:color w:val="000000"/>
                <w:sz w:val="22"/>
                <w:szCs w:val="22"/>
                <w:lang w:eastAsia="en-IN"/>
              </w:rPr>
              <w:t>21-40 kW</w:t>
            </w:r>
          </w:p>
        </w:tc>
        <w:tc>
          <w:tcPr>
            <w:tcW w:w="4240" w:type="dxa"/>
            <w:tcBorders>
              <w:top w:val="nil"/>
              <w:left w:val="nil"/>
              <w:bottom w:val="single" w:sz="4" w:space="0" w:color="auto"/>
              <w:right w:val="single" w:sz="4" w:space="0" w:color="auto"/>
            </w:tcBorders>
            <w:shd w:val="clear" w:color="auto" w:fill="auto"/>
            <w:noWrap/>
            <w:vAlign w:val="bottom"/>
            <w:hideMark/>
          </w:tcPr>
          <w:p w14:paraId="24DB33BE" w14:textId="77777777" w:rsidR="009942AF" w:rsidRPr="009942AF" w:rsidRDefault="009942AF" w:rsidP="009942AF">
            <w:pPr>
              <w:spacing w:line="360" w:lineRule="auto"/>
              <w:jc w:val="center"/>
              <w:rPr>
                <w:rFonts w:ascii="Calibri" w:hAnsi="Calibri" w:cs="Calibri"/>
                <w:color w:val="000000"/>
                <w:sz w:val="22"/>
                <w:szCs w:val="22"/>
                <w:lang w:eastAsia="en-IN"/>
              </w:rPr>
            </w:pPr>
            <w:r w:rsidRPr="009942AF">
              <w:rPr>
                <w:rFonts w:ascii="Calibri" w:hAnsi="Calibri" w:cs="Calibri"/>
                <w:color w:val="000000"/>
                <w:sz w:val="22"/>
                <w:szCs w:val="22"/>
                <w:lang w:eastAsia="en-IN"/>
              </w:rPr>
              <w:t>10000</w:t>
            </w:r>
          </w:p>
        </w:tc>
      </w:tr>
      <w:tr w:rsidR="009942AF" w:rsidRPr="009942AF" w14:paraId="44A0020F" w14:textId="77777777" w:rsidTr="00E66BA2">
        <w:trPr>
          <w:trHeight w:val="244"/>
          <w:jc w:val="center"/>
        </w:trPr>
        <w:tc>
          <w:tcPr>
            <w:tcW w:w="2308" w:type="dxa"/>
            <w:tcBorders>
              <w:top w:val="nil"/>
              <w:left w:val="single" w:sz="4" w:space="0" w:color="auto"/>
              <w:bottom w:val="single" w:sz="4" w:space="0" w:color="auto"/>
              <w:right w:val="single" w:sz="4" w:space="0" w:color="auto"/>
            </w:tcBorders>
            <w:shd w:val="clear" w:color="auto" w:fill="auto"/>
            <w:noWrap/>
            <w:vAlign w:val="bottom"/>
            <w:hideMark/>
          </w:tcPr>
          <w:p w14:paraId="6C1370FB" w14:textId="77777777" w:rsidR="009942AF" w:rsidRPr="009942AF" w:rsidRDefault="009942AF" w:rsidP="009942AF">
            <w:pPr>
              <w:spacing w:line="360" w:lineRule="auto"/>
              <w:rPr>
                <w:rFonts w:ascii="Calibri" w:hAnsi="Calibri" w:cs="Calibri"/>
                <w:color w:val="000000"/>
                <w:sz w:val="22"/>
                <w:szCs w:val="22"/>
                <w:lang w:eastAsia="en-IN"/>
              </w:rPr>
            </w:pPr>
            <w:r w:rsidRPr="009942AF">
              <w:rPr>
                <w:rFonts w:ascii="Calibri" w:hAnsi="Calibri" w:cs="Calibri"/>
                <w:color w:val="000000"/>
                <w:sz w:val="22"/>
                <w:szCs w:val="22"/>
                <w:lang w:eastAsia="en-IN"/>
              </w:rPr>
              <w:t>41-50 kW</w:t>
            </w:r>
          </w:p>
        </w:tc>
        <w:tc>
          <w:tcPr>
            <w:tcW w:w="4240" w:type="dxa"/>
            <w:tcBorders>
              <w:top w:val="nil"/>
              <w:left w:val="nil"/>
              <w:bottom w:val="single" w:sz="4" w:space="0" w:color="auto"/>
              <w:right w:val="single" w:sz="4" w:space="0" w:color="auto"/>
            </w:tcBorders>
            <w:shd w:val="clear" w:color="auto" w:fill="auto"/>
            <w:noWrap/>
            <w:vAlign w:val="bottom"/>
            <w:hideMark/>
          </w:tcPr>
          <w:p w14:paraId="40E24C90" w14:textId="77777777" w:rsidR="009942AF" w:rsidRPr="009942AF" w:rsidRDefault="009942AF" w:rsidP="009942AF">
            <w:pPr>
              <w:spacing w:line="360" w:lineRule="auto"/>
              <w:jc w:val="center"/>
              <w:rPr>
                <w:rFonts w:ascii="Calibri" w:hAnsi="Calibri" w:cs="Calibri"/>
                <w:color w:val="000000"/>
                <w:sz w:val="22"/>
                <w:szCs w:val="22"/>
                <w:lang w:eastAsia="en-IN"/>
              </w:rPr>
            </w:pPr>
            <w:r w:rsidRPr="009942AF">
              <w:rPr>
                <w:rFonts w:ascii="Calibri" w:hAnsi="Calibri" w:cs="Calibri"/>
                <w:color w:val="000000"/>
                <w:sz w:val="22"/>
                <w:szCs w:val="22"/>
                <w:lang w:eastAsia="en-IN"/>
              </w:rPr>
              <w:t>19500</w:t>
            </w:r>
          </w:p>
        </w:tc>
      </w:tr>
      <w:tr w:rsidR="009942AF" w:rsidRPr="009942AF" w14:paraId="032F1078" w14:textId="77777777" w:rsidTr="00E66BA2">
        <w:trPr>
          <w:trHeight w:val="244"/>
          <w:jc w:val="center"/>
        </w:trPr>
        <w:tc>
          <w:tcPr>
            <w:tcW w:w="2308" w:type="dxa"/>
            <w:tcBorders>
              <w:top w:val="nil"/>
              <w:left w:val="single" w:sz="4" w:space="0" w:color="auto"/>
              <w:bottom w:val="single" w:sz="4" w:space="0" w:color="auto"/>
              <w:right w:val="single" w:sz="4" w:space="0" w:color="auto"/>
            </w:tcBorders>
            <w:shd w:val="clear" w:color="auto" w:fill="auto"/>
            <w:noWrap/>
            <w:vAlign w:val="bottom"/>
            <w:hideMark/>
          </w:tcPr>
          <w:p w14:paraId="497BD9CF" w14:textId="77777777" w:rsidR="009942AF" w:rsidRPr="009942AF" w:rsidRDefault="009942AF" w:rsidP="009942AF">
            <w:pPr>
              <w:spacing w:line="360" w:lineRule="auto"/>
              <w:rPr>
                <w:rFonts w:ascii="Calibri" w:hAnsi="Calibri" w:cs="Calibri"/>
                <w:color w:val="000000"/>
                <w:sz w:val="22"/>
                <w:szCs w:val="22"/>
                <w:lang w:eastAsia="en-IN"/>
              </w:rPr>
            </w:pPr>
            <w:r w:rsidRPr="009942AF">
              <w:rPr>
                <w:rFonts w:ascii="Calibri" w:hAnsi="Calibri" w:cs="Calibri"/>
                <w:color w:val="000000"/>
                <w:sz w:val="22"/>
                <w:szCs w:val="22"/>
                <w:lang w:eastAsia="en-IN"/>
              </w:rPr>
              <w:t>51-100 kW</w:t>
            </w:r>
          </w:p>
        </w:tc>
        <w:tc>
          <w:tcPr>
            <w:tcW w:w="4240" w:type="dxa"/>
            <w:tcBorders>
              <w:top w:val="nil"/>
              <w:left w:val="nil"/>
              <w:bottom w:val="single" w:sz="4" w:space="0" w:color="auto"/>
              <w:right w:val="single" w:sz="4" w:space="0" w:color="auto"/>
            </w:tcBorders>
            <w:shd w:val="clear" w:color="auto" w:fill="auto"/>
            <w:noWrap/>
            <w:vAlign w:val="bottom"/>
            <w:hideMark/>
          </w:tcPr>
          <w:p w14:paraId="2F5FA44E" w14:textId="77777777" w:rsidR="009942AF" w:rsidRPr="009942AF" w:rsidRDefault="009942AF" w:rsidP="009942AF">
            <w:pPr>
              <w:spacing w:line="360" w:lineRule="auto"/>
              <w:jc w:val="center"/>
              <w:rPr>
                <w:rFonts w:ascii="Calibri" w:hAnsi="Calibri" w:cs="Calibri"/>
                <w:color w:val="000000"/>
                <w:sz w:val="22"/>
                <w:szCs w:val="22"/>
                <w:lang w:eastAsia="en-IN"/>
              </w:rPr>
            </w:pPr>
            <w:r w:rsidRPr="009942AF">
              <w:rPr>
                <w:rFonts w:ascii="Calibri" w:hAnsi="Calibri" w:cs="Calibri"/>
                <w:color w:val="000000"/>
                <w:sz w:val="22"/>
                <w:szCs w:val="22"/>
                <w:lang w:eastAsia="en-IN"/>
              </w:rPr>
              <w:t>33000</w:t>
            </w:r>
          </w:p>
        </w:tc>
      </w:tr>
      <w:tr w:rsidR="009942AF" w:rsidRPr="009942AF" w14:paraId="5535BC60" w14:textId="77777777" w:rsidTr="00E66BA2">
        <w:trPr>
          <w:trHeight w:val="244"/>
          <w:jc w:val="center"/>
        </w:trPr>
        <w:tc>
          <w:tcPr>
            <w:tcW w:w="2308" w:type="dxa"/>
            <w:tcBorders>
              <w:top w:val="nil"/>
              <w:left w:val="single" w:sz="4" w:space="0" w:color="auto"/>
              <w:bottom w:val="single" w:sz="4" w:space="0" w:color="auto"/>
              <w:right w:val="single" w:sz="4" w:space="0" w:color="auto"/>
            </w:tcBorders>
            <w:shd w:val="clear" w:color="auto" w:fill="auto"/>
            <w:noWrap/>
            <w:vAlign w:val="bottom"/>
            <w:hideMark/>
          </w:tcPr>
          <w:p w14:paraId="3F976DB0" w14:textId="77777777" w:rsidR="009942AF" w:rsidRPr="009942AF" w:rsidRDefault="009942AF" w:rsidP="009942AF">
            <w:pPr>
              <w:spacing w:line="360" w:lineRule="auto"/>
              <w:rPr>
                <w:rFonts w:ascii="Calibri" w:hAnsi="Calibri" w:cs="Calibri"/>
                <w:color w:val="000000"/>
                <w:sz w:val="22"/>
                <w:szCs w:val="22"/>
                <w:lang w:eastAsia="en-IN"/>
              </w:rPr>
            </w:pPr>
            <w:r w:rsidRPr="009942AF">
              <w:rPr>
                <w:rFonts w:ascii="Calibri" w:hAnsi="Calibri" w:cs="Calibri"/>
                <w:color w:val="000000"/>
                <w:sz w:val="22"/>
                <w:szCs w:val="22"/>
                <w:lang w:eastAsia="en-IN"/>
              </w:rPr>
              <w:t>101-150 kW</w:t>
            </w:r>
          </w:p>
        </w:tc>
        <w:tc>
          <w:tcPr>
            <w:tcW w:w="4240" w:type="dxa"/>
            <w:tcBorders>
              <w:top w:val="nil"/>
              <w:left w:val="nil"/>
              <w:bottom w:val="single" w:sz="4" w:space="0" w:color="auto"/>
              <w:right w:val="single" w:sz="4" w:space="0" w:color="auto"/>
            </w:tcBorders>
            <w:shd w:val="clear" w:color="auto" w:fill="auto"/>
            <w:noWrap/>
            <w:vAlign w:val="bottom"/>
            <w:hideMark/>
          </w:tcPr>
          <w:p w14:paraId="2F57C538" w14:textId="77777777" w:rsidR="009942AF" w:rsidRPr="009942AF" w:rsidRDefault="009942AF" w:rsidP="009942AF">
            <w:pPr>
              <w:spacing w:line="360" w:lineRule="auto"/>
              <w:jc w:val="center"/>
              <w:rPr>
                <w:rFonts w:ascii="Calibri" w:hAnsi="Calibri" w:cs="Calibri"/>
                <w:color w:val="000000"/>
                <w:sz w:val="22"/>
                <w:szCs w:val="22"/>
                <w:lang w:eastAsia="en-IN"/>
              </w:rPr>
            </w:pPr>
            <w:r w:rsidRPr="009942AF">
              <w:rPr>
                <w:rFonts w:ascii="Calibri" w:hAnsi="Calibri" w:cs="Calibri"/>
                <w:color w:val="000000"/>
                <w:sz w:val="22"/>
                <w:szCs w:val="22"/>
                <w:lang w:eastAsia="en-IN"/>
              </w:rPr>
              <w:t>60000</w:t>
            </w:r>
          </w:p>
        </w:tc>
      </w:tr>
      <w:tr w:rsidR="009942AF" w:rsidRPr="009942AF" w14:paraId="57111938" w14:textId="77777777" w:rsidTr="00E66BA2">
        <w:trPr>
          <w:trHeight w:val="387"/>
          <w:jc w:val="center"/>
        </w:trPr>
        <w:tc>
          <w:tcPr>
            <w:tcW w:w="6548"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bottom"/>
            <w:hideMark/>
          </w:tcPr>
          <w:p w14:paraId="09889036" w14:textId="77777777" w:rsidR="009942AF" w:rsidRPr="009942AF" w:rsidRDefault="009942AF" w:rsidP="009942AF">
            <w:pPr>
              <w:spacing w:line="360" w:lineRule="auto"/>
              <w:rPr>
                <w:rFonts w:ascii="Calibri" w:hAnsi="Calibri" w:cs="Calibri"/>
                <w:color w:val="000000"/>
                <w:sz w:val="22"/>
                <w:szCs w:val="22"/>
                <w:lang w:eastAsia="en-IN"/>
              </w:rPr>
            </w:pPr>
            <w:r w:rsidRPr="009942AF">
              <w:rPr>
                <w:rFonts w:ascii="Calibri" w:hAnsi="Calibri" w:cs="Calibri"/>
                <w:color w:val="000000"/>
                <w:sz w:val="22"/>
                <w:szCs w:val="22"/>
                <w:lang w:eastAsia="en-IN"/>
              </w:rPr>
              <w:t xml:space="preserve">Note: The above charges are calculated based on average 25 meters service length and use of </w:t>
            </w:r>
            <w:proofErr w:type="spellStart"/>
            <w:r w:rsidRPr="009942AF">
              <w:rPr>
                <w:rFonts w:ascii="Calibri" w:hAnsi="Calibri" w:cs="Calibri"/>
                <w:color w:val="000000"/>
                <w:sz w:val="22"/>
                <w:szCs w:val="22"/>
                <w:lang w:eastAsia="en-IN"/>
              </w:rPr>
              <w:t>armoured</w:t>
            </w:r>
            <w:proofErr w:type="spellEnd"/>
            <w:r w:rsidRPr="009942AF">
              <w:rPr>
                <w:rFonts w:ascii="Calibri" w:hAnsi="Calibri" w:cs="Calibri"/>
                <w:color w:val="000000"/>
                <w:sz w:val="22"/>
                <w:szCs w:val="22"/>
                <w:lang w:eastAsia="en-IN"/>
              </w:rPr>
              <w:t xml:space="preserve"> cable</w:t>
            </w:r>
          </w:p>
        </w:tc>
      </w:tr>
    </w:tbl>
    <w:p w14:paraId="46015CA0" w14:textId="77777777" w:rsidR="009942AF" w:rsidRPr="009942AF" w:rsidRDefault="009942AF" w:rsidP="009942AF">
      <w:pPr>
        <w:spacing w:line="360" w:lineRule="auto"/>
        <w:ind w:left="785"/>
        <w:rPr>
          <w:rFonts w:ascii="Calibri" w:hAnsi="Calibri" w:cs="Calibri"/>
          <w:sz w:val="22"/>
          <w:szCs w:val="22"/>
          <w:lang w:eastAsia="en-IN"/>
        </w:rPr>
      </w:pPr>
    </w:p>
    <w:p w14:paraId="0901AE01" w14:textId="2961E600" w:rsidR="009942AF" w:rsidRPr="002A57DA" w:rsidRDefault="009942AF" w:rsidP="002A57DA">
      <w:pPr>
        <w:spacing w:line="360" w:lineRule="auto"/>
        <w:ind w:left="709"/>
        <w:jc w:val="both"/>
        <w:rPr>
          <w:rFonts w:ascii="Calibri" w:hAnsi="Calibri" w:cs="Calibri"/>
          <w:color w:val="000000"/>
          <w:sz w:val="22"/>
          <w:szCs w:val="22"/>
          <w:lang w:eastAsia="en-IN"/>
        </w:rPr>
      </w:pPr>
      <w:r w:rsidRPr="009942AF">
        <w:rPr>
          <w:rFonts w:ascii="Calibri" w:hAnsi="Calibri" w:cs="Calibri"/>
          <w:color w:val="000000"/>
          <w:sz w:val="22"/>
          <w:szCs w:val="22"/>
          <w:lang w:eastAsia="en-IN"/>
        </w:rPr>
        <w:t xml:space="preserve">In order to ensure ease of living and ease of doing business, we humble request Hon’ble Commission to kindly issue necessary directions in the Tariff order for standardization of service connection charges so that we can be better placed in terms of service delivery to consumer for new connection and shall be at par with the Electricity (Rights of Consumer) Rules,2020. </w:t>
      </w:r>
    </w:p>
    <w:p w14:paraId="207D0D12" w14:textId="1EB1138F" w:rsidR="009942AF" w:rsidRPr="009942AF" w:rsidRDefault="00E66BA2" w:rsidP="00E66BA2">
      <w:pPr>
        <w:keepNext/>
        <w:spacing w:before="240" w:after="60" w:line="360" w:lineRule="auto"/>
        <w:ind w:left="426"/>
        <w:jc w:val="both"/>
        <w:outlineLvl w:val="0"/>
        <w:rPr>
          <w:rFonts w:ascii="Calibri" w:hAnsi="Calibri" w:cs="Calibri"/>
          <w:b/>
          <w:bCs/>
          <w:kern w:val="32"/>
          <w:sz w:val="22"/>
          <w:szCs w:val="22"/>
        </w:rPr>
      </w:pPr>
      <w:bookmarkStart w:id="61" w:name="_Toc183200758"/>
      <w:r>
        <w:rPr>
          <w:rFonts w:ascii="Calibri" w:hAnsi="Calibri" w:cs="Calibri"/>
          <w:b/>
          <w:bCs/>
          <w:kern w:val="32"/>
          <w:sz w:val="22"/>
          <w:szCs w:val="22"/>
        </w:rPr>
        <w:t xml:space="preserve">       9.24 </w:t>
      </w:r>
      <w:r w:rsidR="009942AF" w:rsidRPr="009942AF">
        <w:rPr>
          <w:rFonts w:ascii="Calibri" w:hAnsi="Calibri" w:cs="Calibri"/>
          <w:b/>
          <w:bCs/>
          <w:kern w:val="32"/>
          <w:sz w:val="22"/>
          <w:szCs w:val="22"/>
        </w:rPr>
        <w:t xml:space="preserve">Processing fee for each </w:t>
      </w:r>
      <w:proofErr w:type="gramStart"/>
      <w:r w:rsidR="009942AF" w:rsidRPr="009942AF">
        <w:rPr>
          <w:rFonts w:ascii="Calibri" w:hAnsi="Calibri" w:cs="Calibri"/>
          <w:b/>
          <w:bCs/>
          <w:kern w:val="32"/>
          <w:sz w:val="22"/>
          <w:szCs w:val="22"/>
        </w:rPr>
        <w:t>services</w:t>
      </w:r>
      <w:proofErr w:type="gramEnd"/>
      <w:r w:rsidR="009942AF" w:rsidRPr="009942AF">
        <w:rPr>
          <w:rFonts w:ascii="Calibri" w:hAnsi="Calibri" w:cs="Calibri"/>
          <w:b/>
          <w:bCs/>
          <w:kern w:val="32"/>
          <w:sz w:val="22"/>
          <w:szCs w:val="22"/>
        </w:rPr>
        <w:t xml:space="preserve"> as per Regulation</w:t>
      </w:r>
      <w:bookmarkEnd w:id="61"/>
      <w:r w:rsidR="009942AF" w:rsidRPr="009942AF">
        <w:rPr>
          <w:rFonts w:ascii="Calibri" w:hAnsi="Calibri" w:cs="Calibri"/>
          <w:b/>
          <w:bCs/>
          <w:kern w:val="32"/>
          <w:sz w:val="22"/>
          <w:szCs w:val="22"/>
        </w:rPr>
        <w:t xml:space="preserve"> </w:t>
      </w:r>
    </w:p>
    <w:p w14:paraId="786B218F" w14:textId="77777777" w:rsidR="009942AF" w:rsidRPr="009942AF" w:rsidRDefault="009942AF" w:rsidP="00E66BA2">
      <w:pPr>
        <w:keepNext/>
        <w:spacing w:before="240" w:after="60" w:line="360" w:lineRule="auto"/>
        <w:ind w:left="709"/>
        <w:jc w:val="both"/>
        <w:outlineLvl w:val="0"/>
        <w:rPr>
          <w:rFonts w:ascii="Calibri" w:hAnsi="Calibri" w:cs="Calibri"/>
          <w:b/>
          <w:bCs/>
          <w:kern w:val="32"/>
          <w:sz w:val="22"/>
          <w:szCs w:val="22"/>
        </w:rPr>
      </w:pPr>
      <w:r w:rsidRPr="009942AF">
        <w:rPr>
          <w:rFonts w:ascii="Calibri" w:hAnsi="Calibri" w:cs="Calibri"/>
          <w:sz w:val="22"/>
          <w:szCs w:val="22"/>
          <w:lang w:eastAsia="en-IN"/>
        </w:rPr>
        <w:t xml:space="preserve">Presently, the licensees are directed to serve the consumer for their different requirement apart from Billing and collection activities. Consumers also needs, Load Change (Reduction/Enhancement), attribute changes (like Change of name, Category Change, name correction, address correction /Change etc.) </w:t>
      </w:r>
    </w:p>
    <w:p w14:paraId="399B7E87" w14:textId="29444548" w:rsidR="009942AF" w:rsidRPr="002A57DA" w:rsidRDefault="009942AF" w:rsidP="002A57DA">
      <w:pPr>
        <w:keepNext/>
        <w:spacing w:before="240" w:after="60" w:line="360" w:lineRule="auto"/>
        <w:ind w:left="709"/>
        <w:jc w:val="both"/>
        <w:outlineLvl w:val="0"/>
        <w:rPr>
          <w:rFonts w:ascii="Calibri" w:hAnsi="Calibri" w:cs="Calibri"/>
          <w:sz w:val="22"/>
          <w:szCs w:val="22"/>
          <w:lang w:eastAsia="en-IN"/>
        </w:rPr>
      </w:pPr>
      <w:r w:rsidRPr="009942AF">
        <w:rPr>
          <w:rFonts w:ascii="Calibri" w:hAnsi="Calibri" w:cs="Calibri"/>
          <w:sz w:val="22"/>
          <w:szCs w:val="22"/>
          <w:lang w:eastAsia="en-IN"/>
        </w:rPr>
        <w:t>As per existing Regulation, for new connection the processing fee has been defined as Rs.50/-per application, however, there is no such charges is payable for the other services like Change of name, Category Change, name correction, address correction /Change etc. But the licensee is spending considerable amount for such services. Therefore, the DISCOM proposes, the following charges may kindly be approved for recovery of cost being incurred by utilities</w:t>
      </w:r>
      <w:r w:rsidR="002A57DA">
        <w:rPr>
          <w:rFonts w:ascii="Calibri" w:hAnsi="Calibri" w:cs="Calibri"/>
          <w:sz w:val="22"/>
          <w:szCs w:val="22"/>
          <w:lang w:eastAsia="en-IN"/>
        </w:rPr>
        <w:t>.</w:t>
      </w:r>
    </w:p>
    <w:p w14:paraId="1D51D4E4" w14:textId="77777777" w:rsidR="009942AF" w:rsidRPr="009942AF" w:rsidRDefault="009942AF" w:rsidP="009942AF">
      <w:pPr>
        <w:spacing w:after="200" w:line="360" w:lineRule="auto"/>
        <w:ind w:left="720"/>
        <w:contextualSpacing/>
        <w:rPr>
          <w:rFonts w:ascii="Calibri" w:eastAsia="Calibri" w:hAnsi="Calibri" w:cs="Calibri"/>
          <w:sz w:val="22"/>
          <w:szCs w:val="22"/>
          <w:lang w:eastAsia="en-IN"/>
        </w:rPr>
      </w:pPr>
    </w:p>
    <w:p w14:paraId="6760EC1E" w14:textId="77777777" w:rsidR="009942AF" w:rsidRPr="009942AF" w:rsidRDefault="009942AF" w:rsidP="009942AF">
      <w:pPr>
        <w:spacing w:after="200" w:line="360" w:lineRule="auto"/>
        <w:ind w:left="720"/>
        <w:contextualSpacing/>
        <w:jc w:val="center"/>
        <w:rPr>
          <w:rFonts w:ascii="Calibri" w:eastAsia="Calibri" w:hAnsi="Calibri" w:cs="Calibri"/>
          <w:b/>
          <w:color w:val="FF0000"/>
          <w:sz w:val="22"/>
          <w:szCs w:val="22"/>
        </w:rPr>
      </w:pPr>
      <w:r w:rsidRPr="009942AF">
        <w:rPr>
          <w:rFonts w:ascii="Calibri" w:eastAsia="Calibri" w:hAnsi="Calibri" w:cs="Calibri"/>
          <w:b/>
          <w:sz w:val="22"/>
          <w:szCs w:val="22"/>
        </w:rPr>
        <w:t xml:space="preserve"> </w:t>
      </w:r>
      <w:bookmarkStart w:id="62" w:name="_Toc183200827"/>
      <w:r w:rsidRPr="009942AF">
        <w:rPr>
          <w:rFonts w:ascii="Calibri" w:eastAsia="Calibri" w:hAnsi="Calibri" w:cs="Calibri"/>
          <w:b/>
          <w:sz w:val="22"/>
          <w:szCs w:val="22"/>
        </w:rPr>
        <w:t>Proposed</w:t>
      </w:r>
      <w:r w:rsidRPr="009942AF">
        <w:rPr>
          <w:rFonts w:ascii="Calibri" w:eastAsia="Calibri" w:hAnsi="Calibri" w:cs="Calibri"/>
          <w:sz w:val="22"/>
          <w:szCs w:val="22"/>
        </w:rPr>
        <w:t xml:space="preserve"> </w:t>
      </w:r>
      <w:r w:rsidRPr="009942AF">
        <w:rPr>
          <w:rFonts w:ascii="Calibri" w:eastAsia="Calibri" w:hAnsi="Calibri" w:cs="Calibri"/>
          <w:b/>
          <w:sz w:val="22"/>
          <w:szCs w:val="22"/>
        </w:rPr>
        <w:t>Standard Application Processing Fees</w:t>
      </w:r>
      <w:bookmarkEnd w:id="62"/>
      <w:r w:rsidRPr="009942AF">
        <w:rPr>
          <w:rFonts w:ascii="Calibri" w:eastAsia="Calibri" w:hAnsi="Calibri" w:cs="Calibri"/>
          <w:b/>
          <w:sz w:val="22"/>
          <w:szCs w:val="22"/>
        </w:rPr>
        <w:t xml:space="preserve"> </w:t>
      </w:r>
    </w:p>
    <w:tbl>
      <w:tblPr>
        <w:tblW w:w="9169" w:type="dxa"/>
        <w:tblInd w:w="582" w:type="dxa"/>
        <w:tblLook w:val="04A0" w:firstRow="1" w:lastRow="0" w:firstColumn="1" w:lastColumn="0" w:noHBand="0" w:noVBand="1"/>
      </w:tblPr>
      <w:tblGrid>
        <w:gridCol w:w="554"/>
        <w:gridCol w:w="4289"/>
        <w:gridCol w:w="2041"/>
        <w:gridCol w:w="2253"/>
        <w:gridCol w:w="13"/>
        <w:gridCol w:w="19"/>
      </w:tblGrid>
      <w:tr w:rsidR="009942AF" w:rsidRPr="009942AF" w14:paraId="2688A7B8" w14:textId="77777777" w:rsidTr="002A57DA">
        <w:trPr>
          <w:trHeight w:val="196"/>
          <w:tblHeader/>
        </w:trPr>
        <w:tc>
          <w:tcPr>
            <w:tcW w:w="554" w:type="dxa"/>
            <w:vMerge w:val="restart"/>
            <w:tcBorders>
              <w:top w:val="single" w:sz="4" w:space="0" w:color="auto"/>
              <w:left w:val="single" w:sz="4" w:space="0" w:color="auto"/>
              <w:bottom w:val="single" w:sz="4" w:space="0" w:color="auto"/>
              <w:right w:val="single" w:sz="4" w:space="0" w:color="auto"/>
            </w:tcBorders>
            <w:shd w:val="clear" w:color="auto" w:fill="95B3D7" w:themeFill="accent1" w:themeFillTint="99"/>
            <w:vAlign w:val="center"/>
            <w:hideMark/>
          </w:tcPr>
          <w:p w14:paraId="0C4F2B12" w14:textId="4C9BCFD4" w:rsidR="009942AF" w:rsidRPr="009942AF" w:rsidRDefault="009942AF" w:rsidP="009942AF">
            <w:pPr>
              <w:spacing w:line="360" w:lineRule="auto"/>
              <w:jc w:val="center"/>
              <w:rPr>
                <w:rFonts w:ascii="Calibri" w:hAnsi="Calibri" w:cs="Calibri"/>
                <w:b/>
                <w:bCs/>
                <w:color w:val="000000"/>
                <w:sz w:val="22"/>
                <w:szCs w:val="22"/>
                <w:lang w:eastAsia="en-IN" w:bidi="hi-IN"/>
              </w:rPr>
            </w:pPr>
            <w:proofErr w:type="gramStart"/>
            <w:r w:rsidRPr="009942AF">
              <w:rPr>
                <w:rFonts w:ascii="Calibri" w:hAnsi="Calibri" w:cs="Calibri"/>
                <w:b/>
                <w:bCs/>
                <w:color w:val="000000"/>
                <w:sz w:val="22"/>
                <w:szCs w:val="22"/>
                <w:lang w:eastAsia="en-IN" w:bidi="hi-IN"/>
              </w:rPr>
              <w:t>S</w:t>
            </w:r>
            <w:r w:rsidR="00E66BA2">
              <w:rPr>
                <w:rFonts w:ascii="Calibri" w:hAnsi="Calibri" w:cs="Calibri"/>
                <w:b/>
                <w:bCs/>
                <w:color w:val="000000"/>
                <w:sz w:val="22"/>
                <w:szCs w:val="22"/>
                <w:lang w:eastAsia="en-IN" w:bidi="hi-IN"/>
              </w:rPr>
              <w:t>r.</w:t>
            </w:r>
            <w:r w:rsidRPr="009942AF">
              <w:rPr>
                <w:rFonts w:ascii="Calibri" w:hAnsi="Calibri" w:cs="Calibri"/>
                <w:b/>
                <w:bCs/>
                <w:color w:val="000000"/>
                <w:sz w:val="22"/>
                <w:szCs w:val="22"/>
                <w:lang w:eastAsia="en-IN" w:bidi="hi-IN"/>
              </w:rPr>
              <w:t>.</w:t>
            </w:r>
            <w:proofErr w:type="gramEnd"/>
            <w:r w:rsidRPr="009942AF">
              <w:rPr>
                <w:rFonts w:ascii="Calibri" w:hAnsi="Calibri" w:cs="Calibri"/>
                <w:b/>
                <w:bCs/>
                <w:color w:val="000000"/>
                <w:sz w:val="22"/>
                <w:szCs w:val="22"/>
                <w:lang w:eastAsia="en-IN" w:bidi="hi-IN"/>
              </w:rPr>
              <w:t xml:space="preserve"> No.</w:t>
            </w:r>
          </w:p>
        </w:tc>
        <w:tc>
          <w:tcPr>
            <w:tcW w:w="4289" w:type="dxa"/>
            <w:vMerge w:val="restart"/>
            <w:tcBorders>
              <w:top w:val="single" w:sz="4" w:space="0" w:color="auto"/>
              <w:left w:val="single" w:sz="4" w:space="0" w:color="auto"/>
              <w:bottom w:val="single" w:sz="4" w:space="0" w:color="auto"/>
              <w:right w:val="single" w:sz="4" w:space="0" w:color="auto"/>
            </w:tcBorders>
            <w:shd w:val="clear" w:color="auto" w:fill="95B3D7" w:themeFill="accent1" w:themeFillTint="99"/>
            <w:vAlign w:val="center"/>
            <w:hideMark/>
          </w:tcPr>
          <w:p w14:paraId="543401CB" w14:textId="77777777" w:rsidR="009942AF" w:rsidRPr="009942AF" w:rsidRDefault="009942AF" w:rsidP="009942AF">
            <w:pPr>
              <w:spacing w:line="360" w:lineRule="auto"/>
              <w:jc w:val="center"/>
              <w:rPr>
                <w:rFonts w:ascii="Calibri" w:hAnsi="Calibri" w:cs="Calibri"/>
                <w:b/>
                <w:bCs/>
                <w:color w:val="000000"/>
                <w:sz w:val="22"/>
                <w:szCs w:val="22"/>
                <w:lang w:eastAsia="en-IN" w:bidi="hi-IN"/>
              </w:rPr>
            </w:pPr>
            <w:r w:rsidRPr="009942AF">
              <w:rPr>
                <w:rFonts w:ascii="Calibri" w:hAnsi="Calibri" w:cs="Calibri"/>
                <w:b/>
                <w:bCs/>
                <w:color w:val="000000"/>
                <w:sz w:val="22"/>
                <w:szCs w:val="22"/>
                <w:lang w:eastAsia="en-IN" w:bidi="hi-IN"/>
              </w:rPr>
              <w:t>Purpose of Application</w:t>
            </w:r>
          </w:p>
        </w:tc>
        <w:tc>
          <w:tcPr>
            <w:tcW w:w="4326" w:type="dxa"/>
            <w:gridSpan w:val="4"/>
            <w:tcBorders>
              <w:top w:val="single" w:sz="4" w:space="0" w:color="auto"/>
              <w:left w:val="nil"/>
              <w:bottom w:val="single" w:sz="4" w:space="0" w:color="auto"/>
              <w:right w:val="single" w:sz="4" w:space="0" w:color="auto"/>
            </w:tcBorders>
            <w:shd w:val="clear" w:color="auto" w:fill="95B3D7" w:themeFill="accent1" w:themeFillTint="99"/>
            <w:vAlign w:val="center"/>
            <w:hideMark/>
          </w:tcPr>
          <w:p w14:paraId="6A35A1AF" w14:textId="77777777" w:rsidR="009942AF" w:rsidRPr="009942AF" w:rsidRDefault="009942AF" w:rsidP="009942AF">
            <w:pPr>
              <w:spacing w:line="360" w:lineRule="auto"/>
              <w:jc w:val="center"/>
              <w:rPr>
                <w:rFonts w:ascii="Calibri" w:hAnsi="Calibri" w:cs="Calibri"/>
                <w:b/>
                <w:bCs/>
                <w:color w:val="000000"/>
                <w:sz w:val="22"/>
                <w:szCs w:val="22"/>
                <w:lang w:eastAsia="en-IN" w:bidi="hi-IN"/>
              </w:rPr>
            </w:pPr>
            <w:r w:rsidRPr="009942AF">
              <w:rPr>
                <w:rFonts w:ascii="Calibri" w:hAnsi="Calibri" w:cs="Calibri"/>
                <w:b/>
                <w:bCs/>
                <w:color w:val="000000"/>
                <w:sz w:val="22"/>
                <w:szCs w:val="22"/>
                <w:lang w:eastAsia="en-IN" w:bidi="hi-IN"/>
              </w:rPr>
              <w:t>Application Processing charges</w:t>
            </w:r>
          </w:p>
        </w:tc>
      </w:tr>
      <w:tr w:rsidR="009942AF" w:rsidRPr="009942AF" w14:paraId="5A1EC70A" w14:textId="77777777" w:rsidTr="002A57DA">
        <w:trPr>
          <w:gridAfter w:val="1"/>
          <w:wAfter w:w="19" w:type="dxa"/>
          <w:trHeight w:val="91"/>
          <w:tblHeader/>
        </w:trPr>
        <w:tc>
          <w:tcPr>
            <w:tcW w:w="554" w:type="dxa"/>
            <w:vMerge/>
            <w:tcBorders>
              <w:top w:val="single" w:sz="4" w:space="0" w:color="auto"/>
              <w:left w:val="single" w:sz="4" w:space="0" w:color="auto"/>
              <w:bottom w:val="single" w:sz="4" w:space="0" w:color="auto"/>
              <w:right w:val="single" w:sz="4" w:space="0" w:color="auto"/>
            </w:tcBorders>
            <w:shd w:val="clear" w:color="auto" w:fill="95B3D7" w:themeFill="accent1" w:themeFillTint="99"/>
            <w:vAlign w:val="center"/>
            <w:hideMark/>
          </w:tcPr>
          <w:p w14:paraId="6396FBF5" w14:textId="77777777" w:rsidR="009942AF" w:rsidRPr="009942AF" w:rsidRDefault="009942AF" w:rsidP="009942AF">
            <w:pPr>
              <w:spacing w:line="360" w:lineRule="auto"/>
              <w:jc w:val="center"/>
              <w:rPr>
                <w:rFonts w:ascii="Calibri" w:hAnsi="Calibri" w:cs="Calibri"/>
                <w:b/>
                <w:bCs/>
                <w:color w:val="000000"/>
                <w:sz w:val="22"/>
                <w:szCs w:val="22"/>
                <w:lang w:eastAsia="en-IN" w:bidi="hi-IN"/>
              </w:rPr>
            </w:pPr>
          </w:p>
        </w:tc>
        <w:tc>
          <w:tcPr>
            <w:tcW w:w="4289" w:type="dxa"/>
            <w:vMerge/>
            <w:tcBorders>
              <w:top w:val="single" w:sz="4" w:space="0" w:color="auto"/>
              <w:left w:val="single" w:sz="4" w:space="0" w:color="auto"/>
              <w:bottom w:val="single" w:sz="4" w:space="0" w:color="auto"/>
              <w:right w:val="single" w:sz="4" w:space="0" w:color="auto"/>
            </w:tcBorders>
            <w:shd w:val="clear" w:color="auto" w:fill="95B3D7" w:themeFill="accent1" w:themeFillTint="99"/>
            <w:vAlign w:val="center"/>
            <w:hideMark/>
          </w:tcPr>
          <w:p w14:paraId="324CD619" w14:textId="77777777" w:rsidR="009942AF" w:rsidRPr="009942AF" w:rsidRDefault="009942AF" w:rsidP="009942AF">
            <w:pPr>
              <w:spacing w:line="360" w:lineRule="auto"/>
              <w:jc w:val="center"/>
              <w:rPr>
                <w:rFonts w:ascii="Calibri" w:hAnsi="Calibri" w:cs="Calibri"/>
                <w:b/>
                <w:bCs/>
                <w:color w:val="000000"/>
                <w:sz w:val="22"/>
                <w:szCs w:val="22"/>
                <w:lang w:eastAsia="en-IN" w:bidi="hi-IN"/>
              </w:rPr>
            </w:pPr>
          </w:p>
        </w:tc>
        <w:tc>
          <w:tcPr>
            <w:tcW w:w="2041" w:type="dxa"/>
            <w:tcBorders>
              <w:top w:val="nil"/>
              <w:left w:val="nil"/>
              <w:bottom w:val="single" w:sz="4" w:space="0" w:color="auto"/>
              <w:right w:val="single" w:sz="4" w:space="0" w:color="auto"/>
            </w:tcBorders>
            <w:shd w:val="clear" w:color="auto" w:fill="95B3D7" w:themeFill="accent1" w:themeFillTint="99"/>
            <w:vAlign w:val="center"/>
            <w:hideMark/>
          </w:tcPr>
          <w:p w14:paraId="48BE4CBB" w14:textId="77777777" w:rsidR="009942AF" w:rsidRPr="009942AF" w:rsidRDefault="009942AF" w:rsidP="009942AF">
            <w:pPr>
              <w:spacing w:line="360" w:lineRule="auto"/>
              <w:jc w:val="center"/>
              <w:rPr>
                <w:rFonts w:ascii="Calibri" w:hAnsi="Calibri" w:cs="Calibri"/>
                <w:b/>
                <w:bCs/>
                <w:color w:val="000000"/>
                <w:sz w:val="22"/>
                <w:szCs w:val="22"/>
                <w:lang w:eastAsia="en-IN" w:bidi="hi-IN"/>
              </w:rPr>
            </w:pPr>
            <w:r w:rsidRPr="009942AF">
              <w:rPr>
                <w:rFonts w:ascii="Calibri" w:hAnsi="Calibri" w:cs="Calibri"/>
                <w:b/>
                <w:bCs/>
                <w:color w:val="000000"/>
                <w:sz w:val="22"/>
                <w:szCs w:val="22"/>
                <w:lang w:eastAsia="en-IN" w:bidi="hi-IN"/>
              </w:rPr>
              <w:t>LT Single Phase</w:t>
            </w:r>
          </w:p>
        </w:tc>
        <w:tc>
          <w:tcPr>
            <w:tcW w:w="2266" w:type="dxa"/>
            <w:gridSpan w:val="2"/>
            <w:tcBorders>
              <w:top w:val="nil"/>
              <w:left w:val="nil"/>
              <w:bottom w:val="single" w:sz="4" w:space="0" w:color="auto"/>
              <w:right w:val="single" w:sz="4" w:space="0" w:color="auto"/>
            </w:tcBorders>
            <w:shd w:val="clear" w:color="auto" w:fill="95B3D7" w:themeFill="accent1" w:themeFillTint="99"/>
            <w:vAlign w:val="center"/>
            <w:hideMark/>
          </w:tcPr>
          <w:p w14:paraId="47927EFF" w14:textId="77777777" w:rsidR="009942AF" w:rsidRPr="009942AF" w:rsidRDefault="009942AF" w:rsidP="009942AF">
            <w:pPr>
              <w:spacing w:line="360" w:lineRule="auto"/>
              <w:jc w:val="center"/>
              <w:rPr>
                <w:rFonts w:ascii="Calibri" w:hAnsi="Calibri" w:cs="Calibri"/>
                <w:b/>
                <w:bCs/>
                <w:color w:val="000000"/>
                <w:sz w:val="22"/>
                <w:szCs w:val="22"/>
                <w:lang w:eastAsia="en-IN" w:bidi="hi-IN"/>
              </w:rPr>
            </w:pPr>
            <w:r w:rsidRPr="009942AF">
              <w:rPr>
                <w:rFonts w:ascii="Calibri" w:hAnsi="Calibri" w:cs="Calibri"/>
                <w:b/>
                <w:bCs/>
                <w:color w:val="000000"/>
                <w:sz w:val="22"/>
                <w:szCs w:val="22"/>
                <w:lang w:eastAsia="en-IN" w:bidi="hi-IN"/>
              </w:rPr>
              <w:t>LT-3 Phase, HT &amp; EHT</w:t>
            </w:r>
          </w:p>
        </w:tc>
      </w:tr>
      <w:tr w:rsidR="009942AF" w:rsidRPr="009942AF" w14:paraId="700C4538" w14:textId="77777777" w:rsidTr="002A57DA">
        <w:trPr>
          <w:gridAfter w:val="2"/>
          <w:wAfter w:w="32" w:type="dxa"/>
          <w:trHeight w:val="118"/>
        </w:trPr>
        <w:tc>
          <w:tcPr>
            <w:tcW w:w="554" w:type="dxa"/>
            <w:tcBorders>
              <w:top w:val="nil"/>
              <w:left w:val="single" w:sz="4" w:space="0" w:color="auto"/>
              <w:bottom w:val="single" w:sz="4" w:space="0" w:color="auto"/>
              <w:right w:val="single" w:sz="4" w:space="0" w:color="auto"/>
            </w:tcBorders>
            <w:shd w:val="clear" w:color="auto" w:fill="auto"/>
            <w:vAlign w:val="center"/>
            <w:hideMark/>
          </w:tcPr>
          <w:p w14:paraId="69C6B2A2" w14:textId="77777777" w:rsidR="009942AF" w:rsidRPr="009942AF" w:rsidRDefault="009942AF" w:rsidP="00E66BA2">
            <w:pPr>
              <w:spacing w:line="360" w:lineRule="auto"/>
              <w:jc w:val="center"/>
              <w:rPr>
                <w:rFonts w:ascii="Calibri" w:hAnsi="Calibri" w:cs="Calibri"/>
                <w:color w:val="000000"/>
                <w:sz w:val="22"/>
                <w:szCs w:val="22"/>
                <w:lang w:eastAsia="en-IN" w:bidi="hi-IN"/>
              </w:rPr>
            </w:pPr>
            <w:r w:rsidRPr="009942AF">
              <w:rPr>
                <w:rFonts w:ascii="Calibri" w:hAnsi="Calibri" w:cs="Calibri"/>
                <w:color w:val="000000"/>
                <w:sz w:val="22"/>
                <w:szCs w:val="22"/>
                <w:lang w:eastAsia="en-IN" w:bidi="hi-IN"/>
              </w:rPr>
              <w:t>1</w:t>
            </w:r>
          </w:p>
        </w:tc>
        <w:tc>
          <w:tcPr>
            <w:tcW w:w="4289" w:type="dxa"/>
            <w:tcBorders>
              <w:top w:val="nil"/>
              <w:left w:val="nil"/>
              <w:bottom w:val="single" w:sz="4" w:space="0" w:color="auto"/>
              <w:right w:val="single" w:sz="4" w:space="0" w:color="auto"/>
            </w:tcBorders>
            <w:shd w:val="clear" w:color="auto" w:fill="auto"/>
            <w:vAlign w:val="center"/>
            <w:hideMark/>
          </w:tcPr>
          <w:p w14:paraId="06BFCF31" w14:textId="77777777" w:rsidR="009942AF" w:rsidRPr="009942AF" w:rsidRDefault="009942AF" w:rsidP="009942AF">
            <w:pPr>
              <w:spacing w:line="360" w:lineRule="auto"/>
              <w:rPr>
                <w:rFonts w:ascii="Calibri" w:hAnsi="Calibri" w:cs="Calibri"/>
                <w:color w:val="000000"/>
                <w:sz w:val="22"/>
                <w:szCs w:val="22"/>
                <w:lang w:eastAsia="en-IN" w:bidi="hi-IN"/>
              </w:rPr>
            </w:pPr>
            <w:r w:rsidRPr="009942AF">
              <w:rPr>
                <w:rFonts w:ascii="Calibri" w:hAnsi="Calibri" w:cs="Calibri"/>
                <w:color w:val="000000"/>
                <w:sz w:val="22"/>
                <w:szCs w:val="22"/>
                <w:lang w:eastAsia="en-IN" w:bidi="hi-IN"/>
              </w:rPr>
              <w:t>Change of Category</w:t>
            </w:r>
          </w:p>
        </w:tc>
        <w:tc>
          <w:tcPr>
            <w:tcW w:w="2041" w:type="dxa"/>
            <w:tcBorders>
              <w:top w:val="nil"/>
              <w:left w:val="nil"/>
              <w:bottom w:val="single" w:sz="4" w:space="0" w:color="auto"/>
              <w:right w:val="single" w:sz="4" w:space="0" w:color="auto"/>
            </w:tcBorders>
            <w:shd w:val="clear" w:color="auto" w:fill="auto"/>
            <w:vAlign w:val="center"/>
            <w:hideMark/>
          </w:tcPr>
          <w:p w14:paraId="077C3238" w14:textId="77777777" w:rsidR="009942AF" w:rsidRPr="009942AF" w:rsidRDefault="009942AF" w:rsidP="009942AF">
            <w:pPr>
              <w:spacing w:line="360" w:lineRule="auto"/>
              <w:rPr>
                <w:rFonts w:ascii="Calibri" w:hAnsi="Calibri" w:cs="Calibri"/>
                <w:color w:val="000000"/>
                <w:sz w:val="22"/>
                <w:szCs w:val="22"/>
                <w:lang w:eastAsia="en-IN" w:bidi="hi-IN"/>
              </w:rPr>
            </w:pPr>
            <w:r w:rsidRPr="009942AF">
              <w:rPr>
                <w:rFonts w:ascii="Calibri" w:hAnsi="Calibri" w:cs="Calibri"/>
                <w:color w:val="000000"/>
                <w:sz w:val="22"/>
                <w:szCs w:val="22"/>
                <w:lang w:eastAsia="en-IN" w:bidi="hi-IN"/>
              </w:rPr>
              <w:t>Rs. 100/-</w:t>
            </w:r>
          </w:p>
        </w:tc>
        <w:tc>
          <w:tcPr>
            <w:tcW w:w="2253" w:type="dxa"/>
            <w:tcBorders>
              <w:top w:val="nil"/>
              <w:left w:val="nil"/>
              <w:bottom w:val="single" w:sz="4" w:space="0" w:color="auto"/>
              <w:right w:val="single" w:sz="4" w:space="0" w:color="auto"/>
            </w:tcBorders>
            <w:shd w:val="clear" w:color="auto" w:fill="auto"/>
            <w:vAlign w:val="center"/>
            <w:hideMark/>
          </w:tcPr>
          <w:p w14:paraId="429F3049" w14:textId="77777777" w:rsidR="009942AF" w:rsidRPr="009942AF" w:rsidRDefault="009942AF" w:rsidP="009942AF">
            <w:pPr>
              <w:spacing w:line="360" w:lineRule="auto"/>
              <w:rPr>
                <w:rFonts w:ascii="Calibri" w:hAnsi="Calibri" w:cs="Calibri"/>
                <w:color w:val="000000"/>
                <w:sz w:val="22"/>
                <w:szCs w:val="22"/>
                <w:lang w:eastAsia="en-IN" w:bidi="hi-IN"/>
              </w:rPr>
            </w:pPr>
            <w:r w:rsidRPr="009942AF">
              <w:rPr>
                <w:rFonts w:ascii="Calibri" w:hAnsi="Calibri" w:cs="Calibri"/>
                <w:color w:val="000000"/>
                <w:sz w:val="22"/>
                <w:szCs w:val="22"/>
                <w:lang w:eastAsia="en-IN" w:bidi="hi-IN"/>
              </w:rPr>
              <w:t>Rs. 1000/-</w:t>
            </w:r>
          </w:p>
        </w:tc>
      </w:tr>
      <w:tr w:rsidR="009942AF" w:rsidRPr="009942AF" w14:paraId="1F49C1D1" w14:textId="77777777" w:rsidTr="002A57DA">
        <w:trPr>
          <w:gridAfter w:val="2"/>
          <w:wAfter w:w="32" w:type="dxa"/>
          <w:trHeight w:val="196"/>
        </w:trPr>
        <w:tc>
          <w:tcPr>
            <w:tcW w:w="554" w:type="dxa"/>
            <w:tcBorders>
              <w:top w:val="nil"/>
              <w:left w:val="single" w:sz="4" w:space="0" w:color="auto"/>
              <w:bottom w:val="single" w:sz="4" w:space="0" w:color="auto"/>
              <w:right w:val="single" w:sz="4" w:space="0" w:color="auto"/>
            </w:tcBorders>
            <w:shd w:val="clear" w:color="auto" w:fill="auto"/>
            <w:vAlign w:val="center"/>
            <w:hideMark/>
          </w:tcPr>
          <w:p w14:paraId="21C87A58" w14:textId="77777777" w:rsidR="009942AF" w:rsidRPr="009942AF" w:rsidRDefault="009942AF" w:rsidP="00E66BA2">
            <w:pPr>
              <w:spacing w:line="360" w:lineRule="auto"/>
              <w:jc w:val="center"/>
              <w:rPr>
                <w:rFonts w:ascii="Calibri" w:hAnsi="Calibri" w:cs="Calibri"/>
                <w:color w:val="000000"/>
                <w:sz w:val="22"/>
                <w:szCs w:val="22"/>
                <w:lang w:eastAsia="en-IN" w:bidi="hi-IN"/>
              </w:rPr>
            </w:pPr>
            <w:r w:rsidRPr="009942AF">
              <w:rPr>
                <w:rFonts w:ascii="Calibri" w:hAnsi="Calibri" w:cs="Calibri"/>
                <w:color w:val="000000"/>
                <w:sz w:val="22"/>
                <w:szCs w:val="22"/>
                <w:lang w:eastAsia="en-IN" w:bidi="hi-IN"/>
              </w:rPr>
              <w:t>2</w:t>
            </w:r>
          </w:p>
        </w:tc>
        <w:tc>
          <w:tcPr>
            <w:tcW w:w="4289" w:type="dxa"/>
            <w:tcBorders>
              <w:top w:val="nil"/>
              <w:left w:val="nil"/>
              <w:bottom w:val="single" w:sz="4" w:space="0" w:color="auto"/>
              <w:right w:val="single" w:sz="4" w:space="0" w:color="auto"/>
            </w:tcBorders>
            <w:shd w:val="clear" w:color="auto" w:fill="auto"/>
            <w:vAlign w:val="center"/>
            <w:hideMark/>
          </w:tcPr>
          <w:p w14:paraId="230A4555" w14:textId="77777777" w:rsidR="009942AF" w:rsidRPr="009942AF" w:rsidRDefault="009942AF" w:rsidP="009942AF">
            <w:pPr>
              <w:spacing w:line="360" w:lineRule="auto"/>
              <w:rPr>
                <w:rFonts w:ascii="Calibri" w:hAnsi="Calibri" w:cs="Calibri"/>
                <w:color w:val="000000"/>
                <w:sz w:val="22"/>
                <w:szCs w:val="22"/>
                <w:lang w:eastAsia="en-IN" w:bidi="hi-IN"/>
              </w:rPr>
            </w:pPr>
            <w:r w:rsidRPr="009942AF">
              <w:rPr>
                <w:rFonts w:ascii="Calibri" w:hAnsi="Calibri" w:cs="Calibri"/>
                <w:color w:val="000000"/>
                <w:sz w:val="22"/>
                <w:szCs w:val="22"/>
                <w:lang w:eastAsia="en-IN" w:bidi="hi-IN"/>
              </w:rPr>
              <w:t xml:space="preserve"> Load Change</w:t>
            </w:r>
          </w:p>
        </w:tc>
        <w:tc>
          <w:tcPr>
            <w:tcW w:w="2041" w:type="dxa"/>
            <w:tcBorders>
              <w:top w:val="nil"/>
              <w:left w:val="nil"/>
              <w:bottom w:val="single" w:sz="4" w:space="0" w:color="auto"/>
              <w:right w:val="single" w:sz="4" w:space="0" w:color="auto"/>
            </w:tcBorders>
            <w:shd w:val="clear" w:color="auto" w:fill="auto"/>
            <w:vAlign w:val="center"/>
            <w:hideMark/>
          </w:tcPr>
          <w:p w14:paraId="5C128CAB" w14:textId="77777777" w:rsidR="009942AF" w:rsidRPr="009942AF" w:rsidRDefault="009942AF" w:rsidP="009942AF">
            <w:pPr>
              <w:spacing w:line="360" w:lineRule="auto"/>
              <w:rPr>
                <w:rFonts w:ascii="Calibri" w:hAnsi="Calibri" w:cs="Calibri"/>
                <w:color w:val="000000"/>
                <w:sz w:val="22"/>
                <w:szCs w:val="22"/>
                <w:lang w:eastAsia="en-IN" w:bidi="hi-IN"/>
              </w:rPr>
            </w:pPr>
            <w:r w:rsidRPr="009942AF">
              <w:rPr>
                <w:rFonts w:ascii="Calibri" w:hAnsi="Calibri" w:cs="Calibri"/>
                <w:color w:val="000000"/>
                <w:sz w:val="22"/>
                <w:szCs w:val="22"/>
                <w:lang w:eastAsia="en-IN" w:bidi="hi-IN"/>
              </w:rPr>
              <w:t>Rs. 100/-</w:t>
            </w:r>
          </w:p>
        </w:tc>
        <w:tc>
          <w:tcPr>
            <w:tcW w:w="2253" w:type="dxa"/>
            <w:tcBorders>
              <w:top w:val="nil"/>
              <w:left w:val="nil"/>
              <w:bottom w:val="single" w:sz="4" w:space="0" w:color="auto"/>
              <w:right w:val="single" w:sz="4" w:space="0" w:color="auto"/>
            </w:tcBorders>
            <w:shd w:val="clear" w:color="auto" w:fill="auto"/>
            <w:vAlign w:val="center"/>
            <w:hideMark/>
          </w:tcPr>
          <w:p w14:paraId="4EAB5E34" w14:textId="77777777" w:rsidR="009942AF" w:rsidRPr="009942AF" w:rsidRDefault="009942AF" w:rsidP="009942AF">
            <w:pPr>
              <w:spacing w:line="360" w:lineRule="auto"/>
              <w:rPr>
                <w:rFonts w:ascii="Calibri" w:hAnsi="Calibri" w:cs="Calibri"/>
                <w:color w:val="000000"/>
                <w:sz w:val="22"/>
                <w:szCs w:val="22"/>
                <w:lang w:eastAsia="en-IN" w:bidi="hi-IN"/>
              </w:rPr>
            </w:pPr>
            <w:r w:rsidRPr="009942AF">
              <w:rPr>
                <w:rFonts w:ascii="Calibri" w:hAnsi="Calibri" w:cs="Calibri"/>
                <w:color w:val="000000"/>
                <w:sz w:val="22"/>
                <w:szCs w:val="22"/>
                <w:lang w:eastAsia="en-IN" w:bidi="hi-IN"/>
              </w:rPr>
              <w:t>Rs. 1000/-</w:t>
            </w:r>
          </w:p>
        </w:tc>
      </w:tr>
      <w:tr w:rsidR="009942AF" w:rsidRPr="009942AF" w14:paraId="00ABB232" w14:textId="77777777" w:rsidTr="002A57DA">
        <w:trPr>
          <w:gridAfter w:val="2"/>
          <w:wAfter w:w="32" w:type="dxa"/>
          <w:trHeight w:val="295"/>
        </w:trPr>
        <w:tc>
          <w:tcPr>
            <w:tcW w:w="554" w:type="dxa"/>
            <w:tcBorders>
              <w:top w:val="nil"/>
              <w:left w:val="single" w:sz="4" w:space="0" w:color="auto"/>
              <w:bottom w:val="single" w:sz="4" w:space="0" w:color="auto"/>
              <w:right w:val="single" w:sz="4" w:space="0" w:color="auto"/>
            </w:tcBorders>
            <w:shd w:val="clear" w:color="auto" w:fill="auto"/>
            <w:vAlign w:val="center"/>
            <w:hideMark/>
          </w:tcPr>
          <w:p w14:paraId="6B9D28FE" w14:textId="77777777" w:rsidR="009942AF" w:rsidRPr="009942AF" w:rsidRDefault="009942AF" w:rsidP="00E66BA2">
            <w:pPr>
              <w:spacing w:line="360" w:lineRule="auto"/>
              <w:jc w:val="center"/>
              <w:rPr>
                <w:rFonts w:ascii="Calibri" w:hAnsi="Calibri" w:cs="Calibri"/>
                <w:color w:val="000000"/>
                <w:sz w:val="22"/>
                <w:szCs w:val="22"/>
                <w:lang w:eastAsia="en-IN" w:bidi="hi-IN"/>
              </w:rPr>
            </w:pPr>
            <w:r w:rsidRPr="009942AF">
              <w:rPr>
                <w:rFonts w:ascii="Calibri" w:hAnsi="Calibri" w:cs="Calibri"/>
                <w:color w:val="000000"/>
                <w:sz w:val="22"/>
                <w:szCs w:val="22"/>
                <w:lang w:eastAsia="en-IN" w:bidi="hi-IN"/>
              </w:rPr>
              <w:t>3</w:t>
            </w:r>
          </w:p>
        </w:tc>
        <w:tc>
          <w:tcPr>
            <w:tcW w:w="4289" w:type="dxa"/>
            <w:tcBorders>
              <w:top w:val="nil"/>
              <w:left w:val="nil"/>
              <w:bottom w:val="single" w:sz="4" w:space="0" w:color="auto"/>
              <w:right w:val="single" w:sz="4" w:space="0" w:color="auto"/>
            </w:tcBorders>
            <w:shd w:val="clear" w:color="auto" w:fill="auto"/>
            <w:vAlign w:val="center"/>
            <w:hideMark/>
          </w:tcPr>
          <w:p w14:paraId="073A8FB7" w14:textId="77777777" w:rsidR="009942AF" w:rsidRPr="009942AF" w:rsidRDefault="009942AF" w:rsidP="009942AF">
            <w:pPr>
              <w:spacing w:line="360" w:lineRule="auto"/>
              <w:rPr>
                <w:rFonts w:ascii="Calibri" w:hAnsi="Calibri" w:cs="Calibri"/>
                <w:color w:val="000000"/>
                <w:sz w:val="22"/>
                <w:szCs w:val="22"/>
                <w:lang w:eastAsia="en-IN" w:bidi="hi-IN"/>
              </w:rPr>
            </w:pPr>
            <w:r w:rsidRPr="009942AF">
              <w:rPr>
                <w:rFonts w:ascii="Calibri" w:hAnsi="Calibri" w:cs="Calibri"/>
                <w:color w:val="000000"/>
                <w:sz w:val="22"/>
                <w:szCs w:val="22"/>
                <w:lang w:eastAsia="en-IN" w:bidi="hi-IN"/>
              </w:rPr>
              <w:t>Change/correction of Name or address, Ownership change/modification excluding e-mail ID and Mobile No.</w:t>
            </w:r>
          </w:p>
        </w:tc>
        <w:tc>
          <w:tcPr>
            <w:tcW w:w="2041" w:type="dxa"/>
            <w:tcBorders>
              <w:top w:val="nil"/>
              <w:left w:val="nil"/>
              <w:bottom w:val="single" w:sz="4" w:space="0" w:color="auto"/>
              <w:right w:val="single" w:sz="4" w:space="0" w:color="auto"/>
            </w:tcBorders>
            <w:shd w:val="clear" w:color="auto" w:fill="auto"/>
            <w:vAlign w:val="center"/>
            <w:hideMark/>
          </w:tcPr>
          <w:p w14:paraId="6CA80145" w14:textId="77777777" w:rsidR="009942AF" w:rsidRPr="009942AF" w:rsidRDefault="009942AF" w:rsidP="009942AF">
            <w:pPr>
              <w:spacing w:line="360" w:lineRule="auto"/>
              <w:rPr>
                <w:rFonts w:ascii="Calibri" w:hAnsi="Calibri" w:cs="Calibri"/>
                <w:color w:val="000000"/>
                <w:sz w:val="22"/>
                <w:szCs w:val="22"/>
                <w:lang w:eastAsia="en-IN" w:bidi="hi-IN"/>
              </w:rPr>
            </w:pPr>
            <w:r w:rsidRPr="009942AF">
              <w:rPr>
                <w:rFonts w:ascii="Calibri" w:hAnsi="Calibri" w:cs="Calibri"/>
                <w:color w:val="000000"/>
                <w:sz w:val="22"/>
                <w:szCs w:val="22"/>
                <w:lang w:eastAsia="en-IN" w:bidi="hi-IN"/>
              </w:rPr>
              <w:t>Rs. 100/-</w:t>
            </w:r>
          </w:p>
        </w:tc>
        <w:tc>
          <w:tcPr>
            <w:tcW w:w="2253" w:type="dxa"/>
            <w:tcBorders>
              <w:top w:val="nil"/>
              <w:left w:val="nil"/>
              <w:bottom w:val="single" w:sz="4" w:space="0" w:color="auto"/>
              <w:right w:val="single" w:sz="4" w:space="0" w:color="auto"/>
            </w:tcBorders>
            <w:shd w:val="clear" w:color="auto" w:fill="auto"/>
            <w:vAlign w:val="center"/>
            <w:hideMark/>
          </w:tcPr>
          <w:p w14:paraId="0445B133" w14:textId="77777777" w:rsidR="009942AF" w:rsidRPr="009942AF" w:rsidRDefault="009942AF" w:rsidP="009942AF">
            <w:pPr>
              <w:spacing w:line="360" w:lineRule="auto"/>
              <w:rPr>
                <w:rFonts w:ascii="Calibri" w:hAnsi="Calibri" w:cs="Calibri"/>
                <w:color w:val="000000"/>
                <w:sz w:val="22"/>
                <w:szCs w:val="22"/>
                <w:lang w:eastAsia="en-IN" w:bidi="hi-IN"/>
              </w:rPr>
            </w:pPr>
            <w:r w:rsidRPr="009942AF">
              <w:rPr>
                <w:rFonts w:ascii="Calibri" w:hAnsi="Calibri" w:cs="Calibri"/>
                <w:color w:val="000000"/>
                <w:sz w:val="22"/>
                <w:szCs w:val="22"/>
                <w:lang w:eastAsia="en-IN" w:bidi="hi-IN"/>
              </w:rPr>
              <w:t>Rs. 1000/-</w:t>
            </w:r>
          </w:p>
        </w:tc>
      </w:tr>
    </w:tbl>
    <w:p w14:paraId="73E7502B" w14:textId="77777777" w:rsidR="002A57DA" w:rsidRDefault="002A57DA" w:rsidP="002334A3">
      <w:pPr>
        <w:autoSpaceDE w:val="0"/>
        <w:autoSpaceDN w:val="0"/>
        <w:adjustRightInd w:val="0"/>
        <w:spacing w:line="360" w:lineRule="auto"/>
        <w:jc w:val="both"/>
        <w:rPr>
          <w:rFonts w:asciiTheme="minorHAnsi" w:hAnsiTheme="minorHAnsi" w:cstheme="minorHAnsi"/>
          <w:b/>
          <w:sz w:val="22"/>
          <w:szCs w:val="22"/>
        </w:rPr>
      </w:pPr>
    </w:p>
    <w:p w14:paraId="4B0C4943" w14:textId="77777777" w:rsidR="002A57DA" w:rsidRDefault="002A57DA" w:rsidP="002334A3">
      <w:pPr>
        <w:autoSpaceDE w:val="0"/>
        <w:autoSpaceDN w:val="0"/>
        <w:adjustRightInd w:val="0"/>
        <w:spacing w:line="360" w:lineRule="auto"/>
        <w:jc w:val="both"/>
        <w:rPr>
          <w:rFonts w:asciiTheme="minorHAnsi" w:hAnsiTheme="minorHAnsi" w:cstheme="minorHAnsi"/>
          <w:b/>
          <w:sz w:val="22"/>
          <w:szCs w:val="22"/>
        </w:rPr>
      </w:pPr>
    </w:p>
    <w:p w14:paraId="7A45C8B0" w14:textId="0BFB843A" w:rsidR="002B5470" w:rsidRDefault="002A57DA" w:rsidP="002334A3">
      <w:pPr>
        <w:autoSpaceDE w:val="0"/>
        <w:autoSpaceDN w:val="0"/>
        <w:adjustRightInd w:val="0"/>
        <w:spacing w:line="360" w:lineRule="auto"/>
        <w:jc w:val="both"/>
        <w:rPr>
          <w:rFonts w:asciiTheme="minorHAnsi" w:hAnsiTheme="minorHAnsi" w:cstheme="minorHAnsi"/>
          <w:b/>
          <w:sz w:val="22"/>
          <w:szCs w:val="22"/>
        </w:rPr>
      </w:pPr>
      <w:r w:rsidRPr="00153204">
        <w:rPr>
          <w:rFonts w:asciiTheme="minorHAnsi" w:hAnsiTheme="minorHAnsi" w:cstheme="minorHAnsi"/>
          <w:b/>
          <w:noProof/>
          <w:sz w:val="22"/>
          <w:szCs w:val="22"/>
          <w:lang w:val="en-IN" w:eastAsia="en-IN"/>
        </w:rPr>
        <w:lastRenderedPageBreak/>
        <mc:AlternateContent>
          <mc:Choice Requires="wps">
            <w:drawing>
              <wp:anchor distT="0" distB="0" distL="114300" distR="114300" simplePos="0" relativeHeight="251637760" behindDoc="0" locked="0" layoutInCell="1" allowOverlap="1" wp14:anchorId="0345FAB0" wp14:editId="32D54751">
                <wp:simplePos x="0" y="0"/>
                <wp:positionH relativeFrom="margin">
                  <wp:align>right</wp:align>
                </wp:positionH>
                <wp:positionV relativeFrom="paragraph">
                  <wp:posOffset>237490</wp:posOffset>
                </wp:positionV>
                <wp:extent cx="5610225" cy="321945"/>
                <wp:effectExtent l="0" t="0" r="28575" b="20955"/>
                <wp:wrapNone/>
                <wp:docPr id="9" name="Rectangle 1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610225" cy="321945"/>
                        </a:xfrm>
                        <a:prstGeom prst="rect">
                          <a:avLst/>
                        </a:prstGeom>
                        <a:solidFill>
                          <a:schemeClr val="tx2">
                            <a:lumMod val="20000"/>
                            <a:lumOff val="80000"/>
                          </a:schemeClr>
                        </a:solidFill>
                        <a:ln w="9525">
                          <a:solidFill>
                            <a:srgbClr val="000000"/>
                          </a:solidFill>
                          <a:miter lim="800000"/>
                          <a:headEnd/>
                          <a:tailEnd/>
                        </a:ln>
                      </wps:spPr>
                      <wps:txbx>
                        <w:txbxContent>
                          <w:p w14:paraId="4076266F" w14:textId="1CB62F0A" w:rsidR="00535B24" w:rsidRPr="0085081C" w:rsidRDefault="00535B24" w:rsidP="0079561C">
                            <w:pPr>
                              <w:rPr>
                                <w:rFonts w:asciiTheme="minorHAnsi" w:hAnsiTheme="minorHAnsi" w:cstheme="minorHAnsi"/>
                                <w:b/>
                                <w:sz w:val="28"/>
                                <w:szCs w:val="28"/>
                                <w:lang w:val="en-IN"/>
                              </w:rPr>
                            </w:pPr>
                            <w:r w:rsidRPr="0085081C">
                              <w:rPr>
                                <w:rFonts w:asciiTheme="minorHAnsi" w:hAnsiTheme="minorHAnsi" w:cstheme="minorHAnsi"/>
                                <w:b/>
                                <w:sz w:val="28"/>
                                <w:szCs w:val="28"/>
                                <w:lang w:val="en-IN"/>
                              </w:rPr>
                              <w:t>1</w:t>
                            </w:r>
                            <w:r>
                              <w:rPr>
                                <w:rFonts w:asciiTheme="minorHAnsi" w:hAnsiTheme="minorHAnsi" w:cstheme="minorHAnsi"/>
                                <w:b/>
                                <w:sz w:val="28"/>
                                <w:szCs w:val="28"/>
                                <w:lang w:val="en-IN"/>
                              </w:rPr>
                              <w:t>0</w:t>
                            </w:r>
                            <w:r w:rsidRPr="0085081C">
                              <w:rPr>
                                <w:rFonts w:asciiTheme="minorHAnsi" w:hAnsiTheme="minorHAnsi" w:cstheme="minorHAnsi"/>
                                <w:b/>
                                <w:sz w:val="28"/>
                                <w:szCs w:val="28"/>
                                <w:lang w:val="en-IN"/>
                              </w:rPr>
                              <w:t>. Formats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345FAB0" id="_x0000_s1057" style="position:absolute;left:0;text-align:left;margin-left:390.55pt;margin-top:18.7pt;width:441.75pt;height:25.35pt;z-index:25163776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" fillcolor="#c6d9f1 [671]">
                <v:textbox>
                  <w:txbxContent>
                    <w:p w14:paraId="4076266F" w14:textId="1CB62F0A" w:rsidR="00535B24" w:rsidRPr="0085081C" w:rsidRDefault="00535B24" w:rsidP="0079561C">
                      <w:pPr>
                        <w:rPr>
                          <w:rFonts w:asciiTheme="minorHAnsi" w:hAnsiTheme="minorHAnsi" w:cstheme="minorHAnsi"/>
                          <w:b/>
                          <w:sz w:val="28"/>
                          <w:szCs w:val="28"/>
                          <w:lang w:val="en-IN"/>
                        </w:rPr>
                      </w:pPr>
                      <w:r w:rsidRPr="0085081C">
                        <w:rPr>
                          <w:rFonts w:asciiTheme="minorHAnsi" w:hAnsiTheme="minorHAnsi" w:cstheme="minorHAnsi"/>
                          <w:b/>
                          <w:sz w:val="28"/>
                          <w:szCs w:val="28"/>
                          <w:lang w:val="en-IN"/>
                        </w:rPr>
                        <w:t>1</w:t>
                      </w:r>
                      <w:r>
                        <w:rPr>
                          <w:rFonts w:asciiTheme="minorHAnsi" w:hAnsiTheme="minorHAnsi" w:cstheme="minorHAnsi"/>
                          <w:b/>
                          <w:sz w:val="28"/>
                          <w:szCs w:val="28"/>
                          <w:lang w:val="en-IN"/>
                        </w:rPr>
                        <w:t>0</w:t>
                      </w:r>
                      <w:r w:rsidRPr="0085081C">
                        <w:rPr>
                          <w:rFonts w:asciiTheme="minorHAnsi" w:hAnsiTheme="minorHAnsi" w:cstheme="minorHAnsi"/>
                          <w:b/>
                          <w:sz w:val="28"/>
                          <w:szCs w:val="28"/>
                          <w:lang w:val="en-IN"/>
                        </w:rPr>
                        <w:t>. Formats</w:t>
                      </w:r>
                    </w:p>
                  </w:txbxContent>
                </v:textbox>
                <w10:wrap anchorx="margin"/>
              </v:rect>
            </w:pict>
          </mc:Fallback>
        </mc:AlternateContent>
      </w:r>
    </w:p>
    <w:p w14:paraId="4CA67683" w14:textId="77777777" w:rsidR="002B5470" w:rsidRDefault="002B5470" w:rsidP="002334A3">
      <w:pPr>
        <w:autoSpaceDE w:val="0"/>
        <w:autoSpaceDN w:val="0"/>
        <w:adjustRightInd w:val="0"/>
        <w:spacing w:line="360" w:lineRule="auto"/>
        <w:jc w:val="both"/>
        <w:rPr>
          <w:rFonts w:asciiTheme="minorHAnsi" w:hAnsiTheme="minorHAnsi" w:cstheme="minorHAnsi"/>
          <w:b/>
          <w:sz w:val="22"/>
          <w:szCs w:val="22"/>
        </w:rPr>
      </w:pPr>
    </w:p>
    <w:p w14:paraId="6A0F74F3" w14:textId="3A9A3C4E" w:rsidR="0079561C" w:rsidRPr="00153204" w:rsidRDefault="0079561C" w:rsidP="002334A3">
      <w:pPr>
        <w:spacing w:line="360" w:lineRule="auto"/>
        <w:ind w:left="567"/>
        <w:jc w:val="both"/>
        <w:rPr>
          <w:rFonts w:asciiTheme="minorHAnsi" w:hAnsiTheme="minorHAnsi" w:cstheme="minorHAnsi"/>
          <w:b/>
          <w:sz w:val="22"/>
          <w:szCs w:val="22"/>
        </w:rPr>
      </w:pPr>
      <w:bookmarkStart w:id="63" w:name="_Toc278737550"/>
      <w:bookmarkStart w:id="64" w:name="_Toc278737554"/>
      <w:bookmarkStart w:id="65" w:name="_Toc278737556"/>
      <w:bookmarkStart w:id="66" w:name="_Toc278737557"/>
      <w:bookmarkStart w:id="67" w:name="_Toc278737558"/>
      <w:bookmarkStart w:id="68" w:name="_Toc278737559"/>
      <w:bookmarkStart w:id="69" w:name="_Toc278737560"/>
      <w:bookmarkStart w:id="70" w:name="_Toc278737567"/>
      <w:bookmarkStart w:id="71" w:name="_Toc57557264"/>
      <w:bookmarkEnd w:id="11"/>
      <w:bookmarkEnd w:id="63"/>
      <w:bookmarkEnd w:id="64"/>
      <w:bookmarkEnd w:id="65"/>
      <w:bookmarkEnd w:id="66"/>
      <w:bookmarkEnd w:id="67"/>
      <w:bookmarkEnd w:id="68"/>
      <w:bookmarkEnd w:id="69"/>
      <w:bookmarkEnd w:id="70"/>
    </w:p>
    <w:bookmarkEnd w:id="71"/>
    <w:p w14:paraId="6E067886" w14:textId="77777777" w:rsidR="0079561C" w:rsidRPr="00153204" w:rsidRDefault="0079561C" w:rsidP="002334A3">
      <w:pPr>
        <w:spacing w:line="360" w:lineRule="auto"/>
        <w:ind w:left="567"/>
        <w:jc w:val="both"/>
        <w:rPr>
          <w:rFonts w:asciiTheme="minorHAnsi" w:hAnsiTheme="minorHAnsi" w:cstheme="minorHAnsi"/>
          <w:b/>
          <w:sz w:val="22"/>
          <w:szCs w:val="22"/>
        </w:rPr>
      </w:pPr>
    </w:p>
    <w:p w14:paraId="094A9C40" w14:textId="06650F4A" w:rsidR="0079561C" w:rsidRPr="00153204" w:rsidRDefault="0079561C" w:rsidP="002334A3">
      <w:pPr>
        <w:spacing w:line="360" w:lineRule="auto"/>
        <w:ind w:left="567"/>
        <w:rPr>
          <w:rFonts w:asciiTheme="minorHAnsi" w:hAnsiTheme="minorHAnsi" w:cstheme="minorHAnsi"/>
          <w:sz w:val="22"/>
          <w:szCs w:val="22"/>
        </w:rPr>
      </w:pPr>
      <w:r w:rsidRPr="00153204">
        <w:rPr>
          <w:rFonts w:asciiTheme="minorHAnsi" w:hAnsiTheme="minorHAnsi" w:cstheme="minorHAnsi"/>
          <w:sz w:val="22"/>
          <w:szCs w:val="22"/>
          <w:lang w:val="en-GB"/>
        </w:rPr>
        <w:t xml:space="preserve">The following filled in formats </w:t>
      </w:r>
      <w:r w:rsidR="001A300F" w:rsidRPr="00153204">
        <w:rPr>
          <w:rFonts w:asciiTheme="minorHAnsi" w:hAnsiTheme="minorHAnsi" w:cstheme="minorHAnsi"/>
          <w:sz w:val="22"/>
          <w:szCs w:val="22"/>
          <w:lang w:val="en-GB"/>
        </w:rPr>
        <w:t xml:space="preserve">as a </w:t>
      </w:r>
      <w:r w:rsidRPr="00153204">
        <w:rPr>
          <w:rFonts w:asciiTheme="minorHAnsi" w:hAnsiTheme="minorHAnsi" w:cstheme="minorHAnsi"/>
          <w:sz w:val="22"/>
          <w:szCs w:val="22"/>
          <w:lang w:val="en-GB"/>
        </w:rPr>
        <w:t>part of the ARR and Tariff Application for FY 202</w:t>
      </w:r>
      <w:r w:rsidR="00192717">
        <w:rPr>
          <w:rFonts w:asciiTheme="minorHAnsi" w:hAnsiTheme="minorHAnsi" w:cstheme="minorHAnsi"/>
          <w:sz w:val="22"/>
          <w:szCs w:val="22"/>
          <w:lang w:val="en-GB"/>
        </w:rPr>
        <w:t>5</w:t>
      </w:r>
      <w:r w:rsidRPr="00153204">
        <w:rPr>
          <w:rFonts w:asciiTheme="minorHAnsi" w:hAnsiTheme="minorHAnsi" w:cstheme="minorHAnsi"/>
          <w:sz w:val="22"/>
          <w:szCs w:val="22"/>
          <w:lang w:val="en-GB"/>
        </w:rPr>
        <w:t>-</w:t>
      </w:r>
      <w:r w:rsidR="001A300F" w:rsidRPr="00153204">
        <w:rPr>
          <w:rFonts w:asciiTheme="minorHAnsi" w:hAnsiTheme="minorHAnsi" w:cstheme="minorHAnsi"/>
          <w:sz w:val="22"/>
          <w:szCs w:val="22"/>
          <w:lang w:val="en-GB"/>
        </w:rPr>
        <w:t>2</w:t>
      </w:r>
      <w:r w:rsidR="00192717">
        <w:rPr>
          <w:rFonts w:asciiTheme="minorHAnsi" w:hAnsiTheme="minorHAnsi" w:cstheme="minorHAnsi"/>
          <w:sz w:val="22"/>
          <w:szCs w:val="22"/>
          <w:lang w:val="en-GB"/>
        </w:rPr>
        <w:t>6</w:t>
      </w:r>
      <w:r w:rsidR="001A300F" w:rsidRPr="00153204">
        <w:rPr>
          <w:rFonts w:asciiTheme="minorHAnsi" w:hAnsiTheme="minorHAnsi" w:cstheme="minorHAnsi"/>
          <w:sz w:val="22"/>
          <w:szCs w:val="22"/>
          <w:lang w:val="en-GB"/>
        </w:rPr>
        <w:t xml:space="preserve"> are submitted </w:t>
      </w:r>
      <w:r w:rsidR="007C58B8" w:rsidRPr="00153204">
        <w:rPr>
          <w:rFonts w:asciiTheme="minorHAnsi" w:hAnsiTheme="minorHAnsi" w:cstheme="minorHAnsi"/>
          <w:sz w:val="22"/>
          <w:szCs w:val="22"/>
          <w:lang w:val="en-GB"/>
        </w:rPr>
        <w:t>attached as</w:t>
      </w:r>
      <w:r w:rsidRPr="00153204">
        <w:rPr>
          <w:rFonts w:asciiTheme="minorHAnsi" w:hAnsiTheme="minorHAnsi" w:cstheme="minorHAnsi"/>
          <w:sz w:val="22"/>
          <w:szCs w:val="22"/>
          <w:lang w:val="en-GB"/>
        </w:rPr>
        <w:t xml:space="preserve"> annexures.</w:t>
      </w:r>
    </w:p>
    <w:p w14:paraId="3B134361" w14:textId="77777777" w:rsidR="007C58B8" w:rsidRDefault="007C58B8" w:rsidP="007C58B8">
      <w:pPr>
        <w:pStyle w:val="Heading1"/>
        <w:spacing w:line="360" w:lineRule="auto"/>
        <w:ind w:left="942"/>
        <w:jc w:val="both"/>
        <w:rPr>
          <w:rFonts w:asciiTheme="minorHAnsi" w:hAnsiTheme="minorHAnsi" w:cstheme="minorHAnsi"/>
          <w:sz w:val="22"/>
          <w:szCs w:val="22"/>
        </w:rPr>
      </w:pPr>
      <w:bookmarkStart w:id="72" w:name="_Toc57557265"/>
      <w:r>
        <w:rPr>
          <w:rFonts w:asciiTheme="minorHAnsi" w:hAnsiTheme="minorHAnsi" w:cstheme="minorHAnsi"/>
          <w:sz w:val="22"/>
          <w:szCs w:val="22"/>
        </w:rPr>
        <w:t xml:space="preserve">10.1 </w:t>
      </w:r>
      <w:r w:rsidR="0079561C" w:rsidRPr="00153204">
        <w:rPr>
          <w:rFonts w:asciiTheme="minorHAnsi" w:hAnsiTheme="minorHAnsi" w:cstheme="minorHAnsi"/>
          <w:sz w:val="22"/>
          <w:szCs w:val="22"/>
        </w:rPr>
        <w:t>Commercial/</w:t>
      </w:r>
      <w:r w:rsidR="00B922CC" w:rsidRPr="00153204">
        <w:rPr>
          <w:rFonts w:asciiTheme="minorHAnsi" w:hAnsiTheme="minorHAnsi" w:cstheme="minorHAnsi"/>
          <w:sz w:val="22"/>
          <w:szCs w:val="22"/>
        </w:rPr>
        <w:t>Technical Formats</w:t>
      </w:r>
      <w:r w:rsidR="0079561C" w:rsidRPr="00153204">
        <w:rPr>
          <w:rFonts w:asciiTheme="minorHAnsi" w:hAnsiTheme="minorHAnsi" w:cstheme="minorHAnsi"/>
          <w:sz w:val="22"/>
          <w:szCs w:val="22"/>
        </w:rPr>
        <w:t xml:space="preserve"> T</w:t>
      </w:r>
      <w:r w:rsidR="00A95ABE" w:rsidRPr="00153204">
        <w:rPr>
          <w:rFonts w:asciiTheme="minorHAnsi" w:hAnsiTheme="minorHAnsi" w:cstheme="minorHAnsi"/>
          <w:sz w:val="22"/>
          <w:szCs w:val="22"/>
        </w:rPr>
        <w:t xml:space="preserve">-1 to </w:t>
      </w:r>
      <w:r w:rsidR="0079561C" w:rsidRPr="00153204">
        <w:rPr>
          <w:rFonts w:asciiTheme="minorHAnsi" w:hAnsiTheme="minorHAnsi" w:cstheme="minorHAnsi"/>
          <w:sz w:val="22"/>
          <w:szCs w:val="22"/>
        </w:rPr>
        <w:t>T</w:t>
      </w:r>
      <w:r w:rsidR="00A95ABE" w:rsidRPr="00153204">
        <w:rPr>
          <w:rFonts w:asciiTheme="minorHAnsi" w:hAnsiTheme="minorHAnsi" w:cstheme="minorHAnsi"/>
          <w:sz w:val="22"/>
          <w:szCs w:val="22"/>
        </w:rPr>
        <w:t>-</w:t>
      </w:r>
      <w:r w:rsidR="0079561C" w:rsidRPr="00153204">
        <w:rPr>
          <w:rFonts w:asciiTheme="minorHAnsi" w:hAnsiTheme="minorHAnsi" w:cstheme="minorHAnsi"/>
          <w:sz w:val="22"/>
          <w:szCs w:val="22"/>
        </w:rPr>
        <w:t>9</w:t>
      </w:r>
      <w:bookmarkStart w:id="73" w:name="_Toc57557266"/>
      <w:bookmarkEnd w:id="72"/>
    </w:p>
    <w:p w14:paraId="2CF42487" w14:textId="77777777" w:rsidR="007C58B8" w:rsidRDefault="007C58B8" w:rsidP="007C58B8">
      <w:pPr>
        <w:pStyle w:val="Heading1"/>
        <w:spacing w:line="360" w:lineRule="auto"/>
        <w:ind w:left="942"/>
        <w:jc w:val="both"/>
        <w:rPr>
          <w:rFonts w:asciiTheme="minorHAnsi" w:hAnsiTheme="minorHAnsi" w:cstheme="minorHAnsi"/>
          <w:sz w:val="22"/>
          <w:szCs w:val="22"/>
        </w:rPr>
      </w:pPr>
      <w:r>
        <w:rPr>
          <w:rFonts w:asciiTheme="minorHAnsi" w:hAnsiTheme="minorHAnsi" w:cstheme="minorHAnsi"/>
          <w:sz w:val="22"/>
          <w:szCs w:val="22"/>
        </w:rPr>
        <w:t xml:space="preserve">10.2 </w:t>
      </w:r>
      <w:r w:rsidR="0079561C" w:rsidRPr="00153204">
        <w:rPr>
          <w:rFonts w:asciiTheme="minorHAnsi" w:hAnsiTheme="minorHAnsi" w:cstheme="minorHAnsi"/>
          <w:sz w:val="22"/>
          <w:szCs w:val="22"/>
        </w:rPr>
        <w:t>Financial Formats F</w:t>
      </w:r>
      <w:r w:rsidR="00A95ABE" w:rsidRPr="00153204">
        <w:rPr>
          <w:rFonts w:asciiTheme="minorHAnsi" w:hAnsiTheme="minorHAnsi" w:cstheme="minorHAnsi"/>
          <w:sz w:val="22"/>
          <w:szCs w:val="22"/>
        </w:rPr>
        <w:t xml:space="preserve">-1 to </w:t>
      </w:r>
      <w:r w:rsidR="0079561C" w:rsidRPr="00153204">
        <w:rPr>
          <w:rFonts w:asciiTheme="minorHAnsi" w:hAnsiTheme="minorHAnsi" w:cstheme="minorHAnsi"/>
          <w:sz w:val="22"/>
          <w:szCs w:val="22"/>
        </w:rPr>
        <w:t>F</w:t>
      </w:r>
      <w:r w:rsidR="00A95ABE" w:rsidRPr="00153204">
        <w:rPr>
          <w:rFonts w:asciiTheme="minorHAnsi" w:hAnsiTheme="minorHAnsi" w:cstheme="minorHAnsi"/>
          <w:sz w:val="22"/>
          <w:szCs w:val="22"/>
        </w:rPr>
        <w:t>-</w:t>
      </w:r>
      <w:r w:rsidR="0079561C" w:rsidRPr="00153204">
        <w:rPr>
          <w:rFonts w:asciiTheme="minorHAnsi" w:hAnsiTheme="minorHAnsi" w:cstheme="minorHAnsi"/>
          <w:sz w:val="22"/>
          <w:szCs w:val="22"/>
        </w:rPr>
        <w:t>2</w:t>
      </w:r>
      <w:bookmarkEnd w:id="73"/>
      <w:r w:rsidR="001F225E" w:rsidRPr="00153204">
        <w:rPr>
          <w:rFonts w:asciiTheme="minorHAnsi" w:hAnsiTheme="minorHAnsi" w:cstheme="minorHAnsi"/>
          <w:sz w:val="22"/>
          <w:szCs w:val="22"/>
        </w:rPr>
        <w:t>9</w:t>
      </w:r>
      <w:r w:rsidR="0079561C" w:rsidRPr="00153204">
        <w:rPr>
          <w:rFonts w:asciiTheme="minorHAnsi" w:hAnsiTheme="minorHAnsi" w:cstheme="minorHAnsi"/>
          <w:sz w:val="22"/>
          <w:szCs w:val="22"/>
        </w:rPr>
        <w:t xml:space="preserve"> </w:t>
      </w:r>
      <w:bookmarkStart w:id="74" w:name="_Toc57557267"/>
      <w:r w:rsidR="00A95ABE" w:rsidRPr="00153204">
        <w:rPr>
          <w:rFonts w:asciiTheme="minorHAnsi" w:hAnsiTheme="minorHAnsi" w:cstheme="minorHAnsi"/>
          <w:sz w:val="22"/>
          <w:szCs w:val="22"/>
        </w:rPr>
        <w:t>(Modified F F</w:t>
      </w:r>
      <w:r w:rsidR="00DB78EE" w:rsidRPr="00153204">
        <w:rPr>
          <w:rFonts w:asciiTheme="minorHAnsi" w:hAnsiTheme="minorHAnsi" w:cstheme="minorHAnsi"/>
          <w:sz w:val="22"/>
          <w:szCs w:val="22"/>
        </w:rPr>
        <w:t>ormats)</w:t>
      </w:r>
    </w:p>
    <w:p w14:paraId="674E038E" w14:textId="531B35A1" w:rsidR="00FD0371" w:rsidRPr="00CD105A" w:rsidRDefault="006F47AC" w:rsidP="007C58B8">
      <w:pPr>
        <w:pStyle w:val="Heading1"/>
        <w:spacing w:line="360" w:lineRule="auto"/>
        <w:ind w:left="942"/>
        <w:jc w:val="both"/>
        <w:rPr>
          <w:rFonts w:asciiTheme="minorHAnsi" w:hAnsiTheme="minorHAnsi" w:cstheme="minorHAnsi"/>
          <w:sz w:val="22"/>
          <w:szCs w:val="22"/>
        </w:rPr>
      </w:pPr>
      <w:r>
        <w:rPr>
          <w:rFonts w:asciiTheme="minorHAnsi" w:hAnsiTheme="minorHAnsi" w:cstheme="minorHAnsi"/>
          <w:sz w:val="22"/>
          <w:szCs w:val="22"/>
        </w:rPr>
        <w:t xml:space="preserve">10.3 </w:t>
      </w:r>
      <w:r w:rsidR="0079561C" w:rsidRPr="00153204">
        <w:rPr>
          <w:rFonts w:asciiTheme="minorHAnsi" w:hAnsiTheme="minorHAnsi" w:cstheme="minorHAnsi"/>
          <w:sz w:val="22"/>
          <w:szCs w:val="22"/>
        </w:rPr>
        <w:t>Details Performance Formats (P</w:t>
      </w:r>
      <w:r w:rsidR="00A95ABE" w:rsidRPr="00153204">
        <w:rPr>
          <w:rFonts w:asciiTheme="minorHAnsi" w:hAnsiTheme="minorHAnsi" w:cstheme="minorHAnsi"/>
          <w:sz w:val="22"/>
          <w:szCs w:val="22"/>
        </w:rPr>
        <w:t xml:space="preserve">-1 to </w:t>
      </w:r>
      <w:r w:rsidR="0079561C" w:rsidRPr="00153204">
        <w:rPr>
          <w:rFonts w:asciiTheme="minorHAnsi" w:hAnsiTheme="minorHAnsi" w:cstheme="minorHAnsi"/>
          <w:sz w:val="22"/>
          <w:szCs w:val="22"/>
        </w:rPr>
        <w:t>P</w:t>
      </w:r>
      <w:r w:rsidR="00A95ABE" w:rsidRPr="00153204">
        <w:rPr>
          <w:rFonts w:asciiTheme="minorHAnsi" w:hAnsiTheme="minorHAnsi" w:cstheme="minorHAnsi"/>
          <w:sz w:val="22"/>
          <w:szCs w:val="22"/>
        </w:rPr>
        <w:t>-</w:t>
      </w:r>
      <w:r w:rsidR="0079561C" w:rsidRPr="00153204">
        <w:rPr>
          <w:rFonts w:asciiTheme="minorHAnsi" w:hAnsiTheme="minorHAnsi" w:cstheme="minorHAnsi"/>
          <w:sz w:val="22"/>
          <w:szCs w:val="22"/>
        </w:rPr>
        <w:t>17) in Vol</w:t>
      </w:r>
      <w:r w:rsidR="0020702A" w:rsidRPr="00153204">
        <w:rPr>
          <w:rFonts w:asciiTheme="minorHAnsi" w:hAnsiTheme="minorHAnsi" w:cstheme="minorHAnsi"/>
          <w:sz w:val="22"/>
          <w:szCs w:val="22"/>
        </w:rPr>
        <w:t>ume</w:t>
      </w:r>
      <w:r w:rsidR="0079561C" w:rsidRPr="00153204">
        <w:rPr>
          <w:rFonts w:asciiTheme="minorHAnsi" w:hAnsiTheme="minorHAnsi" w:cstheme="minorHAnsi"/>
          <w:sz w:val="22"/>
          <w:szCs w:val="22"/>
        </w:rPr>
        <w:t>- II</w:t>
      </w:r>
      <w:bookmarkStart w:id="75" w:name="_Toc404530845"/>
      <w:bookmarkStart w:id="76" w:name="_Toc57557268"/>
      <w:bookmarkEnd w:id="74"/>
      <w:r w:rsidR="008E5359" w:rsidRPr="00153204">
        <w:rPr>
          <w:rFonts w:asciiTheme="minorHAnsi" w:hAnsiTheme="minorHAnsi" w:cstheme="minorHAnsi"/>
          <w:sz w:val="22"/>
          <w:szCs w:val="22"/>
        </w:rPr>
        <w:t xml:space="preserve"> </w:t>
      </w:r>
    </w:p>
    <w:p w14:paraId="7C477815" w14:textId="77777777" w:rsidR="00FD0371" w:rsidRPr="00FD0371" w:rsidRDefault="00FD0371" w:rsidP="00FD0371"/>
    <w:p w14:paraId="1B1A126F" w14:textId="1716A8EC" w:rsidR="005F2AA7" w:rsidRPr="00153204" w:rsidRDefault="001C0D4B" w:rsidP="005F2AA7">
      <w:pPr>
        <w:rPr>
          <w:rFonts w:asciiTheme="minorHAnsi" w:hAnsiTheme="minorHAnsi" w:cstheme="minorHAnsi"/>
          <w:sz w:val="22"/>
          <w:szCs w:val="22"/>
        </w:rPr>
      </w:pPr>
      <w:r w:rsidRPr="00153204">
        <w:rPr>
          <w:rFonts w:asciiTheme="minorHAnsi" w:hAnsiTheme="minorHAnsi" w:cstheme="minorHAnsi"/>
          <w:noProof/>
          <w:sz w:val="22"/>
          <w:szCs w:val="22"/>
          <w:lang w:val="en-IN" w:eastAsia="en-IN"/>
        </w:rPr>
        <mc:AlternateContent>
          <mc:Choice Requires="wps">
            <w:drawing>
              <wp:anchor distT="0" distB="0" distL="114300" distR="114300" simplePos="0" relativeHeight="251661312" behindDoc="0" locked="0" layoutInCell="1" allowOverlap="1" wp14:anchorId="05EBED76" wp14:editId="270075B1">
                <wp:simplePos x="0" y="0"/>
                <wp:positionH relativeFrom="margin">
                  <wp:align>right</wp:align>
                </wp:positionH>
                <wp:positionV relativeFrom="paragraph">
                  <wp:posOffset>74930</wp:posOffset>
                </wp:positionV>
                <wp:extent cx="5476875" cy="344170"/>
                <wp:effectExtent l="0" t="0" r="28575" b="17780"/>
                <wp:wrapNone/>
                <wp:docPr id="8" name="Rectangle 1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476875" cy="344170"/>
                        </a:xfrm>
                        <a:prstGeom prst="rect">
                          <a:avLst/>
                        </a:prstGeom>
                        <a:solidFill>
                          <a:schemeClr val="tx2">
                            <a:lumMod val="20000"/>
                            <a:lumOff val="80000"/>
                          </a:schemeClr>
                        </a:solidFill>
                        <a:ln w="9525">
                          <a:solidFill>
                            <a:srgbClr val="000000"/>
                          </a:solidFill>
                          <a:miter lim="800000"/>
                          <a:headEnd/>
                          <a:tailEnd/>
                        </a:ln>
                      </wps:spPr>
                      <wps:txbx>
                        <w:txbxContent>
                          <w:p w14:paraId="0FAD3556" w14:textId="27AED02A" w:rsidR="00535B24" w:rsidRPr="0085081C" w:rsidRDefault="00535B24" w:rsidP="0079561C">
                            <w:pPr>
                              <w:rPr>
                                <w:rFonts w:asciiTheme="minorHAnsi" w:hAnsiTheme="minorHAnsi" w:cstheme="minorHAnsi"/>
                                <w:b/>
                                <w:sz w:val="28"/>
                                <w:szCs w:val="28"/>
                                <w:lang w:val="en-IN"/>
                              </w:rPr>
                            </w:pPr>
                            <w:r w:rsidRPr="0085081C">
                              <w:rPr>
                                <w:rFonts w:asciiTheme="minorHAnsi" w:hAnsiTheme="minorHAnsi" w:cstheme="minorHAnsi"/>
                                <w:b/>
                                <w:sz w:val="28"/>
                                <w:szCs w:val="28"/>
                                <w:lang w:val="en-IN"/>
                              </w:rPr>
                              <w:t>1</w:t>
                            </w:r>
                            <w:r>
                              <w:rPr>
                                <w:rFonts w:asciiTheme="minorHAnsi" w:hAnsiTheme="minorHAnsi" w:cstheme="minorHAnsi"/>
                                <w:b/>
                                <w:sz w:val="28"/>
                                <w:szCs w:val="28"/>
                                <w:lang w:val="en-IN"/>
                              </w:rPr>
                              <w:t>1</w:t>
                            </w:r>
                            <w:r w:rsidRPr="0085081C">
                              <w:rPr>
                                <w:rFonts w:asciiTheme="minorHAnsi" w:hAnsiTheme="minorHAnsi" w:cstheme="minorHAnsi"/>
                                <w:b/>
                                <w:sz w:val="28"/>
                                <w:szCs w:val="28"/>
                                <w:lang w:val="en-IN"/>
                              </w:rPr>
                              <w:t>. Prayer</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5EBED76" id="Rectangle 12" o:spid="_x0000_s1058" style="position:absolute;margin-left:380.05pt;margin-top:5.9pt;width:431.25pt;height:27.1pt;z-index:251661312;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" fillcolor="#c6d9f1 [671]">
                <v:textbox>
                  <w:txbxContent>
                    <w:p w14:paraId="0FAD3556" w14:textId="27AED02A" w:rsidR="00535B24" w:rsidRPr="0085081C" w:rsidRDefault="00535B24" w:rsidP="0079561C">
                      <w:pPr>
                        <w:rPr>
                          <w:rFonts w:asciiTheme="minorHAnsi" w:hAnsiTheme="minorHAnsi" w:cstheme="minorHAnsi"/>
                          <w:b/>
                          <w:sz w:val="28"/>
                          <w:szCs w:val="28"/>
                          <w:lang w:val="en-IN"/>
                        </w:rPr>
                      </w:pPr>
                      <w:r w:rsidRPr="0085081C">
                        <w:rPr>
                          <w:rFonts w:asciiTheme="minorHAnsi" w:hAnsiTheme="minorHAnsi" w:cstheme="minorHAnsi"/>
                          <w:b/>
                          <w:sz w:val="28"/>
                          <w:szCs w:val="28"/>
                          <w:lang w:val="en-IN"/>
                        </w:rPr>
                        <w:t>1</w:t>
                      </w:r>
                      <w:r>
                        <w:rPr>
                          <w:rFonts w:asciiTheme="minorHAnsi" w:hAnsiTheme="minorHAnsi" w:cstheme="minorHAnsi"/>
                          <w:b/>
                          <w:sz w:val="28"/>
                          <w:szCs w:val="28"/>
                          <w:lang w:val="en-IN"/>
                        </w:rPr>
                        <w:t>1</w:t>
                      </w:r>
                      <w:r w:rsidRPr="0085081C">
                        <w:rPr>
                          <w:rFonts w:asciiTheme="minorHAnsi" w:hAnsiTheme="minorHAnsi" w:cstheme="minorHAnsi"/>
                          <w:b/>
                          <w:sz w:val="28"/>
                          <w:szCs w:val="28"/>
                          <w:lang w:val="en-IN"/>
                        </w:rPr>
                        <w:t>. Prayer</w:t>
                      </w:r>
                    </w:p>
                  </w:txbxContent>
                </v:textbox>
                <w10:wrap anchorx="margin"/>
              </v:rect>
            </w:pict>
          </mc:Fallback>
        </mc:AlternateContent>
      </w:r>
    </w:p>
    <w:p w14:paraId="32ACD7CF" w14:textId="4A00ADC1" w:rsidR="005F2AA7" w:rsidRPr="00153204" w:rsidRDefault="005F2AA7" w:rsidP="005F2AA7">
      <w:pPr>
        <w:rPr>
          <w:rFonts w:asciiTheme="minorHAnsi" w:hAnsiTheme="minorHAnsi" w:cstheme="minorHAnsi"/>
          <w:sz w:val="22"/>
          <w:szCs w:val="22"/>
        </w:rPr>
      </w:pPr>
    </w:p>
    <w:p w14:paraId="3033F7CA" w14:textId="1EAB93ED" w:rsidR="005F2AA7" w:rsidRPr="00153204" w:rsidRDefault="005F2AA7" w:rsidP="005F2AA7">
      <w:pPr>
        <w:rPr>
          <w:rFonts w:asciiTheme="minorHAnsi" w:hAnsiTheme="minorHAnsi" w:cstheme="minorHAnsi"/>
          <w:sz w:val="22"/>
          <w:szCs w:val="22"/>
        </w:rPr>
      </w:pPr>
    </w:p>
    <w:p w14:paraId="7367881C" w14:textId="17745EE9" w:rsidR="00DB78EE" w:rsidRPr="00153204" w:rsidRDefault="00DB78EE" w:rsidP="00DB78EE">
      <w:pPr>
        <w:rPr>
          <w:rFonts w:asciiTheme="minorHAnsi" w:hAnsiTheme="minorHAnsi" w:cstheme="minorHAnsi"/>
          <w:sz w:val="22"/>
          <w:szCs w:val="22"/>
        </w:rPr>
      </w:pPr>
    </w:p>
    <w:bookmarkEnd w:id="75"/>
    <w:bookmarkEnd w:id="76"/>
    <w:p w14:paraId="6AF2945C" w14:textId="1FBD750F" w:rsidR="0079561C" w:rsidRPr="00153204" w:rsidRDefault="00D41FE2" w:rsidP="001C0D4B">
      <w:pPr>
        <w:spacing w:line="360" w:lineRule="auto"/>
        <w:ind w:left="567"/>
        <w:jc w:val="both"/>
        <w:rPr>
          <w:rFonts w:asciiTheme="minorHAnsi" w:hAnsiTheme="minorHAnsi" w:cstheme="minorHAnsi"/>
          <w:color w:val="000000"/>
          <w:sz w:val="22"/>
          <w:szCs w:val="22"/>
          <w:lang w:val="en-GB"/>
        </w:rPr>
      </w:pPr>
      <w:r w:rsidRPr="00153204">
        <w:rPr>
          <w:rFonts w:asciiTheme="minorHAnsi" w:hAnsiTheme="minorHAnsi" w:cstheme="minorHAnsi"/>
          <w:color w:val="000000"/>
          <w:sz w:val="22"/>
          <w:szCs w:val="22"/>
          <w:lang w:val="en-GB"/>
        </w:rPr>
        <w:t>I</w:t>
      </w:r>
      <w:r w:rsidR="0079561C" w:rsidRPr="00153204">
        <w:rPr>
          <w:rFonts w:asciiTheme="minorHAnsi" w:hAnsiTheme="minorHAnsi" w:cstheme="minorHAnsi"/>
          <w:color w:val="000000"/>
          <w:sz w:val="22"/>
          <w:szCs w:val="22"/>
          <w:lang w:val="en-GB"/>
        </w:rPr>
        <w:t xml:space="preserve">n the aforesaid facts and circumstances, the applicant most </w:t>
      </w:r>
      <w:r w:rsidR="000C7E59" w:rsidRPr="00153204">
        <w:rPr>
          <w:rFonts w:asciiTheme="minorHAnsi" w:hAnsiTheme="minorHAnsi" w:cstheme="minorHAnsi"/>
          <w:color w:val="000000"/>
          <w:sz w:val="22"/>
          <w:szCs w:val="22"/>
          <w:lang w:val="en-GB"/>
        </w:rPr>
        <w:t>humbly prays</w:t>
      </w:r>
      <w:r w:rsidR="0079561C" w:rsidRPr="00153204">
        <w:rPr>
          <w:rFonts w:asciiTheme="minorHAnsi" w:hAnsiTheme="minorHAnsi" w:cstheme="minorHAnsi"/>
          <w:color w:val="000000"/>
          <w:sz w:val="22"/>
          <w:szCs w:val="22"/>
          <w:lang w:val="en-GB"/>
        </w:rPr>
        <w:t xml:space="preserve"> before the Hon’ble </w:t>
      </w:r>
      <w:r w:rsidR="000C7E59" w:rsidRPr="00153204">
        <w:rPr>
          <w:rFonts w:asciiTheme="minorHAnsi" w:hAnsiTheme="minorHAnsi" w:cstheme="minorHAnsi"/>
          <w:color w:val="000000"/>
          <w:sz w:val="22"/>
          <w:szCs w:val="22"/>
          <w:lang w:val="en-GB"/>
        </w:rPr>
        <w:t>Commission to</w:t>
      </w:r>
      <w:r w:rsidR="0079561C" w:rsidRPr="00153204">
        <w:rPr>
          <w:rFonts w:asciiTheme="minorHAnsi" w:hAnsiTheme="minorHAnsi" w:cstheme="minorHAnsi"/>
          <w:color w:val="000000"/>
          <w:sz w:val="22"/>
          <w:szCs w:val="22"/>
          <w:lang w:val="en-GB"/>
        </w:rPr>
        <w:t xml:space="preserve"> </w:t>
      </w:r>
      <w:r w:rsidR="000C7E59" w:rsidRPr="00153204">
        <w:rPr>
          <w:rFonts w:asciiTheme="minorHAnsi" w:hAnsiTheme="minorHAnsi" w:cstheme="minorHAnsi"/>
          <w:color w:val="000000"/>
          <w:sz w:val="22"/>
          <w:szCs w:val="22"/>
          <w:lang w:val="en-GB"/>
        </w:rPr>
        <w:t>kindly:</w:t>
      </w:r>
    </w:p>
    <w:p w14:paraId="77328348" w14:textId="53434B00" w:rsidR="0079561C" w:rsidRPr="00153204" w:rsidRDefault="0079561C" w:rsidP="00D41FE2">
      <w:pPr>
        <w:autoSpaceDE w:val="0"/>
        <w:autoSpaceDN w:val="0"/>
        <w:adjustRightInd w:val="0"/>
        <w:spacing w:line="360" w:lineRule="auto"/>
        <w:ind w:left="567"/>
        <w:jc w:val="both"/>
        <w:rPr>
          <w:rFonts w:asciiTheme="minorHAnsi" w:hAnsiTheme="minorHAnsi" w:cstheme="minorHAnsi"/>
          <w:color w:val="000000"/>
          <w:sz w:val="22"/>
          <w:szCs w:val="22"/>
          <w:lang w:val="en-GB"/>
        </w:rPr>
      </w:pPr>
      <w:r w:rsidRPr="00153204">
        <w:rPr>
          <w:rFonts w:asciiTheme="minorHAnsi" w:hAnsiTheme="minorHAnsi" w:cstheme="minorHAnsi"/>
          <w:color w:val="000000"/>
          <w:sz w:val="22"/>
          <w:szCs w:val="22"/>
          <w:lang w:val="en-GB"/>
        </w:rPr>
        <w:t xml:space="preserve">(1)  Take the ARR application and Tariff Petition </w:t>
      </w:r>
      <w:r w:rsidR="00DB78EE" w:rsidRPr="00153204">
        <w:rPr>
          <w:rFonts w:asciiTheme="minorHAnsi" w:hAnsiTheme="minorHAnsi" w:cstheme="minorHAnsi"/>
          <w:color w:val="000000"/>
          <w:sz w:val="22"/>
          <w:szCs w:val="22"/>
          <w:lang w:val="en-GB"/>
        </w:rPr>
        <w:t>for the FY 202</w:t>
      </w:r>
      <w:r w:rsidR="00E90E82">
        <w:rPr>
          <w:rFonts w:asciiTheme="minorHAnsi" w:hAnsiTheme="minorHAnsi" w:cstheme="minorHAnsi"/>
          <w:color w:val="000000"/>
          <w:sz w:val="22"/>
          <w:szCs w:val="22"/>
          <w:lang w:val="en-GB"/>
        </w:rPr>
        <w:t>5</w:t>
      </w:r>
      <w:r w:rsidR="00DB78EE" w:rsidRPr="00153204">
        <w:rPr>
          <w:rFonts w:asciiTheme="minorHAnsi" w:hAnsiTheme="minorHAnsi" w:cstheme="minorHAnsi"/>
          <w:color w:val="000000"/>
          <w:sz w:val="22"/>
          <w:szCs w:val="22"/>
          <w:lang w:val="en-GB"/>
        </w:rPr>
        <w:t>-2</w:t>
      </w:r>
      <w:r w:rsidR="00E90E82">
        <w:rPr>
          <w:rFonts w:asciiTheme="minorHAnsi" w:hAnsiTheme="minorHAnsi" w:cstheme="minorHAnsi"/>
          <w:color w:val="000000"/>
          <w:sz w:val="22"/>
          <w:szCs w:val="22"/>
          <w:lang w:val="en-GB"/>
        </w:rPr>
        <w:t>6</w:t>
      </w:r>
      <w:r w:rsidR="00DB78EE" w:rsidRPr="00153204">
        <w:rPr>
          <w:rFonts w:asciiTheme="minorHAnsi" w:hAnsiTheme="minorHAnsi" w:cstheme="minorHAnsi"/>
          <w:color w:val="000000"/>
          <w:sz w:val="22"/>
          <w:szCs w:val="22"/>
          <w:lang w:val="en-GB"/>
        </w:rPr>
        <w:t xml:space="preserve"> </w:t>
      </w:r>
      <w:r w:rsidRPr="00153204">
        <w:rPr>
          <w:rFonts w:asciiTheme="minorHAnsi" w:hAnsiTheme="minorHAnsi" w:cstheme="minorHAnsi"/>
          <w:color w:val="000000"/>
          <w:sz w:val="22"/>
          <w:szCs w:val="22"/>
          <w:lang w:val="en-GB"/>
        </w:rPr>
        <w:t>on record.</w:t>
      </w:r>
    </w:p>
    <w:p w14:paraId="67E356B7" w14:textId="31FBBDED" w:rsidR="0079561C" w:rsidRPr="00153204" w:rsidRDefault="0079561C" w:rsidP="00D41FE2">
      <w:pPr>
        <w:autoSpaceDE w:val="0"/>
        <w:autoSpaceDN w:val="0"/>
        <w:adjustRightInd w:val="0"/>
        <w:spacing w:line="360" w:lineRule="auto"/>
        <w:ind w:left="567"/>
        <w:jc w:val="both"/>
        <w:rPr>
          <w:rFonts w:asciiTheme="minorHAnsi" w:hAnsiTheme="minorHAnsi" w:cstheme="minorHAnsi"/>
          <w:color w:val="000000"/>
          <w:sz w:val="22"/>
          <w:szCs w:val="22"/>
          <w:lang w:val="en-GB"/>
        </w:rPr>
      </w:pPr>
      <w:r w:rsidRPr="00153204">
        <w:rPr>
          <w:rFonts w:asciiTheme="minorHAnsi" w:hAnsiTheme="minorHAnsi" w:cstheme="minorHAnsi"/>
          <w:color w:val="000000"/>
          <w:sz w:val="22"/>
          <w:szCs w:val="22"/>
          <w:lang w:val="en-GB"/>
        </w:rPr>
        <w:t>(2)  Approve the Aggregate Revenue Requirement for FY 202</w:t>
      </w:r>
      <w:r w:rsidR="00E90E82">
        <w:rPr>
          <w:rFonts w:asciiTheme="minorHAnsi" w:hAnsiTheme="minorHAnsi" w:cstheme="minorHAnsi"/>
          <w:color w:val="000000"/>
          <w:sz w:val="22"/>
          <w:szCs w:val="22"/>
          <w:lang w:val="en-GB"/>
        </w:rPr>
        <w:t>5</w:t>
      </w:r>
      <w:r w:rsidRPr="00153204">
        <w:rPr>
          <w:rFonts w:asciiTheme="minorHAnsi" w:hAnsiTheme="minorHAnsi" w:cstheme="minorHAnsi"/>
          <w:color w:val="000000"/>
          <w:sz w:val="22"/>
          <w:szCs w:val="22"/>
          <w:lang w:val="en-GB"/>
        </w:rPr>
        <w:t>-2</w:t>
      </w:r>
      <w:r w:rsidR="00E90E82">
        <w:rPr>
          <w:rFonts w:asciiTheme="minorHAnsi" w:hAnsiTheme="minorHAnsi" w:cstheme="minorHAnsi"/>
          <w:color w:val="000000"/>
          <w:sz w:val="22"/>
          <w:szCs w:val="22"/>
          <w:lang w:val="en-GB"/>
        </w:rPr>
        <w:t>6</w:t>
      </w:r>
      <w:r w:rsidRPr="00153204">
        <w:rPr>
          <w:rFonts w:asciiTheme="minorHAnsi" w:hAnsiTheme="minorHAnsi" w:cstheme="minorHAnsi"/>
          <w:color w:val="000000"/>
          <w:sz w:val="22"/>
          <w:szCs w:val="22"/>
          <w:lang w:val="en-GB"/>
        </w:rPr>
        <w:t>.</w:t>
      </w:r>
    </w:p>
    <w:p w14:paraId="1782AA89" w14:textId="0AF8BB7B" w:rsidR="0079561C" w:rsidRPr="00153204" w:rsidRDefault="00892CAC" w:rsidP="00E90E82">
      <w:pPr>
        <w:spacing w:line="360" w:lineRule="auto"/>
        <w:ind w:left="851" w:hanging="284"/>
        <w:jc w:val="both"/>
        <w:rPr>
          <w:rFonts w:asciiTheme="minorHAnsi" w:hAnsiTheme="minorHAnsi" w:cstheme="minorHAnsi"/>
          <w:sz w:val="22"/>
          <w:szCs w:val="22"/>
          <w:lang w:val="en-GB"/>
        </w:rPr>
      </w:pPr>
      <w:r w:rsidRPr="00153204">
        <w:rPr>
          <w:rFonts w:asciiTheme="minorHAnsi" w:hAnsiTheme="minorHAnsi" w:cstheme="minorHAnsi"/>
          <w:sz w:val="22"/>
          <w:szCs w:val="22"/>
          <w:lang w:val="en-GB"/>
        </w:rPr>
        <w:t xml:space="preserve">(3) </w:t>
      </w:r>
      <w:r w:rsidR="00E90E82">
        <w:rPr>
          <w:rFonts w:asciiTheme="minorHAnsi" w:hAnsiTheme="minorHAnsi" w:cstheme="minorHAnsi"/>
          <w:sz w:val="22"/>
          <w:szCs w:val="22"/>
          <w:lang w:val="en-GB"/>
        </w:rPr>
        <w:t xml:space="preserve"> </w:t>
      </w:r>
      <w:r w:rsidR="0079561C" w:rsidRPr="00153204">
        <w:rPr>
          <w:rFonts w:asciiTheme="minorHAnsi" w:hAnsiTheme="minorHAnsi" w:cstheme="minorHAnsi"/>
          <w:sz w:val="22"/>
          <w:szCs w:val="22"/>
          <w:lang w:val="en-GB"/>
        </w:rPr>
        <w:t>Bridge the Revenue Gap for the FY 202</w:t>
      </w:r>
      <w:r w:rsidR="00E90E82">
        <w:rPr>
          <w:rFonts w:asciiTheme="minorHAnsi" w:hAnsiTheme="minorHAnsi" w:cstheme="minorHAnsi"/>
          <w:sz w:val="22"/>
          <w:szCs w:val="22"/>
          <w:lang w:val="en-GB"/>
        </w:rPr>
        <w:t>5-</w:t>
      </w:r>
      <w:r w:rsidR="0079561C" w:rsidRPr="00153204">
        <w:rPr>
          <w:rFonts w:asciiTheme="minorHAnsi" w:hAnsiTheme="minorHAnsi" w:cstheme="minorHAnsi"/>
          <w:sz w:val="22"/>
          <w:szCs w:val="22"/>
          <w:lang w:val="en-GB"/>
        </w:rPr>
        <w:t>2</w:t>
      </w:r>
      <w:r w:rsidR="00E90E82">
        <w:rPr>
          <w:rFonts w:asciiTheme="minorHAnsi" w:hAnsiTheme="minorHAnsi" w:cstheme="minorHAnsi"/>
          <w:sz w:val="22"/>
          <w:szCs w:val="22"/>
          <w:lang w:val="en-GB"/>
        </w:rPr>
        <w:t>6</w:t>
      </w:r>
      <w:r w:rsidR="0079561C" w:rsidRPr="00153204">
        <w:rPr>
          <w:rFonts w:asciiTheme="minorHAnsi" w:hAnsiTheme="minorHAnsi" w:cstheme="minorHAnsi"/>
          <w:sz w:val="22"/>
          <w:szCs w:val="22"/>
          <w:lang w:val="en-GB"/>
        </w:rPr>
        <w:t xml:space="preserve"> through increase in Retail Supply Tariff </w:t>
      </w:r>
      <w:r w:rsidR="000C7E59" w:rsidRPr="00153204">
        <w:rPr>
          <w:rFonts w:asciiTheme="minorHAnsi" w:hAnsiTheme="minorHAnsi" w:cstheme="minorHAnsi"/>
          <w:sz w:val="22"/>
          <w:szCs w:val="22"/>
          <w:lang w:val="en-GB"/>
        </w:rPr>
        <w:t>or reduction</w:t>
      </w:r>
      <w:r w:rsidR="0079561C" w:rsidRPr="00153204">
        <w:rPr>
          <w:rFonts w:asciiTheme="minorHAnsi" w:hAnsiTheme="minorHAnsi" w:cstheme="minorHAnsi"/>
          <w:sz w:val="22"/>
          <w:szCs w:val="22"/>
          <w:lang w:val="en-GB"/>
        </w:rPr>
        <w:t xml:space="preserve"> </w:t>
      </w:r>
      <w:r w:rsidR="00E90E82">
        <w:rPr>
          <w:rFonts w:asciiTheme="minorHAnsi" w:hAnsiTheme="minorHAnsi" w:cstheme="minorHAnsi"/>
          <w:sz w:val="22"/>
          <w:szCs w:val="22"/>
          <w:lang w:val="en-GB"/>
        </w:rPr>
        <w:t xml:space="preserve">  </w:t>
      </w:r>
      <w:r w:rsidR="0079561C" w:rsidRPr="00153204">
        <w:rPr>
          <w:rFonts w:asciiTheme="minorHAnsi" w:hAnsiTheme="minorHAnsi" w:cstheme="minorHAnsi"/>
          <w:sz w:val="22"/>
          <w:szCs w:val="22"/>
          <w:lang w:val="en-GB"/>
        </w:rPr>
        <w:t>in Bulk Supply Tariff (BST) wherever possible</w:t>
      </w:r>
    </w:p>
    <w:p w14:paraId="0AD50D82" w14:textId="77777777" w:rsidR="0079561C" w:rsidRPr="00153204" w:rsidRDefault="0079561C" w:rsidP="00D41FE2">
      <w:pPr>
        <w:spacing w:line="360" w:lineRule="auto"/>
        <w:ind w:firstLine="567"/>
        <w:jc w:val="both"/>
        <w:rPr>
          <w:rFonts w:asciiTheme="minorHAnsi" w:hAnsiTheme="minorHAnsi" w:cstheme="minorHAnsi"/>
          <w:sz w:val="22"/>
          <w:szCs w:val="22"/>
          <w:lang w:val="en-GB"/>
        </w:rPr>
      </w:pPr>
      <w:r w:rsidRPr="00153204">
        <w:rPr>
          <w:rFonts w:asciiTheme="minorHAnsi" w:hAnsiTheme="minorHAnsi" w:cstheme="minorHAnsi"/>
          <w:sz w:val="22"/>
          <w:szCs w:val="22"/>
          <w:lang w:val="en-GB"/>
        </w:rPr>
        <w:t>(4)  Allow the Tariff rationalisation measures as proposed</w:t>
      </w:r>
    </w:p>
    <w:p w14:paraId="2A73EF7F" w14:textId="77777777" w:rsidR="0079561C" w:rsidRPr="00153204" w:rsidRDefault="0079561C" w:rsidP="00D41FE2">
      <w:pPr>
        <w:spacing w:line="360" w:lineRule="auto"/>
        <w:ind w:firstLine="567"/>
        <w:jc w:val="both"/>
        <w:rPr>
          <w:rFonts w:asciiTheme="minorHAnsi" w:hAnsiTheme="minorHAnsi" w:cstheme="minorHAnsi"/>
          <w:sz w:val="22"/>
          <w:szCs w:val="22"/>
          <w:lang w:val="en-GB"/>
        </w:rPr>
      </w:pPr>
      <w:r w:rsidRPr="00153204">
        <w:rPr>
          <w:rFonts w:asciiTheme="minorHAnsi" w:hAnsiTheme="minorHAnsi" w:cstheme="minorHAnsi"/>
          <w:sz w:val="22"/>
          <w:szCs w:val="22"/>
        </w:rPr>
        <w:t xml:space="preserve">(5)  </w:t>
      </w:r>
      <w:r w:rsidRPr="00153204">
        <w:rPr>
          <w:rFonts w:asciiTheme="minorHAnsi" w:hAnsiTheme="minorHAnsi" w:cstheme="minorHAnsi"/>
          <w:bCs/>
          <w:sz w:val="22"/>
          <w:szCs w:val="22"/>
        </w:rPr>
        <w:t>Any other relief, order or direction which the Hon’ble Commission deems fit</w:t>
      </w:r>
    </w:p>
    <w:p w14:paraId="3CB7A89D" w14:textId="77777777" w:rsidR="0079561C" w:rsidRPr="00153204" w:rsidRDefault="0079561C" w:rsidP="00D41FE2">
      <w:pPr>
        <w:spacing w:line="360" w:lineRule="auto"/>
        <w:jc w:val="both"/>
        <w:rPr>
          <w:rFonts w:asciiTheme="minorHAnsi" w:hAnsiTheme="minorHAnsi" w:cstheme="minorHAnsi"/>
          <w:b/>
          <w:sz w:val="22"/>
          <w:szCs w:val="22"/>
        </w:rPr>
      </w:pPr>
      <w:r w:rsidRPr="00153204">
        <w:rPr>
          <w:rFonts w:asciiTheme="minorHAnsi" w:hAnsiTheme="minorHAnsi" w:cstheme="minorHAnsi"/>
          <w:b/>
          <w:sz w:val="22"/>
          <w:szCs w:val="22"/>
        </w:rPr>
        <w:tab/>
      </w:r>
      <w:r w:rsidRPr="00153204">
        <w:rPr>
          <w:rFonts w:asciiTheme="minorHAnsi" w:hAnsiTheme="minorHAnsi" w:cstheme="minorHAnsi"/>
          <w:b/>
          <w:sz w:val="22"/>
          <w:szCs w:val="22"/>
        </w:rPr>
        <w:tab/>
      </w:r>
      <w:r w:rsidRPr="00153204">
        <w:rPr>
          <w:rFonts w:asciiTheme="minorHAnsi" w:hAnsiTheme="minorHAnsi" w:cstheme="minorHAnsi"/>
          <w:b/>
          <w:sz w:val="22"/>
          <w:szCs w:val="22"/>
        </w:rPr>
        <w:tab/>
      </w:r>
      <w:r w:rsidRPr="00153204">
        <w:rPr>
          <w:rFonts w:asciiTheme="minorHAnsi" w:hAnsiTheme="minorHAnsi" w:cstheme="minorHAnsi"/>
          <w:b/>
          <w:sz w:val="22"/>
          <w:szCs w:val="22"/>
        </w:rPr>
        <w:tab/>
      </w:r>
      <w:r w:rsidRPr="00153204">
        <w:rPr>
          <w:rFonts w:asciiTheme="minorHAnsi" w:hAnsiTheme="minorHAnsi" w:cstheme="minorHAnsi"/>
          <w:b/>
          <w:sz w:val="22"/>
          <w:szCs w:val="22"/>
        </w:rPr>
        <w:tab/>
      </w:r>
      <w:r w:rsidRPr="00153204">
        <w:rPr>
          <w:rFonts w:asciiTheme="minorHAnsi" w:hAnsiTheme="minorHAnsi" w:cstheme="minorHAnsi"/>
          <w:b/>
          <w:sz w:val="22"/>
          <w:szCs w:val="22"/>
        </w:rPr>
        <w:tab/>
      </w:r>
      <w:r w:rsidRPr="00153204">
        <w:rPr>
          <w:rFonts w:asciiTheme="minorHAnsi" w:hAnsiTheme="minorHAnsi" w:cstheme="minorHAnsi"/>
          <w:b/>
          <w:sz w:val="22"/>
          <w:szCs w:val="22"/>
        </w:rPr>
        <w:tab/>
      </w:r>
    </w:p>
    <w:p w14:paraId="351195F9" w14:textId="77777777" w:rsidR="00DB78EE" w:rsidRPr="00153204" w:rsidRDefault="0079561C" w:rsidP="00D41FE2">
      <w:pPr>
        <w:pStyle w:val="BodyText2"/>
        <w:spacing w:before="0" w:after="0" w:line="360" w:lineRule="auto"/>
        <w:ind w:left="567"/>
        <w:jc w:val="both"/>
        <w:rPr>
          <w:rFonts w:asciiTheme="minorHAnsi" w:hAnsiTheme="minorHAnsi" w:cstheme="minorHAnsi"/>
          <w:b/>
          <w:sz w:val="22"/>
          <w:szCs w:val="22"/>
        </w:rPr>
      </w:pPr>
      <w:r w:rsidRPr="00153204">
        <w:rPr>
          <w:rFonts w:asciiTheme="minorHAnsi" w:hAnsiTheme="minorHAnsi" w:cstheme="minorHAnsi"/>
          <w:b/>
          <w:sz w:val="22"/>
          <w:szCs w:val="22"/>
        </w:rPr>
        <w:tab/>
      </w:r>
      <w:r w:rsidRPr="00153204">
        <w:rPr>
          <w:rFonts w:asciiTheme="minorHAnsi" w:hAnsiTheme="minorHAnsi" w:cstheme="minorHAnsi"/>
          <w:b/>
          <w:sz w:val="22"/>
          <w:szCs w:val="22"/>
        </w:rPr>
        <w:tab/>
      </w:r>
      <w:r w:rsidRPr="00153204">
        <w:rPr>
          <w:rFonts w:asciiTheme="minorHAnsi" w:hAnsiTheme="minorHAnsi" w:cstheme="minorHAnsi"/>
          <w:b/>
          <w:sz w:val="22"/>
          <w:szCs w:val="22"/>
        </w:rPr>
        <w:tab/>
      </w:r>
      <w:r w:rsidRPr="00153204">
        <w:rPr>
          <w:rFonts w:asciiTheme="minorHAnsi" w:hAnsiTheme="minorHAnsi" w:cstheme="minorHAnsi"/>
          <w:b/>
          <w:sz w:val="22"/>
          <w:szCs w:val="22"/>
        </w:rPr>
        <w:tab/>
      </w:r>
      <w:r w:rsidRPr="00153204">
        <w:rPr>
          <w:rFonts w:asciiTheme="minorHAnsi" w:hAnsiTheme="minorHAnsi" w:cstheme="minorHAnsi"/>
          <w:b/>
          <w:sz w:val="22"/>
          <w:szCs w:val="22"/>
        </w:rPr>
        <w:tab/>
      </w:r>
      <w:r w:rsidRPr="00153204">
        <w:rPr>
          <w:rFonts w:asciiTheme="minorHAnsi" w:hAnsiTheme="minorHAnsi" w:cstheme="minorHAnsi"/>
          <w:b/>
          <w:sz w:val="22"/>
          <w:szCs w:val="22"/>
        </w:rPr>
        <w:tab/>
      </w:r>
    </w:p>
    <w:p w14:paraId="77D1F733" w14:textId="4F8D0AA7" w:rsidR="0079561C" w:rsidRPr="00153204" w:rsidRDefault="0079561C" w:rsidP="002A57DA">
      <w:pPr>
        <w:pStyle w:val="Heading1"/>
        <w:spacing w:line="360" w:lineRule="auto"/>
        <w:ind w:firstLine="567"/>
        <w:jc w:val="both"/>
        <w:rPr>
          <w:rFonts w:asciiTheme="minorHAnsi" w:hAnsiTheme="minorHAnsi" w:cstheme="minorHAnsi"/>
          <w:b w:val="0"/>
          <w:sz w:val="22"/>
          <w:szCs w:val="22"/>
        </w:rPr>
      </w:pPr>
      <w:r w:rsidRPr="00153204">
        <w:rPr>
          <w:rFonts w:asciiTheme="minorHAnsi" w:hAnsiTheme="minorHAnsi" w:cstheme="minorHAnsi"/>
          <w:b w:val="0"/>
          <w:sz w:val="22"/>
          <w:szCs w:val="22"/>
        </w:rPr>
        <w:tab/>
      </w:r>
    </w:p>
    <w:p w14:paraId="4D056307" w14:textId="77777777" w:rsidR="0079561C" w:rsidRPr="00153204" w:rsidRDefault="0079561C" w:rsidP="002334A3">
      <w:pPr>
        <w:pStyle w:val="BodyText2"/>
        <w:spacing w:before="0" w:after="0" w:line="360" w:lineRule="auto"/>
        <w:ind w:left="567"/>
        <w:jc w:val="both"/>
        <w:rPr>
          <w:rFonts w:asciiTheme="minorHAnsi" w:hAnsiTheme="minorHAnsi" w:cstheme="minorHAnsi"/>
          <w:b/>
          <w:sz w:val="22"/>
          <w:szCs w:val="22"/>
        </w:rPr>
      </w:pPr>
      <w:r w:rsidRPr="00153204">
        <w:rPr>
          <w:rFonts w:asciiTheme="minorHAnsi" w:hAnsiTheme="minorHAnsi" w:cstheme="minorHAnsi"/>
          <w:b/>
          <w:sz w:val="22"/>
          <w:szCs w:val="22"/>
        </w:rPr>
        <w:tab/>
      </w:r>
      <w:r w:rsidRPr="00153204">
        <w:rPr>
          <w:rFonts w:asciiTheme="minorHAnsi" w:hAnsiTheme="minorHAnsi" w:cstheme="minorHAnsi"/>
          <w:b/>
          <w:sz w:val="22"/>
          <w:szCs w:val="22"/>
        </w:rPr>
        <w:tab/>
      </w:r>
      <w:r w:rsidRPr="00153204">
        <w:rPr>
          <w:rFonts w:asciiTheme="minorHAnsi" w:hAnsiTheme="minorHAnsi" w:cstheme="minorHAnsi"/>
          <w:b/>
          <w:sz w:val="22"/>
          <w:szCs w:val="22"/>
        </w:rPr>
        <w:tab/>
      </w:r>
      <w:r w:rsidRPr="00153204">
        <w:rPr>
          <w:rFonts w:asciiTheme="minorHAnsi" w:hAnsiTheme="minorHAnsi" w:cstheme="minorHAnsi"/>
          <w:b/>
          <w:sz w:val="22"/>
          <w:szCs w:val="22"/>
        </w:rPr>
        <w:tab/>
      </w:r>
      <w:r w:rsidRPr="00153204">
        <w:rPr>
          <w:rFonts w:asciiTheme="minorHAnsi" w:hAnsiTheme="minorHAnsi" w:cstheme="minorHAnsi"/>
          <w:b/>
          <w:sz w:val="22"/>
          <w:szCs w:val="22"/>
        </w:rPr>
        <w:tab/>
      </w:r>
      <w:r w:rsidRPr="00153204">
        <w:rPr>
          <w:rFonts w:asciiTheme="minorHAnsi" w:hAnsiTheme="minorHAnsi" w:cstheme="minorHAnsi"/>
          <w:b/>
          <w:sz w:val="22"/>
          <w:szCs w:val="22"/>
        </w:rPr>
        <w:tab/>
      </w:r>
      <w:r w:rsidRPr="00153204">
        <w:rPr>
          <w:rFonts w:asciiTheme="minorHAnsi" w:hAnsiTheme="minorHAnsi" w:cstheme="minorHAnsi"/>
          <w:b/>
          <w:sz w:val="22"/>
          <w:szCs w:val="22"/>
        </w:rPr>
        <w:tab/>
        <w:t xml:space="preserve"> </w:t>
      </w:r>
    </w:p>
    <w:p w14:paraId="62B4D4FD" w14:textId="2FD6C888" w:rsidR="0079561C" w:rsidRPr="00153204" w:rsidRDefault="00E9428A" w:rsidP="00FD0371">
      <w:pPr>
        <w:tabs>
          <w:tab w:val="left" w:pos="5580"/>
        </w:tabs>
        <w:autoSpaceDE w:val="0"/>
        <w:autoSpaceDN w:val="0"/>
        <w:adjustRightInd w:val="0"/>
        <w:spacing w:line="360" w:lineRule="auto"/>
        <w:ind w:left="426"/>
        <w:rPr>
          <w:rFonts w:asciiTheme="minorHAnsi" w:hAnsiTheme="minorHAnsi" w:cstheme="minorHAnsi"/>
          <w:b/>
          <w:sz w:val="22"/>
          <w:szCs w:val="22"/>
        </w:rPr>
      </w:pPr>
      <w:r w:rsidRPr="00153204">
        <w:rPr>
          <w:rFonts w:asciiTheme="minorHAnsi" w:hAnsiTheme="minorHAnsi" w:cstheme="minorHAnsi"/>
          <w:b/>
          <w:sz w:val="22"/>
          <w:szCs w:val="22"/>
        </w:rPr>
        <w:t xml:space="preserve">Place: </w:t>
      </w:r>
      <w:proofErr w:type="spellStart"/>
      <w:r w:rsidRPr="00153204">
        <w:rPr>
          <w:rFonts w:asciiTheme="minorHAnsi" w:hAnsiTheme="minorHAnsi" w:cstheme="minorHAnsi"/>
          <w:b/>
          <w:sz w:val="22"/>
          <w:szCs w:val="22"/>
        </w:rPr>
        <w:t>Balasore</w:t>
      </w:r>
      <w:proofErr w:type="spellEnd"/>
      <w:r w:rsidR="001A300F" w:rsidRPr="00153204">
        <w:rPr>
          <w:rFonts w:asciiTheme="minorHAnsi" w:hAnsiTheme="minorHAnsi" w:cstheme="minorHAnsi"/>
          <w:b/>
          <w:sz w:val="22"/>
          <w:szCs w:val="22"/>
        </w:rPr>
        <w:tab/>
        <w:t xml:space="preserve"> </w:t>
      </w:r>
      <w:r w:rsidR="00FD0371">
        <w:rPr>
          <w:rFonts w:asciiTheme="minorHAnsi" w:hAnsiTheme="minorHAnsi" w:cstheme="minorHAnsi"/>
          <w:b/>
          <w:sz w:val="22"/>
          <w:szCs w:val="22"/>
        </w:rPr>
        <w:t xml:space="preserve">       </w:t>
      </w:r>
      <w:r w:rsidR="001A300F" w:rsidRPr="00153204">
        <w:rPr>
          <w:rFonts w:asciiTheme="minorHAnsi" w:hAnsiTheme="minorHAnsi" w:cstheme="minorHAnsi"/>
          <w:b/>
          <w:sz w:val="22"/>
          <w:szCs w:val="22"/>
        </w:rPr>
        <w:t xml:space="preserve">  </w:t>
      </w:r>
      <w:r w:rsidR="00FD0371">
        <w:rPr>
          <w:rFonts w:asciiTheme="minorHAnsi" w:hAnsiTheme="minorHAnsi" w:cstheme="minorHAnsi"/>
          <w:b/>
          <w:sz w:val="22"/>
          <w:szCs w:val="22"/>
        </w:rPr>
        <w:t xml:space="preserve">         </w:t>
      </w:r>
      <w:r w:rsidR="00E90E82">
        <w:rPr>
          <w:rFonts w:asciiTheme="minorHAnsi" w:hAnsiTheme="minorHAnsi" w:cstheme="minorHAnsi"/>
          <w:b/>
          <w:sz w:val="22"/>
          <w:szCs w:val="22"/>
        </w:rPr>
        <w:t>DWIJADAS BASAK</w:t>
      </w:r>
      <w:r w:rsidR="0079561C" w:rsidRPr="00153204">
        <w:rPr>
          <w:rFonts w:asciiTheme="minorHAnsi" w:hAnsiTheme="minorHAnsi" w:cstheme="minorHAnsi"/>
          <w:b/>
          <w:sz w:val="22"/>
          <w:szCs w:val="22"/>
        </w:rPr>
        <w:t xml:space="preserve"> </w:t>
      </w:r>
    </w:p>
    <w:p w14:paraId="4E5BD8C2" w14:textId="49D8A452" w:rsidR="0079561C" w:rsidRPr="00153204" w:rsidRDefault="00E9428A" w:rsidP="00FD0371">
      <w:pPr>
        <w:tabs>
          <w:tab w:val="left" w:pos="5580"/>
        </w:tabs>
        <w:autoSpaceDE w:val="0"/>
        <w:autoSpaceDN w:val="0"/>
        <w:adjustRightInd w:val="0"/>
        <w:spacing w:line="360" w:lineRule="auto"/>
        <w:ind w:left="426"/>
        <w:rPr>
          <w:rFonts w:asciiTheme="minorHAnsi" w:hAnsiTheme="minorHAnsi" w:cstheme="minorHAnsi"/>
          <w:b/>
          <w:sz w:val="22"/>
          <w:szCs w:val="22"/>
        </w:rPr>
      </w:pPr>
      <w:r w:rsidRPr="00153204">
        <w:rPr>
          <w:rFonts w:asciiTheme="minorHAnsi" w:hAnsiTheme="minorHAnsi" w:cstheme="minorHAnsi"/>
          <w:b/>
          <w:sz w:val="22"/>
          <w:szCs w:val="22"/>
        </w:rPr>
        <w:t>Dated</w:t>
      </w:r>
      <w:r w:rsidR="0079561C" w:rsidRPr="00153204">
        <w:rPr>
          <w:rFonts w:asciiTheme="minorHAnsi" w:hAnsiTheme="minorHAnsi" w:cstheme="minorHAnsi"/>
          <w:b/>
          <w:sz w:val="22"/>
          <w:szCs w:val="22"/>
        </w:rPr>
        <w:t xml:space="preserve">: </w:t>
      </w:r>
      <w:r w:rsidR="00011F49">
        <w:rPr>
          <w:rFonts w:asciiTheme="minorHAnsi" w:hAnsiTheme="minorHAnsi" w:cstheme="minorHAnsi"/>
          <w:b/>
          <w:sz w:val="22"/>
          <w:szCs w:val="22"/>
        </w:rPr>
        <w:t>29</w:t>
      </w:r>
      <w:r w:rsidRPr="00153204">
        <w:rPr>
          <w:rFonts w:asciiTheme="minorHAnsi" w:hAnsiTheme="minorHAnsi" w:cstheme="minorHAnsi"/>
          <w:b/>
          <w:sz w:val="22"/>
          <w:szCs w:val="22"/>
        </w:rPr>
        <w:t>.11.202</w:t>
      </w:r>
      <w:r w:rsidR="00E90E82">
        <w:rPr>
          <w:rFonts w:asciiTheme="minorHAnsi" w:hAnsiTheme="minorHAnsi" w:cstheme="minorHAnsi"/>
          <w:b/>
          <w:sz w:val="22"/>
          <w:szCs w:val="22"/>
        </w:rPr>
        <w:t>4</w:t>
      </w:r>
      <w:r w:rsidR="00C02F8C" w:rsidRPr="00153204">
        <w:rPr>
          <w:rFonts w:asciiTheme="minorHAnsi" w:hAnsiTheme="minorHAnsi" w:cstheme="minorHAnsi"/>
          <w:b/>
          <w:sz w:val="22"/>
          <w:szCs w:val="22"/>
        </w:rPr>
        <w:tab/>
      </w:r>
      <w:r w:rsidR="00FD0371">
        <w:rPr>
          <w:rFonts w:asciiTheme="minorHAnsi" w:hAnsiTheme="minorHAnsi" w:cstheme="minorHAnsi"/>
          <w:b/>
          <w:sz w:val="22"/>
          <w:szCs w:val="22"/>
        </w:rPr>
        <w:t xml:space="preserve">           </w:t>
      </w:r>
      <w:r w:rsidR="0079561C" w:rsidRPr="00153204">
        <w:rPr>
          <w:rFonts w:asciiTheme="minorHAnsi" w:hAnsiTheme="minorHAnsi" w:cstheme="minorHAnsi"/>
          <w:b/>
          <w:sz w:val="22"/>
          <w:szCs w:val="22"/>
        </w:rPr>
        <w:t>CHIEF EXECUTIVE OFFICER</w:t>
      </w:r>
    </w:p>
    <w:p w14:paraId="21F14061" w14:textId="46D98AB3" w:rsidR="0079561C" w:rsidRPr="00153204" w:rsidRDefault="0079561C" w:rsidP="00FD0371">
      <w:pPr>
        <w:tabs>
          <w:tab w:val="left" w:pos="6480"/>
        </w:tabs>
        <w:autoSpaceDE w:val="0"/>
        <w:autoSpaceDN w:val="0"/>
        <w:adjustRightInd w:val="0"/>
        <w:spacing w:line="360" w:lineRule="auto"/>
        <w:ind w:left="426"/>
        <w:rPr>
          <w:rFonts w:asciiTheme="minorHAnsi" w:hAnsiTheme="minorHAnsi" w:cstheme="minorHAnsi"/>
          <w:b/>
          <w:sz w:val="22"/>
          <w:szCs w:val="22"/>
        </w:rPr>
      </w:pPr>
      <w:r w:rsidRPr="00153204">
        <w:rPr>
          <w:rFonts w:asciiTheme="minorHAnsi" w:hAnsiTheme="minorHAnsi" w:cstheme="minorHAnsi"/>
          <w:b/>
          <w:sz w:val="22"/>
          <w:szCs w:val="22"/>
        </w:rPr>
        <w:t xml:space="preserve">                                                                                                   TP </w:t>
      </w:r>
      <w:r w:rsidR="0079536B" w:rsidRPr="00153204">
        <w:rPr>
          <w:rFonts w:asciiTheme="minorHAnsi" w:hAnsiTheme="minorHAnsi" w:cstheme="minorHAnsi"/>
          <w:b/>
          <w:sz w:val="22"/>
          <w:szCs w:val="22"/>
        </w:rPr>
        <w:t>Northern Odisha Distribution Limited</w:t>
      </w:r>
    </w:p>
    <w:p w14:paraId="578E05E1" w14:textId="220B8D7E" w:rsidR="00745C0E" w:rsidRPr="00D57D5B" w:rsidRDefault="0079561C" w:rsidP="00D57D5B">
      <w:pPr>
        <w:pStyle w:val="BodyText2"/>
        <w:spacing w:line="360" w:lineRule="auto"/>
        <w:ind w:left="567"/>
        <w:jc w:val="both"/>
        <w:rPr>
          <w:rFonts w:asciiTheme="minorHAnsi" w:hAnsiTheme="minorHAnsi" w:cstheme="minorHAnsi"/>
          <w:b/>
          <w:sz w:val="22"/>
          <w:szCs w:val="22"/>
        </w:rPr>
      </w:pPr>
      <w:r w:rsidRPr="00153204">
        <w:rPr>
          <w:rFonts w:asciiTheme="minorHAnsi" w:hAnsiTheme="minorHAnsi" w:cstheme="minorHAnsi"/>
          <w:b/>
          <w:sz w:val="22"/>
          <w:szCs w:val="22"/>
        </w:rPr>
        <w:tab/>
      </w:r>
      <w:r w:rsidRPr="00153204">
        <w:rPr>
          <w:rFonts w:asciiTheme="minorHAnsi" w:hAnsiTheme="minorHAnsi" w:cstheme="minorHAnsi"/>
          <w:b/>
          <w:sz w:val="22"/>
          <w:szCs w:val="22"/>
        </w:rPr>
        <w:tab/>
      </w:r>
      <w:r w:rsidRPr="00153204">
        <w:rPr>
          <w:rFonts w:asciiTheme="minorHAnsi" w:hAnsiTheme="minorHAnsi" w:cstheme="minorHAnsi"/>
          <w:b/>
          <w:sz w:val="22"/>
          <w:szCs w:val="22"/>
        </w:rPr>
        <w:tab/>
      </w:r>
      <w:r w:rsidRPr="00153204">
        <w:rPr>
          <w:rFonts w:asciiTheme="minorHAnsi" w:hAnsiTheme="minorHAnsi" w:cstheme="minorHAnsi"/>
          <w:b/>
          <w:sz w:val="22"/>
          <w:szCs w:val="22"/>
        </w:rPr>
        <w:tab/>
      </w:r>
      <w:r w:rsidRPr="00153204">
        <w:rPr>
          <w:rFonts w:asciiTheme="minorHAnsi" w:hAnsiTheme="minorHAnsi" w:cstheme="minorHAnsi"/>
          <w:b/>
          <w:sz w:val="22"/>
          <w:szCs w:val="22"/>
        </w:rPr>
        <w:tab/>
        <w:t xml:space="preserve"> </w:t>
      </w:r>
      <w:bookmarkStart w:id="77" w:name="_Toc278631875"/>
      <w:bookmarkStart w:id="78" w:name="_Toc278631878"/>
      <w:bookmarkStart w:id="79" w:name="_Toc278631879"/>
      <w:bookmarkStart w:id="80" w:name="_Toc278631880"/>
      <w:bookmarkStart w:id="81" w:name="_Toc278631881"/>
      <w:bookmarkStart w:id="82" w:name="_Toc278631883"/>
      <w:bookmarkStart w:id="83" w:name="_Toc278632030"/>
      <w:bookmarkStart w:id="84" w:name="_Toc278632036"/>
      <w:bookmarkStart w:id="85" w:name="_Toc278632037"/>
      <w:bookmarkStart w:id="86" w:name="_Toc278632043"/>
      <w:bookmarkStart w:id="87" w:name="_Toc278632044"/>
      <w:bookmarkStart w:id="88" w:name="_Toc278632048"/>
      <w:bookmarkStart w:id="89" w:name="_Toc278632051"/>
      <w:bookmarkStart w:id="90" w:name="_Toc278632073"/>
      <w:bookmarkStart w:id="91" w:name="_Toc278632075"/>
      <w:bookmarkStart w:id="92" w:name="_Toc278632076"/>
      <w:bookmarkStart w:id="93" w:name="_Toc278632078"/>
      <w:bookmarkStart w:id="94" w:name="_Toc278737586"/>
      <w:bookmarkStart w:id="95" w:name="_Toc278737591"/>
      <w:bookmarkStart w:id="96" w:name="_Toc278737592"/>
      <w:bookmarkStart w:id="97" w:name="_Toc215665032"/>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p>
    <w:sectPr w:rsidR="00745C0E" w:rsidRPr="00D57D5B" w:rsidSect="00751DC0">
      <w:headerReference w:type="default" r:id="rId160"/>
      <w:footerReference w:type="default" r:id="rId161"/>
      <w:pgSz w:w="11909" w:h="16834" w:code="9"/>
      <w:pgMar w:top="1276" w:right="1277" w:bottom="1440" w:left="1134"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D24051B" w14:textId="77777777" w:rsidR="00012886" w:rsidRDefault="00012886">
      <w:r>
        <w:separator/>
      </w:r>
    </w:p>
  </w:endnote>
  <w:endnote w:type="continuationSeparator" w:id="0">
    <w:p w14:paraId="660372B1" w14:textId="77777777" w:rsidR="00012886" w:rsidRDefault="0001288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2AFF" w:usb1="4000ACFF" w:usb2="00000001" w:usb3="00000000" w:csb0="000001FF" w:csb1="00000000"/>
  </w:font>
  <w:font w:name="Book Antiqua">
    <w:panose1 w:val="02040602050305030304"/>
    <w:charset w:val="00"/>
    <w:family w:val="roman"/>
    <w:pitch w:val="variable"/>
    <w:sig w:usb0="00000287" w:usb1="00000000" w:usb2="00000000" w:usb3="00000000" w:csb0="0000009F" w:csb1="00000000"/>
  </w:font>
  <w:font w:name="Yu Gothic">
    <w:altName w:val="游ゴシック"/>
    <w:panose1 w:val="020B0400000000000000"/>
    <w:charset w:val="80"/>
    <w:family w:val="swiss"/>
    <w:pitch w:val="variable"/>
    <w:sig w:usb0="E00002FF" w:usb1="2AC7FDFF" w:usb2="00000016" w:usb3="00000000" w:csb0="0002009F" w:csb1="00000000"/>
  </w:font>
  <w:font w:name="Arial Unicode MS">
    <w:panose1 w:val="020B0604020202020204"/>
    <w:charset w:val="80"/>
    <w:family w:val="swiss"/>
    <w:pitch w:val="variable"/>
    <w:sig w:usb0="F7FFAFFF" w:usb1="E9DFFFFF" w:usb2="0000003F" w:usb3="00000000" w:csb0="003F01FF" w:csb1="00000000"/>
  </w:font>
  <w:font w:name="Tahoma">
    <w:panose1 w:val="020B0604030504040204"/>
    <w:charset w:val="00"/>
    <w:family w:val="swiss"/>
    <w:pitch w:val="variable"/>
    <w:sig w:usb0="E1002EFF" w:usb1="C000605B" w:usb2="00000029" w:usb3="00000000" w:csb0="000101FF" w:csb1="00000000"/>
  </w:font>
  <w:font w:name="HFKACP+TimesNewRoman">
    <w:altName w:val="Times New Roman"/>
    <w:panose1 w:val="00000000000000000000"/>
    <w:charset w:val="00"/>
    <w:family w:val="roman"/>
    <w:notTrueType/>
    <w:pitch w:val="default"/>
    <w:sig w:usb0="00000003" w:usb1="00000000" w:usb2="00000000" w:usb3="00000000" w:csb0="00000001" w:csb1="00000000"/>
  </w:font>
  <w:font w:name="Bookman Old Style">
    <w:panose1 w:val="02050604050505020204"/>
    <w:charset w:val="00"/>
    <w:family w:val="roman"/>
    <w:pitch w:val="variable"/>
    <w:sig w:usb0="00000287" w:usb1="00000000" w:usb2="00000000" w:usb3="00000000" w:csb0="0000009F" w:csb1="00000000"/>
  </w:font>
  <w:font w:name="Arial Narrow">
    <w:panose1 w:val="020B0606020202030204"/>
    <w:charset w:val="00"/>
    <w:family w:val="swiss"/>
    <w:pitch w:val="variable"/>
    <w:sig w:usb0="00000287" w:usb1="00000800" w:usb2="00000000" w:usb3="00000000" w:csb0="0000009F" w:csb1="00000000"/>
  </w:font>
  <w:font w:name="Cambria">
    <w:panose1 w:val="02040503050406030204"/>
    <w:charset w:val="00"/>
    <w:family w:val="roman"/>
    <w:pitch w:val="variable"/>
    <w:sig w:usb0="E00006FF" w:usb1="420024FF" w:usb2="02000000" w:usb3="00000000" w:csb0="0000019F" w:csb1="00000000"/>
  </w:font>
  <w:font w:name="ELGMPJ+TimesNewRoman,Bold">
    <w:altName w:val="Times New Roman"/>
    <w:panose1 w:val="00000000000000000000"/>
    <w:charset w:val="00"/>
    <w:family w:val="roman"/>
    <w:notTrueType/>
    <w:pitch w:val="default"/>
    <w:sig w:usb0="00000003" w:usb1="00000000" w:usb2="00000000" w:usb3="00000000" w:csb0="00000001" w:csb1="00000000"/>
  </w:font>
  <w:font w:name="Gautami">
    <w:panose1 w:val="02000500000000000000"/>
    <w:charset w:val="00"/>
    <w:family w:val="swiss"/>
    <w:pitch w:val="variable"/>
    <w:sig w:usb0="00200003" w:usb1="00000000" w:usb2="00000000" w:usb3="00000000" w:csb0="00000001" w:csb1="00000000"/>
  </w:font>
  <w:font w:name="Kalinga">
    <w:charset w:val="00"/>
    <w:family w:val="swiss"/>
    <w:pitch w:val="variable"/>
    <w:sig w:usb0="00080003" w:usb1="00000000" w:usb2="00000000" w:usb3="00000000" w:csb0="00000001" w:csb1="00000000"/>
  </w:font>
  <w:font w:name="Thoma">
    <w:altName w:val="Times New Roman"/>
    <w:panose1 w:val="00000000000000000000"/>
    <w:charset w:val="00"/>
    <w:family w:val="roman"/>
    <w:notTrueType/>
    <w:pitch w:val="default"/>
  </w:font>
  <w:font w:name="Liberation Sans">
    <w:altName w:val="Arial"/>
    <w:charset w:val="01"/>
    <w:family w:val="swiss"/>
    <w:pitch w:val="variable"/>
  </w:font>
  <w:font w:name="Source Han Sans CN">
    <w:panose1 w:val="00000000000000000000"/>
    <w:charset w:val="00"/>
    <w:family w:val="roman"/>
    <w:notTrueType/>
    <w:pitch w:val="default"/>
  </w:font>
  <w:font w:name="Noto Sans Devanagari">
    <w:altName w:val="Times New Roman"/>
    <w:panose1 w:val="00000000000000000000"/>
    <w:charset w:val="00"/>
    <w:family w:val="roman"/>
    <w:notTrueType/>
    <w:pitch w:val="default"/>
  </w:font>
  <w:font w:name="Segoe UI Semibold">
    <w:panose1 w:val="020B0702040204020203"/>
    <w:charset w:val="00"/>
    <w:family w:val="swiss"/>
    <w:pitch w:val="variable"/>
    <w:sig w:usb0="E4002EFF" w:usb1="C000E47F" w:usb2="00000009" w:usb3="00000000" w:csb0="000001FF" w:csb1="00000000"/>
  </w:font>
  <w:font w:name="Segoe UI">
    <w:panose1 w:val="020B0502040204020203"/>
    <w:charset w:val="00"/>
    <w:family w:val="swiss"/>
    <w:pitch w:val="variable"/>
    <w:sig w:usb0="E4002EFF" w:usb1="C000E47F" w:usb2="00000009" w:usb3="00000000" w:csb0="000001FF" w:csb1="00000000"/>
  </w:font>
  <w:font w:name="Trebuchet MS">
    <w:panose1 w:val="020B0603020202020204"/>
    <w:charset w:val="00"/>
    <w:family w:val="swiss"/>
    <w:pitch w:val="variable"/>
    <w:sig w:usb0="00000687" w:usb1="00000000" w:usb2="00000000" w:usb3="00000000" w:csb0="0000009F" w:csb1="00000000"/>
  </w:font>
  <w:font w:name="Arial MT">
    <w:altName w:val="Arial"/>
    <w:charset w:val="01"/>
    <w:family w:val="swiss"/>
    <w:pitch w:val="variable"/>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4A04A5B" w14:textId="4DF8D8D6" w:rsidR="00535B24" w:rsidRDefault="00535B24">
    <w:pPr>
      <w:pStyle w:val="Footer"/>
    </w:pPr>
    <w:r>
      <w:tab/>
    </w:r>
    <w:r>
      <w:rPr>
        <w:rStyle w:val="PageNumber"/>
      </w:rPr>
      <w:fldChar w:fldCharType="begin"/>
    </w:r>
    <w:r>
      <w:rPr>
        <w:rStyle w:val="PageNumber"/>
      </w:rPr>
      <w:instrText xml:space="preserve"> PAGE </w:instrText>
    </w:r>
    <w:r>
      <w:rPr>
        <w:rStyle w:val="PageNumber"/>
      </w:rPr>
      <w:fldChar w:fldCharType="separate"/>
    </w:r>
    <w:r>
      <w:rPr>
        <w:rStyle w:val="PageNumber"/>
        <w:noProof/>
      </w:rPr>
      <w:t>176</w:t>
    </w:r>
    <w:r>
      <w:rPr>
        <w:rStyle w:val="PageNumber"/>
      </w:rPr>
      <w:fldChar w:fldCharType="end"/>
    </w:r>
  </w:p>
  <w:p w14:paraId="53CECE8F" w14:textId="77777777" w:rsidR="00535B24" w:rsidRDefault="00535B24"/>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A03E1E9" w14:textId="77777777" w:rsidR="00012886" w:rsidRDefault="00012886">
      <w:r>
        <w:separator/>
      </w:r>
    </w:p>
  </w:footnote>
  <w:footnote w:type="continuationSeparator" w:id="0">
    <w:p w14:paraId="0E8043C7" w14:textId="77777777" w:rsidR="00012886" w:rsidRDefault="0001288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4A04A5A" w14:textId="04C6B8D6" w:rsidR="00535B24" w:rsidRPr="00976659" w:rsidRDefault="00535B24" w:rsidP="39E22009">
    <w:pPr>
      <w:pStyle w:val="Header"/>
      <w:ind w:hanging="993"/>
      <w:rPr>
        <w:rFonts w:ascii="Arial" w:hAnsi="Arial" w:cs="Arial"/>
        <w:i/>
        <w:iCs/>
        <w:u w:val="single"/>
      </w:rPr>
    </w:pPr>
    <w:r>
      <w:rPr>
        <w:noProof/>
        <w:lang w:val="en-IN" w:eastAsia="en-IN"/>
      </w:rPr>
      <w:drawing>
        <wp:anchor distT="0" distB="0" distL="114300" distR="114300" simplePos="0" relativeHeight="251659264" behindDoc="0" locked="0" layoutInCell="1" allowOverlap="1" wp14:anchorId="0DE603FD" wp14:editId="1429E679">
          <wp:simplePos x="0" y="0"/>
          <wp:positionH relativeFrom="margin">
            <wp:posOffset>4747260</wp:posOffset>
          </wp:positionH>
          <wp:positionV relativeFrom="paragraph">
            <wp:posOffset>-123825</wp:posOffset>
          </wp:positionV>
          <wp:extent cx="1257300" cy="295275"/>
          <wp:effectExtent l="0" t="0" r="0" b="9525"/>
          <wp:wrapSquare wrapText="bothSides"/>
          <wp:docPr id="212922770" name="Picture 2129227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1257300" cy="29527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39E22009">
      <w:rPr>
        <w:rFonts w:ascii="Arial" w:hAnsi="Arial" w:cs="Arial"/>
        <w:i/>
        <w:iCs/>
      </w:rPr>
      <w:t xml:space="preserve">        </w:t>
    </w:r>
    <w:r>
      <w:rPr>
        <w:rFonts w:ascii="Arial" w:hAnsi="Arial" w:cs="Arial"/>
        <w:i/>
        <w:iCs/>
      </w:rPr>
      <w:t xml:space="preserve">           </w:t>
    </w:r>
    <w:r w:rsidRPr="39E22009">
      <w:rPr>
        <w:rFonts w:ascii="Arial" w:hAnsi="Arial" w:cs="Arial"/>
        <w:i/>
        <w:iCs/>
        <w:u w:val="single"/>
      </w:rPr>
      <w:t xml:space="preserve">TPNODL ARR Application FY 2025-26  </w:t>
    </w:r>
    <w:r w:rsidRPr="00976659">
      <w:rPr>
        <w:rFonts w:ascii="Arial" w:hAnsi="Arial" w:cs="Arial"/>
        <w:u w:val="single"/>
      </w:rPr>
      <w:t xml:space="preserve">                                                   </w:t>
    </w:r>
  </w:p>
  <w:p w14:paraId="77E58473" w14:textId="77777777" w:rsidR="00535B24" w:rsidRDefault="00535B24"/>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89"/>
    <w:multiLevelType w:val="singleLevel"/>
    <w:tmpl w:val="73526A7C"/>
    <w:lvl w:ilvl="0">
      <w:start w:val="1"/>
      <w:numFmt w:val="bullet"/>
      <w:pStyle w:val="ListBullet"/>
      <w:lvlText w:val=""/>
      <w:lvlJc w:val="left"/>
      <w:pPr>
        <w:tabs>
          <w:tab w:val="num" w:pos="540"/>
        </w:tabs>
        <w:ind w:left="540" w:hanging="360"/>
      </w:pPr>
      <w:rPr>
        <w:rFonts w:ascii="Symbol" w:hAnsi="Symbol" w:hint="default"/>
      </w:rPr>
    </w:lvl>
  </w:abstractNum>
  <w:abstractNum w:abstractNumId="1" w15:restartNumberingAfterBreak="0">
    <w:nsid w:val="00000004"/>
    <w:multiLevelType w:val="hybridMultilevel"/>
    <w:tmpl w:val="1716703A"/>
    <w:lvl w:ilvl="0" w:tplc="FFFFFFFF">
      <w:start w:val="1"/>
      <w:numFmt w:val="decimal"/>
      <w:lvlText w:val="%1)"/>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2" w15:restartNumberingAfterBreak="0">
    <w:nsid w:val="00000005"/>
    <w:multiLevelType w:val="hybridMultilevel"/>
    <w:tmpl w:val="8E8E7F86"/>
    <w:lvl w:ilvl="0" w:tplc="FFFFFFFF">
      <w:start w:val="3"/>
      <w:numFmt w:val="decimal"/>
      <w:lvlText w:val="%1)"/>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3" w15:restartNumberingAfterBreak="0">
    <w:nsid w:val="00000011"/>
    <w:multiLevelType w:val="hybridMultilevel"/>
    <w:tmpl w:val="7A6D8D3C"/>
    <w:lvl w:ilvl="0" w:tplc="FFFFFFFF">
      <w:start w:val="1"/>
      <w:numFmt w:val="lowerLetter"/>
      <w:lvlText w:val="%1."/>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4" w15:restartNumberingAfterBreak="0">
    <w:nsid w:val="00ED302A"/>
    <w:multiLevelType w:val="hybridMultilevel"/>
    <w:tmpl w:val="FD264342"/>
    <w:lvl w:ilvl="0" w:tplc="4009000B">
      <w:start w:val="1"/>
      <w:numFmt w:val="bullet"/>
      <w:lvlText w:val=""/>
      <w:lvlJc w:val="left"/>
      <w:pPr>
        <w:ind w:left="1070" w:hanging="360"/>
      </w:pPr>
      <w:rPr>
        <w:rFonts w:ascii="Wingdings" w:hAnsi="Wingdings" w:hint="default"/>
      </w:rPr>
    </w:lvl>
    <w:lvl w:ilvl="1" w:tplc="40090003" w:tentative="1">
      <w:start w:val="1"/>
      <w:numFmt w:val="bullet"/>
      <w:lvlText w:val="o"/>
      <w:lvlJc w:val="left"/>
      <w:pPr>
        <w:ind w:left="1790" w:hanging="360"/>
      </w:pPr>
      <w:rPr>
        <w:rFonts w:ascii="Courier New" w:hAnsi="Courier New" w:cs="Courier New" w:hint="default"/>
      </w:rPr>
    </w:lvl>
    <w:lvl w:ilvl="2" w:tplc="40090005" w:tentative="1">
      <w:start w:val="1"/>
      <w:numFmt w:val="bullet"/>
      <w:lvlText w:val=""/>
      <w:lvlJc w:val="left"/>
      <w:pPr>
        <w:ind w:left="2510" w:hanging="360"/>
      </w:pPr>
      <w:rPr>
        <w:rFonts w:ascii="Wingdings" w:hAnsi="Wingdings" w:hint="default"/>
      </w:rPr>
    </w:lvl>
    <w:lvl w:ilvl="3" w:tplc="40090001" w:tentative="1">
      <w:start w:val="1"/>
      <w:numFmt w:val="bullet"/>
      <w:lvlText w:val=""/>
      <w:lvlJc w:val="left"/>
      <w:pPr>
        <w:ind w:left="3230" w:hanging="360"/>
      </w:pPr>
      <w:rPr>
        <w:rFonts w:ascii="Symbol" w:hAnsi="Symbol" w:hint="default"/>
      </w:rPr>
    </w:lvl>
    <w:lvl w:ilvl="4" w:tplc="40090003" w:tentative="1">
      <w:start w:val="1"/>
      <w:numFmt w:val="bullet"/>
      <w:lvlText w:val="o"/>
      <w:lvlJc w:val="left"/>
      <w:pPr>
        <w:ind w:left="3950" w:hanging="360"/>
      </w:pPr>
      <w:rPr>
        <w:rFonts w:ascii="Courier New" w:hAnsi="Courier New" w:cs="Courier New" w:hint="default"/>
      </w:rPr>
    </w:lvl>
    <w:lvl w:ilvl="5" w:tplc="40090005" w:tentative="1">
      <w:start w:val="1"/>
      <w:numFmt w:val="bullet"/>
      <w:lvlText w:val=""/>
      <w:lvlJc w:val="left"/>
      <w:pPr>
        <w:ind w:left="4670" w:hanging="360"/>
      </w:pPr>
      <w:rPr>
        <w:rFonts w:ascii="Wingdings" w:hAnsi="Wingdings" w:hint="default"/>
      </w:rPr>
    </w:lvl>
    <w:lvl w:ilvl="6" w:tplc="40090001" w:tentative="1">
      <w:start w:val="1"/>
      <w:numFmt w:val="bullet"/>
      <w:lvlText w:val=""/>
      <w:lvlJc w:val="left"/>
      <w:pPr>
        <w:ind w:left="5390" w:hanging="360"/>
      </w:pPr>
      <w:rPr>
        <w:rFonts w:ascii="Symbol" w:hAnsi="Symbol" w:hint="default"/>
      </w:rPr>
    </w:lvl>
    <w:lvl w:ilvl="7" w:tplc="40090003" w:tentative="1">
      <w:start w:val="1"/>
      <w:numFmt w:val="bullet"/>
      <w:lvlText w:val="o"/>
      <w:lvlJc w:val="left"/>
      <w:pPr>
        <w:ind w:left="6110" w:hanging="360"/>
      </w:pPr>
      <w:rPr>
        <w:rFonts w:ascii="Courier New" w:hAnsi="Courier New" w:cs="Courier New" w:hint="default"/>
      </w:rPr>
    </w:lvl>
    <w:lvl w:ilvl="8" w:tplc="40090005" w:tentative="1">
      <w:start w:val="1"/>
      <w:numFmt w:val="bullet"/>
      <w:lvlText w:val=""/>
      <w:lvlJc w:val="left"/>
      <w:pPr>
        <w:ind w:left="6830" w:hanging="360"/>
      </w:pPr>
      <w:rPr>
        <w:rFonts w:ascii="Wingdings" w:hAnsi="Wingdings" w:hint="default"/>
      </w:rPr>
    </w:lvl>
  </w:abstractNum>
  <w:abstractNum w:abstractNumId="5" w15:restartNumberingAfterBreak="0">
    <w:nsid w:val="011A6A0E"/>
    <w:multiLevelType w:val="hybridMultilevel"/>
    <w:tmpl w:val="3166978A"/>
    <w:lvl w:ilvl="0" w:tplc="11A8AEA2">
      <w:start w:val="1"/>
      <w:numFmt w:val="lowerLetter"/>
      <w:lvlText w:val="%1)"/>
      <w:lvlJc w:val="left"/>
      <w:pPr>
        <w:ind w:left="1080" w:hanging="360"/>
      </w:pPr>
      <w:rPr>
        <w:rFonts w:hint="default"/>
      </w:rPr>
    </w:lvl>
    <w:lvl w:ilvl="1" w:tplc="40090019" w:tentative="1">
      <w:start w:val="1"/>
      <w:numFmt w:val="lowerLetter"/>
      <w:lvlText w:val="%2."/>
      <w:lvlJc w:val="left"/>
      <w:pPr>
        <w:ind w:left="1800" w:hanging="360"/>
      </w:pPr>
    </w:lvl>
    <w:lvl w:ilvl="2" w:tplc="4009001B" w:tentative="1">
      <w:start w:val="1"/>
      <w:numFmt w:val="lowerRoman"/>
      <w:lvlText w:val="%3."/>
      <w:lvlJc w:val="right"/>
      <w:pPr>
        <w:ind w:left="2520" w:hanging="180"/>
      </w:pPr>
    </w:lvl>
    <w:lvl w:ilvl="3" w:tplc="4009000F" w:tentative="1">
      <w:start w:val="1"/>
      <w:numFmt w:val="decimal"/>
      <w:lvlText w:val="%4."/>
      <w:lvlJc w:val="left"/>
      <w:pPr>
        <w:ind w:left="3240" w:hanging="360"/>
      </w:pPr>
    </w:lvl>
    <w:lvl w:ilvl="4" w:tplc="40090019" w:tentative="1">
      <w:start w:val="1"/>
      <w:numFmt w:val="lowerLetter"/>
      <w:lvlText w:val="%5."/>
      <w:lvlJc w:val="left"/>
      <w:pPr>
        <w:ind w:left="3960" w:hanging="360"/>
      </w:pPr>
    </w:lvl>
    <w:lvl w:ilvl="5" w:tplc="4009001B" w:tentative="1">
      <w:start w:val="1"/>
      <w:numFmt w:val="lowerRoman"/>
      <w:lvlText w:val="%6."/>
      <w:lvlJc w:val="right"/>
      <w:pPr>
        <w:ind w:left="4680" w:hanging="180"/>
      </w:pPr>
    </w:lvl>
    <w:lvl w:ilvl="6" w:tplc="4009000F" w:tentative="1">
      <w:start w:val="1"/>
      <w:numFmt w:val="decimal"/>
      <w:lvlText w:val="%7."/>
      <w:lvlJc w:val="left"/>
      <w:pPr>
        <w:ind w:left="5400" w:hanging="360"/>
      </w:pPr>
    </w:lvl>
    <w:lvl w:ilvl="7" w:tplc="40090019" w:tentative="1">
      <w:start w:val="1"/>
      <w:numFmt w:val="lowerLetter"/>
      <w:lvlText w:val="%8."/>
      <w:lvlJc w:val="left"/>
      <w:pPr>
        <w:ind w:left="6120" w:hanging="360"/>
      </w:pPr>
    </w:lvl>
    <w:lvl w:ilvl="8" w:tplc="4009001B" w:tentative="1">
      <w:start w:val="1"/>
      <w:numFmt w:val="lowerRoman"/>
      <w:lvlText w:val="%9."/>
      <w:lvlJc w:val="right"/>
      <w:pPr>
        <w:ind w:left="6840" w:hanging="180"/>
      </w:pPr>
    </w:lvl>
  </w:abstractNum>
  <w:abstractNum w:abstractNumId="6" w15:restartNumberingAfterBreak="0">
    <w:nsid w:val="022D1CA4"/>
    <w:multiLevelType w:val="hybridMultilevel"/>
    <w:tmpl w:val="A0426E3E"/>
    <w:lvl w:ilvl="0" w:tplc="40090017">
      <w:start w:val="1"/>
      <w:numFmt w:val="lowerLetter"/>
      <w:lvlText w:val="%1)"/>
      <w:lvlJc w:val="left"/>
      <w:pPr>
        <w:ind w:left="720" w:hanging="360"/>
      </w:pPr>
    </w:lvl>
    <w:lvl w:ilvl="1" w:tplc="40090019">
      <w:start w:val="1"/>
      <w:numFmt w:val="lowerLetter"/>
      <w:lvlText w:val="%2."/>
      <w:lvlJc w:val="left"/>
      <w:pPr>
        <w:ind w:left="1440" w:hanging="360"/>
      </w:pPr>
    </w:lvl>
    <w:lvl w:ilvl="2" w:tplc="ADE83EAA">
      <w:start w:val="1"/>
      <w:numFmt w:val="decimal"/>
      <w:lvlText w:val="%3."/>
      <w:lvlJc w:val="left"/>
      <w:pPr>
        <w:ind w:left="2340" w:hanging="360"/>
      </w:pPr>
      <w:rPr>
        <w:rFonts w:hint="default"/>
      </w:r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7" w15:restartNumberingAfterBreak="0">
    <w:nsid w:val="02430418"/>
    <w:multiLevelType w:val="hybridMultilevel"/>
    <w:tmpl w:val="0C6CF2E0"/>
    <w:lvl w:ilvl="0" w:tplc="4009000F">
      <w:start w:val="2"/>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8" w15:restartNumberingAfterBreak="0">
    <w:nsid w:val="049046A6"/>
    <w:multiLevelType w:val="hybridMultilevel"/>
    <w:tmpl w:val="33E43C8A"/>
    <w:lvl w:ilvl="0" w:tplc="4009000B">
      <w:start w:val="1"/>
      <w:numFmt w:val="bullet"/>
      <w:lvlText w:val=""/>
      <w:lvlJc w:val="left"/>
      <w:pPr>
        <w:ind w:left="2760" w:hanging="360"/>
      </w:pPr>
      <w:rPr>
        <w:rFonts w:ascii="Wingdings" w:hAnsi="Wingdings" w:hint="default"/>
      </w:rPr>
    </w:lvl>
    <w:lvl w:ilvl="1" w:tplc="40090003" w:tentative="1">
      <w:start w:val="1"/>
      <w:numFmt w:val="bullet"/>
      <w:lvlText w:val="o"/>
      <w:lvlJc w:val="left"/>
      <w:pPr>
        <w:ind w:left="3480" w:hanging="360"/>
      </w:pPr>
      <w:rPr>
        <w:rFonts w:ascii="Courier New" w:hAnsi="Courier New" w:cs="Courier New" w:hint="default"/>
      </w:rPr>
    </w:lvl>
    <w:lvl w:ilvl="2" w:tplc="40090005" w:tentative="1">
      <w:start w:val="1"/>
      <w:numFmt w:val="bullet"/>
      <w:lvlText w:val=""/>
      <w:lvlJc w:val="left"/>
      <w:pPr>
        <w:ind w:left="4200" w:hanging="360"/>
      </w:pPr>
      <w:rPr>
        <w:rFonts w:ascii="Wingdings" w:hAnsi="Wingdings" w:hint="default"/>
      </w:rPr>
    </w:lvl>
    <w:lvl w:ilvl="3" w:tplc="40090001" w:tentative="1">
      <w:start w:val="1"/>
      <w:numFmt w:val="bullet"/>
      <w:lvlText w:val=""/>
      <w:lvlJc w:val="left"/>
      <w:pPr>
        <w:ind w:left="4920" w:hanging="360"/>
      </w:pPr>
      <w:rPr>
        <w:rFonts w:ascii="Symbol" w:hAnsi="Symbol" w:hint="default"/>
      </w:rPr>
    </w:lvl>
    <w:lvl w:ilvl="4" w:tplc="40090003" w:tentative="1">
      <w:start w:val="1"/>
      <w:numFmt w:val="bullet"/>
      <w:lvlText w:val="o"/>
      <w:lvlJc w:val="left"/>
      <w:pPr>
        <w:ind w:left="5640" w:hanging="360"/>
      </w:pPr>
      <w:rPr>
        <w:rFonts w:ascii="Courier New" w:hAnsi="Courier New" w:cs="Courier New" w:hint="default"/>
      </w:rPr>
    </w:lvl>
    <w:lvl w:ilvl="5" w:tplc="40090005" w:tentative="1">
      <w:start w:val="1"/>
      <w:numFmt w:val="bullet"/>
      <w:lvlText w:val=""/>
      <w:lvlJc w:val="left"/>
      <w:pPr>
        <w:ind w:left="6360" w:hanging="360"/>
      </w:pPr>
      <w:rPr>
        <w:rFonts w:ascii="Wingdings" w:hAnsi="Wingdings" w:hint="default"/>
      </w:rPr>
    </w:lvl>
    <w:lvl w:ilvl="6" w:tplc="40090001" w:tentative="1">
      <w:start w:val="1"/>
      <w:numFmt w:val="bullet"/>
      <w:lvlText w:val=""/>
      <w:lvlJc w:val="left"/>
      <w:pPr>
        <w:ind w:left="7080" w:hanging="360"/>
      </w:pPr>
      <w:rPr>
        <w:rFonts w:ascii="Symbol" w:hAnsi="Symbol" w:hint="default"/>
      </w:rPr>
    </w:lvl>
    <w:lvl w:ilvl="7" w:tplc="40090003" w:tentative="1">
      <w:start w:val="1"/>
      <w:numFmt w:val="bullet"/>
      <w:lvlText w:val="o"/>
      <w:lvlJc w:val="left"/>
      <w:pPr>
        <w:ind w:left="7800" w:hanging="360"/>
      </w:pPr>
      <w:rPr>
        <w:rFonts w:ascii="Courier New" w:hAnsi="Courier New" w:cs="Courier New" w:hint="default"/>
      </w:rPr>
    </w:lvl>
    <w:lvl w:ilvl="8" w:tplc="40090005" w:tentative="1">
      <w:start w:val="1"/>
      <w:numFmt w:val="bullet"/>
      <w:lvlText w:val=""/>
      <w:lvlJc w:val="left"/>
      <w:pPr>
        <w:ind w:left="8520" w:hanging="360"/>
      </w:pPr>
      <w:rPr>
        <w:rFonts w:ascii="Wingdings" w:hAnsi="Wingdings" w:hint="default"/>
      </w:rPr>
    </w:lvl>
  </w:abstractNum>
  <w:abstractNum w:abstractNumId="9" w15:restartNumberingAfterBreak="0">
    <w:nsid w:val="06941A23"/>
    <w:multiLevelType w:val="hybridMultilevel"/>
    <w:tmpl w:val="D8142BD8"/>
    <w:lvl w:ilvl="0" w:tplc="40090001">
      <w:start w:val="1"/>
      <w:numFmt w:val="bullet"/>
      <w:lvlText w:val=""/>
      <w:lvlJc w:val="left"/>
      <w:pPr>
        <w:tabs>
          <w:tab w:val="num" w:pos="720"/>
        </w:tabs>
        <w:ind w:left="720" w:hanging="360"/>
      </w:pPr>
      <w:rPr>
        <w:rFonts w:ascii="Symbol" w:hAnsi="Symbol" w:hint="default"/>
      </w:rPr>
    </w:lvl>
    <w:lvl w:ilvl="1" w:tplc="8DA0A424" w:tentative="1">
      <w:start w:val="1"/>
      <w:numFmt w:val="bullet"/>
      <w:lvlText w:val=""/>
      <w:lvlJc w:val="left"/>
      <w:pPr>
        <w:tabs>
          <w:tab w:val="num" w:pos="1440"/>
        </w:tabs>
        <w:ind w:left="1440" w:hanging="360"/>
      </w:pPr>
      <w:rPr>
        <w:rFonts w:ascii="Wingdings" w:hAnsi="Wingdings" w:hint="default"/>
      </w:rPr>
    </w:lvl>
    <w:lvl w:ilvl="2" w:tplc="8A0A47FC" w:tentative="1">
      <w:start w:val="1"/>
      <w:numFmt w:val="bullet"/>
      <w:lvlText w:val=""/>
      <w:lvlJc w:val="left"/>
      <w:pPr>
        <w:tabs>
          <w:tab w:val="num" w:pos="2160"/>
        </w:tabs>
        <w:ind w:left="2160" w:hanging="360"/>
      </w:pPr>
      <w:rPr>
        <w:rFonts w:ascii="Wingdings" w:hAnsi="Wingdings" w:hint="default"/>
      </w:rPr>
    </w:lvl>
    <w:lvl w:ilvl="3" w:tplc="EBF0D940" w:tentative="1">
      <w:start w:val="1"/>
      <w:numFmt w:val="bullet"/>
      <w:lvlText w:val=""/>
      <w:lvlJc w:val="left"/>
      <w:pPr>
        <w:tabs>
          <w:tab w:val="num" w:pos="2880"/>
        </w:tabs>
        <w:ind w:left="2880" w:hanging="360"/>
      </w:pPr>
      <w:rPr>
        <w:rFonts w:ascii="Wingdings" w:hAnsi="Wingdings" w:hint="default"/>
      </w:rPr>
    </w:lvl>
    <w:lvl w:ilvl="4" w:tplc="0A000832" w:tentative="1">
      <w:start w:val="1"/>
      <w:numFmt w:val="bullet"/>
      <w:lvlText w:val=""/>
      <w:lvlJc w:val="left"/>
      <w:pPr>
        <w:tabs>
          <w:tab w:val="num" w:pos="3600"/>
        </w:tabs>
        <w:ind w:left="3600" w:hanging="360"/>
      </w:pPr>
      <w:rPr>
        <w:rFonts w:ascii="Wingdings" w:hAnsi="Wingdings" w:hint="default"/>
      </w:rPr>
    </w:lvl>
    <w:lvl w:ilvl="5" w:tplc="D5E68890" w:tentative="1">
      <w:start w:val="1"/>
      <w:numFmt w:val="bullet"/>
      <w:lvlText w:val=""/>
      <w:lvlJc w:val="left"/>
      <w:pPr>
        <w:tabs>
          <w:tab w:val="num" w:pos="4320"/>
        </w:tabs>
        <w:ind w:left="4320" w:hanging="360"/>
      </w:pPr>
      <w:rPr>
        <w:rFonts w:ascii="Wingdings" w:hAnsi="Wingdings" w:hint="default"/>
      </w:rPr>
    </w:lvl>
    <w:lvl w:ilvl="6" w:tplc="984ADC78" w:tentative="1">
      <w:start w:val="1"/>
      <w:numFmt w:val="bullet"/>
      <w:lvlText w:val=""/>
      <w:lvlJc w:val="left"/>
      <w:pPr>
        <w:tabs>
          <w:tab w:val="num" w:pos="5040"/>
        </w:tabs>
        <w:ind w:left="5040" w:hanging="360"/>
      </w:pPr>
      <w:rPr>
        <w:rFonts w:ascii="Wingdings" w:hAnsi="Wingdings" w:hint="default"/>
      </w:rPr>
    </w:lvl>
    <w:lvl w:ilvl="7" w:tplc="8A509648" w:tentative="1">
      <w:start w:val="1"/>
      <w:numFmt w:val="bullet"/>
      <w:lvlText w:val=""/>
      <w:lvlJc w:val="left"/>
      <w:pPr>
        <w:tabs>
          <w:tab w:val="num" w:pos="5760"/>
        </w:tabs>
        <w:ind w:left="5760" w:hanging="360"/>
      </w:pPr>
      <w:rPr>
        <w:rFonts w:ascii="Wingdings" w:hAnsi="Wingdings" w:hint="default"/>
      </w:rPr>
    </w:lvl>
    <w:lvl w:ilvl="8" w:tplc="D55A8588"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06D11F67"/>
    <w:multiLevelType w:val="hybridMultilevel"/>
    <w:tmpl w:val="F8847C16"/>
    <w:lvl w:ilvl="0" w:tplc="4009000B">
      <w:start w:val="1"/>
      <w:numFmt w:val="bullet"/>
      <w:lvlText w:val=""/>
      <w:lvlJc w:val="left"/>
      <w:pPr>
        <w:ind w:left="720" w:hanging="360"/>
      </w:pPr>
      <w:rPr>
        <w:rFonts w:ascii="Wingdings" w:hAnsi="Wingdings"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1" w15:restartNumberingAfterBreak="0">
    <w:nsid w:val="09180D46"/>
    <w:multiLevelType w:val="hybridMultilevel"/>
    <w:tmpl w:val="B7F6D2D0"/>
    <w:lvl w:ilvl="0" w:tplc="2FFE9CCE">
      <w:start w:val="1"/>
      <w:numFmt w:val="bullet"/>
      <w:lvlText w:val="•"/>
      <w:lvlJc w:val="left"/>
      <w:pPr>
        <w:tabs>
          <w:tab w:val="num" w:pos="720"/>
        </w:tabs>
        <w:ind w:left="720" w:hanging="360"/>
      </w:pPr>
      <w:rPr>
        <w:rFonts w:ascii="Arial" w:hAnsi="Arial" w:hint="default"/>
      </w:rPr>
    </w:lvl>
    <w:lvl w:ilvl="1" w:tplc="126E72D6" w:tentative="1">
      <w:start w:val="1"/>
      <w:numFmt w:val="bullet"/>
      <w:lvlText w:val="•"/>
      <w:lvlJc w:val="left"/>
      <w:pPr>
        <w:tabs>
          <w:tab w:val="num" w:pos="1440"/>
        </w:tabs>
        <w:ind w:left="1440" w:hanging="360"/>
      </w:pPr>
      <w:rPr>
        <w:rFonts w:ascii="Arial" w:hAnsi="Arial" w:hint="default"/>
      </w:rPr>
    </w:lvl>
    <w:lvl w:ilvl="2" w:tplc="09F42C8C" w:tentative="1">
      <w:start w:val="1"/>
      <w:numFmt w:val="bullet"/>
      <w:lvlText w:val="•"/>
      <w:lvlJc w:val="left"/>
      <w:pPr>
        <w:tabs>
          <w:tab w:val="num" w:pos="2160"/>
        </w:tabs>
        <w:ind w:left="2160" w:hanging="360"/>
      </w:pPr>
      <w:rPr>
        <w:rFonts w:ascii="Arial" w:hAnsi="Arial" w:hint="default"/>
      </w:rPr>
    </w:lvl>
    <w:lvl w:ilvl="3" w:tplc="5160465E" w:tentative="1">
      <w:start w:val="1"/>
      <w:numFmt w:val="bullet"/>
      <w:lvlText w:val="•"/>
      <w:lvlJc w:val="left"/>
      <w:pPr>
        <w:tabs>
          <w:tab w:val="num" w:pos="2880"/>
        </w:tabs>
        <w:ind w:left="2880" w:hanging="360"/>
      </w:pPr>
      <w:rPr>
        <w:rFonts w:ascii="Arial" w:hAnsi="Arial" w:hint="default"/>
      </w:rPr>
    </w:lvl>
    <w:lvl w:ilvl="4" w:tplc="DADCD13C" w:tentative="1">
      <w:start w:val="1"/>
      <w:numFmt w:val="bullet"/>
      <w:lvlText w:val="•"/>
      <w:lvlJc w:val="left"/>
      <w:pPr>
        <w:tabs>
          <w:tab w:val="num" w:pos="3600"/>
        </w:tabs>
        <w:ind w:left="3600" w:hanging="360"/>
      </w:pPr>
      <w:rPr>
        <w:rFonts w:ascii="Arial" w:hAnsi="Arial" w:hint="default"/>
      </w:rPr>
    </w:lvl>
    <w:lvl w:ilvl="5" w:tplc="9E721C34" w:tentative="1">
      <w:start w:val="1"/>
      <w:numFmt w:val="bullet"/>
      <w:lvlText w:val="•"/>
      <w:lvlJc w:val="left"/>
      <w:pPr>
        <w:tabs>
          <w:tab w:val="num" w:pos="4320"/>
        </w:tabs>
        <w:ind w:left="4320" w:hanging="360"/>
      </w:pPr>
      <w:rPr>
        <w:rFonts w:ascii="Arial" w:hAnsi="Arial" w:hint="default"/>
      </w:rPr>
    </w:lvl>
    <w:lvl w:ilvl="6" w:tplc="77429836" w:tentative="1">
      <w:start w:val="1"/>
      <w:numFmt w:val="bullet"/>
      <w:lvlText w:val="•"/>
      <w:lvlJc w:val="left"/>
      <w:pPr>
        <w:tabs>
          <w:tab w:val="num" w:pos="5040"/>
        </w:tabs>
        <w:ind w:left="5040" w:hanging="360"/>
      </w:pPr>
      <w:rPr>
        <w:rFonts w:ascii="Arial" w:hAnsi="Arial" w:hint="default"/>
      </w:rPr>
    </w:lvl>
    <w:lvl w:ilvl="7" w:tplc="D5966EAE" w:tentative="1">
      <w:start w:val="1"/>
      <w:numFmt w:val="bullet"/>
      <w:lvlText w:val="•"/>
      <w:lvlJc w:val="left"/>
      <w:pPr>
        <w:tabs>
          <w:tab w:val="num" w:pos="5760"/>
        </w:tabs>
        <w:ind w:left="5760" w:hanging="360"/>
      </w:pPr>
      <w:rPr>
        <w:rFonts w:ascii="Arial" w:hAnsi="Arial" w:hint="default"/>
      </w:rPr>
    </w:lvl>
    <w:lvl w:ilvl="8" w:tplc="729C4200" w:tentative="1">
      <w:start w:val="1"/>
      <w:numFmt w:val="bullet"/>
      <w:lvlText w:val="•"/>
      <w:lvlJc w:val="left"/>
      <w:pPr>
        <w:tabs>
          <w:tab w:val="num" w:pos="6480"/>
        </w:tabs>
        <w:ind w:left="6480" w:hanging="360"/>
      </w:pPr>
      <w:rPr>
        <w:rFonts w:ascii="Arial" w:hAnsi="Arial" w:hint="default"/>
      </w:rPr>
    </w:lvl>
  </w:abstractNum>
  <w:abstractNum w:abstractNumId="12" w15:restartNumberingAfterBreak="0">
    <w:nsid w:val="0B6857EF"/>
    <w:multiLevelType w:val="hybridMultilevel"/>
    <w:tmpl w:val="8D80FCBC"/>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3" w15:restartNumberingAfterBreak="0">
    <w:nsid w:val="0CBA5D13"/>
    <w:multiLevelType w:val="hybridMultilevel"/>
    <w:tmpl w:val="ECD41B7C"/>
    <w:lvl w:ilvl="0" w:tplc="40090017">
      <w:start w:val="1"/>
      <w:numFmt w:val="lowerLetter"/>
      <w:lvlText w:val="%1)"/>
      <w:lvlJc w:val="left"/>
      <w:pPr>
        <w:ind w:left="1440" w:hanging="360"/>
      </w:pPr>
    </w:lvl>
    <w:lvl w:ilvl="1" w:tplc="40090019">
      <w:start w:val="1"/>
      <w:numFmt w:val="lowerLetter"/>
      <w:lvlText w:val="%2."/>
      <w:lvlJc w:val="left"/>
      <w:pPr>
        <w:ind w:left="2160" w:hanging="360"/>
      </w:pPr>
    </w:lvl>
    <w:lvl w:ilvl="2" w:tplc="4009001B" w:tentative="1">
      <w:start w:val="1"/>
      <w:numFmt w:val="lowerRoman"/>
      <w:lvlText w:val="%3."/>
      <w:lvlJc w:val="right"/>
      <w:pPr>
        <w:ind w:left="2880" w:hanging="180"/>
      </w:pPr>
    </w:lvl>
    <w:lvl w:ilvl="3" w:tplc="4009000F" w:tentative="1">
      <w:start w:val="1"/>
      <w:numFmt w:val="decimal"/>
      <w:lvlText w:val="%4."/>
      <w:lvlJc w:val="left"/>
      <w:pPr>
        <w:ind w:left="3600" w:hanging="360"/>
      </w:pPr>
    </w:lvl>
    <w:lvl w:ilvl="4" w:tplc="40090019" w:tentative="1">
      <w:start w:val="1"/>
      <w:numFmt w:val="lowerLetter"/>
      <w:lvlText w:val="%5."/>
      <w:lvlJc w:val="left"/>
      <w:pPr>
        <w:ind w:left="4320" w:hanging="360"/>
      </w:pPr>
    </w:lvl>
    <w:lvl w:ilvl="5" w:tplc="4009001B" w:tentative="1">
      <w:start w:val="1"/>
      <w:numFmt w:val="lowerRoman"/>
      <w:lvlText w:val="%6."/>
      <w:lvlJc w:val="right"/>
      <w:pPr>
        <w:ind w:left="5040" w:hanging="180"/>
      </w:pPr>
    </w:lvl>
    <w:lvl w:ilvl="6" w:tplc="4009000F" w:tentative="1">
      <w:start w:val="1"/>
      <w:numFmt w:val="decimal"/>
      <w:lvlText w:val="%7."/>
      <w:lvlJc w:val="left"/>
      <w:pPr>
        <w:ind w:left="5760" w:hanging="360"/>
      </w:pPr>
    </w:lvl>
    <w:lvl w:ilvl="7" w:tplc="40090019" w:tentative="1">
      <w:start w:val="1"/>
      <w:numFmt w:val="lowerLetter"/>
      <w:lvlText w:val="%8."/>
      <w:lvlJc w:val="left"/>
      <w:pPr>
        <w:ind w:left="6480" w:hanging="360"/>
      </w:pPr>
    </w:lvl>
    <w:lvl w:ilvl="8" w:tplc="4009001B" w:tentative="1">
      <w:start w:val="1"/>
      <w:numFmt w:val="lowerRoman"/>
      <w:lvlText w:val="%9."/>
      <w:lvlJc w:val="right"/>
      <w:pPr>
        <w:ind w:left="7200" w:hanging="180"/>
      </w:pPr>
    </w:lvl>
  </w:abstractNum>
  <w:abstractNum w:abstractNumId="14" w15:restartNumberingAfterBreak="0">
    <w:nsid w:val="0D731A8A"/>
    <w:multiLevelType w:val="hybridMultilevel"/>
    <w:tmpl w:val="8248662A"/>
    <w:lvl w:ilvl="0" w:tplc="D0CE086E">
      <w:start w:val="1"/>
      <w:numFmt w:val="decimal"/>
      <w:lvlText w:val="%1."/>
      <w:lvlJc w:val="left"/>
      <w:pPr>
        <w:ind w:left="720" w:hanging="360"/>
      </w:pPr>
      <w:rPr>
        <w:rFonts w:hint="default"/>
        <w:b/>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5" w15:restartNumberingAfterBreak="0">
    <w:nsid w:val="175C5B27"/>
    <w:multiLevelType w:val="hybridMultilevel"/>
    <w:tmpl w:val="651AF5A0"/>
    <w:lvl w:ilvl="0" w:tplc="4009001B">
      <w:start w:val="1"/>
      <w:numFmt w:val="lowerLetter"/>
      <w:lvlText w:val="%1)"/>
      <w:lvlJc w:val="left"/>
      <w:pPr>
        <w:ind w:left="1545" w:hanging="360"/>
      </w:pPr>
      <w:rPr>
        <w:rFonts w:cs="Arial" w:hint="default"/>
      </w:rPr>
    </w:lvl>
    <w:lvl w:ilvl="1" w:tplc="40090019" w:tentative="1">
      <w:start w:val="1"/>
      <w:numFmt w:val="lowerLetter"/>
      <w:lvlText w:val="%2."/>
      <w:lvlJc w:val="left"/>
      <w:pPr>
        <w:ind w:left="2265" w:hanging="360"/>
      </w:pPr>
    </w:lvl>
    <w:lvl w:ilvl="2" w:tplc="4009001B" w:tentative="1">
      <w:start w:val="1"/>
      <w:numFmt w:val="lowerRoman"/>
      <w:lvlText w:val="%3."/>
      <w:lvlJc w:val="right"/>
      <w:pPr>
        <w:ind w:left="2985" w:hanging="180"/>
      </w:pPr>
    </w:lvl>
    <w:lvl w:ilvl="3" w:tplc="4009000F" w:tentative="1">
      <w:start w:val="1"/>
      <w:numFmt w:val="decimal"/>
      <w:lvlText w:val="%4."/>
      <w:lvlJc w:val="left"/>
      <w:pPr>
        <w:ind w:left="3705" w:hanging="360"/>
      </w:pPr>
    </w:lvl>
    <w:lvl w:ilvl="4" w:tplc="40090019" w:tentative="1">
      <w:start w:val="1"/>
      <w:numFmt w:val="lowerLetter"/>
      <w:lvlText w:val="%5."/>
      <w:lvlJc w:val="left"/>
      <w:pPr>
        <w:ind w:left="4425" w:hanging="360"/>
      </w:pPr>
    </w:lvl>
    <w:lvl w:ilvl="5" w:tplc="4009001B" w:tentative="1">
      <w:start w:val="1"/>
      <w:numFmt w:val="lowerRoman"/>
      <w:lvlText w:val="%6."/>
      <w:lvlJc w:val="right"/>
      <w:pPr>
        <w:ind w:left="5145" w:hanging="180"/>
      </w:pPr>
    </w:lvl>
    <w:lvl w:ilvl="6" w:tplc="4009000F" w:tentative="1">
      <w:start w:val="1"/>
      <w:numFmt w:val="decimal"/>
      <w:lvlText w:val="%7."/>
      <w:lvlJc w:val="left"/>
      <w:pPr>
        <w:ind w:left="5865" w:hanging="360"/>
      </w:pPr>
    </w:lvl>
    <w:lvl w:ilvl="7" w:tplc="40090019" w:tentative="1">
      <w:start w:val="1"/>
      <w:numFmt w:val="lowerLetter"/>
      <w:lvlText w:val="%8."/>
      <w:lvlJc w:val="left"/>
      <w:pPr>
        <w:ind w:left="6585" w:hanging="360"/>
      </w:pPr>
    </w:lvl>
    <w:lvl w:ilvl="8" w:tplc="4009001B" w:tentative="1">
      <w:start w:val="1"/>
      <w:numFmt w:val="lowerRoman"/>
      <w:lvlText w:val="%9."/>
      <w:lvlJc w:val="right"/>
      <w:pPr>
        <w:ind w:left="7305" w:hanging="180"/>
      </w:pPr>
    </w:lvl>
  </w:abstractNum>
  <w:abstractNum w:abstractNumId="16" w15:restartNumberingAfterBreak="0">
    <w:nsid w:val="17AA10DB"/>
    <w:multiLevelType w:val="hybridMultilevel"/>
    <w:tmpl w:val="C13E163C"/>
    <w:lvl w:ilvl="0" w:tplc="40090001">
      <w:start w:val="1"/>
      <w:numFmt w:val="bullet"/>
      <w:lvlText w:val=""/>
      <w:lvlJc w:val="left"/>
      <w:pPr>
        <w:ind w:left="720" w:hanging="360"/>
      </w:pPr>
      <w:rPr>
        <w:rFonts w:ascii="Symbol" w:hAnsi="Symbol" w:hint="default"/>
      </w:rPr>
    </w:lvl>
    <w:lvl w:ilvl="1" w:tplc="40090003">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7" w15:restartNumberingAfterBreak="0">
    <w:nsid w:val="17FB3CC8"/>
    <w:multiLevelType w:val="multilevel"/>
    <w:tmpl w:val="1848D90C"/>
    <w:lvl w:ilvl="0">
      <w:start w:val="3"/>
      <w:numFmt w:val="decimal"/>
      <w:lvlText w:val="%1"/>
      <w:lvlJc w:val="left"/>
      <w:pPr>
        <w:ind w:left="375" w:hanging="375"/>
      </w:pPr>
      <w:rPr>
        <w:rFonts w:hint="default"/>
      </w:rPr>
    </w:lvl>
    <w:lvl w:ilvl="1">
      <w:start w:val="7"/>
      <w:numFmt w:val="decimal"/>
      <w:lvlText w:val="%1.%2"/>
      <w:lvlJc w:val="left"/>
      <w:pPr>
        <w:ind w:left="1652" w:hanging="375"/>
      </w:pPr>
      <w:rPr>
        <w:rFonts w:hint="default"/>
      </w:rPr>
    </w:lvl>
    <w:lvl w:ilvl="2">
      <w:start w:val="1"/>
      <w:numFmt w:val="decimal"/>
      <w:lvlText w:val="%1.%2.%3"/>
      <w:lvlJc w:val="left"/>
      <w:pPr>
        <w:ind w:left="3272" w:hanging="720"/>
      </w:pPr>
      <w:rPr>
        <w:rFonts w:hint="default"/>
      </w:rPr>
    </w:lvl>
    <w:lvl w:ilvl="3">
      <w:start w:val="1"/>
      <w:numFmt w:val="decimal"/>
      <w:lvlText w:val="%1.%2.%3.%4"/>
      <w:lvlJc w:val="left"/>
      <w:pPr>
        <w:ind w:left="4908" w:hanging="1080"/>
      </w:pPr>
      <w:rPr>
        <w:rFonts w:hint="default"/>
      </w:rPr>
    </w:lvl>
    <w:lvl w:ilvl="4">
      <w:start w:val="1"/>
      <w:numFmt w:val="decimal"/>
      <w:lvlText w:val="%1.%2.%3.%4.%5"/>
      <w:lvlJc w:val="left"/>
      <w:pPr>
        <w:ind w:left="6184" w:hanging="1080"/>
      </w:pPr>
      <w:rPr>
        <w:rFonts w:hint="default"/>
      </w:rPr>
    </w:lvl>
    <w:lvl w:ilvl="5">
      <w:start w:val="1"/>
      <w:numFmt w:val="decimal"/>
      <w:lvlText w:val="%1.%2.%3.%4.%5.%6"/>
      <w:lvlJc w:val="left"/>
      <w:pPr>
        <w:ind w:left="7820" w:hanging="1440"/>
      </w:pPr>
      <w:rPr>
        <w:rFonts w:hint="default"/>
      </w:rPr>
    </w:lvl>
    <w:lvl w:ilvl="6">
      <w:start w:val="1"/>
      <w:numFmt w:val="decimal"/>
      <w:lvlText w:val="%1.%2.%3.%4.%5.%6.%7"/>
      <w:lvlJc w:val="left"/>
      <w:pPr>
        <w:ind w:left="9096" w:hanging="1440"/>
      </w:pPr>
      <w:rPr>
        <w:rFonts w:hint="default"/>
      </w:rPr>
    </w:lvl>
    <w:lvl w:ilvl="7">
      <w:start w:val="1"/>
      <w:numFmt w:val="decimal"/>
      <w:lvlText w:val="%1.%2.%3.%4.%5.%6.%7.%8"/>
      <w:lvlJc w:val="left"/>
      <w:pPr>
        <w:ind w:left="10732" w:hanging="1800"/>
      </w:pPr>
      <w:rPr>
        <w:rFonts w:hint="default"/>
      </w:rPr>
    </w:lvl>
    <w:lvl w:ilvl="8">
      <w:start w:val="1"/>
      <w:numFmt w:val="decimal"/>
      <w:lvlText w:val="%1.%2.%3.%4.%5.%6.%7.%8.%9"/>
      <w:lvlJc w:val="left"/>
      <w:pPr>
        <w:ind w:left="12368" w:hanging="2160"/>
      </w:pPr>
      <w:rPr>
        <w:rFonts w:hint="default"/>
      </w:rPr>
    </w:lvl>
  </w:abstractNum>
  <w:abstractNum w:abstractNumId="18" w15:restartNumberingAfterBreak="0">
    <w:nsid w:val="19E1064C"/>
    <w:multiLevelType w:val="hybridMultilevel"/>
    <w:tmpl w:val="0D12BFA8"/>
    <w:lvl w:ilvl="0" w:tplc="4009000D">
      <w:start w:val="1"/>
      <w:numFmt w:val="bullet"/>
      <w:lvlText w:val=""/>
      <w:lvlJc w:val="left"/>
      <w:pPr>
        <w:ind w:left="1470" w:hanging="360"/>
      </w:pPr>
      <w:rPr>
        <w:rFonts w:ascii="Wingdings" w:hAnsi="Wingdings" w:hint="default"/>
      </w:rPr>
    </w:lvl>
    <w:lvl w:ilvl="1" w:tplc="40090003" w:tentative="1">
      <w:start w:val="1"/>
      <w:numFmt w:val="bullet"/>
      <w:lvlText w:val="o"/>
      <w:lvlJc w:val="left"/>
      <w:pPr>
        <w:ind w:left="2190" w:hanging="360"/>
      </w:pPr>
      <w:rPr>
        <w:rFonts w:ascii="Courier New" w:hAnsi="Courier New" w:cs="Courier New" w:hint="default"/>
      </w:rPr>
    </w:lvl>
    <w:lvl w:ilvl="2" w:tplc="40090005" w:tentative="1">
      <w:start w:val="1"/>
      <w:numFmt w:val="bullet"/>
      <w:lvlText w:val=""/>
      <w:lvlJc w:val="left"/>
      <w:pPr>
        <w:ind w:left="2910" w:hanging="360"/>
      </w:pPr>
      <w:rPr>
        <w:rFonts w:ascii="Wingdings" w:hAnsi="Wingdings" w:hint="default"/>
      </w:rPr>
    </w:lvl>
    <w:lvl w:ilvl="3" w:tplc="40090001" w:tentative="1">
      <w:start w:val="1"/>
      <w:numFmt w:val="bullet"/>
      <w:lvlText w:val=""/>
      <w:lvlJc w:val="left"/>
      <w:pPr>
        <w:ind w:left="3630" w:hanging="360"/>
      </w:pPr>
      <w:rPr>
        <w:rFonts w:ascii="Symbol" w:hAnsi="Symbol" w:hint="default"/>
      </w:rPr>
    </w:lvl>
    <w:lvl w:ilvl="4" w:tplc="40090003" w:tentative="1">
      <w:start w:val="1"/>
      <w:numFmt w:val="bullet"/>
      <w:lvlText w:val="o"/>
      <w:lvlJc w:val="left"/>
      <w:pPr>
        <w:ind w:left="4350" w:hanging="360"/>
      </w:pPr>
      <w:rPr>
        <w:rFonts w:ascii="Courier New" w:hAnsi="Courier New" w:cs="Courier New" w:hint="default"/>
      </w:rPr>
    </w:lvl>
    <w:lvl w:ilvl="5" w:tplc="40090005" w:tentative="1">
      <w:start w:val="1"/>
      <w:numFmt w:val="bullet"/>
      <w:lvlText w:val=""/>
      <w:lvlJc w:val="left"/>
      <w:pPr>
        <w:ind w:left="5070" w:hanging="360"/>
      </w:pPr>
      <w:rPr>
        <w:rFonts w:ascii="Wingdings" w:hAnsi="Wingdings" w:hint="default"/>
      </w:rPr>
    </w:lvl>
    <w:lvl w:ilvl="6" w:tplc="40090001" w:tentative="1">
      <w:start w:val="1"/>
      <w:numFmt w:val="bullet"/>
      <w:lvlText w:val=""/>
      <w:lvlJc w:val="left"/>
      <w:pPr>
        <w:ind w:left="5790" w:hanging="360"/>
      </w:pPr>
      <w:rPr>
        <w:rFonts w:ascii="Symbol" w:hAnsi="Symbol" w:hint="default"/>
      </w:rPr>
    </w:lvl>
    <w:lvl w:ilvl="7" w:tplc="40090003" w:tentative="1">
      <w:start w:val="1"/>
      <w:numFmt w:val="bullet"/>
      <w:lvlText w:val="o"/>
      <w:lvlJc w:val="left"/>
      <w:pPr>
        <w:ind w:left="6510" w:hanging="360"/>
      </w:pPr>
      <w:rPr>
        <w:rFonts w:ascii="Courier New" w:hAnsi="Courier New" w:cs="Courier New" w:hint="default"/>
      </w:rPr>
    </w:lvl>
    <w:lvl w:ilvl="8" w:tplc="40090005" w:tentative="1">
      <w:start w:val="1"/>
      <w:numFmt w:val="bullet"/>
      <w:lvlText w:val=""/>
      <w:lvlJc w:val="left"/>
      <w:pPr>
        <w:ind w:left="7230" w:hanging="360"/>
      </w:pPr>
      <w:rPr>
        <w:rFonts w:ascii="Wingdings" w:hAnsi="Wingdings" w:hint="default"/>
      </w:rPr>
    </w:lvl>
  </w:abstractNum>
  <w:abstractNum w:abstractNumId="19" w15:restartNumberingAfterBreak="0">
    <w:nsid w:val="1A59023F"/>
    <w:multiLevelType w:val="hybridMultilevel"/>
    <w:tmpl w:val="9708B8D4"/>
    <w:lvl w:ilvl="0" w:tplc="2A766E4E">
      <w:numFmt w:val="bullet"/>
      <w:lvlText w:val=""/>
      <w:lvlJc w:val="left"/>
      <w:pPr>
        <w:ind w:left="920" w:hanging="360"/>
      </w:pPr>
      <w:rPr>
        <w:rFonts w:ascii="Symbol" w:eastAsia="Symbol" w:hAnsi="Symbol" w:cs="Symbol" w:hint="default"/>
        <w:b w:val="0"/>
        <w:bCs w:val="0"/>
        <w:i w:val="0"/>
        <w:iCs w:val="0"/>
        <w:spacing w:val="0"/>
        <w:w w:val="100"/>
        <w:sz w:val="22"/>
        <w:szCs w:val="22"/>
        <w:lang w:val="en-US" w:eastAsia="en-US" w:bidi="ar-SA"/>
      </w:rPr>
    </w:lvl>
    <w:lvl w:ilvl="1" w:tplc="0CCE8AC0">
      <w:numFmt w:val="bullet"/>
      <w:lvlText w:val="•"/>
      <w:lvlJc w:val="left"/>
      <w:pPr>
        <w:ind w:left="1796" w:hanging="360"/>
      </w:pPr>
      <w:rPr>
        <w:rFonts w:hint="default"/>
        <w:lang w:val="en-US" w:eastAsia="en-US" w:bidi="ar-SA"/>
      </w:rPr>
    </w:lvl>
    <w:lvl w:ilvl="2" w:tplc="88E08710">
      <w:numFmt w:val="bullet"/>
      <w:lvlText w:val="•"/>
      <w:lvlJc w:val="left"/>
      <w:pPr>
        <w:ind w:left="2672" w:hanging="360"/>
      </w:pPr>
      <w:rPr>
        <w:rFonts w:hint="default"/>
        <w:lang w:val="en-US" w:eastAsia="en-US" w:bidi="ar-SA"/>
      </w:rPr>
    </w:lvl>
    <w:lvl w:ilvl="3" w:tplc="F24CDC96">
      <w:numFmt w:val="bullet"/>
      <w:lvlText w:val="•"/>
      <w:lvlJc w:val="left"/>
      <w:pPr>
        <w:ind w:left="3548" w:hanging="360"/>
      </w:pPr>
      <w:rPr>
        <w:rFonts w:hint="default"/>
        <w:lang w:val="en-US" w:eastAsia="en-US" w:bidi="ar-SA"/>
      </w:rPr>
    </w:lvl>
    <w:lvl w:ilvl="4" w:tplc="E822EC18">
      <w:numFmt w:val="bullet"/>
      <w:lvlText w:val="•"/>
      <w:lvlJc w:val="left"/>
      <w:pPr>
        <w:ind w:left="4424" w:hanging="360"/>
      </w:pPr>
      <w:rPr>
        <w:rFonts w:hint="default"/>
        <w:lang w:val="en-US" w:eastAsia="en-US" w:bidi="ar-SA"/>
      </w:rPr>
    </w:lvl>
    <w:lvl w:ilvl="5" w:tplc="DA707A8A">
      <w:numFmt w:val="bullet"/>
      <w:lvlText w:val="•"/>
      <w:lvlJc w:val="left"/>
      <w:pPr>
        <w:ind w:left="5300" w:hanging="360"/>
      </w:pPr>
      <w:rPr>
        <w:rFonts w:hint="default"/>
        <w:lang w:val="en-US" w:eastAsia="en-US" w:bidi="ar-SA"/>
      </w:rPr>
    </w:lvl>
    <w:lvl w:ilvl="6" w:tplc="9CB447D4">
      <w:numFmt w:val="bullet"/>
      <w:lvlText w:val="•"/>
      <w:lvlJc w:val="left"/>
      <w:pPr>
        <w:ind w:left="6176" w:hanging="360"/>
      </w:pPr>
      <w:rPr>
        <w:rFonts w:hint="default"/>
        <w:lang w:val="en-US" w:eastAsia="en-US" w:bidi="ar-SA"/>
      </w:rPr>
    </w:lvl>
    <w:lvl w:ilvl="7" w:tplc="14763084">
      <w:numFmt w:val="bullet"/>
      <w:lvlText w:val="•"/>
      <w:lvlJc w:val="left"/>
      <w:pPr>
        <w:ind w:left="7052" w:hanging="360"/>
      </w:pPr>
      <w:rPr>
        <w:rFonts w:hint="default"/>
        <w:lang w:val="en-US" w:eastAsia="en-US" w:bidi="ar-SA"/>
      </w:rPr>
    </w:lvl>
    <w:lvl w:ilvl="8" w:tplc="B4048822">
      <w:numFmt w:val="bullet"/>
      <w:lvlText w:val="•"/>
      <w:lvlJc w:val="left"/>
      <w:pPr>
        <w:ind w:left="7928" w:hanging="360"/>
      </w:pPr>
      <w:rPr>
        <w:rFonts w:hint="default"/>
        <w:lang w:val="en-US" w:eastAsia="en-US" w:bidi="ar-SA"/>
      </w:rPr>
    </w:lvl>
  </w:abstractNum>
  <w:abstractNum w:abstractNumId="20" w15:restartNumberingAfterBreak="0">
    <w:nsid w:val="212714B6"/>
    <w:multiLevelType w:val="hybridMultilevel"/>
    <w:tmpl w:val="D67E230A"/>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1" w15:restartNumberingAfterBreak="0">
    <w:nsid w:val="228E51A9"/>
    <w:multiLevelType w:val="hybridMultilevel"/>
    <w:tmpl w:val="88F24D86"/>
    <w:lvl w:ilvl="0" w:tplc="4009000B">
      <w:start w:val="1"/>
      <w:numFmt w:val="bullet"/>
      <w:lvlText w:val=""/>
      <w:lvlJc w:val="left"/>
      <w:pPr>
        <w:ind w:left="720" w:hanging="360"/>
      </w:pPr>
      <w:rPr>
        <w:rFonts w:ascii="Wingdings" w:hAnsi="Wingdings"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2" w15:restartNumberingAfterBreak="0">
    <w:nsid w:val="239D02BD"/>
    <w:multiLevelType w:val="multilevel"/>
    <w:tmpl w:val="7D68A17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3" w15:restartNumberingAfterBreak="0">
    <w:nsid w:val="23D1842D"/>
    <w:multiLevelType w:val="hybridMultilevel"/>
    <w:tmpl w:val="76EEE374"/>
    <w:lvl w:ilvl="0" w:tplc="7374C58C">
      <w:start w:val="1"/>
      <w:numFmt w:val="bullet"/>
      <w:lvlText w:val="·"/>
      <w:lvlJc w:val="left"/>
      <w:pPr>
        <w:ind w:left="720" w:hanging="360"/>
      </w:pPr>
      <w:rPr>
        <w:rFonts w:ascii="Symbol" w:hAnsi="Symbol" w:hint="default"/>
      </w:rPr>
    </w:lvl>
    <w:lvl w:ilvl="1" w:tplc="1F8A4204">
      <w:start w:val="1"/>
      <w:numFmt w:val="bullet"/>
      <w:lvlText w:val="o"/>
      <w:lvlJc w:val="left"/>
      <w:pPr>
        <w:ind w:left="1440" w:hanging="360"/>
      </w:pPr>
      <w:rPr>
        <w:rFonts w:ascii="Courier New" w:hAnsi="Courier New" w:hint="default"/>
      </w:rPr>
    </w:lvl>
    <w:lvl w:ilvl="2" w:tplc="E9448D42">
      <w:start w:val="1"/>
      <w:numFmt w:val="bullet"/>
      <w:lvlText w:val=""/>
      <w:lvlJc w:val="left"/>
      <w:pPr>
        <w:ind w:left="2160" w:hanging="360"/>
      </w:pPr>
      <w:rPr>
        <w:rFonts w:ascii="Wingdings" w:hAnsi="Wingdings" w:hint="default"/>
      </w:rPr>
    </w:lvl>
    <w:lvl w:ilvl="3" w:tplc="A09C2062">
      <w:start w:val="1"/>
      <w:numFmt w:val="bullet"/>
      <w:lvlText w:val=""/>
      <w:lvlJc w:val="left"/>
      <w:pPr>
        <w:ind w:left="2880" w:hanging="360"/>
      </w:pPr>
      <w:rPr>
        <w:rFonts w:ascii="Symbol" w:hAnsi="Symbol" w:hint="default"/>
      </w:rPr>
    </w:lvl>
    <w:lvl w:ilvl="4" w:tplc="95C87F6E">
      <w:start w:val="1"/>
      <w:numFmt w:val="bullet"/>
      <w:lvlText w:val="o"/>
      <w:lvlJc w:val="left"/>
      <w:pPr>
        <w:ind w:left="3600" w:hanging="360"/>
      </w:pPr>
      <w:rPr>
        <w:rFonts w:ascii="Courier New" w:hAnsi="Courier New" w:hint="default"/>
      </w:rPr>
    </w:lvl>
    <w:lvl w:ilvl="5" w:tplc="1D54A922">
      <w:start w:val="1"/>
      <w:numFmt w:val="bullet"/>
      <w:lvlText w:val=""/>
      <w:lvlJc w:val="left"/>
      <w:pPr>
        <w:ind w:left="4320" w:hanging="360"/>
      </w:pPr>
      <w:rPr>
        <w:rFonts w:ascii="Wingdings" w:hAnsi="Wingdings" w:hint="default"/>
      </w:rPr>
    </w:lvl>
    <w:lvl w:ilvl="6" w:tplc="28A00208">
      <w:start w:val="1"/>
      <w:numFmt w:val="bullet"/>
      <w:lvlText w:val=""/>
      <w:lvlJc w:val="left"/>
      <w:pPr>
        <w:ind w:left="5040" w:hanging="360"/>
      </w:pPr>
      <w:rPr>
        <w:rFonts w:ascii="Symbol" w:hAnsi="Symbol" w:hint="default"/>
      </w:rPr>
    </w:lvl>
    <w:lvl w:ilvl="7" w:tplc="476EC53A">
      <w:start w:val="1"/>
      <w:numFmt w:val="bullet"/>
      <w:lvlText w:val="o"/>
      <w:lvlJc w:val="left"/>
      <w:pPr>
        <w:ind w:left="5760" w:hanging="360"/>
      </w:pPr>
      <w:rPr>
        <w:rFonts w:ascii="Courier New" w:hAnsi="Courier New" w:hint="default"/>
      </w:rPr>
    </w:lvl>
    <w:lvl w:ilvl="8" w:tplc="D056F868">
      <w:start w:val="1"/>
      <w:numFmt w:val="bullet"/>
      <w:lvlText w:val=""/>
      <w:lvlJc w:val="left"/>
      <w:pPr>
        <w:ind w:left="6480" w:hanging="360"/>
      </w:pPr>
      <w:rPr>
        <w:rFonts w:ascii="Wingdings" w:hAnsi="Wingdings" w:hint="default"/>
      </w:rPr>
    </w:lvl>
  </w:abstractNum>
  <w:abstractNum w:abstractNumId="24" w15:restartNumberingAfterBreak="0">
    <w:nsid w:val="25F260FD"/>
    <w:multiLevelType w:val="hybridMultilevel"/>
    <w:tmpl w:val="51F4911E"/>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5" w15:restartNumberingAfterBreak="0">
    <w:nsid w:val="26333D19"/>
    <w:multiLevelType w:val="hybridMultilevel"/>
    <w:tmpl w:val="4BBAAD70"/>
    <w:lvl w:ilvl="0" w:tplc="4009000D">
      <w:start w:val="1"/>
      <w:numFmt w:val="bullet"/>
      <w:lvlText w:val=""/>
      <w:lvlJc w:val="left"/>
      <w:pPr>
        <w:ind w:left="1080" w:hanging="360"/>
      </w:pPr>
      <w:rPr>
        <w:rFonts w:ascii="Wingdings" w:hAnsi="Wingdings" w:hint="default"/>
      </w:rPr>
    </w:lvl>
    <w:lvl w:ilvl="1" w:tplc="40090019">
      <w:start w:val="1"/>
      <w:numFmt w:val="lowerLetter"/>
      <w:lvlText w:val="%2."/>
      <w:lvlJc w:val="left"/>
      <w:pPr>
        <w:ind w:left="1800" w:hanging="360"/>
      </w:pPr>
    </w:lvl>
    <w:lvl w:ilvl="2" w:tplc="4009001B" w:tentative="1">
      <w:start w:val="1"/>
      <w:numFmt w:val="lowerRoman"/>
      <w:lvlText w:val="%3."/>
      <w:lvlJc w:val="right"/>
      <w:pPr>
        <w:ind w:left="2520" w:hanging="180"/>
      </w:pPr>
    </w:lvl>
    <w:lvl w:ilvl="3" w:tplc="4009000F" w:tentative="1">
      <w:start w:val="1"/>
      <w:numFmt w:val="decimal"/>
      <w:lvlText w:val="%4."/>
      <w:lvlJc w:val="left"/>
      <w:pPr>
        <w:ind w:left="3240" w:hanging="360"/>
      </w:pPr>
    </w:lvl>
    <w:lvl w:ilvl="4" w:tplc="40090019" w:tentative="1">
      <w:start w:val="1"/>
      <w:numFmt w:val="lowerLetter"/>
      <w:lvlText w:val="%5."/>
      <w:lvlJc w:val="left"/>
      <w:pPr>
        <w:ind w:left="3960" w:hanging="360"/>
      </w:pPr>
    </w:lvl>
    <w:lvl w:ilvl="5" w:tplc="4009001B" w:tentative="1">
      <w:start w:val="1"/>
      <w:numFmt w:val="lowerRoman"/>
      <w:lvlText w:val="%6."/>
      <w:lvlJc w:val="right"/>
      <w:pPr>
        <w:ind w:left="4680" w:hanging="180"/>
      </w:pPr>
    </w:lvl>
    <w:lvl w:ilvl="6" w:tplc="4009000F" w:tentative="1">
      <w:start w:val="1"/>
      <w:numFmt w:val="decimal"/>
      <w:lvlText w:val="%7."/>
      <w:lvlJc w:val="left"/>
      <w:pPr>
        <w:ind w:left="5400" w:hanging="360"/>
      </w:pPr>
    </w:lvl>
    <w:lvl w:ilvl="7" w:tplc="40090019" w:tentative="1">
      <w:start w:val="1"/>
      <w:numFmt w:val="lowerLetter"/>
      <w:lvlText w:val="%8."/>
      <w:lvlJc w:val="left"/>
      <w:pPr>
        <w:ind w:left="6120" w:hanging="360"/>
      </w:pPr>
    </w:lvl>
    <w:lvl w:ilvl="8" w:tplc="4009001B" w:tentative="1">
      <w:start w:val="1"/>
      <w:numFmt w:val="lowerRoman"/>
      <w:lvlText w:val="%9."/>
      <w:lvlJc w:val="right"/>
      <w:pPr>
        <w:ind w:left="6840" w:hanging="180"/>
      </w:pPr>
    </w:lvl>
  </w:abstractNum>
  <w:abstractNum w:abstractNumId="26" w15:restartNumberingAfterBreak="0">
    <w:nsid w:val="2838238C"/>
    <w:multiLevelType w:val="multilevel"/>
    <w:tmpl w:val="D6309C66"/>
    <w:lvl w:ilvl="0">
      <w:start w:val="3"/>
      <w:numFmt w:val="decimal"/>
      <w:lvlText w:val="%1."/>
      <w:lvlJc w:val="left"/>
      <w:pPr>
        <w:ind w:left="660" w:hanging="660"/>
      </w:pPr>
      <w:rPr>
        <w:rFonts w:hint="default"/>
        <w:b/>
      </w:rPr>
    </w:lvl>
    <w:lvl w:ilvl="1">
      <w:start w:val="10"/>
      <w:numFmt w:val="decimal"/>
      <w:lvlText w:val="%1.%2."/>
      <w:lvlJc w:val="left"/>
      <w:pPr>
        <w:ind w:left="1477" w:hanging="660"/>
      </w:pPr>
      <w:rPr>
        <w:rFonts w:hint="default"/>
      </w:rPr>
    </w:lvl>
    <w:lvl w:ilvl="2">
      <w:start w:val="1"/>
      <w:numFmt w:val="decimal"/>
      <w:lvlText w:val="%1.%2.%3."/>
      <w:lvlJc w:val="left"/>
      <w:pPr>
        <w:ind w:left="2354" w:hanging="720"/>
      </w:pPr>
      <w:rPr>
        <w:rFonts w:hint="default"/>
      </w:rPr>
    </w:lvl>
    <w:lvl w:ilvl="3">
      <w:start w:val="1"/>
      <w:numFmt w:val="decimal"/>
      <w:lvlText w:val="%1.%2.%3.%4."/>
      <w:lvlJc w:val="left"/>
      <w:pPr>
        <w:ind w:left="3171" w:hanging="720"/>
      </w:pPr>
      <w:rPr>
        <w:rFonts w:hint="default"/>
      </w:rPr>
    </w:lvl>
    <w:lvl w:ilvl="4">
      <w:start w:val="1"/>
      <w:numFmt w:val="decimal"/>
      <w:lvlText w:val="%1.%2.%3.%4.%5."/>
      <w:lvlJc w:val="left"/>
      <w:pPr>
        <w:ind w:left="4348" w:hanging="1080"/>
      </w:pPr>
      <w:rPr>
        <w:rFonts w:hint="default"/>
      </w:rPr>
    </w:lvl>
    <w:lvl w:ilvl="5">
      <w:start w:val="1"/>
      <w:numFmt w:val="decimal"/>
      <w:lvlText w:val="%1.%2.%3.%4.%5.%6."/>
      <w:lvlJc w:val="left"/>
      <w:pPr>
        <w:ind w:left="5165" w:hanging="1080"/>
      </w:pPr>
      <w:rPr>
        <w:rFonts w:hint="default"/>
      </w:rPr>
    </w:lvl>
    <w:lvl w:ilvl="6">
      <w:start w:val="1"/>
      <w:numFmt w:val="decimal"/>
      <w:lvlText w:val="%1.%2.%3.%4.%5.%6.%7."/>
      <w:lvlJc w:val="left"/>
      <w:pPr>
        <w:ind w:left="6342" w:hanging="1440"/>
      </w:pPr>
      <w:rPr>
        <w:rFonts w:hint="default"/>
      </w:rPr>
    </w:lvl>
    <w:lvl w:ilvl="7">
      <w:start w:val="1"/>
      <w:numFmt w:val="decimal"/>
      <w:lvlText w:val="%1.%2.%3.%4.%5.%6.%7.%8."/>
      <w:lvlJc w:val="left"/>
      <w:pPr>
        <w:ind w:left="7159" w:hanging="1440"/>
      </w:pPr>
      <w:rPr>
        <w:rFonts w:hint="default"/>
      </w:rPr>
    </w:lvl>
    <w:lvl w:ilvl="8">
      <w:start w:val="1"/>
      <w:numFmt w:val="decimal"/>
      <w:lvlText w:val="%1.%2.%3.%4.%5.%6.%7.%8.%9."/>
      <w:lvlJc w:val="left"/>
      <w:pPr>
        <w:ind w:left="8336" w:hanging="1800"/>
      </w:pPr>
      <w:rPr>
        <w:rFonts w:hint="default"/>
      </w:rPr>
    </w:lvl>
  </w:abstractNum>
  <w:abstractNum w:abstractNumId="27" w15:restartNumberingAfterBreak="0">
    <w:nsid w:val="2A4608B2"/>
    <w:multiLevelType w:val="hybridMultilevel"/>
    <w:tmpl w:val="97E00976"/>
    <w:lvl w:ilvl="0" w:tplc="6B8EAE8C">
      <w:start w:val="2"/>
      <w:numFmt w:val="lowerRoman"/>
      <w:lvlText w:val="(%1)"/>
      <w:lvlJc w:val="left"/>
      <w:pPr>
        <w:ind w:left="2300" w:hanging="720"/>
      </w:pPr>
      <w:rPr>
        <w:rFonts w:ascii="Times New Roman" w:eastAsia="Times New Roman" w:hAnsi="Times New Roman" w:cs="Times New Roman" w:hint="default"/>
        <w:spacing w:val="-1"/>
        <w:w w:val="99"/>
        <w:sz w:val="24"/>
        <w:szCs w:val="24"/>
        <w:lang w:val="en-US" w:eastAsia="en-US" w:bidi="ar-SA"/>
      </w:rPr>
    </w:lvl>
    <w:lvl w:ilvl="1" w:tplc="E6BC6434">
      <w:numFmt w:val="bullet"/>
      <w:lvlText w:val="•"/>
      <w:lvlJc w:val="left"/>
      <w:pPr>
        <w:ind w:left="2480" w:hanging="720"/>
      </w:pPr>
      <w:rPr>
        <w:rFonts w:hint="default"/>
        <w:lang w:val="en-US" w:eastAsia="en-US" w:bidi="ar-SA"/>
      </w:rPr>
    </w:lvl>
    <w:lvl w:ilvl="2" w:tplc="8CF076AE">
      <w:numFmt w:val="bullet"/>
      <w:lvlText w:val="•"/>
      <w:lvlJc w:val="left"/>
      <w:pPr>
        <w:ind w:left="3504" w:hanging="720"/>
      </w:pPr>
      <w:rPr>
        <w:rFonts w:hint="default"/>
        <w:lang w:val="en-US" w:eastAsia="en-US" w:bidi="ar-SA"/>
      </w:rPr>
    </w:lvl>
    <w:lvl w:ilvl="3" w:tplc="8B023086">
      <w:numFmt w:val="bullet"/>
      <w:lvlText w:val="•"/>
      <w:lvlJc w:val="left"/>
      <w:pPr>
        <w:ind w:left="4528" w:hanging="720"/>
      </w:pPr>
      <w:rPr>
        <w:rFonts w:hint="default"/>
        <w:lang w:val="en-US" w:eastAsia="en-US" w:bidi="ar-SA"/>
      </w:rPr>
    </w:lvl>
    <w:lvl w:ilvl="4" w:tplc="FEC2E974">
      <w:numFmt w:val="bullet"/>
      <w:lvlText w:val="•"/>
      <w:lvlJc w:val="left"/>
      <w:pPr>
        <w:ind w:left="5553" w:hanging="720"/>
      </w:pPr>
      <w:rPr>
        <w:rFonts w:hint="default"/>
        <w:lang w:val="en-US" w:eastAsia="en-US" w:bidi="ar-SA"/>
      </w:rPr>
    </w:lvl>
    <w:lvl w:ilvl="5" w:tplc="98044E0C">
      <w:numFmt w:val="bullet"/>
      <w:lvlText w:val="•"/>
      <w:lvlJc w:val="left"/>
      <w:pPr>
        <w:ind w:left="6577" w:hanging="720"/>
      </w:pPr>
      <w:rPr>
        <w:rFonts w:hint="default"/>
        <w:lang w:val="en-US" w:eastAsia="en-US" w:bidi="ar-SA"/>
      </w:rPr>
    </w:lvl>
    <w:lvl w:ilvl="6" w:tplc="8D3834E4">
      <w:numFmt w:val="bullet"/>
      <w:lvlText w:val="•"/>
      <w:lvlJc w:val="left"/>
      <w:pPr>
        <w:ind w:left="7602" w:hanging="720"/>
      </w:pPr>
      <w:rPr>
        <w:rFonts w:hint="default"/>
        <w:lang w:val="en-US" w:eastAsia="en-US" w:bidi="ar-SA"/>
      </w:rPr>
    </w:lvl>
    <w:lvl w:ilvl="7" w:tplc="89ECA356">
      <w:numFmt w:val="bullet"/>
      <w:lvlText w:val="•"/>
      <w:lvlJc w:val="left"/>
      <w:pPr>
        <w:ind w:left="8626" w:hanging="720"/>
      </w:pPr>
      <w:rPr>
        <w:rFonts w:hint="default"/>
        <w:lang w:val="en-US" w:eastAsia="en-US" w:bidi="ar-SA"/>
      </w:rPr>
    </w:lvl>
    <w:lvl w:ilvl="8" w:tplc="C70A420C">
      <w:numFmt w:val="bullet"/>
      <w:lvlText w:val="•"/>
      <w:lvlJc w:val="left"/>
      <w:pPr>
        <w:ind w:left="9651" w:hanging="720"/>
      </w:pPr>
      <w:rPr>
        <w:rFonts w:hint="default"/>
        <w:lang w:val="en-US" w:eastAsia="en-US" w:bidi="ar-SA"/>
      </w:rPr>
    </w:lvl>
  </w:abstractNum>
  <w:abstractNum w:abstractNumId="28" w15:restartNumberingAfterBreak="0">
    <w:nsid w:val="2CE575CF"/>
    <w:multiLevelType w:val="hybridMultilevel"/>
    <w:tmpl w:val="B17C939C"/>
    <w:lvl w:ilvl="0" w:tplc="4009000B">
      <w:start w:val="1"/>
      <w:numFmt w:val="bullet"/>
      <w:lvlText w:val=""/>
      <w:lvlJc w:val="left"/>
      <w:pPr>
        <w:ind w:left="1305" w:hanging="360"/>
      </w:pPr>
      <w:rPr>
        <w:rFonts w:ascii="Wingdings" w:hAnsi="Wingdings" w:hint="default"/>
      </w:rPr>
    </w:lvl>
    <w:lvl w:ilvl="1" w:tplc="40090003" w:tentative="1">
      <w:start w:val="1"/>
      <w:numFmt w:val="bullet"/>
      <w:lvlText w:val="o"/>
      <w:lvlJc w:val="left"/>
      <w:pPr>
        <w:ind w:left="2025" w:hanging="360"/>
      </w:pPr>
      <w:rPr>
        <w:rFonts w:ascii="Courier New" w:hAnsi="Courier New" w:cs="Courier New" w:hint="default"/>
      </w:rPr>
    </w:lvl>
    <w:lvl w:ilvl="2" w:tplc="40090005" w:tentative="1">
      <w:start w:val="1"/>
      <w:numFmt w:val="bullet"/>
      <w:lvlText w:val=""/>
      <w:lvlJc w:val="left"/>
      <w:pPr>
        <w:ind w:left="2745" w:hanging="360"/>
      </w:pPr>
      <w:rPr>
        <w:rFonts w:ascii="Wingdings" w:hAnsi="Wingdings" w:hint="default"/>
      </w:rPr>
    </w:lvl>
    <w:lvl w:ilvl="3" w:tplc="40090001" w:tentative="1">
      <w:start w:val="1"/>
      <w:numFmt w:val="bullet"/>
      <w:lvlText w:val=""/>
      <w:lvlJc w:val="left"/>
      <w:pPr>
        <w:ind w:left="3465" w:hanging="360"/>
      </w:pPr>
      <w:rPr>
        <w:rFonts w:ascii="Symbol" w:hAnsi="Symbol" w:hint="default"/>
      </w:rPr>
    </w:lvl>
    <w:lvl w:ilvl="4" w:tplc="40090003" w:tentative="1">
      <w:start w:val="1"/>
      <w:numFmt w:val="bullet"/>
      <w:lvlText w:val="o"/>
      <w:lvlJc w:val="left"/>
      <w:pPr>
        <w:ind w:left="4185" w:hanging="360"/>
      </w:pPr>
      <w:rPr>
        <w:rFonts w:ascii="Courier New" w:hAnsi="Courier New" w:cs="Courier New" w:hint="default"/>
      </w:rPr>
    </w:lvl>
    <w:lvl w:ilvl="5" w:tplc="40090005" w:tentative="1">
      <w:start w:val="1"/>
      <w:numFmt w:val="bullet"/>
      <w:lvlText w:val=""/>
      <w:lvlJc w:val="left"/>
      <w:pPr>
        <w:ind w:left="4905" w:hanging="360"/>
      </w:pPr>
      <w:rPr>
        <w:rFonts w:ascii="Wingdings" w:hAnsi="Wingdings" w:hint="default"/>
      </w:rPr>
    </w:lvl>
    <w:lvl w:ilvl="6" w:tplc="40090001" w:tentative="1">
      <w:start w:val="1"/>
      <w:numFmt w:val="bullet"/>
      <w:lvlText w:val=""/>
      <w:lvlJc w:val="left"/>
      <w:pPr>
        <w:ind w:left="5625" w:hanging="360"/>
      </w:pPr>
      <w:rPr>
        <w:rFonts w:ascii="Symbol" w:hAnsi="Symbol" w:hint="default"/>
      </w:rPr>
    </w:lvl>
    <w:lvl w:ilvl="7" w:tplc="40090003" w:tentative="1">
      <w:start w:val="1"/>
      <w:numFmt w:val="bullet"/>
      <w:lvlText w:val="o"/>
      <w:lvlJc w:val="left"/>
      <w:pPr>
        <w:ind w:left="6345" w:hanging="360"/>
      </w:pPr>
      <w:rPr>
        <w:rFonts w:ascii="Courier New" w:hAnsi="Courier New" w:cs="Courier New" w:hint="default"/>
      </w:rPr>
    </w:lvl>
    <w:lvl w:ilvl="8" w:tplc="40090005" w:tentative="1">
      <w:start w:val="1"/>
      <w:numFmt w:val="bullet"/>
      <w:lvlText w:val=""/>
      <w:lvlJc w:val="left"/>
      <w:pPr>
        <w:ind w:left="7065" w:hanging="360"/>
      </w:pPr>
      <w:rPr>
        <w:rFonts w:ascii="Wingdings" w:hAnsi="Wingdings" w:hint="default"/>
      </w:rPr>
    </w:lvl>
  </w:abstractNum>
  <w:abstractNum w:abstractNumId="29" w15:restartNumberingAfterBreak="0">
    <w:nsid w:val="2ED4254E"/>
    <w:multiLevelType w:val="hybridMultilevel"/>
    <w:tmpl w:val="CDA0EA26"/>
    <w:lvl w:ilvl="0" w:tplc="3606FDBE">
      <w:start w:val="1"/>
      <w:numFmt w:val="decimal"/>
      <w:lvlText w:val="%1."/>
      <w:lvlJc w:val="left"/>
      <w:pPr>
        <w:ind w:left="2028" w:hanging="339"/>
      </w:pPr>
      <w:rPr>
        <w:rFonts w:ascii="Calibri" w:eastAsia="Calibri" w:hAnsi="Calibri" w:cs="Calibri" w:hint="default"/>
        <w:b/>
        <w:bCs/>
        <w:w w:val="102"/>
        <w:sz w:val="22"/>
        <w:szCs w:val="22"/>
        <w:lang w:val="en-US" w:eastAsia="en-US" w:bidi="ar-SA"/>
      </w:rPr>
    </w:lvl>
    <w:lvl w:ilvl="1" w:tplc="FF90F8C0">
      <w:numFmt w:val="bullet"/>
      <w:lvlText w:val=""/>
      <w:lvlJc w:val="left"/>
      <w:pPr>
        <w:ind w:left="2705" w:hanging="339"/>
      </w:pPr>
      <w:rPr>
        <w:rFonts w:ascii="Symbol" w:eastAsia="Symbol" w:hAnsi="Symbol" w:cs="Symbol" w:hint="default"/>
        <w:w w:val="102"/>
        <w:sz w:val="22"/>
        <w:szCs w:val="22"/>
        <w:lang w:val="en-US" w:eastAsia="en-US" w:bidi="ar-SA"/>
      </w:rPr>
    </w:lvl>
    <w:lvl w:ilvl="2" w:tplc="813EAC52">
      <w:numFmt w:val="bullet"/>
      <w:lvlText w:val="•"/>
      <w:lvlJc w:val="left"/>
      <w:pPr>
        <w:ind w:left="3535" w:hanging="339"/>
      </w:pPr>
      <w:rPr>
        <w:lang w:val="en-US" w:eastAsia="en-US" w:bidi="ar-SA"/>
      </w:rPr>
    </w:lvl>
    <w:lvl w:ilvl="3" w:tplc="454278AE">
      <w:numFmt w:val="bullet"/>
      <w:lvlText w:val="•"/>
      <w:lvlJc w:val="left"/>
      <w:pPr>
        <w:ind w:left="4371" w:hanging="339"/>
      </w:pPr>
      <w:rPr>
        <w:lang w:val="en-US" w:eastAsia="en-US" w:bidi="ar-SA"/>
      </w:rPr>
    </w:lvl>
    <w:lvl w:ilvl="4" w:tplc="14B8519A">
      <w:numFmt w:val="bullet"/>
      <w:lvlText w:val="•"/>
      <w:lvlJc w:val="left"/>
      <w:pPr>
        <w:ind w:left="5206" w:hanging="339"/>
      </w:pPr>
      <w:rPr>
        <w:lang w:val="en-US" w:eastAsia="en-US" w:bidi="ar-SA"/>
      </w:rPr>
    </w:lvl>
    <w:lvl w:ilvl="5" w:tplc="D548CB90">
      <w:numFmt w:val="bullet"/>
      <w:lvlText w:val="•"/>
      <w:lvlJc w:val="left"/>
      <w:pPr>
        <w:ind w:left="6042" w:hanging="339"/>
      </w:pPr>
      <w:rPr>
        <w:lang w:val="en-US" w:eastAsia="en-US" w:bidi="ar-SA"/>
      </w:rPr>
    </w:lvl>
    <w:lvl w:ilvl="6" w:tplc="0F40524A">
      <w:numFmt w:val="bullet"/>
      <w:lvlText w:val="•"/>
      <w:lvlJc w:val="left"/>
      <w:pPr>
        <w:ind w:left="6877" w:hanging="339"/>
      </w:pPr>
      <w:rPr>
        <w:lang w:val="en-US" w:eastAsia="en-US" w:bidi="ar-SA"/>
      </w:rPr>
    </w:lvl>
    <w:lvl w:ilvl="7" w:tplc="683074A6">
      <w:numFmt w:val="bullet"/>
      <w:lvlText w:val="•"/>
      <w:lvlJc w:val="left"/>
      <w:pPr>
        <w:ind w:left="7713" w:hanging="339"/>
      </w:pPr>
      <w:rPr>
        <w:lang w:val="en-US" w:eastAsia="en-US" w:bidi="ar-SA"/>
      </w:rPr>
    </w:lvl>
    <w:lvl w:ilvl="8" w:tplc="6F2C6F6E">
      <w:numFmt w:val="bullet"/>
      <w:lvlText w:val="•"/>
      <w:lvlJc w:val="left"/>
      <w:pPr>
        <w:ind w:left="8548" w:hanging="339"/>
      </w:pPr>
      <w:rPr>
        <w:lang w:val="en-US" w:eastAsia="en-US" w:bidi="ar-SA"/>
      </w:rPr>
    </w:lvl>
  </w:abstractNum>
  <w:abstractNum w:abstractNumId="30" w15:restartNumberingAfterBreak="0">
    <w:nsid w:val="3073726B"/>
    <w:multiLevelType w:val="hybridMultilevel"/>
    <w:tmpl w:val="8D3A8DE8"/>
    <w:lvl w:ilvl="0" w:tplc="4009000B">
      <w:start w:val="1"/>
      <w:numFmt w:val="bullet"/>
      <w:lvlText w:val=""/>
      <w:lvlJc w:val="left"/>
      <w:pPr>
        <w:ind w:left="1440" w:hanging="360"/>
      </w:pPr>
      <w:rPr>
        <w:rFonts w:ascii="Wingdings" w:hAnsi="Wingdings" w:hint="default"/>
      </w:rPr>
    </w:lvl>
    <w:lvl w:ilvl="1" w:tplc="40090003" w:tentative="1">
      <w:start w:val="1"/>
      <w:numFmt w:val="bullet"/>
      <w:lvlText w:val="o"/>
      <w:lvlJc w:val="left"/>
      <w:pPr>
        <w:ind w:left="2160" w:hanging="360"/>
      </w:pPr>
      <w:rPr>
        <w:rFonts w:ascii="Courier New" w:hAnsi="Courier New" w:cs="Courier New" w:hint="default"/>
      </w:rPr>
    </w:lvl>
    <w:lvl w:ilvl="2" w:tplc="40090005" w:tentative="1">
      <w:start w:val="1"/>
      <w:numFmt w:val="bullet"/>
      <w:lvlText w:val=""/>
      <w:lvlJc w:val="left"/>
      <w:pPr>
        <w:ind w:left="2880" w:hanging="360"/>
      </w:pPr>
      <w:rPr>
        <w:rFonts w:ascii="Wingdings" w:hAnsi="Wingdings" w:hint="default"/>
      </w:rPr>
    </w:lvl>
    <w:lvl w:ilvl="3" w:tplc="40090001" w:tentative="1">
      <w:start w:val="1"/>
      <w:numFmt w:val="bullet"/>
      <w:lvlText w:val=""/>
      <w:lvlJc w:val="left"/>
      <w:pPr>
        <w:ind w:left="3600" w:hanging="360"/>
      </w:pPr>
      <w:rPr>
        <w:rFonts w:ascii="Symbol" w:hAnsi="Symbol" w:hint="default"/>
      </w:rPr>
    </w:lvl>
    <w:lvl w:ilvl="4" w:tplc="40090003" w:tentative="1">
      <w:start w:val="1"/>
      <w:numFmt w:val="bullet"/>
      <w:lvlText w:val="o"/>
      <w:lvlJc w:val="left"/>
      <w:pPr>
        <w:ind w:left="4320" w:hanging="360"/>
      </w:pPr>
      <w:rPr>
        <w:rFonts w:ascii="Courier New" w:hAnsi="Courier New" w:cs="Courier New" w:hint="default"/>
      </w:rPr>
    </w:lvl>
    <w:lvl w:ilvl="5" w:tplc="40090005" w:tentative="1">
      <w:start w:val="1"/>
      <w:numFmt w:val="bullet"/>
      <w:lvlText w:val=""/>
      <w:lvlJc w:val="left"/>
      <w:pPr>
        <w:ind w:left="5040" w:hanging="360"/>
      </w:pPr>
      <w:rPr>
        <w:rFonts w:ascii="Wingdings" w:hAnsi="Wingdings" w:hint="default"/>
      </w:rPr>
    </w:lvl>
    <w:lvl w:ilvl="6" w:tplc="40090001" w:tentative="1">
      <w:start w:val="1"/>
      <w:numFmt w:val="bullet"/>
      <w:lvlText w:val=""/>
      <w:lvlJc w:val="left"/>
      <w:pPr>
        <w:ind w:left="5760" w:hanging="360"/>
      </w:pPr>
      <w:rPr>
        <w:rFonts w:ascii="Symbol" w:hAnsi="Symbol" w:hint="default"/>
      </w:rPr>
    </w:lvl>
    <w:lvl w:ilvl="7" w:tplc="40090003" w:tentative="1">
      <w:start w:val="1"/>
      <w:numFmt w:val="bullet"/>
      <w:lvlText w:val="o"/>
      <w:lvlJc w:val="left"/>
      <w:pPr>
        <w:ind w:left="6480" w:hanging="360"/>
      </w:pPr>
      <w:rPr>
        <w:rFonts w:ascii="Courier New" w:hAnsi="Courier New" w:cs="Courier New" w:hint="default"/>
      </w:rPr>
    </w:lvl>
    <w:lvl w:ilvl="8" w:tplc="40090005" w:tentative="1">
      <w:start w:val="1"/>
      <w:numFmt w:val="bullet"/>
      <w:lvlText w:val=""/>
      <w:lvlJc w:val="left"/>
      <w:pPr>
        <w:ind w:left="7200" w:hanging="360"/>
      </w:pPr>
      <w:rPr>
        <w:rFonts w:ascii="Wingdings" w:hAnsi="Wingdings" w:hint="default"/>
      </w:rPr>
    </w:lvl>
  </w:abstractNum>
  <w:abstractNum w:abstractNumId="31" w15:restartNumberingAfterBreak="0">
    <w:nsid w:val="30FD21F1"/>
    <w:multiLevelType w:val="multilevel"/>
    <w:tmpl w:val="80F842F0"/>
    <w:lvl w:ilvl="0">
      <w:start w:val="1"/>
      <w:numFmt w:val="upperLetter"/>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32" w15:restartNumberingAfterBreak="0">
    <w:nsid w:val="32494542"/>
    <w:multiLevelType w:val="multilevel"/>
    <w:tmpl w:val="9E941986"/>
    <w:lvl w:ilvl="0">
      <w:start w:val="3"/>
      <w:numFmt w:val="decimal"/>
      <w:lvlText w:val="%1"/>
      <w:lvlJc w:val="left"/>
      <w:pPr>
        <w:ind w:left="930" w:hanging="711"/>
      </w:pPr>
      <w:rPr>
        <w:rFonts w:hint="default"/>
        <w:lang w:val="en-US" w:eastAsia="en-US" w:bidi="ar-SA"/>
      </w:rPr>
    </w:lvl>
    <w:lvl w:ilvl="1">
      <w:start w:val="1"/>
      <w:numFmt w:val="decimal"/>
      <w:lvlText w:val="%1.%2."/>
      <w:lvlJc w:val="left"/>
      <w:pPr>
        <w:ind w:left="930" w:hanging="711"/>
      </w:pPr>
      <w:rPr>
        <w:rFonts w:ascii="Times New Roman" w:eastAsia="Times New Roman" w:hAnsi="Times New Roman" w:cs="Times New Roman" w:hint="default"/>
        <w:w w:val="99"/>
        <w:sz w:val="28"/>
        <w:szCs w:val="28"/>
        <w:lang w:val="en-US" w:eastAsia="en-US" w:bidi="ar-SA"/>
      </w:rPr>
    </w:lvl>
    <w:lvl w:ilvl="2">
      <w:start w:val="1"/>
      <w:numFmt w:val="decimal"/>
      <w:lvlText w:val="%1.%2.%3."/>
      <w:lvlJc w:val="left"/>
      <w:pPr>
        <w:ind w:left="1997" w:hanging="720"/>
      </w:pPr>
      <w:rPr>
        <w:rFonts w:asciiTheme="minorHAnsi" w:eastAsia="Times New Roman" w:hAnsiTheme="minorHAnsi" w:cstheme="minorHAnsi" w:hint="default"/>
        <w:spacing w:val="-5"/>
        <w:w w:val="99"/>
        <w:sz w:val="22"/>
        <w:szCs w:val="24"/>
        <w:lang w:val="en-US" w:eastAsia="en-US" w:bidi="ar-SA"/>
      </w:rPr>
    </w:lvl>
    <w:lvl w:ilvl="3">
      <w:start w:val="1"/>
      <w:numFmt w:val="lowerLetter"/>
      <w:lvlText w:val="%4."/>
      <w:lvlJc w:val="left"/>
      <w:pPr>
        <w:ind w:left="2207" w:hanging="572"/>
      </w:pPr>
      <w:rPr>
        <w:rFonts w:ascii="Times New Roman" w:eastAsia="Times New Roman" w:hAnsi="Times New Roman" w:cs="Times New Roman" w:hint="default"/>
        <w:spacing w:val="-1"/>
        <w:w w:val="99"/>
        <w:sz w:val="24"/>
        <w:szCs w:val="24"/>
        <w:lang w:val="en-US" w:eastAsia="en-US" w:bidi="ar-SA"/>
      </w:rPr>
    </w:lvl>
    <w:lvl w:ilvl="4">
      <w:start w:val="1"/>
      <w:numFmt w:val="lowerRoman"/>
      <w:lvlText w:val="%5."/>
      <w:lvlJc w:val="left"/>
      <w:pPr>
        <w:ind w:left="3056" w:hanging="696"/>
        <w:jc w:val="right"/>
      </w:pPr>
      <w:rPr>
        <w:rFonts w:ascii="Times New Roman" w:eastAsia="Times New Roman" w:hAnsi="Times New Roman" w:cs="Times New Roman" w:hint="default"/>
        <w:spacing w:val="-9"/>
        <w:w w:val="99"/>
        <w:sz w:val="24"/>
        <w:szCs w:val="24"/>
        <w:lang w:val="en-US" w:eastAsia="en-US" w:bidi="ar-SA"/>
      </w:rPr>
    </w:lvl>
    <w:lvl w:ilvl="5">
      <w:numFmt w:val="bullet"/>
      <w:lvlText w:val="•"/>
      <w:lvlJc w:val="left"/>
      <w:pPr>
        <w:ind w:left="5100" w:hanging="696"/>
      </w:pPr>
      <w:rPr>
        <w:rFonts w:hint="default"/>
        <w:lang w:val="en-US" w:eastAsia="en-US" w:bidi="ar-SA"/>
      </w:rPr>
    </w:lvl>
    <w:lvl w:ilvl="6">
      <w:numFmt w:val="bullet"/>
      <w:lvlText w:val="•"/>
      <w:lvlJc w:val="left"/>
      <w:pPr>
        <w:ind w:left="6120" w:hanging="696"/>
      </w:pPr>
      <w:rPr>
        <w:rFonts w:hint="default"/>
        <w:lang w:val="en-US" w:eastAsia="en-US" w:bidi="ar-SA"/>
      </w:rPr>
    </w:lvl>
    <w:lvl w:ilvl="7">
      <w:numFmt w:val="bullet"/>
      <w:lvlText w:val="•"/>
      <w:lvlJc w:val="left"/>
      <w:pPr>
        <w:ind w:left="7140" w:hanging="696"/>
      </w:pPr>
      <w:rPr>
        <w:rFonts w:hint="default"/>
        <w:lang w:val="en-US" w:eastAsia="en-US" w:bidi="ar-SA"/>
      </w:rPr>
    </w:lvl>
    <w:lvl w:ilvl="8">
      <w:numFmt w:val="bullet"/>
      <w:lvlText w:val="•"/>
      <w:lvlJc w:val="left"/>
      <w:pPr>
        <w:ind w:left="8160" w:hanging="696"/>
      </w:pPr>
      <w:rPr>
        <w:rFonts w:hint="default"/>
        <w:lang w:val="en-US" w:eastAsia="en-US" w:bidi="ar-SA"/>
      </w:rPr>
    </w:lvl>
  </w:abstractNum>
  <w:abstractNum w:abstractNumId="33" w15:restartNumberingAfterBreak="0">
    <w:nsid w:val="347D6DA8"/>
    <w:multiLevelType w:val="hybridMultilevel"/>
    <w:tmpl w:val="435EC4C0"/>
    <w:lvl w:ilvl="0" w:tplc="4009000B">
      <w:start w:val="1"/>
      <w:numFmt w:val="bullet"/>
      <w:lvlText w:val=""/>
      <w:lvlJc w:val="left"/>
      <w:pPr>
        <w:ind w:left="1429" w:hanging="360"/>
      </w:pPr>
      <w:rPr>
        <w:rFonts w:ascii="Wingdings" w:hAnsi="Wingdings" w:hint="default"/>
      </w:rPr>
    </w:lvl>
    <w:lvl w:ilvl="1" w:tplc="40090003" w:tentative="1">
      <w:start w:val="1"/>
      <w:numFmt w:val="bullet"/>
      <w:lvlText w:val="o"/>
      <w:lvlJc w:val="left"/>
      <w:pPr>
        <w:ind w:left="2149" w:hanging="360"/>
      </w:pPr>
      <w:rPr>
        <w:rFonts w:ascii="Courier New" w:hAnsi="Courier New" w:cs="Courier New" w:hint="default"/>
      </w:rPr>
    </w:lvl>
    <w:lvl w:ilvl="2" w:tplc="40090005" w:tentative="1">
      <w:start w:val="1"/>
      <w:numFmt w:val="bullet"/>
      <w:lvlText w:val=""/>
      <w:lvlJc w:val="left"/>
      <w:pPr>
        <w:ind w:left="2869" w:hanging="360"/>
      </w:pPr>
      <w:rPr>
        <w:rFonts w:ascii="Wingdings" w:hAnsi="Wingdings" w:hint="default"/>
      </w:rPr>
    </w:lvl>
    <w:lvl w:ilvl="3" w:tplc="40090001" w:tentative="1">
      <w:start w:val="1"/>
      <w:numFmt w:val="bullet"/>
      <w:lvlText w:val=""/>
      <w:lvlJc w:val="left"/>
      <w:pPr>
        <w:ind w:left="3589" w:hanging="360"/>
      </w:pPr>
      <w:rPr>
        <w:rFonts w:ascii="Symbol" w:hAnsi="Symbol" w:hint="default"/>
      </w:rPr>
    </w:lvl>
    <w:lvl w:ilvl="4" w:tplc="40090003" w:tentative="1">
      <w:start w:val="1"/>
      <w:numFmt w:val="bullet"/>
      <w:lvlText w:val="o"/>
      <w:lvlJc w:val="left"/>
      <w:pPr>
        <w:ind w:left="4309" w:hanging="360"/>
      </w:pPr>
      <w:rPr>
        <w:rFonts w:ascii="Courier New" w:hAnsi="Courier New" w:cs="Courier New" w:hint="default"/>
      </w:rPr>
    </w:lvl>
    <w:lvl w:ilvl="5" w:tplc="40090005" w:tentative="1">
      <w:start w:val="1"/>
      <w:numFmt w:val="bullet"/>
      <w:lvlText w:val=""/>
      <w:lvlJc w:val="left"/>
      <w:pPr>
        <w:ind w:left="5029" w:hanging="360"/>
      </w:pPr>
      <w:rPr>
        <w:rFonts w:ascii="Wingdings" w:hAnsi="Wingdings" w:hint="default"/>
      </w:rPr>
    </w:lvl>
    <w:lvl w:ilvl="6" w:tplc="40090001" w:tentative="1">
      <w:start w:val="1"/>
      <w:numFmt w:val="bullet"/>
      <w:lvlText w:val=""/>
      <w:lvlJc w:val="left"/>
      <w:pPr>
        <w:ind w:left="5749" w:hanging="360"/>
      </w:pPr>
      <w:rPr>
        <w:rFonts w:ascii="Symbol" w:hAnsi="Symbol" w:hint="default"/>
      </w:rPr>
    </w:lvl>
    <w:lvl w:ilvl="7" w:tplc="40090003" w:tentative="1">
      <w:start w:val="1"/>
      <w:numFmt w:val="bullet"/>
      <w:lvlText w:val="o"/>
      <w:lvlJc w:val="left"/>
      <w:pPr>
        <w:ind w:left="6469" w:hanging="360"/>
      </w:pPr>
      <w:rPr>
        <w:rFonts w:ascii="Courier New" w:hAnsi="Courier New" w:cs="Courier New" w:hint="default"/>
      </w:rPr>
    </w:lvl>
    <w:lvl w:ilvl="8" w:tplc="40090005" w:tentative="1">
      <w:start w:val="1"/>
      <w:numFmt w:val="bullet"/>
      <w:lvlText w:val=""/>
      <w:lvlJc w:val="left"/>
      <w:pPr>
        <w:ind w:left="7189" w:hanging="360"/>
      </w:pPr>
      <w:rPr>
        <w:rFonts w:ascii="Wingdings" w:hAnsi="Wingdings" w:hint="default"/>
      </w:rPr>
    </w:lvl>
  </w:abstractNum>
  <w:abstractNum w:abstractNumId="34" w15:restartNumberingAfterBreak="0">
    <w:nsid w:val="38CE76B2"/>
    <w:multiLevelType w:val="hybridMultilevel"/>
    <w:tmpl w:val="B4EA0618"/>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35" w15:restartNumberingAfterBreak="0">
    <w:nsid w:val="395A7E23"/>
    <w:multiLevelType w:val="hybridMultilevel"/>
    <w:tmpl w:val="9D6A6968"/>
    <w:lvl w:ilvl="0" w:tplc="4009000B">
      <w:start w:val="1"/>
      <w:numFmt w:val="bullet"/>
      <w:lvlText w:val=""/>
      <w:lvlJc w:val="left"/>
      <w:pPr>
        <w:ind w:left="1713" w:hanging="360"/>
      </w:pPr>
      <w:rPr>
        <w:rFonts w:ascii="Wingdings" w:hAnsi="Wingdings" w:hint="default"/>
      </w:rPr>
    </w:lvl>
    <w:lvl w:ilvl="1" w:tplc="40090003" w:tentative="1">
      <w:start w:val="1"/>
      <w:numFmt w:val="bullet"/>
      <w:lvlText w:val="o"/>
      <w:lvlJc w:val="left"/>
      <w:pPr>
        <w:ind w:left="2433" w:hanging="360"/>
      </w:pPr>
      <w:rPr>
        <w:rFonts w:ascii="Courier New" w:hAnsi="Courier New" w:cs="Courier New" w:hint="default"/>
      </w:rPr>
    </w:lvl>
    <w:lvl w:ilvl="2" w:tplc="40090005" w:tentative="1">
      <w:start w:val="1"/>
      <w:numFmt w:val="bullet"/>
      <w:lvlText w:val=""/>
      <w:lvlJc w:val="left"/>
      <w:pPr>
        <w:ind w:left="3153" w:hanging="360"/>
      </w:pPr>
      <w:rPr>
        <w:rFonts w:ascii="Wingdings" w:hAnsi="Wingdings" w:hint="default"/>
      </w:rPr>
    </w:lvl>
    <w:lvl w:ilvl="3" w:tplc="40090001" w:tentative="1">
      <w:start w:val="1"/>
      <w:numFmt w:val="bullet"/>
      <w:lvlText w:val=""/>
      <w:lvlJc w:val="left"/>
      <w:pPr>
        <w:ind w:left="3873" w:hanging="360"/>
      </w:pPr>
      <w:rPr>
        <w:rFonts w:ascii="Symbol" w:hAnsi="Symbol" w:hint="default"/>
      </w:rPr>
    </w:lvl>
    <w:lvl w:ilvl="4" w:tplc="40090003" w:tentative="1">
      <w:start w:val="1"/>
      <w:numFmt w:val="bullet"/>
      <w:lvlText w:val="o"/>
      <w:lvlJc w:val="left"/>
      <w:pPr>
        <w:ind w:left="4593" w:hanging="360"/>
      </w:pPr>
      <w:rPr>
        <w:rFonts w:ascii="Courier New" w:hAnsi="Courier New" w:cs="Courier New" w:hint="default"/>
      </w:rPr>
    </w:lvl>
    <w:lvl w:ilvl="5" w:tplc="40090005" w:tentative="1">
      <w:start w:val="1"/>
      <w:numFmt w:val="bullet"/>
      <w:lvlText w:val=""/>
      <w:lvlJc w:val="left"/>
      <w:pPr>
        <w:ind w:left="5313" w:hanging="360"/>
      </w:pPr>
      <w:rPr>
        <w:rFonts w:ascii="Wingdings" w:hAnsi="Wingdings" w:hint="default"/>
      </w:rPr>
    </w:lvl>
    <w:lvl w:ilvl="6" w:tplc="40090001" w:tentative="1">
      <w:start w:val="1"/>
      <w:numFmt w:val="bullet"/>
      <w:lvlText w:val=""/>
      <w:lvlJc w:val="left"/>
      <w:pPr>
        <w:ind w:left="6033" w:hanging="360"/>
      </w:pPr>
      <w:rPr>
        <w:rFonts w:ascii="Symbol" w:hAnsi="Symbol" w:hint="default"/>
      </w:rPr>
    </w:lvl>
    <w:lvl w:ilvl="7" w:tplc="40090003" w:tentative="1">
      <w:start w:val="1"/>
      <w:numFmt w:val="bullet"/>
      <w:lvlText w:val="o"/>
      <w:lvlJc w:val="left"/>
      <w:pPr>
        <w:ind w:left="6753" w:hanging="360"/>
      </w:pPr>
      <w:rPr>
        <w:rFonts w:ascii="Courier New" w:hAnsi="Courier New" w:cs="Courier New" w:hint="default"/>
      </w:rPr>
    </w:lvl>
    <w:lvl w:ilvl="8" w:tplc="40090005" w:tentative="1">
      <w:start w:val="1"/>
      <w:numFmt w:val="bullet"/>
      <w:lvlText w:val=""/>
      <w:lvlJc w:val="left"/>
      <w:pPr>
        <w:ind w:left="7473" w:hanging="360"/>
      </w:pPr>
      <w:rPr>
        <w:rFonts w:ascii="Wingdings" w:hAnsi="Wingdings" w:hint="default"/>
      </w:rPr>
    </w:lvl>
  </w:abstractNum>
  <w:abstractNum w:abstractNumId="36" w15:restartNumberingAfterBreak="0">
    <w:nsid w:val="39A7086A"/>
    <w:multiLevelType w:val="multilevel"/>
    <w:tmpl w:val="18CA83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7" w15:restartNumberingAfterBreak="0">
    <w:nsid w:val="3A022A43"/>
    <w:multiLevelType w:val="hybridMultilevel"/>
    <w:tmpl w:val="ED1C113E"/>
    <w:lvl w:ilvl="0" w:tplc="40090001">
      <w:start w:val="1"/>
      <w:numFmt w:val="bullet"/>
      <w:lvlText w:val=""/>
      <w:lvlJc w:val="left"/>
      <w:pPr>
        <w:ind w:left="1287" w:hanging="360"/>
      </w:pPr>
      <w:rPr>
        <w:rFonts w:ascii="Symbol" w:hAnsi="Symbol" w:hint="default"/>
      </w:rPr>
    </w:lvl>
    <w:lvl w:ilvl="1" w:tplc="40090003" w:tentative="1">
      <w:start w:val="1"/>
      <w:numFmt w:val="bullet"/>
      <w:lvlText w:val="o"/>
      <w:lvlJc w:val="left"/>
      <w:pPr>
        <w:ind w:left="2007" w:hanging="360"/>
      </w:pPr>
      <w:rPr>
        <w:rFonts w:ascii="Courier New" w:hAnsi="Courier New" w:cs="Courier New" w:hint="default"/>
      </w:rPr>
    </w:lvl>
    <w:lvl w:ilvl="2" w:tplc="40090005" w:tentative="1">
      <w:start w:val="1"/>
      <w:numFmt w:val="bullet"/>
      <w:lvlText w:val=""/>
      <w:lvlJc w:val="left"/>
      <w:pPr>
        <w:ind w:left="2727" w:hanging="360"/>
      </w:pPr>
      <w:rPr>
        <w:rFonts w:ascii="Wingdings" w:hAnsi="Wingdings" w:hint="default"/>
      </w:rPr>
    </w:lvl>
    <w:lvl w:ilvl="3" w:tplc="40090001" w:tentative="1">
      <w:start w:val="1"/>
      <w:numFmt w:val="bullet"/>
      <w:lvlText w:val=""/>
      <w:lvlJc w:val="left"/>
      <w:pPr>
        <w:ind w:left="3447" w:hanging="360"/>
      </w:pPr>
      <w:rPr>
        <w:rFonts w:ascii="Symbol" w:hAnsi="Symbol" w:hint="default"/>
      </w:rPr>
    </w:lvl>
    <w:lvl w:ilvl="4" w:tplc="40090003" w:tentative="1">
      <w:start w:val="1"/>
      <w:numFmt w:val="bullet"/>
      <w:lvlText w:val="o"/>
      <w:lvlJc w:val="left"/>
      <w:pPr>
        <w:ind w:left="4167" w:hanging="360"/>
      </w:pPr>
      <w:rPr>
        <w:rFonts w:ascii="Courier New" w:hAnsi="Courier New" w:cs="Courier New" w:hint="default"/>
      </w:rPr>
    </w:lvl>
    <w:lvl w:ilvl="5" w:tplc="40090005" w:tentative="1">
      <w:start w:val="1"/>
      <w:numFmt w:val="bullet"/>
      <w:lvlText w:val=""/>
      <w:lvlJc w:val="left"/>
      <w:pPr>
        <w:ind w:left="4887" w:hanging="360"/>
      </w:pPr>
      <w:rPr>
        <w:rFonts w:ascii="Wingdings" w:hAnsi="Wingdings" w:hint="default"/>
      </w:rPr>
    </w:lvl>
    <w:lvl w:ilvl="6" w:tplc="40090001" w:tentative="1">
      <w:start w:val="1"/>
      <w:numFmt w:val="bullet"/>
      <w:lvlText w:val=""/>
      <w:lvlJc w:val="left"/>
      <w:pPr>
        <w:ind w:left="5607" w:hanging="360"/>
      </w:pPr>
      <w:rPr>
        <w:rFonts w:ascii="Symbol" w:hAnsi="Symbol" w:hint="default"/>
      </w:rPr>
    </w:lvl>
    <w:lvl w:ilvl="7" w:tplc="40090003" w:tentative="1">
      <w:start w:val="1"/>
      <w:numFmt w:val="bullet"/>
      <w:lvlText w:val="o"/>
      <w:lvlJc w:val="left"/>
      <w:pPr>
        <w:ind w:left="6327" w:hanging="360"/>
      </w:pPr>
      <w:rPr>
        <w:rFonts w:ascii="Courier New" w:hAnsi="Courier New" w:cs="Courier New" w:hint="default"/>
      </w:rPr>
    </w:lvl>
    <w:lvl w:ilvl="8" w:tplc="40090005" w:tentative="1">
      <w:start w:val="1"/>
      <w:numFmt w:val="bullet"/>
      <w:lvlText w:val=""/>
      <w:lvlJc w:val="left"/>
      <w:pPr>
        <w:ind w:left="7047" w:hanging="360"/>
      </w:pPr>
      <w:rPr>
        <w:rFonts w:ascii="Wingdings" w:hAnsi="Wingdings" w:hint="default"/>
      </w:rPr>
    </w:lvl>
  </w:abstractNum>
  <w:abstractNum w:abstractNumId="38" w15:restartNumberingAfterBreak="0">
    <w:nsid w:val="3A1B5B67"/>
    <w:multiLevelType w:val="hybridMultilevel"/>
    <w:tmpl w:val="150CF384"/>
    <w:lvl w:ilvl="0" w:tplc="40090019">
      <w:start w:val="1"/>
      <w:numFmt w:val="lowerLetter"/>
      <w:lvlText w:val="%1."/>
      <w:lvlJc w:val="left"/>
      <w:pPr>
        <w:tabs>
          <w:tab w:val="num" w:pos="720"/>
        </w:tabs>
        <w:ind w:left="720" w:hanging="360"/>
      </w:pPr>
    </w:lvl>
    <w:lvl w:ilvl="1" w:tplc="40090019">
      <w:start w:val="1"/>
      <w:numFmt w:val="decimal"/>
      <w:lvlText w:val="%2."/>
      <w:lvlJc w:val="left"/>
      <w:pPr>
        <w:tabs>
          <w:tab w:val="num" w:pos="810"/>
        </w:tabs>
        <w:ind w:left="810" w:hanging="360"/>
      </w:pPr>
      <w:rPr>
        <w:rFonts w:hint="default"/>
      </w:rPr>
    </w:lvl>
    <w:lvl w:ilvl="2" w:tplc="4009001B">
      <w:start w:val="1"/>
      <w:numFmt w:val="lowerLetter"/>
      <w:lvlText w:val="%3)"/>
      <w:lvlJc w:val="left"/>
      <w:pPr>
        <w:tabs>
          <w:tab w:val="num" w:pos="1620"/>
        </w:tabs>
        <w:ind w:left="1620" w:hanging="360"/>
      </w:pPr>
      <w:rPr>
        <w:rFonts w:cs="Arial" w:hint="default"/>
      </w:rPr>
    </w:lvl>
    <w:lvl w:ilvl="3" w:tplc="4009000F" w:tentative="1">
      <w:start w:val="1"/>
      <w:numFmt w:val="decimal"/>
      <w:lvlText w:val="%4."/>
      <w:lvlJc w:val="left"/>
      <w:pPr>
        <w:tabs>
          <w:tab w:val="num" w:pos="2160"/>
        </w:tabs>
        <w:ind w:left="2160" w:hanging="360"/>
      </w:pPr>
    </w:lvl>
    <w:lvl w:ilvl="4" w:tplc="40090019" w:tentative="1">
      <w:start w:val="1"/>
      <w:numFmt w:val="lowerLetter"/>
      <w:lvlText w:val="%5."/>
      <w:lvlJc w:val="left"/>
      <w:pPr>
        <w:tabs>
          <w:tab w:val="num" w:pos="2880"/>
        </w:tabs>
        <w:ind w:left="2880" w:hanging="360"/>
      </w:pPr>
    </w:lvl>
    <w:lvl w:ilvl="5" w:tplc="4009001B" w:tentative="1">
      <w:start w:val="1"/>
      <w:numFmt w:val="lowerRoman"/>
      <w:lvlText w:val="%6."/>
      <w:lvlJc w:val="right"/>
      <w:pPr>
        <w:tabs>
          <w:tab w:val="num" w:pos="3600"/>
        </w:tabs>
        <w:ind w:left="3600" w:hanging="180"/>
      </w:pPr>
    </w:lvl>
    <w:lvl w:ilvl="6" w:tplc="4009000F" w:tentative="1">
      <w:start w:val="1"/>
      <w:numFmt w:val="decimal"/>
      <w:lvlText w:val="%7."/>
      <w:lvlJc w:val="left"/>
      <w:pPr>
        <w:tabs>
          <w:tab w:val="num" w:pos="4320"/>
        </w:tabs>
        <w:ind w:left="4320" w:hanging="360"/>
      </w:pPr>
    </w:lvl>
    <w:lvl w:ilvl="7" w:tplc="40090019" w:tentative="1">
      <w:start w:val="1"/>
      <w:numFmt w:val="lowerLetter"/>
      <w:lvlText w:val="%8."/>
      <w:lvlJc w:val="left"/>
      <w:pPr>
        <w:tabs>
          <w:tab w:val="num" w:pos="5040"/>
        </w:tabs>
        <w:ind w:left="5040" w:hanging="360"/>
      </w:pPr>
    </w:lvl>
    <w:lvl w:ilvl="8" w:tplc="4009001B" w:tentative="1">
      <w:start w:val="1"/>
      <w:numFmt w:val="lowerRoman"/>
      <w:lvlText w:val="%9."/>
      <w:lvlJc w:val="right"/>
      <w:pPr>
        <w:tabs>
          <w:tab w:val="num" w:pos="5760"/>
        </w:tabs>
        <w:ind w:left="5760" w:hanging="180"/>
      </w:pPr>
    </w:lvl>
  </w:abstractNum>
  <w:abstractNum w:abstractNumId="39" w15:restartNumberingAfterBreak="0">
    <w:nsid w:val="3A4C308A"/>
    <w:multiLevelType w:val="multilevel"/>
    <w:tmpl w:val="91109B58"/>
    <w:lvl w:ilvl="0">
      <w:start w:val="9"/>
      <w:numFmt w:val="decimal"/>
      <w:lvlText w:val="%1"/>
      <w:lvlJc w:val="left"/>
      <w:pPr>
        <w:ind w:left="360" w:hanging="360"/>
      </w:pPr>
      <w:rPr>
        <w:rFonts w:hint="default"/>
      </w:rPr>
    </w:lvl>
    <w:lvl w:ilvl="1">
      <w:start w:val="7"/>
      <w:numFmt w:val="decimal"/>
      <w:lvlText w:val="%1.%2"/>
      <w:lvlJc w:val="left"/>
      <w:pPr>
        <w:ind w:left="900" w:hanging="360"/>
      </w:pPr>
      <w:rPr>
        <w:rFonts w:hint="default"/>
      </w:rPr>
    </w:lvl>
    <w:lvl w:ilvl="2">
      <w:start w:val="1"/>
      <w:numFmt w:val="decimal"/>
      <w:lvlText w:val="%1.%2.%3"/>
      <w:lvlJc w:val="left"/>
      <w:pPr>
        <w:ind w:left="1800" w:hanging="720"/>
      </w:pPr>
      <w:rPr>
        <w:rFonts w:hint="default"/>
      </w:rPr>
    </w:lvl>
    <w:lvl w:ilvl="3">
      <w:start w:val="1"/>
      <w:numFmt w:val="decimal"/>
      <w:lvlText w:val="%1.%2.%3.%4"/>
      <w:lvlJc w:val="left"/>
      <w:pPr>
        <w:ind w:left="2340" w:hanging="720"/>
      </w:pPr>
      <w:rPr>
        <w:rFonts w:hint="default"/>
      </w:rPr>
    </w:lvl>
    <w:lvl w:ilvl="4">
      <w:start w:val="1"/>
      <w:numFmt w:val="decimal"/>
      <w:lvlText w:val="%1.%2.%3.%4.%5"/>
      <w:lvlJc w:val="left"/>
      <w:pPr>
        <w:ind w:left="3240" w:hanging="1080"/>
      </w:pPr>
      <w:rPr>
        <w:rFonts w:hint="default"/>
      </w:rPr>
    </w:lvl>
    <w:lvl w:ilvl="5">
      <w:start w:val="1"/>
      <w:numFmt w:val="decimal"/>
      <w:lvlText w:val="%1.%2.%3.%4.%5.%6"/>
      <w:lvlJc w:val="left"/>
      <w:pPr>
        <w:ind w:left="3780" w:hanging="1080"/>
      </w:pPr>
      <w:rPr>
        <w:rFonts w:hint="default"/>
      </w:rPr>
    </w:lvl>
    <w:lvl w:ilvl="6">
      <w:start w:val="1"/>
      <w:numFmt w:val="decimal"/>
      <w:lvlText w:val="%1.%2.%3.%4.%5.%6.%7"/>
      <w:lvlJc w:val="left"/>
      <w:pPr>
        <w:ind w:left="4680" w:hanging="1440"/>
      </w:pPr>
      <w:rPr>
        <w:rFonts w:hint="default"/>
      </w:rPr>
    </w:lvl>
    <w:lvl w:ilvl="7">
      <w:start w:val="1"/>
      <w:numFmt w:val="decimal"/>
      <w:lvlText w:val="%1.%2.%3.%4.%5.%6.%7.%8"/>
      <w:lvlJc w:val="left"/>
      <w:pPr>
        <w:ind w:left="5220" w:hanging="1440"/>
      </w:pPr>
      <w:rPr>
        <w:rFonts w:hint="default"/>
      </w:rPr>
    </w:lvl>
    <w:lvl w:ilvl="8">
      <w:start w:val="1"/>
      <w:numFmt w:val="decimal"/>
      <w:lvlText w:val="%1.%2.%3.%4.%5.%6.%7.%8.%9"/>
      <w:lvlJc w:val="left"/>
      <w:pPr>
        <w:ind w:left="6120" w:hanging="1800"/>
      </w:pPr>
      <w:rPr>
        <w:rFonts w:hint="default"/>
      </w:rPr>
    </w:lvl>
  </w:abstractNum>
  <w:abstractNum w:abstractNumId="40" w15:restartNumberingAfterBreak="0">
    <w:nsid w:val="3EB8F07E"/>
    <w:multiLevelType w:val="hybridMultilevel"/>
    <w:tmpl w:val="B19C4690"/>
    <w:lvl w:ilvl="0" w:tplc="897E3464">
      <w:start w:val="1"/>
      <w:numFmt w:val="bullet"/>
      <w:lvlText w:val="Ø"/>
      <w:lvlJc w:val="left"/>
      <w:pPr>
        <w:ind w:left="720" w:hanging="360"/>
      </w:pPr>
      <w:rPr>
        <w:rFonts w:ascii="Wingdings" w:hAnsi="Wingdings" w:hint="default"/>
      </w:rPr>
    </w:lvl>
    <w:lvl w:ilvl="1" w:tplc="47829BB8">
      <w:start w:val="1"/>
      <w:numFmt w:val="bullet"/>
      <w:lvlText w:val="o"/>
      <w:lvlJc w:val="left"/>
      <w:pPr>
        <w:ind w:left="1440" w:hanging="360"/>
      </w:pPr>
      <w:rPr>
        <w:rFonts w:ascii="Courier New" w:hAnsi="Courier New" w:hint="default"/>
      </w:rPr>
    </w:lvl>
    <w:lvl w:ilvl="2" w:tplc="7DE88B46">
      <w:start w:val="1"/>
      <w:numFmt w:val="bullet"/>
      <w:lvlText w:val=""/>
      <w:lvlJc w:val="left"/>
      <w:pPr>
        <w:ind w:left="2160" w:hanging="360"/>
      </w:pPr>
      <w:rPr>
        <w:rFonts w:ascii="Wingdings" w:hAnsi="Wingdings" w:hint="default"/>
      </w:rPr>
    </w:lvl>
    <w:lvl w:ilvl="3" w:tplc="628612E6">
      <w:start w:val="1"/>
      <w:numFmt w:val="bullet"/>
      <w:lvlText w:val=""/>
      <w:lvlJc w:val="left"/>
      <w:pPr>
        <w:ind w:left="2880" w:hanging="360"/>
      </w:pPr>
      <w:rPr>
        <w:rFonts w:ascii="Symbol" w:hAnsi="Symbol" w:hint="default"/>
      </w:rPr>
    </w:lvl>
    <w:lvl w:ilvl="4" w:tplc="5732A3E0">
      <w:start w:val="1"/>
      <w:numFmt w:val="bullet"/>
      <w:lvlText w:val="o"/>
      <w:lvlJc w:val="left"/>
      <w:pPr>
        <w:ind w:left="3600" w:hanging="360"/>
      </w:pPr>
      <w:rPr>
        <w:rFonts w:ascii="Courier New" w:hAnsi="Courier New" w:hint="default"/>
      </w:rPr>
    </w:lvl>
    <w:lvl w:ilvl="5" w:tplc="5DB66710">
      <w:start w:val="1"/>
      <w:numFmt w:val="bullet"/>
      <w:lvlText w:val=""/>
      <w:lvlJc w:val="left"/>
      <w:pPr>
        <w:ind w:left="4320" w:hanging="360"/>
      </w:pPr>
      <w:rPr>
        <w:rFonts w:ascii="Wingdings" w:hAnsi="Wingdings" w:hint="default"/>
      </w:rPr>
    </w:lvl>
    <w:lvl w:ilvl="6" w:tplc="5ACE10E4">
      <w:start w:val="1"/>
      <w:numFmt w:val="bullet"/>
      <w:lvlText w:val=""/>
      <w:lvlJc w:val="left"/>
      <w:pPr>
        <w:ind w:left="5040" w:hanging="360"/>
      </w:pPr>
      <w:rPr>
        <w:rFonts w:ascii="Symbol" w:hAnsi="Symbol" w:hint="default"/>
      </w:rPr>
    </w:lvl>
    <w:lvl w:ilvl="7" w:tplc="379020DA">
      <w:start w:val="1"/>
      <w:numFmt w:val="bullet"/>
      <w:lvlText w:val="o"/>
      <w:lvlJc w:val="left"/>
      <w:pPr>
        <w:ind w:left="5760" w:hanging="360"/>
      </w:pPr>
      <w:rPr>
        <w:rFonts w:ascii="Courier New" w:hAnsi="Courier New" w:hint="default"/>
      </w:rPr>
    </w:lvl>
    <w:lvl w:ilvl="8" w:tplc="BF800DBE">
      <w:start w:val="1"/>
      <w:numFmt w:val="bullet"/>
      <w:lvlText w:val=""/>
      <w:lvlJc w:val="left"/>
      <w:pPr>
        <w:ind w:left="6480" w:hanging="360"/>
      </w:pPr>
      <w:rPr>
        <w:rFonts w:ascii="Wingdings" w:hAnsi="Wingdings" w:hint="default"/>
      </w:rPr>
    </w:lvl>
  </w:abstractNum>
  <w:abstractNum w:abstractNumId="41" w15:restartNumberingAfterBreak="0">
    <w:nsid w:val="3F4A4BEE"/>
    <w:multiLevelType w:val="hybridMultilevel"/>
    <w:tmpl w:val="735627F0"/>
    <w:lvl w:ilvl="0" w:tplc="40090013">
      <w:start w:val="1"/>
      <w:numFmt w:val="upperRoman"/>
      <w:lvlText w:val="%1."/>
      <w:lvlJc w:val="righ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42" w15:restartNumberingAfterBreak="0">
    <w:nsid w:val="40BE7F41"/>
    <w:multiLevelType w:val="hybridMultilevel"/>
    <w:tmpl w:val="79FC3D02"/>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43" w15:restartNumberingAfterBreak="0">
    <w:nsid w:val="40C62DFD"/>
    <w:multiLevelType w:val="multilevel"/>
    <w:tmpl w:val="F18AF884"/>
    <w:lvl w:ilvl="0">
      <w:start w:val="1"/>
      <w:numFmt w:val="decimal"/>
      <w:lvlText w:val="%1."/>
      <w:lvlJc w:val="left"/>
      <w:pPr>
        <w:ind w:left="1287" w:hanging="360"/>
      </w:pPr>
      <w:rPr>
        <w:b/>
      </w:rPr>
    </w:lvl>
    <w:lvl w:ilvl="1">
      <w:start w:val="3"/>
      <w:numFmt w:val="decimal"/>
      <w:isLgl/>
      <w:lvlText w:val="%1.%2."/>
      <w:lvlJc w:val="left"/>
      <w:pPr>
        <w:ind w:left="1422" w:hanging="495"/>
      </w:pPr>
      <w:rPr>
        <w:rFonts w:hint="default"/>
      </w:rPr>
    </w:lvl>
    <w:lvl w:ilvl="2">
      <w:start w:val="2"/>
      <w:numFmt w:val="decimal"/>
      <w:isLgl/>
      <w:lvlText w:val="%1.%2.%3."/>
      <w:lvlJc w:val="left"/>
      <w:pPr>
        <w:ind w:left="1647" w:hanging="720"/>
      </w:pPr>
      <w:rPr>
        <w:rFonts w:hint="default"/>
      </w:rPr>
    </w:lvl>
    <w:lvl w:ilvl="3">
      <w:start w:val="1"/>
      <w:numFmt w:val="decimal"/>
      <w:isLgl/>
      <w:lvlText w:val="%1.%2.%3.%4."/>
      <w:lvlJc w:val="left"/>
      <w:pPr>
        <w:ind w:left="1647" w:hanging="720"/>
      </w:pPr>
      <w:rPr>
        <w:rFonts w:hint="default"/>
      </w:rPr>
    </w:lvl>
    <w:lvl w:ilvl="4">
      <w:start w:val="1"/>
      <w:numFmt w:val="decimal"/>
      <w:isLgl/>
      <w:lvlText w:val="%1.%2.%3.%4.%5."/>
      <w:lvlJc w:val="left"/>
      <w:pPr>
        <w:ind w:left="2007" w:hanging="1080"/>
      </w:pPr>
      <w:rPr>
        <w:rFonts w:hint="default"/>
      </w:rPr>
    </w:lvl>
    <w:lvl w:ilvl="5">
      <w:start w:val="1"/>
      <w:numFmt w:val="decimal"/>
      <w:isLgl/>
      <w:lvlText w:val="%1.%2.%3.%4.%5.%6."/>
      <w:lvlJc w:val="left"/>
      <w:pPr>
        <w:ind w:left="2007" w:hanging="1080"/>
      </w:pPr>
      <w:rPr>
        <w:rFonts w:hint="default"/>
      </w:rPr>
    </w:lvl>
    <w:lvl w:ilvl="6">
      <w:start w:val="1"/>
      <w:numFmt w:val="decimal"/>
      <w:isLgl/>
      <w:lvlText w:val="%1.%2.%3.%4.%5.%6.%7."/>
      <w:lvlJc w:val="left"/>
      <w:pPr>
        <w:ind w:left="2367" w:hanging="1440"/>
      </w:pPr>
      <w:rPr>
        <w:rFonts w:hint="default"/>
      </w:rPr>
    </w:lvl>
    <w:lvl w:ilvl="7">
      <w:start w:val="1"/>
      <w:numFmt w:val="decimal"/>
      <w:isLgl/>
      <w:lvlText w:val="%1.%2.%3.%4.%5.%6.%7.%8."/>
      <w:lvlJc w:val="left"/>
      <w:pPr>
        <w:ind w:left="2367" w:hanging="1440"/>
      </w:pPr>
      <w:rPr>
        <w:rFonts w:hint="default"/>
      </w:rPr>
    </w:lvl>
    <w:lvl w:ilvl="8">
      <w:start w:val="1"/>
      <w:numFmt w:val="decimal"/>
      <w:isLgl/>
      <w:lvlText w:val="%1.%2.%3.%4.%5.%6.%7.%8.%9."/>
      <w:lvlJc w:val="left"/>
      <w:pPr>
        <w:ind w:left="2727" w:hanging="1800"/>
      </w:pPr>
      <w:rPr>
        <w:rFonts w:hint="default"/>
      </w:rPr>
    </w:lvl>
  </w:abstractNum>
  <w:abstractNum w:abstractNumId="44" w15:restartNumberingAfterBreak="0">
    <w:nsid w:val="4126174F"/>
    <w:multiLevelType w:val="hybridMultilevel"/>
    <w:tmpl w:val="D15C7696"/>
    <w:lvl w:ilvl="0" w:tplc="4009000B">
      <w:start w:val="1"/>
      <w:numFmt w:val="bullet"/>
      <w:lvlText w:val=""/>
      <w:lvlJc w:val="left"/>
      <w:pPr>
        <w:ind w:left="1287" w:hanging="360"/>
      </w:pPr>
      <w:rPr>
        <w:rFonts w:ascii="Wingdings" w:hAnsi="Wingdings" w:hint="default"/>
      </w:rPr>
    </w:lvl>
    <w:lvl w:ilvl="1" w:tplc="40090003" w:tentative="1">
      <w:start w:val="1"/>
      <w:numFmt w:val="bullet"/>
      <w:lvlText w:val="o"/>
      <w:lvlJc w:val="left"/>
      <w:pPr>
        <w:ind w:left="2007" w:hanging="360"/>
      </w:pPr>
      <w:rPr>
        <w:rFonts w:ascii="Courier New" w:hAnsi="Courier New" w:cs="Courier New" w:hint="default"/>
      </w:rPr>
    </w:lvl>
    <w:lvl w:ilvl="2" w:tplc="40090005" w:tentative="1">
      <w:start w:val="1"/>
      <w:numFmt w:val="bullet"/>
      <w:lvlText w:val=""/>
      <w:lvlJc w:val="left"/>
      <w:pPr>
        <w:ind w:left="2727" w:hanging="360"/>
      </w:pPr>
      <w:rPr>
        <w:rFonts w:ascii="Wingdings" w:hAnsi="Wingdings" w:hint="default"/>
      </w:rPr>
    </w:lvl>
    <w:lvl w:ilvl="3" w:tplc="40090001" w:tentative="1">
      <w:start w:val="1"/>
      <w:numFmt w:val="bullet"/>
      <w:lvlText w:val=""/>
      <w:lvlJc w:val="left"/>
      <w:pPr>
        <w:ind w:left="3447" w:hanging="360"/>
      </w:pPr>
      <w:rPr>
        <w:rFonts w:ascii="Symbol" w:hAnsi="Symbol" w:hint="default"/>
      </w:rPr>
    </w:lvl>
    <w:lvl w:ilvl="4" w:tplc="40090003" w:tentative="1">
      <w:start w:val="1"/>
      <w:numFmt w:val="bullet"/>
      <w:lvlText w:val="o"/>
      <w:lvlJc w:val="left"/>
      <w:pPr>
        <w:ind w:left="4167" w:hanging="360"/>
      </w:pPr>
      <w:rPr>
        <w:rFonts w:ascii="Courier New" w:hAnsi="Courier New" w:cs="Courier New" w:hint="default"/>
      </w:rPr>
    </w:lvl>
    <w:lvl w:ilvl="5" w:tplc="40090005" w:tentative="1">
      <w:start w:val="1"/>
      <w:numFmt w:val="bullet"/>
      <w:lvlText w:val=""/>
      <w:lvlJc w:val="left"/>
      <w:pPr>
        <w:ind w:left="4887" w:hanging="360"/>
      </w:pPr>
      <w:rPr>
        <w:rFonts w:ascii="Wingdings" w:hAnsi="Wingdings" w:hint="default"/>
      </w:rPr>
    </w:lvl>
    <w:lvl w:ilvl="6" w:tplc="40090001" w:tentative="1">
      <w:start w:val="1"/>
      <w:numFmt w:val="bullet"/>
      <w:lvlText w:val=""/>
      <w:lvlJc w:val="left"/>
      <w:pPr>
        <w:ind w:left="5607" w:hanging="360"/>
      </w:pPr>
      <w:rPr>
        <w:rFonts w:ascii="Symbol" w:hAnsi="Symbol" w:hint="default"/>
      </w:rPr>
    </w:lvl>
    <w:lvl w:ilvl="7" w:tplc="40090003" w:tentative="1">
      <w:start w:val="1"/>
      <w:numFmt w:val="bullet"/>
      <w:lvlText w:val="o"/>
      <w:lvlJc w:val="left"/>
      <w:pPr>
        <w:ind w:left="6327" w:hanging="360"/>
      </w:pPr>
      <w:rPr>
        <w:rFonts w:ascii="Courier New" w:hAnsi="Courier New" w:cs="Courier New" w:hint="default"/>
      </w:rPr>
    </w:lvl>
    <w:lvl w:ilvl="8" w:tplc="40090005" w:tentative="1">
      <w:start w:val="1"/>
      <w:numFmt w:val="bullet"/>
      <w:lvlText w:val=""/>
      <w:lvlJc w:val="left"/>
      <w:pPr>
        <w:ind w:left="7047" w:hanging="360"/>
      </w:pPr>
      <w:rPr>
        <w:rFonts w:ascii="Wingdings" w:hAnsi="Wingdings" w:hint="default"/>
      </w:rPr>
    </w:lvl>
  </w:abstractNum>
  <w:abstractNum w:abstractNumId="45" w15:restartNumberingAfterBreak="0">
    <w:nsid w:val="41FE6B3C"/>
    <w:multiLevelType w:val="hybridMultilevel"/>
    <w:tmpl w:val="30547B0A"/>
    <w:lvl w:ilvl="0" w:tplc="4009000B">
      <w:start w:val="1"/>
      <w:numFmt w:val="bullet"/>
      <w:lvlText w:val=""/>
      <w:lvlJc w:val="left"/>
      <w:pPr>
        <w:ind w:left="2853" w:hanging="360"/>
      </w:pPr>
      <w:rPr>
        <w:rFonts w:ascii="Wingdings" w:hAnsi="Wingdings" w:hint="default"/>
      </w:rPr>
    </w:lvl>
    <w:lvl w:ilvl="1" w:tplc="40090003" w:tentative="1">
      <w:start w:val="1"/>
      <w:numFmt w:val="bullet"/>
      <w:lvlText w:val="o"/>
      <w:lvlJc w:val="left"/>
      <w:pPr>
        <w:ind w:left="3573" w:hanging="360"/>
      </w:pPr>
      <w:rPr>
        <w:rFonts w:ascii="Courier New" w:hAnsi="Courier New" w:cs="Courier New" w:hint="default"/>
      </w:rPr>
    </w:lvl>
    <w:lvl w:ilvl="2" w:tplc="40090005" w:tentative="1">
      <w:start w:val="1"/>
      <w:numFmt w:val="bullet"/>
      <w:lvlText w:val=""/>
      <w:lvlJc w:val="left"/>
      <w:pPr>
        <w:ind w:left="4293" w:hanging="360"/>
      </w:pPr>
      <w:rPr>
        <w:rFonts w:ascii="Wingdings" w:hAnsi="Wingdings" w:hint="default"/>
      </w:rPr>
    </w:lvl>
    <w:lvl w:ilvl="3" w:tplc="40090001" w:tentative="1">
      <w:start w:val="1"/>
      <w:numFmt w:val="bullet"/>
      <w:lvlText w:val=""/>
      <w:lvlJc w:val="left"/>
      <w:pPr>
        <w:ind w:left="5013" w:hanging="360"/>
      </w:pPr>
      <w:rPr>
        <w:rFonts w:ascii="Symbol" w:hAnsi="Symbol" w:hint="default"/>
      </w:rPr>
    </w:lvl>
    <w:lvl w:ilvl="4" w:tplc="40090003" w:tentative="1">
      <w:start w:val="1"/>
      <w:numFmt w:val="bullet"/>
      <w:lvlText w:val="o"/>
      <w:lvlJc w:val="left"/>
      <w:pPr>
        <w:ind w:left="5733" w:hanging="360"/>
      </w:pPr>
      <w:rPr>
        <w:rFonts w:ascii="Courier New" w:hAnsi="Courier New" w:cs="Courier New" w:hint="default"/>
      </w:rPr>
    </w:lvl>
    <w:lvl w:ilvl="5" w:tplc="40090005" w:tentative="1">
      <w:start w:val="1"/>
      <w:numFmt w:val="bullet"/>
      <w:lvlText w:val=""/>
      <w:lvlJc w:val="left"/>
      <w:pPr>
        <w:ind w:left="6453" w:hanging="360"/>
      </w:pPr>
      <w:rPr>
        <w:rFonts w:ascii="Wingdings" w:hAnsi="Wingdings" w:hint="default"/>
      </w:rPr>
    </w:lvl>
    <w:lvl w:ilvl="6" w:tplc="40090001" w:tentative="1">
      <w:start w:val="1"/>
      <w:numFmt w:val="bullet"/>
      <w:lvlText w:val=""/>
      <w:lvlJc w:val="left"/>
      <w:pPr>
        <w:ind w:left="7173" w:hanging="360"/>
      </w:pPr>
      <w:rPr>
        <w:rFonts w:ascii="Symbol" w:hAnsi="Symbol" w:hint="default"/>
      </w:rPr>
    </w:lvl>
    <w:lvl w:ilvl="7" w:tplc="40090003" w:tentative="1">
      <w:start w:val="1"/>
      <w:numFmt w:val="bullet"/>
      <w:lvlText w:val="o"/>
      <w:lvlJc w:val="left"/>
      <w:pPr>
        <w:ind w:left="7893" w:hanging="360"/>
      </w:pPr>
      <w:rPr>
        <w:rFonts w:ascii="Courier New" w:hAnsi="Courier New" w:cs="Courier New" w:hint="default"/>
      </w:rPr>
    </w:lvl>
    <w:lvl w:ilvl="8" w:tplc="40090005" w:tentative="1">
      <w:start w:val="1"/>
      <w:numFmt w:val="bullet"/>
      <w:lvlText w:val=""/>
      <w:lvlJc w:val="left"/>
      <w:pPr>
        <w:ind w:left="8613" w:hanging="360"/>
      </w:pPr>
      <w:rPr>
        <w:rFonts w:ascii="Wingdings" w:hAnsi="Wingdings" w:hint="default"/>
      </w:rPr>
    </w:lvl>
  </w:abstractNum>
  <w:abstractNum w:abstractNumId="46" w15:restartNumberingAfterBreak="0">
    <w:nsid w:val="44633E24"/>
    <w:multiLevelType w:val="multilevel"/>
    <w:tmpl w:val="447EE854"/>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47" w15:restartNumberingAfterBreak="0">
    <w:nsid w:val="449F5B29"/>
    <w:multiLevelType w:val="hybridMultilevel"/>
    <w:tmpl w:val="04A472EA"/>
    <w:lvl w:ilvl="0" w:tplc="40090001">
      <w:start w:val="1"/>
      <w:numFmt w:val="bullet"/>
      <w:lvlText w:val=""/>
      <w:lvlJc w:val="left"/>
      <w:pPr>
        <w:ind w:left="1440" w:hanging="360"/>
      </w:pPr>
      <w:rPr>
        <w:rFonts w:ascii="Symbol" w:hAnsi="Symbol" w:hint="default"/>
      </w:rPr>
    </w:lvl>
    <w:lvl w:ilvl="1" w:tplc="40090003" w:tentative="1">
      <w:start w:val="1"/>
      <w:numFmt w:val="bullet"/>
      <w:lvlText w:val="o"/>
      <w:lvlJc w:val="left"/>
      <w:pPr>
        <w:ind w:left="2160" w:hanging="360"/>
      </w:pPr>
      <w:rPr>
        <w:rFonts w:ascii="Courier New" w:hAnsi="Courier New" w:cs="Courier New" w:hint="default"/>
      </w:rPr>
    </w:lvl>
    <w:lvl w:ilvl="2" w:tplc="40090005" w:tentative="1">
      <w:start w:val="1"/>
      <w:numFmt w:val="bullet"/>
      <w:lvlText w:val=""/>
      <w:lvlJc w:val="left"/>
      <w:pPr>
        <w:ind w:left="2880" w:hanging="360"/>
      </w:pPr>
      <w:rPr>
        <w:rFonts w:ascii="Wingdings" w:hAnsi="Wingdings" w:hint="default"/>
      </w:rPr>
    </w:lvl>
    <w:lvl w:ilvl="3" w:tplc="40090001" w:tentative="1">
      <w:start w:val="1"/>
      <w:numFmt w:val="bullet"/>
      <w:lvlText w:val=""/>
      <w:lvlJc w:val="left"/>
      <w:pPr>
        <w:ind w:left="3600" w:hanging="360"/>
      </w:pPr>
      <w:rPr>
        <w:rFonts w:ascii="Symbol" w:hAnsi="Symbol" w:hint="default"/>
      </w:rPr>
    </w:lvl>
    <w:lvl w:ilvl="4" w:tplc="40090003" w:tentative="1">
      <w:start w:val="1"/>
      <w:numFmt w:val="bullet"/>
      <w:lvlText w:val="o"/>
      <w:lvlJc w:val="left"/>
      <w:pPr>
        <w:ind w:left="4320" w:hanging="360"/>
      </w:pPr>
      <w:rPr>
        <w:rFonts w:ascii="Courier New" w:hAnsi="Courier New" w:cs="Courier New" w:hint="default"/>
      </w:rPr>
    </w:lvl>
    <w:lvl w:ilvl="5" w:tplc="40090005" w:tentative="1">
      <w:start w:val="1"/>
      <w:numFmt w:val="bullet"/>
      <w:lvlText w:val=""/>
      <w:lvlJc w:val="left"/>
      <w:pPr>
        <w:ind w:left="5040" w:hanging="360"/>
      </w:pPr>
      <w:rPr>
        <w:rFonts w:ascii="Wingdings" w:hAnsi="Wingdings" w:hint="default"/>
      </w:rPr>
    </w:lvl>
    <w:lvl w:ilvl="6" w:tplc="40090001" w:tentative="1">
      <w:start w:val="1"/>
      <w:numFmt w:val="bullet"/>
      <w:lvlText w:val=""/>
      <w:lvlJc w:val="left"/>
      <w:pPr>
        <w:ind w:left="5760" w:hanging="360"/>
      </w:pPr>
      <w:rPr>
        <w:rFonts w:ascii="Symbol" w:hAnsi="Symbol" w:hint="default"/>
      </w:rPr>
    </w:lvl>
    <w:lvl w:ilvl="7" w:tplc="40090003" w:tentative="1">
      <w:start w:val="1"/>
      <w:numFmt w:val="bullet"/>
      <w:lvlText w:val="o"/>
      <w:lvlJc w:val="left"/>
      <w:pPr>
        <w:ind w:left="6480" w:hanging="360"/>
      </w:pPr>
      <w:rPr>
        <w:rFonts w:ascii="Courier New" w:hAnsi="Courier New" w:cs="Courier New" w:hint="default"/>
      </w:rPr>
    </w:lvl>
    <w:lvl w:ilvl="8" w:tplc="40090005" w:tentative="1">
      <w:start w:val="1"/>
      <w:numFmt w:val="bullet"/>
      <w:lvlText w:val=""/>
      <w:lvlJc w:val="left"/>
      <w:pPr>
        <w:ind w:left="7200" w:hanging="360"/>
      </w:pPr>
      <w:rPr>
        <w:rFonts w:ascii="Wingdings" w:hAnsi="Wingdings" w:hint="default"/>
      </w:rPr>
    </w:lvl>
  </w:abstractNum>
  <w:abstractNum w:abstractNumId="48" w15:restartNumberingAfterBreak="0">
    <w:nsid w:val="45F219EE"/>
    <w:multiLevelType w:val="hybridMultilevel"/>
    <w:tmpl w:val="F608163C"/>
    <w:lvl w:ilvl="0" w:tplc="677C89B4">
      <w:start w:val="1"/>
      <w:numFmt w:val="decimal"/>
      <w:lvlText w:val="%1."/>
      <w:lvlJc w:val="left"/>
      <w:pPr>
        <w:ind w:left="836" w:hanging="665"/>
      </w:pPr>
      <w:rPr>
        <w:rFonts w:ascii="Times New Roman" w:eastAsia="Times New Roman" w:hAnsi="Times New Roman" w:cs="Times New Roman" w:hint="default"/>
        <w:w w:val="102"/>
        <w:sz w:val="22"/>
        <w:szCs w:val="22"/>
        <w:lang w:val="en-US" w:eastAsia="en-US" w:bidi="ar-SA"/>
      </w:rPr>
    </w:lvl>
    <w:lvl w:ilvl="1" w:tplc="24ECFE66">
      <w:start w:val="1"/>
      <w:numFmt w:val="lowerLetter"/>
      <w:lvlText w:val="(%2)"/>
      <w:lvlJc w:val="left"/>
      <w:pPr>
        <w:ind w:left="1372" w:hanging="399"/>
      </w:pPr>
      <w:rPr>
        <w:rFonts w:ascii="Times New Roman" w:eastAsia="Times New Roman" w:hAnsi="Times New Roman" w:cs="Times New Roman" w:hint="default"/>
        <w:w w:val="102"/>
        <w:sz w:val="22"/>
        <w:szCs w:val="22"/>
        <w:lang w:val="en-US" w:eastAsia="en-US" w:bidi="ar-SA"/>
      </w:rPr>
    </w:lvl>
    <w:lvl w:ilvl="2" w:tplc="35F8E7EA">
      <w:start w:val="1"/>
      <w:numFmt w:val="lowerRoman"/>
      <w:lvlText w:val="(%3)"/>
      <w:lvlJc w:val="left"/>
      <w:pPr>
        <w:ind w:left="1904" w:hanging="533"/>
      </w:pPr>
      <w:rPr>
        <w:rFonts w:ascii="Times New Roman" w:eastAsia="Times New Roman" w:hAnsi="Times New Roman" w:cs="Times New Roman" w:hint="default"/>
        <w:spacing w:val="-2"/>
        <w:w w:val="102"/>
        <w:sz w:val="22"/>
        <w:szCs w:val="22"/>
        <w:lang w:val="en-US" w:eastAsia="en-US" w:bidi="ar-SA"/>
      </w:rPr>
    </w:lvl>
    <w:lvl w:ilvl="3" w:tplc="B0AC63F6">
      <w:start w:val="1"/>
      <w:numFmt w:val="lowerLetter"/>
      <w:lvlText w:val="%4)"/>
      <w:lvlJc w:val="left"/>
      <w:pPr>
        <w:ind w:left="2437" w:hanging="401"/>
      </w:pPr>
      <w:rPr>
        <w:rFonts w:ascii="Times New Roman" w:eastAsia="Times New Roman" w:hAnsi="Times New Roman" w:cs="Times New Roman" w:hint="default"/>
        <w:spacing w:val="0"/>
        <w:w w:val="102"/>
        <w:sz w:val="22"/>
        <w:szCs w:val="22"/>
        <w:lang w:val="en-US" w:eastAsia="en-US" w:bidi="ar-SA"/>
      </w:rPr>
    </w:lvl>
    <w:lvl w:ilvl="4" w:tplc="51BAC026">
      <w:numFmt w:val="bullet"/>
      <w:lvlText w:val="•"/>
      <w:lvlJc w:val="left"/>
      <w:pPr>
        <w:ind w:left="2200" w:hanging="401"/>
      </w:pPr>
      <w:rPr>
        <w:rFonts w:hint="default"/>
        <w:lang w:val="en-US" w:eastAsia="en-US" w:bidi="ar-SA"/>
      </w:rPr>
    </w:lvl>
    <w:lvl w:ilvl="5" w:tplc="F892B0DE">
      <w:numFmt w:val="bullet"/>
      <w:lvlText w:val="•"/>
      <w:lvlJc w:val="left"/>
      <w:pPr>
        <w:ind w:left="2440" w:hanging="401"/>
      </w:pPr>
      <w:rPr>
        <w:rFonts w:hint="default"/>
        <w:lang w:val="en-US" w:eastAsia="en-US" w:bidi="ar-SA"/>
      </w:rPr>
    </w:lvl>
    <w:lvl w:ilvl="6" w:tplc="C458E298">
      <w:numFmt w:val="bullet"/>
      <w:lvlText w:val="•"/>
      <w:lvlJc w:val="left"/>
      <w:pPr>
        <w:ind w:left="3720" w:hanging="401"/>
      </w:pPr>
      <w:rPr>
        <w:rFonts w:hint="default"/>
        <w:lang w:val="en-US" w:eastAsia="en-US" w:bidi="ar-SA"/>
      </w:rPr>
    </w:lvl>
    <w:lvl w:ilvl="7" w:tplc="788613A0">
      <w:numFmt w:val="bullet"/>
      <w:lvlText w:val="•"/>
      <w:lvlJc w:val="left"/>
      <w:pPr>
        <w:ind w:left="5000" w:hanging="401"/>
      </w:pPr>
      <w:rPr>
        <w:rFonts w:hint="default"/>
        <w:lang w:val="en-US" w:eastAsia="en-US" w:bidi="ar-SA"/>
      </w:rPr>
    </w:lvl>
    <w:lvl w:ilvl="8" w:tplc="3842CDE8">
      <w:numFmt w:val="bullet"/>
      <w:lvlText w:val="•"/>
      <w:lvlJc w:val="left"/>
      <w:pPr>
        <w:ind w:left="6280" w:hanging="401"/>
      </w:pPr>
      <w:rPr>
        <w:rFonts w:hint="default"/>
        <w:lang w:val="en-US" w:eastAsia="en-US" w:bidi="ar-SA"/>
      </w:rPr>
    </w:lvl>
  </w:abstractNum>
  <w:abstractNum w:abstractNumId="49" w15:restartNumberingAfterBreak="0">
    <w:nsid w:val="47363277"/>
    <w:multiLevelType w:val="multilevel"/>
    <w:tmpl w:val="6638D406"/>
    <w:lvl w:ilvl="0">
      <w:start w:val="2"/>
      <w:numFmt w:val="decimal"/>
      <w:lvlText w:val="%1"/>
      <w:lvlJc w:val="left"/>
      <w:pPr>
        <w:ind w:left="600" w:hanging="600"/>
      </w:pPr>
      <w:rPr>
        <w:rFonts w:hint="default"/>
      </w:rPr>
    </w:lvl>
    <w:lvl w:ilvl="1">
      <w:start w:val="5"/>
      <w:numFmt w:val="decimal"/>
      <w:lvlText w:val="%1.%2"/>
      <w:lvlJc w:val="left"/>
      <w:pPr>
        <w:ind w:left="1140" w:hanging="600"/>
      </w:pPr>
      <w:rPr>
        <w:rFonts w:hint="default"/>
      </w:rPr>
    </w:lvl>
    <w:lvl w:ilvl="2">
      <w:start w:val="5"/>
      <w:numFmt w:val="decimal"/>
      <w:lvlText w:val="%1.%2.%3"/>
      <w:lvlJc w:val="left"/>
      <w:pPr>
        <w:ind w:left="1800" w:hanging="720"/>
      </w:pPr>
      <w:rPr>
        <w:rFonts w:hint="default"/>
      </w:rPr>
    </w:lvl>
    <w:lvl w:ilvl="3">
      <w:start w:val="1"/>
      <w:numFmt w:val="decimal"/>
      <w:lvlText w:val="%1.%2.%3.%4"/>
      <w:lvlJc w:val="left"/>
      <w:pPr>
        <w:ind w:left="2700" w:hanging="1080"/>
      </w:pPr>
      <w:rPr>
        <w:rFonts w:hint="default"/>
      </w:rPr>
    </w:lvl>
    <w:lvl w:ilvl="4">
      <w:start w:val="1"/>
      <w:numFmt w:val="decimal"/>
      <w:lvlText w:val="%1.%2.%3.%4.%5"/>
      <w:lvlJc w:val="left"/>
      <w:pPr>
        <w:ind w:left="3240" w:hanging="1080"/>
      </w:pPr>
      <w:rPr>
        <w:rFonts w:hint="default"/>
      </w:rPr>
    </w:lvl>
    <w:lvl w:ilvl="5">
      <w:start w:val="1"/>
      <w:numFmt w:val="decimal"/>
      <w:lvlText w:val="%1.%2.%3.%4.%5.%6"/>
      <w:lvlJc w:val="left"/>
      <w:pPr>
        <w:ind w:left="4140" w:hanging="1440"/>
      </w:pPr>
      <w:rPr>
        <w:rFonts w:hint="default"/>
      </w:rPr>
    </w:lvl>
    <w:lvl w:ilvl="6">
      <w:start w:val="1"/>
      <w:numFmt w:val="decimal"/>
      <w:lvlText w:val="%1.%2.%3.%4.%5.%6.%7"/>
      <w:lvlJc w:val="left"/>
      <w:pPr>
        <w:ind w:left="4680" w:hanging="1440"/>
      </w:pPr>
      <w:rPr>
        <w:rFonts w:hint="default"/>
      </w:rPr>
    </w:lvl>
    <w:lvl w:ilvl="7">
      <w:start w:val="1"/>
      <w:numFmt w:val="decimal"/>
      <w:lvlText w:val="%1.%2.%3.%4.%5.%6.%7.%8"/>
      <w:lvlJc w:val="left"/>
      <w:pPr>
        <w:ind w:left="5580" w:hanging="1800"/>
      </w:pPr>
      <w:rPr>
        <w:rFonts w:hint="default"/>
      </w:rPr>
    </w:lvl>
    <w:lvl w:ilvl="8">
      <w:start w:val="1"/>
      <w:numFmt w:val="decimal"/>
      <w:lvlText w:val="%1.%2.%3.%4.%5.%6.%7.%8.%9"/>
      <w:lvlJc w:val="left"/>
      <w:pPr>
        <w:ind w:left="6480" w:hanging="2160"/>
      </w:pPr>
      <w:rPr>
        <w:rFonts w:hint="default"/>
      </w:rPr>
    </w:lvl>
  </w:abstractNum>
  <w:abstractNum w:abstractNumId="50" w15:restartNumberingAfterBreak="0">
    <w:nsid w:val="4C2563A4"/>
    <w:multiLevelType w:val="hybridMultilevel"/>
    <w:tmpl w:val="C6A2BB7A"/>
    <w:lvl w:ilvl="0" w:tplc="4009000B">
      <w:start w:val="1"/>
      <w:numFmt w:val="bullet"/>
      <w:lvlText w:val=""/>
      <w:lvlJc w:val="left"/>
      <w:pPr>
        <w:ind w:left="1429" w:hanging="360"/>
      </w:pPr>
      <w:rPr>
        <w:rFonts w:ascii="Wingdings" w:hAnsi="Wingdings" w:hint="default"/>
      </w:rPr>
    </w:lvl>
    <w:lvl w:ilvl="1" w:tplc="40090003" w:tentative="1">
      <w:start w:val="1"/>
      <w:numFmt w:val="bullet"/>
      <w:lvlText w:val="o"/>
      <w:lvlJc w:val="left"/>
      <w:pPr>
        <w:ind w:left="2149" w:hanging="360"/>
      </w:pPr>
      <w:rPr>
        <w:rFonts w:ascii="Courier New" w:hAnsi="Courier New" w:cs="Courier New" w:hint="default"/>
      </w:rPr>
    </w:lvl>
    <w:lvl w:ilvl="2" w:tplc="40090005" w:tentative="1">
      <w:start w:val="1"/>
      <w:numFmt w:val="bullet"/>
      <w:lvlText w:val=""/>
      <w:lvlJc w:val="left"/>
      <w:pPr>
        <w:ind w:left="2869" w:hanging="360"/>
      </w:pPr>
      <w:rPr>
        <w:rFonts w:ascii="Wingdings" w:hAnsi="Wingdings" w:hint="default"/>
      </w:rPr>
    </w:lvl>
    <w:lvl w:ilvl="3" w:tplc="40090001" w:tentative="1">
      <w:start w:val="1"/>
      <w:numFmt w:val="bullet"/>
      <w:lvlText w:val=""/>
      <w:lvlJc w:val="left"/>
      <w:pPr>
        <w:ind w:left="3589" w:hanging="360"/>
      </w:pPr>
      <w:rPr>
        <w:rFonts w:ascii="Symbol" w:hAnsi="Symbol" w:hint="default"/>
      </w:rPr>
    </w:lvl>
    <w:lvl w:ilvl="4" w:tplc="40090003" w:tentative="1">
      <w:start w:val="1"/>
      <w:numFmt w:val="bullet"/>
      <w:lvlText w:val="o"/>
      <w:lvlJc w:val="left"/>
      <w:pPr>
        <w:ind w:left="4309" w:hanging="360"/>
      </w:pPr>
      <w:rPr>
        <w:rFonts w:ascii="Courier New" w:hAnsi="Courier New" w:cs="Courier New" w:hint="default"/>
      </w:rPr>
    </w:lvl>
    <w:lvl w:ilvl="5" w:tplc="40090005" w:tentative="1">
      <w:start w:val="1"/>
      <w:numFmt w:val="bullet"/>
      <w:lvlText w:val=""/>
      <w:lvlJc w:val="left"/>
      <w:pPr>
        <w:ind w:left="5029" w:hanging="360"/>
      </w:pPr>
      <w:rPr>
        <w:rFonts w:ascii="Wingdings" w:hAnsi="Wingdings" w:hint="default"/>
      </w:rPr>
    </w:lvl>
    <w:lvl w:ilvl="6" w:tplc="40090001" w:tentative="1">
      <w:start w:val="1"/>
      <w:numFmt w:val="bullet"/>
      <w:lvlText w:val=""/>
      <w:lvlJc w:val="left"/>
      <w:pPr>
        <w:ind w:left="5749" w:hanging="360"/>
      </w:pPr>
      <w:rPr>
        <w:rFonts w:ascii="Symbol" w:hAnsi="Symbol" w:hint="default"/>
      </w:rPr>
    </w:lvl>
    <w:lvl w:ilvl="7" w:tplc="40090003" w:tentative="1">
      <w:start w:val="1"/>
      <w:numFmt w:val="bullet"/>
      <w:lvlText w:val="o"/>
      <w:lvlJc w:val="left"/>
      <w:pPr>
        <w:ind w:left="6469" w:hanging="360"/>
      </w:pPr>
      <w:rPr>
        <w:rFonts w:ascii="Courier New" w:hAnsi="Courier New" w:cs="Courier New" w:hint="default"/>
      </w:rPr>
    </w:lvl>
    <w:lvl w:ilvl="8" w:tplc="40090005" w:tentative="1">
      <w:start w:val="1"/>
      <w:numFmt w:val="bullet"/>
      <w:lvlText w:val=""/>
      <w:lvlJc w:val="left"/>
      <w:pPr>
        <w:ind w:left="7189" w:hanging="360"/>
      </w:pPr>
      <w:rPr>
        <w:rFonts w:ascii="Wingdings" w:hAnsi="Wingdings" w:hint="default"/>
      </w:rPr>
    </w:lvl>
  </w:abstractNum>
  <w:abstractNum w:abstractNumId="51" w15:restartNumberingAfterBreak="0">
    <w:nsid w:val="4CD675D1"/>
    <w:multiLevelType w:val="hybridMultilevel"/>
    <w:tmpl w:val="60FC0D4C"/>
    <w:lvl w:ilvl="0" w:tplc="4009000B">
      <w:start w:val="1"/>
      <w:numFmt w:val="bullet"/>
      <w:lvlText w:val=""/>
      <w:lvlJc w:val="left"/>
      <w:pPr>
        <w:ind w:left="720" w:hanging="360"/>
      </w:pPr>
      <w:rPr>
        <w:rFonts w:ascii="Wingdings" w:hAnsi="Wingdings"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52" w15:restartNumberingAfterBreak="0">
    <w:nsid w:val="4D1E3B32"/>
    <w:multiLevelType w:val="hybridMultilevel"/>
    <w:tmpl w:val="7C229E5C"/>
    <w:lvl w:ilvl="0" w:tplc="4009000F">
      <w:start w:val="1"/>
      <w:numFmt w:val="decimal"/>
      <w:lvlText w:val="%1."/>
      <w:lvlJc w:val="left"/>
      <w:pPr>
        <w:ind w:left="785"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53" w15:restartNumberingAfterBreak="0">
    <w:nsid w:val="4E7349B0"/>
    <w:multiLevelType w:val="multilevel"/>
    <w:tmpl w:val="572EDBFE"/>
    <w:lvl w:ilvl="0">
      <w:start w:val="11"/>
      <w:numFmt w:val="decimal"/>
      <w:lvlText w:val="%1"/>
      <w:lvlJc w:val="left"/>
      <w:pPr>
        <w:ind w:left="420" w:hanging="420"/>
      </w:pPr>
      <w:rPr>
        <w:rFonts w:hint="default"/>
      </w:rPr>
    </w:lvl>
    <w:lvl w:ilvl="1">
      <w:start w:val="1"/>
      <w:numFmt w:val="decimal"/>
      <w:lvlText w:val="%1.%2"/>
      <w:lvlJc w:val="left"/>
      <w:pPr>
        <w:ind w:left="960" w:hanging="420"/>
      </w:pPr>
      <w:rPr>
        <w:rFonts w:hint="default"/>
      </w:rPr>
    </w:lvl>
    <w:lvl w:ilvl="2">
      <w:start w:val="1"/>
      <w:numFmt w:val="decimal"/>
      <w:lvlText w:val="%1.%2.%3"/>
      <w:lvlJc w:val="left"/>
      <w:pPr>
        <w:ind w:left="1800" w:hanging="720"/>
      </w:pPr>
      <w:rPr>
        <w:rFonts w:hint="default"/>
      </w:rPr>
    </w:lvl>
    <w:lvl w:ilvl="3">
      <w:start w:val="1"/>
      <w:numFmt w:val="decimal"/>
      <w:lvlText w:val="%1.%2.%3.%4"/>
      <w:lvlJc w:val="left"/>
      <w:pPr>
        <w:ind w:left="2340" w:hanging="720"/>
      </w:pPr>
      <w:rPr>
        <w:rFonts w:hint="default"/>
      </w:rPr>
    </w:lvl>
    <w:lvl w:ilvl="4">
      <w:start w:val="1"/>
      <w:numFmt w:val="decimal"/>
      <w:lvlText w:val="%1.%2.%3.%4.%5"/>
      <w:lvlJc w:val="left"/>
      <w:pPr>
        <w:ind w:left="3240" w:hanging="1080"/>
      </w:pPr>
      <w:rPr>
        <w:rFonts w:hint="default"/>
      </w:rPr>
    </w:lvl>
    <w:lvl w:ilvl="5">
      <w:start w:val="1"/>
      <w:numFmt w:val="decimal"/>
      <w:lvlText w:val="%1.%2.%3.%4.%5.%6"/>
      <w:lvlJc w:val="left"/>
      <w:pPr>
        <w:ind w:left="3780" w:hanging="1080"/>
      </w:pPr>
      <w:rPr>
        <w:rFonts w:hint="default"/>
      </w:rPr>
    </w:lvl>
    <w:lvl w:ilvl="6">
      <w:start w:val="1"/>
      <w:numFmt w:val="decimal"/>
      <w:lvlText w:val="%1.%2.%3.%4.%5.%6.%7"/>
      <w:lvlJc w:val="left"/>
      <w:pPr>
        <w:ind w:left="4680" w:hanging="1440"/>
      </w:pPr>
      <w:rPr>
        <w:rFonts w:hint="default"/>
      </w:rPr>
    </w:lvl>
    <w:lvl w:ilvl="7">
      <w:start w:val="1"/>
      <w:numFmt w:val="decimal"/>
      <w:lvlText w:val="%1.%2.%3.%4.%5.%6.%7.%8"/>
      <w:lvlJc w:val="left"/>
      <w:pPr>
        <w:ind w:left="5220" w:hanging="1440"/>
      </w:pPr>
      <w:rPr>
        <w:rFonts w:hint="default"/>
      </w:rPr>
    </w:lvl>
    <w:lvl w:ilvl="8">
      <w:start w:val="1"/>
      <w:numFmt w:val="decimal"/>
      <w:lvlText w:val="%1.%2.%3.%4.%5.%6.%7.%8.%9"/>
      <w:lvlJc w:val="left"/>
      <w:pPr>
        <w:ind w:left="6120" w:hanging="1800"/>
      </w:pPr>
      <w:rPr>
        <w:rFonts w:hint="default"/>
      </w:rPr>
    </w:lvl>
  </w:abstractNum>
  <w:abstractNum w:abstractNumId="54" w15:restartNumberingAfterBreak="0">
    <w:nsid w:val="4E961D64"/>
    <w:multiLevelType w:val="hybridMultilevel"/>
    <w:tmpl w:val="3304747E"/>
    <w:lvl w:ilvl="0" w:tplc="B10CC0C8">
      <w:start w:val="1"/>
      <w:numFmt w:val="lowerLetter"/>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55" w15:restartNumberingAfterBreak="0">
    <w:nsid w:val="569F6B06"/>
    <w:multiLevelType w:val="multilevel"/>
    <w:tmpl w:val="0D62D2F2"/>
    <w:lvl w:ilvl="0">
      <w:start w:val="9"/>
      <w:numFmt w:val="decimal"/>
      <w:lvlText w:val="%1"/>
      <w:lvlJc w:val="left"/>
      <w:pPr>
        <w:ind w:left="384" w:hanging="384"/>
      </w:pPr>
      <w:rPr>
        <w:rFonts w:hint="default"/>
      </w:rPr>
    </w:lvl>
    <w:lvl w:ilvl="1">
      <w:start w:val="12"/>
      <w:numFmt w:val="decimal"/>
      <w:lvlText w:val="%1.%2"/>
      <w:lvlJc w:val="left"/>
      <w:pPr>
        <w:ind w:left="924" w:hanging="384"/>
      </w:pPr>
      <w:rPr>
        <w:rFonts w:hint="default"/>
      </w:rPr>
    </w:lvl>
    <w:lvl w:ilvl="2">
      <w:start w:val="1"/>
      <w:numFmt w:val="decimal"/>
      <w:lvlText w:val="%1.%2.%3"/>
      <w:lvlJc w:val="left"/>
      <w:pPr>
        <w:ind w:left="1800" w:hanging="720"/>
      </w:pPr>
      <w:rPr>
        <w:rFonts w:hint="default"/>
      </w:rPr>
    </w:lvl>
    <w:lvl w:ilvl="3">
      <w:start w:val="1"/>
      <w:numFmt w:val="decimal"/>
      <w:lvlText w:val="%1.%2.%3.%4"/>
      <w:lvlJc w:val="left"/>
      <w:pPr>
        <w:ind w:left="2340" w:hanging="720"/>
      </w:pPr>
      <w:rPr>
        <w:rFonts w:hint="default"/>
      </w:rPr>
    </w:lvl>
    <w:lvl w:ilvl="4">
      <w:start w:val="1"/>
      <w:numFmt w:val="decimal"/>
      <w:lvlText w:val="%1.%2.%3.%4.%5"/>
      <w:lvlJc w:val="left"/>
      <w:pPr>
        <w:ind w:left="3240" w:hanging="1080"/>
      </w:pPr>
      <w:rPr>
        <w:rFonts w:hint="default"/>
      </w:rPr>
    </w:lvl>
    <w:lvl w:ilvl="5">
      <w:start w:val="1"/>
      <w:numFmt w:val="decimal"/>
      <w:lvlText w:val="%1.%2.%3.%4.%5.%6"/>
      <w:lvlJc w:val="left"/>
      <w:pPr>
        <w:ind w:left="3780" w:hanging="1080"/>
      </w:pPr>
      <w:rPr>
        <w:rFonts w:hint="default"/>
      </w:rPr>
    </w:lvl>
    <w:lvl w:ilvl="6">
      <w:start w:val="1"/>
      <w:numFmt w:val="decimal"/>
      <w:lvlText w:val="%1.%2.%3.%4.%5.%6.%7"/>
      <w:lvlJc w:val="left"/>
      <w:pPr>
        <w:ind w:left="4680" w:hanging="1440"/>
      </w:pPr>
      <w:rPr>
        <w:rFonts w:hint="default"/>
      </w:rPr>
    </w:lvl>
    <w:lvl w:ilvl="7">
      <w:start w:val="1"/>
      <w:numFmt w:val="decimal"/>
      <w:lvlText w:val="%1.%2.%3.%4.%5.%6.%7.%8"/>
      <w:lvlJc w:val="left"/>
      <w:pPr>
        <w:ind w:left="5220" w:hanging="1440"/>
      </w:pPr>
      <w:rPr>
        <w:rFonts w:hint="default"/>
      </w:rPr>
    </w:lvl>
    <w:lvl w:ilvl="8">
      <w:start w:val="1"/>
      <w:numFmt w:val="decimal"/>
      <w:lvlText w:val="%1.%2.%3.%4.%5.%6.%7.%8.%9"/>
      <w:lvlJc w:val="left"/>
      <w:pPr>
        <w:ind w:left="6120" w:hanging="1800"/>
      </w:pPr>
      <w:rPr>
        <w:rFonts w:hint="default"/>
      </w:rPr>
    </w:lvl>
  </w:abstractNum>
  <w:abstractNum w:abstractNumId="56" w15:restartNumberingAfterBreak="0">
    <w:nsid w:val="5A792FF6"/>
    <w:multiLevelType w:val="multilevel"/>
    <w:tmpl w:val="462468EC"/>
    <w:lvl w:ilvl="0">
      <w:start w:val="7"/>
      <w:numFmt w:val="decimal"/>
      <w:lvlText w:val="%1"/>
      <w:lvlJc w:val="left"/>
      <w:pPr>
        <w:ind w:left="360" w:hanging="360"/>
      </w:pPr>
      <w:rPr>
        <w:rFonts w:hint="default"/>
      </w:rPr>
    </w:lvl>
    <w:lvl w:ilvl="1">
      <w:start w:val="1"/>
      <w:numFmt w:val="decimal"/>
      <w:lvlText w:val="%1.%2"/>
      <w:lvlJc w:val="left"/>
      <w:pPr>
        <w:ind w:left="502" w:hanging="360"/>
      </w:pPr>
      <w:rPr>
        <w:rFonts w:hint="default"/>
        <w:b/>
        <w:bCs/>
        <w:i w:val="0"/>
        <w:iCs w:val="0"/>
        <w:sz w:val="24"/>
        <w:szCs w:val="24"/>
      </w:rPr>
    </w:lvl>
    <w:lvl w:ilvl="2">
      <w:start w:val="1"/>
      <w:numFmt w:val="decimal"/>
      <w:lvlText w:val="%1.%2.%3"/>
      <w:lvlJc w:val="left"/>
      <w:pPr>
        <w:ind w:left="2160" w:hanging="720"/>
      </w:pPr>
      <w:rPr>
        <w:rFonts w:hint="default"/>
      </w:rPr>
    </w:lvl>
    <w:lvl w:ilvl="3">
      <w:start w:val="1"/>
      <w:numFmt w:val="decimal"/>
      <w:lvlText w:val="%1.%2.%3.%4"/>
      <w:lvlJc w:val="left"/>
      <w:pPr>
        <w:ind w:left="3240" w:hanging="108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5040" w:hanging="144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840" w:hanging="1800"/>
      </w:pPr>
      <w:rPr>
        <w:rFonts w:hint="default"/>
      </w:rPr>
    </w:lvl>
    <w:lvl w:ilvl="8">
      <w:start w:val="1"/>
      <w:numFmt w:val="decimal"/>
      <w:lvlText w:val="%1.%2.%3.%4.%5.%6.%7.%8.%9"/>
      <w:lvlJc w:val="left"/>
      <w:pPr>
        <w:ind w:left="7560" w:hanging="1800"/>
      </w:pPr>
      <w:rPr>
        <w:rFonts w:hint="default"/>
      </w:rPr>
    </w:lvl>
  </w:abstractNum>
  <w:abstractNum w:abstractNumId="57" w15:restartNumberingAfterBreak="0">
    <w:nsid w:val="5AE72B37"/>
    <w:multiLevelType w:val="multilevel"/>
    <w:tmpl w:val="6374C1BE"/>
    <w:lvl w:ilvl="0">
      <w:start w:val="1"/>
      <w:numFmt w:val="decimal"/>
      <w:lvlText w:val="%1."/>
      <w:lvlJc w:val="left"/>
      <w:pPr>
        <w:ind w:left="927" w:hanging="360"/>
      </w:pPr>
      <w:rPr>
        <w:rFonts w:hint="default"/>
        <w:b/>
      </w:rPr>
    </w:lvl>
    <w:lvl w:ilvl="1">
      <w:start w:val="8"/>
      <w:numFmt w:val="decimal"/>
      <w:isLgl/>
      <w:lvlText w:val="%1.%2."/>
      <w:lvlJc w:val="left"/>
      <w:pPr>
        <w:ind w:left="1138" w:hanging="495"/>
      </w:pPr>
      <w:rPr>
        <w:rFonts w:asciiTheme="minorHAnsi" w:hAnsiTheme="minorHAnsi" w:cstheme="minorHAnsi" w:hint="default"/>
        <w:b/>
        <w:sz w:val="22"/>
      </w:rPr>
    </w:lvl>
    <w:lvl w:ilvl="2">
      <w:start w:val="4"/>
      <w:numFmt w:val="decimal"/>
      <w:isLgl/>
      <w:lvlText w:val="%1.%2.%3."/>
      <w:lvlJc w:val="left"/>
      <w:pPr>
        <w:ind w:left="1439" w:hanging="720"/>
      </w:pPr>
      <w:rPr>
        <w:rFonts w:asciiTheme="minorHAnsi" w:hAnsiTheme="minorHAnsi" w:cstheme="minorHAnsi" w:hint="default"/>
        <w:b/>
        <w:sz w:val="22"/>
      </w:rPr>
    </w:lvl>
    <w:lvl w:ilvl="3">
      <w:start w:val="1"/>
      <w:numFmt w:val="lowerLetter"/>
      <w:lvlText w:val="%4."/>
      <w:lvlJc w:val="left"/>
      <w:pPr>
        <w:ind w:left="1515" w:hanging="720"/>
      </w:pPr>
      <w:rPr>
        <w:rFonts w:ascii="Times New Roman" w:eastAsia="Times New Roman" w:hAnsi="Times New Roman" w:cs="Times New Roman" w:hint="default"/>
        <w:b/>
        <w:spacing w:val="-1"/>
        <w:w w:val="99"/>
        <w:sz w:val="24"/>
        <w:szCs w:val="24"/>
        <w:lang w:val="en-US" w:eastAsia="en-US" w:bidi="ar-SA"/>
      </w:rPr>
    </w:lvl>
    <w:lvl w:ilvl="4">
      <w:start w:val="1"/>
      <w:numFmt w:val="decimal"/>
      <w:isLgl/>
      <w:lvlText w:val="%1.%2.%3.%4.%5."/>
      <w:lvlJc w:val="left"/>
      <w:pPr>
        <w:ind w:left="1951" w:hanging="1080"/>
      </w:pPr>
      <w:rPr>
        <w:rFonts w:asciiTheme="minorHAnsi" w:hAnsiTheme="minorHAnsi" w:cstheme="minorHAnsi" w:hint="default"/>
        <w:b/>
        <w:sz w:val="22"/>
      </w:rPr>
    </w:lvl>
    <w:lvl w:ilvl="5">
      <w:start w:val="1"/>
      <w:numFmt w:val="decimal"/>
      <w:isLgl/>
      <w:lvlText w:val="%1.%2.%3.%4.%5.%6."/>
      <w:lvlJc w:val="left"/>
      <w:pPr>
        <w:ind w:left="2027" w:hanging="1080"/>
      </w:pPr>
      <w:rPr>
        <w:rFonts w:asciiTheme="minorHAnsi" w:hAnsiTheme="minorHAnsi" w:cstheme="minorHAnsi" w:hint="default"/>
        <w:b/>
        <w:sz w:val="22"/>
      </w:rPr>
    </w:lvl>
    <w:lvl w:ilvl="6">
      <w:start w:val="1"/>
      <w:numFmt w:val="decimal"/>
      <w:isLgl/>
      <w:lvlText w:val="%1.%2.%3.%4.%5.%6.%7."/>
      <w:lvlJc w:val="left"/>
      <w:pPr>
        <w:ind w:left="2463" w:hanging="1440"/>
      </w:pPr>
      <w:rPr>
        <w:rFonts w:asciiTheme="minorHAnsi" w:hAnsiTheme="minorHAnsi" w:cstheme="minorHAnsi" w:hint="default"/>
        <w:b/>
        <w:sz w:val="22"/>
      </w:rPr>
    </w:lvl>
    <w:lvl w:ilvl="7">
      <w:start w:val="1"/>
      <w:numFmt w:val="decimal"/>
      <w:isLgl/>
      <w:lvlText w:val="%1.%2.%3.%4.%5.%6.%7.%8."/>
      <w:lvlJc w:val="left"/>
      <w:pPr>
        <w:ind w:left="2539" w:hanging="1440"/>
      </w:pPr>
      <w:rPr>
        <w:rFonts w:asciiTheme="minorHAnsi" w:hAnsiTheme="minorHAnsi" w:cstheme="minorHAnsi" w:hint="default"/>
        <w:b/>
        <w:sz w:val="22"/>
      </w:rPr>
    </w:lvl>
    <w:lvl w:ilvl="8">
      <w:start w:val="1"/>
      <w:numFmt w:val="decimal"/>
      <w:isLgl/>
      <w:lvlText w:val="%1.%2.%3.%4.%5.%6.%7.%8.%9."/>
      <w:lvlJc w:val="left"/>
      <w:pPr>
        <w:ind w:left="2975" w:hanging="1800"/>
      </w:pPr>
      <w:rPr>
        <w:rFonts w:asciiTheme="minorHAnsi" w:hAnsiTheme="minorHAnsi" w:cstheme="minorHAnsi" w:hint="default"/>
        <w:b/>
        <w:sz w:val="22"/>
      </w:rPr>
    </w:lvl>
  </w:abstractNum>
  <w:abstractNum w:abstractNumId="58" w15:restartNumberingAfterBreak="0">
    <w:nsid w:val="5D486E20"/>
    <w:multiLevelType w:val="hybridMultilevel"/>
    <w:tmpl w:val="1676F0EC"/>
    <w:lvl w:ilvl="0" w:tplc="40090001">
      <w:start w:val="1"/>
      <w:numFmt w:val="bullet"/>
      <w:lvlText w:val=""/>
      <w:lvlJc w:val="left"/>
      <w:pPr>
        <w:ind w:left="1287" w:hanging="360"/>
      </w:pPr>
      <w:rPr>
        <w:rFonts w:ascii="Symbol" w:hAnsi="Symbol" w:hint="default"/>
      </w:rPr>
    </w:lvl>
    <w:lvl w:ilvl="1" w:tplc="40090003" w:tentative="1">
      <w:start w:val="1"/>
      <w:numFmt w:val="bullet"/>
      <w:lvlText w:val="o"/>
      <w:lvlJc w:val="left"/>
      <w:pPr>
        <w:ind w:left="2007" w:hanging="360"/>
      </w:pPr>
      <w:rPr>
        <w:rFonts w:ascii="Courier New" w:hAnsi="Courier New" w:cs="Courier New" w:hint="default"/>
      </w:rPr>
    </w:lvl>
    <w:lvl w:ilvl="2" w:tplc="40090005" w:tentative="1">
      <w:start w:val="1"/>
      <w:numFmt w:val="bullet"/>
      <w:lvlText w:val=""/>
      <w:lvlJc w:val="left"/>
      <w:pPr>
        <w:ind w:left="2727" w:hanging="360"/>
      </w:pPr>
      <w:rPr>
        <w:rFonts w:ascii="Wingdings" w:hAnsi="Wingdings" w:hint="default"/>
      </w:rPr>
    </w:lvl>
    <w:lvl w:ilvl="3" w:tplc="40090001" w:tentative="1">
      <w:start w:val="1"/>
      <w:numFmt w:val="bullet"/>
      <w:lvlText w:val=""/>
      <w:lvlJc w:val="left"/>
      <w:pPr>
        <w:ind w:left="3447" w:hanging="360"/>
      </w:pPr>
      <w:rPr>
        <w:rFonts w:ascii="Symbol" w:hAnsi="Symbol" w:hint="default"/>
      </w:rPr>
    </w:lvl>
    <w:lvl w:ilvl="4" w:tplc="40090003" w:tentative="1">
      <w:start w:val="1"/>
      <w:numFmt w:val="bullet"/>
      <w:lvlText w:val="o"/>
      <w:lvlJc w:val="left"/>
      <w:pPr>
        <w:ind w:left="4167" w:hanging="360"/>
      </w:pPr>
      <w:rPr>
        <w:rFonts w:ascii="Courier New" w:hAnsi="Courier New" w:cs="Courier New" w:hint="default"/>
      </w:rPr>
    </w:lvl>
    <w:lvl w:ilvl="5" w:tplc="40090005" w:tentative="1">
      <w:start w:val="1"/>
      <w:numFmt w:val="bullet"/>
      <w:lvlText w:val=""/>
      <w:lvlJc w:val="left"/>
      <w:pPr>
        <w:ind w:left="4887" w:hanging="360"/>
      </w:pPr>
      <w:rPr>
        <w:rFonts w:ascii="Wingdings" w:hAnsi="Wingdings" w:hint="default"/>
      </w:rPr>
    </w:lvl>
    <w:lvl w:ilvl="6" w:tplc="40090001" w:tentative="1">
      <w:start w:val="1"/>
      <w:numFmt w:val="bullet"/>
      <w:lvlText w:val=""/>
      <w:lvlJc w:val="left"/>
      <w:pPr>
        <w:ind w:left="5607" w:hanging="360"/>
      </w:pPr>
      <w:rPr>
        <w:rFonts w:ascii="Symbol" w:hAnsi="Symbol" w:hint="default"/>
      </w:rPr>
    </w:lvl>
    <w:lvl w:ilvl="7" w:tplc="40090003" w:tentative="1">
      <w:start w:val="1"/>
      <w:numFmt w:val="bullet"/>
      <w:lvlText w:val="o"/>
      <w:lvlJc w:val="left"/>
      <w:pPr>
        <w:ind w:left="6327" w:hanging="360"/>
      </w:pPr>
      <w:rPr>
        <w:rFonts w:ascii="Courier New" w:hAnsi="Courier New" w:cs="Courier New" w:hint="default"/>
      </w:rPr>
    </w:lvl>
    <w:lvl w:ilvl="8" w:tplc="40090005" w:tentative="1">
      <w:start w:val="1"/>
      <w:numFmt w:val="bullet"/>
      <w:lvlText w:val=""/>
      <w:lvlJc w:val="left"/>
      <w:pPr>
        <w:ind w:left="7047" w:hanging="360"/>
      </w:pPr>
      <w:rPr>
        <w:rFonts w:ascii="Wingdings" w:hAnsi="Wingdings" w:hint="default"/>
      </w:rPr>
    </w:lvl>
  </w:abstractNum>
  <w:abstractNum w:abstractNumId="59" w15:restartNumberingAfterBreak="0">
    <w:nsid w:val="5FF34532"/>
    <w:multiLevelType w:val="hybridMultilevel"/>
    <w:tmpl w:val="7EF01F36"/>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60" w15:restartNumberingAfterBreak="0">
    <w:nsid w:val="62854BB0"/>
    <w:multiLevelType w:val="hybridMultilevel"/>
    <w:tmpl w:val="1F542334"/>
    <w:lvl w:ilvl="0" w:tplc="D8889A66">
      <w:start w:val="1"/>
      <w:numFmt w:val="lowerLetter"/>
      <w:lvlText w:val="%1."/>
      <w:lvlJc w:val="left"/>
      <w:pPr>
        <w:ind w:left="1101" w:hanging="360"/>
      </w:pPr>
      <w:rPr>
        <w:rFonts w:ascii="Calibri" w:eastAsia="Calibri" w:hAnsi="Calibri" w:cs="Times New Roman"/>
        <w:spacing w:val="-1"/>
        <w:w w:val="99"/>
        <w:sz w:val="24"/>
        <w:szCs w:val="24"/>
        <w:lang w:val="en-US" w:eastAsia="en-US" w:bidi="ar-SA"/>
      </w:rPr>
    </w:lvl>
    <w:lvl w:ilvl="1" w:tplc="40090019" w:tentative="1">
      <w:start w:val="1"/>
      <w:numFmt w:val="lowerLetter"/>
      <w:lvlText w:val="%2."/>
      <w:lvlJc w:val="left"/>
      <w:pPr>
        <w:ind w:left="1821" w:hanging="360"/>
      </w:pPr>
    </w:lvl>
    <w:lvl w:ilvl="2" w:tplc="4009001B" w:tentative="1">
      <w:start w:val="1"/>
      <w:numFmt w:val="lowerRoman"/>
      <w:lvlText w:val="%3."/>
      <w:lvlJc w:val="right"/>
      <w:pPr>
        <w:ind w:left="2541" w:hanging="180"/>
      </w:pPr>
    </w:lvl>
    <w:lvl w:ilvl="3" w:tplc="4009000F" w:tentative="1">
      <w:start w:val="1"/>
      <w:numFmt w:val="decimal"/>
      <w:lvlText w:val="%4."/>
      <w:lvlJc w:val="left"/>
      <w:pPr>
        <w:ind w:left="3261" w:hanging="360"/>
      </w:pPr>
    </w:lvl>
    <w:lvl w:ilvl="4" w:tplc="40090019" w:tentative="1">
      <w:start w:val="1"/>
      <w:numFmt w:val="lowerLetter"/>
      <w:lvlText w:val="%5."/>
      <w:lvlJc w:val="left"/>
      <w:pPr>
        <w:ind w:left="3981" w:hanging="360"/>
      </w:pPr>
    </w:lvl>
    <w:lvl w:ilvl="5" w:tplc="4009001B" w:tentative="1">
      <w:start w:val="1"/>
      <w:numFmt w:val="lowerRoman"/>
      <w:lvlText w:val="%6."/>
      <w:lvlJc w:val="right"/>
      <w:pPr>
        <w:ind w:left="4701" w:hanging="180"/>
      </w:pPr>
    </w:lvl>
    <w:lvl w:ilvl="6" w:tplc="4009000F" w:tentative="1">
      <w:start w:val="1"/>
      <w:numFmt w:val="decimal"/>
      <w:lvlText w:val="%7."/>
      <w:lvlJc w:val="left"/>
      <w:pPr>
        <w:ind w:left="5421" w:hanging="360"/>
      </w:pPr>
    </w:lvl>
    <w:lvl w:ilvl="7" w:tplc="40090019" w:tentative="1">
      <w:start w:val="1"/>
      <w:numFmt w:val="lowerLetter"/>
      <w:lvlText w:val="%8."/>
      <w:lvlJc w:val="left"/>
      <w:pPr>
        <w:ind w:left="6141" w:hanging="360"/>
      </w:pPr>
    </w:lvl>
    <w:lvl w:ilvl="8" w:tplc="4009001B" w:tentative="1">
      <w:start w:val="1"/>
      <w:numFmt w:val="lowerRoman"/>
      <w:lvlText w:val="%9."/>
      <w:lvlJc w:val="right"/>
      <w:pPr>
        <w:ind w:left="6861" w:hanging="180"/>
      </w:pPr>
    </w:lvl>
  </w:abstractNum>
  <w:abstractNum w:abstractNumId="61" w15:restartNumberingAfterBreak="0">
    <w:nsid w:val="654B29D0"/>
    <w:multiLevelType w:val="hybridMultilevel"/>
    <w:tmpl w:val="0D3898E2"/>
    <w:lvl w:ilvl="0" w:tplc="865AC33E">
      <w:start w:val="1"/>
      <w:numFmt w:val="decimal"/>
      <w:lvlText w:val="%1."/>
      <w:lvlJc w:val="left"/>
      <w:pPr>
        <w:ind w:left="720" w:hanging="360"/>
      </w:pPr>
      <w:rPr>
        <w:rFonts w:hint="default"/>
        <w:b w:val="0"/>
        <w:bCs w:val="0"/>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62" w15:restartNumberingAfterBreak="0">
    <w:nsid w:val="655B2093"/>
    <w:multiLevelType w:val="hybridMultilevel"/>
    <w:tmpl w:val="4A26FD0C"/>
    <w:lvl w:ilvl="0" w:tplc="F2FA2338">
      <w:start w:val="54"/>
      <w:numFmt w:val="decimal"/>
      <w:lvlText w:val="%1."/>
      <w:lvlJc w:val="left"/>
      <w:pPr>
        <w:ind w:left="720" w:hanging="360"/>
      </w:pPr>
      <w:rPr>
        <w:rFonts w:hint="default"/>
      </w:rPr>
    </w:lvl>
    <w:lvl w:ilvl="1" w:tplc="62A8310C" w:tentative="1">
      <w:start w:val="1"/>
      <w:numFmt w:val="lowerLetter"/>
      <w:lvlText w:val="%2."/>
      <w:lvlJc w:val="left"/>
      <w:pPr>
        <w:ind w:left="1440" w:hanging="360"/>
      </w:pPr>
    </w:lvl>
    <w:lvl w:ilvl="2" w:tplc="221CCCFE" w:tentative="1">
      <w:start w:val="1"/>
      <w:numFmt w:val="lowerRoman"/>
      <w:lvlText w:val="%3."/>
      <w:lvlJc w:val="right"/>
      <w:pPr>
        <w:ind w:left="2160" w:hanging="180"/>
      </w:pPr>
    </w:lvl>
    <w:lvl w:ilvl="3" w:tplc="A1108CE8" w:tentative="1">
      <w:start w:val="1"/>
      <w:numFmt w:val="decimal"/>
      <w:lvlText w:val="%4."/>
      <w:lvlJc w:val="left"/>
      <w:pPr>
        <w:ind w:left="2880" w:hanging="360"/>
      </w:pPr>
    </w:lvl>
    <w:lvl w:ilvl="4" w:tplc="2C147AD4" w:tentative="1">
      <w:start w:val="1"/>
      <w:numFmt w:val="lowerLetter"/>
      <w:lvlText w:val="%5."/>
      <w:lvlJc w:val="left"/>
      <w:pPr>
        <w:ind w:left="3600" w:hanging="360"/>
      </w:pPr>
    </w:lvl>
    <w:lvl w:ilvl="5" w:tplc="88021B16" w:tentative="1">
      <w:start w:val="1"/>
      <w:numFmt w:val="lowerRoman"/>
      <w:lvlText w:val="%6."/>
      <w:lvlJc w:val="right"/>
      <w:pPr>
        <w:ind w:left="4320" w:hanging="180"/>
      </w:pPr>
    </w:lvl>
    <w:lvl w:ilvl="6" w:tplc="9BDA8360" w:tentative="1">
      <w:start w:val="1"/>
      <w:numFmt w:val="decimal"/>
      <w:lvlText w:val="%7."/>
      <w:lvlJc w:val="left"/>
      <w:pPr>
        <w:ind w:left="5040" w:hanging="360"/>
      </w:pPr>
    </w:lvl>
    <w:lvl w:ilvl="7" w:tplc="9ECEDBA2" w:tentative="1">
      <w:start w:val="1"/>
      <w:numFmt w:val="lowerLetter"/>
      <w:lvlText w:val="%8."/>
      <w:lvlJc w:val="left"/>
      <w:pPr>
        <w:ind w:left="5760" w:hanging="360"/>
      </w:pPr>
    </w:lvl>
    <w:lvl w:ilvl="8" w:tplc="5638F8E6" w:tentative="1">
      <w:start w:val="1"/>
      <w:numFmt w:val="lowerRoman"/>
      <w:lvlText w:val="%9."/>
      <w:lvlJc w:val="right"/>
      <w:pPr>
        <w:ind w:left="6480" w:hanging="180"/>
      </w:pPr>
    </w:lvl>
  </w:abstractNum>
  <w:abstractNum w:abstractNumId="63" w15:restartNumberingAfterBreak="0">
    <w:nsid w:val="65F1284B"/>
    <w:multiLevelType w:val="hybridMultilevel"/>
    <w:tmpl w:val="E4B6AA78"/>
    <w:lvl w:ilvl="0" w:tplc="40090001">
      <w:start w:val="1"/>
      <w:numFmt w:val="bullet"/>
      <w:lvlText w:val=""/>
      <w:lvlJc w:val="left"/>
      <w:pPr>
        <w:ind w:left="1080" w:hanging="360"/>
      </w:pPr>
      <w:rPr>
        <w:rFonts w:ascii="Symbol" w:hAnsi="Symbol" w:hint="default"/>
      </w:rPr>
    </w:lvl>
    <w:lvl w:ilvl="1" w:tplc="40090003" w:tentative="1">
      <w:start w:val="1"/>
      <w:numFmt w:val="bullet"/>
      <w:lvlText w:val="o"/>
      <w:lvlJc w:val="left"/>
      <w:pPr>
        <w:ind w:left="1800" w:hanging="360"/>
      </w:pPr>
      <w:rPr>
        <w:rFonts w:ascii="Courier New" w:hAnsi="Courier New" w:cs="Courier New" w:hint="default"/>
      </w:rPr>
    </w:lvl>
    <w:lvl w:ilvl="2" w:tplc="40090005" w:tentative="1">
      <w:start w:val="1"/>
      <w:numFmt w:val="bullet"/>
      <w:lvlText w:val=""/>
      <w:lvlJc w:val="left"/>
      <w:pPr>
        <w:ind w:left="2520" w:hanging="360"/>
      </w:pPr>
      <w:rPr>
        <w:rFonts w:ascii="Wingdings" w:hAnsi="Wingdings" w:hint="default"/>
      </w:rPr>
    </w:lvl>
    <w:lvl w:ilvl="3" w:tplc="40090001" w:tentative="1">
      <w:start w:val="1"/>
      <w:numFmt w:val="bullet"/>
      <w:lvlText w:val=""/>
      <w:lvlJc w:val="left"/>
      <w:pPr>
        <w:ind w:left="3240" w:hanging="360"/>
      </w:pPr>
      <w:rPr>
        <w:rFonts w:ascii="Symbol" w:hAnsi="Symbol" w:hint="default"/>
      </w:rPr>
    </w:lvl>
    <w:lvl w:ilvl="4" w:tplc="40090003" w:tentative="1">
      <w:start w:val="1"/>
      <w:numFmt w:val="bullet"/>
      <w:lvlText w:val="o"/>
      <w:lvlJc w:val="left"/>
      <w:pPr>
        <w:ind w:left="3960" w:hanging="360"/>
      </w:pPr>
      <w:rPr>
        <w:rFonts w:ascii="Courier New" w:hAnsi="Courier New" w:cs="Courier New" w:hint="default"/>
      </w:rPr>
    </w:lvl>
    <w:lvl w:ilvl="5" w:tplc="40090005" w:tentative="1">
      <w:start w:val="1"/>
      <w:numFmt w:val="bullet"/>
      <w:lvlText w:val=""/>
      <w:lvlJc w:val="left"/>
      <w:pPr>
        <w:ind w:left="4680" w:hanging="360"/>
      </w:pPr>
      <w:rPr>
        <w:rFonts w:ascii="Wingdings" w:hAnsi="Wingdings" w:hint="default"/>
      </w:rPr>
    </w:lvl>
    <w:lvl w:ilvl="6" w:tplc="40090001" w:tentative="1">
      <w:start w:val="1"/>
      <w:numFmt w:val="bullet"/>
      <w:lvlText w:val=""/>
      <w:lvlJc w:val="left"/>
      <w:pPr>
        <w:ind w:left="5400" w:hanging="360"/>
      </w:pPr>
      <w:rPr>
        <w:rFonts w:ascii="Symbol" w:hAnsi="Symbol" w:hint="default"/>
      </w:rPr>
    </w:lvl>
    <w:lvl w:ilvl="7" w:tplc="40090003" w:tentative="1">
      <w:start w:val="1"/>
      <w:numFmt w:val="bullet"/>
      <w:lvlText w:val="o"/>
      <w:lvlJc w:val="left"/>
      <w:pPr>
        <w:ind w:left="6120" w:hanging="360"/>
      </w:pPr>
      <w:rPr>
        <w:rFonts w:ascii="Courier New" w:hAnsi="Courier New" w:cs="Courier New" w:hint="default"/>
      </w:rPr>
    </w:lvl>
    <w:lvl w:ilvl="8" w:tplc="40090005" w:tentative="1">
      <w:start w:val="1"/>
      <w:numFmt w:val="bullet"/>
      <w:lvlText w:val=""/>
      <w:lvlJc w:val="left"/>
      <w:pPr>
        <w:ind w:left="6840" w:hanging="360"/>
      </w:pPr>
      <w:rPr>
        <w:rFonts w:ascii="Wingdings" w:hAnsi="Wingdings" w:hint="default"/>
      </w:rPr>
    </w:lvl>
  </w:abstractNum>
  <w:abstractNum w:abstractNumId="64" w15:restartNumberingAfterBreak="0">
    <w:nsid w:val="6600633D"/>
    <w:multiLevelType w:val="hybridMultilevel"/>
    <w:tmpl w:val="CCFA16C0"/>
    <w:lvl w:ilvl="0" w:tplc="4009000B">
      <w:start w:val="1"/>
      <w:numFmt w:val="bullet"/>
      <w:lvlText w:val=""/>
      <w:lvlJc w:val="left"/>
      <w:pPr>
        <w:ind w:left="1429" w:hanging="360"/>
      </w:pPr>
      <w:rPr>
        <w:rFonts w:ascii="Wingdings" w:hAnsi="Wingdings" w:hint="default"/>
      </w:rPr>
    </w:lvl>
    <w:lvl w:ilvl="1" w:tplc="40090003" w:tentative="1">
      <w:start w:val="1"/>
      <w:numFmt w:val="bullet"/>
      <w:lvlText w:val="o"/>
      <w:lvlJc w:val="left"/>
      <w:pPr>
        <w:ind w:left="2149" w:hanging="360"/>
      </w:pPr>
      <w:rPr>
        <w:rFonts w:ascii="Courier New" w:hAnsi="Courier New" w:cs="Courier New" w:hint="default"/>
      </w:rPr>
    </w:lvl>
    <w:lvl w:ilvl="2" w:tplc="40090005" w:tentative="1">
      <w:start w:val="1"/>
      <w:numFmt w:val="bullet"/>
      <w:lvlText w:val=""/>
      <w:lvlJc w:val="left"/>
      <w:pPr>
        <w:ind w:left="2869" w:hanging="360"/>
      </w:pPr>
      <w:rPr>
        <w:rFonts w:ascii="Wingdings" w:hAnsi="Wingdings" w:hint="default"/>
      </w:rPr>
    </w:lvl>
    <w:lvl w:ilvl="3" w:tplc="40090001" w:tentative="1">
      <w:start w:val="1"/>
      <w:numFmt w:val="bullet"/>
      <w:lvlText w:val=""/>
      <w:lvlJc w:val="left"/>
      <w:pPr>
        <w:ind w:left="3589" w:hanging="360"/>
      </w:pPr>
      <w:rPr>
        <w:rFonts w:ascii="Symbol" w:hAnsi="Symbol" w:hint="default"/>
      </w:rPr>
    </w:lvl>
    <w:lvl w:ilvl="4" w:tplc="40090003" w:tentative="1">
      <w:start w:val="1"/>
      <w:numFmt w:val="bullet"/>
      <w:lvlText w:val="o"/>
      <w:lvlJc w:val="left"/>
      <w:pPr>
        <w:ind w:left="4309" w:hanging="360"/>
      </w:pPr>
      <w:rPr>
        <w:rFonts w:ascii="Courier New" w:hAnsi="Courier New" w:cs="Courier New" w:hint="default"/>
      </w:rPr>
    </w:lvl>
    <w:lvl w:ilvl="5" w:tplc="40090005" w:tentative="1">
      <w:start w:val="1"/>
      <w:numFmt w:val="bullet"/>
      <w:lvlText w:val=""/>
      <w:lvlJc w:val="left"/>
      <w:pPr>
        <w:ind w:left="5029" w:hanging="360"/>
      </w:pPr>
      <w:rPr>
        <w:rFonts w:ascii="Wingdings" w:hAnsi="Wingdings" w:hint="default"/>
      </w:rPr>
    </w:lvl>
    <w:lvl w:ilvl="6" w:tplc="40090001" w:tentative="1">
      <w:start w:val="1"/>
      <w:numFmt w:val="bullet"/>
      <w:lvlText w:val=""/>
      <w:lvlJc w:val="left"/>
      <w:pPr>
        <w:ind w:left="5749" w:hanging="360"/>
      </w:pPr>
      <w:rPr>
        <w:rFonts w:ascii="Symbol" w:hAnsi="Symbol" w:hint="default"/>
      </w:rPr>
    </w:lvl>
    <w:lvl w:ilvl="7" w:tplc="40090003" w:tentative="1">
      <w:start w:val="1"/>
      <w:numFmt w:val="bullet"/>
      <w:lvlText w:val="o"/>
      <w:lvlJc w:val="left"/>
      <w:pPr>
        <w:ind w:left="6469" w:hanging="360"/>
      </w:pPr>
      <w:rPr>
        <w:rFonts w:ascii="Courier New" w:hAnsi="Courier New" w:cs="Courier New" w:hint="default"/>
      </w:rPr>
    </w:lvl>
    <w:lvl w:ilvl="8" w:tplc="40090005" w:tentative="1">
      <w:start w:val="1"/>
      <w:numFmt w:val="bullet"/>
      <w:lvlText w:val=""/>
      <w:lvlJc w:val="left"/>
      <w:pPr>
        <w:ind w:left="7189" w:hanging="360"/>
      </w:pPr>
      <w:rPr>
        <w:rFonts w:ascii="Wingdings" w:hAnsi="Wingdings" w:hint="default"/>
      </w:rPr>
    </w:lvl>
  </w:abstractNum>
  <w:abstractNum w:abstractNumId="65" w15:restartNumberingAfterBreak="0">
    <w:nsid w:val="68A84C9E"/>
    <w:multiLevelType w:val="multilevel"/>
    <w:tmpl w:val="0BD8A868"/>
    <w:lvl w:ilvl="0">
      <w:start w:val="11"/>
      <w:numFmt w:val="decimal"/>
      <w:lvlText w:val="%1"/>
      <w:lvlJc w:val="left"/>
      <w:pPr>
        <w:ind w:left="720" w:hanging="360"/>
      </w:pPr>
      <w:rPr>
        <w:rFonts w:hint="default"/>
      </w:rPr>
    </w:lvl>
    <w:lvl w:ilvl="1">
      <w:start w:val="1"/>
      <w:numFmt w:val="decimal"/>
      <w:isLgl/>
      <w:lvlText w:val="%1.%2"/>
      <w:lvlJc w:val="left"/>
      <w:pPr>
        <w:ind w:left="942" w:hanging="375"/>
      </w:pPr>
      <w:rPr>
        <w:rFonts w:hint="default"/>
      </w:rPr>
    </w:lvl>
    <w:lvl w:ilvl="2">
      <w:start w:val="1"/>
      <w:numFmt w:val="decimal"/>
      <w:isLgl/>
      <w:lvlText w:val="%1.%2.%3"/>
      <w:lvlJc w:val="left"/>
      <w:pPr>
        <w:ind w:left="1494" w:hanging="720"/>
      </w:pPr>
      <w:rPr>
        <w:rFonts w:hint="default"/>
      </w:rPr>
    </w:lvl>
    <w:lvl w:ilvl="3">
      <w:start w:val="1"/>
      <w:numFmt w:val="decimal"/>
      <w:isLgl/>
      <w:lvlText w:val="%1.%2.%3.%4"/>
      <w:lvlJc w:val="left"/>
      <w:pPr>
        <w:ind w:left="1701" w:hanging="720"/>
      </w:pPr>
      <w:rPr>
        <w:rFonts w:hint="default"/>
      </w:rPr>
    </w:lvl>
    <w:lvl w:ilvl="4">
      <w:start w:val="1"/>
      <w:numFmt w:val="decimal"/>
      <w:isLgl/>
      <w:lvlText w:val="%1.%2.%3.%4.%5"/>
      <w:lvlJc w:val="left"/>
      <w:pPr>
        <w:ind w:left="2268" w:hanging="1080"/>
      </w:pPr>
      <w:rPr>
        <w:rFonts w:hint="default"/>
      </w:rPr>
    </w:lvl>
    <w:lvl w:ilvl="5">
      <w:start w:val="1"/>
      <w:numFmt w:val="decimal"/>
      <w:isLgl/>
      <w:lvlText w:val="%1.%2.%3.%4.%5.%6"/>
      <w:lvlJc w:val="left"/>
      <w:pPr>
        <w:ind w:left="2475" w:hanging="1080"/>
      </w:pPr>
      <w:rPr>
        <w:rFonts w:hint="default"/>
      </w:rPr>
    </w:lvl>
    <w:lvl w:ilvl="6">
      <w:start w:val="1"/>
      <w:numFmt w:val="decimal"/>
      <w:isLgl/>
      <w:lvlText w:val="%1.%2.%3.%4.%5.%6.%7"/>
      <w:lvlJc w:val="left"/>
      <w:pPr>
        <w:ind w:left="3042" w:hanging="1440"/>
      </w:pPr>
      <w:rPr>
        <w:rFonts w:hint="default"/>
      </w:rPr>
    </w:lvl>
    <w:lvl w:ilvl="7">
      <w:start w:val="1"/>
      <w:numFmt w:val="decimal"/>
      <w:isLgl/>
      <w:lvlText w:val="%1.%2.%3.%4.%5.%6.%7.%8"/>
      <w:lvlJc w:val="left"/>
      <w:pPr>
        <w:ind w:left="3249" w:hanging="1440"/>
      </w:pPr>
      <w:rPr>
        <w:rFonts w:hint="default"/>
      </w:rPr>
    </w:lvl>
    <w:lvl w:ilvl="8">
      <w:start w:val="1"/>
      <w:numFmt w:val="decimal"/>
      <w:isLgl/>
      <w:lvlText w:val="%1.%2.%3.%4.%5.%6.%7.%8.%9"/>
      <w:lvlJc w:val="left"/>
      <w:pPr>
        <w:ind w:left="3816" w:hanging="1800"/>
      </w:pPr>
      <w:rPr>
        <w:rFonts w:hint="default"/>
      </w:rPr>
    </w:lvl>
  </w:abstractNum>
  <w:abstractNum w:abstractNumId="66" w15:restartNumberingAfterBreak="0">
    <w:nsid w:val="6B387EDF"/>
    <w:multiLevelType w:val="multilevel"/>
    <w:tmpl w:val="1A5C8558"/>
    <w:lvl w:ilvl="0">
      <w:start w:val="9"/>
      <w:numFmt w:val="decimal"/>
      <w:lvlText w:val="%1"/>
      <w:lvlJc w:val="left"/>
      <w:pPr>
        <w:ind w:left="360" w:hanging="360"/>
      </w:pPr>
      <w:rPr>
        <w:rFonts w:hint="default"/>
      </w:rPr>
    </w:lvl>
    <w:lvl w:ilvl="1">
      <w:start w:val="2"/>
      <w:numFmt w:val="decimal"/>
      <w:lvlText w:val="%1.%2"/>
      <w:lvlJc w:val="left"/>
      <w:pPr>
        <w:ind w:left="900" w:hanging="360"/>
      </w:pPr>
      <w:rPr>
        <w:rFonts w:hint="default"/>
      </w:rPr>
    </w:lvl>
    <w:lvl w:ilvl="2">
      <w:start w:val="1"/>
      <w:numFmt w:val="decimal"/>
      <w:lvlText w:val="%1.%2.%3"/>
      <w:lvlJc w:val="left"/>
      <w:pPr>
        <w:ind w:left="1800" w:hanging="720"/>
      </w:pPr>
      <w:rPr>
        <w:rFonts w:hint="default"/>
      </w:rPr>
    </w:lvl>
    <w:lvl w:ilvl="3">
      <w:start w:val="1"/>
      <w:numFmt w:val="decimal"/>
      <w:lvlText w:val="%1.%2.%3.%4"/>
      <w:lvlJc w:val="left"/>
      <w:pPr>
        <w:ind w:left="2340" w:hanging="720"/>
      </w:pPr>
      <w:rPr>
        <w:rFonts w:hint="default"/>
      </w:rPr>
    </w:lvl>
    <w:lvl w:ilvl="4">
      <w:start w:val="1"/>
      <w:numFmt w:val="decimal"/>
      <w:lvlText w:val="%1.%2.%3.%4.%5"/>
      <w:lvlJc w:val="left"/>
      <w:pPr>
        <w:ind w:left="3240" w:hanging="1080"/>
      </w:pPr>
      <w:rPr>
        <w:rFonts w:hint="default"/>
      </w:rPr>
    </w:lvl>
    <w:lvl w:ilvl="5">
      <w:start w:val="1"/>
      <w:numFmt w:val="decimal"/>
      <w:lvlText w:val="%1.%2.%3.%4.%5.%6"/>
      <w:lvlJc w:val="left"/>
      <w:pPr>
        <w:ind w:left="3780" w:hanging="1080"/>
      </w:pPr>
      <w:rPr>
        <w:rFonts w:hint="default"/>
      </w:rPr>
    </w:lvl>
    <w:lvl w:ilvl="6">
      <w:start w:val="1"/>
      <w:numFmt w:val="decimal"/>
      <w:lvlText w:val="%1.%2.%3.%4.%5.%6.%7"/>
      <w:lvlJc w:val="left"/>
      <w:pPr>
        <w:ind w:left="4680" w:hanging="1440"/>
      </w:pPr>
      <w:rPr>
        <w:rFonts w:hint="default"/>
      </w:rPr>
    </w:lvl>
    <w:lvl w:ilvl="7">
      <w:start w:val="1"/>
      <w:numFmt w:val="decimal"/>
      <w:lvlText w:val="%1.%2.%3.%4.%5.%6.%7.%8"/>
      <w:lvlJc w:val="left"/>
      <w:pPr>
        <w:ind w:left="5220" w:hanging="1440"/>
      </w:pPr>
      <w:rPr>
        <w:rFonts w:hint="default"/>
      </w:rPr>
    </w:lvl>
    <w:lvl w:ilvl="8">
      <w:start w:val="1"/>
      <w:numFmt w:val="decimal"/>
      <w:lvlText w:val="%1.%2.%3.%4.%5.%6.%7.%8.%9"/>
      <w:lvlJc w:val="left"/>
      <w:pPr>
        <w:ind w:left="6120" w:hanging="1800"/>
      </w:pPr>
      <w:rPr>
        <w:rFonts w:hint="default"/>
      </w:rPr>
    </w:lvl>
  </w:abstractNum>
  <w:abstractNum w:abstractNumId="67" w15:restartNumberingAfterBreak="0">
    <w:nsid w:val="6C0E1FB3"/>
    <w:multiLevelType w:val="hybridMultilevel"/>
    <w:tmpl w:val="BB645BD8"/>
    <w:lvl w:ilvl="0" w:tplc="4009000B">
      <w:start w:val="1"/>
      <w:numFmt w:val="bullet"/>
      <w:lvlText w:val=""/>
      <w:lvlJc w:val="left"/>
      <w:pPr>
        <w:ind w:left="1854" w:hanging="360"/>
      </w:pPr>
      <w:rPr>
        <w:rFonts w:ascii="Wingdings" w:hAnsi="Wingdings" w:hint="default"/>
      </w:rPr>
    </w:lvl>
    <w:lvl w:ilvl="1" w:tplc="40090003" w:tentative="1">
      <w:start w:val="1"/>
      <w:numFmt w:val="bullet"/>
      <w:lvlText w:val="o"/>
      <w:lvlJc w:val="left"/>
      <w:pPr>
        <w:ind w:left="2574" w:hanging="360"/>
      </w:pPr>
      <w:rPr>
        <w:rFonts w:ascii="Courier New" w:hAnsi="Courier New" w:cs="Courier New" w:hint="default"/>
      </w:rPr>
    </w:lvl>
    <w:lvl w:ilvl="2" w:tplc="40090005" w:tentative="1">
      <w:start w:val="1"/>
      <w:numFmt w:val="bullet"/>
      <w:lvlText w:val=""/>
      <w:lvlJc w:val="left"/>
      <w:pPr>
        <w:ind w:left="3294" w:hanging="360"/>
      </w:pPr>
      <w:rPr>
        <w:rFonts w:ascii="Wingdings" w:hAnsi="Wingdings" w:hint="default"/>
      </w:rPr>
    </w:lvl>
    <w:lvl w:ilvl="3" w:tplc="40090001" w:tentative="1">
      <w:start w:val="1"/>
      <w:numFmt w:val="bullet"/>
      <w:lvlText w:val=""/>
      <w:lvlJc w:val="left"/>
      <w:pPr>
        <w:ind w:left="4014" w:hanging="360"/>
      </w:pPr>
      <w:rPr>
        <w:rFonts w:ascii="Symbol" w:hAnsi="Symbol" w:hint="default"/>
      </w:rPr>
    </w:lvl>
    <w:lvl w:ilvl="4" w:tplc="40090003" w:tentative="1">
      <w:start w:val="1"/>
      <w:numFmt w:val="bullet"/>
      <w:lvlText w:val="o"/>
      <w:lvlJc w:val="left"/>
      <w:pPr>
        <w:ind w:left="4734" w:hanging="360"/>
      </w:pPr>
      <w:rPr>
        <w:rFonts w:ascii="Courier New" w:hAnsi="Courier New" w:cs="Courier New" w:hint="default"/>
      </w:rPr>
    </w:lvl>
    <w:lvl w:ilvl="5" w:tplc="40090005" w:tentative="1">
      <w:start w:val="1"/>
      <w:numFmt w:val="bullet"/>
      <w:lvlText w:val=""/>
      <w:lvlJc w:val="left"/>
      <w:pPr>
        <w:ind w:left="5454" w:hanging="360"/>
      </w:pPr>
      <w:rPr>
        <w:rFonts w:ascii="Wingdings" w:hAnsi="Wingdings" w:hint="default"/>
      </w:rPr>
    </w:lvl>
    <w:lvl w:ilvl="6" w:tplc="40090001" w:tentative="1">
      <w:start w:val="1"/>
      <w:numFmt w:val="bullet"/>
      <w:lvlText w:val=""/>
      <w:lvlJc w:val="left"/>
      <w:pPr>
        <w:ind w:left="6174" w:hanging="360"/>
      </w:pPr>
      <w:rPr>
        <w:rFonts w:ascii="Symbol" w:hAnsi="Symbol" w:hint="default"/>
      </w:rPr>
    </w:lvl>
    <w:lvl w:ilvl="7" w:tplc="40090003" w:tentative="1">
      <w:start w:val="1"/>
      <w:numFmt w:val="bullet"/>
      <w:lvlText w:val="o"/>
      <w:lvlJc w:val="left"/>
      <w:pPr>
        <w:ind w:left="6894" w:hanging="360"/>
      </w:pPr>
      <w:rPr>
        <w:rFonts w:ascii="Courier New" w:hAnsi="Courier New" w:cs="Courier New" w:hint="default"/>
      </w:rPr>
    </w:lvl>
    <w:lvl w:ilvl="8" w:tplc="40090005" w:tentative="1">
      <w:start w:val="1"/>
      <w:numFmt w:val="bullet"/>
      <w:lvlText w:val=""/>
      <w:lvlJc w:val="left"/>
      <w:pPr>
        <w:ind w:left="7614" w:hanging="360"/>
      </w:pPr>
      <w:rPr>
        <w:rFonts w:ascii="Wingdings" w:hAnsi="Wingdings" w:hint="default"/>
      </w:rPr>
    </w:lvl>
  </w:abstractNum>
  <w:abstractNum w:abstractNumId="68" w15:restartNumberingAfterBreak="0">
    <w:nsid w:val="6D9B3410"/>
    <w:multiLevelType w:val="multilevel"/>
    <w:tmpl w:val="2E8E68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9" w15:restartNumberingAfterBreak="0">
    <w:nsid w:val="6E354674"/>
    <w:multiLevelType w:val="hybridMultilevel"/>
    <w:tmpl w:val="10247C6C"/>
    <w:lvl w:ilvl="0" w:tplc="40090001">
      <w:start w:val="1"/>
      <w:numFmt w:val="bullet"/>
      <w:lvlText w:val=""/>
      <w:lvlJc w:val="left"/>
      <w:pPr>
        <w:tabs>
          <w:tab w:val="num" w:pos="720"/>
        </w:tabs>
        <w:ind w:left="720" w:hanging="360"/>
      </w:pPr>
      <w:rPr>
        <w:rFonts w:ascii="Symbol" w:hAnsi="Symbol" w:hint="default"/>
      </w:rPr>
    </w:lvl>
    <w:lvl w:ilvl="1" w:tplc="D158943E" w:tentative="1">
      <w:start w:val="1"/>
      <w:numFmt w:val="bullet"/>
      <w:lvlText w:val=""/>
      <w:lvlJc w:val="left"/>
      <w:pPr>
        <w:tabs>
          <w:tab w:val="num" w:pos="1440"/>
        </w:tabs>
        <w:ind w:left="1440" w:hanging="360"/>
      </w:pPr>
      <w:rPr>
        <w:rFonts w:ascii="Wingdings" w:hAnsi="Wingdings" w:hint="default"/>
      </w:rPr>
    </w:lvl>
    <w:lvl w:ilvl="2" w:tplc="935803DA" w:tentative="1">
      <w:start w:val="1"/>
      <w:numFmt w:val="bullet"/>
      <w:lvlText w:val=""/>
      <w:lvlJc w:val="left"/>
      <w:pPr>
        <w:tabs>
          <w:tab w:val="num" w:pos="2160"/>
        </w:tabs>
        <w:ind w:left="2160" w:hanging="360"/>
      </w:pPr>
      <w:rPr>
        <w:rFonts w:ascii="Wingdings" w:hAnsi="Wingdings" w:hint="default"/>
      </w:rPr>
    </w:lvl>
    <w:lvl w:ilvl="3" w:tplc="1EC85D18" w:tentative="1">
      <w:start w:val="1"/>
      <w:numFmt w:val="bullet"/>
      <w:lvlText w:val=""/>
      <w:lvlJc w:val="left"/>
      <w:pPr>
        <w:tabs>
          <w:tab w:val="num" w:pos="2880"/>
        </w:tabs>
        <w:ind w:left="2880" w:hanging="360"/>
      </w:pPr>
      <w:rPr>
        <w:rFonts w:ascii="Wingdings" w:hAnsi="Wingdings" w:hint="default"/>
      </w:rPr>
    </w:lvl>
    <w:lvl w:ilvl="4" w:tplc="D006FE92" w:tentative="1">
      <w:start w:val="1"/>
      <w:numFmt w:val="bullet"/>
      <w:lvlText w:val=""/>
      <w:lvlJc w:val="left"/>
      <w:pPr>
        <w:tabs>
          <w:tab w:val="num" w:pos="3600"/>
        </w:tabs>
        <w:ind w:left="3600" w:hanging="360"/>
      </w:pPr>
      <w:rPr>
        <w:rFonts w:ascii="Wingdings" w:hAnsi="Wingdings" w:hint="default"/>
      </w:rPr>
    </w:lvl>
    <w:lvl w:ilvl="5" w:tplc="C2E42124" w:tentative="1">
      <w:start w:val="1"/>
      <w:numFmt w:val="bullet"/>
      <w:lvlText w:val=""/>
      <w:lvlJc w:val="left"/>
      <w:pPr>
        <w:tabs>
          <w:tab w:val="num" w:pos="4320"/>
        </w:tabs>
        <w:ind w:left="4320" w:hanging="360"/>
      </w:pPr>
      <w:rPr>
        <w:rFonts w:ascii="Wingdings" w:hAnsi="Wingdings" w:hint="default"/>
      </w:rPr>
    </w:lvl>
    <w:lvl w:ilvl="6" w:tplc="D53C18CE" w:tentative="1">
      <w:start w:val="1"/>
      <w:numFmt w:val="bullet"/>
      <w:lvlText w:val=""/>
      <w:lvlJc w:val="left"/>
      <w:pPr>
        <w:tabs>
          <w:tab w:val="num" w:pos="5040"/>
        </w:tabs>
        <w:ind w:left="5040" w:hanging="360"/>
      </w:pPr>
      <w:rPr>
        <w:rFonts w:ascii="Wingdings" w:hAnsi="Wingdings" w:hint="default"/>
      </w:rPr>
    </w:lvl>
    <w:lvl w:ilvl="7" w:tplc="FC46B9BC" w:tentative="1">
      <w:start w:val="1"/>
      <w:numFmt w:val="bullet"/>
      <w:lvlText w:val=""/>
      <w:lvlJc w:val="left"/>
      <w:pPr>
        <w:tabs>
          <w:tab w:val="num" w:pos="5760"/>
        </w:tabs>
        <w:ind w:left="5760" w:hanging="360"/>
      </w:pPr>
      <w:rPr>
        <w:rFonts w:ascii="Wingdings" w:hAnsi="Wingdings" w:hint="default"/>
      </w:rPr>
    </w:lvl>
    <w:lvl w:ilvl="8" w:tplc="055866B8" w:tentative="1">
      <w:start w:val="1"/>
      <w:numFmt w:val="bullet"/>
      <w:lvlText w:val=""/>
      <w:lvlJc w:val="left"/>
      <w:pPr>
        <w:tabs>
          <w:tab w:val="num" w:pos="6480"/>
        </w:tabs>
        <w:ind w:left="6480" w:hanging="360"/>
      </w:pPr>
      <w:rPr>
        <w:rFonts w:ascii="Wingdings" w:hAnsi="Wingdings" w:hint="default"/>
      </w:rPr>
    </w:lvl>
  </w:abstractNum>
  <w:abstractNum w:abstractNumId="70" w15:restartNumberingAfterBreak="0">
    <w:nsid w:val="722F3B0C"/>
    <w:multiLevelType w:val="hybridMultilevel"/>
    <w:tmpl w:val="1B3C5100"/>
    <w:lvl w:ilvl="0" w:tplc="CD1EA932">
      <w:start w:val="1"/>
      <w:numFmt w:val="lowerLetter"/>
      <w:lvlText w:val="%1)"/>
      <w:lvlJc w:val="left"/>
      <w:pPr>
        <w:ind w:left="180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71" w15:restartNumberingAfterBreak="0">
    <w:nsid w:val="74F06D24"/>
    <w:multiLevelType w:val="hybridMultilevel"/>
    <w:tmpl w:val="777E8748"/>
    <w:lvl w:ilvl="0" w:tplc="40090019">
      <w:start w:val="1"/>
      <w:numFmt w:val="lowerLetter"/>
      <w:lvlText w:val="%1."/>
      <w:lvlJc w:val="left"/>
      <w:pPr>
        <w:ind w:left="1070" w:hanging="360"/>
      </w:pPr>
      <w:rPr>
        <w:rFonts w:hint="default"/>
      </w:rPr>
    </w:lvl>
    <w:lvl w:ilvl="1" w:tplc="40090019" w:tentative="1">
      <w:start w:val="1"/>
      <w:numFmt w:val="lowerLetter"/>
      <w:lvlText w:val="%2."/>
      <w:lvlJc w:val="left"/>
      <w:pPr>
        <w:ind w:left="1790" w:hanging="360"/>
      </w:pPr>
    </w:lvl>
    <w:lvl w:ilvl="2" w:tplc="4009001B" w:tentative="1">
      <w:start w:val="1"/>
      <w:numFmt w:val="lowerRoman"/>
      <w:lvlText w:val="%3."/>
      <w:lvlJc w:val="right"/>
      <w:pPr>
        <w:ind w:left="2510" w:hanging="180"/>
      </w:pPr>
    </w:lvl>
    <w:lvl w:ilvl="3" w:tplc="4009000F" w:tentative="1">
      <w:start w:val="1"/>
      <w:numFmt w:val="decimal"/>
      <w:lvlText w:val="%4."/>
      <w:lvlJc w:val="left"/>
      <w:pPr>
        <w:ind w:left="3230" w:hanging="360"/>
      </w:pPr>
    </w:lvl>
    <w:lvl w:ilvl="4" w:tplc="40090019" w:tentative="1">
      <w:start w:val="1"/>
      <w:numFmt w:val="lowerLetter"/>
      <w:lvlText w:val="%5."/>
      <w:lvlJc w:val="left"/>
      <w:pPr>
        <w:ind w:left="3950" w:hanging="360"/>
      </w:pPr>
    </w:lvl>
    <w:lvl w:ilvl="5" w:tplc="4009001B" w:tentative="1">
      <w:start w:val="1"/>
      <w:numFmt w:val="lowerRoman"/>
      <w:lvlText w:val="%6."/>
      <w:lvlJc w:val="right"/>
      <w:pPr>
        <w:ind w:left="4670" w:hanging="180"/>
      </w:pPr>
    </w:lvl>
    <w:lvl w:ilvl="6" w:tplc="4009000F" w:tentative="1">
      <w:start w:val="1"/>
      <w:numFmt w:val="decimal"/>
      <w:lvlText w:val="%7."/>
      <w:lvlJc w:val="left"/>
      <w:pPr>
        <w:ind w:left="5390" w:hanging="360"/>
      </w:pPr>
    </w:lvl>
    <w:lvl w:ilvl="7" w:tplc="40090019" w:tentative="1">
      <w:start w:val="1"/>
      <w:numFmt w:val="lowerLetter"/>
      <w:lvlText w:val="%8."/>
      <w:lvlJc w:val="left"/>
      <w:pPr>
        <w:ind w:left="6110" w:hanging="360"/>
      </w:pPr>
    </w:lvl>
    <w:lvl w:ilvl="8" w:tplc="4009001B" w:tentative="1">
      <w:start w:val="1"/>
      <w:numFmt w:val="lowerRoman"/>
      <w:lvlText w:val="%9."/>
      <w:lvlJc w:val="right"/>
      <w:pPr>
        <w:ind w:left="6830" w:hanging="180"/>
      </w:pPr>
    </w:lvl>
  </w:abstractNum>
  <w:abstractNum w:abstractNumId="72" w15:restartNumberingAfterBreak="0">
    <w:nsid w:val="77AE1643"/>
    <w:multiLevelType w:val="hybridMultilevel"/>
    <w:tmpl w:val="5FC80E94"/>
    <w:lvl w:ilvl="0" w:tplc="4009000B">
      <w:start w:val="1"/>
      <w:numFmt w:val="bullet"/>
      <w:lvlText w:val=""/>
      <w:lvlJc w:val="left"/>
      <w:pPr>
        <w:ind w:left="720" w:hanging="360"/>
      </w:pPr>
      <w:rPr>
        <w:rFonts w:ascii="Wingdings" w:hAnsi="Wingdings"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73" w15:restartNumberingAfterBreak="0">
    <w:nsid w:val="7A513B9F"/>
    <w:multiLevelType w:val="hybridMultilevel"/>
    <w:tmpl w:val="19F05EEC"/>
    <w:lvl w:ilvl="0" w:tplc="40090017">
      <w:start w:val="1"/>
      <w:numFmt w:val="lowerLetter"/>
      <w:lvlText w:val="%1)"/>
      <w:lvlJc w:val="left"/>
      <w:pPr>
        <w:tabs>
          <w:tab w:val="num" w:pos="720"/>
        </w:tabs>
        <w:ind w:left="720" w:hanging="360"/>
      </w:pPr>
      <w:rPr>
        <w:rFonts w:hint="default"/>
      </w:rPr>
    </w:lvl>
    <w:lvl w:ilvl="1" w:tplc="5B460F14" w:tentative="1">
      <w:start w:val="1"/>
      <w:numFmt w:val="bullet"/>
      <w:lvlText w:val=""/>
      <w:lvlJc w:val="left"/>
      <w:pPr>
        <w:tabs>
          <w:tab w:val="num" w:pos="1440"/>
        </w:tabs>
        <w:ind w:left="1440" w:hanging="360"/>
      </w:pPr>
      <w:rPr>
        <w:rFonts w:ascii="Wingdings" w:hAnsi="Wingdings" w:hint="default"/>
      </w:rPr>
    </w:lvl>
    <w:lvl w:ilvl="2" w:tplc="BD641BB4" w:tentative="1">
      <w:start w:val="1"/>
      <w:numFmt w:val="bullet"/>
      <w:lvlText w:val=""/>
      <w:lvlJc w:val="left"/>
      <w:pPr>
        <w:tabs>
          <w:tab w:val="num" w:pos="2160"/>
        </w:tabs>
        <w:ind w:left="2160" w:hanging="360"/>
      </w:pPr>
      <w:rPr>
        <w:rFonts w:ascii="Wingdings" w:hAnsi="Wingdings" w:hint="default"/>
      </w:rPr>
    </w:lvl>
    <w:lvl w:ilvl="3" w:tplc="0920625A" w:tentative="1">
      <w:start w:val="1"/>
      <w:numFmt w:val="bullet"/>
      <w:lvlText w:val=""/>
      <w:lvlJc w:val="left"/>
      <w:pPr>
        <w:tabs>
          <w:tab w:val="num" w:pos="2880"/>
        </w:tabs>
        <w:ind w:left="2880" w:hanging="360"/>
      </w:pPr>
      <w:rPr>
        <w:rFonts w:ascii="Wingdings" w:hAnsi="Wingdings" w:hint="default"/>
      </w:rPr>
    </w:lvl>
    <w:lvl w:ilvl="4" w:tplc="AF827F9C" w:tentative="1">
      <w:start w:val="1"/>
      <w:numFmt w:val="bullet"/>
      <w:lvlText w:val=""/>
      <w:lvlJc w:val="left"/>
      <w:pPr>
        <w:tabs>
          <w:tab w:val="num" w:pos="3600"/>
        </w:tabs>
        <w:ind w:left="3600" w:hanging="360"/>
      </w:pPr>
      <w:rPr>
        <w:rFonts w:ascii="Wingdings" w:hAnsi="Wingdings" w:hint="default"/>
      </w:rPr>
    </w:lvl>
    <w:lvl w:ilvl="5" w:tplc="2946BF0C" w:tentative="1">
      <w:start w:val="1"/>
      <w:numFmt w:val="bullet"/>
      <w:lvlText w:val=""/>
      <w:lvlJc w:val="left"/>
      <w:pPr>
        <w:tabs>
          <w:tab w:val="num" w:pos="4320"/>
        </w:tabs>
        <w:ind w:left="4320" w:hanging="360"/>
      </w:pPr>
      <w:rPr>
        <w:rFonts w:ascii="Wingdings" w:hAnsi="Wingdings" w:hint="default"/>
      </w:rPr>
    </w:lvl>
    <w:lvl w:ilvl="6" w:tplc="C2C22AB0" w:tentative="1">
      <w:start w:val="1"/>
      <w:numFmt w:val="bullet"/>
      <w:lvlText w:val=""/>
      <w:lvlJc w:val="left"/>
      <w:pPr>
        <w:tabs>
          <w:tab w:val="num" w:pos="5040"/>
        </w:tabs>
        <w:ind w:left="5040" w:hanging="360"/>
      </w:pPr>
      <w:rPr>
        <w:rFonts w:ascii="Wingdings" w:hAnsi="Wingdings" w:hint="default"/>
      </w:rPr>
    </w:lvl>
    <w:lvl w:ilvl="7" w:tplc="295644F4" w:tentative="1">
      <w:start w:val="1"/>
      <w:numFmt w:val="bullet"/>
      <w:lvlText w:val=""/>
      <w:lvlJc w:val="left"/>
      <w:pPr>
        <w:tabs>
          <w:tab w:val="num" w:pos="5760"/>
        </w:tabs>
        <w:ind w:left="5760" w:hanging="360"/>
      </w:pPr>
      <w:rPr>
        <w:rFonts w:ascii="Wingdings" w:hAnsi="Wingdings" w:hint="default"/>
      </w:rPr>
    </w:lvl>
    <w:lvl w:ilvl="8" w:tplc="AFD64428" w:tentative="1">
      <w:start w:val="1"/>
      <w:numFmt w:val="bullet"/>
      <w:lvlText w:val=""/>
      <w:lvlJc w:val="left"/>
      <w:pPr>
        <w:tabs>
          <w:tab w:val="num" w:pos="6480"/>
        </w:tabs>
        <w:ind w:left="6480" w:hanging="360"/>
      </w:pPr>
      <w:rPr>
        <w:rFonts w:ascii="Wingdings" w:hAnsi="Wingdings" w:hint="default"/>
      </w:rPr>
    </w:lvl>
  </w:abstractNum>
  <w:abstractNum w:abstractNumId="74" w15:restartNumberingAfterBreak="0">
    <w:nsid w:val="7ED16DA9"/>
    <w:multiLevelType w:val="hybridMultilevel"/>
    <w:tmpl w:val="5A780CC4"/>
    <w:lvl w:ilvl="0" w:tplc="40090001">
      <w:start w:val="1"/>
      <w:numFmt w:val="bullet"/>
      <w:lvlText w:val=""/>
      <w:lvlJc w:val="left"/>
      <w:pPr>
        <w:tabs>
          <w:tab w:val="num" w:pos="720"/>
        </w:tabs>
        <w:ind w:left="720" w:hanging="360"/>
      </w:pPr>
      <w:rPr>
        <w:rFonts w:ascii="Symbol" w:hAnsi="Symbol" w:hint="default"/>
      </w:rPr>
    </w:lvl>
    <w:lvl w:ilvl="1" w:tplc="960A6A24" w:tentative="1">
      <w:start w:val="1"/>
      <w:numFmt w:val="bullet"/>
      <w:lvlText w:val=""/>
      <w:lvlJc w:val="left"/>
      <w:pPr>
        <w:tabs>
          <w:tab w:val="num" w:pos="1440"/>
        </w:tabs>
        <w:ind w:left="1440" w:hanging="360"/>
      </w:pPr>
      <w:rPr>
        <w:rFonts w:ascii="Wingdings" w:hAnsi="Wingdings" w:hint="default"/>
      </w:rPr>
    </w:lvl>
    <w:lvl w:ilvl="2" w:tplc="794A7BD6" w:tentative="1">
      <w:start w:val="1"/>
      <w:numFmt w:val="bullet"/>
      <w:lvlText w:val=""/>
      <w:lvlJc w:val="left"/>
      <w:pPr>
        <w:tabs>
          <w:tab w:val="num" w:pos="2160"/>
        </w:tabs>
        <w:ind w:left="2160" w:hanging="360"/>
      </w:pPr>
      <w:rPr>
        <w:rFonts w:ascii="Wingdings" w:hAnsi="Wingdings" w:hint="default"/>
      </w:rPr>
    </w:lvl>
    <w:lvl w:ilvl="3" w:tplc="5C9E7242" w:tentative="1">
      <w:start w:val="1"/>
      <w:numFmt w:val="bullet"/>
      <w:lvlText w:val=""/>
      <w:lvlJc w:val="left"/>
      <w:pPr>
        <w:tabs>
          <w:tab w:val="num" w:pos="2880"/>
        </w:tabs>
        <w:ind w:left="2880" w:hanging="360"/>
      </w:pPr>
      <w:rPr>
        <w:rFonts w:ascii="Wingdings" w:hAnsi="Wingdings" w:hint="default"/>
      </w:rPr>
    </w:lvl>
    <w:lvl w:ilvl="4" w:tplc="AD7E6BD8" w:tentative="1">
      <w:start w:val="1"/>
      <w:numFmt w:val="bullet"/>
      <w:lvlText w:val=""/>
      <w:lvlJc w:val="left"/>
      <w:pPr>
        <w:tabs>
          <w:tab w:val="num" w:pos="3600"/>
        </w:tabs>
        <w:ind w:left="3600" w:hanging="360"/>
      </w:pPr>
      <w:rPr>
        <w:rFonts w:ascii="Wingdings" w:hAnsi="Wingdings" w:hint="default"/>
      </w:rPr>
    </w:lvl>
    <w:lvl w:ilvl="5" w:tplc="DAC69A46" w:tentative="1">
      <w:start w:val="1"/>
      <w:numFmt w:val="bullet"/>
      <w:lvlText w:val=""/>
      <w:lvlJc w:val="left"/>
      <w:pPr>
        <w:tabs>
          <w:tab w:val="num" w:pos="4320"/>
        </w:tabs>
        <w:ind w:left="4320" w:hanging="360"/>
      </w:pPr>
      <w:rPr>
        <w:rFonts w:ascii="Wingdings" w:hAnsi="Wingdings" w:hint="default"/>
      </w:rPr>
    </w:lvl>
    <w:lvl w:ilvl="6" w:tplc="EE027206" w:tentative="1">
      <w:start w:val="1"/>
      <w:numFmt w:val="bullet"/>
      <w:lvlText w:val=""/>
      <w:lvlJc w:val="left"/>
      <w:pPr>
        <w:tabs>
          <w:tab w:val="num" w:pos="5040"/>
        </w:tabs>
        <w:ind w:left="5040" w:hanging="360"/>
      </w:pPr>
      <w:rPr>
        <w:rFonts w:ascii="Wingdings" w:hAnsi="Wingdings" w:hint="default"/>
      </w:rPr>
    </w:lvl>
    <w:lvl w:ilvl="7" w:tplc="EC26F6DE" w:tentative="1">
      <w:start w:val="1"/>
      <w:numFmt w:val="bullet"/>
      <w:lvlText w:val=""/>
      <w:lvlJc w:val="left"/>
      <w:pPr>
        <w:tabs>
          <w:tab w:val="num" w:pos="5760"/>
        </w:tabs>
        <w:ind w:left="5760" w:hanging="360"/>
      </w:pPr>
      <w:rPr>
        <w:rFonts w:ascii="Wingdings" w:hAnsi="Wingdings" w:hint="default"/>
      </w:rPr>
    </w:lvl>
    <w:lvl w:ilvl="8" w:tplc="4B56709E" w:tentative="1">
      <w:start w:val="1"/>
      <w:numFmt w:val="bullet"/>
      <w:lvlText w:val=""/>
      <w:lvlJc w:val="left"/>
      <w:pPr>
        <w:tabs>
          <w:tab w:val="num" w:pos="6480"/>
        </w:tabs>
        <w:ind w:left="6480" w:hanging="360"/>
      </w:pPr>
      <w:rPr>
        <w:rFonts w:ascii="Wingdings" w:hAnsi="Wingdings" w:hint="default"/>
      </w:rPr>
    </w:lvl>
  </w:abstractNum>
  <w:abstractNum w:abstractNumId="75" w15:restartNumberingAfterBreak="0">
    <w:nsid w:val="7EE2794E"/>
    <w:multiLevelType w:val="hybridMultilevel"/>
    <w:tmpl w:val="F24AA3B4"/>
    <w:lvl w:ilvl="0" w:tplc="4009000B">
      <w:start w:val="1"/>
      <w:numFmt w:val="bullet"/>
      <w:lvlText w:val=""/>
      <w:lvlJc w:val="left"/>
      <w:pPr>
        <w:ind w:left="1287" w:hanging="360"/>
      </w:pPr>
      <w:rPr>
        <w:rFonts w:ascii="Wingdings" w:hAnsi="Wingdings" w:hint="default"/>
      </w:rPr>
    </w:lvl>
    <w:lvl w:ilvl="1" w:tplc="40090003" w:tentative="1">
      <w:start w:val="1"/>
      <w:numFmt w:val="bullet"/>
      <w:lvlText w:val="o"/>
      <w:lvlJc w:val="left"/>
      <w:pPr>
        <w:ind w:left="2007" w:hanging="360"/>
      </w:pPr>
      <w:rPr>
        <w:rFonts w:ascii="Courier New" w:hAnsi="Courier New" w:cs="Courier New" w:hint="default"/>
      </w:rPr>
    </w:lvl>
    <w:lvl w:ilvl="2" w:tplc="40090005" w:tentative="1">
      <w:start w:val="1"/>
      <w:numFmt w:val="bullet"/>
      <w:lvlText w:val=""/>
      <w:lvlJc w:val="left"/>
      <w:pPr>
        <w:ind w:left="2727" w:hanging="360"/>
      </w:pPr>
      <w:rPr>
        <w:rFonts w:ascii="Wingdings" w:hAnsi="Wingdings" w:hint="default"/>
      </w:rPr>
    </w:lvl>
    <w:lvl w:ilvl="3" w:tplc="40090001" w:tentative="1">
      <w:start w:val="1"/>
      <w:numFmt w:val="bullet"/>
      <w:lvlText w:val=""/>
      <w:lvlJc w:val="left"/>
      <w:pPr>
        <w:ind w:left="3447" w:hanging="360"/>
      </w:pPr>
      <w:rPr>
        <w:rFonts w:ascii="Symbol" w:hAnsi="Symbol" w:hint="default"/>
      </w:rPr>
    </w:lvl>
    <w:lvl w:ilvl="4" w:tplc="40090003" w:tentative="1">
      <w:start w:val="1"/>
      <w:numFmt w:val="bullet"/>
      <w:lvlText w:val="o"/>
      <w:lvlJc w:val="left"/>
      <w:pPr>
        <w:ind w:left="4167" w:hanging="360"/>
      </w:pPr>
      <w:rPr>
        <w:rFonts w:ascii="Courier New" w:hAnsi="Courier New" w:cs="Courier New" w:hint="default"/>
      </w:rPr>
    </w:lvl>
    <w:lvl w:ilvl="5" w:tplc="40090005" w:tentative="1">
      <w:start w:val="1"/>
      <w:numFmt w:val="bullet"/>
      <w:lvlText w:val=""/>
      <w:lvlJc w:val="left"/>
      <w:pPr>
        <w:ind w:left="4887" w:hanging="360"/>
      </w:pPr>
      <w:rPr>
        <w:rFonts w:ascii="Wingdings" w:hAnsi="Wingdings" w:hint="default"/>
      </w:rPr>
    </w:lvl>
    <w:lvl w:ilvl="6" w:tplc="40090001" w:tentative="1">
      <w:start w:val="1"/>
      <w:numFmt w:val="bullet"/>
      <w:lvlText w:val=""/>
      <w:lvlJc w:val="left"/>
      <w:pPr>
        <w:ind w:left="5607" w:hanging="360"/>
      </w:pPr>
      <w:rPr>
        <w:rFonts w:ascii="Symbol" w:hAnsi="Symbol" w:hint="default"/>
      </w:rPr>
    </w:lvl>
    <w:lvl w:ilvl="7" w:tplc="40090003" w:tentative="1">
      <w:start w:val="1"/>
      <w:numFmt w:val="bullet"/>
      <w:lvlText w:val="o"/>
      <w:lvlJc w:val="left"/>
      <w:pPr>
        <w:ind w:left="6327" w:hanging="360"/>
      </w:pPr>
      <w:rPr>
        <w:rFonts w:ascii="Courier New" w:hAnsi="Courier New" w:cs="Courier New" w:hint="default"/>
      </w:rPr>
    </w:lvl>
    <w:lvl w:ilvl="8" w:tplc="40090005" w:tentative="1">
      <w:start w:val="1"/>
      <w:numFmt w:val="bullet"/>
      <w:lvlText w:val=""/>
      <w:lvlJc w:val="left"/>
      <w:pPr>
        <w:ind w:left="7047" w:hanging="360"/>
      </w:pPr>
      <w:rPr>
        <w:rFonts w:ascii="Wingdings" w:hAnsi="Wingdings" w:hint="default"/>
      </w:rPr>
    </w:lvl>
  </w:abstractNum>
  <w:abstractNum w:abstractNumId="76" w15:restartNumberingAfterBreak="0">
    <w:nsid w:val="7F4545E8"/>
    <w:multiLevelType w:val="multilevel"/>
    <w:tmpl w:val="3EBC43B4"/>
    <w:lvl w:ilvl="0">
      <w:start w:val="7"/>
      <w:numFmt w:val="decimal"/>
      <w:lvlText w:val="%1"/>
      <w:lvlJc w:val="left"/>
      <w:pPr>
        <w:ind w:left="600" w:hanging="600"/>
      </w:pPr>
      <w:rPr>
        <w:rFonts w:hint="default"/>
      </w:rPr>
    </w:lvl>
    <w:lvl w:ilvl="1">
      <w:start w:val="4"/>
      <w:numFmt w:val="decimal"/>
      <w:lvlText w:val="%1.%2"/>
      <w:lvlJc w:val="left"/>
      <w:pPr>
        <w:ind w:left="915" w:hanging="600"/>
      </w:pPr>
      <w:rPr>
        <w:rFonts w:hint="default"/>
      </w:rPr>
    </w:lvl>
    <w:lvl w:ilvl="2">
      <w:start w:val="6"/>
      <w:numFmt w:val="decimal"/>
      <w:lvlText w:val="%1.%2.%3"/>
      <w:lvlJc w:val="left"/>
      <w:pPr>
        <w:ind w:left="1350" w:hanging="720"/>
      </w:pPr>
      <w:rPr>
        <w:rFonts w:hint="default"/>
      </w:rPr>
    </w:lvl>
    <w:lvl w:ilvl="3">
      <w:start w:val="1"/>
      <w:numFmt w:val="decimal"/>
      <w:lvlText w:val="%1.%2.%3.%4"/>
      <w:lvlJc w:val="left"/>
      <w:pPr>
        <w:ind w:left="1665" w:hanging="720"/>
      </w:pPr>
      <w:rPr>
        <w:rFonts w:hint="default"/>
      </w:rPr>
    </w:lvl>
    <w:lvl w:ilvl="4">
      <w:start w:val="1"/>
      <w:numFmt w:val="decimal"/>
      <w:lvlText w:val="%1.%2.%3.%4.%5"/>
      <w:lvlJc w:val="left"/>
      <w:pPr>
        <w:ind w:left="2340" w:hanging="1080"/>
      </w:pPr>
      <w:rPr>
        <w:rFonts w:hint="default"/>
      </w:rPr>
    </w:lvl>
    <w:lvl w:ilvl="5">
      <w:start w:val="1"/>
      <w:numFmt w:val="decimal"/>
      <w:lvlText w:val="%1.%2.%3.%4.%5.%6"/>
      <w:lvlJc w:val="left"/>
      <w:pPr>
        <w:ind w:left="2655" w:hanging="1080"/>
      </w:pPr>
      <w:rPr>
        <w:rFonts w:hint="default"/>
      </w:rPr>
    </w:lvl>
    <w:lvl w:ilvl="6">
      <w:start w:val="1"/>
      <w:numFmt w:val="decimal"/>
      <w:lvlText w:val="%1.%2.%3.%4.%5.%6.%7"/>
      <w:lvlJc w:val="left"/>
      <w:pPr>
        <w:ind w:left="3330" w:hanging="1440"/>
      </w:pPr>
      <w:rPr>
        <w:rFonts w:hint="default"/>
      </w:rPr>
    </w:lvl>
    <w:lvl w:ilvl="7">
      <w:start w:val="1"/>
      <w:numFmt w:val="decimal"/>
      <w:lvlText w:val="%1.%2.%3.%4.%5.%6.%7.%8"/>
      <w:lvlJc w:val="left"/>
      <w:pPr>
        <w:ind w:left="3645" w:hanging="1440"/>
      </w:pPr>
      <w:rPr>
        <w:rFonts w:hint="default"/>
      </w:rPr>
    </w:lvl>
    <w:lvl w:ilvl="8">
      <w:start w:val="1"/>
      <w:numFmt w:val="decimal"/>
      <w:lvlText w:val="%1.%2.%3.%4.%5.%6.%7.%8.%9"/>
      <w:lvlJc w:val="left"/>
      <w:pPr>
        <w:ind w:left="4320" w:hanging="1800"/>
      </w:pPr>
      <w:rPr>
        <w:rFonts w:hint="default"/>
      </w:rPr>
    </w:lvl>
  </w:abstractNum>
  <w:num w:numId="1">
    <w:abstractNumId w:val="38"/>
  </w:num>
  <w:num w:numId="2">
    <w:abstractNumId w:val="1"/>
  </w:num>
  <w:num w:numId="3">
    <w:abstractNumId w:val="2"/>
  </w:num>
  <w:num w:numId="4">
    <w:abstractNumId w:val="3"/>
  </w:num>
  <w:num w:numId="5">
    <w:abstractNumId w:val="62"/>
  </w:num>
  <w:num w:numId="6">
    <w:abstractNumId w:val="48"/>
  </w:num>
  <w:num w:numId="7">
    <w:abstractNumId w:val="71"/>
  </w:num>
  <w:num w:numId="8">
    <w:abstractNumId w:val="57"/>
  </w:num>
  <w:num w:numId="9">
    <w:abstractNumId w:val="65"/>
  </w:num>
  <w:num w:numId="10">
    <w:abstractNumId w:val="60"/>
  </w:num>
  <w:num w:numId="11">
    <w:abstractNumId w:val="27"/>
  </w:num>
  <w:num w:numId="12">
    <w:abstractNumId w:val="32"/>
  </w:num>
  <w:num w:numId="13">
    <w:abstractNumId w:val="17"/>
  </w:num>
  <w:num w:numId="14">
    <w:abstractNumId w:val="26"/>
  </w:num>
  <w:num w:numId="15">
    <w:abstractNumId w:val="34"/>
  </w:num>
  <w:num w:numId="16">
    <w:abstractNumId w:val="5"/>
  </w:num>
  <w:num w:numId="17">
    <w:abstractNumId w:val="25"/>
  </w:num>
  <w:num w:numId="18">
    <w:abstractNumId w:val="43"/>
  </w:num>
  <w:num w:numId="19">
    <w:abstractNumId w:val="24"/>
  </w:num>
  <w:num w:numId="20">
    <w:abstractNumId w:val="49"/>
  </w:num>
  <w:num w:numId="21">
    <w:abstractNumId w:val="15"/>
  </w:num>
  <w:num w:numId="22">
    <w:abstractNumId w:val="23"/>
  </w:num>
  <w:num w:numId="23">
    <w:abstractNumId w:val="40"/>
  </w:num>
  <w:num w:numId="24">
    <w:abstractNumId w:val="33"/>
  </w:num>
  <w:num w:numId="25">
    <w:abstractNumId w:val="11"/>
  </w:num>
  <w:num w:numId="26">
    <w:abstractNumId w:val="74"/>
  </w:num>
  <w:num w:numId="27">
    <w:abstractNumId w:val="69"/>
  </w:num>
  <w:num w:numId="28">
    <w:abstractNumId w:val="9"/>
  </w:num>
  <w:num w:numId="29">
    <w:abstractNumId w:val="63"/>
  </w:num>
  <w:num w:numId="30">
    <w:abstractNumId w:val="76"/>
  </w:num>
  <w:num w:numId="31">
    <w:abstractNumId w:val="50"/>
  </w:num>
  <w:num w:numId="32">
    <w:abstractNumId w:val="67"/>
  </w:num>
  <w:num w:numId="33">
    <w:abstractNumId w:val="28"/>
  </w:num>
  <w:num w:numId="34">
    <w:abstractNumId w:val="30"/>
  </w:num>
  <w:num w:numId="35">
    <w:abstractNumId w:val="51"/>
  </w:num>
  <w:num w:numId="36">
    <w:abstractNumId w:val="64"/>
  </w:num>
  <w:num w:numId="37">
    <w:abstractNumId w:val="8"/>
  </w:num>
  <w:num w:numId="38">
    <w:abstractNumId w:val="4"/>
  </w:num>
  <w:num w:numId="39">
    <w:abstractNumId w:val="45"/>
  </w:num>
  <w:num w:numId="40">
    <w:abstractNumId w:val="72"/>
  </w:num>
  <w:num w:numId="41">
    <w:abstractNumId w:val="21"/>
  </w:num>
  <w:num w:numId="42">
    <w:abstractNumId w:val="35"/>
  </w:num>
  <w:num w:numId="43">
    <w:abstractNumId w:val="10"/>
  </w:num>
  <w:num w:numId="44">
    <w:abstractNumId w:val="75"/>
  </w:num>
  <w:num w:numId="45">
    <w:abstractNumId w:val="59"/>
  </w:num>
  <w:num w:numId="46">
    <w:abstractNumId w:val="18"/>
  </w:num>
  <w:num w:numId="47">
    <w:abstractNumId w:val="14"/>
  </w:num>
  <w:num w:numId="48">
    <w:abstractNumId w:val="20"/>
  </w:num>
  <w:num w:numId="49">
    <w:abstractNumId w:val="7"/>
  </w:num>
  <w:num w:numId="50">
    <w:abstractNumId w:val="46"/>
  </w:num>
  <w:num w:numId="51">
    <w:abstractNumId w:val="52"/>
  </w:num>
  <w:num w:numId="52">
    <w:abstractNumId w:val="73"/>
  </w:num>
  <w:num w:numId="53">
    <w:abstractNumId w:val="44"/>
  </w:num>
  <w:num w:numId="54">
    <w:abstractNumId w:val="31"/>
  </w:num>
  <w:num w:numId="55">
    <w:abstractNumId w:val="31"/>
    <w:lvlOverride w:ilvl="0">
      <w:startOverride w:val="1"/>
    </w:lvlOverride>
  </w:num>
  <w:num w:numId="56">
    <w:abstractNumId w:val="0"/>
  </w:num>
  <w:num w:numId="57">
    <w:abstractNumId w:val="16"/>
  </w:num>
  <w:num w:numId="58">
    <w:abstractNumId w:val="19"/>
  </w:num>
  <w:num w:numId="59">
    <w:abstractNumId w:val="47"/>
  </w:num>
  <w:num w:numId="60">
    <w:abstractNumId w:val="6"/>
  </w:num>
  <w:num w:numId="61">
    <w:abstractNumId w:val="29"/>
    <w:lvlOverride w:ilvl="0">
      <w:startOverride w:val="1"/>
    </w:lvlOverride>
    <w:lvlOverride w:ilvl="1"/>
    <w:lvlOverride w:ilvl="2"/>
    <w:lvlOverride w:ilvl="3"/>
    <w:lvlOverride w:ilvl="4"/>
    <w:lvlOverride w:ilvl="5"/>
    <w:lvlOverride w:ilvl="6"/>
    <w:lvlOverride w:ilvl="7"/>
    <w:lvlOverride w:ilvl="8"/>
  </w:num>
  <w:num w:numId="62">
    <w:abstractNumId w:val="70"/>
  </w:num>
  <w:num w:numId="63">
    <w:abstractNumId w:val="56"/>
  </w:num>
  <w:num w:numId="64">
    <w:abstractNumId w:val="13"/>
  </w:num>
  <w:num w:numId="65">
    <w:abstractNumId w:val="61"/>
  </w:num>
  <w:num w:numId="66">
    <w:abstractNumId w:val="12"/>
  </w:num>
  <w:num w:numId="67">
    <w:abstractNumId w:val="42"/>
  </w:num>
  <w:num w:numId="68">
    <w:abstractNumId w:val="41"/>
  </w:num>
  <w:num w:numId="69">
    <w:abstractNumId w:val="53"/>
  </w:num>
  <w:num w:numId="70">
    <w:abstractNumId w:val="68"/>
  </w:num>
  <w:num w:numId="71">
    <w:abstractNumId w:val="58"/>
  </w:num>
  <w:num w:numId="72">
    <w:abstractNumId w:val="37"/>
  </w:num>
  <w:num w:numId="73">
    <w:abstractNumId w:val="36"/>
  </w:num>
  <w:num w:numId="74">
    <w:abstractNumId w:val="22"/>
  </w:num>
  <w:num w:numId="75">
    <w:abstractNumId w:val="54"/>
  </w:num>
  <w:num w:numId="76">
    <w:abstractNumId w:val="66"/>
  </w:num>
  <w:num w:numId="77">
    <w:abstractNumId w:val="39"/>
  </w:num>
  <w:num w:numId="78">
    <w:abstractNumId w:val="55"/>
  </w:num>
  <w:numIdMacAtCleanup w:val="6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D4C04"/>
    <w:rsid w:val="0000045F"/>
    <w:rsid w:val="000004C6"/>
    <w:rsid w:val="0000085E"/>
    <w:rsid w:val="00000ED9"/>
    <w:rsid w:val="000017C3"/>
    <w:rsid w:val="000019FC"/>
    <w:rsid w:val="00001DB3"/>
    <w:rsid w:val="00002460"/>
    <w:rsid w:val="00002763"/>
    <w:rsid w:val="00002911"/>
    <w:rsid w:val="00003081"/>
    <w:rsid w:val="00003419"/>
    <w:rsid w:val="000035A3"/>
    <w:rsid w:val="00003797"/>
    <w:rsid w:val="00003916"/>
    <w:rsid w:val="00003B49"/>
    <w:rsid w:val="00003EC5"/>
    <w:rsid w:val="000054A9"/>
    <w:rsid w:val="00005A2B"/>
    <w:rsid w:val="00006006"/>
    <w:rsid w:val="0000648A"/>
    <w:rsid w:val="00006D65"/>
    <w:rsid w:val="00006EE7"/>
    <w:rsid w:val="0000701D"/>
    <w:rsid w:val="00007456"/>
    <w:rsid w:val="00007A1B"/>
    <w:rsid w:val="00007F0A"/>
    <w:rsid w:val="000102DB"/>
    <w:rsid w:val="00010711"/>
    <w:rsid w:val="00011214"/>
    <w:rsid w:val="000112EE"/>
    <w:rsid w:val="000115A5"/>
    <w:rsid w:val="00011F49"/>
    <w:rsid w:val="000124B8"/>
    <w:rsid w:val="00012813"/>
    <w:rsid w:val="00012886"/>
    <w:rsid w:val="000129C4"/>
    <w:rsid w:val="00013532"/>
    <w:rsid w:val="000139B8"/>
    <w:rsid w:val="000139E5"/>
    <w:rsid w:val="00013A4E"/>
    <w:rsid w:val="00013FBC"/>
    <w:rsid w:val="00014982"/>
    <w:rsid w:val="00014BAD"/>
    <w:rsid w:val="000152CB"/>
    <w:rsid w:val="000152D7"/>
    <w:rsid w:val="00015309"/>
    <w:rsid w:val="00016090"/>
    <w:rsid w:val="00020F7D"/>
    <w:rsid w:val="0002196E"/>
    <w:rsid w:val="00021A7D"/>
    <w:rsid w:val="00021DB1"/>
    <w:rsid w:val="0002246F"/>
    <w:rsid w:val="00022502"/>
    <w:rsid w:val="0002252F"/>
    <w:rsid w:val="000225DE"/>
    <w:rsid w:val="000227D6"/>
    <w:rsid w:val="000228BC"/>
    <w:rsid w:val="00023397"/>
    <w:rsid w:val="00023703"/>
    <w:rsid w:val="00023833"/>
    <w:rsid w:val="000245C1"/>
    <w:rsid w:val="0002474E"/>
    <w:rsid w:val="000254D9"/>
    <w:rsid w:val="000263F3"/>
    <w:rsid w:val="000267DD"/>
    <w:rsid w:val="0002724E"/>
    <w:rsid w:val="00027A3F"/>
    <w:rsid w:val="00027C67"/>
    <w:rsid w:val="00027C95"/>
    <w:rsid w:val="0003016C"/>
    <w:rsid w:val="000312E2"/>
    <w:rsid w:val="00032BFA"/>
    <w:rsid w:val="00032DA3"/>
    <w:rsid w:val="000334F1"/>
    <w:rsid w:val="0003431C"/>
    <w:rsid w:val="00034C6A"/>
    <w:rsid w:val="00034DB4"/>
    <w:rsid w:val="000351CA"/>
    <w:rsid w:val="0003575F"/>
    <w:rsid w:val="00035F47"/>
    <w:rsid w:val="00036916"/>
    <w:rsid w:val="00036E57"/>
    <w:rsid w:val="00036EF9"/>
    <w:rsid w:val="000373CA"/>
    <w:rsid w:val="0003781B"/>
    <w:rsid w:val="00037AF8"/>
    <w:rsid w:val="00037E2F"/>
    <w:rsid w:val="00037E45"/>
    <w:rsid w:val="0004034E"/>
    <w:rsid w:val="000408A1"/>
    <w:rsid w:val="000408AB"/>
    <w:rsid w:val="00040C52"/>
    <w:rsid w:val="00041054"/>
    <w:rsid w:val="00042124"/>
    <w:rsid w:val="00042FFC"/>
    <w:rsid w:val="00043D77"/>
    <w:rsid w:val="0004407D"/>
    <w:rsid w:val="00044816"/>
    <w:rsid w:val="00045C4A"/>
    <w:rsid w:val="0004659A"/>
    <w:rsid w:val="00046940"/>
    <w:rsid w:val="00047141"/>
    <w:rsid w:val="000474A2"/>
    <w:rsid w:val="00047F77"/>
    <w:rsid w:val="000508B6"/>
    <w:rsid w:val="00051279"/>
    <w:rsid w:val="00051389"/>
    <w:rsid w:val="000515DD"/>
    <w:rsid w:val="00051CA1"/>
    <w:rsid w:val="00052007"/>
    <w:rsid w:val="0005254A"/>
    <w:rsid w:val="00052649"/>
    <w:rsid w:val="00052CF2"/>
    <w:rsid w:val="00052D1B"/>
    <w:rsid w:val="0005349D"/>
    <w:rsid w:val="00053658"/>
    <w:rsid w:val="00053732"/>
    <w:rsid w:val="00054420"/>
    <w:rsid w:val="000551FD"/>
    <w:rsid w:val="00055335"/>
    <w:rsid w:val="000553FD"/>
    <w:rsid w:val="000557F1"/>
    <w:rsid w:val="00056921"/>
    <w:rsid w:val="00057225"/>
    <w:rsid w:val="00060074"/>
    <w:rsid w:val="0006119F"/>
    <w:rsid w:val="00061820"/>
    <w:rsid w:val="00061B4C"/>
    <w:rsid w:val="00062027"/>
    <w:rsid w:val="000624AC"/>
    <w:rsid w:val="00062850"/>
    <w:rsid w:val="000636C2"/>
    <w:rsid w:val="000636F8"/>
    <w:rsid w:val="00063DA4"/>
    <w:rsid w:val="000642CF"/>
    <w:rsid w:val="0006486E"/>
    <w:rsid w:val="00064C90"/>
    <w:rsid w:val="00064EB6"/>
    <w:rsid w:val="00064FE2"/>
    <w:rsid w:val="00065B25"/>
    <w:rsid w:val="00066311"/>
    <w:rsid w:val="00066348"/>
    <w:rsid w:val="00066EE7"/>
    <w:rsid w:val="00067136"/>
    <w:rsid w:val="000677CC"/>
    <w:rsid w:val="00067D49"/>
    <w:rsid w:val="00070B86"/>
    <w:rsid w:val="000715C3"/>
    <w:rsid w:val="0007246A"/>
    <w:rsid w:val="0007272F"/>
    <w:rsid w:val="00072B11"/>
    <w:rsid w:val="00072D15"/>
    <w:rsid w:val="00073332"/>
    <w:rsid w:val="0007361A"/>
    <w:rsid w:val="00073BD4"/>
    <w:rsid w:val="00073ECC"/>
    <w:rsid w:val="00074B86"/>
    <w:rsid w:val="000755F8"/>
    <w:rsid w:val="00075E4F"/>
    <w:rsid w:val="00075F40"/>
    <w:rsid w:val="0007696A"/>
    <w:rsid w:val="00076FB1"/>
    <w:rsid w:val="000774F7"/>
    <w:rsid w:val="00077789"/>
    <w:rsid w:val="000808F5"/>
    <w:rsid w:val="00080B5D"/>
    <w:rsid w:val="0008124C"/>
    <w:rsid w:val="00081359"/>
    <w:rsid w:val="00082F15"/>
    <w:rsid w:val="00083240"/>
    <w:rsid w:val="00083499"/>
    <w:rsid w:val="00083A1F"/>
    <w:rsid w:val="00083C89"/>
    <w:rsid w:val="000843AD"/>
    <w:rsid w:val="00085757"/>
    <w:rsid w:val="00085D94"/>
    <w:rsid w:val="000860B0"/>
    <w:rsid w:val="00086BCA"/>
    <w:rsid w:val="00086E59"/>
    <w:rsid w:val="0008775C"/>
    <w:rsid w:val="00087948"/>
    <w:rsid w:val="00087A4F"/>
    <w:rsid w:val="000904F3"/>
    <w:rsid w:val="00090590"/>
    <w:rsid w:val="00090619"/>
    <w:rsid w:val="00090F8D"/>
    <w:rsid w:val="00090FBC"/>
    <w:rsid w:val="000910C0"/>
    <w:rsid w:val="000927A7"/>
    <w:rsid w:val="000929C1"/>
    <w:rsid w:val="00092DA7"/>
    <w:rsid w:val="00092DDD"/>
    <w:rsid w:val="00092F34"/>
    <w:rsid w:val="00093681"/>
    <w:rsid w:val="0009380F"/>
    <w:rsid w:val="0009390F"/>
    <w:rsid w:val="00094579"/>
    <w:rsid w:val="00094678"/>
    <w:rsid w:val="0009486F"/>
    <w:rsid w:val="000948C5"/>
    <w:rsid w:val="00095426"/>
    <w:rsid w:val="000963F1"/>
    <w:rsid w:val="00096AB4"/>
    <w:rsid w:val="00096C7C"/>
    <w:rsid w:val="00096D9E"/>
    <w:rsid w:val="00097007"/>
    <w:rsid w:val="00097075"/>
    <w:rsid w:val="0009717A"/>
    <w:rsid w:val="00097476"/>
    <w:rsid w:val="00097805"/>
    <w:rsid w:val="000A0B67"/>
    <w:rsid w:val="000A0D29"/>
    <w:rsid w:val="000A160C"/>
    <w:rsid w:val="000A1C1B"/>
    <w:rsid w:val="000A2671"/>
    <w:rsid w:val="000A321A"/>
    <w:rsid w:val="000A381A"/>
    <w:rsid w:val="000A4031"/>
    <w:rsid w:val="000A495D"/>
    <w:rsid w:val="000A4A0E"/>
    <w:rsid w:val="000A4CC7"/>
    <w:rsid w:val="000A5E43"/>
    <w:rsid w:val="000A5FDD"/>
    <w:rsid w:val="000A606C"/>
    <w:rsid w:val="000A6147"/>
    <w:rsid w:val="000A6150"/>
    <w:rsid w:val="000A6635"/>
    <w:rsid w:val="000A66EF"/>
    <w:rsid w:val="000A673F"/>
    <w:rsid w:val="000A6B0D"/>
    <w:rsid w:val="000A6D1A"/>
    <w:rsid w:val="000A71D6"/>
    <w:rsid w:val="000A73D5"/>
    <w:rsid w:val="000A74BB"/>
    <w:rsid w:val="000B03A4"/>
    <w:rsid w:val="000B09F1"/>
    <w:rsid w:val="000B0A9F"/>
    <w:rsid w:val="000B15EC"/>
    <w:rsid w:val="000B359E"/>
    <w:rsid w:val="000B3FE0"/>
    <w:rsid w:val="000B4562"/>
    <w:rsid w:val="000B48FC"/>
    <w:rsid w:val="000B4A65"/>
    <w:rsid w:val="000B4D1A"/>
    <w:rsid w:val="000B4FAC"/>
    <w:rsid w:val="000B51DD"/>
    <w:rsid w:val="000B562D"/>
    <w:rsid w:val="000B6892"/>
    <w:rsid w:val="000B6A39"/>
    <w:rsid w:val="000B6CAC"/>
    <w:rsid w:val="000B7BB6"/>
    <w:rsid w:val="000B7BF6"/>
    <w:rsid w:val="000B7D3A"/>
    <w:rsid w:val="000C01C8"/>
    <w:rsid w:val="000C01F7"/>
    <w:rsid w:val="000C0C03"/>
    <w:rsid w:val="000C0C6D"/>
    <w:rsid w:val="000C0C73"/>
    <w:rsid w:val="000C0DC9"/>
    <w:rsid w:val="000C0F76"/>
    <w:rsid w:val="000C1310"/>
    <w:rsid w:val="000C1458"/>
    <w:rsid w:val="000C1A57"/>
    <w:rsid w:val="000C22DA"/>
    <w:rsid w:val="000C2942"/>
    <w:rsid w:val="000C310A"/>
    <w:rsid w:val="000C3645"/>
    <w:rsid w:val="000C387D"/>
    <w:rsid w:val="000C4724"/>
    <w:rsid w:val="000C4B6B"/>
    <w:rsid w:val="000C52C7"/>
    <w:rsid w:val="000C53A5"/>
    <w:rsid w:val="000C67DC"/>
    <w:rsid w:val="000C699F"/>
    <w:rsid w:val="000C7050"/>
    <w:rsid w:val="000C7737"/>
    <w:rsid w:val="000C79A3"/>
    <w:rsid w:val="000C7A35"/>
    <w:rsid w:val="000C7D33"/>
    <w:rsid w:val="000C7E59"/>
    <w:rsid w:val="000C7F7A"/>
    <w:rsid w:val="000D013D"/>
    <w:rsid w:val="000D27D8"/>
    <w:rsid w:val="000D36F2"/>
    <w:rsid w:val="000D3868"/>
    <w:rsid w:val="000D3DEB"/>
    <w:rsid w:val="000D408B"/>
    <w:rsid w:val="000D4D4C"/>
    <w:rsid w:val="000D4E28"/>
    <w:rsid w:val="000D4FC6"/>
    <w:rsid w:val="000D5409"/>
    <w:rsid w:val="000D5473"/>
    <w:rsid w:val="000D5A3F"/>
    <w:rsid w:val="000D643D"/>
    <w:rsid w:val="000D6922"/>
    <w:rsid w:val="000D6FB5"/>
    <w:rsid w:val="000D7062"/>
    <w:rsid w:val="000D7288"/>
    <w:rsid w:val="000D7474"/>
    <w:rsid w:val="000D7D1C"/>
    <w:rsid w:val="000D7ED7"/>
    <w:rsid w:val="000E0984"/>
    <w:rsid w:val="000E11F4"/>
    <w:rsid w:val="000E14EE"/>
    <w:rsid w:val="000E1556"/>
    <w:rsid w:val="000E1615"/>
    <w:rsid w:val="000E1AEC"/>
    <w:rsid w:val="000E1AF2"/>
    <w:rsid w:val="000E2EBF"/>
    <w:rsid w:val="000E2F12"/>
    <w:rsid w:val="000E3703"/>
    <w:rsid w:val="000E3A48"/>
    <w:rsid w:val="000E4222"/>
    <w:rsid w:val="000E49D8"/>
    <w:rsid w:val="000E4BAF"/>
    <w:rsid w:val="000E4E49"/>
    <w:rsid w:val="000E51D7"/>
    <w:rsid w:val="000E6E93"/>
    <w:rsid w:val="000E783E"/>
    <w:rsid w:val="000F0720"/>
    <w:rsid w:val="000F08C0"/>
    <w:rsid w:val="000F0A16"/>
    <w:rsid w:val="000F0CB6"/>
    <w:rsid w:val="000F13CF"/>
    <w:rsid w:val="000F1445"/>
    <w:rsid w:val="000F1E04"/>
    <w:rsid w:val="000F1ED2"/>
    <w:rsid w:val="000F2575"/>
    <w:rsid w:val="000F2B9B"/>
    <w:rsid w:val="000F32CE"/>
    <w:rsid w:val="000F3309"/>
    <w:rsid w:val="000F387F"/>
    <w:rsid w:val="000F3A26"/>
    <w:rsid w:val="000F3BA5"/>
    <w:rsid w:val="000F3C65"/>
    <w:rsid w:val="000F3E52"/>
    <w:rsid w:val="000F3F99"/>
    <w:rsid w:val="000F42E3"/>
    <w:rsid w:val="000F444A"/>
    <w:rsid w:val="000F4840"/>
    <w:rsid w:val="000F51F7"/>
    <w:rsid w:val="000F5247"/>
    <w:rsid w:val="000F5F53"/>
    <w:rsid w:val="000F5FEB"/>
    <w:rsid w:val="000F6963"/>
    <w:rsid w:val="000F7B01"/>
    <w:rsid w:val="000F7E8E"/>
    <w:rsid w:val="00100709"/>
    <w:rsid w:val="00100AA6"/>
    <w:rsid w:val="00100ACE"/>
    <w:rsid w:val="00100C3D"/>
    <w:rsid w:val="00100CBD"/>
    <w:rsid w:val="00100D94"/>
    <w:rsid w:val="00100E6A"/>
    <w:rsid w:val="00101082"/>
    <w:rsid w:val="00101D15"/>
    <w:rsid w:val="0010237C"/>
    <w:rsid w:val="001024FF"/>
    <w:rsid w:val="00102DC7"/>
    <w:rsid w:val="00103012"/>
    <w:rsid w:val="00103634"/>
    <w:rsid w:val="00103787"/>
    <w:rsid w:val="001040DD"/>
    <w:rsid w:val="00104D3A"/>
    <w:rsid w:val="00104DC5"/>
    <w:rsid w:val="001068B7"/>
    <w:rsid w:val="0010746A"/>
    <w:rsid w:val="00107911"/>
    <w:rsid w:val="00107929"/>
    <w:rsid w:val="00107B58"/>
    <w:rsid w:val="00107E7D"/>
    <w:rsid w:val="001105FE"/>
    <w:rsid w:val="00110850"/>
    <w:rsid w:val="00110C4C"/>
    <w:rsid w:val="00110EA9"/>
    <w:rsid w:val="00111183"/>
    <w:rsid w:val="001114E8"/>
    <w:rsid w:val="0011171F"/>
    <w:rsid w:val="00113068"/>
    <w:rsid w:val="0011343C"/>
    <w:rsid w:val="001135E4"/>
    <w:rsid w:val="00113D4D"/>
    <w:rsid w:val="00114CF8"/>
    <w:rsid w:val="00115058"/>
    <w:rsid w:val="00115086"/>
    <w:rsid w:val="00115492"/>
    <w:rsid w:val="00115D4D"/>
    <w:rsid w:val="00115EE8"/>
    <w:rsid w:val="001160CA"/>
    <w:rsid w:val="0011654B"/>
    <w:rsid w:val="00116AF0"/>
    <w:rsid w:val="00117738"/>
    <w:rsid w:val="00117820"/>
    <w:rsid w:val="00120325"/>
    <w:rsid w:val="0012044D"/>
    <w:rsid w:val="001206F7"/>
    <w:rsid w:val="0012078F"/>
    <w:rsid w:val="00120861"/>
    <w:rsid w:val="001210D3"/>
    <w:rsid w:val="001213C8"/>
    <w:rsid w:val="0012198C"/>
    <w:rsid w:val="00121CBD"/>
    <w:rsid w:val="00122082"/>
    <w:rsid w:val="001221BC"/>
    <w:rsid w:val="00123021"/>
    <w:rsid w:val="00124232"/>
    <w:rsid w:val="001243CF"/>
    <w:rsid w:val="0012476E"/>
    <w:rsid w:val="00124A51"/>
    <w:rsid w:val="00124CFA"/>
    <w:rsid w:val="00124F84"/>
    <w:rsid w:val="001255EA"/>
    <w:rsid w:val="00125DAC"/>
    <w:rsid w:val="00125E65"/>
    <w:rsid w:val="00126345"/>
    <w:rsid w:val="00127B23"/>
    <w:rsid w:val="00127BA7"/>
    <w:rsid w:val="0013040C"/>
    <w:rsid w:val="00131CCB"/>
    <w:rsid w:val="00132306"/>
    <w:rsid w:val="00132E55"/>
    <w:rsid w:val="001335F7"/>
    <w:rsid w:val="0013415F"/>
    <w:rsid w:val="0013418D"/>
    <w:rsid w:val="001343BD"/>
    <w:rsid w:val="00134483"/>
    <w:rsid w:val="00134ECC"/>
    <w:rsid w:val="0013519B"/>
    <w:rsid w:val="00136113"/>
    <w:rsid w:val="00136880"/>
    <w:rsid w:val="001373B6"/>
    <w:rsid w:val="001373B9"/>
    <w:rsid w:val="00140279"/>
    <w:rsid w:val="00140385"/>
    <w:rsid w:val="001408A6"/>
    <w:rsid w:val="001408F4"/>
    <w:rsid w:val="00140C79"/>
    <w:rsid w:val="00140D52"/>
    <w:rsid w:val="00141231"/>
    <w:rsid w:val="00143CE1"/>
    <w:rsid w:val="0014404B"/>
    <w:rsid w:val="001442D6"/>
    <w:rsid w:val="00144F2D"/>
    <w:rsid w:val="00145090"/>
    <w:rsid w:val="001451A6"/>
    <w:rsid w:val="001456A8"/>
    <w:rsid w:val="0014591E"/>
    <w:rsid w:val="00145983"/>
    <w:rsid w:val="00145BF0"/>
    <w:rsid w:val="00145DF3"/>
    <w:rsid w:val="00145F36"/>
    <w:rsid w:val="00146481"/>
    <w:rsid w:val="001467A5"/>
    <w:rsid w:val="00146979"/>
    <w:rsid w:val="00146BFB"/>
    <w:rsid w:val="00147243"/>
    <w:rsid w:val="00147270"/>
    <w:rsid w:val="00147403"/>
    <w:rsid w:val="001478FC"/>
    <w:rsid w:val="00147B9B"/>
    <w:rsid w:val="00151114"/>
    <w:rsid w:val="001513DC"/>
    <w:rsid w:val="00151738"/>
    <w:rsid w:val="0015173D"/>
    <w:rsid w:val="00151BCC"/>
    <w:rsid w:val="00151F22"/>
    <w:rsid w:val="00151FB6"/>
    <w:rsid w:val="00151FBF"/>
    <w:rsid w:val="00153204"/>
    <w:rsid w:val="00154696"/>
    <w:rsid w:val="001550DD"/>
    <w:rsid w:val="00155571"/>
    <w:rsid w:val="00155DDE"/>
    <w:rsid w:val="00155E1E"/>
    <w:rsid w:val="001562D8"/>
    <w:rsid w:val="00157564"/>
    <w:rsid w:val="00157C67"/>
    <w:rsid w:val="00160413"/>
    <w:rsid w:val="001613A4"/>
    <w:rsid w:val="00162139"/>
    <w:rsid w:val="0016216A"/>
    <w:rsid w:val="0016235F"/>
    <w:rsid w:val="001626E5"/>
    <w:rsid w:val="00163084"/>
    <w:rsid w:val="00164093"/>
    <w:rsid w:val="001647C8"/>
    <w:rsid w:val="001652C7"/>
    <w:rsid w:val="00165964"/>
    <w:rsid w:val="00165AA6"/>
    <w:rsid w:val="0016693A"/>
    <w:rsid w:val="00166EBE"/>
    <w:rsid w:val="0016702A"/>
    <w:rsid w:val="0016757C"/>
    <w:rsid w:val="00167AED"/>
    <w:rsid w:val="00170142"/>
    <w:rsid w:val="001701C7"/>
    <w:rsid w:val="0017095C"/>
    <w:rsid w:val="00170F9D"/>
    <w:rsid w:val="0017123D"/>
    <w:rsid w:val="0017127F"/>
    <w:rsid w:val="0017170A"/>
    <w:rsid w:val="00171B14"/>
    <w:rsid w:val="00171BFA"/>
    <w:rsid w:val="0017214C"/>
    <w:rsid w:val="00172781"/>
    <w:rsid w:val="0017393E"/>
    <w:rsid w:val="00173CB6"/>
    <w:rsid w:val="00174266"/>
    <w:rsid w:val="001744B2"/>
    <w:rsid w:val="00174782"/>
    <w:rsid w:val="00174B65"/>
    <w:rsid w:val="00174BF9"/>
    <w:rsid w:val="00175581"/>
    <w:rsid w:val="00175753"/>
    <w:rsid w:val="00175A8F"/>
    <w:rsid w:val="001760C9"/>
    <w:rsid w:val="00176762"/>
    <w:rsid w:val="00176F1D"/>
    <w:rsid w:val="00177378"/>
    <w:rsid w:val="001776A1"/>
    <w:rsid w:val="00177E71"/>
    <w:rsid w:val="0018027F"/>
    <w:rsid w:val="001806A4"/>
    <w:rsid w:val="00180A4F"/>
    <w:rsid w:val="00180D33"/>
    <w:rsid w:val="00180F44"/>
    <w:rsid w:val="001812B6"/>
    <w:rsid w:val="00181E31"/>
    <w:rsid w:val="00182308"/>
    <w:rsid w:val="00182656"/>
    <w:rsid w:val="0018286A"/>
    <w:rsid w:val="00182E48"/>
    <w:rsid w:val="001833A2"/>
    <w:rsid w:val="00183CB7"/>
    <w:rsid w:val="00184A4F"/>
    <w:rsid w:val="00184D82"/>
    <w:rsid w:val="001851B8"/>
    <w:rsid w:val="00185E86"/>
    <w:rsid w:val="00187407"/>
    <w:rsid w:val="001876FE"/>
    <w:rsid w:val="00187D48"/>
    <w:rsid w:val="00187EF5"/>
    <w:rsid w:val="00190613"/>
    <w:rsid w:val="001916EE"/>
    <w:rsid w:val="00192717"/>
    <w:rsid w:val="00192BB7"/>
    <w:rsid w:val="00192CEA"/>
    <w:rsid w:val="00192E14"/>
    <w:rsid w:val="001930F1"/>
    <w:rsid w:val="0019398E"/>
    <w:rsid w:val="00193BFF"/>
    <w:rsid w:val="00193F8D"/>
    <w:rsid w:val="00193FE7"/>
    <w:rsid w:val="0019401A"/>
    <w:rsid w:val="00194205"/>
    <w:rsid w:val="00194762"/>
    <w:rsid w:val="00194929"/>
    <w:rsid w:val="00194FFA"/>
    <w:rsid w:val="00195BF0"/>
    <w:rsid w:val="001960A4"/>
    <w:rsid w:val="001971FD"/>
    <w:rsid w:val="00197252"/>
    <w:rsid w:val="0019754B"/>
    <w:rsid w:val="001978B2"/>
    <w:rsid w:val="00197CC1"/>
    <w:rsid w:val="00197F45"/>
    <w:rsid w:val="001A110F"/>
    <w:rsid w:val="001A161E"/>
    <w:rsid w:val="001A256E"/>
    <w:rsid w:val="001A2772"/>
    <w:rsid w:val="001A2B63"/>
    <w:rsid w:val="001A300F"/>
    <w:rsid w:val="001A3D2D"/>
    <w:rsid w:val="001A4658"/>
    <w:rsid w:val="001A4D0A"/>
    <w:rsid w:val="001A56C9"/>
    <w:rsid w:val="001A6AB0"/>
    <w:rsid w:val="001A6B77"/>
    <w:rsid w:val="001A6C94"/>
    <w:rsid w:val="001A6DDF"/>
    <w:rsid w:val="001A7427"/>
    <w:rsid w:val="001A786D"/>
    <w:rsid w:val="001B0493"/>
    <w:rsid w:val="001B09D6"/>
    <w:rsid w:val="001B0F9B"/>
    <w:rsid w:val="001B18E8"/>
    <w:rsid w:val="001B1DD9"/>
    <w:rsid w:val="001B21B8"/>
    <w:rsid w:val="001B259E"/>
    <w:rsid w:val="001B2A63"/>
    <w:rsid w:val="001B2C8D"/>
    <w:rsid w:val="001B2D6B"/>
    <w:rsid w:val="001B2DF6"/>
    <w:rsid w:val="001B3416"/>
    <w:rsid w:val="001B3F8C"/>
    <w:rsid w:val="001B4C60"/>
    <w:rsid w:val="001B4E38"/>
    <w:rsid w:val="001B52D2"/>
    <w:rsid w:val="001B58BF"/>
    <w:rsid w:val="001B59F5"/>
    <w:rsid w:val="001B5A42"/>
    <w:rsid w:val="001B7315"/>
    <w:rsid w:val="001B782D"/>
    <w:rsid w:val="001B7AF2"/>
    <w:rsid w:val="001C050E"/>
    <w:rsid w:val="001C0D4B"/>
    <w:rsid w:val="001C0F64"/>
    <w:rsid w:val="001C1927"/>
    <w:rsid w:val="001C22DB"/>
    <w:rsid w:val="001C2768"/>
    <w:rsid w:val="001C2804"/>
    <w:rsid w:val="001C2E48"/>
    <w:rsid w:val="001C4832"/>
    <w:rsid w:val="001C4A7A"/>
    <w:rsid w:val="001C4AF6"/>
    <w:rsid w:val="001C5230"/>
    <w:rsid w:val="001C5373"/>
    <w:rsid w:val="001C5FC6"/>
    <w:rsid w:val="001C646A"/>
    <w:rsid w:val="001C69CB"/>
    <w:rsid w:val="001C7925"/>
    <w:rsid w:val="001C7BD1"/>
    <w:rsid w:val="001C7D74"/>
    <w:rsid w:val="001C7DE9"/>
    <w:rsid w:val="001D0126"/>
    <w:rsid w:val="001D016E"/>
    <w:rsid w:val="001D0788"/>
    <w:rsid w:val="001D0873"/>
    <w:rsid w:val="001D0A19"/>
    <w:rsid w:val="001D1918"/>
    <w:rsid w:val="001D24E3"/>
    <w:rsid w:val="001D250B"/>
    <w:rsid w:val="001D2C29"/>
    <w:rsid w:val="001D36A0"/>
    <w:rsid w:val="001D3F44"/>
    <w:rsid w:val="001D411D"/>
    <w:rsid w:val="001D455A"/>
    <w:rsid w:val="001D4723"/>
    <w:rsid w:val="001D47E0"/>
    <w:rsid w:val="001D4B01"/>
    <w:rsid w:val="001D4F1D"/>
    <w:rsid w:val="001D5FC0"/>
    <w:rsid w:val="001D6218"/>
    <w:rsid w:val="001D65A4"/>
    <w:rsid w:val="001D693F"/>
    <w:rsid w:val="001D699F"/>
    <w:rsid w:val="001D6DE1"/>
    <w:rsid w:val="001D705A"/>
    <w:rsid w:val="001D7D2F"/>
    <w:rsid w:val="001D7D42"/>
    <w:rsid w:val="001D7F7D"/>
    <w:rsid w:val="001E09DA"/>
    <w:rsid w:val="001E0ADC"/>
    <w:rsid w:val="001E140A"/>
    <w:rsid w:val="001E2908"/>
    <w:rsid w:val="001E3699"/>
    <w:rsid w:val="001E3F27"/>
    <w:rsid w:val="001E40A6"/>
    <w:rsid w:val="001E4AA6"/>
    <w:rsid w:val="001E5A7C"/>
    <w:rsid w:val="001E5AD0"/>
    <w:rsid w:val="001E5BAB"/>
    <w:rsid w:val="001E5F18"/>
    <w:rsid w:val="001E65A5"/>
    <w:rsid w:val="001E67D0"/>
    <w:rsid w:val="001E6D20"/>
    <w:rsid w:val="001E74C4"/>
    <w:rsid w:val="001E784B"/>
    <w:rsid w:val="001E7935"/>
    <w:rsid w:val="001E7E39"/>
    <w:rsid w:val="001E7FE6"/>
    <w:rsid w:val="001F02C0"/>
    <w:rsid w:val="001F0337"/>
    <w:rsid w:val="001F0652"/>
    <w:rsid w:val="001F138D"/>
    <w:rsid w:val="001F1426"/>
    <w:rsid w:val="001F15F5"/>
    <w:rsid w:val="001F225E"/>
    <w:rsid w:val="001F2406"/>
    <w:rsid w:val="001F29D8"/>
    <w:rsid w:val="001F2A94"/>
    <w:rsid w:val="001F3A39"/>
    <w:rsid w:val="001F44E8"/>
    <w:rsid w:val="001F4D3B"/>
    <w:rsid w:val="001F5C33"/>
    <w:rsid w:val="001F5F96"/>
    <w:rsid w:val="001F6010"/>
    <w:rsid w:val="001F6882"/>
    <w:rsid w:val="001F6B69"/>
    <w:rsid w:val="001F6BBC"/>
    <w:rsid w:val="001F6E38"/>
    <w:rsid w:val="001F7362"/>
    <w:rsid w:val="001F78C1"/>
    <w:rsid w:val="0020037D"/>
    <w:rsid w:val="002012C2"/>
    <w:rsid w:val="0020146E"/>
    <w:rsid w:val="00201516"/>
    <w:rsid w:val="00201E79"/>
    <w:rsid w:val="002020C9"/>
    <w:rsid w:val="00202508"/>
    <w:rsid w:val="00202A48"/>
    <w:rsid w:val="00203087"/>
    <w:rsid w:val="0020317C"/>
    <w:rsid w:val="00203A81"/>
    <w:rsid w:val="00203F15"/>
    <w:rsid w:val="00204096"/>
    <w:rsid w:val="002049B5"/>
    <w:rsid w:val="00204A81"/>
    <w:rsid w:val="00204FB5"/>
    <w:rsid w:val="002062BD"/>
    <w:rsid w:val="0020702A"/>
    <w:rsid w:val="0020739D"/>
    <w:rsid w:val="0020747C"/>
    <w:rsid w:val="00207E99"/>
    <w:rsid w:val="00210E15"/>
    <w:rsid w:val="0021288C"/>
    <w:rsid w:val="00212AAE"/>
    <w:rsid w:val="00212D7F"/>
    <w:rsid w:val="00212EF0"/>
    <w:rsid w:val="002137CE"/>
    <w:rsid w:val="00214851"/>
    <w:rsid w:val="0021517D"/>
    <w:rsid w:val="00216159"/>
    <w:rsid w:val="002167A6"/>
    <w:rsid w:val="0021710A"/>
    <w:rsid w:val="00217251"/>
    <w:rsid w:val="00217D3C"/>
    <w:rsid w:val="0022009E"/>
    <w:rsid w:val="00220484"/>
    <w:rsid w:val="00220617"/>
    <w:rsid w:val="00220D14"/>
    <w:rsid w:val="00221E1F"/>
    <w:rsid w:val="00222584"/>
    <w:rsid w:val="00223142"/>
    <w:rsid w:val="00224330"/>
    <w:rsid w:val="00224437"/>
    <w:rsid w:val="0022445E"/>
    <w:rsid w:val="00224575"/>
    <w:rsid w:val="00224E0F"/>
    <w:rsid w:val="002257B3"/>
    <w:rsid w:val="002259B2"/>
    <w:rsid w:val="0022613D"/>
    <w:rsid w:val="00226677"/>
    <w:rsid w:val="0022706F"/>
    <w:rsid w:val="0022785D"/>
    <w:rsid w:val="00230415"/>
    <w:rsid w:val="002306E2"/>
    <w:rsid w:val="002309EC"/>
    <w:rsid w:val="00230A83"/>
    <w:rsid w:val="00230C80"/>
    <w:rsid w:val="00230C85"/>
    <w:rsid w:val="00231326"/>
    <w:rsid w:val="0023154D"/>
    <w:rsid w:val="00231910"/>
    <w:rsid w:val="00231D09"/>
    <w:rsid w:val="002325EB"/>
    <w:rsid w:val="00232683"/>
    <w:rsid w:val="002334A3"/>
    <w:rsid w:val="00233A35"/>
    <w:rsid w:val="00233E7D"/>
    <w:rsid w:val="00233FA3"/>
    <w:rsid w:val="00233FAF"/>
    <w:rsid w:val="00234317"/>
    <w:rsid w:val="002343A8"/>
    <w:rsid w:val="002344E9"/>
    <w:rsid w:val="0023520A"/>
    <w:rsid w:val="00235AE0"/>
    <w:rsid w:val="00235BC6"/>
    <w:rsid w:val="00235DEA"/>
    <w:rsid w:val="00236A2D"/>
    <w:rsid w:val="00236E38"/>
    <w:rsid w:val="00237182"/>
    <w:rsid w:val="00237580"/>
    <w:rsid w:val="00240B66"/>
    <w:rsid w:val="002410C1"/>
    <w:rsid w:val="00241E8A"/>
    <w:rsid w:val="00241F2F"/>
    <w:rsid w:val="002427D4"/>
    <w:rsid w:val="00243256"/>
    <w:rsid w:val="00243714"/>
    <w:rsid w:val="0024419C"/>
    <w:rsid w:val="00244448"/>
    <w:rsid w:val="00244651"/>
    <w:rsid w:val="00244A87"/>
    <w:rsid w:val="002453BA"/>
    <w:rsid w:val="00245811"/>
    <w:rsid w:val="00245A3B"/>
    <w:rsid w:val="002464A0"/>
    <w:rsid w:val="00246975"/>
    <w:rsid w:val="00246D4D"/>
    <w:rsid w:val="00250311"/>
    <w:rsid w:val="0025057D"/>
    <w:rsid w:val="00250E14"/>
    <w:rsid w:val="002512BD"/>
    <w:rsid w:val="0025136B"/>
    <w:rsid w:val="00251841"/>
    <w:rsid w:val="00251B0E"/>
    <w:rsid w:val="00251D47"/>
    <w:rsid w:val="002520B9"/>
    <w:rsid w:val="0025248C"/>
    <w:rsid w:val="002536EB"/>
    <w:rsid w:val="00253F1D"/>
    <w:rsid w:val="0025451F"/>
    <w:rsid w:val="0025481E"/>
    <w:rsid w:val="002549BC"/>
    <w:rsid w:val="00254E81"/>
    <w:rsid w:val="0025540D"/>
    <w:rsid w:val="00255928"/>
    <w:rsid w:val="00256205"/>
    <w:rsid w:val="0025627B"/>
    <w:rsid w:val="00257C2C"/>
    <w:rsid w:val="0026048B"/>
    <w:rsid w:val="00260D36"/>
    <w:rsid w:val="0026134E"/>
    <w:rsid w:val="002617A4"/>
    <w:rsid w:val="00261A85"/>
    <w:rsid w:val="00262133"/>
    <w:rsid w:val="00262331"/>
    <w:rsid w:val="00262733"/>
    <w:rsid w:val="00263480"/>
    <w:rsid w:val="002634FA"/>
    <w:rsid w:val="0026358B"/>
    <w:rsid w:val="00263923"/>
    <w:rsid w:val="0026401A"/>
    <w:rsid w:val="00264542"/>
    <w:rsid w:val="00264B52"/>
    <w:rsid w:val="002660F4"/>
    <w:rsid w:val="002664A5"/>
    <w:rsid w:val="00266622"/>
    <w:rsid w:val="0026690F"/>
    <w:rsid w:val="00267095"/>
    <w:rsid w:val="002670E6"/>
    <w:rsid w:val="00267790"/>
    <w:rsid w:val="0026783B"/>
    <w:rsid w:val="002679B5"/>
    <w:rsid w:val="00267B1B"/>
    <w:rsid w:val="00267CDF"/>
    <w:rsid w:val="00270056"/>
    <w:rsid w:val="002700F4"/>
    <w:rsid w:val="00270378"/>
    <w:rsid w:val="00270EAC"/>
    <w:rsid w:val="002719AE"/>
    <w:rsid w:val="002724BD"/>
    <w:rsid w:val="0027281C"/>
    <w:rsid w:val="00272D9B"/>
    <w:rsid w:val="00273291"/>
    <w:rsid w:val="002736EB"/>
    <w:rsid w:val="0027383B"/>
    <w:rsid w:val="0027385C"/>
    <w:rsid w:val="002739A3"/>
    <w:rsid w:val="00273D32"/>
    <w:rsid w:val="00274868"/>
    <w:rsid w:val="00274F68"/>
    <w:rsid w:val="002750BE"/>
    <w:rsid w:val="00275D12"/>
    <w:rsid w:val="002764F5"/>
    <w:rsid w:val="00276FDA"/>
    <w:rsid w:val="0027750A"/>
    <w:rsid w:val="002777FD"/>
    <w:rsid w:val="002778EC"/>
    <w:rsid w:val="00277943"/>
    <w:rsid w:val="00280406"/>
    <w:rsid w:val="0028054A"/>
    <w:rsid w:val="0028087D"/>
    <w:rsid w:val="002809BF"/>
    <w:rsid w:val="00280A4A"/>
    <w:rsid w:val="00281315"/>
    <w:rsid w:val="0028159F"/>
    <w:rsid w:val="00281CC9"/>
    <w:rsid w:val="00281F74"/>
    <w:rsid w:val="0028201E"/>
    <w:rsid w:val="00282A6C"/>
    <w:rsid w:val="00282E0E"/>
    <w:rsid w:val="00283969"/>
    <w:rsid w:val="002839AB"/>
    <w:rsid w:val="00283EF9"/>
    <w:rsid w:val="002844CD"/>
    <w:rsid w:val="002846F4"/>
    <w:rsid w:val="00284ED4"/>
    <w:rsid w:val="00285D79"/>
    <w:rsid w:val="00285FAF"/>
    <w:rsid w:val="0028614A"/>
    <w:rsid w:val="00286530"/>
    <w:rsid w:val="00286B24"/>
    <w:rsid w:val="00287B9A"/>
    <w:rsid w:val="00291CA5"/>
    <w:rsid w:val="00292623"/>
    <w:rsid w:val="00292CDD"/>
    <w:rsid w:val="002937BF"/>
    <w:rsid w:val="00293C37"/>
    <w:rsid w:val="00293DE8"/>
    <w:rsid w:val="00295232"/>
    <w:rsid w:val="00295B5A"/>
    <w:rsid w:val="00296B3A"/>
    <w:rsid w:val="002977E1"/>
    <w:rsid w:val="002A01E9"/>
    <w:rsid w:val="002A0437"/>
    <w:rsid w:val="002A0477"/>
    <w:rsid w:val="002A05C9"/>
    <w:rsid w:val="002A1F26"/>
    <w:rsid w:val="002A2DF4"/>
    <w:rsid w:val="002A3AC0"/>
    <w:rsid w:val="002A3CCE"/>
    <w:rsid w:val="002A45DF"/>
    <w:rsid w:val="002A5060"/>
    <w:rsid w:val="002A566B"/>
    <w:rsid w:val="002A57DA"/>
    <w:rsid w:val="002A57DB"/>
    <w:rsid w:val="002A59A6"/>
    <w:rsid w:val="002A5BC8"/>
    <w:rsid w:val="002A6109"/>
    <w:rsid w:val="002A6606"/>
    <w:rsid w:val="002A7422"/>
    <w:rsid w:val="002A77A4"/>
    <w:rsid w:val="002A7CC6"/>
    <w:rsid w:val="002A7E3E"/>
    <w:rsid w:val="002B0A5C"/>
    <w:rsid w:val="002B0A88"/>
    <w:rsid w:val="002B1A81"/>
    <w:rsid w:val="002B1C1A"/>
    <w:rsid w:val="002B22D9"/>
    <w:rsid w:val="002B2BD3"/>
    <w:rsid w:val="002B2D39"/>
    <w:rsid w:val="002B2E54"/>
    <w:rsid w:val="002B32AB"/>
    <w:rsid w:val="002B46EB"/>
    <w:rsid w:val="002B4856"/>
    <w:rsid w:val="002B4B8C"/>
    <w:rsid w:val="002B4E28"/>
    <w:rsid w:val="002B4E80"/>
    <w:rsid w:val="002B5470"/>
    <w:rsid w:val="002B5639"/>
    <w:rsid w:val="002B56A1"/>
    <w:rsid w:val="002B5826"/>
    <w:rsid w:val="002B5A52"/>
    <w:rsid w:val="002B5E1E"/>
    <w:rsid w:val="002B6014"/>
    <w:rsid w:val="002B64C6"/>
    <w:rsid w:val="002B6EE9"/>
    <w:rsid w:val="002B7154"/>
    <w:rsid w:val="002B7B34"/>
    <w:rsid w:val="002C058C"/>
    <w:rsid w:val="002C0945"/>
    <w:rsid w:val="002C0A8F"/>
    <w:rsid w:val="002C14EF"/>
    <w:rsid w:val="002C1550"/>
    <w:rsid w:val="002C189E"/>
    <w:rsid w:val="002C22A3"/>
    <w:rsid w:val="002C2575"/>
    <w:rsid w:val="002C26AF"/>
    <w:rsid w:val="002C3781"/>
    <w:rsid w:val="002C3867"/>
    <w:rsid w:val="002C3AE4"/>
    <w:rsid w:val="002C3B73"/>
    <w:rsid w:val="002C3E09"/>
    <w:rsid w:val="002C4A15"/>
    <w:rsid w:val="002C4C79"/>
    <w:rsid w:val="002C4E19"/>
    <w:rsid w:val="002C573F"/>
    <w:rsid w:val="002C5D62"/>
    <w:rsid w:val="002C6988"/>
    <w:rsid w:val="002C6B4F"/>
    <w:rsid w:val="002C78F2"/>
    <w:rsid w:val="002D1C87"/>
    <w:rsid w:val="002D210C"/>
    <w:rsid w:val="002D30D2"/>
    <w:rsid w:val="002D32B2"/>
    <w:rsid w:val="002D32E5"/>
    <w:rsid w:val="002D4099"/>
    <w:rsid w:val="002D40A3"/>
    <w:rsid w:val="002D4160"/>
    <w:rsid w:val="002D4672"/>
    <w:rsid w:val="002D48F8"/>
    <w:rsid w:val="002D4ADE"/>
    <w:rsid w:val="002D4DA8"/>
    <w:rsid w:val="002D5129"/>
    <w:rsid w:val="002D52E6"/>
    <w:rsid w:val="002D5642"/>
    <w:rsid w:val="002D58FF"/>
    <w:rsid w:val="002D5B0A"/>
    <w:rsid w:val="002D5EEF"/>
    <w:rsid w:val="002D6663"/>
    <w:rsid w:val="002D667D"/>
    <w:rsid w:val="002D6F55"/>
    <w:rsid w:val="002D7061"/>
    <w:rsid w:val="002D763F"/>
    <w:rsid w:val="002D765F"/>
    <w:rsid w:val="002D7D22"/>
    <w:rsid w:val="002E0158"/>
    <w:rsid w:val="002E09B9"/>
    <w:rsid w:val="002E0F37"/>
    <w:rsid w:val="002E1949"/>
    <w:rsid w:val="002E1B0A"/>
    <w:rsid w:val="002E1C0E"/>
    <w:rsid w:val="002E1EF5"/>
    <w:rsid w:val="002E26B2"/>
    <w:rsid w:val="002E2983"/>
    <w:rsid w:val="002E2DA8"/>
    <w:rsid w:val="002E3618"/>
    <w:rsid w:val="002E389E"/>
    <w:rsid w:val="002E3AB1"/>
    <w:rsid w:val="002E40F1"/>
    <w:rsid w:val="002E44C8"/>
    <w:rsid w:val="002E4AD6"/>
    <w:rsid w:val="002E5185"/>
    <w:rsid w:val="002E5467"/>
    <w:rsid w:val="002E5F03"/>
    <w:rsid w:val="002E6128"/>
    <w:rsid w:val="002E6EAC"/>
    <w:rsid w:val="002E7394"/>
    <w:rsid w:val="002E7AC9"/>
    <w:rsid w:val="002E7CE5"/>
    <w:rsid w:val="002F0046"/>
    <w:rsid w:val="002F01F8"/>
    <w:rsid w:val="002F01FB"/>
    <w:rsid w:val="002F0A87"/>
    <w:rsid w:val="002F140A"/>
    <w:rsid w:val="002F14A7"/>
    <w:rsid w:val="002F1BE1"/>
    <w:rsid w:val="002F1C11"/>
    <w:rsid w:val="002F27AB"/>
    <w:rsid w:val="002F27F1"/>
    <w:rsid w:val="002F293C"/>
    <w:rsid w:val="002F2B8B"/>
    <w:rsid w:val="002F2C8D"/>
    <w:rsid w:val="002F2F97"/>
    <w:rsid w:val="002F386D"/>
    <w:rsid w:val="002F3CE1"/>
    <w:rsid w:val="002F3FF1"/>
    <w:rsid w:val="002F4153"/>
    <w:rsid w:val="002F48ED"/>
    <w:rsid w:val="002F49E1"/>
    <w:rsid w:val="002F49FD"/>
    <w:rsid w:val="002F4A0A"/>
    <w:rsid w:val="002F4A48"/>
    <w:rsid w:val="002F4B7D"/>
    <w:rsid w:val="002F4F27"/>
    <w:rsid w:val="002F57A4"/>
    <w:rsid w:val="002F6822"/>
    <w:rsid w:val="002F6DA0"/>
    <w:rsid w:val="002F7BB6"/>
    <w:rsid w:val="002F7D52"/>
    <w:rsid w:val="002F7EEA"/>
    <w:rsid w:val="00300596"/>
    <w:rsid w:val="00300B4D"/>
    <w:rsid w:val="00300E07"/>
    <w:rsid w:val="00301209"/>
    <w:rsid w:val="003012C6"/>
    <w:rsid w:val="00301E80"/>
    <w:rsid w:val="00302385"/>
    <w:rsid w:val="0030265D"/>
    <w:rsid w:val="003028F3"/>
    <w:rsid w:val="00302AA4"/>
    <w:rsid w:val="003032F9"/>
    <w:rsid w:val="0030340A"/>
    <w:rsid w:val="00303418"/>
    <w:rsid w:val="00304563"/>
    <w:rsid w:val="00304C85"/>
    <w:rsid w:val="00304D80"/>
    <w:rsid w:val="00304E19"/>
    <w:rsid w:val="00304E50"/>
    <w:rsid w:val="00305300"/>
    <w:rsid w:val="003060BF"/>
    <w:rsid w:val="00306100"/>
    <w:rsid w:val="003069B4"/>
    <w:rsid w:val="00306DE6"/>
    <w:rsid w:val="00310197"/>
    <w:rsid w:val="0031086B"/>
    <w:rsid w:val="003108EA"/>
    <w:rsid w:val="00310F6A"/>
    <w:rsid w:val="00311018"/>
    <w:rsid w:val="00311664"/>
    <w:rsid w:val="00311833"/>
    <w:rsid w:val="00311E03"/>
    <w:rsid w:val="003120E2"/>
    <w:rsid w:val="00312285"/>
    <w:rsid w:val="00313401"/>
    <w:rsid w:val="0031343B"/>
    <w:rsid w:val="00313680"/>
    <w:rsid w:val="003138FF"/>
    <w:rsid w:val="00313DE3"/>
    <w:rsid w:val="00314119"/>
    <w:rsid w:val="00317248"/>
    <w:rsid w:val="00317723"/>
    <w:rsid w:val="003204D8"/>
    <w:rsid w:val="00320618"/>
    <w:rsid w:val="003206BE"/>
    <w:rsid w:val="00320CE2"/>
    <w:rsid w:val="00320FCC"/>
    <w:rsid w:val="00321251"/>
    <w:rsid w:val="003212A9"/>
    <w:rsid w:val="003217FC"/>
    <w:rsid w:val="00321A08"/>
    <w:rsid w:val="00321B34"/>
    <w:rsid w:val="00321B55"/>
    <w:rsid w:val="00321B63"/>
    <w:rsid w:val="00321F66"/>
    <w:rsid w:val="00323028"/>
    <w:rsid w:val="00323362"/>
    <w:rsid w:val="00325076"/>
    <w:rsid w:val="003252F6"/>
    <w:rsid w:val="00325449"/>
    <w:rsid w:val="00325FA3"/>
    <w:rsid w:val="00326FC4"/>
    <w:rsid w:val="003271CB"/>
    <w:rsid w:val="00331868"/>
    <w:rsid w:val="00331949"/>
    <w:rsid w:val="003319CC"/>
    <w:rsid w:val="00331D79"/>
    <w:rsid w:val="00331F47"/>
    <w:rsid w:val="00332013"/>
    <w:rsid w:val="0033224E"/>
    <w:rsid w:val="0033273F"/>
    <w:rsid w:val="00332C92"/>
    <w:rsid w:val="003333F9"/>
    <w:rsid w:val="00334502"/>
    <w:rsid w:val="003348CC"/>
    <w:rsid w:val="00334C57"/>
    <w:rsid w:val="00334E29"/>
    <w:rsid w:val="0033579B"/>
    <w:rsid w:val="003359BB"/>
    <w:rsid w:val="003360B2"/>
    <w:rsid w:val="00336144"/>
    <w:rsid w:val="0033653F"/>
    <w:rsid w:val="00336C0C"/>
    <w:rsid w:val="00336CB4"/>
    <w:rsid w:val="00337070"/>
    <w:rsid w:val="00337577"/>
    <w:rsid w:val="0034000B"/>
    <w:rsid w:val="00340360"/>
    <w:rsid w:val="003427A8"/>
    <w:rsid w:val="003429D8"/>
    <w:rsid w:val="00343305"/>
    <w:rsid w:val="00343567"/>
    <w:rsid w:val="00343BB1"/>
    <w:rsid w:val="003444D4"/>
    <w:rsid w:val="00344658"/>
    <w:rsid w:val="00344F08"/>
    <w:rsid w:val="00345770"/>
    <w:rsid w:val="003457BB"/>
    <w:rsid w:val="00345C1D"/>
    <w:rsid w:val="00345D14"/>
    <w:rsid w:val="00346841"/>
    <w:rsid w:val="00346C91"/>
    <w:rsid w:val="00346DD6"/>
    <w:rsid w:val="003471C2"/>
    <w:rsid w:val="00347747"/>
    <w:rsid w:val="00350049"/>
    <w:rsid w:val="00350338"/>
    <w:rsid w:val="00350509"/>
    <w:rsid w:val="00351240"/>
    <w:rsid w:val="00351727"/>
    <w:rsid w:val="00351C2A"/>
    <w:rsid w:val="00351D8C"/>
    <w:rsid w:val="00352704"/>
    <w:rsid w:val="00353071"/>
    <w:rsid w:val="00354551"/>
    <w:rsid w:val="00354AA1"/>
    <w:rsid w:val="00354E21"/>
    <w:rsid w:val="00354EDA"/>
    <w:rsid w:val="00356BE2"/>
    <w:rsid w:val="00356E6F"/>
    <w:rsid w:val="00357DAD"/>
    <w:rsid w:val="0036010C"/>
    <w:rsid w:val="003603C7"/>
    <w:rsid w:val="00360553"/>
    <w:rsid w:val="003610F0"/>
    <w:rsid w:val="00361784"/>
    <w:rsid w:val="00361C41"/>
    <w:rsid w:val="0036264E"/>
    <w:rsid w:val="00362676"/>
    <w:rsid w:val="003626E0"/>
    <w:rsid w:val="0036328C"/>
    <w:rsid w:val="0036390E"/>
    <w:rsid w:val="00363FB6"/>
    <w:rsid w:val="0036496B"/>
    <w:rsid w:val="0036561C"/>
    <w:rsid w:val="00365C03"/>
    <w:rsid w:val="00366326"/>
    <w:rsid w:val="00367794"/>
    <w:rsid w:val="00367D59"/>
    <w:rsid w:val="00371B00"/>
    <w:rsid w:val="00372235"/>
    <w:rsid w:val="003724F1"/>
    <w:rsid w:val="00373330"/>
    <w:rsid w:val="00373508"/>
    <w:rsid w:val="00373BA8"/>
    <w:rsid w:val="00373BAA"/>
    <w:rsid w:val="00373D48"/>
    <w:rsid w:val="00373F63"/>
    <w:rsid w:val="0037480A"/>
    <w:rsid w:val="00375055"/>
    <w:rsid w:val="00375121"/>
    <w:rsid w:val="0037527F"/>
    <w:rsid w:val="00376583"/>
    <w:rsid w:val="003766F7"/>
    <w:rsid w:val="003772FC"/>
    <w:rsid w:val="003774E1"/>
    <w:rsid w:val="00377690"/>
    <w:rsid w:val="00377F17"/>
    <w:rsid w:val="00380306"/>
    <w:rsid w:val="00380D29"/>
    <w:rsid w:val="003813D2"/>
    <w:rsid w:val="003819F6"/>
    <w:rsid w:val="0038259B"/>
    <w:rsid w:val="00382628"/>
    <w:rsid w:val="00382680"/>
    <w:rsid w:val="00382710"/>
    <w:rsid w:val="00382A4E"/>
    <w:rsid w:val="00382B28"/>
    <w:rsid w:val="00383109"/>
    <w:rsid w:val="003834F3"/>
    <w:rsid w:val="003836DD"/>
    <w:rsid w:val="003837D9"/>
    <w:rsid w:val="0038448C"/>
    <w:rsid w:val="003849E9"/>
    <w:rsid w:val="00384B75"/>
    <w:rsid w:val="00384CBC"/>
    <w:rsid w:val="00385783"/>
    <w:rsid w:val="0038582A"/>
    <w:rsid w:val="0038691A"/>
    <w:rsid w:val="00386F3A"/>
    <w:rsid w:val="003871CC"/>
    <w:rsid w:val="003874AD"/>
    <w:rsid w:val="003875A8"/>
    <w:rsid w:val="00387C73"/>
    <w:rsid w:val="00391149"/>
    <w:rsid w:val="00391339"/>
    <w:rsid w:val="00391FA0"/>
    <w:rsid w:val="00392440"/>
    <w:rsid w:val="00392825"/>
    <w:rsid w:val="003928A6"/>
    <w:rsid w:val="003929A5"/>
    <w:rsid w:val="00393457"/>
    <w:rsid w:val="00393FC6"/>
    <w:rsid w:val="003943C5"/>
    <w:rsid w:val="003948DA"/>
    <w:rsid w:val="00395556"/>
    <w:rsid w:val="00396A94"/>
    <w:rsid w:val="00396F36"/>
    <w:rsid w:val="00397417"/>
    <w:rsid w:val="00397728"/>
    <w:rsid w:val="00397A65"/>
    <w:rsid w:val="003A015A"/>
    <w:rsid w:val="003A0619"/>
    <w:rsid w:val="003A0E83"/>
    <w:rsid w:val="003A1159"/>
    <w:rsid w:val="003A14B6"/>
    <w:rsid w:val="003A189B"/>
    <w:rsid w:val="003A1AF5"/>
    <w:rsid w:val="003A2252"/>
    <w:rsid w:val="003A257A"/>
    <w:rsid w:val="003A2856"/>
    <w:rsid w:val="003A3206"/>
    <w:rsid w:val="003A3712"/>
    <w:rsid w:val="003A4614"/>
    <w:rsid w:val="003A473B"/>
    <w:rsid w:val="003A4BF9"/>
    <w:rsid w:val="003A50AD"/>
    <w:rsid w:val="003A5B6F"/>
    <w:rsid w:val="003A5BED"/>
    <w:rsid w:val="003A5C6C"/>
    <w:rsid w:val="003A637B"/>
    <w:rsid w:val="003A642F"/>
    <w:rsid w:val="003A65F0"/>
    <w:rsid w:val="003A6A58"/>
    <w:rsid w:val="003A7159"/>
    <w:rsid w:val="003A751A"/>
    <w:rsid w:val="003A76D4"/>
    <w:rsid w:val="003A7790"/>
    <w:rsid w:val="003B03C3"/>
    <w:rsid w:val="003B0BAF"/>
    <w:rsid w:val="003B0CDC"/>
    <w:rsid w:val="003B0F2B"/>
    <w:rsid w:val="003B1801"/>
    <w:rsid w:val="003B1A30"/>
    <w:rsid w:val="003B21DB"/>
    <w:rsid w:val="003B2B37"/>
    <w:rsid w:val="003B336C"/>
    <w:rsid w:val="003B3386"/>
    <w:rsid w:val="003B348E"/>
    <w:rsid w:val="003B3839"/>
    <w:rsid w:val="003B3A1B"/>
    <w:rsid w:val="003B430D"/>
    <w:rsid w:val="003B4960"/>
    <w:rsid w:val="003B5017"/>
    <w:rsid w:val="003B5E41"/>
    <w:rsid w:val="003B656B"/>
    <w:rsid w:val="003B6CD5"/>
    <w:rsid w:val="003B6EB3"/>
    <w:rsid w:val="003B77F5"/>
    <w:rsid w:val="003B7C26"/>
    <w:rsid w:val="003C1215"/>
    <w:rsid w:val="003C1269"/>
    <w:rsid w:val="003C13E8"/>
    <w:rsid w:val="003C1420"/>
    <w:rsid w:val="003C1FEC"/>
    <w:rsid w:val="003C2886"/>
    <w:rsid w:val="003C3095"/>
    <w:rsid w:val="003C3928"/>
    <w:rsid w:val="003C3F9E"/>
    <w:rsid w:val="003C40B4"/>
    <w:rsid w:val="003C415A"/>
    <w:rsid w:val="003C4525"/>
    <w:rsid w:val="003C4F17"/>
    <w:rsid w:val="003C5044"/>
    <w:rsid w:val="003C5E97"/>
    <w:rsid w:val="003C60B4"/>
    <w:rsid w:val="003C6431"/>
    <w:rsid w:val="003C688A"/>
    <w:rsid w:val="003C6B9E"/>
    <w:rsid w:val="003C7BB5"/>
    <w:rsid w:val="003D1290"/>
    <w:rsid w:val="003D1D5B"/>
    <w:rsid w:val="003D2734"/>
    <w:rsid w:val="003D297C"/>
    <w:rsid w:val="003D2AC4"/>
    <w:rsid w:val="003D2CF3"/>
    <w:rsid w:val="003D34DA"/>
    <w:rsid w:val="003D4130"/>
    <w:rsid w:val="003D4477"/>
    <w:rsid w:val="003D4601"/>
    <w:rsid w:val="003D4DEF"/>
    <w:rsid w:val="003D5065"/>
    <w:rsid w:val="003D51E9"/>
    <w:rsid w:val="003D5212"/>
    <w:rsid w:val="003D551A"/>
    <w:rsid w:val="003D5887"/>
    <w:rsid w:val="003D5FB5"/>
    <w:rsid w:val="003D624E"/>
    <w:rsid w:val="003D69D3"/>
    <w:rsid w:val="003D6F9E"/>
    <w:rsid w:val="003D70D5"/>
    <w:rsid w:val="003D7218"/>
    <w:rsid w:val="003D73E5"/>
    <w:rsid w:val="003E0226"/>
    <w:rsid w:val="003E03BD"/>
    <w:rsid w:val="003E045B"/>
    <w:rsid w:val="003E178D"/>
    <w:rsid w:val="003E2890"/>
    <w:rsid w:val="003E2936"/>
    <w:rsid w:val="003E2BAC"/>
    <w:rsid w:val="003E3158"/>
    <w:rsid w:val="003E31B3"/>
    <w:rsid w:val="003E3A44"/>
    <w:rsid w:val="003E3D93"/>
    <w:rsid w:val="003E3E3D"/>
    <w:rsid w:val="003E4386"/>
    <w:rsid w:val="003E450C"/>
    <w:rsid w:val="003E4AB9"/>
    <w:rsid w:val="003E4C8A"/>
    <w:rsid w:val="003E5C8E"/>
    <w:rsid w:val="003E5C96"/>
    <w:rsid w:val="003E61B8"/>
    <w:rsid w:val="003E6323"/>
    <w:rsid w:val="003E63F1"/>
    <w:rsid w:val="003E6C5D"/>
    <w:rsid w:val="003E70BF"/>
    <w:rsid w:val="003E779A"/>
    <w:rsid w:val="003E79F1"/>
    <w:rsid w:val="003E7B4D"/>
    <w:rsid w:val="003F07F5"/>
    <w:rsid w:val="003F117A"/>
    <w:rsid w:val="003F142B"/>
    <w:rsid w:val="003F2928"/>
    <w:rsid w:val="003F328B"/>
    <w:rsid w:val="003F354D"/>
    <w:rsid w:val="003F3A31"/>
    <w:rsid w:val="003F49AC"/>
    <w:rsid w:val="003F4BBB"/>
    <w:rsid w:val="003F6343"/>
    <w:rsid w:val="003F66B1"/>
    <w:rsid w:val="003F6858"/>
    <w:rsid w:val="003F70E7"/>
    <w:rsid w:val="003F776E"/>
    <w:rsid w:val="00401BF7"/>
    <w:rsid w:val="00401F48"/>
    <w:rsid w:val="00402407"/>
    <w:rsid w:val="0040295C"/>
    <w:rsid w:val="00403D80"/>
    <w:rsid w:val="00403F33"/>
    <w:rsid w:val="00404B35"/>
    <w:rsid w:val="00405678"/>
    <w:rsid w:val="0040593B"/>
    <w:rsid w:val="00406880"/>
    <w:rsid w:val="004069AF"/>
    <w:rsid w:val="00406B35"/>
    <w:rsid w:val="00406E3E"/>
    <w:rsid w:val="004077F7"/>
    <w:rsid w:val="0041024A"/>
    <w:rsid w:val="00410CCD"/>
    <w:rsid w:val="00410CED"/>
    <w:rsid w:val="004115DB"/>
    <w:rsid w:val="00411CDA"/>
    <w:rsid w:val="004127FA"/>
    <w:rsid w:val="004129A9"/>
    <w:rsid w:val="00412A33"/>
    <w:rsid w:val="00413014"/>
    <w:rsid w:val="00413092"/>
    <w:rsid w:val="00413BF3"/>
    <w:rsid w:val="0041403E"/>
    <w:rsid w:val="004146DD"/>
    <w:rsid w:val="00414742"/>
    <w:rsid w:val="0041516C"/>
    <w:rsid w:val="00415680"/>
    <w:rsid w:val="00415696"/>
    <w:rsid w:val="004158F6"/>
    <w:rsid w:val="00415942"/>
    <w:rsid w:val="00415C6A"/>
    <w:rsid w:val="00416120"/>
    <w:rsid w:val="00416351"/>
    <w:rsid w:val="00416367"/>
    <w:rsid w:val="00416CA9"/>
    <w:rsid w:val="00416CDA"/>
    <w:rsid w:val="004171A3"/>
    <w:rsid w:val="00417AFF"/>
    <w:rsid w:val="004208BF"/>
    <w:rsid w:val="00420935"/>
    <w:rsid w:val="00420E0D"/>
    <w:rsid w:val="0042136F"/>
    <w:rsid w:val="00421C17"/>
    <w:rsid w:val="00422054"/>
    <w:rsid w:val="00422414"/>
    <w:rsid w:val="00423250"/>
    <w:rsid w:val="00423534"/>
    <w:rsid w:val="004236C2"/>
    <w:rsid w:val="00423B5B"/>
    <w:rsid w:val="00423DEF"/>
    <w:rsid w:val="004242D0"/>
    <w:rsid w:val="00424727"/>
    <w:rsid w:val="00424894"/>
    <w:rsid w:val="00424984"/>
    <w:rsid w:val="00424F57"/>
    <w:rsid w:val="00426175"/>
    <w:rsid w:val="0042640E"/>
    <w:rsid w:val="0042679F"/>
    <w:rsid w:val="00426D5B"/>
    <w:rsid w:val="004276A0"/>
    <w:rsid w:val="004302D2"/>
    <w:rsid w:val="00430475"/>
    <w:rsid w:val="004305D4"/>
    <w:rsid w:val="004307F6"/>
    <w:rsid w:val="00430A55"/>
    <w:rsid w:val="00431452"/>
    <w:rsid w:val="004314ED"/>
    <w:rsid w:val="00431745"/>
    <w:rsid w:val="00431771"/>
    <w:rsid w:val="00431AC3"/>
    <w:rsid w:val="00431FD9"/>
    <w:rsid w:val="00432627"/>
    <w:rsid w:val="0043268C"/>
    <w:rsid w:val="004329F2"/>
    <w:rsid w:val="00433AAF"/>
    <w:rsid w:val="00433B10"/>
    <w:rsid w:val="00433C0D"/>
    <w:rsid w:val="0043427D"/>
    <w:rsid w:val="00434BA4"/>
    <w:rsid w:val="004353D2"/>
    <w:rsid w:val="00435751"/>
    <w:rsid w:val="00435754"/>
    <w:rsid w:val="004359EF"/>
    <w:rsid w:val="00437194"/>
    <w:rsid w:val="004376A5"/>
    <w:rsid w:val="004378BD"/>
    <w:rsid w:val="00437BCE"/>
    <w:rsid w:val="00441350"/>
    <w:rsid w:val="004421CE"/>
    <w:rsid w:val="004424F6"/>
    <w:rsid w:val="00442E91"/>
    <w:rsid w:val="00443966"/>
    <w:rsid w:val="00443F56"/>
    <w:rsid w:val="00444C43"/>
    <w:rsid w:val="00444F70"/>
    <w:rsid w:val="0044502F"/>
    <w:rsid w:val="004456FB"/>
    <w:rsid w:val="00445C40"/>
    <w:rsid w:val="004467EC"/>
    <w:rsid w:val="004467EE"/>
    <w:rsid w:val="00447343"/>
    <w:rsid w:val="00447A1A"/>
    <w:rsid w:val="00447E36"/>
    <w:rsid w:val="00447FA2"/>
    <w:rsid w:val="00447FA8"/>
    <w:rsid w:val="00450163"/>
    <w:rsid w:val="00450776"/>
    <w:rsid w:val="004507FC"/>
    <w:rsid w:val="00451EF5"/>
    <w:rsid w:val="0045228A"/>
    <w:rsid w:val="0045258F"/>
    <w:rsid w:val="00453961"/>
    <w:rsid w:val="00453EA8"/>
    <w:rsid w:val="0045435F"/>
    <w:rsid w:val="00454A30"/>
    <w:rsid w:val="004557C1"/>
    <w:rsid w:val="00455F60"/>
    <w:rsid w:val="00456298"/>
    <w:rsid w:val="004571FA"/>
    <w:rsid w:val="0045749B"/>
    <w:rsid w:val="00457BDB"/>
    <w:rsid w:val="00457D11"/>
    <w:rsid w:val="00457EBD"/>
    <w:rsid w:val="00457F51"/>
    <w:rsid w:val="00457F93"/>
    <w:rsid w:val="0046035B"/>
    <w:rsid w:val="00460564"/>
    <w:rsid w:val="00460E33"/>
    <w:rsid w:val="00461105"/>
    <w:rsid w:val="004614C0"/>
    <w:rsid w:val="004625C1"/>
    <w:rsid w:val="004632DF"/>
    <w:rsid w:val="004641EA"/>
    <w:rsid w:val="0046471A"/>
    <w:rsid w:val="00464776"/>
    <w:rsid w:val="00465CF4"/>
    <w:rsid w:val="00465D55"/>
    <w:rsid w:val="00465F9E"/>
    <w:rsid w:val="00466B79"/>
    <w:rsid w:val="00466DB4"/>
    <w:rsid w:val="0046706C"/>
    <w:rsid w:val="00467A77"/>
    <w:rsid w:val="00467D18"/>
    <w:rsid w:val="004700DC"/>
    <w:rsid w:val="004702E5"/>
    <w:rsid w:val="004707B3"/>
    <w:rsid w:val="0047085D"/>
    <w:rsid w:val="00471D30"/>
    <w:rsid w:val="004726B9"/>
    <w:rsid w:val="00472A4D"/>
    <w:rsid w:val="00472BEF"/>
    <w:rsid w:val="004734BB"/>
    <w:rsid w:val="00473E70"/>
    <w:rsid w:val="00474218"/>
    <w:rsid w:val="00474287"/>
    <w:rsid w:val="004743C9"/>
    <w:rsid w:val="00474E05"/>
    <w:rsid w:val="004757A6"/>
    <w:rsid w:val="00475DFB"/>
    <w:rsid w:val="004767C8"/>
    <w:rsid w:val="00477351"/>
    <w:rsid w:val="00477922"/>
    <w:rsid w:val="00477C2E"/>
    <w:rsid w:val="004805DE"/>
    <w:rsid w:val="00480682"/>
    <w:rsid w:val="0048100F"/>
    <w:rsid w:val="004812B1"/>
    <w:rsid w:val="00481E04"/>
    <w:rsid w:val="004826B5"/>
    <w:rsid w:val="00482BFE"/>
    <w:rsid w:val="00482D0E"/>
    <w:rsid w:val="00483B34"/>
    <w:rsid w:val="00484874"/>
    <w:rsid w:val="00484881"/>
    <w:rsid w:val="00484CAC"/>
    <w:rsid w:val="00485120"/>
    <w:rsid w:val="004851E2"/>
    <w:rsid w:val="004853B3"/>
    <w:rsid w:val="004854C1"/>
    <w:rsid w:val="00485BA9"/>
    <w:rsid w:val="00485FA1"/>
    <w:rsid w:val="0048642D"/>
    <w:rsid w:val="004866ED"/>
    <w:rsid w:val="00486D1B"/>
    <w:rsid w:val="00486EEC"/>
    <w:rsid w:val="00487082"/>
    <w:rsid w:val="004874F4"/>
    <w:rsid w:val="00487E4F"/>
    <w:rsid w:val="004900F7"/>
    <w:rsid w:val="004908D3"/>
    <w:rsid w:val="0049168A"/>
    <w:rsid w:val="0049184E"/>
    <w:rsid w:val="00492A5D"/>
    <w:rsid w:val="00492E81"/>
    <w:rsid w:val="00492EA8"/>
    <w:rsid w:val="00492ED0"/>
    <w:rsid w:val="004930B0"/>
    <w:rsid w:val="00493D85"/>
    <w:rsid w:val="00493F27"/>
    <w:rsid w:val="00493F96"/>
    <w:rsid w:val="004941EA"/>
    <w:rsid w:val="0049440B"/>
    <w:rsid w:val="004950F2"/>
    <w:rsid w:val="0049518D"/>
    <w:rsid w:val="004954F9"/>
    <w:rsid w:val="00495BC1"/>
    <w:rsid w:val="00495BE1"/>
    <w:rsid w:val="00495D60"/>
    <w:rsid w:val="00496DD2"/>
    <w:rsid w:val="00496E3F"/>
    <w:rsid w:val="0049703E"/>
    <w:rsid w:val="004971B1"/>
    <w:rsid w:val="00497352"/>
    <w:rsid w:val="004973A6"/>
    <w:rsid w:val="0049764E"/>
    <w:rsid w:val="004A010D"/>
    <w:rsid w:val="004A1385"/>
    <w:rsid w:val="004A2644"/>
    <w:rsid w:val="004A4047"/>
    <w:rsid w:val="004A5B09"/>
    <w:rsid w:val="004A5B35"/>
    <w:rsid w:val="004A5EB4"/>
    <w:rsid w:val="004A6288"/>
    <w:rsid w:val="004A6E6D"/>
    <w:rsid w:val="004A73C3"/>
    <w:rsid w:val="004A7998"/>
    <w:rsid w:val="004A79FF"/>
    <w:rsid w:val="004B01B2"/>
    <w:rsid w:val="004B0360"/>
    <w:rsid w:val="004B05DE"/>
    <w:rsid w:val="004B066B"/>
    <w:rsid w:val="004B17AF"/>
    <w:rsid w:val="004B1BC0"/>
    <w:rsid w:val="004B243C"/>
    <w:rsid w:val="004B38C5"/>
    <w:rsid w:val="004B3B64"/>
    <w:rsid w:val="004B3F2D"/>
    <w:rsid w:val="004B3F7D"/>
    <w:rsid w:val="004B4641"/>
    <w:rsid w:val="004B4A11"/>
    <w:rsid w:val="004B50DE"/>
    <w:rsid w:val="004B566F"/>
    <w:rsid w:val="004B5A55"/>
    <w:rsid w:val="004B5AA2"/>
    <w:rsid w:val="004B6152"/>
    <w:rsid w:val="004B69C1"/>
    <w:rsid w:val="004B6F59"/>
    <w:rsid w:val="004B7027"/>
    <w:rsid w:val="004B70E6"/>
    <w:rsid w:val="004B7CBF"/>
    <w:rsid w:val="004C0D58"/>
    <w:rsid w:val="004C14ED"/>
    <w:rsid w:val="004C155A"/>
    <w:rsid w:val="004C179C"/>
    <w:rsid w:val="004C1EB5"/>
    <w:rsid w:val="004C2075"/>
    <w:rsid w:val="004C20CD"/>
    <w:rsid w:val="004C2181"/>
    <w:rsid w:val="004C24B7"/>
    <w:rsid w:val="004C29DC"/>
    <w:rsid w:val="004C31B1"/>
    <w:rsid w:val="004C3702"/>
    <w:rsid w:val="004C44EC"/>
    <w:rsid w:val="004C45C7"/>
    <w:rsid w:val="004C49F7"/>
    <w:rsid w:val="004C4AA4"/>
    <w:rsid w:val="004C4E16"/>
    <w:rsid w:val="004C4F0F"/>
    <w:rsid w:val="004C61DB"/>
    <w:rsid w:val="004C6A98"/>
    <w:rsid w:val="004C7A66"/>
    <w:rsid w:val="004C7B0A"/>
    <w:rsid w:val="004D05A7"/>
    <w:rsid w:val="004D0A39"/>
    <w:rsid w:val="004D0AC9"/>
    <w:rsid w:val="004D0FB6"/>
    <w:rsid w:val="004D108D"/>
    <w:rsid w:val="004D1E26"/>
    <w:rsid w:val="004D2AAF"/>
    <w:rsid w:val="004D3C4A"/>
    <w:rsid w:val="004D4386"/>
    <w:rsid w:val="004D46F9"/>
    <w:rsid w:val="004D47E6"/>
    <w:rsid w:val="004D4998"/>
    <w:rsid w:val="004D49F6"/>
    <w:rsid w:val="004D4BF6"/>
    <w:rsid w:val="004D4C04"/>
    <w:rsid w:val="004D4EDE"/>
    <w:rsid w:val="004D4EE4"/>
    <w:rsid w:val="004D5303"/>
    <w:rsid w:val="004D5B52"/>
    <w:rsid w:val="004D5B72"/>
    <w:rsid w:val="004D5E58"/>
    <w:rsid w:val="004D62B0"/>
    <w:rsid w:val="004D63B4"/>
    <w:rsid w:val="004D64CA"/>
    <w:rsid w:val="004D67B2"/>
    <w:rsid w:val="004D7367"/>
    <w:rsid w:val="004D7466"/>
    <w:rsid w:val="004D750B"/>
    <w:rsid w:val="004E00CB"/>
    <w:rsid w:val="004E01D9"/>
    <w:rsid w:val="004E07D3"/>
    <w:rsid w:val="004E0B30"/>
    <w:rsid w:val="004E1503"/>
    <w:rsid w:val="004E29EB"/>
    <w:rsid w:val="004E2AC0"/>
    <w:rsid w:val="004E2DF2"/>
    <w:rsid w:val="004E3044"/>
    <w:rsid w:val="004E30E8"/>
    <w:rsid w:val="004E3A11"/>
    <w:rsid w:val="004E3D81"/>
    <w:rsid w:val="004E3F93"/>
    <w:rsid w:val="004E41C6"/>
    <w:rsid w:val="004E4687"/>
    <w:rsid w:val="004E48D7"/>
    <w:rsid w:val="004E67B7"/>
    <w:rsid w:val="004E712A"/>
    <w:rsid w:val="004E7329"/>
    <w:rsid w:val="004E7638"/>
    <w:rsid w:val="004F0725"/>
    <w:rsid w:val="004F0C0E"/>
    <w:rsid w:val="004F1964"/>
    <w:rsid w:val="004F1B0C"/>
    <w:rsid w:val="004F1EE0"/>
    <w:rsid w:val="004F23F2"/>
    <w:rsid w:val="004F24FD"/>
    <w:rsid w:val="004F2CB6"/>
    <w:rsid w:val="004F2F2D"/>
    <w:rsid w:val="004F367D"/>
    <w:rsid w:val="004F3C30"/>
    <w:rsid w:val="004F4002"/>
    <w:rsid w:val="004F41A5"/>
    <w:rsid w:val="004F4404"/>
    <w:rsid w:val="004F45FC"/>
    <w:rsid w:val="004F46C7"/>
    <w:rsid w:val="004F5983"/>
    <w:rsid w:val="004F5B70"/>
    <w:rsid w:val="004F63CA"/>
    <w:rsid w:val="004F6566"/>
    <w:rsid w:val="004F760D"/>
    <w:rsid w:val="004F7E6A"/>
    <w:rsid w:val="0050019C"/>
    <w:rsid w:val="0050074D"/>
    <w:rsid w:val="00500A26"/>
    <w:rsid w:val="00501C71"/>
    <w:rsid w:val="005031B6"/>
    <w:rsid w:val="005036BB"/>
    <w:rsid w:val="005037F5"/>
    <w:rsid w:val="0050409D"/>
    <w:rsid w:val="00504188"/>
    <w:rsid w:val="005043E4"/>
    <w:rsid w:val="00504CA0"/>
    <w:rsid w:val="005054A1"/>
    <w:rsid w:val="005055AB"/>
    <w:rsid w:val="00505766"/>
    <w:rsid w:val="005064AA"/>
    <w:rsid w:val="00506C83"/>
    <w:rsid w:val="00506E5B"/>
    <w:rsid w:val="0050705A"/>
    <w:rsid w:val="005071C2"/>
    <w:rsid w:val="00507472"/>
    <w:rsid w:val="0050751F"/>
    <w:rsid w:val="0050755D"/>
    <w:rsid w:val="00507A99"/>
    <w:rsid w:val="00510073"/>
    <w:rsid w:val="00510188"/>
    <w:rsid w:val="00510ADE"/>
    <w:rsid w:val="00511ABA"/>
    <w:rsid w:val="00511C7F"/>
    <w:rsid w:val="00511D16"/>
    <w:rsid w:val="00513B19"/>
    <w:rsid w:val="00513E1D"/>
    <w:rsid w:val="00514495"/>
    <w:rsid w:val="005148EC"/>
    <w:rsid w:val="00514B94"/>
    <w:rsid w:val="00515078"/>
    <w:rsid w:val="005150AF"/>
    <w:rsid w:val="0051592C"/>
    <w:rsid w:val="00516915"/>
    <w:rsid w:val="00516A1F"/>
    <w:rsid w:val="00517451"/>
    <w:rsid w:val="00517759"/>
    <w:rsid w:val="005201D8"/>
    <w:rsid w:val="00520854"/>
    <w:rsid w:val="00520A76"/>
    <w:rsid w:val="00520BAB"/>
    <w:rsid w:val="005211DD"/>
    <w:rsid w:val="00521380"/>
    <w:rsid w:val="005215D1"/>
    <w:rsid w:val="00521B8B"/>
    <w:rsid w:val="00521E6C"/>
    <w:rsid w:val="005222E7"/>
    <w:rsid w:val="005227E9"/>
    <w:rsid w:val="00522980"/>
    <w:rsid w:val="005230DC"/>
    <w:rsid w:val="005234D0"/>
    <w:rsid w:val="00523923"/>
    <w:rsid w:val="00523C02"/>
    <w:rsid w:val="00523C8B"/>
    <w:rsid w:val="005240BA"/>
    <w:rsid w:val="00524456"/>
    <w:rsid w:val="00524644"/>
    <w:rsid w:val="005249F8"/>
    <w:rsid w:val="00524A4E"/>
    <w:rsid w:val="00524BA4"/>
    <w:rsid w:val="005250AA"/>
    <w:rsid w:val="00525453"/>
    <w:rsid w:val="00526082"/>
    <w:rsid w:val="0052608E"/>
    <w:rsid w:val="00526476"/>
    <w:rsid w:val="005269F3"/>
    <w:rsid w:val="00526BA7"/>
    <w:rsid w:val="00526EF0"/>
    <w:rsid w:val="00526F93"/>
    <w:rsid w:val="005274F6"/>
    <w:rsid w:val="005274FD"/>
    <w:rsid w:val="00527ED2"/>
    <w:rsid w:val="005301A0"/>
    <w:rsid w:val="00530BCD"/>
    <w:rsid w:val="00530F0D"/>
    <w:rsid w:val="005314B9"/>
    <w:rsid w:val="00531EE6"/>
    <w:rsid w:val="00531F30"/>
    <w:rsid w:val="00531FF2"/>
    <w:rsid w:val="00533AE8"/>
    <w:rsid w:val="00533D8C"/>
    <w:rsid w:val="005341FA"/>
    <w:rsid w:val="00534CF6"/>
    <w:rsid w:val="00534E12"/>
    <w:rsid w:val="0053568C"/>
    <w:rsid w:val="0053593A"/>
    <w:rsid w:val="00535B24"/>
    <w:rsid w:val="005368D4"/>
    <w:rsid w:val="005376A1"/>
    <w:rsid w:val="00537730"/>
    <w:rsid w:val="00537AD6"/>
    <w:rsid w:val="005401F3"/>
    <w:rsid w:val="00540ED9"/>
    <w:rsid w:val="005412AE"/>
    <w:rsid w:val="00541F02"/>
    <w:rsid w:val="0054204A"/>
    <w:rsid w:val="005421E7"/>
    <w:rsid w:val="00542D44"/>
    <w:rsid w:val="005434CF"/>
    <w:rsid w:val="00543912"/>
    <w:rsid w:val="00543ECC"/>
    <w:rsid w:val="00543FB1"/>
    <w:rsid w:val="005448E0"/>
    <w:rsid w:val="00545A37"/>
    <w:rsid w:val="00545F9C"/>
    <w:rsid w:val="00546007"/>
    <w:rsid w:val="0054606F"/>
    <w:rsid w:val="00546FB8"/>
    <w:rsid w:val="005471BD"/>
    <w:rsid w:val="005471CB"/>
    <w:rsid w:val="005472A7"/>
    <w:rsid w:val="005475C8"/>
    <w:rsid w:val="00547963"/>
    <w:rsid w:val="00547B30"/>
    <w:rsid w:val="00547D36"/>
    <w:rsid w:val="00550273"/>
    <w:rsid w:val="0055065D"/>
    <w:rsid w:val="005507A8"/>
    <w:rsid w:val="005513CF"/>
    <w:rsid w:val="00551432"/>
    <w:rsid w:val="0055182F"/>
    <w:rsid w:val="00551D4C"/>
    <w:rsid w:val="00551DA2"/>
    <w:rsid w:val="00552255"/>
    <w:rsid w:val="00552526"/>
    <w:rsid w:val="00552773"/>
    <w:rsid w:val="0055278B"/>
    <w:rsid w:val="00553CC9"/>
    <w:rsid w:val="00553CF4"/>
    <w:rsid w:val="00554140"/>
    <w:rsid w:val="00554578"/>
    <w:rsid w:val="0055474C"/>
    <w:rsid w:val="00554D1B"/>
    <w:rsid w:val="005553F4"/>
    <w:rsid w:val="0055646B"/>
    <w:rsid w:val="00556FEB"/>
    <w:rsid w:val="0055752D"/>
    <w:rsid w:val="00557B23"/>
    <w:rsid w:val="00557BA3"/>
    <w:rsid w:val="00557ED5"/>
    <w:rsid w:val="005603AD"/>
    <w:rsid w:val="005607A4"/>
    <w:rsid w:val="005608AB"/>
    <w:rsid w:val="005611EE"/>
    <w:rsid w:val="00561591"/>
    <w:rsid w:val="00561A8D"/>
    <w:rsid w:val="00562892"/>
    <w:rsid w:val="00563439"/>
    <w:rsid w:val="00563D22"/>
    <w:rsid w:val="00563E7E"/>
    <w:rsid w:val="005648BF"/>
    <w:rsid w:val="00564B0F"/>
    <w:rsid w:val="00564D41"/>
    <w:rsid w:val="005650C1"/>
    <w:rsid w:val="00565281"/>
    <w:rsid w:val="00565C58"/>
    <w:rsid w:val="0056614A"/>
    <w:rsid w:val="00566520"/>
    <w:rsid w:val="00566776"/>
    <w:rsid w:val="0056728D"/>
    <w:rsid w:val="00567337"/>
    <w:rsid w:val="005676BB"/>
    <w:rsid w:val="00567821"/>
    <w:rsid w:val="00567BEE"/>
    <w:rsid w:val="00567D85"/>
    <w:rsid w:val="00570053"/>
    <w:rsid w:val="00570333"/>
    <w:rsid w:val="00570E31"/>
    <w:rsid w:val="00570F05"/>
    <w:rsid w:val="0057108C"/>
    <w:rsid w:val="00571820"/>
    <w:rsid w:val="005728AD"/>
    <w:rsid w:val="00572E96"/>
    <w:rsid w:val="0057362A"/>
    <w:rsid w:val="00573868"/>
    <w:rsid w:val="00573D1A"/>
    <w:rsid w:val="00574010"/>
    <w:rsid w:val="005748EB"/>
    <w:rsid w:val="00574B7D"/>
    <w:rsid w:val="00574D2E"/>
    <w:rsid w:val="00575099"/>
    <w:rsid w:val="00575682"/>
    <w:rsid w:val="00575A7C"/>
    <w:rsid w:val="00577661"/>
    <w:rsid w:val="00577BA3"/>
    <w:rsid w:val="0058074B"/>
    <w:rsid w:val="00580B3B"/>
    <w:rsid w:val="00581D1E"/>
    <w:rsid w:val="00582139"/>
    <w:rsid w:val="00582BC7"/>
    <w:rsid w:val="005830BE"/>
    <w:rsid w:val="005832B0"/>
    <w:rsid w:val="0058333C"/>
    <w:rsid w:val="0058346C"/>
    <w:rsid w:val="00583EFD"/>
    <w:rsid w:val="00584332"/>
    <w:rsid w:val="005846A8"/>
    <w:rsid w:val="005848FE"/>
    <w:rsid w:val="00584A82"/>
    <w:rsid w:val="00584AA4"/>
    <w:rsid w:val="00585793"/>
    <w:rsid w:val="00586C56"/>
    <w:rsid w:val="00586F91"/>
    <w:rsid w:val="00586FE2"/>
    <w:rsid w:val="005877B6"/>
    <w:rsid w:val="005878B3"/>
    <w:rsid w:val="00587A8D"/>
    <w:rsid w:val="005905B9"/>
    <w:rsid w:val="005905F8"/>
    <w:rsid w:val="0059078E"/>
    <w:rsid w:val="00590A76"/>
    <w:rsid w:val="00590A98"/>
    <w:rsid w:val="00590B38"/>
    <w:rsid w:val="0059127A"/>
    <w:rsid w:val="0059163F"/>
    <w:rsid w:val="00591CC9"/>
    <w:rsid w:val="005924C0"/>
    <w:rsid w:val="0059334A"/>
    <w:rsid w:val="005936BF"/>
    <w:rsid w:val="005941AA"/>
    <w:rsid w:val="00594442"/>
    <w:rsid w:val="005958F6"/>
    <w:rsid w:val="0059621F"/>
    <w:rsid w:val="00596A82"/>
    <w:rsid w:val="0059746E"/>
    <w:rsid w:val="00597B5A"/>
    <w:rsid w:val="00597D7A"/>
    <w:rsid w:val="005A0239"/>
    <w:rsid w:val="005A08D4"/>
    <w:rsid w:val="005A0B04"/>
    <w:rsid w:val="005A0B11"/>
    <w:rsid w:val="005A2760"/>
    <w:rsid w:val="005A2F79"/>
    <w:rsid w:val="005A34B7"/>
    <w:rsid w:val="005A3BA3"/>
    <w:rsid w:val="005A45A6"/>
    <w:rsid w:val="005A492E"/>
    <w:rsid w:val="005A54C8"/>
    <w:rsid w:val="005A5782"/>
    <w:rsid w:val="005A5FDA"/>
    <w:rsid w:val="005A6879"/>
    <w:rsid w:val="005B0596"/>
    <w:rsid w:val="005B07FB"/>
    <w:rsid w:val="005B124A"/>
    <w:rsid w:val="005B1290"/>
    <w:rsid w:val="005B173E"/>
    <w:rsid w:val="005B2438"/>
    <w:rsid w:val="005B290B"/>
    <w:rsid w:val="005B2A02"/>
    <w:rsid w:val="005B31FF"/>
    <w:rsid w:val="005B3567"/>
    <w:rsid w:val="005B35FB"/>
    <w:rsid w:val="005B4987"/>
    <w:rsid w:val="005B49A8"/>
    <w:rsid w:val="005B4B01"/>
    <w:rsid w:val="005B50BA"/>
    <w:rsid w:val="005B5535"/>
    <w:rsid w:val="005B583F"/>
    <w:rsid w:val="005B5F6C"/>
    <w:rsid w:val="005B6D4C"/>
    <w:rsid w:val="005B73F7"/>
    <w:rsid w:val="005B7409"/>
    <w:rsid w:val="005B762D"/>
    <w:rsid w:val="005B7A43"/>
    <w:rsid w:val="005C0020"/>
    <w:rsid w:val="005C034B"/>
    <w:rsid w:val="005C04EE"/>
    <w:rsid w:val="005C14B7"/>
    <w:rsid w:val="005C18BA"/>
    <w:rsid w:val="005C28C7"/>
    <w:rsid w:val="005C42CB"/>
    <w:rsid w:val="005C436B"/>
    <w:rsid w:val="005C5C32"/>
    <w:rsid w:val="005C5E29"/>
    <w:rsid w:val="005C619B"/>
    <w:rsid w:val="005C63F8"/>
    <w:rsid w:val="005C6464"/>
    <w:rsid w:val="005C6A9E"/>
    <w:rsid w:val="005C6BB6"/>
    <w:rsid w:val="005C75B0"/>
    <w:rsid w:val="005D02C3"/>
    <w:rsid w:val="005D1396"/>
    <w:rsid w:val="005D1B25"/>
    <w:rsid w:val="005D2742"/>
    <w:rsid w:val="005D29F3"/>
    <w:rsid w:val="005D2A19"/>
    <w:rsid w:val="005D2E20"/>
    <w:rsid w:val="005D33B7"/>
    <w:rsid w:val="005D3AA2"/>
    <w:rsid w:val="005D418E"/>
    <w:rsid w:val="005D48FF"/>
    <w:rsid w:val="005D4CAD"/>
    <w:rsid w:val="005D4D7F"/>
    <w:rsid w:val="005D55B2"/>
    <w:rsid w:val="005D6013"/>
    <w:rsid w:val="005D65D0"/>
    <w:rsid w:val="005D7AF2"/>
    <w:rsid w:val="005E2200"/>
    <w:rsid w:val="005E2A10"/>
    <w:rsid w:val="005E3054"/>
    <w:rsid w:val="005E4BB8"/>
    <w:rsid w:val="005E4EE2"/>
    <w:rsid w:val="005E571B"/>
    <w:rsid w:val="005E5E19"/>
    <w:rsid w:val="005E69C8"/>
    <w:rsid w:val="005E6C94"/>
    <w:rsid w:val="005E6FCC"/>
    <w:rsid w:val="005E794C"/>
    <w:rsid w:val="005E7D8D"/>
    <w:rsid w:val="005E7F17"/>
    <w:rsid w:val="005F042D"/>
    <w:rsid w:val="005F1051"/>
    <w:rsid w:val="005F1B71"/>
    <w:rsid w:val="005F24CB"/>
    <w:rsid w:val="005F2AA7"/>
    <w:rsid w:val="005F2F93"/>
    <w:rsid w:val="005F3507"/>
    <w:rsid w:val="005F485E"/>
    <w:rsid w:val="005F4CED"/>
    <w:rsid w:val="005F4DAD"/>
    <w:rsid w:val="005F5283"/>
    <w:rsid w:val="005F5320"/>
    <w:rsid w:val="005F559C"/>
    <w:rsid w:val="005F5B37"/>
    <w:rsid w:val="005F5D05"/>
    <w:rsid w:val="005F6468"/>
    <w:rsid w:val="005F6ACB"/>
    <w:rsid w:val="005F71B0"/>
    <w:rsid w:val="005F73C4"/>
    <w:rsid w:val="00600379"/>
    <w:rsid w:val="00600855"/>
    <w:rsid w:val="00600CFA"/>
    <w:rsid w:val="00601FA1"/>
    <w:rsid w:val="006025ED"/>
    <w:rsid w:val="006037B2"/>
    <w:rsid w:val="00603CDE"/>
    <w:rsid w:val="006040B4"/>
    <w:rsid w:val="006041FD"/>
    <w:rsid w:val="006043CF"/>
    <w:rsid w:val="0060488B"/>
    <w:rsid w:val="00604A4F"/>
    <w:rsid w:val="0060625A"/>
    <w:rsid w:val="00606E28"/>
    <w:rsid w:val="00606E5C"/>
    <w:rsid w:val="00606E7A"/>
    <w:rsid w:val="0060740B"/>
    <w:rsid w:val="0060779A"/>
    <w:rsid w:val="00610550"/>
    <w:rsid w:val="006107D1"/>
    <w:rsid w:val="0061157E"/>
    <w:rsid w:val="00612B47"/>
    <w:rsid w:val="00612EAA"/>
    <w:rsid w:val="0061302E"/>
    <w:rsid w:val="00613491"/>
    <w:rsid w:val="00613D54"/>
    <w:rsid w:val="00614AC8"/>
    <w:rsid w:val="0061533C"/>
    <w:rsid w:val="00615756"/>
    <w:rsid w:val="00615B45"/>
    <w:rsid w:val="0061619D"/>
    <w:rsid w:val="006161D0"/>
    <w:rsid w:val="006164DC"/>
    <w:rsid w:val="0061692C"/>
    <w:rsid w:val="00616E12"/>
    <w:rsid w:val="00616E60"/>
    <w:rsid w:val="0061725B"/>
    <w:rsid w:val="00617CAC"/>
    <w:rsid w:val="00617EA0"/>
    <w:rsid w:val="00620DFF"/>
    <w:rsid w:val="006214EE"/>
    <w:rsid w:val="00622741"/>
    <w:rsid w:val="00623029"/>
    <w:rsid w:val="006232D0"/>
    <w:rsid w:val="00623BFC"/>
    <w:rsid w:val="00623CF0"/>
    <w:rsid w:val="006246AE"/>
    <w:rsid w:val="00624AF1"/>
    <w:rsid w:val="006257B0"/>
    <w:rsid w:val="0062586A"/>
    <w:rsid w:val="006258EB"/>
    <w:rsid w:val="0062602F"/>
    <w:rsid w:val="006263C4"/>
    <w:rsid w:val="00626D13"/>
    <w:rsid w:val="00627B2A"/>
    <w:rsid w:val="00630389"/>
    <w:rsid w:val="00631DBD"/>
    <w:rsid w:val="00631DFA"/>
    <w:rsid w:val="00632094"/>
    <w:rsid w:val="00632B4B"/>
    <w:rsid w:val="006339BD"/>
    <w:rsid w:val="00634B02"/>
    <w:rsid w:val="00634B53"/>
    <w:rsid w:val="00635146"/>
    <w:rsid w:val="00635F4E"/>
    <w:rsid w:val="00635FD5"/>
    <w:rsid w:val="00636879"/>
    <w:rsid w:val="00636AF2"/>
    <w:rsid w:val="00636B49"/>
    <w:rsid w:val="00637642"/>
    <w:rsid w:val="00640493"/>
    <w:rsid w:val="00640969"/>
    <w:rsid w:val="00640A16"/>
    <w:rsid w:val="00640C1B"/>
    <w:rsid w:val="006412DE"/>
    <w:rsid w:val="00641891"/>
    <w:rsid w:val="00641B2F"/>
    <w:rsid w:val="006427FA"/>
    <w:rsid w:val="00642865"/>
    <w:rsid w:val="00642DDB"/>
    <w:rsid w:val="00643570"/>
    <w:rsid w:val="00643594"/>
    <w:rsid w:val="00643983"/>
    <w:rsid w:val="00644441"/>
    <w:rsid w:val="0064589A"/>
    <w:rsid w:val="00645EAA"/>
    <w:rsid w:val="00646019"/>
    <w:rsid w:val="006468C9"/>
    <w:rsid w:val="00646A81"/>
    <w:rsid w:val="00646E7C"/>
    <w:rsid w:val="00646F87"/>
    <w:rsid w:val="00646FE1"/>
    <w:rsid w:val="00647830"/>
    <w:rsid w:val="00647D0C"/>
    <w:rsid w:val="00647FF8"/>
    <w:rsid w:val="00650681"/>
    <w:rsid w:val="0065071F"/>
    <w:rsid w:val="00650C02"/>
    <w:rsid w:val="00650F71"/>
    <w:rsid w:val="00651EA0"/>
    <w:rsid w:val="00652CDB"/>
    <w:rsid w:val="00652EE7"/>
    <w:rsid w:val="006531A6"/>
    <w:rsid w:val="006537B3"/>
    <w:rsid w:val="00654295"/>
    <w:rsid w:val="00654309"/>
    <w:rsid w:val="00654461"/>
    <w:rsid w:val="006549C1"/>
    <w:rsid w:val="00655176"/>
    <w:rsid w:val="00656FEF"/>
    <w:rsid w:val="0065730C"/>
    <w:rsid w:val="006575C0"/>
    <w:rsid w:val="00657609"/>
    <w:rsid w:val="006576D3"/>
    <w:rsid w:val="006577C6"/>
    <w:rsid w:val="00657846"/>
    <w:rsid w:val="00657903"/>
    <w:rsid w:val="00657B70"/>
    <w:rsid w:val="00657DA2"/>
    <w:rsid w:val="006605C1"/>
    <w:rsid w:val="00660713"/>
    <w:rsid w:val="006609AA"/>
    <w:rsid w:val="00660DBB"/>
    <w:rsid w:val="00661C05"/>
    <w:rsid w:val="0066257A"/>
    <w:rsid w:val="00663595"/>
    <w:rsid w:val="00663A16"/>
    <w:rsid w:val="00663A8F"/>
    <w:rsid w:val="00663C7D"/>
    <w:rsid w:val="00663DCC"/>
    <w:rsid w:val="00663E14"/>
    <w:rsid w:val="00663F3A"/>
    <w:rsid w:val="00663FFE"/>
    <w:rsid w:val="00664520"/>
    <w:rsid w:val="00664ED1"/>
    <w:rsid w:val="0066504C"/>
    <w:rsid w:val="00665158"/>
    <w:rsid w:val="00665354"/>
    <w:rsid w:val="00666EB8"/>
    <w:rsid w:val="00667C0D"/>
    <w:rsid w:val="00670075"/>
    <w:rsid w:val="0067093B"/>
    <w:rsid w:val="00670B10"/>
    <w:rsid w:val="00670C03"/>
    <w:rsid w:val="00670F14"/>
    <w:rsid w:val="00671447"/>
    <w:rsid w:val="006718E4"/>
    <w:rsid w:val="006718F5"/>
    <w:rsid w:val="00671957"/>
    <w:rsid w:val="00671CEC"/>
    <w:rsid w:val="00672609"/>
    <w:rsid w:val="00673416"/>
    <w:rsid w:val="00673BAB"/>
    <w:rsid w:val="00674125"/>
    <w:rsid w:val="00674A64"/>
    <w:rsid w:val="00675055"/>
    <w:rsid w:val="006753F0"/>
    <w:rsid w:val="0067570A"/>
    <w:rsid w:val="00675719"/>
    <w:rsid w:val="00675DC2"/>
    <w:rsid w:val="00676426"/>
    <w:rsid w:val="00677503"/>
    <w:rsid w:val="006802A7"/>
    <w:rsid w:val="006808F8"/>
    <w:rsid w:val="00680973"/>
    <w:rsid w:val="006809D4"/>
    <w:rsid w:val="00680C94"/>
    <w:rsid w:val="006831F6"/>
    <w:rsid w:val="00683558"/>
    <w:rsid w:val="00683A04"/>
    <w:rsid w:val="00683B4B"/>
    <w:rsid w:val="00684221"/>
    <w:rsid w:val="006857C4"/>
    <w:rsid w:val="00685C70"/>
    <w:rsid w:val="00685CCF"/>
    <w:rsid w:val="006860EF"/>
    <w:rsid w:val="006863F9"/>
    <w:rsid w:val="00686C4F"/>
    <w:rsid w:val="00687047"/>
    <w:rsid w:val="0068728C"/>
    <w:rsid w:val="006874E8"/>
    <w:rsid w:val="0068769A"/>
    <w:rsid w:val="006876A0"/>
    <w:rsid w:val="00687CA6"/>
    <w:rsid w:val="00690236"/>
    <w:rsid w:val="0069029A"/>
    <w:rsid w:val="006908BF"/>
    <w:rsid w:val="006909BB"/>
    <w:rsid w:val="00690DDC"/>
    <w:rsid w:val="0069106F"/>
    <w:rsid w:val="00691614"/>
    <w:rsid w:val="00691706"/>
    <w:rsid w:val="0069223C"/>
    <w:rsid w:val="0069287D"/>
    <w:rsid w:val="006932AD"/>
    <w:rsid w:val="006935E2"/>
    <w:rsid w:val="00693C65"/>
    <w:rsid w:val="00693F2F"/>
    <w:rsid w:val="006947BE"/>
    <w:rsid w:val="00695403"/>
    <w:rsid w:val="0069555E"/>
    <w:rsid w:val="006966E4"/>
    <w:rsid w:val="0069695A"/>
    <w:rsid w:val="00697C9E"/>
    <w:rsid w:val="006A01BB"/>
    <w:rsid w:val="006A1C60"/>
    <w:rsid w:val="006A1C6F"/>
    <w:rsid w:val="006A1CBD"/>
    <w:rsid w:val="006A25D2"/>
    <w:rsid w:val="006A30B6"/>
    <w:rsid w:val="006A3257"/>
    <w:rsid w:val="006A3858"/>
    <w:rsid w:val="006A3CEA"/>
    <w:rsid w:val="006A4454"/>
    <w:rsid w:val="006A46BA"/>
    <w:rsid w:val="006A50ED"/>
    <w:rsid w:val="006A51EE"/>
    <w:rsid w:val="006A58FC"/>
    <w:rsid w:val="006A61DB"/>
    <w:rsid w:val="006A6355"/>
    <w:rsid w:val="006A6C62"/>
    <w:rsid w:val="006A7260"/>
    <w:rsid w:val="006A739E"/>
    <w:rsid w:val="006A748E"/>
    <w:rsid w:val="006A74AC"/>
    <w:rsid w:val="006A7AFB"/>
    <w:rsid w:val="006A7BDF"/>
    <w:rsid w:val="006A7F0F"/>
    <w:rsid w:val="006B02F9"/>
    <w:rsid w:val="006B089A"/>
    <w:rsid w:val="006B0ACD"/>
    <w:rsid w:val="006B0E89"/>
    <w:rsid w:val="006B144F"/>
    <w:rsid w:val="006B284F"/>
    <w:rsid w:val="006B300E"/>
    <w:rsid w:val="006B351A"/>
    <w:rsid w:val="006B362D"/>
    <w:rsid w:val="006B60C2"/>
    <w:rsid w:val="006B6EB7"/>
    <w:rsid w:val="006B7CE6"/>
    <w:rsid w:val="006B7EC7"/>
    <w:rsid w:val="006B7FDD"/>
    <w:rsid w:val="006C05F8"/>
    <w:rsid w:val="006C0E4E"/>
    <w:rsid w:val="006C0FE7"/>
    <w:rsid w:val="006C18AA"/>
    <w:rsid w:val="006C1D63"/>
    <w:rsid w:val="006C375B"/>
    <w:rsid w:val="006C38E9"/>
    <w:rsid w:val="006C5160"/>
    <w:rsid w:val="006C570E"/>
    <w:rsid w:val="006C5792"/>
    <w:rsid w:val="006C5F87"/>
    <w:rsid w:val="006C6B81"/>
    <w:rsid w:val="006C6C01"/>
    <w:rsid w:val="006C793D"/>
    <w:rsid w:val="006C7989"/>
    <w:rsid w:val="006D1483"/>
    <w:rsid w:val="006D1BF5"/>
    <w:rsid w:val="006D1EBF"/>
    <w:rsid w:val="006D2048"/>
    <w:rsid w:val="006D2B98"/>
    <w:rsid w:val="006D2F66"/>
    <w:rsid w:val="006D3EB4"/>
    <w:rsid w:val="006D4096"/>
    <w:rsid w:val="006D4DE2"/>
    <w:rsid w:val="006D5093"/>
    <w:rsid w:val="006D50B0"/>
    <w:rsid w:val="006D609D"/>
    <w:rsid w:val="006D7247"/>
    <w:rsid w:val="006D766D"/>
    <w:rsid w:val="006D7BE7"/>
    <w:rsid w:val="006E0154"/>
    <w:rsid w:val="006E0D3C"/>
    <w:rsid w:val="006E0F37"/>
    <w:rsid w:val="006E186D"/>
    <w:rsid w:val="006E203C"/>
    <w:rsid w:val="006E2A2A"/>
    <w:rsid w:val="006E36EB"/>
    <w:rsid w:val="006E3798"/>
    <w:rsid w:val="006E4410"/>
    <w:rsid w:val="006E4B90"/>
    <w:rsid w:val="006E4BD6"/>
    <w:rsid w:val="006E72DF"/>
    <w:rsid w:val="006E74F8"/>
    <w:rsid w:val="006E76E7"/>
    <w:rsid w:val="006E77A0"/>
    <w:rsid w:val="006E7FC7"/>
    <w:rsid w:val="006F01DB"/>
    <w:rsid w:val="006F070C"/>
    <w:rsid w:val="006F11D7"/>
    <w:rsid w:val="006F122F"/>
    <w:rsid w:val="006F2525"/>
    <w:rsid w:val="006F340B"/>
    <w:rsid w:val="006F3B71"/>
    <w:rsid w:val="006F4770"/>
    <w:rsid w:val="006F47AC"/>
    <w:rsid w:val="006F48A4"/>
    <w:rsid w:val="006F498B"/>
    <w:rsid w:val="006F4B2E"/>
    <w:rsid w:val="006F4F05"/>
    <w:rsid w:val="006F4FB9"/>
    <w:rsid w:val="006F5237"/>
    <w:rsid w:val="006F5448"/>
    <w:rsid w:val="006F5563"/>
    <w:rsid w:val="006F5809"/>
    <w:rsid w:val="006F5BC3"/>
    <w:rsid w:val="006F5ED2"/>
    <w:rsid w:val="006F62A9"/>
    <w:rsid w:val="006F65B1"/>
    <w:rsid w:val="006F6D06"/>
    <w:rsid w:val="006F7194"/>
    <w:rsid w:val="006F7D52"/>
    <w:rsid w:val="00700337"/>
    <w:rsid w:val="00700357"/>
    <w:rsid w:val="00700BC0"/>
    <w:rsid w:val="00700D58"/>
    <w:rsid w:val="00700DB8"/>
    <w:rsid w:val="00701330"/>
    <w:rsid w:val="00701910"/>
    <w:rsid w:val="00701DC8"/>
    <w:rsid w:val="00702356"/>
    <w:rsid w:val="007024EA"/>
    <w:rsid w:val="007025BD"/>
    <w:rsid w:val="00702D52"/>
    <w:rsid w:val="00703710"/>
    <w:rsid w:val="00704071"/>
    <w:rsid w:val="007041ED"/>
    <w:rsid w:val="00704339"/>
    <w:rsid w:val="0070455A"/>
    <w:rsid w:val="007049E8"/>
    <w:rsid w:val="00704B15"/>
    <w:rsid w:val="00705064"/>
    <w:rsid w:val="0070534B"/>
    <w:rsid w:val="00706725"/>
    <w:rsid w:val="007067DA"/>
    <w:rsid w:val="007067F6"/>
    <w:rsid w:val="00706E98"/>
    <w:rsid w:val="007079C8"/>
    <w:rsid w:val="00707C3A"/>
    <w:rsid w:val="00707E58"/>
    <w:rsid w:val="007102E6"/>
    <w:rsid w:val="007103C1"/>
    <w:rsid w:val="007103E7"/>
    <w:rsid w:val="007104E3"/>
    <w:rsid w:val="00710C8D"/>
    <w:rsid w:val="0071112D"/>
    <w:rsid w:val="00711DA7"/>
    <w:rsid w:val="00711F63"/>
    <w:rsid w:val="00711F74"/>
    <w:rsid w:val="00711FDE"/>
    <w:rsid w:val="00712508"/>
    <w:rsid w:val="00712AC9"/>
    <w:rsid w:val="00712D2A"/>
    <w:rsid w:val="007136A9"/>
    <w:rsid w:val="00713A56"/>
    <w:rsid w:val="00714A04"/>
    <w:rsid w:val="00714A63"/>
    <w:rsid w:val="00715112"/>
    <w:rsid w:val="00715751"/>
    <w:rsid w:val="0071577B"/>
    <w:rsid w:val="00715CDC"/>
    <w:rsid w:val="00716D7A"/>
    <w:rsid w:val="00717428"/>
    <w:rsid w:val="007176A3"/>
    <w:rsid w:val="007177CE"/>
    <w:rsid w:val="00717C10"/>
    <w:rsid w:val="00720035"/>
    <w:rsid w:val="0072025F"/>
    <w:rsid w:val="00720759"/>
    <w:rsid w:val="0072075B"/>
    <w:rsid w:val="00720EED"/>
    <w:rsid w:val="00721189"/>
    <w:rsid w:val="007212B9"/>
    <w:rsid w:val="0072144D"/>
    <w:rsid w:val="00721738"/>
    <w:rsid w:val="00721BA8"/>
    <w:rsid w:val="00721E08"/>
    <w:rsid w:val="00722091"/>
    <w:rsid w:val="0072229B"/>
    <w:rsid w:val="007237CD"/>
    <w:rsid w:val="00723B8B"/>
    <w:rsid w:val="00724029"/>
    <w:rsid w:val="007241B7"/>
    <w:rsid w:val="0072467E"/>
    <w:rsid w:val="00724795"/>
    <w:rsid w:val="0072584E"/>
    <w:rsid w:val="00725D0D"/>
    <w:rsid w:val="00726353"/>
    <w:rsid w:val="00726406"/>
    <w:rsid w:val="00726C37"/>
    <w:rsid w:val="00727151"/>
    <w:rsid w:val="0072790B"/>
    <w:rsid w:val="00727E5E"/>
    <w:rsid w:val="00730222"/>
    <w:rsid w:val="007307AF"/>
    <w:rsid w:val="0073088E"/>
    <w:rsid w:val="0073098B"/>
    <w:rsid w:val="007312E1"/>
    <w:rsid w:val="007319AB"/>
    <w:rsid w:val="007322E0"/>
    <w:rsid w:val="007329F2"/>
    <w:rsid w:val="00732BB9"/>
    <w:rsid w:val="00733304"/>
    <w:rsid w:val="00733B40"/>
    <w:rsid w:val="00733E88"/>
    <w:rsid w:val="00734886"/>
    <w:rsid w:val="00735105"/>
    <w:rsid w:val="00735AB9"/>
    <w:rsid w:val="00736008"/>
    <w:rsid w:val="007366EA"/>
    <w:rsid w:val="0073684C"/>
    <w:rsid w:val="007369E1"/>
    <w:rsid w:val="007370C2"/>
    <w:rsid w:val="007371EE"/>
    <w:rsid w:val="0073747E"/>
    <w:rsid w:val="0073777C"/>
    <w:rsid w:val="00737826"/>
    <w:rsid w:val="00737D09"/>
    <w:rsid w:val="00737EEC"/>
    <w:rsid w:val="00740C93"/>
    <w:rsid w:val="00741205"/>
    <w:rsid w:val="00741BEE"/>
    <w:rsid w:val="007424D0"/>
    <w:rsid w:val="00743EFA"/>
    <w:rsid w:val="007444CE"/>
    <w:rsid w:val="007447E6"/>
    <w:rsid w:val="0074504A"/>
    <w:rsid w:val="00745461"/>
    <w:rsid w:val="0074565E"/>
    <w:rsid w:val="0074577F"/>
    <w:rsid w:val="007459C2"/>
    <w:rsid w:val="00745C0E"/>
    <w:rsid w:val="00745E38"/>
    <w:rsid w:val="00746174"/>
    <w:rsid w:val="00746338"/>
    <w:rsid w:val="007465FC"/>
    <w:rsid w:val="007500BC"/>
    <w:rsid w:val="00750455"/>
    <w:rsid w:val="00751300"/>
    <w:rsid w:val="00751627"/>
    <w:rsid w:val="00751D11"/>
    <w:rsid w:val="00751DC0"/>
    <w:rsid w:val="007525F7"/>
    <w:rsid w:val="007528B6"/>
    <w:rsid w:val="00753887"/>
    <w:rsid w:val="00753C7B"/>
    <w:rsid w:val="00753C8E"/>
    <w:rsid w:val="007540EE"/>
    <w:rsid w:val="00755D49"/>
    <w:rsid w:val="00755D94"/>
    <w:rsid w:val="00756969"/>
    <w:rsid w:val="00756E48"/>
    <w:rsid w:val="007571CD"/>
    <w:rsid w:val="0075756B"/>
    <w:rsid w:val="007577C5"/>
    <w:rsid w:val="00757B99"/>
    <w:rsid w:val="00757C3F"/>
    <w:rsid w:val="00760506"/>
    <w:rsid w:val="0076060C"/>
    <w:rsid w:val="00762239"/>
    <w:rsid w:val="00763230"/>
    <w:rsid w:val="00764618"/>
    <w:rsid w:val="00764CD8"/>
    <w:rsid w:val="007656FE"/>
    <w:rsid w:val="007659BD"/>
    <w:rsid w:val="00765CA5"/>
    <w:rsid w:val="00765D09"/>
    <w:rsid w:val="00766114"/>
    <w:rsid w:val="00766323"/>
    <w:rsid w:val="00766615"/>
    <w:rsid w:val="007669F3"/>
    <w:rsid w:val="00767390"/>
    <w:rsid w:val="007679B8"/>
    <w:rsid w:val="00767C89"/>
    <w:rsid w:val="00767F25"/>
    <w:rsid w:val="00770F24"/>
    <w:rsid w:val="00771FF3"/>
    <w:rsid w:val="00772344"/>
    <w:rsid w:val="007724A4"/>
    <w:rsid w:val="00772D7F"/>
    <w:rsid w:val="00773246"/>
    <w:rsid w:val="007740BE"/>
    <w:rsid w:val="007742F2"/>
    <w:rsid w:val="00775311"/>
    <w:rsid w:val="0077532B"/>
    <w:rsid w:val="00775A2A"/>
    <w:rsid w:val="00775CA2"/>
    <w:rsid w:val="00775CDA"/>
    <w:rsid w:val="00776DFA"/>
    <w:rsid w:val="00777C65"/>
    <w:rsid w:val="00777C97"/>
    <w:rsid w:val="00777EAE"/>
    <w:rsid w:val="00780271"/>
    <w:rsid w:val="00780347"/>
    <w:rsid w:val="00780720"/>
    <w:rsid w:val="007811D9"/>
    <w:rsid w:val="007816CD"/>
    <w:rsid w:val="00782A09"/>
    <w:rsid w:val="00782D47"/>
    <w:rsid w:val="00783A83"/>
    <w:rsid w:val="0078434A"/>
    <w:rsid w:val="00784A11"/>
    <w:rsid w:val="00784A8B"/>
    <w:rsid w:val="007852C3"/>
    <w:rsid w:val="0078560D"/>
    <w:rsid w:val="00785D08"/>
    <w:rsid w:val="00785F65"/>
    <w:rsid w:val="00786023"/>
    <w:rsid w:val="007860BF"/>
    <w:rsid w:val="007863D9"/>
    <w:rsid w:val="00786601"/>
    <w:rsid w:val="00786CB7"/>
    <w:rsid w:val="00786E7F"/>
    <w:rsid w:val="00787838"/>
    <w:rsid w:val="00787DD6"/>
    <w:rsid w:val="00791788"/>
    <w:rsid w:val="00791C7A"/>
    <w:rsid w:val="00791D2A"/>
    <w:rsid w:val="00791D41"/>
    <w:rsid w:val="00792153"/>
    <w:rsid w:val="00792966"/>
    <w:rsid w:val="0079330B"/>
    <w:rsid w:val="00793FDD"/>
    <w:rsid w:val="00794463"/>
    <w:rsid w:val="00794540"/>
    <w:rsid w:val="0079460B"/>
    <w:rsid w:val="00794A10"/>
    <w:rsid w:val="00794A1E"/>
    <w:rsid w:val="0079536B"/>
    <w:rsid w:val="0079561C"/>
    <w:rsid w:val="00796181"/>
    <w:rsid w:val="00796236"/>
    <w:rsid w:val="007969BF"/>
    <w:rsid w:val="00796B9C"/>
    <w:rsid w:val="00797215"/>
    <w:rsid w:val="007A01FB"/>
    <w:rsid w:val="007A0227"/>
    <w:rsid w:val="007A0722"/>
    <w:rsid w:val="007A0918"/>
    <w:rsid w:val="007A0DB5"/>
    <w:rsid w:val="007A17FF"/>
    <w:rsid w:val="007A1CAD"/>
    <w:rsid w:val="007A2577"/>
    <w:rsid w:val="007A2AEF"/>
    <w:rsid w:val="007A2D1F"/>
    <w:rsid w:val="007A31E9"/>
    <w:rsid w:val="007A3B73"/>
    <w:rsid w:val="007A4408"/>
    <w:rsid w:val="007A4ED3"/>
    <w:rsid w:val="007A4FC9"/>
    <w:rsid w:val="007A5148"/>
    <w:rsid w:val="007A5151"/>
    <w:rsid w:val="007A515A"/>
    <w:rsid w:val="007A57EC"/>
    <w:rsid w:val="007A5CBB"/>
    <w:rsid w:val="007A5F33"/>
    <w:rsid w:val="007A5F8E"/>
    <w:rsid w:val="007A6FBD"/>
    <w:rsid w:val="007A7216"/>
    <w:rsid w:val="007A7715"/>
    <w:rsid w:val="007A77D4"/>
    <w:rsid w:val="007A7A83"/>
    <w:rsid w:val="007A7B23"/>
    <w:rsid w:val="007B1F1B"/>
    <w:rsid w:val="007B272E"/>
    <w:rsid w:val="007B32CE"/>
    <w:rsid w:val="007B3370"/>
    <w:rsid w:val="007B3671"/>
    <w:rsid w:val="007B3B2C"/>
    <w:rsid w:val="007B3C88"/>
    <w:rsid w:val="007B429E"/>
    <w:rsid w:val="007B44BD"/>
    <w:rsid w:val="007B4580"/>
    <w:rsid w:val="007B4618"/>
    <w:rsid w:val="007B4A92"/>
    <w:rsid w:val="007B4AB6"/>
    <w:rsid w:val="007B5474"/>
    <w:rsid w:val="007B55BD"/>
    <w:rsid w:val="007B567D"/>
    <w:rsid w:val="007B57DF"/>
    <w:rsid w:val="007C05D7"/>
    <w:rsid w:val="007C1CF9"/>
    <w:rsid w:val="007C2396"/>
    <w:rsid w:val="007C3907"/>
    <w:rsid w:val="007C47D0"/>
    <w:rsid w:val="007C4D31"/>
    <w:rsid w:val="007C50C6"/>
    <w:rsid w:val="007C54BF"/>
    <w:rsid w:val="007C56BF"/>
    <w:rsid w:val="007C56DD"/>
    <w:rsid w:val="007C58B8"/>
    <w:rsid w:val="007C6FA9"/>
    <w:rsid w:val="007C7577"/>
    <w:rsid w:val="007C7CC6"/>
    <w:rsid w:val="007C7E2A"/>
    <w:rsid w:val="007D023B"/>
    <w:rsid w:val="007D0B1A"/>
    <w:rsid w:val="007D0D22"/>
    <w:rsid w:val="007D10AC"/>
    <w:rsid w:val="007D1156"/>
    <w:rsid w:val="007D1D12"/>
    <w:rsid w:val="007D1E17"/>
    <w:rsid w:val="007D20F6"/>
    <w:rsid w:val="007D2753"/>
    <w:rsid w:val="007D29B3"/>
    <w:rsid w:val="007D2DA4"/>
    <w:rsid w:val="007D3125"/>
    <w:rsid w:val="007D3562"/>
    <w:rsid w:val="007D3588"/>
    <w:rsid w:val="007D3E57"/>
    <w:rsid w:val="007D3E90"/>
    <w:rsid w:val="007D47B0"/>
    <w:rsid w:val="007D4AAA"/>
    <w:rsid w:val="007D4F15"/>
    <w:rsid w:val="007D672F"/>
    <w:rsid w:val="007D67A9"/>
    <w:rsid w:val="007D716F"/>
    <w:rsid w:val="007D7708"/>
    <w:rsid w:val="007D7A06"/>
    <w:rsid w:val="007E03F7"/>
    <w:rsid w:val="007E0521"/>
    <w:rsid w:val="007E0533"/>
    <w:rsid w:val="007E05D1"/>
    <w:rsid w:val="007E0A63"/>
    <w:rsid w:val="007E2EC2"/>
    <w:rsid w:val="007E371C"/>
    <w:rsid w:val="007E4A65"/>
    <w:rsid w:val="007E4B3D"/>
    <w:rsid w:val="007E4E14"/>
    <w:rsid w:val="007E4EE0"/>
    <w:rsid w:val="007E53EA"/>
    <w:rsid w:val="007E54A5"/>
    <w:rsid w:val="007E5DA6"/>
    <w:rsid w:val="007E5FFB"/>
    <w:rsid w:val="007E61BA"/>
    <w:rsid w:val="007E6A99"/>
    <w:rsid w:val="007E7AB0"/>
    <w:rsid w:val="007F0E36"/>
    <w:rsid w:val="007F13BF"/>
    <w:rsid w:val="007F15CB"/>
    <w:rsid w:val="007F1A85"/>
    <w:rsid w:val="007F273B"/>
    <w:rsid w:val="007F2988"/>
    <w:rsid w:val="007F29D5"/>
    <w:rsid w:val="007F2BDD"/>
    <w:rsid w:val="007F324C"/>
    <w:rsid w:val="007F34F7"/>
    <w:rsid w:val="007F3A9C"/>
    <w:rsid w:val="007F3AB8"/>
    <w:rsid w:val="007F4273"/>
    <w:rsid w:val="007F48D4"/>
    <w:rsid w:val="007F5161"/>
    <w:rsid w:val="007F5821"/>
    <w:rsid w:val="007F5BDC"/>
    <w:rsid w:val="007F60AA"/>
    <w:rsid w:val="007F66F8"/>
    <w:rsid w:val="007F6CB6"/>
    <w:rsid w:val="007F6F84"/>
    <w:rsid w:val="007F73B2"/>
    <w:rsid w:val="008004C9"/>
    <w:rsid w:val="00800A59"/>
    <w:rsid w:val="008014BA"/>
    <w:rsid w:val="0080164E"/>
    <w:rsid w:val="00802047"/>
    <w:rsid w:val="0080226A"/>
    <w:rsid w:val="00802C02"/>
    <w:rsid w:val="00802E46"/>
    <w:rsid w:val="0080307B"/>
    <w:rsid w:val="008045FA"/>
    <w:rsid w:val="00806CEF"/>
    <w:rsid w:val="0080703B"/>
    <w:rsid w:val="008070C5"/>
    <w:rsid w:val="00807242"/>
    <w:rsid w:val="00807944"/>
    <w:rsid w:val="00807EEB"/>
    <w:rsid w:val="00811269"/>
    <w:rsid w:val="00811826"/>
    <w:rsid w:val="00811A8E"/>
    <w:rsid w:val="00811F88"/>
    <w:rsid w:val="008129D4"/>
    <w:rsid w:val="00812DBB"/>
    <w:rsid w:val="00813046"/>
    <w:rsid w:val="00813324"/>
    <w:rsid w:val="008134C7"/>
    <w:rsid w:val="0081410E"/>
    <w:rsid w:val="008144D2"/>
    <w:rsid w:val="008145F3"/>
    <w:rsid w:val="008149BB"/>
    <w:rsid w:val="00814D99"/>
    <w:rsid w:val="00815090"/>
    <w:rsid w:val="008155D2"/>
    <w:rsid w:val="0081591A"/>
    <w:rsid w:val="00815AB9"/>
    <w:rsid w:val="00816A88"/>
    <w:rsid w:val="008170BC"/>
    <w:rsid w:val="0081727D"/>
    <w:rsid w:val="008200CD"/>
    <w:rsid w:val="008204F2"/>
    <w:rsid w:val="00820692"/>
    <w:rsid w:val="008208FE"/>
    <w:rsid w:val="00821044"/>
    <w:rsid w:val="00822B1F"/>
    <w:rsid w:val="00822C5F"/>
    <w:rsid w:val="00823071"/>
    <w:rsid w:val="008234C2"/>
    <w:rsid w:val="008235DE"/>
    <w:rsid w:val="0082499A"/>
    <w:rsid w:val="00824BA4"/>
    <w:rsid w:val="00824DF2"/>
    <w:rsid w:val="0082580C"/>
    <w:rsid w:val="008259A8"/>
    <w:rsid w:val="00825CF6"/>
    <w:rsid w:val="0082661D"/>
    <w:rsid w:val="00826B3C"/>
    <w:rsid w:val="00827205"/>
    <w:rsid w:val="00830399"/>
    <w:rsid w:val="0083054B"/>
    <w:rsid w:val="008307B8"/>
    <w:rsid w:val="00830925"/>
    <w:rsid w:val="00830BD6"/>
    <w:rsid w:val="00830EA3"/>
    <w:rsid w:val="00830FB4"/>
    <w:rsid w:val="008326CD"/>
    <w:rsid w:val="00832F0E"/>
    <w:rsid w:val="0083312E"/>
    <w:rsid w:val="008334DC"/>
    <w:rsid w:val="00833559"/>
    <w:rsid w:val="008338A6"/>
    <w:rsid w:val="00833B7A"/>
    <w:rsid w:val="00833F59"/>
    <w:rsid w:val="00834103"/>
    <w:rsid w:val="00834B61"/>
    <w:rsid w:val="00834CF4"/>
    <w:rsid w:val="008356F6"/>
    <w:rsid w:val="00835834"/>
    <w:rsid w:val="00835859"/>
    <w:rsid w:val="008358E9"/>
    <w:rsid w:val="00835D7E"/>
    <w:rsid w:val="00836625"/>
    <w:rsid w:val="008368F0"/>
    <w:rsid w:val="00836CE4"/>
    <w:rsid w:val="0083704A"/>
    <w:rsid w:val="008372C9"/>
    <w:rsid w:val="00837AAD"/>
    <w:rsid w:val="00840202"/>
    <w:rsid w:val="008417CE"/>
    <w:rsid w:val="0084206E"/>
    <w:rsid w:val="0084231E"/>
    <w:rsid w:val="00842AD7"/>
    <w:rsid w:val="00843210"/>
    <w:rsid w:val="00844104"/>
    <w:rsid w:val="00844E0F"/>
    <w:rsid w:val="00845836"/>
    <w:rsid w:val="00846166"/>
    <w:rsid w:val="008470B0"/>
    <w:rsid w:val="008473A8"/>
    <w:rsid w:val="00847420"/>
    <w:rsid w:val="0085081C"/>
    <w:rsid w:val="00850DD2"/>
    <w:rsid w:val="008512C9"/>
    <w:rsid w:val="0085153B"/>
    <w:rsid w:val="0085153E"/>
    <w:rsid w:val="00851D87"/>
    <w:rsid w:val="00851FF5"/>
    <w:rsid w:val="0085260E"/>
    <w:rsid w:val="008528BE"/>
    <w:rsid w:val="00852A4A"/>
    <w:rsid w:val="0085330C"/>
    <w:rsid w:val="0085348F"/>
    <w:rsid w:val="008538FC"/>
    <w:rsid w:val="00854BCA"/>
    <w:rsid w:val="00855BFB"/>
    <w:rsid w:val="00855C12"/>
    <w:rsid w:val="00855F28"/>
    <w:rsid w:val="00856128"/>
    <w:rsid w:val="008574A8"/>
    <w:rsid w:val="00857762"/>
    <w:rsid w:val="00857AD2"/>
    <w:rsid w:val="00857B99"/>
    <w:rsid w:val="00857DD7"/>
    <w:rsid w:val="00860817"/>
    <w:rsid w:val="0086113E"/>
    <w:rsid w:val="0086147E"/>
    <w:rsid w:val="00862106"/>
    <w:rsid w:val="008621EB"/>
    <w:rsid w:val="00862ACE"/>
    <w:rsid w:val="00862E40"/>
    <w:rsid w:val="00862FB8"/>
    <w:rsid w:val="00863856"/>
    <w:rsid w:val="00863C3C"/>
    <w:rsid w:val="00863D1B"/>
    <w:rsid w:val="00863FD3"/>
    <w:rsid w:val="00864056"/>
    <w:rsid w:val="0086422E"/>
    <w:rsid w:val="008653C7"/>
    <w:rsid w:val="008663B9"/>
    <w:rsid w:val="00866C23"/>
    <w:rsid w:val="0087003B"/>
    <w:rsid w:val="00870CFB"/>
    <w:rsid w:val="008722B4"/>
    <w:rsid w:val="0087278F"/>
    <w:rsid w:val="00872FE7"/>
    <w:rsid w:val="008731A7"/>
    <w:rsid w:val="00873523"/>
    <w:rsid w:val="008737FF"/>
    <w:rsid w:val="00873875"/>
    <w:rsid w:val="00873B21"/>
    <w:rsid w:val="00873E05"/>
    <w:rsid w:val="00873EB7"/>
    <w:rsid w:val="008740F3"/>
    <w:rsid w:val="00874111"/>
    <w:rsid w:val="00875326"/>
    <w:rsid w:val="00875402"/>
    <w:rsid w:val="0087577E"/>
    <w:rsid w:val="00875878"/>
    <w:rsid w:val="008765F5"/>
    <w:rsid w:val="0087725F"/>
    <w:rsid w:val="00880E01"/>
    <w:rsid w:val="00880F8B"/>
    <w:rsid w:val="00881A54"/>
    <w:rsid w:val="00881E6F"/>
    <w:rsid w:val="00882C1F"/>
    <w:rsid w:val="00882C8E"/>
    <w:rsid w:val="00882D15"/>
    <w:rsid w:val="00883300"/>
    <w:rsid w:val="0088342E"/>
    <w:rsid w:val="00883DF3"/>
    <w:rsid w:val="00883DF9"/>
    <w:rsid w:val="0088472B"/>
    <w:rsid w:val="0088481C"/>
    <w:rsid w:val="00884D12"/>
    <w:rsid w:val="00885252"/>
    <w:rsid w:val="008856C1"/>
    <w:rsid w:val="008860C2"/>
    <w:rsid w:val="00886243"/>
    <w:rsid w:val="00886883"/>
    <w:rsid w:val="00886B5F"/>
    <w:rsid w:val="00886B91"/>
    <w:rsid w:val="00886C40"/>
    <w:rsid w:val="00887A63"/>
    <w:rsid w:val="0089068B"/>
    <w:rsid w:val="00890A6E"/>
    <w:rsid w:val="00890BD1"/>
    <w:rsid w:val="00890EB3"/>
    <w:rsid w:val="00891266"/>
    <w:rsid w:val="00891620"/>
    <w:rsid w:val="0089229C"/>
    <w:rsid w:val="00892683"/>
    <w:rsid w:val="0089288B"/>
    <w:rsid w:val="00892987"/>
    <w:rsid w:val="00892CAC"/>
    <w:rsid w:val="00892D5C"/>
    <w:rsid w:val="008931CC"/>
    <w:rsid w:val="008939CC"/>
    <w:rsid w:val="00893CE0"/>
    <w:rsid w:val="00893CF8"/>
    <w:rsid w:val="008943DE"/>
    <w:rsid w:val="00894477"/>
    <w:rsid w:val="00894A40"/>
    <w:rsid w:val="00894F4D"/>
    <w:rsid w:val="00895572"/>
    <w:rsid w:val="0089717C"/>
    <w:rsid w:val="00897869"/>
    <w:rsid w:val="00897F51"/>
    <w:rsid w:val="008A08EF"/>
    <w:rsid w:val="008A2762"/>
    <w:rsid w:val="008A29FA"/>
    <w:rsid w:val="008A2A0B"/>
    <w:rsid w:val="008A2C4B"/>
    <w:rsid w:val="008A2D44"/>
    <w:rsid w:val="008A33C9"/>
    <w:rsid w:val="008A3D3B"/>
    <w:rsid w:val="008A3F37"/>
    <w:rsid w:val="008A40F0"/>
    <w:rsid w:val="008A4FEC"/>
    <w:rsid w:val="008A5801"/>
    <w:rsid w:val="008A5983"/>
    <w:rsid w:val="008A59FB"/>
    <w:rsid w:val="008A5EA2"/>
    <w:rsid w:val="008A5F1E"/>
    <w:rsid w:val="008A7337"/>
    <w:rsid w:val="008A7DD6"/>
    <w:rsid w:val="008B0A1D"/>
    <w:rsid w:val="008B0F49"/>
    <w:rsid w:val="008B15FE"/>
    <w:rsid w:val="008B1673"/>
    <w:rsid w:val="008B1B1A"/>
    <w:rsid w:val="008B248A"/>
    <w:rsid w:val="008B263B"/>
    <w:rsid w:val="008B352F"/>
    <w:rsid w:val="008B4CCB"/>
    <w:rsid w:val="008B50CF"/>
    <w:rsid w:val="008B598F"/>
    <w:rsid w:val="008B5F2B"/>
    <w:rsid w:val="008B63C2"/>
    <w:rsid w:val="008B6485"/>
    <w:rsid w:val="008B66AB"/>
    <w:rsid w:val="008B691C"/>
    <w:rsid w:val="008B6A59"/>
    <w:rsid w:val="008B728B"/>
    <w:rsid w:val="008B7E5D"/>
    <w:rsid w:val="008C0C54"/>
    <w:rsid w:val="008C114E"/>
    <w:rsid w:val="008C2219"/>
    <w:rsid w:val="008C309E"/>
    <w:rsid w:val="008C31DC"/>
    <w:rsid w:val="008C358C"/>
    <w:rsid w:val="008C38BA"/>
    <w:rsid w:val="008C3AA5"/>
    <w:rsid w:val="008C3B32"/>
    <w:rsid w:val="008C4179"/>
    <w:rsid w:val="008C47A0"/>
    <w:rsid w:val="008C5847"/>
    <w:rsid w:val="008C6D8F"/>
    <w:rsid w:val="008D0011"/>
    <w:rsid w:val="008D09A3"/>
    <w:rsid w:val="008D123E"/>
    <w:rsid w:val="008D1AEB"/>
    <w:rsid w:val="008D1F8C"/>
    <w:rsid w:val="008D2026"/>
    <w:rsid w:val="008D23B2"/>
    <w:rsid w:val="008D2501"/>
    <w:rsid w:val="008D2F11"/>
    <w:rsid w:val="008D31DD"/>
    <w:rsid w:val="008D3385"/>
    <w:rsid w:val="008D41BA"/>
    <w:rsid w:val="008D462F"/>
    <w:rsid w:val="008D4715"/>
    <w:rsid w:val="008D5B41"/>
    <w:rsid w:val="008D62A1"/>
    <w:rsid w:val="008D64A7"/>
    <w:rsid w:val="008D657B"/>
    <w:rsid w:val="008D7470"/>
    <w:rsid w:val="008E02FF"/>
    <w:rsid w:val="008E07D1"/>
    <w:rsid w:val="008E0BB3"/>
    <w:rsid w:val="008E0C70"/>
    <w:rsid w:val="008E0E81"/>
    <w:rsid w:val="008E1998"/>
    <w:rsid w:val="008E19E4"/>
    <w:rsid w:val="008E3802"/>
    <w:rsid w:val="008E46ED"/>
    <w:rsid w:val="008E483D"/>
    <w:rsid w:val="008E4CF5"/>
    <w:rsid w:val="008E5359"/>
    <w:rsid w:val="008E54F2"/>
    <w:rsid w:val="008E5567"/>
    <w:rsid w:val="008E5EB2"/>
    <w:rsid w:val="008E5F59"/>
    <w:rsid w:val="008E6A09"/>
    <w:rsid w:val="008E6B61"/>
    <w:rsid w:val="008E6F19"/>
    <w:rsid w:val="008E6F8B"/>
    <w:rsid w:val="008E7FA0"/>
    <w:rsid w:val="008F0643"/>
    <w:rsid w:val="008F0724"/>
    <w:rsid w:val="008F0AF3"/>
    <w:rsid w:val="008F0FBB"/>
    <w:rsid w:val="008F118C"/>
    <w:rsid w:val="008F1628"/>
    <w:rsid w:val="008F1676"/>
    <w:rsid w:val="008F1D87"/>
    <w:rsid w:val="008F1F44"/>
    <w:rsid w:val="008F22E4"/>
    <w:rsid w:val="008F230A"/>
    <w:rsid w:val="008F2C92"/>
    <w:rsid w:val="008F32C4"/>
    <w:rsid w:val="008F3735"/>
    <w:rsid w:val="008F3C24"/>
    <w:rsid w:val="008F3CC8"/>
    <w:rsid w:val="008F3FE6"/>
    <w:rsid w:val="008F4ACB"/>
    <w:rsid w:val="008F5136"/>
    <w:rsid w:val="008F593F"/>
    <w:rsid w:val="008F6285"/>
    <w:rsid w:val="008F6C5B"/>
    <w:rsid w:val="009011CC"/>
    <w:rsid w:val="0090250D"/>
    <w:rsid w:val="009027DC"/>
    <w:rsid w:val="00902F00"/>
    <w:rsid w:val="00903487"/>
    <w:rsid w:val="009039BE"/>
    <w:rsid w:val="009045E4"/>
    <w:rsid w:val="009046AB"/>
    <w:rsid w:val="009049AE"/>
    <w:rsid w:val="00904A4E"/>
    <w:rsid w:val="00904B20"/>
    <w:rsid w:val="009050B6"/>
    <w:rsid w:val="0090514B"/>
    <w:rsid w:val="00906201"/>
    <w:rsid w:val="00907308"/>
    <w:rsid w:val="00907665"/>
    <w:rsid w:val="0091099C"/>
    <w:rsid w:val="009116B1"/>
    <w:rsid w:val="00911738"/>
    <w:rsid w:val="00911CCE"/>
    <w:rsid w:val="009120D0"/>
    <w:rsid w:val="0091260D"/>
    <w:rsid w:val="00912695"/>
    <w:rsid w:val="00912E72"/>
    <w:rsid w:val="00913159"/>
    <w:rsid w:val="009131AE"/>
    <w:rsid w:val="009149AD"/>
    <w:rsid w:val="00914D95"/>
    <w:rsid w:val="00915576"/>
    <w:rsid w:val="009156DD"/>
    <w:rsid w:val="00916A3A"/>
    <w:rsid w:val="00916CB6"/>
    <w:rsid w:val="00917916"/>
    <w:rsid w:val="00920036"/>
    <w:rsid w:val="00920052"/>
    <w:rsid w:val="009203AC"/>
    <w:rsid w:val="00920D3F"/>
    <w:rsid w:val="00920FF5"/>
    <w:rsid w:val="00921242"/>
    <w:rsid w:val="00921DC2"/>
    <w:rsid w:val="00922AA4"/>
    <w:rsid w:val="00922BEC"/>
    <w:rsid w:val="00922C51"/>
    <w:rsid w:val="00922D20"/>
    <w:rsid w:val="00922F23"/>
    <w:rsid w:val="00923E39"/>
    <w:rsid w:val="009247C4"/>
    <w:rsid w:val="0092488A"/>
    <w:rsid w:val="009248D8"/>
    <w:rsid w:val="00924A9B"/>
    <w:rsid w:val="0092588E"/>
    <w:rsid w:val="0092588F"/>
    <w:rsid w:val="00925BCD"/>
    <w:rsid w:val="00925C89"/>
    <w:rsid w:val="009266AC"/>
    <w:rsid w:val="00926AF2"/>
    <w:rsid w:val="00926CD6"/>
    <w:rsid w:val="009270C7"/>
    <w:rsid w:val="00930966"/>
    <w:rsid w:val="00930E00"/>
    <w:rsid w:val="00931813"/>
    <w:rsid w:val="00932B25"/>
    <w:rsid w:val="00932CAD"/>
    <w:rsid w:val="00932E96"/>
    <w:rsid w:val="0093356F"/>
    <w:rsid w:val="00933748"/>
    <w:rsid w:val="00933787"/>
    <w:rsid w:val="00933A33"/>
    <w:rsid w:val="0093437A"/>
    <w:rsid w:val="00935CDC"/>
    <w:rsid w:val="0093675F"/>
    <w:rsid w:val="0093691F"/>
    <w:rsid w:val="00937C94"/>
    <w:rsid w:val="00937D22"/>
    <w:rsid w:val="00940281"/>
    <w:rsid w:val="0094036A"/>
    <w:rsid w:val="00940476"/>
    <w:rsid w:val="00940894"/>
    <w:rsid w:val="009408E0"/>
    <w:rsid w:val="00941D92"/>
    <w:rsid w:val="00941F70"/>
    <w:rsid w:val="009424A4"/>
    <w:rsid w:val="0094282A"/>
    <w:rsid w:val="00942922"/>
    <w:rsid w:val="00942B8C"/>
    <w:rsid w:val="00942CA4"/>
    <w:rsid w:val="00943247"/>
    <w:rsid w:val="00943A02"/>
    <w:rsid w:val="00944499"/>
    <w:rsid w:val="009449D8"/>
    <w:rsid w:val="00944AA1"/>
    <w:rsid w:val="00944AAE"/>
    <w:rsid w:val="00945397"/>
    <w:rsid w:val="009456F7"/>
    <w:rsid w:val="009459BB"/>
    <w:rsid w:val="00945C71"/>
    <w:rsid w:val="00946A28"/>
    <w:rsid w:val="00946A9A"/>
    <w:rsid w:val="009502BD"/>
    <w:rsid w:val="009505CA"/>
    <w:rsid w:val="0095065F"/>
    <w:rsid w:val="00950942"/>
    <w:rsid w:val="00950B53"/>
    <w:rsid w:val="00950DCD"/>
    <w:rsid w:val="009513BA"/>
    <w:rsid w:val="00951E3D"/>
    <w:rsid w:val="0095220B"/>
    <w:rsid w:val="00952248"/>
    <w:rsid w:val="00952678"/>
    <w:rsid w:val="0095306E"/>
    <w:rsid w:val="009534C7"/>
    <w:rsid w:val="0095424E"/>
    <w:rsid w:val="0095473F"/>
    <w:rsid w:val="00954DC2"/>
    <w:rsid w:val="009552BD"/>
    <w:rsid w:val="00955673"/>
    <w:rsid w:val="009569C2"/>
    <w:rsid w:val="00956B4E"/>
    <w:rsid w:val="009572A2"/>
    <w:rsid w:val="0095733B"/>
    <w:rsid w:val="00957941"/>
    <w:rsid w:val="0096001D"/>
    <w:rsid w:val="00960A17"/>
    <w:rsid w:val="00960D2B"/>
    <w:rsid w:val="00960DBE"/>
    <w:rsid w:val="00961139"/>
    <w:rsid w:val="00961147"/>
    <w:rsid w:val="009615F9"/>
    <w:rsid w:val="00961A4E"/>
    <w:rsid w:val="00961AA7"/>
    <w:rsid w:val="00961D6F"/>
    <w:rsid w:val="00961ED7"/>
    <w:rsid w:val="009620A4"/>
    <w:rsid w:val="009629EA"/>
    <w:rsid w:val="00962DDD"/>
    <w:rsid w:val="00963124"/>
    <w:rsid w:val="009635F8"/>
    <w:rsid w:val="00963F3A"/>
    <w:rsid w:val="009643BD"/>
    <w:rsid w:val="00964629"/>
    <w:rsid w:val="00964632"/>
    <w:rsid w:val="009647B7"/>
    <w:rsid w:val="00964B2E"/>
    <w:rsid w:val="00964E38"/>
    <w:rsid w:val="009651E4"/>
    <w:rsid w:val="00965230"/>
    <w:rsid w:val="00965927"/>
    <w:rsid w:val="009659B5"/>
    <w:rsid w:val="00965E14"/>
    <w:rsid w:val="0096659A"/>
    <w:rsid w:val="00966DFF"/>
    <w:rsid w:val="00966EDC"/>
    <w:rsid w:val="00967476"/>
    <w:rsid w:val="0096794F"/>
    <w:rsid w:val="00967D0F"/>
    <w:rsid w:val="00967D76"/>
    <w:rsid w:val="009700D4"/>
    <w:rsid w:val="00970D19"/>
    <w:rsid w:val="009718A0"/>
    <w:rsid w:val="00971CAD"/>
    <w:rsid w:val="00971F41"/>
    <w:rsid w:val="009723CA"/>
    <w:rsid w:val="009725AB"/>
    <w:rsid w:val="0097272F"/>
    <w:rsid w:val="009732FF"/>
    <w:rsid w:val="00973C93"/>
    <w:rsid w:val="00974008"/>
    <w:rsid w:val="00974311"/>
    <w:rsid w:val="00974443"/>
    <w:rsid w:val="00975C04"/>
    <w:rsid w:val="00976659"/>
    <w:rsid w:val="00976A38"/>
    <w:rsid w:val="00981A63"/>
    <w:rsid w:val="00981D62"/>
    <w:rsid w:val="00983046"/>
    <w:rsid w:val="009832DB"/>
    <w:rsid w:val="00983E9C"/>
    <w:rsid w:val="00984081"/>
    <w:rsid w:val="0098412F"/>
    <w:rsid w:val="00984877"/>
    <w:rsid w:val="00984AC2"/>
    <w:rsid w:val="00984B2C"/>
    <w:rsid w:val="00985613"/>
    <w:rsid w:val="00985B04"/>
    <w:rsid w:val="00985DE6"/>
    <w:rsid w:val="00986A27"/>
    <w:rsid w:val="00987545"/>
    <w:rsid w:val="009876A5"/>
    <w:rsid w:val="00987F1F"/>
    <w:rsid w:val="009903DE"/>
    <w:rsid w:val="009909BD"/>
    <w:rsid w:val="00990EBA"/>
    <w:rsid w:val="00990FA7"/>
    <w:rsid w:val="00992570"/>
    <w:rsid w:val="00992642"/>
    <w:rsid w:val="00992B5A"/>
    <w:rsid w:val="00994255"/>
    <w:rsid w:val="009942AF"/>
    <w:rsid w:val="009943BE"/>
    <w:rsid w:val="009948DB"/>
    <w:rsid w:val="00995659"/>
    <w:rsid w:val="00995742"/>
    <w:rsid w:val="009957A1"/>
    <w:rsid w:val="00995897"/>
    <w:rsid w:val="00995AF1"/>
    <w:rsid w:val="00995DAA"/>
    <w:rsid w:val="00996459"/>
    <w:rsid w:val="009968F5"/>
    <w:rsid w:val="00996B35"/>
    <w:rsid w:val="00996BD7"/>
    <w:rsid w:val="009970CA"/>
    <w:rsid w:val="00997618"/>
    <w:rsid w:val="009979ED"/>
    <w:rsid w:val="00997B6C"/>
    <w:rsid w:val="009A0919"/>
    <w:rsid w:val="009A0EF7"/>
    <w:rsid w:val="009A1CFC"/>
    <w:rsid w:val="009A1F5E"/>
    <w:rsid w:val="009A23D1"/>
    <w:rsid w:val="009A26C9"/>
    <w:rsid w:val="009A271A"/>
    <w:rsid w:val="009A4719"/>
    <w:rsid w:val="009A59F0"/>
    <w:rsid w:val="009A5A23"/>
    <w:rsid w:val="009A5AD0"/>
    <w:rsid w:val="009A5F53"/>
    <w:rsid w:val="009A68DB"/>
    <w:rsid w:val="009A70DE"/>
    <w:rsid w:val="009A754A"/>
    <w:rsid w:val="009A7E7A"/>
    <w:rsid w:val="009A7F5F"/>
    <w:rsid w:val="009B0BDE"/>
    <w:rsid w:val="009B0FA4"/>
    <w:rsid w:val="009B1461"/>
    <w:rsid w:val="009B1715"/>
    <w:rsid w:val="009B1ADC"/>
    <w:rsid w:val="009B2565"/>
    <w:rsid w:val="009B32A7"/>
    <w:rsid w:val="009B37A2"/>
    <w:rsid w:val="009B3A48"/>
    <w:rsid w:val="009B3F50"/>
    <w:rsid w:val="009B408F"/>
    <w:rsid w:val="009B5D32"/>
    <w:rsid w:val="009B63ED"/>
    <w:rsid w:val="009B679B"/>
    <w:rsid w:val="009B67E7"/>
    <w:rsid w:val="009B6968"/>
    <w:rsid w:val="009B6C00"/>
    <w:rsid w:val="009B6E74"/>
    <w:rsid w:val="009B77DB"/>
    <w:rsid w:val="009C0341"/>
    <w:rsid w:val="009C0A3A"/>
    <w:rsid w:val="009C0E64"/>
    <w:rsid w:val="009C0F3A"/>
    <w:rsid w:val="009C1180"/>
    <w:rsid w:val="009C11F7"/>
    <w:rsid w:val="009C14BC"/>
    <w:rsid w:val="009C194C"/>
    <w:rsid w:val="009C1E0F"/>
    <w:rsid w:val="009C253B"/>
    <w:rsid w:val="009C2CCE"/>
    <w:rsid w:val="009C411B"/>
    <w:rsid w:val="009C433E"/>
    <w:rsid w:val="009C4A7C"/>
    <w:rsid w:val="009C5082"/>
    <w:rsid w:val="009C66BE"/>
    <w:rsid w:val="009C6831"/>
    <w:rsid w:val="009C703B"/>
    <w:rsid w:val="009D0689"/>
    <w:rsid w:val="009D076A"/>
    <w:rsid w:val="009D0E85"/>
    <w:rsid w:val="009D1232"/>
    <w:rsid w:val="009D1A0A"/>
    <w:rsid w:val="009D24D3"/>
    <w:rsid w:val="009D2666"/>
    <w:rsid w:val="009D2B56"/>
    <w:rsid w:val="009D2F8D"/>
    <w:rsid w:val="009D3059"/>
    <w:rsid w:val="009D36CE"/>
    <w:rsid w:val="009D3FCC"/>
    <w:rsid w:val="009D44DE"/>
    <w:rsid w:val="009D4C3B"/>
    <w:rsid w:val="009D4F0D"/>
    <w:rsid w:val="009D5F75"/>
    <w:rsid w:val="009D5F78"/>
    <w:rsid w:val="009D61D8"/>
    <w:rsid w:val="009D670A"/>
    <w:rsid w:val="009E02DA"/>
    <w:rsid w:val="009E0A9B"/>
    <w:rsid w:val="009E1714"/>
    <w:rsid w:val="009E2143"/>
    <w:rsid w:val="009E21F8"/>
    <w:rsid w:val="009E2484"/>
    <w:rsid w:val="009E2C7A"/>
    <w:rsid w:val="009E2D45"/>
    <w:rsid w:val="009E2D6F"/>
    <w:rsid w:val="009E3030"/>
    <w:rsid w:val="009E3E74"/>
    <w:rsid w:val="009E523C"/>
    <w:rsid w:val="009E5270"/>
    <w:rsid w:val="009E5622"/>
    <w:rsid w:val="009E5D55"/>
    <w:rsid w:val="009E5EB9"/>
    <w:rsid w:val="009E64C1"/>
    <w:rsid w:val="009E74E0"/>
    <w:rsid w:val="009E7BC2"/>
    <w:rsid w:val="009F0291"/>
    <w:rsid w:val="009F038A"/>
    <w:rsid w:val="009F0638"/>
    <w:rsid w:val="009F1055"/>
    <w:rsid w:val="009F12D0"/>
    <w:rsid w:val="009F1595"/>
    <w:rsid w:val="009F16CA"/>
    <w:rsid w:val="009F1707"/>
    <w:rsid w:val="009F1B7A"/>
    <w:rsid w:val="009F219A"/>
    <w:rsid w:val="009F21A0"/>
    <w:rsid w:val="009F2BF1"/>
    <w:rsid w:val="009F2D3E"/>
    <w:rsid w:val="009F3242"/>
    <w:rsid w:val="009F335B"/>
    <w:rsid w:val="009F34C7"/>
    <w:rsid w:val="009F3779"/>
    <w:rsid w:val="009F5039"/>
    <w:rsid w:val="009F5082"/>
    <w:rsid w:val="009F51C9"/>
    <w:rsid w:val="009F53A3"/>
    <w:rsid w:val="009F58D1"/>
    <w:rsid w:val="009F5DCF"/>
    <w:rsid w:val="009F5DF2"/>
    <w:rsid w:val="009F61A3"/>
    <w:rsid w:val="009F630A"/>
    <w:rsid w:val="009F653B"/>
    <w:rsid w:val="00A000EF"/>
    <w:rsid w:val="00A00798"/>
    <w:rsid w:val="00A00AD2"/>
    <w:rsid w:val="00A011D6"/>
    <w:rsid w:val="00A013B7"/>
    <w:rsid w:val="00A01EDF"/>
    <w:rsid w:val="00A02335"/>
    <w:rsid w:val="00A0317E"/>
    <w:rsid w:val="00A03C38"/>
    <w:rsid w:val="00A04F5A"/>
    <w:rsid w:val="00A051F3"/>
    <w:rsid w:val="00A054A5"/>
    <w:rsid w:val="00A0579A"/>
    <w:rsid w:val="00A06B5C"/>
    <w:rsid w:val="00A072EA"/>
    <w:rsid w:val="00A07F9F"/>
    <w:rsid w:val="00A07FAA"/>
    <w:rsid w:val="00A10621"/>
    <w:rsid w:val="00A1154D"/>
    <w:rsid w:val="00A118EB"/>
    <w:rsid w:val="00A11930"/>
    <w:rsid w:val="00A11AA3"/>
    <w:rsid w:val="00A11DDF"/>
    <w:rsid w:val="00A1205C"/>
    <w:rsid w:val="00A12720"/>
    <w:rsid w:val="00A129B2"/>
    <w:rsid w:val="00A129C2"/>
    <w:rsid w:val="00A13026"/>
    <w:rsid w:val="00A13187"/>
    <w:rsid w:val="00A131D1"/>
    <w:rsid w:val="00A13227"/>
    <w:rsid w:val="00A132E8"/>
    <w:rsid w:val="00A13B9D"/>
    <w:rsid w:val="00A13C8D"/>
    <w:rsid w:val="00A14AB0"/>
    <w:rsid w:val="00A14B8F"/>
    <w:rsid w:val="00A15543"/>
    <w:rsid w:val="00A157C2"/>
    <w:rsid w:val="00A15BE6"/>
    <w:rsid w:val="00A1636E"/>
    <w:rsid w:val="00A167B6"/>
    <w:rsid w:val="00A21697"/>
    <w:rsid w:val="00A22056"/>
    <w:rsid w:val="00A23A80"/>
    <w:rsid w:val="00A2402F"/>
    <w:rsid w:val="00A2410B"/>
    <w:rsid w:val="00A242FD"/>
    <w:rsid w:val="00A24836"/>
    <w:rsid w:val="00A25136"/>
    <w:rsid w:val="00A2599D"/>
    <w:rsid w:val="00A26159"/>
    <w:rsid w:val="00A2695F"/>
    <w:rsid w:val="00A26B6F"/>
    <w:rsid w:val="00A27932"/>
    <w:rsid w:val="00A27BAB"/>
    <w:rsid w:val="00A27E1B"/>
    <w:rsid w:val="00A308F7"/>
    <w:rsid w:val="00A30AF5"/>
    <w:rsid w:val="00A30B66"/>
    <w:rsid w:val="00A30BE8"/>
    <w:rsid w:val="00A312F5"/>
    <w:rsid w:val="00A31FBF"/>
    <w:rsid w:val="00A31FC3"/>
    <w:rsid w:val="00A331F6"/>
    <w:rsid w:val="00A334BA"/>
    <w:rsid w:val="00A3376F"/>
    <w:rsid w:val="00A33FD5"/>
    <w:rsid w:val="00A34AD9"/>
    <w:rsid w:val="00A3504E"/>
    <w:rsid w:val="00A35221"/>
    <w:rsid w:val="00A35B1E"/>
    <w:rsid w:val="00A35DF2"/>
    <w:rsid w:val="00A35EC5"/>
    <w:rsid w:val="00A35F97"/>
    <w:rsid w:val="00A36001"/>
    <w:rsid w:val="00A363C5"/>
    <w:rsid w:val="00A36AC3"/>
    <w:rsid w:val="00A36D04"/>
    <w:rsid w:val="00A371C7"/>
    <w:rsid w:val="00A372C6"/>
    <w:rsid w:val="00A40DA4"/>
    <w:rsid w:val="00A415C5"/>
    <w:rsid w:val="00A41728"/>
    <w:rsid w:val="00A41AE3"/>
    <w:rsid w:val="00A41CB8"/>
    <w:rsid w:val="00A424CC"/>
    <w:rsid w:val="00A42943"/>
    <w:rsid w:val="00A4295F"/>
    <w:rsid w:val="00A4323D"/>
    <w:rsid w:val="00A43A07"/>
    <w:rsid w:val="00A43A53"/>
    <w:rsid w:val="00A43A83"/>
    <w:rsid w:val="00A43C59"/>
    <w:rsid w:val="00A43E48"/>
    <w:rsid w:val="00A442F1"/>
    <w:rsid w:val="00A44589"/>
    <w:rsid w:val="00A44BC2"/>
    <w:rsid w:val="00A44CCB"/>
    <w:rsid w:val="00A44EB9"/>
    <w:rsid w:val="00A46105"/>
    <w:rsid w:val="00A463F6"/>
    <w:rsid w:val="00A46448"/>
    <w:rsid w:val="00A46559"/>
    <w:rsid w:val="00A46741"/>
    <w:rsid w:val="00A46830"/>
    <w:rsid w:val="00A475B6"/>
    <w:rsid w:val="00A479BA"/>
    <w:rsid w:val="00A47FE2"/>
    <w:rsid w:val="00A50565"/>
    <w:rsid w:val="00A5197C"/>
    <w:rsid w:val="00A519E5"/>
    <w:rsid w:val="00A51A47"/>
    <w:rsid w:val="00A51CC0"/>
    <w:rsid w:val="00A523EF"/>
    <w:rsid w:val="00A524CD"/>
    <w:rsid w:val="00A525DC"/>
    <w:rsid w:val="00A52675"/>
    <w:rsid w:val="00A529F1"/>
    <w:rsid w:val="00A5306B"/>
    <w:rsid w:val="00A530DE"/>
    <w:rsid w:val="00A5344F"/>
    <w:rsid w:val="00A53848"/>
    <w:rsid w:val="00A54118"/>
    <w:rsid w:val="00A542F7"/>
    <w:rsid w:val="00A54994"/>
    <w:rsid w:val="00A55396"/>
    <w:rsid w:val="00A56141"/>
    <w:rsid w:val="00A5618E"/>
    <w:rsid w:val="00A564FE"/>
    <w:rsid w:val="00A56546"/>
    <w:rsid w:val="00A566F4"/>
    <w:rsid w:val="00A56DF7"/>
    <w:rsid w:val="00A5710B"/>
    <w:rsid w:val="00A57747"/>
    <w:rsid w:val="00A605AF"/>
    <w:rsid w:val="00A605B0"/>
    <w:rsid w:val="00A61375"/>
    <w:rsid w:val="00A6171B"/>
    <w:rsid w:val="00A61E8C"/>
    <w:rsid w:val="00A61FCB"/>
    <w:rsid w:val="00A62552"/>
    <w:rsid w:val="00A6317B"/>
    <w:rsid w:val="00A63483"/>
    <w:rsid w:val="00A634C9"/>
    <w:rsid w:val="00A6399F"/>
    <w:rsid w:val="00A63E2E"/>
    <w:rsid w:val="00A65208"/>
    <w:rsid w:val="00A6521D"/>
    <w:rsid w:val="00A65606"/>
    <w:rsid w:val="00A658BA"/>
    <w:rsid w:val="00A65CC0"/>
    <w:rsid w:val="00A663B8"/>
    <w:rsid w:val="00A6662D"/>
    <w:rsid w:val="00A671B4"/>
    <w:rsid w:val="00A67BBD"/>
    <w:rsid w:val="00A70129"/>
    <w:rsid w:val="00A702DE"/>
    <w:rsid w:val="00A702E1"/>
    <w:rsid w:val="00A70C26"/>
    <w:rsid w:val="00A72219"/>
    <w:rsid w:val="00A726E3"/>
    <w:rsid w:val="00A72DAD"/>
    <w:rsid w:val="00A735DA"/>
    <w:rsid w:val="00A73791"/>
    <w:rsid w:val="00A7591E"/>
    <w:rsid w:val="00A7599C"/>
    <w:rsid w:val="00A7602E"/>
    <w:rsid w:val="00A770EA"/>
    <w:rsid w:val="00A77722"/>
    <w:rsid w:val="00A778B6"/>
    <w:rsid w:val="00A77F66"/>
    <w:rsid w:val="00A80772"/>
    <w:rsid w:val="00A80A87"/>
    <w:rsid w:val="00A80E8E"/>
    <w:rsid w:val="00A81129"/>
    <w:rsid w:val="00A8124F"/>
    <w:rsid w:val="00A8160A"/>
    <w:rsid w:val="00A81912"/>
    <w:rsid w:val="00A8197A"/>
    <w:rsid w:val="00A82FD1"/>
    <w:rsid w:val="00A83709"/>
    <w:rsid w:val="00A843FD"/>
    <w:rsid w:val="00A845C5"/>
    <w:rsid w:val="00A85049"/>
    <w:rsid w:val="00A85788"/>
    <w:rsid w:val="00A85A47"/>
    <w:rsid w:val="00A85C0D"/>
    <w:rsid w:val="00A86464"/>
    <w:rsid w:val="00A86AF0"/>
    <w:rsid w:val="00A86F7C"/>
    <w:rsid w:val="00A874B1"/>
    <w:rsid w:val="00A87698"/>
    <w:rsid w:val="00A87872"/>
    <w:rsid w:val="00A904C1"/>
    <w:rsid w:val="00A9116A"/>
    <w:rsid w:val="00A911F9"/>
    <w:rsid w:val="00A91458"/>
    <w:rsid w:val="00A9196C"/>
    <w:rsid w:val="00A91C69"/>
    <w:rsid w:val="00A93296"/>
    <w:rsid w:val="00A94C5C"/>
    <w:rsid w:val="00A94E0A"/>
    <w:rsid w:val="00A95184"/>
    <w:rsid w:val="00A95363"/>
    <w:rsid w:val="00A95597"/>
    <w:rsid w:val="00A95ABE"/>
    <w:rsid w:val="00A95D47"/>
    <w:rsid w:val="00A961EB"/>
    <w:rsid w:val="00A962C3"/>
    <w:rsid w:val="00A96C4A"/>
    <w:rsid w:val="00A970CD"/>
    <w:rsid w:val="00A97283"/>
    <w:rsid w:val="00A97496"/>
    <w:rsid w:val="00A97C89"/>
    <w:rsid w:val="00AA0D31"/>
    <w:rsid w:val="00AA0D6D"/>
    <w:rsid w:val="00AA2012"/>
    <w:rsid w:val="00AA280B"/>
    <w:rsid w:val="00AA2867"/>
    <w:rsid w:val="00AA2CCA"/>
    <w:rsid w:val="00AA326C"/>
    <w:rsid w:val="00AA3DAD"/>
    <w:rsid w:val="00AA3F44"/>
    <w:rsid w:val="00AA4535"/>
    <w:rsid w:val="00AA47C7"/>
    <w:rsid w:val="00AA4AF5"/>
    <w:rsid w:val="00AA4DA8"/>
    <w:rsid w:val="00AA4DA9"/>
    <w:rsid w:val="00AA4FBB"/>
    <w:rsid w:val="00AA5759"/>
    <w:rsid w:val="00AA5D5D"/>
    <w:rsid w:val="00AA787B"/>
    <w:rsid w:val="00AB04DA"/>
    <w:rsid w:val="00AB12D5"/>
    <w:rsid w:val="00AB1380"/>
    <w:rsid w:val="00AB1B5D"/>
    <w:rsid w:val="00AB1C06"/>
    <w:rsid w:val="00AB2441"/>
    <w:rsid w:val="00AB3195"/>
    <w:rsid w:val="00AB3AA6"/>
    <w:rsid w:val="00AB3BAC"/>
    <w:rsid w:val="00AB536C"/>
    <w:rsid w:val="00AB53E7"/>
    <w:rsid w:val="00AB549A"/>
    <w:rsid w:val="00AB58C6"/>
    <w:rsid w:val="00AB6D60"/>
    <w:rsid w:val="00AB6EEC"/>
    <w:rsid w:val="00AB7253"/>
    <w:rsid w:val="00AB72B7"/>
    <w:rsid w:val="00AB7580"/>
    <w:rsid w:val="00AB7691"/>
    <w:rsid w:val="00AB7784"/>
    <w:rsid w:val="00AB786D"/>
    <w:rsid w:val="00AB7E34"/>
    <w:rsid w:val="00AB7EFE"/>
    <w:rsid w:val="00AB7F95"/>
    <w:rsid w:val="00AC0806"/>
    <w:rsid w:val="00AC177A"/>
    <w:rsid w:val="00AC1AAB"/>
    <w:rsid w:val="00AC267C"/>
    <w:rsid w:val="00AC2D88"/>
    <w:rsid w:val="00AC367C"/>
    <w:rsid w:val="00AC371F"/>
    <w:rsid w:val="00AC3817"/>
    <w:rsid w:val="00AC3BE7"/>
    <w:rsid w:val="00AC4221"/>
    <w:rsid w:val="00AC4273"/>
    <w:rsid w:val="00AC43B4"/>
    <w:rsid w:val="00AC4992"/>
    <w:rsid w:val="00AC49E4"/>
    <w:rsid w:val="00AC4D11"/>
    <w:rsid w:val="00AC4EC1"/>
    <w:rsid w:val="00AC56A3"/>
    <w:rsid w:val="00AC666C"/>
    <w:rsid w:val="00AC679A"/>
    <w:rsid w:val="00AC6919"/>
    <w:rsid w:val="00AC722B"/>
    <w:rsid w:val="00AD0066"/>
    <w:rsid w:val="00AD0771"/>
    <w:rsid w:val="00AD0CB1"/>
    <w:rsid w:val="00AD1083"/>
    <w:rsid w:val="00AD110F"/>
    <w:rsid w:val="00AD1819"/>
    <w:rsid w:val="00AD299B"/>
    <w:rsid w:val="00AD2B70"/>
    <w:rsid w:val="00AD30CA"/>
    <w:rsid w:val="00AD338C"/>
    <w:rsid w:val="00AD4073"/>
    <w:rsid w:val="00AD47EC"/>
    <w:rsid w:val="00AD4803"/>
    <w:rsid w:val="00AD643E"/>
    <w:rsid w:val="00AD7DDF"/>
    <w:rsid w:val="00AD7E43"/>
    <w:rsid w:val="00AD7F05"/>
    <w:rsid w:val="00AE015E"/>
    <w:rsid w:val="00AE0653"/>
    <w:rsid w:val="00AE09AF"/>
    <w:rsid w:val="00AE0B3F"/>
    <w:rsid w:val="00AE0C8C"/>
    <w:rsid w:val="00AE0EA9"/>
    <w:rsid w:val="00AE1A7A"/>
    <w:rsid w:val="00AE2790"/>
    <w:rsid w:val="00AE2DE2"/>
    <w:rsid w:val="00AE35D6"/>
    <w:rsid w:val="00AE3C2F"/>
    <w:rsid w:val="00AE3F1D"/>
    <w:rsid w:val="00AE3F81"/>
    <w:rsid w:val="00AE4209"/>
    <w:rsid w:val="00AE5827"/>
    <w:rsid w:val="00AE5998"/>
    <w:rsid w:val="00AE5E6C"/>
    <w:rsid w:val="00AE6430"/>
    <w:rsid w:val="00AE6534"/>
    <w:rsid w:val="00AE6D89"/>
    <w:rsid w:val="00AE6F62"/>
    <w:rsid w:val="00AE7D1C"/>
    <w:rsid w:val="00AF0BB7"/>
    <w:rsid w:val="00AF1DB3"/>
    <w:rsid w:val="00AF226E"/>
    <w:rsid w:val="00AF248C"/>
    <w:rsid w:val="00AF321A"/>
    <w:rsid w:val="00AF379A"/>
    <w:rsid w:val="00AF3CE1"/>
    <w:rsid w:val="00AF3D24"/>
    <w:rsid w:val="00AF3E12"/>
    <w:rsid w:val="00AF4781"/>
    <w:rsid w:val="00AF5400"/>
    <w:rsid w:val="00AF55FF"/>
    <w:rsid w:val="00AF562A"/>
    <w:rsid w:val="00AF566D"/>
    <w:rsid w:val="00AF5EC1"/>
    <w:rsid w:val="00AF6CCE"/>
    <w:rsid w:val="00AF78D4"/>
    <w:rsid w:val="00AF7C51"/>
    <w:rsid w:val="00AF7CE7"/>
    <w:rsid w:val="00B00119"/>
    <w:rsid w:val="00B00601"/>
    <w:rsid w:val="00B0061C"/>
    <w:rsid w:val="00B0087D"/>
    <w:rsid w:val="00B00A70"/>
    <w:rsid w:val="00B00CE4"/>
    <w:rsid w:val="00B0100A"/>
    <w:rsid w:val="00B01A16"/>
    <w:rsid w:val="00B01DD1"/>
    <w:rsid w:val="00B0215D"/>
    <w:rsid w:val="00B02236"/>
    <w:rsid w:val="00B02A15"/>
    <w:rsid w:val="00B03777"/>
    <w:rsid w:val="00B03F3A"/>
    <w:rsid w:val="00B0406C"/>
    <w:rsid w:val="00B04A3F"/>
    <w:rsid w:val="00B04D48"/>
    <w:rsid w:val="00B04F16"/>
    <w:rsid w:val="00B05248"/>
    <w:rsid w:val="00B055B6"/>
    <w:rsid w:val="00B069EE"/>
    <w:rsid w:val="00B06B1B"/>
    <w:rsid w:val="00B06BD1"/>
    <w:rsid w:val="00B07298"/>
    <w:rsid w:val="00B075A5"/>
    <w:rsid w:val="00B07FB9"/>
    <w:rsid w:val="00B1000A"/>
    <w:rsid w:val="00B109CC"/>
    <w:rsid w:val="00B11294"/>
    <w:rsid w:val="00B119AD"/>
    <w:rsid w:val="00B11E29"/>
    <w:rsid w:val="00B12C68"/>
    <w:rsid w:val="00B14159"/>
    <w:rsid w:val="00B14A97"/>
    <w:rsid w:val="00B14EB2"/>
    <w:rsid w:val="00B14ED9"/>
    <w:rsid w:val="00B154E8"/>
    <w:rsid w:val="00B15A10"/>
    <w:rsid w:val="00B16019"/>
    <w:rsid w:val="00B160F5"/>
    <w:rsid w:val="00B167A1"/>
    <w:rsid w:val="00B170A7"/>
    <w:rsid w:val="00B170ED"/>
    <w:rsid w:val="00B20B24"/>
    <w:rsid w:val="00B20B81"/>
    <w:rsid w:val="00B20CAD"/>
    <w:rsid w:val="00B21160"/>
    <w:rsid w:val="00B21CBE"/>
    <w:rsid w:val="00B21F71"/>
    <w:rsid w:val="00B2218D"/>
    <w:rsid w:val="00B2222B"/>
    <w:rsid w:val="00B22B11"/>
    <w:rsid w:val="00B2346B"/>
    <w:rsid w:val="00B2359B"/>
    <w:rsid w:val="00B23AD3"/>
    <w:rsid w:val="00B23D0C"/>
    <w:rsid w:val="00B24F3A"/>
    <w:rsid w:val="00B25794"/>
    <w:rsid w:val="00B259D6"/>
    <w:rsid w:val="00B25ACB"/>
    <w:rsid w:val="00B26BBA"/>
    <w:rsid w:val="00B26EB5"/>
    <w:rsid w:val="00B2720F"/>
    <w:rsid w:val="00B27423"/>
    <w:rsid w:val="00B27848"/>
    <w:rsid w:val="00B2793B"/>
    <w:rsid w:val="00B30876"/>
    <w:rsid w:val="00B30C6D"/>
    <w:rsid w:val="00B31BE3"/>
    <w:rsid w:val="00B31C06"/>
    <w:rsid w:val="00B31F92"/>
    <w:rsid w:val="00B31FDF"/>
    <w:rsid w:val="00B326D3"/>
    <w:rsid w:val="00B32AA1"/>
    <w:rsid w:val="00B32BAF"/>
    <w:rsid w:val="00B33FB4"/>
    <w:rsid w:val="00B340F8"/>
    <w:rsid w:val="00B34713"/>
    <w:rsid w:val="00B348EC"/>
    <w:rsid w:val="00B34BF2"/>
    <w:rsid w:val="00B34C1B"/>
    <w:rsid w:val="00B35220"/>
    <w:rsid w:val="00B3533F"/>
    <w:rsid w:val="00B35B36"/>
    <w:rsid w:val="00B35CE6"/>
    <w:rsid w:val="00B35DBA"/>
    <w:rsid w:val="00B35E8C"/>
    <w:rsid w:val="00B360F2"/>
    <w:rsid w:val="00B365F0"/>
    <w:rsid w:val="00B3712F"/>
    <w:rsid w:val="00B377B0"/>
    <w:rsid w:val="00B40F98"/>
    <w:rsid w:val="00B41532"/>
    <w:rsid w:val="00B41F98"/>
    <w:rsid w:val="00B424CC"/>
    <w:rsid w:val="00B42686"/>
    <w:rsid w:val="00B42957"/>
    <w:rsid w:val="00B43883"/>
    <w:rsid w:val="00B446C9"/>
    <w:rsid w:val="00B44719"/>
    <w:rsid w:val="00B4506E"/>
    <w:rsid w:val="00B45A2A"/>
    <w:rsid w:val="00B469EC"/>
    <w:rsid w:val="00B46E40"/>
    <w:rsid w:val="00B47073"/>
    <w:rsid w:val="00B47481"/>
    <w:rsid w:val="00B47BE8"/>
    <w:rsid w:val="00B47DDE"/>
    <w:rsid w:val="00B50496"/>
    <w:rsid w:val="00B51B4B"/>
    <w:rsid w:val="00B51C83"/>
    <w:rsid w:val="00B51F2B"/>
    <w:rsid w:val="00B52978"/>
    <w:rsid w:val="00B52C05"/>
    <w:rsid w:val="00B52EEB"/>
    <w:rsid w:val="00B530BB"/>
    <w:rsid w:val="00B53846"/>
    <w:rsid w:val="00B53A6E"/>
    <w:rsid w:val="00B53F68"/>
    <w:rsid w:val="00B5545A"/>
    <w:rsid w:val="00B55BC5"/>
    <w:rsid w:val="00B55F56"/>
    <w:rsid w:val="00B561EB"/>
    <w:rsid w:val="00B5785F"/>
    <w:rsid w:val="00B57F5C"/>
    <w:rsid w:val="00B602FC"/>
    <w:rsid w:val="00B60400"/>
    <w:rsid w:val="00B607CF"/>
    <w:rsid w:val="00B60A4B"/>
    <w:rsid w:val="00B60A68"/>
    <w:rsid w:val="00B60CC1"/>
    <w:rsid w:val="00B610BB"/>
    <w:rsid w:val="00B61CD1"/>
    <w:rsid w:val="00B62315"/>
    <w:rsid w:val="00B626C1"/>
    <w:rsid w:val="00B6358A"/>
    <w:rsid w:val="00B6378C"/>
    <w:rsid w:val="00B63CE4"/>
    <w:rsid w:val="00B6438F"/>
    <w:rsid w:val="00B644DB"/>
    <w:rsid w:val="00B6553B"/>
    <w:rsid w:val="00B655FC"/>
    <w:rsid w:val="00B65689"/>
    <w:rsid w:val="00B657E8"/>
    <w:rsid w:val="00B6602F"/>
    <w:rsid w:val="00B66F14"/>
    <w:rsid w:val="00B7030A"/>
    <w:rsid w:val="00B70E17"/>
    <w:rsid w:val="00B71696"/>
    <w:rsid w:val="00B7176C"/>
    <w:rsid w:val="00B71D2B"/>
    <w:rsid w:val="00B7260C"/>
    <w:rsid w:val="00B72A24"/>
    <w:rsid w:val="00B72FD6"/>
    <w:rsid w:val="00B73808"/>
    <w:rsid w:val="00B7390B"/>
    <w:rsid w:val="00B73EF1"/>
    <w:rsid w:val="00B740F0"/>
    <w:rsid w:val="00B74321"/>
    <w:rsid w:val="00B74441"/>
    <w:rsid w:val="00B74C21"/>
    <w:rsid w:val="00B74E34"/>
    <w:rsid w:val="00B75AD2"/>
    <w:rsid w:val="00B76E98"/>
    <w:rsid w:val="00B770DA"/>
    <w:rsid w:val="00B774BA"/>
    <w:rsid w:val="00B77569"/>
    <w:rsid w:val="00B77B9E"/>
    <w:rsid w:val="00B77BDF"/>
    <w:rsid w:val="00B77D69"/>
    <w:rsid w:val="00B77ECF"/>
    <w:rsid w:val="00B77EFD"/>
    <w:rsid w:val="00B80816"/>
    <w:rsid w:val="00B8087B"/>
    <w:rsid w:val="00B80A99"/>
    <w:rsid w:val="00B80B17"/>
    <w:rsid w:val="00B81422"/>
    <w:rsid w:val="00B81598"/>
    <w:rsid w:val="00B81CEB"/>
    <w:rsid w:val="00B82164"/>
    <w:rsid w:val="00B82A30"/>
    <w:rsid w:val="00B82C96"/>
    <w:rsid w:val="00B82DC7"/>
    <w:rsid w:val="00B834EB"/>
    <w:rsid w:val="00B83847"/>
    <w:rsid w:val="00B84854"/>
    <w:rsid w:val="00B84FD7"/>
    <w:rsid w:val="00B85590"/>
    <w:rsid w:val="00B8706B"/>
    <w:rsid w:val="00B87A94"/>
    <w:rsid w:val="00B907F6"/>
    <w:rsid w:val="00B90C72"/>
    <w:rsid w:val="00B90D0A"/>
    <w:rsid w:val="00B91965"/>
    <w:rsid w:val="00B91F1C"/>
    <w:rsid w:val="00B9210E"/>
    <w:rsid w:val="00B922CC"/>
    <w:rsid w:val="00B923E9"/>
    <w:rsid w:val="00B9305E"/>
    <w:rsid w:val="00B93141"/>
    <w:rsid w:val="00B9389F"/>
    <w:rsid w:val="00B94CE6"/>
    <w:rsid w:val="00B950EE"/>
    <w:rsid w:val="00B95CEA"/>
    <w:rsid w:val="00B960B2"/>
    <w:rsid w:val="00B964BD"/>
    <w:rsid w:val="00B976A5"/>
    <w:rsid w:val="00B977C2"/>
    <w:rsid w:val="00B978E4"/>
    <w:rsid w:val="00B97B3C"/>
    <w:rsid w:val="00BA1EEC"/>
    <w:rsid w:val="00BA26DB"/>
    <w:rsid w:val="00BA270E"/>
    <w:rsid w:val="00BA322B"/>
    <w:rsid w:val="00BA342A"/>
    <w:rsid w:val="00BA38EA"/>
    <w:rsid w:val="00BA4217"/>
    <w:rsid w:val="00BA472B"/>
    <w:rsid w:val="00BA4D05"/>
    <w:rsid w:val="00BA5093"/>
    <w:rsid w:val="00BA576C"/>
    <w:rsid w:val="00BA59D1"/>
    <w:rsid w:val="00BA5EA0"/>
    <w:rsid w:val="00BA779D"/>
    <w:rsid w:val="00BB00E2"/>
    <w:rsid w:val="00BB05AC"/>
    <w:rsid w:val="00BB0BD5"/>
    <w:rsid w:val="00BB0D27"/>
    <w:rsid w:val="00BB0F1E"/>
    <w:rsid w:val="00BB1CAF"/>
    <w:rsid w:val="00BB2393"/>
    <w:rsid w:val="00BB3136"/>
    <w:rsid w:val="00BB3800"/>
    <w:rsid w:val="00BB3D20"/>
    <w:rsid w:val="00BB4613"/>
    <w:rsid w:val="00BB5693"/>
    <w:rsid w:val="00BB5855"/>
    <w:rsid w:val="00BB5C5E"/>
    <w:rsid w:val="00BB5CE7"/>
    <w:rsid w:val="00BB5E02"/>
    <w:rsid w:val="00BB6445"/>
    <w:rsid w:val="00BB67BC"/>
    <w:rsid w:val="00BB6BFE"/>
    <w:rsid w:val="00BB7156"/>
    <w:rsid w:val="00BB7576"/>
    <w:rsid w:val="00BB7CC6"/>
    <w:rsid w:val="00BC0BF8"/>
    <w:rsid w:val="00BC0F92"/>
    <w:rsid w:val="00BC1068"/>
    <w:rsid w:val="00BC13B1"/>
    <w:rsid w:val="00BC1D9D"/>
    <w:rsid w:val="00BC242F"/>
    <w:rsid w:val="00BC2C20"/>
    <w:rsid w:val="00BC2E81"/>
    <w:rsid w:val="00BC3227"/>
    <w:rsid w:val="00BC3861"/>
    <w:rsid w:val="00BC3B72"/>
    <w:rsid w:val="00BC3D1A"/>
    <w:rsid w:val="00BC3FD8"/>
    <w:rsid w:val="00BC459F"/>
    <w:rsid w:val="00BC4649"/>
    <w:rsid w:val="00BC56B0"/>
    <w:rsid w:val="00BC6107"/>
    <w:rsid w:val="00BC66FA"/>
    <w:rsid w:val="00BC6D58"/>
    <w:rsid w:val="00BC6E60"/>
    <w:rsid w:val="00BC7A15"/>
    <w:rsid w:val="00BD05A5"/>
    <w:rsid w:val="00BD09F3"/>
    <w:rsid w:val="00BD0A50"/>
    <w:rsid w:val="00BD0F44"/>
    <w:rsid w:val="00BD158A"/>
    <w:rsid w:val="00BD1BC6"/>
    <w:rsid w:val="00BD1F4F"/>
    <w:rsid w:val="00BD2394"/>
    <w:rsid w:val="00BD2420"/>
    <w:rsid w:val="00BD2635"/>
    <w:rsid w:val="00BD4914"/>
    <w:rsid w:val="00BD4A49"/>
    <w:rsid w:val="00BD4AC0"/>
    <w:rsid w:val="00BD4D0B"/>
    <w:rsid w:val="00BD5055"/>
    <w:rsid w:val="00BD5653"/>
    <w:rsid w:val="00BD7120"/>
    <w:rsid w:val="00BD78A9"/>
    <w:rsid w:val="00BD7B28"/>
    <w:rsid w:val="00BE04D4"/>
    <w:rsid w:val="00BE050F"/>
    <w:rsid w:val="00BE059D"/>
    <w:rsid w:val="00BE0898"/>
    <w:rsid w:val="00BE091A"/>
    <w:rsid w:val="00BE0EC9"/>
    <w:rsid w:val="00BE17FD"/>
    <w:rsid w:val="00BE18DF"/>
    <w:rsid w:val="00BE2271"/>
    <w:rsid w:val="00BE24FE"/>
    <w:rsid w:val="00BE288F"/>
    <w:rsid w:val="00BE29A7"/>
    <w:rsid w:val="00BE2C75"/>
    <w:rsid w:val="00BE2EC0"/>
    <w:rsid w:val="00BE2F13"/>
    <w:rsid w:val="00BE3501"/>
    <w:rsid w:val="00BE3515"/>
    <w:rsid w:val="00BE5731"/>
    <w:rsid w:val="00BE5872"/>
    <w:rsid w:val="00BE58D3"/>
    <w:rsid w:val="00BE58DA"/>
    <w:rsid w:val="00BE5918"/>
    <w:rsid w:val="00BE59B5"/>
    <w:rsid w:val="00BE5BE9"/>
    <w:rsid w:val="00BE6365"/>
    <w:rsid w:val="00BE7F38"/>
    <w:rsid w:val="00BF004F"/>
    <w:rsid w:val="00BF0657"/>
    <w:rsid w:val="00BF0C00"/>
    <w:rsid w:val="00BF0E9D"/>
    <w:rsid w:val="00BF1A41"/>
    <w:rsid w:val="00BF1CBD"/>
    <w:rsid w:val="00BF2890"/>
    <w:rsid w:val="00BF29C2"/>
    <w:rsid w:val="00BF338F"/>
    <w:rsid w:val="00BF3B8D"/>
    <w:rsid w:val="00BF4366"/>
    <w:rsid w:val="00BF4629"/>
    <w:rsid w:val="00BF47FD"/>
    <w:rsid w:val="00BF5314"/>
    <w:rsid w:val="00BF54D4"/>
    <w:rsid w:val="00BF6458"/>
    <w:rsid w:val="00BF6AC6"/>
    <w:rsid w:val="00BF7C10"/>
    <w:rsid w:val="00C000F2"/>
    <w:rsid w:val="00C00525"/>
    <w:rsid w:val="00C008B7"/>
    <w:rsid w:val="00C00B07"/>
    <w:rsid w:val="00C00C3E"/>
    <w:rsid w:val="00C017DA"/>
    <w:rsid w:val="00C01DB8"/>
    <w:rsid w:val="00C02830"/>
    <w:rsid w:val="00C02B02"/>
    <w:rsid w:val="00C02B3A"/>
    <w:rsid w:val="00C02DA7"/>
    <w:rsid w:val="00C02F8C"/>
    <w:rsid w:val="00C03102"/>
    <w:rsid w:val="00C03864"/>
    <w:rsid w:val="00C03B4F"/>
    <w:rsid w:val="00C04372"/>
    <w:rsid w:val="00C04530"/>
    <w:rsid w:val="00C062D0"/>
    <w:rsid w:val="00C06C34"/>
    <w:rsid w:val="00C11673"/>
    <w:rsid w:val="00C11D73"/>
    <w:rsid w:val="00C11FC0"/>
    <w:rsid w:val="00C121F3"/>
    <w:rsid w:val="00C1275E"/>
    <w:rsid w:val="00C12A7C"/>
    <w:rsid w:val="00C12C09"/>
    <w:rsid w:val="00C1341A"/>
    <w:rsid w:val="00C1385F"/>
    <w:rsid w:val="00C143D1"/>
    <w:rsid w:val="00C14A59"/>
    <w:rsid w:val="00C151E0"/>
    <w:rsid w:val="00C15FB7"/>
    <w:rsid w:val="00C16501"/>
    <w:rsid w:val="00C165A7"/>
    <w:rsid w:val="00C16BFF"/>
    <w:rsid w:val="00C17EA1"/>
    <w:rsid w:val="00C20593"/>
    <w:rsid w:val="00C207F0"/>
    <w:rsid w:val="00C20ABE"/>
    <w:rsid w:val="00C210A6"/>
    <w:rsid w:val="00C21AF0"/>
    <w:rsid w:val="00C229C7"/>
    <w:rsid w:val="00C23639"/>
    <w:rsid w:val="00C238B5"/>
    <w:rsid w:val="00C23C6A"/>
    <w:rsid w:val="00C23D7B"/>
    <w:rsid w:val="00C245D8"/>
    <w:rsid w:val="00C24813"/>
    <w:rsid w:val="00C25403"/>
    <w:rsid w:val="00C25C59"/>
    <w:rsid w:val="00C26204"/>
    <w:rsid w:val="00C26F87"/>
    <w:rsid w:val="00C27D09"/>
    <w:rsid w:val="00C319F4"/>
    <w:rsid w:val="00C324DE"/>
    <w:rsid w:val="00C34399"/>
    <w:rsid w:val="00C34478"/>
    <w:rsid w:val="00C3480A"/>
    <w:rsid w:val="00C356E1"/>
    <w:rsid w:val="00C35E7B"/>
    <w:rsid w:val="00C36061"/>
    <w:rsid w:val="00C3616B"/>
    <w:rsid w:val="00C3631F"/>
    <w:rsid w:val="00C369B5"/>
    <w:rsid w:val="00C373E7"/>
    <w:rsid w:val="00C37E7E"/>
    <w:rsid w:val="00C37ED2"/>
    <w:rsid w:val="00C40BD9"/>
    <w:rsid w:val="00C40DE9"/>
    <w:rsid w:val="00C410B3"/>
    <w:rsid w:val="00C420AA"/>
    <w:rsid w:val="00C42D6E"/>
    <w:rsid w:val="00C42DED"/>
    <w:rsid w:val="00C42E0D"/>
    <w:rsid w:val="00C43750"/>
    <w:rsid w:val="00C4517F"/>
    <w:rsid w:val="00C4555C"/>
    <w:rsid w:val="00C456CB"/>
    <w:rsid w:val="00C45729"/>
    <w:rsid w:val="00C4623F"/>
    <w:rsid w:val="00C47155"/>
    <w:rsid w:val="00C47F22"/>
    <w:rsid w:val="00C50604"/>
    <w:rsid w:val="00C50DE6"/>
    <w:rsid w:val="00C50E0D"/>
    <w:rsid w:val="00C517C8"/>
    <w:rsid w:val="00C51A49"/>
    <w:rsid w:val="00C525F2"/>
    <w:rsid w:val="00C52F31"/>
    <w:rsid w:val="00C53107"/>
    <w:rsid w:val="00C53F15"/>
    <w:rsid w:val="00C542DC"/>
    <w:rsid w:val="00C54C4D"/>
    <w:rsid w:val="00C54E8E"/>
    <w:rsid w:val="00C559C5"/>
    <w:rsid w:val="00C55C49"/>
    <w:rsid w:val="00C55FB9"/>
    <w:rsid w:val="00C5683C"/>
    <w:rsid w:val="00C56F4B"/>
    <w:rsid w:val="00C570A6"/>
    <w:rsid w:val="00C57E1B"/>
    <w:rsid w:val="00C57E5E"/>
    <w:rsid w:val="00C60A75"/>
    <w:rsid w:val="00C627B1"/>
    <w:rsid w:val="00C6315B"/>
    <w:rsid w:val="00C633F7"/>
    <w:rsid w:val="00C63625"/>
    <w:rsid w:val="00C63631"/>
    <w:rsid w:val="00C638DC"/>
    <w:rsid w:val="00C6500D"/>
    <w:rsid w:val="00C65053"/>
    <w:rsid w:val="00C651B4"/>
    <w:rsid w:val="00C6564A"/>
    <w:rsid w:val="00C659CE"/>
    <w:rsid w:val="00C65F38"/>
    <w:rsid w:val="00C6643A"/>
    <w:rsid w:val="00C66734"/>
    <w:rsid w:val="00C675EE"/>
    <w:rsid w:val="00C67984"/>
    <w:rsid w:val="00C67C9C"/>
    <w:rsid w:val="00C67DEB"/>
    <w:rsid w:val="00C67FB1"/>
    <w:rsid w:val="00C701A5"/>
    <w:rsid w:val="00C701D9"/>
    <w:rsid w:val="00C7087A"/>
    <w:rsid w:val="00C70ABE"/>
    <w:rsid w:val="00C70CB1"/>
    <w:rsid w:val="00C711C4"/>
    <w:rsid w:val="00C7131C"/>
    <w:rsid w:val="00C71546"/>
    <w:rsid w:val="00C7162A"/>
    <w:rsid w:val="00C71F1D"/>
    <w:rsid w:val="00C72541"/>
    <w:rsid w:val="00C72554"/>
    <w:rsid w:val="00C728F5"/>
    <w:rsid w:val="00C72D01"/>
    <w:rsid w:val="00C73134"/>
    <w:rsid w:val="00C73D63"/>
    <w:rsid w:val="00C73E4D"/>
    <w:rsid w:val="00C74312"/>
    <w:rsid w:val="00C753D4"/>
    <w:rsid w:val="00C7587C"/>
    <w:rsid w:val="00C75917"/>
    <w:rsid w:val="00C7594A"/>
    <w:rsid w:val="00C75E52"/>
    <w:rsid w:val="00C76335"/>
    <w:rsid w:val="00C763B5"/>
    <w:rsid w:val="00C764CA"/>
    <w:rsid w:val="00C76B07"/>
    <w:rsid w:val="00C77FA8"/>
    <w:rsid w:val="00C815C3"/>
    <w:rsid w:val="00C81895"/>
    <w:rsid w:val="00C8220C"/>
    <w:rsid w:val="00C828D3"/>
    <w:rsid w:val="00C83107"/>
    <w:rsid w:val="00C83596"/>
    <w:rsid w:val="00C83894"/>
    <w:rsid w:val="00C83EAD"/>
    <w:rsid w:val="00C8409D"/>
    <w:rsid w:val="00C841FE"/>
    <w:rsid w:val="00C853D9"/>
    <w:rsid w:val="00C855CF"/>
    <w:rsid w:val="00C8718A"/>
    <w:rsid w:val="00C87421"/>
    <w:rsid w:val="00C87932"/>
    <w:rsid w:val="00C87B15"/>
    <w:rsid w:val="00C87C4D"/>
    <w:rsid w:val="00C90829"/>
    <w:rsid w:val="00C909DA"/>
    <w:rsid w:val="00C90D6B"/>
    <w:rsid w:val="00C9171B"/>
    <w:rsid w:val="00C919F1"/>
    <w:rsid w:val="00C91B25"/>
    <w:rsid w:val="00C9246C"/>
    <w:rsid w:val="00C92D88"/>
    <w:rsid w:val="00C932A8"/>
    <w:rsid w:val="00C93FEE"/>
    <w:rsid w:val="00C94BCA"/>
    <w:rsid w:val="00C9503F"/>
    <w:rsid w:val="00C9545C"/>
    <w:rsid w:val="00C96066"/>
    <w:rsid w:val="00C9624B"/>
    <w:rsid w:val="00C964FF"/>
    <w:rsid w:val="00C9681A"/>
    <w:rsid w:val="00C97672"/>
    <w:rsid w:val="00C9787E"/>
    <w:rsid w:val="00C97936"/>
    <w:rsid w:val="00C97B0B"/>
    <w:rsid w:val="00C97B44"/>
    <w:rsid w:val="00CA0AFB"/>
    <w:rsid w:val="00CA1445"/>
    <w:rsid w:val="00CA156A"/>
    <w:rsid w:val="00CA1811"/>
    <w:rsid w:val="00CA271B"/>
    <w:rsid w:val="00CA2E49"/>
    <w:rsid w:val="00CA307E"/>
    <w:rsid w:val="00CA33FF"/>
    <w:rsid w:val="00CA39F1"/>
    <w:rsid w:val="00CA3B26"/>
    <w:rsid w:val="00CA3CCB"/>
    <w:rsid w:val="00CA3FF6"/>
    <w:rsid w:val="00CA45AC"/>
    <w:rsid w:val="00CA4C56"/>
    <w:rsid w:val="00CA4EBC"/>
    <w:rsid w:val="00CA523E"/>
    <w:rsid w:val="00CA52CC"/>
    <w:rsid w:val="00CA5507"/>
    <w:rsid w:val="00CA5514"/>
    <w:rsid w:val="00CA57F8"/>
    <w:rsid w:val="00CA6345"/>
    <w:rsid w:val="00CA6493"/>
    <w:rsid w:val="00CA68C8"/>
    <w:rsid w:val="00CB0057"/>
    <w:rsid w:val="00CB092D"/>
    <w:rsid w:val="00CB09EC"/>
    <w:rsid w:val="00CB0A87"/>
    <w:rsid w:val="00CB0BDA"/>
    <w:rsid w:val="00CB0BED"/>
    <w:rsid w:val="00CB0C1E"/>
    <w:rsid w:val="00CB2030"/>
    <w:rsid w:val="00CB27AA"/>
    <w:rsid w:val="00CB2F52"/>
    <w:rsid w:val="00CB4525"/>
    <w:rsid w:val="00CB4E54"/>
    <w:rsid w:val="00CB51EA"/>
    <w:rsid w:val="00CB5425"/>
    <w:rsid w:val="00CB5688"/>
    <w:rsid w:val="00CB5A98"/>
    <w:rsid w:val="00CB670B"/>
    <w:rsid w:val="00CB6978"/>
    <w:rsid w:val="00CB6C61"/>
    <w:rsid w:val="00CB6D80"/>
    <w:rsid w:val="00CB7184"/>
    <w:rsid w:val="00CB72E1"/>
    <w:rsid w:val="00CB72FB"/>
    <w:rsid w:val="00CB7C23"/>
    <w:rsid w:val="00CC0254"/>
    <w:rsid w:val="00CC040C"/>
    <w:rsid w:val="00CC0F92"/>
    <w:rsid w:val="00CC1379"/>
    <w:rsid w:val="00CC1396"/>
    <w:rsid w:val="00CC2E6C"/>
    <w:rsid w:val="00CC39BE"/>
    <w:rsid w:val="00CC3CDA"/>
    <w:rsid w:val="00CC47DC"/>
    <w:rsid w:val="00CC48E5"/>
    <w:rsid w:val="00CC4921"/>
    <w:rsid w:val="00CC4A46"/>
    <w:rsid w:val="00CC4F5B"/>
    <w:rsid w:val="00CC51C2"/>
    <w:rsid w:val="00CC5447"/>
    <w:rsid w:val="00CC5747"/>
    <w:rsid w:val="00CC57DF"/>
    <w:rsid w:val="00CC5D5F"/>
    <w:rsid w:val="00CC6041"/>
    <w:rsid w:val="00CC6BBE"/>
    <w:rsid w:val="00CC7532"/>
    <w:rsid w:val="00CC78E8"/>
    <w:rsid w:val="00CD0A6B"/>
    <w:rsid w:val="00CD0EBD"/>
    <w:rsid w:val="00CD105A"/>
    <w:rsid w:val="00CD13FA"/>
    <w:rsid w:val="00CD1B38"/>
    <w:rsid w:val="00CD226A"/>
    <w:rsid w:val="00CD264C"/>
    <w:rsid w:val="00CD2B07"/>
    <w:rsid w:val="00CD2D9D"/>
    <w:rsid w:val="00CD336C"/>
    <w:rsid w:val="00CD37B5"/>
    <w:rsid w:val="00CD3E1D"/>
    <w:rsid w:val="00CD3FF4"/>
    <w:rsid w:val="00CD443E"/>
    <w:rsid w:val="00CD4B6E"/>
    <w:rsid w:val="00CD4CAF"/>
    <w:rsid w:val="00CD53D8"/>
    <w:rsid w:val="00CD610F"/>
    <w:rsid w:val="00CD63CB"/>
    <w:rsid w:val="00CD67B5"/>
    <w:rsid w:val="00CD7A62"/>
    <w:rsid w:val="00CD7BF3"/>
    <w:rsid w:val="00CE00D2"/>
    <w:rsid w:val="00CE0106"/>
    <w:rsid w:val="00CE0792"/>
    <w:rsid w:val="00CE0D87"/>
    <w:rsid w:val="00CE18F2"/>
    <w:rsid w:val="00CE2534"/>
    <w:rsid w:val="00CE26E7"/>
    <w:rsid w:val="00CE26E9"/>
    <w:rsid w:val="00CE279E"/>
    <w:rsid w:val="00CE2BD3"/>
    <w:rsid w:val="00CE2E6B"/>
    <w:rsid w:val="00CE38C8"/>
    <w:rsid w:val="00CE3EC3"/>
    <w:rsid w:val="00CE3EEE"/>
    <w:rsid w:val="00CE4343"/>
    <w:rsid w:val="00CE4BA9"/>
    <w:rsid w:val="00CE56C0"/>
    <w:rsid w:val="00CE5D8C"/>
    <w:rsid w:val="00CE6A7D"/>
    <w:rsid w:val="00CE7263"/>
    <w:rsid w:val="00CE7499"/>
    <w:rsid w:val="00CE7A95"/>
    <w:rsid w:val="00CF0687"/>
    <w:rsid w:val="00CF206B"/>
    <w:rsid w:val="00CF2692"/>
    <w:rsid w:val="00CF28A0"/>
    <w:rsid w:val="00CF32D0"/>
    <w:rsid w:val="00CF46EC"/>
    <w:rsid w:val="00CF4A1B"/>
    <w:rsid w:val="00CF5D16"/>
    <w:rsid w:val="00CF6131"/>
    <w:rsid w:val="00CF6DEA"/>
    <w:rsid w:val="00CF7458"/>
    <w:rsid w:val="00CF7621"/>
    <w:rsid w:val="00CF7645"/>
    <w:rsid w:val="00CF76B5"/>
    <w:rsid w:val="00CF79F8"/>
    <w:rsid w:val="00D00AFA"/>
    <w:rsid w:val="00D00D53"/>
    <w:rsid w:val="00D01264"/>
    <w:rsid w:val="00D0149D"/>
    <w:rsid w:val="00D01B7D"/>
    <w:rsid w:val="00D023A6"/>
    <w:rsid w:val="00D02A3B"/>
    <w:rsid w:val="00D02FD1"/>
    <w:rsid w:val="00D03E13"/>
    <w:rsid w:val="00D03EC7"/>
    <w:rsid w:val="00D03F93"/>
    <w:rsid w:val="00D04303"/>
    <w:rsid w:val="00D04781"/>
    <w:rsid w:val="00D04F9A"/>
    <w:rsid w:val="00D054F6"/>
    <w:rsid w:val="00D0637C"/>
    <w:rsid w:val="00D065C9"/>
    <w:rsid w:val="00D073F7"/>
    <w:rsid w:val="00D07D04"/>
    <w:rsid w:val="00D1052D"/>
    <w:rsid w:val="00D1059A"/>
    <w:rsid w:val="00D10D04"/>
    <w:rsid w:val="00D10F2E"/>
    <w:rsid w:val="00D11469"/>
    <w:rsid w:val="00D128BC"/>
    <w:rsid w:val="00D1306E"/>
    <w:rsid w:val="00D13A43"/>
    <w:rsid w:val="00D13EF5"/>
    <w:rsid w:val="00D140EE"/>
    <w:rsid w:val="00D15B63"/>
    <w:rsid w:val="00D1692D"/>
    <w:rsid w:val="00D16A59"/>
    <w:rsid w:val="00D17011"/>
    <w:rsid w:val="00D170A9"/>
    <w:rsid w:val="00D200CC"/>
    <w:rsid w:val="00D2021D"/>
    <w:rsid w:val="00D20D58"/>
    <w:rsid w:val="00D20E9C"/>
    <w:rsid w:val="00D216A1"/>
    <w:rsid w:val="00D22680"/>
    <w:rsid w:val="00D22BEF"/>
    <w:rsid w:val="00D22E36"/>
    <w:rsid w:val="00D23B09"/>
    <w:rsid w:val="00D23BE9"/>
    <w:rsid w:val="00D247BB"/>
    <w:rsid w:val="00D252EE"/>
    <w:rsid w:val="00D255B6"/>
    <w:rsid w:val="00D262A9"/>
    <w:rsid w:val="00D2659B"/>
    <w:rsid w:val="00D26BDC"/>
    <w:rsid w:val="00D26E2D"/>
    <w:rsid w:val="00D26E39"/>
    <w:rsid w:val="00D273C1"/>
    <w:rsid w:val="00D275C6"/>
    <w:rsid w:val="00D27DAB"/>
    <w:rsid w:val="00D27EA4"/>
    <w:rsid w:val="00D27F5B"/>
    <w:rsid w:val="00D30956"/>
    <w:rsid w:val="00D30C3E"/>
    <w:rsid w:val="00D30FB4"/>
    <w:rsid w:val="00D3115A"/>
    <w:rsid w:val="00D31694"/>
    <w:rsid w:val="00D31BCD"/>
    <w:rsid w:val="00D31C1B"/>
    <w:rsid w:val="00D3283B"/>
    <w:rsid w:val="00D3318D"/>
    <w:rsid w:val="00D33595"/>
    <w:rsid w:val="00D33C10"/>
    <w:rsid w:val="00D33FFD"/>
    <w:rsid w:val="00D3451C"/>
    <w:rsid w:val="00D34FC7"/>
    <w:rsid w:val="00D35567"/>
    <w:rsid w:val="00D368CD"/>
    <w:rsid w:val="00D36B25"/>
    <w:rsid w:val="00D36E8A"/>
    <w:rsid w:val="00D371CA"/>
    <w:rsid w:val="00D40392"/>
    <w:rsid w:val="00D405E0"/>
    <w:rsid w:val="00D40D6A"/>
    <w:rsid w:val="00D41072"/>
    <w:rsid w:val="00D41263"/>
    <w:rsid w:val="00D4188C"/>
    <w:rsid w:val="00D41FE2"/>
    <w:rsid w:val="00D424CC"/>
    <w:rsid w:val="00D4319E"/>
    <w:rsid w:val="00D43A4A"/>
    <w:rsid w:val="00D44D04"/>
    <w:rsid w:val="00D453AE"/>
    <w:rsid w:val="00D45D86"/>
    <w:rsid w:val="00D45F48"/>
    <w:rsid w:val="00D47EF6"/>
    <w:rsid w:val="00D50AC9"/>
    <w:rsid w:val="00D50D1D"/>
    <w:rsid w:val="00D5132B"/>
    <w:rsid w:val="00D51A5C"/>
    <w:rsid w:val="00D51BA6"/>
    <w:rsid w:val="00D51BAA"/>
    <w:rsid w:val="00D51C51"/>
    <w:rsid w:val="00D52244"/>
    <w:rsid w:val="00D52CBD"/>
    <w:rsid w:val="00D52F47"/>
    <w:rsid w:val="00D5368E"/>
    <w:rsid w:val="00D53778"/>
    <w:rsid w:val="00D53AA4"/>
    <w:rsid w:val="00D540D8"/>
    <w:rsid w:val="00D5417B"/>
    <w:rsid w:val="00D5438B"/>
    <w:rsid w:val="00D54457"/>
    <w:rsid w:val="00D54A3C"/>
    <w:rsid w:val="00D554B5"/>
    <w:rsid w:val="00D5689A"/>
    <w:rsid w:val="00D569FA"/>
    <w:rsid w:val="00D573CB"/>
    <w:rsid w:val="00D57C19"/>
    <w:rsid w:val="00D57D5B"/>
    <w:rsid w:val="00D602B6"/>
    <w:rsid w:val="00D6050D"/>
    <w:rsid w:val="00D605C3"/>
    <w:rsid w:val="00D63046"/>
    <w:rsid w:val="00D630E9"/>
    <w:rsid w:val="00D634D2"/>
    <w:rsid w:val="00D642F8"/>
    <w:rsid w:val="00D64531"/>
    <w:rsid w:val="00D64876"/>
    <w:rsid w:val="00D64B81"/>
    <w:rsid w:val="00D65F46"/>
    <w:rsid w:val="00D66711"/>
    <w:rsid w:val="00D66A2E"/>
    <w:rsid w:val="00D66CC2"/>
    <w:rsid w:val="00D66D30"/>
    <w:rsid w:val="00D6753D"/>
    <w:rsid w:val="00D711D1"/>
    <w:rsid w:val="00D715EA"/>
    <w:rsid w:val="00D71E75"/>
    <w:rsid w:val="00D72F06"/>
    <w:rsid w:val="00D733D1"/>
    <w:rsid w:val="00D736D9"/>
    <w:rsid w:val="00D73F34"/>
    <w:rsid w:val="00D7502F"/>
    <w:rsid w:val="00D75113"/>
    <w:rsid w:val="00D75612"/>
    <w:rsid w:val="00D75EB8"/>
    <w:rsid w:val="00D76548"/>
    <w:rsid w:val="00D76EB7"/>
    <w:rsid w:val="00D770F9"/>
    <w:rsid w:val="00D77E81"/>
    <w:rsid w:val="00D77F72"/>
    <w:rsid w:val="00D77F9E"/>
    <w:rsid w:val="00D77FDF"/>
    <w:rsid w:val="00D80B5B"/>
    <w:rsid w:val="00D81372"/>
    <w:rsid w:val="00D81931"/>
    <w:rsid w:val="00D81D87"/>
    <w:rsid w:val="00D821DD"/>
    <w:rsid w:val="00D824AF"/>
    <w:rsid w:val="00D82CEC"/>
    <w:rsid w:val="00D83279"/>
    <w:rsid w:val="00D83392"/>
    <w:rsid w:val="00D8474B"/>
    <w:rsid w:val="00D85C6E"/>
    <w:rsid w:val="00D85E69"/>
    <w:rsid w:val="00D85ECA"/>
    <w:rsid w:val="00D861CF"/>
    <w:rsid w:val="00D86510"/>
    <w:rsid w:val="00D867E5"/>
    <w:rsid w:val="00D871E7"/>
    <w:rsid w:val="00D8758A"/>
    <w:rsid w:val="00D9026A"/>
    <w:rsid w:val="00D909AC"/>
    <w:rsid w:val="00D90B38"/>
    <w:rsid w:val="00D915B9"/>
    <w:rsid w:val="00D92C34"/>
    <w:rsid w:val="00D92E01"/>
    <w:rsid w:val="00D95E45"/>
    <w:rsid w:val="00D95ECC"/>
    <w:rsid w:val="00D95F2D"/>
    <w:rsid w:val="00D970B2"/>
    <w:rsid w:val="00D970CB"/>
    <w:rsid w:val="00DA020E"/>
    <w:rsid w:val="00DA084E"/>
    <w:rsid w:val="00DA0AC0"/>
    <w:rsid w:val="00DA0BA8"/>
    <w:rsid w:val="00DA0C24"/>
    <w:rsid w:val="00DA1BDB"/>
    <w:rsid w:val="00DA254E"/>
    <w:rsid w:val="00DA284A"/>
    <w:rsid w:val="00DA2A9E"/>
    <w:rsid w:val="00DA2B6D"/>
    <w:rsid w:val="00DA311D"/>
    <w:rsid w:val="00DA3E91"/>
    <w:rsid w:val="00DA52DA"/>
    <w:rsid w:val="00DA5605"/>
    <w:rsid w:val="00DA5B5C"/>
    <w:rsid w:val="00DA5CE2"/>
    <w:rsid w:val="00DA5F13"/>
    <w:rsid w:val="00DA6D12"/>
    <w:rsid w:val="00DB057F"/>
    <w:rsid w:val="00DB0924"/>
    <w:rsid w:val="00DB0C88"/>
    <w:rsid w:val="00DB16A0"/>
    <w:rsid w:val="00DB2420"/>
    <w:rsid w:val="00DB32D5"/>
    <w:rsid w:val="00DB3D60"/>
    <w:rsid w:val="00DB40DB"/>
    <w:rsid w:val="00DB429B"/>
    <w:rsid w:val="00DB454F"/>
    <w:rsid w:val="00DB4AB2"/>
    <w:rsid w:val="00DB540E"/>
    <w:rsid w:val="00DB5EE6"/>
    <w:rsid w:val="00DB68BA"/>
    <w:rsid w:val="00DB7004"/>
    <w:rsid w:val="00DB76F1"/>
    <w:rsid w:val="00DB787B"/>
    <w:rsid w:val="00DB78EE"/>
    <w:rsid w:val="00DB7C82"/>
    <w:rsid w:val="00DC04F7"/>
    <w:rsid w:val="00DC2A0A"/>
    <w:rsid w:val="00DC2F72"/>
    <w:rsid w:val="00DC31EF"/>
    <w:rsid w:val="00DC3FE4"/>
    <w:rsid w:val="00DC42B0"/>
    <w:rsid w:val="00DC430C"/>
    <w:rsid w:val="00DC5988"/>
    <w:rsid w:val="00DC64E7"/>
    <w:rsid w:val="00DC6736"/>
    <w:rsid w:val="00DC6A57"/>
    <w:rsid w:val="00DC75D2"/>
    <w:rsid w:val="00DC79ED"/>
    <w:rsid w:val="00DC7BF8"/>
    <w:rsid w:val="00DC7E20"/>
    <w:rsid w:val="00DD018B"/>
    <w:rsid w:val="00DD0697"/>
    <w:rsid w:val="00DD12F7"/>
    <w:rsid w:val="00DD1C0F"/>
    <w:rsid w:val="00DD23D8"/>
    <w:rsid w:val="00DD27E5"/>
    <w:rsid w:val="00DD34B2"/>
    <w:rsid w:val="00DD364B"/>
    <w:rsid w:val="00DD3B01"/>
    <w:rsid w:val="00DD41D6"/>
    <w:rsid w:val="00DD47CC"/>
    <w:rsid w:val="00DD4830"/>
    <w:rsid w:val="00DD4AD2"/>
    <w:rsid w:val="00DD4EFA"/>
    <w:rsid w:val="00DD55FC"/>
    <w:rsid w:val="00DD5DE0"/>
    <w:rsid w:val="00DD660F"/>
    <w:rsid w:val="00DD69C3"/>
    <w:rsid w:val="00DD7199"/>
    <w:rsid w:val="00DD7EAD"/>
    <w:rsid w:val="00DE07DA"/>
    <w:rsid w:val="00DE0E56"/>
    <w:rsid w:val="00DE1068"/>
    <w:rsid w:val="00DE11F9"/>
    <w:rsid w:val="00DE13F6"/>
    <w:rsid w:val="00DE18E8"/>
    <w:rsid w:val="00DE192E"/>
    <w:rsid w:val="00DE2B84"/>
    <w:rsid w:val="00DE31A1"/>
    <w:rsid w:val="00DE3BDD"/>
    <w:rsid w:val="00DE45FF"/>
    <w:rsid w:val="00DE4C56"/>
    <w:rsid w:val="00DE52CE"/>
    <w:rsid w:val="00DE575E"/>
    <w:rsid w:val="00DE680C"/>
    <w:rsid w:val="00DE7DAA"/>
    <w:rsid w:val="00DE7F9E"/>
    <w:rsid w:val="00DF0907"/>
    <w:rsid w:val="00DF0A75"/>
    <w:rsid w:val="00DF159F"/>
    <w:rsid w:val="00DF1864"/>
    <w:rsid w:val="00DF186B"/>
    <w:rsid w:val="00DF2BF8"/>
    <w:rsid w:val="00DF2D78"/>
    <w:rsid w:val="00DF3656"/>
    <w:rsid w:val="00DF36E5"/>
    <w:rsid w:val="00DF3E08"/>
    <w:rsid w:val="00DF3FB5"/>
    <w:rsid w:val="00DF4118"/>
    <w:rsid w:val="00DF455B"/>
    <w:rsid w:val="00DF51C6"/>
    <w:rsid w:val="00DF52E1"/>
    <w:rsid w:val="00DF557C"/>
    <w:rsid w:val="00DF5A86"/>
    <w:rsid w:val="00DF5B20"/>
    <w:rsid w:val="00DF5D71"/>
    <w:rsid w:val="00DF616B"/>
    <w:rsid w:val="00DF65FD"/>
    <w:rsid w:val="00DF696E"/>
    <w:rsid w:val="00DF7F8A"/>
    <w:rsid w:val="00E00781"/>
    <w:rsid w:val="00E00837"/>
    <w:rsid w:val="00E008FA"/>
    <w:rsid w:val="00E00A92"/>
    <w:rsid w:val="00E00B4A"/>
    <w:rsid w:val="00E011DF"/>
    <w:rsid w:val="00E0160A"/>
    <w:rsid w:val="00E0166C"/>
    <w:rsid w:val="00E01825"/>
    <w:rsid w:val="00E01D52"/>
    <w:rsid w:val="00E02343"/>
    <w:rsid w:val="00E030BF"/>
    <w:rsid w:val="00E030D3"/>
    <w:rsid w:val="00E0321D"/>
    <w:rsid w:val="00E03274"/>
    <w:rsid w:val="00E0349B"/>
    <w:rsid w:val="00E03562"/>
    <w:rsid w:val="00E04299"/>
    <w:rsid w:val="00E04391"/>
    <w:rsid w:val="00E0518D"/>
    <w:rsid w:val="00E051A3"/>
    <w:rsid w:val="00E055BD"/>
    <w:rsid w:val="00E05D54"/>
    <w:rsid w:val="00E06064"/>
    <w:rsid w:val="00E0618A"/>
    <w:rsid w:val="00E06740"/>
    <w:rsid w:val="00E06B22"/>
    <w:rsid w:val="00E06B76"/>
    <w:rsid w:val="00E0758A"/>
    <w:rsid w:val="00E10F01"/>
    <w:rsid w:val="00E11143"/>
    <w:rsid w:val="00E1131A"/>
    <w:rsid w:val="00E11B1A"/>
    <w:rsid w:val="00E11CAA"/>
    <w:rsid w:val="00E12204"/>
    <w:rsid w:val="00E12614"/>
    <w:rsid w:val="00E12B54"/>
    <w:rsid w:val="00E12BCB"/>
    <w:rsid w:val="00E12DA6"/>
    <w:rsid w:val="00E12E29"/>
    <w:rsid w:val="00E12EC7"/>
    <w:rsid w:val="00E12F54"/>
    <w:rsid w:val="00E1345B"/>
    <w:rsid w:val="00E13807"/>
    <w:rsid w:val="00E13958"/>
    <w:rsid w:val="00E13A6E"/>
    <w:rsid w:val="00E14069"/>
    <w:rsid w:val="00E14733"/>
    <w:rsid w:val="00E157E6"/>
    <w:rsid w:val="00E15AD5"/>
    <w:rsid w:val="00E165D6"/>
    <w:rsid w:val="00E169A8"/>
    <w:rsid w:val="00E16B91"/>
    <w:rsid w:val="00E172BA"/>
    <w:rsid w:val="00E17B06"/>
    <w:rsid w:val="00E2007D"/>
    <w:rsid w:val="00E21575"/>
    <w:rsid w:val="00E21F98"/>
    <w:rsid w:val="00E22163"/>
    <w:rsid w:val="00E2252F"/>
    <w:rsid w:val="00E22565"/>
    <w:rsid w:val="00E23954"/>
    <w:rsid w:val="00E23970"/>
    <w:rsid w:val="00E23F69"/>
    <w:rsid w:val="00E24F96"/>
    <w:rsid w:val="00E25AC3"/>
    <w:rsid w:val="00E25B3D"/>
    <w:rsid w:val="00E25FDA"/>
    <w:rsid w:val="00E26122"/>
    <w:rsid w:val="00E26AF2"/>
    <w:rsid w:val="00E26E91"/>
    <w:rsid w:val="00E27007"/>
    <w:rsid w:val="00E2703E"/>
    <w:rsid w:val="00E278DA"/>
    <w:rsid w:val="00E27CF9"/>
    <w:rsid w:val="00E305A6"/>
    <w:rsid w:val="00E30D54"/>
    <w:rsid w:val="00E318D0"/>
    <w:rsid w:val="00E31C01"/>
    <w:rsid w:val="00E32392"/>
    <w:rsid w:val="00E32D13"/>
    <w:rsid w:val="00E33039"/>
    <w:rsid w:val="00E33C4D"/>
    <w:rsid w:val="00E34D3B"/>
    <w:rsid w:val="00E35127"/>
    <w:rsid w:val="00E35182"/>
    <w:rsid w:val="00E3573F"/>
    <w:rsid w:val="00E35AD9"/>
    <w:rsid w:val="00E3612F"/>
    <w:rsid w:val="00E367DE"/>
    <w:rsid w:val="00E37E50"/>
    <w:rsid w:val="00E402FB"/>
    <w:rsid w:val="00E4082F"/>
    <w:rsid w:val="00E40908"/>
    <w:rsid w:val="00E4110C"/>
    <w:rsid w:val="00E41171"/>
    <w:rsid w:val="00E4153D"/>
    <w:rsid w:val="00E41BDD"/>
    <w:rsid w:val="00E42D75"/>
    <w:rsid w:val="00E431D1"/>
    <w:rsid w:val="00E439C5"/>
    <w:rsid w:val="00E43F27"/>
    <w:rsid w:val="00E442E7"/>
    <w:rsid w:val="00E443BC"/>
    <w:rsid w:val="00E44C19"/>
    <w:rsid w:val="00E44C32"/>
    <w:rsid w:val="00E45150"/>
    <w:rsid w:val="00E451BC"/>
    <w:rsid w:val="00E4581F"/>
    <w:rsid w:val="00E46756"/>
    <w:rsid w:val="00E46D92"/>
    <w:rsid w:val="00E47A65"/>
    <w:rsid w:val="00E50680"/>
    <w:rsid w:val="00E50DFA"/>
    <w:rsid w:val="00E50F16"/>
    <w:rsid w:val="00E510D6"/>
    <w:rsid w:val="00E518A2"/>
    <w:rsid w:val="00E51C31"/>
    <w:rsid w:val="00E52AAB"/>
    <w:rsid w:val="00E52C33"/>
    <w:rsid w:val="00E533A3"/>
    <w:rsid w:val="00E533C8"/>
    <w:rsid w:val="00E5394A"/>
    <w:rsid w:val="00E539CA"/>
    <w:rsid w:val="00E54362"/>
    <w:rsid w:val="00E54493"/>
    <w:rsid w:val="00E545BC"/>
    <w:rsid w:val="00E5509A"/>
    <w:rsid w:val="00E560A3"/>
    <w:rsid w:val="00E560AC"/>
    <w:rsid w:val="00E568C5"/>
    <w:rsid w:val="00E57C4F"/>
    <w:rsid w:val="00E57C81"/>
    <w:rsid w:val="00E60601"/>
    <w:rsid w:val="00E60960"/>
    <w:rsid w:val="00E60977"/>
    <w:rsid w:val="00E615FD"/>
    <w:rsid w:val="00E61F62"/>
    <w:rsid w:val="00E62809"/>
    <w:rsid w:val="00E62D47"/>
    <w:rsid w:val="00E63588"/>
    <w:rsid w:val="00E63F2A"/>
    <w:rsid w:val="00E645A0"/>
    <w:rsid w:val="00E64C59"/>
    <w:rsid w:val="00E6504C"/>
    <w:rsid w:val="00E650BE"/>
    <w:rsid w:val="00E653F6"/>
    <w:rsid w:val="00E65596"/>
    <w:rsid w:val="00E66BA2"/>
    <w:rsid w:val="00E70050"/>
    <w:rsid w:val="00E70195"/>
    <w:rsid w:val="00E708E2"/>
    <w:rsid w:val="00E71523"/>
    <w:rsid w:val="00E7193F"/>
    <w:rsid w:val="00E7197D"/>
    <w:rsid w:val="00E71BD4"/>
    <w:rsid w:val="00E71F8F"/>
    <w:rsid w:val="00E726AB"/>
    <w:rsid w:val="00E74675"/>
    <w:rsid w:val="00E74C43"/>
    <w:rsid w:val="00E74EF7"/>
    <w:rsid w:val="00E755E2"/>
    <w:rsid w:val="00E75A03"/>
    <w:rsid w:val="00E7623B"/>
    <w:rsid w:val="00E767AD"/>
    <w:rsid w:val="00E76C80"/>
    <w:rsid w:val="00E770BE"/>
    <w:rsid w:val="00E77DEC"/>
    <w:rsid w:val="00E814C9"/>
    <w:rsid w:val="00E81E99"/>
    <w:rsid w:val="00E82746"/>
    <w:rsid w:val="00E831F1"/>
    <w:rsid w:val="00E83687"/>
    <w:rsid w:val="00E83DF1"/>
    <w:rsid w:val="00E83FF2"/>
    <w:rsid w:val="00E842A4"/>
    <w:rsid w:val="00E84934"/>
    <w:rsid w:val="00E851D6"/>
    <w:rsid w:val="00E8564D"/>
    <w:rsid w:val="00E85BE6"/>
    <w:rsid w:val="00E85EEB"/>
    <w:rsid w:val="00E8616A"/>
    <w:rsid w:val="00E86B2F"/>
    <w:rsid w:val="00E86C44"/>
    <w:rsid w:val="00E86EF9"/>
    <w:rsid w:val="00E874B8"/>
    <w:rsid w:val="00E875FE"/>
    <w:rsid w:val="00E877B9"/>
    <w:rsid w:val="00E8798D"/>
    <w:rsid w:val="00E87B78"/>
    <w:rsid w:val="00E87BFA"/>
    <w:rsid w:val="00E87FA9"/>
    <w:rsid w:val="00E87FAE"/>
    <w:rsid w:val="00E90321"/>
    <w:rsid w:val="00E90E82"/>
    <w:rsid w:val="00E90FC7"/>
    <w:rsid w:val="00E91169"/>
    <w:rsid w:val="00E91E2A"/>
    <w:rsid w:val="00E92A69"/>
    <w:rsid w:val="00E92CF0"/>
    <w:rsid w:val="00E92D1A"/>
    <w:rsid w:val="00E92ECF"/>
    <w:rsid w:val="00E9306E"/>
    <w:rsid w:val="00E937D5"/>
    <w:rsid w:val="00E93D02"/>
    <w:rsid w:val="00E93E3C"/>
    <w:rsid w:val="00E9417A"/>
    <w:rsid w:val="00E9428A"/>
    <w:rsid w:val="00E94373"/>
    <w:rsid w:val="00E954B7"/>
    <w:rsid w:val="00E963DE"/>
    <w:rsid w:val="00E9653A"/>
    <w:rsid w:val="00E96543"/>
    <w:rsid w:val="00E96548"/>
    <w:rsid w:val="00E9692A"/>
    <w:rsid w:val="00E97432"/>
    <w:rsid w:val="00EA0775"/>
    <w:rsid w:val="00EA180D"/>
    <w:rsid w:val="00EA2720"/>
    <w:rsid w:val="00EA2886"/>
    <w:rsid w:val="00EA31A4"/>
    <w:rsid w:val="00EA3F4B"/>
    <w:rsid w:val="00EA464A"/>
    <w:rsid w:val="00EA4BC8"/>
    <w:rsid w:val="00EA4DDB"/>
    <w:rsid w:val="00EA5221"/>
    <w:rsid w:val="00EA531B"/>
    <w:rsid w:val="00EA5441"/>
    <w:rsid w:val="00EA573A"/>
    <w:rsid w:val="00EA5D15"/>
    <w:rsid w:val="00EA62DB"/>
    <w:rsid w:val="00EA68CE"/>
    <w:rsid w:val="00EA781B"/>
    <w:rsid w:val="00EA7A9F"/>
    <w:rsid w:val="00EB2B57"/>
    <w:rsid w:val="00EB320A"/>
    <w:rsid w:val="00EB326F"/>
    <w:rsid w:val="00EB3D8D"/>
    <w:rsid w:val="00EB42B2"/>
    <w:rsid w:val="00EB43E6"/>
    <w:rsid w:val="00EB4DD5"/>
    <w:rsid w:val="00EB502E"/>
    <w:rsid w:val="00EB5810"/>
    <w:rsid w:val="00EB59EB"/>
    <w:rsid w:val="00EB6579"/>
    <w:rsid w:val="00EB6D13"/>
    <w:rsid w:val="00EB6D1E"/>
    <w:rsid w:val="00EB6F62"/>
    <w:rsid w:val="00EB7C02"/>
    <w:rsid w:val="00EC0022"/>
    <w:rsid w:val="00EC02FF"/>
    <w:rsid w:val="00EC0D99"/>
    <w:rsid w:val="00EC1287"/>
    <w:rsid w:val="00EC1C3C"/>
    <w:rsid w:val="00EC1D1F"/>
    <w:rsid w:val="00EC216C"/>
    <w:rsid w:val="00EC25A2"/>
    <w:rsid w:val="00EC27F3"/>
    <w:rsid w:val="00EC33D8"/>
    <w:rsid w:val="00EC38CD"/>
    <w:rsid w:val="00EC38EF"/>
    <w:rsid w:val="00EC4B65"/>
    <w:rsid w:val="00EC521F"/>
    <w:rsid w:val="00EC5A9F"/>
    <w:rsid w:val="00EC5B29"/>
    <w:rsid w:val="00EC6227"/>
    <w:rsid w:val="00EC6440"/>
    <w:rsid w:val="00EC6BE8"/>
    <w:rsid w:val="00EC6C2F"/>
    <w:rsid w:val="00EC74A1"/>
    <w:rsid w:val="00EC7A5C"/>
    <w:rsid w:val="00ED0442"/>
    <w:rsid w:val="00ED0D0B"/>
    <w:rsid w:val="00ED1425"/>
    <w:rsid w:val="00ED1769"/>
    <w:rsid w:val="00ED1BFD"/>
    <w:rsid w:val="00ED23DF"/>
    <w:rsid w:val="00ED25C5"/>
    <w:rsid w:val="00ED25D7"/>
    <w:rsid w:val="00ED27B7"/>
    <w:rsid w:val="00ED35F4"/>
    <w:rsid w:val="00ED499F"/>
    <w:rsid w:val="00ED4E06"/>
    <w:rsid w:val="00ED5211"/>
    <w:rsid w:val="00ED52C8"/>
    <w:rsid w:val="00ED5499"/>
    <w:rsid w:val="00ED562F"/>
    <w:rsid w:val="00ED5659"/>
    <w:rsid w:val="00ED5977"/>
    <w:rsid w:val="00ED60FD"/>
    <w:rsid w:val="00ED6613"/>
    <w:rsid w:val="00ED6969"/>
    <w:rsid w:val="00ED6D97"/>
    <w:rsid w:val="00ED7149"/>
    <w:rsid w:val="00ED722C"/>
    <w:rsid w:val="00ED7CE0"/>
    <w:rsid w:val="00ED7EF9"/>
    <w:rsid w:val="00EE0C53"/>
    <w:rsid w:val="00EE1688"/>
    <w:rsid w:val="00EE16DB"/>
    <w:rsid w:val="00EE2271"/>
    <w:rsid w:val="00EE292A"/>
    <w:rsid w:val="00EE2AA4"/>
    <w:rsid w:val="00EE37D6"/>
    <w:rsid w:val="00EE3802"/>
    <w:rsid w:val="00EE3D94"/>
    <w:rsid w:val="00EE3EEA"/>
    <w:rsid w:val="00EE4056"/>
    <w:rsid w:val="00EE40EC"/>
    <w:rsid w:val="00EE4800"/>
    <w:rsid w:val="00EE49ED"/>
    <w:rsid w:val="00EE56A7"/>
    <w:rsid w:val="00EE5B22"/>
    <w:rsid w:val="00EE680B"/>
    <w:rsid w:val="00EF023D"/>
    <w:rsid w:val="00EF0382"/>
    <w:rsid w:val="00EF1998"/>
    <w:rsid w:val="00EF24C0"/>
    <w:rsid w:val="00EF3997"/>
    <w:rsid w:val="00EF3B48"/>
    <w:rsid w:val="00EF3E82"/>
    <w:rsid w:val="00EF3F70"/>
    <w:rsid w:val="00EF410F"/>
    <w:rsid w:val="00EF496C"/>
    <w:rsid w:val="00EF4E57"/>
    <w:rsid w:val="00EF5CAA"/>
    <w:rsid w:val="00EF5DE1"/>
    <w:rsid w:val="00EF5F5F"/>
    <w:rsid w:val="00EF6017"/>
    <w:rsid w:val="00EF60B8"/>
    <w:rsid w:val="00EF633F"/>
    <w:rsid w:val="00EF6868"/>
    <w:rsid w:val="00EF6C68"/>
    <w:rsid w:val="00EF6C9D"/>
    <w:rsid w:val="00EF7C36"/>
    <w:rsid w:val="00F0007D"/>
    <w:rsid w:val="00F00ABC"/>
    <w:rsid w:val="00F01650"/>
    <w:rsid w:val="00F0268B"/>
    <w:rsid w:val="00F026F0"/>
    <w:rsid w:val="00F0292A"/>
    <w:rsid w:val="00F02B5D"/>
    <w:rsid w:val="00F03B2F"/>
    <w:rsid w:val="00F04201"/>
    <w:rsid w:val="00F04388"/>
    <w:rsid w:val="00F0445A"/>
    <w:rsid w:val="00F04691"/>
    <w:rsid w:val="00F04B22"/>
    <w:rsid w:val="00F04E81"/>
    <w:rsid w:val="00F051E3"/>
    <w:rsid w:val="00F0556C"/>
    <w:rsid w:val="00F0612C"/>
    <w:rsid w:val="00F0629B"/>
    <w:rsid w:val="00F063A1"/>
    <w:rsid w:val="00F06439"/>
    <w:rsid w:val="00F06D8E"/>
    <w:rsid w:val="00F07179"/>
    <w:rsid w:val="00F0717C"/>
    <w:rsid w:val="00F07585"/>
    <w:rsid w:val="00F07764"/>
    <w:rsid w:val="00F077DA"/>
    <w:rsid w:val="00F125C4"/>
    <w:rsid w:val="00F12AE9"/>
    <w:rsid w:val="00F12F00"/>
    <w:rsid w:val="00F13BE6"/>
    <w:rsid w:val="00F14064"/>
    <w:rsid w:val="00F147ED"/>
    <w:rsid w:val="00F14C31"/>
    <w:rsid w:val="00F14EDE"/>
    <w:rsid w:val="00F14FBE"/>
    <w:rsid w:val="00F162A7"/>
    <w:rsid w:val="00F16778"/>
    <w:rsid w:val="00F16788"/>
    <w:rsid w:val="00F1693D"/>
    <w:rsid w:val="00F16D1F"/>
    <w:rsid w:val="00F1701E"/>
    <w:rsid w:val="00F171D4"/>
    <w:rsid w:val="00F1735A"/>
    <w:rsid w:val="00F17569"/>
    <w:rsid w:val="00F17E5D"/>
    <w:rsid w:val="00F20814"/>
    <w:rsid w:val="00F20FF9"/>
    <w:rsid w:val="00F212B5"/>
    <w:rsid w:val="00F215A5"/>
    <w:rsid w:val="00F222DE"/>
    <w:rsid w:val="00F2262A"/>
    <w:rsid w:val="00F23218"/>
    <w:rsid w:val="00F233A3"/>
    <w:rsid w:val="00F23503"/>
    <w:rsid w:val="00F23847"/>
    <w:rsid w:val="00F239F5"/>
    <w:rsid w:val="00F24AA0"/>
    <w:rsid w:val="00F24B8B"/>
    <w:rsid w:val="00F2505A"/>
    <w:rsid w:val="00F254B3"/>
    <w:rsid w:val="00F25604"/>
    <w:rsid w:val="00F2564B"/>
    <w:rsid w:val="00F25691"/>
    <w:rsid w:val="00F25AB3"/>
    <w:rsid w:val="00F25E35"/>
    <w:rsid w:val="00F2660B"/>
    <w:rsid w:val="00F267B2"/>
    <w:rsid w:val="00F26848"/>
    <w:rsid w:val="00F26CCF"/>
    <w:rsid w:val="00F26D83"/>
    <w:rsid w:val="00F2778A"/>
    <w:rsid w:val="00F27892"/>
    <w:rsid w:val="00F3022C"/>
    <w:rsid w:val="00F304C8"/>
    <w:rsid w:val="00F30E2E"/>
    <w:rsid w:val="00F31663"/>
    <w:rsid w:val="00F3166B"/>
    <w:rsid w:val="00F325B5"/>
    <w:rsid w:val="00F32865"/>
    <w:rsid w:val="00F328CA"/>
    <w:rsid w:val="00F343C6"/>
    <w:rsid w:val="00F35F40"/>
    <w:rsid w:val="00F36290"/>
    <w:rsid w:val="00F36A80"/>
    <w:rsid w:val="00F36E67"/>
    <w:rsid w:val="00F36EB6"/>
    <w:rsid w:val="00F37679"/>
    <w:rsid w:val="00F40194"/>
    <w:rsid w:val="00F404F6"/>
    <w:rsid w:val="00F40F4A"/>
    <w:rsid w:val="00F417B6"/>
    <w:rsid w:val="00F419EB"/>
    <w:rsid w:val="00F41A5F"/>
    <w:rsid w:val="00F424A2"/>
    <w:rsid w:val="00F42705"/>
    <w:rsid w:val="00F4294A"/>
    <w:rsid w:val="00F42E0C"/>
    <w:rsid w:val="00F43435"/>
    <w:rsid w:val="00F43813"/>
    <w:rsid w:val="00F43858"/>
    <w:rsid w:val="00F438E5"/>
    <w:rsid w:val="00F43B89"/>
    <w:rsid w:val="00F43CC6"/>
    <w:rsid w:val="00F43E46"/>
    <w:rsid w:val="00F4409B"/>
    <w:rsid w:val="00F44C18"/>
    <w:rsid w:val="00F454F3"/>
    <w:rsid w:val="00F45CB5"/>
    <w:rsid w:val="00F46E9C"/>
    <w:rsid w:val="00F473E5"/>
    <w:rsid w:val="00F47BD7"/>
    <w:rsid w:val="00F47C93"/>
    <w:rsid w:val="00F5016C"/>
    <w:rsid w:val="00F50BD6"/>
    <w:rsid w:val="00F51AEB"/>
    <w:rsid w:val="00F52319"/>
    <w:rsid w:val="00F52545"/>
    <w:rsid w:val="00F526D7"/>
    <w:rsid w:val="00F52A93"/>
    <w:rsid w:val="00F52C10"/>
    <w:rsid w:val="00F52C8C"/>
    <w:rsid w:val="00F52CE0"/>
    <w:rsid w:val="00F53A73"/>
    <w:rsid w:val="00F54222"/>
    <w:rsid w:val="00F54F89"/>
    <w:rsid w:val="00F5553D"/>
    <w:rsid w:val="00F5571C"/>
    <w:rsid w:val="00F5584A"/>
    <w:rsid w:val="00F55DF1"/>
    <w:rsid w:val="00F55F18"/>
    <w:rsid w:val="00F56467"/>
    <w:rsid w:val="00F56664"/>
    <w:rsid w:val="00F5691F"/>
    <w:rsid w:val="00F56C3D"/>
    <w:rsid w:val="00F56E39"/>
    <w:rsid w:val="00F60058"/>
    <w:rsid w:val="00F60D9B"/>
    <w:rsid w:val="00F61280"/>
    <w:rsid w:val="00F61393"/>
    <w:rsid w:val="00F616FB"/>
    <w:rsid w:val="00F6356C"/>
    <w:rsid w:val="00F63F75"/>
    <w:rsid w:val="00F641FC"/>
    <w:rsid w:val="00F64635"/>
    <w:rsid w:val="00F64907"/>
    <w:rsid w:val="00F64DE7"/>
    <w:rsid w:val="00F65DFB"/>
    <w:rsid w:val="00F65EA5"/>
    <w:rsid w:val="00F665F1"/>
    <w:rsid w:val="00F672D0"/>
    <w:rsid w:val="00F67F44"/>
    <w:rsid w:val="00F7138C"/>
    <w:rsid w:val="00F714BF"/>
    <w:rsid w:val="00F72439"/>
    <w:rsid w:val="00F72972"/>
    <w:rsid w:val="00F7299C"/>
    <w:rsid w:val="00F729BA"/>
    <w:rsid w:val="00F72B15"/>
    <w:rsid w:val="00F73B50"/>
    <w:rsid w:val="00F74806"/>
    <w:rsid w:val="00F74E8C"/>
    <w:rsid w:val="00F750D3"/>
    <w:rsid w:val="00F75368"/>
    <w:rsid w:val="00F7538C"/>
    <w:rsid w:val="00F7598A"/>
    <w:rsid w:val="00F75AB4"/>
    <w:rsid w:val="00F763A3"/>
    <w:rsid w:val="00F764BF"/>
    <w:rsid w:val="00F76AFA"/>
    <w:rsid w:val="00F76D7C"/>
    <w:rsid w:val="00F76DC0"/>
    <w:rsid w:val="00F773A9"/>
    <w:rsid w:val="00F77991"/>
    <w:rsid w:val="00F80192"/>
    <w:rsid w:val="00F8057A"/>
    <w:rsid w:val="00F80647"/>
    <w:rsid w:val="00F807C8"/>
    <w:rsid w:val="00F80837"/>
    <w:rsid w:val="00F810B0"/>
    <w:rsid w:val="00F82432"/>
    <w:rsid w:val="00F827A5"/>
    <w:rsid w:val="00F82A8A"/>
    <w:rsid w:val="00F82CEC"/>
    <w:rsid w:val="00F82E2D"/>
    <w:rsid w:val="00F83752"/>
    <w:rsid w:val="00F83CD3"/>
    <w:rsid w:val="00F84245"/>
    <w:rsid w:val="00F842BD"/>
    <w:rsid w:val="00F84BD8"/>
    <w:rsid w:val="00F855E4"/>
    <w:rsid w:val="00F85948"/>
    <w:rsid w:val="00F8633E"/>
    <w:rsid w:val="00F86B25"/>
    <w:rsid w:val="00F873AD"/>
    <w:rsid w:val="00F87D5A"/>
    <w:rsid w:val="00F90B35"/>
    <w:rsid w:val="00F915E6"/>
    <w:rsid w:val="00F91B0B"/>
    <w:rsid w:val="00F91EC8"/>
    <w:rsid w:val="00F92555"/>
    <w:rsid w:val="00F93239"/>
    <w:rsid w:val="00F93BAF"/>
    <w:rsid w:val="00F94633"/>
    <w:rsid w:val="00F94AC1"/>
    <w:rsid w:val="00F95238"/>
    <w:rsid w:val="00F95291"/>
    <w:rsid w:val="00F9596E"/>
    <w:rsid w:val="00F9699D"/>
    <w:rsid w:val="00F96B5B"/>
    <w:rsid w:val="00F96B90"/>
    <w:rsid w:val="00F974D6"/>
    <w:rsid w:val="00FA03A6"/>
    <w:rsid w:val="00FA0527"/>
    <w:rsid w:val="00FA0A4B"/>
    <w:rsid w:val="00FA10AF"/>
    <w:rsid w:val="00FA147A"/>
    <w:rsid w:val="00FA222F"/>
    <w:rsid w:val="00FA24FD"/>
    <w:rsid w:val="00FA268F"/>
    <w:rsid w:val="00FA287D"/>
    <w:rsid w:val="00FA33FD"/>
    <w:rsid w:val="00FA3B5E"/>
    <w:rsid w:val="00FA4A55"/>
    <w:rsid w:val="00FA51CF"/>
    <w:rsid w:val="00FA5A02"/>
    <w:rsid w:val="00FA5F52"/>
    <w:rsid w:val="00FA6562"/>
    <w:rsid w:val="00FA70F6"/>
    <w:rsid w:val="00FA7166"/>
    <w:rsid w:val="00FB02D8"/>
    <w:rsid w:val="00FB0F2C"/>
    <w:rsid w:val="00FB2018"/>
    <w:rsid w:val="00FB208C"/>
    <w:rsid w:val="00FB20DB"/>
    <w:rsid w:val="00FB220E"/>
    <w:rsid w:val="00FB26E4"/>
    <w:rsid w:val="00FB3896"/>
    <w:rsid w:val="00FB3C04"/>
    <w:rsid w:val="00FB473D"/>
    <w:rsid w:val="00FB4F46"/>
    <w:rsid w:val="00FB5216"/>
    <w:rsid w:val="00FB557B"/>
    <w:rsid w:val="00FB6103"/>
    <w:rsid w:val="00FB6206"/>
    <w:rsid w:val="00FB62F1"/>
    <w:rsid w:val="00FB71EA"/>
    <w:rsid w:val="00FB76D8"/>
    <w:rsid w:val="00FC0224"/>
    <w:rsid w:val="00FC0896"/>
    <w:rsid w:val="00FC092E"/>
    <w:rsid w:val="00FC1250"/>
    <w:rsid w:val="00FC1B74"/>
    <w:rsid w:val="00FC1BA8"/>
    <w:rsid w:val="00FC1D4B"/>
    <w:rsid w:val="00FC25B4"/>
    <w:rsid w:val="00FC2C6E"/>
    <w:rsid w:val="00FC34B9"/>
    <w:rsid w:val="00FC366E"/>
    <w:rsid w:val="00FC4868"/>
    <w:rsid w:val="00FC4ADF"/>
    <w:rsid w:val="00FC554E"/>
    <w:rsid w:val="00FC6BFA"/>
    <w:rsid w:val="00FC6DF7"/>
    <w:rsid w:val="00FC7358"/>
    <w:rsid w:val="00FC74A1"/>
    <w:rsid w:val="00FC7A4D"/>
    <w:rsid w:val="00FC7DFB"/>
    <w:rsid w:val="00FD0049"/>
    <w:rsid w:val="00FD0371"/>
    <w:rsid w:val="00FD087D"/>
    <w:rsid w:val="00FD0A34"/>
    <w:rsid w:val="00FD16D0"/>
    <w:rsid w:val="00FD1A94"/>
    <w:rsid w:val="00FD1E48"/>
    <w:rsid w:val="00FD2487"/>
    <w:rsid w:val="00FD2536"/>
    <w:rsid w:val="00FD35E0"/>
    <w:rsid w:val="00FD3F70"/>
    <w:rsid w:val="00FD4688"/>
    <w:rsid w:val="00FD56FB"/>
    <w:rsid w:val="00FD5CC8"/>
    <w:rsid w:val="00FD691B"/>
    <w:rsid w:val="00FD73C3"/>
    <w:rsid w:val="00FE0082"/>
    <w:rsid w:val="00FE047B"/>
    <w:rsid w:val="00FE05A8"/>
    <w:rsid w:val="00FE10DB"/>
    <w:rsid w:val="00FE12D4"/>
    <w:rsid w:val="00FE223B"/>
    <w:rsid w:val="00FE2A75"/>
    <w:rsid w:val="00FE2B94"/>
    <w:rsid w:val="00FE325E"/>
    <w:rsid w:val="00FE4746"/>
    <w:rsid w:val="00FE5C35"/>
    <w:rsid w:val="00FE6640"/>
    <w:rsid w:val="00FE6BA8"/>
    <w:rsid w:val="00FE6C1B"/>
    <w:rsid w:val="00FE6E4B"/>
    <w:rsid w:val="00FE72D8"/>
    <w:rsid w:val="00FE7FFD"/>
    <w:rsid w:val="00FF0694"/>
    <w:rsid w:val="00FF090E"/>
    <w:rsid w:val="00FF17DD"/>
    <w:rsid w:val="00FF1EDF"/>
    <w:rsid w:val="00FF264B"/>
    <w:rsid w:val="00FF2B16"/>
    <w:rsid w:val="00FF2E80"/>
    <w:rsid w:val="00FF3F3D"/>
    <w:rsid w:val="00FF46BF"/>
    <w:rsid w:val="00FF51CD"/>
    <w:rsid w:val="00FF54E6"/>
    <w:rsid w:val="00FF561F"/>
    <w:rsid w:val="00FF5AC0"/>
    <w:rsid w:val="00FF5EE6"/>
    <w:rsid w:val="00FF6E56"/>
    <w:rsid w:val="00FF74F8"/>
    <w:rsid w:val="00FF7525"/>
    <w:rsid w:val="00FF7709"/>
    <w:rsid w:val="1C7A3D4D"/>
    <w:rsid w:val="39E22009"/>
    <w:rsid w:val="770627DE"/>
  </w:rsids>
  <m:mathPr>
    <m:mathFont m:val="Cambria Math"/>
    <m:brkBin m:val="before"/>
    <m:brkBinSub m:val="--"/>
    <m:smallFrac m:val="0"/>
    <m:dispDef/>
    <m:lMargin m:val="0"/>
    <m:rMargin m:val="0"/>
    <m:defJc m:val="centerGroup"/>
    <m:wrapIndent m:val="1440"/>
    <m:intLim m:val="subSup"/>
    <m:naryLim m:val="undOvr"/>
  </m:mathPr>
  <w:themeFontLang w:val="en-US" w:bidi="or-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4A03A53"/>
  <w15:docId w15:val="{58CF66EB-8941-475A-886E-7643E538D08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IN" w:eastAsia="en-IN" w:bidi="ar-SA"/>
      </w:rPr>
    </w:rPrDefault>
    <w:pPrDefault/>
  </w:docDefaults>
  <w:latentStyles w:defLockedState="0" w:defUIPriority="0" w:defSemiHidden="0" w:defUnhideWhenUsed="0" w:defQFormat="0" w:count="375">
    <w:lsdException w:name="Normal" w:qFormat="1"/>
    <w:lsdException w:name="heading 1" w:qFormat="1"/>
    <w:lsdException w:name="heading 2" w:uiPriority="9"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iPriority="99"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99" w:unhideWhenUsed="1"/>
    <w:lsdException w:name="annotation text" w:semiHidden="1" w:unhideWhenUsed="1" w:qFormat="1"/>
    <w:lsdException w:name="header" w:semiHidden="1" w:uiPriority="99" w:unhideWhenUsed="1"/>
    <w:lsdException w:name="footer" w:semiHidden="1" w:uiPriority="99" w:unhideWhenUsed="1"/>
    <w:lsdException w:name="index heading" w:semiHidden="1" w:unhideWhenUsed="1"/>
    <w:lsdException w:name="caption" w:semiHidden="1" w:uiPriority="35"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iPriority="99" w:unhideWhenUsed="1"/>
    <w:lsdException w:name="Signature" w:semiHidden="1" w:unhideWhenUsed="1"/>
    <w:lsdException w:name="Default Paragraph Font" w:semiHidden="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iPriority="99"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uiPriority="22"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qFormat="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2E1B0A"/>
    <w:rPr>
      <w:sz w:val="24"/>
      <w:szCs w:val="24"/>
      <w:lang w:val="en-US" w:eastAsia="en-US"/>
    </w:rPr>
  </w:style>
  <w:style w:type="paragraph" w:styleId="Heading1">
    <w:name w:val="heading 1"/>
    <w:aliases w:val="Section,Section Heading,Article Heading,HEADING 1,App1,EASI 1,Hoofdstuk,Heading 1-nonum"/>
    <w:basedOn w:val="Normal"/>
    <w:next w:val="Normal"/>
    <w:link w:val="Heading1Char"/>
    <w:qFormat/>
    <w:rsid w:val="004D4C04"/>
    <w:pPr>
      <w:keepNext/>
      <w:spacing w:before="240" w:after="60"/>
      <w:outlineLvl w:val="0"/>
    </w:pPr>
    <w:rPr>
      <w:rFonts w:ascii="Arial" w:hAnsi="Arial" w:cs="Arial"/>
      <w:b/>
      <w:bCs/>
      <w:kern w:val="32"/>
      <w:sz w:val="32"/>
      <w:szCs w:val="32"/>
    </w:rPr>
  </w:style>
  <w:style w:type="paragraph" w:styleId="Heading2">
    <w:name w:val="heading 2"/>
    <w:aliases w:val="2,Major"/>
    <w:basedOn w:val="Normal"/>
    <w:next w:val="Normal"/>
    <w:link w:val="Heading2Char"/>
    <w:uiPriority w:val="9"/>
    <w:qFormat/>
    <w:rsid w:val="00C15FB7"/>
    <w:pPr>
      <w:keepNext/>
      <w:spacing w:before="240" w:after="60"/>
      <w:outlineLvl w:val="1"/>
    </w:pPr>
    <w:rPr>
      <w:rFonts w:ascii="Arial" w:hAnsi="Arial" w:cs="Arial"/>
      <w:b/>
      <w:bCs/>
      <w:i/>
      <w:iCs/>
      <w:sz w:val="28"/>
      <w:szCs w:val="28"/>
    </w:rPr>
  </w:style>
  <w:style w:type="paragraph" w:styleId="Heading3">
    <w:name w:val="heading 3"/>
    <w:aliases w:val="Minor,level3"/>
    <w:basedOn w:val="Normal"/>
    <w:next w:val="Normal"/>
    <w:link w:val="Heading3Char"/>
    <w:qFormat/>
    <w:rsid w:val="000D4D4C"/>
    <w:pPr>
      <w:keepNext/>
      <w:spacing w:before="240" w:after="60"/>
      <w:outlineLvl w:val="2"/>
    </w:pPr>
    <w:rPr>
      <w:rFonts w:ascii="Arial" w:hAnsi="Arial" w:cs="Arial"/>
      <w:b/>
      <w:bCs/>
      <w:sz w:val="26"/>
      <w:szCs w:val="26"/>
    </w:rPr>
  </w:style>
  <w:style w:type="paragraph" w:styleId="Heading4">
    <w:name w:val="heading 4"/>
    <w:basedOn w:val="Normal"/>
    <w:next w:val="Normal"/>
    <w:link w:val="Heading4Char"/>
    <w:qFormat/>
    <w:rsid w:val="00B960B2"/>
    <w:pPr>
      <w:keepNext/>
      <w:tabs>
        <w:tab w:val="num" w:pos="864"/>
      </w:tabs>
      <w:spacing w:before="240" w:after="60"/>
      <w:ind w:left="864" w:hanging="864"/>
      <w:outlineLvl w:val="3"/>
    </w:pPr>
    <w:rPr>
      <w:rFonts w:ascii="Calibri" w:hAnsi="Calibri"/>
      <w:b/>
      <w:bCs/>
      <w:sz w:val="28"/>
      <w:szCs w:val="28"/>
      <w:lang w:val="en-GB"/>
    </w:rPr>
  </w:style>
  <w:style w:type="paragraph" w:styleId="Heading5">
    <w:name w:val="heading 5"/>
    <w:basedOn w:val="Normal"/>
    <w:next w:val="Normal"/>
    <w:link w:val="Heading5Char"/>
    <w:qFormat/>
    <w:rsid w:val="00B960B2"/>
    <w:pPr>
      <w:tabs>
        <w:tab w:val="num" w:pos="1008"/>
      </w:tabs>
      <w:spacing w:before="240" w:after="60" w:line="312" w:lineRule="auto"/>
      <w:ind w:left="1008" w:hanging="1008"/>
      <w:jc w:val="both"/>
      <w:outlineLvl w:val="4"/>
    </w:pPr>
    <w:rPr>
      <w:rFonts w:ascii="Book Antiqua" w:hAnsi="Book Antiqua"/>
      <w:b/>
      <w:bCs/>
      <w:i/>
      <w:iCs/>
      <w:sz w:val="22"/>
      <w:szCs w:val="22"/>
    </w:rPr>
  </w:style>
  <w:style w:type="paragraph" w:styleId="Heading6">
    <w:name w:val="heading 6"/>
    <w:basedOn w:val="Normal"/>
    <w:next w:val="Normal"/>
    <w:link w:val="Heading6Char"/>
    <w:qFormat/>
    <w:rsid w:val="00B960B2"/>
    <w:pPr>
      <w:tabs>
        <w:tab w:val="num" w:pos="1152"/>
      </w:tabs>
      <w:spacing w:before="240" w:after="60" w:line="312" w:lineRule="auto"/>
      <w:ind w:left="1152" w:hanging="1152"/>
      <w:jc w:val="both"/>
      <w:outlineLvl w:val="5"/>
    </w:pPr>
    <w:rPr>
      <w:rFonts w:ascii="Book Antiqua" w:hAnsi="Book Antiqua"/>
      <w:i/>
      <w:iCs/>
      <w:sz w:val="22"/>
      <w:szCs w:val="22"/>
    </w:rPr>
  </w:style>
  <w:style w:type="paragraph" w:styleId="Heading7">
    <w:name w:val="heading 7"/>
    <w:basedOn w:val="Normal"/>
    <w:next w:val="Normal"/>
    <w:link w:val="Heading7Char"/>
    <w:qFormat/>
    <w:rsid w:val="00B960B2"/>
    <w:pPr>
      <w:tabs>
        <w:tab w:val="num" w:pos="1296"/>
      </w:tabs>
      <w:spacing w:before="240" w:after="60" w:line="312" w:lineRule="auto"/>
      <w:ind w:left="1296" w:hanging="1296"/>
      <w:jc w:val="both"/>
      <w:outlineLvl w:val="6"/>
    </w:pPr>
    <w:rPr>
      <w:rFonts w:ascii="Arial" w:hAnsi="Arial" w:cs="Arial"/>
      <w:sz w:val="20"/>
      <w:szCs w:val="20"/>
    </w:rPr>
  </w:style>
  <w:style w:type="paragraph" w:styleId="Heading8">
    <w:name w:val="heading 8"/>
    <w:basedOn w:val="Normal"/>
    <w:next w:val="Normal"/>
    <w:link w:val="Heading8Char"/>
    <w:qFormat/>
    <w:rsid w:val="00B960B2"/>
    <w:pPr>
      <w:tabs>
        <w:tab w:val="num" w:pos="1440"/>
      </w:tabs>
      <w:spacing w:before="240" w:after="60" w:line="312" w:lineRule="auto"/>
      <w:ind w:left="1440" w:hanging="1440"/>
      <w:jc w:val="both"/>
      <w:outlineLvl w:val="7"/>
    </w:pPr>
    <w:rPr>
      <w:rFonts w:ascii="Arial" w:hAnsi="Arial" w:cs="Arial"/>
      <w:i/>
      <w:iCs/>
      <w:sz w:val="20"/>
      <w:szCs w:val="20"/>
    </w:rPr>
  </w:style>
  <w:style w:type="paragraph" w:styleId="Heading9">
    <w:name w:val="heading 9"/>
    <w:basedOn w:val="Normal"/>
    <w:next w:val="Normal"/>
    <w:link w:val="Heading9Char"/>
    <w:qFormat/>
    <w:rsid w:val="00B960B2"/>
    <w:pPr>
      <w:tabs>
        <w:tab w:val="num" w:pos="1584"/>
      </w:tabs>
      <w:spacing w:before="240" w:after="60" w:line="312" w:lineRule="auto"/>
      <w:ind w:left="1584" w:hanging="1584"/>
      <w:jc w:val="both"/>
      <w:outlineLvl w:val="8"/>
    </w:pPr>
    <w:rPr>
      <w:rFonts w:ascii="Arial" w:hAnsi="Arial" w:cs="Arial"/>
      <w:b/>
      <w:bCs/>
      <w:i/>
      <w:iCs/>
      <w:sz w:val="18"/>
      <w:szCs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1">
    <w:name w:val="toc 1"/>
    <w:basedOn w:val="Normal"/>
    <w:next w:val="Normal"/>
    <w:autoRedefine/>
    <w:uiPriority w:val="39"/>
    <w:qFormat/>
    <w:rsid w:val="004D4C04"/>
  </w:style>
  <w:style w:type="character" w:styleId="Hyperlink">
    <w:name w:val="Hyperlink"/>
    <w:basedOn w:val="DefaultParagraphFont"/>
    <w:uiPriority w:val="99"/>
    <w:rsid w:val="004D4C04"/>
    <w:rPr>
      <w:color w:val="0000FF"/>
      <w:u w:val="single"/>
    </w:rPr>
  </w:style>
  <w:style w:type="paragraph" w:styleId="Header">
    <w:name w:val="header"/>
    <w:basedOn w:val="Normal"/>
    <w:link w:val="HeaderChar"/>
    <w:uiPriority w:val="99"/>
    <w:rsid w:val="004C4AA4"/>
    <w:pPr>
      <w:tabs>
        <w:tab w:val="center" w:pos="4320"/>
        <w:tab w:val="right" w:pos="8640"/>
      </w:tabs>
    </w:pPr>
  </w:style>
  <w:style w:type="paragraph" w:styleId="Footer">
    <w:name w:val="footer"/>
    <w:basedOn w:val="Normal"/>
    <w:link w:val="FooterChar"/>
    <w:uiPriority w:val="99"/>
    <w:rsid w:val="004C4AA4"/>
    <w:pPr>
      <w:tabs>
        <w:tab w:val="center" w:pos="4320"/>
        <w:tab w:val="right" w:pos="8640"/>
      </w:tabs>
    </w:pPr>
  </w:style>
  <w:style w:type="character" w:styleId="PageNumber">
    <w:name w:val="page number"/>
    <w:basedOn w:val="DefaultParagraphFont"/>
    <w:rsid w:val="004C4AA4"/>
  </w:style>
  <w:style w:type="paragraph" w:styleId="Caption">
    <w:name w:val="caption"/>
    <w:basedOn w:val="Normal"/>
    <w:next w:val="Normal"/>
    <w:uiPriority w:val="35"/>
    <w:qFormat/>
    <w:rsid w:val="001A6DDF"/>
    <w:pPr>
      <w:spacing w:before="120" w:after="120"/>
    </w:pPr>
    <w:rPr>
      <w:rFonts w:ascii="Arial" w:hAnsi="Arial"/>
      <w:sz w:val="20"/>
      <w:szCs w:val="20"/>
      <w:lang w:val="en-GB"/>
    </w:rPr>
  </w:style>
  <w:style w:type="paragraph" w:styleId="BodyText2">
    <w:name w:val="Body Text 2"/>
    <w:basedOn w:val="Normal"/>
    <w:link w:val="BodyText2Char"/>
    <w:rsid w:val="001A6DDF"/>
    <w:pPr>
      <w:spacing w:before="120" w:after="120"/>
    </w:pPr>
    <w:rPr>
      <w:rFonts w:ascii="Arial" w:hAnsi="Arial"/>
      <w:sz w:val="44"/>
      <w:szCs w:val="20"/>
    </w:rPr>
  </w:style>
  <w:style w:type="paragraph" w:customStyle="1" w:styleId="ARR-normalbody">
    <w:name w:val="ARR - normal body"/>
    <w:basedOn w:val="BodyText"/>
    <w:autoRedefine/>
    <w:qFormat/>
    <w:rsid w:val="00E560A3"/>
    <w:pPr>
      <w:tabs>
        <w:tab w:val="left" w:pos="450"/>
        <w:tab w:val="num" w:pos="567"/>
      </w:tabs>
      <w:spacing w:before="120" w:after="240" w:line="360" w:lineRule="auto"/>
      <w:ind w:left="567"/>
      <w:jc w:val="both"/>
    </w:pPr>
    <w:rPr>
      <w:rFonts w:asciiTheme="minorHAnsi" w:eastAsia="Yu Gothic" w:hAnsiTheme="minorHAnsi" w:cstheme="minorHAnsi"/>
      <w:b/>
      <w:bCs/>
      <w:sz w:val="28"/>
      <w:szCs w:val="28"/>
      <w:lang w:val="en-GB"/>
    </w:rPr>
  </w:style>
  <w:style w:type="paragraph" w:styleId="BodyText">
    <w:name w:val="Body Text"/>
    <w:basedOn w:val="Normal"/>
    <w:link w:val="BodyTextChar"/>
    <w:qFormat/>
    <w:rsid w:val="001A6DDF"/>
    <w:pPr>
      <w:spacing w:after="120"/>
    </w:pPr>
  </w:style>
  <w:style w:type="table" w:styleId="TableGrid">
    <w:name w:val="Table Grid"/>
    <w:basedOn w:val="TableNormal"/>
    <w:uiPriority w:val="39"/>
    <w:rsid w:val="000225D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55">
    <w:name w:val="xl55"/>
    <w:basedOn w:val="Normal"/>
    <w:rsid w:val="00251B0E"/>
    <w:pPr>
      <w:pBdr>
        <w:right w:val="single" w:sz="8" w:space="0" w:color="auto"/>
      </w:pBdr>
      <w:spacing w:before="100" w:beforeAutospacing="1" w:after="100" w:afterAutospacing="1"/>
      <w:jc w:val="both"/>
    </w:pPr>
    <w:rPr>
      <w:rFonts w:ascii="Arial" w:eastAsia="Arial Unicode MS" w:hAnsi="Arial" w:cs="Arial"/>
      <w:sz w:val="20"/>
      <w:szCs w:val="20"/>
    </w:rPr>
  </w:style>
  <w:style w:type="table" w:styleId="TableGrid8">
    <w:name w:val="Table Grid 8"/>
    <w:aliases w:val="Table Grid s"/>
    <w:basedOn w:val="TableNormal"/>
    <w:rsid w:val="004E00CB"/>
    <w:pPr>
      <w:spacing w:before="120" w:after="120"/>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left w:w="115" w:type="dxa"/>
        <w:right w:w="115" w:type="dxa"/>
      </w:tblCellMar>
    </w:tblPr>
    <w:tcPr>
      <w:shd w:val="clear" w:color="auto" w:fill="FFFFFF"/>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paragraph" w:styleId="ListNumber">
    <w:name w:val="List Number"/>
    <w:aliases w:val="List Number Char Char Char Char Char1,List Number Char Char Char Char Char Char Char Char Char Char Char Char Char Char Char Char Char Char Char Char Char1,List Number11"/>
    <w:basedOn w:val="Normal"/>
    <w:rsid w:val="005924C0"/>
    <w:pPr>
      <w:tabs>
        <w:tab w:val="num" w:pos="360"/>
        <w:tab w:val="left" w:pos="720"/>
      </w:tabs>
      <w:spacing w:before="120" w:after="180"/>
      <w:ind w:left="360" w:hanging="360"/>
    </w:pPr>
    <w:rPr>
      <w:rFonts w:ascii="Arial" w:hAnsi="Arial"/>
      <w:sz w:val="20"/>
      <w:szCs w:val="20"/>
      <w:lang w:val="en-GB"/>
    </w:rPr>
  </w:style>
  <w:style w:type="character" w:customStyle="1" w:styleId="ListNumber2">
    <w:name w:val="List Number2"/>
    <w:aliases w:val="List Number Char Char Char Char Char11,List Number Char Char Char Char Char Char Char Char Char Char Char Char Char Char Char Char Char Char Char Char Char11,List Number11 Char"/>
    <w:basedOn w:val="DefaultParagraphFont"/>
    <w:rsid w:val="005924C0"/>
    <w:rPr>
      <w:rFonts w:ascii="Arial" w:hAnsi="Arial"/>
      <w:lang w:val="en-GB" w:eastAsia="en-US" w:bidi="ar-SA"/>
    </w:rPr>
  </w:style>
  <w:style w:type="paragraph" w:customStyle="1" w:styleId="PwcUttaranchalNormalTextFinalCharChar">
    <w:name w:val="Pwc Uttaranchal Normal Text Final Char Char"/>
    <w:basedOn w:val="BodyText"/>
    <w:rsid w:val="002A45DF"/>
    <w:pPr>
      <w:tabs>
        <w:tab w:val="left" w:pos="720"/>
        <w:tab w:val="left" w:pos="2992"/>
        <w:tab w:val="left" w:pos="3060"/>
        <w:tab w:val="left" w:pos="3179"/>
      </w:tabs>
      <w:spacing w:after="240" w:line="360" w:lineRule="auto"/>
      <w:jc w:val="both"/>
    </w:pPr>
    <w:rPr>
      <w:rFonts w:ascii="Arial" w:hAnsi="Arial" w:cs="Arial"/>
    </w:rPr>
  </w:style>
  <w:style w:type="paragraph" w:styleId="BalloonText">
    <w:name w:val="Balloon Text"/>
    <w:basedOn w:val="Normal"/>
    <w:link w:val="BalloonTextChar"/>
    <w:uiPriority w:val="99"/>
    <w:semiHidden/>
    <w:qFormat/>
    <w:rsid w:val="00131CCB"/>
    <w:rPr>
      <w:rFonts w:ascii="Tahoma" w:hAnsi="Tahoma" w:cs="Tahoma"/>
      <w:sz w:val="16"/>
      <w:szCs w:val="16"/>
    </w:rPr>
  </w:style>
  <w:style w:type="paragraph" w:styleId="Title">
    <w:name w:val="Title"/>
    <w:basedOn w:val="Normal"/>
    <w:link w:val="TitleChar"/>
    <w:uiPriority w:val="10"/>
    <w:qFormat/>
    <w:rsid w:val="00F72972"/>
    <w:pPr>
      <w:spacing w:before="240" w:after="60"/>
      <w:jc w:val="center"/>
      <w:outlineLvl w:val="0"/>
    </w:pPr>
    <w:rPr>
      <w:rFonts w:ascii="Arial" w:hAnsi="Arial"/>
      <w:b/>
      <w:kern w:val="28"/>
      <w:sz w:val="32"/>
      <w:szCs w:val="20"/>
      <w:lang w:val="en-GB"/>
    </w:rPr>
  </w:style>
  <w:style w:type="character" w:customStyle="1" w:styleId="Heading2Char">
    <w:name w:val="Heading 2 Char"/>
    <w:aliases w:val="2 Char,Major Char"/>
    <w:basedOn w:val="DefaultParagraphFont"/>
    <w:link w:val="Heading2"/>
    <w:uiPriority w:val="9"/>
    <w:qFormat/>
    <w:rsid w:val="00D054F6"/>
    <w:rPr>
      <w:rFonts w:ascii="Arial" w:hAnsi="Arial" w:cs="Arial"/>
      <w:b/>
      <w:bCs/>
      <w:i/>
      <w:iCs/>
      <w:sz w:val="28"/>
      <w:szCs w:val="28"/>
      <w:lang w:val="en-US" w:eastAsia="en-US" w:bidi="ar-SA"/>
    </w:rPr>
  </w:style>
  <w:style w:type="character" w:styleId="FollowedHyperlink">
    <w:name w:val="FollowedHyperlink"/>
    <w:basedOn w:val="DefaultParagraphFont"/>
    <w:uiPriority w:val="99"/>
    <w:rsid w:val="004D5303"/>
    <w:rPr>
      <w:color w:val="800080"/>
      <w:u w:val="single"/>
    </w:rPr>
  </w:style>
  <w:style w:type="paragraph" w:styleId="NormalWeb">
    <w:name w:val="Normal (Web)"/>
    <w:basedOn w:val="Normal"/>
    <w:uiPriority w:val="99"/>
    <w:qFormat/>
    <w:rsid w:val="004D5303"/>
    <w:pPr>
      <w:spacing w:before="100" w:beforeAutospacing="1" w:after="100" w:afterAutospacing="1"/>
    </w:pPr>
  </w:style>
  <w:style w:type="paragraph" w:styleId="TOC2">
    <w:name w:val="toc 2"/>
    <w:basedOn w:val="Normal"/>
    <w:next w:val="Normal"/>
    <w:autoRedefine/>
    <w:uiPriority w:val="39"/>
    <w:qFormat/>
    <w:rsid w:val="00401F48"/>
    <w:pPr>
      <w:ind w:left="240"/>
    </w:pPr>
  </w:style>
  <w:style w:type="paragraph" w:styleId="TOC3">
    <w:name w:val="toc 3"/>
    <w:basedOn w:val="Normal"/>
    <w:next w:val="Normal"/>
    <w:autoRedefine/>
    <w:uiPriority w:val="39"/>
    <w:qFormat/>
    <w:rsid w:val="00401F48"/>
    <w:pPr>
      <w:ind w:left="480"/>
    </w:pPr>
  </w:style>
  <w:style w:type="paragraph" w:styleId="ListParagraph">
    <w:name w:val="List Paragraph"/>
    <w:aliases w:val="Resume Title,Citation List,heading 4,Graphic,List Paragraph1,1st level - Bullet List Paragraph,Lettre d'introduction,Paragrafo elenco,Bullet list,C-Change,List Paragraph_Table bullets,Ha,Lower Heading 4,Bullets1,CBS List Item 2,References"/>
    <w:basedOn w:val="Normal"/>
    <w:link w:val="ListParagraphChar"/>
    <w:uiPriority w:val="34"/>
    <w:qFormat/>
    <w:rsid w:val="00FB3896"/>
    <w:pPr>
      <w:spacing w:after="200" w:line="276" w:lineRule="auto"/>
      <w:ind w:left="720"/>
      <w:contextualSpacing/>
    </w:pPr>
    <w:rPr>
      <w:rFonts w:ascii="Calibri" w:eastAsia="Calibri" w:hAnsi="Calibri"/>
      <w:sz w:val="22"/>
      <w:szCs w:val="22"/>
    </w:rPr>
  </w:style>
  <w:style w:type="paragraph" w:customStyle="1" w:styleId="Level11">
    <w:name w:val="Level 1.1"/>
    <w:aliases w:val="Reports,Reports Char Char Char Char,Reports Char,Level 1.1 Char Char,Level 1.1 Char,Level 1.1 Char Char Char Char,Level 1.1 Char Char Char Char Char Char,Level 1.1 Char Char Char Char Char Char Char Char Char Char Char Char"/>
    <w:basedOn w:val="Normal"/>
    <w:next w:val="Normal"/>
    <w:link w:val="ReportsCharChar"/>
    <w:rsid w:val="00477C2E"/>
    <w:pPr>
      <w:autoSpaceDE w:val="0"/>
      <w:autoSpaceDN w:val="0"/>
      <w:adjustRightInd w:val="0"/>
    </w:pPr>
    <w:rPr>
      <w:rFonts w:ascii="HFKACP+TimesNewRoman" w:hAnsi="HFKACP+TimesNewRoman"/>
      <w:lang w:val="en-IN" w:eastAsia="en-IN"/>
    </w:rPr>
  </w:style>
  <w:style w:type="paragraph" w:styleId="NoSpacing">
    <w:name w:val="No Spacing"/>
    <w:uiPriority w:val="1"/>
    <w:qFormat/>
    <w:rsid w:val="008307B8"/>
    <w:rPr>
      <w:rFonts w:ascii="Calibri" w:eastAsia="Calibri" w:hAnsi="Calibri"/>
      <w:sz w:val="22"/>
      <w:szCs w:val="22"/>
      <w:lang w:eastAsia="en-US"/>
    </w:rPr>
  </w:style>
  <w:style w:type="character" w:customStyle="1" w:styleId="BalloonTextChar">
    <w:name w:val="Balloon Text Char"/>
    <w:basedOn w:val="DefaultParagraphFont"/>
    <w:link w:val="BalloonText"/>
    <w:uiPriority w:val="99"/>
    <w:semiHidden/>
    <w:qFormat/>
    <w:rsid w:val="008307B8"/>
    <w:rPr>
      <w:rFonts w:ascii="Tahoma" w:hAnsi="Tahoma" w:cs="Tahoma"/>
      <w:sz w:val="16"/>
      <w:szCs w:val="16"/>
      <w:lang w:val="en-US" w:eastAsia="en-US"/>
    </w:rPr>
  </w:style>
  <w:style w:type="paragraph" w:customStyle="1" w:styleId="Default">
    <w:name w:val="Default"/>
    <w:qFormat/>
    <w:rsid w:val="00477922"/>
    <w:pPr>
      <w:autoSpaceDE w:val="0"/>
      <w:autoSpaceDN w:val="0"/>
      <w:adjustRightInd w:val="0"/>
    </w:pPr>
    <w:rPr>
      <w:rFonts w:ascii="Bookman Old Style" w:hAnsi="Bookman Old Style" w:cs="Bookman Old Style"/>
      <w:color w:val="000000"/>
      <w:sz w:val="24"/>
      <w:szCs w:val="24"/>
    </w:rPr>
  </w:style>
  <w:style w:type="character" w:customStyle="1" w:styleId="BodyTextChar">
    <w:name w:val="Body Text Char"/>
    <w:basedOn w:val="DefaultParagraphFont"/>
    <w:link w:val="BodyText"/>
    <w:qFormat/>
    <w:rsid w:val="003875A8"/>
    <w:rPr>
      <w:sz w:val="24"/>
      <w:szCs w:val="24"/>
      <w:lang w:val="en-US" w:eastAsia="en-US"/>
    </w:rPr>
  </w:style>
  <w:style w:type="character" w:customStyle="1" w:styleId="Heading1Char">
    <w:name w:val="Heading 1 Char"/>
    <w:aliases w:val="Section Char,Section Heading Char,Article Heading Char,HEADING 1 Char,App1 Char,EASI 1 Char,Hoofdstuk Char,Heading 1-nonum Char"/>
    <w:basedOn w:val="DefaultParagraphFont"/>
    <w:link w:val="Heading1"/>
    <w:qFormat/>
    <w:rsid w:val="003875A8"/>
    <w:rPr>
      <w:rFonts w:ascii="Arial" w:hAnsi="Arial" w:cs="Arial"/>
      <w:b/>
      <w:bCs/>
      <w:kern w:val="32"/>
      <w:sz w:val="32"/>
      <w:szCs w:val="32"/>
      <w:lang w:val="en-US" w:eastAsia="en-US"/>
    </w:rPr>
  </w:style>
  <w:style w:type="character" w:customStyle="1" w:styleId="BodyText2Char">
    <w:name w:val="Body Text 2 Char"/>
    <w:basedOn w:val="DefaultParagraphFont"/>
    <w:link w:val="BodyText2"/>
    <w:rsid w:val="00920FF5"/>
    <w:rPr>
      <w:rFonts w:ascii="Arial" w:hAnsi="Arial"/>
      <w:sz w:val="44"/>
      <w:lang w:val="en-US" w:eastAsia="en-US"/>
    </w:rPr>
  </w:style>
  <w:style w:type="paragraph" w:styleId="TOC4">
    <w:name w:val="toc 4"/>
    <w:basedOn w:val="Normal"/>
    <w:next w:val="Normal"/>
    <w:autoRedefine/>
    <w:uiPriority w:val="39"/>
    <w:unhideWhenUsed/>
    <w:rsid w:val="00FB473D"/>
    <w:pPr>
      <w:spacing w:after="100" w:line="276" w:lineRule="auto"/>
      <w:ind w:left="660"/>
    </w:pPr>
    <w:rPr>
      <w:rFonts w:ascii="Calibri" w:hAnsi="Calibri"/>
      <w:sz w:val="22"/>
      <w:szCs w:val="22"/>
      <w:lang w:val="en-IN" w:eastAsia="en-IN"/>
    </w:rPr>
  </w:style>
  <w:style w:type="paragraph" w:styleId="TOC5">
    <w:name w:val="toc 5"/>
    <w:basedOn w:val="Normal"/>
    <w:next w:val="Normal"/>
    <w:autoRedefine/>
    <w:uiPriority w:val="39"/>
    <w:unhideWhenUsed/>
    <w:rsid w:val="00FB473D"/>
    <w:pPr>
      <w:spacing w:after="100" w:line="276" w:lineRule="auto"/>
      <w:ind w:left="880"/>
    </w:pPr>
    <w:rPr>
      <w:rFonts w:ascii="Calibri" w:hAnsi="Calibri"/>
      <w:sz w:val="22"/>
      <w:szCs w:val="22"/>
      <w:lang w:val="en-IN" w:eastAsia="en-IN"/>
    </w:rPr>
  </w:style>
  <w:style w:type="paragraph" w:styleId="TOC6">
    <w:name w:val="toc 6"/>
    <w:basedOn w:val="Normal"/>
    <w:next w:val="Normal"/>
    <w:autoRedefine/>
    <w:uiPriority w:val="39"/>
    <w:unhideWhenUsed/>
    <w:rsid w:val="00FB473D"/>
    <w:pPr>
      <w:spacing w:after="100" w:line="276" w:lineRule="auto"/>
      <w:ind w:left="1100"/>
    </w:pPr>
    <w:rPr>
      <w:rFonts w:ascii="Calibri" w:hAnsi="Calibri"/>
      <w:sz w:val="22"/>
      <w:szCs w:val="22"/>
      <w:lang w:val="en-IN" w:eastAsia="en-IN"/>
    </w:rPr>
  </w:style>
  <w:style w:type="paragraph" w:styleId="TOC7">
    <w:name w:val="toc 7"/>
    <w:basedOn w:val="Normal"/>
    <w:next w:val="Normal"/>
    <w:autoRedefine/>
    <w:uiPriority w:val="39"/>
    <w:unhideWhenUsed/>
    <w:rsid w:val="00FB473D"/>
    <w:pPr>
      <w:spacing w:after="100" w:line="276" w:lineRule="auto"/>
      <w:ind w:left="1320"/>
    </w:pPr>
    <w:rPr>
      <w:rFonts w:ascii="Calibri" w:hAnsi="Calibri"/>
      <w:sz w:val="22"/>
      <w:szCs w:val="22"/>
      <w:lang w:val="en-IN" w:eastAsia="en-IN"/>
    </w:rPr>
  </w:style>
  <w:style w:type="paragraph" w:styleId="TOC8">
    <w:name w:val="toc 8"/>
    <w:basedOn w:val="Normal"/>
    <w:next w:val="Normal"/>
    <w:autoRedefine/>
    <w:uiPriority w:val="39"/>
    <w:unhideWhenUsed/>
    <w:rsid w:val="00FB473D"/>
    <w:pPr>
      <w:spacing w:after="100" w:line="276" w:lineRule="auto"/>
      <w:ind w:left="1540"/>
    </w:pPr>
    <w:rPr>
      <w:rFonts w:ascii="Calibri" w:hAnsi="Calibri"/>
      <w:sz w:val="22"/>
      <w:szCs w:val="22"/>
      <w:lang w:val="en-IN" w:eastAsia="en-IN"/>
    </w:rPr>
  </w:style>
  <w:style w:type="paragraph" w:styleId="TOC9">
    <w:name w:val="toc 9"/>
    <w:basedOn w:val="Normal"/>
    <w:next w:val="Normal"/>
    <w:autoRedefine/>
    <w:uiPriority w:val="39"/>
    <w:unhideWhenUsed/>
    <w:rsid w:val="00FB473D"/>
    <w:pPr>
      <w:spacing w:after="100" w:line="276" w:lineRule="auto"/>
      <w:ind w:left="1760"/>
    </w:pPr>
    <w:rPr>
      <w:rFonts w:ascii="Calibri" w:hAnsi="Calibri"/>
      <w:sz w:val="22"/>
      <w:szCs w:val="22"/>
      <w:lang w:val="en-IN" w:eastAsia="en-IN"/>
    </w:rPr>
  </w:style>
  <w:style w:type="character" w:customStyle="1" w:styleId="ListParagraphChar">
    <w:name w:val="List Paragraph Char"/>
    <w:aliases w:val="Resume Title Char,Citation List Char,heading 4 Char,Graphic Char,List Paragraph1 Char,1st level - Bullet List Paragraph Char,Lettre d'introduction Char,Paragrafo elenco Char,Bullet list Char,C-Change Char,Ha Char,Lower Heading 4 Char"/>
    <w:basedOn w:val="DefaultParagraphFont"/>
    <w:link w:val="ListParagraph"/>
    <w:uiPriority w:val="34"/>
    <w:qFormat/>
    <w:rsid w:val="007103C1"/>
    <w:rPr>
      <w:rFonts w:ascii="Calibri" w:eastAsia="Calibri" w:hAnsi="Calibri"/>
      <w:sz w:val="22"/>
      <w:szCs w:val="22"/>
    </w:rPr>
  </w:style>
  <w:style w:type="character" w:styleId="CommentReference">
    <w:name w:val="annotation reference"/>
    <w:basedOn w:val="DefaultParagraphFont"/>
    <w:qFormat/>
    <w:rsid w:val="00D77FDF"/>
    <w:rPr>
      <w:sz w:val="16"/>
      <w:szCs w:val="16"/>
    </w:rPr>
  </w:style>
  <w:style w:type="paragraph" w:styleId="CommentText">
    <w:name w:val="annotation text"/>
    <w:basedOn w:val="Normal"/>
    <w:link w:val="CommentTextChar"/>
    <w:qFormat/>
    <w:rsid w:val="00D77FDF"/>
    <w:rPr>
      <w:sz w:val="20"/>
      <w:szCs w:val="20"/>
    </w:rPr>
  </w:style>
  <w:style w:type="character" w:customStyle="1" w:styleId="CommentTextChar">
    <w:name w:val="Comment Text Char"/>
    <w:basedOn w:val="DefaultParagraphFont"/>
    <w:link w:val="CommentText"/>
    <w:qFormat/>
    <w:rsid w:val="00D77FDF"/>
    <w:rPr>
      <w:lang w:val="en-US" w:eastAsia="en-US"/>
    </w:rPr>
  </w:style>
  <w:style w:type="paragraph" w:styleId="CommentSubject">
    <w:name w:val="annotation subject"/>
    <w:basedOn w:val="CommentText"/>
    <w:next w:val="CommentText"/>
    <w:link w:val="CommentSubjectChar"/>
    <w:qFormat/>
    <w:rsid w:val="00D77FDF"/>
    <w:rPr>
      <w:b/>
      <w:bCs/>
    </w:rPr>
  </w:style>
  <w:style w:type="character" w:customStyle="1" w:styleId="CommentSubjectChar">
    <w:name w:val="Comment Subject Char"/>
    <w:basedOn w:val="CommentTextChar"/>
    <w:link w:val="CommentSubject"/>
    <w:qFormat/>
    <w:rsid w:val="00D77FDF"/>
    <w:rPr>
      <w:b/>
      <w:bCs/>
      <w:lang w:val="en-US" w:eastAsia="en-US"/>
    </w:rPr>
  </w:style>
  <w:style w:type="paragraph" w:styleId="PlainText">
    <w:name w:val="Plain Text"/>
    <w:basedOn w:val="Normal"/>
    <w:link w:val="PlainTextChar"/>
    <w:uiPriority w:val="99"/>
    <w:unhideWhenUsed/>
    <w:rsid w:val="00B60A4B"/>
    <w:rPr>
      <w:rFonts w:ascii="Calibri" w:eastAsia="Calibri" w:hAnsi="Calibri"/>
      <w:sz w:val="22"/>
      <w:szCs w:val="21"/>
    </w:rPr>
  </w:style>
  <w:style w:type="character" w:customStyle="1" w:styleId="PlainTextChar">
    <w:name w:val="Plain Text Char"/>
    <w:basedOn w:val="DefaultParagraphFont"/>
    <w:link w:val="PlainText"/>
    <w:uiPriority w:val="99"/>
    <w:rsid w:val="00B60A4B"/>
    <w:rPr>
      <w:rFonts w:ascii="Calibri" w:eastAsia="Calibri" w:hAnsi="Calibri" w:cs="Times New Roman"/>
      <w:sz w:val="22"/>
      <w:szCs w:val="21"/>
      <w:lang w:val="en-US" w:eastAsia="en-US"/>
    </w:rPr>
  </w:style>
  <w:style w:type="character" w:customStyle="1" w:styleId="apple-converted-space">
    <w:name w:val="apple-converted-space"/>
    <w:basedOn w:val="DefaultParagraphFont"/>
    <w:rsid w:val="00FB220E"/>
  </w:style>
  <w:style w:type="paragraph" w:styleId="DocumentMap">
    <w:name w:val="Document Map"/>
    <w:basedOn w:val="Normal"/>
    <w:link w:val="DocumentMapChar"/>
    <w:rsid w:val="004D47E6"/>
    <w:rPr>
      <w:rFonts w:ascii="Tahoma" w:hAnsi="Tahoma" w:cs="Tahoma"/>
      <w:sz w:val="16"/>
      <w:szCs w:val="16"/>
    </w:rPr>
  </w:style>
  <w:style w:type="character" w:customStyle="1" w:styleId="DocumentMapChar">
    <w:name w:val="Document Map Char"/>
    <w:basedOn w:val="DefaultParagraphFont"/>
    <w:link w:val="DocumentMap"/>
    <w:rsid w:val="004D47E6"/>
    <w:rPr>
      <w:rFonts w:ascii="Tahoma" w:hAnsi="Tahoma" w:cs="Tahoma"/>
      <w:sz w:val="16"/>
      <w:szCs w:val="16"/>
    </w:rPr>
  </w:style>
  <w:style w:type="paragraph" w:customStyle="1" w:styleId="font5">
    <w:name w:val="font5"/>
    <w:basedOn w:val="Normal"/>
    <w:rsid w:val="00035F47"/>
    <w:pPr>
      <w:spacing w:before="100" w:beforeAutospacing="1" w:after="100" w:afterAutospacing="1"/>
    </w:pPr>
    <w:rPr>
      <w:rFonts w:ascii="Tahoma" w:hAnsi="Tahoma" w:cs="Tahoma"/>
      <w:b/>
      <w:bCs/>
      <w:color w:val="000000"/>
      <w:sz w:val="16"/>
      <w:szCs w:val="16"/>
      <w:lang w:val="en-IN" w:eastAsia="en-IN"/>
    </w:rPr>
  </w:style>
  <w:style w:type="paragraph" w:customStyle="1" w:styleId="xl65">
    <w:name w:val="xl65"/>
    <w:basedOn w:val="Normal"/>
    <w:rsid w:val="00035F47"/>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Arial Narrow" w:hAnsi="Arial Narrow"/>
      <w:sz w:val="20"/>
      <w:szCs w:val="20"/>
      <w:lang w:val="en-IN" w:eastAsia="en-IN"/>
    </w:rPr>
  </w:style>
  <w:style w:type="paragraph" w:customStyle="1" w:styleId="xl66">
    <w:name w:val="xl66"/>
    <w:basedOn w:val="Normal"/>
    <w:rsid w:val="00035F47"/>
    <w:pPr>
      <w:spacing w:before="100" w:beforeAutospacing="1" w:after="100" w:afterAutospacing="1"/>
    </w:pPr>
    <w:rPr>
      <w:rFonts w:ascii="Arial Narrow" w:hAnsi="Arial Narrow"/>
      <w:sz w:val="20"/>
      <w:szCs w:val="20"/>
      <w:lang w:val="en-IN" w:eastAsia="en-IN"/>
    </w:rPr>
  </w:style>
  <w:style w:type="paragraph" w:customStyle="1" w:styleId="xl67">
    <w:name w:val="xl67"/>
    <w:basedOn w:val="Normal"/>
    <w:rsid w:val="00035F47"/>
    <w:pPr>
      <w:spacing w:before="100" w:beforeAutospacing="1" w:after="100" w:afterAutospacing="1"/>
    </w:pPr>
    <w:rPr>
      <w:rFonts w:ascii="Arial Narrow" w:hAnsi="Arial Narrow"/>
      <w:b/>
      <w:bCs/>
      <w:sz w:val="20"/>
      <w:szCs w:val="20"/>
      <w:lang w:val="en-IN" w:eastAsia="en-IN"/>
    </w:rPr>
  </w:style>
  <w:style w:type="paragraph" w:customStyle="1" w:styleId="xl68">
    <w:name w:val="xl68"/>
    <w:basedOn w:val="Normal"/>
    <w:rsid w:val="00035F4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Narrow" w:hAnsi="Arial Narrow"/>
      <w:sz w:val="20"/>
      <w:szCs w:val="20"/>
      <w:lang w:val="en-IN" w:eastAsia="en-IN"/>
    </w:rPr>
  </w:style>
  <w:style w:type="paragraph" w:customStyle="1" w:styleId="xl69">
    <w:name w:val="xl69"/>
    <w:basedOn w:val="Normal"/>
    <w:rsid w:val="00035F4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Narrow" w:hAnsi="Arial Narrow"/>
      <w:sz w:val="20"/>
      <w:szCs w:val="20"/>
      <w:lang w:val="en-IN" w:eastAsia="en-IN"/>
    </w:rPr>
  </w:style>
  <w:style w:type="paragraph" w:customStyle="1" w:styleId="xl70">
    <w:name w:val="xl70"/>
    <w:basedOn w:val="Normal"/>
    <w:rsid w:val="00035F4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Narrow" w:hAnsi="Arial Narrow"/>
      <w:sz w:val="20"/>
      <w:szCs w:val="20"/>
      <w:lang w:val="en-IN" w:eastAsia="en-IN"/>
    </w:rPr>
  </w:style>
  <w:style w:type="paragraph" w:customStyle="1" w:styleId="xl71">
    <w:name w:val="xl71"/>
    <w:basedOn w:val="Normal"/>
    <w:rsid w:val="00035F4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Narrow" w:hAnsi="Arial Narrow"/>
      <w:color w:val="000000"/>
      <w:sz w:val="20"/>
      <w:szCs w:val="20"/>
      <w:lang w:val="en-IN" w:eastAsia="en-IN"/>
    </w:rPr>
  </w:style>
  <w:style w:type="paragraph" w:customStyle="1" w:styleId="xl72">
    <w:name w:val="xl72"/>
    <w:basedOn w:val="Normal"/>
    <w:rsid w:val="00035F47"/>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Narrow" w:hAnsi="Arial Narrow"/>
      <w:sz w:val="20"/>
      <w:szCs w:val="20"/>
      <w:lang w:val="en-IN" w:eastAsia="en-IN"/>
    </w:rPr>
  </w:style>
  <w:style w:type="paragraph" w:customStyle="1" w:styleId="xl73">
    <w:name w:val="xl73"/>
    <w:basedOn w:val="Normal"/>
    <w:rsid w:val="00035F4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Narrow" w:hAnsi="Arial Narrow"/>
      <w:sz w:val="20"/>
      <w:szCs w:val="20"/>
      <w:lang w:val="en-IN" w:eastAsia="en-IN"/>
    </w:rPr>
  </w:style>
  <w:style w:type="paragraph" w:customStyle="1" w:styleId="xl74">
    <w:name w:val="xl74"/>
    <w:basedOn w:val="Normal"/>
    <w:rsid w:val="00035F47"/>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Narrow" w:hAnsi="Arial Narrow"/>
      <w:sz w:val="20"/>
      <w:szCs w:val="20"/>
      <w:lang w:val="en-IN" w:eastAsia="en-IN"/>
    </w:rPr>
  </w:style>
  <w:style w:type="paragraph" w:customStyle="1" w:styleId="xl75">
    <w:name w:val="xl75"/>
    <w:basedOn w:val="Normal"/>
    <w:rsid w:val="00035F4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Narrow" w:hAnsi="Arial Narrow"/>
      <w:sz w:val="20"/>
      <w:szCs w:val="20"/>
      <w:lang w:val="en-IN" w:eastAsia="en-IN"/>
    </w:rPr>
  </w:style>
  <w:style w:type="paragraph" w:customStyle="1" w:styleId="xl76">
    <w:name w:val="xl76"/>
    <w:basedOn w:val="Normal"/>
    <w:rsid w:val="00035F4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Narrow" w:hAnsi="Arial Narrow"/>
      <w:b/>
      <w:bCs/>
      <w:sz w:val="20"/>
      <w:szCs w:val="20"/>
      <w:lang w:val="en-IN" w:eastAsia="en-IN"/>
    </w:rPr>
  </w:style>
  <w:style w:type="paragraph" w:customStyle="1" w:styleId="xl77">
    <w:name w:val="xl77"/>
    <w:basedOn w:val="Normal"/>
    <w:rsid w:val="00035F4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Narrow" w:hAnsi="Arial Narrow"/>
      <w:sz w:val="20"/>
      <w:szCs w:val="20"/>
      <w:lang w:val="en-IN" w:eastAsia="en-IN"/>
    </w:rPr>
  </w:style>
  <w:style w:type="paragraph" w:customStyle="1" w:styleId="xl78">
    <w:name w:val="xl78"/>
    <w:basedOn w:val="Normal"/>
    <w:rsid w:val="00035F4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Narrow" w:hAnsi="Arial Narrow"/>
      <w:sz w:val="20"/>
      <w:szCs w:val="20"/>
      <w:lang w:val="en-IN" w:eastAsia="en-IN"/>
    </w:rPr>
  </w:style>
  <w:style w:type="paragraph" w:customStyle="1" w:styleId="xl79">
    <w:name w:val="xl79"/>
    <w:basedOn w:val="Normal"/>
    <w:rsid w:val="00035F47"/>
    <w:pPr>
      <w:pBdr>
        <w:top w:val="single" w:sz="4" w:space="0" w:color="auto"/>
        <w:left w:val="single" w:sz="4" w:space="0" w:color="auto"/>
        <w:bottom w:val="single" w:sz="4" w:space="0" w:color="auto"/>
        <w:right w:val="single" w:sz="4" w:space="0" w:color="auto"/>
      </w:pBdr>
      <w:shd w:val="clear" w:color="FFFFCC" w:fill="FFFFFF"/>
      <w:spacing w:before="100" w:beforeAutospacing="1" w:after="100" w:afterAutospacing="1"/>
      <w:textAlignment w:val="center"/>
    </w:pPr>
    <w:rPr>
      <w:rFonts w:ascii="Arial Narrow" w:hAnsi="Arial Narrow"/>
      <w:sz w:val="20"/>
      <w:szCs w:val="20"/>
      <w:lang w:val="en-IN" w:eastAsia="en-IN"/>
    </w:rPr>
  </w:style>
  <w:style w:type="paragraph" w:customStyle="1" w:styleId="xl80">
    <w:name w:val="xl80"/>
    <w:basedOn w:val="Normal"/>
    <w:rsid w:val="00035F4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Narrow" w:hAnsi="Arial Narrow"/>
      <w:color w:val="000000"/>
      <w:sz w:val="20"/>
      <w:szCs w:val="20"/>
      <w:lang w:val="en-IN" w:eastAsia="en-IN"/>
    </w:rPr>
  </w:style>
  <w:style w:type="paragraph" w:customStyle="1" w:styleId="xl81">
    <w:name w:val="xl81"/>
    <w:basedOn w:val="Normal"/>
    <w:rsid w:val="00035F47"/>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ascii="Arial Narrow" w:hAnsi="Arial Narrow"/>
      <w:sz w:val="20"/>
      <w:szCs w:val="20"/>
      <w:lang w:val="en-IN" w:eastAsia="en-IN"/>
    </w:rPr>
  </w:style>
  <w:style w:type="paragraph" w:customStyle="1" w:styleId="xl82">
    <w:name w:val="xl82"/>
    <w:basedOn w:val="Normal"/>
    <w:rsid w:val="00035F4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Arial Narrow" w:hAnsi="Arial Narrow"/>
      <w:sz w:val="20"/>
      <w:szCs w:val="20"/>
      <w:lang w:val="en-IN" w:eastAsia="en-IN"/>
    </w:rPr>
  </w:style>
  <w:style w:type="paragraph" w:customStyle="1" w:styleId="xl83">
    <w:name w:val="xl83"/>
    <w:basedOn w:val="Normal"/>
    <w:rsid w:val="00035F4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Arial Narrow" w:hAnsi="Arial Narrow"/>
      <w:sz w:val="20"/>
      <w:szCs w:val="20"/>
      <w:lang w:val="en-IN" w:eastAsia="en-IN"/>
    </w:rPr>
  </w:style>
  <w:style w:type="paragraph" w:customStyle="1" w:styleId="xl84">
    <w:name w:val="xl84"/>
    <w:basedOn w:val="Normal"/>
    <w:rsid w:val="00035F4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Arial Narrow" w:hAnsi="Arial Narrow"/>
      <w:sz w:val="20"/>
      <w:szCs w:val="20"/>
      <w:lang w:val="en-IN" w:eastAsia="en-IN"/>
    </w:rPr>
  </w:style>
  <w:style w:type="paragraph" w:customStyle="1" w:styleId="xl85">
    <w:name w:val="xl85"/>
    <w:basedOn w:val="Normal"/>
    <w:rsid w:val="00035F47"/>
    <w:pPr>
      <w:pBdr>
        <w:top w:val="single" w:sz="4" w:space="0" w:color="auto"/>
        <w:left w:val="single" w:sz="4" w:space="0" w:color="auto"/>
        <w:bottom w:val="single" w:sz="4" w:space="0" w:color="auto"/>
        <w:right w:val="single" w:sz="4" w:space="0" w:color="auto"/>
      </w:pBdr>
      <w:shd w:val="clear" w:color="FFFFCC" w:fill="FFFFFF"/>
      <w:spacing w:before="100" w:beforeAutospacing="1" w:after="100" w:afterAutospacing="1"/>
      <w:textAlignment w:val="center"/>
    </w:pPr>
    <w:rPr>
      <w:rFonts w:ascii="Arial Narrow" w:hAnsi="Arial Narrow"/>
      <w:sz w:val="20"/>
      <w:szCs w:val="20"/>
      <w:lang w:val="en-IN" w:eastAsia="en-IN"/>
    </w:rPr>
  </w:style>
  <w:style w:type="paragraph" w:customStyle="1" w:styleId="xl86">
    <w:name w:val="xl86"/>
    <w:basedOn w:val="Normal"/>
    <w:rsid w:val="00035F4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Arial Narrow" w:hAnsi="Arial Narrow"/>
      <w:color w:val="000000"/>
      <w:sz w:val="20"/>
      <w:szCs w:val="20"/>
      <w:lang w:val="en-IN" w:eastAsia="en-IN"/>
    </w:rPr>
  </w:style>
  <w:style w:type="paragraph" w:customStyle="1" w:styleId="xl87">
    <w:name w:val="xl87"/>
    <w:basedOn w:val="Normal"/>
    <w:rsid w:val="00035F4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Narrow" w:hAnsi="Arial Narrow"/>
      <w:sz w:val="20"/>
      <w:szCs w:val="20"/>
      <w:lang w:val="en-IN" w:eastAsia="en-IN"/>
    </w:rPr>
  </w:style>
  <w:style w:type="paragraph" w:customStyle="1" w:styleId="xl88">
    <w:name w:val="xl88"/>
    <w:basedOn w:val="Normal"/>
    <w:rsid w:val="00035F4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Narrow" w:hAnsi="Arial Narrow"/>
      <w:sz w:val="20"/>
      <w:szCs w:val="20"/>
      <w:lang w:val="en-IN" w:eastAsia="en-IN"/>
    </w:rPr>
  </w:style>
  <w:style w:type="paragraph" w:customStyle="1" w:styleId="xl89">
    <w:name w:val="xl89"/>
    <w:basedOn w:val="Normal"/>
    <w:rsid w:val="00035F47"/>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ascii="Arial Narrow" w:hAnsi="Arial Narrow"/>
      <w:sz w:val="20"/>
      <w:szCs w:val="20"/>
      <w:lang w:val="en-IN" w:eastAsia="en-IN"/>
    </w:rPr>
  </w:style>
  <w:style w:type="paragraph" w:customStyle="1" w:styleId="xl90">
    <w:name w:val="xl90"/>
    <w:basedOn w:val="Normal"/>
    <w:rsid w:val="00035F47"/>
    <w:pPr>
      <w:pBdr>
        <w:top w:val="single" w:sz="4" w:space="0" w:color="auto"/>
        <w:left w:val="single" w:sz="4" w:space="0" w:color="auto"/>
        <w:bottom w:val="single" w:sz="4" w:space="0" w:color="auto"/>
        <w:right w:val="single" w:sz="4" w:space="0" w:color="auto"/>
      </w:pBdr>
      <w:shd w:val="clear" w:color="FFFFCC" w:fill="FFFF00"/>
      <w:spacing w:before="100" w:beforeAutospacing="1" w:after="100" w:afterAutospacing="1"/>
      <w:textAlignment w:val="center"/>
    </w:pPr>
    <w:rPr>
      <w:rFonts w:ascii="Arial Narrow" w:hAnsi="Arial Narrow"/>
      <w:sz w:val="20"/>
      <w:szCs w:val="20"/>
      <w:lang w:val="en-IN" w:eastAsia="en-IN"/>
    </w:rPr>
  </w:style>
  <w:style w:type="character" w:customStyle="1" w:styleId="HeaderChar">
    <w:name w:val="Header Char"/>
    <w:basedOn w:val="DefaultParagraphFont"/>
    <w:link w:val="Header"/>
    <w:uiPriority w:val="99"/>
    <w:qFormat/>
    <w:rsid w:val="00A46448"/>
    <w:rPr>
      <w:sz w:val="24"/>
      <w:szCs w:val="24"/>
      <w:lang w:val="en-US" w:eastAsia="en-US"/>
    </w:rPr>
  </w:style>
  <w:style w:type="character" w:customStyle="1" w:styleId="FooterChar">
    <w:name w:val="Footer Char"/>
    <w:basedOn w:val="DefaultParagraphFont"/>
    <w:link w:val="Footer"/>
    <w:uiPriority w:val="99"/>
    <w:qFormat/>
    <w:rsid w:val="00A46448"/>
    <w:rPr>
      <w:sz w:val="24"/>
      <w:szCs w:val="24"/>
      <w:lang w:val="en-US" w:eastAsia="en-US"/>
    </w:rPr>
  </w:style>
  <w:style w:type="character" w:customStyle="1" w:styleId="Heading4Char">
    <w:name w:val="Heading 4 Char"/>
    <w:basedOn w:val="DefaultParagraphFont"/>
    <w:link w:val="Heading4"/>
    <w:rsid w:val="00B960B2"/>
    <w:rPr>
      <w:rFonts w:ascii="Calibri" w:hAnsi="Calibri"/>
      <w:b/>
      <w:bCs/>
      <w:sz w:val="28"/>
      <w:szCs w:val="28"/>
      <w:lang w:val="en-GB" w:eastAsia="en-US"/>
    </w:rPr>
  </w:style>
  <w:style w:type="character" w:customStyle="1" w:styleId="Heading5Char">
    <w:name w:val="Heading 5 Char"/>
    <w:basedOn w:val="DefaultParagraphFont"/>
    <w:link w:val="Heading5"/>
    <w:rsid w:val="00B960B2"/>
    <w:rPr>
      <w:rFonts w:ascii="Book Antiqua" w:hAnsi="Book Antiqua"/>
      <w:b/>
      <w:bCs/>
      <w:i/>
      <w:iCs/>
      <w:sz w:val="22"/>
      <w:szCs w:val="22"/>
      <w:lang w:val="en-US" w:eastAsia="en-US"/>
    </w:rPr>
  </w:style>
  <w:style w:type="character" w:customStyle="1" w:styleId="Heading6Char">
    <w:name w:val="Heading 6 Char"/>
    <w:basedOn w:val="DefaultParagraphFont"/>
    <w:link w:val="Heading6"/>
    <w:rsid w:val="00B960B2"/>
    <w:rPr>
      <w:rFonts w:ascii="Book Antiqua" w:hAnsi="Book Antiqua"/>
      <w:i/>
      <w:iCs/>
      <w:sz w:val="22"/>
      <w:szCs w:val="22"/>
      <w:lang w:val="en-US" w:eastAsia="en-US"/>
    </w:rPr>
  </w:style>
  <w:style w:type="character" w:customStyle="1" w:styleId="Heading7Char">
    <w:name w:val="Heading 7 Char"/>
    <w:basedOn w:val="DefaultParagraphFont"/>
    <w:link w:val="Heading7"/>
    <w:qFormat/>
    <w:rsid w:val="00B960B2"/>
    <w:rPr>
      <w:rFonts w:ascii="Arial" w:hAnsi="Arial" w:cs="Arial"/>
      <w:lang w:val="en-US" w:eastAsia="en-US"/>
    </w:rPr>
  </w:style>
  <w:style w:type="character" w:customStyle="1" w:styleId="Heading8Char">
    <w:name w:val="Heading 8 Char"/>
    <w:basedOn w:val="DefaultParagraphFont"/>
    <w:link w:val="Heading8"/>
    <w:rsid w:val="00B960B2"/>
    <w:rPr>
      <w:rFonts w:ascii="Arial" w:hAnsi="Arial" w:cs="Arial"/>
      <w:i/>
      <w:iCs/>
      <w:lang w:val="en-US" w:eastAsia="en-US"/>
    </w:rPr>
  </w:style>
  <w:style w:type="character" w:customStyle="1" w:styleId="Heading9Char">
    <w:name w:val="Heading 9 Char"/>
    <w:basedOn w:val="DefaultParagraphFont"/>
    <w:link w:val="Heading9"/>
    <w:rsid w:val="00B960B2"/>
    <w:rPr>
      <w:rFonts w:ascii="Arial" w:hAnsi="Arial" w:cs="Arial"/>
      <w:b/>
      <w:bCs/>
      <w:i/>
      <w:iCs/>
      <w:sz w:val="18"/>
      <w:szCs w:val="18"/>
      <w:lang w:val="en-US" w:eastAsia="en-US"/>
    </w:rPr>
  </w:style>
  <w:style w:type="character" w:customStyle="1" w:styleId="Heading3Char">
    <w:name w:val="Heading 3 Char"/>
    <w:aliases w:val="Minor Char,level3 Char"/>
    <w:basedOn w:val="DefaultParagraphFont"/>
    <w:link w:val="Heading3"/>
    <w:rsid w:val="00B960B2"/>
    <w:rPr>
      <w:rFonts w:ascii="Arial" w:hAnsi="Arial" w:cs="Arial"/>
      <w:b/>
      <w:bCs/>
      <w:sz w:val="26"/>
      <w:szCs w:val="26"/>
      <w:lang w:val="en-US" w:eastAsia="en-US"/>
    </w:rPr>
  </w:style>
  <w:style w:type="paragraph" w:customStyle="1" w:styleId="L-Hed">
    <w:name w:val="L-Hed"/>
    <w:basedOn w:val="Normal"/>
    <w:link w:val="L-HedChar"/>
    <w:qFormat/>
    <w:rsid w:val="00B960B2"/>
    <w:pPr>
      <w:spacing w:before="120" w:after="120" w:line="300" w:lineRule="auto"/>
    </w:pPr>
    <w:rPr>
      <w:rFonts w:ascii="Arial" w:hAnsi="Arial" w:cs="Arial"/>
      <w:b/>
      <w:sz w:val="22"/>
    </w:rPr>
  </w:style>
  <w:style w:type="character" w:customStyle="1" w:styleId="L-HedChar">
    <w:name w:val="L-Hed Char"/>
    <w:basedOn w:val="DefaultParagraphFont"/>
    <w:link w:val="L-Hed"/>
    <w:rsid w:val="00B960B2"/>
    <w:rPr>
      <w:rFonts w:ascii="Arial" w:hAnsi="Arial" w:cs="Arial"/>
      <w:b/>
      <w:sz w:val="22"/>
      <w:szCs w:val="24"/>
      <w:lang w:val="en-US" w:eastAsia="en-US"/>
    </w:rPr>
  </w:style>
  <w:style w:type="paragraph" w:styleId="TOCHeading">
    <w:name w:val="TOC Heading"/>
    <w:basedOn w:val="Heading1"/>
    <w:next w:val="Normal"/>
    <w:uiPriority w:val="39"/>
    <w:unhideWhenUsed/>
    <w:qFormat/>
    <w:rsid w:val="00B960B2"/>
    <w:pPr>
      <w:keepLines/>
      <w:spacing w:before="480" w:after="0" w:line="276" w:lineRule="auto"/>
      <w:outlineLvl w:val="9"/>
    </w:pPr>
    <w:rPr>
      <w:rFonts w:ascii="Cambria" w:hAnsi="Cambria" w:cs="Times New Roman"/>
      <w:color w:val="365F91"/>
      <w:kern w:val="0"/>
      <w:sz w:val="28"/>
      <w:szCs w:val="28"/>
    </w:rPr>
  </w:style>
  <w:style w:type="paragraph" w:styleId="TableofFigures">
    <w:name w:val="table of figures"/>
    <w:basedOn w:val="Normal"/>
    <w:next w:val="Normal"/>
    <w:uiPriority w:val="99"/>
    <w:unhideWhenUsed/>
    <w:rsid w:val="00B960B2"/>
    <w:pPr>
      <w:spacing w:line="300" w:lineRule="auto"/>
      <w:ind w:left="440" w:hanging="440"/>
    </w:pPr>
    <w:rPr>
      <w:rFonts w:ascii="Calibri" w:hAnsi="Calibri"/>
      <w:smallCaps/>
      <w:sz w:val="20"/>
      <w:szCs w:val="20"/>
    </w:rPr>
  </w:style>
  <w:style w:type="paragraph" w:styleId="BodyText3">
    <w:name w:val="Body Text 3"/>
    <w:basedOn w:val="Normal"/>
    <w:link w:val="BodyText3Char"/>
    <w:uiPriority w:val="99"/>
    <w:unhideWhenUsed/>
    <w:rsid w:val="00B960B2"/>
    <w:pPr>
      <w:spacing w:after="120" w:line="300" w:lineRule="auto"/>
      <w:jc w:val="both"/>
    </w:pPr>
    <w:rPr>
      <w:rFonts w:ascii="Arial" w:hAnsi="Arial"/>
      <w:sz w:val="16"/>
      <w:szCs w:val="16"/>
    </w:rPr>
  </w:style>
  <w:style w:type="character" w:customStyle="1" w:styleId="BodyText3Char">
    <w:name w:val="Body Text 3 Char"/>
    <w:basedOn w:val="DefaultParagraphFont"/>
    <w:link w:val="BodyText3"/>
    <w:uiPriority w:val="99"/>
    <w:rsid w:val="00B960B2"/>
    <w:rPr>
      <w:rFonts w:ascii="Arial" w:hAnsi="Arial"/>
      <w:sz w:val="16"/>
      <w:szCs w:val="16"/>
      <w:lang w:val="en-US" w:eastAsia="en-US"/>
    </w:rPr>
  </w:style>
  <w:style w:type="paragraph" w:styleId="Index1">
    <w:name w:val="index 1"/>
    <w:basedOn w:val="Normal"/>
    <w:next w:val="Normal"/>
    <w:autoRedefine/>
    <w:uiPriority w:val="99"/>
    <w:unhideWhenUsed/>
    <w:rsid w:val="00B960B2"/>
    <w:pPr>
      <w:ind w:left="220" w:hanging="220"/>
      <w:jc w:val="both"/>
    </w:pPr>
    <w:rPr>
      <w:rFonts w:ascii="Arial" w:hAnsi="Arial"/>
      <w:sz w:val="22"/>
    </w:rPr>
  </w:style>
  <w:style w:type="paragraph" w:styleId="IndexHeading">
    <w:name w:val="index heading"/>
    <w:basedOn w:val="Normal"/>
    <w:next w:val="Index1"/>
    <w:rsid w:val="00B960B2"/>
    <w:pPr>
      <w:spacing w:line="312" w:lineRule="auto"/>
      <w:jc w:val="both"/>
    </w:pPr>
    <w:rPr>
      <w:sz w:val="22"/>
      <w:szCs w:val="22"/>
      <w:lang w:val="en-GB"/>
    </w:rPr>
  </w:style>
  <w:style w:type="paragraph" w:styleId="Closing">
    <w:name w:val="Closing"/>
    <w:basedOn w:val="Default"/>
    <w:next w:val="Default"/>
    <w:link w:val="ClosingChar"/>
    <w:uiPriority w:val="99"/>
    <w:rsid w:val="00B960B2"/>
    <w:rPr>
      <w:rFonts w:ascii="ELGMPJ+TimesNewRoman,Bold" w:hAnsi="ELGMPJ+TimesNewRoman,Bold" w:cs="Gautami"/>
      <w:color w:val="auto"/>
      <w:lang w:val="en-US" w:eastAsia="en-US" w:bidi="te-IN"/>
    </w:rPr>
  </w:style>
  <w:style w:type="character" w:customStyle="1" w:styleId="ClosingChar">
    <w:name w:val="Closing Char"/>
    <w:basedOn w:val="DefaultParagraphFont"/>
    <w:link w:val="Closing"/>
    <w:uiPriority w:val="99"/>
    <w:rsid w:val="00B960B2"/>
    <w:rPr>
      <w:rFonts w:ascii="ELGMPJ+TimesNewRoman,Bold" w:hAnsi="ELGMPJ+TimesNewRoman,Bold" w:cs="Gautami"/>
      <w:sz w:val="24"/>
      <w:szCs w:val="24"/>
      <w:lang w:val="en-US" w:eastAsia="en-US" w:bidi="te-IN"/>
    </w:rPr>
  </w:style>
  <w:style w:type="paragraph" w:customStyle="1" w:styleId="Style">
    <w:name w:val="Style"/>
    <w:rsid w:val="00B960B2"/>
    <w:pPr>
      <w:widowControl w:val="0"/>
      <w:autoSpaceDE w:val="0"/>
      <w:autoSpaceDN w:val="0"/>
      <w:adjustRightInd w:val="0"/>
    </w:pPr>
    <w:rPr>
      <w:rFonts w:ascii="Arial" w:hAnsi="Arial" w:cs="Arial"/>
      <w:sz w:val="24"/>
      <w:szCs w:val="24"/>
      <w:lang w:val="en-US" w:eastAsia="en-US"/>
    </w:rPr>
  </w:style>
  <w:style w:type="paragraph" w:customStyle="1" w:styleId="Bullet">
    <w:name w:val="Bullet"/>
    <w:basedOn w:val="Normal"/>
    <w:rsid w:val="00B960B2"/>
    <w:pPr>
      <w:tabs>
        <w:tab w:val="num" w:pos="720"/>
      </w:tabs>
      <w:ind w:left="720" w:hanging="360"/>
      <w:jc w:val="both"/>
    </w:pPr>
    <w:rPr>
      <w:rFonts w:ascii="Book Antiqua" w:hAnsi="Book Antiqua"/>
      <w:color w:val="0A043D"/>
      <w:sz w:val="22"/>
      <w:lang w:bidi="te-IN"/>
    </w:rPr>
  </w:style>
  <w:style w:type="character" w:customStyle="1" w:styleId="TitleChar">
    <w:name w:val="Title Char"/>
    <w:basedOn w:val="DefaultParagraphFont"/>
    <w:link w:val="Title"/>
    <w:uiPriority w:val="10"/>
    <w:rsid w:val="00B960B2"/>
    <w:rPr>
      <w:rFonts w:ascii="Arial" w:hAnsi="Arial"/>
      <w:b/>
      <w:kern w:val="28"/>
      <w:sz w:val="32"/>
      <w:lang w:val="en-GB" w:eastAsia="en-US"/>
    </w:rPr>
  </w:style>
  <w:style w:type="character" w:styleId="Emphasis">
    <w:name w:val="Emphasis"/>
    <w:basedOn w:val="DefaultParagraphFont"/>
    <w:qFormat/>
    <w:rsid w:val="00CE0792"/>
    <w:rPr>
      <w:i/>
      <w:iCs/>
    </w:rPr>
  </w:style>
  <w:style w:type="paragraph" w:customStyle="1" w:styleId="paragraph">
    <w:name w:val="paragraph"/>
    <w:basedOn w:val="Normal"/>
    <w:qFormat/>
    <w:rsid w:val="00E0166C"/>
    <w:pPr>
      <w:spacing w:before="100" w:beforeAutospacing="1" w:after="100" w:afterAutospacing="1"/>
    </w:pPr>
    <w:rPr>
      <w:lang w:bidi="or-IN"/>
    </w:rPr>
  </w:style>
  <w:style w:type="character" w:customStyle="1" w:styleId="textrun">
    <w:name w:val="textrun"/>
    <w:basedOn w:val="DefaultParagraphFont"/>
    <w:rsid w:val="00E0166C"/>
  </w:style>
  <w:style w:type="character" w:customStyle="1" w:styleId="normaltextrun">
    <w:name w:val="normaltextrun"/>
    <w:basedOn w:val="DefaultParagraphFont"/>
    <w:qFormat/>
    <w:rsid w:val="00E0166C"/>
  </w:style>
  <w:style w:type="character" w:customStyle="1" w:styleId="eop">
    <w:name w:val="eop"/>
    <w:basedOn w:val="DefaultParagraphFont"/>
    <w:qFormat/>
    <w:rsid w:val="00E0166C"/>
  </w:style>
  <w:style w:type="character" w:customStyle="1" w:styleId="wacimagecontainer">
    <w:name w:val="wacimagecontainer"/>
    <w:basedOn w:val="DefaultParagraphFont"/>
    <w:rsid w:val="00E0166C"/>
  </w:style>
  <w:style w:type="character" w:customStyle="1" w:styleId="pagebreakblob">
    <w:name w:val="pagebreakblob"/>
    <w:basedOn w:val="DefaultParagraphFont"/>
    <w:rsid w:val="00E0166C"/>
  </w:style>
  <w:style w:type="character" w:customStyle="1" w:styleId="pagebreakborderspan">
    <w:name w:val="pagebreakborderspan"/>
    <w:basedOn w:val="DefaultParagraphFont"/>
    <w:rsid w:val="00E0166C"/>
  </w:style>
  <w:style w:type="character" w:customStyle="1" w:styleId="pagebreaktextspan">
    <w:name w:val="pagebreaktextspan"/>
    <w:basedOn w:val="DefaultParagraphFont"/>
    <w:rsid w:val="00E0166C"/>
  </w:style>
  <w:style w:type="character" w:customStyle="1" w:styleId="linebreakblob">
    <w:name w:val="linebreakblob"/>
    <w:basedOn w:val="DefaultParagraphFont"/>
    <w:rsid w:val="00095426"/>
  </w:style>
  <w:style w:type="character" w:customStyle="1" w:styleId="scxw53468724">
    <w:name w:val="scxw53468724"/>
    <w:basedOn w:val="DefaultParagraphFont"/>
    <w:rsid w:val="00095426"/>
  </w:style>
  <w:style w:type="character" w:customStyle="1" w:styleId="tabrun">
    <w:name w:val="tabrun"/>
    <w:basedOn w:val="DefaultParagraphFont"/>
    <w:rsid w:val="00095426"/>
  </w:style>
  <w:style w:type="character" w:customStyle="1" w:styleId="tabchar">
    <w:name w:val="tabchar"/>
    <w:basedOn w:val="DefaultParagraphFont"/>
    <w:rsid w:val="00095426"/>
  </w:style>
  <w:style w:type="character" w:customStyle="1" w:styleId="tableaderchars">
    <w:name w:val="tableaderchars"/>
    <w:basedOn w:val="DefaultParagraphFont"/>
    <w:rsid w:val="00095426"/>
  </w:style>
  <w:style w:type="paragraph" w:customStyle="1" w:styleId="TableParagraph">
    <w:name w:val="Table Paragraph"/>
    <w:basedOn w:val="Normal"/>
    <w:uiPriority w:val="1"/>
    <w:qFormat/>
    <w:rsid w:val="00EC02FF"/>
    <w:pPr>
      <w:widowControl w:val="0"/>
      <w:autoSpaceDE w:val="0"/>
      <w:autoSpaceDN w:val="0"/>
    </w:pPr>
    <w:rPr>
      <w:rFonts w:ascii="Calibri" w:eastAsia="Calibri" w:hAnsi="Calibri" w:cs="Calibri"/>
      <w:sz w:val="22"/>
      <w:szCs w:val="22"/>
    </w:rPr>
  </w:style>
  <w:style w:type="paragraph" w:customStyle="1" w:styleId="xmsonormal">
    <w:name w:val="x_msonormal"/>
    <w:basedOn w:val="Normal"/>
    <w:rsid w:val="002C6988"/>
    <w:pPr>
      <w:spacing w:before="100" w:beforeAutospacing="1" w:after="100" w:afterAutospacing="1"/>
    </w:pPr>
    <w:rPr>
      <w:lang w:val="en-IN" w:eastAsia="en-IN"/>
    </w:rPr>
  </w:style>
  <w:style w:type="table" w:styleId="GridTable4-Accent5">
    <w:name w:val="Grid Table 4 Accent 5"/>
    <w:basedOn w:val="TableNormal"/>
    <w:uiPriority w:val="49"/>
    <w:rsid w:val="009B2565"/>
    <w:rPr>
      <w:rFonts w:asciiTheme="minorHAnsi" w:eastAsiaTheme="minorHAnsi" w:hAnsiTheme="minorHAnsi" w:cstheme="minorBidi"/>
      <w:sz w:val="22"/>
      <w:szCs w:val="22"/>
      <w:lang w:eastAsia="en-US"/>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insideV w:val="nil"/>
        </w:tcBorders>
        <w:shd w:val="clear" w:color="auto" w:fill="4BACC6" w:themeFill="accent5"/>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numbering" w:customStyle="1" w:styleId="NoList1">
    <w:name w:val="No List1"/>
    <w:next w:val="NoList"/>
    <w:uiPriority w:val="99"/>
    <w:semiHidden/>
    <w:unhideWhenUsed/>
    <w:rsid w:val="00671957"/>
  </w:style>
  <w:style w:type="paragraph" w:customStyle="1" w:styleId="xl63">
    <w:name w:val="xl63"/>
    <w:basedOn w:val="Normal"/>
    <w:rsid w:val="00671957"/>
    <w:pPr>
      <w:pBdr>
        <w:top w:val="single" w:sz="4" w:space="0" w:color="92D050"/>
        <w:left w:val="single" w:sz="4" w:space="0" w:color="92D050"/>
        <w:bottom w:val="single" w:sz="4" w:space="0" w:color="92D050"/>
        <w:right w:val="single" w:sz="4" w:space="0" w:color="92D050"/>
      </w:pBdr>
      <w:spacing w:before="100" w:beforeAutospacing="1" w:after="100" w:afterAutospacing="1"/>
    </w:pPr>
  </w:style>
  <w:style w:type="paragraph" w:customStyle="1" w:styleId="xl64">
    <w:name w:val="xl64"/>
    <w:basedOn w:val="Normal"/>
    <w:rsid w:val="00671957"/>
    <w:pPr>
      <w:pBdr>
        <w:top w:val="single" w:sz="4" w:space="0" w:color="92D050"/>
        <w:left w:val="single" w:sz="4" w:space="0" w:color="92D050"/>
        <w:bottom w:val="single" w:sz="4" w:space="0" w:color="92D050"/>
        <w:right w:val="single" w:sz="4" w:space="0" w:color="92D050"/>
      </w:pBdr>
      <w:spacing w:before="100" w:beforeAutospacing="1" w:after="100" w:afterAutospacing="1"/>
      <w:jc w:val="center"/>
    </w:pPr>
  </w:style>
  <w:style w:type="paragraph" w:customStyle="1" w:styleId="xl91">
    <w:name w:val="xl91"/>
    <w:basedOn w:val="Normal"/>
    <w:rsid w:val="0067195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homa" w:hAnsi="Thoma"/>
      <w:b/>
      <w:bCs/>
      <w:sz w:val="20"/>
      <w:szCs w:val="20"/>
    </w:rPr>
  </w:style>
  <w:style w:type="paragraph" w:customStyle="1" w:styleId="xl92">
    <w:name w:val="xl92"/>
    <w:basedOn w:val="Normal"/>
    <w:rsid w:val="00671957"/>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hAnsi="Arial" w:cs="Arial"/>
      <w:b/>
      <w:bCs/>
      <w:i/>
      <w:iCs/>
      <w:sz w:val="18"/>
      <w:szCs w:val="18"/>
    </w:rPr>
  </w:style>
  <w:style w:type="paragraph" w:customStyle="1" w:styleId="xl93">
    <w:name w:val="xl93"/>
    <w:basedOn w:val="Normal"/>
    <w:rsid w:val="0067195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b/>
      <w:bCs/>
      <w:i/>
      <w:iCs/>
      <w:sz w:val="18"/>
      <w:szCs w:val="18"/>
    </w:rPr>
  </w:style>
  <w:style w:type="paragraph" w:customStyle="1" w:styleId="xl94">
    <w:name w:val="xl94"/>
    <w:basedOn w:val="Normal"/>
    <w:rsid w:val="00671957"/>
    <w:pPr>
      <w:pBdr>
        <w:top w:val="single" w:sz="4" w:space="0" w:color="auto"/>
        <w:left w:val="single" w:sz="4" w:space="0" w:color="auto"/>
        <w:bottom w:val="single" w:sz="4" w:space="0" w:color="auto"/>
        <w:right w:val="single" w:sz="4" w:space="0" w:color="auto"/>
      </w:pBdr>
      <w:spacing w:before="100" w:beforeAutospacing="1" w:after="100" w:afterAutospacing="1"/>
    </w:pPr>
    <w:rPr>
      <w:rFonts w:ascii="Thoma" w:hAnsi="Thoma"/>
      <w:sz w:val="20"/>
      <w:szCs w:val="20"/>
    </w:rPr>
  </w:style>
  <w:style w:type="paragraph" w:customStyle="1" w:styleId="xl95">
    <w:name w:val="xl95"/>
    <w:basedOn w:val="Normal"/>
    <w:rsid w:val="00671957"/>
    <w:pPr>
      <w:pBdr>
        <w:top w:val="single" w:sz="4" w:space="0" w:color="auto"/>
        <w:left w:val="single" w:sz="4" w:space="0" w:color="auto"/>
        <w:right w:val="single" w:sz="4" w:space="0" w:color="auto"/>
      </w:pBdr>
      <w:spacing w:before="100" w:beforeAutospacing="1" w:after="100" w:afterAutospacing="1"/>
      <w:textAlignment w:val="center"/>
    </w:pPr>
    <w:rPr>
      <w:rFonts w:ascii="Thoma" w:hAnsi="Thoma"/>
      <w:sz w:val="20"/>
      <w:szCs w:val="20"/>
    </w:rPr>
  </w:style>
  <w:style w:type="paragraph" w:customStyle="1" w:styleId="xl96">
    <w:name w:val="xl96"/>
    <w:basedOn w:val="Normal"/>
    <w:rsid w:val="00671957"/>
    <w:pPr>
      <w:pBdr>
        <w:left w:val="single" w:sz="4" w:space="0" w:color="auto"/>
        <w:right w:val="single" w:sz="4" w:space="0" w:color="auto"/>
      </w:pBdr>
      <w:spacing w:before="100" w:beforeAutospacing="1" w:after="100" w:afterAutospacing="1"/>
      <w:textAlignment w:val="center"/>
    </w:pPr>
    <w:rPr>
      <w:rFonts w:ascii="Thoma" w:hAnsi="Thoma"/>
      <w:sz w:val="20"/>
      <w:szCs w:val="20"/>
    </w:rPr>
  </w:style>
  <w:style w:type="paragraph" w:customStyle="1" w:styleId="xl97">
    <w:name w:val="xl97"/>
    <w:basedOn w:val="Normal"/>
    <w:rsid w:val="00671957"/>
    <w:pPr>
      <w:pBdr>
        <w:left w:val="single" w:sz="4" w:space="0" w:color="auto"/>
        <w:bottom w:val="single" w:sz="4" w:space="0" w:color="auto"/>
        <w:right w:val="single" w:sz="4" w:space="0" w:color="auto"/>
      </w:pBdr>
      <w:spacing w:before="100" w:beforeAutospacing="1" w:after="100" w:afterAutospacing="1"/>
      <w:textAlignment w:val="center"/>
    </w:pPr>
    <w:rPr>
      <w:rFonts w:ascii="Thoma" w:hAnsi="Thoma"/>
      <w:sz w:val="20"/>
      <w:szCs w:val="20"/>
    </w:rPr>
  </w:style>
  <w:style w:type="paragraph" w:customStyle="1" w:styleId="xl98">
    <w:name w:val="xl98"/>
    <w:basedOn w:val="Normal"/>
    <w:rsid w:val="00671957"/>
    <w:pPr>
      <w:pBdr>
        <w:top w:val="single" w:sz="4" w:space="0" w:color="auto"/>
        <w:left w:val="single" w:sz="4" w:space="0" w:color="auto"/>
        <w:bottom w:val="single" w:sz="4" w:space="0" w:color="auto"/>
        <w:right w:val="single" w:sz="4" w:space="0" w:color="auto"/>
      </w:pBdr>
      <w:spacing w:before="100" w:beforeAutospacing="1" w:after="100" w:afterAutospacing="1"/>
    </w:pPr>
    <w:rPr>
      <w:rFonts w:ascii="Thoma" w:hAnsi="Thoma"/>
      <w:sz w:val="20"/>
      <w:szCs w:val="20"/>
    </w:rPr>
  </w:style>
  <w:style w:type="paragraph" w:customStyle="1" w:styleId="xl99">
    <w:name w:val="xl99"/>
    <w:basedOn w:val="Normal"/>
    <w:rsid w:val="00671957"/>
    <w:pPr>
      <w:pBdr>
        <w:left w:val="single" w:sz="4" w:space="0" w:color="auto"/>
        <w:bottom w:val="single" w:sz="4" w:space="0" w:color="auto"/>
        <w:right w:val="single" w:sz="4" w:space="0" w:color="auto"/>
      </w:pBdr>
      <w:spacing w:before="100" w:beforeAutospacing="1" w:after="100" w:afterAutospacing="1"/>
      <w:textAlignment w:val="center"/>
    </w:pPr>
    <w:rPr>
      <w:rFonts w:ascii="Thoma" w:hAnsi="Thoma"/>
      <w:sz w:val="20"/>
      <w:szCs w:val="20"/>
    </w:rPr>
  </w:style>
  <w:style w:type="paragraph" w:customStyle="1" w:styleId="xl100">
    <w:name w:val="xl100"/>
    <w:basedOn w:val="Normal"/>
    <w:rsid w:val="0067195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homa" w:hAnsi="Thoma"/>
      <w:sz w:val="20"/>
      <w:szCs w:val="20"/>
    </w:rPr>
  </w:style>
  <w:style w:type="paragraph" w:customStyle="1" w:styleId="xl101">
    <w:name w:val="xl101"/>
    <w:basedOn w:val="Normal"/>
    <w:rsid w:val="00671957"/>
    <w:pPr>
      <w:pBdr>
        <w:top w:val="single" w:sz="4" w:space="0" w:color="auto"/>
        <w:left w:val="single" w:sz="4" w:space="0" w:color="auto"/>
        <w:right w:val="single" w:sz="4" w:space="0" w:color="auto"/>
      </w:pBdr>
      <w:spacing w:before="100" w:beforeAutospacing="1" w:after="100" w:afterAutospacing="1"/>
      <w:textAlignment w:val="center"/>
    </w:pPr>
    <w:rPr>
      <w:rFonts w:ascii="Thoma" w:hAnsi="Thoma"/>
      <w:sz w:val="20"/>
      <w:szCs w:val="20"/>
    </w:rPr>
  </w:style>
  <w:style w:type="paragraph" w:customStyle="1" w:styleId="xl102">
    <w:name w:val="xl102"/>
    <w:basedOn w:val="Normal"/>
    <w:rsid w:val="00671957"/>
    <w:pPr>
      <w:pBdr>
        <w:top w:val="single" w:sz="4" w:space="0" w:color="auto"/>
        <w:left w:val="single" w:sz="4" w:space="0" w:color="auto"/>
        <w:right w:val="single" w:sz="4" w:space="0" w:color="auto"/>
      </w:pBdr>
      <w:spacing w:before="100" w:beforeAutospacing="1" w:after="100" w:afterAutospacing="1"/>
      <w:textAlignment w:val="center"/>
    </w:pPr>
    <w:rPr>
      <w:rFonts w:ascii="Thoma" w:hAnsi="Thoma"/>
      <w:sz w:val="20"/>
      <w:szCs w:val="20"/>
    </w:rPr>
  </w:style>
  <w:style w:type="paragraph" w:customStyle="1" w:styleId="xl103">
    <w:name w:val="xl103"/>
    <w:basedOn w:val="Normal"/>
    <w:rsid w:val="00671957"/>
    <w:pPr>
      <w:pBdr>
        <w:left w:val="single" w:sz="4" w:space="0" w:color="auto"/>
        <w:right w:val="single" w:sz="4" w:space="0" w:color="auto"/>
      </w:pBdr>
      <w:spacing w:before="100" w:beforeAutospacing="1" w:after="100" w:afterAutospacing="1"/>
      <w:textAlignment w:val="center"/>
    </w:pPr>
    <w:rPr>
      <w:rFonts w:ascii="Thoma" w:hAnsi="Thoma"/>
      <w:sz w:val="20"/>
      <w:szCs w:val="20"/>
    </w:rPr>
  </w:style>
  <w:style w:type="paragraph" w:customStyle="1" w:styleId="xl104">
    <w:name w:val="xl104"/>
    <w:basedOn w:val="Normal"/>
    <w:rsid w:val="00671957"/>
    <w:pPr>
      <w:pBdr>
        <w:left w:val="single" w:sz="4" w:space="0" w:color="auto"/>
        <w:right w:val="single" w:sz="4" w:space="0" w:color="auto"/>
      </w:pBdr>
      <w:spacing w:before="100" w:beforeAutospacing="1" w:after="100" w:afterAutospacing="1"/>
      <w:textAlignment w:val="center"/>
    </w:pPr>
    <w:rPr>
      <w:rFonts w:ascii="Thoma" w:hAnsi="Thoma"/>
      <w:sz w:val="20"/>
      <w:szCs w:val="20"/>
    </w:rPr>
  </w:style>
  <w:style w:type="paragraph" w:customStyle="1" w:styleId="xl105">
    <w:name w:val="xl105"/>
    <w:basedOn w:val="Normal"/>
    <w:rsid w:val="00671957"/>
    <w:pPr>
      <w:pBdr>
        <w:left w:val="single" w:sz="4" w:space="0" w:color="auto"/>
        <w:bottom w:val="single" w:sz="4" w:space="0" w:color="auto"/>
        <w:right w:val="single" w:sz="4" w:space="0" w:color="auto"/>
      </w:pBdr>
      <w:spacing w:before="100" w:beforeAutospacing="1" w:after="100" w:afterAutospacing="1"/>
      <w:textAlignment w:val="center"/>
    </w:pPr>
    <w:rPr>
      <w:rFonts w:ascii="Thoma" w:hAnsi="Thoma"/>
      <w:sz w:val="20"/>
      <w:szCs w:val="20"/>
    </w:rPr>
  </w:style>
  <w:style w:type="paragraph" w:customStyle="1" w:styleId="xl106">
    <w:name w:val="xl106"/>
    <w:basedOn w:val="Normal"/>
    <w:rsid w:val="0067195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homa" w:hAnsi="Thoma"/>
      <w:sz w:val="20"/>
      <w:szCs w:val="20"/>
    </w:rPr>
  </w:style>
  <w:style w:type="paragraph" w:customStyle="1" w:styleId="xl107">
    <w:name w:val="xl107"/>
    <w:basedOn w:val="Normal"/>
    <w:rsid w:val="0067195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homa" w:hAnsi="Thoma"/>
      <w:sz w:val="20"/>
      <w:szCs w:val="20"/>
    </w:rPr>
  </w:style>
  <w:style w:type="paragraph" w:customStyle="1" w:styleId="xl108">
    <w:name w:val="xl108"/>
    <w:basedOn w:val="Normal"/>
    <w:rsid w:val="00671957"/>
    <w:pPr>
      <w:spacing w:before="100" w:beforeAutospacing="1" w:after="100" w:afterAutospacing="1"/>
    </w:pPr>
  </w:style>
  <w:style w:type="character" w:styleId="Strong">
    <w:name w:val="Strong"/>
    <w:basedOn w:val="DefaultParagraphFont"/>
    <w:uiPriority w:val="22"/>
    <w:qFormat/>
    <w:rsid w:val="00671957"/>
    <w:rPr>
      <w:b/>
      <w:bCs/>
    </w:rPr>
  </w:style>
  <w:style w:type="paragraph" w:styleId="Revision">
    <w:name w:val="Revision"/>
    <w:hidden/>
    <w:uiPriority w:val="99"/>
    <w:semiHidden/>
    <w:rsid w:val="00671957"/>
    <w:rPr>
      <w:sz w:val="24"/>
      <w:szCs w:val="24"/>
      <w:lang w:val="en-US" w:eastAsia="en-US"/>
    </w:rPr>
  </w:style>
  <w:style w:type="character" w:customStyle="1" w:styleId="ft2">
    <w:name w:val="ft2"/>
    <w:basedOn w:val="DefaultParagraphFont"/>
    <w:rsid w:val="00671957"/>
  </w:style>
  <w:style w:type="character" w:customStyle="1" w:styleId="UnresolvedMention1">
    <w:name w:val="Unresolved Mention1"/>
    <w:basedOn w:val="DefaultParagraphFont"/>
    <w:uiPriority w:val="99"/>
    <w:semiHidden/>
    <w:unhideWhenUsed/>
    <w:rsid w:val="00671957"/>
    <w:rPr>
      <w:color w:val="605E5C"/>
      <w:shd w:val="clear" w:color="auto" w:fill="E1DFDD"/>
    </w:rPr>
  </w:style>
  <w:style w:type="table" w:customStyle="1" w:styleId="TableGrid1">
    <w:name w:val="Table Grid1"/>
    <w:basedOn w:val="TableNormal"/>
    <w:next w:val="TableGrid"/>
    <w:uiPriority w:val="39"/>
    <w:rsid w:val="00671957"/>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msolistparagraph">
    <w:name w:val="x_msolistparagraph"/>
    <w:basedOn w:val="Normal"/>
    <w:rsid w:val="00671957"/>
    <w:pPr>
      <w:spacing w:after="200" w:line="276" w:lineRule="auto"/>
      <w:ind w:left="720"/>
    </w:pPr>
    <w:rPr>
      <w:rFonts w:ascii="Calibri" w:eastAsiaTheme="minorHAnsi" w:hAnsi="Calibri" w:cs="Calibri"/>
      <w:sz w:val="22"/>
      <w:szCs w:val="22"/>
      <w:lang w:val="en-IN" w:eastAsia="en-IN"/>
    </w:rPr>
  </w:style>
  <w:style w:type="character" w:customStyle="1" w:styleId="UnresolvedMention2">
    <w:name w:val="Unresolved Mention2"/>
    <w:basedOn w:val="DefaultParagraphFont"/>
    <w:uiPriority w:val="99"/>
    <w:semiHidden/>
    <w:unhideWhenUsed/>
    <w:rsid w:val="001E4AA6"/>
    <w:rPr>
      <w:color w:val="605E5C"/>
      <w:shd w:val="clear" w:color="auto" w:fill="E1DFDD"/>
    </w:rPr>
  </w:style>
  <w:style w:type="table" w:styleId="GridTable3-Accent1">
    <w:name w:val="Grid Table 3 Accent 1"/>
    <w:basedOn w:val="TableNormal"/>
    <w:uiPriority w:val="48"/>
    <w:rsid w:val="001E784B"/>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2-Accent1">
    <w:name w:val="Grid Table 2 Accent 1"/>
    <w:basedOn w:val="TableNormal"/>
    <w:uiPriority w:val="47"/>
    <w:rsid w:val="001E784B"/>
    <w:tblPr>
      <w:tblStyleRowBandSize w:val="1"/>
      <w:tblStyleColBandSize w:val="1"/>
      <w:tblBorders>
        <w:top w:val="single" w:sz="2" w:space="0" w:color="95B3D7" w:themeColor="accent1" w:themeTint="99"/>
        <w:bottom w:val="single" w:sz="2" w:space="0" w:color="95B3D7" w:themeColor="accent1" w:themeTint="99"/>
        <w:insideH w:val="single" w:sz="2" w:space="0" w:color="95B3D7" w:themeColor="accent1" w:themeTint="99"/>
        <w:insideV w:val="single" w:sz="2" w:space="0" w:color="95B3D7" w:themeColor="accent1" w:themeTint="99"/>
      </w:tblBorders>
    </w:tblPr>
    <w:tblStylePr w:type="firstRow">
      <w:rPr>
        <w:b/>
        <w:bCs/>
      </w:rPr>
      <w:tblPr/>
      <w:tcPr>
        <w:tcBorders>
          <w:top w:val="nil"/>
          <w:bottom w:val="single" w:sz="12" w:space="0" w:color="95B3D7" w:themeColor="accent1" w:themeTint="99"/>
          <w:insideH w:val="nil"/>
          <w:insideV w:val="nil"/>
        </w:tcBorders>
        <w:shd w:val="clear" w:color="auto" w:fill="FFFFFF" w:themeFill="background1"/>
      </w:tcPr>
    </w:tblStylePr>
    <w:tblStylePr w:type="lastRow">
      <w:rPr>
        <w:b/>
        <w:bCs/>
      </w:rPr>
      <w:tblPr/>
      <w:tcPr>
        <w:tcBorders>
          <w:top w:val="double" w:sz="2" w:space="0" w:color="95B3D7"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TableGrid3">
    <w:name w:val="Table Grid3"/>
    <w:basedOn w:val="TableNormal"/>
    <w:next w:val="TableGrid"/>
    <w:uiPriority w:val="39"/>
    <w:rsid w:val="00BE58D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4-Accent52">
    <w:name w:val="Grid Table 4 - Accent 52"/>
    <w:basedOn w:val="TableNormal"/>
    <w:next w:val="GridTable4-Accent5"/>
    <w:uiPriority w:val="49"/>
    <w:rsid w:val="00BE58DA"/>
    <w:rPr>
      <w:rFonts w:asciiTheme="minorHAnsi" w:eastAsiaTheme="minorHAnsi" w:hAnsiTheme="minorHAnsi" w:cstheme="minorBidi"/>
      <w:sz w:val="22"/>
      <w:szCs w:val="22"/>
      <w:lang w:eastAsia="en-US"/>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insideV w:val="nil"/>
        </w:tcBorders>
        <w:shd w:val="clear" w:color="auto" w:fill="4BACC6" w:themeFill="accent5"/>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character" w:customStyle="1" w:styleId="Heading1Char1">
    <w:name w:val="Heading 1 Char1"/>
    <w:aliases w:val="Section Char1,Section Heading Char1,Article Heading Char1,HEADING 1 Char1,App1 Char1,EASI 1 Char1,Hoofdstuk Char1,Heading 1-nonum Char1"/>
    <w:basedOn w:val="DefaultParagraphFont"/>
    <w:rsid w:val="008765F5"/>
    <w:rPr>
      <w:rFonts w:asciiTheme="majorHAnsi" w:eastAsiaTheme="majorEastAsia" w:hAnsiTheme="majorHAnsi" w:cstheme="majorBidi"/>
      <w:color w:val="365F91" w:themeColor="accent1" w:themeShade="BF"/>
      <w:sz w:val="32"/>
      <w:szCs w:val="32"/>
      <w:lang w:val="en-US"/>
    </w:rPr>
  </w:style>
  <w:style w:type="paragraph" w:customStyle="1" w:styleId="msonormal0">
    <w:name w:val="msonormal"/>
    <w:basedOn w:val="Normal"/>
    <w:uiPriority w:val="99"/>
    <w:rsid w:val="008765F5"/>
    <w:pPr>
      <w:spacing w:before="100" w:beforeAutospacing="1" w:after="100" w:afterAutospacing="1"/>
    </w:pPr>
  </w:style>
  <w:style w:type="paragraph" w:styleId="FootnoteText">
    <w:name w:val="footnote text"/>
    <w:basedOn w:val="Normal"/>
    <w:link w:val="FootnoteTextChar"/>
    <w:uiPriority w:val="99"/>
    <w:semiHidden/>
    <w:unhideWhenUsed/>
    <w:rsid w:val="00C11FC0"/>
    <w:rPr>
      <w:rFonts w:ascii="Calibri" w:eastAsiaTheme="minorHAnsi" w:hAnsi="Calibri"/>
      <w:sz w:val="20"/>
      <w:szCs w:val="20"/>
      <w:lang w:val="en-IN" w:eastAsia="en-IN"/>
    </w:rPr>
  </w:style>
  <w:style w:type="character" w:customStyle="1" w:styleId="FootnoteTextChar">
    <w:name w:val="Footnote Text Char"/>
    <w:basedOn w:val="DefaultParagraphFont"/>
    <w:link w:val="FootnoteText"/>
    <w:uiPriority w:val="99"/>
    <w:semiHidden/>
    <w:rsid w:val="00C11FC0"/>
    <w:rPr>
      <w:rFonts w:ascii="Calibri" w:eastAsiaTheme="minorHAnsi" w:hAnsi="Calibri"/>
    </w:rPr>
  </w:style>
  <w:style w:type="character" w:customStyle="1" w:styleId="ReportsCharChar">
    <w:name w:val="Reports Char Char"/>
    <w:aliases w:val="Level 1.1 Char2,Reports Char1,Reports Char Char Char Char Char1,Level 1.1 Char Char Char,Level 1.1 Char Char1,Level 1.1 Char Char Char Char Char,Level 1.1 Char Char Char Char Char Char Char"/>
    <w:link w:val="Level11"/>
    <w:rsid w:val="003E6C5D"/>
    <w:rPr>
      <w:rFonts w:ascii="HFKACP+TimesNewRoman" w:hAnsi="HFKACP+TimesNewRoman"/>
      <w:sz w:val="24"/>
      <w:szCs w:val="24"/>
    </w:rPr>
  </w:style>
  <w:style w:type="numbering" w:customStyle="1" w:styleId="NoList2">
    <w:name w:val="No List2"/>
    <w:next w:val="NoList"/>
    <w:uiPriority w:val="99"/>
    <w:semiHidden/>
    <w:unhideWhenUsed/>
    <w:rsid w:val="00D6050D"/>
  </w:style>
  <w:style w:type="numbering" w:customStyle="1" w:styleId="NoList11">
    <w:name w:val="No List11"/>
    <w:next w:val="NoList"/>
    <w:uiPriority w:val="99"/>
    <w:semiHidden/>
    <w:unhideWhenUsed/>
    <w:rsid w:val="00D6050D"/>
  </w:style>
  <w:style w:type="table" w:customStyle="1" w:styleId="TableGrid2">
    <w:name w:val="Table Grid2"/>
    <w:basedOn w:val="TableNormal"/>
    <w:next w:val="TableGrid"/>
    <w:uiPriority w:val="39"/>
    <w:rsid w:val="00D6050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s1">
    <w:name w:val="Table Grid s1"/>
    <w:basedOn w:val="TableNormal"/>
    <w:next w:val="TableGrid8"/>
    <w:rsid w:val="00D6050D"/>
    <w:pPr>
      <w:spacing w:before="120" w:after="120"/>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left w:w="115" w:type="dxa"/>
        <w:right w:w="115" w:type="dxa"/>
      </w:tblCellMar>
    </w:tblPr>
    <w:tcPr>
      <w:shd w:val="clear" w:color="auto" w:fill="FFFFFF"/>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GridTable4-Accent51">
    <w:name w:val="Grid Table 4 - Accent 51"/>
    <w:basedOn w:val="TableNormal"/>
    <w:next w:val="GridTable4-Accent5"/>
    <w:uiPriority w:val="49"/>
    <w:rsid w:val="00D6050D"/>
    <w:rPr>
      <w:rFonts w:ascii="Calibri" w:eastAsia="Calibri" w:hAnsi="Calibri"/>
      <w:sz w:val="22"/>
      <w:szCs w:val="22"/>
      <w:lang w:eastAsia="en-US"/>
    </w:rPr>
    <w:tblPr>
      <w:tblStyleRowBandSize w:val="1"/>
      <w:tblStyleColBandSize w:val="1"/>
      <w:tblBorders>
        <w:top w:val="single" w:sz="4" w:space="0" w:color="92CDDC"/>
        <w:left w:val="single" w:sz="4" w:space="0" w:color="92CDDC"/>
        <w:bottom w:val="single" w:sz="4" w:space="0" w:color="92CDDC"/>
        <w:right w:val="single" w:sz="4" w:space="0" w:color="92CDDC"/>
        <w:insideH w:val="single" w:sz="4" w:space="0" w:color="92CDDC"/>
        <w:insideV w:val="single" w:sz="4" w:space="0" w:color="92CDDC"/>
      </w:tblBorders>
    </w:tblPr>
    <w:tblStylePr w:type="firstRow">
      <w:rPr>
        <w:b/>
        <w:bCs/>
        <w:color w:val="FFFFFF"/>
      </w:rPr>
      <w:tblPr/>
      <w:tcPr>
        <w:tcBorders>
          <w:top w:val="single" w:sz="4" w:space="0" w:color="4BACC6"/>
          <w:left w:val="single" w:sz="4" w:space="0" w:color="4BACC6"/>
          <w:bottom w:val="single" w:sz="4" w:space="0" w:color="4BACC6"/>
          <w:right w:val="single" w:sz="4" w:space="0" w:color="4BACC6"/>
          <w:insideH w:val="nil"/>
          <w:insideV w:val="nil"/>
        </w:tcBorders>
        <w:shd w:val="clear" w:color="auto" w:fill="4BACC6"/>
      </w:tcPr>
    </w:tblStylePr>
    <w:tblStylePr w:type="lastRow">
      <w:rPr>
        <w:b/>
        <w:bCs/>
      </w:rPr>
      <w:tblPr/>
      <w:tcPr>
        <w:tcBorders>
          <w:top w:val="double" w:sz="4" w:space="0" w:color="4BACC6"/>
        </w:tcBorders>
      </w:tcPr>
    </w:tblStylePr>
    <w:tblStylePr w:type="firstCol">
      <w:rPr>
        <w:b/>
        <w:bCs/>
      </w:rPr>
    </w:tblStylePr>
    <w:tblStylePr w:type="lastCol">
      <w:rPr>
        <w:b/>
        <w:bCs/>
      </w:rPr>
    </w:tblStylePr>
    <w:tblStylePr w:type="band1Vert">
      <w:tblPr/>
      <w:tcPr>
        <w:shd w:val="clear" w:color="auto" w:fill="DAEEF3"/>
      </w:tcPr>
    </w:tblStylePr>
    <w:tblStylePr w:type="band1Horz">
      <w:tblPr/>
      <w:tcPr>
        <w:shd w:val="clear" w:color="auto" w:fill="DAEEF3"/>
      </w:tcPr>
    </w:tblStylePr>
  </w:style>
  <w:style w:type="numbering" w:customStyle="1" w:styleId="NoList111">
    <w:name w:val="No List111"/>
    <w:next w:val="NoList"/>
    <w:uiPriority w:val="99"/>
    <w:semiHidden/>
    <w:unhideWhenUsed/>
    <w:rsid w:val="00D6050D"/>
  </w:style>
  <w:style w:type="table" w:customStyle="1" w:styleId="TableGrid11">
    <w:name w:val="Table Grid11"/>
    <w:basedOn w:val="TableNormal"/>
    <w:next w:val="TableGrid"/>
    <w:uiPriority w:val="39"/>
    <w:rsid w:val="00D6050D"/>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0">
    <w:name w:val="Unresolved Mention20"/>
    <w:basedOn w:val="DefaultParagraphFont"/>
    <w:uiPriority w:val="99"/>
    <w:semiHidden/>
    <w:unhideWhenUsed/>
    <w:rsid w:val="00D6050D"/>
    <w:rPr>
      <w:color w:val="605E5C"/>
      <w:shd w:val="clear" w:color="auto" w:fill="E1DFDD"/>
    </w:rPr>
  </w:style>
  <w:style w:type="table" w:customStyle="1" w:styleId="GridTable3-Accent11">
    <w:name w:val="Grid Table 3 - Accent 11"/>
    <w:basedOn w:val="TableNormal"/>
    <w:next w:val="GridTable3-Accent1"/>
    <w:uiPriority w:val="48"/>
    <w:rsid w:val="00D6050D"/>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BE5F1"/>
      </w:tcPr>
    </w:tblStylePr>
    <w:tblStylePr w:type="band1Horz">
      <w:tblPr/>
      <w:tcPr>
        <w:shd w:val="clear" w:color="auto" w:fill="DBE5F1"/>
      </w:tcPr>
    </w:tblStylePr>
    <w:tblStylePr w:type="neCell">
      <w:tblPr/>
      <w:tcPr>
        <w:tcBorders>
          <w:bottom w:val="single" w:sz="4" w:space="0" w:color="95B3D7"/>
        </w:tcBorders>
      </w:tcPr>
    </w:tblStylePr>
    <w:tblStylePr w:type="nwCell">
      <w:tblPr/>
      <w:tcPr>
        <w:tcBorders>
          <w:bottom w:val="single" w:sz="4" w:space="0" w:color="95B3D7"/>
        </w:tcBorders>
      </w:tcPr>
    </w:tblStylePr>
    <w:tblStylePr w:type="seCell">
      <w:tblPr/>
      <w:tcPr>
        <w:tcBorders>
          <w:top w:val="single" w:sz="4" w:space="0" w:color="95B3D7"/>
        </w:tcBorders>
      </w:tcPr>
    </w:tblStylePr>
    <w:tblStylePr w:type="swCell">
      <w:tblPr/>
      <w:tcPr>
        <w:tcBorders>
          <w:top w:val="single" w:sz="4" w:space="0" w:color="95B3D7"/>
        </w:tcBorders>
      </w:tcPr>
    </w:tblStylePr>
  </w:style>
  <w:style w:type="table" w:customStyle="1" w:styleId="GridTable2-Accent11">
    <w:name w:val="Grid Table 2 - Accent 11"/>
    <w:basedOn w:val="TableNormal"/>
    <w:next w:val="GridTable2-Accent1"/>
    <w:uiPriority w:val="47"/>
    <w:rsid w:val="00D6050D"/>
    <w:tblPr>
      <w:tblStyleRowBandSize w:val="1"/>
      <w:tblStyleColBandSize w:val="1"/>
      <w:tblBorders>
        <w:top w:val="single" w:sz="2" w:space="0" w:color="95B3D7"/>
        <w:bottom w:val="single" w:sz="2" w:space="0" w:color="95B3D7"/>
        <w:insideH w:val="single" w:sz="2" w:space="0" w:color="95B3D7"/>
        <w:insideV w:val="single" w:sz="2" w:space="0" w:color="95B3D7"/>
      </w:tblBorders>
    </w:tblPr>
    <w:tblStylePr w:type="firstRow">
      <w:rPr>
        <w:b/>
        <w:bCs/>
      </w:rPr>
      <w:tblPr/>
      <w:tcPr>
        <w:tcBorders>
          <w:top w:val="nil"/>
          <w:bottom w:val="single" w:sz="12" w:space="0" w:color="95B3D7"/>
          <w:insideH w:val="nil"/>
          <w:insideV w:val="nil"/>
        </w:tcBorders>
        <w:shd w:val="clear" w:color="auto" w:fill="FFFFFF"/>
      </w:tcPr>
    </w:tblStylePr>
    <w:tblStylePr w:type="lastRow">
      <w:rPr>
        <w:b/>
        <w:bCs/>
      </w:rPr>
      <w:tblPr/>
      <w:tcPr>
        <w:tcBorders>
          <w:top w:val="double" w:sz="2" w:space="0" w:color="95B3D7"/>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TableGrid31">
    <w:name w:val="Table Grid31"/>
    <w:basedOn w:val="TableNormal"/>
    <w:next w:val="TableGrid"/>
    <w:uiPriority w:val="39"/>
    <w:rsid w:val="00D6050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4-Accent521">
    <w:name w:val="Grid Table 4 - Accent 521"/>
    <w:basedOn w:val="TableNormal"/>
    <w:next w:val="GridTable4-Accent5"/>
    <w:uiPriority w:val="49"/>
    <w:rsid w:val="00D6050D"/>
    <w:rPr>
      <w:rFonts w:ascii="Calibri" w:eastAsia="Calibri" w:hAnsi="Calibri"/>
      <w:sz w:val="22"/>
      <w:szCs w:val="22"/>
      <w:lang w:eastAsia="en-US"/>
    </w:rPr>
    <w:tblPr>
      <w:tblStyleRowBandSize w:val="1"/>
      <w:tblStyleColBandSize w:val="1"/>
      <w:tblBorders>
        <w:top w:val="single" w:sz="4" w:space="0" w:color="92CDDC"/>
        <w:left w:val="single" w:sz="4" w:space="0" w:color="92CDDC"/>
        <w:bottom w:val="single" w:sz="4" w:space="0" w:color="92CDDC"/>
        <w:right w:val="single" w:sz="4" w:space="0" w:color="92CDDC"/>
        <w:insideH w:val="single" w:sz="4" w:space="0" w:color="92CDDC"/>
        <w:insideV w:val="single" w:sz="4" w:space="0" w:color="92CDDC"/>
      </w:tblBorders>
    </w:tblPr>
    <w:tblStylePr w:type="firstRow">
      <w:rPr>
        <w:b/>
        <w:bCs/>
        <w:color w:val="FFFFFF"/>
      </w:rPr>
      <w:tblPr/>
      <w:tcPr>
        <w:tcBorders>
          <w:top w:val="single" w:sz="4" w:space="0" w:color="4BACC6"/>
          <w:left w:val="single" w:sz="4" w:space="0" w:color="4BACC6"/>
          <w:bottom w:val="single" w:sz="4" w:space="0" w:color="4BACC6"/>
          <w:right w:val="single" w:sz="4" w:space="0" w:color="4BACC6"/>
          <w:insideH w:val="nil"/>
          <w:insideV w:val="nil"/>
        </w:tcBorders>
        <w:shd w:val="clear" w:color="auto" w:fill="4BACC6"/>
      </w:tcPr>
    </w:tblStylePr>
    <w:tblStylePr w:type="lastRow">
      <w:rPr>
        <w:b/>
        <w:bCs/>
      </w:rPr>
      <w:tblPr/>
      <w:tcPr>
        <w:tcBorders>
          <w:top w:val="double" w:sz="4" w:space="0" w:color="4BACC6"/>
        </w:tcBorders>
      </w:tcPr>
    </w:tblStylePr>
    <w:tblStylePr w:type="firstCol">
      <w:rPr>
        <w:b/>
        <w:bCs/>
      </w:rPr>
    </w:tblStylePr>
    <w:tblStylePr w:type="lastCol">
      <w:rPr>
        <w:b/>
        <w:bCs/>
      </w:rPr>
    </w:tblStylePr>
    <w:tblStylePr w:type="band1Vert">
      <w:tblPr/>
      <w:tcPr>
        <w:shd w:val="clear" w:color="auto" w:fill="DAEEF3"/>
      </w:tcPr>
    </w:tblStylePr>
    <w:tblStylePr w:type="band1Horz">
      <w:tblPr/>
      <w:tcPr>
        <w:shd w:val="clear" w:color="auto" w:fill="DAEEF3"/>
      </w:tcPr>
    </w:tblStylePr>
  </w:style>
  <w:style w:type="paragraph" w:customStyle="1" w:styleId="FootnoteText1">
    <w:name w:val="Footnote Text1"/>
    <w:basedOn w:val="Normal"/>
    <w:next w:val="FootnoteText"/>
    <w:uiPriority w:val="99"/>
    <w:semiHidden/>
    <w:unhideWhenUsed/>
    <w:rsid w:val="00D6050D"/>
    <w:rPr>
      <w:rFonts w:ascii="Calibri" w:eastAsia="Calibri" w:hAnsi="Calibri"/>
      <w:sz w:val="22"/>
      <w:szCs w:val="22"/>
      <w:lang w:val="en-IN"/>
    </w:rPr>
  </w:style>
  <w:style w:type="table" w:customStyle="1" w:styleId="GridTable4-Accent53">
    <w:name w:val="Grid Table 4 - Accent 53"/>
    <w:basedOn w:val="TableNormal"/>
    <w:next w:val="GridTable4-Accent5"/>
    <w:uiPriority w:val="49"/>
    <w:rsid w:val="00D6050D"/>
    <w:rPr>
      <w:rFonts w:ascii="Calibri" w:eastAsia="Calibri" w:hAnsi="Calibri"/>
      <w:sz w:val="22"/>
      <w:szCs w:val="22"/>
      <w:lang w:eastAsia="en-US"/>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GridTable3-Accent12">
    <w:name w:val="Grid Table 3 - Accent 12"/>
    <w:basedOn w:val="TableNormal"/>
    <w:next w:val="GridTable3-Accent1"/>
    <w:uiPriority w:val="48"/>
    <w:rsid w:val="00D6050D"/>
    <w:rPr>
      <w:rFonts w:ascii="Calibri" w:eastAsia="Calibri" w:hAnsi="Calibri"/>
      <w:sz w:val="22"/>
      <w:szCs w:val="22"/>
      <w:lang w:eastAsia="en-US"/>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bottom w:val="single" w:sz="4" w:space="0" w:color="8EAADB"/>
        </w:tcBorders>
      </w:tcPr>
    </w:tblStylePr>
    <w:tblStylePr w:type="nwCell">
      <w:tblPr/>
      <w:tcPr>
        <w:tcBorders>
          <w:bottom w:val="single" w:sz="4" w:space="0" w:color="8EAADB"/>
        </w:tcBorders>
      </w:tcPr>
    </w:tblStylePr>
    <w:tblStylePr w:type="seCell">
      <w:tblPr/>
      <w:tcPr>
        <w:tcBorders>
          <w:top w:val="single" w:sz="4" w:space="0" w:color="8EAADB"/>
        </w:tcBorders>
      </w:tcPr>
    </w:tblStylePr>
    <w:tblStylePr w:type="swCell">
      <w:tblPr/>
      <w:tcPr>
        <w:tcBorders>
          <w:top w:val="single" w:sz="4" w:space="0" w:color="8EAADB"/>
        </w:tcBorders>
      </w:tcPr>
    </w:tblStylePr>
  </w:style>
  <w:style w:type="table" w:customStyle="1" w:styleId="GridTable2-Accent12">
    <w:name w:val="Grid Table 2 - Accent 12"/>
    <w:basedOn w:val="TableNormal"/>
    <w:next w:val="GridTable2-Accent1"/>
    <w:uiPriority w:val="47"/>
    <w:rsid w:val="00D6050D"/>
    <w:rPr>
      <w:rFonts w:ascii="Calibri" w:eastAsia="Calibri" w:hAnsi="Calibri"/>
      <w:sz w:val="22"/>
      <w:szCs w:val="22"/>
      <w:lang w:eastAsia="en-US"/>
    </w:rPr>
    <w:tblPr>
      <w:tblStyleRowBandSize w:val="1"/>
      <w:tblStyleColBandSize w:val="1"/>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FootnoteTextChar1">
    <w:name w:val="Footnote Text Char1"/>
    <w:basedOn w:val="DefaultParagraphFont"/>
    <w:uiPriority w:val="99"/>
    <w:semiHidden/>
    <w:rsid w:val="00D6050D"/>
    <w:rPr>
      <w:sz w:val="20"/>
      <w:szCs w:val="20"/>
    </w:rPr>
  </w:style>
  <w:style w:type="character" w:customStyle="1" w:styleId="ui-provider">
    <w:name w:val="ui-provider"/>
    <w:basedOn w:val="DefaultParagraphFont"/>
    <w:rsid w:val="00C40DE9"/>
  </w:style>
  <w:style w:type="paragraph" w:customStyle="1" w:styleId="Heading">
    <w:name w:val="Heading"/>
    <w:basedOn w:val="Normal"/>
    <w:next w:val="BodyText"/>
    <w:qFormat/>
    <w:rsid w:val="002F0A87"/>
    <w:pPr>
      <w:keepNext/>
      <w:suppressAutoHyphens/>
      <w:spacing w:before="240" w:after="120"/>
    </w:pPr>
    <w:rPr>
      <w:rFonts w:ascii="Liberation Sans" w:eastAsia="Source Han Sans CN" w:hAnsi="Liberation Sans" w:cs="Noto Sans Devanagari"/>
      <w:sz w:val="28"/>
      <w:szCs w:val="28"/>
    </w:rPr>
  </w:style>
  <w:style w:type="paragraph" w:styleId="List">
    <w:name w:val="List"/>
    <w:basedOn w:val="BodyText"/>
    <w:rsid w:val="002F0A87"/>
    <w:pPr>
      <w:suppressAutoHyphens/>
    </w:pPr>
    <w:rPr>
      <w:rFonts w:cs="Noto Sans Devanagari"/>
      <w:sz w:val="20"/>
      <w:szCs w:val="20"/>
    </w:rPr>
  </w:style>
  <w:style w:type="paragraph" w:customStyle="1" w:styleId="Index">
    <w:name w:val="Index"/>
    <w:basedOn w:val="Normal"/>
    <w:qFormat/>
    <w:rsid w:val="002F0A87"/>
    <w:pPr>
      <w:suppressLineNumbers/>
      <w:suppressAutoHyphens/>
    </w:pPr>
    <w:rPr>
      <w:rFonts w:cs="Noto Sans Devanagari"/>
      <w:sz w:val="20"/>
      <w:szCs w:val="20"/>
    </w:rPr>
  </w:style>
  <w:style w:type="paragraph" w:customStyle="1" w:styleId="HeaderandFooter">
    <w:name w:val="Header and Footer"/>
    <w:basedOn w:val="Normal"/>
    <w:qFormat/>
    <w:rsid w:val="002F0A87"/>
    <w:pPr>
      <w:suppressAutoHyphens/>
    </w:pPr>
    <w:rPr>
      <w:sz w:val="20"/>
      <w:szCs w:val="20"/>
    </w:rPr>
  </w:style>
  <w:style w:type="paragraph" w:customStyle="1" w:styleId="FrameContents">
    <w:name w:val="Frame Contents"/>
    <w:basedOn w:val="Normal"/>
    <w:qFormat/>
    <w:rsid w:val="002F0A87"/>
    <w:pPr>
      <w:suppressAutoHyphens/>
    </w:pPr>
    <w:rPr>
      <w:sz w:val="20"/>
      <w:szCs w:val="20"/>
    </w:rPr>
  </w:style>
  <w:style w:type="table" w:styleId="GridTable1Light-Accent1">
    <w:name w:val="Grid Table 1 Light Accent 1"/>
    <w:basedOn w:val="TableNormal"/>
    <w:uiPriority w:val="46"/>
    <w:rsid w:val="002F0A87"/>
    <w:pPr>
      <w:suppressAutoHyphens/>
    </w:pPr>
    <w:rPr>
      <w:rFonts w:asciiTheme="minorHAnsi" w:eastAsiaTheme="minorHAnsi" w:hAnsiTheme="minorHAnsi" w:cstheme="minorBidi"/>
      <w:sz w:val="22"/>
      <w:szCs w:val="22"/>
      <w:lang w:eastAsia="en-US"/>
    </w:rPr>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4F81BD" w:themeColor="accent1"/>
        </w:tcBorders>
      </w:tcPr>
    </w:tblStylePr>
    <w:tblStylePr w:type="lastRow">
      <w:rPr>
        <w:b/>
        <w:bCs/>
      </w:rPr>
      <w:tblPr/>
      <w:tcPr>
        <w:tcBorders>
          <w:top w:val="double" w:sz="2" w:space="0" w:color="4F81BD" w:themeColor="accent1"/>
        </w:tcBorders>
      </w:tcPr>
    </w:tblStylePr>
    <w:tblStylePr w:type="firstCol">
      <w:rPr>
        <w:b/>
        <w:bCs/>
      </w:rPr>
    </w:tblStylePr>
    <w:tblStylePr w:type="lastCol">
      <w:rPr>
        <w:b/>
        <w:bCs/>
      </w:rPr>
    </w:tblStylePr>
  </w:style>
  <w:style w:type="table" w:customStyle="1" w:styleId="TableGrid4">
    <w:name w:val="Table Grid4"/>
    <w:basedOn w:val="TableNormal"/>
    <w:next w:val="TableGrid"/>
    <w:uiPriority w:val="39"/>
    <w:rsid w:val="004954F9"/>
    <w:pPr>
      <w:suppressAutoHyphens/>
    </w:pPr>
    <w:rPr>
      <w:rFonts w:ascii="Calibri" w:hAnsi="Calibri"/>
      <w:sz w:val="22"/>
      <w:szCs w:val="22"/>
      <w:lang w:val="en-US"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3">
    <w:name w:val="No List3"/>
    <w:next w:val="NoList"/>
    <w:uiPriority w:val="99"/>
    <w:semiHidden/>
    <w:unhideWhenUsed/>
    <w:rsid w:val="003457BB"/>
  </w:style>
  <w:style w:type="paragraph" w:styleId="ListBullet">
    <w:name w:val="List Bullet"/>
    <w:basedOn w:val="Normal"/>
    <w:rsid w:val="003457BB"/>
    <w:pPr>
      <w:numPr>
        <w:numId w:val="56"/>
      </w:numPr>
      <w:tabs>
        <w:tab w:val="clear" w:pos="540"/>
        <w:tab w:val="num" w:pos="360"/>
      </w:tabs>
      <w:ind w:left="360"/>
      <w:jc w:val="both"/>
    </w:pPr>
    <w:rPr>
      <w:rFonts w:ascii="Calibri" w:hAnsi="Calibri"/>
    </w:rPr>
  </w:style>
  <w:style w:type="table" w:customStyle="1" w:styleId="TableGrid5">
    <w:name w:val="Table Grid5"/>
    <w:basedOn w:val="TableNormal"/>
    <w:next w:val="TableGrid"/>
    <w:uiPriority w:val="39"/>
    <w:rsid w:val="003457B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3">
    <w:name w:val="Unresolved Mention3"/>
    <w:basedOn w:val="DefaultParagraphFont"/>
    <w:uiPriority w:val="99"/>
    <w:semiHidden/>
    <w:unhideWhenUsed/>
    <w:rsid w:val="009A1F5E"/>
    <w:rPr>
      <w:color w:val="605E5C"/>
      <w:shd w:val="clear" w:color="auto" w:fill="E1DFDD"/>
    </w:rPr>
  </w:style>
  <w:style w:type="table" w:customStyle="1" w:styleId="TableGrid21">
    <w:name w:val="Table Grid21"/>
    <w:basedOn w:val="TableNormal"/>
    <w:next w:val="TableGrid"/>
    <w:uiPriority w:val="39"/>
    <w:rsid w:val="009A1F5E"/>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uiPriority w:val="39"/>
    <w:unhideWhenUsed/>
    <w:rsid w:val="009A1F5E"/>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9942AF"/>
  </w:style>
  <w:style w:type="table" w:customStyle="1" w:styleId="TableGrid6">
    <w:name w:val="Table Grid6"/>
    <w:basedOn w:val="TableNormal"/>
    <w:next w:val="TableGrid"/>
    <w:uiPriority w:val="39"/>
    <w:rsid w:val="009942A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s2">
    <w:name w:val="Table Grid s2"/>
    <w:basedOn w:val="TableNormal"/>
    <w:next w:val="TableGrid8"/>
    <w:rsid w:val="009942AF"/>
    <w:pPr>
      <w:spacing w:before="120" w:after="120"/>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left w:w="115" w:type="dxa"/>
        <w:right w:w="115" w:type="dxa"/>
      </w:tblCellMar>
    </w:tblPr>
    <w:tcPr>
      <w:shd w:val="clear" w:color="auto" w:fill="FFFFFF"/>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GridTable4-Accent54">
    <w:name w:val="Grid Table 4 - Accent 54"/>
    <w:basedOn w:val="TableNormal"/>
    <w:next w:val="GridTable4-Accent5"/>
    <w:uiPriority w:val="49"/>
    <w:rsid w:val="009942AF"/>
    <w:rPr>
      <w:rFonts w:ascii="Calibri" w:eastAsia="Calibri" w:hAnsi="Calibri"/>
      <w:sz w:val="22"/>
      <w:szCs w:val="22"/>
      <w:lang w:eastAsia="en-US"/>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numbering" w:customStyle="1" w:styleId="NoList12">
    <w:name w:val="No List12"/>
    <w:next w:val="NoList"/>
    <w:uiPriority w:val="99"/>
    <w:semiHidden/>
    <w:unhideWhenUsed/>
    <w:rsid w:val="009942AF"/>
  </w:style>
  <w:style w:type="table" w:customStyle="1" w:styleId="TableGrid12">
    <w:name w:val="Table Grid12"/>
    <w:basedOn w:val="TableNormal"/>
    <w:next w:val="TableGrid"/>
    <w:uiPriority w:val="39"/>
    <w:rsid w:val="009942AF"/>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3-Accent13">
    <w:name w:val="Grid Table 3 - Accent 13"/>
    <w:basedOn w:val="TableNormal"/>
    <w:next w:val="GridTable3-Accent1"/>
    <w:uiPriority w:val="48"/>
    <w:rsid w:val="009942AF"/>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bottom w:val="single" w:sz="4" w:space="0" w:color="8EAADB"/>
        </w:tcBorders>
      </w:tcPr>
    </w:tblStylePr>
    <w:tblStylePr w:type="nwCell">
      <w:tblPr/>
      <w:tcPr>
        <w:tcBorders>
          <w:bottom w:val="single" w:sz="4" w:space="0" w:color="8EAADB"/>
        </w:tcBorders>
      </w:tcPr>
    </w:tblStylePr>
    <w:tblStylePr w:type="seCell">
      <w:tblPr/>
      <w:tcPr>
        <w:tcBorders>
          <w:top w:val="single" w:sz="4" w:space="0" w:color="8EAADB"/>
        </w:tcBorders>
      </w:tcPr>
    </w:tblStylePr>
    <w:tblStylePr w:type="swCell">
      <w:tblPr/>
      <w:tcPr>
        <w:tcBorders>
          <w:top w:val="single" w:sz="4" w:space="0" w:color="8EAADB"/>
        </w:tcBorders>
      </w:tcPr>
    </w:tblStylePr>
  </w:style>
  <w:style w:type="table" w:customStyle="1" w:styleId="GridTable2-Accent13">
    <w:name w:val="Grid Table 2 - Accent 13"/>
    <w:basedOn w:val="TableNormal"/>
    <w:next w:val="GridTable2-Accent1"/>
    <w:uiPriority w:val="47"/>
    <w:rsid w:val="009942AF"/>
    <w:tblPr>
      <w:tblStyleRowBandSize w:val="1"/>
      <w:tblStyleColBandSize w:val="1"/>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33">
    <w:name w:val="Table Grid33"/>
    <w:basedOn w:val="TableNormal"/>
    <w:next w:val="TableGrid"/>
    <w:uiPriority w:val="39"/>
    <w:rsid w:val="009942A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4-Accent522">
    <w:name w:val="Grid Table 4 - Accent 522"/>
    <w:basedOn w:val="TableNormal"/>
    <w:next w:val="GridTable4-Accent5"/>
    <w:uiPriority w:val="49"/>
    <w:rsid w:val="009942AF"/>
    <w:rPr>
      <w:rFonts w:ascii="Calibri" w:eastAsia="Calibri" w:hAnsi="Calibri"/>
      <w:sz w:val="22"/>
      <w:szCs w:val="22"/>
      <w:lang w:eastAsia="en-US"/>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numbering" w:customStyle="1" w:styleId="NoList21">
    <w:name w:val="No List21"/>
    <w:next w:val="NoList"/>
    <w:uiPriority w:val="99"/>
    <w:semiHidden/>
    <w:unhideWhenUsed/>
    <w:rsid w:val="009942AF"/>
  </w:style>
  <w:style w:type="numbering" w:customStyle="1" w:styleId="NoList112">
    <w:name w:val="No List112"/>
    <w:next w:val="NoList"/>
    <w:uiPriority w:val="99"/>
    <w:semiHidden/>
    <w:unhideWhenUsed/>
    <w:rsid w:val="009942AF"/>
  </w:style>
  <w:style w:type="table" w:customStyle="1" w:styleId="TableGrid22">
    <w:name w:val="Table Grid22"/>
    <w:basedOn w:val="TableNormal"/>
    <w:next w:val="TableGrid"/>
    <w:uiPriority w:val="39"/>
    <w:rsid w:val="009942A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s11">
    <w:name w:val="Table Grid s11"/>
    <w:basedOn w:val="TableNormal"/>
    <w:next w:val="TableGrid8"/>
    <w:rsid w:val="009942AF"/>
    <w:pPr>
      <w:spacing w:before="120" w:after="120"/>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left w:w="115" w:type="dxa"/>
        <w:right w:w="115" w:type="dxa"/>
      </w:tblCellMar>
    </w:tblPr>
    <w:tcPr>
      <w:shd w:val="clear" w:color="auto" w:fill="FFFFFF"/>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GridTable4-Accent511">
    <w:name w:val="Grid Table 4 - Accent 511"/>
    <w:basedOn w:val="TableNormal"/>
    <w:next w:val="GridTable4-Accent5"/>
    <w:uiPriority w:val="49"/>
    <w:rsid w:val="009942AF"/>
    <w:rPr>
      <w:rFonts w:ascii="Calibri" w:eastAsia="Calibri" w:hAnsi="Calibri"/>
      <w:sz w:val="22"/>
      <w:szCs w:val="22"/>
      <w:lang w:eastAsia="en-US"/>
    </w:rPr>
    <w:tblPr>
      <w:tblStyleRowBandSize w:val="1"/>
      <w:tblStyleColBandSize w:val="1"/>
      <w:tblBorders>
        <w:top w:val="single" w:sz="4" w:space="0" w:color="92CDDC"/>
        <w:left w:val="single" w:sz="4" w:space="0" w:color="92CDDC"/>
        <w:bottom w:val="single" w:sz="4" w:space="0" w:color="92CDDC"/>
        <w:right w:val="single" w:sz="4" w:space="0" w:color="92CDDC"/>
        <w:insideH w:val="single" w:sz="4" w:space="0" w:color="92CDDC"/>
        <w:insideV w:val="single" w:sz="4" w:space="0" w:color="92CDDC"/>
      </w:tblBorders>
    </w:tblPr>
    <w:tblStylePr w:type="firstRow">
      <w:rPr>
        <w:b/>
        <w:bCs/>
        <w:color w:val="FFFFFF"/>
      </w:rPr>
      <w:tblPr/>
      <w:tcPr>
        <w:tcBorders>
          <w:top w:val="single" w:sz="4" w:space="0" w:color="4BACC6"/>
          <w:left w:val="single" w:sz="4" w:space="0" w:color="4BACC6"/>
          <w:bottom w:val="single" w:sz="4" w:space="0" w:color="4BACC6"/>
          <w:right w:val="single" w:sz="4" w:space="0" w:color="4BACC6"/>
          <w:insideH w:val="nil"/>
          <w:insideV w:val="nil"/>
        </w:tcBorders>
        <w:shd w:val="clear" w:color="auto" w:fill="4BACC6"/>
      </w:tcPr>
    </w:tblStylePr>
    <w:tblStylePr w:type="lastRow">
      <w:rPr>
        <w:b/>
        <w:bCs/>
      </w:rPr>
      <w:tblPr/>
      <w:tcPr>
        <w:tcBorders>
          <w:top w:val="double" w:sz="4" w:space="0" w:color="4BACC6"/>
        </w:tcBorders>
      </w:tcPr>
    </w:tblStylePr>
    <w:tblStylePr w:type="firstCol">
      <w:rPr>
        <w:b/>
        <w:bCs/>
      </w:rPr>
    </w:tblStylePr>
    <w:tblStylePr w:type="lastCol">
      <w:rPr>
        <w:b/>
        <w:bCs/>
      </w:rPr>
    </w:tblStylePr>
    <w:tblStylePr w:type="band1Vert">
      <w:tblPr/>
      <w:tcPr>
        <w:shd w:val="clear" w:color="auto" w:fill="DAEEF3"/>
      </w:tcPr>
    </w:tblStylePr>
    <w:tblStylePr w:type="band1Horz">
      <w:tblPr/>
      <w:tcPr>
        <w:shd w:val="clear" w:color="auto" w:fill="DAEEF3"/>
      </w:tcPr>
    </w:tblStylePr>
  </w:style>
  <w:style w:type="numbering" w:customStyle="1" w:styleId="NoList1111">
    <w:name w:val="No List1111"/>
    <w:next w:val="NoList"/>
    <w:uiPriority w:val="99"/>
    <w:semiHidden/>
    <w:unhideWhenUsed/>
    <w:rsid w:val="009942AF"/>
  </w:style>
  <w:style w:type="table" w:customStyle="1" w:styleId="TableGrid111">
    <w:name w:val="Table Grid111"/>
    <w:basedOn w:val="TableNormal"/>
    <w:next w:val="TableGrid"/>
    <w:uiPriority w:val="39"/>
    <w:rsid w:val="009942AF"/>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3-Accent111">
    <w:name w:val="Grid Table 3 - Accent 111"/>
    <w:basedOn w:val="TableNormal"/>
    <w:next w:val="GridTable3-Accent1"/>
    <w:uiPriority w:val="48"/>
    <w:rsid w:val="009942AF"/>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BE5F1"/>
      </w:tcPr>
    </w:tblStylePr>
    <w:tblStylePr w:type="band1Horz">
      <w:tblPr/>
      <w:tcPr>
        <w:shd w:val="clear" w:color="auto" w:fill="DBE5F1"/>
      </w:tcPr>
    </w:tblStylePr>
    <w:tblStylePr w:type="neCell">
      <w:tblPr/>
      <w:tcPr>
        <w:tcBorders>
          <w:bottom w:val="single" w:sz="4" w:space="0" w:color="95B3D7"/>
        </w:tcBorders>
      </w:tcPr>
    </w:tblStylePr>
    <w:tblStylePr w:type="nwCell">
      <w:tblPr/>
      <w:tcPr>
        <w:tcBorders>
          <w:bottom w:val="single" w:sz="4" w:space="0" w:color="95B3D7"/>
        </w:tcBorders>
      </w:tcPr>
    </w:tblStylePr>
    <w:tblStylePr w:type="seCell">
      <w:tblPr/>
      <w:tcPr>
        <w:tcBorders>
          <w:top w:val="single" w:sz="4" w:space="0" w:color="95B3D7"/>
        </w:tcBorders>
      </w:tcPr>
    </w:tblStylePr>
    <w:tblStylePr w:type="swCell">
      <w:tblPr/>
      <w:tcPr>
        <w:tcBorders>
          <w:top w:val="single" w:sz="4" w:space="0" w:color="95B3D7"/>
        </w:tcBorders>
      </w:tcPr>
    </w:tblStylePr>
  </w:style>
  <w:style w:type="table" w:customStyle="1" w:styleId="GridTable2-Accent111">
    <w:name w:val="Grid Table 2 - Accent 111"/>
    <w:basedOn w:val="TableNormal"/>
    <w:next w:val="GridTable2-Accent1"/>
    <w:uiPriority w:val="47"/>
    <w:rsid w:val="009942AF"/>
    <w:tblPr>
      <w:tblStyleRowBandSize w:val="1"/>
      <w:tblStyleColBandSize w:val="1"/>
      <w:tblBorders>
        <w:top w:val="single" w:sz="2" w:space="0" w:color="95B3D7"/>
        <w:bottom w:val="single" w:sz="2" w:space="0" w:color="95B3D7"/>
        <w:insideH w:val="single" w:sz="2" w:space="0" w:color="95B3D7"/>
        <w:insideV w:val="single" w:sz="2" w:space="0" w:color="95B3D7"/>
      </w:tblBorders>
    </w:tblPr>
    <w:tblStylePr w:type="firstRow">
      <w:rPr>
        <w:b/>
        <w:bCs/>
      </w:rPr>
      <w:tblPr/>
      <w:tcPr>
        <w:tcBorders>
          <w:top w:val="nil"/>
          <w:bottom w:val="single" w:sz="12" w:space="0" w:color="95B3D7"/>
          <w:insideH w:val="nil"/>
          <w:insideV w:val="nil"/>
        </w:tcBorders>
        <w:shd w:val="clear" w:color="auto" w:fill="FFFFFF"/>
      </w:tcPr>
    </w:tblStylePr>
    <w:tblStylePr w:type="lastRow">
      <w:rPr>
        <w:b/>
        <w:bCs/>
      </w:rPr>
      <w:tblPr/>
      <w:tcPr>
        <w:tcBorders>
          <w:top w:val="double" w:sz="2" w:space="0" w:color="95B3D7"/>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TableGrid311">
    <w:name w:val="Table Grid311"/>
    <w:basedOn w:val="TableNormal"/>
    <w:next w:val="TableGrid"/>
    <w:uiPriority w:val="39"/>
    <w:rsid w:val="009942A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4-Accent5211">
    <w:name w:val="Grid Table 4 - Accent 5211"/>
    <w:basedOn w:val="TableNormal"/>
    <w:next w:val="GridTable4-Accent5"/>
    <w:uiPriority w:val="49"/>
    <w:rsid w:val="009942AF"/>
    <w:rPr>
      <w:rFonts w:ascii="Calibri" w:eastAsia="Calibri" w:hAnsi="Calibri"/>
      <w:sz w:val="22"/>
      <w:szCs w:val="22"/>
      <w:lang w:eastAsia="en-US"/>
    </w:rPr>
    <w:tblPr>
      <w:tblStyleRowBandSize w:val="1"/>
      <w:tblStyleColBandSize w:val="1"/>
      <w:tblBorders>
        <w:top w:val="single" w:sz="4" w:space="0" w:color="92CDDC"/>
        <w:left w:val="single" w:sz="4" w:space="0" w:color="92CDDC"/>
        <w:bottom w:val="single" w:sz="4" w:space="0" w:color="92CDDC"/>
        <w:right w:val="single" w:sz="4" w:space="0" w:color="92CDDC"/>
        <w:insideH w:val="single" w:sz="4" w:space="0" w:color="92CDDC"/>
        <w:insideV w:val="single" w:sz="4" w:space="0" w:color="92CDDC"/>
      </w:tblBorders>
    </w:tblPr>
    <w:tblStylePr w:type="firstRow">
      <w:rPr>
        <w:b/>
        <w:bCs/>
        <w:color w:val="FFFFFF"/>
      </w:rPr>
      <w:tblPr/>
      <w:tcPr>
        <w:tcBorders>
          <w:top w:val="single" w:sz="4" w:space="0" w:color="4BACC6"/>
          <w:left w:val="single" w:sz="4" w:space="0" w:color="4BACC6"/>
          <w:bottom w:val="single" w:sz="4" w:space="0" w:color="4BACC6"/>
          <w:right w:val="single" w:sz="4" w:space="0" w:color="4BACC6"/>
          <w:insideH w:val="nil"/>
          <w:insideV w:val="nil"/>
        </w:tcBorders>
        <w:shd w:val="clear" w:color="auto" w:fill="4BACC6"/>
      </w:tcPr>
    </w:tblStylePr>
    <w:tblStylePr w:type="lastRow">
      <w:rPr>
        <w:b/>
        <w:bCs/>
      </w:rPr>
      <w:tblPr/>
      <w:tcPr>
        <w:tcBorders>
          <w:top w:val="double" w:sz="4" w:space="0" w:color="4BACC6"/>
        </w:tcBorders>
      </w:tcPr>
    </w:tblStylePr>
    <w:tblStylePr w:type="firstCol">
      <w:rPr>
        <w:b/>
        <w:bCs/>
      </w:rPr>
    </w:tblStylePr>
    <w:tblStylePr w:type="lastCol">
      <w:rPr>
        <w:b/>
        <w:bCs/>
      </w:rPr>
    </w:tblStylePr>
    <w:tblStylePr w:type="band1Vert">
      <w:tblPr/>
      <w:tcPr>
        <w:shd w:val="clear" w:color="auto" w:fill="DAEEF3"/>
      </w:tcPr>
    </w:tblStylePr>
    <w:tblStylePr w:type="band1Horz">
      <w:tblPr/>
      <w:tcPr>
        <w:shd w:val="clear" w:color="auto" w:fill="DAEEF3"/>
      </w:tcPr>
    </w:tblStylePr>
  </w:style>
  <w:style w:type="table" w:customStyle="1" w:styleId="GridTable4-Accent531">
    <w:name w:val="Grid Table 4 - Accent 531"/>
    <w:basedOn w:val="TableNormal"/>
    <w:next w:val="GridTable4-Accent5"/>
    <w:uiPriority w:val="49"/>
    <w:rsid w:val="009942AF"/>
    <w:rPr>
      <w:rFonts w:ascii="Calibri" w:eastAsia="Calibri" w:hAnsi="Calibri"/>
      <w:sz w:val="22"/>
      <w:szCs w:val="22"/>
      <w:lang w:eastAsia="en-US"/>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GridTable3-Accent121">
    <w:name w:val="Grid Table 3 - Accent 121"/>
    <w:basedOn w:val="TableNormal"/>
    <w:next w:val="GridTable3-Accent1"/>
    <w:uiPriority w:val="48"/>
    <w:rsid w:val="009942AF"/>
    <w:rPr>
      <w:rFonts w:ascii="Calibri" w:eastAsia="Calibri" w:hAnsi="Calibri"/>
      <w:sz w:val="22"/>
      <w:szCs w:val="22"/>
      <w:lang w:eastAsia="en-US"/>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bottom w:val="single" w:sz="4" w:space="0" w:color="8EAADB"/>
        </w:tcBorders>
      </w:tcPr>
    </w:tblStylePr>
    <w:tblStylePr w:type="nwCell">
      <w:tblPr/>
      <w:tcPr>
        <w:tcBorders>
          <w:bottom w:val="single" w:sz="4" w:space="0" w:color="8EAADB"/>
        </w:tcBorders>
      </w:tcPr>
    </w:tblStylePr>
    <w:tblStylePr w:type="seCell">
      <w:tblPr/>
      <w:tcPr>
        <w:tcBorders>
          <w:top w:val="single" w:sz="4" w:space="0" w:color="8EAADB"/>
        </w:tcBorders>
      </w:tcPr>
    </w:tblStylePr>
    <w:tblStylePr w:type="swCell">
      <w:tblPr/>
      <w:tcPr>
        <w:tcBorders>
          <w:top w:val="single" w:sz="4" w:space="0" w:color="8EAADB"/>
        </w:tcBorders>
      </w:tcPr>
    </w:tblStylePr>
  </w:style>
  <w:style w:type="table" w:customStyle="1" w:styleId="GridTable2-Accent121">
    <w:name w:val="Grid Table 2 - Accent 121"/>
    <w:basedOn w:val="TableNormal"/>
    <w:next w:val="GridTable2-Accent1"/>
    <w:uiPriority w:val="47"/>
    <w:rsid w:val="009942AF"/>
    <w:rPr>
      <w:rFonts w:ascii="Calibri" w:eastAsia="Calibri" w:hAnsi="Calibri"/>
      <w:sz w:val="22"/>
      <w:szCs w:val="22"/>
      <w:lang w:eastAsia="en-US"/>
    </w:rPr>
    <w:tblPr>
      <w:tblStyleRowBandSize w:val="1"/>
      <w:tblStyleColBandSize w:val="1"/>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1Light-Accent11">
    <w:name w:val="Grid Table 1 Light - Accent 11"/>
    <w:basedOn w:val="TableNormal"/>
    <w:next w:val="GridTable1Light-Accent1"/>
    <w:uiPriority w:val="46"/>
    <w:rsid w:val="009942AF"/>
    <w:pPr>
      <w:suppressAutoHyphens/>
    </w:pPr>
    <w:rPr>
      <w:rFonts w:ascii="Calibri" w:eastAsia="Calibri" w:hAnsi="Calibri"/>
      <w:sz w:val="22"/>
      <w:szCs w:val="22"/>
      <w:lang w:eastAsia="en-US"/>
    </w:rPr>
    <w:tblPr>
      <w:tblStyleRowBandSize w:val="1"/>
      <w:tblStyleColBandSize w:val="1"/>
      <w:tblBorders>
        <w:top w:val="single" w:sz="4" w:space="0" w:color="B4C6E7"/>
        <w:left w:val="single" w:sz="4" w:space="0" w:color="B4C6E7"/>
        <w:bottom w:val="single" w:sz="4" w:space="0" w:color="B4C6E7"/>
        <w:right w:val="single" w:sz="4" w:space="0" w:color="B4C6E7"/>
        <w:insideH w:val="single" w:sz="4" w:space="0" w:color="B4C6E7"/>
        <w:insideV w:val="single" w:sz="4" w:space="0" w:color="B4C6E7"/>
      </w:tblBorders>
    </w:tblPr>
    <w:tblStylePr w:type="firstRow">
      <w:rPr>
        <w:b/>
        <w:bCs/>
      </w:rPr>
      <w:tblPr/>
      <w:tcPr>
        <w:tcBorders>
          <w:bottom w:val="single" w:sz="12" w:space="0" w:color="4472C4"/>
        </w:tcBorders>
      </w:tcPr>
    </w:tblStylePr>
    <w:tblStylePr w:type="lastRow">
      <w:rPr>
        <w:b/>
        <w:bCs/>
      </w:rPr>
      <w:tblPr/>
      <w:tcPr>
        <w:tcBorders>
          <w:top w:val="double" w:sz="2" w:space="0" w:color="4472C4"/>
        </w:tcBorders>
      </w:tcPr>
    </w:tblStylePr>
    <w:tblStylePr w:type="firstCol">
      <w:rPr>
        <w:b/>
        <w:bCs/>
      </w:rPr>
    </w:tblStylePr>
    <w:tblStylePr w:type="lastCol">
      <w:rPr>
        <w:b/>
        <w:bCs/>
      </w:rPr>
    </w:tblStylePr>
  </w:style>
  <w:style w:type="table" w:customStyle="1" w:styleId="TableGrid41">
    <w:name w:val="Table Grid41"/>
    <w:basedOn w:val="TableNormal"/>
    <w:next w:val="TableGrid"/>
    <w:uiPriority w:val="39"/>
    <w:rsid w:val="009942AF"/>
    <w:pPr>
      <w:suppressAutoHyphens/>
    </w:pPr>
    <w:rPr>
      <w:rFonts w:ascii="Calibri" w:hAnsi="Calibri"/>
      <w:sz w:val="22"/>
      <w:szCs w:val="22"/>
      <w:lang w:val="en-US"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31">
    <w:name w:val="No List31"/>
    <w:next w:val="NoList"/>
    <w:uiPriority w:val="99"/>
    <w:semiHidden/>
    <w:unhideWhenUsed/>
    <w:rsid w:val="009942AF"/>
  </w:style>
  <w:style w:type="table" w:customStyle="1" w:styleId="TableGrid51">
    <w:name w:val="Table Grid51"/>
    <w:basedOn w:val="TableNormal"/>
    <w:next w:val="TableGrid"/>
    <w:uiPriority w:val="39"/>
    <w:rsid w:val="009942A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uiPriority w:val="39"/>
    <w:rsid w:val="009942AF"/>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next w:val="TableGrid"/>
    <w:uiPriority w:val="39"/>
    <w:unhideWhenUsed/>
    <w:rsid w:val="009942AF"/>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8454148">
      <w:bodyDiv w:val="1"/>
      <w:marLeft w:val="0"/>
      <w:marRight w:val="0"/>
      <w:marTop w:val="0"/>
      <w:marBottom w:val="0"/>
      <w:divBdr>
        <w:top w:val="none" w:sz="0" w:space="0" w:color="auto"/>
        <w:left w:val="none" w:sz="0" w:space="0" w:color="auto"/>
        <w:bottom w:val="none" w:sz="0" w:space="0" w:color="auto"/>
        <w:right w:val="none" w:sz="0" w:space="0" w:color="auto"/>
      </w:divBdr>
    </w:div>
    <w:div w:id="10381479">
      <w:bodyDiv w:val="1"/>
      <w:marLeft w:val="0"/>
      <w:marRight w:val="0"/>
      <w:marTop w:val="0"/>
      <w:marBottom w:val="0"/>
      <w:divBdr>
        <w:top w:val="none" w:sz="0" w:space="0" w:color="auto"/>
        <w:left w:val="none" w:sz="0" w:space="0" w:color="auto"/>
        <w:bottom w:val="none" w:sz="0" w:space="0" w:color="auto"/>
        <w:right w:val="none" w:sz="0" w:space="0" w:color="auto"/>
      </w:divBdr>
    </w:div>
    <w:div w:id="18241701">
      <w:bodyDiv w:val="1"/>
      <w:marLeft w:val="0"/>
      <w:marRight w:val="0"/>
      <w:marTop w:val="0"/>
      <w:marBottom w:val="0"/>
      <w:divBdr>
        <w:top w:val="none" w:sz="0" w:space="0" w:color="auto"/>
        <w:left w:val="none" w:sz="0" w:space="0" w:color="auto"/>
        <w:bottom w:val="none" w:sz="0" w:space="0" w:color="auto"/>
        <w:right w:val="none" w:sz="0" w:space="0" w:color="auto"/>
      </w:divBdr>
    </w:div>
    <w:div w:id="27416931">
      <w:bodyDiv w:val="1"/>
      <w:marLeft w:val="0"/>
      <w:marRight w:val="0"/>
      <w:marTop w:val="0"/>
      <w:marBottom w:val="0"/>
      <w:divBdr>
        <w:top w:val="none" w:sz="0" w:space="0" w:color="auto"/>
        <w:left w:val="none" w:sz="0" w:space="0" w:color="auto"/>
        <w:bottom w:val="none" w:sz="0" w:space="0" w:color="auto"/>
        <w:right w:val="none" w:sz="0" w:space="0" w:color="auto"/>
      </w:divBdr>
    </w:div>
    <w:div w:id="33888516">
      <w:bodyDiv w:val="1"/>
      <w:marLeft w:val="0"/>
      <w:marRight w:val="0"/>
      <w:marTop w:val="0"/>
      <w:marBottom w:val="0"/>
      <w:divBdr>
        <w:top w:val="none" w:sz="0" w:space="0" w:color="auto"/>
        <w:left w:val="none" w:sz="0" w:space="0" w:color="auto"/>
        <w:bottom w:val="none" w:sz="0" w:space="0" w:color="auto"/>
        <w:right w:val="none" w:sz="0" w:space="0" w:color="auto"/>
      </w:divBdr>
    </w:div>
    <w:div w:id="37050400">
      <w:bodyDiv w:val="1"/>
      <w:marLeft w:val="0"/>
      <w:marRight w:val="0"/>
      <w:marTop w:val="0"/>
      <w:marBottom w:val="0"/>
      <w:divBdr>
        <w:top w:val="none" w:sz="0" w:space="0" w:color="auto"/>
        <w:left w:val="none" w:sz="0" w:space="0" w:color="auto"/>
        <w:bottom w:val="none" w:sz="0" w:space="0" w:color="auto"/>
        <w:right w:val="none" w:sz="0" w:space="0" w:color="auto"/>
      </w:divBdr>
    </w:div>
    <w:div w:id="43456035">
      <w:bodyDiv w:val="1"/>
      <w:marLeft w:val="0"/>
      <w:marRight w:val="0"/>
      <w:marTop w:val="0"/>
      <w:marBottom w:val="0"/>
      <w:divBdr>
        <w:top w:val="none" w:sz="0" w:space="0" w:color="auto"/>
        <w:left w:val="none" w:sz="0" w:space="0" w:color="auto"/>
        <w:bottom w:val="none" w:sz="0" w:space="0" w:color="auto"/>
        <w:right w:val="none" w:sz="0" w:space="0" w:color="auto"/>
      </w:divBdr>
    </w:div>
    <w:div w:id="60517993">
      <w:bodyDiv w:val="1"/>
      <w:marLeft w:val="0"/>
      <w:marRight w:val="0"/>
      <w:marTop w:val="0"/>
      <w:marBottom w:val="0"/>
      <w:divBdr>
        <w:top w:val="none" w:sz="0" w:space="0" w:color="auto"/>
        <w:left w:val="none" w:sz="0" w:space="0" w:color="auto"/>
        <w:bottom w:val="none" w:sz="0" w:space="0" w:color="auto"/>
        <w:right w:val="none" w:sz="0" w:space="0" w:color="auto"/>
      </w:divBdr>
    </w:div>
    <w:div w:id="61222575">
      <w:bodyDiv w:val="1"/>
      <w:marLeft w:val="0"/>
      <w:marRight w:val="0"/>
      <w:marTop w:val="0"/>
      <w:marBottom w:val="0"/>
      <w:divBdr>
        <w:top w:val="none" w:sz="0" w:space="0" w:color="auto"/>
        <w:left w:val="none" w:sz="0" w:space="0" w:color="auto"/>
        <w:bottom w:val="none" w:sz="0" w:space="0" w:color="auto"/>
        <w:right w:val="none" w:sz="0" w:space="0" w:color="auto"/>
      </w:divBdr>
    </w:div>
    <w:div w:id="68969107">
      <w:bodyDiv w:val="1"/>
      <w:marLeft w:val="0"/>
      <w:marRight w:val="0"/>
      <w:marTop w:val="0"/>
      <w:marBottom w:val="0"/>
      <w:divBdr>
        <w:top w:val="none" w:sz="0" w:space="0" w:color="auto"/>
        <w:left w:val="none" w:sz="0" w:space="0" w:color="auto"/>
        <w:bottom w:val="none" w:sz="0" w:space="0" w:color="auto"/>
        <w:right w:val="none" w:sz="0" w:space="0" w:color="auto"/>
      </w:divBdr>
    </w:div>
    <w:div w:id="72287608">
      <w:bodyDiv w:val="1"/>
      <w:marLeft w:val="0"/>
      <w:marRight w:val="0"/>
      <w:marTop w:val="0"/>
      <w:marBottom w:val="0"/>
      <w:divBdr>
        <w:top w:val="none" w:sz="0" w:space="0" w:color="auto"/>
        <w:left w:val="none" w:sz="0" w:space="0" w:color="auto"/>
        <w:bottom w:val="none" w:sz="0" w:space="0" w:color="auto"/>
        <w:right w:val="none" w:sz="0" w:space="0" w:color="auto"/>
      </w:divBdr>
    </w:div>
    <w:div w:id="77753266">
      <w:bodyDiv w:val="1"/>
      <w:marLeft w:val="0"/>
      <w:marRight w:val="0"/>
      <w:marTop w:val="0"/>
      <w:marBottom w:val="0"/>
      <w:divBdr>
        <w:top w:val="none" w:sz="0" w:space="0" w:color="auto"/>
        <w:left w:val="none" w:sz="0" w:space="0" w:color="auto"/>
        <w:bottom w:val="none" w:sz="0" w:space="0" w:color="auto"/>
        <w:right w:val="none" w:sz="0" w:space="0" w:color="auto"/>
      </w:divBdr>
    </w:div>
    <w:div w:id="82188878">
      <w:bodyDiv w:val="1"/>
      <w:marLeft w:val="0"/>
      <w:marRight w:val="0"/>
      <w:marTop w:val="0"/>
      <w:marBottom w:val="0"/>
      <w:divBdr>
        <w:top w:val="none" w:sz="0" w:space="0" w:color="auto"/>
        <w:left w:val="none" w:sz="0" w:space="0" w:color="auto"/>
        <w:bottom w:val="none" w:sz="0" w:space="0" w:color="auto"/>
        <w:right w:val="none" w:sz="0" w:space="0" w:color="auto"/>
      </w:divBdr>
    </w:div>
    <w:div w:id="82918153">
      <w:bodyDiv w:val="1"/>
      <w:marLeft w:val="0"/>
      <w:marRight w:val="0"/>
      <w:marTop w:val="0"/>
      <w:marBottom w:val="0"/>
      <w:divBdr>
        <w:top w:val="none" w:sz="0" w:space="0" w:color="auto"/>
        <w:left w:val="none" w:sz="0" w:space="0" w:color="auto"/>
        <w:bottom w:val="none" w:sz="0" w:space="0" w:color="auto"/>
        <w:right w:val="none" w:sz="0" w:space="0" w:color="auto"/>
      </w:divBdr>
    </w:div>
    <w:div w:id="85005318">
      <w:bodyDiv w:val="1"/>
      <w:marLeft w:val="0"/>
      <w:marRight w:val="0"/>
      <w:marTop w:val="0"/>
      <w:marBottom w:val="0"/>
      <w:divBdr>
        <w:top w:val="none" w:sz="0" w:space="0" w:color="auto"/>
        <w:left w:val="none" w:sz="0" w:space="0" w:color="auto"/>
        <w:bottom w:val="none" w:sz="0" w:space="0" w:color="auto"/>
        <w:right w:val="none" w:sz="0" w:space="0" w:color="auto"/>
      </w:divBdr>
    </w:div>
    <w:div w:id="85736401">
      <w:bodyDiv w:val="1"/>
      <w:marLeft w:val="0"/>
      <w:marRight w:val="0"/>
      <w:marTop w:val="0"/>
      <w:marBottom w:val="0"/>
      <w:divBdr>
        <w:top w:val="none" w:sz="0" w:space="0" w:color="auto"/>
        <w:left w:val="none" w:sz="0" w:space="0" w:color="auto"/>
        <w:bottom w:val="none" w:sz="0" w:space="0" w:color="auto"/>
        <w:right w:val="none" w:sz="0" w:space="0" w:color="auto"/>
      </w:divBdr>
    </w:div>
    <w:div w:id="98380196">
      <w:bodyDiv w:val="1"/>
      <w:marLeft w:val="0"/>
      <w:marRight w:val="0"/>
      <w:marTop w:val="0"/>
      <w:marBottom w:val="0"/>
      <w:divBdr>
        <w:top w:val="none" w:sz="0" w:space="0" w:color="auto"/>
        <w:left w:val="none" w:sz="0" w:space="0" w:color="auto"/>
        <w:bottom w:val="none" w:sz="0" w:space="0" w:color="auto"/>
        <w:right w:val="none" w:sz="0" w:space="0" w:color="auto"/>
      </w:divBdr>
    </w:div>
    <w:div w:id="114982894">
      <w:bodyDiv w:val="1"/>
      <w:marLeft w:val="0"/>
      <w:marRight w:val="0"/>
      <w:marTop w:val="0"/>
      <w:marBottom w:val="0"/>
      <w:divBdr>
        <w:top w:val="none" w:sz="0" w:space="0" w:color="auto"/>
        <w:left w:val="none" w:sz="0" w:space="0" w:color="auto"/>
        <w:bottom w:val="none" w:sz="0" w:space="0" w:color="auto"/>
        <w:right w:val="none" w:sz="0" w:space="0" w:color="auto"/>
      </w:divBdr>
    </w:div>
    <w:div w:id="115032680">
      <w:bodyDiv w:val="1"/>
      <w:marLeft w:val="0"/>
      <w:marRight w:val="0"/>
      <w:marTop w:val="0"/>
      <w:marBottom w:val="0"/>
      <w:divBdr>
        <w:top w:val="none" w:sz="0" w:space="0" w:color="auto"/>
        <w:left w:val="none" w:sz="0" w:space="0" w:color="auto"/>
        <w:bottom w:val="none" w:sz="0" w:space="0" w:color="auto"/>
        <w:right w:val="none" w:sz="0" w:space="0" w:color="auto"/>
      </w:divBdr>
    </w:div>
    <w:div w:id="118111602">
      <w:bodyDiv w:val="1"/>
      <w:marLeft w:val="0"/>
      <w:marRight w:val="0"/>
      <w:marTop w:val="0"/>
      <w:marBottom w:val="0"/>
      <w:divBdr>
        <w:top w:val="none" w:sz="0" w:space="0" w:color="auto"/>
        <w:left w:val="none" w:sz="0" w:space="0" w:color="auto"/>
        <w:bottom w:val="none" w:sz="0" w:space="0" w:color="auto"/>
        <w:right w:val="none" w:sz="0" w:space="0" w:color="auto"/>
      </w:divBdr>
    </w:div>
    <w:div w:id="121194289">
      <w:bodyDiv w:val="1"/>
      <w:marLeft w:val="0"/>
      <w:marRight w:val="0"/>
      <w:marTop w:val="0"/>
      <w:marBottom w:val="0"/>
      <w:divBdr>
        <w:top w:val="none" w:sz="0" w:space="0" w:color="auto"/>
        <w:left w:val="none" w:sz="0" w:space="0" w:color="auto"/>
        <w:bottom w:val="none" w:sz="0" w:space="0" w:color="auto"/>
        <w:right w:val="none" w:sz="0" w:space="0" w:color="auto"/>
      </w:divBdr>
    </w:div>
    <w:div w:id="121925575">
      <w:bodyDiv w:val="1"/>
      <w:marLeft w:val="0"/>
      <w:marRight w:val="0"/>
      <w:marTop w:val="0"/>
      <w:marBottom w:val="0"/>
      <w:divBdr>
        <w:top w:val="none" w:sz="0" w:space="0" w:color="auto"/>
        <w:left w:val="none" w:sz="0" w:space="0" w:color="auto"/>
        <w:bottom w:val="none" w:sz="0" w:space="0" w:color="auto"/>
        <w:right w:val="none" w:sz="0" w:space="0" w:color="auto"/>
      </w:divBdr>
    </w:div>
    <w:div w:id="123543779">
      <w:bodyDiv w:val="1"/>
      <w:marLeft w:val="0"/>
      <w:marRight w:val="0"/>
      <w:marTop w:val="0"/>
      <w:marBottom w:val="0"/>
      <w:divBdr>
        <w:top w:val="none" w:sz="0" w:space="0" w:color="auto"/>
        <w:left w:val="none" w:sz="0" w:space="0" w:color="auto"/>
        <w:bottom w:val="none" w:sz="0" w:space="0" w:color="auto"/>
        <w:right w:val="none" w:sz="0" w:space="0" w:color="auto"/>
      </w:divBdr>
    </w:div>
    <w:div w:id="124197637">
      <w:bodyDiv w:val="1"/>
      <w:marLeft w:val="0"/>
      <w:marRight w:val="0"/>
      <w:marTop w:val="0"/>
      <w:marBottom w:val="0"/>
      <w:divBdr>
        <w:top w:val="none" w:sz="0" w:space="0" w:color="auto"/>
        <w:left w:val="none" w:sz="0" w:space="0" w:color="auto"/>
        <w:bottom w:val="none" w:sz="0" w:space="0" w:color="auto"/>
        <w:right w:val="none" w:sz="0" w:space="0" w:color="auto"/>
      </w:divBdr>
    </w:div>
    <w:div w:id="150799403">
      <w:bodyDiv w:val="1"/>
      <w:marLeft w:val="0"/>
      <w:marRight w:val="0"/>
      <w:marTop w:val="0"/>
      <w:marBottom w:val="0"/>
      <w:divBdr>
        <w:top w:val="none" w:sz="0" w:space="0" w:color="auto"/>
        <w:left w:val="none" w:sz="0" w:space="0" w:color="auto"/>
        <w:bottom w:val="none" w:sz="0" w:space="0" w:color="auto"/>
        <w:right w:val="none" w:sz="0" w:space="0" w:color="auto"/>
      </w:divBdr>
    </w:div>
    <w:div w:id="151455467">
      <w:bodyDiv w:val="1"/>
      <w:marLeft w:val="0"/>
      <w:marRight w:val="0"/>
      <w:marTop w:val="0"/>
      <w:marBottom w:val="0"/>
      <w:divBdr>
        <w:top w:val="none" w:sz="0" w:space="0" w:color="auto"/>
        <w:left w:val="none" w:sz="0" w:space="0" w:color="auto"/>
        <w:bottom w:val="none" w:sz="0" w:space="0" w:color="auto"/>
        <w:right w:val="none" w:sz="0" w:space="0" w:color="auto"/>
      </w:divBdr>
    </w:div>
    <w:div w:id="160894577">
      <w:bodyDiv w:val="1"/>
      <w:marLeft w:val="0"/>
      <w:marRight w:val="0"/>
      <w:marTop w:val="0"/>
      <w:marBottom w:val="0"/>
      <w:divBdr>
        <w:top w:val="none" w:sz="0" w:space="0" w:color="auto"/>
        <w:left w:val="none" w:sz="0" w:space="0" w:color="auto"/>
        <w:bottom w:val="none" w:sz="0" w:space="0" w:color="auto"/>
        <w:right w:val="none" w:sz="0" w:space="0" w:color="auto"/>
      </w:divBdr>
    </w:div>
    <w:div w:id="163975048">
      <w:bodyDiv w:val="1"/>
      <w:marLeft w:val="0"/>
      <w:marRight w:val="0"/>
      <w:marTop w:val="0"/>
      <w:marBottom w:val="0"/>
      <w:divBdr>
        <w:top w:val="none" w:sz="0" w:space="0" w:color="auto"/>
        <w:left w:val="none" w:sz="0" w:space="0" w:color="auto"/>
        <w:bottom w:val="none" w:sz="0" w:space="0" w:color="auto"/>
        <w:right w:val="none" w:sz="0" w:space="0" w:color="auto"/>
      </w:divBdr>
    </w:div>
    <w:div w:id="165175668">
      <w:bodyDiv w:val="1"/>
      <w:marLeft w:val="0"/>
      <w:marRight w:val="0"/>
      <w:marTop w:val="0"/>
      <w:marBottom w:val="0"/>
      <w:divBdr>
        <w:top w:val="none" w:sz="0" w:space="0" w:color="auto"/>
        <w:left w:val="none" w:sz="0" w:space="0" w:color="auto"/>
        <w:bottom w:val="none" w:sz="0" w:space="0" w:color="auto"/>
        <w:right w:val="none" w:sz="0" w:space="0" w:color="auto"/>
      </w:divBdr>
    </w:div>
    <w:div w:id="187834413">
      <w:bodyDiv w:val="1"/>
      <w:marLeft w:val="0"/>
      <w:marRight w:val="0"/>
      <w:marTop w:val="0"/>
      <w:marBottom w:val="0"/>
      <w:divBdr>
        <w:top w:val="none" w:sz="0" w:space="0" w:color="auto"/>
        <w:left w:val="none" w:sz="0" w:space="0" w:color="auto"/>
        <w:bottom w:val="none" w:sz="0" w:space="0" w:color="auto"/>
        <w:right w:val="none" w:sz="0" w:space="0" w:color="auto"/>
      </w:divBdr>
    </w:div>
    <w:div w:id="198016106">
      <w:bodyDiv w:val="1"/>
      <w:marLeft w:val="0"/>
      <w:marRight w:val="0"/>
      <w:marTop w:val="0"/>
      <w:marBottom w:val="0"/>
      <w:divBdr>
        <w:top w:val="none" w:sz="0" w:space="0" w:color="auto"/>
        <w:left w:val="none" w:sz="0" w:space="0" w:color="auto"/>
        <w:bottom w:val="none" w:sz="0" w:space="0" w:color="auto"/>
        <w:right w:val="none" w:sz="0" w:space="0" w:color="auto"/>
      </w:divBdr>
    </w:div>
    <w:div w:id="208567896">
      <w:bodyDiv w:val="1"/>
      <w:marLeft w:val="0"/>
      <w:marRight w:val="0"/>
      <w:marTop w:val="0"/>
      <w:marBottom w:val="0"/>
      <w:divBdr>
        <w:top w:val="none" w:sz="0" w:space="0" w:color="auto"/>
        <w:left w:val="none" w:sz="0" w:space="0" w:color="auto"/>
        <w:bottom w:val="none" w:sz="0" w:space="0" w:color="auto"/>
        <w:right w:val="none" w:sz="0" w:space="0" w:color="auto"/>
      </w:divBdr>
    </w:div>
    <w:div w:id="209196060">
      <w:bodyDiv w:val="1"/>
      <w:marLeft w:val="0"/>
      <w:marRight w:val="0"/>
      <w:marTop w:val="0"/>
      <w:marBottom w:val="0"/>
      <w:divBdr>
        <w:top w:val="none" w:sz="0" w:space="0" w:color="auto"/>
        <w:left w:val="none" w:sz="0" w:space="0" w:color="auto"/>
        <w:bottom w:val="none" w:sz="0" w:space="0" w:color="auto"/>
        <w:right w:val="none" w:sz="0" w:space="0" w:color="auto"/>
      </w:divBdr>
    </w:div>
    <w:div w:id="209801754">
      <w:bodyDiv w:val="1"/>
      <w:marLeft w:val="0"/>
      <w:marRight w:val="0"/>
      <w:marTop w:val="0"/>
      <w:marBottom w:val="0"/>
      <w:divBdr>
        <w:top w:val="none" w:sz="0" w:space="0" w:color="auto"/>
        <w:left w:val="none" w:sz="0" w:space="0" w:color="auto"/>
        <w:bottom w:val="none" w:sz="0" w:space="0" w:color="auto"/>
        <w:right w:val="none" w:sz="0" w:space="0" w:color="auto"/>
      </w:divBdr>
    </w:div>
    <w:div w:id="217857886">
      <w:bodyDiv w:val="1"/>
      <w:marLeft w:val="0"/>
      <w:marRight w:val="0"/>
      <w:marTop w:val="0"/>
      <w:marBottom w:val="0"/>
      <w:divBdr>
        <w:top w:val="none" w:sz="0" w:space="0" w:color="auto"/>
        <w:left w:val="none" w:sz="0" w:space="0" w:color="auto"/>
        <w:bottom w:val="none" w:sz="0" w:space="0" w:color="auto"/>
        <w:right w:val="none" w:sz="0" w:space="0" w:color="auto"/>
      </w:divBdr>
      <w:divsChild>
        <w:div w:id="2093775457">
          <w:marLeft w:val="0"/>
          <w:marRight w:val="0"/>
          <w:marTop w:val="0"/>
          <w:marBottom w:val="0"/>
          <w:divBdr>
            <w:top w:val="none" w:sz="0" w:space="0" w:color="auto"/>
            <w:left w:val="none" w:sz="0" w:space="0" w:color="auto"/>
            <w:bottom w:val="none" w:sz="0" w:space="0" w:color="auto"/>
            <w:right w:val="none" w:sz="0" w:space="0" w:color="auto"/>
          </w:divBdr>
          <w:divsChild>
            <w:div w:id="379718508">
              <w:marLeft w:val="0"/>
              <w:marRight w:val="0"/>
              <w:marTop w:val="0"/>
              <w:marBottom w:val="0"/>
              <w:divBdr>
                <w:top w:val="none" w:sz="0" w:space="0" w:color="auto"/>
                <w:left w:val="none" w:sz="0" w:space="0" w:color="auto"/>
                <w:bottom w:val="none" w:sz="0" w:space="0" w:color="auto"/>
                <w:right w:val="none" w:sz="0" w:space="0" w:color="auto"/>
              </w:divBdr>
            </w:div>
            <w:div w:id="628511457">
              <w:marLeft w:val="0"/>
              <w:marRight w:val="0"/>
              <w:marTop w:val="0"/>
              <w:marBottom w:val="0"/>
              <w:divBdr>
                <w:top w:val="none" w:sz="0" w:space="0" w:color="auto"/>
                <w:left w:val="none" w:sz="0" w:space="0" w:color="auto"/>
                <w:bottom w:val="none" w:sz="0" w:space="0" w:color="auto"/>
                <w:right w:val="none" w:sz="0" w:space="0" w:color="auto"/>
              </w:divBdr>
            </w:div>
            <w:div w:id="1119186640">
              <w:marLeft w:val="0"/>
              <w:marRight w:val="0"/>
              <w:marTop w:val="0"/>
              <w:marBottom w:val="0"/>
              <w:divBdr>
                <w:top w:val="none" w:sz="0" w:space="0" w:color="auto"/>
                <w:left w:val="none" w:sz="0" w:space="0" w:color="auto"/>
                <w:bottom w:val="none" w:sz="0" w:space="0" w:color="auto"/>
                <w:right w:val="none" w:sz="0" w:space="0" w:color="auto"/>
              </w:divBdr>
            </w:div>
            <w:div w:id="1196381497">
              <w:marLeft w:val="0"/>
              <w:marRight w:val="0"/>
              <w:marTop w:val="0"/>
              <w:marBottom w:val="0"/>
              <w:divBdr>
                <w:top w:val="none" w:sz="0" w:space="0" w:color="auto"/>
                <w:left w:val="none" w:sz="0" w:space="0" w:color="auto"/>
                <w:bottom w:val="none" w:sz="0" w:space="0" w:color="auto"/>
                <w:right w:val="none" w:sz="0" w:space="0" w:color="auto"/>
              </w:divBdr>
            </w:div>
            <w:div w:id="12607195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8443921">
      <w:bodyDiv w:val="1"/>
      <w:marLeft w:val="0"/>
      <w:marRight w:val="0"/>
      <w:marTop w:val="0"/>
      <w:marBottom w:val="0"/>
      <w:divBdr>
        <w:top w:val="none" w:sz="0" w:space="0" w:color="auto"/>
        <w:left w:val="none" w:sz="0" w:space="0" w:color="auto"/>
        <w:bottom w:val="none" w:sz="0" w:space="0" w:color="auto"/>
        <w:right w:val="none" w:sz="0" w:space="0" w:color="auto"/>
      </w:divBdr>
    </w:div>
    <w:div w:id="219363067">
      <w:bodyDiv w:val="1"/>
      <w:marLeft w:val="0"/>
      <w:marRight w:val="0"/>
      <w:marTop w:val="0"/>
      <w:marBottom w:val="0"/>
      <w:divBdr>
        <w:top w:val="none" w:sz="0" w:space="0" w:color="auto"/>
        <w:left w:val="none" w:sz="0" w:space="0" w:color="auto"/>
        <w:bottom w:val="none" w:sz="0" w:space="0" w:color="auto"/>
        <w:right w:val="none" w:sz="0" w:space="0" w:color="auto"/>
      </w:divBdr>
    </w:div>
    <w:div w:id="223684487">
      <w:bodyDiv w:val="1"/>
      <w:marLeft w:val="0"/>
      <w:marRight w:val="0"/>
      <w:marTop w:val="0"/>
      <w:marBottom w:val="0"/>
      <w:divBdr>
        <w:top w:val="none" w:sz="0" w:space="0" w:color="auto"/>
        <w:left w:val="none" w:sz="0" w:space="0" w:color="auto"/>
        <w:bottom w:val="none" w:sz="0" w:space="0" w:color="auto"/>
        <w:right w:val="none" w:sz="0" w:space="0" w:color="auto"/>
      </w:divBdr>
    </w:div>
    <w:div w:id="225923717">
      <w:bodyDiv w:val="1"/>
      <w:marLeft w:val="0"/>
      <w:marRight w:val="0"/>
      <w:marTop w:val="0"/>
      <w:marBottom w:val="0"/>
      <w:divBdr>
        <w:top w:val="none" w:sz="0" w:space="0" w:color="auto"/>
        <w:left w:val="none" w:sz="0" w:space="0" w:color="auto"/>
        <w:bottom w:val="none" w:sz="0" w:space="0" w:color="auto"/>
        <w:right w:val="none" w:sz="0" w:space="0" w:color="auto"/>
      </w:divBdr>
    </w:div>
    <w:div w:id="250940621">
      <w:bodyDiv w:val="1"/>
      <w:marLeft w:val="0"/>
      <w:marRight w:val="0"/>
      <w:marTop w:val="0"/>
      <w:marBottom w:val="0"/>
      <w:divBdr>
        <w:top w:val="none" w:sz="0" w:space="0" w:color="auto"/>
        <w:left w:val="none" w:sz="0" w:space="0" w:color="auto"/>
        <w:bottom w:val="none" w:sz="0" w:space="0" w:color="auto"/>
        <w:right w:val="none" w:sz="0" w:space="0" w:color="auto"/>
      </w:divBdr>
    </w:div>
    <w:div w:id="253784521">
      <w:bodyDiv w:val="1"/>
      <w:marLeft w:val="0"/>
      <w:marRight w:val="0"/>
      <w:marTop w:val="0"/>
      <w:marBottom w:val="0"/>
      <w:divBdr>
        <w:top w:val="none" w:sz="0" w:space="0" w:color="auto"/>
        <w:left w:val="none" w:sz="0" w:space="0" w:color="auto"/>
        <w:bottom w:val="none" w:sz="0" w:space="0" w:color="auto"/>
        <w:right w:val="none" w:sz="0" w:space="0" w:color="auto"/>
      </w:divBdr>
    </w:div>
    <w:div w:id="254900914">
      <w:bodyDiv w:val="1"/>
      <w:marLeft w:val="0"/>
      <w:marRight w:val="0"/>
      <w:marTop w:val="0"/>
      <w:marBottom w:val="0"/>
      <w:divBdr>
        <w:top w:val="none" w:sz="0" w:space="0" w:color="auto"/>
        <w:left w:val="none" w:sz="0" w:space="0" w:color="auto"/>
        <w:bottom w:val="none" w:sz="0" w:space="0" w:color="auto"/>
        <w:right w:val="none" w:sz="0" w:space="0" w:color="auto"/>
      </w:divBdr>
    </w:div>
    <w:div w:id="259989819">
      <w:bodyDiv w:val="1"/>
      <w:marLeft w:val="0"/>
      <w:marRight w:val="0"/>
      <w:marTop w:val="0"/>
      <w:marBottom w:val="0"/>
      <w:divBdr>
        <w:top w:val="none" w:sz="0" w:space="0" w:color="auto"/>
        <w:left w:val="none" w:sz="0" w:space="0" w:color="auto"/>
        <w:bottom w:val="none" w:sz="0" w:space="0" w:color="auto"/>
        <w:right w:val="none" w:sz="0" w:space="0" w:color="auto"/>
      </w:divBdr>
    </w:div>
    <w:div w:id="264074049">
      <w:bodyDiv w:val="1"/>
      <w:marLeft w:val="0"/>
      <w:marRight w:val="0"/>
      <w:marTop w:val="0"/>
      <w:marBottom w:val="0"/>
      <w:divBdr>
        <w:top w:val="none" w:sz="0" w:space="0" w:color="auto"/>
        <w:left w:val="none" w:sz="0" w:space="0" w:color="auto"/>
        <w:bottom w:val="none" w:sz="0" w:space="0" w:color="auto"/>
        <w:right w:val="none" w:sz="0" w:space="0" w:color="auto"/>
      </w:divBdr>
    </w:div>
    <w:div w:id="267350911">
      <w:bodyDiv w:val="1"/>
      <w:marLeft w:val="0"/>
      <w:marRight w:val="0"/>
      <w:marTop w:val="0"/>
      <w:marBottom w:val="0"/>
      <w:divBdr>
        <w:top w:val="none" w:sz="0" w:space="0" w:color="auto"/>
        <w:left w:val="none" w:sz="0" w:space="0" w:color="auto"/>
        <w:bottom w:val="none" w:sz="0" w:space="0" w:color="auto"/>
        <w:right w:val="none" w:sz="0" w:space="0" w:color="auto"/>
      </w:divBdr>
    </w:div>
    <w:div w:id="270627353">
      <w:bodyDiv w:val="1"/>
      <w:marLeft w:val="0"/>
      <w:marRight w:val="0"/>
      <w:marTop w:val="0"/>
      <w:marBottom w:val="0"/>
      <w:divBdr>
        <w:top w:val="none" w:sz="0" w:space="0" w:color="auto"/>
        <w:left w:val="none" w:sz="0" w:space="0" w:color="auto"/>
        <w:bottom w:val="none" w:sz="0" w:space="0" w:color="auto"/>
        <w:right w:val="none" w:sz="0" w:space="0" w:color="auto"/>
      </w:divBdr>
    </w:div>
    <w:div w:id="279924179">
      <w:bodyDiv w:val="1"/>
      <w:marLeft w:val="0"/>
      <w:marRight w:val="0"/>
      <w:marTop w:val="0"/>
      <w:marBottom w:val="0"/>
      <w:divBdr>
        <w:top w:val="none" w:sz="0" w:space="0" w:color="auto"/>
        <w:left w:val="none" w:sz="0" w:space="0" w:color="auto"/>
        <w:bottom w:val="none" w:sz="0" w:space="0" w:color="auto"/>
        <w:right w:val="none" w:sz="0" w:space="0" w:color="auto"/>
      </w:divBdr>
    </w:div>
    <w:div w:id="292371190">
      <w:bodyDiv w:val="1"/>
      <w:marLeft w:val="0"/>
      <w:marRight w:val="0"/>
      <w:marTop w:val="0"/>
      <w:marBottom w:val="0"/>
      <w:divBdr>
        <w:top w:val="none" w:sz="0" w:space="0" w:color="auto"/>
        <w:left w:val="none" w:sz="0" w:space="0" w:color="auto"/>
        <w:bottom w:val="none" w:sz="0" w:space="0" w:color="auto"/>
        <w:right w:val="none" w:sz="0" w:space="0" w:color="auto"/>
      </w:divBdr>
    </w:div>
    <w:div w:id="294138625">
      <w:bodyDiv w:val="1"/>
      <w:marLeft w:val="0"/>
      <w:marRight w:val="0"/>
      <w:marTop w:val="0"/>
      <w:marBottom w:val="0"/>
      <w:divBdr>
        <w:top w:val="none" w:sz="0" w:space="0" w:color="auto"/>
        <w:left w:val="none" w:sz="0" w:space="0" w:color="auto"/>
        <w:bottom w:val="none" w:sz="0" w:space="0" w:color="auto"/>
        <w:right w:val="none" w:sz="0" w:space="0" w:color="auto"/>
      </w:divBdr>
    </w:div>
    <w:div w:id="310452934">
      <w:bodyDiv w:val="1"/>
      <w:marLeft w:val="0"/>
      <w:marRight w:val="0"/>
      <w:marTop w:val="0"/>
      <w:marBottom w:val="0"/>
      <w:divBdr>
        <w:top w:val="none" w:sz="0" w:space="0" w:color="auto"/>
        <w:left w:val="none" w:sz="0" w:space="0" w:color="auto"/>
        <w:bottom w:val="none" w:sz="0" w:space="0" w:color="auto"/>
        <w:right w:val="none" w:sz="0" w:space="0" w:color="auto"/>
      </w:divBdr>
    </w:div>
    <w:div w:id="310868123">
      <w:bodyDiv w:val="1"/>
      <w:marLeft w:val="0"/>
      <w:marRight w:val="0"/>
      <w:marTop w:val="0"/>
      <w:marBottom w:val="0"/>
      <w:divBdr>
        <w:top w:val="none" w:sz="0" w:space="0" w:color="auto"/>
        <w:left w:val="none" w:sz="0" w:space="0" w:color="auto"/>
        <w:bottom w:val="none" w:sz="0" w:space="0" w:color="auto"/>
        <w:right w:val="none" w:sz="0" w:space="0" w:color="auto"/>
      </w:divBdr>
    </w:div>
    <w:div w:id="315570589">
      <w:bodyDiv w:val="1"/>
      <w:marLeft w:val="0"/>
      <w:marRight w:val="0"/>
      <w:marTop w:val="0"/>
      <w:marBottom w:val="0"/>
      <w:divBdr>
        <w:top w:val="none" w:sz="0" w:space="0" w:color="auto"/>
        <w:left w:val="none" w:sz="0" w:space="0" w:color="auto"/>
        <w:bottom w:val="none" w:sz="0" w:space="0" w:color="auto"/>
        <w:right w:val="none" w:sz="0" w:space="0" w:color="auto"/>
      </w:divBdr>
    </w:div>
    <w:div w:id="321083976">
      <w:bodyDiv w:val="1"/>
      <w:marLeft w:val="0"/>
      <w:marRight w:val="0"/>
      <w:marTop w:val="0"/>
      <w:marBottom w:val="0"/>
      <w:divBdr>
        <w:top w:val="none" w:sz="0" w:space="0" w:color="auto"/>
        <w:left w:val="none" w:sz="0" w:space="0" w:color="auto"/>
        <w:bottom w:val="none" w:sz="0" w:space="0" w:color="auto"/>
        <w:right w:val="none" w:sz="0" w:space="0" w:color="auto"/>
      </w:divBdr>
    </w:div>
    <w:div w:id="323358664">
      <w:bodyDiv w:val="1"/>
      <w:marLeft w:val="0"/>
      <w:marRight w:val="0"/>
      <w:marTop w:val="0"/>
      <w:marBottom w:val="0"/>
      <w:divBdr>
        <w:top w:val="none" w:sz="0" w:space="0" w:color="auto"/>
        <w:left w:val="none" w:sz="0" w:space="0" w:color="auto"/>
        <w:bottom w:val="none" w:sz="0" w:space="0" w:color="auto"/>
        <w:right w:val="none" w:sz="0" w:space="0" w:color="auto"/>
      </w:divBdr>
    </w:div>
    <w:div w:id="327171428">
      <w:bodyDiv w:val="1"/>
      <w:marLeft w:val="0"/>
      <w:marRight w:val="0"/>
      <w:marTop w:val="0"/>
      <w:marBottom w:val="0"/>
      <w:divBdr>
        <w:top w:val="none" w:sz="0" w:space="0" w:color="auto"/>
        <w:left w:val="none" w:sz="0" w:space="0" w:color="auto"/>
        <w:bottom w:val="none" w:sz="0" w:space="0" w:color="auto"/>
        <w:right w:val="none" w:sz="0" w:space="0" w:color="auto"/>
      </w:divBdr>
    </w:div>
    <w:div w:id="329449820">
      <w:bodyDiv w:val="1"/>
      <w:marLeft w:val="0"/>
      <w:marRight w:val="0"/>
      <w:marTop w:val="0"/>
      <w:marBottom w:val="0"/>
      <w:divBdr>
        <w:top w:val="none" w:sz="0" w:space="0" w:color="auto"/>
        <w:left w:val="none" w:sz="0" w:space="0" w:color="auto"/>
        <w:bottom w:val="none" w:sz="0" w:space="0" w:color="auto"/>
        <w:right w:val="none" w:sz="0" w:space="0" w:color="auto"/>
      </w:divBdr>
    </w:div>
    <w:div w:id="331493078">
      <w:bodyDiv w:val="1"/>
      <w:marLeft w:val="0"/>
      <w:marRight w:val="0"/>
      <w:marTop w:val="0"/>
      <w:marBottom w:val="0"/>
      <w:divBdr>
        <w:top w:val="none" w:sz="0" w:space="0" w:color="auto"/>
        <w:left w:val="none" w:sz="0" w:space="0" w:color="auto"/>
        <w:bottom w:val="none" w:sz="0" w:space="0" w:color="auto"/>
        <w:right w:val="none" w:sz="0" w:space="0" w:color="auto"/>
      </w:divBdr>
    </w:div>
    <w:div w:id="338435777">
      <w:bodyDiv w:val="1"/>
      <w:marLeft w:val="0"/>
      <w:marRight w:val="0"/>
      <w:marTop w:val="0"/>
      <w:marBottom w:val="0"/>
      <w:divBdr>
        <w:top w:val="none" w:sz="0" w:space="0" w:color="auto"/>
        <w:left w:val="none" w:sz="0" w:space="0" w:color="auto"/>
        <w:bottom w:val="none" w:sz="0" w:space="0" w:color="auto"/>
        <w:right w:val="none" w:sz="0" w:space="0" w:color="auto"/>
      </w:divBdr>
    </w:div>
    <w:div w:id="373046782">
      <w:bodyDiv w:val="1"/>
      <w:marLeft w:val="0"/>
      <w:marRight w:val="0"/>
      <w:marTop w:val="0"/>
      <w:marBottom w:val="0"/>
      <w:divBdr>
        <w:top w:val="none" w:sz="0" w:space="0" w:color="auto"/>
        <w:left w:val="none" w:sz="0" w:space="0" w:color="auto"/>
        <w:bottom w:val="none" w:sz="0" w:space="0" w:color="auto"/>
        <w:right w:val="none" w:sz="0" w:space="0" w:color="auto"/>
      </w:divBdr>
    </w:div>
    <w:div w:id="378287492">
      <w:bodyDiv w:val="1"/>
      <w:marLeft w:val="0"/>
      <w:marRight w:val="0"/>
      <w:marTop w:val="0"/>
      <w:marBottom w:val="0"/>
      <w:divBdr>
        <w:top w:val="none" w:sz="0" w:space="0" w:color="auto"/>
        <w:left w:val="none" w:sz="0" w:space="0" w:color="auto"/>
        <w:bottom w:val="none" w:sz="0" w:space="0" w:color="auto"/>
        <w:right w:val="none" w:sz="0" w:space="0" w:color="auto"/>
      </w:divBdr>
    </w:div>
    <w:div w:id="379548860">
      <w:bodyDiv w:val="1"/>
      <w:marLeft w:val="0"/>
      <w:marRight w:val="0"/>
      <w:marTop w:val="0"/>
      <w:marBottom w:val="0"/>
      <w:divBdr>
        <w:top w:val="none" w:sz="0" w:space="0" w:color="auto"/>
        <w:left w:val="none" w:sz="0" w:space="0" w:color="auto"/>
        <w:bottom w:val="none" w:sz="0" w:space="0" w:color="auto"/>
        <w:right w:val="none" w:sz="0" w:space="0" w:color="auto"/>
      </w:divBdr>
    </w:div>
    <w:div w:id="387000757">
      <w:bodyDiv w:val="1"/>
      <w:marLeft w:val="0"/>
      <w:marRight w:val="0"/>
      <w:marTop w:val="0"/>
      <w:marBottom w:val="0"/>
      <w:divBdr>
        <w:top w:val="none" w:sz="0" w:space="0" w:color="auto"/>
        <w:left w:val="none" w:sz="0" w:space="0" w:color="auto"/>
        <w:bottom w:val="none" w:sz="0" w:space="0" w:color="auto"/>
        <w:right w:val="none" w:sz="0" w:space="0" w:color="auto"/>
      </w:divBdr>
    </w:div>
    <w:div w:id="388267586">
      <w:bodyDiv w:val="1"/>
      <w:marLeft w:val="0"/>
      <w:marRight w:val="0"/>
      <w:marTop w:val="0"/>
      <w:marBottom w:val="0"/>
      <w:divBdr>
        <w:top w:val="none" w:sz="0" w:space="0" w:color="auto"/>
        <w:left w:val="none" w:sz="0" w:space="0" w:color="auto"/>
        <w:bottom w:val="none" w:sz="0" w:space="0" w:color="auto"/>
        <w:right w:val="none" w:sz="0" w:space="0" w:color="auto"/>
      </w:divBdr>
    </w:div>
    <w:div w:id="394939787">
      <w:bodyDiv w:val="1"/>
      <w:marLeft w:val="0"/>
      <w:marRight w:val="0"/>
      <w:marTop w:val="0"/>
      <w:marBottom w:val="0"/>
      <w:divBdr>
        <w:top w:val="none" w:sz="0" w:space="0" w:color="auto"/>
        <w:left w:val="none" w:sz="0" w:space="0" w:color="auto"/>
        <w:bottom w:val="none" w:sz="0" w:space="0" w:color="auto"/>
        <w:right w:val="none" w:sz="0" w:space="0" w:color="auto"/>
      </w:divBdr>
    </w:div>
    <w:div w:id="396246419">
      <w:bodyDiv w:val="1"/>
      <w:marLeft w:val="0"/>
      <w:marRight w:val="0"/>
      <w:marTop w:val="0"/>
      <w:marBottom w:val="0"/>
      <w:divBdr>
        <w:top w:val="none" w:sz="0" w:space="0" w:color="auto"/>
        <w:left w:val="none" w:sz="0" w:space="0" w:color="auto"/>
        <w:bottom w:val="none" w:sz="0" w:space="0" w:color="auto"/>
        <w:right w:val="none" w:sz="0" w:space="0" w:color="auto"/>
      </w:divBdr>
      <w:divsChild>
        <w:div w:id="832724354">
          <w:marLeft w:val="0"/>
          <w:marRight w:val="0"/>
          <w:marTop w:val="0"/>
          <w:marBottom w:val="0"/>
          <w:divBdr>
            <w:top w:val="none" w:sz="0" w:space="0" w:color="auto"/>
            <w:left w:val="none" w:sz="0" w:space="0" w:color="auto"/>
            <w:bottom w:val="none" w:sz="0" w:space="0" w:color="auto"/>
            <w:right w:val="none" w:sz="0" w:space="0" w:color="auto"/>
          </w:divBdr>
        </w:div>
        <w:div w:id="1594820997">
          <w:marLeft w:val="0"/>
          <w:marRight w:val="0"/>
          <w:marTop w:val="0"/>
          <w:marBottom w:val="0"/>
          <w:divBdr>
            <w:top w:val="none" w:sz="0" w:space="0" w:color="auto"/>
            <w:left w:val="none" w:sz="0" w:space="0" w:color="auto"/>
            <w:bottom w:val="none" w:sz="0" w:space="0" w:color="auto"/>
            <w:right w:val="none" w:sz="0" w:space="0" w:color="auto"/>
          </w:divBdr>
        </w:div>
        <w:div w:id="1178422858">
          <w:marLeft w:val="0"/>
          <w:marRight w:val="0"/>
          <w:marTop w:val="0"/>
          <w:marBottom w:val="0"/>
          <w:divBdr>
            <w:top w:val="none" w:sz="0" w:space="0" w:color="auto"/>
            <w:left w:val="none" w:sz="0" w:space="0" w:color="auto"/>
            <w:bottom w:val="none" w:sz="0" w:space="0" w:color="auto"/>
            <w:right w:val="none" w:sz="0" w:space="0" w:color="auto"/>
          </w:divBdr>
        </w:div>
        <w:div w:id="243105352">
          <w:marLeft w:val="0"/>
          <w:marRight w:val="0"/>
          <w:marTop w:val="0"/>
          <w:marBottom w:val="0"/>
          <w:divBdr>
            <w:top w:val="none" w:sz="0" w:space="0" w:color="auto"/>
            <w:left w:val="none" w:sz="0" w:space="0" w:color="auto"/>
            <w:bottom w:val="none" w:sz="0" w:space="0" w:color="auto"/>
            <w:right w:val="none" w:sz="0" w:space="0" w:color="auto"/>
          </w:divBdr>
        </w:div>
        <w:div w:id="1105154598">
          <w:marLeft w:val="0"/>
          <w:marRight w:val="0"/>
          <w:marTop w:val="0"/>
          <w:marBottom w:val="0"/>
          <w:divBdr>
            <w:top w:val="none" w:sz="0" w:space="0" w:color="auto"/>
            <w:left w:val="none" w:sz="0" w:space="0" w:color="auto"/>
            <w:bottom w:val="none" w:sz="0" w:space="0" w:color="auto"/>
            <w:right w:val="none" w:sz="0" w:space="0" w:color="auto"/>
          </w:divBdr>
        </w:div>
      </w:divsChild>
    </w:div>
    <w:div w:id="406726033">
      <w:bodyDiv w:val="1"/>
      <w:marLeft w:val="0"/>
      <w:marRight w:val="0"/>
      <w:marTop w:val="0"/>
      <w:marBottom w:val="0"/>
      <w:divBdr>
        <w:top w:val="none" w:sz="0" w:space="0" w:color="auto"/>
        <w:left w:val="none" w:sz="0" w:space="0" w:color="auto"/>
        <w:bottom w:val="none" w:sz="0" w:space="0" w:color="auto"/>
        <w:right w:val="none" w:sz="0" w:space="0" w:color="auto"/>
      </w:divBdr>
    </w:div>
    <w:div w:id="410663639">
      <w:bodyDiv w:val="1"/>
      <w:marLeft w:val="0"/>
      <w:marRight w:val="0"/>
      <w:marTop w:val="0"/>
      <w:marBottom w:val="0"/>
      <w:divBdr>
        <w:top w:val="none" w:sz="0" w:space="0" w:color="auto"/>
        <w:left w:val="none" w:sz="0" w:space="0" w:color="auto"/>
        <w:bottom w:val="none" w:sz="0" w:space="0" w:color="auto"/>
        <w:right w:val="none" w:sz="0" w:space="0" w:color="auto"/>
      </w:divBdr>
    </w:div>
    <w:div w:id="413748436">
      <w:bodyDiv w:val="1"/>
      <w:marLeft w:val="0"/>
      <w:marRight w:val="0"/>
      <w:marTop w:val="0"/>
      <w:marBottom w:val="0"/>
      <w:divBdr>
        <w:top w:val="none" w:sz="0" w:space="0" w:color="auto"/>
        <w:left w:val="none" w:sz="0" w:space="0" w:color="auto"/>
        <w:bottom w:val="none" w:sz="0" w:space="0" w:color="auto"/>
        <w:right w:val="none" w:sz="0" w:space="0" w:color="auto"/>
      </w:divBdr>
    </w:div>
    <w:div w:id="414787156">
      <w:bodyDiv w:val="1"/>
      <w:marLeft w:val="0"/>
      <w:marRight w:val="0"/>
      <w:marTop w:val="0"/>
      <w:marBottom w:val="0"/>
      <w:divBdr>
        <w:top w:val="none" w:sz="0" w:space="0" w:color="auto"/>
        <w:left w:val="none" w:sz="0" w:space="0" w:color="auto"/>
        <w:bottom w:val="none" w:sz="0" w:space="0" w:color="auto"/>
        <w:right w:val="none" w:sz="0" w:space="0" w:color="auto"/>
      </w:divBdr>
    </w:div>
    <w:div w:id="419061044">
      <w:bodyDiv w:val="1"/>
      <w:marLeft w:val="0"/>
      <w:marRight w:val="0"/>
      <w:marTop w:val="0"/>
      <w:marBottom w:val="0"/>
      <w:divBdr>
        <w:top w:val="none" w:sz="0" w:space="0" w:color="auto"/>
        <w:left w:val="none" w:sz="0" w:space="0" w:color="auto"/>
        <w:bottom w:val="none" w:sz="0" w:space="0" w:color="auto"/>
        <w:right w:val="none" w:sz="0" w:space="0" w:color="auto"/>
      </w:divBdr>
    </w:div>
    <w:div w:id="421413670">
      <w:bodyDiv w:val="1"/>
      <w:marLeft w:val="0"/>
      <w:marRight w:val="0"/>
      <w:marTop w:val="0"/>
      <w:marBottom w:val="0"/>
      <w:divBdr>
        <w:top w:val="none" w:sz="0" w:space="0" w:color="auto"/>
        <w:left w:val="none" w:sz="0" w:space="0" w:color="auto"/>
        <w:bottom w:val="none" w:sz="0" w:space="0" w:color="auto"/>
        <w:right w:val="none" w:sz="0" w:space="0" w:color="auto"/>
      </w:divBdr>
    </w:div>
    <w:div w:id="424420859">
      <w:bodyDiv w:val="1"/>
      <w:marLeft w:val="0"/>
      <w:marRight w:val="0"/>
      <w:marTop w:val="0"/>
      <w:marBottom w:val="0"/>
      <w:divBdr>
        <w:top w:val="none" w:sz="0" w:space="0" w:color="auto"/>
        <w:left w:val="none" w:sz="0" w:space="0" w:color="auto"/>
        <w:bottom w:val="none" w:sz="0" w:space="0" w:color="auto"/>
        <w:right w:val="none" w:sz="0" w:space="0" w:color="auto"/>
      </w:divBdr>
    </w:div>
    <w:div w:id="426653785">
      <w:bodyDiv w:val="1"/>
      <w:marLeft w:val="0"/>
      <w:marRight w:val="0"/>
      <w:marTop w:val="0"/>
      <w:marBottom w:val="0"/>
      <w:divBdr>
        <w:top w:val="none" w:sz="0" w:space="0" w:color="auto"/>
        <w:left w:val="none" w:sz="0" w:space="0" w:color="auto"/>
        <w:bottom w:val="none" w:sz="0" w:space="0" w:color="auto"/>
        <w:right w:val="none" w:sz="0" w:space="0" w:color="auto"/>
      </w:divBdr>
    </w:div>
    <w:div w:id="432089109">
      <w:bodyDiv w:val="1"/>
      <w:marLeft w:val="0"/>
      <w:marRight w:val="0"/>
      <w:marTop w:val="0"/>
      <w:marBottom w:val="0"/>
      <w:divBdr>
        <w:top w:val="none" w:sz="0" w:space="0" w:color="auto"/>
        <w:left w:val="none" w:sz="0" w:space="0" w:color="auto"/>
        <w:bottom w:val="none" w:sz="0" w:space="0" w:color="auto"/>
        <w:right w:val="none" w:sz="0" w:space="0" w:color="auto"/>
      </w:divBdr>
    </w:div>
    <w:div w:id="435256131">
      <w:bodyDiv w:val="1"/>
      <w:marLeft w:val="0"/>
      <w:marRight w:val="0"/>
      <w:marTop w:val="0"/>
      <w:marBottom w:val="0"/>
      <w:divBdr>
        <w:top w:val="none" w:sz="0" w:space="0" w:color="auto"/>
        <w:left w:val="none" w:sz="0" w:space="0" w:color="auto"/>
        <w:bottom w:val="none" w:sz="0" w:space="0" w:color="auto"/>
        <w:right w:val="none" w:sz="0" w:space="0" w:color="auto"/>
      </w:divBdr>
    </w:div>
    <w:div w:id="452558531">
      <w:bodyDiv w:val="1"/>
      <w:marLeft w:val="0"/>
      <w:marRight w:val="0"/>
      <w:marTop w:val="0"/>
      <w:marBottom w:val="0"/>
      <w:divBdr>
        <w:top w:val="none" w:sz="0" w:space="0" w:color="auto"/>
        <w:left w:val="none" w:sz="0" w:space="0" w:color="auto"/>
        <w:bottom w:val="none" w:sz="0" w:space="0" w:color="auto"/>
        <w:right w:val="none" w:sz="0" w:space="0" w:color="auto"/>
      </w:divBdr>
    </w:div>
    <w:div w:id="459226742">
      <w:bodyDiv w:val="1"/>
      <w:marLeft w:val="0"/>
      <w:marRight w:val="0"/>
      <w:marTop w:val="0"/>
      <w:marBottom w:val="0"/>
      <w:divBdr>
        <w:top w:val="none" w:sz="0" w:space="0" w:color="auto"/>
        <w:left w:val="none" w:sz="0" w:space="0" w:color="auto"/>
        <w:bottom w:val="none" w:sz="0" w:space="0" w:color="auto"/>
        <w:right w:val="none" w:sz="0" w:space="0" w:color="auto"/>
      </w:divBdr>
    </w:div>
    <w:div w:id="460808290">
      <w:bodyDiv w:val="1"/>
      <w:marLeft w:val="0"/>
      <w:marRight w:val="0"/>
      <w:marTop w:val="0"/>
      <w:marBottom w:val="0"/>
      <w:divBdr>
        <w:top w:val="none" w:sz="0" w:space="0" w:color="auto"/>
        <w:left w:val="none" w:sz="0" w:space="0" w:color="auto"/>
        <w:bottom w:val="none" w:sz="0" w:space="0" w:color="auto"/>
        <w:right w:val="none" w:sz="0" w:space="0" w:color="auto"/>
      </w:divBdr>
    </w:div>
    <w:div w:id="465857928">
      <w:bodyDiv w:val="1"/>
      <w:marLeft w:val="0"/>
      <w:marRight w:val="0"/>
      <w:marTop w:val="0"/>
      <w:marBottom w:val="0"/>
      <w:divBdr>
        <w:top w:val="none" w:sz="0" w:space="0" w:color="auto"/>
        <w:left w:val="none" w:sz="0" w:space="0" w:color="auto"/>
        <w:bottom w:val="none" w:sz="0" w:space="0" w:color="auto"/>
        <w:right w:val="none" w:sz="0" w:space="0" w:color="auto"/>
      </w:divBdr>
    </w:div>
    <w:div w:id="470172950">
      <w:bodyDiv w:val="1"/>
      <w:marLeft w:val="0"/>
      <w:marRight w:val="0"/>
      <w:marTop w:val="0"/>
      <w:marBottom w:val="0"/>
      <w:divBdr>
        <w:top w:val="none" w:sz="0" w:space="0" w:color="auto"/>
        <w:left w:val="none" w:sz="0" w:space="0" w:color="auto"/>
        <w:bottom w:val="none" w:sz="0" w:space="0" w:color="auto"/>
        <w:right w:val="none" w:sz="0" w:space="0" w:color="auto"/>
      </w:divBdr>
    </w:div>
    <w:div w:id="479881861">
      <w:bodyDiv w:val="1"/>
      <w:marLeft w:val="0"/>
      <w:marRight w:val="0"/>
      <w:marTop w:val="0"/>
      <w:marBottom w:val="0"/>
      <w:divBdr>
        <w:top w:val="none" w:sz="0" w:space="0" w:color="auto"/>
        <w:left w:val="none" w:sz="0" w:space="0" w:color="auto"/>
        <w:bottom w:val="none" w:sz="0" w:space="0" w:color="auto"/>
        <w:right w:val="none" w:sz="0" w:space="0" w:color="auto"/>
      </w:divBdr>
    </w:div>
    <w:div w:id="481821478">
      <w:bodyDiv w:val="1"/>
      <w:marLeft w:val="0"/>
      <w:marRight w:val="0"/>
      <w:marTop w:val="0"/>
      <w:marBottom w:val="0"/>
      <w:divBdr>
        <w:top w:val="none" w:sz="0" w:space="0" w:color="auto"/>
        <w:left w:val="none" w:sz="0" w:space="0" w:color="auto"/>
        <w:bottom w:val="none" w:sz="0" w:space="0" w:color="auto"/>
        <w:right w:val="none" w:sz="0" w:space="0" w:color="auto"/>
      </w:divBdr>
    </w:div>
    <w:div w:id="489643548">
      <w:bodyDiv w:val="1"/>
      <w:marLeft w:val="0"/>
      <w:marRight w:val="0"/>
      <w:marTop w:val="0"/>
      <w:marBottom w:val="0"/>
      <w:divBdr>
        <w:top w:val="none" w:sz="0" w:space="0" w:color="auto"/>
        <w:left w:val="none" w:sz="0" w:space="0" w:color="auto"/>
        <w:bottom w:val="none" w:sz="0" w:space="0" w:color="auto"/>
        <w:right w:val="none" w:sz="0" w:space="0" w:color="auto"/>
      </w:divBdr>
    </w:div>
    <w:div w:id="497230715">
      <w:bodyDiv w:val="1"/>
      <w:marLeft w:val="0"/>
      <w:marRight w:val="0"/>
      <w:marTop w:val="0"/>
      <w:marBottom w:val="0"/>
      <w:divBdr>
        <w:top w:val="none" w:sz="0" w:space="0" w:color="auto"/>
        <w:left w:val="none" w:sz="0" w:space="0" w:color="auto"/>
        <w:bottom w:val="none" w:sz="0" w:space="0" w:color="auto"/>
        <w:right w:val="none" w:sz="0" w:space="0" w:color="auto"/>
      </w:divBdr>
    </w:div>
    <w:div w:id="498932078">
      <w:bodyDiv w:val="1"/>
      <w:marLeft w:val="0"/>
      <w:marRight w:val="0"/>
      <w:marTop w:val="0"/>
      <w:marBottom w:val="0"/>
      <w:divBdr>
        <w:top w:val="none" w:sz="0" w:space="0" w:color="auto"/>
        <w:left w:val="none" w:sz="0" w:space="0" w:color="auto"/>
        <w:bottom w:val="none" w:sz="0" w:space="0" w:color="auto"/>
        <w:right w:val="none" w:sz="0" w:space="0" w:color="auto"/>
      </w:divBdr>
    </w:div>
    <w:div w:id="502211597">
      <w:bodyDiv w:val="1"/>
      <w:marLeft w:val="0"/>
      <w:marRight w:val="0"/>
      <w:marTop w:val="0"/>
      <w:marBottom w:val="0"/>
      <w:divBdr>
        <w:top w:val="none" w:sz="0" w:space="0" w:color="auto"/>
        <w:left w:val="none" w:sz="0" w:space="0" w:color="auto"/>
        <w:bottom w:val="none" w:sz="0" w:space="0" w:color="auto"/>
        <w:right w:val="none" w:sz="0" w:space="0" w:color="auto"/>
      </w:divBdr>
    </w:div>
    <w:div w:id="506021080">
      <w:bodyDiv w:val="1"/>
      <w:marLeft w:val="0"/>
      <w:marRight w:val="0"/>
      <w:marTop w:val="0"/>
      <w:marBottom w:val="0"/>
      <w:divBdr>
        <w:top w:val="none" w:sz="0" w:space="0" w:color="auto"/>
        <w:left w:val="none" w:sz="0" w:space="0" w:color="auto"/>
        <w:bottom w:val="none" w:sz="0" w:space="0" w:color="auto"/>
        <w:right w:val="none" w:sz="0" w:space="0" w:color="auto"/>
      </w:divBdr>
    </w:div>
    <w:div w:id="506483429">
      <w:bodyDiv w:val="1"/>
      <w:marLeft w:val="0"/>
      <w:marRight w:val="0"/>
      <w:marTop w:val="0"/>
      <w:marBottom w:val="0"/>
      <w:divBdr>
        <w:top w:val="none" w:sz="0" w:space="0" w:color="auto"/>
        <w:left w:val="none" w:sz="0" w:space="0" w:color="auto"/>
        <w:bottom w:val="none" w:sz="0" w:space="0" w:color="auto"/>
        <w:right w:val="none" w:sz="0" w:space="0" w:color="auto"/>
      </w:divBdr>
    </w:div>
    <w:div w:id="508982103">
      <w:bodyDiv w:val="1"/>
      <w:marLeft w:val="0"/>
      <w:marRight w:val="0"/>
      <w:marTop w:val="0"/>
      <w:marBottom w:val="0"/>
      <w:divBdr>
        <w:top w:val="none" w:sz="0" w:space="0" w:color="auto"/>
        <w:left w:val="none" w:sz="0" w:space="0" w:color="auto"/>
        <w:bottom w:val="none" w:sz="0" w:space="0" w:color="auto"/>
        <w:right w:val="none" w:sz="0" w:space="0" w:color="auto"/>
      </w:divBdr>
    </w:div>
    <w:div w:id="509105445">
      <w:bodyDiv w:val="1"/>
      <w:marLeft w:val="0"/>
      <w:marRight w:val="0"/>
      <w:marTop w:val="0"/>
      <w:marBottom w:val="0"/>
      <w:divBdr>
        <w:top w:val="none" w:sz="0" w:space="0" w:color="auto"/>
        <w:left w:val="none" w:sz="0" w:space="0" w:color="auto"/>
        <w:bottom w:val="none" w:sz="0" w:space="0" w:color="auto"/>
        <w:right w:val="none" w:sz="0" w:space="0" w:color="auto"/>
      </w:divBdr>
    </w:div>
    <w:div w:id="515114274">
      <w:bodyDiv w:val="1"/>
      <w:marLeft w:val="0"/>
      <w:marRight w:val="0"/>
      <w:marTop w:val="0"/>
      <w:marBottom w:val="0"/>
      <w:divBdr>
        <w:top w:val="none" w:sz="0" w:space="0" w:color="auto"/>
        <w:left w:val="none" w:sz="0" w:space="0" w:color="auto"/>
        <w:bottom w:val="none" w:sz="0" w:space="0" w:color="auto"/>
        <w:right w:val="none" w:sz="0" w:space="0" w:color="auto"/>
      </w:divBdr>
    </w:div>
    <w:div w:id="517888821">
      <w:bodyDiv w:val="1"/>
      <w:marLeft w:val="0"/>
      <w:marRight w:val="0"/>
      <w:marTop w:val="0"/>
      <w:marBottom w:val="0"/>
      <w:divBdr>
        <w:top w:val="none" w:sz="0" w:space="0" w:color="auto"/>
        <w:left w:val="none" w:sz="0" w:space="0" w:color="auto"/>
        <w:bottom w:val="none" w:sz="0" w:space="0" w:color="auto"/>
        <w:right w:val="none" w:sz="0" w:space="0" w:color="auto"/>
      </w:divBdr>
    </w:div>
    <w:div w:id="521360623">
      <w:bodyDiv w:val="1"/>
      <w:marLeft w:val="0"/>
      <w:marRight w:val="0"/>
      <w:marTop w:val="0"/>
      <w:marBottom w:val="0"/>
      <w:divBdr>
        <w:top w:val="none" w:sz="0" w:space="0" w:color="auto"/>
        <w:left w:val="none" w:sz="0" w:space="0" w:color="auto"/>
        <w:bottom w:val="none" w:sz="0" w:space="0" w:color="auto"/>
        <w:right w:val="none" w:sz="0" w:space="0" w:color="auto"/>
      </w:divBdr>
    </w:div>
    <w:div w:id="528299738">
      <w:bodyDiv w:val="1"/>
      <w:marLeft w:val="0"/>
      <w:marRight w:val="0"/>
      <w:marTop w:val="0"/>
      <w:marBottom w:val="0"/>
      <w:divBdr>
        <w:top w:val="none" w:sz="0" w:space="0" w:color="auto"/>
        <w:left w:val="none" w:sz="0" w:space="0" w:color="auto"/>
        <w:bottom w:val="none" w:sz="0" w:space="0" w:color="auto"/>
        <w:right w:val="none" w:sz="0" w:space="0" w:color="auto"/>
      </w:divBdr>
    </w:div>
    <w:div w:id="536040644">
      <w:bodyDiv w:val="1"/>
      <w:marLeft w:val="0"/>
      <w:marRight w:val="0"/>
      <w:marTop w:val="0"/>
      <w:marBottom w:val="0"/>
      <w:divBdr>
        <w:top w:val="none" w:sz="0" w:space="0" w:color="auto"/>
        <w:left w:val="none" w:sz="0" w:space="0" w:color="auto"/>
        <w:bottom w:val="none" w:sz="0" w:space="0" w:color="auto"/>
        <w:right w:val="none" w:sz="0" w:space="0" w:color="auto"/>
      </w:divBdr>
    </w:div>
    <w:div w:id="537354815">
      <w:bodyDiv w:val="1"/>
      <w:marLeft w:val="0"/>
      <w:marRight w:val="0"/>
      <w:marTop w:val="0"/>
      <w:marBottom w:val="0"/>
      <w:divBdr>
        <w:top w:val="none" w:sz="0" w:space="0" w:color="auto"/>
        <w:left w:val="none" w:sz="0" w:space="0" w:color="auto"/>
        <w:bottom w:val="none" w:sz="0" w:space="0" w:color="auto"/>
        <w:right w:val="none" w:sz="0" w:space="0" w:color="auto"/>
      </w:divBdr>
    </w:div>
    <w:div w:id="539558139">
      <w:bodyDiv w:val="1"/>
      <w:marLeft w:val="0"/>
      <w:marRight w:val="0"/>
      <w:marTop w:val="0"/>
      <w:marBottom w:val="0"/>
      <w:divBdr>
        <w:top w:val="none" w:sz="0" w:space="0" w:color="auto"/>
        <w:left w:val="none" w:sz="0" w:space="0" w:color="auto"/>
        <w:bottom w:val="none" w:sz="0" w:space="0" w:color="auto"/>
        <w:right w:val="none" w:sz="0" w:space="0" w:color="auto"/>
      </w:divBdr>
      <w:divsChild>
        <w:div w:id="958149942">
          <w:marLeft w:val="0"/>
          <w:marRight w:val="0"/>
          <w:marTop w:val="0"/>
          <w:marBottom w:val="0"/>
          <w:divBdr>
            <w:top w:val="none" w:sz="0" w:space="0" w:color="auto"/>
            <w:left w:val="none" w:sz="0" w:space="0" w:color="auto"/>
            <w:bottom w:val="none" w:sz="0" w:space="0" w:color="auto"/>
            <w:right w:val="none" w:sz="0" w:space="0" w:color="auto"/>
          </w:divBdr>
        </w:div>
        <w:div w:id="1859194787">
          <w:marLeft w:val="0"/>
          <w:marRight w:val="0"/>
          <w:marTop w:val="0"/>
          <w:marBottom w:val="0"/>
          <w:divBdr>
            <w:top w:val="none" w:sz="0" w:space="0" w:color="auto"/>
            <w:left w:val="none" w:sz="0" w:space="0" w:color="auto"/>
            <w:bottom w:val="none" w:sz="0" w:space="0" w:color="auto"/>
            <w:right w:val="none" w:sz="0" w:space="0" w:color="auto"/>
          </w:divBdr>
        </w:div>
        <w:div w:id="1852257712">
          <w:marLeft w:val="0"/>
          <w:marRight w:val="0"/>
          <w:marTop w:val="0"/>
          <w:marBottom w:val="0"/>
          <w:divBdr>
            <w:top w:val="none" w:sz="0" w:space="0" w:color="auto"/>
            <w:left w:val="none" w:sz="0" w:space="0" w:color="auto"/>
            <w:bottom w:val="none" w:sz="0" w:space="0" w:color="auto"/>
            <w:right w:val="none" w:sz="0" w:space="0" w:color="auto"/>
          </w:divBdr>
        </w:div>
        <w:div w:id="955605073">
          <w:marLeft w:val="0"/>
          <w:marRight w:val="0"/>
          <w:marTop w:val="0"/>
          <w:marBottom w:val="0"/>
          <w:divBdr>
            <w:top w:val="none" w:sz="0" w:space="0" w:color="auto"/>
            <w:left w:val="none" w:sz="0" w:space="0" w:color="auto"/>
            <w:bottom w:val="none" w:sz="0" w:space="0" w:color="auto"/>
            <w:right w:val="none" w:sz="0" w:space="0" w:color="auto"/>
          </w:divBdr>
        </w:div>
      </w:divsChild>
    </w:div>
    <w:div w:id="539824414">
      <w:bodyDiv w:val="1"/>
      <w:marLeft w:val="0"/>
      <w:marRight w:val="0"/>
      <w:marTop w:val="0"/>
      <w:marBottom w:val="0"/>
      <w:divBdr>
        <w:top w:val="none" w:sz="0" w:space="0" w:color="auto"/>
        <w:left w:val="none" w:sz="0" w:space="0" w:color="auto"/>
        <w:bottom w:val="none" w:sz="0" w:space="0" w:color="auto"/>
        <w:right w:val="none" w:sz="0" w:space="0" w:color="auto"/>
      </w:divBdr>
    </w:div>
    <w:div w:id="551963112">
      <w:bodyDiv w:val="1"/>
      <w:marLeft w:val="0"/>
      <w:marRight w:val="0"/>
      <w:marTop w:val="0"/>
      <w:marBottom w:val="0"/>
      <w:divBdr>
        <w:top w:val="none" w:sz="0" w:space="0" w:color="auto"/>
        <w:left w:val="none" w:sz="0" w:space="0" w:color="auto"/>
        <w:bottom w:val="none" w:sz="0" w:space="0" w:color="auto"/>
        <w:right w:val="none" w:sz="0" w:space="0" w:color="auto"/>
      </w:divBdr>
      <w:divsChild>
        <w:div w:id="372118937">
          <w:marLeft w:val="547"/>
          <w:marRight w:val="0"/>
          <w:marTop w:val="96"/>
          <w:marBottom w:val="0"/>
          <w:divBdr>
            <w:top w:val="none" w:sz="0" w:space="0" w:color="auto"/>
            <w:left w:val="none" w:sz="0" w:space="0" w:color="auto"/>
            <w:bottom w:val="none" w:sz="0" w:space="0" w:color="auto"/>
            <w:right w:val="none" w:sz="0" w:space="0" w:color="auto"/>
          </w:divBdr>
        </w:div>
      </w:divsChild>
    </w:div>
    <w:div w:id="552497570">
      <w:bodyDiv w:val="1"/>
      <w:marLeft w:val="0"/>
      <w:marRight w:val="0"/>
      <w:marTop w:val="0"/>
      <w:marBottom w:val="0"/>
      <w:divBdr>
        <w:top w:val="none" w:sz="0" w:space="0" w:color="auto"/>
        <w:left w:val="none" w:sz="0" w:space="0" w:color="auto"/>
        <w:bottom w:val="none" w:sz="0" w:space="0" w:color="auto"/>
        <w:right w:val="none" w:sz="0" w:space="0" w:color="auto"/>
      </w:divBdr>
    </w:div>
    <w:div w:id="554590562">
      <w:bodyDiv w:val="1"/>
      <w:marLeft w:val="0"/>
      <w:marRight w:val="0"/>
      <w:marTop w:val="0"/>
      <w:marBottom w:val="0"/>
      <w:divBdr>
        <w:top w:val="none" w:sz="0" w:space="0" w:color="auto"/>
        <w:left w:val="none" w:sz="0" w:space="0" w:color="auto"/>
        <w:bottom w:val="none" w:sz="0" w:space="0" w:color="auto"/>
        <w:right w:val="none" w:sz="0" w:space="0" w:color="auto"/>
      </w:divBdr>
    </w:div>
    <w:div w:id="558319742">
      <w:bodyDiv w:val="1"/>
      <w:marLeft w:val="0"/>
      <w:marRight w:val="0"/>
      <w:marTop w:val="0"/>
      <w:marBottom w:val="0"/>
      <w:divBdr>
        <w:top w:val="none" w:sz="0" w:space="0" w:color="auto"/>
        <w:left w:val="none" w:sz="0" w:space="0" w:color="auto"/>
        <w:bottom w:val="none" w:sz="0" w:space="0" w:color="auto"/>
        <w:right w:val="none" w:sz="0" w:space="0" w:color="auto"/>
      </w:divBdr>
    </w:div>
    <w:div w:id="568426044">
      <w:bodyDiv w:val="1"/>
      <w:marLeft w:val="0"/>
      <w:marRight w:val="0"/>
      <w:marTop w:val="0"/>
      <w:marBottom w:val="0"/>
      <w:divBdr>
        <w:top w:val="none" w:sz="0" w:space="0" w:color="auto"/>
        <w:left w:val="none" w:sz="0" w:space="0" w:color="auto"/>
        <w:bottom w:val="none" w:sz="0" w:space="0" w:color="auto"/>
        <w:right w:val="none" w:sz="0" w:space="0" w:color="auto"/>
      </w:divBdr>
    </w:div>
    <w:div w:id="588000222">
      <w:bodyDiv w:val="1"/>
      <w:marLeft w:val="0"/>
      <w:marRight w:val="0"/>
      <w:marTop w:val="0"/>
      <w:marBottom w:val="0"/>
      <w:divBdr>
        <w:top w:val="none" w:sz="0" w:space="0" w:color="auto"/>
        <w:left w:val="none" w:sz="0" w:space="0" w:color="auto"/>
        <w:bottom w:val="none" w:sz="0" w:space="0" w:color="auto"/>
        <w:right w:val="none" w:sz="0" w:space="0" w:color="auto"/>
      </w:divBdr>
    </w:div>
    <w:div w:id="594482020">
      <w:bodyDiv w:val="1"/>
      <w:marLeft w:val="0"/>
      <w:marRight w:val="0"/>
      <w:marTop w:val="0"/>
      <w:marBottom w:val="0"/>
      <w:divBdr>
        <w:top w:val="none" w:sz="0" w:space="0" w:color="auto"/>
        <w:left w:val="none" w:sz="0" w:space="0" w:color="auto"/>
        <w:bottom w:val="none" w:sz="0" w:space="0" w:color="auto"/>
        <w:right w:val="none" w:sz="0" w:space="0" w:color="auto"/>
      </w:divBdr>
    </w:div>
    <w:div w:id="601186130">
      <w:bodyDiv w:val="1"/>
      <w:marLeft w:val="0"/>
      <w:marRight w:val="0"/>
      <w:marTop w:val="0"/>
      <w:marBottom w:val="0"/>
      <w:divBdr>
        <w:top w:val="none" w:sz="0" w:space="0" w:color="auto"/>
        <w:left w:val="none" w:sz="0" w:space="0" w:color="auto"/>
        <w:bottom w:val="none" w:sz="0" w:space="0" w:color="auto"/>
        <w:right w:val="none" w:sz="0" w:space="0" w:color="auto"/>
      </w:divBdr>
    </w:div>
    <w:div w:id="604968673">
      <w:bodyDiv w:val="1"/>
      <w:marLeft w:val="0"/>
      <w:marRight w:val="0"/>
      <w:marTop w:val="0"/>
      <w:marBottom w:val="0"/>
      <w:divBdr>
        <w:top w:val="none" w:sz="0" w:space="0" w:color="auto"/>
        <w:left w:val="none" w:sz="0" w:space="0" w:color="auto"/>
        <w:bottom w:val="none" w:sz="0" w:space="0" w:color="auto"/>
        <w:right w:val="none" w:sz="0" w:space="0" w:color="auto"/>
      </w:divBdr>
    </w:div>
    <w:div w:id="606085180">
      <w:bodyDiv w:val="1"/>
      <w:marLeft w:val="0"/>
      <w:marRight w:val="0"/>
      <w:marTop w:val="0"/>
      <w:marBottom w:val="0"/>
      <w:divBdr>
        <w:top w:val="none" w:sz="0" w:space="0" w:color="auto"/>
        <w:left w:val="none" w:sz="0" w:space="0" w:color="auto"/>
        <w:bottom w:val="none" w:sz="0" w:space="0" w:color="auto"/>
        <w:right w:val="none" w:sz="0" w:space="0" w:color="auto"/>
      </w:divBdr>
    </w:div>
    <w:div w:id="617101655">
      <w:bodyDiv w:val="1"/>
      <w:marLeft w:val="0"/>
      <w:marRight w:val="0"/>
      <w:marTop w:val="0"/>
      <w:marBottom w:val="0"/>
      <w:divBdr>
        <w:top w:val="none" w:sz="0" w:space="0" w:color="auto"/>
        <w:left w:val="none" w:sz="0" w:space="0" w:color="auto"/>
        <w:bottom w:val="none" w:sz="0" w:space="0" w:color="auto"/>
        <w:right w:val="none" w:sz="0" w:space="0" w:color="auto"/>
      </w:divBdr>
    </w:div>
    <w:div w:id="622158379">
      <w:bodyDiv w:val="1"/>
      <w:marLeft w:val="0"/>
      <w:marRight w:val="0"/>
      <w:marTop w:val="0"/>
      <w:marBottom w:val="0"/>
      <w:divBdr>
        <w:top w:val="none" w:sz="0" w:space="0" w:color="auto"/>
        <w:left w:val="none" w:sz="0" w:space="0" w:color="auto"/>
        <w:bottom w:val="none" w:sz="0" w:space="0" w:color="auto"/>
        <w:right w:val="none" w:sz="0" w:space="0" w:color="auto"/>
      </w:divBdr>
    </w:div>
    <w:div w:id="623922596">
      <w:bodyDiv w:val="1"/>
      <w:marLeft w:val="0"/>
      <w:marRight w:val="0"/>
      <w:marTop w:val="0"/>
      <w:marBottom w:val="0"/>
      <w:divBdr>
        <w:top w:val="none" w:sz="0" w:space="0" w:color="auto"/>
        <w:left w:val="none" w:sz="0" w:space="0" w:color="auto"/>
        <w:bottom w:val="none" w:sz="0" w:space="0" w:color="auto"/>
        <w:right w:val="none" w:sz="0" w:space="0" w:color="auto"/>
      </w:divBdr>
    </w:div>
    <w:div w:id="630018463">
      <w:bodyDiv w:val="1"/>
      <w:marLeft w:val="0"/>
      <w:marRight w:val="0"/>
      <w:marTop w:val="0"/>
      <w:marBottom w:val="0"/>
      <w:divBdr>
        <w:top w:val="none" w:sz="0" w:space="0" w:color="auto"/>
        <w:left w:val="none" w:sz="0" w:space="0" w:color="auto"/>
        <w:bottom w:val="none" w:sz="0" w:space="0" w:color="auto"/>
        <w:right w:val="none" w:sz="0" w:space="0" w:color="auto"/>
      </w:divBdr>
    </w:div>
    <w:div w:id="632254250">
      <w:bodyDiv w:val="1"/>
      <w:marLeft w:val="0"/>
      <w:marRight w:val="0"/>
      <w:marTop w:val="0"/>
      <w:marBottom w:val="0"/>
      <w:divBdr>
        <w:top w:val="none" w:sz="0" w:space="0" w:color="auto"/>
        <w:left w:val="none" w:sz="0" w:space="0" w:color="auto"/>
        <w:bottom w:val="none" w:sz="0" w:space="0" w:color="auto"/>
        <w:right w:val="none" w:sz="0" w:space="0" w:color="auto"/>
      </w:divBdr>
    </w:div>
    <w:div w:id="633951999">
      <w:bodyDiv w:val="1"/>
      <w:marLeft w:val="0"/>
      <w:marRight w:val="0"/>
      <w:marTop w:val="0"/>
      <w:marBottom w:val="0"/>
      <w:divBdr>
        <w:top w:val="none" w:sz="0" w:space="0" w:color="auto"/>
        <w:left w:val="none" w:sz="0" w:space="0" w:color="auto"/>
        <w:bottom w:val="none" w:sz="0" w:space="0" w:color="auto"/>
        <w:right w:val="none" w:sz="0" w:space="0" w:color="auto"/>
      </w:divBdr>
    </w:div>
    <w:div w:id="636954627">
      <w:bodyDiv w:val="1"/>
      <w:marLeft w:val="0"/>
      <w:marRight w:val="0"/>
      <w:marTop w:val="0"/>
      <w:marBottom w:val="0"/>
      <w:divBdr>
        <w:top w:val="none" w:sz="0" w:space="0" w:color="auto"/>
        <w:left w:val="none" w:sz="0" w:space="0" w:color="auto"/>
        <w:bottom w:val="none" w:sz="0" w:space="0" w:color="auto"/>
        <w:right w:val="none" w:sz="0" w:space="0" w:color="auto"/>
      </w:divBdr>
    </w:div>
    <w:div w:id="642465912">
      <w:bodyDiv w:val="1"/>
      <w:marLeft w:val="0"/>
      <w:marRight w:val="0"/>
      <w:marTop w:val="0"/>
      <w:marBottom w:val="0"/>
      <w:divBdr>
        <w:top w:val="none" w:sz="0" w:space="0" w:color="auto"/>
        <w:left w:val="none" w:sz="0" w:space="0" w:color="auto"/>
        <w:bottom w:val="none" w:sz="0" w:space="0" w:color="auto"/>
        <w:right w:val="none" w:sz="0" w:space="0" w:color="auto"/>
      </w:divBdr>
    </w:div>
    <w:div w:id="643851617">
      <w:bodyDiv w:val="1"/>
      <w:marLeft w:val="0"/>
      <w:marRight w:val="0"/>
      <w:marTop w:val="0"/>
      <w:marBottom w:val="0"/>
      <w:divBdr>
        <w:top w:val="none" w:sz="0" w:space="0" w:color="auto"/>
        <w:left w:val="none" w:sz="0" w:space="0" w:color="auto"/>
        <w:bottom w:val="none" w:sz="0" w:space="0" w:color="auto"/>
        <w:right w:val="none" w:sz="0" w:space="0" w:color="auto"/>
      </w:divBdr>
    </w:div>
    <w:div w:id="650986804">
      <w:bodyDiv w:val="1"/>
      <w:marLeft w:val="0"/>
      <w:marRight w:val="0"/>
      <w:marTop w:val="0"/>
      <w:marBottom w:val="0"/>
      <w:divBdr>
        <w:top w:val="none" w:sz="0" w:space="0" w:color="auto"/>
        <w:left w:val="none" w:sz="0" w:space="0" w:color="auto"/>
        <w:bottom w:val="none" w:sz="0" w:space="0" w:color="auto"/>
        <w:right w:val="none" w:sz="0" w:space="0" w:color="auto"/>
      </w:divBdr>
    </w:div>
    <w:div w:id="662121876">
      <w:bodyDiv w:val="1"/>
      <w:marLeft w:val="0"/>
      <w:marRight w:val="0"/>
      <w:marTop w:val="0"/>
      <w:marBottom w:val="0"/>
      <w:divBdr>
        <w:top w:val="none" w:sz="0" w:space="0" w:color="auto"/>
        <w:left w:val="none" w:sz="0" w:space="0" w:color="auto"/>
        <w:bottom w:val="none" w:sz="0" w:space="0" w:color="auto"/>
        <w:right w:val="none" w:sz="0" w:space="0" w:color="auto"/>
      </w:divBdr>
      <w:divsChild>
        <w:div w:id="911155437">
          <w:marLeft w:val="547"/>
          <w:marRight w:val="0"/>
          <w:marTop w:val="96"/>
          <w:marBottom w:val="0"/>
          <w:divBdr>
            <w:top w:val="none" w:sz="0" w:space="0" w:color="auto"/>
            <w:left w:val="none" w:sz="0" w:space="0" w:color="auto"/>
            <w:bottom w:val="none" w:sz="0" w:space="0" w:color="auto"/>
            <w:right w:val="none" w:sz="0" w:space="0" w:color="auto"/>
          </w:divBdr>
        </w:div>
      </w:divsChild>
    </w:div>
    <w:div w:id="667632971">
      <w:bodyDiv w:val="1"/>
      <w:marLeft w:val="0"/>
      <w:marRight w:val="0"/>
      <w:marTop w:val="0"/>
      <w:marBottom w:val="0"/>
      <w:divBdr>
        <w:top w:val="none" w:sz="0" w:space="0" w:color="auto"/>
        <w:left w:val="none" w:sz="0" w:space="0" w:color="auto"/>
        <w:bottom w:val="none" w:sz="0" w:space="0" w:color="auto"/>
        <w:right w:val="none" w:sz="0" w:space="0" w:color="auto"/>
      </w:divBdr>
    </w:div>
    <w:div w:id="672103377">
      <w:bodyDiv w:val="1"/>
      <w:marLeft w:val="0"/>
      <w:marRight w:val="0"/>
      <w:marTop w:val="0"/>
      <w:marBottom w:val="0"/>
      <w:divBdr>
        <w:top w:val="none" w:sz="0" w:space="0" w:color="auto"/>
        <w:left w:val="none" w:sz="0" w:space="0" w:color="auto"/>
        <w:bottom w:val="none" w:sz="0" w:space="0" w:color="auto"/>
        <w:right w:val="none" w:sz="0" w:space="0" w:color="auto"/>
      </w:divBdr>
    </w:div>
    <w:div w:id="672144132">
      <w:bodyDiv w:val="1"/>
      <w:marLeft w:val="0"/>
      <w:marRight w:val="0"/>
      <w:marTop w:val="0"/>
      <w:marBottom w:val="0"/>
      <w:divBdr>
        <w:top w:val="none" w:sz="0" w:space="0" w:color="auto"/>
        <w:left w:val="none" w:sz="0" w:space="0" w:color="auto"/>
        <w:bottom w:val="none" w:sz="0" w:space="0" w:color="auto"/>
        <w:right w:val="none" w:sz="0" w:space="0" w:color="auto"/>
      </w:divBdr>
    </w:div>
    <w:div w:id="675769322">
      <w:bodyDiv w:val="1"/>
      <w:marLeft w:val="0"/>
      <w:marRight w:val="0"/>
      <w:marTop w:val="0"/>
      <w:marBottom w:val="0"/>
      <w:divBdr>
        <w:top w:val="none" w:sz="0" w:space="0" w:color="auto"/>
        <w:left w:val="none" w:sz="0" w:space="0" w:color="auto"/>
        <w:bottom w:val="none" w:sz="0" w:space="0" w:color="auto"/>
        <w:right w:val="none" w:sz="0" w:space="0" w:color="auto"/>
      </w:divBdr>
    </w:div>
    <w:div w:id="679239962">
      <w:bodyDiv w:val="1"/>
      <w:marLeft w:val="0"/>
      <w:marRight w:val="0"/>
      <w:marTop w:val="0"/>
      <w:marBottom w:val="0"/>
      <w:divBdr>
        <w:top w:val="none" w:sz="0" w:space="0" w:color="auto"/>
        <w:left w:val="none" w:sz="0" w:space="0" w:color="auto"/>
        <w:bottom w:val="none" w:sz="0" w:space="0" w:color="auto"/>
        <w:right w:val="none" w:sz="0" w:space="0" w:color="auto"/>
      </w:divBdr>
    </w:div>
    <w:div w:id="696468820">
      <w:bodyDiv w:val="1"/>
      <w:marLeft w:val="0"/>
      <w:marRight w:val="0"/>
      <w:marTop w:val="0"/>
      <w:marBottom w:val="0"/>
      <w:divBdr>
        <w:top w:val="none" w:sz="0" w:space="0" w:color="auto"/>
        <w:left w:val="none" w:sz="0" w:space="0" w:color="auto"/>
        <w:bottom w:val="none" w:sz="0" w:space="0" w:color="auto"/>
        <w:right w:val="none" w:sz="0" w:space="0" w:color="auto"/>
      </w:divBdr>
    </w:div>
    <w:div w:id="705642154">
      <w:bodyDiv w:val="1"/>
      <w:marLeft w:val="0"/>
      <w:marRight w:val="0"/>
      <w:marTop w:val="0"/>
      <w:marBottom w:val="0"/>
      <w:divBdr>
        <w:top w:val="none" w:sz="0" w:space="0" w:color="auto"/>
        <w:left w:val="none" w:sz="0" w:space="0" w:color="auto"/>
        <w:bottom w:val="none" w:sz="0" w:space="0" w:color="auto"/>
        <w:right w:val="none" w:sz="0" w:space="0" w:color="auto"/>
      </w:divBdr>
    </w:div>
    <w:div w:id="705911823">
      <w:bodyDiv w:val="1"/>
      <w:marLeft w:val="0"/>
      <w:marRight w:val="0"/>
      <w:marTop w:val="0"/>
      <w:marBottom w:val="0"/>
      <w:divBdr>
        <w:top w:val="none" w:sz="0" w:space="0" w:color="auto"/>
        <w:left w:val="none" w:sz="0" w:space="0" w:color="auto"/>
        <w:bottom w:val="none" w:sz="0" w:space="0" w:color="auto"/>
        <w:right w:val="none" w:sz="0" w:space="0" w:color="auto"/>
      </w:divBdr>
      <w:divsChild>
        <w:div w:id="1683780278">
          <w:marLeft w:val="0"/>
          <w:marRight w:val="0"/>
          <w:marTop w:val="0"/>
          <w:marBottom w:val="0"/>
          <w:divBdr>
            <w:top w:val="none" w:sz="0" w:space="0" w:color="auto"/>
            <w:left w:val="none" w:sz="0" w:space="0" w:color="auto"/>
            <w:bottom w:val="none" w:sz="0" w:space="0" w:color="auto"/>
            <w:right w:val="none" w:sz="0" w:space="0" w:color="auto"/>
          </w:divBdr>
        </w:div>
        <w:div w:id="1214925779">
          <w:marLeft w:val="0"/>
          <w:marRight w:val="0"/>
          <w:marTop w:val="0"/>
          <w:marBottom w:val="0"/>
          <w:divBdr>
            <w:top w:val="none" w:sz="0" w:space="0" w:color="auto"/>
            <w:left w:val="none" w:sz="0" w:space="0" w:color="auto"/>
            <w:bottom w:val="none" w:sz="0" w:space="0" w:color="auto"/>
            <w:right w:val="none" w:sz="0" w:space="0" w:color="auto"/>
          </w:divBdr>
        </w:div>
        <w:div w:id="604264352">
          <w:marLeft w:val="0"/>
          <w:marRight w:val="0"/>
          <w:marTop w:val="0"/>
          <w:marBottom w:val="0"/>
          <w:divBdr>
            <w:top w:val="none" w:sz="0" w:space="0" w:color="auto"/>
            <w:left w:val="none" w:sz="0" w:space="0" w:color="auto"/>
            <w:bottom w:val="none" w:sz="0" w:space="0" w:color="auto"/>
            <w:right w:val="none" w:sz="0" w:space="0" w:color="auto"/>
          </w:divBdr>
          <w:divsChild>
            <w:div w:id="1692797336">
              <w:marLeft w:val="0"/>
              <w:marRight w:val="0"/>
              <w:marTop w:val="30"/>
              <w:marBottom w:val="30"/>
              <w:divBdr>
                <w:top w:val="none" w:sz="0" w:space="0" w:color="auto"/>
                <w:left w:val="none" w:sz="0" w:space="0" w:color="auto"/>
                <w:bottom w:val="none" w:sz="0" w:space="0" w:color="auto"/>
                <w:right w:val="none" w:sz="0" w:space="0" w:color="auto"/>
              </w:divBdr>
              <w:divsChild>
                <w:div w:id="1939482057">
                  <w:marLeft w:val="0"/>
                  <w:marRight w:val="0"/>
                  <w:marTop w:val="0"/>
                  <w:marBottom w:val="0"/>
                  <w:divBdr>
                    <w:top w:val="none" w:sz="0" w:space="0" w:color="auto"/>
                    <w:left w:val="none" w:sz="0" w:space="0" w:color="auto"/>
                    <w:bottom w:val="none" w:sz="0" w:space="0" w:color="auto"/>
                    <w:right w:val="none" w:sz="0" w:space="0" w:color="auto"/>
                  </w:divBdr>
                  <w:divsChild>
                    <w:div w:id="2004549855">
                      <w:marLeft w:val="0"/>
                      <w:marRight w:val="0"/>
                      <w:marTop w:val="0"/>
                      <w:marBottom w:val="0"/>
                      <w:divBdr>
                        <w:top w:val="none" w:sz="0" w:space="0" w:color="auto"/>
                        <w:left w:val="none" w:sz="0" w:space="0" w:color="auto"/>
                        <w:bottom w:val="none" w:sz="0" w:space="0" w:color="auto"/>
                        <w:right w:val="none" w:sz="0" w:space="0" w:color="auto"/>
                      </w:divBdr>
                    </w:div>
                  </w:divsChild>
                </w:div>
                <w:div w:id="1281565753">
                  <w:marLeft w:val="0"/>
                  <w:marRight w:val="0"/>
                  <w:marTop w:val="0"/>
                  <w:marBottom w:val="0"/>
                  <w:divBdr>
                    <w:top w:val="none" w:sz="0" w:space="0" w:color="auto"/>
                    <w:left w:val="none" w:sz="0" w:space="0" w:color="auto"/>
                    <w:bottom w:val="none" w:sz="0" w:space="0" w:color="auto"/>
                    <w:right w:val="none" w:sz="0" w:space="0" w:color="auto"/>
                  </w:divBdr>
                  <w:divsChild>
                    <w:div w:id="411582360">
                      <w:marLeft w:val="0"/>
                      <w:marRight w:val="0"/>
                      <w:marTop w:val="0"/>
                      <w:marBottom w:val="0"/>
                      <w:divBdr>
                        <w:top w:val="none" w:sz="0" w:space="0" w:color="auto"/>
                        <w:left w:val="none" w:sz="0" w:space="0" w:color="auto"/>
                        <w:bottom w:val="none" w:sz="0" w:space="0" w:color="auto"/>
                        <w:right w:val="none" w:sz="0" w:space="0" w:color="auto"/>
                      </w:divBdr>
                    </w:div>
                  </w:divsChild>
                </w:div>
                <w:div w:id="752045898">
                  <w:marLeft w:val="0"/>
                  <w:marRight w:val="0"/>
                  <w:marTop w:val="0"/>
                  <w:marBottom w:val="0"/>
                  <w:divBdr>
                    <w:top w:val="none" w:sz="0" w:space="0" w:color="auto"/>
                    <w:left w:val="none" w:sz="0" w:space="0" w:color="auto"/>
                    <w:bottom w:val="none" w:sz="0" w:space="0" w:color="auto"/>
                    <w:right w:val="none" w:sz="0" w:space="0" w:color="auto"/>
                  </w:divBdr>
                  <w:divsChild>
                    <w:div w:id="1004555147">
                      <w:marLeft w:val="0"/>
                      <w:marRight w:val="0"/>
                      <w:marTop w:val="0"/>
                      <w:marBottom w:val="0"/>
                      <w:divBdr>
                        <w:top w:val="none" w:sz="0" w:space="0" w:color="auto"/>
                        <w:left w:val="none" w:sz="0" w:space="0" w:color="auto"/>
                        <w:bottom w:val="none" w:sz="0" w:space="0" w:color="auto"/>
                        <w:right w:val="none" w:sz="0" w:space="0" w:color="auto"/>
                      </w:divBdr>
                    </w:div>
                    <w:div w:id="754278707">
                      <w:marLeft w:val="0"/>
                      <w:marRight w:val="0"/>
                      <w:marTop w:val="0"/>
                      <w:marBottom w:val="0"/>
                      <w:divBdr>
                        <w:top w:val="none" w:sz="0" w:space="0" w:color="auto"/>
                        <w:left w:val="none" w:sz="0" w:space="0" w:color="auto"/>
                        <w:bottom w:val="none" w:sz="0" w:space="0" w:color="auto"/>
                        <w:right w:val="none" w:sz="0" w:space="0" w:color="auto"/>
                      </w:divBdr>
                    </w:div>
                    <w:div w:id="2078169145">
                      <w:marLeft w:val="0"/>
                      <w:marRight w:val="0"/>
                      <w:marTop w:val="0"/>
                      <w:marBottom w:val="0"/>
                      <w:divBdr>
                        <w:top w:val="none" w:sz="0" w:space="0" w:color="auto"/>
                        <w:left w:val="none" w:sz="0" w:space="0" w:color="auto"/>
                        <w:bottom w:val="none" w:sz="0" w:space="0" w:color="auto"/>
                        <w:right w:val="none" w:sz="0" w:space="0" w:color="auto"/>
                      </w:divBdr>
                    </w:div>
                    <w:div w:id="458114834">
                      <w:marLeft w:val="0"/>
                      <w:marRight w:val="0"/>
                      <w:marTop w:val="0"/>
                      <w:marBottom w:val="0"/>
                      <w:divBdr>
                        <w:top w:val="none" w:sz="0" w:space="0" w:color="auto"/>
                        <w:left w:val="none" w:sz="0" w:space="0" w:color="auto"/>
                        <w:bottom w:val="none" w:sz="0" w:space="0" w:color="auto"/>
                        <w:right w:val="none" w:sz="0" w:space="0" w:color="auto"/>
                      </w:divBdr>
                    </w:div>
                  </w:divsChild>
                </w:div>
                <w:div w:id="1866554210">
                  <w:marLeft w:val="0"/>
                  <w:marRight w:val="0"/>
                  <w:marTop w:val="0"/>
                  <w:marBottom w:val="0"/>
                  <w:divBdr>
                    <w:top w:val="none" w:sz="0" w:space="0" w:color="auto"/>
                    <w:left w:val="none" w:sz="0" w:space="0" w:color="auto"/>
                    <w:bottom w:val="none" w:sz="0" w:space="0" w:color="auto"/>
                    <w:right w:val="none" w:sz="0" w:space="0" w:color="auto"/>
                  </w:divBdr>
                  <w:divsChild>
                    <w:div w:id="2051108389">
                      <w:marLeft w:val="0"/>
                      <w:marRight w:val="0"/>
                      <w:marTop w:val="0"/>
                      <w:marBottom w:val="0"/>
                      <w:divBdr>
                        <w:top w:val="none" w:sz="0" w:space="0" w:color="auto"/>
                        <w:left w:val="none" w:sz="0" w:space="0" w:color="auto"/>
                        <w:bottom w:val="none" w:sz="0" w:space="0" w:color="auto"/>
                        <w:right w:val="none" w:sz="0" w:space="0" w:color="auto"/>
                      </w:divBdr>
                    </w:div>
                    <w:div w:id="860513485">
                      <w:marLeft w:val="0"/>
                      <w:marRight w:val="0"/>
                      <w:marTop w:val="0"/>
                      <w:marBottom w:val="0"/>
                      <w:divBdr>
                        <w:top w:val="none" w:sz="0" w:space="0" w:color="auto"/>
                        <w:left w:val="none" w:sz="0" w:space="0" w:color="auto"/>
                        <w:bottom w:val="none" w:sz="0" w:space="0" w:color="auto"/>
                        <w:right w:val="none" w:sz="0" w:space="0" w:color="auto"/>
                      </w:divBdr>
                    </w:div>
                    <w:div w:id="1133403415">
                      <w:marLeft w:val="0"/>
                      <w:marRight w:val="0"/>
                      <w:marTop w:val="0"/>
                      <w:marBottom w:val="0"/>
                      <w:divBdr>
                        <w:top w:val="none" w:sz="0" w:space="0" w:color="auto"/>
                        <w:left w:val="none" w:sz="0" w:space="0" w:color="auto"/>
                        <w:bottom w:val="none" w:sz="0" w:space="0" w:color="auto"/>
                        <w:right w:val="none" w:sz="0" w:space="0" w:color="auto"/>
                      </w:divBdr>
                    </w:div>
                    <w:div w:id="1707289786">
                      <w:marLeft w:val="0"/>
                      <w:marRight w:val="0"/>
                      <w:marTop w:val="0"/>
                      <w:marBottom w:val="0"/>
                      <w:divBdr>
                        <w:top w:val="none" w:sz="0" w:space="0" w:color="auto"/>
                        <w:left w:val="none" w:sz="0" w:space="0" w:color="auto"/>
                        <w:bottom w:val="none" w:sz="0" w:space="0" w:color="auto"/>
                        <w:right w:val="none" w:sz="0" w:space="0" w:color="auto"/>
                      </w:divBdr>
                    </w:div>
                  </w:divsChild>
                </w:div>
                <w:div w:id="17783933">
                  <w:marLeft w:val="0"/>
                  <w:marRight w:val="0"/>
                  <w:marTop w:val="0"/>
                  <w:marBottom w:val="0"/>
                  <w:divBdr>
                    <w:top w:val="none" w:sz="0" w:space="0" w:color="auto"/>
                    <w:left w:val="none" w:sz="0" w:space="0" w:color="auto"/>
                    <w:bottom w:val="none" w:sz="0" w:space="0" w:color="auto"/>
                    <w:right w:val="none" w:sz="0" w:space="0" w:color="auto"/>
                  </w:divBdr>
                  <w:divsChild>
                    <w:div w:id="1708793788">
                      <w:marLeft w:val="0"/>
                      <w:marRight w:val="0"/>
                      <w:marTop w:val="0"/>
                      <w:marBottom w:val="0"/>
                      <w:divBdr>
                        <w:top w:val="none" w:sz="0" w:space="0" w:color="auto"/>
                        <w:left w:val="none" w:sz="0" w:space="0" w:color="auto"/>
                        <w:bottom w:val="none" w:sz="0" w:space="0" w:color="auto"/>
                        <w:right w:val="none" w:sz="0" w:space="0" w:color="auto"/>
                      </w:divBdr>
                    </w:div>
                  </w:divsChild>
                </w:div>
                <w:div w:id="440029742">
                  <w:marLeft w:val="0"/>
                  <w:marRight w:val="0"/>
                  <w:marTop w:val="0"/>
                  <w:marBottom w:val="0"/>
                  <w:divBdr>
                    <w:top w:val="none" w:sz="0" w:space="0" w:color="auto"/>
                    <w:left w:val="none" w:sz="0" w:space="0" w:color="auto"/>
                    <w:bottom w:val="none" w:sz="0" w:space="0" w:color="auto"/>
                    <w:right w:val="none" w:sz="0" w:space="0" w:color="auto"/>
                  </w:divBdr>
                  <w:divsChild>
                    <w:div w:id="1350256162">
                      <w:marLeft w:val="0"/>
                      <w:marRight w:val="0"/>
                      <w:marTop w:val="0"/>
                      <w:marBottom w:val="0"/>
                      <w:divBdr>
                        <w:top w:val="none" w:sz="0" w:space="0" w:color="auto"/>
                        <w:left w:val="none" w:sz="0" w:space="0" w:color="auto"/>
                        <w:bottom w:val="none" w:sz="0" w:space="0" w:color="auto"/>
                        <w:right w:val="none" w:sz="0" w:space="0" w:color="auto"/>
                      </w:divBdr>
                    </w:div>
                  </w:divsChild>
                </w:div>
                <w:div w:id="645938410">
                  <w:marLeft w:val="0"/>
                  <w:marRight w:val="0"/>
                  <w:marTop w:val="0"/>
                  <w:marBottom w:val="0"/>
                  <w:divBdr>
                    <w:top w:val="none" w:sz="0" w:space="0" w:color="auto"/>
                    <w:left w:val="none" w:sz="0" w:space="0" w:color="auto"/>
                    <w:bottom w:val="none" w:sz="0" w:space="0" w:color="auto"/>
                    <w:right w:val="none" w:sz="0" w:space="0" w:color="auto"/>
                  </w:divBdr>
                  <w:divsChild>
                    <w:div w:id="1391151878">
                      <w:marLeft w:val="0"/>
                      <w:marRight w:val="0"/>
                      <w:marTop w:val="0"/>
                      <w:marBottom w:val="0"/>
                      <w:divBdr>
                        <w:top w:val="none" w:sz="0" w:space="0" w:color="auto"/>
                        <w:left w:val="none" w:sz="0" w:space="0" w:color="auto"/>
                        <w:bottom w:val="none" w:sz="0" w:space="0" w:color="auto"/>
                        <w:right w:val="none" w:sz="0" w:space="0" w:color="auto"/>
                      </w:divBdr>
                    </w:div>
                    <w:div w:id="1340237571">
                      <w:marLeft w:val="0"/>
                      <w:marRight w:val="0"/>
                      <w:marTop w:val="0"/>
                      <w:marBottom w:val="0"/>
                      <w:divBdr>
                        <w:top w:val="none" w:sz="0" w:space="0" w:color="auto"/>
                        <w:left w:val="none" w:sz="0" w:space="0" w:color="auto"/>
                        <w:bottom w:val="none" w:sz="0" w:space="0" w:color="auto"/>
                        <w:right w:val="none" w:sz="0" w:space="0" w:color="auto"/>
                      </w:divBdr>
                    </w:div>
                    <w:div w:id="62873194">
                      <w:marLeft w:val="0"/>
                      <w:marRight w:val="0"/>
                      <w:marTop w:val="0"/>
                      <w:marBottom w:val="0"/>
                      <w:divBdr>
                        <w:top w:val="none" w:sz="0" w:space="0" w:color="auto"/>
                        <w:left w:val="none" w:sz="0" w:space="0" w:color="auto"/>
                        <w:bottom w:val="none" w:sz="0" w:space="0" w:color="auto"/>
                        <w:right w:val="none" w:sz="0" w:space="0" w:color="auto"/>
                      </w:divBdr>
                    </w:div>
                  </w:divsChild>
                </w:div>
                <w:div w:id="2026586907">
                  <w:marLeft w:val="0"/>
                  <w:marRight w:val="0"/>
                  <w:marTop w:val="0"/>
                  <w:marBottom w:val="0"/>
                  <w:divBdr>
                    <w:top w:val="none" w:sz="0" w:space="0" w:color="auto"/>
                    <w:left w:val="none" w:sz="0" w:space="0" w:color="auto"/>
                    <w:bottom w:val="none" w:sz="0" w:space="0" w:color="auto"/>
                    <w:right w:val="none" w:sz="0" w:space="0" w:color="auto"/>
                  </w:divBdr>
                  <w:divsChild>
                    <w:div w:id="2099399665">
                      <w:marLeft w:val="0"/>
                      <w:marRight w:val="0"/>
                      <w:marTop w:val="0"/>
                      <w:marBottom w:val="0"/>
                      <w:divBdr>
                        <w:top w:val="none" w:sz="0" w:space="0" w:color="auto"/>
                        <w:left w:val="none" w:sz="0" w:space="0" w:color="auto"/>
                        <w:bottom w:val="none" w:sz="0" w:space="0" w:color="auto"/>
                        <w:right w:val="none" w:sz="0" w:space="0" w:color="auto"/>
                      </w:divBdr>
                    </w:div>
                  </w:divsChild>
                </w:div>
                <w:div w:id="1946690569">
                  <w:marLeft w:val="0"/>
                  <w:marRight w:val="0"/>
                  <w:marTop w:val="0"/>
                  <w:marBottom w:val="0"/>
                  <w:divBdr>
                    <w:top w:val="none" w:sz="0" w:space="0" w:color="auto"/>
                    <w:left w:val="none" w:sz="0" w:space="0" w:color="auto"/>
                    <w:bottom w:val="none" w:sz="0" w:space="0" w:color="auto"/>
                    <w:right w:val="none" w:sz="0" w:space="0" w:color="auto"/>
                  </w:divBdr>
                  <w:divsChild>
                    <w:div w:id="1983271446">
                      <w:marLeft w:val="0"/>
                      <w:marRight w:val="0"/>
                      <w:marTop w:val="0"/>
                      <w:marBottom w:val="0"/>
                      <w:divBdr>
                        <w:top w:val="none" w:sz="0" w:space="0" w:color="auto"/>
                        <w:left w:val="none" w:sz="0" w:space="0" w:color="auto"/>
                        <w:bottom w:val="none" w:sz="0" w:space="0" w:color="auto"/>
                        <w:right w:val="none" w:sz="0" w:space="0" w:color="auto"/>
                      </w:divBdr>
                    </w:div>
                    <w:div w:id="931202542">
                      <w:marLeft w:val="0"/>
                      <w:marRight w:val="0"/>
                      <w:marTop w:val="0"/>
                      <w:marBottom w:val="0"/>
                      <w:divBdr>
                        <w:top w:val="none" w:sz="0" w:space="0" w:color="auto"/>
                        <w:left w:val="none" w:sz="0" w:space="0" w:color="auto"/>
                        <w:bottom w:val="none" w:sz="0" w:space="0" w:color="auto"/>
                        <w:right w:val="none" w:sz="0" w:space="0" w:color="auto"/>
                      </w:divBdr>
                    </w:div>
                  </w:divsChild>
                </w:div>
                <w:div w:id="59787528">
                  <w:marLeft w:val="0"/>
                  <w:marRight w:val="0"/>
                  <w:marTop w:val="0"/>
                  <w:marBottom w:val="0"/>
                  <w:divBdr>
                    <w:top w:val="none" w:sz="0" w:space="0" w:color="auto"/>
                    <w:left w:val="none" w:sz="0" w:space="0" w:color="auto"/>
                    <w:bottom w:val="none" w:sz="0" w:space="0" w:color="auto"/>
                    <w:right w:val="none" w:sz="0" w:space="0" w:color="auto"/>
                  </w:divBdr>
                  <w:divsChild>
                    <w:div w:id="120611375">
                      <w:marLeft w:val="0"/>
                      <w:marRight w:val="0"/>
                      <w:marTop w:val="0"/>
                      <w:marBottom w:val="0"/>
                      <w:divBdr>
                        <w:top w:val="none" w:sz="0" w:space="0" w:color="auto"/>
                        <w:left w:val="none" w:sz="0" w:space="0" w:color="auto"/>
                        <w:bottom w:val="none" w:sz="0" w:space="0" w:color="auto"/>
                        <w:right w:val="none" w:sz="0" w:space="0" w:color="auto"/>
                      </w:divBdr>
                    </w:div>
                    <w:div w:id="1507134856">
                      <w:marLeft w:val="0"/>
                      <w:marRight w:val="0"/>
                      <w:marTop w:val="0"/>
                      <w:marBottom w:val="0"/>
                      <w:divBdr>
                        <w:top w:val="none" w:sz="0" w:space="0" w:color="auto"/>
                        <w:left w:val="none" w:sz="0" w:space="0" w:color="auto"/>
                        <w:bottom w:val="none" w:sz="0" w:space="0" w:color="auto"/>
                        <w:right w:val="none" w:sz="0" w:space="0" w:color="auto"/>
                      </w:divBdr>
                    </w:div>
                    <w:div w:id="468012868">
                      <w:marLeft w:val="0"/>
                      <w:marRight w:val="0"/>
                      <w:marTop w:val="0"/>
                      <w:marBottom w:val="0"/>
                      <w:divBdr>
                        <w:top w:val="none" w:sz="0" w:space="0" w:color="auto"/>
                        <w:left w:val="none" w:sz="0" w:space="0" w:color="auto"/>
                        <w:bottom w:val="none" w:sz="0" w:space="0" w:color="auto"/>
                        <w:right w:val="none" w:sz="0" w:space="0" w:color="auto"/>
                      </w:divBdr>
                    </w:div>
                  </w:divsChild>
                </w:div>
                <w:div w:id="1065488274">
                  <w:marLeft w:val="0"/>
                  <w:marRight w:val="0"/>
                  <w:marTop w:val="0"/>
                  <w:marBottom w:val="0"/>
                  <w:divBdr>
                    <w:top w:val="none" w:sz="0" w:space="0" w:color="auto"/>
                    <w:left w:val="none" w:sz="0" w:space="0" w:color="auto"/>
                    <w:bottom w:val="none" w:sz="0" w:space="0" w:color="auto"/>
                    <w:right w:val="none" w:sz="0" w:space="0" w:color="auto"/>
                  </w:divBdr>
                  <w:divsChild>
                    <w:div w:id="1419138399">
                      <w:marLeft w:val="0"/>
                      <w:marRight w:val="0"/>
                      <w:marTop w:val="0"/>
                      <w:marBottom w:val="0"/>
                      <w:divBdr>
                        <w:top w:val="none" w:sz="0" w:space="0" w:color="auto"/>
                        <w:left w:val="none" w:sz="0" w:space="0" w:color="auto"/>
                        <w:bottom w:val="none" w:sz="0" w:space="0" w:color="auto"/>
                        <w:right w:val="none" w:sz="0" w:space="0" w:color="auto"/>
                      </w:divBdr>
                    </w:div>
                  </w:divsChild>
                </w:div>
                <w:div w:id="207953484">
                  <w:marLeft w:val="0"/>
                  <w:marRight w:val="0"/>
                  <w:marTop w:val="0"/>
                  <w:marBottom w:val="0"/>
                  <w:divBdr>
                    <w:top w:val="none" w:sz="0" w:space="0" w:color="auto"/>
                    <w:left w:val="none" w:sz="0" w:space="0" w:color="auto"/>
                    <w:bottom w:val="none" w:sz="0" w:space="0" w:color="auto"/>
                    <w:right w:val="none" w:sz="0" w:space="0" w:color="auto"/>
                  </w:divBdr>
                  <w:divsChild>
                    <w:div w:id="1567840863">
                      <w:marLeft w:val="0"/>
                      <w:marRight w:val="0"/>
                      <w:marTop w:val="0"/>
                      <w:marBottom w:val="0"/>
                      <w:divBdr>
                        <w:top w:val="none" w:sz="0" w:space="0" w:color="auto"/>
                        <w:left w:val="none" w:sz="0" w:space="0" w:color="auto"/>
                        <w:bottom w:val="none" w:sz="0" w:space="0" w:color="auto"/>
                        <w:right w:val="none" w:sz="0" w:space="0" w:color="auto"/>
                      </w:divBdr>
                    </w:div>
                  </w:divsChild>
                </w:div>
                <w:div w:id="264306845">
                  <w:marLeft w:val="0"/>
                  <w:marRight w:val="0"/>
                  <w:marTop w:val="0"/>
                  <w:marBottom w:val="0"/>
                  <w:divBdr>
                    <w:top w:val="none" w:sz="0" w:space="0" w:color="auto"/>
                    <w:left w:val="none" w:sz="0" w:space="0" w:color="auto"/>
                    <w:bottom w:val="none" w:sz="0" w:space="0" w:color="auto"/>
                    <w:right w:val="none" w:sz="0" w:space="0" w:color="auto"/>
                  </w:divBdr>
                  <w:divsChild>
                    <w:div w:id="1245606987">
                      <w:marLeft w:val="0"/>
                      <w:marRight w:val="0"/>
                      <w:marTop w:val="0"/>
                      <w:marBottom w:val="0"/>
                      <w:divBdr>
                        <w:top w:val="none" w:sz="0" w:space="0" w:color="auto"/>
                        <w:left w:val="none" w:sz="0" w:space="0" w:color="auto"/>
                        <w:bottom w:val="none" w:sz="0" w:space="0" w:color="auto"/>
                        <w:right w:val="none" w:sz="0" w:space="0" w:color="auto"/>
                      </w:divBdr>
                    </w:div>
                  </w:divsChild>
                </w:div>
                <w:div w:id="1801999782">
                  <w:marLeft w:val="0"/>
                  <w:marRight w:val="0"/>
                  <w:marTop w:val="0"/>
                  <w:marBottom w:val="0"/>
                  <w:divBdr>
                    <w:top w:val="none" w:sz="0" w:space="0" w:color="auto"/>
                    <w:left w:val="none" w:sz="0" w:space="0" w:color="auto"/>
                    <w:bottom w:val="none" w:sz="0" w:space="0" w:color="auto"/>
                    <w:right w:val="none" w:sz="0" w:space="0" w:color="auto"/>
                  </w:divBdr>
                  <w:divsChild>
                    <w:div w:id="501312622">
                      <w:marLeft w:val="0"/>
                      <w:marRight w:val="0"/>
                      <w:marTop w:val="0"/>
                      <w:marBottom w:val="0"/>
                      <w:divBdr>
                        <w:top w:val="none" w:sz="0" w:space="0" w:color="auto"/>
                        <w:left w:val="none" w:sz="0" w:space="0" w:color="auto"/>
                        <w:bottom w:val="none" w:sz="0" w:space="0" w:color="auto"/>
                        <w:right w:val="none" w:sz="0" w:space="0" w:color="auto"/>
                      </w:divBdr>
                    </w:div>
                  </w:divsChild>
                </w:div>
                <w:div w:id="1036346592">
                  <w:marLeft w:val="0"/>
                  <w:marRight w:val="0"/>
                  <w:marTop w:val="0"/>
                  <w:marBottom w:val="0"/>
                  <w:divBdr>
                    <w:top w:val="none" w:sz="0" w:space="0" w:color="auto"/>
                    <w:left w:val="none" w:sz="0" w:space="0" w:color="auto"/>
                    <w:bottom w:val="none" w:sz="0" w:space="0" w:color="auto"/>
                    <w:right w:val="none" w:sz="0" w:space="0" w:color="auto"/>
                  </w:divBdr>
                  <w:divsChild>
                    <w:div w:id="1915387161">
                      <w:marLeft w:val="0"/>
                      <w:marRight w:val="0"/>
                      <w:marTop w:val="0"/>
                      <w:marBottom w:val="0"/>
                      <w:divBdr>
                        <w:top w:val="none" w:sz="0" w:space="0" w:color="auto"/>
                        <w:left w:val="none" w:sz="0" w:space="0" w:color="auto"/>
                        <w:bottom w:val="none" w:sz="0" w:space="0" w:color="auto"/>
                        <w:right w:val="none" w:sz="0" w:space="0" w:color="auto"/>
                      </w:divBdr>
                    </w:div>
                    <w:div w:id="1200826362">
                      <w:marLeft w:val="0"/>
                      <w:marRight w:val="0"/>
                      <w:marTop w:val="0"/>
                      <w:marBottom w:val="0"/>
                      <w:divBdr>
                        <w:top w:val="none" w:sz="0" w:space="0" w:color="auto"/>
                        <w:left w:val="none" w:sz="0" w:space="0" w:color="auto"/>
                        <w:bottom w:val="none" w:sz="0" w:space="0" w:color="auto"/>
                        <w:right w:val="none" w:sz="0" w:space="0" w:color="auto"/>
                      </w:divBdr>
                    </w:div>
                  </w:divsChild>
                </w:div>
                <w:div w:id="1669602576">
                  <w:marLeft w:val="0"/>
                  <w:marRight w:val="0"/>
                  <w:marTop w:val="0"/>
                  <w:marBottom w:val="0"/>
                  <w:divBdr>
                    <w:top w:val="none" w:sz="0" w:space="0" w:color="auto"/>
                    <w:left w:val="none" w:sz="0" w:space="0" w:color="auto"/>
                    <w:bottom w:val="none" w:sz="0" w:space="0" w:color="auto"/>
                    <w:right w:val="none" w:sz="0" w:space="0" w:color="auto"/>
                  </w:divBdr>
                  <w:divsChild>
                    <w:div w:id="28143831">
                      <w:marLeft w:val="0"/>
                      <w:marRight w:val="0"/>
                      <w:marTop w:val="0"/>
                      <w:marBottom w:val="0"/>
                      <w:divBdr>
                        <w:top w:val="none" w:sz="0" w:space="0" w:color="auto"/>
                        <w:left w:val="none" w:sz="0" w:space="0" w:color="auto"/>
                        <w:bottom w:val="none" w:sz="0" w:space="0" w:color="auto"/>
                        <w:right w:val="none" w:sz="0" w:space="0" w:color="auto"/>
                      </w:divBdr>
                    </w:div>
                    <w:div w:id="137961882">
                      <w:marLeft w:val="0"/>
                      <w:marRight w:val="0"/>
                      <w:marTop w:val="0"/>
                      <w:marBottom w:val="0"/>
                      <w:divBdr>
                        <w:top w:val="none" w:sz="0" w:space="0" w:color="auto"/>
                        <w:left w:val="none" w:sz="0" w:space="0" w:color="auto"/>
                        <w:bottom w:val="none" w:sz="0" w:space="0" w:color="auto"/>
                        <w:right w:val="none" w:sz="0" w:space="0" w:color="auto"/>
                      </w:divBdr>
                    </w:div>
                    <w:div w:id="300113658">
                      <w:marLeft w:val="0"/>
                      <w:marRight w:val="0"/>
                      <w:marTop w:val="0"/>
                      <w:marBottom w:val="0"/>
                      <w:divBdr>
                        <w:top w:val="none" w:sz="0" w:space="0" w:color="auto"/>
                        <w:left w:val="none" w:sz="0" w:space="0" w:color="auto"/>
                        <w:bottom w:val="none" w:sz="0" w:space="0" w:color="auto"/>
                        <w:right w:val="none" w:sz="0" w:space="0" w:color="auto"/>
                      </w:divBdr>
                    </w:div>
                    <w:div w:id="1394231163">
                      <w:marLeft w:val="0"/>
                      <w:marRight w:val="0"/>
                      <w:marTop w:val="0"/>
                      <w:marBottom w:val="0"/>
                      <w:divBdr>
                        <w:top w:val="none" w:sz="0" w:space="0" w:color="auto"/>
                        <w:left w:val="none" w:sz="0" w:space="0" w:color="auto"/>
                        <w:bottom w:val="none" w:sz="0" w:space="0" w:color="auto"/>
                        <w:right w:val="none" w:sz="0" w:space="0" w:color="auto"/>
                      </w:divBdr>
                    </w:div>
                  </w:divsChild>
                </w:div>
                <w:div w:id="954604491">
                  <w:marLeft w:val="0"/>
                  <w:marRight w:val="0"/>
                  <w:marTop w:val="0"/>
                  <w:marBottom w:val="0"/>
                  <w:divBdr>
                    <w:top w:val="none" w:sz="0" w:space="0" w:color="auto"/>
                    <w:left w:val="none" w:sz="0" w:space="0" w:color="auto"/>
                    <w:bottom w:val="none" w:sz="0" w:space="0" w:color="auto"/>
                    <w:right w:val="none" w:sz="0" w:space="0" w:color="auto"/>
                  </w:divBdr>
                  <w:divsChild>
                    <w:div w:id="18653656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28349353">
          <w:marLeft w:val="0"/>
          <w:marRight w:val="0"/>
          <w:marTop w:val="0"/>
          <w:marBottom w:val="0"/>
          <w:divBdr>
            <w:top w:val="none" w:sz="0" w:space="0" w:color="auto"/>
            <w:left w:val="none" w:sz="0" w:space="0" w:color="auto"/>
            <w:bottom w:val="none" w:sz="0" w:space="0" w:color="auto"/>
            <w:right w:val="none" w:sz="0" w:space="0" w:color="auto"/>
          </w:divBdr>
        </w:div>
        <w:div w:id="525799112">
          <w:marLeft w:val="0"/>
          <w:marRight w:val="0"/>
          <w:marTop w:val="0"/>
          <w:marBottom w:val="0"/>
          <w:divBdr>
            <w:top w:val="none" w:sz="0" w:space="0" w:color="auto"/>
            <w:left w:val="none" w:sz="0" w:space="0" w:color="auto"/>
            <w:bottom w:val="none" w:sz="0" w:space="0" w:color="auto"/>
            <w:right w:val="none" w:sz="0" w:space="0" w:color="auto"/>
          </w:divBdr>
        </w:div>
        <w:div w:id="588467010">
          <w:marLeft w:val="0"/>
          <w:marRight w:val="0"/>
          <w:marTop w:val="0"/>
          <w:marBottom w:val="0"/>
          <w:divBdr>
            <w:top w:val="none" w:sz="0" w:space="0" w:color="auto"/>
            <w:left w:val="none" w:sz="0" w:space="0" w:color="auto"/>
            <w:bottom w:val="none" w:sz="0" w:space="0" w:color="auto"/>
            <w:right w:val="none" w:sz="0" w:space="0" w:color="auto"/>
          </w:divBdr>
        </w:div>
        <w:div w:id="366874696">
          <w:marLeft w:val="0"/>
          <w:marRight w:val="0"/>
          <w:marTop w:val="0"/>
          <w:marBottom w:val="0"/>
          <w:divBdr>
            <w:top w:val="none" w:sz="0" w:space="0" w:color="auto"/>
            <w:left w:val="none" w:sz="0" w:space="0" w:color="auto"/>
            <w:bottom w:val="none" w:sz="0" w:space="0" w:color="auto"/>
            <w:right w:val="none" w:sz="0" w:space="0" w:color="auto"/>
          </w:divBdr>
          <w:divsChild>
            <w:div w:id="248927982">
              <w:marLeft w:val="0"/>
              <w:marRight w:val="0"/>
              <w:marTop w:val="30"/>
              <w:marBottom w:val="30"/>
              <w:divBdr>
                <w:top w:val="none" w:sz="0" w:space="0" w:color="auto"/>
                <w:left w:val="none" w:sz="0" w:space="0" w:color="auto"/>
                <w:bottom w:val="none" w:sz="0" w:space="0" w:color="auto"/>
                <w:right w:val="none" w:sz="0" w:space="0" w:color="auto"/>
              </w:divBdr>
              <w:divsChild>
                <w:div w:id="1687293089">
                  <w:marLeft w:val="0"/>
                  <w:marRight w:val="0"/>
                  <w:marTop w:val="0"/>
                  <w:marBottom w:val="0"/>
                  <w:divBdr>
                    <w:top w:val="none" w:sz="0" w:space="0" w:color="auto"/>
                    <w:left w:val="none" w:sz="0" w:space="0" w:color="auto"/>
                    <w:bottom w:val="none" w:sz="0" w:space="0" w:color="auto"/>
                    <w:right w:val="none" w:sz="0" w:space="0" w:color="auto"/>
                  </w:divBdr>
                  <w:divsChild>
                    <w:div w:id="1056392443">
                      <w:marLeft w:val="0"/>
                      <w:marRight w:val="0"/>
                      <w:marTop w:val="0"/>
                      <w:marBottom w:val="0"/>
                      <w:divBdr>
                        <w:top w:val="none" w:sz="0" w:space="0" w:color="auto"/>
                        <w:left w:val="none" w:sz="0" w:space="0" w:color="auto"/>
                        <w:bottom w:val="none" w:sz="0" w:space="0" w:color="auto"/>
                        <w:right w:val="none" w:sz="0" w:space="0" w:color="auto"/>
                      </w:divBdr>
                    </w:div>
                  </w:divsChild>
                </w:div>
                <w:div w:id="979723149">
                  <w:marLeft w:val="0"/>
                  <w:marRight w:val="0"/>
                  <w:marTop w:val="0"/>
                  <w:marBottom w:val="0"/>
                  <w:divBdr>
                    <w:top w:val="none" w:sz="0" w:space="0" w:color="auto"/>
                    <w:left w:val="none" w:sz="0" w:space="0" w:color="auto"/>
                    <w:bottom w:val="none" w:sz="0" w:space="0" w:color="auto"/>
                    <w:right w:val="none" w:sz="0" w:space="0" w:color="auto"/>
                  </w:divBdr>
                  <w:divsChild>
                    <w:div w:id="341443402">
                      <w:marLeft w:val="0"/>
                      <w:marRight w:val="0"/>
                      <w:marTop w:val="0"/>
                      <w:marBottom w:val="0"/>
                      <w:divBdr>
                        <w:top w:val="none" w:sz="0" w:space="0" w:color="auto"/>
                        <w:left w:val="none" w:sz="0" w:space="0" w:color="auto"/>
                        <w:bottom w:val="none" w:sz="0" w:space="0" w:color="auto"/>
                        <w:right w:val="none" w:sz="0" w:space="0" w:color="auto"/>
                      </w:divBdr>
                    </w:div>
                  </w:divsChild>
                </w:div>
                <w:div w:id="866679658">
                  <w:marLeft w:val="0"/>
                  <w:marRight w:val="0"/>
                  <w:marTop w:val="0"/>
                  <w:marBottom w:val="0"/>
                  <w:divBdr>
                    <w:top w:val="none" w:sz="0" w:space="0" w:color="auto"/>
                    <w:left w:val="none" w:sz="0" w:space="0" w:color="auto"/>
                    <w:bottom w:val="none" w:sz="0" w:space="0" w:color="auto"/>
                    <w:right w:val="none" w:sz="0" w:space="0" w:color="auto"/>
                  </w:divBdr>
                  <w:divsChild>
                    <w:div w:id="861043781">
                      <w:marLeft w:val="0"/>
                      <w:marRight w:val="0"/>
                      <w:marTop w:val="0"/>
                      <w:marBottom w:val="0"/>
                      <w:divBdr>
                        <w:top w:val="none" w:sz="0" w:space="0" w:color="auto"/>
                        <w:left w:val="none" w:sz="0" w:space="0" w:color="auto"/>
                        <w:bottom w:val="none" w:sz="0" w:space="0" w:color="auto"/>
                        <w:right w:val="none" w:sz="0" w:space="0" w:color="auto"/>
                      </w:divBdr>
                    </w:div>
                    <w:div w:id="394208982">
                      <w:marLeft w:val="0"/>
                      <w:marRight w:val="0"/>
                      <w:marTop w:val="0"/>
                      <w:marBottom w:val="0"/>
                      <w:divBdr>
                        <w:top w:val="none" w:sz="0" w:space="0" w:color="auto"/>
                        <w:left w:val="none" w:sz="0" w:space="0" w:color="auto"/>
                        <w:bottom w:val="none" w:sz="0" w:space="0" w:color="auto"/>
                        <w:right w:val="none" w:sz="0" w:space="0" w:color="auto"/>
                      </w:divBdr>
                    </w:div>
                    <w:div w:id="68887536">
                      <w:marLeft w:val="0"/>
                      <w:marRight w:val="0"/>
                      <w:marTop w:val="0"/>
                      <w:marBottom w:val="0"/>
                      <w:divBdr>
                        <w:top w:val="none" w:sz="0" w:space="0" w:color="auto"/>
                        <w:left w:val="none" w:sz="0" w:space="0" w:color="auto"/>
                        <w:bottom w:val="none" w:sz="0" w:space="0" w:color="auto"/>
                        <w:right w:val="none" w:sz="0" w:space="0" w:color="auto"/>
                      </w:divBdr>
                    </w:div>
                    <w:div w:id="1104230732">
                      <w:marLeft w:val="0"/>
                      <w:marRight w:val="0"/>
                      <w:marTop w:val="0"/>
                      <w:marBottom w:val="0"/>
                      <w:divBdr>
                        <w:top w:val="none" w:sz="0" w:space="0" w:color="auto"/>
                        <w:left w:val="none" w:sz="0" w:space="0" w:color="auto"/>
                        <w:bottom w:val="none" w:sz="0" w:space="0" w:color="auto"/>
                        <w:right w:val="none" w:sz="0" w:space="0" w:color="auto"/>
                      </w:divBdr>
                    </w:div>
                  </w:divsChild>
                </w:div>
                <w:div w:id="949817254">
                  <w:marLeft w:val="0"/>
                  <w:marRight w:val="0"/>
                  <w:marTop w:val="0"/>
                  <w:marBottom w:val="0"/>
                  <w:divBdr>
                    <w:top w:val="none" w:sz="0" w:space="0" w:color="auto"/>
                    <w:left w:val="none" w:sz="0" w:space="0" w:color="auto"/>
                    <w:bottom w:val="none" w:sz="0" w:space="0" w:color="auto"/>
                    <w:right w:val="none" w:sz="0" w:space="0" w:color="auto"/>
                  </w:divBdr>
                  <w:divsChild>
                    <w:div w:id="888687664">
                      <w:marLeft w:val="0"/>
                      <w:marRight w:val="0"/>
                      <w:marTop w:val="0"/>
                      <w:marBottom w:val="0"/>
                      <w:divBdr>
                        <w:top w:val="none" w:sz="0" w:space="0" w:color="auto"/>
                        <w:left w:val="none" w:sz="0" w:space="0" w:color="auto"/>
                        <w:bottom w:val="none" w:sz="0" w:space="0" w:color="auto"/>
                        <w:right w:val="none" w:sz="0" w:space="0" w:color="auto"/>
                      </w:divBdr>
                    </w:div>
                    <w:div w:id="2135170093">
                      <w:marLeft w:val="0"/>
                      <w:marRight w:val="0"/>
                      <w:marTop w:val="0"/>
                      <w:marBottom w:val="0"/>
                      <w:divBdr>
                        <w:top w:val="none" w:sz="0" w:space="0" w:color="auto"/>
                        <w:left w:val="none" w:sz="0" w:space="0" w:color="auto"/>
                        <w:bottom w:val="none" w:sz="0" w:space="0" w:color="auto"/>
                        <w:right w:val="none" w:sz="0" w:space="0" w:color="auto"/>
                      </w:divBdr>
                    </w:div>
                    <w:div w:id="1861964934">
                      <w:marLeft w:val="0"/>
                      <w:marRight w:val="0"/>
                      <w:marTop w:val="0"/>
                      <w:marBottom w:val="0"/>
                      <w:divBdr>
                        <w:top w:val="none" w:sz="0" w:space="0" w:color="auto"/>
                        <w:left w:val="none" w:sz="0" w:space="0" w:color="auto"/>
                        <w:bottom w:val="none" w:sz="0" w:space="0" w:color="auto"/>
                        <w:right w:val="none" w:sz="0" w:space="0" w:color="auto"/>
                      </w:divBdr>
                    </w:div>
                  </w:divsChild>
                </w:div>
                <w:div w:id="35350746">
                  <w:marLeft w:val="0"/>
                  <w:marRight w:val="0"/>
                  <w:marTop w:val="0"/>
                  <w:marBottom w:val="0"/>
                  <w:divBdr>
                    <w:top w:val="none" w:sz="0" w:space="0" w:color="auto"/>
                    <w:left w:val="none" w:sz="0" w:space="0" w:color="auto"/>
                    <w:bottom w:val="none" w:sz="0" w:space="0" w:color="auto"/>
                    <w:right w:val="none" w:sz="0" w:space="0" w:color="auto"/>
                  </w:divBdr>
                  <w:divsChild>
                    <w:div w:id="1625304330">
                      <w:marLeft w:val="0"/>
                      <w:marRight w:val="0"/>
                      <w:marTop w:val="0"/>
                      <w:marBottom w:val="0"/>
                      <w:divBdr>
                        <w:top w:val="none" w:sz="0" w:space="0" w:color="auto"/>
                        <w:left w:val="none" w:sz="0" w:space="0" w:color="auto"/>
                        <w:bottom w:val="none" w:sz="0" w:space="0" w:color="auto"/>
                        <w:right w:val="none" w:sz="0" w:space="0" w:color="auto"/>
                      </w:divBdr>
                    </w:div>
                    <w:div w:id="1815563813">
                      <w:marLeft w:val="0"/>
                      <w:marRight w:val="0"/>
                      <w:marTop w:val="0"/>
                      <w:marBottom w:val="0"/>
                      <w:divBdr>
                        <w:top w:val="none" w:sz="0" w:space="0" w:color="auto"/>
                        <w:left w:val="none" w:sz="0" w:space="0" w:color="auto"/>
                        <w:bottom w:val="none" w:sz="0" w:space="0" w:color="auto"/>
                        <w:right w:val="none" w:sz="0" w:space="0" w:color="auto"/>
                      </w:divBdr>
                    </w:div>
                  </w:divsChild>
                </w:div>
                <w:div w:id="1523473292">
                  <w:marLeft w:val="0"/>
                  <w:marRight w:val="0"/>
                  <w:marTop w:val="0"/>
                  <w:marBottom w:val="0"/>
                  <w:divBdr>
                    <w:top w:val="none" w:sz="0" w:space="0" w:color="auto"/>
                    <w:left w:val="none" w:sz="0" w:space="0" w:color="auto"/>
                    <w:bottom w:val="none" w:sz="0" w:space="0" w:color="auto"/>
                    <w:right w:val="none" w:sz="0" w:space="0" w:color="auto"/>
                  </w:divBdr>
                  <w:divsChild>
                    <w:div w:id="559481154">
                      <w:marLeft w:val="0"/>
                      <w:marRight w:val="0"/>
                      <w:marTop w:val="0"/>
                      <w:marBottom w:val="0"/>
                      <w:divBdr>
                        <w:top w:val="none" w:sz="0" w:space="0" w:color="auto"/>
                        <w:left w:val="none" w:sz="0" w:space="0" w:color="auto"/>
                        <w:bottom w:val="none" w:sz="0" w:space="0" w:color="auto"/>
                        <w:right w:val="none" w:sz="0" w:space="0" w:color="auto"/>
                      </w:divBdr>
                    </w:div>
                    <w:div w:id="1535191589">
                      <w:marLeft w:val="0"/>
                      <w:marRight w:val="0"/>
                      <w:marTop w:val="0"/>
                      <w:marBottom w:val="0"/>
                      <w:divBdr>
                        <w:top w:val="none" w:sz="0" w:space="0" w:color="auto"/>
                        <w:left w:val="none" w:sz="0" w:space="0" w:color="auto"/>
                        <w:bottom w:val="none" w:sz="0" w:space="0" w:color="auto"/>
                        <w:right w:val="none" w:sz="0" w:space="0" w:color="auto"/>
                      </w:divBdr>
                    </w:div>
                    <w:div w:id="1802111502">
                      <w:marLeft w:val="0"/>
                      <w:marRight w:val="0"/>
                      <w:marTop w:val="0"/>
                      <w:marBottom w:val="0"/>
                      <w:divBdr>
                        <w:top w:val="none" w:sz="0" w:space="0" w:color="auto"/>
                        <w:left w:val="none" w:sz="0" w:space="0" w:color="auto"/>
                        <w:bottom w:val="none" w:sz="0" w:space="0" w:color="auto"/>
                        <w:right w:val="none" w:sz="0" w:space="0" w:color="auto"/>
                      </w:divBdr>
                    </w:div>
                    <w:div w:id="976296707">
                      <w:marLeft w:val="0"/>
                      <w:marRight w:val="0"/>
                      <w:marTop w:val="0"/>
                      <w:marBottom w:val="0"/>
                      <w:divBdr>
                        <w:top w:val="none" w:sz="0" w:space="0" w:color="auto"/>
                        <w:left w:val="none" w:sz="0" w:space="0" w:color="auto"/>
                        <w:bottom w:val="none" w:sz="0" w:space="0" w:color="auto"/>
                        <w:right w:val="none" w:sz="0" w:space="0" w:color="auto"/>
                      </w:divBdr>
                    </w:div>
                    <w:div w:id="1489443230">
                      <w:marLeft w:val="0"/>
                      <w:marRight w:val="0"/>
                      <w:marTop w:val="0"/>
                      <w:marBottom w:val="0"/>
                      <w:divBdr>
                        <w:top w:val="none" w:sz="0" w:space="0" w:color="auto"/>
                        <w:left w:val="none" w:sz="0" w:space="0" w:color="auto"/>
                        <w:bottom w:val="none" w:sz="0" w:space="0" w:color="auto"/>
                        <w:right w:val="none" w:sz="0" w:space="0" w:color="auto"/>
                      </w:divBdr>
                    </w:div>
                    <w:div w:id="1212424370">
                      <w:marLeft w:val="0"/>
                      <w:marRight w:val="0"/>
                      <w:marTop w:val="0"/>
                      <w:marBottom w:val="0"/>
                      <w:divBdr>
                        <w:top w:val="none" w:sz="0" w:space="0" w:color="auto"/>
                        <w:left w:val="none" w:sz="0" w:space="0" w:color="auto"/>
                        <w:bottom w:val="none" w:sz="0" w:space="0" w:color="auto"/>
                        <w:right w:val="none" w:sz="0" w:space="0" w:color="auto"/>
                      </w:divBdr>
                    </w:div>
                  </w:divsChild>
                </w:div>
                <w:div w:id="1489832160">
                  <w:marLeft w:val="0"/>
                  <w:marRight w:val="0"/>
                  <w:marTop w:val="0"/>
                  <w:marBottom w:val="0"/>
                  <w:divBdr>
                    <w:top w:val="none" w:sz="0" w:space="0" w:color="auto"/>
                    <w:left w:val="none" w:sz="0" w:space="0" w:color="auto"/>
                    <w:bottom w:val="none" w:sz="0" w:space="0" w:color="auto"/>
                    <w:right w:val="none" w:sz="0" w:space="0" w:color="auto"/>
                  </w:divBdr>
                  <w:divsChild>
                    <w:div w:id="1026638651">
                      <w:marLeft w:val="0"/>
                      <w:marRight w:val="0"/>
                      <w:marTop w:val="0"/>
                      <w:marBottom w:val="0"/>
                      <w:divBdr>
                        <w:top w:val="none" w:sz="0" w:space="0" w:color="auto"/>
                        <w:left w:val="none" w:sz="0" w:space="0" w:color="auto"/>
                        <w:bottom w:val="none" w:sz="0" w:space="0" w:color="auto"/>
                        <w:right w:val="none" w:sz="0" w:space="0" w:color="auto"/>
                      </w:divBdr>
                    </w:div>
                    <w:div w:id="946038200">
                      <w:marLeft w:val="0"/>
                      <w:marRight w:val="0"/>
                      <w:marTop w:val="0"/>
                      <w:marBottom w:val="0"/>
                      <w:divBdr>
                        <w:top w:val="none" w:sz="0" w:space="0" w:color="auto"/>
                        <w:left w:val="none" w:sz="0" w:space="0" w:color="auto"/>
                        <w:bottom w:val="none" w:sz="0" w:space="0" w:color="auto"/>
                        <w:right w:val="none" w:sz="0" w:space="0" w:color="auto"/>
                      </w:divBdr>
                    </w:div>
                    <w:div w:id="1754816876">
                      <w:marLeft w:val="0"/>
                      <w:marRight w:val="0"/>
                      <w:marTop w:val="0"/>
                      <w:marBottom w:val="0"/>
                      <w:divBdr>
                        <w:top w:val="none" w:sz="0" w:space="0" w:color="auto"/>
                        <w:left w:val="none" w:sz="0" w:space="0" w:color="auto"/>
                        <w:bottom w:val="none" w:sz="0" w:space="0" w:color="auto"/>
                        <w:right w:val="none" w:sz="0" w:space="0" w:color="auto"/>
                      </w:divBdr>
                    </w:div>
                    <w:div w:id="434373641">
                      <w:marLeft w:val="0"/>
                      <w:marRight w:val="0"/>
                      <w:marTop w:val="0"/>
                      <w:marBottom w:val="0"/>
                      <w:divBdr>
                        <w:top w:val="none" w:sz="0" w:space="0" w:color="auto"/>
                        <w:left w:val="none" w:sz="0" w:space="0" w:color="auto"/>
                        <w:bottom w:val="none" w:sz="0" w:space="0" w:color="auto"/>
                        <w:right w:val="none" w:sz="0" w:space="0" w:color="auto"/>
                      </w:divBdr>
                    </w:div>
                  </w:divsChild>
                </w:div>
                <w:div w:id="855113887">
                  <w:marLeft w:val="0"/>
                  <w:marRight w:val="0"/>
                  <w:marTop w:val="0"/>
                  <w:marBottom w:val="0"/>
                  <w:divBdr>
                    <w:top w:val="none" w:sz="0" w:space="0" w:color="auto"/>
                    <w:left w:val="none" w:sz="0" w:space="0" w:color="auto"/>
                    <w:bottom w:val="none" w:sz="0" w:space="0" w:color="auto"/>
                    <w:right w:val="none" w:sz="0" w:space="0" w:color="auto"/>
                  </w:divBdr>
                  <w:divsChild>
                    <w:div w:id="170222600">
                      <w:marLeft w:val="0"/>
                      <w:marRight w:val="0"/>
                      <w:marTop w:val="0"/>
                      <w:marBottom w:val="0"/>
                      <w:divBdr>
                        <w:top w:val="none" w:sz="0" w:space="0" w:color="auto"/>
                        <w:left w:val="none" w:sz="0" w:space="0" w:color="auto"/>
                        <w:bottom w:val="none" w:sz="0" w:space="0" w:color="auto"/>
                        <w:right w:val="none" w:sz="0" w:space="0" w:color="auto"/>
                      </w:divBdr>
                    </w:div>
                  </w:divsChild>
                </w:div>
                <w:div w:id="362363074">
                  <w:marLeft w:val="0"/>
                  <w:marRight w:val="0"/>
                  <w:marTop w:val="0"/>
                  <w:marBottom w:val="0"/>
                  <w:divBdr>
                    <w:top w:val="none" w:sz="0" w:space="0" w:color="auto"/>
                    <w:left w:val="none" w:sz="0" w:space="0" w:color="auto"/>
                    <w:bottom w:val="none" w:sz="0" w:space="0" w:color="auto"/>
                    <w:right w:val="none" w:sz="0" w:space="0" w:color="auto"/>
                  </w:divBdr>
                  <w:divsChild>
                    <w:div w:id="1290890718">
                      <w:marLeft w:val="0"/>
                      <w:marRight w:val="0"/>
                      <w:marTop w:val="0"/>
                      <w:marBottom w:val="0"/>
                      <w:divBdr>
                        <w:top w:val="none" w:sz="0" w:space="0" w:color="auto"/>
                        <w:left w:val="none" w:sz="0" w:space="0" w:color="auto"/>
                        <w:bottom w:val="none" w:sz="0" w:space="0" w:color="auto"/>
                        <w:right w:val="none" w:sz="0" w:space="0" w:color="auto"/>
                      </w:divBdr>
                    </w:div>
                    <w:div w:id="90860105">
                      <w:marLeft w:val="0"/>
                      <w:marRight w:val="0"/>
                      <w:marTop w:val="0"/>
                      <w:marBottom w:val="0"/>
                      <w:divBdr>
                        <w:top w:val="none" w:sz="0" w:space="0" w:color="auto"/>
                        <w:left w:val="none" w:sz="0" w:space="0" w:color="auto"/>
                        <w:bottom w:val="none" w:sz="0" w:space="0" w:color="auto"/>
                        <w:right w:val="none" w:sz="0" w:space="0" w:color="auto"/>
                      </w:divBdr>
                    </w:div>
                    <w:div w:id="630286837">
                      <w:marLeft w:val="0"/>
                      <w:marRight w:val="0"/>
                      <w:marTop w:val="0"/>
                      <w:marBottom w:val="0"/>
                      <w:divBdr>
                        <w:top w:val="none" w:sz="0" w:space="0" w:color="auto"/>
                        <w:left w:val="none" w:sz="0" w:space="0" w:color="auto"/>
                        <w:bottom w:val="none" w:sz="0" w:space="0" w:color="auto"/>
                        <w:right w:val="none" w:sz="0" w:space="0" w:color="auto"/>
                      </w:divBdr>
                    </w:div>
                    <w:div w:id="83918490">
                      <w:marLeft w:val="0"/>
                      <w:marRight w:val="0"/>
                      <w:marTop w:val="0"/>
                      <w:marBottom w:val="0"/>
                      <w:divBdr>
                        <w:top w:val="none" w:sz="0" w:space="0" w:color="auto"/>
                        <w:left w:val="none" w:sz="0" w:space="0" w:color="auto"/>
                        <w:bottom w:val="none" w:sz="0" w:space="0" w:color="auto"/>
                        <w:right w:val="none" w:sz="0" w:space="0" w:color="auto"/>
                      </w:divBdr>
                    </w:div>
                  </w:divsChild>
                </w:div>
                <w:div w:id="1251085895">
                  <w:marLeft w:val="0"/>
                  <w:marRight w:val="0"/>
                  <w:marTop w:val="0"/>
                  <w:marBottom w:val="0"/>
                  <w:divBdr>
                    <w:top w:val="none" w:sz="0" w:space="0" w:color="auto"/>
                    <w:left w:val="none" w:sz="0" w:space="0" w:color="auto"/>
                    <w:bottom w:val="none" w:sz="0" w:space="0" w:color="auto"/>
                    <w:right w:val="none" w:sz="0" w:space="0" w:color="auto"/>
                  </w:divBdr>
                  <w:divsChild>
                    <w:div w:id="350836677">
                      <w:marLeft w:val="0"/>
                      <w:marRight w:val="0"/>
                      <w:marTop w:val="0"/>
                      <w:marBottom w:val="0"/>
                      <w:divBdr>
                        <w:top w:val="none" w:sz="0" w:space="0" w:color="auto"/>
                        <w:left w:val="none" w:sz="0" w:space="0" w:color="auto"/>
                        <w:bottom w:val="none" w:sz="0" w:space="0" w:color="auto"/>
                        <w:right w:val="none" w:sz="0" w:space="0" w:color="auto"/>
                      </w:divBdr>
                    </w:div>
                    <w:div w:id="1087114876">
                      <w:marLeft w:val="0"/>
                      <w:marRight w:val="0"/>
                      <w:marTop w:val="0"/>
                      <w:marBottom w:val="0"/>
                      <w:divBdr>
                        <w:top w:val="none" w:sz="0" w:space="0" w:color="auto"/>
                        <w:left w:val="none" w:sz="0" w:space="0" w:color="auto"/>
                        <w:bottom w:val="none" w:sz="0" w:space="0" w:color="auto"/>
                        <w:right w:val="none" w:sz="0" w:space="0" w:color="auto"/>
                      </w:divBdr>
                    </w:div>
                    <w:div w:id="737636482">
                      <w:marLeft w:val="0"/>
                      <w:marRight w:val="0"/>
                      <w:marTop w:val="0"/>
                      <w:marBottom w:val="0"/>
                      <w:divBdr>
                        <w:top w:val="none" w:sz="0" w:space="0" w:color="auto"/>
                        <w:left w:val="none" w:sz="0" w:space="0" w:color="auto"/>
                        <w:bottom w:val="none" w:sz="0" w:space="0" w:color="auto"/>
                        <w:right w:val="none" w:sz="0" w:space="0" w:color="auto"/>
                      </w:divBdr>
                    </w:div>
                    <w:div w:id="1735198132">
                      <w:marLeft w:val="0"/>
                      <w:marRight w:val="0"/>
                      <w:marTop w:val="0"/>
                      <w:marBottom w:val="0"/>
                      <w:divBdr>
                        <w:top w:val="none" w:sz="0" w:space="0" w:color="auto"/>
                        <w:left w:val="none" w:sz="0" w:space="0" w:color="auto"/>
                        <w:bottom w:val="none" w:sz="0" w:space="0" w:color="auto"/>
                        <w:right w:val="none" w:sz="0" w:space="0" w:color="auto"/>
                      </w:divBdr>
                    </w:div>
                  </w:divsChild>
                </w:div>
                <w:div w:id="1427771266">
                  <w:marLeft w:val="0"/>
                  <w:marRight w:val="0"/>
                  <w:marTop w:val="0"/>
                  <w:marBottom w:val="0"/>
                  <w:divBdr>
                    <w:top w:val="none" w:sz="0" w:space="0" w:color="auto"/>
                    <w:left w:val="none" w:sz="0" w:space="0" w:color="auto"/>
                    <w:bottom w:val="none" w:sz="0" w:space="0" w:color="auto"/>
                    <w:right w:val="none" w:sz="0" w:space="0" w:color="auto"/>
                  </w:divBdr>
                  <w:divsChild>
                    <w:div w:id="1224953172">
                      <w:marLeft w:val="0"/>
                      <w:marRight w:val="0"/>
                      <w:marTop w:val="0"/>
                      <w:marBottom w:val="0"/>
                      <w:divBdr>
                        <w:top w:val="none" w:sz="0" w:space="0" w:color="auto"/>
                        <w:left w:val="none" w:sz="0" w:space="0" w:color="auto"/>
                        <w:bottom w:val="none" w:sz="0" w:space="0" w:color="auto"/>
                        <w:right w:val="none" w:sz="0" w:space="0" w:color="auto"/>
                      </w:divBdr>
                    </w:div>
                    <w:div w:id="656105214">
                      <w:marLeft w:val="0"/>
                      <w:marRight w:val="0"/>
                      <w:marTop w:val="0"/>
                      <w:marBottom w:val="0"/>
                      <w:divBdr>
                        <w:top w:val="none" w:sz="0" w:space="0" w:color="auto"/>
                        <w:left w:val="none" w:sz="0" w:space="0" w:color="auto"/>
                        <w:bottom w:val="none" w:sz="0" w:space="0" w:color="auto"/>
                        <w:right w:val="none" w:sz="0" w:space="0" w:color="auto"/>
                      </w:divBdr>
                    </w:div>
                    <w:div w:id="1286422952">
                      <w:marLeft w:val="0"/>
                      <w:marRight w:val="0"/>
                      <w:marTop w:val="0"/>
                      <w:marBottom w:val="0"/>
                      <w:divBdr>
                        <w:top w:val="none" w:sz="0" w:space="0" w:color="auto"/>
                        <w:left w:val="none" w:sz="0" w:space="0" w:color="auto"/>
                        <w:bottom w:val="none" w:sz="0" w:space="0" w:color="auto"/>
                        <w:right w:val="none" w:sz="0" w:space="0" w:color="auto"/>
                      </w:divBdr>
                    </w:div>
                  </w:divsChild>
                </w:div>
                <w:div w:id="769860366">
                  <w:marLeft w:val="0"/>
                  <w:marRight w:val="0"/>
                  <w:marTop w:val="0"/>
                  <w:marBottom w:val="0"/>
                  <w:divBdr>
                    <w:top w:val="none" w:sz="0" w:space="0" w:color="auto"/>
                    <w:left w:val="none" w:sz="0" w:space="0" w:color="auto"/>
                    <w:bottom w:val="none" w:sz="0" w:space="0" w:color="auto"/>
                    <w:right w:val="none" w:sz="0" w:space="0" w:color="auto"/>
                  </w:divBdr>
                  <w:divsChild>
                    <w:div w:id="2119374957">
                      <w:marLeft w:val="0"/>
                      <w:marRight w:val="0"/>
                      <w:marTop w:val="0"/>
                      <w:marBottom w:val="0"/>
                      <w:divBdr>
                        <w:top w:val="none" w:sz="0" w:space="0" w:color="auto"/>
                        <w:left w:val="none" w:sz="0" w:space="0" w:color="auto"/>
                        <w:bottom w:val="none" w:sz="0" w:space="0" w:color="auto"/>
                        <w:right w:val="none" w:sz="0" w:space="0" w:color="auto"/>
                      </w:divBdr>
                    </w:div>
                    <w:div w:id="665474622">
                      <w:marLeft w:val="0"/>
                      <w:marRight w:val="0"/>
                      <w:marTop w:val="0"/>
                      <w:marBottom w:val="0"/>
                      <w:divBdr>
                        <w:top w:val="none" w:sz="0" w:space="0" w:color="auto"/>
                        <w:left w:val="none" w:sz="0" w:space="0" w:color="auto"/>
                        <w:bottom w:val="none" w:sz="0" w:space="0" w:color="auto"/>
                        <w:right w:val="none" w:sz="0" w:space="0" w:color="auto"/>
                      </w:divBdr>
                    </w:div>
                    <w:div w:id="631793957">
                      <w:marLeft w:val="0"/>
                      <w:marRight w:val="0"/>
                      <w:marTop w:val="0"/>
                      <w:marBottom w:val="0"/>
                      <w:divBdr>
                        <w:top w:val="none" w:sz="0" w:space="0" w:color="auto"/>
                        <w:left w:val="none" w:sz="0" w:space="0" w:color="auto"/>
                        <w:bottom w:val="none" w:sz="0" w:space="0" w:color="auto"/>
                        <w:right w:val="none" w:sz="0" w:space="0" w:color="auto"/>
                      </w:divBdr>
                    </w:div>
                    <w:div w:id="1745880205">
                      <w:marLeft w:val="0"/>
                      <w:marRight w:val="0"/>
                      <w:marTop w:val="0"/>
                      <w:marBottom w:val="0"/>
                      <w:divBdr>
                        <w:top w:val="none" w:sz="0" w:space="0" w:color="auto"/>
                        <w:left w:val="none" w:sz="0" w:space="0" w:color="auto"/>
                        <w:bottom w:val="none" w:sz="0" w:space="0" w:color="auto"/>
                        <w:right w:val="none" w:sz="0" w:space="0" w:color="auto"/>
                      </w:divBdr>
                    </w:div>
                    <w:div w:id="808402372">
                      <w:marLeft w:val="0"/>
                      <w:marRight w:val="0"/>
                      <w:marTop w:val="0"/>
                      <w:marBottom w:val="0"/>
                      <w:divBdr>
                        <w:top w:val="none" w:sz="0" w:space="0" w:color="auto"/>
                        <w:left w:val="none" w:sz="0" w:space="0" w:color="auto"/>
                        <w:bottom w:val="none" w:sz="0" w:space="0" w:color="auto"/>
                        <w:right w:val="none" w:sz="0" w:space="0" w:color="auto"/>
                      </w:divBdr>
                    </w:div>
                  </w:divsChild>
                </w:div>
                <w:div w:id="1882089986">
                  <w:marLeft w:val="0"/>
                  <w:marRight w:val="0"/>
                  <w:marTop w:val="0"/>
                  <w:marBottom w:val="0"/>
                  <w:divBdr>
                    <w:top w:val="none" w:sz="0" w:space="0" w:color="auto"/>
                    <w:left w:val="none" w:sz="0" w:space="0" w:color="auto"/>
                    <w:bottom w:val="none" w:sz="0" w:space="0" w:color="auto"/>
                    <w:right w:val="none" w:sz="0" w:space="0" w:color="auto"/>
                  </w:divBdr>
                  <w:divsChild>
                    <w:div w:id="18229659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16054641">
      <w:bodyDiv w:val="1"/>
      <w:marLeft w:val="0"/>
      <w:marRight w:val="0"/>
      <w:marTop w:val="0"/>
      <w:marBottom w:val="0"/>
      <w:divBdr>
        <w:top w:val="none" w:sz="0" w:space="0" w:color="auto"/>
        <w:left w:val="none" w:sz="0" w:space="0" w:color="auto"/>
        <w:bottom w:val="none" w:sz="0" w:space="0" w:color="auto"/>
        <w:right w:val="none" w:sz="0" w:space="0" w:color="auto"/>
      </w:divBdr>
    </w:div>
    <w:div w:id="727724061">
      <w:bodyDiv w:val="1"/>
      <w:marLeft w:val="0"/>
      <w:marRight w:val="0"/>
      <w:marTop w:val="0"/>
      <w:marBottom w:val="0"/>
      <w:divBdr>
        <w:top w:val="none" w:sz="0" w:space="0" w:color="auto"/>
        <w:left w:val="none" w:sz="0" w:space="0" w:color="auto"/>
        <w:bottom w:val="none" w:sz="0" w:space="0" w:color="auto"/>
        <w:right w:val="none" w:sz="0" w:space="0" w:color="auto"/>
      </w:divBdr>
    </w:div>
    <w:div w:id="729884363">
      <w:bodyDiv w:val="1"/>
      <w:marLeft w:val="0"/>
      <w:marRight w:val="0"/>
      <w:marTop w:val="0"/>
      <w:marBottom w:val="0"/>
      <w:divBdr>
        <w:top w:val="none" w:sz="0" w:space="0" w:color="auto"/>
        <w:left w:val="none" w:sz="0" w:space="0" w:color="auto"/>
        <w:bottom w:val="none" w:sz="0" w:space="0" w:color="auto"/>
        <w:right w:val="none" w:sz="0" w:space="0" w:color="auto"/>
      </w:divBdr>
    </w:div>
    <w:div w:id="733048515">
      <w:bodyDiv w:val="1"/>
      <w:marLeft w:val="0"/>
      <w:marRight w:val="0"/>
      <w:marTop w:val="0"/>
      <w:marBottom w:val="0"/>
      <w:divBdr>
        <w:top w:val="none" w:sz="0" w:space="0" w:color="auto"/>
        <w:left w:val="none" w:sz="0" w:space="0" w:color="auto"/>
        <w:bottom w:val="none" w:sz="0" w:space="0" w:color="auto"/>
        <w:right w:val="none" w:sz="0" w:space="0" w:color="auto"/>
      </w:divBdr>
    </w:div>
    <w:div w:id="767308863">
      <w:bodyDiv w:val="1"/>
      <w:marLeft w:val="0"/>
      <w:marRight w:val="0"/>
      <w:marTop w:val="0"/>
      <w:marBottom w:val="0"/>
      <w:divBdr>
        <w:top w:val="none" w:sz="0" w:space="0" w:color="auto"/>
        <w:left w:val="none" w:sz="0" w:space="0" w:color="auto"/>
        <w:bottom w:val="none" w:sz="0" w:space="0" w:color="auto"/>
        <w:right w:val="none" w:sz="0" w:space="0" w:color="auto"/>
      </w:divBdr>
    </w:div>
    <w:div w:id="774709590">
      <w:bodyDiv w:val="1"/>
      <w:marLeft w:val="0"/>
      <w:marRight w:val="0"/>
      <w:marTop w:val="0"/>
      <w:marBottom w:val="0"/>
      <w:divBdr>
        <w:top w:val="none" w:sz="0" w:space="0" w:color="auto"/>
        <w:left w:val="none" w:sz="0" w:space="0" w:color="auto"/>
        <w:bottom w:val="none" w:sz="0" w:space="0" w:color="auto"/>
        <w:right w:val="none" w:sz="0" w:space="0" w:color="auto"/>
      </w:divBdr>
    </w:div>
    <w:div w:id="782726105">
      <w:bodyDiv w:val="1"/>
      <w:marLeft w:val="0"/>
      <w:marRight w:val="0"/>
      <w:marTop w:val="0"/>
      <w:marBottom w:val="0"/>
      <w:divBdr>
        <w:top w:val="none" w:sz="0" w:space="0" w:color="auto"/>
        <w:left w:val="none" w:sz="0" w:space="0" w:color="auto"/>
        <w:bottom w:val="none" w:sz="0" w:space="0" w:color="auto"/>
        <w:right w:val="none" w:sz="0" w:space="0" w:color="auto"/>
      </w:divBdr>
    </w:div>
    <w:div w:id="790369233">
      <w:bodyDiv w:val="1"/>
      <w:marLeft w:val="0"/>
      <w:marRight w:val="0"/>
      <w:marTop w:val="0"/>
      <w:marBottom w:val="0"/>
      <w:divBdr>
        <w:top w:val="none" w:sz="0" w:space="0" w:color="auto"/>
        <w:left w:val="none" w:sz="0" w:space="0" w:color="auto"/>
        <w:bottom w:val="none" w:sz="0" w:space="0" w:color="auto"/>
        <w:right w:val="none" w:sz="0" w:space="0" w:color="auto"/>
      </w:divBdr>
    </w:div>
    <w:div w:id="804389322">
      <w:bodyDiv w:val="1"/>
      <w:marLeft w:val="0"/>
      <w:marRight w:val="0"/>
      <w:marTop w:val="0"/>
      <w:marBottom w:val="0"/>
      <w:divBdr>
        <w:top w:val="none" w:sz="0" w:space="0" w:color="auto"/>
        <w:left w:val="none" w:sz="0" w:space="0" w:color="auto"/>
        <w:bottom w:val="none" w:sz="0" w:space="0" w:color="auto"/>
        <w:right w:val="none" w:sz="0" w:space="0" w:color="auto"/>
      </w:divBdr>
    </w:div>
    <w:div w:id="805854092">
      <w:bodyDiv w:val="1"/>
      <w:marLeft w:val="0"/>
      <w:marRight w:val="0"/>
      <w:marTop w:val="0"/>
      <w:marBottom w:val="0"/>
      <w:divBdr>
        <w:top w:val="none" w:sz="0" w:space="0" w:color="auto"/>
        <w:left w:val="none" w:sz="0" w:space="0" w:color="auto"/>
        <w:bottom w:val="none" w:sz="0" w:space="0" w:color="auto"/>
        <w:right w:val="none" w:sz="0" w:space="0" w:color="auto"/>
      </w:divBdr>
    </w:div>
    <w:div w:id="815997510">
      <w:bodyDiv w:val="1"/>
      <w:marLeft w:val="0"/>
      <w:marRight w:val="0"/>
      <w:marTop w:val="0"/>
      <w:marBottom w:val="0"/>
      <w:divBdr>
        <w:top w:val="none" w:sz="0" w:space="0" w:color="auto"/>
        <w:left w:val="none" w:sz="0" w:space="0" w:color="auto"/>
        <w:bottom w:val="none" w:sz="0" w:space="0" w:color="auto"/>
        <w:right w:val="none" w:sz="0" w:space="0" w:color="auto"/>
      </w:divBdr>
    </w:div>
    <w:div w:id="819879880">
      <w:bodyDiv w:val="1"/>
      <w:marLeft w:val="0"/>
      <w:marRight w:val="0"/>
      <w:marTop w:val="0"/>
      <w:marBottom w:val="0"/>
      <w:divBdr>
        <w:top w:val="none" w:sz="0" w:space="0" w:color="auto"/>
        <w:left w:val="none" w:sz="0" w:space="0" w:color="auto"/>
        <w:bottom w:val="none" w:sz="0" w:space="0" w:color="auto"/>
        <w:right w:val="none" w:sz="0" w:space="0" w:color="auto"/>
      </w:divBdr>
    </w:div>
    <w:div w:id="829172039">
      <w:bodyDiv w:val="1"/>
      <w:marLeft w:val="0"/>
      <w:marRight w:val="0"/>
      <w:marTop w:val="0"/>
      <w:marBottom w:val="0"/>
      <w:divBdr>
        <w:top w:val="none" w:sz="0" w:space="0" w:color="auto"/>
        <w:left w:val="none" w:sz="0" w:space="0" w:color="auto"/>
        <w:bottom w:val="none" w:sz="0" w:space="0" w:color="auto"/>
        <w:right w:val="none" w:sz="0" w:space="0" w:color="auto"/>
      </w:divBdr>
    </w:div>
    <w:div w:id="835681567">
      <w:bodyDiv w:val="1"/>
      <w:marLeft w:val="0"/>
      <w:marRight w:val="0"/>
      <w:marTop w:val="0"/>
      <w:marBottom w:val="0"/>
      <w:divBdr>
        <w:top w:val="none" w:sz="0" w:space="0" w:color="auto"/>
        <w:left w:val="none" w:sz="0" w:space="0" w:color="auto"/>
        <w:bottom w:val="none" w:sz="0" w:space="0" w:color="auto"/>
        <w:right w:val="none" w:sz="0" w:space="0" w:color="auto"/>
      </w:divBdr>
    </w:div>
    <w:div w:id="839855477">
      <w:bodyDiv w:val="1"/>
      <w:marLeft w:val="0"/>
      <w:marRight w:val="0"/>
      <w:marTop w:val="0"/>
      <w:marBottom w:val="0"/>
      <w:divBdr>
        <w:top w:val="none" w:sz="0" w:space="0" w:color="auto"/>
        <w:left w:val="none" w:sz="0" w:space="0" w:color="auto"/>
        <w:bottom w:val="none" w:sz="0" w:space="0" w:color="auto"/>
        <w:right w:val="none" w:sz="0" w:space="0" w:color="auto"/>
      </w:divBdr>
    </w:div>
    <w:div w:id="844978338">
      <w:bodyDiv w:val="1"/>
      <w:marLeft w:val="0"/>
      <w:marRight w:val="0"/>
      <w:marTop w:val="0"/>
      <w:marBottom w:val="0"/>
      <w:divBdr>
        <w:top w:val="none" w:sz="0" w:space="0" w:color="auto"/>
        <w:left w:val="none" w:sz="0" w:space="0" w:color="auto"/>
        <w:bottom w:val="none" w:sz="0" w:space="0" w:color="auto"/>
        <w:right w:val="none" w:sz="0" w:space="0" w:color="auto"/>
      </w:divBdr>
    </w:div>
    <w:div w:id="864368107">
      <w:bodyDiv w:val="1"/>
      <w:marLeft w:val="0"/>
      <w:marRight w:val="0"/>
      <w:marTop w:val="0"/>
      <w:marBottom w:val="0"/>
      <w:divBdr>
        <w:top w:val="none" w:sz="0" w:space="0" w:color="auto"/>
        <w:left w:val="none" w:sz="0" w:space="0" w:color="auto"/>
        <w:bottom w:val="none" w:sz="0" w:space="0" w:color="auto"/>
        <w:right w:val="none" w:sz="0" w:space="0" w:color="auto"/>
      </w:divBdr>
    </w:div>
    <w:div w:id="866794247">
      <w:bodyDiv w:val="1"/>
      <w:marLeft w:val="0"/>
      <w:marRight w:val="0"/>
      <w:marTop w:val="0"/>
      <w:marBottom w:val="0"/>
      <w:divBdr>
        <w:top w:val="none" w:sz="0" w:space="0" w:color="auto"/>
        <w:left w:val="none" w:sz="0" w:space="0" w:color="auto"/>
        <w:bottom w:val="none" w:sz="0" w:space="0" w:color="auto"/>
        <w:right w:val="none" w:sz="0" w:space="0" w:color="auto"/>
      </w:divBdr>
    </w:div>
    <w:div w:id="869614186">
      <w:bodyDiv w:val="1"/>
      <w:marLeft w:val="0"/>
      <w:marRight w:val="0"/>
      <w:marTop w:val="0"/>
      <w:marBottom w:val="0"/>
      <w:divBdr>
        <w:top w:val="none" w:sz="0" w:space="0" w:color="auto"/>
        <w:left w:val="none" w:sz="0" w:space="0" w:color="auto"/>
        <w:bottom w:val="none" w:sz="0" w:space="0" w:color="auto"/>
        <w:right w:val="none" w:sz="0" w:space="0" w:color="auto"/>
      </w:divBdr>
    </w:div>
    <w:div w:id="874124387">
      <w:bodyDiv w:val="1"/>
      <w:marLeft w:val="0"/>
      <w:marRight w:val="0"/>
      <w:marTop w:val="0"/>
      <w:marBottom w:val="0"/>
      <w:divBdr>
        <w:top w:val="none" w:sz="0" w:space="0" w:color="auto"/>
        <w:left w:val="none" w:sz="0" w:space="0" w:color="auto"/>
        <w:bottom w:val="none" w:sz="0" w:space="0" w:color="auto"/>
        <w:right w:val="none" w:sz="0" w:space="0" w:color="auto"/>
      </w:divBdr>
    </w:div>
    <w:div w:id="883715110">
      <w:bodyDiv w:val="1"/>
      <w:marLeft w:val="0"/>
      <w:marRight w:val="0"/>
      <w:marTop w:val="0"/>
      <w:marBottom w:val="0"/>
      <w:divBdr>
        <w:top w:val="none" w:sz="0" w:space="0" w:color="auto"/>
        <w:left w:val="none" w:sz="0" w:space="0" w:color="auto"/>
        <w:bottom w:val="none" w:sz="0" w:space="0" w:color="auto"/>
        <w:right w:val="none" w:sz="0" w:space="0" w:color="auto"/>
      </w:divBdr>
    </w:div>
    <w:div w:id="892618469">
      <w:bodyDiv w:val="1"/>
      <w:marLeft w:val="0"/>
      <w:marRight w:val="0"/>
      <w:marTop w:val="0"/>
      <w:marBottom w:val="0"/>
      <w:divBdr>
        <w:top w:val="none" w:sz="0" w:space="0" w:color="auto"/>
        <w:left w:val="none" w:sz="0" w:space="0" w:color="auto"/>
        <w:bottom w:val="none" w:sz="0" w:space="0" w:color="auto"/>
        <w:right w:val="none" w:sz="0" w:space="0" w:color="auto"/>
      </w:divBdr>
    </w:div>
    <w:div w:id="897517910">
      <w:bodyDiv w:val="1"/>
      <w:marLeft w:val="0"/>
      <w:marRight w:val="0"/>
      <w:marTop w:val="0"/>
      <w:marBottom w:val="0"/>
      <w:divBdr>
        <w:top w:val="none" w:sz="0" w:space="0" w:color="auto"/>
        <w:left w:val="none" w:sz="0" w:space="0" w:color="auto"/>
        <w:bottom w:val="none" w:sz="0" w:space="0" w:color="auto"/>
        <w:right w:val="none" w:sz="0" w:space="0" w:color="auto"/>
      </w:divBdr>
    </w:div>
    <w:div w:id="898521149">
      <w:bodyDiv w:val="1"/>
      <w:marLeft w:val="0"/>
      <w:marRight w:val="0"/>
      <w:marTop w:val="0"/>
      <w:marBottom w:val="0"/>
      <w:divBdr>
        <w:top w:val="none" w:sz="0" w:space="0" w:color="auto"/>
        <w:left w:val="none" w:sz="0" w:space="0" w:color="auto"/>
        <w:bottom w:val="none" w:sz="0" w:space="0" w:color="auto"/>
        <w:right w:val="none" w:sz="0" w:space="0" w:color="auto"/>
      </w:divBdr>
    </w:div>
    <w:div w:id="903760615">
      <w:bodyDiv w:val="1"/>
      <w:marLeft w:val="0"/>
      <w:marRight w:val="0"/>
      <w:marTop w:val="0"/>
      <w:marBottom w:val="0"/>
      <w:divBdr>
        <w:top w:val="none" w:sz="0" w:space="0" w:color="auto"/>
        <w:left w:val="none" w:sz="0" w:space="0" w:color="auto"/>
        <w:bottom w:val="none" w:sz="0" w:space="0" w:color="auto"/>
        <w:right w:val="none" w:sz="0" w:space="0" w:color="auto"/>
      </w:divBdr>
    </w:div>
    <w:div w:id="906458581">
      <w:bodyDiv w:val="1"/>
      <w:marLeft w:val="0"/>
      <w:marRight w:val="0"/>
      <w:marTop w:val="0"/>
      <w:marBottom w:val="0"/>
      <w:divBdr>
        <w:top w:val="none" w:sz="0" w:space="0" w:color="auto"/>
        <w:left w:val="none" w:sz="0" w:space="0" w:color="auto"/>
        <w:bottom w:val="none" w:sz="0" w:space="0" w:color="auto"/>
        <w:right w:val="none" w:sz="0" w:space="0" w:color="auto"/>
      </w:divBdr>
    </w:div>
    <w:div w:id="910627566">
      <w:bodyDiv w:val="1"/>
      <w:marLeft w:val="0"/>
      <w:marRight w:val="0"/>
      <w:marTop w:val="0"/>
      <w:marBottom w:val="0"/>
      <w:divBdr>
        <w:top w:val="none" w:sz="0" w:space="0" w:color="auto"/>
        <w:left w:val="none" w:sz="0" w:space="0" w:color="auto"/>
        <w:bottom w:val="none" w:sz="0" w:space="0" w:color="auto"/>
        <w:right w:val="none" w:sz="0" w:space="0" w:color="auto"/>
      </w:divBdr>
    </w:div>
    <w:div w:id="933513785">
      <w:bodyDiv w:val="1"/>
      <w:marLeft w:val="0"/>
      <w:marRight w:val="0"/>
      <w:marTop w:val="0"/>
      <w:marBottom w:val="0"/>
      <w:divBdr>
        <w:top w:val="none" w:sz="0" w:space="0" w:color="auto"/>
        <w:left w:val="none" w:sz="0" w:space="0" w:color="auto"/>
        <w:bottom w:val="none" w:sz="0" w:space="0" w:color="auto"/>
        <w:right w:val="none" w:sz="0" w:space="0" w:color="auto"/>
      </w:divBdr>
    </w:div>
    <w:div w:id="935480627">
      <w:bodyDiv w:val="1"/>
      <w:marLeft w:val="0"/>
      <w:marRight w:val="0"/>
      <w:marTop w:val="0"/>
      <w:marBottom w:val="0"/>
      <w:divBdr>
        <w:top w:val="none" w:sz="0" w:space="0" w:color="auto"/>
        <w:left w:val="none" w:sz="0" w:space="0" w:color="auto"/>
        <w:bottom w:val="none" w:sz="0" w:space="0" w:color="auto"/>
        <w:right w:val="none" w:sz="0" w:space="0" w:color="auto"/>
      </w:divBdr>
    </w:div>
    <w:div w:id="939798053">
      <w:bodyDiv w:val="1"/>
      <w:marLeft w:val="0"/>
      <w:marRight w:val="0"/>
      <w:marTop w:val="0"/>
      <w:marBottom w:val="0"/>
      <w:divBdr>
        <w:top w:val="none" w:sz="0" w:space="0" w:color="auto"/>
        <w:left w:val="none" w:sz="0" w:space="0" w:color="auto"/>
        <w:bottom w:val="none" w:sz="0" w:space="0" w:color="auto"/>
        <w:right w:val="none" w:sz="0" w:space="0" w:color="auto"/>
      </w:divBdr>
    </w:div>
    <w:div w:id="944386930">
      <w:bodyDiv w:val="1"/>
      <w:marLeft w:val="0"/>
      <w:marRight w:val="0"/>
      <w:marTop w:val="0"/>
      <w:marBottom w:val="0"/>
      <w:divBdr>
        <w:top w:val="none" w:sz="0" w:space="0" w:color="auto"/>
        <w:left w:val="none" w:sz="0" w:space="0" w:color="auto"/>
        <w:bottom w:val="none" w:sz="0" w:space="0" w:color="auto"/>
        <w:right w:val="none" w:sz="0" w:space="0" w:color="auto"/>
      </w:divBdr>
    </w:div>
    <w:div w:id="950165964">
      <w:bodyDiv w:val="1"/>
      <w:marLeft w:val="0"/>
      <w:marRight w:val="0"/>
      <w:marTop w:val="0"/>
      <w:marBottom w:val="0"/>
      <w:divBdr>
        <w:top w:val="none" w:sz="0" w:space="0" w:color="auto"/>
        <w:left w:val="none" w:sz="0" w:space="0" w:color="auto"/>
        <w:bottom w:val="none" w:sz="0" w:space="0" w:color="auto"/>
        <w:right w:val="none" w:sz="0" w:space="0" w:color="auto"/>
      </w:divBdr>
    </w:div>
    <w:div w:id="955453642">
      <w:bodyDiv w:val="1"/>
      <w:marLeft w:val="0"/>
      <w:marRight w:val="0"/>
      <w:marTop w:val="0"/>
      <w:marBottom w:val="0"/>
      <w:divBdr>
        <w:top w:val="none" w:sz="0" w:space="0" w:color="auto"/>
        <w:left w:val="none" w:sz="0" w:space="0" w:color="auto"/>
        <w:bottom w:val="none" w:sz="0" w:space="0" w:color="auto"/>
        <w:right w:val="none" w:sz="0" w:space="0" w:color="auto"/>
      </w:divBdr>
    </w:div>
    <w:div w:id="960502456">
      <w:bodyDiv w:val="1"/>
      <w:marLeft w:val="0"/>
      <w:marRight w:val="0"/>
      <w:marTop w:val="0"/>
      <w:marBottom w:val="0"/>
      <w:divBdr>
        <w:top w:val="none" w:sz="0" w:space="0" w:color="auto"/>
        <w:left w:val="none" w:sz="0" w:space="0" w:color="auto"/>
        <w:bottom w:val="none" w:sz="0" w:space="0" w:color="auto"/>
        <w:right w:val="none" w:sz="0" w:space="0" w:color="auto"/>
      </w:divBdr>
    </w:div>
    <w:div w:id="961686623">
      <w:bodyDiv w:val="1"/>
      <w:marLeft w:val="0"/>
      <w:marRight w:val="0"/>
      <w:marTop w:val="0"/>
      <w:marBottom w:val="0"/>
      <w:divBdr>
        <w:top w:val="none" w:sz="0" w:space="0" w:color="auto"/>
        <w:left w:val="none" w:sz="0" w:space="0" w:color="auto"/>
        <w:bottom w:val="none" w:sz="0" w:space="0" w:color="auto"/>
        <w:right w:val="none" w:sz="0" w:space="0" w:color="auto"/>
      </w:divBdr>
    </w:div>
    <w:div w:id="987787129">
      <w:bodyDiv w:val="1"/>
      <w:marLeft w:val="0"/>
      <w:marRight w:val="0"/>
      <w:marTop w:val="0"/>
      <w:marBottom w:val="0"/>
      <w:divBdr>
        <w:top w:val="none" w:sz="0" w:space="0" w:color="auto"/>
        <w:left w:val="none" w:sz="0" w:space="0" w:color="auto"/>
        <w:bottom w:val="none" w:sz="0" w:space="0" w:color="auto"/>
        <w:right w:val="none" w:sz="0" w:space="0" w:color="auto"/>
      </w:divBdr>
    </w:div>
    <w:div w:id="988559571">
      <w:bodyDiv w:val="1"/>
      <w:marLeft w:val="0"/>
      <w:marRight w:val="0"/>
      <w:marTop w:val="0"/>
      <w:marBottom w:val="0"/>
      <w:divBdr>
        <w:top w:val="none" w:sz="0" w:space="0" w:color="auto"/>
        <w:left w:val="none" w:sz="0" w:space="0" w:color="auto"/>
        <w:bottom w:val="none" w:sz="0" w:space="0" w:color="auto"/>
        <w:right w:val="none" w:sz="0" w:space="0" w:color="auto"/>
      </w:divBdr>
    </w:div>
    <w:div w:id="990400534">
      <w:bodyDiv w:val="1"/>
      <w:marLeft w:val="0"/>
      <w:marRight w:val="0"/>
      <w:marTop w:val="0"/>
      <w:marBottom w:val="0"/>
      <w:divBdr>
        <w:top w:val="none" w:sz="0" w:space="0" w:color="auto"/>
        <w:left w:val="none" w:sz="0" w:space="0" w:color="auto"/>
        <w:bottom w:val="none" w:sz="0" w:space="0" w:color="auto"/>
        <w:right w:val="none" w:sz="0" w:space="0" w:color="auto"/>
      </w:divBdr>
    </w:div>
    <w:div w:id="994138608">
      <w:bodyDiv w:val="1"/>
      <w:marLeft w:val="0"/>
      <w:marRight w:val="0"/>
      <w:marTop w:val="0"/>
      <w:marBottom w:val="0"/>
      <w:divBdr>
        <w:top w:val="none" w:sz="0" w:space="0" w:color="auto"/>
        <w:left w:val="none" w:sz="0" w:space="0" w:color="auto"/>
        <w:bottom w:val="none" w:sz="0" w:space="0" w:color="auto"/>
        <w:right w:val="none" w:sz="0" w:space="0" w:color="auto"/>
      </w:divBdr>
    </w:div>
    <w:div w:id="1003825592">
      <w:bodyDiv w:val="1"/>
      <w:marLeft w:val="0"/>
      <w:marRight w:val="0"/>
      <w:marTop w:val="0"/>
      <w:marBottom w:val="0"/>
      <w:divBdr>
        <w:top w:val="none" w:sz="0" w:space="0" w:color="auto"/>
        <w:left w:val="none" w:sz="0" w:space="0" w:color="auto"/>
        <w:bottom w:val="none" w:sz="0" w:space="0" w:color="auto"/>
        <w:right w:val="none" w:sz="0" w:space="0" w:color="auto"/>
      </w:divBdr>
      <w:divsChild>
        <w:div w:id="1837839924">
          <w:marLeft w:val="0"/>
          <w:marRight w:val="0"/>
          <w:marTop w:val="0"/>
          <w:marBottom w:val="0"/>
          <w:divBdr>
            <w:top w:val="none" w:sz="0" w:space="0" w:color="auto"/>
            <w:left w:val="none" w:sz="0" w:space="0" w:color="auto"/>
            <w:bottom w:val="none" w:sz="0" w:space="0" w:color="auto"/>
            <w:right w:val="none" w:sz="0" w:space="0" w:color="auto"/>
          </w:divBdr>
        </w:div>
        <w:div w:id="325861126">
          <w:marLeft w:val="0"/>
          <w:marRight w:val="0"/>
          <w:marTop w:val="0"/>
          <w:marBottom w:val="0"/>
          <w:divBdr>
            <w:top w:val="none" w:sz="0" w:space="0" w:color="auto"/>
            <w:left w:val="none" w:sz="0" w:space="0" w:color="auto"/>
            <w:bottom w:val="none" w:sz="0" w:space="0" w:color="auto"/>
            <w:right w:val="none" w:sz="0" w:space="0" w:color="auto"/>
          </w:divBdr>
        </w:div>
        <w:div w:id="1601330872">
          <w:marLeft w:val="0"/>
          <w:marRight w:val="0"/>
          <w:marTop w:val="0"/>
          <w:marBottom w:val="0"/>
          <w:divBdr>
            <w:top w:val="none" w:sz="0" w:space="0" w:color="auto"/>
            <w:left w:val="none" w:sz="0" w:space="0" w:color="auto"/>
            <w:bottom w:val="none" w:sz="0" w:space="0" w:color="auto"/>
            <w:right w:val="none" w:sz="0" w:space="0" w:color="auto"/>
          </w:divBdr>
        </w:div>
        <w:div w:id="1253708903">
          <w:marLeft w:val="0"/>
          <w:marRight w:val="0"/>
          <w:marTop w:val="0"/>
          <w:marBottom w:val="0"/>
          <w:divBdr>
            <w:top w:val="none" w:sz="0" w:space="0" w:color="auto"/>
            <w:left w:val="none" w:sz="0" w:space="0" w:color="auto"/>
            <w:bottom w:val="none" w:sz="0" w:space="0" w:color="auto"/>
            <w:right w:val="none" w:sz="0" w:space="0" w:color="auto"/>
          </w:divBdr>
        </w:div>
      </w:divsChild>
    </w:div>
    <w:div w:id="1007514540">
      <w:bodyDiv w:val="1"/>
      <w:marLeft w:val="0"/>
      <w:marRight w:val="0"/>
      <w:marTop w:val="0"/>
      <w:marBottom w:val="0"/>
      <w:divBdr>
        <w:top w:val="none" w:sz="0" w:space="0" w:color="auto"/>
        <w:left w:val="none" w:sz="0" w:space="0" w:color="auto"/>
        <w:bottom w:val="none" w:sz="0" w:space="0" w:color="auto"/>
        <w:right w:val="none" w:sz="0" w:space="0" w:color="auto"/>
      </w:divBdr>
    </w:div>
    <w:div w:id="1031028376">
      <w:bodyDiv w:val="1"/>
      <w:marLeft w:val="0"/>
      <w:marRight w:val="0"/>
      <w:marTop w:val="0"/>
      <w:marBottom w:val="0"/>
      <w:divBdr>
        <w:top w:val="none" w:sz="0" w:space="0" w:color="auto"/>
        <w:left w:val="none" w:sz="0" w:space="0" w:color="auto"/>
        <w:bottom w:val="none" w:sz="0" w:space="0" w:color="auto"/>
        <w:right w:val="none" w:sz="0" w:space="0" w:color="auto"/>
      </w:divBdr>
    </w:div>
    <w:div w:id="1033308627">
      <w:bodyDiv w:val="1"/>
      <w:marLeft w:val="0"/>
      <w:marRight w:val="0"/>
      <w:marTop w:val="0"/>
      <w:marBottom w:val="0"/>
      <w:divBdr>
        <w:top w:val="none" w:sz="0" w:space="0" w:color="auto"/>
        <w:left w:val="none" w:sz="0" w:space="0" w:color="auto"/>
        <w:bottom w:val="none" w:sz="0" w:space="0" w:color="auto"/>
        <w:right w:val="none" w:sz="0" w:space="0" w:color="auto"/>
      </w:divBdr>
    </w:div>
    <w:div w:id="1056900162">
      <w:bodyDiv w:val="1"/>
      <w:marLeft w:val="0"/>
      <w:marRight w:val="0"/>
      <w:marTop w:val="0"/>
      <w:marBottom w:val="0"/>
      <w:divBdr>
        <w:top w:val="none" w:sz="0" w:space="0" w:color="auto"/>
        <w:left w:val="none" w:sz="0" w:space="0" w:color="auto"/>
        <w:bottom w:val="none" w:sz="0" w:space="0" w:color="auto"/>
        <w:right w:val="none" w:sz="0" w:space="0" w:color="auto"/>
      </w:divBdr>
    </w:div>
    <w:div w:id="1071806973">
      <w:bodyDiv w:val="1"/>
      <w:marLeft w:val="0"/>
      <w:marRight w:val="0"/>
      <w:marTop w:val="0"/>
      <w:marBottom w:val="0"/>
      <w:divBdr>
        <w:top w:val="none" w:sz="0" w:space="0" w:color="auto"/>
        <w:left w:val="none" w:sz="0" w:space="0" w:color="auto"/>
        <w:bottom w:val="none" w:sz="0" w:space="0" w:color="auto"/>
        <w:right w:val="none" w:sz="0" w:space="0" w:color="auto"/>
      </w:divBdr>
    </w:div>
    <w:div w:id="1074165331">
      <w:bodyDiv w:val="1"/>
      <w:marLeft w:val="0"/>
      <w:marRight w:val="0"/>
      <w:marTop w:val="0"/>
      <w:marBottom w:val="0"/>
      <w:divBdr>
        <w:top w:val="none" w:sz="0" w:space="0" w:color="auto"/>
        <w:left w:val="none" w:sz="0" w:space="0" w:color="auto"/>
        <w:bottom w:val="none" w:sz="0" w:space="0" w:color="auto"/>
        <w:right w:val="none" w:sz="0" w:space="0" w:color="auto"/>
      </w:divBdr>
    </w:div>
    <w:div w:id="1077895742">
      <w:bodyDiv w:val="1"/>
      <w:marLeft w:val="0"/>
      <w:marRight w:val="0"/>
      <w:marTop w:val="0"/>
      <w:marBottom w:val="0"/>
      <w:divBdr>
        <w:top w:val="none" w:sz="0" w:space="0" w:color="auto"/>
        <w:left w:val="none" w:sz="0" w:space="0" w:color="auto"/>
        <w:bottom w:val="none" w:sz="0" w:space="0" w:color="auto"/>
        <w:right w:val="none" w:sz="0" w:space="0" w:color="auto"/>
      </w:divBdr>
    </w:div>
    <w:div w:id="1088379544">
      <w:bodyDiv w:val="1"/>
      <w:marLeft w:val="0"/>
      <w:marRight w:val="0"/>
      <w:marTop w:val="0"/>
      <w:marBottom w:val="0"/>
      <w:divBdr>
        <w:top w:val="none" w:sz="0" w:space="0" w:color="auto"/>
        <w:left w:val="none" w:sz="0" w:space="0" w:color="auto"/>
        <w:bottom w:val="none" w:sz="0" w:space="0" w:color="auto"/>
        <w:right w:val="none" w:sz="0" w:space="0" w:color="auto"/>
      </w:divBdr>
    </w:div>
    <w:div w:id="1089079761">
      <w:bodyDiv w:val="1"/>
      <w:marLeft w:val="0"/>
      <w:marRight w:val="0"/>
      <w:marTop w:val="0"/>
      <w:marBottom w:val="0"/>
      <w:divBdr>
        <w:top w:val="none" w:sz="0" w:space="0" w:color="auto"/>
        <w:left w:val="none" w:sz="0" w:space="0" w:color="auto"/>
        <w:bottom w:val="none" w:sz="0" w:space="0" w:color="auto"/>
        <w:right w:val="none" w:sz="0" w:space="0" w:color="auto"/>
      </w:divBdr>
    </w:div>
    <w:div w:id="1102071678">
      <w:bodyDiv w:val="1"/>
      <w:marLeft w:val="0"/>
      <w:marRight w:val="0"/>
      <w:marTop w:val="0"/>
      <w:marBottom w:val="0"/>
      <w:divBdr>
        <w:top w:val="none" w:sz="0" w:space="0" w:color="auto"/>
        <w:left w:val="none" w:sz="0" w:space="0" w:color="auto"/>
        <w:bottom w:val="none" w:sz="0" w:space="0" w:color="auto"/>
        <w:right w:val="none" w:sz="0" w:space="0" w:color="auto"/>
      </w:divBdr>
    </w:div>
    <w:div w:id="1105884421">
      <w:bodyDiv w:val="1"/>
      <w:marLeft w:val="0"/>
      <w:marRight w:val="0"/>
      <w:marTop w:val="0"/>
      <w:marBottom w:val="0"/>
      <w:divBdr>
        <w:top w:val="none" w:sz="0" w:space="0" w:color="auto"/>
        <w:left w:val="none" w:sz="0" w:space="0" w:color="auto"/>
        <w:bottom w:val="none" w:sz="0" w:space="0" w:color="auto"/>
        <w:right w:val="none" w:sz="0" w:space="0" w:color="auto"/>
      </w:divBdr>
    </w:div>
    <w:div w:id="1108741860">
      <w:bodyDiv w:val="1"/>
      <w:marLeft w:val="0"/>
      <w:marRight w:val="0"/>
      <w:marTop w:val="0"/>
      <w:marBottom w:val="0"/>
      <w:divBdr>
        <w:top w:val="none" w:sz="0" w:space="0" w:color="auto"/>
        <w:left w:val="none" w:sz="0" w:space="0" w:color="auto"/>
        <w:bottom w:val="none" w:sz="0" w:space="0" w:color="auto"/>
        <w:right w:val="none" w:sz="0" w:space="0" w:color="auto"/>
      </w:divBdr>
    </w:div>
    <w:div w:id="1112630477">
      <w:bodyDiv w:val="1"/>
      <w:marLeft w:val="0"/>
      <w:marRight w:val="0"/>
      <w:marTop w:val="0"/>
      <w:marBottom w:val="0"/>
      <w:divBdr>
        <w:top w:val="none" w:sz="0" w:space="0" w:color="auto"/>
        <w:left w:val="none" w:sz="0" w:space="0" w:color="auto"/>
        <w:bottom w:val="none" w:sz="0" w:space="0" w:color="auto"/>
        <w:right w:val="none" w:sz="0" w:space="0" w:color="auto"/>
      </w:divBdr>
    </w:div>
    <w:div w:id="1112821429">
      <w:bodyDiv w:val="1"/>
      <w:marLeft w:val="0"/>
      <w:marRight w:val="0"/>
      <w:marTop w:val="0"/>
      <w:marBottom w:val="0"/>
      <w:divBdr>
        <w:top w:val="none" w:sz="0" w:space="0" w:color="auto"/>
        <w:left w:val="none" w:sz="0" w:space="0" w:color="auto"/>
        <w:bottom w:val="none" w:sz="0" w:space="0" w:color="auto"/>
        <w:right w:val="none" w:sz="0" w:space="0" w:color="auto"/>
      </w:divBdr>
    </w:div>
    <w:div w:id="1112942315">
      <w:bodyDiv w:val="1"/>
      <w:marLeft w:val="0"/>
      <w:marRight w:val="0"/>
      <w:marTop w:val="0"/>
      <w:marBottom w:val="0"/>
      <w:divBdr>
        <w:top w:val="none" w:sz="0" w:space="0" w:color="auto"/>
        <w:left w:val="none" w:sz="0" w:space="0" w:color="auto"/>
        <w:bottom w:val="none" w:sz="0" w:space="0" w:color="auto"/>
        <w:right w:val="none" w:sz="0" w:space="0" w:color="auto"/>
      </w:divBdr>
    </w:div>
    <w:div w:id="1119299182">
      <w:bodyDiv w:val="1"/>
      <w:marLeft w:val="0"/>
      <w:marRight w:val="0"/>
      <w:marTop w:val="0"/>
      <w:marBottom w:val="0"/>
      <w:divBdr>
        <w:top w:val="none" w:sz="0" w:space="0" w:color="auto"/>
        <w:left w:val="none" w:sz="0" w:space="0" w:color="auto"/>
        <w:bottom w:val="none" w:sz="0" w:space="0" w:color="auto"/>
        <w:right w:val="none" w:sz="0" w:space="0" w:color="auto"/>
      </w:divBdr>
    </w:div>
    <w:div w:id="1121072127">
      <w:bodyDiv w:val="1"/>
      <w:marLeft w:val="0"/>
      <w:marRight w:val="0"/>
      <w:marTop w:val="0"/>
      <w:marBottom w:val="0"/>
      <w:divBdr>
        <w:top w:val="none" w:sz="0" w:space="0" w:color="auto"/>
        <w:left w:val="none" w:sz="0" w:space="0" w:color="auto"/>
        <w:bottom w:val="none" w:sz="0" w:space="0" w:color="auto"/>
        <w:right w:val="none" w:sz="0" w:space="0" w:color="auto"/>
      </w:divBdr>
    </w:div>
    <w:div w:id="1126049007">
      <w:bodyDiv w:val="1"/>
      <w:marLeft w:val="0"/>
      <w:marRight w:val="0"/>
      <w:marTop w:val="0"/>
      <w:marBottom w:val="0"/>
      <w:divBdr>
        <w:top w:val="none" w:sz="0" w:space="0" w:color="auto"/>
        <w:left w:val="none" w:sz="0" w:space="0" w:color="auto"/>
        <w:bottom w:val="none" w:sz="0" w:space="0" w:color="auto"/>
        <w:right w:val="none" w:sz="0" w:space="0" w:color="auto"/>
      </w:divBdr>
    </w:div>
    <w:div w:id="1148747226">
      <w:bodyDiv w:val="1"/>
      <w:marLeft w:val="0"/>
      <w:marRight w:val="0"/>
      <w:marTop w:val="0"/>
      <w:marBottom w:val="0"/>
      <w:divBdr>
        <w:top w:val="none" w:sz="0" w:space="0" w:color="auto"/>
        <w:left w:val="none" w:sz="0" w:space="0" w:color="auto"/>
        <w:bottom w:val="none" w:sz="0" w:space="0" w:color="auto"/>
        <w:right w:val="none" w:sz="0" w:space="0" w:color="auto"/>
      </w:divBdr>
    </w:div>
    <w:div w:id="1152522084">
      <w:bodyDiv w:val="1"/>
      <w:marLeft w:val="0"/>
      <w:marRight w:val="0"/>
      <w:marTop w:val="0"/>
      <w:marBottom w:val="0"/>
      <w:divBdr>
        <w:top w:val="none" w:sz="0" w:space="0" w:color="auto"/>
        <w:left w:val="none" w:sz="0" w:space="0" w:color="auto"/>
        <w:bottom w:val="none" w:sz="0" w:space="0" w:color="auto"/>
        <w:right w:val="none" w:sz="0" w:space="0" w:color="auto"/>
      </w:divBdr>
    </w:div>
    <w:div w:id="1164083093">
      <w:bodyDiv w:val="1"/>
      <w:marLeft w:val="0"/>
      <w:marRight w:val="0"/>
      <w:marTop w:val="0"/>
      <w:marBottom w:val="0"/>
      <w:divBdr>
        <w:top w:val="none" w:sz="0" w:space="0" w:color="auto"/>
        <w:left w:val="none" w:sz="0" w:space="0" w:color="auto"/>
        <w:bottom w:val="none" w:sz="0" w:space="0" w:color="auto"/>
        <w:right w:val="none" w:sz="0" w:space="0" w:color="auto"/>
      </w:divBdr>
      <w:divsChild>
        <w:div w:id="40716105">
          <w:marLeft w:val="0"/>
          <w:marRight w:val="0"/>
          <w:marTop w:val="0"/>
          <w:marBottom w:val="0"/>
          <w:divBdr>
            <w:top w:val="none" w:sz="0" w:space="0" w:color="auto"/>
            <w:left w:val="none" w:sz="0" w:space="0" w:color="auto"/>
            <w:bottom w:val="none" w:sz="0" w:space="0" w:color="auto"/>
            <w:right w:val="none" w:sz="0" w:space="0" w:color="auto"/>
          </w:divBdr>
          <w:divsChild>
            <w:div w:id="739640663">
              <w:marLeft w:val="0"/>
              <w:marRight w:val="0"/>
              <w:marTop w:val="0"/>
              <w:marBottom w:val="0"/>
              <w:divBdr>
                <w:top w:val="none" w:sz="0" w:space="0" w:color="auto"/>
                <w:left w:val="none" w:sz="0" w:space="0" w:color="auto"/>
                <w:bottom w:val="none" w:sz="0" w:space="0" w:color="auto"/>
                <w:right w:val="none" w:sz="0" w:space="0" w:color="auto"/>
              </w:divBdr>
            </w:div>
            <w:div w:id="1042094322">
              <w:marLeft w:val="0"/>
              <w:marRight w:val="0"/>
              <w:marTop w:val="0"/>
              <w:marBottom w:val="0"/>
              <w:divBdr>
                <w:top w:val="none" w:sz="0" w:space="0" w:color="auto"/>
                <w:left w:val="none" w:sz="0" w:space="0" w:color="auto"/>
                <w:bottom w:val="none" w:sz="0" w:space="0" w:color="auto"/>
                <w:right w:val="none" w:sz="0" w:space="0" w:color="auto"/>
              </w:divBdr>
            </w:div>
            <w:div w:id="1362559513">
              <w:marLeft w:val="0"/>
              <w:marRight w:val="0"/>
              <w:marTop w:val="0"/>
              <w:marBottom w:val="0"/>
              <w:divBdr>
                <w:top w:val="none" w:sz="0" w:space="0" w:color="auto"/>
                <w:left w:val="none" w:sz="0" w:space="0" w:color="auto"/>
                <w:bottom w:val="none" w:sz="0" w:space="0" w:color="auto"/>
                <w:right w:val="none" w:sz="0" w:space="0" w:color="auto"/>
              </w:divBdr>
            </w:div>
            <w:div w:id="1874075868">
              <w:marLeft w:val="0"/>
              <w:marRight w:val="0"/>
              <w:marTop w:val="0"/>
              <w:marBottom w:val="0"/>
              <w:divBdr>
                <w:top w:val="none" w:sz="0" w:space="0" w:color="auto"/>
                <w:left w:val="none" w:sz="0" w:space="0" w:color="auto"/>
                <w:bottom w:val="none" w:sz="0" w:space="0" w:color="auto"/>
                <w:right w:val="none" w:sz="0" w:space="0" w:color="auto"/>
              </w:divBdr>
            </w:div>
            <w:div w:id="2107310424">
              <w:marLeft w:val="0"/>
              <w:marRight w:val="0"/>
              <w:marTop w:val="0"/>
              <w:marBottom w:val="0"/>
              <w:divBdr>
                <w:top w:val="none" w:sz="0" w:space="0" w:color="auto"/>
                <w:left w:val="none" w:sz="0" w:space="0" w:color="auto"/>
                <w:bottom w:val="none" w:sz="0" w:space="0" w:color="auto"/>
                <w:right w:val="none" w:sz="0" w:space="0" w:color="auto"/>
              </w:divBdr>
            </w:div>
          </w:divsChild>
        </w:div>
        <w:div w:id="75564645">
          <w:marLeft w:val="0"/>
          <w:marRight w:val="0"/>
          <w:marTop w:val="0"/>
          <w:marBottom w:val="0"/>
          <w:divBdr>
            <w:top w:val="none" w:sz="0" w:space="0" w:color="auto"/>
            <w:left w:val="none" w:sz="0" w:space="0" w:color="auto"/>
            <w:bottom w:val="none" w:sz="0" w:space="0" w:color="auto"/>
            <w:right w:val="none" w:sz="0" w:space="0" w:color="auto"/>
          </w:divBdr>
        </w:div>
        <w:div w:id="113598412">
          <w:marLeft w:val="0"/>
          <w:marRight w:val="0"/>
          <w:marTop w:val="0"/>
          <w:marBottom w:val="0"/>
          <w:divBdr>
            <w:top w:val="none" w:sz="0" w:space="0" w:color="auto"/>
            <w:left w:val="none" w:sz="0" w:space="0" w:color="auto"/>
            <w:bottom w:val="none" w:sz="0" w:space="0" w:color="auto"/>
            <w:right w:val="none" w:sz="0" w:space="0" w:color="auto"/>
          </w:divBdr>
        </w:div>
        <w:div w:id="149443456">
          <w:marLeft w:val="0"/>
          <w:marRight w:val="0"/>
          <w:marTop w:val="0"/>
          <w:marBottom w:val="0"/>
          <w:divBdr>
            <w:top w:val="none" w:sz="0" w:space="0" w:color="auto"/>
            <w:left w:val="none" w:sz="0" w:space="0" w:color="auto"/>
            <w:bottom w:val="none" w:sz="0" w:space="0" w:color="auto"/>
            <w:right w:val="none" w:sz="0" w:space="0" w:color="auto"/>
          </w:divBdr>
          <w:divsChild>
            <w:div w:id="316030925">
              <w:marLeft w:val="0"/>
              <w:marRight w:val="0"/>
              <w:marTop w:val="0"/>
              <w:marBottom w:val="0"/>
              <w:divBdr>
                <w:top w:val="none" w:sz="0" w:space="0" w:color="auto"/>
                <w:left w:val="none" w:sz="0" w:space="0" w:color="auto"/>
                <w:bottom w:val="none" w:sz="0" w:space="0" w:color="auto"/>
                <w:right w:val="none" w:sz="0" w:space="0" w:color="auto"/>
              </w:divBdr>
            </w:div>
            <w:div w:id="327948046">
              <w:marLeft w:val="0"/>
              <w:marRight w:val="0"/>
              <w:marTop w:val="0"/>
              <w:marBottom w:val="0"/>
              <w:divBdr>
                <w:top w:val="none" w:sz="0" w:space="0" w:color="auto"/>
                <w:left w:val="none" w:sz="0" w:space="0" w:color="auto"/>
                <w:bottom w:val="none" w:sz="0" w:space="0" w:color="auto"/>
                <w:right w:val="none" w:sz="0" w:space="0" w:color="auto"/>
              </w:divBdr>
            </w:div>
            <w:div w:id="533494966">
              <w:marLeft w:val="0"/>
              <w:marRight w:val="0"/>
              <w:marTop w:val="0"/>
              <w:marBottom w:val="0"/>
              <w:divBdr>
                <w:top w:val="none" w:sz="0" w:space="0" w:color="auto"/>
                <w:left w:val="none" w:sz="0" w:space="0" w:color="auto"/>
                <w:bottom w:val="none" w:sz="0" w:space="0" w:color="auto"/>
                <w:right w:val="none" w:sz="0" w:space="0" w:color="auto"/>
              </w:divBdr>
            </w:div>
            <w:div w:id="715275258">
              <w:marLeft w:val="0"/>
              <w:marRight w:val="0"/>
              <w:marTop w:val="0"/>
              <w:marBottom w:val="0"/>
              <w:divBdr>
                <w:top w:val="none" w:sz="0" w:space="0" w:color="auto"/>
                <w:left w:val="none" w:sz="0" w:space="0" w:color="auto"/>
                <w:bottom w:val="none" w:sz="0" w:space="0" w:color="auto"/>
                <w:right w:val="none" w:sz="0" w:space="0" w:color="auto"/>
              </w:divBdr>
            </w:div>
            <w:div w:id="2053114434">
              <w:marLeft w:val="0"/>
              <w:marRight w:val="0"/>
              <w:marTop w:val="0"/>
              <w:marBottom w:val="0"/>
              <w:divBdr>
                <w:top w:val="none" w:sz="0" w:space="0" w:color="auto"/>
                <w:left w:val="none" w:sz="0" w:space="0" w:color="auto"/>
                <w:bottom w:val="none" w:sz="0" w:space="0" w:color="auto"/>
                <w:right w:val="none" w:sz="0" w:space="0" w:color="auto"/>
              </w:divBdr>
            </w:div>
          </w:divsChild>
        </w:div>
        <w:div w:id="182790983">
          <w:marLeft w:val="0"/>
          <w:marRight w:val="0"/>
          <w:marTop w:val="0"/>
          <w:marBottom w:val="0"/>
          <w:divBdr>
            <w:top w:val="none" w:sz="0" w:space="0" w:color="auto"/>
            <w:left w:val="none" w:sz="0" w:space="0" w:color="auto"/>
            <w:bottom w:val="none" w:sz="0" w:space="0" w:color="auto"/>
            <w:right w:val="none" w:sz="0" w:space="0" w:color="auto"/>
          </w:divBdr>
        </w:div>
        <w:div w:id="188228327">
          <w:marLeft w:val="0"/>
          <w:marRight w:val="0"/>
          <w:marTop w:val="0"/>
          <w:marBottom w:val="0"/>
          <w:divBdr>
            <w:top w:val="none" w:sz="0" w:space="0" w:color="auto"/>
            <w:left w:val="none" w:sz="0" w:space="0" w:color="auto"/>
            <w:bottom w:val="none" w:sz="0" w:space="0" w:color="auto"/>
            <w:right w:val="none" w:sz="0" w:space="0" w:color="auto"/>
          </w:divBdr>
        </w:div>
        <w:div w:id="196818578">
          <w:marLeft w:val="0"/>
          <w:marRight w:val="0"/>
          <w:marTop w:val="0"/>
          <w:marBottom w:val="0"/>
          <w:divBdr>
            <w:top w:val="none" w:sz="0" w:space="0" w:color="auto"/>
            <w:left w:val="none" w:sz="0" w:space="0" w:color="auto"/>
            <w:bottom w:val="none" w:sz="0" w:space="0" w:color="auto"/>
            <w:right w:val="none" w:sz="0" w:space="0" w:color="auto"/>
          </w:divBdr>
        </w:div>
        <w:div w:id="220022782">
          <w:marLeft w:val="0"/>
          <w:marRight w:val="0"/>
          <w:marTop w:val="0"/>
          <w:marBottom w:val="0"/>
          <w:divBdr>
            <w:top w:val="none" w:sz="0" w:space="0" w:color="auto"/>
            <w:left w:val="none" w:sz="0" w:space="0" w:color="auto"/>
            <w:bottom w:val="none" w:sz="0" w:space="0" w:color="auto"/>
            <w:right w:val="none" w:sz="0" w:space="0" w:color="auto"/>
          </w:divBdr>
        </w:div>
        <w:div w:id="231156574">
          <w:marLeft w:val="0"/>
          <w:marRight w:val="0"/>
          <w:marTop w:val="0"/>
          <w:marBottom w:val="0"/>
          <w:divBdr>
            <w:top w:val="none" w:sz="0" w:space="0" w:color="auto"/>
            <w:left w:val="none" w:sz="0" w:space="0" w:color="auto"/>
            <w:bottom w:val="none" w:sz="0" w:space="0" w:color="auto"/>
            <w:right w:val="none" w:sz="0" w:space="0" w:color="auto"/>
          </w:divBdr>
        </w:div>
        <w:div w:id="278997164">
          <w:marLeft w:val="0"/>
          <w:marRight w:val="0"/>
          <w:marTop w:val="0"/>
          <w:marBottom w:val="0"/>
          <w:divBdr>
            <w:top w:val="none" w:sz="0" w:space="0" w:color="auto"/>
            <w:left w:val="none" w:sz="0" w:space="0" w:color="auto"/>
            <w:bottom w:val="none" w:sz="0" w:space="0" w:color="auto"/>
            <w:right w:val="none" w:sz="0" w:space="0" w:color="auto"/>
          </w:divBdr>
        </w:div>
        <w:div w:id="284654974">
          <w:marLeft w:val="0"/>
          <w:marRight w:val="0"/>
          <w:marTop w:val="0"/>
          <w:marBottom w:val="0"/>
          <w:divBdr>
            <w:top w:val="none" w:sz="0" w:space="0" w:color="auto"/>
            <w:left w:val="none" w:sz="0" w:space="0" w:color="auto"/>
            <w:bottom w:val="none" w:sz="0" w:space="0" w:color="auto"/>
            <w:right w:val="none" w:sz="0" w:space="0" w:color="auto"/>
          </w:divBdr>
        </w:div>
        <w:div w:id="290214753">
          <w:marLeft w:val="0"/>
          <w:marRight w:val="0"/>
          <w:marTop w:val="0"/>
          <w:marBottom w:val="0"/>
          <w:divBdr>
            <w:top w:val="none" w:sz="0" w:space="0" w:color="auto"/>
            <w:left w:val="none" w:sz="0" w:space="0" w:color="auto"/>
            <w:bottom w:val="none" w:sz="0" w:space="0" w:color="auto"/>
            <w:right w:val="none" w:sz="0" w:space="0" w:color="auto"/>
          </w:divBdr>
          <w:divsChild>
            <w:div w:id="13851607">
              <w:marLeft w:val="0"/>
              <w:marRight w:val="0"/>
              <w:marTop w:val="0"/>
              <w:marBottom w:val="0"/>
              <w:divBdr>
                <w:top w:val="none" w:sz="0" w:space="0" w:color="auto"/>
                <w:left w:val="none" w:sz="0" w:space="0" w:color="auto"/>
                <w:bottom w:val="none" w:sz="0" w:space="0" w:color="auto"/>
                <w:right w:val="none" w:sz="0" w:space="0" w:color="auto"/>
              </w:divBdr>
            </w:div>
            <w:div w:id="106312122">
              <w:marLeft w:val="0"/>
              <w:marRight w:val="0"/>
              <w:marTop w:val="0"/>
              <w:marBottom w:val="0"/>
              <w:divBdr>
                <w:top w:val="none" w:sz="0" w:space="0" w:color="auto"/>
                <w:left w:val="none" w:sz="0" w:space="0" w:color="auto"/>
                <w:bottom w:val="none" w:sz="0" w:space="0" w:color="auto"/>
                <w:right w:val="none" w:sz="0" w:space="0" w:color="auto"/>
              </w:divBdr>
            </w:div>
            <w:div w:id="446969086">
              <w:marLeft w:val="0"/>
              <w:marRight w:val="0"/>
              <w:marTop w:val="0"/>
              <w:marBottom w:val="0"/>
              <w:divBdr>
                <w:top w:val="none" w:sz="0" w:space="0" w:color="auto"/>
                <w:left w:val="none" w:sz="0" w:space="0" w:color="auto"/>
                <w:bottom w:val="none" w:sz="0" w:space="0" w:color="auto"/>
                <w:right w:val="none" w:sz="0" w:space="0" w:color="auto"/>
              </w:divBdr>
            </w:div>
            <w:div w:id="1342006064">
              <w:marLeft w:val="0"/>
              <w:marRight w:val="0"/>
              <w:marTop w:val="0"/>
              <w:marBottom w:val="0"/>
              <w:divBdr>
                <w:top w:val="none" w:sz="0" w:space="0" w:color="auto"/>
                <w:left w:val="none" w:sz="0" w:space="0" w:color="auto"/>
                <w:bottom w:val="none" w:sz="0" w:space="0" w:color="auto"/>
                <w:right w:val="none" w:sz="0" w:space="0" w:color="auto"/>
              </w:divBdr>
            </w:div>
            <w:div w:id="2072849995">
              <w:marLeft w:val="0"/>
              <w:marRight w:val="0"/>
              <w:marTop w:val="0"/>
              <w:marBottom w:val="0"/>
              <w:divBdr>
                <w:top w:val="none" w:sz="0" w:space="0" w:color="auto"/>
                <w:left w:val="none" w:sz="0" w:space="0" w:color="auto"/>
                <w:bottom w:val="none" w:sz="0" w:space="0" w:color="auto"/>
                <w:right w:val="none" w:sz="0" w:space="0" w:color="auto"/>
              </w:divBdr>
            </w:div>
          </w:divsChild>
        </w:div>
        <w:div w:id="292830253">
          <w:marLeft w:val="0"/>
          <w:marRight w:val="0"/>
          <w:marTop w:val="0"/>
          <w:marBottom w:val="0"/>
          <w:divBdr>
            <w:top w:val="none" w:sz="0" w:space="0" w:color="auto"/>
            <w:left w:val="none" w:sz="0" w:space="0" w:color="auto"/>
            <w:bottom w:val="none" w:sz="0" w:space="0" w:color="auto"/>
            <w:right w:val="none" w:sz="0" w:space="0" w:color="auto"/>
          </w:divBdr>
          <w:divsChild>
            <w:div w:id="418674954">
              <w:marLeft w:val="0"/>
              <w:marRight w:val="0"/>
              <w:marTop w:val="0"/>
              <w:marBottom w:val="0"/>
              <w:divBdr>
                <w:top w:val="none" w:sz="0" w:space="0" w:color="auto"/>
                <w:left w:val="none" w:sz="0" w:space="0" w:color="auto"/>
                <w:bottom w:val="none" w:sz="0" w:space="0" w:color="auto"/>
                <w:right w:val="none" w:sz="0" w:space="0" w:color="auto"/>
              </w:divBdr>
            </w:div>
            <w:div w:id="1092169215">
              <w:marLeft w:val="0"/>
              <w:marRight w:val="0"/>
              <w:marTop w:val="0"/>
              <w:marBottom w:val="0"/>
              <w:divBdr>
                <w:top w:val="none" w:sz="0" w:space="0" w:color="auto"/>
                <w:left w:val="none" w:sz="0" w:space="0" w:color="auto"/>
                <w:bottom w:val="none" w:sz="0" w:space="0" w:color="auto"/>
                <w:right w:val="none" w:sz="0" w:space="0" w:color="auto"/>
              </w:divBdr>
            </w:div>
            <w:div w:id="1147360875">
              <w:marLeft w:val="0"/>
              <w:marRight w:val="0"/>
              <w:marTop w:val="0"/>
              <w:marBottom w:val="0"/>
              <w:divBdr>
                <w:top w:val="none" w:sz="0" w:space="0" w:color="auto"/>
                <w:left w:val="none" w:sz="0" w:space="0" w:color="auto"/>
                <w:bottom w:val="none" w:sz="0" w:space="0" w:color="auto"/>
                <w:right w:val="none" w:sz="0" w:space="0" w:color="auto"/>
              </w:divBdr>
            </w:div>
            <w:div w:id="1449735560">
              <w:marLeft w:val="0"/>
              <w:marRight w:val="0"/>
              <w:marTop w:val="0"/>
              <w:marBottom w:val="0"/>
              <w:divBdr>
                <w:top w:val="none" w:sz="0" w:space="0" w:color="auto"/>
                <w:left w:val="none" w:sz="0" w:space="0" w:color="auto"/>
                <w:bottom w:val="none" w:sz="0" w:space="0" w:color="auto"/>
                <w:right w:val="none" w:sz="0" w:space="0" w:color="auto"/>
              </w:divBdr>
            </w:div>
            <w:div w:id="1736389474">
              <w:marLeft w:val="0"/>
              <w:marRight w:val="0"/>
              <w:marTop w:val="0"/>
              <w:marBottom w:val="0"/>
              <w:divBdr>
                <w:top w:val="none" w:sz="0" w:space="0" w:color="auto"/>
                <w:left w:val="none" w:sz="0" w:space="0" w:color="auto"/>
                <w:bottom w:val="none" w:sz="0" w:space="0" w:color="auto"/>
                <w:right w:val="none" w:sz="0" w:space="0" w:color="auto"/>
              </w:divBdr>
            </w:div>
          </w:divsChild>
        </w:div>
        <w:div w:id="335419883">
          <w:marLeft w:val="0"/>
          <w:marRight w:val="0"/>
          <w:marTop w:val="0"/>
          <w:marBottom w:val="0"/>
          <w:divBdr>
            <w:top w:val="none" w:sz="0" w:space="0" w:color="auto"/>
            <w:left w:val="none" w:sz="0" w:space="0" w:color="auto"/>
            <w:bottom w:val="none" w:sz="0" w:space="0" w:color="auto"/>
            <w:right w:val="none" w:sz="0" w:space="0" w:color="auto"/>
          </w:divBdr>
        </w:div>
        <w:div w:id="405030703">
          <w:marLeft w:val="0"/>
          <w:marRight w:val="0"/>
          <w:marTop w:val="0"/>
          <w:marBottom w:val="0"/>
          <w:divBdr>
            <w:top w:val="none" w:sz="0" w:space="0" w:color="auto"/>
            <w:left w:val="none" w:sz="0" w:space="0" w:color="auto"/>
            <w:bottom w:val="none" w:sz="0" w:space="0" w:color="auto"/>
            <w:right w:val="none" w:sz="0" w:space="0" w:color="auto"/>
          </w:divBdr>
          <w:divsChild>
            <w:div w:id="885292486">
              <w:marLeft w:val="0"/>
              <w:marRight w:val="0"/>
              <w:marTop w:val="0"/>
              <w:marBottom w:val="0"/>
              <w:divBdr>
                <w:top w:val="none" w:sz="0" w:space="0" w:color="auto"/>
                <w:left w:val="none" w:sz="0" w:space="0" w:color="auto"/>
                <w:bottom w:val="none" w:sz="0" w:space="0" w:color="auto"/>
                <w:right w:val="none" w:sz="0" w:space="0" w:color="auto"/>
              </w:divBdr>
            </w:div>
            <w:div w:id="1240749965">
              <w:marLeft w:val="0"/>
              <w:marRight w:val="0"/>
              <w:marTop w:val="0"/>
              <w:marBottom w:val="0"/>
              <w:divBdr>
                <w:top w:val="none" w:sz="0" w:space="0" w:color="auto"/>
                <w:left w:val="none" w:sz="0" w:space="0" w:color="auto"/>
                <w:bottom w:val="none" w:sz="0" w:space="0" w:color="auto"/>
                <w:right w:val="none" w:sz="0" w:space="0" w:color="auto"/>
              </w:divBdr>
            </w:div>
            <w:div w:id="1388726428">
              <w:marLeft w:val="0"/>
              <w:marRight w:val="0"/>
              <w:marTop w:val="0"/>
              <w:marBottom w:val="0"/>
              <w:divBdr>
                <w:top w:val="none" w:sz="0" w:space="0" w:color="auto"/>
                <w:left w:val="none" w:sz="0" w:space="0" w:color="auto"/>
                <w:bottom w:val="none" w:sz="0" w:space="0" w:color="auto"/>
                <w:right w:val="none" w:sz="0" w:space="0" w:color="auto"/>
              </w:divBdr>
            </w:div>
            <w:div w:id="1767916395">
              <w:marLeft w:val="0"/>
              <w:marRight w:val="0"/>
              <w:marTop w:val="0"/>
              <w:marBottom w:val="0"/>
              <w:divBdr>
                <w:top w:val="none" w:sz="0" w:space="0" w:color="auto"/>
                <w:left w:val="none" w:sz="0" w:space="0" w:color="auto"/>
                <w:bottom w:val="none" w:sz="0" w:space="0" w:color="auto"/>
                <w:right w:val="none" w:sz="0" w:space="0" w:color="auto"/>
              </w:divBdr>
            </w:div>
            <w:div w:id="1910187858">
              <w:marLeft w:val="0"/>
              <w:marRight w:val="0"/>
              <w:marTop w:val="0"/>
              <w:marBottom w:val="0"/>
              <w:divBdr>
                <w:top w:val="none" w:sz="0" w:space="0" w:color="auto"/>
                <w:left w:val="none" w:sz="0" w:space="0" w:color="auto"/>
                <w:bottom w:val="none" w:sz="0" w:space="0" w:color="auto"/>
                <w:right w:val="none" w:sz="0" w:space="0" w:color="auto"/>
              </w:divBdr>
            </w:div>
          </w:divsChild>
        </w:div>
        <w:div w:id="417793910">
          <w:marLeft w:val="0"/>
          <w:marRight w:val="0"/>
          <w:marTop w:val="0"/>
          <w:marBottom w:val="0"/>
          <w:divBdr>
            <w:top w:val="none" w:sz="0" w:space="0" w:color="auto"/>
            <w:left w:val="none" w:sz="0" w:space="0" w:color="auto"/>
            <w:bottom w:val="none" w:sz="0" w:space="0" w:color="auto"/>
            <w:right w:val="none" w:sz="0" w:space="0" w:color="auto"/>
          </w:divBdr>
        </w:div>
        <w:div w:id="422381655">
          <w:marLeft w:val="0"/>
          <w:marRight w:val="0"/>
          <w:marTop w:val="0"/>
          <w:marBottom w:val="0"/>
          <w:divBdr>
            <w:top w:val="none" w:sz="0" w:space="0" w:color="auto"/>
            <w:left w:val="none" w:sz="0" w:space="0" w:color="auto"/>
            <w:bottom w:val="none" w:sz="0" w:space="0" w:color="auto"/>
            <w:right w:val="none" w:sz="0" w:space="0" w:color="auto"/>
          </w:divBdr>
        </w:div>
        <w:div w:id="431778910">
          <w:marLeft w:val="0"/>
          <w:marRight w:val="0"/>
          <w:marTop w:val="0"/>
          <w:marBottom w:val="0"/>
          <w:divBdr>
            <w:top w:val="none" w:sz="0" w:space="0" w:color="auto"/>
            <w:left w:val="none" w:sz="0" w:space="0" w:color="auto"/>
            <w:bottom w:val="none" w:sz="0" w:space="0" w:color="auto"/>
            <w:right w:val="none" w:sz="0" w:space="0" w:color="auto"/>
          </w:divBdr>
          <w:divsChild>
            <w:div w:id="1698383190">
              <w:marLeft w:val="-54"/>
              <w:marRight w:val="0"/>
              <w:marTop w:val="21"/>
              <w:marBottom w:val="21"/>
              <w:divBdr>
                <w:top w:val="none" w:sz="0" w:space="0" w:color="auto"/>
                <w:left w:val="none" w:sz="0" w:space="0" w:color="auto"/>
                <w:bottom w:val="none" w:sz="0" w:space="0" w:color="auto"/>
                <w:right w:val="none" w:sz="0" w:space="0" w:color="auto"/>
              </w:divBdr>
              <w:divsChild>
                <w:div w:id="13776076">
                  <w:marLeft w:val="0"/>
                  <w:marRight w:val="0"/>
                  <w:marTop w:val="0"/>
                  <w:marBottom w:val="0"/>
                  <w:divBdr>
                    <w:top w:val="none" w:sz="0" w:space="0" w:color="auto"/>
                    <w:left w:val="none" w:sz="0" w:space="0" w:color="auto"/>
                    <w:bottom w:val="none" w:sz="0" w:space="0" w:color="auto"/>
                    <w:right w:val="none" w:sz="0" w:space="0" w:color="auto"/>
                  </w:divBdr>
                  <w:divsChild>
                    <w:div w:id="1516454893">
                      <w:marLeft w:val="0"/>
                      <w:marRight w:val="0"/>
                      <w:marTop w:val="0"/>
                      <w:marBottom w:val="0"/>
                      <w:divBdr>
                        <w:top w:val="none" w:sz="0" w:space="0" w:color="auto"/>
                        <w:left w:val="none" w:sz="0" w:space="0" w:color="auto"/>
                        <w:bottom w:val="none" w:sz="0" w:space="0" w:color="auto"/>
                        <w:right w:val="none" w:sz="0" w:space="0" w:color="auto"/>
                      </w:divBdr>
                    </w:div>
                  </w:divsChild>
                </w:div>
                <w:div w:id="77217125">
                  <w:marLeft w:val="0"/>
                  <w:marRight w:val="0"/>
                  <w:marTop w:val="0"/>
                  <w:marBottom w:val="0"/>
                  <w:divBdr>
                    <w:top w:val="none" w:sz="0" w:space="0" w:color="auto"/>
                    <w:left w:val="none" w:sz="0" w:space="0" w:color="auto"/>
                    <w:bottom w:val="none" w:sz="0" w:space="0" w:color="auto"/>
                    <w:right w:val="none" w:sz="0" w:space="0" w:color="auto"/>
                  </w:divBdr>
                  <w:divsChild>
                    <w:div w:id="1143307173">
                      <w:marLeft w:val="0"/>
                      <w:marRight w:val="0"/>
                      <w:marTop w:val="0"/>
                      <w:marBottom w:val="0"/>
                      <w:divBdr>
                        <w:top w:val="none" w:sz="0" w:space="0" w:color="auto"/>
                        <w:left w:val="none" w:sz="0" w:space="0" w:color="auto"/>
                        <w:bottom w:val="none" w:sz="0" w:space="0" w:color="auto"/>
                        <w:right w:val="none" w:sz="0" w:space="0" w:color="auto"/>
                      </w:divBdr>
                    </w:div>
                  </w:divsChild>
                </w:div>
                <w:div w:id="87968900">
                  <w:marLeft w:val="0"/>
                  <w:marRight w:val="0"/>
                  <w:marTop w:val="0"/>
                  <w:marBottom w:val="0"/>
                  <w:divBdr>
                    <w:top w:val="none" w:sz="0" w:space="0" w:color="auto"/>
                    <w:left w:val="none" w:sz="0" w:space="0" w:color="auto"/>
                    <w:bottom w:val="none" w:sz="0" w:space="0" w:color="auto"/>
                    <w:right w:val="none" w:sz="0" w:space="0" w:color="auto"/>
                  </w:divBdr>
                  <w:divsChild>
                    <w:div w:id="2133475890">
                      <w:marLeft w:val="0"/>
                      <w:marRight w:val="0"/>
                      <w:marTop w:val="0"/>
                      <w:marBottom w:val="0"/>
                      <w:divBdr>
                        <w:top w:val="none" w:sz="0" w:space="0" w:color="auto"/>
                        <w:left w:val="none" w:sz="0" w:space="0" w:color="auto"/>
                        <w:bottom w:val="none" w:sz="0" w:space="0" w:color="auto"/>
                        <w:right w:val="none" w:sz="0" w:space="0" w:color="auto"/>
                      </w:divBdr>
                    </w:div>
                  </w:divsChild>
                </w:div>
                <w:div w:id="101146185">
                  <w:marLeft w:val="0"/>
                  <w:marRight w:val="0"/>
                  <w:marTop w:val="0"/>
                  <w:marBottom w:val="0"/>
                  <w:divBdr>
                    <w:top w:val="none" w:sz="0" w:space="0" w:color="auto"/>
                    <w:left w:val="none" w:sz="0" w:space="0" w:color="auto"/>
                    <w:bottom w:val="none" w:sz="0" w:space="0" w:color="auto"/>
                    <w:right w:val="none" w:sz="0" w:space="0" w:color="auto"/>
                  </w:divBdr>
                  <w:divsChild>
                    <w:div w:id="1467238795">
                      <w:marLeft w:val="0"/>
                      <w:marRight w:val="0"/>
                      <w:marTop w:val="0"/>
                      <w:marBottom w:val="0"/>
                      <w:divBdr>
                        <w:top w:val="none" w:sz="0" w:space="0" w:color="auto"/>
                        <w:left w:val="none" w:sz="0" w:space="0" w:color="auto"/>
                        <w:bottom w:val="none" w:sz="0" w:space="0" w:color="auto"/>
                        <w:right w:val="none" w:sz="0" w:space="0" w:color="auto"/>
                      </w:divBdr>
                    </w:div>
                  </w:divsChild>
                </w:div>
                <w:div w:id="107042045">
                  <w:marLeft w:val="0"/>
                  <w:marRight w:val="0"/>
                  <w:marTop w:val="0"/>
                  <w:marBottom w:val="0"/>
                  <w:divBdr>
                    <w:top w:val="none" w:sz="0" w:space="0" w:color="auto"/>
                    <w:left w:val="none" w:sz="0" w:space="0" w:color="auto"/>
                    <w:bottom w:val="none" w:sz="0" w:space="0" w:color="auto"/>
                    <w:right w:val="none" w:sz="0" w:space="0" w:color="auto"/>
                  </w:divBdr>
                  <w:divsChild>
                    <w:div w:id="1155145223">
                      <w:marLeft w:val="0"/>
                      <w:marRight w:val="0"/>
                      <w:marTop w:val="0"/>
                      <w:marBottom w:val="0"/>
                      <w:divBdr>
                        <w:top w:val="none" w:sz="0" w:space="0" w:color="auto"/>
                        <w:left w:val="none" w:sz="0" w:space="0" w:color="auto"/>
                        <w:bottom w:val="none" w:sz="0" w:space="0" w:color="auto"/>
                        <w:right w:val="none" w:sz="0" w:space="0" w:color="auto"/>
                      </w:divBdr>
                    </w:div>
                  </w:divsChild>
                </w:div>
                <w:div w:id="109326400">
                  <w:marLeft w:val="0"/>
                  <w:marRight w:val="0"/>
                  <w:marTop w:val="0"/>
                  <w:marBottom w:val="0"/>
                  <w:divBdr>
                    <w:top w:val="none" w:sz="0" w:space="0" w:color="auto"/>
                    <w:left w:val="none" w:sz="0" w:space="0" w:color="auto"/>
                    <w:bottom w:val="none" w:sz="0" w:space="0" w:color="auto"/>
                    <w:right w:val="none" w:sz="0" w:space="0" w:color="auto"/>
                  </w:divBdr>
                  <w:divsChild>
                    <w:div w:id="932667132">
                      <w:marLeft w:val="0"/>
                      <w:marRight w:val="0"/>
                      <w:marTop w:val="0"/>
                      <w:marBottom w:val="0"/>
                      <w:divBdr>
                        <w:top w:val="none" w:sz="0" w:space="0" w:color="auto"/>
                        <w:left w:val="none" w:sz="0" w:space="0" w:color="auto"/>
                        <w:bottom w:val="none" w:sz="0" w:space="0" w:color="auto"/>
                        <w:right w:val="none" w:sz="0" w:space="0" w:color="auto"/>
                      </w:divBdr>
                    </w:div>
                  </w:divsChild>
                </w:div>
                <w:div w:id="113791383">
                  <w:marLeft w:val="0"/>
                  <w:marRight w:val="0"/>
                  <w:marTop w:val="0"/>
                  <w:marBottom w:val="0"/>
                  <w:divBdr>
                    <w:top w:val="none" w:sz="0" w:space="0" w:color="auto"/>
                    <w:left w:val="none" w:sz="0" w:space="0" w:color="auto"/>
                    <w:bottom w:val="none" w:sz="0" w:space="0" w:color="auto"/>
                    <w:right w:val="none" w:sz="0" w:space="0" w:color="auto"/>
                  </w:divBdr>
                  <w:divsChild>
                    <w:div w:id="376126475">
                      <w:marLeft w:val="0"/>
                      <w:marRight w:val="0"/>
                      <w:marTop w:val="0"/>
                      <w:marBottom w:val="0"/>
                      <w:divBdr>
                        <w:top w:val="none" w:sz="0" w:space="0" w:color="auto"/>
                        <w:left w:val="none" w:sz="0" w:space="0" w:color="auto"/>
                        <w:bottom w:val="none" w:sz="0" w:space="0" w:color="auto"/>
                        <w:right w:val="none" w:sz="0" w:space="0" w:color="auto"/>
                      </w:divBdr>
                    </w:div>
                  </w:divsChild>
                </w:div>
                <w:div w:id="134563893">
                  <w:marLeft w:val="0"/>
                  <w:marRight w:val="0"/>
                  <w:marTop w:val="0"/>
                  <w:marBottom w:val="0"/>
                  <w:divBdr>
                    <w:top w:val="none" w:sz="0" w:space="0" w:color="auto"/>
                    <w:left w:val="none" w:sz="0" w:space="0" w:color="auto"/>
                    <w:bottom w:val="none" w:sz="0" w:space="0" w:color="auto"/>
                    <w:right w:val="none" w:sz="0" w:space="0" w:color="auto"/>
                  </w:divBdr>
                  <w:divsChild>
                    <w:div w:id="341320763">
                      <w:marLeft w:val="0"/>
                      <w:marRight w:val="0"/>
                      <w:marTop w:val="0"/>
                      <w:marBottom w:val="0"/>
                      <w:divBdr>
                        <w:top w:val="none" w:sz="0" w:space="0" w:color="auto"/>
                        <w:left w:val="none" w:sz="0" w:space="0" w:color="auto"/>
                        <w:bottom w:val="none" w:sz="0" w:space="0" w:color="auto"/>
                        <w:right w:val="none" w:sz="0" w:space="0" w:color="auto"/>
                      </w:divBdr>
                    </w:div>
                  </w:divsChild>
                </w:div>
                <w:div w:id="134683594">
                  <w:marLeft w:val="0"/>
                  <w:marRight w:val="0"/>
                  <w:marTop w:val="0"/>
                  <w:marBottom w:val="0"/>
                  <w:divBdr>
                    <w:top w:val="none" w:sz="0" w:space="0" w:color="auto"/>
                    <w:left w:val="none" w:sz="0" w:space="0" w:color="auto"/>
                    <w:bottom w:val="none" w:sz="0" w:space="0" w:color="auto"/>
                    <w:right w:val="none" w:sz="0" w:space="0" w:color="auto"/>
                  </w:divBdr>
                  <w:divsChild>
                    <w:div w:id="1039936482">
                      <w:marLeft w:val="0"/>
                      <w:marRight w:val="0"/>
                      <w:marTop w:val="0"/>
                      <w:marBottom w:val="0"/>
                      <w:divBdr>
                        <w:top w:val="none" w:sz="0" w:space="0" w:color="auto"/>
                        <w:left w:val="none" w:sz="0" w:space="0" w:color="auto"/>
                        <w:bottom w:val="none" w:sz="0" w:space="0" w:color="auto"/>
                        <w:right w:val="none" w:sz="0" w:space="0" w:color="auto"/>
                      </w:divBdr>
                    </w:div>
                  </w:divsChild>
                </w:div>
                <w:div w:id="137960886">
                  <w:marLeft w:val="0"/>
                  <w:marRight w:val="0"/>
                  <w:marTop w:val="0"/>
                  <w:marBottom w:val="0"/>
                  <w:divBdr>
                    <w:top w:val="none" w:sz="0" w:space="0" w:color="auto"/>
                    <w:left w:val="none" w:sz="0" w:space="0" w:color="auto"/>
                    <w:bottom w:val="none" w:sz="0" w:space="0" w:color="auto"/>
                    <w:right w:val="none" w:sz="0" w:space="0" w:color="auto"/>
                  </w:divBdr>
                  <w:divsChild>
                    <w:div w:id="863597693">
                      <w:marLeft w:val="0"/>
                      <w:marRight w:val="0"/>
                      <w:marTop w:val="0"/>
                      <w:marBottom w:val="0"/>
                      <w:divBdr>
                        <w:top w:val="none" w:sz="0" w:space="0" w:color="auto"/>
                        <w:left w:val="none" w:sz="0" w:space="0" w:color="auto"/>
                        <w:bottom w:val="none" w:sz="0" w:space="0" w:color="auto"/>
                        <w:right w:val="none" w:sz="0" w:space="0" w:color="auto"/>
                      </w:divBdr>
                    </w:div>
                  </w:divsChild>
                </w:div>
                <w:div w:id="157699516">
                  <w:marLeft w:val="0"/>
                  <w:marRight w:val="0"/>
                  <w:marTop w:val="0"/>
                  <w:marBottom w:val="0"/>
                  <w:divBdr>
                    <w:top w:val="none" w:sz="0" w:space="0" w:color="auto"/>
                    <w:left w:val="none" w:sz="0" w:space="0" w:color="auto"/>
                    <w:bottom w:val="none" w:sz="0" w:space="0" w:color="auto"/>
                    <w:right w:val="none" w:sz="0" w:space="0" w:color="auto"/>
                  </w:divBdr>
                  <w:divsChild>
                    <w:div w:id="1219169084">
                      <w:marLeft w:val="0"/>
                      <w:marRight w:val="0"/>
                      <w:marTop w:val="0"/>
                      <w:marBottom w:val="0"/>
                      <w:divBdr>
                        <w:top w:val="none" w:sz="0" w:space="0" w:color="auto"/>
                        <w:left w:val="none" w:sz="0" w:space="0" w:color="auto"/>
                        <w:bottom w:val="none" w:sz="0" w:space="0" w:color="auto"/>
                        <w:right w:val="none" w:sz="0" w:space="0" w:color="auto"/>
                      </w:divBdr>
                    </w:div>
                  </w:divsChild>
                </w:div>
                <w:div w:id="158814778">
                  <w:marLeft w:val="0"/>
                  <w:marRight w:val="0"/>
                  <w:marTop w:val="0"/>
                  <w:marBottom w:val="0"/>
                  <w:divBdr>
                    <w:top w:val="none" w:sz="0" w:space="0" w:color="auto"/>
                    <w:left w:val="none" w:sz="0" w:space="0" w:color="auto"/>
                    <w:bottom w:val="none" w:sz="0" w:space="0" w:color="auto"/>
                    <w:right w:val="none" w:sz="0" w:space="0" w:color="auto"/>
                  </w:divBdr>
                  <w:divsChild>
                    <w:div w:id="859859268">
                      <w:marLeft w:val="0"/>
                      <w:marRight w:val="0"/>
                      <w:marTop w:val="0"/>
                      <w:marBottom w:val="0"/>
                      <w:divBdr>
                        <w:top w:val="none" w:sz="0" w:space="0" w:color="auto"/>
                        <w:left w:val="none" w:sz="0" w:space="0" w:color="auto"/>
                        <w:bottom w:val="none" w:sz="0" w:space="0" w:color="auto"/>
                        <w:right w:val="none" w:sz="0" w:space="0" w:color="auto"/>
                      </w:divBdr>
                    </w:div>
                  </w:divsChild>
                </w:div>
                <w:div w:id="170948333">
                  <w:marLeft w:val="0"/>
                  <w:marRight w:val="0"/>
                  <w:marTop w:val="0"/>
                  <w:marBottom w:val="0"/>
                  <w:divBdr>
                    <w:top w:val="none" w:sz="0" w:space="0" w:color="auto"/>
                    <w:left w:val="none" w:sz="0" w:space="0" w:color="auto"/>
                    <w:bottom w:val="none" w:sz="0" w:space="0" w:color="auto"/>
                    <w:right w:val="none" w:sz="0" w:space="0" w:color="auto"/>
                  </w:divBdr>
                  <w:divsChild>
                    <w:div w:id="1136987340">
                      <w:marLeft w:val="0"/>
                      <w:marRight w:val="0"/>
                      <w:marTop w:val="0"/>
                      <w:marBottom w:val="0"/>
                      <w:divBdr>
                        <w:top w:val="none" w:sz="0" w:space="0" w:color="auto"/>
                        <w:left w:val="none" w:sz="0" w:space="0" w:color="auto"/>
                        <w:bottom w:val="none" w:sz="0" w:space="0" w:color="auto"/>
                        <w:right w:val="none" w:sz="0" w:space="0" w:color="auto"/>
                      </w:divBdr>
                    </w:div>
                  </w:divsChild>
                </w:div>
                <w:div w:id="249512339">
                  <w:marLeft w:val="0"/>
                  <w:marRight w:val="0"/>
                  <w:marTop w:val="0"/>
                  <w:marBottom w:val="0"/>
                  <w:divBdr>
                    <w:top w:val="none" w:sz="0" w:space="0" w:color="auto"/>
                    <w:left w:val="none" w:sz="0" w:space="0" w:color="auto"/>
                    <w:bottom w:val="none" w:sz="0" w:space="0" w:color="auto"/>
                    <w:right w:val="none" w:sz="0" w:space="0" w:color="auto"/>
                  </w:divBdr>
                  <w:divsChild>
                    <w:div w:id="1111628639">
                      <w:marLeft w:val="0"/>
                      <w:marRight w:val="0"/>
                      <w:marTop w:val="0"/>
                      <w:marBottom w:val="0"/>
                      <w:divBdr>
                        <w:top w:val="none" w:sz="0" w:space="0" w:color="auto"/>
                        <w:left w:val="none" w:sz="0" w:space="0" w:color="auto"/>
                        <w:bottom w:val="none" w:sz="0" w:space="0" w:color="auto"/>
                        <w:right w:val="none" w:sz="0" w:space="0" w:color="auto"/>
                      </w:divBdr>
                    </w:div>
                  </w:divsChild>
                </w:div>
                <w:div w:id="256909783">
                  <w:marLeft w:val="0"/>
                  <w:marRight w:val="0"/>
                  <w:marTop w:val="0"/>
                  <w:marBottom w:val="0"/>
                  <w:divBdr>
                    <w:top w:val="none" w:sz="0" w:space="0" w:color="auto"/>
                    <w:left w:val="none" w:sz="0" w:space="0" w:color="auto"/>
                    <w:bottom w:val="none" w:sz="0" w:space="0" w:color="auto"/>
                    <w:right w:val="none" w:sz="0" w:space="0" w:color="auto"/>
                  </w:divBdr>
                  <w:divsChild>
                    <w:div w:id="180630562">
                      <w:marLeft w:val="0"/>
                      <w:marRight w:val="0"/>
                      <w:marTop w:val="0"/>
                      <w:marBottom w:val="0"/>
                      <w:divBdr>
                        <w:top w:val="none" w:sz="0" w:space="0" w:color="auto"/>
                        <w:left w:val="none" w:sz="0" w:space="0" w:color="auto"/>
                        <w:bottom w:val="none" w:sz="0" w:space="0" w:color="auto"/>
                        <w:right w:val="none" w:sz="0" w:space="0" w:color="auto"/>
                      </w:divBdr>
                    </w:div>
                  </w:divsChild>
                </w:div>
                <w:div w:id="300235903">
                  <w:marLeft w:val="0"/>
                  <w:marRight w:val="0"/>
                  <w:marTop w:val="0"/>
                  <w:marBottom w:val="0"/>
                  <w:divBdr>
                    <w:top w:val="none" w:sz="0" w:space="0" w:color="auto"/>
                    <w:left w:val="none" w:sz="0" w:space="0" w:color="auto"/>
                    <w:bottom w:val="none" w:sz="0" w:space="0" w:color="auto"/>
                    <w:right w:val="none" w:sz="0" w:space="0" w:color="auto"/>
                  </w:divBdr>
                  <w:divsChild>
                    <w:div w:id="1895971064">
                      <w:marLeft w:val="0"/>
                      <w:marRight w:val="0"/>
                      <w:marTop w:val="0"/>
                      <w:marBottom w:val="0"/>
                      <w:divBdr>
                        <w:top w:val="none" w:sz="0" w:space="0" w:color="auto"/>
                        <w:left w:val="none" w:sz="0" w:space="0" w:color="auto"/>
                        <w:bottom w:val="none" w:sz="0" w:space="0" w:color="auto"/>
                        <w:right w:val="none" w:sz="0" w:space="0" w:color="auto"/>
                      </w:divBdr>
                    </w:div>
                  </w:divsChild>
                </w:div>
                <w:div w:id="312834434">
                  <w:marLeft w:val="0"/>
                  <w:marRight w:val="0"/>
                  <w:marTop w:val="0"/>
                  <w:marBottom w:val="0"/>
                  <w:divBdr>
                    <w:top w:val="none" w:sz="0" w:space="0" w:color="auto"/>
                    <w:left w:val="none" w:sz="0" w:space="0" w:color="auto"/>
                    <w:bottom w:val="none" w:sz="0" w:space="0" w:color="auto"/>
                    <w:right w:val="none" w:sz="0" w:space="0" w:color="auto"/>
                  </w:divBdr>
                  <w:divsChild>
                    <w:div w:id="1883983361">
                      <w:marLeft w:val="0"/>
                      <w:marRight w:val="0"/>
                      <w:marTop w:val="0"/>
                      <w:marBottom w:val="0"/>
                      <w:divBdr>
                        <w:top w:val="none" w:sz="0" w:space="0" w:color="auto"/>
                        <w:left w:val="none" w:sz="0" w:space="0" w:color="auto"/>
                        <w:bottom w:val="none" w:sz="0" w:space="0" w:color="auto"/>
                        <w:right w:val="none" w:sz="0" w:space="0" w:color="auto"/>
                      </w:divBdr>
                    </w:div>
                  </w:divsChild>
                </w:div>
                <w:div w:id="317459278">
                  <w:marLeft w:val="0"/>
                  <w:marRight w:val="0"/>
                  <w:marTop w:val="0"/>
                  <w:marBottom w:val="0"/>
                  <w:divBdr>
                    <w:top w:val="none" w:sz="0" w:space="0" w:color="auto"/>
                    <w:left w:val="none" w:sz="0" w:space="0" w:color="auto"/>
                    <w:bottom w:val="none" w:sz="0" w:space="0" w:color="auto"/>
                    <w:right w:val="none" w:sz="0" w:space="0" w:color="auto"/>
                  </w:divBdr>
                  <w:divsChild>
                    <w:div w:id="371031953">
                      <w:marLeft w:val="0"/>
                      <w:marRight w:val="0"/>
                      <w:marTop w:val="0"/>
                      <w:marBottom w:val="0"/>
                      <w:divBdr>
                        <w:top w:val="none" w:sz="0" w:space="0" w:color="auto"/>
                        <w:left w:val="none" w:sz="0" w:space="0" w:color="auto"/>
                        <w:bottom w:val="none" w:sz="0" w:space="0" w:color="auto"/>
                        <w:right w:val="none" w:sz="0" w:space="0" w:color="auto"/>
                      </w:divBdr>
                    </w:div>
                  </w:divsChild>
                </w:div>
                <w:div w:id="358554814">
                  <w:marLeft w:val="0"/>
                  <w:marRight w:val="0"/>
                  <w:marTop w:val="0"/>
                  <w:marBottom w:val="0"/>
                  <w:divBdr>
                    <w:top w:val="none" w:sz="0" w:space="0" w:color="auto"/>
                    <w:left w:val="none" w:sz="0" w:space="0" w:color="auto"/>
                    <w:bottom w:val="none" w:sz="0" w:space="0" w:color="auto"/>
                    <w:right w:val="none" w:sz="0" w:space="0" w:color="auto"/>
                  </w:divBdr>
                  <w:divsChild>
                    <w:div w:id="1335112251">
                      <w:marLeft w:val="0"/>
                      <w:marRight w:val="0"/>
                      <w:marTop w:val="0"/>
                      <w:marBottom w:val="0"/>
                      <w:divBdr>
                        <w:top w:val="none" w:sz="0" w:space="0" w:color="auto"/>
                        <w:left w:val="none" w:sz="0" w:space="0" w:color="auto"/>
                        <w:bottom w:val="none" w:sz="0" w:space="0" w:color="auto"/>
                        <w:right w:val="none" w:sz="0" w:space="0" w:color="auto"/>
                      </w:divBdr>
                    </w:div>
                  </w:divsChild>
                </w:div>
                <w:div w:id="369762858">
                  <w:marLeft w:val="0"/>
                  <w:marRight w:val="0"/>
                  <w:marTop w:val="0"/>
                  <w:marBottom w:val="0"/>
                  <w:divBdr>
                    <w:top w:val="none" w:sz="0" w:space="0" w:color="auto"/>
                    <w:left w:val="none" w:sz="0" w:space="0" w:color="auto"/>
                    <w:bottom w:val="none" w:sz="0" w:space="0" w:color="auto"/>
                    <w:right w:val="none" w:sz="0" w:space="0" w:color="auto"/>
                  </w:divBdr>
                  <w:divsChild>
                    <w:div w:id="54939988">
                      <w:marLeft w:val="0"/>
                      <w:marRight w:val="0"/>
                      <w:marTop w:val="0"/>
                      <w:marBottom w:val="0"/>
                      <w:divBdr>
                        <w:top w:val="none" w:sz="0" w:space="0" w:color="auto"/>
                        <w:left w:val="none" w:sz="0" w:space="0" w:color="auto"/>
                        <w:bottom w:val="none" w:sz="0" w:space="0" w:color="auto"/>
                        <w:right w:val="none" w:sz="0" w:space="0" w:color="auto"/>
                      </w:divBdr>
                    </w:div>
                  </w:divsChild>
                </w:div>
                <w:div w:id="370568245">
                  <w:marLeft w:val="0"/>
                  <w:marRight w:val="0"/>
                  <w:marTop w:val="0"/>
                  <w:marBottom w:val="0"/>
                  <w:divBdr>
                    <w:top w:val="none" w:sz="0" w:space="0" w:color="auto"/>
                    <w:left w:val="none" w:sz="0" w:space="0" w:color="auto"/>
                    <w:bottom w:val="none" w:sz="0" w:space="0" w:color="auto"/>
                    <w:right w:val="none" w:sz="0" w:space="0" w:color="auto"/>
                  </w:divBdr>
                  <w:divsChild>
                    <w:div w:id="1677491172">
                      <w:marLeft w:val="0"/>
                      <w:marRight w:val="0"/>
                      <w:marTop w:val="0"/>
                      <w:marBottom w:val="0"/>
                      <w:divBdr>
                        <w:top w:val="none" w:sz="0" w:space="0" w:color="auto"/>
                        <w:left w:val="none" w:sz="0" w:space="0" w:color="auto"/>
                        <w:bottom w:val="none" w:sz="0" w:space="0" w:color="auto"/>
                        <w:right w:val="none" w:sz="0" w:space="0" w:color="auto"/>
                      </w:divBdr>
                    </w:div>
                  </w:divsChild>
                </w:div>
                <w:div w:id="392199139">
                  <w:marLeft w:val="0"/>
                  <w:marRight w:val="0"/>
                  <w:marTop w:val="0"/>
                  <w:marBottom w:val="0"/>
                  <w:divBdr>
                    <w:top w:val="none" w:sz="0" w:space="0" w:color="auto"/>
                    <w:left w:val="none" w:sz="0" w:space="0" w:color="auto"/>
                    <w:bottom w:val="none" w:sz="0" w:space="0" w:color="auto"/>
                    <w:right w:val="none" w:sz="0" w:space="0" w:color="auto"/>
                  </w:divBdr>
                  <w:divsChild>
                    <w:div w:id="615526924">
                      <w:marLeft w:val="0"/>
                      <w:marRight w:val="0"/>
                      <w:marTop w:val="0"/>
                      <w:marBottom w:val="0"/>
                      <w:divBdr>
                        <w:top w:val="none" w:sz="0" w:space="0" w:color="auto"/>
                        <w:left w:val="none" w:sz="0" w:space="0" w:color="auto"/>
                        <w:bottom w:val="none" w:sz="0" w:space="0" w:color="auto"/>
                        <w:right w:val="none" w:sz="0" w:space="0" w:color="auto"/>
                      </w:divBdr>
                    </w:div>
                  </w:divsChild>
                </w:div>
                <w:div w:id="429936416">
                  <w:marLeft w:val="0"/>
                  <w:marRight w:val="0"/>
                  <w:marTop w:val="0"/>
                  <w:marBottom w:val="0"/>
                  <w:divBdr>
                    <w:top w:val="none" w:sz="0" w:space="0" w:color="auto"/>
                    <w:left w:val="none" w:sz="0" w:space="0" w:color="auto"/>
                    <w:bottom w:val="none" w:sz="0" w:space="0" w:color="auto"/>
                    <w:right w:val="none" w:sz="0" w:space="0" w:color="auto"/>
                  </w:divBdr>
                  <w:divsChild>
                    <w:div w:id="1625623373">
                      <w:marLeft w:val="0"/>
                      <w:marRight w:val="0"/>
                      <w:marTop w:val="0"/>
                      <w:marBottom w:val="0"/>
                      <w:divBdr>
                        <w:top w:val="none" w:sz="0" w:space="0" w:color="auto"/>
                        <w:left w:val="none" w:sz="0" w:space="0" w:color="auto"/>
                        <w:bottom w:val="none" w:sz="0" w:space="0" w:color="auto"/>
                        <w:right w:val="none" w:sz="0" w:space="0" w:color="auto"/>
                      </w:divBdr>
                    </w:div>
                  </w:divsChild>
                </w:div>
                <w:div w:id="473304198">
                  <w:marLeft w:val="0"/>
                  <w:marRight w:val="0"/>
                  <w:marTop w:val="0"/>
                  <w:marBottom w:val="0"/>
                  <w:divBdr>
                    <w:top w:val="none" w:sz="0" w:space="0" w:color="auto"/>
                    <w:left w:val="none" w:sz="0" w:space="0" w:color="auto"/>
                    <w:bottom w:val="none" w:sz="0" w:space="0" w:color="auto"/>
                    <w:right w:val="none" w:sz="0" w:space="0" w:color="auto"/>
                  </w:divBdr>
                  <w:divsChild>
                    <w:div w:id="584342432">
                      <w:marLeft w:val="0"/>
                      <w:marRight w:val="0"/>
                      <w:marTop w:val="0"/>
                      <w:marBottom w:val="0"/>
                      <w:divBdr>
                        <w:top w:val="none" w:sz="0" w:space="0" w:color="auto"/>
                        <w:left w:val="none" w:sz="0" w:space="0" w:color="auto"/>
                        <w:bottom w:val="none" w:sz="0" w:space="0" w:color="auto"/>
                        <w:right w:val="none" w:sz="0" w:space="0" w:color="auto"/>
                      </w:divBdr>
                    </w:div>
                  </w:divsChild>
                </w:div>
                <w:div w:id="513544214">
                  <w:marLeft w:val="0"/>
                  <w:marRight w:val="0"/>
                  <w:marTop w:val="0"/>
                  <w:marBottom w:val="0"/>
                  <w:divBdr>
                    <w:top w:val="none" w:sz="0" w:space="0" w:color="auto"/>
                    <w:left w:val="none" w:sz="0" w:space="0" w:color="auto"/>
                    <w:bottom w:val="none" w:sz="0" w:space="0" w:color="auto"/>
                    <w:right w:val="none" w:sz="0" w:space="0" w:color="auto"/>
                  </w:divBdr>
                  <w:divsChild>
                    <w:div w:id="2102987317">
                      <w:marLeft w:val="0"/>
                      <w:marRight w:val="0"/>
                      <w:marTop w:val="0"/>
                      <w:marBottom w:val="0"/>
                      <w:divBdr>
                        <w:top w:val="none" w:sz="0" w:space="0" w:color="auto"/>
                        <w:left w:val="none" w:sz="0" w:space="0" w:color="auto"/>
                        <w:bottom w:val="none" w:sz="0" w:space="0" w:color="auto"/>
                        <w:right w:val="none" w:sz="0" w:space="0" w:color="auto"/>
                      </w:divBdr>
                    </w:div>
                  </w:divsChild>
                </w:div>
                <w:div w:id="546798430">
                  <w:marLeft w:val="0"/>
                  <w:marRight w:val="0"/>
                  <w:marTop w:val="0"/>
                  <w:marBottom w:val="0"/>
                  <w:divBdr>
                    <w:top w:val="none" w:sz="0" w:space="0" w:color="auto"/>
                    <w:left w:val="none" w:sz="0" w:space="0" w:color="auto"/>
                    <w:bottom w:val="none" w:sz="0" w:space="0" w:color="auto"/>
                    <w:right w:val="none" w:sz="0" w:space="0" w:color="auto"/>
                  </w:divBdr>
                  <w:divsChild>
                    <w:div w:id="1914655470">
                      <w:marLeft w:val="0"/>
                      <w:marRight w:val="0"/>
                      <w:marTop w:val="0"/>
                      <w:marBottom w:val="0"/>
                      <w:divBdr>
                        <w:top w:val="none" w:sz="0" w:space="0" w:color="auto"/>
                        <w:left w:val="none" w:sz="0" w:space="0" w:color="auto"/>
                        <w:bottom w:val="none" w:sz="0" w:space="0" w:color="auto"/>
                        <w:right w:val="none" w:sz="0" w:space="0" w:color="auto"/>
                      </w:divBdr>
                    </w:div>
                  </w:divsChild>
                </w:div>
                <w:div w:id="551429097">
                  <w:marLeft w:val="0"/>
                  <w:marRight w:val="0"/>
                  <w:marTop w:val="0"/>
                  <w:marBottom w:val="0"/>
                  <w:divBdr>
                    <w:top w:val="none" w:sz="0" w:space="0" w:color="auto"/>
                    <w:left w:val="none" w:sz="0" w:space="0" w:color="auto"/>
                    <w:bottom w:val="none" w:sz="0" w:space="0" w:color="auto"/>
                    <w:right w:val="none" w:sz="0" w:space="0" w:color="auto"/>
                  </w:divBdr>
                  <w:divsChild>
                    <w:div w:id="415324447">
                      <w:marLeft w:val="0"/>
                      <w:marRight w:val="0"/>
                      <w:marTop w:val="0"/>
                      <w:marBottom w:val="0"/>
                      <w:divBdr>
                        <w:top w:val="none" w:sz="0" w:space="0" w:color="auto"/>
                        <w:left w:val="none" w:sz="0" w:space="0" w:color="auto"/>
                        <w:bottom w:val="none" w:sz="0" w:space="0" w:color="auto"/>
                        <w:right w:val="none" w:sz="0" w:space="0" w:color="auto"/>
                      </w:divBdr>
                    </w:div>
                  </w:divsChild>
                </w:div>
                <w:div w:id="556824829">
                  <w:marLeft w:val="0"/>
                  <w:marRight w:val="0"/>
                  <w:marTop w:val="0"/>
                  <w:marBottom w:val="0"/>
                  <w:divBdr>
                    <w:top w:val="none" w:sz="0" w:space="0" w:color="auto"/>
                    <w:left w:val="none" w:sz="0" w:space="0" w:color="auto"/>
                    <w:bottom w:val="none" w:sz="0" w:space="0" w:color="auto"/>
                    <w:right w:val="none" w:sz="0" w:space="0" w:color="auto"/>
                  </w:divBdr>
                  <w:divsChild>
                    <w:div w:id="1430740392">
                      <w:marLeft w:val="0"/>
                      <w:marRight w:val="0"/>
                      <w:marTop w:val="0"/>
                      <w:marBottom w:val="0"/>
                      <w:divBdr>
                        <w:top w:val="none" w:sz="0" w:space="0" w:color="auto"/>
                        <w:left w:val="none" w:sz="0" w:space="0" w:color="auto"/>
                        <w:bottom w:val="none" w:sz="0" w:space="0" w:color="auto"/>
                        <w:right w:val="none" w:sz="0" w:space="0" w:color="auto"/>
                      </w:divBdr>
                    </w:div>
                  </w:divsChild>
                </w:div>
                <w:div w:id="573930636">
                  <w:marLeft w:val="0"/>
                  <w:marRight w:val="0"/>
                  <w:marTop w:val="0"/>
                  <w:marBottom w:val="0"/>
                  <w:divBdr>
                    <w:top w:val="none" w:sz="0" w:space="0" w:color="auto"/>
                    <w:left w:val="none" w:sz="0" w:space="0" w:color="auto"/>
                    <w:bottom w:val="none" w:sz="0" w:space="0" w:color="auto"/>
                    <w:right w:val="none" w:sz="0" w:space="0" w:color="auto"/>
                  </w:divBdr>
                  <w:divsChild>
                    <w:div w:id="733044503">
                      <w:marLeft w:val="0"/>
                      <w:marRight w:val="0"/>
                      <w:marTop w:val="0"/>
                      <w:marBottom w:val="0"/>
                      <w:divBdr>
                        <w:top w:val="none" w:sz="0" w:space="0" w:color="auto"/>
                        <w:left w:val="none" w:sz="0" w:space="0" w:color="auto"/>
                        <w:bottom w:val="none" w:sz="0" w:space="0" w:color="auto"/>
                        <w:right w:val="none" w:sz="0" w:space="0" w:color="auto"/>
                      </w:divBdr>
                    </w:div>
                  </w:divsChild>
                </w:div>
                <w:div w:id="599220441">
                  <w:marLeft w:val="0"/>
                  <w:marRight w:val="0"/>
                  <w:marTop w:val="0"/>
                  <w:marBottom w:val="0"/>
                  <w:divBdr>
                    <w:top w:val="none" w:sz="0" w:space="0" w:color="auto"/>
                    <w:left w:val="none" w:sz="0" w:space="0" w:color="auto"/>
                    <w:bottom w:val="none" w:sz="0" w:space="0" w:color="auto"/>
                    <w:right w:val="none" w:sz="0" w:space="0" w:color="auto"/>
                  </w:divBdr>
                  <w:divsChild>
                    <w:div w:id="812521942">
                      <w:marLeft w:val="0"/>
                      <w:marRight w:val="0"/>
                      <w:marTop w:val="0"/>
                      <w:marBottom w:val="0"/>
                      <w:divBdr>
                        <w:top w:val="none" w:sz="0" w:space="0" w:color="auto"/>
                        <w:left w:val="none" w:sz="0" w:space="0" w:color="auto"/>
                        <w:bottom w:val="none" w:sz="0" w:space="0" w:color="auto"/>
                        <w:right w:val="none" w:sz="0" w:space="0" w:color="auto"/>
                      </w:divBdr>
                    </w:div>
                  </w:divsChild>
                </w:div>
                <w:div w:id="631592636">
                  <w:marLeft w:val="0"/>
                  <w:marRight w:val="0"/>
                  <w:marTop w:val="0"/>
                  <w:marBottom w:val="0"/>
                  <w:divBdr>
                    <w:top w:val="none" w:sz="0" w:space="0" w:color="auto"/>
                    <w:left w:val="none" w:sz="0" w:space="0" w:color="auto"/>
                    <w:bottom w:val="none" w:sz="0" w:space="0" w:color="auto"/>
                    <w:right w:val="none" w:sz="0" w:space="0" w:color="auto"/>
                  </w:divBdr>
                  <w:divsChild>
                    <w:div w:id="1157300995">
                      <w:marLeft w:val="0"/>
                      <w:marRight w:val="0"/>
                      <w:marTop w:val="0"/>
                      <w:marBottom w:val="0"/>
                      <w:divBdr>
                        <w:top w:val="none" w:sz="0" w:space="0" w:color="auto"/>
                        <w:left w:val="none" w:sz="0" w:space="0" w:color="auto"/>
                        <w:bottom w:val="none" w:sz="0" w:space="0" w:color="auto"/>
                        <w:right w:val="none" w:sz="0" w:space="0" w:color="auto"/>
                      </w:divBdr>
                    </w:div>
                  </w:divsChild>
                </w:div>
                <w:div w:id="638658196">
                  <w:marLeft w:val="0"/>
                  <w:marRight w:val="0"/>
                  <w:marTop w:val="0"/>
                  <w:marBottom w:val="0"/>
                  <w:divBdr>
                    <w:top w:val="none" w:sz="0" w:space="0" w:color="auto"/>
                    <w:left w:val="none" w:sz="0" w:space="0" w:color="auto"/>
                    <w:bottom w:val="none" w:sz="0" w:space="0" w:color="auto"/>
                    <w:right w:val="none" w:sz="0" w:space="0" w:color="auto"/>
                  </w:divBdr>
                  <w:divsChild>
                    <w:div w:id="1825733515">
                      <w:marLeft w:val="0"/>
                      <w:marRight w:val="0"/>
                      <w:marTop w:val="0"/>
                      <w:marBottom w:val="0"/>
                      <w:divBdr>
                        <w:top w:val="none" w:sz="0" w:space="0" w:color="auto"/>
                        <w:left w:val="none" w:sz="0" w:space="0" w:color="auto"/>
                        <w:bottom w:val="none" w:sz="0" w:space="0" w:color="auto"/>
                        <w:right w:val="none" w:sz="0" w:space="0" w:color="auto"/>
                      </w:divBdr>
                    </w:div>
                  </w:divsChild>
                </w:div>
                <w:div w:id="647707971">
                  <w:marLeft w:val="0"/>
                  <w:marRight w:val="0"/>
                  <w:marTop w:val="0"/>
                  <w:marBottom w:val="0"/>
                  <w:divBdr>
                    <w:top w:val="none" w:sz="0" w:space="0" w:color="auto"/>
                    <w:left w:val="none" w:sz="0" w:space="0" w:color="auto"/>
                    <w:bottom w:val="none" w:sz="0" w:space="0" w:color="auto"/>
                    <w:right w:val="none" w:sz="0" w:space="0" w:color="auto"/>
                  </w:divBdr>
                  <w:divsChild>
                    <w:div w:id="1553610603">
                      <w:marLeft w:val="0"/>
                      <w:marRight w:val="0"/>
                      <w:marTop w:val="0"/>
                      <w:marBottom w:val="0"/>
                      <w:divBdr>
                        <w:top w:val="none" w:sz="0" w:space="0" w:color="auto"/>
                        <w:left w:val="none" w:sz="0" w:space="0" w:color="auto"/>
                        <w:bottom w:val="none" w:sz="0" w:space="0" w:color="auto"/>
                        <w:right w:val="none" w:sz="0" w:space="0" w:color="auto"/>
                      </w:divBdr>
                    </w:div>
                  </w:divsChild>
                </w:div>
                <w:div w:id="667174540">
                  <w:marLeft w:val="0"/>
                  <w:marRight w:val="0"/>
                  <w:marTop w:val="0"/>
                  <w:marBottom w:val="0"/>
                  <w:divBdr>
                    <w:top w:val="none" w:sz="0" w:space="0" w:color="auto"/>
                    <w:left w:val="none" w:sz="0" w:space="0" w:color="auto"/>
                    <w:bottom w:val="none" w:sz="0" w:space="0" w:color="auto"/>
                    <w:right w:val="none" w:sz="0" w:space="0" w:color="auto"/>
                  </w:divBdr>
                  <w:divsChild>
                    <w:div w:id="1554078874">
                      <w:marLeft w:val="0"/>
                      <w:marRight w:val="0"/>
                      <w:marTop w:val="0"/>
                      <w:marBottom w:val="0"/>
                      <w:divBdr>
                        <w:top w:val="none" w:sz="0" w:space="0" w:color="auto"/>
                        <w:left w:val="none" w:sz="0" w:space="0" w:color="auto"/>
                        <w:bottom w:val="none" w:sz="0" w:space="0" w:color="auto"/>
                        <w:right w:val="none" w:sz="0" w:space="0" w:color="auto"/>
                      </w:divBdr>
                    </w:div>
                  </w:divsChild>
                </w:div>
                <w:div w:id="695351586">
                  <w:marLeft w:val="0"/>
                  <w:marRight w:val="0"/>
                  <w:marTop w:val="0"/>
                  <w:marBottom w:val="0"/>
                  <w:divBdr>
                    <w:top w:val="none" w:sz="0" w:space="0" w:color="auto"/>
                    <w:left w:val="none" w:sz="0" w:space="0" w:color="auto"/>
                    <w:bottom w:val="none" w:sz="0" w:space="0" w:color="auto"/>
                    <w:right w:val="none" w:sz="0" w:space="0" w:color="auto"/>
                  </w:divBdr>
                  <w:divsChild>
                    <w:div w:id="307713478">
                      <w:marLeft w:val="0"/>
                      <w:marRight w:val="0"/>
                      <w:marTop w:val="0"/>
                      <w:marBottom w:val="0"/>
                      <w:divBdr>
                        <w:top w:val="none" w:sz="0" w:space="0" w:color="auto"/>
                        <w:left w:val="none" w:sz="0" w:space="0" w:color="auto"/>
                        <w:bottom w:val="none" w:sz="0" w:space="0" w:color="auto"/>
                        <w:right w:val="none" w:sz="0" w:space="0" w:color="auto"/>
                      </w:divBdr>
                    </w:div>
                  </w:divsChild>
                </w:div>
                <w:div w:id="722019280">
                  <w:marLeft w:val="0"/>
                  <w:marRight w:val="0"/>
                  <w:marTop w:val="0"/>
                  <w:marBottom w:val="0"/>
                  <w:divBdr>
                    <w:top w:val="none" w:sz="0" w:space="0" w:color="auto"/>
                    <w:left w:val="none" w:sz="0" w:space="0" w:color="auto"/>
                    <w:bottom w:val="none" w:sz="0" w:space="0" w:color="auto"/>
                    <w:right w:val="none" w:sz="0" w:space="0" w:color="auto"/>
                  </w:divBdr>
                  <w:divsChild>
                    <w:div w:id="1576672132">
                      <w:marLeft w:val="0"/>
                      <w:marRight w:val="0"/>
                      <w:marTop w:val="0"/>
                      <w:marBottom w:val="0"/>
                      <w:divBdr>
                        <w:top w:val="none" w:sz="0" w:space="0" w:color="auto"/>
                        <w:left w:val="none" w:sz="0" w:space="0" w:color="auto"/>
                        <w:bottom w:val="none" w:sz="0" w:space="0" w:color="auto"/>
                        <w:right w:val="none" w:sz="0" w:space="0" w:color="auto"/>
                      </w:divBdr>
                    </w:div>
                  </w:divsChild>
                </w:div>
                <w:div w:id="743794638">
                  <w:marLeft w:val="0"/>
                  <w:marRight w:val="0"/>
                  <w:marTop w:val="0"/>
                  <w:marBottom w:val="0"/>
                  <w:divBdr>
                    <w:top w:val="none" w:sz="0" w:space="0" w:color="auto"/>
                    <w:left w:val="none" w:sz="0" w:space="0" w:color="auto"/>
                    <w:bottom w:val="none" w:sz="0" w:space="0" w:color="auto"/>
                    <w:right w:val="none" w:sz="0" w:space="0" w:color="auto"/>
                  </w:divBdr>
                  <w:divsChild>
                    <w:div w:id="2016609285">
                      <w:marLeft w:val="0"/>
                      <w:marRight w:val="0"/>
                      <w:marTop w:val="0"/>
                      <w:marBottom w:val="0"/>
                      <w:divBdr>
                        <w:top w:val="none" w:sz="0" w:space="0" w:color="auto"/>
                        <w:left w:val="none" w:sz="0" w:space="0" w:color="auto"/>
                        <w:bottom w:val="none" w:sz="0" w:space="0" w:color="auto"/>
                        <w:right w:val="none" w:sz="0" w:space="0" w:color="auto"/>
                      </w:divBdr>
                    </w:div>
                  </w:divsChild>
                </w:div>
                <w:div w:id="809205327">
                  <w:marLeft w:val="0"/>
                  <w:marRight w:val="0"/>
                  <w:marTop w:val="0"/>
                  <w:marBottom w:val="0"/>
                  <w:divBdr>
                    <w:top w:val="none" w:sz="0" w:space="0" w:color="auto"/>
                    <w:left w:val="none" w:sz="0" w:space="0" w:color="auto"/>
                    <w:bottom w:val="none" w:sz="0" w:space="0" w:color="auto"/>
                    <w:right w:val="none" w:sz="0" w:space="0" w:color="auto"/>
                  </w:divBdr>
                  <w:divsChild>
                    <w:div w:id="581839352">
                      <w:marLeft w:val="0"/>
                      <w:marRight w:val="0"/>
                      <w:marTop w:val="0"/>
                      <w:marBottom w:val="0"/>
                      <w:divBdr>
                        <w:top w:val="none" w:sz="0" w:space="0" w:color="auto"/>
                        <w:left w:val="none" w:sz="0" w:space="0" w:color="auto"/>
                        <w:bottom w:val="none" w:sz="0" w:space="0" w:color="auto"/>
                        <w:right w:val="none" w:sz="0" w:space="0" w:color="auto"/>
                      </w:divBdr>
                    </w:div>
                  </w:divsChild>
                </w:div>
                <w:div w:id="822087713">
                  <w:marLeft w:val="0"/>
                  <w:marRight w:val="0"/>
                  <w:marTop w:val="0"/>
                  <w:marBottom w:val="0"/>
                  <w:divBdr>
                    <w:top w:val="none" w:sz="0" w:space="0" w:color="auto"/>
                    <w:left w:val="none" w:sz="0" w:space="0" w:color="auto"/>
                    <w:bottom w:val="none" w:sz="0" w:space="0" w:color="auto"/>
                    <w:right w:val="none" w:sz="0" w:space="0" w:color="auto"/>
                  </w:divBdr>
                  <w:divsChild>
                    <w:div w:id="917396678">
                      <w:marLeft w:val="0"/>
                      <w:marRight w:val="0"/>
                      <w:marTop w:val="0"/>
                      <w:marBottom w:val="0"/>
                      <w:divBdr>
                        <w:top w:val="none" w:sz="0" w:space="0" w:color="auto"/>
                        <w:left w:val="none" w:sz="0" w:space="0" w:color="auto"/>
                        <w:bottom w:val="none" w:sz="0" w:space="0" w:color="auto"/>
                        <w:right w:val="none" w:sz="0" w:space="0" w:color="auto"/>
                      </w:divBdr>
                    </w:div>
                  </w:divsChild>
                </w:div>
                <w:div w:id="829447309">
                  <w:marLeft w:val="0"/>
                  <w:marRight w:val="0"/>
                  <w:marTop w:val="0"/>
                  <w:marBottom w:val="0"/>
                  <w:divBdr>
                    <w:top w:val="none" w:sz="0" w:space="0" w:color="auto"/>
                    <w:left w:val="none" w:sz="0" w:space="0" w:color="auto"/>
                    <w:bottom w:val="none" w:sz="0" w:space="0" w:color="auto"/>
                    <w:right w:val="none" w:sz="0" w:space="0" w:color="auto"/>
                  </w:divBdr>
                  <w:divsChild>
                    <w:div w:id="228344618">
                      <w:marLeft w:val="0"/>
                      <w:marRight w:val="0"/>
                      <w:marTop w:val="0"/>
                      <w:marBottom w:val="0"/>
                      <w:divBdr>
                        <w:top w:val="none" w:sz="0" w:space="0" w:color="auto"/>
                        <w:left w:val="none" w:sz="0" w:space="0" w:color="auto"/>
                        <w:bottom w:val="none" w:sz="0" w:space="0" w:color="auto"/>
                        <w:right w:val="none" w:sz="0" w:space="0" w:color="auto"/>
                      </w:divBdr>
                    </w:div>
                  </w:divsChild>
                </w:div>
                <w:div w:id="845827490">
                  <w:marLeft w:val="0"/>
                  <w:marRight w:val="0"/>
                  <w:marTop w:val="0"/>
                  <w:marBottom w:val="0"/>
                  <w:divBdr>
                    <w:top w:val="none" w:sz="0" w:space="0" w:color="auto"/>
                    <w:left w:val="none" w:sz="0" w:space="0" w:color="auto"/>
                    <w:bottom w:val="none" w:sz="0" w:space="0" w:color="auto"/>
                    <w:right w:val="none" w:sz="0" w:space="0" w:color="auto"/>
                  </w:divBdr>
                  <w:divsChild>
                    <w:div w:id="1364668254">
                      <w:marLeft w:val="0"/>
                      <w:marRight w:val="0"/>
                      <w:marTop w:val="0"/>
                      <w:marBottom w:val="0"/>
                      <w:divBdr>
                        <w:top w:val="none" w:sz="0" w:space="0" w:color="auto"/>
                        <w:left w:val="none" w:sz="0" w:space="0" w:color="auto"/>
                        <w:bottom w:val="none" w:sz="0" w:space="0" w:color="auto"/>
                        <w:right w:val="none" w:sz="0" w:space="0" w:color="auto"/>
                      </w:divBdr>
                    </w:div>
                  </w:divsChild>
                </w:div>
                <w:div w:id="861019744">
                  <w:marLeft w:val="0"/>
                  <w:marRight w:val="0"/>
                  <w:marTop w:val="0"/>
                  <w:marBottom w:val="0"/>
                  <w:divBdr>
                    <w:top w:val="none" w:sz="0" w:space="0" w:color="auto"/>
                    <w:left w:val="none" w:sz="0" w:space="0" w:color="auto"/>
                    <w:bottom w:val="none" w:sz="0" w:space="0" w:color="auto"/>
                    <w:right w:val="none" w:sz="0" w:space="0" w:color="auto"/>
                  </w:divBdr>
                  <w:divsChild>
                    <w:div w:id="1707824959">
                      <w:marLeft w:val="0"/>
                      <w:marRight w:val="0"/>
                      <w:marTop w:val="0"/>
                      <w:marBottom w:val="0"/>
                      <w:divBdr>
                        <w:top w:val="none" w:sz="0" w:space="0" w:color="auto"/>
                        <w:left w:val="none" w:sz="0" w:space="0" w:color="auto"/>
                        <w:bottom w:val="none" w:sz="0" w:space="0" w:color="auto"/>
                        <w:right w:val="none" w:sz="0" w:space="0" w:color="auto"/>
                      </w:divBdr>
                    </w:div>
                  </w:divsChild>
                </w:div>
                <w:div w:id="882400414">
                  <w:marLeft w:val="0"/>
                  <w:marRight w:val="0"/>
                  <w:marTop w:val="0"/>
                  <w:marBottom w:val="0"/>
                  <w:divBdr>
                    <w:top w:val="none" w:sz="0" w:space="0" w:color="auto"/>
                    <w:left w:val="none" w:sz="0" w:space="0" w:color="auto"/>
                    <w:bottom w:val="none" w:sz="0" w:space="0" w:color="auto"/>
                    <w:right w:val="none" w:sz="0" w:space="0" w:color="auto"/>
                  </w:divBdr>
                  <w:divsChild>
                    <w:div w:id="1040201960">
                      <w:marLeft w:val="0"/>
                      <w:marRight w:val="0"/>
                      <w:marTop w:val="0"/>
                      <w:marBottom w:val="0"/>
                      <w:divBdr>
                        <w:top w:val="none" w:sz="0" w:space="0" w:color="auto"/>
                        <w:left w:val="none" w:sz="0" w:space="0" w:color="auto"/>
                        <w:bottom w:val="none" w:sz="0" w:space="0" w:color="auto"/>
                        <w:right w:val="none" w:sz="0" w:space="0" w:color="auto"/>
                      </w:divBdr>
                    </w:div>
                  </w:divsChild>
                </w:div>
                <w:div w:id="898126571">
                  <w:marLeft w:val="0"/>
                  <w:marRight w:val="0"/>
                  <w:marTop w:val="0"/>
                  <w:marBottom w:val="0"/>
                  <w:divBdr>
                    <w:top w:val="none" w:sz="0" w:space="0" w:color="auto"/>
                    <w:left w:val="none" w:sz="0" w:space="0" w:color="auto"/>
                    <w:bottom w:val="none" w:sz="0" w:space="0" w:color="auto"/>
                    <w:right w:val="none" w:sz="0" w:space="0" w:color="auto"/>
                  </w:divBdr>
                  <w:divsChild>
                    <w:div w:id="330373703">
                      <w:marLeft w:val="0"/>
                      <w:marRight w:val="0"/>
                      <w:marTop w:val="0"/>
                      <w:marBottom w:val="0"/>
                      <w:divBdr>
                        <w:top w:val="none" w:sz="0" w:space="0" w:color="auto"/>
                        <w:left w:val="none" w:sz="0" w:space="0" w:color="auto"/>
                        <w:bottom w:val="none" w:sz="0" w:space="0" w:color="auto"/>
                        <w:right w:val="none" w:sz="0" w:space="0" w:color="auto"/>
                      </w:divBdr>
                    </w:div>
                  </w:divsChild>
                </w:div>
                <w:div w:id="909004169">
                  <w:marLeft w:val="0"/>
                  <w:marRight w:val="0"/>
                  <w:marTop w:val="0"/>
                  <w:marBottom w:val="0"/>
                  <w:divBdr>
                    <w:top w:val="none" w:sz="0" w:space="0" w:color="auto"/>
                    <w:left w:val="none" w:sz="0" w:space="0" w:color="auto"/>
                    <w:bottom w:val="none" w:sz="0" w:space="0" w:color="auto"/>
                    <w:right w:val="none" w:sz="0" w:space="0" w:color="auto"/>
                  </w:divBdr>
                  <w:divsChild>
                    <w:div w:id="1290163531">
                      <w:marLeft w:val="0"/>
                      <w:marRight w:val="0"/>
                      <w:marTop w:val="0"/>
                      <w:marBottom w:val="0"/>
                      <w:divBdr>
                        <w:top w:val="none" w:sz="0" w:space="0" w:color="auto"/>
                        <w:left w:val="none" w:sz="0" w:space="0" w:color="auto"/>
                        <w:bottom w:val="none" w:sz="0" w:space="0" w:color="auto"/>
                        <w:right w:val="none" w:sz="0" w:space="0" w:color="auto"/>
                      </w:divBdr>
                    </w:div>
                  </w:divsChild>
                </w:div>
                <w:div w:id="942685313">
                  <w:marLeft w:val="0"/>
                  <w:marRight w:val="0"/>
                  <w:marTop w:val="0"/>
                  <w:marBottom w:val="0"/>
                  <w:divBdr>
                    <w:top w:val="none" w:sz="0" w:space="0" w:color="auto"/>
                    <w:left w:val="none" w:sz="0" w:space="0" w:color="auto"/>
                    <w:bottom w:val="none" w:sz="0" w:space="0" w:color="auto"/>
                    <w:right w:val="none" w:sz="0" w:space="0" w:color="auto"/>
                  </w:divBdr>
                  <w:divsChild>
                    <w:div w:id="1806584492">
                      <w:marLeft w:val="0"/>
                      <w:marRight w:val="0"/>
                      <w:marTop w:val="0"/>
                      <w:marBottom w:val="0"/>
                      <w:divBdr>
                        <w:top w:val="none" w:sz="0" w:space="0" w:color="auto"/>
                        <w:left w:val="none" w:sz="0" w:space="0" w:color="auto"/>
                        <w:bottom w:val="none" w:sz="0" w:space="0" w:color="auto"/>
                        <w:right w:val="none" w:sz="0" w:space="0" w:color="auto"/>
                      </w:divBdr>
                    </w:div>
                  </w:divsChild>
                </w:div>
                <w:div w:id="944970269">
                  <w:marLeft w:val="0"/>
                  <w:marRight w:val="0"/>
                  <w:marTop w:val="0"/>
                  <w:marBottom w:val="0"/>
                  <w:divBdr>
                    <w:top w:val="none" w:sz="0" w:space="0" w:color="auto"/>
                    <w:left w:val="none" w:sz="0" w:space="0" w:color="auto"/>
                    <w:bottom w:val="none" w:sz="0" w:space="0" w:color="auto"/>
                    <w:right w:val="none" w:sz="0" w:space="0" w:color="auto"/>
                  </w:divBdr>
                  <w:divsChild>
                    <w:div w:id="1925412216">
                      <w:marLeft w:val="0"/>
                      <w:marRight w:val="0"/>
                      <w:marTop w:val="0"/>
                      <w:marBottom w:val="0"/>
                      <w:divBdr>
                        <w:top w:val="none" w:sz="0" w:space="0" w:color="auto"/>
                        <w:left w:val="none" w:sz="0" w:space="0" w:color="auto"/>
                        <w:bottom w:val="none" w:sz="0" w:space="0" w:color="auto"/>
                        <w:right w:val="none" w:sz="0" w:space="0" w:color="auto"/>
                      </w:divBdr>
                    </w:div>
                  </w:divsChild>
                </w:div>
                <w:div w:id="958881469">
                  <w:marLeft w:val="0"/>
                  <w:marRight w:val="0"/>
                  <w:marTop w:val="0"/>
                  <w:marBottom w:val="0"/>
                  <w:divBdr>
                    <w:top w:val="none" w:sz="0" w:space="0" w:color="auto"/>
                    <w:left w:val="none" w:sz="0" w:space="0" w:color="auto"/>
                    <w:bottom w:val="none" w:sz="0" w:space="0" w:color="auto"/>
                    <w:right w:val="none" w:sz="0" w:space="0" w:color="auto"/>
                  </w:divBdr>
                  <w:divsChild>
                    <w:div w:id="1796677332">
                      <w:marLeft w:val="0"/>
                      <w:marRight w:val="0"/>
                      <w:marTop w:val="0"/>
                      <w:marBottom w:val="0"/>
                      <w:divBdr>
                        <w:top w:val="none" w:sz="0" w:space="0" w:color="auto"/>
                        <w:left w:val="none" w:sz="0" w:space="0" w:color="auto"/>
                        <w:bottom w:val="none" w:sz="0" w:space="0" w:color="auto"/>
                        <w:right w:val="none" w:sz="0" w:space="0" w:color="auto"/>
                      </w:divBdr>
                    </w:div>
                  </w:divsChild>
                </w:div>
                <w:div w:id="964698923">
                  <w:marLeft w:val="0"/>
                  <w:marRight w:val="0"/>
                  <w:marTop w:val="0"/>
                  <w:marBottom w:val="0"/>
                  <w:divBdr>
                    <w:top w:val="none" w:sz="0" w:space="0" w:color="auto"/>
                    <w:left w:val="none" w:sz="0" w:space="0" w:color="auto"/>
                    <w:bottom w:val="none" w:sz="0" w:space="0" w:color="auto"/>
                    <w:right w:val="none" w:sz="0" w:space="0" w:color="auto"/>
                  </w:divBdr>
                  <w:divsChild>
                    <w:div w:id="1179781269">
                      <w:marLeft w:val="0"/>
                      <w:marRight w:val="0"/>
                      <w:marTop w:val="0"/>
                      <w:marBottom w:val="0"/>
                      <w:divBdr>
                        <w:top w:val="none" w:sz="0" w:space="0" w:color="auto"/>
                        <w:left w:val="none" w:sz="0" w:space="0" w:color="auto"/>
                        <w:bottom w:val="none" w:sz="0" w:space="0" w:color="auto"/>
                        <w:right w:val="none" w:sz="0" w:space="0" w:color="auto"/>
                      </w:divBdr>
                    </w:div>
                  </w:divsChild>
                </w:div>
                <w:div w:id="989670528">
                  <w:marLeft w:val="0"/>
                  <w:marRight w:val="0"/>
                  <w:marTop w:val="0"/>
                  <w:marBottom w:val="0"/>
                  <w:divBdr>
                    <w:top w:val="none" w:sz="0" w:space="0" w:color="auto"/>
                    <w:left w:val="none" w:sz="0" w:space="0" w:color="auto"/>
                    <w:bottom w:val="none" w:sz="0" w:space="0" w:color="auto"/>
                    <w:right w:val="none" w:sz="0" w:space="0" w:color="auto"/>
                  </w:divBdr>
                  <w:divsChild>
                    <w:div w:id="569854102">
                      <w:marLeft w:val="0"/>
                      <w:marRight w:val="0"/>
                      <w:marTop w:val="0"/>
                      <w:marBottom w:val="0"/>
                      <w:divBdr>
                        <w:top w:val="none" w:sz="0" w:space="0" w:color="auto"/>
                        <w:left w:val="none" w:sz="0" w:space="0" w:color="auto"/>
                        <w:bottom w:val="none" w:sz="0" w:space="0" w:color="auto"/>
                        <w:right w:val="none" w:sz="0" w:space="0" w:color="auto"/>
                      </w:divBdr>
                    </w:div>
                  </w:divsChild>
                </w:div>
                <w:div w:id="1020663357">
                  <w:marLeft w:val="0"/>
                  <w:marRight w:val="0"/>
                  <w:marTop w:val="0"/>
                  <w:marBottom w:val="0"/>
                  <w:divBdr>
                    <w:top w:val="none" w:sz="0" w:space="0" w:color="auto"/>
                    <w:left w:val="none" w:sz="0" w:space="0" w:color="auto"/>
                    <w:bottom w:val="none" w:sz="0" w:space="0" w:color="auto"/>
                    <w:right w:val="none" w:sz="0" w:space="0" w:color="auto"/>
                  </w:divBdr>
                  <w:divsChild>
                    <w:div w:id="693119821">
                      <w:marLeft w:val="0"/>
                      <w:marRight w:val="0"/>
                      <w:marTop w:val="0"/>
                      <w:marBottom w:val="0"/>
                      <w:divBdr>
                        <w:top w:val="none" w:sz="0" w:space="0" w:color="auto"/>
                        <w:left w:val="none" w:sz="0" w:space="0" w:color="auto"/>
                        <w:bottom w:val="none" w:sz="0" w:space="0" w:color="auto"/>
                        <w:right w:val="none" w:sz="0" w:space="0" w:color="auto"/>
                      </w:divBdr>
                    </w:div>
                  </w:divsChild>
                </w:div>
                <w:div w:id="1073236755">
                  <w:marLeft w:val="0"/>
                  <w:marRight w:val="0"/>
                  <w:marTop w:val="0"/>
                  <w:marBottom w:val="0"/>
                  <w:divBdr>
                    <w:top w:val="none" w:sz="0" w:space="0" w:color="auto"/>
                    <w:left w:val="none" w:sz="0" w:space="0" w:color="auto"/>
                    <w:bottom w:val="none" w:sz="0" w:space="0" w:color="auto"/>
                    <w:right w:val="none" w:sz="0" w:space="0" w:color="auto"/>
                  </w:divBdr>
                  <w:divsChild>
                    <w:div w:id="1265384821">
                      <w:marLeft w:val="0"/>
                      <w:marRight w:val="0"/>
                      <w:marTop w:val="0"/>
                      <w:marBottom w:val="0"/>
                      <w:divBdr>
                        <w:top w:val="none" w:sz="0" w:space="0" w:color="auto"/>
                        <w:left w:val="none" w:sz="0" w:space="0" w:color="auto"/>
                        <w:bottom w:val="none" w:sz="0" w:space="0" w:color="auto"/>
                        <w:right w:val="none" w:sz="0" w:space="0" w:color="auto"/>
                      </w:divBdr>
                    </w:div>
                  </w:divsChild>
                </w:div>
                <w:div w:id="1078558045">
                  <w:marLeft w:val="0"/>
                  <w:marRight w:val="0"/>
                  <w:marTop w:val="0"/>
                  <w:marBottom w:val="0"/>
                  <w:divBdr>
                    <w:top w:val="none" w:sz="0" w:space="0" w:color="auto"/>
                    <w:left w:val="none" w:sz="0" w:space="0" w:color="auto"/>
                    <w:bottom w:val="none" w:sz="0" w:space="0" w:color="auto"/>
                    <w:right w:val="none" w:sz="0" w:space="0" w:color="auto"/>
                  </w:divBdr>
                  <w:divsChild>
                    <w:div w:id="1674139876">
                      <w:marLeft w:val="0"/>
                      <w:marRight w:val="0"/>
                      <w:marTop w:val="0"/>
                      <w:marBottom w:val="0"/>
                      <w:divBdr>
                        <w:top w:val="none" w:sz="0" w:space="0" w:color="auto"/>
                        <w:left w:val="none" w:sz="0" w:space="0" w:color="auto"/>
                        <w:bottom w:val="none" w:sz="0" w:space="0" w:color="auto"/>
                        <w:right w:val="none" w:sz="0" w:space="0" w:color="auto"/>
                      </w:divBdr>
                    </w:div>
                  </w:divsChild>
                </w:div>
                <w:div w:id="1116605922">
                  <w:marLeft w:val="0"/>
                  <w:marRight w:val="0"/>
                  <w:marTop w:val="0"/>
                  <w:marBottom w:val="0"/>
                  <w:divBdr>
                    <w:top w:val="none" w:sz="0" w:space="0" w:color="auto"/>
                    <w:left w:val="none" w:sz="0" w:space="0" w:color="auto"/>
                    <w:bottom w:val="none" w:sz="0" w:space="0" w:color="auto"/>
                    <w:right w:val="none" w:sz="0" w:space="0" w:color="auto"/>
                  </w:divBdr>
                  <w:divsChild>
                    <w:div w:id="1834880396">
                      <w:marLeft w:val="0"/>
                      <w:marRight w:val="0"/>
                      <w:marTop w:val="0"/>
                      <w:marBottom w:val="0"/>
                      <w:divBdr>
                        <w:top w:val="none" w:sz="0" w:space="0" w:color="auto"/>
                        <w:left w:val="none" w:sz="0" w:space="0" w:color="auto"/>
                        <w:bottom w:val="none" w:sz="0" w:space="0" w:color="auto"/>
                        <w:right w:val="none" w:sz="0" w:space="0" w:color="auto"/>
                      </w:divBdr>
                    </w:div>
                  </w:divsChild>
                </w:div>
                <w:div w:id="1152910556">
                  <w:marLeft w:val="0"/>
                  <w:marRight w:val="0"/>
                  <w:marTop w:val="0"/>
                  <w:marBottom w:val="0"/>
                  <w:divBdr>
                    <w:top w:val="none" w:sz="0" w:space="0" w:color="auto"/>
                    <w:left w:val="none" w:sz="0" w:space="0" w:color="auto"/>
                    <w:bottom w:val="none" w:sz="0" w:space="0" w:color="auto"/>
                    <w:right w:val="none" w:sz="0" w:space="0" w:color="auto"/>
                  </w:divBdr>
                  <w:divsChild>
                    <w:div w:id="590165077">
                      <w:marLeft w:val="0"/>
                      <w:marRight w:val="0"/>
                      <w:marTop w:val="0"/>
                      <w:marBottom w:val="0"/>
                      <w:divBdr>
                        <w:top w:val="none" w:sz="0" w:space="0" w:color="auto"/>
                        <w:left w:val="none" w:sz="0" w:space="0" w:color="auto"/>
                        <w:bottom w:val="none" w:sz="0" w:space="0" w:color="auto"/>
                        <w:right w:val="none" w:sz="0" w:space="0" w:color="auto"/>
                      </w:divBdr>
                    </w:div>
                  </w:divsChild>
                </w:div>
                <w:div w:id="1158611785">
                  <w:marLeft w:val="0"/>
                  <w:marRight w:val="0"/>
                  <w:marTop w:val="0"/>
                  <w:marBottom w:val="0"/>
                  <w:divBdr>
                    <w:top w:val="none" w:sz="0" w:space="0" w:color="auto"/>
                    <w:left w:val="none" w:sz="0" w:space="0" w:color="auto"/>
                    <w:bottom w:val="none" w:sz="0" w:space="0" w:color="auto"/>
                    <w:right w:val="none" w:sz="0" w:space="0" w:color="auto"/>
                  </w:divBdr>
                  <w:divsChild>
                    <w:div w:id="1284773191">
                      <w:marLeft w:val="0"/>
                      <w:marRight w:val="0"/>
                      <w:marTop w:val="0"/>
                      <w:marBottom w:val="0"/>
                      <w:divBdr>
                        <w:top w:val="none" w:sz="0" w:space="0" w:color="auto"/>
                        <w:left w:val="none" w:sz="0" w:space="0" w:color="auto"/>
                        <w:bottom w:val="none" w:sz="0" w:space="0" w:color="auto"/>
                        <w:right w:val="none" w:sz="0" w:space="0" w:color="auto"/>
                      </w:divBdr>
                    </w:div>
                  </w:divsChild>
                </w:div>
                <w:div w:id="1186552943">
                  <w:marLeft w:val="0"/>
                  <w:marRight w:val="0"/>
                  <w:marTop w:val="0"/>
                  <w:marBottom w:val="0"/>
                  <w:divBdr>
                    <w:top w:val="none" w:sz="0" w:space="0" w:color="auto"/>
                    <w:left w:val="none" w:sz="0" w:space="0" w:color="auto"/>
                    <w:bottom w:val="none" w:sz="0" w:space="0" w:color="auto"/>
                    <w:right w:val="none" w:sz="0" w:space="0" w:color="auto"/>
                  </w:divBdr>
                  <w:divsChild>
                    <w:div w:id="2084795028">
                      <w:marLeft w:val="0"/>
                      <w:marRight w:val="0"/>
                      <w:marTop w:val="0"/>
                      <w:marBottom w:val="0"/>
                      <w:divBdr>
                        <w:top w:val="none" w:sz="0" w:space="0" w:color="auto"/>
                        <w:left w:val="none" w:sz="0" w:space="0" w:color="auto"/>
                        <w:bottom w:val="none" w:sz="0" w:space="0" w:color="auto"/>
                        <w:right w:val="none" w:sz="0" w:space="0" w:color="auto"/>
                      </w:divBdr>
                    </w:div>
                  </w:divsChild>
                </w:div>
                <w:div w:id="1203245781">
                  <w:marLeft w:val="0"/>
                  <w:marRight w:val="0"/>
                  <w:marTop w:val="0"/>
                  <w:marBottom w:val="0"/>
                  <w:divBdr>
                    <w:top w:val="none" w:sz="0" w:space="0" w:color="auto"/>
                    <w:left w:val="none" w:sz="0" w:space="0" w:color="auto"/>
                    <w:bottom w:val="none" w:sz="0" w:space="0" w:color="auto"/>
                    <w:right w:val="none" w:sz="0" w:space="0" w:color="auto"/>
                  </w:divBdr>
                  <w:divsChild>
                    <w:div w:id="283735380">
                      <w:marLeft w:val="0"/>
                      <w:marRight w:val="0"/>
                      <w:marTop w:val="0"/>
                      <w:marBottom w:val="0"/>
                      <w:divBdr>
                        <w:top w:val="none" w:sz="0" w:space="0" w:color="auto"/>
                        <w:left w:val="none" w:sz="0" w:space="0" w:color="auto"/>
                        <w:bottom w:val="none" w:sz="0" w:space="0" w:color="auto"/>
                        <w:right w:val="none" w:sz="0" w:space="0" w:color="auto"/>
                      </w:divBdr>
                    </w:div>
                  </w:divsChild>
                </w:div>
                <w:div w:id="1206287345">
                  <w:marLeft w:val="0"/>
                  <w:marRight w:val="0"/>
                  <w:marTop w:val="0"/>
                  <w:marBottom w:val="0"/>
                  <w:divBdr>
                    <w:top w:val="none" w:sz="0" w:space="0" w:color="auto"/>
                    <w:left w:val="none" w:sz="0" w:space="0" w:color="auto"/>
                    <w:bottom w:val="none" w:sz="0" w:space="0" w:color="auto"/>
                    <w:right w:val="none" w:sz="0" w:space="0" w:color="auto"/>
                  </w:divBdr>
                  <w:divsChild>
                    <w:div w:id="2135903312">
                      <w:marLeft w:val="0"/>
                      <w:marRight w:val="0"/>
                      <w:marTop w:val="0"/>
                      <w:marBottom w:val="0"/>
                      <w:divBdr>
                        <w:top w:val="none" w:sz="0" w:space="0" w:color="auto"/>
                        <w:left w:val="none" w:sz="0" w:space="0" w:color="auto"/>
                        <w:bottom w:val="none" w:sz="0" w:space="0" w:color="auto"/>
                        <w:right w:val="none" w:sz="0" w:space="0" w:color="auto"/>
                      </w:divBdr>
                    </w:div>
                  </w:divsChild>
                </w:div>
                <w:div w:id="1221015601">
                  <w:marLeft w:val="0"/>
                  <w:marRight w:val="0"/>
                  <w:marTop w:val="0"/>
                  <w:marBottom w:val="0"/>
                  <w:divBdr>
                    <w:top w:val="none" w:sz="0" w:space="0" w:color="auto"/>
                    <w:left w:val="none" w:sz="0" w:space="0" w:color="auto"/>
                    <w:bottom w:val="none" w:sz="0" w:space="0" w:color="auto"/>
                    <w:right w:val="none" w:sz="0" w:space="0" w:color="auto"/>
                  </w:divBdr>
                  <w:divsChild>
                    <w:div w:id="383263892">
                      <w:marLeft w:val="0"/>
                      <w:marRight w:val="0"/>
                      <w:marTop w:val="0"/>
                      <w:marBottom w:val="0"/>
                      <w:divBdr>
                        <w:top w:val="none" w:sz="0" w:space="0" w:color="auto"/>
                        <w:left w:val="none" w:sz="0" w:space="0" w:color="auto"/>
                        <w:bottom w:val="none" w:sz="0" w:space="0" w:color="auto"/>
                        <w:right w:val="none" w:sz="0" w:space="0" w:color="auto"/>
                      </w:divBdr>
                    </w:div>
                  </w:divsChild>
                </w:div>
                <w:div w:id="1221402794">
                  <w:marLeft w:val="0"/>
                  <w:marRight w:val="0"/>
                  <w:marTop w:val="0"/>
                  <w:marBottom w:val="0"/>
                  <w:divBdr>
                    <w:top w:val="none" w:sz="0" w:space="0" w:color="auto"/>
                    <w:left w:val="none" w:sz="0" w:space="0" w:color="auto"/>
                    <w:bottom w:val="none" w:sz="0" w:space="0" w:color="auto"/>
                    <w:right w:val="none" w:sz="0" w:space="0" w:color="auto"/>
                  </w:divBdr>
                  <w:divsChild>
                    <w:div w:id="772896842">
                      <w:marLeft w:val="0"/>
                      <w:marRight w:val="0"/>
                      <w:marTop w:val="0"/>
                      <w:marBottom w:val="0"/>
                      <w:divBdr>
                        <w:top w:val="none" w:sz="0" w:space="0" w:color="auto"/>
                        <w:left w:val="none" w:sz="0" w:space="0" w:color="auto"/>
                        <w:bottom w:val="none" w:sz="0" w:space="0" w:color="auto"/>
                        <w:right w:val="none" w:sz="0" w:space="0" w:color="auto"/>
                      </w:divBdr>
                    </w:div>
                  </w:divsChild>
                </w:div>
                <w:div w:id="1226375836">
                  <w:marLeft w:val="0"/>
                  <w:marRight w:val="0"/>
                  <w:marTop w:val="0"/>
                  <w:marBottom w:val="0"/>
                  <w:divBdr>
                    <w:top w:val="none" w:sz="0" w:space="0" w:color="auto"/>
                    <w:left w:val="none" w:sz="0" w:space="0" w:color="auto"/>
                    <w:bottom w:val="none" w:sz="0" w:space="0" w:color="auto"/>
                    <w:right w:val="none" w:sz="0" w:space="0" w:color="auto"/>
                  </w:divBdr>
                  <w:divsChild>
                    <w:div w:id="1521435031">
                      <w:marLeft w:val="0"/>
                      <w:marRight w:val="0"/>
                      <w:marTop w:val="0"/>
                      <w:marBottom w:val="0"/>
                      <w:divBdr>
                        <w:top w:val="none" w:sz="0" w:space="0" w:color="auto"/>
                        <w:left w:val="none" w:sz="0" w:space="0" w:color="auto"/>
                        <w:bottom w:val="none" w:sz="0" w:space="0" w:color="auto"/>
                        <w:right w:val="none" w:sz="0" w:space="0" w:color="auto"/>
                      </w:divBdr>
                    </w:div>
                  </w:divsChild>
                </w:div>
                <w:div w:id="1241283366">
                  <w:marLeft w:val="0"/>
                  <w:marRight w:val="0"/>
                  <w:marTop w:val="0"/>
                  <w:marBottom w:val="0"/>
                  <w:divBdr>
                    <w:top w:val="none" w:sz="0" w:space="0" w:color="auto"/>
                    <w:left w:val="none" w:sz="0" w:space="0" w:color="auto"/>
                    <w:bottom w:val="none" w:sz="0" w:space="0" w:color="auto"/>
                    <w:right w:val="none" w:sz="0" w:space="0" w:color="auto"/>
                  </w:divBdr>
                  <w:divsChild>
                    <w:div w:id="1263337590">
                      <w:marLeft w:val="0"/>
                      <w:marRight w:val="0"/>
                      <w:marTop w:val="0"/>
                      <w:marBottom w:val="0"/>
                      <w:divBdr>
                        <w:top w:val="none" w:sz="0" w:space="0" w:color="auto"/>
                        <w:left w:val="none" w:sz="0" w:space="0" w:color="auto"/>
                        <w:bottom w:val="none" w:sz="0" w:space="0" w:color="auto"/>
                        <w:right w:val="none" w:sz="0" w:space="0" w:color="auto"/>
                      </w:divBdr>
                    </w:div>
                  </w:divsChild>
                </w:div>
                <w:div w:id="1249459966">
                  <w:marLeft w:val="0"/>
                  <w:marRight w:val="0"/>
                  <w:marTop w:val="0"/>
                  <w:marBottom w:val="0"/>
                  <w:divBdr>
                    <w:top w:val="none" w:sz="0" w:space="0" w:color="auto"/>
                    <w:left w:val="none" w:sz="0" w:space="0" w:color="auto"/>
                    <w:bottom w:val="none" w:sz="0" w:space="0" w:color="auto"/>
                    <w:right w:val="none" w:sz="0" w:space="0" w:color="auto"/>
                  </w:divBdr>
                  <w:divsChild>
                    <w:div w:id="1301499348">
                      <w:marLeft w:val="0"/>
                      <w:marRight w:val="0"/>
                      <w:marTop w:val="0"/>
                      <w:marBottom w:val="0"/>
                      <w:divBdr>
                        <w:top w:val="none" w:sz="0" w:space="0" w:color="auto"/>
                        <w:left w:val="none" w:sz="0" w:space="0" w:color="auto"/>
                        <w:bottom w:val="none" w:sz="0" w:space="0" w:color="auto"/>
                        <w:right w:val="none" w:sz="0" w:space="0" w:color="auto"/>
                      </w:divBdr>
                    </w:div>
                  </w:divsChild>
                </w:div>
                <w:div w:id="1279752032">
                  <w:marLeft w:val="0"/>
                  <w:marRight w:val="0"/>
                  <w:marTop w:val="0"/>
                  <w:marBottom w:val="0"/>
                  <w:divBdr>
                    <w:top w:val="none" w:sz="0" w:space="0" w:color="auto"/>
                    <w:left w:val="none" w:sz="0" w:space="0" w:color="auto"/>
                    <w:bottom w:val="none" w:sz="0" w:space="0" w:color="auto"/>
                    <w:right w:val="none" w:sz="0" w:space="0" w:color="auto"/>
                  </w:divBdr>
                  <w:divsChild>
                    <w:div w:id="339740661">
                      <w:marLeft w:val="0"/>
                      <w:marRight w:val="0"/>
                      <w:marTop w:val="0"/>
                      <w:marBottom w:val="0"/>
                      <w:divBdr>
                        <w:top w:val="none" w:sz="0" w:space="0" w:color="auto"/>
                        <w:left w:val="none" w:sz="0" w:space="0" w:color="auto"/>
                        <w:bottom w:val="none" w:sz="0" w:space="0" w:color="auto"/>
                        <w:right w:val="none" w:sz="0" w:space="0" w:color="auto"/>
                      </w:divBdr>
                    </w:div>
                  </w:divsChild>
                </w:div>
                <w:div w:id="1280377455">
                  <w:marLeft w:val="0"/>
                  <w:marRight w:val="0"/>
                  <w:marTop w:val="0"/>
                  <w:marBottom w:val="0"/>
                  <w:divBdr>
                    <w:top w:val="none" w:sz="0" w:space="0" w:color="auto"/>
                    <w:left w:val="none" w:sz="0" w:space="0" w:color="auto"/>
                    <w:bottom w:val="none" w:sz="0" w:space="0" w:color="auto"/>
                    <w:right w:val="none" w:sz="0" w:space="0" w:color="auto"/>
                  </w:divBdr>
                  <w:divsChild>
                    <w:div w:id="1361009896">
                      <w:marLeft w:val="0"/>
                      <w:marRight w:val="0"/>
                      <w:marTop w:val="0"/>
                      <w:marBottom w:val="0"/>
                      <w:divBdr>
                        <w:top w:val="none" w:sz="0" w:space="0" w:color="auto"/>
                        <w:left w:val="none" w:sz="0" w:space="0" w:color="auto"/>
                        <w:bottom w:val="none" w:sz="0" w:space="0" w:color="auto"/>
                        <w:right w:val="none" w:sz="0" w:space="0" w:color="auto"/>
                      </w:divBdr>
                    </w:div>
                  </w:divsChild>
                </w:div>
                <w:div w:id="1283733369">
                  <w:marLeft w:val="0"/>
                  <w:marRight w:val="0"/>
                  <w:marTop w:val="0"/>
                  <w:marBottom w:val="0"/>
                  <w:divBdr>
                    <w:top w:val="none" w:sz="0" w:space="0" w:color="auto"/>
                    <w:left w:val="none" w:sz="0" w:space="0" w:color="auto"/>
                    <w:bottom w:val="none" w:sz="0" w:space="0" w:color="auto"/>
                    <w:right w:val="none" w:sz="0" w:space="0" w:color="auto"/>
                  </w:divBdr>
                  <w:divsChild>
                    <w:div w:id="606887187">
                      <w:marLeft w:val="0"/>
                      <w:marRight w:val="0"/>
                      <w:marTop w:val="0"/>
                      <w:marBottom w:val="0"/>
                      <w:divBdr>
                        <w:top w:val="none" w:sz="0" w:space="0" w:color="auto"/>
                        <w:left w:val="none" w:sz="0" w:space="0" w:color="auto"/>
                        <w:bottom w:val="none" w:sz="0" w:space="0" w:color="auto"/>
                        <w:right w:val="none" w:sz="0" w:space="0" w:color="auto"/>
                      </w:divBdr>
                    </w:div>
                  </w:divsChild>
                </w:div>
                <w:div w:id="1308776374">
                  <w:marLeft w:val="0"/>
                  <w:marRight w:val="0"/>
                  <w:marTop w:val="0"/>
                  <w:marBottom w:val="0"/>
                  <w:divBdr>
                    <w:top w:val="none" w:sz="0" w:space="0" w:color="auto"/>
                    <w:left w:val="none" w:sz="0" w:space="0" w:color="auto"/>
                    <w:bottom w:val="none" w:sz="0" w:space="0" w:color="auto"/>
                    <w:right w:val="none" w:sz="0" w:space="0" w:color="auto"/>
                  </w:divBdr>
                  <w:divsChild>
                    <w:div w:id="862480340">
                      <w:marLeft w:val="0"/>
                      <w:marRight w:val="0"/>
                      <w:marTop w:val="0"/>
                      <w:marBottom w:val="0"/>
                      <w:divBdr>
                        <w:top w:val="none" w:sz="0" w:space="0" w:color="auto"/>
                        <w:left w:val="none" w:sz="0" w:space="0" w:color="auto"/>
                        <w:bottom w:val="none" w:sz="0" w:space="0" w:color="auto"/>
                        <w:right w:val="none" w:sz="0" w:space="0" w:color="auto"/>
                      </w:divBdr>
                    </w:div>
                  </w:divsChild>
                </w:div>
                <w:div w:id="1323583017">
                  <w:marLeft w:val="0"/>
                  <w:marRight w:val="0"/>
                  <w:marTop w:val="0"/>
                  <w:marBottom w:val="0"/>
                  <w:divBdr>
                    <w:top w:val="none" w:sz="0" w:space="0" w:color="auto"/>
                    <w:left w:val="none" w:sz="0" w:space="0" w:color="auto"/>
                    <w:bottom w:val="none" w:sz="0" w:space="0" w:color="auto"/>
                    <w:right w:val="none" w:sz="0" w:space="0" w:color="auto"/>
                  </w:divBdr>
                  <w:divsChild>
                    <w:div w:id="202327173">
                      <w:marLeft w:val="0"/>
                      <w:marRight w:val="0"/>
                      <w:marTop w:val="0"/>
                      <w:marBottom w:val="0"/>
                      <w:divBdr>
                        <w:top w:val="none" w:sz="0" w:space="0" w:color="auto"/>
                        <w:left w:val="none" w:sz="0" w:space="0" w:color="auto"/>
                        <w:bottom w:val="none" w:sz="0" w:space="0" w:color="auto"/>
                        <w:right w:val="none" w:sz="0" w:space="0" w:color="auto"/>
                      </w:divBdr>
                    </w:div>
                  </w:divsChild>
                </w:div>
                <w:div w:id="1336952810">
                  <w:marLeft w:val="0"/>
                  <w:marRight w:val="0"/>
                  <w:marTop w:val="0"/>
                  <w:marBottom w:val="0"/>
                  <w:divBdr>
                    <w:top w:val="none" w:sz="0" w:space="0" w:color="auto"/>
                    <w:left w:val="none" w:sz="0" w:space="0" w:color="auto"/>
                    <w:bottom w:val="none" w:sz="0" w:space="0" w:color="auto"/>
                    <w:right w:val="none" w:sz="0" w:space="0" w:color="auto"/>
                  </w:divBdr>
                  <w:divsChild>
                    <w:div w:id="903026168">
                      <w:marLeft w:val="0"/>
                      <w:marRight w:val="0"/>
                      <w:marTop w:val="0"/>
                      <w:marBottom w:val="0"/>
                      <w:divBdr>
                        <w:top w:val="none" w:sz="0" w:space="0" w:color="auto"/>
                        <w:left w:val="none" w:sz="0" w:space="0" w:color="auto"/>
                        <w:bottom w:val="none" w:sz="0" w:space="0" w:color="auto"/>
                        <w:right w:val="none" w:sz="0" w:space="0" w:color="auto"/>
                      </w:divBdr>
                    </w:div>
                  </w:divsChild>
                </w:div>
                <w:div w:id="1356272079">
                  <w:marLeft w:val="0"/>
                  <w:marRight w:val="0"/>
                  <w:marTop w:val="0"/>
                  <w:marBottom w:val="0"/>
                  <w:divBdr>
                    <w:top w:val="none" w:sz="0" w:space="0" w:color="auto"/>
                    <w:left w:val="none" w:sz="0" w:space="0" w:color="auto"/>
                    <w:bottom w:val="none" w:sz="0" w:space="0" w:color="auto"/>
                    <w:right w:val="none" w:sz="0" w:space="0" w:color="auto"/>
                  </w:divBdr>
                  <w:divsChild>
                    <w:div w:id="2057241439">
                      <w:marLeft w:val="0"/>
                      <w:marRight w:val="0"/>
                      <w:marTop w:val="0"/>
                      <w:marBottom w:val="0"/>
                      <w:divBdr>
                        <w:top w:val="none" w:sz="0" w:space="0" w:color="auto"/>
                        <w:left w:val="none" w:sz="0" w:space="0" w:color="auto"/>
                        <w:bottom w:val="none" w:sz="0" w:space="0" w:color="auto"/>
                        <w:right w:val="none" w:sz="0" w:space="0" w:color="auto"/>
                      </w:divBdr>
                    </w:div>
                  </w:divsChild>
                </w:div>
                <w:div w:id="1419792734">
                  <w:marLeft w:val="0"/>
                  <w:marRight w:val="0"/>
                  <w:marTop w:val="0"/>
                  <w:marBottom w:val="0"/>
                  <w:divBdr>
                    <w:top w:val="none" w:sz="0" w:space="0" w:color="auto"/>
                    <w:left w:val="none" w:sz="0" w:space="0" w:color="auto"/>
                    <w:bottom w:val="none" w:sz="0" w:space="0" w:color="auto"/>
                    <w:right w:val="none" w:sz="0" w:space="0" w:color="auto"/>
                  </w:divBdr>
                  <w:divsChild>
                    <w:div w:id="2137721882">
                      <w:marLeft w:val="0"/>
                      <w:marRight w:val="0"/>
                      <w:marTop w:val="0"/>
                      <w:marBottom w:val="0"/>
                      <w:divBdr>
                        <w:top w:val="none" w:sz="0" w:space="0" w:color="auto"/>
                        <w:left w:val="none" w:sz="0" w:space="0" w:color="auto"/>
                        <w:bottom w:val="none" w:sz="0" w:space="0" w:color="auto"/>
                        <w:right w:val="none" w:sz="0" w:space="0" w:color="auto"/>
                      </w:divBdr>
                    </w:div>
                  </w:divsChild>
                </w:div>
                <w:div w:id="1426416803">
                  <w:marLeft w:val="0"/>
                  <w:marRight w:val="0"/>
                  <w:marTop w:val="0"/>
                  <w:marBottom w:val="0"/>
                  <w:divBdr>
                    <w:top w:val="none" w:sz="0" w:space="0" w:color="auto"/>
                    <w:left w:val="none" w:sz="0" w:space="0" w:color="auto"/>
                    <w:bottom w:val="none" w:sz="0" w:space="0" w:color="auto"/>
                    <w:right w:val="none" w:sz="0" w:space="0" w:color="auto"/>
                  </w:divBdr>
                  <w:divsChild>
                    <w:div w:id="2134010693">
                      <w:marLeft w:val="0"/>
                      <w:marRight w:val="0"/>
                      <w:marTop w:val="0"/>
                      <w:marBottom w:val="0"/>
                      <w:divBdr>
                        <w:top w:val="none" w:sz="0" w:space="0" w:color="auto"/>
                        <w:left w:val="none" w:sz="0" w:space="0" w:color="auto"/>
                        <w:bottom w:val="none" w:sz="0" w:space="0" w:color="auto"/>
                        <w:right w:val="none" w:sz="0" w:space="0" w:color="auto"/>
                      </w:divBdr>
                    </w:div>
                  </w:divsChild>
                </w:div>
                <w:div w:id="1430392214">
                  <w:marLeft w:val="0"/>
                  <w:marRight w:val="0"/>
                  <w:marTop w:val="0"/>
                  <w:marBottom w:val="0"/>
                  <w:divBdr>
                    <w:top w:val="none" w:sz="0" w:space="0" w:color="auto"/>
                    <w:left w:val="none" w:sz="0" w:space="0" w:color="auto"/>
                    <w:bottom w:val="none" w:sz="0" w:space="0" w:color="auto"/>
                    <w:right w:val="none" w:sz="0" w:space="0" w:color="auto"/>
                  </w:divBdr>
                  <w:divsChild>
                    <w:div w:id="1431241510">
                      <w:marLeft w:val="0"/>
                      <w:marRight w:val="0"/>
                      <w:marTop w:val="0"/>
                      <w:marBottom w:val="0"/>
                      <w:divBdr>
                        <w:top w:val="none" w:sz="0" w:space="0" w:color="auto"/>
                        <w:left w:val="none" w:sz="0" w:space="0" w:color="auto"/>
                        <w:bottom w:val="none" w:sz="0" w:space="0" w:color="auto"/>
                        <w:right w:val="none" w:sz="0" w:space="0" w:color="auto"/>
                      </w:divBdr>
                    </w:div>
                  </w:divsChild>
                </w:div>
                <w:div w:id="1447000775">
                  <w:marLeft w:val="0"/>
                  <w:marRight w:val="0"/>
                  <w:marTop w:val="0"/>
                  <w:marBottom w:val="0"/>
                  <w:divBdr>
                    <w:top w:val="none" w:sz="0" w:space="0" w:color="auto"/>
                    <w:left w:val="none" w:sz="0" w:space="0" w:color="auto"/>
                    <w:bottom w:val="none" w:sz="0" w:space="0" w:color="auto"/>
                    <w:right w:val="none" w:sz="0" w:space="0" w:color="auto"/>
                  </w:divBdr>
                  <w:divsChild>
                    <w:div w:id="703604477">
                      <w:marLeft w:val="0"/>
                      <w:marRight w:val="0"/>
                      <w:marTop w:val="0"/>
                      <w:marBottom w:val="0"/>
                      <w:divBdr>
                        <w:top w:val="none" w:sz="0" w:space="0" w:color="auto"/>
                        <w:left w:val="none" w:sz="0" w:space="0" w:color="auto"/>
                        <w:bottom w:val="none" w:sz="0" w:space="0" w:color="auto"/>
                        <w:right w:val="none" w:sz="0" w:space="0" w:color="auto"/>
                      </w:divBdr>
                    </w:div>
                  </w:divsChild>
                </w:div>
                <w:div w:id="1456406968">
                  <w:marLeft w:val="0"/>
                  <w:marRight w:val="0"/>
                  <w:marTop w:val="0"/>
                  <w:marBottom w:val="0"/>
                  <w:divBdr>
                    <w:top w:val="none" w:sz="0" w:space="0" w:color="auto"/>
                    <w:left w:val="none" w:sz="0" w:space="0" w:color="auto"/>
                    <w:bottom w:val="none" w:sz="0" w:space="0" w:color="auto"/>
                    <w:right w:val="none" w:sz="0" w:space="0" w:color="auto"/>
                  </w:divBdr>
                  <w:divsChild>
                    <w:div w:id="714812998">
                      <w:marLeft w:val="0"/>
                      <w:marRight w:val="0"/>
                      <w:marTop w:val="0"/>
                      <w:marBottom w:val="0"/>
                      <w:divBdr>
                        <w:top w:val="none" w:sz="0" w:space="0" w:color="auto"/>
                        <w:left w:val="none" w:sz="0" w:space="0" w:color="auto"/>
                        <w:bottom w:val="none" w:sz="0" w:space="0" w:color="auto"/>
                        <w:right w:val="none" w:sz="0" w:space="0" w:color="auto"/>
                      </w:divBdr>
                    </w:div>
                  </w:divsChild>
                </w:div>
                <w:div w:id="1457407247">
                  <w:marLeft w:val="0"/>
                  <w:marRight w:val="0"/>
                  <w:marTop w:val="0"/>
                  <w:marBottom w:val="0"/>
                  <w:divBdr>
                    <w:top w:val="none" w:sz="0" w:space="0" w:color="auto"/>
                    <w:left w:val="none" w:sz="0" w:space="0" w:color="auto"/>
                    <w:bottom w:val="none" w:sz="0" w:space="0" w:color="auto"/>
                    <w:right w:val="none" w:sz="0" w:space="0" w:color="auto"/>
                  </w:divBdr>
                  <w:divsChild>
                    <w:div w:id="484322433">
                      <w:marLeft w:val="0"/>
                      <w:marRight w:val="0"/>
                      <w:marTop w:val="0"/>
                      <w:marBottom w:val="0"/>
                      <w:divBdr>
                        <w:top w:val="none" w:sz="0" w:space="0" w:color="auto"/>
                        <w:left w:val="none" w:sz="0" w:space="0" w:color="auto"/>
                        <w:bottom w:val="none" w:sz="0" w:space="0" w:color="auto"/>
                        <w:right w:val="none" w:sz="0" w:space="0" w:color="auto"/>
                      </w:divBdr>
                    </w:div>
                  </w:divsChild>
                </w:div>
                <w:div w:id="1481075608">
                  <w:marLeft w:val="0"/>
                  <w:marRight w:val="0"/>
                  <w:marTop w:val="0"/>
                  <w:marBottom w:val="0"/>
                  <w:divBdr>
                    <w:top w:val="none" w:sz="0" w:space="0" w:color="auto"/>
                    <w:left w:val="none" w:sz="0" w:space="0" w:color="auto"/>
                    <w:bottom w:val="none" w:sz="0" w:space="0" w:color="auto"/>
                    <w:right w:val="none" w:sz="0" w:space="0" w:color="auto"/>
                  </w:divBdr>
                  <w:divsChild>
                    <w:div w:id="954216747">
                      <w:marLeft w:val="0"/>
                      <w:marRight w:val="0"/>
                      <w:marTop w:val="0"/>
                      <w:marBottom w:val="0"/>
                      <w:divBdr>
                        <w:top w:val="none" w:sz="0" w:space="0" w:color="auto"/>
                        <w:left w:val="none" w:sz="0" w:space="0" w:color="auto"/>
                        <w:bottom w:val="none" w:sz="0" w:space="0" w:color="auto"/>
                        <w:right w:val="none" w:sz="0" w:space="0" w:color="auto"/>
                      </w:divBdr>
                    </w:div>
                  </w:divsChild>
                </w:div>
                <w:div w:id="1555503294">
                  <w:marLeft w:val="0"/>
                  <w:marRight w:val="0"/>
                  <w:marTop w:val="0"/>
                  <w:marBottom w:val="0"/>
                  <w:divBdr>
                    <w:top w:val="none" w:sz="0" w:space="0" w:color="auto"/>
                    <w:left w:val="none" w:sz="0" w:space="0" w:color="auto"/>
                    <w:bottom w:val="none" w:sz="0" w:space="0" w:color="auto"/>
                    <w:right w:val="none" w:sz="0" w:space="0" w:color="auto"/>
                  </w:divBdr>
                  <w:divsChild>
                    <w:div w:id="923496915">
                      <w:marLeft w:val="0"/>
                      <w:marRight w:val="0"/>
                      <w:marTop w:val="0"/>
                      <w:marBottom w:val="0"/>
                      <w:divBdr>
                        <w:top w:val="none" w:sz="0" w:space="0" w:color="auto"/>
                        <w:left w:val="none" w:sz="0" w:space="0" w:color="auto"/>
                        <w:bottom w:val="none" w:sz="0" w:space="0" w:color="auto"/>
                        <w:right w:val="none" w:sz="0" w:space="0" w:color="auto"/>
                      </w:divBdr>
                    </w:div>
                  </w:divsChild>
                </w:div>
                <w:div w:id="1556818275">
                  <w:marLeft w:val="0"/>
                  <w:marRight w:val="0"/>
                  <w:marTop w:val="0"/>
                  <w:marBottom w:val="0"/>
                  <w:divBdr>
                    <w:top w:val="none" w:sz="0" w:space="0" w:color="auto"/>
                    <w:left w:val="none" w:sz="0" w:space="0" w:color="auto"/>
                    <w:bottom w:val="none" w:sz="0" w:space="0" w:color="auto"/>
                    <w:right w:val="none" w:sz="0" w:space="0" w:color="auto"/>
                  </w:divBdr>
                  <w:divsChild>
                    <w:div w:id="381179966">
                      <w:marLeft w:val="0"/>
                      <w:marRight w:val="0"/>
                      <w:marTop w:val="0"/>
                      <w:marBottom w:val="0"/>
                      <w:divBdr>
                        <w:top w:val="none" w:sz="0" w:space="0" w:color="auto"/>
                        <w:left w:val="none" w:sz="0" w:space="0" w:color="auto"/>
                        <w:bottom w:val="none" w:sz="0" w:space="0" w:color="auto"/>
                        <w:right w:val="none" w:sz="0" w:space="0" w:color="auto"/>
                      </w:divBdr>
                    </w:div>
                  </w:divsChild>
                </w:div>
                <w:div w:id="1591306326">
                  <w:marLeft w:val="0"/>
                  <w:marRight w:val="0"/>
                  <w:marTop w:val="0"/>
                  <w:marBottom w:val="0"/>
                  <w:divBdr>
                    <w:top w:val="none" w:sz="0" w:space="0" w:color="auto"/>
                    <w:left w:val="none" w:sz="0" w:space="0" w:color="auto"/>
                    <w:bottom w:val="none" w:sz="0" w:space="0" w:color="auto"/>
                    <w:right w:val="none" w:sz="0" w:space="0" w:color="auto"/>
                  </w:divBdr>
                  <w:divsChild>
                    <w:div w:id="23409003">
                      <w:marLeft w:val="0"/>
                      <w:marRight w:val="0"/>
                      <w:marTop w:val="0"/>
                      <w:marBottom w:val="0"/>
                      <w:divBdr>
                        <w:top w:val="none" w:sz="0" w:space="0" w:color="auto"/>
                        <w:left w:val="none" w:sz="0" w:space="0" w:color="auto"/>
                        <w:bottom w:val="none" w:sz="0" w:space="0" w:color="auto"/>
                        <w:right w:val="none" w:sz="0" w:space="0" w:color="auto"/>
                      </w:divBdr>
                    </w:div>
                  </w:divsChild>
                </w:div>
                <w:div w:id="1640959515">
                  <w:marLeft w:val="0"/>
                  <w:marRight w:val="0"/>
                  <w:marTop w:val="0"/>
                  <w:marBottom w:val="0"/>
                  <w:divBdr>
                    <w:top w:val="none" w:sz="0" w:space="0" w:color="auto"/>
                    <w:left w:val="none" w:sz="0" w:space="0" w:color="auto"/>
                    <w:bottom w:val="none" w:sz="0" w:space="0" w:color="auto"/>
                    <w:right w:val="none" w:sz="0" w:space="0" w:color="auto"/>
                  </w:divBdr>
                  <w:divsChild>
                    <w:div w:id="489827891">
                      <w:marLeft w:val="0"/>
                      <w:marRight w:val="0"/>
                      <w:marTop w:val="0"/>
                      <w:marBottom w:val="0"/>
                      <w:divBdr>
                        <w:top w:val="none" w:sz="0" w:space="0" w:color="auto"/>
                        <w:left w:val="none" w:sz="0" w:space="0" w:color="auto"/>
                        <w:bottom w:val="none" w:sz="0" w:space="0" w:color="auto"/>
                        <w:right w:val="none" w:sz="0" w:space="0" w:color="auto"/>
                      </w:divBdr>
                    </w:div>
                  </w:divsChild>
                </w:div>
                <w:div w:id="1642538364">
                  <w:marLeft w:val="0"/>
                  <w:marRight w:val="0"/>
                  <w:marTop w:val="0"/>
                  <w:marBottom w:val="0"/>
                  <w:divBdr>
                    <w:top w:val="none" w:sz="0" w:space="0" w:color="auto"/>
                    <w:left w:val="none" w:sz="0" w:space="0" w:color="auto"/>
                    <w:bottom w:val="none" w:sz="0" w:space="0" w:color="auto"/>
                    <w:right w:val="none" w:sz="0" w:space="0" w:color="auto"/>
                  </w:divBdr>
                  <w:divsChild>
                    <w:div w:id="393041725">
                      <w:marLeft w:val="0"/>
                      <w:marRight w:val="0"/>
                      <w:marTop w:val="0"/>
                      <w:marBottom w:val="0"/>
                      <w:divBdr>
                        <w:top w:val="none" w:sz="0" w:space="0" w:color="auto"/>
                        <w:left w:val="none" w:sz="0" w:space="0" w:color="auto"/>
                        <w:bottom w:val="none" w:sz="0" w:space="0" w:color="auto"/>
                        <w:right w:val="none" w:sz="0" w:space="0" w:color="auto"/>
                      </w:divBdr>
                    </w:div>
                  </w:divsChild>
                </w:div>
                <w:div w:id="1651328910">
                  <w:marLeft w:val="0"/>
                  <w:marRight w:val="0"/>
                  <w:marTop w:val="0"/>
                  <w:marBottom w:val="0"/>
                  <w:divBdr>
                    <w:top w:val="none" w:sz="0" w:space="0" w:color="auto"/>
                    <w:left w:val="none" w:sz="0" w:space="0" w:color="auto"/>
                    <w:bottom w:val="none" w:sz="0" w:space="0" w:color="auto"/>
                    <w:right w:val="none" w:sz="0" w:space="0" w:color="auto"/>
                  </w:divBdr>
                  <w:divsChild>
                    <w:div w:id="1104961165">
                      <w:marLeft w:val="0"/>
                      <w:marRight w:val="0"/>
                      <w:marTop w:val="0"/>
                      <w:marBottom w:val="0"/>
                      <w:divBdr>
                        <w:top w:val="none" w:sz="0" w:space="0" w:color="auto"/>
                        <w:left w:val="none" w:sz="0" w:space="0" w:color="auto"/>
                        <w:bottom w:val="none" w:sz="0" w:space="0" w:color="auto"/>
                        <w:right w:val="none" w:sz="0" w:space="0" w:color="auto"/>
                      </w:divBdr>
                    </w:div>
                  </w:divsChild>
                </w:div>
                <w:div w:id="1668633668">
                  <w:marLeft w:val="0"/>
                  <w:marRight w:val="0"/>
                  <w:marTop w:val="0"/>
                  <w:marBottom w:val="0"/>
                  <w:divBdr>
                    <w:top w:val="none" w:sz="0" w:space="0" w:color="auto"/>
                    <w:left w:val="none" w:sz="0" w:space="0" w:color="auto"/>
                    <w:bottom w:val="none" w:sz="0" w:space="0" w:color="auto"/>
                    <w:right w:val="none" w:sz="0" w:space="0" w:color="auto"/>
                  </w:divBdr>
                  <w:divsChild>
                    <w:div w:id="255476660">
                      <w:marLeft w:val="0"/>
                      <w:marRight w:val="0"/>
                      <w:marTop w:val="0"/>
                      <w:marBottom w:val="0"/>
                      <w:divBdr>
                        <w:top w:val="none" w:sz="0" w:space="0" w:color="auto"/>
                        <w:left w:val="none" w:sz="0" w:space="0" w:color="auto"/>
                        <w:bottom w:val="none" w:sz="0" w:space="0" w:color="auto"/>
                        <w:right w:val="none" w:sz="0" w:space="0" w:color="auto"/>
                      </w:divBdr>
                    </w:div>
                  </w:divsChild>
                </w:div>
                <w:div w:id="1686402802">
                  <w:marLeft w:val="0"/>
                  <w:marRight w:val="0"/>
                  <w:marTop w:val="0"/>
                  <w:marBottom w:val="0"/>
                  <w:divBdr>
                    <w:top w:val="none" w:sz="0" w:space="0" w:color="auto"/>
                    <w:left w:val="none" w:sz="0" w:space="0" w:color="auto"/>
                    <w:bottom w:val="none" w:sz="0" w:space="0" w:color="auto"/>
                    <w:right w:val="none" w:sz="0" w:space="0" w:color="auto"/>
                  </w:divBdr>
                  <w:divsChild>
                    <w:div w:id="974137730">
                      <w:marLeft w:val="0"/>
                      <w:marRight w:val="0"/>
                      <w:marTop w:val="0"/>
                      <w:marBottom w:val="0"/>
                      <w:divBdr>
                        <w:top w:val="none" w:sz="0" w:space="0" w:color="auto"/>
                        <w:left w:val="none" w:sz="0" w:space="0" w:color="auto"/>
                        <w:bottom w:val="none" w:sz="0" w:space="0" w:color="auto"/>
                        <w:right w:val="none" w:sz="0" w:space="0" w:color="auto"/>
                      </w:divBdr>
                    </w:div>
                  </w:divsChild>
                </w:div>
                <w:div w:id="1692219390">
                  <w:marLeft w:val="0"/>
                  <w:marRight w:val="0"/>
                  <w:marTop w:val="0"/>
                  <w:marBottom w:val="0"/>
                  <w:divBdr>
                    <w:top w:val="none" w:sz="0" w:space="0" w:color="auto"/>
                    <w:left w:val="none" w:sz="0" w:space="0" w:color="auto"/>
                    <w:bottom w:val="none" w:sz="0" w:space="0" w:color="auto"/>
                    <w:right w:val="none" w:sz="0" w:space="0" w:color="auto"/>
                  </w:divBdr>
                  <w:divsChild>
                    <w:div w:id="201528310">
                      <w:marLeft w:val="0"/>
                      <w:marRight w:val="0"/>
                      <w:marTop w:val="0"/>
                      <w:marBottom w:val="0"/>
                      <w:divBdr>
                        <w:top w:val="none" w:sz="0" w:space="0" w:color="auto"/>
                        <w:left w:val="none" w:sz="0" w:space="0" w:color="auto"/>
                        <w:bottom w:val="none" w:sz="0" w:space="0" w:color="auto"/>
                        <w:right w:val="none" w:sz="0" w:space="0" w:color="auto"/>
                      </w:divBdr>
                    </w:div>
                  </w:divsChild>
                </w:div>
                <w:div w:id="1742872616">
                  <w:marLeft w:val="0"/>
                  <w:marRight w:val="0"/>
                  <w:marTop w:val="0"/>
                  <w:marBottom w:val="0"/>
                  <w:divBdr>
                    <w:top w:val="none" w:sz="0" w:space="0" w:color="auto"/>
                    <w:left w:val="none" w:sz="0" w:space="0" w:color="auto"/>
                    <w:bottom w:val="none" w:sz="0" w:space="0" w:color="auto"/>
                    <w:right w:val="none" w:sz="0" w:space="0" w:color="auto"/>
                  </w:divBdr>
                  <w:divsChild>
                    <w:div w:id="723061920">
                      <w:marLeft w:val="0"/>
                      <w:marRight w:val="0"/>
                      <w:marTop w:val="0"/>
                      <w:marBottom w:val="0"/>
                      <w:divBdr>
                        <w:top w:val="none" w:sz="0" w:space="0" w:color="auto"/>
                        <w:left w:val="none" w:sz="0" w:space="0" w:color="auto"/>
                        <w:bottom w:val="none" w:sz="0" w:space="0" w:color="auto"/>
                        <w:right w:val="none" w:sz="0" w:space="0" w:color="auto"/>
                      </w:divBdr>
                    </w:div>
                  </w:divsChild>
                </w:div>
                <w:div w:id="1764106357">
                  <w:marLeft w:val="0"/>
                  <w:marRight w:val="0"/>
                  <w:marTop w:val="0"/>
                  <w:marBottom w:val="0"/>
                  <w:divBdr>
                    <w:top w:val="none" w:sz="0" w:space="0" w:color="auto"/>
                    <w:left w:val="none" w:sz="0" w:space="0" w:color="auto"/>
                    <w:bottom w:val="none" w:sz="0" w:space="0" w:color="auto"/>
                    <w:right w:val="none" w:sz="0" w:space="0" w:color="auto"/>
                  </w:divBdr>
                  <w:divsChild>
                    <w:div w:id="1504978352">
                      <w:marLeft w:val="0"/>
                      <w:marRight w:val="0"/>
                      <w:marTop w:val="0"/>
                      <w:marBottom w:val="0"/>
                      <w:divBdr>
                        <w:top w:val="none" w:sz="0" w:space="0" w:color="auto"/>
                        <w:left w:val="none" w:sz="0" w:space="0" w:color="auto"/>
                        <w:bottom w:val="none" w:sz="0" w:space="0" w:color="auto"/>
                        <w:right w:val="none" w:sz="0" w:space="0" w:color="auto"/>
                      </w:divBdr>
                    </w:div>
                  </w:divsChild>
                </w:div>
                <w:div w:id="1775786232">
                  <w:marLeft w:val="0"/>
                  <w:marRight w:val="0"/>
                  <w:marTop w:val="0"/>
                  <w:marBottom w:val="0"/>
                  <w:divBdr>
                    <w:top w:val="none" w:sz="0" w:space="0" w:color="auto"/>
                    <w:left w:val="none" w:sz="0" w:space="0" w:color="auto"/>
                    <w:bottom w:val="none" w:sz="0" w:space="0" w:color="auto"/>
                    <w:right w:val="none" w:sz="0" w:space="0" w:color="auto"/>
                  </w:divBdr>
                  <w:divsChild>
                    <w:div w:id="764960230">
                      <w:marLeft w:val="0"/>
                      <w:marRight w:val="0"/>
                      <w:marTop w:val="0"/>
                      <w:marBottom w:val="0"/>
                      <w:divBdr>
                        <w:top w:val="none" w:sz="0" w:space="0" w:color="auto"/>
                        <w:left w:val="none" w:sz="0" w:space="0" w:color="auto"/>
                        <w:bottom w:val="none" w:sz="0" w:space="0" w:color="auto"/>
                        <w:right w:val="none" w:sz="0" w:space="0" w:color="auto"/>
                      </w:divBdr>
                    </w:div>
                  </w:divsChild>
                </w:div>
                <w:div w:id="1779449104">
                  <w:marLeft w:val="0"/>
                  <w:marRight w:val="0"/>
                  <w:marTop w:val="0"/>
                  <w:marBottom w:val="0"/>
                  <w:divBdr>
                    <w:top w:val="none" w:sz="0" w:space="0" w:color="auto"/>
                    <w:left w:val="none" w:sz="0" w:space="0" w:color="auto"/>
                    <w:bottom w:val="none" w:sz="0" w:space="0" w:color="auto"/>
                    <w:right w:val="none" w:sz="0" w:space="0" w:color="auto"/>
                  </w:divBdr>
                  <w:divsChild>
                    <w:div w:id="462620715">
                      <w:marLeft w:val="0"/>
                      <w:marRight w:val="0"/>
                      <w:marTop w:val="0"/>
                      <w:marBottom w:val="0"/>
                      <w:divBdr>
                        <w:top w:val="none" w:sz="0" w:space="0" w:color="auto"/>
                        <w:left w:val="none" w:sz="0" w:space="0" w:color="auto"/>
                        <w:bottom w:val="none" w:sz="0" w:space="0" w:color="auto"/>
                        <w:right w:val="none" w:sz="0" w:space="0" w:color="auto"/>
                      </w:divBdr>
                    </w:div>
                  </w:divsChild>
                </w:div>
                <w:div w:id="1779983083">
                  <w:marLeft w:val="0"/>
                  <w:marRight w:val="0"/>
                  <w:marTop w:val="0"/>
                  <w:marBottom w:val="0"/>
                  <w:divBdr>
                    <w:top w:val="none" w:sz="0" w:space="0" w:color="auto"/>
                    <w:left w:val="none" w:sz="0" w:space="0" w:color="auto"/>
                    <w:bottom w:val="none" w:sz="0" w:space="0" w:color="auto"/>
                    <w:right w:val="none" w:sz="0" w:space="0" w:color="auto"/>
                  </w:divBdr>
                  <w:divsChild>
                    <w:div w:id="366105268">
                      <w:marLeft w:val="0"/>
                      <w:marRight w:val="0"/>
                      <w:marTop w:val="0"/>
                      <w:marBottom w:val="0"/>
                      <w:divBdr>
                        <w:top w:val="none" w:sz="0" w:space="0" w:color="auto"/>
                        <w:left w:val="none" w:sz="0" w:space="0" w:color="auto"/>
                        <w:bottom w:val="none" w:sz="0" w:space="0" w:color="auto"/>
                        <w:right w:val="none" w:sz="0" w:space="0" w:color="auto"/>
                      </w:divBdr>
                    </w:div>
                  </w:divsChild>
                </w:div>
                <w:div w:id="1781341932">
                  <w:marLeft w:val="0"/>
                  <w:marRight w:val="0"/>
                  <w:marTop w:val="0"/>
                  <w:marBottom w:val="0"/>
                  <w:divBdr>
                    <w:top w:val="none" w:sz="0" w:space="0" w:color="auto"/>
                    <w:left w:val="none" w:sz="0" w:space="0" w:color="auto"/>
                    <w:bottom w:val="none" w:sz="0" w:space="0" w:color="auto"/>
                    <w:right w:val="none" w:sz="0" w:space="0" w:color="auto"/>
                  </w:divBdr>
                  <w:divsChild>
                    <w:div w:id="924344893">
                      <w:marLeft w:val="0"/>
                      <w:marRight w:val="0"/>
                      <w:marTop w:val="0"/>
                      <w:marBottom w:val="0"/>
                      <w:divBdr>
                        <w:top w:val="none" w:sz="0" w:space="0" w:color="auto"/>
                        <w:left w:val="none" w:sz="0" w:space="0" w:color="auto"/>
                        <w:bottom w:val="none" w:sz="0" w:space="0" w:color="auto"/>
                        <w:right w:val="none" w:sz="0" w:space="0" w:color="auto"/>
                      </w:divBdr>
                    </w:div>
                  </w:divsChild>
                </w:div>
                <w:div w:id="1804041025">
                  <w:marLeft w:val="0"/>
                  <w:marRight w:val="0"/>
                  <w:marTop w:val="0"/>
                  <w:marBottom w:val="0"/>
                  <w:divBdr>
                    <w:top w:val="none" w:sz="0" w:space="0" w:color="auto"/>
                    <w:left w:val="none" w:sz="0" w:space="0" w:color="auto"/>
                    <w:bottom w:val="none" w:sz="0" w:space="0" w:color="auto"/>
                    <w:right w:val="none" w:sz="0" w:space="0" w:color="auto"/>
                  </w:divBdr>
                  <w:divsChild>
                    <w:div w:id="1211725855">
                      <w:marLeft w:val="0"/>
                      <w:marRight w:val="0"/>
                      <w:marTop w:val="0"/>
                      <w:marBottom w:val="0"/>
                      <w:divBdr>
                        <w:top w:val="none" w:sz="0" w:space="0" w:color="auto"/>
                        <w:left w:val="none" w:sz="0" w:space="0" w:color="auto"/>
                        <w:bottom w:val="none" w:sz="0" w:space="0" w:color="auto"/>
                        <w:right w:val="none" w:sz="0" w:space="0" w:color="auto"/>
                      </w:divBdr>
                    </w:div>
                  </w:divsChild>
                </w:div>
                <w:div w:id="1808544967">
                  <w:marLeft w:val="0"/>
                  <w:marRight w:val="0"/>
                  <w:marTop w:val="0"/>
                  <w:marBottom w:val="0"/>
                  <w:divBdr>
                    <w:top w:val="none" w:sz="0" w:space="0" w:color="auto"/>
                    <w:left w:val="none" w:sz="0" w:space="0" w:color="auto"/>
                    <w:bottom w:val="none" w:sz="0" w:space="0" w:color="auto"/>
                    <w:right w:val="none" w:sz="0" w:space="0" w:color="auto"/>
                  </w:divBdr>
                  <w:divsChild>
                    <w:div w:id="1831365005">
                      <w:marLeft w:val="0"/>
                      <w:marRight w:val="0"/>
                      <w:marTop w:val="0"/>
                      <w:marBottom w:val="0"/>
                      <w:divBdr>
                        <w:top w:val="none" w:sz="0" w:space="0" w:color="auto"/>
                        <w:left w:val="none" w:sz="0" w:space="0" w:color="auto"/>
                        <w:bottom w:val="none" w:sz="0" w:space="0" w:color="auto"/>
                        <w:right w:val="none" w:sz="0" w:space="0" w:color="auto"/>
                      </w:divBdr>
                    </w:div>
                  </w:divsChild>
                </w:div>
                <w:div w:id="1817212347">
                  <w:marLeft w:val="0"/>
                  <w:marRight w:val="0"/>
                  <w:marTop w:val="0"/>
                  <w:marBottom w:val="0"/>
                  <w:divBdr>
                    <w:top w:val="none" w:sz="0" w:space="0" w:color="auto"/>
                    <w:left w:val="none" w:sz="0" w:space="0" w:color="auto"/>
                    <w:bottom w:val="none" w:sz="0" w:space="0" w:color="auto"/>
                    <w:right w:val="none" w:sz="0" w:space="0" w:color="auto"/>
                  </w:divBdr>
                  <w:divsChild>
                    <w:div w:id="1765105560">
                      <w:marLeft w:val="0"/>
                      <w:marRight w:val="0"/>
                      <w:marTop w:val="0"/>
                      <w:marBottom w:val="0"/>
                      <w:divBdr>
                        <w:top w:val="none" w:sz="0" w:space="0" w:color="auto"/>
                        <w:left w:val="none" w:sz="0" w:space="0" w:color="auto"/>
                        <w:bottom w:val="none" w:sz="0" w:space="0" w:color="auto"/>
                        <w:right w:val="none" w:sz="0" w:space="0" w:color="auto"/>
                      </w:divBdr>
                    </w:div>
                  </w:divsChild>
                </w:div>
                <w:div w:id="1829401154">
                  <w:marLeft w:val="0"/>
                  <w:marRight w:val="0"/>
                  <w:marTop w:val="0"/>
                  <w:marBottom w:val="0"/>
                  <w:divBdr>
                    <w:top w:val="none" w:sz="0" w:space="0" w:color="auto"/>
                    <w:left w:val="none" w:sz="0" w:space="0" w:color="auto"/>
                    <w:bottom w:val="none" w:sz="0" w:space="0" w:color="auto"/>
                    <w:right w:val="none" w:sz="0" w:space="0" w:color="auto"/>
                  </w:divBdr>
                  <w:divsChild>
                    <w:div w:id="234321728">
                      <w:marLeft w:val="0"/>
                      <w:marRight w:val="0"/>
                      <w:marTop w:val="0"/>
                      <w:marBottom w:val="0"/>
                      <w:divBdr>
                        <w:top w:val="none" w:sz="0" w:space="0" w:color="auto"/>
                        <w:left w:val="none" w:sz="0" w:space="0" w:color="auto"/>
                        <w:bottom w:val="none" w:sz="0" w:space="0" w:color="auto"/>
                        <w:right w:val="none" w:sz="0" w:space="0" w:color="auto"/>
                      </w:divBdr>
                    </w:div>
                  </w:divsChild>
                </w:div>
                <w:div w:id="1838884856">
                  <w:marLeft w:val="0"/>
                  <w:marRight w:val="0"/>
                  <w:marTop w:val="0"/>
                  <w:marBottom w:val="0"/>
                  <w:divBdr>
                    <w:top w:val="none" w:sz="0" w:space="0" w:color="auto"/>
                    <w:left w:val="none" w:sz="0" w:space="0" w:color="auto"/>
                    <w:bottom w:val="none" w:sz="0" w:space="0" w:color="auto"/>
                    <w:right w:val="none" w:sz="0" w:space="0" w:color="auto"/>
                  </w:divBdr>
                  <w:divsChild>
                    <w:div w:id="6948317">
                      <w:marLeft w:val="0"/>
                      <w:marRight w:val="0"/>
                      <w:marTop w:val="0"/>
                      <w:marBottom w:val="0"/>
                      <w:divBdr>
                        <w:top w:val="none" w:sz="0" w:space="0" w:color="auto"/>
                        <w:left w:val="none" w:sz="0" w:space="0" w:color="auto"/>
                        <w:bottom w:val="none" w:sz="0" w:space="0" w:color="auto"/>
                        <w:right w:val="none" w:sz="0" w:space="0" w:color="auto"/>
                      </w:divBdr>
                    </w:div>
                  </w:divsChild>
                </w:div>
                <w:div w:id="1846942438">
                  <w:marLeft w:val="0"/>
                  <w:marRight w:val="0"/>
                  <w:marTop w:val="0"/>
                  <w:marBottom w:val="0"/>
                  <w:divBdr>
                    <w:top w:val="none" w:sz="0" w:space="0" w:color="auto"/>
                    <w:left w:val="none" w:sz="0" w:space="0" w:color="auto"/>
                    <w:bottom w:val="none" w:sz="0" w:space="0" w:color="auto"/>
                    <w:right w:val="none" w:sz="0" w:space="0" w:color="auto"/>
                  </w:divBdr>
                  <w:divsChild>
                    <w:div w:id="1672298763">
                      <w:marLeft w:val="0"/>
                      <w:marRight w:val="0"/>
                      <w:marTop w:val="0"/>
                      <w:marBottom w:val="0"/>
                      <w:divBdr>
                        <w:top w:val="none" w:sz="0" w:space="0" w:color="auto"/>
                        <w:left w:val="none" w:sz="0" w:space="0" w:color="auto"/>
                        <w:bottom w:val="none" w:sz="0" w:space="0" w:color="auto"/>
                        <w:right w:val="none" w:sz="0" w:space="0" w:color="auto"/>
                      </w:divBdr>
                    </w:div>
                  </w:divsChild>
                </w:div>
                <w:div w:id="1873111744">
                  <w:marLeft w:val="0"/>
                  <w:marRight w:val="0"/>
                  <w:marTop w:val="0"/>
                  <w:marBottom w:val="0"/>
                  <w:divBdr>
                    <w:top w:val="none" w:sz="0" w:space="0" w:color="auto"/>
                    <w:left w:val="none" w:sz="0" w:space="0" w:color="auto"/>
                    <w:bottom w:val="none" w:sz="0" w:space="0" w:color="auto"/>
                    <w:right w:val="none" w:sz="0" w:space="0" w:color="auto"/>
                  </w:divBdr>
                  <w:divsChild>
                    <w:div w:id="545141943">
                      <w:marLeft w:val="0"/>
                      <w:marRight w:val="0"/>
                      <w:marTop w:val="0"/>
                      <w:marBottom w:val="0"/>
                      <w:divBdr>
                        <w:top w:val="none" w:sz="0" w:space="0" w:color="auto"/>
                        <w:left w:val="none" w:sz="0" w:space="0" w:color="auto"/>
                        <w:bottom w:val="none" w:sz="0" w:space="0" w:color="auto"/>
                        <w:right w:val="none" w:sz="0" w:space="0" w:color="auto"/>
                      </w:divBdr>
                    </w:div>
                  </w:divsChild>
                </w:div>
                <w:div w:id="1881282634">
                  <w:marLeft w:val="0"/>
                  <w:marRight w:val="0"/>
                  <w:marTop w:val="0"/>
                  <w:marBottom w:val="0"/>
                  <w:divBdr>
                    <w:top w:val="none" w:sz="0" w:space="0" w:color="auto"/>
                    <w:left w:val="none" w:sz="0" w:space="0" w:color="auto"/>
                    <w:bottom w:val="none" w:sz="0" w:space="0" w:color="auto"/>
                    <w:right w:val="none" w:sz="0" w:space="0" w:color="auto"/>
                  </w:divBdr>
                  <w:divsChild>
                    <w:div w:id="2112433705">
                      <w:marLeft w:val="0"/>
                      <w:marRight w:val="0"/>
                      <w:marTop w:val="0"/>
                      <w:marBottom w:val="0"/>
                      <w:divBdr>
                        <w:top w:val="none" w:sz="0" w:space="0" w:color="auto"/>
                        <w:left w:val="none" w:sz="0" w:space="0" w:color="auto"/>
                        <w:bottom w:val="none" w:sz="0" w:space="0" w:color="auto"/>
                        <w:right w:val="none" w:sz="0" w:space="0" w:color="auto"/>
                      </w:divBdr>
                    </w:div>
                  </w:divsChild>
                </w:div>
                <w:div w:id="1883519378">
                  <w:marLeft w:val="0"/>
                  <w:marRight w:val="0"/>
                  <w:marTop w:val="0"/>
                  <w:marBottom w:val="0"/>
                  <w:divBdr>
                    <w:top w:val="none" w:sz="0" w:space="0" w:color="auto"/>
                    <w:left w:val="none" w:sz="0" w:space="0" w:color="auto"/>
                    <w:bottom w:val="none" w:sz="0" w:space="0" w:color="auto"/>
                    <w:right w:val="none" w:sz="0" w:space="0" w:color="auto"/>
                  </w:divBdr>
                  <w:divsChild>
                    <w:div w:id="623780322">
                      <w:marLeft w:val="0"/>
                      <w:marRight w:val="0"/>
                      <w:marTop w:val="0"/>
                      <w:marBottom w:val="0"/>
                      <w:divBdr>
                        <w:top w:val="none" w:sz="0" w:space="0" w:color="auto"/>
                        <w:left w:val="none" w:sz="0" w:space="0" w:color="auto"/>
                        <w:bottom w:val="none" w:sz="0" w:space="0" w:color="auto"/>
                        <w:right w:val="none" w:sz="0" w:space="0" w:color="auto"/>
                      </w:divBdr>
                    </w:div>
                  </w:divsChild>
                </w:div>
                <w:div w:id="1910966660">
                  <w:marLeft w:val="0"/>
                  <w:marRight w:val="0"/>
                  <w:marTop w:val="0"/>
                  <w:marBottom w:val="0"/>
                  <w:divBdr>
                    <w:top w:val="none" w:sz="0" w:space="0" w:color="auto"/>
                    <w:left w:val="none" w:sz="0" w:space="0" w:color="auto"/>
                    <w:bottom w:val="none" w:sz="0" w:space="0" w:color="auto"/>
                    <w:right w:val="none" w:sz="0" w:space="0" w:color="auto"/>
                  </w:divBdr>
                  <w:divsChild>
                    <w:div w:id="17313214">
                      <w:marLeft w:val="0"/>
                      <w:marRight w:val="0"/>
                      <w:marTop w:val="0"/>
                      <w:marBottom w:val="0"/>
                      <w:divBdr>
                        <w:top w:val="none" w:sz="0" w:space="0" w:color="auto"/>
                        <w:left w:val="none" w:sz="0" w:space="0" w:color="auto"/>
                        <w:bottom w:val="none" w:sz="0" w:space="0" w:color="auto"/>
                        <w:right w:val="none" w:sz="0" w:space="0" w:color="auto"/>
                      </w:divBdr>
                    </w:div>
                  </w:divsChild>
                </w:div>
                <w:div w:id="1924608590">
                  <w:marLeft w:val="0"/>
                  <w:marRight w:val="0"/>
                  <w:marTop w:val="0"/>
                  <w:marBottom w:val="0"/>
                  <w:divBdr>
                    <w:top w:val="none" w:sz="0" w:space="0" w:color="auto"/>
                    <w:left w:val="none" w:sz="0" w:space="0" w:color="auto"/>
                    <w:bottom w:val="none" w:sz="0" w:space="0" w:color="auto"/>
                    <w:right w:val="none" w:sz="0" w:space="0" w:color="auto"/>
                  </w:divBdr>
                  <w:divsChild>
                    <w:div w:id="921717701">
                      <w:marLeft w:val="0"/>
                      <w:marRight w:val="0"/>
                      <w:marTop w:val="0"/>
                      <w:marBottom w:val="0"/>
                      <w:divBdr>
                        <w:top w:val="none" w:sz="0" w:space="0" w:color="auto"/>
                        <w:left w:val="none" w:sz="0" w:space="0" w:color="auto"/>
                        <w:bottom w:val="none" w:sz="0" w:space="0" w:color="auto"/>
                        <w:right w:val="none" w:sz="0" w:space="0" w:color="auto"/>
                      </w:divBdr>
                    </w:div>
                  </w:divsChild>
                </w:div>
                <w:div w:id="1930235508">
                  <w:marLeft w:val="0"/>
                  <w:marRight w:val="0"/>
                  <w:marTop w:val="0"/>
                  <w:marBottom w:val="0"/>
                  <w:divBdr>
                    <w:top w:val="none" w:sz="0" w:space="0" w:color="auto"/>
                    <w:left w:val="none" w:sz="0" w:space="0" w:color="auto"/>
                    <w:bottom w:val="none" w:sz="0" w:space="0" w:color="auto"/>
                    <w:right w:val="none" w:sz="0" w:space="0" w:color="auto"/>
                  </w:divBdr>
                  <w:divsChild>
                    <w:div w:id="22560729">
                      <w:marLeft w:val="0"/>
                      <w:marRight w:val="0"/>
                      <w:marTop w:val="0"/>
                      <w:marBottom w:val="0"/>
                      <w:divBdr>
                        <w:top w:val="none" w:sz="0" w:space="0" w:color="auto"/>
                        <w:left w:val="none" w:sz="0" w:space="0" w:color="auto"/>
                        <w:bottom w:val="none" w:sz="0" w:space="0" w:color="auto"/>
                        <w:right w:val="none" w:sz="0" w:space="0" w:color="auto"/>
                      </w:divBdr>
                    </w:div>
                  </w:divsChild>
                </w:div>
                <w:div w:id="1949703510">
                  <w:marLeft w:val="0"/>
                  <w:marRight w:val="0"/>
                  <w:marTop w:val="0"/>
                  <w:marBottom w:val="0"/>
                  <w:divBdr>
                    <w:top w:val="none" w:sz="0" w:space="0" w:color="auto"/>
                    <w:left w:val="none" w:sz="0" w:space="0" w:color="auto"/>
                    <w:bottom w:val="none" w:sz="0" w:space="0" w:color="auto"/>
                    <w:right w:val="none" w:sz="0" w:space="0" w:color="auto"/>
                  </w:divBdr>
                  <w:divsChild>
                    <w:div w:id="2009407036">
                      <w:marLeft w:val="0"/>
                      <w:marRight w:val="0"/>
                      <w:marTop w:val="0"/>
                      <w:marBottom w:val="0"/>
                      <w:divBdr>
                        <w:top w:val="none" w:sz="0" w:space="0" w:color="auto"/>
                        <w:left w:val="none" w:sz="0" w:space="0" w:color="auto"/>
                        <w:bottom w:val="none" w:sz="0" w:space="0" w:color="auto"/>
                        <w:right w:val="none" w:sz="0" w:space="0" w:color="auto"/>
                      </w:divBdr>
                    </w:div>
                  </w:divsChild>
                </w:div>
                <w:div w:id="1983733133">
                  <w:marLeft w:val="0"/>
                  <w:marRight w:val="0"/>
                  <w:marTop w:val="0"/>
                  <w:marBottom w:val="0"/>
                  <w:divBdr>
                    <w:top w:val="none" w:sz="0" w:space="0" w:color="auto"/>
                    <w:left w:val="none" w:sz="0" w:space="0" w:color="auto"/>
                    <w:bottom w:val="none" w:sz="0" w:space="0" w:color="auto"/>
                    <w:right w:val="none" w:sz="0" w:space="0" w:color="auto"/>
                  </w:divBdr>
                  <w:divsChild>
                    <w:div w:id="1046493061">
                      <w:marLeft w:val="0"/>
                      <w:marRight w:val="0"/>
                      <w:marTop w:val="0"/>
                      <w:marBottom w:val="0"/>
                      <w:divBdr>
                        <w:top w:val="none" w:sz="0" w:space="0" w:color="auto"/>
                        <w:left w:val="none" w:sz="0" w:space="0" w:color="auto"/>
                        <w:bottom w:val="none" w:sz="0" w:space="0" w:color="auto"/>
                        <w:right w:val="none" w:sz="0" w:space="0" w:color="auto"/>
                      </w:divBdr>
                    </w:div>
                  </w:divsChild>
                </w:div>
                <w:div w:id="2006589212">
                  <w:marLeft w:val="0"/>
                  <w:marRight w:val="0"/>
                  <w:marTop w:val="0"/>
                  <w:marBottom w:val="0"/>
                  <w:divBdr>
                    <w:top w:val="none" w:sz="0" w:space="0" w:color="auto"/>
                    <w:left w:val="none" w:sz="0" w:space="0" w:color="auto"/>
                    <w:bottom w:val="none" w:sz="0" w:space="0" w:color="auto"/>
                    <w:right w:val="none" w:sz="0" w:space="0" w:color="auto"/>
                  </w:divBdr>
                  <w:divsChild>
                    <w:div w:id="850682700">
                      <w:marLeft w:val="0"/>
                      <w:marRight w:val="0"/>
                      <w:marTop w:val="0"/>
                      <w:marBottom w:val="0"/>
                      <w:divBdr>
                        <w:top w:val="none" w:sz="0" w:space="0" w:color="auto"/>
                        <w:left w:val="none" w:sz="0" w:space="0" w:color="auto"/>
                        <w:bottom w:val="none" w:sz="0" w:space="0" w:color="auto"/>
                        <w:right w:val="none" w:sz="0" w:space="0" w:color="auto"/>
                      </w:divBdr>
                    </w:div>
                  </w:divsChild>
                </w:div>
                <w:div w:id="2009669488">
                  <w:marLeft w:val="0"/>
                  <w:marRight w:val="0"/>
                  <w:marTop w:val="0"/>
                  <w:marBottom w:val="0"/>
                  <w:divBdr>
                    <w:top w:val="none" w:sz="0" w:space="0" w:color="auto"/>
                    <w:left w:val="none" w:sz="0" w:space="0" w:color="auto"/>
                    <w:bottom w:val="none" w:sz="0" w:space="0" w:color="auto"/>
                    <w:right w:val="none" w:sz="0" w:space="0" w:color="auto"/>
                  </w:divBdr>
                  <w:divsChild>
                    <w:div w:id="823930152">
                      <w:marLeft w:val="0"/>
                      <w:marRight w:val="0"/>
                      <w:marTop w:val="0"/>
                      <w:marBottom w:val="0"/>
                      <w:divBdr>
                        <w:top w:val="none" w:sz="0" w:space="0" w:color="auto"/>
                        <w:left w:val="none" w:sz="0" w:space="0" w:color="auto"/>
                        <w:bottom w:val="none" w:sz="0" w:space="0" w:color="auto"/>
                        <w:right w:val="none" w:sz="0" w:space="0" w:color="auto"/>
                      </w:divBdr>
                    </w:div>
                  </w:divsChild>
                </w:div>
                <w:div w:id="2022931495">
                  <w:marLeft w:val="0"/>
                  <w:marRight w:val="0"/>
                  <w:marTop w:val="0"/>
                  <w:marBottom w:val="0"/>
                  <w:divBdr>
                    <w:top w:val="none" w:sz="0" w:space="0" w:color="auto"/>
                    <w:left w:val="none" w:sz="0" w:space="0" w:color="auto"/>
                    <w:bottom w:val="none" w:sz="0" w:space="0" w:color="auto"/>
                    <w:right w:val="none" w:sz="0" w:space="0" w:color="auto"/>
                  </w:divBdr>
                  <w:divsChild>
                    <w:div w:id="396361801">
                      <w:marLeft w:val="0"/>
                      <w:marRight w:val="0"/>
                      <w:marTop w:val="0"/>
                      <w:marBottom w:val="0"/>
                      <w:divBdr>
                        <w:top w:val="none" w:sz="0" w:space="0" w:color="auto"/>
                        <w:left w:val="none" w:sz="0" w:space="0" w:color="auto"/>
                        <w:bottom w:val="none" w:sz="0" w:space="0" w:color="auto"/>
                        <w:right w:val="none" w:sz="0" w:space="0" w:color="auto"/>
                      </w:divBdr>
                    </w:div>
                  </w:divsChild>
                </w:div>
                <w:div w:id="2042826609">
                  <w:marLeft w:val="0"/>
                  <w:marRight w:val="0"/>
                  <w:marTop w:val="0"/>
                  <w:marBottom w:val="0"/>
                  <w:divBdr>
                    <w:top w:val="none" w:sz="0" w:space="0" w:color="auto"/>
                    <w:left w:val="none" w:sz="0" w:space="0" w:color="auto"/>
                    <w:bottom w:val="none" w:sz="0" w:space="0" w:color="auto"/>
                    <w:right w:val="none" w:sz="0" w:space="0" w:color="auto"/>
                  </w:divBdr>
                  <w:divsChild>
                    <w:div w:id="1007058332">
                      <w:marLeft w:val="0"/>
                      <w:marRight w:val="0"/>
                      <w:marTop w:val="0"/>
                      <w:marBottom w:val="0"/>
                      <w:divBdr>
                        <w:top w:val="none" w:sz="0" w:space="0" w:color="auto"/>
                        <w:left w:val="none" w:sz="0" w:space="0" w:color="auto"/>
                        <w:bottom w:val="none" w:sz="0" w:space="0" w:color="auto"/>
                        <w:right w:val="none" w:sz="0" w:space="0" w:color="auto"/>
                      </w:divBdr>
                    </w:div>
                  </w:divsChild>
                </w:div>
                <w:div w:id="2065129963">
                  <w:marLeft w:val="0"/>
                  <w:marRight w:val="0"/>
                  <w:marTop w:val="0"/>
                  <w:marBottom w:val="0"/>
                  <w:divBdr>
                    <w:top w:val="none" w:sz="0" w:space="0" w:color="auto"/>
                    <w:left w:val="none" w:sz="0" w:space="0" w:color="auto"/>
                    <w:bottom w:val="none" w:sz="0" w:space="0" w:color="auto"/>
                    <w:right w:val="none" w:sz="0" w:space="0" w:color="auto"/>
                  </w:divBdr>
                  <w:divsChild>
                    <w:div w:id="21130875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43233397">
          <w:marLeft w:val="0"/>
          <w:marRight w:val="0"/>
          <w:marTop w:val="0"/>
          <w:marBottom w:val="0"/>
          <w:divBdr>
            <w:top w:val="none" w:sz="0" w:space="0" w:color="auto"/>
            <w:left w:val="none" w:sz="0" w:space="0" w:color="auto"/>
            <w:bottom w:val="none" w:sz="0" w:space="0" w:color="auto"/>
            <w:right w:val="none" w:sz="0" w:space="0" w:color="auto"/>
          </w:divBdr>
        </w:div>
        <w:div w:id="467092824">
          <w:marLeft w:val="0"/>
          <w:marRight w:val="0"/>
          <w:marTop w:val="0"/>
          <w:marBottom w:val="0"/>
          <w:divBdr>
            <w:top w:val="none" w:sz="0" w:space="0" w:color="auto"/>
            <w:left w:val="none" w:sz="0" w:space="0" w:color="auto"/>
            <w:bottom w:val="none" w:sz="0" w:space="0" w:color="auto"/>
            <w:right w:val="none" w:sz="0" w:space="0" w:color="auto"/>
          </w:divBdr>
        </w:div>
        <w:div w:id="473792302">
          <w:marLeft w:val="0"/>
          <w:marRight w:val="0"/>
          <w:marTop w:val="0"/>
          <w:marBottom w:val="0"/>
          <w:divBdr>
            <w:top w:val="none" w:sz="0" w:space="0" w:color="auto"/>
            <w:left w:val="none" w:sz="0" w:space="0" w:color="auto"/>
            <w:bottom w:val="none" w:sz="0" w:space="0" w:color="auto"/>
            <w:right w:val="none" w:sz="0" w:space="0" w:color="auto"/>
          </w:divBdr>
        </w:div>
        <w:div w:id="488252646">
          <w:marLeft w:val="0"/>
          <w:marRight w:val="0"/>
          <w:marTop w:val="0"/>
          <w:marBottom w:val="0"/>
          <w:divBdr>
            <w:top w:val="none" w:sz="0" w:space="0" w:color="auto"/>
            <w:left w:val="none" w:sz="0" w:space="0" w:color="auto"/>
            <w:bottom w:val="none" w:sz="0" w:space="0" w:color="auto"/>
            <w:right w:val="none" w:sz="0" w:space="0" w:color="auto"/>
          </w:divBdr>
        </w:div>
        <w:div w:id="499006548">
          <w:marLeft w:val="0"/>
          <w:marRight w:val="0"/>
          <w:marTop w:val="0"/>
          <w:marBottom w:val="0"/>
          <w:divBdr>
            <w:top w:val="none" w:sz="0" w:space="0" w:color="auto"/>
            <w:left w:val="none" w:sz="0" w:space="0" w:color="auto"/>
            <w:bottom w:val="none" w:sz="0" w:space="0" w:color="auto"/>
            <w:right w:val="none" w:sz="0" w:space="0" w:color="auto"/>
          </w:divBdr>
        </w:div>
        <w:div w:id="502087920">
          <w:marLeft w:val="0"/>
          <w:marRight w:val="0"/>
          <w:marTop w:val="0"/>
          <w:marBottom w:val="0"/>
          <w:divBdr>
            <w:top w:val="none" w:sz="0" w:space="0" w:color="auto"/>
            <w:left w:val="none" w:sz="0" w:space="0" w:color="auto"/>
            <w:bottom w:val="none" w:sz="0" w:space="0" w:color="auto"/>
            <w:right w:val="none" w:sz="0" w:space="0" w:color="auto"/>
          </w:divBdr>
        </w:div>
        <w:div w:id="502624609">
          <w:marLeft w:val="0"/>
          <w:marRight w:val="0"/>
          <w:marTop w:val="0"/>
          <w:marBottom w:val="0"/>
          <w:divBdr>
            <w:top w:val="none" w:sz="0" w:space="0" w:color="auto"/>
            <w:left w:val="none" w:sz="0" w:space="0" w:color="auto"/>
            <w:bottom w:val="none" w:sz="0" w:space="0" w:color="auto"/>
            <w:right w:val="none" w:sz="0" w:space="0" w:color="auto"/>
          </w:divBdr>
          <w:divsChild>
            <w:div w:id="704985736">
              <w:marLeft w:val="0"/>
              <w:marRight w:val="0"/>
              <w:marTop w:val="0"/>
              <w:marBottom w:val="0"/>
              <w:divBdr>
                <w:top w:val="none" w:sz="0" w:space="0" w:color="auto"/>
                <w:left w:val="none" w:sz="0" w:space="0" w:color="auto"/>
                <w:bottom w:val="none" w:sz="0" w:space="0" w:color="auto"/>
                <w:right w:val="none" w:sz="0" w:space="0" w:color="auto"/>
              </w:divBdr>
            </w:div>
            <w:div w:id="873008472">
              <w:marLeft w:val="0"/>
              <w:marRight w:val="0"/>
              <w:marTop w:val="0"/>
              <w:marBottom w:val="0"/>
              <w:divBdr>
                <w:top w:val="none" w:sz="0" w:space="0" w:color="auto"/>
                <w:left w:val="none" w:sz="0" w:space="0" w:color="auto"/>
                <w:bottom w:val="none" w:sz="0" w:space="0" w:color="auto"/>
                <w:right w:val="none" w:sz="0" w:space="0" w:color="auto"/>
              </w:divBdr>
            </w:div>
            <w:div w:id="1389454650">
              <w:marLeft w:val="0"/>
              <w:marRight w:val="0"/>
              <w:marTop w:val="0"/>
              <w:marBottom w:val="0"/>
              <w:divBdr>
                <w:top w:val="none" w:sz="0" w:space="0" w:color="auto"/>
                <w:left w:val="none" w:sz="0" w:space="0" w:color="auto"/>
                <w:bottom w:val="none" w:sz="0" w:space="0" w:color="auto"/>
                <w:right w:val="none" w:sz="0" w:space="0" w:color="auto"/>
              </w:divBdr>
            </w:div>
            <w:div w:id="1691641377">
              <w:marLeft w:val="0"/>
              <w:marRight w:val="0"/>
              <w:marTop w:val="0"/>
              <w:marBottom w:val="0"/>
              <w:divBdr>
                <w:top w:val="none" w:sz="0" w:space="0" w:color="auto"/>
                <w:left w:val="none" w:sz="0" w:space="0" w:color="auto"/>
                <w:bottom w:val="none" w:sz="0" w:space="0" w:color="auto"/>
                <w:right w:val="none" w:sz="0" w:space="0" w:color="auto"/>
              </w:divBdr>
            </w:div>
            <w:div w:id="1835338877">
              <w:marLeft w:val="0"/>
              <w:marRight w:val="0"/>
              <w:marTop w:val="0"/>
              <w:marBottom w:val="0"/>
              <w:divBdr>
                <w:top w:val="none" w:sz="0" w:space="0" w:color="auto"/>
                <w:left w:val="none" w:sz="0" w:space="0" w:color="auto"/>
                <w:bottom w:val="none" w:sz="0" w:space="0" w:color="auto"/>
                <w:right w:val="none" w:sz="0" w:space="0" w:color="auto"/>
              </w:divBdr>
            </w:div>
          </w:divsChild>
        </w:div>
        <w:div w:id="516698738">
          <w:marLeft w:val="0"/>
          <w:marRight w:val="0"/>
          <w:marTop w:val="0"/>
          <w:marBottom w:val="0"/>
          <w:divBdr>
            <w:top w:val="none" w:sz="0" w:space="0" w:color="auto"/>
            <w:left w:val="none" w:sz="0" w:space="0" w:color="auto"/>
            <w:bottom w:val="none" w:sz="0" w:space="0" w:color="auto"/>
            <w:right w:val="none" w:sz="0" w:space="0" w:color="auto"/>
          </w:divBdr>
        </w:div>
        <w:div w:id="622273157">
          <w:marLeft w:val="0"/>
          <w:marRight w:val="0"/>
          <w:marTop w:val="0"/>
          <w:marBottom w:val="0"/>
          <w:divBdr>
            <w:top w:val="none" w:sz="0" w:space="0" w:color="auto"/>
            <w:left w:val="none" w:sz="0" w:space="0" w:color="auto"/>
            <w:bottom w:val="none" w:sz="0" w:space="0" w:color="auto"/>
            <w:right w:val="none" w:sz="0" w:space="0" w:color="auto"/>
          </w:divBdr>
        </w:div>
        <w:div w:id="630329133">
          <w:marLeft w:val="0"/>
          <w:marRight w:val="0"/>
          <w:marTop w:val="0"/>
          <w:marBottom w:val="0"/>
          <w:divBdr>
            <w:top w:val="none" w:sz="0" w:space="0" w:color="auto"/>
            <w:left w:val="none" w:sz="0" w:space="0" w:color="auto"/>
            <w:bottom w:val="none" w:sz="0" w:space="0" w:color="auto"/>
            <w:right w:val="none" w:sz="0" w:space="0" w:color="auto"/>
          </w:divBdr>
        </w:div>
        <w:div w:id="630330559">
          <w:marLeft w:val="0"/>
          <w:marRight w:val="0"/>
          <w:marTop w:val="0"/>
          <w:marBottom w:val="0"/>
          <w:divBdr>
            <w:top w:val="none" w:sz="0" w:space="0" w:color="auto"/>
            <w:left w:val="none" w:sz="0" w:space="0" w:color="auto"/>
            <w:bottom w:val="none" w:sz="0" w:space="0" w:color="auto"/>
            <w:right w:val="none" w:sz="0" w:space="0" w:color="auto"/>
          </w:divBdr>
          <w:divsChild>
            <w:div w:id="123235885">
              <w:marLeft w:val="0"/>
              <w:marRight w:val="0"/>
              <w:marTop w:val="0"/>
              <w:marBottom w:val="0"/>
              <w:divBdr>
                <w:top w:val="none" w:sz="0" w:space="0" w:color="auto"/>
                <w:left w:val="none" w:sz="0" w:space="0" w:color="auto"/>
                <w:bottom w:val="none" w:sz="0" w:space="0" w:color="auto"/>
                <w:right w:val="none" w:sz="0" w:space="0" w:color="auto"/>
              </w:divBdr>
            </w:div>
            <w:div w:id="367265533">
              <w:marLeft w:val="0"/>
              <w:marRight w:val="0"/>
              <w:marTop w:val="0"/>
              <w:marBottom w:val="0"/>
              <w:divBdr>
                <w:top w:val="none" w:sz="0" w:space="0" w:color="auto"/>
                <w:left w:val="none" w:sz="0" w:space="0" w:color="auto"/>
                <w:bottom w:val="none" w:sz="0" w:space="0" w:color="auto"/>
                <w:right w:val="none" w:sz="0" w:space="0" w:color="auto"/>
              </w:divBdr>
            </w:div>
            <w:div w:id="1555776258">
              <w:marLeft w:val="0"/>
              <w:marRight w:val="0"/>
              <w:marTop w:val="0"/>
              <w:marBottom w:val="0"/>
              <w:divBdr>
                <w:top w:val="none" w:sz="0" w:space="0" w:color="auto"/>
                <w:left w:val="none" w:sz="0" w:space="0" w:color="auto"/>
                <w:bottom w:val="none" w:sz="0" w:space="0" w:color="auto"/>
                <w:right w:val="none" w:sz="0" w:space="0" w:color="auto"/>
              </w:divBdr>
            </w:div>
            <w:div w:id="1639843593">
              <w:marLeft w:val="0"/>
              <w:marRight w:val="0"/>
              <w:marTop w:val="0"/>
              <w:marBottom w:val="0"/>
              <w:divBdr>
                <w:top w:val="none" w:sz="0" w:space="0" w:color="auto"/>
                <w:left w:val="none" w:sz="0" w:space="0" w:color="auto"/>
                <w:bottom w:val="none" w:sz="0" w:space="0" w:color="auto"/>
                <w:right w:val="none" w:sz="0" w:space="0" w:color="auto"/>
              </w:divBdr>
            </w:div>
            <w:div w:id="1695613381">
              <w:marLeft w:val="0"/>
              <w:marRight w:val="0"/>
              <w:marTop w:val="0"/>
              <w:marBottom w:val="0"/>
              <w:divBdr>
                <w:top w:val="none" w:sz="0" w:space="0" w:color="auto"/>
                <w:left w:val="none" w:sz="0" w:space="0" w:color="auto"/>
                <w:bottom w:val="none" w:sz="0" w:space="0" w:color="auto"/>
                <w:right w:val="none" w:sz="0" w:space="0" w:color="auto"/>
              </w:divBdr>
            </w:div>
          </w:divsChild>
        </w:div>
        <w:div w:id="661783371">
          <w:marLeft w:val="0"/>
          <w:marRight w:val="0"/>
          <w:marTop w:val="0"/>
          <w:marBottom w:val="0"/>
          <w:divBdr>
            <w:top w:val="none" w:sz="0" w:space="0" w:color="auto"/>
            <w:left w:val="none" w:sz="0" w:space="0" w:color="auto"/>
            <w:bottom w:val="none" w:sz="0" w:space="0" w:color="auto"/>
            <w:right w:val="none" w:sz="0" w:space="0" w:color="auto"/>
          </w:divBdr>
        </w:div>
        <w:div w:id="817310661">
          <w:marLeft w:val="0"/>
          <w:marRight w:val="0"/>
          <w:marTop w:val="0"/>
          <w:marBottom w:val="0"/>
          <w:divBdr>
            <w:top w:val="none" w:sz="0" w:space="0" w:color="auto"/>
            <w:left w:val="none" w:sz="0" w:space="0" w:color="auto"/>
            <w:bottom w:val="none" w:sz="0" w:space="0" w:color="auto"/>
            <w:right w:val="none" w:sz="0" w:space="0" w:color="auto"/>
          </w:divBdr>
        </w:div>
        <w:div w:id="823669817">
          <w:marLeft w:val="0"/>
          <w:marRight w:val="0"/>
          <w:marTop w:val="0"/>
          <w:marBottom w:val="0"/>
          <w:divBdr>
            <w:top w:val="none" w:sz="0" w:space="0" w:color="auto"/>
            <w:left w:val="none" w:sz="0" w:space="0" w:color="auto"/>
            <w:bottom w:val="none" w:sz="0" w:space="0" w:color="auto"/>
            <w:right w:val="none" w:sz="0" w:space="0" w:color="auto"/>
          </w:divBdr>
        </w:div>
        <w:div w:id="854074865">
          <w:marLeft w:val="0"/>
          <w:marRight w:val="0"/>
          <w:marTop w:val="0"/>
          <w:marBottom w:val="0"/>
          <w:divBdr>
            <w:top w:val="none" w:sz="0" w:space="0" w:color="auto"/>
            <w:left w:val="none" w:sz="0" w:space="0" w:color="auto"/>
            <w:bottom w:val="none" w:sz="0" w:space="0" w:color="auto"/>
            <w:right w:val="none" w:sz="0" w:space="0" w:color="auto"/>
          </w:divBdr>
        </w:div>
        <w:div w:id="868907219">
          <w:marLeft w:val="0"/>
          <w:marRight w:val="0"/>
          <w:marTop w:val="0"/>
          <w:marBottom w:val="0"/>
          <w:divBdr>
            <w:top w:val="none" w:sz="0" w:space="0" w:color="auto"/>
            <w:left w:val="none" w:sz="0" w:space="0" w:color="auto"/>
            <w:bottom w:val="none" w:sz="0" w:space="0" w:color="auto"/>
            <w:right w:val="none" w:sz="0" w:space="0" w:color="auto"/>
          </w:divBdr>
        </w:div>
        <w:div w:id="887491795">
          <w:marLeft w:val="0"/>
          <w:marRight w:val="0"/>
          <w:marTop w:val="0"/>
          <w:marBottom w:val="0"/>
          <w:divBdr>
            <w:top w:val="none" w:sz="0" w:space="0" w:color="auto"/>
            <w:left w:val="none" w:sz="0" w:space="0" w:color="auto"/>
            <w:bottom w:val="none" w:sz="0" w:space="0" w:color="auto"/>
            <w:right w:val="none" w:sz="0" w:space="0" w:color="auto"/>
          </w:divBdr>
          <w:divsChild>
            <w:div w:id="49237102">
              <w:marLeft w:val="0"/>
              <w:marRight w:val="0"/>
              <w:marTop w:val="0"/>
              <w:marBottom w:val="0"/>
              <w:divBdr>
                <w:top w:val="none" w:sz="0" w:space="0" w:color="auto"/>
                <w:left w:val="none" w:sz="0" w:space="0" w:color="auto"/>
                <w:bottom w:val="none" w:sz="0" w:space="0" w:color="auto"/>
                <w:right w:val="none" w:sz="0" w:space="0" w:color="auto"/>
              </w:divBdr>
            </w:div>
            <w:div w:id="215169628">
              <w:marLeft w:val="0"/>
              <w:marRight w:val="0"/>
              <w:marTop w:val="0"/>
              <w:marBottom w:val="0"/>
              <w:divBdr>
                <w:top w:val="none" w:sz="0" w:space="0" w:color="auto"/>
                <w:left w:val="none" w:sz="0" w:space="0" w:color="auto"/>
                <w:bottom w:val="none" w:sz="0" w:space="0" w:color="auto"/>
                <w:right w:val="none" w:sz="0" w:space="0" w:color="auto"/>
              </w:divBdr>
            </w:div>
            <w:div w:id="329329824">
              <w:marLeft w:val="0"/>
              <w:marRight w:val="0"/>
              <w:marTop w:val="0"/>
              <w:marBottom w:val="0"/>
              <w:divBdr>
                <w:top w:val="none" w:sz="0" w:space="0" w:color="auto"/>
                <w:left w:val="none" w:sz="0" w:space="0" w:color="auto"/>
                <w:bottom w:val="none" w:sz="0" w:space="0" w:color="auto"/>
                <w:right w:val="none" w:sz="0" w:space="0" w:color="auto"/>
              </w:divBdr>
            </w:div>
            <w:div w:id="1571236052">
              <w:marLeft w:val="0"/>
              <w:marRight w:val="0"/>
              <w:marTop w:val="0"/>
              <w:marBottom w:val="0"/>
              <w:divBdr>
                <w:top w:val="none" w:sz="0" w:space="0" w:color="auto"/>
                <w:left w:val="none" w:sz="0" w:space="0" w:color="auto"/>
                <w:bottom w:val="none" w:sz="0" w:space="0" w:color="auto"/>
                <w:right w:val="none" w:sz="0" w:space="0" w:color="auto"/>
              </w:divBdr>
            </w:div>
            <w:div w:id="2040468974">
              <w:marLeft w:val="0"/>
              <w:marRight w:val="0"/>
              <w:marTop w:val="0"/>
              <w:marBottom w:val="0"/>
              <w:divBdr>
                <w:top w:val="none" w:sz="0" w:space="0" w:color="auto"/>
                <w:left w:val="none" w:sz="0" w:space="0" w:color="auto"/>
                <w:bottom w:val="none" w:sz="0" w:space="0" w:color="auto"/>
                <w:right w:val="none" w:sz="0" w:space="0" w:color="auto"/>
              </w:divBdr>
            </w:div>
          </w:divsChild>
        </w:div>
        <w:div w:id="902377119">
          <w:marLeft w:val="0"/>
          <w:marRight w:val="0"/>
          <w:marTop w:val="0"/>
          <w:marBottom w:val="0"/>
          <w:divBdr>
            <w:top w:val="none" w:sz="0" w:space="0" w:color="auto"/>
            <w:left w:val="none" w:sz="0" w:space="0" w:color="auto"/>
            <w:bottom w:val="none" w:sz="0" w:space="0" w:color="auto"/>
            <w:right w:val="none" w:sz="0" w:space="0" w:color="auto"/>
          </w:divBdr>
        </w:div>
        <w:div w:id="943729633">
          <w:marLeft w:val="0"/>
          <w:marRight w:val="0"/>
          <w:marTop w:val="0"/>
          <w:marBottom w:val="0"/>
          <w:divBdr>
            <w:top w:val="none" w:sz="0" w:space="0" w:color="auto"/>
            <w:left w:val="none" w:sz="0" w:space="0" w:color="auto"/>
            <w:bottom w:val="none" w:sz="0" w:space="0" w:color="auto"/>
            <w:right w:val="none" w:sz="0" w:space="0" w:color="auto"/>
          </w:divBdr>
        </w:div>
        <w:div w:id="1008488328">
          <w:marLeft w:val="0"/>
          <w:marRight w:val="0"/>
          <w:marTop w:val="0"/>
          <w:marBottom w:val="0"/>
          <w:divBdr>
            <w:top w:val="none" w:sz="0" w:space="0" w:color="auto"/>
            <w:left w:val="none" w:sz="0" w:space="0" w:color="auto"/>
            <w:bottom w:val="none" w:sz="0" w:space="0" w:color="auto"/>
            <w:right w:val="none" w:sz="0" w:space="0" w:color="auto"/>
          </w:divBdr>
        </w:div>
        <w:div w:id="1032653688">
          <w:marLeft w:val="0"/>
          <w:marRight w:val="0"/>
          <w:marTop w:val="0"/>
          <w:marBottom w:val="0"/>
          <w:divBdr>
            <w:top w:val="none" w:sz="0" w:space="0" w:color="auto"/>
            <w:left w:val="none" w:sz="0" w:space="0" w:color="auto"/>
            <w:bottom w:val="none" w:sz="0" w:space="0" w:color="auto"/>
            <w:right w:val="none" w:sz="0" w:space="0" w:color="auto"/>
          </w:divBdr>
        </w:div>
        <w:div w:id="1041133388">
          <w:marLeft w:val="0"/>
          <w:marRight w:val="0"/>
          <w:marTop w:val="0"/>
          <w:marBottom w:val="0"/>
          <w:divBdr>
            <w:top w:val="none" w:sz="0" w:space="0" w:color="auto"/>
            <w:left w:val="none" w:sz="0" w:space="0" w:color="auto"/>
            <w:bottom w:val="none" w:sz="0" w:space="0" w:color="auto"/>
            <w:right w:val="none" w:sz="0" w:space="0" w:color="auto"/>
          </w:divBdr>
          <w:divsChild>
            <w:div w:id="321324314">
              <w:marLeft w:val="-54"/>
              <w:marRight w:val="0"/>
              <w:marTop w:val="21"/>
              <w:marBottom w:val="21"/>
              <w:divBdr>
                <w:top w:val="none" w:sz="0" w:space="0" w:color="auto"/>
                <w:left w:val="none" w:sz="0" w:space="0" w:color="auto"/>
                <w:bottom w:val="none" w:sz="0" w:space="0" w:color="auto"/>
                <w:right w:val="none" w:sz="0" w:space="0" w:color="auto"/>
              </w:divBdr>
              <w:divsChild>
                <w:div w:id="64644531">
                  <w:marLeft w:val="0"/>
                  <w:marRight w:val="0"/>
                  <w:marTop w:val="0"/>
                  <w:marBottom w:val="0"/>
                  <w:divBdr>
                    <w:top w:val="none" w:sz="0" w:space="0" w:color="auto"/>
                    <w:left w:val="none" w:sz="0" w:space="0" w:color="auto"/>
                    <w:bottom w:val="none" w:sz="0" w:space="0" w:color="auto"/>
                    <w:right w:val="none" w:sz="0" w:space="0" w:color="auto"/>
                  </w:divBdr>
                  <w:divsChild>
                    <w:div w:id="915817860">
                      <w:marLeft w:val="0"/>
                      <w:marRight w:val="0"/>
                      <w:marTop w:val="0"/>
                      <w:marBottom w:val="0"/>
                      <w:divBdr>
                        <w:top w:val="none" w:sz="0" w:space="0" w:color="auto"/>
                        <w:left w:val="none" w:sz="0" w:space="0" w:color="auto"/>
                        <w:bottom w:val="none" w:sz="0" w:space="0" w:color="auto"/>
                        <w:right w:val="none" w:sz="0" w:space="0" w:color="auto"/>
                      </w:divBdr>
                    </w:div>
                  </w:divsChild>
                </w:div>
                <w:div w:id="146826783">
                  <w:marLeft w:val="0"/>
                  <w:marRight w:val="0"/>
                  <w:marTop w:val="0"/>
                  <w:marBottom w:val="0"/>
                  <w:divBdr>
                    <w:top w:val="none" w:sz="0" w:space="0" w:color="auto"/>
                    <w:left w:val="none" w:sz="0" w:space="0" w:color="auto"/>
                    <w:bottom w:val="none" w:sz="0" w:space="0" w:color="auto"/>
                    <w:right w:val="none" w:sz="0" w:space="0" w:color="auto"/>
                  </w:divBdr>
                  <w:divsChild>
                    <w:div w:id="1916472858">
                      <w:marLeft w:val="0"/>
                      <w:marRight w:val="0"/>
                      <w:marTop w:val="0"/>
                      <w:marBottom w:val="0"/>
                      <w:divBdr>
                        <w:top w:val="none" w:sz="0" w:space="0" w:color="auto"/>
                        <w:left w:val="none" w:sz="0" w:space="0" w:color="auto"/>
                        <w:bottom w:val="none" w:sz="0" w:space="0" w:color="auto"/>
                        <w:right w:val="none" w:sz="0" w:space="0" w:color="auto"/>
                      </w:divBdr>
                    </w:div>
                  </w:divsChild>
                </w:div>
                <w:div w:id="173301540">
                  <w:marLeft w:val="0"/>
                  <w:marRight w:val="0"/>
                  <w:marTop w:val="0"/>
                  <w:marBottom w:val="0"/>
                  <w:divBdr>
                    <w:top w:val="none" w:sz="0" w:space="0" w:color="auto"/>
                    <w:left w:val="none" w:sz="0" w:space="0" w:color="auto"/>
                    <w:bottom w:val="none" w:sz="0" w:space="0" w:color="auto"/>
                    <w:right w:val="none" w:sz="0" w:space="0" w:color="auto"/>
                  </w:divBdr>
                  <w:divsChild>
                    <w:div w:id="789133042">
                      <w:marLeft w:val="0"/>
                      <w:marRight w:val="0"/>
                      <w:marTop w:val="0"/>
                      <w:marBottom w:val="0"/>
                      <w:divBdr>
                        <w:top w:val="none" w:sz="0" w:space="0" w:color="auto"/>
                        <w:left w:val="none" w:sz="0" w:space="0" w:color="auto"/>
                        <w:bottom w:val="none" w:sz="0" w:space="0" w:color="auto"/>
                        <w:right w:val="none" w:sz="0" w:space="0" w:color="auto"/>
                      </w:divBdr>
                    </w:div>
                  </w:divsChild>
                </w:div>
                <w:div w:id="216551770">
                  <w:marLeft w:val="0"/>
                  <w:marRight w:val="0"/>
                  <w:marTop w:val="0"/>
                  <w:marBottom w:val="0"/>
                  <w:divBdr>
                    <w:top w:val="none" w:sz="0" w:space="0" w:color="auto"/>
                    <w:left w:val="none" w:sz="0" w:space="0" w:color="auto"/>
                    <w:bottom w:val="none" w:sz="0" w:space="0" w:color="auto"/>
                    <w:right w:val="none" w:sz="0" w:space="0" w:color="auto"/>
                  </w:divBdr>
                  <w:divsChild>
                    <w:div w:id="1070077350">
                      <w:marLeft w:val="0"/>
                      <w:marRight w:val="0"/>
                      <w:marTop w:val="0"/>
                      <w:marBottom w:val="0"/>
                      <w:divBdr>
                        <w:top w:val="none" w:sz="0" w:space="0" w:color="auto"/>
                        <w:left w:val="none" w:sz="0" w:space="0" w:color="auto"/>
                        <w:bottom w:val="none" w:sz="0" w:space="0" w:color="auto"/>
                        <w:right w:val="none" w:sz="0" w:space="0" w:color="auto"/>
                      </w:divBdr>
                    </w:div>
                  </w:divsChild>
                </w:div>
                <w:div w:id="260526603">
                  <w:marLeft w:val="0"/>
                  <w:marRight w:val="0"/>
                  <w:marTop w:val="0"/>
                  <w:marBottom w:val="0"/>
                  <w:divBdr>
                    <w:top w:val="none" w:sz="0" w:space="0" w:color="auto"/>
                    <w:left w:val="none" w:sz="0" w:space="0" w:color="auto"/>
                    <w:bottom w:val="none" w:sz="0" w:space="0" w:color="auto"/>
                    <w:right w:val="none" w:sz="0" w:space="0" w:color="auto"/>
                  </w:divBdr>
                  <w:divsChild>
                    <w:div w:id="1782144250">
                      <w:marLeft w:val="0"/>
                      <w:marRight w:val="0"/>
                      <w:marTop w:val="0"/>
                      <w:marBottom w:val="0"/>
                      <w:divBdr>
                        <w:top w:val="none" w:sz="0" w:space="0" w:color="auto"/>
                        <w:left w:val="none" w:sz="0" w:space="0" w:color="auto"/>
                        <w:bottom w:val="none" w:sz="0" w:space="0" w:color="auto"/>
                        <w:right w:val="none" w:sz="0" w:space="0" w:color="auto"/>
                      </w:divBdr>
                    </w:div>
                  </w:divsChild>
                </w:div>
                <w:div w:id="260720093">
                  <w:marLeft w:val="0"/>
                  <w:marRight w:val="0"/>
                  <w:marTop w:val="0"/>
                  <w:marBottom w:val="0"/>
                  <w:divBdr>
                    <w:top w:val="none" w:sz="0" w:space="0" w:color="auto"/>
                    <w:left w:val="none" w:sz="0" w:space="0" w:color="auto"/>
                    <w:bottom w:val="none" w:sz="0" w:space="0" w:color="auto"/>
                    <w:right w:val="none" w:sz="0" w:space="0" w:color="auto"/>
                  </w:divBdr>
                  <w:divsChild>
                    <w:div w:id="1447041867">
                      <w:marLeft w:val="0"/>
                      <w:marRight w:val="0"/>
                      <w:marTop w:val="0"/>
                      <w:marBottom w:val="0"/>
                      <w:divBdr>
                        <w:top w:val="none" w:sz="0" w:space="0" w:color="auto"/>
                        <w:left w:val="none" w:sz="0" w:space="0" w:color="auto"/>
                        <w:bottom w:val="none" w:sz="0" w:space="0" w:color="auto"/>
                        <w:right w:val="none" w:sz="0" w:space="0" w:color="auto"/>
                      </w:divBdr>
                    </w:div>
                  </w:divsChild>
                </w:div>
                <w:div w:id="337124569">
                  <w:marLeft w:val="0"/>
                  <w:marRight w:val="0"/>
                  <w:marTop w:val="0"/>
                  <w:marBottom w:val="0"/>
                  <w:divBdr>
                    <w:top w:val="none" w:sz="0" w:space="0" w:color="auto"/>
                    <w:left w:val="none" w:sz="0" w:space="0" w:color="auto"/>
                    <w:bottom w:val="none" w:sz="0" w:space="0" w:color="auto"/>
                    <w:right w:val="none" w:sz="0" w:space="0" w:color="auto"/>
                  </w:divBdr>
                  <w:divsChild>
                    <w:div w:id="1470594047">
                      <w:marLeft w:val="0"/>
                      <w:marRight w:val="0"/>
                      <w:marTop w:val="0"/>
                      <w:marBottom w:val="0"/>
                      <w:divBdr>
                        <w:top w:val="none" w:sz="0" w:space="0" w:color="auto"/>
                        <w:left w:val="none" w:sz="0" w:space="0" w:color="auto"/>
                        <w:bottom w:val="none" w:sz="0" w:space="0" w:color="auto"/>
                        <w:right w:val="none" w:sz="0" w:space="0" w:color="auto"/>
                      </w:divBdr>
                    </w:div>
                  </w:divsChild>
                </w:div>
                <w:div w:id="345833633">
                  <w:marLeft w:val="0"/>
                  <w:marRight w:val="0"/>
                  <w:marTop w:val="0"/>
                  <w:marBottom w:val="0"/>
                  <w:divBdr>
                    <w:top w:val="none" w:sz="0" w:space="0" w:color="auto"/>
                    <w:left w:val="none" w:sz="0" w:space="0" w:color="auto"/>
                    <w:bottom w:val="none" w:sz="0" w:space="0" w:color="auto"/>
                    <w:right w:val="none" w:sz="0" w:space="0" w:color="auto"/>
                  </w:divBdr>
                  <w:divsChild>
                    <w:div w:id="504128626">
                      <w:marLeft w:val="0"/>
                      <w:marRight w:val="0"/>
                      <w:marTop w:val="0"/>
                      <w:marBottom w:val="0"/>
                      <w:divBdr>
                        <w:top w:val="none" w:sz="0" w:space="0" w:color="auto"/>
                        <w:left w:val="none" w:sz="0" w:space="0" w:color="auto"/>
                        <w:bottom w:val="none" w:sz="0" w:space="0" w:color="auto"/>
                        <w:right w:val="none" w:sz="0" w:space="0" w:color="auto"/>
                      </w:divBdr>
                    </w:div>
                  </w:divsChild>
                </w:div>
                <w:div w:id="365764315">
                  <w:marLeft w:val="0"/>
                  <w:marRight w:val="0"/>
                  <w:marTop w:val="0"/>
                  <w:marBottom w:val="0"/>
                  <w:divBdr>
                    <w:top w:val="none" w:sz="0" w:space="0" w:color="auto"/>
                    <w:left w:val="none" w:sz="0" w:space="0" w:color="auto"/>
                    <w:bottom w:val="none" w:sz="0" w:space="0" w:color="auto"/>
                    <w:right w:val="none" w:sz="0" w:space="0" w:color="auto"/>
                  </w:divBdr>
                  <w:divsChild>
                    <w:div w:id="503277913">
                      <w:marLeft w:val="0"/>
                      <w:marRight w:val="0"/>
                      <w:marTop w:val="0"/>
                      <w:marBottom w:val="0"/>
                      <w:divBdr>
                        <w:top w:val="none" w:sz="0" w:space="0" w:color="auto"/>
                        <w:left w:val="none" w:sz="0" w:space="0" w:color="auto"/>
                        <w:bottom w:val="none" w:sz="0" w:space="0" w:color="auto"/>
                        <w:right w:val="none" w:sz="0" w:space="0" w:color="auto"/>
                      </w:divBdr>
                    </w:div>
                  </w:divsChild>
                </w:div>
                <w:div w:id="498547902">
                  <w:marLeft w:val="0"/>
                  <w:marRight w:val="0"/>
                  <w:marTop w:val="0"/>
                  <w:marBottom w:val="0"/>
                  <w:divBdr>
                    <w:top w:val="none" w:sz="0" w:space="0" w:color="auto"/>
                    <w:left w:val="none" w:sz="0" w:space="0" w:color="auto"/>
                    <w:bottom w:val="none" w:sz="0" w:space="0" w:color="auto"/>
                    <w:right w:val="none" w:sz="0" w:space="0" w:color="auto"/>
                  </w:divBdr>
                  <w:divsChild>
                    <w:div w:id="856694557">
                      <w:marLeft w:val="0"/>
                      <w:marRight w:val="0"/>
                      <w:marTop w:val="0"/>
                      <w:marBottom w:val="0"/>
                      <w:divBdr>
                        <w:top w:val="none" w:sz="0" w:space="0" w:color="auto"/>
                        <w:left w:val="none" w:sz="0" w:space="0" w:color="auto"/>
                        <w:bottom w:val="none" w:sz="0" w:space="0" w:color="auto"/>
                        <w:right w:val="none" w:sz="0" w:space="0" w:color="auto"/>
                      </w:divBdr>
                    </w:div>
                  </w:divsChild>
                </w:div>
                <w:div w:id="588849940">
                  <w:marLeft w:val="0"/>
                  <w:marRight w:val="0"/>
                  <w:marTop w:val="0"/>
                  <w:marBottom w:val="0"/>
                  <w:divBdr>
                    <w:top w:val="none" w:sz="0" w:space="0" w:color="auto"/>
                    <w:left w:val="none" w:sz="0" w:space="0" w:color="auto"/>
                    <w:bottom w:val="none" w:sz="0" w:space="0" w:color="auto"/>
                    <w:right w:val="none" w:sz="0" w:space="0" w:color="auto"/>
                  </w:divBdr>
                  <w:divsChild>
                    <w:div w:id="4330768">
                      <w:marLeft w:val="0"/>
                      <w:marRight w:val="0"/>
                      <w:marTop w:val="0"/>
                      <w:marBottom w:val="0"/>
                      <w:divBdr>
                        <w:top w:val="none" w:sz="0" w:space="0" w:color="auto"/>
                        <w:left w:val="none" w:sz="0" w:space="0" w:color="auto"/>
                        <w:bottom w:val="none" w:sz="0" w:space="0" w:color="auto"/>
                        <w:right w:val="none" w:sz="0" w:space="0" w:color="auto"/>
                      </w:divBdr>
                    </w:div>
                  </w:divsChild>
                </w:div>
                <w:div w:id="713504664">
                  <w:marLeft w:val="0"/>
                  <w:marRight w:val="0"/>
                  <w:marTop w:val="0"/>
                  <w:marBottom w:val="0"/>
                  <w:divBdr>
                    <w:top w:val="none" w:sz="0" w:space="0" w:color="auto"/>
                    <w:left w:val="none" w:sz="0" w:space="0" w:color="auto"/>
                    <w:bottom w:val="none" w:sz="0" w:space="0" w:color="auto"/>
                    <w:right w:val="none" w:sz="0" w:space="0" w:color="auto"/>
                  </w:divBdr>
                  <w:divsChild>
                    <w:div w:id="1168981641">
                      <w:marLeft w:val="0"/>
                      <w:marRight w:val="0"/>
                      <w:marTop w:val="0"/>
                      <w:marBottom w:val="0"/>
                      <w:divBdr>
                        <w:top w:val="none" w:sz="0" w:space="0" w:color="auto"/>
                        <w:left w:val="none" w:sz="0" w:space="0" w:color="auto"/>
                        <w:bottom w:val="none" w:sz="0" w:space="0" w:color="auto"/>
                        <w:right w:val="none" w:sz="0" w:space="0" w:color="auto"/>
                      </w:divBdr>
                    </w:div>
                  </w:divsChild>
                </w:div>
                <w:div w:id="747461988">
                  <w:marLeft w:val="0"/>
                  <w:marRight w:val="0"/>
                  <w:marTop w:val="0"/>
                  <w:marBottom w:val="0"/>
                  <w:divBdr>
                    <w:top w:val="none" w:sz="0" w:space="0" w:color="auto"/>
                    <w:left w:val="none" w:sz="0" w:space="0" w:color="auto"/>
                    <w:bottom w:val="none" w:sz="0" w:space="0" w:color="auto"/>
                    <w:right w:val="none" w:sz="0" w:space="0" w:color="auto"/>
                  </w:divBdr>
                  <w:divsChild>
                    <w:div w:id="283269164">
                      <w:marLeft w:val="0"/>
                      <w:marRight w:val="0"/>
                      <w:marTop w:val="0"/>
                      <w:marBottom w:val="0"/>
                      <w:divBdr>
                        <w:top w:val="none" w:sz="0" w:space="0" w:color="auto"/>
                        <w:left w:val="none" w:sz="0" w:space="0" w:color="auto"/>
                        <w:bottom w:val="none" w:sz="0" w:space="0" w:color="auto"/>
                        <w:right w:val="none" w:sz="0" w:space="0" w:color="auto"/>
                      </w:divBdr>
                    </w:div>
                  </w:divsChild>
                </w:div>
                <w:div w:id="791754753">
                  <w:marLeft w:val="0"/>
                  <w:marRight w:val="0"/>
                  <w:marTop w:val="0"/>
                  <w:marBottom w:val="0"/>
                  <w:divBdr>
                    <w:top w:val="none" w:sz="0" w:space="0" w:color="auto"/>
                    <w:left w:val="none" w:sz="0" w:space="0" w:color="auto"/>
                    <w:bottom w:val="none" w:sz="0" w:space="0" w:color="auto"/>
                    <w:right w:val="none" w:sz="0" w:space="0" w:color="auto"/>
                  </w:divBdr>
                  <w:divsChild>
                    <w:div w:id="1438402449">
                      <w:marLeft w:val="0"/>
                      <w:marRight w:val="0"/>
                      <w:marTop w:val="0"/>
                      <w:marBottom w:val="0"/>
                      <w:divBdr>
                        <w:top w:val="none" w:sz="0" w:space="0" w:color="auto"/>
                        <w:left w:val="none" w:sz="0" w:space="0" w:color="auto"/>
                        <w:bottom w:val="none" w:sz="0" w:space="0" w:color="auto"/>
                        <w:right w:val="none" w:sz="0" w:space="0" w:color="auto"/>
                      </w:divBdr>
                    </w:div>
                  </w:divsChild>
                </w:div>
                <w:div w:id="810947654">
                  <w:marLeft w:val="0"/>
                  <w:marRight w:val="0"/>
                  <w:marTop w:val="0"/>
                  <w:marBottom w:val="0"/>
                  <w:divBdr>
                    <w:top w:val="none" w:sz="0" w:space="0" w:color="auto"/>
                    <w:left w:val="none" w:sz="0" w:space="0" w:color="auto"/>
                    <w:bottom w:val="none" w:sz="0" w:space="0" w:color="auto"/>
                    <w:right w:val="none" w:sz="0" w:space="0" w:color="auto"/>
                  </w:divBdr>
                  <w:divsChild>
                    <w:div w:id="223299664">
                      <w:marLeft w:val="0"/>
                      <w:marRight w:val="0"/>
                      <w:marTop w:val="0"/>
                      <w:marBottom w:val="0"/>
                      <w:divBdr>
                        <w:top w:val="none" w:sz="0" w:space="0" w:color="auto"/>
                        <w:left w:val="none" w:sz="0" w:space="0" w:color="auto"/>
                        <w:bottom w:val="none" w:sz="0" w:space="0" w:color="auto"/>
                        <w:right w:val="none" w:sz="0" w:space="0" w:color="auto"/>
                      </w:divBdr>
                    </w:div>
                  </w:divsChild>
                </w:div>
                <w:div w:id="1037898300">
                  <w:marLeft w:val="0"/>
                  <w:marRight w:val="0"/>
                  <w:marTop w:val="0"/>
                  <w:marBottom w:val="0"/>
                  <w:divBdr>
                    <w:top w:val="none" w:sz="0" w:space="0" w:color="auto"/>
                    <w:left w:val="none" w:sz="0" w:space="0" w:color="auto"/>
                    <w:bottom w:val="none" w:sz="0" w:space="0" w:color="auto"/>
                    <w:right w:val="none" w:sz="0" w:space="0" w:color="auto"/>
                  </w:divBdr>
                  <w:divsChild>
                    <w:div w:id="1041782628">
                      <w:marLeft w:val="0"/>
                      <w:marRight w:val="0"/>
                      <w:marTop w:val="0"/>
                      <w:marBottom w:val="0"/>
                      <w:divBdr>
                        <w:top w:val="none" w:sz="0" w:space="0" w:color="auto"/>
                        <w:left w:val="none" w:sz="0" w:space="0" w:color="auto"/>
                        <w:bottom w:val="none" w:sz="0" w:space="0" w:color="auto"/>
                        <w:right w:val="none" w:sz="0" w:space="0" w:color="auto"/>
                      </w:divBdr>
                    </w:div>
                  </w:divsChild>
                </w:div>
                <w:div w:id="1119684089">
                  <w:marLeft w:val="0"/>
                  <w:marRight w:val="0"/>
                  <w:marTop w:val="0"/>
                  <w:marBottom w:val="0"/>
                  <w:divBdr>
                    <w:top w:val="none" w:sz="0" w:space="0" w:color="auto"/>
                    <w:left w:val="none" w:sz="0" w:space="0" w:color="auto"/>
                    <w:bottom w:val="none" w:sz="0" w:space="0" w:color="auto"/>
                    <w:right w:val="none" w:sz="0" w:space="0" w:color="auto"/>
                  </w:divBdr>
                  <w:divsChild>
                    <w:div w:id="189029848">
                      <w:marLeft w:val="0"/>
                      <w:marRight w:val="0"/>
                      <w:marTop w:val="0"/>
                      <w:marBottom w:val="0"/>
                      <w:divBdr>
                        <w:top w:val="none" w:sz="0" w:space="0" w:color="auto"/>
                        <w:left w:val="none" w:sz="0" w:space="0" w:color="auto"/>
                        <w:bottom w:val="none" w:sz="0" w:space="0" w:color="auto"/>
                        <w:right w:val="none" w:sz="0" w:space="0" w:color="auto"/>
                      </w:divBdr>
                    </w:div>
                  </w:divsChild>
                </w:div>
                <w:div w:id="1179195225">
                  <w:marLeft w:val="0"/>
                  <w:marRight w:val="0"/>
                  <w:marTop w:val="0"/>
                  <w:marBottom w:val="0"/>
                  <w:divBdr>
                    <w:top w:val="none" w:sz="0" w:space="0" w:color="auto"/>
                    <w:left w:val="none" w:sz="0" w:space="0" w:color="auto"/>
                    <w:bottom w:val="none" w:sz="0" w:space="0" w:color="auto"/>
                    <w:right w:val="none" w:sz="0" w:space="0" w:color="auto"/>
                  </w:divBdr>
                  <w:divsChild>
                    <w:div w:id="1359694978">
                      <w:marLeft w:val="0"/>
                      <w:marRight w:val="0"/>
                      <w:marTop w:val="0"/>
                      <w:marBottom w:val="0"/>
                      <w:divBdr>
                        <w:top w:val="none" w:sz="0" w:space="0" w:color="auto"/>
                        <w:left w:val="none" w:sz="0" w:space="0" w:color="auto"/>
                        <w:bottom w:val="none" w:sz="0" w:space="0" w:color="auto"/>
                        <w:right w:val="none" w:sz="0" w:space="0" w:color="auto"/>
                      </w:divBdr>
                    </w:div>
                  </w:divsChild>
                </w:div>
                <w:div w:id="1254431726">
                  <w:marLeft w:val="0"/>
                  <w:marRight w:val="0"/>
                  <w:marTop w:val="0"/>
                  <w:marBottom w:val="0"/>
                  <w:divBdr>
                    <w:top w:val="none" w:sz="0" w:space="0" w:color="auto"/>
                    <w:left w:val="none" w:sz="0" w:space="0" w:color="auto"/>
                    <w:bottom w:val="none" w:sz="0" w:space="0" w:color="auto"/>
                    <w:right w:val="none" w:sz="0" w:space="0" w:color="auto"/>
                  </w:divBdr>
                  <w:divsChild>
                    <w:div w:id="1442920824">
                      <w:marLeft w:val="0"/>
                      <w:marRight w:val="0"/>
                      <w:marTop w:val="0"/>
                      <w:marBottom w:val="0"/>
                      <w:divBdr>
                        <w:top w:val="none" w:sz="0" w:space="0" w:color="auto"/>
                        <w:left w:val="none" w:sz="0" w:space="0" w:color="auto"/>
                        <w:bottom w:val="none" w:sz="0" w:space="0" w:color="auto"/>
                        <w:right w:val="none" w:sz="0" w:space="0" w:color="auto"/>
                      </w:divBdr>
                    </w:div>
                  </w:divsChild>
                </w:div>
                <w:div w:id="1318267381">
                  <w:marLeft w:val="0"/>
                  <w:marRight w:val="0"/>
                  <w:marTop w:val="0"/>
                  <w:marBottom w:val="0"/>
                  <w:divBdr>
                    <w:top w:val="none" w:sz="0" w:space="0" w:color="auto"/>
                    <w:left w:val="none" w:sz="0" w:space="0" w:color="auto"/>
                    <w:bottom w:val="none" w:sz="0" w:space="0" w:color="auto"/>
                    <w:right w:val="none" w:sz="0" w:space="0" w:color="auto"/>
                  </w:divBdr>
                  <w:divsChild>
                    <w:div w:id="1592277635">
                      <w:marLeft w:val="0"/>
                      <w:marRight w:val="0"/>
                      <w:marTop w:val="0"/>
                      <w:marBottom w:val="0"/>
                      <w:divBdr>
                        <w:top w:val="none" w:sz="0" w:space="0" w:color="auto"/>
                        <w:left w:val="none" w:sz="0" w:space="0" w:color="auto"/>
                        <w:bottom w:val="none" w:sz="0" w:space="0" w:color="auto"/>
                        <w:right w:val="none" w:sz="0" w:space="0" w:color="auto"/>
                      </w:divBdr>
                    </w:div>
                  </w:divsChild>
                </w:div>
                <w:div w:id="1516268618">
                  <w:marLeft w:val="0"/>
                  <w:marRight w:val="0"/>
                  <w:marTop w:val="0"/>
                  <w:marBottom w:val="0"/>
                  <w:divBdr>
                    <w:top w:val="none" w:sz="0" w:space="0" w:color="auto"/>
                    <w:left w:val="none" w:sz="0" w:space="0" w:color="auto"/>
                    <w:bottom w:val="none" w:sz="0" w:space="0" w:color="auto"/>
                    <w:right w:val="none" w:sz="0" w:space="0" w:color="auto"/>
                  </w:divBdr>
                  <w:divsChild>
                    <w:div w:id="1033119138">
                      <w:marLeft w:val="0"/>
                      <w:marRight w:val="0"/>
                      <w:marTop w:val="0"/>
                      <w:marBottom w:val="0"/>
                      <w:divBdr>
                        <w:top w:val="none" w:sz="0" w:space="0" w:color="auto"/>
                        <w:left w:val="none" w:sz="0" w:space="0" w:color="auto"/>
                        <w:bottom w:val="none" w:sz="0" w:space="0" w:color="auto"/>
                        <w:right w:val="none" w:sz="0" w:space="0" w:color="auto"/>
                      </w:divBdr>
                    </w:div>
                  </w:divsChild>
                </w:div>
                <w:div w:id="1530682327">
                  <w:marLeft w:val="0"/>
                  <w:marRight w:val="0"/>
                  <w:marTop w:val="0"/>
                  <w:marBottom w:val="0"/>
                  <w:divBdr>
                    <w:top w:val="none" w:sz="0" w:space="0" w:color="auto"/>
                    <w:left w:val="none" w:sz="0" w:space="0" w:color="auto"/>
                    <w:bottom w:val="none" w:sz="0" w:space="0" w:color="auto"/>
                    <w:right w:val="none" w:sz="0" w:space="0" w:color="auto"/>
                  </w:divBdr>
                  <w:divsChild>
                    <w:div w:id="782844832">
                      <w:marLeft w:val="0"/>
                      <w:marRight w:val="0"/>
                      <w:marTop w:val="0"/>
                      <w:marBottom w:val="0"/>
                      <w:divBdr>
                        <w:top w:val="none" w:sz="0" w:space="0" w:color="auto"/>
                        <w:left w:val="none" w:sz="0" w:space="0" w:color="auto"/>
                        <w:bottom w:val="none" w:sz="0" w:space="0" w:color="auto"/>
                        <w:right w:val="none" w:sz="0" w:space="0" w:color="auto"/>
                      </w:divBdr>
                    </w:div>
                  </w:divsChild>
                </w:div>
                <w:div w:id="1546674447">
                  <w:marLeft w:val="0"/>
                  <w:marRight w:val="0"/>
                  <w:marTop w:val="0"/>
                  <w:marBottom w:val="0"/>
                  <w:divBdr>
                    <w:top w:val="none" w:sz="0" w:space="0" w:color="auto"/>
                    <w:left w:val="none" w:sz="0" w:space="0" w:color="auto"/>
                    <w:bottom w:val="none" w:sz="0" w:space="0" w:color="auto"/>
                    <w:right w:val="none" w:sz="0" w:space="0" w:color="auto"/>
                  </w:divBdr>
                  <w:divsChild>
                    <w:div w:id="928002918">
                      <w:marLeft w:val="0"/>
                      <w:marRight w:val="0"/>
                      <w:marTop w:val="0"/>
                      <w:marBottom w:val="0"/>
                      <w:divBdr>
                        <w:top w:val="none" w:sz="0" w:space="0" w:color="auto"/>
                        <w:left w:val="none" w:sz="0" w:space="0" w:color="auto"/>
                        <w:bottom w:val="none" w:sz="0" w:space="0" w:color="auto"/>
                        <w:right w:val="none" w:sz="0" w:space="0" w:color="auto"/>
                      </w:divBdr>
                    </w:div>
                  </w:divsChild>
                </w:div>
                <w:div w:id="1561135074">
                  <w:marLeft w:val="0"/>
                  <w:marRight w:val="0"/>
                  <w:marTop w:val="0"/>
                  <w:marBottom w:val="0"/>
                  <w:divBdr>
                    <w:top w:val="none" w:sz="0" w:space="0" w:color="auto"/>
                    <w:left w:val="none" w:sz="0" w:space="0" w:color="auto"/>
                    <w:bottom w:val="none" w:sz="0" w:space="0" w:color="auto"/>
                    <w:right w:val="none" w:sz="0" w:space="0" w:color="auto"/>
                  </w:divBdr>
                  <w:divsChild>
                    <w:div w:id="1241059134">
                      <w:marLeft w:val="0"/>
                      <w:marRight w:val="0"/>
                      <w:marTop w:val="0"/>
                      <w:marBottom w:val="0"/>
                      <w:divBdr>
                        <w:top w:val="none" w:sz="0" w:space="0" w:color="auto"/>
                        <w:left w:val="none" w:sz="0" w:space="0" w:color="auto"/>
                        <w:bottom w:val="none" w:sz="0" w:space="0" w:color="auto"/>
                        <w:right w:val="none" w:sz="0" w:space="0" w:color="auto"/>
                      </w:divBdr>
                    </w:div>
                  </w:divsChild>
                </w:div>
                <w:div w:id="1678071005">
                  <w:marLeft w:val="0"/>
                  <w:marRight w:val="0"/>
                  <w:marTop w:val="0"/>
                  <w:marBottom w:val="0"/>
                  <w:divBdr>
                    <w:top w:val="none" w:sz="0" w:space="0" w:color="auto"/>
                    <w:left w:val="none" w:sz="0" w:space="0" w:color="auto"/>
                    <w:bottom w:val="none" w:sz="0" w:space="0" w:color="auto"/>
                    <w:right w:val="none" w:sz="0" w:space="0" w:color="auto"/>
                  </w:divBdr>
                  <w:divsChild>
                    <w:div w:id="1834643393">
                      <w:marLeft w:val="0"/>
                      <w:marRight w:val="0"/>
                      <w:marTop w:val="0"/>
                      <w:marBottom w:val="0"/>
                      <w:divBdr>
                        <w:top w:val="none" w:sz="0" w:space="0" w:color="auto"/>
                        <w:left w:val="none" w:sz="0" w:space="0" w:color="auto"/>
                        <w:bottom w:val="none" w:sz="0" w:space="0" w:color="auto"/>
                        <w:right w:val="none" w:sz="0" w:space="0" w:color="auto"/>
                      </w:divBdr>
                    </w:div>
                  </w:divsChild>
                </w:div>
                <w:div w:id="1766614022">
                  <w:marLeft w:val="0"/>
                  <w:marRight w:val="0"/>
                  <w:marTop w:val="0"/>
                  <w:marBottom w:val="0"/>
                  <w:divBdr>
                    <w:top w:val="none" w:sz="0" w:space="0" w:color="auto"/>
                    <w:left w:val="none" w:sz="0" w:space="0" w:color="auto"/>
                    <w:bottom w:val="none" w:sz="0" w:space="0" w:color="auto"/>
                    <w:right w:val="none" w:sz="0" w:space="0" w:color="auto"/>
                  </w:divBdr>
                  <w:divsChild>
                    <w:div w:id="93979454">
                      <w:marLeft w:val="0"/>
                      <w:marRight w:val="0"/>
                      <w:marTop w:val="0"/>
                      <w:marBottom w:val="0"/>
                      <w:divBdr>
                        <w:top w:val="none" w:sz="0" w:space="0" w:color="auto"/>
                        <w:left w:val="none" w:sz="0" w:space="0" w:color="auto"/>
                        <w:bottom w:val="none" w:sz="0" w:space="0" w:color="auto"/>
                        <w:right w:val="none" w:sz="0" w:space="0" w:color="auto"/>
                      </w:divBdr>
                    </w:div>
                  </w:divsChild>
                </w:div>
                <w:div w:id="1801922545">
                  <w:marLeft w:val="0"/>
                  <w:marRight w:val="0"/>
                  <w:marTop w:val="0"/>
                  <w:marBottom w:val="0"/>
                  <w:divBdr>
                    <w:top w:val="none" w:sz="0" w:space="0" w:color="auto"/>
                    <w:left w:val="none" w:sz="0" w:space="0" w:color="auto"/>
                    <w:bottom w:val="none" w:sz="0" w:space="0" w:color="auto"/>
                    <w:right w:val="none" w:sz="0" w:space="0" w:color="auto"/>
                  </w:divBdr>
                  <w:divsChild>
                    <w:div w:id="36904127">
                      <w:marLeft w:val="0"/>
                      <w:marRight w:val="0"/>
                      <w:marTop w:val="0"/>
                      <w:marBottom w:val="0"/>
                      <w:divBdr>
                        <w:top w:val="none" w:sz="0" w:space="0" w:color="auto"/>
                        <w:left w:val="none" w:sz="0" w:space="0" w:color="auto"/>
                        <w:bottom w:val="none" w:sz="0" w:space="0" w:color="auto"/>
                        <w:right w:val="none" w:sz="0" w:space="0" w:color="auto"/>
                      </w:divBdr>
                    </w:div>
                  </w:divsChild>
                </w:div>
                <w:div w:id="1894386056">
                  <w:marLeft w:val="0"/>
                  <w:marRight w:val="0"/>
                  <w:marTop w:val="0"/>
                  <w:marBottom w:val="0"/>
                  <w:divBdr>
                    <w:top w:val="none" w:sz="0" w:space="0" w:color="auto"/>
                    <w:left w:val="none" w:sz="0" w:space="0" w:color="auto"/>
                    <w:bottom w:val="none" w:sz="0" w:space="0" w:color="auto"/>
                    <w:right w:val="none" w:sz="0" w:space="0" w:color="auto"/>
                  </w:divBdr>
                  <w:divsChild>
                    <w:div w:id="9200645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93478386">
          <w:marLeft w:val="0"/>
          <w:marRight w:val="0"/>
          <w:marTop w:val="0"/>
          <w:marBottom w:val="0"/>
          <w:divBdr>
            <w:top w:val="none" w:sz="0" w:space="0" w:color="auto"/>
            <w:left w:val="none" w:sz="0" w:space="0" w:color="auto"/>
            <w:bottom w:val="none" w:sz="0" w:space="0" w:color="auto"/>
            <w:right w:val="none" w:sz="0" w:space="0" w:color="auto"/>
          </w:divBdr>
        </w:div>
        <w:div w:id="1103182146">
          <w:marLeft w:val="0"/>
          <w:marRight w:val="0"/>
          <w:marTop w:val="0"/>
          <w:marBottom w:val="0"/>
          <w:divBdr>
            <w:top w:val="none" w:sz="0" w:space="0" w:color="auto"/>
            <w:left w:val="none" w:sz="0" w:space="0" w:color="auto"/>
            <w:bottom w:val="none" w:sz="0" w:space="0" w:color="auto"/>
            <w:right w:val="none" w:sz="0" w:space="0" w:color="auto"/>
          </w:divBdr>
        </w:div>
        <w:div w:id="1118258134">
          <w:marLeft w:val="0"/>
          <w:marRight w:val="0"/>
          <w:marTop w:val="0"/>
          <w:marBottom w:val="0"/>
          <w:divBdr>
            <w:top w:val="none" w:sz="0" w:space="0" w:color="auto"/>
            <w:left w:val="none" w:sz="0" w:space="0" w:color="auto"/>
            <w:bottom w:val="none" w:sz="0" w:space="0" w:color="auto"/>
            <w:right w:val="none" w:sz="0" w:space="0" w:color="auto"/>
          </w:divBdr>
          <w:divsChild>
            <w:div w:id="1032027270">
              <w:marLeft w:val="0"/>
              <w:marRight w:val="0"/>
              <w:marTop w:val="0"/>
              <w:marBottom w:val="0"/>
              <w:divBdr>
                <w:top w:val="none" w:sz="0" w:space="0" w:color="auto"/>
                <w:left w:val="none" w:sz="0" w:space="0" w:color="auto"/>
                <w:bottom w:val="none" w:sz="0" w:space="0" w:color="auto"/>
                <w:right w:val="none" w:sz="0" w:space="0" w:color="auto"/>
              </w:divBdr>
            </w:div>
            <w:div w:id="1154905837">
              <w:marLeft w:val="0"/>
              <w:marRight w:val="0"/>
              <w:marTop w:val="0"/>
              <w:marBottom w:val="0"/>
              <w:divBdr>
                <w:top w:val="none" w:sz="0" w:space="0" w:color="auto"/>
                <w:left w:val="none" w:sz="0" w:space="0" w:color="auto"/>
                <w:bottom w:val="none" w:sz="0" w:space="0" w:color="auto"/>
                <w:right w:val="none" w:sz="0" w:space="0" w:color="auto"/>
              </w:divBdr>
            </w:div>
            <w:div w:id="1298759157">
              <w:marLeft w:val="0"/>
              <w:marRight w:val="0"/>
              <w:marTop w:val="0"/>
              <w:marBottom w:val="0"/>
              <w:divBdr>
                <w:top w:val="none" w:sz="0" w:space="0" w:color="auto"/>
                <w:left w:val="none" w:sz="0" w:space="0" w:color="auto"/>
                <w:bottom w:val="none" w:sz="0" w:space="0" w:color="auto"/>
                <w:right w:val="none" w:sz="0" w:space="0" w:color="auto"/>
              </w:divBdr>
            </w:div>
            <w:div w:id="1445736116">
              <w:marLeft w:val="0"/>
              <w:marRight w:val="0"/>
              <w:marTop w:val="0"/>
              <w:marBottom w:val="0"/>
              <w:divBdr>
                <w:top w:val="none" w:sz="0" w:space="0" w:color="auto"/>
                <w:left w:val="none" w:sz="0" w:space="0" w:color="auto"/>
                <w:bottom w:val="none" w:sz="0" w:space="0" w:color="auto"/>
                <w:right w:val="none" w:sz="0" w:space="0" w:color="auto"/>
              </w:divBdr>
            </w:div>
            <w:div w:id="2128741381">
              <w:marLeft w:val="0"/>
              <w:marRight w:val="0"/>
              <w:marTop w:val="0"/>
              <w:marBottom w:val="0"/>
              <w:divBdr>
                <w:top w:val="none" w:sz="0" w:space="0" w:color="auto"/>
                <w:left w:val="none" w:sz="0" w:space="0" w:color="auto"/>
                <w:bottom w:val="none" w:sz="0" w:space="0" w:color="auto"/>
                <w:right w:val="none" w:sz="0" w:space="0" w:color="auto"/>
              </w:divBdr>
            </w:div>
          </w:divsChild>
        </w:div>
        <w:div w:id="1176771881">
          <w:marLeft w:val="0"/>
          <w:marRight w:val="0"/>
          <w:marTop w:val="0"/>
          <w:marBottom w:val="0"/>
          <w:divBdr>
            <w:top w:val="none" w:sz="0" w:space="0" w:color="auto"/>
            <w:left w:val="none" w:sz="0" w:space="0" w:color="auto"/>
            <w:bottom w:val="none" w:sz="0" w:space="0" w:color="auto"/>
            <w:right w:val="none" w:sz="0" w:space="0" w:color="auto"/>
          </w:divBdr>
        </w:div>
        <w:div w:id="1200122179">
          <w:marLeft w:val="0"/>
          <w:marRight w:val="0"/>
          <w:marTop w:val="0"/>
          <w:marBottom w:val="0"/>
          <w:divBdr>
            <w:top w:val="none" w:sz="0" w:space="0" w:color="auto"/>
            <w:left w:val="none" w:sz="0" w:space="0" w:color="auto"/>
            <w:bottom w:val="none" w:sz="0" w:space="0" w:color="auto"/>
            <w:right w:val="none" w:sz="0" w:space="0" w:color="auto"/>
          </w:divBdr>
        </w:div>
        <w:div w:id="1203519137">
          <w:marLeft w:val="0"/>
          <w:marRight w:val="0"/>
          <w:marTop w:val="0"/>
          <w:marBottom w:val="0"/>
          <w:divBdr>
            <w:top w:val="none" w:sz="0" w:space="0" w:color="auto"/>
            <w:left w:val="none" w:sz="0" w:space="0" w:color="auto"/>
            <w:bottom w:val="none" w:sz="0" w:space="0" w:color="auto"/>
            <w:right w:val="none" w:sz="0" w:space="0" w:color="auto"/>
          </w:divBdr>
        </w:div>
        <w:div w:id="1208956687">
          <w:marLeft w:val="0"/>
          <w:marRight w:val="0"/>
          <w:marTop w:val="0"/>
          <w:marBottom w:val="0"/>
          <w:divBdr>
            <w:top w:val="none" w:sz="0" w:space="0" w:color="auto"/>
            <w:left w:val="none" w:sz="0" w:space="0" w:color="auto"/>
            <w:bottom w:val="none" w:sz="0" w:space="0" w:color="auto"/>
            <w:right w:val="none" w:sz="0" w:space="0" w:color="auto"/>
          </w:divBdr>
        </w:div>
        <w:div w:id="1221402972">
          <w:marLeft w:val="0"/>
          <w:marRight w:val="0"/>
          <w:marTop w:val="0"/>
          <w:marBottom w:val="0"/>
          <w:divBdr>
            <w:top w:val="none" w:sz="0" w:space="0" w:color="auto"/>
            <w:left w:val="none" w:sz="0" w:space="0" w:color="auto"/>
            <w:bottom w:val="none" w:sz="0" w:space="0" w:color="auto"/>
            <w:right w:val="none" w:sz="0" w:space="0" w:color="auto"/>
          </w:divBdr>
        </w:div>
        <w:div w:id="1240793105">
          <w:marLeft w:val="0"/>
          <w:marRight w:val="0"/>
          <w:marTop w:val="0"/>
          <w:marBottom w:val="0"/>
          <w:divBdr>
            <w:top w:val="none" w:sz="0" w:space="0" w:color="auto"/>
            <w:left w:val="none" w:sz="0" w:space="0" w:color="auto"/>
            <w:bottom w:val="none" w:sz="0" w:space="0" w:color="auto"/>
            <w:right w:val="none" w:sz="0" w:space="0" w:color="auto"/>
          </w:divBdr>
        </w:div>
        <w:div w:id="1317144196">
          <w:marLeft w:val="0"/>
          <w:marRight w:val="0"/>
          <w:marTop w:val="0"/>
          <w:marBottom w:val="0"/>
          <w:divBdr>
            <w:top w:val="none" w:sz="0" w:space="0" w:color="auto"/>
            <w:left w:val="none" w:sz="0" w:space="0" w:color="auto"/>
            <w:bottom w:val="none" w:sz="0" w:space="0" w:color="auto"/>
            <w:right w:val="none" w:sz="0" w:space="0" w:color="auto"/>
          </w:divBdr>
        </w:div>
        <w:div w:id="1357999571">
          <w:marLeft w:val="0"/>
          <w:marRight w:val="0"/>
          <w:marTop w:val="0"/>
          <w:marBottom w:val="0"/>
          <w:divBdr>
            <w:top w:val="none" w:sz="0" w:space="0" w:color="auto"/>
            <w:left w:val="none" w:sz="0" w:space="0" w:color="auto"/>
            <w:bottom w:val="none" w:sz="0" w:space="0" w:color="auto"/>
            <w:right w:val="none" w:sz="0" w:space="0" w:color="auto"/>
          </w:divBdr>
        </w:div>
        <w:div w:id="1363826707">
          <w:marLeft w:val="0"/>
          <w:marRight w:val="0"/>
          <w:marTop w:val="0"/>
          <w:marBottom w:val="0"/>
          <w:divBdr>
            <w:top w:val="none" w:sz="0" w:space="0" w:color="auto"/>
            <w:left w:val="none" w:sz="0" w:space="0" w:color="auto"/>
            <w:bottom w:val="none" w:sz="0" w:space="0" w:color="auto"/>
            <w:right w:val="none" w:sz="0" w:space="0" w:color="auto"/>
          </w:divBdr>
          <w:divsChild>
            <w:div w:id="470950342">
              <w:marLeft w:val="0"/>
              <w:marRight w:val="0"/>
              <w:marTop w:val="0"/>
              <w:marBottom w:val="0"/>
              <w:divBdr>
                <w:top w:val="none" w:sz="0" w:space="0" w:color="auto"/>
                <w:left w:val="none" w:sz="0" w:space="0" w:color="auto"/>
                <w:bottom w:val="none" w:sz="0" w:space="0" w:color="auto"/>
                <w:right w:val="none" w:sz="0" w:space="0" w:color="auto"/>
              </w:divBdr>
            </w:div>
            <w:div w:id="1055160234">
              <w:marLeft w:val="0"/>
              <w:marRight w:val="0"/>
              <w:marTop w:val="0"/>
              <w:marBottom w:val="0"/>
              <w:divBdr>
                <w:top w:val="none" w:sz="0" w:space="0" w:color="auto"/>
                <w:left w:val="none" w:sz="0" w:space="0" w:color="auto"/>
                <w:bottom w:val="none" w:sz="0" w:space="0" w:color="auto"/>
                <w:right w:val="none" w:sz="0" w:space="0" w:color="auto"/>
              </w:divBdr>
            </w:div>
            <w:div w:id="1251692496">
              <w:marLeft w:val="0"/>
              <w:marRight w:val="0"/>
              <w:marTop w:val="0"/>
              <w:marBottom w:val="0"/>
              <w:divBdr>
                <w:top w:val="none" w:sz="0" w:space="0" w:color="auto"/>
                <w:left w:val="none" w:sz="0" w:space="0" w:color="auto"/>
                <w:bottom w:val="none" w:sz="0" w:space="0" w:color="auto"/>
                <w:right w:val="none" w:sz="0" w:space="0" w:color="auto"/>
              </w:divBdr>
            </w:div>
            <w:div w:id="1763528598">
              <w:marLeft w:val="0"/>
              <w:marRight w:val="0"/>
              <w:marTop w:val="0"/>
              <w:marBottom w:val="0"/>
              <w:divBdr>
                <w:top w:val="none" w:sz="0" w:space="0" w:color="auto"/>
                <w:left w:val="none" w:sz="0" w:space="0" w:color="auto"/>
                <w:bottom w:val="none" w:sz="0" w:space="0" w:color="auto"/>
                <w:right w:val="none" w:sz="0" w:space="0" w:color="auto"/>
              </w:divBdr>
            </w:div>
            <w:div w:id="2092698770">
              <w:marLeft w:val="0"/>
              <w:marRight w:val="0"/>
              <w:marTop w:val="0"/>
              <w:marBottom w:val="0"/>
              <w:divBdr>
                <w:top w:val="none" w:sz="0" w:space="0" w:color="auto"/>
                <w:left w:val="none" w:sz="0" w:space="0" w:color="auto"/>
                <w:bottom w:val="none" w:sz="0" w:space="0" w:color="auto"/>
                <w:right w:val="none" w:sz="0" w:space="0" w:color="auto"/>
              </w:divBdr>
            </w:div>
          </w:divsChild>
        </w:div>
        <w:div w:id="1384409403">
          <w:marLeft w:val="0"/>
          <w:marRight w:val="0"/>
          <w:marTop w:val="0"/>
          <w:marBottom w:val="0"/>
          <w:divBdr>
            <w:top w:val="none" w:sz="0" w:space="0" w:color="auto"/>
            <w:left w:val="none" w:sz="0" w:space="0" w:color="auto"/>
            <w:bottom w:val="none" w:sz="0" w:space="0" w:color="auto"/>
            <w:right w:val="none" w:sz="0" w:space="0" w:color="auto"/>
          </w:divBdr>
        </w:div>
        <w:div w:id="1459034808">
          <w:marLeft w:val="0"/>
          <w:marRight w:val="0"/>
          <w:marTop w:val="0"/>
          <w:marBottom w:val="0"/>
          <w:divBdr>
            <w:top w:val="none" w:sz="0" w:space="0" w:color="auto"/>
            <w:left w:val="none" w:sz="0" w:space="0" w:color="auto"/>
            <w:bottom w:val="none" w:sz="0" w:space="0" w:color="auto"/>
            <w:right w:val="none" w:sz="0" w:space="0" w:color="auto"/>
          </w:divBdr>
        </w:div>
        <w:div w:id="1460109278">
          <w:marLeft w:val="0"/>
          <w:marRight w:val="0"/>
          <w:marTop w:val="0"/>
          <w:marBottom w:val="0"/>
          <w:divBdr>
            <w:top w:val="none" w:sz="0" w:space="0" w:color="auto"/>
            <w:left w:val="none" w:sz="0" w:space="0" w:color="auto"/>
            <w:bottom w:val="none" w:sz="0" w:space="0" w:color="auto"/>
            <w:right w:val="none" w:sz="0" w:space="0" w:color="auto"/>
          </w:divBdr>
        </w:div>
        <w:div w:id="1462960445">
          <w:marLeft w:val="0"/>
          <w:marRight w:val="0"/>
          <w:marTop w:val="0"/>
          <w:marBottom w:val="0"/>
          <w:divBdr>
            <w:top w:val="none" w:sz="0" w:space="0" w:color="auto"/>
            <w:left w:val="none" w:sz="0" w:space="0" w:color="auto"/>
            <w:bottom w:val="none" w:sz="0" w:space="0" w:color="auto"/>
            <w:right w:val="none" w:sz="0" w:space="0" w:color="auto"/>
          </w:divBdr>
        </w:div>
        <w:div w:id="1551569969">
          <w:marLeft w:val="0"/>
          <w:marRight w:val="0"/>
          <w:marTop w:val="0"/>
          <w:marBottom w:val="0"/>
          <w:divBdr>
            <w:top w:val="none" w:sz="0" w:space="0" w:color="auto"/>
            <w:left w:val="none" w:sz="0" w:space="0" w:color="auto"/>
            <w:bottom w:val="none" w:sz="0" w:space="0" w:color="auto"/>
            <w:right w:val="none" w:sz="0" w:space="0" w:color="auto"/>
          </w:divBdr>
        </w:div>
        <w:div w:id="1595938456">
          <w:marLeft w:val="0"/>
          <w:marRight w:val="0"/>
          <w:marTop w:val="0"/>
          <w:marBottom w:val="0"/>
          <w:divBdr>
            <w:top w:val="none" w:sz="0" w:space="0" w:color="auto"/>
            <w:left w:val="none" w:sz="0" w:space="0" w:color="auto"/>
            <w:bottom w:val="none" w:sz="0" w:space="0" w:color="auto"/>
            <w:right w:val="none" w:sz="0" w:space="0" w:color="auto"/>
          </w:divBdr>
        </w:div>
        <w:div w:id="1607805842">
          <w:marLeft w:val="0"/>
          <w:marRight w:val="0"/>
          <w:marTop w:val="0"/>
          <w:marBottom w:val="0"/>
          <w:divBdr>
            <w:top w:val="none" w:sz="0" w:space="0" w:color="auto"/>
            <w:left w:val="none" w:sz="0" w:space="0" w:color="auto"/>
            <w:bottom w:val="none" w:sz="0" w:space="0" w:color="auto"/>
            <w:right w:val="none" w:sz="0" w:space="0" w:color="auto"/>
          </w:divBdr>
        </w:div>
        <w:div w:id="1615558211">
          <w:marLeft w:val="0"/>
          <w:marRight w:val="0"/>
          <w:marTop w:val="0"/>
          <w:marBottom w:val="0"/>
          <w:divBdr>
            <w:top w:val="none" w:sz="0" w:space="0" w:color="auto"/>
            <w:left w:val="none" w:sz="0" w:space="0" w:color="auto"/>
            <w:bottom w:val="none" w:sz="0" w:space="0" w:color="auto"/>
            <w:right w:val="none" w:sz="0" w:space="0" w:color="auto"/>
          </w:divBdr>
          <w:divsChild>
            <w:div w:id="147865043">
              <w:marLeft w:val="0"/>
              <w:marRight w:val="0"/>
              <w:marTop w:val="0"/>
              <w:marBottom w:val="0"/>
              <w:divBdr>
                <w:top w:val="none" w:sz="0" w:space="0" w:color="auto"/>
                <w:left w:val="none" w:sz="0" w:space="0" w:color="auto"/>
                <w:bottom w:val="none" w:sz="0" w:space="0" w:color="auto"/>
                <w:right w:val="none" w:sz="0" w:space="0" w:color="auto"/>
              </w:divBdr>
            </w:div>
            <w:div w:id="347829773">
              <w:marLeft w:val="0"/>
              <w:marRight w:val="0"/>
              <w:marTop w:val="0"/>
              <w:marBottom w:val="0"/>
              <w:divBdr>
                <w:top w:val="none" w:sz="0" w:space="0" w:color="auto"/>
                <w:left w:val="none" w:sz="0" w:space="0" w:color="auto"/>
                <w:bottom w:val="none" w:sz="0" w:space="0" w:color="auto"/>
                <w:right w:val="none" w:sz="0" w:space="0" w:color="auto"/>
              </w:divBdr>
            </w:div>
            <w:div w:id="1556087178">
              <w:marLeft w:val="0"/>
              <w:marRight w:val="0"/>
              <w:marTop w:val="0"/>
              <w:marBottom w:val="0"/>
              <w:divBdr>
                <w:top w:val="none" w:sz="0" w:space="0" w:color="auto"/>
                <w:left w:val="none" w:sz="0" w:space="0" w:color="auto"/>
                <w:bottom w:val="none" w:sz="0" w:space="0" w:color="auto"/>
                <w:right w:val="none" w:sz="0" w:space="0" w:color="auto"/>
              </w:divBdr>
            </w:div>
            <w:div w:id="1845318468">
              <w:marLeft w:val="0"/>
              <w:marRight w:val="0"/>
              <w:marTop w:val="0"/>
              <w:marBottom w:val="0"/>
              <w:divBdr>
                <w:top w:val="none" w:sz="0" w:space="0" w:color="auto"/>
                <w:left w:val="none" w:sz="0" w:space="0" w:color="auto"/>
                <w:bottom w:val="none" w:sz="0" w:space="0" w:color="auto"/>
                <w:right w:val="none" w:sz="0" w:space="0" w:color="auto"/>
              </w:divBdr>
            </w:div>
            <w:div w:id="1893227038">
              <w:marLeft w:val="0"/>
              <w:marRight w:val="0"/>
              <w:marTop w:val="0"/>
              <w:marBottom w:val="0"/>
              <w:divBdr>
                <w:top w:val="none" w:sz="0" w:space="0" w:color="auto"/>
                <w:left w:val="none" w:sz="0" w:space="0" w:color="auto"/>
                <w:bottom w:val="none" w:sz="0" w:space="0" w:color="auto"/>
                <w:right w:val="none" w:sz="0" w:space="0" w:color="auto"/>
              </w:divBdr>
            </w:div>
          </w:divsChild>
        </w:div>
        <w:div w:id="1616139201">
          <w:marLeft w:val="0"/>
          <w:marRight w:val="0"/>
          <w:marTop w:val="0"/>
          <w:marBottom w:val="0"/>
          <w:divBdr>
            <w:top w:val="none" w:sz="0" w:space="0" w:color="auto"/>
            <w:left w:val="none" w:sz="0" w:space="0" w:color="auto"/>
            <w:bottom w:val="none" w:sz="0" w:space="0" w:color="auto"/>
            <w:right w:val="none" w:sz="0" w:space="0" w:color="auto"/>
          </w:divBdr>
        </w:div>
        <w:div w:id="1625696844">
          <w:marLeft w:val="0"/>
          <w:marRight w:val="0"/>
          <w:marTop w:val="0"/>
          <w:marBottom w:val="0"/>
          <w:divBdr>
            <w:top w:val="none" w:sz="0" w:space="0" w:color="auto"/>
            <w:left w:val="none" w:sz="0" w:space="0" w:color="auto"/>
            <w:bottom w:val="none" w:sz="0" w:space="0" w:color="auto"/>
            <w:right w:val="none" w:sz="0" w:space="0" w:color="auto"/>
          </w:divBdr>
        </w:div>
        <w:div w:id="1635914686">
          <w:marLeft w:val="0"/>
          <w:marRight w:val="0"/>
          <w:marTop w:val="0"/>
          <w:marBottom w:val="0"/>
          <w:divBdr>
            <w:top w:val="none" w:sz="0" w:space="0" w:color="auto"/>
            <w:left w:val="none" w:sz="0" w:space="0" w:color="auto"/>
            <w:bottom w:val="none" w:sz="0" w:space="0" w:color="auto"/>
            <w:right w:val="none" w:sz="0" w:space="0" w:color="auto"/>
          </w:divBdr>
        </w:div>
        <w:div w:id="1651908645">
          <w:marLeft w:val="0"/>
          <w:marRight w:val="0"/>
          <w:marTop w:val="0"/>
          <w:marBottom w:val="0"/>
          <w:divBdr>
            <w:top w:val="none" w:sz="0" w:space="0" w:color="auto"/>
            <w:left w:val="none" w:sz="0" w:space="0" w:color="auto"/>
            <w:bottom w:val="none" w:sz="0" w:space="0" w:color="auto"/>
            <w:right w:val="none" w:sz="0" w:space="0" w:color="auto"/>
          </w:divBdr>
          <w:divsChild>
            <w:div w:id="1505780649">
              <w:marLeft w:val="0"/>
              <w:marRight w:val="0"/>
              <w:marTop w:val="0"/>
              <w:marBottom w:val="0"/>
              <w:divBdr>
                <w:top w:val="none" w:sz="0" w:space="0" w:color="auto"/>
                <w:left w:val="none" w:sz="0" w:space="0" w:color="auto"/>
                <w:bottom w:val="none" w:sz="0" w:space="0" w:color="auto"/>
                <w:right w:val="none" w:sz="0" w:space="0" w:color="auto"/>
              </w:divBdr>
            </w:div>
            <w:div w:id="1553924469">
              <w:marLeft w:val="0"/>
              <w:marRight w:val="0"/>
              <w:marTop w:val="0"/>
              <w:marBottom w:val="0"/>
              <w:divBdr>
                <w:top w:val="none" w:sz="0" w:space="0" w:color="auto"/>
                <w:left w:val="none" w:sz="0" w:space="0" w:color="auto"/>
                <w:bottom w:val="none" w:sz="0" w:space="0" w:color="auto"/>
                <w:right w:val="none" w:sz="0" w:space="0" w:color="auto"/>
              </w:divBdr>
            </w:div>
            <w:div w:id="1889998118">
              <w:marLeft w:val="0"/>
              <w:marRight w:val="0"/>
              <w:marTop w:val="0"/>
              <w:marBottom w:val="0"/>
              <w:divBdr>
                <w:top w:val="none" w:sz="0" w:space="0" w:color="auto"/>
                <w:left w:val="none" w:sz="0" w:space="0" w:color="auto"/>
                <w:bottom w:val="none" w:sz="0" w:space="0" w:color="auto"/>
                <w:right w:val="none" w:sz="0" w:space="0" w:color="auto"/>
              </w:divBdr>
            </w:div>
            <w:div w:id="2012416600">
              <w:marLeft w:val="0"/>
              <w:marRight w:val="0"/>
              <w:marTop w:val="0"/>
              <w:marBottom w:val="0"/>
              <w:divBdr>
                <w:top w:val="none" w:sz="0" w:space="0" w:color="auto"/>
                <w:left w:val="none" w:sz="0" w:space="0" w:color="auto"/>
                <w:bottom w:val="none" w:sz="0" w:space="0" w:color="auto"/>
                <w:right w:val="none" w:sz="0" w:space="0" w:color="auto"/>
              </w:divBdr>
            </w:div>
          </w:divsChild>
        </w:div>
        <w:div w:id="1688557424">
          <w:marLeft w:val="0"/>
          <w:marRight w:val="0"/>
          <w:marTop w:val="0"/>
          <w:marBottom w:val="0"/>
          <w:divBdr>
            <w:top w:val="none" w:sz="0" w:space="0" w:color="auto"/>
            <w:left w:val="none" w:sz="0" w:space="0" w:color="auto"/>
            <w:bottom w:val="none" w:sz="0" w:space="0" w:color="auto"/>
            <w:right w:val="none" w:sz="0" w:space="0" w:color="auto"/>
          </w:divBdr>
        </w:div>
        <w:div w:id="1694305989">
          <w:marLeft w:val="0"/>
          <w:marRight w:val="0"/>
          <w:marTop w:val="0"/>
          <w:marBottom w:val="0"/>
          <w:divBdr>
            <w:top w:val="none" w:sz="0" w:space="0" w:color="auto"/>
            <w:left w:val="none" w:sz="0" w:space="0" w:color="auto"/>
            <w:bottom w:val="none" w:sz="0" w:space="0" w:color="auto"/>
            <w:right w:val="none" w:sz="0" w:space="0" w:color="auto"/>
          </w:divBdr>
        </w:div>
        <w:div w:id="1706980438">
          <w:marLeft w:val="0"/>
          <w:marRight w:val="0"/>
          <w:marTop w:val="0"/>
          <w:marBottom w:val="0"/>
          <w:divBdr>
            <w:top w:val="none" w:sz="0" w:space="0" w:color="auto"/>
            <w:left w:val="none" w:sz="0" w:space="0" w:color="auto"/>
            <w:bottom w:val="none" w:sz="0" w:space="0" w:color="auto"/>
            <w:right w:val="none" w:sz="0" w:space="0" w:color="auto"/>
          </w:divBdr>
        </w:div>
        <w:div w:id="1780635868">
          <w:marLeft w:val="0"/>
          <w:marRight w:val="0"/>
          <w:marTop w:val="0"/>
          <w:marBottom w:val="0"/>
          <w:divBdr>
            <w:top w:val="none" w:sz="0" w:space="0" w:color="auto"/>
            <w:left w:val="none" w:sz="0" w:space="0" w:color="auto"/>
            <w:bottom w:val="none" w:sz="0" w:space="0" w:color="auto"/>
            <w:right w:val="none" w:sz="0" w:space="0" w:color="auto"/>
          </w:divBdr>
        </w:div>
        <w:div w:id="1783185399">
          <w:marLeft w:val="0"/>
          <w:marRight w:val="0"/>
          <w:marTop w:val="0"/>
          <w:marBottom w:val="0"/>
          <w:divBdr>
            <w:top w:val="none" w:sz="0" w:space="0" w:color="auto"/>
            <w:left w:val="none" w:sz="0" w:space="0" w:color="auto"/>
            <w:bottom w:val="none" w:sz="0" w:space="0" w:color="auto"/>
            <w:right w:val="none" w:sz="0" w:space="0" w:color="auto"/>
          </w:divBdr>
        </w:div>
        <w:div w:id="1813785960">
          <w:marLeft w:val="0"/>
          <w:marRight w:val="0"/>
          <w:marTop w:val="0"/>
          <w:marBottom w:val="0"/>
          <w:divBdr>
            <w:top w:val="none" w:sz="0" w:space="0" w:color="auto"/>
            <w:left w:val="none" w:sz="0" w:space="0" w:color="auto"/>
            <w:bottom w:val="none" w:sz="0" w:space="0" w:color="auto"/>
            <w:right w:val="none" w:sz="0" w:space="0" w:color="auto"/>
          </w:divBdr>
        </w:div>
        <w:div w:id="1815950598">
          <w:marLeft w:val="0"/>
          <w:marRight w:val="0"/>
          <w:marTop w:val="0"/>
          <w:marBottom w:val="0"/>
          <w:divBdr>
            <w:top w:val="none" w:sz="0" w:space="0" w:color="auto"/>
            <w:left w:val="none" w:sz="0" w:space="0" w:color="auto"/>
            <w:bottom w:val="none" w:sz="0" w:space="0" w:color="auto"/>
            <w:right w:val="none" w:sz="0" w:space="0" w:color="auto"/>
          </w:divBdr>
        </w:div>
        <w:div w:id="1882934177">
          <w:marLeft w:val="0"/>
          <w:marRight w:val="0"/>
          <w:marTop w:val="0"/>
          <w:marBottom w:val="0"/>
          <w:divBdr>
            <w:top w:val="none" w:sz="0" w:space="0" w:color="auto"/>
            <w:left w:val="none" w:sz="0" w:space="0" w:color="auto"/>
            <w:bottom w:val="none" w:sz="0" w:space="0" w:color="auto"/>
            <w:right w:val="none" w:sz="0" w:space="0" w:color="auto"/>
          </w:divBdr>
        </w:div>
        <w:div w:id="1897005139">
          <w:marLeft w:val="0"/>
          <w:marRight w:val="0"/>
          <w:marTop w:val="0"/>
          <w:marBottom w:val="0"/>
          <w:divBdr>
            <w:top w:val="none" w:sz="0" w:space="0" w:color="auto"/>
            <w:left w:val="none" w:sz="0" w:space="0" w:color="auto"/>
            <w:bottom w:val="none" w:sz="0" w:space="0" w:color="auto"/>
            <w:right w:val="none" w:sz="0" w:space="0" w:color="auto"/>
          </w:divBdr>
          <w:divsChild>
            <w:div w:id="693074457">
              <w:marLeft w:val="0"/>
              <w:marRight w:val="0"/>
              <w:marTop w:val="0"/>
              <w:marBottom w:val="0"/>
              <w:divBdr>
                <w:top w:val="none" w:sz="0" w:space="0" w:color="auto"/>
                <w:left w:val="none" w:sz="0" w:space="0" w:color="auto"/>
                <w:bottom w:val="none" w:sz="0" w:space="0" w:color="auto"/>
                <w:right w:val="none" w:sz="0" w:space="0" w:color="auto"/>
              </w:divBdr>
            </w:div>
            <w:div w:id="753165273">
              <w:marLeft w:val="0"/>
              <w:marRight w:val="0"/>
              <w:marTop w:val="0"/>
              <w:marBottom w:val="0"/>
              <w:divBdr>
                <w:top w:val="none" w:sz="0" w:space="0" w:color="auto"/>
                <w:left w:val="none" w:sz="0" w:space="0" w:color="auto"/>
                <w:bottom w:val="none" w:sz="0" w:space="0" w:color="auto"/>
                <w:right w:val="none" w:sz="0" w:space="0" w:color="auto"/>
              </w:divBdr>
            </w:div>
            <w:div w:id="894896084">
              <w:marLeft w:val="0"/>
              <w:marRight w:val="0"/>
              <w:marTop w:val="0"/>
              <w:marBottom w:val="0"/>
              <w:divBdr>
                <w:top w:val="none" w:sz="0" w:space="0" w:color="auto"/>
                <w:left w:val="none" w:sz="0" w:space="0" w:color="auto"/>
                <w:bottom w:val="none" w:sz="0" w:space="0" w:color="auto"/>
                <w:right w:val="none" w:sz="0" w:space="0" w:color="auto"/>
              </w:divBdr>
            </w:div>
            <w:div w:id="1308584363">
              <w:marLeft w:val="0"/>
              <w:marRight w:val="0"/>
              <w:marTop w:val="0"/>
              <w:marBottom w:val="0"/>
              <w:divBdr>
                <w:top w:val="none" w:sz="0" w:space="0" w:color="auto"/>
                <w:left w:val="none" w:sz="0" w:space="0" w:color="auto"/>
                <w:bottom w:val="none" w:sz="0" w:space="0" w:color="auto"/>
                <w:right w:val="none" w:sz="0" w:space="0" w:color="auto"/>
              </w:divBdr>
            </w:div>
            <w:div w:id="2135949937">
              <w:marLeft w:val="0"/>
              <w:marRight w:val="0"/>
              <w:marTop w:val="0"/>
              <w:marBottom w:val="0"/>
              <w:divBdr>
                <w:top w:val="none" w:sz="0" w:space="0" w:color="auto"/>
                <w:left w:val="none" w:sz="0" w:space="0" w:color="auto"/>
                <w:bottom w:val="none" w:sz="0" w:space="0" w:color="auto"/>
                <w:right w:val="none" w:sz="0" w:space="0" w:color="auto"/>
              </w:divBdr>
            </w:div>
          </w:divsChild>
        </w:div>
        <w:div w:id="1927572054">
          <w:marLeft w:val="0"/>
          <w:marRight w:val="0"/>
          <w:marTop w:val="0"/>
          <w:marBottom w:val="0"/>
          <w:divBdr>
            <w:top w:val="none" w:sz="0" w:space="0" w:color="auto"/>
            <w:left w:val="none" w:sz="0" w:space="0" w:color="auto"/>
            <w:bottom w:val="none" w:sz="0" w:space="0" w:color="auto"/>
            <w:right w:val="none" w:sz="0" w:space="0" w:color="auto"/>
          </w:divBdr>
          <w:divsChild>
            <w:div w:id="124472023">
              <w:marLeft w:val="0"/>
              <w:marRight w:val="0"/>
              <w:marTop w:val="0"/>
              <w:marBottom w:val="0"/>
              <w:divBdr>
                <w:top w:val="none" w:sz="0" w:space="0" w:color="auto"/>
                <w:left w:val="none" w:sz="0" w:space="0" w:color="auto"/>
                <w:bottom w:val="none" w:sz="0" w:space="0" w:color="auto"/>
                <w:right w:val="none" w:sz="0" w:space="0" w:color="auto"/>
              </w:divBdr>
            </w:div>
            <w:div w:id="579486537">
              <w:marLeft w:val="0"/>
              <w:marRight w:val="0"/>
              <w:marTop w:val="0"/>
              <w:marBottom w:val="0"/>
              <w:divBdr>
                <w:top w:val="none" w:sz="0" w:space="0" w:color="auto"/>
                <w:left w:val="none" w:sz="0" w:space="0" w:color="auto"/>
                <w:bottom w:val="none" w:sz="0" w:space="0" w:color="auto"/>
                <w:right w:val="none" w:sz="0" w:space="0" w:color="auto"/>
              </w:divBdr>
            </w:div>
            <w:div w:id="887378144">
              <w:marLeft w:val="0"/>
              <w:marRight w:val="0"/>
              <w:marTop w:val="0"/>
              <w:marBottom w:val="0"/>
              <w:divBdr>
                <w:top w:val="none" w:sz="0" w:space="0" w:color="auto"/>
                <w:left w:val="none" w:sz="0" w:space="0" w:color="auto"/>
                <w:bottom w:val="none" w:sz="0" w:space="0" w:color="auto"/>
                <w:right w:val="none" w:sz="0" w:space="0" w:color="auto"/>
              </w:divBdr>
            </w:div>
            <w:div w:id="1218782509">
              <w:marLeft w:val="0"/>
              <w:marRight w:val="0"/>
              <w:marTop w:val="0"/>
              <w:marBottom w:val="0"/>
              <w:divBdr>
                <w:top w:val="none" w:sz="0" w:space="0" w:color="auto"/>
                <w:left w:val="none" w:sz="0" w:space="0" w:color="auto"/>
                <w:bottom w:val="none" w:sz="0" w:space="0" w:color="auto"/>
                <w:right w:val="none" w:sz="0" w:space="0" w:color="auto"/>
              </w:divBdr>
            </w:div>
            <w:div w:id="1312711968">
              <w:marLeft w:val="0"/>
              <w:marRight w:val="0"/>
              <w:marTop w:val="0"/>
              <w:marBottom w:val="0"/>
              <w:divBdr>
                <w:top w:val="none" w:sz="0" w:space="0" w:color="auto"/>
                <w:left w:val="none" w:sz="0" w:space="0" w:color="auto"/>
                <w:bottom w:val="none" w:sz="0" w:space="0" w:color="auto"/>
                <w:right w:val="none" w:sz="0" w:space="0" w:color="auto"/>
              </w:divBdr>
            </w:div>
          </w:divsChild>
        </w:div>
        <w:div w:id="1948731862">
          <w:marLeft w:val="0"/>
          <w:marRight w:val="0"/>
          <w:marTop w:val="0"/>
          <w:marBottom w:val="0"/>
          <w:divBdr>
            <w:top w:val="none" w:sz="0" w:space="0" w:color="auto"/>
            <w:left w:val="none" w:sz="0" w:space="0" w:color="auto"/>
            <w:bottom w:val="none" w:sz="0" w:space="0" w:color="auto"/>
            <w:right w:val="none" w:sz="0" w:space="0" w:color="auto"/>
          </w:divBdr>
        </w:div>
        <w:div w:id="2030258714">
          <w:marLeft w:val="0"/>
          <w:marRight w:val="0"/>
          <w:marTop w:val="0"/>
          <w:marBottom w:val="0"/>
          <w:divBdr>
            <w:top w:val="none" w:sz="0" w:space="0" w:color="auto"/>
            <w:left w:val="none" w:sz="0" w:space="0" w:color="auto"/>
            <w:bottom w:val="none" w:sz="0" w:space="0" w:color="auto"/>
            <w:right w:val="none" w:sz="0" w:space="0" w:color="auto"/>
          </w:divBdr>
        </w:div>
        <w:div w:id="2035687215">
          <w:marLeft w:val="0"/>
          <w:marRight w:val="0"/>
          <w:marTop w:val="0"/>
          <w:marBottom w:val="0"/>
          <w:divBdr>
            <w:top w:val="none" w:sz="0" w:space="0" w:color="auto"/>
            <w:left w:val="none" w:sz="0" w:space="0" w:color="auto"/>
            <w:bottom w:val="none" w:sz="0" w:space="0" w:color="auto"/>
            <w:right w:val="none" w:sz="0" w:space="0" w:color="auto"/>
          </w:divBdr>
        </w:div>
        <w:div w:id="2066677903">
          <w:marLeft w:val="0"/>
          <w:marRight w:val="0"/>
          <w:marTop w:val="0"/>
          <w:marBottom w:val="0"/>
          <w:divBdr>
            <w:top w:val="none" w:sz="0" w:space="0" w:color="auto"/>
            <w:left w:val="none" w:sz="0" w:space="0" w:color="auto"/>
            <w:bottom w:val="none" w:sz="0" w:space="0" w:color="auto"/>
            <w:right w:val="none" w:sz="0" w:space="0" w:color="auto"/>
          </w:divBdr>
        </w:div>
        <w:div w:id="2095659002">
          <w:marLeft w:val="0"/>
          <w:marRight w:val="0"/>
          <w:marTop w:val="0"/>
          <w:marBottom w:val="0"/>
          <w:divBdr>
            <w:top w:val="none" w:sz="0" w:space="0" w:color="auto"/>
            <w:left w:val="none" w:sz="0" w:space="0" w:color="auto"/>
            <w:bottom w:val="none" w:sz="0" w:space="0" w:color="auto"/>
            <w:right w:val="none" w:sz="0" w:space="0" w:color="auto"/>
          </w:divBdr>
        </w:div>
        <w:div w:id="2135632940">
          <w:marLeft w:val="0"/>
          <w:marRight w:val="0"/>
          <w:marTop w:val="0"/>
          <w:marBottom w:val="0"/>
          <w:divBdr>
            <w:top w:val="none" w:sz="0" w:space="0" w:color="auto"/>
            <w:left w:val="none" w:sz="0" w:space="0" w:color="auto"/>
            <w:bottom w:val="none" w:sz="0" w:space="0" w:color="auto"/>
            <w:right w:val="none" w:sz="0" w:space="0" w:color="auto"/>
          </w:divBdr>
        </w:div>
      </w:divsChild>
    </w:div>
    <w:div w:id="1171873375">
      <w:bodyDiv w:val="1"/>
      <w:marLeft w:val="0"/>
      <w:marRight w:val="0"/>
      <w:marTop w:val="0"/>
      <w:marBottom w:val="0"/>
      <w:divBdr>
        <w:top w:val="none" w:sz="0" w:space="0" w:color="auto"/>
        <w:left w:val="none" w:sz="0" w:space="0" w:color="auto"/>
        <w:bottom w:val="none" w:sz="0" w:space="0" w:color="auto"/>
        <w:right w:val="none" w:sz="0" w:space="0" w:color="auto"/>
      </w:divBdr>
      <w:divsChild>
        <w:div w:id="347681945">
          <w:marLeft w:val="0"/>
          <w:marRight w:val="0"/>
          <w:marTop w:val="0"/>
          <w:marBottom w:val="0"/>
          <w:divBdr>
            <w:top w:val="none" w:sz="0" w:space="0" w:color="auto"/>
            <w:left w:val="none" w:sz="0" w:space="0" w:color="auto"/>
            <w:bottom w:val="none" w:sz="0" w:space="0" w:color="auto"/>
            <w:right w:val="none" w:sz="0" w:space="0" w:color="auto"/>
          </w:divBdr>
        </w:div>
        <w:div w:id="377557925">
          <w:marLeft w:val="0"/>
          <w:marRight w:val="0"/>
          <w:marTop w:val="0"/>
          <w:marBottom w:val="0"/>
          <w:divBdr>
            <w:top w:val="none" w:sz="0" w:space="0" w:color="auto"/>
            <w:left w:val="none" w:sz="0" w:space="0" w:color="auto"/>
            <w:bottom w:val="none" w:sz="0" w:space="0" w:color="auto"/>
            <w:right w:val="none" w:sz="0" w:space="0" w:color="auto"/>
          </w:divBdr>
        </w:div>
        <w:div w:id="685059713">
          <w:marLeft w:val="0"/>
          <w:marRight w:val="0"/>
          <w:marTop w:val="0"/>
          <w:marBottom w:val="0"/>
          <w:divBdr>
            <w:top w:val="none" w:sz="0" w:space="0" w:color="auto"/>
            <w:left w:val="none" w:sz="0" w:space="0" w:color="auto"/>
            <w:bottom w:val="none" w:sz="0" w:space="0" w:color="auto"/>
            <w:right w:val="none" w:sz="0" w:space="0" w:color="auto"/>
          </w:divBdr>
        </w:div>
        <w:div w:id="1271663068">
          <w:marLeft w:val="0"/>
          <w:marRight w:val="0"/>
          <w:marTop w:val="0"/>
          <w:marBottom w:val="0"/>
          <w:divBdr>
            <w:top w:val="none" w:sz="0" w:space="0" w:color="auto"/>
            <w:left w:val="none" w:sz="0" w:space="0" w:color="auto"/>
            <w:bottom w:val="none" w:sz="0" w:space="0" w:color="auto"/>
            <w:right w:val="none" w:sz="0" w:space="0" w:color="auto"/>
          </w:divBdr>
        </w:div>
        <w:div w:id="1544637755">
          <w:marLeft w:val="0"/>
          <w:marRight w:val="0"/>
          <w:marTop w:val="0"/>
          <w:marBottom w:val="0"/>
          <w:divBdr>
            <w:top w:val="none" w:sz="0" w:space="0" w:color="auto"/>
            <w:left w:val="none" w:sz="0" w:space="0" w:color="auto"/>
            <w:bottom w:val="none" w:sz="0" w:space="0" w:color="auto"/>
            <w:right w:val="none" w:sz="0" w:space="0" w:color="auto"/>
          </w:divBdr>
        </w:div>
        <w:div w:id="1690183142">
          <w:marLeft w:val="0"/>
          <w:marRight w:val="0"/>
          <w:marTop w:val="0"/>
          <w:marBottom w:val="0"/>
          <w:divBdr>
            <w:top w:val="none" w:sz="0" w:space="0" w:color="auto"/>
            <w:left w:val="none" w:sz="0" w:space="0" w:color="auto"/>
            <w:bottom w:val="none" w:sz="0" w:space="0" w:color="auto"/>
            <w:right w:val="none" w:sz="0" w:space="0" w:color="auto"/>
          </w:divBdr>
        </w:div>
        <w:div w:id="1901751282">
          <w:marLeft w:val="0"/>
          <w:marRight w:val="0"/>
          <w:marTop w:val="0"/>
          <w:marBottom w:val="0"/>
          <w:divBdr>
            <w:top w:val="none" w:sz="0" w:space="0" w:color="auto"/>
            <w:left w:val="none" w:sz="0" w:space="0" w:color="auto"/>
            <w:bottom w:val="none" w:sz="0" w:space="0" w:color="auto"/>
            <w:right w:val="none" w:sz="0" w:space="0" w:color="auto"/>
          </w:divBdr>
        </w:div>
      </w:divsChild>
    </w:div>
    <w:div w:id="1176069132">
      <w:bodyDiv w:val="1"/>
      <w:marLeft w:val="0"/>
      <w:marRight w:val="0"/>
      <w:marTop w:val="0"/>
      <w:marBottom w:val="0"/>
      <w:divBdr>
        <w:top w:val="none" w:sz="0" w:space="0" w:color="auto"/>
        <w:left w:val="none" w:sz="0" w:space="0" w:color="auto"/>
        <w:bottom w:val="none" w:sz="0" w:space="0" w:color="auto"/>
        <w:right w:val="none" w:sz="0" w:space="0" w:color="auto"/>
      </w:divBdr>
    </w:div>
    <w:div w:id="1176654847">
      <w:bodyDiv w:val="1"/>
      <w:marLeft w:val="0"/>
      <w:marRight w:val="0"/>
      <w:marTop w:val="0"/>
      <w:marBottom w:val="0"/>
      <w:divBdr>
        <w:top w:val="none" w:sz="0" w:space="0" w:color="auto"/>
        <w:left w:val="none" w:sz="0" w:space="0" w:color="auto"/>
        <w:bottom w:val="none" w:sz="0" w:space="0" w:color="auto"/>
        <w:right w:val="none" w:sz="0" w:space="0" w:color="auto"/>
      </w:divBdr>
    </w:div>
    <w:div w:id="1185099978">
      <w:bodyDiv w:val="1"/>
      <w:marLeft w:val="0"/>
      <w:marRight w:val="0"/>
      <w:marTop w:val="0"/>
      <w:marBottom w:val="0"/>
      <w:divBdr>
        <w:top w:val="none" w:sz="0" w:space="0" w:color="auto"/>
        <w:left w:val="none" w:sz="0" w:space="0" w:color="auto"/>
        <w:bottom w:val="none" w:sz="0" w:space="0" w:color="auto"/>
        <w:right w:val="none" w:sz="0" w:space="0" w:color="auto"/>
      </w:divBdr>
    </w:div>
    <w:div w:id="1186796678">
      <w:bodyDiv w:val="1"/>
      <w:marLeft w:val="0"/>
      <w:marRight w:val="0"/>
      <w:marTop w:val="0"/>
      <w:marBottom w:val="0"/>
      <w:divBdr>
        <w:top w:val="none" w:sz="0" w:space="0" w:color="auto"/>
        <w:left w:val="none" w:sz="0" w:space="0" w:color="auto"/>
        <w:bottom w:val="none" w:sz="0" w:space="0" w:color="auto"/>
        <w:right w:val="none" w:sz="0" w:space="0" w:color="auto"/>
      </w:divBdr>
    </w:div>
    <w:div w:id="1187331318">
      <w:bodyDiv w:val="1"/>
      <w:marLeft w:val="0"/>
      <w:marRight w:val="0"/>
      <w:marTop w:val="0"/>
      <w:marBottom w:val="0"/>
      <w:divBdr>
        <w:top w:val="none" w:sz="0" w:space="0" w:color="auto"/>
        <w:left w:val="none" w:sz="0" w:space="0" w:color="auto"/>
        <w:bottom w:val="none" w:sz="0" w:space="0" w:color="auto"/>
        <w:right w:val="none" w:sz="0" w:space="0" w:color="auto"/>
      </w:divBdr>
    </w:div>
    <w:div w:id="1194344235">
      <w:bodyDiv w:val="1"/>
      <w:marLeft w:val="0"/>
      <w:marRight w:val="0"/>
      <w:marTop w:val="0"/>
      <w:marBottom w:val="0"/>
      <w:divBdr>
        <w:top w:val="none" w:sz="0" w:space="0" w:color="auto"/>
        <w:left w:val="none" w:sz="0" w:space="0" w:color="auto"/>
        <w:bottom w:val="none" w:sz="0" w:space="0" w:color="auto"/>
        <w:right w:val="none" w:sz="0" w:space="0" w:color="auto"/>
      </w:divBdr>
    </w:div>
    <w:div w:id="1200167763">
      <w:bodyDiv w:val="1"/>
      <w:marLeft w:val="0"/>
      <w:marRight w:val="0"/>
      <w:marTop w:val="0"/>
      <w:marBottom w:val="0"/>
      <w:divBdr>
        <w:top w:val="none" w:sz="0" w:space="0" w:color="auto"/>
        <w:left w:val="none" w:sz="0" w:space="0" w:color="auto"/>
        <w:bottom w:val="none" w:sz="0" w:space="0" w:color="auto"/>
        <w:right w:val="none" w:sz="0" w:space="0" w:color="auto"/>
      </w:divBdr>
    </w:div>
    <w:div w:id="1219122268">
      <w:bodyDiv w:val="1"/>
      <w:marLeft w:val="0"/>
      <w:marRight w:val="0"/>
      <w:marTop w:val="0"/>
      <w:marBottom w:val="0"/>
      <w:divBdr>
        <w:top w:val="none" w:sz="0" w:space="0" w:color="auto"/>
        <w:left w:val="none" w:sz="0" w:space="0" w:color="auto"/>
        <w:bottom w:val="none" w:sz="0" w:space="0" w:color="auto"/>
        <w:right w:val="none" w:sz="0" w:space="0" w:color="auto"/>
      </w:divBdr>
    </w:div>
    <w:div w:id="1226375595">
      <w:bodyDiv w:val="1"/>
      <w:marLeft w:val="0"/>
      <w:marRight w:val="0"/>
      <w:marTop w:val="0"/>
      <w:marBottom w:val="0"/>
      <w:divBdr>
        <w:top w:val="none" w:sz="0" w:space="0" w:color="auto"/>
        <w:left w:val="none" w:sz="0" w:space="0" w:color="auto"/>
        <w:bottom w:val="none" w:sz="0" w:space="0" w:color="auto"/>
        <w:right w:val="none" w:sz="0" w:space="0" w:color="auto"/>
      </w:divBdr>
    </w:div>
    <w:div w:id="1228954249">
      <w:bodyDiv w:val="1"/>
      <w:marLeft w:val="0"/>
      <w:marRight w:val="0"/>
      <w:marTop w:val="0"/>
      <w:marBottom w:val="0"/>
      <w:divBdr>
        <w:top w:val="none" w:sz="0" w:space="0" w:color="auto"/>
        <w:left w:val="none" w:sz="0" w:space="0" w:color="auto"/>
        <w:bottom w:val="none" w:sz="0" w:space="0" w:color="auto"/>
        <w:right w:val="none" w:sz="0" w:space="0" w:color="auto"/>
      </w:divBdr>
    </w:div>
    <w:div w:id="1229455600">
      <w:bodyDiv w:val="1"/>
      <w:marLeft w:val="0"/>
      <w:marRight w:val="0"/>
      <w:marTop w:val="0"/>
      <w:marBottom w:val="0"/>
      <w:divBdr>
        <w:top w:val="none" w:sz="0" w:space="0" w:color="auto"/>
        <w:left w:val="none" w:sz="0" w:space="0" w:color="auto"/>
        <w:bottom w:val="none" w:sz="0" w:space="0" w:color="auto"/>
        <w:right w:val="none" w:sz="0" w:space="0" w:color="auto"/>
      </w:divBdr>
    </w:div>
    <w:div w:id="1232277520">
      <w:bodyDiv w:val="1"/>
      <w:marLeft w:val="0"/>
      <w:marRight w:val="0"/>
      <w:marTop w:val="0"/>
      <w:marBottom w:val="0"/>
      <w:divBdr>
        <w:top w:val="none" w:sz="0" w:space="0" w:color="auto"/>
        <w:left w:val="none" w:sz="0" w:space="0" w:color="auto"/>
        <w:bottom w:val="none" w:sz="0" w:space="0" w:color="auto"/>
        <w:right w:val="none" w:sz="0" w:space="0" w:color="auto"/>
      </w:divBdr>
    </w:div>
    <w:div w:id="1232305657">
      <w:bodyDiv w:val="1"/>
      <w:marLeft w:val="0"/>
      <w:marRight w:val="0"/>
      <w:marTop w:val="0"/>
      <w:marBottom w:val="0"/>
      <w:divBdr>
        <w:top w:val="none" w:sz="0" w:space="0" w:color="auto"/>
        <w:left w:val="none" w:sz="0" w:space="0" w:color="auto"/>
        <w:bottom w:val="none" w:sz="0" w:space="0" w:color="auto"/>
        <w:right w:val="none" w:sz="0" w:space="0" w:color="auto"/>
      </w:divBdr>
    </w:div>
    <w:div w:id="1232695993">
      <w:bodyDiv w:val="1"/>
      <w:marLeft w:val="0"/>
      <w:marRight w:val="0"/>
      <w:marTop w:val="0"/>
      <w:marBottom w:val="0"/>
      <w:divBdr>
        <w:top w:val="none" w:sz="0" w:space="0" w:color="auto"/>
        <w:left w:val="none" w:sz="0" w:space="0" w:color="auto"/>
        <w:bottom w:val="none" w:sz="0" w:space="0" w:color="auto"/>
        <w:right w:val="none" w:sz="0" w:space="0" w:color="auto"/>
      </w:divBdr>
    </w:div>
    <w:div w:id="1257323706">
      <w:bodyDiv w:val="1"/>
      <w:marLeft w:val="0"/>
      <w:marRight w:val="0"/>
      <w:marTop w:val="0"/>
      <w:marBottom w:val="0"/>
      <w:divBdr>
        <w:top w:val="none" w:sz="0" w:space="0" w:color="auto"/>
        <w:left w:val="none" w:sz="0" w:space="0" w:color="auto"/>
        <w:bottom w:val="none" w:sz="0" w:space="0" w:color="auto"/>
        <w:right w:val="none" w:sz="0" w:space="0" w:color="auto"/>
      </w:divBdr>
    </w:div>
    <w:div w:id="1264991972">
      <w:bodyDiv w:val="1"/>
      <w:marLeft w:val="0"/>
      <w:marRight w:val="0"/>
      <w:marTop w:val="0"/>
      <w:marBottom w:val="0"/>
      <w:divBdr>
        <w:top w:val="none" w:sz="0" w:space="0" w:color="auto"/>
        <w:left w:val="none" w:sz="0" w:space="0" w:color="auto"/>
        <w:bottom w:val="none" w:sz="0" w:space="0" w:color="auto"/>
        <w:right w:val="none" w:sz="0" w:space="0" w:color="auto"/>
      </w:divBdr>
    </w:div>
    <w:div w:id="1266041672">
      <w:bodyDiv w:val="1"/>
      <w:marLeft w:val="0"/>
      <w:marRight w:val="0"/>
      <w:marTop w:val="0"/>
      <w:marBottom w:val="0"/>
      <w:divBdr>
        <w:top w:val="none" w:sz="0" w:space="0" w:color="auto"/>
        <w:left w:val="none" w:sz="0" w:space="0" w:color="auto"/>
        <w:bottom w:val="none" w:sz="0" w:space="0" w:color="auto"/>
        <w:right w:val="none" w:sz="0" w:space="0" w:color="auto"/>
      </w:divBdr>
    </w:div>
    <w:div w:id="1267076040">
      <w:bodyDiv w:val="1"/>
      <w:marLeft w:val="0"/>
      <w:marRight w:val="0"/>
      <w:marTop w:val="0"/>
      <w:marBottom w:val="0"/>
      <w:divBdr>
        <w:top w:val="none" w:sz="0" w:space="0" w:color="auto"/>
        <w:left w:val="none" w:sz="0" w:space="0" w:color="auto"/>
        <w:bottom w:val="none" w:sz="0" w:space="0" w:color="auto"/>
        <w:right w:val="none" w:sz="0" w:space="0" w:color="auto"/>
      </w:divBdr>
    </w:div>
    <w:div w:id="1267347149">
      <w:bodyDiv w:val="1"/>
      <w:marLeft w:val="0"/>
      <w:marRight w:val="0"/>
      <w:marTop w:val="0"/>
      <w:marBottom w:val="0"/>
      <w:divBdr>
        <w:top w:val="none" w:sz="0" w:space="0" w:color="auto"/>
        <w:left w:val="none" w:sz="0" w:space="0" w:color="auto"/>
        <w:bottom w:val="none" w:sz="0" w:space="0" w:color="auto"/>
        <w:right w:val="none" w:sz="0" w:space="0" w:color="auto"/>
      </w:divBdr>
    </w:div>
    <w:div w:id="1269658997">
      <w:bodyDiv w:val="1"/>
      <w:marLeft w:val="0"/>
      <w:marRight w:val="0"/>
      <w:marTop w:val="0"/>
      <w:marBottom w:val="0"/>
      <w:divBdr>
        <w:top w:val="none" w:sz="0" w:space="0" w:color="auto"/>
        <w:left w:val="none" w:sz="0" w:space="0" w:color="auto"/>
        <w:bottom w:val="none" w:sz="0" w:space="0" w:color="auto"/>
        <w:right w:val="none" w:sz="0" w:space="0" w:color="auto"/>
      </w:divBdr>
    </w:div>
    <w:div w:id="1272592789">
      <w:bodyDiv w:val="1"/>
      <w:marLeft w:val="0"/>
      <w:marRight w:val="0"/>
      <w:marTop w:val="0"/>
      <w:marBottom w:val="0"/>
      <w:divBdr>
        <w:top w:val="none" w:sz="0" w:space="0" w:color="auto"/>
        <w:left w:val="none" w:sz="0" w:space="0" w:color="auto"/>
        <w:bottom w:val="none" w:sz="0" w:space="0" w:color="auto"/>
        <w:right w:val="none" w:sz="0" w:space="0" w:color="auto"/>
      </w:divBdr>
    </w:div>
    <w:div w:id="1283461653">
      <w:bodyDiv w:val="1"/>
      <w:marLeft w:val="0"/>
      <w:marRight w:val="0"/>
      <w:marTop w:val="0"/>
      <w:marBottom w:val="0"/>
      <w:divBdr>
        <w:top w:val="none" w:sz="0" w:space="0" w:color="auto"/>
        <w:left w:val="none" w:sz="0" w:space="0" w:color="auto"/>
        <w:bottom w:val="none" w:sz="0" w:space="0" w:color="auto"/>
        <w:right w:val="none" w:sz="0" w:space="0" w:color="auto"/>
      </w:divBdr>
    </w:div>
    <w:div w:id="1283535871">
      <w:bodyDiv w:val="1"/>
      <w:marLeft w:val="0"/>
      <w:marRight w:val="0"/>
      <w:marTop w:val="0"/>
      <w:marBottom w:val="0"/>
      <w:divBdr>
        <w:top w:val="none" w:sz="0" w:space="0" w:color="auto"/>
        <w:left w:val="none" w:sz="0" w:space="0" w:color="auto"/>
        <w:bottom w:val="none" w:sz="0" w:space="0" w:color="auto"/>
        <w:right w:val="none" w:sz="0" w:space="0" w:color="auto"/>
      </w:divBdr>
    </w:div>
    <w:div w:id="1290091900">
      <w:bodyDiv w:val="1"/>
      <w:marLeft w:val="0"/>
      <w:marRight w:val="0"/>
      <w:marTop w:val="0"/>
      <w:marBottom w:val="0"/>
      <w:divBdr>
        <w:top w:val="none" w:sz="0" w:space="0" w:color="auto"/>
        <w:left w:val="none" w:sz="0" w:space="0" w:color="auto"/>
        <w:bottom w:val="none" w:sz="0" w:space="0" w:color="auto"/>
        <w:right w:val="none" w:sz="0" w:space="0" w:color="auto"/>
      </w:divBdr>
      <w:divsChild>
        <w:div w:id="1140537373">
          <w:marLeft w:val="547"/>
          <w:marRight w:val="0"/>
          <w:marTop w:val="96"/>
          <w:marBottom w:val="0"/>
          <w:divBdr>
            <w:top w:val="none" w:sz="0" w:space="0" w:color="auto"/>
            <w:left w:val="none" w:sz="0" w:space="0" w:color="auto"/>
            <w:bottom w:val="none" w:sz="0" w:space="0" w:color="auto"/>
            <w:right w:val="none" w:sz="0" w:space="0" w:color="auto"/>
          </w:divBdr>
        </w:div>
      </w:divsChild>
    </w:div>
    <w:div w:id="1291744494">
      <w:bodyDiv w:val="1"/>
      <w:marLeft w:val="0"/>
      <w:marRight w:val="0"/>
      <w:marTop w:val="0"/>
      <w:marBottom w:val="0"/>
      <w:divBdr>
        <w:top w:val="none" w:sz="0" w:space="0" w:color="auto"/>
        <w:left w:val="none" w:sz="0" w:space="0" w:color="auto"/>
        <w:bottom w:val="none" w:sz="0" w:space="0" w:color="auto"/>
        <w:right w:val="none" w:sz="0" w:space="0" w:color="auto"/>
      </w:divBdr>
    </w:div>
    <w:div w:id="1299991985">
      <w:bodyDiv w:val="1"/>
      <w:marLeft w:val="0"/>
      <w:marRight w:val="0"/>
      <w:marTop w:val="0"/>
      <w:marBottom w:val="0"/>
      <w:divBdr>
        <w:top w:val="none" w:sz="0" w:space="0" w:color="auto"/>
        <w:left w:val="none" w:sz="0" w:space="0" w:color="auto"/>
        <w:bottom w:val="none" w:sz="0" w:space="0" w:color="auto"/>
        <w:right w:val="none" w:sz="0" w:space="0" w:color="auto"/>
      </w:divBdr>
    </w:div>
    <w:div w:id="1307465504">
      <w:bodyDiv w:val="1"/>
      <w:marLeft w:val="0"/>
      <w:marRight w:val="0"/>
      <w:marTop w:val="0"/>
      <w:marBottom w:val="0"/>
      <w:divBdr>
        <w:top w:val="none" w:sz="0" w:space="0" w:color="auto"/>
        <w:left w:val="none" w:sz="0" w:space="0" w:color="auto"/>
        <w:bottom w:val="none" w:sz="0" w:space="0" w:color="auto"/>
        <w:right w:val="none" w:sz="0" w:space="0" w:color="auto"/>
      </w:divBdr>
    </w:div>
    <w:div w:id="1316379284">
      <w:bodyDiv w:val="1"/>
      <w:marLeft w:val="0"/>
      <w:marRight w:val="0"/>
      <w:marTop w:val="0"/>
      <w:marBottom w:val="0"/>
      <w:divBdr>
        <w:top w:val="none" w:sz="0" w:space="0" w:color="auto"/>
        <w:left w:val="none" w:sz="0" w:space="0" w:color="auto"/>
        <w:bottom w:val="none" w:sz="0" w:space="0" w:color="auto"/>
        <w:right w:val="none" w:sz="0" w:space="0" w:color="auto"/>
      </w:divBdr>
    </w:div>
    <w:div w:id="1326008488">
      <w:bodyDiv w:val="1"/>
      <w:marLeft w:val="0"/>
      <w:marRight w:val="0"/>
      <w:marTop w:val="0"/>
      <w:marBottom w:val="0"/>
      <w:divBdr>
        <w:top w:val="none" w:sz="0" w:space="0" w:color="auto"/>
        <w:left w:val="none" w:sz="0" w:space="0" w:color="auto"/>
        <w:bottom w:val="none" w:sz="0" w:space="0" w:color="auto"/>
        <w:right w:val="none" w:sz="0" w:space="0" w:color="auto"/>
      </w:divBdr>
      <w:divsChild>
        <w:div w:id="732972472">
          <w:marLeft w:val="547"/>
          <w:marRight w:val="0"/>
          <w:marTop w:val="96"/>
          <w:marBottom w:val="0"/>
          <w:divBdr>
            <w:top w:val="none" w:sz="0" w:space="0" w:color="auto"/>
            <w:left w:val="none" w:sz="0" w:space="0" w:color="auto"/>
            <w:bottom w:val="none" w:sz="0" w:space="0" w:color="auto"/>
            <w:right w:val="none" w:sz="0" w:space="0" w:color="auto"/>
          </w:divBdr>
        </w:div>
      </w:divsChild>
    </w:div>
    <w:div w:id="1326590988">
      <w:bodyDiv w:val="1"/>
      <w:marLeft w:val="0"/>
      <w:marRight w:val="0"/>
      <w:marTop w:val="0"/>
      <w:marBottom w:val="0"/>
      <w:divBdr>
        <w:top w:val="none" w:sz="0" w:space="0" w:color="auto"/>
        <w:left w:val="none" w:sz="0" w:space="0" w:color="auto"/>
        <w:bottom w:val="none" w:sz="0" w:space="0" w:color="auto"/>
        <w:right w:val="none" w:sz="0" w:space="0" w:color="auto"/>
      </w:divBdr>
    </w:div>
    <w:div w:id="1333333323">
      <w:bodyDiv w:val="1"/>
      <w:marLeft w:val="0"/>
      <w:marRight w:val="0"/>
      <w:marTop w:val="0"/>
      <w:marBottom w:val="0"/>
      <w:divBdr>
        <w:top w:val="none" w:sz="0" w:space="0" w:color="auto"/>
        <w:left w:val="none" w:sz="0" w:space="0" w:color="auto"/>
        <w:bottom w:val="none" w:sz="0" w:space="0" w:color="auto"/>
        <w:right w:val="none" w:sz="0" w:space="0" w:color="auto"/>
      </w:divBdr>
    </w:div>
    <w:div w:id="1334065682">
      <w:bodyDiv w:val="1"/>
      <w:marLeft w:val="0"/>
      <w:marRight w:val="0"/>
      <w:marTop w:val="0"/>
      <w:marBottom w:val="0"/>
      <w:divBdr>
        <w:top w:val="none" w:sz="0" w:space="0" w:color="auto"/>
        <w:left w:val="none" w:sz="0" w:space="0" w:color="auto"/>
        <w:bottom w:val="none" w:sz="0" w:space="0" w:color="auto"/>
        <w:right w:val="none" w:sz="0" w:space="0" w:color="auto"/>
      </w:divBdr>
    </w:div>
    <w:div w:id="1340159922">
      <w:bodyDiv w:val="1"/>
      <w:marLeft w:val="0"/>
      <w:marRight w:val="0"/>
      <w:marTop w:val="0"/>
      <w:marBottom w:val="0"/>
      <w:divBdr>
        <w:top w:val="none" w:sz="0" w:space="0" w:color="auto"/>
        <w:left w:val="none" w:sz="0" w:space="0" w:color="auto"/>
        <w:bottom w:val="none" w:sz="0" w:space="0" w:color="auto"/>
        <w:right w:val="none" w:sz="0" w:space="0" w:color="auto"/>
      </w:divBdr>
    </w:div>
    <w:div w:id="1344431002">
      <w:bodyDiv w:val="1"/>
      <w:marLeft w:val="0"/>
      <w:marRight w:val="0"/>
      <w:marTop w:val="0"/>
      <w:marBottom w:val="0"/>
      <w:divBdr>
        <w:top w:val="none" w:sz="0" w:space="0" w:color="auto"/>
        <w:left w:val="none" w:sz="0" w:space="0" w:color="auto"/>
        <w:bottom w:val="none" w:sz="0" w:space="0" w:color="auto"/>
        <w:right w:val="none" w:sz="0" w:space="0" w:color="auto"/>
      </w:divBdr>
    </w:div>
    <w:div w:id="1352687457">
      <w:bodyDiv w:val="1"/>
      <w:marLeft w:val="0"/>
      <w:marRight w:val="0"/>
      <w:marTop w:val="0"/>
      <w:marBottom w:val="0"/>
      <w:divBdr>
        <w:top w:val="none" w:sz="0" w:space="0" w:color="auto"/>
        <w:left w:val="none" w:sz="0" w:space="0" w:color="auto"/>
        <w:bottom w:val="none" w:sz="0" w:space="0" w:color="auto"/>
        <w:right w:val="none" w:sz="0" w:space="0" w:color="auto"/>
      </w:divBdr>
      <w:divsChild>
        <w:div w:id="38824698">
          <w:marLeft w:val="0"/>
          <w:marRight w:val="0"/>
          <w:marTop w:val="0"/>
          <w:marBottom w:val="0"/>
          <w:divBdr>
            <w:top w:val="none" w:sz="0" w:space="0" w:color="auto"/>
            <w:left w:val="none" w:sz="0" w:space="0" w:color="auto"/>
            <w:bottom w:val="none" w:sz="0" w:space="0" w:color="auto"/>
            <w:right w:val="none" w:sz="0" w:space="0" w:color="auto"/>
          </w:divBdr>
          <w:divsChild>
            <w:div w:id="1287933444">
              <w:marLeft w:val="0"/>
              <w:marRight w:val="0"/>
              <w:marTop w:val="0"/>
              <w:marBottom w:val="0"/>
              <w:divBdr>
                <w:top w:val="none" w:sz="0" w:space="0" w:color="auto"/>
                <w:left w:val="none" w:sz="0" w:space="0" w:color="auto"/>
                <w:bottom w:val="none" w:sz="0" w:space="0" w:color="auto"/>
                <w:right w:val="none" w:sz="0" w:space="0" w:color="auto"/>
              </w:divBdr>
            </w:div>
          </w:divsChild>
        </w:div>
        <w:div w:id="532350585">
          <w:marLeft w:val="0"/>
          <w:marRight w:val="0"/>
          <w:marTop w:val="0"/>
          <w:marBottom w:val="0"/>
          <w:divBdr>
            <w:top w:val="none" w:sz="0" w:space="0" w:color="auto"/>
            <w:left w:val="none" w:sz="0" w:space="0" w:color="auto"/>
            <w:bottom w:val="none" w:sz="0" w:space="0" w:color="auto"/>
            <w:right w:val="none" w:sz="0" w:space="0" w:color="auto"/>
          </w:divBdr>
          <w:divsChild>
            <w:div w:id="836194864">
              <w:marLeft w:val="0"/>
              <w:marRight w:val="0"/>
              <w:marTop w:val="0"/>
              <w:marBottom w:val="0"/>
              <w:divBdr>
                <w:top w:val="none" w:sz="0" w:space="0" w:color="auto"/>
                <w:left w:val="none" w:sz="0" w:space="0" w:color="auto"/>
                <w:bottom w:val="none" w:sz="0" w:space="0" w:color="auto"/>
                <w:right w:val="none" w:sz="0" w:space="0" w:color="auto"/>
              </w:divBdr>
            </w:div>
          </w:divsChild>
        </w:div>
        <w:div w:id="352725327">
          <w:marLeft w:val="0"/>
          <w:marRight w:val="0"/>
          <w:marTop w:val="0"/>
          <w:marBottom w:val="0"/>
          <w:divBdr>
            <w:top w:val="none" w:sz="0" w:space="0" w:color="auto"/>
            <w:left w:val="none" w:sz="0" w:space="0" w:color="auto"/>
            <w:bottom w:val="none" w:sz="0" w:space="0" w:color="auto"/>
            <w:right w:val="none" w:sz="0" w:space="0" w:color="auto"/>
          </w:divBdr>
          <w:divsChild>
            <w:div w:id="1300573592">
              <w:marLeft w:val="0"/>
              <w:marRight w:val="0"/>
              <w:marTop w:val="0"/>
              <w:marBottom w:val="0"/>
              <w:divBdr>
                <w:top w:val="none" w:sz="0" w:space="0" w:color="auto"/>
                <w:left w:val="none" w:sz="0" w:space="0" w:color="auto"/>
                <w:bottom w:val="none" w:sz="0" w:space="0" w:color="auto"/>
                <w:right w:val="none" w:sz="0" w:space="0" w:color="auto"/>
              </w:divBdr>
            </w:div>
            <w:div w:id="886065379">
              <w:marLeft w:val="0"/>
              <w:marRight w:val="0"/>
              <w:marTop w:val="0"/>
              <w:marBottom w:val="0"/>
              <w:divBdr>
                <w:top w:val="none" w:sz="0" w:space="0" w:color="auto"/>
                <w:left w:val="none" w:sz="0" w:space="0" w:color="auto"/>
                <w:bottom w:val="none" w:sz="0" w:space="0" w:color="auto"/>
                <w:right w:val="none" w:sz="0" w:space="0" w:color="auto"/>
              </w:divBdr>
            </w:div>
            <w:div w:id="1004210338">
              <w:marLeft w:val="0"/>
              <w:marRight w:val="0"/>
              <w:marTop w:val="0"/>
              <w:marBottom w:val="0"/>
              <w:divBdr>
                <w:top w:val="none" w:sz="0" w:space="0" w:color="auto"/>
                <w:left w:val="none" w:sz="0" w:space="0" w:color="auto"/>
                <w:bottom w:val="none" w:sz="0" w:space="0" w:color="auto"/>
                <w:right w:val="none" w:sz="0" w:space="0" w:color="auto"/>
              </w:divBdr>
            </w:div>
            <w:div w:id="1116413484">
              <w:marLeft w:val="0"/>
              <w:marRight w:val="0"/>
              <w:marTop w:val="0"/>
              <w:marBottom w:val="0"/>
              <w:divBdr>
                <w:top w:val="none" w:sz="0" w:space="0" w:color="auto"/>
                <w:left w:val="none" w:sz="0" w:space="0" w:color="auto"/>
                <w:bottom w:val="none" w:sz="0" w:space="0" w:color="auto"/>
                <w:right w:val="none" w:sz="0" w:space="0" w:color="auto"/>
              </w:divBdr>
            </w:div>
          </w:divsChild>
        </w:div>
        <w:div w:id="946036872">
          <w:marLeft w:val="0"/>
          <w:marRight w:val="0"/>
          <w:marTop w:val="0"/>
          <w:marBottom w:val="0"/>
          <w:divBdr>
            <w:top w:val="none" w:sz="0" w:space="0" w:color="auto"/>
            <w:left w:val="none" w:sz="0" w:space="0" w:color="auto"/>
            <w:bottom w:val="none" w:sz="0" w:space="0" w:color="auto"/>
            <w:right w:val="none" w:sz="0" w:space="0" w:color="auto"/>
          </w:divBdr>
          <w:divsChild>
            <w:div w:id="1144347369">
              <w:marLeft w:val="0"/>
              <w:marRight w:val="0"/>
              <w:marTop w:val="0"/>
              <w:marBottom w:val="0"/>
              <w:divBdr>
                <w:top w:val="none" w:sz="0" w:space="0" w:color="auto"/>
                <w:left w:val="none" w:sz="0" w:space="0" w:color="auto"/>
                <w:bottom w:val="none" w:sz="0" w:space="0" w:color="auto"/>
                <w:right w:val="none" w:sz="0" w:space="0" w:color="auto"/>
              </w:divBdr>
            </w:div>
            <w:div w:id="992684492">
              <w:marLeft w:val="0"/>
              <w:marRight w:val="0"/>
              <w:marTop w:val="0"/>
              <w:marBottom w:val="0"/>
              <w:divBdr>
                <w:top w:val="none" w:sz="0" w:space="0" w:color="auto"/>
                <w:left w:val="none" w:sz="0" w:space="0" w:color="auto"/>
                <w:bottom w:val="none" w:sz="0" w:space="0" w:color="auto"/>
                <w:right w:val="none" w:sz="0" w:space="0" w:color="auto"/>
              </w:divBdr>
            </w:div>
            <w:div w:id="467361058">
              <w:marLeft w:val="0"/>
              <w:marRight w:val="0"/>
              <w:marTop w:val="0"/>
              <w:marBottom w:val="0"/>
              <w:divBdr>
                <w:top w:val="none" w:sz="0" w:space="0" w:color="auto"/>
                <w:left w:val="none" w:sz="0" w:space="0" w:color="auto"/>
                <w:bottom w:val="none" w:sz="0" w:space="0" w:color="auto"/>
                <w:right w:val="none" w:sz="0" w:space="0" w:color="auto"/>
              </w:divBdr>
            </w:div>
            <w:div w:id="2125221535">
              <w:marLeft w:val="0"/>
              <w:marRight w:val="0"/>
              <w:marTop w:val="0"/>
              <w:marBottom w:val="0"/>
              <w:divBdr>
                <w:top w:val="none" w:sz="0" w:space="0" w:color="auto"/>
                <w:left w:val="none" w:sz="0" w:space="0" w:color="auto"/>
                <w:bottom w:val="none" w:sz="0" w:space="0" w:color="auto"/>
                <w:right w:val="none" w:sz="0" w:space="0" w:color="auto"/>
              </w:divBdr>
            </w:div>
          </w:divsChild>
        </w:div>
        <w:div w:id="1551648968">
          <w:marLeft w:val="0"/>
          <w:marRight w:val="0"/>
          <w:marTop w:val="0"/>
          <w:marBottom w:val="0"/>
          <w:divBdr>
            <w:top w:val="none" w:sz="0" w:space="0" w:color="auto"/>
            <w:left w:val="none" w:sz="0" w:space="0" w:color="auto"/>
            <w:bottom w:val="none" w:sz="0" w:space="0" w:color="auto"/>
            <w:right w:val="none" w:sz="0" w:space="0" w:color="auto"/>
          </w:divBdr>
          <w:divsChild>
            <w:div w:id="1677228990">
              <w:marLeft w:val="0"/>
              <w:marRight w:val="0"/>
              <w:marTop w:val="0"/>
              <w:marBottom w:val="0"/>
              <w:divBdr>
                <w:top w:val="none" w:sz="0" w:space="0" w:color="auto"/>
                <w:left w:val="none" w:sz="0" w:space="0" w:color="auto"/>
                <w:bottom w:val="none" w:sz="0" w:space="0" w:color="auto"/>
                <w:right w:val="none" w:sz="0" w:space="0" w:color="auto"/>
              </w:divBdr>
            </w:div>
          </w:divsChild>
        </w:div>
        <w:div w:id="525799915">
          <w:marLeft w:val="0"/>
          <w:marRight w:val="0"/>
          <w:marTop w:val="0"/>
          <w:marBottom w:val="0"/>
          <w:divBdr>
            <w:top w:val="none" w:sz="0" w:space="0" w:color="auto"/>
            <w:left w:val="none" w:sz="0" w:space="0" w:color="auto"/>
            <w:bottom w:val="none" w:sz="0" w:space="0" w:color="auto"/>
            <w:right w:val="none" w:sz="0" w:space="0" w:color="auto"/>
          </w:divBdr>
          <w:divsChild>
            <w:div w:id="842934189">
              <w:marLeft w:val="0"/>
              <w:marRight w:val="0"/>
              <w:marTop w:val="0"/>
              <w:marBottom w:val="0"/>
              <w:divBdr>
                <w:top w:val="none" w:sz="0" w:space="0" w:color="auto"/>
                <w:left w:val="none" w:sz="0" w:space="0" w:color="auto"/>
                <w:bottom w:val="none" w:sz="0" w:space="0" w:color="auto"/>
                <w:right w:val="none" w:sz="0" w:space="0" w:color="auto"/>
              </w:divBdr>
            </w:div>
          </w:divsChild>
        </w:div>
        <w:div w:id="348222408">
          <w:marLeft w:val="0"/>
          <w:marRight w:val="0"/>
          <w:marTop w:val="0"/>
          <w:marBottom w:val="0"/>
          <w:divBdr>
            <w:top w:val="none" w:sz="0" w:space="0" w:color="auto"/>
            <w:left w:val="none" w:sz="0" w:space="0" w:color="auto"/>
            <w:bottom w:val="none" w:sz="0" w:space="0" w:color="auto"/>
            <w:right w:val="none" w:sz="0" w:space="0" w:color="auto"/>
          </w:divBdr>
          <w:divsChild>
            <w:div w:id="1748451881">
              <w:marLeft w:val="0"/>
              <w:marRight w:val="0"/>
              <w:marTop w:val="0"/>
              <w:marBottom w:val="0"/>
              <w:divBdr>
                <w:top w:val="none" w:sz="0" w:space="0" w:color="auto"/>
                <w:left w:val="none" w:sz="0" w:space="0" w:color="auto"/>
                <w:bottom w:val="none" w:sz="0" w:space="0" w:color="auto"/>
                <w:right w:val="none" w:sz="0" w:space="0" w:color="auto"/>
              </w:divBdr>
            </w:div>
            <w:div w:id="737629148">
              <w:marLeft w:val="0"/>
              <w:marRight w:val="0"/>
              <w:marTop w:val="0"/>
              <w:marBottom w:val="0"/>
              <w:divBdr>
                <w:top w:val="none" w:sz="0" w:space="0" w:color="auto"/>
                <w:left w:val="none" w:sz="0" w:space="0" w:color="auto"/>
                <w:bottom w:val="none" w:sz="0" w:space="0" w:color="auto"/>
                <w:right w:val="none" w:sz="0" w:space="0" w:color="auto"/>
              </w:divBdr>
            </w:div>
            <w:div w:id="1025181036">
              <w:marLeft w:val="0"/>
              <w:marRight w:val="0"/>
              <w:marTop w:val="0"/>
              <w:marBottom w:val="0"/>
              <w:divBdr>
                <w:top w:val="none" w:sz="0" w:space="0" w:color="auto"/>
                <w:left w:val="none" w:sz="0" w:space="0" w:color="auto"/>
                <w:bottom w:val="none" w:sz="0" w:space="0" w:color="auto"/>
                <w:right w:val="none" w:sz="0" w:space="0" w:color="auto"/>
              </w:divBdr>
            </w:div>
          </w:divsChild>
        </w:div>
        <w:div w:id="1463961327">
          <w:marLeft w:val="0"/>
          <w:marRight w:val="0"/>
          <w:marTop w:val="0"/>
          <w:marBottom w:val="0"/>
          <w:divBdr>
            <w:top w:val="none" w:sz="0" w:space="0" w:color="auto"/>
            <w:left w:val="none" w:sz="0" w:space="0" w:color="auto"/>
            <w:bottom w:val="none" w:sz="0" w:space="0" w:color="auto"/>
            <w:right w:val="none" w:sz="0" w:space="0" w:color="auto"/>
          </w:divBdr>
          <w:divsChild>
            <w:div w:id="1698502189">
              <w:marLeft w:val="0"/>
              <w:marRight w:val="0"/>
              <w:marTop w:val="0"/>
              <w:marBottom w:val="0"/>
              <w:divBdr>
                <w:top w:val="none" w:sz="0" w:space="0" w:color="auto"/>
                <w:left w:val="none" w:sz="0" w:space="0" w:color="auto"/>
                <w:bottom w:val="none" w:sz="0" w:space="0" w:color="auto"/>
                <w:right w:val="none" w:sz="0" w:space="0" w:color="auto"/>
              </w:divBdr>
            </w:div>
          </w:divsChild>
        </w:div>
        <w:div w:id="790127528">
          <w:marLeft w:val="0"/>
          <w:marRight w:val="0"/>
          <w:marTop w:val="0"/>
          <w:marBottom w:val="0"/>
          <w:divBdr>
            <w:top w:val="none" w:sz="0" w:space="0" w:color="auto"/>
            <w:left w:val="none" w:sz="0" w:space="0" w:color="auto"/>
            <w:bottom w:val="none" w:sz="0" w:space="0" w:color="auto"/>
            <w:right w:val="none" w:sz="0" w:space="0" w:color="auto"/>
          </w:divBdr>
          <w:divsChild>
            <w:div w:id="1413429538">
              <w:marLeft w:val="0"/>
              <w:marRight w:val="0"/>
              <w:marTop w:val="0"/>
              <w:marBottom w:val="0"/>
              <w:divBdr>
                <w:top w:val="none" w:sz="0" w:space="0" w:color="auto"/>
                <w:left w:val="none" w:sz="0" w:space="0" w:color="auto"/>
                <w:bottom w:val="none" w:sz="0" w:space="0" w:color="auto"/>
                <w:right w:val="none" w:sz="0" w:space="0" w:color="auto"/>
              </w:divBdr>
            </w:div>
            <w:div w:id="1618759253">
              <w:marLeft w:val="0"/>
              <w:marRight w:val="0"/>
              <w:marTop w:val="0"/>
              <w:marBottom w:val="0"/>
              <w:divBdr>
                <w:top w:val="none" w:sz="0" w:space="0" w:color="auto"/>
                <w:left w:val="none" w:sz="0" w:space="0" w:color="auto"/>
                <w:bottom w:val="none" w:sz="0" w:space="0" w:color="auto"/>
                <w:right w:val="none" w:sz="0" w:space="0" w:color="auto"/>
              </w:divBdr>
            </w:div>
          </w:divsChild>
        </w:div>
        <w:div w:id="372778974">
          <w:marLeft w:val="0"/>
          <w:marRight w:val="0"/>
          <w:marTop w:val="0"/>
          <w:marBottom w:val="0"/>
          <w:divBdr>
            <w:top w:val="none" w:sz="0" w:space="0" w:color="auto"/>
            <w:left w:val="none" w:sz="0" w:space="0" w:color="auto"/>
            <w:bottom w:val="none" w:sz="0" w:space="0" w:color="auto"/>
            <w:right w:val="none" w:sz="0" w:space="0" w:color="auto"/>
          </w:divBdr>
          <w:divsChild>
            <w:div w:id="1278173274">
              <w:marLeft w:val="0"/>
              <w:marRight w:val="0"/>
              <w:marTop w:val="0"/>
              <w:marBottom w:val="0"/>
              <w:divBdr>
                <w:top w:val="none" w:sz="0" w:space="0" w:color="auto"/>
                <w:left w:val="none" w:sz="0" w:space="0" w:color="auto"/>
                <w:bottom w:val="none" w:sz="0" w:space="0" w:color="auto"/>
                <w:right w:val="none" w:sz="0" w:space="0" w:color="auto"/>
              </w:divBdr>
            </w:div>
            <w:div w:id="112287790">
              <w:marLeft w:val="0"/>
              <w:marRight w:val="0"/>
              <w:marTop w:val="0"/>
              <w:marBottom w:val="0"/>
              <w:divBdr>
                <w:top w:val="none" w:sz="0" w:space="0" w:color="auto"/>
                <w:left w:val="none" w:sz="0" w:space="0" w:color="auto"/>
                <w:bottom w:val="none" w:sz="0" w:space="0" w:color="auto"/>
                <w:right w:val="none" w:sz="0" w:space="0" w:color="auto"/>
              </w:divBdr>
            </w:div>
            <w:div w:id="1653363308">
              <w:marLeft w:val="0"/>
              <w:marRight w:val="0"/>
              <w:marTop w:val="0"/>
              <w:marBottom w:val="0"/>
              <w:divBdr>
                <w:top w:val="none" w:sz="0" w:space="0" w:color="auto"/>
                <w:left w:val="none" w:sz="0" w:space="0" w:color="auto"/>
                <w:bottom w:val="none" w:sz="0" w:space="0" w:color="auto"/>
                <w:right w:val="none" w:sz="0" w:space="0" w:color="auto"/>
              </w:divBdr>
            </w:div>
          </w:divsChild>
        </w:div>
        <w:div w:id="2094618945">
          <w:marLeft w:val="0"/>
          <w:marRight w:val="0"/>
          <w:marTop w:val="0"/>
          <w:marBottom w:val="0"/>
          <w:divBdr>
            <w:top w:val="none" w:sz="0" w:space="0" w:color="auto"/>
            <w:left w:val="none" w:sz="0" w:space="0" w:color="auto"/>
            <w:bottom w:val="none" w:sz="0" w:space="0" w:color="auto"/>
            <w:right w:val="none" w:sz="0" w:space="0" w:color="auto"/>
          </w:divBdr>
          <w:divsChild>
            <w:div w:id="2139839024">
              <w:marLeft w:val="0"/>
              <w:marRight w:val="0"/>
              <w:marTop w:val="0"/>
              <w:marBottom w:val="0"/>
              <w:divBdr>
                <w:top w:val="none" w:sz="0" w:space="0" w:color="auto"/>
                <w:left w:val="none" w:sz="0" w:space="0" w:color="auto"/>
                <w:bottom w:val="none" w:sz="0" w:space="0" w:color="auto"/>
                <w:right w:val="none" w:sz="0" w:space="0" w:color="auto"/>
              </w:divBdr>
            </w:div>
          </w:divsChild>
        </w:div>
        <w:div w:id="1338383348">
          <w:marLeft w:val="0"/>
          <w:marRight w:val="0"/>
          <w:marTop w:val="0"/>
          <w:marBottom w:val="0"/>
          <w:divBdr>
            <w:top w:val="none" w:sz="0" w:space="0" w:color="auto"/>
            <w:left w:val="none" w:sz="0" w:space="0" w:color="auto"/>
            <w:bottom w:val="none" w:sz="0" w:space="0" w:color="auto"/>
            <w:right w:val="none" w:sz="0" w:space="0" w:color="auto"/>
          </w:divBdr>
          <w:divsChild>
            <w:div w:id="920260591">
              <w:marLeft w:val="0"/>
              <w:marRight w:val="0"/>
              <w:marTop w:val="0"/>
              <w:marBottom w:val="0"/>
              <w:divBdr>
                <w:top w:val="none" w:sz="0" w:space="0" w:color="auto"/>
                <w:left w:val="none" w:sz="0" w:space="0" w:color="auto"/>
                <w:bottom w:val="none" w:sz="0" w:space="0" w:color="auto"/>
                <w:right w:val="none" w:sz="0" w:space="0" w:color="auto"/>
              </w:divBdr>
            </w:div>
          </w:divsChild>
        </w:div>
        <w:div w:id="1703165089">
          <w:marLeft w:val="0"/>
          <w:marRight w:val="0"/>
          <w:marTop w:val="0"/>
          <w:marBottom w:val="0"/>
          <w:divBdr>
            <w:top w:val="none" w:sz="0" w:space="0" w:color="auto"/>
            <w:left w:val="none" w:sz="0" w:space="0" w:color="auto"/>
            <w:bottom w:val="none" w:sz="0" w:space="0" w:color="auto"/>
            <w:right w:val="none" w:sz="0" w:space="0" w:color="auto"/>
          </w:divBdr>
          <w:divsChild>
            <w:div w:id="2079131087">
              <w:marLeft w:val="0"/>
              <w:marRight w:val="0"/>
              <w:marTop w:val="0"/>
              <w:marBottom w:val="0"/>
              <w:divBdr>
                <w:top w:val="none" w:sz="0" w:space="0" w:color="auto"/>
                <w:left w:val="none" w:sz="0" w:space="0" w:color="auto"/>
                <w:bottom w:val="none" w:sz="0" w:space="0" w:color="auto"/>
                <w:right w:val="none" w:sz="0" w:space="0" w:color="auto"/>
              </w:divBdr>
            </w:div>
          </w:divsChild>
        </w:div>
        <w:div w:id="1644387564">
          <w:marLeft w:val="0"/>
          <w:marRight w:val="0"/>
          <w:marTop w:val="0"/>
          <w:marBottom w:val="0"/>
          <w:divBdr>
            <w:top w:val="none" w:sz="0" w:space="0" w:color="auto"/>
            <w:left w:val="none" w:sz="0" w:space="0" w:color="auto"/>
            <w:bottom w:val="none" w:sz="0" w:space="0" w:color="auto"/>
            <w:right w:val="none" w:sz="0" w:space="0" w:color="auto"/>
          </w:divBdr>
          <w:divsChild>
            <w:div w:id="239104487">
              <w:marLeft w:val="0"/>
              <w:marRight w:val="0"/>
              <w:marTop w:val="0"/>
              <w:marBottom w:val="0"/>
              <w:divBdr>
                <w:top w:val="none" w:sz="0" w:space="0" w:color="auto"/>
                <w:left w:val="none" w:sz="0" w:space="0" w:color="auto"/>
                <w:bottom w:val="none" w:sz="0" w:space="0" w:color="auto"/>
                <w:right w:val="none" w:sz="0" w:space="0" w:color="auto"/>
              </w:divBdr>
            </w:div>
          </w:divsChild>
        </w:div>
        <w:div w:id="479271057">
          <w:marLeft w:val="0"/>
          <w:marRight w:val="0"/>
          <w:marTop w:val="0"/>
          <w:marBottom w:val="0"/>
          <w:divBdr>
            <w:top w:val="none" w:sz="0" w:space="0" w:color="auto"/>
            <w:left w:val="none" w:sz="0" w:space="0" w:color="auto"/>
            <w:bottom w:val="none" w:sz="0" w:space="0" w:color="auto"/>
            <w:right w:val="none" w:sz="0" w:space="0" w:color="auto"/>
          </w:divBdr>
          <w:divsChild>
            <w:div w:id="1895575989">
              <w:marLeft w:val="0"/>
              <w:marRight w:val="0"/>
              <w:marTop w:val="0"/>
              <w:marBottom w:val="0"/>
              <w:divBdr>
                <w:top w:val="none" w:sz="0" w:space="0" w:color="auto"/>
                <w:left w:val="none" w:sz="0" w:space="0" w:color="auto"/>
                <w:bottom w:val="none" w:sz="0" w:space="0" w:color="auto"/>
                <w:right w:val="none" w:sz="0" w:space="0" w:color="auto"/>
              </w:divBdr>
            </w:div>
            <w:div w:id="50428000">
              <w:marLeft w:val="0"/>
              <w:marRight w:val="0"/>
              <w:marTop w:val="0"/>
              <w:marBottom w:val="0"/>
              <w:divBdr>
                <w:top w:val="none" w:sz="0" w:space="0" w:color="auto"/>
                <w:left w:val="none" w:sz="0" w:space="0" w:color="auto"/>
                <w:bottom w:val="none" w:sz="0" w:space="0" w:color="auto"/>
                <w:right w:val="none" w:sz="0" w:space="0" w:color="auto"/>
              </w:divBdr>
            </w:div>
          </w:divsChild>
        </w:div>
        <w:div w:id="2046247124">
          <w:marLeft w:val="0"/>
          <w:marRight w:val="0"/>
          <w:marTop w:val="0"/>
          <w:marBottom w:val="0"/>
          <w:divBdr>
            <w:top w:val="none" w:sz="0" w:space="0" w:color="auto"/>
            <w:left w:val="none" w:sz="0" w:space="0" w:color="auto"/>
            <w:bottom w:val="none" w:sz="0" w:space="0" w:color="auto"/>
            <w:right w:val="none" w:sz="0" w:space="0" w:color="auto"/>
          </w:divBdr>
          <w:divsChild>
            <w:div w:id="219440741">
              <w:marLeft w:val="0"/>
              <w:marRight w:val="0"/>
              <w:marTop w:val="0"/>
              <w:marBottom w:val="0"/>
              <w:divBdr>
                <w:top w:val="none" w:sz="0" w:space="0" w:color="auto"/>
                <w:left w:val="none" w:sz="0" w:space="0" w:color="auto"/>
                <w:bottom w:val="none" w:sz="0" w:space="0" w:color="auto"/>
                <w:right w:val="none" w:sz="0" w:space="0" w:color="auto"/>
              </w:divBdr>
            </w:div>
            <w:div w:id="1685592622">
              <w:marLeft w:val="0"/>
              <w:marRight w:val="0"/>
              <w:marTop w:val="0"/>
              <w:marBottom w:val="0"/>
              <w:divBdr>
                <w:top w:val="none" w:sz="0" w:space="0" w:color="auto"/>
                <w:left w:val="none" w:sz="0" w:space="0" w:color="auto"/>
                <w:bottom w:val="none" w:sz="0" w:space="0" w:color="auto"/>
                <w:right w:val="none" w:sz="0" w:space="0" w:color="auto"/>
              </w:divBdr>
            </w:div>
            <w:div w:id="1940018354">
              <w:marLeft w:val="0"/>
              <w:marRight w:val="0"/>
              <w:marTop w:val="0"/>
              <w:marBottom w:val="0"/>
              <w:divBdr>
                <w:top w:val="none" w:sz="0" w:space="0" w:color="auto"/>
                <w:left w:val="none" w:sz="0" w:space="0" w:color="auto"/>
                <w:bottom w:val="none" w:sz="0" w:space="0" w:color="auto"/>
                <w:right w:val="none" w:sz="0" w:space="0" w:color="auto"/>
              </w:divBdr>
            </w:div>
            <w:div w:id="1119567075">
              <w:marLeft w:val="0"/>
              <w:marRight w:val="0"/>
              <w:marTop w:val="0"/>
              <w:marBottom w:val="0"/>
              <w:divBdr>
                <w:top w:val="none" w:sz="0" w:space="0" w:color="auto"/>
                <w:left w:val="none" w:sz="0" w:space="0" w:color="auto"/>
                <w:bottom w:val="none" w:sz="0" w:space="0" w:color="auto"/>
                <w:right w:val="none" w:sz="0" w:space="0" w:color="auto"/>
              </w:divBdr>
            </w:div>
          </w:divsChild>
        </w:div>
        <w:div w:id="1266615523">
          <w:marLeft w:val="0"/>
          <w:marRight w:val="0"/>
          <w:marTop w:val="0"/>
          <w:marBottom w:val="0"/>
          <w:divBdr>
            <w:top w:val="none" w:sz="0" w:space="0" w:color="auto"/>
            <w:left w:val="none" w:sz="0" w:space="0" w:color="auto"/>
            <w:bottom w:val="none" w:sz="0" w:space="0" w:color="auto"/>
            <w:right w:val="none" w:sz="0" w:space="0" w:color="auto"/>
          </w:divBdr>
          <w:divsChild>
            <w:div w:id="7821880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57736971">
      <w:bodyDiv w:val="1"/>
      <w:marLeft w:val="0"/>
      <w:marRight w:val="0"/>
      <w:marTop w:val="0"/>
      <w:marBottom w:val="0"/>
      <w:divBdr>
        <w:top w:val="none" w:sz="0" w:space="0" w:color="auto"/>
        <w:left w:val="none" w:sz="0" w:space="0" w:color="auto"/>
        <w:bottom w:val="none" w:sz="0" w:space="0" w:color="auto"/>
        <w:right w:val="none" w:sz="0" w:space="0" w:color="auto"/>
      </w:divBdr>
      <w:divsChild>
        <w:div w:id="740252960">
          <w:marLeft w:val="0"/>
          <w:marRight w:val="0"/>
          <w:marTop w:val="0"/>
          <w:marBottom w:val="0"/>
          <w:divBdr>
            <w:top w:val="none" w:sz="0" w:space="0" w:color="auto"/>
            <w:left w:val="none" w:sz="0" w:space="0" w:color="auto"/>
            <w:bottom w:val="none" w:sz="0" w:space="0" w:color="auto"/>
            <w:right w:val="none" w:sz="0" w:space="0" w:color="auto"/>
          </w:divBdr>
        </w:div>
        <w:div w:id="955019484">
          <w:marLeft w:val="0"/>
          <w:marRight w:val="0"/>
          <w:marTop w:val="0"/>
          <w:marBottom w:val="0"/>
          <w:divBdr>
            <w:top w:val="none" w:sz="0" w:space="0" w:color="auto"/>
            <w:left w:val="none" w:sz="0" w:space="0" w:color="auto"/>
            <w:bottom w:val="none" w:sz="0" w:space="0" w:color="auto"/>
            <w:right w:val="none" w:sz="0" w:space="0" w:color="auto"/>
          </w:divBdr>
        </w:div>
      </w:divsChild>
    </w:div>
    <w:div w:id="1361514976">
      <w:bodyDiv w:val="1"/>
      <w:marLeft w:val="0"/>
      <w:marRight w:val="0"/>
      <w:marTop w:val="0"/>
      <w:marBottom w:val="0"/>
      <w:divBdr>
        <w:top w:val="none" w:sz="0" w:space="0" w:color="auto"/>
        <w:left w:val="none" w:sz="0" w:space="0" w:color="auto"/>
        <w:bottom w:val="none" w:sz="0" w:space="0" w:color="auto"/>
        <w:right w:val="none" w:sz="0" w:space="0" w:color="auto"/>
      </w:divBdr>
    </w:div>
    <w:div w:id="1362588206">
      <w:bodyDiv w:val="1"/>
      <w:marLeft w:val="0"/>
      <w:marRight w:val="0"/>
      <w:marTop w:val="0"/>
      <w:marBottom w:val="0"/>
      <w:divBdr>
        <w:top w:val="none" w:sz="0" w:space="0" w:color="auto"/>
        <w:left w:val="none" w:sz="0" w:space="0" w:color="auto"/>
        <w:bottom w:val="none" w:sz="0" w:space="0" w:color="auto"/>
        <w:right w:val="none" w:sz="0" w:space="0" w:color="auto"/>
      </w:divBdr>
    </w:div>
    <w:div w:id="1365515660">
      <w:bodyDiv w:val="1"/>
      <w:marLeft w:val="0"/>
      <w:marRight w:val="0"/>
      <w:marTop w:val="0"/>
      <w:marBottom w:val="0"/>
      <w:divBdr>
        <w:top w:val="none" w:sz="0" w:space="0" w:color="auto"/>
        <w:left w:val="none" w:sz="0" w:space="0" w:color="auto"/>
        <w:bottom w:val="none" w:sz="0" w:space="0" w:color="auto"/>
        <w:right w:val="none" w:sz="0" w:space="0" w:color="auto"/>
      </w:divBdr>
    </w:div>
    <w:div w:id="1368339497">
      <w:bodyDiv w:val="1"/>
      <w:marLeft w:val="0"/>
      <w:marRight w:val="0"/>
      <w:marTop w:val="0"/>
      <w:marBottom w:val="0"/>
      <w:divBdr>
        <w:top w:val="none" w:sz="0" w:space="0" w:color="auto"/>
        <w:left w:val="none" w:sz="0" w:space="0" w:color="auto"/>
        <w:bottom w:val="none" w:sz="0" w:space="0" w:color="auto"/>
        <w:right w:val="none" w:sz="0" w:space="0" w:color="auto"/>
      </w:divBdr>
    </w:div>
    <w:div w:id="1374383853">
      <w:bodyDiv w:val="1"/>
      <w:marLeft w:val="0"/>
      <w:marRight w:val="0"/>
      <w:marTop w:val="0"/>
      <w:marBottom w:val="0"/>
      <w:divBdr>
        <w:top w:val="none" w:sz="0" w:space="0" w:color="auto"/>
        <w:left w:val="none" w:sz="0" w:space="0" w:color="auto"/>
        <w:bottom w:val="none" w:sz="0" w:space="0" w:color="auto"/>
        <w:right w:val="none" w:sz="0" w:space="0" w:color="auto"/>
      </w:divBdr>
    </w:div>
    <w:div w:id="1383751858">
      <w:bodyDiv w:val="1"/>
      <w:marLeft w:val="0"/>
      <w:marRight w:val="0"/>
      <w:marTop w:val="0"/>
      <w:marBottom w:val="0"/>
      <w:divBdr>
        <w:top w:val="none" w:sz="0" w:space="0" w:color="auto"/>
        <w:left w:val="none" w:sz="0" w:space="0" w:color="auto"/>
        <w:bottom w:val="none" w:sz="0" w:space="0" w:color="auto"/>
        <w:right w:val="none" w:sz="0" w:space="0" w:color="auto"/>
      </w:divBdr>
    </w:div>
    <w:div w:id="1391881373">
      <w:bodyDiv w:val="1"/>
      <w:marLeft w:val="0"/>
      <w:marRight w:val="0"/>
      <w:marTop w:val="0"/>
      <w:marBottom w:val="0"/>
      <w:divBdr>
        <w:top w:val="none" w:sz="0" w:space="0" w:color="auto"/>
        <w:left w:val="none" w:sz="0" w:space="0" w:color="auto"/>
        <w:bottom w:val="none" w:sz="0" w:space="0" w:color="auto"/>
        <w:right w:val="none" w:sz="0" w:space="0" w:color="auto"/>
      </w:divBdr>
    </w:div>
    <w:div w:id="1394239061">
      <w:bodyDiv w:val="1"/>
      <w:marLeft w:val="0"/>
      <w:marRight w:val="0"/>
      <w:marTop w:val="0"/>
      <w:marBottom w:val="0"/>
      <w:divBdr>
        <w:top w:val="none" w:sz="0" w:space="0" w:color="auto"/>
        <w:left w:val="none" w:sz="0" w:space="0" w:color="auto"/>
        <w:bottom w:val="none" w:sz="0" w:space="0" w:color="auto"/>
        <w:right w:val="none" w:sz="0" w:space="0" w:color="auto"/>
      </w:divBdr>
    </w:div>
    <w:div w:id="1396851903">
      <w:bodyDiv w:val="1"/>
      <w:marLeft w:val="0"/>
      <w:marRight w:val="0"/>
      <w:marTop w:val="0"/>
      <w:marBottom w:val="0"/>
      <w:divBdr>
        <w:top w:val="none" w:sz="0" w:space="0" w:color="auto"/>
        <w:left w:val="none" w:sz="0" w:space="0" w:color="auto"/>
        <w:bottom w:val="none" w:sz="0" w:space="0" w:color="auto"/>
        <w:right w:val="none" w:sz="0" w:space="0" w:color="auto"/>
      </w:divBdr>
    </w:div>
    <w:div w:id="1402680792">
      <w:bodyDiv w:val="1"/>
      <w:marLeft w:val="0"/>
      <w:marRight w:val="0"/>
      <w:marTop w:val="0"/>
      <w:marBottom w:val="0"/>
      <w:divBdr>
        <w:top w:val="none" w:sz="0" w:space="0" w:color="auto"/>
        <w:left w:val="none" w:sz="0" w:space="0" w:color="auto"/>
        <w:bottom w:val="none" w:sz="0" w:space="0" w:color="auto"/>
        <w:right w:val="none" w:sz="0" w:space="0" w:color="auto"/>
      </w:divBdr>
    </w:div>
    <w:div w:id="1419138612">
      <w:bodyDiv w:val="1"/>
      <w:marLeft w:val="0"/>
      <w:marRight w:val="0"/>
      <w:marTop w:val="0"/>
      <w:marBottom w:val="0"/>
      <w:divBdr>
        <w:top w:val="none" w:sz="0" w:space="0" w:color="auto"/>
        <w:left w:val="none" w:sz="0" w:space="0" w:color="auto"/>
        <w:bottom w:val="none" w:sz="0" w:space="0" w:color="auto"/>
        <w:right w:val="none" w:sz="0" w:space="0" w:color="auto"/>
      </w:divBdr>
    </w:div>
    <w:div w:id="1427573460">
      <w:bodyDiv w:val="1"/>
      <w:marLeft w:val="0"/>
      <w:marRight w:val="0"/>
      <w:marTop w:val="0"/>
      <w:marBottom w:val="0"/>
      <w:divBdr>
        <w:top w:val="none" w:sz="0" w:space="0" w:color="auto"/>
        <w:left w:val="none" w:sz="0" w:space="0" w:color="auto"/>
        <w:bottom w:val="none" w:sz="0" w:space="0" w:color="auto"/>
        <w:right w:val="none" w:sz="0" w:space="0" w:color="auto"/>
      </w:divBdr>
    </w:div>
    <w:div w:id="1428429606">
      <w:bodyDiv w:val="1"/>
      <w:marLeft w:val="0"/>
      <w:marRight w:val="0"/>
      <w:marTop w:val="0"/>
      <w:marBottom w:val="0"/>
      <w:divBdr>
        <w:top w:val="none" w:sz="0" w:space="0" w:color="auto"/>
        <w:left w:val="none" w:sz="0" w:space="0" w:color="auto"/>
        <w:bottom w:val="none" w:sz="0" w:space="0" w:color="auto"/>
        <w:right w:val="none" w:sz="0" w:space="0" w:color="auto"/>
      </w:divBdr>
    </w:div>
    <w:div w:id="1430270345">
      <w:bodyDiv w:val="1"/>
      <w:marLeft w:val="0"/>
      <w:marRight w:val="0"/>
      <w:marTop w:val="0"/>
      <w:marBottom w:val="0"/>
      <w:divBdr>
        <w:top w:val="none" w:sz="0" w:space="0" w:color="auto"/>
        <w:left w:val="none" w:sz="0" w:space="0" w:color="auto"/>
        <w:bottom w:val="none" w:sz="0" w:space="0" w:color="auto"/>
        <w:right w:val="none" w:sz="0" w:space="0" w:color="auto"/>
      </w:divBdr>
    </w:div>
    <w:div w:id="1431926934">
      <w:bodyDiv w:val="1"/>
      <w:marLeft w:val="0"/>
      <w:marRight w:val="0"/>
      <w:marTop w:val="0"/>
      <w:marBottom w:val="0"/>
      <w:divBdr>
        <w:top w:val="none" w:sz="0" w:space="0" w:color="auto"/>
        <w:left w:val="none" w:sz="0" w:space="0" w:color="auto"/>
        <w:bottom w:val="none" w:sz="0" w:space="0" w:color="auto"/>
        <w:right w:val="none" w:sz="0" w:space="0" w:color="auto"/>
      </w:divBdr>
    </w:div>
    <w:div w:id="1433819510">
      <w:bodyDiv w:val="1"/>
      <w:marLeft w:val="0"/>
      <w:marRight w:val="0"/>
      <w:marTop w:val="0"/>
      <w:marBottom w:val="0"/>
      <w:divBdr>
        <w:top w:val="none" w:sz="0" w:space="0" w:color="auto"/>
        <w:left w:val="none" w:sz="0" w:space="0" w:color="auto"/>
        <w:bottom w:val="none" w:sz="0" w:space="0" w:color="auto"/>
        <w:right w:val="none" w:sz="0" w:space="0" w:color="auto"/>
      </w:divBdr>
      <w:divsChild>
        <w:div w:id="23412950">
          <w:marLeft w:val="0"/>
          <w:marRight w:val="0"/>
          <w:marTop w:val="0"/>
          <w:marBottom w:val="0"/>
          <w:divBdr>
            <w:top w:val="none" w:sz="0" w:space="0" w:color="auto"/>
            <w:left w:val="none" w:sz="0" w:space="0" w:color="auto"/>
            <w:bottom w:val="none" w:sz="0" w:space="0" w:color="auto"/>
            <w:right w:val="none" w:sz="0" w:space="0" w:color="auto"/>
          </w:divBdr>
        </w:div>
        <w:div w:id="166865334">
          <w:marLeft w:val="0"/>
          <w:marRight w:val="0"/>
          <w:marTop w:val="0"/>
          <w:marBottom w:val="0"/>
          <w:divBdr>
            <w:top w:val="none" w:sz="0" w:space="0" w:color="auto"/>
            <w:left w:val="none" w:sz="0" w:space="0" w:color="auto"/>
            <w:bottom w:val="none" w:sz="0" w:space="0" w:color="auto"/>
            <w:right w:val="none" w:sz="0" w:space="0" w:color="auto"/>
          </w:divBdr>
        </w:div>
        <w:div w:id="338241624">
          <w:marLeft w:val="0"/>
          <w:marRight w:val="0"/>
          <w:marTop w:val="0"/>
          <w:marBottom w:val="0"/>
          <w:divBdr>
            <w:top w:val="none" w:sz="0" w:space="0" w:color="auto"/>
            <w:left w:val="none" w:sz="0" w:space="0" w:color="auto"/>
            <w:bottom w:val="none" w:sz="0" w:space="0" w:color="auto"/>
            <w:right w:val="none" w:sz="0" w:space="0" w:color="auto"/>
          </w:divBdr>
        </w:div>
        <w:div w:id="521668450">
          <w:marLeft w:val="0"/>
          <w:marRight w:val="0"/>
          <w:marTop w:val="0"/>
          <w:marBottom w:val="0"/>
          <w:divBdr>
            <w:top w:val="none" w:sz="0" w:space="0" w:color="auto"/>
            <w:left w:val="none" w:sz="0" w:space="0" w:color="auto"/>
            <w:bottom w:val="none" w:sz="0" w:space="0" w:color="auto"/>
            <w:right w:val="none" w:sz="0" w:space="0" w:color="auto"/>
          </w:divBdr>
        </w:div>
        <w:div w:id="528643722">
          <w:marLeft w:val="0"/>
          <w:marRight w:val="0"/>
          <w:marTop w:val="0"/>
          <w:marBottom w:val="0"/>
          <w:divBdr>
            <w:top w:val="none" w:sz="0" w:space="0" w:color="auto"/>
            <w:left w:val="none" w:sz="0" w:space="0" w:color="auto"/>
            <w:bottom w:val="none" w:sz="0" w:space="0" w:color="auto"/>
            <w:right w:val="none" w:sz="0" w:space="0" w:color="auto"/>
          </w:divBdr>
        </w:div>
        <w:div w:id="535505961">
          <w:marLeft w:val="0"/>
          <w:marRight w:val="0"/>
          <w:marTop w:val="0"/>
          <w:marBottom w:val="0"/>
          <w:divBdr>
            <w:top w:val="none" w:sz="0" w:space="0" w:color="auto"/>
            <w:left w:val="none" w:sz="0" w:space="0" w:color="auto"/>
            <w:bottom w:val="none" w:sz="0" w:space="0" w:color="auto"/>
            <w:right w:val="none" w:sz="0" w:space="0" w:color="auto"/>
          </w:divBdr>
        </w:div>
        <w:div w:id="666253466">
          <w:marLeft w:val="0"/>
          <w:marRight w:val="0"/>
          <w:marTop w:val="0"/>
          <w:marBottom w:val="0"/>
          <w:divBdr>
            <w:top w:val="none" w:sz="0" w:space="0" w:color="auto"/>
            <w:left w:val="none" w:sz="0" w:space="0" w:color="auto"/>
            <w:bottom w:val="none" w:sz="0" w:space="0" w:color="auto"/>
            <w:right w:val="none" w:sz="0" w:space="0" w:color="auto"/>
          </w:divBdr>
        </w:div>
        <w:div w:id="733771943">
          <w:marLeft w:val="0"/>
          <w:marRight w:val="0"/>
          <w:marTop w:val="0"/>
          <w:marBottom w:val="0"/>
          <w:divBdr>
            <w:top w:val="none" w:sz="0" w:space="0" w:color="auto"/>
            <w:left w:val="none" w:sz="0" w:space="0" w:color="auto"/>
            <w:bottom w:val="none" w:sz="0" w:space="0" w:color="auto"/>
            <w:right w:val="none" w:sz="0" w:space="0" w:color="auto"/>
          </w:divBdr>
        </w:div>
        <w:div w:id="877937431">
          <w:marLeft w:val="0"/>
          <w:marRight w:val="0"/>
          <w:marTop w:val="0"/>
          <w:marBottom w:val="0"/>
          <w:divBdr>
            <w:top w:val="none" w:sz="0" w:space="0" w:color="auto"/>
            <w:left w:val="none" w:sz="0" w:space="0" w:color="auto"/>
            <w:bottom w:val="none" w:sz="0" w:space="0" w:color="auto"/>
            <w:right w:val="none" w:sz="0" w:space="0" w:color="auto"/>
          </w:divBdr>
        </w:div>
        <w:div w:id="1052197436">
          <w:marLeft w:val="0"/>
          <w:marRight w:val="0"/>
          <w:marTop w:val="0"/>
          <w:marBottom w:val="0"/>
          <w:divBdr>
            <w:top w:val="none" w:sz="0" w:space="0" w:color="auto"/>
            <w:left w:val="none" w:sz="0" w:space="0" w:color="auto"/>
            <w:bottom w:val="none" w:sz="0" w:space="0" w:color="auto"/>
            <w:right w:val="none" w:sz="0" w:space="0" w:color="auto"/>
          </w:divBdr>
        </w:div>
        <w:div w:id="1101878419">
          <w:marLeft w:val="0"/>
          <w:marRight w:val="0"/>
          <w:marTop w:val="0"/>
          <w:marBottom w:val="0"/>
          <w:divBdr>
            <w:top w:val="none" w:sz="0" w:space="0" w:color="auto"/>
            <w:left w:val="none" w:sz="0" w:space="0" w:color="auto"/>
            <w:bottom w:val="none" w:sz="0" w:space="0" w:color="auto"/>
            <w:right w:val="none" w:sz="0" w:space="0" w:color="auto"/>
          </w:divBdr>
          <w:divsChild>
            <w:div w:id="551429681">
              <w:marLeft w:val="0"/>
              <w:marRight w:val="0"/>
              <w:marTop w:val="0"/>
              <w:marBottom w:val="0"/>
              <w:divBdr>
                <w:top w:val="none" w:sz="0" w:space="0" w:color="auto"/>
                <w:left w:val="none" w:sz="0" w:space="0" w:color="auto"/>
                <w:bottom w:val="none" w:sz="0" w:space="0" w:color="auto"/>
                <w:right w:val="none" w:sz="0" w:space="0" w:color="auto"/>
              </w:divBdr>
              <w:divsChild>
                <w:div w:id="47775999">
                  <w:marLeft w:val="0"/>
                  <w:marRight w:val="0"/>
                  <w:marTop w:val="0"/>
                  <w:marBottom w:val="0"/>
                  <w:divBdr>
                    <w:top w:val="none" w:sz="0" w:space="0" w:color="auto"/>
                    <w:left w:val="none" w:sz="0" w:space="0" w:color="auto"/>
                    <w:bottom w:val="none" w:sz="0" w:space="0" w:color="auto"/>
                    <w:right w:val="none" w:sz="0" w:space="0" w:color="auto"/>
                  </w:divBdr>
                </w:div>
                <w:div w:id="69279175">
                  <w:marLeft w:val="0"/>
                  <w:marRight w:val="0"/>
                  <w:marTop w:val="0"/>
                  <w:marBottom w:val="0"/>
                  <w:divBdr>
                    <w:top w:val="none" w:sz="0" w:space="0" w:color="auto"/>
                    <w:left w:val="none" w:sz="0" w:space="0" w:color="auto"/>
                    <w:bottom w:val="none" w:sz="0" w:space="0" w:color="auto"/>
                    <w:right w:val="none" w:sz="0" w:space="0" w:color="auto"/>
                  </w:divBdr>
                </w:div>
                <w:div w:id="81489064">
                  <w:marLeft w:val="0"/>
                  <w:marRight w:val="0"/>
                  <w:marTop w:val="0"/>
                  <w:marBottom w:val="0"/>
                  <w:divBdr>
                    <w:top w:val="none" w:sz="0" w:space="0" w:color="auto"/>
                    <w:left w:val="none" w:sz="0" w:space="0" w:color="auto"/>
                    <w:bottom w:val="none" w:sz="0" w:space="0" w:color="auto"/>
                    <w:right w:val="none" w:sz="0" w:space="0" w:color="auto"/>
                  </w:divBdr>
                </w:div>
                <w:div w:id="104084213">
                  <w:marLeft w:val="0"/>
                  <w:marRight w:val="0"/>
                  <w:marTop w:val="0"/>
                  <w:marBottom w:val="0"/>
                  <w:divBdr>
                    <w:top w:val="none" w:sz="0" w:space="0" w:color="auto"/>
                    <w:left w:val="none" w:sz="0" w:space="0" w:color="auto"/>
                    <w:bottom w:val="none" w:sz="0" w:space="0" w:color="auto"/>
                    <w:right w:val="none" w:sz="0" w:space="0" w:color="auto"/>
                  </w:divBdr>
                </w:div>
                <w:div w:id="160584752">
                  <w:marLeft w:val="0"/>
                  <w:marRight w:val="0"/>
                  <w:marTop w:val="0"/>
                  <w:marBottom w:val="0"/>
                  <w:divBdr>
                    <w:top w:val="none" w:sz="0" w:space="0" w:color="auto"/>
                    <w:left w:val="none" w:sz="0" w:space="0" w:color="auto"/>
                    <w:bottom w:val="none" w:sz="0" w:space="0" w:color="auto"/>
                    <w:right w:val="none" w:sz="0" w:space="0" w:color="auto"/>
                  </w:divBdr>
                </w:div>
                <w:div w:id="228618419">
                  <w:marLeft w:val="0"/>
                  <w:marRight w:val="0"/>
                  <w:marTop w:val="0"/>
                  <w:marBottom w:val="0"/>
                  <w:divBdr>
                    <w:top w:val="none" w:sz="0" w:space="0" w:color="auto"/>
                    <w:left w:val="none" w:sz="0" w:space="0" w:color="auto"/>
                    <w:bottom w:val="none" w:sz="0" w:space="0" w:color="auto"/>
                    <w:right w:val="none" w:sz="0" w:space="0" w:color="auto"/>
                  </w:divBdr>
                </w:div>
                <w:div w:id="246229542">
                  <w:marLeft w:val="0"/>
                  <w:marRight w:val="0"/>
                  <w:marTop w:val="0"/>
                  <w:marBottom w:val="0"/>
                  <w:divBdr>
                    <w:top w:val="none" w:sz="0" w:space="0" w:color="auto"/>
                    <w:left w:val="none" w:sz="0" w:space="0" w:color="auto"/>
                    <w:bottom w:val="none" w:sz="0" w:space="0" w:color="auto"/>
                    <w:right w:val="none" w:sz="0" w:space="0" w:color="auto"/>
                  </w:divBdr>
                </w:div>
                <w:div w:id="408506120">
                  <w:marLeft w:val="0"/>
                  <w:marRight w:val="0"/>
                  <w:marTop w:val="0"/>
                  <w:marBottom w:val="0"/>
                  <w:divBdr>
                    <w:top w:val="none" w:sz="0" w:space="0" w:color="auto"/>
                    <w:left w:val="none" w:sz="0" w:space="0" w:color="auto"/>
                    <w:bottom w:val="none" w:sz="0" w:space="0" w:color="auto"/>
                    <w:right w:val="none" w:sz="0" w:space="0" w:color="auto"/>
                  </w:divBdr>
                </w:div>
                <w:div w:id="685980632">
                  <w:marLeft w:val="0"/>
                  <w:marRight w:val="0"/>
                  <w:marTop w:val="0"/>
                  <w:marBottom w:val="0"/>
                  <w:divBdr>
                    <w:top w:val="none" w:sz="0" w:space="0" w:color="auto"/>
                    <w:left w:val="none" w:sz="0" w:space="0" w:color="auto"/>
                    <w:bottom w:val="none" w:sz="0" w:space="0" w:color="auto"/>
                    <w:right w:val="none" w:sz="0" w:space="0" w:color="auto"/>
                  </w:divBdr>
                </w:div>
                <w:div w:id="735276228">
                  <w:marLeft w:val="0"/>
                  <w:marRight w:val="0"/>
                  <w:marTop w:val="0"/>
                  <w:marBottom w:val="0"/>
                  <w:divBdr>
                    <w:top w:val="none" w:sz="0" w:space="0" w:color="auto"/>
                    <w:left w:val="none" w:sz="0" w:space="0" w:color="auto"/>
                    <w:bottom w:val="none" w:sz="0" w:space="0" w:color="auto"/>
                    <w:right w:val="none" w:sz="0" w:space="0" w:color="auto"/>
                  </w:divBdr>
                </w:div>
                <w:div w:id="846208745">
                  <w:marLeft w:val="0"/>
                  <w:marRight w:val="0"/>
                  <w:marTop w:val="0"/>
                  <w:marBottom w:val="0"/>
                  <w:divBdr>
                    <w:top w:val="none" w:sz="0" w:space="0" w:color="auto"/>
                    <w:left w:val="none" w:sz="0" w:space="0" w:color="auto"/>
                    <w:bottom w:val="none" w:sz="0" w:space="0" w:color="auto"/>
                    <w:right w:val="none" w:sz="0" w:space="0" w:color="auto"/>
                  </w:divBdr>
                </w:div>
                <w:div w:id="972712677">
                  <w:marLeft w:val="0"/>
                  <w:marRight w:val="0"/>
                  <w:marTop w:val="0"/>
                  <w:marBottom w:val="0"/>
                  <w:divBdr>
                    <w:top w:val="none" w:sz="0" w:space="0" w:color="auto"/>
                    <w:left w:val="none" w:sz="0" w:space="0" w:color="auto"/>
                    <w:bottom w:val="none" w:sz="0" w:space="0" w:color="auto"/>
                    <w:right w:val="none" w:sz="0" w:space="0" w:color="auto"/>
                  </w:divBdr>
                </w:div>
                <w:div w:id="1108692924">
                  <w:marLeft w:val="0"/>
                  <w:marRight w:val="0"/>
                  <w:marTop w:val="0"/>
                  <w:marBottom w:val="0"/>
                  <w:divBdr>
                    <w:top w:val="none" w:sz="0" w:space="0" w:color="auto"/>
                    <w:left w:val="none" w:sz="0" w:space="0" w:color="auto"/>
                    <w:bottom w:val="none" w:sz="0" w:space="0" w:color="auto"/>
                    <w:right w:val="none" w:sz="0" w:space="0" w:color="auto"/>
                  </w:divBdr>
                </w:div>
                <w:div w:id="1240863888">
                  <w:marLeft w:val="0"/>
                  <w:marRight w:val="0"/>
                  <w:marTop w:val="0"/>
                  <w:marBottom w:val="0"/>
                  <w:divBdr>
                    <w:top w:val="none" w:sz="0" w:space="0" w:color="auto"/>
                    <w:left w:val="none" w:sz="0" w:space="0" w:color="auto"/>
                    <w:bottom w:val="none" w:sz="0" w:space="0" w:color="auto"/>
                    <w:right w:val="none" w:sz="0" w:space="0" w:color="auto"/>
                  </w:divBdr>
                </w:div>
                <w:div w:id="1568568888">
                  <w:marLeft w:val="0"/>
                  <w:marRight w:val="0"/>
                  <w:marTop w:val="0"/>
                  <w:marBottom w:val="0"/>
                  <w:divBdr>
                    <w:top w:val="none" w:sz="0" w:space="0" w:color="auto"/>
                    <w:left w:val="none" w:sz="0" w:space="0" w:color="auto"/>
                    <w:bottom w:val="none" w:sz="0" w:space="0" w:color="auto"/>
                    <w:right w:val="none" w:sz="0" w:space="0" w:color="auto"/>
                  </w:divBdr>
                </w:div>
                <w:div w:id="1573848701">
                  <w:marLeft w:val="0"/>
                  <w:marRight w:val="0"/>
                  <w:marTop w:val="0"/>
                  <w:marBottom w:val="0"/>
                  <w:divBdr>
                    <w:top w:val="none" w:sz="0" w:space="0" w:color="auto"/>
                    <w:left w:val="none" w:sz="0" w:space="0" w:color="auto"/>
                    <w:bottom w:val="none" w:sz="0" w:space="0" w:color="auto"/>
                    <w:right w:val="none" w:sz="0" w:space="0" w:color="auto"/>
                  </w:divBdr>
                </w:div>
                <w:div w:id="1601260356">
                  <w:marLeft w:val="0"/>
                  <w:marRight w:val="0"/>
                  <w:marTop w:val="0"/>
                  <w:marBottom w:val="0"/>
                  <w:divBdr>
                    <w:top w:val="none" w:sz="0" w:space="0" w:color="auto"/>
                    <w:left w:val="none" w:sz="0" w:space="0" w:color="auto"/>
                    <w:bottom w:val="none" w:sz="0" w:space="0" w:color="auto"/>
                    <w:right w:val="none" w:sz="0" w:space="0" w:color="auto"/>
                  </w:divBdr>
                </w:div>
                <w:div w:id="1790272621">
                  <w:marLeft w:val="0"/>
                  <w:marRight w:val="0"/>
                  <w:marTop w:val="0"/>
                  <w:marBottom w:val="0"/>
                  <w:divBdr>
                    <w:top w:val="none" w:sz="0" w:space="0" w:color="auto"/>
                    <w:left w:val="none" w:sz="0" w:space="0" w:color="auto"/>
                    <w:bottom w:val="none" w:sz="0" w:space="0" w:color="auto"/>
                    <w:right w:val="none" w:sz="0" w:space="0" w:color="auto"/>
                  </w:divBdr>
                </w:div>
                <w:div w:id="1816946702">
                  <w:marLeft w:val="0"/>
                  <w:marRight w:val="0"/>
                  <w:marTop w:val="0"/>
                  <w:marBottom w:val="0"/>
                  <w:divBdr>
                    <w:top w:val="none" w:sz="0" w:space="0" w:color="auto"/>
                    <w:left w:val="none" w:sz="0" w:space="0" w:color="auto"/>
                    <w:bottom w:val="none" w:sz="0" w:space="0" w:color="auto"/>
                    <w:right w:val="none" w:sz="0" w:space="0" w:color="auto"/>
                  </w:divBdr>
                </w:div>
                <w:div w:id="1834369520">
                  <w:marLeft w:val="0"/>
                  <w:marRight w:val="0"/>
                  <w:marTop w:val="0"/>
                  <w:marBottom w:val="0"/>
                  <w:divBdr>
                    <w:top w:val="none" w:sz="0" w:space="0" w:color="auto"/>
                    <w:left w:val="none" w:sz="0" w:space="0" w:color="auto"/>
                    <w:bottom w:val="none" w:sz="0" w:space="0" w:color="auto"/>
                    <w:right w:val="none" w:sz="0" w:space="0" w:color="auto"/>
                  </w:divBdr>
                </w:div>
                <w:div w:id="1910653948">
                  <w:marLeft w:val="0"/>
                  <w:marRight w:val="0"/>
                  <w:marTop w:val="0"/>
                  <w:marBottom w:val="0"/>
                  <w:divBdr>
                    <w:top w:val="none" w:sz="0" w:space="0" w:color="auto"/>
                    <w:left w:val="none" w:sz="0" w:space="0" w:color="auto"/>
                    <w:bottom w:val="none" w:sz="0" w:space="0" w:color="auto"/>
                    <w:right w:val="none" w:sz="0" w:space="0" w:color="auto"/>
                  </w:divBdr>
                </w:div>
                <w:div w:id="1960410681">
                  <w:marLeft w:val="0"/>
                  <w:marRight w:val="0"/>
                  <w:marTop w:val="0"/>
                  <w:marBottom w:val="0"/>
                  <w:divBdr>
                    <w:top w:val="none" w:sz="0" w:space="0" w:color="auto"/>
                    <w:left w:val="none" w:sz="0" w:space="0" w:color="auto"/>
                    <w:bottom w:val="none" w:sz="0" w:space="0" w:color="auto"/>
                    <w:right w:val="none" w:sz="0" w:space="0" w:color="auto"/>
                  </w:divBdr>
                </w:div>
                <w:div w:id="1998149311">
                  <w:marLeft w:val="0"/>
                  <w:marRight w:val="0"/>
                  <w:marTop w:val="0"/>
                  <w:marBottom w:val="0"/>
                  <w:divBdr>
                    <w:top w:val="none" w:sz="0" w:space="0" w:color="auto"/>
                    <w:left w:val="none" w:sz="0" w:space="0" w:color="auto"/>
                    <w:bottom w:val="none" w:sz="0" w:space="0" w:color="auto"/>
                    <w:right w:val="none" w:sz="0" w:space="0" w:color="auto"/>
                  </w:divBdr>
                </w:div>
                <w:div w:id="21165577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8940358">
          <w:marLeft w:val="0"/>
          <w:marRight w:val="0"/>
          <w:marTop w:val="0"/>
          <w:marBottom w:val="0"/>
          <w:divBdr>
            <w:top w:val="none" w:sz="0" w:space="0" w:color="auto"/>
            <w:left w:val="none" w:sz="0" w:space="0" w:color="auto"/>
            <w:bottom w:val="none" w:sz="0" w:space="0" w:color="auto"/>
            <w:right w:val="none" w:sz="0" w:space="0" w:color="auto"/>
          </w:divBdr>
        </w:div>
        <w:div w:id="1157260125">
          <w:marLeft w:val="0"/>
          <w:marRight w:val="0"/>
          <w:marTop w:val="0"/>
          <w:marBottom w:val="0"/>
          <w:divBdr>
            <w:top w:val="none" w:sz="0" w:space="0" w:color="auto"/>
            <w:left w:val="none" w:sz="0" w:space="0" w:color="auto"/>
            <w:bottom w:val="none" w:sz="0" w:space="0" w:color="auto"/>
            <w:right w:val="none" w:sz="0" w:space="0" w:color="auto"/>
          </w:divBdr>
        </w:div>
        <w:div w:id="1285893192">
          <w:marLeft w:val="0"/>
          <w:marRight w:val="0"/>
          <w:marTop w:val="0"/>
          <w:marBottom w:val="0"/>
          <w:divBdr>
            <w:top w:val="none" w:sz="0" w:space="0" w:color="auto"/>
            <w:left w:val="none" w:sz="0" w:space="0" w:color="auto"/>
            <w:bottom w:val="none" w:sz="0" w:space="0" w:color="auto"/>
            <w:right w:val="none" w:sz="0" w:space="0" w:color="auto"/>
          </w:divBdr>
        </w:div>
        <w:div w:id="1309869991">
          <w:marLeft w:val="0"/>
          <w:marRight w:val="0"/>
          <w:marTop w:val="0"/>
          <w:marBottom w:val="0"/>
          <w:divBdr>
            <w:top w:val="none" w:sz="0" w:space="0" w:color="auto"/>
            <w:left w:val="none" w:sz="0" w:space="0" w:color="auto"/>
            <w:bottom w:val="none" w:sz="0" w:space="0" w:color="auto"/>
            <w:right w:val="none" w:sz="0" w:space="0" w:color="auto"/>
          </w:divBdr>
        </w:div>
        <w:div w:id="1336807693">
          <w:marLeft w:val="0"/>
          <w:marRight w:val="0"/>
          <w:marTop w:val="0"/>
          <w:marBottom w:val="0"/>
          <w:divBdr>
            <w:top w:val="none" w:sz="0" w:space="0" w:color="auto"/>
            <w:left w:val="none" w:sz="0" w:space="0" w:color="auto"/>
            <w:bottom w:val="none" w:sz="0" w:space="0" w:color="auto"/>
            <w:right w:val="none" w:sz="0" w:space="0" w:color="auto"/>
          </w:divBdr>
        </w:div>
        <w:div w:id="1408918761">
          <w:marLeft w:val="0"/>
          <w:marRight w:val="0"/>
          <w:marTop w:val="0"/>
          <w:marBottom w:val="0"/>
          <w:divBdr>
            <w:top w:val="none" w:sz="0" w:space="0" w:color="auto"/>
            <w:left w:val="none" w:sz="0" w:space="0" w:color="auto"/>
            <w:bottom w:val="none" w:sz="0" w:space="0" w:color="auto"/>
            <w:right w:val="none" w:sz="0" w:space="0" w:color="auto"/>
          </w:divBdr>
        </w:div>
        <w:div w:id="1501694478">
          <w:marLeft w:val="0"/>
          <w:marRight w:val="0"/>
          <w:marTop w:val="0"/>
          <w:marBottom w:val="0"/>
          <w:divBdr>
            <w:top w:val="none" w:sz="0" w:space="0" w:color="auto"/>
            <w:left w:val="none" w:sz="0" w:space="0" w:color="auto"/>
            <w:bottom w:val="none" w:sz="0" w:space="0" w:color="auto"/>
            <w:right w:val="none" w:sz="0" w:space="0" w:color="auto"/>
          </w:divBdr>
        </w:div>
        <w:div w:id="1533615655">
          <w:marLeft w:val="0"/>
          <w:marRight w:val="0"/>
          <w:marTop w:val="0"/>
          <w:marBottom w:val="0"/>
          <w:divBdr>
            <w:top w:val="none" w:sz="0" w:space="0" w:color="auto"/>
            <w:left w:val="none" w:sz="0" w:space="0" w:color="auto"/>
            <w:bottom w:val="none" w:sz="0" w:space="0" w:color="auto"/>
            <w:right w:val="none" w:sz="0" w:space="0" w:color="auto"/>
          </w:divBdr>
        </w:div>
        <w:div w:id="1623421475">
          <w:marLeft w:val="0"/>
          <w:marRight w:val="0"/>
          <w:marTop w:val="0"/>
          <w:marBottom w:val="0"/>
          <w:divBdr>
            <w:top w:val="none" w:sz="0" w:space="0" w:color="auto"/>
            <w:left w:val="none" w:sz="0" w:space="0" w:color="auto"/>
            <w:bottom w:val="none" w:sz="0" w:space="0" w:color="auto"/>
            <w:right w:val="none" w:sz="0" w:space="0" w:color="auto"/>
          </w:divBdr>
        </w:div>
        <w:div w:id="1747073145">
          <w:marLeft w:val="0"/>
          <w:marRight w:val="0"/>
          <w:marTop w:val="0"/>
          <w:marBottom w:val="0"/>
          <w:divBdr>
            <w:top w:val="none" w:sz="0" w:space="0" w:color="auto"/>
            <w:left w:val="none" w:sz="0" w:space="0" w:color="auto"/>
            <w:bottom w:val="none" w:sz="0" w:space="0" w:color="auto"/>
            <w:right w:val="none" w:sz="0" w:space="0" w:color="auto"/>
          </w:divBdr>
        </w:div>
        <w:div w:id="1768504073">
          <w:marLeft w:val="0"/>
          <w:marRight w:val="0"/>
          <w:marTop w:val="0"/>
          <w:marBottom w:val="0"/>
          <w:divBdr>
            <w:top w:val="none" w:sz="0" w:space="0" w:color="auto"/>
            <w:left w:val="none" w:sz="0" w:space="0" w:color="auto"/>
            <w:bottom w:val="none" w:sz="0" w:space="0" w:color="auto"/>
            <w:right w:val="none" w:sz="0" w:space="0" w:color="auto"/>
          </w:divBdr>
        </w:div>
        <w:div w:id="1930504797">
          <w:marLeft w:val="0"/>
          <w:marRight w:val="0"/>
          <w:marTop w:val="0"/>
          <w:marBottom w:val="0"/>
          <w:divBdr>
            <w:top w:val="none" w:sz="0" w:space="0" w:color="auto"/>
            <w:left w:val="none" w:sz="0" w:space="0" w:color="auto"/>
            <w:bottom w:val="none" w:sz="0" w:space="0" w:color="auto"/>
            <w:right w:val="none" w:sz="0" w:space="0" w:color="auto"/>
          </w:divBdr>
        </w:div>
      </w:divsChild>
    </w:div>
    <w:div w:id="1446386833">
      <w:bodyDiv w:val="1"/>
      <w:marLeft w:val="0"/>
      <w:marRight w:val="0"/>
      <w:marTop w:val="0"/>
      <w:marBottom w:val="0"/>
      <w:divBdr>
        <w:top w:val="none" w:sz="0" w:space="0" w:color="auto"/>
        <w:left w:val="none" w:sz="0" w:space="0" w:color="auto"/>
        <w:bottom w:val="none" w:sz="0" w:space="0" w:color="auto"/>
        <w:right w:val="none" w:sz="0" w:space="0" w:color="auto"/>
      </w:divBdr>
      <w:divsChild>
        <w:div w:id="442967612">
          <w:marLeft w:val="547"/>
          <w:marRight w:val="0"/>
          <w:marTop w:val="96"/>
          <w:marBottom w:val="0"/>
          <w:divBdr>
            <w:top w:val="none" w:sz="0" w:space="0" w:color="auto"/>
            <w:left w:val="none" w:sz="0" w:space="0" w:color="auto"/>
            <w:bottom w:val="none" w:sz="0" w:space="0" w:color="auto"/>
            <w:right w:val="none" w:sz="0" w:space="0" w:color="auto"/>
          </w:divBdr>
        </w:div>
      </w:divsChild>
    </w:div>
    <w:div w:id="1457675592">
      <w:bodyDiv w:val="1"/>
      <w:marLeft w:val="0"/>
      <w:marRight w:val="0"/>
      <w:marTop w:val="0"/>
      <w:marBottom w:val="0"/>
      <w:divBdr>
        <w:top w:val="none" w:sz="0" w:space="0" w:color="auto"/>
        <w:left w:val="none" w:sz="0" w:space="0" w:color="auto"/>
        <w:bottom w:val="none" w:sz="0" w:space="0" w:color="auto"/>
        <w:right w:val="none" w:sz="0" w:space="0" w:color="auto"/>
      </w:divBdr>
    </w:div>
    <w:div w:id="1469318245">
      <w:bodyDiv w:val="1"/>
      <w:marLeft w:val="0"/>
      <w:marRight w:val="0"/>
      <w:marTop w:val="0"/>
      <w:marBottom w:val="0"/>
      <w:divBdr>
        <w:top w:val="none" w:sz="0" w:space="0" w:color="auto"/>
        <w:left w:val="none" w:sz="0" w:space="0" w:color="auto"/>
        <w:bottom w:val="none" w:sz="0" w:space="0" w:color="auto"/>
        <w:right w:val="none" w:sz="0" w:space="0" w:color="auto"/>
      </w:divBdr>
    </w:div>
    <w:div w:id="1473474999">
      <w:bodyDiv w:val="1"/>
      <w:marLeft w:val="0"/>
      <w:marRight w:val="0"/>
      <w:marTop w:val="0"/>
      <w:marBottom w:val="0"/>
      <w:divBdr>
        <w:top w:val="none" w:sz="0" w:space="0" w:color="auto"/>
        <w:left w:val="none" w:sz="0" w:space="0" w:color="auto"/>
        <w:bottom w:val="none" w:sz="0" w:space="0" w:color="auto"/>
        <w:right w:val="none" w:sz="0" w:space="0" w:color="auto"/>
      </w:divBdr>
    </w:div>
    <w:div w:id="1492329883">
      <w:bodyDiv w:val="1"/>
      <w:marLeft w:val="0"/>
      <w:marRight w:val="0"/>
      <w:marTop w:val="0"/>
      <w:marBottom w:val="0"/>
      <w:divBdr>
        <w:top w:val="none" w:sz="0" w:space="0" w:color="auto"/>
        <w:left w:val="none" w:sz="0" w:space="0" w:color="auto"/>
        <w:bottom w:val="none" w:sz="0" w:space="0" w:color="auto"/>
        <w:right w:val="none" w:sz="0" w:space="0" w:color="auto"/>
      </w:divBdr>
    </w:div>
    <w:div w:id="1493907890">
      <w:bodyDiv w:val="1"/>
      <w:marLeft w:val="0"/>
      <w:marRight w:val="0"/>
      <w:marTop w:val="0"/>
      <w:marBottom w:val="0"/>
      <w:divBdr>
        <w:top w:val="none" w:sz="0" w:space="0" w:color="auto"/>
        <w:left w:val="none" w:sz="0" w:space="0" w:color="auto"/>
        <w:bottom w:val="none" w:sz="0" w:space="0" w:color="auto"/>
        <w:right w:val="none" w:sz="0" w:space="0" w:color="auto"/>
      </w:divBdr>
      <w:divsChild>
        <w:div w:id="1248733652">
          <w:marLeft w:val="0"/>
          <w:marRight w:val="0"/>
          <w:marTop w:val="0"/>
          <w:marBottom w:val="0"/>
          <w:divBdr>
            <w:top w:val="none" w:sz="0" w:space="0" w:color="auto"/>
            <w:left w:val="none" w:sz="0" w:space="0" w:color="auto"/>
            <w:bottom w:val="none" w:sz="0" w:space="0" w:color="auto"/>
            <w:right w:val="none" w:sz="0" w:space="0" w:color="auto"/>
          </w:divBdr>
        </w:div>
        <w:div w:id="1328023271">
          <w:marLeft w:val="0"/>
          <w:marRight w:val="0"/>
          <w:marTop w:val="0"/>
          <w:marBottom w:val="0"/>
          <w:divBdr>
            <w:top w:val="none" w:sz="0" w:space="0" w:color="auto"/>
            <w:left w:val="none" w:sz="0" w:space="0" w:color="auto"/>
            <w:bottom w:val="none" w:sz="0" w:space="0" w:color="auto"/>
            <w:right w:val="none" w:sz="0" w:space="0" w:color="auto"/>
          </w:divBdr>
        </w:div>
        <w:div w:id="1723019620">
          <w:marLeft w:val="0"/>
          <w:marRight w:val="0"/>
          <w:marTop w:val="0"/>
          <w:marBottom w:val="0"/>
          <w:divBdr>
            <w:top w:val="none" w:sz="0" w:space="0" w:color="auto"/>
            <w:left w:val="none" w:sz="0" w:space="0" w:color="auto"/>
            <w:bottom w:val="none" w:sz="0" w:space="0" w:color="auto"/>
            <w:right w:val="none" w:sz="0" w:space="0" w:color="auto"/>
          </w:divBdr>
        </w:div>
        <w:div w:id="1882206008">
          <w:marLeft w:val="0"/>
          <w:marRight w:val="0"/>
          <w:marTop w:val="0"/>
          <w:marBottom w:val="0"/>
          <w:divBdr>
            <w:top w:val="none" w:sz="0" w:space="0" w:color="auto"/>
            <w:left w:val="none" w:sz="0" w:space="0" w:color="auto"/>
            <w:bottom w:val="none" w:sz="0" w:space="0" w:color="auto"/>
            <w:right w:val="none" w:sz="0" w:space="0" w:color="auto"/>
          </w:divBdr>
        </w:div>
        <w:div w:id="2067756429">
          <w:marLeft w:val="0"/>
          <w:marRight w:val="0"/>
          <w:marTop w:val="0"/>
          <w:marBottom w:val="0"/>
          <w:divBdr>
            <w:top w:val="none" w:sz="0" w:space="0" w:color="auto"/>
            <w:left w:val="none" w:sz="0" w:space="0" w:color="auto"/>
            <w:bottom w:val="none" w:sz="0" w:space="0" w:color="auto"/>
            <w:right w:val="none" w:sz="0" w:space="0" w:color="auto"/>
          </w:divBdr>
        </w:div>
      </w:divsChild>
    </w:div>
    <w:div w:id="1509056263">
      <w:bodyDiv w:val="1"/>
      <w:marLeft w:val="0"/>
      <w:marRight w:val="0"/>
      <w:marTop w:val="0"/>
      <w:marBottom w:val="0"/>
      <w:divBdr>
        <w:top w:val="none" w:sz="0" w:space="0" w:color="auto"/>
        <w:left w:val="none" w:sz="0" w:space="0" w:color="auto"/>
        <w:bottom w:val="none" w:sz="0" w:space="0" w:color="auto"/>
        <w:right w:val="none" w:sz="0" w:space="0" w:color="auto"/>
      </w:divBdr>
    </w:div>
    <w:div w:id="1514880857">
      <w:bodyDiv w:val="1"/>
      <w:marLeft w:val="0"/>
      <w:marRight w:val="0"/>
      <w:marTop w:val="0"/>
      <w:marBottom w:val="0"/>
      <w:divBdr>
        <w:top w:val="none" w:sz="0" w:space="0" w:color="auto"/>
        <w:left w:val="none" w:sz="0" w:space="0" w:color="auto"/>
        <w:bottom w:val="none" w:sz="0" w:space="0" w:color="auto"/>
        <w:right w:val="none" w:sz="0" w:space="0" w:color="auto"/>
      </w:divBdr>
    </w:div>
    <w:div w:id="1518035356">
      <w:bodyDiv w:val="1"/>
      <w:marLeft w:val="0"/>
      <w:marRight w:val="0"/>
      <w:marTop w:val="0"/>
      <w:marBottom w:val="0"/>
      <w:divBdr>
        <w:top w:val="none" w:sz="0" w:space="0" w:color="auto"/>
        <w:left w:val="none" w:sz="0" w:space="0" w:color="auto"/>
        <w:bottom w:val="none" w:sz="0" w:space="0" w:color="auto"/>
        <w:right w:val="none" w:sz="0" w:space="0" w:color="auto"/>
      </w:divBdr>
    </w:div>
    <w:div w:id="1518887364">
      <w:bodyDiv w:val="1"/>
      <w:marLeft w:val="0"/>
      <w:marRight w:val="0"/>
      <w:marTop w:val="0"/>
      <w:marBottom w:val="0"/>
      <w:divBdr>
        <w:top w:val="none" w:sz="0" w:space="0" w:color="auto"/>
        <w:left w:val="none" w:sz="0" w:space="0" w:color="auto"/>
        <w:bottom w:val="none" w:sz="0" w:space="0" w:color="auto"/>
        <w:right w:val="none" w:sz="0" w:space="0" w:color="auto"/>
      </w:divBdr>
    </w:div>
    <w:div w:id="1520581388">
      <w:bodyDiv w:val="1"/>
      <w:marLeft w:val="0"/>
      <w:marRight w:val="0"/>
      <w:marTop w:val="0"/>
      <w:marBottom w:val="0"/>
      <w:divBdr>
        <w:top w:val="none" w:sz="0" w:space="0" w:color="auto"/>
        <w:left w:val="none" w:sz="0" w:space="0" w:color="auto"/>
        <w:bottom w:val="none" w:sz="0" w:space="0" w:color="auto"/>
        <w:right w:val="none" w:sz="0" w:space="0" w:color="auto"/>
      </w:divBdr>
    </w:div>
    <w:div w:id="1522278581">
      <w:bodyDiv w:val="1"/>
      <w:marLeft w:val="0"/>
      <w:marRight w:val="0"/>
      <w:marTop w:val="0"/>
      <w:marBottom w:val="0"/>
      <w:divBdr>
        <w:top w:val="none" w:sz="0" w:space="0" w:color="auto"/>
        <w:left w:val="none" w:sz="0" w:space="0" w:color="auto"/>
        <w:bottom w:val="none" w:sz="0" w:space="0" w:color="auto"/>
        <w:right w:val="none" w:sz="0" w:space="0" w:color="auto"/>
      </w:divBdr>
    </w:div>
    <w:div w:id="1532259573">
      <w:bodyDiv w:val="1"/>
      <w:marLeft w:val="0"/>
      <w:marRight w:val="0"/>
      <w:marTop w:val="0"/>
      <w:marBottom w:val="0"/>
      <w:divBdr>
        <w:top w:val="none" w:sz="0" w:space="0" w:color="auto"/>
        <w:left w:val="none" w:sz="0" w:space="0" w:color="auto"/>
        <w:bottom w:val="none" w:sz="0" w:space="0" w:color="auto"/>
        <w:right w:val="none" w:sz="0" w:space="0" w:color="auto"/>
      </w:divBdr>
    </w:div>
    <w:div w:id="1533610900">
      <w:bodyDiv w:val="1"/>
      <w:marLeft w:val="0"/>
      <w:marRight w:val="0"/>
      <w:marTop w:val="0"/>
      <w:marBottom w:val="0"/>
      <w:divBdr>
        <w:top w:val="none" w:sz="0" w:space="0" w:color="auto"/>
        <w:left w:val="none" w:sz="0" w:space="0" w:color="auto"/>
        <w:bottom w:val="none" w:sz="0" w:space="0" w:color="auto"/>
        <w:right w:val="none" w:sz="0" w:space="0" w:color="auto"/>
      </w:divBdr>
    </w:div>
    <w:div w:id="1539050888">
      <w:bodyDiv w:val="1"/>
      <w:marLeft w:val="0"/>
      <w:marRight w:val="0"/>
      <w:marTop w:val="0"/>
      <w:marBottom w:val="0"/>
      <w:divBdr>
        <w:top w:val="none" w:sz="0" w:space="0" w:color="auto"/>
        <w:left w:val="none" w:sz="0" w:space="0" w:color="auto"/>
        <w:bottom w:val="none" w:sz="0" w:space="0" w:color="auto"/>
        <w:right w:val="none" w:sz="0" w:space="0" w:color="auto"/>
      </w:divBdr>
    </w:div>
    <w:div w:id="1541669475">
      <w:bodyDiv w:val="1"/>
      <w:marLeft w:val="0"/>
      <w:marRight w:val="0"/>
      <w:marTop w:val="0"/>
      <w:marBottom w:val="0"/>
      <w:divBdr>
        <w:top w:val="none" w:sz="0" w:space="0" w:color="auto"/>
        <w:left w:val="none" w:sz="0" w:space="0" w:color="auto"/>
        <w:bottom w:val="none" w:sz="0" w:space="0" w:color="auto"/>
        <w:right w:val="none" w:sz="0" w:space="0" w:color="auto"/>
      </w:divBdr>
    </w:div>
    <w:div w:id="1543903143">
      <w:bodyDiv w:val="1"/>
      <w:marLeft w:val="0"/>
      <w:marRight w:val="0"/>
      <w:marTop w:val="0"/>
      <w:marBottom w:val="0"/>
      <w:divBdr>
        <w:top w:val="none" w:sz="0" w:space="0" w:color="auto"/>
        <w:left w:val="none" w:sz="0" w:space="0" w:color="auto"/>
        <w:bottom w:val="none" w:sz="0" w:space="0" w:color="auto"/>
        <w:right w:val="none" w:sz="0" w:space="0" w:color="auto"/>
      </w:divBdr>
    </w:div>
    <w:div w:id="1549145632">
      <w:bodyDiv w:val="1"/>
      <w:marLeft w:val="0"/>
      <w:marRight w:val="0"/>
      <w:marTop w:val="0"/>
      <w:marBottom w:val="0"/>
      <w:divBdr>
        <w:top w:val="none" w:sz="0" w:space="0" w:color="auto"/>
        <w:left w:val="none" w:sz="0" w:space="0" w:color="auto"/>
        <w:bottom w:val="none" w:sz="0" w:space="0" w:color="auto"/>
        <w:right w:val="none" w:sz="0" w:space="0" w:color="auto"/>
      </w:divBdr>
    </w:div>
    <w:div w:id="1567377636">
      <w:bodyDiv w:val="1"/>
      <w:marLeft w:val="0"/>
      <w:marRight w:val="0"/>
      <w:marTop w:val="0"/>
      <w:marBottom w:val="0"/>
      <w:divBdr>
        <w:top w:val="none" w:sz="0" w:space="0" w:color="auto"/>
        <w:left w:val="none" w:sz="0" w:space="0" w:color="auto"/>
        <w:bottom w:val="none" w:sz="0" w:space="0" w:color="auto"/>
        <w:right w:val="none" w:sz="0" w:space="0" w:color="auto"/>
      </w:divBdr>
    </w:div>
    <w:div w:id="1569805218">
      <w:bodyDiv w:val="1"/>
      <w:marLeft w:val="0"/>
      <w:marRight w:val="0"/>
      <w:marTop w:val="0"/>
      <w:marBottom w:val="0"/>
      <w:divBdr>
        <w:top w:val="none" w:sz="0" w:space="0" w:color="auto"/>
        <w:left w:val="none" w:sz="0" w:space="0" w:color="auto"/>
        <w:bottom w:val="none" w:sz="0" w:space="0" w:color="auto"/>
        <w:right w:val="none" w:sz="0" w:space="0" w:color="auto"/>
      </w:divBdr>
    </w:div>
    <w:div w:id="1586068856">
      <w:bodyDiv w:val="1"/>
      <w:marLeft w:val="0"/>
      <w:marRight w:val="0"/>
      <w:marTop w:val="0"/>
      <w:marBottom w:val="0"/>
      <w:divBdr>
        <w:top w:val="none" w:sz="0" w:space="0" w:color="auto"/>
        <w:left w:val="none" w:sz="0" w:space="0" w:color="auto"/>
        <w:bottom w:val="none" w:sz="0" w:space="0" w:color="auto"/>
        <w:right w:val="none" w:sz="0" w:space="0" w:color="auto"/>
      </w:divBdr>
    </w:div>
    <w:div w:id="1590967685">
      <w:bodyDiv w:val="1"/>
      <w:marLeft w:val="0"/>
      <w:marRight w:val="0"/>
      <w:marTop w:val="0"/>
      <w:marBottom w:val="0"/>
      <w:divBdr>
        <w:top w:val="none" w:sz="0" w:space="0" w:color="auto"/>
        <w:left w:val="none" w:sz="0" w:space="0" w:color="auto"/>
        <w:bottom w:val="none" w:sz="0" w:space="0" w:color="auto"/>
        <w:right w:val="none" w:sz="0" w:space="0" w:color="auto"/>
      </w:divBdr>
    </w:div>
    <w:div w:id="1592005907">
      <w:bodyDiv w:val="1"/>
      <w:marLeft w:val="0"/>
      <w:marRight w:val="0"/>
      <w:marTop w:val="0"/>
      <w:marBottom w:val="0"/>
      <w:divBdr>
        <w:top w:val="none" w:sz="0" w:space="0" w:color="auto"/>
        <w:left w:val="none" w:sz="0" w:space="0" w:color="auto"/>
        <w:bottom w:val="none" w:sz="0" w:space="0" w:color="auto"/>
        <w:right w:val="none" w:sz="0" w:space="0" w:color="auto"/>
      </w:divBdr>
    </w:div>
    <w:div w:id="1606771199">
      <w:bodyDiv w:val="1"/>
      <w:marLeft w:val="0"/>
      <w:marRight w:val="0"/>
      <w:marTop w:val="0"/>
      <w:marBottom w:val="0"/>
      <w:divBdr>
        <w:top w:val="none" w:sz="0" w:space="0" w:color="auto"/>
        <w:left w:val="none" w:sz="0" w:space="0" w:color="auto"/>
        <w:bottom w:val="none" w:sz="0" w:space="0" w:color="auto"/>
        <w:right w:val="none" w:sz="0" w:space="0" w:color="auto"/>
      </w:divBdr>
    </w:div>
    <w:div w:id="1611663818">
      <w:bodyDiv w:val="1"/>
      <w:marLeft w:val="0"/>
      <w:marRight w:val="0"/>
      <w:marTop w:val="0"/>
      <w:marBottom w:val="0"/>
      <w:divBdr>
        <w:top w:val="none" w:sz="0" w:space="0" w:color="auto"/>
        <w:left w:val="none" w:sz="0" w:space="0" w:color="auto"/>
        <w:bottom w:val="none" w:sz="0" w:space="0" w:color="auto"/>
        <w:right w:val="none" w:sz="0" w:space="0" w:color="auto"/>
      </w:divBdr>
    </w:div>
    <w:div w:id="1616673059">
      <w:bodyDiv w:val="1"/>
      <w:marLeft w:val="0"/>
      <w:marRight w:val="0"/>
      <w:marTop w:val="0"/>
      <w:marBottom w:val="0"/>
      <w:divBdr>
        <w:top w:val="none" w:sz="0" w:space="0" w:color="auto"/>
        <w:left w:val="none" w:sz="0" w:space="0" w:color="auto"/>
        <w:bottom w:val="none" w:sz="0" w:space="0" w:color="auto"/>
        <w:right w:val="none" w:sz="0" w:space="0" w:color="auto"/>
      </w:divBdr>
    </w:div>
    <w:div w:id="1629624441">
      <w:bodyDiv w:val="1"/>
      <w:marLeft w:val="0"/>
      <w:marRight w:val="0"/>
      <w:marTop w:val="0"/>
      <w:marBottom w:val="0"/>
      <w:divBdr>
        <w:top w:val="none" w:sz="0" w:space="0" w:color="auto"/>
        <w:left w:val="none" w:sz="0" w:space="0" w:color="auto"/>
        <w:bottom w:val="none" w:sz="0" w:space="0" w:color="auto"/>
        <w:right w:val="none" w:sz="0" w:space="0" w:color="auto"/>
      </w:divBdr>
    </w:div>
    <w:div w:id="1639845238">
      <w:bodyDiv w:val="1"/>
      <w:marLeft w:val="0"/>
      <w:marRight w:val="0"/>
      <w:marTop w:val="0"/>
      <w:marBottom w:val="0"/>
      <w:divBdr>
        <w:top w:val="none" w:sz="0" w:space="0" w:color="auto"/>
        <w:left w:val="none" w:sz="0" w:space="0" w:color="auto"/>
        <w:bottom w:val="none" w:sz="0" w:space="0" w:color="auto"/>
        <w:right w:val="none" w:sz="0" w:space="0" w:color="auto"/>
      </w:divBdr>
    </w:div>
    <w:div w:id="1640837204">
      <w:bodyDiv w:val="1"/>
      <w:marLeft w:val="0"/>
      <w:marRight w:val="0"/>
      <w:marTop w:val="0"/>
      <w:marBottom w:val="0"/>
      <w:divBdr>
        <w:top w:val="none" w:sz="0" w:space="0" w:color="auto"/>
        <w:left w:val="none" w:sz="0" w:space="0" w:color="auto"/>
        <w:bottom w:val="none" w:sz="0" w:space="0" w:color="auto"/>
        <w:right w:val="none" w:sz="0" w:space="0" w:color="auto"/>
      </w:divBdr>
    </w:div>
    <w:div w:id="1642615886">
      <w:bodyDiv w:val="1"/>
      <w:marLeft w:val="0"/>
      <w:marRight w:val="0"/>
      <w:marTop w:val="0"/>
      <w:marBottom w:val="0"/>
      <w:divBdr>
        <w:top w:val="none" w:sz="0" w:space="0" w:color="auto"/>
        <w:left w:val="none" w:sz="0" w:space="0" w:color="auto"/>
        <w:bottom w:val="none" w:sz="0" w:space="0" w:color="auto"/>
        <w:right w:val="none" w:sz="0" w:space="0" w:color="auto"/>
      </w:divBdr>
    </w:div>
    <w:div w:id="1643122329">
      <w:bodyDiv w:val="1"/>
      <w:marLeft w:val="0"/>
      <w:marRight w:val="0"/>
      <w:marTop w:val="0"/>
      <w:marBottom w:val="0"/>
      <w:divBdr>
        <w:top w:val="none" w:sz="0" w:space="0" w:color="auto"/>
        <w:left w:val="none" w:sz="0" w:space="0" w:color="auto"/>
        <w:bottom w:val="none" w:sz="0" w:space="0" w:color="auto"/>
        <w:right w:val="none" w:sz="0" w:space="0" w:color="auto"/>
      </w:divBdr>
    </w:div>
    <w:div w:id="1644919924">
      <w:bodyDiv w:val="1"/>
      <w:marLeft w:val="0"/>
      <w:marRight w:val="0"/>
      <w:marTop w:val="0"/>
      <w:marBottom w:val="0"/>
      <w:divBdr>
        <w:top w:val="none" w:sz="0" w:space="0" w:color="auto"/>
        <w:left w:val="none" w:sz="0" w:space="0" w:color="auto"/>
        <w:bottom w:val="none" w:sz="0" w:space="0" w:color="auto"/>
        <w:right w:val="none" w:sz="0" w:space="0" w:color="auto"/>
      </w:divBdr>
    </w:div>
    <w:div w:id="1658803704">
      <w:bodyDiv w:val="1"/>
      <w:marLeft w:val="0"/>
      <w:marRight w:val="0"/>
      <w:marTop w:val="0"/>
      <w:marBottom w:val="0"/>
      <w:divBdr>
        <w:top w:val="none" w:sz="0" w:space="0" w:color="auto"/>
        <w:left w:val="none" w:sz="0" w:space="0" w:color="auto"/>
        <w:bottom w:val="none" w:sz="0" w:space="0" w:color="auto"/>
        <w:right w:val="none" w:sz="0" w:space="0" w:color="auto"/>
      </w:divBdr>
    </w:div>
    <w:div w:id="1665550362">
      <w:bodyDiv w:val="1"/>
      <w:marLeft w:val="0"/>
      <w:marRight w:val="0"/>
      <w:marTop w:val="0"/>
      <w:marBottom w:val="0"/>
      <w:divBdr>
        <w:top w:val="none" w:sz="0" w:space="0" w:color="auto"/>
        <w:left w:val="none" w:sz="0" w:space="0" w:color="auto"/>
        <w:bottom w:val="none" w:sz="0" w:space="0" w:color="auto"/>
        <w:right w:val="none" w:sz="0" w:space="0" w:color="auto"/>
      </w:divBdr>
    </w:div>
    <w:div w:id="1671445649">
      <w:bodyDiv w:val="1"/>
      <w:marLeft w:val="0"/>
      <w:marRight w:val="0"/>
      <w:marTop w:val="0"/>
      <w:marBottom w:val="0"/>
      <w:divBdr>
        <w:top w:val="none" w:sz="0" w:space="0" w:color="auto"/>
        <w:left w:val="none" w:sz="0" w:space="0" w:color="auto"/>
        <w:bottom w:val="none" w:sz="0" w:space="0" w:color="auto"/>
        <w:right w:val="none" w:sz="0" w:space="0" w:color="auto"/>
      </w:divBdr>
    </w:div>
    <w:div w:id="1675180445">
      <w:bodyDiv w:val="1"/>
      <w:marLeft w:val="0"/>
      <w:marRight w:val="0"/>
      <w:marTop w:val="0"/>
      <w:marBottom w:val="0"/>
      <w:divBdr>
        <w:top w:val="none" w:sz="0" w:space="0" w:color="auto"/>
        <w:left w:val="none" w:sz="0" w:space="0" w:color="auto"/>
        <w:bottom w:val="none" w:sz="0" w:space="0" w:color="auto"/>
        <w:right w:val="none" w:sz="0" w:space="0" w:color="auto"/>
      </w:divBdr>
    </w:div>
    <w:div w:id="1679311801">
      <w:bodyDiv w:val="1"/>
      <w:marLeft w:val="0"/>
      <w:marRight w:val="0"/>
      <w:marTop w:val="0"/>
      <w:marBottom w:val="0"/>
      <w:divBdr>
        <w:top w:val="none" w:sz="0" w:space="0" w:color="auto"/>
        <w:left w:val="none" w:sz="0" w:space="0" w:color="auto"/>
        <w:bottom w:val="none" w:sz="0" w:space="0" w:color="auto"/>
        <w:right w:val="none" w:sz="0" w:space="0" w:color="auto"/>
      </w:divBdr>
    </w:div>
    <w:div w:id="1679846882">
      <w:bodyDiv w:val="1"/>
      <w:marLeft w:val="0"/>
      <w:marRight w:val="0"/>
      <w:marTop w:val="0"/>
      <w:marBottom w:val="0"/>
      <w:divBdr>
        <w:top w:val="none" w:sz="0" w:space="0" w:color="auto"/>
        <w:left w:val="none" w:sz="0" w:space="0" w:color="auto"/>
        <w:bottom w:val="none" w:sz="0" w:space="0" w:color="auto"/>
        <w:right w:val="none" w:sz="0" w:space="0" w:color="auto"/>
      </w:divBdr>
    </w:div>
    <w:div w:id="1695375850">
      <w:bodyDiv w:val="1"/>
      <w:marLeft w:val="0"/>
      <w:marRight w:val="0"/>
      <w:marTop w:val="0"/>
      <w:marBottom w:val="0"/>
      <w:divBdr>
        <w:top w:val="none" w:sz="0" w:space="0" w:color="auto"/>
        <w:left w:val="none" w:sz="0" w:space="0" w:color="auto"/>
        <w:bottom w:val="none" w:sz="0" w:space="0" w:color="auto"/>
        <w:right w:val="none" w:sz="0" w:space="0" w:color="auto"/>
      </w:divBdr>
    </w:div>
    <w:div w:id="1703628095">
      <w:bodyDiv w:val="1"/>
      <w:marLeft w:val="0"/>
      <w:marRight w:val="0"/>
      <w:marTop w:val="0"/>
      <w:marBottom w:val="0"/>
      <w:divBdr>
        <w:top w:val="none" w:sz="0" w:space="0" w:color="auto"/>
        <w:left w:val="none" w:sz="0" w:space="0" w:color="auto"/>
        <w:bottom w:val="none" w:sz="0" w:space="0" w:color="auto"/>
        <w:right w:val="none" w:sz="0" w:space="0" w:color="auto"/>
      </w:divBdr>
    </w:div>
    <w:div w:id="1707943532">
      <w:bodyDiv w:val="1"/>
      <w:marLeft w:val="0"/>
      <w:marRight w:val="0"/>
      <w:marTop w:val="0"/>
      <w:marBottom w:val="0"/>
      <w:divBdr>
        <w:top w:val="none" w:sz="0" w:space="0" w:color="auto"/>
        <w:left w:val="none" w:sz="0" w:space="0" w:color="auto"/>
        <w:bottom w:val="none" w:sz="0" w:space="0" w:color="auto"/>
        <w:right w:val="none" w:sz="0" w:space="0" w:color="auto"/>
      </w:divBdr>
    </w:div>
    <w:div w:id="1709407104">
      <w:bodyDiv w:val="1"/>
      <w:marLeft w:val="0"/>
      <w:marRight w:val="0"/>
      <w:marTop w:val="0"/>
      <w:marBottom w:val="0"/>
      <w:divBdr>
        <w:top w:val="none" w:sz="0" w:space="0" w:color="auto"/>
        <w:left w:val="none" w:sz="0" w:space="0" w:color="auto"/>
        <w:bottom w:val="none" w:sz="0" w:space="0" w:color="auto"/>
        <w:right w:val="none" w:sz="0" w:space="0" w:color="auto"/>
      </w:divBdr>
    </w:div>
    <w:div w:id="1713577138">
      <w:bodyDiv w:val="1"/>
      <w:marLeft w:val="0"/>
      <w:marRight w:val="0"/>
      <w:marTop w:val="0"/>
      <w:marBottom w:val="0"/>
      <w:divBdr>
        <w:top w:val="none" w:sz="0" w:space="0" w:color="auto"/>
        <w:left w:val="none" w:sz="0" w:space="0" w:color="auto"/>
        <w:bottom w:val="none" w:sz="0" w:space="0" w:color="auto"/>
        <w:right w:val="none" w:sz="0" w:space="0" w:color="auto"/>
      </w:divBdr>
    </w:div>
    <w:div w:id="1718092377">
      <w:bodyDiv w:val="1"/>
      <w:marLeft w:val="0"/>
      <w:marRight w:val="0"/>
      <w:marTop w:val="0"/>
      <w:marBottom w:val="0"/>
      <w:divBdr>
        <w:top w:val="none" w:sz="0" w:space="0" w:color="auto"/>
        <w:left w:val="none" w:sz="0" w:space="0" w:color="auto"/>
        <w:bottom w:val="none" w:sz="0" w:space="0" w:color="auto"/>
        <w:right w:val="none" w:sz="0" w:space="0" w:color="auto"/>
      </w:divBdr>
    </w:div>
    <w:div w:id="1723746226">
      <w:bodyDiv w:val="1"/>
      <w:marLeft w:val="0"/>
      <w:marRight w:val="0"/>
      <w:marTop w:val="0"/>
      <w:marBottom w:val="0"/>
      <w:divBdr>
        <w:top w:val="none" w:sz="0" w:space="0" w:color="auto"/>
        <w:left w:val="none" w:sz="0" w:space="0" w:color="auto"/>
        <w:bottom w:val="none" w:sz="0" w:space="0" w:color="auto"/>
        <w:right w:val="none" w:sz="0" w:space="0" w:color="auto"/>
      </w:divBdr>
    </w:div>
    <w:div w:id="1726834421">
      <w:bodyDiv w:val="1"/>
      <w:marLeft w:val="0"/>
      <w:marRight w:val="0"/>
      <w:marTop w:val="0"/>
      <w:marBottom w:val="0"/>
      <w:divBdr>
        <w:top w:val="none" w:sz="0" w:space="0" w:color="auto"/>
        <w:left w:val="none" w:sz="0" w:space="0" w:color="auto"/>
        <w:bottom w:val="none" w:sz="0" w:space="0" w:color="auto"/>
        <w:right w:val="none" w:sz="0" w:space="0" w:color="auto"/>
      </w:divBdr>
    </w:div>
    <w:div w:id="1738938382">
      <w:bodyDiv w:val="1"/>
      <w:marLeft w:val="0"/>
      <w:marRight w:val="0"/>
      <w:marTop w:val="0"/>
      <w:marBottom w:val="0"/>
      <w:divBdr>
        <w:top w:val="none" w:sz="0" w:space="0" w:color="auto"/>
        <w:left w:val="none" w:sz="0" w:space="0" w:color="auto"/>
        <w:bottom w:val="none" w:sz="0" w:space="0" w:color="auto"/>
        <w:right w:val="none" w:sz="0" w:space="0" w:color="auto"/>
      </w:divBdr>
    </w:div>
    <w:div w:id="1746685375">
      <w:bodyDiv w:val="1"/>
      <w:marLeft w:val="0"/>
      <w:marRight w:val="0"/>
      <w:marTop w:val="0"/>
      <w:marBottom w:val="0"/>
      <w:divBdr>
        <w:top w:val="none" w:sz="0" w:space="0" w:color="auto"/>
        <w:left w:val="none" w:sz="0" w:space="0" w:color="auto"/>
        <w:bottom w:val="none" w:sz="0" w:space="0" w:color="auto"/>
        <w:right w:val="none" w:sz="0" w:space="0" w:color="auto"/>
      </w:divBdr>
    </w:div>
    <w:div w:id="1755319121">
      <w:bodyDiv w:val="1"/>
      <w:marLeft w:val="0"/>
      <w:marRight w:val="0"/>
      <w:marTop w:val="0"/>
      <w:marBottom w:val="0"/>
      <w:divBdr>
        <w:top w:val="none" w:sz="0" w:space="0" w:color="auto"/>
        <w:left w:val="none" w:sz="0" w:space="0" w:color="auto"/>
        <w:bottom w:val="none" w:sz="0" w:space="0" w:color="auto"/>
        <w:right w:val="none" w:sz="0" w:space="0" w:color="auto"/>
      </w:divBdr>
    </w:div>
    <w:div w:id="1755468329">
      <w:bodyDiv w:val="1"/>
      <w:marLeft w:val="0"/>
      <w:marRight w:val="0"/>
      <w:marTop w:val="0"/>
      <w:marBottom w:val="0"/>
      <w:divBdr>
        <w:top w:val="none" w:sz="0" w:space="0" w:color="auto"/>
        <w:left w:val="none" w:sz="0" w:space="0" w:color="auto"/>
        <w:bottom w:val="none" w:sz="0" w:space="0" w:color="auto"/>
        <w:right w:val="none" w:sz="0" w:space="0" w:color="auto"/>
      </w:divBdr>
    </w:div>
    <w:div w:id="1759323611">
      <w:bodyDiv w:val="1"/>
      <w:marLeft w:val="0"/>
      <w:marRight w:val="0"/>
      <w:marTop w:val="0"/>
      <w:marBottom w:val="0"/>
      <w:divBdr>
        <w:top w:val="none" w:sz="0" w:space="0" w:color="auto"/>
        <w:left w:val="none" w:sz="0" w:space="0" w:color="auto"/>
        <w:bottom w:val="none" w:sz="0" w:space="0" w:color="auto"/>
        <w:right w:val="none" w:sz="0" w:space="0" w:color="auto"/>
      </w:divBdr>
    </w:div>
    <w:div w:id="1761832433">
      <w:bodyDiv w:val="1"/>
      <w:marLeft w:val="0"/>
      <w:marRight w:val="0"/>
      <w:marTop w:val="0"/>
      <w:marBottom w:val="0"/>
      <w:divBdr>
        <w:top w:val="none" w:sz="0" w:space="0" w:color="auto"/>
        <w:left w:val="none" w:sz="0" w:space="0" w:color="auto"/>
        <w:bottom w:val="none" w:sz="0" w:space="0" w:color="auto"/>
        <w:right w:val="none" w:sz="0" w:space="0" w:color="auto"/>
      </w:divBdr>
    </w:div>
    <w:div w:id="1761834458">
      <w:bodyDiv w:val="1"/>
      <w:marLeft w:val="0"/>
      <w:marRight w:val="0"/>
      <w:marTop w:val="0"/>
      <w:marBottom w:val="0"/>
      <w:divBdr>
        <w:top w:val="none" w:sz="0" w:space="0" w:color="auto"/>
        <w:left w:val="none" w:sz="0" w:space="0" w:color="auto"/>
        <w:bottom w:val="none" w:sz="0" w:space="0" w:color="auto"/>
        <w:right w:val="none" w:sz="0" w:space="0" w:color="auto"/>
      </w:divBdr>
    </w:div>
    <w:div w:id="1767845855">
      <w:bodyDiv w:val="1"/>
      <w:marLeft w:val="0"/>
      <w:marRight w:val="0"/>
      <w:marTop w:val="0"/>
      <w:marBottom w:val="0"/>
      <w:divBdr>
        <w:top w:val="none" w:sz="0" w:space="0" w:color="auto"/>
        <w:left w:val="none" w:sz="0" w:space="0" w:color="auto"/>
        <w:bottom w:val="none" w:sz="0" w:space="0" w:color="auto"/>
        <w:right w:val="none" w:sz="0" w:space="0" w:color="auto"/>
      </w:divBdr>
    </w:div>
    <w:div w:id="1778676132">
      <w:bodyDiv w:val="1"/>
      <w:marLeft w:val="0"/>
      <w:marRight w:val="0"/>
      <w:marTop w:val="0"/>
      <w:marBottom w:val="0"/>
      <w:divBdr>
        <w:top w:val="none" w:sz="0" w:space="0" w:color="auto"/>
        <w:left w:val="none" w:sz="0" w:space="0" w:color="auto"/>
        <w:bottom w:val="none" w:sz="0" w:space="0" w:color="auto"/>
        <w:right w:val="none" w:sz="0" w:space="0" w:color="auto"/>
      </w:divBdr>
    </w:div>
    <w:div w:id="1781678423">
      <w:bodyDiv w:val="1"/>
      <w:marLeft w:val="0"/>
      <w:marRight w:val="0"/>
      <w:marTop w:val="0"/>
      <w:marBottom w:val="0"/>
      <w:divBdr>
        <w:top w:val="none" w:sz="0" w:space="0" w:color="auto"/>
        <w:left w:val="none" w:sz="0" w:space="0" w:color="auto"/>
        <w:bottom w:val="none" w:sz="0" w:space="0" w:color="auto"/>
        <w:right w:val="none" w:sz="0" w:space="0" w:color="auto"/>
      </w:divBdr>
    </w:div>
    <w:div w:id="1784569837">
      <w:bodyDiv w:val="1"/>
      <w:marLeft w:val="0"/>
      <w:marRight w:val="0"/>
      <w:marTop w:val="0"/>
      <w:marBottom w:val="0"/>
      <w:divBdr>
        <w:top w:val="none" w:sz="0" w:space="0" w:color="auto"/>
        <w:left w:val="none" w:sz="0" w:space="0" w:color="auto"/>
        <w:bottom w:val="none" w:sz="0" w:space="0" w:color="auto"/>
        <w:right w:val="none" w:sz="0" w:space="0" w:color="auto"/>
      </w:divBdr>
    </w:div>
    <w:div w:id="1796093075">
      <w:bodyDiv w:val="1"/>
      <w:marLeft w:val="0"/>
      <w:marRight w:val="0"/>
      <w:marTop w:val="0"/>
      <w:marBottom w:val="0"/>
      <w:divBdr>
        <w:top w:val="none" w:sz="0" w:space="0" w:color="auto"/>
        <w:left w:val="none" w:sz="0" w:space="0" w:color="auto"/>
        <w:bottom w:val="none" w:sz="0" w:space="0" w:color="auto"/>
        <w:right w:val="none" w:sz="0" w:space="0" w:color="auto"/>
      </w:divBdr>
    </w:div>
    <w:div w:id="1796557634">
      <w:bodyDiv w:val="1"/>
      <w:marLeft w:val="0"/>
      <w:marRight w:val="0"/>
      <w:marTop w:val="0"/>
      <w:marBottom w:val="0"/>
      <w:divBdr>
        <w:top w:val="none" w:sz="0" w:space="0" w:color="auto"/>
        <w:left w:val="none" w:sz="0" w:space="0" w:color="auto"/>
        <w:bottom w:val="none" w:sz="0" w:space="0" w:color="auto"/>
        <w:right w:val="none" w:sz="0" w:space="0" w:color="auto"/>
      </w:divBdr>
    </w:div>
    <w:div w:id="1798983946">
      <w:bodyDiv w:val="1"/>
      <w:marLeft w:val="0"/>
      <w:marRight w:val="0"/>
      <w:marTop w:val="0"/>
      <w:marBottom w:val="0"/>
      <w:divBdr>
        <w:top w:val="none" w:sz="0" w:space="0" w:color="auto"/>
        <w:left w:val="none" w:sz="0" w:space="0" w:color="auto"/>
        <w:bottom w:val="none" w:sz="0" w:space="0" w:color="auto"/>
        <w:right w:val="none" w:sz="0" w:space="0" w:color="auto"/>
      </w:divBdr>
    </w:div>
    <w:div w:id="1799447582">
      <w:bodyDiv w:val="1"/>
      <w:marLeft w:val="0"/>
      <w:marRight w:val="0"/>
      <w:marTop w:val="0"/>
      <w:marBottom w:val="0"/>
      <w:divBdr>
        <w:top w:val="none" w:sz="0" w:space="0" w:color="auto"/>
        <w:left w:val="none" w:sz="0" w:space="0" w:color="auto"/>
        <w:bottom w:val="none" w:sz="0" w:space="0" w:color="auto"/>
        <w:right w:val="none" w:sz="0" w:space="0" w:color="auto"/>
      </w:divBdr>
    </w:div>
    <w:div w:id="1800490140">
      <w:bodyDiv w:val="1"/>
      <w:marLeft w:val="0"/>
      <w:marRight w:val="0"/>
      <w:marTop w:val="0"/>
      <w:marBottom w:val="0"/>
      <w:divBdr>
        <w:top w:val="none" w:sz="0" w:space="0" w:color="auto"/>
        <w:left w:val="none" w:sz="0" w:space="0" w:color="auto"/>
        <w:bottom w:val="none" w:sz="0" w:space="0" w:color="auto"/>
        <w:right w:val="none" w:sz="0" w:space="0" w:color="auto"/>
      </w:divBdr>
    </w:div>
    <w:div w:id="1802723426">
      <w:bodyDiv w:val="1"/>
      <w:marLeft w:val="0"/>
      <w:marRight w:val="0"/>
      <w:marTop w:val="0"/>
      <w:marBottom w:val="0"/>
      <w:divBdr>
        <w:top w:val="none" w:sz="0" w:space="0" w:color="auto"/>
        <w:left w:val="none" w:sz="0" w:space="0" w:color="auto"/>
        <w:bottom w:val="none" w:sz="0" w:space="0" w:color="auto"/>
        <w:right w:val="none" w:sz="0" w:space="0" w:color="auto"/>
      </w:divBdr>
    </w:div>
    <w:div w:id="1808038534">
      <w:bodyDiv w:val="1"/>
      <w:marLeft w:val="0"/>
      <w:marRight w:val="0"/>
      <w:marTop w:val="0"/>
      <w:marBottom w:val="0"/>
      <w:divBdr>
        <w:top w:val="none" w:sz="0" w:space="0" w:color="auto"/>
        <w:left w:val="none" w:sz="0" w:space="0" w:color="auto"/>
        <w:bottom w:val="none" w:sz="0" w:space="0" w:color="auto"/>
        <w:right w:val="none" w:sz="0" w:space="0" w:color="auto"/>
      </w:divBdr>
    </w:div>
    <w:div w:id="1814174500">
      <w:bodyDiv w:val="1"/>
      <w:marLeft w:val="0"/>
      <w:marRight w:val="0"/>
      <w:marTop w:val="0"/>
      <w:marBottom w:val="0"/>
      <w:divBdr>
        <w:top w:val="none" w:sz="0" w:space="0" w:color="auto"/>
        <w:left w:val="none" w:sz="0" w:space="0" w:color="auto"/>
        <w:bottom w:val="none" w:sz="0" w:space="0" w:color="auto"/>
        <w:right w:val="none" w:sz="0" w:space="0" w:color="auto"/>
      </w:divBdr>
    </w:div>
    <w:div w:id="1814369348">
      <w:bodyDiv w:val="1"/>
      <w:marLeft w:val="0"/>
      <w:marRight w:val="0"/>
      <w:marTop w:val="0"/>
      <w:marBottom w:val="0"/>
      <w:divBdr>
        <w:top w:val="none" w:sz="0" w:space="0" w:color="auto"/>
        <w:left w:val="none" w:sz="0" w:space="0" w:color="auto"/>
        <w:bottom w:val="none" w:sz="0" w:space="0" w:color="auto"/>
        <w:right w:val="none" w:sz="0" w:space="0" w:color="auto"/>
      </w:divBdr>
    </w:div>
    <w:div w:id="1818296823">
      <w:bodyDiv w:val="1"/>
      <w:marLeft w:val="0"/>
      <w:marRight w:val="0"/>
      <w:marTop w:val="0"/>
      <w:marBottom w:val="0"/>
      <w:divBdr>
        <w:top w:val="none" w:sz="0" w:space="0" w:color="auto"/>
        <w:left w:val="none" w:sz="0" w:space="0" w:color="auto"/>
        <w:bottom w:val="none" w:sz="0" w:space="0" w:color="auto"/>
        <w:right w:val="none" w:sz="0" w:space="0" w:color="auto"/>
      </w:divBdr>
    </w:div>
    <w:div w:id="1818644490">
      <w:bodyDiv w:val="1"/>
      <w:marLeft w:val="0"/>
      <w:marRight w:val="0"/>
      <w:marTop w:val="0"/>
      <w:marBottom w:val="0"/>
      <w:divBdr>
        <w:top w:val="none" w:sz="0" w:space="0" w:color="auto"/>
        <w:left w:val="none" w:sz="0" w:space="0" w:color="auto"/>
        <w:bottom w:val="none" w:sz="0" w:space="0" w:color="auto"/>
        <w:right w:val="none" w:sz="0" w:space="0" w:color="auto"/>
      </w:divBdr>
    </w:div>
    <w:div w:id="1833568252">
      <w:bodyDiv w:val="1"/>
      <w:marLeft w:val="0"/>
      <w:marRight w:val="0"/>
      <w:marTop w:val="0"/>
      <w:marBottom w:val="0"/>
      <w:divBdr>
        <w:top w:val="none" w:sz="0" w:space="0" w:color="auto"/>
        <w:left w:val="none" w:sz="0" w:space="0" w:color="auto"/>
        <w:bottom w:val="none" w:sz="0" w:space="0" w:color="auto"/>
        <w:right w:val="none" w:sz="0" w:space="0" w:color="auto"/>
      </w:divBdr>
    </w:div>
    <w:div w:id="1837380791">
      <w:bodyDiv w:val="1"/>
      <w:marLeft w:val="0"/>
      <w:marRight w:val="0"/>
      <w:marTop w:val="0"/>
      <w:marBottom w:val="0"/>
      <w:divBdr>
        <w:top w:val="none" w:sz="0" w:space="0" w:color="auto"/>
        <w:left w:val="none" w:sz="0" w:space="0" w:color="auto"/>
        <w:bottom w:val="none" w:sz="0" w:space="0" w:color="auto"/>
        <w:right w:val="none" w:sz="0" w:space="0" w:color="auto"/>
      </w:divBdr>
    </w:div>
    <w:div w:id="1842351864">
      <w:bodyDiv w:val="1"/>
      <w:marLeft w:val="0"/>
      <w:marRight w:val="0"/>
      <w:marTop w:val="0"/>
      <w:marBottom w:val="0"/>
      <w:divBdr>
        <w:top w:val="none" w:sz="0" w:space="0" w:color="auto"/>
        <w:left w:val="none" w:sz="0" w:space="0" w:color="auto"/>
        <w:bottom w:val="none" w:sz="0" w:space="0" w:color="auto"/>
        <w:right w:val="none" w:sz="0" w:space="0" w:color="auto"/>
      </w:divBdr>
    </w:div>
    <w:div w:id="1844279756">
      <w:bodyDiv w:val="1"/>
      <w:marLeft w:val="0"/>
      <w:marRight w:val="0"/>
      <w:marTop w:val="0"/>
      <w:marBottom w:val="0"/>
      <w:divBdr>
        <w:top w:val="none" w:sz="0" w:space="0" w:color="auto"/>
        <w:left w:val="none" w:sz="0" w:space="0" w:color="auto"/>
        <w:bottom w:val="none" w:sz="0" w:space="0" w:color="auto"/>
        <w:right w:val="none" w:sz="0" w:space="0" w:color="auto"/>
      </w:divBdr>
    </w:div>
    <w:div w:id="1863127904">
      <w:bodyDiv w:val="1"/>
      <w:marLeft w:val="0"/>
      <w:marRight w:val="0"/>
      <w:marTop w:val="0"/>
      <w:marBottom w:val="0"/>
      <w:divBdr>
        <w:top w:val="none" w:sz="0" w:space="0" w:color="auto"/>
        <w:left w:val="none" w:sz="0" w:space="0" w:color="auto"/>
        <w:bottom w:val="none" w:sz="0" w:space="0" w:color="auto"/>
        <w:right w:val="none" w:sz="0" w:space="0" w:color="auto"/>
      </w:divBdr>
      <w:divsChild>
        <w:div w:id="20084469">
          <w:marLeft w:val="0"/>
          <w:marRight w:val="0"/>
          <w:marTop w:val="0"/>
          <w:marBottom w:val="0"/>
          <w:divBdr>
            <w:top w:val="none" w:sz="0" w:space="0" w:color="auto"/>
            <w:left w:val="none" w:sz="0" w:space="0" w:color="auto"/>
            <w:bottom w:val="none" w:sz="0" w:space="0" w:color="auto"/>
            <w:right w:val="none" w:sz="0" w:space="0" w:color="auto"/>
          </w:divBdr>
        </w:div>
        <w:div w:id="102237694">
          <w:marLeft w:val="0"/>
          <w:marRight w:val="0"/>
          <w:marTop w:val="0"/>
          <w:marBottom w:val="0"/>
          <w:divBdr>
            <w:top w:val="none" w:sz="0" w:space="0" w:color="auto"/>
            <w:left w:val="none" w:sz="0" w:space="0" w:color="auto"/>
            <w:bottom w:val="none" w:sz="0" w:space="0" w:color="auto"/>
            <w:right w:val="none" w:sz="0" w:space="0" w:color="auto"/>
          </w:divBdr>
          <w:divsChild>
            <w:div w:id="695934001">
              <w:marLeft w:val="0"/>
              <w:marRight w:val="0"/>
              <w:marTop w:val="0"/>
              <w:marBottom w:val="0"/>
              <w:divBdr>
                <w:top w:val="none" w:sz="0" w:space="0" w:color="auto"/>
                <w:left w:val="none" w:sz="0" w:space="0" w:color="auto"/>
                <w:bottom w:val="none" w:sz="0" w:space="0" w:color="auto"/>
                <w:right w:val="none" w:sz="0" w:space="0" w:color="auto"/>
              </w:divBdr>
            </w:div>
            <w:div w:id="1117262764">
              <w:marLeft w:val="0"/>
              <w:marRight w:val="0"/>
              <w:marTop w:val="0"/>
              <w:marBottom w:val="0"/>
              <w:divBdr>
                <w:top w:val="none" w:sz="0" w:space="0" w:color="auto"/>
                <w:left w:val="none" w:sz="0" w:space="0" w:color="auto"/>
                <w:bottom w:val="none" w:sz="0" w:space="0" w:color="auto"/>
                <w:right w:val="none" w:sz="0" w:space="0" w:color="auto"/>
              </w:divBdr>
            </w:div>
            <w:div w:id="1129594350">
              <w:marLeft w:val="0"/>
              <w:marRight w:val="0"/>
              <w:marTop w:val="0"/>
              <w:marBottom w:val="0"/>
              <w:divBdr>
                <w:top w:val="none" w:sz="0" w:space="0" w:color="auto"/>
                <w:left w:val="none" w:sz="0" w:space="0" w:color="auto"/>
                <w:bottom w:val="none" w:sz="0" w:space="0" w:color="auto"/>
                <w:right w:val="none" w:sz="0" w:space="0" w:color="auto"/>
              </w:divBdr>
            </w:div>
            <w:div w:id="2036693217">
              <w:marLeft w:val="0"/>
              <w:marRight w:val="0"/>
              <w:marTop w:val="0"/>
              <w:marBottom w:val="0"/>
              <w:divBdr>
                <w:top w:val="none" w:sz="0" w:space="0" w:color="auto"/>
                <w:left w:val="none" w:sz="0" w:space="0" w:color="auto"/>
                <w:bottom w:val="none" w:sz="0" w:space="0" w:color="auto"/>
                <w:right w:val="none" w:sz="0" w:space="0" w:color="auto"/>
              </w:divBdr>
            </w:div>
          </w:divsChild>
        </w:div>
        <w:div w:id="124276424">
          <w:marLeft w:val="0"/>
          <w:marRight w:val="0"/>
          <w:marTop w:val="0"/>
          <w:marBottom w:val="0"/>
          <w:divBdr>
            <w:top w:val="none" w:sz="0" w:space="0" w:color="auto"/>
            <w:left w:val="none" w:sz="0" w:space="0" w:color="auto"/>
            <w:bottom w:val="none" w:sz="0" w:space="0" w:color="auto"/>
            <w:right w:val="none" w:sz="0" w:space="0" w:color="auto"/>
          </w:divBdr>
        </w:div>
        <w:div w:id="126558518">
          <w:marLeft w:val="0"/>
          <w:marRight w:val="0"/>
          <w:marTop w:val="0"/>
          <w:marBottom w:val="0"/>
          <w:divBdr>
            <w:top w:val="none" w:sz="0" w:space="0" w:color="auto"/>
            <w:left w:val="none" w:sz="0" w:space="0" w:color="auto"/>
            <w:bottom w:val="none" w:sz="0" w:space="0" w:color="auto"/>
            <w:right w:val="none" w:sz="0" w:space="0" w:color="auto"/>
          </w:divBdr>
        </w:div>
        <w:div w:id="166604386">
          <w:marLeft w:val="0"/>
          <w:marRight w:val="0"/>
          <w:marTop w:val="0"/>
          <w:marBottom w:val="0"/>
          <w:divBdr>
            <w:top w:val="none" w:sz="0" w:space="0" w:color="auto"/>
            <w:left w:val="none" w:sz="0" w:space="0" w:color="auto"/>
            <w:bottom w:val="none" w:sz="0" w:space="0" w:color="auto"/>
            <w:right w:val="none" w:sz="0" w:space="0" w:color="auto"/>
          </w:divBdr>
        </w:div>
        <w:div w:id="285045875">
          <w:marLeft w:val="0"/>
          <w:marRight w:val="0"/>
          <w:marTop w:val="0"/>
          <w:marBottom w:val="0"/>
          <w:divBdr>
            <w:top w:val="none" w:sz="0" w:space="0" w:color="auto"/>
            <w:left w:val="none" w:sz="0" w:space="0" w:color="auto"/>
            <w:bottom w:val="none" w:sz="0" w:space="0" w:color="auto"/>
            <w:right w:val="none" w:sz="0" w:space="0" w:color="auto"/>
          </w:divBdr>
        </w:div>
        <w:div w:id="652485002">
          <w:marLeft w:val="0"/>
          <w:marRight w:val="0"/>
          <w:marTop w:val="0"/>
          <w:marBottom w:val="0"/>
          <w:divBdr>
            <w:top w:val="none" w:sz="0" w:space="0" w:color="auto"/>
            <w:left w:val="none" w:sz="0" w:space="0" w:color="auto"/>
            <w:bottom w:val="none" w:sz="0" w:space="0" w:color="auto"/>
            <w:right w:val="none" w:sz="0" w:space="0" w:color="auto"/>
          </w:divBdr>
        </w:div>
        <w:div w:id="983898551">
          <w:marLeft w:val="0"/>
          <w:marRight w:val="0"/>
          <w:marTop w:val="0"/>
          <w:marBottom w:val="0"/>
          <w:divBdr>
            <w:top w:val="none" w:sz="0" w:space="0" w:color="auto"/>
            <w:left w:val="none" w:sz="0" w:space="0" w:color="auto"/>
            <w:bottom w:val="none" w:sz="0" w:space="0" w:color="auto"/>
            <w:right w:val="none" w:sz="0" w:space="0" w:color="auto"/>
          </w:divBdr>
        </w:div>
        <w:div w:id="1075469449">
          <w:marLeft w:val="0"/>
          <w:marRight w:val="0"/>
          <w:marTop w:val="0"/>
          <w:marBottom w:val="0"/>
          <w:divBdr>
            <w:top w:val="none" w:sz="0" w:space="0" w:color="auto"/>
            <w:left w:val="none" w:sz="0" w:space="0" w:color="auto"/>
            <w:bottom w:val="none" w:sz="0" w:space="0" w:color="auto"/>
            <w:right w:val="none" w:sz="0" w:space="0" w:color="auto"/>
          </w:divBdr>
        </w:div>
        <w:div w:id="1296334298">
          <w:marLeft w:val="0"/>
          <w:marRight w:val="0"/>
          <w:marTop w:val="0"/>
          <w:marBottom w:val="0"/>
          <w:divBdr>
            <w:top w:val="none" w:sz="0" w:space="0" w:color="auto"/>
            <w:left w:val="none" w:sz="0" w:space="0" w:color="auto"/>
            <w:bottom w:val="none" w:sz="0" w:space="0" w:color="auto"/>
            <w:right w:val="none" w:sz="0" w:space="0" w:color="auto"/>
          </w:divBdr>
        </w:div>
        <w:div w:id="1791438087">
          <w:marLeft w:val="0"/>
          <w:marRight w:val="0"/>
          <w:marTop w:val="0"/>
          <w:marBottom w:val="0"/>
          <w:divBdr>
            <w:top w:val="none" w:sz="0" w:space="0" w:color="auto"/>
            <w:left w:val="none" w:sz="0" w:space="0" w:color="auto"/>
            <w:bottom w:val="none" w:sz="0" w:space="0" w:color="auto"/>
            <w:right w:val="none" w:sz="0" w:space="0" w:color="auto"/>
          </w:divBdr>
          <w:divsChild>
            <w:div w:id="185483005">
              <w:marLeft w:val="0"/>
              <w:marRight w:val="0"/>
              <w:marTop w:val="0"/>
              <w:marBottom w:val="0"/>
              <w:divBdr>
                <w:top w:val="none" w:sz="0" w:space="0" w:color="auto"/>
                <w:left w:val="none" w:sz="0" w:space="0" w:color="auto"/>
                <w:bottom w:val="none" w:sz="0" w:space="0" w:color="auto"/>
                <w:right w:val="none" w:sz="0" w:space="0" w:color="auto"/>
              </w:divBdr>
            </w:div>
            <w:div w:id="255292020">
              <w:marLeft w:val="0"/>
              <w:marRight w:val="0"/>
              <w:marTop w:val="0"/>
              <w:marBottom w:val="0"/>
              <w:divBdr>
                <w:top w:val="none" w:sz="0" w:space="0" w:color="auto"/>
                <w:left w:val="none" w:sz="0" w:space="0" w:color="auto"/>
                <w:bottom w:val="none" w:sz="0" w:space="0" w:color="auto"/>
                <w:right w:val="none" w:sz="0" w:space="0" w:color="auto"/>
              </w:divBdr>
            </w:div>
            <w:div w:id="1121143475">
              <w:marLeft w:val="0"/>
              <w:marRight w:val="0"/>
              <w:marTop w:val="0"/>
              <w:marBottom w:val="0"/>
              <w:divBdr>
                <w:top w:val="none" w:sz="0" w:space="0" w:color="auto"/>
                <w:left w:val="none" w:sz="0" w:space="0" w:color="auto"/>
                <w:bottom w:val="none" w:sz="0" w:space="0" w:color="auto"/>
                <w:right w:val="none" w:sz="0" w:space="0" w:color="auto"/>
              </w:divBdr>
            </w:div>
            <w:div w:id="1279222169">
              <w:marLeft w:val="0"/>
              <w:marRight w:val="0"/>
              <w:marTop w:val="0"/>
              <w:marBottom w:val="0"/>
              <w:divBdr>
                <w:top w:val="none" w:sz="0" w:space="0" w:color="auto"/>
                <w:left w:val="none" w:sz="0" w:space="0" w:color="auto"/>
                <w:bottom w:val="none" w:sz="0" w:space="0" w:color="auto"/>
                <w:right w:val="none" w:sz="0" w:space="0" w:color="auto"/>
              </w:divBdr>
            </w:div>
            <w:div w:id="18279382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75382324">
      <w:bodyDiv w:val="1"/>
      <w:marLeft w:val="0"/>
      <w:marRight w:val="0"/>
      <w:marTop w:val="0"/>
      <w:marBottom w:val="0"/>
      <w:divBdr>
        <w:top w:val="none" w:sz="0" w:space="0" w:color="auto"/>
        <w:left w:val="none" w:sz="0" w:space="0" w:color="auto"/>
        <w:bottom w:val="none" w:sz="0" w:space="0" w:color="auto"/>
        <w:right w:val="none" w:sz="0" w:space="0" w:color="auto"/>
      </w:divBdr>
    </w:div>
    <w:div w:id="1888368359">
      <w:bodyDiv w:val="1"/>
      <w:marLeft w:val="0"/>
      <w:marRight w:val="0"/>
      <w:marTop w:val="0"/>
      <w:marBottom w:val="0"/>
      <w:divBdr>
        <w:top w:val="none" w:sz="0" w:space="0" w:color="auto"/>
        <w:left w:val="none" w:sz="0" w:space="0" w:color="auto"/>
        <w:bottom w:val="none" w:sz="0" w:space="0" w:color="auto"/>
        <w:right w:val="none" w:sz="0" w:space="0" w:color="auto"/>
      </w:divBdr>
    </w:div>
    <w:div w:id="1890845811">
      <w:bodyDiv w:val="1"/>
      <w:marLeft w:val="0"/>
      <w:marRight w:val="0"/>
      <w:marTop w:val="0"/>
      <w:marBottom w:val="0"/>
      <w:divBdr>
        <w:top w:val="none" w:sz="0" w:space="0" w:color="auto"/>
        <w:left w:val="none" w:sz="0" w:space="0" w:color="auto"/>
        <w:bottom w:val="none" w:sz="0" w:space="0" w:color="auto"/>
        <w:right w:val="none" w:sz="0" w:space="0" w:color="auto"/>
      </w:divBdr>
    </w:div>
    <w:div w:id="1893687115">
      <w:bodyDiv w:val="1"/>
      <w:marLeft w:val="0"/>
      <w:marRight w:val="0"/>
      <w:marTop w:val="0"/>
      <w:marBottom w:val="0"/>
      <w:divBdr>
        <w:top w:val="none" w:sz="0" w:space="0" w:color="auto"/>
        <w:left w:val="none" w:sz="0" w:space="0" w:color="auto"/>
        <w:bottom w:val="none" w:sz="0" w:space="0" w:color="auto"/>
        <w:right w:val="none" w:sz="0" w:space="0" w:color="auto"/>
      </w:divBdr>
    </w:div>
    <w:div w:id="1896429575">
      <w:bodyDiv w:val="1"/>
      <w:marLeft w:val="0"/>
      <w:marRight w:val="0"/>
      <w:marTop w:val="0"/>
      <w:marBottom w:val="0"/>
      <w:divBdr>
        <w:top w:val="none" w:sz="0" w:space="0" w:color="auto"/>
        <w:left w:val="none" w:sz="0" w:space="0" w:color="auto"/>
        <w:bottom w:val="none" w:sz="0" w:space="0" w:color="auto"/>
        <w:right w:val="none" w:sz="0" w:space="0" w:color="auto"/>
      </w:divBdr>
    </w:div>
    <w:div w:id="1913393307">
      <w:bodyDiv w:val="1"/>
      <w:marLeft w:val="0"/>
      <w:marRight w:val="0"/>
      <w:marTop w:val="0"/>
      <w:marBottom w:val="0"/>
      <w:divBdr>
        <w:top w:val="none" w:sz="0" w:space="0" w:color="auto"/>
        <w:left w:val="none" w:sz="0" w:space="0" w:color="auto"/>
        <w:bottom w:val="none" w:sz="0" w:space="0" w:color="auto"/>
        <w:right w:val="none" w:sz="0" w:space="0" w:color="auto"/>
      </w:divBdr>
    </w:div>
    <w:div w:id="1916666570">
      <w:bodyDiv w:val="1"/>
      <w:marLeft w:val="0"/>
      <w:marRight w:val="0"/>
      <w:marTop w:val="0"/>
      <w:marBottom w:val="0"/>
      <w:divBdr>
        <w:top w:val="none" w:sz="0" w:space="0" w:color="auto"/>
        <w:left w:val="none" w:sz="0" w:space="0" w:color="auto"/>
        <w:bottom w:val="none" w:sz="0" w:space="0" w:color="auto"/>
        <w:right w:val="none" w:sz="0" w:space="0" w:color="auto"/>
      </w:divBdr>
    </w:div>
    <w:div w:id="1927766505">
      <w:bodyDiv w:val="1"/>
      <w:marLeft w:val="0"/>
      <w:marRight w:val="0"/>
      <w:marTop w:val="0"/>
      <w:marBottom w:val="0"/>
      <w:divBdr>
        <w:top w:val="none" w:sz="0" w:space="0" w:color="auto"/>
        <w:left w:val="none" w:sz="0" w:space="0" w:color="auto"/>
        <w:bottom w:val="none" w:sz="0" w:space="0" w:color="auto"/>
        <w:right w:val="none" w:sz="0" w:space="0" w:color="auto"/>
      </w:divBdr>
    </w:div>
    <w:div w:id="1930428982">
      <w:bodyDiv w:val="1"/>
      <w:marLeft w:val="0"/>
      <w:marRight w:val="0"/>
      <w:marTop w:val="0"/>
      <w:marBottom w:val="0"/>
      <w:divBdr>
        <w:top w:val="none" w:sz="0" w:space="0" w:color="auto"/>
        <w:left w:val="none" w:sz="0" w:space="0" w:color="auto"/>
        <w:bottom w:val="none" w:sz="0" w:space="0" w:color="auto"/>
        <w:right w:val="none" w:sz="0" w:space="0" w:color="auto"/>
      </w:divBdr>
    </w:div>
    <w:div w:id="1939286921">
      <w:bodyDiv w:val="1"/>
      <w:marLeft w:val="0"/>
      <w:marRight w:val="0"/>
      <w:marTop w:val="0"/>
      <w:marBottom w:val="0"/>
      <w:divBdr>
        <w:top w:val="none" w:sz="0" w:space="0" w:color="auto"/>
        <w:left w:val="none" w:sz="0" w:space="0" w:color="auto"/>
        <w:bottom w:val="none" w:sz="0" w:space="0" w:color="auto"/>
        <w:right w:val="none" w:sz="0" w:space="0" w:color="auto"/>
      </w:divBdr>
    </w:div>
    <w:div w:id="1946305874">
      <w:bodyDiv w:val="1"/>
      <w:marLeft w:val="0"/>
      <w:marRight w:val="0"/>
      <w:marTop w:val="0"/>
      <w:marBottom w:val="0"/>
      <w:divBdr>
        <w:top w:val="none" w:sz="0" w:space="0" w:color="auto"/>
        <w:left w:val="none" w:sz="0" w:space="0" w:color="auto"/>
        <w:bottom w:val="none" w:sz="0" w:space="0" w:color="auto"/>
        <w:right w:val="none" w:sz="0" w:space="0" w:color="auto"/>
      </w:divBdr>
    </w:div>
    <w:div w:id="1948392780">
      <w:bodyDiv w:val="1"/>
      <w:marLeft w:val="0"/>
      <w:marRight w:val="0"/>
      <w:marTop w:val="0"/>
      <w:marBottom w:val="0"/>
      <w:divBdr>
        <w:top w:val="none" w:sz="0" w:space="0" w:color="auto"/>
        <w:left w:val="none" w:sz="0" w:space="0" w:color="auto"/>
        <w:bottom w:val="none" w:sz="0" w:space="0" w:color="auto"/>
        <w:right w:val="none" w:sz="0" w:space="0" w:color="auto"/>
      </w:divBdr>
      <w:divsChild>
        <w:div w:id="7294517">
          <w:marLeft w:val="0"/>
          <w:marRight w:val="0"/>
          <w:marTop w:val="0"/>
          <w:marBottom w:val="0"/>
          <w:divBdr>
            <w:top w:val="none" w:sz="0" w:space="0" w:color="auto"/>
            <w:left w:val="none" w:sz="0" w:space="0" w:color="auto"/>
            <w:bottom w:val="none" w:sz="0" w:space="0" w:color="auto"/>
            <w:right w:val="none" w:sz="0" w:space="0" w:color="auto"/>
          </w:divBdr>
          <w:divsChild>
            <w:div w:id="509681182">
              <w:marLeft w:val="0"/>
              <w:marRight w:val="0"/>
              <w:marTop w:val="0"/>
              <w:marBottom w:val="0"/>
              <w:divBdr>
                <w:top w:val="none" w:sz="0" w:space="0" w:color="auto"/>
                <w:left w:val="none" w:sz="0" w:space="0" w:color="auto"/>
                <w:bottom w:val="none" w:sz="0" w:space="0" w:color="auto"/>
                <w:right w:val="none" w:sz="0" w:space="0" w:color="auto"/>
              </w:divBdr>
            </w:div>
            <w:div w:id="875318488">
              <w:marLeft w:val="0"/>
              <w:marRight w:val="0"/>
              <w:marTop w:val="0"/>
              <w:marBottom w:val="0"/>
              <w:divBdr>
                <w:top w:val="none" w:sz="0" w:space="0" w:color="auto"/>
                <w:left w:val="none" w:sz="0" w:space="0" w:color="auto"/>
                <w:bottom w:val="none" w:sz="0" w:space="0" w:color="auto"/>
                <w:right w:val="none" w:sz="0" w:space="0" w:color="auto"/>
              </w:divBdr>
            </w:div>
            <w:div w:id="1080981360">
              <w:marLeft w:val="0"/>
              <w:marRight w:val="0"/>
              <w:marTop w:val="0"/>
              <w:marBottom w:val="0"/>
              <w:divBdr>
                <w:top w:val="none" w:sz="0" w:space="0" w:color="auto"/>
                <w:left w:val="none" w:sz="0" w:space="0" w:color="auto"/>
                <w:bottom w:val="none" w:sz="0" w:space="0" w:color="auto"/>
                <w:right w:val="none" w:sz="0" w:space="0" w:color="auto"/>
              </w:divBdr>
            </w:div>
            <w:div w:id="1343774247">
              <w:marLeft w:val="0"/>
              <w:marRight w:val="0"/>
              <w:marTop w:val="0"/>
              <w:marBottom w:val="0"/>
              <w:divBdr>
                <w:top w:val="none" w:sz="0" w:space="0" w:color="auto"/>
                <w:left w:val="none" w:sz="0" w:space="0" w:color="auto"/>
                <w:bottom w:val="none" w:sz="0" w:space="0" w:color="auto"/>
                <w:right w:val="none" w:sz="0" w:space="0" w:color="auto"/>
              </w:divBdr>
            </w:div>
            <w:div w:id="1747527778">
              <w:marLeft w:val="0"/>
              <w:marRight w:val="0"/>
              <w:marTop w:val="0"/>
              <w:marBottom w:val="0"/>
              <w:divBdr>
                <w:top w:val="none" w:sz="0" w:space="0" w:color="auto"/>
                <w:left w:val="none" w:sz="0" w:space="0" w:color="auto"/>
                <w:bottom w:val="none" w:sz="0" w:space="0" w:color="auto"/>
                <w:right w:val="none" w:sz="0" w:space="0" w:color="auto"/>
              </w:divBdr>
            </w:div>
          </w:divsChild>
        </w:div>
        <w:div w:id="15694608">
          <w:marLeft w:val="0"/>
          <w:marRight w:val="0"/>
          <w:marTop w:val="0"/>
          <w:marBottom w:val="0"/>
          <w:divBdr>
            <w:top w:val="none" w:sz="0" w:space="0" w:color="auto"/>
            <w:left w:val="none" w:sz="0" w:space="0" w:color="auto"/>
            <w:bottom w:val="none" w:sz="0" w:space="0" w:color="auto"/>
            <w:right w:val="none" w:sz="0" w:space="0" w:color="auto"/>
          </w:divBdr>
          <w:divsChild>
            <w:div w:id="1225142121">
              <w:marLeft w:val="0"/>
              <w:marRight w:val="0"/>
              <w:marTop w:val="0"/>
              <w:marBottom w:val="0"/>
              <w:divBdr>
                <w:top w:val="none" w:sz="0" w:space="0" w:color="auto"/>
                <w:left w:val="none" w:sz="0" w:space="0" w:color="auto"/>
                <w:bottom w:val="none" w:sz="0" w:space="0" w:color="auto"/>
                <w:right w:val="none" w:sz="0" w:space="0" w:color="auto"/>
              </w:divBdr>
            </w:div>
            <w:div w:id="1421179085">
              <w:marLeft w:val="0"/>
              <w:marRight w:val="0"/>
              <w:marTop w:val="0"/>
              <w:marBottom w:val="0"/>
              <w:divBdr>
                <w:top w:val="none" w:sz="0" w:space="0" w:color="auto"/>
                <w:left w:val="none" w:sz="0" w:space="0" w:color="auto"/>
                <w:bottom w:val="none" w:sz="0" w:space="0" w:color="auto"/>
                <w:right w:val="none" w:sz="0" w:space="0" w:color="auto"/>
              </w:divBdr>
            </w:div>
            <w:div w:id="1502968720">
              <w:marLeft w:val="0"/>
              <w:marRight w:val="0"/>
              <w:marTop w:val="0"/>
              <w:marBottom w:val="0"/>
              <w:divBdr>
                <w:top w:val="none" w:sz="0" w:space="0" w:color="auto"/>
                <w:left w:val="none" w:sz="0" w:space="0" w:color="auto"/>
                <w:bottom w:val="none" w:sz="0" w:space="0" w:color="auto"/>
                <w:right w:val="none" w:sz="0" w:space="0" w:color="auto"/>
              </w:divBdr>
            </w:div>
            <w:div w:id="1556356704">
              <w:marLeft w:val="0"/>
              <w:marRight w:val="0"/>
              <w:marTop w:val="0"/>
              <w:marBottom w:val="0"/>
              <w:divBdr>
                <w:top w:val="none" w:sz="0" w:space="0" w:color="auto"/>
                <w:left w:val="none" w:sz="0" w:space="0" w:color="auto"/>
                <w:bottom w:val="none" w:sz="0" w:space="0" w:color="auto"/>
                <w:right w:val="none" w:sz="0" w:space="0" w:color="auto"/>
              </w:divBdr>
            </w:div>
            <w:div w:id="2003310026">
              <w:marLeft w:val="0"/>
              <w:marRight w:val="0"/>
              <w:marTop w:val="0"/>
              <w:marBottom w:val="0"/>
              <w:divBdr>
                <w:top w:val="none" w:sz="0" w:space="0" w:color="auto"/>
                <w:left w:val="none" w:sz="0" w:space="0" w:color="auto"/>
                <w:bottom w:val="none" w:sz="0" w:space="0" w:color="auto"/>
                <w:right w:val="none" w:sz="0" w:space="0" w:color="auto"/>
              </w:divBdr>
            </w:div>
          </w:divsChild>
        </w:div>
        <w:div w:id="21904890">
          <w:marLeft w:val="0"/>
          <w:marRight w:val="0"/>
          <w:marTop w:val="0"/>
          <w:marBottom w:val="0"/>
          <w:divBdr>
            <w:top w:val="none" w:sz="0" w:space="0" w:color="auto"/>
            <w:left w:val="none" w:sz="0" w:space="0" w:color="auto"/>
            <w:bottom w:val="none" w:sz="0" w:space="0" w:color="auto"/>
            <w:right w:val="none" w:sz="0" w:space="0" w:color="auto"/>
          </w:divBdr>
        </w:div>
        <w:div w:id="31273633">
          <w:marLeft w:val="0"/>
          <w:marRight w:val="0"/>
          <w:marTop w:val="0"/>
          <w:marBottom w:val="0"/>
          <w:divBdr>
            <w:top w:val="none" w:sz="0" w:space="0" w:color="auto"/>
            <w:left w:val="none" w:sz="0" w:space="0" w:color="auto"/>
            <w:bottom w:val="none" w:sz="0" w:space="0" w:color="auto"/>
            <w:right w:val="none" w:sz="0" w:space="0" w:color="auto"/>
          </w:divBdr>
        </w:div>
        <w:div w:id="35081945">
          <w:marLeft w:val="0"/>
          <w:marRight w:val="0"/>
          <w:marTop w:val="0"/>
          <w:marBottom w:val="0"/>
          <w:divBdr>
            <w:top w:val="none" w:sz="0" w:space="0" w:color="auto"/>
            <w:left w:val="none" w:sz="0" w:space="0" w:color="auto"/>
            <w:bottom w:val="none" w:sz="0" w:space="0" w:color="auto"/>
            <w:right w:val="none" w:sz="0" w:space="0" w:color="auto"/>
          </w:divBdr>
        </w:div>
        <w:div w:id="49378636">
          <w:marLeft w:val="0"/>
          <w:marRight w:val="0"/>
          <w:marTop w:val="0"/>
          <w:marBottom w:val="0"/>
          <w:divBdr>
            <w:top w:val="none" w:sz="0" w:space="0" w:color="auto"/>
            <w:left w:val="none" w:sz="0" w:space="0" w:color="auto"/>
            <w:bottom w:val="none" w:sz="0" w:space="0" w:color="auto"/>
            <w:right w:val="none" w:sz="0" w:space="0" w:color="auto"/>
          </w:divBdr>
        </w:div>
        <w:div w:id="82149242">
          <w:marLeft w:val="0"/>
          <w:marRight w:val="0"/>
          <w:marTop w:val="0"/>
          <w:marBottom w:val="0"/>
          <w:divBdr>
            <w:top w:val="none" w:sz="0" w:space="0" w:color="auto"/>
            <w:left w:val="none" w:sz="0" w:space="0" w:color="auto"/>
            <w:bottom w:val="none" w:sz="0" w:space="0" w:color="auto"/>
            <w:right w:val="none" w:sz="0" w:space="0" w:color="auto"/>
          </w:divBdr>
        </w:div>
        <w:div w:id="109132524">
          <w:marLeft w:val="0"/>
          <w:marRight w:val="0"/>
          <w:marTop w:val="0"/>
          <w:marBottom w:val="0"/>
          <w:divBdr>
            <w:top w:val="none" w:sz="0" w:space="0" w:color="auto"/>
            <w:left w:val="none" w:sz="0" w:space="0" w:color="auto"/>
            <w:bottom w:val="none" w:sz="0" w:space="0" w:color="auto"/>
            <w:right w:val="none" w:sz="0" w:space="0" w:color="auto"/>
          </w:divBdr>
        </w:div>
        <w:div w:id="122428343">
          <w:marLeft w:val="0"/>
          <w:marRight w:val="0"/>
          <w:marTop w:val="0"/>
          <w:marBottom w:val="0"/>
          <w:divBdr>
            <w:top w:val="none" w:sz="0" w:space="0" w:color="auto"/>
            <w:left w:val="none" w:sz="0" w:space="0" w:color="auto"/>
            <w:bottom w:val="none" w:sz="0" w:space="0" w:color="auto"/>
            <w:right w:val="none" w:sz="0" w:space="0" w:color="auto"/>
          </w:divBdr>
        </w:div>
        <w:div w:id="131027011">
          <w:marLeft w:val="0"/>
          <w:marRight w:val="0"/>
          <w:marTop w:val="0"/>
          <w:marBottom w:val="0"/>
          <w:divBdr>
            <w:top w:val="none" w:sz="0" w:space="0" w:color="auto"/>
            <w:left w:val="none" w:sz="0" w:space="0" w:color="auto"/>
            <w:bottom w:val="none" w:sz="0" w:space="0" w:color="auto"/>
            <w:right w:val="none" w:sz="0" w:space="0" w:color="auto"/>
          </w:divBdr>
        </w:div>
        <w:div w:id="138377778">
          <w:marLeft w:val="0"/>
          <w:marRight w:val="0"/>
          <w:marTop w:val="0"/>
          <w:marBottom w:val="0"/>
          <w:divBdr>
            <w:top w:val="none" w:sz="0" w:space="0" w:color="auto"/>
            <w:left w:val="none" w:sz="0" w:space="0" w:color="auto"/>
            <w:bottom w:val="none" w:sz="0" w:space="0" w:color="auto"/>
            <w:right w:val="none" w:sz="0" w:space="0" w:color="auto"/>
          </w:divBdr>
          <w:divsChild>
            <w:div w:id="101804607">
              <w:marLeft w:val="0"/>
              <w:marRight w:val="0"/>
              <w:marTop w:val="0"/>
              <w:marBottom w:val="0"/>
              <w:divBdr>
                <w:top w:val="none" w:sz="0" w:space="0" w:color="auto"/>
                <w:left w:val="none" w:sz="0" w:space="0" w:color="auto"/>
                <w:bottom w:val="none" w:sz="0" w:space="0" w:color="auto"/>
                <w:right w:val="none" w:sz="0" w:space="0" w:color="auto"/>
              </w:divBdr>
            </w:div>
            <w:div w:id="264383187">
              <w:marLeft w:val="0"/>
              <w:marRight w:val="0"/>
              <w:marTop w:val="0"/>
              <w:marBottom w:val="0"/>
              <w:divBdr>
                <w:top w:val="none" w:sz="0" w:space="0" w:color="auto"/>
                <w:left w:val="none" w:sz="0" w:space="0" w:color="auto"/>
                <w:bottom w:val="none" w:sz="0" w:space="0" w:color="auto"/>
                <w:right w:val="none" w:sz="0" w:space="0" w:color="auto"/>
              </w:divBdr>
            </w:div>
            <w:div w:id="1148129098">
              <w:marLeft w:val="0"/>
              <w:marRight w:val="0"/>
              <w:marTop w:val="0"/>
              <w:marBottom w:val="0"/>
              <w:divBdr>
                <w:top w:val="none" w:sz="0" w:space="0" w:color="auto"/>
                <w:left w:val="none" w:sz="0" w:space="0" w:color="auto"/>
                <w:bottom w:val="none" w:sz="0" w:space="0" w:color="auto"/>
                <w:right w:val="none" w:sz="0" w:space="0" w:color="auto"/>
              </w:divBdr>
            </w:div>
            <w:div w:id="1464228562">
              <w:marLeft w:val="0"/>
              <w:marRight w:val="0"/>
              <w:marTop w:val="0"/>
              <w:marBottom w:val="0"/>
              <w:divBdr>
                <w:top w:val="none" w:sz="0" w:space="0" w:color="auto"/>
                <w:left w:val="none" w:sz="0" w:space="0" w:color="auto"/>
                <w:bottom w:val="none" w:sz="0" w:space="0" w:color="auto"/>
                <w:right w:val="none" w:sz="0" w:space="0" w:color="auto"/>
              </w:divBdr>
            </w:div>
          </w:divsChild>
        </w:div>
        <w:div w:id="155146684">
          <w:marLeft w:val="0"/>
          <w:marRight w:val="0"/>
          <w:marTop w:val="0"/>
          <w:marBottom w:val="0"/>
          <w:divBdr>
            <w:top w:val="none" w:sz="0" w:space="0" w:color="auto"/>
            <w:left w:val="none" w:sz="0" w:space="0" w:color="auto"/>
            <w:bottom w:val="none" w:sz="0" w:space="0" w:color="auto"/>
            <w:right w:val="none" w:sz="0" w:space="0" w:color="auto"/>
          </w:divBdr>
        </w:div>
        <w:div w:id="155726398">
          <w:marLeft w:val="0"/>
          <w:marRight w:val="0"/>
          <w:marTop w:val="0"/>
          <w:marBottom w:val="0"/>
          <w:divBdr>
            <w:top w:val="none" w:sz="0" w:space="0" w:color="auto"/>
            <w:left w:val="none" w:sz="0" w:space="0" w:color="auto"/>
            <w:bottom w:val="none" w:sz="0" w:space="0" w:color="auto"/>
            <w:right w:val="none" w:sz="0" w:space="0" w:color="auto"/>
          </w:divBdr>
        </w:div>
        <w:div w:id="161628453">
          <w:marLeft w:val="0"/>
          <w:marRight w:val="0"/>
          <w:marTop w:val="0"/>
          <w:marBottom w:val="0"/>
          <w:divBdr>
            <w:top w:val="none" w:sz="0" w:space="0" w:color="auto"/>
            <w:left w:val="none" w:sz="0" w:space="0" w:color="auto"/>
            <w:bottom w:val="none" w:sz="0" w:space="0" w:color="auto"/>
            <w:right w:val="none" w:sz="0" w:space="0" w:color="auto"/>
          </w:divBdr>
        </w:div>
        <w:div w:id="174155323">
          <w:marLeft w:val="0"/>
          <w:marRight w:val="0"/>
          <w:marTop w:val="0"/>
          <w:marBottom w:val="0"/>
          <w:divBdr>
            <w:top w:val="none" w:sz="0" w:space="0" w:color="auto"/>
            <w:left w:val="none" w:sz="0" w:space="0" w:color="auto"/>
            <w:bottom w:val="none" w:sz="0" w:space="0" w:color="auto"/>
            <w:right w:val="none" w:sz="0" w:space="0" w:color="auto"/>
          </w:divBdr>
          <w:divsChild>
            <w:div w:id="175079395">
              <w:marLeft w:val="0"/>
              <w:marRight w:val="0"/>
              <w:marTop w:val="0"/>
              <w:marBottom w:val="0"/>
              <w:divBdr>
                <w:top w:val="none" w:sz="0" w:space="0" w:color="auto"/>
                <w:left w:val="none" w:sz="0" w:space="0" w:color="auto"/>
                <w:bottom w:val="none" w:sz="0" w:space="0" w:color="auto"/>
                <w:right w:val="none" w:sz="0" w:space="0" w:color="auto"/>
              </w:divBdr>
            </w:div>
            <w:div w:id="583994844">
              <w:marLeft w:val="0"/>
              <w:marRight w:val="0"/>
              <w:marTop w:val="0"/>
              <w:marBottom w:val="0"/>
              <w:divBdr>
                <w:top w:val="none" w:sz="0" w:space="0" w:color="auto"/>
                <w:left w:val="none" w:sz="0" w:space="0" w:color="auto"/>
                <w:bottom w:val="none" w:sz="0" w:space="0" w:color="auto"/>
                <w:right w:val="none" w:sz="0" w:space="0" w:color="auto"/>
              </w:divBdr>
            </w:div>
            <w:div w:id="1103652788">
              <w:marLeft w:val="0"/>
              <w:marRight w:val="0"/>
              <w:marTop w:val="0"/>
              <w:marBottom w:val="0"/>
              <w:divBdr>
                <w:top w:val="none" w:sz="0" w:space="0" w:color="auto"/>
                <w:left w:val="none" w:sz="0" w:space="0" w:color="auto"/>
                <w:bottom w:val="none" w:sz="0" w:space="0" w:color="auto"/>
                <w:right w:val="none" w:sz="0" w:space="0" w:color="auto"/>
              </w:divBdr>
            </w:div>
            <w:div w:id="1328754638">
              <w:marLeft w:val="0"/>
              <w:marRight w:val="0"/>
              <w:marTop w:val="0"/>
              <w:marBottom w:val="0"/>
              <w:divBdr>
                <w:top w:val="none" w:sz="0" w:space="0" w:color="auto"/>
                <w:left w:val="none" w:sz="0" w:space="0" w:color="auto"/>
                <w:bottom w:val="none" w:sz="0" w:space="0" w:color="auto"/>
                <w:right w:val="none" w:sz="0" w:space="0" w:color="auto"/>
              </w:divBdr>
            </w:div>
            <w:div w:id="1486048204">
              <w:marLeft w:val="0"/>
              <w:marRight w:val="0"/>
              <w:marTop w:val="0"/>
              <w:marBottom w:val="0"/>
              <w:divBdr>
                <w:top w:val="none" w:sz="0" w:space="0" w:color="auto"/>
                <w:left w:val="none" w:sz="0" w:space="0" w:color="auto"/>
                <w:bottom w:val="none" w:sz="0" w:space="0" w:color="auto"/>
                <w:right w:val="none" w:sz="0" w:space="0" w:color="auto"/>
              </w:divBdr>
            </w:div>
          </w:divsChild>
        </w:div>
        <w:div w:id="183328403">
          <w:marLeft w:val="0"/>
          <w:marRight w:val="0"/>
          <w:marTop w:val="0"/>
          <w:marBottom w:val="0"/>
          <w:divBdr>
            <w:top w:val="none" w:sz="0" w:space="0" w:color="auto"/>
            <w:left w:val="none" w:sz="0" w:space="0" w:color="auto"/>
            <w:bottom w:val="none" w:sz="0" w:space="0" w:color="auto"/>
            <w:right w:val="none" w:sz="0" w:space="0" w:color="auto"/>
          </w:divBdr>
        </w:div>
        <w:div w:id="201720677">
          <w:marLeft w:val="0"/>
          <w:marRight w:val="0"/>
          <w:marTop w:val="0"/>
          <w:marBottom w:val="0"/>
          <w:divBdr>
            <w:top w:val="none" w:sz="0" w:space="0" w:color="auto"/>
            <w:left w:val="none" w:sz="0" w:space="0" w:color="auto"/>
            <w:bottom w:val="none" w:sz="0" w:space="0" w:color="auto"/>
            <w:right w:val="none" w:sz="0" w:space="0" w:color="auto"/>
          </w:divBdr>
        </w:div>
        <w:div w:id="202527429">
          <w:marLeft w:val="0"/>
          <w:marRight w:val="0"/>
          <w:marTop w:val="0"/>
          <w:marBottom w:val="0"/>
          <w:divBdr>
            <w:top w:val="none" w:sz="0" w:space="0" w:color="auto"/>
            <w:left w:val="none" w:sz="0" w:space="0" w:color="auto"/>
            <w:bottom w:val="none" w:sz="0" w:space="0" w:color="auto"/>
            <w:right w:val="none" w:sz="0" w:space="0" w:color="auto"/>
          </w:divBdr>
        </w:div>
        <w:div w:id="211575914">
          <w:marLeft w:val="0"/>
          <w:marRight w:val="0"/>
          <w:marTop w:val="0"/>
          <w:marBottom w:val="0"/>
          <w:divBdr>
            <w:top w:val="none" w:sz="0" w:space="0" w:color="auto"/>
            <w:left w:val="none" w:sz="0" w:space="0" w:color="auto"/>
            <w:bottom w:val="none" w:sz="0" w:space="0" w:color="auto"/>
            <w:right w:val="none" w:sz="0" w:space="0" w:color="auto"/>
          </w:divBdr>
        </w:div>
        <w:div w:id="217984175">
          <w:marLeft w:val="0"/>
          <w:marRight w:val="0"/>
          <w:marTop w:val="0"/>
          <w:marBottom w:val="0"/>
          <w:divBdr>
            <w:top w:val="none" w:sz="0" w:space="0" w:color="auto"/>
            <w:left w:val="none" w:sz="0" w:space="0" w:color="auto"/>
            <w:bottom w:val="none" w:sz="0" w:space="0" w:color="auto"/>
            <w:right w:val="none" w:sz="0" w:space="0" w:color="auto"/>
          </w:divBdr>
        </w:div>
        <w:div w:id="238684999">
          <w:marLeft w:val="0"/>
          <w:marRight w:val="0"/>
          <w:marTop w:val="0"/>
          <w:marBottom w:val="0"/>
          <w:divBdr>
            <w:top w:val="none" w:sz="0" w:space="0" w:color="auto"/>
            <w:left w:val="none" w:sz="0" w:space="0" w:color="auto"/>
            <w:bottom w:val="none" w:sz="0" w:space="0" w:color="auto"/>
            <w:right w:val="none" w:sz="0" w:space="0" w:color="auto"/>
          </w:divBdr>
        </w:div>
        <w:div w:id="251083702">
          <w:marLeft w:val="0"/>
          <w:marRight w:val="0"/>
          <w:marTop w:val="0"/>
          <w:marBottom w:val="0"/>
          <w:divBdr>
            <w:top w:val="none" w:sz="0" w:space="0" w:color="auto"/>
            <w:left w:val="none" w:sz="0" w:space="0" w:color="auto"/>
            <w:bottom w:val="none" w:sz="0" w:space="0" w:color="auto"/>
            <w:right w:val="none" w:sz="0" w:space="0" w:color="auto"/>
          </w:divBdr>
        </w:div>
        <w:div w:id="256406057">
          <w:marLeft w:val="0"/>
          <w:marRight w:val="0"/>
          <w:marTop w:val="0"/>
          <w:marBottom w:val="0"/>
          <w:divBdr>
            <w:top w:val="none" w:sz="0" w:space="0" w:color="auto"/>
            <w:left w:val="none" w:sz="0" w:space="0" w:color="auto"/>
            <w:bottom w:val="none" w:sz="0" w:space="0" w:color="auto"/>
            <w:right w:val="none" w:sz="0" w:space="0" w:color="auto"/>
          </w:divBdr>
        </w:div>
        <w:div w:id="259417993">
          <w:marLeft w:val="0"/>
          <w:marRight w:val="0"/>
          <w:marTop w:val="0"/>
          <w:marBottom w:val="0"/>
          <w:divBdr>
            <w:top w:val="none" w:sz="0" w:space="0" w:color="auto"/>
            <w:left w:val="none" w:sz="0" w:space="0" w:color="auto"/>
            <w:bottom w:val="none" w:sz="0" w:space="0" w:color="auto"/>
            <w:right w:val="none" w:sz="0" w:space="0" w:color="auto"/>
          </w:divBdr>
        </w:div>
        <w:div w:id="270357233">
          <w:marLeft w:val="0"/>
          <w:marRight w:val="0"/>
          <w:marTop w:val="0"/>
          <w:marBottom w:val="0"/>
          <w:divBdr>
            <w:top w:val="none" w:sz="0" w:space="0" w:color="auto"/>
            <w:left w:val="none" w:sz="0" w:space="0" w:color="auto"/>
            <w:bottom w:val="none" w:sz="0" w:space="0" w:color="auto"/>
            <w:right w:val="none" w:sz="0" w:space="0" w:color="auto"/>
          </w:divBdr>
        </w:div>
        <w:div w:id="272133368">
          <w:marLeft w:val="0"/>
          <w:marRight w:val="0"/>
          <w:marTop w:val="0"/>
          <w:marBottom w:val="0"/>
          <w:divBdr>
            <w:top w:val="none" w:sz="0" w:space="0" w:color="auto"/>
            <w:left w:val="none" w:sz="0" w:space="0" w:color="auto"/>
            <w:bottom w:val="none" w:sz="0" w:space="0" w:color="auto"/>
            <w:right w:val="none" w:sz="0" w:space="0" w:color="auto"/>
          </w:divBdr>
        </w:div>
        <w:div w:id="284048779">
          <w:marLeft w:val="0"/>
          <w:marRight w:val="0"/>
          <w:marTop w:val="0"/>
          <w:marBottom w:val="0"/>
          <w:divBdr>
            <w:top w:val="none" w:sz="0" w:space="0" w:color="auto"/>
            <w:left w:val="none" w:sz="0" w:space="0" w:color="auto"/>
            <w:bottom w:val="none" w:sz="0" w:space="0" w:color="auto"/>
            <w:right w:val="none" w:sz="0" w:space="0" w:color="auto"/>
          </w:divBdr>
        </w:div>
        <w:div w:id="293022418">
          <w:marLeft w:val="0"/>
          <w:marRight w:val="0"/>
          <w:marTop w:val="0"/>
          <w:marBottom w:val="0"/>
          <w:divBdr>
            <w:top w:val="none" w:sz="0" w:space="0" w:color="auto"/>
            <w:left w:val="none" w:sz="0" w:space="0" w:color="auto"/>
            <w:bottom w:val="none" w:sz="0" w:space="0" w:color="auto"/>
            <w:right w:val="none" w:sz="0" w:space="0" w:color="auto"/>
          </w:divBdr>
          <w:divsChild>
            <w:div w:id="427241669">
              <w:marLeft w:val="0"/>
              <w:marRight w:val="0"/>
              <w:marTop w:val="0"/>
              <w:marBottom w:val="0"/>
              <w:divBdr>
                <w:top w:val="none" w:sz="0" w:space="0" w:color="auto"/>
                <w:left w:val="none" w:sz="0" w:space="0" w:color="auto"/>
                <w:bottom w:val="none" w:sz="0" w:space="0" w:color="auto"/>
                <w:right w:val="none" w:sz="0" w:space="0" w:color="auto"/>
              </w:divBdr>
            </w:div>
            <w:div w:id="735593346">
              <w:marLeft w:val="0"/>
              <w:marRight w:val="0"/>
              <w:marTop w:val="0"/>
              <w:marBottom w:val="0"/>
              <w:divBdr>
                <w:top w:val="none" w:sz="0" w:space="0" w:color="auto"/>
                <w:left w:val="none" w:sz="0" w:space="0" w:color="auto"/>
                <w:bottom w:val="none" w:sz="0" w:space="0" w:color="auto"/>
                <w:right w:val="none" w:sz="0" w:space="0" w:color="auto"/>
              </w:divBdr>
            </w:div>
            <w:div w:id="1207716479">
              <w:marLeft w:val="0"/>
              <w:marRight w:val="0"/>
              <w:marTop w:val="0"/>
              <w:marBottom w:val="0"/>
              <w:divBdr>
                <w:top w:val="none" w:sz="0" w:space="0" w:color="auto"/>
                <w:left w:val="none" w:sz="0" w:space="0" w:color="auto"/>
                <w:bottom w:val="none" w:sz="0" w:space="0" w:color="auto"/>
                <w:right w:val="none" w:sz="0" w:space="0" w:color="auto"/>
              </w:divBdr>
            </w:div>
            <w:div w:id="1575358321">
              <w:marLeft w:val="0"/>
              <w:marRight w:val="0"/>
              <w:marTop w:val="0"/>
              <w:marBottom w:val="0"/>
              <w:divBdr>
                <w:top w:val="none" w:sz="0" w:space="0" w:color="auto"/>
                <w:left w:val="none" w:sz="0" w:space="0" w:color="auto"/>
                <w:bottom w:val="none" w:sz="0" w:space="0" w:color="auto"/>
                <w:right w:val="none" w:sz="0" w:space="0" w:color="auto"/>
              </w:divBdr>
            </w:div>
            <w:div w:id="2127039226">
              <w:marLeft w:val="0"/>
              <w:marRight w:val="0"/>
              <w:marTop w:val="0"/>
              <w:marBottom w:val="0"/>
              <w:divBdr>
                <w:top w:val="none" w:sz="0" w:space="0" w:color="auto"/>
                <w:left w:val="none" w:sz="0" w:space="0" w:color="auto"/>
                <w:bottom w:val="none" w:sz="0" w:space="0" w:color="auto"/>
                <w:right w:val="none" w:sz="0" w:space="0" w:color="auto"/>
              </w:divBdr>
            </w:div>
          </w:divsChild>
        </w:div>
        <w:div w:id="295451103">
          <w:marLeft w:val="0"/>
          <w:marRight w:val="0"/>
          <w:marTop w:val="0"/>
          <w:marBottom w:val="0"/>
          <w:divBdr>
            <w:top w:val="none" w:sz="0" w:space="0" w:color="auto"/>
            <w:left w:val="none" w:sz="0" w:space="0" w:color="auto"/>
            <w:bottom w:val="none" w:sz="0" w:space="0" w:color="auto"/>
            <w:right w:val="none" w:sz="0" w:space="0" w:color="auto"/>
          </w:divBdr>
        </w:div>
        <w:div w:id="304552615">
          <w:marLeft w:val="0"/>
          <w:marRight w:val="0"/>
          <w:marTop w:val="0"/>
          <w:marBottom w:val="0"/>
          <w:divBdr>
            <w:top w:val="none" w:sz="0" w:space="0" w:color="auto"/>
            <w:left w:val="none" w:sz="0" w:space="0" w:color="auto"/>
            <w:bottom w:val="none" w:sz="0" w:space="0" w:color="auto"/>
            <w:right w:val="none" w:sz="0" w:space="0" w:color="auto"/>
          </w:divBdr>
          <w:divsChild>
            <w:div w:id="981546977">
              <w:marLeft w:val="0"/>
              <w:marRight w:val="0"/>
              <w:marTop w:val="0"/>
              <w:marBottom w:val="0"/>
              <w:divBdr>
                <w:top w:val="none" w:sz="0" w:space="0" w:color="auto"/>
                <w:left w:val="none" w:sz="0" w:space="0" w:color="auto"/>
                <w:bottom w:val="none" w:sz="0" w:space="0" w:color="auto"/>
                <w:right w:val="none" w:sz="0" w:space="0" w:color="auto"/>
              </w:divBdr>
            </w:div>
            <w:div w:id="1027875833">
              <w:marLeft w:val="0"/>
              <w:marRight w:val="0"/>
              <w:marTop w:val="0"/>
              <w:marBottom w:val="0"/>
              <w:divBdr>
                <w:top w:val="none" w:sz="0" w:space="0" w:color="auto"/>
                <w:left w:val="none" w:sz="0" w:space="0" w:color="auto"/>
                <w:bottom w:val="none" w:sz="0" w:space="0" w:color="auto"/>
                <w:right w:val="none" w:sz="0" w:space="0" w:color="auto"/>
              </w:divBdr>
            </w:div>
            <w:div w:id="1356926208">
              <w:marLeft w:val="0"/>
              <w:marRight w:val="0"/>
              <w:marTop w:val="0"/>
              <w:marBottom w:val="0"/>
              <w:divBdr>
                <w:top w:val="none" w:sz="0" w:space="0" w:color="auto"/>
                <w:left w:val="none" w:sz="0" w:space="0" w:color="auto"/>
                <w:bottom w:val="none" w:sz="0" w:space="0" w:color="auto"/>
                <w:right w:val="none" w:sz="0" w:space="0" w:color="auto"/>
              </w:divBdr>
            </w:div>
          </w:divsChild>
        </w:div>
        <w:div w:id="306083109">
          <w:marLeft w:val="0"/>
          <w:marRight w:val="0"/>
          <w:marTop w:val="0"/>
          <w:marBottom w:val="0"/>
          <w:divBdr>
            <w:top w:val="none" w:sz="0" w:space="0" w:color="auto"/>
            <w:left w:val="none" w:sz="0" w:space="0" w:color="auto"/>
            <w:bottom w:val="none" w:sz="0" w:space="0" w:color="auto"/>
            <w:right w:val="none" w:sz="0" w:space="0" w:color="auto"/>
          </w:divBdr>
        </w:div>
        <w:div w:id="306592046">
          <w:marLeft w:val="0"/>
          <w:marRight w:val="0"/>
          <w:marTop w:val="0"/>
          <w:marBottom w:val="0"/>
          <w:divBdr>
            <w:top w:val="none" w:sz="0" w:space="0" w:color="auto"/>
            <w:left w:val="none" w:sz="0" w:space="0" w:color="auto"/>
            <w:bottom w:val="none" w:sz="0" w:space="0" w:color="auto"/>
            <w:right w:val="none" w:sz="0" w:space="0" w:color="auto"/>
          </w:divBdr>
          <w:divsChild>
            <w:div w:id="277373339">
              <w:marLeft w:val="0"/>
              <w:marRight w:val="0"/>
              <w:marTop w:val="0"/>
              <w:marBottom w:val="0"/>
              <w:divBdr>
                <w:top w:val="none" w:sz="0" w:space="0" w:color="auto"/>
                <w:left w:val="none" w:sz="0" w:space="0" w:color="auto"/>
                <w:bottom w:val="none" w:sz="0" w:space="0" w:color="auto"/>
                <w:right w:val="none" w:sz="0" w:space="0" w:color="auto"/>
              </w:divBdr>
            </w:div>
            <w:div w:id="382994726">
              <w:marLeft w:val="0"/>
              <w:marRight w:val="0"/>
              <w:marTop w:val="0"/>
              <w:marBottom w:val="0"/>
              <w:divBdr>
                <w:top w:val="none" w:sz="0" w:space="0" w:color="auto"/>
                <w:left w:val="none" w:sz="0" w:space="0" w:color="auto"/>
                <w:bottom w:val="none" w:sz="0" w:space="0" w:color="auto"/>
                <w:right w:val="none" w:sz="0" w:space="0" w:color="auto"/>
              </w:divBdr>
            </w:div>
            <w:div w:id="430047330">
              <w:marLeft w:val="0"/>
              <w:marRight w:val="0"/>
              <w:marTop w:val="0"/>
              <w:marBottom w:val="0"/>
              <w:divBdr>
                <w:top w:val="none" w:sz="0" w:space="0" w:color="auto"/>
                <w:left w:val="none" w:sz="0" w:space="0" w:color="auto"/>
                <w:bottom w:val="none" w:sz="0" w:space="0" w:color="auto"/>
                <w:right w:val="none" w:sz="0" w:space="0" w:color="auto"/>
              </w:divBdr>
            </w:div>
            <w:div w:id="1139692545">
              <w:marLeft w:val="0"/>
              <w:marRight w:val="0"/>
              <w:marTop w:val="0"/>
              <w:marBottom w:val="0"/>
              <w:divBdr>
                <w:top w:val="none" w:sz="0" w:space="0" w:color="auto"/>
                <w:left w:val="none" w:sz="0" w:space="0" w:color="auto"/>
                <w:bottom w:val="none" w:sz="0" w:space="0" w:color="auto"/>
                <w:right w:val="none" w:sz="0" w:space="0" w:color="auto"/>
              </w:divBdr>
            </w:div>
            <w:div w:id="1215392549">
              <w:marLeft w:val="0"/>
              <w:marRight w:val="0"/>
              <w:marTop w:val="0"/>
              <w:marBottom w:val="0"/>
              <w:divBdr>
                <w:top w:val="none" w:sz="0" w:space="0" w:color="auto"/>
                <w:left w:val="none" w:sz="0" w:space="0" w:color="auto"/>
                <w:bottom w:val="none" w:sz="0" w:space="0" w:color="auto"/>
                <w:right w:val="none" w:sz="0" w:space="0" w:color="auto"/>
              </w:divBdr>
            </w:div>
          </w:divsChild>
        </w:div>
        <w:div w:id="310407438">
          <w:marLeft w:val="0"/>
          <w:marRight w:val="0"/>
          <w:marTop w:val="0"/>
          <w:marBottom w:val="0"/>
          <w:divBdr>
            <w:top w:val="none" w:sz="0" w:space="0" w:color="auto"/>
            <w:left w:val="none" w:sz="0" w:space="0" w:color="auto"/>
            <w:bottom w:val="none" w:sz="0" w:space="0" w:color="auto"/>
            <w:right w:val="none" w:sz="0" w:space="0" w:color="auto"/>
          </w:divBdr>
        </w:div>
        <w:div w:id="312367839">
          <w:marLeft w:val="0"/>
          <w:marRight w:val="0"/>
          <w:marTop w:val="0"/>
          <w:marBottom w:val="0"/>
          <w:divBdr>
            <w:top w:val="none" w:sz="0" w:space="0" w:color="auto"/>
            <w:left w:val="none" w:sz="0" w:space="0" w:color="auto"/>
            <w:bottom w:val="none" w:sz="0" w:space="0" w:color="auto"/>
            <w:right w:val="none" w:sz="0" w:space="0" w:color="auto"/>
          </w:divBdr>
        </w:div>
        <w:div w:id="312686236">
          <w:marLeft w:val="0"/>
          <w:marRight w:val="0"/>
          <w:marTop w:val="0"/>
          <w:marBottom w:val="0"/>
          <w:divBdr>
            <w:top w:val="none" w:sz="0" w:space="0" w:color="auto"/>
            <w:left w:val="none" w:sz="0" w:space="0" w:color="auto"/>
            <w:bottom w:val="none" w:sz="0" w:space="0" w:color="auto"/>
            <w:right w:val="none" w:sz="0" w:space="0" w:color="auto"/>
          </w:divBdr>
        </w:div>
        <w:div w:id="321856011">
          <w:marLeft w:val="0"/>
          <w:marRight w:val="0"/>
          <w:marTop w:val="0"/>
          <w:marBottom w:val="0"/>
          <w:divBdr>
            <w:top w:val="none" w:sz="0" w:space="0" w:color="auto"/>
            <w:left w:val="none" w:sz="0" w:space="0" w:color="auto"/>
            <w:bottom w:val="none" w:sz="0" w:space="0" w:color="auto"/>
            <w:right w:val="none" w:sz="0" w:space="0" w:color="auto"/>
          </w:divBdr>
          <w:divsChild>
            <w:div w:id="506529718">
              <w:marLeft w:val="0"/>
              <w:marRight w:val="0"/>
              <w:marTop w:val="0"/>
              <w:marBottom w:val="0"/>
              <w:divBdr>
                <w:top w:val="none" w:sz="0" w:space="0" w:color="auto"/>
                <w:left w:val="none" w:sz="0" w:space="0" w:color="auto"/>
                <w:bottom w:val="none" w:sz="0" w:space="0" w:color="auto"/>
                <w:right w:val="none" w:sz="0" w:space="0" w:color="auto"/>
              </w:divBdr>
            </w:div>
            <w:div w:id="820922323">
              <w:marLeft w:val="0"/>
              <w:marRight w:val="0"/>
              <w:marTop w:val="0"/>
              <w:marBottom w:val="0"/>
              <w:divBdr>
                <w:top w:val="none" w:sz="0" w:space="0" w:color="auto"/>
                <w:left w:val="none" w:sz="0" w:space="0" w:color="auto"/>
                <w:bottom w:val="none" w:sz="0" w:space="0" w:color="auto"/>
                <w:right w:val="none" w:sz="0" w:space="0" w:color="auto"/>
              </w:divBdr>
            </w:div>
            <w:div w:id="963728547">
              <w:marLeft w:val="0"/>
              <w:marRight w:val="0"/>
              <w:marTop w:val="0"/>
              <w:marBottom w:val="0"/>
              <w:divBdr>
                <w:top w:val="none" w:sz="0" w:space="0" w:color="auto"/>
                <w:left w:val="none" w:sz="0" w:space="0" w:color="auto"/>
                <w:bottom w:val="none" w:sz="0" w:space="0" w:color="auto"/>
                <w:right w:val="none" w:sz="0" w:space="0" w:color="auto"/>
              </w:divBdr>
            </w:div>
            <w:div w:id="1685400363">
              <w:marLeft w:val="0"/>
              <w:marRight w:val="0"/>
              <w:marTop w:val="0"/>
              <w:marBottom w:val="0"/>
              <w:divBdr>
                <w:top w:val="none" w:sz="0" w:space="0" w:color="auto"/>
                <w:left w:val="none" w:sz="0" w:space="0" w:color="auto"/>
                <w:bottom w:val="none" w:sz="0" w:space="0" w:color="auto"/>
                <w:right w:val="none" w:sz="0" w:space="0" w:color="auto"/>
              </w:divBdr>
            </w:div>
            <w:div w:id="1711683361">
              <w:marLeft w:val="0"/>
              <w:marRight w:val="0"/>
              <w:marTop w:val="0"/>
              <w:marBottom w:val="0"/>
              <w:divBdr>
                <w:top w:val="none" w:sz="0" w:space="0" w:color="auto"/>
                <w:left w:val="none" w:sz="0" w:space="0" w:color="auto"/>
                <w:bottom w:val="none" w:sz="0" w:space="0" w:color="auto"/>
                <w:right w:val="none" w:sz="0" w:space="0" w:color="auto"/>
              </w:divBdr>
            </w:div>
          </w:divsChild>
        </w:div>
        <w:div w:id="337731197">
          <w:marLeft w:val="0"/>
          <w:marRight w:val="0"/>
          <w:marTop w:val="0"/>
          <w:marBottom w:val="0"/>
          <w:divBdr>
            <w:top w:val="none" w:sz="0" w:space="0" w:color="auto"/>
            <w:left w:val="none" w:sz="0" w:space="0" w:color="auto"/>
            <w:bottom w:val="none" w:sz="0" w:space="0" w:color="auto"/>
            <w:right w:val="none" w:sz="0" w:space="0" w:color="auto"/>
          </w:divBdr>
        </w:div>
        <w:div w:id="338850611">
          <w:marLeft w:val="0"/>
          <w:marRight w:val="0"/>
          <w:marTop w:val="0"/>
          <w:marBottom w:val="0"/>
          <w:divBdr>
            <w:top w:val="none" w:sz="0" w:space="0" w:color="auto"/>
            <w:left w:val="none" w:sz="0" w:space="0" w:color="auto"/>
            <w:bottom w:val="none" w:sz="0" w:space="0" w:color="auto"/>
            <w:right w:val="none" w:sz="0" w:space="0" w:color="auto"/>
          </w:divBdr>
        </w:div>
        <w:div w:id="354579498">
          <w:marLeft w:val="0"/>
          <w:marRight w:val="0"/>
          <w:marTop w:val="0"/>
          <w:marBottom w:val="0"/>
          <w:divBdr>
            <w:top w:val="none" w:sz="0" w:space="0" w:color="auto"/>
            <w:left w:val="none" w:sz="0" w:space="0" w:color="auto"/>
            <w:bottom w:val="none" w:sz="0" w:space="0" w:color="auto"/>
            <w:right w:val="none" w:sz="0" w:space="0" w:color="auto"/>
          </w:divBdr>
        </w:div>
        <w:div w:id="355154270">
          <w:marLeft w:val="0"/>
          <w:marRight w:val="0"/>
          <w:marTop w:val="0"/>
          <w:marBottom w:val="0"/>
          <w:divBdr>
            <w:top w:val="none" w:sz="0" w:space="0" w:color="auto"/>
            <w:left w:val="none" w:sz="0" w:space="0" w:color="auto"/>
            <w:bottom w:val="none" w:sz="0" w:space="0" w:color="auto"/>
            <w:right w:val="none" w:sz="0" w:space="0" w:color="auto"/>
          </w:divBdr>
        </w:div>
        <w:div w:id="392703099">
          <w:marLeft w:val="0"/>
          <w:marRight w:val="0"/>
          <w:marTop w:val="0"/>
          <w:marBottom w:val="0"/>
          <w:divBdr>
            <w:top w:val="none" w:sz="0" w:space="0" w:color="auto"/>
            <w:left w:val="none" w:sz="0" w:space="0" w:color="auto"/>
            <w:bottom w:val="none" w:sz="0" w:space="0" w:color="auto"/>
            <w:right w:val="none" w:sz="0" w:space="0" w:color="auto"/>
          </w:divBdr>
        </w:div>
        <w:div w:id="400324427">
          <w:marLeft w:val="0"/>
          <w:marRight w:val="0"/>
          <w:marTop w:val="0"/>
          <w:marBottom w:val="0"/>
          <w:divBdr>
            <w:top w:val="none" w:sz="0" w:space="0" w:color="auto"/>
            <w:left w:val="none" w:sz="0" w:space="0" w:color="auto"/>
            <w:bottom w:val="none" w:sz="0" w:space="0" w:color="auto"/>
            <w:right w:val="none" w:sz="0" w:space="0" w:color="auto"/>
          </w:divBdr>
        </w:div>
        <w:div w:id="417406062">
          <w:marLeft w:val="0"/>
          <w:marRight w:val="0"/>
          <w:marTop w:val="0"/>
          <w:marBottom w:val="0"/>
          <w:divBdr>
            <w:top w:val="none" w:sz="0" w:space="0" w:color="auto"/>
            <w:left w:val="none" w:sz="0" w:space="0" w:color="auto"/>
            <w:bottom w:val="none" w:sz="0" w:space="0" w:color="auto"/>
            <w:right w:val="none" w:sz="0" w:space="0" w:color="auto"/>
          </w:divBdr>
        </w:div>
        <w:div w:id="452676157">
          <w:marLeft w:val="0"/>
          <w:marRight w:val="0"/>
          <w:marTop w:val="0"/>
          <w:marBottom w:val="0"/>
          <w:divBdr>
            <w:top w:val="none" w:sz="0" w:space="0" w:color="auto"/>
            <w:left w:val="none" w:sz="0" w:space="0" w:color="auto"/>
            <w:bottom w:val="none" w:sz="0" w:space="0" w:color="auto"/>
            <w:right w:val="none" w:sz="0" w:space="0" w:color="auto"/>
          </w:divBdr>
        </w:div>
        <w:div w:id="455947924">
          <w:marLeft w:val="0"/>
          <w:marRight w:val="0"/>
          <w:marTop w:val="0"/>
          <w:marBottom w:val="0"/>
          <w:divBdr>
            <w:top w:val="none" w:sz="0" w:space="0" w:color="auto"/>
            <w:left w:val="none" w:sz="0" w:space="0" w:color="auto"/>
            <w:bottom w:val="none" w:sz="0" w:space="0" w:color="auto"/>
            <w:right w:val="none" w:sz="0" w:space="0" w:color="auto"/>
          </w:divBdr>
        </w:div>
        <w:div w:id="474763077">
          <w:marLeft w:val="0"/>
          <w:marRight w:val="0"/>
          <w:marTop w:val="0"/>
          <w:marBottom w:val="0"/>
          <w:divBdr>
            <w:top w:val="none" w:sz="0" w:space="0" w:color="auto"/>
            <w:left w:val="none" w:sz="0" w:space="0" w:color="auto"/>
            <w:bottom w:val="none" w:sz="0" w:space="0" w:color="auto"/>
            <w:right w:val="none" w:sz="0" w:space="0" w:color="auto"/>
          </w:divBdr>
        </w:div>
        <w:div w:id="476185451">
          <w:marLeft w:val="0"/>
          <w:marRight w:val="0"/>
          <w:marTop w:val="0"/>
          <w:marBottom w:val="0"/>
          <w:divBdr>
            <w:top w:val="none" w:sz="0" w:space="0" w:color="auto"/>
            <w:left w:val="none" w:sz="0" w:space="0" w:color="auto"/>
            <w:bottom w:val="none" w:sz="0" w:space="0" w:color="auto"/>
            <w:right w:val="none" w:sz="0" w:space="0" w:color="auto"/>
          </w:divBdr>
        </w:div>
        <w:div w:id="477382950">
          <w:marLeft w:val="0"/>
          <w:marRight w:val="0"/>
          <w:marTop w:val="0"/>
          <w:marBottom w:val="0"/>
          <w:divBdr>
            <w:top w:val="none" w:sz="0" w:space="0" w:color="auto"/>
            <w:left w:val="none" w:sz="0" w:space="0" w:color="auto"/>
            <w:bottom w:val="none" w:sz="0" w:space="0" w:color="auto"/>
            <w:right w:val="none" w:sz="0" w:space="0" w:color="auto"/>
          </w:divBdr>
        </w:div>
        <w:div w:id="498039250">
          <w:marLeft w:val="0"/>
          <w:marRight w:val="0"/>
          <w:marTop w:val="0"/>
          <w:marBottom w:val="0"/>
          <w:divBdr>
            <w:top w:val="none" w:sz="0" w:space="0" w:color="auto"/>
            <w:left w:val="none" w:sz="0" w:space="0" w:color="auto"/>
            <w:bottom w:val="none" w:sz="0" w:space="0" w:color="auto"/>
            <w:right w:val="none" w:sz="0" w:space="0" w:color="auto"/>
          </w:divBdr>
        </w:div>
        <w:div w:id="500393032">
          <w:marLeft w:val="0"/>
          <w:marRight w:val="0"/>
          <w:marTop w:val="0"/>
          <w:marBottom w:val="0"/>
          <w:divBdr>
            <w:top w:val="none" w:sz="0" w:space="0" w:color="auto"/>
            <w:left w:val="none" w:sz="0" w:space="0" w:color="auto"/>
            <w:bottom w:val="none" w:sz="0" w:space="0" w:color="auto"/>
            <w:right w:val="none" w:sz="0" w:space="0" w:color="auto"/>
          </w:divBdr>
        </w:div>
        <w:div w:id="505558563">
          <w:marLeft w:val="0"/>
          <w:marRight w:val="0"/>
          <w:marTop w:val="0"/>
          <w:marBottom w:val="0"/>
          <w:divBdr>
            <w:top w:val="none" w:sz="0" w:space="0" w:color="auto"/>
            <w:left w:val="none" w:sz="0" w:space="0" w:color="auto"/>
            <w:bottom w:val="none" w:sz="0" w:space="0" w:color="auto"/>
            <w:right w:val="none" w:sz="0" w:space="0" w:color="auto"/>
          </w:divBdr>
        </w:div>
        <w:div w:id="520630389">
          <w:marLeft w:val="0"/>
          <w:marRight w:val="0"/>
          <w:marTop w:val="0"/>
          <w:marBottom w:val="0"/>
          <w:divBdr>
            <w:top w:val="none" w:sz="0" w:space="0" w:color="auto"/>
            <w:left w:val="none" w:sz="0" w:space="0" w:color="auto"/>
            <w:bottom w:val="none" w:sz="0" w:space="0" w:color="auto"/>
            <w:right w:val="none" w:sz="0" w:space="0" w:color="auto"/>
          </w:divBdr>
          <w:divsChild>
            <w:div w:id="1255043731">
              <w:marLeft w:val="-54"/>
              <w:marRight w:val="0"/>
              <w:marTop w:val="21"/>
              <w:marBottom w:val="21"/>
              <w:divBdr>
                <w:top w:val="none" w:sz="0" w:space="0" w:color="auto"/>
                <w:left w:val="none" w:sz="0" w:space="0" w:color="auto"/>
                <w:bottom w:val="none" w:sz="0" w:space="0" w:color="auto"/>
                <w:right w:val="none" w:sz="0" w:space="0" w:color="auto"/>
              </w:divBdr>
              <w:divsChild>
                <w:div w:id="88237989">
                  <w:marLeft w:val="0"/>
                  <w:marRight w:val="0"/>
                  <w:marTop w:val="0"/>
                  <w:marBottom w:val="0"/>
                  <w:divBdr>
                    <w:top w:val="none" w:sz="0" w:space="0" w:color="auto"/>
                    <w:left w:val="none" w:sz="0" w:space="0" w:color="auto"/>
                    <w:bottom w:val="none" w:sz="0" w:space="0" w:color="auto"/>
                    <w:right w:val="none" w:sz="0" w:space="0" w:color="auto"/>
                  </w:divBdr>
                  <w:divsChild>
                    <w:div w:id="999965357">
                      <w:marLeft w:val="0"/>
                      <w:marRight w:val="0"/>
                      <w:marTop w:val="0"/>
                      <w:marBottom w:val="0"/>
                      <w:divBdr>
                        <w:top w:val="none" w:sz="0" w:space="0" w:color="auto"/>
                        <w:left w:val="none" w:sz="0" w:space="0" w:color="auto"/>
                        <w:bottom w:val="none" w:sz="0" w:space="0" w:color="auto"/>
                        <w:right w:val="none" w:sz="0" w:space="0" w:color="auto"/>
                      </w:divBdr>
                    </w:div>
                  </w:divsChild>
                </w:div>
                <w:div w:id="124931332">
                  <w:marLeft w:val="0"/>
                  <w:marRight w:val="0"/>
                  <w:marTop w:val="0"/>
                  <w:marBottom w:val="0"/>
                  <w:divBdr>
                    <w:top w:val="none" w:sz="0" w:space="0" w:color="auto"/>
                    <w:left w:val="none" w:sz="0" w:space="0" w:color="auto"/>
                    <w:bottom w:val="none" w:sz="0" w:space="0" w:color="auto"/>
                    <w:right w:val="none" w:sz="0" w:space="0" w:color="auto"/>
                  </w:divBdr>
                  <w:divsChild>
                    <w:div w:id="797845320">
                      <w:marLeft w:val="0"/>
                      <w:marRight w:val="0"/>
                      <w:marTop w:val="0"/>
                      <w:marBottom w:val="0"/>
                      <w:divBdr>
                        <w:top w:val="none" w:sz="0" w:space="0" w:color="auto"/>
                        <w:left w:val="none" w:sz="0" w:space="0" w:color="auto"/>
                        <w:bottom w:val="none" w:sz="0" w:space="0" w:color="auto"/>
                        <w:right w:val="none" w:sz="0" w:space="0" w:color="auto"/>
                      </w:divBdr>
                    </w:div>
                  </w:divsChild>
                </w:div>
                <w:div w:id="165480166">
                  <w:marLeft w:val="0"/>
                  <w:marRight w:val="0"/>
                  <w:marTop w:val="0"/>
                  <w:marBottom w:val="0"/>
                  <w:divBdr>
                    <w:top w:val="none" w:sz="0" w:space="0" w:color="auto"/>
                    <w:left w:val="none" w:sz="0" w:space="0" w:color="auto"/>
                    <w:bottom w:val="none" w:sz="0" w:space="0" w:color="auto"/>
                    <w:right w:val="none" w:sz="0" w:space="0" w:color="auto"/>
                  </w:divBdr>
                  <w:divsChild>
                    <w:div w:id="256015496">
                      <w:marLeft w:val="0"/>
                      <w:marRight w:val="0"/>
                      <w:marTop w:val="0"/>
                      <w:marBottom w:val="0"/>
                      <w:divBdr>
                        <w:top w:val="none" w:sz="0" w:space="0" w:color="auto"/>
                        <w:left w:val="none" w:sz="0" w:space="0" w:color="auto"/>
                        <w:bottom w:val="none" w:sz="0" w:space="0" w:color="auto"/>
                        <w:right w:val="none" w:sz="0" w:space="0" w:color="auto"/>
                      </w:divBdr>
                    </w:div>
                  </w:divsChild>
                </w:div>
                <w:div w:id="328099431">
                  <w:marLeft w:val="0"/>
                  <w:marRight w:val="0"/>
                  <w:marTop w:val="0"/>
                  <w:marBottom w:val="0"/>
                  <w:divBdr>
                    <w:top w:val="none" w:sz="0" w:space="0" w:color="auto"/>
                    <w:left w:val="none" w:sz="0" w:space="0" w:color="auto"/>
                    <w:bottom w:val="none" w:sz="0" w:space="0" w:color="auto"/>
                    <w:right w:val="none" w:sz="0" w:space="0" w:color="auto"/>
                  </w:divBdr>
                  <w:divsChild>
                    <w:div w:id="441924125">
                      <w:marLeft w:val="0"/>
                      <w:marRight w:val="0"/>
                      <w:marTop w:val="0"/>
                      <w:marBottom w:val="0"/>
                      <w:divBdr>
                        <w:top w:val="none" w:sz="0" w:space="0" w:color="auto"/>
                        <w:left w:val="none" w:sz="0" w:space="0" w:color="auto"/>
                        <w:bottom w:val="none" w:sz="0" w:space="0" w:color="auto"/>
                        <w:right w:val="none" w:sz="0" w:space="0" w:color="auto"/>
                      </w:divBdr>
                    </w:div>
                  </w:divsChild>
                </w:div>
                <w:div w:id="403651752">
                  <w:marLeft w:val="0"/>
                  <w:marRight w:val="0"/>
                  <w:marTop w:val="0"/>
                  <w:marBottom w:val="0"/>
                  <w:divBdr>
                    <w:top w:val="none" w:sz="0" w:space="0" w:color="auto"/>
                    <w:left w:val="none" w:sz="0" w:space="0" w:color="auto"/>
                    <w:bottom w:val="none" w:sz="0" w:space="0" w:color="auto"/>
                    <w:right w:val="none" w:sz="0" w:space="0" w:color="auto"/>
                  </w:divBdr>
                  <w:divsChild>
                    <w:div w:id="1809859119">
                      <w:marLeft w:val="0"/>
                      <w:marRight w:val="0"/>
                      <w:marTop w:val="0"/>
                      <w:marBottom w:val="0"/>
                      <w:divBdr>
                        <w:top w:val="none" w:sz="0" w:space="0" w:color="auto"/>
                        <w:left w:val="none" w:sz="0" w:space="0" w:color="auto"/>
                        <w:bottom w:val="none" w:sz="0" w:space="0" w:color="auto"/>
                        <w:right w:val="none" w:sz="0" w:space="0" w:color="auto"/>
                      </w:divBdr>
                    </w:div>
                  </w:divsChild>
                </w:div>
                <w:div w:id="455874323">
                  <w:marLeft w:val="0"/>
                  <w:marRight w:val="0"/>
                  <w:marTop w:val="0"/>
                  <w:marBottom w:val="0"/>
                  <w:divBdr>
                    <w:top w:val="none" w:sz="0" w:space="0" w:color="auto"/>
                    <w:left w:val="none" w:sz="0" w:space="0" w:color="auto"/>
                    <w:bottom w:val="none" w:sz="0" w:space="0" w:color="auto"/>
                    <w:right w:val="none" w:sz="0" w:space="0" w:color="auto"/>
                  </w:divBdr>
                  <w:divsChild>
                    <w:div w:id="1250888745">
                      <w:marLeft w:val="0"/>
                      <w:marRight w:val="0"/>
                      <w:marTop w:val="0"/>
                      <w:marBottom w:val="0"/>
                      <w:divBdr>
                        <w:top w:val="none" w:sz="0" w:space="0" w:color="auto"/>
                        <w:left w:val="none" w:sz="0" w:space="0" w:color="auto"/>
                        <w:bottom w:val="none" w:sz="0" w:space="0" w:color="auto"/>
                        <w:right w:val="none" w:sz="0" w:space="0" w:color="auto"/>
                      </w:divBdr>
                    </w:div>
                  </w:divsChild>
                </w:div>
                <w:div w:id="734930984">
                  <w:marLeft w:val="0"/>
                  <w:marRight w:val="0"/>
                  <w:marTop w:val="0"/>
                  <w:marBottom w:val="0"/>
                  <w:divBdr>
                    <w:top w:val="none" w:sz="0" w:space="0" w:color="auto"/>
                    <w:left w:val="none" w:sz="0" w:space="0" w:color="auto"/>
                    <w:bottom w:val="none" w:sz="0" w:space="0" w:color="auto"/>
                    <w:right w:val="none" w:sz="0" w:space="0" w:color="auto"/>
                  </w:divBdr>
                  <w:divsChild>
                    <w:div w:id="1243368708">
                      <w:marLeft w:val="0"/>
                      <w:marRight w:val="0"/>
                      <w:marTop w:val="0"/>
                      <w:marBottom w:val="0"/>
                      <w:divBdr>
                        <w:top w:val="none" w:sz="0" w:space="0" w:color="auto"/>
                        <w:left w:val="none" w:sz="0" w:space="0" w:color="auto"/>
                        <w:bottom w:val="none" w:sz="0" w:space="0" w:color="auto"/>
                        <w:right w:val="none" w:sz="0" w:space="0" w:color="auto"/>
                      </w:divBdr>
                    </w:div>
                  </w:divsChild>
                </w:div>
                <w:div w:id="780958210">
                  <w:marLeft w:val="0"/>
                  <w:marRight w:val="0"/>
                  <w:marTop w:val="0"/>
                  <w:marBottom w:val="0"/>
                  <w:divBdr>
                    <w:top w:val="none" w:sz="0" w:space="0" w:color="auto"/>
                    <w:left w:val="none" w:sz="0" w:space="0" w:color="auto"/>
                    <w:bottom w:val="none" w:sz="0" w:space="0" w:color="auto"/>
                    <w:right w:val="none" w:sz="0" w:space="0" w:color="auto"/>
                  </w:divBdr>
                  <w:divsChild>
                    <w:div w:id="464276506">
                      <w:marLeft w:val="0"/>
                      <w:marRight w:val="0"/>
                      <w:marTop w:val="0"/>
                      <w:marBottom w:val="0"/>
                      <w:divBdr>
                        <w:top w:val="none" w:sz="0" w:space="0" w:color="auto"/>
                        <w:left w:val="none" w:sz="0" w:space="0" w:color="auto"/>
                        <w:bottom w:val="none" w:sz="0" w:space="0" w:color="auto"/>
                        <w:right w:val="none" w:sz="0" w:space="0" w:color="auto"/>
                      </w:divBdr>
                    </w:div>
                  </w:divsChild>
                </w:div>
                <w:div w:id="787747871">
                  <w:marLeft w:val="0"/>
                  <w:marRight w:val="0"/>
                  <w:marTop w:val="0"/>
                  <w:marBottom w:val="0"/>
                  <w:divBdr>
                    <w:top w:val="none" w:sz="0" w:space="0" w:color="auto"/>
                    <w:left w:val="none" w:sz="0" w:space="0" w:color="auto"/>
                    <w:bottom w:val="none" w:sz="0" w:space="0" w:color="auto"/>
                    <w:right w:val="none" w:sz="0" w:space="0" w:color="auto"/>
                  </w:divBdr>
                  <w:divsChild>
                    <w:div w:id="1007296205">
                      <w:marLeft w:val="0"/>
                      <w:marRight w:val="0"/>
                      <w:marTop w:val="0"/>
                      <w:marBottom w:val="0"/>
                      <w:divBdr>
                        <w:top w:val="none" w:sz="0" w:space="0" w:color="auto"/>
                        <w:left w:val="none" w:sz="0" w:space="0" w:color="auto"/>
                        <w:bottom w:val="none" w:sz="0" w:space="0" w:color="auto"/>
                        <w:right w:val="none" w:sz="0" w:space="0" w:color="auto"/>
                      </w:divBdr>
                    </w:div>
                  </w:divsChild>
                </w:div>
                <w:div w:id="875431196">
                  <w:marLeft w:val="0"/>
                  <w:marRight w:val="0"/>
                  <w:marTop w:val="0"/>
                  <w:marBottom w:val="0"/>
                  <w:divBdr>
                    <w:top w:val="none" w:sz="0" w:space="0" w:color="auto"/>
                    <w:left w:val="none" w:sz="0" w:space="0" w:color="auto"/>
                    <w:bottom w:val="none" w:sz="0" w:space="0" w:color="auto"/>
                    <w:right w:val="none" w:sz="0" w:space="0" w:color="auto"/>
                  </w:divBdr>
                  <w:divsChild>
                    <w:div w:id="1118183561">
                      <w:marLeft w:val="0"/>
                      <w:marRight w:val="0"/>
                      <w:marTop w:val="0"/>
                      <w:marBottom w:val="0"/>
                      <w:divBdr>
                        <w:top w:val="none" w:sz="0" w:space="0" w:color="auto"/>
                        <w:left w:val="none" w:sz="0" w:space="0" w:color="auto"/>
                        <w:bottom w:val="none" w:sz="0" w:space="0" w:color="auto"/>
                        <w:right w:val="none" w:sz="0" w:space="0" w:color="auto"/>
                      </w:divBdr>
                    </w:div>
                  </w:divsChild>
                </w:div>
                <w:div w:id="1021201067">
                  <w:marLeft w:val="0"/>
                  <w:marRight w:val="0"/>
                  <w:marTop w:val="0"/>
                  <w:marBottom w:val="0"/>
                  <w:divBdr>
                    <w:top w:val="none" w:sz="0" w:space="0" w:color="auto"/>
                    <w:left w:val="none" w:sz="0" w:space="0" w:color="auto"/>
                    <w:bottom w:val="none" w:sz="0" w:space="0" w:color="auto"/>
                    <w:right w:val="none" w:sz="0" w:space="0" w:color="auto"/>
                  </w:divBdr>
                  <w:divsChild>
                    <w:div w:id="1064719457">
                      <w:marLeft w:val="0"/>
                      <w:marRight w:val="0"/>
                      <w:marTop w:val="0"/>
                      <w:marBottom w:val="0"/>
                      <w:divBdr>
                        <w:top w:val="none" w:sz="0" w:space="0" w:color="auto"/>
                        <w:left w:val="none" w:sz="0" w:space="0" w:color="auto"/>
                        <w:bottom w:val="none" w:sz="0" w:space="0" w:color="auto"/>
                        <w:right w:val="none" w:sz="0" w:space="0" w:color="auto"/>
                      </w:divBdr>
                    </w:div>
                  </w:divsChild>
                </w:div>
                <w:div w:id="1097866711">
                  <w:marLeft w:val="0"/>
                  <w:marRight w:val="0"/>
                  <w:marTop w:val="0"/>
                  <w:marBottom w:val="0"/>
                  <w:divBdr>
                    <w:top w:val="none" w:sz="0" w:space="0" w:color="auto"/>
                    <w:left w:val="none" w:sz="0" w:space="0" w:color="auto"/>
                    <w:bottom w:val="none" w:sz="0" w:space="0" w:color="auto"/>
                    <w:right w:val="none" w:sz="0" w:space="0" w:color="auto"/>
                  </w:divBdr>
                  <w:divsChild>
                    <w:div w:id="2147239913">
                      <w:marLeft w:val="0"/>
                      <w:marRight w:val="0"/>
                      <w:marTop w:val="0"/>
                      <w:marBottom w:val="0"/>
                      <w:divBdr>
                        <w:top w:val="none" w:sz="0" w:space="0" w:color="auto"/>
                        <w:left w:val="none" w:sz="0" w:space="0" w:color="auto"/>
                        <w:bottom w:val="none" w:sz="0" w:space="0" w:color="auto"/>
                        <w:right w:val="none" w:sz="0" w:space="0" w:color="auto"/>
                      </w:divBdr>
                    </w:div>
                  </w:divsChild>
                </w:div>
                <w:div w:id="1163816418">
                  <w:marLeft w:val="0"/>
                  <w:marRight w:val="0"/>
                  <w:marTop w:val="0"/>
                  <w:marBottom w:val="0"/>
                  <w:divBdr>
                    <w:top w:val="none" w:sz="0" w:space="0" w:color="auto"/>
                    <w:left w:val="none" w:sz="0" w:space="0" w:color="auto"/>
                    <w:bottom w:val="none" w:sz="0" w:space="0" w:color="auto"/>
                    <w:right w:val="none" w:sz="0" w:space="0" w:color="auto"/>
                  </w:divBdr>
                  <w:divsChild>
                    <w:div w:id="1162619922">
                      <w:marLeft w:val="0"/>
                      <w:marRight w:val="0"/>
                      <w:marTop w:val="0"/>
                      <w:marBottom w:val="0"/>
                      <w:divBdr>
                        <w:top w:val="none" w:sz="0" w:space="0" w:color="auto"/>
                        <w:left w:val="none" w:sz="0" w:space="0" w:color="auto"/>
                        <w:bottom w:val="none" w:sz="0" w:space="0" w:color="auto"/>
                        <w:right w:val="none" w:sz="0" w:space="0" w:color="auto"/>
                      </w:divBdr>
                    </w:div>
                  </w:divsChild>
                </w:div>
                <w:div w:id="1170675756">
                  <w:marLeft w:val="0"/>
                  <w:marRight w:val="0"/>
                  <w:marTop w:val="0"/>
                  <w:marBottom w:val="0"/>
                  <w:divBdr>
                    <w:top w:val="none" w:sz="0" w:space="0" w:color="auto"/>
                    <w:left w:val="none" w:sz="0" w:space="0" w:color="auto"/>
                    <w:bottom w:val="none" w:sz="0" w:space="0" w:color="auto"/>
                    <w:right w:val="none" w:sz="0" w:space="0" w:color="auto"/>
                  </w:divBdr>
                  <w:divsChild>
                    <w:div w:id="1565601490">
                      <w:marLeft w:val="0"/>
                      <w:marRight w:val="0"/>
                      <w:marTop w:val="0"/>
                      <w:marBottom w:val="0"/>
                      <w:divBdr>
                        <w:top w:val="none" w:sz="0" w:space="0" w:color="auto"/>
                        <w:left w:val="none" w:sz="0" w:space="0" w:color="auto"/>
                        <w:bottom w:val="none" w:sz="0" w:space="0" w:color="auto"/>
                        <w:right w:val="none" w:sz="0" w:space="0" w:color="auto"/>
                      </w:divBdr>
                    </w:div>
                  </w:divsChild>
                </w:div>
                <w:div w:id="1209486919">
                  <w:marLeft w:val="0"/>
                  <w:marRight w:val="0"/>
                  <w:marTop w:val="0"/>
                  <w:marBottom w:val="0"/>
                  <w:divBdr>
                    <w:top w:val="none" w:sz="0" w:space="0" w:color="auto"/>
                    <w:left w:val="none" w:sz="0" w:space="0" w:color="auto"/>
                    <w:bottom w:val="none" w:sz="0" w:space="0" w:color="auto"/>
                    <w:right w:val="none" w:sz="0" w:space="0" w:color="auto"/>
                  </w:divBdr>
                  <w:divsChild>
                    <w:div w:id="1563246818">
                      <w:marLeft w:val="0"/>
                      <w:marRight w:val="0"/>
                      <w:marTop w:val="0"/>
                      <w:marBottom w:val="0"/>
                      <w:divBdr>
                        <w:top w:val="none" w:sz="0" w:space="0" w:color="auto"/>
                        <w:left w:val="none" w:sz="0" w:space="0" w:color="auto"/>
                        <w:bottom w:val="none" w:sz="0" w:space="0" w:color="auto"/>
                        <w:right w:val="none" w:sz="0" w:space="0" w:color="auto"/>
                      </w:divBdr>
                    </w:div>
                  </w:divsChild>
                </w:div>
                <w:div w:id="1226795728">
                  <w:marLeft w:val="0"/>
                  <w:marRight w:val="0"/>
                  <w:marTop w:val="0"/>
                  <w:marBottom w:val="0"/>
                  <w:divBdr>
                    <w:top w:val="none" w:sz="0" w:space="0" w:color="auto"/>
                    <w:left w:val="none" w:sz="0" w:space="0" w:color="auto"/>
                    <w:bottom w:val="none" w:sz="0" w:space="0" w:color="auto"/>
                    <w:right w:val="none" w:sz="0" w:space="0" w:color="auto"/>
                  </w:divBdr>
                  <w:divsChild>
                    <w:div w:id="65148808">
                      <w:marLeft w:val="0"/>
                      <w:marRight w:val="0"/>
                      <w:marTop w:val="0"/>
                      <w:marBottom w:val="0"/>
                      <w:divBdr>
                        <w:top w:val="none" w:sz="0" w:space="0" w:color="auto"/>
                        <w:left w:val="none" w:sz="0" w:space="0" w:color="auto"/>
                        <w:bottom w:val="none" w:sz="0" w:space="0" w:color="auto"/>
                        <w:right w:val="none" w:sz="0" w:space="0" w:color="auto"/>
                      </w:divBdr>
                    </w:div>
                  </w:divsChild>
                </w:div>
                <w:div w:id="1229026247">
                  <w:marLeft w:val="0"/>
                  <w:marRight w:val="0"/>
                  <w:marTop w:val="0"/>
                  <w:marBottom w:val="0"/>
                  <w:divBdr>
                    <w:top w:val="none" w:sz="0" w:space="0" w:color="auto"/>
                    <w:left w:val="none" w:sz="0" w:space="0" w:color="auto"/>
                    <w:bottom w:val="none" w:sz="0" w:space="0" w:color="auto"/>
                    <w:right w:val="none" w:sz="0" w:space="0" w:color="auto"/>
                  </w:divBdr>
                  <w:divsChild>
                    <w:div w:id="746415960">
                      <w:marLeft w:val="0"/>
                      <w:marRight w:val="0"/>
                      <w:marTop w:val="0"/>
                      <w:marBottom w:val="0"/>
                      <w:divBdr>
                        <w:top w:val="none" w:sz="0" w:space="0" w:color="auto"/>
                        <w:left w:val="none" w:sz="0" w:space="0" w:color="auto"/>
                        <w:bottom w:val="none" w:sz="0" w:space="0" w:color="auto"/>
                        <w:right w:val="none" w:sz="0" w:space="0" w:color="auto"/>
                      </w:divBdr>
                    </w:div>
                  </w:divsChild>
                </w:div>
                <w:div w:id="1365473910">
                  <w:marLeft w:val="0"/>
                  <w:marRight w:val="0"/>
                  <w:marTop w:val="0"/>
                  <w:marBottom w:val="0"/>
                  <w:divBdr>
                    <w:top w:val="none" w:sz="0" w:space="0" w:color="auto"/>
                    <w:left w:val="none" w:sz="0" w:space="0" w:color="auto"/>
                    <w:bottom w:val="none" w:sz="0" w:space="0" w:color="auto"/>
                    <w:right w:val="none" w:sz="0" w:space="0" w:color="auto"/>
                  </w:divBdr>
                  <w:divsChild>
                    <w:div w:id="300574949">
                      <w:marLeft w:val="0"/>
                      <w:marRight w:val="0"/>
                      <w:marTop w:val="0"/>
                      <w:marBottom w:val="0"/>
                      <w:divBdr>
                        <w:top w:val="none" w:sz="0" w:space="0" w:color="auto"/>
                        <w:left w:val="none" w:sz="0" w:space="0" w:color="auto"/>
                        <w:bottom w:val="none" w:sz="0" w:space="0" w:color="auto"/>
                        <w:right w:val="none" w:sz="0" w:space="0" w:color="auto"/>
                      </w:divBdr>
                    </w:div>
                  </w:divsChild>
                </w:div>
                <w:div w:id="1401053915">
                  <w:marLeft w:val="0"/>
                  <w:marRight w:val="0"/>
                  <w:marTop w:val="0"/>
                  <w:marBottom w:val="0"/>
                  <w:divBdr>
                    <w:top w:val="none" w:sz="0" w:space="0" w:color="auto"/>
                    <w:left w:val="none" w:sz="0" w:space="0" w:color="auto"/>
                    <w:bottom w:val="none" w:sz="0" w:space="0" w:color="auto"/>
                    <w:right w:val="none" w:sz="0" w:space="0" w:color="auto"/>
                  </w:divBdr>
                  <w:divsChild>
                    <w:div w:id="947082932">
                      <w:marLeft w:val="0"/>
                      <w:marRight w:val="0"/>
                      <w:marTop w:val="0"/>
                      <w:marBottom w:val="0"/>
                      <w:divBdr>
                        <w:top w:val="none" w:sz="0" w:space="0" w:color="auto"/>
                        <w:left w:val="none" w:sz="0" w:space="0" w:color="auto"/>
                        <w:bottom w:val="none" w:sz="0" w:space="0" w:color="auto"/>
                        <w:right w:val="none" w:sz="0" w:space="0" w:color="auto"/>
                      </w:divBdr>
                    </w:div>
                  </w:divsChild>
                </w:div>
                <w:div w:id="1624119887">
                  <w:marLeft w:val="0"/>
                  <w:marRight w:val="0"/>
                  <w:marTop w:val="0"/>
                  <w:marBottom w:val="0"/>
                  <w:divBdr>
                    <w:top w:val="none" w:sz="0" w:space="0" w:color="auto"/>
                    <w:left w:val="none" w:sz="0" w:space="0" w:color="auto"/>
                    <w:bottom w:val="none" w:sz="0" w:space="0" w:color="auto"/>
                    <w:right w:val="none" w:sz="0" w:space="0" w:color="auto"/>
                  </w:divBdr>
                  <w:divsChild>
                    <w:div w:id="270357966">
                      <w:marLeft w:val="0"/>
                      <w:marRight w:val="0"/>
                      <w:marTop w:val="0"/>
                      <w:marBottom w:val="0"/>
                      <w:divBdr>
                        <w:top w:val="none" w:sz="0" w:space="0" w:color="auto"/>
                        <w:left w:val="none" w:sz="0" w:space="0" w:color="auto"/>
                        <w:bottom w:val="none" w:sz="0" w:space="0" w:color="auto"/>
                        <w:right w:val="none" w:sz="0" w:space="0" w:color="auto"/>
                      </w:divBdr>
                    </w:div>
                  </w:divsChild>
                </w:div>
                <w:div w:id="1667904489">
                  <w:marLeft w:val="0"/>
                  <w:marRight w:val="0"/>
                  <w:marTop w:val="0"/>
                  <w:marBottom w:val="0"/>
                  <w:divBdr>
                    <w:top w:val="none" w:sz="0" w:space="0" w:color="auto"/>
                    <w:left w:val="none" w:sz="0" w:space="0" w:color="auto"/>
                    <w:bottom w:val="none" w:sz="0" w:space="0" w:color="auto"/>
                    <w:right w:val="none" w:sz="0" w:space="0" w:color="auto"/>
                  </w:divBdr>
                  <w:divsChild>
                    <w:div w:id="1672490230">
                      <w:marLeft w:val="0"/>
                      <w:marRight w:val="0"/>
                      <w:marTop w:val="0"/>
                      <w:marBottom w:val="0"/>
                      <w:divBdr>
                        <w:top w:val="none" w:sz="0" w:space="0" w:color="auto"/>
                        <w:left w:val="none" w:sz="0" w:space="0" w:color="auto"/>
                        <w:bottom w:val="none" w:sz="0" w:space="0" w:color="auto"/>
                        <w:right w:val="none" w:sz="0" w:space="0" w:color="auto"/>
                      </w:divBdr>
                    </w:div>
                  </w:divsChild>
                </w:div>
                <w:div w:id="1714041480">
                  <w:marLeft w:val="0"/>
                  <w:marRight w:val="0"/>
                  <w:marTop w:val="0"/>
                  <w:marBottom w:val="0"/>
                  <w:divBdr>
                    <w:top w:val="none" w:sz="0" w:space="0" w:color="auto"/>
                    <w:left w:val="none" w:sz="0" w:space="0" w:color="auto"/>
                    <w:bottom w:val="none" w:sz="0" w:space="0" w:color="auto"/>
                    <w:right w:val="none" w:sz="0" w:space="0" w:color="auto"/>
                  </w:divBdr>
                  <w:divsChild>
                    <w:div w:id="196889358">
                      <w:marLeft w:val="0"/>
                      <w:marRight w:val="0"/>
                      <w:marTop w:val="0"/>
                      <w:marBottom w:val="0"/>
                      <w:divBdr>
                        <w:top w:val="none" w:sz="0" w:space="0" w:color="auto"/>
                        <w:left w:val="none" w:sz="0" w:space="0" w:color="auto"/>
                        <w:bottom w:val="none" w:sz="0" w:space="0" w:color="auto"/>
                        <w:right w:val="none" w:sz="0" w:space="0" w:color="auto"/>
                      </w:divBdr>
                    </w:div>
                  </w:divsChild>
                </w:div>
                <w:div w:id="1760565736">
                  <w:marLeft w:val="0"/>
                  <w:marRight w:val="0"/>
                  <w:marTop w:val="0"/>
                  <w:marBottom w:val="0"/>
                  <w:divBdr>
                    <w:top w:val="none" w:sz="0" w:space="0" w:color="auto"/>
                    <w:left w:val="none" w:sz="0" w:space="0" w:color="auto"/>
                    <w:bottom w:val="none" w:sz="0" w:space="0" w:color="auto"/>
                    <w:right w:val="none" w:sz="0" w:space="0" w:color="auto"/>
                  </w:divBdr>
                  <w:divsChild>
                    <w:div w:id="1072773327">
                      <w:marLeft w:val="0"/>
                      <w:marRight w:val="0"/>
                      <w:marTop w:val="0"/>
                      <w:marBottom w:val="0"/>
                      <w:divBdr>
                        <w:top w:val="none" w:sz="0" w:space="0" w:color="auto"/>
                        <w:left w:val="none" w:sz="0" w:space="0" w:color="auto"/>
                        <w:bottom w:val="none" w:sz="0" w:space="0" w:color="auto"/>
                        <w:right w:val="none" w:sz="0" w:space="0" w:color="auto"/>
                      </w:divBdr>
                    </w:div>
                  </w:divsChild>
                </w:div>
                <w:div w:id="1781992267">
                  <w:marLeft w:val="0"/>
                  <w:marRight w:val="0"/>
                  <w:marTop w:val="0"/>
                  <w:marBottom w:val="0"/>
                  <w:divBdr>
                    <w:top w:val="none" w:sz="0" w:space="0" w:color="auto"/>
                    <w:left w:val="none" w:sz="0" w:space="0" w:color="auto"/>
                    <w:bottom w:val="none" w:sz="0" w:space="0" w:color="auto"/>
                    <w:right w:val="none" w:sz="0" w:space="0" w:color="auto"/>
                  </w:divBdr>
                  <w:divsChild>
                    <w:div w:id="1026977375">
                      <w:marLeft w:val="0"/>
                      <w:marRight w:val="0"/>
                      <w:marTop w:val="0"/>
                      <w:marBottom w:val="0"/>
                      <w:divBdr>
                        <w:top w:val="none" w:sz="0" w:space="0" w:color="auto"/>
                        <w:left w:val="none" w:sz="0" w:space="0" w:color="auto"/>
                        <w:bottom w:val="none" w:sz="0" w:space="0" w:color="auto"/>
                        <w:right w:val="none" w:sz="0" w:space="0" w:color="auto"/>
                      </w:divBdr>
                    </w:div>
                  </w:divsChild>
                </w:div>
                <w:div w:id="1843274029">
                  <w:marLeft w:val="0"/>
                  <w:marRight w:val="0"/>
                  <w:marTop w:val="0"/>
                  <w:marBottom w:val="0"/>
                  <w:divBdr>
                    <w:top w:val="none" w:sz="0" w:space="0" w:color="auto"/>
                    <w:left w:val="none" w:sz="0" w:space="0" w:color="auto"/>
                    <w:bottom w:val="none" w:sz="0" w:space="0" w:color="auto"/>
                    <w:right w:val="none" w:sz="0" w:space="0" w:color="auto"/>
                  </w:divBdr>
                  <w:divsChild>
                    <w:div w:id="1590500704">
                      <w:marLeft w:val="0"/>
                      <w:marRight w:val="0"/>
                      <w:marTop w:val="0"/>
                      <w:marBottom w:val="0"/>
                      <w:divBdr>
                        <w:top w:val="none" w:sz="0" w:space="0" w:color="auto"/>
                        <w:left w:val="none" w:sz="0" w:space="0" w:color="auto"/>
                        <w:bottom w:val="none" w:sz="0" w:space="0" w:color="auto"/>
                        <w:right w:val="none" w:sz="0" w:space="0" w:color="auto"/>
                      </w:divBdr>
                    </w:div>
                  </w:divsChild>
                </w:div>
                <w:div w:id="1872957839">
                  <w:marLeft w:val="0"/>
                  <w:marRight w:val="0"/>
                  <w:marTop w:val="0"/>
                  <w:marBottom w:val="0"/>
                  <w:divBdr>
                    <w:top w:val="none" w:sz="0" w:space="0" w:color="auto"/>
                    <w:left w:val="none" w:sz="0" w:space="0" w:color="auto"/>
                    <w:bottom w:val="none" w:sz="0" w:space="0" w:color="auto"/>
                    <w:right w:val="none" w:sz="0" w:space="0" w:color="auto"/>
                  </w:divBdr>
                  <w:divsChild>
                    <w:div w:id="1205171278">
                      <w:marLeft w:val="0"/>
                      <w:marRight w:val="0"/>
                      <w:marTop w:val="0"/>
                      <w:marBottom w:val="0"/>
                      <w:divBdr>
                        <w:top w:val="none" w:sz="0" w:space="0" w:color="auto"/>
                        <w:left w:val="none" w:sz="0" w:space="0" w:color="auto"/>
                        <w:bottom w:val="none" w:sz="0" w:space="0" w:color="auto"/>
                        <w:right w:val="none" w:sz="0" w:space="0" w:color="auto"/>
                      </w:divBdr>
                    </w:div>
                  </w:divsChild>
                </w:div>
                <w:div w:id="1927684521">
                  <w:marLeft w:val="0"/>
                  <w:marRight w:val="0"/>
                  <w:marTop w:val="0"/>
                  <w:marBottom w:val="0"/>
                  <w:divBdr>
                    <w:top w:val="none" w:sz="0" w:space="0" w:color="auto"/>
                    <w:left w:val="none" w:sz="0" w:space="0" w:color="auto"/>
                    <w:bottom w:val="none" w:sz="0" w:space="0" w:color="auto"/>
                    <w:right w:val="none" w:sz="0" w:space="0" w:color="auto"/>
                  </w:divBdr>
                  <w:divsChild>
                    <w:div w:id="213125884">
                      <w:marLeft w:val="0"/>
                      <w:marRight w:val="0"/>
                      <w:marTop w:val="0"/>
                      <w:marBottom w:val="0"/>
                      <w:divBdr>
                        <w:top w:val="none" w:sz="0" w:space="0" w:color="auto"/>
                        <w:left w:val="none" w:sz="0" w:space="0" w:color="auto"/>
                        <w:bottom w:val="none" w:sz="0" w:space="0" w:color="auto"/>
                        <w:right w:val="none" w:sz="0" w:space="0" w:color="auto"/>
                      </w:divBdr>
                    </w:div>
                  </w:divsChild>
                </w:div>
                <w:div w:id="1989090270">
                  <w:marLeft w:val="0"/>
                  <w:marRight w:val="0"/>
                  <w:marTop w:val="0"/>
                  <w:marBottom w:val="0"/>
                  <w:divBdr>
                    <w:top w:val="none" w:sz="0" w:space="0" w:color="auto"/>
                    <w:left w:val="none" w:sz="0" w:space="0" w:color="auto"/>
                    <w:bottom w:val="none" w:sz="0" w:space="0" w:color="auto"/>
                    <w:right w:val="none" w:sz="0" w:space="0" w:color="auto"/>
                  </w:divBdr>
                  <w:divsChild>
                    <w:div w:id="392122507">
                      <w:marLeft w:val="0"/>
                      <w:marRight w:val="0"/>
                      <w:marTop w:val="0"/>
                      <w:marBottom w:val="0"/>
                      <w:divBdr>
                        <w:top w:val="none" w:sz="0" w:space="0" w:color="auto"/>
                        <w:left w:val="none" w:sz="0" w:space="0" w:color="auto"/>
                        <w:bottom w:val="none" w:sz="0" w:space="0" w:color="auto"/>
                        <w:right w:val="none" w:sz="0" w:space="0" w:color="auto"/>
                      </w:divBdr>
                    </w:div>
                  </w:divsChild>
                </w:div>
                <w:div w:id="2061860641">
                  <w:marLeft w:val="0"/>
                  <w:marRight w:val="0"/>
                  <w:marTop w:val="0"/>
                  <w:marBottom w:val="0"/>
                  <w:divBdr>
                    <w:top w:val="none" w:sz="0" w:space="0" w:color="auto"/>
                    <w:left w:val="none" w:sz="0" w:space="0" w:color="auto"/>
                    <w:bottom w:val="none" w:sz="0" w:space="0" w:color="auto"/>
                    <w:right w:val="none" w:sz="0" w:space="0" w:color="auto"/>
                  </w:divBdr>
                  <w:divsChild>
                    <w:div w:id="352195178">
                      <w:marLeft w:val="0"/>
                      <w:marRight w:val="0"/>
                      <w:marTop w:val="0"/>
                      <w:marBottom w:val="0"/>
                      <w:divBdr>
                        <w:top w:val="none" w:sz="0" w:space="0" w:color="auto"/>
                        <w:left w:val="none" w:sz="0" w:space="0" w:color="auto"/>
                        <w:bottom w:val="none" w:sz="0" w:space="0" w:color="auto"/>
                        <w:right w:val="none" w:sz="0" w:space="0" w:color="auto"/>
                      </w:divBdr>
                    </w:div>
                  </w:divsChild>
                </w:div>
                <w:div w:id="2088651025">
                  <w:marLeft w:val="0"/>
                  <w:marRight w:val="0"/>
                  <w:marTop w:val="0"/>
                  <w:marBottom w:val="0"/>
                  <w:divBdr>
                    <w:top w:val="none" w:sz="0" w:space="0" w:color="auto"/>
                    <w:left w:val="none" w:sz="0" w:space="0" w:color="auto"/>
                    <w:bottom w:val="none" w:sz="0" w:space="0" w:color="auto"/>
                    <w:right w:val="none" w:sz="0" w:space="0" w:color="auto"/>
                  </w:divBdr>
                  <w:divsChild>
                    <w:div w:id="1394700926">
                      <w:marLeft w:val="0"/>
                      <w:marRight w:val="0"/>
                      <w:marTop w:val="0"/>
                      <w:marBottom w:val="0"/>
                      <w:divBdr>
                        <w:top w:val="none" w:sz="0" w:space="0" w:color="auto"/>
                        <w:left w:val="none" w:sz="0" w:space="0" w:color="auto"/>
                        <w:bottom w:val="none" w:sz="0" w:space="0" w:color="auto"/>
                        <w:right w:val="none" w:sz="0" w:space="0" w:color="auto"/>
                      </w:divBdr>
                    </w:div>
                  </w:divsChild>
                </w:div>
                <w:div w:id="2097314051">
                  <w:marLeft w:val="0"/>
                  <w:marRight w:val="0"/>
                  <w:marTop w:val="0"/>
                  <w:marBottom w:val="0"/>
                  <w:divBdr>
                    <w:top w:val="none" w:sz="0" w:space="0" w:color="auto"/>
                    <w:left w:val="none" w:sz="0" w:space="0" w:color="auto"/>
                    <w:bottom w:val="none" w:sz="0" w:space="0" w:color="auto"/>
                    <w:right w:val="none" w:sz="0" w:space="0" w:color="auto"/>
                  </w:divBdr>
                  <w:divsChild>
                    <w:div w:id="673535859">
                      <w:marLeft w:val="0"/>
                      <w:marRight w:val="0"/>
                      <w:marTop w:val="0"/>
                      <w:marBottom w:val="0"/>
                      <w:divBdr>
                        <w:top w:val="none" w:sz="0" w:space="0" w:color="auto"/>
                        <w:left w:val="none" w:sz="0" w:space="0" w:color="auto"/>
                        <w:bottom w:val="none" w:sz="0" w:space="0" w:color="auto"/>
                        <w:right w:val="none" w:sz="0" w:space="0" w:color="auto"/>
                      </w:divBdr>
                    </w:div>
                  </w:divsChild>
                </w:div>
                <w:div w:id="2132087381">
                  <w:marLeft w:val="0"/>
                  <w:marRight w:val="0"/>
                  <w:marTop w:val="0"/>
                  <w:marBottom w:val="0"/>
                  <w:divBdr>
                    <w:top w:val="none" w:sz="0" w:space="0" w:color="auto"/>
                    <w:left w:val="none" w:sz="0" w:space="0" w:color="auto"/>
                    <w:bottom w:val="none" w:sz="0" w:space="0" w:color="auto"/>
                    <w:right w:val="none" w:sz="0" w:space="0" w:color="auto"/>
                  </w:divBdr>
                  <w:divsChild>
                    <w:div w:id="4575286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34000726">
          <w:marLeft w:val="0"/>
          <w:marRight w:val="0"/>
          <w:marTop w:val="0"/>
          <w:marBottom w:val="0"/>
          <w:divBdr>
            <w:top w:val="none" w:sz="0" w:space="0" w:color="auto"/>
            <w:left w:val="none" w:sz="0" w:space="0" w:color="auto"/>
            <w:bottom w:val="none" w:sz="0" w:space="0" w:color="auto"/>
            <w:right w:val="none" w:sz="0" w:space="0" w:color="auto"/>
          </w:divBdr>
        </w:div>
        <w:div w:id="537859984">
          <w:marLeft w:val="0"/>
          <w:marRight w:val="0"/>
          <w:marTop w:val="0"/>
          <w:marBottom w:val="0"/>
          <w:divBdr>
            <w:top w:val="none" w:sz="0" w:space="0" w:color="auto"/>
            <w:left w:val="none" w:sz="0" w:space="0" w:color="auto"/>
            <w:bottom w:val="none" w:sz="0" w:space="0" w:color="auto"/>
            <w:right w:val="none" w:sz="0" w:space="0" w:color="auto"/>
          </w:divBdr>
        </w:div>
        <w:div w:id="566576963">
          <w:marLeft w:val="0"/>
          <w:marRight w:val="0"/>
          <w:marTop w:val="0"/>
          <w:marBottom w:val="0"/>
          <w:divBdr>
            <w:top w:val="none" w:sz="0" w:space="0" w:color="auto"/>
            <w:left w:val="none" w:sz="0" w:space="0" w:color="auto"/>
            <w:bottom w:val="none" w:sz="0" w:space="0" w:color="auto"/>
            <w:right w:val="none" w:sz="0" w:space="0" w:color="auto"/>
          </w:divBdr>
        </w:div>
        <w:div w:id="568926524">
          <w:marLeft w:val="0"/>
          <w:marRight w:val="0"/>
          <w:marTop w:val="0"/>
          <w:marBottom w:val="0"/>
          <w:divBdr>
            <w:top w:val="none" w:sz="0" w:space="0" w:color="auto"/>
            <w:left w:val="none" w:sz="0" w:space="0" w:color="auto"/>
            <w:bottom w:val="none" w:sz="0" w:space="0" w:color="auto"/>
            <w:right w:val="none" w:sz="0" w:space="0" w:color="auto"/>
          </w:divBdr>
        </w:div>
        <w:div w:id="611399970">
          <w:marLeft w:val="0"/>
          <w:marRight w:val="0"/>
          <w:marTop w:val="0"/>
          <w:marBottom w:val="0"/>
          <w:divBdr>
            <w:top w:val="none" w:sz="0" w:space="0" w:color="auto"/>
            <w:left w:val="none" w:sz="0" w:space="0" w:color="auto"/>
            <w:bottom w:val="none" w:sz="0" w:space="0" w:color="auto"/>
            <w:right w:val="none" w:sz="0" w:space="0" w:color="auto"/>
          </w:divBdr>
        </w:div>
        <w:div w:id="613750915">
          <w:marLeft w:val="0"/>
          <w:marRight w:val="0"/>
          <w:marTop w:val="0"/>
          <w:marBottom w:val="0"/>
          <w:divBdr>
            <w:top w:val="none" w:sz="0" w:space="0" w:color="auto"/>
            <w:left w:val="none" w:sz="0" w:space="0" w:color="auto"/>
            <w:bottom w:val="none" w:sz="0" w:space="0" w:color="auto"/>
            <w:right w:val="none" w:sz="0" w:space="0" w:color="auto"/>
          </w:divBdr>
        </w:div>
        <w:div w:id="647781675">
          <w:marLeft w:val="0"/>
          <w:marRight w:val="0"/>
          <w:marTop w:val="0"/>
          <w:marBottom w:val="0"/>
          <w:divBdr>
            <w:top w:val="none" w:sz="0" w:space="0" w:color="auto"/>
            <w:left w:val="none" w:sz="0" w:space="0" w:color="auto"/>
            <w:bottom w:val="none" w:sz="0" w:space="0" w:color="auto"/>
            <w:right w:val="none" w:sz="0" w:space="0" w:color="auto"/>
          </w:divBdr>
        </w:div>
        <w:div w:id="647826699">
          <w:marLeft w:val="0"/>
          <w:marRight w:val="0"/>
          <w:marTop w:val="0"/>
          <w:marBottom w:val="0"/>
          <w:divBdr>
            <w:top w:val="none" w:sz="0" w:space="0" w:color="auto"/>
            <w:left w:val="none" w:sz="0" w:space="0" w:color="auto"/>
            <w:bottom w:val="none" w:sz="0" w:space="0" w:color="auto"/>
            <w:right w:val="none" w:sz="0" w:space="0" w:color="auto"/>
          </w:divBdr>
          <w:divsChild>
            <w:div w:id="178853710">
              <w:marLeft w:val="0"/>
              <w:marRight w:val="0"/>
              <w:marTop w:val="0"/>
              <w:marBottom w:val="0"/>
              <w:divBdr>
                <w:top w:val="none" w:sz="0" w:space="0" w:color="auto"/>
                <w:left w:val="none" w:sz="0" w:space="0" w:color="auto"/>
                <w:bottom w:val="none" w:sz="0" w:space="0" w:color="auto"/>
                <w:right w:val="none" w:sz="0" w:space="0" w:color="auto"/>
              </w:divBdr>
            </w:div>
            <w:div w:id="877472000">
              <w:marLeft w:val="0"/>
              <w:marRight w:val="0"/>
              <w:marTop w:val="0"/>
              <w:marBottom w:val="0"/>
              <w:divBdr>
                <w:top w:val="none" w:sz="0" w:space="0" w:color="auto"/>
                <w:left w:val="none" w:sz="0" w:space="0" w:color="auto"/>
                <w:bottom w:val="none" w:sz="0" w:space="0" w:color="auto"/>
                <w:right w:val="none" w:sz="0" w:space="0" w:color="auto"/>
              </w:divBdr>
            </w:div>
            <w:div w:id="879898959">
              <w:marLeft w:val="0"/>
              <w:marRight w:val="0"/>
              <w:marTop w:val="0"/>
              <w:marBottom w:val="0"/>
              <w:divBdr>
                <w:top w:val="none" w:sz="0" w:space="0" w:color="auto"/>
                <w:left w:val="none" w:sz="0" w:space="0" w:color="auto"/>
                <w:bottom w:val="none" w:sz="0" w:space="0" w:color="auto"/>
                <w:right w:val="none" w:sz="0" w:space="0" w:color="auto"/>
              </w:divBdr>
            </w:div>
            <w:div w:id="1713337773">
              <w:marLeft w:val="0"/>
              <w:marRight w:val="0"/>
              <w:marTop w:val="0"/>
              <w:marBottom w:val="0"/>
              <w:divBdr>
                <w:top w:val="none" w:sz="0" w:space="0" w:color="auto"/>
                <w:left w:val="none" w:sz="0" w:space="0" w:color="auto"/>
                <w:bottom w:val="none" w:sz="0" w:space="0" w:color="auto"/>
                <w:right w:val="none" w:sz="0" w:space="0" w:color="auto"/>
              </w:divBdr>
            </w:div>
            <w:div w:id="1754887234">
              <w:marLeft w:val="0"/>
              <w:marRight w:val="0"/>
              <w:marTop w:val="0"/>
              <w:marBottom w:val="0"/>
              <w:divBdr>
                <w:top w:val="none" w:sz="0" w:space="0" w:color="auto"/>
                <w:left w:val="none" w:sz="0" w:space="0" w:color="auto"/>
                <w:bottom w:val="none" w:sz="0" w:space="0" w:color="auto"/>
                <w:right w:val="none" w:sz="0" w:space="0" w:color="auto"/>
              </w:divBdr>
            </w:div>
          </w:divsChild>
        </w:div>
        <w:div w:id="648288426">
          <w:marLeft w:val="0"/>
          <w:marRight w:val="0"/>
          <w:marTop w:val="0"/>
          <w:marBottom w:val="0"/>
          <w:divBdr>
            <w:top w:val="none" w:sz="0" w:space="0" w:color="auto"/>
            <w:left w:val="none" w:sz="0" w:space="0" w:color="auto"/>
            <w:bottom w:val="none" w:sz="0" w:space="0" w:color="auto"/>
            <w:right w:val="none" w:sz="0" w:space="0" w:color="auto"/>
          </w:divBdr>
        </w:div>
        <w:div w:id="665865487">
          <w:marLeft w:val="0"/>
          <w:marRight w:val="0"/>
          <w:marTop w:val="0"/>
          <w:marBottom w:val="0"/>
          <w:divBdr>
            <w:top w:val="none" w:sz="0" w:space="0" w:color="auto"/>
            <w:left w:val="none" w:sz="0" w:space="0" w:color="auto"/>
            <w:bottom w:val="none" w:sz="0" w:space="0" w:color="auto"/>
            <w:right w:val="none" w:sz="0" w:space="0" w:color="auto"/>
          </w:divBdr>
        </w:div>
        <w:div w:id="675303455">
          <w:marLeft w:val="0"/>
          <w:marRight w:val="0"/>
          <w:marTop w:val="0"/>
          <w:marBottom w:val="0"/>
          <w:divBdr>
            <w:top w:val="none" w:sz="0" w:space="0" w:color="auto"/>
            <w:left w:val="none" w:sz="0" w:space="0" w:color="auto"/>
            <w:bottom w:val="none" w:sz="0" w:space="0" w:color="auto"/>
            <w:right w:val="none" w:sz="0" w:space="0" w:color="auto"/>
          </w:divBdr>
        </w:div>
        <w:div w:id="682436059">
          <w:marLeft w:val="0"/>
          <w:marRight w:val="0"/>
          <w:marTop w:val="0"/>
          <w:marBottom w:val="0"/>
          <w:divBdr>
            <w:top w:val="none" w:sz="0" w:space="0" w:color="auto"/>
            <w:left w:val="none" w:sz="0" w:space="0" w:color="auto"/>
            <w:bottom w:val="none" w:sz="0" w:space="0" w:color="auto"/>
            <w:right w:val="none" w:sz="0" w:space="0" w:color="auto"/>
          </w:divBdr>
        </w:div>
        <w:div w:id="687413793">
          <w:marLeft w:val="0"/>
          <w:marRight w:val="0"/>
          <w:marTop w:val="0"/>
          <w:marBottom w:val="0"/>
          <w:divBdr>
            <w:top w:val="none" w:sz="0" w:space="0" w:color="auto"/>
            <w:left w:val="none" w:sz="0" w:space="0" w:color="auto"/>
            <w:bottom w:val="none" w:sz="0" w:space="0" w:color="auto"/>
            <w:right w:val="none" w:sz="0" w:space="0" w:color="auto"/>
          </w:divBdr>
        </w:div>
        <w:div w:id="687950153">
          <w:marLeft w:val="0"/>
          <w:marRight w:val="0"/>
          <w:marTop w:val="0"/>
          <w:marBottom w:val="0"/>
          <w:divBdr>
            <w:top w:val="none" w:sz="0" w:space="0" w:color="auto"/>
            <w:left w:val="none" w:sz="0" w:space="0" w:color="auto"/>
            <w:bottom w:val="none" w:sz="0" w:space="0" w:color="auto"/>
            <w:right w:val="none" w:sz="0" w:space="0" w:color="auto"/>
          </w:divBdr>
        </w:div>
        <w:div w:id="691034110">
          <w:marLeft w:val="0"/>
          <w:marRight w:val="0"/>
          <w:marTop w:val="0"/>
          <w:marBottom w:val="0"/>
          <w:divBdr>
            <w:top w:val="none" w:sz="0" w:space="0" w:color="auto"/>
            <w:left w:val="none" w:sz="0" w:space="0" w:color="auto"/>
            <w:bottom w:val="none" w:sz="0" w:space="0" w:color="auto"/>
            <w:right w:val="none" w:sz="0" w:space="0" w:color="auto"/>
          </w:divBdr>
        </w:div>
        <w:div w:id="719666626">
          <w:marLeft w:val="0"/>
          <w:marRight w:val="0"/>
          <w:marTop w:val="0"/>
          <w:marBottom w:val="0"/>
          <w:divBdr>
            <w:top w:val="none" w:sz="0" w:space="0" w:color="auto"/>
            <w:left w:val="none" w:sz="0" w:space="0" w:color="auto"/>
            <w:bottom w:val="none" w:sz="0" w:space="0" w:color="auto"/>
            <w:right w:val="none" w:sz="0" w:space="0" w:color="auto"/>
          </w:divBdr>
        </w:div>
        <w:div w:id="725686007">
          <w:marLeft w:val="0"/>
          <w:marRight w:val="0"/>
          <w:marTop w:val="0"/>
          <w:marBottom w:val="0"/>
          <w:divBdr>
            <w:top w:val="none" w:sz="0" w:space="0" w:color="auto"/>
            <w:left w:val="none" w:sz="0" w:space="0" w:color="auto"/>
            <w:bottom w:val="none" w:sz="0" w:space="0" w:color="auto"/>
            <w:right w:val="none" w:sz="0" w:space="0" w:color="auto"/>
          </w:divBdr>
        </w:div>
        <w:div w:id="736168130">
          <w:marLeft w:val="0"/>
          <w:marRight w:val="0"/>
          <w:marTop w:val="0"/>
          <w:marBottom w:val="0"/>
          <w:divBdr>
            <w:top w:val="none" w:sz="0" w:space="0" w:color="auto"/>
            <w:left w:val="none" w:sz="0" w:space="0" w:color="auto"/>
            <w:bottom w:val="none" w:sz="0" w:space="0" w:color="auto"/>
            <w:right w:val="none" w:sz="0" w:space="0" w:color="auto"/>
          </w:divBdr>
        </w:div>
        <w:div w:id="744497116">
          <w:marLeft w:val="0"/>
          <w:marRight w:val="0"/>
          <w:marTop w:val="0"/>
          <w:marBottom w:val="0"/>
          <w:divBdr>
            <w:top w:val="none" w:sz="0" w:space="0" w:color="auto"/>
            <w:left w:val="none" w:sz="0" w:space="0" w:color="auto"/>
            <w:bottom w:val="none" w:sz="0" w:space="0" w:color="auto"/>
            <w:right w:val="none" w:sz="0" w:space="0" w:color="auto"/>
          </w:divBdr>
        </w:div>
        <w:div w:id="746461465">
          <w:marLeft w:val="0"/>
          <w:marRight w:val="0"/>
          <w:marTop w:val="0"/>
          <w:marBottom w:val="0"/>
          <w:divBdr>
            <w:top w:val="none" w:sz="0" w:space="0" w:color="auto"/>
            <w:left w:val="none" w:sz="0" w:space="0" w:color="auto"/>
            <w:bottom w:val="none" w:sz="0" w:space="0" w:color="auto"/>
            <w:right w:val="none" w:sz="0" w:space="0" w:color="auto"/>
          </w:divBdr>
        </w:div>
        <w:div w:id="754401390">
          <w:marLeft w:val="0"/>
          <w:marRight w:val="0"/>
          <w:marTop w:val="0"/>
          <w:marBottom w:val="0"/>
          <w:divBdr>
            <w:top w:val="none" w:sz="0" w:space="0" w:color="auto"/>
            <w:left w:val="none" w:sz="0" w:space="0" w:color="auto"/>
            <w:bottom w:val="none" w:sz="0" w:space="0" w:color="auto"/>
            <w:right w:val="none" w:sz="0" w:space="0" w:color="auto"/>
          </w:divBdr>
          <w:divsChild>
            <w:div w:id="441459432">
              <w:marLeft w:val="0"/>
              <w:marRight w:val="0"/>
              <w:marTop w:val="0"/>
              <w:marBottom w:val="0"/>
              <w:divBdr>
                <w:top w:val="none" w:sz="0" w:space="0" w:color="auto"/>
                <w:left w:val="none" w:sz="0" w:space="0" w:color="auto"/>
                <w:bottom w:val="none" w:sz="0" w:space="0" w:color="auto"/>
                <w:right w:val="none" w:sz="0" w:space="0" w:color="auto"/>
              </w:divBdr>
            </w:div>
            <w:div w:id="510143534">
              <w:marLeft w:val="0"/>
              <w:marRight w:val="0"/>
              <w:marTop w:val="0"/>
              <w:marBottom w:val="0"/>
              <w:divBdr>
                <w:top w:val="none" w:sz="0" w:space="0" w:color="auto"/>
                <w:left w:val="none" w:sz="0" w:space="0" w:color="auto"/>
                <w:bottom w:val="none" w:sz="0" w:space="0" w:color="auto"/>
                <w:right w:val="none" w:sz="0" w:space="0" w:color="auto"/>
              </w:divBdr>
            </w:div>
            <w:div w:id="635254689">
              <w:marLeft w:val="0"/>
              <w:marRight w:val="0"/>
              <w:marTop w:val="0"/>
              <w:marBottom w:val="0"/>
              <w:divBdr>
                <w:top w:val="none" w:sz="0" w:space="0" w:color="auto"/>
                <w:left w:val="none" w:sz="0" w:space="0" w:color="auto"/>
                <w:bottom w:val="none" w:sz="0" w:space="0" w:color="auto"/>
                <w:right w:val="none" w:sz="0" w:space="0" w:color="auto"/>
              </w:divBdr>
            </w:div>
            <w:div w:id="1644197897">
              <w:marLeft w:val="0"/>
              <w:marRight w:val="0"/>
              <w:marTop w:val="0"/>
              <w:marBottom w:val="0"/>
              <w:divBdr>
                <w:top w:val="none" w:sz="0" w:space="0" w:color="auto"/>
                <w:left w:val="none" w:sz="0" w:space="0" w:color="auto"/>
                <w:bottom w:val="none" w:sz="0" w:space="0" w:color="auto"/>
                <w:right w:val="none" w:sz="0" w:space="0" w:color="auto"/>
              </w:divBdr>
            </w:div>
            <w:div w:id="1967811572">
              <w:marLeft w:val="0"/>
              <w:marRight w:val="0"/>
              <w:marTop w:val="0"/>
              <w:marBottom w:val="0"/>
              <w:divBdr>
                <w:top w:val="none" w:sz="0" w:space="0" w:color="auto"/>
                <w:left w:val="none" w:sz="0" w:space="0" w:color="auto"/>
                <w:bottom w:val="none" w:sz="0" w:space="0" w:color="auto"/>
                <w:right w:val="none" w:sz="0" w:space="0" w:color="auto"/>
              </w:divBdr>
            </w:div>
          </w:divsChild>
        </w:div>
        <w:div w:id="765341849">
          <w:marLeft w:val="0"/>
          <w:marRight w:val="0"/>
          <w:marTop w:val="0"/>
          <w:marBottom w:val="0"/>
          <w:divBdr>
            <w:top w:val="none" w:sz="0" w:space="0" w:color="auto"/>
            <w:left w:val="none" w:sz="0" w:space="0" w:color="auto"/>
            <w:bottom w:val="none" w:sz="0" w:space="0" w:color="auto"/>
            <w:right w:val="none" w:sz="0" w:space="0" w:color="auto"/>
          </w:divBdr>
        </w:div>
        <w:div w:id="766268735">
          <w:marLeft w:val="0"/>
          <w:marRight w:val="0"/>
          <w:marTop w:val="0"/>
          <w:marBottom w:val="0"/>
          <w:divBdr>
            <w:top w:val="none" w:sz="0" w:space="0" w:color="auto"/>
            <w:left w:val="none" w:sz="0" w:space="0" w:color="auto"/>
            <w:bottom w:val="none" w:sz="0" w:space="0" w:color="auto"/>
            <w:right w:val="none" w:sz="0" w:space="0" w:color="auto"/>
          </w:divBdr>
        </w:div>
        <w:div w:id="767769661">
          <w:marLeft w:val="0"/>
          <w:marRight w:val="0"/>
          <w:marTop w:val="0"/>
          <w:marBottom w:val="0"/>
          <w:divBdr>
            <w:top w:val="none" w:sz="0" w:space="0" w:color="auto"/>
            <w:left w:val="none" w:sz="0" w:space="0" w:color="auto"/>
            <w:bottom w:val="none" w:sz="0" w:space="0" w:color="auto"/>
            <w:right w:val="none" w:sz="0" w:space="0" w:color="auto"/>
          </w:divBdr>
        </w:div>
        <w:div w:id="775059615">
          <w:marLeft w:val="0"/>
          <w:marRight w:val="0"/>
          <w:marTop w:val="0"/>
          <w:marBottom w:val="0"/>
          <w:divBdr>
            <w:top w:val="none" w:sz="0" w:space="0" w:color="auto"/>
            <w:left w:val="none" w:sz="0" w:space="0" w:color="auto"/>
            <w:bottom w:val="none" w:sz="0" w:space="0" w:color="auto"/>
            <w:right w:val="none" w:sz="0" w:space="0" w:color="auto"/>
          </w:divBdr>
        </w:div>
        <w:div w:id="775445268">
          <w:marLeft w:val="0"/>
          <w:marRight w:val="0"/>
          <w:marTop w:val="0"/>
          <w:marBottom w:val="0"/>
          <w:divBdr>
            <w:top w:val="none" w:sz="0" w:space="0" w:color="auto"/>
            <w:left w:val="none" w:sz="0" w:space="0" w:color="auto"/>
            <w:bottom w:val="none" w:sz="0" w:space="0" w:color="auto"/>
            <w:right w:val="none" w:sz="0" w:space="0" w:color="auto"/>
          </w:divBdr>
          <w:divsChild>
            <w:div w:id="439494914">
              <w:marLeft w:val="0"/>
              <w:marRight w:val="0"/>
              <w:marTop w:val="0"/>
              <w:marBottom w:val="0"/>
              <w:divBdr>
                <w:top w:val="none" w:sz="0" w:space="0" w:color="auto"/>
                <w:left w:val="none" w:sz="0" w:space="0" w:color="auto"/>
                <w:bottom w:val="none" w:sz="0" w:space="0" w:color="auto"/>
                <w:right w:val="none" w:sz="0" w:space="0" w:color="auto"/>
              </w:divBdr>
            </w:div>
            <w:div w:id="693574929">
              <w:marLeft w:val="0"/>
              <w:marRight w:val="0"/>
              <w:marTop w:val="0"/>
              <w:marBottom w:val="0"/>
              <w:divBdr>
                <w:top w:val="none" w:sz="0" w:space="0" w:color="auto"/>
                <w:left w:val="none" w:sz="0" w:space="0" w:color="auto"/>
                <w:bottom w:val="none" w:sz="0" w:space="0" w:color="auto"/>
                <w:right w:val="none" w:sz="0" w:space="0" w:color="auto"/>
              </w:divBdr>
            </w:div>
            <w:div w:id="967853733">
              <w:marLeft w:val="0"/>
              <w:marRight w:val="0"/>
              <w:marTop w:val="0"/>
              <w:marBottom w:val="0"/>
              <w:divBdr>
                <w:top w:val="none" w:sz="0" w:space="0" w:color="auto"/>
                <w:left w:val="none" w:sz="0" w:space="0" w:color="auto"/>
                <w:bottom w:val="none" w:sz="0" w:space="0" w:color="auto"/>
                <w:right w:val="none" w:sz="0" w:space="0" w:color="auto"/>
              </w:divBdr>
            </w:div>
            <w:div w:id="1285845524">
              <w:marLeft w:val="0"/>
              <w:marRight w:val="0"/>
              <w:marTop w:val="0"/>
              <w:marBottom w:val="0"/>
              <w:divBdr>
                <w:top w:val="none" w:sz="0" w:space="0" w:color="auto"/>
                <w:left w:val="none" w:sz="0" w:space="0" w:color="auto"/>
                <w:bottom w:val="none" w:sz="0" w:space="0" w:color="auto"/>
                <w:right w:val="none" w:sz="0" w:space="0" w:color="auto"/>
              </w:divBdr>
            </w:div>
            <w:div w:id="1981112473">
              <w:marLeft w:val="0"/>
              <w:marRight w:val="0"/>
              <w:marTop w:val="0"/>
              <w:marBottom w:val="0"/>
              <w:divBdr>
                <w:top w:val="none" w:sz="0" w:space="0" w:color="auto"/>
                <w:left w:val="none" w:sz="0" w:space="0" w:color="auto"/>
                <w:bottom w:val="none" w:sz="0" w:space="0" w:color="auto"/>
                <w:right w:val="none" w:sz="0" w:space="0" w:color="auto"/>
              </w:divBdr>
            </w:div>
          </w:divsChild>
        </w:div>
        <w:div w:id="780035362">
          <w:marLeft w:val="0"/>
          <w:marRight w:val="0"/>
          <w:marTop w:val="0"/>
          <w:marBottom w:val="0"/>
          <w:divBdr>
            <w:top w:val="none" w:sz="0" w:space="0" w:color="auto"/>
            <w:left w:val="none" w:sz="0" w:space="0" w:color="auto"/>
            <w:bottom w:val="none" w:sz="0" w:space="0" w:color="auto"/>
            <w:right w:val="none" w:sz="0" w:space="0" w:color="auto"/>
          </w:divBdr>
        </w:div>
        <w:div w:id="788623057">
          <w:marLeft w:val="0"/>
          <w:marRight w:val="0"/>
          <w:marTop w:val="0"/>
          <w:marBottom w:val="0"/>
          <w:divBdr>
            <w:top w:val="none" w:sz="0" w:space="0" w:color="auto"/>
            <w:left w:val="none" w:sz="0" w:space="0" w:color="auto"/>
            <w:bottom w:val="none" w:sz="0" w:space="0" w:color="auto"/>
            <w:right w:val="none" w:sz="0" w:space="0" w:color="auto"/>
          </w:divBdr>
        </w:div>
        <w:div w:id="789395942">
          <w:marLeft w:val="0"/>
          <w:marRight w:val="0"/>
          <w:marTop w:val="0"/>
          <w:marBottom w:val="0"/>
          <w:divBdr>
            <w:top w:val="none" w:sz="0" w:space="0" w:color="auto"/>
            <w:left w:val="none" w:sz="0" w:space="0" w:color="auto"/>
            <w:bottom w:val="none" w:sz="0" w:space="0" w:color="auto"/>
            <w:right w:val="none" w:sz="0" w:space="0" w:color="auto"/>
          </w:divBdr>
        </w:div>
        <w:div w:id="800658910">
          <w:marLeft w:val="0"/>
          <w:marRight w:val="0"/>
          <w:marTop w:val="0"/>
          <w:marBottom w:val="0"/>
          <w:divBdr>
            <w:top w:val="none" w:sz="0" w:space="0" w:color="auto"/>
            <w:left w:val="none" w:sz="0" w:space="0" w:color="auto"/>
            <w:bottom w:val="none" w:sz="0" w:space="0" w:color="auto"/>
            <w:right w:val="none" w:sz="0" w:space="0" w:color="auto"/>
          </w:divBdr>
        </w:div>
        <w:div w:id="809325055">
          <w:marLeft w:val="0"/>
          <w:marRight w:val="0"/>
          <w:marTop w:val="0"/>
          <w:marBottom w:val="0"/>
          <w:divBdr>
            <w:top w:val="none" w:sz="0" w:space="0" w:color="auto"/>
            <w:left w:val="none" w:sz="0" w:space="0" w:color="auto"/>
            <w:bottom w:val="none" w:sz="0" w:space="0" w:color="auto"/>
            <w:right w:val="none" w:sz="0" w:space="0" w:color="auto"/>
          </w:divBdr>
        </w:div>
        <w:div w:id="834567376">
          <w:marLeft w:val="0"/>
          <w:marRight w:val="0"/>
          <w:marTop w:val="0"/>
          <w:marBottom w:val="0"/>
          <w:divBdr>
            <w:top w:val="none" w:sz="0" w:space="0" w:color="auto"/>
            <w:left w:val="none" w:sz="0" w:space="0" w:color="auto"/>
            <w:bottom w:val="none" w:sz="0" w:space="0" w:color="auto"/>
            <w:right w:val="none" w:sz="0" w:space="0" w:color="auto"/>
          </w:divBdr>
        </w:div>
        <w:div w:id="881596292">
          <w:marLeft w:val="0"/>
          <w:marRight w:val="0"/>
          <w:marTop w:val="0"/>
          <w:marBottom w:val="0"/>
          <w:divBdr>
            <w:top w:val="none" w:sz="0" w:space="0" w:color="auto"/>
            <w:left w:val="none" w:sz="0" w:space="0" w:color="auto"/>
            <w:bottom w:val="none" w:sz="0" w:space="0" w:color="auto"/>
            <w:right w:val="none" w:sz="0" w:space="0" w:color="auto"/>
          </w:divBdr>
          <w:divsChild>
            <w:div w:id="963730246">
              <w:marLeft w:val="0"/>
              <w:marRight w:val="0"/>
              <w:marTop w:val="0"/>
              <w:marBottom w:val="0"/>
              <w:divBdr>
                <w:top w:val="none" w:sz="0" w:space="0" w:color="auto"/>
                <w:left w:val="none" w:sz="0" w:space="0" w:color="auto"/>
                <w:bottom w:val="none" w:sz="0" w:space="0" w:color="auto"/>
                <w:right w:val="none" w:sz="0" w:space="0" w:color="auto"/>
              </w:divBdr>
            </w:div>
            <w:div w:id="1815297190">
              <w:marLeft w:val="0"/>
              <w:marRight w:val="0"/>
              <w:marTop w:val="0"/>
              <w:marBottom w:val="0"/>
              <w:divBdr>
                <w:top w:val="none" w:sz="0" w:space="0" w:color="auto"/>
                <w:left w:val="none" w:sz="0" w:space="0" w:color="auto"/>
                <w:bottom w:val="none" w:sz="0" w:space="0" w:color="auto"/>
                <w:right w:val="none" w:sz="0" w:space="0" w:color="auto"/>
              </w:divBdr>
            </w:div>
          </w:divsChild>
        </w:div>
        <w:div w:id="893469476">
          <w:marLeft w:val="0"/>
          <w:marRight w:val="0"/>
          <w:marTop w:val="0"/>
          <w:marBottom w:val="0"/>
          <w:divBdr>
            <w:top w:val="none" w:sz="0" w:space="0" w:color="auto"/>
            <w:left w:val="none" w:sz="0" w:space="0" w:color="auto"/>
            <w:bottom w:val="none" w:sz="0" w:space="0" w:color="auto"/>
            <w:right w:val="none" w:sz="0" w:space="0" w:color="auto"/>
          </w:divBdr>
        </w:div>
        <w:div w:id="894198906">
          <w:marLeft w:val="0"/>
          <w:marRight w:val="0"/>
          <w:marTop w:val="0"/>
          <w:marBottom w:val="0"/>
          <w:divBdr>
            <w:top w:val="none" w:sz="0" w:space="0" w:color="auto"/>
            <w:left w:val="none" w:sz="0" w:space="0" w:color="auto"/>
            <w:bottom w:val="none" w:sz="0" w:space="0" w:color="auto"/>
            <w:right w:val="none" w:sz="0" w:space="0" w:color="auto"/>
          </w:divBdr>
        </w:div>
        <w:div w:id="913666444">
          <w:marLeft w:val="0"/>
          <w:marRight w:val="0"/>
          <w:marTop w:val="0"/>
          <w:marBottom w:val="0"/>
          <w:divBdr>
            <w:top w:val="none" w:sz="0" w:space="0" w:color="auto"/>
            <w:left w:val="none" w:sz="0" w:space="0" w:color="auto"/>
            <w:bottom w:val="none" w:sz="0" w:space="0" w:color="auto"/>
            <w:right w:val="none" w:sz="0" w:space="0" w:color="auto"/>
          </w:divBdr>
        </w:div>
        <w:div w:id="914171354">
          <w:marLeft w:val="0"/>
          <w:marRight w:val="0"/>
          <w:marTop w:val="0"/>
          <w:marBottom w:val="0"/>
          <w:divBdr>
            <w:top w:val="none" w:sz="0" w:space="0" w:color="auto"/>
            <w:left w:val="none" w:sz="0" w:space="0" w:color="auto"/>
            <w:bottom w:val="none" w:sz="0" w:space="0" w:color="auto"/>
            <w:right w:val="none" w:sz="0" w:space="0" w:color="auto"/>
          </w:divBdr>
        </w:div>
        <w:div w:id="928855475">
          <w:marLeft w:val="0"/>
          <w:marRight w:val="0"/>
          <w:marTop w:val="0"/>
          <w:marBottom w:val="0"/>
          <w:divBdr>
            <w:top w:val="none" w:sz="0" w:space="0" w:color="auto"/>
            <w:left w:val="none" w:sz="0" w:space="0" w:color="auto"/>
            <w:bottom w:val="none" w:sz="0" w:space="0" w:color="auto"/>
            <w:right w:val="none" w:sz="0" w:space="0" w:color="auto"/>
          </w:divBdr>
        </w:div>
        <w:div w:id="932399440">
          <w:marLeft w:val="0"/>
          <w:marRight w:val="0"/>
          <w:marTop w:val="0"/>
          <w:marBottom w:val="0"/>
          <w:divBdr>
            <w:top w:val="none" w:sz="0" w:space="0" w:color="auto"/>
            <w:left w:val="none" w:sz="0" w:space="0" w:color="auto"/>
            <w:bottom w:val="none" w:sz="0" w:space="0" w:color="auto"/>
            <w:right w:val="none" w:sz="0" w:space="0" w:color="auto"/>
          </w:divBdr>
        </w:div>
        <w:div w:id="937253538">
          <w:marLeft w:val="0"/>
          <w:marRight w:val="0"/>
          <w:marTop w:val="0"/>
          <w:marBottom w:val="0"/>
          <w:divBdr>
            <w:top w:val="none" w:sz="0" w:space="0" w:color="auto"/>
            <w:left w:val="none" w:sz="0" w:space="0" w:color="auto"/>
            <w:bottom w:val="none" w:sz="0" w:space="0" w:color="auto"/>
            <w:right w:val="none" w:sz="0" w:space="0" w:color="auto"/>
          </w:divBdr>
        </w:div>
        <w:div w:id="957834523">
          <w:marLeft w:val="0"/>
          <w:marRight w:val="0"/>
          <w:marTop w:val="0"/>
          <w:marBottom w:val="0"/>
          <w:divBdr>
            <w:top w:val="none" w:sz="0" w:space="0" w:color="auto"/>
            <w:left w:val="none" w:sz="0" w:space="0" w:color="auto"/>
            <w:bottom w:val="none" w:sz="0" w:space="0" w:color="auto"/>
            <w:right w:val="none" w:sz="0" w:space="0" w:color="auto"/>
          </w:divBdr>
        </w:div>
        <w:div w:id="988636047">
          <w:marLeft w:val="0"/>
          <w:marRight w:val="0"/>
          <w:marTop w:val="0"/>
          <w:marBottom w:val="0"/>
          <w:divBdr>
            <w:top w:val="none" w:sz="0" w:space="0" w:color="auto"/>
            <w:left w:val="none" w:sz="0" w:space="0" w:color="auto"/>
            <w:bottom w:val="none" w:sz="0" w:space="0" w:color="auto"/>
            <w:right w:val="none" w:sz="0" w:space="0" w:color="auto"/>
          </w:divBdr>
        </w:div>
        <w:div w:id="997803422">
          <w:marLeft w:val="0"/>
          <w:marRight w:val="0"/>
          <w:marTop w:val="0"/>
          <w:marBottom w:val="0"/>
          <w:divBdr>
            <w:top w:val="none" w:sz="0" w:space="0" w:color="auto"/>
            <w:left w:val="none" w:sz="0" w:space="0" w:color="auto"/>
            <w:bottom w:val="none" w:sz="0" w:space="0" w:color="auto"/>
            <w:right w:val="none" w:sz="0" w:space="0" w:color="auto"/>
          </w:divBdr>
        </w:div>
        <w:div w:id="1009329746">
          <w:marLeft w:val="0"/>
          <w:marRight w:val="0"/>
          <w:marTop w:val="0"/>
          <w:marBottom w:val="0"/>
          <w:divBdr>
            <w:top w:val="none" w:sz="0" w:space="0" w:color="auto"/>
            <w:left w:val="none" w:sz="0" w:space="0" w:color="auto"/>
            <w:bottom w:val="none" w:sz="0" w:space="0" w:color="auto"/>
            <w:right w:val="none" w:sz="0" w:space="0" w:color="auto"/>
          </w:divBdr>
        </w:div>
        <w:div w:id="1012074544">
          <w:marLeft w:val="0"/>
          <w:marRight w:val="0"/>
          <w:marTop w:val="0"/>
          <w:marBottom w:val="0"/>
          <w:divBdr>
            <w:top w:val="none" w:sz="0" w:space="0" w:color="auto"/>
            <w:left w:val="none" w:sz="0" w:space="0" w:color="auto"/>
            <w:bottom w:val="none" w:sz="0" w:space="0" w:color="auto"/>
            <w:right w:val="none" w:sz="0" w:space="0" w:color="auto"/>
          </w:divBdr>
          <w:divsChild>
            <w:div w:id="1252472044">
              <w:marLeft w:val="0"/>
              <w:marRight w:val="0"/>
              <w:marTop w:val="0"/>
              <w:marBottom w:val="0"/>
              <w:divBdr>
                <w:top w:val="none" w:sz="0" w:space="0" w:color="auto"/>
                <w:left w:val="none" w:sz="0" w:space="0" w:color="auto"/>
                <w:bottom w:val="none" w:sz="0" w:space="0" w:color="auto"/>
                <w:right w:val="none" w:sz="0" w:space="0" w:color="auto"/>
              </w:divBdr>
            </w:div>
            <w:div w:id="1780757145">
              <w:marLeft w:val="0"/>
              <w:marRight w:val="0"/>
              <w:marTop w:val="0"/>
              <w:marBottom w:val="0"/>
              <w:divBdr>
                <w:top w:val="none" w:sz="0" w:space="0" w:color="auto"/>
                <w:left w:val="none" w:sz="0" w:space="0" w:color="auto"/>
                <w:bottom w:val="none" w:sz="0" w:space="0" w:color="auto"/>
                <w:right w:val="none" w:sz="0" w:space="0" w:color="auto"/>
              </w:divBdr>
            </w:div>
          </w:divsChild>
        </w:div>
        <w:div w:id="1024786507">
          <w:marLeft w:val="0"/>
          <w:marRight w:val="0"/>
          <w:marTop w:val="0"/>
          <w:marBottom w:val="0"/>
          <w:divBdr>
            <w:top w:val="none" w:sz="0" w:space="0" w:color="auto"/>
            <w:left w:val="none" w:sz="0" w:space="0" w:color="auto"/>
            <w:bottom w:val="none" w:sz="0" w:space="0" w:color="auto"/>
            <w:right w:val="none" w:sz="0" w:space="0" w:color="auto"/>
          </w:divBdr>
        </w:div>
        <w:div w:id="1026951471">
          <w:marLeft w:val="0"/>
          <w:marRight w:val="0"/>
          <w:marTop w:val="0"/>
          <w:marBottom w:val="0"/>
          <w:divBdr>
            <w:top w:val="none" w:sz="0" w:space="0" w:color="auto"/>
            <w:left w:val="none" w:sz="0" w:space="0" w:color="auto"/>
            <w:bottom w:val="none" w:sz="0" w:space="0" w:color="auto"/>
            <w:right w:val="none" w:sz="0" w:space="0" w:color="auto"/>
          </w:divBdr>
        </w:div>
        <w:div w:id="1040401614">
          <w:marLeft w:val="0"/>
          <w:marRight w:val="0"/>
          <w:marTop w:val="0"/>
          <w:marBottom w:val="0"/>
          <w:divBdr>
            <w:top w:val="none" w:sz="0" w:space="0" w:color="auto"/>
            <w:left w:val="none" w:sz="0" w:space="0" w:color="auto"/>
            <w:bottom w:val="none" w:sz="0" w:space="0" w:color="auto"/>
            <w:right w:val="none" w:sz="0" w:space="0" w:color="auto"/>
          </w:divBdr>
        </w:div>
        <w:div w:id="1040856681">
          <w:marLeft w:val="0"/>
          <w:marRight w:val="0"/>
          <w:marTop w:val="0"/>
          <w:marBottom w:val="0"/>
          <w:divBdr>
            <w:top w:val="none" w:sz="0" w:space="0" w:color="auto"/>
            <w:left w:val="none" w:sz="0" w:space="0" w:color="auto"/>
            <w:bottom w:val="none" w:sz="0" w:space="0" w:color="auto"/>
            <w:right w:val="none" w:sz="0" w:space="0" w:color="auto"/>
          </w:divBdr>
        </w:div>
        <w:div w:id="1061639864">
          <w:marLeft w:val="0"/>
          <w:marRight w:val="0"/>
          <w:marTop w:val="0"/>
          <w:marBottom w:val="0"/>
          <w:divBdr>
            <w:top w:val="none" w:sz="0" w:space="0" w:color="auto"/>
            <w:left w:val="none" w:sz="0" w:space="0" w:color="auto"/>
            <w:bottom w:val="none" w:sz="0" w:space="0" w:color="auto"/>
            <w:right w:val="none" w:sz="0" w:space="0" w:color="auto"/>
          </w:divBdr>
          <w:divsChild>
            <w:div w:id="281883545">
              <w:marLeft w:val="0"/>
              <w:marRight w:val="0"/>
              <w:marTop w:val="0"/>
              <w:marBottom w:val="0"/>
              <w:divBdr>
                <w:top w:val="none" w:sz="0" w:space="0" w:color="auto"/>
                <w:left w:val="none" w:sz="0" w:space="0" w:color="auto"/>
                <w:bottom w:val="none" w:sz="0" w:space="0" w:color="auto"/>
                <w:right w:val="none" w:sz="0" w:space="0" w:color="auto"/>
              </w:divBdr>
            </w:div>
            <w:div w:id="508250526">
              <w:marLeft w:val="0"/>
              <w:marRight w:val="0"/>
              <w:marTop w:val="0"/>
              <w:marBottom w:val="0"/>
              <w:divBdr>
                <w:top w:val="none" w:sz="0" w:space="0" w:color="auto"/>
                <w:left w:val="none" w:sz="0" w:space="0" w:color="auto"/>
                <w:bottom w:val="none" w:sz="0" w:space="0" w:color="auto"/>
                <w:right w:val="none" w:sz="0" w:space="0" w:color="auto"/>
              </w:divBdr>
            </w:div>
          </w:divsChild>
        </w:div>
        <w:div w:id="1110783321">
          <w:marLeft w:val="0"/>
          <w:marRight w:val="0"/>
          <w:marTop w:val="0"/>
          <w:marBottom w:val="0"/>
          <w:divBdr>
            <w:top w:val="none" w:sz="0" w:space="0" w:color="auto"/>
            <w:left w:val="none" w:sz="0" w:space="0" w:color="auto"/>
            <w:bottom w:val="none" w:sz="0" w:space="0" w:color="auto"/>
            <w:right w:val="none" w:sz="0" w:space="0" w:color="auto"/>
          </w:divBdr>
        </w:div>
        <w:div w:id="1111164872">
          <w:marLeft w:val="0"/>
          <w:marRight w:val="0"/>
          <w:marTop w:val="0"/>
          <w:marBottom w:val="0"/>
          <w:divBdr>
            <w:top w:val="none" w:sz="0" w:space="0" w:color="auto"/>
            <w:left w:val="none" w:sz="0" w:space="0" w:color="auto"/>
            <w:bottom w:val="none" w:sz="0" w:space="0" w:color="auto"/>
            <w:right w:val="none" w:sz="0" w:space="0" w:color="auto"/>
          </w:divBdr>
        </w:div>
        <w:div w:id="1129780822">
          <w:marLeft w:val="0"/>
          <w:marRight w:val="0"/>
          <w:marTop w:val="0"/>
          <w:marBottom w:val="0"/>
          <w:divBdr>
            <w:top w:val="none" w:sz="0" w:space="0" w:color="auto"/>
            <w:left w:val="none" w:sz="0" w:space="0" w:color="auto"/>
            <w:bottom w:val="none" w:sz="0" w:space="0" w:color="auto"/>
            <w:right w:val="none" w:sz="0" w:space="0" w:color="auto"/>
          </w:divBdr>
        </w:div>
        <w:div w:id="1144395959">
          <w:marLeft w:val="0"/>
          <w:marRight w:val="0"/>
          <w:marTop w:val="0"/>
          <w:marBottom w:val="0"/>
          <w:divBdr>
            <w:top w:val="none" w:sz="0" w:space="0" w:color="auto"/>
            <w:left w:val="none" w:sz="0" w:space="0" w:color="auto"/>
            <w:bottom w:val="none" w:sz="0" w:space="0" w:color="auto"/>
            <w:right w:val="none" w:sz="0" w:space="0" w:color="auto"/>
          </w:divBdr>
          <w:divsChild>
            <w:div w:id="144009980">
              <w:marLeft w:val="0"/>
              <w:marRight w:val="0"/>
              <w:marTop w:val="0"/>
              <w:marBottom w:val="0"/>
              <w:divBdr>
                <w:top w:val="none" w:sz="0" w:space="0" w:color="auto"/>
                <w:left w:val="none" w:sz="0" w:space="0" w:color="auto"/>
                <w:bottom w:val="none" w:sz="0" w:space="0" w:color="auto"/>
                <w:right w:val="none" w:sz="0" w:space="0" w:color="auto"/>
              </w:divBdr>
            </w:div>
            <w:div w:id="418529424">
              <w:marLeft w:val="0"/>
              <w:marRight w:val="0"/>
              <w:marTop w:val="0"/>
              <w:marBottom w:val="0"/>
              <w:divBdr>
                <w:top w:val="none" w:sz="0" w:space="0" w:color="auto"/>
                <w:left w:val="none" w:sz="0" w:space="0" w:color="auto"/>
                <w:bottom w:val="none" w:sz="0" w:space="0" w:color="auto"/>
                <w:right w:val="none" w:sz="0" w:space="0" w:color="auto"/>
              </w:divBdr>
            </w:div>
            <w:div w:id="619725716">
              <w:marLeft w:val="0"/>
              <w:marRight w:val="0"/>
              <w:marTop w:val="0"/>
              <w:marBottom w:val="0"/>
              <w:divBdr>
                <w:top w:val="none" w:sz="0" w:space="0" w:color="auto"/>
                <w:left w:val="none" w:sz="0" w:space="0" w:color="auto"/>
                <w:bottom w:val="none" w:sz="0" w:space="0" w:color="auto"/>
                <w:right w:val="none" w:sz="0" w:space="0" w:color="auto"/>
              </w:divBdr>
            </w:div>
            <w:div w:id="1580404758">
              <w:marLeft w:val="0"/>
              <w:marRight w:val="0"/>
              <w:marTop w:val="0"/>
              <w:marBottom w:val="0"/>
              <w:divBdr>
                <w:top w:val="none" w:sz="0" w:space="0" w:color="auto"/>
                <w:left w:val="none" w:sz="0" w:space="0" w:color="auto"/>
                <w:bottom w:val="none" w:sz="0" w:space="0" w:color="auto"/>
                <w:right w:val="none" w:sz="0" w:space="0" w:color="auto"/>
              </w:divBdr>
            </w:div>
            <w:div w:id="1870869840">
              <w:marLeft w:val="0"/>
              <w:marRight w:val="0"/>
              <w:marTop w:val="0"/>
              <w:marBottom w:val="0"/>
              <w:divBdr>
                <w:top w:val="none" w:sz="0" w:space="0" w:color="auto"/>
                <w:left w:val="none" w:sz="0" w:space="0" w:color="auto"/>
                <w:bottom w:val="none" w:sz="0" w:space="0" w:color="auto"/>
                <w:right w:val="none" w:sz="0" w:space="0" w:color="auto"/>
              </w:divBdr>
            </w:div>
          </w:divsChild>
        </w:div>
        <w:div w:id="1146816782">
          <w:marLeft w:val="0"/>
          <w:marRight w:val="0"/>
          <w:marTop w:val="0"/>
          <w:marBottom w:val="0"/>
          <w:divBdr>
            <w:top w:val="none" w:sz="0" w:space="0" w:color="auto"/>
            <w:left w:val="none" w:sz="0" w:space="0" w:color="auto"/>
            <w:bottom w:val="none" w:sz="0" w:space="0" w:color="auto"/>
            <w:right w:val="none" w:sz="0" w:space="0" w:color="auto"/>
          </w:divBdr>
        </w:div>
        <w:div w:id="1149327770">
          <w:marLeft w:val="0"/>
          <w:marRight w:val="0"/>
          <w:marTop w:val="0"/>
          <w:marBottom w:val="0"/>
          <w:divBdr>
            <w:top w:val="none" w:sz="0" w:space="0" w:color="auto"/>
            <w:left w:val="none" w:sz="0" w:space="0" w:color="auto"/>
            <w:bottom w:val="none" w:sz="0" w:space="0" w:color="auto"/>
            <w:right w:val="none" w:sz="0" w:space="0" w:color="auto"/>
          </w:divBdr>
        </w:div>
        <w:div w:id="1155880689">
          <w:marLeft w:val="0"/>
          <w:marRight w:val="0"/>
          <w:marTop w:val="0"/>
          <w:marBottom w:val="0"/>
          <w:divBdr>
            <w:top w:val="none" w:sz="0" w:space="0" w:color="auto"/>
            <w:left w:val="none" w:sz="0" w:space="0" w:color="auto"/>
            <w:bottom w:val="none" w:sz="0" w:space="0" w:color="auto"/>
            <w:right w:val="none" w:sz="0" w:space="0" w:color="auto"/>
          </w:divBdr>
        </w:div>
        <w:div w:id="1171144447">
          <w:marLeft w:val="0"/>
          <w:marRight w:val="0"/>
          <w:marTop w:val="0"/>
          <w:marBottom w:val="0"/>
          <w:divBdr>
            <w:top w:val="none" w:sz="0" w:space="0" w:color="auto"/>
            <w:left w:val="none" w:sz="0" w:space="0" w:color="auto"/>
            <w:bottom w:val="none" w:sz="0" w:space="0" w:color="auto"/>
            <w:right w:val="none" w:sz="0" w:space="0" w:color="auto"/>
          </w:divBdr>
          <w:divsChild>
            <w:div w:id="143013653">
              <w:marLeft w:val="0"/>
              <w:marRight w:val="0"/>
              <w:marTop w:val="0"/>
              <w:marBottom w:val="0"/>
              <w:divBdr>
                <w:top w:val="none" w:sz="0" w:space="0" w:color="auto"/>
                <w:left w:val="none" w:sz="0" w:space="0" w:color="auto"/>
                <w:bottom w:val="none" w:sz="0" w:space="0" w:color="auto"/>
                <w:right w:val="none" w:sz="0" w:space="0" w:color="auto"/>
              </w:divBdr>
            </w:div>
            <w:div w:id="692340705">
              <w:marLeft w:val="0"/>
              <w:marRight w:val="0"/>
              <w:marTop w:val="0"/>
              <w:marBottom w:val="0"/>
              <w:divBdr>
                <w:top w:val="none" w:sz="0" w:space="0" w:color="auto"/>
                <w:left w:val="none" w:sz="0" w:space="0" w:color="auto"/>
                <w:bottom w:val="none" w:sz="0" w:space="0" w:color="auto"/>
                <w:right w:val="none" w:sz="0" w:space="0" w:color="auto"/>
              </w:divBdr>
            </w:div>
            <w:div w:id="846864916">
              <w:marLeft w:val="0"/>
              <w:marRight w:val="0"/>
              <w:marTop w:val="0"/>
              <w:marBottom w:val="0"/>
              <w:divBdr>
                <w:top w:val="none" w:sz="0" w:space="0" w:color="auto"/>
                <w:left w:val="none" w:sz="0" w:space="0" w:color="auto"/>
                <w:bottom w:val="none" w:sz="0" w:space="0" w:color="auto"/>
                <w:right w:val="none" w:sz="0" w:space="0" w:color="auto"/>
              </w:divBdr>
            </w:div>
            <w:div w:id="1287128408">
              <w:marLeft w:val="0"/>
              <w:marRight w:val="0"/>
              <w:marTop w:val="0"/>
              <w:marBottom w:val="0"/>
              <w:divBdr>
                <w:top w:val="none" w:sz="0" w:space="0" w:color="auto"/>
                <w:left w:val="none" w:sz="0" w:space="0" w:color="auto"/>
                <w:bottom w:val="none" w:sz="0" w:space="0" w:color="auto"/>
                <w:right w:val="none" w:sz="0" w:space="0" w:color="auto"/>
              </w:divBdr>
            </w:div>
            <w:div w:id="2070493126">
              <w:marLeft w:val="0"/>
              <w:marRight w:val="0"/>
              <w:marTop w:val="0"/>
              <w:marBottom w:val="0"/>
              <w:divBdr>
                <w:top w:val="none" w:sz="0" w:space="0" w:color="auto"/>
                <w:left w:val="none" w:sz="0" w:space="0" w:color="auto"/>
                <w:bottom w:val="none" w:sz="0" w:space="0" w:color="auto"/>
                <w:right w:val="none" w:sz="0" w:space="0" w:color="auto"/>
              </w:divBdr>
            </w:div>
          </w:divsChild>
        </w:div>
        <w:div w:id="1185170244">
          <w:marLeft w:val="0"/>
          <w:marRight w:val="0"/>
          <w:marTop w:val="0"/>
          <w:marBottom w:val="0"/>
          <w:divBdr>
            <w:top w:val="none" w:sz="0" w:space="0" w:color="auto"/>
            <w:left w:val="none" w:sz="0" w:space="0" w:color="auto"/>
            <w:bottom w:val="none" w:sz="0" w:space="0" w:color="auto"/>
            <w:right w:val="none" w:sz="0" w:space="0" w:color="auto"/>
          </w:divBdr>
        </w:div>
        <w:div w:id="1194728238">
          <w:marLeft w:val="0"/>
          <w:marRight w:val="0"/>
          <w:marTop w:val="0"/>
          <w:marBottom w:val="0"/>
          <w:divBdr>
            <w:top w:val="none" w:sz="0" w:space="0" w:color="auto"/>
            <w:left w:val="none" w:sz="0" w:space="0" w:color="auto"/>
            <w:bottom w:val="none" w:sz="0" w:space="0" w:color="auto"/>
            <w:right w:val="none" w:sz="0" w:space="0" w:color="auto"/>
          </w:divBdr>
        </w:div>
        <w:div w:id="1198277600">
          <w:marLeft w:val="0"/>
          <w:marRight w:val="0"/>
          <w:marTop w:val="0"/>
          <w:marBottom w:val="0"/>
          <w:divBdr>
            <w:top w:val="none" w:sz="0" w:space="0" w:color="auto"/>
            <w:left w:val="none" w:sz="0" w:space="0" w:color="auto"/>
            <w:bottom w:val="none" w:sz="0" w:space="0" w:color="auto"/>
            <w:right w:val="none" w:sz="0" w:space="0" w:color="auto"/>
          </w:divBdr>
        </w:div>
        <w:div w:id="1201549293">
          <w:marLeft w:val="0"/>
          <w:marRight w:val="0"/>
          <w:marTop w:val="0"/>
          <w:marBottom w:val="0"/>
          <w:divBdr>
            <w:top w:val="none" w:sz="0" w:space="0" w:color="auto"/>
            <w:left w:val="none" w:sz="0" w:space="0" w:color="auto"/>
            <w:bottom w:val="none" w:sz="0" w:space="0" w:color="auto"/>
            <w:right w:val="none" w:sz="0" w:space="0" w:color="auto"/>
          </w:divBdr>
        </w:div>
        <w:div w:id="1206137114">
          <w:marLeft w:val="0"/>
          <w:marRight w:val="0"/>
          <w:marTop w:val="0"/>
          <w:marBottom w:val="0"/>
          <w:divBdr>
            <w:top w:val="none" w:sz="0" w:space="0" w:color="auto"/>
            <w:left w:val="none" w:sz="0" w:space="0" w:color="auto"/>
            <w:bottom w:val="none" w:sz="0" w:space="0" w:color="auto"/>
            <w:right w:val="none" w:sz="0" w:space="0" w:color="auto"/>
          </w:divBdr>
        </w:div>
        <w:div w:id="1207909923">
          <w:marLeft w:val="0"/>
          <w:marRight w:val="0"/>
          <w:marTop w:val="0"/>
          <w:marBottom w:val="0"/>
          <w:divBdr>
            <w:top w:val="none" w:sz="0" w:space="0" w:color="auto"/>
            <w:left w:val="none" w:sz="0" w:space="0" w:color="auto"/>
            <w:bottom w:val="none" w:sz="0" w:space="0" w:color="auto"/>
            <w:right w:val="none" w:sz="0" w:space="0" w:color="auto"/>
          </w:divBdr>
        </w:div>
        <w:div w:id="1212810598">
          <w:marLeft w:val="0"/>
          <w:marRight w:val="0"/>
          <w:marTop w:val="0"/>
          <w:marBottom w:val="0"/>
          <w:divBdr>
            <w:top w:val="none" w:sz="0" w:space="0" w:color="auto"/>
            <w:left w:val="none" w:sz="0" w:space="0" w:color="auto"/>
            <w:bottom w:val="none" w:sz="0" w:space="0" w:color="auto"/>
            <w:right w:val="none" w:sz="0" w:space="0" w:color="auto"/>
          </w:divBdr>
        </w:div>
        <w:div w:id="1221945376">
          <w:marLeft w:val="0"/>
          <w:marRight w:val="0"/>
          <w:marTop w:val="0"/>
          <w:marBottom w:val="0"/>
          <w:divBdr>
            <w:top w:val="none" w:sz="0" w:space="0" w:color="auto"/>
            <w:left w:val="none" w:sz="0" w:space="0" w:color="auto"/>
            <w:bottom w:val="none" w:sz="0" w:space="0" w:color="auto"/>
            <w:right w:val="none" w:sz="0" w:space="0" w:color="auto"/>
          </w:divBdr>
        </w:div>
        <w:div w:id="1240673863">
          <w:marLeft w:val="0"/>
          <w:marRight w:val="0"/>
          <w:marTop w:val="0"/>
          <w:marBottom w:val="0"/>
          <w:divBdr>
            <w:top w:val="none" w:sz="0" w:space="0" w:color="auto"/>
            <w:left w:val="none" w:sz="0" w:space="0" w:color="auto"/>
            <w:bottom w:val="none" w:sz="0" w:space="0" w:color="auto"/>
            <w:right w:val="none" w:sz="0" w:space="0" w:color="auto"/>
          </w:divBdr>
        </w:div>
        <w:div w:id="1276910352">
          <w:marLeft w:val="0"/>
          <w:marRight w:val="0"/>
          <w:marTop w:val="0"/>
          <w:marBottom w:val="0"/>
          <w:divBdr>
            <w:top w:val="none" w:sz="0" w:space="0" w:color="auto"/>
            <w:left w:val="none" w:sz="0" w:space="0" w:color="auto"/>
            <w:bottom w:val="none" w:sz="0" w:space="0" w:color="auto"/>
            <w:right w:val="none" w:sz="0" w:space="0" w:color="auto"/>
          </w:divBdr>
        </w:div>
        <w:div w:id="1283610245">
          <w:marLeft w:val="0"/>
          <w:marRight w:val="0"/>
          <w:marTop w:val="0"/>
          <w:marBottom w:val="0"/>
          <w:divBdr>
            <w:top w:val="none" w:sz="0" w:space="0" w:color="auto"/>
            <w:left w:val="none" w:sz="0" w:space="0" w:color="auto"/>
            <w:bottom w:val="none" w:sz="0" w:space="0" w:color="auto"/>
            <w:right w:val="none" w:sz="0" w:space="0" w:color="auto"/>
          </w:divBdr>
        </w:div>
        <w:div w:id="1293515233">
          <w:marLeft w:val="0"/>
          <w:marRight w:val="0"/>
          <w:marTop w:val="0"/>
          <w:marBottom w:val="0"/>
          <w:divBdr>
            <w:top w:val="none" w:sz="0" w:space="0" w:color="auto"/>
            <w:left w:val="none" w:sz="0" w:space="0" w:color="auto"/>
            <w:bottom w:val="none" w:sz="0" w:space="0" w:color="auto"/>
            <w:right w:val="none" w:sz="0" w:space="0" w:color="auto"/>
          </w:divBdr>
          <w:divsChild>
            <w:div w:id="296032432">
              <w:marLeft w:val="0"/>
              <w:marRight w:val="0"/>
              <w:marTop w:val="0"/>
              <w:marBottom w:val="0"/>
              <w:divBdr>
                <w:top w:val="none" w:sz="0" w:space="0" w:color="auto"/>
                <w:left w:val="none" w:sz="0" w:space="0" w:color="auto"/>
                <w:bottom w:val="none" w:sz="0" w:space="0" w:color="auto"/>
                <w:right w:val="none" w:sz="0" w:space="0" w:color="auto"/>
              </w:divBdr>
            </w:div>
            <w:div w:id="1312127822">
              <w:marLeft w:val="0"/>
              <w:marRight w:val="0"/>
              <w:marTop w:val="0"/>
              <w:marBottom w:val="0"/>
              <w:divBdr>
                <w:top w:val="none" w:sz="0" w:space="0" w:color="auto"/>
                <w:left w:val="none" w:sz="0" w:space="0" w:color="auto"/>
                <w:bottom w:val="none" w:sz="0" w:space="0" w:color="auto"/>
                <w:right w:val="none" w:sz="0" w:space="0" w:color="auto"/>
              </w:divBdr>
            </w:div>
            <w:div w:id="1449854371">
              <w:marLeft w:val="0"/>
              <w:marRight w:val="0"/>
              <w:marTop w:val="0"/>
              <w:marBottom w:val="0"/>
              <w:divBdr>
                <w:top w:val="none" w:sz="0" w:space="0" w:color="auto"/>
                <w:left w:val="none" w:sz="0" w:space="0" w:color="auto"/>
                <w:bottom w:val="none" w:sz="0" w:space="0" w:color="auto"/>
                <w:right w:val="none" w:sz="0" w:space="0" w:color="auto"/>
              </w:divBdr>
            </w:div>
            <w:div w:id="1875845712">
              <w:marLeft w:val="0"/>
              <w:marRight w:val="0"/>
              <w:marTop w:val="0"/>
              <w:marBottom w:val="0"/>
              <w:divBdr>
                <w:top w:val="none" w:sz="0" w:space="0" w:color="auto"/>
                <w:left w:val="none" w:sz="0" w:space="0" w:color="auto"/>
                <w:bottom w:val="none" w:sz="0" w:space="0" w:color="auto"/>
                <w:right w:val="none" w:sz="0" w:space="0" w:color="auto"/>
              </w:divBdr>
            </w:div>
            <w:div w:id="2146193482">
              <w:marLeft w:val="0"/>
              <w:marRight w:val="0"/>
              <w:marTop w:val="0"/>
              <w:marBottom w:val="0"/>
              <w:divBdr>
                <w:top w:val="none" w:sz="0" w:space="0" w:color="auto"/>
                <w:left w:val="none" w:sz="0" w:space="0" w:color="auto"/>
                <w:bottom w:val="none" w:sz="0" w:space="0" w:color="auto"/>
                <w:right w:val="none" w:sz="0" w:space="0" w:color="auto"/>
              </w:divBdr>
            </w:div>
          </w:divsChild>
        </w:div>
        <w:div w:id="1294142594">
          <w:marLeft w:val="0"/>
          <w:marRight w:val="0"/>
          <w:marTop w:val="0"/>
          <w:marBottom w:val="0"/>
          <w:divBdr>
            <w:top w:val="none" w:sz="0" w:space="0" w:color="auto"/>
            <w:left w:val="none" w:sz="0" w:space="0" w:color="auto"/>
            <w:bottom w:val="none" w:sz="0" w:space="0" w:color="auto"/>
            <w:right w:val="none" w:sz="0" w:space="0" w:color="auto"/>
          </w:divBdr>
        </w:div>
        <w:div w:id="1298145142">
          <w:marLeft w:val="0"/>
          <w:marRight w:val="0"/>
          <w:marTop w:val="0"/>
          <w:marBottom w:val="0"/>
          <w:divBdr>
            <w:top w:val="none" w:sz="0" w:space="0" w:color="auto"/>
            <w:left w:val="none" w:sz="0" w:space="0" w:color="auto"/>
            <w:bottom w:val="none" w:sz="0" w:space="0" w:color="auto"/>
            <w:right w:val="none" w:sz="0" w:space="0" w:color="auto"/>
          </w:divBdr>
        </w:div>
        <w:div w:id="1302492956">
          <w:marLeft w:val="0"/>
          <w:marRight w:val="0"/>
          <w:marTop w:val="0"/>
          <w:marBottom w:val="0"/>
          <w:divBdr>
            <w:top w:val="none" w:sz="0" w:space="0" w:color="auto"/>
            <w:left w:val="none" w:sz="0" w:space="0" w:color="auto"/>
            <w:bottom w:val="none" w:sz="0" w:space="0" w:color="auto"/>
            <w:right w:val="none" w:sz="0" w:space="0" w:color="auto"/>
          </w:divBdr>
          <w:divsChild>
            <w:div w:id="220407349">
              <w:marLeft w:val="0"/>
              <w:marRight w:val="0"/>
              <w:marTop w:val="0"/>
              <w:marBottom w:val="0"/>
              <w:divBdr>
                <w:top w:val="none" w:sz="0" w:space="0" w:color="auto"/>
                <w:left w:val="none" w:sz="0" w:space="0" w:color="auto"/>
                <w:bottom w:val="none" w:sz="0" w:space="0" w:color="auto"/>
                <w:right w:val="none" w:sz="0" w:space="0" w:color="auto"/>
              </w:divBdr>
            </w:div>
            <w:div w:id="438910919">
              <w:marLeft w:val="0"/>
              <w:marRight w:val="0"/>
              <w:marTop w:val="0"/>
              <w:marBottom w:val="0"/>
              <w:divBdr>
                <w:top w:val="none" w:sz="0" w:space="0" w:color="auto"/>
                <w:left w:val="none" w:sz="0" w:space="0" w:color="auto"/>
                <w:bottom w:val="none" w:sz="0" w:space="0" w:color="auto"/>
                <w:right w:val="none" w:sz="0" w:space="0" w:color="auto"/>
              </w:divBdr>
            </w:div>
            <w:div w:id="500001629">
              <w:marLeft w:val="0"/>
              <w:marRight w:val="0"/>
              <w:marTop w:val="0"/>
              <w:marBottom w:val="0"/>
              <w:divBdr>
                <w:top w:val="none" w:sz="0" w:space="0" w:color="auto"/>
                <w:left w:val="none" w:sz="0" w:space="0" w:color="auto"/>
                <w:bottom w:val="none" w:sz="0" w:space="0" w:color="auto"/>
                <w:right w:val="none" w:sz="0" w:space="0" w:color="auto"/>
              </w:divBdr>
            </w:div>
            <w:div w:id="1217156658">
              <w:marLeft w:val="0"/>
              <w:marRight w:val="0"/>
              <w:marTop w:val="0"/>
              <w:marBottom w:val="0"/>
              <w:divBdr>
                <w:top w:val="none" w:sz="0" w:space="0" w:color="auto"/>
                <w:left w:val="none" w:sz="0" w:space="0" w:color="auto"/>
                <w:bottom w:val="none" w:sz="0" w:space="0" w:color="auto"/>
                <w:right w:val="none" w:sz="0" w:space="0" w:color="auto"/>
              </w:divBdr>
            </w:div>
            <w:div w:id="1476026198">
              <w:marLeft w:val="0"/>
              <w:marRight w:val="0"/>
              <w:marTop w:val="0"/>
              <w:marBottom w:val="0"/>
              <w:divBdr>
                <w:top w:val="none" w:sz="0" w:space="0" w:color="auto"/>
                <w:left w:val="none" w:sz="0" w:space="0" w:color="auto"/>
                <w:bottom w:val="none" w:sz="0" w:space="0" w:color="auto"/>
                <w:right w:val="none" w:sz="0" w:space="0" w:color="auto"/>
              </w:divBdr>
            </w:div>
          </w:divsChild>
        </w:div>
        <w:div w:id="1311206522">
          <w:marLeft w:val="0"/>
          <w:marRight w:val="0"/>
          <w:marTop w:val="0"/>
          <w:marBottom w:val="0"/>
          <w:divBdr>
            <w:top w:val="none" w:sz="0" w:space="0" w:color="auto"/>
            <w:left w:val="none" w:sz="0" w:space="0" w:color="auto"/>
            <w:bottom w:val="none" w:sz="0" w:space="0" w:color="auto"/>
            <w:right w:val="none" w:sz="0" w:space="0" w:color="auto"/>
          </w:divBdr>
          <w:divsChild>
            <w:div w:id="307589203">
              <w:marLeft w:val="0"/>
              <w:marRight w:val="0"/>
              <w:marTop w:val="0"/>
              <w:marBottom w:val="0"/>
              <w:divBdr>
                <w:top w:val="none" w:sz="0" w:space="0" w:color="auto"/>
                <w:left w:val="none" w:sz="0" w:space="0" w:color="auto"/>
                <w:bottom w:val="none" w:sz="0" w:space="0" w:color="auto"/>
                <w:right w:val="none" w:sz="0" w:space="0" w:color="auto"/>
              </w:divBdr>
            </w:div>
            <w:div w:id="668366218">
              <w:marLeft w:val="0"/>
              <w:marRight w:val="0"/>
              <w:marTop w:val="0"/>
              <w:marBottom w:val="0"/>
              <w:divBdr>
                <w:top w:val="none" w:sz="0" w:space="0" w:color="auto"/>
                <w:left w:val="none" w:sz="0" w:space="0" w:color="auto"/>
                <w:bottom w:val="none" w:sz="0" w:space="0" w:color="auto"/>
                <w:right w:val="none" w:sz="0" w:space="0" w:color="auto"/>
              </w:divBdr>
            </w:div>
            <w:div w:id="863859380">
              <w:marLeft w:val="0"/>
              <w:marRight w:val="0"/>
              <w:marTop w:val="0"/>
              <w:marBottom w:val="0"/>
              <w:divBdr>
                <w:top w:val="none" w:sz="0" w:space="0" w:color="auto"/>
                <w:left w:val="none" w:sz="0" w:space="0" w:color="auto"/>
                <w:bottom w:val="none" w:sz="0" w:space="0" w:color="auto"/>
                <w:right w:val="none" w:sz="0" w:space="0" w:color="auto"/>
              </w:divBdr>
            </w:div>
            <w:div w:id="1465537037">
              <w:marLeft w:val="0"/>
              <w:marRight w:val="0"/>
              <w:marTop w:val="0"/>
              <w:marBottom w:val="0"/>
              <w:divBdr>
                <w:top w:val="none" w:sz="0" w:space="0" w:color="auto"/>
                <w:left w:val="none" w:sz="0" w:space="0" w:color="auto"/>
                <w:bottom w:val="none" w:sz="0" w:space="0" w:color="auto"/>
                <w:right w:val="none" w:sz="0" w:space="0" w:color="auto"/>
              </w:divBdr>
            </w:div>
            <w:div w:id="1493445186">
              <w:marLeft w:val="0"/>
              <w:marRight w:val="0"/>
              <w:marTop w:val="0"/>
              <w:marBottom w:val="0"/>
              <w:divBdr>
                <w:top w:val="none" w:sz="0" w:space="0" w:color="auto"/>
                <w:left w:val="none" w:sz="0" w:space="0" w:color="auto"/>
                <w:bottom w:val="none" w:sz="0" w:space="0" w:color="auto"/>
                <w:right w:val="none" w:sz="0" w:space="0" w:color="auto"/>
              </w:divBdr>
            </w:div>
          </w:divsChild>
        </w:div>
        <w:div w:id="1325663460">
          <w:marLeft w:val="0"/>
          <w:marRight w:val="0"/>
          <w:marTop w:val="0"/>
          <w:marBottom w:val="0"/>
          <w:divBdr>
            <w:top w:val="none" w:sz="0" w:space="0" w:color="auto"/>
            <w:left w:val="none" w:sz="0" w:space="0" w:color="auto"/>
            <w:bottom w:val="none" w:sz="0" w:space="0" w:color="auto"/>
            <w:right w:val="none" w:sz="0" w:space="0" w:color="auto"/>
          </w:divBdr>
        </w:div>
        <w:div w:id="1357266046">
          <w:marLeft w:val="0"/>
          <w:marRight w:val="0"/>
          <w:marTop w:val="0"/>
          <w:marBottom w:val="0"/>
          <w:divBdr>
            <w:top w:val="none" w:sz="0" w:space="0" w:color="auto"/>
            <w:left w:val="none" w:sz="0" w:space="0" w:color="auto"/>
            <w:bottom w:val="none" w:sz="0" w:space="0" w:color="auto"/>
            <w:right w:val="none" w:sz="0" w:space="0" w:color="auto"/>
          </w:divBdr>
        </w:div>
        <w:div w:id="1365640652">
          <w:marLeft w:val="0"/>
          <w:marRight w:val="0"/>
          <w:marTop w:val="0"/>
          <w:marBottom w:val="0"/>
          <w:divBdr>
            <w:top w:val="none" w:sz="0" w:space="0" w:color="auto"/>
            <w:left w:val="none" w:sz="0" w:space="0" w:color="auto"/>
            <w:bottom w:val="none" w:sz="0" w:space="0" w:color="auto"/>
            <w:right w:val="none" w:sz="0" w:space="0" w:color="auto"/>
          </w:divBdr>
        </w:div>
        <w:div w:id="1396467082">
          <w:marLeft w:val="0"/>
          <w:marRight w:val="0"/>
          <w:marTop w:val="0"/>
          <w:marBottom w:val="0"/>
          <w:divBdr>
            <w:top w:val="none" w:sz="0" w:space="0" w:color="auto"/>
            <w:left w:val="none" w:sz="0" w:space="0" w:color="auto"/>
            <w:bottom w:val="none" w:sz="0" w:space="0" w:color="auto"/>
            <w:right w:val="none" w:sz="0" w:space="0" w:color="auto"/>
          </w:divBdr>
        </w:div>
        <w:div w:id="1399859307">
          <w:marLeft w:val="0"/>
          <w:marRight w:val="0"/>
          <w:marTop w:val="0"/>
          <w:marBottom w:val="0"/>
          <w:divBdr>
            <w:top w:val="none" w:sz="0" w:space="0" w:color="auto"/>
            <w:left w:val="none" w:sz="0" w:space="0" w:color="auto"/>
            <w:bottom w:val="none" w:sz="0" w:space="0" w:color="auto"/>
            <w:right w:val="none" w:sz="0" w:space="0" w:color="auto"/>
          </w:divBdr>
        </w:div>
        <w:div w:id="1403143032">
          <w:marLeft w:val="0"/>
          <w:marRight w:val="0"/>
          <w:marTop w:val="0"/>
          <w:marBottom w:val="0"/>
          <w:divBdr>
            <w:top w:val="none" w:sz="0" w:space="0" w:color="auto"/>
            <w:left w:val="none" w:sz="0" w:space="0" w:color="auto"/>
            <w:bottom w:val="none" w:sz="0" w:space="0" w:color="auto"/>
            <w:right w:val="none" w:sz="0" w:space="0" w:color="auto"/>
          </w:divBdr>
        </w:div>
        <w:div w:id="1408265510">
          <w:marLeft w:val="0"/>
          <w:marRight w:val="0"/>
          <w:marTop w:val="0"/>
          <w:marBottom w:val="0"/>
          <w:divBdr>
            <w:top w:val="none" w:sz="0" w:space="0" w:color="auto"/>
            <w:left w:val="none" w:sz="0" w:space="0" w:color="auto"/>
            <w:bottom w:val="none" w:sz="0" w:space="0" w:color="auto"/>
            <w:right w:val="none" w:sz="0" w:space="0" w:color="auto"/>
          </w:divBdr>
        </w:div>
        <w:div w:id="1416316296">
          <w:marLeft w:val="0"/>
          <w:marRight w:val="0"/>
          <w:marTop w:val="0"/>
          <w:marBottom w:val="0"/>
          <w:divBdr>
            <w:top w:val="none" w:sz="0" w:space="0" w:color="auto"/>
            <w:left w:val="none" w:sz="0" w:space="0" w:color="auto"/>
            <w:bottom w:val="none" w:sz="0" w:space="0" w:color="auto"/>
            <w:right w:val="none" w:sz="0" w:space="0" w:color="auto"/>
          </w:divBdr>
        </w:div>
        <w:div w:id="1423988543">
          <w:marLeft w:val="0"/>
          <w:marRight w:val="0"/>
          <w:marTop w:val="0"/>
          <w:marBottom w:val="0"/>
          <w:divBdr>
            <w:top w:val="none" w:sz="0" w:space="0" w:color="auto"/>
            <w:left w:val="none" w:sz="0" w:space="0" w:color="auto"/>
            <w:bottom w:val="none" w:sz="0" w:space="0" w:color="auto"/>
            <w:right w:val="none" w:sz="0" w:space="0" w:color="auto"/>
          </w:divBdr>
        </w:div>
        <w:div w:id="1430853006">
          <w:marLeft w:val="0"/>
          <w:marRight w:val="0"/>
          <w:marTop w:val="0"/>
          <w:marBottom w:val="0"/>
          <w:divBdr>
            <w:top w:val="none" w:sz="0" w:space="0" w:color="auto"/>
            <w:left w:val="none" w:sz="0" w:space="0" w:color="auto"/>
            <w:bottom w:val="none" w:sz="0" w:space="0" w:color="auto"/>
            <w:right w:val="none" w:sz="0" w:space="0" w:color="auto"/>
          </w:divBdr>
        </w:div>
        <w:div w:id="1440418140">
          <w:marLeft w:val="0"/>
          <w:marRight w:val="0"/>
          <w:marTop w:val="0"/>
          <w:marBottom w:val="0"/>
          <w:divBdr>
            <w:top w:val="none" w:sz="0" w:space="0" w:color="auto"/>
            <w:left w:val="none" w:sz="0" w:space="0" w:color="auto"/>
            <w:bottom w:val="none" w:sz="0" w:space="0" w:color="auto"/>
            <w:right w:val="none" w:sz="0" w:space="0" w:color="auto"/>
          </w:divBdr>
          <w:divsChild>
            <w:div w:id="953174340">
              <w:marLeft w:val="0"/>
              <w:marRight w:val="0"/>
              <w:marTop w:val="0"/>
              <w:marBottom w:val="0"/>
              <w:divBdr>
                <w:top w:val="none" w:sz="0" w:space="0" w:color="auto"/>
                <w:left w:val="none" w:sz="0" w:space="0" w:color="auto"/>
                <w:bottom w:val="none" w:sz="0" w:space="0" w:color="auto"/>
                <w:right w:val="none" w:sz="0" w:space="0" w:color="auto"/>
              </w:divBdr>
            </w:div>
            <w:div w:id="954100316">
              <w:marLeft w:val="0"/>
              <w:marRight w:val="0"/>
              <w:marTop w:val="0"/>
              <w:marBottom w:val="0"/>
              <w:divBdr>
                <w:top w:val="none" w:sz="0" w:space="0" w:color="auto"/>
                <w:left w:val="none" w:sz="0" w:space="0" w:color="auto"/>
                <w:bottom w:val="none" w:sz="0" w:space="0" w:color="auto"/>
                <w:right w:val="none" w:sz="0" w:space="0" w:color="auto"/>
              </w:divBdr>
            </w:div>
            <w:div w:id="1234438399">
              <w:marLeft w:val="0"/>
              <w:marRight w:val="0"/>
              <w:marTop w:val="0"/>
              <w:marBottom w:val="0"/>
              <w:divBdr>
                <w:top w:val="none" w:sz="0" w:space="0" w:color="auto"/>
                <w:left w:val="none" w:sz="0" w:space="0" w:color="auto"/>
                <w:bottom w:val="none" w:sz="0" w:space="0" w:color="auto"/>
                <w:right w:val="none" w:sz="0" w:space="0" w:color="auto"/>
              </w:divBdr>
            </w:div>
            <w:div w:id="1529641807">
              <w:marLeft w:val="0"/>
              <w:marRight w:val="0"/>
              <w:marTop w:val="0"/>
              <w:marBottom w:val="0"/>
              <w:divBdr>
                <w:top w:val="none" w:sz="0" w:space="0" w:color="auto"/>
                <w:left w:val="none" w:sz="0" w:space="0" w:color="auto"/>
                <w:bottom w:val="none" w:sz="0" w:space="0" w:color="auto"/>
                <w:right w:val="none" w:sz="0" w:space="0" w:color="auto"/>
              </w:divBdr>
            </w:div>
            <w:div w:id="1851871023">
              <w:marLeft w:val="0"/>
              <w:marRight w:val="0"/>
              <w:marTop w:val="0"/>
              <w:marBottom w:val="0"/>
              <w:divBdr>
                <w:top w:val="none" w:sz="0" w:space="0" w:color="auto"/>
                <w:left w:val="none" w:sz="0" w:space="0" w:color="auto"/>
                <w:bottom w:val="none" w:sz="0" w:space="0" w:color="auto"/>
                <w:right w:val="none" w:sz="0" w:space="0" w:color="auto"/>
              </w:divBdr>
            </w:div>
          </w:divsChild>
        </w:div>
        <w:div w:id="1442216243">
          <w:marLeft w:val="0"/>
          <w:marRight w:val="0"/>
          <w:marTop w:val="0"/>
          <w:marBottom w:val="0"/>
          <w:divBdr>
            <w:top w:val="none" w:sz="0" w:space="0" w:color="auto"/>
            <w:left w:val="none" w:sz="0" w:space="0" w:color="auto"/>
            <w:bottom w:val="none" w:sz="0" w:space="0" w:color="auto"/>
            <w:right w:val="none" w:sz="0" w:space="0" w:color="auto"/>
          </w:divBdr>
        </w:div>
        <w:div w:id="1469665274">
          <w:marLeft w:val="0"/>
          <w:marRight w:val="0"/>
          <w:marTop w:val="0"/>
          <w:marBottom w:val="0"/>
          <w:divBdr>
            <w:top w:val="none" w:sz="0" w:space="0" w:color="auto"/>
            <w:left w:val="none" w:sz="0" w:space="0" w:color="auto"/>
            <w:bottom w:val="none" w:sz="0" w:space="0" w:color="auto"/>
            <w:right w:val="none" w:sz="0" w:space="0" w:color="auto"/>
          </w:divBdr>
          <w:divsChild>
            <w:div w:id="586034970">
              <w:marLeft w:val="0"/>
              <w:marRight w:val="0"/>
              <w:marTop w:val="0"/>
              <w:marBottom w:val="0"/>
              <w:divBdr>
                <w:top w:val="none" w:sz="0" w:space="0" w:color="auto"/>
                <w:left w:val="none" w:sz="0" w:space="0" w:color="auto"/>
                <w:bottom w:val="none" w:sz="0" w:space="0" w:color="auto"/>
                <w:right w:val="none" w:sz="0" w:space="0" w:color="auto"/>
              </w:divBdr>
            </w:div>
            <w:div w:id="842401448">
              <w:marLeft w:val="0"/>
              <w:marRight w:val="0"/>
              <w:marTop w:val="0"/>
              <w:marBottom w:val="0"/>
              <w:divBdr>
                <w:top w:val="none" w:sz="0" w:space="0" w:color="auto"/>
                <w:left w:val="none" w:sz="0" w:space="0" w:color="auto"/>
                <w:bottom w:val="none" w:sz="0" w:space="0" w:color="auto"/>
                <w:right w:val="none" w:sz="0" w:space="0" w:color="auto"/>
              </w:divBdr>
            </w:div>
            <w:div w:id="1454517416">
              <w:marLeft w:val="0"/>
              <w:marRight w:val="0"/>
              <w:marTop w:val="0"/>
              <w:marBottom w:val="0"/>
              <w:divBdr>
                <w:top w:val="none" w:sz="0" w:space="0" w:color="auto"/>
                <w:left w:val="none" w:sz="0" w:space="0" w:color="auto"/>
                <w:bottom w:val="none" w:sz="0" w:space="0" w:color="auto"/>
                <w:right w:val="none" w:sz="0" w:space="0" w:color="auto"/>
              </w:divBdr>
            </w:div>
            <w:div w:id="1596472090">
              <w:marLeft w:val="0"/>
              <w:marRight w:val="0"/>
              <w:marTop w:val="0"/>
              <w:marBottom w:val="0"/>
              <w:divBdr>
                <w:top w:val="none" w:sz="0" w:space="0" w:color="auto"/>
                <w:left w:val="none" w:sz="0" w:space="0" w:color="auto"/>
                <w:bottom w:val="none" w:sz="0" w:space="0" w:color="auto"/>
                <w:right w:val="none" w:sz="0" w:space="0" w:color="auto"/>
              </w:divBdr>
            </w:div>
            <w:div w:id="1938908112">
              <w:marLeft w:val="0"/>
              <w:marRight w:val="0"/>
              <w:marTop w:val="0"/>
              <w:marBottom w:val="0"/>
              <w:divBdr>
                <w:top w:val="none" w:sz="0" w:space="0" w:color="auto"/>
                <w:left w:val="none" w:sz="0" w:space="0" w:color="auto"/>
                <w:bottom w:val="none" w:sz="0" w:space="0" w:color="auto"/>
                <w:right w:val="none" w:sz="0" w:space="0" w:color="auto"/>
              </w:divBdr>
            </w:div>
          </w:divsChild>
        </w:div>
        <w:div w:id="1478834929">
          <w:marLeft w:val="0"/>
          <w:marRight w:val="0"/>
          <w:marTop w:val="0"/>
          <w:marBottom w:val="0"/>
          <w:divBdr>
            <w:top w:val="none" w:sz="0" w:space="0" w:color="auto"/>
            <w:left w:val="none" w:sz="0" w:space="0" w:color="auto"/>
            <w:bottom w:val="none" w:sz="0" w:space="0" w:color="auto"/>
            <w:right w:val="none" w:sz="0" w:space="0" w:color="auto"/>
          </w:divBdr>
          <w:divsChild>
            <w:div w:id="457183015">
              <w:marLeft w:val="0"/>
              <w:marRight w:val="0"/>
              <w:marTop w:val="0"/>
              <w:marBottom w:val="0"/>
              <w:divBdr>
                <w:top w:val="none" w:sz="0" w:space="0" w:color="auto"/>
                <w:left w:val="none" w:sz="0" w:space="0" w:color="auto"/>
                <w:bottom w:val="none" w:sz="0" w:space="0" w:color="auto"/>
                <w:right w:val="none" w:sz="0" w:space="0" w:color="auto"/>
              </w:divBdr>
            </w:div>
            <w:div w:id="561988430">
              <w:marLeft w:val="0"/>
              <w:marRight w:val="0"/>
              <w:marTop w:val="0"/>
              <w:marBottom w:val="0"/>
              <w:divBdr>
                <w:top w:val="none" w:sz="0" w:space="0" w:color="auto"/>
                <w:left w:val="none" w:sz="0" w:space="0" w:color="auto"/>
                <w:bottom w:val="none" w:sz="0" w:space="0" w:color="auto"/>
                <w:right w:val="none" w:sz="0" w:space="0" w:color="auto"/>
              </w:divBdr>
            </w:div>
            <w:div w:id="1003777095">
              <w:marLeft w:val="0"/>
              <w:marRight w:val="0"/>
              <w:marTop w:val="0"/>
              <w:marBottom w:val="0"/>
              <w:divBdr>
                <w:top w:val="none" w:sz="0" w:space="0" w:color="auto"/>
                <w:left w:val="none" w:sz="0" w:space="0" w:color="auto"/>
                <w:bottom w:val="none" w:sz="0" w:space="0" w:color="auto"/>
                <w:right w:val="none" w:sz="0" w:space="0" w:color="auto"/>
              </w:divBdr>
            </w:div>
            <w:div w:id="1208184928">
              <w:marLeft w:val="0"/>
              <w:marRight w:val="0"/>
              <w:marTop w:val="0"/>
              <w:marBottom w:val="0"/>
              <w:divBdr>
                <w:top w:val="none" w:sz="0" w:space="0" w:color="auto"/>
                <w:left w:val="none" w:sz="0" w:space="0" w:color="auto"/>
                <w:bottom w:val="none" w:sz="0" w:space="0" w:color="auto"/>
                <w:right w:val="none" w:sz="0" w:space="0" w:color="auto"/>
              </w:divBdr>
            </w:div>
            <w:div w:id="1729376084">
              <w:marLeft w:val="0"/>
              <w:marRight w:val="0"/>
              <w:marTop w:val="0"/>
              <w:marBottom w:val="0"/>
              <w:divBdr>
                <w:top w:val="none" w:sz="0" w:space="0" w:color="auto"/>
                <w:left w:val="none" w:sz="0" w:space="0" w:color="auto"/>
                <w:bottom w:val="none" w:sz="0" w:space="0" w:color="auto"/>
                <w:right w:val="none" w:sz="0" w:space="0" w:color="auto"/>
              </w:divBdr>
            </w:div>
          </w:divsChild>
        </w:div>
        <w:div w:id="1509440703">
          <w:marLeft w:val="0"/>
          <w:marRight w:val="0"/>
          <w:marTop w:val="0"/>
          <w:marBottom w:val="0"/>
          <w:divBdr>
            <w:top w:val="none" w:sz="0" w:space="0" w:color="auto"/>
            <w:left w:val="none" w:sz="0" w:space="0" w:color="auto"/>
            <w:bottom w:val="none" w:sz="0" w:space="0" w:color="auto"/>
            <w:right w:val="none" w:sz="0" w:space="0" w:color="auto"/>
          </w:divBdr>
        </w:div>
        <w:div w:id="1525091444">
          <w:marLeft w:val="0"/>
          <w:marRight w:val="0"/>
          <w:marTop w:val="0"/>
          <w:marBottom w:val="0"/>
          <w:divBdr>
            <w:top w:val="none" w:sz="0" w:space="0" w:color="auto"/>
            <w:left w:val="none" w:sz="0" w:space="0" w:color="auto"/>
            <w:bottom w:val="none" w:sz="0" w:space="0" w:color="auto"/>
            <w:right w:val="none" w:sz="0" w:space="0" w:color="auto"/>
          </w:divBdr>
        </w:div>
        <w:div w:id="1546722540">
          <w:marLeft w:val="0"/>
          <w:marRight w:val="0"/>
          <w:marTop w:val="0"/>
          <w:marBottom w:val="0"/>
          <w:divBdr>
            <w:top w:val="none" w:sz="0" w:space="0" w:color="auto"/>
            <w:left w:val="none" w:sz="0" w:space="0" w:color="auto"/>
            <w:bottom w:val="none" w:sz="0" w:space="0" w:color="auto"/>
            <w:right w:val="none" w:sz="0" w:space="0" w:color="auto"/>
          </w:divBdr>
        </w:div>
        <w:div w:id="1567646539">
          <w:marLeft w:val="0"/>
          <w:marRight w:val="0"/>
          <w:marTop w:val="0"/>
          <w:marBottom w:val="0"/>
          <w:divBdr>
            <w:top w:val="none" w:sz="0" w:space="0" w:color="auto"/>
            <w:left w:val="none" w:sz="0" w:space="0" w:color="auto"/>
            <w:bottom w:val="none" w:sz="0" w:space="0" w:color="auto"/>
            <w:right w:val="none" w:sz="0" w:space="0" w:color="auto"/>
          </w:divBdr>
          <w:divsChild>
            <w:div w:id="363822948">
              <w:marLeft w:val="0"/>
              <w:marRight w:val="0"/>
              <w:marTop w:val="0"/>
              <w:marBottom w:val="0"/>
              <w:divBdr>
                <w:top w:val="none" w:sz="0" w:space="0" w:color="auto"/>
                <w:left w:val="none" w:sz="0" w:space="0" w:color="auto"/>
                <w:bottom w:val="none" w:sz="0" w:space="0" w:color="auto"/>
                <w:right w:val="none" w:sz="0" w:space="0" w:color="auto"/>
              </w:divBdr>
            </w:div>
            <w:div w:id="818152895">
              <w:marLeft w:val="0"/>
              <w:marRight w:val="0"/>
              <w:marTop w:val="0"/>
              <w:marBottom w:val="0"/>
              <w:divBdr>
                <w:top w:val="none" w:sz="0" w:space="0" w:color="auto"/>
                <w:left w:val="none" w:sz="0" w:space="0" w:color="auto"/>
                <w:bottom w:val="none" w:sz="0" w:space="0" w:color="auto"/>
                <w:right w:val="none" w:sz="0" w:space="0" w:color="auto"/>
              </w:divBdr>
            </w:div>
            <w:div w:id="1671593013">
              <w:marLeft w:val="0"/>
              <w:marRight w:val="0"/>
              <w:marTop w:val="0"/>
              <w:marBottom w:val="0"/>
              <w:divBdr>
                <w:top w:val="none" w:sz="0" w:space="0" w:color="auto"/>
                <w:left w:val="none" w:sz="0" w:space="0" w:color="auto"/>
                <w:bottom w:val="none" w:sz="0" w:space="0" w:color="auto"/>
                <w:right w:val="none" w:sz="0" w:space="0" w:color="auto"/>
              </w:divBdr>
            </w:div>
            <w:div w:id="2061512808">
              <w:marLeft w:val="0"/>
              <w:marRight w:val="0"/>
              <w:marTop w:val="0"/>
              <w:marBottom w:val="0"/>
              <w:divBdr>
                <w:top w:val="none" w:sz="0" w:space="0" w:color="auto"/>
                <w:left w:val="none" w:sz="0" w:space="0" w:color="auto"/>
                <w:bottom w:val="none" w:sz="0" w:space="0" w:color="auto"/>
                <w:right w:val="none" w:sz="0" w:space="0" w:color="auto"/>
              </w:divBdr>
            </w:div>
          </w:divsChild>
        </w:div>
        <w:div w:id="1578124452">
          <w:marLeft w:val="0"/>
          <w:marRight w:val="0"/>
          <w:marTop w:val="0"/>
          <w:marBottom w:val="0"/>
          <w:divBdr>
            <w:top w:val="none" w:sz="0" w:space="0" w:color="auto"/>
            <w:left w:val="none" w:sz="0" w:space="0" w:color="auto"/>
            <w:bottom w:val="none" w:sz="0" w:space="0" w:color="auto"/>
            <w:right w:val="none" w:sz="0" w:space="0" w:color="auto"/>
          </w:divBdr>
        </w:div>
        <w:div w:id="1578131966">
          <w:marLeft w:val="0"/>
          <w:marRight w:val="0"/>
          <w:marTop w:val="0"/>
          <w:marBottom w:val="0"/>
          <w:divBdr>
            <w:top w:val="none" w:sz="0" w:space="0" w:color="auto"/>
            <w:left w:val="none" w:sz="0" w:space="0" w:color="auto"/>
            <w:bottom w:val="none" w:sz="0" w:space="0" w:color="auto"/>
            <w:right w:val="none" w:sz="0" w:space="0" w:color="auto"/>
          </w:divBdr>
        </w:div>
        <w:div w:id="1583828894">
          <w:marLeft w:val="0"/>
          <w:marRight w:val="0"/>
          <w:marTop w:val="0"/>
          <w:marBottom w:val="0"/>
          <w:divBdr>
            <w:top w:val="none" w:sz="0" w:space="0" w:color="auto"/>
            <w:left w:val="none" w:sz="0" w:space="0" w:color="auto"/>
            <w:bottom w:val="none" w:sz="0" w:space="0" w:color="auto"/>
            <w:right w:val="none" w:sz="0" w:space="0" w:color="auto"/>
          </w:divBdr>
          <w:divsChild>
            <w:div w:id="1865904832">
              <w:marLeft w:val="-54"/>
              <w:marRight w:val="0"/>
              <w:marTop w:val="21"/>
              <w:marBottom w:val="21"/>
              <w:divBdr>
                <w:top w:val="none" w:sz="0" w:space="0" w:color="auto"/>
                <w:left w:val="none" w:sz="0" w:space="0" w:color="auto"/>
                <w:bottom w:val="none" w:sz="0" w:space="0" w:color="auto"/>
                <w:right w:val="none" w:sz="0" w:space="0" w:color="auto"/>
              </w:divBdr>
              <w:divsChild>
                <w:div w:id="43137101">
                  <w:marLeft w:val="0"/>
                  <w:marRight w:val="0"/>
                  <w:marTop w:val="0"/>
                  <w:marBottom w:val="0"/>
                  <w:divBdr>
                    <w:top w:val="none" w:sz="0" w:space="0" w:color="auto"/>
                    <w:left w:val="none" w:sz="0" w:space="0" w:color="auto"/>
                    <w:bottom w:val="none" w:sz="0" w:space="0" w:color="auto"/>
                    <w:right w:val="none" w:sz="0" w:space="0" w:color="auto"/>
                  </w:divBdr>
                  <w:divsChild>
                    <w:div w:id="1954902501">
                      <w:marLeft w:val="0"/>
                      <w:marRight w:val="0"/>
                      <w:marTop w:val="0"/>
                      <w:marBottom w:val="0"/>
                      <w:divBdr>
                        <w:top w:val="none" w:sz="0" w:space="0" w:color="auto"/>
                        <w:left w:val="none" w:sz="0" w:space="0" w:color="auto"/>
                        <w:bottom w:val="none" w:sz="0" w:space="0" w:color="auto"/>
                        <w:right w:val="none" w:sz="0" w:space="0" w:color="auto"/>
                      </w:divBdr>
                    </w:div>
                  </w:divsChild>
                </w:div>
                <w:div w:id="179661550">
                  <w:marLeft w:val="0"/>
                  <w:marRight w:val="0"/>
                  <w:marTop w:val="0"/>
                  <w:marBottom w:val="0"/>
                  <w:divBdr>
                    <w:top w:val="none" w:sz="0" w:space="0" w:color="auto"/>
                    <w:left w:val="none" w:sz="0" w:space="0" w:color="auto"/>
                    <w:bottom w:val="none" w:sz="0" w:space="0" w:color="auto"/>
                    <w:right w:val="none" w:sz="0" w:space="0" w:color="auto"/>
                  </w:divBdr>
                  <w:divsChild>
                    <w:div w:id="1665628576">
                      <w:marLeft w:val="0"/>
                      <w:marRight w:val="0"/>
                      <w:marTop w:val="0"/>
                      <w:marBottom w:val="0"/>
                      <w:divBdr>
                        <w:top w:val="none" w:sz="0" w:space="0" w:color="auto"/>
                        <w:left w:val="none" w:sz="0" w:space="0" w:color="auto"/>
                        <w:bottom w:val="none" w:sz="0" w:space="0" w:color="auto"/>
                        <w:right w:val="none" w:sz="0" w:space="0" w:color="auto"/>
                      </w:divBdr>
                    </w:div>
                  </w:divsChild>
                </w:div>
                <w:div w:id="317540964">
                  <w:marLeft w:val="0"/>
                  <w:marRight w:val="0"/>
                  <w:marTop w:val="0"/>
                  <w:marBottom w:val="0"/>
                  <w:divBdr>
                    <w:top w:val="none" w:sz="0" w:space="0" w:color="auto"/>
                    <w:left w:val="none" w:sz="0" w:space="0" w:color="auto"/>
                    <w:bottom w:val="none" w:sz="0" w:space="0" w:color="auto"/>
                    <w:right w:val="none" w:sz="0" w:space="0" w:color="auto"/>
                  </w:divBdr>
                  <w:divsChild>
                    <w:div w:id="199170427">
                      <w:marLeft w:val="0"/>
                      <w:marRight w:val="0"/>
                      <w:marTop w:val="0"/>
                      <w:marBottom w:val="0"/>
                      <w:divBdr>
                        <w:top w:val="none" w:sz="0" w:space="0" w:color="auto"/>
                        <w:left w:val="none" w:sz="0" w:space="0" w:color="auto"/>
                        <w:bottom w:val="none" w:sz="0" w:space="0" w:color="auto"/>
                        <w:right w:val="none" w:sz="0" w:space="0" w:color="auto"/>
                      </w:divBdr>
                    </w:div>
                  </w:divsChild>
                </w:div>
                <w:div w:id="346955239">
                  <w:marLeft w:val="0"/>
                  <w:marRight w:val="0"/>
                  <w:marTop w:val="0"/>
                  <w:marBottom w:val="0"/>
                  <w:divBdr>
                    <w:top w:val="none" w:sz="0" w:space="0" w:color="auto"/>
                    <w:left w:val="none" w:sz="0" w:space="0" w:color="auto"/>
                    <w:bottom w:val="none" w:sz="0" w:space="0" w:color="auto"/>
                    <w:right w:val="none" w:sz="0" w:space="0" w:color="auto"/>
                  </w:divBdr>
                  <w:divsChild>
                    <w:div w:id="1649437434">
                      <w:marLeft w:val="0"/>
                      <w:marRight w:val="0"/>
                      <w:marTop w:val="0"/>
                      <w:marBottom w:val="0"/>
                      <w:divBdr>
                        <w:top w:val="none" w:sz="0" w:space="0" w:color="auto"/>
                        <w:left w:val="none" w:sz="0" w:space="0" w:color="auto"/>
                        <w:bottom w:val="none" w:sz="0" w:space="0" w:color="auto"/>
                        <w:right w:val="none" w:sz="0" w:space="0" w:color="auto"/>
                      </w:divBdr>
                    </w:div>
                  </w:divsChild>
                </w:div>
                <w:div w:id="463621899">
                  <w:marLeft w:val="0"/>
                  <w:marRight w:val="0"/>
                  <w:marTop w:val="0"/>
                  <w:marBottom w:val="0"/>
                  <w:divBdr>
                    <w:top w:val="none" w:sz="0" w:space="0" w:color="auto"/>
                    <w:left w:val="none" w:sz="0" w:space="0" w:color="auto"/>
                    <w:bottom w:val="none" w:sz="0" w:space="0" w:color="auto"/>
                    <w:right w:val="none" w:sz="0" w:space="0" w:color="auto"/>
                  </w:divBdr>
                  <w:divsChild>
                    <w:div w:id="1988782872">
                      <w:marLeft w:val="0"/>
                      <w:marRight w:val="0"/>
                      <w:marTop w:val="0"/>
                      <w:marBottom w:val="0"/>
                      <w:divBdr>
                        <w:top w:val="none" w:sz="0" w:space="0" w:color="auto"/>
                        <w:left w:val="none" w:sz="0" w:space="0" w:color="auto"/>
                        <w:bottom w:val="none" w:sz="0" w:space="0" w:color="auto"/>
                        <w:right w:val="none" w:sz="0" w:space="0" w:color="auto"/>
                      </w:divBdr>
                    </w:div>
                  </w:divsChild>
                </w:div>
                <w:div w:id="486748391">
                  <w:marLeft w:val="0"/>
                  <w:marRight w:val="0"/>
                  <w:marTop w:val="0"/>
                  <w:marBottom w:val="0"/>
                  <w:divBdr>
                    <w:top w:val="none" w:sz="0" w:space="0" w:color="auto"/>
                    <w:left w:val="none" w:sz="0" w:space="0" w:color="auto"/>
                    <w:bottom w:val="none" w:sz="0" w:space="0" w:color="auto"/>
                    <w:right w:val="none" w:sz="0" w:space="0" w:color="auto"/>
                  </w:divBdr>
                  <w:divsChild>
                    <w:div w:id="965812941">
                      <w:marLeft w:val="0"/>
                      <w:marRight w:val="0"/>
                      <w:marTop w:val="0"/>
                      <w:marBottom w:val="0"/>
                      <w:divBdr>
                        <w:top w:val="none" w:sz="0" w:space="0" w:color="auto"/>
                        <w:left w:val="none" w:sz="0" w:space="0" w:color="auto"/>
                        <w:bottom w:val="none" w:sz="0" w:space="0" w:color="auto"/>
                        <w:right w:val="none" w:sz="0" w:space="0" w:color="auto"/>
                      </w:divBdr>
                    </w:div>
                  </w:divsChild>
                </w:div>
                <w:div w:id="512961768">
                  <w:marLeft w:val="0"/>
                  <w:marRight w:val="0"/>
                  <w:marTop w:val="0"/>
                  <w:marBottom w:val="0"/>
                  <w:divBdr>
                    <w:top w:val="none" w:sz="0" w:space="0" w:color="auto"/>
                    <w:left w:val="none" w:sz="0" w:space="0" w:color="auto"/>
                    <w:bottom w:val="none" w:sz="0" w:space="0" w:color="auto"/>
                    <w:right w:val="none" w:sz="0" w:space="0" w:color="auto"/>
                  </w:divBdr>
                  <w:divsChild>
                    <w:div w:id="126121893">
                      <w:marLeft w:val="0"/>
                      <w:marRight w:val="0"/>
                      <w:marTop w:val="0"/>
                      <w:marBottom w:val="0"/>
                      <w:divBdr>
                        <w:top w:val="none" w:sz="0" w:space="0" w:color="auto"/>
                        <w:left w:val="none" w:sz="0" w:space="0" w:color="auto"/>
                        <w:bottom w:val="none" w:sz="0" w:space="0" w:color="auto"/>
                        <w:right w:val="none" w:sz="0" w:space="0" w:color="auto"/>
                      </w:divBdr>
                    </w:div>
                  </w:divsChild>
                </w:div>
                <w:div w:id="638609008">
                  <w:marLeft w:val="0"/>
                  <w:marRight w:val="0"/>
                  <w:marTop w:val="0"/>
                  <w:marBottom w:val="0"/>
                  <w:divBdr>
                    <w:top w:val="none" w:sz="0" w:space="0" w:color="auto"/>
                    <w:left w:val="none" w:sz="0" w:space="0" w:color="auto"/>
                    <w:bottom w:val="none" w:sz="0" w:space="0" w:color="auto"/>
                    <w:right w:val="none" w:sz="0" w:space="0" w:color="auto"/>
                  </w:divBdr>
                  <w:divsChild>
                    <w:div w:id="1678577539">
                      <w:marLeft w:val="0"/>
                      <w:marRight w:val="0"/>
                      <w:marTop w:val="0"/>
                      <w:marBottom w:val="0"/>
                      <w:divBdr>
                        <w:top w:val="none" w:sz="0" w:space="0" w:color="auto"/>
                        <w:left w:val="none" w:sz="0" w:space="0" w:color="auto"/>
                        <w:bottom w:val="none" w:sz="0" w:space="0" w:color="auto"/>
                        <w:right w:val="none" w:sz="0" w:space="0" w:color="auto"/>
                      </w:divBdr>
                    </w:div>
                  </w:divsChild>
                </w:div>
                <w:div w:id="736786817">
                  <w:marLeft w:val="0"/>
                  <w:marRight w:val="0"/>
                  <w:marTop w:val="0"/>
                  <w:marBottom w:val="0"/>
                  <w:divBdr>
                    <w:top w:val="none" w:sz="0" w:space="0" w:color="auto"/>
                    <w:left w:val="none" w:sz="0" w:space="0" w:color="auto"/>
                    <w:bottom w:val="none" w:sz="0" w:space="0" w:color="auto"/>
                    <w:right w:val="none" w:sz="0" w:space="0" w:color="auto"/>
                  </w:divBdr>
                  <w:divsChild>
                    <w:div w:id="30304745">
                      <w:marLeft w:val="0"/>
                      <w:marRight w:val="0"/>
                      <w:marTop w:val="0"/>
                      <w:marBottom w:val="0"/>
                      <w:divBdr>
                        <w:top w:val="none" w:sz="0" w:space="0" w:color="auto"/>
                        <w:left w:val="none" w:sz="0" w:space="0" w:color="auto"/>
                        <w:bottom w:val="none" w:sz="0" w:space="0" w:color="auto"/>
                        <w:right w:val="none" w:sz="0" w:space="0" w:color="auto"/>
                      </w:divBdr>
                    </w:div>
                  </w:divsChild>
                </w:div>
                <w:div w:id="859006923">
                  <w:marLeft w:val="0"/>
                  <w:marRight w:val="0"/>
                  <w:marTop w:val="0"/>
                  <w:marBottom w:val="0"/>
                  <w:divBdr>
                    <w:top w:val="none" w:sz="0" w:space="0" w:color="auto"/>
                    <w:left w:val="none" w:sz="0" w:space="0" w:color="auto"/>
                    <w:bottom w:val="none" w:sz="0" w:space="0" w:color="auto"/>
                    <w:right w:val="none" w:sz="0" w:space="0" w:color="auto"/>
                  </w:divBdr>
                  <w:divsChild>
                    <w:div w:id="649482057">
                      <w:marLeft w:val="0"/>
                      <w:marRight w:val="0"/>
                      <w:marTop w:val="0"/>
                      <w:marBottom w:val="0"/>
                      <w:divBdr>
                        <w:top w:val="none" w:sz="0" w:space="0" w:color="auto"/>
                        <w:left w:val="none" w:sz="0" w:space="0" w:color="auto"/>
                        <w:bottom w:val="none" w:sz="0" w:space="0" w:color="auto"/>
                        <w:right w:val="none" w:sz="0" w:space="0" w:color="auto"/>
                      </w:divBdr>
                    </w:div>
                  </w:divsChild>
                </w:div>
                <w:div w:id="959579084">
                  <w:marLeft w:val="0"/>
                  <w:marRight w:val="0"/>
                  <w:marTop w:val="0"/>
                  <w:marBottom w:val="0"/>
                  <w:divBdr>
                    <w:top w:val="none" w:sz="0" w:space="0" w:color="auto"/>
                    <w:left w:val="none" w:sz="0" w:space="0" w:color="auto"/>
                    <w:bottom w:val="none" w:sz="0" w:space="0" w:color="auto"/>
                    <w:right w:val="none" w:sz="0" w:space="0" w:color="auto"/>
                  </w:divBdr>
                  <w:divsChild>
                    <w:div w:id="700545751">
                      <w:marLeft w:val="0"/>
                      <w:marRight w:val="0"/>
                      <w:marTop w:val="0"/>
                      <w:marBottom w:val="0"/>
                      <w:divBdr>
                        <w:top w:val="none" w:sz="0" w:space="0" w:color="auto"/>
                        <w:left w:val="none" w:sz="0" w:space="0" w:color="auto"/>
                        <w:bottom w:val="none" w:sz="0" w:space="0" w:color="auto"/>
                        <w:right w:val="none" w:sz="0" w:space="0" w:color="auto"/>
                      </w:divBdr>
                    </w:div>
                  </w:divsChild>
                </w:div>
                <w:div w:id="1066490849">
                  <w:marLeft w:val="0"/>
                  <w:marRight w:val="0"/>
                  <w:marTop w:val="0"/>
                  <w:marBottom w:val="0"/>
                  <w:divBdr>
                    <w:top w:val="none" w:sz="0" w:space="0" w:color="auto"/>
                    <w:left w:val="none" w:sz="0" w:space="0" w:color="auto"/>
                    <w:bottom w:val="none" w:sz="0" w:space="0" w:color="auto"/>
                    <w:right w:val="none" w:sz="0" w:space="0" w:color="auto"/>
                  </w:divBdr>
                  <w:divsChild>
                    <w:div w:id="166865024">
                      <w:marLeft w:val="0"/>
                      <w:marRight w:val="0"/>
                      <w:marTop w:val="0"/>
                      <w:marBottom w:val="0"/>
                      <w:divBdr>
                        <w:top w:val="none" w:sz="0" w:space="0" w:color="auto"/>
                        <w:left w:val="none" w:sz="0" w:space="0" w:color="auto"/>
                        <w:bottom w:val="none" w:sz="0" w:space="0" w:color="auto"/>
                        <w:right w:val="none" w:sz="0" w:space="0" w:color="auto"/>
                      </w:divBdr>
                    </w:div>
                  </w:divsChild>
                </w:div>
                <w:div w:id="1072850111">
                  <w:marLeft w:val="0"/>
                  <w:marRight w:val="0"/>
                  <w:marTop w:val="0"/>
                  <w:marBottom w:val="0"/>
                  <w:divBdr>
                    <w:top w:val="none" w:sz="0" w:space="0" w:color="auto"/>
                    <w:left w:val="none" w:sz="0" w:space="0" w:color="auto"/>
                    <w:bottom w:val="none" w:sz="0" w:space="0" w:color="auto"/>
                    <w:right w:val="none" w:sz="0" w:space="0" w:color="auto"/>
                  </w:divBdr>
                  <w:divsChild>
                    <w:div w:id="1504392414">
                      <w:marLeft w:val="0"/>
                      <w:marRight w:val="0"/>
                      <w:marTop w:val="0"/>
                      <w:marBottom w:val="0"/>
                      <w:divBdr>
                        <w:top w:val="none" w:sz="0" w:space="0" w:color="auto"/>
                        <w:left w:val="none" w:sz="0" w:space="0" w:color="auto"/>
                        <w:bottom w:val="none" w:sz="0" w:space="0" w:color="auto"/>
                        <w:right w:val="none" w:sz="0" w:space="0" w:color="auto"/>
                      </w:divBdr>
                    </w:div>
                  </w:divsChild>
                </w:div>
                <w:div w:id="1121455972">
                  <w:marLeft w:val="0"/>
                  <w:marRight w:val="0"/>
                  <w:marTop w:val="0"/>
                  <w:marBottom w:val="0"/>
                  <w:divBdr>
                    <w:top w:val="none" w:sz="0" w:space="0" w:color="auto"/>
                    <w:left w:val="none" w:sz="0" w:space="0" w:color="auto"/>
                    <w:bottom w:val="none" w:sz="0" w:space="0" w:color="auto"/>
                    <w:right w:val="none" w:sz="0" w:space="0" w:color="auto"/>
                  </w:divBdr>
                  <w:divsChild>
                    <w:div w:id="964115692">
                      <w:marLeft w:val="0"/>
                      <w:marRight w:val="0"/>
                      <w:marTop w:val="0"/>
                      <w:marBottom w:val="0"/>
                      <w:divBdr>
                        <w:top w:val="none" w:sz="0" w:space="0" w:color="auto"/>
                        <w:left w:val="none" w:sz="0" w:space="0" w:color="auto"/>
                        <w:bottom w:val="none" w:sz="0" w:space="0" w:color="auto"/>
                        <w:right w:val="none" w:sz="0" w:space="0" w:color="auto"/>
                      </w:divBdr>
                    </w:div>
                  </w:divsChild>
                </w:div>
                <w:div w:id="1172332307">
                  <w:marLeft w:val="0"/>
                  <w:marRight w:val="0"/>
                  <w:marTop w:val="0"/>
                  <w:marBottom w:val="0"/>
                  <w:divBdr>
                    <w:top w:val="none" w:sz="0" w:space="0" w:color="auto"/>
                    <w:left w:val="none" w:sz="0" w:space="0" w:color="auto"/>
                    <w:bottom w:val="none" w:sz="0" w:space="0" w:color="auto"/>
                    <w:right w:val="none" w:sz="0" w:space="0" w:color="auto"/>
                  </w:divBdr>
                  <w:divsChild>
                    <w:div w:id="678316075">
                      <w:marLeft w:val="0"/>
                      <w:marRight w:val="0"/>
                      <w:marTop w:val="0"/>
                      <w:marBottom w:val="0"/>
                      <w:divBdr>
                        <w:top w:val="none" w:sz="0" w:space="0" w:color="auto"/>
                        <w:left w:val="none" w:sz="0" w:space="0" w:color="auto"/>
                        <w:bottom w:val="none" w:sz="0" w:space="0" w:color="auto"/>
                        <w:right w:val="none" w:sz="0" w:space="0" w:color="auto"/>
                      </w:divBdr>
                    </w:div>
                  </w:divsChild>
                </w:div>
                <w:div w:id="1336766979">
                  <w:marLeft w:val="0"/>
                  <w:marRight w:val="0"/>
                  <w:marTop w:val="0"/>
                  <w:marBottom w:val="0"/>
                  <w:divBdr>
                    <w:top w:val="none" w:sz="0" w:space="0" w:color="auto"/>
                    <w:left w:val="none" w:sz="0" w:space="0" w:color="auto"/>
                    <w:bottom w:val="none" w:sz="0" w:space="0" w:color="auto"/>
                    <w:right w:val="none" w:sz="0" w:space="0" w:color="auto"/>
                  </w:divBdr>
                  <w:divsChild>
                    <w:div w:id="1574005426">
                      <w:marLeft w:val="0"/>
                      <w:marRight w:val="0"/>
                      <w:marTop w:val="0"/>
                      <w:marBottom w:val="0"/>
                      <w:divBdr>
                        <w:top w:val="none" w:sz="0" w:space="0" w:color="auto"/>
                        <w:left w:val="none" w:sz="0" w:space="0" w:color="auto"/>
                        <w:bottom w:val="none" w:sz="0" w:space="0" w:color="auto"/>
                        <w:right w:val="none" w:sz="0" w:space="0" w:color="auto"/>
                      </w:divBdr>
                    </w:div>
                  </w:divsChild>
                </w:div>
                <w:div w:id="1375424235">
                  <w:marLeft w:val="0"/>
                  <w:marRight w:val="0"/>
                  <w:marTop w:val="0"/>
                  <w:marBottom w:val="0"/>
                  <w:divBdr>
                    <w:top w:val="none" w:sz="0" w:space="0" w:color="auto"/>
                    <w:left w:val="none" w:sz="0" w:space="0" w:color="auto"/>
                    <w:bottom w:val="none" w:sz="0" w:space="0" w:color="auto"/>
                    <w:right w:val="none" w:sz="0" w:space="0" w:color="auto"/>
                  </w:divBdr>
                  <w:divsChild>
                    <w:div w:id="229074106">
                      <w:marLeft w:val="0"/>
                      <w:marRight w:val="0"/>
                      <w:marTop w:val="0"/>
                      <w:marBottom w:val="0"/>
                      <w:divBdr>
                        <w:top w:val="none" w:sz="0" w:space="0" w:color="auto"/>
                        <w:left w:val="none" w:sz="0" w:space="0" w:color="auto"/>
                        <w:bottom w:val="none" w:sz="0" w:space="0" w:color="auto"/>
                        <w:right w:val="none" w:sz="0" w:space="0" w:color="auto"/>
                      </w:divBdr>
                    </w:div>
                  </w:divsChild>
                </w:div>
                <w:div w:id="1466503662">
                  <w:marLeft w:val="0"/>
                  <w:marRight w:val="0"/>
                  <w:marTop w:val="0"/>
                  <w:marBottom w:val="0"/>
                  <w:divBdr>
                    <w:top w:val="none" w:sz="0" w:space="0" w:color="auto"/>
                    <w:left w:val="none" w:sz="0" w:space="0" w:color="auto"/>
                    <w:bottom w:val="none" w:sz="0" w:space="0" w:color="auto"/>
                    <w:right w:val="none" w:sz="0" w:space="0" w:color="auto"/>
                  </w:divBdr>
                  <w:divsChild>
                    <w:div w:id="1275019054">
                      <w:marLeft w:val="0"/>
                      <w:marRight w:val="0"/>
                      <w:marTop w:val="0"/>
                      <w:marBottom w:val="0"/>
                      <w:divBdr>
                        <w:top w:val="none" w:sz="0" w:space="0" w:color="auto"/>
                        <w:left w:val="none" w:sz="0" w:space="0" w:color="auto"/>
                        <w:bottom w:val="none" w:sz="0" w:space="0" w:color="auto"/>
                        <w:right w:val="none" w:sz="0" w:space="0" w:color="auto"/>
                      </w:divBdr>
                    </w:div>
                  </w:divsChild>
                </w:div>
                <w:div w:id="1499732754">
                  <w:marLeft w:val="0"/>
                  <w:marRight w:val="0"/>
                  <w:marTop w:val="0"/>
                  <w:marBottom w:val="0"/>
                  <w:divBdr>
                    <w:top w:val="none" w:sz="0" w:space="0" w:color="auto"/>
                    <w:left w:val="none" w:sz="0" w:space="0" w:color="auto"/>
                    <w:bottom w:val="none" w:sz="0" w:space="0" w:color="auto"/>
                    <w:right w:val="none" w:sz="0" w:space="0" w:color="auto"/>
                  </w:divBdr>
                  <w:divsChild>
                    <w:div w:id="104279549">
                      <w:marLeft w:val="0"/>
                      <w:marRight w:val="0"/>
                      <w:marTop w:val="0"/>
                      <w:marBottom w:val="0"/>
                      <w:divBdr>
                        <w:top w:val="none" w:sz="0" w:space="0" w:color="auto"/>
                        <w:left w:val="none" w:sz="0" w:space="0" w:color="auto"/>
                        <w:bottom w:val="none" w:sz="0" w:space="0" w:color="auto"/>
                        <w:right w:val="none" w:sz="0" w:space="0" w:color="auto"/>
                      </w:divBdr>
                    </w:div>
                  </w:divsChild>
                </w:div>
                <w:div w:id="1517767209">
                  <w:marLeft w:val="0"/>
                  <w:marRight w:val="0"/>
                  <w:marTop w:val="0"/>
                  <w:marBottom w:val="0"/>
                  <w:divBdr>
                    <w:top w:val="none" w:sz="0" w:space="0" w:color="auto"/>
                    <w:left w:val="none" w:sz="0" w:space="0" w:color="auto"/>
                    <w:bottom w:val="none" w:sz="0" w:space="0" w:color="auto"/>
                    <w:right w:val="none" w:sz="0" w:space="0" w:color="auto"/>
                  </w:divBdr>
                  <w:divsChild>
                    <w:div w:id="2037851294">
                      <w:marLeft w:val="0"/>
                      <w:marRight w:val="0"/>
                      <w:marTop w:val="0"/>
                      <w:marBottom w:val="0"/>
                      <w:divBdr>
                        <w:top w:val="none" w:sz="0" w:space="0" w:color="auto"/>
                        <w:left w:val="none" w:sz="0" w:space="0" w:color="auto"/>
                        <w:bottom w:val="none" w:sz="0" w:space="0" w:color="auto"/>
                        <w:right w:val="none" w:sz="0" w:space="0" w:color="auto"/>
                      </w:divBdr>
                    </w:div>
                  </w:divsChild>
                </w:div>
                <w:div w:id="1534807989">
                  <w:marLeft w:val="0"/>
                  <w:marRight w:val="0"/>
                  <w:marTop w:val="0"/>
                  <w:marBottom w:val="0"/>
                  <w:divBdr>
                    <w:top w:val="none" w:sz="0" w:space="0" w:color="auto"/>
                    <w:left w:val="none" w:sz="0" w:space="0" w:color="auto"/>
                    <w:bottom w:val="none" w:sz="0" w:space="0" w:color="auto"/>
                    <w:right w:val="none" w:sz="0" w:space="0" w:color="auto"/>
                  </w:divBdr>
                  <w:divsChild>
                    <w:div w:id="77599454">
                      <w:marLeft w:val="0"/>
                      <w:marRight w:val="0"/>
                      <w:marTop w:val="0"/>
                      <w:marBottom w:val="0"/>
                      <w:divBdr>
                        <w:top w:val="none" w:sz="0" w:space="0" w:color="auto"/>
                        <w:left w:val="none" w:sz="0" w:space="0" w:color="auto"/>
                        <w:bottom w:val="none" w:sz="0" w:space="0" w:color="auto"/>
                        <w:right w:val="none" w:sz="0" w:space="0" w:color="auto"/>
                      </w:divBdr>
                    </w:div>
                  </w:divsChild>
                </w:div>
                <w:div w:id="1577478361">
                  <w:marLeft w:val="0"/>
                  <w:marRight w:val="0"/>
                  <w:marTop w:val="0"/>
                  <w:marBottom w:val="0"/>
                  <w:divBdr>
                    <w:top w:val="none" w:sz="0" w:space="0" w:color="auto"/>
                    <w:left w:val="none" w:sz="0" w:space="0" w:color="auto"/>
                    <w:bottom w:val="none" w:sz="0" w:space="0" w:color="auto"/>
                    <w:right w:val="none" w:sz="0" w:space="0" w:color="auto"/>
                  </w:divBdr>
                  <w:divsChild>
                    <w:div w:id="2034266226">
                      <w:marLeft w:val="0"/>
                      <w:marRight w:val="0"/>
                      <w:marTop w:val="0"/>
                      <w:marBottom w:val="0"/>
                      <w:divBdr>
                        <w:top w:val="none" w:sz="0" w:space="0" w:color="auto"/>
                        <w:left w:val="none" w:sz="0" w:space="0" w:color="auto"/>
                        <w:bottom w:val="none" w:sz="0" w:space="0" w:color="auto"/>
                        <w:right w:val="none" w:sz="0" w:space="0" w:color="auto"/>
                      </w:divBdr>
                    </w:div>
                  </w:divsChild>
                </w:div>
                <w:div w:id="1747725196">
                  <w:marLeft w:val="0"/>
                  <w:marRight w:val="0"/>
                  <w:marTop w:val="0"/>
                  <w:marBottom w:val="0"/>
                  <w:divBdr>
                    <w:top w:val="none" w:sz="0" w:space="0" w:color="auto"/>
                    <w:left w:val="none" w:sz="0" w:space="0" w:color="auto"/>
                    <w:bottom w:val="none" w:sz="0" w:space="0" w:color="auto"/>
                    <w:right w:val="none" w:sz="0" w:space="0" w:color="auto"/>
                  </w:divBdr>
                  <w:divsChild>
                    <w:div w:id="2011133172">
                      <w:marLeft w:val="0"/>
                      <w:marRight w:val="0"/>
                      <w:marTop w:val="0"/>
                      <w:marBottom w:val="0"/>
                      <w:divBdr>
                        <w:top w:val="none" w:sz="0" w:space="0" w:color="auto"/>
                        <w:left w:val="none" w:sz="0" w:space="0" w:color="auto"/>
                        <w:bottom w:val="none" w:sz="0" w:space="0" w:color="auto"/>
                        <w:right w:val="none" w:sz="0" w:space="0" w:color="auto"/>
                      </w:divBdr>
                    </w:div>
                  </w:divsChild>
                </w:div>
                <w:div w:id="1828203622">
                  <w:marLeft w:val="0"/>
                  <w:marRight w:val="0"/>
                  <w:marTop w:val="0"/>
                  <w:marBottom w:val="0"/>
                  <w:divBdr>
                    <w:top w:val="none" w:sz="0" w:space="0" w:color="auto"/>
                    <w:left w:val="none" w:sz="0" w:space="0" w:color="auto"/>
                    <w:bottom w:val="none" w:sz="0" w:space="0" w:color="auto"/>
                    <w:right w:val="none" w:sz="0" w:space="0" w:color="auto"/>
                  </w:divBdr>
                  <w:divsChild>
                    <w:div w:id="641810196">
                      <w:marLeft w:val="0"/>
                      <w:marRight w:val="0"/>
                      <w:marTop w:val="0"/>
                      <w:marBottom w:val="0"/>
                      <w:divBdr>
                        <w:top w:val="none" w:sz="0" w:space="0" w:color="auto"/>
                        <w:left w:val="none" w:sz="0" w:space="0" w:color="auto"/>
                        <w:bottom w:val="none" w:sz="0" w:space="0" w:color="auto"/>
                        <w:right w:val="none" w:sz="0" w:space="0" w:color="auto"/>
                      </w:divBdr>
                    </w:div>
                  </w:divsChild>
                </w:div>
                <w:div w:id="1835145573">
                  <w:marLeft w:val="0"/>
                  <w:marRight w:val="0"/>
                  <w:marTop w:val="0"/>
                  <w:marBottom w:val="0"/>
                  <w:divBdr>
                    <w:top w:val="none" w:sz="0" w:space="0" w:color="auto"/>
                    <w:left w:val="none" w:sz="0" w:space="0" w:color="auto"/>
                    <w:bottom w:val="none" w:sz="0" w:space="0" w:color="auto"/>
                    <w:right w:val="none" w:sz="0" w:space="0" w:color="auto"/>
                  </w:divBdr>
                  <w:divsChild>
                    <w:div w:id="1844511814">
                      <w:marLeft w:val="0"/>
                      <w:marRight w:val="0"/>
                      <w:marTop w:val="0"/>
                      <w:marBottom w:val="0"/>
                      <w:divBdr>
                        <w:top w:val="none" w:sz="0" w:space="0" w:color="auto"/>
                        <w:left w:val="none" w:sz="0" w:space="0" w:color="auto"/>
                        <w:bottom w:val="none" w:sz="0" w:space="0" w:color="auto"/>
                        <w:right w:val="none" w:sz="0" w:space="0" w:color="auto"/>
                      </w:divBdr>
                    </w:div>
                  </w:divsChild>
                </w:div>
                <w:div w:id="1864397595">
                  <w:marLeft w:val="0"/>
                  <w:marRight w:val="0"/>
                  <w:marTop w:val="0"/>
                  <w:marBottom w:val="0"/>
                  <w:divBdr>
                    <w:top w:val="none" w:sz="0" w:space="0" w:color="auto"/>
                    <w:left w:val="none" w:sz="0" w:space="0" w:color="auto"/>
                    <w:bottom w:val="none" w:sz="0" w:space="0" w:color="auto"/>
                    <w:right w:val="none" w:sz="0" w:space="0" w:color="auto"/>
                  </w:divBdr>
                  <w:divsChild>
                    <w:div w:id="762798793">
                      <w:marLeft w:val="0"/>
                      <w:marRight w:val="0"/>
                      <w:marTop w:val="0"/>
                      <w:marBottom w:val="0"/>
                      <w:divBdr>
                        <w:top w:val="none" w:sz="0" w:space="0" w:color="auto"/>
                        <w:left w:val="none" w:sz="0" w:space="0" w:color="auto"/>
                        <w:bottom w:val="none" w:sz="0" w:space="0" w:color="auto"/>
                        <w:right w:val="none" w:sz="0" w:space="0" w:color="auto"/>
                      </w:divBdr>
                    </w:div>
                  </w:divsChild>
                </w:div>
                <w:div w:id="1920749879">
                  <w:marLeft w:val="0"/>
                  <w:marRight w:val="0"/>
                  <w:marTop w:val="0"/>
                  <w:marBottom w:val="0"/>
                  <w:divBdr>
                    <w:top w:val="none" w:sz="0" w:space="0" w:color="auto"/>
                    <w:left w:val="none" w:sz="0" w:space="0" w:color="auto"/>
                    <w:bottom w:val="none" w:sz="0" w:space="0" w:color="auto"/>
                    <w:right w:val="none" w:sz="0" w:space="0" w:color="auto"/>
                  </w:divBdr>
                  <w:divsChild>
                    <w:div w:id="3160388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7664253">
          <w:marLeft w:val="0"/>
          <w:marRight w:val="0"/>
          <w:marTop w:val="0"/>
          <w:marBottom w:val="0"/>
          <w:divBdr>
            <w:top w:val="none" w:sz="0" w:space="0" w:color="auto"/>
            <w:left w:val="none" w:sz="0" w:space="0" w:color="auto"/>
            <w:bottom w:val="none" w:sz="0" w:space="0" w:color="auto"/>
            <w:right w:val="none" w:sz="0" w:space="0" w:color="auto"/>
          </w:divBdr>
        </w:div>
        <w:div w:id="1650597263">
          <w:marLeft w:val="0"/>
          <w:marRight w:val="0"/>
          <w:marTop w:val="0"/>
          <w:marBottom w:val="0"/>
          <w:divBdr>
            <w:top w:val="none" w:sz="0" w:space="0" w:color="auto"/>
            <w:left w:val="none" w:sz="0" w:space="0" w:color="auto"/>
            <w:bottom w:val="none" w:sz="0" w:space="0" w:color="auto"/>
            <w:right w:val="none" w:sz="0" w:space="0" w:color="auto"/>
          </w:divBdr>
        </w:div>
        <w:div w:id="1688826942">
          <w:marLeft w:val="0"/>
          <w:marRight w:val="0"/>
          <w:marTop w:val="0"/>
          <w:marBottom w:val="0"/>
          <w:divBdr>
            <w:top w:val="none" w:sz="0" w:space="0" w:color="auto"/>
            <w:left w:val="none" w:sz="0" w:space="0" w:color="auto"/>
            <w:bottom w:val="none" w:sz="0" w:space="0" w:color="auto"/>
            <w:right w:val="none" w:sz="0" w:space="0" w:color="auto"/>
          </w:divBdr>
        </w:div>
        <w:div w:id="1696540084">
          <w:marLeft w:val="0"/>
          <w:marRight w:val="0"/>
          <w:marTop w:val="0"/>
          <w:marBottom w:val="0"/>
          <w:divBdr>
            <w:top w:val="none" w:sz="0" w:space="0" w:color="auto"/>
            <w:left w:val="none" w:sz="0" w:space="0" w:color="auto"/>
            <w:bottom w:val="none" w:sz="0" w:space="0" w:color="auto"/>
            <w:right w:val="none" w:sz="0" w:space="0" w:color="auto"/>
          </w:divBdr>
        </w:div>
        <w:div w:id="1711759839">
          <w:marLeft w:val="0"/>
          <w:marRight w:val="0"/>
          <w:marTop w:val="0"/>
          <w:marBottom w:val="0"/>
          <w:divBdr>
            <w:top w:val="none" w:sz="0" w:space="0" w:color="auto"/>
            <w:left w:val="none" w:sz="0" w:space="0" w:color="auto"/>
            <w:bottom w:val="none" w:sz="0" w:space="0" w:color="auto"/>
            <w:right w:val="none" w:sz="0" w:space="0" w:color="auto"/>
          </w:divBdr>
        </w:div>
        <w:div w:id="1729108338">
          <w:marLeft w:val="0"/>
          <w:marRight w:val="0"/>
          <w:marTop w:val="0"/>
          <w:marBottom w:val="0"/>
          <w:divBdr>
            <w:top w:val="none" w:sz="0" w:space="0" w:color="auto"/>
            <w:left w:val="none" w:sz="0" w:space="0" w:color="auto"/>
            <w:bottom w:val="none" w:sz="0" w:space="0" w:color="auto"/>
            <w:right w:val="none" w:sz="0" w:space="0" w:color="auto"/>
          </w:divBdr>
        </w:div>
        <w:div w:id="1741557119">
          <w:marLeft w:val="0"/>
          <w:marRight w:val="0"/>
          <w:marTop w:val="0"/>
          <w:marBottom w:val="0"/>
          <w:divBdr>
            <w:top w:val="none" w:sz="0" w:space="0" w:color="auto"/>
            <w:left w:val="none" w:sz="0" w:space="0" w:color="auto"/>
            <w:bottom w:val="none" w:sz="0" w:space="0" w:color="auto"/>
            <w:right w:val="none" w:sz="0" w:space="0" w:color="auto"/>
          </w:divBdr>
          <w:divsChild>
            <w:div w:id="43648310">
              <w:marLeft w:val="0"/>
              <w:marRight w:val="0"/>
              <w:marTop w:val="0"/>
              <w:marBottom w:val="0"/>
              <w:divBdr>
                <w:top w:val="none" w:sz="0" w:space="0" w:color="auto"/>
                <w:left w:val="none" w:sz="0" w:space="0" w:color="auto"/>
                <w:bottom w:val="none" w:sz="0" w:space="0" w:color="auto"/>
                <w:right w:val="none" w:sz="0" w:space="0" w:color="auto"/>
              </w:divBdr>
            </w:div>
            <w:div w:id="606622837">
              <w:marLeft w:val="0"/>
              <w:marRight w:val="0"/>
              <w:marTop w:val="0"/>
              <w:marBottom w:val="0"/>
              <w:divBdr>
                <w:top w:val="none" w:sz="0" w:space="0" w:color="auto"/>
                <w:left w:val="none" w:sz="0" w:space="0" w:color="auto"/>
                <w:bottom w:val="none" w:sz="0" w:space="0" w:color="auto"/>
                <w:right w:val="none" w:sz="0" w:space="0" w:color="auto"/>
              </w:divBdr>
            </w:div>
            <w:div w:id="900559857">
              <w:marLeft w:val="0"/>
              <w:marRight w:val="0"/>
              <w:marTop w:val="0"/>
              <w:marBottom w:val="0"/>
              <w:divBdr>
                <w:top w:val="none" w:sz="0" w:space="0" w:color="auto"/>
                <w:left w:val="none" w:sz="0" w:space="0" w:color="auto"/>
                <w:bottom w:val="none" w:sz="0" w:space="0" w:color="auto"/>
                <w:right w:val="none" w:sz="0" w:space="0" w:color="auto"/>
              </w:divBdr>
            </w:div>
            <w:div w:id="1825852677">
              <w:marLeft w:val="0"/>
              <w:marRight w:val="0"/>
              <w:marTop w:val="0"/>
              <w:marBottom w:val="0"/>
              <w:divBdr>
                <w:top w:val="none" w:sz="0" w:space="0" w:color="auto"/>
                <w:left w:val="none" w:sz="0" w:space="0" w:color="auto"/>
                <w:bottom w:val="none" w:sz="0" w:space="0" w:color="auto"/>
                <w:right w:val="none" w:sz="0" w:space="0" w:color="auto"/>
              </w:divBdr>
            </w:div>
          </w:divsChild>
        </w:div>
        <w:div w:id="1761288587">
          <w:marLeft w:val="0"/>
          <w:marRight w:val="0"/>
          <w:marTop w:val="0"/>
          <w:marBottom w:val="0"/>
          <w:divBdr>
            <w:top w:val="none" w:sz="0" w:space="0" w:color="auto"/>
            <w:left w:val="none" w:sz="0" w:space="0" w:color="auto"/>
            <w:bottom w:val="none" w:sz="0" w:space="0" w:color="auto"/>
            <w:right w:val="none" w:sz="0" w:space="0" w:color="auto"/>
          </w:divBdr>
        </w:div>
        <w:div w:id="1767848215">
          <w:marLeft w:val="0"/>
          <w:marRight w:val="0"/>
          <w:marTop w:val="0"/>
          <w:marBottom w:val="0"/>
          <w:divBdr>
            <w:top w:val="none" w:sz="0" w:space="0" w:color="auto"/>
            <w:left w:val="none" w:sz="0" w:space="0" w:color="auto"/>
            <w:bottom w:val="none" w:sz="0" w:space="0" w:color="auto"/>
            <w:right w:val="none" w:sz="0" w:space="0" w:color="auto"/>
          </w:divBdr>
        </w:div>
        <w:div w:id="1797676885">
          <w:marLeft w:val="0"/>
          <w:marRight w:val="0"/>
          <w:marTop w:val="0"/>
          <w:marBottom w:val="0"/>
          <w:divBdr>
            <w:top w:val="none" w:sz="0" w:space="0" w:color="auto"/>
            <w:left w:val="none" w:sz="0" w:space="0" w:color="auto"/>
            <w:bottom w:val="none" w:sz="0" w:space="0" w:color="auto"/>
            <w:right w:val="none" w:sz="0" w:space="0" w:color="auto"/>
          </w:divBdr>
        </w:div>
        <w:div w:id="1797872274">
          <w:marLeft w:val="0"/>
          <w:marRight w:val="0"/>
          <w:marTop w:val="0"/>
          <w:marBottom w:val="0"/>
          <w:divBdr>
            <w:top w:val="none" w:sz="0" w:space="0" w:color="auto"/>
            <w:left w:val="none" w:sz="0" w:space="0" w:color="auto"/>
            <w:bottom w:val="none" w:sz="0" w:space="0" w:color="auto"/>
            <w:right w:val="none" w:sz="0" w:space="0" w:color="auto"/>
          </w:divBdr>
        </w:div>
        <w:div w:id="1808664178">
          <w:marLeft w:val="0"/>
          <w:marRight w:val="0"/>
          <w:marTop w:val="0"/>
          <w:marBottom w:val="0"/>
          <w:divBdr>
            <w:top w:val="none" w:sz="0" w:space="0" w:color="auto"/>
            <w:left w:val="none" w:sz="0" w:space="0" w:color="auto"/>
            <w:bottom w:val="none" w:sz="0" w:space="0" w:color="auto"/>
            <w:right w:val="none" w:sz="0" w:space="0" w:color="auto"/>
          </w:divBdr>
        </w:div>
        <w:div w:id="1831210061">
          <w:marLeft w:val="0"/>
          <w:marRight w:val="0"/>
          <w:marTop w:val="0"/>
          <w:marBottom w:val="0"/>
          <w:divBdr>
            <w:top w:val="none" w:sz="0" w:space="0" w:color="auto"/>
            <w:left w:val="none" w:sz="0" w:space="0" w:color="auto"/>
            <w:bottom w:val="none" w:sz="0" w:space="0" w:color="auto"/>
            <w:right w:val="none" w:sz="0" w:space="0" w:color="auto"/>
          </w:divBdr>
        </w:div>
        <w:div w:id="1836996448">
          <w:marLeft w:val="0"/>
          <w:marRight w:val="0"/>
          <w:marTop w:val="0"/>
          <w:marBottom w:val="0"/>
          <w:divBdr>
            <w:top w:val="none" w:sz="0" w:space="0" w:color="auto"/>
            <w:left w:val="none" w:sz="0" w:space="0" w:color="auto"/>
            <w:bottom w:val="none" w:sz="0" w:space="0" w:color="auto"/>
            <w:right w:val="none" w:sz="0" w:space="0" w:color="auto"/>
          </w:divBdr>
        </w:div>
        <w:div w:id="1867282532">
          <w:marLeft w:val="0"/>
          <w:marRight w:val="0"/>
          <w:marTop w:val="0"/>
          <w:marBottom w:val="0"/>
          <w:divBdr>
            <w:top w:val="none" w:sz="0" w:space="0" w:color="auto"/>
            <w:left w:val="none" w:sz="0" w:space="0" w:color="auto"/>
            <w:bottom w:val="none" w:sz="0" w:space="0" w:color="auto"/>
            <w:right w:val="none" w:sz="0" w:space="0" w:color="auto"/>
          </w:divBdr>
        </w:div>
        <w:div w:id="1868256460">
          <w:marLeft w:val="0"/>
          <w:marRight w:val="0"/>
          <w:marTop w:val="0"/>
          <w:marBottom w:val="0"/>
          <w:divBdr>
            <w:top w:val="none" w:sz="0" w:space="0" w:color="auto"/>
            <w:left w:val="none" w:sz="0" w:space="0" w:color="auto"/>
            <w:bottom w:val="none" w:sz="0" w:space="0" w:color="auto"/>
            <w:right w:val="none" w:sz="0" w:space="0" w:color="auto"/>
          </w:divBdr>
        </w:div>
        <w:div w:id="1868981169">
          <w:marLeft w:val="0"/>
          <w:marRight w:val="0"/>
          <w:marTop w:val="0"/>
          <w:marBottom w:val="0"/>
          <w:divBdr>
            <w:top w:val="none" w:sz="0" w:space="0" w:color="auto"/>
            <w:left w:val="none" w:sz="0" w:space="0" w:color="auto"/>
            <w:bottom w:val="none" w:sz="0" w:space="0" w:color="auto"/>
            <w:right w:val="none" w:sz="0" w:space="0" w:color="auto"/>
          </w:divBdr>
        </w:div>
        <w:div w:id="1875343194">
          <w:marLeft w:val="0"/>
          <w:marRight w:val="0"/>
          <w:marTop w:val="0"/>
          <w:marBottom w:val="0"/>
          <w:divBdr>
            <w:top w:val="none" w:sz="0" w:space="0" w:color="auto"/>
            <w:left w:val="none" w:sz="0" w:space="0" w:color="auto"/>
            <w:bottom w:val="none" w:sz="0" w:space="0" w:color="auto"/>
            <w:right w:val="none" w:sz="0" w:space="0" w:color="auto"/>
          </w:divBdr>
        </w:div>
        <w:div w:id="1890679832">
          <w:marLeft w:val="0"/>
          <w:marRight w:val="0"/>
          <w:marTop w:val="0"/>
          <w:marBottom w:val="0"/>
          <w:divBdr>
            <w:top w:val="none" w:sz="0" w:space="0" w:color="auto"/>
            <w:left w:val="none" w:sz="0" w:space="0" w:color="auto"/>
            <w:bottom w:val="none" w:sz="0" w:space="0" w:color="auto"/>
            <w:right w:val="none" w:sz="0" w:space="0" w:color="auto"/>
          </w:divBdr>
        </w:div>
        <w:div w:id="1894998541">
          <w:marLeft w:val="0"/>
          <w:marRight w:val="0"/>
          <w:marTop w:val="0"/>
          <w:marBottom w:val="0"/>
          <w:divBdr>
            <w:top w:val="none" w:sz="0" w:space="0" w:color="auto"/>
            <w:left w:val="none" w:sz="0" w:space="0" w:color="auto"/>
            <w:bottom w:val="none" w:sz="0" w:space="0" w:color="auto"/>
            <w:right w:val="none" w:sz="0" w:space="0" w:color="auto"/>
          </w:divBdr>
        </w:div>
        <w:div w:id="1895040411">
          <w:marLeft w:val="0"/>
          <w:marRight w:val="0"/>
          <w:marTop w:val="0"/>
          <w:marBottom w:val="0"/>
          <w:divBdr>
            <w:top w:val="none" w:sz="0" w:space="0" w:color="auto"/>
            <w:left w:val="none" w:sz="0" w:space="0" w:color="auto"/>
            <w:bottom w:val="none" w:sz="0" w:space="0" w:color="auto"/>
            <w:right w:val="none" w:sz="0" w:space="0" w:color="auto"/>
          </w:divBdr>
        </w:div>
        <w:div w:id="1936405039">
          <w:marLeft w:val="0"/>
          <w:marRight w:val="0"/>
          <w:marTop w:val="0"/>
          <w:marBottom w:val="0"/>
          <w:divBdr>
            <w:top w:val="none" w:sz="0" w:space="0" w:color="auto"/>
            <w:left w:val="none" w:sz="0" w:space="0" w:color="auto"/>
            <w:bottom w:val="none" w:sz="0" w:space="0" w:color="auto"/>
            <w:right w:val="none" w:sz="0" w:space="0" w:color="auto"/>
          </w:divBdr>
        </w:div>
        <w:div w:id="1943413795">
          <w:marLeft w:val="0"/>
          <w:marRight w:val="0"/>
          <w:marTop w:val="0"/>
          <w:marBottom w:val="0"/>
          <w:divBdr>
            <w:top w:val="none" w:sz="0" w:space="0" w:color="auto"/>
            <w:left w:val="none" w:sz="0" w:space="0" w:color="auto"/>
            <w:bottom w:val="none" w:sz="0" w:space="0" w:color="auto"/>
            <w:right w:val="none" w:sz="0" w:space="0" w:color="auto"/>
          </w:divBdr>
        </w:div>
        <w:div w:id="1955361762">
          <w:marLeft w:val="0"/>
          <w:marRight w:val="0"/>
          <w:marTop w:val="0"/>
          <w:marBottom w:val="0"/>
          <w:divBdr>
            <w:top w:val="none" w:sz="0" w:space="0" w:color="auto"/>
            <w:left w:val="none" w:sz="0" w:space="0" w:color="auto"/>
            <w:bottom w:val="none" w:sz="0" w:space="0" w:color="auto"/>
            <w:right w:val="none" w:sz="0" w:space="0" w:color="auto"/>
          </w:divBdr>
          <w:divsChild>
            <w:div w:id="494809348">
              <w:marLeft w:val="0"/>
              <w:marRight w:val="0"/>
              <w:marTop w:val="0"/>
              <w:marBottom w:val="0"/>
              <w:divBdr>
                <w:top w:val="none" w:sz="0" w:space="0" w:color="auto"/>
                <w:left w:val="none" w:sz="0" w:space="0" w:color="auto"/>
                <w:bottom w:val="none" w:sz="0" w:space="0" w:color="auto"/>
                <w:right w:val="none" w:sz="0" w:space="0" w:color="auto"/>
              </w:divBdr>
            </w:div>
            <w:div w:id="1325358290">
              <w:marLeft w:val="0"/>
              <w:marRight w:val="0"/>
              <w:marTop w:val="0"/>
              <w:marBottom w:val="0"/>
              <w:divBdr>
                <w:top w:val="none" w:sz="0" w:space="0" w:color="auto"/>
                <w:left w:val="none" w:sz="0" w:space="0" w:color="auto"/>
                <w:bottom w:val="none" w:sz="0" w:space="0" w:color="auto"/>
                <w:right w:val="none" w:sz="0" w:space="0" w:color="auto"/>
              </w:divBdr>
            </w:div>
            <w:div w:id="1513450065">
              <w:marLeft w:val="0"/>
              <w:marRight w:val="0"/>
              <w:marTop w:val="0"/>
              <w:marBottom w:val="0"/>
              <w:divBdr>
                <w:top w:val="none" w:sz="0" w:space="0" w:color="auto"/>
                <w:left w:val="none" w:sz="0" w:space="0" w:color="auto"/>
                <w:bottom w:val="none" w:sz="0" w:space="0" w:color="auto"/>
                <w:right w:val="none" w:sz="0" w:space="0" w:color="auto"/>
              </w:divBdr>
            </w:div>
            <w:div w:id="1935046047">
              <w:marLeft w:val="0"/>
              <w:marRight w:val="0"/>
              <w:marTop w:val="0"/>
              <w:marBottom w:val="0"/>
              <w:divBdr>
                <w:top w:val="none" w:sz="0" w:space="0" w:color="auto"/>
                <w:left w:val="none" w:sz="0" w:space="0" w:color="auto"/>
                <w:bottom w:val="none" w:sz="0" w:space="0" w:color="auto"/>
                <w:right w:val="none" w:sz="0" w:space="0" w:color="auto"/>
              </w:divBdr>
            </w:div>
            <w:div w:id="2056847836">
              <w:marLeft w:val="0"/>
              <w:marRight w:val="0"/>
              <w:marTop w:val="0"/>
              <w:marBottom w:val="0"/>
              <w:divBdr>
                <w:top w:val="none" w:sz="0" w:space="0" w:color="auto"/>
                <w:left w:val="none" w:sz="0" w:space="0" w:color="auto"/>
                <w:bottom w:val="none" w:sz="0" w:space="0" w:color="auto"/>
                <w:right w:val="none" w:sz="0" w:space="0" w:color="auto"/>
              </w:divBdr>
            </w:div>
          </w:divsChild>
        </w:div>
        <w:div w:id="1958831494">
          <w:marLeft w:val="0"/>
          <w:marRight w:val="0"/>
          <w:marTop w:val="0"/>
          <w:marBottom w:val="0"/>
          <w:divBdr>
            <w:top w:val="none" w:sz="0" w:space="0" w:color="auto"/>
            <w:left w:val="none" w:sz="0" w:space="0" w:color="auto"/>
            <w:bottom w:val="none" w:sz="0" w:space="0" w:color="auto"/>
            <w:right w:val="none" w:sz="0" w:space="0" w:color="auto"/>
          </w:divBdr>
          <w:divsChild>
            <w:div w:id="131021496">
              <w:marLeft w:val="0"/>
              <w:marRight w:val="0"/>
              <w:marTop w:val="0"/>
              <w:marBottom w:val="0"/>
              <w:divBdr>
                <w:top w:val="none" w:sz="0" w:space="0" w:color="auto"/>
                <w:left w:val="none" w:sz="0" w:space="0" w:color="auto"/>
                <w:bottom w:val="none" w:sz="0" w:space="0" w:color="auto"/>
                <w:right w:val="none" w:sz="0" w:space="0" w:color="auto"/>
              </w:divBdr>
            </w:div>
            <w:div w:id="842672577">
              <w:marLeft w:val="0"/>
              <w:marRight w:val="0"/>
              <w:marTop w:val="0"/>
              <w:marBottom w:val="0"/>
              <w:divBdr>
                <w:top w:val="none" w:sz="0" w:space="0" w:color="auto"/>
                <w:left w:val="none" w:sz="0" w:space="0" w:color="auto"/>
                <w:bottom w:val="none" w:sz="0" w:space="0" w:color="auto"/>
                <w:right w:val="none" w:sz="0" w:space="0" w:color="auto"/>
              </w:divBdr>
            </w:div>
            <w:div w:id="855115673">
              <w:marLeft w:val="0"/>
              <w:marRight w:val="0"/>
              <w:marTop w:val="0"/>
              <w:marBottom w:val="0"/>
              <w:divBdr>
                <w:top w:val="none" w:sz="0" w:space="0" w:color="auto"/>
                <w:left w:val="none" w:sz="0" w:space="0" w:color="auto"/>
                <w:bottom w:val="none" w:sz="0" w:space="0" w:color="auto"/>
                <w:right w:val="none" w:sz="0" w:space="0" w:color="auto"/>
              </w:divBdr>
            </w:div>
            <w:div w:id="1585382287">
              <w:marLeft w:val="0"/>
              <w:marRight w:val="0"/>
              <w:marTop w:val="0"/>
              <w:marBottom w:val="0"/>
              <w:divBdr>
                <w:top w:val="none" w:sz="0" w:space="0" w:color="auto"/>
                <w:left w:val="none" w:sz="0" w:space="0" w:color="auto"/>
                <w:bottom w:val="none" w:sz="0" w:space="0" w:color="auto"/>
                <w:right w:val="none" w:sz="0" w:space="0" w:color="auto"/>
              </w:divBdr>
            </w:div>
          </w:divsChild>
        </w:div>
        <w:div w:id="1962153544">
          <w:marLeft w:val="0"/>
          <w:marRight w:val="0"/>
          <w:marTop w:val="0"/>
          <w:marBottom w:val="0"/>
          <w:divBdr>
            <w:top w:val="none" w:sz="0" w:space="0" w:color="auto"/>
            <w:left w:val="none" w:sz="0" w:space="0" w:color="auto"/>
            <w:bottom w:val="none" w:sz="0" w:space="0" w:color="auto"/>
            <w:right w:val="none" w:sz="0" w:space="0" w:color="auto"/>
          </w:divBdr>
          <w:divsChild>
            <w:div w:id="298263448">
              <w:marLeft w:val="0"/>
              <w:marRight w:val="0"/>
              <w:marTop w:val="0"/>
              <w:marBottom w:val="0"/>
              <w:divBdr>
                <w:top w:val="none" w:sz="0" w:space="0" w:color="auto"/>
                <w:left w:val="none" w:sz="0" w:space="0" w:color="auto"/>
                <w:bottom w:val="none" w:sz="0" w:space="0" w:color="auto"/>
                <w:right w:val="none" w:sz="0" w:space="0" w:color="auto"/>
              </w:divBdr>
            </w:div>
            <w:div w:id="599266381">
              <w:marLeft w:val="0"/>
              <w:marRight w:val="0"/>
              <w:marTop w:val="0"/>
              <w:marBottom w:val="0"/>
              <w:divBdr>
                <w:top w:val="none" w:sz="0" w:space="0" w:color="auto"/>
                <w:left w:val="none" w:sz="0" w:space="0" w:color="auto"/>
                <w:bottom w:val="none" w:sz="0" w:space="0" w:color="auto"/>
                <w:right w:val="none" w:sz="0" w:space="0" w:color="auto"/>
              </w:divBdr>
            </w:div>
            <w:div w:id="1265571410">
              <w:marLeft w:val="0"/>
              <w:marRight w:val="0"/>
              <w:marTop w:val="0"/>
              <w:marBottom w:val="0"/>
              <w:divBdr>
                <w:top w:val="none" w:sz="0" w:space="0" w:color="auto"/>
                <w:left w:val="none" w:sz="0" w:space="0" w:color="auto"/>
                <w:bottom w:val="none" w:sz="0" w:space="0" w:color="auto"/>
                <w:right w:val="none" w:sz="0" w:space="0" w:color="auto"/>
              </w:divBdr>
            </w:div>
            <w:div w:id="1322809895">
              <w:marLeft w:val="0"/>
              <w:marRight w:val="0"/>
              <w:marTop w:val="0"/>
              <w:marBottom w:val="0"/>
              <w:divBdr>
                <w:top w:val="none" w:sz="0" w:space="0" w:color="auto"/>
                <w:left w:val="none" w:sz="0" w:space="0" w:color="auto"/>
                <w:bottom w:val="none" w:sz="0" w:space="0" w:color="auto"/>
                <w:right w:val="none" w:sz="0" w:space="0" w:color="auto"/>
              </w:divBdr>
            </w:div>
            <w:div w:id="1766416294">
              <w:marLeft w:val="0"/>
              <w:marRight w:val="0"/>
              <w:marTop w:val="0"/>
              <w:marBottom w:val="0"/>
              <w:divBdr>
                <w:top w:val="none" w:sz="0" w:space="0" w:color="auto"/>
                <w:left w:val="none" w:sz="0" w:space="0" w:color="auto"/>
                <w:bottom w:val="none" w:sz="0" w:space="0" w:color="auto"/>
                <w:right w:val="none" w:sz="0" w:space="0" w:color="auto"/>
              </w:divBdr>
            </w:div>
          </w:divsChild>
        </w:div>
        <w:div w:id="1980068333">
          <w:marLeft w:val="0"/>
          <w:marRight w:val="0"/>
          <w:marTop w:val="0"/>
          <w:marBottom w:val="0"/>
          <w:divBdr>
            <w:top w:val="none" w:sz="0" w:space="0" w:color="auto"/>
            <w:left w:val="none" w:sz="0" w:space="0" w:color="auto"/>
            <w:bottom w:val="none" w:sz="0" w:space="0" w:color="auto"/>
            <w:right w:val="none" w:sz="0" w:space="0" w:color="auto"/>
          </w:divBdr>
        </w:div>
        <w:div w:id="1989018534">
          <w:marLeft w:val="0"/>
          <w:marRight w:val="0"/>
          <w:marTop w:val="0"/>
          <w:marBottom w:val="0"/>
          <w:divBdr>
            <w:top w:val="none" w:sz="0" w:space="0" w:color="auto"/>
            <w:left w:val="none" w:sz="0" w:space="0" w:color="auto"/>
            <w:bottom w:val="none" w:sz="0" w:space="0" w:color="auto"/>
            <w:right w:val="none" w:sz="0" w:space="0" w:color="auto"/>
          </w:divBdr>
        </w:div>
        <w:div w:id="1996299094">
          <w:marLeft w:val="0"/>
          <w:marRight w:val="0"/>
          <w:marTop w:val="0"/>
          <w:marBottom w:val="0"/>
          <w:divBdr>
            <w:top w:val="none" w:sz="0" w:space="0" w:color="auto"/>
            <w:left w:val="none" w:sz="0" w:space="0" w:color="auto"/>
            <w:bottom w:val="none" w:sz="0" w:space="0" w:color="auto"/>
            <w:right w:val="none" w:sz="0" w:space="0" w:color="auto"/>
          </w:divBdr>
        </w:div>
        <w:div w:id="2005545802">
          <w:marLeft w:val="0"/>
          <w:marRight w:val="0"/>
          <w:marTop w:val="0"/>
          <w:marBottom w:val="0"/>
          <w:divBdr>
            <w:top w:val="none" w:sz="0" w:space="0" w:color="auto"/>
            <w:left w:val="none" w:sz="0" w:space="0" w:color="auto"/>
            <w:bottom w:val="none" w:sz="0" w:space="0" w:color="auto"/>
            <w:right w:val="none" w:sz="0" w:space="0" w:color="auto"/>
          </w:divBdr>
        </w:div>
        <w:div w:id="2011173094">
          <w:marLeft w:val="0"/>
          <w:marRight w:val="0"/>
          <w:marTop w:val="0"/>
          <w:marBottom w:val="0"/>
          <w:divBdr>
            <w:top w:val="none" w:sz="0" w:space="0" w:color="auto"/>
            <w:left w:val="none" w:sz="0" w:space="0" w:color="auto"/>
            <w:bottom w:val="none" w:sz="0" w:space="0" w:color="auto"/>
            <w:right w:val="none" w:sz="0" w:space="0" w:color="auto"/>
          </w:divBdr>
          <w:divsChild>
            <w:div w:id="2045904963">
              <w:marLeft w:val="0"/>
              <w:marRight w:val="0"/>
              <w:marTop w:val="0"/>
              <w:marBottom w:val="0"/>
              <w:divBdr>
                <w:top w:val="none" w:sz="0" w:space="0" w:color="auto"/>
                <w:left w:val="none" w:sz="0" w:space="0" w:color="auto"/>
                <w:bottom w:val="none" w:sz="0" w:space="0" w:color="auto"/>
                <w:right w:val="none" w:sz="0" w:space="0" w:color="auto"/>
              </w:divBdr>
            </w:div>
          </w:divsChild>
        </w:div>
        <w:div w:id="2026445352">
          <w:marLeft w:val="0"/>
          <w:marRight w:val="0"/>
          <w:marTop w:val="0"/>
          <w:marBottom w:val="0"/>
          <w:divBdr>
            <w:top w:val="none" w:sz="0" w:space="0" w:color="auto"/>
            <w:left w:val="none" w:sz="0" w:space="0" w:color="auto"/>
            <w:bottom w:val="none" w:sz="0" w:space="0" w:color="auto"/>
            <w:right w:val="none" w:sz="0" w:space="0" w:color="auto"/>
          </w:divBdr>
        </w:div>
        <w:div w:id="2030057816">
          <w:marLeft w:val="0"/>
          <w:marRight w:val="0"/>
          <w:marTop w:val="0"/>
          <w:marBottom w:val="0"/>
          <w:divBdr>
            <w:top w:val="none" w:sz="0" w:space="0" w:color="auto"/>
            <w:left w:val="none" w:sz="0" w:space="0" w:color="auto"/>
            <w:bottom w:val="none" w:sz="0" w:space="0" w:color="auto"/>
            <w:right w:val="none" w:sz="0" w:space="0" w:color="auto"/>
          </w:divBdr>
        </w:div>
        <w:div w:id="2036537497">
          <w:marLeft w:val="0"/>
          <w:marRight w:val="0"/>
          <w:marTop w:val="0"/>
          <w:marBottom w:val="0"/>
          <w:divBdr>
            <w:top w:val="none" w:sz="0" w:space="0" w:color="auto"/>
            <w:left w:val="none" w:sz="0" w:space="0" w:color="auto"/>
            <w:bottom w:val="none" w:sz="0" w:space="0" w:color="auto"/>
            <w:right w:val="none" w:sz="0" w:space="0" w:color="auto"/>
          </w:divBdr>
          <w:divsChild>
            <w:div w:id="70350806">
              <w:marLeft w:val="-54"/>
              <w:marRight w:val="0"/>
              <w:marTop w:val="21"/>
              <w:marBottom w:val="21"/>
              <w:divBdr>
                <w:top w:val="none" w:sz="0" w:space="0" w:color="auto"/>
                <w:left w:val="none" w:sz="0" w:space="0" w:color="auto"/>
                <w:bottom w:val="none" w:sz="0" w:space="0" w:color="auto"/>
                <w:right w:val="none" w:sz="0" w:space="0" w:color="auto"/>
              </w:divBdr>
              <w:divsChild>
                <w:div w:id="15162550">
                  <w:marLeft w:val="0"/>
                  <w:marRight w:val="0"/>
                  <w:marTop w:val="0"/>
                  <w:marBottom w:val="0"/>
                  <w:divBdr>
                    <w:top w:val="none" w:sz="0" w:space="0" w:color="auto"/>
                    <w:left w:val="none" w:sz="0" w:space="0" w:color="auto"/>
                    <w:bottom w:val="none" w:sz="0" w:space="0" w:color="auto"/>
                    <w:right w:val="none" w:sz="0" w:space="0" w:color="auto"/>
                  </w:divBdr>
                  <w:divsChild>
                    <w:div w:id="1181550929">
                      <w:marLeft w:val="0"/>
                      <w:marRight w:val="0"/>
                      <w:marTop w:val="0"/>
                      <w:marBottom w:val="0"/>
                      <w:divBdr>
                        <w:top w:val="none" w:sz="0" w:space="0" w:color="auto"/>
                        <w:left w:val="none" w:sz="0" w:space="0" w:color="auto"/>
                        <w:bottom w:val="none" w:sz="0" w:space="0" w:color="auto"/>
                        <w:right w:val="none" w:sz="0" w:space="0" w:color="auto"/>
                      </w:divBdr>
                    </w:div>
                  </w:divsChild>
                </w:div>
                <w:div w:id="76100336">
                  <w:marLeft w:val="0"/>
                  <w:marRight w:val="0"/>
                  <w:marTop w:val="0"/>
                  <w:marBottom w:val="0"/>
                  <w:divBdr>
                    <w:top w:val="none" w:sz="0" w:space="0" w:color="auto"/>
                    <w:left w:val="none" w:sz="0" w:space="0" w:color="auto"/>
                    <w:bottom w:val="none" w:sz="0" w:space="0" w:color="auto"/>
                    <w:right w:val="none" w:sz="0" w:space="0" w:color="auto"/>
                  </w:divBdr>
                  <w:divsChild>
                    <w:div w:id="1317103650">
                      <w:marLeft w:val="0"/>
                      <w:marRight w:val="0"/>
                      <w:marTop w:val="0"/>
                      <w:marBottom w:val="0"/>
                      <w:divBdr>
                        <w:top w:val="none" w:sz="0" w:space="0" w:color="auto"/>
                        <w:left w:val="none" w:sz="0" w:space="0" w:color="auto"/>
                        <w:bottom w:val="none" w:sz="0" w:space="0" w:color="auto"/>
                        <w:right w:val="none" w:sz="0" w:space="0" w:color="auto"/>
                      </w:divBdr>
                    </w:div>
                  </w:divsChild>
                </w:div>
                <w:div w:id="136387887">
                  <w:marLeft w:val="0"/>
                  <w:marRight w:val="0"/>
                  <w:marTop w:val="0"/>
                  <w:marBottom w:val="0"/>
                  <w:divBdr>
                    <w:top w:val="none" w:sz="0" w:space="0" w:color="auto"/>
                    <w:left w:val="none" w:sz="0" w:space="0" w:color="auto"/>
                    <w:bottom w:val="none" w:sz="0" w:space="0" w:color="auto"/>
                    <w:right w:val="none" w:sz="0" w:space="0" w:color="auto"/>
                  </w:divBdr>
                  <w:divsChild>
                    <w:div w:id="1827503750">
                      <w:marLeft w:val="0"/>
                      <w:marRight w:val="0"/>
                      <w:marTop w:val="0"/>
                      <w:marBottom w:val="0"/>
                      <w:divBdr>
                        <w:top w:val="none" w:sz="0" w:space="0" w:color="auto"/>
                        <w:left w:val="none" w:sz="0" w:space="0" w:color="auto"/>
                        <w:bottom w:val="none" w:sz="0" w:space="0" w:color="auto"/>
                        <w:right w:val="none" w:sz="0" w:space="0" w:color="auto"/>
                      </w:divBdr>
                    </w:div>
                  </w:divsChild>
                </w:div>
                <w:div w:id="247465325">
                  <w:marLeft w:val="0"/>
                  <w:marRight w:val="0"/>
                  <w:marTop w:val="0"/>
                  <w:marBottom w:val="0"/>
                  <w:divBdr>
                    <w:top w:val="none" w:sz="0" w:space="0" w:color="auto"/>
                    <w:left w:val="none" w:sz="0" w:space="0" w:color="auto"/>
                    <w:bottom w:val="none" w:sz="0" w:space="0" w:color="auto"/>
                    <w:right w:val="none" w:sz="0" w:space="0" w:color="auto"/>
                  </w:divBdr>
                  <w:divsChild>
                    <w:div w:id="1252470664">
                      <w:marLeft w:val="0"/>
                      <w:marRight w:val="0"/>
                      <w:marTop w:val="0"/>
                      <w:marBottom w:val="0"/>
                      <w:divBdr>
                        <w:top w:val="none" w:sz="0" w:space="0" w:color="auto"/>
                        <w:left w:val="none" w:sz="0" w:space="0" w:color="auto"/>
                        <w:bottom w:val="none" w:sz="0" w:space="0" w:color="auto"/>
                        <w:right w:val="none" w:sz="0" w:space="0" w:color="auto"/>
                      </w:divBdr>
                    </w:div>
                  </w:divsChild>
                </w:div>
                <w:div w:id="258560609">
                  <w:marLeft w:val="0"/>
                  <w:marRight w:val="0"/>
                  <w:marTop w:val="0"/>
                  <w:marBottom w:val="0"/>
                  <w:divBdr>
                    <w:top w:val="none" w:sz="0" w:space="0" w:color="auto"/>
                    <w:left w:val="none" w:sz="0" w:space="0" w:color="auto"/>
                    <w:bottom w:val="none" w:sz="0" w:space="0" w:color="auto"/>
                    <w:right w:val="none" w:sz="0" w:space="0" w:color="auto"/>
                  </w:divBdr>
                  <w:divsChild>
                    <w:div w:id="979650755">
                      <w:marLeft w:val="0"/>
                      <w:marRight w:val="0"/>
                      <w:marTop w:val="0"/>
                      <w:marBottom w:val="0"/>
                      <w:divBdr>
                        <w:top w:val="none" w:sz="0" w:space="0" w:color="auto"/>
                        <w:left w:val="none" w:sz="0" w:space="0" w:color="auto"/>
                        <w:bottom w:val="none" w:sz="0" w:space="0" w:color="auto"/>
                        <w:right w:val="none" w:sz="0" w:space="0" w:color="auto"/>
                      </w:divBdr>
                    </w:div>
                  </w:divsChild>
                </w:div>
                <w:div w:id="313990680">
                  <w:marLeft w:val="0"/>
                  <w:marRight w:val="0"/>
                  <w:marTop w:val="0"/>
                  <w:marBottom w:val="0"/>
                  <w:divBdr>
                    <w:top w:val="none" w:sz="0" w:space="0" w:color="auto"/>
                    <w:left w:val="none" w:sz="0" w:space="0" w:color="auto"/>
                    <w:bottom w:val="none" w:sz="0" w:space="0" w:color="auto"/>
                    <w:right w:val="none" w:sz="0" w:space="0" w:color="auto"/>
                  </w:divBdr>
                  <w:divsChild>
                    <w:div w:id="1237279504">
                      <w:marLeft w:val="0"/>
                      <w:marRight w:val="0"/>
                      <w:marTop w:val="0"/>
                      <w:marBottom w:val="0"/>
                      <w:divBdr>
                        <w:top w:val="none" w:sz="0" w:space="0" w:color="auto"/>
                        <w:left w:val="none" w:sz="0" w:space="0" w:color="auto"/>
                        <w:bottom w:val="none" w:sz="0" w:space="0" w:color="auto"/>
                        <w:right w:val="none" w:sz="0" w:space="0" w:color="auto"/>
                      </w:divBdr>
                    </w:div>
                  </w:divsChild>
                </w:div>
                <w:div w:id="358972873">
                  <w:marLeft w:val="0"/>
                  <w:marRight w:val="0"/>
                  <w:marTop w:val="0"/>
                  <w:marBottom w:val="0"/>
                  <w:divBdr>
                    <w:top w:val="none" w:sz="0" w:space="0" w:color="auto"/>
                    <w:left w:val="none" w:sz="0" w:space="0" w:color="auto"/>
                    <w:bottom w:val="none" w:sz="0" w:space="0" w:color="auto"/>
                    <w:right w:val="none" w:sz="0" w:space="0" w:color="auto"/>
                  </w:divBdr>
                  <w:divsChild>
                    <w:div w:id="977687271">
                      <w:marLeft w:val="0"/>
                      <w:marRight w:val="0"/>
                      <w:marTop w:val="0"/>
                      <w:marBottom w:val="0"/>
                      <w:divBdr>
                        <w:top w:val="none" w:sz="0" w:space="0" w:color="auto"/>
                        <w:left w:val="none" w:sz="0" w:space="0" w:color="auto"/>
                        <w:bottom w:val="none" w:sz="0" w:space="0" w:color="auto"/>
                        <w:right w:val="none" w:sz="0" w:space="0" w:color="auto"/>
                      </w:divBdr>
                    </w:div>
                  </w:divsChild>
                </w:div>
                <w:div w:id="383258863">
                  <w:marLeft w:val="0"/>
                  <w:marRight w:val="0"/>
                  <w:marTop w:val="0"/>
                  <w:marBottom w:val="0"/>
                  <w:divBdr>
                    <w:top w:val="none" w:sz="0" w:space="0" w:color="auto"/>
                    <w:left w:val="none" w:sz="0" w:space="0" w:color="auto"/>
                    <w:bottom w:val="none" w:sz="0" w:space="0" w:color="auto"/>
                    <w:right w:val="none" w:sz="0" w:space="0" w:color="auto"/>
                  </w:divBdr>
                  <w:divsChild>
                    <w:div w:id="1249660554">
                      <w:marLeft w:val="0"/>
                      <w:marRight w:val="0"/>
                      <w:marTop w:val="0"/>
                      <w:marBottom w:val="0"/>
                      <w:divBdr>
                        <w:top w:val="none" w:sz="0" w:space="0" w:color="auto"/>
                        <w:left w:val="none" w:sz="0" w:space="0" w:color="auto"/>
                        <w:bottom w:val="none" w:sz="0" w:space="0" w:color="auto"/>
                        <w:right w:val="none" w:sz="0" w:space="0" w:color="auto"/>
                      </w:divBdr>
                    </w:div>
                  </w:divsChild>
                </w:div>
                <w:div w:id="423234386">
                  <w:marLeft w:val="0"/>
                  <w:marRight w:val="0"/>
                  <w:marTop w:val="0"/>
                  <w:marBottom w:val="0"/>
                  <w:divBdr>
                    <w:top w:val="none" w:sz="0" w:space="0" w:color="auto"/>
                    <w:left w:val="none" w:sz="0" w:space="0" w:color="auto"/>
                    <w:bottom w:val="none" w:sz="0" w:space="0" w:color="auto"/>
                    <w:right w:val="none" w:sz="0" w:space="0" w:color="auto"/>
                  </w:divBdr>
                  <w:divsChild>
                    <w:div w:id="1734155774">
                      <w:marLeft w:val="0"/>
                      <w:marRight w:val="0"/>
                      <w:marTop w:val="0"/>
                      <w:marBottom w:val="0"/>
                      <w:divBdr>
                        <w:top w:val="none" w:sz="0" w:space="0" w:color="auto"/>
                        <w:left w:val="none" w:sz="0" w:space="0" w:color="auto"/>
                        <w:bottom w:val="none" w:sz="0" w:space="0" w:color="auto"/>
                        <w:right w:val="none" w:sz="0" w:space="0" w:color="auto"/>
                      </w:divBdr>
                    </w:div>
                  </w:divsChild>
                </w:div>
                <w:div w:id="500971348">
                  <w:marLeft w:val="0"/>
                  <w:marRight w:val="0"/>
                  <w:marTop w:val="0"/>
                  <w:marBottom w:val="0"/>
                  <w:divBdr>
                    <w:top w:val="none" w:sz="0" w:space="0" w:color="auto"/>
                    <w:left w:val="none" w:sz="0" w:space="0" w:color="auto"/>
                    <w:bottom w:val="none" w:sz="0" w:space="0" w:color="auto"/>
                    <w:right w:val="none" w:sz="0" w:space="0" w:color="auto"/>
                  </w:divBdr>
                  <w:divsChild>
                    <w:div w:id="1654750694">
                      <w:marLeft w:val="0"/>
                      <w:marRight w:val="0"/>
                      <w:marTop w:val="0"/>
                      <w:marBottom w:val="0"/>
                      <w:divBdr>
                        <w:top w:val="none" w:sz="0" w:space="0" w:color="auto"/>
                        <w:left w:val="none" w:sz="0" w:space="0" w:color="auto"/>
                        <w:bottom w:val="none" w:sz="0" w:space="0" w:color="auto"/>
                        <w:right w:val="none" w:sz="0" w:space="0" w:color="auto"/>
                      </w:divBdr>
                    </w:div>
                  </w:divsChild>
                </w:div>
                <w:div w:id="518737120">
                  <w:marLeft w:val="0"/>
                  <w:marRight w:val="0"/>
                  <w:marTop w:val="0"/>
                  <w:marBottom w:val="0"/>
                  <w:divBdr>
                    <w:top w:val="none" w:sz="0" w:space="0" w:color="auto"/>
                    <w:left w:val="none" w:sz="0" w:space="0" w:color="auto"/>
                    <w:bottom w:val="none" w:sz="0" w:space="0" w:color="auto"/>
                    <w:right w:val="none" w:sz="0" w:space="0" w:color="auto"/>
                  </w:divBdr>
                  <w:divsChild>
                    <w:div w:id="1769347121">
                      <w:marLeft w:val="0"/>
                      <w:marRight w:val="0"/>
                      <w:marTop w:val="0"/>
                      <w:marBottom w:val="0"/>
                      <w:divBdr>
                        <w:top w:val="none" w:sz="0" w:space="0" w:color="auto"/>
                        <w:left w:val="none" w:sz="0" w:space="0" w:color="auto"/>
                        <w:bottom w:val="none" w:sz="0" w:space="0" w:color="auto"/>
                        <w:right w:val="none" w:sz="0" w:space="0" w:color="auto"/>
                      </w:divBdr>
                    </w:div>
                  </w:divsChild>
                </w:div>
                <w:div w:id="539174648">
                  <w:marLeft w:val="0"/>
                  <w:marRight w:val="0"/>
                  <w:marTop w:val="0"/>
                  <w:marBottom w:val="0"/>
                  <w:divBdr>
                    <w:top w:val="none" w:sz="0" w:space="0" w:color="auto"/>
                    <w:left w:val="none" w:sz="0" w:space="0" w:color="auto"/>
                    <w:bottom w:val="none" w:sz="0" w:space="0" w:color="auto"/>
                    <w:right w:val="none" w:sz="0" w:space="0" w:color="auto"/>
                  </w:divBdr>
                  <w:divsChild>
                    <w:div w:id="1494566007">
                      <w:marLeft w:val="0"/>
                      <w:marRight w:val="0"/>
                      <w:marTop w:val="0"/>
                      <w:marBottom w:val="0"/>
                      <w:divBdr>
                        <w:top w:val="none" w:sz="0" w:space="0" w:color="auto"/>
                        <w:left w:val="none" w:sz="0" w:space="0" w:color="auto"/>
                        <w:bottom w:val="none" w:sz="0" w:space="0" w:color="auto"/>
                        <w:right w:val="none" w:sz="0" w:space="0" w:color="auto"/>
                      </w:divBdr>
                    </w:div>
                  </w:divsChild>
                </w:div>
                <w:div w:id="547038422">
                  <w:marLeft w:val="0"/>
                  <w:marRight w:val="0"/>
                  <w:marTop w:val="0"/>
                  <w:marBottom w:val="0"/>
                  <w:divBdr>
                    <w:top w:val="none" w:sz="0" w:space="0" w:color="auto"/>
                    <w:left w:val="none" w:sz="0" w:space="0" w:color="auto"/>
                    <w:bottom w:val="none" w:sz="0" w:space="0" w:color="auto"/>
                    <w:right w:val="none" w:sz="0" w:space="0" w:color="auto"/>
                  </w:divBdr>
                  <w:divsChild>
                    <w:div w:id="911355781">
                      <w:marLeft w:val="0"/>
                      <w:marRight w:val="0"/>
                      <w:marTop w:val="0"/>
                      <w:marBottom w:val="0"/>
                      <w:divBdr>
                        <w:top w:val="none" w:sz="0" w:space="0" w:color="auto"/>
                        <w:left w:val="none" w:sz="0" w:space="0" w:color="auto"/>
                        <w:bottom w:val="none" w:sz="0" w:space="0" w:color="auto"/>
                        <w:right w:val="none" w:sz="0" w:space="0" w:color="auto"/>
                      </w:divBdr>
                    </w:div>
                  </w:divsChild>
                </w:div>
                <w:div w:id="647326059">
                  <w:marLeft w:val="0"/>
                  <w:marRight w:val="0"/>
                  <w:marTop w:val="0"/>
                  <w:marBottom w:val="0"/>
                  <w:divBdr>
                    <w:top w:val="none" w:sz="0" w:space="0" w:color="auto"/>
                    <w:left w:val="none" w:sz="0" w:space="0" w:color="auto"/>
                    <w:bottom w:val="none" w:sz="0" w:space="0" w:color="auto"/>
                    <w:right w:val="none" w:sz="0" w:space="0" w:color="auto"/>
                  </w:divBdr>
                  <w:divsChild>
                    <w:div w:id="1238126699">
                      <w:marLeft w:val="0"/>
                      <w:marRight w:val="0"/>
                      <w:marTop w:val="0"/>
                      <w:marBottom w:val="0"/>
                      <w:divBdr>
                        <w:top w:val="none" w:sz="0" w:space="0" w:color="auto"/>
                        <w:left w:val="none" w:sz="0" w:space="0" w:color="auto"/>
                        <w:bottom w:val="none" w:sz="0" w:space="0" w:color="auto"/>
                        <w:right w:val="none" w:sz="0" w:space="0" w:color="auto"/>
                      </w:divBdr>
                    </w:div>
                  </w:divsChild>
                </w:div>
                <w:div w:id="753357255">
                  <w:marLeft w:val="0"/>
                  <w:marRight w:val="0"/>
                  <w:marTop w:val="0"/>
                  <w:marBottom w:val="0"/>
                  <w:divBdr>
                    <w:top w:val="none" w:sz="0" w:space="0" w:color="auto"/>
                    <w:left w:val="none" w:sz="0" w:space="0" w:color="auto"/>
                    <w:bottom w:val="none" w:sz="0" w:space="0" w:color="auto"/>
                    <w:right w:val="none" w:sz="0" w:space="0" w:color="auto"/>
                  </w:divBdr>
                  <w:divsChild>
                    <w:div w:id="1974600455">
                      <w:marLeft w:val="0"/>
                      <w:marRight w:val="0"/>
                      <w:marTop w:val="0"/>
                      <w:marBottom w:val="0"/>
                      <w:divBdr>
                        <w:top w:val="none" w:sz="0" w:space="0" w:color="auto"/>
                        <w:left w:val="none" w:sz="0" w:space="0" w:color="auto"/>
                        <w:bottom w:val="none" w:sz="0" w:space="0" w:color="auto"/>
                        <w:right w:val="none" w:sz="0" w:space="0" w:color="auto"/>
                      </w:divBdr>
                    </w:div>
                  </w:divsChild>
                </w:div>
                <w:div w:id="870536945">
                  <w:marLeft w:val="0"/>
                  <w:marRight w:val="0"/>
                  <w:marTop w:val="0"/>
                  <w:marBottom w:val="0"/>
                  <w:divBdr>
                    <w:top w:val="none" w:sz="0" w:space="0" w:color="auto"/>
                    <w:left w:val="none" w:sz="0" w:space="0" w:color="auto"/>
                    <w:bottom w:val="none" w:sz="0" w:space="0" w:color="auto"/>
                    <w:right w:val="none" w:sz="0" w:space="0" w:color="auto"/>
                  </w:divBdr>
                  <w:divsChild>
                    <w:div w:id="2004812351">
                      <w:marLeft w:val="0"/>
                      <w:marRight w:val="0"/>
                      <w:marTop w:val="0"/>
                      <w:marBottom w:val="0"/>
                      <w:divBdr>
                        <w:top w:val="none" w:sz="0" w:space="0" w:color="auto"/>
                        <w:left w:val="none" w:sz="0" w:space="0" w:color="auto"/>
                        <w:bottom w:val="none" w:sz="0" w:space="0" w:color="auto"/>
                        <w:right w:val="none" w:sz="0" w:space="0" w:color="auto"/>
                      </w:divBdr>
                    </w:div>
                  </w:divsChild>
                </w:div>
                <w:div w:id="940840020">
                  <w:marLeft w:val="0"/>
                  <w:marRight w:val="0"/>
                  <w:marTop w:val="0"/>
                  <w:marBottom w:val="0"/>
                  <w:divBdr>
                    <w:top w:val="none" w:sz="0" w:space="0" w:color="auto"/>
                    <w:left w:val="none" w:sz="0" w:space="0" w:color="auto"/>
                    <w:bottom w:val="none" w:sz="0" w:space="0" w:color="auto"/>
                    <w:right w:val="none" w:sz="0" w:space="0" w:color="auto"/>
                  </w:divBdr>
                  <w:divsChild>
                    <w:div w:id="1065297851">
                      <w:marLeft w:val="0"/>
                      <w:marRight w:val="0"/>
                      <w:marTop w:val="0"/>
                      <w:marBottom w:val="0"/>
                      <w:divBdr>
                        <w:top w:val="none" w:sz="0" w:space="0" w:color="auto"/>
                        <w:left w:val="none" w:sz="0" w:space="0" w:color="auto"/>
                        <w:bottom w:val="none" w:sz="0" w:space="0" w:color="auto"/>
                        <w:right w:val="none" w:sz="0" w:space="0" w:color="auto"/>
                      </w:divBdr>
                    </w:div>
                  </w:divsChild>
                </w:div>
                <w:div w:id="970013212">
                  <w:marLeft w:val="0"/>
                  <w:marRight w:val="0"/>
                  <w:marTop w:val="0"/>
                  <w:marBottom w:val="0"/>
                  <w:divBdr>
                    <w:top w:val="none" w:sz="0" w:space="0" w:color="auto"/>
                    <w:left w:val="none" w:sz="0" w:space="0" w:color="auto"/>
                    <w:bottom w:val="none" w:sz="0" w:space="0" w:color="auto"/>
                    <w:right w:val="none" w:sz="0" w:space="0" w:color="auto"/>
                  </w:divBdr>
                  <w:divsChild>
                    <w:div w:id="2127968198">
                      <w:marLeft w:val="0"/>
                      <w:marRight w:val="0"/>
                      <w:marTop w:val="0"/>
                      <w:marBottom w:val="0"/>
                      <w:divBdr>
                        <w:top w:val="none" w:sz="0" w:space="0" w:color="auto"/>
                        <w:left w:val="none" w:sz="0" w:space="0" w:color="auto"/>
                        <w:bottom w:val="none" w:sz="0" w:space="0" w:color="auto"/>
                        <w:right w:val="none" w:sz="0" w:space="0" w:color="auto"/>
                      </w:divBdr>
                    </w:div>
                  </w:divsChild>
                </w:div>
                <w:div w:id="975529397">
                  <w:marLeft w:val="0"/>
                  <w:marRight w:val="0"/>
                  <w:marTop w:val="0"/>
                  <w:marBottom w:val="0"/>
                  <w:divBdr>
                    <w:top w:val="none" w:sz="0" w:space="0" w:color="auto"/>
                    <w:left w:val="none" w:sz="0" w:space="0" w:color="auto"/>
                    <w:bottom w:val="none" w:sz="0" w:space="0" w:color="auto"/>
                    <w:right w:val="none" w:sz="0" w:space="0" w:color="auto"/>
                  </w:divBdr>
                  <w:divsChild>
                    <w:div w:id="2131245458">
                      <w:marLeft w:val="0"/>
                      <w:marRight w:val="0"/>
                      <w:marTop w:val="0"/>
                      <w:marBottom w:val="0"/>
                      <w:divBdr>
                        <w:top w:val="none" w:sz="0" w:space="0" w:color="auto"/>
                        <w:left w:val="none" w:sz="0" w:space="0" w:color="auto"/>
                        <w:bottom w:val="none" w:sz="0" w:space="0" w:color="auto"/>
                        <w:right w:val="none" w:sz="0" w:space="0" w:color="auto"/>
                      </w:divBdr>
                    </w:div>
                  </w:divsChild>
                </w:div>
                <w:div w:id="1047998301">
                  <w:marLeft w:val="0"/>
                  <w:marRight w:val="0"/>
                  <w:marTop w:val="0"/>
                  <w:marBottom w:val="0"/>
                  <w:divBdr>
                    <w:top w:val="none" w:sz="0" w:space="0" w:color="auto"/>
                    <w:left w:val="none" w:sz="0" w:space="0" w:color="auto"/>
                    <w:bottom w:val="none" w:sz="0" w:space="0" w:color="auto"/>
                    <w:right w:val="none" w:sz="0" w:space="0" w:color="auto"/>
                  </w:divBdr>
                  <w:divsChild>
                    <w:div w:id="23412118">
                      <w:marLeft w:val="0"/>
                      <w:marRight w:val="0"/>
                      <w:marTop w:val="0"/>
                      <w:marBottom w:val="0"/>
                      <w:divBdr>
                        <w:top w:val="none" w:sz="0" w:space="0" w:color="auto"/>
                        <w:left w:val="none" w:sz="0" w:space="0" w:color="auto"/>
                        <w:bottom w:val="none" w:sz="0" w:space="0" w:color="auto"/>
                        <w:right w:val="none" w:sz="0" w:space="0" w:color="auto"/>
                      </w:divBdr>
                    </w:div>
                  </w:divsChild>
                </w:div>
                <w:div w:id="1122386530">
                  <w:marLeft w:val="0"/>
                  <w:marRight w:val="0"/>
                  <w:marTop w:val="0"/>
                  <w:marBottom w:val="0"/>
                  <w:divBdr>
                    <w:top w:val="none" w:sz="0" w:space="0" w:color="auto"/>
                    <w:left w:val="none" w:sz="0" w:space="0" w:color="auto"/>
                    <w:bottom w:val="none" w:sz="0" w:space="0" w:color="auto"/>
                    <w:right w:val="none" w:sz="0" w:space="0" w:color="auto"/>
                  </w:divBdr>
                  <w:divsChild>
                    <w:div w:id="1466041202">
                      <w:marLeft w:val="0"/>
                      <w:marRight w:val="0"/>
                      <w:marTop w:val="0"/>
                      <w:marBottom w:val="0"/>
                      <w:divBdr>
                        <w:top w:val="none" w:sz="0" w:space="0" w:color="auto"/>
                        <w:left w:val="none" w:sz="0" w:space="0" w:color="auto"/>
                        <w:bottom w:val="none" w:sz="0" w:space="0" w:color="auto"/>
                        <w:right w:val="none" w:sz="0" w:space="0" w:color="auto"/>
                      </w:divBdr>
                    </w:div>
                  </w:divsChild>
                </w:div>
                <w:div w:id="1180045089">
                  <w:marLeft w:val="0"/>
                  <w:marRight w:val="0"/>
                  <w:marTop w:val="0"/>
                  <w:marBottom w:val="0"/>
                  <w:divBdr>
                    <w:top w:val="none" w:sz="0" w:space="0" w:color="auto"/>
                    <w:left w:val="none" w:sz="0" w:space="0" w:color="auto"/>
                    <w:bottom w:val="none" w:sz="0" w:space="0" w:color="auto"/>
                    <w:right w:val="none" w:sz="0" w:space="0" w:color="auto"/>
                  </w:divBdr>
                  <w:divsChild>
                    <w:div w:id="1418862986">
                      <w:marLeft w:val="0"/>
                      <w:marRight w:val="0"/>
                      <w:marTop w:val="0"/>
                      <w:marBottom w:val="0"/>
                      <w:divBdr>
                        <w:top w:val="none" w:sz="0" w:space="0" w:color="auto"/>
                        <w:left w:val="none" w:sz="0" w:space="0" w:color="auto"/>
                        <w:bottom w:val="none" w:sz="0" w:space="0" w:color="auto"/>
                        <w:right w:val="none" w:sz="0" w:space="0" w:color="auto"/>
                      </w:divBdr>
                    </w:div>
                  </w:divsChild>
                </w:div>
                <w:div w:id="1206067282">
                  <w:marLeft w:val="0"/>
                  <w:marRight w:val="0"/>
                  <w:marTop w:val="0"/>
                  <w:marBottom w:val="0"/>
                  <w:divBdr>
                    <w:top w:val="none" w:sz="0" w:space="0" w:color="auto"/>
                    <w:left w:val="none" w:sz="0" w:space="0" w:color="auto"/>
                    <w:bottom w:val="none" w:sz="0" w:space="0" w:color="auto"/>
                    <w:right w:val="none" w:sz="0" w:space="0" w:color="auto"/>
                  </w:divBdr>
                  <w:divsChild>
                    <w:div w:id="384574161">
                      <w:marLeft w:val="0"/>
                      <w:marRight w:val="0"/>
                      <w:marTop w:val="0"/>
                      <w:marBottom w:val="0"/>
                      <w:divBdr>
                        <w:top w:val="none" w:sz="0" w:space="0" w:color="auto"/>
                        <w:left w:val="none" w:sz="0" w:space="0" w:color="auto"/>
                        <w:bottom w:val="none" w:sz="0" w:space="0" w:color="auto"/>
                        <w:right w:val="none" w:sz="0" w:space="0" w:color="auto"/>
                      </w:divBdr>
                    </w:div>
                  </w:divsChild>
                </w:div>
                <w:div w:id="1279527693">
                  <w:marLeft w:val="0"/>
                  <w:marRight w:val="0"/>
                  <w:marTop w:val="0"/>
                  <w:marBottom w:val="0"/>
                  <w:divBdr>
                    <w:top w:val="none" w:sz="0" w:space="0" w:color="auto"/>
                    <w:left w:val="none" w:sz="0" w:space="0" w:color="auto"/>
                    <w:bottom w:val="none" w:sz="0" w:space="0" w:color="auto"/>
                    <w:right w:val="none" w:sz="0" w:space="0" w:color="auto"/>
                  </w:divBdr>
                  <w:divsChild>
                    <w:div w:id="548693091">
                      <w:marLeft w:val="0"/>
                      <w:marRight w:val="0"/>
                      <w:marTop w:val="0"/>
                      <w:marBottom w:val="0"/>
                      <w:divBdr>
                        <w:top w:val="none" w:sz="0" w:space="0" w:color="auto"/>
                        <w:left w:val="none" w:sz="0" w:space="0" w:color="auto"/>
                        <w:bottom w:val="none" w:sz="0" w:space="0" w:color="auto"/>
                        <w:right w:val="none" w:sz="0" w:space="0" w:color="auto"/>
                      </w:divBdr>
                    </w:div>
                  </w:divsChild>
                </w:div>
                <w:div w:id="1331134114">
                  <w:marLeft w:val="0"/>
                  <w:marRight w:val="0"/>
                  <w:marTop w:val="0"/>
                  <w:marBottom w:val="0"/>
                  <w:divBdr>
                    <w:top w:val="none" w:sz="0" w:space="0" w:color="auto"/>
                    <w:left w:val="none" w:sz="0" w:space="0" w:color="auto"/>
                    <w:bottom w:val="none" w:sz="0" w:space="0" w:color="auto"/>
                    <w:right w:val="none" w:sz="0" w:space="0" w:color="auto"/>
                  </w:divBdr>
                  <w:divsChild>
                    <w:div w:id="1526096565">
                      <w:marLeft w:val="0"/>
                      <w:marRight w:val="0"/>
                      <w:marTop w:val="0"/>
                      <w:marBottom w:val="0"/>
                      <w:divBdr>
                        <w:top w:val="none" w:sz="0" w:space="0" w:color="auto"/>
                        <w:left w:val="none" w:sz="0" w:space="0" w:color="auto"/>
                        <w:bottom w:val="none" w:sz="0" w:space="0" w:color="auto"/>
                        <w:right w:val="none" w:sz="0" w:space="0" w:color="auto"/>
                      </w:divBdr>
                    </w:div>
                  </w:divsChild>
                </w:div>
                <w:div w:id="1403022966">
                  <w:marLeft w:val="0"/>
                  <w:marRight w:val="0"/>
                  <w:marTop w:val="0"/>
                  <w:marBottom w:val="0"/>
                  <w:divBdr>
                    <w:top w:val="none" w:sz="0" w:space="0" w:color="auto"/>
                    <w:left w:val="none" w:sz="0" w:space="0" w:color="auto"/>
                    <w:bottom w:val="none" w:sz="0" w:space="0" w:color="auto"/>
                    <w:right w:val="none" w:sz="0" w:space="0" w:color="auto"/>
                  </w:divBdr>
                  <w:divsChild>
                    <w:div w:id="189420896">
                      <w:marLeft w:val="0"/>
                      <w:marRight w:val="0"/>
                      <w:marTop w:val="0"/>
                      <w:marBottom w:val="0"/>
                      <w:divBdr>
                        <w:top w:val="none" w:sz="0" w:space="0" w:color="auto"/>
                        <w:left w:val="none" w:sz="0" w:space="0" w:color="auto"/>
                        <w:bottom w:val="none" w:sz="0" w:space="0" w:color="auto"/>
                        <w:right w:val="none" w:sz="0" w:space="0" w:color="auto"/>
                      </w:divBdr>
                    </w:div>
                  </w:divsChild>
                </w:div>
                <w:div w:id="1433817412">
                  <w:marLeft w:val="0"/>
                  <w:marRight w:val="0"/>
                  <w:marTop w:val="0"/>
                  <w:marBottom w:val="0"/>
                  <w:divBdr>
                    <w:top w:val="none" w:sz="0" w:space="0" w:color="auto"/>
                    <w:left w:val="none" w:sz="0" w:space="0" w:color="auto"/>
                    <w:bottom w:val="none" w:sz="0" w:space="0" w:color="auto"/>
                    <w:right w:val="none" w:sz="0" w:space="0" w:color="auto"/>
                  </w:divBdr>
                  <w:divsChild>
                    <w:div w:id="1606495180">
                      <w:marLeft w:val="0"/>
                      <w:marRight w:val="0"/>
                      <w:marTop w:val="0"/>
                      <w:marBottom w:val="0"/>
                      <w:divBdr>
                        <w:top w:val="none" w:sz="0" w:space="0" w:color="auto"/>
                        <w:left w:val="none" w:sz="0" w:space="0" w:color="auto"/>
                        <w:bottom w:val="none" w:sz="0" w:space="0" w:color="auto"/>
                        <w:right w:val="none" w:sz="0" w:space="0" w:color="auto"/>
                      </w:divBdr>
                    </w:div>
                  </w:divsChild>
                </w:div>
                <w:div w:id="1603613523">
                  <w:marLeft w:val="0"/>
                  <w:marRight w:val="0"/>
                  <w:marTop w:val="0"/>
                  <w:marBottom w:val="0"/>
                  <w:divBdr>
                    <w:top w:val="none" w:sz="0" w:space="0" w:color="auto"/>
                    <w:left w:val="none" w:sz="0" w:space="0" w:color="auto"/>
                    <w:bottom w:val="none" w:sz="0" w:space="0" w:color="auto"/>
                    <w:right w:val="none" w:sz="0" w:space="0" w:color="auto"/>
                  </w:divBdr>
                  <w:divsChild>
                    <w:div w:id="875580570">
                      <w:marLeft w:val="0"/>
                      <w:marRight w:val="0"/>
                      <w:marTop w:val="0"/>
                      <w:marBottom w:val="0"/>
                      <w:divBdr>
                        <w:top w:val="none" w:sz="0" w:space="0" w:color="auto"/>
                        <w:left w:val="none" w:sz="0" w:space="0" w:color="auto"/>
                        <w:bottom w:val="none" w:sz="0" w:space="0" w:color="auto"/>
                        <w:right w:val="none" w:sz="0" w:space="0" w:color="auto"/>
                      </w:divBdr>
                    </w:div>
                  </w:divsChild>
                </w:div>
                <w:div w:id="1615332497">
                  <w:marLeft w:val="0"/>
                  <w:marRight w:val="0"/>
                  <w:marTop w:val="0"/>
                  <w:marBottom w:val="0"/>
                  <w:divBdr>
                    <w:top w:val="none" w:sz="0" w:space="0" w:color="auto"/>
                    <w:left w:val="none" w:sz="0" w:space="0" w:color="auto"/>
                    <w:bottom w:val="none" w:sz="0" w:space="0" w:color="auto"/>
                    <w:right w:val="none" w:sz="0" w:space="0" w:color="auto"/>
                  </w:divBdr>
                  <w:divsChild>
                    <w:div w:id="23478719">
                      <w:marLeft w:val="0"/>
                      <w:marRight w:val="0"/>
                      <w:marTop w:val="0"/>
                      <w:marBottom w:val="0"/>
                      <w:divBdr>
                        <w:top w:val="none" w:sz="0" w:space="0" w:color="auto"/>
                        <w:left w:val="none" w:sz="0" w:space="0" w:color="auto"/>
                        <w:bottom w:val="none" w:sz="0" w:space="0" w:color="auto"/>
                        <w:right w:val="none" w:sz="0" w:space="0" w:color="auto"/>
                      </w:divBdr>
                    </w:div>
                  </w:divsChild>
                </w:div>
                <w:div w:id="1673147781">
                  <w:marLeft w:val="0"/>
                  <w:marRight w:val="0"/>
                  <w:marTop w:val="0"/>
                  <w:marBottom w:val="0"/>
                  <w:divBdr>
                    <w:top w:val="none" w:sz="0" w:space="0" w:color="auto"/>
                    <w:left w:val="none" w:sz="0" w:space="0" w:color="auto"/>
                    <w:bottom w:val="none" w:sz="0" w:space="0" w:color="auto"/>
                    <w:right w:val="none" w:sz="0" w:space="0" w:color="auto"/>
                  </w:divBdr>
                  <w:divsChild>
                    <w:div w:id="1895005055">
                      <w:marLeft w:val="0"/>
                      <w:marRight w:val="0"/>
                      <w:marTop w:val="0"/>
                      <w:marBottom w:val="0"/>
                      <w:divBdr>
                        <w:top w:val="none" w:sz="0" w:space="0" w:color="auto"/>
                        <w:left w:val="none" w:sz="0" w:space="0" w:color="auto"/>
                        <w:bottom w:val="none" w:sz="0" w:space="0" w:color="auto"/>
                        <w:right w:val="none" w:sz="0" w:space="0" w:color="auto"/>
                      </w:divBdr>
                    </w:div>
                  </w:divsChild>
                </w:div>
                <w:div w:id="1674338797">
                  <w:marLeft w:val="0"/>
                  <w:marRight w:val="0"/>
                  <w:marTop w:val="0"/>
                  <w:marBottom w:val="0"/>
                  <w:divBdr>
                    <w:top w:val="none" w:sz="0" w:space="0" w:color="auto"/>
                    <w:left w:val="none" w:sz="0" w:space="0" w:color="auto"/>
                    <w:bottom w:val="none" w:sz="0" w:space="0" w:color="auto"/>
                    <w:right w:val="none" w:sz="0" w:space="0" w:color="auto"/>
                  </w:divBdr>
                  <w:divsChild>
                    <w:div w:id="22901420">
                      <w:marLeft w:val="0"/>
                      <w:marRight w:val="0"/>
                      <w:marTop w:val="0"/>
                      <w:marBottom w:val="0"/>
                      <w:divBdr>
                        <w:top w:val="none" w:sz="0" w:space="0" w:color="auto"/>
                        <w:left w:val="none" w:sz="0" w:space="0" w:color="auto"/>
                        <w:bottom w:val="none" w:sz="0" w:space="0" w:color="auto"/>
                        <w:right w:val="none" w:sz="0" w:space="0" w:color="auto"/>
                      </w:divBdr>
                    </w:div>
                  </w:divsChild>
                </w:div>
                <w:div w:id="1693216041">
                  <w:marLeft w:val="0"/>
                  <w:marRight w:val="0"/>
                  <w:marTop w:val="0"/>
                  <w:marBottom w:val="0"/>
                  <w:divBdr>
                    <w:top w:val="none" w:sz="0" w:space="0" w:color="auto"/>
                    <w:left w:val="none" w:sz="0" w:space="0" w:color="auto"/>
                    <w:bottom w:val="none" w:sz="0" w:space="0" w:color="auto"/>
                    <w:right w:val="none" w:sz="0" w:space="0" w:color="auto"/>
                  </w:divBdr>
                  <w:divsChild>
                    <w:div w:id="968364496">
                      <w:marLeft w:val="0"/>
                      <w:marRight w:val="0"/>
                      <w:marTop w:val="0"/>
                      <w:marBottom w:val="0"/>
                      <w:divBdr>
                        <w:top w:val="none" w:sz="0" w:space="0" w:color="auto"/>
                        <w:left w:val="none" w:sz="0" w:space="0" w:color="auto"/>
                        <w:bottom w:val="none" w:sz="0" w:space="0" w:color="auto"/>
                        <w:right w:val="none" w:sz="0" w:space="0" w:color="auto"/>
                      </w:divBdr>
                    </w:div>
                  </w:divsChild>
                </w:div>
                <w:div w:id="1705251694">
                  <w:marLeft w:val="0"/>
                  <w:marRight w:val="0"/>
                  <w:marTop w:val="0"/>
                  <w:marBottom w:val="0"/>
                  <w:divBdr>
                    <w:top w:val="none" w:sz="0" w:space="0" w:color="auto"/>
                    <w:left w:val="none" w:sz="0" w:space="0" w:color="auto"/>
                    <w:bottom w:val="none" w:sz="0" w:space="0" w:color="auto"/>
                    <w:right w:val="none" w:sz="0" w:space="0" w:color="auto"/>
                  </w:divBdr>
                  <w:divsChild>
                    <w:div w:id="1719275700">
                      <w:marLeft w:val="0"/>
                      <w:marRight w:val="0"/>
                      <w:marTop w:val="0"/>
                      <w:marBottom w:val="0"/>
                      <w:divBdr>
                        <w:top w:val="none" w:sz="0" w:space="0" w:color="auto"/>
                        <w:left w:val="none" w:sz="0" w:space="0" w:color="auto"/>
                        <w:bottom w:val="none" w:sz="0" w:space="0" w:color="auto"/>
                        <w:right w:val="none" w:sz="0" w:space="0" w:color="auto"/>
                      </w:divBdr>
                    </w:div>
                  </w:divsChild>
                </w:div>
                <w:div w:id="1708407907">
                  <w:marLeft w:val="0"/>
                  <w:marRight w:val="0"/>
                  <w:marTop w:val="0"/>
                  <w:marBottom w:val="0"/>
                  <w:divBdr>
                    <w:top w:val="none" w:sz="0" w:space="0" w:color="auto"/>
                    <w:left w:val="none" w:sz="0" w:space="0" w:color="auto"/>
                    <w:bottom w:val="none" w:sz="0" w:space="0" w:color="auto"/>
                    <w:right w:val="none" w:sz="0" w:space="0" w:color="auto"/>
                  </w:divBdr>
                  <w:divsChild>
                    <w:div w:id="770006329">
                      <w:marLeft w:val="0"/>
                      <w:marRight w:val="0"/>
                      <w:marTop w:val="0"/>
                      <w:marBottom w:val="0"/>
                      <w:divBdr>
                        <w:top w:val="none" w:sz="0" w:space="0" w:color="auto"/>
                        <w:left w:val="none" w:sz="0" w:space="0" w:color="auto"/>
                        <w:bottom w:val="none" w:sz="0" w:space="0" w:color="auto"/>
                        <w:right w:val="none" w:sz="0" w:space="0" w:color="auto"/>
                      </w:divBdr>
                    </w:div>
                  </w:divsChild>
                </w:div>
                <w:div w:id="1749228421">
                  <w:marLeft w:val="0"/>
                  <w:marRight w:val="0"/>
                  <w:marTop w:val="0"/>
                  <w:marBottom w:val="0"/>
                  <w:divBdr>
                    <w:top w:val="none" w:sz="0" w:space="0" w:color="auto"/>
                    <w:left w:val="none" w:sz="0" w:space="0" w:color="auto"/>
                    <w:bottom w:val="none" w:sz="0" w:space="0" w:color="auto"/>
                    <w:right w:val="none" w:sz="0" w:space="0" w:color="auto"/>
                  </w:divBdr>
                  <w:divsChild>
                    <w:div w:id="490490354">
                      <w:marLeft w:val="0"/>
                      <w:marRight w:val="0"/>
                      <w:marTop w:val="0"/>
                      <w:marBottom w:val="0"/>
                      <w:divBdr>
                        <w:top w:val="none" w:sz="0" w:space="0" w:color="auto"/>
                        <w:left w:val="none" w:sz="0" w:space="0" w:color="auto"/>
                        <w:bottom w:val="none" w:sz="0" w:space="0" w:color="auto"/>
                        <w:right w:val="none" w:sz="0" w:space="0" w:color="auto"/>
                      </w:divBdr>
                    </w:div>
                  </w:divsChild>
                </w:div>
                <w:div w:id="1781758814">
                  <w:marLeft w:val="0"/>
                  <w:marRight w:val="0"/>
                  <w:marTop w:val="0"/>
                  <w:marBottom w:val="0"/>
                  <w:divBdr>
                    <w:top w:val="none" w:sz="0" w:space="0" w:color="auto"/>
                    <w:left w:val="none" w:sz="0" w:space="0" w:color="auto"/>
                    <w:bottom w:val="none" w:sz="0" w:space="0" w:color="auto"/>
                    <w:right w:val="none" w:sz="0" w:space="0" w:color="auto"/>
                  </w:divBdr>
                  <w:divsChild>
                    <w:div w:id="670107421">
                      <w:marLeft w:val="0"/>
                      <w:marRight w:val="0"/>
                      <w:marTop w:val="0"/>
                      <w:marBottom w:val="0"/>
                      <w:divBdr>
                        <w:top w:val="none" w:sz="0" w:space="0" w:color="auto"/>
                        <w:left w:val="none" w:sz="0" w:space="0" w:color="auto"/>
                        <w:bottom w:val="none" w:sz="0" w:space="0" w:color="auto"/>
                        <w:right w:val="none" w:sz="0" w:space="0" w:color="auto"/>
                      </w:divBdr>
                    </w:div>
                  </w:divsChild>
                </w:div>
                <w:div w:id="1816558504">
                  <w:marLeft w:val="0"/>
                  <w:marRight w:val="0"/>
                  <w:marTop w:val="0"/>
                  <w:marBottom w:val="0"/>
                  <w:divBdr>
                    <w:top w:val="none" w:sz="0" w:space="0" w:color="auto"/>
                    <w:left w:val="none" w:sz="0" w:space="0" w:color="auto"/>
                    <w:bottom w:val="none" w:sz="0" w:space="0" w:color="auto"/>
                    <w:right w:val="none" w:sz="0" w:space="0" w:color="auto"/>
                  </w:divBdr>
                  <w:divsChild>
                    <w:div w:id="1004553874">
                      <w:marLeft w:val="0"/>
                      <w:marRight w:val="0"/>
                      <w:marTop w:val="0"/>
                      <w:marBottom w:val="0"/>
                      <w:divBdr>
                        <w:top w:val="none" w:sz="0" w:space="0" w:color="auto"/>
                        <w:left w:val="none" w:sz="0" w:space="0" w:color="auto"/>
                        <w:bottom w:val="none" w:sz="0" w:space="0" w:color="auto"/>
                        <w:right w:val="none" w:sz="0" w:space="0" w:color="auto"/>
                      </w:divBdr>
                    </w:div>
                  </w:divsChild>
                </w:div>
                <w:div w:id="1831824407">
                  <w:marLeft w:val="0"/>
                  <w:marRight w:val="0"/>
                  <w:marTop w:val="0"/>
                  <w:marBottom w:val="0"/>
                  <w:divBdr>
                    <w:top w:val="none" w:sz="0" w:space="0" w:color="auto"/>
                    <w:left w:val="none" w:sz="0" w:space="0" w:color="auto"/>
                    <w:bottom w:val="none" w:sz="0" w:space="0" w:color="auto"/>
                    <w:right w:val="none" w:sz="0" w:space="0" w:color="auto"/>
                  </w:divBdr>
                  <w:divsChild>
                    <w:div w:id="1078282768">
                      <w:marLeft w:val="0"/>
                      <w:marRight w:val="0"/>
                      <w:marTop w:val="0"/>
                      <w:marBottom w:val="0"/>
                      <w:divBdr>
                        <w:top w:val="none" w:sz="0" w:space="0" w:color="auto"/>
                        <w:left w:val="none" w:sz="0" w:space="0" w:color="auto"/>
                        <w:bottom w:val="none" w:sz="0" w:space="0" w:color="auto"/>
                        <w:right w:val="none" w:sz="0" w:space="0" w:color="auto"/>
                      </w:divBdr>
                    </w:div>
                  </w:divsChild>
                </w:div>
                <w:div w:id="1869946083">
                  <w:marLeft w:val="0"/>
                  <w:marRight w:val="0"/>
                  <w:marTop w:val="0"/>
                  <w:marBottom w:val="0"/>
                  <w:divBdr>
                    <w:top w:val="none" w:sz="0" w:space="0" w:color="auto"/>
                    <w:left w:val="none" w:sz="0" w:space="0" w:color="auto"/>
                    <w:bottom w:val="none" w:sz="0" w:space="0" w:color="auto"/>
                    <w:right w:val="none" w:sz="0" w:space="0" w:color="auto"/>
                  </w:divBdr>
                  <w:divsChild>
                    <w:div w:id="8683145">
                      <w:marLeft w:val="0"/>
                      <w:marRight w:val="0"/>
                      <w:marTop w:val="0"/>
                      <w:marBottom w:val="0"/>
                      <w:divBdr>
                        <w:top w:val="none" w:sz="0" w:space="0" w:color="auto"/>
                        <w:left w:val="none" w:sz="0" w:space="0" w:color="auto"/>
                        <w:bottom w:val="none" w:sz="0" w:space="0" w:color="auto"/>
                        <w:right w:val="none" w:sz="0" w:space="0" w:color="auto"/>
                      </w:divBdr>
                    </w:div>
                  </w:divsChild>
                </w:div>
                <w:div w:id="1925414534">
                  <w:marLeft w:val="0"/>
                  <w:marRight w:val="0"/>
                  <w:marTop w:val="0"/>
                  <w:marBottom w:val="0"/>
                  <w:divBdr>
                    <w:top w:val="none" w:sz="0" w:space="0" w:color="auto"/>
                    <w:left w:val="none" w:sz="0" w:space="0" w:color="auto"/>
                    <w:bottom w:val="none" w:sz="0" w:space="0" w:color="auto"/>
                    <w:right w:val="none" w:sz="0" w:space="0" w:color="auto"/>
                  </w:divBdr>
                  <w:divsChild>
                    <w:div w:id="772676990">
                      <w:marLeft w:val="0"/>
                      <w:marRight w:val="0"/>
                      <w:marTop w:val="0"/>
                      <w:marBottom w:val="0"/>
                      <w:divBdr>
                        <w:top w:val="none" w:sz="0" w:space="0" w:color="auto"/>
                        <w:left w:val="none" w:sz="0" w:space="0" w:color="auto"/>
                        <w:bottom w:val="none" w:sz="0" w:space="0" w:color="auto"/>
                        <w:right w:val="none" w:sz="0" w:space="0" w:color="auto"/>
                      </w:divBdr>
                    </w:div>
                  </w:divsChild>
                </w:div>
                <w:div w:id="2011710827">
                  <w:marLeft w:val="0"/>
                  <w:marRight w:val="0"/>
                  <w:marTop w:val="0"/>
                  <w:marBottom w:val="0"/>
                  <w:divBdr>
                    <w:top w:val="none" w:sz="0" w:space="0" w:color="auto"/>
                    <w:left w:val="none" w:sz="0" w:space="0" w:color="auto"/>
                    <w:bottom w:val="none" w:sz="0" w:space="0" w:color="auto"/>
                    <w:right w:val="none" w:sz="0" w:space="0" w:color="auto"/>
                  </w:divBdr>
                  <w:divsChild>
                    <w:div w:id="505941753">
                      <w:marLeft w:val="0"/>
                      <w:marRight w:val="0"/>
                      <w:marTop w:val="0"/>
                      <w:marBottom w:val="0"/>
                      <w:divBdr>
                        <w:top w:val="none" w:sz="0" w:space="0" w:color="auto"/>
                        <w:left w:val="none" w:sz="0" w:space="0" w:color="auto"/>
                        <w:bottom w:val="none" w:sz="0" w:space="0" w:color="auto"/>
                        <w:right w:val="none" w:sz="0" w:space="0" w:color="auto"/>
                      </w:divBdr>
                    </w:div>
                  </w:divsChild>
                </w:div>
                <w:div w:id="2015187291">
                  <w:marLeft w:val="0"/>
                  <w:marRight w:val="0"/>
                  <w:marTop w:val="0"/>
                  <w:marBottom w:val="0"/>
                  <w:divBdr>
                    <w:top w:val="none" w:sz="0" w:space="0" w:color="auto"/>
                    <w:left w:val="none" w:sz="0" w:space="0" w:color="auto"/>
                    <w:bottom w:val="none" w:sz="0" w:space="0" w:color="auto"/>
                    <w:right w:val="none" w:sz="0" w:space="0" w:color="auto"/>
                  </w:divBdr>
                  <w:divsChild>
                    <w:div w:id="1254372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54303218">
          <w:marLeft w:val="0"/>
          <w:marRight w:val="0"/>
          <w:marTop w:val="0"/>
          <w:marBottom w:val="0"/>
          <w:divBdr>
            <w:top w:val="none" w:sz="0" w:space="0" w:color="auto"/>
            <w:left w:val="none" w:sz="0" w:space="0" w:color="auto"/>
            <w:bottom w:val="none" w:sz="0" w:space="0" w:color="auto"/>
            <w:right w:val="none" w:sz="0" w:space="0" w:color="auto"/>
          </w:divBdr>
        </w:div>
        <w:div w:id="2055084385">
          <w:marLeft w:val="0"/>
          <w:marRight w:val="0"/>
          <w:marTop w:val="0"/>
          <w:marBottom w:val="0"/>
          <w:divBdr>
            <w:top w:val="none" w:sz="0" w:space="0" w:color="auto"/>
            <w:left w:val="none" w:sz="0" w:space="0" w:color="auto"/>
            <w:bottom w:val="none" w:sz="0" w:space="0" w:color="auto"/>
            <w:right w:val="none" w:sz="0" w:space="0" w:color="auto"/>
          </w:divBdr>
        </w:div>
        <w:div w:id="2057703279">
          <w:marLeft w:val="0"/>
          <w:marRight w:val="0"/>
          <w:marTop w:val="0"/>
          <w:marBottom w:val="0"/>
          <w:divBdr>
            <w:top w:val="none" w:sz="0" w:space="0" w:color="auto"/>
            <w:left w:val="none" w:sz="0" w:space="0" w:color="auto"/>
            <w:bottom w:val="none" w:sz="0" w:space="0" w:color="auto"/>
            <w:right w:val="none" w:sz="0" w:space="0" w:color="auto"/>
          </w:divBdr>
        </w:div>
        <w:div w:id="2060277650">
          <w:marLeft w:val="0"/>
          <w:marRight w:val="0"/>
          <w:marTop w:val="0"/>
          <w:marBottom w:val="0"/>
          <w:divBdr>
            <w:top w:val="none" w:sz="0" w:space="0" w:color="auto"/>
            <w:left w:val="none" w:sz="0" w:space="0" w:color="auto"/>
            <w:bottom w:val="none" w:sz="0" w:space="0" w:color="auto"/>
            <w:right w:val="none" w:sz="0" w:space="0" w:color="auto"/>
          </w:divBdr>
        </w:div>
        <w:div w:id="2065131377">
          <w:marLeft w:val="0"/>
          <w:marRight w:val="0"/>
          <w:marTop w:val="0"/>
          <w:marBottom w:val="0"/>
          <w:divBdr>
            <w:top w:val="none" w:sz="0" w:space="0" w:color="auto"/>
            <w:left w:val="none" w:sz="0" w:space="0" w:color="auto"/>
            <w:bottom w:val="none" w:sz="0" w:space="0" w:color="auto"/>
            <w:right w:val="none" w:sz="0" w:space="0" w:color="auto"/>
          </w:divBdr>
        </w:div>
        <w:div w:id="2074348599">
          <w:marLeft w:val="0"/>
          <w:marRight w:val="0"/>
          <w:marTop w:val="0"/>
          <w:marBottom w:val="0"/>
          <w:divBdr>
            <w:top w:val="none" w:sz="0" w:space="0" w:color="auto"/>
            <w:left w:val="none" w:sz="0" w:space="0" w:color="auto"/>
            <w:bottom w:val="none" w:sz="0" w:space="0" w:color="auto"/>
            <w:right w:val="none" w:sz="0" w:space="0" w:color="auto"/>
          </w:divBdr>
        </w:div>
        <w:div w:id="2085684399">
          <w:marLeft w:val="0"/>
          <w:marRight w:val="0"/>
          <w:marTop w:val="0"/>
          <w:marBottom w:val="0"/>
          <w:divBdr>
            <w:top w:val="none" w:sz="0" w:space="0" w:color="auto"/>
            <w:left w:val="none" w:sz="0" w:space="0" w:color="auto"/>
            <w:bottom w:val="none" w:sz="0" w:space="0" w:color="auto"/>
            <w:right w:val="none" w:sz="0" w:space="0" w:color="auto"/>
          </w:divBdr>
        </w:div>
        <w:div w:id="2098749707">
          <w:marLeft w:val="0"/>
          <w:marRight w:val="0"/>
          <w:marTop w:val="0"/>
          <w:marBottom w:val="0"/>
          <w:divBdr>
            <w:top w:val="none" w:sz="0" w:space="0" w:color="auto"/>
            <w:left w:val="none" w:sz="0" w:space="0" w:color="auto"/>
            <w:bottom w:val="none" w:sz="0" w:space="0" w:color="auto"/>
            <w:right w:val="none" w:sz="0" w:space="0" w:color="auto"/>
          </w:divBdr>
        </w:div>
        <w:div w:id="2114281646">
          <w:marLeft w:val="0"/>
          <w:marRight w:val="0"/>
          <w:marTop w:val="0"/>
          <w:marBottom w:val="0"/>
          <w:divBdr>
            <w:top w:val="none" w:sz="0" w:space="0" w:color="auto"/>
            <w:left w:val="none" w:sz="0" w:space="0" w:color="auto"/>
            <w:bottom w:val="none" w:sz="0" w:space="0" w:color="auto"/>
            <w:right w:val="none" w:sz="0" w:space="0" w:color="auto"/>
          </w:divBdr>
        </w:div>
        <w:div w:id="2114590907">
          <w:marLeft w:val="0"/>
          <w:marRight w:val="0"/>
          <w:marTop w:val="0"/>
          <w:marBottom w:val="0"/>
          <w:divBdr>
            <w:top w:val="none" w:sz="0" w:space="0" w:color="auto"/>
            <w:left w:val="none" w:sz="0" w:space="0" w:color="auto"/>
            <w:bottom w:val="none" w:sz="0" w:space="0" w:color="auto"/>
            <w:right w:val="none" w:sz="0" w:space="0" w:color="auto"/>
          </w:divBdr>
        </w:div>
        <w:div w:id="2117362222">
          <w:marLeft w:val="0"/>
          <w:marRight w:val="0"/>
          <w:marTop w:val="0"/>
          <w:marBottom w:val="0"/>
          <w:divBdr>
            <w:top w:val="none" w:sz="0" w:space="0" w:color="auto"/>
            <w:left w:val="none" w:sz="0" w:space="0" w:color="auto"/>
            <w:bottom w:val="none" w:sz="0" w:space="0" w:color="auto"/>
            <w:right w:val="none" w:sz="0" w:space="0" w:color="auto"/>
          </w:divBdr>
        </w:div>
        <w:div w:id="2137600259">
          <w:marLeft w:val="0"/>
          <w:marRight w:val="0"/>
          <w:marTop w:val="0"/>
          <w:marBottom w:val="0"/>
          <w:divBdr>
            <w:top w:val="none" w:sz="0" w:space="0" w:color="auto"/>
            <w:left w:val="none" w:sz="0" w:space="0" w:color="auto"/>
            <w:bottom w:val="none" w:sz="0" w:space="0" w:color="auto"/>
            <w:right w:val="none" w:sz="0" w:space="0" w:color="auto"/>
          </w:divBdr>
        </w:div>
        <w:div w:id="2143304866">
          <w:marLeft w:val="0"/>
          <w:marRight w:val="0"/>
          <w:marTop w:val="0"/>
          <w:marBottom w:val="0"/>
          <w:divBdr>
            <w:top w:val="none" w:sz="0" w:space="0" w:color="auto"/>
            <w:left w:val="none" w:sz="0" w:space="0" w:color="auto"/>
            <w:bottom w:val="none" w:sz="0" w:space="0" w:color="auto"/>
            <w:right w:val="none" w:sz="0" w:space="0" w:color="auto"/>
          </w:divBdr>
          <w:divsChild>
            <w:div w:id="794131001">
              <w:marLeft w:val="0"/>
              <w:marRight w:val="0"/>
              <w:marTop w:val="0"/>
              <w:marBottom w:val="0"/>
              <w:divBdr>
                <w:top w:val="none" w:sz="0" w:space="0" w:color="auto"/>
                <w:left w:val="none" w:sz="0" w:space="0" w:color="auto"/>
                <w:bottom w:val="none" w:sz="0" w:space="0" w:color="auto"/>
                <w:right w:val="none" w:sz="0" w:space="0" w:color="auto"/>
              </w:divBdr>
            </w:div>
            <w:div w:id="839927663">
              <w:marLeft w:val="0"/>
              <w:marRight w:val="0"/>
              <w:marTop w:val="0"/>
              <w:marBottom w:val="0"/>
              <w:divBdr>
                <w:top w:val="none" w:sz="0" w:space="0" w:color="auto"/>
                <w:left w:val="none" w:sz="0" w:space="0" w:color="auto"/>
                <w:bottom w:val="none" w:sz="0" w:space="0" w:color="auto"/>
                <w:right w:val="none" w:sz="0" w:space="0" w:color="auto"/>
              </w:divBdr>
            </w:div>
            <w:div w:id="940720253">
              <w:marLeft w:val="0"/>
              <w:marRight w:val="0"/>
              <w:marTop w:val="0"/>
              <w:marBottom w:val="0"/>
              <w:divBdr>
                <w:top w:val="none" w:sz="0" w:space="0" w:color="auto"/>
                <w:left w:val="none" w:sz="0" w:space="0" w:color="auto"/>
                <w:bottom w:val="none" w:sz="0" w:space="0" w:color="auto"/>
                <w:right w:val="none" w:sz="0" w:space="0" w:color="auto"/>
              </w:divBdr>
            </w:div>
            <w:div w:id="1082944452">
              <w:marLeft w:val="0"/>
              <w:marRight w:val="0"/>
              <w:marTop w:val="0"/>
              <w:marBottom w:val="0"/>
              <w:divBdr>
                <w:top w:val="none" w:sz="0" w:space="0" w:color="auto"/>
                <w:left w:val="none" w:sz="0" w:space="0" w:color="auto"/>
                <w:bottom w:val="none" w:sz="0" w:space="0" w:color="auto"/>
                <w:right w:val="none" w:sz="0" w:space="0" w:color="auto"/>
              </w:divBdr>
            </w:div>
            <w:div w:id="15988316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50120192">
      <w:bodyDiv w:val="1"/>
      <w:marLeft w:val="0"/>
      <w:marRight w:val="0"/>
      <w:marTop w:val="0"/>
      <w:marBottom w:val="0"/>
      <w:divBdr>
        <w:top w:val="none" w:sz="0" w:space="0" w:color="auto"/>
        <w:left w:val="none" w:sz="0" w:space="0" w:color="auto"/>
        <w:bottom w:val="none" w:sz="0" w:space="0" w:color="auto"/>
        <w:right w:val="none" w:sz="0" w:space="0" w:color="auto"/>
      </w:divBdr>
    </w:div>
    <w:div w:id="1972589687">
      <w:bodyDiv w:val="1"/>
      <w:marLeft w:val="0"/>
      <w:marRight w:val="0"/>
      <w:marTop w:val="0"/>
      <w:marBottom w:val="0"/>
      <w:divBdr>
        <w:top w:val="none" w:sz="0" w:space="0" w:color="auto"/>
        <w:left w:val="none" w:sz="0" w:space="0" w:color="auto"/>
        <w:bottom w:val="none" w:sz="0" w:space="0" w:color="auto"/>
        <w:right w:val="none" w:sz="0" w:space="0" w:color="auto"/>
      </w:divBdr>
    </w:div>
    <w:div w:id="1972665429">
      <w:bodyDiv w:val="1"/>
      <w:marLeft w:val="0"/>
      <w:marRight w:val="0"/>
      <w:marTop w:val="0"/>
      <w:marBottom w:val="0"/>
      <w:divBdr>
        <w:top w:val="none" w:sz="0" w:space="0" w:color="auto"/>
        <w:left w:val="none" w:sz="0" w:space="0" w:color="auto"/>
        <w:bottom w:val="none" w:sz="0" w:space="0" w:color="auto"/>
        <w:right w:val="none" w:sz="0" w:space="0" w:color="auto"/>
      </w:divBdr>
    </w:div>
    <w:div w:id="1980107257">
      <w:bodyDiv w:val="1"/>
      <w:marLeft w:val="0"/>
      <w:marRight w:val="0"/>
      <w:marTop w:val="0"/>
      <w:marBottom w:val="0"/>
      <w:divBdr>
        <w:top w:val="none" w:sz="0" w:space="0" w:color="auto"/>
        <w:left w:val="none" w:sz="0" w:space="0" w:color="auto"/>
        <w:bottom w:val="none" w:sz="0" w:space="0" w:color="auto"/>
        <w:right w:val="none" w:sz="0" w:space="0" w:color="auto"/>
      </w:divBdr>
    </w:div>
    <w:div w:id="1990134535">
      <w:bodyDiv w:val="1"/>
      <w:marLeft w:val="0"/>
      <w:marRight w:val="0"/>
      <w:marTop w:val="0"/>
      <w:marBottom w:val="0"/>
      <w:divBdr>
        <w:top w:val="none" w:sz="0" w:space="0" w:color="auto"/>
        <w:left w:val="none" w:sz="0" w:space="0" w:color="auto"/>
        <w:bottom w:val="none" w:sz="0" w:space="0" w:color="auto"/>
        <w:right w:val="none" w:sz="0" w:space="0" w:color="auto"/>
      </w:divBdr>
    </w:div>
    <w:div w:id="2000384684">
      <w:bodyDiv w:val="1"/>
      <w:marLeft w:val="0"/>
      <w:marRight w:val="0"/>
      <w:marTop w:val="0"/>
      <w:marBottom w:val="0"/>
      <w:divBdr>
        <w:top w:val="none" w:sz="0" w:space="0" w:color="auto"/>
        <w:left w:val="none" w:sz="0" w:space="0" w:color="auto"/>
        <w:bottom w:val="none" w:sz="0" w:space="0" w:color="auto"/>
        <w:right w:val="none" w:sz="0" w:space="0" w:color="auto"/>
      </w:divBdr>
    </w:div>
    <w:div w:id="2003465787">
      <w:bodyDiv w:val="1"/>
      <w:marLeft w:val="0"/>
      <w:marRight w:val="0"/>
      <w:marTop w:val="0"/>
      <w:marBottom w:val="0"/>
      <w:divBdr>
        <w:top w:val="none" w:sz="0" w:space="0" w:color="auto"/>
        <w:left w:val="none" w:sz="0" w:space="0" w:color="auto"/>
        <w:bottom w:val="none" w:sz="0" w:space="0" w:color="auto"/>
        <w:right w:val="none" w:sz="0" w:space="0" w:color="auto"/>
      </w:divBdr>
    </w:div>
    <w:div w:id="2007590185">
      <w:bodyDiv w:val="1"/>
      <w:marLeft w:val="0"/>
      <w:marRight w:val="0"/>
      <w:marTop w:val="0"/>
      <w:marBottom w:val="0"/>
      <w:divBdr>
        <w:top w:val="none" w:sz="0" w:space="0" w:color="auto"/>
        <w:left w:val="none" w:sz="0" w:space="0" w:color="auto"/>
        <w:bottom w:val="none" w:sz="0" w:space="0" w:color="auto"/>
        <w:right w:val="none" w:sz="0" w:space="0" w:color="auto"/>
      </w:divBdr>
    </w:div>
    <w:div w:id="2010521993">
      <w:bodyDiv w:val="1"/>
      <w:marLeft w:val="0"/>
      <w:marRight w:val="0"/>
      <w:marTop w:val="0"/>
      <w:marBottom w:val="0"/>
      <w:divBdr>
        <w:top w:val="none" w:sz="0" w:space="0" w:color="auto"/>
        <w:left w:val="none" w:sz="0" w:space="0" w:color="auto"/>
        <w:bottom w:val="none" w:sz="0" w:space="0" w:color="auto"/>
        <w:right w:val="none" w:sz="0" w:space="0" w:color="auto"/>
      </w:divBdr>
      <w:divsChild>
        <w:div w:id="1983189937">
          <w:marLeft w:val="0"/>
          <w:marRight w:val="0"/>
          <w:marTop w:val="0"/>
          <w:marBottom w:val="0"/>
          <w:divBdr>
            <w:top w:val="none" w:sz="0" w:space="0" w:color="auto"/>
            <w:left w:val="none" w:sz="0" w:space="0" w:color="auto"/>
            <w:bottom w:val="none" w:sz="0" w:space="0" w:color="auto"/>
            <w:right w:val="none" w:sz="0" w:space="0" w:color="auto"/>
          </w:divBdr>
          <w:divsChild>
            <w:div w:id="159397077">
              <w:marLeft w:val="0"/>
              <w:marRight w:val="0"/>
              <w:marTop w:val="0"/>
              <w:marBottom w:val="0"/>
              <w:divBdr>
                <w:top w:val="none" w:sz="0" w:space="0" w:color="auto"/>
                <w:left w:val="none" w:sz="0" w:space="0" w:color="auto"/>
                <w:bottom w:val="none" w:sz="0" w:space="0" w:color="auto"/>
                <w:right w:val="none" w:sz="0" w:space="0" w:color="auto"/>
              </w:divBdr>
            </w:div>
          </w:divsChild>
        </w:div>
        <w:div w:id="893388873">
          <w:marLeft w:val="0"/>
          <w:marRight w:val="0"/>
          <w:marTop w:val="0"/>
          <w:marBottom w:val="0"/>
          <w:divBdr>
            <w:top w:val="none" w:sz="0" w:space="0" w:color="auto"/>
            <w:left w:val="none" w:sz="0" w:space="0" w:color="auto"/>
            <w:bottom w:val="none" w:sz="0" w:space="0" w:color="auto"/>
            <w:right w:val="none" w:sz="0" w:space="0" w:color="auto"/>
          </w:divBdr>
          <w:divsChild>
            <w:div w:id="1804886237">
              <w:marLeft w:val="0"/>
              <w:marRight w:val="0"/>
              <w:marTop w:val="0"/>
              <w:marBottom w:val="0"/>
              <w:divBdr>
                <w:top w:val="none" w:sz="0" w:space="0" w:color="auto"/>
                <w:left w:val="none" w:sz="0" w:space="0" w:color="auto"/>
                <w:bottom w:val="none" w:sz="0" w:space="0" w:color="auto"/>
                <w:right w:val="none" w:sz="0" w:space="0" w:color="auto"/>
              </w:divBdr>
            </w:div>
          </w:divsChild>
        </w:div>
        <w:div w:id="1295060972">
          <w:marLeft w:val="0"/>
          <w:marRight w:val="0"/>
          <w:marTop w:val="0"/>
          <w:marBottom w:val="0"/>
          <w:divBdr>
            <w:top w:val="none" w:sz="0" w:space="0" w:color="auto"/>
            <w:left w:val="none" w:sz="0" w:space="0" w:color="auto"/>
            <w:bottom w:val="none" w:sz="0" w:space="0" w:color="auto"/>
            <w:right w:val="none" w:sz="0" w:space="0" w:color="auto"/>
          </w:divBdr>
          <w:divsChild>
            <w:div w:id="1428113922">
              <w:marLeft w:val="0"/>
              <w:marRight w:val="0"/>
              <w:marTop w:val="0"/>
              <w:marBottom w:val="0"/>
              <w:divBdr>
                <w:top w:val="none" w:sz="0" w:space="0" w:color="auto"/>
                <w:left w:val="none" w:sz="0" w:space="0" w:color="auto"/>
                <w:bottom w:val="none" w:sz="0" w:space="0" w:color="auto"/>
                <w:right w:val="none" w:sz="0" w:space="0" w:color="auto"/>
              </w:divBdr>
            </w:div>
            <w:div w:id="1344237147">
              <w:marLeft w:val="0"/>
              <w:marRight w:val="0"/>
              <w:marTop w:val="0"/>
              <w:marBottom w:val="0"/>
              <w:divBdr>
                <w:top w:val="none" w:sz="0" w:space="0" w:color="auto"/>
                <w:left w:val="none" w:sz="0" w:space="0" w:color="auto"/>
                <w:bottom w:val="none" w:sz="0" w:space="0" w:color="auto"/>
                <w:right w:val="none" w:sz="0" w:space="0" w:color="auto"/>
              </w:divBdr>
            </w:div>
            <w:div w:id="1031764393">
              <w:marLeft w:val="0"/>
              <w:marRight w:val="0"/>
              <w:marTop w:val="0"/>
              <w:marBottom w:val="0"/>
              <w:divBdr>
                <w:top w:val="none" w:sz="0" w:space="0" w:color="auto"/>
                <w:left w:val="none" w:sz="0" w:space="0" w:color="auto"/>
                <w:bottom w:val="none" w:sz="0" w:space="0" w:color="auto"/>
                <w:right w:val="none" w:sz="0" w:space="0" w:color="auto"/>
              </w:divBdr>
            </w:div>
            <w:div w:id="3941037">
              <w:marLeft w:val="0"/>
              <w:marRight w:val="0"/>
              <w:marTop w:val="0"/>
              <w:marBottom w:val="0"/>
              <w:divBdr>
                <w:top w:val="none" w:sz="0" w:space="0" w:color="auto"/>
                <w:left w:val="none" w:sz="0" w:space="0" w:color="auto"/>
                <w:bottom w:val="none" w:sz="0" w:space="0" w:color="auto"/>
                <w:right w:val="none" w:sz="0" w:space="0" w:color="auto"/>
              </w:divBdr>
            </w:div>
          </w:divsChild>
        </w:div>
        <w:div w:id="2052340362">
          <w:marLeft w:val="0"/>
          <w:marRight w:val="0"/>
          <w:marTop w:val="0"/>
          <w:marBottom w:val="0"/>
          <w:divBdr>
            <w:top w:val="none" w:sz="0" w:space="0" w:color="auto"/>
            <w:left w:val="none" w:sz="0" w:space="0" w:color="auto"/>
            <w:bottom w:val="none" w:sz="0" w:space="0" w:color="auto"/>
            <w:right w:val="none" w:sz="0" w:space="0" w:color="auto"/>
          </w:divBdr>
          <w:divsChild>
            <w:div w:id="1275747107">
              <w:marLeft w:val="0"/>
              <w:marRight w:val="0"/>
              <w:marTop w:val="0"/>
              <w:marBottom w:val="0"/>
              <w:divBdr>
                <w:top w:val="none" w:sz="0" w:space="0" w:color="auto"/>
                <w:left w:val="none" w:sz="0" w:space="0" w:color="auto"/>
                <w:bottom w:val="none" w:sz="0" w:space="0" w:color="auto"/>
                <w:right w:val="none" w:sz="0" w:space="0" w:color="auto"/>
              </w:divBdr>
            </w:div>
            <w:div w:id="2086949633">
              <w:marLeft w:val="0"/>
              <w:marRight w:val="0"/>
              <w:marTop w:val="0"/>
              <w:marBottom w:val="0"/>
              <w:divBdr>
                <w:top w:val="none" w:sz="0" w:space="0" w:color="auto"/>
                <w:left w:val="none" w:sz="0" w:space="0" w:color="auto"/>
                <w:bottom w:val="none" w:sz="0" w:space="0" w:color="auto"/>
                <w:right w:val="none" w:sz="0" w:space="0" w:color="auto"/>
              </w:divBdr>
            </w:div>
            <w:div w:id="1877037959">
              <w:marLeft w:val="0"/>
              <w:marRight w:val="0"/>
              <w:marTop w:val="0"/>
              <w:marBottom w:val="0"/>
              <w:divBdr>
                <w:top w:val="none" w:sz="0" w:space="0" w:color="auto"/>
                <w:left w:val="none" w:sz="0" w:space="0" w:color="auto"/>
                <w:bottom w:val="none" w:sz="0" w:space="0" w:color="auto"/>
                <w:right w:val="none" w:sz="0" w:space="0" w:color="auto"/>
              </w:divBdr>
            </w:div>
          </w:divsChild>
        </w:div>
        <w:div w:id="990475573">
          <w:marLeft w:val="0"/>
          <w:marRight w:val="0"/>
          <w:marTop w:val="0"/>
          <w:marBottom w:val="0"/>
          <w:divBdr>
            <w:top w:val="none" w:sz="0" w:space="0" w:color="auto"/>
            <w:left w:val="none" w:sz="0" w:space="0" w:color="auto"/>
            <w:bottom w:val="none" w:sz="0" w:space="0" w:color="auto"/>
            <w:right w:val="none" w:sz="0" w:space="0" w:color="auto"/>
          </w:divBdr>
          <w:divsChild>
            <w:div w:id="1300845134">
              <w:marLeft w:val="0"/>
              <w:marRight w:val="0"/>
              <w:marTop w:val="0"/>
              <w:marBottom w:val="0"/>
              <w:divBdr>
                <w:top w:val="none" w:sz="0" w:space="0" w:color="auto"/>
                <w:left w:val="none" w:sz="0" w:space="0" w:color="auto"/>
                <w:bottom w:val="none" w:sz="0" w:space="0" w:color="auto"/>
                <w:right w:val="none" w:sz="0" w:space="0" w:color="auto"/>
              </w:divBdr>
            </w:div>
            <w:div w:id="223178264">
              <w:marLeft w:val="0"/>
              <w:marRight w:val="0"/>
              <w:marTop w:val="0"/>
              <w:marBottom w:val="0"/>
              <w:divBdr>
                <w:top w:val="none" w:sz="0" w:space="0" w:color="auto"/>
                <w:left w:val="none" w:sz="0" w:space="0" w:color="auto"/>
                <w:bottom w:val="none" w:sz="0" w:space="0" w:color="auto"/>
                <w:right w:val="none" w:sz="0" w:space="0" w:color="auto"/>
              </w:divBdr>
            </w:div>
          </w:divsChild>
        </w:div>
        <w:div w:id="2013486031">
          <w:marLeft w:val="0"/>
          <w:marRight w:val="0"/>
          <w:marTop w:val="0"/>
          <w:marBottom w:val="0"/>
          <w:divBdr>
            <w:top w:val="none" w:sz="0" w:space="0" w:color="auto"/>
            <w:left w:val="none" w:sz="0" w:space="0" w:color="auto"/>
            <w:bottom w:val="none" w:sz="0" w:space="0" w:color="auto"/>
            <w:right w:val="none" w:sz="0" w:space="0" w:color="auto"/>
          </w:divBdr>
          <w:divsChild>
            <w:div w:id="486478776">
              <w:marLeft w:val="0"/>
              <w:marRight w:val="0"/>
              <w:marTop w:val="0"/>
              <w:marBottom w:val="0"/>
              <w:divBdr>
                <w:top w:val="none" w:sz="0" w:space="0" w:color="auto"/>
                <w:left w:val="none" w:sz="0" w:space="0" w:color="auto"/>
                <w:bottom w:val="none" w:sz="0" w:space="0" w:color="auto"/>
                <w:right w:val="none" w:sz="0" w:space="0" w:color="auto"/>
              </w:divBdr>
            </w:div>
            <w:div w:id="301694314">
              <w:marLeft w:val="0"/>
              <w:marRight w:val="0"/>
              <w:marTop w:val="0"/>
              <w:marBottom w:val="0"/>
              <w:divBdr>
                <w:top w:val="none" w:sz="0" w:space="0" w:color="auto"/>
                <w:left w:val="none" w:sz="0" w:space="0" w:color="auto"/>
                <w:bottom w:val="none" w:sz="0" w:space="0" w:color="auto"/>
                <w:right w:val="none" w:sz="0" w:space="0" w:color="auto"/>
              </w:divBdr>
            </w:div>
            <w:div w:id="1876654703">
              <w:marLeft w:val="0"/>
              <w:marRight w:val="0"/>
              <w:marTop w:val="0"/>
              <w:marBottom w:val="0"/>
              <w:divBdr>
                <w:top w:val="none" w:sz="0" w:space="0" w:color="auto"/>
                <w:left w:val="none" w:sz="0" w:space="0" w:color="auto"/>
                <w:bottom w:val="none" w:sz="0" w:space="0" w:color="auto"/>
                <w:right w:val="none" w:sz="0" w:space="0" w:color="auto"/>
              </w:divBdr>
            </w:div>
            <w:div w:id="240219877">
              <w:marLeft w:val="0"/>
              <w:marRight w:val="0"/>
              <w:marTop w:val="0"/>
              <w:marBottom w:val="0"/>
              <w:divBdr>
                <w:top w:val="none" w:sz="0" w:space="0" w:color="auto"/>
                <w:left w:val="none" w:sz="0" w:space="0" w:color="auto"/>
                <w:bottom w:val="none" w:sz="0" w:space="0" w:color="auto"/>
                <w:right w:val="none" w:sz="0" w:space="0" w:color="auto"/>
              </w:divBdr>
            </w:div>
            <w:div w:id="1444616203">
              <w:marLeft w:val="0"/>
              <w:marRight w:val="0"/>
              <w:marTop w:val="0"/>
              <w:marBottom w:val="0"/>
              <w:divBdr>
                <w:top w:val="none" w:sz="0" w:space="0" w:color="auto"/>
                <w:left w:val="none" w:sz="0" w:space="0" w:color="auto"/>
                <w:bottom w:val="none" w:sz="0" w:space="0" w:color="auto"/>
                <w:right w:val="none" w:sz="0" w:space="0" w:color="auto"/>
              </w:divBdr>
            </w:div>
            <w:div w:id="2087336270">
              <w:marLeft w:val="0"/>
              <w:marRight w:val="0"/>
              <w:marTop w:val="0"/>
              <w:marBottom w:val="0"/>
              <w:divBdr>
                <w:top w:val="none" w:sz="0" w:space="0" w:color="auto"/>
                <w:left w:val="none" w:sz="0" w:space="0" w:color="auto"/>
                <w:bottom w:val="none" w:sz="0" w:space="0" w:color="auto"/>
                <w:right w:val="none" w:sz="0" w:space="0" w:color="auto"/>
              </w:divBdr>
            </w:div>
          </w:divsChild>
        </w:div>
        <w:div w:id="881937988">
          <w:marLeft w:val="0"/>
          <w:marRight w:val="0"/>
          <w:marTop w:val="0"/>
          <w:marBottom w:val="0"/>
          <w:divBdr>
            <w:top w:val="none" w:sz="0" w:space="0" w:color="auto"/>
            <w:left w:val="none" w:sz="0" w:space="0" w:color="auto"/>
            <w:bottom w:val="none" w:sz="0" w:space="0" w:color="auto"/>
            <w:right w:val="none" w:sz="0" w:space="0" w:color="auto"/>
          </w:divBdr>
          <w:divsChild>
            <w:div w:id="1103065733">
              <w:marLeft w:val="0"/>
              <w:marRight w:val="0"/>
              <w:marTop w:val="0"/>
              <w:marBottom w:val="0"/>
              <w:divBdr>
                <w:top w:val="none" w:sz="0" w:space="0" w:color="auto"/>
                <w:left w:val="none" w:sz="0" w:space="0" w:color="auto"/>
                <w:bottom w:val="none" w:sz="0" w:space="0" w:color="auto"/>
                <w:right w:val="none" w:sz="0" w:space="0" w:color="auto"/>
              </w:divBdr>
            </w:div>
            <w:div w:id="2132749199">
              <w:marLeft w:val="0"/>
              <w:marRight w:val="0"/>
              <w:marTop w:val="0"/>
              <w:marBottom w:val="0"/>
              <w:divBdr>
                <w:top w:val="none" w:sz="0" w:space="0" w:color="auto"/>
                <w:left w:val="none" w:sz="0" w:space="0" w:color="auto"/>
                <w:bottom w:val="none" w:sz="0" w:space="0" w:color="auto"/>
                <w:right w:val="none" w:sz="0" w:space="0" w:color="auto"/>
              </w:divBdr>
            </w:div>
            <w:div w:id="730811207">
              <w:marLeft w:val="0"/>
              <w:marRight w:val="0"/>
              <w:marTop w:val="0"/>
              <w:marBottom w:val="0"/>
              <w:divBdr>
                <w:top w:val="none" w:sz="0" w:space="0" w:color="auto"/>
                <w:left w:val="none" w:sz="0" w:space="0" w:color="auto"/>
                <w:bottom w:val="none" w:sz="0" w:space="0" w:color="auto"/>
                <w:right w:val="none" w:sz="0" w:space="0" w:color="auto"/>
              </w:divBdr>
            </w:div>
            <w:div w:id="2043046474">
              <w:marLeft w:val="0"/>
              <w:marRight w:val="0"/>
              <w:marTop w:val="0"/>
              <w:marBottom w:val="0"/>
              <w:divBdr>
                <w:top w:val="none" w:sz="0" w:space="0" w:color="auto"/>
                <w:left w:val="none" w:sz="0" w:space="0" w:color="auto"/>
                <w:bottom w:val="none" w:sz="0" w:space="0" w:color="auto"/>
                <w:right w:val="none" w:sz="0" w:space="0" w:color="auto"/>
              </w:divBdr>
            </w:div>
          </w:divsChild>
        </w:div>
        <w:div w:id="1232236227">
          <w:marLeft w:val="0"/>
          <w:marRight w:val="0"/>
          <w:marTop w:val="0"/>
          <w:marBottom w:val="0"/>
          <w:divBdr>
            <w:top w:val="none" w:sz="0" w:space="0" w:color="auto"/>
            <w:left w:val="none" w:sz="0" w:space="0" w:color="auto"/>
            <w:bottom w:val="none" w:sz="0" w:space="0" w:color="auto"/>
            <w:right w:val="none" w:sz="0" w:space="0" w:color="auto"/>
          </w:divBdr>
          <w:divsChild>
            <w:div w:id="937978853">
              <w:marLeft w:val="0"/>
              <w:marRight w:val="0"/>
              <w:marTop w:val="0"/>
              <w:marBottom w:val="0"/>
              <w:divBdr>
                <w:top w:val="none" w:sz="0" w:space="0" w:color="auto"/>
                <w:left w:val="none" w:sz="0" w:space="0" w:color="auto"/>
                <w:bottom w:val="none" w:sz="0" w:space="0" w:color="auto"/>
                <w:right w:val="none" w:sz="0" w:space="0" w:color="auto"/>
              </w:divBdr>
            </w:div>
          </w:divsChild>
        </w:div>
        <w:div w:id="1027027660">
          <w:marLeft w:val="0"/>
          <w:marRight w:val="0"/>
          <w:marTop w:val="0"/>
          <w:marBottom w:val="0"/>
          <w:divBdr>
            <w:top w:val="none" w:sz="0" w:space="0" w:color="auto"/>
            <w:left w:val="none" w:sz="0" w:space="0" w:color="auto"/>
            <w:bottom w:val="none" w:sz="0" w:space="0" w:color="auto"/>
            <w:right w:val="none" w:sz="0" w:space="0" w:color="auto"/>
          </w:divBdr>
          <w:divsChild>
            <w:div w:id="1235241263">
              <w:marLeft w:val="0"/>
              <w:marRight w:val="0"/>
              <w:marTop w:val="0"/>
              <w:marBottom w:val="0"/>
              <w:divBdr>
                <w:top w:val="none" w:sz="0" w:space="0" w:color="auto"/>
                <w:left w:val="none" w:sz="0" w:space="0" w:color="auto"/>
                <w:bottom w:val="none" w:sz="0" w:space="0" w:color="auto"/>
                <w:right w:val="none" w:sz="0" w:space="0" w:color="auto"/>
              </w:divBdr>
            </w:div>
            <w:div w:id="717824627">
              <w:marLeft w:val="0"/>
              <w:marRight w:val="0"/>
              <w:marTop w:val="0"/>
              <w:marBottom w:val="0"/>
              <w:divBdr>
                <w:top w:val="none" w:sz="0" w:space="0" w:color="auto"/>
                <w:left w:val="none" w:sz="0" w:space="0" w:color="auto"/>
                <w:bottom w:val="none" w:sz="0" w:space="0" w:color="auto"/>
                <w:right w:val="none" w:sz="0" w:space="0" w:color="auto"/>
              </w:divBdr>
            </w:div>
            <w:div w:id="608588735">
              <w:marLeft w:val="0"/>
              <w:marRight w:val="0"/>
              <w:marTop w:val="0"/>
              <w:marBottom w:val="0"/>
              <w:divBdr>
                <w:top w:val="none" w:sz="0" w:space="0" w:color="auto"/>
                <w:left w:val="none" w:sz="0" w:space="0" w:color="auto"/>
                <w:bottom w:val="none" w:sz="0" w:space="0" w:color="auto"/>
                <w:right w:val="none" w:sz="0" w:space="0" w:color="auto"/>
              </w:divBdr>
            </w:div>
            <w:div w:id="2001616131">
              <w:marLeft w:val="0"/>
              <w:marRight w:val="0"/>
              <w:marTop w:val="0"/>
              <w:marBottom w:val="0"/>
              <w:divBdr>
                <w:top w:val="none" w:sz="0" w:space="0" w:color="auto"/>
                <w:left w:val="none" w:sz="0" w:space="0" w:color="auto"/>
                <w:bottom w:val="none" w:sz="0" w:space="0" w:color="auto"/>
                <w:right w:val="none" w:sz="0" w:space="0" w:color="auto"/>
              </w:divBdr>
            </w:div>
          </w:divsChild>
        </w:div>
        <w:div w:id="563838276">
          <w:marLeft w:val="0"/>
          <w:marRight w:val="0"/>
          <w:marTop w:val="0"/>
          <w:marBottom w:val="0"/>
          <w:divBdr>
            <w:top w:val="none" w:sz="0" w:space="0" w:color="auto"/>
            <w:left w:val="none" w:sz="0" w:space="0" w:color="auto"/>
            <w:bottom w:val="none" w:sz="0" w:space="0" w:color="auto"/>
            <w:right w:val="none" w:sz="0" w:space="0" w:color="auto"/>
          </w:divBdr>
          <w:divsChild>
            <w:div w:id="1620645916">
              <w:marLeft w:val="0"/>
              <w:marRight w:val="0"/>
              <w:marTop w:val="0"/>
              <w:marBottom w:val="0"/>
              <w:divBdr>
                <w:top w:val="none" w:sz="0" w:space="0" w:color="auto"/>
                <w:left w:val="none" w:sz="0" w:space="0" w:color="auto"/>
                <w:bottom w:val="none" w:sz="0" w:space="0" w:color="auto"/>
                <w:right w:val="none" w:sz="0" w:space="0" w:color="auto"/>
              </w:divBdr>
            </w:div>
            <w:div w:id="69734162">
              <w:marLeft w:val="0"/>
              <w:marRight w:val="0"/>
              <w:marTop w:val="0"/>
              <w:marBottom w:val="0"/>
              <w:divBdr>
                <w:top w:val="none" w:sz="0" w:space="0" w:color="auto"/>
                <w:left w:val="none" w:sz="0" w:space="0" w:color="auto"/>
                <w:bottom w:val="none" w:sz="0" w:space="0" w:color="auto"/>
                <w:right w:val="none" w:sz="0" w:space="0" w:color="auto"/>
              </w:divBdr>
            </w:div>
            <w:div w:id="1078865350">
              <w:marLeft w:val="0"/>
              <w:marRight w:val="0"/>
              <w:marTop w:val="0"/>
              <w:marBottom w:val="0"/>
              <w:divBdr>
                <w:top w:val="none" w:sz="0" w:space="0" w:color="auto"/>
                <w:left w:val="none" w:sz="0" w:space="0" w:color="auto"/>
                <w:bottom w:val="none" w:sz="0" w:space="0" w:color="auto"/>
                <w:right w:val="none" w:sz="0" w:space="0" w:color="auto"/>
              </w:divBdr>
            </w:div>
            <w:div w:id="577330920">
              <w:marLeft w:val="0"/>
              <w:marRight w:val="0"/>
              <w:marTop w:val="0"/>
              <w:marBottom w:val="0"/>
              <w:divBdr>
                <w:top w:val="none" w:sz="0" w:space="0" w:color="auto"/>
                <w:left w:val="none" w:sz="0" w:space="0" w:color="auto"/>
                <w:bottom w:val="none" w:sz="0" w:space="0" w:color="auto"/>
                <w:right w:val="none" w:sz="0" w:space="0" w:color="auto"/>
              </w:divBdr>
            </w:div>
          </w:divsChild>
        </w:div>
        <w:div w:id="1881242996">
          <w:marLeft w:val="0"/>
          <w:marRight w:val="0"/>
          <w:marTop w:val="0"/>
          <w:marBottom w:val="0"/>
          <w:divBdr>
            <w:top w:val="none" w:sz="0" w:space="0" w:color="auto"/>
            <w:left w:val="none" w:sz="0" w:space="0" w:color="auto"/>
            <w:bottom w:val="none" w:sz="0" w:space="0" w:color="auto"/>
            <w:right w:val="none" w:sz="0" w:space="0" w:color="auto"/>
          </w:divBdr>
          <w:divsChild>
            <w:div w:id="1160728749">
              <w:marLeft w:val="0"/>
              <w:marRight w:val="0"/>
              <w:marTop w:val="0"/>
              <w:marBottom w:val="0"/>
              <w:divBdr>
                <w:top w:val="none" w:sz="0" w:space="0" w:color="auto"/>
                <w:left w:val="none" w:sz="0" w:space="0" w:color="auto"/>
                <w:bottom w:val="none" w:sz="0" w:space="0" w:color="auto"/>
                <w:right w:val="none" w:sz="0" w:space="0" w:color="auto"/>
              </w:divBdr>
            </w:div>
            <w:div w:id="515072105">
              <w:marLeft w:val="0"/>
              <w:marRight w:val="0"/>
              <w:marTop w:val="0"/>
              <w:marBottom w:val="0"/>
              <w:divBdr>
                <w:top w:val="none" w:sz="0" w:space="0" w:color="auto"/>
                <w:left w:val="none" w:sz="0" w:space="0" w:color="auto"/>
                <w:bottom w:val="none" w:sz="0" w:space="0" w:color="auto"/>
                <w:right w:val="none" w:sz="0" w:space="0" w:color="auto"/>
              </w:divBdr>
            </w:div>
            <w:div w:id="1231772614">
              <w:marLeft w:val="0"/>
              <w:marRight w:val="0"/>
              <w:marTop w:val="0"/>
              <w:marBottom w:val="0"/>
              <w:divBdr>
                <w:top w:val="none" w:sz="0" w:space="0" w:color="auto"/>
                <w:left w:val="none" w:sz="0" w:space="0" w:color="auto"/>
                <w:bottom w:val="none" w:sz="0" w:space="0" w:color="auto"/>
                <w:right w:val="none" w:sz="0" w:space="0" w:color="auto"/>
              </w:divBdr>
            </w:div>
          </w:divsChild>
        </w:div>
        <w:div w:id="493491416">
          <w:marLeft w:val="0"/>
          <w:marRight w:val="0"/>
          <w:marTop w:val="0"/>
          <w:marBottom w:val="0"/>
          <w:divBdr>
            <w:top w:val="none" w:sz="0" w:space="0" w:color="auto"/>
            <w:left w:val="none" w:sz="0" w:space="0" w:color="auto"/>
            <w:bottom w:val="none" w:sz="0" w:space="0" w:color="auto"/>
            <w:right w:val="none" w:sz="0" w:space="0" w:color="auto"/>
          </w:divBdr>
          <w:divsChild>
            <w:div w:id="67118700">
              <w:marLeft w:val="0"/>
              <w:marRight w:val="0"/>
              <w:marTop w:val="0"/>
              <w:marBottom w:val="0"/>
              <w:divBdr>
                <w:top w:val="none" w:sz="0" w:space="0" w:color="auto"/>
                <w:left w:val="none" w:sz="0" w:space="0" w:color="auto"/>
                <w:bottom w:val="none" w:sz="0" w:space="0" w:color="auto"/>
                <w:right w:val="none" w:sz="0" w:space="0" w:color="auto"/>
              </w:divBdr>
            </w:div>
            <w:div w:id="401878263">
              <w:marLeft w:val="0"/>
              <w:marRight w:val="0"/>
              <w:marTop w:val="0"/>
              <w:marBottom w:val="0"/>
              <w:divBdr>
                <w:top w:val="none" w:sz="0" w:space="0" w:color="auto"/>
                <w:left w:val="none" w:sz="0" w:space="0" w:color="auto"/>
                <w:bottom w:val="none" w:sz="0" w:space="0" w:color="auto"/>
                <w:right w:val="none" w:sz="0" w:space="0" w:color="auto"/>
              </w:divBdr>
            </w:div>
            <w:div w:id="594438086">
              <w:marLeft w:val="0"/>
              <w:marRight w:val="0"/>
              <w:marTop w:val="0"/>
              <w:marBottom w:val="0"/>
              <w:divBdr>
                <w:top w:val="none" w:sz="0" w:space="0" w:color="auto"/>
                <w:left w:val="none" w:sz="0" w:space="0" w:color="auto"/>
                <w:bottom w:val="none" w:sz="0" w:space="0" w:color="auto"/>
                <w:right w:val="none" w:sz="0" w:space="0" w:color="auto"/>
              </w:divBdr>
            </w:div>
            <w:div w:id="1144278496">
              <w:marLeft w:val="0"/>
              <w:marRight w:val="0"/>
              <w:marTop w:val="0"/>
              <w:marBottom w:val="0"/>
              <w:divBdr>
                <w:top w:val="none" w:sz="0" w:space="0" w:color="auto"/>
                <w:left w:val="none" w:sz="0" w:space="0" w:color="auto"/>
                <w:bottom w:val="none" w:sz="0" w:space="0" w:color="auto"/>
                <w:right w:val="none" w:sz="0" w:space="0" w:color="auto"/>
              </w:divBdr>
            </w:div>
            <w:div w:id="391849984">
              <w:marLeft w:val="0"/>
              <w:marRight w:val="0"/>
              <w:marTop w:val="0"/>
              <w:marBottom w:val="0"/>
              <w:divBdr>
                <w:top w:val="none" w:sz="0" w:space="0" w:color="auto"/>
                <w:left w:val="none" w:sz="0" w:space="0" w:color="auto"/>
                <w:bottom w:val="none" w:sz="0" w:space="0" w:color="auto"/>
                <w:right w:val="none" w:sz="0" w:space="0" w:color="auto"/>
              </w:divBdr>
            </w:div>
          </w:divsChild>
        </w:div>
        <w:div w:id="213931857">
          <w:marLeft w:val="0"/>
          <w:marRight w:val="0"/>
          <w:marTop w:val="0"/>
          <w:marBottom w:val="0"/>
          <w:divBdr>
            <w:top w:val="none" w:sz="0" w:space="0" w:color="auto"/>
            <w:left w:val="none" w:sz="0" w:space="0" w:color="auto"/>
            <w:bottom w:val="none" w:sz="0" w:space="0" w:color="auto"/>
            <w:right w:val="none" w:sz="0" w:space="0" w:color="auto"/>
          </w:divBdr>
          <w:divsChild>
            <w:div w:id="5214358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6493056">
      <w:bodyDiv w:val="1"/>
      <w:marLeft w:val="0"/>
      <w:marRight w:val="0"/>
      <w:marTop w:val="0"/>
      <w:marBottom w:val="0"/>
      <w:divBdr>
        <w:top w:val="none" w:sz="0" w:space="0" w:color="auto"/>
        <w:left w:val="none" w:sz="0" w:space="0" w:color="auto"/>
        <w:bottom w:val="none" w:sz="0" w:space="0" w:color="auto"/>
        <w:right w:val="none" w:sz="0" w:space="0" w:color="auto"/>
      </w:divBdr>
    </w:div>
    <w:div w:id="2021279109">
      <w:bodyDiv w:val="1"/>
      <w:marLeft w:val="0"/>
      <w:marRight w:val="0"/>
      <w:marTop w:val="0"/>
      <w:marBottom w:val="0"/>
      <w:divBdr>
        <w:top w:val="none" w:sz="0" w:space="0" w:color="auto"/>
        <w:left w:val="none" w:sz="0" w:space="0" w:color="auto"/>
        <w:bottom w:val="none" w:sz="0" w:space="0" w:color="auto"/>
        <w:right w:val="none" w:sz="0" w:space="0" w:color="auto"/>
      </w:divBdr>
    </w:div>
    <w:div w:id="2031485193">
      <w:bodyDiv w:val="1"/>
      <w:marLeft w:val="0"/>
      <w:marRight w:val="0"/>
      <w:marTop w:val="0"/>
      <w:marBottom w:val="0"/>
      <w:divBdr>
        <w:top w:val="none" w:sz="0" w:space="0" w:color="auto"/>
        <w:left w:val="none" w:sz="0" w:space="0" w:color="auto"/>
        <w:bottom w:val="none" w:sz="0" w:space="0" w:color="auto"/>
        <w:right w:val="none" w:sz="0" w:space="0" w:color="auto"/>
      </w:divBdr>
    </w:div>
    <w:div w:id="2031683077">
      <w:bodyDiv w:val="1"/>
      <w:marLeft w:val="0"/>
      <w:marRight w:val="0"/>
      <w:marTop w:val="0"/>
      <w:marBottom w:val="0"/>
      <w:divBdr>
        <w:top w:val="none" w:sz="0" w:space="0" w:color="auto"/>
        <w:left w:val="none" w:sz="0" w:space="0" w:color="auto"/>
        <w:bottom w:val="none" w:sz="0" w:space="0" w:color="auto"/>
        <w:right w:val="none" w:sz="0" w:space="0" w:color="auto"/>
      </w:divBdr>
    </w:div>
    <w:div w:id="2036416504">
      <w:bodyDiv w:val="1"/>
      <w:marLeft w:val="0"/>
      <w:marRight w:val="0"/>
      <w:marTop w:val="0"/>
      <w:marBottom w:val="0"/>
      <w:divBdr>
        <w:top w:val="none" w:sz="0" w:space="0" w:color="auto"/>
        <w:left w:val="none" w:sz="0" w:space="0" w:color="auto"/>
        <w:bottom w:val="none" w:sz="0" w:space="0" w:color="auto"/>
        <w:right w:val="none" w:sz="0" w:space="0" w:color="auto"/>
      </w:divBdr>
    </w:div>
    <w:div w:id="2036878294">
      <w:bodyDiv w:val="1"/>
      <w:marLeft w:val="0"/>
      <w:marRight w:val="0"/>
      <w:marTop w:val="0"/>
      <w:marBottom w:val="0"/>
      <w:divBdr>
        <w:top w:val="none" w:sz="0" w:space="0" w:color="auto"/>
        <w:left w:val="none" w:sz="0" w:space="0" w:color="auto"/>
        <w:bottom w:val="none" w:sz="0" w:space="0" w:color="auto"/>
        <w:right w:val="none" w:sz="0" w:space="0" w:color="auto"/>
      </w:divBdr>
    </w:div>
    <w:div w:id="2036880355">
      <w:bodyDiv w:val="1"/>
      <w:marLeft w:val="0"/>
      <w:marRight w:val="0"/>
      <w:marTop w:val="0"/>
      <w:marBottom w:val="0"/>
      <w:divBdr>
        <w:top w:val="none" w:sz="0" w:space="0" w:color="auto"/>
        <w:left w:val="none" w:sz="0" w:space="0" w:color="auto"/>
        <w:bottom w:val="none" w:sz="0" w:space="0" w:color="auto"/>
        <w:right w:val="none" w:sz="0" w:space="0" w:color="auto"/>
      </w:divBdr>
    </w:div>
    <w:div w:id="2040935980">
      <w:bodyDiv w:val="1"/>
      <w:marLeft w:val="0"/>
      <w:marRight w:val="0"/>
      <w:marTop w:val="0"/>
      <w:marBottom w:val="0"/>
      <w:divBdr>
        <w:top w:val="none" w:sz="0" w:space="0" w:color="auto"/>
        <w:left w:val="none" w:sz="0" w:space="0" w:color="auto"/>
        <w:bottom w:val="none" w:sz="0" w:space="0" w:color="auto"/>
        <w:right w:val="none" w:sz="0" w:space="0" w:color="auto"/>
      </w:divBdr>
    </w:div>
    <w:div w:id="2051344861">
      <w:bodyDiv w:val="1"/>
      <w:marLeft w:val="0"/>
      <w:marRight w:val="0"/>
      <w:marTop w:val="0"/>
      <w:marBottom w:val="0"/>
      <w:divBdr>
        <w:top w:val="none" w:sz="0" w:space="0" w:color="auto"/>
        <w:left w:val="none" w:sz="0" w:space="0" w:color="auto"/>
        <w:bottom w:val="none" w:sz="0" w:space="0" w:color="auto"/>
        <w:right w:val="none" w:sz="0" w:space="0" w:color="auto"/>
      </w:divBdr>
    </w:div>
    <w:div w:id="2051684094">
      <w:bodyDiv w:val="1"/>
      <w:marLeft w:val="0"/>
      <w:marRight w:val="0"/>
      <w:marTop w:val="0"/>
      <w:marBottom w:val="0"/>
      <w:divBdr>
        <w:top w:val="none" w:sz="0" w:space="0" w:color="auto"/>
        <w:left w:val="none" w:sz="0" w:space="0" w:color="auto"/>
        <w:bottom w:val="none" w:sz="0" w:space="0" w:color="auto"/>
        <w:right w:val="none" w:sz="0" w:space="0" w:color="auto"/>
      </w:divBdr>
    </w:div>
    <w:div w:id="2058704006">
      <w:bodyDiv w:val="1"/>
      <w:marLeft w:val="0"/>
      <w:marRight w:val="0"/>
      <w:marTop w:val="0"/>
      <w:marBottom w:val="0"/>
      <w:divBdr>
        <w:top w:val="none" w:sz="0" w:space="0" w:color="auto"/>
        <w:left w:val="none" w:sz="0" w:space="0" w:color="auto"/>
        <w:bottom w:val="none" w:sz="0" w:space="0" w:color="auto"/>
        <w:right w:val="none" w:sz="0" w:space="0" w:color="auto"/>
      </w:divBdr>
    </w:div>
    <w:div w:id="2067288992">
      <w:bodyDiv w:val="1"/>
      <w:marLeft w:val="0"/>
      <w:marRight w:val="0"/>
      <w:marTop w:val="0"/>
      <w:marBottom w:val="0"/>
      <w:divBdr>
        <w:top w:val="none" w:sz="0" w:space="0" w:color="auto"/>
        <w:left w:val="none" w:sz="0" w:space="0" w:color="auto"/>
        <w:bottom w:val="none" w:sz="0" w:space="0" w:color="auto"/>
        <w:right w:val="none" w:sz="0" w:space="0" w:color="auto"/>
      </w:divBdr>
    </w:div>
    <w:div w:id="2067798921">
      <w:bodyDiv w:val="1"/>
      <w:marLeft w:val="0"/>
      <w:marRight w:val="0"/>
      <w:marTop w:val="0"/>
      <w:marBottom w:val="0"/>
      <w:divBdr>
        <w:top w:val="none" w:sz="0" w:space="0" w:color="auto"/>
        <w:left w:val="none" w:sz="0" w:space="0" w:color="auto"/>
        <w:bottom w:val="none" w:sz="0" w:space="0" w:color="auto"/>
        <w:right w:val="none" w:sz="0" w:space="0" w:color="auto"/>
      </w:divBdr>
    </w:div>
    <w:div w:id="2073231436">
      <w:bodyDiv w:val="1"/>
      <w:marLeft w:val="0"/>
      <w:marRight w:val="0"/>
      <w:marTop w:val="0"/>
      <w:marBottom w:val="0"/>
      <w:divBdr>
        <w:top w:val="none" w:sz="0" w:space="0" w:color="auto"/>
        <w:left w:val="none" w:sz="0" w:space="0" w:color="auto"/>
        <w:bottom w:val="none" w:sz="0" w:space="0" w:color="auto"/>
        <w:right w:val="none" w:sz="0" w:space="0" w:color="auto"/>
      </w:divBdr>
    </w:div>
    <w:div w:id="2077051708">
      <w:bodyDiv w:val="1"/>
      <w:marLeft w:val="0"/>
      <w:marRight w:val="0"/>
      <w:marTop w:val="0"/>
      <w:marBottom w:val="0"/>
      <w:divBdr>
        <w:top w:val="none" w:sz="0" w:space="0" w:color="auto"/>
        <w:left w:val="none" w:sz="0" w:space="0" w:color="auto"/>
        <w:bottom w:val="none" w:sz="0" w:space="0" w:color="auto"/>
        <w:right w:val="none" w:sz="0" w:space="0" w:color="auto"/>
      </w:divBdr>
    </w:div>
    <w:div w:id="2080012148">
      <w:bodyDiv w:val="1"/>
      <w:marLeft w:val="0"/>
      <w:marRight w:val="0"/>
      <w:marTop w:val="0"/>
      <w:marBottom w:val="0"/>
      <w:divBdr>
        <w:top w:val="none" w:sz="0" w:space="0" w:color="auto"/>
        <w:left w:val="none" w:sz="0" w:space="0" w:color="auto"/>
        <w:bottom w:val="none" w:sz="0" w:space="0" w:color="auto"/>
        <w:right w:val="none" w:sz="0" w:space="0" w:color="auto"/>
      </w:divBdr>
    </w:div>
    <w:div w:id="2083866684">
      <w:bodyDiv w:val="1"/>
      <w:marLeft w:val="0"/>
      <w:marRight w:val="0"/>
      <w:marTop w:val="0"/>
      <w:marBottom w:val="0"/>
      <w:divBdr>
        <w:top w:val="none" w:sz="0" w:space="0" w:color="auto"/>
        <w:left w:val="none" w:sz="0" w:space="0" w:color="auto"/>
        <w:bottom w:val="none" w:sz="0" w:space="0" w:color="auto"/>
        <w:right w:val="none" w:sz="0" w:space="0" w:color="auto"/>
      </w:divBdr>
    </w:div>
    <w:div w:id="2086757476">
      <w:bodyDiv w:val="1"/>
      <w:marLeft w:val="0"/>
      <w:marRight w:val="0"/>
      <w:marTop w:val="0"/>
      <w:marBottom w:val="0"/>
      <w:divBdr>
        <w:top w:val="none" w:sz="0" w:space="0" w:color="auto"/>
        <w:left w:val="none" w:sz="0" w:space="0" w:color="auto"/>
        <w:bottom w:val="none" w:sz="0" w:space="0" w:color="auto"/>
        <w:right w:val="none" w:sz="0" w:space="0" w:color="auto"/>
      </w:divBdr>
    </w:div>
    <w:div w:id="2093962292">
      <w:bodyDiv w:val="1"/>
      <w:marLeft w:val="0"/>
      <w:marRight w:val="0"/>
      <w:marTop w:val="0"/>
      <w:marBottom w:val="0"/>
      <w:divBdr>
        <w:top w:val="none" w:sz="0" w:space="0" w:color="auto"/>
        <w:left w:val="none" w:sz="0" w:space="0" w:color="auto"/>
        <w:bottom w:val="none" w:sz="0" w:space="0" w:color="auto"/>
        <w:right w:val="none" w:sz="0" w:space="0" w:color="auto"/>
      </w:divBdr>
    </w:div>
    <w:div w:id="2098286723">
      <w:bodyDiv w:val="1"/>
      <w:marLeft w:val="0"/>
      <w:marRight w:val="0"/>
      <w:marTop w:val="0"/>
      <w:marBottom w:val="0"/>
      <w:divBdr>
        <w:top w:val="none" w:sz="0" w:space="0" w:color="auto"/>
        <w:left w:val="none" w:sz="0" w:space="0" w:color="auto"/>
        <w:bottom w:val="none" w:sz="0" w:space="0" w:color="auto"/>
        <w:right w:val="none" w:sz="0" w:space="0" w:color="auto"/>
      </w:divBdr>
      <w:divsChild>
        <w:div w:id="1995794456">
          <w:marLeft w:val="547"/>
          <w:marRight w:val="0"/>
          <w:marTop w:val="96"/>
          <w:marBottom w:val="0"/>
          <w:divBdr>
            <w:top w:val="none" w:sz="0" w:space="0" w:color="auto"/>
            <w:left w:val="none" w:sz="0" w:space="0" w:color="auto"/>
            <w:bottom w:val="none" w:sz="0" w:space="0" w:color="auto"/>
            <w:right w:val="none" w:sz="0" w:space="0" w:color="auto"/>
          </w:divBdr>
        </w:div>
      </w:divsChild>
    </w:div>
    <w:div w:id="2101363563">
      <w:bodyDiv w:val="1"/>
      <w:marLeft w:val="0"/>
      <w:marRight w:val="0"/>
      <w:marTop w:val="0"/>
      <w:marBottom w:val="0"/>
      <w:divBdr>
        <w:top w:val="none" w:sz="0" w:space="0" w:color="auto"/>
        <w:left w:val="none" w:sz="0" w:space="0" w:color="auto"/>
        <w:bottom w:val="none" w:sz="0" w:space="0" w:color="auto"/>
        <w:right w:val="none" w:sz="0" w:space="0" w:color="auto"/>
      </w:divBdr>
    </w:div>
    <w:div w:id="2104567506">
      <w:bodyDiv w:val="1"/>
      <w:marLeft w:val="0"/>
      <w:marRight w:val="0"/>
      <w:marTop w:val="0"/>
      <w:marBottom w:val="0"/>
      <w:divBdr>
        <w:top w:val="none" w:sz="0" w:space="0" w:color="auto"/>
        <w:left w:val="none" w:sz="0" w:space="0" w:color="auto"/>
        <w:bottom w:val="none" w:sz="0" w:space="0" w:color="auto"/>
        <w:right w:val="none" w:sz="0" w:space="0" w:color="auto"/>
      </w:divBdr>
    </w:div>
    <w:div w:id="2105223451">
      <w:bodyDiv w:val="1"/>
      <w:marLeft w:val="0"/>
      <w:marRight w:val="0"/>
      <w:marTop w:val="0"/>
      <w:marBottom w:val="0"/>
      <w:divBdr>
        <w:top w:val="none" w:sz="0" w:space="0" w:color="auto"/>
        <w:left w:val="none" w:sz="0" w:space="0" w:color="auto"/>
        <w:bottom w:val="none" w:sz="0" w:space="0" w:color="auto"/>
        <w:right w:val="none" w:sz="0" w:space="0" w:color="auto"/>
      </w:divBdr>
    </w:div>
    <w:div w:id="2107338937">
      <w:bodyDiv w:val="1"/>
      <w:marLeft w:val="0"/>
      <w:marRight w:val="0"/>
      <w:marTop w:val="0"/>
      <w:marBottom w:val="0"/>
      <w:divBdr>
        <w:top w:val="none" w:sz="0" w:space="0" w:color="auto"/>
        <w:left w:val="none" w:sz="0" w:space="0" w:color="auto"/>
        <w:bottom w:val="none" w:sz="0" w:space="0" w:color="auto"/>
        <w:right w:val="none" w:sz="0" w:space="0" w:color="auto"/>
      </w:divBdr>
    </w:div>
    <w:div w:id="2115705338">
      <w:bodyDiv w:val="1"/>
      <w:marLeft w:val="0"/>
      <w:marRight w:val="0"/>
      <w:marTop w:val="0"/>
      <w:marBottom w:val="0"/>
      <w:divBdr>
        <w:top w:val="none" w:sz="0" w:space="0" w:color="auto"/>
        <w:left w:val="none" w:sz="0" w:space="0" w:color="auto"/>
        <w:bottom w:val="none" w:sz="0" w:space="0" w:color="auto"/>
        <w:right w:val="none" w:sz="0" w:space="0" w:color="auto"/>
      </w:divBdr>
    </w:div>
    <w:div w:id="2121291336">
      <w:bodyDiv w:val="1"/>
      <w:marLeft w:val="0"/>
      <w:marRight w:val="0"/>
      <w:marTop w:val="0"/>
      <w:marBottom w:val="0"/>
      <w:divBdr>
        <w:top w:val="none" w:sz="0" w:space="0" w:color="auto"/>
        <w:left w:val="none" w:sz="0" w:space="0" w:color="auto"/>
        <w:bottom w:val="none" w:sz="0" w:space="0" w:color="auto"/>
        <w:right w:val="none" w:sz="0" w:space="0" w:color="auto"/>
      </w:divBdr>
    </w:div>
    <w:div w:id="2134130366">
      <w:bodyDiv w:val="1"/>
      <w:marLeft w:val="0"/>
      <w:marRight w:val="0"/>
      <w:marTop w:val="0"/>
      <w:marBottom w:val="0"/>
      <w:divBdr>
        <w:top w:val="none" w:sz="0" w:space="0" w:color="auto"/>
        <w:left w:val="none" w:sz="0" w:space="0" w:color="auto"/>
        <w:bottom w:val="none" w:sz="0" w:space="0" w:color="auto"/>
        <w:right w:val="none" w:sz="0" w:space="0" w:color="auto"/>
      </w:divBdr>
    </w:div>
    <w:div w:id="2139569034">
      <w:bodyDiv w:val="1"/>
      <w:marLeft w:val="0"/>
      <w:marRight w:val="0"/>
      <w:marTop w:val="0"/>
      <w:marBottom w:val="0"/>
      <w:divBdr>
        <w:top w:val="none" w:sz="0" w:space="0" w:color="auto"/>
        <w:left w:val="none" w:sz="0" w:space="0" w:color="auto"/>
        <w:bottom w:val="none" w:sz="0" w:space="0" w:color="auto"/>
        <w:right w:val="none" w:sz="0" w:space="0" w:color="auto"/>
      </w:divBdr>
    </w:div>
    <w:div w:id="214573234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95.png"/><Relationship Id="rId21" Type="http://schemas.openxmlformats.org/officeDocument/2006/relationships/image" Target="media/image6.png"/><Relationship Id="rId42" Type="http://schemas.openxmlformats.org/officeDocument/2006/relationships/image" Target="media/image23.png"/><Relationship Id="rId63" Type="http://schemas.openxmlformats.org/officeDocument/2006/relationships/image" Target="media/image44.png"/><Relationship Id="rId84" Type="http://schemas.openxmlformats.org/officeDocument/2006/relationships/image" Target="media/image65.png"/><Relationship Id="rId138" Type="http://schemas.openxmlformats.org/officeDocument/2006/relationships/image" Target="media/image109.jpeg"/><Relationship Id="rId159" Type="http://schemas.openxmlformats.org/officeDocument/2006/relationships/image" Target="media/image128.png"/><Relationship Id="rId107" Type="http://schemas.openxmlformats.org/officeDocument/2006/relationships/image" Target="media/image88.png"/><Relationship Id="rId11" Type="http://schemas.openxmlformats.org/officeDocument/2006/relationships/chart" Target="charts/chart1.xml"/><Relationship Id="rId32" Type="http://schemas.openxmlformats.org/officeDocument/2006/relationships/image" Target="media/image11.jpeg"/><Relationship Id="rId53" Type="http://schemas.openxmlformats.org/officeDocument/2006/relationships/image" Target="media/image34.png"/><Relationship Id="rId74" Type="http://schemas.openxmlformats.org/officeDocument/2006/relationships/image" Target="media/image55.png"/><Relationship Id="rId128" Type="http://schemas.openxmlformats.org/officeDocument/2006/relationships/image" Target="media/image102.jpeg"/><Relationship Id="rId149" Type="http://schemas.openxmlformats.org/officeDocument/2006/relationships/image" Target="media/image119.png"/><Relationship Id="rId5" Type="http://schemas.openxmlformats.org/officeDocument/2006/relationships/numbering" Target="numbering.xml"/><Relationship Id="rId95" Type="http://schemas.openxmlformats.org/officeDocument/2006/relationships/image" Target="media/image76.jpeg"/><Relationship Id="rId160" Type="http://schemas.openxmlformats.org/officeDocument/2006/relationships/header" Target="header1.xml"/><Relationship Id="rId22" Type="http://schemas.openxmlformats.org/officeDocument/2006/relationships/image" Target="media/image7.jpeg"/><Relationship Id="rId43" Type="http://schemas.openxmlformats.org/officeDocument/2006/relationships/image" Target="media/image24.png"/><Relationship Id="rId64" Type="http://schemas.openxmlformats.org/officeDocument/2006/relationships/image" Target="media/image45.png"/><Relationship Id="rId118" Type="http://schemas.microsoft.com/office/2007/relationships/hdphoto" Target="media/hdphoto1.wdp"/><Relationship Id="rId139" Type="http://schemas.openxmlformats.org/officeDocument/2006/relationships/chart" Target="charts/chart12.xml"/><Relationship Id="rId85" Type="http://schemas.openxmlformats.org/officeDocument/2006/relationships/image" Target="media/image66.png"/><Relationship Id="rId150" Type="http://schemas.openxmlformats.org/officeDocument/2006/relationships/image" Target="media/image120.jpeg"/><Relationship Id="rId12" Type="http://schemas.openxmlformats.org/officeDocument/2006/relationships/chart" Target="charts/chart2.xml"/><Relationship Id="rId17" Type="http://schemas.openxmlformats.org/officeDocument/2006/relationships/image" Target="media/image4.png"/><Relationship Id="rId33" Type="http://schemas.openxmlformats.org/officeDocument/2006/relationships/image" Target="media/image13.png"/><Relationship Id="rId38" Type="http://schemas.openxmlformats.org/officeDocument/2006/relationships/image" Target="media/image19.png"/><Relationship Id="rId59" Type="http://schemas.openxmlformats.org/officeDocument/2006/relationships/image" Target="media/image40.png"/><Relationship Id="rId103" Type="http://schemas.openxmlformats.org/officeDocument/2006/relationships/image" Target="media/image84.png"/><Relationship Id="rId108" Type="http://schemas.openxmlformats.org/officeDocument/2006/relationships/image" Target="media/image89.png"/><Relationship Id="rId124" Type="http://schemas.microsoft.com/office/2007/relationships/hdphoto" Target="media/hdphoto4.wdp"/><Relationship Id="rId129" Type="http://schemas.openxmlformats.org/officeDocument/2006/relationships/image" Target="media/image103.jpeg"/><Relationship Id="rId54" Type="http://schemas.openxmlformats.org/officeDocument/2006/relationships/image" Target="media/image35.png"/><Relationship Id="rId70" Type="http://schemas.openxmlformats.org/officeDocument/2006/relationships/image" Target="media/image51.png"/><Relationship Id="rId75" Type="http://schemas.openxmlformats.org/officeDocument/2006/relationships/image" Target="media/image56.png"/><Relationship Id="rId91" Type="http://schemas.openxmlformats.org/officeDocument/2006/relationships/image" Target="media/image72.png"/><Relationship Id="rId96" Type="http://schemas.openxmlformats.org/officeDocument/2006/relationships/image" Target="media/image77.jpeg"/><Relationship Id="rId140" Type="http://schemas.openxmlformats.org/officeDocument/2006/relationships/image" Target="media/image110.jpeg"/><Relationship Id="rId145" Type="http://schemas.openxmlformats.org/officeDocument/2006/relationships/image" Target="media/image115.jpeg"/><Relationship Id="rId161"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styles" Target="styles.xml"/><Relationship Id="rId23" Type="http://schemas.openxmlformats.org/officeDocument/2006/relationships/image" Target="media/image8.png"/><Relationship Id="rId28" Type="http://schemas.openxmlformats.org/officeDocument/2006/relationships/image" Target="media/image13.jpeg"/><Relationship Id="rId49" Type="http://schemas.openxmlformats.org/officeDocument/2006/relationships/image" Target="media/image30.png"/><Relationship Id="rId114" Type="http://schemas.openxmlformats.org/officeDocument/2006/relationships/image" Target="media/image94.jpeg"/><Relationship Id="rId119" Type="http://schemas.openxmlformats.org/officeDocument/2006/relationships/image" Target="media/image96.png"/><Relationship Id="rId44" Type="http://schemas.openxmlformats.org/officeDocument/2006/relationships/image" Target="media/image25.png"/><Relationship Id="rId60" Type="http://schemas.openxmlformats.org/officeDocument/2006/relationships/image" Target="media/image41.png"/><Relationship Id="rId65" Type="http://schemas.openxmlformats.org/officeDocument/2006/relationships/image" Target="media/image46.jpg"/><Relationship Id="rId81" Type="http://schemas.openxmlformats.org/officeDocument/2006/relationships/image" Target="media/image62.png"/><Relationship Id="rId86" Type="http://schemas.openxmlformats.org/officeDocument/2006/relationships/image" Target="media/image67.png"/><Relationship Id="rId130" Type="http://schemas.openxmlformats.org/officeDocument/2006/relationships/chart" Target="charts/chart9.xml"/><Relationship Id="rId135" Type="http://schemas.openxmlformats.org/officeDocument/2006/relationships/image" Target="media/image106.jpeg"/><Relationship Id="rId151" Type="http://schemas.openxmlformats.org/officeDocument/2006/relationships/image" Target="media/image121.jpeg"/><Relationship Id="rId156" Type="http://schemas.openxmlformats.org/officeDocument/2006/relationships/image" Target="media/image125.png"/><Relationship Id="rId13" Type="http://schemas.openxmlformats.org/officeDocument/2006/relationships/chart" Target="charts/chart3.xml"/><Relationship Id="rId18" Type="http://schemas.openxmlformats.org/officeDocument/2006/relationships/chart" Target="charts/chart4.xml"/><Relationship Id="rId39" Type="http://schemas.openxmlformats.org/officeDocument/2006/relationships/image" Target="media/image20.png"/><Relationship Id="rId109" Type="http://schemas.openxmlformats.org/officeDocument/2006/relationships/image" Target="media/image90.jpeg"/><Relationship Id="rId34" Type="http://schemas.openxmlformats.org/officeDocument/2006/relationships/image" Target="media/image15.png"/><Relationship Id="rId50" Type="http://schemas.openxmlformats.org/officeDocument/2006/relationships/image" Target="media/image31.png"/><Relationship Id="rId55" Type="http://schemas.openxmlformats.org/officeDocument/2006/relationships/image" Target="media/image36.png"/><Relationship Id="rId76" Type="http://schemas.openxmlformats.org/officeDocument/2006/relationships/image" Target="media/image57.png"/><Relationship Id="rId97" Type="http://schemas.openxmlformats.org/officeDocument/2006/relationships/image" Target="media/image78.jpeg"/><Relationship Id="rId104" Type="http://schemas.openxmlformats.org/officeDocument/2006/relationships/image" Target="media/image85.png"/><Relationship Id="rId120" Type="http://schemas.microsoft.com/office/2007/relationships/hdphoto" Target="media/hdphoto2.wdp"/><Relationship Id="rId125" Type="http://schemas.openxmlformats.org/officeDocument/2006/relationships/image" Target="media/image99.jpeg"/><Relationship Id="rId141" Type="http://schemas.openxmlformats.org/officeDocument/2006/relationships/image" Target="media/image111.jpeg"/><Relationship Id="rId146" Type="http://schemas.openxmlformats.org/officeDocument/2006/relationships/image" Target="media/image116.jpeg"/><Relationship Id="rId7" Type="http://schemas.openxmlformats.org/officeDocument/2006/relationships/settings" Target="settings.xml"/><Relationship Id="rId71" Type="http://schemas.openxmlformats.org/officeDocument/2006/relationships/image" Target="media/image52.png"/><Relationship Id="rId92" Type="http://schemas.openxmlformats.org/officeDocument/2006/relationships/image" Target="media/image73.jpeg"/><Relationship Id="rId162" Type="http://schemas.openxmlformats.org/officeDocument/2006/relationships/fontTable" Target="fontTable.xml"/><Relationship Id="rId2" Type="http://schemas.openxmlformats.org/officeDocument/2006/relationships/customXml" Target="../customXml/item2.xml"/><Relationship Id="rId29" Type="http://schemas.openxmlformats.org/officeDocument/2006/relationships/image" Target="media/image14.png"/><Relationship Id="rId24" Type="http://schemas.openxmlformats.org/officeDocument/2006/relationships/image" Target="media/image9.jpeg"/><Relationship Id="rId40" Type="http://schemas.openxmlformats.org/officeDocument/2006/relationships/image" Target="media/image21.png"/><Relationship Id="rId45" Type="http://schemas.openxmlformats.org/officeDocument/2006/relationships/image" Target="media/image26.png"/><Relationship Id="rId66" Type="http://schemas.openxmlformats.org/officeDocument/2006/relationships/image" Target="media/image47.png"/><Relationship Id="rId87" Type="http://schemas.openxmlformats.org/officeDocument/2006/relationships/image" Target="media/image68.jpeg"/><Relationship Id="rId110" Type="http://schemas.openxmlformats.org/officeDocument/2006/relationships/image" Target="media/image91.jpeg"/><Relationship Id="rId115" Type="http://schemas.openxmlformats.org/officeDocument/2006/relationships/chart" Target="charts/chart7.xml"/><Relationship Id="rId131" Type="http://schemas.openxmlformats.org/officeDocument/2006/relationships/chart" Target="charts/chart10.xml"/><Relationship Id="rId136" Type="http://schemas.openxmlformats.org/officeDocument/2006/relationships/image" Target="media/image107.jpeg"/><Relationship Id="rId157" Type="http://schemas.openxmlformats.org/officeDocument/2006/relationships/image" Target="media/image126.png"/><Relationship Id="rId61" Type="http://schemas.openxmlformats.org/officeDocument/2006/relationships/image" Target="media/image42.png"/><Relationship Id="rId82" Type="http://schemas.openxmlformats.org/officeDocument/2006/relationships/image" Target="media/image63.png"/><Relationship Id="rId152" Type="http://schemas.openxmlformats.org/officeDocument/2006/relationships/image" Target="media/image122.png"/><Relationship Id="rId19" Type="http://schemas.openxmlformats.org/officeDocument/2006/relationships/chart" Target="charts/chart5.xml"/><Relationship Id="rId14" Type="http://schemas.openxmlformats.org/officeDocument/2006/relationships/image" Target="media/image1.gif"/><Relationship Id="rId30" Type="http://schemas.openxmlformats.org/officeDocument/2006/relationships/image" Target="media/image15.jpeg"/><Relationship Id="rId35" Type="http://schemas.openxmlformats.org/officeDocument/2006/relationships/image" Target="media/image16.png"/><Relationship Id="rId56" Type="http://schemas.openxmlformats.org/officeDocument/2006/relationships/image" Target="media/image37.png"/><Relationship Id="rId77" Type="http://schemas.openxmlformats.org/officeDocument/2006/relationships/image" Target="media/image58.png"/><Relationship Id="rId100" Type="http://schemas.openxmlformats.org/officeDocument/2006/relationships/image" Target="media/image81.png"/><Relationship Id="rId105" Type="http://schemas.openxmlformats.org/officeDocument/2006/relationships/image" Target="media/image86.png"/><Relationship Id="rId126" Type="http://schemas.openxmlformats.org/officeDocument/2006/relationships/image" Target="media/image100.jpeg"/><Relationship Id="rId147" Type="http://schemas.openxmlformats.org/officeDocument/2006/relationships/image" Target="media/image117.jpeg"/><Relationship Id="rId8" Type="http://schemas.openxmlformats.org/officeDocument/2006/relationships/webSettings" Target="webSettings.xml"/><Relationship Id="rId51" Type="http://schemas.openxmlformats.org/officeDocument/2006/relationships/image" Target="media/image32.png"/><Relationship Id="rId72" Type="http://schemas.openxmlformats.org/officeDocument/2006/relationships/image" Target="media/image53.png"/><Relationship Id="rId93" Type="http://schemas.openxmlformats.org/officeDocument/2006/relationships/image" Target="media/image74.png"/><Relationship Id="rId98" Type="http://schemas.openxmlformats.org/officeDocument/2006/relationships/image" Target="media/image79.png"/><Relationship Id="rId121" Type="http://schemas.openxmlformats.org/officeDocument/2006/relationships/image" Target="media/image97.png"/><Relationship Id="rId142" Type="http://schemas.openxmlformats.org/officeDocument/2006/relationships/image" Target="media/image112.jpg"/><Relationship Id="rId163" Type="http://schemas.openxmlformats.org/officeDocument/2006/relationships/theme" Target="theme/theme1.xml"/><Relationship Id="rId3" Type="http://schemas.openxmlformats.org/officeDocument/2006/relationships/customXml" Target="../customXml/item3.xml"/><Relationship Id="rId46" Type="http://schemas.openxmlformats.org/officeDocument/2006/relationships/image" Target="media/image27.png"/><Relationship Id="rId67" Type="http://schemas.openxmlformats.org/officeDocument/2006/relationships/image" Target="media/image48.png"/><Relationship Id="rId116" Type="http://schemas.openxmlformats.org/officeDocument/2006/relationships/chart" Target="charts/chart8.xml"/><Relationship Id="rId137" Type="http://schemas.openxmlformats.org/officeDocument/2006/relationships/image" Target="media/image108.jpeg"/><Relationship Id="rId158" Type="http://schemas.openxmlformats.org/officeDocument/2006/relationships/image" Target="media/image127.png"/><Relationship Id="rId20" Type="http://schemas.openxmlformats.org/officeDocument/2006/relationships/image" Target="media/image5.jpeg"/><Relationship Id="rId41" Type="http://schemas.openxmlformats.org/officeDocument/2006/relationships/image" Target="media/image22.png"/><Relationship Id="rId62" Type="http://schemas.openxmlformats.org/officeDocument/2006/relationships/image" Target="media/image43.png"/><Relationship Id="rId83" Type="http://schemas.openxmlformats.org/officeDocument/2006/relationships/image" Target="media/image64.png"/><Relationship Id="rId88" Type="http://schemas.openxmlformats.org/officeDocument/2006/relationships/image" Target="media/image69.png"/><Relationship Id="rId111" Type="http://schemas.openxmlformats.org/officeDocument/2006/relationships/image" Target="media/image92.jpeg"/><Relationship Id="rId132" Type="http://schemas.openxmlformats.org/officeDocument/2006/relationships/image" Target="media/image104.jpeg"/><Relationship Id="rId153" Type="http://schemas.openxmlformats.org/officeDocument/2006/relationships/image" Target="media/image123.jpeg"/><Relationship Id="rId15" Type="http://schemas.openxmlformats.org/officeDocument/2006/relationships/image" Target="media/image2.gif"/><Relationship Id="rId36" Type="http://schemas.openxmlformats.org/officeDocument/2006/relationships/image" Target="media/image17.png"/><Relationship Id="rId57" Type="http://schemas.openxmlformats.org/officeDocument/2006/relationships/image" Target="media/image38.png"/><Relationship Id="rId106" Type="http://schemas.openxmlformats.org/officeDocument/2006/relationships/image" Target="media/image87.png"/><Relationship Id="rId127" Type="http://schemas.openxmlformats.org/officeDocument/2006/relationships/image" Target="media/image101.jpeg"/><Relationship Id="rId10" Type="http://schemas.openxmlformats.org/officeDocument/2006/relationships/endnotes" Target="endnotes.xml"/><Relationship Id="rId31" Type="http://schemas.openxmlformats.org/officeDocument/2006/relationships/image" Target="media/image10.jpeg"/><Relationship Id="rId52" Type="http://schemas.openxmlformats.org/officeDocument/2006/relationships/image" Target="media/image33.png"/><Relationship Id="rId73" Type="http://schemas.openxmlformats.org/officeDocument/2006/relationships/image" Target="media/image54.jpeg"/><Relationship Id="rId78" Type="http://schemas.openxmlformats.org/officeDocument/2006/relationships/image" Target="media/image59.png"/><Relationship Id="rId94" Type="http://schemas.openxmlformats.org/officeDocument/2006/relationships/image" Target="media/image75.png"/><Relationship Id="rId99" Type="http://schemas.openxmlformats.org/officeDocument/2006/relationships/image" Target="media/image80.jpeg"/><Relationship Id="rId101" Type="http://schemas.openxmlformats.org/officeDocument/2006/relationships/image" Target="media/image82.jpg"/><Relationship Id="rId122" Type="http://schemas.microsoft.com/office/2007/relationships/hdphoto" Target="media/hdphoto3.wdp"/><Relationship Id="rId143" Type="http://schemas.openxmlformats.org/officeDocument/2006/relationships/image" Target="media/image113.jpeg"/><Relationship Id="rId148" Type="http://schemas.openxmlformats.org/officeDocument/2006/relationships/image" Target="media/image118.png"/><Relationship Id="rId4" Type="http://schemas.openxmlformats.org/officeDocument/2006/relationships/customXml" Target="../customXml/item4.xml"/><Relationship Id="rId9" Type="http://schemas.openxmlformats.org/officeDocument/2006/relationships/footnotes" Target="footnotes.xml"/><Relationship Id="rId47" Type="http://schemas.openxmlformats.org/officeDocument/2006/relationships/image" Target="media/image28.png"/><Relationship Id="rId68" Type="http://schemas.openxmlformats.org/officeDocument/2006/relationships/image" Target="media/image49.png"/><Relationship Id="rId89" Type="http://schemas.openxmlformats.org/officeDocument/2006/relationships/image" Target="media/image70.jpeg"/><Relationship Id="rId112" Type="http://schemas.openxmlformats.org/officeDocument/2006/relationships/chart" Target="charts/chart6.xml"/><Relationship Id="rId133" Type="http://schemas.openxmlformats.org/officeDocument/2006/relationships/chart" Target="charts/chart11.xml"/><Relationship Id="rId154" Type="http://schemas.openxmlformats.org/officeDocument/2006/relationships/image" Target="media/image124.png"/><Relationship Id="rId16" Type="http://schemas.openxmlformats.org/officeDocument/2006/relationships/image" Target="media/image3.png"/><Relationship Id="rId37" Type="http://schemas.openxmlformats.org/officeDocument/2006/relationships/image" Target="media/image18.png"/><Relationship Id="rId58" Type="http://schemas.openxmlformats.org/officeDocument/2006/relationships/image" Target="media/image39.png"/><Relationship Id="rId79" Type="http://schemas.openxmlformats.org/officeDocument/2006/relationships/image" Target="media/image60.png"/><Relationship Id="rId102" Type="http://schemas.openxmlformats.org/officeDocument/2006/relationships/image" Target="media/image83.jpeg"/><Relationship Id="rId123" Type="http://schemas.openxmlformats.org/officeDocument/2006/relationships/image" Target="media/image98.png"/><Relationship Id="rId144" Type="http://schemas.openxmlformats.org/officeDocument/2006/relationships/image" Target="media/image114.jpeg"/><Relationship Id="rId90" Type="http://schemas.openxmlformats.org/officeDocument/2006/relationships/image" Target="media/image71.jpeg"/><Relationship Id="rId27" Type="http://schemas.openxmlformats.org/officeDocument/2006/relationships/image" Target="media/image12.png"/><Relationship Id="rId48" Type="http://schemas.openxmlformats.org/officeDocument/2006/relationships/image" Target="media/image29.png"/><Relationship Id="rId69" Type="http://schemas.openxmlformats.org/officeDocument/2006/relationships/image" Target="media/image50.png"/><Relationship Id="rId113" Type="http://schemas.openxmlformats.org/officeDocument/2006/relationships/image" Target="media/image93.jpeg"/><Relationship Id="rId134" Type="http://schemas.openxmlformats.org/officeDocument/2006/relationships/image" Target="media/image105.jpeg"/><Relationship Id="rId80" Type="http://schemas.openxmlformats.org/officeDocument/2006/relationships/image" Target="media/image61.png"/><Relationship Id="rId155" Type="http://schemas.openxmlformats.org/officeDocument/2006/relationships/chart" Target="charts/chart13.xml"/></Relationships>
</file>

<file path=word/_rels/header1.xml.rels><?xml version="1.0" encoding="UTF-8" standalone="yes"?>
<Relationships xmlns="http://schemas.openxmlformats.org/package/2006/relationships"><Relationship Id="rId1" Type="http://schemas.openxmlformats.org/officeDocument/2006/relationships/image" Target="media/image129.png"/></Relationships>
</file>

<file path=word/charts/_rels/chart10.xml.rels><?xml version="1.0" encoding="UTF-8" standalone="yes"?>
<Relationships xmlns="http://schemas.openxmlformats.org/package/2006/relationships"><Relationship Id="rId3" Type="http://schemas.openxmlformats.org/officeDocument/2006/relationships/oleObject" Target="file:///D:\MIS%20Files\Year%20end%20Summary\Graph%20digital.xlsx" TargetMode="External"/><Relationship Id="rId2" Type="http://schemas.microsoft.com/office/2011/relationships/chartColorStyle" Target="colors6.xml"/><Relationship Id="rId1" Type="http://schemas.microsoft.com/office/2011/relationships/chartStyle" Target="style6.xml"/></Relationships>
</file>

<file path=word/charts/_rels/chart11.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7.xml"/><Relationship Id="rId1" Type="http://schemas.microsoft.com/office/2011/relationships/chartStyle" Target="style7.xml"/><Relationship Id="rId4" Type="http://schemas.openxmlformats.org/officeDocument/2006/relationships/oleObject" Target="file:///D:\MIS%20Files\Year%20end%20Summary\Graph%20digital.xlsx" TargetMode="External"/></Relationships>
</file>

<file path=word/charts/_rels/chart12.xml.rels><?xml version="1.0" encoding="UTF-8" standalone="yes"?>
<Relationships xmlns="http://schemas.openxmlformats.org/package/2006/relationships"><Relationship Id="rId3" Type="http://schemas.openxmlformats.org/officeDocument/2006/relationships/oleObject" Target="file:///C:\Users\vivek.singh\Downloads\Engagement%20Calender%20-%20FY24-07042024.xlsx" TargetMode="External"/><Relationship Id="rId2" Type="http://schemas.microsoft.com/office/2011/relationships/chartColorStyle" Target="colors8.xml"/><Relationship Id="rId1" Type="http://schemas.microsoft.com/office/2011/relationships/chartStyle" Target="style8.xml"/></Relationships>
</file>

<file path=word/charts/_rels/chart13.xml.rels><?xml version="1.0" encoding="UTF-8" standalone="yes"?>
<Relationships xmlns="http://schemas.openxmlformats.org/package/2006/relationships"><Relationship Id="rId3" Type="http://schemas.openxmlformats.org/officeDocument/2006/relationships/oleObject" Target="file:///D:\Temporary%20Office%20Files\Load%20Survey%20Data%20Analysis%20for%201st%20Landing%20PSS%20(003)%20(Autosaved).xlsb" TargetMode="External"/><Relationship Id="rId2" Type="http://schemas.microsoft.com/office/2011/relationships/chartColorStyle" Target="colors9.xml"/><Relationship Id="rId1" Type="http://schemas.microsoft.com/office/2011/relationships/chartStyle" Target="style9.xml"/></Relationships>
</file>

<file path=word/charts/_rels/chart2.xml.rels><?xml version="1.0" encoding="UTF-8" standalone="yes"?>
<Relationships xmlns="http://schemas.openxmlformats.org/package/2006/relationships"><Relationship Id="rId3" Type="http://schemas.openxmlformats.org/officeDocument/2006/relationships/oleObject" Target="file:///D:\Desktop%20Data\ARR%20FY%202025-26\ARR%20FY%202025-26\Working%20File\Table.xlsx" TargetMode="External"/><Relationship Id="rId2" Type="http://schemas.microsoft.com/office/2011/relationships/chartColorStyle" Target="colors1.xml"/><Relationship Id="rId1" Type="http://schemas.microsoft.com/office/2011/relationships/chartStyle" Target="style1.xml"/></Relationships>
</file>

<file path=word/charts/_rels/chart4.xml.rels><?xml version="1.0" encoding="UTF-8" standalone="yes"?>
<Relationships xmlns="http://schemas.openxmlformats.org/package/2006/relationships"><Relationship Id="rId1" Type="http://schemas.openxmlformats.org/officeDocument/2006/relationships/oleObject" Target="../embeddings/oleObject1.bin"/></Relationships>
</file>

<file path=word/charts/_rels/chart5.xml.rels><?xml version="1.0" encoding="UTF-8" standalone="yes"?>
<Relationships xmlns="http://schemas.openxmlformats.org/package/2006/relationships"><Relationship Id="rId1" Type="http://schemas.openxmlformats.org/officeDocument/2006/relationships/oleObject" Target="../embeddings/oleObject2.bin"/></Relationships>
</file>

<file path=word/charts/_rels/chart6.xml.rels><?xml version="1.0" encoding="UTF-8" standalone="yes"?>
<Relationships xmlns="http://schemas.openxmlformats.org/package/2006/relationships"><Relationship Id="rId3" Type="http://schemas.openxmlformats.org/officeDocument/2006/relationships/oleObject" Target="file:///C:\Users\Rakesh.d\Desktop\FILE%20DEKSTOP\Action%20Plan%20&amp;%20Flowcharts\PPT\SOFT%20DATA\UPDATED%20OCR%20SOFT%20DATA.xlsx" TargetMode="External"/><Relationship Id="rId2" Type="http://schemas.microsoft.com/office/2011/relationships/chartColorStyle" Target="colors2.xml"/><Relationship Id="rId1" Type="http://schemas.microsoft.com/office/2011/relationships/chartStyle" Target="style2.xml"/></Relationships>
</file>

<file path=word/charts/_rels/chart7.xml.rels><?xml version="1.0" encoding="UTF-8" standalone="yes"?>
<Relationships xmlns="http://schemas.openxmlformats.org/package/2006/relationships"><Relationship Id="rId3" Type="http://schemas.openxmlformats.org/officeDocument/2006/relationships/oleObject" Target="file:///C:\Users\Rakesh.d\Desktop\FILE%20DEKSTOP\Action%20Plan%20&amp;%20Flowcharts\PPT\SOFT%20DATA\Billing%20Coverage%20Data%20for%20PPT.xlsx" TargetMode="External"/><Relationship Id="rId2" Type="http://schemas.microsoft.com/office/2011/relationships/chartColorStyle" Target="colors3.xml"/><Relationship Id="rId1" Type="http://schemas.microsoft.com/office/2011/relationships/chartStyle" Target="style3.xml"/><Relationship Id="rId4" Type="http://schemas.openxmlformats.org/officeDocument/2006/relationships/chartUserShapes" Target="../drawings/drawing1.xml"/></Relationships>
</file>

<file path=word/charts/_rels/chart8.xml.rels><?xml version="1.0" encoding="UTF-8" standalone="yes"?>
<Relationships xmlns="http://schemas.openxmlformats.org/package/2006/relationships"><Relationship Id="rId3" Type="http://schemas.openxmlformats.org/officeDocument/2006/relationships/oleObject" Target="file:///C:\Users\Rakesh.d\Desktop\FILE%20DEKSTOP\Action%20Plan%20&amp;%20Flowcharts\PPT\SOFT%20DATA\Billing%20Coverage%20Data%20for%20PPT.xlsx" TargetMode="External"/><Relationship Id="rId2" Type="http://schemas.microsoft.com/office/2011/relationships/chartColorStyle" Target="colors4.xml"/><Relationship Id="rId1" Type="http://schemas.microsoft.com/office/2011/relationships/chartStyle" Target="style4.xml"/><Relationship Id="rId4" Type="http://schemas.openxmlformats.org/officeDocument/2006/relationships/chartUserShapes" Target="../drawings/drawing2.xml"/></Relationships>
</file>

<file path=word/charts/_rels/chart9.xml.rels><?xml version="1.0" encoding="UTF-8" standalone="yes"?>
<Relationships xmlns="http://schemas.openxmlformats.org/package/2006/relationships"><Relationship Id="rId3" Type="http://schemas.openxmlformats.org/officeDocument/2006/relationships/package" Target="../embeddings/Microsoft_Excel_Worksheet.xlsx"/><Relationship Id="rId2" Type="http://schemas.microsoft.com/office/2011/relationships/chartColorStyle" Target="colors5.xml"/><Relationship Id="rId1" Type="http://schemas.microsoft.com/office/2011/relationships/chartStyle" Target="style5.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a:lstStyle/>
          <a:p>
            <a:pPr>
              <a:defRPr lang="en-IN" sz="960" b="1" strike="noStrike" spc="-1">
                <a:solidFill>
                  <a:srgbClr val="000000"/>
                </a:solidFill>
                <a:latin typeface="Arial"/>
              </a:defRPr>
            </a:pPr>
            <a:r>
              <a:rPr lang="en-IN" sz="960" b="1" strike="noStrike" spc="-1">
                <a:solidFill>
                  <a:srgbClr val="000000"/>
                </a:solidFill>
                <a:latin typeface="Arial"/>
              </a:rPr>
              <a:t>Billing Coverage (%) Comparison </a:t>
            </a:r>
          </a:p>
        </c:rich>
      </c:tx>
      <c:overlay val="0"/>
      <c:spPr>
        <a:noFill/>
        <a:ln w="0">
          <a:noFill/>
        </a:ln>
      </c:spPr>
    </c:title>
    <c:autoTitleDeleted val="0"/>
    <c:plotArea>
      <c:layout/>
      <c:lineChart>
        <c:grouping val="standard"/>
        <c:varyColors val="0"/>
        <c:ser>
          <c:idx val="0"/>
          <c:order val="0"/>
          <c:tx>
            <c:strRef>
              <c:f>label 0</c:f>
              <c:strCache>
                <c:ptCount val="1"/>
                <c:pt idx="0">
                  <c:v>FY'23</c:v>
                </c:pt>
              </c:strCache>
            </c:strRef>
          </c:tx>
          <c:spPr>
            <a:ln w="28440" cap="rnd">
              <a:solidFill>
                <a:srgbClr val="5B9BD5"/>
              </a:solidFill>
              <a:round/>
            </a:ln>
          </c:spPr>
          <c:marker>
            <c:symbol val="circle"/>
            <c:size val="5"/>
            <c:spPr>
              <a:solidFill>
                <a:srgbClr val="5B9BD5"/>
              </a:solidFill>
            </c:spPr>
          </c:marker>
          <c:dLbls>
            <c:numFmt formatCode="General" sourceLinked="0"/>
            <c:spPr>
              <a:noFill/>
              <a:ln>
                <a:noFill/>
              </a:ln>
              <a:effectLst/>
            </c:spPr>
            <c:txPr>
              <a:bodyPr wrap="square"/>
              <a:lstStyle/>
              <a:p>
                <a:pPr>
                  <a:defRPr sz="800" b="1" strike="noStrike" spc="-1">
                    <a:solidFill>
                      <a:srgbClr val="000000"/>
                    </a:solidFill>
                    <a:latin typeface="Arial"/>
                  </a:defRPr>
                </a:pPr>
                <a:endParaRPr lang="en-US"/>
              </a:p>
            </c:txPr>
            <c:dLblPos val="t"/>
            <c:showLegendKey val="0"/>
            <c:showVal val="1"/>
            <c:showCatName val="0"/>
            <c:showSerName val="0"/>
            <c:showPercent val="0"/>
            <c:showBubbleSize val="1"/>
            <c:separator>; </c:separator>
            <c:showLeaderLines val="0"/>
            <c:extLst>
              <c:ext xmlns:c15="http://schemas.microsoft.com/office/drawing/2012/chart" uri="{CE6537A1-D6FC-4f65-9D91-7224C49458BB}">
                <c15:showLeaderLines val="1"/>
              </c:ext>
            </c:extLst>
          </c:dLbls>
          <c:cat>
            <c:strRef>
              <c:f>categories</c:f>
              <c:strCache>
                <c:ptCount val="12"/>
                <c:pt idx="0">
                  <c:v>Apr</c:v>
                </c:pt>
                <c:pt idx="1">
                  <c:v> May </c:v>
                </c:pt>
                <c:pt idx="2">
                  <c:v>Jun</c:v>
                </c:pt>
                <c:pt idx="3">
                  <c:v>July</c:v>
                </c:pt>
                <c:pt idx="4">
                  <c:v>Aug</c:v>
                </c:pt>
                <c:pt idx="5">
                  <c:v>Sep</c:v>
                </c:pt>
                <c:pt idx="6">
                  <c:v>Oct</c:v>
                </c:pt>
                <c:pt idx="7">
                  <c:v>Nov</c:v>
                </c:pt>
                <c:pt idx="8">
                  <c:v>Dec</c:v>
                </c:pt>
                <c:pt idx="9">
                  <c:v>Jan</c:v>
                </c:pt>
                <c:pt idx="10">
                  <c:v>Feb</c:v>
                </c:pt>
                <c:pt idx="11">
                  <c:v>Mar</c:v>
                </c:pt>
              </c:strCache>
            </c:strRef>
          </c:cat>
          <c:val>
            <c:numRef>
              <c:f>0</c:f>
              <c:numCache>
                <c:formatCode>General</c:formatCode>
                <c:ptCount val="12"/>
                <c:pt idx="0">
                  <c:v>79.56</c:v>
                </c:pt>
                <c:pt idx="1">
                  <c:v>81.87</c:v>
                </c:pt>
                <c:pt idx="2">
                  <c:v>82.98</c:v>
                </c:pt>
                <c:pt idx="3">
                  <c:v>88.01</c:v>
                </c:pt>
                <c:pt idx="4">
                  <c:v>84.82</c:v>
                </c:pt>
                <c:pt idx="5">
                  <c:v>89.79</c:v>
                </c:pt>
                <c:pt idx="6">
                  <c:v>91.88</c:v>
                </c:pt>
                <c:pt idx="7">
                  <c:v>93.19</c:v>
                </c:pt>
                <c:pt idx="8">
                  <c:v>93.8</c:v>
                </c:pt>
                <c:pt idx="9">
                  <c:v>93.72</c:v>
                </c:pt>
                <c:pt idx="10">
                  <c:v>93.93</c:v>
                </c:pt>
                <c:pt idx="11">
                  <c:v>95.32</c:v>
                </c:pt>
              </c:numCache>
            </c:numRef>
          </c:val>
          <c:smooth val="1"/>
          <c:extLst>
            <c:ext xmlns:c16="http://schemas.microsoft.com/office/drawing/2014/chart" uri="{C3380CC4-5D6E-409C-BE32-E72D297353CC}">
              <c16:uniqueId val="{00000000-AC69-46E2-9188-1D37F9865D66}"/>
            </c:ext>
          </c:extLst>
        </c:ser>
        <c:ser>
          <c:idx val="1"/>
          <c:order val="1"/>
          <c:tx>
            <c:strRef>
              <c:f>label 1</c:f>
              <c:strCache>
                <c:ptCount val="1"/>
                <c:pt idx="0">
                  <c:v>FY'24</c:v>
                </c:pt>
              </c:strCache>
            </c:strRef>
          </c:tx>
          <c:spPr>
            <a:ln w="28440" cap="rnd">
              <a:solidFill>
                <a:srgbClr val="ED7D31"/>
              </a:solidFill>
              <a:round/>
            </a:ln>
          </c:spPr>
          <c:marker>
            <c:symbol val="circle"/>
            <c:size val="5"/>
            <c:spPr>
              <a:solidFill>
                <a:srgbClr val="ED7D31"/>
              </a:solidFill>
            </c:spPr>
          </c:marker>
          <c:dLbls>
            <c:numFmt formatCode="General" sourceLinked="0"/>
            <c:spPr>
              <a:noFill/>
              <a:ln>
                <a:noFill/>
              </a:ln>
              <a:effectLst/>
            </c:spPr>
            <c:txPr>
              <a:bodyPr wrap="square"/>
              <a:lstStyle/>
              <a:p>
                <a:pPr>
                  <a:defRPr sz="800" b="1" strike="noStrike" spc="-1">
                    <a:solidFill>
                      <a:srgbClr val="000000"/>
                    </a:solidFill>
                    <a:latin typeface="Arial"/>
                  </a:defRPr>
                </a:pPr>
                <a:endParaRPr lang="en-US"/>
              </a:p>
            </c:txPr>
            <c:dLblPos val="t"/>
            <c:showLegendKey val="0"/>
            <c:showVal val="1"/>
            <c:showCatName val="0"/>
            <c:showSerName val="0"/>
            <c:showPercent val="0"/>
            <c:showBubbleSize val="1"/>
            <c:separator>; </c:separator>
            <c:showLeaderLines val="0"/>
            <c:extLst>
              <c:ext xmlns:c15="http://schemas.microsoft.com/office/drawing/2012/chart" uri="{CE6537A1-D6FC-4f65-9D91-7224C49458BB}">
                <c15:showLeaderLines val="1"/>
              </c:ext>
            </c:extLst>
          </c:dLbls>
          <c:cat>
            <c:strRef>
              <c:f>categories</c:f>
              <c:strCache>
                <c:ptCount val="12"/>
                <c:pt idx="0">
                  <c:v>Apr</c:v>
                </c:pt>
                <c:pt idx="1">
                  <c:v> May </c:v>
                </c:pt>
                <c:pt idx="2">
                  <c:v>Jun</c:v>
                </c:pt>
                <c:pt idx="3">
                  <c:v>July</c:v>
                </c:pt>
                <c:pt idx="4">
                  <c:v>Aug</c:v>
                </c:pt>
                <c:pt idx="5">
                  <c:v>Sep</c:v>
                </c:pt>
                <c:pt idx="6">
                  <c:v>Oct</c:v>
                </c:pt>
                <c:pt idx="7">
                  <c:v>Nov</c:v>
                </c:pt>
                <c:pt idx="8">
                  <c:v>Dec</c:v>
                </c:pt>
                <c:pt idx="9">
                  <c:v>Jan</c:v>
                </c:pt>
                <c:pt idx="10">
                  <c:v>Feb</c:v>
                </c:pt>
                <c:pt idx="11">
                  <c:v>Mar</c:v>
                </c:pt>
              </c:strCache>
            </c:strRef>
          </c:cat>
          <c:val>
            <c:numRef>
              <c:f>1</c:f>
              <c:numCache>
                <c:formatCode>General</c:formatCode>
                <c:ptCount val="12"/>
                <c:pt idx="0">
                  <c:v>94.01</c:v>
                </c:pt>
                <c:pt idx="1">
                  <c:v>95.11</c:v>
                </c:pt>
                <c:pt idx="2">
                  <c:v>94.37</c:v>
                </c:pt>
                <c:pt idx="3">
                  <c:v>96.1</c:v>
                </c:pt>
                <c:pt idx="4">
                  <c:v>96.16</c:v>
                </c:pt>
                <c:pt idx="5">
                  <c:v>97.27</c:v>
                </c:pt>
                <c:pt idx="6">
                  <c:v>97.74</c:v>
                </c:pt>
                <c:pt idx="7">
                  <c:v>97.97</c:v>
                </c:pt>
                <c:pt idx="8">
                  <c:v>98.09</c:v>
                </c:pt>
                <c:pt idx="9">
                  <c:v>98.17</c:v>
                </c:pt>
                <c:pt idx="10">
                  <c:v>98.27</c:v>
                </c:pt>
                <c:pt idx="11">
                  <c:v>98.59</c:v>
                </c:pt>
              </c:numCache>
            </c:numRef>
          </c:val>
          <c:smooth val="1"/>
          <c:extLst>
            <c:ext xmlns:c16="http://schemas.microsoft.com/office/drawing/2014/chart" uri="{C3380CC4-5D6E-409C-BE32-E72D297353CC}">
              <c16:uniqueId val="{00000001-AC69-46E2-9188-1D37F9865D66}"/>
            </c:ext>
          </c:extLst>
        </c:ser>
        <c:dLbls>
          <c:showLegendKey val="0"/>
          <c:showVal val="0"/>
          <c:showCatName val="0"/>
          <c:showSerName val="0"/>
          <c:showPercent val="0"/>
          <c:showBubbleSize val="0"/>
        </c:dLbls>
        <c:hiLowLines>
          <c:spPr>
            <a:ln w="0">
              <a:noFill/>
            </a:ln>
          </c:spPr>
        </c:hiLowLines>
        <c:marker val="1"/>
        <c:smooth val="0"/>
        <c:axId val="76686771"/>
        <c:axId val="60169167"/>
      </c:lineChart>
      <c:catAx>
        <c:axId val="76686771"/>
        <c:scaling>
          <c:orientation val="minMax"/>
        </c:scaling>
        <c:delete val="0"/>
        <c:axPos val="b"/>
        <c:numFmt formatCode="General" sourceLinked="0"/>
        <c:majorTickMark val="none"/>
        <c:minorTickMark val="none"/>
        <c:tickLblPos val="nextTo"/>
        <c:spPr>
          <a:ln w="9360">
            <a:solidFill>
              <a:srgbClr val="000000"/>
            </a:solidFill>
            <a:round/>
          </a:ln>
        </c:spPr>
        <c:txPr>
          <a:bodyPr/>
          <a:lstStyle/>
          <a:p>
            <a:pPr>
              <a:defRPr sz="800" b="1" strike="noStrike" spc="-1">
                <a:solidFill>
                  <a:srgbClr val="000000"/>
                </a:solidFill>
                <a:latin typeface="Arial"/>
              </a:defRPr>
            </a:pPr>
            <a:endParaRPr lang="en-US"/>
          </a:p>
        </c:txPr>
        <c:crossAx val="60169167"/>
        <c:crosses val="autoZero"/>
        <c:auto val="1"/>
        <c:lblAlgn val="ctr"/>
        <c:lblOffset val="100"/>
        <c:noMultiLvlLbl val="0"/>
      </c:catAx>
      <c:valAx>
        <c:axId val="60169167"/>
        <c:scaling>
          <c:orientation val="minMax"/>
          <c:min val="75"/>
        </c:scaling>
        <c:delete val="0"/>
        <c:axPos val="l"/>
        <c:numFmt formatCode="General" sourceLinked="0"/>
        <c:majorTickMark val="none"/>
        <c:minorTickMark val="none"/>
        <c:tickLblPos val="nextTo"/>
        <c:spPr>
          <a:ln w="6480">
            <a:noFill/>
          </a:ln>
        </c:spPr>
        <c:txPr>
          <a:bodyPr/>
          <a:lstStyle/>
          <a:p>
            <a:pPr>
              <a:defRPr sz="800" b="1" strike="noStrike" spc="-1">
                <a:solidFill>
                  <a:srgbClr val="000000"/>
                </a:solidFill>
                <a:latin typeface="Arial"/>
              </a:defRPr>
            </a:pPr>
            <a:endParaRPr lang="en-US"/>
          </a:p>
        </c:txPr>
        <c:crossAx val="76686771"/>
        <c:crosses val="autoZero"/>
        <c:crossBetween val="between"/>
      </c:valAx>
      <c:spPr>
        <a:noFill/>
        <a:ln w="0">
          <a:noFill/>
        </a:ln>
      </c:spPr>
    </c:plotArea>
    <c:legend>
      <c:legendPos val="b"/>
      <c:overlay val="0"/>
      <c:spPr>
        <a:noFill/>
        <a:ln w="0">
          <a:noFill/>
        </a:ln>
      </c:spPr>
      <c:txPr>
        <a:bodyPr/>
        <a:lstStyle/>
        <a:p>
          <a:pPr>
            <a:defRPr sz="800" b="1" strike="noStrike" spc="-1">
              <a:solidFill>
                <a:srgbClr val="000000"/>
              </a:solidFill>
              <a:latin typeface="Arial"/>
            </a:defRPr>
          </a:pPr>
          <a:endParaRPr lang="en-US"/>
        </a:p>
      </c:txPr>
    </c:legend>
    <c:plotVisOnly val="1"/>
    <c:dispBlanksAs val="gap"/>
    <c:showDLblsOverMax val="1"/>
  </c:chart>
  <c:spPr>
    <a:gradFill>
      <a:gsLst>
        <a:gs pos="0">
          <a:srgbClr val="A0A3AA"/>
        </a:gs>
        <a:gs pos="50000">
          <a:srgbClr val="C6C8CA"/>
        </a:gs>
        <a:gs pos="100000">
          <a:srgbClr val="E3E4E4"/>
        </a:gs>
      </a:gsLst>
      <a:lin ang="0"/>
    </a:gradFill>
    <a:ln w="9360">
      <a:solidFill>
        <a:srgbClr val="000000"/>
      </a:solidFill>
      <a:round/>
    </a:ln>
  </c:spPr>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260" b="0" i="0" u="none" strike="noStrike" kern="1200" spc="0" baseline="0">
                <a:solidFill>
                  <a:sysClr val="windowText" lastClr="000000"/>
                </a:solidFill>
                <a:latin typeface="+mn-lt"/>
                <a:ea typeface="+mn-ea"/>
                <a:cs typeface="+mn-cs"/>
              </a:defRPr>
            </a:pPr>
            <a:r>
              <a:rPr lang="en-US" b="1"/>
              <a:t>Arrear Free Consumer ( In Lacs)</a:t>
            </a:r>
            <a:endParaRPr lang="en-IN" b="1"/>
          </a:p>
        </c:rich>
      </c:tx>
      <c:overlay val="0"/>
      <c:spPr>
        <a:noFill/>
        <a:ln>
          <a:noFill/>
        </a:ln>
        <a:effectLst/>
      </c:spPr>
      <c:txPr>
        <a:bodyPr rot="0" spcFirstLastPara="1" vertOverflow="ellipsis" vert="horz" wrap="square" anchor="ctr" anchorCtr="1"/>
        <a:lstStyle/>
        <a:p>
          <a:pPr>
            <a:defRPr sz="1260" b="0" i="0" u="none" strike="noStrike" kern="1200" spc="0" baseline="0">
              <a:solidFill>
                <a:sysClr val="windowText" lastClr="000000"/>
              </a:solidFill>
              <a:latin typeface="+mn-lt"/>
              <a:ea typeface="+mn-ea"/>
              <a:cs typeface="+mn-cs"/>
            </a:defRPr>
          </a:pPr>
          <a:endParaRPr lang="en-US"/>
        </a:p>
      </c:txPr>
    </c:title>
    <c:autoTitleDeleted val="0"/>
    <c:plotArea>
      <c:layout/>
      <c:barChart>
        <c:barDir val="col"/>
        <c:grouping val="clustered"/>
        <c:varyColors val="0"/>
        <c:ser>
          <c:idx val="0"/>
          <c:order val="0"/>
          <c:tx>
            <c:strRef>
              <c:f>Sheet1!$A$34</c:f>
              <c:strCache>
                <c:ptCount val="1"/>
                <c:pt idx="0">
                  <c:v>FY-24-25</c:v>
                </c:pt>
              </c:strCache>
            </c:strRef>
          </c:tx>
          <c:spPr>
            <a:solidFill>
              <a:srgbClr val="17D0F5"/>
            </a:solidFill>
            <a:ln>
              <a:solidFill>
                <a:schemeClr val="tx1"/>
              </a:solidFill>
            </a:ln>
            <a:effectLst/>
          </c:spPr>
          <c:invertIfNegative val="0"/>
          <c:dLbls>
            <c:spPr>
              <a:noFill/>
              <a:ln>
                <a:noFill/>
              </a:ln>
              <a:effectLst/>
            </c:spPr>
            <c:txPr>
              <a:bodyPr rot="0" spcFirstLastPara="1" vertOverflow="ellipsis" vert="horz" wrap="square" anchor="ctr" anchorCtr="1"/>
              <a:lstStyle/>
              <a:p>
                <a:pPr>
                  <a:defRPr sz="1050" b="0" i="0" u="none" strike="noStrike" kern="1200" baseline="0">
                    <a:solidFill>
                      <a:sysClr val="windowText" lastClr="000000"/>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Sheet1!$B$33:$G$33</c:f>
              <c:strCache>
                <c:ptCount val="6"/>
                <c:pt idx="0">
                  <c:v>Apr</c:v>
                </c:pt>
                <c:pt idx="1">
                  <c:v>May</c:v>
                </c:pt>
                <c:pt idx="2">
                  <c:v>Jun</c:v>
                </c:pt>
                <c:pt idx="3">
                  <c:v>July</c:v>
                </c:pt>
                <c:pt idx="4">
                  <c:v>Aug</c:v>
                </c:pt>
                <c:pt idx="5">
                  <c:v>Sep</c:v>
                </c:pt>
              </c:strCache>
            </c:strRef>
          </c:cat>
          <c:val>
            <c:numRef>
              <c:f>Sheet1!$B$34:$G$34</c:f>
              <c:numCache>
                <c:formatCode>0.00</c:formatCode>
                <c:ptCount val="6"/>
                <c:pt idx="0">
                  <c:v>10.75</c:v>
                </c:pt>
                <c:pt idx="1">
                  <c:v>10.58</c:v>
                </c:pt>
                <c:pt idx="2">
                  <c:v>9.8699999999999992</c:v>
                </c:pt>
                <c:pt idx="3">
                  <c:v>10.14</c:v>
                </c:pt>
                <c:pt idx="4">
                  <c:v>10.38</c:v>
                </c:pt>
                <c:pt idx="5">
                  <c:v>10.45</c:v>
                </c:pt>
              </c:numCache>
            </c:numRef>
          </c:val>
          <c:extLst>
            <c:ext xmlns:c16="http://schemas.microsoft.com/office/drawing/2014/chart" uri="{C3380CC4-5D6E-409C-BE32-E72D297353CC}">
              <c16:uniqueId val="{00000000-F80B-4A69-A36E-8CFB48168930}"/>
            </c:ext>
          </c:extLst>
        </c:ser>
        <c:ser>
          <c:idx val="1"/>
          <c:order val="1"/>
          <c:tx>
            <c:strRef>
              <c:f>Sheet1!$A$35</c:f>
              <c:strCache>
                <c:ptCount val="1"/>
                <c:pt idx="0">
                  <c:v>FY-23-24</c:v>
                </c:pt>
              </c:strCache>
            </c:strRef>
          </c:tx>
          <c:spPr>
            <a:solidFill>
              <a:schemeClr val="accent2"/>
            </a:solidFill>
            <a:ln>
              <a:solidFill>
                <a:schemeClr val="tx2"/>
              </a:solidFill>
            </a:ln>
            <a:effectLst/>
          </c:spPr>
          <c:invertIfNegative val="0"/>
          <c:dLbls>
            <c:dLbl>
              <c:idx val="3"/>
              <c:tx>
                <c:rich>
                  <a:bodyPr/>
                  <a:lstStyle/>
                  <a:p>
                    <a:r>
                      <a:rPr lang="en-US"/>
                      <a:t>9.73</a:t>
                    </a:r>
                    <a:endParaRPr lang="en-US" dirty="0"/>
                  </a:p>
                </c:rich>
              </c:tx>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F80B-4A69-A36E-8CFB48168930}"/>
                </c:ext>
              </c:extLst>
            </c:dLbl>
            <c:dLbl>
              <c:idx val="4"/>
              <c:tx>
                <c:rich>
                  <a:bodyPr/>
                  <a:lstStyle/>
                  <a:p>
                    <a:r>
                      <a:rPr lang="en-US"/>
                      <a:t>9.76</a:t>
                    </a:r>
                    <a:endParaRPr lang="en-US" dirty="0"/>
                  </a:p>
                </c:rich>
              </c:tx>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F80B-4A69-A36E-8CFB48168930}"/>
                </c:ext>
              </c:extLst>
            </c:dLbl>
            <c:spPr>
              <a:noFill/>
              <a:ln>
                <a:noFill/>
              </a:ln>
              <a:effectLst/>
            </c:spPr>
            <c:txPr>
              <a:bodyPr rot="0" spcFirstLastPara="1" vertOverflow="ellipsis" vert="horz" wrap="square" anchor="ctr" anchorCtr="1"/>
              <a:lstStyle/>
              <a:p>
                <a:pPr>
                  <a:defRPr sz="1050" b="0" i="0" u="none" strike="noStrike" kern="1200" baseline="0">
                    <a:solidFill>
                      <a:sysClr val="windowText" lastClr="000000"/>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Sheet1!$B$33:$G$33</c:f>
              <c:strCache>
                <c:ptCount val="6"/>
                <c:pt idx="0">
                  <c:v>Apr</c:v>
                </c:pt>
                <c:pt idx="1">
                  <c:v>May</c:v>
                </c:pt>
                <c:pt idx="2">
                  <c:v>Jun</c:v>
                </c:pt>
                <c:pt idx="3">
                  <c:v>July</c:v>
                </c:pt>
                <c:pt idx="4">
                  <c:v>Aug</c:v>
                </c:pt>
                <c:pt idx="5">
                  <c:v>Sep</c:v>
                </c:pt>
              </c:strCache>
            </c:strRef>
          </c:cat>
          <c:val>
            <c:numRef>
              <c:f>Sheet1!$B$35:$G$35</c:f>
              <c:numCache>
                <c:formatCode>0.00</c:formatCode>
                <c:ptCount val="6"/>
                <c:pt idx="0">
                  <c:v>9.74</c:v>
                </c:pt>
                <c:pt idx="1">
                  <c:v>9.8000000000000007</c:v>
                </c:pt>
                <c:pt idx="2">
                  <c:v>9.4600000000000009</c:v>
                </c:pt>
                <c:pt idx="3">
                  <c:v>9.77</c:v>
                </c:pt>
                <c:pt idx="4">
                  <c:v>9.77</c:v>
                </c:pt>
                <c:pt idx="5">
                  <c:v>9.77</c:v>
                </c:pt>
              </c:numCache>
            </c:numRef>
          </c:val>
          <c:extLst>
            <c:ext xmlns:c16="http://schemas.microsoft.com/office/drawing/2014/chart" uri="{C3380CC4-5D6E-409C-BE32-E72D297353CC}">
              <c16:uniqueId val="{00000003-F80B-4A69-A36E-8CFB48168930}"/>
            </c:ext>
          </c:extLst>
        </c:ser>
        <c:dLbls>
          <c:dLblPos val="outEnd"/>
          <c:showLegendKey val="0"/>
          <c:showVal val="1"/>
          <c:showCatName val="0"/>
          <c:showSerName val="0"/>
          <c:showPercent val="0"/>
          <c:showBubbleSize val="0"/>
        </c:dLbls>
        <c:gapWidth val="219"/>
        <c:overlap val="-27"/>
        <c:axId val="1108885311"/>
        <c:axId val="1108886559"/>
      </c:barChart>
      <c:catAx>
        <c:axId val="1108885311"/>
        <c:scaling>
          <c:orientation val="minMax"/>
        </c:scaling>
        <c:delete val="0"/>
        <c:axPos val="b"/>
        <c:numFmt formatCode="General" sourceLinked="1"/>
        <c:majorTickMark val="none"/>
        <c:minorTickMark val="none"/>
        <c:tickLblPos val="nextTo"/>
        <c:spPr>
          <a:noFill/>
          <a:ln w="19050" cap="flat" cmpd="sng" algn="ctr">
            <a:solidFill>
              <a:schemeClr val="tx1"/>
            </a:solidFill>
            <a:round/>
          </a:ln>
          <a:effectLst/>
        </c:spPr>
        <c:txPr>
          <a:bodyPr rot="-60000000" spcFirstLastPara="1" vertOverflow="ellipsis" vert="horz" wrap="square" anchor="ctr" anchorCtr="1"/>
          <a:lstStyle/>
          <a:p>
            <a:pPr>
              <a:defRPr sz="1050" b="0" i="0" u="none" strike="noStrike" kern="1200" baseline="0">
                <a:solidFill>
                  <a:sysClr val="windowText" lastClr="000000"/>
                </a:solidFill>
                <a:latin typeface="+mn-lt"/>
                <a:ea typeface="+mn-ea"/>
                <a:cs typeface="+mn-cs"/>
              </a:defRPr>
            </a:pPr>
            <a:endParaRPr lang="en-US"/>
          </a:p>
        </c:txPr>
        <c:crossAx val="1108886559"/>
        <c:crosses val="autoZero"/>
        <c:auto val="1"/>
        <c:lblAlgn val="ctr"/>
        <c:lblOffset val="100"/>
        <c:noMultiLvlLbl val="0"/>
      </c:catAx>
      <c:valAx>
        <c:axId val="1108886559"/>
        <c:scaling>
          <c:orientation val="minMax"/>
        </c:scaling>
        <c:delete val="0"/>
        <c:axPos val="l"/>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1050" b="0" i="0" u="none" strike="noStrike" kern="1200" baseline="0">
                <a:solidFill>
                  <a:sysClr val="windowText" lastClr="000000"/>
                </a:solidFill>
                <a:latin typeface="+mn-lt"/>
                <a:ea typeface="+mn-ea"/>
                <a:cs typeface="+mn-cs"/>
              </a:defRPr>
            </a:pPr>
            <a:endParaRPr lang="en-US"/>
          </a:p>
        </c:txPr>
        <c:crossAx val="1108885311"/>
        <c:crosses val="autoZero"/>
        <c:crossBetween val="between"/>
      </c:valAx>
      <c:spPr>
        <a:noFill/>
        <a:ln>
          <a:noFill/>
        </a:ln>
        <a:effectLst/>
      </c:spPr>
    </c:plotArea>
    <c:legend>
      <c:legendPos val="b"/>
      <c:overlay val="0"/>
      <c:spPr>
        <a:noFill/>
        <a:ln w="19050">
          <a:solidFill>
            <a:schemeClr val="tx2"/>
          </a:solidFill>
        </a:ln>
        <a:effectLst/>
      </c:spPr>
      <c:txPr>
        <a:bodyPr rot="0" spcFirstLastPara="1" vertOverflow="ellipsis" vert="horz" wrap="square" anchor="ctr" anchorCtr="1"/>
        <a:lstStyle/>
        <a:p>
          <a:pPr>
            <a:defRPr sz="1050" b="1" i="0" u="none" strike="noStrike" kern="1200" baseline="0">
              <a:solidFill>
                <a:sysClr val="windowText" lastClr="000000"/>
              </a:solidFill>
              <a:latin typeface="+mn-lt"/>
              <a:ea typeface="+mn-ea"/>
              <a:cs typeface="+mn-cs"/>
            </a:defRPr>
          </a:pPr>
          <a:endParaRPr lang="en-US"/>
        </a:p>
      </c:txPr>
    </c:legend>
    <c:plotVisOnly val="1"/>
    <c:dispBlanksAs val="gap"/>
    <c:showDLblsOverMax val="0"/>
  </c:chart>
  <c:spPr>
    <a:solidFill>
      <a:schemeClr val="accent3">
        <a:lumMod val="40000"/>
        <a:lumOff val="60000"/>
      </a:schemeClr>
    </a:solidFill>
    <a:ln w="38100" cap="flat" cmpd="sng" algn="ctr">
      <a:solidFill>
        <a:schemeClr val="accent6">
          <a:lumMod val="50000"/>
        </a:schemeClr>
      </a:solidFill>
      <a:round/>
    </a:ln>
    <a:effectLst/>
  </c:spPr>
  <c:txPr>
    <a:bodyPr/>
    <a:lstStyle/>
    <a:p>
      <a:pPr>
        <a:defRPr sz="1050">
          <a:solidFill>
            <a:sysClr val="windowText" lastClr="000000"/>
          </a:solidFill>
        </a:defRPr>
      </a:pPr>
      <a:endParaRPr lang="en-US"/>
    </a:p>
  </c:txPr>
  <c:externalData r:id="rId3">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080" b="1" i="0" u="none" strike="noStrike" kern="1200" spc="0" baseline="0">
                <a:solidFill>
                  <a:sysClr val="windowText" lastClr="000000"/>
                </a:solidFill>
                <a:latin typeface="Arial" panose="020B0604020202020204" pitchFamily="34" charset="0"/>
                <a:ea typeface="+mn-ea"/>
                <a:cs typeface="Arial" panose="020B0604020202020204" pitchFamily="34" charset="0"/>
              </a:defRPr>
            </a:pPr>
            <a:r>
              <a:rPr lang="en-IN" b="1"/>
              <a:t>Digital Collection MR %</a:t>
            </a:r>
          </a:p>
        </c:rich>
      </c:tx>
      <c:overlay val="0"/>
      <c:spPr>
        <a:noFill/>
        <a:ln>
          <a:noFill/>
        </a:ln>
        <a:effectLst/>
      </c:spPr>
      <c:txPr>
        <a:bodyPr rot="0" spcFirstLastPara="1" vertOverflow="ellipsis" vert="horz" wrap="square" anchor="ctr" anchorCtr="1"/>
        <a:lstStyle/>
        <a:p>
          <a:pPr>
            <a:defRPr sz="1080" b="1" i="0" u="none" strike="noStrike" kern="1200" spc="0" baseline="0">
              <a:solidFill>
                <a:sysClr val="windowText" lastClr="000000"/>
              </a:solidFill>
              <a:latin typeface="Arial" panose="020B0604020202020204" pitchFamily="34" charset="0"/>
              <a:ea typeface="+mn-ea"/>
              <a:cs typeface="Arial" panose="020B0604020202020204" pitchFamily="34" charset="0"/>
            </a:defRPr>
          </a:pPr>
          <a:endParaRPr lang="en-US"/>
        </a:p>
      </c:txPr>
    </c:title>
    <c:autoTitleDeleted val="0"/>
    <c:plotArea>
      <c:layout/>
      <c:lineChart>
        <c:grouping val="standard"/>
        <c:varyColors val="0"/>
        <c:ser>
          <c:idx val="0"/>
          <c:order val="0"/>
          <c:tx>
            <c:strRef>
              <c:f>Sheet1!$A$44</c:f>
              <c:strCache>
                <c:ptCount val="1"/>
                <c:pt idx="0">
                  <c:v>FY-24-25</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dLbls>
            <c:dLbl>
              <c:idx val="0"/>
              <c:layout>
                <c:manualLayout>
                  <c:x val="-7.1790532653759329E-2"/>
                  <c:y val="-5.2629382175396269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5076-40C0-A083-C22AD4BC623E}"/>
                </c:ext>
              </c:extLst>
            </c:dLbl>
            <c:dLbl>
              <c:idx val="1"/>
              <c:layout>
                <c:manualLayout>
                  <c:x val="-7.1790532653759329E-2"/>
                  <c:y val="-5.7514922054481075E-2"/>
                </c:manualLayout>
              </c:layout>
              <c:tx>
                <c:rich>
                  <a:bodyPr/>
                  <a:lstStyle/>
                  <a:p>
                    <a:fld id="{435B1957-3764-46EE-9505-1BD57F17B06E}" type="VALUE">
                      <a:rPr lang="en-US" i="1"/>
                      <a:pPr/>
                      <a:t>[VALUE]</a:t>
                    </a:fld>
                    <a:endParaRPr lang="en-IN"/>
                  </a:p>
                </c:rich>
              </c:tx>
              <c:dLblPos val="r"/>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1-5076-40C0-A083-C22AD4BC623E}"/>
                </c:ext>
              </c:extLst>
            </c:dLbl>
            <c:dLbl>
              <c:idx val="2"/>
              <c:layout>
                <c:manualLayout>
                  <c:x val="-7.1790532653759329E-2"/>
                  <c:y val="-5.2629382175396269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5076-40C0-A083-C22AD4BC623E}"/>
                </c:ext>
              </c:extLst>
            </c:dLbl>
            <c:dLbl>
              <c:idx val="3"/>
              <c:layout>
                <c:manualLayout>
                  <c:x val="-7.4210776564797271E-2"/>
                  <c:y val="-5.7514922054481075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5076-40C0-A083-C22AD4BC623E}"/>
                </c:ext>
              </c:extLst>
            </c:dLbl>
            <c:dLbl>
              <c:idx val="4"/>
              <c:layout>
                <c:manualLayout>
                  <c:x val="-5.5366223876373181E-2"/>
                  <c:y val="-5.2629382175396269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5076-40C0-A083-C22AD4BC623E}"/>
                </c:ext>
              </c:extLst>
            </c:dLbl>
            <c:dLbl>
              <c:idx val="5"/>
              <c:layout>
                <c:manualLayout>
                  <c:x val="-3.3568401905322724E-2"/>
                  <c:y val="-4.530107235676905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5076-40C0-A083-C22AD4BC623E}"/>
                </c:ext>
              </c:extLst>
            </c:dLbl>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Sheet1!$B$42:$G$43</c:f>
              <c:strCache>
                <c:ptCount val="6"/>
                <c:pt idx="0">
                  <c:v>Apr</c:v>
                </c:pt>
                <c:pt idx="1">
                  <c:v>May</c:v>
                </c:pt>
                <c:pt idx="2">
                  <c:v>Jun</c:v>
                </c:pt>
                <c:pt idx="3">
                  <c:v>July</c:v>
                </c:pt>
                <c:pt idx="4">
                  <c:v>Aug</c:v>
                </c:pt>
                <c:pt idx="5">
                  <c:v>Sep</c:v>
                </c:pt>
              </c:strCache>
            </c:strRef>
          </c:cat>
          <c:val>
            <c:numRef>
              <c:f>Sheet1!$B$44:$G$44</c:f>
              <c:numCache>
                <c:formatCode>0.00%</c:formatCode>
                <c:ptCount val="6"/>
                <c:pt idx="0">
                  <c:v>0.31719999999999998</c:v>
                </c:pt>
                <c:pt idx="1">
                  <c:v>0.32300000000000001</c:v>
                </c:pt>
                <c:pt idx="2">
                  <c:v>0.33250000000000002</c:v>
                </c:pt>
                <c:pt idx="3">
                  <c:v>0.3387</c:v>
                </c:pt>
                <c:pt idx="4">
                  <c:v>0.34289999999999998</c:v>
                </c:pt>
                <c:pt idx="5">
                  <c:v>0.34749999999999998</c:v>
                </c:pt>
              </c:numCache>
            </c:numRef>
          </c:val>
          <c:smooth val="0"/>
          <c:extLst>
            <c:ext xmlns:c16="http://schemas.microsoft.com/office/drawing/2014/chart" uri="{C3380CC4-5D6E-409C-BE32-E72D297353CC}">
              <c16:uniqueId val="{00000006-5076-40C0-A083-C22AD4BC623E}"/>
            </c:ext>
          </c:extLst>
        </c:ser>
        <c:ser>
          <c:idx val="1"/>
          <c:order val="1"/>
          <c:tx>
            <c:strRef>
              <c:f>Sheet1!$A$45</c:f>
              <c:strCache>
                <c:ptCount val="1"/>
                <c:pt idx="0">
                  <c:v>FY-23-24</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dLbls>
            <c:dLbl>
              <c:idx val="0"/>
              <c:layout>
                <c:manualLayout>
                  <c:x val="-6.2109557009607609E-2"/>
                  <c:y val="-5.0186612235853863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5076-40C0-A083-C22AD4BC623E}"/>
                </c:ext>
              </c:extLst>
            </c:dLbl>
            <c:dLbl>
              <c:idx val="1"/>
              <c:layout>
                <c:manualLayout>
                  <c:x val="-5.9689313098569716E-2"/>
                  <c:y val="-3.797276253814183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5076-40C0-A083-C22AD4BC623E}"/>
                </c:ext>
              </c:extLst>
            </c:dLbl>
            <c:dLbl>
              <c:idx val="2"/>
              <c:layout>
                <c:manualLayout>
                  <c:x val="-4.349788133372591E-2"/>
                  <c:y val="-3.7844661374383151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5076-40C0-A083-C22AD4BC623E}"/>
                </c:ext>
              </c:extLst>
            </c:dLbl>
            <c:dLbl>
              <c:idx val="3"/>
              <c:layout>
                <c:manualLayout>
                  <c:x val="-6.2109557009607783E-2"/>
                  <c:y val="-5.9957691994023572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5076-40C0-A083-C22AD4BC623E}"/>
                </c:ext>
              </c:extLst>
            </c:dLbl>
            <c:dLbl>
              <c:idx val="4"/>
              <c:layout>
                <c:manualLayout>
                  <c:x val="-6.9887687342600771E-2"/>
                  <c:y val="-5.9957691994023482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5076-40C0-A083-C22AD4BC623E}"/>
                </c:ext>
              </c:extLst>
            </c:dLbl>
            <c:dLbl>
              <c:idx val="5"/>
              <c:layout>
                <c:manualLayout>
                  <c:x val="-5.2930353193626184E-2"/>
                  <c:y val="-5.2629382175396311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5076-40C0-A083-C22AD4BC623E}"/>
                </c:ext>
              </c:extLst>
            </c:dLbl>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12700" cap="flat" cmpd="sng" algn="ctr">
                      <a:solidFill>
                        <a:schemeClr val="tx1">
                          <a:lumMod val="35000"/>
                          <a:lumOff val="65000"/>
                        </a:schemeClr>
                      </a:solidFill>
                      <a:round/>
                    </a:ln>
                    <a:effectLst/>
                  </c:spPr>
                </c15:leaderLines>
              </c:ext>
            </c:extLst>
          </c:dLbls>
          <c:cat>
            <c:strRef>
              <c:f>Sheet1!$B$42:$G$43</c:f>
              <c:strCache>
                <c:ptCount val="6"/>
                <c:pt idx="0">
                  <c:v>Apr</c:v>
                </c:pt>
                <c:pt idx="1">
                  <c:v>May</c:v>
                </c:pt>
                <c:pt idx="2">
                  <c:v>Jun</c:v>
                </c:pt>
                <c:pt idx="3">
                  <c:v>July</c:v>
                </c:pt>
                <c:pt idx="4">
                  <c:v>Aug</c:v>
                </c:pt>
                <c:pt idx="5">
                  <c:v>Sep</c:v>
                </c:pt>
              </c:strCache>
            </c:strRef>
          </c:cat>
          <c:val>
            <c:numRef>
              <c:f>Sheet1!$B$45:$G$45</c:f>
              <c:numCache>
                <c:formatCode>0.00%</c:formatCode>
                <c:ptCount val="6"/>
                <c:pt idx="0">
                  <c:v>0.20430000000000001</c:v>
                </c:pt>
                <c:pt idx="1">
                  <c:v>0.21390000000000001</c:v>
                </c:pt>
                <c:pt idx="2">
                  <c:v>0.22500000000000001</c:v>
                </c:pt>
                <c:pt idx="3">
                  <c:v>0.23549999999999999</c:v>
                </c:pt>
                <c:pt idx="4">
                  <c:v>0.24199999999999999</c:v>
                </c:pt>
                <c:pt idx="5">
                  <c:v>0.2535</c:v>
                </c:pt>
              </c:numCache>
            </c:numRef>
          </c:val>
          <c:smooth val="0"/>
          <c:extLst>
            <c:ext xmlns:c16="http://schemas.microsoft.com/office/drawing/2014/chart" uri="{C3380CC4-5D6E-409C-BE32-E72D297353CC}">
              <c16:uniqueId val="{0000000D-5076-40C0-A083-C22AD4BC623E}"/>
            </c:ext>
          </c:extLst>
        </c:ser>
        <c:dLbls>
          <c:showLegendKey val="0"/>
          <c:showVal val="0"/>
          <c:showCatName val="0"/>
          <c:showSerName val="0"/>
          <c:showPercent val="0"/>
          <c:showBubbleSize val="0"/>
        </c:dLbls>
        <c:marker val="1"/>
        <c:smooth val="0"/>
        <c:axId val="713480863"/>
        <c:axId val="713475455"/>
      </c:lineChart>
      <c:catAx>
        <c:axId val="713480863"/>
        <c:scaling>
          <c:orientation val="minMax"/>
        </c:scaling>
        <c:delete val="0"/>
        <c:axPos val="b"/>
        <c:numFmt formatCode="General" sourceLinked="1"/>
        <c:majorTickMark val="none"/>
        <c:minorTickMark val="none"/>
        <c:tickLblPos val="nextTo"/>
        <c:spPr>
          <a:noFill/>
          <a:ln w="2857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crossAx val="713475455"/>
        <c:crosses val="autoZero"/>
        <c:auto val="1"/>
        <c:lblAlgn val="ctr"/>
        <c:lblOffset val="100"/>
        <c:noMultiLvlLbl val="0"/>
      </c:catAx>
      <c:valAx>
        <c:axId val="713475455"/>
        <c:scaling>
          <c:orientation val="minMax"/>
          <c:max val="0.5"/>
        </c:scaling>
        <c:delete val="0"/>
        <c:axPos val="l"/>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crossAx val="713480863"/>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legend>
    <c:plotVisOnly val="1"/>
    <c:dispBlanksAs val="gap"/>
    <c:showDLblsOverMax val="0"/>
  </c:chart>
  <c:spPr>
    <a:solidFill>
      <a:schemeClr val="accent6">
        <a:lumMod val="40000"/>
        <a:lumOff val="60000"/>
      </a:schemeClr>
    </a:solidFill>
    <a:ln w="28575" cap="flat" cmpd="sng" algn="ctr">
      <a:solidFill>
        <a:schemeClr val="accent2">
          <a:lumMod val="75000"/>
        </a:schemeClr>
      </a:solidFill>
      <a:round/>
    </a:ln>
    <a:effectLst/>
  </c:spPr>
  <c:txPr>
    <a:bodyPr/>
    <a:lstStyle/>
    <a:p>
      <a:pPr>
        <a:defRPr sz="900">
          <a:solidFill>
            <a:sysClr val="windowText" lastClr="000000"/>
          </a:solidFill>
          <a:latin typeface="Arial" panose="020B0604020202020204" pitchFamily="34" charset="0"/>
          <a:cs typeface="Arial" panose="020B0604020202020204" pitchFamily="34" charset="0"/>
        </a:defRPr>
      </a:pPr>
      <a:endParaRPr lang="en-US"/>
    </a:p>
  </c:txPr>
  <c:externalData r:id="rId4">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tx>
            <c:strRef>
              <c:f>Sheet5!$B$1</c:f>
              <c:strCache>
                <c:ptCount val="1"/>
                <c:pt idx="0">
                  <c:v>FY23</c:v>
                </c:pt>
              </c:strCache>
            </c:strRef>
          </c:tx>
          <c:spPr>
            <a:ln w="28575" cap="rnd">
              <a:solidFill>
                <a:schemeClr val="accent1"/>
              </a:solidFill>
              <a:round/>
            </a:ln>
            <a:effectLst/>
          </c:spPr>
          <c:marker>
            <c:symbol val="none"/>
          </c:marker>
          <c:cat>
            <c:strRef>
              <c:f>Sheet5!$A$2:$A$6</c:f>
              <c:strCache>
                <c:ptCount val="5"/>
                <c:pt idx="0">
                  <c:v>Q1</c:v>
                </c:pt>
                <c:pt idx="1">
                  <c:v>Q2</c:v>
                </c:pt>
                <c:pt idx="2">
                  <c:v>Q3</c:v>
                </c:pt>
                <c:pt idx="3">
                  <c:v>Q4</c:v>
                </c:pt>
                <c:pt idx="4">
                  <c:v>Grand Total</c:v>
                </c:pt>
              </c:strCache>
            </c:strRef>
          </c:cat>
          <c:val>
            <c:numRef>
              <c:f>Sheet5!$B$2:$B$6</c:f>
              <c:numCache>
                <c:formatCode>General</c:formatCode>
                <c:ptCount val="5"/>
                <c:pt idx="0">
                  <c:v>1</c:v>
                </c:pt>
                <c:pt idx="1">
                  <c:v>11</c:v>
                </c:pt>
                <c:pt idx="2">
                  <c:v>14</c:v>
                </c:pt>
                <c:pt idx="3">
                  <c:v>14</c:v>
                </c:pt>
                <c:pt idx="4">
                  <c:v>40</c:v>
                </c:pt>
              </c:numCache>
            </c:numRef>
          </c:val>
          <c:smooth val="0"/>
          <c:extLst>
            <c:ext xmlns:c16="http://schemas.microsoft.com/office/drawing/2014/chart" uri="{C3380CC4-5D6E-409C-BE32-E72D297353CC}">
              <c16:uniqueId val="{00000000-7D6B-4DC5-9092-58E959ABB4E2}"/>
            </c:ext>
          </c:extLst>
        </c:ser>
        <c:ser>
          <c:idx val="1"/>
          <c:order val="1"/>
          <c:tx>
            <c:strRef>
              <c:f>Sheet5!$C$1</c:f>
              <c:strCache>
                <c:ptCount val="1"/>
                <c:pt idx="0">
                  <c:v>FY24</c:v>
                </c:pt>
              </c:strCache>
            </c:strRef>
          </c:tx>
          <c:spPr>
            <a:ln w="28575" cap="rnd">
              <a:solidFill>
                <a:schemeClr val="accent2"/>
              </a:solidFill>
              <a:round/>
            </a:ln>
            <a:effectLst/>
          </c:spPr>
          <c:marker>
            <c:symbol val="none"/>
          </c:marker>
          <c:cat>
            <c:strRef>
              <c:f>Sheet5!$A$2:$A$6</c:f>
              <c:strCache>
                <c:ptCount val="5"/>
                <c:pt idx="0">
                  <c:v>Q1</c:v>
                </c:pt>
                <c:pt idx="1">
                  <c:v>Q2</c:v>
                </c:pt>
                <c:pt idx="2">
                  <c:v>Q3</c:v>
                </c:pt>
                <c:pt idx="3">
                  <c:v>Q4</c:v>
                </c:pt>
                <c:pt idx="4">
                  <c:v>Grand Total</c:v>
                </c:pt>
              </c:strCache>
            </c:strRef>
          </c:cat>
          <c:val>
            <c:numRef>
              <c:f>Sheet5!$C$2:$C$6</c:f>
              <c:numCache>
                <c:formatCode>General</c:formatCode>
                <c:ptCount val="5"/>
                <c:pt idx="0">
                  <c:v>9</c:v>
                </c:pt>
                <c:pt idx="1">
                  <c:v>17</c:v>
                </c:pt>
                <c:pt idx="2">
                  <c:v>19</c:v>
                </c:pt>
                <c:pt idx="3">
                  <c:v>10</c:v>
                </c:pt>
                <c:pt idx="4">
                  <c:v>55</c:v>
                </c:pt>
              </c:numCache>
            </c:numRef>
          </c:val>
          <c:smooth val="0"/>
          <c:extLst>
            <c:ext xmlns:c16="http://schemas.microsoft.com/office/drawing/2014/chart" uri="{C3380CC4-5D6E-409C-BE32-E72D297353CC}">
              <c16:uniqueId val="{00000001-7D6B-4DC5-9092-58E959ABB4E2}"/>
            </c:ext>
          </c:extLst>
        </c:ser>
        <c:dLbls>
          <c:showLegendKey val="0"/>
          <c:showVal val="0"/>
          <c:showCatName val="0"/>
          <c:showSerName val="0"/>
          <c:showPercent val="0"/>
          <c:showBubbleSize val="0"/>
        </c:dLbls>
        <c:dropLines>
          <c:spPr>
            <a:ln w="9525" cap="flat" cmpd="sng" algn="ctr">
              <a:solidFill>
                <a:schemeClr val="tx1">
                  <a:lumMod val="35000"/>
                  <a:lumOff val="65000"/>
                </a:schemeClr>
              </a:solidFill>
              <a:round/>
            </a:ln>
            <a:effectLst/>
          </c:spPr>
        </c:dropLines>
        <c:smooth val="0"/>
        <c:axId val="1861144255"/>
        <c:axId val="1861137599"/>
      </c:lineChart>
      <c:catAx>
        <c:axId val="1861144255"/>
        <c:scaling>
          <c:orientation val="minMax"/>
        </c:scaling>
        <c:delete val="0"/>
        <c:axPos val="b"/>
        <c:title>
          <c:tx>
            <c:rich>
              <a:bodyPr rot="0" spcFirstLastPara="1" vertOverflow="ellipsis" vert="horz" wrap="square" anchor="ctr" anchorCtr="1"/>
              <a:lstStyle/>
              <a:p>
                <a:pPr>
                  <a:defRPr sz="1000" b="1" i="0" u="none" strike="noStrike" kern="1200" baseline="0">
                    <a:solidFill>
                      <a:sysClr val="windowText" lastClr="000000"/>
                    </a:solidFill>
                    <a:latin typeface="+mn-lt"/>
                    <a:ea typeface="+mn-ea"/>
                    <a:cs typeface="+mn-cs"/>
                  </a:defRPr>
                </a:pPr>
                <a:r>
                  <a:rPr lang="en-IN"/>
                  <a:t>FY Quarter's</a:t>
                </a:r>
              </a:p>
            </c:rich>
          </c:tx>
          <c:overlay val="0"/>
          <c:spPr>
            <a:noFill/>
            <a:ln>
              <a:noFill/>
            </a:ln>
            <a:effectLst/>
          </c:spPr>
          <c:txPr>
            <a:bodyPr rot="0" spcFirstLastPara="1" vertOverflow="ellipsis" vert="horz" wrap="square" anchor="ctr" anchorCtr="1"/>
            <a:lstStyle/>
            <a:p>
              <a:pPr>
                <a:defRPr sz="1000" b="1" i="0" u="none" strike="noStrike" kern="1200" baseline="0">
                  <a:solidFill>
                    <a:sysClr val="windowText" lastClr="000000"/>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1" i="0" u="none" strike="noStrike" kern="1200" baseline="0">
                <a:solidFill>
                  <a:sysClr val="windowText" lastClr="000000"/>
                </a:solidFill>
                <a:latin typeface="+mn-lt"/>
                <a:ea typeface="+mn-ea"/>
                <a:cs typeface="+mn-cs"/>
              </a:defRPr>
            </a:pPr>
            <a:endParaRPr lang="en-US"/>
          </a:p>
        </c:txPr>
        <c:crossAx val="1861137599"/>
        <c:crosses val="autoZero"/>
        <c:auto val="1"/>
        <c:lblAlgn val="ctr"/>
        <c:lblOffset val="100"/>
        <c:noMultiLvlLbl val="0"/>
      </c:catAx>
      <c:valAx>
        <c:axId val="1861137599"/>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1" i="0" u="none" strike="noStrike" kern="1200" baseline="0">
                    <a:solidFill>
                      <a:sysClr val="windowText" lastClr="000000"/>
                    </a:solidFill>
                    <a:latin typeface="+mn-lt"/>
                    <a:ea typeface="+mn-ea"/>
                    <a:cs typeface="+mn-cs"/>
                  </a:defRPr>
                </a:pPr>
                <a:r>
                  <a:rPr lang="en-IN"/>
                  <a:t>No. of Events</a:t>
                </a:r>
              </a:p>
            </c:rich>
          </c:tx>
          <c:overlay val="0"/>
          <c:spPr>
            <a:noFill/>
            <a:ln>
              <a:noFill/>
            </a:ln>
            <a:effectLst/>
          </c:spPr>
          <c:txPr>
            <a:bodyPr rot="-5400000" spcFirstLastPara="1" vertOverflow="ellipsis" vert="horz" wrap="square" anchor="ctr" anchorCtr="1"/>
            <a:lstStyle/>
            <a:p>
              <a:pPr>
                <a:defRPr sz="1000" b="1" i="0" u="none" strike="noStrike" kern="1200" baseline="0">
                  <a:solidFill>
                    <a:sysClr val="windowText" lastClr="000000"/>
                  </a:solidFill>
                  <a:latin typeface="+mn-lt"/>
                  <a:ea typeface="+mn-ea"/>
                  <a:cs typeface="+mn-cs"/>
                </a:defRPr>
              </a:pPr>
              <a:endParaRPr lang="en-US"/>
            </a:p>
          </c:txPr>
        </c:title>
        <c:numFmt formatCode="General" sourceLinked="1"/>
        <c:majorTickMark val="out"/>
        <c:minorTickMark val="none"/>
        <c:tickLblPos val="nextTo"/>
        <c:spPr>
          <a:noFill/>
          <a:ln>
            <a:noFill/>
          </a:ln>
          <a:effectLst/>
        </c:spPr>
        <c:txPr>
          <a:bodyPr rot="-60000000" spcFirstLastPara="1" vertOverflow="ellipsis" vert="horz" wrap="square" anchor="ctr" anchorCtr="1"/>
          <a:lstStyle/>
          <a:p>
            <a:pPr>
              <a:defRPr sz="900" b="1" i="0" u="none" strike="noStrike" kern="1200" baseline="0">
                <a:solidFill>
                  <a:sysClr val="windowText" lastClr="000000"/>
                </a:solidFill>
                <a:latin typeface="+mn-lt"/>
                <a:ea typeface="+mn-ea"/>
                <a:cs typeface="+mn-cs"/>
              </a:defRPr>
            </a:pPr>
            <a:endParaRPr lang="en-US"/>
          </a:p>
        </c:txPr>
        <c:crossAx val="1861144255"/>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1" i="0" u="none" strike="noStrike" kern="1200" baseline="0">
              <a:solidFill>
                <a:sysClr val="windowText" lastClr="000000"/>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b="1">
          <a:solidFill>
            <a:sysClr val="windowText" lastClr="000000"/>
          </a:solidFill>
        </a:defRPr>
      </a:pPr>
      <a:endParaRPr lang="en-US"/>
    </a:p>
  </c:txPr>
  <c:externalData r:id="rId3">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doughnutChart>
        <c:varyColors val="1"/>
        <c:ser>
          <c:idx val="0"/>
          <c:order val="0"/>
          <c:spPr>
            <a:ln>
              <a:noFill/>
            </a:ln>
          </c:spPr>
          <c:dPt>
            <c:idx val="0"/>
            <c:bubble3D val="0"/>
            <c:spPr>
              <a:solidFill>
                <a:srgbClr val="00B050"/>
              </a:solidFill>
              <a:ln w="19050">
                <a:noFill/>
              </a:ln>
              <a:effectLst/>
            </c:spPr>
            <c:extLst>
              <c:ext xmlns:c16="http://schemas.microsoft.com/office/drawing/2014/chart" uri="{C3380CC4-5D6E-409C-BE32-E72D297353CC}">
                <c16:uniqueId val="{00000001-9A78-4B93-B9B6-2D9048FFDABD}"/>
              </c:ext>
            </c:extLst>
          </c:dPt>
          <c:dPt>
            <c:idx val="1"/>
            <c:bubble3D val="0"/>
            <c:spPr>
              <a:solidFill>
                <a:schemeClr val="accent4">
                  <a:lumMod val="60000"/>
                  <a:lumOff val="40000"/>
                </a:schemeClr>
              </a:solidFill>
              <a:ln w="19050">
                <a:noFill/>
              </a:ln>
              <a:effectLst/>
            </c:spPr>
            <c:extLst>
              <c:ext xmlns:c16="http://schemas.microsoft.com/office/drawing/2014/chart" uri="{C3380CC4-5D6E-409C-BE32-E72D297353CC}">
                <c16:uniqueId val="{00000003-9A78-4B93-B9B6-2D9048FFDABD}"/>
              </c:ext>
            </c:extLst>
          </c:dPt>
          <c:dLbls>
            <c:dLbl>
              <c:idx val="0"/>
              <c:layout>
                <c:manualLayout>
                  <c:x val="0.28845271277250017"/>
                  <c:y val="9.3573335785127262E-2"/>
                </c:manualLayout>
              </c:layout>
              <c:spPr>
                <a:solidFill>
                  <a:sysClr val="window" lastClr="FFFFFF"/>
                </a:solidFill>
                <a:ln>
                  <a:solidFill>
                    <a:sysClr val="windowText" lastClr="000000">
                      <a:lumMod val="25000"/>
                      <a:lumOff val="75000"/>
                    </a:sysClr>
                  </a:solidFill>
                </a:ln>
                <a:effectLst/>
              </c:spPr>
              <c:txPr>
                <a:bodyPr rot="0" spcFirstLastPara="1" vertOverflow="clip" horzOverflow="clip" vert="horz" wrap="square" lIns="38100" tIns="19050" rIns="38100" bIns="19050" anchor="ctr" anchorCtr="1">
                  <a:noAutofit/>
                </a:bodyPr>
                <a:lstStyle/>
                <a:p>
                  <a:pPr>
                    <a:defRPr sz="800" b="0" i="0" u="none" strike="noStrike" kern="1200" baseline="0">
                      <a:solidFill>
                        <a:schemeClr val="dk1">
                          <a:lumMod val="65000"/>
                          <a:lumOff val="35000"/>
                        </a:schemeClr>
                      </a:solidFill>
                      <a:latin typeface="+mn-lt"/>
                      <a:ea typeface="+mn-ea"/>
                      <a:cs typeface="+mn-cs"/>
                    </a:defRPr>
                  </a:pPr>
                  <a:endParaRPr lang="en-US"/>
                </a:p>
              </c:txPr>
              <c:showLegendKey val="0"/>
              <c:showVal val="0"/>
              <c:showCatName val="1"/>
              <c:showSerName val="0"/>
              <c:showPercent val="1"/>
              <c:showBubbleSize val="0"/>
              <c:extLst>
                <c:ext xmlns:c15="http://schemas.microsoft.com/office/drawing/2012/chart" uri="{CE6537A1-D6FC-4f65-9D91-7224C49458BB}">
                  <c15:spPr xmlns:c15="http://schemas.microsoft.com/office/drawing/2012/chart">
                    <a:prstGeom prst="wedgeRectCallout">
                      <a:avLst/>
                    </a:prstGeom>
                    <a:noFill/>
                    <a:ln>
                      <a:noFill/>
                    </a:ln>
                  </c15:spPr>
                  <c15:layout>
                    <c:manualLayout>
                      <c:w val="0.29260929234080751"/>
                      <c:h val="0.32285248826655288"/>
                    </c:manualLayout>
                  </c15:layout>
                </c:ext>
                <c:ext xmlns:c16="http://schemas.microsoft.com/office/drawing/2014/chart" uri="{C3380CC4-5D6E-409C-BE32-E72D297353CC}">
                  <c16:uniqueId val="{00000001-9A78-4B93-B9B6-2D9048FFDABD}"/>
                </c:ext>
              </c:extLst>
            </c:dLbl>
            <c:dLbl>
              <c:idx val="1"/>
              <c:layout>
                <c:manualLayout>
                  <c:x val="-0.29364438971319096"/>
                  <c:y val="-4.0954453033988258E-2"/>
                </c:manualLayout>
              </c:layout>
              <c:spPr>
                <a:solidFill>
                  <a:sysClr val="window" lastClr="FFFFFF"/>
                </a:solidFill>
                <a:ln>
                  <a:solidFill>
                    <a:sysClr val="windowText" lastClr="000000">
                      <a:lumMod val="25000"/>
                      <a:lumOff val="75000"/>
                    </a:sysClr>
                  </a:solidFill>
                </a:ln>
                <a:effectLst/>
              </c:spPr>
              <c:txPr>
                <a:bodyPr rot="0" spcFirstLastPara="1" vertOverflow="clip" horzOverflow="clip" vert="horz" wrap="square" lIns="38100" tIns="19050" rIns="38100" bIns="19050" anchor="ctr" anchorCtr="1">
                  <a:spAutoFit/>
                </a:bodyPr>
                <a:lstStyle/>
                <a:p>
                  <a:pPr>
                    <a:defRPr sz="800" b="0" i="0" u="none" strike="noStrike" kern="1200" baseline="0">
                      <a:solidFill>
                        <a:schemeClr val="dk1">
                          <a:lumMod val="65000"/>
                          <a:lumOff val="35000"/>
                        </a:schemeClr>
                      </a:solidFill>
                      <a:latin typeface="+mn-lt"/>
                      <a:ea typeface="+mn-ea"/>
                      <a:cs typeface="+mn-cs"/>
                    </a:defRPr>
                  </a:pPr>
                  <a:endParaRPr lang="en-US"/>
                </a:p>
              </c:txPr>
              <c:showLegendKey val="0"/>
              <c:showVal val="0"/>
              <c:showCatName val="1"/>
              <c:showSerName val="0"/>
              <c:showPercent val="1"/>
              <c:showBubbleSize val="0"/>
              <c:extLst>
                <c:ext xmlns:c15="http://schemas.microsoft.com/office/drawing/2012/chart" uri="{CE6537A1-D6FC-4f65-9D91-7224C49458BB}">
                  <c15:spPr xmlns:c15="http://schemas.microsoft.com/office/drawing/2012/chart">
                    <a:prstGeom prst="wedgeRectCallout">
                      <a:avLst/>
                    </a:prstGeom>
                    <a:noFill/>
                    <a:ln>
                      <a:noFill/>
                    </a:ln>
                  </c15:spPr>
                  <c15:layout>
                    <c:manualLayout>
                      <c:w val="0.27652132764406667"/>
                      <c:h val="0.33252240021721419"/>
                    </c:manualLayout>
                  </c15:layout>
                </c:ext>
                <c:ext xmlns:c16="http://schemas.microsoft.com/office/drawing/2014/chart" uri="{C3380CC4-5D6E-409C-BE32-E72D297353CC}">
                  <c16:uniqueId val="{00000003-9A78-4B93-B9B6-2D9048FFDABD}"/>
                </c:ext>
              </c:extLst>
            </c:dLbl>
            <c:spPr>
              <a:solidFill>
                <a:sysClr val="window" lastClr="FFFFFF"/>
              </a:solidFill>
              <a:ln>
                <a:solidFill>
                  <a:sysClr val="windowText" lastClr="000000">
                    <a:lumMod val="25000"/>
                    <a:lumOff val="75000"/>
                  </a:sysClr>
                </a:solidFill>
              </a:ln>
              <a:effectLst/>
            </c:spPr>
            <c:txPr>
              <a:bodyPr rot="0" spcFirstLastPara="1" vertOverflow="clip" horzOverflow="clip" vert="horz" wrap="square" lIns="38100" tIns="19050" rIns="38100" bIns="19050" anchor="ctr" anchorCtr="1">
                <a:spAutoFit/>
              </a:bodyPr>
              <a:lstStyle/>
              <a:p>
                <a:pPr>
                  <a:defRPr sz="1197" b="0" i="0" u="none" strike="noStrike" kern="1200" baseline="0">
                    <a:solidFill>
                      <a:schemeClr val="dk1">
                        <a:lumMod val="65000"/>
                        <a:lumOff val="35000"/>
                      </a:schemeClr>
                    </a:solidFill>
                    <a:latin typeface="+mn-lt"/>
                    <a:ea typeface="+mn-ea"/>
                    <a:cs typeface="+mn-cs"/>
                  </a:defRPr>
                </a:pPr>
                <a:endParaRPr lang="en-US"/>
              </a:p>
            </c:txPr>
            <c:showLegendKey val="0"/>
            <c:showVal val="0"/>
            <c:showCatName val="1"/>
            <c:showSerName val="0"/>
            <c:showPercent val="1"/>
            <c:showBubbleSize val="0"/>
            <c:showLeaderLines val="0"/>
            <c:extLst>
              <c:ext xmlns:c15="http://schemas.microsoft.com/office/drawing/2012/chart" uri="{CE6537A1-D6FC-4f65-9D91-7224C49458BB}">
                <c15:spPr xmlns:c15="http://schemas.microsoft.com/office/drawing/2012/chart">
                  <a:prstGeom prst="wedgeRectCallout">
                    <a:avLst/>
                  </a:prstGeom>
                  <a:noFill/>
                  <a:ln>
                    <a:noFill/>
                  </a:ln>
                </c15:spPr>
              </c:ext>
            </c:extLst>
          </c:dLbls>
          <c:cat>
            <c:strRef>
              <c:f>Sheet2!$A$4:$A$5</c:f>
              <c:strCache>
                <c:ptCount val="2"/>
                <c:pt idx="0">
                  <c:v>Normal Voltage</c:v>
                </c:pt>
                <c:pt idx="1">
                  <c:v>Under Voltage</c:v>
                </c:pt>
              </c:strCache>
            </c:strRef>
          </c:cat>
          <c:val>
            <c:numRef>
              <c:f>Sheet2!$B$4:$B$5</c:f>
              <c:numCache>
                <c:formatCode>General</c:formatCode>
                <c:ptCount val="2"/>
                <c:pt idx="0">
                  <c:v>71</c:v>
                </c:pt>
                <c:pt idx="1">
                  <c:v>7</c:v>
                </c:pt>
              </c:numCache>
            </c:numRef>
          </c:val>
          <c:extLst>
            <c:ext xmlns:c16="http://schemas.microsoft.com/office/drawing/2014/chart" uri="{C3380CC4-5D6E-409C-BE32-E72D297353CC}">
              <c16:uniqueId val="{00000004-9A78-4B93-B9B6-2D9048FFDABD}"/>
            </c:ext>
          </c:extLst>
        </c:ser>
        <c:dLbls>
          <c:showLegendKey val="0"/>
          <c:showVal val="0"/>
          <c:showCatName val="0"/>
          <c:showSerName val="0"/>
          <c:showPercent val="0"/>
          <c:showBubbleSize val="0"/>
          <c:showLeaderLines val="0"/>
        </c:dLbls>
        <c:firstSliceAng val="0"/>
        <c:holeSize val="55"/>
      </c:doughnutChart>
      <c:spPr>
        <a:noFill/>
        <a:ln>
          <a:noFill/>
        </a:ln>
        <a:effectLst/>
      </c:spPr>
    </c:plotArea>
    <c:plotVisOnly val="1"/>
    <c:dispBlanksAs val="gap"/>
    <c:showDLblsOverMax val="0"/>
  </c:chart>
  <c:spPr>
    <a:solidFill>
      <a:schemeClr val="bg1"/>
    </a:solidFill>
    <a:ln w="9525" cap="flat" cmpd="sng" algn="ctr">
      <a:solidFill>
        <a:srgbClr val="00B0F0"/>
      </a:solidFill>
      <a:round/>
    </a:ln>
    <a:effectLst/>
  </c:spPr>
  <c:txPr>
    <a:bodyPr/>
    <a:lstStyle/>
    <a:p>
      <a:pPr>
        <a:defRPr/>
      </a:pPr>
      <a:endParaRPr lang="en-US"/>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200" b="1" i="0" u="none" strike="noStrike" kern="1200" spc="0" baseline="0">
                <a:solidFill>
                  <a:sysClr val="windowText" lastClr="000000"/>
                </a:solidFill>
                <a:latin typeface="+mn-lt"/>
                <a:ea typeface="+mn-ea"/>
                <a:cs typeface="+mn-cs"/>
              </a:defRPr>
            </a:pPr>
            <a:r>
              <a:rPr lang="en-IN" sz="1200"/>
              <a:t>Trend of Billing Efficiency (BE)  &amp; Collection Efficiency (CE)</a:t>
            </a:r>
          </a:p>
        </c:rich>
      </c:tx>
      <c:layout>
        <c:manualLayout>
          <c:xMode val="edge"/>
          <c:yMode val="edge"/>
          <c:x val="0.17123718994585135"/>
          <c:y val="2.2075055187637971E-2"/>
        </c:manualLayout>
      </c:layout>
      <c:overlay val="0"/>
      <c:spPr>
        <a:noFill/>
        <a:ln>
          <a:noFill/>
        </a:ln>
        <a:effectLst/>
      </c:spPr>
      <c:txPr>
        <a:bodyPr rot="0" spcFirstLastPara="1" vertOverflow="ellipsis" vert="horz" wrap="square" anchor="ctr" anchorCtr="1"/>
        <a:lstStyle/>
        <a:p>
          <a:pPr>
            <a:defRPr sz="1200" b="1" i="0" u="none" strike="noStrike" kern="1200" spc="0" baseline="0">
              <a:solidFill>
                <a:sysClr val="windowText" lastClr="000000"/>
              </a:solidFill>
              <a:latin typeface="+mn-lt"/>
              <a:ea typeface="+mn-ea"/>
              <a:cs typeface="+mn-cs"/>
            </a:defRPr>
          </a:pPr>
          <a:endParaRPr lang="en-US"/>
        </a:p>
      </c:txPr>
    </c:title>
    <c:autoTitleDeleted val="0"/>
    <c:plotArea>
      <c:layout/>
      <c:lineChart>
        <c:grouping val="stacked"/>
        <c:varyColors val="0"/>
        <c:ser>
          <c:idx val="0"/>
          <c:order val="0"/>
          <c:tx>
            <c:strRef>
              <c:f>'BE &amp; CE'!$B$3</c:f>
              <c:strCache>
                <c:ptCount val="1"/>
                <c:pt idx="0">
                  <c:v>BE</c:v>
                </c:pt>
              </c:strCache>
            </c:strRef>
          </c:tx>
          <c:spPr>
            <a:ln w="28575" cap="rnd">
              <a:solidFill>
                <a:schemeClr val="accent1"/>
              </a:solidFill>
              <a:round/>
            </a:ln>
            <a:effectLst/>
          </c:spPr>
          <c:marker>
            <c:symbol val="none"/>
          </c:marker>
          <c:dLbls>
            <c:spPr>
              <a:noFill/>
              <a:ln>
                <a:noFill/>
              </a:ln>
              <a:effectLst/>
            </c:spPr>
            <c:txPr>
              <a:bodyPr rot="0" spcFirstLastPara="1" vertOverflow="ellipsis" vert="horz" wrap="square" anchor="ctr" anchorCtr="1"/>
              <a:lstStyle/>
              <a:p>
                <a:pPr>
                  <a:defRPr sz="900" b="1" i="0" u="none" strike="noStrike" kern="1200" baseline="0">
                    <a:solidFill>
                      <a:sysClr val="windowText" lastClr="000000"/>
                    </a:solidFill>
                    <a:latin typeface="+mn-lt"/>
                    <a:ea typeface="+mn-ea"/>
                    <a:cs typeface="+mn-cs"/>
                  </a:defRPr>
                </a:pPr>
                <a:endParaRPr lang="en-US"/>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'BE &amp; CE'!$A$4:$A$7</c:f>
              <c:strCache>
                <c:ptCount val="4"/>
                <c:pt idx="0">
                  <c:v>FY 24 Q1</c:v>
                </c:pt>
                <c:pt idx="1">
                  <c:v>FY 24 Q2</c:v>
                </c:pt>
                <c:pt idx="2">
                  <c:v>FY 24 Q3</c:v>
                </c:pt>
                <c:pt idx="3">
                  <c:v>FY 24 Q4</c:v>
                </c:pt>
              </c:strCache>
            </c:strRef>
          </c:cat>
          <c:val>
            <c:numRef>
              <c:f>'BE &amp; CE'!$B$4:$B$7</c:f>
              <c:numCache>
                <c:formatCode>0.00%</c:formatCode>
                <c:ptCount val="4"/>
                <c:pt idx="0">
                  <c:v>0.85470000000000002</c:v>
                </c:pt>
                <c:pt idx="1">
                  <c:v>0.85960000000000003</c:v>
                </c:pt>
                <c:pt idx="2">
                  <c:v>0.83830000000000005</c:v>
                </c:pt>
                <c:pt idx="3">
                  <c:v>0.86199999999999999</c:v>
                </c:pt>
              </c:numCache>
            </c:numRef>
          </c:val>
          <c:smooth val="0"/>
          <c:extLst>
            <c:ext xmlns:c16="http://schemas.microsoft.com/office/drawing/2014/chart" uri="{C3380CC4-5D6E-409C-BE32-E72D297353CC}">
              <c16:uniqueId val="{00000000-8217-4935-BD9A-30211EC78FA9}"/>
            </c:ext>
          </c:extLst>
        </c:ser>
        <c:ser>
          <c:idx val="1"/>
          <c:order val="1"/>
          <c:tx>
            <c:strRef>
              <c:f>'BE &amp; CE'!$C$3</c:f>
              <c:strCache>
                <c:ptCount val="1"/>
                <c:pt idx="0">
                  <c:v>CE</c:v>
                </c:pt>
              </c:strCache>
            </c:strRef>
          </c:tx>
          <c:spPr>
            <a:ln w="28575" cap="rnd">
              <a:solidFill>
                <a:schemeClr val="accent2"/>
              </a:solidFill>
              <a:round/>
            </a:ln>
            <a:effectLst/>
          </c:spPr>
          <c:marker>
            <c:symbol val="none"/>
          </c:marker>
          <c:dLbls>
            <c:spPr>
              <a:noFill/>
              <a:ln>
                <a:noFill/>
              </a:ln>
              <a:effectLst/>
            </c:spPr>
            <c:txPr>
              <a:bodyPr rot="0" spcFirstLastPara="1" vertOverflow="ellipsis" vert="horz" wrap="square" anchor="ctr" anchorCtr="1"/>
              <a:lstStyle/>
              <a:p>
                <a:pPr>
                  <a:defRPr sz="900" b="1" i="0" u="none" strike="noStrike" kern="1200" baseline="0">
                    <a:solidFill>
                      <a:sysClr val="windowText" lastClr="000000"/>
                    </a:solidFill>
                    <a:latin typeface="+mn-lt"/>
                    <a:ea typeface="+mn-ea"/>
                    <a:cs typeface="+mn-cs"/>
                  </a:defRPr>
                </a:pPr>
                <a:endParaRPr lang="en-US"/>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'BE &amp; CE'!$A$4:$A$7</c:f>
              <c:strCache>
                <c:ptCount val="4"/>
                <c:pt idx="0">
                  <c:v>FY 24 Q1</c:v>
                </c:pt>
                <c:pt idx="1">
                  <c:v>FY 24 Q2</c:v>
                </c:pt>
                <c:pt idx="2">
                  <c:v>FY 24 Q3</c:v>
                </c:pt>
                <c:pt idx="3">
                  <c:v>FY 24 Q4</c:v>
                </c:pt>
              </c:strCache>
            </c:strRef>
          </c:cat>
          <c:val>
            <c:numRef>
              <c:f>'BE &amp; CE'!$C$4:$C$7</c:f>
              <c:numCache>
                <c:formatCode>0.00%</c:formatCode>
                <c:ptCount val="4"/>
                <c:pt idx="0">
                  <c:v>0.92579999999999996</c:v>
                </c:pt>
                <c:pt idx="1">
                  <c:v>0.97609999999999997</c:v>
                </c:pt>
                <c:pt idx="2">
                  <c:v>1.0818000000000001</c:v>
                </c:pt>
                <c:pt idx="3">
                  <c:v>1.0714999999999999</c:v>
                </c:pt>
              </c:numCache>
            </c:numRef>
          </c:val>
          <c:smooth val="0"/>
          <c:extLst>
            <c:ext xmlns:c16="http://schemas.microsoft.com/office/drawing/2014/chart" uri="{C3380CC4-5D6E-409C-BE32-E72D297353CC}">
              <c16:uniqueId val="{00000001-8217-4935-BD9A-30211EC78FA9}"/>
            </c:ext>
          </c:extLst>
        </c:ser>
        <c:dLbls>
          <c:showLegendKey val="0"/>
          <c:showVal val="0"/>
          <c:showCatName val="0"/>
          <c:showSerName val="0"/>
          <c:showPercent val="0"/>
          <c:showBubbleSize val="0"/>
        </c:dLbls>
        <c:smooth val="0"/>
        <c:axId val="1063574896"/>
        <c:axId val="935391360"/>
      </c:lineChart>
      <c:catAx>
        <c:axId val="106357489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1" i="0" u="none" strike="noStrike" kern="1200" baseline="0">
                <a:solidFill>
                  <a:sysClr val="windowText" lastClr="000000"/>
                </a:solidFill>
                <a:latin typeface="+mn-lt"/>
                <a:ea typeface="+mn-ea"/>
                <a:cs typeface="+mn-cs"/>
              </a:defRPr>
            </a:pPr>
            <a:endParaRPr lang="en-US"/>
          </a:p>
        </c:txPr>
        <c:crossAx val="935391360"/>
        <c:crosses val="autoZero"/>
        <c:auto val="1"/>
        <c:lblAlgn val="ctr"/>
        <c:lblOffset val="100"/>
        <c:noMultiLvlLbl val="0"/>
      </c:catAx>
      <c:valAx>
        <c:axId val="935391360"/>
        <c:scaling>
          <c:orientation val="minMax"/>
        </c:scaling>
        <c:delete val="0"/>
        <c:axPos val="l"/>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1" i="0" u="none" strike="noStrike" kern="1200" baseline="0">
                <a:solidFill>
                  <a:sysClr val="windowText" lastClr="000000"/>
                </a:solidFill>
                <a:latin typeface="+mn-lt"/>
                <a:ea typeface="+mn-ea"/>
                <a:cs typeface="+mn-cs"/>
              </a:defRPr>
            </a:pPr>
            <a:endParaRPr lang="en-US"/>
          </a:p>
        </c:txPr>
        <c:crossAx val="1063574896"/>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1" i="0" u="none" strike="noStrike" kern="1200" baseline="0">
              <a:solidFill>
                <a:sysClr val="windowText" lastClr="000000"/>
              </a:solidFill>
              <a:latin typeface="+mn-lt"/>
              <a:ea typeface="+mn-ea"/>
              <a:cs typeface="+mn-cs"/>
            </a:defRPr>
          </a:pPr>
          <a:endParaRPr lang="en-US"/>
        </a:p>
      </c:txPr>
    </c:legend>
    <c:plotVisOnly val="1"/>
    <c:dispBlanksAs val="zero"/>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b="1">
          <a:solidFill>
            <a:sysClr val="windowText" lastClr="000000"/>
          </a:solidFill>
        </a:defRPr>
      </a:pPr>
      <a:endParaRPr lang="en-US"/>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a:lstStyle/>
          <a:p>
            <a:pPr>
              <a:defRPr lang="en-IN" sz="1100" b="1" strike="noStrike" spc="-1">
                <a:solidFill>
                  <a:srgbClr val="000000"/>
                </a:solidFill>
                <a:latin typeface="Arial"/>
              </a:defRPr>
            </a:pPr>
            <a:r>
              <a:rPr lang="en-IN" sz="1100" b="1" strike="noStrike" spc="-1">
                <a:solidFill>
                  <a:srgbClr val="000000"/>
                </a:solidFill>
                <a:latin typeface="Arial"/>
              </a:rPr>
              <a:t>AT&amp;C Loss (%) Commitment VS Achievement</a:t>
            </a:r>
          </a:p>
        </c:rich>
      </c:tx>
      <c:overlay val="0"/>
      <c:spPr>
        <a:noFill/>
        <a:ln w="0">
          <a:noFill/>
        </a:ln>
      </c:spPr>
    </c:title>
    <c:autoTitleDeleted val="0"/>
    <c:plotArea>
      <c:layout/>
      <c:lineChart>
        <c:grouping val="standard"/>
        <c:varyColors val="0"/>
        <c:ser>
          <c:idx val="0"/>
          <c:order val="0"/>
          <c:tx>
            <c:strRef>
              <c:f>label 0</c:f>
              <c:strCache>
                <c:ptCount val="1"/>
                <c:pt idx="0">
                  <c:v>Target AT&amp;C(%)</c:v>
                </c:pt>
              </c:strCache>
            </c:strRef>
          </c:tx>
          <c:spPr>
            <a:ln w="28440" cap="rnd">
              <a:solidFill>
                <a:srgbClr val="5B9BD5"/>
              </a:solidFill>
              <a:round/>
            </a:ln>
          </c:spPr>
          <c:marker>
            <c:symbol val="circle"/>
            <c:size val="5"/>
            <c:spPr>
              <a:solidFill>
                <a:srgbClr val="5B9BD5"/>
              </a:solidFill>
            </c:spPr>
          </c:marker>
          <c:dLbls>
            <c:numFmt formatCode="0.00%" sourceLinked="0"/>
            <c:spPr>
              <a:noFill/>
              <a:ln>
                <a:noFill/>
              </a:ln>
              <a:effectLst/>
            </c:spPr>
            <c:txPr>
              <a:bodyPr wrap="square"/>
              <a:lstStyle/>
              <a:p>
                <a:pPr>
                  <a:defRPr sz="900" b="0" strike="noStrike" spc="-1">
                    <a:solidFill>
                      <a:srgbClr val="000000"/>
                    </a:solidFill>
                    <a:latin typeface="Arial"/>
                  </a:defRPr>
                </a:pPr>
                <a:endParaRPr lang="en-US"/>
              </a:p>
            </c:txPr>
            <c:dLblPos val="t"/>
            <c:showLegendKey val="0"/>
            <c:showVal val="1"/>
            <c:showCatName val="0"/>
            <c:showSerName val="0"/>
            <c:showPercent val="0"/>
            <c:showBubbleSize val="1"/>
            <c:separator>; </c:separator>
            <c:showLeaderLines val="0"/>
            <c:extLst>
              <c:ext xmlns:c15="http://schemas.microsoft.com/office/drawing/2012/chart" uri="{CE6537A1-D6FC-4f65-9D91-7224C49458BB}">
                <c15:showLeaderLines val="1"/>
              </c:ext>
            </c:extLst>
          </c:dLbls>
          <c:cat>
            <c:strRef>
              <c:f>categories</c:f>
              <c:strCache>
                <c:ptCount val="6"/>
                <c:pt idx="0">
                  <c:v>FY-21</c:v>
                </c:pt>
                <c:pt idx="1">
                  <c:v>FY-22</c:v>
                </c:pt>
                <c:pt idx="2">
                  <c:v>FY-23</c:v>
                </c:pt>
                <c:pt idx="3">
                  <c:v>FY-24</c:v>
                </c:pt>
                <c:pt idx="4">
                  <c:v>FY-25</c:v>
                </c:pt>
                <c:pt idx="5">
                  <c:v>FY-26</c:v>
                </c:pt>
              </c:strCache>
            </c:strRef>
          </c:cat>
          <c:val>
            <c:numRef>
              <c:f>0</c:f>
              <c:numCache>
                <c:formatCode>General</c:formatCode>
                <c:ptCount val="6"/>
                <c:pt idx="0">
                  <c:v>0.25169999999999998</c:v>
                </c:pt>
                <c:pt idx="1">
                  <c:v>0.2432</c:v>
                </c:pt>
                <c:pt idx="2">
                  <c:v>0.22320000000000001</c:v>
                </c:pt>
                <c:pt idx="3">
                  <c:v>0.20799999999999999</c:v>
                </c:pt>
                <c:pt idx="4">
                  <c:v>0.17799999999999999</c:v>
                </c:pt>
                <c:pt idx="5">
                  <c:v>0.155</c:v>
                </c:pt>
              </c:numCache>
            </c:numRef>
          </c:val>
          <c:smooth val="0"/>
          <c:extLst>
            <c:ext xmlns:c16="http://schemas.microsoft.com/office/drawing/2014/chart" uri="{C3380CC4-5D6E-409C-BE32-E72D297353CC}">
              <c16:uniqueId val="{00000000-8BAA-4129-8119-DB3558AA33F4}"/>
            </c:ext>
          </c:extLst>
        </c:ser>
        <c:ser>
          <c:idx val="1"/>
          <c:order val="1"/>
          <c:tx>
            <c:strRef>
              <c:f>label 1</c:f>
              <c:strCache>
                <c:ptCount val="1"/>
                <c:pt idx="0">
                  <c:v>Achieved AT&amp;C(%)</c:v>
                </c:pt>
              </c:strCache>
            </c:strRef>
          </c:tx>
          <c:spPr>
            <a:ln w="28440" cap="rnd">
              <a:solidFill>
                <a:srgbClr val="ED7D31"/>
              </a:solidFill>
              <a:round/>
            </a:ln>
          </c:spPr>
          <c:marker>
            <c:symbol val="circle"/>
            <c:size val="5"/>
            <c:spPr>
              <a:solidFill>
                <a:srgbClr val="ED7D31"/>
              </a:solidFill>
            </c:spPr>
          </c:marker>
          <c:dPt>
            <c:idx val="2"/>
            <c:bubble3D val="0"/>
            <c:extLst>
              <c:ext xmlns:c16="http://schemas.microsoft.com/office/drawing/2014/chart" uri="{C3380CC4-5D6E-409C-BE32-E72D297353CC}">
                <c16:uniqueId val="{00000001-8BAA-4129-8119-DB3558AA33F4}"/>
              </c:ext>
            </c:extLst>
          </c:dPt>
          <c:dLbls>
            <c:dLbl>
              <c:idx val="2"/>
              <c:layout>
                <c:manualLayout>
                  <c:x val="-6.7849506927083997E-2"/>
                  <c:y val="5.7905001458151098E-2"/>
                </c:manualLayout>
              </c:layout>
              <c:tx>
                <c:rich>
                  <a:bodyPr wrap="square"/>
                  <a:lstStyle/>
                  <a:p>
                    <a:pPr>
                      <a:defRPr sz="900" b="0" strike="noStrike" spc="-1">
                        <a:solidFill>
                          <a:srgbClr val="000000"/>
                        </a:solidFill>
                        <a:latin typeface="Arial"/>
                      </a:defRPr>
                    </a:pPr>
                    <a:r>
                      <a:rPr lang="en-US"/>
                      <a:t>19.74%</a:t>
                    </a:r>
                  </a:p>
                </c:rich>
              </c:tx>
              <c:numFmt formatCode="0.00%" sourceLinked="0"/>
              <c:spPr/>
              <c:dLblPos val="r"/>
              <c:showLegendKey val="0"/>
              <c:showVal val="1"/>
              <c:showCatName val="0"/>
              <c:showSerName val="0"/>
              <c:showPercent val="0"/>
              <c:showBubbleSize val="1"/>
              <c:separator>; </c:separator>
              <c:extLst>
                <c:ext xmlns:c15="http://schemas.microsoft.com/office/drawing/2012/chart" uri="{CE6537A1-D6FC-4f65-9D91-7224C49458BB}"/>
                <c:ext xmlns:c16="http://schemas.microsoft.com/office/drawing/2014/chart" uri="{C3380CC4-5D6E-409C-BE32-E72D297353CC}">
                  <c16:uniqueId val="{00000001-8BAA-4129-8119-DB3558AA33F4}"/>
                </c:ext>
              </c:extLst>
            </c:dLbl>
            <c:dLbl>
              <c:idx val="3"/>
              <c:tx>
                <c:rich>
                  <a:bodyPr/>
                  <a:lstStyle/>
                  <a:p>
                    <a:r>
                      <a:rPr lang="en-US"/>
                      <a:t>14.22%</a:t>
                    </a:r>
                  </a:p>
                </c:rich>
              </c:tx>
              <c:dLblPos val="t"/>
              <c:showLegendKey val="0"/>
              <c:showVal val="1"/>
              <c:showCatName val="0"/>
              <c:showSerName val="0"/>
              <c:showPercent val="0"/>
              <c:showBubbleSize val="1"/>
              <c:separator>; </c:separator>
              <c:extLst>
                <c:ext xmlns:c15="http://schemas.microsoft.com/office/drawing/2012/chart" uri="{CE6537A1-D6FC-4f65-9D91-7224C49458BB}"/>
                <c:ext xmlns:c16="http://schemas.microsoft.com/office/drawing/2014/chart" uri="{C3380CC4-5D6E-409C-BE32-E72D297353CC}">
                  <c16:uniqueId val="{00000002-8BAA-4129-8119-DB3558AA33F4}"/>
                </c:ext>
              </c:extLst>
            </c:dLbl>
            <c:numFmt formatCode="0.00%" sourceLinked="0"/>
            <c:spPr>
              <a:noFill/>
              <a:ln>
                <a:noFill/>
              </a:ln>
              <a:effectLst/>
            </c:spPr>
            <c:txPr>
              <a:bodyPr wrap="square"/>
              <a:lstStyle/>
              <a:p>
                <a:pPr>
                  <a:defRPr sz="900" b="0" strike="noStrike" spc="-1">
                    <a:solidFill>
                      <a:srgbClr val="000000"/>
                    </a:solidFill>
                    <a:latin typeface="Arial"/>
                  </a:defRPr>
                </a:pPr>
                <a:endParaRPr lang="en-US"/>
              </a:p>
            </c:txPr>
            <c:dLblPos val="t"/>
            <c:showLegendKey val="0"/>
            <c:showVal val="1"/>
            <c:showCatName val="0"/>
            <c:showSerName val="0"/>
            <c:showPercent val="0"/>
            <c:showBubbleSize val="1"/>
            <c:separator>; </c:separator>
            <c:showLeaderLines val="0"/>
            <c:extLst>
              <c:ext xmlns:c15="http://schemas.microsoft.com/office/drawing/2012/chart" uri="{CE6537A1-D6FC-4f65-9D91-7224C49458BB}">
                <c15:showLeaderLines val="1"/>
              </c:ext>
            </c:extLst>
          </c:dLbls>
          <c:cat>
            <c:strRef>
              <c:f>categories</c:f>
              <c:strCache>
                <c:ptCount val="6"/>
                <c:pt idx="0">
                  <c:v>FY-21</c:v>
                </c:pt>
                <c:pt idx="1">
                  <c:v>FY-22</c:v>
                </c:pt>
                <c:pt idx="2">
                  <c:v>FY-23</c:v>
                </c:pt>
                <c:pt idx="3">
                  <c:v>FY-24</c:v>
                </c:pt>
                <c:pt idx="4">
                  <c:v>FY-25</c:v>
                </c:pt>
                <c:pt idx="5">
                  <c:v>FY-26</c:v>
                </c:pt>
              </c:strCache>
            </c:strRef>
          </c:cat>
          <c:val>
            <c:numRef>
              <c:f>1</c:f>
              <c:numCache>
                <c:formatCode>General</c:formatCode>
                <c:ptCount val="6"/>
                <c:pt idx="0">
                  <c:v>0.25169999999999998</c:v>
                </c:pt>
                <c:pt idx="1">
                  <c:v>0.2923</c:v>
                </c:pt>
                <c:pt idx="2">
                  <c:v>0.1973</c:v>
                </c:pt>
                <c:pt idx="3">
                  <c:v>0.1419</c:v>
                </c:pt>
              </c:numCache>
            </c:numRef>
          </c:val>
          <c:smooth val="0"/>
          <c:extLst>
            <c:ext xmlns:c16="http://schemas.microsoft.com/office/drawing/2014/chart" uri="{C3380CC4-5D6E-409C-BE32-E72D297353CC}">
              <c16:uniqueId val="{00000003-8BAA-4129-8119-DB3558AA33F4}"/>
            </c:ext>
          </c:extLst>
        </c:ser>
        <c:dLbls>
          <c:showLegendKey val="0"/>
          <c:showVal val="0"/>
          <c:showCatName val="0"/>
          <c:showSerName val="0"/>
          <c:showPercent val="0"/>
          <c:showBubbleSize val="0"/>
        </c:dLbls>
        <c:hiLowLines>
          <c:spPr>
            <a:ln w="0">
              <a:noFill/>
            </a:ln>
          </c:spPr>
        </c:hiLowLines>
        <c:marker val="1"/>
        <c:smooth val="0"/>
        <c:axId val="20823106"/>
        <c:axId val="59794614"/>
      </c:lineChart>
      <c:catAx>
        <c:axId val="20823106"/>
        <c:scaling>
          <c:orientation val="minMax"/>
        </c:scaling>
        <c:delete val="0"/>
        <c:axPos val="b"/>
        <c:numFmt formatCode="General" sourceLinked="0"/>
        <c:majorTickMark val="none"/>
        <c:minorTickMark val="none"/>
        <c:tickLblPos val="nextTo"/>
        <c:spPr>
          <a:ln w="9360">
            <a:solidFill>
              <a:srgbClr val="D9D9D9"/>
            </a:solidFill>
            <a:round/>
          </a:ln>
        </c:spPr>
        <c:txPr>
          <a:bodyPr/>
          <a:lstStyle/>
          <a:p>
            <a:pPr>
              <a:defRPr sz="900" b="0" strike="noStrike" spc="-1">
                <a:solidFill>
                  <a:srgbClr val="000000"/>
                </a:solidFill>
                <a:latin typeface="Arial"/>
              </a:defRPr>
            </a:pPr>
            <a:endParaRPr lang="en-US"/>
          </a:p>
        </c:txPr>
        <c:crossAx val="59794614"/>
        <c:crosses val="autoZero"/>
        <c:auto val="1"/>
        <c:lblAlgn val="ctr"/>
        <c:lblOffset val="100"/>
        <c:noMultiLvlLbl val="0"/>
      </c:catAx>
      <c:valAx>
        <c:axId val="59794614"/>
        <c:scaling>
          <c:orientation val="minMax"/>
          <c:min val="0.1"/>
        </c:scaling>
        <c:delete val="0"/>
        <c:axPos val="l"/>
        <c:numFmt formatCode="0.00%" sourceLinked="0"/>
        <c:majorTickMark val="none"/>
        <c:minorTickMark val="none"/>
        <c:tickLblPos val="nextTo"/>
        <c:spPr>
          <a:ln w="6480">
            <a:noFill/>
          </a:ln>
        </c:spPr>
        <c:txPr>
          <a:bodyPr/>
          <a:lstStyle/>
          <a:p>
            <a:pPr>
              <a:defRPr sz="900" b="0" strike="noStrike" spc="-1">
                <a:solidFill>
                  <a:srgbClr val="000000"/>
                </a:solidFill>
                <a:latin typeface="Arial"/>
              </a:defRPr>
            </a:pPr>
            <a:endParaRPr lang="en-US"/>
          </a:p>
        </c:txPr>
        <c:crossAx val="20823106"/>
        <c:crosses val="autoZero"/>
        <c:crossBetween val="between"/>
      </c:valAx>
      <c:spPr>
        <a:noFill/>
        <a:ln w="0">
          <a:noFill/>
        </a:ln>
      </c:spPr>
    </c:plotArea>
    <c:legend>
      <c:legendPos val="b"/>
      <c:overlay val="0"/>
      <c:spPr>
        <a:noFill/>
        <a:ln w="0">
          <a:noFill/>
        </a:ln>
      </c:spPr>
      <c:txPr>
        <a:bodyPr/>
        <a:lstStyle/>
        <a:p>
          <a:pPr>
            <a:defRPr sz="900" b="1" strike="noStrike" spc="-1">
              <a:solidFill>
                <a:srgbClr val="000000"/>
              </a:solidFill>
              <a:latin typeface="Arial"/>
            </a:defRPr>
          </a:pPr>
          <a:endParaRPr lang="en-US"/>
        </a:p>
      </c:txPr>
    </c:legend>
    <c:plotVisOnly val="1"/>
    <c:dispBlanksAs val="gap"/>
    <c:showDLblsOverMax val="1"/>
  </c:chart>
  <c:spPr>
    <a:solidFill>
      <a:srgbClr val="FFFFFF"/>
    </a:solidFill>
    <a:ln w="9360">
      <a:solidFill>
        <a:srgbClr val="000000"/>
      </a:solidFill>
      <a:round/>
    </a:ln>
  </c:spPr>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a:lstStyle/>
          <a:p>
            <a:pPr>
              <a:defRPr lang="en-IN" sz="1000" b="1" strike="noStrike" spc="-1">
                <a:solidFill>
                  <a:srgbClr val="000000"/>
                </a:solidFill>
                <a:latin typeface="Arial"/>
              </a:defRPr>
            </a:pPr>
            <a:r>
              <a:rPr lang="en-IN" sz="1000" b="1" strike="noStrike" spc="-1">
                <a:solidFill>
                  <a:srgbClr val="000000"/>
                </a:solidFill>
                <a:latin typeface="Arial"/>
              </a:rPr>
              <a:t>SAIDI (Hrs) at Circle Level</a:t>
            </a:r>
          </a:p>
        </c:rich>
      </c:tx>
      <c:layout>
        <c:manualLayout>
          <c:xMode val="edge"/>
          <c:yMode val="edge"/>
          <c:x val="0.35774199473458601"/>
          <c:y val="7.2642967542503906E-2"/>
        </c:manualLayout>
      </c:layout>
      <c:overlay val="0"/>
      <c:spPr>
        <a:noFill/>
        <a:ln w="0">
          <a:noFill/>
        </a:ln>
      </c:spPr>
    </c:title>
    <c:autoTitleDeleted val="0"/>
    <c:plotArea>
      <c:layout>
        <c:manualLayout>
          <c:layoutTarget val="inner"/>
          <c:xMode val="edge"/>
          <c:yMode val="edge"/>
          <c:x val="3.85625E-2"/>
          <c:y val="9.6888888888888899E-2"/>
          <c:w val="0.95043750000000005"/>
          <c:h val="0.60422222222222199"/>
        </c:manualLayout>
      </c:layout>
      <c:barChart>
        <c:barDir val="col"/>
        <c:grouping val="stacked"/>
        <c:varyColors val="0"/>
        <c:ser>
          <c:idx val="0"/>
          <c:order val="0"/>
          <c:tx>
            <c:strRef>
              <c:f>label 0</c:f>
              <c:strCache>
                <c:ptCount val="1"/>
                <c:pt idx="0">
                  <c:v>Q-1</c:v>
                </c:pt>
              </c:strCache>
            </c:strRef>
          </c:tx>
          <c:spPr>
            <a:solidFill>
              <a:srgbClr val="5B9BD5"/>
            </a:solidFill>
            <a:ln w="0">
              <a:noFill/>
            </a:ln>
          </c:spPr>
          <c:invertIfNegative val="0"/>
          <c:dLbls>
            <c:numFmt formatCode="0.00" sourceLinked="0"/>
            <c:spPr>
              <a:noFill/>
              <a:ln>
                <a:noFill/>
              </a:ln>
              <a:effectLst/>
            </c:spPr>
            <c:txPr>
              <a:bodyPr wrap="square"/>
              <a:lstStyle/>
              <a:p>
                <a:pPr>
                  <a:defRPr sz="700" b="1" strike="noStrike" spc="-1">
                    <a:solidFill>
                      <a:srgbClr val="000000"/>
                    </a:solidFill>
                    <a:latin typeface="Arial"/>
                  </a:defRPr>
                </a:pPr>
                <a:endParaRPr lang="en-US"/>
              </a:p>
            </c:txPr>
            <c:dLblPos val="ctr"/>
            <c:showLegendKey val="0"/>
            <c:showVal val="1"/>
            <c:showCatName val="0"/>
            <c:showSerName val="0"/>
            <c:showPercent val="0"/>
            <c:showBubbleSize val="1"/>
            <c:separator>; </c:separator>
            <c:showLeaderLines val="0"/>
            <c:extLst>
              <c:ext xmlns:c15="http://schemas.microsoft.com/office/drawing/2012/chart" uri="{CE6537A1-D6FC-4f65-9D91-7224C49458BB}">
                <c15:showLeaderLines val="1"/>
              </c:ext>
            </c:extLst>
          </c:dLbls>
          <c:cat>
            <c:multiLvlStrRef>
              <c:f>categories</c:f>
              <c:multiLvlStrCache>
                <c:ptCount val="10"/>
                <c:lvl>
                  <c:pt idx="0">
                    <c:v>FY22-23</c:v>
                  </c:pt>
                  <c:pt idx="1">
                    <c:v>FY23-24</c:v>
                  </c:pt>
                  <c:pt idx="2">
                    <c:v>FY22-23</c:v>
                  </c:pt>
                  <c:pt idx="3">
                    <c:v>FY23-24</c:v>
                  </c:pt>
                  <c:pt idx="4">
                    <c:v>FY22-23</c:v>
                  </c:pt>
                  <c:pt idx="5">
                    <c:v>FY23-24</c:v>
                  </c:pt>
                  <c:pt idx="6">
                    <c:v>FY22-23</c:v>
                  </c:pt>
                  <c:pt idx="7">
                    <c:v>FY23-24</c:v>
                  </c:pt>
                  <c:pt idx="8">
                    <c:v>FY22-23</c:v>
                  </c:pt>
                  <c:pt idx="9">
                    <c:v>FY23-24</c:v>
                  </c:pt>
                </c:lvl>
                <c:lvl>
                  <c:pt idx="0">
                    <c:v>Balasore</c:v>
                  </c:pt>
                  <c:pt idx="2">
                    <c:v>Baripada</c:v>
                  </c:pt>
                  <c:pt idx="4">
                    <c:v>Bhadark</c:v>
                  </c:pt>
                  <c:pt idx="6">
                    <c:v>Jajpur</c:v>
                  </c:pt>
                  <c:pt idx="8">
                    <c:v>Keonjhar</c:v>
                  </c:pt>
                </c:lvl>
              </c:multiLvlStrCache>
            </c:multiLvlStrRef>
          </c:cat>
          <c:val>
            <c:numRef>
              <c:f>0</c:f>
              <c:numCache>
                <c:formatCode>General</c:formatCode>
                <c:ptCount val="10"/>
                <c:pt idx="0">
                  <c:v>179.205858140961</c:v>
                </c:pt>
                <c:pt idx="1">
                  <c:v>90.592549938133999</c:v>
                </c:pt>
                <c:pt idx="2">
                  <c:v>77.952523593053996</c:v>
                </c:pt>
                <c:pt idx="3">
                  <c:v>86.001873171002302</c:v>
                </c:pt>
                <c:pt idx="4">
                  <c:v>86.872053872600006</c:v>
                </c:pt>
                <c:pt idx="5">
                  <c:v>74.069036117023302</c:v>
                </c:pt>
                <c:pt idx="6">
                  <c:v>83.324783370510701</c:v>
                </c:pt>
                <c:pt idx="7">
                  <c:v>75.220294369275507</c:v>
                </c:pt>
                <c:pt idx="8">
                  <c:v>146.70335695941299</c:v>
                </c:pt>
                <c:pt idx="9">
                  <c:v>111.61155962719999</c:v>
                </c:pt>
              </c:numCache>
            </c:numRef>
          </c:val>
          <c:extLst>
            <c:ext xmlns:c16="http://schemas.microsoft.com/office/drawing/2014/chart" uri="{C3380CC4-5D6E-409C-BE32-E72D297353CC}">
              <c16:uniqueId val="{00000000-A2E3-40E1-87EF-62B4AE3A44DA}"/>
            </c:ext>
          </c:extLst>
        </c:ser>
        <c:ser>
          <c:idx val="1"/>
          <c:order val="1"/>
          <c:tx>
            <c:strRef>
              <c:f>label 1</c:f>
              <c:strCache>
                <c:ptCount val="1"/>
                <c:pt idx="0">
                  <c:v>Q-2</c:v>
                </c:pt>
              </c:strCache>
            </c:strRef>
          </c:tx>
          <c:spPr>
            <a:solidFill>
              <a:srgbClr val="F4B183"/>
            </a:solidFill>
            <a:ln w="0">
              <a:noFill/>
            </a:ln>
          </c:spPr>
          <c:invertIfNegative val="0"/>
          <c:dLbls>
            <c:numFmt formatCode="0.00" sourceLinked="0"/>
            <c:spPr>
              <a:noFill/>
              <a:ln>
                <a:noFill/>
              </a:ln>
              <a:effectLst/>
            </c:spPr>
            <c:txPr>
              <a:bodyPr wrap="square"/>
              <a:lstStyle/>
              <a:p>
                <a:pPr>
                  <a:defRPr sz="700" b="1" strike="noStrike" spc="-1">
                    <a:solidFill>
                      <a:srgbClr val="000000"/>
                    </a:solidFill>
                    <a:latin typeface="Arial"/>
                  </a:defRPr>
                </a:pPr>
                <a:endParaRPr lang="en-US"/>
              </a:p>
            </c:txPr>
            <c:dLblPos val="ctr"/>
            <c:showLegendKey val="0"/>
            <c:showVal val="1"/>
            <c:showCatName val="0"/>
            <c:showSerName val="0"/>
            <c:showPercent val="0"/>
            <c:showBubbleSize val="1"/>
            <c:separator>; </c:separator>
            <c:showLeaderLines val="0"/>
            <c:extLst>
              <c:ext xmlns:c15="http://schemas.microsoft.com/office/drawing/2012/chart" uri="{CE6537A1-D6FC-4f65-9D91-7224C49458BB}">
                <c15:showLeaderLines val="1"/>
              </c:ext>
            </c:extLst>
          </c:dLbls>
          <c:cat>
            <c:multiLvlStrRef>
              <c:f>categories</c:f>
              <c:multiLvlStrCache>
                <c:ptCount val="10"/>
                <c:lvl>
                  <c:pt idx="0">
                    <c:v>FY22-23</c:v>
                  </c:pt>
                  <c:pt idx="1">
                    <c:v>FY23-24</c:v>
                  </c:pt>
                  <c:pt idx="2">
                    <c:v>FY22-23</c:v>
                  </c:pt>
                  <c:pt idx="3">
                    <c:v>FY23-24</c:v>
                  </c:pt>
                  <c:pt idx="4">
                    <c:v>FY22-23</c:v>
                  </c:pt>
                  <c:pt idx="5">
                    <c:v>FY23-24</c:v>
                  </c:pt>
                  <c:pt idx="6">
                    <c:v>FY22-23</c:v>
                  </c:pt>
                  <c:pt idx="7">
                    <c:v>FY23-24</c:v>
                  </c:pt>
                  <c:pt idx="8">
                    <c:v>FY22-23</c:v>
                  </c:pt>
                  <c:pt idx="9">
                    <c:v>FY23-24</c:v>
                  </c:pt>
                </c:lvl>
                <c:lvl>
                  <c:pt idx="0">
                    <c:v>Balasore</c:v>
                  </c:pt>
                  <c:pt idx="2">
                    <c:v>Baripada</c:v>
                  </c:pt>
                  <c:pt idx="4">
                    <c:v>Bhadark</c:v>
                  </c:pt>
                  <c:pt idx="6">
                    <c:v>Jajpur</c:v>
                  </c:pt>
                  <c:pt idx="8">
                    <c:v>Keonjhar</c:v>
                  </c:pt>
                </c:lvl>
              </c:multiLvlStrCache>
            </c:multiLvlStrRef>
          </c:cat>
          <c:val>
            <c:numRef>
              <c:f>1</c:f>
              <c:numCache>
                <c:formatCode>General</c:formatCode>
                <c:ptCount val="10"/>
                <c:pt idx="0">
                  <c:v>152.89073843534999</c:v>
                </c:pt>
                <c:pt idx="1">
                  <c:v>98.489249977950607</c:v>
                </c:pt>
                <c:pt idx="2">
                  <c:v>98.300481988901794</c:v>
                </c:pt>
                <c:pt idx="3">
                  <c:v>79.206570108143396</c:v>
                </c:pt>
                <c:pt idx="4">
                  <c:v>106.828699567326</c:v>
                </c:pt>
                <c:pt idx="5">
                  <c:v>89.586319498081195</c:v>
                </c:pt>
                <c:pt idx="6">
                  <c:v>98.175119419753699</c:v>
                </c:pt>
                <c:pt idx="7">
                  <c:v>73.156719134689297</c:v>
                </c:pt>
                <c:pt idx="8">
                  <c:v>141.27615544787099</c:v>
                </c:pt>
                <c:pt idx="9">
                  <c:v>123.99620882434699</c:v>
                </c:pt>
              </c:numCache>
            </c:numRef>
          </c:val>
          <c:extLst>
            <c:ext xmlns:c16="http://schemas.microsoft.com/office/drawing/2014/chart" uri="{C3380CC4-5D6E-409C-BE32-E72D297353CC}">
              <c16:uniqueId val="{00000001-A2E3-40E1-87EF-62B4AE3A44DA}"/>
            </c:ext>
          </c:extLst>
        </c:ser>
        <c:ser>
          <c:idx val="2"/>
          <c:order val="2"/>
          <c:tx>
            <c:strRef>
              <c:f>label 2</c:f>
              <c:strCache>
                <c:ptCount val="1"/>
                <c:pt idx="0">
                  <c:v>Q-3</c:v>
                </c:pt>
              </c:strCache>
            </c:strRef>
          </c:tx>
          <c:spPr>
            <a:solidFill>
              <a:srgbClr val="92D050"/>
            </a:solidFill>
            <a:ln w="0">
              <a:noFill/>
            </a:ln>
          </c:spPr>
          <c:invertIfNegative val="0"/>
          <c:dLbls>
            <c:numFmt formatCode="0.00" sourceLinked="0"/>
            <c:spPr>
              <a:noFill/>
              <a:ln>
                <a:noFill/>
              </a:ln>
              <a:effectLst/>
            </c:spPr>
            <c:txPr>
              <a:bodyPr wrap="square"/>
              <a:lstStyle/>
              <a:p>
                <a:pPr>
                  <a:defRPr sz="700" b="1" strike="noStrike" spc="-1">
                    <a:solidFill>
                      <a:srgbClr val="000000"/>
                    </a:solidFill>
                    <a:latin typeface="Arial"/>
                  </a:defRPr>
                </a:pPr>
                <a:endParaRPr lang="en-US"/>
              </a:p>
            </c:txPr>
            <c:dLblPos val="ctr"/>
            <c:showLegendKey val="0"/>
            <c:showVal val="1"/>
            <c:showCatName val="0"/>
            <c:showSerName val="0"/>
            <c:showPercent val="0"/>
            <c:showBubbleSize val="1"/>
            <c:separator>; </c:separator>
            <c:showLeaderLines val="0"/>
            <c:extLst>
              <c:ext xmlns:c15="http://schemas.microsoft.com/office/drawing/2012/chart" uri="{CE6537A1-D6FC-4f65-9D91-7224C49458BB}">
                <c15:showLeaderLines val="1"/>
              </c:ext>
            </c:extLst>
          </c:dLbls>
          <c:cat>
            <c:multiLvlStrRef>
              <c:f>categories</c:f>
              <c:multiLvlStrCache>
                <c:ptCount val="10"/>
                <c:lvl>
                  <c:pt idx="0">
                    <c:v>FY22-23</c:v>
                  </c:pt>
                  <c:pt idx="1">
                    <c:v>FY23-24</c:v>
                  </c:pt>
                  <c:pt idx="2">
                    <c:v>FY22-23</c:v>
                  </c:pt>
                  <c:pt idx="3">
                    <c:v>FY23-24</c:v>
                  </c:pt>
                  <c:pt idx="4">
                    <c:v>FY22-23</c:v>
                  </c:pt>
                  <c:pt idx="5">
                    <c:v>FY23-24</c:v>
                  </c:pt>
                  <c:pt idx="6">
                    <c:v>FY22-23</c:v>
                  </c:pt>
                  <c:pt idx="7">
                    <c:v>FY23-24</c:v>
                  </c:pt>
                  <c:pt idx="8">
                    <c:v>FY22-23</c:v>
                  </c:pt>
                  <c:pt idx="9">
                    <c:v>FY23-24</c:v>
                  </c:pt>
                </c:lvl>
                <c:lvl>
                  <c:pt idx="0">
                    <c:v>Balasore</c:v>
                  </c:pt>
                  <c:pt idx="2">
                    <c:v>Baripada</c:v>
                  </c:pt>
                  <c:pt idx="4">
                    <c:v>Bhadark</c:v>
                  </c:pt>
                  <c:pt idx="6">
                    <c:v>Jajpur</c:v>
                  </c:pt>
                  <c:pt idx="8">
                    <c:v>Keonjhar</c:v>
                  </c:pt>
                </c:lvl>
              </c:multiLvlStrCache>
            </c:multiLvlStrRef>
          </c:cat>
          <c:val>
            <c:numRef>
              <c:f>2</c:f>
              <c:numCache>
                <c:formatCode>General</c:formatCode>
                <c:ptCount val="10"/>
                <c:pt idx="0">
                  <c:v>85.497703024839197</c:v>
                </c:pt>
                <c:pt idx="1">
                  <c:v>75.531391317279599</c:v>
                </c:pt>
                <c:pt idx="2">
                  <c:v>55.786343500038399</c:v>
                </c:pt>
                <c:pt idx="3">
                  <c:v>63.012987233107701</c:v>
                </c:pt>
                <c:pt idx="4">
                  <c:v>59.391711976895003</c:v>
                </c:pt>
                <c:pt idx="5">
                  <c:v>52.267018045164299</c:v>
                </c:pt>
                <c:pt idx="6">
                  <c:v>67.498651559225607</c:v>
                </c:pt>
                <c:pt idx="7">
                  <c:v>62.704631835459203</c:v>
                </c:pt>
                <c:pt idx="8">
                  <c:v>70.010271788106493</c:v>
                </c:pt>
                <c:pt idx="9">
                  <c:v>164.964191511846</c:v>
                </c:pt>
              </c:numCache>
            </c:numRef>
          </c:val>
          <c:extLst>
            <c:ext xmlns:c16="http://schemas.microsoft.com/office/drawing/2014/chart" uri="{C3380CC4-5D6E-409C-BE32-E72D297353CC}">
              <c16:uniqueId val="{00000002-A2E3-40E1-87EF-62B4AE3A44DA}"/>
            </c:ext>
          </c:extLst>
        </c:ser>
        <c:ser>
          <c:idx val="3"/>
          <c:order val="3"/>
          <c:tx>
            <c:strRef>
              <c:f>label 3</c:f>
              <c:strCache>
                <c:ptCount val="1"/>
                <c:pt idx="0">
                  <c:v>Q-4</c:v>
                </c:pt>
              </c:strCache>
            </c:strRef>
          </c:tx>
          <c:spPr>
            <a:solidFill>
              <a:srgbClr val="FFE699"/>
            </a:solidFill>
            <a:ln w="0">
              <a:noFill/>
            </a:ln>
          </c:spPr>
          <c:invertIfNegative val="0"/>
          <c:dLbls>
            <c:numFmt formatCode="0.00" sourceLinked="0"/>
            <c:spPr>
              <a:noFill/>
              <a:ln>
                <a:noFill/>
              </a:ln>
              <a:effectLst/>
            </c:spPr>
            <c:txPr>
              <a:bodyPr wrap="square"/>
              <a:lstStyle/>
              <a:p>
                <a:pPr>
                  <a:defRPr sz="700" b="1" strike="noStrike" spc="-1">
                    <a:solidFill>
                      <a:srgbClr val="000000"/>
                    </a:solidFill>
                    <a:latin typeface="Arial"/>
                  </a:defRPr>
                </a:pPr>
                <a:endParaRPr lang="en-US"/>
              </a:p>
            </c:txPr>
            <c:dLblPos val="ctr"/>
            <c:showLegendKey val="0"/>
            <c:showVal val="1"/>
            <c:showCatName val="0"/>
            <c:showSerName val="0"/>
            <c:showPercent val="0"/>
            <c:showBubbleSize val="1"/>
            <c:separator>; </c:separator>
            <c:showLeaderLines val="0"/>
            <c:extLst>
              <c:ext xmlns:c15="http://schemas.microsoft.com/office/drawing/2012/chart" uri="{CE6537A1-D6FC-4f65-9D91-7224C49458BB}">
                <c15:showLeaderLines val="1"/>
              </c:ext>
            </c:extLst>
          </c:dLbls>
          <c:cat>
            <c:multiLvlStrRef>
              <c:f>categories</c:f>
              <c:multiLvlStrCache>
                <c:ptCount val="10"/>
                <c:lvl>
                  <c:pt idx="0">
                    <c:v>FY22-23</c:v>
                  </c:pt>
                  <c:pt idx="1">
                    <c:v>FY23-24</c:v>
                  </c:pt>
                  <c:pt idx="2">
                    <c:v>FY22-23</c:v>
                  </c:pt>
                  <c:pt idx="3">
                    <c:v>FY23-24</c:v>
                  </c:pt>
                  <c:pt idx="4">
                    <c:v>FY22-23</c:v>
                  </c:pt>
                  <c:pt idx="5">
                    <c:v>FY23-24</c:v>
                  </c:pt>
                  <c:pt idx="6">
                    <c:v>FY22-23</c:v>
                  </c:pt>
                  <c:pt idx="7">
                    <c:v>FY23-24</c:v>
                  </c:pt>
                  <c:pt idx="8">
                    <c:v>FY22-23</c:v>
                  </c:pt>
                  <c:pt idx="9">
                    <c:v>FY23-24</c:v>
                  </c:pt>
                </c:lvl>
                <c:lvl>
                  <c:pt idx="0">
                    <c:v>Balasore</c:v>
                  </c:pt>
                  <c:pt idx="2">
                    <c:v>Baripada</c:v>
                  </c:pt>
                  <c:pt idx="4">
                    <c:v>Bhadark</c:v>
                  </c:pt>
                  <c:pt idx="6">
                    <c:v>Jajpur</c:v>
                  </c:pt>
                  <c:pt idx="8">
                    <c:v>Keonjhar</c:v>
                  </c:pt>
                </c:lvl>
              </c:multiLvlStrCache>
            </c:multiLvlStrRef>
          </c:cat>
          <c:val>
            <c:numRef>
              <c:f>3</c:f>
              <c:numCache>
                <c:formatCode>General</c:formatCode>
                <c:ptCount val="10"/>
                <c:pt idx="0">
                  <c:v>110.801042632716</c:v>
                </c:pt>
                <c:pt idx="1">
                  <c:v>79.032665575938495</c:v>
                </c:pt>
                <c:pt idx="2">
                  <c:v>73.1648374339524</c:v>
                </c:pt>
                <c:pt idx="3">
                  <c:v>65.162090013328907</c:v>
                </c:pt>
                <c:pt idx="4">
                  <c:v>78.296446243740604</c:v>
                </c:pt>
                <c:pt idx="5">
                  <c:v>74.0155524477304</c:v>
                </c:pt>
                <c:pt idx="6">
                  <c:v>102.490696908209</c:v>
                </c:pt>
                <c:pt idx="7">
                  <c:v>84.891877498781994</c:v>
                </c:pt>
                <c:pt idx="8">
                  <c:v>86.295360448982606</c:v>
                </c:pt>
                <c:pt idx="9">
                  <c:v>134.299739023293</c:v>
                </c:pt>
              </c:numCache>
            </c:numRef>
          </c:val>
          <c:extLst>
            <c:ext xmlns:c16="http://schemas.microsoft.com/office/drawing/2014/chart" uri="{C3380CC4-5D6E-409C-BE32-E72D297353CC}">
              <c16:uniqueId val="{00000003-A2E3-40E1-87EF-62B4AE3A44DA}"/>
            </c:ext>
          </c:extLst>
        </c:ser>
        <c:ser>
          <c:idx val="4"/>
          <c:order val="4"/>
          <c:tx>
            <c:strRef>
              <c:f>label 4</c:f>
              <c:strCache>
                <c:ptCount val="1"/>
                <c:pt idx="0">
                  <c:v>Total</c:v>
                </c:pt>
              </c:strCache>
            </c:strRef>
          </c:tx>
          <c:spPr>
            <a:noFill/>
            <a:ln w="0">
              <a:noFill/>
            </a:ln>
          </c:spPr>
          <c:invertIfNegative val="0"/>
          <c:dLbls>
            <c:numFmt formatCode="0.00" sourceLinked="0"/>
            <c:spPr>
              <a:noFill/>
              <a:ln>
                <a:noFill/>
              </a:ln>
              <a:effectLst/>
            </c:spPr>
            <c:txPr>
              <a:bodyPr wrap="square"/>
              <a:lstStyle/>
              <a:p>
                <a:pPr>
                  <a:defRPr sz="700" b="1" strike="noStrike" spc="-1">
                    <a:solidFill>
                      <a:srgbClr val="000000"/>
                    </a:solidFill>
                    <a:latin typeface="Arial"/>
                  </a:defRPr>
                </a:pPr>
                <a:endParaRPr lang="en-US"/>
              </a:p>
            </c:txPr>
            <c:dLblPos val="inBase"/>
            <c:showLegendKey val="0"/>
            <c:showVal val="1"/>
            <c:showCatName val="0"/>
            <c:showSerName val="0"/>
            <c:showPercent val="0"/>
            <c:showBubbleSize val="1"/>
            <c:separator>; </c:separator>
            <c:showLeaderLines val="0"/>
            <c:extLst>
              <c:ext xmlns:c15="http://schemas.microsoft.com/office/drawing/2012/chart" uri="{CE6537A1-D6FC-4f65-9D91-7224C49458BB}">
                <c15:showLeaderLines val="1"/>
              </c:ext>
            </c:extLst>
          </c:dLbls>
          <c:cat>
            <c:multiLvlStrRef>
              <c:f>categories</c:f>
              <c:multiLvlStrCache>
                <c:ptCount val="10"/>
                <c:lvl>
                  <c:pt idx="0">
                    <c:v>FY22-23</c:v>
                  </c:pt>
                  <c:pt idx="1">
                    <c:v>FY23-24</c:v>
                  </c:pt>
                  <c:pt idx="2">
                    <c:v>FY22-23</c:v>
                  </c:pt>
                  <c:pt idx="3">
                    <c:v>FY23-24</c:v>
                  </c:pt>
                  <c:pt idx="4">
                    <c:v>FY22-23</c:v>
                  </c:pt>
                  <c:pt idx="5">
                    <c:v>FY23-24</c:v>
                  </c:pt>
                  <c:pt idx="6">
                    <c:v>FY22-23</c:v>
                  </c:pt>
                  <c:pt idx="7">
                    <c:v>FY23-24</c:v>
                  </c:pt>
                  <c:pt idx="8">
                    <c:v>FY22-23</c:v>
                  </c:pt>
                  <c:pt idx="9">
                    <c:v>FY23-24</c:v>
                  </c:pt>
                </c:lvl>
                <c:lvl>
                  <c:pt idx="0">
                    <c:v>Balasore</c:v>
                  </c:pt>
                  <c:pt idx="2">
                    <c:v>Baripada</c:v>
                  </c:pt>
                  <c:pt idx="4">
                    <c:v>Bhadark</c:v>
                  </c:pt>
                  <c:pt idx="6">
                    <c:v>Jajpur</c:v>
                  </c:pt>
                  <c:pt idx="8">
                    <c:v>Keonjhar</c:v>
                  </c:pt>
                </c:lvl>
              </c:multiLvlStrCache>
            </c:multiLvlStrRef>
          </c:cat>
          <c:val>
            <c:numRef>
              <c:f>4</c:f>
              <c:numCache>
                <c:formatCode>General</c:formatCode>
                <c:ptCount val="10"/>
                <c:pt idx="0">
                  <c:v>528.39534223386499</c:v>
                </c:pt>
                <c:pt idx="1">
                  <c:v>343.64585680930298</c:v>
                </c:pt>
                <c:pt idx="2">
                  <c:v>305.20418651594701</c:v>
                </c:pt>
                <c:pt idx="3">
                  <c:v>293.38352052558201</c:v>
                </c:pt>
                <c:pt idx="4">
                  <c:v>331.38891166056101</c:v>
                </c:pt>
                <c:pt idx="5">
                  <c:v>289.93792610799898</c:v>
                </c:pt>
                <c:pt idx="6">
                  <c:v>351.48925125769898</c:v>
                </c:pt>
                <c:pt idx="7">
                  <c:v>295.97352283820601</c:v>
                </c:pt>
                <c:pt idx="8">
                  <c:v>444.28514464437399</c:v>
                </c:pt>
                <c:pt idx="9">
                  <c:v>534.87169898668606</c:v>
                </c:pt>
              </c:numCache>
            </c:numRef>
          </c:val>
          <c:extLst>
            <c:ext xmlns:c16="http://schemas.microsoft.com/office/drawing/2014/chart" uri="{C3380CC4-5D6E-409C-BE32-E72D297353CC}">
              <c16:uniqueId val="{00000004-A2E3-40E1-87EF-62B4AE3A44DA}"/>
            </c:ext>
          </c:extLst>
        </c:ser>
        <c:dLbls>
          <c:showLegendKey val="0"/>
          <c:showVal val="0"/>
          <c:showCatName val="0"/>
          <c:showSerName val="0"/>
          <c:showPercent val="0"/>
          <c:showBubbleSize val="0"/>
        </c:dLbls>
        <c:gapWidth val="219"/>
        <c:overlap val="100"/>
        <c:axId val="14236192"/>
        <c:axId val="16565722"/>
      </c:barChart>
      <c:catAx>
        <c:axId val="14236192"/>
        <c:scaling>
          <c:orientation val="minMax"/>
        </c:scaling>
        <c:delete val="0"/>
        <c:axPos val="b"/>
        <c:numFmt formatCode="General" sourceLinked="0"/>
        <c:majorTickMark val="none"/>
        <c:minorTickMark val="none"/>
        <c:tickLblPos val="nextTo"/>
        <c:spPr>
          <a:ln w="9360">
            <a:solidFill>
              <a:srgbClr val="D9D9D9"/>
            </a:solidFill>
            <a:round/>
          </a:ln>
        </c:spPr>
        <c:txPr>
          <a:bodyPr/>
          <a:lstStyle/>
          <a:p>
            <a:pPr>
              <a:defRPr sz="700" b="1" strike="noStrike" spc="-1">
                <a:solidFill>
                  <a:srgbClr val="000000"/>
                </a:solidFill>
                <a:latin typeface="Arial"/>
              </a:defRPr>
            </a:pPr>
            <a:endParaRPr lang="en-US"/>
          </a:p>
        </c:txPr>
        <c:crossAx val="16565722"/>
        <c:crosses val="autoZero"/>
        <c:auto val="1"/>
        <c:lblAlgn val="ctr"/>
        <c:lblOffset val="100"/>
        <c:noMultiLvlLbl val="0"/>
      </c:catAx>
      <c:valAx>
        <c:axId val="16565722"/>
        <c:scaling>
          <c:orientation val="minMax"/>
          <c:max val="600"/>
        </c:scaling>
        <c:delete val="0"/>
        <c:axPos val="l"/>
        <c:numFmt formatCode="0.00" sourceLinked="0"/>
        <c:majorTickMark val="none"/>
        <c:minorTickMark val="none"/>
        <c:tickLblPos val="nextTo"/>
        <c:spPr>
          <a:ln w="6480">
            <a:noFill/>
          </a:ln>
        </c:spPr>
        <c:txPr>
          <a:bodyPr/>
          <a:lstStyle/>
          <a:p>
            <a:pPr>
              <a:defRPr sz="700" b="1" strike="noStrike" spc="-1">
                <a:solidFill>
                  <a:srgbClr val="000000"/>
                </a:solidFill>
                <a:latin typeface="Arial"/>
              </a:defRPr>
            </a:pPr>
            <a:endParaRPr lang="en-US"/>
          </a:p>
        </c:txPr>
        <c:crossAx val="14236192"/>
        <c:crosses val="autoZero"/>
        <c:crossBetween val="between"/>
      </c:valAx>
      <c:spPr>
        <a:noFill/>
        <a:ln w="0">
          <a:noFill/>
        </a:ln>
      </c:spPr>
    </c:plotArea>
    <c:legend>
      <c:legendPos val="b"/>
      <c:overlay val="0"/>
      <c:spPr>
        <a:noFill/>
        <a:ln w="0">
          <a:noFill/>
        </a:ln>
      </c:spPr>
      <c:txPr>
        <a:bodyPr/>
        <a:lstStyle/>
        <a:p>
          <a:pPr>
            <a:defRPr sz="900" b="1" strike="noStrike" spc="-1">
              <a:solidFill>
                <a:srgbClr val="000000"/>
              </a:solidFill>
              <a:latin typeface="Arial"/>
            </a:defRPr>
          </a:pPr>
          <a:endParaRPr lang="en-US"/>
        </a:p>
      </c:txPr>
    </c:legend>
    <c:plotVisOnly val="1"/>
    <c:dispBlanksAs val="gap"/>
    <c:showDLblsOverMax val="1"/>
  </c:chart>
  <c:spPr>
    <a:noFill/>
    <a:ln w="9360">
      <a:solidFill>
        <a:srgbClr val="00B0F0"/>
      </a:solidFill>
      <a:round/>
    </a:ln>
  </c:spPr>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a:lstStyle/>
          <a:p>
            <a:pPr>
              <a:defRPr lang="en-IN" sz="1000" b="1" strike="noStrike" spc="-1">
                <a:solidFill>
                  <a:srgbClr val="000000"/>
                </a:solidFill>
                <a:latin typeface="Arial"/>
              </a:defRPr>
            </a:pPr>
            <a:r>
              <a:rPr lang="en-IN" sz="1000" b="1" strike="noStrike" spc="-1">
                <a:solidFill>
                  <a:srgbClr val="000000"/>
                </a:solidFill>
                <a:latin typeface="Arial"/>
              </a:rPr>
              <a:t>SAIFI (Nos) at Circle Level</a:t>
            </a:r>
          </a:p>
        </c:rich>
      </c:tx>
      <c:layout>
        <c:manualLayout>
          <c:xMode val="edge"/>
          <c:yMode val="edge"/>
          <c:x val="0.37597190870328601"/>
          <c:y val="7.7418570734078804E-2"/>
        </c:manualLayout>
      </c:layout>
      <c:overlay val="0"/>
      <c:spPr>
        <a:noFill/>
        <a:ln w="0">
          <a:noFill/>
        </a:ln>
      </c:spPr>
    </c:title>
    <c:autoTitleDeleted val="0"/>
    <c:plotArea>
      <c:layout>
        <c:manualLayout>
          <c:layoutTarget val="inner"/>
          <c:xMode val="edge"/>
          <c:yMode val="edge"/>
          <c:x val="4.2999999999999997E-2"/>
          <c:y val="0.10077777777777799"/>
          <c:w val="0.94599999999999995"/>
          <c:h val="0.60033333333333305"/>
        </c:manualLayout>
      </c:layout>
      <c:barChart>
        <c:barDir val="col"/>
        <c:grouping val="stacked"/>
        <c:varyColors val="0"/>
        <c:ser>
          <c:idx val="0"/>
          <c:order val="0"/>
          <c:tx>
            <c:strRef>
              <c:f>label 0</c:f>
              <c:strCache>
                <c:ptCount val="1"/>
                <c:pt idx="0">
                  <c:v>Q-1</c:v>
                </c:pt>
              </c:strCache>
            </c:strRef>
          </c:tx>
          <c:spPr>
            <a:solidFill>
              <a:srgbClr val="5B9BD5"/>
            </a:solidFill>
            <a:ln w="0">
              <a:noFill/>
            </a:ln>
          </c:spPr>
          <c:invertIfNegative val="0"/>
          <c:dLbls>
            <c:numFmt formatCode="0.00" sourceLinked="0"/>
            <c:spPr>
              <a:noFill/>
              <a:ln>
                <a:noFill/>
              </a:ln>
              <a:effectLst/>
            </c:spPr>
            <c:txPr>
              <a:bodyPr wrap="square"/>
              <a:lstStyle/>
              <a:p>
                <a:pPr>
                  <a:defRPr sz="700" b="1" strike="noStrike" spc="-1">
                    <a:solidFill>
                      <a:srgbClr val="000000"/>
                    </a:solidFill>
                    <a:latin typeface="Arial"/>
                  </a:defRPr>
                </a:pPr>
                <a:endParaRPr lang="en-US"/>
              </a:p>
            </c:txPr>
            <c:dLblPos val="ctr"/>
            <c:showLegendKey val="0"/>
            <c:showVal val="1"/>
            <c:showCatName val="0"/>
            <c:showSerName val="0"/>
            <c:showPercent val="0"/>
            <c:showBubbleSize val="1"/>
            <c:separator>; </c:separator>
            <c:showLeaderLines val="0"/>
            <c:extLst>
              <c:ext xmlns:c15="http://schemas.microsoft.com/office/drawing/2012/chart" uri="{CE6537A1-D6FC-4f65-9D91-7224C49458BB}">
                <c15:showLeaderLines val="1"/>
              </c:ext>
            </c:extLst>
          </c:dLbls>
          <c:cat>
            <c:multiLvlStrRef>
              <c:f>categories</c:f>
              <c:multiLvlStrCache>
                <c:ptCount val="10"/>
                <c:lvl>
                  <c:pt idx="0">
                    <c:v>FY22-23</c:v>
                  </c:pt>
                  <c:pt idx="1">
                    <c:v>FY23-24</c:v>
                  </c:pt>
                  <c:pt idx="2">
                    <c:v>FY22-23</c:v>
                  </c:pt>
                  <c:pt idx="3">
                    <c:v>FY23-24</c:v>
                  </c:pt>
                  <c:pt idx="4">
                    <c:v>FY22-23</c:v>
                  </c:pt>
                  <c:pt idx="5">
                    <c:v>FY23-24</c:v>
                  </c:pt>
                  <c:pt idx="6">
                    <c:v>FY22-23</c:v>
                  </c:pt>
                  <c:pt idx="7">
                    <c:v>FY23-24</c:v>
                  </c:pt>
                  <c:pt idx="8">
                    <c:v>FY22-23</c:v>
                  </c:pt>
                  <c:pt idx="9">
                    <c:v>FY23-24</c:v>
                  </c:pt>
                </c:lvl>
                <c:lvl>
                  <c:pt idx="0">
                    <c:v>Balasore</c:v>
                  </c:pt>
                  <c:pt idx="2">
                    <c:v>Baripada</c:v>
                  </c:pt>
                  <c:pt idx="4">
                    <c:v>Bhadark</c:v>
                  </c:pt>
                  <c:pt idx="6">
                    <c:v>Jajpur</c:v>
                  </c:pt>
                  <c:pt idx="8">
                    <c:v>Keonjhar</c:v>
                  </c:pt>
                </c:lvl>
              </c:multiLvlStrCache>
            </c:multiLvlStrRef>
          </c:cat>
          <c:val>
            <c:numRef>
              <c:f>0</c:f>
              <c:numCache>
                <c:formatCode>General</c:formatCode>
                <c:ptCount val="10"/>
                <c:pt idx="0">
                  <c:v>266.50951284537098</c:v>
                </c:pt>
                <c:pt idx="1">
                  <c:v>148.28504966839299</c:v>
                </c:pt>
                <c:pt idx="2">
                  <c:v>109.040254873696</c:v>
                </c:pt>
                <c:pt idx="3">
                  <c:v>128.366275337975</c:v>
                </c:pt>
                <c:pt idx="4">
                  <c:v>123.38573529371</c:v>
                </c:pt>
                <c:pt idx="5">
                  <c:v>99.298647290159707</c:v>
                </c:pt>
                <c:pt idx="6">
                  <c:v>158.801901983818</c:v>
                </c:pt>
                <c:pt idx="7">
                  <c:v>124.095318924682</c:v>
                </c:pt>
                <c:pt idx="8">
                  <c:v>181.182648506004</c:v>
                </c:pt>
                <c:pt idx="9">
                  <c:v>140.61671952490801</c:v>
                </c:pt>
              </c:numCache>
            </c:numRef>
          </c:val>
          <c:extLst>
            <c:ext xmlns:c16="http://schemas.microsoft.com/office/drawing/2014/chart" uri="{C3380CC4-5D6E-409C-BE32-E72D297353CC}">
              <c16:uniqueId val="{00000000-98CA-440D-BB1C-69744F025738}"/>
            </c:ext>
          </c:extLst>
        </c:ser>
        <c:ser>
          <c:idx val="1"/>
          <c:order val="1"/>
          <c:tx>
            <c:strRef>
              <c:f>label 1</c:f>
              <c:strCache>
                <c:ptCount val="1"/>
                <c:pt idx="0">
                  <c:v>Q-2</c:v>
                </c:pt>
              </c:strCache>
            </c:strRef>
          </c:tx>
          <c:spPr>
            <a:solidFill>
              <a:srgbClr val="F4B183"/>
            </a:solidFill>
            <a:ln w="0">
              <a:noFill/>
            </a:ln>
          </c:spPr>
          <c:invertIfNegative val="0"/>
          <c:dLbls>
            <c:numFmt formatCode="0.00" sourceLinked="0"/>
            <c:spPr>
              <a:noFill/>
              <a:ln>
                <a:noFill/>
              </a:ln>
              <a:effectLst/>
            </c:spPr>
            <c:txPr>
              <a:bodyPr wrap="square"/>
              <a:lstStyle/>
              <a:p>
                <a:pPr>
                  <a:defRPr sz="700" b="1" strike="noStrike" spc="-1">
                    <a:solidFill>
                      <a:srgbClr val="000000"/>
                    </a:solidFill>
                    <a:latin typeface="Arial"/>
                  </a:defRPr>
                </a:pPr>
                <a:endParaRPr lang="en-US"/>
              </a:p>
            </c:txPr>
            <c:dLblPos val="ctr"/>
            <c:showLegendKey val="0"/>
            <c:showVal val="1"/>
            <c:showCatName val="0"/>
            <c:showSerName val="0"/>
            <c:showPercent val="0"/>
            <c:showBubbleSize val="1"/>
            <c:separator>; </c:separator>
            <c:showLeaderLines val="0"/>
            <c:extLst>
              <c:ext xmlns:c15="http://schemas.microsoft.com/office/drawing/2012/chart" uri="{CE6537A1-D6FC-4f65-9D91-7224C49458BB}">
                <c15:showLeaderLines val="1"/>
              </c:ext>
            </c:extLst>
          </c:dLbls>
          <c:cat>
            <c:multiLvlStrRef>
              <c:f>categories</c:f>
              <c:multiLvlStrCache>
                <c:ptCount val="10"/>
                <c:lvl>
                  <c:pt idx="0">
                    <c:v>FY22-23</c:v>
                  </c:pt>
                  <c:pt idx="1">
                    <c:v>FY23-24</c:v>
                  </c:pt>
                  <c:pt idx="2">
                    <c:v>FY22-23</c:v>
                  </c:pt>
                  <c:pt idx="3">
                    <c:v>FY23-24</c:v>
                  </c:pt>
                  <c:pt idx="4">
                    <c:v>FY22-23</c:v>
                  </c:pt>
                  <c:pt idx="5">
                    <c:v>FY23-24</c:v>
                  </c:pt>
                  <c:pt idx="6">
                    <c:v>FY22-23</c:v>
                  </c:pt>
                  <c:pt idx="7">
                    <c:v>FY23-24</c:v>
                  </c:pt>
                  <c:pt idx="8">
                    <c:v>FY22-23</c:v>
                  </c:pt>
                  <c:pt idx="9">
                    <c:v>FY23-24</c:v>
                  </c:pt>
                </c:lvl>
                <c:lvl>
                  <c:pt idx="0">
                    <c:v>Balasore</c:v>
                  </c:pt>
                  <c:pt idx="2">
                    <c:v>Baripada</c:v>
                  </c:pt>
                  <c:pt idx="4">
                    <c:v>Bhadark</c:v>
                  </c:pt>
                  <c:pt idx="6">
                    <c:v>Jajpur</c:v>
                  </c:pt>
                  <c:pt idx="8">
                    <c:v>Keonjhar</c:v>
                  </c:pt>
                </c:lvl>
              </c:multiLvlStrCache>
            </c:multiLvlStrRef>
          </c:cat>
          <c:val>
            <c:numRef>
              <c:f>1</c:f>
              <c:numCache>
                <c:formatCode>General</c:formatCode>
                <c:ptCount val="10"/>
                <c:pt idx="0">
                  <c:v>287.31667309190999</c:v>
                </c:pt>
                <c:pt idx="1">
                  <c:v>240.717606503822</c:v>
                </c:pt>
                <c:pt idx="2">
                  <c:v>156.854533703599</c:v>
                </c:pt>
                <c:pt idx="3">
                  <c:v>167.79062709653499</c:v>
                </c:pt>
                <c:pt idx="4">
                  <c:v>199.48494524865399</c:v>
                </c:pt>
                <c:pt idx="5">
                  <c:v>182.43125246545</c:v>
                </c:pt>
                <c:pt idx="6">
                  <c:v>218.323203494566</c:v>
                </c:pt>
                <c:pt idx="7">
                  <c:v>209.78974587605899</c:v>
                </c:pt>
                <c:pt idx="8">
                  <c:v>232.34842492660101</c:v>
                </c:pt>
                <c:pt idx="9">
                  <c:v>165.327011879266</c:v>
                </c:pt>
              </c:numCache>
            </c:numRef>
          </c:val>
          <c:extLst>
            <c:ext xmlns:c16="http://schemas.microsoft.com/office/drawing/2014/chart" uri="{C3380CC4-5D6E-409C-BE32-E72D297353CC}">
              <c16:uniqueId val="{00000001-98CA-440D-BB1C-69744F025738}"/>
            </c:ext>
          </c:extLst>
        </c:ser>
        <c:ser>
          <c:idx val="2"/>
          <c:order val="2"/>
          <c:tx>
            <c:strRef>
              <c:f>label 2</c:f>
              <c:strCache>
                <c:ptCount val="1"/>
                <c:pt idx="0">
                  <c:v>Q-3</c:v>
                </c:pt>
              </c:strCache>
            </c:strRef>
          </c:tx>
          <c:spPr>
            <a:solidFill>
              <a:srgbClr val="92D050"/>
            </a:solidFill>
            <a:ln w="0">
              <a:noFill/>
            </a:ln>
          </c:spPr>
          <c:invertIfNegative val="0"/>
          <c:dLbls>
            <c:numFmt formatCode="0.00" sourceLinked="0"/>
            <c:spPr>
              <a:noFill/>
              <a:ln>
                <a:noFill/>
              </a:ln>
              <a:effectLst/>
            </c:spPr>
            <c:txPr>
              <a:bodyPr wrap="square"/>
              <a:lstStyle/>
              <a:p>
                <a:pPr>
                  <a:defRPr sz="700" b="1" strike="noStrike" spc="-1">
                    <a:solidFill>
                      <a:srgbClr val="000000"/>
                    </a:solidFill>
                    <a:latin typeface="Arial"/>
                  </a:defRPr>
                </a:pPr>
                <a:endParaRPr lang="en-US"/>
              </a:p>
            </c:txPr>
            <c:dLblPos val="ctr"/>
            <c:showLegendKey val="0"/>
            <c:showVal val="1"/>
            <c:showCatName val="0"/>
            <c:showSerName val="0"/>
            <c:showPercent val="0"/>
            <c:showBubbleSize val="1"/>
            <c:separator>; </c:separator>
            <c:showLeaderLines val="0"/>
            <c:extLst>
              <c:ext xmlns:c15="http://schemas.microsoft.com/office/drawing/2012/chart" uri="{CE6537A1-D6FC-4f65-9D91-7224C49458BB}">
                <c15:showLeaderLines val="1"/>
              </c:ext>
            </c:extLst>
          </c:dLbls>
          <c:cat>
            <c:multiLvlStrRef>
              <c:f>categories</c:f>
              <c:multiLvlStrCache>
                <c:ptCount val="10"/>
                <c:lvl>
                  <c:pt idx="0">
                    <c:v>FY22-23</c:v>
                  </c:pt>
                  <c:pt idx="1">
                    <c:v>FY23-24</c:v>
                  </c:pt>
                  <c:pt idx="2">
                    <c:v>FY22-23</c:v>
                  </c:pt>
                  <c:pt idx="3">
                    <c:v>FY23-24</c:v>
                  </c:pt>
                  <c:pt idx="4">
                    <c:v>FY22-23</c:v>
                  </c:pt>
                  <c:pt idx="5">
                    <c:v>FY23-24</c:v>
                  </c:pt>
                  <c:pt idx="6">
                    <c:v>FY22-23</c:v>
                  </c:pt>
                  <c:pt idx="7">
                    <c:v>FY23-24</c:v>
                  </c:pt>
                  <c:pt idx="8">
                    <c:v>FY22-23</c:v>
                  </c:pt>
                  <c:pt idx="9">
                    <c:v>FY23-24</c:v>
                  </c:pt>
                </c:lvl>
                <c:lvl>
                  <c:pt idx="0">
                    <c:v>Balasore</c:v>
                  </c:pt>
                  <c:pt idx="2">
                    <c:v>Baripada</c:v>
                  </c:pt>
                  <c:pt idx="4">
                    <c:v>Bhadark</c:v>
                  </c:pt>
                  <c:pt idx="6">
                    <c:v>Jajpur</c:v>
                  </c:pt>
                  <c:pt idx="8">
                    <c:v>Keonjhar</c:v>
                  </c:pt>
                </c:lvl>
              </c:multiLvlStrCache>
            </c:multiLvlStrRef>
          </c:cat>
          <c:val>
            <c:numRef>
              <c:f>2</c:f>
              <c:numCache>
                <c:formatCode>General</c:formatCode>
                <c:ptCount val="10"/>
                <c:pt idx="0">
                  <c:v>165.18402349518499</c:v>
                </c:pt>
                <c:pt idx="1">
                  <c:v>155.51121627650599</c:v>
                </c:pt>
                <c:pt idx="2">
                  <c:v>99.703639644790698</c:v>
                </c:pt>
                <c:pt idx="3">
                  <c:v>115.692832622436</c:v>
                </c:pt>
                <c:pt idx="4">
                  <c:v>114.19023450488</c:v>
                </c:pt>
                <c:pt idx="5">
                  <c:v>114.057374141857</c:v>
                </c:pt>
                <c:pt idx="6">
                  <c:v>131.707207248629</c:v>
                </c:pt>
                <c:pt idx="7">
                  <c:v>134.33605639729601</c:v>
                </c:pt>
                <c:pt idx="8">
                  <c:v>113.05724471664401</c:v>
                </c:pt>
                <c:pt idx="9">
                  <c:v>121.118341650226</c:v>
                </c:pt>
              </c:numCache>
            </c:numRef>
          </c:val>
          <c:extLst>
            <c:ext xmlns:c16="http://schemas.microsoft.com/office/drawing/2014/chart" uri="{C3380CC4-5D6E-409C-BE32-E72D297353CC}">
              <c16:uniqueId val="{00000002-98CA-440D-BB1C-69744F025738}"/>
            </c:ext>
          </c:extLst>
        </c:ser>
        <c:ser>
          <c:idx val="3"/>
          <c:order val="3"/>
          <c:tx>
            <c:strRef>
              <c:f>label 3</c:f>
              <c:strCache>
                <c:ptCount val="1"/>
                <c:pt idx="0">
                  <c:v>Q-4</c:v>
                </c:pt>
              </c:strCache>
            </c:strRef>
          </c:tx>
          <c:spPr>
            <a:solidFill>
              <a:srgbClr val="FFE699"/>
            </a:solidFill>
            <a:ln w="0">
              <a:noFill/>
            </a:ln>
          </c:spPr>
          <c:invertIfNegative val="0"/>
          <c:dLbls>
            <c:numFmt formatCode="0.00" sourceLinked="0"/>
            <c:spPr>
              <a:noFill/>
              <a:ln>
                <a:noFill/>
              </a:ln>
              <a:effectLst/>
            </c:spPr>
            <c:txPr>
              <a:bodyPr wrap="square"/>
              <a:lstStyle/>
              <a:p>
                <a:pPr>
                  <a:defRPr sz="700" b="1" strike="noStrike" spc="-1">
                    <a:solidFill>
                      <a:srgbClr val="000000"/>
                    </a:solidFill>
                    <a:latin typeface="Arial"/>
                  </a:defRPr>
                </a:pPr>
                <a:endParaRPr lang="en-US"/>
              </a:p>
            </c:txPr>
            <c:dLblPos val="ctr"/>
            <c:showLegendKey val="0"/>
            <c:showVal val="1"/>
            <c:showCatName val="0"/>
            <c:showSerName val="0"/>
            <c:showPercent val="0"/>
            <c:showBubbleSize val="1"/>
            <c:separator>; </c:separator>
            <c:showLeaderLines val="0"/>
            <c:extLst>
              <c:ext xmlns:c15="http://schemas.microsoft.com/office/drawing/2012/chart" uri="{CE6537A1-D6FC-4f65-9D91-7224C49458BB}">
                <c15:showLeaderLines val="1"/>
              </c:ext>
            </c:extLst>
          </c:dLbls>
          <c:cat>
            <c:multiLvlStrRef>
              <c:f>categories</c:f>
              <c:multiLvlStrCache>
                <c:ptCount val="10"/>
                <c:lvl>
                  <c:pt idx="0">
                    <c:v>FY22-23</c:v>
                  </c:pt>
                  <c:pt idx="1">
                    <c:v>FY23-24</c:v>
                  </c:pt>
                  <c:pt idx="2">
                    <c:v>FY22-23</c:v>
                  </c:pt>
                  <c:pt idx="3">
                    <c:v>FY23-24</c:v>
                  </c:pt>
                  <c:pt idx="4">
                    <c:v>FY22-23</c:v>
                  </c:pt>
                  <c:pt idx="5">
                    <c:v>FY23-24</c:v>
                  </c:pt>
                  <c:pt idx="6">
                    <c:v>FY22-23</c:v>
                  </c:pt>
                  <c:pt idx="7">
                    <c:v>FY23-24</c:v>
                  </c:pt>
                  <c:pt idx="8">
                    <c:v>FY22-23</c:v>
                  </c:pt>
                  <c:pt idx="9">
                    <c:v>FY23-24</c:v>
                  </c:pt>
                </c:lvl>
                <c:lvl>
                  <c:pt idx="0">
                    <c:v>Balasore</c:v>
                  </c:pt>
                  <c:pt idx="2">
                    <c:v>Baripada</c:v>
                  </c:pt>
                  <c:pt idx="4">
                    <c:v>Bhadark</c:v>
                  </c:pt>
                  <c:pt idx="6">
                    <c:v>Jajpur</c:v>
                  </c:pt>
                  <c:pt idx="8">
                    <c:v>Keonjhar</c:v>
                  </c:pt>
                </c:lvl>
              </c:multiLvlStrCache>
            </c:multiLvlStrRef>
          </c:cat>
          <c:val>
            <c:numRef>
              <c:f>3</c:f>
              <c:numCache>
                <c:formatCode>General</c:formatCode>
                <c:ptCount val="10"/>
                <c:pt idx="0">
                  <c:v>150.59546578320101</c:v>
                </c:pt>
                <c:pt idx="1">
                  <c:v>138.49958055695299</c:v>
                </c:pt>
                <c:pt idx="2">
                  <c:v>111.952252220058</c:v>
                </c:pt>
                <c:pt idx="3">
                  <c:v>108.86930609906101</c:v>
                </c:pt>
                <c:pt idx="4">
                  <c:v>105.271656007354</c:v>
                </c:pt>
                <c:pt idx="5">
                  <c:v>112.764908937539</c:v>
                </c:pt>
                <c:pt idx="6">
                  <c:v>136.40364944933299</c:v>
                </c:pt>
                <c:pt idx="7">
                  <c:v>123.93927364102601</c:v>
                </c:pt>
                <c:pt idx="8">
                  <c:v>108.63807067451199</c:v>
                </c:pt>
                <c:pt idx="9">
                  <c:v>118.62770801639</c:v>
                </c:pt>
              </c:numCache>
            </c:numRef>
          </c:val>
          <c:extLst>
            <c:ext xmlns:c16="http://schemas.microsoft.com/office/drawing/2014/chart" uri="{C3380CC4-5D6E-409C-BE32-E72D297353CC}">
              <c16:uniqueId val="{00000003-98CA-440D-BB1C-69744F025738}"/>
            </c:ext>
          </c:extLst>
        </c:ser>
        <c:ser>
          <c:idx val="4"/>
          <c:order val="4"/>
          <c:tx>
            <c:strRef>
              <c:f>label 4</c:f>
              <c:strCache>
                <c:ptCount val="1"/>
                <c:pt idx="0">
                  <c:v>Total</c:v>
                </c:pt>
              </c:strCache>
            </c:strRef>
          </c:tx>
          <c:spPr>
            <a:noFill/>
            <a:ln w="0">
              <a:noFill/>
            </a:ln>
          </c:spPr>
          <c:invertIfNegative val="0"/>
          <c:dLbls>
            <c:numFmt formatCode="0.00" sourceLinked="0"/>
            <c:spPr>
              <a:noFill/>
              <a:ln>
                <a:noFill/>
              </a:ln>
              <a:effectLst/>
            </c:spPr>
            <c:txPr>
              <a:bodyPr wrap="square"/>
              <a:lstStyle/>
              <a:p>
                <a:pPr>
                  <a:defRPr sz="700" b="1" strike="noStrike" spc="-1">
                    <a:solidFill>
                      <a:srgbClr val="000000"/>
                    </a:solidFill>
                    <a:latin typeface="Arial"/>
                  </a:defRPr>
                </a:pPr>
                <a:endParaRPr lang="en-US"/>
              </a:p>
            </c:txPr>
            <c:dLblPos val="inBase"/>
            <c:showLegendKey val="0"/>
            <c:showVal val="1"/>
            <c:showCatName val="0"/>
            <c:showSerName val="0"/>
            <c:showPercent val="0"/>
            <c:showBubbleSize val="1"/>
            <c:separator>; </c:separator>
            <c:showLeaderLines val="0"/>
            <c:extLst>
              <c:ext xmlns:c15="http://schemas.microsoft.com/office/drawing/2012/chart" uri="{CE6537A1-D6FC-4f65-9D91-7224C49458BB}">
                <c15:showLeaderLines val="1"/>
              </c:ext>
            </c:extLst>
          </c:dLbls>
          <c:cat>
            <c:multiLvlStrRef>
              <c:f>categories</c:f>
              <c:multiLvlStrCache>
                <c:ptCount val="10"/>
                <c:lvl>
                  <c:pt idx="0">
                    <c:v>FY22-23</c:v>
                  </c:pt>
                  <c:pt idx="1">
                    <c:v>FY23-24</c:v>
                  </c:pt>
                  <c:pt idx="2">
                    <c:v>FY22-23</c:v>
                  </c:pt>
                  <c:pt idx="3">
                    <c:v>FY23-24</c:v>
                  </c:pt>
                  <c:pt idx="4">
                    <c:v>FY22-23</c:v>
                  </c:pt>
                  <c:pt idx="5">
                    <c:v>FY23-24</c:v>
                  </c:pt>
                  <c:pt idx="6">
                    <c:v>FY22-23</c:v>
                  </c:pt>
                  <c:pt idx="7">
                    <c:v>FY23-24</c:v>
                  </c:pt>
                  <c:pt idx="8">
                    <c:v>FY22-23</c:v>
                  </c:pt>
                  <c:pt idx="9">
                    <c:v>FY23-24</c:v>
                  </c:pt>
                </c:lvl>
                <c:lvl>
                  <c:pt idx="0">
                    <c:v>Balasore</c:v>
                  </c:pt>
                  <c:pt idx="2">
                    <c:v>Baripada</c:v>
                  </c:pt>
                  <c:pt idx="4">
                    <c:v>Bhadark</c:v>
                  </c:pt>
                  <c:pt idx="6">
                    <c:v>Jajpur</c:v>
                  </c:pt>
                  <c:pt idx="8">
                    <c:v>Keonjhar</c:v>
                  </c:pt>
                </c:lvl>
              </c:multiLvlStrCache>
            </c:multiLvlStrRef>
          </c:cat>
          <c:val>
            <c:numRef>
              <c:f>4</c:f>
              <c:numCache>
                <c:formatCode>General</c:formatCode>
                <c:ptCount val="10"/>
                <c:pt idx="0">
                  <c:v>869.60567521566702</c:v>
                </c:pt>
                <c:pt idx="1">
                  <c:v>683.01345300567402</c:v>
                </c:pt>
                <c:pt idx="2">
                  <c:v>477.55068044214403</c:v>
                </c:pt>
                <c:pt idx="3">
                  <c:v>520.71904115600705</c:v>
                </c:pt>
                <c:pt idx="4">
                  <c:v>542.33257105459802</c:v>
                </c:pt>
                <c:pt idx="5">
                  <c:v>508.55218283500699</c:v>
                </c:pt>
                <c:pt idx="6">
                  <c:v>645.23596217634599</c:v>
                </c:pt>
                <c:pt idx="7">
                  <c:v>592.16039483906297</c:v>
                </c:pt>
                <c:pt idx="8">
                  <c:v>635.226388823761</c:v>
                </c:pt>
                <c:pt idx="9">
                  <c:v>545.68978107079101</c:v>
                </c:pt>
              </c:numCache>
            </c:numRef>
          </c:val>
          <c:extLst>
            <c:ext xmlns:c16="http://schemas.microsoft.com/office/drawing/2014/chart" uri="{C3380CC4-5D6E-409C-BE32-E72D297353CC}">
              <c16:uniqueId val="{00000004-98CA-440D-BB1C-69744F025738}"/>
            </c:ext>
          </c:extLst>
        </c:ser>
        <c:dLbls>
          <c:showLegendKey val="0"/>
          <c:showVal val="0"/>
          <c:showCatName val="0"/>
          <c:showSerName val="0"/>
          <c:showPercent val="0"/>
          <c:showBubbleSize val="0"/>
        </c:dLbls>
        <c:gapWidth val="219"/>
        <c:overlap val="100"/>
        <c:axId val="75575158"/>
        <c:axId val="30325473"/>
      </c:barChart>
      <c:catAx>
        <c:axId val="75575158"/>
        <c:scaling>
          <c:orientation val="minMax"/>
        </c:scaling>
        <c:delete val="0"/>
        <c:axPos val="b"/>
        <c:numFmt formatCode="General" sourceLinked="0"/>
        <c:majorTickMark val="none"/>
        <c:minorTickMark val="none"/>
        <c:tickLblPos val="nextTo"/>
        <c:spPr>
          <a:ln w="9360">
            <a:solidFill>
              <a:srgbClr val="D9D9D9"/>
            </a:solidFill>
            <a:round/>
          </a:ln>
        </c:spPr>
        <c:txPr>
          <a:bodyPr/>
          <a:lstStyle/>
          <a:p>
            <a:pPr>
              <a:defRPr sz="700" b="1" strike="noStrike" spc="-1">
                <a:solidFill>
                  <a:srgbClr val="000000"/>
                </a:solidFill>
                <a:latin typeface="Arial"/>
              </a:defRPr>
            </a:pPr>
            <a:endParaRPr lang="en-US"/>
          </a:p>
        </c:txPr>
        <c:crossAx val="30325473"/>
        <c:crosses val="autoZero"/>
        <c:auto val="1"/>
        <c:lblAlgn val="ctr"/>
        <c:lblOffset val="100"/>
        <c:noMultiLvlLbl val="0"/>
      </c:catAx>
      <c:valAx>
        <c:axId val="30325473"/>
        <c:scaling>
          <c:orientation val="minMax"/>
          <c:max val="1000"/>
        </c:scaling>
        <c:delete val="0"/>
        <c:axPos val="l"/>
        <c:numFmt formatCode="0.00" sourceLinked="0"/>
        <c:majorTickMark val="none"/>
        <c:minorTickMark val="none"/>
        <c:tickLblPos val="nextTo"/>
        <c:spPr>
          <a:ln w="6480">
            <a:noFill/>
          </a:ln>
        </c:spPr>
        <c:txPr>
          <a:bodyPr/>
          <a:lstStyle/>
          <a:p>
            <a:pPr>
              <a:defRPr sz="700" b="1" strike="noStrike" spc="-1">
                <a:solidFill>
                  <a:srgbClr val="000000"/>
                </a:solidFill>
                <a:latin typeface="Arial"/>
              </a:defRPr>
            </a:pPr>
            <a:endParaRPr lang="en-US"/>
          </a:p>
        </c:txPr>
        <c:crossAx val="75575158"/>
        <c:crosses val="autoZero"/>
        <c:crossBetween val="between"/>
        <c:majorUnit val="200"/>
      </c:valAx>
      <c:spPr>
        <a:noFill/>
        <a:ln w="0">
          <a:noFill/>
        </a:ln>
      </c:spPr>
    </c:plotArea>
    <c:legend>
      <c:legendPos val="b"/>
      <c:overlay val="0"/>
      <c:spPr>
        <a:noFill/>
        <a:ln w="0">
          <a:noFill/>
        </a:ln>
      </c:spPr>
      <c:txPr>
        <a:bodyPr/>
        <a:lstStyle/>
        <a:p>
          <a:pPr>
            <a:defRPr sz="900" b="1" strike="noStrike" spc="-1">
              <a:solidFill>
                <a:srgbClr val="000000"/>
              </a:solidFill>
              <a:latin typeface="Arial"/>
            </a:defRPr>
          </a:pPr>
          <a:endParaRPr lang="en-US"/>
        </a:p>
      </c:txPr>
    </c:legend>
    <c:plotVisOnly val="1"/>
    <c:dispBlanksAs val="gap"/>
    <c:showDLblsOverMax val="1"/>
  </c:chart>
  <c:spPr>
    <a:noFill/>
    <a:ln w="9360">
      <a:solidFill>
        <a:srgbClr val="00B0F0"/>
      </a:solidFill>
      <a:round/>
    </a:ln>
  </c:spPr>
  <c:externalData r:id="rId1">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960" b="1" i="0" u="none" strike="noStrike" kern="1200" spc="0" baseline="0">
                <a:solidFill>
                  <a:sysClr val="windowText" lastClr="000000"/>
                </a:solidFill>
                <a:latin typeface="Arial" panose="020B0604020202020204" pitchFamily="34" charset="0"/>
                <a:ea typeface="+mn-ea"/>
                <a:cs typeface="Arial" panose="020B0604020202020204" pitchFamily="34" charset="0"/>
              </a:defRPr>
            </a:pPr>
            <a:r>
              <a:rPr lang="en-IN"/>
              <a:t>OCR Performance comparision</a:t>
            </a:r>
          </a:p>
        </c:rich>
      </c:tx>
      <c:overlay val="0"/>
      <c:spPr>
        <a:noFill/>
        <a:ln>
          <a:noFill/>
        </a:ln>
        <a:effectLst/>
      </c:spPr>
      <c:txPr>
        <a:bodyPr rot="0" spcFirstLastPara="1" vertOverflow="ellipsis" vert="horz" wrap="square" anchor="ctr" anchorCtr="1"/>
        <a:lstStyle/>
        <a:p>
          <a:pPr>
            <a:defRPr sz="960" b="1" i="0" u="none" strike="noStrike" kern="1200" spc="0" baseline="0">
              <a:solidFill>
                <a:sysClr val="windowText" lastClr="000000"/>
              </a:solidFill>
              <a:latin typeface="Arial" panose="020B0604020202020204" pitchFamily="34" charset="0"/>
              <a:ea typeface="+mn-ea"/>
              <a:cs typeface="Arial" panose="020B0604020202020204" pitchFamily="34" charset="0"/>
            </a:defRPr>
          </a:pPr>
          <a:endParaRPr lang="en-US"/>
        </a:p>
      </c:txPr>
    </c:title>
    <c:autoTitleDeleted val="0"/>
    <c:plotArea>
      <c:layout/>
      <c:barChart>
        <c:barDir val="col"/>
        <c:grouping val="clustered"/>
        <c:varyColors val="0"/>
        <c:ser>
          <c:idx val="0"/>
          <c:order val="0"/>
          <c:tx>
            <c:strRef>
              <c:f>DATA!$B$3</c:f>
              <c:strCache>
                <c:ptCount val="1"/>
                <c:pt idx="0">
                  <c:v>OCR READ</c:v>
                </c:pt>
              </c:strCache>
            </c:strRef>
          </c:tx>
          <c:spPr>
            <a:solidFill>
              <a:schemeClr val="accent1"/>
            </a:solidFill>
            <a:ln>
              <a:noFill/>
            </a:ln>
            <a:effectLst/>
          </c:spPr>
          <c:invertIfNegative val="0"/>
          <c:dLbls>
            <c:spPr>
              <a:noFill/>
              <a:ln>
                <a:noFill/>
              </a:ln>
              <a:effectLst/>
            </c:spPr>
            <c:txPr>
              <a:bodyPr rot="0" spcFirstLastPara="1" vertOverflow="ellipsis" vert="horz" wrap="square" anchor="ctr" anchorCtr="1"/>
              <a:lstStyle/>
              <a:p>
                <a:pPr>
                  <a:defRPr sz="700" b="1"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DATA!$C$2:$W$2</c:f>
              <c:numCache>
                <c:formatCode>mmm\-yy</c:formatCode>
                <c:ptCount val="13"/>
                <c:pt idx="0">
                  <c:v>45170</c:v>
                </c:pt>
                <c:pt idx="1">
                  <c:v>45200</c:v>
                </c:pt>
                <c:pt idx="2">
                  <c:v>45231</c:v>
                </c:pt>
                <c:pt idx="3">
                  <c:v>45261</c:v>
                </c:pt>
                <c:pt idx="4">
                  <c:v>45292</c:v>
                </c:pt>
                <c:pt idx="5">
                  <c:v>45323</c:v>
                </c:pt>
                <c:pt idx="6">
                  <c:v>45352</c:v>
                </c:pt>
                <c:pt idx="7">
                  <c:v>45383</c:v>
                </c:pt>
                <c:pt idx="8">
                  <c:v>45413</c:v>
                </c:pt>
                <c:pt idx="9">
                  <c:v>45444</c:v>
                </c:pt>
                <c:pt idx="10">
                  <c:v>45474</c:v>
                </c:pt>
                <c:pt idx="11">
                  <c:v>45505</c:v>
                </c:pt>
                <c:pt idx="12">
                  <c:v>45536</c:v>
                </c:pt>
              </c:numCache>
              <c:extLst/>
            </c:numRef>
          </c:cat>
          <c:val>
            <c:numRef>
              <c:f>DATA!$C$3:$W$3</c:f>
              <c:numCache>
                <c:formatCode>0%</c:formatCode>
                <c:ptCount val="13"/>
                <c:pt idx="0">
                  <c:v>0.83</c:v>
                </c:pt>
                <c:pt idx="1">
                  <c:v>0.85</c:v>
                </c:pt>
                <c:pt idx="2">
                  <c:v>0.87</c:v>
                </c:pt>
                <c:pt idx="3">
                  <c:v>0.89</c:v>
                </c:pt>
                <c:pt idx="4">
                  <c:v>0.91</c:v>
                </c:pt>
                <c:pt idx="5">
                  <c:v>0.92</c:v>
                </c:pt>
                <c:pt idx="6">
                  <c:v>0.93</c:v>
                </c:pt>
                <c:pt idx="7">
                  <c:v>0.94</c:v>
                </c:pt>
                <c:pt idx="8">
                  <c:v>0.94</c:v>
                </c:pt>
                <c:pt idx="9">
                  <c:v>0.94</c:v>
                </c:pt>
                <c:pt idx="10">
                  <c:v>0.95</c:v>
                </c:pt>
                <c:pt idx="11">
                  <c:v>0.96</c:v>
                </c:pt>
                <c:pt idx="12">
                  <c:v>0.96</c:v>
                </c:pt>
              </c:numCache>
              <c:extLst/>
            </c:numRef>
          </c:val>
          <c:extLst>
            <c:ext xmlns:c16="http://schemas.microsoft.com/office/drawing/2014/chart" uri="{C3380CC4-5D6E-409C-BE32-E72D297353CC}">
              <c16:uniqueId val="{00000000-CAE8-47D0-BD05-1363B11562AD}"/>
            </c:ext>
          </c:extLst>
        </c:ser>
        <c:ser>
          <c:idx val="1"/>
          <c:order val="1"/>
          <c:tx>
            <c:strRef>
              <c:f>DATA!$B$4</c:f>
              <c:strCache>
                <c:ptCount val="1"/>
                <c:pt idx="0">
                  <c:v>USER MODIFY</c:v>
                </c:pt>
              </c:strCache>
            </c:strRef>
          </c:tx>
          <c:spPr>
            <a:solidFill>
              <a:schemeClr val="accent2"/>
            </a:solidFill>
            <a:ln>
              <a:noFill/>
            </a:ln>
            <a:effectLst/>
          </c:spPr>
          <c:invertIfNegative val="0"/>
          <c:dLbls>
            <c:spPr>
              <a:noFill/>
              <a:ln>
                <a:noFill/>
              </a:ln>
              <a:effectLst/>
            </c:spPr>
            <c:txPr>
              <a:bodyPr rot="0" spcFirstLastPara="1" vertOverflow="ellipsis" vert="horz" wrap="square" anchor="ctr" anchorCtr="1"/>
              <a:lstStyle/>
              <a:p>
                <a:pPr>
                  <a:defRPr sz="700" b="1"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DATA!$C$2:$W$2</c:f>
              <c:numCache>
                <c:formatCode>mmm\-yy</c:formatCode>
                <c:ptCount val="13"/>
                <c:pt idx="0">
                  <c:v>45170</c:v>
                </c:pt>
                <c:pt idx="1">
                  <c:v>45200</c:v>
                </c:pt>
                <c:pt idx="2">
                  <c:v>45231</c:v>
                </c:pt>
                <c:pt idx="3">
                  <c:v>45261</c:v>
                </c:pt>
                <c:pt idx="4">
                  <c:v>45292</c:v>
                </c:pt>
                <c:pt idx="5">
                  <c:v>45323</c:v>
                </c:pt>
                <c:pt idx="6">
                  <c:v>45352</c:v>
                </c:pt>
                <c:pt idx="7">
                  <c:v>45383</c:v>
                </c:pt>
                <c:pt idx="8">
                  <c:v>45413</c:v>
                </c:pt>
                <c:pt idx="9">
                  <c:v>45444</c:v>
                </c:pt>
                <c:pt idx="10">
                  <c:v>45474</c:v>
                </c:pt>
                <c:pt idx="11">
                  <c:v>45505</c:v>
                </c:pt>
                <c:pt idx="12">
                  <c:v>45536</c:v>
                </c:pt>
              </c:numCache>
              <c:extLst/>
            </c:numRef>
          </c:cat>
          <c:val>
            <c:numRef>
              <c:f>DATA!$C$4:$W$4</c:f>
              <c:numCache>
                <c:formatCode>0%</c:formatCode>
                <c:ptCount val="13"/>
                <c:pt idx="0">
                  <c:v>7.0000000000000007E-2</c:v>
                </c:pt>
                <c:pt idx="1">
                  <c:v>0.06</c:v>
                </c:pt>
                <c:pt idx="2">
                  <c:v>0.05</c:v>
                </c:pt>
                <c:pt idx="3">
                  <c:v>0.05</c:v>
                </c:pt>
                <c:pt idx="4">
                  <c:v>0.04</c:v>
                </c:pt>
                <c:pt idx="5">
                  <c:v>0.03</c:v>
                </c:pt>
                <c:pt idx="6">
                  <c:v>0.03</c:v>
                </c:pt>
                <c:pt idx="7">
                  <c:v>0.02</c:v>
                </c:pt>
                <c:pt idx="8">
                  <c:v>0.02</c:v>
                </c:pt>
                <c:pt idx="9">
                  <c:v>0.02</c:v>
                </c:pt>
                <c:pt idx="10">
                  <c:v>0.02</c:v>
                </c:pt>
                <c:pt idx="11">
                  <c:v>0.01</c:v>
                </c:pt>
                <c:pt idx="12">
                  <c:v>0.01</c:v>
                </c:pt>
              </c:numCache>
              <c:extLst/>
            </c:numRef>
          </c:val>
          <c:extLst>
            <c:ext xmlns:c16="http://schemas.microsoft.com/office/drawing/2014/chart" uri="{C3380CC4-5D6E-409C-BE32-E72D297353CC}">
              <c16:uniqueId val="{00000001-CAE8-47D0-BD05-1363B11562AD}"/>
            </c:ext>
          </c:extLst>
        </c:ser>
        <c:ser>
          <c:idx val="2"/>
          <c:order val="2"/>
          <c:tx>
            <c:strRef>
              <c:f>DATA!$B$5</c:f>
              <c:strCache>
                <c:ptCount val="1"/>
                <c:pt idx="0">
                  <c:v>CHARACTER READ</c:v>
                </c:pt>
              </c:strCache>
            </c:strRef>
          </c:tx>
          <c:spPr>
            <a:solidFill>
              <a:schemeClr val="accent3"/>
            </a:solidFill>
            <a:ln>
              <a:noFill/>
            </a:ln>
            <a:effectLst/>
          </c:spPr>
          <c:invertIfNegative val="0"/>
          <c:dLbls>
            <c:dLbl>
              <c:idx val="0"/>
              <c:layout>
                <c:manualLayout>
                  <c:x val="1.0755578545957472E-3"/>
                  <c:y val="-4.3290043290044088E-3"/>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CAE8-47D0-BD05-1363B11562AD}"/>
                </c:ext>
              </c:extLst>
            </c:dLbl>
            <c:dLbl>
              <c:idx val="1"/>
              <c:layout>
                <c:manualLayout>
                  <c:x val="3.2266735637872909E-3"/>
                  <c:y val="-4.3290043290044088E-3"/>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CAE8-47D0-BD05-1363B11562AD}"/>
                </c:ext>
              </c:extLst>
            </c:dLbl>
            <c:dLbl>
              <c:idx val="6"/>
              <c:layout>
                <c:manualLayout>
                  <c:x val="5.3777892729787065E-3"/>
                  <c:y val="8.6580086580085782E-3"/>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CAE8-47D0-BD05-1363B11562AD}"/>
                </c:ext>
              </c:extLst>
            </c:dLbl>
            <c:dLbl>
              <c:idx val="7"/>
              <c:layout>
                <c:manualLayout>
                  <c:x val="0"/>
                  <c:y val="8.6580086580085782E-3"/>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CAE8-47D0-BD05-1363B11562AD}"/>
                </c:ext>
              </c:extLst>
            </c:dLbl>
            <c:dLbl>
              <c:idx val="8"/>
              <c:layout>
                <c:manualLayout>
                  <c:x val="1.0755578545957571E-2"/>
                  <c:y val="8.6580086580085782E-3"/>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CAE8-47D0-BD05-1363B11562AD}"/>
                </c:ext>
              </c:extLst>
            </c:dLbl>
            <c:dLbl>
              <c:idx val="9"/>
              <c:layout>
                <c:manualLayout>
                  <c:x val="4.302231418383028E-3"/>
                  <c:y val="8.6580086580085782E-3"/>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CAE8-47D0-BD05-1363B11562AD}"/>
                </c:ext>
              </c:extLst>
            </c:dLbl>
            <c:dLbl>
              <c:idx val="10"/>
              <c:layout>
                <c:manualLayout>
                  <c:x val="3.2266735637872714E-3"/>
                  <c:y val="8.6580086580085782E-3"/>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CAE8-47D0-BD05-1363B11562AD}"/>
                </c:ext>
              </c:extLst>
            </c:dLbl>
            <c:dLbl>
              <c:idx val="11"/>
              <c:layout>
                <c:manualLayout>
                  <c:x val="2.151115709191514E-3"/>
                  <c:y val="8.6580086580085782E-3"/>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CAE8-47D0-BD05-1363B11562AD}"/>
                </c:ext>
              </c:extLst>
            </c:dLbl>
            <c:dLbl>
              <c:idx val="12"/>
              <c:layout>
                <c:manualLayout>
                  <c:x val="2.151115709191514E-3"/>
                  <c:y val="8.6580086580085782E-3"/>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CAE8-47D0-BD05-1363B11562AD}"/>
                </c:ext>
              </c:extLst>
            </c:dLbl>
            <c:spPr>
              <a:noFill/>
              <a:ln>
                <a:noFill/>
              </a:ln>
              <a:effectLst/>
            </c:spPr>
            <c:txPr>
              <a:bodyPr rot="0" spcFirstLastPara="1" vertOverflow="ellipsis" vert="horz" wrap="square" anchor="ctr" anchorCtr="1"/>
              <a:lstStyle/>
              <a:p>
                <a:pPr>
                  <a:defRPr sz="700" b="1"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DATA!$C$2:$W$2</c:f>
              <c:numCache>
                <c:formatCode>mmm\-yy</c:formatCode>
                <c:ptCount val="13"/>
                <c:pt idx="0">
                  <c:v>45170</c:v>
                </c:pt>
                <c:pt idx="1">
                  <c:v>45200</c:v>
                </c:pt>
                <c:pt idx="2">
                  <c:v>45231</c:v>
                </c:pt>
                <c:pt idx="3">
                  <c:v>45261</c:v>
                </c:pt>
                <c:pt idx="4">
                  <c:v>45292</c:v>
                </c:pt>
                <c:pt idx="5">
                  <c:v>45323</c:v>
                </c:pt>
                <c:pt idx="6">
                  <c:v>45352</c:v>
                </c:pt>
                <c:pt idx="7">
                  <c:v>45383</c:v>
                </c:pt>
                <c:pt idx="8">
                  <c:v>45413</c:v>
                </c:pt>
                <c:pt idx="9">
                  <c:v>45444</c:v>
                </c:pt>
                <c:pt idx="10">
                  <c:v>45474</c:v>
                </c:pt>
                <c:pt idx="11">
                  <c:v>45505</c:v>
                </c:pt>
                <c:pt idx="12">
                  <c:v>45536</c:v>
                </c:pt>
              </c:numCache>
              <c:extLst/>
            </c:numRef>
          </c:cat>
          <c:val>
            <c:numRef>
              <c:f>DATA!$C$5:$W$5</c:f>
              <c:numCache>
                <c:formatCode>0%</c:formatCode>
                <c:ptCount val="13"/>
                <c:pt idx="0">
                  <c:v>0.01</c:v>
                </c:pt>
                <c:pt idx="1">
                  <c:v>0.01</c:v>
                </c:pt>
                <c:pt idx="2">
                  <c:v>0.01</c:v>
                </c:pt>
                <c:pt idx="3">
                  <c:v>0.01</c:v>
                </c:pt>
                <c:pt idx="4">
                  <c:v>0</c:v>
                </c:pt>
                <c:pt idx="5">
                  <c:v>0</c:v>
                </c:pt>
                <c:pt idx="6">
                  <c:v>0</c:v>
                </c:pt>
                <c:pt idx="7">
                  <c:v>0</c:v>
                </c:pt>
                <c:pt idx="8">
                  <c:v>0</c:v>
                </c:pt>
                <c:pt idx="9">
                  <c:v>0</c:v>
                </c:pt>
                <c:pt idx="10">
                  <c:v>0</c:v>
                </c:pt>
                <c:pt idx="11">
                  <c:v>0</c:v>
                </c:pt>
                <c:pt idx="12">
                  <c:v>0</c:v>
                </c:pt>
              </c:numCache>
              <c:extLst/>
            </c:numRef>
          </c:val>
          <c:extLst>
            <c:ext xmlns:c16="http://schemas.microsoft.com/office/drawing/2014/chart" uri="{C3380CC4-5D6E-409C-BE32-E72D297353CC}">
              <c16:uniqueId val="{0000000B-CAE8-47D0-BD05-1363B11562AD}"/>
            </c:ext>
          </c:extLst>
        </c:ser>
        <c:ser>
          <c:idx val="3"/>
          <c:order val="3"/>
          <c:tx>
            <c:strRef>
              <c:f>DATA!$B$6</c:f>
              <c:strCache>
                <c:ptCount val="1"/>
                <c:pt idx="0">
                  <c:v>TIMED OUT</c:v>
                </c:pt>
              </c:strCache>
            </c:strRef>
          </c:tx>
          <c:spPr>
            <a:solidFill>
              <a:schemeClr val="accent4"/>
            </a:solidFill>
            <a:ln>
              <a:noFill/>
            </a:ln>
            <a:effectLst/>
          </c:spPr>
          <c:invertIfNegative val="0"/>
          <c:dLbls>
            <c:dLbl>
              <c:idx val="0"/>
              <c:layout>
                <c:manualLayout>
                  <c:x val="7.5289049821702994E-3"/>
                  <c:y val="4.329004329004329E-3"/>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CAE8-47D0-BD05-1363B11562AD}"/>
                </c:ext>
              </c:extLst>
            </c:dLbl>
            <c:dLbl>
              <c:idx val="1"/>
              <c:layout>
                <c:manualLayout>
                  <c:x val="4.302231418383028E-3"/>
                  <c:y val="0"/>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D-CAE8-47D0-BD05-1363B11562AD}"/>
                </c:ext>
              </c:extLst>
            </c:dLbl>
            <c:dLbl>
              <c:idx val="6"/>
              <c:layout>
                <c:manualLayout>
                  <c:x val="7.5289049821702994E-3"/>
                  <c:y val="4.329004329004329E-3"/>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E-CAE8-47D0-BD05-1363B11562AD}"/>
                </c:ext>
              </c:extLst>
            </c:dLbl>
            <c:dLbl>
              <c:idx val="7"/>
              <c:layout>
                <c:manualLayout>
                  <c:x val="6.4533471275744639E-3"/>
                  <c:y val="4.329004329004329E-3"/>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F-CAE8-47D0-BD05-1363B11562AD}"/>
                </c:ext>
              </c:extLst>
            </c:dLbl>
            <c:dLbl>
              <c:idx val="8"/>
              <c:layout>
                <c:manualLayout>
                  <c:x val="9.6800206913617345E-3"/>
                  <c:y val="4.329004329004329E-3"/>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0-CAE8-47D0-BD05-1363B11562AD}"/>
                </c:ext>
              </c:extLst>
            </c:dLbl>
            <c:dLbl>
              <c:idx val="9"/>
              <c:layout>
                <c:manualLayout>
                  <c:x val="1.0755578545957413E-2"/>
                  <c:y val="4.329004329004329E-3"/>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1-CAE8-47D0-BD05-1363B11562AD}"/>
                </c:ext>
              </c:extLst>
            </c:dLbl>
            <c:dLbl>
              <c:idx val="10"/>
              <c:layout>
                <c:manualLayout>
                  <c:x val="1.183113640055317E-2"/>
                  <c:y val="0"/>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2-CAE8-47D0-BD05-1363B11562AD}"/>
                </c:ext>
              </c:extLst>
            </c:dLbl>
            <c:dLbl>
              <c:idx val="11"/>
              <c:layout>
                <c:manualLayout>
                  <c:x val="2.151115709191514E-3"/>
                  <c:y val="0"/>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3-CAE8-47D0-BD05-1363B11562AD}"/>
                </c:ext>
              </c:extLst>
            </c:dLbl>
            <c:dLbl>
              <c:idx val="12"/>
              <c:layout>
                <c:manualLayout>
                  <c:x val="7.5289049821702994E-3"/>
                  <c:y val="0"/>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4-CAE8-47D0-BD05-1363B11562AD}"/>
                </c:ext>
              </c:extLst>
            </c:dLbl>
            <c:spPr>
              <a:noFill/>
              <a:ln>
                <a:noFill/>
              </a:ln>
              <a:effectLst/>
            </c:spPr>
            <c:txPr>
              <a:bodyPr rot="0" spcFirstLastPara="1" vertOverflow="ellipsis" vert="horz" wrap="square" anchor="ctr" anchorCtr="1"/>
              <a:lstStyle/>
              <a:p>
                <a:pPr>
                  <a:defRPr sz="700" b="1"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DATA!$C$2:$W$2</c:f>
              <c:numCache>
                <c:formatCode>mmm\-yy</c:formatCode>
                <c:ptCount val="13"/>
                <c:pt idx="0">
                  <c:v>45170</c:v>
                </c:pt>
                <c:pt idx="1">
                  <c:v>45200</c:v>
                </c:pt>
                <c:pt idx="2">
                  <c:v>45231</c:v>
                </c:pt>
                <c:pt idx="3">
                  <c:v>45261</c:v>
                </c:pt>
                <c:pt idx="4">
                  <c:v>45292</c:v>
                </c:pt>
                <c:pt idx="5">
                  <c:v>45323</c:v>
                </c:pt>
                <c:pt idx="6">
                  <c:v>45352</c:v>
                </c:pt>
                <c:pt idx="7">
                  <c:v>45383</c:v>
                </c:pt>
                <c:pt idx="8">
                  <c:v>45413</c:v>
                </c:pt>
                <c:pt idx="9">
                  <c:v>45444</c:v>
                </c:pt>
                <c:pt idx="10">
                  <c:v>45474</c:v>
                </c:pt>
                <c:pt idx="11">
                  <c:v>45505</c:v>
                </c:pt>
                <c:pt idx="12">
                  <c:v>45536</c:v>
                </c:pt>
              </c:numCache>
              <c:extLst/>
            </c:numRef>
          </c:cat>
          <c:val>
            <c:numRef>
              <c:f>DATA!$C$6:$W$6</c:f>
              <c:numCache>
                <c:formatCode>0%</c:formatCode>
                <c:ptCount val="13"/>
                <c:pt idx="0">
                  <c:v>0.09</c:v>
                </c:pt>
                <c:pt idx="1">
                  <c:v>0.08</c:v>
                </c:pt>
                <c:pt idx="2">
                  <c:v>7.0000000000000007E-2</c:v>
                </c:pt>
                <c:pt idx="3">
                  <c:v>0.05</c:v>
                </c:pt>
                <c:pt idx="4">
                  <c:v>0.05</c:v>
                </c:pt>
                <c:pt idx="5">
                  <c:v>0.05</c:v>
                </c:pt>
                <c:pt idx="6">
                  <c:v>0.04</c:v>
                </c:pt>
                <c:pt idx="7">
                  <c:v>0.04</c:v>
                </c:pt>
                <c:pt idx="8">
                  <c:v>0.04</c:v>
                </c:pt>
                <c:pt idx="9">
                  <c:v>0.04</c:v>
                </c:pt>
                <c:pt idx="10">
                  <c:v>0.03</c:v>
                </c:pt>
                <c:pt idx="11">
                  <c:v>0.03</c:v>
                </c:pt>
                <c:pt idx="12">
                  <c:v>0.03</c:v>
                </c:pt>
              </c:numCache>
              <c:extLst/>
            </c:numRef>
          </c:val>
          <c:extLst>
            <c:ext xmlns:c16="http://schemas.microsoft.com/office/drawing/2014/chart" uri="{C3380CC4-5D6E-409C-BE32-E72D297353CC}">
              <c16:uniqueId val="{00000015-CAE8-47D0-BD05-1363B11562AD}"/>
            </c:ext>
          </c:extLst>
        </c:ser>
        <c:dLbls>
          <c:dLblPos val="outEnd"/>
          <c:showLegendKey val="0"/>
          <c:showVal val="1"/>
          <c:showCatName val="0"/>
          <c:showSerName val="0"/>
          <c:showPercent val="0"/>
          <c:showBubbleSize val="0"/>
        </c:dLbls>
        <c:gapWidth val="219"/>
        <c:overlap val="-27"/>
        <c:axId val="1655988383"/>
        <c:axId val="1655989215"/>
      </c:barChart>
      <c:dateAx>
        <c:axId val="1655988383"/>
        <c:scaling>
          <c:orientation val="minMax"/>
        </c:scaling>
        <c:delete val="0"/>
        <c:axPos val="b"/>
        <c:numFmt formatCode="mmm\-yy" sourceLinked="1"/>
        <c:majorTickMark val="out"/>
        <c:minorTickMark val="none"/>
        <c:tickLblPos val="nextTo"/>
        <c:spPr>
          <a:noFill/>
          <a:ln w="9525" cap="flat" cmpd="sng" algn="ctr">
            <a:solidFill>
              <a:sysClr val="windowText" lastClr="000000"/>
            </a:solidFill>
            <a:round/>
          </a:ln>
          <a:effectLst/>
        </c:spPr>
        <c:txPr>
          <a:bodyPr rot="-60000000" spcFirstLastPara="1" vertOverflow="ellipsis" vert="horz" wrap="square" anchor="ctr" anchorCtr="1"/>
          <a:lstStyle/>
          <a:p>
            <a:pPr>
              <a:defRPr sz="800" b="1"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crossAx val="1655989215"/>
        <c:crosses val="autoZero"/>
        <c:auto val="1"/>
        <c:lblOffset val="100"/>
        <c:baseTimeUnit val="months"/>
      </c:dateAx>
      <c:valAx>
        <c:axId val="1655989215"/>
        <c:scaling>
          <c:orientation val="minMax"/>
        </c:scaling>
        <c:delete val="1"/>
        <c:axPos val="l"/>
        <c:numFmt formatCode="0%" sourceLinked="1"/>
        <c:majorTickMark val="none"/>
        <c:minorTickMark val="none"/>
        <c:tickLblPos val="nextTo"/>
        <c:crossAx val="1655988383"/>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800" b="1"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legend>
    <c:plotVisOnly val="1"/>
    <c:dispBlanksAs val="gap"/>
    <c:showDLblsOverMax val="0"/>
  </c:chart>
  <c:spPr>
    <a:solidFill>
      <a:schemeClr val="bg1"/>
    </a:solidFill>
    <a:ln w="9525" cap="flat" cmpd="sng" algn="ctr">
      <a:solidFill>
        <a:sysClr val="windowText" lastClr="000000"/>
      </a:solidFill>
      <a:round/>
    </a:ln>
    <a:effectLst/>
  </c:spPr>
  <c:txPr>
    <a:bodyPr/>
    <a:lstStyle/>
    <a:p>
      <a:pPr>
        <a:defRPr sz="800" b="1">
          <a:solidFill>
            <a:sysClr val="windowText" lastClr="000000"/>
          </a:solidFill>
          <a:latin typeface="Arial" panose="020B0604020202020204" pitchFamily="34" charset="0"/>
          <a:cs typeface="Arial" panose="020B0604020202020204" pitchFamily="34" charset="0"/>
        </a:defRPr>
      </a:pPr>
      <a:endParaRPr lang="en-US"/>
    </a:p>
  </c:txPr>
  <c:externalData r:id="rId3">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960" b="1" i="0" u="none" strike="noStrike" kern="1200" spc="0" baseline="0">
                <a:solidFill>
                  <a:sysClr val="windowText" lastClr="000000"/>
                </a:solidFill>
                <a:latin typeface="Arial" panose="020B0604020202020204" pitchFamily="34" charset="0"/>
                <a:ea typeface="+mn-ea"/>
                <a:cs typeface="Arial" panose="020B0604020202020204" pitchFamily="34" charset="0"/>
              </a:defRPr>
            </a:pPr>
            <a:r>
              <a:rPr lang="en-IN"/>
              <a:t>Average Billing (Defective Meters) % </a:t>
            </a:r>
          </a:p>
        </c:rich>
      </c:tx>
      <c:overlay val="0"/>
      <c:spPr>
        <a:noFill/>
        <a:ln>
          <a:noFill/>
        </a:ln>
        <a:effectLst/>
      </c:spPr>
      <c:txPr>
        <a:bodyPr rot="0" spcFirstLastPara="1" vertOverflow="ellipsis" vert="horz" wrap="square" anchor="ctr" anchorCtr="1"/>
        <a:lstStyle/>
        <a:p>
          <a:pPr>
            <a:defRPr sz="960" b="1" i="0" u="none" strike="noStrike" kern="1200" spc="0" baseline="0">
              <a:solidFill>
                <a:sysClr val="windowText" lastClr="000000"/>
              </a:solidFill>
              <a:latin typeface="Arial" panose="020B0604020202020204" pitchFamily="34" charset="0"/>
              <a:ea typeface="+mn-ea"/>
              <a:cs typeface="Arial" panose="020B0604020202020204" pitchFamily="34" charset="0"/>
            </a:defRPr>
          </a:pPr>
          <a:endParaRPr lang="en-US"/>
        </a:p>
      </c:txPr>
    </c:title>
    <c:autoTitleDeleted val="0"/>
    <c:plotArea>
      <c:layout/>
      <c:lineChart>
        <c:grouping val="standard"/>
        <c:varyColors val="0"/>
        <c:ser>
          <c:idx val="0"/>
          <c:order val="0"/>
          <c:tx>
            <c:strRef>
              <c:f>'LT Provisional Graph'!$G$41</c:f>
              <c:strCache>
                <c:ptCount val="1"/>
                <c:pt idx="0">
                  <c:v>Last Year </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dLbls>
            <c:spPr>
              <a:noFill/>
              <a:ln>
                <a:noFill/>
              </a:ln>
              <a:effectLst/>
            </c:spPr>
            <c:txPr>
              <a:bodyPr rot="0" spcFirstLastPara="1" vertOverflow="ellipsis" vert="horz" wrap="square" anchor="ctr" anchorCtr="1"/>
              <a:lstStyle/>
              <a:p>
                <a:pPr>
                  <a:defRPr sz="800" b="1"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'LT Provisional Graph'!$F$42:$F$62</c:f>
              <c:strCache>
                <c:ptCount val="9"/>
                <c:pt idx="0">
                  <c:v>Jan</c:v>
                </c:pt>
                <c:pt idx="1">
                  <c:v>Feb</c:v>
                </c:pt>
                <c:pt idx="2">
                  <c:v>Mar</c:v>
                </c:pt>
                <c:pt idx="3">
                  <c:v>Apr</c:v>
                </c:pt>
                <c:pt idx="4">
                  <c:v>May</c:v>
                </c:pt>
                <c:pt idx="5">
                  <c:v>Jun</c:v>
                </c:pt>
                <c:pt idx="6">
                  <c:v>July</c:v>
                </c:pt>
                <c:pt idx="7">
                  <c:v>Aug</c:v>
                </c:pt>
                <c:pt idx="8">
                  <c:v>Sep</c:v>
                </c:pt>
              </c:strCache>
              <c:extLst/>
            </c:strRef>
          </c:cat>
          <c:val>
            <c:numRef>
              <c:f>'LT Provisional Graph'!$G$42:$G$62</c:f>
              <c:numCache>
                <c:formatCode>0.00%</c:formatCode>
                <c:ptCount val="9"/>
                <c:pt idx="0">
                  <c:v>0.13739999999999999</c:v>
                </c:pt>
                <c:pt idx="1">
                  <c:v>0.1236</c:v>
                </c:pt>
                <c:pt idx="2">
                  <c:v>0.1159</c:v>
                </c:pt>
                <c:pt idx="3">
                  <c:v>0.1019</c:v>
                </c:pt>
                <c:pt idx="4">
                  <c:v>9.1999999999999998E-2</c:v>
                </c:pt>
                <c:pt idx="5">
                  <c:v>7.4499999999999997E-2</c:v>
                </c:pt>
                <c:pt idx="6">
                  <c:v>6.5600000000000006E-2</c:v>
                </c:pt>
                <c:pt idx="7">
                  <c:v>5.2600000000000001E-2</c:v>
                </c:pt>
                <c:pt idx="8">
                  <c:v>4.6100000000000002E-2</c:v>
                </c:pt>
              </c:numCache>
              <c:extLst/>
            </c:numRef>
          </c:val>
          <c:smooth val="1"/>
          <c:extLst>
            <c:ext xmlns:c16="http://schemas.microsoft.com/office/drawing/2014/chart" uri="{C3380CC4-5D6E-409C-BE32-E72D297353CC}">
              <c16:uniqueId val="{00000000-F0D4-4C6B-85A4-3D4CFE02607C}"/>
            </c:ext>
          </c:extLst>
        </c:ser>
        <c:ser>
          <c:idx val="1"/>
          <c:order val="1"/>
          <c:tx>
            <c:strRef>
              <c:f>'LT Provisional Graph'!$H$41</c:f>
              <c:strCache>
                <c:ptCount val="1"/>
                <c:pt idx="0">
                  <c:v>Current Year</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dLbls>
            <c:spPr>
              <a:noFill/>
              <a:ln>
                <a:noFill/>
              </a:ln>
              <a:effectLst/>
            </c:spPr>
            <c:txPr>
              <a:bodyPr rot="0" spcFirstLastPara="1" vertOverflow="ellipsis" vert="horz" wrap="square" anchor="ctr" anchorCtr="1"/>
              <a:lstStyle/>
              <a:p>
                <a:pPr>
                  <a:defRPr sz="800" b="1"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'LT Provisional Graph'!$F$42:$F$62</c:f>
              <c:strCache>
                <c:ptCount val="9"/>
                <c:pt idx="0">
                  <c:v>Jan</c:v>
                </c:pt>
                <c:pt idx="1">
                  <c:v>Feb</c:v>
                </c:pt>
                <c:pt idx="2">
                  <c:v>Mar</c:v>
                </c:pt>
                <c:pt idx="3">
                  <c:v>Apr</c:v>
                </c:pt>
                <c:pt idx="4">
                  <c:v>May</c:v>
                </c:pt>
                <c:pt idx="5">
                  <c:v>Jun</c:v>
                </c:pt>
                <c:pt idx="6">
                  <c:v>July</c:v>
                </c:pt>
                <c:pt idx="7">
                  <c:v>Aug</c:v>
                </c:pt>
                <c:pt idx="8">
                  <c:v>Sep</c:v>
                </c:pt>
              </c:strCache>
              <c:extLst/>
            </c:strRef>
          </c:cat>
          <c:val>
            <c:numRef>
              <c:f>'LT Provisional Graph'!$H$42:$H$62</c:f>
              <c:numCache>
                <c:formatCode>0.00%</c:formatCode>
                <c:ptCount val="9"/>
                <c:pt idx="0">
                  <c:v>2.5499999999999998E-2</c:v>
                </c:pt>
                <c:pt idx="1">
                  <c:v>2.2700000000000001E-2</c:v>
                </c:pt>
                <c:pt idx="2">
                  <c:v>2.1000000000000001E-2</c:v>
                </c:pt>
                <c:pt idx="3">
                  <c:v>2.06E-2</c:v>
                </c:pt>
                <c:pt idx="4">
                  <c:v>2.0899999999999998E-2</c:v>
                </c:pt>
                <c:pt idx="5">
                  <c:v>2.0899999999999998E-2</c:v>
                </c:pt>
                <c:pt idx="6">
                  <c:v>2.06E-2</c:v>
                </c:pt>
                <c:pt idx="7">
                  <c:v>1.9099999999999999E-2</c:v>
                </c:pt>
                <c:pt idx="8">
                  <c:v>1.78E-2</c:v>
                </c:pt>
              </c:numCache>
              <c:extLst/>
            </c:numRef>
          </c:val>
          <c:smooth val="1"/>
          <c:extLst>
            <c:ext xmlns:c16="http://schemas.microsoft.com/office/drawing/2014/chart" uri="{C3380CC4-5D6E-409C-BE32-E72D297353CC}">
              <c16:uniqueId val="{00000001-F0D4-4C6B-85A4-3D4CFE02607C}"/>
            </c:ext>
          </c:extLst>
        </c:ser>
        <c:dLbls>
          <c:dLblPos val="t"/>
          <c:showLegendKey val="0"/>
          <c:showVal val="1"/>
          <c:showCatName val="0"/>
          <c:showSerName val="0"/>
          <c:showPercent val="0"/>
          <c:showBubbleSize val="0"/>
        </c:dLbls>
        <c:marker val="1"/>
        <c:smooth val="0"/>
        <c:axId val="1412240848"/>
        <c:axId val="1412235440"/>
      </c:lineChart>
      <c:catAx>
        <c:axId val="1412240848"/>
        <c:scaling>
          <c:orientation val="minMax"/>
        </c:scaling>
        <c:delete val="0"/>
        <c:axPos val="b"/>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800" b="1"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crossAx val="1412235440"/>
        <c:crosses val="autoZero"/>
        <c:auto val="1"/>
        <c:lblAlgn val="ctr"/>
        <c:lblOffset val="100"/>
        <c:noMultiLvlLbl val="0"/>
      </c:catAx>
      <c:valAx>
        <c:axId val="1412235440"/>
        <c:scaling>
          <c:orientation val="minMax"/>
          <c:min val="0"/>
        </c:scaling>
        <c:delete val="0"/>
        <c:axPos val="l"/>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800" b="1"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crossAx val="1412240848"/>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800" b="1"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legend>
    <c:plotVisOnly val="1"/>
    <c:dispBlanksAs val="gap"/>
    <c:showDLblsOverMax val="0"/>
  </c:chart>
  <c:spPr>
    <a:solidFill>
      <a:srgbClr val="C8C8FF"/>
    </a:solidFill>
    <a:ln w="9525" cap="flat" cmpd="sng" algn="ctr">
      <a:solidFill>
        <a:sysClr val="windowText" lastClr="000000"/>
      </a:solidFill>
      <a:round/>
    </a:ln>
    <a:effectLst/>
  </c:spPr>
  <c:txPr>
    <a:bodyPr/>
    <a:lstStyle/>
    <a:p>
      <a:pPr>
        <a:defRPr sz="800" b="1">
          <a:solidFill>
            <a:sysClr val="windowText" lastClr="000000"/>
          </a:solidFill>
          <a:latin typeface="Arial" panose="020B0604020202020204" pitchFamily="34" charset="0"/>
          <a:cs typeface="Arial" panose="020B0604020202020204" pitchFamily="34" charset="0"/>
        </a:defRPr>
      </a:pPr>
      <a:endParaRPr lang="en-US"/>
    </a:p>
  </c:txPr>
  <c:externalData r:id="rId3">
    <c:autoUpdate val="0"/>
  </c:externalData>
  <c:userShapes r:id="rId4"/>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960" b="1" i="0" u="none" strike="noStrike" kern="1200" spc="0" baseline="0">
                <a:solidFill>
                  <a:sysClr val="windowText" lastClr="000000"/>
                </a:solidFill>
                <a:latin typeface="Arial" panose="020B0604020202020204" pitchFamily="34" charset="0"/>
                <a:ea typeface="+mn-ea"/>
                <a:cs typeface="Arial" panose="020B0604020202020204" pitchFamily="34" charset="0"/>
              </a:defRPr>
            </a:pPr>
            <a:r>
              <a:rPr lang="en-IN"/>
              <a:t>Provisional Billing % </a:t>
            </a:r>
          </a:p>
        </c:rich>
      </c:tx>
      <c:overlay val="0"/>
      <c:spPr>
        <a:noFill/>
        <a:ln>
          <a:noFill/>
        </a:ln>
        <a:effectLst/>
      </c:spPr>
      <c:txPr>
        <a:bodyPr rot="0" spcFirstLastPara="1" vertOverflow="ellipsis" vert="horz" wrap="square" anchor="ctr" anchorCtr="1"/>
        <a:lstStyle/>
        <a:p>
          <a:pPr>
            <a:defRPr sz="960" b="1" i="0" u="none" strike="noStrike" kern="1200" spc="0" baseline="0">
              <a:solidFill>
                <a:sysClr val="windowText" lastClr="000000"/>
              </a:solidFill>
              <a:latin typeface="Arial" panose="020B0604020202020204" pitchFamily="34" charset="0"/>
              <a:ea typeface="+mn-ea"/>
              <a:cs typeface="Arial" panose="020B0604020202020204" pitchFamily="34" charset="0"/>
            </a:defRPr>
          </a:pPr>
          <a:endParaRPr lang="en-US"/>
        </a:p>
      </c:txPr>
    </c:title>
    <c:autoTitleDeleted val="0"/>
    <c:plotArea>
      <c:layout/>
      <c:lineChart>
        <c:grouping val="standard"/>
        <c:varyColors val="0"/>
        <c:ser>
          <c:idx val="0"/>
          <c:order val="0"/>
          <c:tx>
            <c:strRef>
              <c:f>'LT Provisional Graph'!$L$41</c:f>
              <c:strCache>
                <c:ptCount val="1"/>
                <c:pt idx="0">
                  <c:v>Last Year </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dLbls>
            <c:spPr>
              <a:noFill/>
              <a:ln>
                <a:noFill/>
              </a:ln>
              <a:effectLst/>
            </c:spPr>
            <c:txPr>
              <a:bodyPr rot="0" spcFirstLastPara="1" vertOverflow="ellipsis" vert="horz" wrap="square" anchor="ctr" anchorCtr="1"/>
              <a:lstStyle/>
              <a:p>
                <a:pPr>
                  <a:defRPr sz="800" b="1"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'LT Provisional Graph'!$K$42:$K$62</c:f>
              <c:strCache>
                <c:ptCount val="9"/>
                <c:pt idx="0">
                  <c:v>Jan</c:v>
                </c:pt>
                <c:pt idx="1">
                  <c:v>Feb</c:v>
                </c:pt>
                <c:pt idx="2">
                  <c:v>Mar</c:v>
                </c:pt>
                <c:pt idx="3">
                  <c:v>Apr</c:v>
                </c:pt>
                <c:pt idx="4">
                  <c:v>May</c:v>
                </c:pt>
                <c:pt idx="5">
                  <c:v>Jun</c:v>
                </c:pt>
                <c:pt idx="6">
                  <c:v>July</c:v>
                </c:pt>
                <c:pt idx="7">
                  <c:v>Aug</c:v>
                </c:pt>
                <c:pt idx="8">
                  <c:v>Sep</c:v>
                </c:pt>
              </c:strCache>
              <c:extLst/>
            </c:strRef>
          </c:cat>
          <c:val>
            <c:numRef>
              <c:f>'LT Provisional Graph'!$L$42:$L$62</c:f>
              <c:numCache>
                <c:formatCode>0.00%</c:formatCode>
                <c:ptCount val="9"/>
                <c:pt idx="0">
                  <c:v>6.6400000000000001E-2</c:v>
                </c:pt>
                <c:pt idx="1">
                  <c:v>6.4399999999999999E-2</c:v>
                </c:pt>
                <c:pt idx="2">
                  <c:v>5.6099999999999997E-2</c:v>
                </c:pt>
                <c:pt idx="3">
                  <c:v>5.8400000000000001E-2</c:v>
                </c:pt>
                <c:pt idx="4">
                  <c:v>4.8599999999999997E-2</c:v>
                </c:pt>
                <c:pt idx="5">
                  <c:v>4.7100000000000003E-2</c:v>
                </c:pt>
                <c:pt idx="6">
                  <c:v>3.6299999999999999E-2</c:v>
                </c:pt>
                <c:pt idx="7">
                  <c:v>3.3700000000000001E-2</c:v>
                </c:pt>
                <c:pt idx="8">
                  <c:v>2.9100000000000001E-2</c:v>
                </c:pt>
              </c:numCache>
              <c:extLst/>
            </c:numRef>
          </c:val>
          <c:smooth val="1"/>
          <c:extLst>
            <c:ext xmlns:c16="http://schemas.microsoft.com/office/drawing/2014/chart" uri="{C3380CC4-5D6E-409C-BE32-E72D297353CC}">
              <c16:uniqueId val="{00000000-F1D5-4149-AD12-60E1B8356777}"/>
            </c:ext>
          </c:extLst>
        </c:ser>
        <c:ser>
          <c:idx val="1"/>
          <c:order val="1"/>
          <c:tx>
            <c:strRef>
              <c:f>'LT Provisional Graph'!$M$41</c:f>
              <c:strCache>
                <c:ptCount val="1"/>
                <c:pt idx="0">
                  <c:v>Current Year</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dLbls>
            <c:spPr>
              <a:noFill/>
              <a:ln>
                <a:noFill/>
              </a:ln>
              <a:effectLst/>
            </c:spPr>
            <c:txPr>
              <a:bodyPr rot="0" spcFirstLastPara="1" vertOverflow="ellipsis" vert="horz" wrap="square" anchor="ctr" anchorCtr="1"/>
              <a:lstStyle/>
              <a:p>
                <a:pPr>
                  <a:defRPr sz="800" b="1"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'LT Provisional Graph'!$K$42:$K$62</c:f>
              <c:strCache>
                <c:ptCount val="9"/>
                <c:pt idx="0">
                  <c:v>Jan</c:v>
                </c:pt>
                <c:pt idx="1">
                  <c:v>Feb</c:v>
                </c:pt>
                <c:pt idx="2">
                  <c:v>Mar</c:v>
                </c:pt>
                <c:pt idx="3">
                  <c:v>Apr</c:v>
                </c:pt>
                <c:pt idx="4">
                  <c:v>May</c:v>
                </c:pt>
                <c:pt idx="5">
                  <c:v>Jun</c:v>
                </c:pt>
                <c:pt idx="6">
                  <c:v>July</c:v>
                </c:pt>
                <c:pt idx="7">
                  <c:v>Aug</c:v>
                </c:pt>
                <c:pt idx="8">
                  <c:v>Sep</c:v>
                </c:pt>
              </c:strCache>
              <c:extLst/>
            </c:strRef>
          </c:cat>
          <c:val>
            <c:numRef>
              <c:f>'LT Provisional Graph'!$M$42:$M$62</c:f>
              <c:numCache>
                <c:formatCode>0.00%</c:formatCode>
                <c:ptCount val="9"/>
                <c:pt idx="0">
                  <c:v>1.38E-2</c:v>
                </c:pt>
                <c:pt idx="1">
                  <c:v>1.24E-2</c:v>
                </c:pt>
                <c:pt idx="2">
                  <c:v>1.2699999999999999E-2</c:v>
                </c:pt>
                <c:pt idx="3">
                  <c:v>1.4500000000000001E-2</c:v>
                </c:pt>
                <c:pt idx="4">
                  <c:v>1.46E-2</c:v>
                </c:pt>
                <c:pt idx="5">
                  <c:v>1.8599999999999998E-2</c:v>
                </c:pt>
                <c:pt idx="6">
                  <c:v>1.2999999999999999E-2</c:v>
                </c:pt>
                <c:pt idx="7">
                  <c:v>1.38E-2</c:v>
                </c:pt>
                <c:pt idx="8">
                  <c:v>1.41E-2</c:v>
                </c:pt>
              </c:numCache>
              <c:extLst/>
            </c:numRef>
          </c:val>
          <c:smooth val="1"/>
          <c:extLst>
            <c:ext xmlns:c16="http://schemas.microsoft.com/office/drawing/2014/chart" uri="{C3380CC4-5D6E-409C-BE32-E72D297353CC}">
              <c16:uniqueId val="{00000001-F1D5-4149-AD12-60E1B8356777}"/>
            </c:ext>
          </c:extLst>
        </c:ser>
        <c:dLbls>
          <c:dLblPos val="t"/>
          <c:showLegendKey val="0"/>
          <c:showVal val="1"/>
          <c:showCatName val="0"/>
          <c:showSerName val="0"/>
          <c:showPercent val="0"/>
          <c:showBubbleSize val="0"/>
        </c:dLbls>
        <c:marker val="1"/>
        <c:smooth val="0"/>
        <c:axId val="1734530832"/>
        <c:axId val="1734532912"/>
      </c:lineChart>
      <c:catAx>
        <c:axId val="1734530832"/>
        <c:scaling>
          <c:orientation val="minMax"/>
        </c:scaling>
        <c:delete val="0"/>
        <c:axPos val="b"/>
        <c:numFmt formatCode="General" sourceLinked="1"/>
        <c:majorTickMark val="none"/>
        <c:minorTickMark val="none"/>
        <c:tickLblPos val="nextTo"/>
        <c:spPr>
          <a:noFill/>
          <a:ln w="9525" cap="flat" cmpd="sng" algn="ctr">
            <a:solidFill>
              <a:sysClr val="windowText" lastClr="000000"/>
            </a:solidFill>
            <a:round/>
          </a:ln>
          <a:effectLst/>
        </c:spPr>
        <c:txPr>
          <a:bodyPr rot="-60000000" spcFirstLastPara="1" vertOverflow="ellipsis" vert="horz" wrap="square" anchor="ctr" anchorCtr="1"/>
          <a:lstStyle/>
          <a:p>
            <a:pPr>
              <a:defRPr sz="800" b="1"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crossAx val="1734532912"/>
        <c:crosses val="autoZero"/>
        <c:auto val="1"/>
        <c:lblAlgn val="ctr"/>
        <c:lblOffset val="100"/>
        <c:noMultiLvlLbl val="0"/>
      </c:catAx>
      <c:valAx>
        <c:axId val="1734532912"/>
        <c:scaling>
          <c:orientation val="minMax"/>
        </c:scaling>
        <c:delete val="0"/>
        <c:axPos val="l"/>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800" b="1"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crossAx val="1734530832"/>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800" b="1"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legend>
    <c:plotVisOnly val="1"/>
    <c:dispBlanksAs val="gap"/>
    <c:showDLblsOverMax val="0"/>
  </c:chart>
  <c:spPr>
    <a:solidFill>
      <a:srgbClr val="FFC3B5"/>
    </a:solidFill>
    <a:ln w="9525" cap="flat" cmpd="sng" algn="ctr">
      <a:solidFill>
        <a:sysClr val="windowText" lastClr="000000"/>
      </a:solidFill>
      <a:round/>
    </a:ln>
    <a:effectLst/>
  </c:spPr>
  <c:txPr>
    <a:bodyPr/>
    <a:lstStyle/>
    <a:p>
      <a:pPr>
        <a:defRPr sz="800" b="1">
          <a:solidFill>
            <a:sysClr val="windowText" lastClr="000000"/>
          </a:solidFill>
          <a:latin typeface="Arial" panose="020B0604020202020204" pitchFamily="34" charset="0"/>
          <a:cs typeface="Arial" panose="020B0604020202020204" pitchFamily="34" charset="0"/>
        </a:defRPr>
      </a:pPr>
      <a:endParaRPr lang="en-US"/>
    </a:p>
  </c:txPr>
  <c:externalData r:id="rId3">
    <c:autoUpdate val="0"/>
  </c:externalData>
  <c:userShapes r:id="rId4"/>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200" b="1" i="0" u="none" strike="noStrike" kern="1200" spc="0" baseline="0">
                <a:solidFill>
                  <a:sysClr val="windowText" lastClr="000000"/>
                </a:solidFill>
                <a:latin typeface="+mn-lt"/>
                <a:ea typeface="+mn-ea"/>
                <a:cs typeface="+mn-cs"/>
              </a:defRPr>
            </a:pPr>
            <a:r>
              <a:rPr lang="en-IN"/>
              <a:t>% Consumer (Unique) Paid at least once in During</a:t>
            </a:r>
            <a:r>
              <a:rPr lang="en-IN" baseline="0"/>
              <a:t> Current FY</a:t>
            </a:r>
            <a:endParaRPr lang="en-IN"/>
          </a:p>
        </c:rich>
      </c:tx>
      <c:layout>
        <c:manualLayout>
          <c:xMode val="edge"/>
          <c:yMode val="edge"/>
          <c:x val="0.21248992643525189"/>
          <c:y val="3.5575268281338251E-2"/>
        </c:manualLayout>
      </c:layout>
      <c:overlay val="0"/>
      <c:spPr>
        <a:noFill/>
        <a:ln>
          <a:noFill/>
        </a:ln>
        <a:effectLst/>
      </c:spPr>
      <c:txPr>
        <a:bodyPr rot="0" spcFirstLastPara="1" vertOverflow="ellipsis" vert="horz" wrap="square" anchor="ctr" anchorCtr="1"/>
        <a:lstStyle/>
        <a:p>
          <a:pPr>
            <a:defRPr sz="1200" b="1" i="0" u="none" strike="noStrike" kern="1200" spc="0" baseline="0">
              <a:solidFill>
                <a:sysClr val="windowText" lastClr="000000"/>
              </a:solidFill>
              <a:latin typeface="+mn-lt"/>
              <a:ea typeface="+mn-ea"/>
              <a:cs typeface="+mn-cs"/>
            </a:defRPr>
          </a:pPr>
          <a:endParaRPr lang="en-US"/>
        </a:p>
      </c:txPr>
    </c:title>
    <c:autoTitleDeleted val="0"/>
    <c:plotArea>
      <c:layout>
        <c:manualLayout>
          <c:layoutTarget val="inner"/>
          <c:xMode val="edge"/>
          <c:yMode val="edge"/>
          <c:x val="0.15321433877369098"/>
          <c:y val="0.217476992591116"/>
          <c:w val="0.84572944096529001"/>
          <c:h val="0.52143226888305627"/>
        </c:manualLayout>
      </c:layout>
      <c:lineChart>
        <c:grouping val="standard"/>
        <c:varyColors val="0"/>
        <c:ser>
          <c:idx val="0"/>
          <c:order val="0"/>
          <c:tx>
            <c:strRef>
              <c:f>Sheet1!$A$25</c:f>
              <c:strCache>
                <c:ptCount val="1"/>
                <c:pt idx="0">
                  <c:v>FY-24-25</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dLbls>
            <c:dLbl>
              <c:idx val="0"/>
              <c:layout>
                <c:manualLayout>
                  <c:x val="-5.3274813737403254E-2"/>
                  <c:y val="-4.8933855298314705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201B-45D9-861C-DDCB2BE9E9A1}"/>
                </c:ext>
              </c:extLst>
            </c:dLbl>
            <c:dLbl>
              <c:idx val="1"/>
              <c:layout>
                <c:manualLayout>
                  <c:x val="-8.2885641196821458E-2"/>
                  <c:y val="-4.2043367752011937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201B-45D9-861C-DDCB2BE9E9A1}"/>
                </c:ext>
              </c:extLst>
            </c:dLbl>
            <c:dLbl>
              <c:idx val="2"/>
              <c:layout>
                <c:manualLayout>
                  <c:x val="-6.8080227467112273E-2"/>
                  <c:y val="-5.1230684480415685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201B-45D9-861C-DDCB2BE9E9A1}"/>
                </c:ext>
              </c:extLst>
            </c:dLbl>
            <c:dLbl>
              <c:idx val="3"/>
              <c:layout>
                <c:manualLayout>
                  <c:x val="-8.0533095928588941E-2"/>
                  <c:y val="-5.8121172026718494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201B-45D9-861C-DDCB2BE9E9A1}"/>
                </c:ext>
              </c:extLst>
            </c:dLbl>
            <c:dLbl>
              <c:idx val="4"/>
              <c:layout>
                <c:manualLayout>
                  <c:x val="-8.1845411821369507E-2"/>
                  <c:y val="-4.2043367752011895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201B-45D9-861C-DDCB2BE9E9A1}"/>
                </c:ext>
              </c:extLst>
            </c:dLbl>
            <c:dLbl>
              <c:idx val="5"/>
              <c:layout>
                <c:manualLayout>
                  <c:x val="-4.8649708525486182E-2"/>
                  <c:y val="-4.6637026116213814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201B-45D9-861C-DDCB2BE9E9A1}"/>
                </c:ext>
              </c:extLst>
            </c:dLbl>
            <c:numFmt formatCode="0.00%" sourceLinked="0"/>
            <c:spPr>
              <a:noFill/>
              <a:ln>
                <a:noFill/>
              </a:ln>
              <a:effectLst/>
            </c:spPr>
            <c:txPr>
              <a:bodyPr rot="0" spcFirstLastPara="1" vertOverflow="ellipsis" vert="horz" wrap="square" anchor="ctr" anchorCtr="1"/>
              <a:lstStyle/>
              <a:p>
                <a:pPr>
                  <a:defRPr sz="1000" b="1" i="0" u="none" strike="noStrike" kern="1200" baseline="0">
                    <a:solidFill>
                      <a:sysClr val="windowText" lastClr="000000"/>
                    </a:solidFill>
                    <a:latin typeface="+mn-lt"/>
                    <a:ea typeface="+mn-ea"/>
                    <a:cs typeface="+mn-cs"/>
                  </a:defRPr>
                </a:pPr>
                <a:endParaRPr lang="en-US"/>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accent1">
                          <a:shade val="95000"/>
                          <a:satMod val="105000"/>
                        </a:schemeClr>
                      </a:solidFill>
                      <a:prstDash val="solid"/>
                      <a:round/>
                    </a:ln>
                    <a:effectLst/>
                  </c:spPr>
                </c15:leaderLines>
              </c:ext>
            </c:extLst>
          </c:dLbls>
          <c:cat>
            <c:strRef>
              <c:f>Sheet1!$B$24:$G$24</c:f>
              <c:strCache>
                <c:ptCount val="6"/>
                <c:pt idx="0">
                  <c:v>Apr</c:v>
                </c:pt>
                <c:pt idx="1">
                  <c:v>May</c:v>
                </c:pt>
                <c:pt idx="2">
                  <c:v>Jun</c:v>
                </c:pt>
                <c:pt idx="3">
                  <c:v>July</c:v>
                </c:pt>
                <c:pt idx="4">
                  <c:v>Aug</c:v>
                </c:pt>
                <c:pt idx="5">
                  <c:v>Sep</c:v>
                </c:pt>
              </c:strCache>
            </c:strRef>
          </c:cat>
          <c:val>
            <c:numRef>
              <c:f>Sheet1!$B$25:$G$25</c:f>
              <c:numCache>
                <c:formatCode>0.00%</c:formatCode>
                <c:ptCount val="6"/>
                <c:pt idx="0">
                  <c:v>0.6825</c:v>
                </c:pt>
                <c:pt idx="1">
                  <c:v>0.79590000000000005</c:v>
                </c:pt>
                <c:pt idx="2">
                  <c:v>0.83979999999999999</c:v>
                </c:pt>
                <c:pt idx="3">
                  <c:v>0.84</c:v>
                </c:pt>
                <c:pt idx="4">
                  <c:v>0.89380000000000004</c:v>
                </c:pt>
                <c:pt idx="5">
                  <c:v>0.91359999999999997</c:v>
                </c:pt>
              </c:numCache>
            </c:numRef>
          </c:val>
          <c:smooth val="1"/>
          <c:extLst>
            <c:ext xmlns:c16="http://schemas.microsoft.com/office/drawing/2014/chart" uri="{C3380CC4-5D6E-409C-BE32-E72D297353CC}">
              <c16:uniqueId val="{00000006-201B-45D9-861C-DDCB2BE9E9A1}"/>
            </c:ext>
          </c:extLst>
        </c:ser>
        <c:ser>
          <c:idx val="1"/>
          <c:order val="1"/>
          <c:tx>
            <c:strRef>
              <c:f>Sheet1!$A$26</c:f>
              <c:strCache>
                <c:ptCount val="1"/>
                <c:pt idx="0">
                  <c:v>FY-23-24</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dLbls>
            <c:dLbl>
              <c:idx val="0"/>
              <c:layout>
                <c:manualLayout>
                  <c:x val="-6.0677520602257805E-2"/>
                  <c:y val="4.2939311985722768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201B-45D9-861C-DDCB2BE9E9A1}"/>
                </c:ext>
              </c:extLst>
            </c:dLbl>
            <c:dLbl>
              <c:idx val="1"/>
              <c:layout>
                <c:manualLayout>
                  <c:x val="-6.3145089557209322E-2"/>
                  <c:y val="6.3610774624631106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201B-45D9-861C-DDCB2BE9E9A1}"/>
                </c:ext>
              </c:extLst>
            </c:dLbl>
            <c:dLbl>
              <c:idx val="2"/>
              <c:layout>
                <c:manualLayout>
                  <c:x val="-7.054779642206388E-2"/>
                  <c:y val="4.9829799532025577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201B-45D9-861C-DDCB2BE9E9A1}"/>
                </c:ext>
              </c:extLst>
            </c:dLbl>
            <c:dLbl>
              <c:idx val="3"/>
              <c:layout>
                <c:manualLayout>
                  <c:x val="-5.8324975334025288E-2"/>
                  <c:y val="3.8345653621520891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201B-45D9-861C-DDCB2BE9E9A1}"/>
                </c:ext>
              </c:extLst>
            </c:dLbl>
            <c:dLbl>
              <c:idx val="4"/>
              <c:layout>
                <c:manualLayout>
                  <c:x val="-5.319520323318732E-2"/>
                  <c:y val="4.52361411678237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201B-45D9-861C-DDCB2BE9E9A1}"/>
                </c:ext>
              </c:extLst>
            </c:dLbl>
            <c:dLbl>
              <c:idx val="5"/>
              <c:layout>
                <c:manualLayout>
                  <c:x val="-4.1487156378440852E-2"/>
                  <c:y val="4.9829799532025577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201B-45D9-861C-DDCB2BE9E9A1}"/>
                </c:ext>
              </c:extLst>
            </c:dLbl>
            <c:numFmt formatCode="0.00%" sourceLinked="0"/>
            <c:spPr>
              <a:noFill/>
              <a:ln>
                <a:noFill/>
              </a:ln>
              <a:effectLst/>
            </c:spPr>
            <c:txPr>
              <a:bodyPr rot="0" spcFirstLastPara="1" vertOverflow="ellipsis" vert="horz" wrap="square" anchor="ctr" anchorCtr="1"/>
              <a:lstStyle/>
              <a:p>
                <a:pPr>
                  <a:defRPr sz="1000" b="1" i="0" u="none" strike="noStrike" kern="1200" baseline="0">
                    <a:solidFill>
                      <a:sysClr val="windowText" lastClr="000000"/>
                    </a:solidFill>
                    <a:latin typeface="+mn-lt"/>
                    <a:ea typeface="+mn-ea"/>
                    <a:cs typeface="+mn-cs"/>
                  </a:defRPr>
                </a:pPr>
                <a:endParaRPr lang="en-US"/>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accent2">
                          <a:shade val="95000"/>
                          <a:satMod val="105000"/>
                        </a:schemeClr>
                      </a:solidFill>
                      <a:prstDash val="solid"/>
                      <a:round/>
                    </a:ln>
                    <a:effectLst/>
                  </c:spPr>
                </c15:leaderLines>
              </c:ext>
            </c:extLst>
          </c:dLbls>
          <c:cat>
            <c:strRef>
              <c:f>Sheet1!$B$24:$G$24</c:f>
              <c:strCache>
                <c:ptCount val="6"/>
                <c:pt idx="0">
                  <c:v>Apr</c:v>
                </c:pt>
                <c:pt idx="1">
                  <c:v>May</c:v>
                </c:pt>
                <c:pt idx="2">
                  <c:v>Jun</c:v>
                </c:pt>
                <c:pt idx="3">
                  <c:v>July</c:v>
                </c:pt>
                <c:pt idx="4">
                  <c:v>Aug</c:v>
                </c:pt>
                <c:pt idx="5">
                  <c:v>Sep</c:v>
                </c:pt>
              </c:strCache>
            </c:strRef>
          </c:cat>
          <c:val>
            <c:numRef>
              <c:f>Sheet1!$B$26:$G$26</c:f>
              <c:numCache>
                <c:formatCode>0.00%</c:formatCode>
                <c:ptCount val="6"/>
                <c:pt idx="0">
                  <c:v>0.60370000000000001</c:v>
                </c:pt>
                <c:pt idx="1">
                  <c:v>0.745</c:v>
                </c:pt>
                <c:pt idx="2">
                  <c:v>0.79630000000000001</c:v>
                </c:pt>
                <c:pt idx="3">
                  <c:v>0.82079999999999997</c:v>
                </c:pt>
                <c:pt idx="4">
                  <c:v>0.84609999999999996</c:v>
                </c:pt>
                <c:pt idx="5">
                  <c:v>0.86539999999999995</c:v>
                </c:pt>
              </c:numCache>
            </c:numRef>
          </c:val>
          <c:smooth val="1"/>
          <c:extLst>
            <c:ext xmlns:c16="http://schemas.microsoft.com/office/drawing/2014/chart" uri="{C3380CC4-5D6E-409C-BE32-E72D297353CC}">
              <c16:uniqueId val="{0000000D-201B-45D9-861C-DDCB2BE9E9A1}"/>
            </c:ext>
          </c:extLst>
        </c:ser>
        <c:dLbls>
          <c:dLblPos val="t"/>
          <c:showLegendKey val="0"/>
          <c:showVal val="1"/>
          <c:showCatName val="0"/>
          <c:showSerName val="0"/>
          <c:showPercent val="0"/>
          <c:showBubbleSize val="0"/>
        </c:dLbls>
        <c:marker val="1"/>
        <c:smooth val="0"/>
        <c:axId val="60311823"/>
        <c:axId val="60315567"/>
      </c:lineChart>
      <c:catAx>
        <c:axId val="60311823"/>
        <c:scaling>
          <c:orientation val="minMax"/>
        </c:scaling>
        <c:delete val="0"/>
        <c:axPos val="b"/>
        <c:numFmt formatCode="General" sourceLinked="1"/>
        <c:majorTickMark val="none"/>
        <c:minorTickMark val="none"/>
        <c:tickLblPos val="nextTo"/>
        <c:spPr>
          <a:noFill/>
          <a:ln w="9525" cap="flat" cmpd="sng" algn="ctr">
            <a:solidFill>
              <a:schemeClr val="dk1">
                <a:shade val="95000"/>
                <a:satMod val="105000"/>
              </a:schemeClr>
            </a:solidFill>
            <a:prstDash val="solid"/>
            <a:round/>
          </a:ln>
          <a:effectLst/>
        </c:spPr>
        <c:txPr>
          <a:bodyPr rot="-60000000" spcFirstLastPara="1" vertOverflow="ellipsis" vert="horz" wrap="square" anchor="ctr" anchorCtr="1"/>
          <a:lstStyle/>
          <a:p>
            <a:pPr>
              <a:defRPr sz="1000" b="1" i="0" u="none" strike="noStrike" kern="1200" baseline="0">
                <a:solidFill>
                  <a:sysClr val="windowText" lastClr="000000"/>
                </a:solidFill>
                <a:latin typeface="+mn-lt"/>
                <a:ea typeface="+mn-ea"/>
                <a:cs typeface="+mn-cs"/>
              </a:defRPr>
            </a:pPr>
            <a:endParaRPr lang="en-US"/>
          </a:p>
        </c:txPr>
        <c:crossAx val="60315567"/>
        <c:crosses val="autoZero"/>
        <c:auto val="1"/>
        <c:lblAlgn val="ctr"/>
        <c:lblOffset val="100"/>
        <c:noMultiLvlLbl val="0"/>
      </c:catAx>
      <c:valAx>
        <c:axId val="60315567"/>
        <c:scaling>
          <c:orientation val="minMax"/>
          <c:max val="1.2"/>
          <c:min val="0.2"/>
        </c:scaling>
        <c:delete val="0"/>
        <c:axPos val="l"/>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1000" b="1" i="0" u="none" strike="noStrike" kern="1200" baseline="0">
                <a:solidFill>
                  <a:sysClr val="windowText" lastClr="000000"/>
                </a:solidFill>
                <a:latin typeface="+mn-lt"/>
                <a:ea typeface="+mn-ea"/>
                <a:cs typeface="+mn-cs"/>
              </a:defRPr>
            </a:pPr>
            <a:endParaRPr lang="en-US"/>
          </a:p>
        </c:txPr>
        <c:crossAx val="60311823"/>
        <c:crosses val="autoZero"/>
        <c:crossBetween val="between"/>
        <c:majorUnit val="0.4"/>
      </c:valAx>
      <c:spPr>
        <a:noFill/>
        <a:ln>
          <a:noFill/>
        </a:ln>
        <a:effectLst/>
      </c:spPr>
    </c:plotArea>
    <c:legend>
      <c:legendPos val="b"/>
      <c:layout>
        <c:manualLayout>
          <c:xMode val="edge"/>
          <c:yMode val="edge"/>
          <c:x val="0.27895420153160261"/>
          <c:y val="0.86237634649350137"/>
          <c:w val="0.44209140264002678"/>
          <c:h val="5.2640973768763921E-2"/>
        </c:manualLayout>
      </c:layout>
      <c:overlay val="0"/>
      <c:spPr>
        <a:noFill/>
        <a:ln>
          <a:noFill/>
        </a:ln>
        <a:effectLst/>
      </c:spPr>
      <c:txPr>
        <a:bodyPr rot="0" spcFirstLastPara="1" vertOverflow="ellipsis" vert="horz" wrap="square" anchor="ctr" anchorCtr="1"/>
        <a:lstStyle/>
        <a:p>
          <a:pPr>
            <a:defRPr sz="1000" b="1" i="0" u="none" strike="noStrike" kern="1200" baseline="0">
              <a:solidFill>
                <a:sysClr val="windowText" lastClr="000000"/>
              </a:solidFill>
              <a:latin typeface="+mn-lt"/>
              <a:ea typeface="+mn-ea"/>
              <a:cs typeface="+mn-cs"/>
            </a:defRPr>
          </a:pPr>
          <a:endParaRPr lang="en-US"/>
        </a:p>
      </c:txPr>
    </c:legend>
    <c:plotVisOnly val="1"/>
    <c:dispBlanksAs val="gap"/>
    <c:showDLblsOverMax val="0"/>
  </c:chart>
  <c:spPr>
    <a:solidFill>
      <a:srgbClr val="D3FCAE"/>
    </a:solidFill>
    <a:ln w="25400" cap="flat" cmpd="sng" algn="ctr">
      <a:solidFill>
        <a:srgbClr val="00B050"/>
      </a:solidFill>
      <a:prstDash val="solid"/>
      <a:round/>
    </a:ln>
    <a:effectLst/>
  </c:spPr>
  <c:txPr>
    <a:bodyPr/>
    <a:lstStyle/>
    <a:p>
      <a:pPr>
        <a:defRPr sz="1000" b="1">
          <a:solidFill>
            <a:sysClr val="windowText" lastClr="000000"/>
          </a:solidFill>
          <a:latin typeface="+mn-lt"/>
          <a:ea typeface="+mn-ea"/>
          <a:cs typeface="+mn-cs"/>
        </a:defRPr>
      </a:pPr>
      <a:endParaRPr lang="en-US"/>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33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1197"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330" kern="1200"/>
  </cs:chartArea>
  <cs:dataLabel>
    <cs:lnRef idx="0"/>
    <cs:fillRef idx="0"/>
    <cs:effectRef idx="0"/>
    <cs:fontRef idx="minor">
      <a:schemeClr val="tx1">
        <a:lumMod val="75000"/>
        <a:lumOff val="25000"/>
      </a:schemeClr>
    </cs:fontRef>
    <cs:defRPr sz="1197"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1197"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1197"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1197"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1197"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862"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1197"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1197"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8.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9.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33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1197"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197" kern="1200"/>
  </cs:chartArea>
  <cs:dataLabel>
    <cs:lnRef idx="0"/>
    <cs:fillRef idx="0"/>
    <cs:effectRef idx="0"/>
    <cs:fontRef idx="minor">
      <a:schemeClr val="tx1">
        <a:lumMod val="75000"/>
        <a:lumOff val="25000"/>
      </a:schemeClr>
    </cs:fontRef>
    <cs:defRPr sz="1197"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1197"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1197"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1197"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1197"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862"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1197"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1197" kern="1200"/>
  </cs:valueAxis>
  <cs:wall>
    <cs:lnRef idx="0"/>
    <cs:fillRef idx="0"/>
    <cs:effectRef idx="0"/>
    <cs:fontRef idx="minor">
      <a:schemeClr val="tx1"/>
    </cs:fontRef>
    <cs:spPr>
      <a:noFill/>
      <a:ln>
        <a:noFill/>
      </a:ln>
    </cs:spPr>
  </cs:wall>
</cs:chartStyle>
</file>

<file path=word/drawings/drawing1.xml><?xml version="1.0" encoding="utf-8"?>
<c:userShapes xmlns:c="http://schemas.openxmlformats.org/drawingml/2006/chart">
  <cdr:relSizeAnchor xmlns:cdr="http://schemas.openxmlformats.org/drawingml/2006/chartDrawing">
    <cdr:from>
      <cdr:x>0.76385</cdr:x>
      <cdr:y>0.87249</cdr:y>
    </cdr:from>
    <cdr:to>
      <cdr:x>0.91644</cdr:x>
      <cdr:y>0.97456</cdr:y>
    </cdr:to>
    <cdr:sp macro="" textlink="">
      <cdr:nvSpPr>
        <cdr:cNvPr id="2" name="TextBox 1">
          <a:extLst xmlns:a="http://schemas.openxmlformats.org/drawingml/2006/main"/>
        </cdr:cNvPr>
        <cdr:cNvSpPr txBox="1"/>
      </cdr:nvSpPr>
      <cdr:spPr>
        <a:xfrm xmlns:a="http://schemas.openxmlformats.org/drawingml/2006/main">
          <a:off x="2670175" y="1851025"/>
          <a:ext cx="533400" cy="216535"/>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n-US" sz="800" b="1" dirty="0"/>
            <a:t>FY-25</a:t>
          </a:r>
          <a:endParaRPr lang="en-IN" sz="800" b="1" dirty="0"/>
        </a:p>
      </cdr:txBody>
    </cdr:sp>
  </cdr:relSizeAnchor>
</c:userShapes>
</file>

<file path=word/drawings/drawing2.xml><?xml version="1.0" encoding="utf-8"?>
<c:userShapes xmlns:c="http://schemas.openxmlformats.org/drawingml/2006/chart">
  <cdr:relSizeAnchor xmlns:cdr="http://schemas.openxmlformats.org/drawingml/2006/chartDrawing">
    <cdr:from>
      <cdr:x>0.74863</cdr:x>
      <cdr:y>0.87041</cdr:y>
    </cdr:from>
    <cdr:to>
      <cdr:x>0.90164</cdr:x>
      <cdr:y>0.97294</cdr:y>
    </cdr:to>
    <cdr:sp macro="" textlink="">
      <cdr:nvSpPr>
        <cdr:cNvPr id="2" name="TextBox 1">
          <a:extLst xmlns:a="http://schemas.openxmlformats.org/drawingml/2006/main">
            <a:ext uri="{FF2B5EF4-FFF2-40B4-BE49-F238E27FC236}">
              <a16:creationId xmlns:a16="http://schemas.microsoft.com/office/drawing/2014/main" id="{FC1ADCD7-BCC3-4CC3-AE81-B7B03A197BC7}"/>
            </a:ext>
          </a:extLst>
        </cdr:cNvPr>
        <cdr:cNvSpPr txBox="1"/>
      </cdr:nvSpPr>
      <cdr:spPr>
        <a:xfrm xmlns:a="http://schemas.openxmlformats.org/drawingml/2006/main">
          <a:off x="2609850" y="1838325"/>
          <a:ext cx="533400" cy="216535"/>
        </a:xfrm>
        <a:prstGeom xmlns:a="http://schemas.openxmlformats.org/drawingml/2006/main" prst="rect">
          <a:avLst/>
        </a:prstGeom>
      </cdr:spPr>
      <cdr:txBody>
        <a:bodyPr xmlns:a="http://schemas.openxmlformats.org/drawingml/2006/main" wrap="square" rtlCol="0"/>
        <a:lstStyle xmlns:a="http://schemas.openxmlformats.org/drawingml/2006/main">
          <a:defPPr>
            <a:defRPr lang="en-US"/>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xmlns:a="http://schemas.openxmlformats.org/drawingml/2006/main">
          <a:r>
            <a:rPr lang="en-US" sz="800" b="1" dirty="0"/>
            <a:t>FY-25</a:t>
          </a:r>
          <a:endParaRPr lang="en-IN" sz="800" b="1" dirty="0"/>
        </a:p>
      </cdr:txBody>
    </cdr:sp>
  </cdr:relSizeAnchor>
</c:userShape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B7634C6DD4459443B5D30F3589B220DC" ma:contentTypeVersion="9" ma:contentTypeDescription="Create a new document." ma:contentTypeScope="" ma:versionID="763d6ff6552657aa9ec5986f2a014aa0">
  <xsd:schema xmlns:xsd="http://www.w3.org/2001/XMLSchema" xmlns:xs="http://www.w3.org/2001/XMLSchema" xmlns:p="http://schemas.microsoft.com/office/2006/metadata/properties" xmlns:ns3="bca30f7d-6460-4ad0-87ff-8e62b24b47d3" targetNamespace="http://schemas.microsoft.com/office/2006/metadata/properties" ma:root="true" ma:fieldsID="40a552ea9a814302f7f8188b36f89d4d" ns3:_="">
    <xsd:import namespace="bca30f7d-6460-4ad0-87ff-8e62b24b47d3"/>
    <xsd:element name="properties">
      <xsd:complexType>
        <xsd:sequence>
          <xsd:element name="documentManagement">
            <xsd:complexType>
              <xsd:all>
                <xsd:element ref="ns3:MediaServiceMetadata" minOccurs="0"/>
                <xsd:element ref="ns3:MediaServiceFastMetadata" minOccurs="0"/>
                <xsd:element ref="ns3:MediaServiceObjectDetectorVersions" minOccurs="0"/>
                <xsd:element ref="ns3:MediaServiceSystemTags" minOccurs="0"/>
                <xsd:element ref="ns3:MediaServiceOCR" minOccurs="0"/>
                <xsd:element ref="ns3:MediaServiceGenerationTime" minOccurs="0"/>
                <xsd:element ref="ns3:MediaServiceEventHashCode" minOccurs="0"/>
                <xsd:element ref="ns3:MediaServiceSearchProperties" minOccurs="0"/>
                <xsd:element ref="ns3:MediaServiceDateTake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ca30f7d-6460-4ad0-87ff-8e62b24b47d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MediaServiceSystemTags" ma:index="11" nillable="true" ma:displayName="MediaServiceSystemTags" ma:hidden="true" ma:internalName="MediaServiceSystemTags" ma:readOnly="true">
      <xsd:simpleType>
        <xsd:restriction base="dms:Note"/>
      </xsd:simpleType>
    </xsd:element>
    <xsd:element name="MediaServiceOCR" ma:index="12" nillable="true" ma:displayName="Extracted Text" ma:internalName="MediaServiceOCR" ma:readOnly="true">
      <xsd:simpleType>
        <xsd:restriction base="dms:Note">
          <xsd:maxLength value="255"/>
        </xsd:restriction>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SearchProperties" ma:index="15" nillable="true" ma:displayName="MediaServiceSearchProperties" ma:hidden="true" ma:internalName="MediaServiceSearchProperties" ma:readOnly="true">
      <xsd:simpleType>
        <xsd:restriction base="dms:Note"/>
      </xsd:simpleType>
    </xsd:element>
    <xsd:element name="MediaServiceDateTaken" ma:index="16" nillable="true" ma:displayName="MediaServiceDateTaken" ma:hidden="true" ma:indexed="true" ma:internalName="MediaServiceDateTaken"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DA7DEB7-C4EC-4A1B-B326-180A98B1F1F8}">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24CD8938-734D-40E2-A74B-46F72409DEEC}">
  <ds:schemaRefs>
    <ds:schemaRef ds:uri="http://schemas.microsoft.com/sharepoint/v3/contenttype/forms"/>
  </ds:schemaRefs>
</ds:datastoreItem>
</file>

<file path=customXml/itemProps3.xml><?xml version="1.0" encoding="utf-8"?>
<ds:datastoreItem xmlns:ds="http://schemas.openxmlformats.org/officeDocument/2006/customXml" ds:itemID="{0A1C531E-51F4-43C8-86A3-16A7791C51F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ca30f7d-6460-4ad0-87ff-8e62b24b47d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072AE3F4-AEC7-407A-8C5E-17286AEF113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284</TotalTime>
  <Pages>185</Pages>
  <Words>48869</Words>
  <Characters>278559</Characters>
  <Application>Microsoft Office Word</Application>
  <DocSecurity>0</DocSecurity>
  <Lines>2321</Lines>
  <Paragraphs>653</Paragraphs>
  <ScaleCrop>false</ScaleCrop>
  <HeadingPairs>
    <vt:vector size="2" baseType="variant">
      <vt:variant>
        <vt:lpstr>Title</vt:lpstr>
      </vt:variant>
      <vt:variant>
        <vt:i4>1</vt:i4>
      </vt:variant>
    </vt:vector>
  </HeadingPairs>
  <TitlesOfParts>
    <vt:vector size="1" baseType="lpstr">
      <vt:lpstr>1</vt:lpstr>
    </vt:vector>
  </TitlesOfParts>
  <Company>Hewlett-Packard</Company>
  <LinksUpToDate>false</LinksUpToDate>
  <CharactersWithSpaces>326775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1</dc:title>
  <dc:subject/>
  <dc:creator>Malancha Ghose</dc:creator>
  <cp:keywords/>
  <dc:description/>
  <cp:lastModifiedBy>Dinesh Prasad Mahato</cp:lastModifiedBy>
  <cp:revision>90</cp:revision>
  <cp:lastPrinted>2024-11-30T00:56:00Z</cp:lastPrinted>
  <dcterms:created xsi:type="dcterms:W3CDTF">2024-11-29T18:54:00Z</dcterms:created>
  <dcterms:modified xsi:type="dcterms:W3CDTF">2024-11-30T01:00:00Z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0x010100B7634C6DD4459443B5D30F3589B220DC</vt:lpwstr>
  </property>
</Properties>
</file>